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1.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2.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footer11.xml" ContentType="application/vnd.openxmlformats-officedocument.wordprocessingml.footer+xml"/>
  <Override PartName="/word/footer12.xml" ContentType="application/vnd.openxmlformats-officedocument.wordprocessingml.footer+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Ex1.xml" ContentType="application/vnd.ms-office.chartex+xml"/>
  <Override PartName="/word/charts/style12.xml" ContentType="application/vnd.ms-office.chartstyle+xml"/>
  <Override PartName="/word/charts/colors12.xml" ContentType="application/vnd.ms-office.chartcolorstyle+xml"/>
  <Override PartName="/word/charts/chart12.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xml" ContentType="application/vnd.openxmlformats-officedocument.themeOverride+xml"/>
  <Override PartName="/word/charts/chart13.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4.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5.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6.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7.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8.xml" ContentType="application/vnd.openxmlformats-officedocument.drawingml.chart+xml"/>
  <Override PartName="/word/charts/style19.xml" ContentType="application/vnd.ms-office.chartstyle+xml"/>
  <Override PartName="/word/charts/colors19.xml" ContentType="application/vnd.ms-office.chartcolorstyle+xml"/>
  <Override PartName="/word/footer13.xml" ContentType="application/vnd.openxmlformats-officedocument.wordprocessingml.footer+xml"/>
  <Override PartName="/word/footer14.xml" ContentType="application/vnd.openxmlformats-officedocument.wordprocessingml.footer+xml"/>
  <Override PartName="/word/charts/chart19.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0.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1.xml" ContentType="application/vnd.openxmlformats-officedocument.drawingml.chart+xml"/>
  <Override PartName="/word/charts/style22.xml" ContentType="application/vnd.ms-office.chartstyle+xml"/>
  <Override PartName="/word/charts/colors22.xml" ContentType="application/vnd.ms-office.chartcolorstyle+xml"/>
  <Override PartName="/word/footer15.xml" ContentType="application/vnd.openxmlformats-officedocument.wordprocessingml.footer+xml"/>
  <Override PartName="/word/footer16.xml" ContentType="application/vnd.openxmlformats-officedocument.wordprocessingml.footer+xml"/>
  <Override PartName="/word/charts/chart22.xml" ContentType="application/vnd.openxmlformats-officedocument.drawingml.chart+xml"/>
  <Override PartName="/word/drawings/drawing3.xml" ContentType="application/vnd.openxmlformats-officedocument.drawingml.chartshapes+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24.xml" ContentType="application/vnd.openxmlformats-officedocument.drawingml.chart+xml"/>
  <Override PartName="/word/charts/style24.xml" ContentType="application/vnd.ms-office.chartstyle+xml"/>
  <Override PartName="/word/charts/colors24.xml" ContentType="application/vnd.ms-office.chartcolorstyle+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21742E" w14:textId="3FCCA393" w:rsidR="00FD1B4C" w:rsidRPr="00B215AC" w:rsidRDefault="002B082A" w:rsidP="009717B4">
      <w:pPr>
        <w:pStyle w:val="0-TXT11"/>
        <w:ind w:hanging="1701"/>
        <w:rPr>
          <w:rFonts w:cs="Times New Roman"/>
          <w:color w:val="FF0000"/>
        </w:rPr>
      </w:pPr>
      <w:r>
        <w:rPr>
          <w:rFonts w:cs="Times New Roman"/>
          <w:noProof/>
          <w:color w:val="FF0000"/>
        </w:rPr>
        <w:drawing>
          <wp:anchor distT="0" distB="0" distL="114300" distR="114300" simplePos="0" relativeHeight="251671552" behindDoc="0" locked="0" layoutInCell="1" allowOverlap="1" wp14:anchorId="28AC1B2A" wp14:editId="127CCA4C">
            <wp:simplePos x="0" y="0"/>
            <wp:positionH relativeFrom="page">
              <wp:align>left</wp:align>
            </wp:positionH>
            <wp:positionV relativeFrom="paragraph">
              <wp:posOffset>-1193331</wp:posOffset>
            </wp:positionV>
            <wp:extent cx="7539327" cy="10675089"/>
            <wp:effectExtent l="0" t="0" r="5080" b="0"/>
            <wp:wrapNone/>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APA contas do governo 2023.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41197" cy="10677737"/>
                    </a:xfrm>
                    <a:prstGeom prst="rect">
                      <a:avLst/>
                    </a:prstGeom>
                  </pic:spPr>
                </pic:pic>
              </a:graphicData>
            </a:graphic>
            <wp14:sizeRelH relativeFrom="page">
              <wp14:pctWidth>0</wp14:pctWidth>
            </wp14:sizeRelH>
            <wp14:sizeRelV relativeFrom="page">
              <wp14:pctHeight>0</wp14:pctHeight>
            </wp14:sizeRelV>
          </wp:anchor>
        </w:drawing>
      </w:r>
    </w:p>
    <w:p w14:paraId="0CED887B" w14:textId="61DE36BC" w:rsidR="00FD1B4C" w:rsidRPr="00B215AC" w:rsidRDefault="00FD1B4C" w:rsidP="006D58AA">
      <w:pPr>
        <w:pStyle w:val="0-TXT11"/>
        <w:rPr>
          <w:rFonts w:cs="Times New Roman"/>
          <w:color w:val="FF0000"/>
        </w:rPr>
      </w:pPr>
    </w:p>
    <w:p w14:paraId="75648B56" w14:textId="2D424885" w:rsidR="00FD1B4C" w:rsidRPr="00B215AC" w:rsidRDefault="00FD1B4C" w:rsidP="006D58AA">
      <w:pPr>
        <w:pStyle w:val="0-TXT11"/>
        <w:rPr>
          <w:rFonts w:cs="Times New Roman"/>
          <w:color w:val="FF0000"/>
        </w:rPr>
      </w:pPr>
    </w:p>
    <w:p w14:paraId="62E4EDE8" w14:textId="10918CCF" w:rsidR="00FD1B4C" w:rsidRPr="00B215AC" w:rsidRDefault="00FD1B4C" w:rsidP="006D58AA">
      <w:pPr>
        <w:pStyle w:val="0-TXT11"/>
        <w:rPr>
          <w:rFonts w:cs="Times New Roman"/>
          <w:color w:val="FF0000"/>
        </w:rPr>
      </w:pPr>
    </w:p>
    <w:p w14:paraId="0A7A3B90" w14:textId="398A892D" w:rsidR="00FD1B4C" w:rsidRPr="00B215AC" w:rsidRDefault="00FD1B4C" w:rsidP="006D58AA">
      <w:pPr>
        <w:pStyle w:val="0-TXT11"/>
        <w:rPr>
          <w:rFonts w:cs="Times New Roman"/>
          <w:color w:val="FF0000"/>
        </w:rPr>
      </w:pPr>
    </w:p>
    <w:p w14:paraId="0C033A4A" w14:textId="474846CE" w:rsidR="00FD1B4C" w:rsidRPr="00B215AC" w:rsidRDefault="00FD1B4C" w:rsidP="006D58AA">
      <w:pPr>
        <w:pStyle w:val="0-TXT11"/>
        <w:rPr>
          <w:rFonts w:cs="Times New Roman"/>
          <w:color w:val="FF0000"/>
        </w:rPr>
      </w:pPr>
    </w:p>
    <w:p w14:paraId="0FA87785" w14:textId="4CFDF512" w:rsidR="00FD1B4C" w:rsidRPr="00B215AC" w:rsidRDefault="00FD1B4C" w:rsidP="006D58AA">
      <w:pPr>
        <w:pStyle w:val="0-TXT11"/>
        <w:rPr>
          <w:rFonts w:cs="Times New Roman"/>
          <w:color w:val="FF0000"/>
        </w:rPr>
      </w:pPr>
    </w:p>
    <w:p w14:paraId="45AF7F84" w14:textId="78BBCBD5" w:rsidR="00FD1B4C" w:rsidRPr="00B215AC" w:rsidRDefault="00FD1B4C" w:rsidP="006D58AA">
      <w:pPr>
        <w:pStyle w:val="0-TXT11"/>
        <w:rPr>
          <w:rFonts w:cs="Times New Roman"/>
          <w:color w:val="FF0000"/>
        </w:rPr>
      </w:pPr>
    </w:p>
    <w:p w14:paraId="5787A543" w14:textId="09DBD0FD" w:rsidR="00FD1B4C" w:rsidRPr="00B215AC" w:rsidRDefault="00FD1B4C" w:rsidP="006D58AA">
      <w:pPr>
        <w:pStyle w:val="0-TXT11"/>
        <w:rPr>
          <w:rFonts w:cs="Times New Roman"/>
          <w:color w:val="FF0000"/>
        </w:rPr>
      </w:pPr>
    </w:p>
    <w:p w14:paraId="50ED1EA0" w14:textId="5660D74F" w:rsidR="00FD1B4C" w:rsidRPr="00B215AC" w:rsidRDefault="00FD1B4C" w:rsidP="006D58AA">
      <w:pPr>
        <w:pStyle w:val="0-TXT11"/>
        <w:rPr>
          <w:rFonts w:cs="Times New Roman"/>
          <w:color w:val="FF0000"/>
        </w:rPr>
      </w:pPr>
    </w:p>
    <w:p w14:paraId="6A3CCA24" w14:textId="3923BE97" w:rsidR="00FD1B4C" w:rsidRPr="00B215AC" w:rsidRDefault="00FD1B4C" w:rsidP="006D58AA">
      <w:pPr>
        <w:pStyle w:val="0-TXT11"/>
        <w:rPr>
          <w:rFonts w:cs="Times New Roman"/>
          <w:color w:val="FF0000"/>
        </w:rPr>
      </w:pPr>
    </w:p>
    <w:p w14:paraId="2B5375D5" w14:textId="32F88445" w:rsidR="00FD1B4C" w:rsidRPr="00B215AC" w:rsidRDefault="00FD1B4C" w:rsidP="006D58AA">
      <w:pPr>
        <w:pStyle w:val="0-TXT11"/>
        <w:rPr>
          <w:rFonts w:cs="Times New Roman"/>
          <w:color w:val="FF0000"/>
        </w:rPr>
      </w:pPr>
    </w:p>
    <w:p w14:paraId="0954087D" w14:textId="77D661AC" w:rsidR="00FD1B4C" w:rsidRPr="00B215AC" w:rsidRDefault="00FD1B4C" w:rsidP="006D58AA">
      <w:pPr>
        <w:pStyle w:val="0-TXT11"/>
        <w:rPr>
          <w:rFonts w:cs="Times New Roman"/>
          <w:color w:val="FF0000"/>
        </w:rPr>
      </w:pPr>
    </w:p>
    <w:p w14:paraId="766E0183" w14:textId="753CEC82" w:rsidR="00FD1B4C" w:rsidRPr="00B215AC" w:rsidRDefault="00FD1B4C" w:rsidP="006D58AA">
      <w:pPr>
        <w:pStyle w:val="0-TXT11"/>
        <w:rPr>
          <w:rFonts w:cs="Times New Roman"/>
          <w:color w:val="FF0000"/>
        </w:rPr>
      </w:pPr>
    </w:p>
    <w:p w14:paraId="3D4A230D" w14:textId="602F6BE2" w:rsidR="00FD1B4C" w:rsidRPr="00B215AC" w:rsidRDefault="00FD1B4C" w:rsidP="006D58AA">
      <w:pPr>
        <w:pStyle w:val="0-TXT11"/>
        <w:rPr>
          <w:rFonts w:cs="Times New Roman"/>
          <w:color w:val="FF0000"/>
        </w:rPr>
      </w:pPr>
    </w:p>
    <w:p w14:paraId="164AA5DB" w14:textId="48C9737D" w:rsidR="00FD1B4C" w:rsidRPr="00B215AC" w:rsidRDefault="00FD1B4C" w:rsidP="006D58AA">
      <w:pPr>
        <w:pStyle w:val="0-TXT11"/>
        <w:rPr>
          <w:rFonts w:cs="Times New Roman"/>
          <w:color w:val="FF0000"/>
        </w:rPr>
      </w:pPr>
    </w:p>
    <w:p w14:paraId="73604D56" w14:textId="5083CEA8" w:rsidR="00FD1B4C" w:rsidRPr="00B215AC" w:rsidRDefault="00FD1B4C" w:rsidP="006D58AA">
      <w:pPr>
        <w:pStyle w:val="0-TXT11"/>
        <w:rPr>
          <w:rFonts w:cs="Times New Roman"/>
          <w:color w:val="FF0000"/>
        </w:rPr>
      </w:pPr>
    </w:p>
    <w:p w14:paraId="6B9BEAF4" w14:textId="5791905F" w:rsidR="00FD1B4C" w:rsidRPr="00B215AC" w:rsidRDefault="00FD1B4C" w:rsidP="006D58AA">
      <w:pPr>
        <w:pStyle w:val="0-TXT11"/>
        <w:rPr>
          <w:rFonts w:cs="Times New Roman"/>
          <w:color w:val="FF0000"/>
        </w:rPr>
      </w:pPr>
    </w:p>
    <w:p w14:paraId="065C5E90" w14:textId="20A469D2" w:rsidR="00FD1B4C" w:rsidRPr="00B215AC" w:rsidRDefault="00FD1B4C" w:rsidP="006D58AA">
      <w:pPr>
        <w:pStyle w:val="0-TXT11"/>
        <w:rPr>
          <w:rFonts w:cs="Times New Roman"/>
          <w:color w:val="FF0000"/>
        </w:rPr>
      </w:pPr>
    </w:p>
    <w:p w14:paraId="5E7C56E8" w14:textId="631EF645" w:rsidR="00FD1B4C" w:rsidRPr="00B215AC" w:rsidRDefault="00FD1B4C" w:rsidP="006D58AA">
      <w:pPr>
        <w:pStyle w:val="0-TXT11"/>
        <w:rPr>
          <w:rFonts w:cs="Times New Roman"/>
          <w:color w:val="FF0000"/>
        </w:rPr>
      </w:pPr>
    </w:p>
    <w:p w14:paraId="35DA95CD" w14:textId="1DB1A00F" w:rsidR="00FD1B4C" w:rsidRPr="00B215AC" w:rsidRDefault="00FD1B4C" w:rsidP="006D58AA">
      <w:pPr>
        <w:pStyle w:val="0-TXT11"/>
        <w:rPr>
          <w:rFonts w:cs="Times New Roman"/>
          <w:color w:val="FF0000"/>
        </w:rPr>
      </w:pPr>
    </w:p>
    <w:p w14:paraId="425616F9" w14:textId="7BBC18C8" w:rsidR="00FD1B4C" w:rsidRPr="00B215AC" w:rsidRDefault="00FD1B4C" w:rsidP="006D58AA">
      <w:pPr>
        <w:pStyle w:val="0-TXT11"/>
        <w:rPr>
          <w:rFonts w:cs="Times New Roman"/>
          <w:color w:val="FF0000"/>
        </w:rPr>
      </w:pPr>
    </w:p>
    <w:p w14:paraId="7A0FB80C" w14:textId="4814AD41" w:rsidR="00FD1B4C" w:rsidRPr="00B215AC" w:rsidRDefault="00FD1B4C" w:rsidP="006D58AA">
      <w:pPr>
        <w:pStyle w:val="0-TXT11"/>
        <w:rPr>
          <w:rFonts w:cs="Times New Roman"/>
          <w:color w:val="FF0000"/>
        </w:rPr>
      </w:pPr>
    </w:p>
    <w:p w14:paraId="5C476B0E" w14:textId="3AE2ED20" w:rsidR="00FD1B4C" w:rsidRPr="00B215AC" w:rsidRDefault="00FD1B4C" w:rsidP="006D58AA">
      <w:pPr>
        <w:pStyle w:val="0-TXT11"/>
        <w:rPr>
          <w:rFonts w:cs="Times New Roman"/>
          <w:color w:val="FF0000"/>
        </w:rPr>
      </w:pPr>
    </w:p>
    <w:p w14:paraId="2EAFB3D3" w14:textId="031C15B6" w:rsidR="00FD1B4C" w:rsidRPr="00B215AC" w:rsidRDefault="00FD1B4C" w:rsidP="006D58AA">
      <w:pPr>
        <w:pStyle w:val="0-TXT11"/>
        <w:rPr>
          <w:rFonts w:cs="Times New Roman"/>
          <w:color w:val="FF0000"/>
        </w:rPr>
      </w:pPr>
    </w:p>
    <w:p w14:paraId="1A0D6E58" w14:textId="77777777" w:rsidR="006D58AA" w:rsidRPr="00B215AC" w:rsidRDefault="006D58AA" w:rsidP="006D58AA">
      <w:pPr>
        <w:pStyle w:val="0-TXT11"/>
        <w:rPr>
          <w:rFonts w:cs="Times New Roman"/>
          <w:color w:val="FF0000"/>
        </w:rPr>
      </w:pPr>
    </w:p>
    <w:p w14:paraId="104EF28C" w14:textId="49E4EB35" w:rsidR="006D58AA" w:rsidRPr="00B215AC" w:rsidRDefault="006D58AA" w:rsidP="006D58AA">
      <w:pPr>
        <w:pStyle w:val="0-TXT11"/>
        <w:rPr>
          <w:rFonts w:cs="Times New Roman"/>
          <w:color w:val="FF0000"/>
        </w:rPr>
      </w:pPr>
    </w:p>
    <w:p w14:paraId="3FBBB0C3" w14:textId="7F41E6EE" w:rsidR="006D58AA" w:rsidRPr="00B215AC" w:rsidRDefault="006D58AA" w:rsidP="006D58AA">
      <w:pPr>
        <w:pStyle w:val="0-TXT11"/>
        <w:rPr>
          <w:rFonts w:cs="Times New Roman"/>
          <w:color w:val="FF0000"/>
        </w:rPr>
      </w:pPr>
    </w:p>
    <w:p w14:paraId="1E452722" w14:textId="1984FE57" w:rsidR="00FD1B4C" w:rsidRPr="00B215AC" w:rsidRDefault="00FD1B4C" w:rsidP="006D58AA">
      <w:pPr>
        <w:pStyle w:val="0-TXT11"/>
        <w:rPr>
          <w:rFonts w:cs="Times New Roman"/>
          <w:color w:val="FF0000"/>
        </w:rPr>
      </w:pPr>
    </w:p>
    <w:p w14:paraId="1E1E0CAD" w14:textId="5FE02C45" w:rsidR="00FD1B4C" w:rsidRPr="00B215AC" w:rsidRDefault="00FD1B4C" w:rsidP="006D58AA">
      <w:pPr>
        <w:pStyle w:val="0-TXT11"/>
        <w:rPr>
          <w:rFonts w:cs="Times New Roman"/>
          <w:color w:val="FF0000"/>
        </w:rPr>
      </w:pPr>
    </w:p>
    <w:p w14:paraId="360F3AEB" w14:textId="3AFD8FA9" w:rsidR="00FD1B4C" w:rsidRPr="00B215AC" w:rsidRDefault="00FD1B4C" w:rsidP="006D58AA">
      <w:pPr>
        <w:pStyle w:val="0-TXT11"/>
        <w:rPr>
          <w:rFonts w:cs="Times New Roman"/>
          <w:color w:val="FF0000"/>
        </w:rPr>
      </w:pPr>
    </w:p>
    <w:p w14:paraId="2C7D1140" w14:textId="687569B2" w:rsidR="00FD1B4C" w:rsidRPr="00B215AC" w:rsidRDefault="00FD1B4C" w:rsidP="006D58AA">
      <w:pPr>
        <w:pStyle w:val="0-TXT11"/>
        <w:rPr>
          <w:rFonts w:cs="Times New Roman"/>
          <w:color w:val="FF0000"/>
        </w:rPr>
      </w:pPr>
    </w:p>
    <w:p w14:paraId="7B64AE32" w14:textId="607BC0E1" w:rsidR="00FD1B4C" w:rsidRPr="00B215AC" w:rsidRDefault="00FD1B4C" w:rsidP="006D58AA">
      <w:pPr>
        <w:pStyle w:val="0-TXT11"/>
        <w:rPr>
          <w:rFonts w:cs="Times New Roman"/>
          <w:color w:val="FF0000"/>
        </w:rPr>
      </w:pPr>
    </w:p>
    <w:p w14:paraId="06A35660" w14:textId="43356429" w:rsidR="00FD1B4C" w:rsidRPr="00B215AC" w:rsidRDefault="00FD1B4C" w:rsidP="006D58AA">
      <w:pPr>
        <w:pStyle w:val="0-TXT11"/>
        <w:rPr>
          <w:rFonts w:cs="Times New Roman"/>
          <w:color w:val="FF0000"/>
        </w:rPr>
      </w:pPr>
    </w:p>
    <w:p w14:paraId="72505714" w14:textId="0F298079" w:rsidR="00FD1B4C" w:rsidRPr="00B215AC" w:rsidRDefault="00FD1B4C" w:rsidP="006D58AA">
      <w:pPr>
        <w:pStyle w:val="0-TXT11"/>
        <w:rPr>
          <w:rFonts w:cs="Times New Roman"/>
          <w:color w:val="FF0000"/>
        </w:rPr>
      </w:pPr>
    </w:p>
    <w:p w14:paraId="46324C24" w14:textId="129FE509" w:rsidR="00FD1B4C" w:rsidRPr="00B215AC" w:rsidRDefault="00FD1B4C" w:rsidP="006D58AA">
      <w:pPr>
        <w:pStyle w:val="0-TXT11"/>
        <w:rPr>
          <w:rFonts w:cs="Times New Roman"/>
          <w:color w:val="FF0000"/>
        </w:rPr>
      </w:pPr>
    </w:p>
    <w:p w14:paraId="1B224996" w14:textId="0D6DC5A1" w:rsidR="00FD1B4C" w:rsidRPr="00B215AC" w:rsidRDefault="00FD1B4C" w:rsidP="006D58AA">
      <w:pPr>
        <w:pStyle w:val="0-TXT11"/>
        <w:rPr>
          <w:rFonts w:cs="Times New Roman"/>
          <w:color w:val="FF0000"/>
        </w:rPr>
      </w:pPr>
    </w:p>
    <w:p w14:paraId="47436590" w14:textId="7F9C285D" w:rsidR="00FD1B4C" w:rsidRPr="00B215AC" w:rsidRDefault="00FD1B4C" w:rsidP="006D58AA">
      <w:pPr>
        <w:pStyle w:val="0-TXT11"/>
        <w:rPr>
          <w:rFonts w:cs="Times New Roman"/>
          <w:color w:val="FF0000"/>
        </w:rPr>
      </w:pPr>
    </w:p>
    <w:p w14:paraId="24C57CEF" w14:textId="4756AE1F" w:rsidR="00FD1B4C" w:rsidRPr="00B215AC" w:rsidRDefault="00FD1B4C" w:rsidP="006D58AA">
      <w:pPr>
        <w:pStyle w:val="0-TXT11"/>
        <w:rPr>
          <w:rFonts w:cs="Times New Roman"/>
          <w:color w:val="FF0000"/>
        </w:rPr>
      </w:pPr>
    </w:p>
    <w:p w14:paraId="6362B82C" w14:textId="5D4052D0" w:rsidR="00FD1B4C" w:rsidRPr="00B215AC" w:rsidRDefault="00FD1B4C" w:rsidP="006D58AA">
      <w:pPr>
        <w:pStyle w:val="0-TXT11"/>
        <w:rPr>
          <w:rFonts w:cs="Times New Roman"/>
          <w:color w:val="FF0000"/>
        </w:rPr>
      </w:pPr>
    </w:p>
    <w:p w14:paraId="07B5E5CF" w14:textId="683DED6B" w:rsidR="00FD1B4C" w:rsidRPr="00B215AC" w:rsidRDefault="00FD1B4C" w:rsidP="006D58AA">
      <w:pPr>
        <w:pStyle w:val="0-TXT11"/>
        <w:rPr>
          <w:rFonts w:cs="Times New Roman"/>
          <w:color w:val="FF0000"/>
        </w:rPr>
      </w:pPr>
    </w:p>
    <w:p w14:paraId="2ACA1D0E" w14:textId="26C96D3E" w:rsidR="00FD1B4C" w:rsidRPr="00B215AC" w:rsidRDefault="00FD1B4C" w:rsidP="006D58AA">
      <w:pPr>
        <w:pStyle w:val="0-TXT11"/>
        <w:rPr>
          <w:rFonts w:cs="Times New Roman"/>
          <w:color w:val="FF0000"/>
        </w:rPr>
      </w:pPr>
    </w:p>
    <w:p w14:paraId="18709E1F" w14:textId="336EC063" w:rsidR="00FD1B4C" w:rsidRPr="00B215AC" w:rsidRDefault="00FD1B4C" w:rsidP="006D58AA">
      <w:pPr>
        <w:pStyle w:val="0-TXT11"/>
        <w:rPr>
          <w:rFonts w:cs="Times New Roman"/>
          <w:color w:val="FF0000"/>
        </w:rPr>
      </w:pPr>
    </w:p>
    <w:p w14:paraId="3AD7677D" w14:textId="74A9F1DC" w:rsidR="00FD1B4C" w:rsidRPr="00B215AC" w:rsidRDefault="00FD1B4C" w:rsidP="006D58AA">
      <w:pPr>
        <w:pStyle w:val="0-TXT11"/>
        <w:rPr>
          <w:rFonts w:cs="Times New Roman"/>
          <w:color w:val="FF0000"/>
        </w:rPr>
      </w:pPr>
    </w:p>
    <w:p w14:paraId="36B081C1" w14:textId="77777777" w:rsidR="00FD1B4C" w:rsidRPr="00B215AC" w:rsidRDefault="00FD1B4C" w:rsidP="006D58AA">
      <w:pPr>
        <w:pStyle w:val="0-TXT11"/>
        <w:rPr>
          <w:rFonts w:cs="Times New Roman"/>
          <w:color w:val="FF0000"/>
        </w:rPr>
      </w:pPr>
    </w:p>
    <w:p w14:paraId="1E7902C2" w14:textId="3819F916" w:rsidR="006D58AA" w:rsidRPr="00B215AC" w:rsidRDefault="006D58AA" w:rsidP="006D58AA">
      <w:pPr>
        <w:pStyle w:val="0-TXT11"/>
        <w:rPr>
          <w:rFonts w:cs="Times New Roman"/>
          <w:color w:val="FF0000"/>
        </w:rPr>
      </w:pPr>
    </w:p>
    <w:p w14:paraId="236B7EC1" w14:textId="77777777" w:rsidR="006D58AA" w:rsidRPr="00B215AC" w:rsidRDefault="006D58AA" w:rsidP="006D58AA">
      <w:pPr>
        <w:pStyle w:val="0-TXT11"/>
        <w:rPr>
          <w:rFonts w:cs="Times New Roman"/>
          <w:color w:val="FF0000"/>
        </w:rPr>
      </w:pPr>
    </w:p>
    <w:p w14:paraId="6DEA8761" w14:textId="65CB6029" w:rsidR="006D58AA" w:rsidRPr="00B215AC" w:rsidRDefault="006D58AA" w:rsidP="006D58AA">
      <w:pPr>
        <w:pStyle w:val="0-TXT11"/>
        <w:rPr>
          <w:rFonts w:cs="Times New Roman"/>
          <w:color w:val="FF0000"/>
        </w:rPr>
      </w:pPr>
    </w:p>
    <w:p w14:paraId="59588933" w14:textId="4612D0BD" w:rsidR="006D58AA" w:rsidRPr="00B215AC" w:rsidRDefault="006D58AA" w:rsidP="006D58AA">
      <w:pPr>
        <w:pStyle w:val="0-TXT11"/>
        <w:rPr>
          <w:rFonts w:cs="Times New Roman"/>
          <w:color w:val="FF0000"/>
        </w:rPr>
      </w:pPr>
    </w:p>
    <w:p w14:paraId="34945833" w14:textId="77777777" w:rsidR="006D58AA" w:rsidRPr="00B215AC" w:rsidRDefault="006D58AA" w:rsidP="00F257F0">
      <w:pPr>
        <w:pStyle w:val="0-TXT11"/>
        <w:rPr>
          <w:rFonts w:cs="Times New Roman"/>
          <w:color w:val="FF0000"/>
        </w:rPr>
      </w:pPr>
    </w:p>
    <w:p w14:paraId="3A085ADE" w14:textId="0A188AD3" w:rsidR="00264F4C" w:rsidRPr="00B215AC" w:rsidRDefault="00264F4C" w:rsidP="00F257F0">
      <w:pPr>
        <w:pStyle w:val="0-TXT11"/>
        <w:rPr>
          <w:rFonts w:cs="Times New Roman"/>
          <w:color w:val="FF0000"/>
        </w:rPr>
      </w:pPr>
    </w:p>
    <w:p w14:paraId="51853C51" w14:textId="77777777" w:rsidR="00FD1B4C" w:rsidRPr="00B215AC" w:rsidRDefault="00FD1B4C" w:rsidP="00BE6068">
      <w:pPr>
        <w:pStyle w:val="0-TXT11"/>
        <w:jc w:val="right"/>
        <w:rPr>
          <w:rFonts w:cs="Times New Roman"/>
          <w:b/>
          <w:color w:val="FF0000"/>
          <w:sz w:val="44"/>
          <w:szCs w:val="44"/>
        </w:rPr>
      </w:pPr>
      <w:bookmarkStart w:id="0" w:name="_Toc507571164"/>
      <w:bookmarkStart w:id="1" w:name="_Toc507571194"/>
    </w:p>
    <w:p w14:paraId="40673BA9" w14:textId="3E4DBF2E" w:rsidR="00FD1B4C" w:rsidRPr="00B215AC" w:rsidRDefault="00FD1B4C" w:rsidP="00BE6068">
      <w:pPr>
        <w:pStyle w:val="0-TXT11"/>
        <w:jc w:val="right"/>
        <w:rPr>
          <w:rFonts w:cs="Times New Roman"/>
          <w:b/>
          <w:color w:val="FF0000"/>
          <w:sz w:val="44"/>
          <w:szCs w:val="44"/>
        </w:rPr>
      </w:pPr>
    </w:p>
    <w:p w14:paraId="47AC1A82" w14:textId="77777777" w:rsidR="002C5BC6" w:rsidRPr="00B215AC" w:rsidRDefault="002C5BC6" w:rsidP="00BE6068">
      <w:pPr>
        <w:pStyle w:val="0-TXT11"/>
        <w:jc w:val="right"/>
        <w:rPr>
          <w:rFonts w:cs="Times New Roman"/>
          <w:b/>
          <w:sz w:val="44"/>
          <w:szCs w:val="44"/>
        </w:rPr>
      </w:pPr>
    </w:p>
    <w:p w14:paraId="505AE97C" w14:textId="77777777" w:rsidR="00FD1B4C" w:rsidRPr="00B215AC" w:rsidRDefault="00FD1B4C" w:rsidP="00BE6068">
      <w:pPr>
        <w:pStyle w:val="0-TXT11"/>
        <w:jc w:val="right"/>
        <w:rPr>
          <w:rFonts w:cs="Times New Roman"/>
          <w:b/>
          <w:sz w:val="44"/>
          <w:szCs w:val="44"/>
        </w:rPr>
      </w:pPr>
    </w:p>
    <w:p w14:paraId="090E3318" w14:textId="77777777" w:rsidR="003E2C11" w:rsidRPr="00B215AC" w:rsidRDefault="003E2C11" w:rsidP="003E2C11">
      <w:pPr>
        <w:pStyle w:val="0-TXT11"/>
        <w:jc w:val="right"/>
        <w:rPr>
          <w:rFonts w:cs="Times New Roman"/>
          <w:sz w:val="52"/>
          <w:szCs w:val="52"/>
        </w:rPr>
      </w:pPr>
      <w:r w:rsidRPr="00B215AC">
        <w:rPr>
          <w:rFonts w:cs="Times New Roman"/>
          <w:sz w:val="52"/>
          <w:szCs w:val="52"/>
        </w:rPr>
        <w:t xml:space="preserve">Relatório Técnico  </w:t>
      </w:r>
    </w:p>
    <w:p w14:paraId="00CACA5B" w14:textId="77777777" w:rsidR="003E2C11" w:rsidRPr="00B215AC" w:rsidRDefault="003E2C11" w:rsidP="003E2C11">
      <w:pPr>
        <w:pStyle w:val="0-TXT11"/>
        <w:jc w:val="right"/>
        <w:rPr>
          <w:rFonts w:cs="Times New Roman"/>
          <w:b/>
          <w:sz w:val="52"/>
          <w:szCs w:val="52"/>
        </w:rPr>
      </w:pPr>
      <w:r w:rsidRPr="00B215AC">
        <w:rPr>
          <w:rFonts w:cs="Times New Roman"/>
          <w:b/>
          <w:sz w:val="52"/>
          <w:szCs w:val="52"/>
        </w:rPr>
        <w:t xml:space="preserve">Contas do Governo  </w:t>
      </w:r>
    </w:p>
    <w:p w14:paraId="342B7F44" w14:textId="77777777" w:rsidR="003E2C11" w:rsidRPr="00B215AC" w:rsidRDefault="003E2C11" w:rsidP="003E2C11">
      <w:pPr>
        <w:pStyle w:val="0-TXT11"/>
        <w:jc w:val="right"/>
        <w:rPr>
          <w:rFonts w:cs="Times New Roman"/>
          <w:sz w:val="52"/>
          <w:szCs w:val="52"/>
        </w:rPr>
      </w:pPr>
    </w:p>
    <w:p w14:paraId="0A278036" w14:textId="4FB574CD" w:rsidR="00FD1B4C" w:rsidRPr="00B215AC" w:rsidRDefault="003E2C11" w:rsidP="003E2C11">
      <w:pPr>
        <w:pStyle w:val="0-TXT11"/>
        <w:jc w:val="right"/>
        <w:rPr>
          <w:rFonts w:cs="Times New Roman"/>
          <w:sz w:val="52"/>
          <w:szCs w:val="52"/>
        </w:rPr>
      </w:pPr>
      <w:r w:rsidRPr="00B215AC">
        <w:rPr>
          <w:rFonts w:cs="Times New Roman"/>
          <w:sz w:val="52"/>
          <w:szCs w:val="52"/>
        </w:rPr>
        <w:t>Exercício de 202</w:t>
      </w:r>
      <w:r w:rsidR="00156828">
        <w:rPr>
          <w:rFonts w:cs="Times New Roman"/>
          <w:sz w:val="52"/>
          <w:szCs w:val="52"/>
        </w:rPr>
        <w:t>3</w:t>
      </w:r>
    </w:p>
    <w:p w14:paraId="7563727A" w14:textId="032BB719" w:rsidR="003E2C11" w:rsidRPr="00B215AC" w:rsidRDefault="003E2C11" w:rsidP="003E2C11">
      <w:pPr>
        <w:pStyle w:val="0-TXT11"/>
        <w:jc w:val="right"/>
        <w:rPr>
          <w:rFonts w:cs="Times New Roman"/>
          <w:b/>
          <w:sz w:val="44"/>
          <w:szCs w:val="44"/>
        </w:rPr>
      </w:pPr>
    </w:p>
    <w:p w14:paraId="3F1BE877" w14:textId="124BB347" w:rsidR="003E2C11" w:rsidRPr="00B215AC" w:rsidRDefault="003E2C11" w:rsidP="003E2C11">
      <w:pPr>
        <w:pStyle w:val="0-TXT11"/>
        <w:jc w:val="right"/>
        <w:rPr>
          <w:rFonts w:cs="Times New Roman"/>
          <w:b/>
          <w:sz w:val="44"/>
          <w:szCs w:val="44"/>
        </w:rPr>
      </w:pPr>
    </w:p>
    <w:p w14:paraId="7D297378" w14:textId="38571540" w:rsidR="003E2C11" w:rsidRPr="00B215AC" w:rsidRDefault="003E2C11" w:rsidP="003E2C11">
      <w:pPr>
        <w:pStyle w:val="0-TXT11"/>
        <w:jc w:val="right"/>
        <w:rPr>
          <w:rFonts w:cs="Times New Roman"/>
          <w:b/>
          <w:sz w:val="44"/>
          <w:szCs w:val="44"/>
        </w:rPr>
      </w:pPr>
    </w:p>
    <w:p w14:paraId="7FD70306" w14:textId="356EFE33" w:rsidR="003E2C11" w:rsidRPr="00B215AC" w:rsidRDefault="003E2C11" w:rsidP="003E2C11">
      <w:pPr>
        <w:pStyle w:val="0-TXT11"/>
        <w:jc w:val="right"/>
        <w:rPr>
          <w:rFonts w:cs="Times New Roman"/>
          <w:b/>
          <w:sz w:val="44"/>
          <w:szCs w:val="44"/>
        </w:rPr>
      </w:pPr>
    </w:p>
    <w:p w14:paraId="7E1AC3FD" w14:textId="74D31510" w:rsidR="003E2C11" w:rsidRPr="00B215AC" w:rsidRDefault="003E2C11" w:rsidP="003E2C11">
      <w:pPr>
        <w:pStyle w:val="0-TXT11"/>
        <w:jc w:val="right"/>
        <w:rPr>
          <w:rFonts w:cs="Times New Roman"/>
          <w:b/>
          <w:sz w:val="44"/>
          <w:szCs w:val="44"/>
        </w:rPr>
      </w:pPr>
    </w:p>
    <w:p w14:paraId="60DC0A76" w14:textId="4C9D976D" w:rsidR="003E2C11" w:rsidRPr="00B215AC" w:rsidRDefault="003E2C11" w:rsidP="003E2C11">
      <w:pPr>
        <w:pStyle w:val="0-TXT11"/>
        <w:jc w:val="right"/>
        <w:rPr>
          <w:rFonts w:cs="Times New Roman"/>
          <w:b/>
          <w:sz w:val="44"/>
          <w:szCs w:val="44"/>
        </w:rPr>
      </w:pPr>
    </w:p>
    <w:p w14:paraId="54C70471" w14:textId="5BBC6011" w:rsidR="003E2C11" w:rsidRPr="00B215AC" w:rsidRDefault="003E2C11" w:rsidP="003E2C11">
      <w:pPr>
        <w:pStyle w:val="0-TXT11"/>
        <w:jc w:val="right"/>
        <w:rPr>
          <w:rFonts w:cs="Times New Roman"/>
          <w:b/>
          <w:sz w:val="44"/>
          <w:szCs w:val="44"/>
        </w:rPr>
      </w:pPr>
    </w:p>
    <w:p w14:paraId="64BE5107" w14:textId="73A231F4" w:rsidR="003E2C11" w:rsidRPr="00B215AC" w:rsidRDefault="003E2C11" w:rsidP="003E2C11">
      <w:pPr>
        <w:pStyle w:val="0-TXT11"/>
        <w:jc w:val="right"/>
        <w:rPr>
          <w:rFonts w:cs="Times New Roman"/>
          <w:b/>
          <w:sz w:val="44"/>
          <w:szCs w:val="44"/>
        </w:rPr>
      </w:pPr>
    </w:p>
    <w:p w14:paraId="3063505B" w14:textId="6D0E907E" w:rsidR="002C5BC6" w:rsidRPr="00B215AC" w:rsidRDefault="002C5BC6" w:rsidP="003E2C11">
      <w:pPr>
        <w:pStyle w:val="0-TXT11"/>
        <w:jc w:val="right"/>
        <w:rPr>
          <w:rFonts w:cs="Times New Roman"/>
          <w:b/>
          <w:sz w:val="44"/>
          <w:szCs w:val="44"/>
        </w:rPr>
      </w:pPr>
    </w:p>
    <w:p w14:paraId="62CA1F04" w14:textId="7F14D65C" w:rsidR="002C5BC6" w:rsidRPr="00B215AC" w:rsidRDefault="002C5BC6" w:rsidP="003E2C11">
      <w:pPr>
        <w:pStyle w:val="0-TXT11"/>
        <w:jc w:val="right"/>
        <w:rPr>
          <w:rFonts w:cs="Times New Roman"/>
          <w:b/>
          <w:sz w:val="44"/>
          <w:szCs w:val="44"/>
        </w:rPr>
      </w:pPr>
    </w:p>
    <w:p w14:paraId="0A07A965" w14:textId="6866C7A9" w:rsidR="003E2C11" w:rsidRPr="00F24A43" w:rsidRDefault="003E2C11" w:rsidP="003E2C11">
      <w:pPr>
        <w:pStyle w:val="0-TXT11"/>
        <w:jc w:val="right"/>
        <w:rPr>
          <w:rFonts w:cs="Times New Roman"/>
          <w:sz w:val="32"/>
          <w:szCs w:val="32"/>
        </w:rPr>
      </w:pPr>
      <w:r w:rsidRPr="00F24A43">
        <w:rPr>
          <w:rFonts w:cs="Times New Roman"/>
          <w:sz w:val="32"/>
          <w:szCs w:val="32"/>
        </w:rPr>
        <w:t xml:space="preserve">Conselheiro </w:t>
      </w:r>
      <w:r w:rsidR="00F24A43" w:rsidRPr="00F24A43">
        <w:rPr>
          <w:rFonts w:cs="Times New Roman"/>
          <w:sz w:val="32"/>
          <w:szCs w:val="32"/>
        </w:rPr>
        <w:t>Helder Valin</w:t>
      </w:r>
      <w:r w:rsidRPr="00F24A43">
        <w:rPr>
          <w:rFonts w:cs="Times New Roman"/>
          <w:sz w:val="32"/>
          <w:szCs w:val="32"/>
        </w:rPr>
        <w:t xml:space="preserve">, Relator  </w:t>
      </w:r>
    </w:p>
    <w:p w14:paraId="4A0A756D" w14:textId="62EFF094" w:rsidR="003E2C11" w:rsidRPr="00F24A43" w:rsidRDefault="003E2C11" w:rsidP="003E2C11">
      <w:pPr>
        <w:pStyle w:val="0-TXT11"/>
        <w:jc w:val="right"/>
        <w:rPr>
          <w:rFonts w:cs="Times New Roman"/>
          <w:sz w:val="32"/>
          <w:szCs w:val="32"/>
        </w:rPr>
      </w:pPr>
      <w:r w:rsidRPr="00F24A43">
        <w:rPr>
          <w:rFonts w:cs="Times New Roman"/>
          <w:sz w:val="32"/>
          <w:szCs w:val="32"/>
        </w:rPr>
        <w:t xml:space="preserve">Goiânia, </w:t>
      </w:r>
      <w:r w:rsidR="00B87A5B">
        <w:rPr>
          <w:rFonts w:cs="Times New Roman"/>
          <w:sz w:val="32"/>
          <w:szCs w:val="32"/>
        </w:rPr>
        <w:t>maio</w:t>
      </w:r>
      <w:r w:rsidRPr="00F24A43">
        <w:rPr>
          <w:rFonts w:cs="Times New Roman"/>
          <w:sz w:val="32"/>
          <w:szCs w:val="32"/>
        </w:rPr>
        <w:t>/202</w:t>
      </w:r>
      <w:r w:rsidR="00156828" w:rsidRPr="00F24A43">
        <w:rPr>
          <w:rFonts w:cs="Times New Roman"/>
          <w:sz w:val="32"/>
          <w:szCs w:val="32"/>
        </w:rPr>
        <w:t>4</w:t>
      </w:r>
    </w:p>
    <w:p w14:paraId="6DE41A65" w14:textId="69DB226B" w:rsidR="003E2C11" w:rsidRPr="00F24A43" w:rsidRDefault="003E2C11" w:rsidP="003E2C11">
      <w:pPr>
        <w:pStyle w:val="0-TXT11"/>
        <w:jc w:val="right"/>
        <w:rPr>
          <w:rFonts w:cs="Times New Roman"/>
          <w:b/>
          <w:sz w:val="44"/>
          <w:szCs w:val="44"/>
        </w:rPr>
      </w:pPr>
    </w:p>
    <w:p w14:paraId="506FB2D6" w14:textId="02E42D83" w:rsidR="002C5BC6" w:rsidRDefault="002C5BC6" w:rsidP="002C5BC6">
      <w:pPr>
        <w:spacing w:line="276" w:lineRule="auto"/>
        <w:jc w:val="center"/>
        <w:rPr>
          <w:rFonts w:ascii="Georgia" w:hAnsi="Georgia"/>
          <w:smallCaps/>
          <w:spacing w:val="-2"/>
          <w:sz w:val="28"/>
          <w:szCs w:val="28"/>
        </w:rPr>
      </w:pPr>
    </w:p>
    <w:p w14:paraId="06B2B0B1" w14:textId="10312F54" w:rsidR="00CF0630" w:rsidRDefault="00CF0630">
      <w:pPr>
        <w:jc w:val="left"/>
        <w:rPr>
          <w:rFonts w:ascii="Georgia" w:hAnsi="Georgia"/>
          <w:smallCaps/>
          <w:spacing w:val="-2"/>
          <w:sz w:val="28"/>
          <w:szCs w:val="28"/>
        </w:rPr>
      </w:pPr>
      <w:r>
        <w:rPr>
          <w:rFonts w:ascii="Georgia" w:hAnsi="Georgia"/>
          <w:smallCaps/>
          <w:spacing w:val="-2"/>
          <w:sz w:val="28"/>
          <w:szCs w:val="28"/>
        </w:rPr>
        <w:br w:type="page"/>
      </w:r>
    </w:p>
    <w:p w14:paraId="49F15663" w14:textId="77777777" w:rsidR="00CF0630" w:rsidRPr="00B215AC" w:rsidRDefault="00CF0630" w:rsidP="002C5BC6">
      <w:pPr>
        <w:spacing w:line="276" w:lineRule="auto"/>
        <w:jc w:val="center"/>
        <w:rPr>
          <w:rFonts w:ascii="Georgia" w:hAnsi="Georgia"/>
          <w:smallCaps/>
          <w:spacing w:val="-2"/>
          <w:sz w:val="28"/>
          <w:szCs w:val="28"/>
        </w:rPr>
      </w:pPr>
    </w:p>
    <w:p w14:paraId="2003D508" w14:textId="688EFC3E" w:rsidR="002C5BC6" w:rsidRPr="00B215AC" w:rsidRDefault="002C5BC6" w:rsidP="002C5BC6">
      <w:pPr>
        <w:spacing w:line="276" w:lineRule="auto"/>
        <w:jc w:val="center"/>
        <w:rPr>
          <w:rFonts w:ascii="Georgia" w:hAnsi="Georgia"/>
          <w:smallCaps/>
          <w:spacing w:val="-2"/>
          <w:sz w:val="28"/>
          <w:szCs w:val="28"/>
        </w:rPr>
      </w:pPr>
      <w:r w:rsidRPr="00B215AC">
        <w:rPr>
          <w:rFonts w:ascii="Georgia" w:hAnsi="Georgia"/>
          <w:smallCaps/>
          <w:spacing w:val="-2"/>
          <w:sz w:val="28"/>
          <w:szCs w:val="28"/>
        </w:rPr>
        <w:t>Conselheiros</w:t>
      </w:r>
    </w:p>
    <w:p w14:paraId="4E105B03" w14:textId="77777777" w:rsidR="002C5BC6" w:rsidRPr="00B215AC" w:rsidRDefault="002C5BC6" w:rsidP="002C5BC6">
      <w:pPr>
        <w:spacing w:line="276" w:lineRule="auto"/>
        <w:jc w:val="center"/>
        <w:rPr>
          <w:rFonts w:ascii="Georgia" w:hAnsi="Georgia"/>
          <w:smallCaps/>
          <w:spacing w:val="-2"/>
          <w:sz w:val="28"/>
          <w:szCs w:val="28"/>
        </w:rPr>
      </w:pPr>
    </w:p>
    <w:p w14:paraId="64806A63" w14:textId="44ECFA03" w:rsidR="002C5BC6" w:rsidRPr="00072C61" w:rsidRDefault="002C5BC6" w:rsidP="002C5BC6">
      <w:pPr>
        <w:spacing w:line="276" w:lineRule="auto"/>
        <w:jc w:val="center"/>
        <w:rPr>
          <w:rFonts w:ascii="Times New Roman" w:hAnsi="Times New Roman"/>
          <w:spacing w:val="-2"/>
          <w:sz w:val="24"/>
          <w:szCs w:val="24"/>
        </w:rPr>
      </w:pPr>
      <w:r w:rsidRPr="00072C61">
        <w:rPr>
          <w:rFonts w:ascii="Times New Roman" w:hAnsi="Times New Roman"/>
          <w:smallCaps/>
          <w:spacing w:val="-2"/>
          <w:sz w:val="24"/>
          <w:szCs w:val="24"/>
        </w:rPr>
        <w:t xml:space="preserve">Saulo Marques Mesquita </w:t>
      </w:r>
      <w:r w:rsidRPr="00072C61">
        <w:rPr>
          <w:rFonts w:ascii="Times New Roman" w:hAnsi="Times New Roman"/>
          <w:spacing w:val="-2"/>
          <w:sz w:val="24"/>
          <w:szCs w:val="24"/>
        </w:rPr>
        <w:t xml:space="preserve">– Presidente </w:t>
      </w:r>
      <w:r w:rsidRPr="00072C61">
        <w:rPr>
          <w:rFonts w:ascii="Times New Roman" w:hAnsi="Times New Roman"/>
          <w:spacing w:val="-2"/>
          <w:sz w:val="24"/>
          <w:szCs w:val="24"/>
        </w:rPr>
        <w:br/>
      </w:r>
      <w:r w:rsidRPr="00072C61">
        <w:rPr>
          <w:rFonts w:ascii="Times New Roman" w:hAnsi="Times New Roman"/>
          <w:smallCaps/>
          <w:spacing w:val="-2"/>
          <w:sz w:val="24"/>
          <w:szCs w:val="24"/>
        </w:rPr>
        <w:t>Helder Valin</w:t>
      </w:r>
      <w:r w:rsidRPr="00072C61">
        <w:rPr>
          <w:rFonts w:ascii="Times New Roman" w:hAnsi="Times New Roman"/>
          <w:spacing w:val="-2"/>
          <w:sz w:val="24"/>
          <w:szCs w:val="24"/>
        </w:rPr>
        <w:t xml:space="preserve"> – Vice-Presidente </w:t>
      </w:r>
      <w:r w:rsidRPr="00072C61">
        <w:rPr>
          <w:rFonts w:ascii="Times New Roman" w:hAnsi="Times New Roman"/>
          <w:spacing w:val="-2"/>
          <w:sz w:val="24"/>
          <w:szCs w:val="24"/>
        </w:rPr>
        <w:br/>
      </w:r>
      <w:r w:rsidRPr="00072C61">
        <w:rPr>
          <w:rFonts w:ascii="Times New Roman" w:hAnsi="Times New Roman"/>
          <w:smallCaps/>
          <w:spacing w:val="-2"/>
          <w:sz w:val="24"/>
          <w:szCs w:val="24"/>
        </w:rPr>
        <w:t>Sebastião Tejota</w:t>
      </w:r>
      <w:r w:rsidRPr="00072C61">
        <w:rPr>
          <w:rFonts w:ascii="Times New Roman" w:hAnsi="Times New Roman"/>
          <w:spacing w:val="-2"/>
          <w:sz w:val="24"/>
          <w:szCs w:val="24"/>
        </w:rPr>
        <w:t xml:space="preserve"> – Corregedor Geral</w:t>
      </w:r>
    </w:p>
    <w:p w14:paraId="350CC5B3" w14:textId="77777777" w:rsidR="00072C61" w:rsidRPr="00072C61" w:rsidRDefault="00072C61" w:rsidP="00072C61">
      <w:pPr>
        <w:spacing w:line="276" w:lineRule="auto"/>
        <w:jc w:val="center"/>
        <w:rPr>
          <w:rFonts w:ascii="Times New Roman" w:hAnsi="Times New Roman"/>
          <w:smallCaps/>
          <w:spacing w:val="-2"/>
          <w:sz w:val="24"/>
          <w:szCs w:val="24"/>
        </w:rPr>
      </w:pPr>
      <w:r w:rsidRPr="00072C61">
        <w:rPr>
          <w:rFonts w:ascii="Times New Roman" w:hAnsi="Times New Roman"/>
          <w:smallCaps/>
          <w:spacing w:val="-2"/>
          <w:sz w:val="24"/>
          <w:szCs w:val="24"/>
        </w:rPr>
        <w:t>Carla Cintia Santillo</w:t>
      </w:r>
    </w:p>
    <w:p w14:paraId="36C08B5C" w14:textId="77777777" w:rsidR="00072C61" w:rsidRPr="00072C61" w:rsidRDefault="00072C61" w:rsidP="00072C61">
      <w:pPr>
        <w:spacing w:line="276" w:lineRule="auto"/>
        <w:jc w:val="center"/>
        <w:rPr>
          <w:rFonts w:ascii="Times New Roman" w:hAnsi="Times New Roman"/>
          <w:smallCaps/>
          <w:spacing w:val="-2"/>
          <w:sz w:val="24"/>
          <w:szCs w:val="24"/>
        </w:rPr>
      </w:pPr>
      <w:r w:rsidRPr="00072C61">
        <w:rPr>
          <w:rFonts w:ascii="Times New Roman" w:hAnsi="Times New Roman"/>
          <w:smallCaps/>
          <w:spacing w:val="-2"/>
          <w:sz w:val="24"/>
          <w:szCs w:val="24"/>
        </w:rPr>
        <w:t>Celmar Rech</w:t>
      </w:r>
      <w:r w:rsidRPr="00072C61">
        <w:rPr>
          <w:rFonts w:ascii="Times New Roman" w:hAnsi="Times New Roman"/>
          <w:spacing w:val="-2"/>
          <w:sz w:val="24"/>
          <w:szCs w:val="24"/>
        </w:rPr>
        <w:t xml:space="preserve"> </w:t>
      </w:r>
      <w:r w:rsidRPr="00072C61">
        <w:rPr>
          <w:rFonts w:ascii="Times New Roman" w:hAnsi="Times New Roman"/>
          <w:spacing w:val="-2"/>
          <w:sz w:val="24"/>
          <w:szCs w:val="24"/>
        </w:rPr>
        <w:br/>
      </w:r>
      <w:r w:rsidRPr="00072C61">
        <w:rPr>
          <w:rFonts w:ascii="Times New Roman" w:hAnsi="Times New Roman"/>
          <w:smallCaps/>
          <w:spacing w:val="-2"/>
          <w:sz w:val="24"/>
          <w:szCs w:val="24"/>
        </w:rPr>
        <w:t xml:space="preserve">Edson José Ferrari </w:t>
      </w:r>
    </w:p>
    <w:p w14:paraId="276BB07B" w14:textId="77777777" w:rsidR="00072C61" w:rsidRPr="00072C61" w:rsidRDefault="00072C61" w:rsidP="002C5BC6">
      <w:pPr>
        <w:spacing w:line="276" w:lineRule="auto"/>
        <w:jc w:val="center"/>
        <w:rPr>
          <w:rFonts w:ascii="Times New Roman" w:hAnsi="Times New Roman"/>
          <w:smallCaps/>
          <w:spacing w:val="-2"/>
          <w:sz w:val="24"/>
          <w:szCs w:val="24"/>
        </w:rPr>
      </w:pPr>
      <w:r w:rsidRPr="00072C61">
        <w:rPr>
          <w:rFonts w:ascii="Times New Roman" w:hAnsi="Times New Roman"/>
          <w:smallCaps/>
          <w:spacing w:val="-2"/>
          <w:sz w:val="24"/>
          <w:szCs w:val="24"/>
        </w:rPr>
        <w:t xml:space="preserve">Kennedy Trindade </w:t>
      </w:r>
    </w:p>
    <w:p w14:paraId="2D7E522D" w14:textId="4F287A89" w:rsidR="002C5BC6" w:rsidRPr="00B215AC" w:rsidRDefault="002C5BC6" w:rsidP="002C5BC6">
      <w:pPr>
        <w:spacing w:line="276" w:lineRule="auto"/>
        <w:jc w:val="center"/>
        <w:rPr>
          <w:rFonts w:ascii="Georgia" w:hAnsi="Georgia"/>
          <w:smallCaps/>
          <w:spacing w:val="-2"/>
          <w:sz w:val="28"/>
          <w:szCs w:val="28"/>
        </w:rPr>
      </w:pPr>
      <w:r w:rsidRPr="00156828">
        <w:rPr>
          <w:rFonts w:ascii="Times New Roman" w:hAnsi="Times New Roman"/>
          <w:smallCaps/>
          <w:color w:val="FF0000"/>
          <w:spacing w:val="-3"/>
          <w:sz w:val="24"/>
          <w:szCs w:val="24"/>
        </w:rPr>
        <w:br/>
      </w:r>
      <w:r w:rsidRPr="00B215AC">
        <w:rPr>
          <w:rFonts w:ascii="Times New Roman" w:hAnsi="Times New Roman"/>
          <w:spacing w:val="-2"/>
          <w:sz w:val="24"/>
          <w:szCs w:val="24"/>
        </w:rPr>
        <w:br/>
      </w:r>
      <w:r w:rsidRPr="00B215AC">
        <w:rPr>
          <w:rFonts w:ascii="Times New Roman" w:hAnsi="Times New Roman"/>
          <w:spacing w:val="-2"/>
          <w:sz w:val="24"/>
          <w:szCs w:val="24"/>
        </w:rPr>
        <w:br/>
      </w:r>
    </w:p>
    <w:p w14:paraId="622345A3" w14:textId="77777777" w:rsidR="002C5BC6" w:rsidRPr="00B215AC" w:rsidRDefault="002C5BC6" w:rsidP="002C5BC6">
      <w:pPr>
        <w:spacing w:line="276" w:lineRule="auto"/>
        <w:jc w:val="center"/>
        <w:rPr>
          <w:rFonts w:ascii="Times New Roman" w:hAnsi="Times New Roman"/>
          <w:spacing w:val="-2"/>
          <w:sz w:val="24"/>
          <w:szCs w:val="24"/>
        </w:rPr>
      </w:pPr>
    </w:p>
    <w:p w14:paraId="7E336E61" w14:textId="77777777" w:rsidR="002C5BC6" w:rsidRPr="00B215AC" w:rsidRDefault="002C5BC6" w:rsidP="002C5BC6">
      <w:pPr>
        <w:spacing w:line="276" w:lineRule="auto"/>
        <w:jc w:val="center"/>
        <w:rPr>
          <w:rFonts w:ascii="Times New Roman" w:hAnsi="Times New Roman"/>
          <w:spacing w:val="-2"/>
          <w:sz w:val="24"/>
          <w:szCs w:val="24"/>
        </w:rPr>
      </w:pPr>
    </w:p>
    <w:p w14:paraId="161E7C39" w14:textId="77777777" w:rsidR="002C5BC6" w:rsidRPr="00B215AC" w:rsidRDefault="002C5BC6" w:rsidP="002C5BC6">
      <w:pPr>
        <w:spacing w:line="276" w:lineRule="auto"/>
        <w:jc w:val="center"/>
        <w:rPr>
          <w:rFonts w:ascii="Times New Roman" w:hAnsi="Times New Roman"/>
          <w:spacing w:val="-2"/>
          <w:sz w:val="24"/>
          <w:szCs w:val="24"/>
        </w:rPr>
      </w:pPr>
    </w:p>
    <w:p w14:paraId="2A904949" w14:textId="77777777" w:rsidR="002C5BC6" w:rsidRPr="00B215AC" w:rsidRDefault="002C5BC6" w:rsidP="002C5BC6">
      <w:pPr>
        <w:spacing w:line="276" w:lineRule="auto"/>
        <w:jc w:val="center"/>
        <w:rPr>
          <w:rFonts w:ascii="Times New Roman" w:hAnsi="Times New Roman"/>
          <w:spacing w:val="-2"/>
          <w:sz w:val="24"/>
          <w:szCs w:val="24"/>
        </w:rPr>
      </w:pPr>
    </w:p>
    <w:p w14:paraId="7C58404B" w14:textId="77777777" w:rsidR="002C5BC6" w:rsidRPr="00B215AC" w:rsidRDefault="002C5BC6" w:rsidP="002C5BC6">
      <w:pPr>
        <w:spacing w:line="276" w:lineRule="auto"/>
        <w:jc w:val="center"/>
        <w:rPr>
          <w:rFonts w:ascii="Times New Roman" w:hAnsi="Times New Roman"/>
          <w:spacing w:val="-2"/>
          <w:sz w:val="24"/>
          <w:szCs w:val="24"/>
        </w:rPr>
      </w:pPr>
    </w:p>
    <w:p w14:paraId="60A78816" w14:textId="77777777" w:rsidR="002C5BC6" w:rsidRPr="00B215AC" w:rsidRDefault="002C5BC6" w:rsidP="002C5BC6">
      <w:pPr>
        <w:spacing w:line="276" w:lineRule="auto"/>
        <w:jc w:val="center"/>
        <w:rPr>
          <w:rFonts w:ascii="Times New Roman" w:hAnsi="Times New Roman"/>
          <w:spacing w:val="-2"/>
          <w:sz w:val="24"/>
          <w:szCs w:val="24"/>
        </w:rPr>
      </w:pPr>
    </w:p>
    <w:p w14:paraId="161CA42A" w14:textId="77777777" w:rsidR="002C5BC6" w:rsidRPr="00B215AC" w:rsidRDefault="002C5BC6" w:rsidP="002C5BC6">
      <w:pPr>
        <w:spacing w:line="276" w:lineRule="auto"/>
        <w:jc w:val="center"/>
        <w:rPr>
          <w:rFonts w:ascii="Georgia" w:hAnsi="Georgia"/>
          <w:smallCaps/>
          <w:spacing w:val="-2"/>
          <w:sz w:val="28"/>
          <w:szCs w:val="28"/>
        </w:rPr>
      </w:pPr>
      <w:r w:rsidRPr="00B215AC">
        <w:rPr>
          <w:rFonts w:ascii="Georgia" w:hAnsi="Georgia"/>
          <w:smallCaps/>
          <w:spacing w:val="-2"/>
          <w:sz w:val="28"/>
          <w:szCs w:val="28"/>
        </w:rPr>
        <w:t>Auditores</w:t>
      </w:r>
    </w:p>
    <w:p w14:paraId="63D28F83" w14:textId="77777777" w:rsidR="002C5BC6" w:rsidRPr="00B215AC" w:rsidRDefault="002C5BC6" w:rsidP="002C5BC6">
      <w:pPr>
        <w:spacing w:line="276" w:lineRule="auto"/>
        <w:jc w:val="center"/>
        <w:rPr>
          <w:rFonts w:ascii="Times New Roman" w:hAnsi="Times New Roman"/>
          <w:smallCaps/>
          <w:spacing w:val="-3"/>
          <w:sz w:val="24"/>
          <w:szCs w:val="24"/>
        </w:rPr>
      </w:pPr>
    </w:p>
    <w:p w14:paraId="1FD86D88" w14:textId="77777777" w:rsidR="002C5BC6" w:rsidRPr="00072C61" w:rsidRDefault="002C5BC6" w:rsidP="002C5BC6">
      <w:pPr>
        <w:spacing w:line="276" w:lineRule="auto"/>
        <w:jc w:val="center"/>
        <w:rPr>
          <w:rFonts w:ascii="Times New Roman" w:hAnsi="Times New Roman"/>
          <w:smallCaps/>
          <w:spacing w:val="-3"/>
          <w:sz w:val="24"/>
          <w:szCs w:val="24"/>
        </w:rPr>
      </w:pPr>
      <w:r w:rsidRPr="00072C61">
        <w:rPr>
          <w:rFonts w:ascii="Times New Roman" w:hAnsi="Times New Roman"/>
          <w:smallCaps/>
          <w:spacing w:val="-3"/>
          <w:sz w:val="24"/>
          <w:szCs w:val="24"/>
        </w:rPr>
        <w:t>Cláudio André Abreu Costa</w:t>
      </w:r>
    </w:p>
    <w:p w14:paraId="4CEEC52F" w14:textId="77777777" w:rsidR="002C5BC6" w:rsidRPr="00072C61" w:rsidRDefault="002C5BC6" w:rsidP="002C5BC6">
      <w:pPr>
        <w:spacing w:line="276" w:lineRule="auto"/>
        <w:jc w:val="center"/>
        <w:rPr>
          <w:rFonts w:ascii="Times New Roman" w:hAnsi="Times New Roman"/>
          <w:smallCaps/>
          <w:spacing w:val="-3"/>
          <w:sz w:val="24"/>
          <w:szCs w:val="24"/>
        </w:rPr>
      </w:pPr>
      <w:r w:rsidRPr="00072C61">
        <w:rPr>
          <w:rFonts w:ascii="Times New Roman" w:hAnsi="Times New Roman"/>
          <w:smallCaps/>
          <w:spacing w:val="-3"/>
          <w:sz w:val="24"/>
          <w:szCs w:val="24"/>
        </w:rPr>
        <w:t>Flávio Lúcio Rodrigues da Silva</w:t>
      </w:r>
      <w:r w:rsidRPr="00072C61">
        <w:rPr>
          <w:rFonts w:ascii="Times New Roman" w:hAnsi="Times New Roman"/>
          <w:spacing w:val="-3"/>
          <w:sz w:val="24"/>
          <w:szCs w:val="24"/>
        </w:rPr>
        <w:br/>
      </w:r>
      <w:r w:rsidRPr="00072C61">
        <w:rPr>
          <w:rFonts w:ascii="Times New Roman" w:hAnsi="Times New Roman"/>
          <w:smallCaps/>
          <w:spacing w:val="-3"/>
          <w:sz w:val="24"/>
          <w:szCs w:val="24"/>
        </w:rPr>
        <w:t>Heloísa Helena Antonácio M. Godinho</w:t>
      </w:r>
      <w:r w:rsidRPr="00072C61">
        <w:rPr>
          <w:rFonts w:ascii="Times New Roman" w:hAnsi="Times New Roman"/>
          <w:spacing w:val="-3"/>
          <w:sz w:val="24"/>
          <w:szCs w:val="24"/>
        </w:rPr>
        <w:br/>
      </w:r>
      <w:r w:rsidRPr="00072C61">
        <w:rPr>
          <w:rFonts w:ascii="Times New Roman" w:hAnsi="Times New Roman"/>
          <w:smallCaps/>
          <w:spacing w:val="-3"/>
          <w:sz w:val="24"/>
          <w:szCs w:val="24"/>
        </w:rPr>
        <w:t>Henrique Veras</w:t>
      </w:r>
      <w:r w:rsidRPr="00072C61">
        <w:rPr>
          <w:rFonts w:ascii="Times New Roman" w:hAnsi="Times New Roman"/>
          <w:smallCaps/>
          <w:spacing w:val="-2"/>
          <w:sz w:val="24"/>
          <w:szCs w:val="24"/>
        </w:rPr>
        <w:br/>
      </w:r>
      <w:r w:rsidRPr="00072C61">
        <w:rPr>
          <w:rFonts w:ascii="Times New Roman" w:hAnsi="Times New Roman"/>
          <w:smallCaps/>
          <w:spacing w:val="-3"/>
          <w:sz w:val="24"/>
          <w:szCs w:val="24"/>
        </w:rPr>
        <w:t>Humberto Bosco Lustosa Barreira</w:t>
      </w:r>
    </w:p>
    <w:p w14:paraId="1B59050C" w14:textId="77777777" w:rsidR="00F613D5" w:rsidRDefault="00F613D5" w:rsidP="002C5BC6">
      <w:pPr>
        <w:spacing w:line="276" w:lineRule="auto"/>
        <w:jc w:val="center"/>
        <w:rPr>
          <w:rFonts w:ascii="Times New Roman" w:hAnsi="Times New Roman"/>
          <w:spacing w:val="-3"/>
          <w:sz w:val="24"/>
          <w:szCs w:val="24"/>
        </w:rPr>
      </w:pPr>
    </w:p>
    <w:p w14:paraId="10C39152" w14:textId="01C91C8D" w:rsidR="002C5BC6" w:rsidRPr="00B215AC" w:rsidRDefault="002C5BC6" w:rsidP="002C5BC6">
      <w:pPr>
        <w:spacing w:line="276" w:lineRule="auto"/>
        <w:jc w:val="center"/>
        <w:rPr>
          <w:rFonts w:ascii="Times New Roman" w:hAnsi="Times New Roman"/>
          <w:spacing w:val="-3"/>
          <w:sz w:val="24"/>
          <w:szCs w:val="24"/>
        </w:rPr>
      </w:pPr>
      <w:r w:rsidRPr="00B215AC">
        <w:rPr>
          <w:rFonts w:ascii="Times New Roman" w:hAnsi="Times New Roman"/>
          <w:spacing w:val="-3"/>
          <w:sz w:val="24"/>
          <w:szCs w:val="24"/>
        </w:rPr>
        <w:br/>
      </w:r>
    </w:p>
    <w:p w14:paraId="39AAA013" w14:textId="77777777" w:rsidR="002C5BC6" w:rsidRPr="00B215AC" w:rsidRDefault="002C5BC6" w:rsidP="002C5BC6">
      <w:pPr>
        <w:spacing w:line="276" w:lineRule="auto"/>
        <w:jc w:val="center"/>
        <w:rPr>
          <w:rFonts w:ascii="Times New Roman" w:hAnsi="Times New Roman"/>
          <w:spacing w:val="-3"/>
          <w:sz w:val="24"/>
          <w:szCs w:val="24"/>
        </w:rPr>
      </w:pPr>
    </w:p>
    <w:p w14:paraId="61CBD5F6" w14:textId="585E5578" w:rsidR="002C5BC6" w:rsidRDefault="002C5BC6" w:rsidP="002C5BC6">
      <w:pPr>
        <w:spacing w:line="276" w:lineRule="auto"/>
        <w:jc w:val="center"/>
        <w:rPr>
          <w:rFonts w:ascii="Times New Roman" w:hAnsi="Times New Roman"/>
          <w:spacing w:val="-3"/>
          <w:sz w:val="24"/>
          <w:szCs w:val="24"/>
        </w:rPr>
      </w:pPr>
    </w:p>
    <w:p w14:paraId="3601C39F" w14:textId="77777777" w:rsidR="00F613D5" w:rsidRPr="00B215AC" w:rsidRDefault="00F613D5" w:rsidP="002C5BC6">
      <w:pPr>
        <w:spacing w:line="276" w:lineRule="auto"/>
        <w:jc w:val="center"/>
        <w:rPr>
          <w:rFonts w:ascii="Times New Roman" w:hAnsi="Times New Roman"/>
          <w:spacing w:val="-3"/>
          <w:sz w:val="24"/>
          <w:szCs w:val="24"/>
        </w:rPr>
      </w:pPr>
    </w:p>
    <w:p w14:paraId="63DC2F22" w14:textId="77777777" w:rsidR="002C5BC6" w:rsidRPr="00B215AC" w:rsidRDefault="002C5BC6" w:rsidP="002C5BC6">
      <w:pPr>
        <w:spacing w:line="276" w:lineRule="auto"/>
        <w:jc w:val="center"/>
        <w:rPr>
          <w:rFonts w:ascii="Times New Roman" w:hAnsi="Times New Roman"/>
          <w:spacing w:val="-3"/>
          <w:sz w:val="24"/>
          <w:szCs w:val="24"/>
        </w:rPr>
      </w:pPr>
    </w:p>
    <w:p w14:paraId="1109135B" w14:textId="77777777" w:rsidR="002C5BC6" w:rsidRPr="00B215AC" w:rsidRDefault="002C5BC6" w:rsidP="002C5BC6">
      <w:pPr>
        <w:spacing w:line="276" w:lineRule="auto"/>
        <w:jc w:val="center"/>
        <w:rPr>
          <w:rFonts w:ascii="Times New Roman" w:hAnsi="Times New Roman"/>
          <w:spacing w:val="-3"/>
          <w:sz w:val="24"/>
          <w:szCs w:val="24"/>
        </w:rPr>
      </w:pPr>
    </w:p>
    <w:p w14:paraId="24384208" w14:textId="77777777" w:rsidR="002C5BC6" w:rsidRPr="00B215AC" w:rsidRDefault="002C5BC6" w:rsidP="002C5BC6">
      <w:pPr>
        <w:spacing w:line="276" w:lineRule="auto"/>
        <w:jc w:val="center"/>
        <w:rPr>
          <w:rFonts w:ascii="Georgia" w:hAnsi="Georgia"/>
          <w:smallCaps/>
          <w:sz w:val="28"/>
          <w:szCs w:val="28"/>
        </w:rPr>
      </w:pPr>
      <w:r w:rsidRPr="00B215AC">
        <w:rPr>
          <w:rFonts w:ascii="Georgia" w:hAnsi="Georgia"/>
          <w:smallCaps/>
          <w:sz w:val="28"/>
          <w:szCs w:val="28"/>
        </w:rPr>
        <w:t xml:space="preserve">Procuradores </w:t>
      </w:r>
    </w:p>
    <w:p w14:paraId="1D49FAAF" w14:textId="77777777" w:rsidR="002C5BC6" w:rsidRPr="00B215AC" w:rsidRDefault="002C5BC6" w:rsidP="002C5BC6">
      <w:pPr>
        <w:spacing w:line="276" w:lineRule="auto"/>
        <w:jc w:val="center"/>
        <w:rPr>
          <w:rFonts w:ascii="Georgia" w:hAnsi="Georgia"/>
          <w:smallCaps/>
          <w:spacing w:val="-2"/>
          <w:sz w:val="28"/>
          <w:szCs w:val="28"/>
        </w:rPr>
      </w:pPr>
    </w:p>
    <w:p w14:paraId="3A22D3E1" w14:textId="77777777" w:rsidR="002C5BC6" w:rsidRPr="00072C61" w:rsidRDefault="002C5BC6" w:rsidP="002C5BC6">
      <w:pPr>
        <w:spacing w:line="276" w:lineRule="auto"/>
        <w:jc w:val="center"/>
        <w:rPr>
          <w:rFonts w:ascii="Georgia" w:hAnsi="Georgia"/>
          <w:smallCaps/>
          <w:spacing w:val="-2"/>
          <w:sz w:val="28"/>
          <w:szCs w:val="28"/>
        </w:rPr>
      </w:pPr>
      <w:r w:rsidRPr="00072C61">
        <w:rPr>
          <w:rFonts w:ascii="Times New Roman" w:hAnsi="Times New Roman"/>
          <w:smallCaps/>
          <w:spacing w:val="-3"/>
          <w:sz w:val="24"/>
          <w:szCs w:val="24"/>
        </w:rPr>
        <w:t xml:space="preserve">Carlos Gustavo Silva Rodrigues – </w:t>
      </w:r>
      <w:r w:rsidRPr="00072C61">
        <w:rPr>
          <w:rFonts w:ascii="Times New Roman" w:hAnsi="Times New Roman"/>
          <w:spacing w:val="-3"/>
          <w:sz w:val="24"/>
          <w:szCs w:val="24"/>
        </w:rPr>
        <w:t xml:space="preserve">Procurador-Geral </w:t>
      </w:r>
    </w:p>
    <w:p w14:paraId="65274371" w14:textId="7B2D61B1" w:rsidR="002C5BC6" w:rsidRPr="00072C61" w:rsidRDefault="002C5BC6" w:rsidP="002C5BC6">
      <w:pPr>
        <w:spacing w:line="276" w:lineRule="auto"/>
        <w:jc w:val="center"/>
        <w:rPr>
          <w:rFonts w:ascii="Times New Roman" w:hAnsi="Times New Roman"/>
          <w:smallCaps/>
          <w:spacing w:val="-3"/>
          <w:sz w:val="24"/>
          <w:szCs w:val="24"/>
        </w:rPr>
      </w:pPr>
      <w:r w:rsidRPr="00072C61">
        <w:rPr>
          <w:rFonts w:ascii="Times New Roman" w:hAnsi="Times New Roman"/>
          <w:smallCaps/>
          <w:spacing w:val="-3"/>
          <w:sz w:val="24"/>
          <w:szCs w:val="24"/>
        </w:rPr>
        <w:t>Fernando dos Santos Carneiro</w:t>
      </w:r>
    </w:p>
    <w:p w14:paraId="2E5324B0" w14:textId="77777777" w:rsidR="002C5BC6" w:rsidRPr="00072C61" w:rsidRDefault="002C5BC6" w:rsidP="002C5BC6">
      <w:pPr>
        <w:spacing w:line="276" w:lineRule="auto"/>
        <w:jc w:val="center"/>
        <w:rPr>
          <w:rFonts w:cs="Arial"/>
          <w:b/>
          <w:smallCaps/>
          <w:sz w:val="24"/>
          <w:szCs w:val="24"/>
        </w:rPr>
      </w:pPr>
      <w:r w:rsidRPr="00072C61">
        <w:rPr>
          <w:rFonts w:ascii="Times New Roman" w:hAnsi="Times New Roman"/>
          <w:smallCaps/>
          <w:spacing w:val="-3"/>
          <w:sz w:val="24"/>
          <w:szCs w:val="24"/>
        </w:rPr>
        <w:t>Maísa de Castro Sousa</w:t>
      </w:r>
      <w:r w:rsidRPr="00072C61">
        <w:rPr>
          <w:rFonts w:ascii="Times New Roman" w:hAnsi="Times New Roman"/>
          <w:spacing w:val="-2"/>
          <w:sz w:val="24"/>
          <w:szCs w:val="24"/>
        </w:rPr>
        <w:br/>
      </w:r>
      <w:r w:rsidRPr="00072C61">
        <w:rPr>
          <w:rFonts w:ascii="Times New Roman" w:hAnsi="Times New Roman"/>
          <w:smallCaps/>
          <w:spacing w:val="-3"/>
          <w:sz w:val="24"/>
          <w:szCs w:val="24"/>
        </w:rPr>
        <w:t>Silvestre Gomes dos Anjos</w:t>
      </w:r>
      <w:r w:rsidRPr="00072C61">
        <w:rPr>
          <w:rFonts w:ascii="Times New Roman" w:hAnsi="Times New Roman"/>
          <w:smallCaps/>
          <w:spacing w:val="-3"/>
          <w:sz w:val="24"/>
          <w:szCs w:val="24"/>
        </w:rPr>
        <w:br/>
      </w:r>
    </w:p>
    <w:p w14:paraId="46B33739" w14:textId="77777777" w:rsidR="002C5BC6" w:rsidRPr="00B215AC" w:rsidRDefault="002C5BC6" w:rsidP="002C5BC6">
      <w:pPr>
        <w:spacing w:line="276" w:lineRule="auto"/>
        <w:jc w:val="center"/>
        <w:rPr>
          <w:rFonts w:cs="Arial"/>
          <w:b/>
          <w:smallCaps/>
          <w:sz w:val="24"/>
          <w:szCs w:val="24"/>
        </w:rPr>
      </w:pPr>
    </w:p>
    <w:p w14:paraId="645A63E4" w14:textId="77777777" w:rsidR="002C5BC6" w:rsidRPr="00B215AC" w:rsidRDefault="002C5BC6" w:rsidP="002C5BC6">
      <w:pPr>
        <w:spacing w:line="276" w:lineRule="auto"/>
        <w:jc w:val="center"/>
        <w:rPr>
          <w:rFonts w:cs="Arial"/>
          <w:b/>
          <w:smallCaps/>
          <w:sz w:val="24"/>
          <w:szCs w:val="24"/>
        </w:rPr>
      </w:pPr>
    </w:p>
    <w:p w14:paraId="7AB70807" w14:textId="77777777" w:rsidR="002C5BC6" w:rsidRPr="00B215AC" w:rsidRDefault="002C5BC6" w:rsidP="002C5BC6">
      <w:pPr>
        <w:spacing w:line="276" w:lineRule="auto"/>
        <w:jc w:val="center"/>
        <w:rPr>
          <w:rFonts w:cs="Arial"/>
          <w:b/>
          <w:smallCaps/>
          <w:sz w:val="24"/>
          <w:szCs w:val="24"/>
        </w:rPr>
      </w:pPr>
    </w:p>
    <w:p w14:paraId="5ABBEB74" w14:textId="77777777" w:rsidR="002C5BC6" w:rsidRPr="00B215AC" w:rsidRDefault="002C5BC6" w:rsidP="002C5BC6">
      <w:pPr>
        <w:jc w:val="center"/>
        <w:rPr>
          <w:rFonts w:ascii="Times New Roman" w:hAnsi="Times New Roman"/>
          <w:smallCaps/>
          <w:w w:val="102"/>
          <w:sz w:val="32"/>
          <w:szCs w:val="32"/>
        </w:rPr>
      </w:pPr>
      <w:bookmarkStart w:id="2" w:name="_Hlk129942102"/>
      <w:r w:rsidRPr="00B215AC">
        <w:rPr>
          <w:rFonts w:ascii="Times New Roman" w:hAnsi="Times New Roman"/>
          <w:smallCaps/>
          <w:w w:val="102"/>
          <w:sz w:val="32"/>
          <w:szCs w:val="32"/>
        </w:rPr>
        <w:t>Secretaria de Controle Externo</w:t>
      </w:r>
    </w:p>
    <w:p w14:paraId="7644A52B" w14:textId="15A011CE" w:rsidR="002C5BC6" w:rsidRPr="00B215AC" w:rsidRDefault="002C5BC6" w:rsidP="002C5BC6">
      <w:pPr>
        <w:jc w:val="center"/>
        <w:rPr>
          <w:rFonts w:ascii="Times New Roman" w:hAnsi="Times New Roman"/>
          <w:spacing w:val="-3"/>
          <w:sz w:val="24"/>
          <w:szCs w:val="24"/>
        </w:rPr>
      </w:pPr>
      <w:r w:rsidRPr="00B215AC">
        <w:rPr>
          <w:rFonts w:ascii="Times New Roman" w:hAnsi="Times New Roman"/>
          <w:smallCaps/>
          <w:spacing w:val="-3"/>
          <w:sz w:val="24"/>
          <w:szCs w:val="24"/>
        </w:rPr>
        <w:t>Sérvio</w:t>
      </w:r>
      <w:r w:rsidR="00017D98" w:rsidRPr="00B215AC">
        <w:rPr>
          <w:rFonts w:ascii="Times New Roman" w:hAnsi="Times New Roman"/>
          <w:smallCaps/>
          <w:spacing w:val="-3"/>
          <w:sz w:val="24"/>
          <w:szCs w:val="24"/>
        </w:rPr>
        <w:t xml:space="preserve"> </w:t>
      </w:r>
      <w:r w:rsidR="00D37063" w:rsidRPr="00B215AC">
        <w:rPr>
          <w:rFonts w:ascii="Times New Roman" w:hAnsi="Times New Roman"/>
          <w:smallCaps/>
          <w:spacing w:val="-3"/>
          <w:sz w:val="24"/>
          <w:szCs w:val="24"/>
        </w:rPr>
        <w:t>Túlio</w:t>
      </w:r>
      <w:r w:rsidRPr="00B215AC">
        <w:rPr>
          <w:rFonts w:ascii="Times New Roman" w:hAnsi="Times New Roman"/>
          <w:smallCaps/>
          <w:spacing w:val="-3"/>
          <w:sz w:val="24"/>
          <w:szCs w:val="24"/>
        </w:rPr>
        <w:t xml:space="preserve"> </w:t>
      </w:r>
      <w:r w:rsidR="00D37063" w:rsidRPr="00B215AC">
        <w:rPr>
          <w:rFonts w:ascii="Times New Roman" w:hAnsi="Times New Roman"/>
          <w:smallCaps/>
          <w:spacing w:val="-3"/>
          <w:sz w:val="24"/>
          <w:szCs w:val="24"/>
        </w:rPr>
        <w:t>T</w:t>
      </w:r>
      <w:r w:rsidRPr="00B215AC">
        <w:rPr>
          <w:rFonts w:ascii="Times New Roman" w:hAnsi="Times New Roman"/>
          <w:smallCaps/>
          <w:spacing w:val="-3"/>
          <w:sz w:val="24"/>
          <w:szCs w:val="24"/>
        </w:rPr>
        <w:t>eixeira</w:t>
      </w:r>
      <w:r w:rsidR="00017D98" w:rsidRPr="00B215AC">
        <w:rPr>
          <w:rFonts w:ascii="Times New Roman" w:hAnsi="Times New Roman"/>
          <w:smallCaps/>
          <w:spacing w:val="-3"/>
          <w:sz w:val="24"/>
          <w:szCs w:val="24"/>
        </w:rPr>
        <w:t xml:space="preserve"> </w:t>
      </w:r>
      <w:r w:rsidR="00D37063" w:rsidRPr="00B215AC">
        <w:rPr>
          <w:rFonts w:ascii="Times New Roman" w:hAnsi="Times New Roman"/>
          <w:smallCaps/>
          <w:spacing w:val="-3"/>
          <w:sz w:val="24"/>
          <w:szCs w:val="24"/>
        </w:rPr>
        <w:t>e S</w:t>
      </w:r>
      <w:r w:rsidR="00017D98" w:rsidRPr="00B215AC">
        <w:rPr>
          <w:rFonts w:ascii="Times New Roman" w:hAnsi="Times New Roman"/>
          <w:smallCaps/>
          <w:spacing w:val="-3"/>
          <w:sz w:val="24"/>
          <w:szCs w:val="24"/>
        </w:rPr>
        <w:t>ilva</w:t>
      </w:r>
      <w:r w:rsidRPr="00B215AC">
        <w:rPr>
          <w:rFonts w:ascii="Times New Roman" w:hAnsi="Times New Roman"/>
          <w:smallCaps/>
          <w:spacing w:val="-3"/>
          <w:sz w:val="24"/>
          <w:szCs w:val="24"/>
        </w:rPr>
        <w:t xml:space="preserve"> </w:t>
      </w:r>
      <w:r w:rsidR="00D37063" w:rsidRPr="00B215AC">
        <w:rPr>
          <w:rFonts w:ascii="Times New Roman" w:hAnsi="Times New Roman"/>
          <w:smallCaps/>
          <w:spacing w:val="-3"/>
          <w:sz w:val="24"/>
          <w:szCs w:val="24"/>
        </w:rPr>
        <w:t xml:space="preserve">– </w:t>
      </w:r>
      <w:r w:rsidRPr="00B215AC">
        <w:rPr>
          <w:rFonts w:ascii="Times New Roman" w:hAnsi="Times New Roman"/>
          <w:smallCaps/>
          <w:spacing w:val="-3"/>
          <w:sz w:val="24"/>
          <w:szCs w:val="24"/>
        </w:rPr>
        <w:t>Se</w:t>
      </w:r>
      <w:r w:rsidR="00D37063" w:rsidRPr="00B215AC">
        <w:rPr>
          <w:rFonts w:ascii="Times New Roman" w:hAnsi="Times New Roman"/>
          <w:smallCaps/>
          <w:spacing w:val="-3"/>
          <w:sz w:val="24"/>
          <w:szCs w:val="24"/>
        </w:rPr>
        <w:t>cretário</w:t>
      </w:r>
    </w:p>
    <w:p w14:paraId="42814F44" w14:textId="77777777" w:rsidR="002C5BC6" w:rsidRPr="00B215AC" w:rsidRDefault="002C5BC6" w:rsidP="002C5BC6">
      <w:pPr>
        <w:jc w:val="center"/>
        <w:rPr>
          <w:rFonts w:ascii="Times New Roman" w:hAnsi="Times New Roman"/>
          <w:smallCaps/>
          <w:w w:val="102"/>
          <w:sz w:val="32"/>
          <w:szCs w:val="32"/>
        </w:rPr>
      </w:pPr>
    </w:p>
    <w:p w14:paraId="75CACC3A" w14:textId="5504AF0E" w:rsidR="002C5BC6" w:rsidRPr="00B215AC" w:rsidRDefault="002C5BC6" w:rsidP="002C5BC6">
      <w:pPr>
        <w:jc w:val="center"/>
        <w:rPr>
          <w:rFonts w:ascii="Times New Roman" w:hAnsi="Times New Roman"/>
          <w:w w:val="102"/>
          <w:sz w:val="28"/>
          <w:szCs w:val="28"/>
        </w:rPr>
      </w:pPr>
      <w:r w:rsidRPr="00B215AC">
        <w:rPr>
          <w:rFonts w:ascii="Times New Roman" w:hAnsi="Times New Roman"/>
          <w:smallCaps/>
          <w:w w:val="102"/>
          <w:sz w:val="28"/>
          <w:szCs w:val="28"/>
        </w:rPr>
        <w:t xml:space="preserve">Gerência de </w:t>
      </w:r>
      <w:r w:rsidR="005845C3" w:rsidRPr="00B215AC">
        <w:rPr>
          <w:rFonts w:ascii="Times New Roman" w:hAnsi="Times New Roman"/>
          <w:smallCaps/>
          <w:w w:val="102"/>
          <w:sz w:val="28"/>
          <w:szCs w:val="28"/>
        </w:rPr>
        <w:t xml:space="preserve">Fiscalização de </w:t>
      </w:r>
      <w:r w:rsidRPr="00B215AC">
        <w:rPr>
          <w:rFonts w:ascii="Times New Roman" w:hAnsi="Times New Roman"/>
          <w:smallCaps/>
          <w:w w:val="102"/>
          <w:sz w:val="28"/>
          <w:szCs w:val="28"/>
        </w:rPr>
        <w:t>Contas</w:t>
      </w:r>
      <w:r w:rsidRPr="00B215AC">
        <w:rPr>
          <w:rFonts w:ascii="Times New Roman" w:hAnsi="Times New Roman"/>
          <w:smallCaps/>
          <w:w w:val="102"/>
          <w:sz w:val="26"/>
          <w:szCs w:val="26"/>
        </w:rPr>
        <w:br/>
      </w:r>
      <w:r w:rsidR="001D24FC" w:rsidRPr="00B215AC">
        <w:rPr>
          <w:rFonts w:ascii="Times New Roman" w:hAnsi="Times New Roman"/>
          <w:smallCaps/>
          <w:w w:val="102"/>
          <w:sz w:val="24"/>
          <w:szCs w:val="24"/>
        </w:rPr>
        <w:t xml:space="preserve">André Pinheiro de Magalhães </w:t>
      </w:r>
      <w:r w:rsidRPr="00B215AC">
        <w:rPr>
          <w:rFonts w:ascii="Times New Roman" w:hAnsi="Times New Roman"/>
          <w:smallCaps/>
          <w:spacing w:val="-3"/>
          <w:sz w:val="24"/>
          <w:szCs w:val="24"/>
        </w:rPr>
        <w:t xml:space="preserve">– Gerente </w:t>
      </w:r>
    </w:p>
    <w:p w14:paraId="0009B5D3" w14:textId="77777777" w:rsidR="002C5BC6" w:rsidRPr="00B215AC" w:rsidRDefault="002C5BC6" w:rsidP="002C5BC6">
      <w:pPr>
        <w:jc w:val="center"/>
        <w:rPr>
          <w:rFonts w:ascii="Times New Roman" w:hAnsi="Times New Roman"/>
          <w:w w:val="103"/>
          <w:sz w:val="26"/>
          <w:szCs w:val="26"/>
        </w:rPr>
      </w:pPr>
    </w:p>
    <w:p w14:paraId="0F9110BC" w14:textId="39F4E6E1" w:rsidR="002C5BC6" w:rsidRPr="00B215AC" w:rsidRDefault="002C5BC6" w:rsidP="002C5BC6">
      <w:pPr>
        <w:jc w:val="center"/>
        <w:rPr>
          <w:rFonts w:ascii="Times New Roman" w:hAnsi="Times New Roman"/>
          <w:smallCaps/>
          <w:w w:val="102"/>
          <w:sz w:val="28"/>
          <w:szCs w:val="28"/>
        </w:rPr>
      </w:pPr>
      <w:r w:rsidRPr="00B215AC">
        <w:rPr>
          <w:rFonts w:ascii="Times New Roman" w:hAnsi="Times New Roman"/>
          <w:smallCaps/>
          <w:w w:val="102"/>
          <w:sz w:val="28"/>
          <w:szCs w:val="28"/>
        </w:rPr>
        <w:t>Serviço de</w:t>
      </w:r>
      <w:r w:rsidR="00017D98" w:rsidRPr="00B215AC">
        <w:rPr>
          <w:rFonts w:ascii="Times New Roman" w:hAnsi="Times New Roman"/>
          <w:smallCaps/>
          <w:w w:val="102"/>
          <w:sz w:val="28"/>
          <w:szCs w:val="28"/>
        </w:rPr>
        <w:t xml:space="preserve"> </w:t>
      </w:r>
      <w:r w:rsidR="00FB5099" w:rsidRPr="00B215AC">
        <w:rPr>
          <w:rFonts w:ascii="Times New Roman" w:hAnsi="Times New Roman"/>
          <w:smallCaps/>
          <w:w w:val="102"/>
          <w:sz w:val="28"/>
          <w:szCs w:val="28"/>
        </w:rPr>
        <w:t>F</w:t>
      </w:r>
      <w:r w:rsidR="00017D98" w:rsidRPr="00B215AC">
        <w:rPr>
          <w:rFonts w:ascii="Times New Roman" w:hAnsi="Times New Roman"/>
          <w:smallCaps/>
          <w:w w:val="102"/>
          <w:sz w:val="28"/>
          <w:szCs w:val="28"/>
        </w:rPr>
        <w:t xml:space="preserve">iscalização de </w:t>
      </w:r>
      <w:r w:rsidR="00FB5099" w:rsidRPr="00B215AC">
        <w:rPr>
          <w:rFonts w:ascii="Times New Roman" w:hAnsi="Times New Roman"/>
          <w:smallCaps/>
          <w:w w:val="102"/>
          <w:sz w:val="28"/>
          <w:szCs w:val="28"/>
        </w:rPr>
        <w:t>C</w:t>
      </w:r>
      <w:r w:rsidRPr="00B215AC">
        <w:rPr>
          <w:rFonts w:ascii="Times New Roman" w:hAnsi="Times New Roman"/>
          <w:smallCaps/>
          <w:w w:val="102"/>
          <w:sz w:val="28"/>
          <w:szCs w:val="28"/>
        </w:rPr>
        <w:t>ontas d</w:t>
      </w:r>
      <w:r w:rsidR="00017D98" w:rsidRPr="00B215AC">
        <w:rPr>
          <w:rFonts w:ascii="Times New Roman" w:hAnsi="Times New Roman"/>
          <w:smallCaps/>
          <w:w w:val="102"/>
          <w:sz w:val="28"/>
          <w:szCs w:val="28"/>
        </w:rPr>
        <w:t>e</w:t>
      </w:r>
      <w:r w:rsidRPr="00B215AC">
        <w:rPr>
          <w:rFonts w:ascii="Times New Roman" w:hAnsi="Times New Roman"/>
          <w:smallCaps/>
          <w:w w:val="102"/>
          <w:sz w:val="28"/>
          <w:szCs w:val="28"/>
        </w:rPr>
        <w:t xml:space="preserve"> </w:t>
      </w:r>
      <w:r w:rsidR="00FB5099" w:rsidRPr="00B215AC">
        <w:rPr>
          <w:rFonts w:ascii="Times New Roman" w:hAnsi="Times New Roman"/>
          <w:smallCaps/>
          <w:w w:val="102"/>
          <w:sz w:val="28"/>
          <w:szCs w:val="28"/>
        </w:rPr>
        <w:t>G</w:t>
      </w:r>
      <w:r w:rsidRPr="00B215AC">
        <w:rPr>
          <w:rFonts w:ascii="Times New Roman" w:hAnsi="Times New Roman"/>
          <w:smallCaps/>
          <w:w w:val="102"/>
          <w:sz w:val="28"/>
          <w:szCs w:val="28"/>
        </w:rPr>
        <w:t>overno</w:t>
      </w:r>
    </w:p>
    <w:p w14:paraId="4B3BAECD" w14:textId="54BC77B6" w:rsidR="002C5BC6" w:rsidRPr="00B215AC" w:rsidRDefault="001D24FC" w:rsidP="00926C32">
      <w:pPr>
        <w:jc w:val="center"/>
        <w:rPr>
          <w:rFonts w:ascii="Times New Roman" w:hAnsi="Times New Roman"/>
          <w:smallCaps/>
          <w:w w:val="102"/>
          <w:sz w:val="24"/>
          <w:szCs w:val="24"/>
        </w:rPr>
      </w:pPr>
      <w:r w:rsidRPr="00156828">
        <w:rPr>
          <w:rFonts w:ascii="Times New Roman" w:hAnsi="Times New Roman"/>
          <w:smallCaps/>
          <w:spacing w:val="-3"/>
          <w:sz w:val="24"/>
          <w:szCs w:val="24"/>
        </w:rPr>
        <w:t xml:space="preserve">Carolina Oliveira </w:t>
      </w:r>
      <w:r>
        <w:rPr>
          <w:rFonts w:ascii="Times New Roman" w:hAnsi="Times New Roman"/>
          <w:smallCaps/>
          <w:spacing w:val="-3"/>
          <w:sz w:val="24"/>
          <w:szCs w:val="24"/>
        </w:rPr>
        <w:t>d</w:t>
      </w:r>
      <w:r w:rsidRPr="00156828">
        <w:rPr>
          <w:rFonts w:ascii="Times New Roman" w:hAnsi="Times New Roman"/>
          <w:smallCaps/>
          <w:spacing w:val="-3"/>
          <w:sz w:val="24"/>
          <w:szCs w:val="24"/>
        </w:rPr>
        <w:t>a Silva</w:t>
      </w:r>
      <w:r w:rsidRPr="00B215AC">
        <w:rPr>
          <w:rFonts w:ascii="Times New Roman" w:hAnsi="Times New Roman"/>
          <w:smallCaps/>
          <w:w w:val="102"/>
          <w:sz w:val="24"/>
          <w:szCs w:val="24"/>
        </w:rPr>
        <w:t xml:space="preserve"> </w:t>
      </w:r>
      <w:r>
        <w:rPr>
          <w:rFonts w:ascii="Times New Roman" w:hAnsi="Times New Roman"/>
          <w:smallCaps/>
          <w:w w:val="102"/>
          <w:sz w:val="24"/>
          <w:szCs w:val="24"/>
        </w:rPr>
        <w:t xml:space="preserve"> </w:t>
      </w:r>
      <w:r w:rsidR="002C5BC6" w:rsidRPr="00B215AC">
        <w:rPr>
          <w:rFonts w:ascii="Times New Roman" w:hAnsi="Times New Roman"/>
          <w:smallCaps/>
          <w:w w:val="102"/>
          <w:sz w:val="24"/>
          <w:szCs w:val="24"/>
        </w:rPr>
        <w:t xml:space="preserve">– Chefe </w:t>
      </w:r>
    </w:p>
    <w:bookmarkEnd w:id="2"/>
    <w:p w14:paraId="4BADBFF0" w14:textId="77777777" w:rsidR="002C5BC6" w:rsidRPr="00B215AC" w:rsidRDefault="002C5BC6" w:rsidP="002C5BC6">
      <w:pPr>
        <w:spacing w:line="360" w:lineRule="auto"/>
        <w:jc w:val="center"/>
        <w:rPr>
          <w:rFonts w:ascii="Georgia" w:hAnsi="Georgia"/>
          <w:smallCaps/>
          <w:spacing w:val="-3"/>
          <w:sz w:val="28"/>
          <w:szCs w:val="28"/>
        </w:rPr>
      </w:pPr>
    </w:p>
    <w:p w14:paraId="63A93D2A" w14:textId="77777777" w:rsidR="002C5BC6" w:rsidRPr="00B215AC" w:rsidRDefault="002C5BC6" w:rsidP="002C5BC6">
      <w:pPr>
        <w:jc w:val="center"/>
        <w:rPr>
          <w:rFonts w:ascii="Times New Roman" w:hAnsi="Times New Roman"/>
          <w:spacing w:val="-3"/>
          <w:sz w:val="24"/>
          <w:szCs w:val="24"/>
        </w:rPr>
      </w:pPr>
    </w:p>
    <w:p w14:paraId="6E9C726F" w14:textId="2CA39A02" w:rsidR="002C5BC6" w:rsidRDefault="002C5BC6" w:rsidP="002C5BC6">
      <w:pPr>
        <w:jc w:val="center"/>
        <w:rPr>
          <w:rFonts w:ascii="Times New Roman" w:hAnsi="Times New Roman"/>
          <w:spacing w:val="-3"/>
          <w:sz w:val="24"/>
          <w:szCs w:val="24"/>
        </w:rPr>
      </w:pPr>
    </w:p>
    <w:p w14:paraId="2FB092BD" w14:textId="23FA3C32" w:rsidR="001D24FC" w:rsidRDefault="001D24FC" w:rsidP="002C5BC6">
      <w:pPr>
        <w:jc w:val="center"/>
        <w:rPr>
          <w:rFonts w:ascii="Times New Roman" w:hAnsi="Times New Roman"/>
          <w:spacing w:val="-3"/>
          <w:sz w:val="24"/>
          <w:szCs w:val="24"/>
        </w:rPr>
      </w:pPr>
    </w:p>
    <w:p w14:paraId="51E41458" w14:textId="77777777" w:rsidR="001D24FC" w:rsidRDefault="001D24FC" w:rsidP="002C5BC6">
      <w:pPr>
        <w:jc w:val="center"/>
        <w:rPr>
          <w:rFonts w:ascii="Times New Roman" w:hAnsi="Times New Roman"/>
          <w:spacing w:val="-3"/>
          <w:sz w:val="24"/>
          <w:szCs w:val="24"/>
        </w:rPr>
      </w:pPr>
    </w:p>
    <w:p w14:paraId="5C20E742" w14:textId="77777777" w:rsidR="001D24FC" w:rsidRPr="00B215AC" w:rsidRDefault="001D24FC" w:rsidP="002C5BC6">
      <w:pPr>
        <w:jc w:val="center"/>
        <w:rPr>
          <w:rFonts w:ascii="Times New Roman" w:hAnsi="Times New Roman"/>
          <w:spacing w:val="-3"/>
          <w:sz w:val="24"/>
          <w:szCs w:val="24"/>
        </w:rPr>
      </w:pPr>
    </w:p>
    <w:p w14:paraId="02DF0809" w14:textId="77777777" w:rsidR="002C5BC6" w:rsidRPr="00B215AC" w:rsidRDefault="002C5BC6" w:rsidP="002C5BC6">
      <w:pPr>
        <w:jc w:val="center"/>
        <w:rPr>
          <w:rFonts w:ascii="Times New Roman" w:hAnsi="Times New Roman"/>
          <w:spacing w:val="-3"/>
          <w:sz w:val="24"/>
          <w:szCs w:val="24"/>
        </w:rPr>
      </w:pPr>
    </w:p>
    <w:p w14:paraId="4143F08D" w14:textId="77777777" w:rsidR="002C5BC6" w:rsidRPr="00B215AC" w:rsidRDefault="002C5BC6" w:rsidP="002C5BC6">
      <w:pPr>
        <w:spacing w:line="360" w:lineRule="auto"/>
        <w:jc w:val="center"/>
        <w:rPr>
          <w:rFonts w:ascii="Georgia" w:hAnsi="Georgia"/>
          <w:smallCaps/>
          <w:spacing w:val="-3"/>
          <w:sz w:val="28"/>
          <w:szCs w:val="28"/>
        </w:rPr>
      </w:pPr>
      <w:r w:rsidRPr="00B215AC">
        <w:rPr>
          <w:rFonts w:ascii="Georgia" w:hAnsi="Georgia"/>
          <w:smallCaps/>
          <w:spacing w:val="-3"/>
          <w:sz w:val="28"/>
          <w:szCs w:val="28"/>
        </w:rPr>
        <w:t>Equipe</w:t>
      </w:r>
    </w:p>
    <w:p w14:paraId="66701C4D" w14:textId="77777777" w:rsidR="002C5BC6" w:rsidRPr="00B215AC" w:rsidRDefault="002C5BC6" w:rsidP="002C5BC6">
      <w:pPr>
        <w:jc w:val="center"/>
        <w:rPr>
          <w:rFonts w:ascii="Georgia" w:hAnsi="Georgia"/>
          <w:smallCaps/>
          <w:sz w:val="28"/>
          <w:szCs w:val="28"/>
        </w:rPr>
      </w:pPr>
    </w:p>
    <w:p w14:paraId="60A0504C" w14:textId="77777777" w:rsidR="002C5BC6" w:rsidRPr="00B215AC" w:rsidRDefault="002C5BC6" w:rsidP="002C5BC6">
      <w:pPr>
        <w:jc w:val="center"/>
        <w:rPr>
          <w:rFonts w:ascii="Times New Roman" w:hAnsi="Times New Roman"/>
          <w:spacing w:val="-3"/>
          <w:sz w:val="24"/>
          <w:szCs w:val="24"/>
        </w:rPr>
      </w:pPr>
    </w:p>
    <w:tbl>
      <w:tblPr>
        <w:tblW w:w="4100" w:type="dxa"/>
        <w:jc w:val="center"/>
        <w:tblCellMar>
          <w:left w:w="70" w:type="dxa"/>
          <w:right w:w="70" w:type="dxa"/>
        </w:tblCellMar>
        <w:tblLook w:val="04A0" w:firstRow="1" w:lastRow="0" w:firstColumn="1" w:lastColumn="0" w:noHBand="0" w:noVBand="1"/>
      </w:tblPr>
      <w:tblGrid>
        <w:gridCol w:w="4100"/>
      </w:tblGrid>
      <w:tr w:rsidR="001D24FC" w:rsidRPr="00B215AC" w14:paraId="50DD1C49" w14:textId="77777777" w:rsidTr="00E017FB">
        <w:trPr>
          <w:trHeight w:val="340"/>
          <w:jc w:val="center"/>
        </w:trPr>
        <w:tc>
          <w:tcPr>
            <w:tcW w:w="4100" w:type="dxa"/>
            <w:noWrap/>
            <w:vAlign w:val="center"/>
          </w:tcPr>
          <w:p w14:paraId="47ACF26D" w14:textId="393541C3" w:rsidR="001D24FC" w:rsidRPr="00CF0630" w:rsidRDefault="001D24FC" w:rsidP="00E017FB">
            <w:pPr>
              <w:jc w:val="center"/>
              <w:rPr>
                <w:rFonts w:ascii="Times New Roman" w:hAnsi="Times New Roman"/>
                <w:smallCaps/>
                <w:spacing w:val="-3"/>
                <w:sz w:val="24"/>
                <w:szCs w:val="24"/>
              </w:rPr>
            </w:pPr>
            <w:r w:rsidRPr="00CF0630">
              <w:rPr>
                <w:rFonts w:ascii="Times New Roman" w:hAnsi="Times New Roman"/>
                <w:smallCaps/>
                <w:spacing w:val="-3"/>
                <w:sz w:val="24"/>
                <w:szCs w:val="24"/>
              </w:rPr>
              <w:t xml:space="preserve">Carlos Antônio </w:t>
            </w:r>
            <w:r>
              <w:rPr>
                <w:rFonts w:ascii="Times New Roman" w:hAnsi="Times New Roman"/>
                <w:smallCaps/>
                <w:spacing w:val="-3"/>
                <w:sz w:val="24"/>
                <w:szCs w:val="24"/>
              </w:rPr>
              <w:t>d</w:t>
            </w:r>
            <w:r w:rsidRPr="00CF0630">
              <w:rPr>
                <w:rFonts w:ascii="Times New Roman" w:hAnsi="Times New Roman"/>
                <w:smallCaps/>
                <w:spacing w:val="-3"/>
                <w:sz w:val="24"/>
                <w:szCs w:val="24"/>
              </w:rPr>
              <w:t>e Freitas J</w:t>
            </w:r>
            <w:r>
              <w:rPr>
                <w:rFonts w:ascii="Times New Roman" w:hAnsi="Times New Roman"/>
                <w:smallCaps/>
                <w:spacing w:val="-3"/>
                <w:sz w:val="24"/>
                <w:szCs w:val="24"/>
              </w:rPr>
              <w:t>ú</w:t>
            </w:r>
            <w:r w:rsidRPr="00CF0630">
              <w:rPr>
                <w:rFonts w:ascii="Times New Roman" w:hAnsi="Times New Roman"/>
                <w:smallCaps/>
                <w:spacing w:val="-3"/>
                <w:sz w:val="24"/>
                <w:szCs w:val="24"/>
              </w:rPr>
              <w:t>nior</w:t>
            </w:r>
          </w:p>
        </w:tc>
      </w:tr>
      <w:tr w:rsidR="001D24FC" w:rsidRPr="00B215AC" w14:paraId="7BF21B27" w14:textId="77777777" w:rsidTr="00E017FB">
        <w:trPr>
          <w:trHeight w:val="340"/>
          <w:jc w:val="center"/>
        </w:trPr>
        <w:tc>
          <w:tcPr>
            <w:tcW w:w="4100" w:type="dxa"/>
            <w:noWrap/>
            <w:vAlign w:val="center"/>
            <w:hideMark/>
          </w:tcPr>
          <w:p w14:paraId="5B02227E" w14:textId="77777777" w:rsidR="001D24FC" w:rsidRPr="00CF0630" w:rsidRDefault="001D24FC" w:rsidP="00E017FB">
            <w:pPr>
              <w:jc w:val="center"/>
              <w:rPr>
                <w:rFonts w:ascii="Times New Roman" w:hAnsi="Times New Roman"/>
                <w:smallCaps/>
                <w:spacing w:val="-3"/>
                <w:sz w:val="24"/>
                <w:szCs w:val="24"/>
              </w:rPr>
            </w:pPr>
            <w:r w:rsidRPr="00CF0630">
              <w:rPr>
                <w:rFonts w:ascii="Times New Roman" w:hAnsi="Times New Roman"/>
                <w:smallCaps/>
                <w:spacing w:val="-3"/>
                <w:sz w:val="24"/>
                <w:szCs w:val="24"/>
              </w:rPr>
              <w:t>Denize Faleiro Valtuille</w:t>
            </w:r>
          </w:p>
        </w:tc>
      </w:tr>
      <w:tr w:rsidR="001D24FC" w:rsidRPr="00B215AC" w14:paraId="725A0A0D" w14:textId="77777777" w:rsidTr="00E017FB">
        <w:trPr>
          <w:trHeight w:val="340"/>
          <w:jc w:val="center"/>
        </w:trPr>
        <w:tc>
          <w:tcPr>
            <w:tcW w:w="4100" w:type="dxa"/>
            <w:noWrap/>
            <w:vAlign w:val="center"/>
            <w:hideMark/>
          </w:tcPr>
          <w:p w14:paraId="1208B024" w14:textId="77777777" w:rsidR="001D24FC" w:rsidRPr="00CF0630" w:rsidRDefault="001D24FC" w:rsidP="00E017FB">
            <w:pPr>
              <w:jc w:val="center"/>
              <w:rPr>
                <w:rFonts w:ascii="Times New Roman" w:hAnsi="Times New Roman"/>
                <w:smallCaps/>
                <w:spacing w:val="-3"/>
                <w:sz w:val="24"/>
                <w:szCs w:val="24"/>
              </w:rPr>
            </w:pPr>
            <w:r w:rsidRPr="00156828">
              <w:rPr>
                <w:rFonts w:ascii="Times New Roman" w:hAnsi="Times New Roman"/>
                <w:smallCaps/>
                <w:spacing w:val="-3"/>
                <w:sz w:val="24"/>
                <w:szCs w:val="24"/>
              </w:rPr>
              <w:t>Juarez Batista Rodrigues</w:t>
            </w:r>
          </w:p>
        </w:tc>
      </w:tr>
      <w:tr w:rsidR="001D24FC" w:rsidRPr="00B215AC" w14:paraId="5C486054" w14:textId="77777777" w:rsidTr="00E017FB">
        <w:trPr>
          <w:trHeight w:val="340"/>
          <w:jc w:val="center"/>
        </w:trPr>
        <w:tc>
          <w:tcPr>
            <w:tcW w:w="4100" w:type="dxa"/>
            <w:noWrap/>
            <w:vAlign w:val="center"/>
          </w:tcPr>
          <w:p w14:paraId="03407EAD" w14:textId="77777777" w:rsidR="001D24FC" w:rsidRPr="00CF0630" w:rsidRDefault="001D24FC" w:rsidP="00E017FB">
            <w:pPr>
              <w:jc w:val="center"/>
              <w:rPr>
                <w:rFonts w:ascii="Times New Roman" w:hAnsi="Times New Roman"/>
                <w:smallCaps/>
                <w:spacing w:val="-3"/>
                <w:sz w:val="24"/>
                <w:szCs w:val="24"/>
              </w:rPr>
            </w:pPr>
            <w:r>
              <w:rPr>
                <w:rFonts w:ascii="Times New Roman" w:hAnsi="Times New Roman"/>
                <w:smallCaps/>
                <w:spacing w:val="-3"/>
                <w:sz w:val="24"/>
                <w:szCs w:val="24"/>
              </w:rPr>
              <w:t>P</w:t>
            </w:r>
            <w:r w:rsidRPr="00CF0630">
              <w:rPr>
                <w:rFonts w:ascii="Times New Roman" w:hAnsi="Times New Roman"/>
                <w:smallCaps/>
                <w:spacing w:val="-3"/>
                <w:sz w:val="24"/>
                <w:szCs w:val="24"/>
              </w:rPr>
              <w:t>ollyanna Fideles Costa Cust</w:t>
            </w:r>
            <w:r>
              <w:rPr>
                <w:rFonts w:ascii="Times New Roman" w:hAnsi="Times New Roman"/>
                <w:smallCaps/>
                <w:spacing w:val="-3"/>
                <w:sz w:val="24"/>
                <w:szCs w:val="24"/>
              </w:rPr>
              <w:t>ó</w:t>
            </w:r>
            <w:r w:rsidRPr="00CF0630">
              <w:rPr>
                <w:rFonts w:ascii="Times New Roman" w:hAnsi="Times New Roman"/>
                <w:smallCaps/>
                <w:spacing w:val="-3"/>
                <w:sz w:val="24"/>
                <w:szCs w:val="24"/>
              </w:rPr>
              <w:t>dio</w:t>
            </w:r>
          </w:p>
        </w:tc>
      </w:tr>
      <w:tr w:rsidR="001D24FC" w:rsidRPr="00B215AC" w14:paraId="3F242ACB" w14:textId="77777777" w:rsidTr="00E017FB">
        <w:trPr>
          <w:trHeight w:val="340"/>
          <w:jc w:val="center"/>
        </w:trPr>
        <w:tc>
          <w:tcPr>
            <w:tcW w:w="4100" w:type="dxa"/>
            <w:noWrap/>
            <w:vAlign w:val="center"/>
            <w:hideMark/>
          </w:tcPr>
          <w:p w14:paraId="5FA45A2C" w14:textId="77777777" w:rsidR="001D24FC" w:rsidRPr="00CF0630" w:rsidRDefault="001D24FC" w:rsidP="00E017FB">
            <w:pPr>
              <w:jc w:val="center"/>
              <w:rPr>
                <w:rFonts w:ascii="Times New Roman" w:hAnsi="Times New Roman"/>
                <w:smallCaps/>
                <w:spacing w:val="-3"/>
                <w:sz w:val="24"/>
                <w:szCs w:val="24"/>
              </w:rPr>
            </w:pPr>
            <w:r w:rsidRPr="00CF0630">
              <w:rPr>
                <w:rFonts w:ascii="Times New Roman" w:hAnsi="Times New Roman"/>
                <w:smallCaps/>
                <w:spacing w:val="-3"/>
                <w:sz w:val="24"/>
                <w:szCs w:val="24"/>
              </w:rPr>
              <w:t>Stanley Gonçalves Torres</w:t>
            </w:r>
          </w:p>
        </w:tc>
      </w:tr>
    </w:tbl>
    <w:p w14:paraId="01354EA7" w14:textId="77777777" w:rsidR="002C5BC6" w:rsidRPr="00B215AC" w:rsidRDefault="002C5BC6" w:rsidP="002C5BC6">
      <w:pPr>
        <w:jc w:val="center"/>
        <w:rPr>
          <w:rFonts w:ascii="Times New Roman" w:hAnsi="Times New Roman"/>
          <w:spacing w:val="-3"/>
          <w:sz w:val="24"/>
          <w:szCs w:val="24"/>
        </w:rPr>
      </w:pPr>
    </w:p>
    <w:p w14:paraId="73165D02" w14:textId="5D78BDCB" w:rsidR="00982920" w:rsidRPr="00B215AC" w:rsidRDefault="00982920" w:rsidP="002C5BC6">
      <w:pPr>
        <w:jc w:val="center"/>
        <w:rPr>
          <w:rFonts w:ascii="Times New Roman" w:hAnsi="Times New Roman"/>
          <w:spacing w:val="-3"/>
          <w:sz w:val="24"/>
          <w:szCs w:val="24"/>
        </w:rPr>
      </w:pPr>
    </w:p>
    <w:p w14:paraId="7C160BF4" w14:textId="1A250528" w:rsidR="00982920" w:rsidRPr="00B215AC" w:rsidRDefault="00982920" w:rsidP="002C5BC6">
      <w:pPr>
        <w:jc w:val="center"/>
        <w:rPr>
          <w:rFonts w:ascii="Times New Roman" w:hAnsi="Times New Roman"/>
          <w:spacing w:val="-3"/>
          <w:sz w:val="24"/>
          <w:szCs w:val="24"/>
        </w:rPr>
      </w:pPr>
    </w:p>
    <w:p w14:paraId="19438449" w14:textId="77777777" w:rsidR="00982920" w:rsidRPr="00B215AC" w:rsidRDefault="00982920" w:rsidP="002C5BC6">
      <w:pPr>
        <w:jc w:val="center"/>
        <w:rPr>
          <w:rFonts w:ascii="Times New Roman" w:hAnsi="Times New Roman"/>
          <w:spacing w:val="-3"/>
          <w:sz w:val="24"/>
          <w:szCs w:val="24"/>
        </w:rPr>
      </w:pPr>
    </w:p>
    <w:p w14:paraId="2A3A5A1F" w14:textId="77777777" w:rsidR="002C5BC6" w:rsidRPr="00B215AC" w:rsidRDefault="002C5BC6" w:rsidP="002C5BC6">
      <w:pPr>
        <w:jc w:val="center"/>
        <w:rPr>
          <w:rFonts w:ascii="Times New Roman" w:hAnsi="Times New Roman"/>
          <w:spacing w:val="-3"/>
          <w:sz w:val="24"/>
          <w:szCs w:val="24"/>
        </w:rPr>
      </w:pPr>
    </w:p>
    <w:p w14:paraId="1BA00D96" w14:textId="77777777" w:rsidR="002C5BC6" w:rsidRPr="00B215AC" w:rsidRDefault="002C5BC6" w:rsidP="002C5BC6">
      <w:pPr>
        <w:jc w:val="center"/>
        <w:rPr>
          <w:rFonts w:ascii="Times New Roman" w:hAnsi="Times New Roman"/>
          <w:spacing w:val="-3"/>
          <w:sz w:val="24"/>
          <w:szCs w:val="24"/>
        </w:rPr>
      </w:pPr>
    </w:p>
    <w:p w14:paraId="6636016A" w14:textId="765F6EF1" w:rsidR="002C5BC6" w:rsidRDefault="002C5BC6" w:rsidP="002C5BC6">
      <w:pPr>
        <w:jc w:val="center"/>
        <w:rPr>
          <w:rFonts w:ascii="Times New Roman" w:hAnsi="Times New Roman"/>
          <w:spacing w:val="-3"/>
          <w:sz w:val="24"/>
          <w:szCs w:val="24"/>
        </w:rPr>
      </w:pPr>
    </w:p>
    <w:p w14:paraId="46300358" w14:textId="05E03029" w:rsidR="001D24FC" w:rsidRDefault="001D24FC" w:rsidP="002C5BC6">
      <w:pPr>
        <w:jc w:val="center"/>
        <w:rPr>
          <w:rFonts w:ascii="Times New Roman" w:hAnsi="Times New Roman"/>
          <w:spacing w:val="-3"/>
          <w:sz w:val="24"/>
          <w:szCs w:val="24"/>
        </w:rPr>
      </w:pPr>
    </w:p>
    <w:p w14:paraId="04A43F9C" w14:textId="3423EA7B" w:rsidR="001D24FC" w:rsidRDefault="001D24FC" w:rsidP="002C5BC6">
      <w:pPr>
        <w:jc w:val="center"/>
        <w:rPr>
          <w:rFonts w:ascii="Times New Roman" w:hAnsi="Times New Roman"/>
          <w:spacing w:val="-3"/>
          <w:sz w:val="24"/>
          <w:szCs w:val="24"/>
        </w:rPr>
      </w:pPr>
    </w:p>
    <w:p w14:paraId="60E74FEA" w14:textId="77777777" w:rsidR="00F613D5" w:rsidRDefault="00F613D5" w:rsidP="002C5BC6">
      <w:pPr>
        <w:jc w:val="center"/>
        <w:rPr>
          <w:rFonts w:ascii="Times New Roman" w:hAnsi="Times New Roman"/>
          <w:spacing w:val="-3"/>
          <w:sz w:val="24"/>
          <w:szCs w:val="24"/>
        </w:rPr>
      </w:pPr>
    </w:p>
    <w:p w14:paraId="07A2C682" w14:textId="001D2A91" w:rsidR="001D24FC" w:rsidRDefault="001D24FC" w:rsidP="002C5BC6">
      <w:pPr>
        <w:jc w:val="center"/>
        <w:rPr>
          <w:rFonts w:ascii="Times New Roman" w:hAnsi="Times New Roman"/>
          <w:spacing w:val="-3"/>
          <w:sz w:val="24"/>
          <w:szCs w:val="24"/>
        </w:rPr>
      </w:pPr>
    </w:p>
    <w:p w14:paraId="79F6ABE1" w14:textId="072CC137" w:rsidR="001D24FC" w:rsidRDefault="001D24FC" w:rsidP="002C5BC6">
      <w:pPr>
        <w:jc w:val="center"/>
        <w:rPr>
          <w:rFonts w:ascii="Times New Roman" w:hAnsi="Times New Roman"/>
          <w:spacing w:val="-3"/>
          <w:sz w:val="24"/>
          <w:szCs w:val="24"/>
        </w:rPr>
      </w:pPr>
    </w:p>
    <w:p w14:paraId="5AFD2130" w14:textId="3BEF0FD8" w:rsidR="001D24FC" w:rsidRDefault="001D24FC" w:rsidP="002C5BC6">
      <w:pPr>
        <w:jc w:val="center"/>
        <w:rPr>
          <w:rFonts w:ascii="Times New Roman" w:hAnsi="Times New Roman"/>
          <w:spacing w:val="-3"/>
          <w:sz w:val="24"/>
          <w:szCs w:val="24"/>
        </w:rPr>
      </w:pPr>
    </w:p>
    <w:p w14:paraId="5D3FB067" w14:textId="2E217E5A" w:rsidR="001D24FC" w:rsidRPr="001D24FC" w:rsidRDefault="001D24FC" w:rsidP="001D24FC">
      <w:pPr>
        <w:spacing w:line="360" w:lineRule="auto"/>
        <w:jc w:val="center"/>
        <w:rPr>
          <w:rFonts w:ascii="Georgia" w:hAnsi="Georgia"/>
          <w:smallCaps/>
          <w:spacing w:val="-3"/>
          <w:sz w:val="28"/>
          <w:szCs w:val="28"/>
        </w:rPr>
      </w:pPr>
      <w:r w:rsidRPr="001D24FC">
        <w:rPr>
          <w:rFonts w:ascii="Georgia" w:hAnsi="Georgia"/>
          <w:smallCaps/>
          <w:spacing w:val="-3"/>
          <w:sz w:val="28"/>
          <w:szCs w:val="28"/>
        </w:rPr>
        <w:t>Apoio</w:t>
      </w:r>
    </w:p>
    <w:p w14:paraId="33F08178" w14:textId="77777777" w:rsidR="001D24FC" w:rsidRPr="00B215AC" w:rsidRDefault="001D24FC" w:rsidP="002C5BC6">
      <w:pPr>
        <w:jc w:val="center"/>
        <w:rPr>
          <w:rFonts w:ascii="Times New Roman" w:hAnsi="Times New Roman"/>
          <w:spacing w:val="-3"/>
          <w:sz w:val="24"/>
          <w:szCs w:val="24"/>
        </w:rPr>
      </w:pPr>
    </w:p>
    <w:p w14:paraId="40E13C1D" w14:textId="77777777" w:rsidR="002C5BC6" w:rsidRPr="00B215AC" w:rsidRDefault="002C5BC6" w:rsidP="001D24FC">
      <w:pPr>
        <w:spacing w:line="360" w:lineRule="auto"/>
        <w:jc w:val="center"/>
        <w:rPr>
          <w:rFonts w:ascii="Times New Roman" w:hAnsi="Times New Roman"/>
          <w:spacing w:val="-3"/>
          <w:sz w:val="24"/>
          <w:szCs w:val="24"/>
        </w:rPr>
      </w:pPr>
    </w:p>
    <w:p w14:paraId="1EDAF13E" w14:textId="0DB55E74" w:rsidR="002C5BC6" w:rsidRPr="00B215AC" w:rsidRDefault="00F613D5" w:rsidP="002C5BC6">
      <w:pPr>
        <w:jc w:val="center"/>
        <w:rPr>
          <w:rFonts w:ascii="Times New Roman" w:hAnsi="Times New Roman"/>
          <w:smallCaps/>
          <w:spacing w:val="-3"/>
          <w:sz w:val="24"/>
          <w:szCs w:val="24"/>
        </w:rPr>
      </w:pPr>
      <w:r>
        <w:rPr>
          <w:rFonts w:ascii="Times New Roman" w:hAnsi="Times New Roman"/>
          <w:smallCaps/>
          <w:spacing w:val="-3"/>
          <w:sz w:val="28"/>
          <w:szCs w:val="28"/>
        </w:rPr>
        <w:t>Diretoria</w:t>
      </w:r>
      <w:r w:rsidR="00FB5099" w:rsidRPr="00B215AC">
        <w:rPr>
          <w:rFonts w:ascii="Times New Roman" w:hAnsi="Times New Roman"/>
          <w:smallCaps/>
          <w:spacing w:val="-3"/>
          <w:sz w:val="28"/>
          <w:szCs w:val="28"/>
        </w:rPr>
        <w:t xml:space="preserve"> de Tecnologia da Informação</w:t>
      </w:r>
      <w:r w:rsidR="00FB5099" w:rsidRPr="00B215AC">
        <w:rPr>
          <w:rFonts w:ascii="Times New Roman" w:hAnsi="Times New Roman"/>
          <w:smallCaps/>
          <w:spacing w:val="-3"/>
          <w:sz w:val="24"/>
          <w:szCs w:val="24"/>
        </w:rPr>
        <w:t xml:space="preserve"> </w:t>
      </w:r>
      <w:r w:rsidR="002C5BC6" w:rsidRPr="00B215AC">
        <w:rPr>
          <w:rFonts w:ascii="Times New Roman" w:hAnsi="Times New Roman"/>
          <w:smallCaps/>
          <w:spacing w:val="-3"/>
          <w:sz w:val="24"/>
          <w:szCs w:val="24"/>
        </w:rPr>
        <w:br/>
      </w:r>
    </w:p>
    <w:p w14:paraId="506598DC" w14:textId="77777777" w:rsidR="002C5BC6" w:rsidRPr="00B215AC" w:rsidRDefault="002C5BC6" w:rsidP="002C5BC6">
      <w:pPr>
        <w:jc w:val="center"/>
        <w:rPr>
          <w:rFonts w:ascii="Times New Roman" w:hAnsi="Times New Roman"/>
          <w:spacing w:val="-3"/>
          <w:sz w:val="24"/>
          <w:szCs w:val="24"/>
        </w:rPr>
      </w:pPr>
    </w:p>
    <w:p w14:paraId="64A618BF" w14:textId="77777777" w:rsidR="002C5BC6" w:rsidRPr="00B215AC" w:rsidRDefault="002C5BC6" w:rsidP="002C5BC6">
      <w:pPr>
        <w:rPr>
          <w:rFonts w:ascii="Times New Roman" w:hAnsi="Times New Roman"/>
          <w:spacing w:val="-3"/>
          <w:sz w:val="24"/>
          <w:szCs w:val="24"/>
        </w:rPr>
      </w:pPr>
    </w:p>
    <w:p w14:paraId="531035A5" w14:textId="77777777" w:rsidR="002C5BC6" w:rsidRPr="00B215AC" w:rsidRDefault="002C5BC6" w:rsidP="002C5BC6">
      <w:pPr>
        <w:rPr>
          <w:rFonts w:ascii="Times New Roman" w:hAnsi="Times New Roman"/>
          <w:spacing w:val="-3"/>
          <w:sz w:val="24"/>
          <w:szCs w:val="24"/>
        </w:rPr>
      </w:pPr>
    </w:p>
    <w:p w14:paraId="2FE6E81D" w14:textId="77777777" w:rsidR="002C5BC6" w:rsidRPr="00B215AC" w:rsidRDefault="002C5BC6" w:rsidP="002C5BC6">
      <w:pPr>
        <w:rPr>
          <w:rFonts w:ascii="Times New Roman" w:hAnsi="Times New Roman"/>
          <w:spacing w:val="-3"/>
          <w:sz w:val="24"/>
          <w:szCs w:val="24"/>
        </w:rPr>
      </w:pPr>
    </w:p>
    <w:p w14:paraId="48636CF6" w14:textId="77777777" w:rsidR="002C5BC6" w:rsidRPr="00B215AC" w:rsidRDefault="002C5BC6" w:rsidP="002C5BC6">
      <w:pPr>
        <w:rPr>
          <w:rFonts w:ascii="Times New Roman" w:hAnsi="Times New Roman"/>
          <w:spacing w:val="-3"/>
          <w:sz w:val="24"/>
          <w:szCs w:val="24"/>
        </w:rPr>
      </w:pPr>
    </w:p>
    <w:p w14:paraId="2957FDB3" w14:textId="0AAD2AF4" w:rsidR="002C5BC6" w:rsidRPr="00B215AC" w:rsidRDefault="002C5BC6" w:rsidP="002C5BC6">
      <w:pPr>
        <w:rPr>
          <w:rFonts w:ascii="Times New Roman" w:hAnsi="Times New Roman"/>
          <w:spacing w:val="-3"/>
          <w:sz w:val="24"/>
          <w:szCs w:val="24"/>
        </w:rPr>
      </w:pPr>
      <w:r w:rsidRPr="00B215AC">
        <w:rPr>
          <w:noProof/>
        </w:rPr>
        <mc:AlternateContent>
          <mc:Choice Requires="wps">
            <w:drawing>
              <wp:anchor distT="0" distB="0" distL="114300" distR="457200" simplePos="0" relativeHeight="251666432" behindDoc="0" locked="0" layoutInCell="0" allowOverlap="1" wp14:anchorId="0E89539E" wp14:editId="696960A3">
                <wp:simplePos x="0" y="0"/>
                <wp:positionH relativeFrom="margin">
                  <wp:posOffset>240665</wp:posOffset>
                </wp:positionH>
                <wp:positionV relativeFrom="topMargin">
                  <wp:posOffset>1478915</wp:posOffset>
                </wp:positionV>
                <wp:extent cx="2109470" cy="2348230"/>
                <wp:effectExtent l="6985" t="83820" r="83185" b="6985"/>
                <wp:wrapSquare wrapText="bothSides"/>
                <wp:docPr id="30" name="Colchete Duplo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109470" cy="2348230"/>
                        </a:xfrm>
                        <a:prstGeom prst="bracketPair">
                          <a:avLst>
                            <a:gd name="adj" fmla="val 10861"/>
                          </a:avLst>
                        </a:prstGeom>
                        <a:noFill/>
                        <a:ln w="12700">
                          <a:solidFill>
                            <a:srgbClr val="00B0F0"/>
                          </a:solidFill>
                          <a:round/>
                          <a:headEnd/>
                          <a:tailEnd/>
                        </a:ln>
                        <a:effectLst>
                          <a:prstShdw prst="shdw13" dist="53882" dir="18900000">
                            <a:srgbClr val="808080">
                              <a:alpha val="50000"/>
                            </a:srgbClr>
                          </a:prstShdw>
                        </a:effectLst>
                        <a:extLst>
                          <a:ext uri="{909E8E84-426E-40DD-AFC4-6F175D3DCCD1}">
                            <a14:hiddenFill xmlns:a14="http://schemas.microsoft.com/office/drawing/2010/main">
                              <a:solidFill>
                                <a:schemeClr val="accent1">
                                  <a:lumMod val="100000"/>
                                  <a:lumOff val="0"/>
                                </a:schemeClr>
                              </a:solidFill>
                            </a14:hiddenFill>
                          </a:ext>
                        </a:extLst>
                      </wps:spPr>
                      <wps:txbx>
                        <w:txbxContent>
                          <w:p w14:paraId="7B4FA766" w14:textId="77777777" w:rsidR="00BD5B06" w:rsidRDefault="00BD5B06" w:rsidP="002C5BC6">
                            <w:pPr>
                              <w:tabs>
                                <w:tab w:val="left" w:pos="2127"/>
                                <w:tab w:val="left" w:pos="2694"/>
                              </w:tabs>
                              <w:autoSpaceDE w:val="0"/>
                              <w:autoSpaceDN w:val="0"/>
                              <w:adjustRightInd w:val="0"/>
                              <w:ind w:left="80" w:right="149"/>
                              <w:jc w:val="center"/>
                              <w:rPr>
                                <w:rFonts w:ascii="Book Antiqua" w:hAnsi="Book Antiqua" w:cs="Swiss721BT-LightCondensed"/>
                                <w:smallCaps/>
                                <w:color w:val="4A442A" w:themeColor="background2" w:themeShade="40"/>
                                <w:sz w:val="28"/>
                                <w:szCs w:val="28"/>
                                <w14:shadow w14:blurRad="50800" w14:dist="38100" w14:dir="2700000" w14:sx="100000" w14:sy="100000" w14:kx="0" w14:ky="0" w14:algn="tl">
                                  <w14:srgbClr w14:val="000000">
                                    <w14:alpha w14:val="60000"/>
                                  </w14:srgbClr>
                                </w14:shadow>
                              </w:rPr>
                            </w:pPr>
                            <w:r>
                              <w:rPr>
                                <w:rFonts w:ascii="Book Antiqua" w:hAnsi="Book Antiqua" w:cs="Swiss721BT-LightCondensed"/>
                                <w:smallCaps/>
                                <w:color w:val="4A442A" w:themeColor="background2" w:themeShade="40"/>
                                <w:sz w:val="28"/>
                                <w:szCs w:val="28"/>
                                <w14:shadow w14:blurRad="50800" w14:dist="38100" w14:dir="2700000" w14:sx="100000" w14:sy="100000" w14:kx="0" w14:ky="0" w14:algn="tl">
                                  <w14:srgbClr w14:val="000000">
                                    <w14:alpha w14:val="60000"/>
                                  </w14:srgbClr>
                                </w14:shadow>
                              </w:rPr>
                              <w:t>Missão</w:t>
                            </w:r>
                          </w:p>
                          <w:p w14:paraId="39D5F4C8" w14:textId="77777777" w:rsidR="00BD5B06" w:rsidRDefault="00BD5B06" w:rsidP="002C5BC6">
                            <w:pPr>
                              <w:tabs>
                                <w:tab w:val="left" w:pos="2127"/>
                                <w:tab w:val="left" w:pos="2694"/>
                              </w:tabs>
                              <w:autoSpaceDE w:val="0"/>
                              <w:autoSpaceDN w:val="0"/>
                              <w:adjustRightInd w:val="0"/>
                              <w:ind w:left="80" w:right="149"/>
                              <w:jc w:val="center"/>
                              <w:rPr>
                                <w:rFonts w:ascii="Book Antiqua" w:hAnsi="Book Antiqua" w:cs="Swiss721BT-LightCondensed"/>
                                <w:smallCaps/>
                                <w:sz w:val="24"/>
                                <w:szCs w:val="24"/>
                              </w:rPr>
                            </w:pPr>
                          </w:p>
                          <w:p w14:paraId="601C78E4" w14:textId="77777777" w:rsidR="00BD5B06" w:rsidRDefault="00BD5B06" w:rsidP="002C5BC6">
                            <w:pPr>
                              <w:tabs>
                                <w:tab w:val="left" w:pos="2127"/>
                                <w:tab w:val="left" w:pos="2694"/>
                              </w:tabs>
                              <w:autoSpaceDE w:val="0"/>
                              <w:autoSpaceDN w:val="0"/>
                              <w:adjustRightInd w:val="0"/>
                              <w:ind w:right="149"/>
                              <w:jc w:val="center"/>
                              <w:rPr>
                                <w:rFonts w:ascii="Book Antiqua" w:hAnsi="Book Antiqua" w:cs="Swiss721BT-LightCondensed"/>
                                <w:sz w:val="24"/>
                                <w:szCs w:val="24"/>
                              </w:rPr>
                            </w:pPr>
                            <w:r>
                              <w:rPr>
                                <w:rFonts w:ascii="Book Antiqua" w:hAnsi="Book Antiqua" w:cs="Swiss721BT-LightCondensed"/>
                                <w:sz w:val="24"/>
                                <w:szCs w:val="24"/>
                              </w:rPr>
                              <w:t>Exercer o Controle Externo contribuindo para o aperfeiçoamento da gestão das políticas e dos recursos públicos, em prol da sociedade.</w:t>
                            </w:r>
                          </w:p>
                        </w:txbxContent>
                      </wps:txbx>
                      <wps:bodyPr rot="0" vert="horz" wrap="square" lIns="228600" tIns="228600" rIns="91440" bIns="228600" anchor="t" anchorCtr="0" upright="1">
                        <a:noAutofit/>
                      </wps:bodyPr>
                    </wps:wsp>
                  </a:graphicData>
                </a:graphic>
                <wp14:sizeRelH relativeFrom="page">
                  <wp14:pctWidth>0</wp14:pctWidth>
                </wp14:sizeRelH>
                <wp14:sizeRelV relativeFrom="margin">
                  <wp14:pctHeight>0</wp14:pctHeight>
                </wp14:sizeRelV>
              </wp:anchor>
            </w:drawing>
          </mc:Choice>
          <mc:Fallback>
            <w:pict>
              <v:shapetype w14:anchorId="0E89539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Colchete Duplo 30" o:spid="_x0000_s1026" type="#_x0000_t185" style="position:absolute;left:0;text-align:left;margin-left:18.95pt;margin-top:116.45pt;width:166.1pt;height:184.9pt;rotation:90;z-index:251666432;visibility:visible;mso-wrap-style:square;mso-width-percent:0;mso-height-percent:0;mso-wrap-distance-left:9pt;mso-wrap-distance-top:0;mso-wrap-distance-right:36pt;mso-wrap-distance-bottom:0;mso-position-horizontal:absolute;mso-position-horizontal-relative:margin;mso-position-vertical:absolute;mso-position-vertical-relative:top-margin-area;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" o:allowincell="f" adj="2346" fillcolor="#4f81bd [3204]" strokecolor="#00b0f0" strokeweight="1pt">
                <v:shadow on="t" type="double" opacity=".5" color2="shadow add(102)" offset="3pt,-3pt" offset2="6pt,-6pt"/>
                <v:textbox inset="18pt,18pt,,18pt">
                  <w:txbxContent>
                    <w:p w14:paraId="7B4FA766" w14:textId="77777777" w:rsidR="00BD5B06" w:rsidRDefault="00BD5B06" w:rsidP="002C5BC6">
                      <w:pPr>
                        <w:tabs>
                          <w:tab w:val="left" w:pos="2127"/>
                          <w:tab w:val="left" w:pos="2694"/>
                        </w:tabs>
                        <w:autoSpaceDE w:val="0"/>
                        <w:autoSpaceDN w:val="0"/>
                        <w:adjustRightInd w:val="0"/>
                        <w:ind w:left="80" w:right="149"/>
                        <w:jc w:val="center"/>
                        <w:rPr>
                          <w:rFonts w:ascii="Book Antiqua" w:hAnsi="Book Antiqua" w:cs="Swiss721BT-LightCondensed"/>
                          <w:smallCaps/>
                          <w:color w:val="4A442A" w:themeColor="background2" w:themeShade="40"/>
                          <w:sz w:val="28"/>
                          <w:szCs w:val="28"/>
                          <w14:shadow w14:blurRad="50800" w14:dist="38100" w14:dir="2700000" w14:sx="100000" w14:sy="100000" w14:kx="0" w14:ky="0" w14:algn="tl">
                            <w14:srgbClr w14:val="000000">
                              <w14:alpha w14:val="60000"/>
                            </w14:srgbClr>
                          </w14:shadow>
                        </w:rPr>
                      </w:pPr>
                      <w:r>
                        <w:rPr>
                          <w:rFonts w:ascii="Book Antiqua" w:hAnsi="Book Antiqua" w:cs="Swiss721BT-LightCondensed"/>
                          <w:smallCaps/>
                          <w:color w:val="4A442A" w:themeColor="background2" w:themeShade="40"/>
                          <w:sz w:val="28"/>
                          <w:szCs w:val="28"/>
                          <w14:shadow w14:blurRad="50800" w14:dist="38100" w14:dir="2700000" w14:sx="100000" w14:sy="100000" w14:kx="0" w14:ky="0" w14:algn="tl">
                            <w14:srgbClr w14:val="000000">
                              <w14:alpha w14:val="60000"/>
                            </w14:srgbClr>
                          </w14:shadow>
                        </w:rPr>
                        <w:t>Missão</w:t>
                      </w:r>
                    </w:p>
                    <w:p w14:paraId="39D5F4C8" w14:textId="77777777" w:rsidR="00BD5B06" w:rsidRDefault="00BD5B06" w:rsidP="002C5BC6">
                      <w:pPr>
                        <w:tabs>
                          <w:tab w:val="left" w:pos="2127"/>
                          <w:tab w:val="left" w:pos="2694"/>
                        </w:tabs>
                        <w:autoSpaceDE w:val="0"/>
                        <w:autoSpaceDN w:val="0"/>
                        <w:adjustRightInd w:val="0"/>
                        <w:ind w:left="80" w:right="149"/>
                        <w:jc w:val="center"/>
                        <w:rPr>
                          <w:rFonts w:ascii="Book Antiqua" w:hAnsi="Book Antiqua" w:cs="Swiss721BT-LightCondensed"/>
                          <w:smallCaps/>
                          <w:sz w:val="24"/>
                          <w:szCs w:val="24"/>
                        </w:rPr>
                      </w:pPr>
                    </w:p>
                    <w:p w14:paraId="601C78E4" w14:textId="77777777" w:rsidR="00BD5B06" w:rsidRDefault="00BD5B06" w:rsidP="002C5BC6">
                      <w:pPr>
                        <w:tabs>
                          <w:tab w:val="left" w:pos="2127"/>
                          <w:tab w:val="left" w:pos="2694"/>
                        </w:tabs>
                        <w:autoSpaceDE w:val="0"/>
                        <w:autoSpaceDN w:val="0"/>
                        <w:adjustRightInd w:val="0"/>
                        <w:ind w:right="149"/>
                        <w:jc w:val="center"/>
                        <w:rPr>
                          <w:rFonts w:ascii="Book Antiqua" w:hAnsi="Book Antiqua" w:cs="Swiss721BT-LightCondensed"/>
                          <w:sz w:val="24"/>
                          <w:szCs w:val="24"/>
                        </w:rPr>
                      </w:pPr>
                      <w:r>
                        <w:rPr>
                          <w:rFonts w:ascii="Book Antiqua" w:hAnsi="Book Antiqua" w:cs="Swiss721BT-LightCondensed"/>
                          <w:sz w:val="24"/>
                          <w:szCs w:val="24"/>
                        </w:rPr>
                        <w:t>Exercer o Controle Externo contribuindo para o aperfeiçoamento da gestão das políticas e dos recursos públicos, em prol da sociedade.</w:t>
                      </w:r>
                    </w:p>
                  </w:txbxContent>
                </v:textbox>
                <w10:wrap type="square" anchorx="margin" anchory="margin"/>
              </v:shape>
            </w:pict>
          </mc:Fallback>
        </mc:AlternateContent>
      </w:r>
    </w:p>
    <w:p w14:paraId="2FAC77D2" w14:textId="77777777" w:rsidR="002C5BC6" w:rsidRPr="00B215AC" w:rsidRDefault="002C5BC6" w:rsidP="002C5BC6">
      <w:pPr>
        <w:rPr>
          <w:rFonts w:ascii="Times New Roman" w:hAnsi="Times New Roman"/>
          <w:spacing w:val="-3"/>
          <w:sz w:val="24"/>
          <w:szCs w:val="24"/>
        </w:rPr>
      </w:pPr>
    </w:p>
    <w:p w14:paraId="067D8B2F" w14:textId="77777777" w:rsidR="002C5BC6" w:rsidRPr="00B215AC" w:rsidRDefault="002C5BC6" w:rsidP="002C5BC6">
      <w:pPr>
        <w:rPr>
          <w:rFonts w:ascii="Times New Roman" w:hAnsi="Times New Roman"/>
          <w:spacing w:val="-3"/>
          <w:sz w:val="24"/>
          <w:szCs w:val="24"/>
        </w:rPr>
      </w:pPr>
    </w:p>
    <w:p w14:paraId="19514006" w14:textId="77777777" w:rsidR="002C5BC6" w:rsidRPr="00B215AC" w:rsidRDefault="002C5BC6" w:rsidP="002C5BC6">
      <w:pPr>
        <w:rPr>
          <w:rFonts w:ascii="Times New Roman" w:hAnsi="Times New Roman"/>
          <w:spacing w:val="-3"/>
          <w:sz w:val="24"/>
          <w:szCs w:val="24"/>
        </w:rPr>
      </w:pPr>
    </w:p>
    <w:p w14:paraId="5D11F7A0" w14:textId="77777777" w:rsidR="002C5BC6" w:rsidRPr="00B215AC" w:rsidRDefault="002C5BC6" w:rsidP="002C5BC6">
      <w:pPr>
        <w:rPr>
          <w:rFonts w:ascii="Times New Roman" w:hAnsi="Times New Roman"/>
          <w:spacing w:val="-3"/>
          <w:sz w:val="24"/>
          <w:szCs w:val="24"/>
        </w:rPr>
      </w:pPr>
    </w:p>
    <w:p w14:paraId="15559FFA" w14:textId="77777777" w:rsidR="002C5BC6" w:rsidRPr="00B215AC" w:rsidRDefault="002C5BC6" w:rsidP="002C5BC6">
      <w:pPr>
        <w:rPr>
          <w:rFonts w:ascii="Times New Roman" w:hAnsi="Times New Roman"/>
          <w:spacing w:val="-3"/>
          <w:sz w:val="24"/>
          <w:szCs w:val="24"/>
        </w:rPr>
      </w:pPr>
    </w:p>
    <w:p w14:paraId="10E6EE0C" w14:textId="77777777" w:rsidR="002C5BC6" w:rsidRPr="00B215AC" w:rsidRDefault="002C5BC6" w:rsidP="002C5BC6">
      <w:pPr>
        <w:rPr>
          <w:rFonts w:ascii="Times New Roman" w:hAnsi="Times New Roman"/>
          <w:spacing w:val="-3"/>
          <w:sz w:val="24"/>
          <w:szCs w:val="24"/>
        </w:rPr>
      </w:pPr>
    </w:p>
    <w:p w14:paraId="06470CFE" w14:textId="77777777" w:rsidR="002C5BC6" w:rsidRPr="00B215AC" w:rsidRDefault="002C5BC6" w:rsidP="002C5BC6">
      <w:pPr>
        <w:rPr>
          <w:rFonts w:ascii="Times New Roman" w:hAnsi="Times New Roman"/>
          <w:spacing w:val="-3"/>
          <w:sz w:val="24"/>
          <w:szCs w:val="24"/>
        </w:rPr>
      </w:pPr>
    </w:p>
    <w:p w14:paraId="6ECA1C73" w14:textId="77777777" w:rsidR="002C5BC6" w:rsidRPr="00B215AC" w:rsidRDefault="002C5BC6" w:rsidP="002C5BC6">
      <w:pPr>
        <w:rPr>
          <w:rFonts w:ascii="Times New Roman" w:hAnsi="Times New Roman"/>
          <w:spacing w:val="-3"/>
          <w:sz w:val="24"/>
          <w:szCs w:val="24"/>
        </w:rPr>
      </w:pPr>
    </w:p>
    <w:p w14:paraId="5AB2601C" w14:textId="77777777" w:rsidR="002C5BC6" w:rsidRPr="00B215AC" w:rsidRDefault="002C5BC6" w:rsidP="002C5BC6">
      <w:pPr>
        <w:rPr>
          <w:rFonts w:ascii="Times New Roman" w:hAnsi="Times New Roman"/>
          <w:spacing w:val="-3"/>
          <w:sz w:val="24"/>
          <w:szCs w:val="24"/>
        </w:rPr>
      </w:pPr>
    </w:p>
    <w:p w14:paraId="081E0797" w14:textId="77777777" w:rsidR="002C5BC6" w:rsidRPr="00B215AC" w:rsidRDefault="002C5BC6" w:rsidP="002C5BC6">
      <w:pPr>
        <w:rPr>
          <w:rFonts w:ascii="Times New Roman" w:hAnsi="Times New Roman"/>
          <w:spacing w:val="-3"/>
          <w:sz w:val="24"/>
          <w:szCs w:val="24"/>
        </w:rPr>
      </w:pPr>
    </w:p>
    <w:p w14:paraId="0315D12C" w14:textId="77777777" w:rsidR="002C5BC6" w:rsidRPr="00B215AC" w:rsidRDefault="002C5BC6" w:rsidP="002C5BC6">
      <w:pPr>
        <w:rPr>
          <w:rFonts w:ascii="Times New Roman" w:hAnsi="Times New Roman"/>
          <w:spacing w:val="-3"/>
          <w:sz w:val="24"/>
          <w:szCs w:val="24"/>
        </w:rPr>
      </w:pPr>
    </w:p>
    <w:p w14:paraId="770649FE" w14:textId="77777777" w:rsidR="002C5BC6" w:rsidRPr="00B215AC" w:rsidRDefault="002C5BC6" w:rsidP="002C5BC6">
      <w:pPr>
        <w:rPr>
          <w:rFonts w:ascii="Times New Roman" w:hAnsi="Times New Roman"/>
          <w:spacing w:val="-3"/>
          <w:sz w:val="24"/>
          <w:szCs w:val="24"/>
        </w:rPr>
      </w:pPr>
    </w:p>
    <w:p w14:paraId="47517A47" w14:textId="77777777" w:rsidR="002C5BC6" w:rsidRPr="00B215AC" w:rsidRDefault="002C5BC6" w:rsidP="002C5BC6">
      <w:pPr>
        <w:rPr>
          <w:rFonts w:ascii="Times New Roman" w:hAnsi="Times New Roman"/>
          <w:spacing w:val="-3"/>
          <w:sz w:val="24"/>
          <w:szCs w:val="24"/>
        </w:rPr>
      </w:pPr>
    </w:p>
    <w:p w14:paraId="1BCCE105" w14:textId="407D6805" w:rsidR="002C5BC6" w:rsidRPr="00B215AC" w:rsidRDefault="002C5BC6" w:rsidP="002C5BC6">
      <w:pPr>
        <w:rPr>
          <w:rFonts w:ascii="Times New Roman" w:hAnsi="Times New Roman"/>
          <w:spacing w:val="-3"/>
          <w:sz w:val="24"/>
          <w:szCs w:val="24"/>
        </w:rPr>
      </w:pPr>
      <w:r w:rsidRPr="00B215AC">
        <w:rPr>
          <w:noProof/>
        </w:rPr>
        <mc:AlternateContent>
          <mc:Choice Requires="wps">
            <w:drawing>
              <wp:anchor distT="0" distB="0" distL="114300" distR="457200" simplePos="0" relativeHeight="251667456" behindDoc="0" locked="0" layoutInCell="0" allowOverlap="1" wp14:anchorId="455982A1" wp14:editId="26204ED7">
                <wp:simplePos x="0" y="0"/>
                <wp:positionH relativeFrom="margin">
                  <wp:posOffset>3562985</wp:posOffset>
                </wp:positionH>
                <wp:positionV relativeFrom="margin">
                  <wp:posOffset>2687955</wp:posOffset>
                </wp:positionV>
                <wp:extent cx="1852930" cy="2498725"/>
                <wp:effectExtent l="10795" t="86995" r="90805" b="12700"/>
                <wp:wrapSquare wrapText="bothSides"/>
                <wp:docPr id="29" name="Colchete Duplo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852930" cy="2498725"/>
                        </a:xfrm>
                        <a:prstGeom prst="bracketPair">
                          <a:avLst>
                            <a:gd name="adj" fmla="val 10861"/>
                          </a:avLst>
                        </a:prstGeom>
                        <a:noFill/>
                        <a:ln w="12700">
                          <a:solidFill>
                            <a:srgbClr val="00B0F0"/>
                          </a:solidFill>
                          <a:round/>
                          <a:headEnd/>
                          <a:tailEnd/>
                        </a:ln>
                        <a:effectLst>
                          <a:prstShdw prst="shdw13" dist="53882" dir="18900000">
                            <a:srgbClr val="808080">
                              <a:alpha val="50000"/>
                            </a:srgbClr>
                          </a:prstShdw>
                        </a:effectLst>
                        <a:extLst>
                          <a:ext uri="{909E8E84-426E-40DD-AFC4-6F175D3DCCD1}">
                            <a14:hiddenFill xmlns:a14="http://schemas.microsoft.com/office/drawing/2010/main">
                              <a:solidFill>
                                <a:schemeClr val="accent1">
                                  <a:lumMod val="100000"/>
                                  <a:lumOff val="0"/>
                                </a:schemeClr>
                              </a:solidFill>
                            </a14:hiddenFill>
                          </a:ext>
                        </a:extLst>
                      </wps:spPr>
                      <wps:txbx>
                        <w:txbxContent>
                          <w:p w14:paraId="7C379616" w14:textId="77777777" w:rsidR="00BD5B06" w:rsidRDefault="00BD5B06" w:rsidP="002C5BC6">
                            <w:pPr>
                              <w:tabs>
                                <w:tab w:val="left" w:pos="2127"/>
                                <w:tab w:val="left" w:pos="2694"/>
                              </w:tabs>
                              <w:autoSpaceDE w:val="0"/>
                              <w:autoSpaceDN w:val="0"/>
                              <w:adjustRightInd w:val="0"/>
                              <w:ind w:left="80" w:right="149"/>
                              <w:jc w:val="center"/>
                              <w:rPr>
                                <w:rFonts w:ascii="Book Antiqua" w:hAnsi="Book Antiqua" w:cs="Swiss721BT-LightCondensed"/>
                                <w:smallCaps/>
                                <w:color w:val="4A442A" w:themeColor="background2" w:themeShade="40"/>
                                <w:sz w:val="28"/>
                                <w:szCs w:val="28"/>
                                <w14:shadow w14:blurRad="50800" w14:dist="38100" w14:dir="2700000" w14:sx="100000" w14:sy="100000" w14:kx="0" w14:ky="0" w14:algn="tl">
                                  <w14:srgbClr w14:val="000000">
                                    <w14:alpha w14:val="60000"/>
                                  </w14:srgbClr>
                                </w14:shadow>
                              </w:rPr>
                            </w:pPr>
                            <w:r>
                              <w:rPr>
                                <w:rFonts w:ascii="Book Antiqua" w:hAnsi="Book Antiqua" w:cs="Swiss721BT-LightCondensed"/>
                                <w:smallCaps/>
                                <w:color w:val="4A442A" w:themeColor="background2" w:themeShade="40"/>
                                <w:sz w:val="28"/>
                                <w:szCs w:val="28"/>
                                <w14:shadow w14:blurRad="50800" w14:dist="38100" w14:dir="2700000" w14:sx="100000" w14:sy="100000" w14:kx="0" w14:ky="0" w14:algn="tl">
                                  <w14:srgbClr w14:val="000000">
                                    <w14:alpha w14:val="60000"/>
                                  </w14:srgbClr>
                                </w14:shadow>
                              </w:rPr>
                              <w:t xml:space="preserve">Visão </w:t>
                            </w:r>
                          </w:p>
                          <w:p w14:paraId="7B85CA91" w14:textId="77777777" w:rsidR="00BD5B06" w:rsidRDefault="00BD5B06" w:rsidP="002C5BC6">
                            <w:pPr>
                              <w:tabs>
                                <w:tab w:val="left" w:pos="2127"/>
                                <w:tab w:val="left" w:pos="2694"/>
                              </w:tabs>
                              <w:autoSpaceDE w:val="0"/>
                              <w:autoSpaceDN w:val="0"/>
                              <w:adjustRightInd w:val="0"/>
                              <w:ind w:left="80" w:right="149"/>
                              <w:jc w:val="center"/>
                              <w:rPr>
                                <w:rFonts w:ascii="Book Antiqua" w:hAnsi="Book Antiqua" w:cs="Swiss721BT-LightCondensed"/>
                                <w:smallCaps/>
                                <w:sz w:val="24"/>
                                <w:szCs w:val="24"/>
                              </w:rPr>
                            </w:pPr>
                          </w:p>
                          <w:p w14:paraId="56B91130" w14:textId="77777777" w:rsidR="00BD5B06" w:rsidRDefault="00BD5B06" w:rsidP="002C5BC6">
                            <w:pPr>
                              <w:tabs>
                                <w:tab w:val="left" w:pos="0"/>
                                <w:tab w:val="left" w:pos="2694"/>
                                <w:tab w:val="left" w:pos="2835"/>
                              </w:tabs>
                              <w:autoSpaceDE w:val="0"/>
                              <w:autoSpaceDN w:val="0"/>
                              <w:adjustRightInd w:val="0"/>
                              <w:ind w:right="149"/>
                              <w:jc w:val="center"/>
                              <w:rPr>
                                <w:rFonts w:ascii="Book Antiqua" w:hAnsi="Book Antiqua" w:cs="Swiss721BT-LightCondensed"/>
                                <w:sz w:val="24"/>
                                <w:szCs w:val="24"/>
                              </w:rPr>
                            </w:pPr>
                            <w:r>
                              <w:rPr>
                                <w:rFonts w:ascii="Book Antiqua" w:hAnsi="Book Antiqua" w:cs="Swiss721BT-LightCondensed"/>
                                <w:sz w:val="24"/>
                                <w:szCs w:val="24"/>
                              </w:rPr>
                              <w:t>Ser uma instituição essencial e de excelência no exercício do Controle Externo.</w:t>
                            </w:r>
                          </w:p>
                        </w:txbxContent>
                      </wps:txbx>
                      <wps:bodyPr rot="0" vert="horz" wrap="square" lIns="228600" tIns="228600" rIns="91440" bIns="22860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455982A1" id="Colchete Duplo 29" o:spid="_x0000_s1027" type="#_x0000_t185" style="position:absolute;left:0;text-align:left;margin-left:280.55pt;margin-top:211.65pt;width:145.9pt;height:196.75pt;rotation:90;z-index:251667456;visibility:visible;mso-wrap-style:square;mso-width-percent:0;mso-height-percent:0;mso-wrap-distance-left:9pt;mso-wrap-distance-top:0;mso-wrap-distance-right:36pt;mso-wrap-distance-bottom:0;mso-position-horizontal:absolute;mso-position-horizontal-relative:margin;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" o:allowincell="f" adj="2346" fillcolor="#4f81bd [3204]" strokecolor="#00b0f0" strokeweight="1pt">
                <v:shadow on="t" type="double" opacity=".5" color2="shadow add(102)" offset="3pt,-3pt" offset2="6pt,-6pt"/>
                <v:textbox inset="18pt,18pt,,18pt">
                  <w:txbxContent>
                    <w:p w14:paraId="7C379616" w14:textId="77777777" w:rsidR="00BD5B06" w:rsidRDefault="00BD5B06" w:rsidP="002C5BC6">
                      <w:pPr>
                        <w:tabs>
                          <w:tab w:val="left" w:pos="2127"/>
                          <w:tab w:val="left" w:pos="2694"/>
                        </w:tabs>
                        <w:autoSpaceDE w:val="0"/>
                        <w:autoSpaceDN w:val="0"/>
                        <w:adjustRightInd w:val="0"/>
                        <w:ind w:left="80" w:right="149"/>
                        <w:jc w:val="center"/>
                        <w:rPr>
                          <w:rFonts w:ascii="Book Antiqua" w:hAnsi="Book Antiqua" w:cs="Swiss721BT-LightCondensed"/>
                          <w:smallCaps/>
                          <w:color w:val="4A442A" w:themeColor="background2" w:themeShade="40"/>
                          <w:sz w:val="28"/>
                          <w:szCs w:val="28"/>
                          <w14:shadow w14:blurRad="50800" w14:dist="38100" w14:dir="2700000" w14:sx="100000" w14:sy="100000" w14:kx="0" w14:ky="0" w14:algn="tl">
                            <w14:srgbClr w14:val="000000">
                              <w14:alpha w14:val="60000"/>
                            </w14:srgbClr>
                          </w14:shadow>
                        </w:rPr>
                      </w:pPr>
                      <w:r>
                        <w:rPr>
                          <w:rFonts w:ascii="Book Antiqua" w:hAnsi="Book Antiqua" w:cs="Swiss721BT-LightCondensed"/>
                          <w:smallCaps/>
                          <w:color w:val="4A442A" w:themeColor="background2" w:themeShade="40"/>
                          <w:sz w:val="28"/>
                          <w:szCs w:val="28"/>
                          <w14:shadow w14:blurRad="50800" w14:dist="38100" w14:dir="2700000" w14:sx="100000" w14:sy="100000" w14:kx="0" w14:ky="0" w14:algn="tl">
                            <w14:srgbClr w14:val="000000">
                              <w14:alpha w14:val="60000"/>
                            </w14:srgbClr>
                          </w14:shadow>
                        </w:rPr>
                        <w:t xml:space="preserve">Visão </w:t>
                      </w:r>
                    </w:p>
                    <w:p w14:paraId="7B85CA91" w14:textId="77777777" w:rsidR="00BD5B06" w:rsidRDefault="00BD5B06" w:rsidP="002C5BC6">
                      <w:pPr>
                        <w:tabs>
                          <w:tab w:val="left" w:pos="2127"/>
                          <w:tab w:val="left" w:pos="2694"/>
                        </w:tabs>
                        <w:autoSpaceDE w:val="0"/>
                        <w:autoSpaceDN w:val="0"/>
                        <w:adjustRightInd w:val="0"/>
                        <w:ind w:left="80" w:right="149"/>
                        <w:jc w:val="center"/>
                        <w:rPr>
                          <w:rFonts w:ascii="Book Antiqua" w:hAnsi="Book Antiqua" w:cs="Swiss721BT-LightCondensed"/>
                          <w:smallCaps/>
                          <w:sz w:val="24"/>
                          <w:szCs w:val="24"/>
                        </w:rPr>
                      </w:pPr>
                    </w:p>
                    <w:p w14:paraId="56B91130" w14:textId="77777777" w:rsidR="00BD5B06" w:rsidRDefault="00BD5B06" w:rsidP="002C5BC6">
                      <w:pPr>
                        <w:tabs>
                          <w:tab w:val="left" w:pos="0"/>
                          <w:tab w:val="left" w:pos="2694"/>
                          <w:tab w:val="left" w:pos="2835"/>
                        </w:tabs>
                        <w:autoSpaceDE w:val="0"/>
                        <w:autoSpaceDN w:val="0"/>
                        <w:adjustRightInd w:val="0"/>
                        <w:ind w:right="149"/>
                        <w:jc w:val="center"/>
                        <w:rPr>
                          <w:rFonts w:ascii="Book Antiqua" w:hAnsi="Book Antiqua" w:cs="Swiss721BT-LightCondensed"/>
                          <w:sz w:val="24"/>
                          <w:szCs w:val="24"/>
                        </w:rPr>
                      </w:pPr>
                      <w:r>
                        <w:rPr>
                          <w:rFonts w:ascii="Book Antiqua" w:hAnsi="Book Antiqua" w:cs="Swiss721BT-LightCondensed"/>
                          <w:sz w:val="24"/>
                          <w:szCs w:val="24"/>
                        </w:rPr>
                        <w:t>Ser uma instituição essencial e de excelência no exercício do Controle Externo.</w:t>
                      </w:r>
                    </w:p>
                  </w:txbxContent>
                </v:textbox>
                <w10:wrap type="square" anchorx="margin" anchory="margin"/>
              </v:shape>
            </w:pict>
          </mc:Fallback>
        </mc:AlternateContent>
      </w:r>
    </w:p>
    <w:p w14:paraId="1DE12D86" w14:textId="77777777" w:rsidR="002C5BC6" w:rsidRPr="00B215AC" w:rsidRDefault="002C5BC6" w:rsidP="002C5BC6">
      <w:pPr>
        <w:rPr>
          <w:rFonts w:ascii="Times New Roman" w:hAnsi="Times New Roman"/>
          <w:spacing w:val="-3"/>
          <w:sz w:val="24"/>
          <w:szCs w:val="24"/>
        </w:rPr>
      </w:pPr>
    </w:p>
    <w:p w14:paraId="629C23B4" w14:textId="77777777" w:rsidR="002C5BC6" w:rsidRPr="00B215AC" w:rsidRDefault="002C5BC6" w:rsidP="002C5BC6"/>
    <w:p w14:paraId="1B1288CF" w14:textId="77777777" w:rsidR="002C5BC6" w:rsidRPr="00B215AC" w:rsidRDefault="002C5BC6" w:rsidP="002C5BC6">
      <w:pPr>
        <w:pStyle w:val="0-TXT11"/>
        <w:rPr>
          <w:rFonts w:cs="Times New Roman"/>
        </w:rPr>
      </w:pPr>
    </w:p>
    <w:p w14:paraId="31172D90" w14:textId="7EB7AE73" w:rsidR="002C5BC6" w:rsidRPr="00B215AC" w:rsidRDefault="002C5BC6" w:rsidP="002C5BC6">
      <w:pPr>
        <w:pStyle w:val="0-TXT11"/>
        <w:rPr>
          <w:rFonts w:cs="Times New Roman"/>
          <w:color w:val="FF0000"/>
        </w:rPr>
      </w:pPr>
      <w:r w:rsidRPr="00B215AC">
        <w:rPr>
          <w:noProof/>
          <w:color w:val="FF0000"/>
        </w:rPr>
        <mc:AlternateContent>
          <mc:Choice Requires="wps">
            <w:drawing>
              <wp:anchor distT="0" distB="0" distL="114300" distR="457200" simplePos="0" relativeHeight="251668480" behindDoc="0" locked="0" layoutInCell="0" allowOverlap="1" wp14:anchorId="15F5371A" wp14:editId="7DF36D5E">
                <wp:simplePos x="0" y="0"/>
                <wp:positionH relativeFrom="margin">
                  <wp:posOffset>340360</wp:posOffset>
                </wp:positionH>
                <wp:positionV relativeFrom="margin">
                  <wp:posOffset>5320030</wp:posOffset>
                </wp:positionV>
                <wp:extent cx="2648585" cy="2498725"/>
                <wp:effectExtent l="15240" t="82550" r="86360" b="12065"/>
                <wp:wrapSquare wrapText="bothSides"/>
                <wp:docPr id="28" name="Colchete Duplo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648585" cy="2498725"/>
                        </a:xfrm>
                        <a:prstGeom prst="bracketPair">
                          <a:avLst>
                            <a:gd name="adj" fmla="val 10861"/>
                          </a:avLst>
                        </a:prstGeom>
                        <a:noFill/>
                        <a:ln w="12700">
                          <a:solidFill>
                            <a:srgbClr val="00B0F0"/>
                          </a:solidFill>
                          <a:round/>
                          <a:headEnd/>
                          <a:tailEnd/>
                        </a:ln>
                        <a:effectLst>
                          <a:prstShdw prst="shdw13" dist="53882" dir="18900000">
                            <a:srgbClr val="808080">
                              <a:alpha val="50000"/>
                            </a:srgbClr>
                          </a:prstShdw>
                        </a:effectLst>
                        <a:extLst>
                          <a:ext uri="{909E8E84-426E-40DD-AFC4-6F175D3DCCD1}">
                            <a14:hiddenFill xmlns:a14="http://schemas.microsoft.com/office/drawing/2010/main">
                              <a:solidFill>
                                <a:schemeClr val="accent1">
                                  <a:lumMod val="100000"/>
                                  <a:lumOff val="0"/>
                                </a:schemeClr>
                              </a:solidFill>
                            </a14:hiddenFill>
                          </a:ext>
                        </a:extLst>
                      </wps:spPr>
                      <wps:txbx>
                        <w:txbxContent>
                          <w:p w14:paraId="5577AF76" w14:textId="77777777" w:rsidR="00BD5B06" w:rsidRDefault="00BD5B06" w:rsidP="002C5BC6">
                            <w:pPr>
                              <w:tabs>
                                <w:tab w:val="left" w:pos="2127"/>
                                <w:tab w:val="left" w:pos="2694"/>
                              </w:tabs>
                              <w:autoSpaceDE w:val="0"/>
                              <w:autoSpaceDN w:val="0"/>
                              <w:adjustRightInd w:val="0"/>
                              <w:ind w:left="80" w:right="149"/>
                              <w:jc w:val="center"/>
                              <w:rPr>
                                <w:rFonts w:ascii="Book Antiqua" w:hAnsi="Book Antiqua" w:cs="Swiss721BT-LightCondensed"/>
                                <w:smallCaps/>
                                <w:color w:val="4A442A" w:themeColor="background2" w:themeShade="40"/>
                                <w:sz w:val="28"/>
                                <w:szCs w:val="28"/>
                                <w14:shadow w14:blurRad="50800" w14:dist="38100" w14:dir="2700000" w14:sx="100000" w14:sy="100000" w14:kx="0" w14:ky="0" w14:algn="tl">
                                  <w14:srgbClr w14:val="000000">
                                    <w14:alpha w14:val="60000"/>
                                  </w14:srgbClr>
                                </w14:shadow>
                              </w:rPr>
                            </w:pPr>
                            <w:r>
                              <w:rPr>
                                <w:rFonts w:ascii="Book Antiqua" w:hAnsi="Book Antiqua" w:cs="Swiss721BT-LightCondensed"/>
                                <w:smallCaps/>
                                <w:color w:val="4A442A" w:themeColor="background2" w:themeShade="40"/>
                                <w:sz w:val="28"/>
                                <w:szCs w:val="28"/>
                                <w14:shadow w14:blurRad="50800" w14:dist="38100" w14:dir="2700000" w14:sx="100000" w14:sy="100000" w14:kx="0" w14:ky="0" w14:algn="tl">
                                  <w14:srgbClr w14:val="000000">
                                    <w14:alpha w14:val="60000"/>
                                  </w14:srgbClr>
                                </w14:shadow>
                              </w:rPr>
                              <w:t>Valores</w:t>
                            </w:r>
                          </w:p>
                          <w:p w14:paraId="6B931E40" w14:textId="77777777" w:rsidR="00BD5B06" w:rsidRDefault="00BD5B06" w:rsidP="002C5BC6">
                            <w:pPr>
                              <w:tabs>
                                <w:tab w:val="left" w:pos="2127"/>
                                <w:tab w:val="left" w:pos="2694"/>
                              </w:tabs>
                              <w:autoSpaceDE w:val="0"/>
                              <w:autoSpaceDN w:val="0"/>
                              <w:adjustRightInd w:val="0"/>
                              <w:ind w:left="80" w:right="149"/>
                              <w:jc w:val="center"/>
                              <w:rPr>
                                <w:rFonts w:ascii="Book Antiqua" w:hAnsi="Book Antiqua" w:cs="Swiss721BT-LightCondensed"/>
                                <w:smallCaps/>
                                <w:sz w:val="24"/>
                                <w:szCs w:val="24"/>
                              </w:rPr>
                            </w:pPr>
                          </w:p>
                          <w:p w14:paraId="05FC7C08" w14:textId="77777777" w:rsidR="00BD5B06" w:rsidRDefault="00BD5B06" w:rsidP="002C5BC6">
                            <w:pPr>
                              <w:tabs>
                                <w:tab w:val="left" w:pos="0"/>
                                <w:tab w:val="left" w:pos="2694"/>
                                <w:tab w:val="left" w:pos="2835"/>
                              </w:tabs>
                              <w:autoSpaceDE w:val="0"/>
                              <w:autoSpaceDN w:val="0"/>
                              <w:adjustRightInd w:val="0"/>
                              <w:ind w:right="149"/>
                              <w:jc w:val="center"/>
                              <w:rPr>
                                <w:rFonts w:ascii="Book Antiqua" w:hAnsi="Book Antiqua" w:cs="Swiss721BT-LightCondensed"/>
                                <w:sz w:val="24"/>
                                <w:szCs w:val="24"/>
                              </w:rPr>
                            </w:pPr>
                            <w:r>
                              <w:rPr>
                                <w:rFonts w:ascii="Book Antiqua" w:hAnsi="Book Antiqua" w:cs="Swiss721BT-LightCondensed"/>
                                <w:sz w:val="24"/>
                                <w:szCs w:val="24"/>
                              </w:rPr>
                              <w:t>Ética</w:t>
                            </w:r>
                            <w:r>
                              <w:rPr>
                                <w:rFonts w:ascii="Book Antiqua" w:hAnsi="Book Antiqua" w:cs="Swiss721BT-LightCondensed"/>
                                <w:sz w:val="24"/>
                                <w:szCs w:val="24"/>
                              </w:rPr>
                              <w:br/>
                              <w:t>Integridade</w:t>
                            </w:r>
                            <w:r>
                              <w:rPr>
                                <w:rFonts w:ascii="Book Antiqua" w:hAnsi="Book Antiqua" w:cs="Swiss721BT-LightCondensed"/>
                                <w:sz w:val="24"/>
                                <w:szCs w:val="24"/>
                              </w:rPr>
                              <w:br/>
                              <w:t>Responsabilidade</w:t>
                            </w:r>
                            <w:r>
                              <w:rPr>
                                <w:rFonts w:ascii="Book Antiqua" w:hAnsi="Book Antiqua" w:cs="Swiss721BT-LightCondensed"/>
                                <w:sz w:val="24"/>
                                <w:szCs w:val="24"/>
                              </w:rPr>
                              <w:br/>
                              <w:t>Compromisso Social</w:t>
                            </w:r>
                            <w:r>
                              <w:rPr>
                                <w:rFonts w:ascii="Book Antiqua" w:hAnsi="Book Antiqua" w:cs="Swiss721BT-LightCondensed"/>
                                <w:sz w:val="24"/>
                                <w:szCs w:val="24"/>
                              </w:rPr>
                              <w:br/>
                              <w:t>Impessoalidade</w:t>
                            </w:r>
                            <w:r>
                              <w:rPr>
                                <w:rFonts w:ascii="Book Antiqua" w:hAnsi="Book Antiqua" w:cs="Swiss721BT-LightCondensed"/>
                                <w:sz w:val="24"/>
                                <w:szCs w:val="24"/>
                              </w:rPr>
                              <w:br/>
                              <w:t>Transparência</w:t>
                            </w:r>
                            <w:r>
                              <w:rPr>
                                <w:rFonts w:ascii="Book Antiqua" w:hAnsi="Book Antiqua" w:cs="Swiss721BT-LightCondensed"/>
                                <w:sz w:val="24"/>
                                <w:szCs w:val="24"/>
                              </w:rPr>
                              <w:br/>
                              <w:t>Imparcialidade</w:t>
                            </w:r>
                            <w:r>
                              <w:rPr>
                                <w:rFonts w:ascii="Book Antiqua" w:hAnsi="Book Antiqua" w:cs="Swiss721BT-LightCondensed"/>
                                <w:sz w:val="24"/>
                                <w:szCs w:val="24"/>
                              </w:rPr>
                              <w:br/>
                              <w:t>Inovação</w:t>
                            </w:r>
                            <w:r>
                              <w:rPr>
                                <w:rFonts w:ascii="Book Antiqua" w:hAnsi="Book Antiqua" w:cs="Swiss721BT-LightCondensed"/>
                                <w:sz w:val="24"/>
                                <w:szCs w:val="24"/>
                              </w:rPr>
                              <w:br/>
                              <w:t>Independência</w:t>
                            </w:r>
                          </w:p>
                        </w:txbxContent>
                      </wps:txbx>
                      <wps:bodyPr rot="0" vert="horz" wrap="square" lIns="228600" tIns="228600" rIns="91440" bIns="22860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15F5371A" id="Colchete Duplo 28" o:spid="_x0000_s1028" type="#_x0000_t185" style="position:absolute;left:0;text-align:left;margin-left:26.8pt;margin-top:418.9pt;width:208.55pt;height:196.75pt;rotation:90;z-index:251668480;visibility:visible;mso-wrap-style:square;mso-width-percent:0;mso-height-percent:0;mso-wrap-distance-left:9pt;mso-wrap-distance-top:0;mso-wrap-distance-right:36pt;mso-wrap-distance-bottom:0;mso-position-horizontal:absolute;mso-position-horizontal-relative:margin;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" o:allowincell="f" adj="2346" fillcolor="#4f81bd [3204]" strokecolor="#00b0f0" strokeweight="1pt">
                <v:shadow on="t" type="double" opacity=".5" color2="shadow add(102)" offset="3pt,-3pt" offset2="6pt,-6pt"/>
                <v:textbox inset="18pt,18pt,,18pt">
                  <w:txbxContent>
                    <w:p w14:paraId="5577AF76" w14:textId="77777777" w:rsidR="00BD5B06" w:rsidRDefault="00BD5B06" w:rsidP="002C5BC6">
                      <w:pPr>
                        <w:tabs>
                          <w:tab w:val="left" w:pos="2127"/>
                          <w:tab w:val="left" w:pos="2694"/>
                        </w:tabs>
                        <w:autoSpaceDE w:val="0"/>
                        <w:autoSpaceDN w:val="0"/>
                        <w:adjustRightInd w:val="0"/>
                        <w:ind w:left="80" w:right="149"/>
                        <w:jc w:val="center"/>
                        <w:rPr>
                          <w:rFonts w:ascii="Book Antiqua" w:hAnsi="Book Antiqua" w:cs="Swiss721BT-LightCondensed"/>
                          <w:smallCaps/>
                          <w:color w:val="4A442A" w:themeColor="background2" w:themeShade="40"/>
                          <w:sz w:val="28"/>
                          <w:szCs w:val="28"/>
                          <w14:shadow w14:blurRad="50800" w14:dist="38100" w14:dir="2700000" w14:sx="100000" w14:sy="100000" w14:kx="0" w14:ky="0" w14:algn="tl">
                            <w14:srgbClr w14:val="000000">
                              <w14:alpha w14:val="60000"/>
                            </w14:srgbClr>
                          </w14:shadow>
                        </w:rPr>
                      </w:pPr>
                      <w:r>
                        <w:rPr>
                          <w:rFonts w:ascii="Book Antiqua" w:hAnsi="Book Antiqua" w:cs="Swiss721BT-LightCondensed"/>
                          <w:smallCaps/>
                          <w:color w:val="4A442A" w:themeColor="background2" w:themeShade="40"/>
                          <w:sz w:val="28"/>
                          <w:szCs w:val="28"/>
                          <w14:shadow w14:blurRad="50800" w14:dist="38100" w14:dir="2700000" w14:sx="100000" w14:sy="100000" w14:kx="0" w14:ky="0" w14:algn="tl">
                            <w14:srgbClr w14:val="000000">
                              <w14:alpha w14:val="60000"/>
                            </w14:srgbClr>
                          </w14:shadow>
                        </w:rPr>
                        <w:t>Valores</w:t>
                      </w:r>
                    </w:p>
                    <w:p w14:paraId="6B931E40" w14:textId="77777777" w:rsidR="00BD5B06" w:rsidRDefault="00BD5B06" w:rsidP="002C5BC6">
                      <w:pPr>
                        <w:tabs>
                          <w:tab w:val="left" w:pos="2127"/>
                          <w:tab w:val="left" w:pos="2694"/>
                        </w:tabs>
                        <w:autoSpaceDE w:val="0"/>
                        <w:autoSpaceDN w:val="0"/>
                        <w:adjustRightInd w:val="0"/>
                        <w:ind w:left="80" w:right="149"/>
                        <w:jc w:val="center"/>
                        <w:rPr>
                          <w:rFonts w:ascii="Book Antiqua" w:hAnsi="Book Antiqua" w:cs="Swiss721BT-LightCondensed"/>
                          <w:smallCaps/>
                          <w:sz w:val="24"/>
                          <w:szCs w:val="24"/>
                        </w:rPr>
                      </w:pPr>
                    </w:p>
                    <w:p w14:paraId="05FC7C08" w14:textId="77777777" w:rsidR="00BD5B06" w:rsidRDefault="00BD5B06" w:rsidP="002C5BC6">
                      <w:pPr>
                        <w:tabs>
                          <w:tab w:val="left" w:pos="0"/>
                          <w:tab w:val="left" w:pos="2694"/>
                          <w:tab w:val="left" w:pos="2835"/>
                        </w:tabs>
                        <w:autoSpaceDE w:val="0"/>
                        <w:autoSpaceDN w:val="0"/>
                        <w:adjustRightInd w:val="0"/>
                        <w:ind w:right="149"/>
                        <w:jc w:val="center"/>
                        <w:rPr>
                          <w:rFonts w:ascii="Book Antiqua" w:hAnsi="Book Antiqua" w:cs="Swiss721BT-LightCondensed"/>
                          <w:sz w:val="24"/>
                          <w:szCs w:val="24"/>
                        </w:rPr>
                      </w:pPr>
                      <w:r>
                        <w:rPr>
                          <w:rFonts w:ascii="Book Antiqua" w:hAnsi="Book Antiqua" w:cs="Swiss721BT-LightCondensed"/>
                          <w:sz w:val="24"/>
                          <w:szCs w:val="24"/>
                        </w:rPr>
                        <w:t>Ética</w:t>
                      </w:r>
                      <w:r>
                        <w:rPr>
                          <w:rFonts w:ascii="Book Antiqua" w:hAnsi="Book Antiqua" w:cs="Swiss721BT-LightCondensed"/>
                          <w:sz w:val="24"/>
                          <w:szCs w:val="24"/>
                        </w:rPr>
                        <w:br/>
                        <w:t>Integridade</w:t>
                      </w:r>
                      <w:r>
                        <w:rPr>
                          <w:rFonts w:ascii="Book Antiqua" w:hAnsi="Book Antiqua" w:cs="Swiss721BT-LightCondensed"/>
                          <w:sz w:val="24"/>
                          <w:szCs w:val="24"/>
                        </w:rPr>
                        <w:br/>
                        <w:t>Responsabilidade</w:t>
                      </w:r>
                      <w:r>
                        <w:rPr>
                          <w:rFonts w:ascii="Book Antiqua" w:hAnsi="Book Antiqua" w:cs="Swiss721BT-LightCondensed"/>
                          <w:sz w:val="24"/>
                          <w:szCs w:val="24"/>
                        </w:rPr>
                        <w:br/>
                        <w:t>Compromisso Social</w:t>
                      </w:r>
                      <w:r>
                        <w:rPr>
                          <w:rFonts w:ascii="Book Antiqua" w:hAnsi="Book Antiqua" w:cs="Swiss721BT-LightCondensed"/>
                          <w:sz w:val="24"/>
                          <w:szCs w:val="24"/>
                        </w:rPr>
                        <w:br/>
                        <w:t>Impessoalidade</w:t>
                      </w:r>
                      <w:r>
                        <w:rPr>
                          <w:rFonts w:ascii="Book Antiqua" w:hAnsi="Book Antiqua" w:cs="Swiss721BT-LightCondensed"/>
                          <w:sz w:val="24"/>
                          <w:szCs w:val="24"/>
                        </w:rPr>
                        <w:br/>
                        <w:t>Transparência</w:t>
                      </w:r>
                      <w:r>
                        <w:rPr>
                          <w:rFonts w:ascii="Book Antiqua" w:hAnsi="Book Antiqua" w:cs="Swiss721BT-LightCondensed"/>
                          <w:sz w:val="24"/>
                          <w:szCs w:val="24"/>
                        </w:rPr>
                        <w:br/>
                        <w:t>Imparcialidade</w:t>
                      </w:r>
                      <w:r>
                        <w:rPr>
                          <w:rFonts w:ascii="Book Antiqua" w:hAnsi="Book Antiqua" w:cs="Swiss721BT-LightCondensed"/>
                          <w:sz w:val="24"/>
                          <w:szCs w:val="24"/>
                        </w:rPr>
                        <w:br/>
                        <w:t>Inovação</w:t>
                      </w:r>
                      <w:r>
                        <w:rPr>
                          <w:rFonts w:ascii="Book Antiqua" w:hAnsi="Book Antiqua" w:cs="Swiss721BT-LightCondensed"/>
                          <w:sz w:val="24"/>
                          <w:szCs w:val="24"/>
                        </w:rPr>
                        <w:br/>
                        <w:t>Independência</w:t>
                      </w:r>
                    </w:p>
                  </w:txbxContent>
                </v:textbox>
                <w10:wrap type="square" anchorx="margin" anchory="margin"/>
              </v:shape>
            </w:pict>
          </mc:Fallback>
        </mc:AlternateContent>
      </w:r>
    </w:p>
    <w:p w14:paraId="16C43F7C" w14:textId="01C43F02" w:rsidR="002C5BC6" w:rsidRPr="00B215AC" w:rsidRDefault="002C5BC6" w:rsidP="003E2C11">
      <w:pPr>
        <w:pStyle w:val="0-TXT11"/>
        <w:jc w:val="right"/>
        <w:rPr>
          <w:rFonts w:cs="Times New Roman"/>
          <w:b/>
          <w:color w:val="FF0000"/>
          <w:sz w:val="44"/>
          <w:szCs w:val="44"/>
        </w:rPr>
      </w:pPr>
    </w:p>
    <w:p w14:paraId="60B1E3BA" w14:textId="237A32A9" w:rsidR="002C5BC6" w:rsidRPr="00B215AC" w:rsidRDefault="002C5BC6" w:rsidP="003E2C11">
      <w:pPr>
        <w:pStyle w:val="0-TXT11"/>
        <w:jc w:val="right"/>
        <w:rPr>
          <w:rFonts w:cs="Times New Roman"/>
          <w:b/>
          <w:color w:val="FF0000"/>
          <w:sz w:val="44"/>
          <w:szCs w:val="44"/>
        </w:rPr>
      </w:pPr>
    </w:p>
    <w:p w14:paraId="21F650F1" w14:textId="018BF556" w:rsidR="002C5BC6" w:rsidRPr="00B215AC" w:rsidRDefault="002C5BC6" w:rsidP="003E2C11">
      <w:pPr>
        <w:pStyle w:val="0-TXT11"/>
        <w:jc w:val="right"/>
        <w:rPr>
          <w:rFonts w:cs="Times New Roman"/>
          <w:b/>
          <w:color w:val="FF0000"/>
          <w:sz w:val="44"/>
          <w:szCs w:val="44"/>
        </w:rPr>
      </w:pPr>
    </w:p>
    <w:p w14:paraId="714F982A" w14:textId="158D7EBE" w:rsidR="002C5BC6" w:rsidRPr="00B215AC" w:rsidRDefault="002C5BC6" w:rsidP="003E2C11">
      <w:pPr>
        <w:pStyle w:val="0-TXT11"/>
        <w:jc w:val="right"/>
        <w:rPr>
          <w:rFonts w:cs="Times New Roman"/>
          <w:b/>
          <w:color w:val="FF0000"/>
          <w:sz w:val="44"/>
          <w:szCs w:val="44"/>
        </w:rPr>
      </w:pPr>
    </w:p>
    <w:p w14:paraId="70440B39" w14:textId="7D6F7F7E" w:rsidR="002C5BC6" w:rsidRPr="00B215AC" w:rsidRDefault="002C5BC6" w:rsidP="003E2C11">
      <w:pPr>
        <w:pStyle w:val="0-TXT11"/>
        <w:jc w:val="right"/>
        <w:rPr>
          <w:rFonts w:cs="Times New Roman"/>
          <w:b/>
          <w:color w:val="FF0000"/>
          <w:sz w:val="44"/>
          <w:szCs w:val="44"/>
        </w:rPr>
      </w:pPr>
    </w:p>
    <w:p w14:paraId="397AF34B" w14:textId="3CD45B17" w:rsidR="002C5BC6" w:rsidRPr="00B215AC" w:rsidRDefault="002C5BC6" w:rsidP="003E2C11">
      <w:pPr>
        <w:pStyle w:val="0-TXT11"/>
        <w:jc w:val="right"/>
        <w:rPr>
          <w:rFonts w:cs="Times New Roman"/>
          <w:b/>
          <w:color w:val="FF0000"/>
          <w:sz w:val="44"/>
          <w:szCs w:val="44"/>
        </w:rPr>
      </w:pPr>
    </w:p>
    <w:p w14:paraId="39B748D6" w14:textId="47721E85" w:rsidR="002C5BC6" w:rsidRPr="00B215AC" w:rsidRDefault="002C5BC6" w:rsidP="003E2C11">
      <w:pPr>
        <w:pStyle w:val="0-TXT11"/>
        <w:jc w:val="right"/>
        <w:rPr>
          <w:rFonts w:cs="Times New Roman"/>
          <w:b/>
          <w:color w:val="FF0000"/>
          <w:sz w:val="44"/>
          <w:szCs w:val="44"/>
        </w:rPr>
      </w:pPr>
    </w:p>
    <w:p w14:paraId="0009B9EC" w14:textId="102E51E7" w:rsidR="002C5BC6" w:rsidRPr="00B215AC" w:rsidRDefault="002C5BC6" w:rsidP="003E2C11">
      <w:pPr>
        <w:pStyle w:val="0-TXT11"/>
        <w:jc w:val="right"/>
        <w:rPr>
          <w:rFonts w:cs="Times New Roman"/>
          <w:b/>
          <w:color w:val="FF0000"/>
          <w:sz w:val="44"/>
          <w:szCs w:val="44"/>
        </w:rPr>
      </w:pPr>
    </w:p>
    <w:p w14:paraId="5C08C31D" w14:textId="57321FDF" w:rsidR="002C5BC6" w:rsidRPr="00B215AC" w:rsidRDefault="002C5BC6" w:rsidP="003E2C11">
      <w:pPr>
        <w:pStyle w:val="0-TXT11"/>
        <w:jc w:val="right"/>
        <w:rPr>
          <w:rFonts w:cs="Times New Roman"/>
          <w:b/>
          <w:color w:val="FF0000"/>
          <w:sz w:val="44"/>
          <w:szCs w:val="44"/>
        </w:rPr>
      </w:pPr>
    </w:p>
    <w:p w14:paraId="38FD8AB3" w14:textId="71BEC2F3" w:rsidR="002C5BC6" w:rsidRPr="00B215AC" w:rsidRDefault="002C5BC6" w:rsidP="003E2C11">
      <w:pPr>
        <w:pStyle w:val="0-TXT11"/>
        <w:jc w:val="right"/>
        <w:rPr>
          <w:rFonts w:cs="Times New Roman"/>
          <w:b/>
          <w:color w:val="FF0000"/>
          <w:sz w:val="44"/>
          <w:szCs w:val="44"/>
        </w:rPr>
      </w:pPr>
    </w:p>
    <w:p w14:paraId="3E49E0E2" w14:textId="33451AA4" w:rsidR="002C5BC6" w:rsidRPr="00B215AC" w:rsidRDefault="002C5BC6" w:rsidP="003E2C11">
      <w:pPr>
        <w:pStyle w:val="0-TXT11"/>
        <w:jc w:val="right"/>
        <w:rPr>
          <w:rFonts w:cs="Times New Roman"/>
          <w:b/>
          <w:color w:val="FF0000"/>
          <w:sz w:val="44"/>
          <w:szCs w:val="44"/>
        </w:rPr>
      </w:pPr>
    </w:p>
    <w:p w14:paraId="7D1BC590" w14:textId="2D772A29" w:rsidR="002C5BC6" w:rsidRPr="00B215AC" w:rsidRDefault="002C5BC6" w:rsidP="003E2C11">
      <w:pPr>
        <w:pStyle w:val="0-TXT11"/>
        <w:jc w:val="right"/>
        <w:rPr>
          <w:rFonts w:cs="Times New Roman"/>
          <w:b/>
          <w:color w:val="FF0000"/>
          <w:sz w:val="44"/>
          <w:szCs w:val="44"/>
        </w:rPr>
      </w:pPr>
    </w:p>
    <w:p w14:paraId="4F9942AE" w14:textId="459FFA9B" w:rsidR="002C5BC6" w:rsidRPr="00B215AC" w:rsidRDefault="002C5BC6" w:rsidP="003E2C11">
      <w:pPr>
        <w:pStyle w:val="0-TXT11"/>
        <w:jc w:val="right"/>
        <w:rPr>
          <w:rFonts w:cs="Times New Roman"/>
          <w:b/>
          <w:color w:val="FF0000"/>
          <w:sz w:val="44"/>
          <w:szCs w:val="44"/>
        </w:rPr>
      </w:pPr>
    </w:p>
    <w:p w14:paraId="255DEDA4" w14:textId="1F72848C" w:rsidR="002C5BC6" w:rsidRPr="00B215AC" w:rsidRDefault="002C5BC6" w:rsidP="003E2C11">
      <w:pPr>
        <w:pStyle w:val="0-TXT11"/>
        <w:jc w:val="right"/>
        <w:rPr>
          <w:rFonts w:cs="Times New Roman"/>
          <w:b/>
          <w:color w:val="FF0000"/>
          <w:sz w:val="44"/>
          <w:szCs w:val="44"/>
        </w:rPr>
      </w:pPr>
    </w:p>
    <w:p w14:paraId="0753ABC8" w14:textId="2FF1BE9F" w:rsidR="002C5BC6" w:rsidRPr="00B215AC" w:rsidRDefault="002C5BC6" w:rsidP="003E2C11">
      <w:pPr>
        <w:pStyle w:val="0-TXT11"/>
        <w:jc w:val="right"/>
        <w:rPr>
          <w:rFonts w:cs="Times New Roman"/>
          <w:b/>
          <w:color w:val="FF0000"/>
          <w:sz w:val="44"/>
          <w:szCs w:val="44"/>
        </w:rPr>
      </w:pPr>
    </w:p>
    <w:p w14:paraId="682A9E9E" w14:textId="461410D4" w:rsidR="002C5BC6" w:rsidRPr="00B215AC" w:rsidRDefault="002C5BC6" w:rsidP="003E2C11">
      <w:pPr>
        <w:pStyle w:val="0-TXT11"/>
        <w:jc w:val="right"/>
        <w:rPr>
          <w:rFonts w:cs="Times New Roman"/>
          <w:b/>
          <w:color w:val="FF0000"/>
          <w:sz w:val="44"/>
          <w:szCs w:val="44"/>
        </w:rPr>
      </w:pPr>
    </w:p>
    <w:p w14:paraId="0AD67168" w14:textId="5FC954D5" w:rsidR="002C5BC6" w:rsidRPr="00B215AC" w:rsidRDefault="002C5BC6" w:rsidP="003E2C11">
      <w:pPr>
        <w:pStyle w:val="0-TXT11"/>
        <w:jc w:val="right"/>
        <w:rPr>
          <w:rFonts w:cs="Times New Roman"/>
          <w:b/>
          <w:color w:val="FF0000"/>
          <w:sz w:val="44"/>
          <w:szCs w:val="44"/>
        </w:rPr>
      </w:pPr>
    </w:p>
    <w:p w14:paraId="49C8561B" w14:textId="77777777" w:rsidR="002C5BC6" w:rsidRPr="00B215AC" w:rsidRDefault="002C5BC6" w:rsidP="003E2C11">
      <w:pPr>
        <w:pStyle w:val="0-TXT11"/>
        <w:jc w:val="right"/>
        <w:rPr>
          <w:rFonts w:cs="Times New Roman"/>
          <w:b/>
          <w:color w:val="FF0000"/>
          <w:sz w:val="44"/>
          <w:szCs w:val="44"/>
        </w:rPr>
      </w:pPr>
    </w:p>
    <w:p w14:paraId="32C454B8" w14:textId="30F2F840" w:rsidR="003E2C11" w:rsidRPr="00B215AC" w:rsidRDefault="003E2C11" w:rsidP="003E2C11">
      <w:pPr>
        <w:pStyle w:val="0-TXT11"/>
        <w:jc w:val="right"/>
        <w:rPr>
          <w:rFonts w:cs="Times New Roman"/>
          <w:b/>
          <w:color w:val="FF0000"/>
          <w:sz w:val="44"/>
          <w:szCs w:val="44"/>
        </w:rPr>
      </w:pPr>
    </w:p>
    <w:p w14:paraId="742A8E2E" w14:textId="1F9D803C" w:rsidR="003E2C11" w:rsidRPr="00B215AC" w:rsidRDefault="003E2C11" w:rsidP="003E2C11">
      <w:pPr>
        <w:pStyle w:val="0-TXT11"/>
        <w:jc w:val="right"/>
        <w:rPr>
          <w:rFonts w:cs="Times New Roman"/>
          <w:b/>
          <w:color w:val="FF0000"/>
          <w:sz w:val="44"/>
          <w:szCs w:val="44"/>
        </w:rPr>
      </w:pPr>
    </w:p>
    <w:p w14:paraId="784D4BA5" w14:textId="485BEE94" w:rsidR="003E2C11" w:rsidRPr="00B215AC" w:rsidRDefault="003E2C11" w:rsidP="003E2C11">
      <w:pPr>
        <w:pStyle w:val="0-TXT11"/>
        <w:jc w:val="right"/>
        <w:rPr>
          <w:rFonts w:cs="Times New Roman"/>
          <w:b/>
          <w:color w:val="FF0000"/>
          <w:sz w:val="44"/>
          <w:szCs w:val="44"/>
        </w:rPr>
      </w:pPr>
    </w:p>
    <w:p w14:paraId="09DC8480" w14:textId="77777777" w:rsidR="003E2C11" w:rsidRPr="00B215AC" w:rsidRDefault="003E2C11" w:rsidP="003E2C11">
      <w:pPr>
        <w:pStyle w:val="0-TXT11"/>
        <w:jc w:val="right"/>
        <w:rPr>
          <w:rFonts w:cs="Times New Roman"/>
          <w:b/>
          <w:color w:val="FF0000"/>
          <w:sz w:val="44"/>
          <w:szCs w:val="44"/>
        </w:rPr>
      </w:pPr>
    </w:p>
    <w:p w14:paraId="61374A90" w14:textId="77777777" w:rsidR="00FD1B4C" w:rsidRPr="00B215AC" w:rsidRDefault="00FD1B4C" w:rsidP="00BE6068">
      <w:pPr>
        <w:pStyle w:val="0-TXT11"/>
        <w:jc w:val="right"/>
        <w:rPr>
          <w:rFonts w:cs="Times New Roman"/>
          <w:b/>
          <w:color w:val="FF0000"/>
          <w:sz w:val="44"/>
          <w:szCs w:val="44"/>
        </w:rPr>
      </w:pPr>
    </w:p>
    <w:p w14:paraId="383BA9A6" w14:textId="77777777" w:rsidR="00FD1B4C" w:rsidRPr="00B215AC" w:rsidRDefault="00FD1B4C" w:rsidP="00BE6068">
      <w:pPr>
        <w:pStyle w:val="0-TXT11"/>
        <w:jc w:val="right"/>
        <w:rPr>
          <w:rFonts w:cs="Times New Roman"/>
          <w:b/>
          <w:color w:val="FF0000"/>
          <w:sz w:val="44"/>
          <w:szCs w:val="44"/>
        </w:rPr>
      </w:pPr>
    </w:p>
    <w:p w14:paraId="6D92D548" w14:textId="5B4D1C18" w:rsidR="00BE6068" w:rsidRPr="00B215AC" w:rsidRDefault="006D58AA" w:rsidP="00BE6068">
      <w:pPr>
        <w:pStyle w:val="0-TXT11"/>
        <w:jc w:val="right"/>
        <w:rPr>
          <w:rFonts w:cs="Times New Roman"/>
          <w:b/>
          <w:sz w:val="44"/>
          <w:szCs w:val="44"/>
        </w:rPr>
        <w:sectPr w:rsidR="00BE6068" w:rsidRPr="00B215AC" w:rsidSect="009717B4">
          <w:headerReference w:type="default" r:id="rId10"/>
          <w:footnotePr>
            <w:numRestart w:val="eachSect"/>
          </w:footnotePr>
          <w:pgSz w:w="11905" w:h="16837"/>
          <w:pgMar w:top="0" w:right="850" w:bottom="1134" w:left="1701" w:header="720" w:footer="720" w:gutter="0"/>
          <w:pgNumType w:fmt="lowerRoman"/>
          <w:cols w:space="720"/>
          <w:noEndnote/>
        </w:sectPr>
      </w:pPr>
      <w:r w:rsidRPr="00B215AC">
        <w:rPr>
          <w:rFonts w:cs="Times New Roman"/>
          <w:b/>
          <w:sz w:val="44"/>
          <w:szCs w:val="44"/>
        </w:rPr>
        <w:t>SUMÁRIO</w:t>
      </w:r>
      <w:bookmarkEnd w:id="0"/>
      <w:bookmarkEnd w:id="1"/>
    </w:p>
    <w:p w14:paraId="350D14CE" w14:textId="77777777" w:rsidR="00BE6068" w:rsidRPr="00B215AC" w:rsidRDefault="00BE6068" w:rsidP="00062AA6">
      <w:pPr>
        <w:pStyle w:val="0-TXT11"/>
        <w:ind w:left="567"/>
        <w:rPr>
          <w:rFonts w:cs="Times New Roman"/>
          <w:color w:val="FF0000"/>
          <w:sz w:val="20"/>
          <w:szCs w:val="20"/>
        </w:rPr>
        <w:sectPr w:rsidR="00BE6068" w:rsidRPr="00B215AC" w:rsidSect="00B42CE7">
          <w:headerReference w:type="default" r:id="rId11"/>
          <w:footnotePr>
            <w:numRestart w:val="eachSect"/>
          </w:footnotePr>
          <w:type w:val="continuous"/>
          <w:pgSz w:w="11905" w:h="16837"/>
          <w:pgMar w:top="1134" w:right="850" w:bottom="1134" w:left="1701" w:header="720" w:footer="720" w:gutter="0"/>
          <w:cols w:space="720"/>
          <w:noEndnote/>
        </w:sectPr>
      </w:pPr>
    </w:p>
    <w:bookmarkStart w:id="3" w:name="_Toc511226174" w:displacedByCustomXml="next"/>
    <w:bookmarkStart w:id="4" w:name="_Toc511211410" w:displacedByCustomXml="next"/>
    <w:sdt>
      <w:sdtPr>
        <w:id w:val="-1280636156"/>
        <w:docPartObj>
          <w:docPartGallery w:val="Table of Contents"/>
          <w:docPartUnique/>
        </w:docPartObj>
      </w:sdtPr>
      <w:sdtEndPr>
        <w:rPr>
          <w:b/>
          <w:bCs/>
          <w:color w:val="FF0000"/>
        </w:rPr>
      </w:sdtEndPr>
      <w:sdtContent>
        <w:p w14:paraId="51E4012B" w14:textId="77777777" w:rsidR="00F3335F" w:rsidRPr="00E84200" w:rsidRDefault="00F3335F" w:rsidP="00FC12E6">
          <w:pPr>
            <w:jc w:val="right"/>
            <w:outlineLvl w:val="8"/>
            <w:rPr>
              <w:rStyle w:val="0-TXT11Char"/>
              <w:sz w:val="56"/>
              <w:szCs w:val="56"/>
            </w:rPr>
          </w:pPr>
          <w:r w:rsidRPr="00E84200">
            <w:rPr>
              <w:rStyle w:val="0-TXT11Char"/>
              <w:sz w:val="56"/>
              <w:szCs w:val="56"/>
            </w:rPr>
            <w:t>Sumário</w:t>
          </w:r>
          <w:bookmarkEnd w:id="4"/>
          <w:bookmarkEnd w:id="3"/>
        </w:p>
        <w:p w14:paraId="330DC2C3" w14:textId="77777777" w:rsidR="00175A5C" w:rsidRPr="00E84200" w:rsidRDefault="00175A5C" w:rsidP="00476929">
          <w:pPr>
            <w:rPr>
              <w:rStyle w:val="0-TXT11Char"/>
              <w:b/>
              <w:sz w:val="24"/>
            </w:rPr>
          </w:pPr>
        </w:p>
        <w:p w14:paraId="31F57B26" w14:textId="77777777" w:rsidR="00175A5C" w:rsidRPr="00E84200" w:rsidRDefault="00175A5C" w:rsidP="00175A5C">
          <w:pPr>
            <w:rPr>
              <w:rStyle w:val="0-TXT11Char"/>
              <w:b/>
              <w:sz w:val="24"/>
            </w:rPr>
          </w:pPr>
          <w:r w:rsidRPr="00E84200">
            <w:rPr>
              <w:rStyle w:val="0-TXT11Char"/>
              <w:b/>
              <w:sz w:val="24"/>
            </w:rPr>
            <w:t>Introdução......................................................................................................25</w:t>
          </w:r>
        </w:p>
        <w:p w14:paraId="69044A61" w14:textId="6E3784C7" w:rsidR="00BD5B06" w:rsidRDefault="002A20DD">
          <w:pPr>
            <w:pStyle w:val="Sumrio1"/>
            <w:rPr>
              <w:rFonts w:asciiTheme="minorHAnsi" w:eastAsiaTheme="minorEastAsia" w:hAnsiTheme="minorHAnsi" w:cstheme="minorBidi"/>
              <w:b w:val="0"/>
              <w:bCs w:val="0"/>
              <w:sz w:val="22"/>
              <w:szCs w:val="22"/>
            </w:rPr>
          </w:pPr>
          <w:r w:rsidRPr="00B215AC">
            <w:rPr>
              <w:color w:val="FF0000"/>
            </w:rPr>
            <w:fldChar w:fldCharType="begin"/>
          </w:r>
          <w:r w:rsidRPr="00B215AC">
            <w:rPr>
              <w:color w:val="FF0000"/>
            </w:rPr>
            <w:instrText xml:space="preserve"> TOC \h \z \t "Título 1;1;Título 2;2;Título 3;3;1 -CORPO TEXTO RELATORIO Char;1;1 - TABELA - TITULO;3;TITULO 14;1" </w:instrText>
          </w:r>
          <w:r w:rsidRPr="00B215AC">
            <w:rPr>
              <w:color w:val="FF0000"/>
            </w:rPr>
            <w:fldChar w:fldCharType="separate"/>
          </w:r>
          <w:hyperlink w:anchor="_Toc167871615" w:history="1">
            <w:r w:rsidR="00BD5B06" w:rsidRPr="009D4B3D">
              <w:rPr>
                <w:rStyle w:val="Hyperlink"/>
              </w:rPr>
              <w:t>1 Conjuntura Econômica</w:t>
            </w:r>
            <w:r w:rsidR="00BD5B06">
              <w:rPr>
                <w:webHidden/>
              </w:rPr>
              <w:tab/>
            </w:r>
            <w:r w:rsidR="00BD5B06">
              <w:rPr>
                <w:webHidden/>
              </w:rPr>
              <w:fldChar w:fldCharType="begin"/>
            </w:r>
            <w:r w:rsidR="00BD5B06">
              <w:rPr>
                <w:webHidden/>
              </w:rPr>
              <w:instrText xml:space="preserve"> PAGEREF _Toc167871615 \h </w:instrText>
            </w:r>
            <w:r w:rsidR="00BD5B06">
              <w:rPr>
                <w:webHidden/>
              </w:rPr>
            </w:r>
            <w:r w:rsidR="00BD5B06">
              <w:rPr>
                <w:webHidden/>
              </w:rPr>
              <w:fldChar w:fldCharType="separate"/>
            </w:r>
            <w:r w:rsidR="00BD5B06">
              <w:rPr>
                <w:webHidden/>
              </w:rPr>
              <w:t>29</w:t>
            </w:r>
            <w:r w:rsidR="00BD5B06">
              <w:rPr>
                <w:webHidden/>
              </w:rPr>
              <w:fldChar w:fldCharType="end"/>
            </w:r>
          </w:hyperlink>
        </w:p>
        <w:p w14:paraId="64A65256" w14:textId="5F53FD9B"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16" w:history="1">
            <w:r w:rsidRPr="009D4B3D">
              <w:rPr>
                <w:rStyle w:val="Hyperlink"/>
                <w:noProof/>
                <w14:scene3d>
                  <w14:camera w14:prst="orthographicFront"/>
                  <w14:lightRig w14:rig="threePt" w14:dir="t">
                    <w14:rot w14:lat="0" w14:lon="0" w14:rev="0"/>
                  </w14:lightRig>
                </w14:scene3d>
              </w:rPr>
              <w:t>1.1</w:t>
            </w:r>
            <w:r w:rsidRPr="009D4B3D">
              <w:rPr>
                <w:rStyle w:val="Hyperlink"/>
                <w:noProof/>
              </w:rPr>
              <w:t xml:space="preserve"> Comportamento dos Grandes Setores do PIB Goiano</w:t>
            </w:r>
            <w:r>
              <w:rPr>
                <w:noProof/>
                <w:webHidden/>
              </w:rPr>
              <w:tab/>
            </w:r>
            <w:r>
              <w:rPr>
                <w:noProof/>
                <w:webHidden/>
              </w:rPr>
              <w:fldChar w:fldCharType="begin"/>
            </w:r>
            <w:r>
              <w:rPr>
                <w:noProof/>
                <w:webHidden/>
              </w:rPr>
              <w:instrText xml:space="preserve"> PAGEREF _Toc167871616 \h </w:instrText>
            </w:r>
            <w:r>
              <w:rPr>
                <w:noProof/>
                <w:webHidden/>
              </w:rPr>
            </w:r>
            <w:r>
              <w:rPr>
                <w:noProof/>
                <w:webHidden/>
              </w:rPr>
              <w:fldChar w:fldCharType="separate"/>
            </w:r>
            <w:r>
              <w:rPr>
                <w:noProof/>
                <w:webHidden/>
              </w:rPr>
              <w:t>29</w:t>
            </w:r>
            <w:r>
              <w:rPr>
                <w:noProof/>
                <w:webHidden/>
              </w:rPr>
              <w:fldChar w:fldCharType="end"/>
            </w:r>
          </w:hyperlink>
        </w:p>
        <w:p w14:paraId="5BB1AB0C" w14:textId="2D4F1067"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17" w:history="1">
            <w:r w:rsidRPr="009D4B3D">
              <w:rPr>
                <w:rStyle w:val="Hyperlink"/>
                <w:noProof/>
                <w14:scene3d>
                  <w14:camera w14:prst="orthographicFront"/>
                  <w14:lightRig w14:rig="threePt" w14:dir="t">
                    <w14:rot w14:lat="0" w14:lon="0" w14:rev="0"/>
                  </w14:lightRig>
                </w14:scene3d>
              </w:rPr>
              <w:t>1.2</w:t>
            </w:r>
            <w:r w:rsidRPr="009D4B3D">
              <w:rPr>
                <w:rStyle w:val="Hyperlink"/>
                <w:noProof/>
              </w:rPr>
              <w:t xml:space="preserve"> Inflação</w:t>
            </w:r>
            <w:r>
              <w:rPr>
                <w:noProof/>
                <w:webHidden/>
              </w:rPr>
              <w:tab/>
            </w:r>
            <w:r>
              <w:rPr>
                <w:noProof/>
                <w:webHidden/>
              </w:rPr>
              <w:fldChar w:fldCharType="begin"/>
            </w:r>
            <w:r>
              <w:rPr>
                <w:noProof/>
                <w:webHidden/>
              </w:rPr>
              <w:instrText xml:space="preserve"> PAGEREF _Toc167871617 \h </w:instrText>
            </w:r>
            <w:r>
              <w:rPr>
                <w:noProof/>
                <w:webHidden/>
              </w:rPr>
            </w:r>
            <w:r>
              <w:rPr>
                <w:noProof/>
                <w:webHidden/>
              </w:rPr>
              <w:fldChar w:fldCharType="separate"/>
            </w:r>
            <w:r>
              <w:rPr>
                <w:noProof/>
                <w:webHidden/>
              </w:rPr>
              <w:t>31</w:t>
            </w:r>
            <w:r>
              <w:rPr>
                <w:noProof/>
                <w:webHidden/>
              </w:rPr>
              <w:fldChar w:fldCharType="end"/>
            </w:r>
          </w:hyperlink>
        </w:p>
        <w:p w14:paraId="49FBC439" w14:textId="4BFCCF99"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18" w:history="1">
            <w:r w:rsidRPr="009D4B3D">
              <w:rPr>
                <w:rStyle w:val="Hyperlink"/>
                <w:noProof/>
                <w14:scene3d>
                  <w14:camera w14:prst="orthographicFront"/>
                  <w14:lightRig w14:rig="threePt" w14:dir="t">
                    <w14:rot w14:lat="0" w14:lon="0" w14:rev="0"/>
                  </w14:lightRig>
                </w14:scene3d>
              </w:rPr>
              <w:t>1.3</w:t>
            </w:r>
            <w:r w:rsidRPr="009D4B3D">
              <w:rPr>
                <w:rStyle w:val="Hyperlink"/>
                <w:noProof/>
              </w:rPr>
              <w:t xml:space="preserve"> Mercado de Trabalho</w:t>
            </w:r>
            <w:r>
              <w:rPr>
                <w:noProof/>
                <w:webHidden/>
              </w:rPr>
              <w:tab/>
            </w:r>
            <w:r>
              <w:rPr>
                <w:noProof/>
                <w:webHidden/>
              </w:rPr>
              <w:fldChar w:fldCharType="begin"/>
            </w:r>
            <w:r>
              <w:rPr>
                <w:noProof/>
                <w:webHidden/>
              </w:rPr>
              <w:instrText xml:space="preserve"> PAGEREF _Toc167871618 \h </w:instrText>
            </w:r>
            <w:r>
              <w:rPr>
                <w:noProof/>
                <w:webHidden/>
              </w:rPr>
            </w:r>
            <w:r>
              <w:rPr>
                <w:noProof/>
                <w:webHidden/>
              </w:rPr>
              <w:fldChar w:fldCharType="separate"/>
            </w:r>
            <w:r>
              <w:rPr>
                <w:noProof/>
                <w:webHidden/>
              </w:rPr>
              <w:t>32</w:t>
            </w:r>
            <w:r>
              <w:rPr>
                <w:noProof/>
                <w:webHidden/>
              </w:rPr>
              <w:fldChar w:fldCharType="end"/>
            </w:r>
          </w:hyperlink>
        </w:p>
        <w:p w14:paraId="5AA3A8E1" w14:textId="10E47A2B"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19" w:history="1">
            <w:r w:rsidRPr="009D4B3D">
              <w:rPr>
                <w:rStyle w:val="Hyperlink"/>
                <w:noProof/>
                <w14:scene3d>
                  <w14:camera w14:prst="orthographicFront"/>
                  <w14:lightRig w14:rig="threePt" w14:dir="t">
                    <w14:rot w14:lat="0" w14:lon="0" w14:rev="0"/>
                  </w14:lightRig>
                </w14:scene3d>
              </w:rPr>
              <w:t>1.4</w:t>
            </w:r>
            <w:r w:rsidRPr="009D4B3D">
              <w:rPr>
                <w:rStyle w:val="Hyperlink"/>
                <w:noProof/>
              </w:rPr>
              <w:t xml:space="preserve"> Comércio Exterior Goiano</w:t>
            </w:r>
            <w:r>
              <w:rPr>
                <w:noProof/>
                <w:webHidden/>
              </w:rPr>
              <w:tab/>
            </w:r>
            <w:r>
              <w:rPr>
                <w:noProof/>
                <w:webHidden/>
              </w:rPr>
              <w:fldChar w:fldCharType="begin"/>
            </w:r>
            <w:r>
              <w:rPr>
                <w:noProof/>
                <w:webHidden/>
              </w:rPr>
              <w:instrText xml:space="preserve"> PAGEREF _Toc167871619 \h </w:instrText>
            </w:r>
            <w:r>
              <w:rPr>
                <w:noProof/>
                <w:webHidden/>
              </w:rPr>
            </w:r>
            <w:r>
              <w:rPr>
                <w:noProof/>
                <w:webHidden/>
              </w:rPr>
              <w:fldChar w:fldCharType="separate"/>
            </w:r>
            <w:r>
              <w:rPr>
                <w:noProof/>
                <w:webHidden/>
              </w:rPr>
              <w:t>33</w:t>
            </w:r>
            <w:r>
              <w:rPr>
                <w:noProof/>
                <w:webHidden/>
              </w:rPr>
              <w:fldChar w:fldCharType="end"/>
            </w:r>
          </w:hyperlink>
        </w:p>
        <w:p w14:paraId="5392A856" w14:textId="1B09A98F" w:rsidR="00BD5B06" w:rsidRDefault="00BD5B06">
          <w:pPr>
            <w:pStyle w:val="Sumrio1"/>
            <w:rPr>
              <w:rFonts w:asciiTheme="minorHAnsi" w:eastAsiaTheme="minorEastAsia" w:hAnsiTheme="minorHAnsi" w:cstheme="minorBidi"/>
              <w:b w:val="0"/>
              <w:bCs w:val="0"/>
              <w:sz w:val="22"/>
              <w:szCs w:val="22"/>
            </w:rPr>
          </w:pPr>
          <w:hyperlink w:anchor="_Toc167871620" w:history="1">
            <w:r w:rsidRPr="009D4B3D">
              <w:rPr>
                <w:rStyle w:val="Hyperlink"/>
              </w:rPr>
              <w:t>2 Ação Setorial do Governo</w:t>
            </w:r>
            <w:r>
              <w:rPr>
                <w:webHidden/>
              </w:rPr>
              <w:tab/>
            </w:r>
            <w:r>
              <w:rPr>
                <w:webHidden/>
              </w:rPr>
              <w:fldChar w:fldCharType="begin"/>
            </w:r>
            <w:r>
              <w:rPr>
                <w:webHidden/>
              </w:rPr>
              <w:instrText xml:space="preserve"> PAGEREF _Toc167871620 \h </w:instrText>
            </w:r>
            <w:r>
              <w:rPr>
                <w:webHidden/>
              </w:rPr>
            </w:r>
            <w:r>
              <w:rPr>
                <w:webHidden/>
              </w:rPr>
              <w:fldChar w:fldCharType="separate"/>
            </w:r>
            <w:r>
              <w:rPr>
                <w:webHidden/>
              </w:rPr>
              <w:t>36</w:t>
            </w:r>
            <w:r>
              <w:rPr>
                <w:webHidden/>
              </w:rPr>
              <w:fldChar w:fldCharType="end"/>
            </w:r>
          </w:hyperlink>
        </w:p>
        <w:p w14:paraId="3C50DAF6" w14:textId="7EC90365"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21" w:history="1">
            <w:r w:rsidRPr="009D4B3D">
              <w:rPr>
                <w:rStyle w:val="Hyperlink"/>
                <w:noProof/>
                <w14:scene3d>
                  <w14:camera w14:prst="orthographicFront"/>
                  <w14:lightRig w14:rig="threePt" w14:dir="t">
                    <w14:rot w14:lat="0" w14:lon="0" w14:rev="0"/>
                  </w14:lightRig>
                </w14:scene3d>
              </w:rPr>
              <w:t>2.1</w:t>
            </w:r>
            <w:r w:rsidRPr="009D4B3D">
              <w:rPr>
                <w:rStyle w:val="Hyperlink"/>
                <w:noProof/>
              </w:rPr>
              <w:t xml:space="preserve"> Plano Plurianual</w:t>
            </w:r>
            <w:r>
              <w:rPr>
                <w:noProof/>
                <w:webHidden/>
              </w:rPr>
              <w:tab/>
            </w:r>
            <w:r>
              <w:rPr>
                <w:noProof/>
                <w:webHidden/>
              </w:rPr>
              <w:fldChar w:fldCharType="begin"/>
            </w:r>
            <w:r>
              <w:rPr>
                <w:noProof/>
                <w:webHidden/>
              </w:rPr>
              <w:instrText xml:space="preserve"> PAGEREF _Toc167871621 \h </w:instrText>
            </w:r>
            <w:r>
              <w:rPr>
                <w:noProof/>
                <w:webHidden/>
              </w:rPr>
            </w:r>
            <w:r>
              <w:rPr>
                <w:noProof/>
                <w:webHidden/>
              </w:rPr>
              <w:fldChar w:fldCharType="separate"/>
            </w:r>
            <w:r>
              <w:rPr>
                <w:noProof/>
                <w:webHidden/>
              </w:rPr>
              <w:t>36</w:t>
            </w:r>
            <w:r>
              <w:rPr>
                <w:noProof/>
                <w:webHidden/>
              </w:rPr>
              <w:fldChar w:fldCharType="end"/>
            </w:r>
          </w:hyperlink>
        </w:p>
        <w:p w14:paraId="04ECE28B" w14:textId="326DB4EA"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22" w:history="1">
            <w:r w:rsidRPr="009D4B3D">
              <w:rPr>
                <w:rStyle w:val="Hyperlink"/>
                <w:noProof/>
                <w14:scene3d>
                  <w14:camera w14:prst="orthographicFront"/>
                  <w14:lightRig w14:rig="threePt" w14:dir="t">
                    <w14:rot w14:lat="0" w14:lon="0" w14:rev="0"/>
                  </w14:lightRig>
                </w14:scene3d>
              </w:rPr>
              <w:t>2.2</w:t>
            </w:r>
            <w:r w:rsidRPr="009D4B3D">
              <w:rPr>
                <w:rStyle w:val="Hyperlink"/>
                <w:noProof/>
              </w:rPr>
              <w:t xml:space="preserve"> Panorama Geral</w:t>
            </w:r>
            <w:r>
              <w:rPr>
                <w:noProof/>
                <w:webHidden/>
              </w:rPr>
              <w:tab/>
            </w:r>
            <w:r>
              <w:rPr>
                <w:noProof/>
                <w:webHidden/>
              </w:rPr>
              <w:fldChar w:fldCharType="begin"/>
            </w:r>
            <w:r>
              <w:rPr>
                <w:noProof/>
                <w:webHidden/>
              </w:rPr>
              <w:instrText xml:space="preserve"> PAGEREF _Toc167871622 \h </w:instrText>
            </w:r>
            <w:r>
              <w:rPr>
                <w:noProof/>
                <w:webHidden/>
              </w:rPr>
            </w:r>
            <w:r>
              <w:rPr>
                <w:noProof/>
                <w:webHidden/>
              </w:rPr>
              <w:fldChar w:fldCharType="separate"/>
            </w:r>
            <w:r>
              <w:rPr>
                <w:noProof/>
                <w:webHidden/>
              </w:rPr>
              <w:t>38</w:t>
            </w:r>
            <w:r>
              <w:rPr>
                <w:noProof/>
                <w:webHidden/>
              </w:rPr>
              <w:fldChar w:fldCharType="end"/>
            </w:r>
          </w:hyperlink>
        </w:p>
        <w:p w14:paraId="0EBB9370" w14:textId="07F5F067"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23" w:history="1">
            <w:r w:rsidRPr="009D4B3D">
              <w:rPr>
                <w:rStyle w:val="Hyperlink"/>
                <w:noProof/>
                <w14:scene3d>
                  <w14:camera w14:prst="orthographicFront"/>
                  <w14:lightRig w14:rig="threePt" w14:dir="t">
                    <w14:rot w14:lat="0" w14:lon="0" w14:rev="0"/>
                  </w14:lightRig>
                </w14:scene3d>
              </w:rPr>
              <w:t>2.3</w:t>
            </w:r>
            <w:r w:rsidRPr="009D4B3D">
              <w:rPr>
                <w:rStyle w:val="Hyperlink"/>
                <w:rFonts w:cs="Arial"/>
                <w:noProof/>
              </w:rPr>
              <w:t xml:space="preserve"> Eixos Estratégicos</w:t>
            </w:r>
            <w:r>
              <w:rPr>
                <w:noProof/>
                <w:webHidden/>
              </w:rPr>
              <w:tab/>
            </w:r>
            <w:r>
              <w:rPr>
                <w:noProof/>
                <w:webHidden/>
              </w:rPr>
              <w:fldChar w:fldCharType="begin"/>
            </w:r>
            <w:r>
              <w:rPr>
                <w:noProof/>
                <w:webHidden/>
              </w:rPr>
              <w:instrText xml:space="preserve"> PAGEREF _Toc167871623 \h </w:instrText>
            </w:r>
            <w:r>
              <w:rPr>
                <w:noProof/>
                <w:webHidden/>
              </w:rPr>
            </w:r>
            <w:r>
              <w:rPr>
                <w:noProof/>
                <w:webHidden/>
              </w:rPr>
              <w:fldChar w:fldCharType="separate"/>
            </w:r>
            <w:r>
              <w:rPr>
                <w:noProof/>
                <w:webHidden/>
              </w:rPr>
              <w:t>38</w:t>
            </w:r>
            <w:r>
              <w:rPr>
                <w:noProof/>
                <w:webHidden/>
              </w:rPr>
              <w:fldChar w:fldCharType="end"/>
            </w:r>
          </w:hyperlink>
        </w:p>
        <w:p w14:paraId="4D13F838" w14:textId="089F63BA"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24" w:history="1">
            <w:r w:rsidRPr="009D4B3D">
              <w:rPr>
                <w:rStyle w:val="Hyperlink"/>
                <w:noProof/>
                <w14:scene3d>
                  <w14:camera w14:prst="orthographicFront"/>
                  <w14:lightRig w14:rig="threePt" w14:dir="t">
                    <w14:rot w14:lat="0" w14:lon="0" w14:rev="0"/>
                  </w14:lightRig>
                </w14:scene3d>
              </w:rPr>
              <w:t>2.4</w:t>
            </w:r>
            <w:r w:rsidRPr="009D4B3D">
              <w:rPr>
                <w:rStyle w:val="Hyperlink"/>
                <w:rFonts w:cs="Arial"/>
                <w:noProof/>
              </w:rPr>
              <w:t xml:space="preserve"> Programas Governamentais</w:t>
            </w:r>
            <w:r>
              <w:rPr>
                <w:noProof/>
                <w:webHidden/>
              </w:rPr>
              <w:tab/>
            </w:r>
            <w:r>
              <w:rPr>
                <w:noProof/>
                <w:webHidden/>
              </w:rPr>
              <w:fldChar w:fldCharType="begin"/>
            </w:r>
            <w:r>
              <w:rPr>
                <w:noProof/>
                <w:webHidden/>
              </w:rPr>
              <w:instrText xml:space="preserve"> PAGEREF _Toc167871624 \h </w:instrText>
            </w:r>
            <w:r>
              <w:rPr>
                <w:noProof/>
                <w:webHidden/>
              </w:rPr>
            </w:r>
            <w:r>
              <w:rPr>
                <w:noProof/>
                <w:webHidden/>
              </w:rPr>
              <w:fldChar w:fldCharType="separate"/>
            </w:r>
            <w:r>
              <w:rPr>
                <w:noProof/>
                <w:webHidden/>
              </w:rPr>
              <w:t>39</w:t>
            </w:r>
            <w:r>
              <w:rPr>
                <w:noProof/>
                <w:webHidden/>
              </w:rPr>
              <w:fldChar w:fldCharType="end"/>
            </w:r>
          </w:hyperlink>
        </w:p>
        <w:p w14:paraId="12264F98" w14:textId="76E0071A" w:rsidR="00BD5B06" w:rsidRDefault="00BD5B06">
          <w:pPr>
            <w:pStyle w:val="Sumrio3"/>
            <w:rPr>
              <w:rFonts w:asciiTheme="minorHAnsi" w:eastAsiaTheme="minorEastAsia" w:hAnsiTheme="minorHAnsi" w:cstheme="minorBidi"/>
              <w:i w:val="0"/>
              <w:noProof/>
            </w:rPr>
          </w:pPr>
          <w:hyperlink w:anchor="_Toc167871625" w:history="1">
            <w:r w:rsidRPr="009D4B3D">
              <w:rPr>
                <w:rStyle w:val="Hyperlink"/>
                <w:noProof/>
              </w:rPr>
              <w:t>2.4.1 Programas Finalísticos</w:t>
            </w:r>
            <w:r>
              <w:rPr>
                <w:noProof/>
                <w:webHidden/>
              </w:rPr>
              <w:tab/>
            </w:r>
            <w:r>
              <w:rPr>
                <w:noProof/>
                <w:webHidden/>
              </w:rPr>
              <w:fldChar w:fldCharType="begin"/>
            </w:r>
            <w:r>
              <w:rPr>
                <w:noProof/>
                <w:webHidden/>
              </w:rPr>
              <w:instrText xml:space="preserve"> PAGEREF _Toc167871625 \h </w:instrText>
            </w:r>
            <w:r>
              <w:rPr>
                <w:noProof/>
                <w:webHidden/>
              </w:rPr>
            </w:r>
            <w:r>
              <w:rPr>
                <w:noProof/>
                <w:webHidden/>
              </w:rPr>
              <w:fldChar w:fldCharType="separate"/>
            </w:r>
            <w:r>
              <w:rPr>
                <w:noProof/>
                <w:webHidden/>
              </w:rPr>
              <w:t>40</w:t>
            </w:r>
            <w:r>
              <w:rPr>
                <w:noProof/>
                <w:webHidden/>
              </w:rPr>
              <w:fldChar w:fldCharType="end"/>
            </w:r>
          </w:hyperlink>
        </w:p>
        <w:p w14:paraId="62C82620" w14:textId="77EA0645" w:rsidR="00BD5B06" w:rsidRDefault="00BD5B06">
          <w:pPr>
            <w:pStyle w:val="Sumrio3"/>
            <w:rPr>
              <w:rFonts w:asciiTheme="minorHAnsi" w:eastAsiaTheme="minorEastAsia" w:hAnsiTheme="minorHAnsi" w:cstheme="minorBidi"/>
              <w:i w:val="0"/>
              <w:noProof/>
            </w:rPr>
          </w:pPr>
          <w:hyperlink w:anchor="_Toc167871626" w:history="1">
            <w:r w:rsidRPr="009D4B3D">
              <w:rPr>
                <w:rStyle w:val="Hyperlink"/>
                <w:noProof/>
              </w:rPr>
              <w:t>2.4.2 Programas de Gestão e Especiais</w:t>
            </w:r>
            <w:r>
              <w:rPr>
                <w:noProof/>
                <w:webHidden/>
              </w:rPr>
              <w:tab/>
            </w:r>
            <w:r>
              <w:rPr>
                <w:noProof/>
                <w:webHidden/>
              </w:rPr>
              <w:fldChar w:fldCharType="begin"/>
            </w:r>
            <w:r>
              <w:rPr>
                <w:noProof/>
                <w:webHidden/>
              </w:rPr>
              <w:instrText xml:space="preserve"> PAGEREF _Toc167871626 \h </w:instrText>
            </w:r>
            <w:r>
              <w:rPr>
                <w:noProof/>
                <w:webHidden/>
              </w:rPr>
            </w:r>
            <w:r>
              <w:rPr>
                <w:noProof/>
                <w:webHidden/>
              </w:rPr>
              <w:fldChar w:fldCharType="separate"/>
            </w:r>
            <w:r>
              <w:rPr>
                <w:noProof/>
                <w:webHidden/>
              </w:rPr>
              <w:t>42</w:t>
            </w:r>
            <w:r>
              <w:rPr>
                <w:noProof/>
                <w:webHidden/>
              </w:rPr>
              <w:fldChar w:fldCharType="end"/>
            </w:r>
          </w:hyperlink>
        </w:p>
        <w:p w14:paraId="336B8466" w14:textId="3DA0B9A6" w:rsidR="00BD5B06" w:rsidRDefault="00BD5B06">
          <w:pPr>
            <w:pStyle w:val="Sumrio3"/>
            <w:rPr>
              <w:rFonts w:asciiTheme="minorHAnsi" w:eastAsiaTheme="minorEastAsia" w:hAnsiTheme="minorHAnsi" w:cstheme="minorBidi"/>
              <w:i w:val="0"/>
              <w:noProof/>
            </w:rPr>
          </w:pPr>
          <w:hyperlink w:anchor="_Toc167871627" w:history="1">
            <w:r w:rsidRPr="009D4B3D">
              <w:rPr>
                <w:rStyle w:val="Hyperlink"/>
                <w:noProof/>
              </w:rPr>
              <w:t>2.4.3 Reservas Estaduais</w:t>
            </w:r>
            <w:r>
              <w:rPr>
                <w:noProof/>
                <w:webHidden/>
              </w:rPr>
              <w:tab/>
            </w:r>
            <w:r>
              <w:rPr>
                <w:noProof/>
                <w:webHidden/>
              </w:rPr>
              <w:fldChar w:fldCharType="begin"/>
            </w:r>
            <w:r>
              <w:rPr>
                <w:noProof/>
                <w:webHidden/>
              </w:rPr>
              <w:instrText xml:space="preserve"> PAGEREF _Toc167871627 \h </w:instrText>
            </w:r>
            <w:r>
              <w:rPr>
                <w:noProof/>
                <w:webHidden/>
              </w:rPr>
            </w:r>
            <w:r>
              <w:rPr>
                <w:noProof/>
                <w:webHidden/>
              </w:rPr>
              <w:fldChar w:fldCharType="separate"/>
            </w:r>
            <w:r>
              <w:rPr>
                <w:noProof/>
                <w:webHidden/>
              </w:rPr>
              <w:t>45</w:t>
            </w:r>
            <w:r>
              <w:rPr>
                <w:noProof/>
                <w:webHidden/>
              </w:rPr>
              <w:fldChar w:fldCharType="end"/>
            </w:r>
          </w:hyperlink>
        </w:p>
        <w:p w14:paraId="3EC310AD" w14:textId="390008F5" w:rsidR="00BD5B06" w:rsidRDefault="00BD5B06">
          <w:pPr>
            <w:pStyle w:val="Sumrio1"/>
            <w:rPr>
              <w:rFonts w:asciiTheme="minorHAnsi" w:eastAsiaTheme="minorEastAsia" w:hAnsiTheme="minorHAnsi" w:cstheme="minorBidi"/>
              <w:b w:val="0"/>
              <w:bCs w:val="0"/>
              <w:sz w:val="22"/>
              <w:szCs w:val="22"/>
            </w:rPr>
          </w:pPr>
          <w:hyperlink w:anchor="_Toc167871628" w:history="1">
            <w:r w:rsidRPr="009D4B3D">
              <w:rPr>
                <w:rStyle w:val="Hyperlink"/>
              </w:rPr>
              <w:t>3 Gestão Orçamentária e Financeira</w:t>
            </w:r>
            <w:r>
              <w:rPr>
                <w:webHidden/>
              </w:rPr>
              <w:tab/>
            </w:r>
            <w:r>
              <w:rPr>
                <w:webHidden/>
              </w:rPr>
              <w:fldChar w:fldCharType="begin"/>
            </w:r>
            <w:r>
              <w:rPr>
                <w:webHidden/>
              </w:rPr>
              <w:instrText xml:space="preserve"> PAGEREF _Toc167871628 \h </w:instrText>
            </w:r>
            <w:r>
              <w:rPr>
                <w:webHidden/>
              </w:rPr>
            </w:r>
            <w:r>
              <w:rPr>
                <w:webHidden/>
              </w:rPr>
              <w:fldChar w:fldCharType="separate"/>
            </w:r>
            <w:r>
              <w:rPr>
                <w:webHidden/>
              </w:rPr>
              <w:t>47</w:t>
            </w:r>
            <w:r>
              <w:rPr>
                <w:webHidden/>
              </w:rPr>
              <w:fldChar w:fldCharType="end"/>
            </w:r>
          </w:hyperlink>
        </w:p>
        <w:p w14:paraId="5C638B99" w14:textId="00916D61"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29" w:history="1">
            <w:r w:rsidRPr="009D4B3D">
              <w:rPr>
                <w:rStyle w:val="Hyperlink"/>
                <w:noProof/>
                <w14:scene3d>
                  <w14:camera w14:prst="orthographicFront"/>
                  <w14:lightRig w14:rig="threePt" w14:dir="t">
                    <w14:rot w14:lat="0" w14:lon="0" w14:rev="0"/>
                  </w14:lightRig>
                </w14:scene3d>
              </w:rPr>
              <w:t>3.1</w:t>
            </w:r>
            <w:r w:rsidRPr="009D4B3D">
              <w:rPr>
                <w:rStyle w:val="Hyperlink"/>
                <w:noProof/>
              </w:rPr>
              <w:t xml:space="preserve"> Orçamento</w:t>
            </w:r>
            <w:r>
              <w:rPr>
                <w:noProof/>
                <w:webHidden/>
              </w:rPr>
              <w:tab/>
            </w:r>
            <w:r>
              <w:rPr>
                <w:noProof/>
                <w:webHidden/>
              </w:rPr>
              <w:fldChar w:fldCharType="begin"/>
            </w:r>
            <w:r>
              <w:rPr>
                <w:noProof/>
                <w:webHidden/>
              </w:rPr>
              <w:instrText xml:space="preserve"> PAGEREF _Toc167871629 \h </w:instrText>
            </w:r>
            <w:r>
              <w:rPr>
                <w:noProof/>
                <w:webHidden/>
              </w:rPr>
            </w:r>
            <w:r>
              <w:rPr>
                <w:noProof/>
                <w:webHidden/>
              </w:rPr>
              <w:fldChar w:fldCharType="separate"/>
            </w:r>
            <w:r>
              <w:rPr>
                <w:noProof/>
                <w:webHidden/>
              </w:rPr>
              <w:t>47</w:t>
            </w:r>
            <w:r>
              <w:rPr>
                <w:noProof/>
                <w:webHidden/>
              </w:rPr>
              <w:fldChar w:fldCharType="end"/>
            </w:r>
          </w:hyperlink>
        </w:p>
        <w:p w14:paraId="71EF42BF" w14:textId="7ACCDF90"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30" w:history="1">
            <w:r w:rsidRPr="009D4B3D">
              <w:rPr>
                <w:rStyle w:val="Hyperlink"/>
                <w:noProof/>
                <w14:scene3d>
                  <w14:camera w14:prst="orthographicFront"/>
                  <w14:lightRig w14:rig="threePt" w14:dir="t">
                    <w14:rot w14:lat="0" w14:lon="0" w14:rev="0"/>
                  </w14:lightRig>
                </w14:scene3d>
              </w:rPr>
              <w:t>3.2</w:t>
            </w:r>
            <w:r w:rsidRPr="009D4B3D">
              <w:rPr>
                <w:rStyle w:val="Hyperlink"/>
                <w:noProof/>
              </w:rPr>
              <w:t xml:space="preserve"> Resultado da Execução Orçamentária</w:t>
            </w:r>
            <w:r>
              <w:rPr>
                <w:noProof/>
                <w:webHidden/>
              </w:rPr>
              <w:tab/>
            </w:r>
            <w:r>
              <w:rPr>
                <w:noProof/>
                <w:webHidden/>
              </w:rPr>
              <w:fldChar w:fldCharType="begin"/>
            </w:r>
            <w:r>
              <w:rPr>
                <w:noProof/>
                <w:webHidden/>
              </w:rPr>
              <w:instrText xml:space="preserve"> PAGEREF _Toc167871630 \h </w:instrText>
            </w:r>
            <w:r>
              <w:rPr>
                <w:noProof/>
                <w:webHidden/>
              </w:rPr>
            </w:r>
            <w:r>
              <w:rPr>
                <w:noProof/>
                <w:webHidden/>
              </w:rPr>
              <w:fldChar w:fldCharType="separate"/>
            </w:r>
            <w:r>
              <w:rPr>
                <w:noProof/>
                <w:webHidden/>
              </w:rPr>
              <w:t>50</w:t>
            </w:r>
            <w:r>
              <w:rPr>
                <w:noProof/>
                <w:webHidden/>
              </w:rPr>
              <w:fldChar w:fldCharType="end"/>
            </w:r>
          </w:hyperlink>
        </w:p>
        <w:p w14:paraId="02E0953F" w14:textId="25AD146E"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31" w:history="1">
            <w:r w:rsidRPr="009D4B3D">
              <w:rPr>
                <w:rStyle w:val="Hyperlink"/>
                <w:noProof/>
                <w14:scene3d>
                  <w14:camera w14:prst="orthographicFront"/>
                  <w14:lightRig w14:rig="threePt" w14:dir="t">
                    <w14:rot w14:lat="0" w14:lon="0" w14:rev="0"/>
                  </w14:lightRig>
                </w14:scene3d>
              </w:rPr>
              <w:t>3.3</w:t>
            </w:r>
            <w:r w:rsidRPr="009D4B3D">
              <w:rPr>
                <w:rStyle w:val="Hyperlink"/>
                <w:noProof/>
              </w:rPr>
              <w:t xml:space="preserve"> Receita</w:t>
            </w:r>
            <w:r>
              <w:rPr>
                <w:noProof/>
                <w:webHidden/>
              </w:rPr>
              <w:tab/>
            </w:r>
            <w:r>
              <w:rPr>
                <w:noProof/>
                <w:webHidden/>
              </w:rPr>
              <w:fldChar w:fldCharType="begin"/>
            </w:r>
            <w:r>
              <w:rPr>
                <w:noProof/>
                <w:webHidden/>
              </w:rPr>
              <w:instrText xml:space="preserve"> PAGEREF _Toc167871631 \h </w:instrText>
            </w:r>
            <w:r>
              <w:rPr>
                <w:noProof/>
                <w:webHidden/>
              </w:rPr>
            </w:r>
            <w:r>
              <w:rPr>
                <w:noProof/>
                <w:webHidden/>
              </w:rPr>
              <w:fldChar w:fldCharType="separate"/>
            </w:r>
            <w:r>
              <w:rPr>
                <w:noProof/>
                <w:webHidden/>
              </w:rPr>
              <w:t>52</w:t>
            </w:r>
            <w:r>
              <w:rPr>
                <w:noProof/>
                <w:webHidden/>
              </w:rPr>
              <w:fldChar w:fldCharType="end"/>
            </w:r>
          </w:hyperlink>
        </w:p>
        <w:p w14:paraId="7CCA4F1A" w14:textId="6BD15CDF"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32" w:history="1">
            <w:r w:rsidRPr="009D4B3D">
              <w:rPr>
                <w:rStyle w:val="Hyperlink"/>
                <w:noProof/>
                <w14:scene3d>
                  <w14:camera w14:prst="orthographicFront"/>
                  <w14:lightRig w14:rig="threePt" w14:dir="t">
                    <w14:rot w14:lat="0" w14:lon="0" w14:rev="0"/>
                  </w14:lightRig>
                </w14:scene3d>
              </w:rPr>
              <w:t>3.4</w:t>
            </w:r>
            <w:r w:rsidRPr="009D4B3D">
              <w:rPr>
                <w:rStyle w:val="Hyperlink"/>
                <w:noProof/>
              </w:rPr>
              <w:t xml:space="preserve"> Despesa</w:t>
            </w:r>
            <w:r>
              <w:rPr>
                <w:noProof/>
                <w:webHidden/>
              </w:rPr>
              <w:tab/>
            </w:r>
            <w:r>
              <w:rPr>
                <w:noProof/>
                <w:webHidden/>
              </w:rPr>
              <w:fldChar w:fldCharType="begin"/>
            </w:r>
            <w:r>
              <w:rPr>
                <w:noProof/>
                <w:webHidden/>
              </w:rPr>
              <w:instrText xml:space="preserve"> PAGEREF _Toc167871632 \h </w:instrText>
            </w:r>
            <w:r>
              <w:rPr>
                <w:noProof/>
                <w:webHidden/>
              </w:rPr>
            </w:r>
            <w:r>
              <w:rPr>
                <w:noProof/>
                <w:webHidden/>
              </w:rPr>
              <w:fldChar w:fldCharType="separate"/>
            </w:r>
            <w:r>
              <w:rPr>
                <w:noProof/>
                <w:webHidden/>
              </w:rPr>
              <w:t>59</w:t>
            </w:r>
            <w:r>
              <w:rPr>
                <w:noProof/>
                <w:webHidden/>
              </w:rPr>
              <w:fldChar w:fldCharType="end"/>
            </w:r>
          </w:hyperlink>
        </w:p>
        <w:p w14:paraId="784981A5" w14:textId="145041A5" w:rsidR="00BD5B06" w:rsidRDefault="00BD5B06">
          <w:pPr>
            <w:pStyle w:val="Sumrio3"/>
            <w:rPr>
              <w:rFonts w:asciiTheme="minorHAnsi" w:eastAsiaTheme="minorEastAsia" w:hAnsiTheme="minorHAnsi" w:cstheme="minorBidi"/>
              <w:i w:val="0"/>
              <w:noProof/>
            </w:rPr>
          </w:pPr>
          <w:hyperlink w:anchor="_Toc167871633" w:history="1">
            <w:r w:rsidRPr="009D4B3D">
              <w:rPr>
                <w:rStyle w:val="Hyperlink"/>
                <w:noProof/>
              </w:rPr>
              <w:t>3.4.1 Gastos com Publicidade e Propaganda</w:t>
            </w:r>
            <w:r>
              <w:rPr>
                <w:noProof/>
                <w:webHidden/>
              </w:rPr>
              <w:tab/>
            </w:r>
            <w:r>
              <w:rPr>
                <w:noProof/>
                <w:webHidden/>
              </w:rPr>
              <w:fldChar w:fldCharType="begin"/>
            </w:r>
            <w:r>
              <w:rPr>
                <w:noProof/>
                <w:webHidden/>
              </w:rPr>
              <w:instrText xml:space="preserve"> PAGEREF _Toc167871633 \h </w:instrText>
            </w:r>
            <w:r>
              <w:rPr>
                <w:noProof/>
                <w:webHidden/>
              </w:rPr>
            </w:r>
            <w:r>
              <w:rPr>
                <w:noProof/>
                <w:webHidden/>
              </w:rPr>
              <w:fldChar w:fldCharType="separate"/>
            </w:r>
            <w:r>
              <w:rPr>
                <w:noProof/>
                <w:webHidden/>
              </w:rPr>
              <w:t>62</w:t>
            </w:r>
            <w:r>
              <w:rPr>
                <w:noProof/>
                <w:webHidden/>
              </w:rPr>
              <w:fldChar w:fldCharType="end"/>
            </w:r>
          </w:hyperlink>
        </w:p>
        <w:p w14:paraId="36FF88C2" w14:textId="22FFF9B8"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34" w:history="1">
            <w:r w:rsidRPr="009D4B3D">
              <w:rPr>
                <w:rStyle w:val="Hyperlink"/>
                <w:noProof/>
                <w14:scene3d>
                  <w14:camera w14:prst="orthographicFront"/>
                  <w14:lightRig w14:rig="threePt" w14:dir="t">
                    <w14:rot w14:lat="0" w14:lon="0" w14:rev="0"/>
                  </w14:lightRig>
                </w14:scene3d>
              </w:rPr>
              <w:t>3.5</w:t>
            </w:r>
            <w:r w:rsidRPr="009D4B3D">
              <w:rPr>
                <w:rStyle w:val="Hyperlink"/>
                <w:noProof/>
              </w:rPr>
              <w:t xml:space="preserve"> Regra de Ouro</w:t>
            </w:r>
            <w:r>
              <w:rPr>
                <w:noProof/>
                <w:webHidden/>
              </w:rPr>
              <w:tab/>
            </w:r>
            <w:r>
              <w:rPr>
                <w:noProof/>
                <w:webHidden/>
              </w:rPr>
              <w:fldChar w:fldCharType="begin"/>
            </w:r>
            <w:r>
              <w:rPr>
                <w:noProof/>
                <w:webHidden/>
              </w:rPr>
              <w:instrText xml:space="preserve"> PAGEREF _Toc167871634 \h </w:instrText>
            </w:r>
            <w:r>
              <w:rPr>
                <w:noProof/>
                <w:webHidden/>
              </w:rPr>
            </w:r>
            <w:r>
              <w:rPr>
                <w:noProof/>
                <w:webHidden/>
              </w:rPr>
              <w:fldChar w:fldCharType="separate"/>
            </w:r>
            <w:r>
              <w:rPr>
                <w:noProof/>
                <w:webHidden/>
              </w:rPr>
              <w:t>63</w:t>
            </w:r>
            <w:r>
              <w:rPr>
                <w:noProof/>
                <w:webHidden/>
              </w:rPr>
              <w:fldChar w:fldCharType="end"/>
            </w:r>
          </w:hyperlink>
        </w:p>
        <w:p w14:paraId="042E5106" w14:textId="31E7AD9F"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35" w:history="1">
            <w:r w:rsidRPr="009D4B3D">
              <w:rPr>
                <w:rStyle w:val="Hyperlink"/>
                <w:noProof/>
                <w14:scene3d>
                  <w14:camera w14:prst="orthographicFront"/>
                  <w14:lightRig w14:rig="threePt" w14:dir="t">
                    <w14:rot w14:lat="0" w14:lon="0" w14:rev="0"/>
                  </w14:lightRig>
                </w14:scene3d>
              </w:rPr>
              <w:t>3.6</w:t>
            </w:r>
            <w:r w:rsidRPr="009D4B3D">
              <w:rPr>
                <w:rStyle w:val="Hyperlink"/>
                <w:noProof/>
              </w:rPr>
              <w:t xml:space="preserve"> Alterações Orçamentárias</w:t>
            </w:r>
            <w:r>
              <w:rPr>
                <w:noProof/>
                <w:webHidden/>
              </w:rPr>
              <w:tab/>
            </w:r>
            <w:r>
              <w:rPr>
                <w:noProof/>
                <w:webHidden/>
              </w:rPr>
              <w:fldChar w:fldCharType="begin"/>
            </w:r>
            <w:r>
              <w:rPr>
                <w:noProof/>
                <w:webHidden/>
              </w:rPr>
              <w:instrText xml:space="preserve"> PAGEREF _Toc167871635 \h </w:instrText>
            </w:r>
            <w:r>
              <w:rPr>
                <w:noProof/>
                <w:webHidden/>
              </w:rPr>
            </w:r>
            <w:r>
              <w:rPr>
                <w:noProof/>
                <w:webHidden/>
              </w:rPr>
              <w:fldChar w:fldCharType="separate"/>
            </w:r>
            <w:r>
              <w:rPr>
                <w:noProof/>
                <w:webHidden/>
              </w:rPr>
              <w:t>64</w:t>
            </w:r>
            <w:r>
              <w:rPr>
                <w:noProof/>
                <w:webHidden/>
              </w:rPr>
              <w:fldChar w:fldCharType="end"/>
            </w:r>
          </w:hyperlink>
        </w:p>
        <w:p w14:paraId="7FE6FEC9" w14:textId="07B7FB11" w:rsidR="00BD5B06" w:rsidRDefault="00BD5B06">
          <w:pPr>
            <w:pStyle w:val="Sumrio3"/>
            <w:rPr>
              <w:rFonts w:asciiTheme="minorHAnsi" w:eastAsiaTheme="minorEastAsia" w:hAnsiTheme="minorHAnsi" w:cstheme="minorBidi"/>
              <w:i w:val="0"/>
              <w:noProof/>
            </w:rPr>
          </w:pPr>
          <w:hyperlink w:anchor="_Toc167871636" w:history="1">
            <w:r w:rsidRPr="009D4B3D">
              <w:rPr>
                <w:rStyle w:val="Hyperlink"/>
                <w:noProof/>
              </w:rPr>
              <w:t>3.6.1 Créditos Adicionais</w:t>
            </w:r>
            <w:r>
              <w:rPr>
                <w:noProof/>
                <w:webHidden/>
              </w:rPr>
              <w:tab/>
            </w:r>
            <w:r>
              <w:rPr>
                <w:noProof/>
                <w:webHidden/>
              </w:rPr>
              <w:fldChar w:fldCharType="begin"/>
            </w:r>
            <w:r>
              <w:rPr>
                <w:noProof/>
                <w:webHidden/>
              </w:rPr>
              <w:instrText xml:space="preserve"> PAGEREF _Toc167871636 \h </w:instrText>
            </w:r>
            <w:r>
              <w:rPr>
                <w:noProof/>
                <w:webHidden/>
              </w:rPr>
            </w:r>
            <w:r>
              <w:rPr>
                <w:noProof/>
                <w:webHidden/>
              </w:rPr>
              <w:fldChar w:fldCharType="separate"/>
            </w:r>
            <w:r>
              <w:rPr>
                <w:noProof/>
                <w:webHidden/>
              </w:rPr>
              <w:t>64</w:t>
            </w:r>
            <w:r>
              <w:rPr>
                <w:noProof/>
                <w:webHidden/>
              </w:rPr>
              <w:fldChar w:fldCharType="end"/>
            </w:r>
          </w:hyperlink>
        </w:p>
        <w:p w14:paraId="5BC95A48" w14:textId="165B8188" w:rsidR="00BD5B06" w:rsidRDefault="00BD5B06">
          <w:pPr>
            <w:pStyle w:val="Sumrio1"/>
            <w:rPr>
              <w:rFonts w:asciiTheme="minorHAnsi" w:eastAsiaTheme="minorEastAsia" w:hAnsiTheme="minorHAnsi" w:cstheme="minorBidi"/>
              <w:b w:val="0"/>
              <w:bCs w:val="0"/>
              <w:sz w:val="22"/>
              <w:szCs w:val="22"/>
            </w:rPr>
          </w:pPr>
          <w:hyperlink w:anchor="_Toc167871637" w:history="1">
            <w:r w:rsidRPr="009D4B3D">
              <w:rPr>
                <w:rStyle w:val="Hyperlink"/>
              </w:rPr>
              <w:t>4 Gestão Fiscal</w:t>
            </w:r>
            <w:r>
              <w:rPr>
                <w:webHidden/>
              </w:rPr>
              <w:tab/>
            </w:r>
            <w:r>
              <w:rPr>
                <w:webHidden/>
              </w:rPr>
              <w:fldChar w:fldCharType="begin"/>
            </w:r>
            <w:r>
              <w:rPr>
                <w:webHidden/>
              </w:rPr>
              <w:instrText xml:space="preserve"> PAGEREF _Toc167871637 \h </w:instrText>
            </w:r>
            <w:r>
              <w:rPr>
                <w:webHidden/>
              </w:rPr>
            </w:r>
            <w:r>
              <w:rPr>
                <w:webHidden/>
              </w:rPr>
              <w:fldChar w:fldCharType="separate"/>
            </w:r>
            <w:r>
              <w:rPr>
                <w:webHidden/>
              </w:rPr>
              <w:t>69</w:t>
            </w:r>
            <w:r>
              <w:rPr>
                <w:webHidden/>
              </w:rPr>
              <w:fldChar w:fldCharType="end"/>
            </w:r>
          </w:hyperlink>
        </w:p>
        <w:p w14:paraId="56996056" w14:textId="616E176C"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38" w:history="1">
            <w:r w:rsidRPr="009D4B3D">
              <w:rPr>
                <w:rStyle w:val="Hyperlink"/>
                <w:noProof/>
                <w14:scene3d>
                  <w14:camera w14:prst="orthographicFront"/>
                  <w14:lightRig w14:rig="threePt" w14:dir="t">
                    <w14:rot w14:lat="0" w14:lon="0" w14:rev="0"/>
                  </w14:lightRig>
                </w14:scene3d>
              </w:rPr>
              <w:t>4.1</w:t>
            </w:r>
            <w:r w:rsidRPr="009D4B3D">
              <w:rPr>
                <w:rStyle w:val="Hyperlink"/>
                <w:noProof/>
              </w:rPr>
              <w:t xml:space="preserve"> Receita Corrente Líquida</w:t>
            </w:r>
            <w:r>
              <w:rPr>
                <w:noProof/>
                <w:webHidden/>
              </w:rPr>
              <w:tab/>
            </w:r>
            <w:r>
              <w:rPr>
                <w:noProof/>
                <w:webHidden/>
              </w:rPr>
              <w:fldChar w:fldCharType="begin"/>
            </w:r>
            <w:r>
              <w:rPr>
                <w:noProof/>
                <w:webHidden/>
              </w:rPr>
              <w:instrText xml:space="preserve"> PAGEREF _Toc167871638 \h </w:instrText>
            </w:r>
            <w:r>
              <w:rPr>
                <w:noProof/>
                <w:webHidden/>
              </w:rPr>
            </w:r>
            <w:r>
              <w:rPr>
                <w:noProof/>
                <w:webHidden/>
              </w:rPr>
              <w:fldChar w:fldCharType="separate"/>
            </w:r>
            <w:r>
              <w:rPr>
                <w:noProof/>
                <w:webHidden/>
              </w:rPr>
              <w:t>70</w:t>
            </w:r>
            <w:r>
              <w:rPr>
                <w:noProof/>
                <w:webHidden/>
              </w:rPr>
              <w:fldChar w:fldCharType="end"/>
            </w:r>
          </w:hyperlink>
        </w:p>
        <w:p w14:paraId="55119776" w14:textId="24E452F3" w:rsidR="00BD5B06" w:rsidRDefault="00BD5B06">
          <w:pPr>
            <w:pStyle w:val="Sumrio3"/>
            <w:rPr>
              <w:rFonts w:asciiTheme="minorHAnsi" w:eastAsiaTheme="minorEastAsia" w:hAnsiTheme="minorHAnsi" w:cstheme="minorBidi"/>
              <w:i w:val="0"/>
              <w:noProof/>
            </w:rPr>
          </w:pPr>
          <w:hyperlink w:anchor="_Toc167871639" w:history="1">
            <w:r w:rsidRPr="009D4B3D">
              <w:rPr>
                <w:rStyle w:val="Hyperlink"/>
                <w:noProof/>
              </w:rPr>
              <w:t>4.1.1 Apuração da Receita Corrente Líquida</w:t>
            </w:r>
            <w:r>
              <w:rPr>
                <w:noProof/>
                <w:webHidden/>
              </w:rPr>
              <w:tab/>
            </w:r>
            <w:r>
              <w:rPr>
                <w:noProof/>
                <w:webHidden/>
              </w:rPr>
              <w:fldChar w:fldCharType="begin"/>
            </w:r>
            <w:r>
              <w:rPr>
                <w:noProof/>
                <w:webHidden/>
              </w:rPr>
              <w:instrText xml:space="preserve"> PAGEREF _Toc167871639 \h </w:instrText>
            </w:r>
            <w:r>
              <w:rPr>
                <w:noProof/>
                <w:webHidden/>
              </w:rPr>
            </w:r>
            <w:r>
              <w:rPr>
                <w:noProof/>
                <w:webHidden/>
              </w:rPr>
              <w:fldChar w:fldCharType="separate"/>
            </w:r>
            <w:r>
              <w:rPr>
                <w:noProof/>
                <w:webHidden/>
              </w:rPr>
              <w:t>70</w:t>
            </w:r>
            <w:r>
              <w:rPr>
                <w:noProof/>
                <w:webHidden/>
              </w:rPr>
              <w:fldChar w:fldCharType="end"/>
            </w:r>
          </w:hyperlink>
        </w:p>
        <w:p w14:paraId="1EEC6A01" w14:textId="7124679C"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40" w:history="1">
            <w:r w:rsidRPr="009D4B3D">
              <w:rPr>
                <w:rStyle w:val="Hyperlink"/>
                <w:noProof/>
                <w14:scene3d>
                  <w14:camera w14:prst="orthographicFront"/>
                  <w14:lightRig w14:rig="threePt" w14:dir="t">
                    <w14:rot w14:lat="0" w14:lon="0" w14:rev="0"/>
                  </w14:lightRig>
                </w14:scene3d>
              </w:rPr>
              <w:t>4.2</w:t>
            </w:r>
            <w:r w:rsidRPr="009D4B3D">
              <w:rPr>
                <w:rStyle w:val="Hyperlink"/>
                <w:noProof/>
              </w:rPr>
              <w:t xml:space="preserve"> Despesa com Pessoal</w:t>
            </w:r>
            <w:r>
              <w:rPr>
                <w:noProof/>
                <w:webHidden/>
              </w:rPr>
              <w:tab/>
            </w:r>
            <w:r>
              <w:rPr>
                <w:noProof/>
                <w:webHidden/>
              </w:rPr>
              <w:fldChar w:fldCharType="begin"/>
            </w:r>
            <w:r>
              <w:rPr>
                <w:noProof/>
                <w:webHidden/>
              </w:rPr>
              <w:instrText xml:space="preserve"> PAGEREF _Toc167871640 \h </w:instrText>
            </w:r>
            <w:r>
              <w:rPr>
                <w:noProof/>
                <w:webHidden/>
              </w:rPr>
            </w:r>
            <w:r>
              <w:rPr>
                <w:noProof/>
                <w:webHidden/>
              </w:rPr>
              <w:fldChar w:fldCharType="separate"/>
            </w:r>
            <w:r>
              <w:rPr>
                <w:noProof/>
                <w:webHidden/>
              </w:rPr>
              <w:t>75</w:t>
            </w:r>
            <w:r>
              <w:rPr>
                <w:noProof/>
                <w:webHidden/>
              </w:rPr>
              <w:fldChar w:fldCharType="end"/>
            </w:r>
          </w:hyperlink>
        </w:p>
        <w:p w14:paraId="6EAB5D8F" w14:textId="491B582C" w:rsidR="00BD5B06" w:rsidRDefault="00BD5B06">
          <w:pPr>
            <w:pStyle w:val="Sumrio3"/>
            <w:rPr>
              <w:rFonts w:asciiTheme="minorHAnsi" w:eastAsiaTheme="minorEastAsia" w:hAnsiTheme="minorHAnsi" w:cstheme="minorBidi"/>
              <w:i w:val="0"/>
              <w:noProof/>
            </w:rPr>
          </w:pPr>
          <w:hyperlink w:anchor="_Toc167871641" w:history="1">
            <w:r w:rsidRPr="009D4B3D">
              <w:rPr>
                <w:rStyle w:val="Hyperlink"/>
                <w:noProof/>
              </w:rPr>
              <w:t>4.2.1 Conceito e Limites</w:t>
            </w:r>
            <w:r>
              <w:rPr>
                <w:noProof/>
                <w:webHidden/>
              </w:rPr>
              <w:tab/>
            </w:r>
            <w:r>
              <w:rPr>
                <w:noProof/>
                <w:webHidden/>
              </w:rPr>
              <w:fldChar w:fldCharType="begin"/>
            </w:r>
            <w:r>
              <w:rPr>
                <w:noProof/>
                <w:webHidden/>
              </w:rPr>
              <w:instrText xml:space="preserve"> PAGEREF _Toc167871641 \h </w:instrText>
            </w:r>
            <w:r>
              <w:rPr>
                <w:noProof/>
                <w:webHidden/>
              </w:rPr>
            </w:r>
            <w:r>
              <w:rPr>
                <w:noProof/>
                <w:webHidden/>
              </w:rPr>
              <w:fldChar w:fldCharType="separate"/>
            </w:r>
            <w:r>
              <w:rPr>
                <w:noProof/>
                <w:webHidden/>
              </w:rPr>
              <w:t>75</w:t>
            </w:r>
            <w:r>
              <w:rPr>
                <w:noProof/>
                <w:webHidden/>
              </w:rPr>
              <w:fldChar w:fldCharType="end"/>
            </w:r>
          </w:hyperlink>
        </w:p>
        <w:p w14:paraId="3F3135CE" w14:textId="2CC6609F" w:rsidR="00BD5B06" w:rsidRDefault="00BD5B06">
          <w:pPr>
            <w:pStyle w:val="Sumrio3"/>
            <w:rPr>
              <w:rFonts w:asciiTheme="minorHAnsi" w:eastAsiaTheme="minorEastAsia" w:hAnsiTheme="minorHAnsi" w:cstheme="minorBidi"/>
              <w:i w:val="0"/>
              <w:noProof/>
            </w:rPr>
          </w:pPr>
          <w:hyperlink w:anchor="_Toc167871642" w:history="1">
            <w:r w:rsidRPr="009D4B3D">
              <w:rPr>
                <w:rStyle w:val="Hyperlink"/>
                <w:noProof/>
              </w:rPr>
              <w:t>4.2.2 Apuração Consolidada do Limite da Despesa com Pessoal</w:t>
            </w:r>
            <w:r>
              <w:rPr>
                <w:noProof/>
                <w:webHidden/>
              </w:rPr>
              <w:tab/>
            </w:r>
            <w:r>
              <w:rPr>
                <w:noProof/>
                <w:webHidden/>
              </w:rPr>
              <w:fldChar w:fldCharType="begin"/>
            </w:r>
            <w:r>
              <w:rPr>
                <w:noProof/>
                <w:webHidden/>
              </w:rPr>
              <w:instrText xml:space="preserve"> PAGEREF _Toc167871642 \h </w:instrText>
            </w:r>
            <w:r>
              <w:rPr>
                <w:noProof/>
                <w:webHidden/>
              </w:rPr>
            </w:r>
            <w:r>
              <w:rPr>
                <w:noProof/>
                <w:webHidden/>
              </w:rPr>
              <w:fldChar w:fldCharType="separate"/>
            </w:r>
            <w:r>
              <w:rPr>
                <w:noProof/>
                <w:webHidden/>
              </w:rPr>
              <w:t>78</w:t>
            </w:r>
            <w:r>
              <w:rPr>
                <w:noProof/>
                <w:webHidden/>
              </w:rPr>
              <w:fldChar w:fldCharType="end"/>
            </w:r>
          </w:hyperlink>
        </w:p>
        <w:p w14:paraId="5DE9E73E" w14:textId="7C761B55" w:rsidR="00BD5B06" w:rsidRDefault="00BD5B06">
          <w:pPr>
            <w:pStyle w:val="Sumrio3"/>
            <w:rPr>
              <w:rFonts w:asciiTheme="minorHAnsi" w:eastAsiaTheme="minorEastAsia" w:hAnsiTheme="minorHAnsi" w:cstheme="minorBidi"/>
              <w:i w:val="0"/>
              <w:noProof/>
            </w:rPr>
          </w:pPr>
          <w:hyperlink w:anchor="_Toc167871643" w:history="1">
            <w:r w:rsidRPr="009D4B3D">
              <w:rPr>
                <w:rStyle w:val="Hyperlink"/>
                <w:noProof/>
              </w:rPr>
              <w:t>4.2.3 Resumo do Limite da Despesa com Pessoal</w:t>
            </w:r>
            <w:r>
              <w:rPr>
                <w:noProof/>
                <w:webHidden/>
              </w:rPr>
              <w:tab/>
            </w:r>
            <w:r>
              <w:rPr>
                <w:noProof/>
                <w:webHidden/>
              </w:rPr>
              <w:fldChar w:fldCharType="begin"/>
            </w:r>
            <w:r>
              <w:rPr>
                <w:noProof/>
                <w:webHidden/>
              </w:rPr>
              <w:instrText xml:space="preserve"> PAGEREF _Toc167871643 \h </w:instrText>
            </w:r>
            <w:r>
              <w:rPr>
                <w:noProof/>
                <w:webHidden/>
              </w:rPr>
            </w:r>
            <w:r>
              <w:rPr>
                <w:noProof/>
                <w:webHidden/>
              </w:rPr>
              <w:fldChar w:fldCharType="separate"/>
            </w:r>
            <w:r>
              <w:rPr>
                <w:noProof/>
                <w:webHidden/>
              </w:rPr>
              <w:t>79</w:t>
            </w:r>
            <w:r>
              <w:rPr>
                <w:noProof/>
                <w:webHidden/>
              </w:rPr>
              <w:fldChar w:fldCharType="end"/>
            </w:r>
          </w:hyperlink>
        </w:p>
        <w:p w14:paraId="71591355" w14:textId="370228B1" w:rsidR="00BD5B06" w:rsidRDefault="00BD5B06">
          <w:pPr>
            <w:pStyle w:val="Sumrio3"/>
            <w:rPr>
              <w:rFonts w:asciiTheme="minorHAnsi" w:eastAsiaTheme="minorEastAsia" w:hAnsiTheme="minorHAnsi" w:cstheme="minorBidi"/>
              <w:i w:val="0"/>
              <w:noProof/>
            </w:rPr>
          </w:pPr>
          <w:hyperlink w:anchor="_Toc167871644" w:history="1">
            <w:r w:rsidRPr="009D4B3D">
              <w:rPr>
                <w:rStyle w:val="Hyperlink"/>
                <w:noProof/>
              </w:rPr>
              <w:t>4.2.4 Evolução da Despesa com Pessoal dos Poderes e Órgãos Autônomos</w:t>
            </w:r>
            <w:r>
              <w:rPr>
                <w:noProof/>
                <w:webHidden/>
              </w:rPr>
              <w:tab/>
            </w:r>
            <w:r>
              <w:rPr>
                <w:noProof/>
                <w:webHidden/>
              </w:rPr>
              <w:fldChar w:fldCharType="begin"/>
            </w:r>
            <w:r>
              <w:rPr>
                <w:noProof/>
                <w:webHidden/>
              </w:rPr>
              <w:instrText xml:space="preserve"> PAGEREF _Toc167871644 \h </w:instrText>
            </w:r>
            <w:r>
              <w:rPr>
                <w:noProof/>
                <w:webHidden/>
              </w:rPr>
            </w:r>
            <w:r>
              <w:rPr>
                <w:noProof/>
                <w:webHidden/>
              </w:rPr>
              <w:fldChar w:fldCharType="separate"/>
            </w:r>
            <w:r>
              <w:rPr>
                <w:noProof/>
                <w:webHidden/>
              </w:rPr>
              <w:t>80</w:t>
            </w:r>
            <w:r>
              <w:rPr>
                <w:noProof/>
                <w:webHidden/>
              </w:rPr>
              <w:fldChar w:fldCharType="end"/>
            </w:r>
          </w:hyperlink>
        </w:p>
        <w:p w14:paraId="01478D9B" w14:textId="42E88933" w:rsidR="00BD5B06" w:rsidRDefault="00BD5B06">
          <w:pPr>
            <w:pStyle w:val="Sumrio3"/>
            <w:rPr>
              <w:rFonts w:asciiTheme="minorHAnsi" w:eastAsiaTheme="minorEastAsia" w:hAnsiTheme="minorHAnsi" w:cstheme="minorBidi"/>
              <w:i w:val="0"/>
              <w:noProof/>
            </w:rPr>
          </w:pPr>
          <w:hyperlink w:anchor="_Toc167871645" w:history="1">
            <w:r w:rsidRPr="009D4B3D">
              <w:rPr>
                <w:rStyle w:val="Hyperlink"/>
                <w:noProof/>
              </w:rPr>
              <w:t>4.2.5 Limite da Despesa com Pessoal Excluindo Receitas do Ipasgo</w:t>
            </w:r>
            <w:r>
              <w:rPr>
                <w:noProof/>
                <w:webHidden/>
              </w:rPr>
              <w:tab/>
            </w:r>
            <w:r>
              <w:rPr>
                <w:noProof/>
                <w:webHidden/>
              </w:rPr>
              <w:fldChar w:fldCharType="begin"/>
            </w:r>
            <w:r>
              <w:rPr>
                <w:noProof/>
                <w:webHidden/>
              </w:rPr>
              <w:instrText xml:space="preserve"> PAGEREF _Toc167871645 \h </w:instrText>
            </w:r>
            <w:r>
              <w:rPr>
                <w:noProof/>
                <w:webHidden/>
              </w:rPr>
            </w:r>
            <w:r>
              <w:rPr>
                <w:noProof/>
                <w:webHidden/>
              </w:rPr>
              <w:fldChar w:fldCharType="separate"/>
            </w:r>
            <w:r>
              <w:rPr>
                <w:noProof/>
                <w:webHidden/>
              </w:rPr>
              <w:t>81</w:t>
            </w:r>
            <w:r>
              <w:rPr>
                <w:noProof/>
                <w:webHidden/>
              </w:rPr>
              <w:fldChar w:fldCharType="end"/>
            </w:r>
          </w:hyperlink>
        </w:p>
        <w:p w14:paraId="3110322D" w14:textId="2B1DAF2D" w:rsidR="00BD5B06" w:rsidRDefault="00BD5B06">
          <w:pPr>
            <w:pStyle w:val="Sumrio3"/>
            <w:rPr>
              <w:rFonts w:asciiTheme="minorHAnsi" w:eastAsiaTheme="minorEastAsia" w:hAnsiTheme="minorHAnsi" w:cstheme="minorBidi"/>
              <w:i w:val="0"/>
              <w:noProof/>
            </w:rPr>
          </w:pPr>
          <w:hyperlink w:anchor="_Toc167871646" w:history="1">
            <w:r w:rsidRPr="009D4B3D">
              <w:rPr>
                <w:rStyle w:val="Hyperlink"/>
                <w:noProof/>
              </w:rPr>
              <w:t>4.2.6 Despesa com Pessoal Bruta</w:t>
            </w:r>
            <w:r>
              <w:rPr>
                <w:noProof/>
                <w:webHidden/>
              </w:rPr>
              <w:tab/>
            </w:r>
            <w:r>
              <w:rPr>
                <w:noProof/>
                <w:webHidden/>
              </w:rPr>
              <w:fldChar w:fldCharType="begin"/>
            </w:r>
            <w:r>
              <w:rPr>
                <w:noProof/>
                <w:webHidden/>
              </w:rPr>
              <w:instrText xml:space="preserve"> PAGEREF _Toc167871646 \h </w:instrText>
            </w:r>
            <w:r>
              <w:rPr>
                <w:noProof/>
                <w:webHidden/>
              </w:rPr>
            </w:r>
            <w:r>
              <w:rPr>
                <w:noProof/>
                <w:webHidden/>
              </w:rPr>
              <w:fldChar w:fldCharType="separate"/>
            </w:r>
            <w:r>
              <w:rPr>
                <w:noProof/>
                <w:webHidden/>
              </w:rPr>
              <w:t>82</w:t>
            </w:r>
            <w:r>
              <w:rPr>
                <w:noProof/>
                <w:webHidden/>
              </w:rPr>
              <w:fldChar w:fldCharType="end"/>
            </w:r>
          </w:hyperlink>
        </w:p>
        <w:p w14:paraId="5561AB09" w14:textId="6D1AC74C"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47" w:history="1">
            <w:r w:rsidRPr="009D4B3D">
              <w:rPr>
                <w:rStyle w:val="Hyperlink"/>
                <w:noProof/>
                <w14:scene3d>
                  <w14:camera w14:prst="orthographicFront"/>
                  <w14:lightRig w14:rig="threePt" w14:dir="t">
                    <w14:rot w14:lat="0" w14:lon="0" w14:rev="0"/>
                  </w14:lightRig>
                </w14:scene3d>
              </w:rPr>
              <w:t>4.3</w:t>
            </w:r>
            <w:r w:rsidRPr="009D4B3D">
              <w:rPr>
                <w:rStyle w:val="Hyperlink"/>
                <w:noProof/>
              </w:rPr>
              <w:t xml:space="preserve"> Dívida Pública Consolidada</w:t>
            </w:r>
            <w:r>
              <w:rPr>
                <w:noProof/>
                <w:webHidden/>
              </w:rPr>
              <w:tab/>
            </w:r>
            <w:r>
              <w:rPr>
                <w:noProof/>
                <w:webHidden/>
              </w:rPr>
              <w:fldChar w:fldCharType="begin"/>
            </w:r>
            <w:r>
              <w:rPr>
                <w:noProof/>
                <w:webHidden/>
              </w:rPr>
              <w:instrText xml:space="preserve"> PAGEREF _Toc167871647 \h </w:instrText>
            </w:r>
            <w:r>
              <w:rPr>
                <w:noProof/>
                <w:webHidden/>
              </w:rPr>
            </w:r>
            <w:r>
              <w:rPr>
                <w:noProof/>
                <w:webHidden/>
              </w:rPr>
              <w:fldChar w:fldCharType="separate"/>
            </w:r>
            <w:r>
              <w:rPr>
                <w:noProof/>
                <w:webHidden/>
              </w:rPr>
              <w:t>83</w:t>
            </w:r>
            <w:r>
              <w:rPr>
                <w:noProof/>
                <w:webHidden/>
              </w:rPr>
              <w:fldChar w:fldCharType="end"/>
            </w:r>
          </w:hyperlink>
        </w:p>
        <w:p w14:paraId="1EEB5093" w14:textId="260FBE4E" w:rsidR="00BD5B06" w:rsidRDefault="00BD5B06">
          <w:pPr>
            <w:pStyle w:val="Sumrio3"/>
            <w:rPr>
              <w:rFonts w:asciiTheme="minorHAnsi" w:eastAsiaTheme="minorEastAsia" w:hAnsiTheme="minorHAnsi" w:cstheme="minorBidi"/>
              <w:i w:val="0"/>
              <w:noProof/>
            </w:rPr>
          </w:pPr>
          <w:hyperlink w:anchor="_Toc167871648" w:history="1">
            <w:r w:rsidRPr="009D4B3D">
              <w:rPr>
                <w:rStyle w:val="Hyperlink"/>
                <w:noProof/>
              </w:rPr>
              <w:t>4.3.1 Conceito</w:t>
            </w:r>
            <w:r>
              <w:rPr>
                <w:noProof/>
                <w:webHidden/>
              </w:rPr>
              <w:tab/>
            </w:r>
            <w:r>
              <w:rPr>
                <w:noProof/>
                <w:webHidden/>
              </w:rPr>
              <w:fldChar w:fldCharType="begin"/>
            </w:r>
            <w:r>
              <w:rPr>
                <w:noProof/>
                <w:webHidden/>
              </w:rPr>
              <w:instrText xml:space="preserve"> PAGEREF _Toc167871648 \h </w:instrText>
            </w:r>
            <w:r>
              <w:rPr>
                <w:noProof/>
                <w:webHidden/>
              </w:rPr>
            </w:r>
            <w:r>
              <w:rPr>
                <w:noProof/>
                <w:webHidden/>
              </w:rPr>
              <w:fldChar w:fldCharType="separate"/>
            </w:r>
            <w:r>
              <w:rPr>
                <w:noProof/>
                <w:webHidden/>
              </w:rPr>
              <w:t>83</w:t>
            </w:r>
            <w:r>
              <w:rPr>
                <w:noProof/>
                <w:webHidden/>
              </w:rPr>
              <w:fldChar w:fldCharType="end"/>
            </w:r>
          </w:hyperlink>
        </w:p>
        <w:p w14:paraId="447EE088" w14:textId="0EB8D810" w:rsidR="00BD5B06" w:rsidRDefault="00BD5B06">
          <w:pPr>
            <w:pStyle w:val="Sumrio3"/>
            <w:rPr>
              <w:rFonts w:asciiTheme="minorHAnsi" w:eastAsiaTheme="minorEastAsia" w:hAnsiTheme="minorHAnsi" w:cstheme="minorBidi"/>
              <w:i w:val="0"/>
              <w:noProof/>
            </w:rPr>
          </w:pPr>
          <w:hyperlink w:anchor="_Toc167871649" w:history="1">
            <w:r w:rsidRPr="009D4B3D">
              <w:rPr>
                <w:rStyle w:val="Hyperlink"/>
                <w:noProof/>
              </w:rPr>
              <w:t>4.3.2 Apuração da Dívida Pública Consolidada</w:t>
            </w:r>
            <w:r>
              <w:rPr>
                <w:noProof/>
                <w:webHidden/>
              </w:rPr>
              <w:tab/>
            </w:r>
            <w:r>
              <w:rPr>
                <w:noProof/>
                <w:webHidden/>
              </w:rPr>
              <w:fldChar w:fldCharType="begin"/>
            </w:r>
            <w:r>
              <w:rPr>
                <w:noProof/>
                <w:webHidden/>
              </w:rPr>
              <w:instrText xml:space="preserve"> PAGEREF _Toc167871649 \h </w:instrText>
            </w:r>
            <w:r>
              <w:rPr>
                <w:noProof/>
                <w:webHidden/>
              </w:rPr>
            </w:r>
            <w:r>
              <w:rPr>
                <w:noProof/>
                <w:webHidden/>
              </w:rPr>
              <w:fldChar w:fldCharType="separate"/>
            </w:r>
            <w:r>
              <w:rPr>
                <w:noProof/>
                <w:webHidden/>
              </w:rPr>
              <w:t>84</w:t>
            </w:r>
            <w:r>
              <w:rPr>
                <w:noProof/>
                <w:webHidden/>
              </w:rPr>
              <w:fldChar w:fldCharType="end"/>
            </w:r>
          </w:hyperlink>
        </w:p>
        <w:p w14:paraId="5278A609" w14:textId="336247EE"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50" w:history="1">
            <w:r w:rsidRPr="009D4B3D">
              <w:rPr>
                <w:rStyle w:val="Hyperlink"/>
                <w:noProof/>
                <w14:scene3d>
                  <w14:camera w14:prst="orthographicFront"/>
                  <w14:lightRig w14:rig="threePt" w14:dir="t">
                    <w14:rot w14:lat="0" w14:lon="0" w14:rev="0"/>
                  </w14:lightRig>
                </w14:scene3d>
              </w:rPr>
              <w:t>4.4</w:t>
            </w:r>
            <w:r w:rsidRPr="009D4B3D">
              <w:rPr>
                <w:rStyle w:val="Hyperlink"/>
                <w:noProof/>
              </w:rPr>
              <w:t xml:space="preserve"> Operações de Crédito</w:t>
            </w:r>
            <w:r>
              <w:rPr>
                <w:noProof/>
                <w:webHidden/>
              </w:rPr>
              <w:tab/>
            </w:r>
            <w:r>
              <w:rPr>
                <w:noProof/>
                <w:webHidden/>
              </w:rPr>
              <w:fldChar w:fldCharType="begin"/>
            </w:r>
            <w:r>
              <w:rPr>
                <w:noProof/>
                <w:webHidden/>
              </w:rPr>
              <w:instrText xml:space="preserve"> PAGEREF _Toc167871650 \h </w:instrText>
            </w:r>
            <w:r>
              <w:rPr>
                <w:noProof/>
                <w:webHidden/>
              </w:rPr>
            </w:r>
            <w:r>
              <w:rPr>
                <w:noProof/>
                <w:webHidden/>
              </w:rPr>
              <w:fldChar w:fldCharType="separate"/>
            </w:r>
            <w:r>
              <w:rPr>
                <w:noProof/>
                <w:webHidden/>
              </w:rPr>
              <w:t>87</w:t>
            </w:r>
            <w:r>
              <w:rPr>
                <w:noProof/>
                <w:webHidden/>
              </w:rPr>
              <w:fldChar w:fldCharType="end"/>
            </w:r>
          </w:hyperlink>
        </w:p>
        <w:p w14:paraId="79867EEF" w14:textId="15439528" w:rsidR="00BD5B06" w:rsidRDefault="00BD5B06">
          <w:pPr>
            <w:pStyle w:val="Sumrio3"/>
            <w:rPr>
              <w:rFonts w:asciiTheme="minorHAnsi" w:eastAsiaTheme="minorEastAsia" w:hAnsiTheme="minorHAnsi" w:cstheme="minorBidi"/>
              <w:i w:val="0"/>
              <w:noProof/>
            </w:rPr>
          </w:pPr>
          <w:hyperlink w:anchor="_Toc167871651" w:history="1">
            <w:r w:rsidRPr="009D4B3D">
              <w:rPr>
                <w:rStyle w:val="Hyperlink"/>
                <w:noProof/>
              </w:rPr>
              <w:t>4.4.1 Conceito</w:t>
            </w:r>
            <w:r>
              <w:rPr>
                <w:noProof/>
                <w:webHidden/>
              </w:rPr>
              <w:tab/>
            </w:r>
            <w:r>
              <w:rPr>
                <w:noProof/>
                <w:webHidden/>
              </w:rPr>
              <w:fldChar w:fldCharType="begin"/>
            </w:r>
            <w:r>
              <w:rPr>
                <w:noProof/>
                <w:webHidden/>
              </w:rPr>
              <w:instrText xml:space="preserve"> PAGEREF _Toc167871651 \h </w:instrText>
            </w:r>
            <w:r>
              <w:rPr>
                <w:noProof/>
                <w:webHidden/>
              </w:rPr>
            </w:r>
            <w:r>
              <w:rPr>
                <w:noProof/>
                <w:webHidden/>
              </w:rPr>
              <w:fldChar w:fldCharType="separate"/>
            </w:r>
            <w:r>
              <w:rPr>
                <w:noProof/>
                <w:webHidden/>
              </w:rPr>
              <w:t>87</w:t>
            </w:r>
            <w:r>
              <w:rPr>
                <w:noProof/>
                <w:webHidden/>
              </w:rPr>
              <w:fldChar w:fldCharType="end"/>
            </w:r>
          </w:hyperlink>
        </w:p>
        <w:p w14:paraId="37C08498" w14:textId="48E70C9A" w:rsidR="00BD5B06" w:rsidRDefault="00BD5B06">
          <w:pPr>
            <w:pStyle w:val="Sumrio3"/>
            <w:rPr>
              <w:rFonts w:asciiTheme="minorHAnsi" w:eastAsiaTheme="minorEastAsia" w:hAnsiTheme="minorHAnsi" w:cstheme="minorBidi"/>
              <w:i w:val="0"/>
              <w:noProof/>
            </w:rPr>
          </w:pPr>
          <w:hyperlink w:anchor="_Toc167871652" w:history="1">
            <w:r w:rsidRPr="009D4B3D">
              <w:rPr>
                <w:rStyle w:val="Hyperlink"/>
                <w:noProof/>
              </w:rPr>
              <w:t>4.4.2 Apuração das Operações de Crédito</w:t>
            </w:r>
            <w:r>
              <w:rPr>
                <w:noProof/>
                <w:webHidden/>
              </w:rPr>
              <w:tab/>
            </w:r>
            <w:r>
              <w:rPr>
                <w:noProof/>
                <w:webHidden/>
              </w:rPr>
              <w:fldChar w:fldCharType="begin"/>
            </w:r>
            <w:r>
              <w:rPr>
                <w:noProof/>
                <w:webHidden/>
              </w:rPr>
              <w:instrText xml:space="preserve"> PAGEREF _Toc167871652 \h </w:instrText>
            </w:r>
            <w:r>
              <w:rPr>
                <w:noProof/>
                <w:webHidden/>
              </w:rPr>
            </w:r>
            <w:r>
              <w:rPr>
                <w:noProof/>
                <w:webHidden/>
              </w:rPr>
              <w:fldChar w:fldCharType="separate"/>
            </w:r>
            <w:r>
              <w:rPr>
                <w:noProof/>
                <w:webHidden/>
              </w:rPr>
              <w:t>88</w:t>
            </w:r>
            <w:r>
              <w:rPr>
                <w:noProof/>
                <w:webHidden/>
              </w:rPr>
              <w:fldChar w:fldCharType="end"/>
            </w:r>
          </w:hyperlink>
        </w:p>
        <w:p w14:paraId="6FAB991A" w14:textId="0B8EA062"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53" w:history="1">
            <w:r w:rsidRPr="009D4B3D">
              <w:rPr>
                <w:rStyle w:val="Hyperlink"/>
                <w:noProof/>
                <w14:scene3d>
                  <w14:camera w14:prst="orthographicFront"/>
                  <w14:lightRig w14:rig="threePt" w14:dir="t">
                    <w14:rot w14:lat="0" w14:lon="0" w14:rev="0"/>
                  </w14:lightRig>
                </w14:scene3d>
              </w:rPr>
              <w:t>4.5</w:t>
            </w:r>
            <w:r w:rsidRPr="009D4B3D">
              <w:rPr>
                <w:rStyle w:val="Hyperlink"/>
                <w:noProof/>
              </w:rPr>
              <w:t xml:space="preserve"> Serviço da Dívida</w:t>
            </w:r>
            <w:r>
              <w:rPr>
                <w:noProof/>
                <w:webHidden/>
              </w:rPr>
              <w:tab/>
            </w:r>
            <w:r>
              <w:rPr>
                <w:noProof/>
                <w:webHidden/>
              </w:rPr>
              <w:fldChar w:fldCharType="begin"/>
            </w:r>
            <w:r>
              <w:rPr>
                <w:noProof/>
                <w:webHidden/>
              </w:rPr>
              <w:instrText xml:space="preserve"> PAGEREF _Toc167871653 \h </w:instrText>
            </w:r>
            <w:r>
              <w:rPr>
                <w:noProof/>
                <w:webHidden/>
              </w:rPr>
            </w:r>
            <w:r>
              <w:rPr>
                <w:noProof/>
                <w:webHidden/>
              </w:rPr>
              <w:fldChar w:fldCharType="separate"/>
            </w:r>
            <w:r>
              <w:rPr>
                <w:noProof/>
                <w:webHidden/>
              </w:rPr>
              <w:t>88</w:t>
            </w:r>
            <w:r>
              <w:rPr>
                <w:noProof/>
                <w:webHidden/>
              </w:rPr>
              <w:fldChar w:fldCharType="end"/>
            </w:r>
          </w:hyperlink>
        </w:p>
        <w:p w14:paraId="251D6B24" w14:textId="053B11F2" w:rsidR="00BD5B06" w:rsidRDefault="00BD5B06">
          <w:pPr>
            <w:pStyle w:val="Sumrio3"/>
            <w:rPr>
              <w:rFonts w:asciiTheme="minorHAnsi" w:eastAsiaTheme="minorEastAsia" w:hAnsiTheme="minorHAnsi" w:cstheme="minorBidi"/>
              <w:i w:val="0"/>
              <w:noProof/>
            </w:rPr>
          </w:pPr>
          <w:hyperlink w:anchor="_Toc167871654" w:history="1">
            <w:r w:rsidRPr="009D4B3D">
              <w:rPr>
                <w:rStyle w:val="Hyperlink"/>
                <w:noProof/>
              </w:rPr>
              <w:t>4.5.1 Apuração do Serviço da Dívida</w:t>
            </w:r>
            <w:r>
              <w:rPr>
                <w:noProof/>
                <w:webHidden/>
              </w:rPr>
              <w:tab/>
            </w:r>
            <w:r>
              <w:rPr>
                <w:noProof/>
                <w:webHidden/>
              </w:rPr>
              <w:fldChar w:fldCharType="begin"/>
            </w:r>
            <w:r>
              <w:rPr>
                <w:noProof/>
                <w:webHidden/>
              </w:rPr>
              <w:instrText xml:space="preserve"> PAGEREF _Toc167871654 \h </w:instrText>
            </w:r>
            <w:r>
              <w:rPr>
                <w:noProof/>
                <w:webHidden/>
              </w:rPr>
            </w:r>
            <w:r>
              <w:rPr>
                <w:noProof/>
                <w:webHidden/>
              </w:rPr>
              <w:fldChar w:fldCharType="separate"/>
            </w:r>
            <w:r>
              <w:rPr>
                <w:noProof/>
                <w:webHidden/>
              </w:rPr>
              <w:t>89</w:t>
            </w:r>
            <w:r>
              <w:rPr>
                <w:noProof/>
                <w:webHidden/>
              </w:rPr>
              <w:fldChar w:fldCharType="end"/>
            </w:r>
          </w:hyperlink>
        </w:p>
        <w:p w14:paraId="74A3FEBE" w14:textId="20CB9956"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55" w:history="1">
            <w:r w:rsidRPr="009D4B3D">
              <w:rPr>
                <w:rStyle w:val="Hyperlink"/>
                <w:noProof/>
                <w14:scene3d>
                  <w14:camera w14:prst="orthographicFront"/>
                  <w14:lightRig w14:rig="threePt" w14:dir="t">
                    <w14:rot w14:lat="0" w14:lon="0" w14:rev="0"/>
                  </w14:lightRig>
                </w14:scene3d>
              </w:rPr>
              <w:t>4.6</w:t>
            </w:r>
            <w:r w:rsidRPr="009D4B3D">
              <w:rPr>
                <w:rStyle w:val="Hyperlink"/>
                <w:noProof/>
              </w:rPr>
              <w:t xml:space="preserve"> Concessões de Garantias</w:t>
            </w:r>
            <w:r>
              <w:rPr>
                <w:noProof/>
                <w:webHidden/>
              </w:rPr>
              <w:tab/>
            </w:r>
            <w:r>
              <w:rPr>
                <w:noProof/>
                <w:webHidden/>
              </w:rPr>
              <w:fldChar w:fldCharType="begin"/>
            </w:r>
            <w:r>
              <w:rPr>
                <w:noProof/>
                <w:webHidden/>
              </w:rPr>
              <w:instrText xml:space="preserve"> PAGEREF _Toc167871655 \h </w:instrText>
            </w:r>
            <w:r>
              <w:rPr>
                <w:noProof/>
                <w:webHidden/>
              </w:rPr>
            </w:r>
            <w:r>
              <w:rPr>
                <w:noProof/>
                <w:webHidden/>
              </w:rPr>
              <w:fldChar w:fldCharType="separate"/>
            </w:r>
            <w:r>
              <w:rPr>
                <w:noProof/>
                <w:webHidden/>
              </w:rPr>
              <w:t>91</w:t>
            </w:r>
            <w:r>
              <w:rPr>
                <w:noProof/>
                <w:webHidden/>
              </w:rPr>
              <w:fldChar w:fldCharType="end"/>
            </w:r>
          </w:hyperlink>
        </w:p>
        <w:p w14:paraId="5270C7D7" w14:textId="59271468" w:rsidR="00BD5B06" w:rsidRDefault="00BD5B06">
          <w:pPr>
            <w:pStyle w:val="Sumrio3"/>
            <w:rPr>
              <w:rFonts w:asciiTheme="minorHAnsi" w:eastAsiaTheme="minorEastAsia" w:hAnsiTheme="minorHAnsi" w:cstheme="minorBidi"/>
              <w:i w:val="0"/>
              <w:noProof/>
            </w:rPr>
          </w:pPr>
          <w:hyperlink w:anchor="_Toc167871656" w:history="1">
            <w:r w:rsidRPr="009D4B3D">
              <w:rPr>
                <w:rStyle w:val="Hyperlink"/>
                <w:noProof/>
              </w:rPr>
              <w:t>4.6.1 Conceito</w:t>
            </w:r>
            <w:r>
              <w:rPr>
                <w:noProof/>
                <w:webHidden/>
              </w:rPr>
              <w:tab/>
            </w:r>
            <w:r>
              <w:rPr>
                <w:noProof/>
                <w:webHidden/>
              </w:rPr>
              <w:fldChar w:fldCharType="begin"/>
            </w:r>
            <w:r>
              <w:rPr>
                <w:noProof/>
                <w:webHidden/>
              </w:rPr>
              <w:instrText xml:space="preserve"> PAGEREF _Toc167871656 \h </w:instrText>
            </w:r>
            <w:r>
              <w:rPr>
                <w:noProof/>
                <w:webHidden/>
              </w:rPr>
            </w:r>
            <w:r>
              <w:rPr>
                <w:noProof/>
                <w:webHidden/>
              </w:rPr>
              <w:fldChar w:fldCharType="separate"/>
            </w:r>
            <w:r>
              <w:rPr>
                <w:noProof/>
                <w:webHidden/>
              </w:rPr>
              <w:t>91</w:t>
            </w:r>
            <w:r>
              <w:rPr>
                <w:noProof/>
                <w:webHidden/>
              </w:rPr>
              <w:fldChar w:fldCharType="end"/>
            </w:r>
          </w:hyperlink>
        </w:p>
        <w:p w14:paraId="4BAF7705" w14:textId="52AA9409" w:rsidR="00BD5B06" w:rsidRDefault="00BD5B06">
          <w:pPr>
            <w:pStyle w:val="Sumrio3"/>
            <w:rPr>
              <w:rFonts w:asciiTheme="minorHAnsi" w:eastAsiaTheme="minorEastAsia" w:hAnsiTheme="minorHAnsi" w:cstheme="minorBidi"/>
              <w:i w:val="0"/>
              <w:noProof/>
            </w:rPr>
          </w:pPr>
          <w:hyperlink w:anchor="_Toc167871657" w:history="1">
            <w:r w:rsidRPr="009D4B3D">
              <w:rPr>
                <w:rStyle w:val="Hyperlink"/>
                <w:noProof/>
              </w:rPr>
              <w:t>4.6.2 Apuração das Concessões de Garantias</w:t>
            </w:r>
            <w:r>
              <w:rPr>
                <w:noProof/>
                <w:webHidden/>
              </w:rPr>
              <w:tab/>
            </w:r>
            <w:r>
              <w:rPr>
                <w:noProof/>
                <w:webHidden/>
              </w:rPr>
              <w:fldChar w:fldCharType="begin"/>
            </w:r>
            <w:r>
              <w:rPr>
                <w:noProof/>
                <w:webHidden/>
              </w:rPr>
              <w:instrText xml:space="preserve"> PAGEREF _Toc167871657 \h </w:instrText>
            </w:r>
            <w:r>
              <w:rPr>
                <w:noProof/>
                <w:webHidden/>
              </w:rPr>
            </w:r>
            <w:r>
              <w:rPr>
                <w:noProof/>
                <w:webHidden/>
              </w:rPr>
              <w:fldChar w:fldCharType="separate"/>
            </w:r>
            <w:r>
              <w:rPr>
                <w:noProof/>
                <w:webHidden/>
              </w:rPr>
              <w:t>91</w:t>
            </w:r>
            <w:r>
              <w:rPr>
                <w:noProof/>
                <w:webHidden/>
              </w:rPr>
              <w:fldChar w:fldCharType="end"/>
            </w:r>
          </w:hyperlink>
        </w:p>
        <w:p w14:paraId="2575D495" w14:textId="3434D7CF"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58" w:history="1">
            <w:r w:rsidRPr="009D4B3D">
              <w:rPr>
                <w:rStyle w:val="Hyperlink"/>
                <w:noProof/>
                <w14:scene3d>
                  <w14:camera w14:prst="orthographicFront"/>
                  <w14:lightRig w14:rig="threePt" w14:dir="t">
                    <w14:rot w14:lat="0" w14:lon="0" w14:rev="0"/>
                  </w14:lightRig>
                </w14:scene3d>
              </w:rPr>
              <w:t>4.7</w:t>
            </w:r>
            <w:r w:rsidRPr="009D4B3D">
              <w:rPr>
                <w:rStyle w:val="Hyperlink"/>
                <w:noProof/>
              </w:rPr>
              <w:t xml:space="preserve"> Contragarantias Recebidas</w:t>
            </w:r>
            <w:r>
              <w:rPr>
                <w:noProof/>
                <w:webHidden/>
              </w:rPr>
              <w:tab/>
            </w:r>
            <w:r>
              <w:rPr>
                <w:noProof/>
                <w:webHidden/>
              </w:rPr>
              <w:fldChar w:fldCharType="begin"/>
            </w:r>
            <w:r>
              <w:rPr>
                <w:noProof/>
                <w:webHidden/>
              </w:rPr>
              <w:instrText xml:space="preserve"> PAGEREF _Toc167871658 \h </w:instrText>
            </w:r>
            <w:r>
              <w:rPr>
                <w:noProof/>
                <w:webHidden/>
              </w:rPr>
            </w:r>
            <w:r>
              <w:rPr>
                <w:noProof/>
                <w:webHidden/>
              </w:rPr>
              <w:fldChar w:fldCharType="separate"/>
            </w:r>
            <w:r>
              <w:rPr>
                <w:noProof/>
                <w:webHidden/>
              </w:rPr>
              <w:t>91</w:t>
            </w:r>
            <w:r>
              <w:rPr>
                <w:noProof/>
                <w:webHidden/>
              </w:rPr>
              <w:fldChar w:fldCharType="end"/>
            </w:r>
          </w:hyperlink>
        </w:p>
        <w:p w14:paraId="346922D5" w14:textId="75D958F6"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59" w:history="1">
            <w:r w:rsidRPr="009D4B3D">
              <w:rPr>
                <w:rStyle w:val="Hyperlink"/>
                <w:noProof/>
                <w14:scene3d>
                  <w14:camera w14:prst="orthographicFront"/>
                  <w14:lightRig w14:rig="threePt" w14:dir="t">
                    <w14:rot w14:lat="0" w14:lon="0" w14:rev="0"/>
                  </w14:lightRig>
                </w14:scene3d>
              </w:rPr>
              <w:t>4.8</w:t>
            </w:r>
            <w:r w:rsidRPr="009D4B3D">
              <w:rPr>
                <w:rStyle w:val="Hyperlink"/>
                <w:noProof/>
              </w:rPr>
              <w:t xml:space="preserve"> Resumo dos Limites Legais</w:t>
            </w:r>
            <w:r>
              <w:rPr>
                <w:noProof/>
                <w:webHidden/>
              </w:rPr>
              <w:tab/>
            </w:r>
            <w:r>
              <w:rPr>
                <w:noProof/>
                <w:webHidden/>
              </w:rPr>
              <w:fldChar w:fldCharType="begin"/>
            </w:r>
            <w:r>
              <w:rPr>
                <w:noProof/>
                <w:webHidden/>
              </w:rPr>
              <w:instrText xml:space="preserve"> PAGEREF _Toc167871659 \h </w:instrText>
            </w:r>
            <w:r>
              <w:rPr>
                <w:noProof/>
                <w:webHidden/>
              </w:rPr>
            </w:r>
            <w:r>
              <w:rPr>
                <w:noProof/>
                <w:webHidden/>
              </w:rPr>
              <w:fldChar w:fldCharType="separate"/>
            </w:r>
            <w:r>
              <w:rPr>
                <w:noProof/>
                <w:webHidden/>
              </w:rPr>
              <w:t>92</w:t>
            </w:r>
            <w:r>
              <w:rPr>
                <w:noProof/>
                <w:webHidden/>
              </w:rPr>
              <w:fldChar w:fldCharType="end"/>
            </w:r>
          </w:hyperlink>
        </w:p>
        <w:p w14:paraId="406A22E4" w14:textId="5B6A5762"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60" w:history="1">
            <w:r w:rsidRPr="009D4B3D">
              <w:rPr>
                <w:rStyle w:val="Hyperlink"/>
                <w:noProof/>
                <w14:scene3d>
                  <w14:camera w14:prst="orthographicFront"/>
                  <w14:lightRig w14:rig="threePt" w14:dir="t">
                    <w14:rot w14:lat="0" w14:lon="0" w14:rev="0"/>
                  </w14:lightRig>
                </w14:scene3d>
              </w:rPr>
              <w:t>4.9</w:t>
            </w:r>
            <w:r w:rsidRPr="009D4B3D">
              <w:rPr>
                <w:rStyle w:val="Hyperlink"/>
                <w:noProof/>
              </w:rPr>
              <w:t xml:space="preserve"> Precatórios</w:t>
            </w:r>
            <w:r>
              <w:rPr>
                <w:noProof/>
                <w:webHidden/>
              </w:rPr>
              <w:tab/>
            </w:r>
            <w:r>
              <w:rPr>
                <w:noProof/>
                <w:webHidden/>
              </w:rPr>
              <w:fldChar w:fldCharType="begin"/>
            </w:r>
            <w:r>
              <w:rPr>
                <w:noProof/>
                <w:webHidden/>
              </w:rPr>
              <w:instrText xml:space="preserve"> PAGEREF _Toc167871660 \h </w:instrText>
            </w:r>
            <w:r>
              <w:rPr>
                <w:noProof/>
                <w:webHidden/>
              </w:rPr>
            </w:r>
            <w:r>
              <w:rPr>
                <w:noProof/>
                <w:webHidden/>
              </w:rPr>
              <w:fldChar w:fldCharType="separate"/>
            </w:r>
            <w:r>
              <w:rPr>
                <w:noProof/>
                <w:webHidden/>
              </w:rPr>
              <w:t>93</w:t>
            </w:r>
            <w:r>
              <w:rPr>
                <w:noProof/>
                <w:webHidden/>
              </w:rPr>
              <w:fldChar w:fldCharType="end"/>
            </w:r>
          </w:hyperlink>
        </w:p>
        <w:p w14:paraId="42C952AE" w14:textId="099FDBF2" w:rsidR="00BD5B06" w:rsidRDefault="00BD5B06">
          <w:pPr>
            <w:pStyle w:val="Sumrio3"/>
            <w:rPr>
              <w:rFonts w:asciiTheme="minorHAnsi" w:eastAsiaTheme="minorEastAsia" w:hAnsiTheme="minorHAnsi" w:cstheme="minorBidi"/>
              <w:i w:val="0"/>
              <w:noProof/>
            </w:rPr>
          </w:pPr>
          <w:hyperlink w:anchor="_Toc167871661" w:history="1">
            <w:r w:rsidRPr="009D4B3D">
              <w:rPr>
                <w:rStyle w:val="Hyperlink"/>
                <w:noProof/>
              </w:rPr>
              <w:t>4.9.1 Precatórios sob o Prisma da Lei de Responsabilidade Fiscal</w:t>
            </w:r>
            <w:r>
              <w:rPr>
                <w:noProof/>
                <w:webHidden/>
              </w:rPr>
              <w:tab/>
            </w:r>
            <w:r>
              <w:rPr>
                <w:noProof/>
                <w:webHidden/>
              </w:rPr>
              <w:fldChar w:fldCharType="begin"/>
            </w:r>
            <w:r>
              <w:rPr>
                <w:noProof/>
                <w:webHidden/>
              </w:rPr>
              <w:instrText xml:space="preserve"> PAGEREF _Toc167871661 \h </w:instrText>
            </w:r>
            <w:r>
              <w:rPr>
                <w:noProof/>
                <w:webHidden/>
              </w:rPr>
            </w:r>
            <w:r>
              <w:rPr>
                <w:noProof/>
                <w:webHidden/>
              </w:rPr>
              <w:fldChar w:fldCharType="separate"/>
            </w:r>
            <w:r>
              <w:rPr>
                <w:noProof/>
                <w:webHidden/>
              </w:rPr>
              <w:t>94</w:t>
            </w:r>
            <w:r>
              <w:rPr>
                <w:noProof/>
                <w:webHidden/>
              </w:rPr>
              <w:fldChar w:fldCharType="end"/>
            </w:r>
          </w:hyperlink>
        </w:p>
        <w:p w14:paraId="4075AC7C" w14:textId="093767B9"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62" w:history="1">
            <w:r w:rsidRPr="009D4B3D">
              <w:rPr>
                <w:rStyle w:val="Hyperlink"/>
                <w:noProof/>
                <w14:scene3d>
                  <w14:camera w14:prst="orthographicFront"/>
                  <w14:lightRig w14:rig="threePt" w14:dir="t">
                    <w14:rot w14:lat="0" w14:lon="0" w14:rev="0"/>
                  </w14:lightRig>
                </w14:scene3d>
              </w:rPr>
              <w:t>4.10</w:t>
            </w:r>
            <w:r w:rsidRPr="009D4B3D">
              <w:rPr>
                <w:rStyle w:val="Hyperlink"/>
                <w:noProof/>
              </w:rPr>
              <w:t xml:space="preserve"> Metas Fiscais Estabelecidas na LDO</w:t>
            </w:r>
            <w:r>
              <w:rPr>
                <w:noProof/>
                <w:webHidden/>
              </w:rPr>
              <w:tab/>
            </w:r>
            <w:r>
              <w:rPr>
                <w:noProof/>
                <w:webHidden/>
              </w:rPr>
              <w:fldChar w:fldCharType="begin"/>
            </w:r>
            <w:r>
              <w:rPr>
                <w:noProof/>
                <w:webHidden/>
              </w:rPr>
              <w:instrText xml:space="preserve"> PAGEREF _Toc167871662 \h </w:instrText>
            </w:r>
            <w:r>
              <w:rPr>
                <w:noProof/>
                <w:webHidden/>
              </w:rPr>
            </w:r>
            <w:r>
              <w:rPr>
                <w:noProof/>
                <w:webHidden/>
              </w:rPr>
              <w:fldChar w:fldCharType="separate"/>
            </w:r>
            <w:r>
              <w:rPr>
                <w:noProof/>
                <w:webHidden/>
              </w:rPr>
              <w:t>96</w:t>
            </w:r>
            <w:r>
              <w:rPr>
                <w:noProof/>
                <w:webHidden/>
              </w:rPr>
              <w:fldChar w:fldCharType="end"/>
            </w:r>
          </w:hyperlink>
        </w:p>
        <w:p w14:paraId="7D66F1A0" w14:textId="3BA73886" w:rsidR="00BD5B06" w:rsidRDefault="00BD5B06">
          <w:pPr>
            <w:pStyle w:val="Sumrio3"/>
            <w:rPr>
              <w:rFonts w:asciiTheme="minorHAnsi" w:eastAsiaTheme="minorEastAsia" w:hAnsiTheme="minorHAnsi" w:cstheme="minorBidi"/>
              <w:i w:val="0"/>
              <w:noProof/>
            </w:rPr>
          </w:pPr>
          <w:hyperlink w:anchor="_Toc167871663" w:history="1">
            <w:r w:rsidRPr="009D4B3D">
              <w:rPr>
                <w:rStyle w:val="Hyperlink"/>
                <w:noProof/>
              </w:rPr>
              <w:t>4.10.1 Resultado Primário</w:t>
            </w:r>
            <w:r>
              <w:rPr>
                <w:noProof/>
                <w:webHidden/>
              </w:rPr>
              <w:tab/>
            </w:r>
            <w:r>
              <w:rPr>
                <w:noProof/>
                <w:webHidden/>
              </w:rPr>
              <w:fldChar w:fldCharType="begin"/>
            </w:r>
            <w:r>
              <w:rPr>
                <w:noProof/>
                <w:webHidden/>
              </w:rPr>
              <w:instrText xml:space="preserve"> PAGEREF _Toc167871663 \h </w:instrText>
            </w:r>
            <w:r>
              <w:rPr>
                <w:noProof/>
                <w:webHidden/>
              </w:rPr>
            </w:r>
            <w:r>
              <w:rPr>
                <w:noProof/>
                <w:webHidden/>
              </w:rPr>
              <w:fldChar w:fldCharType="separate"/>
            </w:r>
            <w:r>
              <w:rPr>
                <w:noProof/>
                <w:webHidden/>
              </w:rPr>
              <w:t>97</w:t>
            </w:r>
            <w:r>
              <w:rPr>
                <w:noProof/>
                <w:webHidden/>
              </w:rPr>
              <w:fldChar w:fldCharType="end"/>
            </w:r>
          </w:hyperlink>
        </w:p>
        <w:p w14:paraId="71508C7F" w14:textId="275BCD7A" w:rsidR="00BD5B06" w:rsidRDefault="00BD5B06">
          <w:pPr>
            <w:pStyle w:val="Sumrio3"/>
            <w:rPr>
              <w:rFonts w:asciiTheme="minorHAnsi" w:eastAsiaTheme="minorEastAsia" w:hAnsiTheme="minorHAnsi" w:cstheme="minorBidi"/>
              <w:i w:val="0"/>
              <w:noProof/>
            </w:rPr>
          </w:pPr>
          <w:hyperlink w:anchor="_Toc167871664" w:history="1">
            <w:r w:rsidRPr="009D4B3D">
              <w:rPr>
                <w:rStyle w:val="Hyperlink"/>
                <w:noProof/>
              </w:rPr>
              <w:t>4.10.2 Resultado Nominal</w:t>
            </w:r>
            <w:r>
              <w:rPr>
                <w:noProof/>
                <w:webHidden/>
              </w:rPr>
              <w:tab/>
            </w:r>
            <w:r>
              <w:rPr>
                <w:noProof/>
                <w:webHidden/>
              </w:rPr>
              <w:fldChar w:fldCharType="begin"/>
            </w:r>
            <w:r>
              <w:rPr>
                <w:noProof/>
                <w:webHidden/>
              </w:rPr>
              <w:instrText xml:space="preserve"> PAGEREF _Toc167871664 \h </w:instrText>
            </w:r>
            <w:r>
              <w:rPr>
                <w:noProof/>
                <w:webHidden/>
              </w:rPr>
            </w:r>
            <w:r>
              <w:rPr>
                <w:noProof/>
                <w:webHidden/>
              </w:rPr>
              <w:fldChar w:fldCharType="separate"/>
            </w:r>
            <w:r>
              <w:rPr>
                <w:noProof/>
                <w:webHidden/>
              </w:rPr>
              <w:t>99</w:t>
            </w:r>
            <w:r>
              <w:rPr>
                <w:noProof/>
                <w:webHidden/>
              </w:rPr>
              <w:fldChar w:fldCharType="end"/>
            </w:r>
          </w:hyperlink>
        </w:p>
        <w:p w14:paraId="3A2ACA44" w14:textId="6D6E1478" w:rsidR="00BD5B06" w:rsidRDefault="00BD5B06">
          <w:pPr>
            <w:pStyle w:val="Sumrio3"/>
            <w:rPr>
              <w:rFonts w:asciiTheme="minorHAnsi" w:eastAsiaTheme="minorEastAsia" w:hAnsiTheme="minorHAnsi" w:cstheme="minorBidi"/>
              <w:i w:val="0"/>
              <w:noProof/>
            </w:rPr>
          </w:pPr>
          <w:hyperlink w:anchor="_Toc167871665" w:history="1">
            <w:r w:rsidRPr="009D4B3D">
              <w:rPr>
                <w:rStyle w:val="Hyperlink"/>
                <w:noProof/>
              </w:rPr>
              <w:t>4.10.3 Resumo das Metas Fiscais</w:t>
            </w:r>
            <w:r>
              <w:rPr>
                <w:noProof/>
                <w:webHidden/>
              </w:rPr>
              <w:tab/>
            </w:r>
            <w:r>
              <w:rPr>
                <w:noProof/>
                <w:webHidden/>
              </w:rPr>
              <w:fldChar w:fldCharType="begin"/>
            </w:r>
            <w:r>
              <w:rPr>
                <w:noProof/>
                <w:webHidden/>
              </w:rPr>
              <w:instrText xml:space="preserve"> PAGEREF _Toc167871665 \h </w:instrText>
            </w:r>
            <w:r>
              <w:rPr>
                <w:noProof/>
                <w:webHidden/>
              </w:rPr>
            </w:r>
            <w:r>
              <w:rPr>
                <w:noProof/>
                <w:webHidden/>
              </w:rPr>
              <w:fldChar w:fldCharType="separate"/>
            </w:r>
            <w:r>
              <w:rPr>
                <w:noProof/>
                <w:webHidden/>
              </w:rPr>
              <w:t>100</w:t>
            </w:r>
            <w:r>
              <w:rPr>
                <w:noProof/>
                <w:webHidden/>
              </w:rPr>
              <w:fldChar w:fldCharType="end"/>
            </w:r>
          </w:hyperlink>
        </w:p>
        <w:p w14:paraId="169E5C5C" w14:textId="13C1961D"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66" w:history="1">
            <w:r w:rsidRPr="009D4B3D">
              <w:rPr>
                <w:rStyle w:val="Hyperlink"/>
                <w:noProof/>
                <w14:scene3d>
                  <w14:camera w14:prst="orthographicFront"/>
                  <w14:lightRig w14:rig="threePt" w14:dir="t">
                    <w14:rot w14:lat="0" w14:lon="0" w14:rev="0"/>
                  </w14:lightRig>
                </w14:scene3d>
              </w:rPr>
              <w:t>4.11</w:t>
            </w:r>
            <w:r w:rsidRPr="009D4B3D">
              <w:rPr>
                <w:rStyle w:val="Hyperlink"/>
                <w:noProof/>
              </w:rPr>
              <w:t xml:space="preserve"> Previdência dos Servidores Públicos Estaduais</w:t>
            </w:r>
            <w:r>
              <w:rPr>
                <w:noProof/>
                <w:webHidden/>
              </w:rPr>
              <w:tab/>
            </w:r>
            <w:r>
              <w:rPr>
                <w:noProof/>
                <w:webHidden/>
              </w:rPr>
              <w:fldChar w:fldCharType="begin"/>
            </w:r>
            <w:r>
              <w:rPr>
                <w:noProof/>
                <w:webHidden/>
              </w:rPr>
              <w:instrText xml:space="preserve"> PAGEREF _Toc167871666 \h </w:instrText>
            </w:r>
            <w:r>
              <w:rPr>
                <w:noProof/>
                <w:webHidden/>
              </w:rPr>
            </w:r>
            <w:r>
              <w:rPr>
                <w:noProof/>
                <w:webHidden/>
              </w:rPr>
              <w:fldChar w:fldCharType="separate"/>
            </w:r>
            <w:r>
              <w:rPr>
                <w:noProof/>
                <w:webHidden/>
              </w:rPr>
              <w:t>101</w:t>
            </w:r>
            <w:r>
              <w:rPr>
                <w:noProof/>
                <w:webHidden/>
              </w:rPr>
              <w:fldChar w:fldCharType="end"/>
            </w:r>
          </w:hyperlink>
        </w:p>
        <w:p w14:paraId="5449FE1A" w14:textId="70DC6A1D" w:rsidR="00BD5B06" w:rsidRDefault="00BD5B06">
          <w:pPr>
            <w:pStyle w:val="Sumrio3"/>
            <w:rPr>
              <w:rFonts w:asciiTheme="minorHAnsi" w:eastAsiaTheme="minorEastAsia" w:hAnsiTheme="minorHAnsi" w:cstheme="minorBidi"/>
              <w:i w:val="0"/>
              <w:noProof/>
            </w:rPr>
          </w:pPr>
          <w:hyperlink w:anchor="_Toc167871667" w:history="1">
            <w:r w:rsidRPr="009D4B3D">
              <w:rPr>
                <w:rStyle w:val="Hyperlink"/>
                <w:noProof/>
              </w:rPr>
              <w:t>4.11.1 Receitas e Despesas Previdenciárias</w:t>
            </w:r>
            <w:r>
              <w:rPr>
                <w:noProof/>
                <w:webHidden/>
              </w:rPr>
              <w:tab/>
            </w:r>
            <w:r>
              <w:rPr>
                <w:noProof/>
                <w:webHidden/>
              </w:rPr>
              <w:fldChar w:fldCharType="begin"/>
            </w:r>
            <w:r>
              <w:rPr>
                <w:noProof/>
                <w:webHidden/>
              </w:rPr>
              <w:instrText xml:space="preserve"> PAGEREF _Toc167871667 \h </w:instrText>
            </w:r>
            <w:r>
              <w:rPr>
                <w:noProof/>
                <w:webHidden/>
              </w:rPr>
            </w:r>
            <w:r>
              <w:rPr>
                <w:noProof/>
                <w:webHidden/>
              </w:rPr>
              <w:fldChar w:fldCharType="separate"/>
            </w:r>
            <w:r>
              <w:rPr>
                <w:noProof/>
                <w:webHidden/>
              </w:rPr>
              <w:t>101</w:t>
            </w:r>
            <w:r>
              <w:rPr>
                <w:noProof/>
                <w:webHidden/>
              </w:rPr>
              <w:fldChar w:fldCharType="end"/>
            </w:r>
          </w:hyperlink>
        </w:p>
        <w:p w14:paraId="35A60CA1" w14:textId="0F7F7F40" w:rsidR="00BD5B06" w:rsidRDefault="00BD5B06">
          <w:pPr>
            <w:pStyle w:val="Sumrio3"/>
            <w:rPr>
              <w:rFonts w:asciiTheme="minorHAnsi" w:eastAsiaTheme="minorEastAsia" w:hAnsiTheme="minorHAnsi" w:cstheme="minorBidi"/>
              <w:i w:val="0"/>
              <w:noProof/>
            </w:rPr>
          </w:pPr>
          <w:hyperlink w:anchor="_Toc167871668" w:history="1">
            <w:r w:rsidRPr="009D4B3D">
              <w:rPr>
                <w:rStyle w:val="Hyperlink"/>
                <w:noProof/>
              </w:rPr>
              <w:t>4.11.2 Fundo Previdenciário</w:t>
            </w:r>
            <w:r>
              <w:rPr>
                <w:noProof/>
                <w:webHidden/>
              </w:rPr>
              <w:tab/>
            </w:r>
            <w:r>
              <w:rPr>
                <w:noProof/>
                <w:webHidden/>
              </w:rPr>
              <w:fldChar w:fldCharType="begin"/>
            </w:r>
            <w:r>
              <w:rPr>
                <w:noProof/>
                <w:webHidden/>
              </w:rPr>
              <w:instrText xml:space="preserve"> PAGEREF _Toc167871668 \h </w:instrText>
            </w:r>
            <w:r>
              <w:rPr>
                <w:noProof/>
                <w:webHidden/>
              </w:rPr>
            </w:r>
            <w:r>
              <w:rPr>
                <w:noProof/>
                <w:webHidden/>
              </w:rPr>
              <w:fldChar w:fldCharType="separate"/>
            </w:r>
            <w:r>
              <w:rPr>
                <w:noProof/>
                <w:webHidden/>
              </w:rPr>
              <w:t>102</w:t>
            </w:r>
            <w:r>
              <w:rPr>
                <w:noProof/>
                <w:webHidden/>
              </w:rPr>
              <w:fldChar w:fldCharType="end"/>
            </w:r>
          </w:hyperlink>
        </w:p>
        <w:p w14:paraId="3E3F4685" w14:textId="7C02D2F6" w:rsidR="00BD5B06" w:rsidRDefault="00BD5B06">
          <w:pPr>
            <w:pStyle w:val="Sumrio3"/>
            <w:rPr>
              <w:rFonts w:asciiTheme="minorHAnsi" w:eastAsiaTheme="minorEastAsia" w:hAnsiTheme="minorHAnsi" w:cstheme="minorBidi"/>
              <w:i w:val="0"/>
              <w:noProof/>
            </w:rPr>
          </w:pPr>
          <w:hyperlink w:anchor="_Toc167871669" w:history="1">
            <w:r w:rsidRPr="009D4B3D">
              <w:rPr>
                <w:rStyle w:val="Hyperlink"/>
                <w:noProof/>
              </w:rPr>
              <w:t>4.11.3 Fundo Financeiro</w:t>
            </w:r>
            <w:r>
              <w:rPr>
                <w:noProof/>
                <w:webHidden/>
              </w:rPr>
              <w:tab/>
            </w:r>
            <w:r>
              <w:rPr>
                <w:noProof/>
                <w:webHidden/>
              </w:rPr>
              <w:fldChar w:fldCharType="begin"/>
            </w:r>
            <w:r>
              <w:rPr>
                <w:noProof/>
                <w:webHidden/>
              </w:rPr>
              <w:instrText xml:space="preserve"> PAGEREF _Toc167871669 \h </w:instrText>
            </w:r>
            <w:r>
              <w:rPr>
                <w:noProof/>
                <w:webHidden/>
              </w:rPr>
            </w:r>
            <w:r>
              <w:rPr>
                <w:noProof/>
                <w:webHidden/>
              </w:rPr>
              <w:fldChar w:fldCharType="separate"/>
            </w:r>
            <w:r>
              <w:rPr>
                <w:noProof/>
                <w:webHidden/>
              </w:rPr>
              <w:t>104</w:t>
            </w:r>
            <w:r>
              <w:rPr>
                <w:noProof/>
                <w:webHidden/>
              </w:rPr>
              <w:fldChar w:fldCharType="end"/>
            </w:r>
          </w:hyperlink>
        </w:p>
        <w:p w14:paraId="1C81217A" w14:textId="19F8D67D" w:rsidR="00BD5B06" w:rsidRDefault="00BD5B06">
          <w:pPr>
            <w:pStyle w:val="Sumrio3"/>
            <w:rPr>
              <w:rFonts w:asciiTheme="minorHAnsi" w:eastAsiaTheme="minorEastAsia" w:hAnsiTheme="minorHAnsi" w:cstheme="minorBidi"/>
              <w:i w:val="0"/>
              <w:noProof/>
            </w:rPr>
          </w:pPr>
          <w:hyperlink w:anchor="_Toc167871670" w:history="1">
            <w:r w:rsidRPr="009D4B3D">
              <w:rPr>
                <w:rStyle w:val="Hyperlink"/>
                <w:noProof/>
              </w:rPr>
              <w:t>4.11.4 Taxa de Administração</w:t>
            </w:r>
            <w:r>
              <w:rPr>
                <w:noProof/>
                <w:webHidden/>
              </w:rPr>
              <w:tab/>
            </w:r>
            <w:r>
              <w:rPr>
                <w:noProof/>
                <w:webHidden/>
              </w:rPr>
              <w:fldChar w:fldCharType="begin"/>
            </w:r>
            <w:r>
              <w:rPr>
                <w:noProof/>
                <w:webHidden/>
              </w:rPr>
              <w:instrText xml:space="preserve"> PAGEREF _Toc167871670 \h </w:instrText>
            </w:r>
            <w:r>
              <w:rPr>
                <w:noProof/>
                <w:webHidden/>
              </w:rPr>
            </w:r>
            <w:r>
              <w:rPr>
                <w:noProof/>
                <w:webHidden/>
              </w:rPr>
              <w:fldChar w:fldCharType="separate"/>
            </w:r>
            <w:r>
              <w:rPr>
                <w:noProof/>
                <w:webHidden/>
              </w:rPr>
              <w:t>106</w:t>
            </w:r>
            <w:r>
              <w:rPr>
                <w:noProof/>
                <w:webHidden/>
              </w:rPr>
              <w:fldChar w:fldCharType="end"/>
            </w:r>
          </w:hyperlink>
        </w:p>
        <w:p w14:paraId="20EE11E6" w14:textId="0F251CDA" w:rsidR="00BD5B06" w:rsidRDefault="00BD5B06">
          <w:pPr>
            <w:pStyle w:val="Sumrio3"/>
            <w:rPr>
              <w:rFonts w:asciiTheme="minorHAnsi" w:eastAsiaTheme="minorEastAsia" w:hAnsiTheme="minorHAnsi" w:cstheme="minorBidi"/>
              <w:i w:val="0"/>
              <w:noProof/>
            </w:rPr>
          </w:pPr>
          <w:hyperlink w:anchor="_Toc167871671" w:history="1">
            <w:r w:rsidRPr="009D4B3D">
              <w:rPr>
                <w:rStyle w:val="Hyperlink"/>
                <w:noProof/>
              </w:rPr>
              <w:t>4.11.5 Benefícios Previdenciários Mantidos pelo Tesouro</w:t>
            </w:r>
            <w:r>
              <w:rPr>
                <w:noProof/>
                <w:webHidden/>
              </w:rPr>
              <w:tab/>
            </w:r>
            <w:r>
              <w:rPr>
                <w:noProof/>
                <w:webHidden/>
              </w:rPr>
              <w:fldChar w:fldCharType="begin"/>
            </w:r>
            <w:r>
              <w:rPr>
                <w:noProof/>
                <w:webHidden/>
              </w:rPr>
              <w:instrText xml:space="preserve"> PAGEREF _Toc167871671 \h </w:instrText>
            </w:r>
            <w:r>
              <w:rPr>
                <w:noProof/>
                <w:webHidden/>
              </w:rPr>
            </w:r>
            <w:r>
              <w:rPr>
                <w:noProof/>
                <w:webHidden/>
              </w:rPr>
              <w:fldChar w:fldCharType="separate"/>
            </w:r>
            <w:r>
              <w:rPr>
                <w:noProof/>
                <w:webHidden/>
              </w:rPr>
              <w:t>107</w:t>
            </w:r>
            <w:r>
              <w:rPr>
                <w:noProof/>
                <w:webHidden/>
              </w:rPr>
              <w:fldChar w:fldCharType="end"/>
            </w:r>
          </w:hyperlink>
        </w:p>
        <w:p w14:paraId="68317074" w14:textId="04DEDA84" w:rsidR="00BD5B06" w:rsidRDefault="00BD5B06">
          <w:pPr>
            <w:pStyle w:val="Sumrio3"/>
            <w:rPr>
              <w:rFonts w:asciiTheme="minorHAnsi" w:eastAsiaTheme="minorEastAsia" w:hAnsiTheme="minorHAnsi" w:cstheme="minorBidi"/>
              <w:i w:val="0"/>
              <w:noProof/>
            </w:rPr>
          </w:pPr>
          <w:hyperlink w:anchor="_Toc167871672" w:history="1">
            <w:r w:rsidRPr="009D4B3D">
              <w:rPr>
                <w:rStyle w:val="Hyperlink"/>
                <w:noProof/>
              </w:rPr>
              <w:t>4.11.6 Sistema de Proteção dos Militares</w:t>
            </w:r>
            <w:r>
              <w:rPr>
                <w:noProof/>
                <w:webHidden/>
              </w:rPr>
              <w:tab/>
            </w:r>
            <w:r>
              <w:rPr>
                <w:noProof/>
                <w:webHidden/>
              </w:rPr>
              <w:fldChar w:fldCharType="begin"/>
            </w:r>
            <w:r>
              <w:rPr>
                <w:noProof/>
                <w:webHidden/>
              </w:rPr>
              <w:instrText xml:space="preserve"> PAGEREF _Toc167871672 \h </w:instrText>
            </w:r>
            <w:r>
              <w:rPr>
                <w:noProof/>
                <w:webHidden/>
              </w:rPr>
            </w:r>
            <w:r>
              <w:rPr>
                <w:noProof/>
                <w:webHidden/>
              </w:rPr>
              <w:fldChar w:fldCharType="separate"/>
            </w:r>
            <w:r>
              <w:rPr>
                <w:noProof/>
                <w:webHidden/>
              </w:rPr>
              <w:t>107</w:t>
            </w:r>
            <w:r>
              <w:rPr>
                <w:noProof/>
                <w:webHidden/>
              </w:rPr>
              <w:fldChar w:fldCharType="end"/>
            </w:r>
          </w:hyperlink>
        </w:p>
        <w:p w14:paraId="4BB4126B" w14:textId="67FD17FE" w:rsidR="00BD5B06" w:rsidRDefault="00BD5B06">
          <w:pPr>
            <w:pStyle w:val="Sumrio3"/>
            <w:rPr>
              <w:rFonts w:asciiTheme="minorHAnsi" w:eastAsiaTheme="minorEastAsia" w:hAnsiTheme="minorHAnsi" w:cstheme="minorBidi"/>
              <w:i w:val="0"/>
              <w:noProof/>
            </w:rPr>
          </w:pPr>
          <w:hyperlink w:anchor="_Toc167871673" w:history="1">
            <w:r w:rsidRPr="009D4B3D">
              <w:rPr>
                <w:rStyle w:val="Hyperlink"/>
                <w:noProof/>
              </w:rPr>
              <w:t>4.11.7 Resumo Previdenciário</w:t>
            </w:r>
            <w:r>
              <w:rPr>
                <w:noProof/>
                <w:webHidden/>
              </w:rPr>
              <w:tab/>
            </w:r>
            <w:r>
              <w:rPr>
                <w:noProof/>
                <w:webHidden/>
              </w:rPr>
              <w:fldChar w:fldCharType="begin"/>
            </w:r>
            <w:r>
              <w:rPr>
                <w:noProof/>
                <w:webHidden/>
              </w:rPr>
              <w:instrText xml:space="preserve"> PAGEREF _Toc167871673 \h </w:instrText>
            </w:r>
            <w:r>
              <w:rPr>
                <w:noProof/>
                <w:webHidden/>
              </w:rPr>
            </w:r>
            <w:r>
              <w:rPr>
                <w:noProof/>
                <w:webHidden/>
              </w:rPr>
              <w:fldChar w:fldCharType="separate"/>
            </w:r>
            <w:r>
              <w:rPr>
                <w:noProof/>
                <w:webHidden/>
              </w:rPr>
              <w:t>109</w:t>
            </w:r>
            <w:r>
              <w:rPr>
                <w:noProof/>
                <w:webHidden/>
              </w:rPr>
              <w:fldChar w:fldCharType="end"/>
            </w:r>
          </w:hyperlink>
        </w:p>
        <w:p w14:paraId="56336B83" w14:textId="57EB73AD" w:rsidR="00BD5B06" w:rsidRDefault="00BD5B06">
          <w:pPr>
            <w:pStyle w:val="Sumrio3"/>
            <w:rPr>
              <w:rFonts w:asciiTheme="minorHAnsi" w:eastAsiaTheme="minorEastAsia" w:hAnsiTheme="minorHAnsi" w:cstheme="minorBidi"/>
              <w:i w:val="0"/>
              <w:noProof/>
            </w:rPr>
          </w:pPr>
          <w:hyperlink w:anchor="_Toc167871674" w:history="1">
            <w:r w:rsidRPr="009D4B3D">
              <w:rPr>
                <w:rStyle w:val="Hyperlink"/>
                <w:noProof/>
              </w:rPr>
              <w:t>4.11.8 Aportes Efetuados pelo Tesouro Estadual</w:t>
            </w:r>
            <w:r>
              <w:rPr>
                <w:noProof/>
                <w:webHidden/>
              </w:rPr>
              <w:tab/>
            </w:r>
            <w:r>
              <w:rPr>
                <w:noProof/>
                <w:webHidden/>
              </w:rPr>
              <w:fldChar w:fldCharType="begin"/>
            </w:r>
            <w:r>
              <w:rPr>
                <w:noProof/>
                <w:webHidden/>
              </w:rPr>
              <w:instrText xml:space="preserve"> PAGEREF _Toc167871674 \h </w:instrText>
            </w:r>
            <w:r>
              <w:rPr>
                <w:noProof/>
                <w:webHidden/>
              </w:rPr>
            </w:r>
            <w:r>
              <w:rPr>
                <w:noProof/>
                <w:webHidden/>
              </w:rPr>
              <w:fldChar w:fldCharType="separate"/>
            </w:r>
            <w:r>
              <w:rPr>
                <w:noProof/>
                <w:webHidden/>
              </w:rPr>
              <w:t>112</w:t>
            </w:r>
            <w:r>
              <w:rPr>
                <w:noProof/>
                <w:webHidden/>
              </w:rPr>
              <w:fldChar w:fldCharType="end"/>
            </w:r>
          </w:hyperlink>
        </w:p>
        <w:p w14:paraId="0DB055DD" w14:textId="7F7EEDD2" w:rsidR="00BD5B06" w:rsidRDefault="00BD5B06">
          <w:pPr>
            <w:pStyle w:val="Sumrio3"/>
            <w:rPr>
              <w:rFonts w:asciiTheme="minorHAnsi" w:eastAsiaTheme="minorEastAsia" w:hAnsiTheme="minorHAnsi" w:cstheme="minorBidi"/>
              <w:i w:val="0"/>
              <w:noProof/>
            </w:rPr>
          </w:pPr>
          <w:hyperlink w:anchor="_Toc167871675" w:history="1">
            <w:r w:rsidRPr="009D4B3D">
              <w:rPr>
                <w:rStyle w:val="Hyperlink"/>
                <w:noProof/>
              </w:rPr>
              <w:t>4.11.9 Déficit Previdenciário dos Outros Poderes e Órgãos Autônomos</w:t>
            </w:r>
            <w:r>
              <w:rPr>
                <w:noProof/>
                <w:webHidden/>
              </w:rPr>
              <w:tab/>
            </w:r>
            <w:r>
              <w:rPr>
                <w:noProof/>
                <w:webHidden/>
              </w:rPr>
              <w:fldChar w:fldCharType="begin"/>
            </w:r>
            <w:r>
              <w:rPr>
                <w:noProof/>
                <w:webHidden/>
              </w:rPr>
              <w:instrText xml:space="preserve"> PAGEREF _Toc167871675 \h </w:instrText>
            </w:r>
            <w:r>
              <w:rPr>
                <w:noProof/>
                <w:webHidden/>
              </w:rPr>
            </w:r>
            <w:r>
              <w:rPr>
                <w:noProof/>
                <w:webHidden/>
              </w:rPr>
              <w:fldChar w:fldCharType="separate"/>
            </w:r>
            <w:r>
              <w:rPr>
                <w:noProof/>
                <w:webHidden/>
              </w:rPr>
              <w:t>113</w:t>
            </w:r>
            <w:r>
              <w:rPr>
                <w:noProof/>
                <w:webHidden/>
              </w:rPr>
              <w:fldChar w:fldCharType="end"/>
            </w:r>
          </w:hyperlink>
        </w:p>
        <w:p w14:paraId="40DAA786" w14:textId="37E2B197" w:rsidR="00BD5B06" w:rsidRDefault="00BD5B06">
          <w:pPr>
            <w:pStyle w:val="Sumrio3"/>
            <w:rPr>
              <w:rFonts w:asciiTheme="minorHAnsi" w:eastAsiaTheme="minorEastAsia" w:hAnsiTheme="minorHAnsi" w:cstheme="minorBidi"/>
              <w:i w:val="0"/>
              <w:noProof/>
            </w:rPr>
          </w:pPr>
          <w:hyperlink w:anchor="_Toc167871676" w:history="1">
            <w:r w:rsidRPr="009D4B3D">
              <w:rPr>
                <w:rStyle w:val="Hyperlink"/>
                <w:noProof/>
              </w:rPr>
              <w:t>4.11.10 Centralização para Pagamentos dos Benefícios Previdenciários</w:t>
            </w:r>
            <w:r>
              <w:rPr>
                <w:noProof/>
                <w:webHidden/>
              </w:rPr>
              <w:tab/>
            </w:r>
            <w:r>
              <w:rPr>
                <w:noProof/>
                <w:webHidden/>
              </w:rPr>
              <w:fldChar w:fldCharType="begin"/>
            </w:r>
            <w:r>
              <w:rPr>
                <w:noProof/>
                <w:webHidden/>
              </w:rPr>
              <w:instrText xml:space="preserve"> PAGEREF _Toc167871676 \h </w:instrText>
            </w:r>
            <w:r>
              <w:rPr>
                <w:noProof/>
                <w:webHidden/>
              </w:rPr>
            </w:r>
            <w:r>
              <w:rPr>
                <w:noProof/>
                <w:webHidden/>
              </w:rPr>
              <w:fldChar w:fldCharType="separate"/>
            </w:r>
            <w:r>
              <w:rPr>
                <w:noProof/>
                <w:webHidden/>
              </w:rPr>
              <w:t>114</w:t>
            </w:r>
            <w:r>
              <w:rPr>
                <w:noProof/>
                <w:webHidden/>
              </w:rPr>
              <w:fldChar w:fldCharType="end"/>
            </w:r>
          </w:hyperlink>
        </w:p>
        <w:p w14:paraId="1F5987EA" w14:textId="03B3E07D" w:rsidR="00BD5B06" w:rsidRDefault="00BD5B06">
          <w:pPr>
            <w:pStyle w:val="Sumrio3"/>
            <w:rPr>
              <w:rFonts w:asciiTheme="minorHAnsi" w:eastAsiaTheme="minorEastAsia" w:hAnsiTheme="minorHAnsi" w:cstheme="minorBidi"/>
              <w:i w:val="0"/>
              <w:noProof/>
            </w:rPr>
          </w:pPr>
          <w:hyperlink w:anchor="_Toc167871677" w:history="1">
            <w:r w:rsidRPr="009D4B3D">
              <w:rPr>
                <w:rStyle w:val="Hyperlink"/>
                <w:noProof/>
              </w:rPr>
              <w:t>4.11.11 Regime de Previdência Complementar</w:t>
            </w:r>
            <w:r>
              <w:rPr>
                <w:noProof/>
                <w:webHidden/>
              </w:rPr>
              <w:tab/>
            </w:r>
            <w:r>
              <w:rPr>
                <w:noProof/>
                <w:webHidden/>
              </w:rPr>
              <w:fldChar w:fldCharType="begin"/>
            </w:r>
            <w:r>
              <w:rPr>
                <w:noProof/>
                <w:webHidden/>
              </w:rPr>
              <w:instrText xml:space="preserve"> PAGEREF _Toc167871677 \h </w:instrText>
            </w:r>
            <w:r>
              <w:rPr>
                <w:noProof/>
                <w:webHidden/>
              </w:rPr>
            </w:r>
            <w:r>
              <w:rPr>
                <w:noProof/>
                <w:webHidden/>
              </w:rPr>
              <w:fldChar w:fldCharType="separate"/>
            </w:r>
            <w:r>
              <w:rPr>
                <w:noProof/>
                <w:webHidden/>
              </w:rPr>
              <w:t>115</w:t>
            </w:r>
            <w:r>
              <w:rPr>
                <w:noProof/>
                <w:webHidden/>
              </w:rPr>
              <w:fldChar w:fldCharType="end"/>
            </w:r>
          </w:hyperlink>
        </w:p>
        <w:p w14:paraId="48BFD361" w14:textId="0485F7B8"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78" w:history="1">
            <w:r w:rsidRPr="009D4B3D">
              <w:rPr>
                <w:rStyle w:val="Hyperlink"/>
                <w:noProof/>
                <w14:scene3d>
                  <w14:camera w14:prst="orthographicFront"/>
                  <w14:lightRig w14:rig="threePt" w14:dir="t">
                    <w14:rot w14:lat="0" w14:lon="0" w14:rev="0"/>
                  </w14:lightRig>
                </w14:scene3d>
              </w:rPr>
              <w:t>4.12</w:t>
            </w:r>
            <w:r w:rsidRPr="009D4B3D">
              <w:rPr>
                <w:rStyle w:val="Hyperlink"/>
                <w:noProof/>
              </w:rPr>
              <w:t xml:space="preserve"> Transparência na Gestão Fiscal</w:t>
            </w:r>
            <w:r>
              <w:rPr>
                <w:noProof/>
                <w:webHidden/>
              </w:rPr>
              <w:tab/>
            </w:r>
            <w:r>
              <w:rPr>
                <w:noProof/>
                <w:webHidden/>
              </w:rPr>
              <w:fldChar w:fldCharType="begin"/>
            </w:r>
            <w:r>
              <w:rPr>
                <w:noProof/>
                <w:webHidden/>
              </w:rPr>
              <w:instrText xml:space="preserve"> PAGEREF _Toc167871678 \h </w:instrText>
            </w:r>
            <w:r>
              <w:rPr>
                <w:noProof/>
                <w:webHidden/>
              </w:rPr>
            </w:r>
            <w:r>
              <w:rPr>
                <w:noProof/>
                <w:webHidden/>
              </w:rPr>
              <w:fldChar w:fldCharType="separate"/>
            </w:r>
            <w:r>
              <w:rPr>
                <w:noProof/>
                <w:webHidden/>
              </w:rPr>
              <w:t>116</w:t>
            </w:r>
            <w:r>
              <w:rPr>
                <w:noProof/>
                <w:webHidden/>
              </w:rPr>
              <w:fldChar w:fldCharType="end"/>
            </w:r>
          </w:hyperlink>
        </w:p>
        <w:p w14:paraId="021D12FF" w14:textId="4FE0582C"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79" w:history="1">
            <w:r w:rsidRPr="009D4B3D">
              <w:rPr>
                <w:rStyle w:val="Hyperlink"/>
                <w:noProof/>
                <w14:scene3d>
                  <w14:camera w14:prst="orthographicFront"/>
                  <w14:lightRig w14:rig="threePt" w14:dir="t">
                    <w14:rot w14:lat="0" w14:lon="0" w14:rev="0"/>
                  </w14:lightRig>
                </w14:scene3d>
              </w:rPr>
              <w:t>4.13</w:t>
            </w:r>
            <w:r w:rsidRPr="009D4B3D">
              <w:rPr>
                <w:rStyle w:val="Hyperlink"/>
                <w:noProof/>
              </w:rPr>
              <w:t xml:space="preserve"> Acompanhamento de Outros Aspectos da LRF</w:t>
            </w:r>
            <w:r>
              <w:rPr>
                <w:noProof/>
                <w:webHidden/>
              </w:rPr>
              <w:tab/>
            </w:r>
            <w:r>
              <w:rPr>
                <w:noProof/>
                <w:webHidden/>
              </w:rPr>
              <w:fldChar w:fldCharType="begin"/>
            </w:r>
            <w:r>
              <w:rPr>
                <w:noProof/>
                <w:webHidden/>
              </w:rPr>
              <w:instrText xml:space="preserve"> PAGEREF _Toc167871679 \h </w:instrText>
            </w:r>
            <w:r>
              <w:rPr>
                <w:noProof/>
                <w:webHidden/>
              </w:rPr>
            </w:r>
            <w:r>
              <w:rPr>
                <w:noProof/>
                <w:webHidden/>
              </w:rPr>
              <w:fldChar w:fldCharType="separate"/>
            </w:r>
            <w:r>
              <w:rPr>
                <w:noProof/>
                <w:webHidden/>
              </w:rPr>
              <w:t>117</w:t>
            </w:r>
            <w:r>
              <w:rPr>
                <w:noProof/>
                <w:webHidden/>
              </w:rPr>
              <w:fldChar w:fldCharType="end"/>
            </w:r>
          </w:hyperlink>
        </w:p>
        <w:p w14:paraId="306E838D" w14:textId="1B960B08" w:rsidR="00BD5B06" w:rsidRDefault="00BD5B06">
          <w:pPr>
            <w:pStyle w:val="Sumrio3"/>
            <w:rPr>
              <w:rFonts w:asciiTheme="minorHAnsi" w:eastAsiaTheme="minorEastAsia" w:hAnsiTheme="minorHAnsi" w:cstheme="minorBidi"/>
              <w:i w:val="0"/>
              <w:noProof/>
            </w:rPr>
          </w:pPr>
          <w:hyperlink w:anchor="_Toc167871680" w:history="1">
            <w:r w:rsidRPr="009D4B3D">
              <w:rPr>
                <w:rStyle w:val="Hyperlink"/>
                <w:noProof/>
              </w:rPr>
              <w:t>4.13.1 Restos a Pagar</w:t>
            </w:r>
            <w:r>
              <w:rPr>
                <w:noProof/>
                <w:webHidden/>
              </w:rPr>
              <w:tab/>
            </w:r>
            <w:r>
              <w:rPr>
                <w:noProof/>
                <w:webHidden/>
              </w:rPr>
              <w:fldChar w:fldCharType="begin"/>
            </w:r>
            <w:r>
              <w:rPr>
                <w:noProof/>
                <w:webHidden/>
              </w:rPr>
              <w:instrText xml:space="preserve"> PAGEREF _Toc167871680 \h </w:instrText>
            </w:r>
            <w:r>
              <w:rPr>
                <w:noProof/>
                <w:webHidden/>
              </w:rPr>
            </w:r>
            <w:r>
              <w:rPr>
                <w:noProof/>
                <w:webHidden/>
              </w:rPr>
              <w:fldChar w:fldCharType="separate"/>
            </w:r>
            <w:r>
              <w:rPr>
                <w:noProof/>
                <w:webHidden/>
              </w:rPr>
              <w:t>118</w:t>
            </w:r>
            <w:r>
              <w:rPr>
                <w:noProof/>
                <w:webHidden/>
              </w:rPr>
              <w:fldChar w:fldCharType="end"/>
            </w:r>
          </w:hyperlink>
        </w:p>
        <w:p w14:paraId="1AB97392" w14:textId="02F84BBC" w:rsidR="00BD5B06" w:rsidRDefault="00BD5B06">
          <w:pPr>
            <w:pStyle w:val="Sumrio3"/>
            <w:rPr>
              <w:rFonts w:asciiTheme="minorHAnsi" w:eastAsiaTheme="minorEastAsia" w:hAnsiTheme="minorHAnsi" w:cstheme="minorBidi"/>
              <w:i w:val="0"/>
              <w:noProof/>
            </w:rPr>
          </w:pPr>
          <w:hyperlink w:anchor="_Toc167871681" w:history="1">
            <w:r w:rsidRPr="009D4B3D">
              <w:rPr>
                <w:rStyle w:val="Hyperlink"/>
                <w:noProof/>
              </w:rPr>
              <w:t>4.13.2 Demais Obrigações Financeiras</w:t>
            </w:r>
            <w:r>
              <w:rPr>
                <w:noProof/>
                <w:webHidden/>
              </w:rPr>
              <w:tab/>
            </w:r>
            <w:r>
              <w:rPr>
                <w:noProof/>
                <w:webHidden/>
              </w:rPr>
              <w:fldChar w:fldCharType="begin"/>
            </w:r>
            <w:r>
              <w:rPr>
                <w:noProof/>
                <w:webHidden/>
              </w:rPr>
              <w:instrText xml:space="preserve"> PAGEREF _Toc167871681 \h </w:instrText>
            </w:r>
            <w:r>
              <w:rPr>
                <w:noProof/>
                <w:webHidden/>
              </w:rPr>
            </w:r>
            <w:r>
              <w:rPr>
                <w:noProof/>
                <w:webHidden/>
              </w:rPr>
              <w:fldChar w:fldCharType="separate"/>
            </w:r>
            <w:r>
              <w:rPr>
                <w:noProof/>
                <w:webHidden/>
              </w:rPr>
              <w:t>122</w:t>
            </w:r>
            <w:r>
              <w:rPr>
                <w:noProof/>
                <w:webHidden/>
              </w:rPr>
              <w:fldChar w:fldCharType="end"/>
            </w:r>
          </w:hyperlink>
        </w:p>
        <w:p w14:paraId="57936D1F" w14:textId="203AC7B7" w:rsidR="00BD5B06" w:rsidRDefault="00BD5B06">
          <w:pPr>
            <w:pStyle w:val="Sumrio3"/>
            <w:rPr>
              <w:rFonts w:asciiTheme="minorHAnsi" w:eastAsiaTheme="minorEastAsia" w:hAnsiTheme="minorHAnsi" w:cstheme="minorBidi"/>
              <w:i w:val="0"/>
              <w:noProof/>
            </w:rPr>
          </w:pPr>
          <w:hyperlink w:anchor="_Toc167871682" w:history="1">
            <w:r w:rsidRPr="009D4B3D">
              <w:rPr>
                <w:rStyle w:val="Hyperlink"/>
                <w:noProof/>
              </w:rPr>
              <w:t>4.13.3 Disponibilidade de Caixa e Restos a Pagar</w:t>
            </w:r>
            <w:r>
              <w:rPr>
                <w:noProof/>
                <w:webHidden/>
              </w:rPr>
              <w:tab/>
            </w:r>
            <w:r>
              <w:rPr>
                <w:noProof/>
                <w:webHidden/>
              </w:rPr>
              <w:fldChar w:fldCharType="begin"/>
            </w:r>
            <w:r>
              <w:rPr>
                <w:noProof/>
                <w:webHidden/>
              </w:rPr>
              <w:instrText xml:space="preserve"> PAGEREF _Toc167871682 \h </w:instrText>
            </w:r>
            <w:r>
              <w:rPr>
                <w:noProof/>
                <w:webHidden/>
              </w:rPr>
            </w:r>
            <w:r>
              <w:rPr>
                <w:noProof/>
                <w:webHidden/>
              </w:rPr>
              <w:fldChar w:fldCharType="separate"/>
            </w:r>
            <w:r>
              <w:rPr>
                <w:noProof/>
                <w:webHidden/>
              </w:rPr>
              <w:t>123</w:t>
            </w:r>
            <w:r>
              <w:rPr>
                <w:noProof/>
                <w:webHidden/>
              </w:rPr>
              <w:fldChar w:fldCharType="end"/>
            </w:r>
          </w:hyperlink>
        </w:p>
        <w:p w14:paraId="4DCE2A3C" w14:textId="0A40CB44"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83" w:history="1">
            <w:r w:rsidRPr="009D4B3D">
              <w:rPr>
                <w:rStyle w:val="Hyperlink"/>
                <w:noProof/>
                <w14:scene3d>
                  <w14:camera w14:prst="orthographicFront"/>
                  <w14:lightRig w14:rig="threePt" w14:dir="t">
                    <w14:rot w14:lat="0" w14:lon="0" w14:rev="0"/>
                  </w14:lightRig>
                </w14:scene3d>
              </w:rPr>
              <w:t>4.14</w:t>
            </w:r>
            <w:r w:rsidRPr="009D4B3D">
              <w:rPr>
                <w:rStyle w:val="Hyperlink"/>
                <w:noProof/>
              </w:rPr>
              <w:t xml:space="preserve"> Conta Única do Tesouro Estadual</w:t>
            </w:r>
            <w:r>
              <w:rPr>
                <w:noProof/>
                <w:webHidden/>
              </w:rPr>
              <w:tab/>
            </w:r>
            <w:r>
              <w:rPr>
                <w:noProof/>
                <w:webHidden/>
              </w:rPr>
              <w:fldChar w:fldCharType="begin"/>
            </w:r>
            <w:r>
              <w:rPr>
                <w:noProof/>
                <w:webHidden/>
              </w:rPr>
              <w:instrText xml:space="preserve"> PAGEREF _Toc167871683 \h </w:instrText>
            </w:r>
            <w:r>
              <w:rPr>
                <w:noProof/>
                <w:webHidden/>
              </w:rPr>
            </w:r>
            <w:r>
              <w:rPr>
                <w:noProof/>
                <w:webHidden/>
              </w:rPr>
              <w:fldChar w:fldCharType="separate"/>
            </w:r>
            <w:r>
              <w:rPr>
                <w:noProof/>
                <w:webHidden/>
              </w:rPr>
              <w:t>126</w:t>
            </w:r>
            <w:r>
              <w:rPr>
                <w:noProof/>
                <w:webHidden/>
              </w:rPr>
              <w:fldChar w:fldCharType="end"/>
            </w:r>
          </w:hyperlink>
        </w:p>
        <w:p w14:paraId="79370FD1" w14:textId="68627716" w:rsidR="00BD5B06" w:rsidRDefault="00BD5B06">
          <w:pPr>
            <w:pStyle w:val="Sumrio3"/>
            <w:rPr>
              <w:rFonts w:asciiTheme="minorHAnsi" w:eastAsiaTheme="minorEastAsia" w:hAnsiTheme="minorHAnsi" w:cstheme="minorBidi"/>
              <w:i w:val="0"/>
              <w:noProof/>
            </w:rPr>
          </w:pPr>
          <w:hyperlink w:anchor="_Toc167871684" w:history="1">
            <w:r w:rsidRPr="009D4B3D">
              <w:rPr>
                <w:rStyle w:val="Hyperlink"/>
                <w:noProof/>
              </w:rPr>
              <w:t>4.14.1 Verificação do Saldo da Conta Única – CUTE</w:t>
            </w:r>
            <w:r>
              <w:rPr>
                <w:noProof/>
                <w:webHidden/>
              </w:rPr>
              <w:tab/>
            </w:r>
            <w:r>
              <w:rPr>
                <w:noProof/>
                <w:webHidden/>
              </w:rPr>
              <w:fldChar w:fldCharType="begin"/>
            </w:r>
            <w:r>
              <w:rPr>
                <w:noProof/>
                <w:webHidden/>
              </w:rPr>
              <w:instrText xml:space="preserve"> PAGEREF _Toc167871684 \h </w:instrText>
            </w:r>
            <w:r>
              <w:rPr>
                <w:noProof/>
                <w:webHidden/>
              </w:rPr>
            </w:r>
            <w:r>
              <w:rPr>
                <w:noProof/>
                <w:webHidden/>
              </w:rPr>
              <w:fldChar w:fldCharType="separate"/>
            </w:r>
            <w:r>
              <w:rPr>
                <w:noProof/>
                <w:webHidden/>
              </w:rPr>
              <w:t>127</w:t>
            </w:r>
            <w:r>
              <w:rPr>
                <w:noProof/>
                <w:webHidden/>
              </w:rPr>
              <w:fldChar w:fldCharType="end"/>
            </w:r>
          </w:hyperlink>
        </w:p>
        <w:p w14:paraId="5066C4D4" w14:textId="1EA7303F" w:rsidR="00BD5B06" w:rsidRDefault="00BD5B06">
          <w:pPr>
            <w:pStyle w:val="Sumrio3"/>
            <w:rPr>
              <w:rFonts w:asciiTheme="minorHAnsi" w:eastAsiaTheme="minorEastAsia" w:hAnsiTheme="minorHAnsi" w:cstheme="minorBidi"/>
              <w:i w:val="0"/>
              <w:noProof/>
            </w:rPr>
          </w:pPr>
          <w:hyperlink w:anchor="_Toc167871685" w:history="1">
            <w:r w:rsidRPr="009D4B3D">
              <w:rPr>
                <w:rStyle w:val="Hyperlink"/>
                <w:noProof/>
              </w:rPr>
              <w:t>4.14.2 Reversão de Saldos Financeiros ao Tesouro Estadual</w:t>
            </w:r>
            <w:r>
              <w:rPr>
                <w:noProof/>
                <w:webHidden/>
              </w:rPr>
              <w:tab/>
            </w:r>
            <w:r>
              <w:rPr>
                <w:noProof/>
                <w:webHidden/>
              </w:rPr>
              <w:fldChar w:fldCharType="begin"/>
            </w:r>
            <w:r>
              <w:rPr>
                <w:noProof/>
                <w:webHidden/>
              </w:rPr>
              <w:instrText xml:space="preserve"> PAGEREF _Toc167871685 \h </w:instrText>
            </w:r>
            <w:r>
              <w:rPr>
                <w:noProof/>
                <w:webHidden/>
              </w:rPr>
            </w:r>
            <w:r>
              <w:rPr>
                <w:noProof/>
                <w:webHidden/>
              </w:rPr>
              <w:fldChar w:fldCharType="separate"/>
            </w:r>
            <w:r>
              <w:rPr>
                <w:noProof/>
                <w:webHidden/>
              </w:rPr>
              <w:t>129</w:t>
            </w:r>
            <w:r>
              <w:rPr>
                <w:noProof/>
                <w:webHidden/>
              </w:rPr>
              <w:fldChar w:fldCharType="end"/>
            </w:r>
          </w:hyperlink>
        </w:p>
        <w:p w14:paraId="1199D541" w14:textId="067AA246"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86" w:history="1">
            <w:r w:rsidRPr="009D4B3D">
              <w:rPr>
                <w:rStyle w:val="Hyperlink"/>
                <w:noProof/>
                <w14:scene3d>
                  <w14:camera w14:prst="orthographicFront"/>
                  <w14:lightRig w14:rig="threePt" w14:dir="t">
                    <w14:rot w14:lat="0" w14:lon="0" w14:rev="0"/>
                  </w14:lightRig>
                </w14:scene3d>
              </w:rPr>
              <w:t>4.15</w:t>
            </w:r>
            <w:r w:rsidRPr="009D4B3D">
              <w:rPr>
                <w:rStyle w:val="Hyperlink"/>
                <w:noProof/>
              </w:rPr>
              <w:t xml:space="preserve"> Teto de Gastos</w:t>
            </w:r>
            <w:r>
              <w:rPr>
                <w:noProof/>
                <w:webHidden/>
              </w:rPr>
              <w:tab/>
            </w:r>
            <w:r>
              <w:rPr>
                <w:noProof/>
                <w:webHidden/>
              </w:rPr>
              <w:fldChar w:fldCharType="begin"/>
            </w:r>
            <w:r>
              <w:rPr>
                <w:noProof/>
                <w:webHidden/>
              </w:rPr>
              <w:instrText xml:space="preserve"> PAGEREF _Toc167871686 \h </w:instrText>
            </w:r>
            <w:r>
              <w:rPr>
                <w:noProof/>
                <w:webHidden/>
              </w:rPr>
            </w:r>
            <w:r>
              <w:rPr>
                <w:noProof/>
                <w:webHidden/>
              </w:rPr>
              <w:fldChar w:fldCharType="separate"/>
            </w:r>
            <w:r>
              <w:rPr>
                <w:noProof/>
                <w:webHidden/>
              </w:rPr>
              <w:t>130</w:t>
            </w:r>
            <w:r>
              <w:rPr>
                <w:noProof/>
                <w:webHidden/>
              </w:rPr>
              <w:fldChar w:fldCharType="end"/>
            </w:r>
          </w:hyperlink>
        </w:p>
        <w:p w14:paraId="5596E917" w14:textId="45F81886" w:rsidR="00BD5B06" w:rsidRDefault="00BD5B06">
          <w:pPr>
            <w:pStyle w:val="Sumrio3"/>
            <w:rPr>
              <w:rFonts w:asciiTheme="minorHAnsi" w:eastAsiaTheme="minorEastAsia" w:hAnsiTheme="minorHAnsi" w:cstheme="minorBidi"/>
              <w:i w:val="0"/>
              <w:noProof/>
            </w:rPr>
          </w:pPr>
          <w:hyperlink w:anchor="_Toc167871687" w:history="1">
            <w:r w:rsidRPr="009D4B3D">
              <w:rPr>
                <w:rStyle w:val="Hyperlink"/>
                <w:noProof/>
              </w:rPr>
              <w:t>4.15.1 Lei Complementar Federal nº 156/2016</w:t>
            </w:r>
            <w:r>
              <w:rPr>
                <w:noProof/>
                <w:webHidden/>
              </w:rPr>
              <w:tab/>
            </w:r>
            <w:r>
              <w:rPr>
                <w:noProof/>
                <w:webHidden/>
              </w:rPr>
              <w:fldChar w:fldCharType="begin"/>
            </w:r>
            <w:r>
              <w:rPr>
                <w:noProof/>
                <w:webHidden/>
              </w:rPr>
              <w:instrText xml:space="preserve"> PAGEREF _Toc167871687 \h </w:instrText>
            </w:r>
            <w:r>
              <w:rPr>
                <w:noProof/>
                <w:webHidden/>
              </w:rPr>
            </w:r>
            <w:r>
              <w:rPr>
                <w:noProof/>
                <w:webHidden/>
              </w:rPr>
              <w:fldChar w:fldCharType="separate"/>
            </w:r>
            <w:r>
              <w:rPr>
                <w:noProof/>
                <w:webHidden/>
              </w:rPr>
              <w:t>130</w:t>
            </w:r>
            <w:r>
              <w:rPr>
                <w:noProof/>
                <w:webHidden/>
              </w:rPr>
              <w:fldChar w:fldCharType="end"/>
            </w:r>
          </w:hyperlink>
        </w:p>
        <w:p w14:paraId="19790654" w14:textId="3B463549" w:rsidR="00BD5B06" w:rsidRDefault="00BD5B06">
          <w:pPr>
            <w:pStyle w:val="Sumrio3"/>
            <w:rPr>
              <w:rFonts w:asciiTheme="minorHAnsi" w:eastAsiaTheme="minorEastAsia" w:hAnsiTheme="minorHAnsi" w:cstheme="minorBidi"/>
              <w:i w:val="0"/>
              <w:noProof/>
            </w:rPr>
          </w:pPr>
          <w:hyperlink w:anchor="_Toc167871688" w:history="1">
            <w:r w:rsidRPr="009D4B3D">
              <w:rPr>
                <w:rStyle w:val="Hyperlink"/>
                <w:noProof/>
              </w:rPr>
              <w:t>4.15.2 Lei Complementar Federal nº 159/2017</w:t>
            </w:r>
            <w:r>
              <w:rPr>
                <w:noProof/>
                <w:webHidden/>
              </w:rPr>
              <w:tab/>
            </w:r>
            <w:r>
              <w:rPr>
                <w:noProof/>
                <w:webHidden/>
              </w:rPr>
              <w:fldChar w:fldCharType="begin"/>
            </w:r>
            <w:r>
              <w:rPr>
                <w:noProof/>
                <w:webHidden/>
              </w:rPr>
              <w:instrText xml:space="preserve"> PAGEREF _Toc167871688 \h </w:instrText>
            </w:r>
            <w:r>
              <w:rPr>
                <w:noProof/>
                <w:webHidden/>
              </w:rPr>
            </w:r>
            <w:r>
              <w:rPr>
                <w:noProof/>
                <w:webHidden/>
              </w:rPr>
              <w:fldChar w:fldCharType="separate"/>
            </w:r>
            <w:r>
              <w:rPr>
                <w:noProof/>
                <w:webHidden/>
              </w:rPr>
              <w:t>135</w:t>
            </w:r>
            <w:r>
              <w:rPr>
                <w:noProof/>
                <w:webHidden/>
              </w:rPr>
              <w:fldChar w:fldCharType="end"/>
            </w:r>
          </w:hyperlink>
        </w:p>
        <w:p w14:paraId="52F4785D" w14:textId="0FE88B5D"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89" w:history="1">
            <w:r w:rsidRPr="009D4B3D">
              <w:rPr>
                <w:rStyle w:val="Hyperlink"/>
                <w:noProof/>
                <w14:scene3d>
                  <w14:camera w14:prst="orthographicFront"/>
                  <w14:lightRig w14:rig="threePt" w14:dir="t">
                    <w14:rot w14:lat="0" w14:lon="0" w14:rev="0"/>
                  </w14:lightRig>
                </w14:scene3d>
              </w:rPr>
              <w:t>4.16</w:t>
            </w:r>
            <w:r w:rsidRPr="009D4B3D">
              <w:rPr>
                <w:rStyle w:val="Hyperlink"/>
                <w:noProof/>
              </w:rPr>
              <w:t xml:space="preserve"> Renúncia de Receitas</w:t>
            </w:r>
            <w:r>
              <w:rPr>
                <w:noProof/>
                <w:webHidden/>
              </w:rPr>
              <w:tab/>
            </w:r>
            <w:r>
              <w:rPr>
                <w:noProof/>
                <w:webHidden/>
              </w:rPr>
              <w:fldChar w:fldCharType="begin"/>
            </w:r>
            <w:r>
              <w:rPr>
                <w:noProof/>
                <w:webHidden/>
              </w:rPr>
              <w:instrText xml:space="preserve"> PAGEREF _Toc167871689 \h </w:instrText>
            </w:r>
            <w:r>
              <w:rPr>
                <w:noProof/>
                <w:webHidden/>
              </w:rPr>
            </w:r>
            <w:r>
              <w:rPr>
                <w:noProof/>
                <w:webHidden/>
              </w:rPr>
              <w:fldChar w:fldCharType="separate"/>
            </w:r>
            <w:r>
              <w:rPr>
                <w:noProof/>
                <w:webHidden/>
              </w:rPr>
              <w:t>138</w:t>
            </w:r>
            <w:r>
              <w:rPr>
                <w:noProof/>
                <w:webHidden/>
              </w:rPr>
              <w:fldChar w:fldCharType="end"/>
            </w:r>
          </w:hyperlink>
        </w:p>
        <w:p w14:paraId="07BA7C4D" w14:textId="71561BFD" w:rsidR="00BD5B06" w:rsidRDefault="00BD5B06">
          <w:pPr>
            <w:pStyle w:val="Sumrio3"/>
            <w:rPr>
              <w:rFonts w:asciiTheme="minorHAnsi" w:eastAsiaTheme="minorEastAsia" w:hAnsiTheme="minorHAnsi" w:cstheme="minorBidi"/>
              <w:i w:val="0"/>
              <w:noProof/>
            </w:rPr>
          </w:pPr>
          <w:hyperlink w:anchor="_Toc167871690" w:history="1">
            <w:r w:rsidRPr="009D4B3D">
              <w:rPr>
                <w:rStyle w:val="Hyperlink"/>
                <w:noProof/>
              </w:rPr>
              <w:t>4.16.1 Estimativa da Renúncia de Receita</w:t>
            </w:r>
            <w:r>
              <w:rPr>
                <w:noProof/>
                <w:webHidden/>
              </w:rPr>
              <w:tab/>
            </w:r>
            <w:r>
              <w:rPr>
                <w:noProof/>
                <w:webHidden/>
              </w:rPr>
              <w:fldChar w:fldCharType="begin"/>
            </w:r>
            <w:r>
              <w:rPr>
                <w:noProof/>
                <w:webHidden/>
              </w:rPr>
              <w:instrText xml:space="preserve"> PAGEREF _Toc167871690 \h </w:instrText>
            </w:r>
            <w:r>
              <w:rPr>
                <w:noProof/>
                <w:webHidden/>
              </w:rPr>
            </w:r>
            <w:r>
              <w:rPr>
                <w:noProof/>
                <w:webHidden/>
              </w:rPr>
              <w:fldChar w:fldCharType="separate"/>
            </w:r>
            <w:r>
              <w:rPr>
                <w:noProof/>
                <w:webHidden/>
              </w:rPr>
              <w:t>138</w:t>
            </w:r>
            <w:r>
              <w:rPr>
                <w:noProof/>
                <w:webHidden/>
              </w:rPr>
              <w:fldChar w:fldCharType="end"/>
            </w:r>
          </w:hyperlink>
        </w:p>
        <w:p w14:paraId="183F5AC2" w14:textId="0AD59BC1" w:rsidR="00BD5B06" w:rsidRDefault="00BD5B06">
          <w:pPr>
            <w:pStyle w:val="Sumrio3"/>
            <w:rPr>
              <w:rFonts w:asciiTheme="minorHAnsi" w:eastAsiaTheme="minorEastAsia" w:hAnsiTheme="minorHAnsi" w:cstheme="minorBidi"/>
              <w:i w:val="0"/>
              <w:noProof/>
            </w:rPr>
          </w:pPr>
          <w:hyperlink w:anchor="_Toc167871691" w:history="1">
            <w:r w:rsidRPr="009D4B3D">
              <w:rPr>
                <w:rStyle w:val="Hyperlink"/>
                <w:noProof/>
              </w:rPr>
              <w:t>4.16.2 Renúncia de Receita Concedida</w:t>
            </w:r>
            <w:r>
              <w:rPr>
                <w:noProof/>
                <w:webHidden/>
              </w:rPr>
              <w:tab/>
            </w:r>
            <w:r>
              <w:rPr>
                <w:noProof/>
                <w:webHidden/>
              </w:rPr>
              <w:fldChar w:fldCharType="begin"/>
            </w:r>
            <w:r>
              <w:rPr>
                <w:noProof/>
                <w:webHidden/>
              </w:rPr>
              <w:instrText xml:space="preserve"> PAGEREF _Toc167871691 \h </w:instrText>
            </w:r>
            <w:r>
              <w:rPr>
                <w:noProof/>
                <w:webHidden/>
              </w:rPr>
            </w:r>
            <w:r>
              <w:rPr>
                <w:noProof/>
                <w:webHidden/>
              </w:rPr>
              <w:fldChar w:fldCharType="separate"/>
            </w:r>
            <w:r>
              <w:rPr>
                <w:noProof/>
                <w:webHidden/>
              </w:rPr>
              <w:t>140</w:t>
            </w:r>
            <w:r>
              <w:rPr>
                <w:noProof/>
                <w:webHidden/>
              </w:rPr>
              <w:fldChar w:fldCharType="end"/>
            </w:r>
          </w:hyperlink>
        </w:p>
        <w:p w14:paraId="51899493" w14:textId="268AA373" w:rsidR="00BD5B06" w:rsidRDefault="00BD5B06">
          <w:pPr>
            <w:pStyle w:val="Sumrio3"/>
            <w:rPr>
              <w:rFonts w:asciiTheme="minorHAnsi" w:eastAsiaTheme="minorEastAsia" w:hAnsiTheme="minorHAnsi" w:cstheme="minorBidi"/>
              <w:i w:val="0"/>
              <w:noProof/>
            </w:rPr>
          </w:pPr>
          <w:hyperlink w:anchor="_Toc167871692" w:history="1">
            <w:r w:rsidRPr="009D4B3D">
              <w:rPr>
                <w:rStyle w:val="Hyperlink"/>
                <w:noProof/>
              </w:rPr>
              <w:t>4.16.3 Evidenciação e Registro da Renúncia de Receita</w:t>
            </w:r>
            <w:r>
              <w:rPr>
                <w:noProof/>
                <w:webHidden/>
              </w:rPr>
              <w:tab/>
            </w:r>
            <w:r>
              <w:rPr>
                <w:noProof/>
                <w:webHidden/>
              </w:rPr>
              <w:fldChar w:fldCharType="begin"/>
            </w:r>
            <w:r>
              <w:rPr>
                <w:noProof/>
                <w:webHidden/>
              </w:rPr>
              <w:instrText xml:space="preserve"> PAGEREF _Toc167871692 \h </w:instrText>
            </w:r>
            <w:r>
              <w:rPr>
                <w:noProof/>
                <w:webHidden/>
              </w:rPr>
            </w:r>
            <w:r>
              <w:rPr>
                <w:noProof/>
                <w:webHidden/>
              </w:rPr>
              <w:fldChar w:fldCharType="separate"/>
            </w:r>
            <w:r>
              <w:rPr>
                <w:noProof/>
                <w:webHidden/>
              </w:rPr>
              <w:t>144</w:t>
            </w:r>
            <w:r>
              <w:rPr>
                <w:noProof/>
                <w:webHidden/>
              </w:rPr>
              <w:fldChar w:fldCharType="end"/>
            </w:r>
          </w:hyperlink>
        </w:p>
        <w:p w14:paraId="2615ABE9" w14:textId="79FD1A73" w:rsidR="00BD5B06" w:rsidRDefault="00BD5B06">
          <w:pPr>
            <w:pStyle w:val="Sumrio1"/>
            <w:rPr>
              <w:rFonts w:asciiTheme="minorHAnsi" w:eastAsiaTheme="minorEastAsia" w:hAnsiTheme="minorHAnsi" w:cstheme="minorBidi"/>
              <w:b w:val="0"/>
              <w:bCs w:val="0"/>
              <w:sz w:val="22"/>
              <w:szCs w:val="22"/>
            </w:rPr>
          </w:pPr>
          <w:hyperlink w:anchor="_Toc167871693" w:history="1">
            <w:r w:rsidRPr="009D4B3D">
              <w:rPr>
                <w:rStyle w:val="Hyperlink"/>
              </w:rPr>
              <w:t>5 Vinculações Constitucionais</w:t>
            </w:r>
            <w:r>
              <w:rPr>
                <w:webHidden/>
              </w:rPr>
              <w:tab/>
            </w:r>
            <w:r>
              <w:rPr>
                <w:webHidden/>
              </w:rPr>
              <w:fldChar w:fldCharType="begin"/>
            </w:r>
            <w:r>
              <w:rPr>
                <w:webHidden/>
              </w:rPr>
              <w:instrText xml:space="preserve"> PAGEREF _Toc167871693 \h </w:instrText>
            </w:r>
            <w:r>
              <w:rPr>
                <w:webHidden/>
              </w:rPr>
            </w:r>
            <w:r>
              <w:rPr>
                <w:webHidden/>
              </w:rPr>
              <w:fldChar w:fldCharType="separate"/>
            </w:r>
            <w:r>
              <w:rPr>
                <w:webHidden/>
              </w:rPr>
              <w:t>148</w:t>
            </w:r>
            <w:r>
              <w:rPr>
                <w:webHidden/>
              </w:rPr>
              <w:fldChar w:fldCharType="end"/>
            </w:r>
          </w:hyperlink>
        </w:p>
        <w:p w14:paraId="2870E1B0" w14:textId="67CAE0ED"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94" w:history="1">
            <w:r w:rsidRPr="009D4B3D">
              <w:rPr>
                <w:rStyle w:val="Hyperlink"/>
                <w:noProof/>
                <w14:scene3d>
                  <w14:camera w14:prst="orthographicFront"/>
                  <w14:lightRig w14:rig="threePt" w14:dir="t">
                    <w14:rot w14:lat="0" w14:lon="0" w14:rev="0"/>
                  </w14:lightRig>
                </w14:scene3d>
              </w:rPr>
              <w:t>5.1</w:t>
            </w:r>
            <w:r w:rsidRPr="009D4B3D">
              <w:rPr>
                <w:rStyle w:val="Hyperlink"/>
                <w:noProof/>
              </w:rPr>
              <w:t xml:space="preserve"> Destinação de Receita aos Municípios</w:t>
            </w:r>
            <w:r>
              <w:rPr>
                <w:noProof/>
                <w:webHidden/>
              </w:rPr>
              <w:tab/>
            </w:r>
            <w:r>
              <w:rPr>
                <w:noProof/>
                <w:webHidden/>
              </w:rPr>
              <w:fldChar w:fldCharType="begin"/>
            </w:r>
            <w:r>
              <w:rPr>
                <w:noProof/>
                <w:webHidden/>
              </w:rPr>
              <w:instrText xml:space="preserve"> PAGEREF _Toc167871694 \h </w:instrText>
            </w:r>
            <w:r>
              <w:rPr>
                <w:noProof/>
                <w:webHidden/>
              </w:rPr>
            </w:r>
            <w:r>
              <w:rPr>
                <w:noProof/>
                <w:webHidden/>
              </w:rPr>
              <w:fldChar w:fldCharType="separate"/>
            </w:r>
            <w:r>
              <w:rPr>
                <w:noProof/>
                <w:webHidden/>
              </w:rPr>
              <w:t>148</w:t>
            </w:r>
            <w:r>
              <w:rPr>
                <w:noProof/>
                <w:webHidden/>
              </w:rPr>
              <w:fldChar w:fldCharType="end"/>
            </w:r>
          </w:hyperlink>
        </w:p>
        <w:p w14:paraId="0D8EE0D3" w14:textId="01CA2A73"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695" w:history="1">
            <w:r w:rsidRPr="009D4B3D">
              <w:rPr>
                <w:rStyle w:val="Hyperlink"/>
                <w:noProof/>
                <w14:scene3d>
                  <w14:camera w14:prst="orthographicFront"/>
                  <w14:lightRig w14:rig="threePt" w14:dir="t">
                    <w14:rot w14:lat="0" w14:lon="0" w14:rev="0"/>
                  </w14:lightRig>
                </w14:scene3d>
              </w:rPr>
              <w:t>5.2</w:t>
            </w:r>
            <w:r w:rsidRPr="009D4B3D">
              <w:rPr>
                <w:rStyle w:val="Hyperlink"/>
                <w:noProof/>
              </w:rPr>
              <w:t xml:space="preserve"> Aplicação de Receita na Educação</w:t>
            </w:r>
            <w:r>
              <w:rPr>
                <w:noProof/>
                <w:webHidden/>
              </w:rPr>
              <w:tab/>
            </w:r>
            <w:r>
              <w:rPr>
                <w:noProof/>
                <w:webHidden/>
              </w:rPr>
              <w:fldChar w:fldCharType="begin"/>
            </w:r>
            <w:r>
              <w:rPr>
                <w:noProof/>
                <w:webHidden/>
              </w:rPr>
              <w:instrText xml:space="preserve"> PAGEREF _Toc167871695 \h </w:instrText>
            </w:r>
            <w:r>
              <w:rPr>
                <w:noProof/>
                <w:webHidden/>
              </w:rPr>
            </w:r>
            <w:r>
              <w:rPr>
                <w:noProof/>
                <w:webHidden/>
              </w:rPr>
              <w:fldChar w:fldCharType="separate"/>
            </w:r>
            <w:r>
              <w:rPr>
                <w:noProof/>
                <w:webHidden/>
              </w:rPr>
              <w:t>151</w:t>
            </w:r>
            <w:r>
              <w:rPr>
                <w:noProof/>
                <w:webHidden/>
              </w:rPr>
              <w:fldChar w:fldCharType="end"/>
            </w:r>
          </w:hyperlink>
        </w:p>
        <w:p w14:paraId="3D53C7DC" w14:textId="1452439B" w:rsidR="00BD5B06" w:rsidRDefault="00BD5B06">
          <w:pPr>
            <w:pStyle w:val="Sumrio3"/>
            <w:rPr>
              <w:rFonts w:asciiTheme="minorHAnsi" w:eastAsiaTheme="minorEastAsia" w:hAnsiTheme="minorHAnsi" w:cstheme="minorBidi"/>
              <w:i w:val="0"/>
              <w:noProof/>
            </w:rPr>
          </w:pPr>
          <w:hyperlink w:anchor="_Toc167871696" w:history="1">
            <w:r w:rsidRPr="009D4B3D">
              <w:rPr>
                <w:rStyle w:val="Hyperlink"/>
                <w:noProof/>
              </w:rPr>
              <w:t>5.2.1 Despesa na Função Educação</w:t>
            </w:r>
            <w:r>
              <w:rPr>
                <w:noProof/>
                <w:webHidden/>
              </w:rPr>
              <w:tab/>
            </w:r>
            <w:r>
              <w:rPr>
                <w:noProof/>
                <w:webHidden/>
              </w:rPr>
              <w:fldChar w:fldCharType="begin"/>
            </w:r>
            <w:r>
              <w:rPr>
                <w:noProof/>
                <w:webHidden/>
              </w:rPr>
              <w:instrText xml:space="preserve"> PAGEREF _Toc167871696 \h </w:instrText>
            </w:r>
            <w:r>
              <w:rPr>
                <w:noProof/>
                <w:webHidden/>
              </w:rPr>
            </w:r>
            <w:r>
              <w:rPr>
                <w:noProof/>
                <w:webHidden/>
              </w:rPr>
              <w:fldChar w:fldCharType="separate"/>
            </w:r>
            <w:r>
              <w:rPr>
                <w:noProof/>
                <w:webHidden/>
              </w:rPr>
              <w:t>152</w:t>
            </w:r>
            <w:r>
              <w:rPr>
                <w:noProof/>
                <w:webHidden/>
              </w:rPr>
              <w:fldChar w:fldCharType="end"/>
            </w:r>
          </w:hyperlink>
        </w:p>
        <w:p w14:paraId="52270828" w14:textId="6ECEE7B2" w:rsidR="00BD5B06" w:rsidRDefault="00BD5B06">
          <w:pPr>
            <w:pStyle w:val="Sumrio3"/>
            <w:rPr>
              <w:rFonts w:asciiTheme="minorHAnsi" w:eastAsiaTheme="minorEastAsia" w:hAnsiTheme="minorHAnsi" w:cstheme="minorBidi"/>
              <w:i w:val="0"/>
              <w:noProof/>
            </w:rPr>
          </w:pPr>
          <w:hyperlink w:anchor="_Toc167871697" w:history="1">
            <w:r w:rsidRPr="009D4B3D">
              <w:rPr>
                <w:rStyle w:val="Hyperlink"/>
                <w:noProof/>
              </w:rPr>
              <w:t>5.2.2 Fundeb</w:t>
            </w:r>
            <w:r>
              <w:rPr>
                <w:noProof/>
                <w:webHidden/>
              </w:rPr>
              <w:tab/>
            </w:r>
            <w:r>
              <w:rPr>
                <w:noProof/>
                <w:webHidden/>
              </w:rPr>
              <w:fldChar w:fldCharType="begin"/>
            </w:r>
            <w:r>
              <w:rPr>
                <w:noProof/>
                <w:webHidden/>
              </w:rPr>
              <w:instrText xml:space="preserve"> PAGEREF _Toc167871697 \h </w:instrText>
            </w:r>
            <w:r>
              <w:rPr>
                <w:noProof/>
                <w:webHidden/>
              </w:rPr>
            </w:r>
            <w:r>
              <w:rPr>
                <w:noProof/>
                <w:webHidden/>
              </w:rPr>
              <w:fldChar w:fldCharType="separate"/>
            </w:r>
            <w:r>
              <w:rPr>
                <w:noProof/>
                <w:webHidden/>
              </w:rPr>
              <w:t>155</w:t>
            </w:r>
            <w:r>
              <w:rPr>
                <w:noProof/>
                <w:webHidden/>
              </w:rPr>
              <w:fldChar w:fldCharType="end"/>
            </w:r>
          </w:hyperlink>
        </w:p>
        <w:p w14:paraId="3E70BA14" w14:textId="32227254" w:rsidR="00BD5B06" w:rsidRDefault="00BD5B06">
          <w:pPr>
            <w:pStyle w:val="Sumrio3"/>
            <w:rPr>
              <w:rFonts w:asciiTheme="minorHAnsi" w:eastAsiaTheme="minorEastAsia" w:hAnsiTheme="minorHAnsi" w:cstheme="minorBidi"/>
              <w:i w:val="0"/>
              <w:noProof/>
            </w:rPr>
          </w:pPr>
          <w:hyperlink w:anchor="_Toc167871698" w:history="1">
            <w:r w:rsidRPr="009D4B3D">
              <w:rPr>
                <w:rStyle w:val="Hyperlink"/>
                <w:noProof/>
              </w:rPr>
              <w:t>5.2.3 Índice Constitucional da Educação</w:t>
            </w:r>
            <w:r>
              <w:rPr>
                <w:noProof/>
                <w:webHidden/>
              </w:rPr>
              <w:tab/>
            </w:r>
            <w:r>
              <w:rPr>
                <w:noProof/>
                <w:webHidden/>
              </w:rPr>
              <w:fldChar w:fldCharType="begin"/>
            </w:r>
            <w:r>
              <w:rPr>
                <w:noProof/>
                <w:webHidden/>
              </w:rPr>
              <w:instrText xml:space="preserve"> PAGEREF _Toc167871698 \h </w:instrText>
            </w:r>
            <w:r>
              <w:rPr>
                <w:noProof/>
                <w:webHidden/>
              </w:rPr>
            </w:r>
            <w:r>
              <w:rPr>
                <w:noProof/>
                <w:webHidden/>
              </w:rPr>
              <w:fldChar w:fldCharType="separate"/>
            </w:r>
            <w:r>
              <w:rPr>
                <w:noProof/>
                <w:webHidden/>
              </w:rPr>
              <w:t>159</w:t>
            </w:r>
            <w:r>
              <w:rPr>
                <w:noProof/>
                <w:webHidden/>
              </w:rPr>
              <w:fldChar w:fldCharType="end"/>
            </w:r>
          </w:hyperlink>
        </w:p>
        <w:p w14:paraId="059F590D" w14:textId="183B57CB" w:rsidR="00BD5B06" w:rsidRDefault="00BD5B06">
          <w:pPr>
            <w:pStyle w:val="Sumrio3"/>
            <w:rPr>
              <w:rFonts w:asciiTheme="minorHAnsi" w:eastAsiaTheme="minorEastAsia" w:hAnsiTheme="minorHAnsi" w:cstheme="minorBidi"/>
              <w:i w:val="0"/>
              <w:noProof/>
            </w:rPr>
          </w:pPr>
          <w:hyperlink w:anchor="_Toc167871699" w:history="1">
            <w:r w:rsidRPr="009D4B3D">
              <w:rPr>
                <w:rStyle w:val="Hyperlink"/>
                <w:noProof/>
              </w:rPr>
              <w:t>5.2.4 Emendas Parlamentares</w:t>
            </w:r>
            <w:r>
              <w:rPr>
                <w:noProof/>
                <w:webHidden/>
              </w:rPr>
              <w:tab/>
            </w:r>
            <w:r>
              <w:rPr>
                <w:noProof/>
                <w:webHidden/>
              </w:rPr>
              <w:fldChar w:fldCharType="begin"/>
            </w:r>
            <w:r>
              <w:rPr>
                <w:noProof/>
                <w:webHidden/>
              </w:rPr>
              <w:instrText xml:space="preserve"> PAGEREF _Toc167871699 \h </w:instrText>
            </w:r>
            <w:r>
              <w:rPr>
                <w:noProof/>
                <w:webHidden/>
              </w:rPr>
            </w:r>
            <w:r>
              <w:rPr>
                <w:noProof/>
                <w:webHidden/>
              </w:rPr>
              <w:fldChar w:fldCharType="separate"/>
            </w:r>
            <w:r>
              <w:rPr>
                <w:noProof/>
                <w:webHidden/>
              </w:rPr>
              <w:t>161</w:t>
            </w:r>
            <w:r>
              <w:rPr>
                <w:noProof/>
                <w:webHidden/>
              </w:rPr>
              <w:fldChar w:fldCharType="end"/>
            </w:r>
          </w:hyperlink>
        </w:p>
        <w:p w14:paraId="4D27FBA6" w14:textId="5762F54B" w:rsidR="00BD5B06" w:rsidRDefault="00BD5B06">
          <w:pPr>
            <w:pStyle w:val="Sumrio3"/>
            <w:rPr>
              <w:rFonts w:asciiTheme="minorHAnsi" w:eastAsiaTheme="minorEastAsia" w:hAnsiTheme="minorHAnsi" w:cstheme="minorBidi"/>
              <w:i w:val="0"/>
              <w:noProof/>
            </w:rPr>
          </w:pPr>
          <w:hyperlink w:anchor="_Toc167871700" w:history="1">
            <w:r w:rsidRPr="009D4B3D">
              <w:rPr>
                <w:rStyle w:val="Hyperlink"/>
                <w:noProof/>
              </w:rPr>
              <w:t>5.2.5 Sistema de Informações sobre Orçamentos Públicos em Educação</w:t>
            </w:r>
            <w:r>
              <w:rPr>
                <w:noProof/>
                <w:webHidden/>
              </w:rPr>
              <w:tab/>
            </w:r>
            <w:r>
              <w:rPr>
                <w:noProof/>
                <w:webHidden/>
              </w:rPr>
              <w:fldChar w:fldCharType="begin"/>
            </w:r>
            <w:r>
              <w:rPr>
                <w:noProof/>
                <w:webHidden/>
              </w:rPr>
              <w:instrText xml:space="preserve"> PAGEREF _Toc167871700 \h </w:instrText>
            </w:r>
            <w:r>
              <w:rPr>
                <w:noProof/>
                <w:webHidden/>
              </w:rPr>
            </w:r>
            <w:r>
              <w:rPr>
                <w:noProof/>
                <w:webHidden/>
              </w:rPr>
              <w:fldChar w:fldCharType="separate"/>
            </w:r>
            <w:r>
              <w:rPr>
                <w:noProof/>
                <w:webHidden/>
              </w:rPr>
              <w:t>162</w:t>
            </w:r>
            <w:r>
              <w:rPr>
                <w:noProof/>
                <w:webHidden/>
              </w:rPr>
              <w:fldChar w:fldCharType="end"/>
            </w:r>
          </w:hyperlink>
        </w:p>
        <w:p w14:paraId="11EDE46D" w14:textId="4F10080F"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701" w:history="1">
            <w:r w:rsidRPr="009D4B3D">
              <w:rPr>
                <w:rStyle w:val="Hyperlink"/>
                <w:noProof/>
                <w14:scene3d>
                  <w14:camera w14:prst="orthographicFront"/>
                  <w14:lightRig w14:rig="threePt" w14:dir="t">
                    <w14:rot w14:lat="0" w14:lon="0" w14:rev="0"/>
                  </w14:lightRig>
                </w14:scene3d>
              </w:rPr>
              <w:t>5.3</w:t>
            </w:r>
            <w:r w:rsidRPr="009D4B3D">
              <w:rPr>
                <w:rStyle w:val="Hyperlink"/>
                <w:noProof/>
              </w:rPr>
              <w:t xml:space="preserve"> Aplicação de Receita na Saúde</w:t>
            </w:r>
            <w:r>
              <w:rPr>
                <w:noProof/>
                <w:webHidden/>
              </w:rPr>
              <w:tab/>
            </w:r>
            <w:r>
              <w:rPr>
                <w:noProof/>
                <w:webHidden/>
              </w:rPr>
              <w:fldChar w:fldCharType="begin"/>
            </w:r>
            <w:r>
              <w:rPr>
                <w:noProof/>
                <w:webHidden/>
              </w:rPr>
              <w:instrText xml:space="preserve"> PAGEREF _Toc167871701 \h </w:instrText>
            </w:r>
            <w:r>
              <w:rPr>
                <w:noProof/>
                <w:webHidden/>
              </w:rPr>
            </w:r>
            <w:r>
              <w:rPr>
                <w:noProof/>
                <w:webHidden/>
              </w:rPr>
              <w:fldChar w:fldCharType="separate"/>
            </w:r>
            <w:r>
              <w:rPr>
                <w:noProof/>
                <w:webHidden/>
              </w:rPr>
              <w:t>162</w:t>
            </w:r>
            <w:r>
              <w:rPr>
                <w:noProof/>
                <w:webHidden/>
              </w:rPr>
              <w:fldChar w:fldCharType="end"/>
            </w:r>
          </w:hyperlink>
        </w:p>
        <w:p w14:paraId="6E60EA42" w14:textId="173ECC20" w:rsidR="00BD5B06" w:rsidRDefault="00BD5B06">
          <w:pPr>
            <w:pStyle w:val="Sumrio3"/>
            <w:rPr>
              <w:rFonts w:asciiTheme="minorHAnsi" w:eastAsiaTheme="minorEastAsia" w:hAnsiTheme="minorHAnsi" w:cstheme="minorBidi"/>
              <w:i w:val="0"/>
              <w:noProof/>
            </w:rPr>
          </w:pPr>
          <w:hyperlink w:anchor="_Toc167871702" w:history="1">
            <w:r w:rsidRPr="009D4B3D">
              <w:rPr>
                <w:rStyle w:val="Hyperlink"/>
                <w:noProof/>
              </w:rPr>
              <w:t>5.3.1 Despesas na Função Saúde</w:t>
            </w:r>
            <w:r>
              <w:rPr>
                <w:noProof/>
                <w:webHidden/>
              </w:rPr>
              <w:tab/>
            </w:r>
            <w:r>
              <w:rPr>
                <w:noProof/>
                <w:webHidden/>
              </w:rPr>
              <w:fldChar w:fldCharType="begin"/>
            </w:r>
            <w:r>
              <w:rPr>
                <w:noProof/>
                <w:webHidden/>
              </w:rPr>
              <w:instrText xml:space="preserve"> PAGEREF _Toc167871702 \h </w:instrText>
            </w:r>
            <w:r>
              <w:rPr>
                <w:noProof/>
                <w:webHidden/>
              </w:rPr>
            </w:r>
            <w:r>
              <w:rPr>
                <w:noProof/>
                <w:webHidden/>
              </w:rPr>
              <w:fldChar w:fldCharType="separate"/>
            </w:r>
            <w:r>
              <w:rPr>
                <w:noProof/>
                <w:webHidden/>
              </w:rPr>
              <w:t>163</w:t>
            </w:r>
            <w:r>
              <w:rPr>
                <w:noProof/>
                <w:webHidden/>
              </w:rPr>
              <w:fldChar w:fldCharType="end"/>
            </w:r>
          </w:hyperlink>
        </w:p>
        <w:p w14:paraId="1707DCD1" w14:textId="401CB604" w:rsidR="00BD5B06" w:rsidRDefault="00BD5B06">
          <w:pPr>
            <w:pStyle w:val="Sumrio3"/>
            <w:rPr>
              <w:rFonts w:asciiTheme="minorHAnsi" w:eastAsiaTheme="minorEastAsia" w:hAnsiTheme="minorHAnsi" w:cstheme="minorBidi"/>
              <w:i w:val="0"/>
              <w:noProof/>
            </w:rPr>
          </w:pPr>
          <w:hyperlink w:anchor="_Toc167871703" w:history="1">
            <w:r w:rsidRPr="009D4B3D">
              <w:rPr>
                <w:rStyle w:val="Hyperlink"/>
                <w:noProof/>
              </w:rPr>
              <w:t>5.3.2 Despesas Executadas por meio de Organizações Sociais e Organizações da Sociedade Civil</w:t>
            </w:r>
            <w:r>
              <w:rPr>
                <w:noProof/>
                <w:webHidden/>
              </w:rPr>
              <w:tab/>
            </w:r>
            <w:r>
              <w:rPr>
                <w:noProof/>
                <w:webHidden/>
              </w:rPr>
              <w:fldChar w:fldCharType="begin"/>
            </w:r>
            <w:r>
              <w:rPr>
                <w:noProof/>
                <w:webHidden/>
              </w:rPr>
              <w:instrText xml:space="preserve"> PAGEREF _Toc167871703 \h </w:instrText>
            </w:r>
            <w:r>
              <w:rPr>
                <w:noProof/>
                <w:webHidden/>
              </w:rPr>
            </w:r>
            <w:r>
              <w:rPr>
                <w:noProof/>
                <w:webHidden/>
              </w:rPr>
              <w:fldChar w:fldCharType="separate"/>
            </w:r>
            <w:r>
              <w:rPr>
                <w:noProof/>
                <w:webHidden/>
              </w:rPr>
              <w:t>166</w:t>
            </w:r>
            <w:r>
              <w:rPr>
                <w:noProof/>
                <w:webHidden/>
              </w:rPr>
              <w:fldChar w:fldCharType="end"/>
            </w:r>
          </w:hyperlink>
        </w:p>
        <w:p w14:paraId="23AEF4B3" w14:textId="555CAFBE" w:rsidR="00BD5B06" w:rsidRDefault="00BD5B06">
          <w:pPr>
            <w:pStyle w:val="Sumrio3"/>
            <w:rPr>
              <w:rFonts w:asciiTheme="minorHAnsi" w:eastAsiaTheme="minorEastAsia" w:hAnsiTheme="minorHAnsi" w:cstheme="minorBidi"/>
              <w:i w:val="0"/>
              <w:noProof/>
            </w:rPr>
          </w:pPr>
          <w:hyperlink w:anchor="_Toc167871704" w:history="1">
            <w:r w:rsidRPr="009D4B3D">
              <w:rPr>
                <w:rStyle w:val="Hyperlink"/>
                <w:noProof/>
              </w:rPr>
              <w:t>5.3.3 Índice Constitucional da Saúde</w:t>
            </w:r>
            <w:r>
              <w:rPr>
                <w:noProof/>
                <w:webHidden/>
              </w:rPr>
              <w:tab/>
            </w:r>
            <w:r>
              <w:rPr>
                <w:noProof/>
                <w:webHidden/>
              </w:rPr>
              <w:fldChar w:fldCharType="begin"/>
            </w:r>
            <w:r>
              <w:rPr>
                <w:noProof/>
                <w:webHidden/>
              </w:rPr>
              <w:instrText xml:space="preserve"> PAGEREF _Toc167871704 \h </w:instrText>
            </w:r>
            <w:r>
              <w:rPr>
                <w:noProof/>
                <w:webHidden/>
              </w:rPr>
            </w:r>
            <w:r>
              <w:rPr>
                <w:noProof/>
                <w:webHidden/>
              </w:rPr>
              <w:fldChar w:fldCharType="separate"/>
            </w:r>
            <w:r>
              <w:rPr>
                <w:noProof/>
                <w:webHidden/>
              </w:rPr>
              <w:t>171</w:t>
            </w:r>
            <w:r>
              <w:rPr>
                <w:noProof/>
                <w:webHidden/>
              </w:rPr>
              <w:fldChar w:fldCharType="end"/>
            </w:r>
          </w:hyperlink>
        </w:p>
        <w:p w14:paraId="09EE4867" w14:textId="0F612DA5" w:rsidR="00BD5B06" w:rsidRDefault="00BD5B06">
          <w:pPr>
            <w:pStyle w:val="Sumrio3"/>
            <w:rPr>
              <w:rFonts w:asciiTheme="minorHAnsi" w:eastAsiaTheme="minorEastAsia" w:hAnsiTheme="minorHAnsi" w:cstheme="minorBidi"/>
              <w:i w:val="0"/>
              <w:noProof/>
            </w:rPr>
          </w:pPr>
          <w:hyperlink w:anchor="_Toc167871705" w:history="1">
            <w:r w:rsidRPr="009D4B3D">
              <w:rPr>
                <w:rStyle w:val="Hyperlink"/>
                <w:noProof/>
              </w:rPr>
              <w:t>5.3.4 Emendas Parlamentares</w:t>
            </w:r>
            <w:r>
              <w:rPr>
                <w:noProof/>
                <w:webHidden/>
              </w:rPr>
              <w:tab/>
            </w:r>
            <w:r>
              <w:rPr>
                <w:noProof/>
                <w:webHidden/>
              </w:rPr>
              <w:fldChar w:fldCharType="begin"/>
            </w:r>
            <w:r>
              <w:rPr>
                <w:noProof/>
                <w:webHidden/>
              </w:rPr>
              <w:instrText xml:space="preserve"> PAGEREF _Toc167871705 \h </w:instrText>
            </w:r>
            <w:r>
              <w:rPr>
                <w:noProof/>
                <w:webHidden/>
              </w:rPr>
            </w:r>
            <w:r>
              <w:rPr>
                <w:noProof/>
                <w:webHidden/>
              </w:rPr>
              <w:fldChar w:fldCharType="separate"/>
            </w:r>
            <w:r>
              <w:rPr>
                <w:noProof/>
                <w:webHidden/>
              </w:rPr>
              <w:t>175</w:t>
            </w:r>
            <w:r>
              <w:rPr>
                <w:noProof/>
                <w:webHidden/>
              </w:rPr>
              <w:fldChar w:fldCharType="end"/>
            </w:r>
          </w:hyperlink>
        </w:p>
        <w:p w14:paraId="155C54F0" w14:textId="743F0453" w:rsidR="00BD5B06" w:rsidRDefault="00BD5B06">
          <w:pPr>
            <w:pStyle w:val="Sumrio3"/>
            <w:rPr>
              <w:rFonts w:asciiTheme="minorHAnsi" w:eastAsiaTheme="minorEastAsia" w:hAnsiTheme="minorHAnsi" w:cstheme="minorBidi"/>
              <w:i w:val="0"/>
              <w:noProof/>
            </w:rPr>
          </w:pPr>
          <w:hyperlink w:anchor="_Toc167871706" w:history="1">
            <w:r w:rsidRPr="009D4B3D">
              <w:rPr>
                <w:rStyle w:val="Hyperlink"/>
                <w:noProof/>
              </w:rPr>
              <w:t>5.3.5 Sistema de Informações sobre Orçamentos Públicos em Saúde</w:t>
            </w:r>
            <w:r>
              <w:rPr>
                <w:noProof/>
                <w:webHidden/>
              </w:rPr>
              <w:tab/>
            </w:r>
            <w:r>
              <w:rPr>
                <w:noProof/>
                <w:webHidden/>
              </w:rPr>
              <w:fldChar w:fldCharType="begin"/>
            </w:r>
            <w:r>
              <w:rPr>
                <w:noProof/>
                <w:webHidden/>
              </w:rPr>
              <w:instrText xml:space="preserve"> PAGEREF _Toc167871706 \h </w:instrText>
            </w:r>
            <w:r>
              <w:rPr>
                <w:noProof/>
                <w:webHidden/>
              </w:rPr>
            </w:r>
            <w:r>
              <w:rPr>
                <w:noProof/>
                <w:webHidden/>
              </w:rPr>
              <w:fldChar w:fldCharType="separate"/>
            </w:r>
            <w:r>
              <w:rPr>
                <w:noProof/>
                <w:webHidden/>
              </w:rPr>
              <w:t>176</w:t>
            </w:r>
            <w:r>
              <w:rPr>
                <w:noProof/>
                <w:webHidden/>
              </w:rPr>
              <w:fldChar w:fldCharType="end"/>
            </w:r>
          </w:hyperlink>
        </w:p>
        <w:p w14:paraId="12333389" w14:textId="21F522DB" w:rsidR="00BD5B06" w:rsidRDefault="00BD5B06">
          <w:pPr>
            <w:pStyle w:val="Sumrio1"/>
            <w:rPr>
              <w:rFonts w:asciiTheme="minorHAnsi" w:eastAsiaTheme="minorEastAsia" w:hAnsiTheme="minorHAnsi" w:cstheme="minorBidi"/>
              <w:b w:val="0"/>
              <w:bCs w:val="0"/>
              <w:sz w:val="22"/>
              <w:szCs w:val="22"/>
            </w:rPr>
          </w:pPr>
          <w:hyperlink w:anchor="_Toc167871707" w:history="1">
            <w:r w:rsidRPr="009D4B3D">
              <w:rPr>
                <w:rStyle w:val="Hyperlink"/>
              </w:rPr>
              <w:t>6 Gestão Patrimonial</w:t>
            </w:r>
            <w:r>
              <w:rPr>
                <w:webHidden/>
              </w:rPr>
              <w:tab/>
            </w:r>
            <w:r>
              <w:rPr>
                <w:webHidden/>
              </w:rPr>
              <w:fldChar w:fldCharType="begin"/>
            </w:r>
            <w:r>
              <w:rPr>
                <w:webHidden/>
              </w:rPr>
              <w:instrText xml:space="preserve"> PAGEREF _Toc167871707 \h </w:instrText>
            </w:r>
            <w:r>
              <w:rPr>
                <w:webHidden/>
              </w:rPr>
            </w:r>
            <w:r>
              <w:rPr>
                <w:webHidden/>
              </w:rPr>
              <w:fldChar w:fldCharType="separate"/>
            </w:r>
            <w:r>
              <w:rPr>
                <w:webHidden/>
              </w:rPr>
              <w:t>178</w:t>
            </w:r>
            <w:r>
              <w:rPr>
                <w:webHidden/>
              </w:rPr>
              <w:fldChar w:fldCharType="end"/>
            </w:r>
          </w:hyperlink>
        </w:p>
        <w:p w14:paraId="514CD906" w14:textId="4B62C3BA"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708" w:history="1">
            <w:r w:rsidRPr="009D4B3D">
              <w:rPr>
                <w:rStyle w:val="Hyperlink"/>
                <w:noProof/>
                <w14:scene3d>
                  <w14:camera w14:prst="orthographicFront"/>
                  <w14:lightRig w14:rig="threePt" w14:dir="t">
                    <w14:rot w14:lat="0" w14:lon="0" w14:rev="0"/>
                  </w14:lightRig>
                </w14:scene3d>
              </w:rPr>
              <w:t>6.1</w:t>
            </w:r>
            <w:r w:rsidRPr="009D4B3D">
              <w:rPr>
                <w:rStyle w:val="Hyperlink"/>
                <w:rFonts w:cs="Arial"/>
                <w:noProof/>
              </w:rPr>
              <w:t xml:space="preserve"> Balanço Patrimonial</w:t>
            </w:r>
            <w:r>
              <w:rPr>
                <w:noProof/>
                <w:webHidden/>
              </w:rPr>
              <w:tab/>
            </w:r>
            <w:r>
              <w:rPr>
                <w:noProof/>
                <w:webHidden/>
              </w:rPr>
              <w:fldChar w:fldCharType="begin"/>
            </w:r>
            <w:r>
              <w:rPr>
                <w:noProof/>
                <w:webHidden/>
              </w:rPr>
              <w:instrText xml:space="preserve"> PAGEREF _Toc167871708 \h </w:instrText>
            </w:r>
            <w:r>
              <w:rPr>
                <w:noProof/>
                <w:webHidden/>
              </w:rPr>
            </w:r>
            <w:r>
              <w:rPr>
                <w:noProof/>
                <w:webHidden/>
              </w:rPr>
              <w:fldChar w:fldCharType="separate"/>
            </w:r>
            <w:r>
              <w:rPr>
                <w:noProof/>
                <w:webHidden/>
              </w:rPr>
              <w:t>178</w:t>
            </w:r>
            <w:r>
              <w:rPr>
                <w:noProof/>
                <w:webHidden/>
              </w:rPr>
              <w:fldChar w:fldCharType="end"/>
            </w:r>
          </w:hyperlink>
        </w:p>
        <w:p w14:paraId="0C2E953F" w14:textId="351DC0B2" w:rsidR="00BD5B06" w:rsidRDefault="00BD5B06">
          <w:pPr>
            <w:pStyle w:val="Sumrio3"/>
            <w:rPr>
              <w:rFonts w:asciiTheme="minorHAnsi" w:eastAsiaTheme="minorEastAsia" w:hAnsiTheme="minorHAnsi" w:cstheme="minorBidi"/>
              <w:i w:val="0"/>
              <w:noProof/>
            </w:rPr>
          </w:pPr>
          <w:hyperlink w:anchor="_Toc167871709" w:history="1">
            <w:r w:rsidRPr="009D4B3D">
              <w:rPr>
                <w:rStyle w:val="Hyperlink"/>
                <w:noProof/>
              </w:rPr>
              <w:t>6.1.1 Ativo</w:t>
            </w:r>
            <w:r>
              <w:rPr>
                <w:noProof/>
                <w:webHidden/>
              </w:rPr>
              <w:tab/>
            </w:r>
            <w:r>
              <w:rPr>
                <w:noProof/>
                <w:webHidden/>
              </w:rPr>
              <w:fldChar w:fldCharType="begin"/>
            </w:r>
            <w:r>
              <w:rPr>
                <w:noProof/>
                <w:webHidden/>
              </w:rPr>
              <w:instrText xml:space="preserve"> PAGEREF _Toc167871709 \h </w:instrText>
            </w:r>
            <w:r>
              <w:rPr>
                <w:noProof/>
                <w:webHidden/>
              </w:rPr>
            </w:r>
            <w:r>
              <w:rPr>
                <w:noProof/>
                <w:webHidden/>
              </w:rPr>
              <w:fldChar w:fldCharType="separate"/>
            </w:r>
            <w:r>
              <w:rPr>
                <w:noProof/>
                <w:webHidden/>
              </w:rPr>
              <w:t>179</w:t>
            </w:r>
            <w:r>
              <w:rPr>
                <w:noProof/>
                <w:webHidden/>
              </w:rPr>
              <w:fldChar w:fldCharType="end"/>
            </w:r>
          </w:hyperlink>
        </w:p>
        <w:p w14:paraId="72205219" w14:textId="5A8DC407" w:rsidR="00BD5B06" w:rsidRDefault="00BD5B06">
          <w:pPr>
            <w:pStyle w:val="Sumrio3"/>
            <w:rPr>
              <w:rFonts w:asciiTheme="minorHAnsi" w:eastAsiaTheme="minorEastAsia" w:hAnsiTheme="minorHAnsi" w:cstheme="minorBidi"/>
              <w:i w:val="0"/>
              <w:noProof/>
            </w:rPr>
          </w:pPr>
          <w:hyperlink w:anchor="_Toc167871710" w:history="1">
            <w:r w:rsidRPr="009D4B3D">
              <w:rPr>
                <w:rStyle w:val="Hyperlink"/>
                <w:noProof/>
              </w:rPr>
              <w:t>6.1.2 Passivo</w:t>
            </w:r>
            <w:r>
              <w:rPr>
                <w:noProof/>
                <w:webHidden/>
              </w:rPr>
              <w:tab/>
            </w:r>
            <w:r>
              <w:rPr>
                <w:noProof/>
                <w:webHidden/>
              </w:rPr>
              <w:fldChar w:fldCharType="begin"/>
            </w:r>
            <w:r>
              <w:rPr>
                <w:noProof/>
                <w:webHidden/>
              </w:rPr>
              <w:instrText xml:space="preserve"> PAGEREF _Toc167871710 \h </w:instrText>
            </w:r>
            <w:r>
              <w:rPr>
                <w:noProof/>
                <w:webHidden/>
              </w:rPr>
            </w:r>
            <w:r>
              <w:rPr>
                <w:noProof/>
                <w:webHidden/>
              </w:rPr>
              <w:fldChar w:fldCharType="separate"/>
            </w:r>
            <w:r>
              <w:rPr>
                <w:noProof/>
                <w:webHidden/>
              </w:rPr>
              <w:t>204</w:t>
            </w:r>
            <w:r>
              <w:rPr>
                <w:noProof/>
                <w:webHidden/>
              </w:rPr>
              <w:fldChar w:fldCharType="end"/>
            </w:r>
          </w:hyperlink>
        </w:p>
        <w:p w14:paraId="5CFA7C78" w14:textId="03A911DD"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711" w:history="1">
            <w:r w:rsidRPr="009D4B3D">
              <w:rPr>
                <w:rStyle w:val="Hyperlink"/>
                <w:noProof/>
                <w14:scene3d>
                  <w14:camera w14:prst="orthographicFront"/>
                  <w14:lightRig w14:rig="threePt" w14:dir="t">
                    <w14:rot w14:lat="0" w14:lon="0" w14:rev="0"/>
                  </w14:lightRig>
                </w14:scene3d>
              </w:rPr>
              <w:t>6.2</w:t>
            </w:r>
            <w:r w:rsidRPr="009D4B3D">
              <w:rPr>
                <w:rStyle w:val="Hyperlink"/>
                <w:noProof/>
              </w:rPr>
              <w:t xml:space="preserve"> Plano de Implantação dos Procedimentos Contábeis Patrimoniais (PIPCP)</w:t>
            </w:r>
            <w:r>
              <w:rPr>
                <w:noProof/>
                <w:webHidden/>
              </w:rPr>
              <w:tab/>
            </w:r>
            <w:r>
              <w:rPr>
                <w:noProof/>
                <w:webHidden/>
              </w:rPr>
              <w:fldChar w:fldCharType="begin"/>
            </w:r>
            <w:r>
              <w:rPr>
                <w:noProof/>
                <w:webHidden/>
              </w:rPr>
              <w:instrText xml:space="preserve"> PAGEREF _Toc167871711 \h </w:instrText>
            </w:r>
            <w:r>
              <w:rPr>
                <w:noProof/>
                <w:webHidden/>
              </w:rPr>
            </w:r>
            <w:r>
              <w:rPr>
                <w:noProof/>
                <w:webHidden/>
              </w:rPr>
              <w:fldChar w:fldCharType="separate"/>
            </w:r>
            <w:r>
              <w:rPr>
                <w:noProof/>
                <w:webHidden/>
              </w:rPr>
              <w:t>227</w:t>
            </w:r>
            <w:r>
              <w:rPr>
                <w:noProof/>
                <w:webHidden/>
              </w:rPr>
              <w:fldChar w:fldCharType="end"/>
            </w:r>
          </w:hyperlink>
        </w:p>
        <w:p w14:paraId="1085FD4F" w14:textId="084E684E" w:rsidR="00BD5B06" w:rsidRDefault="00BD5B06">
          <w:pPr>
            <w:pStyle w:val="Sumrio1"/>
            <w:rPr>
              <w:rFonts w:asciiTheme="minorHAnsi" w:eastAsiaTheme="minorEastAsia" w:hAnsiTheme="minorHAnsi" w:cstheme="minorBidi"/>
              <w:b w:val="0"/>
              <w:bCs w:val="0"/>
              <w:sz w:val="22"/>
              <w:szCs w:val="22"/>
            </w:rPr>
          </w:pPr>
          <w:hyperlink w:anchor="_Toc167871712" w:history="1">
            <w:r w:rsidRPr="009D4B3D">
              <w:rPr>
                <w:rStyle w:val="Hyperlink"/>
              </w:rPr>
              <w:t>7 Monitoramento das Recomendações do TCE/GO no Parecer Prévio de Exercícios Anteriores</w:t>
            </w:r>
            <w:r>
              <w:rPr>
                <w:webHidden/>
              </w:rPr>
              <w:tab/>
            </w:r>
            <w:r>
              <w:rPr>
                <w:webHidden/>
              </w:rPr>
              <w:fldChar w:fldCharType="begin"/>
            </w:r>
            <w:r>
              <w:rPr>
                <w:webHidden/>
              </w:rPr>
              <w:instrText xml:space="preserve"> PAGEREF _Toc167871712 \h </w:instrText>
            </w:r>
            <w:r>
              <w:rPr>
                <w:webHidden/>
              </w:rPr>
            </w:r>
            <w:r>
              <w:rPr>
                <w:webHidden/>
              </w:rPr>
              <w:fldChar w:fldCharType="separate"/>
            </w:r>
            <w:r>
              <w:rPr>
                <w:webHidden/>
              </w:rPr>
              <w:t>231</w:t>
            </w:r>
            <w:r>
              <w:rPr>
                <w:webHidden/>
              </w:rPr>
              <w:fldChar w:fldCharType="end"/>
            </w:r>
          </w:hyperlink>
        </w:p>
        <w:p w14:paraId="7F5380E2" w14:textId="541975FD" w:rsidR="00BD5B06" w:rsidRDefault="00BD5B06">
          <w:pPr>
            <w:pStyle w:val="Sumrio2"/>
            <w:tabs>
              <w:tab w:val="right" w:leader="dot" w:pos="9055"/>
            </w:tabs>
            <w:rPr>
              <w:rFonts w:asciiTheme="minorHAnsi" w:eastAsiaTheme="minorEastAsia" w:hAnsiTheme="minorHAnsi" w:cstheme="minorBidi"/>
              <w:b w:val="0"/>
              <w:bCs w:val="0"/>
              <w:noProof/>
            </w:rPr>
          </w:pPr>
          <w:hyperlink w:anchor="_Toc167871713" w:history="1">
            <w:r w:rsidRPr="009D4B3D">
              <w:rPr>
                <w:rStyle w:val="Hyperlink"/>
                <w:noProof/>
                <w14:scene3d>
                  <w14:camera w14:prst="orthographicFront"/>
                  <w14:lightRig w14:rig="threePt" w14:dir="t">
                    <w14:rot w14:lat="0" w14:lon="0" w14:rev="0"/>
                  </w14:lightRig>
                </w14:scene3d>
              </w:rPr>
              <w:t>7.1</w:t>
            </w:r>
            <w:r w:rsidRPr="009D4B3D">
              <w:rPr>
                <w:rStyle w:val="Hyperlink"/>
                <w:noProof/>
              </w:rPr>
              <w:t xml:space="preserve"> Análise do Cumprimento das Recomendações do Parecer Prévio de 2022</w:t>
            </w:r>
            <w:r>
              <w:rPr>
                <w:noProof/>
                <w:webHidden/>
              </w:rPr>
              <w:tab/>
            </w:r>
            <w:r>
              <w:rPr>
                <w:noProof/>
                <w:webHidden/>
              </w:rPr>
              <w:fldChar w:fldCharType="begin"/>
            </w:r>
            <w:r>
              <w:rPr>
                <w:noProof/>
                <w:webHidden/>
              </w:rPr>
              <w:instrText xml:space="preserve"> PAGEREF _Toc167871713 \h </w:instrText>
            </w:r>
            <w:r>
              <w:rPr>
                <w:noProof/>
                <w:webHidden/>
              </w:rPr>
            </w:r>
            <w:r>
              <w:rPr>
                <w:noProof/>
                <w:webHidden/>
              </w:rPr>
              <w:fldChar w:fldCharType="separate"/>
            </w:r>
            <w:r>
              <w:rPr>
                <w:noProof/>
                <w:webHidden/>
              </w:rPr>
              <w:t>232</w:t>
            </w:r>
            <w:r>
              <w:rPr>
                <w:noProof/>
                <w:webHidden/>
              </w:rPr>
              <w:fldChar w:fldCharType="end"/>
            </w:r>
          </w:hyperlink>
        </w:p>
        <w:p w14:paraId="07EDA2F9" w14:textId="2A1B010E" w:rsidR="00F3335F" w:rsidRPr="00B215AC" w:rsidRDefault="002A20DD">
          <w:pPr>
            <w:rPr>
              <w:color w:val="FF0000"/>
            </w:rPr>
          </w:pPr>
          <w:r w:rsidRPr="00B215AC">
            <w:rPr>
              <w:rFonts w:cs="Arial"/>
              <w:b/>
              <w:bCs/>
              <w:noProof/>
              <w:color w:val="FF0000"/>
              <w:sz w:val="24"/>
              <w:szCs w:val="24"/>
            </w:rPr>
            <w:fldChar w:fldCharType="end"/>
          </w:r>
        </w:p>
      </w:sdtContent>
    </w:sdt>
    <w:p w14:paraId="4291EC52" w14:textId="77777777" w:rsidR="00F3335F" w:rsidRPr="00B215AC" w:rsidRDefault="00F3335F">
      <w:pPr>
        <w:jc w:val="left"/>
        <w:rPr>
          <w:color w:val="FF0000"/>
          <w:w w:val="95"/>
          <w:szCs w:val="24"/>
        </w:rPr>
      </w:pPr>
      <w:r w:rsidRPr="00B215AC">
        <w:rPr>
          <w:color w:val="FF0000"/>
        </w:rPr>
        <w:br w:type="page"/>
      </w:r>
    </w:p>
    <w:p w14:paraId="7323D2AA" w14:textId="77777777" w:rsidR="00633C2D" w:rsidRPr="00B215AC" w:rsidRDefault="00633C2D" w:rsidP="00B523B9">
      <w:pPr>
        <w:pStyle w:val="1-REL11"/>
        <w:rPr>
          <w:color w:val="FF0000"/>
        </w:rPr>
      </w:pPr>
      <w:r w:rsidRPr="00B215AC">
        <w:rPr>
          <w:noProof/>
          <w:color w:val="FF0000"/>
        </w:rPr>
        <w:lastRenderedPageBreak/>
        <mc:AlternateContent>
          <mc:Choice Requires="wpg">
            <w:drawing>
              <wp:anchor distT="0" distB="0" distL="114300" distR="114300" simplePos="0" relativeHeight="251663360" behindDoc="0" locked="0" layoutInCell="0" allowOverlap="1" wp14:anchorId="41E264E6" wp14:editId="254596A3">
                <wp:simplePos x="0" y="0"/>
                <wp:positionH relativeFrom="page">
                  <wp:posOffset>284480</wp:posOffset>
                </wp:positionH>
                <wp:positionV relativeFrom="margin">
                  <wp:posOffset>-21659479</wp:posOffset>
                </wp:positionV>
                <wp:extent cx="7536815" cy="9069705"/>
                <wp:effectExtent l="0" t="0" r="26035" b="17145"/>
                <wp:wrapNone/>
                <wp:docPr id="595"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36815" cy="9069705"/>
                          <a:chOff x="0" y="1440"/>
                          <a:chExt cx="12239" cy="12960"/>
                        </a:xfrm>
                      </wpg:grpSpPr>
                      <wpg:grpSp>
                        <wpg:cNvPr id="596" name="Group 23"/>
                        <wpg:cNvGrpSpPr>
                          <a:grpSpLocks/>
                        </wpg:cNvGrpSpPr>
                        <wpg:grpSpPr bwMode="auto">
                          <a:xfrm>
                            <a:off x="0" y="9661"/>
                            <a:ext cx="12239" cy="4739"/>
                            <a:chOff x="-6" y="3399"/>
                            <a:chExt cx="12197" cy="4253"/>
                          </a:xfrm>
                        </wpg:grpSpPr>
                        <wpg:grpSp>
                          <wpg:cNvPr id="597" name="Group 24"/>
                          <wpg:cNvGrpSpPr>
                            <a:grpSpLocks/>
                          </wpg:cNvGrpSpPr>
                          <wpg:grpSpPr bwMode="auto">
                            <a:xfrm>
                              <a:off x="-6" y="3717"/>
                              <a:ext cx="12189" cy="3550"/>
                              <a:chOff x="18" y="7468"/>
                              <a:chExt cx="12189" cy="3550"/>
                            </a:xfrm>
                          </wpg:grpSpPr>
                          <wps:wsp>
                            <wps:cNvPr id="598" name="Freeform 25"/>
                            <wps:cNvSpPr>
                              <a:spLocks/>
                            </wps:cNvSpPr>
                            <wps:spPr bwMode="auto">
                              <a:xfrm>
                                <a:off x="18" y="7837"/>
                                <a:ext cx="7132" cy="2863"/>
                              </a:xfrm>
                              <a:custGeom>
                                <a:avLst/>
                                <a:gdLst>
                                  <a:gd name="T0" fmla="*/ 0 w 7132"/>
                                  <a:gd name="T1" fmla="*/ 0 h 2863"/>
                                  <a:gd name="T2" fmla="*/ 17 w 7132"/>
                                  <a:gd name="T3" fmla="*/ 2863 h 2863"/>
                                  <a:gd name="T4" fmla="*/ 7132 w 7132"/>
                                  <a:gd name="T5" fmla="*/ 2578 h 2863"/>
                                  <a:gd name="T6" fmla="*/ 7132 w 7132"/>
                                  <a:gd name="T7" fmla="*/ 200 h 2863"/>
                                  <a:gd name="T8" fmla="*/ 0 w 7132"/>
                                  <a:gd name="T9" fmla="*/ 0 h 2863"/>
                                </a:gdLst>
                                <a:ahLst/>
                                <a:cxnLst>
                                  <a:cxn ang="0">
                                    <a:pos x="T0" y="T1"/>
                                  </a:cxn>
                                  <a:cxn ang="0">
                                    <a:pos x="T2" y="T3"/>
                                  </a:cxn>
                                  <a:cxn ang="0">
                                    <a:pos x="T4" y="T5"/>
                                  </a:cxn>
                                  <a:cxn ang="0">
                                    <a:pos x="T6" y="T7"/>
                                  </a:cxn>
                                  <a:cxn ang="0">
                                    <a:pos x="T8" y="T9"/>
                                  </a:cxn>
                                </a:cxnLst>
                                <a:rect l="0" t="0" r="r" b="b"/>
                                <a:pathLst>
                                  <a:path w="7132" h="2863">
                                    <a:moveTo>
                                      <a:pt x="0" y="0"/>
                                    </a:moveTo>
                                    <a:lnTo>
                                      <a:pt x="17" y="2863"/>
                                    </a:lnTo>
                                    <a:lnTo>
                                      <a:pt x="7132" y="2578"/>
                                    </a:lnTo>
                                    <a:lnTo>
                                      <a:pt x="7132" y="200"/>
                                    </a:lnTo>
                                    <a:lnTo>
                                      <a:pt x="0" y="0"/>
                                    </a:lnTo>
                                    <a:close/>
                                  </a:path>
                                </a:pathLst>
                              </a:custGeom>
                              <a:solidFill>
                                <a:srgbClr val="938953">
                                  <a:alpha val="5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9" name="Freeform 26"/>
                            <wps:cNvSpPr>
                              <a:spLocks/>
                            </wps:cNvSpPr>
                            <wps:spPr bwMode="auto">
                              <a:xfrm>
                                <a:off x="7150" y="7468"/>
                                <a:ext cx="3466" cy="3550"/>
                              </a:xfrm>
                              <a:custGeom>
                                <a:avLst/>
                                <a:gdLst>
                                  <a:gd name="T0" fmla="*/ 0 w 3466"/>
                                  <a:gd name="T1" fmla="*/ 569 h 3550"/>
                                  <a:gd name="T2" fmla="*/ 0 w 3466"/>
                                  <a:gd name="T3" fmla="*/ 2930 h 3550"/>
                                  <a:gd name="T4" fmla="*/ 3466 w 3466"/>
                                  <a:gd name="T5" fmla="*/ 3550 h 3550"/>
                                  <a:gd name="T6" fmla="*/ 3466 w 3466"/>
                                  <a:gd name="T7" fmla="*/ 0 h 3550"/>
                                  <a:gd name="T8" fmla="*/ 0 w 3466"/>
                                  <a:gd name="T9" fmla="*/ 569 h 3550"/>
                                </a:gdLst>
                                <a:ahLst/>
                                <a:cxnLst>
                                  <a:cxn ang="0">
                                    <a:pos x="T0" y="T1"/>
                                  </a:cxn>
                                  <a:cxn ang="0">
                                    <a:pos x="T2" y="T3"/>
                                  </a:cxn>
                                  <a:cxn ang="0">
                                    <a:pos x="T4" y="T5"/>
                                  </a:cxn>
                                  <a:cxn ang="0">
                                    <a:pos x="T6" y="T7"/>
                                  </a:cxn>
                                  <a:cxn ang="0">
                                    <a:pos x="T8" y="T9"/>
                                  </a:cxn>
                                </a:cxnLst>
                                <a:rect l="0" t="0" r="r" b="b"/>
                                <a:pathLst>
                                  <a:path w="3466" h="3550">
                                    <a:moveTo>
                                      <a:pt x="0" y="569"/>
                                    </a:moveTo>
                                    <a:lnTo>
                                      <a:pt x="0" y="2930"/>
                                    </a:lnTo>
                                    <a:lnTo>
                                      <a:pt x="3466" y="3550"/>
                                    </a:lnTo>
                                    <a:lnTo>
                                      <a:pt x="3466" y="0"/>
                                    </a:lnTo>
                                    <a:lnTo>
                                      <a:pt x="0" y="569"/>
                                    </a:lnTo>
                                    <a:close/>
                                  </a:path>
                                </a:pathLst>
                              </a:custGeom>
                              <a:solidFill>
                                <a:srgbClr val="DDD8C2">
                                  <a:alpha val="5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0" name="Freeform 27"/>
                            <wps:cNvSpPr>
                              <a:spLocks/>
                            </wps:cNvSpPr>
                            <wps:spPr bwMode="auto">
                              <a:xfrm>
                                <a:off x="10616" y="7468"/>
                                <a:ext cx="1591" cy="3550"/>
                              </a:xfrm>
                              <a:custGeom>
                                <a:avLst/>
                                <a:gdLst>
                                  <a:gd name="T0" fmla="*/ 0 w 1591"/>
                                  <a:gd name="T1" fmla="*/ 0 h 3550"/>
                                  <a:gd name="T2" fmla="*/ 0 w 1591"/>
                                  <a:gd name="T3" fmla="*/ 3550 h 3550"/>
                                  <a:gd name="T4" fmla="*/ 1591 w 1591"/>
                                  <a:gd name="T5" fmla="*/ 2746 h 3550"/>
                                  <a:gd name="T6" fmla="*/ 1591 w 1591"/>
                                  <a:gd name="T7" fmla="*/ 737 h 3550"/>
                                  <a:gd name="T8" fmla="*/ 0 w 1591"/>
                                  <a:gd name="T9" fmla="*/ 0 h 3550"/>
                                </a:gdLst>
                                <a:ahLst/>
                                <a:cxnLst>
                                  <a:cxn ang="0">
                                    <a:pos x="T0" y="T1"/>
                                  </a:cxn>
                                  <a:cxn ang="0">
                                    <a:pos x="T2" y="T3"/>
                                  </a:cxn>
                                  <a:cxn ang="0">
                                    <a:pos x="T4" y="T5"/>
                                  </a:cxn>
                                  <a:cxn ang="0">
                                    <a:pos x="T6" y="T7"/>
                                  </a:cxn>
                                  <a:cxn ang="0">
                                    <a:pos x="T8" y="T9"/>
                                  </a:cxn>
                                </a:cxnLst>
                                <a:rect l="0" t="0" r="r" b="b"/>
                                <a:pathLst>
                                  <a:path w="1591" h="3550">
                                    <a:moveTo>
                                      <a:pt x="0" y="0"/>
                                    </a:moveTo>
                                    <a:lnTo>
                                      <a:pt x="0" y="3550"/>
                                    </a:lnTo>
                                    <a:lnTo>
                                      <a:pt x="1591" y="2746"/>
                                    </a:lnTo>
                                    <a:lnTo>
                                      <a:pt x="1591" y="737"/>
                                    </a:lnTo>
                                    <a:lnTo>
                                      <a:pt x="0" y="0"/>
                                    </a:lnTo>
                                    <a:close/>
                                  </a:path>
                                </a:pathLst>
                              </a:custGeom>
                              <a:solidFill>
                                <a:srgbClr val="C4BC96">
                                  <a:alpha val="5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01" name="Freeform 28"/>
                          <wps:cNvSpPr>
                            <a:spLocks/>
                          </wps:cNvSpPr>
                          <wps:spPr bwMode="auto">
                            <a:xfrm>
                              <a:off x="8071" y="4069"/>
                              <a:ext cx="4120" cy="2913"/>
                            </a:xfrm>
                            <a:custGeom>
                              <a:avLst/>
                              <a:gdLst>
                                <a:gd name="T0" fmla="*/ 1 w 4120"/>
                                <a:gd name="T1" fmla="*/ 251 h 2913"/>
                                <a:gd name="T2" fmla="*/ 0 w 4120"/>
                                <a:gd name="T3" fmla="*/ 2662 h 2913"/>
                                <a:gd name="T4" fmla="*/ 4120 w 4120"/>
                                <a:gd name="T5" fmla="*/ 2913 h 2913"/>
                                <a:gd name="T6" fmla="*/ 4120 w 4120"/>
                                <a:gd name="T7" fmla="*/ 0 h 2913"/>
                                <a:gd name="T8" fmla="*/ 1 w 4120"/>
                                <a:gd name="T9" fmla="*/ 251 h 2913"/>
                              </a:gdLst>
                              <a:ahLst/>
                              <a:cxnLst>
                                <a:cxn ang="0">
                                  <a:pos x="T0" y="T1"/>
                                </a:cxn>
                                <a:cxn ang="0">
                                  <a:pos x="T2" y="T3"/>
                                </a:cxn>
                                <a:cxn ang="0">
                                  <a:pos x="T4" y="T5"/>
                                </a:cxn>
                                <a:cxn ang="0">
                                  <a:pos x="T6" y="T7"/>
                                </a:cxn>
                                <a:cxn ang="0">
                                  <a:pos x="T8" y="T9"/>
                                </a:cxn>
                              </a:cxnLst>
                              <a:rect l="0" t="0" r="r" b="b"/>
                              <a:pathLst>
                                <a:path w="4120" h="2913">
                                  <a:moveTo>
                                    <a:pt x="1" y="251"/>
                                  </a:moveTo>
                                  <a:lnTo>
                                    <a:pt x="0" y="2662"/>
                                  </a:lnTo>
                                  <a:lnTo>
                                    <a:pt x="4120" y="2913"/>
                                  </a:lnTo>
                                  <a:lnTo>
                                    <a:pt x="4120" y="0"/>
                                  </a:lnTo>
                                  <a:lnTo>
                                    <a:pt x="1" y="251"/>
                                  </a:lnTo>
                                  <a:close/>
                                </a:path>
                              </a:pathLst>
                            </a:custGeom>
                            <a:solidFill>
                              <a:srgbClr val="DFD69F"/>
                            </a:solidFill>
                            <a:ln w="9525">
                              <a:solidFill>
                                <a:srgbClr val="DFD69F"/>
                              </a:solidFill>
                              <a:round/>
                              <a:headEnd/>
                              <a:tailEnd/>
                            </a:ln>
                          </wps:spPr>
                          <wps:bodyPr rot="0" vert="horz" wrap="square" lIns="91440" tIns="45720" rIns="91440" bIns="45720" anchor="t" anchorCtr="0" upright="1">
                            <a:noAutofit/>
                          </wps:bodyPr>
                        </wps:wsp>
                        <wps:wsp>
                          <wps:cNvPr id="602" name="Freeform 29"/>
                          <wps:cNvSpPr>
                            <a:spLocks/>
                          </wps:cNvSpPr>
                          <wps:spPr bwMode="auto">
                            <a:xfrm>
                              <a:off x="4104" y="3399"/>
                              <a:ext cx="3985" cy="4236"/>
                            </a:xfrm>
                            <a:custGeom>
                              <a:avLst/>
                              <a:gdLst>
                                <a:gd name="T0" fmla="*/ 0 w 3985"/>
                                <a:gd name="T1" fmla="*/ 0 h 4236"/>
                                <a:gd name="T2" fmla="*/ 0 w 3985"/>
                                <a:gd name="T3" fmla="*/ 4236 h 4236"/>
                                <a:gd name="T4" fmla="*/ 3985 w 3985"/>
                                <a:gd name="T5" fmla="*/ 3349 h 4236"/>
                                <a:gd name="T6" fmla="*/ 3985 w 3985"/>
                                <a:gd name="T7" fmla="*/ 921 h 4236"/>
                                <a:gd name="T8" fmla="*/ 0 w 3985"/>
                                <a:gd name="T9" fmla="*/ 0 h 4236"/>
                              </a:gdLst>
                              <a:ahLst/>
                              <a:cxnLst>
                                <a:cxn ang="0">
                                  <a:pos x="T0" y="T1"/>
                                </a:cxn>
                                <a:cxn ang="0">
                                  <a:pos x="T2" y="T3"/>
                                </a:cxn>
                                <a:cxn ang="0">
                                  <a:pos x="T4" y="T5"/>
                                </a:cxn>
                                <a:cxn ang="0">
                                  <a:pos x="T6" y="T7"/>
                                </a:cxn>
                                <a:cxn ang="0">
                                  <a:pos x="T8" y="T9"/>
                                </a:cxn>
                              </a:cxnLst>
                              <a:rect l="0" t="0" r="r" b="b"/>
                              <a:pathLst>
                                <a:path w="3985" h="4236">
                                  <a:moveTo>
                                    <a:pt x="0" y="0"/>
                                  </a:moveTo>
                                  <a:lnTo>
                                    <a:pt x="0" y="4236"/>
                                  </a:lnTo>
                                  <a:lnTo>
                                    <a:pt x="3985" y="3349"/>
                                  </a:lnTo>
                                  <a:lnTo>
                                    <a:pt x="3985" y="921"/>
                                  </a:lnTo>
                                  <a:lnTo>
                                    <a:pt x="0" y="0"/>
                                  </a:lnTo>
                                  <a:close/>
                                </a:path>
                              </a:pathLst>
                            </a:custGeom>
                            <a:solidFill>
                              <a:srgbClr val="DFD6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3" name="Freeform 30"/>
                          <wps:cNvSpPr>
                            <a:spLocks/>
                          </wps:cNvSpPr>
                          <wps:spPr bwMode="auto">
                            <a:xfrm>
                              <a:off x="18" y="3399"/>
                              <a:ext cx="4086" cy="4253"/>
                            </a:xfrm>
                            <a:custGeom>
                              <a:avLst/>
                              <a:gdLst>
                                <a:gd name="T0" fmla="*/ 4086 w 4086"/>
                                <a:gd name="T1" fmla="*/ 0 h 4253"/>
                                <a:gd name="T2" fmla="*/ 4084 w 4086"/>
                                <a:gd name="T3" fmla="*/ 4253 h 4253"/>
                                <a:gd name="T4" fmla="*/ 0 w 4086"/>
                                <a:gd name="T5" fmla="*/ 3198 h 4253"/>
                                <a:gd name="T6" fmla="*/ 0 w 4086"/>
                                <a:gd name="T7" fmla="*/ 1072 h 4253"/>
                                <a:gd name="T8" fmla="*/ 4086 w 4086"/>
                                <a:gd name="T9" fmla="*/ 0 h 4253"/>
                              </a:gdLst>
                              <a:ahLst/>
                              <a:cxnLst>
                                <a:cxn ang="0">
                                  <a:pos x="T0" y="T1"/>
                                </a:cxn>
                                <a:cxn ang="0">
                                  <a:pos x="T2" y="T3"/>
                                </a:cxn>
                                <a:cxn ang="0">
                                  <a:pos x="T4" y="T5"/>
                                </a:cxn>
                                <a:cxn ang="0">
                                  <a:pos x="T6" y="T7"/>
                                </a:cxn>
                                <a:cxn ang="0">
                                  <a:pos x="T8" y="T9"/>
                                </a:cxn>
                              </a:cxnLst>
                              <a:rect l="0" t="0" r="r" b="b"/>
                              <a:pathLst>
                                <a:path w="4086" h="4253">
                                  <a:moveTo>
                                    <a:pt x="4086" y="0"/>
                                  </a:moveTo>
                                  <a:lnTo>
                                    <a:pt x="4084" y="4253"/>
                                  </a:lnTo>
                                  <a:lnTo>
                                    <a:pt x="0" y="3198"/>
                                  </a:lnTo>
                                  <a:lnTo>
                                    <a:pt x="0" y="1072"/>
                                  </a:lnTo>
                                  <a:lnTo>
                                    <a:pt x="4086" y="0"/>
                                  </a:lnTo>
                                  <a:close/>
                                </a:path>
                              </a:pathLst>
                            </a:custGeom>
                            <a:solidFill>
                              <a:srgbClr val="DFD69F"/>
                            </a:solidFill>
                            <a:ln w="9525">
                              <a:solidFill>
                                <a:srgbClr val="DFD69F"/>
                              </a:solidFill>
                              <a:round/>
                              <a:headEnd/>
                              <a:tailEnd/>
                            </a:ln>
                          </wps:spPr>
                          <wps:bodyPr rot="0" vert="horz" wrap="square" lIns="91440" tIns="45720" rIns="91440" bIns="45720" anchor="t" anchorCtr="0" upright="1">
                            <a:noAutofit/>
                          </wps:bodyPr>
                        </wps:wsp>
                        <wps:wsp>
                          <wps:cNvPr id="604" name="Freeform 31"/>
                          <wps:cNvSpPr>
                            <a:spLocks/>
                          </wps:cNvSpPr>
                          <wps:spPr bwMode="auto">
                            <a:xfrm>
                              <a:off x="17" y="3617"/>
                              <a:ext cx="2076" cy="3851"/>
                            </a:xfrm>
                            <a:custGeom>
                              <a:avLst/>
                              <a:gdLst>
                                <a:gd name="T0" fmla="*/ 0 w 2076"/>
                                <a:gd name="T1" fmla="*/ 921 h 3851"/>
                                <a:gd name="T2" fmla="*/ 2060 w 2076"/>
                                <a:gd name="T3" fmla="*/ 0 h 3851"/>
                                <a:gd name="T4" fmla="*/ 2076 w 2076"/>
                                <a:gd name="T5" fmla="*/ 3851 h 3851"/>
                                <a:gd name="T6" fmla="*/ 0 w 2076"/>
                                <a:gd name="T7" fmla="*/ 2981 h 3851"/>
                                <a:gd name="T8" fmla="*/ 0 w 2076"/>
                                <a:gd name="T9" fmla="*/ 921 h 3851"/>
                              </a:gdLst>
                              <a:ahLst/>
                              <a:cxnLst>
                                <a:cxn ang="0">
                                  <a:pos x="T0" y="T1"/>
                                </a:cxn>
                                <a:cxn ang="0">
                                  <a:pos x="T2" y="T3"/>
                                </a:cxn>
                                <a:cxn ang="0">
                                  <a:pos x="T4" y="T5"/>
                                </a:cxn>
                                <a:cxn ang="0">
                                  <a:pos x="T6" y="T7"/>
                                </a:cxn>
                                <a:cxn ang="0">
                                  <a:pos x="T8" y="T9"/>
                                </a:cxn>
                              </a:cxnLst>
                              <a:rect l="0" t="0" r="r" b="b"/>
                              <a:pathLst>
                                <a:path w="2076" h="3851">
                                  <a:moveTo>
                                    <a:pt x="0" y="921"/>
                                  </a:moveTo>
                                  <a:lnTo>
                                    <a:pt x="2060" y="0"/>
                                  </a:lnTo>
                                  <a:lnTo>
                                    <a:pt x="2076" y="3851"/>
                                  </a:lnTo>
                                  <a:lnTo>
                                    <a:pt x="0" y="2981"/>
                                  </a:lnTo>
                                  <a:lnTo>
                                    <a:pt x="0" y="921"/>
                                  </a:lnTo>
                                  <a:close/>
                                </a:path>
                              </a:pathLst>
                            </a:custGeom>
                            <a:solidFill>
                              <a:srgbClr val="DDD8C2">
                                <a:alpha val="7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5" name="Freeform 32"/>
                          <wps:cNvSpPr>
                            <a:spLocks/>
                          </wps:cNvSpPr>
                          <wps:spPr bwMode="auto">
                            <a:xfrm>
                              <a:off x="2077" y="3617"/>
                              <a:ext cx="6011" cy="3835"/>
                            </a:xfrm>
                            <a:custGeom>
                              <a:avLst/>
                              <a:gdLst>
                                <a:gd name="T0" fmla="*/ 0 w 6011"/>
                                <a:gd name="T1" fmla="*/ 0 h 3835"/>
                                <a:gd name="T2" fmla="*/ 17 w 6011"/>
                                <a:gd name="T3" fmla="*/ 3835 h 3835"/>
                                <a:gd name="T4" fmla="*/ 6011 w 6011"/>
                                <a:gd name="T5" fmla="*/ 2629 h 3835"/>
                                <a:gd name="T6" fmla="*/ 6011 w 6011"/>
                                <a:gd name="T7" fmla="*/ 1239 h 3835"/>
                                <a:gd name="T8" fmla="*/ 0 w 6011"/>
                                <a:gd name="T9" fmla="*/ 0 h 3835"/>
                              </a:gdLst>
                              <a:ahLst/>
                              <a:cxnLst>
                                <a:cxn ang="0">
                                  <a:pos x="T0" y="T1"/>
                                </a:cxn>
                                <a:cxn ang="0">
                                  <a:pos x="T2" y="T3"/>
                                </a:cxn>
                                <a:cxn ang="0">
                                  <a:pos x="T4" y="T5"/>
                                </a:cxn>
                                <a:cxn ang="0">
                                  <a:pos x="T6" y="T7"/>
                                </a:cxn>
                                <a:cxn ang="0">
                                  <a:pos x="T8" y="T9"/>
                                </a:cxn>
                              </a:cxnLst>
                              <a:rect l="0" t="0" r="r" b="b"/>
                              <a:pathLst>
                                <a:path w="6011" h="3835">
                                  <a:moveTo>
                                    <a:pt x="0" y="0"/>
                                  </a:moveTo>
                                  <a:lnTo>
                                    <a:pt x="17" y="3835"/>
                                  </a:lnTo>
                                  <a:lnTo>
                                    <a:pt x="6011" y="2629"/>
                                  </a:lnTo>
                                  <a:lnTo>
                                    <a:pt x="6011" y="1239"/>
                                  </a:lnTo>
                                  <a:lnTo>
                                    <a:pt x="0" y="0"/>
                                  </a:lnTo>
                                  <a:close/>
                                </a:path>
                              </a:pathLst>
                            </a:custGeom>
                            <a:solidFill>
                              <a:srgbClr val="938953">
                                <a:alpha val="7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6" name="Freeform 33"/>
                          <wps:cNvSpPr>
                            <a:spLocks/>
                          </wps:cNvSpPr>
                          <wps:spPr bwMode="auto">
                            <a:xfrm>
                              <a:off x="8088" y="3835"/>
                              <a:ext cx="4102" cy="3432"/>
                            </a:xfrm>
                            <a:custGeom>
                              <a:avLst/>
                              <a:gdLst>
                                <a:gd name="T0" fmla="*/ 0 w 4102"/>
                                <a:gd name="T1" fmla="*/ 1038 h 3432"/>
                                <a:gd name="T2" fmla="*/ 0 w 4102"/>
                                <a:gd name="T3" fmla="*/ 2411 h 3432"/>
                                <a:gd name="T4" fmla="*/ 4102 w 4102"/>
                                <a:gd name="T5" fmla="*/ 3432 h 3432"/>
                                <a:gd name="T6" fmla="*/ 4102 w 4102"/>
                                <a:gd name="T7" fmla="*/ 0 h 3432"/>
                                <a:gd name="T8" fmla="*/ 0 w 4102"/>
                                <a:gd name="T9" fmla="*/ 1038 h 3432"/>
                              </a:gdLst>
                              <a:ahLst/>
                              <a:cxnLst>
                                <a:cxn ang="0">
                                  <a:pos x="T0" y="T1"/>
                                </a:cxn>
                                <a:cxn ang="0">
                                  <a:pos x="T2" y="T3"/>
                                </a:cxn>
                                <a:cxn ang="0">
                                  <a:pos x="T4" y="T5"/>
                                </a:cxn>
                                <a:cxn ang="0">
                                  <a:pos x="T6" y="T7"/>
                                </a:cxn>
                                <a:cxn ang="0">
                                  <a:pos x="T8" y="T9"/>
                                </a:cxn>
                              </a:cxnLst>
                              <a:rect l="0" t="0" r="r" b="b"/>
                              <a:pathLst>
                                <a:path w="4102" h="3432">
                                  <a:moveTo>
                                    <a:pt x="0" y="1038"/>
                                  </a:moveTo>
                                  <a:lnTo>
                                    <a:pt x="0" y="2411"/>
                                  </a:lnTo>
                                  <a:lnTo>
                                    <a:pt x="4102" y="3432"/>
                                  </a:lnTo>
                                  <a:lnTo>
                                    <a:pt x="4102" y="0"/>
                                  </a:lnTo>
                                  <a:lnTo>
                                    <a:pt x="0" y="1038"/>
                                  </a:lnTo>
                                  <a:close/>
                                </a:path>
                              </a:pathLst>
                            </a:custGeom>
                            <a:solidFill>
                              <a:srgbClr val="C4BC96">
                                <a:alpha val="7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07" name="Rectangle 34"/>
                        <wps:cNvSpPr>
                          <a:spLocks noChangeArrowheads="1"/>
                        </wps:cNvSpPr>
                        <wps:spPr bwMode="auto">
                          <a:xfrm>
                            <a:off x="1800" y="1440"/>
                            <a:ext cx="8636" cy="11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E76E4" w14:textId="77777777" w:rsidR="00BD5B06" w:rsidRPr="00591BF1" w:rsidRDefault="00BD5B06" w:rsidP="00633C2D">
                              <w:pPr>
                                <w:jc w:val="center"/>
                                <w:rPr>
                                  <w:b/>
                                  <w:noProof/>
                                  <w:color w:val="808080"/>
                                  <w:sz w:val="32"/>
                                  <w:szCs w:val="32"/>
                                </w:rPr>
                              </w:pPr>
                            </w:p>
                            <w:p w14:paraId="3483CB71" w14:textId="77777777" w:rsidR="00BD5B06" w:rsidRPr="00591BF1" w:rsidRDefault="00BD5B06" w:rsidP="00633C2D">
                              <w:pPr>
                                <w:jc w:val="center"/>
                                <w:rPr>
                                  <w:b/>
                                  <w:bCs/>
                                  <w:color w:val="808080"/>
                                  <w:sz w:val="32"/>
                                  <w:szCs w:val="32"/>
                                </w:rPr>
                              </w:pPr>
                            </w:p>
                            <w:p w14:paraId="3F2073E2" w14:textId="77777777" w:rsidR="00BD5B06" w:rsidRPr="00591BF1" w:rsidRDefault="00BD5B06" w:rsidP="00633C2D">
                              <w:pPr>
                                <w:rPr>
                                  <w:b/>
                                  <w:bCs/>
                                  <w:color w:val="808080"/>
                                  <w:sz w:val="32"/>
                                  <w:szCs w:val="32"/>
                                </w:rPr>
                              </w:pPr>
                            </w:p>
                          </w:txbxContent>
                        </wps:txbx>
                        <wps:bodyPr rot="0" vert="horz" wrap="square" lIns="91440" tIns="45720" rIns="91440" bIns="45720" anchor="t" anchorCtr="0" upright="1">
                          <a:spAutoFit/>
                        </wps:bodyPr>
                      </wps:wsp>
                      <wps:wsp>
                        <wps:cNvPr id="608" name="Rectangle 35"/>
                        <wps:cNvSpPr>
                          <a:spLocks noChangeArrowheads="1"/>
                        </wps:cNvSpPr>
                        <wps:spPr bwMode="auto">
                          <a:xfrm>
                            <a:off x="6494" y="11160"/>
                            <a:ext cx="4998" cy="11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E2215" w14:textId="77777777" w:rsidR="00BD5B06" w:rsidRDefault="00BD5B06" w:rsidP="00633C2D">
                              <w:pPr>
                                <w:jc w:val="right"/>
                                <w:rPr>
                                  <w:sz w:val="96"/>
                                  <w:szCs w:val="96"/>
                                </w:rPr>
                              </w:pPr>
                              <w:r>
                                <w:rPr>
                                  <w:sz w:val="96"/>
                                  <w:szCs w:val="96"/>
                                </w:rPr>
                                <w:t>2011</w:t>
                              </w:r>
                            </w:p>
                          </w:txbxContent>
                        </wps:txbx>
                        <wps:bodyPr rot="0" vert="horz" wrap="square" lIns="91440" tIns="45720" rIns="91440" bIns="45720" anchor="t" anchorCtr="0" upright="1">
                          <a:spAutoFit/>
                        </wps:bodyPr>
                      </wps:wsp>
                      <wps:wsp>
                        <wps:cNvPr id="609" name="Rectangle 36"/>
                        <wps:cNvSpPr>
                          <a:spLocks noChangeArrowheads="1"/>
                        </wps:cNvSpPr>
                        <wps:spPr bwMode="auto">
                          <a:xfrm>
                            <a:off x="1800" y="2294"/>
                            <a:ext cx="8638" cy="72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F5C52" w14:textId="77777777" w:rsidR="00BD5B06" w:rsidRPr="00224096" w:rsidRDefault="00BD5B06" w:rsidP="00633C2D">
                              <w:pPr>
                                <w:jc w:val="center"/>
                                <w:rPr>
                                  <w:rFonts w:asciiTheme="minorHAnsi" w:hAnsiTheme="minorHAnsi"/>
                                  <w:bCs/>
                                  <w:sz w:val="72"/>
                                  <w:szCs w:val="72"/>
                                </w:rPr>
                              </w:pPr>
                              <w:r w:rsidRPr="00224096">
                                <w:rPr>
                                  <w:rFonts w:asciiTheme="minorHAnsi" w:hAnsiTheme="minorHAnsi"/>
                                  <w:bCs/>
                                  <w:sz w:val="72"/>
                                  <w:szCs w:val="72"/>
                                </w:rPr>
                                <w:t>Relatório sobre as</w:t>
                              </w:r>
                              <w:r>
                                <w:rPr>
                                  <w:rFonts w:asciiTheme="minorHAnsi" w:hAnsiTheme="minorHAnsi"/>
                                  <w:bCs/>
                                  <w:sz w:val="72"/>
                                  <w:szCs w:val="72"/>
                                </w:rPr>
                                <w:br/>
                              </w:r>
                              <w:r w:rsidRPr="00224096">
                                <w:rPr>
                                  <w:rFonts w:asciiTheme="minorHAnsi" w:hAnsiTheme="minorHAnsi"/>
                                  <w:bCs/>
                                  <w:sz w:val="72"/>
                                  <w:szCs w:val="72"/>
                                </w:rPr>
                                <w:t xml:space="preserve"> Contas do Governador do Estado</w:t>
                              </w:r>
                              <w:r>
                                <w:rPr>
                                  <w:rFonts w:asciiTheme="minorHAnsi" w:hAnsiTheme="minorHAnsi"/>
                                  <w:bCs/>
                                  <w:sz w:val="72"/>
                                  <w:szCs w:val="72"/>
                                </w:rPr>
                                <w:t xml:space="preserve"> de Goiás</w:t>
                              </w:r>
                            </w:p>
                            <w:p w14:paraId="70956B0F" w14:textId="77777777" w:rsidR="00BD5B06" w:rsidRPr="00224096" w:rsidRDefault="00BD5B06" w:rsidP="00633C2D">
                              <w:pPr>
                                <w:jc w:val="center"/>
                                <w:rPr>
                                  <w:rFonts w:asciiTheme="minorHAnsi" w:hAnsiTheme="minorHAnsi"/>
                                  <w:bCs/>
                                  <w:sz w:val="72"/>
                                  <w:szCs w:val="72"/>
                                </w:rPr>
                              </w:pPr>
                            </w:p>
                            <w:p w14:paraId="2F392446" w14:textId="77777777" w:rsidR="00BD5B06" w:rsidRDefault="00BD5B06" w:rsidP="00633C2D">
                              <w:pPr>
                                <w:jc w:val="center"/>
                                <w:rPr>
                                  <w:rFonts w:asciiTheme="minorHAnsi" w:hAnsiTheme="minorHAnsi"/>
                                  <w:bCs/>
                                  <w:sz w:val="40"/>
                                  <w:szCs w:val="40"/>
                                </w:rPr>
                              </w:pPr>
                              <w:r w:rsidRPr="00224096">
                                <w:rPr>
                                  <w:rFonts w:asciiTheme="minorHAnsi" w:hAnsiTheme="minorHAnsi"/>
                                  <w:bCs/>
                                  <w:sz w:val="40"/>
                                  <w:szCs w:val="40"/>
                                </w:rPr>
                                <w:t>Exercício de 201</w:t>
                              </w:r>
                              <w:r>
                                <w:rPr>
                                  <w:rFonts w:asciiTheme="minorHAnsi" w:hAnsiTheme="minorHAnsi"/>
                                  <w:bCs/>
                                  <w:sz w:val="40"/>
                                  <w:szCs w:val="40"/>
                                </w:rPr>
                                <w:t>1</w:t>
                              </w:r>
                            </w:p>
                            <w:p w14:paraId="3E3154CA" w14:textId="77777777" w:rsidR="00BD5B06" w:rsidRPr="00224096" w:rsidRDefault="00BD5B06" w:rsidP="00633C2D">
                              <w:pPr>
                                <w:jc w:val="center"/>
                                <w:rPr>
                                  <w:rFonts w:asciiTheme="minorHAnsi" w:hAnsiTheme="minorHAnsi"/>
                                  <w:bCs/>
                                  <w:sz w:val="40"/>
                                  <w:szCs w:val="40"/>
                                </w:rPr>
                              </w:pPr>
                            </w:p>
                            <w:p w14:paraId="058EAE8A" w14:textId="77777777" w:rsidR="00BD5B06" w:rsidRPr="00224096" w:rsidRDefault="00BD5B06" w:rsidP="00633C2D">
                              <w:pPr>
                                <w:jc w:val="center"/>
                                <w:rPr>
                                  <w:rFonts w:asciiTheme="minorHAnsi" w:hAnsiTheme="minorHAnsi"/>
                                  <w:b/>
                                  <w:bCs/>
                                  <w:sz w:val="32"/>
                                  <w:szCs w:val="32"/>
                                </w:rPr>
                              </w:pPr>
                              <w:r w:rsidRPr="00224096">
                                <w:rPr>
                                  <w:rFonts w:asciiTheme="minorHAnsi" w:hAnsiTheme="minorHAnsi"/>
                                  <w:b/>
                                  <w:bCs/>
                                  <w:sz w:val="32"/>
                                  <w:szCs w:val="32"/>
                                </w:rPr>
                                <w:t>Conselheir</w:t>
                              </w:r>
                              <w:r>
                                <w:rPr>
                                  <w:rFonts w:asciiTheme="minorHAnsi" w:hAnsiTheme="minorHAnsi"/>
                                  <w:b/>
                                  <w:bCs/>
                                  <w:sz w:val="32"/>
                                  <w:szCs w:val="32"/>
                                </w:rPr>
                                <w:t>o</w:t>
                              </w:r>
                              <w:r w:rsidRPr="00224096">
                                <w:rPr>
                                  <w:rFonts w:asciiTheme="minorHAnsi" w:hAnsiTheme="minorHAnsi"/>
                                  <w:b/>
                                  <w:bCs/>
                                  <w:sz w:val="32"/>
                                  <w:szCs w:val="32"/>
                                </w:rPr>
                                <w:t xml:space="preserve"> Relator:</w:t>
                              </w:r>
                              <w:r w:rsidRPr="00224096">
                                <w:rPr>
                                  <w:rFonts w:asciiTheme="minorHAnsi" w:hAnsiTheme="minorHAnsi"/>
                                  <w:b/>
                                  <w:bCs/>
                                  <w:sz w:val="32"/>
                                  <w:szCs w:val="32"/>
                                </w:rPr>
                                <w:br/>
                                <w:t xml:space="preserve">Dr. </w:t>
                              </w:r>
                              <w:r>
                                <w:rPr>
                                  <w:rFonts w:asciiTheme="minorHAnsi" w:hAnsiTheme="minorHAnsi"/>
                                  <w:b/>
                                  <w:bCs/>
                                  <w:sz w:val="32"/>
                                  <w:szCs w:val="32"/>
                                </w:rPr>
                                <w:t>Kennedy Trindade</w:t>
                              </w:r>
                            </w:p>
                            <w:p w14:paraId="4DCA9FDA" w14:textId="77777777" w:rsidR="00BD5B06" w:rsidRPr="00224096" w:rsidRDefault="00BD5B06" w:rsidP="00633C2D">
                              <w:pPr>
                                <w:jc w:val="center"/>
                                <w:rPr>
                                  <w:rFonts w:asciiTheme="minorHAnsi" w:hAnsiTheme="minorHAnsi"/>
                                  <w:b/>
                                  <w:bCs/>
                                  <w:sz w:val="32"/>
                                  <w:szCs w:val="32"/>
                                </w:rPr>
                              </w:pPr>
                            </w:p>
                            <w:p w14:paraId="71633F1D" w14:textId="77777777" w:rsidR="00BD5B06" w:rsidRPr="00224096" w:rsidRDefault="00BD5B06" w:rsidP="00633C2D">
                              <w:pPr>
                                <w:jc w:val="center"/>
                                <w:rPr>
                                  <w:rFonts w:asciiTheme="minorHAnsi" w:hAnsiTheme="minorHAnsi"/>
                                  <w:b/>
                                  <w:bCs/>
                                  <w:color w:val="808080"/>
                                  <w:sz w:val="32"/>
                                  <w:szCs w:val="32"/>
                                </w:rPr>
                              </w:pPr>
                            </w:p>
                            <w:p w14:paraId="07794256" w14:textId="77777777" w:rsidR="00BD5B06" w:rsidRPr="00224096" w:rsidRDefault="00BD5B06" w:rsidP="00633C2D">
                              <w:pPr>
                                <w:rPr>
                                  <w:rFonts w:asciiTheme="minorHAnsi" w:hAnsiTheme="minorHAnsi"/>
                                </w:rPr>
                              </w:pPr>
                            </w:p>
                          </w:txbxContent>
                        </wps:txbx>
                        <wps:bodyPr rot="0" vert="horz" wrap="square" lIns="91440" tIns="45720" rIns="91440" bIns="45720" anchor="b"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41E264E6" id="Group 22" o:spid="_x0000_s1029" style="position:absolute;left:0;text-align:left;margin-left:22.4pt;margin-top:-1705.45pt;width:593.45pt;height:714.15pt;z-index:251663360;mso-position-horizontal-relative:page;mso-position-vertical-relative:margin;mso-height-relative:margin" coordorigin=",1440" coordsize="12239,12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" o:allowincell="f">
                <v:group id="Group 23" o:spid="_x0000_s1030" style="position:absolute;top:9661;width:12239;height:4739" coordorigin="-6,3399" coordsize="12197,4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">
                  <v:group id="Group 24" o:spid="_x0000_s1031" style="position:absolute;left:-6;top:3717;width:12189;height:3550" coordorigin="18,7468" coordsize="12189,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Du2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havS/g7E46A3P4CAAD//wMAUEsBAi0AFAAGAAgAAAAhANvh9svuAAAAhQEAABMAAAAAAAAA&#10;AAAAAAAAAAAAAFtDb250ZW50X1R5cGVzXS54bWxQSwECLQAUAAYACAAAACEAWvQsW78AAAAVAQAA&#10;CwAAAAAAAAAAAAAAAAAfAQAAX3JlbHMvLnJlbHNQSwECLQAUAAYACAAAACEAN6g7tsYAAADcAAAA&#10;DwAAAAAAAAAAAAAAAAAHAgAAZHJzL2Rvd25yZXYueG1sUEsFBgAAAAADAAMAtwAAAPoCAAAAAA==&#10;">
                    <v:shape id="Freeform 25" o:spid="_x0000_s1032" style="position:absolute;left:18;top:7837;width:7132;height:2863;visibility:visible;mso-wrap-style:square;v-text-anchor:top" coordsize="7132,2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" path="m,l17,2863,7132,2578r,-2378l,xe" fillcolor="#938953" stroked="f">
                      <v:fill opacity="32896f"/>
                      <v:path arrowok="t" o:connecttype="custom" o:connectlocs="0,0;17,2863;7132,2578;7132,200;0,0" o:connectangles="0,0,0,0,0"/>
                    </v:shape>
                    <v:shape id="Freeform 26" o:spid="_x0000_s1033" style="position:absolute;left:7150;top:7468;width:3466;height:3550;visibility:visible;mso-wrap-style:square;v-text-anchor:top" coordsize="3466,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" path="m,569l,2930r3466,620l3466,,,569xe" fillcolor="#ddd8c2" stroked="f">
                      <v:fill opacity="32896f"/>
                      <v:path arrowok="t" o:connecttype="custom" o:connectlocs="0,569;0,2930;3466,3550;3466,0;0,569" o:connectangles="0,0,0,0,0"/>
                    </v:shape>
                    <v:shape id="Freeform 27" o:spid="_x0000_s1034" style="position:absolute;left:10616;top:7468;width:1591;height:3550;visibility:visible;mso-wrap-style:square;v-text-anchor:top" coordsize="1591,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" path="m,l,3550,1591,2746r,-2009l,xe" fillcolor="#c4bc96" stroked="f">
                      <v:fill opacity="32896f"/>
                      <v:path arrowok="t" o:connecttype="custom" o:connectlocs="0,0;0,3550;1591,2746;1591,737;0,0" o:connectangles="0,0,0,0,0"/>
                    </v:shape>
                  </v:group>
                  <v:shape id="Freeform 28" o:spid="_x0000_s1035" style="position:absolute;left:8071;top:4069;width:4120;height:2913;visibility:visible;mso-wrap-style:square;v-text-anchor:top" coordsize="4120,2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" path="m1,251l,2662r4120,251l4120,,1,251xe" fillcolor="#dfd69f" strokecolor="#dfd69f">
                    <v:path arrowok="t" o:connecttype="custom" o:connectlocs="1,251;0,2662;4120,2913;4120,0;1,251" o:connectangles="0,0,0,0,0"/>
                  </v:shape>
                  <v:shape id="Freeform 29" o:spid="_x0000_s1036" style="position:absolute;left:4104;top:3399;width:3985;height:4236;visibility:visible;mso-wrap-style:square;v-text-anchor:top" coordsize="3985,4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" path="m,l,4236,3985,3349r,-2428l,xe" fillcolor="#dfd69f" stroked="f">
                    <v:path arrowok="t" o:connecttype="custom" o:connectlocs="0,0;0,4236;3985,3349;3985,921;0,0" o:connectangles="0,0,0,0,0"/>
                  </v:shape>
                  <v:shape id="Freeform 30" o:spid="_x0000_s1037" style="position:absolute;left:18;top:3399;width:4086;height:4253;visibility:visible;mso-wrap-style:square;v-text-anchor:top" coordsize="4086,4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" path="m4086,r-2,4253l,3198,,1072,4086,xe" fillcolor="#dfd69f" strokecolor="#dfd69f">
                    <v:path arrowok="t" o:connecttype="custom" o:connectlocs="4086,0;4084,4253;0,3198;0,1072;4086,0" o:connectangles="0,0,0,0,0"/>
                  </v:shape>
                  <v:shape id="Freeform 31" o:spid="_x0000_s1038" style="position:absolute;left:17;top:3617;width:2076;height:3851;visibility:visible;mso-wrap-style:square;v-text-anchor:top" coordsize="2076,3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" path="m,921l2060,r16,3851l,2981,,921xe" fillcolor="#ddd8c2" stroked="f">
                    <v:fill opacity="46003f"/>
                    <v:path arrowok="t" o:connecttype="custom" o:connectlocs="0,921;2060,0;2076,3851;0,2981;0,921" o:connectangles="0,0,0,0,0"/>
                  </v:shape>
                  <v:shape id="Freeform 32" o:spid="_x0000_s1039" style="position:absolute;left:2077;top:3617;width:6011;height:3835;visibility:visible;mso-wrap-style:square;v-text-anchor:top" coordsize="6011,3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" path="m,l17,3835,6011,2629r,-1390l,xe" fillcolor="#938953" stroked="f">
                    <v:fill opacity="46003f"/>
                    <v:path arrowok="t" o:connecttype="custom" o:connectlocs="0,0;17,3835;6011,2629;6011,1239;0,0" o:connectangles="0,0,0,0,0"/>
                  </v:shape>
                  <v:shape id="Freeform 33" o:spid="_x0000_s1040" style="position:absolute;left:8088;top:3835;width:4102;height:3432;visibility:visible;mso-wrap-style:square;v-text-anchor:top" coordsize="4102,3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" path="m,1038l,2411,4102,3432,4102,,,1038xe" fillcolor="#c4bc96" stroked="f">
                    <v:fill opacity="46003f"/>
                    <v:path arrowok="t" o:connecttype="custom" o:connectlocs="0,1038;0,2411;4102,3432;4102,0;0,1038" o:connectangles="0,0,0,0,0"/>
                  </v:shape>
                </v:group>
                <v:rect id="Rectangle 34" o:spid="_x0000_s1041" style="position:absolute;left:1800;top:1440;width:8636;height:1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" filled="f" stroked="f">
                  <v:textbox style="mso-fit-shape-to-text:t">
                    <w:txbxContent>
                      <w:p w14:paraId="1FDE76E4" w14:textId="77777777" w:rsidR="00BD5B06" w:rsidRPr="00591BF1" w:rsidRDefault="00BD5B06" w:rsidP="00633C2D">
                        <w:pPr>
                          <w:jc w:val="center"/>
                          <w:rPr>
                            <w:b/>
                            <w:noProof/>
                            <w:color w:val="808080"/>
                            <w:sz w:val="32"/>
                            <w:szCs w:val="32"/>
                          </w:rPr>
                        </w:pPr>
                      </w:p>
                      <w:p w14:paraId="3483CB71" w14:textId="77777777" w:rsidR="00BD5B06" w:rsidRPr="00591BF1" w:rsidRDefault="00BD5B06" w:rsidP="00633C2D">
                        <w:pPr>
                          <w:jc w:val="center"/>
                          <w:rPr>
                            <w:b/>
                            <w:bCs/>
                            <w:color w:val="808080"/>
                            <w:sz w:val="32"/>
                            <w:szCs w:val="32"/>
                          </w:rPr>
                        </w:pPr>
                      </w:p>
                      <w:p w14:paraId="3F2073E2" w14:textId="77777777" w:rsidR="00BD5B06" w:rsidRPr="00591BF1" w:rsidRDefault="00BD5B06" w:rsidP="00633C2D">
                        <w:pPr>
                          <w:rPr>
                            <w:b/>
                            <w:bCs/>
                            <w:color w:val="808080"/>
                            <w:sz w:val="32"/>
                            <w:szCs w:val="32"/>
                          </w:rPr>
                        </w:pPr>
                      </w:p>
                    </w:txbxContent>
                  </v:textbox>
                </v:rect>
                <v:rect id="Rectangle 35" o:spid="_x0000_s1042" style="position:absolute;left:6494;top:11160;width:4998;height:1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" filled="f" stroked="f">
                  <v:textbox style="mso-fit-shape-to-text:t">
                    <w:txbxContent>
                      <w:p w14:paraId="3E5E2215" w14:textId="77777777" w:rsidR="00BD5B06" w:rsidRDefault="00BD5B06" w:rsidP="00633C2D">
                        <w:pPr>
                          <w:jc w:val="right"/>
                          <w:rPr>
                            <w:sz w:val="96"/>
                            <w:szCs w:val="96"/>
                          </w:rPr>
                        </w:pPr>
                        <w:r>
                          <w:rPr>
                            <w:sz w:val="96"/>
                            <w:szCs w:val="96"/>
                          </w:rPr>
                          <w:t>2011</w:t>
                        </w:r>
                      </w:p>
                    </w:txbxContent>
                  </v:textbox>
                </v:rect>
                <v:rect id="Rectangle 36" o:spid="_x0000_s1043" style="position:absolute;left:1800;top:2294;width:8638;height:726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" filled="f" stroked="f">
                  <v:textbox>
                    <w:txbxContent>
                      <w:p w14:paraId="254F5C52" w14:textId="77777777" w:rsidR="00BD5B06" w:rsidRPr="00224096" w:rsidRDefault="00BD5B06" w:rsidP="00633C2D">
                        <w:pPr>
                          <w:jc w:val="center"/>
                          <w:rPr>
                            <w:rFonts w:asciiTheme="minorHAnsi" w:hAnsiTheme="minorHAnsi"/>
                            <w:bCs/>
                            <w:sz w:val="72"/>
                            <w:szCs w:val="72"/>
                          </w:rPr>
                        </w:pPr>
                        <w:r w:rsidRPr="00224096">
                          <w:rPr>
                            <w:rFonts w:asciiTheme="minorHAnsi" w:hAnsiTheme="minorHAnsi"/>
                            <w:bCs/>
                            <w:sz w:val="72"/>
                            <w:szCs w:val="72"/>
                          </w:rPr>
                          <w:t>Relatório sobre as</w:t>
                        </w:r>
                        <w:r>
                          <w:rPr>
                            <w:rFonts w:asciiTheme="minorHAnsi" w:hAnsiTheme="minorHAnsi"/>
                            <w:bCs/>
                            <w:sz w:val="72"/>
                            <w:szCs w:val="72"/>
                          </w:rPr>
                          <w:br/>
                        </w:r>
                        <w:r w:rsidRPr="00224096">
                          <w:rPr>
                            <w:rFonts w:asciiTheme="minorHAnsi" w:hAnsiTheme="minorHAnsi"/>
                            <w:bCs/>
                            <w:sz w:val="72"/>
                            <w:szCs w:val="72"/>
                          </w:rPr>
                          <w:t xml:space="preserve"> Contas do Governador do Estado</w:t>
                        </w:r>
                        <w:r>
                          <w:rPr>
                            <w:rFonts w:asciiTheme="minorHAnsi" w:hAnsiTheme="minorHAnsi"/>
                            <w:bCs/>
                            <w:sz w:val="72"/>
                            <w:szCs w:val="72"/>
                          </w:rPr>
                          <w:t xml:space="preserve"> de Goiás</w:t>
                        </w:r>
                      </w:p>
                      <w:p w14:paraId="70956B0F" w14:textId="77777777" w:rsidR="00BD5B06" w:rsidRPr="00224096" w:rsidRDefault="00BD5B06" w:rsidP="00633C2D">
                        <w:pPr>
                          <w:jc w:val="center"/>
                          <w:rPr>
                            <w:rFonts w:asciiTheme="minorHAnsi" w:hAnsiTheme="minorHAnsi"/>
                            <w:bCs/>
                            <w:sz w:val="72"/>
                            <w:szCs w:val="72"/>
                          </w:rPr>
                        </w:pPr>
                      </w:p>
                      <w:p w14:paraId="2F392446" w14:textId="77777777" w:rsidR="00BD5B06" w:rsidRDefault="00BD5B06" w:rsidP="00633C2D">
                        <w:pPr>
                          <w:jc w:val="center"/>
                          <w:rPr>
                            <w:rFonts w:asciiTheme="minorHAnsi" w:hAnsiTheme="minorHAnsi"/>
                            <w:bCs/>
                            <w:sz w:val="40"/>
                            <w:szCs w:val="40"/>
                          </w:rPr>
                        </w:pPr>
                        <w:r w:rsidRPr="00224096">
                          <w:rPr>
                            <w:rFonts w:asciiTheme="minorHAnsi" w:hAnsiTheme="minorHAnsi"/>
                            <w:bCs/>
                            <w:sz w:val="40"/>
                            <w:szCs w:val="40"/>
                          </w:rPr>
                          <w:t>Exercício de 201</w:t>
                        </w:r>
                        <w:r>
                          <w:rPr>
                            <w:rFonts w:asciiTheme="minorHAnsi" w:hAnsiTheme="minorHAnsi"/>
                            <w:bCs/>
                            <w:sz w:val="40"/>
                            <w:szCs w:val="40"/>
                          </w:rPr>
                          <w:t>1</w:t>
                        </w:r>
                      </w:p>
                      <w:p w14:paraId="3E3154CA" w14:textId="77777777" w:rsidR="00BD5B06" w:rsidRPr="00224096" w:rsidRDefault="00BD5B06" w:rsidP="00633C2D">
                        <w:pPr>
                          <w:jc w:val="center"/>
                          <w:rPr>
                            <w:rFonts w:asciiTheme="minorHAnsi" w:hAnsiTheme="minorHAnsi"/>
                            <w:bCs/>
                            <w:sz w:val="40"/>
                            <w:szCs w:val="40"/>
                          </w:rPr>
                        </w:pPr>
                      </w:p>
                      <w:p w14:paraId="058EAE8A" w14:textId="77777777" w:rsidR="00BD5B06" w:rsidRPr="00224096" w:rsidRDefault="00BD5B06" w:rsidP="00633C2D">
                        <w:pPr>
                          <w:jc w:val="center"/>
                          <w:rPr>
                            <w:rFonts w:asciiTheme="minorHAnsi" w:hAnsiTheme="minorHAnsi"/>
                            <w:b/>
                            <w:bCs/>
                            <w:sz w:val="32"/>
                            <w:szCs w:val="32"/>
                          </w:rPr>
                        </w:pPr>
                        <w:r w:rsidRPr="00224096">
                          <w:rPr>
                            <w:rFonts w:asciiTheme="minorHAnsi" w:hAnsiTheme="minorHAnsi"/>
                            <w:b/>
                            <w:bCs/>
                            <w:sz w:val="32"/>
                            <w:szCs w:val="32"/>
                          </w:rPr>
                          <w:t>Conselheir</w:t>
                        </w:r>
                        <w:r>
                          <w:rPr>
                            <w:rFonts w:asciiTheme="minorHAnsi" w:hAnsiTheme="minorHAnsi"/>
                            <w:b/>
                            <w:bCs/>
                            <w:sz w:val="32"/>
                            <w:szCs w:val="32"/>
                          </w:rPr>
                          <w:t>o</w:t>
                        </w:r>
                        <w:r w:rsidRPr="00224096">
                          <w:rPr>
                            <w:rFonts w:asciiTheme="minorHAnsi" w:hAnsiTheme="minorHAnsi"/>
                            <w:b/>
                            <w:bCs/>
                            <w:sz w:val="32"/>
                            <w:szCs w:val="32"/>
                          </w:rPr>
                          <w:t xml:space="preserve"> Relator:</w:t>
                        </w:r>
                        <w:r w:rsidRPr="00224096">
                          <w:rPr>
                            <w:rFonts w:asciiTheme="minorHAnsi" w:hAnsiTheme="minorHAnsi"/>
                            <w:b/>
                            <w:bCs/>
                            <w:sz w:val="32"/>
                            <w:szCs w:val="32"/>
                          </w:rPr>
                          <w:br/>
                          <w:t xml:space="preserve">Dr. </w:t>
                        </w:r>
                        <w:r>
                          <w:rPr>
                            <w:rFonts w:asciiTheme="minorHAnsi" w:hAnsiTheme="minorHAnsi"/>
                            <w:b/>
                            <w:bCs/>
                            <w:sz w:val="32"/>
                            <w:szCs w:val="32"/>
                          </w:rPr>
                          <w:t>Kennedy Trindade</w:t>
                        </w:r>
                      </w:p>
                      <w:p w14:paraId="4DCA9FDA" w14:textId="77777777" w:rsidR="00BD5B06" w:rsidRPr="00224096" w:rsidRDefault="00BD5B06" w:rsidP="00633C2D">
                        <w:pPr>
                          <w:jc w:val="center"/>
                          <w:rPr>
                            <w:rFonts w:asciiTheme="minorHAnsi" w:hAnsiTheme="minorHAnsi"/>
                            <w:b/>
                            <w:bCs/>
                            <w:sz w:val="32"/>
                            <w:szCs w:val="32"/>
                          </w:rPr>
                        </w:pPr>
                      </w:p>
                      <w:p w14:paraId="71633F1D" w14:textId="77777777" w:rsidR="00BD5B06" w:rsidRPr="00224096" w:rsidRDefault="00BD5B06" w:rsidP="00633C2D">
                        <w:pPr>
                          <w:jc w:val="center"/>
                          <w:rPr>
                            <w:rFonts w:asciiTheme="minorHAnsi" w:hAnsiTheme="minorHAnsi"/>
                            <w:b/>
                            <w:bCs/>
                            <w:color w:val="808080"/>
                            <w:sz w:val="32"/>
                            <w:szCs w:val="32"/>
                          </w:rPr>
                        </w:pPr>
                      </w:p>
                      <w:p w14:paraId="07794256" w14:textId="77777777" w:rsidR="00BD5B06" w:rsidRPr="00224096" w:rsidRDefault="00BD5B06" w:rsidP="00633C2D">
                        <w:pPr>
                          <w:rPr>
                            <w:rFonts w:asciiTheme="minorHAnsi" w:hAnsiTheme="minorHAnsi"/>
                          </w:rPr>
                        </w:pPr>
                      </w:p>
                    </w:txbxContent>
                  </v:textbox>
                </v:rect>
                <w10:wrap anchorx="page" anchory="margin"/>
              </v:group>
            </w:pict>
          </mc:Fallback>
        </mc:AlternateContent>
      </w:r>
    </w:p>
    <w:p w14:paraId="4055AB89" w14:textId="77777777" w:rsidR="00633C2D" w:rsidRPr="00E84200" w:rsidRDefault="00633C2D" w:rsidP="00633C2D">
      <w:pPr>
        <w:jc w:val="right"/>
        <w:outlineLvl w:val="0"/>
        <w:rPr>
          <w:rFonts w:ascii="Georgia" w:hAnsi="Georgia"/>
          <w:sz w:val="56"/>
          <w:szCs w:val="56"/>
        </w:rPr>
      </w:pPr>
      <w:r w:rsidRPr="00E84200">
        <w:rPr>
          <w:rFonts w:ascii="Georgia" w:hAnsi="Georgia"/>
          <w:sz w:val="56"/>
          <w:szCs w:val="56"/>
        </w:rPr>
        <w:t>Lista de Tabelas</w:t>
      </w:r>
    </w:p>
    <w:p w14:paraId="31A27046" w14:textId="77777777" w:rsidR="00633C2D" w:rsidRPr="00E84200" w:rsidRDefault="00633C2D" w:rsidP="00633C2D">
      <w:pPr>
        <w:ind w:right="360"/>
        <w:jc w:val="center"/>
        <w:rPr>
          <w:rFonts w:cs="Arial"/>
        </w:rPr>
      </w:pPr>
    </w:p>
    <w:p w14:paraId="3FBA0E89" w14:textId="77777777" w:rsidR="00633C2D" w:rsidRPr="00E84200" w:rsidRDefault="00633C2D" w:rsidP="00633C2D">
      <w:pPr>
        <w:ind w:right="360"/>
        <w:jc w:val="center"/>
        <w:rPr>
          <w:rFonts w:cs="Arial"/>
        </w:rPr>
      </w:pPr>
    </w:p>
    <w:p w14:paraId="5FCC8731" w14:textId="77777777" w:rsidR="006F3212" w:rsidRPr="00B215AC" w:rsidRDefault="006F3212" w:rsidP="00633C2D">
      <w:pPr>
        <w:ind w:right="360"/>
        <w:jc w:val="center"/>
        <w:rPr>
          <w:rFonts w:cs="Arial"/>
          <w:color w:val="FF0000"/>
        </w:rPr>
      </w:pPr>
    </w:p>
    <w:bookmarkStart w:id="5" w:name="_GoBack"/>
    <w:bookmarkEnd w:id="5"/>
    <w:p w14:paraId="16007B9E" w14:textId="49455AC2" w:rsidR="00E666EC" w:rsidRDefault="00633C2D">
      <w:pPr>
        <w:pStyle w:val="ndicedeilustraes"/>
        <w:tabs>
          <w:tab w:val="right" w:leader="dot" w:pos="9055"/>
        </w:tabs>
        <w:rPr>
          <w:rFonts w:asciiTheme="minorHAnsi" w:eastAsiaTheme="minorEastAsia" w:hAnsiTheme="minorHAnsi" w:cstheme="minorBidi"/>
          <w:noProof/>
        </w:rPr>
      </w:pPr>
      <w:r w:rsidRPr="00B215AC">
        <w:rPr>
          <w:rFonts w:cs="Arial"/>
          <w:color w:val="FF0000"/>
        </w:rPr>
        <w:fldChar w:fldCharType="begin"/>
      </w:r>
      <w:r w:rsidRPr="00B215AC">
        <w:rPr>
          <w:rFonts w:cs="Arial"/>
          <w:color w:val="FF0000"/>
        </w:rPr>
        <w:instrText xml:space="preserve"> TOC \h \z \t "0 - TABELA;1" \c "Figura" </w:instrText>
      </w:r>
      <w:r w:rsidRPr="00B215AC">
        <w:rPr>
          <w:rFonts w:cs="Arial"/>
          <w:color w:val="FF0000"/>
        </w:rPr>
        <w:fldChar w:fldCharType="separate"/>
      </w:r>
      <w:hyperlink w:anchor="_Toc167871714" w:history="1">
        <w:r w:rsidR="00E666EC" w:rsidRPr="00594BD3">
          <w:rPr>
            <w:rStyle w:val="Hyperlink"/>
            <w:rFonts w:cs="Arial"/>
            <w:noProof/>
          </w:rPr>
          <w:t>Tabela 1</w:t>
        </w:r>
        <w:r w:rsidR="00E666EC">
          <w:rPr>
            <w:rFonts w:asciiTheme="minorHAnsi" w:eastAsiaTheme="minorEastAsia" w:hAnsiTheme="minorHAnsi" w:cstheme="minorBidi"/>
            <w:noProof/>
          </w:rPr>
          <w:tab/>
        </w:r>
        <w:r w:rsidR="00E666EC" w:rsidRPr="00594BD3">
          <w:rPr>
            <w:rStyle w:val="Hyperlink"/>
            <w:noProof/>
          </w:rPr>
          <w:t>Produção Industrial por Atividades</w:t>
        </w:r>
        <w:r w:rsidR="00E666EC">
          <w:rPr>
            <w:noProof/>
            <w:webHidden/>
          </w:rPr>
          <w:tab/>
        </w:r>
        <w:r w:rsidR="00E666EC">
          <w:rPr>
            <w:noProof/>
            <w:webHidden/>
          </w:rPr>
          <w:fldChar w:fldCharType="begin"/>
        </w:r>
        <w:r w:rsidR="00E666EC">
          <w:rPr>
            <w:noProof/>
            <w:webHidden/>
          </w:rPr>
          <w:instrText xml:space="preserve"> PAGEREF _Toc167871714 \h </w:instrText>
        </w:r>
        <w:r w:rsidR="00E666EC">
          <w:rPr>
            <w:noProof/>
            <w:webHidden/>
          </w:rPr>
        </w:r>
        <w:r w:rsidR="00E666EC">
          <w:rPr>
            <w:noProof/>
            <w:webHidden/>
          </w:rPr>
          <w:fldChar w:fldCharType="separate"/>
        </w:r>
        <w:r w:rsidR="00E666EC">
          <w:rPr>
            <w:noProof/>
            <w:webHidden/>
          </w:rPr>
          <w:t>30</w:t>
        </w:r>
        <w:r w:rsidR="00E666EC">
          <w:rPr>
            <w:noProof/>
            <w:webHidden/>
          </w:rPr>
          <w:fldChar w:fldCharType="end"/>
        </w:r>
      </w:hyperlink>
    </w:p>
    <w:p w14:paraId="2B9326A7" w14:textId="191D4CAB" w:rsidR="00E666EC" w:rsidRDefault="00E666EC">
      <w:pPr>
        <w:pStyle w:val="ndicedeilustraes"/>
        <w:tabs>
          <w:tab w:val="right" w:leader="dot" w:pos="9055"/>
        </w:tabs>
        <w:rPr>
          <w:rFonts w:asciiTheme="minorHAnsi" w:eastAsiaTheme="minorEastAsia" w:hAnsiTheme="minorHAnsi" w:cstheme="minorBidi"/>
          <w:noProof/>
        </w:rPr>
      </w:pPr>
      <w:hyperlink w:anchor="_Toc167871715" w:history="1">
        <w:r w:rsidRPr="00594BD3">
          <w:rPr>
            <w:rStyle w:val="Hyperlink"/>
            <w:rFonts w:cs="Arial"/>
            <w:noProof/>
          </w:rPr>
          <w:t>Tabela 2</w:t>
        </w:r>
        <w:r>
          <w:rPr>
            <w:rFonts w:asciiTheme="minorHAnsi" w:eastAsiaTheme="minorEastAsia" w:hAnsiTheme="minorHAnsi" w:cstheme="minorBidi"/>
            <w:noProof/>
          </w:rPr>
          <w:tab/>
        </w:r>
        <w:r w:rsidRPr="00594BD3">
          <w:rPr>
            <w:rStyle w:val="Hyperlink"/>
            <w:noProof/>
          </w:rPr>
          <w:t>Variação do Volume de Serviços por Atividades</w:t>
        </w:r>
        <w:r>
          <w:rPr>
            <w:noProof/>
            <w:webHidden/>
          </w:rPr>
          <w:tab/>
        </w:r>
        <w:r>
          <w:rPr>
            <w:noProof/>
            <w:webHidden/>
          </w:rPr>
          <w:fldChar w:fldCharType="begin"/>
        </w:r>
        <w:r>
          <w:rPr>
            <w:noProof/>
            <w:webHidden/>
          </w:rPr>
          <w:instrText xml:space="preserve"> PAGEREF _Toc167871715 \h </w:instrText>
        </w:r>
        <w:r>
          <w:rPr>
            <w:noProof/>
            <w:webHidden/>
          </w:rPr>
        </w:r>
        <w:r>
          <w:rPr>
            <w:noProof/>
            <w:webHidden/>
          </w:rPr>
          <w:fldChar w:fldCharType="separate"/>
        </w:r>
        <w:r>
          <w:rPr>
            <w:noProof/>
            <w:webHidden/>
          </w:rPr>
          <w:t>31</w:t>
        </w:r>
        <w:r>
          <w:rPr>
            <w:noProof/>
            <w:webHidden/>
          </w:rPr>
          <w:fldChar w:fldCharType="end"/>
        </w:r>
      </w:hyperlink>
    </w:p>
    <w:p w14:paraId="473EAEBB" w14:textId="0D9E8F0A" w:rsidR="00E666EC" w:rsidRDefault="00E666EC">
      <w:pPr>
        <w:pStyle w:val="ndicedeilustraes"/>
        <w:tabs>
          <w:tab w:val="right" w:leader="dot" w:pos="9055"/>
        </w:tabs>
        <w:rPr>
          <w:rFonts w:asciiTheme="minorHAnsi" w:eastAsiaTheme="minorEastAsia" w:hAnsiTheme="minorHAnsi" w:cstheme="minorBidi"/>
          <w:noProof/>
        </w:rPr>
      </w:pPr>
      <w:hyperlink w:anchor="_Toc167871716" w:history="1">
        <w:r w:rsidRPr="00594BD3">
          <w:rPr>
            <w:rStyle w:val="Hyperlink"/>
            <w:rFonts w:cs="Arial"/>
            <w:noProof/>
          </w:rPr>
          <w:t>Tabela 3</w:t>
        </w:r>
        <w:r>
          <w:rPr>
            <w:rFonts w:asciiTheme="minorHAnsi" w:eastAsiaTheme="minorEastAsia" w:hAnsiTheme="minorHAnsi" w:cstheme="minorBidi"/>
            <w:noProof/>
          </w:rPr>
          <w:tab/>
        </w:r>
        <w:r w:rsidRPr="00594BD3">
          <w:rPr>
            <w:rStyle w:val="Hyperlink"/>
            <w:noProof/>
          </w:rPr>
          <w:t>Pessoas Ocupadas por Setor</w:t>
        </w:r>
        <w:r>
          <w:rPr>
            <w:noProof/>
            <w:webHidden/>
          </w:rPr>
          <w:tab/>
        </w:r>
        <w:r>
          <w:rPr>
            <w:noProof/>
            <w:webHidden/>
          </w:rPr>
          <w:fldChar w:fldCharType="begin"/>
        </w:r>
        <w:r>
          <w:rPr>
            <w:noProof/>
            <w:webHidden/>
          </w:rPr>
          <w:instrText xml:space="preserve"> PAGEREF _Toc167871716 \h </w:instrText>
        </w:r>
        <w:r>
          <w:rPr>
            <w:noProof/>
            <w:webHidden/>
          </w:rPr>
        </w:r>
        <w:r>
          <w:rPr>
            <w:noProof/>
            <w:webHidden/>
          </w:rPr>
          <w:fldChar w:fldCharType="separate"/>
        </w:r>
        <w:r>
          <w:rPr>
            <w:noProof/>
            <w:webHidden/>
          </w:rPr>
          <w:t>33</w:t>
        </w:r>
        <w:r>
          <w:rPr>
            <w:noProof/>
            <w:webHidden/>
          </w:rPr>
          <w:fldChar w:fldCharType="end"/>
        </w:r>
      </w:hyperlink>
    </w:p>
    <w:p w14:paraId="4AC22283" w14:textId="6CF114CB" w:rsidR="00E666EC" w:rsidRDefault="00E666EC">
      <w:pPr>
        <w:pStyle w:val="ndicedeilustraes"/>
        <w:tabs>
          <w:tab w:val="right" w:leader="dot" w:pos="9055"/>
        </w:tabs>
        <w:rPr>
          <w:rFonts w:asciiTheme="minorHAnsi" w:eastAsiaTheme="minorEastAsia" w:hAnsiTheme="minorHAnsi" w:cstheme="minorBidi"/>
          <w:noProof/>
        </w:rPr>
      </w:pPr>
      <w:hyperlink w:anchor="_Toc167871717" w:history="1">
        <w:r w:rsidRPr="00594BD3">
          <w:rPr>
            <w:rStyle w:val="Hyperlink"/>
            <w:rFonts w:cs="Arial"/>
            <w:noProof/>
          </w:rPr>
          <w:t>Tabela 4</w:t>
        </w:r>
        <w:r>
          <w:rPr>
            <w:rFonts w:asciiTheme="minorHAnsi" w:eastAsiaTheme="minorEastAsia" w:hAnsiTheme="minorHAnsi" w:cstheme="minorBidi"/>
            <w:noProof/>
          </w:rPr>
          <w:tab/>
        </w:r>
        <w:r w:rsidRPr="00594BD3">
          <w:rPr>
            <w:rStyle w:val="Hyperlink"/>
            <w:noProof/>
          </w:rPr>
          <w:t>Execução Orçamentária BGE – 2020 a 2023</w:t>
        </w:r>
        <w:r>
          <w:rPr>
            <w:noProof/>
            <w:webHidden/>
          </w:rPr>
          <w:tab/>
        </w:r>
        <w:r>
          <w:rPr>
            <w:noProof/>
            <w:webHidden/>
          </w:rPr>
          <w:fldChar w:fldCharType="begin"/>
        </w:r>
        <w:r>
          <w:rPr>
            <w:noProof/>
            <w:webHidden/>
          </w:rPr>
          <w:instrText xml:space="preserve"> PAGEREF _Toc167871717 \h </w:instrText>
        </w:r>
        <w:r>
          <w:rPr>
            <w:noProof/>
            <w:webHidden/>
          </w:rPr>
        </w:r>
        <w:r>
          <w:rPr>
            <w:noProof/>
            <w:webHidden/>
          </w:rPr>
          <w:fldChar w:fldCharType="separate"/>
        </w:r>
        <w:r>
          <w:rPr>
            <w:noProof/>
            <w:webHidden/>
          </w:rPr>
          <w:t>38</w:t>
        </w:r>
        <w:r>
          <w:rPr>
            <w:noProof/>
            <w:webHidden/>
          </w:rPr>
          <w:fldChar w:fldCharType="end"/>
        </w:r>
      </w:hyperlink>
    </w:p>
    <w:p w14:paraId="14B2C89E" w14:textId="74547A2B" w:rsidR="00E666EC" w:rsidRDefault="00E666EC">
      <w:pPr>
        <w:pStyle w:val="ndicedeilustraes"/>
        <w:tabs>
          <w:tab w:val="right" w:leader="dot" w:pos="9055"/>
        </w:tabs>
        <w:rPr>
          <w:rFonts w:asciiTheme="minorHAnsi" w:eastAsiaTheme="minorEastAsia" w:hAnsiTheme="minorHAnsi" w:cstheme="minorBidi"/>
          <w:noProof/>
        </w:rPr>
      </w:pPr>
      <w:hyperlink w:anchor="_Toc167871718" w:history="1">
        <w:r w:rsidRPr="00594BD3">
          <w:rPr>
            <w:rStyle w:val="Hyperlink"/>
            <w:rFonts w:cs="Arial"/>
            <w:noProof/>
          </w:rPr>
          <w:t>Tabela 5</w:t>
        </w:r>
        <w:r>
          <w:rPr>
            <w:rFonts w:asciiTheme="minorHAnsi" w:eastAsiaTheme="minorEastAsia" w:hAnsiTheme="minorHAnsi" w:cstheme="minorBidi"/>
            <w:noProof/>
          </w:rPr>
          <w:tab/>
        </w:r>
        <w:r w:rsidRPr="00594BD3">
          <w:rPr>
            <w:rStyle w:val="Hyperlink"/>
            <w:noProof/>
          </w:rPr>
          <w:t>Execução das Despesas por Eixos Estratégicos</w:t>
        </w:r>
        <w:r>
          <w:rPr>
            <w:noProof/>
            <w:webHidden/>
          </w:rPr>
          <w:tab/>
        </w:r>
        <w:r>
          <w:rPr>
            <w:noProof/>
            <w:webHidden/>
          </w:rPr>
          <w:fldChar w:fldCharType="begin"/>
        </w:r>
        <w:r>
          <w:rPr>
            <w:noProof/>
            <w:webHidden/>
          </w:rPr>
          <w:instrText xml:space="preserve"> PAGEREF _Toc167871718 \h </w:instrText>
        </w:r>
        <w:r>
          <w:rPr>
            <w:noProof/>
            <w:webHidden/>
          </w:rPr>
        </w:r>
        <w:r>
          <w:rPr>
            <w:noProof/>
            <w:webHidden/>
          </w:rPr>
          <w:fldChar w:fldCharType="separate"/>
        </w:r>
        <w:r>
          <w:rPr>
            <w:noProof/>
            <w:webHidden/>
          </w:rPr>
          <w:t>38</w:t>
        </w:r>
        <w:r>
          <w:rPr>
            <w:noProof/>
            <w:webHidden/>
          </w:rPr>
          <w:fldChar w:fldCharType="end"/>
        </w:r>
      </w:hyperlink>
    </w:p>
    <w:p w14:paraId="29C724C0" w14:textId="1F0017AA" w:rsidR="00E666EC" w:rsidRDefault="00E666EC">
      <w:pPr>
        <w:pStyle w:val="ndicedeilustraes"/>
        <w:tabs>
          <w:tab w:val="right" w:leader="dot" w:pos="9055"/>
        </w:tabs>
        <w:rPr>
          <w:rFonts w:asciiTheme="minorHAnsi" w:eastAsiaTheme="minorEastAsia" w:hAnsiTheme="minorHAnsi" w:cstheme="minorBidi"/>
          <w:noProof/>
        </w:rPr>
      </w:pPr>
      <w:hyperlink w:anchor="_Toc167871719" w:history="1">
        <w:r w:rsidRPr="00594BD3">
          <w:rPr>
            <w:rStyle w:val="Hyperlink"/>
            <w:rFonts w:cs="Arial"/>
            <w:noProof/>
          </w:rPr>
          <w:t>Tabela 6</w:t>
        </w:r>
        <w:r>
          <w:rPr>
            <w:rFonts w:asciiTheme="minorHAnsi" w:eastAsiaTheme="minorEastAsia" w:hAnsiTheme="minorHAnsi" w:cstheme="minorBidi"/>
            <w:noProof/>
          </w:rPr>
          <w:tab/>
        </w:r>
        <w:r w:rsidRPr="00594BD3">
          <w:rPr>
            <w:rStyle w:val="Hyperlink"/>
            <w:noProof/>
          </w:rPr>
          <w:t>Execução das Despesas dos Eixos Estratégicos por Tipo de Programa</w:t>
        </w:r>
        <w:r>
          <w:rPr>
            <w:noProof/>
            <w:webHidden/>
          </w:rPr>
          <w:tab/>
        </w:r>
        <w:r>
          <w:rPr>
            <w:noProof/>
            <w:webHidden/>
          </w:rPr>
          <w:fldChar w:fldCharType="begin"/>
        </w:r>
        <w:r>
          <w:rPr>
            <w:noProof/>
            <w:webHidden/>
          </w:rPr>
          <w:instrText xml:space="preserve"> PAGEREF _Toc167871719 \h </w:instrText>
        </w:r>
        <w:r>
          <w:rPr>
            <w:noProof/>
            <w:webHidden/>
          </w:rPr>
        </w:r>
        <w:r>
          <w:rPr>
            <w:noProof/>
            <w:webHidden/>
          </w:rPr>
          <w:fldChar w:fldCharType="separate"/>
        </w:r>
        <w:r>
          <w:rPr>
            <w:noProof/>
            <w:webHidden/>
          </w:rPr>
          <w:t>39</w:t>
        </w:r>
        <w:r>
          <w:rPr>
            <w:noProof/>
            <w:webHidden/>
          </w:rPr>
          <w:fldChar w:fldCharType="end"/>
        </w:r>
      </w:hyperlink>
    </w:p>
    <w:p w14:paraId="57D99AF0" w14:textId="1C71874A" w:rsidR="00E666EC" w:rsidRDefault="00E666EC">
      <w:pPr>
        <w:pStyle w:val="ndicedeilustraes"/>
        <w:tabs>
          <w:tab w:val="right" w:leader="dot" w:pos="9055"/>
        </w:tabs>
        <w:rPr>
          <w:rFonts w:asciiTheme="minorHAnsi" w:eastAsiaTheme="minorEastAsia" w:hAnsiTheme="minorHAnsi" w:cstheme="minorBidi"/>
          <w:noProof/>
        </w:rPr>
      </w:pPr>
      <w:hyperlink w:anchor="_Toc167871720" w:history="1">
        <w:r w:rsidRPr="00594BD3">
          <w:rPr>
            <w:rStyle w:val="Hyperlink"/>
            <w:rFonts w:cs="Arial"/>
            <w:noProof/>
          </w:rPr>
          <w:t>Tabela 7</w:t>
        </w:r>
        <w:r>
          <w:rPr>
            <w:rFonts w:asciiTheme="minorHAnsi" w:eastAsiaTheme="minorEastAsia" w:hAnsiTheme="minorHAnsi" w:cstheme="minorBidi"/>
            <w:noProof/>
          </w:rPr>
          <w:tab/>
        </w:r>
        <w:r w:rsidRPr="00594BD3">
          <w:rPr>
            <w:rStyle w:val="Hyperlink"/>
            <w:noProof/>
          </w:rPr>
          <w:t>Programas Finalísticos – 2020 a 2023</w:t>
        </w:r>
        <w:r>
          <w:rPr>
            <w:noProof/>
            <w:webHidden/>
          </w:rPr>
          <w:tab/>
        </w:r>
        <w:r>
          <w:rPr>
            <w:noProof/>
            <w:webHidden/>
          </w:rPr>
          <w:fldChar w:fldCharType="begin"/>
        </w:r>
        <w:r>
          <w:rPr>
            <w:noProof/>
            <w:webHidden/>
          </w:rPr>
          <w:instrText xml:space="preserve"> PAGEREF _Toc167871720 \h </w:instrText>
        </w:r>
        <w:r>
          <w:rPr>
            <w:noProof/>
            <w:webHidden/>
          </w:rPr>
        </w:r>
        <w:r>
          <w:rPr>
            <w:noProof/>
            <w:webHidden/>
          </w:rPr>
          <w:fldChar w:fldCharType="separate"/>
        </w:r>
        <w:r>
          <w:rPr>
            <w:noProof/>
            <w:webHidden/>
          </w:rPr>
          <w:t>41</w:t>
        </w:r>
        <w:r>
          <w:rPr>
            <w:noProof/>
            <w:webHidden/>
          </w:rPr>
          <w:fldChar w:fldCharType="end"/>
        </w:r>
      </w:hyperlink>
    </w:p>
    <w:p w14:paraId="5219C413" w14:textId="17B36B5E" w:rsidR="00E666EC" w:rsidRDefault="00E666EC">
      <w:pPr>
        <w:pStyle w:val="ndicedeilustraes"/>
        <w:tabs>
          <w:tab w:val="right" w:leader="dot" w:pos="9055"/>
        </w:tabs>
        <w:rPr>
          <w:rFonts w:asciiTheme="minorHAnsi" w:eastAsiaTheme="minorEastAsia" w:hAnsiTheme="minorHAnsi" w:cstheme="minorBidi"/>
          <w:noProof/>
        </w:rPr>
      </w:pPr>
      <w:hyperlink w:anchor="_Toc167871721" w:history="1">
        <w:r w:rsidRPr="00594BD3">
          <w:rPr>
            <w:rStyle w:val="Hyperlink"/>
            <w:rFonts w:cs="Arial"/>
            <w:noProof/>
          </w:rPr>
          <w:t>Tabela 8</w:t>
        </w:r>
        <w:r>
          <w:rPr>
            <w:rFonts w:asciiTheme="minorHAnsi" w:eastAsiaTheme="minorEastAsia" w:hAnsiTheme="minorHAnsi" w:cstheme="minorBidi"/>
            <w:noProof/>
          </w:rPr>
          <w:tab/>
        </w:r>
        <w:r w:rsidRPr="00594BD3">
          <w:rPr>
            <w:rStyle w:val="Hyperlink"/>
            <w:noProof/>
          </w:rPr>
          <w:t>Programas Finalísticos</w:t>
        </w:r>
        <w:r>
          <w:rPr>
            <w:noProof/>
            <w:webHidden/>
          </w:rPr>
          <w:tab/>
        </w:r>
        <w:r>
          <w:rPr>
            <w:noProof/>
            <w:webHidden/>
          </w:rPr>
          <w:fldChar w:fldCharType="begin"/>
        </w:r>
        <w:r>
          <w:rPr>
            <w:noProof/>
            <w:webHidden/>
          </w:rPr>
          <w:instrText xml:space="preserve"> PAGEREF _Toc167871721 \h </w:instrText>
        </w:r>
        <w:r>
          <w:rPr>
            <w:noProof/>
            <w:webHidden/>
          </w:rPr>
        </w:r>
        <w:r>
          <w:rPr>
            <w:noProof/>
            <w:webHidden/>
          </w:rPr>
          <w:fldChar w:fldCharType="separate"/>
        </w:r>
        <w:r>
          <w:rPr>
            <w:noProof/>
            <w:webHidden/>
          </w:rPr>
          <w:t>41</w:t>
        </w:r>
        <w:r>
          <w:rPr>
            <w:noProof/>
            <w:webHidden/>
          </w:rPr>
          <w:fldChar w:fldCharType="end"/>
        </w:r>
      </w:hyperlink>
    </w:p>
    <w:p w14:paraId="4183F368" w14:textId="363CAC11" w:rsidR="00E666EC" w:rsidRDefault="00E666EC">
      <w:pPr>
        <w:pStyle w:val="ndicedeilustraes"/>
        <w:tabs>
          <w:tab w:val="right" w:leader="dot" w:pos="9055"/>
        </w:tabs>
        <w:rPr>
          <w:rFonts w:asciiTheme="minorHAnsi" w:eastAsiaTheme="minorEastAsia" w:hAnsiTheme="minorHAnsi" w:cstheme="minorBidi"/>
          <w:noProof/>
        </w:rPr>
      </w:pPr>
      <w:hyperlink w:anchor="_Toc167871722" w:history="1">
        <w:r w:rsidRPr="00594BD3">
          <w:rPr>
            <w:rStyle w:val="Hyperlink"/>
            <w:rFonts w:cs="Arial"/>
            <w:noProof/>
          </w:rPr>
          <w:t>Tabela 9</w:t>
        </w:r>
        <w:r>
          <w:rPr>
            <w:rFonts w:asciiTheme="minorHAnsi" w:eastAsiaTheme="minorEastAsia" w:hAnsiTheme="minorHAnsi" w:cstheme="minorBidi"/>
            <w:noProof/>
          </w:rPr>
          <w:tab/>
        </w:r>
        <w:r w:rsidRPr="00594BD3">
          <w:rPr>
            <w:rStyle w:val="Hyperlink"/>
            <w:noProof/>
          </w:rPr>
          <w:t>Programas Finalísticos de Maior Representatividade</w:t>
        </w:r>
        <w:r>
          <w:rPr>
            <w:noProof/>
            <w:webHidden/>
          </w:rPr>
          <w:tab/>
        </w:r>
        <w:r>
          <w:rPr>
            <w:noProof/>
            <w:webHidden/>
          </w:rPr>
          <w:fldChar w:fldCharType="begin"/>
        </w:r>
        <w:r>
          <w:rPr>
            <w:noProof/>
            <w:webHidden/>
          </w:rPr>
          <w:instrText xml:space="preserve"> PAGEREF _Toc167871722 \h </w:instrText>
        </w:r>
        <w:r>
          <w:rPr>
            <w:noProof/>
            <w:webHidden/>
          </w:rPr>
        </w:r>
        <w:r>
          <w:rPr>
            <w:noProof/>
            <w:webHidden/>
          </w:rPr>
          <w:fldChar w:fldCharType="separate"/>
        </w:r>
        <w:r>
          <w:rPr>
            <w:noProof/>
            <w:webHidden/>
          </w:rPr>
          <w:t>42</w:t>
        </w:r>
        <w:r>
          <w:rPr>
            <w:noProof/>
            <w:webHidden/>
          </w:rPr>
          <w:fldChar w:fldCharType="end"/>
        </w:r>
      </w:hyperlink>
    </w:p>
    <w:p w14:paraId="7E1DA2D6" w14:textId="0DC5FD8F" w:rsidR="00E666EC" w:rsidRDefault="00E666EC">
      <w:pPr>
        <w:pStyle w:val="ndicedeilustraes"/>
        <w:tabs>
          <w:tab w:val="right" w:leader="dot" w:pos="9055"/>
        </w:tabs>
        <w:rPr>
          <w:rFonts w:asciiTheme="minorHAnsi" w:eastAsiaTheme="minorEastAsia" w:hAnsiTheme="minorHAnsi" w:cstheme="minorBidi"/>
          <w:noProof/>
        </w:rPr>
      </w:pPr>
      <w:hyperlink w:anchor="_Toc167871723" w:history="1">
        <w:r w:rsidRPr="00594BD3">
          <w:rPr>
            <w:rStyle w:val="Hyperlink"/>
            <w:rFonts w:cs="Arial"/>
            <w:noProof/>
          </w:rPr>
          <w:t>Tabela 10</w:t>
        </w:r>
        <w:r>
          <w:rPr>
            <w:rFonts w:asciiTheme="minorHAnsi" w:eastAsiaTheme="minorEastAsia" w:hAnsiTheme="minorHAnsi" w:cstheme="minorBidi"/>
            <w:noProof/>
          </w:rPr>
          <w:tab/>
        </w:r>
        <w:r w:rsidRPr="00594BD3">
          <w:rPr>
            <w:rStyle w:val="Hyperlink"/>
            <w:noProof/>
          </w:rPr>
          <w:t>Programas de Gestão e Especiais – Despesas Executadas</w:t>
        </w:r>
        <w:r>
          <w:rPr>
            <w:noProof/>
            <w:webHidden/>
          </w:rPr>
          <w:tab/>
        </w:r>
        <w:r>
          <w:rPr>
            <w:noProof/>
            <w:webHidden/>
          </w:rPr>
          <w:fldChar w:fldCharType="begin"/>
        </w:r>
        <w:r>
          <w:rPr>
            <w:noProof/>
            <w:webHidden/>
          </w:rPr>
          <w:instrText xml:space="preserve"> PAGEREF _Toc167871723 \h </w:instrText>
        </w:r>
        <w:r>
          <w:rPr>
            <w:noProof/>
            <w:webHidden/>
          </w:rPr>
        </w:r>
        <w:r>
          <w:rPr>
            <w:noProof/>
            <w:webHidden/>
          </w:rPr>
          <w:fldChar w:fldCharType="separate"/>
        </w:r>
        <w:r>
          <w:rPr>
            <w:noProof/>
            <w:webHidden/>
          </w:rPr>
          <w:t>43</w:t>
        </w:r>
        <w:r>
          <w:rPr>
            <w:noProof/>
            <w:webHidden/>
          </w:rPr>
          <w:fldChar w:fldCharType="end"/>
        </w:r>
      </w:hyperlink>
    </w:p>
    <w:p w14:paraId="51FCE593" w14:textId="3B4C7817" w:rsidR="00E666EC" w:rsidRDefault="00E666EC">
      <w:pPr>
        <w:pStyle w:val="ndicedeilustraes"/>
        <w:tabs>
          <w:tab w:val="right" w:leader="dot" w:pos="9055"/>
        </w:tabs>
        <w:rPr>
          <w:rFonts w:asciiTheme="minorHAnsi" w:eastAsiaTheme="minorEastAsia" w:hAnsiTheme="minorHAnsi" w:cstheme="minorBidi"/>
          <w:noProof/>
        </w:rPr>
      </w:pPr>
      <w:hyperlink w:anchor="_Toc167871724" w:history="1">
        <w:r w:rsidRPr="00594BD3">
          <w:rPr>
            <w:rStyle w:val="Hyperlink"/>
            <w:rFonts w:cs="Arial"/>
            <w:noProof/>
          </w:rPr>
          <w:t>Tabela 11</w:t>
        </w:r>
        <w:r>
          <w:rPr>
            <w:rFonts w:asciiTheme="minorHAnsi" w:eastAsiaTheme="minorEastAsia" w:hAnsiTheme="minorHAnsi" w:cstheme="minorBidi"/>
            <w:noProof/>
          </w:rPr>
          <w:tab/>
        </w:r>
        <w:r w:rsidRPr="00594BD3">
          <w:rPr>
            <w:rStyle w:val="Hyperlink"/>
            <w:noProof/>
          </w:rPr>
          <w:t>Programas Administrativos por Programa</w:t>
        </w:r>
        <w:r>
          <w:rPr>
            <w:noProof/>
            <w:webHidden/>
          </w:rPr>
          <w:tab/>
        </w:r>
        <w:r>
          <w:rPr>
            <w:noProof/>
            <w:webHidden/>
          </w:rPr>
          <w:fldChar w:fldCharType="begin"/>
        </w:r>
        <w:r>
          <w:rPr>
            <w:noProof/>
            <w:webHidden/>
          </w:rPr>
          <w:instrText xml:space="preserve"> PAGEREF _Toc167871724 \h </w:instrText>
        </w:r>
        <w:r>
          <w:rPr>
            <w:noProof/>
            <w:webHidden/>
          </w:rPr>
        </w:r>
        <w:r>
          <w:rPr>
            <w:noProof/>
            <w:webHidden/>
          </w:rPr>
          <w:fldChar w:fldCharType="separate"/>
        </w:r>
        <w:r>
          <w:rPr>
            <w:noProof/>
            <w:webHidden/>
          </w:rPr>
          <w:t>44</w:t>
        </w:r>
        <w:r>
          <w:rPr>
            <w:noProof/>
            <w:webHidden/>
          </w:rPr>
          <w:fldChar w:fldCharType="end"/>
        </w:r>
      </w:hyperlink>
    </w:p>
    <w:p w14:paraId="6E001FBA" w14:textId="6BD94ED7" w:rsidR="00E666EC" w:rsidRDefault="00E666EC">
      <w:pPr>
        <w:pStyle w:val="ndicedeilustraes"/>
        <w:tabs>
          <w:tab w:val="right" w:leader="dot" w:pos="9055"/>
        </w:tabs>
        <w:rPr>
          <w:rFonts w:asciiTheme="minorHAnsi" w:eastAsiaTheme="minorEastAsia" w:hAnsiTheme="minorHAnsi" w:cstheme="minorBidi"/>
          <w:noProof/>
        </w:rPr>
      </w:pPr>
      <w:hyperlink w:anchor="_Toc167871725" w:history="1">
        <w:r w:rsidRPr="00594BD3">
          <w:rPr>
            <w:rStyle w:val="Hyperlink"/>
            <w:rFonts w:cs="Arial"/>
            <w:noProof/>
          </w:rPr>
          <w:t>Tabela 12</w:t>
        </w:r>
        <w:r>
          <w:rPr>
            <w:rFonts w:asciiTheme="minorHAnsi" w:eastAsiaTheme="minorEastAsia" w:hAnsiTheme="minorHAnsi" w:cstheme="minorBidi"/>
            <w:noProof/>
          </w:rPr>
          <w:tab/>
        </w:r>
        <w:r w:rsidRPr="00594BD3">
          <w:rPr>
            <w:rStyle w:val="Hyperlink"/>
            <w:noProof/>
          </w:rPr>
          <w:t>Encargos Especiais por Programa</w:t>
        </w:r>
        <w:r>
          <w:rPr>
            <w:noProof/>
            <w:webHidden/>
          </w:rPr>
          <w:tab/>
        </w:r>
        <w:r>
          <w:rPr>
            <w:noProof/>
            <w:webHidden/>
          </w:rPr>
          <w:fldChar w:fldCharType="begin"/>
        </w:r>
        <w:r>
          <w:rPr>
            <w:noProof/>
            <w:webHidden/>
          </w:rPr>
          <w:instrText xml:space="preserve"> PAGEREF _Toc167871725 \h </w:instrText>
        </w:r>
        <w:r>
          <w:rPr>
            <w:noProof/>
            <w:webHidden/>
          </w:rPr>
        </w:r>
        <w:r>
          <w:rPr>
            <w:noProof/>
            <w:webHidden/>
          </w:rPr>
          <w:fldChar w:fldCharType="separate"/>
        </w:r>
        <w:r>
          <w:rPr>
            <w:noProof/>
            <w:webHidden/>
          </w:rPr>
          <w:t>44</w:t>
        </w:r>
        <w:r>
          <w:rPr>
            <w:noProof/>
            <w:webHidden/>
          </w:rPr>
          <w:fldChar w:fldCharType="end"/>
        </w:r>
      </w:hyperlink>
    </w:p>
    <w:p w14:paraId="15CE0EEB" w14:textId="154EEC5A" w:rsidR="00E666EC" w:rsidRDefault="00E666EC">
      <w:pPr>
        <w:pStyle w:val="ndicedeilustraes"/>
        <w:tabs>
          <w:tab w:val="right" w:leader="dot" w:pos="9055"/>
        </w:tabs>
        <w:rPr>
          <w:rFonts w:asciiTheme="minorHAnsi" w:eastAsiaTheme="minorEastAsia" w:hAnsiTheme="minorHAnsi" w:cstheme="minorBidi"/>
          <w:noProof/>
        </w:rPr>
      </w:pPr>
      <w:hyperlink w:anchor="_Toc167871726" w:history="1">
        <w:r w:rsidRPr="00594BD3">
          <w:rPr>
            <w:rStyle w:val="Hyperlink"/>
            <w:rFonts w:cs="Arial"/>
            <w:noProof/>
          </w:rPr>
          <w:t>Tabela 13</w:t>
        </w:r>
        <w:r>
          <w:rPr>
            <w:rFonts w:asciiTheme="minorHAnsi" w:eastAsiaTheme="minorEastAsia" w:hAnsiTheme="minorHAnsi" w:cstheme="minorBidi"/>
            <w:noProof/>
          </w:rPr>
          <w:tab/>
        </w:r>
        <w:r w:rsidRPr="00594BD3">
          <w:rPr>
            <w:rStyle w:val="Hyperlink"/>
            <w:noProof/>
          </w:rPr>
          <w:t>Reservas Estaduais</w:t>
        </w:r>
        <w:r>
          <w:rPr>
            <w:noProof/>
            <w:webHidden/>
          </w:rPr>
          <w:tab/>
        </w:r>
        <w:r>
          <w:rPr>
            <w:noProof/>
            <w:webHidden/>
          </w:rPr>
          <w:fldChar w:fldCharType="begin"/>
        </w:r>
        <w:r>
          <w:rPr>
            <w:noProof/>
            <w:webHidden/>
          </w:rPr>
          <w:instrText xml:space="preserve"> PAGEREF _Toc167871726 \h </w:instrText>
        </w:r>
        <w:r>
          <w:rPr>
            <w:noProof/>
            <w:webHidden/>
          </w:rPr>
        </w:r>
        <w:r>
          <w:rPr>
            <w:noProof/>
            <w:webHidden/>
          </w:rPr>
          <w:fldChar w:fldCharType="separate"/>
        </w:r>
        <w:r>
          <w:rPr>
            <w:noProof/>
            <w:webHidden/>
          </w:rPr>
          <w:t>45</w:t>
        </w:r>
        <w:r>
          <w:rPr>
            <w:noProof/>
            <w:webHidden/>
          </w:rPr>
          <w:fldChar w:fldCharType="end"/>
        </w:r>
      </w:hyperlink>
    </w:p>
    <w:p w14:paraId="1D1F1A06" w14:textId="4C3F4D01" w:rsidR="00E666EC" w:rsidRDefault="00E666EC">
      <w:pPr>
        <w:pStyle w:val="ndicedeilustraes"/>
        <w:tabs>
          <w:tab w:val="right" w:leader="dot" w:pos="9055"/>
        </w:tabs>
        <w:rPr>
          <w:rFonts w:asciiTheme="minorHAnsi" w:eastAsiaTheme="minorEastAsia" w:hAnsiTheme="minorHAnsi" w:cstheme="minorBidi"/>
          <w:noProof/>
        </w:rPr>
      </w:pPr>
      <w:hyperlink w:anchor="_Toc167871727" w:history="1">
        <w:r w:rsidRPr="00594BD3">
          <w:rPr>
            <w:rStyle w:val="Hyperlink"/>
            <w:rFonts w:cs="Arial"/>
            <w:noProof/>
          </w:rPr>
          <w:t>Tabela 14</w:t>
        </w:r>
        <w:r>
          <w:rPr>
            <w:rFonts w:asciiTheme="minorHAnsi" w:eastAsiaTheme="minorEastAsia" w:hAnsiTheme="minorHAnsi" w:cstheme="minorBidi"/>
            <w:noProof/>
          </w:rPr>
          <w:tab/>
        </w:r>
        <w:r w:rsidRPr="00594BD3">
          <w:rPr>
            <w:rStyle w:val="Hyperlink"/>
            <w:noProof/>
          </w:rPr>
          <w:t>Orçamento Geral do Estado</w:t>
        </w:r>
        <w:r>
          <w:rPr>
            <w:noProof/>
            <w:webHidden/>
          </w:rPr>
          <w:tab/>
        </w:r>
        <w:r>
          <w:rPr>
            <w:noProof/>
            <w:webHidden/>
          </w:rPr>
          <w:fldChar w:fldCharType="begin"/>
        </w:r>
        <w:r>
          <w:rPr>
            <w:noProof/>
            <w:webHidden/>
          </w:rPr>
          <w:instrText xml:space="preserve"> PAGEREF _Toc167871727 \h </w:instrText>
        </w:r>
        <w:r>
          <w:rPr>
            <w:noProof/>
            <w:webHidden/>
          </w:rPr>
        </w:r>
        <w:r>
          <w:rPr>
            <w:noProof/>
            <w:webHidden/>
          </w:rPr>
          <w:fldChar w:fldCharType="separate"/>
        </w:r>
        <w:r>
          <w:rPr>
            <w:noProof/>
            <w:webHidden/>
          </w:rPr>
          <w:t>48</w:t>
        </w:r>
        <w:r>
          <w:rPr>
            <w:noProof/>
            <w:webHidden/>
          </w:rPr>
          <w:fldChar w:fldCharType="end"/>
        </w:r>
      </w:hyperlink>
    </w:p>
    <w:p w14:paraId="4D362B0D" w14:textId="7766E481" w:rsidR="00E666EC" w:rsidRDefault="00E666EC">
      <w:pPr>
        <w:pStyle w:val="ndicedeilustraes"/>
        <w:tabs>
          <w:tab w:val="right" w:leader="dot" w:pos="9055"/>
        </w:tabs>
        <w:rPr>
          <w:rFonts w:asciiTheme="minorHAnsi" w:eastAsiaTheme="minorEastAsia" w:hAnsiTheme="minorHAnsi" w:cstheme="minorBidi"/>
          <w:noProof/>
        </w:rPr>
      </w:pPr>
      <w:hyperlink w:anchor="_Toc167871728" w:history="1">
        <w:r w:rsidRPr="00594BD3">
          <w:rPr>
            <w:rStyle w:val="Hyperlink"/>
            <w:rFonts w:cs="Arial"/>
            <w:noProof/>
          </w:rPr>
          <w:t>Tabela 15</w:t>
        </w:r>
        <w:r>
          <w:rPr>
            <w:rFonts w:asciiTheme="minorHAnsi" w:eastAsiaTheme="minorEastAsia" w:hAnsiTheme="minorHAnsi" w:cstheme="minorBidi"/>
            <w:noProof/>
          </w:rPr>
          <w:tab/>
        </w:r>
        <w:r w:rsidRPr="00594BD3">
          <w:rPr>
            <w:rStyle w:val="Hyperlink"/>
            <w:noProof/>
          </w:rPr>
          <w:t>Orçamento Inicial por Grupos de Natureza da Despesa</w:t>
        </w:r>
        <w:r>
          <w:rPr>
            <w:noProof/>
            <w:webHidden/>
          </w:rPr>
          <w:tab/>
        </w:r>
        <w:r>
          <w:rPr>
            <w:noProof/>
            <w:webHidden/>
          </w:rPr>
          <w:fldChar w:fldCharType="begin"/>
        </w:r>
        <w:r>
          <w:rPr>
            <w:noProof/>
            <w:webHidden/>
          </w:rPr>
          <w:instrText xml:space="preserve"> PAGEREF _Toc167871728 \h </w:instrText>
        </w:r>
        <w:r>
          <w:rPr>
            <w:noProof/>
            <w:webHidden/>
          </w:rPr>
        </w:r>
        <w:r>
          <w:rPr>
            <w:noProof/>
            <w:webHidden/>
          </w:rPr>
          <w:fldChar w:fldCharType="separate"/>
        </w:r>
        <w:r>
          <w:rPr>
            <w:noProof/>
            <w:webHidden/>
          </w:rPr>
          <w:t>49</w:t>
        </w:r>
        <w:r>
          <w:rPr>
            <w:noProof/>
            <w:webHidden/>
          </w:rPr>
          <w:fldChar w:fldCharType="end"/>
        </w:r>
      </w:hyperlink>
    </w:p>
    <w:p w14:paraId="321E6784" w14:textId="19ADC732" w:rsidR="00E666EC" w:rsidRDefault="00E666EC">
      <w:pPr>
        <w:pStyle w:val="ndicedeilustraes"/>
        <w:tabs>
          <w:tab w:val="right" w:leader="dot" w:pos="9055"/>
        </w:tabs>
        <w:rPr>
          <w:rFonts w:asciiTheme="minorHAnsi" w:eastAsiaTheme="minorEastAsia" w:hAnsiTheme="minorHAnsi" w:cstheme="minorBidi"/>
          <w:noProof/>
        </w:rPr>
      </w:pPr>
      <w:hyperlink w:anchor="_Toc167871729" w:history="1">
        <w:r w:rsidRPr="00594BD3">
          <w:rPr>
            <w:rStyle w:val="Hyperlink"/>
            <w:rFonts w:cs="Arial"/>
            <w:noProof/>
          </w:rPr>
          <w:t>Tabela 16</w:t>
        </w:r>
        <w:r>
          <w:rPr>
            <w:rFonts w:asciiTheme="minorHAnsi" w:eastAsiaTheme="minorEastAsia" w:hAnsiTheme="minorHAnsi" w:cstheme="minorBidi"/>
            <w:noProof/>
          </w:rPr>
          <w:tab/>
        </w:r>
        <w:r w:rsidRPr="00594BD3">
          <w:rPr>
            <w:rStyle w:val="Hyperlink"/>
            <w:noProof/>
          </w:rPr>
          <w:t>Orçamento das Empresas Estatais Dependentes</w:t>
        </w:r>
        <w:r>
          <w:rPr>
            <w:noProof/>
            <w:webHidden/>
          </w:rPr>
          <w:tab/>
        </w:r>
        <w:r>
          <w:rPr>
            <w:noProof/>
            <w:webHidden/>
          </w:rPr>
          <w:fldChar w:fldCharType="begin"/>
        </w:r>
        <w:r>
          <w:rPr>
            <w:noProof/>
            <w:webHidden/>
          </w:rPr>
          <w:instrText xml:space="preserve"> PAGEREF _Toc167871729 \h </w:instrText>
        </w:r>
        <w:r>
          <w:rPr>
            <w:noProof/>
            <w:webHidden/>
          </w:rPr>
        </w:r>
        <w:r>
          <w:rPr>
            <w:noProof/>
            <w:webHidden/>
          </w:rPr>
          <w:fldChar w:fldCharType="separate"/>
        </w:r>
        <w:r>
          <w:rPr>
            <w:noProof/>
            <w:webHidden/>
          </w:rPr>
          <w:t>49</w:t>
        </w:r>
        <w:r>
          <w:rPr>
            <w:noProof/>
            <w:webHidden/>
          </w:rPr>
          <w:fldChar w:fldCharType="end"/>
        </w:r>
      </w:hyperlink>
    </w:p>
    <w:p w14:paraId="53760BF8" w14:textId="4C506B8B" w:rsidR="00E666EC" w:rsidRDefault="00E666EC">
      <w:pPr>
        <w:pStyle w:val="ndicedeilustraes"/>
        <w:tabs>
          <w:tab w:val="right" w:leader="dot" w:pos="9055"/>
        </w:tabs>
        <w:rPr>
          <w:rFonts w:asciiTheme="minorHAnsi" w:eastAsiaTheme="minorEastAsia" w:hAnsiTheme="minorHAnsi" w:cstheme="minorBidi"/>
          <w:noProof/>
        </w:rPr>
      </w:pPr>
      <w:hyperlink w:anchor="_Toc167871730" w:history="1">
        <w:r w:rsidRPr="00594BD3">
          <w:rPr>
            <w:rStyle w:val="Hyperlink"/>
            <w:rFonts w:cs="Arial"/>
            <w:noProof/>
          </w:rPr>
          <w:t>Tabela 17</w:t>
        </w:r>
        <w:r>
          <w:rPr>
            <w:rFonts w:asciiTheme="minorHAnsi" w:eastAsiaTheme="minorEastAsia" w:hAnsiTheme="minorHAnsi" w:cstheme="minorBidi"/>
            <w:noProof/>
          </w:rPr>
          <w:tab/>
        </w:r>
        <w:r w:rsidRPr="00594BD3">
          <w:rPr>
            <w:rStyle w:val="Hyperlink"/>
            <w:noProof/>
          </w:rPr>
          <w:t>Orçamento de Investimento</w:t>
        </w:r>
        <w:r>
          <w:rPr>
            <w:noProof/>
            <w:webHidden/>
          </w:rPr>
          <w:tab/>
        </w:r>
        <w:r>
          <w:rPr>
            <w:noProof/>
            <w:webHidden/>
          </w:rPr>
          <w:fldChar w:fldCharType="begin"/>
        </w:r>
        <w:r>
          <w:rPr>
            <w:noProof/>
            <w:webHidden/>
          </w:rPr>
          <w:instrText xml:space="preserve"> PAGEREF _Toc167871730 \h </w:instrText>
        </w:r>
        <w:r>
          <w:rPr>
            <w:noProof/>
            <w:webHidden/>
          </w:rPr>
        </w:r>
        <w:r>
          <w:rPr>
            <w:noProof/>
            <w:webHidden/>
          </w:rPr>
          <w:fldChar w:fldCharType="separate"/>
        </w:r>
        <w:r>
          <w:rPr>
            <w:noProof/>
            <w:webHidden/>
          </w:rPr>
          <w:t>49</w:t>
        </w:r>
        <w:r>
          <w:rPr>
            <w:noProof/>
            <w:webHidden/>
          </w:rPr>
          <w:fldChar w:fldCharType="end"/>
        </w:r>
      </w:hyperlink>
    </w:p>
    <w:p w14:paraId="72B5FAD6" w14:textId="724785BA" w:rsidR="00E666EC" w:rsidRDefault="00E666EC">
      <w:pPr>
        <w:pStyle w:val="ndicedeilustraes"/>
        <w:tabs>
          <w:tab w:val="right" w:leader="dot" w:pos="9055"/>
        </w:tabs>
        <w:rPr>
          <w:rFonts w:asciiTheme="minorHAnsi" w:eastAsiaTheme="minorEastAsia" w:hAnsiTheme="minorHAnsi" w:cstheme="minorBidi"/>
          <w:noProof/>
        </w:rPr>
      </w:pPr>
      <w:hyperlink w:anchor="_Toc167871731" w:history="1">
        <w:r w:rsidRPr="00594BD3">
          <w:rPr>
            <w:rStyle w:val="Hyperlink"/>
            <w:rFonts w:cs="Arial"/>
            <w:noProof/>
          </w:rPr>
          <w:t>Tabela 18</w:t>
        </w:r>
        <w:r>
          <w:rPr>
            <w:rFonts w:asciiTheme="minorHAnsi" w:eastAsiaTheme="minorEastAsia" w:hAnsiTheme="minorHAnsi" w:cstheme="minorBidi"/>
            <w:noProof/>
          </w:rPr>
          <w:tab/>
        </w:r>
        <w:r w:rsidRPr="00594BD3">
          <w:rPr>
            <w:rStyle w:val="Hyperlink"/>
            <w:noProof/>
          </w:rPr>
          <w:t>Resultado da Execução Orçamentária</w:t>
        </w:r>
        <w:r>
          <w:rPr>
            <w:noProof/>
            <w:webHidden/>
          </w:rPr>
          <w:tab/>
        </w:r>
        <w:r>
          <w:rPr>
            <w:noProof/>
            <w:webHidden/>
          </w:rPr>
          <w:fldChar w:fldCharType="begin"/>
        </w:r>
        <w:r>
          <w:rPr>
            <w:noProof/>
            <w:webHidden/>
          </w:rPr>
          <w:instrText xml:space="preserve"> PAGEREF _Toc167871731 \h </w:instrText>
        </w:r>
        <w:r>
          <w:rPr>
            <w:noProof/>
            <w:webHidden/>
          </w:rPr>
        </w:r>
        <w:r>
          <w:rPr>
            <w:noProof/>
            <w:webHidden/>
          </w:rPr>
          <w:fldChar w:fldCharType="separate"/>
        </w:r>
        <w:r>
          <w:rPr>
            <w:noProof/>
            <w:webHidden/>
          </w:rPr>
          <w:t>50</w:t>
        </w:r>
        <w:r>
          <w:rPr>
            <w:noProof/>
            <w:webHidden/>
          </w:rPr>
          <w:fldChar w:fldCharType="end"/>
        </w:r>
      </w:hyperlink>
    </w:p>
    <w:p w14:paraId="4A64EA77" w14:textId="4E12C00B" w:rsidR="00E666EC" w:rsidRDefault="00E666EC">
      <w:pPr>
        <w:pStyle w:val="ndicedeilustraes"/>
        <w:tabs>
          <w:tab w:val="right" w:leader="dot" w:pos="9055"/>
        </w:tabs>
        <w:rPr>
          <w:rFonts w:asciiTheme="minorHAnsi" w:eastAsiaTheme="minorEastAsia" w:hAnsiTheme="minorHAnsi" w:cstheme="minorBidi"/>
          <w:noProof/>
        </w:rPr>
      </w:pPr>
      <w:hyperlink w:anchor="_Toc167871732" w:history="1">
        <w:r w:rsidRPr="00594BD3">
          <w:rPr>
            <w:rStyle w:val="Hyperlink"/>
            <w:rFonts w:cs="Arial"/>
            <w:noProof/>
          </w:rPr>
          <w:t>Tabela 19</w:t>
        </w:r>
        <w:r>
          <w:rPr>
            <w:rFonts w:asciiTheme="minorHAnsi" w:eastAsiaTheme="minorEastAsia" w:hAnsiTheme="minorHAnsi" w:cstheme="minorBidi"/>
            <w:noProof/>
          </w:rPr>
          <w:tab/>
        </w:r>
        <w:r w:rsidRPr="00594BD3">
          <w:rPr>
            <w:rStyle w:val="Hyperlink"/>
            <w:noProof/>
          </w:rPr>
          <w:t>Resultado da Arrecadação por Origem de Recurso</w:t>
        </w:r>
        <w:r>
          <w:rPr>
            <w:noProof/>
            <w:webHidden/>
          </w:rPr>
          <w:tab/>
        </w:r>
        <w:r>
          <w:rPr>
            <w:noProof/>
            <w:webHidden/>
          </w:rPr>
          <w:fldChar w:fldCharType="begin"/>
        </w:r>
        <w:r>
          <w:rPr>
            <w:noProof/>
            <w:webHidden/>
          </w:rPr>
          <w:instrText xml:space="preserve"> PAGEREF _Toc167871732 \h </w:instrText>
        </w:r>
        <w:r>
          <w:rPr>
            <w:noProof/>
            <w:webHidden/>
          </w:rPr>
        </w:r>
        <w:r>
          <w:rPr>
            <w:noProof/>
            <w:webHidden/>
          </w:rPr>
          <w:fldChar w:fldCharType="separate"/>
        </w:r>
        <w:r>
          <w:rPr>
            <w:noProof/>
            <w:webHidden/>
          </w:rPr>
          <w:t>53</w:t>
        </w:r>
        <w:r>
          <w:rPr>
            <w:noProof/>
            <w:webHidden/>
          </w:rPr>
          <w:fldChar w:fldCharType="end"/>
        </w:r>
      </w:hyperlink>
    </w:p>
    <w:p w14:paraId="1C83A17D" w14:textId="426CBF07" w:rsidR="00E666EC" w:rsidRDefault="00E666EC">
      <w:pPr>
        <w:pStyle w:val="ndicedeilustraes"/>
        <w:tabs>
          <w:tab w:val="right" w:leader="dot" w:pos="9055"/>
        </w:tabs>
        <w:rPr>
          <w:rFonts w:asciiTheme="minorHAnsi" w:eastAsiaTheme="minorEastAsia" w:hAnsiTheme="minorHAnsi" w:cstheme="minorBidi"/>
          <w:noProof/>
        </w:rPr>
      </w:pPr>
      <w:hyperlink w:anchor="_Toc167871733" w:history="1">
        <w:r w:rsidRPr="00594BD3">
          <w:rPr>
            <w:rStyle w:val="Hyperlink"/>
            <w:rFonts w:cs="Arial"/>
            <w:noProof/>
          </w:rPr>
          <w:t>Tabela 20</w:t>
        </w:r>
        <w:r>
          <w:rPr>
            <w:rFonts w:asciiTheme="minorHAnsi" w:eastAsiaTheme="minorEastAsia" w:hAnsiTheme="minorHAnsi" w:cstheme="minorBidi"/>
            <w:noProof/>
          </w:rPr>
          <w:tab/>
        </w:r>
        <w:r w:rsidRPr="00594BD3">
          <w:rPr>
            <w:rStyle w:val="Hyperlink"/>
            <w:noProof/>
          </w:rPr>
          <w:t>Resultado da Arrecadação por Poder/Órgão Autônomo</w:t>
        </w:r>
        <w:r>
          <w:rPr>
            <w:noProof/>
            <w:webHidden/>
          </w:rPr>
          <w:tab/>
        </w:r>
        <w:r>
          <w:rPr>
            <w:noProof/>
            <w:webHidden/>
          </w:rPr>
          <w:fldChar w:fldCharType="begin"/>
        </w:r>
        <w:r>
          <w:rPr>
            <w:noProof/>
            <w:webHidden/>
          </w:rPr>
          <w:instrText xml:space="preserve"> PAGEREF _Toc167871733 \h </w:instrText>
        </w:r>
        <w:r>
          <w:rPr>
            <w:noProof/>
            <w:webHidden/>
          </w:rPr>
        </w:r>
        <w:r>
          <w:rPr>
            <w:noProof/>
            <w:webHidden/>
          </w:rPr>
          <w:fldChar w:fldCharType="separate"/>
        </w:r>
        <w:r>
          <w:rPr>
            <w:noProof/>
            <w:webHidden/>
          </w:rPr>
          <w:t>56</w:t>
        </w:r>
        <w:r>
          <w:rPr>
            <w:noProof/>
            <w:webHidden/>
          </w:rPr>
          <w:fldChar w:fldCharType="end"/>
        </w:r>
      </w:hyperlink>
    </w:p>
    <w:p w14:paraId="00D6EC1D" w14:textId="114D9947" w:rsidR="00E666EC" w:rsidRDefault="00E666EC">
      <w:pPr>
        <w:pStyle w:val="ndicedeilustraes"/>
        <w:tabs>
          <w:tab w:val="right" w:leader="dot" w:pos="9055"/>
        </w:tabs>
        <w:rPr>
          <w:rFonts w:asciiTheme="minorHAnsi" w:eastAsiaTheme="minorEastAsia" w:hAnsiTheme="minorHAnsi" w:cstheme="minorBidi"/>
          <w:noProof/>
        </w:rPr>
      </w:pPr>
      <w:hyperlink w:anchor="_Toc167871734" w:history="1">
        <w:r w:rsidRPr="00594BD3">
          <w:rPr>
            <w:rStyle w:val="Hyperlink"/>
            <w:rFonts w:cs="Arial"/>
            <w:noProof/>
          </w:rPr>
          <w:t>Tabela 21</w:t>
        </w:r>
        <w:r>
          <w:rPr>
            <w:rFonts w:asciiTheme="minorHAnsi" w:eastAsiaTheme="minorEastAsia" w:hAnsiTheme="minorHAnsi" w:cstheme="minorBidi"/>
            <w:noProof/>
          </w:rPr>
          <w:tab/>
        </w:r>
        <w:r w:rsidRPr="00594BD3">
          <w:rPr>
            <w:rStyle w:val="Hyperlink"/>
            <w:noProof/>
          </w:rPr>
          <w:t>Arrecadação das Empresas Dependentes</w:t>
        </w:r>
        <w:r>
          <w:rPr>
            <w:noProof/>
            <w:webHidden/>
          </w:rPr>
          <w:tab/>
        </w:r>
        <w:r>
          <w:rPr>
            <w:noProof/>
            <w:webHidden/>
          </w:rPr>
          <w:fldChar w:fldCharType="begin"/>
        </w:r>
        <w:r>
          <w:rPr>
            <w:noProof/>
            <w:webHidden/>
          </w:rPr>
          <w:instrText xml:space="preserve"> PAGEREF _Toc167871734 \h </w:instrText>
        </w:r>
        <w:r>
          <w:rPr>
            <w:noProof/>
            <w:webHidden/>
          </w:rPr>
        </w:r>
        <w:r>
          <w:rPr>
            <w:noProof/>
            <w:webHidden/>
          </w:rPr>
          <w:fldChar w:fldCharType="separate"/>
        </w:r>
        <w:r>
          <w:rPr>
            <w:noProof/>
            <w:webHidden/>
          </w:rPr>
          <w:t>56</w:t>
        </w:r>
        <w:r>
          <w:rPr>
            <w:noProof/>
            <w:webHidden/>
          </w:rPr>
          <w:fldChar w:fldCharType="end"/>
        </w:r>
      </w:hyperlink>
    </w:p>
    <w:p w14:paraId="502CD4BF" w14:textId="5FBEC670" w:rsidR="00E666EC" w:rsidRDefault="00E666EC">
      <w:pPr>
        <w:pStyle w:val="ndicedeilustraes"/>
        <w:tabs>
          <w:tab w:val="right" w:leader="dot" w:pos="9055"/>
        </w:tabs>
        <w:rPr>
          <w:rFonts w:asciiTheme="minorHAnsi" w:eastAsiaTheme="minorEastAsia" w:hAnsiTheme="minorHAnsi" w:cstheme="minorBidi"/>
          <w:noProof/>
        </w:rPr>
      </w:pPr>
      <w:hyperlink w:anchor="_Toc167871735" w:history="1">
        <w:r w:rsidRPr="00594BD3">
          <w:rPr>
            <w:rStyle w:val="Hyperlink"/>
            <w:rFonts w:cs="Arial"/>
            <w:noProof/>
          </w:rPr>
          <w:t>Tabela 22</w:t>
        </w:r>
        <w:r>
          <w:rPr>
            <w:rFonts w:asciiTheme="minorHAnsi" w:eastAsiaTheme="minorEastAsia" w:hAnsiTheme="minorHAnsi" w:cstheme="minorBidi"/>
            <w:noProof/>
          </w:rPr>
          <w:tab/>
        </w:r>
        <w:r w:rsidRPr="00594BD3">
          <w:rPr>
            <w:rStyle w:val="Hyperlink"/>
            <w:noProof/>
          </w:rPr>
          <w:t>Arrecadação por Unidade Orçamentária</w:t>
        </w:r>
        <w:r>
          <w:rPr>
            <w:noProof/>
            <w:webHidden/>
          </w:rPr>
          <w:tab/>
        </w:r>
        <w:r>
          <w:rPr>
            <w:noProof/>
            <w:webHidden/>
          </w:rPr>
          <w:fldChar w:fldCharType="begin"/>
        </w:r>
        <w:r>
          <w:rPr>
            <w:noProof/>
            <w:webHidden/>
          </w:rPr>
          <w:instrText xml:space="preserve"> PAGEREF _Toc167871735 \h </w:instrText>
        </w:r>
        <w:r>
          <w:rPr>
            <w:noProof/>
            <w:webHidden/>
          </w:rPr>
        </w:r>
        <w:r>
          <w:rPr>
            <w:noProof/>
            <w:webHidden/>
          </w:rPr>
          <w:fldChar w:fldCharType="separate"/>
        </w:r>
        <w:r>
          <w:rPr>
            <w:noProof/>
            <w:webHidden/>
          </w:rPr>
          <w:t>57</w:t>
        </w:r>
        <w:r>
          <w:rPr>
            <w:noProof/>
            <w:webHidden/>
          </w:rPr>
          <w:fldChar w:fldCharType="end"/>
        </w:r>
      </w:hyperlink>
    </w:p>
    <w:p w14:paraId="62EA96C7" w14:textId="349EC28E" w:rsidR="00E666EC" w:rsidRDefault="00E666EC">
      <w:pPr>
        <w:pStyle w:val="ndicedeilustraes"/>
        <w:tabs>
          <w:tab w:val="right" w:leader="dot" w:pos="9055"/>
        </w:tabs>
        <w:rPr>
          <w:rFonts w:asciiTheme="minorHAnsi" w:eastAsiaTheme="minorEastAsia" w:hAnsiTheme="minorHAnsi" w:cstheme="minorBidi"/>
          <w:noProof/>
        </w:rPr>
      </w:pPr>
      <w:hyperlink w:anchor="_Toc167871736" w:history="1">
        <w:r w:rsidRPr="00594BD3">
          <w:rPr>
            <w:rStyle w:val="Hyperlink"/>
            <w:rFonts w:cs="Arial"/>
            <w:noProof/>
          </w:rPr>
          <w:t>Tabela 23</w:t>
        </w:r>
        <w:r>
          <w:rPr>
            <w:rFonts w:asciiTheme="minorHAnsi" w:eastAsiaTheme="minorEastAsia" w:hAnsiTheme="minorHAnsi" w:cstheme="minorBidi"/>
            <w:noProof/>
          </w:rPr>
          <w:tab/>
        </w:r>
        <w:r w:rsidRPr="00594BD3">
          <w:rPr>
            <w:rStyle w:val="Hyperlink"/>
            <w:noProof/>
          </w:rPr>
          <w:t>Composição da Arrecadação – 2023 x 2022</w:t>
        </w:r>
        <w:r>
          <w:rPr>
            <w:noProof/>
            <w:webHidden/>
          </w:rPr>
          <w:tab/>
        </w:r>
        <w:r>
          <w:rPr>
            <w:noProof/>
            <w:webHidden/>
          </w:rPr>
          <w:fldChar w:fldCharType="begin"/>
        </w:r>
        <w:r>
          <w:rPr>
            <w:noProof/>
            <w:webHidden/>
          </w:rPr>
          <w:instrText xml:space="preserve"> PAGEREF _Toc167871736 \h </w:instrText>
        </w:r>
        <w:r>
          <w:rPr>
            <w:noProof/>
            <w:webHidden/>
          </w:rPr>
        </w:r>
        <w:r>
          <w:rPr>
            <w:noProof/>
            <w:webHidden/>
          </w:rPr>
          <w:fldChar w:fldCharType="separate"/>
        </w:r>
        <w:r>
          <w:rPr>
            <w:noProof/>
            <w:webHidden/>
          </w:rPr>
          <w:t>58</w:t>
        </w:r>
        <w:r>
          <w:rPr>
            <w:noProof/>
            <w:webHidden/>
          </w:rPr>
          <w:fldChar w:fldCharType="end"/>
        </w:r>
      </w:hyperlink>
    </w:p>
    <w:p w14:paraId="5CA72B1B" w14:textId="64C96F26" w:rsidR="00E666EC" w:rsidRDefault="00E666EC">
      <w:pPr>
        <w:pStyle w:val="ndicedeilustraes"/>
        <w:tabs>
          <w:tab w:val="right" w:leader="dot" w:pos="9055"/>
        </w:tabs>
        <w:rPr>
          <w:rFonts w:asciiTheme="minorHAnsi" w:eastAsiaTheme="minorEastAsia" w:hAnsiTheme="minorHAnsi" w:cstheme="minorBidi"/>
          <w:noProof/>
        </w:rPr>
      </w:pPr>
      <w:hyperlink w:anchor="_Toc167871737" w:history="1">
        <w:r w:rsidRPr="00594BD3">
          <w:rPr>
            <w:rStyle w:val="Hyperlink"/>
            <w:rFonts w:cs="Arial"/>
            <w:noProof/>
          </w:rPr>
          <w:t>Tabela 24</w:t>
        </w:r>
        <w:r>
          <w:rPr>
            <w:rFonts w:asciiTheme="minorHAnsi" w:eastAsiaTheme="minorEastAsia" w:hAnsiTheme="minorHAnsi" w:cstheme="minorBidi"/>
            <w:noProof/>
          </w:rPr>
          <w:tab/>
        </w:r>
        <w:r w:rsidRPr="00594BD3">
          <w:rPr>
            <w:rStyle w:val="Hyperlink"/>
            <w:noProof/>
          </w:rPr>
          <w:t>Resultado da Despesa por Grupo de Natureza</w:t>
        </w:r>
        <w:r>
          <w:rPr>
            <w:noProof/>
            <w:webHidden/>
          </w:rPr>
          <w:tab/>
        </w:r>
        <w:r>
          <w:rPr>
            <w:noProof/>
            <w:webHidden/>
          </w:rPr>
          <w:fldChar w:fldCharType="begin"/>
        </w:r>
        <w:r>
          <w:rPr>
            <w:noProof/>
            <w:webHidden/>
          </w:rPr>
          <w:instrText xml:space="preserve"> PAGEREF _Toc167871737 \h </w:instrText>
        </w:r>
        <w:r>
          <w:rPr>
            <w:noProof/>
            <w:webHidden/>
          </w:rPr>
        </w:r>
        <w:r>
          <w:rPr>
            <w:noProof/>
            <w:webHidden/>
          </w:rPr>
          <w:fldChar w:fldCharType="separate"/>
        </w:r>
        <w:r>
          <w:rPr>
            <w:noProof/>
            <w:webHidden/>
          </w:rPr>
          <w:t>59</w:t>
        </w:r>
        <w:r>
          <w:rPr>
            <w:noProof/>
            <w:webHidden/>
          </w:rPr>
          <w:fldChar w:fldCharType="end"/>
        </w:r>
      </w:hyperlink>
    </w:p>
    <w:p w14:paraId="142D8A58" w14:textId="5572F5C4" w:rsidR="00E666EC" w:rsidRDefault="00E666EC">
      <w:pPr>
        <w:pStyle w:val="ndicedeilustraes"/>
        <w:tabs>
          <w:tab w:val="right" w:leader="dot" w:pos="9055"/>
        </w:tabs>
        <w:rPr>
          <w:rFonts w:asciiTheme="minorHAnsi" w:eastAsiaTheme="minorEastAsia" w:hAnsiTheme="minorHAnsi" w:cstheme="minorBidi"/>
          <w:noProof/>
        </w:rPr>
      </w:pPr>
      <w:hyperlink w:anchor="_Toc167871738" w:history="1">
        <w:r w:rsidRPr="00594BD3">
          <w:rPr>
            <w:rStyle w:val="Hyperlink"/>
            <w:rFonts w:cs="Arial"/>
            <w:noProof/>
          </w:rPr>
          <w:t>Tabela 25</w:t>
        </w:r>
        <w:r>
          <w:rPr>
            <w:rFonts w:asciiTheme="minorHAnsi" w:eastAsiaTheme="minorEastAsia" w:hAnsiTheme="minorHAnsi" w:cstheme="minorBidi"/>
            <w:noProof/>
          </w:rPr>
          <w:tab/>
        </w:r>
        <w:r w:rsidRPr="00594BD3">
          <w:rPr>
            <w:rStyle w:val="Hyperlink"/>
            <w:noProof/>
          </w:rPr>
          <w:t>Comparação da Despesa Realizada – 2023 x 2022</w:t>
        </w:r>
        <w:r>
          <w:rPr>
            <w:noProof/>
            <w:webHidden/>
          </w:rPr>
          <w:tab/>
        </w:r>
        <w:r>
          <w:rPr>
            <w:noProof/>
            <w:webHidden/>
          </w:rPr>
          <w:fldChar w:fldCharType="begin"/>
        </w:r>
        <w:r>
          <w:rPr>
            <w:noProof/>
            <w:webHidden/>
          </w:rPr>
          <w:instrText xml:space="preserve"> PAGEREF _Toc167871738 \h </w:instrText>
        </w:r>
        <w:r>
          <w:rPr>
            <w:noProof/>
            <w:webHidden/>
          </w:rPr>
        </w:r>
        <w:r>
          <w:rPr>
            <w:noProof/>
            <w:webHidden/>
          </w:rPr>
          <w:fldChar w:fldCharType="separate"/>
        </w:r>
        <w:r>
          <w:rPr>
            <w:noProof/>
            <w:webHidden/>
          </w:rPr>
          <w:t>60</w:t>
        </w:r>
        <w:r>
          <w:rPr>
            <w:noProof/>
            <w:webHidden/>
          </w:rPr>
          <w:fldChar w:fldCharType="end"/>
        </w:r>
      </w:hyperlink>
    </w:p>
    <w:p w14:paraId="32211C26" w14:textId="39323F52" w:rsidR="00E666EC" w:rsidRDefault="00E666EC">
      <w:pPr>
        <w:pStyle w:val="ndicedeilustraes"/>
        <w:tabs>
          <w:tab w:val="right" w:leader="dot" w:pos="9055"/>
        </w:tabs>
        <w:rPr>
          <w:rFonts w:asciiTheme="minorHAnsi" w:eastAsiaTheme="minorEastAsia" w:hAnsiTheme="minorHAnsi" w:cstheme="minorBidi"/>
          <w:noProof/>
        </w:rPr>
      </w:pPr>
      <w:hyperlink w:anchor="_Toc167871739" w:history="1">
        <w:r w:rsidRPr="00594BD3">
          <w:rPr>
            <w:rStyle w:val="Hyperlink"/>
            <w:rFonts w:cs="Arial"/>
            <w:noProof/>
          </w:rPr>
          <w:t>Tabela 26</w:t>
        </w:r>
        <w:r>
          <w:rPr>
            <w:rFonts w:asciiTheme="minorHAnsi" w:eastAsiaTheme="minorEastAsia" w:hAnsiTheme="minorHAnsi" w:cstheme="minorBidi"/>
            <w:noProof/>
          </w:rPr>
          <w:tab/>
        </w:r>
        <w:r w:rsidRPr="00594BD3">
          <w:rPr>
            <w:rStyle w:val="Hyperlink"/>
            <w:noProof/>
          </w:rPr>
          <w:t>Resultado da Despesa por Poder/Órgão Autônomo</w:t>
        </w:r>
        <w:r>
          <w:rPr>
            <w:noProof/>
            <w:webHidden/>
          </w:rPr>
          <w:tab/>
        </w:r>
        <w:r>
          <w:rPr>
            <w:noProof/>
            <w:webHidden/>
          </w:rPr>
          <w:fldChar w:fldCharType="begin"/>
        </w:r>
        <w:r>
          <w:rPr>
            <w:noProof/>
            <w:webHidden/>
          </w:rPr>
          <w:instrText xml:space="preserve"> PAGEREF _Toc167871739 \h </w:instrText>
        </w:r>
        <w:r>
          <w:rPr>
            <w:noProof/>
            <w:webHidden/>
          </w:rPr>
        </w:r>
        <w:r>
          <w:rPr>
            <w:noProof/>
            <w:webHidden/>
          </w:rPr>
          <w:fldChar w:fldCharType="separate"/>
        </w:r>
        <w:r>
          <w:rPr>
            <w:noProof/>
            <w:webHidden/>
          </w:rPr>
          <w:t>62</w:t>
        </w:r>
        <w:r>
          <w:rPr>
            <w:noProof/>
            <w:webHidden/>
          </w:rPr>
          <w:fldChar w:fldCharType="end"/>
        </w:r>
      </w:hyperlink>
    </w:p>
    <w:p w14:paraId="3B41B0E7" w14:textId="6B0AE952" w:rsidR="00E666EC" w:rsidRDefault="00E666EC">
      <w:pPr>
        <w:pStyle w:val="ndicedeilustraes"/>
        <w:tabs>
          <w:tab w:val="right" w:leader="dot" w:pos="9055"/>
        </w:tabs>
        <w:rPr>
          <w:rFonts w:asciiTheme="minorHAnsi" w:eastAsiaTheme="minorEastAsia" w:hAnsiTheme="minorHAnsi" w:cstheme="minorBidi"/>
          <w:noProof/>
        </w:rPr>
      </w:pPr>
      <w:hyperlink w:anchor="_Toc167871740" w:history="1">
        <w:r w:rsidRPr="00594BD3">
          <w:rPr>
            <w:rStyle w:val="Hyperlink"/>
            <w:rFonts w:cs="Arial"/>
            <w:noProof/>
          </w:rPr>
          <w:t>Tabela 27</w:t>
        </w:r>
        <w:r>
          <w:rPr>
            <w:rFonts w:asciiTheme="minorHAnsi" w:eastAsiaTheme="minorEastAsia" w:hAnsiTheme="minorHAnsi" w:cstheme="minorBidi"/>
            <w:noProof/>
          </w:rPr>
          <w:tab/>
        </w:r>
        <w:r w:rsidRPr="00594BD3">
          <w:rPr>
            <w:rStyle w:val="Hyperlink"/>
            <w:noProof/>
          </w:rPr>
          <w:t>Despesas com Publicidade e Propaganda</w:t>
        </w:r>
        <w:r>
          <w:rPr>
            <w:noProof/>
            <w:webHidden/>
          </w:rPr>
          <w:tab/>
        </w:r>
        <w:r>
          <w:rPr>
            <w:noProof/>
            <w:webHidden/>
          </w:rPr>
          <w:fldChar w:fldCharType="begin"/>
        </w:r>
        <w:r>
          <w:rPr>
            <w:noProof/>
            <w:webHidden/>
          </w:rPr>
          <w:instrText xml:space="preserve"> PAGEREF _Toc167871740 \h </w:instrText>
        </w:r>
        <w:r>
          <w:rPr>
            <w:noProof/>
            <w:webHidden/>
          </w:rPr>
        </w:r>
        <w:r>
          <w:rPr>
            <w:noProof/>
            <w:webHidden/>
          </w:rPr>
          <w:fldChar w:fldCharType="separate"/>
        </w:r>
        <w:r>
          <w:rPr>
            <w:noProof/>
            <w:webHidden/>
          </w:rPr>
          <w:t>63</w:t>
        </w:r>
        <w:r>
          <w:rPr>
            <w:noProof/>
            <w:webHidden/>
          </w:rPr>
          <w:fldChar w:fldCharType="end"/>
        </w:r>
      </w:hyperlink>
    </w:p>
    <w:p w14:paraId="622C5240" w14:textId="1651F186" w:rsidR="00E666EC" w:rsidRDefault="00E666EC">
      <w:pPr>
        <w:pStyle w:val="ndicedeilustraes"/>
        <w:tabs>
          <w:tab w:val="right" w:leader="dot" w:pos="9055"/>
        </w:tabs>
        <w:rPr>
          <w:rFonts w:asciiTheme="minorHAnsi" w:eastAsiaTheme="minorEastAsia" w:hAnsiTheme="minorHAnsi" w:cstheme="minorBidi"/>
          <w:noProof/>
        </w:rPr>
      </w:pPr>
      <w:hyperlink w:anchor="_Toc167871741" w:history="1">
        <w:r w:rsidRPr="00594BD3">
          <w:rPr>
            <w:rStyle w:val="Hyperlink"/>
            <w:rFonts w:cs="Arial"/>
            <w:noProof/>
          </w:rPr>
          <w:t>Tabela 28</w:t>
        </w:r>
        <w:r>
          <w:rPr>
            <w:rFonts w:asciiTheme="minorHAnsi" w:eastAsiaTheme="minorEastAsia" w:hAnsiTheme="minorHAnsi" w:cstheme="minorBidi"/>
            <w:noProof/>
          </w:rPr>
          <w:tab/>
        </w:r>
        <w:r w:rsidRPr="00594BD3">
          <w:rPr>
            <w:rStyle w:val="Hyperlink"/>
            <w:noProof/>
          </w:rPr>
          <w:t>Orçamento Autorizado</w:t>
        </w:r>
        <w:r>
          <w:rPr>
            <w:noProof/>
            <w:webHidden/>
          </w:rPr>
          <w:tab/>
        </w:r>
        <w:r>
          <w:rPr>
            <w:noProof/>
            <w:webHidden/>
          </w:rPr>
          <w:fldChar w:fldCharType="begin"/>
        </w:r>
        <w:r>
          <w:rPr>
            <w:noProof/>
            <w:webHidden/>
          </w:rPr>
          <w:instrText xml:space="preserve"> PAGEREF _Toc167871741 \h </w:instrText>
        </w:r>
        <w:r>
          <w:rPr>
            <w:noProof/>
            <w:webHidden/>
          </w:rPr>
        </w:r>
        <w:r>
          <w:rPr>
            <w:noProof/>
            <w:webHidden/>
          </w:rPr>
          <w:fldChar w:fldCharType="separate"/>
        </w:r>
        <w:r>
          <w:rPr>
            <w:noProof/>
            <w:webHidden/>
          </w:rPr>
          <w:t>64</w:t>
        </w:r>
        <w:r>
          <w:rPr>
            <w:noProof/>
            <w:webHidden/>
          </w:rPr>
          <w:fldChar w:fldCharType="end"/>
        </w:r>
      </w:hyperlink>
    </w:p>
    <w:p w14:paraId="595C5444" w14:textId="2B1DDFE5" w:rsidR="00E666EC" w:rsidRDefault="00E666EC">
      <w:pPr>
        <w:pStyle w:val="ndicedeilustraes"/>
        <w:tabs>
          <w:tab w:val="right" w:leader="dot" w:pos="9055"/>
        </w:tabs>
        <w:rPr>
          <w:rFonts w:asciiTheme="minorHAnsi" w:eastAsiaTheme="minorEastAsia" w:hAnsiTheme="minorHAnsi" w:cstheme="minorBidi"/>
          <w:noProof/>
        </w:rPr>
      </w:pPr>
      <w:hyperlink w:anchor="_Toc167871742" w:history="1">
        <w:r w:rsidRPr="00594BD3">
          <w:rPr>
            <w:rStyle w:val="Hyperlink"/>
            <w:rFonts w:cs="Arial"/>
            <w:noProof/>
          </w:rPr>
          <w:t>Tabela 29</w:t>
        </w:r>
        <w:r>
          <w:rPr>
            <w:rFonts w:asciiTheme="minorHAnsi" w:eastAsiaTheme="minorEastAsia" w:hAnsiTheme="minorHAnsi" w:cstheme="minorBidi"/>
            <w:noProof/>
          </w:rPr>
          <w:tab/>
        </w:r>
        <w:r w:rsidRPr="00594BD3">
          <w:rPr>
            <w:rStyle w:val="Hyperlink"/>
            <w:noProof/>
          </w:rPr>
          <w:t>Créditos Adicionais por Origem de Recursos</w:t>
        </w:r>
        <w:r>
          <w:rPr>
            <w:noProof/>
            <w:webHidden/>
          </w:rPr>
          <w:tab/>
        </w:r>
        <w:r>
          <w:rPr>
            <w:noProof/>
            <w:webHidden/>
          </w:rPr>
          <w:fldChar w:fldCharType="begin"/>
        </w:r>
        <w:r>
          <w:rPr>
            <w:noProof/>
            <w:webHidden/>
          </w:rPr>
          <w:instrText xml:space="preserve"> PAGEREF _Toc167871742 \h </w:instrText>
        </w:r>
        <w:r>
          <w:rPr>
            <w:noProof/>
            <w:webHidden/>
          </w:rPr>
        </w:r>
        <w:r>
          <w:rPr>
            <w:noProof/>
            <w:webHidden/>
          </w:rPr>
          <w:fldChar w:fldCharType="separate"/>
        </w:r>
        <w:r>
          <w:rPr>
            <w:noProof/>
            <w:webHidden/>
          </w:rPr>
          <w:t>65</w:t>
        </w:r>
        <w:r>
          <w:rPr>
            <w:noProof/>
            <w:webHidden/>
          </w:rPr>
          <w:fldChar w:fldCharType="end"/>
        </w:r>
      </w:hyperlink>
    </w:p>
    <w:p w14:paraId="46198793" w14:textId="60D08C67" w:rsidR="00E666EC" w:rsidRDefault="00E666EC">
      <w:pPr>
        <w:pStyle w:val="ndicedeilustraes"/>
        <w:tabs>
          <w:tab w:val="right" w:leader="dot" w:pos="9055"/>
        </w:tabs>
        <w:rPr>
          <w:rFonts w:asciiTheme="minorHAnsi" w:eastAsiaTheme="minorEastAsia" w:hAnsiTheme="minorHAnsi" w:cstheme="minorBidi"/>
          <w:noProof/>
        </w:rPr>
      </w:pPr>
      <w:hyperlink w:anchor="_Toc167871743" w:history="1">
        <w:r w:rsidRPr="00594BD3">
          <w:rPr>
            <w:rStyle w:val="Hyperlink"/>
            <w:rFonts w:cs="Arial"/>
            <w:noProof/>
          </w:rPr>
          <w:t>Tabela 30</w:t>
        </w:r>
        <w:r>
          <w:rPr>
            <w:rFonts w:asciiTheme="minorHAnsi" w:eastAsiaTheme="minorEastAsia" w:hAnsiTheme="minorHAnsi" w:cstheme="minorBidi"/>
            <w:noProof/>
          </w:rPr>
          <w:tab/>
        </w:r>
        <w:r w:rsidRPr="00594BD3">
          <w:rPr>
            <w:rStyle w:val="Hyperlink"/>
            <w:noProof/>
          </w:rPr>
          <w:t>Apuração da Receita Corrente Líquida – 2019 a 2023</w:t>
        </w:r>
        <w:r>
          <w:rPr>
            <w:noProof/>
            <w:webHidden/>
          </w:rPr>
          <w:tab/>
        </w:r>
        <w:r>
          <w:rPr>
            <w:noProof/>
            <w:webHidden/>
          </w:rPr>
          <w:fldChar w:fldCharType="begin"/>
        </w:r>
        <w:r>
          <w:rPr>
            <w:noProof/>
            <w:webHidden/>
          </w:rPr>
          <w:instrText xml:space="preserve"> PAGEREF _Toc167871743 \h </w:instrText>
        </w:r>
        <w:r>
          <w:rPr>
            <w:noProof/>
            <w:webHidden/>
          </w:rPr>
        </w:r>
        <w:r>
          <w:rPr>
            <w:noProof/>
            <w:webHidden/>
          </w:rPr>
          <w:fldChar w:fldCharType="separate"/>
        </w:r>
        <w:r>
          <w:rPr>
            <w:noProof/>
            <w:webHidden/>
          </w:rPr>
          <w:t>71</w:t>
        </w:r>
        <w:r>
          <w:rPr>
            <w:noProof/>
            <w:webHidden/>
          </w:rPr>
          <w:fldChar w:fldCharType="end"/>
        </w:r>
      </w:hyperlink>
    </w:p>
    <w:p w14:paraId="5C72E832" w14:textId="3CBF8D5F" w:rsidR="00E666EC" w:rsidRDefault="00E666EC">
      <w:pPr>
        <w:pStyle w:val="ndicedeilustraes"/>
        <w:tabs>
          <w:tab w:val="right" w:leader="dot" w:pos="9055"/>
        </w:tabs>
        <w:rPr>
          <w:rFonts w:asciiTheme="minorHAnsi" w:eastAsiaTheme="minorEastAsia" w:hAnsiTheme="minorHAnsi" w:cstheme="minorBidi"/>
          <w:noProof/>
        </w:rPr>
      </w:pPr>
      <w:hyperlink w:anchor="_Toc167871744" w:history="1">
        <w:r w:rsidRPr="00594BD3">
          <w:rPr>
            <w:rStyle w:val="Hyperlink"/>
            <w:rFonts w:cs="Arial"/>
            <w:noProof/>
          </w:rPr>
          <w:t>Tabela 31</w:t>
        </w:r>
        <w:r>
          <w:rPr>
            <w:rFonts w:asciiTheme="minorHAnsi" w:eastAsiaTheme="minorEastAsia" w:hAnsiTheme="minorHAnsi" w:cstheme="minorBidi"/>
            <w:noProof/>
          </w:rPr>
          <w:tab/>
        </w:r>
        <w:r w:rsidRPr="00594BD3">
          <w:rPr>
            <w:rStyle w:val="Hyperlink"/>
            <w:noProof/>
          </w:rPr>
          <w:t>Arrecadação de Impostos Estaduais – 2023 X 2022</w:t>
        </w:r>
        <w:r>
          <w:rPr>
            <w:noProof/>
            <w:webHidden/>
          </w:rPr>
          <w:tab/>
        </w:r>
        <w:r>
          <w:rPr>
            <w:noProof/>
            <w:webHidden/>
          </w:rPr>
          <w:fldChar w:fldCharType="begin"/>
        </w:r>
        <w:r>
          <w:rPr>
            <w:noProof/>
            <w:webHidden/>
          </w:rPr>
          <w:instrText xml:space="preserve"> PAGEREF _Toc167871744 \h </w:instrText>
        </w:r>
        <w:r>
          <w:rPr>
            <w:noProof/>
            <w:webHidden/>
          </w:rPr>
        </w:r>
        <w:r>
          <w:rPr>
            <w:noProof/>
            <w:webHidden/>
          </w:rPr>
          <w:fldChar w:fldCharType="separate"/>
        </w:r>
        <w:r>
          <w:rPr>
            <w:noProof/>
            <w:webHidden/>
          </w:rPr>
          <w:t>73</w:t>
        </w:r>
        <w:r>
          <w:rPr>
            <w:noProof/>
            <w:webHidden/>
          </w:rPr>
          <w:fldChar w:fldCharType="end"/>
        </w:r>
      </w:hyperlink>
    </w:p>
    <w:p w14:paraId="3F429F2E" w14:textId="249847F4" w:rsidR="00E666EC" w:rsidRDefault="00E666EC">
      <w:pPr>
        <w:pStyle w:val="ndicedeilustraes"/>
        <w:tabs>
          <w:tab w:val="right" w:leader="dot" w:pos="9055"/>
        </w:tabs>
        <w:rPr>
          <w:rFonts w:asciiTheme="minorHAnsi" w:eastAsiaTheme="minorEastAsia" w:hAnsiTheme="minorHAnsi" w:cstheme="minorBidi"/>
          <w:noProof/>
        </w:rPr>
      </w:pPr>
      <w:hyperlink w:anchor="_Toc167871745" w:history="1">
        <w:r w:rsidRPr="00594BD3">
          <w:rPr>
            <w:rStyle w:val="Hyperlink"/>
            <w:rFonts w:cs="Arial"/>
            <w:noProof/>
          </w:rPr>
          <w:t>Tabela 32</w:t>
        </w:r>
        <w:r>
          <w:rPr>
            <w:rFonts w:asciiTheme="minorHAnsi" w:eastAsiaTheme="minorEastAsia" w:hAnsiTheme="minorHAnsi" w:cstheme="minorBidi"/>
            <w:noProof/>
          </w:rPr>
          <w:tab/>
        </w:r>
        <w:r w:rsidRPr="00594BD3">
          <w:rPr>
            <w:rStyle w:val="Hyperlink"/>
            <w:noProof/>
          </w:rPr>
          <w:t>Limites da Despesa com Pessoal</w:t>
        </w:r>
        <w:r>
          <w:rPr>
            <w:noProof/>
            <w:webHidden/>
          </w:rPr>
          <w:tab/>
        </w:r>
        <w:r>
          <w:rPr>
            <w:noProof/>
            <w:webHidden/>
          </w:rPr>
          <w:fldChar w:fldCharType="begin"/>
        </w:r>
        <w:r>
          <w:rPr>
            <w:noProof/>
            <w:webHidden/>
          </w:rPr>
          <w:instrText xml:space="preserve"> PAGEREF _Toc167871745 \h </w:instrText>
        </w:r>
        <w:r>
          <w:rPr>
            <w:noProof/>
            <w:webHidden/>
          </w:rPr>
        </w:r>
        <w:r>
          <w:rPr>
            <w:noProof/>
            <w:webHidden/>
          </w:rPr>
          <w:fldChar w:fldCharType="separate"/>
        </w:r>
        <w:r>
          <w:rPr>
            <w:noProof/>
            <w:webHidden/>
          </w:rPr>
          <w:t>75</w:t>
        </w:r>
        <w:r>
          <w:rPr>
            <w:noProof/>
            <w:webHidden/>
          </w:rPr>
          <w:fldChar w:fldCharType="end"/>
        </w:r>
      </w:hyperlink>
    </w:p>
    <w:p w14:paraId="79E17974" w14:textId="43F9C2FC" w:rsidR="00E666EC" w:rsidRDefault="00E666EC">
      <w:pPr>
        <w:pStyle w:val="ndicedeilustraes"/>
        <w:tabs>
          <w:tab w:val="right" w:leader="dot" w:pos="9055"/>
        </w:tabs>
        <w:rPr>
          <w:rFonts w:asciiTheme="minorHAnsi" w:eastAsiaTheme="minorEastAsia" w:hAnsiTheme="minorHAnsi" w:cstheme="minorBidi"/>
          <w:noProof/>
        </w:rPr>
      </w:pPr>
      <w:hyperlink w:anchor="_Toc167871746" w:history="1">
        <w:r w:rsidRPr="00594BD3">
          <w:rPr>
            <w:rStyle w:val="Hyperlink"/>
            <w:rFonts w:cs="Arial"/>
            <w:noProof/>
          </w:rPr>
          <w:t>Tabela 33</w:t>
        </w:r>
        <w:r>
          <w:rPr>
            <w:rFonts w:asciiTheme="minorHAnsi" w:eastAsiaTheme="minorEastAsia" w:hAnsiTheme="minorHAnsi" w:cstheme="minorBidi"/>
            <w:noProof/>
          </w:rPr>
          <w:tab/>
        </w:r>
        <w:r w:rsidRPr="00594BD3">
          <w:rPr>
            <w:rStyle w:val="Hyperlink"/>
            <w:noProof/>
          </w:rPr>
          <w:t>Limites da Despesa com Pessoal – Órgãos Autônomos do Poder Legislativo</w:t>
        </w:r>
        <w:r>
          <w:rPr>
            <w:noProof/>
            <w:webHidden/>
          </w:rPr>
          <w:tab/>
        </w:r>
        <w:r>
          <w:rPr>
            <w:noProof/>
            <w:webHidden/>
          </w:rPr>
          <w:fldChar w:fldCharType="begin"/>
        </w:r>
        <w:r>
          <w:rPr>
            <w:noProof/>
            <w:webHidden/>
          </w:rPr>
          <w:instrText xml:space="preserve"> PAGEREF _Toc167871746 \h </w:instrText>
        </w:r>
        <w:r>
          <w:rPr>
            <w:noProof/>
            <w:webHidden/>
          </w:rPr>
        </w:r>
        <w:r>
          <w:rPr>
            <w:noProof/>
            <w:webHidden/>
          </w:rPr>
          <w:fldChar w:fldCharType="separate"/>
        </w:r>
        <w:r>
          <w:rPr>
            <w:noProof/>
            <w:webHidden/>
          </w:rPr>
          <w:t>78</w:t>
        </w:r>
        <w:r>
          <w:rPr>
            <w:noProof/>
            <w:webHidden/>
          </w:rPr>
          <w:fldChar w:fldCharType="end"/>
        </w:r>
      </w:hyperlink>
    </w:p>
    <w:p w14:paraId="59FD5DDC" w14:textId="56A4C9A3" w:rsidR="00E666EC" w:rsidRDefault="00E666EC">
      <w:pPr>
        <w:pStyle w:val="ndicedeilustraes"/>
        <w:tabs>
          <w:tab w:val="right" w:leader="dot" w:pos="9055"/>
        </w:tabs>
        <w:rPr>
          <w:rFonts w:asciiTheme="minorHAnsi" w:eastAsiaTheme="minorEastAsia" w:hAnsiTheme="minorHAnsi" w:cstheme="minorBidi"/>
          <w:noProof/>
        </w:rPr>
      </w:pPr>
      <w:hyperlink w:anchor="_Toc167871747" w:history="1">
        <w:r w:rsidRPr="00594BD3">
          <w:rPr>
            <w:rStyle w:val="Hyperlink"/>
            <w:rFonts w:cs="Arial"/>
            <w:noProof/>
          </w:rPr>
          <w:t>Tabela 34</w:t>
        </w:r>
        <w:r>
          <w:rPr>
            <w:rFonts w:asciiTheme="minorHAnsi" w:eastAsiaTheme="minorEastAsia" w:hAnsiTheme="minorHAnsi" w:cstheme="minorBidi"/>
            <w:noProof/>
          </w:rPr>
          <w:tab/>
        </w:r>
        <w:r w:rsidRPr="00594BD3">
          <w:rPr>
            <w:rStyle w:val="Hyperlink"/>
            <w:noProof/>
          </w:rPr>
          <w:t>Apuração do Limite da Despesa com Pessoal Detalhada</w:t>
        </w:r>
        <w:r>
          <w:rPr>
            <w:noProof/>
            <w:webHidden/>
          </w:rPr>
          <w:tab/>
        </w:r>
        <w:r>
          <w:rPr>
            <w:noProof/>
            <w:webHidden/>
          </w:rPr>
          <w:fldChar w:fldCharType="begin"/>
        </w:r>
        <w:r>
          <w:rPr>
            <w:noProof/>
            <w:webHidden/>
          </w:rPr>
          <w:instrText xml:space="preserve"> PAGEREF _Toc167871747 \h </w:instrText>
        </w:r>
        <w:r>
          <w:rPr>
            <w:noProof/>
            <w:webHidden/>
          </w:rPr>
        </w:r>
        <w:r>
          <w:rPr>
            <w:noProof/>
            <w:webHidden/>
          </w:rPr>
          <w:fldChar w:fldCharType="separate"/>
        </w:r>
        <w:r>
          <w:rPr>
            <w:noProof/>
            <w:webHidden/>
          </w:rPr>
          <w:t>78</w:t>
        </w:r>
        <w:r>
          <w:rPr>
            <w:noProof/>
            <w:webHidden/>
          </w:rPr>
          <w:fldChar w:fldCharType="end"/>
        </w:r>
      </w:hyperlink>
    </w:p>
    <w:p w14:paraId="6806B189" w14:textId="1CFD3D39" w:rsidR="00E666EC" w:rsidRDefault="00E666EC">
      <w:pPr>
        <w:pStyle w:val="ndicedeilustraes"/>
        <w:tabs>
          <w:tab w:val="right" w:leader="dot" w:pos="9055"/>
        </w:tabs>
        <w:rPr>
          <w:rFonts w:asciiTheme="minorHAnsi" w:eastAsiaTheme="minorEastAsia" w:hAnsiTheme="minorHAnsi" w:cstheme="minorBidi"/>
          <w:noProof/>
        </w:rPr>
      </w:pPr>
      <w:hyperlink w:anchor="_Toc167871748" w:history="1">
        <w:r w:rsidRPr="00594BD3">
          <w:rPr>
            <w:rStyle w:val="Hyperlink"/>
            <w:rFonts w:cs="Arial"/>
            <w:noProof/>
          </w:rPr>
          <w:t>Tabela 35</w:t>
        </w:r>
        <w:r>
          <w:rPr>
            <w:rFonts w:asciiTheme="minorHAnsi" w:eastAsiaTheme="minorEastAsia" w:hAnsiTheme="minorHAnsi" w:cstheme="minorBidi"/>
            <w:noProof/>
          </w:rPr>
          <w:tab/>
        </w:r>
        <w:r w:rsidRPr="00594BD3">
          <w:rPr>
            <w:rStyle w:val="Hyperlink"/>
            <w:noProof/>
          </w:rPr>
          <w:t>Apuração Despesas com Pessoal dos Poderes e Órgãos Autônomos – 2019 a 2023</w:t>
        </w:r>
        <w:r>
          <w:rPr>
            <w:noProof/>
            <w:webHidden/>
          </w:rPr>
          <w:tab/>
        </w:r>
        <w:r>
          <w:rPr>
            <w:noProof/>
            <w:webHidden/>
          </w:rPr>
          <w:fldChar w:fldCharType="begin"/>
        </w:r>
        <w:r>
          <w:rPr>
            <w:noProof/>
            <w:webHidden/>
          </w:rPr>
          <w:instrText xml:space="preserve"> PAGEREF _Toc167871748 \h </w:instrText>
        </w:r>
        <w:r>
          <w:rPr>
            <w:noProof/>
            <w:webHidden/>
          </w:rPr>
        </w:r>
        <w:r>
          <w:rPr>
            <w:noProof/>
            <w:webHidden/>
          </w:rPr>
          <w:fldChar w:fldCharType="separate"/>
        </w:r>
        <w:r>
          <w:rPr>
            <w:noProof/>
            <w:webHidden/>
          </w:rPr>
          <w:t>80</w:t>
        </w:r>
        <w:r>
          <w:rPr>
            <w:noProof/>
            <w:webHidden/>
          </w:rPr>
          <w:fldChar w:fldCharType="end"/>
        </w:r>
      </w:hyperlink>
    </w:p>
    <w:p w14:paraId="63D5D532" w14:textId="5A6017D7" w:rsidR="00E666EC" w:rsidRDefault="00E666EC">
      <w:pPr>
        <w:pStyle w:val="ndicedeilustraes"/>
        <w:tabs>
          <w:tab w:val="right" w:leader="dot" w:pos="9055"/>
        </w:tabs>
        <w:rPr>
          <w:rFonts w:asciiTheme="minorHAnsi" w:eastAsiaTheme="minorEastAsia" w:hAnsiTheme="minorHAnsi" w:cstheme="minorBidi"/>
          <w:noProof/>
        </w:rPr>
      </w:pPr>
      <w:hyperlink w:anchor="_Toc167871749" w:history="1">
        <w:r w:rsidRPr="00594BD3">
          <w:rPr>
            <w:rStyle w:val="Hyperlink"/>
            <w:rFonts w:cs="Arial"/>
            <w:noProof/>
          </w:rPr>
          <w:t>Tabela 36</w:t>
        </w:r>
        <w:r>
          <w:rPr>
            <w:rFonts w:asciiTheme="minorHAnsi" w:eastAsiaTheme="minorEastAsia" w:hAnsiTheme="minorHAnsi" w:cstheme="minorBidi"/>
            <w:noProof/>
          </w:rPr>
          <w:tab/>
        </w:r>
        <w:r w:rsidRPr="00594BD3">
          <w:rPr>
            <w:rStyle w:val="Hyperlink"/>
            <w:noProof/>
          </w:rPr>
          <w:t>Despesas Bruta com Pessoal dos Poderes e Órgãos Autônomos</w:t>
        </w:r>
        <w:r>
          <w:rPr>
            <w:noProof/>
            <w:webHidden/>
          </w:rPr>
          <w:tab/>
        </w:r>
        <w:r>
          <w:rPr>
            <w:noProof/>
            <w:webHidden/>
          </w:rPr>
          <w:fldChar w:fldCharType="begin"/>
        </w:r>
        <w:r>
          <w:rPr>
            <w:noProof/>
            <w:webHidden/>
          </w:rPr>
          <w:instrText xml:space="preserve"> PAGEREF _Toc167871749 \h </w:instrText>
        </w:r>
        <w:r>
          <w:rPr>
            <w:noProof/>
            <w:webHidden/>
          </w:rPr>
        </w:r>
        <w:r>
          <w:rPr>
            <w:noProof/>
            <w:webHidden/>
          </w:rPr>
          <w:fldChar w:fldCharType="separate"/>
        </w:r>
        <w:r>
          <w:rPr>
            <w:noProof/>
            <w:webHidden/>
          </w:rPr>
          <w:t>82</w:t>
        </w:r>
        <w:r>
          <w:rPr>
            <w:noProof/>
            <w:webHidden/>
          </w:rPr>
          <w:fldChar w:fldCharType="end"/>
        </w:r>
      </w:hyperlink>
    </w:p>
    <w:p w14:paraId="1D60C5BE" w14:textId="0B1BBEAE" w:rsidR="00E666EC" w:rsidRDefault="00E666EC">
      <w:pPr>
        <w:pStyle w:val="ndicedeilustraes"/>
        <w:tabs>
          <w:tab w:val="right" w:leader="dot" w:pos="9055"/>
        </w:tabs>
        <w:rPr>
          <w:rFonts w:asciiTheme="minorHAnsi" w:eastAsiaTheme="minorEastAsia" w:hAnsiTheme="minorHAnsi" w:cstheme="minorBidi"/>
          <w:noProof/>
        </w:rPr>
      </w:pPr>
      <w:hyperlink w:anchor="_Toc167871750" w:history="1">
        <w:r w:rsidRPr="00594BD3">
          <w:rPr>
            <w:rStyle w:val="Hyperlink"/>
            <w:rFonts w:cs="Arial"/>
            <w:noProof/>
          </w:rPr>
          <w:t>Tabela 37</w:t>
        </w:r>
        <w:r>
          <w:rPr>
            <w:rFonts w:asciiTheme="minorHAnsi" w:eastAsiaTheme="minorEastAsia" w:hAnsiTheme="minorHAnsi" w:cstheme="minorBidi"/>
            <w:noProof/>
          </w:rPr>
          <w:tab/>
        </w:r>
        <w:r w:rsidRPr="00594BD3">
          <w:rPr>
            <w:rStyle w:val="Hyperlink"/>
            <w:noProof/>
          </w:rPr>
          <w:t>Dívida Consolidada – 2019 a 2023</w:t>
        </w:r>
        <w:r>
          <w:rPr>
            <w:noProof/>
            <w:webHidden/>
          </w:rPr>
          <w:tab/>
        </w:r>
        <w:r>
          <w:rPr>
            <w:noProof/>
            <w:webHidden/>
          </w:rPr>
          <w:fldChar w:fldCharType="begin"/>
        </w:r>
        <w:r>
          <w:rPr>
            <w:noProof/>
            <w:webHidden/>
          </w:rPr>
          <w:instrText xml:space="preserve"> PAGEREF _Toc167871750 \h </w:instrText>
        </w:r>
        <w:r>
          <w:rPr>
            <w:noProof/>
            <w:webHidden/>
          </w:rPr>
        </w:r>
        <w:r>
          <w:rPr>
            <w:noProof/>
            <w:webHidden/>
          </w:rPr>
          <w:fldChar w:fldCharType="separate"/>
        </w:r>
        <w:r>
          <w:rPr>
            <w:noProof/>
            <w:webHidden/>
          </w:rPr>
          <w:t>85</w:t>
        </w:r>
        <w:r>
          <w:rPr>
            <w:noProof/>
            <w:webHidden/>
          </w:rPr>
          <w:fldChar w:fldCharType="end"/>
        </w:r>
      </w:hyperlink>
    </w:p>
    <w:p w14:paraId="248ED70D" w14:textId="1D99727C" w:rsidR="00E666EC" w:rsidRDefault="00E666EC">
      <w:pPr>
        <w:pStyle w:val="ndicedeilustraes"/>
        <w:tabs>
          <w:tab w:val="right" w:leader="dot" w:pos="9055"/>
        </w:tabs>
        <w:rPr>
          <w:rFonts w:asciiTheme="minorHAnsi" w:eastAsiaTheme="minorEastAsia" w:hAnsiTheme="minorHAnsi" w:cstheme="minorBidi"/>
          <w:noProof/>
        </w:rPr>
      </w:pPr>
      <w:hyperlink w:anchor="_Toc167871751" w:history="1">
        <w:r w:rsidRPr="00594BD3">
          <w:rPr>
            <w:rStyle w:val="Hyperlink"/>
            <w:rFonts w:cs="Arial"/>
            <w:noProof/>
          </w:rPr>
          <w:t>Tabela 38</w:t>
        </w:r>
        <w:r>
          <w:rPr>
            <w:rFonts w:asciiTheme="minorHAnsi" w:eastAsiaTheme="minorEastAsia" w:hAnsiTheme="minorHAnsi" w:cstheme="minorBidi"/>
            <w:noProof/>
          </w:rPr>
          <w:tab/>
        </w:r>
        <w:r w:rsidRPr="00594BD3">
          <w:rPr>
            <w:rStyle w:val="Hyperlink"/>
            <w:noProof/>
          </w:rPr>
          <w:t>Serviços da Dívida – 2019 a 2023</w:t>
        </w:r>
        <w:r>
          <w:rPr>
            <w:noProof/>
            <w:webHidden/>
          </w:rPr>
          <w:tab/>
        </w:r>
        <w:r>
          <w:rPr>
            <w:noProof/>
            <w:webHidden/>
          </w:rPr>
          <w:fldChar w:fldCharType="begin"/>
        </w:r>
        <w:r>
          <w:rPr>
            <w:noProof/>
            <w:webHidden/>
          </w:rPr>
          <w:instrText xml:space="preserve"> PAGEREF _Toc167871751 \h </w:instrText>
        </w:r>
        <w:r>
          <w:rPr>
            <w:noProof/>
            <w:webHidden/>
          </w:rPr>
        </w:r>
        <w:r>
          <w:rPr>
            <w:noProof/>
            <w:webHidden/>
          </w:rPr>
          <w:fldChar w:fldCharType="separate"/>
        </w:r>
        <w:r>
          <w:rPr>
            <w:noProof/>
            <w:webHidden/>
          </w:rPr>
          <w:t>89</w:t>
        </w:r>
        <w:r>
          <w:rPr>
            <w:noProof/>
            <w:webHidden/>
          </w:rPr>
          <w:fldChar w:fldCharType="end"/>
        </w:r>
      </w:hyperlink>
    </w:p>
    <w:p w14:paraId="16DCDD13" w14:textId="7176C53E" w:rsidR="00E666EC" w:rsidRDefault="00E666EC">
      <w:pPr>
        <w:pStyle w:val="ndicedeilustraes"/>
        <w:tabs>
          <w:tab w:val="right" w:leader="dot" w:pos="9055"/>
        </w:tabs>
        <w:rPr>
          <w:rFonts w:asciiTheme="minorHAnsi" w:eastAsiaTheme="minorEastAsia" w:hAnsiTheme="minorHAnsi" w:cstheme="minorBidi"/>
          <w:noProof/>
        </w:rPr>
      </w:pPr>
      <w:hyperlink w:anchor="_Toc167871752" w:history="1">
        <w:r w:rsidRPr="00594BD3">
          <w:rPr>
            <w:rStyle w:val="Hyperlink"/>
            <w:rFonts w:cs="Arial"/>
            <w:noProof/>
          </w:rPr>
          <w:t>Tabela 39</w:t>
        </w:r>
        <w:r>
          <w:rPr>
            <w:rFonts w:asciiTheme="minorHAnsi" w:eastAsiaTheme="minorEastAsia" w:hAnsiTheme="minorHAnsi" w:cstheme="minorBidi"/>
            <w:noProof/>
          </w:rPr>
          <w:tab/>
        </w:r>
        <w:r w:rsidRPr="00594BD3">
          <w:rPr>
            <w:rStyle w:val="Hyperlink"/>
            <w:noProof/>
          </w:rPr>
          <w:t>Limites Legais de Endividamento</w:t>
        </w:r>
        <w:r>
          <w:rPr>
            <w:noProof/>
            <w:webHidden/>
          </w:rPr>
          <w:tab/>
        </w:r>
        <w:r>
          <w:rPr>
            <w:noProof/>
            <w:webHidden/>
          </w:rPr>
          <w:fldChar w:fldCharType="begin"/>
        </w:r>
        <w:r>
          <w:rPr>
            <w:noProof/>
            <w:webHidden/>
          </w:rPr>
          <w:instrText xml:space="preserve"> PAGEREF _Toc167871752 \h </w:instrText>
        </w:r>
        <w:r>
          <w:rPr>
            <w:noProof/>
            <w:webHidden/>
          </w:rPr>
        </w:r>
        <w:r>
          <w:rPr>
            <w:noProof/>
            <w:webHidden/>
          </w:rPr>
          <w:fldChar w:fldCharType="separate"/>
        </w:r>
        <w:r>
          <w:rPr>
            <w:noProof/>
            <w:webHidden/>
          </w:rPr>
          <w:t>92</w:t>
        </w:r>
        <w:r>
          <w:rPr>
            <w:noProof/>
            <w:webHidden/>
          </w:rPr>
          <w:fldChar w:fldCharType="end"/>
        </w:r>
      </w:hyperlink>
    </w:p>
    <w:p w14:paraId="3219E317" w14:textId="3AD598B5" w:rsidR="00E666EC" w:rsidRDefault="00E666EC">
      <w:pPr>
        <w:pStyle w:val="ndicedeilustraes"/>
        <w:tabs>
          <w:tab w:val="right" w:leader="dot" w:pos="9055"/>
        </w:tabs>
        <w:rPr>
          <w:rFonts w:asciiTheme="minorHAnsi" w:eastAsiaTheme="minorEastAsia" w:hAnsiTheme="minorHAnsi" w:cstheme="minorBidi"/>
          <w:noProof/>
        </w:rPr>
      </w:pPr>
      <w:hyperlink w:anchor="_Toc167871753" w:history="1">
        <w:r w:rsidRPr="00594BD3">
          <w:rPr>
            <w:rStyle w:val="Hyperlink"/>
            <w:rFonts w:cs="Arial"/>
            <w:noProof/>
          </w:rPr>
          <w:t>Tabela 40</w:t>
        </w:r>
        <w:r>
          <w:rPr>
            <w:rFonts w:asciiTheme="minorHAnsi" w:eastAsiaTheme="minorEastAsia" w:hAnsiTheme="minorHAnsi" w:cstheme="minorBidi"/>
            <w:noProof/>
          </w:rPr>
          <w:tab/>
        </w:r>
        <w:r w:rsidRPr="00594BD3">
          <w:rPr>
            <w:rStyle w:val="Hyperlink"/>
            <w:noProof/>
          </w:rPr>
          <w:t>Dívida Consolidada Precatórios – 2019 a 2023</w:t>
        </w:r>
        <w:r>
          <w:rPr>
            <w:noProof/>
            <w:webHidden/>
          </w:rPr>
          <w:tab/>
        </w:r>
        <w:r>
          <w:rPr>
            <w:noProof/>
            <w:webHidden/>
          </w:rPr>
          <w:fldChar w:fldCharType="begin"/>
        </w:r>
        <w:r>
          <w:rPr>
            <w:noProof/>
            <w:webHidden/>
          </w:rPr>
          <w:instrText xml:space="preserve"> PAGEREF _Toc167871753 \h </w:instrText>
        </w:r>
        <w:r>
          <w:rPr>
            <w:noProof/>
            <w:webHidden/>
          </w:rPr>
        </w:r>
        <w:r>
          <w:rPr>
            <w:noProof/>
            <w:webHidden/>
          </w:rPr>
          <w:fldChar w:fldCharType="separate"/>
        </w:r>
        <w:r>
          <w:rPr>
            <w:noProof/>
            <w:webHidden/>
          </w:rPr>
          <w:t>94</w:t>
        </w:r>
        <w:r>
          <w:rPr>
            <w:noProof/>
            <w:webHidden/>
          </w:rPr>
          <w:fldChar w:fldCharType="end"/>
        </w:r>
      </w:hyperlink>
    </w:p>
    <w:p w14:paraId="2629C43F" w14:textId="0CC9B088" w:rsidR="00E666EC" w:rsidRDefault="00E666EC">
      <w:pPr>
        <w:pStyle w:val="ndicedeilustraes"/>
        <w:tabs>
          <w:tab w:val="right" w:leader="dot" w:pos="9055"/>
        </w:tabs>
        <w:rPr>
          <w:rFonts w:asciiTheme="minorHAnsi" w:eastAsiaTheme="minorEastAsia" w:hAnsiTheme="minorHAnsi" w:cstheme="minorBidi"/>
          <w:noProof/>
        </w:rPr>
      </w:pPr>
      <w:hyperlink w:anchor="_Toc167871754" w:history="1">
        <w:r w:rsidRPr="00594BD3">
          <w:rPr>
            <w:rStyle w:val="Hyperlink"/>
            <w:rFonts w:cs="Arial"/>
            <w:noProof/>
          </w:rPr>
          <w:t>Tabela 41</w:t>
        </w:r>
        <w:r>
          <w:rPr>
            <w:rFonts w:asciiTheme="minorHAnsi" w:eastAsiaTheme="minorEastAsia" w:hAnsiTheme="minorHAnsi" w:cstheme="minorBidi"/>
            <w:noProof/>
          </w:rPr>
          <w:tab/>
        </w:r>
        <w:r w:rsidRPr="00594BD3">
          <w:rPr>
            <w:rStyle w:val="Hyperlink"/>
            <w:noProof/>
          </w:rPr>
          <w:t>Precatórios de Natureza Comum e Alimentar</w:t>
        </w:r>
        <w:r>
          <w:rPr>
            <w:noProof/>
            <w:webHidden/>
          </w:rPr>
          <w:tab/>
        </w:r>
        <w:r>
          <w:rPr>
            <w:noProof/>
            <w:webHidden/>
          </w:rPr>
          <w:fldChar w:fldCharType="begin"/>
        </w:r>
        <w:r>
          <w:rPr>
            <w:noProof/>
            <w:webHidden/>
          </w:rPr>
          <w:instrText xml:space="preserve"> PAGEREF _Toc167871754 \h </w:instrText>
        </w:r>
        <w:r>
          <w:rPr>
            <w:noProof/>
            <w:webHidden/>
          </w:rPr>
        </w:r>
        <w:r>
          <w:rPr>
            <w:noProof/>
            <w:webHidden/>
          </w:rPr>
          <w:fldChar w:fldCharType="separate"/>
        </w:r>
        <w:r>
          <w:rPr>
            <w:noProof/>
            <w:webHidden/>
          </w:rPr>
          <w:t>95</w:t>
        </w:r>
        <w:r>
          <w:rPr>
            <w:noProof/>
            <w:webHidden/>
          </w:rPr>
          <w:fldChar w:fldCharType="end"/>
        </w:r>
      </w:hyperlink>
    </w:p>
    <w:p w14:paraId="2B5A6507" w14:textId="78C7BB52" w:rsidR="00E666EC" w:rsidRDefault="00E666EC">
      <w:pPr>
        <w:pStyle w:val="ndicedeilustraes"/>
        <w:tabs>
          <w:tab w:val="right" w:leader="dot" w:pos="9055"/>
        </w:tabs>
        <w:rPr>
          <w:rFonts w:asciiTheme="minorHAnsi" w:eastAsiaTheme="minorEastAsia" w:hAnsiTheme="minorHAnsi" w:cstheme="minorBidi"/>
          <w:noProof/>
        </w:rPr>
      </w:pPr>
      <w:hyperlink w:anchor="_Toc167871755" w:history="1">
        <w:r w:rsidRPr="00594BD3">
          <w:rPr>
            <w:rStyle w:val="Hyperlink"/>
            <w:rFonts w:cs="Arial"/>
            <w:noProof/>
          </w:rPr>
          <w:t>Tabela 42</w:t>
        </w:r>
        <w:r>
          <w:rPr>
            <w:rFonts w:asciiTheme="minorHAnsi" w:eastAsiaTheme="minorEastAsia" w:hAnsiTheme="minorHAnsi" w:cstheme="minorBidi"/>
            <w:noProof/>
          </w:rPr>
          <w:tab/>
        </w:r>
        <w:r w:rsidRPr="00594BD3">
          <w:rPr>
            <w:rStyle w:val="Hyperlink"/>
            <w:noProof/>
          </w:rPr>
          <w:t>Precatórios de Natureza Comum e Alimentar por Exercício – 2019 a 2023</w:t>
        </w:r>
        <w:r>
          <w:rPr>
            <w:noProof/>
            <w:webHidden/>
          </w:rPr>
          <w:tab/>
        </w:r>
        <w:r>
          <w:rPr>
            <w:noProof/>
            <w:webHidden/>
          </w:rPr>
          <w:fldChar w:fldCharType="begin"/>
        </w:r>
        <w:r>
          <w:rPr>
            <w:noProof/>
            <w:webHidden/>
          </w:rPr>
          <w:instrText xml:space="preserve"> PAGEREF _Toc167871755 \h </w:instrText>
        </w:r>
        <w:r>
          <w:rPr>
            <w:noProof/>
            <w:webHidden/>
          </w:rPr>
        </w:r>
        <w:r>
          <w:rPr>
            <w:noProof/>
            <w:webHidden/>
          </w:rPr>
          <w:fldChar w:fldCharType="separate"/>
        </w:r>
        <w:r>
          <w:rPr>
            <w:noProof/>
            <w:webHidden/>
          </w:rPr>
          <w:t>95</w:t>
        </w:r>
        <w:r>
          <w:rPr>
            <w:noProof/>
            <w:webHidden/>
          </w:rPr>
          <w:fldChar w:fldCharType="end"/>
        </w:r>
      </w:hyperlink>
    </w:p>
    <w:p w14:paraId="45E2839A" w14:textId="388E907D" w:rsidR="00E666EC" w:rsidRDefault="00E666EC">
      <w:pPr>
        <w:pStyle w:val="ndicedeilustraes"/>
        <w:tabs>
          <w:tab w:val="right" w:leader="dot" w:pos="9055"/>
        </w:tabs>
        <w:rPr>
          <w:rFonts w:asciiTheme="minorHAnsi" w:eastAsiaTheme="minorEastAsia" w:hAnsiTheme="minorHAnsi" w:cstheme="minorBidi"/>
          <w:noProof/>
        </w:rPr>
      </w:pPr>
      <w:hyperlink w:anchor="_Toc167871756" w:history="1">
        <w:r w:rsidRPr="00594BD3">
          <w:rPr>
            <w:rStyle w:val="Hyperlink"/>
            <w:rFonts w:cs="Arial"/>
            <w:noProof/>
          </w:rPr>
          <w:t>Tabela 43</w:t>
        </w:r>
        <w:r>
          <w:rPr>
            <w:rFonts w:asciiTheme="minorHAnsi" w:eastAsiaTheme="minorEastAsia" w:hAnsiTheme="minorHAnsi" w:cstheme="minorBidi"/>
            <w:noProof/>
          </w:rPr>
          <w:tab/>
        </w:r>
        <w:r w:rsidRPr="00594BD3">
          <w:rPr>
            <w:rStyle w:val="Hyperlink"/>
            <w:noProof/>
          </w:rPr>
          <w:t>Metas Fiscais Previstas</w:t>
        </w:r>
        <w:r>
          <w:rPr>
            <w:noProof/>
            <w:webHidden/>
          </w:rPr>
          <w:tab/>
        </w:r>
        <w:r>
          <w:rPr>
            <w:noProof/>
            <w:webHidden/>
          </w:rPr>
          <w:fldChar w:fldCharType="begin"/>
        </w:r>
        <w:r>
          <w:rPr>
            <w:noProof/>
            <w:webHidden/>
          </w:rPr>
          <w:instrText xml:space="preserve"> PAGEREF _Toc167871756 \h </w:instrText>
        </w:r>
        <w:r>
          <w:rPr>
            <w:noProof/>
            <w:webHidden/>
          </w:rPr>
        </w:r>
        <w:r>
          <w:rPr>
            <w:noProof/>
            <w:webHidden/>
          </w:rPr>
          <w:fldChar w:fldCharType="separate"/>
        </w:r>
        <w:r>
          <w:rPr>
            <w:noProof/>
            <w:webHidden/>
          </w:rPr>
          <w:t>97</w:t>
        </w:r>
        <w:r>
          <w:rPr>
            <w:noProof/>
            <w:webHidden/>
          </w:rPr>
          <w:fldChar w:fldCharType="end"/>
        </w:r>
      </w:hyperlink>
    </w:p>
    <w:p w14:paraId="1DDF7E6B" w14:textId="63BD85B6" w:rsidR="00E666EC" w:rsidRDefault="00E666EC">
      <w:pPr>
        <w:pStyle w:val="ndicedeilustraes"/>
        <w:tabs>
          <w:tab w:val="right" w:leader="dot" w:pos="9055"/>
        </w:tabs>
        <w:rPr>
          <w:rFonts w:asciiTheme="minorHAnsi" w:eastAsiaTheme="minorEastAsia" w:hAnsiTheme="minorHAnsi" w:cstheme="minorBidi"/>
          <w:noProof/>
        </w:rPr>
      </w:pPr>
      <w:hyperlink w:anchor="_Toc167871757" w:history="1">
        <w:r w:rsidRPr="00594BD3">
          <w:rPr>
            <w:rStyle w:val="Hyperlink"/>
            <w:rFonts w:cs="Arial"/>
            <w:noProof/>
          </w:rPr>
          <w:t>Tabela 44</w:t>
        </w:r>
        <w:r>
          <w:rPr>
            <w:rFonts w:asciiTheme="minorHAnsi" w:eastAsiaTheme="minorEastAsia" w:hAnsiTheme="minorHAnsi" w:cstheme="minorBidi"/>
            <w:noProof/>
          </w:rPr>
          <w:tab/>
        </w:r>
        <w:r w:rsidRPr="00594BD3">
          <w:rPr>
            <w:rStyle w:val="Hyperlink"/>
            <w:noProof/>
          </w:rPr>
          <w:t>Resultado Primário</w:t>
        </w:r>
        <w:r>
          <w:rPr>
            <w:noProof/>
            <w:webHidden/>
          </w:rPr>
          <w:tab/>
        </w:r>
        <w:r>
          <w:rPr>
            <w:noProof/>
            <w:webHidden/>
          </w:rPr>
          <w:fldChar w:fldCharType="begin"/>
        </w:r>
        <w:r>
          <w:rPr>
            <w:noProof/>
            <w:webHidden/>
          </w:rPr>
          <w:instrText xml:space="preserve"> PAGEREF _Toc167871757 \h </w:instrText>
        </w:r>
        <w:r>
          <w:rPr>
            <w:noProof/>
            <w:webHidden/>
          </w:rPr>
        </w:r>
        <w:r>
          <w:rPr>
            <w:noProof/>
            <w:webHidden/>
          </w:rPr>
          <w:fldChar w:fldCharType="separate"/>
        </w:r>
        <w:r>
          <w:rPr>
            <w:noProof/>
            <w:webHidden/>
          </w:rPr>
          <w:t>98</w:t>
        </w:r>
        <w:r>
          <w:rPr>
            <w:noProof/>
            <w:webHidden/>
          </w:rPr>
          <w:fldChar w:fldCharType="end"/>
        </w:r>
      </w:hyperlink>
    </w:p>
    <w:p w14:paraId="22018FB0" w14:textId="3DA6FF6E" w:rsidR="00E666EC" w:rsidRDefault="00E666EC">
      <w:pPr>
        <w:pStyle w:val="ndicedeilustraes"/>
        <w:tabs>
          <w:tab w:val="right" w:leader="dot" w:pos="9055"/>
        </w:tabs>
        <w:rPr>
          <w:rFonts w:asciiTheme="minorHAnsi" w:eastAsiaTheme="minorEastAsia" w:hAnsiTheme="minorHAnsi" w:cstheme="minorBidi"/>
          <w:noProof/>
        </w:rPr>
      </w:pPr>
      <w:hyperlink w:anchor="_Toc167871758" w:history="1">
        <w:r w:rsidRPr="00594BD3">
          <w:rPr>
            <w:rStyle w:val="Hyperlink"/>
            <w:rFonts w:cs="Arial"/>
            <w:noProof/>
          </w:rPr>
          <w:t>Tabela 45</w:t>
        </w:r>
        <w:r>
          <w:rPr>
            <w:rFonts w:asciiTheme="minorHAnsi" w:eastAsiaTheme="minorEastAsia" w:hAnsiTheme="minorHAnsi" w:cstheme="minorBidi"/>
            <w:noProof/>
          </w:rPr>
          <w:tab/>
        </w:r>
        <w:r w:rsidRPr="00594BD3">
          <w:rPr>
            <w:rStyle w:val="Hyperlink"/>
            <w:noProof/>
          </w:rPr>
          <w:t>Resultado Primário – 2019 a 2023</w:t>
        </w:r>
        <w:r>
          <w:rPr>
            <w:noProof/>
            <w:webHidden/>
          </w:rPr>
          <w:tab/>
        </w:r>
        <w:r>
          <w:rPr>
            <w:noProof/>
            <w:webHidden/>
          </w:rPr>
          <w:fldChar w:fldCharType="begin"/>
        </w:r>
        <w:r>
          <w:rPr>
            <w:noProof/>
            <w:webHidden/>
          </w:rPr>
          <w:instrText xml:space="preserve"> PAGEREF _Toc167871758 \h </w:instrText>
        </w:r>
        <w:r>
          <w:rPr>
            <w:noProof/>
            <w:webHidden/>
          </w:rPr>
        </w:r>
        <w:r>
          <w:rPr>
            <w:noProof/>
            <w:webHidden/>
          </w:rPr>
          <w:fldChar w:fldCharType="separate"/>
        </w:r>
        <w:r>
          <w:rPr>
            <w:noProof/>
            <w:webHidden/>
          </w:rPr>
          <w:t>98</w:t>
        </w:r>
        <w:r>
          <w:rPr>
            <w:noProof/>
            <w:webHidden/>
          </w:rPr>
          <w:fldChar w:fldCharType="end"/>
        </w:r>
      </w:hyperlink>
    </w:p>
    <w:p w14:paraId="30F20AFC" w14:textId="778A29A0" w:rsidR="00E666EC" w:rsidRDefault="00E666EC">
      <w:pPr>
        <w:pStyle w:val="ndicedeilustraes"/>
        <w:tabs>
          <w:tab w:val="right" w:leader="dot" w:pos="9055"/>
        </w:tabs>
        <w:rPr>
          <w:rFonts w:asciiTheme="minorHAnsi" w:eastAsiaTheme="minorEastAsia" w:hAnsiTheme="minorHAnsi" w:cstheme="minorBidi"/>
          <w:noProof/>
        </w:rPr>
      </w:pPr>
      <w:hyperlink w:anchor="_Toc167871759" w:history="1">
        <w:r w:rsidRPr="00594BD3">
          <w:rPr>
            <w:rStyle w:val="Hyperlink"/>
            <w:rFonts w:cs="Arial"/>
            <w:noProof/>
          </w:rPr>
          <w:t>Tabela 46</w:t>
        </w:r>
        <w:r>
          <w:rPr>
            <w:rFonts w:asciiTheme="minorHAnsi" w:eastAsiaTheme="minorEastAsia" w:hAnsiTheme="minorHAnsi" w:cstheme="minorBidi"/>
            <w:noProof/>
          </w:rPr>
          <w:tab/>
        </w:r>
        <w:r w:rsidRPr="00594BD3">
          <w:rPr>
            <w:rStyle w:val="Hyperlink"/>
            <w:noProof/>
          </w:rPr>
          <w:t>Resultado Nominal</w:t>
        </w:r>
        <w:r>
          <w:rPr>
            <w:noProof/>
            <w:webHidden/>
          </w:rPr>
          <w:tab/>
        </w:r>
        <w:r>
          <w:rPr>
            <w:noProof/>
            <w:webHidden/>
          </w:rPr>
          <w:fldChar w:fldCharType="begin"/>
        </w:r>
        <w:r>
          <w:rPr>
            <w:noProof/>
            <w:webHidden/>
          </w:rPr>
          <w:instrText xml:space="preserve"> PAGEREF _Toc167871759 \h </w:instrText>
        </w:r>
        <w:r>
          <w:rPr>
            <w:noProof/>
            <w:webHidden/>
          </w:rPr>
        </w:r>
        <w:r>
          <w:rPr>
            <w:noProof/>
            <w:webHidden/>
          </w:rPr>
          <w:fldChar w:fldCharType="separate"/>
        </w:r>
        <w:r>
          <w:rPr>
            <w:noProof/>
            <w:webHidden/>
          </w:rPr>
          <w:t>100</w:t>
        </w:r>
        <w:r>
          <w:rPr>
            <w:noProof/>
            <w:webHidden/>
          </w:rPr>
          <w:fldChar w:fldCharType="end"/>
        </w:r>
      </w:hyperlink>
    </w:p>
    <w:p w14:paraId="509C3A4A" w14:textId="220CFE62" w:rsidR="00E666EC" w:rsidRDefault="00E666EC">
      <w:pPr>
        <w:pStyle w:val="ndicedeilustraes"/>
        <w:tabs>
          <w:tab w:val="right" w:leader="dot" w:pos="9055"/>
        </w:tabs>
        <w:rPr>
          <w:rFonts w:asciiTheme="minorHAnsi" w:eastAsiaTheme="minorEastAsia" w:hAnsiTheme="minorHAnsi" w:cstheme="minorBidi"/>
          <w:noProof/>
        </w:rPr>
      </w:pPr>
      <w:hyperlink w:anchor="_Toc167871760" w:history="1">
        <w:r w:rsidRPr="00594BD3">
          <w:rPr>
            <w:rStyle w:val="Hyperlink"/>
            <w:rFonts w:cs="Arial"/>
            <w:noProof/>
          </w:rPr>
          <w:t>Tabela 47</w:t>
        </w:r>
        <w:r>
          <w:rPr>
            <w:rFonts w:asciiTheme="minorHAnsi" w:eastAsiaTheme="minorEastAsia" w:hAnsiTheme="minorHAnsi" w:cstheme="minorBidi"/>
            <w:noProof/>
          </w:rPr>
          <w:tab/>
        </w:r>
        <w:r w:rsidRPr="00594BD3">
          <w:rPr>
            <w:rStyle w:val="Hyperlink"/>
            <w:noProof/>
          </w:rPr>
          <w:t>Resumo das Metais Fiscais para o Exercício 2023</w:t>
        </w:r>
        <w:r>
          <w:rPr>
            <w:noProof/>
            <w:webHidden/>
          </w:rPr>
          <w:tab/>
        </w:r>
        <w:r>
          <w:rPr>
            <w:noProof/>
            <w:webHidden/>
          </w:rPr>
          <w:fldChar w:fldCharType="begin"/>
        </w:r>
        <w:r>
          <w:rPr>
            <w:noProof/>
            <w:webHidden/>
          </w:rPr>
          <w:instrText xml:space="preserve"> PAGEREF _Toc167871760 \h </w:instrText>
        </w:r>
        <w:r>
          <w:rPr>
            <w:noProof/>
            <w:webHidden/>
          </w:rPr>
        </w:r>
        <w:r>
          <w:rPr>
            <w:noProof/>
            <w:webHidden/>
          </w:rPr>
          <w:fldChar w:fldCharType="separate"/>
        </w:r>
        <w:r>
          <w:rPr>
            <w:noProof/>
            <w:webHidden/>
          </w:rPr>
          <w:t>100</w:t>
        </w:r>
        <w:r>
          <w:rPr>
            <w:noProof/>
            <w:webHidden/>
          </w:rPr>
          <w:fldChar w:fldCharType="end"/>
        </w:r>
      </w:hyperlink>
    </w:p>
    <w:p w14:paraId="1475136F" w14:textId="68C098F2" w:rsidR="00E666EC" w:rsidRDefault="00E666EC">
      <w:pPr>
        <w:pStyle w:val="ndicedeilustraes"/>
        <w:tabs>
          <w:tab w:val="right" w:leader="dot" w:pos="9055"/>
        </w:tabs>
        <w:rPr>
          <w:rFonts w:asciiTheme="minorHAnsi" w:eastAsiaTheme="minorEastAsia" w:hAnsiTheme="minorHAnsi" w:cstheme="minorBidi"/>
          <w:noProof/>
        </w:rPr>
      </w:pPr>
      <w:hyperlink w:anchor="_Toc167871761" w:history="1">
        <w:r w:rsidRPr="00594BD3">
          <w:rPr>
            <w:rStyle w:val="Hyperlink"/>
            <w:rFonts w:cs="Arial"/>
            <w:noProof/>
          </w:rPr>
          <w:t>Tabela 48</w:t>
        </w:r>
        <w:r>
          <w:rPr>
            <w:rFonts w:asciiTheme="minorHAnsi" w:eastAsiaTheme="minorEastAsia" w:hAnsiTheme="minorHAnsi" w:cstheme="minorBidi"/>
            <w:noProof/>
          </w:rPr>
          <w:tab/>
        </w:r>
        <w:r w:rsidRPr="00594BD3">
          <w:rPr>
            <w:rStyle w:val="Hyperlink"/>
            <w:noProof/>
          </w:rPr>
          <w:t>Fundo Previdenciário</w:t>
        </w:r>
        <w:r>
          <w:rPr>
            <w:noProof/>
            <w:webHidden/>
          </w:rPr>
          <w:tab/>
        </w:r>
        <w:r>
          <w:rPr>
            <w:noProof/>
            <w:webHidden/>
          </w:rPr>
          <w:fldChar w:fldCharType="begin"/>
        </w:r>
        <w:r>
          <w:rPr>
            <w:noProof/>
            <w:webHidden/>
          </w:rPr>
          <w:instrText xml:space="preserve"> PAGEREF _Toc167871761 \h </w:instrText>
        </w:r>
        <w:r>
          <w:rPr>
            <w:noProof/>
            <w:webHidden/>
          </w:rPr>
        </w:r>
        <w:r>
          <w:rPr>
            <w:noProof/>
            <w:webHidden/>
          </w:rPr>
          <w:fldChar w:fldCharType="separate"/>
        </w:r>
        <w:r>
          <w:rPr>
            <w:noProof/>
            <w:webHidden/>
          </w:rPr>
          <w:t>103</w:t>
        </w:r>
        <w:r>
          <w:rPr>
            <w:noProof/>
            <w:webHidden/>
          </w:rPr>
          <w:fldChar w:fldCharType="end"/>
        </w:r>
      </w:hyperlink>
    </w:p>
    <w:p w14:paraId="6A774809" w14:textId="4A4D04CD" w:rsidR="00E666EC" w:rsidRDefault="00E666EC">
      <w:pPr>
        <w:pStyle w:val="ndicedeilustraes"/>
        <w:tabs>
          <w:tab w:val="right" w:leader="dot" w:pos="9055"/>
        </w:tabs>
        <w:rPr>
          <w:rFonts w:asciiTheme="minorHAnsi" w:eastAsiaTheme="minorEastAsia" w:hAnsiTheme="minorHAnsi" w:cstheme="minorBidi"/>
          <w:noProof/>
        </w:rPr>
      </w:pPr>
      <w:hyperlink w:anchor="_Toc167871762" w:history="1">
        <w:r w:rsidRPr="00594BD3">
          <w:rPr>
            <w:rStyle w:val="Hyperlink"/>
            <w:rFonts w:cs="Arial"/>
            <w:noProof/>
          </w:rPr>
          <w:t>Tabela 49</w:t>
        </w:r>
        <w:r>
          <w:rPr>
            <w:rFonts w:asciiTheme="minorHAnsi" w:eastAsiaTheme="minorEastAsia" w:hAnsiTheme="minorHAnsi" w:cstheme="minorBidi"/>
            <w:noProof/>
          </w:rPr>
          <w:tab/>
        </w:r>
        <w:r w:rsidRPr="00594BD3">
          <w:rPr>
            <w:rStyle w:val="Hyperlink"/>
            <w:noProof/>
          </w:rPr>
          <w:t>Fundo Financeiro</w:t>
        </w:r>
        <w:r>
          <w:rPr>
            <w:noProof/>
            <w:webHidden/>
          </w:rPr>
          <w:tab/>
        </w:r>
        <w:r>
          <w:rPr>
            <w:noProof/>
            <w:webHidden/>
          </w:rPr>
          <w:fldChar w:fldCharType="begin"/>
        </w:r>
        <w:r>
          <w:rPr>
            <w:noProof/>
            <w:webHidden/>
          </w:rPr>
          <w:instrText xml:space="preserve"> PAGEREF _Toc167871762 \h </w:instrText>
        </w:r>
        <w:r>
          <w:rPr>
            <w:noProof/>
            <w:webHidden/>
          </w:rPr>
        </w:r>
        <w:r>
          <w:rPr>
            <w:noProof/>
            <w:webHidden/>
          </w:rPr>
          <w:fldChar w:fldCharType="separate"/>
        </w:r>
        <w:r>
          <w:rPr>
            <w:noProof/>
            <w:webHidden/>
          </w:rPr>
          <w:t>104</w:t>
        </w:r>
        <w:r>
          <w:rPr>
            <w:noProof/>
            <w:webHidden/>
          </w:rPr>
          <w:fldChar w:fldCharType="end"/>
        </w:r>
      </w:hyperlink>
    </w:p>
    <w:p w14:paraId="7D1382BE" w14:textId="29BA2BB3" w:rsidR="00E666EC" w:rsidRDefault="00E666EC">
      <w:pPr>
        <w:pStyle w:val="ndicedeilustraes"/>
        <w:tabs>
          <w:tab w:val="right" w:leader="dot" w:pos="9055"/>
        </w:tabs>
        <w:rPr>
          <w:rFonts w:asciiTheme="minorHAnsi" w:eastAsiaTheme="minorEastAsia" w:hAnsiTheme="minorHAnsi" w:cstheme="minorBidi"/>
          <w:noProof/>
        </w:rPr>
      </w:pPr>
      <w:hyperlink w:anchor="_Toc167871763" w:history="1">
        <w:r w:rsidRPr="00594BD3">
          <w:rPr>
            <w:rStyle w:val="Hyperlink"/>
            <w:rFonts w:cs="Arial"/>
            <w:noProof/>
          </w:rPr>
          <w:t>Tabela 50</w:t>
        </w:r>
        <w:r>
          <w:rPr>
            <w:rFonts w:asciiTheme="minorHAnsi" w:eastAsiaTheme="minorEastAsia" w:hAnsiTheme="minorHAnsi" w:cstheme="minorBidi"/>
            <w:noProof/>
          </w:rPr>
          <w:tab/>
        </w:r>
        <w:r w:rsidRPr="00594BD3">
          <w:rPr>
            <w:rStyle w:val="Hyperlink"/>
            <w:noProof/>
          </w:rPr>
          <w:t>Taxa de Administração</w:t>
        </w:r>
        <w:r>
          <w:rPr>
            <w:noProof/>
            <w:webHidden/>
          </w:rPr>
          <w:tab/>
        </w:r>
        <w:r>
          <w:rPr>
            <w:noProof/>
            <w:webHidden/>
          </w:rPr>
          <w:fldChar w:fldCharType="begin"/>
        </w:r>
        <w:r>
          <w:rPr>
            <w:noProof/>
            <w:webHidden/>
          </w:rPr>
          <w:instrText xml:space="preserve"> PAGEREF _Toc167871763 \h </w:instrText>
        </w:r>
        <w:r>
          <w:rPr>
            <w:noProof/>
            <w:webHidden/>
          </w:rPr>
        </w:r>
        <w:r>
          <w:rPr>
            <w:noProof/>
            <w:webHidden/>
          </w:rPr>
          <w:fldChar w:fldCharType="separate"/>
        </w:r>
        <w:r>
          <w:rPr>
            <w:noProof/>
            <w:webHidden/>
          </w:rPr>
          <w:t>106</w:t>
        </w:r>
        <w:r>
          <w:rPr>
            <w:noProof/>
            <w:webHidden/>
          </w:rPr>
          <w:fldChar w:fldCharType="end"/>
        </w:r>
      </w:hyperlink>
    </w:p>
    <w:p w14:paraId="708BAE6D" w14:textId="28E1EE2C" w:rsidR="00E666EC" w:rsidRDefault="00E666EC">
      <w:pPr>
        <w:pStyle w:val="ndicedeilustraes"/>
        <w:tabs>
          <w:tab w:val="right" w:leader="dot" w:pos="9055"/>
        </w:tabs>
        <w:rPr>
          <w:rFonts w:asciiTheme="minorHAnsi" w:eastAsiaTheme="minorEastAsia" w:hAnsiTheme="minorHAnsi" w:cstheme="minorBidi"/>
          <w:noProof/>
        </w:rPr>
      </w:pPr>
      <w:hyperlink w:anchor="_Toc167871764" w:history="1">
        <w:r w:rsidRPr="00594BD3">
          <w:rPr>
            <w:rStyle w:val="Hyperlink"/>
            <w:rFonts w:cs="Arial"/>
            <w:noProof/>
          </w:rPr>
          <w:t>Tabela 51</w:t>
        </w:r>
        <w:r>
          <w:rPr>
            <w:rFonts w:asciiTheme="minorHAnsi" w:eastAsiaTheme="minorEastAsia" w:hAnsiTheme="minorHAnsi" w:cstheme="minorBidi"/>
            <w:noProof/>
          </w:rPr>
          <w:tab/>
        </w:r>
        <w:r w:rsidRPr="00594BD3">
          <w:rPr>
            <w:rStyle w:val="Hyperlink"/>
            <w:noProof/>
          </w:rPr>
          <w:t>Benefícios Mantidos pelo Tesouro</w:t>
        </w:r>
        <w:r>
          <w:rPr>
            <w:noProof/>
            <w:webHidden/>
          </w:rPr>
          <w:tab/>
        </w:r>
        <w:r>
          <w:rPr>
            <w:noProof/>
            <w:webHidden/>
          </w:rPr>
          <w:fldChar w:fldCharType="begin"/>
        </w:r>
        <w:r>
          <w:rPr>
            <w:noProof/>
            <w:webHidden/>
          </w:rPr>
          <w:instrText xml:space="preserve"> PAGEREF _Toc167871764 \h </w:instrText>
        </w:r>
        <w:r>
          <w:rPr>
            <w:noProof/>
            <w:webHidden/>
          </w:rPr>
        </w:r>
        <w:r>
          <w:rPr>
            <w:noProof/>
            <w:webHidden/>
          </w:rPr>
          <w:fldChar w:fldCharType="separate"/>
        </w:r>
        <w:r>
          <w:rPr>
            <w:noProof/>
            <w:webHidden/>
          </w:rPr>
          <w:t>107</w:t>
        </w:r>
        <w:r>
          <w:rPr>
            <w:noProof/>
            <w:webHidden/>
          </w:rPr>
          <w:fldChar w:fldCharType="end"/>
        </w:r>
      </w:hyperlink>
    </w:p>
    <w:p w14:paraId="39AF9218" w14:textId="763CE3CE" w:rsidR="00E666EC" w:rsidRDefault="00E666EC">
      <w:pPr>
        <w:pStyle w:val="ndicedeilustraes"/>
        <w:tabs>
          <w:tab w:val="right" w:leader="dot" w:pos="9055"/>
        </w:tabs>
        <w:rPr>
          <w:rFonts w:asciiTheme="minorHAnsi" w:eastAsiaTheme="minorEastAsia" w:hAnsiTheme="minorHAnsi" w:cstheme="minorBidi"/>
          <w:noProof/>
        </w:rPr>
      </w:pPr>
      <w:hyperlink w:anchor="_Toc167871765" w:history="1">
        <w:r w:rsidRPr="00594BD3">
          <w:rPr>
            <w:rStyle w:val="Hyperlink"/>
            <w:rFonts w:cs="Arial"/>
            <w:noProof/>
          </w:rPr>
          <w:t>Tabela 52</w:t>
        </w:r>
        <w:r>
          <w:rPr>
            <w:rFonts w:asciiTheme="minorHAnsi" w:eastAsiaTheme="minorEastAsia" w:hAnsiTheme="minorHAnsi" w:cstheme="minorBidi"/>
            <w:noProof/>
          </w:rPr>
          <w:tab/>
        </w:r>
        <w:r w:rsidRPr="00594BD3">
          <w:rPr>
            <w:rStyle w:val="Hyperlink"/>
            <w:noProof/>
          </w:rPr>
          <w:t>Sistema de Proteção dos Militares</w:t>
        </w:r>
        <w:r>
          <w:rPr>
            <w:noProof/>
            <w:webHidden/>
          </w:rPr>
          <w:tab/>
        </w:r>
        <w:r>
          <w:rPr>
            <w:noProof/>
            <w:webHidden/>
          </w:rPr>
          <w:fldChar w:fldCharType="begin"/>
        </w:r>
        <w:r>
          <w:rPr>
            <w:noProof/>
            <w:webHidden/>
          </w:rPr>
          <w:instrText xml:space="preserve"> PAGEREF _Toc167871765 \h </w:instrText>
        </w:r>
        <w:r>
          <w:rPr>
            <w:noProof/>
            <w:webHidden/>
          </w:rPr>
        </w:r>
        <w:r>
          <w:rPr>
            <w:noProof/>
            <w:webHidden/>
          </w:rPr>
          <w:fldChar w:fldCharType="separate"/>
        </w:r>
        <w:r>
          <w:rPr>
            <w:noProof/>
            <w:webHidden/>
          </w:rPr>
          <w:t>107</w:t>
        </w:r>
        <w:r>
          <w:rPr>
            <w:noProof/>
            <w:webHidden/>
          </w:rPr>
          <w:fldChar w:fldCharType="end"/>
        </w:r>
      </w:hyperlink>
    </w:p>
    <w:p w14:paraId="1F847E5C" w14:textId="1FDC6503" w:rsidR="00E666EC" w:rsidRDefault="00E666EC">
      <w:pPr>
        <w:pStyle w:val="ndicedeilustraes"/>
        <w:tabs>
          <w:tab w:val="right" w:leader="dot" w:pos="9055"/>
        </w:tabs>
        <w:rPr>
          <w:rFonts w:asciiTheme="minorHAnsi" w:eastAsiaTheme="minorEastAsia" w:hAnsiTheme="minorHAnsi" w:cstheme="minorBidi"/>
          <w:noProof/>
        </w:rPr>
      </w:pPr>
      <w:hyperlink w:anchor="_Toc167871766" w:history="1">
        <w:r w:rsidRPr="00594BD3">
          <w:rPr>
            <w:rStyle w:val="Hyperlink"/>
            <w:rFonts w:cs="Arial"/>
            <w:noProof/>
          </w:rPr>
          <w:t>Tabela 53</w:t>
        </w:r>
        <w:r>
          <w:rPr>
            <w:rFonts w:asciiTheme="minorHAnsi" w:eastAsiaTheme="minorEastAsia" w:hAnsiTheme="minorHAnsi" w:cstheme="minorBidi"/>
            <w:noProof/>
          </w:rPr>
          <w:tab/>
        </w:r>
        <w:r w:rsidRPr="00594BD3">
          <w:rPr>
            <w:rStyle w:val="Hyperlink"/>
            <w:noProof/>
          </w:rPr>
          <w:t>Receitas e Despesas Previdenciárias – 2019 a 2023</w:t>
        </w:r>
        <w:r>
          <w:rPr>
            <w:noProof/>
            <w:webHidden/>
          </w:rPr>
          <w:tab/>
        </w:r>
        <w:r>
          <w:rPr>
            <w:noProof/>
            <w:webHidden/>
          </w:rPr>
          <w:fldChar w:fldCharType="begin"/>
        </w:r>
        <w:r>
          <w:rPr>
            <w:noProof/>
            <w:webHidden/>
          </w:rPr>
          <w:instrText xml:space="preserve"> PAGEREF _Toc167871766 \h </w:instrText>
        </w:r>
        <w:r>
          <w:rPr>
            <w:noProof/>
            <w:webHidden/>
          </w:rPr>
        </w:r>
        <w:r>
          <w:rPr>
            <w:noProof/>
            <w:webHidden/>
          </w:rPr>
          <w:fldChar w:fldCharType="separate"/>
        </w:r>
        <w:r>
          <w:rPr>
            <w:noProof/>
            <w:webHidden/>
          </w:rPr>
          <w:t>109</w:t>
        </w:r>
        <w:r>
          <w:rPr>
            <w:noProof/>
            <w:webHidden/>
          </w:rPr>
          <w:fldChar w:fldCharType="end"/>
        </w:r>
      </w:hyperlink>
    </w:p>
    <w:p w14:paraId="38F04885" w14:textId="5612872F" w:rsidR="00E666EC" w:rsidRDefault="00E666EC">
      <w:pPr>
        <w:pStyle w:val="ndicedeilustraes"/>
        <w:tabs>
          <w:tab w:val="right" w:leader="dot" w:pos="9055"/>
        </w:tabs>
        <w:rPr>
          <w:rFonts w:asciiTheme="minorHAnsi" w:eastAsiaTheme="minorEastAsia" w:hAnsiTheme="minorHAnsi" w:cstheme="minorBidi"/>
          <w:noProof/>
        </w:rPr>
      </w:pPr>
      <w:hyperlink w:anchor="_Toc167871767" w:history="1">
        <w:r w:rsidRPr="00594BD3">
          <w:rPr>
            <w:rStyle w:val="Hyperlink"/>
            <w:rFonts w:cs="Arial"/>
            <w:noProof/>
          </w:rPr>
          <w:t>Tabela 54</w:t>
        </w:r>
        <w:r>
          <w:rPr>
            <w:rFonts w:asciiTheme="minorHAnsi" w:eastAsiaTheme="minorEastAsia" w:hAnsiTheme="minorHAnsi" w:cstheme="minorBidi"/>
            <w:noProof/>
          </w:rPr>
          <w:tab/>
        </w:r>
        <w:r w:rsidRPr="00594BD3">
          <w:rPr>
            <w:rStyle w:val="Hyperlink"/>
            <w:noProof/>
          </w:rPr>
          <w:t>Despesas com Pessoal Inativos e Pensionistas e Demais Benefícios Previdenciários</w:t>
        </w:r>
        <w:r>
          <w:rPr>
            <w:noProof/>
            <w:webHidden/>
          </w:rPr>
          <w:tab/>
        </w:r>
        <w:r>
          <w:rPr>
            <w:noProof/>
            <w:webHidden/>
          </w:rPr>
          <w:fldChar w:fldCharType="begin"/>
        </w:r>
        <w:r>
          <w:rPr>
            <w:noProof/>
            <w:webHidden/>
          </w:rPr>
          <w:instrText xml:space="preserve"> PAGEREF _Toc167871767 \h </w:instrText>
        </w:r>
        <w:r>
          <w:rPr>
            <w:noProof/>
            <w:webHidden/>
          </w:rPr>
        </w:r>
        <w:r>
          <w:rPr>
            <w:noProof/>
            <w:webHidden/>
          </w:rPr>
          <w:fldChar w:fldCharType="separate"/>
        </w:r>
        <w:r>
          <w:rPr>
            <w:noProof/>
            <w:webHidden/>
          </w:rPr>
          <w:t>111</w:t>
        </w:r>
        <w:r>
          <w:rPr>
            <w:noProof/>
            <w:webHidden/>
          </w:rPr>
          <w:fldChar w:fldCharType="end"/>
        </w:r>
      </w:hyperlink>
    </w:p>
    <w:p w14:paraId="751AD986" w14:textId="728B938C" w:rsidR="00E666EC" w:rsidRDefault="00E666EC">
      <w:pPr>
        <w:pStyle w:val="ndicedeilustraes"/>
        <w:tabs>
          <w:tab w:val="right" w:leader="dot" w:pos="9055"/>
        </w:tabs>
        <w:rPr>
          <w:rFonts w:asciiTheme="minorHAnsi" w:eastAsiaTheme="minorEastAsia" w:hAnsiTheme="minorHAnsi" w:cstheme="minorBidi"/>
          <w:noProof/>
        </w:rPr>
      </w:pPr>
      <w:hyperlink w:anchor="_Toc167871768" w:history="1">
        <w:r w:rsidRPr="00594BD3">
          <w:rPr>
            <w:rStyle w:val="Hyperlink"/>
            <w:rFonts w:cs="Arial"/>
            <w:noProof/>
          </w:rPr>
          <w:t>Tabela 55</w:t>
        </w:r>
        <w:r>
          <w:rPr>
            <w:rFonts w:asciiTheme="minorHAnsi" w:eastAsiaTheme="minorEastAsia" w:hAnsiTheme="minorHAnsi" w:cstheme="minorBidi"/>
            <w:noProof/>
          </w:rPr>
          <w:tab/>
        </w:r>
        <w:r w:rsidRPr="00594BD3">
          <w:rPr>
            <w:rStyle w:val="Hyperlink"/>
            <w:noProof/>
          </w:rPr>
          <w:t>Déficit Previdenciário dos Outros Poderes e Órgãos Autônomos</w:t>
        </w:r>
        <w:r>
          <w:rPr>
            <w:noProof/>
            <w:webHidden/>
          </w:rPr>
          <w:tab/>
        </w:r>
        <w:r>
          <w:rPr>
            <w:noProof/>
            <w:webHidden/>
          </w:rPr>
          <w:fldChar w:fldCharType="begin"/>
        </w:r>
        <w:r>
          <w:rPr>
            <w:noProof/>
            <w:webHidden/>
          </w:rPr>
          <w:instrText xml:space="preserve"> PAGEREF _Toc167871768 \h </w:instrText>
        </w:r>
        <w:r>
          <w:rPr>
            <w:noProof/>
            <w:webHidden/>
          </w:rPr>
        </w:r>
        <w:r>
          <w:rPr>
            <w:noProof/>
            <w:webHidden/>
          </w:rPr>
          <w:fldChar w:fldCharType="separate"/>
        </w:r>
        <w:r>
          <w:rPr>
            <w:noProof/>
            <w:webHidden/>
          </w:rPr>
          <w:t>114</w:t>
        </w:r>
        <w:r>
          <w:rPr>
            <w:noProof/>
            <w:webHidden/>
          </w:rPr>
          <w:fldChar w:fldCharType="end"/>
        </w:r>
      </w:hyperlink>
    </w:p>
    <w:p w14:paraId="2217E743" w14:textId="119A72AE" w:rsidR="00E666EC" w:rsidRDefault="00E666EC">
      <w:pPr>
        <w:pStyle w:val="ndicedeilustraes"/>
        <w:tabs>
          <w:tab w:val="right" w:leader="dot" w:pos="9055"/>
        </w:tabs>
        <w:rPr>
          <w:rFonts w:asciiTheme="minorHAnsi" w:eastAsiaTheme="minorEastAsia" w:hAnsiTheme="minorHAnsi" w:cstheme="minorBidi"/>
          <w:noProof/>
        </w:rPr>
      </w:pPr>
      <w:hyperlink w:anchor="_Toc167871769" w:history="1">
        <w:r w:rsidRPr="00594BD3">
          <w:rPr>
            <w:rStyle w:val="Hyperlink"/>
            <w:rFonts w:cs="Arial"/>
            <w:noProof/>
          </w:rPr>
          <w:t>Tabela 56</w:t>
        </w:r>
        <w:r>
          <w:rPr>
            <w:rFonts w:asciiTheme="minorHAnsi" w:eastAsiaTheme="minorEastAsia" w:hAnsiTheme="minorHAnsi" w:cstheme="minorBidi"/>
            <w:noProof/>
          </w:rPr>
          <w:tab/>
        </w:r>
        <w:r w:rsidRPr="00594BD3">
          <w:rPr>
            <w:rStyle w:val="Hyperlink"/>
            <w:noProof/>
          </w:rPr>
          <w:t>Restos a Pagar de Exercícios Anteriores com Movimentações em 2023</w:t>
        </w:r>
        <w:r>
          <w:rPr>
            <w:noProof/>
            <w:webHidden/>
          </w:rPr>
          <w:tab/>
        </w:r>
        <w:r>
          <w:rPr>
            <w:noProof/>
            <w:webHidden/>
          </w:rPr>
          <w:fldChar w:fldCharType="begin"/>
        </w:r>
        <w:r>
          <w:rPr>
            <w:noProof/>
            <w:webHidden/>
          </w:rPr>
          <w:instrText xml:space="preserve"> PAGEREF _Toc167871769 \h </w:instrText>
        </w:r>
        <w:r>
          <w:rPr>
            <w:noProof/>
            <w:webHidden/>
          </w:rPr>
        </w:r>
        <w:r>
          <w:rPr>
            <w:noProof/>
            <w:webHidden/>
          </w:rPr>
          <w:fldChar w:fldCharType="separate"/>
        </w:r>
        <w:r>
          <w:rPr>
            <w:noProof/>
            <w:webHidden/>
          </w:rPr>
          <w:t>118</w:t>
        </w:r>
        <w:r>
          <w:rPr>
            <w:noProof/>
            <w:webHidden/>
          </w:rPr>
          <w:fldChar w:fldCharType="end"/>
        </w:r>
      </w:hyperlink>
    </w:p>
    <w:p w14:paraId="0A0FB94E" w14:textId="010EFA84" w:rsidR="00E666EC" w:rsidRDefault="00E666EC">
      <w:pPr>
        <w:pStyle w:val="ndicedeilustraes"/>
        <w:tabs>
          <w:tab w:val="right" w:leader="dot" w:pos="9055"/>
        </w:tabs>
        <w:rPr>
          <w:rFonts w:asciiTheme="minorHAnsi" w:eastAsiaTheme="minorEastAsia" w:hAnsiTheme="minorHAnsi" w:cstheme="minorBidi"/>
          <w:noProof/>
        </w:rPr>
      </w:pPr>
      <w:hyperlink w:anchor="_Toc167871770" w:history="1">
        <w:r w:rsidRPr="00594BD3">
          <w:rPr>
            <w:rStyle w:val="Hyperlink"/>
            <w:rFonts w:cs="Arial"/>
            <w:noProof/>
          </w:rPr>
          <w:t>Tabela 57</w:t>
        </w:r>
        <w:r>
          <w:rPr>
            <w:rFonts w:asciiTheme="minorHAnsi" w:eastAsiaTheme="minorEastAsia" w:hAnsiTheme="minorHAnsi" w:cstheme="minorBidi"/>
            <w:noProof/>
          </w:rPr>
          <w:tab/>
        </w:r>
        <w:r w:rsidRPr="00594BD3">
          <w:rPr>
            <w:rStyle w:val="Hyperlink"/>
            <w:noProof/>
          </w:rPr>
          <w:t>Saldo de Restos a Pagar</w:t>
        </w:r>
        <w:r>
          <w:rPr>
            <w:noProof/>
            <w:webHidden/>
          </w:rPr>
          <w:tab/>
        </w:r>
        <w:r>
          <w:rPr>
            <w:noProof/>
            <w:webHidden/>
          </w:rPr>
          <w:fldChar w:fldCharType="begin"/>
        </w:r>
        <w:r>
          <w:rPr>
            <w:noProof/>
            <w:webHidden/>
          </w:rPr>
          <w:instrText xml:space="preserve"> PAGEREF _Toc167871770 \h </w:instrText>
        </w:r>
        <w:r>
          <w:rPr>
            <w:noProof/>
            <w:webHidden/>
          </w:rPr>
        </w:r>
        <w:r>
          <w:rPr>
            <w:noProof/>
            <w:webHidden/>
          </w:rPr>
          <w:fldChar w:fldCharType="separate"/>
        </w:r>
        <w:r>
          <w:rPr>
            <w:noProof/>
            <w:webHidden/>
          </w:rPr>
          <w:t>120</w:t>
        </w:r>
        <w:r>
          <w:rPr>
            <w:noProof/>
            <w:webHidden/>
          </w:rPr>
          <w:fldChar w:fldCharType="end"/>
        </w:r>
      </w:hyperlink>
    </w:p>
    <w:p w14:paraId="18448F26" w14:textId="618258F9" w:rsidR="00E666EC" w:rsidRDefault="00E666EC">
      <w:pPr>
        <w:pStyle w:val="ndicedeilustraes"/>
        <w:tabs>
          <w:tab w:val="right" w:leader="dot" w:pos="9055"/>
        </w:tabs>
        <w:rPr>
          <w:rFonts w:asciiTheme="minorHAnsi" w:eastAsiaTheme="minorEastAsia" w:hAnsiTheme="minorHAnsi" w:cstheme="minorBidi"/>
          <w:noProof/>
        </w:rPr>
      </w:pPr>
      <w:hyperlink w:anchor="_Toc167871771" w:history="1">
        <w:r w:rsidRPr="00594BD3">
          <w:rPr>
            <w:rStyle w:val="Hyperlink"/>
            <w:rFonts w:cs="Arial"/>
            <w:noProof/>
          </w:rPr>
          <w:t>Tabela 58</w:t>
        </w:r>
        <w:r>
          <w:rPr>
            <w:rFonts w:asciiTheme="minorHAnsi" w:eastAsiaTheme="minorEastAsia" w:hAnsiTheme="minorHAnsi" w:cstheme="minorBidi"/>
            <w:noProof/>
          </w:rPr>
          <w:tab/>
        </w:r>
        <w:r w:rsidRPr="00594BD3">
          <w:rPr>
            <w:rStyle w:val="Hyperlink"/>
            <w:noProof/>
          </w:rPr>
          <w:t>Inscrição de Restos a Pagar – 2021 a 2023</w:t>
        </w:r>
        <w:r>
          <w:rPr>
            <w:noProof/>
            <w:webHidden/>
          </w:rPr>
          <w:tab/>
        </w:r>
        <w:r>
          <w:rPr>
            <w:noProof/>
            <w:webHidden/>
          </w:rPr>
          <w:fldChar w:fldCharType="begin"/>
        </w:r>
        <w:r>
          <w:rPr>
            <w:noProof/>
            <w:webHidden/>
          </w:rPr>
          <w:instrText xml:space="preserve"> PAGEREF _Toc167871771 \h </w:instrText>
        </w:r>
        <w:r>
          <w:rPr>
            <w:noProof/>
            <w:webHidden/>
          </w:rPr>
        </w:r>
        <w:r>
          <w:rPr>
            <w:noProof/>
            <w:webHidden/>
          </w:rPr>
          <w:fldChar w:fldCharType="separate"/>
        </w:r>
        <w:r>
          <w:rPr>
            <w:noProof/>
            <w:webHidden/>
          </w:rPr>
          <w:t>120</w:t>
        </w:r>
        <w:r>
          <w:rPr>
            <w:noProof/>
            <w:webHidden/>
          </w:rPr>
          <w:fldChar w:fldCharType="end"/>
        </w:r>
      </w:hyperlink>
    </w:p>
    <w:p w14:paraId="193465EC" w14:textId="038F79CD" w:rsidR="00E666EC" w:rsidRDefault="00E666EC">
      <w:pPr>
        <w:pStyle w:val="ndicedeilustraes"/>
        <w:tabs>
          <w:tab w:val="right" w:leader="dot" w:pos="9055"/>
        </w:tabs>
        <w:rPr>
          <w:rFonts w:asciiTheme="minorHAnsi" w:eastAsiaTheme="minorEastAsia" w:hAnsiTheme="minorHAnsi" w:cstheme="minorBidi"/>
          <w:noProof/>
        </w:rPr>
      </w:pPr>
      <w:hyperlink w:anchor="_Toc167871772" w:history="1">
        <w:r w:rsidRPr="00594BD3">
          <w:rPr>
            <w:rStyle w:val="Hyperlink"/>
            <w:rFonts w:cs="Arial"/>
            <w:noProof/>
          </w:rPr>
          <w:t>Tabela 59</w:t>
        </w:r>
        <w:r>
          <w:rPr>
            <w:rFonts w:asciiTheme="minorHAnsi" w:eastAsiaTheme="minorEastAsia" w:hAnsiTheme="minorHAnsi" w:cstheme="minorBidi"/>
            <w:noProof/>
          </w:rPr>
          <w:tab/>
        </w:r>
        <w:r w:rsidRPr="00594BD3">
          <w:rPr>
            <w:rStyle w:val="Hyperlink"/>
            <w:noProof/>
          </w:rPr>
          <w:t>Demais Obrigações Financeiras - Depósitos e Consignações</w:t>
        </w:r>
        <w:r>
          <w:rPr>
            <w:noProof/>
            <w:webHidden/>
          </w:rPr>
          <w:tab/>
        </w:r>
        <w:r>
          <w:rPr>
            <w:noProof/>
            <w:webHidden/>
          </w:rPr>
          <w:fldChar w:fldCharType="begin"/>
        </w:r>
        <w:r>
          <w:rPr>
            <w:noProof/>
            <w:webHidden/>
          </w:rPr>
          <w:instrText xml:space="preserve"> PAGEREF _Toc167871772 \h </w:instrText>
        </w:r>
        <w:r>
          <w:rPr>
            <w:noProof/>
            <w:webHidden/>
          </w:rPr>
        </w:r>
        <w:r>
          <w:rPr>
            <w:noProof/>
            <w:webHidden/>
          </w:rPr>
          <w:fldChar w:fldCharType="separate"/>
        </w:r>
        <w:r>
          <w:rPr>
            <w:noProof/>
            <w:webHidden/>
          </w:rPr>
          <w:t>122</w:t>
        </w:r>
        <w:r>
          <w:rPr>
            <w:noProof/>
            <w:webHidden/>
          </w:rPr>
          <w:fldChar w:fldCharType="end"/>
        </w:r>
      </w:hyperlink>
    </w:p>
    <w:p w14:paraId="0A36BC4B" w14:textId="3FAC2CE2" w:rsidR="00E666EC" w:rsidRDefault="00E666EC">
      <w:pPr>
        <w:pStyle w:val="ndicedeilustraes"/>
        <w:tabs>
          <w:tab w:val="right" w:leader="dot" w:pos="9055"/>
        </w:tabs>
        <w:rPr>
          <w:rFonts w:asciiTheme="minorHAnsi" w:eastAsiaTheme="minorEastAsia" w:hAnsiTheme="minorHAnsi" w:cstheme="minorBidi"/>
          <w:noProof/>
        </w:rPr>
      </w:pPr>
      <w:hyperlink w:anchor="_Toc167871773" w:history="1">
        <w:r w:rsidRPr="00594BD3">
          <w:rPr>
            <w:rStyle w:val="Hyperlink"/>
            <w:rFonts w:cs="Arial"/>
            <w:noProof/>
          </w:rPr>
          <w:t>Tabela 60</w:t>
        </w:r>
        <w:r>
          <w:rPr>
            <w:rFonts w:asciiTheme="minorHAnsi" w:eastAsiaTheme="minorEastAsia" w:hAnsiTheme="minorHAnsi" w:cstheme="minorBidi"/>
            <w:noProof/>
          </w:rPr>
          <w:tab/>
        </w:r>
        <w:r w:rsidRPr="00594BD3">
          <w:rPr>
            <w:rStyle w:val="Hyperlink"/>
            <w:noProof/>
          </w:rPr>
          <w:t>Resultado de Depósitos e Consignações (Ativo - Passivo)</w:t>
        </w:r>
        <w:r>
          <w:rPr>
            <w:noProof/>
            <w:webHidden/>
          </w:rPr>
          <w:tab/>
        </w:r>
        <w:r>
          <w:rPr>
            <w:noProof/>
            <w:webHidden/>
          </w:rPr>
          <w:fldChar w:fldCharType="begin"/>
        </w:r>
        <w:r>
          <w:rPr>
            <w:noProof/>
            <w:webHidden/>
          </w:rPr>
          <w:instrText xml:space="preserve"> PAGEREF _Toc167871773 \h </w:instrText>
        </w:r>
        <w:r>
          <w:rPr>
            <w:noProof/>
            <w:webHidden/>
          </w:rPr>
        </w:r>
        <w:r>
          <w:rPr>
            <w:noProof/>
            <w:webHidden/>
          </w:rPr>
          <w:fldChar w:fldCharType="separate"/>
        </w:r>
        <w:r>
          <w:rPr>
            <w:noProof/>
            <w:webHidden/>
          </w:rPr>
          <w:t>122</w:t>
        </w:r>
        <w:r>
          <w:rPr>
            <w:noProof/>
            <w:webHidden/>
          </w:rPr>
          <w:fldChar w:fldCharType="end"/>
        </w:r>
      </w:hyperlink>
    </w:p>
    <w:p w14:paraId="70E24D81" w14:textId="494AE0AC" w:rsidR="00E666EC" w:rsidRDefault="00E666EC">
      <w:pPr>
        <w:pStyle w:val="ndicedeilustraes"/>
        <w:tabs>
          <w:tab w:val="right" w:leader="dot" w:pos="9055"/>
        </w:tabs>
        <w:rPr>
          <w:rFonts w:asciiTheme="minorHAnsi" w:eastAsiaTheme="minorEastAsia" w:hAnsiTheme="minorHAnsi" w:cstheme="minorBidi"/>
          <w:noProof/>
        </w:rPr>
      </w:pPr>
      <w:hyperlink w:anchor="_Toc167871774" w:history="1">
        <w:r w:rsidRPr="00594BD3">
          <w:rPr>
            <w:rStyle w:val="Hyperlink"/>
            <w:rFonts w:cs="Arial"/>
            <w:noProof/>
          </w:rPr>
          <w:t>Tabela 61</w:t>
        </w:r>
        <w:r>
          <w:rPr>
            <w:rFonts w:asciiTheme="minorHAnsi" w:eastAsiaTheme="minorEastAsia" w:hAnsiTheme="minorHAnsi" w:cstheme="minorBidi"/>
            <w:noProof/>
          </w:rPr>
          <w:tab/>
        </w:r>
        <w:r w:rsidRPr="00594BD3">
          <w:rPr>
            <w:rStyle w:val="Hyperlink"/>
            <w:noProof/>
          </w:rPr>
          <w:t>Disponibilidade de Caixa e RP por Código Principal da Fonte</w:t>
        </w:r>
        <w:r>
          <w:rPr>
            <w:noProof/>
            <w:webHidden/>
          </w:rPr>
          <w:tab/>
        </w:r>
        <w:r>
          <w:rPr>
            <w:noProof/>
            <w:webHidden/>
          </w:rPr>
          <w:fldChar w:fldCharType="begin"/>
        </w:r>
        <w:r>
          <w:rPr>
            <w:noProof/>
            <w:webHidden/>
          </w:rPr>
          <w:instrText xml:space="preserve"> PAGEREF _Toc167871774 \h </w:instrText>
        </w:r>
        <w:r>
          <w:rPr>
            <w:noProof/>
            <w:webHidden/>
          </w:rPr>
        </w:r>
        <w:r>
          <w:rPr>
            <w:noProof/>
            <w:webHidden/>
          </w:rPr>
          <w:fldChar w:fldCharType="separate"/>
        </w:r>
        <w:r>
          <w:rPr>
            <w:noProof/>
            <w:webHidden/>
          </w:rPr>
          <w:t>124</w:t>
        </w:r>
        <w:r>
          <w:rPr>
            <w:noProof/>
            <w:webHidden/>
          </w:rPr>
          <w:fldChar w:fldCharType="end"/>
        </w:r>
      </w:hyperlink>
    </w:p>
    <w:p w14:paraId="34C439E9" w14:textId="2638592C" w:rsidR="00E666EC" w:rsidRDefault="00E666EC">
      <w:pPr>
        <w:pStyle w:val="ndicedeilustraes"/>
        <w:tabs>
          <w:tab w:val="right" w:leader="dot" w:pos="9055"/>
        </w:tabs>
        <w:rPr>
          <w:rFonts w:asciiTheme="minorHAnsi" w:eastAsiaTheme="minorEastAsia" w:hAnsiTheme="minorHAnsi" w:cstheme="minorBidi"/>
          <w:noProof/>
        </w:rPr>
      </w:pPr>
      <w:hyperlink w:anchor="_Toc167871775" w:history="1">
        <w:r w:rsidRPr="00594BD3">
          <w:rPr>
            <w:rStyle w:val="Hyperlink"/>
            <w:rFonts w:cs="Arial"/>
            <w:noProof/>
          </w:rPr>
          <w:t>Tabela 62</w:t>
        </w:r>
        <w:r>
          <w:rPr>
            <w:rFonts w:asciiTheme="minorHAnsi" w:eastAsiaTheme="minorEastAsia" w:hAnsiTheme="minorHAnsi" w:cstheme="minorBidi"/>
            <w:noProof/>
          </w:rPr>
          <w:tab/>
        </w:r>
        <w:r w:rsidRPr="00594BD3">
          <w:rPr>
            <w:rStyle w:val="Hyperlink"/>
            <w:noProof/>
          </w:rPr>
          <w:t>Insuficiência Total de Caixa por Poder e por Fonte</w:t>
        </w:r>
        <w:r>
          <w:rPr>
            <w:noProof/>
            <w:webHidden/>
          </w:rPr>
          <w:tab/>
        </w:r>
        <w:r>
          <w:rPr>
            <w:noProof/>
            <w:webHidden/>
          </w:rPr>
          <w:fldChar w:fldCharType="begin"/>
        </w:r>
        <w:r>
          <w:rPr>
            <w:noProof/>
            <w:webHidden/>
          </w:rPr>
          <w:instrText xml:space="preserve"> PAGEREF _Toc167871775 \h </w:instrText>
        </w:r>
        <w:r>
          <w:rPr>
            <w:noProof/>
            <w:webHidden/>
          </w:rPr>
        </w:r>
        <w:r>
          <w:rPr>
            <w:noProof/>
            <w:webHidden/>
          </w:rPr>
          <w:fldChar w:fldCharType="separate"/>
        </w:r>
        <w:r>
          <w:rPr>
            <w:noProof/>
            <w:webHidden/>
          </w:rPr>
          <w:t>125</w:t>
        </w:r>
        <w:r>
          <w:rPr>
            <w:noProof/>
            <w:webHidden/>
          </w:rPr>
          <w:fldChar w:fldCharType="end"/>
        </w:r>
      </w:hyperlink>
    </w:p>
    <w:p w14:paraId="66EE76C9" w14:textId="57891C06" w:rsidR="00E666EC" w:rsidRDefault="00E666EC">
      <w:pPr>
        <w:pStyle w:val="ndicedeilustraes"/>
        <w:tabs>
          <w:tab w:val="right" w:leader="dot" w:pos="9055"/>
        </w:tabs>
        <w:rPr>
          <w:rFonts w:asciiTheme="minorHAnsi" w:eastAsiaTheme="minorEastAsia" w:hAnsiTheme="minorHAnsi" w:cstheme="minorBidi"/>
          <w:noProof/>
        </w:rPr>
      </w:pPr>
      <w:hyperlink w:anchor="_Toc167871776" w:history="1">
        <w:r w:rsidRPr="00594BD3">
          <w:rPr>
            <w:rStyle w:val="Hyperlink"/>
            <w:rFonts w:cs="Arial"/>
            <w:noProof/>
          </w:rPr>
          <w:t>Tabela 63</w:t>
        </w:r>
        <w:r>
          <w:rPr>
            <w:rFonts w:asciiTheme="minorHAnsi" w:eastAsiaTheme="minorEastAsia" w:hAnsiTheme="minorHAnsi" w:cstheme="minorBidi"/>
            <w:noProof/>
          </w:rPr>
          <w:tab/>
        </w:r>
        <w:r w:rsidRPr="00594BD3">
          <w:rPr>
            <w:rStyle w:val="Hyperlink"/>
            <w:noProof/>
          </w:rPr>
          <w:t>Composição da CUTE – 31/12/2023</w:t>
        </w:r>
        <w:r>
          <w:rPr>
            <w:noProof/>
            <w:webHidden/>
          </w:rPr>
          <w:tab/>
        </w:r>
        <w:r>
          <w:rPr>
            <w:noProof/>
            <w:webHidden/>
          </w:rPr>
          <w:fldChar w:fldCharType="begin"/>
        </w:r>
        <w:r>
          <w:rPr>
            <w:noProof/>
            <w:webHidden/>
          </w:rPr>
          <w:instrText xml:space="preserve"> PAGEREF _Toc167871776 \h </w:instrText>
        </w:r>
        <w:r>
          <w:rPr>
            <w:noProof/>
            <w:webHidden/>
          </w:rPr>
        </w:r>
        <w:r>
          <w:rPr>
            <w:noProof/>
            <w:webHidden/>
          </w:rPr>
          <w:fldChar w:fldCharType="separate"/>
        </w:r>
        <w:r>
          <w:rPr>
            <w:noProof/>
            <w:webHidden/>
          </w:rPr>
          <w:t>127</w:t>
        </w:r>
        <w:r>
          <w:rPr>
            <w:noProof/>
            <w:webHidden/>
          </w:rPr>
          <w:fldChar w:fldCharType="end"/>
        </w:r>
      </w:hyperlink>
    </w:p>
    <w:p w14:paraId="654FE05F" w14:textId="776D62FF" w:rsidR="00E666EC" w:rsidRDefault="00E666EC">
      <w:pPr>
        <w:pStyle w:val="ndicedeilustraes"/>
        <w:tabs>
          <w:tab w:val="right" w:leader="dot" w:pos="9055"/>
        </w:tabs>
        <w:rPr>
          <w:rFonts w:asciiTheme="minorHAnsi" w:eastAsiaTheme="minorEastAsia" w:hAnsiTheme="minorHAnsi" w:cstheme="minorBidi"/>
          <w:noProof/>
        </w:rPr>
      </w:pPr>
      <w:hyperlink w:anchor="_Toc167871777" w:history="1">
        <w:r w:rsidRPr="00594BD3">
          <w:rPr>
            <w:rStyle w:val="Hyperlink"/>
            <w:rFonts w:cs="Arial"/>
            <w:noProof/>
          </w:rPr>
          <w:t>Tabela 64</w:t>
        </w:r>
        <w:r>
          <w:rPr>
            <w:rFonts w:asciiTheme="minorHAnsi" w:eastAsiaTheme="minorEastAsia" w:hAnsiTheme="minorHAnsi" w:cstheme="minorBidi"/>
            <w:noProof/>
          </w:rPr>
          <w:tab/>
        </w:r>
        <w:r w:rsidRPr="00594BD3">
          <w:rPr>
            <w:rStyle w:val="Hyperlink"/>
            <w:noProof/>
          </w:rPr>
          <w:t>Reversão de Saldos Financeiros ao Tesouro Estadual</w:t>
        </w:r>
        <w:r>
          <w:rPr>
            <w:noProof/>
            <w:webHidden/>
          </w:rPr>
          <w:tab/>
        </w:r>
        <w:r>
          <w:rPr>
            <w:noProof/>
            <w:webHidden/>
          </w:rPr>
          <w:fldChar w:fldCharType="begin"/>
        </w:r>
        <w:r>
          <w:rPr>
            <w:noProof/>
            <w:webHidden/>
          </w:rPr>
          <w:instrText xml:space="preserve"> PAGEREF _Toc167871777 \h </w:instrText>
        </w:r>
        <w:r>
          <w:rPr>
            <w:noProof/>
            <w:webHidden/>
          </w:rPr>
        </w:r>
        <w:r>
          <w:rPr>
            <w:noProof/>
            <w:webHidden/>
          </w:rPr>
          <w:fldChar w:fldCharType="separate"/>
        </w:r>
        <w:r>
          <w:rPr>
            <w:noProof/>
            <w:webHidden/>
          </w:rPr>
          <w:t>129</w:t>
        </w:r>
        <w:r>
          <w:rPr>
            <w:noProof/>
            <w:webHidden/>
          </w:rPr>
          <w:fldChar w:fldCharType="end"/>
        </w:r>
      </w:hyperlink>
    </w:p>
    <w:p w14:paraId="445F972B" w14:textId="2EA73E09" w:rsidR="00E666EC" w:rsidRDefault="00E666EC">
      <w:pPr>
        <w:pStyle w:val="ndicedeilustraes"/>
        <w:tabs>
          <w:tab w:val="right" w:leader="dot" w:pos="9055"/>
        </w:tabs>
        <w:rPr>
          <w:rFonts w:asciiTheme="minorHAnsi" w:eastAsiaTheme="minorEastAsia" w:hAnsiTheme="minorHAnsi" w:cstheme="minorBidi"/>
          <w:noProof/>
        </w:rPr>
      </w:pPr>
      <w:hyperlink w:anchor="_Toc167871778" w:history="1">
        <w:r w:rsidRPr="00594BD3">
          <w:rPr>
            <w:rStyle w:val="Hyperlink"/>
            <w:rFonts w:cs="Arial"/>
            <w:noProof/>
          </w:rPr>
          <w:t>Tabela 65</w:t>
        </w:r>
        <w:r>
          <w:rPr>
            <w:rFonts w:asciiTheme="minorHAnsi" w:eastAsiaTheme="minorEastAsia" w:hAnsiTheme="minorHAnsi" w:cstheme="minorBidi"/>
            <w:noProof/>
          </w:rPr>
          <w:tab/>
        </w:r>
        <w:r w:rsidRPr="00594BD3">
          <w:rPr>
            <w:rStyle w:val="Hyperlink"/>
            <w:noProof/>
          </w:rPr>
          <w:t>Tetos de Gastos – LC nº 156/2016</w:t>
        </w:r>
        <w:r>
          <w:rPr>
            <w:noProof/>
            <w:webHidden/>
          </w:rPr>
          <w:tab/>
        </w:r>
        <w:r>
          <w:rPr>
            <w:noProof/>
            <w:webHidden/>
          </w:rPr>
          <w:fldChar w:fldCharType="begin"/>
        </w:r>
        <w:r>
          <w:rPr>
            <w:noProof/>
            <w:webHidden/>
          </w:rPr>
          <w:instrText xml:space="preserve"> PAGEREF _Toc167871778 \h </w:instrText>
        </w:r>
        <w:r>
          <w:rPr>
            <w:noProof/>
            <w:webHidden/>
          </w:rPr>
        </w:r>
        <w:r>
          <w:rPr>
            <w:noProof/>
            <w:webHidden/>
          </w:rPr>
          <w:fldChar w:fldCharType="separate"/>
        </w:r>
        <w:r>
          <w:rPr>
            <w:noProof/>
            <w:webHidden/>
          </w:rPr>
          <w:t>132</w:t>
        </w:r>
        <w:r>
          <w:rPr>
            <w:noProof/>
            <w:webHidden/>
          </w:rPr>
          <w:fldChar w:fldCharType="end"/>
        </w:r>
      </w:hyperlink>
    </w:p>
    <w:p w14:paraId="223733B9" w14:textId="3FDC1009" w:rsidR="00E666EC" w:rsidRDefault="00E666EC">
      <w:pPr>
        <w:pStyle w:val="ndicedeilustraes"/>
        <w:tabs>
          <w:tab w:val="right" w:leader="dot" w:pos="9055"/>
        </w:tabs>
        <w:rPr>
          <w:rFonts w:asciiTheme="minorHAnsi" w:eastAsiaTheme="minorEastAsia" w:hAnsiTheme="minorHAnsi" w:cstheme="minorBidi"/>
          <w:noProof/>
        </w:rPr>
      </w:pPr>
      <w:hyperlink w:anchor="_Toc167871779" w:history="1">
        <w:r w:rsidRPr="00594BD3">
          <w:rPr>
            <w:rStyle w:val="Hyperlink"/>
            <w:rFonts w:cs="Arial"/>
            <w:noProof/>
          </w:rPr>
          <w:t>Tabela 66</w:t>
        </w:r>
        <w:r>
          <w:rPr>
            <w:rFonts w:asciiTheme="minorHAnsi" w:eastAsiaTheme="minorEastAsia" w:hAnsiTheme="minorHAnsi" w:cstheme="minorBidi"/>
            <w:noProof/>
          </w:rPr>
          <w:tab/>
        </w:r>
        <w:r w:rsidRPr="00594BD3">
          <w:rPr>
            <w:rStyle w:val="Hyperlink"/>
            <w:noProof/>
          </w:rPr>
          <w:t>Teto de Gastos LC nº 156/2016 por Poder/Órgão Autônomo</w:t>
        </w:r>
        <w:r>
          <w:rPr>
            <w:noProof/>
            <w:webHidden/>
          </w:rPr>
          <w:tab/>
        </w:r>
        <w:r>
          <w:rPr>
            <w:noProof/>
            <w:webHidden/>
          </w:rPr>
          <w:fldChar w:fldCharType="begin"/>
        </w:r>
        <w:r>
          <w:rPr>
            <w:noProof/>
            <w:webHidden/>
          </w:rPr>
          <w:instrText xml:space="preserve"> PAGEREF _Toc167871779 \h </w:instrText>
        </w:r>
        <w:r>
          <w:rPr>
            <w:noProof/>
            <w:webHidden/>
          </w:rPr>
        </w:r>
        <w:r>
          <w:rPr>
            <w:noProof/>
            <w:webHidden/>
          </w:rPr>
          <w:fldChar w:fldCharType="separate"/>
        </w:r>
        <w:r>
          <w:rPr>
            <w:noProof/>
            <w:webHidden/>
          </w:rPr>
          <w:t>132</w:t>
        </w:r>
        <w:r>
          <w:rPr>
            <w:noProof/>
            <w:webHidden/>
          </w:rPr>
          <w:fldChar w:fldCharType="end"/>
        </w:r>
      </w:hyperlink>
    </w:p>
    <w:p w14:paraId="3AC817A6" w14:textId="45C1F324" w:rsidR="00E666EC" w:rsidRDefault="00E666EC">
      <w:pPr>
        <w:pStyle w:val="ndicedeilustraes"/>
        <w:tabs>
          <w:tab w:val="right" w:leader="dot" w:pos="9055"/>
        </w:tabs>
        <w:rPr>
          <w:rFonts w:asciiTheme="minorHAnsi" w:eastAsiaTheme="minorEastAsia" w:hAnsiTheme="minorHAnsi" w:cstheme="minorBidi"/>
          <w:noProof/>
        </w:rPr>
      </w:pPr>
      <w:hyperlink w:anchor="_Toc167871780" w:history="1">
        <w:r w:rsidRPr="00594BD3">
          <w:rPr>
            <w:rStyle w:val="Hyperlink"/>
            <w:rFonts w:cs="Arial"/>
            <w:noProof/>
          </w:rPr>
          <w:t>Tabela 67</w:t>
        </w:r>
        <w:r>
          <w:rPr>
            <w:rFonts w:asciiTheme="minorHAnsi" w:eastAsiaTheme="minorEastAsia" w:hAnsiTheme="minorHAnsi" w:cstheme="minorBidi"/>
            <w:noProof/>
          </w:rPr>
          <w:tab/>
        </w:r>
        <w:r w:rsidRPr="00594BD3">
          <w:rPr>
            <w:rStyle w:val="Hyperlink"/>
            <w:noProof/>
          </w:rPr>
          <w:t>Teto de Gastos – LC nº 159/2017</w:t>
        </w:r>
        <w:r>
          <w:rPr>
            <w:noProof/>
            <w:webHidden/>
          </w:rPr>
          <w:tab/>
        </w:r>
        <w:r>
          <w:rPr>
            <w:noProof/>
            <w:webHidden/>
          </w:rPr>
          <w:fldChar w:fldCharType="begin"/>
        </w:r>
        <w:r>
          <w:rPr>
            <w:noProof/>
            <w:webHidden/>
          </w:rPr>
          <w:instrText xml:space="preserve"> PAGEREF _Toc167871780 \h </w:instrText>
        </w:r>
        <w:r>
          <w:rPr>
            <w:noProof/>
            <w:webHidden/>
          </w:rPr>
        </w:r>
        <w:r>
          <w:rPr>
            <w:noProof/>
            <w:webHidden/>
          </w:rPr>
          <w:fldChar w:fldCharType="separate"/>
        </w:r>
        <w:r>
          <w:rPr>
            <w:noProof/>
            <w:webHidden/>
          </w:rPr>
          <w:t>135</w:t>
        </w:r>
        <w:r>
          <w:rPr>
            <w:noProof/>
            <w:webHidden/>
          </w:rPr>
          <w:fldChar w:fldCharType="end"/>
        </w:r>
      </w:hyperlink>
    </w:p>
    <w:p w14:paraId="2940142C" w14:textId="6604AE30" w:rsidR="00E666EC" w:rsidRDefault="00E666EC">
      <w:pPr>
        <w:pStyle w:val="ndicedeilustraes"/>
        <w:tabs>
          <w:tab w:val="right" w:leader="dot" w:pos="9055"/>
        </w:tabs>
        <w:rPr>
          <w:rFonts w:asciiTheme="minorHAnsi" w:eastAsiaTheme="minorEastAsia" w:hAnsiTheme="minorHAnsi" w:cstheme="minorBidi"/>
          <w:noProof/>
        </w:rPr>
      </w:pPr>
      <w:hyperlink w:anchor="_Toc167871781" w:history="1">
        <w:r w:rsidRPr="00594BD3">
          <w:rPr>
            <w:rStyle w:val="Hyperlink"/>
            <w:rFonts w:cs="Arial"/>
            <w:noProof/>
          </w:rPr>
          <w:t>Tabela 68</w:t>
        </w:r>
        <w:r>
          <w:rPr>
            <w:rFonts w:asciiTheme="minorHAnsi" w:eastAsiaTheme="minorEastAsia" w:hAnsiTheme="minorHAnsi" w:cstheme="minorBidi"/>
            <w:noProof/>
          </w:rPr>
          <w:tab/>
        </w:r>
        <w:r w:rsidRPr="00594BD3">
          <w:rPr>
            <w:rStyle w:val="Hyperlink"/>
            <w:noProof/>
          </w:rPr>
          <w:t>Teto de Gastos LC nº 159/2017 por Poder/Órgão Autônomo</w:t>
        </w:r>
        <w:r>
          <w:rPr>
            <w:noProof/>
            <w:webHidden/>
          </w:rPr>
          <w:tab/>
        </w:r>
        <w:r>
          <w:rPr>
            <w:noProof/>
            <w:webHidden/>
          </w:rPr>
          <w:fldChar w:fldCharType="begin"/>
        </w:r>
        <w:r>
          <w:rPr>
            <w:noProof/>
            <w:webHidden/>
          </w:rPr>
          <w:instrText xml:space="preserve"> PAGEREF _Toc167871781 \h </w:instrText>
        </w:r>
        <w:r>
          <w:rPr>
            <w:noProof/>
            <w:webHidden/>
          </w:rPr>
        </w:r>
        <w:r>
          <w:rPr>
            <w:noProof/>
            <w:webHidden/>
          </w:rPr>
          <w:fldChar w:fldCharType="separate"/>
        </w:r>
        <w:r>
          <w:rPr>
            <w:noProof/>
            <w:webHidden/>
          </w:rPr>
          <w:t>136</w:t>
        </w:r>
        <w:r>
          <w:rPr>
            <w:noProof/>
            <w:webHidden/>
          </w:rPr>
          <w:fldChar w:fldCharType="end"/>
        </w:r>
      </w:hyperlink>
    </w:p>
    <w:p w14:paraId="1A529FCC" w14:textId="08F65C04" w:rsidR="00E666EC" w:rsidRDefault="00E666EC">
      <w:pPr>
        <w:pStyle w:val="ndicedeilustraes"/>
        <w:tabs>
          <w:tab w:val="right" w:leader="dot" w:pos="9055"/>
        </w:tabs>
        <w:rPr>
          <w:rFonts w:asciiTheme="minorHAnsi" w:eastAsiaTheme="minorEastAsia" w:hAnsiTheme="minorHAnsi" w:cstheme="minorBidi"/>
          <w:noProof/>
        </w:rPr>
      </w:pPr>
      <w:hyperlink w:anchor="_Toc167871782" w:history="1">
        <w:r w:rsidRPr="00594BD3">
          <w:rPr>
            <w:rStyle w:val="Hyperlink"/>
            <w:rFonts w:cs="Arial"/>
            <w:noProof/>
          </w:rPr>
          <w:t>Tabela 69</w:t>
        </w:r>
        <w:r>
          <w:rPr>
            <w:rFonts w:asciiTheme="minorHAnsi" w:eastAsiaTheme="minorEastAsia" w:hAnsiTheme="minorHAnsi" w:cstheme="minorBidi"/>
            <w:noProof/>
          </w:rPr>
          <w:tab/>
        </w:r>
        <w:r w:rsidRPr="00594BD3">
          <w:rPr>
            <w:rStyle w:val="Hyperlink"/>
            <w:noProof/>
          </w:rPr>
          <w:t>Estimativa da Renúncia de Receita x Previsão da Receita Tributária</w:t>
        </w:r>
        <w:r>
          <w:rPr>
            <w:noProof/>
            <w:webHidden/>
          </w:rPr>
          <w:tab/>
        </w:r>
        <w:r>
          <w:rPr>
            <w:noProof/>
            <w:webHidden/>
          </w:rPr>
          <w:fldChar w:fldCharType="begin"/>
        </w:r>
        <w:r>
          <w:rPr>
            <w:noProof/>
            <w:webHidden/>
          </w:rPr>
          <w:instrText xml:space="preserve"> PAGEREF _Toc167871782 \h </w:instrText>
        </w:r>
        <w:r>
          <w:rPr>
            <w:noProof/>
            <w:webHidden/>
          </w:rPr>
        </w:r>
        <w:r>
          <w:rPr>
            <w:noProof/>
            <w:webHidden/>
          </w:rPr>
          <w:fldChar w:fldCharType="separate"/>
        </w:r>
        <w:r>
          <w:rPr>
            <w:noProof/>
            <w:webHidden/>
          </w:rPr>
          <w:t>139</w:t>
        </w:r>
        <w:r>
          <w:rPr>
            <w:noProof/>
            <w:webHidden/>
          </w:rPr>
          <w:fldChar w:fldCharType="end"/>
        </w:r>
      </w:hyperlink>
    </w:p>
    <w:p w14:paraId="6EC91758" w14:textId="0974C17E" w:rsidR="00E666EC" w:rsidRDefault="00E666EC">
      <w:pPr>
        <w:pStyle w:val="ndicedeilustraes"/>
        <w:tabs>
          <w:tab w:val="right" w:leader="dot" w:pos="9055"/>
        </w:tabs>
        <w:rPr>
          <w:rFonts w:asciiTheme="minorHAnsi" w:eastAsiaTheme="minorEastAsia" w:hAnsiTheme="minorHAnsi" w:cstheme="minorBidi"/>
          <w:noProof/>
        </w:rPr>
      </w:pPr>
      <w:hyperlink w:anchor="_Toc167871783" w:history="1">
        <w:r w:rsidRPr="00594BD3">
          <w:rPr>
            <w:rStyle w:val="Hyperlink"/>
            <w:rFonts w:cs="Arial"/>
            <w:noProof/>
          </w:rPr>
          <w:t>Tabela 70</w:t>
        </w:r>
        <w:r>
          <w:rPr>
            <w:rFonts w:asciiTheme="minorHAnsi" w:eastAsiaTheme="minorEastAsia" w:hAnsiTheme="minorHAnsi" w:cstheme="minorBidi"/>
            <w:noProof/>
          </w:rPr>
          <w:tab/>
        </w:r>
        <w:r w:rsidRPr="00594BD3">
          <w:rPr>
            <w:rStyle w:val="Hyperlink"/>
            <w:noProof/>
          </w:rPr>
          <w:t>Renúncia de Receita Concedida x Receita Tributária Arrecadada</w:t>
        </w:r>
        <w:r>
          <w:rPr>
            <w:noProof/>
            <w:webHidden/>
          </w:rPr>
          <w:tab/>
        </w:r>
        <w:r>
          <w:rPr>
            <w:noProof/>
            <w:webHidden/>
          </w:rPr>
          <w:fldChar w:fldCharType="begin"/>
        </w:r>
        <w:r>
          <w:rPr>
            <w:noProof/>
            <w:webHidden/>
          </w:rPr>
          <w:instrText xml:space="preserve"> PAGEREF _Toc167871783 \h </w:instrText>
        </w:r>
        <w:r>
          <w:rPr>
            <w:noProof/>
            <w:webHidden/>
          </w:rPr>
        </w:r>
        <w:r>
          <w:rPr>
            <w:noProof/>
            <w:webHidden/>
          </w:rPr>
          <w:fldChar w:fldCharType="separate"/>
        </w:r>
        <w:r>
          <w:rPr>
            <w:noProof/>
            <w:webHidden/>
          </w:rPr>
          <w:t>141</w:t>
        </w:r>
        <w:r>
          <w:rPr>
            <w:noProof/>
            <w:webHidden/>
          </w:rPr>
          <w:fldChar w:fldCharType="end"/>
        </w:r>
      </w:hyperlink>
    </w:p>
    <w:p w14:paraId="33917AB0" w14:textId="64888BFB" w:rsidR="00E666EC" w:rsidRDefault="00E666EC">
      <w:pPr>
        <w:pStyle w:val="ndicedeilustraes"/>
        <w:tabs>
          <w:tab w:val="right" w:leader="dot" w:pos="9055"/>
        </w:tabs>
        <w:rPr>
          <w:rFonts w:asciiTheme="minorHAnsi" w:eastAsiaTheme="minorEastAsia" w:hAnsiTheme="minorHAnsi" w:cstheme="minorBidi"/>
          <w:noProof/>
        </w:rPr>
      </w:pPr>
      <w:hyperlink w:anchor="_Toc167871784" w:history="1">
        <w:r w:rsidRPr="00594BD3">
          <w:rPr>
            <w:rStyle w:val="Hyperlink"/>
            <w:noProof/>
          </w:rPr>
          <w:t>Tabela 71 Arrecadação e Repasse aos Municípios de ICMS, IPVA e IPI</w:t>
        </w:r>
        <w:r>
          <w:rPr>
            <w:noProof/>
            <w:webHidden/>
          </w:rPr>
          <w:tab/>
        </w:r>
        <w:r>
          <w:rPr>
            <w:noProof/>
            <w:webHidden/>
          </w:rPr>
          <w:fldChar w:fldCharType="begin"/>
        </w:r>
        <w:r>
          <w:rPr>
            <w:noProof/>
            <w:webHidden/>
          </w:rPr>
          <w:instrText xml:space="preserve"> PAGEREF _Toc167871784 \h </w:instrText>
        </w:r>
        <w:r>
          <w:rPr>
            <w:noProof/>
            <w:webHidden/>
          </w:rPr>
        </w:r>
        <w:r>
          <w:rPr>
            <w:noProof/>
            <w:webHidden/>
          </w:rPr>
          <w:fldChar w:fldCharType="separate"/>
        </w:r>
        <w:r>
          <w:rPr>
            <w:noProof/>
            <w:webHidden/>
          </w:rPr>
          <w:t>149</w:t>
        </w:r>
        <w:r>
          <w:rPr>
            <w:noProof/>
            <w:webHidden/>
          </w:rPr>
          <w:fldChar w:fldCharType="end"/>
        </w:r>
      </w:hyperlink>
    </w:p>
    <w:p w14:paraId="6F1C852E" w14:textId="19472FEF" w:rsidR="00E666EC" w:rsidRDefault="00E666EC">
      <w:pPr>
        <w:pStyle w:val="ndicedeilustraes"/>
        <w:tabs>
          <w:tab w:val="right" w:leader="dot" w:pos="9055"/>
        </w:tabs>
        <w:rPr>
          <w:rFonts w:asciiTheme="minorHAnsi" w:eastAsiaTheme="minorEastAsia" w:hAnsiTheme="minorHAnsi" w:cstheme="minorBidi"/>
          <w:noProof/>
        </w:rPr>
      </w:pPr>
      <w:hyperlink w:anchor="_Toc167871785" w:history="1">
        <w:r w:rsidRPr="00594BD3">
          <w:rPr>
            <w:rStyle w:val="Hyperlink"/>
            <w:noProof/>
          </w:rPr>
          <w:t>Tabela 72 Natureza de Receitas de Dedução da Receita por Repasse</w:t>
        </w:r>
        <w:r>
          <w:rPr>
            <w:noProof/>
            <w:webHidden/>
          </w:rPr>
          <w:tab/>
        </w:r>
        <w:r>
          <w:rPr>
            <w:noProof/>
            <w:webHidden/>
          </w:rPr>
          <w:fldChar w:fldCharType="begin"/>
        </w:r>
        <w:r>
          <w:rPr>
            <w:noProof/>
            <w:webHidden/>
          </w:rPr>
          <w:instrText xml:space="preserve"> PAGEREF _Toc167871785 \h </w:instrText>
        </w:r>
        <w:r>
          <w:rPr>
            <w:noProof/>
            <w:webHidden/>
          </w:rPr>
        </w:r>
        <w:r>
          <w:rPr>
            <w:noProof/>
            <w:webHidden/>
          </w:rPr>
          <w:fldChar w:fldCharType="separate"/>
        </w:r>
        <w:r>
          <w:rPr>
            <w:noProof/>
            <w:webHidden/>
          </w:rPr>
          <w:t>150</w:t>
        </w:r>
        <w:r>
          <w:rPr>
            <w:noProof/>
            <w:webHidden/>
          </w:rPr>
          <w:fldChar w:fldCharType="end"/>
        </w:r>
      </w:hyperlink>
    </w:p>
    <w:p w14:paraId="342E2E59" w14:textId="072E0566" w:rsidR="00E666EC" w:rsidRDefault="00E666EC">
      <w:pPr>
        <w:pStyle w:val="ndicedeilustraes"/>
        <w:tabs>
          <w:tab w:val="right" w:leader="dot" w:pos="9055"/>
        </w:tabs>
        <w:rPr>
          <w:rFonts w:asciiTheme="minorHAnsi" w:eastAsiaTheme="minorEastAsia" w:hAnsiTheme="minorHAnsi" w:cstheme="minorBidi"/>
          <w:noProof/>
        </w:rPr>
      </w:pPr>
      <w:hyperlink w:anchor="_Toc167871786" w:history="1">
        <w:r w:rsidRPr="00594BD3">
          <w:rPr>
            <w:rStyle w:val="Hyperlink"/>
            <w:noProof/>
          </w:rPr>
          <w:t>Tabela 73 Despesa na Função Educação por Subfunção</w:t>
        </w:r>
        <w:r>
          <w:rPr>
            <w:noProof/>
            <w:webHidden/>
          </w:rPr>
          <w:tab/>
        </w:r>
        <w:r>
          <w:rPr>
            <w:noProof/>
            <w:webHidden/>
          </w:rPr>
          <w:fldChar w:fldCharType="begin"/>
        </w:r>
        <w:r>
          <w:rPr>
            <w:noProof/>
            <w:webHidden/>
          </w:rPr>
          <w:instrText xml:space="preserve"> PAGEREF _Toc167871786 \h </w:instrText>
        </w:r>
        <w:r>
          <w:rPr>
            <w:noProof/>
            <w:webHidden/>
          </w:rPr>
        </w:r>
        <w:r>
          <w:rPr>
            <w:noProof/>
            <w:webHidden/>
          </w:rPr>
          <w:fldChar w:fldCharType="separate"/>
        </w:r>
        <w:r>
          <w:rPr>
            <w:noProof/>
            <w:webHidden/>
          </w:rPr>
          <w:t>152</w:t>
        </w:r>
        <w:r>
          <w:rPr>
            <w:noProof/>
            <w:webHidden/>
          </w:rPr>
          <w:fldChar w:fldCharType="end"/>
        </w:r>
      </w:hyperlink>
    </w:p>
    <w:p w14:paraId="6AB4D0E4" w14:textId="28E61354" w:rsidR="00E666EC" w:rsidRDefault="00E666EC">
      <w:pPr>
        <w:pStyle w:val="ndicedeilustraes"/>
        <w:tabs>
          <w:tab w:val="right" w:leader="dot" w:pos="9055"/>
        </w:tabs>
        <w:rPr>
          <w:rFonts w:asciiTheme="minorHAnsi" w:eastAsiaTheme="minorEastAsia" w:hAnsiTheme="minorHAnsi" w:cstheme="minorBidi"/>
          <w:noProof/>
        </w:rPr>
      </w:pPr>
      <w:hyperlink w:anchor="_Toc167871787" w:history="1">
        <w:r w:rsidRPr="00594BD3">
          <w:rPr>
            <w:rStyle w:val="Hyperlink"/>
            <w:noProof/>
          </w:rPr>
          <w:t>Tabela 74 Despesa na Função Educação por Programa</w:t>
        </w:r>
        <w:r>
          <w:rPr>
            <w:noProof/>
            <w:webHidden/>
          </w:rPr>
          <w:tab/>
        </w:r>
        <w:r>
          <w:rPr>
            <w:noProof/>
            <w:webHidden/>
          </w:rPr>
          <w:fldChar w:fldCharType="begin"/>
        </w:r>
        <w:r>
          <w:rPr>
            <w:noProof/>
            <w:webHidden/>
          </w:rPr>
          <w:instrText xml:space="preserve"> PAGEREF _Toc167871787 \h </w:instrText>
        </w:r>
        <w:r>
          <w:rPr>
            <w:noProof/>
            <w:webHidden/>
          </w:rPr>
        </w:r>
        <w:r>
          <w:rPr>
            <w:noProof/>
            <w:webHidden/>
          </w:rPr>
          <w:fldChar w:fldCharType="separate"/>
        </w:r>
        <w:r>
          <w:rPr>
            <w:noProof/>
            <w:webHidden/>
          </w:rPr>
          <w:t>153</w:t>
        </w:r>
        <w:r>
          <w:rPr>
            <w:noProof/>
            <w:webHidden/>
          </w:rPr>
          <w:fldChar w:fldCharType="end"/>
        </w:r>
      </w:hyperlink>
    </w:p>
    <w:p w14:paraId="35BE9C63" w14:textId="111E3F42" w:rsidR="00E666EC" w:rsidRDefault="00E666EC">
      <w:pPr>
        <w:pStyle w:val="ndicedeilustraes"/>
        <w:tabs>
          <w:tab w:val="right" w:leader="dot" w:pos="9055"/>
        </w:tabs>
        <w:rPr>
          <w:rFonts w:asciiTheme="minorHAnsi" w:eastAsiaTheme="minorEastAsia" w:hAnsiTheme="minorHAnsi" w:cstheme="minorBidi"/>
          <w:noProof/>
        </w:rPr>
      </w:pPr>
      <w:hyperlink w:anchor="_Toc167871788" w:history="1">
        <w:r w:rsidRPr="00594BD3">
          <w:rPr>
            <w:rStyle w:val="Hyperlink"/>
            <w:noProof/>
          </w:rPr>
          <w:t>Tabela 75 Despesa na Função Educação por Ação</w:t>
        </w:r>
        <w:r>
          <w:rPr>
            <w:noProof/>
            <w:webHidden/>
          </w:rPr>
          <w:tab/>
        </w:r>
        <w:r>
          <w:rPr>
            <w:noProof/>
            <w:webHidden/>
          </w:rPr>
          <w:fldChar w:fldCharType="begin"/>
        </w:r>
        <w:r>
          <w:rPr>
            <w:noProof/>
            <w:webHidden/>
          </w:rPr>
          <w:instrText xml:space="preserve"> PAGEREF _Toc167871788 \h </w:instrText>
        </w:r>
        <w:r>
          <w:rPr>
            <w:noProof/>
            <w:webHidden/>
          </w:rPr>
        </w:r>
        <w:r>
          <w:rPr>
            <w:noProof/>
            <w:webHidden/>
          </w:rPr>
          <w:fldChar w:fldCharType="separate"/>
        </w:r>
        <w:r>
          <w:rPr>
            <w:noProof/>
            <w:webHidden/>
          </w:rPr>
          <w:t>154</w:t>
        </w:r>
        <w:r>
          <w:rPr>
            <w:noProof/>
            <w:webHidden/>
          </w:rPr>
          <w:fldChar w:fldCharType="end"/>
        </w:r>
      </w:hyperlink>
    </w:p>
    <w:p w14:paraId="6C824878" w14:textId="62DC996B" w:rsidR="00E666EC" w:rsidRDefault="00E666EC">
      <w:pPr>
        <w:pStyle w:val="ndicedeilustraes"/>
        <w:tabs>
          <w:tab w:val="right" w:leader="dot" w:pos="9055"/>
        </w:tabs>
        <w:rPr>
          <w:rFonts w:asciiTheme="minorHAnsi" w:eastAsiaTheme="minorEastAsia" w:hAnsiTheme="minorHAnsi" w:cstheme="minorBidi"/>
          <w:noProof/>
        </w:rPr>
      </w:pPr>
      <w:hyperlink w:anchor="_Toc167871789" w:history="1">
        <w:r w:rsidRPr="00594BD3">
          <w:rPr>
            <w:rStyle w:val="Hyperlink"/>
            <w:noProof/>
          </w:rPr>
          <w:t>Tabela 76 Despesa na Função Educação por UO</w:t>
        </w:r>
        <w:r>
          <w:rPr>
            <w:noProof/>
            <w:webHidden/>
          </w:rPr>
          <w:tab/>
        </w:r>
        <w:r>
          <w:rPr>
            <w:noProof/>
            <w:webHidden/>
          </w:rPr>
          <w:fldChar w:fldCharType="begin"/>
        </w:r>
        <w:r>
          <w:rPr>
            <w:noProof/>
            <w:webHidden/>
          </w:rPr>
          <w:instrText xml:space="preserve"> PAGEREF _Toc167871789 \h </w:instrText>
        </w:r>
        <w:r>
          <w:rPr>
            <w:noProof/>
            <w:webHidden/>
          </w:rPr>
        </w:r>
        <w:r>
          <w:rPr>
            <w:noProof/>
            <w:webHidden/>
          </w:rPr>
          <w:fldChar w:fldCharType="separate"/>
        </w:r>
        <w:r>
          <w:rPr>
            <w:noProof/>
            <w:webHidden/>
          </w:rPr>
          <w:t>155</w:t>
        </w:r>
        <w:r>
          <w:rPr>
            <w:noProof/>
            <w:webHidden/>
          </w:rPr>
          <w:fldChar w:fldCharType="end"/>
        </w:r>
      </w:hyperlink>
    </w:p>
    <w:p w14:paraId="5D2320DF" w14:textId="0355FC7C" w:rsidR="00E666EC" w:rsidRDefault="00E666EC">
      <w:pPr>
        <w:pStyle w:val="ndicedeilustraes"/>
        <w:tabs>
          <w:tab w:val="right" w:leader="dot" w:pos="9055"/>
        </w:tabs>
        <w:rPr>
          <w:rFonts w:asciiTheme="minorHAnsi" w:eastAsiaTheme="minorEastAsia" w:hAnsiTheme="minorHAnsi" w:cstheme="minorBidi"/>
          <w:noProof/>
        </w:rPr>
      </w:pPr>
      <w:hyperlink w:anchor="_Toc167871790" w:history="1">
        <w:r w:rsidRPr="00594BD3">
          <w:rPr>
            <w:rStyle w:val="Hyperlink"/>
            <w:noProof/>
          </w:rPr>
          <w:t>Tabela 77 Despesa na Função Educação por Grupo de Despesa</w:t>
        </w:r>
        <w:r>
          <w:rPr>
            <w:noProof/>
            <w:webHidden/>
          </w:rPr>
          <w:tab/>
        </w:r>
        <w:r>
          <w:rPr>
            <w:noProof/>
            <w:webHidden/>
          </w:rPr>
          <w:fldChar w:fldCharType="begin"/>
        </w:r>
        <w:r>
          <w:rPr>
            <w:noProof/>
            <w:webHidden/>
          </w:rPr>
          <w:instrText xml:space="preserve"> PAGEREF _Toc167871790 \h </w:instrText>
        </w:r>
        <w:r>
          <w:rPr>
            <w:noProof/>
            <w:webHidden/>
          </w:rPr>
        </w:r>
        <w:r>
          <w:rPr>
            <w:noProof/>
            <w:webHidden/>
          </w:rPr>
          <w:fldChar w:fldCharType="separate"/>
        </w:r>
        <w:r>
          <w:rPr>
            <w:noProof/>
            <w:webHidden/>
          </w:rPr>
          <w:t>155</w:t>
        </w:r>
        <w:r>
          <w:rPr>
            <w:noProof/>
            <w:webHidden/>
          </w:rPr>
          <w:fldChar w:fldCharType="end"/>
        </w:r>
      </w:hyperlink>
    </w:p>
    <w:p w14:paraId="27B0FFD4" w14:textId="0F800323" w:rsidR="00E666EC" w:rsidRDefault="00E666EC">
      <w:pPr>
        <w:pStyle w:val="ndicedeilustraes"/>
        <w:tabs>
          <w:tab w:val="right" w:leader="dot" w:pos="9055"/>
        </w:tabs>
        <w:rPr>
          <w:rFonts w:asciiTheme="minorHAnsi" w:eastAsiaTheme="minorEastAsia" w:hAnsiTheme="minorHAnsi" w:cstheme="minorBidi"/>
          <w:noProof/>
        </w:rPr>
      </w:pPr>
      <w:hyperlink w:anchor="_Toc167871791" w:history="1">
        <w:r w:rsidRPr="00594BD3">
          <w:rPr>
            <w:rStyle w:val="Hyperlink"/>
            <w:noProof/>
          </w:rPr>
          <w:t>Tabela 78 Repasse ao Fundeb</w:t>
        </w:r>
        <w:r>
          <w:rPr>
            <w:noProof/>
            <w:webHidden/>
          </w:rPr>
          <w:tab/>
        </w:r>
        <w:r>
          <w:rPr>
            <w:noProof/>
            <w:webHidden/>
          </w:rPr>
          <w:fldChar w:fldCharType="begin"/>
        </w:r>
        <w:r>
          <w:rPr>
            <w:noProof/>
            <w:webHidden/>
          </w:rPr>
          <w:instrText xml:space="preserve"> PAGEREF _Toc167871791 \h </w:instrText>
        </w:r>
        <w:r>
          <w:rPr>
            <w:noProof/>
            <w:webHidden/>
          </w:rPr>
        </w:r>
        <w:r>
          <w:rPr>
            <w:noProof/>
            <w:webHidden/>
          </w:rPr>
          <w:fldChar w:fldCharType="separate"/>
        </w:r>
        <w:r>
          <w:rPr>
            <w:noProof/>
            <w:webHidden/>
          </w:rPr>
          <w:t>156</w:t>
        </w:r>
        <w:r>
          <w:rPr>
            <w:noProof/>
            <w:webHidden/>
          </w:rPr>
          <w:fldChar w:fldCharType="end"/>
        </w:r>
      </w:hyperlink>
    </w:p>
    <w:p w14:paraId="4C53224F" w14:textId="2C001945" w:rsidR="00E666EC" w:rsidRDefault="00E666EC">
      <w:pPr>
        <w:pStyle w:val="ndicedeilustraes"/>
        <w:tabs>
          <w:tab w:val="right" w:leader="dot" w:pos="9055"/>
        </w:tabs>
        <w:rPr>
          <w:rFonts w:asciiTheme="minorHAnsi" w:eastAsiaTheme="minorEastAsia" w:hAnsiTheme="minorHAnsi" w:cstheme="minorBidi"/>
          <w:noProof/>
        </w:rPr>
      </w:pPr>
      <w:hyperlink w:anchor="_Toc167871792" w:history="1">
        <w:r w:rsidRPr="00594BD3">
          <w:rPr>
            <w:rStyle w:val="Hyperlink"/>
            <w:noProof/>
          </w:rPr>
          <w:t>Tabela 79 Despesas com Recursos do Fundeb por Subfunção</w:t>
        </w:r>
        <w:r>
          <w:rPr>
            <w:noProof/>
            <w:webHidden/>
          </w:rPr>
          <w:tab/>
        </w:r>
        <w:r>
          <w:rPr>
            <w:noProof/>
            <w:webHidden/>
          </w:rPr>
          <w:fldChar w:fldCharType="begin"/>
        </w:r>
        <w:r>
          <w:rPr>
            <w:noProof/>
            <w:webHidden/>
          </w:rPr>
          <w:instrText xml:space="preserve"> PAGEREF _Toc167871792 \h </w:instrText>
        </w:r>
        <w:r>
          <w:rPr>
            <w:noProof/>
            <w:webHidden/>
          </w:rPr>
        </w:r>
        <w:r>
          <w:rPr>
            <w:noProof/>
            <w:webHidden/>
          </w:rPr>
          <w:fldChar w:fldCharType="separate"/>
        </w:r>
        <w:r>
          <w:rPr>
            <w:noProof/>
            <w:webHidden/>
          </w:rPr>
          <w:t>157</w:t>
        </w:r>
        <w:r>
          <w:rPr>
            <w:noProof/>
            <w:webHidden/>
          </w:rPr>
          <w:fldChar w:fldCharType="end"/>
        </w:r>
      </w:hyperlink>
    </w:p>
    <w:p w14:paraId="2C5816AE" w14:textId="3FB56BE8" w:rsidR="00E666EC" w:rsidRDefault="00E666EC">
      <w:pPr>
        <w:pStyle w:val="ndicedeilustraes"/>
        <w:tabs>
          <w:tab w:val="right" w:leader="dot" w:pos="9055"/>
        </w:tabs>
        <w:rPr>
          <w:rFonts w:asciiTheme="minorHAnsi" w:eastAsiaTheme="minorEastAsia" w:hAnsiTheme="minorHAnsi" w:cstheme="minorBidi"/>
          <w:noProof/>
        </w:rPr>
      </w:pPr>
      <w:hyperlink w:anchor="_Toc167871793" w:history="1">
        <w:r w:rsidRPr="00594BD3">
          <w:rPr>
            <w:rStyle w:val="Hyperlink"/>
            <w:noProof/>
          </w:rPr>
          <w:t>Tabela 80 Base de Cálculo das Receitas para Aplicação em MDE</w:t>
        </w:r>
        <w:r>
          <w:rPr>
            <w:noProof/>
            <w:webHidden/>
          </w:rPr>
          <w:tab/>
        </w:r>
        <w:r>
          <w:rPr>
            <w:noProof/>
            <w:webHidden/>
          </w:rPr>
          <w:fldChar w:fldCharType="begin"/>
        </w:r>
        <w:r>
          <w:rPr>
            <w:noProof/>
            <w:webHidden/>
          </w:rPr>
          <w:instrText xml:space="preserve"> PAGEREF _Toc167871793 \h </w:instrText>
        </w:r>
        <w:r>
          <w:rPr>
            <w:noProof/>
            <w:webHidden/>
          </w:rPr>
        </w:r>
        <w:r>
          <w:rPr>
            <w:noProof/>
            <w:webHidden/>
          </w:rPr>
          <w:fldChar w:fldCharType="separate"/>
        </w:r>
        <w:r>
          <w:rPr>
            <w:noProof/>
            <w:webHidden/>
          </w:rPr>
          <w:t>159</w:t>
        </w:r>
        <w:r>
          <w:rPr>
            <w:noProof/>
            <w:webHidden/>
          </w:rPr>
          <w:fldChar w:fldCharType="end"/>
        </w:r>
      </w:hyperlink>
    </w:p>
    <w:p w14:paraId="4A6ACCDB" w14:textId="0005E5C9" w:rsidR="00E666EC" w:rsidRDefault="00E666EC">
      <w:pPr>
        <w:pStyle w:val="ndicedeilustraes"/>
        <w:tabs>
          <w:tab w:val="right" w:leader="dot" w:pos="9055"/>
        </w:tabs>
        <w:rPr>
          <w:rFonts w:asciiTheme="minorHAnsi" w:eastAsiaTheme="minorEastAsia" w:hAnsiTheme="minorHAnsi" w:cstheme="minorBidi"/>
          <w:noProof/>
        </w:rPr>
      </w:pPr>
      <w:hyperlink w:anchor="_Toc167871794" w:history="1">
        <w:r w:rsidRPr="00594BD3">
          <w:rPr>
            <w:rStyle w:val="Hyperlink"/>
            <w:noProof/>
          </w:rPr>
          <w:t>Tabela 81 Relação MDE e Função Educação</w:t>
        </w:r>
        <w:r>
          <w:rPr>
            <w:noProof/>
            <w:webHidden/>
          </w:rPr>
          <w:tab/>
        </w:r>
        <w:r>
          <w:rPr>
            <w:noProof/>
            <w:webHidden/>
          </w:rPr>
          <w:fldChar w:fldCharType="begin"/>
        </w:r>
        <w:r>
          <w:rPr>
            <w:noProof/>
            <w:webHidden/>
          </w:rPr>
          <w:instrText xml:space="preserve"> PAGEREF _Toc167871794 \h </w:instrText>
        </w:r>
        <w:r>
          <w:rPr>
            <w:noProof/>
            <w:webHidden/>
          </w:rPr>
        </w:r>
        <w:r>
          <w:rPr>
            <w:noProof/>
            <w:webHidden/>
          </w:rPr>
          <w:fldChar w:fldCharType="separate"/>
        </w:r>
        <w:r>
          <w:rPr>
            <w:noProof/>
            <w:webHidden/>
          </w:rPr>
          <w:t>160</w:t>
        </w:r>
        <w:r>
          <w:rPr>
            <w:noProof/>
            <w:webHidden/>
          </w:rPr>
          <w:fldChar w:fldCharType="end"/>
        </w:r>
      </w:hyperlink>
    </w:p>
    <w:p w14:paraId="7E41B782" w14:textId="0081CC98" w:rsidR="00E666EC" w:rsidRDefault="00E666EC">
      <w:pPr>
        <w:pStyle w:val="ndicedeilustraes"/>
        <w:tabs>
          <w:tab w:val="right" w:leader="dot" w:pos="9055"/>
        </w:tabs>
        <w:rPr>
          <w:rFonts w:asciiTheme="minorHAnsi" w:eastAsiaTheme="minorEastAsia" w:hAnsiTheme="minorHAnsi" w:cstheme="minorBidi"/>
          <w:noProof/>
        </w:rPr>
      </w:pPr>
      <w:hyperlink w:anchor="_Toc167871795" w:history="1">
        <w:r w:rsidRPr="00594BD3">
          <w:rPr>
            <w:rStyle w:val="Hyperlink"/>
            <w:noProof/>
          </w:rPr>
          <w:t>Tabela 82 Despesa com MDE Custeadas com a Receita Resultante de Impostos (exceto Fundeb) por Subfunção</w:t>
        </w:r>
        <w:r>
          <w:rPr>
            <w:noProof/>
            <w:webHidden/>
          </w:rPr>
          <w:tab/>
        </w:r>
        <w:r>
          <w:rPr>
            <w:noProof/>
            <w:webHidden/>
          </w:rPr>
          <w:fldChar w:fldCharType="begin"/>
        </w:r>
        <w:r>
          <w:rPr>
            <w:noProof/>
            <w:webHidden/>
          </w:rPr>
          <w:instrText xml:space="preserve"> PAGEREF _Toc167871795 \h </w:instrText>
        </w:r>
        <w:r>
          <w:rPr>
            <w:noProof/>
            <w:webHidden/>
          </w:rPr>
        </w:r>
        <w:r>
          <w:rPr>
            <w:noProof/>
            <w:webHidden/>
          </w:rPr>
          <w:fldChar w:fldCharType="separate"/>
        </w:r>
        <w:r>
          <w:rPr>
            <w:noProof/>
            <w:webHidden/>
          </w:rPr>
          <w:t>160</w:t>
        </w:r>
        <w:r>
          <w:rPr>
            <w:noProof/>
            <w:webHidden/>
          </w:rPr>
          <w:fldChar w:fldCharType="end"/>
        </w:r>
      </w:hyperlink>
    </w:p>
    <w:p w14:paraId="3A2A0125" w14:textId="0F4EBBC5" w:rsidR="00E666EC" w:rsidRDefault="00E666EC">
      <w:pPr>
        <w:pStyle w:val="ndicedeilustraes"/>
        <w:tabs>
          <w:tab w:val="right" w:leader="dot" w:pos="9055"/>
        </w:tabs>
        <w:rPr>
          <w:rFonts w:asciiTheme="minorHAnsi" w:eastAsiaTheme="minorEastAsia" w:hAnsiTheme="minorHAnsi" w:cstheme="minorBidi"/>
          <w:noProof/>
        </w:rPr>
      </w:pPr>
      <w:hyperlink w:anchor="_Toc167871796" w:history="1">
        <w:r w:rsidRPr="00594BD3">
          <w:rPr>
            <w:rStyle w:val="Hyperlink"/>
            <w:noProof/>
          </w:rPr>
          <w:t>Tabela 83 Despesas para Cálculo do Índice Constitucional</w:t>
        </w:r>
        <w:r>
          <w:rPr>
            <w:noProof/>
            <w:webHidden/>
          </w:rPr>
          <w:tab/>
        </w:r>
        <w:r>
          <w:rPr>
            <w:noProof/>
            <w:webHidden/>
          </w:rPr>
          <w:fldChar w:fldCharType="begin"/>
        </w:r>
        <w:r>
          <w:rPr>
            <w:noProof/>
            <w:webHidden/>
          </w:rPr>
          <w:instrText xml:space="preserve"> PAGEREF _Toc167871796 \h </w:instrText>
        </w:r>
        <w:r>
          <w:rPr>
            <w:noProof/>
            <w:webHidden/>
          </w:rPr>
        </w:r>
        <w:r>
          <w:rPr>
            <w:noProof/>
            <w:webHidden/>
          </w:rPr>
          <w:fldChar w:fldCharType="separate"/>
        </w:r>
        <w:r>
          <w:rPr>
            <w:noProof/>
            <w:webHidden/>
          </w:rPr>
          <w:t>161</w:t>
        </w:r>
        <w:r>
          <w:rPr>
            <w:noProof/>
            <w:webHidden/>
          </w:rPr>
          <w:fldChar w:fldCharType="end"/>
        </w:r>
      </w:hyperlink>
    </w:p>
    <w:p w14:paraId="787AB949" w14:textId="1988480A" w:rsidR="00E666EC" w:rsidRDefault="00E666EC">
      <w:pPr>
        <w:pStyle w:val="ndicedeilustraes"/>
        <w:tabs>
          <w:tab w:val="right" w:leader="dot" w:pos="9055"/>
        </w:tabs>
        <w:rPr>
          <w:rFonts w:asciiTheme="minorHAnsi" w:eastAsiaTheme="minorEastAsia" w:hAnsiTheme="minorHAnsi" w:cstheme="minorBidi"/>
          <w:noProof/>
        </w:rPr>
      </w:pPr>
      <w:hyperlink w:anchor="_Toc167871797" w:history="1">
        <w:r w:rsidRPr="00594BD3">
          <w:rPr>
            <w:rStyle w:val="Hyperlink"/>
            <w:noProof/>
          </w:rPr>
          <w:t>Tabela 84 Índice Constitucional da Educação</w:t>
        </w:r>
        <w:r>
          <w:rPr>
            <w:noProof/>
            <w:webHidden/>
          </w:rPr>
          <w:tab/>
        </w:r>
        <w:r>
          <w:rPr>
            <w:noProof/>
            <w:webHidden/>
          </w:rPr>
          <w:fldChar w:fldCharType="begin"/>
        </w:r>
        <w:r>
          <w:rPr>
            <w:noProof/>
            <w:webHidden/>
          </w:rPr>
          <w:instrText xml:space="preserve"> PAGEREF _Toc167871797 \h </w:instrText>
        </w:r>
        <w:r>
          <w:rPr>
            <w:noProof/>
            <w:webHidden/>
          </w:rPr>
        </w:r>
        <w:r>
          <w:rPr>
            <w:noProof/>
            <w:webHidden/>
          </w:rPr>
          <w:fldChar w:fldCharType="separate"/>
        </w:r>
        <w:r>
          <w:rPr>
            <w:noProof/>
            <w:webHidden/>
          </w:rPr>
          <w:t>161</w:t>
        </w:r>
        <w:r>
          <w:rPr>
            <w:noProof/>
            <w:webHidden/>
          </w:rPr>
          <w:fldChar w:fldCharType="end"/>
        </w:r>
      </w:hyperlink>
    </w:p>
    <w:p w14:paraId="1723255A" w14:textId="37B0C93B" w:rsidR="00E666EC" w:rsidRDefault="00E666EC">
      <w:pPr>
        <w:pStyle w:val="ndicedeilustraes"/>
        <w:tabs>
          <w:tab w:val="right" w:leader="dot" w:pos="9055"/>
        </w:tabs>
        <w:rPr>
          <w:rFonts w:asciiTheme="minorHAnsi" w:eastAsiaTheme="minorEastAsia" w:hAnsiTheme="minorHAnsi" w:cstheme="minorBidi"/>
          <w:noProof/>
        </w:rPr>
      </w:pPr>
      <w:hyperlink w:anchor="_Toc167871798" w:history="1">
        <w:r w:rsidRPr="00594BD3">
          <w:rPr>
            <w:rStyle w:val="Hyperlink"/>
            <w:noProof/>
          </w:rPr>
          <w:t>Tabela 85 Despesa na Função Saúde por Subfunção</w:t>
        </w:r>
        <w:r>
          <w:rPr>
            <w:noProof/>
            <w:webHidden/>
          </w:rPr>
          <w:tab/>
        </w:r>
        <w:r>
          <w:rPr>
            <w:noProof/>
            <w:webHidden/>
          </w:rPr>
          <w:fldChar w:fldCharType="begin"/>
        </w:r>
        <w:r>
          <w:rPr>
            <w:noProof/>
            <w:webHidden/>
          </w:rPr>
          <w:instrText xml:space="preserve"> PAGEREF _Toc167871798 \h </w:instrText>
        </w:r>
        <w:r>
          <w:rPr>
            <w:noProof/>
            <w:webHidden/>
          </w:rPr>
        </w:r>
        <w:r>
          <w:rPr>
            <w:noProof/>
            <w:webHidden/>
          </w:rPr>
          <w:fldChar w:fldCharType="separate"/>
        </w:r>
        <w:r>
          <w:rPr>
            <w:noProof/>
            <w:webHidden/>
          </w:rPr>
          <w:t>164</w:t>
        </w:r>
        <w:r>
          <w:rPr>
            <w:noProof/>
            <w:webHidden/>
          </w:rPr>
          <w:fldChar w:fldCharType="end"/>
        </w:r>
      </w:hyperlink>
    </w:p>
    <w:p w14:paraId="3A5C9CAD" w14:textId="1ECD584C" w:rsidR="00E666EC" w:rsidRDefault="00E666EC">
      <w:pPr>
        <w:pStyle w:val="ndicedeilustraes"/>
        <w:tabs>
          <w:tab w:val="right" w:leader="dot" w:pos="9055"/>
        </w:tabs>
        <w:rPr>
          <w:rFonts w:asciiTheme="minorHAnsi" w:eastAsiaTheme="minorEastAsia" w:hAnsiTheme="minorHAnsi" w:cstheme="minorBidi"/>
          <w:noProof/>
        </w:rPr>
      </w:pPr>
      <w:hyperlink w:anchor="_Toc167871799" w:history="1">
        <w:r w:rsidRPr="00594BD3">
          <w:rPr>
            <w:rStyle w:val="Hyperlink"/>
            <w:noProof/>
          </w:rPr>
          <w:t>Tabela 86 Despesa na Função Saúde por Programa</w:t>
        </w:r>
        <w:r>
          <w:rPr>
            <w:noProof/>
            <w:webHidden/>
          </w:rPr>
          <w:tab/>
        </w:r>
        <w:r>
          <w:rPr>
            <w:noProof/>
            <w:webHidden/>
          </w:rPr>
          <w:fldChar w:fldCharType="begin"/>
        </w:r>
        <w:r>
          <w:rPr>
            <w:noProof/>
            <w:webHidden/>
          </w:rPr>
          <w:instrText xml:space="preserve"> PAGEREF _Toc167871799 \h </w:instrText>
        </w:r>
        <w:r>
          <w:rPr>
            <w:noProof/>
            <w:webHidden/>
          </w:rPr>
        </w:r>
        <w:r>
          <w:rPr>
            <w:noProof/>
            <w:webHidden/>
          </w:rPr>
          <w:fldChar w:fldCharType="separate"/>
        </w:r>
        <w:r>
          <w:rPr>
            <w:noProof/>
            <w:webHidden/>
          </w:rPr>
          <w:t>164</w:t>
        </w:r>
        <w:r>
          <w:rPr>
            <w:noProof/>
            <w:webHidden/>
          </w:rPr>
          <w:fldChar w:fldCharType="end"/>
        </w:r>
      </w:hyperlink>
    </w:p>
    <w:p w14:paraId="0DF36E6B" w14:textId="70BA945D" w:rsidR="00E666EC" w:rsidRDefault="00E666EC">
      <w:pPr>
        <w:pStyle w:val="ndicedeilustraes"/>
        <w:tabs>
          <w:tab w:val="right" w:leader="dot" w:pos="9055"/>
        </w:tabs>
        <w:rPr>
          <w:rFonts w:asciiTheme="minorHAnsi" w:eastAsiaTheme="minorEastAsia" w:hAnsiTheme="minorHAnsi" w:cstheme="minorBidi"/>
          <w:noProof/>
        </w:rPr>
      </w:pPr>
      <w:hyperlink w:anchor="_Toc167871800" w:history="1">
        <w:r w:rsidRPr="00594BD3">
          <w:rPr>
            <w:rStyle w:val="Hyperlink"/>
            <w:noProof/>
          </w:rPr>
          <w:t>Tabela 87 Despesa na Função Saúde por Ação</w:t>
        </w:r>
        <w:r>
          <w:rPr>
            <w:noProof/>
            <w:webHidden/>
          </w:rPr>
          <w:tab/>
        </w:r>
        <w:r>
          <w:rPr>
            <w:noProof/>
            <w:webHidden/>
          </w:rPr>
          <w:fldChar w:fldCharType="begin"/>
        </w:r>
        <w:r>
          <w:rPr>
            <w:noProof/>
            <w:webHidden/>
          </w:rPr>
          <w:instrText xml:space="preserve"> PAGEREF _Toc167871800 \h </w:instrText>
        </w:r>
        <w:r>
          <w:rPr>
            <w:noProof/>
            <w:webHidden/>
          </w:rPr>
        </w:r>
        <w:r>
          <w:rPr>
            <w:noProof/>
            <w:webHidden/>
          </w:rPr>
          <w:fldChar w:fldCharType="separate"/>
        </w:r>
        <w:r>
          <w:rPr>
            <w:noProof/>
            <w:webHidden/>
          </w:rPr>
          <w:t>165</w:t>
        </w:r>
        <w:r>
          <w:rPr>
            <w:noProof/>
            <w:webHidden/>
          </w:rPr>
          <w:fldChar w:fldCharType="end"/>
        </w:r>
      </w:hyperlink>
    </w:p>
    <w:p w14:paraId="4EDFC2FB" w14:textId="5C8ADDA5" w:rsidR="00E666EC" w:rsidRDefault="00E666EC">
      <w:pPr>
        <w:pStyle w:val="ndicedeilustraes"/>
        <w:tabs>
          <w:tab w:val="right" w:leader="dot" w:pos="9055"/>
        </w:tabs>
        <w:rPr>
          <w:rFonts w:asciiTheme="minorHAnsi" w:eastAsiaTheme="minorEastAsia" w:hAnsiTheme="minorHAnsi" w:cstheme="minorBidi"/>
          <w:noProof/>
        </w:rPr>
      </w:pPr>
      <w:hyperlink w:anchor="_Toc167871801" w:history="1">
        <w:r w:rsidRPr="00594BD3">
          <w:rPr>
            <w:rStyle w:val="Hyperlink"/>
            <w:noProof/>
          </w:rPr>
          <w:t>Tabela 88 Despesa na Função Saúde por UO</w:t>
        </w:r>
        <w:r>
          <w:rPr>
            <w:noProof/>
            <w:webHidden/>
          </w:rPr>
          <w:tab/>
        </w:r>
        <w:r>
          <w:rPr>
            <w:noProof/>
            <w:webHidden/>
          </w:rPr>
          <w:fldChar w:fldCharType="begin"/>
        </w:r>
        <w:r>
          <w:rPr>
            <w:noProof/>
            <w:webHidden/>
          </w:rPr>
          <w:instrText xml:space="preserve"> PAGEREF _Toc167871801 \h </w:instrText>
        </w:r>
        <w:r>
          <w:rPr>
            <w:noProof/>
            <w:webHidden/>
          </w:rPr>
        </w:r>
        <w:r>
          <w:rPr>
            <w:noProof/>
            <w:webHidden/>
          </w:rPr>
          <w:fldChar w:fldCharType="separate"/>
        </w:r>
        <w:r>
          <w:rPr>
            <w:noProof/>
            <w:webHidden/>
          </w:rPr>
          <w:t>165</w:t>
        </w:r>
        <w:r>
          <w:rPr>
            <w:noProof/>
            <w:webHidden/>
          </w:rPr>
          <w:fldChar w:fldCharType="end"/>
        </w:r>
      </w:hyperlink>
    </w:p>
    <w:p w14:paraId="7947F54A" w14:textId="380C2A60" w:rsidR="00E666EC" w:rsidRDefault="00E666EC">
      <w:pPr>
        <w:pStyle w:val="ndicedeilustraes"/>
        <w:tabs>
          <w:tab w:val="right" w:leader="dot" w:pos="9055"/>
        </w:tabs>
        <w:rPr>
          <w:rFonts w:asciiTheme="minorHAnsi" w:eastAsiaTheme="minorEastAsia" w:hAnsiTheme="minorHAnsi" w:cstheme="minorBidi"/>
          <w:noProof/>
        </w:rPr>
      </w:pPr>
      <w:hyperlink w:anchor="_Toc167871802" w:history="1">
        <w:r w:rsidRPr="00594BD3">
          <w:rPr>
            <w:rStyle w:val="Hyperlink"/>
            <w:noProof/>
          </w:rPr>
          <w:t>Tabela 89 Despesa na Função Saúde por Grupo de Despesa</w:t>
        </w:r>
        <w:r>
          <w:rPr>
            <w:noProof/>
            <w:webHidden/>
          </w:rPr>
          <w:tab/>
        </w:r>
        <w:r>
          <w:rPr>
            <w:noProof/>
            <w:webHidden/>
          </w:rPr>
          <w:fldChar w:fldCharType="begin"/>
        </w:r>
        <w:r>
          <w:rPr>
            <w:noProof/>
            <w:webHidden/>
          </w:rPr>
          <w:instrText xml:space="preserve"> PAGEREF _Toc167871802 \h </w:instrText>
        </w:r>
        <w:r>
          <w:rPr>
            <w:noProof/>
            <w:webHidden/>
          </w:rPr>
        </w:r>
        <w:r>
          <w:rPr>
            <w:noProof/>
            <w:webHidden/>
          </w:rPr>
          <w:fldChar w:fldCharType="separate"/>
        </w:r>
        <w:r>
          <w:rPr>
            <w:noProof/>
            <w:webHidden/>
          </w:rPr>
          <w:t>166</w:t>
        </w:r>
        <w:r>
          <w:rPr>
            <w:noProof/>
            <w:webHidden/>
          </w:rPr>
          <w:fldChar w:fldCharType="end"/>
        </w:r>
      </w:hyperlink>
    </w:p>
    <w:p w14:paraId="589A1D7B" w14:textId="25E6F0F1" w:rsidR="00E666EC" w:rsidRDefault="00E666EC">
      <w:pPr>
        <w:pStyle w:val="ndicedeilustraes"/>
        <w:tabs>
          <w:tab w:val="right" w:leader="dot" w:pos="9055"/>
        </w:tabs>
        <w:rPr>
          <w:rFonts w:asciiTheme="minorHAnsi" w:eastAsiaTheme="minorEastAsia" w:hAnsiTheme="minorHAnsi" w:cstheme="minorBidi"/>
          <w:noProof/>
        </w:rPr>
      </w:pPr>
      <w:hyperlink w:anchor="_Toc167871803" w:history="1">
        <w:r w:rsidRPr="00594BD3">
          <w:rPr>
            <w:rStyle w:val="Hyperlink"/>
            <w:rFonts w:cs="Arial"/>
            <w:noProof/>
          </w:rPr>
          <w:t>Tabela 90</w:t>
        </w:r>
        <w:r>
          <w:rPr>
            <w:rFonts w:asciiTheme="minorHAnsi" w:eastAsiaTheme="minorEastAsia" w:hAnsiTheme="minorHAnsi" w:cstheme="minorBidi"/>
            <w:noProof/>
          </w:rPr>
          <w:tab/>
        </w:r>
        <w:r w:rsidRPr="00594BD3">
          <w:rPr>
            <w:rStyle w:val="Hyperlink"/>
            <w:noProof/>
          </w:rPr>
          <w:t>Despesas Executadas com OSs e OSCs</w:t>
        </w:r>
        <w:r>
          <w:rPr>
            <w:noProof/>
            <w:webHidden/>
          </w:rPr>
          <w:tab/>
        </w:r>
        <w:r>
          <w:rPr>
            <w:noProof/>
            <w:webHidden/>
          </w:rPr>
          <w:fldChar w:fldCharType="begin"/>
        </w:r>
        <w:r>
          <w:rPr>
            <w:noProof/>
            <w:webHidden/>
          </w:rPr>
          <w:instrText xml:space="preserve"> PAGEREF _Toc167871803 \h </w:instrText>
        </w:r>
        <w:r>
          <w:rPr>
            <w:noProof/>
            <w:webHidden/>
          </w:rPr>
        </w:r>
        <w:r>
          <w:rPr>
            <w:noProof/>
            <w:webHidden/>
          </w:rPr>
          <w:fldChar w:fldCharType="separate"/>
        </w:r>
        <w:r>
          <w:rPr>
            <w:noProof/>
            <w:webHidden/>
          </w:rPr>
          <w:t>167</w:t>
        </w:r>
        <w:r>
          <w:rPr>
            <w:noProof/>
            <w:webHidden/>
          </w:rPr>
          <w:fldChar w:fldCharType="end"/>
        </w:r>
      </w:hyperlink>
    </w:p>
    <w:p w14:paraId="2B69CC6E" w14:textId="394B9571" w:rsidR="00E666EC" w:rsidRDefault="00E666EC">
      <w:pPr>
        <w:pStyle w:val="ndicedeilustraes"/>
        <w:tabs>
          <w:tab w:val="right" w:leader="dot" w:pos="9055"/>
        </w:tabs>
        <w:rPr>
          <w:rFonts w:asciiTheme="minorHAnsi" w:eastAsiaTheme="minorEastAsia" w:hAnsiTheme="minorHAnsi" w:cstheme="minorBidi"/>
          <w:noProof/>
        </w:rPr>
      </w:pPr>
      <w:hyperlink w:anchor="_Toc167871804" w:history="1">
        <w:r w:rsidRPr="00594BD3">
          <w:rPr>
            <w:rStyle w:val="Hyperlink"/>
            <w:noProof/>
          </w:rPr>
          <w:t>Tabela 91 Valor Empenhado na Função Saúde às OSs e OSCs</w:t>
        </w:r>
        <w:r>
          <w:rPr>
            <w:noProof/>
            <w:webHidden/>
          </w:rPr>
          <w:tab/>
        </w:r>
        <w:r>
          <w:rPr>
            <w:noProof/>
            <w:webHidden/>
          </w:rPr>
          <w:fldChar w:fldCharType="begin"/>
        </w:r>
        <w:r>
          <w:rPr>
            <w:noProof/>
            <w:webHidden/>
          </w:rPr>
          <w:instrText xml:space="preserve"> PAGEREF _Toc167871804 \h </w:instrText>
        </w:r>
        <w:r>
          <w:rPr>
            <w:noProof/>
            <w:webHidden/>
          </w:rPr>
        </w:r>
        <w:r>
          <w:rPr>
            <w:noProof/>
            <w:webHidden/>
          </w:rPr>
          <w:fldChar w:fldCharType="separate"/>
        </w:r>
        <w:r>
          <w:rPr>
            <w:noProof/>
            <w:webHidden/>
          </w:rPr>
          <w:t>169</w:t>
        </w:r>
        <w:r>
          <w:rPr>
            <w:noProof/>
            <w:webHidden/>
          </w:rPr>
          <w:fldChar w:fldCharType="end"/>
        </w:r>
      </w:hyperlink>
    </w:p>
    <w:p w14:paraId="14D45C26" w14:textId="42359C20" w:rsidR="00E666EC" w:rsidRDefault="00E666EC">
      <w:pPr>
        <w:pStyle w:val="ndicedeilustraes"/>
        <w:tabs>
          <w:tab w:val="right" w:leader="dot" w:pos="9055"/>
        </w:tabs>
        <w:rPr>
          <w:rFonts w:asciiTheme="minorHAnsi" w:eastAsiaTheme="minorEastAsia" w:hAnsiTheme="minorHAnsi" w:cstheme="minorBidi"/>
          <w:noProof/>
        </w:rPr>
      </w:pPr>
      <w:hyperlink w:anchor="_Toc167871805" w:history="1">
        <w:r w:rsidRPr="00594BD3">
          <w:rPr>
            <w:rStyle w:val="Hyperlink"/>
            <w:noProof/>
          </w:rPr>
          <w:t>Tabela 92 Valor Empenhado na Função Saúde às OSs e OSCs por Natureza de Despesa</w:t>
        </w:r>
        <w:r>
          <w:rPr>
            <w:noProof/>
            <w:webHidden/>
          </w:rPr>
          <w:tab/>
        </w:r>
        <w:r>
          <w:rPr>
            <w:noProof/>
            <w:webHidden/>
          </w:rPr>
          <w:fldChar w:fldCharType="begin"/>
        </w:r>
        <w:r>
          <w:rPr>
            <w:noProof/>
            <w:webHidden/>
          </w:rPr>
          <w:instrText xml:space="preserve"> PAGEREF _Toc167871805 \h </w:instrText>
        </w:r>
        <w:r>
          <w:rPr>
            <w:noProof/>
            <w:webHidden/>
          </w:rPr>
        </w:r>
        <w:r>
          <w:rPr>
            <w:noProof/>
            <w:webHidden/>
          </w:rPr>
          <w:fldChar w:fldCharType="separate"/>
        </w:r>
        <w:r>
          <w:rPr>
            <w:noProof/>
            <w:webHidden/>
          </w:rPr>
          <w:t>170</w:t>
        </w:r>
        <w:r>
          <w:rPr>
            <w:noProof/>
            <w:webHidden/>
          </w:rPr>
          <w:fldChar w:fldCharType="end"/>
        </w:r>
      </w:hyperlink>
    </w:p>
    <w:p w14:paraId="31DFDC85" w14:textId="28F59230" w:rsidR="00E666EC" w:rsidRDefault="00E666EC">
      <w:pPr>
        <w:pStyle w:val="ndicedeilustraes"/>
        <w:tabs>
          <w:tab w:val="right" w:leader="dot" w:pos="9055"/>
        </w:tabs>
        <w:rPr>
          <w:rFonts w:asciiTheme="minorHAnsi" w:eastAsiaTheme="minorEastAsia" w:hAnsiTheme="minorHAnsi" w:cstheme="minorBidi"/>
          <w:noProof/>
        </w:rPr>
      </w:pPr>
      <w:hyperlink w:anchor="_Toc167871806" w:history="1">
        <w:r w:rsidRPr="00594BD3">
          <w:rPr>
            <w:rStyle w:val="Hyperlink"/>
            <w:noProof/>
          </w:rPr>
          <w:t>Tabela 93 Base de Cálculo das Receitas para Aplicação em ASPS</w:t>
        </w:r>
        <w:r>
          <w:rPr>
            <w:noProof/>
            <w:webHidden/>
          </w:rPr>
          <w:tab/>
        </w:r>
        <w:r>
          <w:rPr>
            <w:noProof/>
            <w:webHidden/>
          </w:rPr>
          <w:fldChar w:fldCharType="begin"/>
        </w:r>
        <w:r>
          <w:rPr>
            <w:noProof/>
            <w:webHidden/>
          </w:rPr>
          <w:instrText xml:space="preserve"> PAGEREF _Toc167871806 \h </w:instrText>
        </w:r>
        <w:r>
          <w:rPr>
            <w:noProof/>
            <w:webHidden/>
          </w:rPr>
        </w:r>
        <w:r>
          <w:rPr>
            <w:noProof/>
            <w:webHidden/>
          </w:rPr>
          <w:fldChar w:fldCharType="separate"/>
        </w:r>
        <w:r>
          <w:rPr>
            <w:noProof/>
            <w:webHidden/>
          </w:rPr>
          <w:t>172</w:t>
        </w:r>
        <w:r>
          <w:rPr>
            <w:noProof/>
            <w:webHidden/>
          </w:rPr>
          <w:fldChar w:fldCharType="end"/>
        </w:r>
      </w:hyperlink>
    </w:p>
    <w:p w14:paraId="741BB56D" w14:textId="4E66CA37" w:rsidR="00E666EC" w:rsidRDefault="00E666EC">
      <w:pPr>
        <w:pStyle w:val="ndicedeilustraes"/>
        <w:tabs>
          <w:tab w:val="right" w:leader="dot" w:pos="9055"/>
        </w:tabs>
        <w:rPr>
          <w:rFonts w:asciiTheme="minorHAnsi" w:eastAsiaTheme="minorEastAsia" w:hAnsiTheme="minorHAnsi" w:cstheme="minorBidi"/>
          <w:noProof/>
        </w:rPr>
      </w:pPr>
      <w:hyperlink w:anchor="_Toc167871807" w:history="1">
        <w:r w:rsidRPr="00594BD3">
          <w:rPr>
            <w:rStyle w:val="Hyperlink"/>
            <w:noProof/>
          </w:rPr>
          <w:t>Tabela 94 Relação ASPS e Função Saúde</w:t>
        </w:r>
        <w:r>
          <w:rPr>
            <w:noProof/>
            <w:webHidden/>
          </w:rPr>
          <w:tab/>
        </w:r>
        <w:r>
          <w:rPr>
            <w:noProof/>
            <w:webHidden/>
          </w:rPr>
          <w:fldChar w:fldCharType="begin"/>
        </w:r>
        <w:r>
          <w:rPr>
            <w:noProof/>
            <w:webHidden/>
          </w:rPr>
          <w:instrText xml:space="preserve"> PAGEREF _Toc167871807 \h </w:instrText>
        </w:r>
        <w:r>
          <w:rPr>
            <w:noProof/>
            <w:webHidden/>
          </w:rPr>
        </w:r>
        <w:r>
          <w:rPr>
            <w:noProof/>
            <w:webHidden/>
          </w:rPr>
          <w:fldChar w:fldCharType="separate"/>
        </w:r>
        <w:r>
          <w:rPr>
            <w:noProof/>
            <w:webHidden/>
          </w:rPr>
          <w:t>173</w:t>
        </w:r>
        <w:r>
          <w:rPr>
            <w:noProof/>
            <w:webHidden/>
          </w:rPr>
          <w:fldChar w:fldCharType="end"/>
        </w:r>
      </w:hyperlink>
    </w:p>
    <w:p w14:paraId="660C1201" w14:textId="7B0C9228" w:rsidR="00E666EC" w:rsidRDefault="00E666EC">
      <w:pPr>
        <w:pStyle w:val="ndicedeilustraes"/>
        <w:tabs>
          <w:tab w:val="right" w:leader="dot" w:pos="9055"/>
        </w:tabs>
        <w:rPr>
          <w:rFonts w:asciiTheme="minorHAnsi" w:eastAsiaTheme="minorEastAsia" w:hAnsiTheme="minorHAnsi" w:cstheme="minorBidi"/>
          <w:noProof/>
        </w:rPr>
      </w:pPr>
      <w:hyperlink w:anchor="_Toc167871808" w:history="1">
        <w:r w:rsidRPr="00594BD3">
          <w:rPr>
            <w:rStyle w:val="Hyperlink"/>
            <w:noProof/>
          </w:rPr>
          <w:t>Tabela 95 Despesa com ASPS por Subfunção</w:t>
        </w:r>
        <w:r>
          <w:rPr>
            <w:noProof/>
            <w:webHidden/>
          </w:rPr>
          <w:tab/>
        </w:r>
        <w:r>
          <w:rPr>
            <w:noProof/>
            <w:webHidden/>
          </w:rPr>
          <w:fldChar w:fldCharType="begin"/>
        </w:r>
        <w:r>
          <w:rPr>
            <w:noProof/>
            <w:webHidden/>
          </w:rPr>
          <w:instrText xml:space="preserve"> PAGEREF _Toc167871808 \h </w:instrText>
        </w:r>
        <w:r>
          <w:rPr>
            <w:noProof/>
            <w:webHidden/>
          </w:rPr>
        </w:r>
        <w:r>
          <w:rPr>
            <w:noProof/>
            <w:webHidden/>
          </w:rPr>
          <w:fldChar w:fldCharType="separate"/>
        </w:r>
        <w:r>
          <w:rPr>
            <w:noProof/>
            <w:webHidden/>
          </w:rPr>
          <w:t>174</w:t>
        </w:r>
        <w:r>
          <w:rPr>
            <w:noProof/>
            <w:webHidden/>
          </w:rPr>
          <w:fldChar w:fldCharType="end"/>
        </w:r>
      </w:hyperlink>
    </w:p>
    <w:p w14:paraId="781B907E" w14:textId="2579E585" w:rsidR="00E666EC" w:rsidRDefault="00E666EC">
      <w:pPr>
        <w:pStyle w:val="ndicedeilustraes"/>
        <w:tabs>
          <w:tab w:val="right" w:leader="dot" w:pos="9055"/>
        </w:tabs>
        <w:rPr>
          <w:rFonts w:asciiTheme="minorHAnsi" w:eastAsiaTheme="minorEastAsia" w:hAnsiTheme="minorHAnsi" w:cstheme="minorBidi"/>
          <w:noProof/>
        </w:rPr>
      </w:pPr>
      <w:hyperlink w:anchor="_Toc167871809" w:history="1">
        <w:r w:rsidRPr="00594BD3">
          <w:rPr>
            <w:rStyle w:val="Hyperlink"/>
            <w:noProof/>
          </w:rPr>
          <w:t>Tabela 96 Despesa com ASPS por Programa</w:t>
        </w:r>
        <w:r>
          <w:rPr>
            <w:noProof/>
            <w:webHidden/>
          </w:rPr>
          <w:tab/>
        </w:r>
        <w:r>
          <w:rPr>
            <w:noProof/>
            <w:webHidden/>
          </w:rPr>
          <w:fldChar w:fldCharType="begin"/>
        </w:r>
        <w:r>
          <w:rPr>
            <w:noProof/>
            <w:webHidden/>
          </w:rPr>
          <w:instrText xml:space="preserve"> PAGEREF _Toc167871809 \h </w:instrText>
        </w:r>
        <w:r>
          <w:rPr>
            <w:noProof/>
            <w:webHidden/>
          </w:rPr>
        </w:r>
        <w:r>
          <w:rPr>
            <w:noProof/>
            <w:webHidden/>
          </w:rPr>
          <w:fldChar w:fldCharType="separate"/>
        </w:r>
        <w:r>
          <w:rPr>
            <w:noProof/>
            <w:webHidden/>
          </w:rPr>
          <w:t>174</w:t>
        </w:r>
        <w:r>
          <w:rPr>
            <w:noProof/>
            <w:webHidden/>
          </w:rPr>
          <w:fldChar w:fldCharType="end"/>
        </w:r>
      </w:hyperlink>
    </w:p>
    <w:p w14:paraId="548333B3" w14:textId="005968EE" w:rsidR="00E666EC" w:rsidRDefault="00E666EC">
      <w:pPr>
        <w:pStyle w:val="ndicedeilustraes"/>
        <w:tabs>
          <w:tab w:val="right" w:leader="dot" w:pos="9055"/>
        </w:tabs>
        <w:rPr>
          <w:rFonts w:asciiTheme="minorHAnsi" w:eastAsiaTheme="minorEastAsia" w:hAnsiTheme="minorHAnsi" w:cstheme="minorBidi"/>
          <w:noProof/>
        </w:rPr>
      </w:pPr>
      <w:hyperlink w:anchor="_Toc167871810" w:history="1">
        <w:r w:rsidRPr="00594BD3">
          <w:rPr>
            <w:rStyle w:val="Hyperlink"/>
            <w:noProof/>
          </w:rPr>
          <w:t>Tabela 97 Despesa com ASPS por Categoria Econômica e Grupo de Despesa</w:t>
        </w:r>
        <w:r>
          <w:rPr>
            <w:noProof/>
            <w:webHidden/>
          </w:rPr>
          <w:tab/>
        </w:r>
        <w:r>
          <w:rPr>
            <w:noProof/>
            <w:webHidden/>
          </w:rPr>
          <w:fldChar w:fldCharType="begin"/>
        </w:r>
        <w:r>
          <w:rPr>
            <w:noProof/>
            <w:webHidden/>
          </w:rPr>
          <w:instrText xml:space="preserve"> PAGEREF _Toc167871810 \h </w:instrText>
        </w:r>
        <w:r>
          <w:rPr>
            <w:noProof/>
            <w:webHidden/>
          </w:rPr>
        </w:r>
        <w:r>
          <w:rPr>
            <w:noProof/>
            <w:webHidden/>
          </w:rPr>
          <w:fldChar w:fldCharType="separate"/>
        </w:r>
        <w:r>
          <w:rPr>
            <w:noProof/>
            <w:webHidden/>
          </w:rPr>
          <w:t>175</w:t>
        </w:r>
        <w:r>
          <w:rPr>
            <w:noProof/>
            <w:webHidden/>
          </w:rPr>
          <w:fldChar w:fldCharType="end"/>
        </w:r>
      </w:hyperlink>
    </w:p>
    <w:p w14:paraId="486332AB" w14:textId="5B5F9B12" w:rsidR="00E666EC" w:rsidRDefault="00E666EC">
      <w:pPr>
        <w:pStyle w:val="ndicedeilustraes"/>
        <w:tabs>
          <w:tab w:val="right" w:leader="dot" w:pos="9055"/>
        </w:tabs>
        <w:rPr>
          <w:rFonts w:asciiTheme="minorHAnsi" w:eastAsiaTheme="minorEastAsia" w:hAnsiTheme="minorHAnsi" w:cstheme="minorBidi"/>
          <w:noProof/>
        </w:rPr>
      </w:pPr>
      <w:hyperlink w:anchor="_Toc167871811" w:history="1">
        <w:r w:rsidRPr="00594BD3">
          <w:rPr>
            <w:rStyle w:val="Hyperlink"/>
            <w:noProof/>
          </w:rPr>
          <w:t>Tabela 98 Índice Constitucional da Saúde</w:t>
        </w:r>
        <w:r>
          <w:rPr>
            <w:noProof/>
            <w:webHidden/>
          </w:rPr>
          <w:tab/>
        </w:r>
        <w:r>
          <w:rPr>
            <w:noProof/>
            <w:webHidden/>
          </w:rPr>
          <w:fldChar w:fldCharType="begin"/>
        </w:r>
        <w:r>
          <w:rPr>
            <w:noProof/>
            <w:webHidden/>
          </w:rPr>
          <w:instrText xml:space="preserve"> PAGEREF _Toc167871811 \h </w:instrText>
        </w:r>
        <w:r>
          <w:rPr>
            <w:noProof/>
            <w:webHidden/>
          </w:rPr>
        </w:r>
        <w:r>
          <w:rPr>
            <w:noProof/>
            <w:webHidden/>
          </w:rPr>
          <w:fldChar w:fldCharType="separate"/>
        </w:r>
        <w:r>
          <w:rPr>
            <w:noProof/>
            <w:webHidden/>
          </w:rPr>
          <w:t>175</w:t>
        </w:r>
        <w:r>
          <w:rPr>
            <w:noProof/>
            <w:webHidden/>
          </w:rPr>
          <w:fldChar w:fldCharType="end"/>
        </w:r>
      </w:hyperlink>
    </w:p>
    <w:p w14:paraId="209B9F64" w14:textId="31E59AA6" w:rsidR="00E666EC" w:rsidRDefault="00E666EC">
      <w:pPr>
        <w:pStyle w:val="ndicedeilustraes"/>
        <w:tabs>
          <w:tab w:val="right" w:leader="dot" w:pos="9055"/>
        </w:tabs>
        <w:rPr>
          <w:rFonts w:asciiTheme="minorHAnsi" w:eastAsiaTheme="minorEastAsia" w:hAnsiTheme="minorHAnsi" w:cstheme="minorBidi"/>
          <w:noProof/>
        </w:rPr>
      </w:pPr>
      <w:hyperlink w:anchor="_Toc167871812" w:history="1">
        <w:r w:rsidRPr="00594BD3">
          <w:rPr>
            <w:rStyle w:val="Hyperlink"/>
            <w:rFonts w:cs="Arial"/>
            <w:noProof/>
          </w:rPr>
          <w:t>Tabela 99</w:t>
        </w:r>
        <w:r>
          <w:rPr>
            <w:rFonts w:asciiTheme="minorHAnsi" w:eastAsiaTheme="minorEastAsia" w:hAnsiTheme="minorHAnsi" w:cstheme="minorBidi"/>
            <w:noProof/>
          </w:rPr>
          <w:tab/>
        </w:r>
        <w:r w:rsidRPr="00594BD3">
          <w:rPr>
            <w:rStyle w:val="Hyperlink"/>
            <w:noProof/>
          </w:rPr>
          <w:t>Ativo – 2023 x 2022</w:t>
        </w:r>
        <w:r>
          <w:rPr>
            <w:noProof/>
            <w:webHidden/>
          </w:rPr>
          <w:tab/>
        </w:r>
        <w:r>
          <w:rPr>
            <w:noProof/>
            <w:webHidden/>
          </w:rPr>
          <w:fldChar w:fldCharType="begin"/>
        </w:r>
        <w:r>
          <w:rPr>
            <w:noProof/>
            <w:webHidden/>
          </w:rPr>
          <w:instrText xml:space="preserve"> PAGEREF _Toc167871812 \h </w:instrText>
        </w:r>
        <w:r>
          <w:rPr>
            <w:noProof/>
            <w:webHidden/>
          </w:rPr>
        </w:r>
        <w:r>
          <w:rPr>
            <w:noProof/>
            <w:webHidden/>
          </w:rPr>
          <w:fldChar w:fldCharType="separate"/>
        </w:r>
        <w:r>
          <w:rPr>
            <w:noProof/>
            <w:webHidden/>
          </w:rPr>
          <w:t>179</w:t>
        </w:r>
        <w:r>
          <w:rPr>
            <w:noProof/>
            <w:webHidden/>
          </w:rPr>
          <w:fldChar w:fldCharType="end"/>
        </w:r>
      </w:hyperlink>
    </w:p>
    <w:p w14:paraId="0D3E8DEE" w14:textId="370CDC8F" w:rsidR="00E666EC" w:rsidRDefault="00E666EC">
      <w:pPr>
        <w:pStyle w:val="ndicedeilustraes"/>
        <w:tabs>
          <w:tab w:val="right" w:leader="dot" w:pos="9055"/>
        </w:tabs>
        <w:rPr>
          <w:rFonts w:asciiTheme="minorHAnsi" w:eastAsiaTheme="minorEastAsia" w:hAnsiTheme="minorHAnsi" w:cstheme="minorBidi"/>
          <w:noProof/>
        </w:rPr>
      </w:pPr>
      <w:hyperlink w:anchor="_Toc167871813" w:history="1">
        <w:r w:rsidRPr="00594BD3">
          <w:rPr>
            <w:rStyle w:val="Hyperlink"/>
            <w:rFonts w:cs="Arial"/>
            <w:noProof/>
          </w:rPr>
          <w:t>Tabela 100</w:t>
        </w:r>
        <w:r>
          <w:rPr>
            <w:rFonts w:asciiTheme="minorHAnsi" w:eastAsiaTheme="minorEastAsia" w:hAnsiTheme="minorHAnsi" w:cstheme="minorBidi"/>
            <w:noProof/>
          </w:rPr>
          <w:tab/>
        </w:r>
        <w:r w:rsidRPr="00594BD3">
          <w:rPr>
            <w:rStyle w:val="Hyperlink"/>
            <w:noProof/>
          </w:rPr>
          <w:t>Caixa e Equivalentes de Caixa – 2023 x 2022</w:t>
        </w:r>
        <w:r>
          <w:rPr>
            <w:noProof/>
            <w:webHidden/>
          </w:rPr>
          <w:tab/>
        </w:r>
        <w:r>
          <w:rPr>
            <w:noProof/>
            <w:webHidden/>
          </w:rPr>
          <w:fldChar w:fldCharType="begin"/>
        </w:r>
        <w:r>
          <w:rPr>
            <w:noProof/>
            <w:webHidden/>
          </w:rPr>
          <w:instrText xml:space="preserve"> PAGEREF _Toc167871813 \h </w:instrText>
        </w:r>
        <w:r>
          <w:rPr>
            <w:noProof/>
            <w:webHidden/>
          </w:rPr>
        </w:r>
        <w:r>
          <w:rPr>
            <w:noProof/>
            <w:webHidden/>
          </w:rPr>
          <w:fldChar w:fldCharType="separate"/>
        </w:r>
        <w:r>
          <w:rPr>
            <w:noProof/>
            <w:webHidden/>
          </w:rPr>
          <w:t>181</w:t>
        </w:r>
        <w:r>
          <w:rPr>
            <w:noProof/>
            <w:webHidden/>
          </w:rPr>
          <w:fldChar w:fldCharType="end"/>
        </w:r>
      </w:hyperlink>
    </w:p>
    <w:p w14:paraId="33D7ABB1" w14:textId="3585E855" w:rsidR="00E666EC" w:rsidRDefault="00E666EC">
      <w:pPr>
        <w:pStyle w:val="ndicedeilustraes"/>
        <w:tabs>
          <w:tab w:val="right" w:leader="dot" w:pos="9055"/>
        </w:tabs>
        <w:rPr>
          <w:rFonts w:asciiTheme="minorHAnsi" w:eastAsiaTheme="minorEastAsia" w:hAnsiTheme="minorHAnsi" w:cstheme="minorBidi"/>
          <w:noProof/>
        </w:rPr>
      </w:pPr>
      <w:hyperlink w:anchor="_Toc167871814" w:history="1">
        <w:r w:rsidRPr="00594BD3">
          <w:rPr>
            <w:rStyle w:val="Hyperlink"/>
            <w:rFonts w:cs="Arial"/>
            <w:noProof/>
          </w:rPr>
          <w:t>Tabela 101</w:t>
        </w:r>
        <w:r>
          <w:rPr>
            <w:rFonts w:asciiTheme="minorHAnsi" w:eastAsiaTheme="minorEastAsia" w:hAnsiTheme="minorHAnsi" w:cstheme="minorBidi"/>
            <w:noProof/>
          </w:rPr>
          <w:tab/>
        </w:r>
        <w:r w:rsidRPr="00594BD3">
          <w:rPr>
            <w:rStyle w:val="Hyperlink"/>
            <w:noProof/>
          </w:rPr>
          <w:t>Créditos a Curto Prazo – 2023 x 2022</w:t>
        </w:r>
        <w:r>
          <w:rPr>
            <w:noProof/>
            <w:webHidden/>
          </w:rPr>
          <w:tab/>
        </w:r>
        <w:r>
          <w:rPr>
            <w:noProof/>
            <w:webHidden/>
          </w:rPr>
          <w:fldChar w:fldCharType="begin"/>
        </w:r>
        <w:r>
          <w:rPr>
            <w:noProof/>
            <w:webHidden/>
          </w:rPr>
          <w:instrText xml:space="preserve"> PAGEREF _Toc167871814 \h </w:instrText>
        </w:r>
        <w:r>
          <w:rPr>
            <w:noProof/>
            <w:webHidden/>
          </w:rPr>
        </w:r>
        <w:r>
          <w:rPr>
            <w:noProof/>
            <w:webHidden/>
          </w:rPr>
          <w:fldChar w:fldCharType="separate"/>
        </w:r>
        <w:r>
          <w:rPr>
            <w:noProof/>
            <w:webHidden/>
          </w:rPr>
          <w:t>183</w:t>
        </w:r>
        <w:r>
          <w:rPr>
            <w:noProof/>
            <w:webHidden/>
          </w:rPr>
          <w:fldChar w:fldCharType="end"/>
        </w:r>
      </w:hyperlink>
    </w:p>
    <w:p w14:paraId="73E28309" w14:textId="38021F27" w:rsidR="00E666EC" w:rsidRDefault="00E666EC">
      <w:pPr>
        <w:pStyle w:val="ndicedeilustraes"/>
        <w:tabs>
          <w:tab w:val="right" w:leader="dot" w:pos="9055"/>
        </w:tabs>
        <w:rPr>
          <w:rFonts w:asciiTheme="minorHAnsi" w:eastAsiaTheme="minorEastAsia" w:hAnsiTheme="minorHAnsi" w:cstheme="minorBidi"/>
          <w:noProof/>
        </w:rPr>
      </w:pPr>
      <w:hyperlink w:anchor="_Toc167871815" w:history="1">
        <w:r w:rsidRPr="00594BD3">
          <w:rPr>
            <w:rStyle w:val="Hyperlink"/>
            <w:rFonts w:cs="Arial"/>
            <w:noProof/>
          </w:rPr>
          <w:t>Tabela 102</w:t>
        </w:r>
        <w:r>
          <w:rPr>
            <w:rFonts w:asciiTheme="minorHAnsi" w:eastAsiaTheme="minorEastAsia" w:hAnsiTheme="minorHAnsi" w:cstheme="minorBidi"/>
            <w:noProof/>
          </w:rPr>
          <w:tab/>
        </w:r>
        <w:r w:rsidRPr="00594BD3">
          <w:rPr>
            <w:rStyle w:val="Hyperlink"/>
            <w:noProof/>
          </w:rPr>
          <w:t>Demais Créditos e Valores a Curto Prazo – 2023 x 2022</w:t>
        </w:r>
        <w:r>
          <w:rPr>
            <w:noProof/>
            <w:webHidden/>
          </w:rPr>
          <w:tab/>
        </w:r>
        <w:r>
          <w:rPr>
            <w:noProof/>
            <w:webHidden/>
          </w:rPr>
          <w:fldChar w:fldCharType="begin"/>
        </w:r>
        <w:r>
          <w:rPr>
            <w:noProof/>
            <w:webHidden/>
          </w:rPr>
          <w:instrText xml:space="preserve"> PAGEREF _Toc167871815 \h </w:instrText>
        </w:r>
        <w:r>
          <w:rPr>
            <w:noProof/>
            <w:webHidden/>
          </w:rPr>
        </w:r>
        <w:r>
          <w:rPr>
            <w:noProof/>
            <w:webHidden/>
          </w:rPr>
          <w:fldChar w:fldCharType="separate"/>
        </w:r>
        <w:r>
          <w:rPr>
            <w:noProof/>
            <w:webHidden/>
          </w:rPr>
          <w:t>184</w:t>
        </w:r>
        <w:r>
          <w:rPr>
            <w:noProof/>
            <w:webHidden/>
          </w:rPr>
          <w:fldChar w:fldCharType="end"/>
        </w:r>
      </w:hyperlink>
    </w:p>
    <w:p w14:paraId="53C9D306" w14:textId="46908BC9" w:rsidR="00E666EC" w:rsidRDefault="00E666EC">
      <w:pPr>
        <w:pStyle w:val="ndicedeilustraes"/>
        <w:tabs>
          <w:tab w:val="right" w:leader="dot" w:pos="9055"/>
        </w:tabs>
        <w:rPr>
          <w:rFonts w:asciiTheme="minorHAnsi" w:eastAsiaTheme="minorEastAsia" w:hAnsiTheme="minorHAnsi" w:cstheme="minorBidi"/>
          <w:noProof/>
        </w:rPr>
      </w:pPr>
      <w:hyperlink w:anchor="_Toc167871816" w:history="1">
        <w:r w:rsidRPr="00594BD3">
          <w:rPr>
            <w:rStyle w:val="Hyperlink"/>
            <w:rFonts w:cs="Arial"/>
            <w:noProof/>
          </w:rPr>
          <w:t>Tabela 103</w:t>
        </w:r>
        <w:r>
          <w:rPr>
            <w:rFonts w:asciiTheme="minorHAnsi" w:eastAsiaTheme="minorEastAsia" w:hAnsiTheme="minorHAnsi" w:cstheme="minorBidi"/>
            <w:noProof/>
          </w:rPr>
          <w:tab/>
        </w:r>
        <w:r w:rsidRPr="00594BD3">
          <w:rPr>
            <w:rStyle w:val="Hyperlink"/>
            <w:noProof/>
          </w:rPr>
          <w:t>Estoque – Material de Consumo</w:t>
        </w:r>
        <w:r>
          <w:rPr>
            <w:noProof/>
            <w:webHidden/>
          </w:rPr>
          <w:tab/>
        </w:r>
        <w:r>
          <w:rPr>
            <w:noProof/>
            <w:webHidden/>
          </w:rPr>
          <w:fldChar w:fldCharType="begin"/>
        </w:r>
        <w:r>
          <w:rPr>
            <w:noProof/>
            <w:webHidden/>
          </w:rPr>
          <w:instrText xml:space="preserve"> PAGEREF _Toc167871816 \h </w:instrText>
        </w:r>
        <w:r>
          <w:rPr>
            <w:noProof/>
            <w:webHidden/>
          </w:rPr>
        </w:r>
        <w:r>
          <w:rPr>
            <w:noProof/>
            <w:webHidden/>
          </w:rPr>
          <w:fldChar w:fldCharType="separate"/>
        </w:r>
        <w:r>
          <w:rPr>
            <w:noProof/>
            <w:webHidden/>
          </w:rPr>
          <w:t>185</w:t>
        </w:r>
        <w:r>
          <w:rPr>
            <w:noProof/>
            <w:webHidden/>
          </w:rPr>
          <w:fldChar w:fldCharType="end"/>
        </w:r>
      </w:hyperlink>
    </w:p>
    <w:p w14:paraId="00B1769C" w14:textId="44F389A7" w:rsidR="00E666EC" w:rsidRDefault="00E666EC">
      <w:pPr>
        <w:pStyle w:val="ndicedeilustraes"/>
        <w:tabs>
          <w:tab w:val="right" w:leader="dot" w:pos="9055"/>
        </w:tabs>
        <w:rPr>
          <w:rFonts w:asciiTheme="minorHAnsi" w:eastAsiaTheme="minorEastAsia" w:hAnsiTheme="minorHAnsi" w:cstheme="minorBidi"/>
          <w:noProof/>
        </w:rPr>
      </w:pPr>
      <w:hyperlink w:anchor="_Toc167871817" w:history="1">
        <w:r w:rsidRPr="00594BD3">
          <w:rPr>
            <w:rStyle w:val="Hyperlink"/>
            <w:rFonts w:cs="Arial"/>
            <w:noProof/>
          </w:rPr>
          <w:t>Tabela 104</w:t>
        </w:r>
        <w:r>
          <w:rPr>
            <w:rFonts w:asciiTheme="minorHAnsi" w:eastAsiaTheme="minorEastAsia" w:hAnsiTheme="minorHAnsi" w:cstheme="minorBidi"/>
            <w:noProof/>
          </w:rPr>
          <w:tab/>
        </w:r>
        <w:r w:rsidRPr="00594BD3">
          <w:rPr>
            <w:rStyle w:val="Hyperlink"/>
            <w:noProof/>
          </w:rPr>
          <w:t>Ativo Realizável a Longo Prazo – 2023 x 2022</w:t>
        </w:r>
        <w:r>
          <w:rPr>
            <w:noProof/>
            <w:webHidden/>
          </w:rPr>
          <w:tab/>
        </w:r>
        <w:r>
          <w:rPr>
            <w:noProof/>
            <w:webHidden/>
          </w:rPr>
          <w:fldChar w:fldCharType="begin"/>
        </w:r>
        <w:r>
          <w:rPr>
            <w:noProof/>
            <w:webHidden/>
          </w:rPr>
          <w:instrText xml:space="preserve"> PAGEREF _Toc167871817 \h </w:instrText>
        </w:r>
        <w:r>
          <w:rPr>
            <w:noProof/>
            <w:webHidden/>
          </w:rPr>
        </w:r>
        <w:r>
          <w:rPr>
            <w:noProof/>
            <w:webHidden/>
          </w:rPr>
          <w:fldChar w:fldCharType="separate"/>
        </w:r>
        <w:r>
          <w:rPr>
            <w:noProof/>
            <w:webHidden/>
          </w:rPr>
          <w:t>187</w:t>
        </w:r>
        <w:r>
          <w:rPr>
            <w:noProof/>
            <w:webHidden/>
          </w:rPr>
          <w:fldChar w:fldCharType="end"/>
        </w:r>
      </w:hyperlink>
    </w:p>
    <w:p w14:paraId="331FE197" w14:textId="3C736258" w:rsidR="00E666EC" w:rsidRDefault="00E666EC">
      <w:pPr>
        <w:pStyle w:val="ndicedeilustraes"/>
        <w:tabs>
          <w:tab w:val="right" w:leader="dot" w:pos="9055"/>
        </w:tabs>
        <w:rPr>
          <w:rFonts w:asciiTheme="minorHAnsi" w:eastAsiaTheme="minorEastAsia" w:hAnsiTheme="minorHAnsi" w:cstheme="minorBidi"/>
          <w:noProof/>
        </w:rPr>
      </w:pPr>
      <w:hyperlink w:anchor="_Toc167871818" w:history="1">
        <w:r w:rsidRPr="00594BD3">
          <w:rPr>
            <w:rStyle w:val="Hyperlink"/>
            <w:rFonts w:cs="Arial"/>
            <w:noProof/>
          </w:rPr>
          <w:t>Tabela 105</w:t>
        </w:r>
        <w:r>
          <w:rPr>
            <w:rFonts w:asciiTheme="minorHAnsi" w:eastAsiaTheme="minorEastAsia" w:hAnsiTheme="minorHAnsi" w:cstheme="minorBidi"/>
            <w:noProof/>
          </w:rPr>
          <w:tab/>
        </w:r>
        <w:r w:rsidRPr="00594BD3">
          <w:rPr>
            <w:rStyle w:val="Hyperlink"/>
            <w:noProof/>
          </w:rPr>
          <w:t>Dívida Ativa – 2023 x 2022</w:t>
        </w:r>
        <w:r>
          <w:rPr>
            <w:noProof/>
            <w:webHidden/>
          </w:rPr>
          <w:tab/>
        </w:r>
        <w:r>
          <w:rPr>
            <w:noProof/>
            <w:webHidden/>
          </w:rPr>
          <w:fldChar w:fldCharType="begin"/>
        </w:r>
        <w:r>
          <w:rPr>
            <w:noProof/>
            <w:webHidden/>
          </w:rPr>
          <w:instrText xml:space="preserve"> PAGEREF _Toc167871818 \h </w:instrText>
        </w:r>
        <w:r>
          <w:rPr>
            <w:noProof/>
            <w:webHidden/>
          </w:rPr>
        </w:r>
        <w:r>
          <w:rPr>
            <w:noProof/>
            <w:webHidden/>
          </w:rPr>
          <w:fldChar w:fldCharType="separate"/>
        </w:r>
        <w:r>
          <w:rPr>
            <w:noProof/>
            <w:webHidden/>
          </w:rPr>
          <w:t>189</w:t>
        </w:r>
        <w:r>
          <w:rPr>
            <w:noProof/>
            <w:webHidden/>
          </w:rPr>
          <w:fldChar w:fldCharType="end"/>
        </w:r>
      </w:hyperlink>
    </w:p>
    <w:p w14:paraId="691E2A0E" w14:textId="782EF637" w:rsidR="00E666EC" w:rsidRDefault="00E666EC">
      <w:pPr>
        <w:pStyle w:val="ndicedeilustraes"/>
        <w:tabs>
          <w:tab w:val="right" w:leader="dot" w:pos="9055"/>
        </w:tabs>
        <w:rPr>
          <w:rFonts w:asciiTheme="minorHAnsi" w:eastAsiaTheme="minorEastAsia" w:hAnsiTheme="minorHAnsi" w:cstheme="minorBidi"/>
          <w:noProof/>
        </w:rPr>
      </w:pPr>
      <w:hyperlink w:anchor="_Toc167871819" w:history="1">
        <w:r w:rsidRPr="00594BD3">
          <w:rPr>
            <w:rStyle w:val="Hyperlink"/>
            <w:rFonts w:cs="Arial"/>
            <w:noProof/>
          </w:rPr>
          <w:t>Tabela 106</w:t>
        </w:r>
        <w:r>
          <w:rPr>
            <w:rFonts w:asciiTheme="minorHAnsi" w:eastAsiaTheme="minorEastAsia" w:hAnsiTheme="minorHAnsi" w:cstheme="minorBidi"/>
            <w:noProof/>
          </w:rPr>
          <w:tab/>
        </w:r>
        <w:r w:rsidRPr="00594BD3">
          <w:rPr>
            <w:rStyle w:val="Hyperlink"/>
            <w:noProof/>
          </w:rPr>
          <w:t>Dívida Ativa – Situação Processual dos Créditos Inscritos – 2023 x 2022</w:t>
        </w:r>
        <w:r>
          <w:rPr>
            <w:noProof/>
            <w:webHidden/>
          </w:rPr>
          <w:tab/>
        </w:r>
        <w:r>
          <w:rPr>
            <w:noProof/>
            <w:webHidden/>
          </w:rPr>
          <w:fldChar w:fldCharType="begin"/>
        </w:r>
        <w:r>
          <w:rPr>
            <w:noProof/>
            <w:webHidden/>
          </w:rPr>
          <w:instrText xml:space="preserve"> PAGEREF _Toc167871819 \h </w:instrText>
        </w:r>
        <w:r>
          <w:rPr>
            <w:noProof/>
            <w:webHidden/>
          </w:rPr>
        </w:r>
        <w:r>
          <w:rPr>
            <w:noProof/>
            <w:webHidden/>
          </w:rPr>
          <w:fldChar w:fldCharType="separate"/>
        </w:r>
        <w:r>
          <w:rPr>
            <w:noProof/>
            <w:webHidden/>
          </w:rPr>
          <w:t>192</w:t>
        </w:r>
        <w:r>
          <w:rPr>
            <w:noProof/>
            <w:webHidden/>
          </w:rPr>
          <w:fldChar w:fldCharType="end"/>
        </w:r>
      </w:hyperlink>
    </w:p>
    <w:p w14:paraId="45405C60" w14:textId="39A42E6C" w:rsidR="00E666EC" w:rsidRDefault="00E666EC">
      <w:pPr>
        <w:pStyle w:val="ndicedeilustraes"/>
        <w:tabs>
          <w:tab w:val="right" w:leader="dot" w:pos="9055"/>
        </w:tabs>
        <w:rPr>
          <w:rFonts w:asciiTheme="minorHAnsi" w:eastAsiaTheme="minorEastAsia" w:hAnsiTheme="minorHAnsi" w:cstheme="minorBidi"/>
          <w:noProof/>
        </w:rPr>
      </w:pPr>
      <w:hyperlink w:anchor="_Toc167871820" w:history="1">
        <w:r w:rsidRPr="00594BD3">
          <w:rPr>
            <w:rStyle w:val="Hyperlink"/>
            <w:rFonts w:cs="Arial"/>
            <w:noProof/>
          </w:rPr>
          <w:t>Tabela 107</w:t>
        </w:r>
        <w:r>
          <w:rPr>
            <w:rFonts w:asciiTheme="minorHAnsi" w:eastAsiaTheme="minorEastAsia" w:hAnsiTheme="minorHAnsi" w:cstheme="minorBidi"/>
            <w:noProof/>
          </w:rPr>
          <w:tab/>
        </w:r>
        <w:r w:rsidRPr="00594BD3">
          <w:rPr>
            <w:rStyle w:val="Hyperlink"/>
            <w:noProof/>
          </w:rPr>
          <w:t>Dívida Ativa por Tipo de Crédito e Situação Cadastral do Contribuinte</w:t>
        </w:r>
        <w:r>
          <w:rPr>
            <w:noProof/>
            <w:webHidden/>
          </w:rPr>
          <w:tab/>
        </w:r>
        <w:r>
          <w:rPr>
            <w:noProof/>
            <w:webHidden/>
          </w:rPr>
          <w:fldChar w:fldCharType="begin"/>
        </w:r>
        <w:r>
          <w:rPr>
            <w:noProof/>
            <w:webHidden/>
          </w:rPr>
          <w:instrText xml:space="preserve"> PAGEREF _Toc167871820 \h </w:instrText>
        </w:r>
        <w:r>
          <w:rPr>
            <w:noProof/>
            <w:webHidden/>
          </w:rPr>
        </w:r>
        <w:r>
          <w:rPr>
            <w:noProof/>
            <w:webHidden/>
          </w:rPr>
          <w:fldChar w:fldCharType="separate"/>
        </w:r>
        <w:r>
          <w:rPr>
            <w:noProof/>
            <w:webHidden/>
          </w:rPr>
          <w:t>192</w:t>
        </w:r>
        <w:r>
          <w:rPr>
            <w:noProof/>
            <w:webHidden/>
          </w:rPr>
          <w:fldChar w:fldCharType="end"/>
        </w:r>
      </w:hyperlink>
    </w:p>
    <w:p w14:paraId="5124A5A4" w14:textId="31162214" w:rsidR="00E666EC" w:rsidRDefault="00E666EC">
      <w:pPr>
        <w:pStyle w:val="ndicedeilustraes"/>
        <w:tabs>
          <w:tab w:val="right" w:leader="dot" w:pos="9055"/>
        </w:tabs>
        <w:rPr>
          <w:rFonts w:asciiTheme="minorHAnsi" w:eastAsiaTheme="minorEastAsia" w:hAnsiTheme="minorHAnsi" w:cstheme="minorBidi"/>
          <w:noProof/>
        </w:rPr>
      </w:pPr>
      <w:hyperlink w:anchor="_Toc167871821" w:history="1">
        <w:r w:rsidRPr="00594BD3">
          <w:rPr>
            <w:rStyle w:val="Hyperlink"/>
            <w:rFonts w:cs="Arial"/>
            <w:noProof/>
          </w:rPr>
          <w:t>Tabela 108</w:t>
        </w:r>
        <w:r>
          <w:rPr>
            <w:rFonts w:asciiTheme="minorHAnsi" w:eastAsiaTheme="minorEastAsia" w:hAnsiTheme="minorHAnsi" w:cstheme="minorBidi"/>
            <w:noProof/>
          </w:rPr>
          <w:tab/>
        </w:r>
        <w:r w:rsidRPr="00594BD3">
          <w:rPr>
            <w:rStyle w:val="Hyperlink"/>
            <w:noProof/>
          </w:rPr>
          <w:t>Arrecadação x Estoque da Dívida Ativa – 2019 a 2023</w:t>
        </w:r>
        <w:r>
          <w:rPr>
            <w:noProof/>
            <w:webHidden/>
          </w:rPr>
          <w:tab/>
        </w:r>
        <w:r>
          <w:rPr>
            <w:noProof/>
            <w:webHidden/>
          </w:rPr>
          <w:fldChar w:fldCharType="begin"/>
        </w:r>
        <w:r>
          <w:rPr>
            <w:noProof/>
            <w:webHidden/>
          </w:rPr>
          <w:instrText xml:space="preserve"> PAGEREF _Toc167871821 \h </w:instrText>
        </w:r>
        <w:r>
          <w:rPr>
            <w:noProof/>
            <w:webHidden/>
          </w:rPr>
        </w:r>
        <w:r>
          <w:rPr>
            <w:noProof/>
            <w:webHidden/>
          </w:rPr>
          <w:fldChar w:fldCharType="separate"/>
        </w:r>
        <w:r>
          <w:rPr>
            <w:noProof/>
            <w:webHidden/>
          </w:rPr>
          <w:t>193</w:t>
        </w:r>
        <w:r>
          <w:rPr>
            <w:noProof/>
            <w:webHidden/>
          </w:rPr>
          <w:fldChar w:fldCharType="end"/>
        </w:r>
      </w:hyperlink>
    </w:p>
    <w:p w14:paraId="05F36B75" w14:textId="71FECC8F" w:rsidR="00E666EC" w:rsidRDefault="00E666EC">
      <w:pPr>
        <w:pStyle w:val="ndicedeilustraes"/>
        <w:tabs>
          <w:tab w:val="right" w:leader="dot" w:pos="9055"/>
        </w:tabs>
        <w:rPr>
          <w:rFonts w:asciiTheme="minorHAnsi" w:eastAsiaTheme="minorEastAsia" w:hAnsiTheme="minorHAnsi" w:cstheme="minorBidi"/>
          <w:noProof/>
        </w:rPr>
      </w:pPr>
      <w:hyperlink w:anchor="_Toc167871822" w:history="1">
        <w:r w:rsidRPr="00594BD3">
          <w:rPr>
            <w:rStyle w:val="Hyperlink"/>
            <w:rFonts w:cs="Arial"/>
            <w:noProof/>
          </w:rPr>
          <w:t>Tabela 109</w:t>
        </w:r>
        <w:r>
          <w:rPr>
            <w:rFonts w:asciiTheme="minorHAnsi" w:eastAsiaTheme="minorEastAsia" w:hAnsiTheme="minorHAnsi" w:cstheme="minorBidi"/>
            <w:noProof/>
          </w:rPr>
          <w:tab/>
        </w:r>
        <w:r w:rsidRPr="00594BD3">
          <w:rPr>
            <w:rStyle w:val="Hyperlink"/>
            <w:noProof/>
          </w:rPr>
          <w:t>Bens Móveis e Imóveis – 2023 x 2022</w:t>
        </w:r>
        <w:r>
          <w:rPr>
            <w:noProof/>
            <w:webHidden/>
          </w:rPr>
          <w:tab/>
        </w:r>
        <w:r>
          <w:rPr>
            <w:noProof/>
            <w:webHidden/>
          </w:rPr>
          <w:fldChar w:fldCharType="begin"/>
        </w:r>
        <w:r>
          <w:rPr>
            <w:noProof/>
            <w:webHidden/>
          </w:rPr>
          <w:instrText xml:space="preserve"> PAGEREF _Toc167871822 \h </w:instrText>
        </w:r>
        <w:r>
          <w:rPr>
            <w:noProof/>
            <w:webHidden/>
          </w:rPr>
        </w:r>
        <w:r>
          <w:rPr>
            <w:noProof/>
            <w:webHidden/>
          </w:rPr>
          <w:fldChar w:fldCharType="separate"/>
        </w:r>
        <w:r>
          <w:rPr>
            <w:noProof/>
            <w:webHidden/>
          </w:rPr>
          <w:t>196</w:t>
        </w:r>
        <w:r>
          <w:rPr>
            <w:noProof/>
            <w:webHidden/>
          </w:rPr>
          <w:fldChar w:fldCharType="end"/>
        </w:r>
      </w:hyperlink>
    </w:p>
    <w:p w14:paraId="666E2A0A" w14:textId="759C5D4E" w:rsidR="00E666EC" w:rsidRDefault="00E666EC">
      <w:pPr>
        <w:pStyle w:val="ndicedeilustraes"/>
        <w:tabs>
          <w:tab w:val="right" w:leader="dot" w:pos="9055"/>
        </w:tabs>
        <w:rPr>
          <w:rFonts w:asciiTheme="minorHAnsi" w:eastAsiaTheme="minorEastAsia" w:hAnsiTheme="minorHAnsi" w:cstheme="minorBidi"/>
          <w:noProof/>
        </w:rPr>
      </w:pPr>
      <w:hyperlink w:anchor="_Toc167871823" w:history="1">
        <w:r w:rsidRPr="00594BD3">
          <w:rPr>
            <w:rStyle w:val="Hyperlink"/>
            <w:rFonts w:cs="Arial"/>
            <w:noProof/>
          </w:rPr>
          <w:t>Tabela 110</w:t>
        </w:r>
        <w:r>
          <w:rPr>
            <w:rFonts w:asciiTheme="minorHAnsi" w:eastAsiaTheme="minorEastAsia" w:hAnsiTheme="minorHAnsi" w:cstheme="minorBidi"/>
            <w:noProof/>
          </w:rPr>
          <w:tab/>
        </w:r>
        <w:r w:rsidRPr="00594BD3">
          <w:rPr>
            <w:rStyle w:val="Hyperlink"/>
            <w:noProof/>
          </w:rPr>
          <w:t>Intangível – 2023 x 2022</w:t>
        </w:r>
        <w:r>
          <w:rPr>
            <w:noProof/>
            <w:webHidden/>
          </w:rPr>
          <w:tab/>
        </w:r>
        <w:r>
          <w:rPr>
            <w:noProof/>
            <w:webHidden/>
          </w:rPr>
          <w:fldChar w:fldCharType="begin"/>
        </w:r>
        <w:r>
          <w:rPr>
            <w:noProof/>
            <w:webHidden/>
          </w:rPr>
          <w:instrText xml:space="preserve"> PAGEREF _Toc167871823 \h </w:instrText>
        </w:r>
        <w:r>
          <w:rPr>
            <w:noProof/>
            <w:webHidden/>
          </w:rPr>
        </w:r>
        <w:r>
          <w:rPr>
            <w:noProof/>
            <w:webHidden/>
          </w:rPr>
          <w:fldChar w:fldCharType="separate"/>
        </w:r>
        <w:r>
          <w:rPr>
            <w:noProof/>
            <w:webHidden/>
          </w:rPr>
          <w:t>203</w:t>
        </w:r>
        <w:r>
          <w:rPr>
            <w:noProof/>
            <w:webHidden/>
          </w:rPr>
          <w:fldChar w:fldCharType="end"/>
        </w:r>
      </w:hyperlink>
    </w:p>
    <w:p w14:paraId="2B4FA6DD" w14:textId="3BE886F3" w:rsidR="00E666EC" w:rsidRDefault="00E666EC">
      <w:pPr>
        <w:pStyle w:val="ndicedeilustraes"/>
        <w:tabs>
          <w:tab w:val="right" w:leader="dot" w:pos="9055"/>
        </w:tabs>
        <w:rPr>
          <w:rFonts w:asciiTheme="minorHAnsi" w:eastAsiaTheme="minorEastAsia" w:hAnsiTheme="minorHAnsi" w:cstheme="minorBidi"/>
          <w:noProof/>
        </w:rPr>
      </w:pPr>
      <w:hyperlink w:anchor="_Toc167871824" w:history="1">
        <w:r w:rsidRPr="00594BD3">
          <w:rPr>
            <w:rStyle w:val="Hyperlink"/>
            <w:rFonts w:cs="Arial"/>
            <w:noProof/>
          </w:rPr>
          <w:t>Tabela 111</w:t>
        </w:r>
        <w:r>
          <w:rPr>
            <w:rFonts w:asciiTheme="minorHAnsi" w:eastAsiaTheme="minorEastAsia" w:hAnsiTheme="minorHAnsi" w:cstheme="minorBidi"/>
            <w:noProof/>
          </w:rPr>
          <w:tab/>
        </w:r>
        <w:r w:rsidRPr="00594BD3">
          <w:rPr>
            <w:rStyle w:val="Hyperlink"/>
            <w:noProof/>
          </w:rPr>
          <w:t>Composição do Passivo 2023 x 2022</w:t>
        </w:r>
        <w:r>
          <w:rPr>
            <w:noProof/>
            <w:webHidden/>
          </w:rPr>
          <w:tab/>
        </w:r>
        <w:r>
          <w:rPr>
            <w:noProof/>
            <w:webHidden/>
          </w:rPr>
          <w:fldChar w:fldCharType="begin"/>
        </w:r>
        <w:r>
          <w:rPr>
            <w:noProof/>
            <w:webHidden/>
          </w:rPr>
          <w:instrText xml:space="preserve"> PAGEREF _Toc167871824 \h </w:instrText>
        </w:r>
        <w:r>
          <w:rPr>
            <w:noProof/>
            <w:webHidden/>
          </w:rPr>
        </w:r>
        <w:r>
          <w:rPr>
            <w:noProof/>
            <w:webHidden/>
          </w:rPr>
          <w:fldChar w:fldCharType="separate"/>
        </w:r>
        <w:r>
          <w:rPr>
            <w:noProof/>
            <w:webHidden/>
          </w:rPr>
          <w:t>204</w:t>
        </w:r>
        <w:r>
          <w:rPr>
            <w:noProof/>
            <w:webHidden/>
          </w:rPr>
          <w:fldChar w:fldCharType="end"/>
        </w:r>
      </w:hyperlink>
    </w:p>
    <w:p w14:paraId="29C12EF9" w14:textId="4C42444E" w:rsidR="00E666EC" w:rsidRDefault="00E666EC">
      <w:pPr>
        <w:pStyle w:val="ndicedeilustraes"/>
        <w:tabs>
          <w:tab w:val="right" w:leader="dot" w:pos="9055"/>
        </w:tabs>
        <w:rPr>
          <w:rFonts w:asciiTheme="minorHAnsi" w:eastAsiaTheme="minorEastAsia" w:hAnsiTheme="minorHAnsi" w:cstheme="minorBidi"/>
          <w:noProof/>
        </w:rPr>
      </w:pPr>
      <w:hyperlink w:anchor="_Toc167871825" w:history="1">
        <w:r w:rsidRPr="00594BD3">
          <w:rPr>
            <w:rStyle w:val="Hyperlink"/>
            <w:rFonts w:cs="Arial"/>
            <w:noProof/>
          </w:rPr>
          <w:t>Tabela 112</w:t>
        </w:r>
        <w:r>
          <w:rPr>
            <w:rFonts w:asciiTheme="minorHAnsi" w:eastAsiaTheme="minorEastAsia" w:hAnsiTheme="minorHAnsi" w:cstheme="minorBidi"/>
            <w:noProof/>
          </w:rPr>
          <w:tab/>
        </w:r>
        <w:r w:rsidRPr="00594BD3">
          <w:rPr>
            <w:rStyle w:val="Hyperlink"/>
            <w:noProof/>
          </w:rPr>
          <w:t>Empréstimos e Financiamentos 2023 x 2022</w:t>
        </w:r>
        <w:r>
          <w:rPr>
            <w:noProof/>
            <w:webHidden/>
          </w:rPr>
          <w:tab/>
        </w:r>
        <w:r>
          <w:rPr>
            <w:noProof/>
            <w:webHidden/>
          </w:rPr>
          <w:fldChar w:fldCharType="begin"/>
        </w:r>
        <w:r>
          <w:rPr>
            <w:noProof/>
            <w:webHidden/>
          </w:rPr>
          <w:instrText xml:space="preserve"> PAGEREF _Toc167871825 \h </w:instrText>
        </w:r>
        <w:r>
          <w:rPr>
            <w:noProof/>
            <w:webHidden/>
          </w:rPr>
        </w:r>
        <w:r>
          <w:rPr>
            <w:noProof/>
            <w:webHidden/>
          </w:rPr>
          <w:fldChar w:fldCharType="separate"/>
        </w:r>
        <w:r>
          <w:rPr>
            <w:noProof/>
            <w:webHidden/>
          </w:rPr>
          <w:t>206</w:t>
        </w:r>
        <w:r>
          <w:rPr>
            <w:noProof/>
            <w:webHidden/>
          </w:rPr>
          <w:fldChar w:fldCharType="end"/>
        </w:r>
      </w:hyperlink>
    </w:p>
    <w:p w14:paraId="7333D341" w14:textId="149870BF" w:rsidR="00E666EC" w:rsidRDefault="00E666EC">
      <w:pPr>
        <w:pStyle w:val="ndicedeilustraes"/>
        <w:tabs>
          <w:tab w:val="right" w:leader="dot" w:pos="9055"/>
        </w:tabs>
        <w:rPr>
          <w:rFonts w:asciiTheme="minorHAnsi" w:eastAsiaTheme="minorEastAsia" w:hAnsiTheme="minorHAnsi" w:cstheme="minorBidi"/>
          <w:noProof/>
        </w:rPr>
      </w:pPr>
      <w:hyperlink w:anchor="_Toc167871826" w:history="1">
        <w:r w:rsidRPr="00594BD3">
          <w:rPr>
            <w:rStyle w:val="Hyperlink"/>
            <w:rFonts w:cs="Arial"/>
            <w:noProof/>
          </w:rPr>
          <w:t>Tabela 113</w:t>
        </w:r>
        <w:r>
          <w:rPr>
            <w:rFonts w:asciiTheme="minorHAnsi" w:eastAsiaTheme="minorEastAsia" w:hAnsiTheme="minorHAnsi" w:cstheme="minorBidi"/>
            <w:noProof/>
          </w:rPr>
          <w:tab/>
        </w:r>
        <w:r w:rsidRPr="00594BD3">
          <w:rPr>
            <w:rStyle w:val="Hyperlink"/>
            <w:noProof/>
          </w:rPr>
          <w:t>Demais Obrigações a Curto Prazo 2023 x 2022</w:t>
        </w:r>
        <w:r>
          <w:rPr>
            <w:noProof/>
            <w:webHidden/>
          </w:rPr>
          <w:tab/>
        </w:r>
        <w:r>
          <w:rPr>
            <w:noProof/>
            <w:webHidden/>
          </w:rPr>
          <w:fldChar w:fldCharType="begin"/>
        </w:r>
        <w:r>
          <w:rPr>
            <w:noProof/>
            <w:webHidden/>
          </w:rPr>
          <w:instrText xml:space="preserve"> PAGEREF _Toc167871826 \h </w:instrText>
        </w:r>
        <w:r>
          <w:rPr>
            <w:noProof/>
            <w:webHidden/>
          </w:rPr>
        </w:r>
        <w:r>
          <w:rPr>
            <w:noProof/>
            <w:webHidden/>
          </w:rPr>
          <w:fldChar w:fldCharType="separate"/>
        </w:r>
        <w:r>
          <w:rPr>
            <w:noProof/>
            <w:webHidden/>
          </w:rPr>
          <w:t>207</w:t>
        </w:r>
        <w:r>
          <w:rPr>
            <w:noProof/>
            <w:webHidden/>
          </w:rPr>
          <w:fldChar w:fldCharType="end"/>
        </w:r>
      </w:hyperlink>
    </w:p>
    <w:p w14:paraId="263C6BC9" w14:textId="07690EFF" w:rsidR="00E666EC" w:rsidRDefault="00E666EC">
      <w:pPr>
        <w:pStyle w:val="ndicedeilustraes"/>
        <w:tabs>
          <w:tab w:val="right" w:leader="dot" w:pos="9055"/>
        </w:tabs>
        <w:rPr>
          <w:rFonts w:asciiTheme="minorHAnsi" w:eastAsiaTheme="minorEastAsia" w:hAnsiTheme="minorHAnsi" w:cstheme="minorBidi"/>
          <w:noProof/>
        </w:rPr>
      </w:pPr>
      <w:hyperlink w:anchor="_Toc167871827" w:history="1">
        <w:r w:rsidRPr="00594BD3">
          <w:rPr>
            <w:rStyle w:val="Hyperlink"/>
            <w:rFonts w:cs="Arial"/>
            <w:noProof/>
          </w:rPr>
          <w:t>Tabela 114</w:t>
        </w:r>
        <w:r>
          <w:rPr>
            <w:rFonts w:asciiTheme="minorHAnsi" w:eastAsiaTheme="minorEastAsia" w:hAnsiTheme="minorHAnsi" w:cstheme="minorBidi"/>
            <w:noProof/>
          </w:rPr>
          <w:tab/>
        </w:r>
        <w:r w:rsidRPr="00594BD3">
          <w:rPr>
            <w:rStyle w:val="Hyperlink"/>
            <w:noProof/>
          </w:rPr>
          <w:t>Outras Obrigações a Curto Prazo 2023 x 2022</w:t>
        </w:r>
        <w:r>
          <w:rPr>
            <w:noProof/>
            <w:webHidden/>
          </w:rPr>
          <w:tab/>
        </w:r>
        <w:r>
          <w:rPr>
            <w:noProof/>
            <w:webHidden/>
          </w:rPr>
          <w:fldChar w:fldCharType="begin"/>
        </w:r>
        <w:r>
          <w:rPr>
            <w:noProof/>
            <w:webHidden/>
          </w:rPr>
          <w:instrText xml:space="preserve"> PAGEREF _Toc167871827 \h </w:instrText>
        </w:r>
        <w:r>
          <w:rPr>
            <w:noProof/>
            <w:webHidden/>
          </w:rPr>
        </w:r>
        <w:r>
          <w:rPr>
            <w:noProof/>
            <w:webHidden/>
          </w:rPr>
          <w:fldChar w:fldCharType="separate"/>
        </w:r>
        <w:r>
          <w:rPr>
            <w:noProof/>
            <w:webHidden/>
          </w:rPr>
          <w:t>208</w:t>
        </w:r>
        <w:r>
          <w:rPr>
            <w:noProof/>
            <w:webHidden/>
          </w:rPr>
          <w:fldChar w:fldCharType="end"/>
        </w:r>
      </w:hyperlink>
    </w:p>
    <w:p w14:paraId="76FFCB91" w14:textId="47AE7F4D" w:rsidR="00E666EC" w:rsidRDefault="00E666EC">
      <w:pPr>
        <w:pStyle w:val="ndicedeilustraes"/>
        <w:tabs>
          <w:tab w:val="right" w:leader="dot" w:pos="9055"/>
        </w:tabs>
        <w:rPr>
          <w:rFonts w:asciiTheme="minorHAnsi" w:eastAsiaTheme="minorEastAsia" w:hAnsiTheme="minorHAnsi" w:cstheme="minorBidi"/>
          <w:noProof/>
        </w:rPr>
      </w:pPr>
      <w:hyperlink w:anchor="_Toc167871828" w:history="1">
        <w:r w:rsidRPr="00594BD3">
          <w:rPr>
            <w:rStyle w:val="Hyperlink"/>
            <w:rFonts w:cs="Arial"/>
            <w:noProof/>
          </w:rPr>
          <w:t>Tabela 115</w:t>
        </w:r>
        <w:r>
          <w:rPr>
            <w:rFonts w:asciiTheme="minorHAnsi" w:eastAsiaTheme="minorEastAsia" w:hAnsiTheme="minorHAnsi" w:cstheme="minorBidi"/>
            <w:noProof/>
          </w:rPr>
          <w:tab/>
        </w:r>
        <w:r w:rsidRPr="00594BD3">
          <w:rPr>
            <w:rStyle w:val="Hyperlink"/>
            <w:noProof/>
          </w:rPr>
          <w:t>Provisões a Longo Prazo – 2023 x 2022</w:t>
        </w:r>
        <w:r>
          <w:rPr>
            <w:noProof/>
            <w:webHidden/>
          </w:rPr>
          <w:tab/>
        </w:r>
        <w:r>
          <w:rPr>
            <w:noProof/>
            <w:webHidden/>
          </w:rPr>
          <w:fldChar w:fldCharType="begin"/>
        </w:r>
        <w:r>
          <w:rPr>
            <w:noProof/>
            <w:webHidden/>
          </w:rPr>
          <w:instrText xml:space="preserve"> PAGEREF _Toc167871828 \h </w:instrText>
        </w:r>
        <w:r>
          <w:rPr>
            <w:noProof/>
            <w:webHidden/>
          </w:rPr>
        </w:r>
        <w:r>
          <w:rPr>
            <w:noProof/>
            <w:webHidden/>
          </w:rPr>
          <w:fldChar w:fldCharType="separate"/>
        </w:r>
        <w:r>
          <w:rPr>
            <w:noProof/>
            <w:webHidden/>
          </w:rPr>
          <w:t>209</w:t>
        </w:r>
        <w:r>
          <w:rPr>
            <w:noProof/>
            <w:webHidden/>
          </w:rPr>
          <w:fldChar w:fldCharType="end"/>
        </w:r>
      </w:hyperlink>
    </w:p>
    <w:p w14:paraId="4E3179CD" w14:textId="6DBE7C52" w:rsidR="00E666EC" w:rsidRDefault="00E666EC">
      <w:pPr>
        <w:pStyle w:val="ndicedeilustraes"/>
        <w:tabs>
          <w:tab w:val="right" w:leader="dot" w:pos="9055"/>
        </w:tabs>
        <w:rPr>
          <w:rFonts w:asciiTheme="minorHAnsi" w:eastAsiaTheme="minorEastAsia" w:hAnsiTheme="minorHAnsi" w:cstheme="minorBidi"/>
          <w:noProof/>
        </w:rPr>
      </w:pPr>
      <w:hyperlink w:anchor="_Toc167871829" w:history="1">
        <w:r w:rsidRPr="00594BD3">
          <w:rPr>
            <w:rStyle w:val="Hyperlink"/>
            <w:rFonts w:cs="Arial"/>
            <w:noProof/>
          </w:rPr>
          <w:t>Tabela 116</w:t>
        </w:r>
        <w:r>
          <w:rPr>
            <w:rFonts w:asciiTheme="minorHAnsi" w:eastAsiaTheme="minorEastAsia" w:hAnsiTheme="minorHAnsi" w:cstheme="minorBidi"/>
            <w:noProof/>
          </w:rPr>
          <w:tab/>
        </w:r>
        <w:r w:rsidRPr="00594BD3">
          <w:rPr>
            <w:rStyle w:val="Hyperlink"/>
            <w:noProof/>
          </w:rPr>
          <w:t>Outras Provisões de Longo Prazo – 2023 x 2022</w:t>
        </w:r>
        <w:r>
          <w:rPr>
            <w:noProof/>
            <w:webHidden/>
          </w:rPr>
          <w:tab/>
        </w:r>
        <w:r>
          <w:rPr>
            <w:noProof/>
            <w:webHidden/>
          </w:rPr>
          <w:fldChar w:fldCharType="begin"/>
        </w:r>
        <w:r>
          <w:rPr>
            <w:noProof/>
            <w:webHidden/>
          </w:rPr>
          <w:instrText xml:space="preserve"> PAGEREF _Toc167871829 \h </w:instrText>
        </w:r>
        <w:r>
          <w:rPr>
            <w:noProof/>
            <w:webHidden/>
          </w:rPr>
        </w:r>
        <w:r>
          <w:rPr>
            <w:noProof/>
            <w:webHidden/>
          </w:rPr>
          <w:fldChar w:fldCharType="separate"/>
        </w:r>
        <w:r>
          <w:rPr>
            <w:noProof/>
            <w:webHidden/>
          </w:rPr>
          <w:t>211</w:t>
        </w:r>
        <w:r>
          <w:rPr>
            <w:noProof/>
            <w:webHidden/>
          </w:rPr>
          <w:fldChar w:fldCharType="end"/>
        </w:r>
      </w:hyperlink>
    </w:p>
    <w:p w14:paraId="5B1A9EB0" w14:textId="5EF3AEF5" w:rsidR="00E666EC" w:rsidRDefault="00E666EC">
      <w:pPr>
        <w:pStyle w:val="ndicedeilustraes"/>
        <w:tabs>
          <w:tab w:val="right" w:leader="dot" w:pos="9055"/>
        </w:tabs>
        <w:rPr>
          <w:rFonts w:asciiTheme="minorHAnsi" w:eastAsiaTheme="minorEastAsia" w:hAnsiTheme="minorHAnsi" w:cstheme="minorBidi"/>
          <w:noProof/>
        </w:rPr>
      </w:pPr>
      <w:hyperlink w:anchor="_Toc167871830" w:history="1">
        <w:r w:rsidRPr="00594BD3">
          <w:rPr>
            <w:rStyle w:val="Hyperlink"/>
            <w:rFonts w:cs="Arial"/>
            <w:noProof/>
          </w:rPr>
          <w:t>Tabela 117</w:t>
        </w:r>
        <w:r>
          <w:rPr>
            <w:rFonts w:asciiTheme="minorHAnsi" w:eastAsiaTheme="minorEastAsia" w:hAnsiTheme="minorHAnsi" w:cstheme="minorBidi"/>
            <w:noProof/>
          </w:rPr>
          <w:tab/>
        </w:r>
        <w:r w:rsidRPr="00594BD3">
          <w:rPr>
            <w:rStyle w:val="Hyperlink"/>
            <w:noProof/>
          </w:rPr>
          <w:t>Demais Obrigações de Longo Prazo – 2023 x 2022</w:t>
        </w:r>
        <w:r>
          <w:rPr>
            <w:noProof/>
            <w:webHidden/>
          </w:rPr>
          <w:tab/>
        </w:r>
        <w:r>
          <w:rPr>
            <w:noProof/>
            <w:webHidden/>
          </w:rPr>
          <w:fldChar w:fldCharType="begin"/>
        </w:r>
        <w:r>
          <w:rPr>
            <w:noProof/>
            <w:webHidden/>
          </w:rPr>
          <w:instrText xml:space="preserve"> PAGEREF _Toc167871830 \h </w:instrText>
        </w:r>
        <w:r>
          <w:rPr>
            <w:noProof/>
            <w:webHidden/>
          </w:rPr>
        </w:r>
        <w:r>
          <w:rPr>
            <w:noProof/>
            <w:webHidden/>
          </w:rPr>
          <w:fldChar w:fldCharType="separate"/>
        </w:r>
        <w:r>
          <w:rPr>
            <w:noProof/>
            <w:webHidden/>
          </w:rPr>
          <w:t>212</w:t>
        </w:r>
        <w:r>
          <w:rPr>
            <w:noProof/>
            <w:webHidden/>
          </w:rPr>
          <w:fldChar w:fldCharType="end"/>
        </w:r>
      </w:hyperlink>
    </w:p>
    <w:p w14:paraId="2746B163" w14:textId="041E4C3C" w:rsidR="00E666EC" w:rsidRDefault="00E666EC">
      <w:pPr>
        <w:pStyle w:val="ndicedeilustraes"/>
        <w:tabs>
          <w:tab w:val="right" w:leader="dot" w:pos="9055"/>
        </w:tabs>
        <w:rPr>
          <w:rFonts w:asciiTheme="minorHAnsi" w:eastAsiaTheme="minorEastAsia" w:hAnsiTheme="minorHAnsi" w:cstheme="minorBidi"/>
          <w:noProof/>
        </w:rPr>
      </w:pPr>
      <w:hyperlink w:anchor="_Toc167871831" w:history="1">
        <w:r w:rsidRPr="00594BD3">
          <w:rPr>
            <w:rStyle w:val="Hyperlink"/>
            <w:rFonts w:cs="Arial"/>
            <w:noProof/>
          </w:rPr>
          <w:t>Tabela 118</w:t>
        </w:r>
        <w:r>
          <w:rPr>
            <w:rFonts w:asciiTheme="minorHAnsi" w:eastAsiaTheme="minorEastAsia" w:hAnsiTheme="minorHAnsi" w:cstheme="minorBidi"/>
            <w:noProof/>
          </w:rPr>
          <w:tab/>
        </w:r>
        <w:r w:rsidRPr="00594BD3">
          <w:rPr>
            <w:rStyle w:val="Hyperlink"/>
            <w:noProof/>
          </w:rPr>
          <w:t>Provisões Matemáticas Previdenciárias - Contas do Ativo</w:t>
        </w:r>
        <w:r>
          <w:rPr>
            <w:noProof/>
            <w:webHidden/>
          </w:rPr>
          <w:tab/>
        </w:r>
        <w:r>
          <w:rPr>
            <w:noProof/>
            <w:webHidden/>
          </w:rPr>
          <w:fldChar w:fldCharType="begin"/>
        </w:r>
        <w:r>
          <w:rPr>
            <w:noProof/>
            <w:webHidden/>
          </w:rPr>
          <w:instrText xml:space="preserve"> PAGEREF _Toc167871831 \h </w:instrText>
        </w:r>
        <w:r>
          <w:rPr>
            <w:noProof/>
            <w:webHidden/>
          </w:rPr>
        </w:r>
        <w:r>
          <w:rPr>
            <w:noProof/>
            <w:webHidden/>
          </w:rPr>
          <w:fldChar w:fldCharType="separate"/>
        </w:r>
        <w:r>
          <w:rPr>
            <w:noProof/>
            <w:webHidden/>
          </w:rPr>
          <w:t>219</w:t>
        </w:r>
        <w:r>
          <w:rPr>
            <w:noProof/>
            <w:webHidden/>
          </w:rPr>
          <w:fldChar w:fldCharType="end"/>
        </w:r>
      </w:hyperlink>
    </w:p>
    <w:p w14:paraId="5E0FE892" w14:textId="2F5C34F1" w:rsidR="00E666EC" w:rsidRDefault="00E666EC">
      <w:pPr>
        <w:pStyle w:val="ndicedeilustraes"/>
        <w:tabs>
          <w:tab w:val="right" w:leader="dot" w:pos="9055"/>
        </w:tabs>
        <w:rPr>
          <w:rFonts w:asciiTheme="minorHAnsi" w:eastAsiaTheme="minorEastAsia" w:hAnsiTheme="minorHAnsi" w:cstheme="minorBidi"/>
          <w:noProof/>
        </w:rPr>
      </w:pPr>
      <w:hyperlink w:anchor="_Toc167871832" w:history="1">
        <w:r w:rsidRPr="00594BD3">
          <w:rPr>
            <w:rStyle w:val="Hyperlink"/>
            <w:rFonts w:cs="Arial"/>
            <w:noProof/>
          </w:rPr>
          <w:t>Tabela 119</w:t>
        </w:r>
        <w:r>
          <w:rPr>
            <w:rFonts w:asciiTheme="minorHAnsi" w:eastAsiaTheme="minorEastAsia" w:hAnsiTheme="minorHAnsi" w:cstheme="minorBidi"/>
            <w:noProof/>
          </w:rPr>
          <w:tab/>
        </w:r>
        <w:r w:rsidRPr="00594BD3">
          <w:rPr>
            <w:rStyle w:val="Hyperlink"/>
            <w:noProof/>
          </w:rPr>
          <w:t>Provisões Matemáticas Previdenciárias – Contas do Passivo</w:t>
        </w:r>
        <w:r>
          <w:rPr>
            <w:noProof/>
            <w:webHidden/>
          </w:rPr>
          <w:tab/>
        </w:r>
        <w:r>
          <w:rPr>
            <w:noProof/>
            <w:webHidden/>
          </w:rPr>
          <w:fldChar w:fldCharType="begin"/>
        </w:r>
        <w:r>
          <w:rPr>
            <w:noProof/>
            <w:webHidden/>
          </w:rPr>
          <w:instrText xml:space="preserve"> PAGEREF _Toc167871832 \h </w:instrText>
        </w:r>
        <w:r>
          <w:rPr>
            <w:noProof/>
            <w:webHidden/>
          </w:rPr>
        </w:r>
        <w:r>
          <w:rPr>
            <w:noProof/>
            <w:webHidden/>
          </w:rPr>
          <w:fldChar w:fldCharType="separate"/>
        </w:r>
        <w:r>
          <w:rPr>
            <w:noProof/>
            <w:webHidden/>
          </w:rPr>
          <w:t>220</w:t>
        </w:r>
        <w:r>
          <w:rPr>
            <w:noProof/>
            <w:webHidden/>
          </w:rPr>
          <w:fldChar w:fldCharType="end"/>
        </w:r>
      </w:hyperlink>
    </w:p>
    <w:p w14:paraId="235A1F6E" w14:textId="5BC949D1" w:rsidR="00E666EC" w:rsidRDefault="00E666EC">
      <w:pPr>
        <w:pStyle w:val="ndicedeilustraes"/>
        <w:tabs>
          <w:tab w:val="right" w:leader="dot" w:pos="9055"/>
        </w:tabs>
        <w:rPr>
          <w:rFonts w:asciiTheme="minorHAnsi" w:eastAsiaTheme="minorEastAsia" w:hAnsiTheme="minorHAnsi" w:cstheme="minorBidi"/>
          <w:noProof/>
        </w:rPr>
      </w:pPr>
      <w:hyperlink w:anchor="_Toc167871833" w:history="1">
        <w:r w:rsidRPr="00594BD3">
          <w:rPr>
            <w:rStyle w:val="Hyperlink"/>
            <w:rFonts w:cs="Arial"/>
            <w:noProof/>
          </w:rPr>
          <w:t>Tabela 120</w:t>
        </w:r>
        <w:r>
          <w:rPr>
            <w:rFonts w:asciiTheme="minorHAnsi" w:eastAsiaTheme="minorEastAsia" w:hAnsiTheme="minorHAnsi" w:cstheme="minorBidi"/>
            <w:noProof/>
          </w:rPr>
          <w:tab/>
        </w:r>
        <w:r w:rsidRPr="00594BD3">
          <w:rPr>
            <w:rStyle w:val="Hyperlink"/>
            <w:noProof/>
          </w:rPr>
          <w:t>Patrimônio Líquido – 2023 x 2022</w:t>
        </w:r>
        <w:r>
          <w:rPr>
            <w:noProof/>
            <w:webHidden/>
          </w:rPr>
          <w:tab/>
        </w:r>
        <w:r>
          <w:rPr>
            <w:noProof/>
            <w:webHidden/>
          </w:rPr>
          <w:fldChar w:fldCharType="begin"/>
        </w:r>
        <w:r>
          <w:rPr>
            <w:noProof/>
            <w:webHidden/>
          </w:rPr>
          <w:instrText xml:space="preserve"> PAGEREF _Toc167871833 \h </w:instrText>
        </w:r>
        <w:r>
          <w:rPr>
            <w:noProof/>
            <w:webHidden/>
          </w:rPr>
        </w:r>
        <w:r>
          <w:rPr>
            <w:noProof/>
            <w:webHidden/>
          </w:rPr>
          <w:fldChar w:fldCharType="separate"/>
        </w:r>
        <w:r>
          <w:rPr>
            <w:noProof/>
            <w:webHidden/>
          </w:rPr>
          <w:t>225</w:t>
        </w:r>
        <w:r>
          <w:rPr>
            <w:noProof/>
            <w:webHidden/>
          </w:rPr>
          <w:fldChar w:fldCharType="end"/>
        </w:r>
      </w:hyperlink>
    </w:p>
    <w:p w14:paraId="53747223" w14:textId="52F7D830" w:rsidR="00E666EC" w:rsidRDefault="00E666EC">
      <w:pPr>
        <w:pStyle w:val="ndicedeilustraes"/>
        <w:tabs>
          <w:tab w:val="right" w:leader="dot" w:pos="9055"/>
        </w:tabs>
        <w:rPr>
          <w:rFonts w:asciiTheme="minorHAnsi" w:eastAsiaTheme="minorEastAsia" w:hAnsiTheme="minorHAnsi" w:cstheme="minorBidi"/>
          <w:noProof/>
        </w:rPr>
      </w:pPr>
      <w:hyperlink w:anchor="_Toc167871834" w:history="1">
        <w:r w:rsidRPr="00594BD3">
          <w:rPr>
            <w:rStyle w:val="Hyperlink"/>
            <w:rFonts w:cs="Arial"/>
            <w:noProof/>
          </w:rPr>
          <w:t>Tabela 121</w:t>
        </w:r>
        <w:r>
          <w:rPr>
            <w:rFonts w:asciiTheme="minorHAnsi" w:eastAsiaTheme="minorEastAsia" w:hAnsiTheme="minorHAnsi" w:cstheme="minorBidi"/>
            <w:noProof/>
          </w:rPr>
          <w:tab/>
        </w:r>
        <w:r w:rsidRPr="00594BD3">
          <w:rPr>
            <w:rStyle w:val="Hyperlink"/>
            <w:noProof/>
          </w:rPr>
          <w:t>Patrimônio Líquido – 2023 x 2022</w:t>
        </w:r>
        <w:r>
          <w:rPr>
            <w:noProof/>
            <w:webHidden/>
          </w:rPr>
          <w:tab/>
        </w:r>
        <w:r>
          <w:rPr>
            <w:noProof/>
            <w:webHidden/>
          </w:rPr>
          <w:fldChar w:fldCharType="begin"/>
        </w:r>
        <w:r>
          <w:rPr>
            <w:noProof/>
            <w:webHidden/>
          </w:rPr>
          <w:instrText xml:space="preserve"> PAGEREF _Toc167871834 \h </w:instrText>
        </w:r>
        <w:r>
          <w:rPr>
            <w:noProof/>
            <w:webHidden/>
          </w:rPr>
        </w:r>
        <w:r>
          <w:rPr>
            <w:noProof/>
            <w:webHidden/>
          </w:rPr>
          <w:fldChar w:fldCharType="separate"/>
        </w:r>
        <w:r>
          <w:rPr>
            <w:noProof/>
            <w:webHidden/>
          </w:rPr>
          <w:t>226</w:t>
        </w:r>
        <w:r>
          <w:rPr>
            <w:noProof/>
            <w:webHidden/>
          </w:rPr>
          <w:fldChar w:fldCharType="end"/>
        </w:r>
      </w:hyperlink>
    </w:p>
    <w:p w14:paraId="354B84E1" w14:textId="22613648" w:rsidR="00E666EC" w:rsidRDefault="00E666EC">
      <w:pPr>
        <w:pStyle w:val="ndicedeilustraes"/>
        <w:tabs>
          <w:tab w:val="right" w:leader="dot" w:pos="9055"/>
        </w:tabs>
        <w:rPr>
          <w:rFonts w:asciiTheme="minorHAnsi" w:eastAsiaTheme="minorEastAsia" w:hAnsiTheme="minorHAnsi" w:cstheme="minorBidi"/>
          <w:noProof/>
        </w:rPr>
      </w:pPr>
      <w:hyperlink w:anchor="_Toc167871835" w:history="1">
        <w:r w:rsidRPr="00594BD3">
          <w:rPr>
            <w:rStyle w:val="Hyperlink"/>
            <w:noProof/>
          </w:rPr>
          <w:t>Tabela 122 Atendimento às Recomendações do Parecer Prévio 2022</w:t>
        </w:r>
        <w:r>
          <w:rPr>
            <w:noProof/>
            <w:webHidden/>
          </w:rPr>
          <w:tab/>
        </w:r>
        <w:r>
          <w:rPr>
            <w:noProof/>
            <w:webHidden/>
          </w:rPr>
          <w:fldChar w:fldCharType="begin"/>
        </w:r>
        <w:r>
          <w:rPr>
            <w:noProof/>
            <w:webHidden/>
          </w:rPr>
          <w:instrText xml:space="preserve"> PAGEREF _Toc167871835 \h </w:instrText>
        </w:r>
        <w:r>
          <w:rPr>
            <w:noProof/>
            <w:webHidden/>
          </w:rPr>
        </w:r>
        <w:r>
          <w:rPr>
            <w:noProof/>
            <w:webHidden/>
          </w:rPr>
          <w:fldChar w:fldCharType="separate"/>
        </w:r>
        <w:r>
          <w:rPr>
            <w:noProof/>
            <w:webHidden/>
          </w:rPr>
          <w:t>231</w:t>
        </w:r>
        <w:r>
          <w:rPr>
            <w:noProof/>
            <w:webHidden/>
          </w:rPr>
          <w:fldChar w:fldCharType="end"/>
        </w:r>
      </w:hyperlink>
    </w:p>
    <w:p w14:paraId="2D356F40" w14:textId="40181D23" w:rsidR="00E666EC" w:rsidRDefault="00E666EC">
      <w:pPr>
        <w:pStyle w:val="ndicedeilustraes"/>
        <w:tabs>
          <w:tab w:val="right" w:leader="dot" w:pos="9055"/>
        </w:tabs>
        <w:rPr>
          <w:rFonts w:asciiTheme="minorHAnsi" w:eastAsiaTheme="minorEastAsia" w:hAnsiTheme="minorHAnsi" w:cstheme="minorBidi"/>
          <w:noProof/>
        </w:rPr>
      </w:pPr>
      <w:hyperlink w:anchor="_Toc167871836" w:history="1">
        <w:r w:rsidRPr="00594BD3">
          <w:rPr>
            <w:rStyle w:val="Hyperlink"/>
            <w:noProof/>
          </w:rPr>
          <w:t>Tabela 123 Histórico de Atendimento de Determinações</w:t>
        </w:r>
        <w:r>
          <w:rPr>
            <w:noProof/>
            <w:webHidden/>
          </w:rPr>
          <w:tab/>
        </w:r>
        <w:r>
          <w:rPr>
            <w:noProof/>
            <w:webHidden/>
          </w:rPr>
          <w:fldChar w:fldCharType="begin"/>
        </w:r>
        <w:r>
          <w:rPr>
            <w:noProof/>
            <w:webHidden/>
          </w:rPr>
          <w:instrText xml:space="preserve"> PAGEREF _Toc167871836 \h </w:instrText>
        </w:r>
        <w:r>
          <w:rPr>
            <w:noProof/>
            <w:webHidden/>
          </w:rPr>
        </w:r>
        <w:r>
          <w:rPr>
            <w:noProof/>
            <w:webHidden/>
          </w:rPr>
          <w:fldChar w:fldCharType="separate"/>
        </w:r>
        <w:r>
          <w:rPr>
            <w:noProof/>
            <w:webHidden/>
          </w:rPr>
          <w:t>232</w:t>
        </w:r>
        <w:r>
          <w:rPr>
            <w:noProof/>
            <w:webHidden/>
          </w:rPr>
          <w:fldChar w:fldCharType="end"/>
        </w:r>
      </w:hyperlink>
    </w:p>
    <w:p w14:paraId="75F9B6F9" w14:textId="5E371016" w:rsidR="00E666EC" w:rsidRDefault="00E666EC">
      <w:pPr>
        <w:pStyle w:val="ndicedeilustraes"/>
        <w:tabs>
          <w:tab w:val="right" w:leader="dot" w:pos="9055"/>
        </w:tabs>
        <w:rPr>
          <w:rFonts w:asciiTheme="minorHAnsi" w:eastAsiaTheme="minorEastAsia" w:hAnsiTheme="minorHAnsi" w:cstheme="minorBidi"/>
          <w:noProof/>
        </w:rPr>
      </w:pPr>
      <w:hyperlink w:anchor="_Toc167871837" w:history="1">
        <w:r w:rsidRPr="00594BD3">
          <w:rPr>
            <w:rStyle w:val="Hyperlink"/>
            <w:noProof/>
          </w:rPr>
          <w:t>Tabela 124 Histórico de Atendimento de Recomendações</w:t>
        </w:r>
        <w:r>
          <w:rPr>
            <w:noProof/>
            <w:webHidden/>
          </w:rPr>
          <w:tab/>
        </w:r>
        <w:r>
          <w:rPr>
            <w:noProof/>
            <w:webHidden/>
          </w:rPr>
          <w:fldChar w:fldCharType="begin"/>
        </w:r>
        <w:r>
          <w:rPr>
            <w:noProof/>
            <w:webHidden/>
          </w:rPr>
          <w:instrText xml:space="preserve"> PAGEREF _Toc167871837 \h </w:instrText>
        </w:r>
        <w:r>
          <w:rPr>
            <w:noProof/>
            <w:webHidden/>
          </w:rPr>
        </w:r>
        <w:r>
          <w:rPr>
            <w:noProof/>
            <w:webHidden/>
          </w:rPr>
          <w:fldChar w:fldCharType="separate"/>
        </w:r>
        <w:r>
          <w:rPr>
            <w:noProof/>
            <w:webHidden/>
          </w:rPr>
          <w:t>232</w:t>
        </w:r>
        <w:r>
          <w:rPr>
            <w:noProof/>
            <w:webHidden/>
          </w:rPr>
          <w:fldChar w:fldCharType="end"/>
        </w:r>
      </w:hyperlink>
    </w:p>
    <w:p w14:paraId="4DE58C9C" w14:textId="76578118" w:rsidR="00633C2D" w:rsidRPr="00B215AC" w:rsidRDefault="00633C2D" w:rsidP="00633C2D">
      <w:pPr>
        <w:tabs>
          <w:tab w:val="left" w:pos="1134"/>
          <w:tab w:val="right" w:leader="dot" w:pos="9072"/>
        </w:tabs>
        <w:spacing w:beforeLines="60" w:before="144"/>
        <w:ind w:left="-284" w:right="360" w:hanging="1134"/>
        <w:jc w:val="center"/>
        <w:rPr>
          <w:rFonts w:cs="Arial"/>
          <w:color w:val="FF0000"/>
        </w:rPr>
      </w:pPr>
      <w:r w:rsidRPr="00B215AC">
        <w:rPr>
          <w:rFonts w:cs="Arial"/>
          <w:color w:val="FF0000"/>
        </w:rPr>
        <w:fldChar w:fldCharType="end"/>
      </w:r>
    </w:p>
    <w:p w14:paraId="7A502A37" w14:textId="77777777" w:rsidR="00633C2D" w:rsidRPr="00B215AC" w:rsidRDefault="00633C2D" w:rsidP="00B523B9">
      <w:pPr>
        <w:pStyle w:val="1-REL11"/>
        <w:rPr>
          <w:color w:val="FF0000"/>
        </w:rPr>
      </w:pPr>
      <w:r w:rsidRPr="00B215AC">
        <w:rPr>
          <w:color w:val="FF0000"/>
        </w:rPr>
        <w:br w:type="page"/>
      </w:r>
    </w:p>
    <w:p w14:paraId="70706F3F" w14:textId="77777777" w:rsidR="00633C2D" w:rsidRPr="00E84200" w:rsidRDefault="00633C2D" w:rsidP="00B523B9">
      <w:pPr>
        <w:pStyle w:val="1-REL11"/>
      </w:pPr>
    </w:p>
    <w:p w14:paraId="2468BA0D" w14:textId="77777777" w:rsidR="00633C2D" w:rsidRPr="00E84200" w:rsidRDefault="00633C2D" w:rsidP="00633C2D">
      <w:pPr>
        <w:jc w:val="right"/>
        <w:outlineLvl w:val="0"/>
        <w:rPr>
          <w:rFonts w:ascii="Georgia" w:hAnsi="Georgia"/>
          <w:sz w:val="56"/>
          <w:szCs w:val="56"/>
        </w:rPr>
      </w:pPr>
      <w:r w:rsidRPr="00E84200">
        <w:rPr>
          <w:rFonts w:ascii="Georgia" w:hAnsi="Georgia"/>
          <w:sz w:val="56"/>
          <w:szCs w:val="56"/>
        </w:rPr>
        <w:t>Lista de Gráficos</w:t>
      </w:r>
    </w:p>
    <w:p w14:paraId="60B6496E" w14:textId="77777777" w:rsidR="00633C2D" w:rsidRPr="00B215AC" w:rsidRDefault="00633C2D" w:rsidP="00633C2D">
      <w:pPr>
        <w:ind w:right="360"/>
        <w:jc w:val="center"/>
        <w:rPr>
          <w:rFonts w:cs="Arial"/>
          <w:color w:val="FF0000"/>
        </w:rPr>
      </w:pPr>
    </w:p>
    <w:p w14:paraId="4C2BF074" w14:textId="77777777" w:rsidR="00633C2D" w:rsidRPr="00B215AC" w:rsidRDefault="00633C2D" w:rsidP="00633C2D">
      <w:pPr>
        <w:ind w:right="360"/>
        <w:jc w:val="center"/>
        <w:rPr>
          <w:rFonts w:cs="Arial"/>
          <w:color w:val="FF0000"/>
        </w:rPr>
      </w:pPr>
    </w:p>
    <w:p w14:paraId="4CB476C5" w14:textId="77777777" w:rsidR="00633C2D" w:rsidRPr="00B215AC" w:rsidRDefault="00633C2D" w:rsidP="00633C2D">
      <w:pPr>
        <w:ind w:right="360"/>
        <w:jc w:val="center"/>
        <w:rPr>
          <w:rFonts w:cs="Arial"/>
          <w:color w:val="FF0000"/>
        </w:rPr>
      </w:pPr>
    </w:p>
    <w:p w14:paraId="5E97CD71" w14:textId="4E57D3BD" w:rsidR="000620CC" w:rsidRDefault="00633C2D">
      <w:pPr>
        <w:pStyle w:val="ndicedeilustraes"/>
        <w:tabs>
          <w:tab w:val="right" w:leader="dot" w:pos="9055"/>
        </w:tabs>
        <w:rPr>
          <w:rFonts w:asciiTheme="minorHAnsi" w:eastAsiaTheme="minorEastAsia" w:hAnsiTheme="minorHAnsi" w:cstheme="minorBidi"/>
          <w:noProof/>
        </w:rPr>
      </w:pPr>
      <w:r w:rsidRPr="00B215AC">
        <w:rPr>
          <w:rFonts w:cs="Arial"/>
          <w:color w:val="FF0000"/>
          <w:sz w:val="18"/>
          <w:szCs w:val="18"/>
        </w:rPr>
        <w:fldChar w:fldCharType="begin"/>
      </w:r>
      <w:r w:rsidRPr="00B215AC">
        <w:rPr>
          <w:rFonts w:cs="Arial"/>
          <w:color w:val="FF0000"/>
          <w:sz w:val="18"/>
          <w:szCs w:val="18"/>
        </w:rPr>
        <w:instrText xml:space="preserve"> TOC \h \z \t "0 - GRÁFICO" \c </w:instrText>
      </w:r>
      <w:r w:rsidRPr="00B215AC">
        <w:rPr>
          <w:rFonts w:cs="Arial"/>
          <w:color w:val="FF0000"/>
          <w:sz w:val="18"/>
          <w:szCs w:val="18"/>
        </w:rPr>
        <w:fldChar w:fldCharType="separate"/>
      </w:r>
      <w:hyperlink w:anchor="_Toc167825094" w:history="1">
        <w:r w:rsidR="000620CC" w:rsidRPr="008F1C9B">
          <w:rPr>
            <w:rStyle w:val="Hyperlink"/>
            <w:noProof/>
          </w:rPr>
          <w:t>Gráfico 1</w:t>
        </w:r>
        <w:r w:rsidR="000620CC">
          <w:rPr>
            <w:rFonts w:asciiTheme="minorHAnsi" w:eastAsiaTheme="minorEastAsia" w:hAnsiTheme="minorHAnsi" w:cstheme="minorBidi"/>
            <w:noProof/>
          </w:rPr>
          <w:tab/>
        </w:r>
        <w:r w:rsidR="000620CC" w:rsidRPr="008F1C9B">
          <w:rPr>
            <w:rStyle w:val="Hyperlink"/>
            <w:noProof/>
          </w:rPr>
          <w:t>Orçamento Inicial por Função da Despesa</w:t>
        </w:r>
        <w:r w:rsidR="000620CC">
          <w:rPr>
            <w:noProof/>
            <w:webHidden/>
          </w:rPr>
          <w:tab/>
        </w:r>
        <w:r w:rsidR="000620CC">
          <w:rPr>
            <w:noProof/>
            <w:webHidden/>
          </w:rPr>
          <w:fldChar w:fldCharType="begin"/>
        </w:r>
        <w:r w:rsidR="000620CC">
          <w:rPr>
            <w:noProof/>
            <w:webHidden/>
          </w:rPr>
          <w:instrText xml:space="preserve"> PAGEREF _Toc167825094 \h </w:instrText>
        </w:r>
        <w:r w:rsidR="000620CC">
          <w:rPr>
            <w:noProof/>
            <w:webHidden/>
          </w:rPr>
        </w:r>
        <w:r w:rsidR="000620CC">
          <w:rPr>
            <w:noProof/>
            <w:webHidden/>
          </w:rPr>
          <w:fldChar w:fldCharType="separate"/>
        </w:r>
        <w:r w:rsidR="000620CC">
          <w:rPr>
            <w:noProof/>
            <w:webHidden/>
          </w:rPr>
          <w:t>48</w:t>
        </w:r>
        <w:r w:rsidR="000620CC">
          <w:rPr>
            <w:noProof/>
            <w:webHidden/>
          </w:rPr>
          <w:fldChar w:fldCharType="end"/>
        </w:r>
      </w:hyperlink>
    </w:p>
    <w:p w14:paraId="00B15839" w14:textId="6AD7ECDA" w:rsidR="000620CC" w:rsidRDefault="006A2FD6">
      <w:pPr>
        <w:pStyle w:val="ndicedeilustraes"/>
        <w:tabs>
          <w:tab w:val="right" w:leader="dot" w:pos="9055"/>
        </w:tabs>
        <w:rPr>
          <w:rFonts w:asciiTheme="minorHAnsi" w:eastAsiaTheme="minorEastAsia" w:hAnsiTheme="minorHAnsi" w:cstheme="minorBidi"/>
          <w:noProof/>
        </w:rPr>
      </w:pPr>
      <w:hyperlink w:anchor="_Toc167825095" w:history="1">
        <w:r w:rsidR="000620CC" w:rsidRPr="008F1C9B">
          <w:rPr>
            <w:rStyle w:val="Hyperlink"/>
            <w:noProof/>
          </w:rPr>
          <w:t>Gráfico 2</w:t>
        </w:r>
        <w:r w:rsidR="000620CC">
          <w:rPr>
            <w:rFonts w:asciiTheme="minorHAnsi" w:eastAsiaTheme="minorEastAsia" w:hAnsiTheme="minorHAnsi" w:cstheme="minorBidi"/>
            <w:noProof/>
          </w:rPr>
          <w:tab/>
        </w:r>
        <w:r w:rsidR="000620CC" w:rsidRPr="008F1C9B">
          <w:rPr>
            <w:rStyle w:val="Hyperlink"/>
            <w:noProof/>
          </w:rPr>
          <w:t>Resultado Orçamentário – 2014 a 2023</w:t>
        </w:r>
        <w:r w:rsidR="000620CC">
          <w:rPr>
            <w:noProof/>
            <w:webHidden/>
          </w:rPr>
          <w:tab/>
        </w:r>
        <w:r w:rsidR="000620CC">
          <w:rPr>
            <w:noProof/>
            <w:webHidden/>
          </w:rPr>
          <w:fldChar w:fldCharType="begin"/>
        </w:r>
        <w:r w:rsidR="000620CC">
          <w:rPr>
            <w:noProof/>
            <w:webHidden/>
          </w:rPr>
          <w:instrText xml:space="preserve"> PAGEREF _Toc167825095 \h </w:instrText>
        </w:r>
        <w:r w:rsidR="000620CC">
          <w:rPr>
            <w:noProof/>
            <w:webHidden/>
          </w:rPr>
        </w:r>
        <w:r w:rsidR="000620CC">
          <w:rPr>
            <w:noProof/>
            <w:webHidden/>
          </w:rPr>
          <w:fldChar w:fldCharType="separate"/>
        </w:r>
        <w:r w:rsidR="000620CC">
          <w:rPr>
            <w:noProof/>
            <w:webHidden/>
          </w:rPr>
          <w:t>51</w:t>
        </w:r>
        <w:r w:rsidR="000620CC">
          <w:rPr>
            <w:noProof/>
            <w:webHidden/>
          </w:rPr>
          <w:fldChar w:fldCharType="end"/>
        </w:r>
      </w:hyperlink>
    </w:p>
    <w:p w14:paraId="2E9232F6" w14:textId="49A58F1D" w:rsidR="000620CC" w:rsidRDefault="006A2FD6">
      <w:pPr>
        <w:pStyle w:val="ndicedeilustraes"/>
        <w:tabs>
          <w:tab w:val="right" w:leader="dot" w:pos="9055"/>
        </w:tabs>
        <w:rPr>
          <w:rFonts w:asciiTheme="minorHAnsi" w:eastAsiaTheme="minorEastAsia" w:hAnsiTheme="minorHAnsi" w:cstheme="minorBidi"/>
          <w:noProof/>
        </w:rPr>
      </w:pPr>
      <w:hyperlink w:anchor="_Toc167825096" w:history="1">
        <w:r w:rsidR="000620CC" w:rsidRPr="008F1C9B">
          <w:rPr>
            <w:rStyle w:val="Hyperlink"/>
            <w:noProof/>
          </w:rPr>
          <w:t>Gráfico 3</w:t>
        </w:r>
        <w:r w:rsidR="000620CC">
          <w:rPr>
            <w:rFonts w:asciiTheme="minorHAnsi" w:eastAsiaTheme="minorEastAsia" w:hAnsiTheme="minorHAnsi" w:cstheme="minorBidi"/>
            <w:noProof/>
          </w:rPr>
          <w:tab/>
        </w:r>
        <w:r w:rsidR="000620CC" w:rsidRPr="008F1C9B">
          <w:rPr>
            <w:rStyle w:val="Hyperlink"/>
            <w:noProof/>
          </w:rPr>
          <w:t>Variação Real das Receitas e Despesas – 2014 a 2023</w:t>
        </w:r>
        <w:r w:rsidR="000620CC">
          <w:rPr>
            <w:noProof/>
            <w:webHidden/>
          </w:rPr>
          <w:tab/>
        </w:r>
        <w:r w:rsidR="000620CC">
          <w:rPr>
            <w:noProof/>
            <w:webHidden/>
          </w:rPr>
          <w:fldChar w:fldCharType="begin"/>
        </w:r>
        <w:r w:rsidR="000620CC">
          <w:rPr>
            <w:noProof/>
            <w:webHidden/>
          </w:rPr>
          <w:instrText xml:space="preserve"> PAGEREF _Toc167825096 \h </w:instrText>
        </w:r>
        <w:r w:rsidR="000620CC">
          <w:rPr>
            <w:noProof/>
            <w:webHidden/>
          </w:rPr>
        </w:r>
        <w:r w:rsidR="000620CC">
          <w:rPr>
            <w:noProof/>
            <w:webHidden/>
          </w:rPr>
          <w:fldChar w:fldCharType="separate"/>
        </w:r>
        <w:r w:rsidR="000620CC">
          <w:rPr>
            <w:noProof/>
            <w:webHidden/>
          </w:rPr>
          <w:t>52</w:t>
        </w:r>
        <w:r w:rsidR="000620CC">
          <w:rPr>
            <w:noProof/>
            <w:webHidden/>
          </w:rPr>
          <w:fldChar w:fldCharType="end"/>
        </w:r>
      </w:hyperlink>
    </w:p>
    <w:p w14:paraId="39B9E04F" w14:textId="404B39B0" w:rsidR="000620CC" w:rsidRDefault="006A2FD6">
      <w:pPr>
        <w:pStyle w:val="ndicedeilustraes"/>
        <w:tabs>
          <w:tab w:val="right" w:leader="dot" w:pos="9055"/>
        </w:tabs>
        <w:rPr>
          <w:rFonts w:asciiTheme="minorHAnsi" w:eastAsiaTheme="minorEastAsia" w:hAnsiTheme="minorHAnsi" w:cstheme="minorBidi"/>
          <w:noProof/>
        </w:rPr>
      </w:pPr>
      <w:hyperlink w:anchor="_Toc167825097" w:history="1">
        <w:r w:rsidR="000620CC" w:rsidRPr="008F1C9B">
          <w:rPr>
            <w:rStyle w:val="Hyperlink"/>
            <w:noProof/>
          </w:rPr>
          <w:t>Gráfico 4</w:t>
        </w:r>
        <w:r w:rsidR="000620CC">
          <w:rPr>
            <w:rFonts w:asciiTheme="minorHAnsi" w:eastAsiaTheme="minorEastAsia" w:hAnsiTheme="minorHAnsi" w:cstheme="minorBidi"/>
            <w:noProof/>
          </w:rPr>
          <w:tab/>
        </w:r>
        <w:r w:rsidR="000620CC" w:rsidRPr="008F1C9B">
          <w:rPr>
            <w:rStyle w:val="Hyperlink"/>
            <w:noProof/>
          </w:rPr>
          <w:t>Representação das Receitas por Origem</w:t>
        </w:r>
        <w:r w:rsidR="000620CC">
          <w:rPr>
            <w:noProof/>
            <w:webHidden/>
          </w:rPr>
          <w:tab/>
        </w:r>
        <w:r w:rsidR="000620CC">
          <w:rPr>
            <w:noProof/>
            <w:webHidden/>
          </w:rPr>
          <w:fldChar w:fldCharType="begin"/>
        </w:r>
        <w:r w:rsidR="000620CC">
          <w:rPr>
            <w:noProof/>
            <w:webHidden/>
          </w:rPr>
          <w:instrText xml:space="preserve"> PAGEREF _Toc167825097 \h </w:instrText>
        </w:r>
        <w:r w:rsidR="000620CC">
          <w:rPr>
            <w:noProof/>
            <w:webHidden/>
          </w:rPr>
        </w:r>
        <w:r w:rsidR="000620CC">
          <w:rPr>
            <w:noProof/>
            <w:webHidden/>
          </w:rPr>
          <w:fldChar w:fldCharType="separate"/>
        </w:r>
        <w:r w:rsidR="000620CC">
          <w:rPr>
            <w:noProof/>
            <w:webHidden/>
          </w:rPr>
          <w:t>54</w:t>
        </w:r>
        <w:r w:rsidR="000620CC">
          <w:rPr>
            <w:noProof/>
            <w:webHidden/>
          </w:rPr>
          <w:fldChar w:fldCharType="end"/>
        </w:r>
      </w:hyperlink>
    </w:p>
    <w:p w14:paraId="2ADF0CFB" w14:textId="5EC7C553" w:rsidR="000620CC" w:rsidRDefault="006A2FD6">
      <w:pPr>
        <w:pStyle w:val="ndicedeilustraes"/>
        <w:tabs>
          <w:tab w:val="right" w:leader="dot" w:pos="9055"/>
        </w:tabs>
        <w:rPr>
          <w:rFonts w:asciiTheme="minorHAnsi" w:eastAsiaTheme="minorEastAsia" w:hAnsiTheme="minorHAnsi" w:cstheme="minorBidi"/>
          <w:noProof/>
        </w:rPr>
      </w:pPr>
      <w:hyperlink w:anchor="_Toc167825098" w:history="1">
        <w:r w:rsidR="000620CC" w:rsidRPr="008F1C9B">
          <w:rPr>
            <w:rStyle w:val="Hyperlink"/>
            <w:noProof/>
          </w:rPr>
          <w:t>Gráfico 5</w:t>
        </w:r>
        <w:r w:rsidR="000620CC">
          <w:rPr>
            <w:rFonts w:asciiTheme="minorHAnsi" w:eastAsiaTheme="minorEastAsia" w:hAnsiTheme="minorHAnsi" w:cstheme="minorBidi"/>
            <w:noProof/>
          </w:rPr>
          <w:tab/>
        </w:r>
        <w:r w:rsidR="000620CC" w:rsidRPr="008F1C9B">
          <w:rPr>
            <w:rStyle w:val="Hyperlink"/>
            <w:noProof/>
          </w:rPr>
          <w:t>Representação da Receita por Espécies</w:t>
        </w:r>
        <w:r w:rsidR="000620CC">
          <w:rPr>
            <w:noProof/>
            <w:webHidden/>
          </w:rPr>
          <w:tab/>
        </w:r>
        <w:r w:rsidR="000620CC">
          <w:rPr>
            <w:noProof/>
            <w:webHidden/>
          </w:rPr>
          <w:fldChar w:fldCharType="begin"/>
        </w:r>
        <w:r w:rsidR="000620CC">
          <w:rPr>
            <w:noProof/>
            <w:webHidden/>
          </w:rPr>
          <w:instrText xml:space="preserve"> PAGEREF _Toc167825098 \h </w:instrText>
        </w:r>
        <w:r w:rsidR="000620CC">
          <w:rPr>
            <w:noProof/>
            <w:webHidden/>
          </w:rPr>
        </w:r>
        <w:r w:rsidR="000620CC">
          <w:rPr>
            <w:noProof/>
            <w:webHidden/>
          </w:rPr>
          <w:fldChar w:fldCharType="separate"/>
        </w:r>
        <w:r w:rsidR="000620CC">
          <w:rPr>
            <w:noProof/>
            <w:webHidden/>
          </w:rPr>
          <w:t>55</w:t>
        </w:r>
        <w:r w:rsidR="000620CC">
          <w:rPr>
            <w:noProof/>
            <w:webHidden/>
          </w:rPr>
          <w:fldChar w:fldCharType="end"/>
        </w:r>
      </w:hyperlink>
    </w:p>
    <w:p w14:paraId="4A01C5E9" w14:textId="3CCCE5C0" w:rsidR="000620CC" w:rsidRDefault="006A2FD6">
      <w:pPr>
        <w:pStyle w:val="ndicedeilustraes"/>
        <w:tabs>
          <w:tab w:val="right" w:leader="dot" w:pos="9055"/>
        </w:tabs>
        <w:rPr>
          <w:rFonts w:asciiTheme="minorHAnsi" w:eastAsiaTheme="minorEastAsia" w:hAnsiTheme="minorHAnsi" w:cstheme="minorBidi"/>
          <w:noProof/>
        </w:rPr>
      </w:pPr>
      <w:hyperlink w:anchor="_Toc167825099" w:history="1">
        <w:r w:rsidR="000620CC" w:rsidRPr="008F1C9B">
          <w:rPr>
            <w:rStyle w:val="Hyperlink"/>
            <w:noProof/>
          </w:rPr>
          <w:t>Gráfico 6</w:t>
        </w:r>
        <w:r w:rsidR="000620CC">
          <w:rPr>
            <w:rFonts w:asciiTheme="minorHAnsi" w:eastAsiaTheme="minorEastAsia" w:hAnsiTheme="minorHAnsi" w:cstheme="minorBidi"/>
            <w:noProof/>
          </w:rPr>
          <w:tab/>
        </w:r>
        <w:r w:rsidR="000620CC" w:rsidRPr="008F1C9B">
          <w:rPr>
            <w:rStyle w:val="Hyperlink"/>
            <w:noProof/>
          </w:rPr>
          <w:t>Receita Arrecadada – Últimos 3 Exercícios</w:t>
        </w:r>
        <w:r w:rsidR="000620CC">
          <w:rPr>
            <w:noProof/>
            <w:webHidden/>
          </w:rPr>
          <w:tab/>
        </w:r>
        <w:r w:rsidR="000620CC">
          <w:rPr>
            <w:noProof/>
            <w:webHidden/>
          </w:rPr>
          <w:fldChar w:fldCharType="begin"/>
        </w:r>
        <w:r w:rsidR="000620CC">
          <w:rPr>
            <w:noProof/>
            <w:webHidden/>
          </w:rPr>
          <w:instrText xml:space="preserve"> PAGEREF _Toc167825099 \h </w:instrText>
        </w:r>
        <w:r w:rsidR="000620CC">
          <w:rPr>
            <w:noProof/>
            <w:webHidden/>
          </w:rPr>
        </w:r>
        <w:r w:rsidR="000620CC">
          <w:rPr>
            <w:noProof/>
            <w:webHidden/>
          </w:rPr>
          <w:fldChar w:fldCharType="separate"/>
        </w:r>
        <w:r w:rsidR="000620CC">
          <w:rPr>
            <w:noProof/>
            <w:webHidden/>
          </w:rPr>
          <w:t>55</w:t>
        </w:r>
        <w:r w:rsidR="000620CC">
          <w:rPr>
            <w:noProof/>
            <w:webHidden/>
          </w:rPr>
          <w:fldChar w:fldCharType="end"/>
        </w:r>
      </w:hyperlink>
    </w:p>
    <w:p w14:paraId="4112557C" w14:textId="401A16D9" w:rsidR="000620CC" w:rsidRDefault="006A2FD6">
      <w:pPr>
        <w:pStyle w:val="ndicedeilustraes"/>
        <w:tabs>
          <w:tab w:val="right" w:leader="dot" w:pos="9055"/>
        </w:tabs>
        <w:rPr>
          <w:rFonts w:asciiTheme="minorHAnsi" w:eastAsiaTheme="minorEastAsia" w:hAnsiTheme="minorHAnsi" w:cstheme="minorBidi"/>
          <w:noProof/>
        </w:rPr>
      </w:pPr>
      <w:hyperlink w:anchor="_Toc167825100" w:history="1">
        <w:r w:rsidR="000620CC" w:rsidRPr="008F1C9B">
          <w:rPr>
            <w:rStyle w:val="Hyperlink"/>
            <w:noProof/>
          </w:rPr>
          <w:t>Gráfico 7</w:t>
        </w:r>
        <w:r w:rsidR="000620CC">
          <w:rPr>
            <w:rFonts w:asciiTheme="minorHAnsi" w:eastAsiaTheme="minorEastAsia" w:hAnsiTheme="minorHAnsi" w:cstheme="minorBidi"/>
            <w:noProof/>
          </w:rPr>
          <w:tab/>
        </w:r>
        <w:r w:rsidR="000620CC" w:rsidRPr="008F1C9B">
          <w:rPr>
            <w:rStyle w:val="Hyperlink"/>
            <w:noProof/>
          </w:rPr>
          <w:t>Representação das Despesas por Grupo de Natureza</w:t>
        </w:r>
        <w:r w:rsidR="000620CC">
          <w:rPr>
            <w:noProof/>
            <w:webHidden/>
          </w:rPr>
          <w:tab/>
        </w:r>
        <w:r w:rsidR="000620CC">
          <w:rPr>
            <w:noProof/>
            <w:webHidden/>
          </w:rPr>
          <w:fldChar w:fldCharType="begin"/>
        </w:r>
        <w:r w:rsidR="000620CC">
          <w:rPr>
            <w:noProof/>
            <w:webHidden/>
          </w:rPr>
          <w:instrText xml:space="preserve"> PAGEREF _Toc167825100 \h </w:instrText>
        </w:r>
        <w:r w:rsidR="000620CC">
          <w:rPr>
            <w:noProof/>
            <w:webHidden/>
          </w:rPr>
        </w:r>
        <w:r w:rsidR="000620CC">
          <w:rPr>
            <w:noProof/>
            <w:webHidden/>
          </w:rPr>
          <w:fldChar w:fldCharType="separate"/>
        </w:r>
        <w:r w:rsidR="000620CC">
          <w:rPr>
            <w:noProof/>
            <w:webHidden/>
          </w:rPr>
          <w:t>60</w:t>
        </w:r>
        <w:r w:rsidR="000620CC">
          <w:rPr>
            <w:noProof/>
            <w:webHidden/>
          </w:rPr>
          <w:fldChar w:fldCharType="end"/>
        </w:r>
      </w:hyperlink>
    </w:p>
    <w:p w14:paraId="776647B7" w14:textId="1DDCA8C2" w:rsidR="000620CC" w:rsidRDefault="006A2FD6">
      <w:pPr>
        <w:pStyle w:val="ndicedeilustraes"/>
        <w:tabs>
          <w:tab w:val="right" w:leader="dot" w:pos="9055"/>
        </w:tabs>
        <w:rPr>
          <w:rFonts w:asciiTheme="minorHAnsi" w:eastAsiaTheme="minorEastAsia" w:hAnsiTheme="minorHAnsi" w:cstheme="minorBidi"/>
          <w:noProof/>
        </w:rPr>
      </w:pPr>
      <w:hyperlink w:anchor="_Toc167825101" w:history="1">
        <w:r w:rsidR="000620CC" w:rsidRPr="008F1C9B">
          <w:rPr>
            <w:rStyle w:val="Hyperlink"/>
            <w:noProof/>
          </w:rPr>
          <w:t>Gráfico 8</w:t>
        </w:r>
        <w:r w:rsidR="000620CC">
          <w:rPr>
            <w:rFonts w:asciiTheme="minorHAnsi" w:eastAsiaTheme="minorEastAsia" w:hAnsiTheme="minorHAnsi" w:cstheme="minorBidi"/>
            <w:noProof/>
          </w:rPr>
          <w:tab/>
        </w:r>
        <w:r w:rsidR="000620CC" w:rsidRPr="008F1C9B">
          <w:rPr>
            <w:rStyle w:val="Hyperlink"/>
            <w:noProof/>
          </w:rPr>
          <w:t>Evolução das Despesas Estaduais – 2014 a 2023</w:t>
        </w:r>
        <w:r w:rsidR="000620CC">
          <w:rPr>
            <w:noProof/>
            <w:webHidden/>
          </w:rPr>
          <w:tab/>
        </w:r>
        <w:r w:rsidR="000620CC">
          <w:rPr>
            <w:noProof/>
            <w:webHidden/>
          </w:rPr>
          <w:fldChar w:fldCharType="begin"/>
        </w:r>
        <w:r w:rsidR="000620CC">
          <w:rPr>
            <w:noProof/>
            <w:webHidden/>
          </w:rPr>
          <w:instrText xml:space="preserve"> PAGEREF _Toc167825101 \h </w:instrText>
        </w:r>
        <w:r w:rsidR="000620CC">
          <w:rPr>
            <w:noProof/>
            <w:webHidden/>
          </w:rPr>
        </w:r>
        <w:r w:rsidR="000620CC">
          <w:rPr>
            <w:noProof/>
            <w:webHidden/>
          </w:rPr>
          <w:fldChar w:fldCharType="separate"/>
        </w:r>
        <w:r w:rsidR="000620CC">
          <w:rPr>
            <w:noProof/>
            <w:webHidden/>
          </w:rPr>
          <w:t>61</w:t>
        </w:r>
        <w:r w:rsidR="000620CC">
          <w:rPr>
            <w:noProof/>
            <w:webHidden/>
          </w:rPr>
          <w:fldChar w:fldCharType="end"/>
        </w:r>
      </w:hyperlink>
    </w:p>
    <w:p w14:paraId="29DA373C" w14:textId="7779D03F" w:rsidR="000620CC" w:rsidRDefault="006A2FD6">
      <w:pPr>
        <w:pStyle w:val="ndicedeilustraes"/>
        <w:tabs>
          <w:tab w:val="right" w:leader="dot" w:pos="9055"/>
        </w:tabs>
        <w:rPr>
          <w:rFonts w:asciiTheme="minorHAnsi" w:eastAsiaTheme="minorEastAsia" w:hAnsiTheme="minorHAnsi" w:cstheme="minorBidi"/>
          <w:noProof/>
        </w:rPr>
      </w:pPr>
      <w:hyperlink w:anchor="_Toc167825102" w:history="1">
        <w:r w:rsidR="000620CC" w:rsidRPr="008F1C9B">
          <w:rPr>
            <w:rStyle w:val="Hyperlink"/>
            <w:noProof/>
          </w:rPr>
          <w:t>Gráfico 9</w:t>
        </w:r>
        <w:r w:rsidR="000620CC">
          <w:rPr>
            <w:rFonts w:asciiTheme="minorHAnsi" w:eastAsiaTheme="minorEastAsia" w:hAnsiTheme="minorHAnsi" w:cstheme="minorBidi"/>
            <w:noProof/>
          </w:rPr>
          <w:tab/>
        </w:r>
        <w:r w:rsidR="000620CC" w:rsidRPr="008F1C9B">
          <w:rPr>
            <w:rStyle w:val="Hyperlink"/>
            <w:noProof/>
          </w:rPr>
          <w:t>Despesa Empenhada por Função</w:t>
        </w:r>
        <w:r w:rsidR="000620CC">
          <w:rPr>
            <w:noProof/>
            <w:webHidden/>
          </w:rPr>
          <w:tab/>
        </w:r>
        <w:r w:rsidR="000620CC">
          <w:rPr>
            <w:noProof/>
            <w:webHidden/>
          </w:rPr>
          <w:fldChar w:fldCharType="begin"/>
        </w:r>
        <w:r w:rsidR="000620CC">
          <w:rPr>
            <w:noProof/>
            <w:webHidden/>
          </w:rPr>
          <w:instrText xml:space="preserve"> PAGEREF _Toc167825102 \h </w:instrText>
        </w:r>
        <w:r w:rsidR="000620CC">
          <w:rPr>
            <w:noProof/>
            <w:webHidden/>
          </w:rPr>
        </w:r>
        <w:r w:rsidR="000620CC">
          <w:rPr>
            <w:noProof/>
            <w:webHidden/>
          </w:rPr>
          <w:fldChar w:fldCharType="separate"/>
        </w:r>
        <w:r w:rsidR="000620CC">
          <w:rPr>
            <w:noProof/>
            <w:webHidden/>
          </w:rPr>
          <w:t>62</w:t>
        </w:r>
        <w:r w:rsidR="000620CC">
          <w:rPr>
            <w:noProof/>
            <w:webHidden/>
          </w:rPr>
          <w:fldChar w:fldCharType="end"/>
        </w:r>
      </w:hyperlink>
    </w:p>
    <w:p w14:paraId="3385C719" w14:textId="014B9422" w:rsidR="000620CC" w:rsidRDefault="006A2FD6">
      <w:pPr>
        <w:pStyle w:val="ndicedeilustraes"/>
        <w:tabs>
          <w:tab w:val="right" w:leader="dot" w:pos="9055"/>
        </w:tabs>
        <w:rPr>
          <w:rFonts w:asciiTheme="minorHAnsi" w:eastAsiaTheme="minorEastAsia" w:hAnsiTheme="minorHAnsi" w:cstheme="minorBidi"/>
          <w:noProof/>
        </w:rPr>
      </w:pPr>
      <w:hyperlink w:anchor="_Toc167825103" w:history="1">
        <w:r w:rsidR="000620CC" w:rsidRPr="008F1C9B">
          <w:rPr>
            <w:rStyle w:val="Hyperlink"/>
            <w:noProof/>
          </w:rPr>
          <w:t>Gráfico 10</w:t>
        </w:r>
        <w:r w:rsidR="000620CC">
          <w:rPr>
            <w:rFonts w:asciiTheme="minorHAnsi" w:eastAsiaTheme="minorEastAsia" w:hAnsiTheme="minorHAnsi" w:cstheme="minorBidi"/>
            <w:noProof/>
          </w:rPr>
          <w:tab/>
        </w:r>
        <w:r w:rsidR="000620CC" w:rsidRPr="008F1C9B">
          <w:rPr>
            <w:rStyle w:val="Hyperlink"/>
            <w:noProof/>
          </w:rPr>
          <w:t>Receita Corrente Líquida –  2019 a 2023</w:t>
        </w:r>
        <w:r w:rsidR="000620CC">
          <w:rPr>
            <w:noProof/>
            <w:webHidden/>
          </w:rPr>
          <w:tab/>
        </w:r>
        <w:r w:rsidR="000620CC">
          <w:rPr>
            <w:noProof/>
            <w:webHidden/>
          </w:rPr>
          <w:fldChar w:fldCharType="begin"/>
        </w:r>
        <w:r w:rsidR="000620CC">
          <w:rPr>
            <w:noProof/>
            <w:webHidden/>
          </w:rPr>
          <w:instrText xml:space="preserve"> PAGEREF _Toc167825103 \h </w:instrText>
        </w:r>
        <w:r w:rsidR="000620CC">
          <w:rPr>
            <w:noProof/>
            <w:webHidden/>
          </w:rPr>
        </w:r>
        <w:r w:rsidR="000620CC">
          <w:rPr>
            <w:noProof/>
            <w:webHidden/>
          </w:rPr>
          <w:fldChar w:fldCharType="separate"/>
        </w:r>
        <w:r w:rsidR="000620CC">
          <w:rPr>
            <w:noProof/>
            <w:webHidden/>
          </w:rPr>
          <w:t>74</w:t>
        </w:r>
        <w:r w:rsidR="000620CC">
          <w:rPr>
            <w:noProof/>
            <w:webHidden/>
          </w:rPr>
          <w:fldChar w:fldCharType="end"/>
        </w:r>
      </w:hyperlink>
    </w:p>
    <w:p w14:paraId="2E33DCCE" w14:textId="3FB65BC5" w:rsidR="000620CC" w:rsidRDefault="006A2FD6">
      <w:pPr>
        <w:pStyle w:val="ndicedeilustraes"/>
        <w:tabs>
          <w:tab w:val="right" w:leader="dot" w:pos="9055"/>
        </w:tabs>
        <w:rPr>
          <w:rFonts w:asciiTheme="minorHAnsi" w:eastAsiaTheme="minorEastAsia" w:hAnsiTheme="minorHAnsi" w:cstheme="minorBidi"/>
          <w:noProof/>
        </w:rPr>
      </w:pPr>
      <w:hyperlink w:anchor="_Toc167825104" w:history="1">
        <w:r w:rsidR="000620CC" w:rsidRPr="008F1C9B">
          <w:rPr>
            <w:rStyle w:val="Hyperlink"/>
            <w:noProof/>
          </w:rPr>
          <w:t>Gráfico 11</w:t>
        </w:r>
        <w:r w:rsidR="000620CC">
          <w:rPr>
            <w:rFonts w:asciiTheme="minorHAnsi" w:eastAsiaTheme="minorEastAsia" w:hAnsiTheme="minorHAnsi" w:cstheme="minorBidi"/>
            <w:noProof/>
          </w:rPr>
          <w:tab/>
        </w:r>
        <w:r w:rsidR="000620CC" w:rsidRPr="008F1C9B">
          <w:rPr>
            <w:rStyle w:val="Hyperlink"/>
            <w:noProof/>
          </w:rPr>
          <w:t>Distribuição de Gastos com Pessoal pelos Poderes e Ministério Público em Relação à RCL</w:t>
        </w:r>
        <w:r w:rsidR="000620CC">
          <w:rPr>
            <w:noProof/>
            <w:webHidden/>
          </w:rPr>
          <w:tab/>
        </w:r>
        <w:r w:rsidR="000620CC">
          <w:rPr>
            <w:noProof/>
            <w:webHidden/>
          </w:rPr>
          <w:fldChar w:fldCharType="begin"/>
        </w:r>
        <w:r w:rsidR="000620CC">
          <w:rPr>
            <w:noProof/>
            <w:webHidden/>
          </w:rPr>
          <w:instrText xml:space="preserve"> PAGEREF _Toc167825104 \h </w:instrText>
        </w:r>
        <w:r w:rsidR="000620CC">
          <w:rPr>
            <w:noProof/>
            <w:webHidden/>
          </w:rPr>
        </w:r>
        <w:r w:rsidR="000620CC">
          <w:rPr>
            <w:noProof/>
            <w:webHidden/>
          </w:rPr>
          <w:fldChar w:fldCharType="separate"/>
        </w:r>
        <w:r w:rsidR="000620CC">
          <w:rPr>
            <w:noProof/>
            <w:webHidden/>
          </w:rPr>
          <w:t>76</w:t>
        </w:r>
        <w:r w:rsidR="000620CC">
          <w:rPr>
            <w:noProof/>
            <w:webHidden/>
          </w:rPr>
          <w:fldChar w:fldCharType="end"/>
        </w:r>
      </w:hyperlink>
    </w:p>
    <w:p w14:paraId="16AA92B2" w14:textId="7EC2EF60" w:rsidR="000620CC" w:rsidRDefault="006A2FD6">
      <w:pPr>
        <w:pStyle w:val="ndicedeilustraes"/>
        <w:tabs>
          <w:tab w:val="right" w:leader="dot" w:pos="9055"/>
        </w:tabs>
        <w:rPr>
          <w:rFonts w:asciiTheme="minorHAnsi" w:eastAsiaTheme="minorEastAsia" w:hAnsiTheme="minorHAnsi" w:cstheme="minorBidi"/>
          <w:noProof/>
        </w:rPr>
      </w:pPr>
      <w:hyperlink w:anchor="_Toc167825105" w:history="1">
        <w:r w:rsidR="000620CC" w:rsidRPr="008F1C9B">
          <w:rPr>
            <w:rStyle w:val="Hyperlink"/>
            <w:noProof/>
          </w:rPr>
          <w:t>Gráfico 12</w:t>
        </w:r>
        <w:r w:rsidR="000620CC">
          <w:rPr>
            <w:rFonts w:asciiTheme="minorHAnsi" w:eastAsiaTheme="minorEastAsia" w:hAnsiTheme="minorHAnsi" w:cstheme="minorBidi"/>
            <w:noProof/>
          </w:rPr>
          <w:tab/>
        </w:r>
        <w:r w:rsidR="000620CC" w:rsidRPr="008F1C9B">
          <w:rPr>
            <w:rStyle w:val="Hyperlink"/>
            <w:noProof/>
          </w:rPr>
          <w:t>Aportes efetuado pelo Tesouro Estadual para Pagamentos de Benefícios Previdenciários</w:t>
        </w:r>
        <w:r w:rsidR="000620CC">
          <w:rPr>
            <w:noProof/>
            <w:webHidden/>
          </w:rPr>
          <w:tab/>
        </w:r>
        <w:r w:rsidR="000620CC">
          <w:rPr>
            <w:noProof/>
            <w:webHidden/>
          </w:rPr>
          <w:fldChar w:fldCharType="begin"/>
        </w:r>
        <w:r w:rsidR="000620CC">
          <w:rPr>
            <w:noProof/>
            <w:webHidden/>
          </w:rPr>
          <w:instrText xml:space="preserve"> PAGEREF _Toc167825105 \h </w:instrText>
        </w:r>
        <w:r w:rsidR="000620CC">
          <w:rPr>
            <w:noProof/>
            <w:webHidden/>
          </w:rPr>
        </w:r>
        <w:r w:rsidR="000620CC">
          <w:rPr>
            <w:noProof/>
            <w:webHidden/>
          </w:rPr>
          <w:fldChar w:fldCharType="separate"/>
        </w:r>
        <w:r w:rsidR="000620CC">
          <w:rPr>
            <w:noProof/>
            <w:webHidden/>
          </w:rPr>
          <w:t>113</w:t>
        </w:r>
        <w:r w:rsidR="000620CC">
          <w:rPr>
            <w:noProof/>
            <w:webHidden/>
          </w:rPr>
          <w:fldChar w:fldCharType="end"/>
        </w:r>
      </w:hyperlink>
    </w:p>
    <w:p w14:paraId="28CA718F" w14:textId="71E42732" w:rsidR="000620CC" w:rsidRDefault="006A2FD6">
      <w:pPr>
        <w:pStyle w:val="ndicedeilustraes"/>
        <w:tabs>
          <w:tab w:val="right" w:leader="dot" w:pos="9055"/>
        </w:tabs>
        <w:rPr>
          <w:rFonts w:asciiTheme="minorHAnsi" w:eastAsiaTheme="minorEastAsia" w:hAnsiTheme="minorHAnsi" w:cstheme="minorBidi"/>
          <w:noProof/>
        </w:rPr>
      </w:pPr>
      <w:hyperlink w:anchor="_Toc167825106" w:history="1">
        <w:r w:rsidR="000620CC" w:rsidRPr="008F1C9B">
          <w:rPr>
            <w:rStyle w:val="Hyperlink"/>
            <w:noProof/>
          </w:rPr>
          <w:t>Gráfico 13</w:t>
        </w:r>
        <w:r w:rsidR="000620CC">
          <w:rPr>
            <w:rFonts w:asciiTheme="minorHAnsi" w:eastAsiaTheme="minorEastAsia" w:hAnsiTheme="minorHAnsi" w:cstheme="minorBidi"/>
            <w:noProof/>
          </w:rPr>
          <w:tab/>
        </w:r>
        <w:r w:rsidR="000620CC" w:rsidRPr="008F1C9B">
          <w:rPr>
            <w:rStyle w:val="Hyperlink"/>
            <w:noProof/>
          </w:rPr>
          <w:t>Restos a Pagar de Exercícios Anteriores</w:t>
        </w:r>
        <w:r w:rsidR="000620CC">
          <w:rPr>
            <w:noProof/>
            <w:webHidden/>
          </w:rPr>
          <w:tab/>
        </w:r>
        <w:r w:rsidR="000620CC">
          <w:rPr>
            <w:noProof/>
            <w:webHidden/>
          </w:rPr>
          <w:fldChar w:fldCharType="begin"/>
        </w:r>
        <w:r w:rsidR="000620CC">
          <w:rPr>
            <w:noProof/>
            <w:webHidden/>
          </w:rPr>
          <w:instrText xml:space="preserve"> PAGEREF _Toc167825106 \h </w:instrText>
        </w:r>
        <w:r w:rsidR="000620CC">
          <w:rPr>
            <w:noProof/>
            <w:webHidden/>
          </w:rPr>
        </w:r>
        <w:r w:rsidR="000620CC">
          <w:rPr>
            <w:noProof/>
            <w:webHidden/>
          </w:rPr>
          <w:fldChar w:fldCharType="separate"/>
        </w:r>
        <w:r w:rsidR="000620CC">
          <w:rPr>
            <w:noProof/>
            <w:webHidden/>
          </w:rPr>
          <w:t>119</w:t>
        </w:r>
        <w:r w:rsidR="000620CC">
          <w:rPr>
            <w:noProof/>
            <w:webHidden/>
          </w:rPr>
          <w:fldChar w:fldCharType="end"/>
        </w:r>
      </w:hyperlink>
    </w:p>
    <w:p w14:paraId="79734BF2" w14:textId="4F8EA505" w:rsidR="000620CC" w:rsidRDefault="006A2FD6">
      <w:pPr>
        <w:pStyle w:val="ndicedeilustraes"/>
        <w:tabs>
          <w:tab w:val="right" w:leader="dot" w:pos="9055"/>
        </w:tabs>
        <w:rPr>
          <w:rFonts w:asciiTheme="minorHAnsi" w:eastAsiaTheme="minorEastAsia" w:hAnsiTheme="minorHAnsi" w:cstheme="minorBidi"/>
          <w:noProof/>
        </w:rPr>
      </w:pPr>
      <w:hyperlink w:anchor="_Toc167825107" w:history="1">
        <w:r w:rsidR="000620CC" w:rsidRPr="008F1C9B">
          <w:rPr>
            <w:rStyle w:val="Hyperlink"/>
            <w:noProof/>
          </w:rPr>
          <w:t>Gráfico 14</w:t>
        </w:r>
        <w:r w:rsidR="000620CC">
          <w:rPr>
            <w:rFonts w:asciiTheme="minorHAnsi" w:eastAsiaTheme="minorEastAsia" w:hAnsiTheme="minorHAnsi" w:cstheme="minorBidi"/>
            <w:noProof/>
          </w:rPr>
          <w:tab/>
        </w:r>
        <w:r w:rsidR="000620CC" w:rsidRPr="008F1C9B">
          <w:rPr>
            <w:rStyle w:val="Hyperlink"/>
            <w:noProof/>
          </w:rPr>
          <w:t>Inscrição de Restos a Pagar – 2021 a 2023</w:t>
        </w:r>
        <w:r w:rsidR="000620CC">
          <w:rPr>
            <w:noProof/>
            <w:webHidden/>
          </w:rPr>
          <w:tab/>
        </w:r>
        <w:r w:rsidR="000620CC">
          <w:rPr>
            <w:noProof/>
            <w:webHidden/>
          </w:rPr>
          <w:fldChar w:fldCharType="begin"/>
        </w:r>
        <w:r w:rsidR="000620CC">
          <w:rPr>
            <w:noProof/>
            <w:webHidden/>
          </w:rPr>
          <w:instrText xml:space="preserve"> PAGEREF _Toc167825107 \h </w:instrText>
        </w:r>
        <w:r w:rsidR="000620CC">
          <w:rPr>
            <w:noProof/>
            <w:webHidden/>
          </w:rPr>
        </w:r>
        <w:r w:rsidR="000620CC">
          <w:rPr>
            <w:noProof/>
            <w:webHidden/>
          </w:rPr>
          <w:fldChar w:fldCharType="separate"/>
        </w:r>
        <w:r w:rsidR="000620CC">
          <w:rPr>
            <w:noProof/>
            <w:webHidden/>
          </w:rPr>
          <w:t>121</w:t>
        </w:r>
        <w:r w:rsidR="000620CC">
          <w:rPr>
            <w:noProof/>
            <w:webHidden/>
          </w:rPr>
          <w:fldChar w:fldCharType="end"/>
        </w:r>
      </w:hyperlink>
    </w:p>
    <w:p w14:paraId="57356A50" w14:textId="187290FF" w:rsidR="000620CC" w:rsidRDefault="006A2FD6">
      <w:pPr>
        <w:pStyle w:val="ndicedeilustraes"/>
        <w:tabs>
          <w:tab w:val="right" w:leader="dot" w:pos="9055"/>
        </w:tabs>
        <w:rPr>
          <w:rFonts w:asciiTheme="minorHAnsi" w:eastAsiaTheme="minorEastAsia" w:hAnsiTheme="minorHAnsi" w:cstheme="minorBidi"/>
          <w:noProof/>
        </w:rPr>
      </w:pPr>
      <w:hyperlink w:anchor="_Toc167825108" w:history="1">
        <w:r w:rsidR="000620CC" w:rsidRPr="008F1C9B">
          <w:rPr>
            <w:rStyle w:val="Hyperlink"/>
            <w:noProof/>
          </w:rPr>
          <w:t>Gráfico 15</w:t>
        </w:r>
        <w:r w:rsidR="000620CC">
          <w:rPr>
            <w:rFonts w:asciiTheme="minorHAnsi" w:eastAsiaTheme="minorEastAsia" w:hAnsiTheme="minorHAnsi" w:cstheme="minorBidi"/>
            <w:noProof/>
          </w:rPr>
          <w:tab/>
        </w:r>
        <w:r w:rsidR="000620CC" w:rsidRPr="008F1C9B">
          <w:rPr>
            <w:rStyle w:val="Hyperlink"/>
            <w:noProof/>
          </w:rPr>
          <w:t>Saldo de RP por Grupo de Despesa – 2021 a 2023</w:t>
        </w:r>
        <w:r w:rsidR="000620CC">
          <w:rPr>
            <w:noProof/>
            <w:webHidden/>
          </w:rPr>
          <w:tab/>
        </w:r>
        <w:r w:rsidR="000620CC">
          <w:rPr>
            <w:noProof/>
            <w:webHidden/>
          </w:rPr>
          <w:fldChar w:fldCharType="begin"/>
        </w:r>
        <w:r w:rsidR="000620CC">
          <w:rPr>
            <w:noProof/>
            <w:webHidden/>
          </w:rPr>
          <w:instrText xml:space="preserve"> PAGEREF _Toc167825108 \h </w:instrText>
        </w:r>
        <w:r w:rsidR="000620CC">
          <w:rPr>
            <w:noProof/>
            <w:webHidden/>
          </w:rPr>
        </w:r>
        <w:r w:rsidR="000620CC">
          <w:rPr>
            <w:noProof/>
            <w:webHidden/>
          </w:rPr>
          <w:fldChar w:fldCharType="separate"/>
        </w:r>
        <w:r w:rsidR="000620CC">
          <w:rPr>
            <w:noProof/>
            <w:webHidden/>
          </w:rPr>
          <w:t>121</w:t>
        </w:r>
        <w:r w:rsidR="000620CC">
          <w:rPr>
            <w:noProof/>
            <w:webHidden/>
          </w:rPr>
          <w:fldChar w:fldCharType="end"/>
        </w:r>
      </w:hyperlink>
    </w:p>
    <w:p w14:paraId="373C7261" w14:textId="14882A12" w:rsidR="000620CC" w:rsidRDefault="006A2FD6">
      <w:pPr>
        <w:pStyle w:val="ndicedeilustraes"/>
        <w:tabs>
          <w:tab w:val="right" w:leader="dot" w:pos="9055"/>
        </w:tabs>
        <w:rPr>
          <w:rFonts w:asciiTheme="minorHAnsi" w:eastAsiaTheme="minorEastAsia" w:hAnsiTheme="minorHAnsi" w:cstheme="minorBidi"/>
          <w:noProof/>
        </w:rPr>
      </w:pPr>
      <w:hyperlink w:anchor="_Toc167825109" w:history="1">
        <w:r w:rsidR="000620CC" w:rsidRPr="008F1C9B">
          <w:rPr>
            <w:rStyle w:val="Hyperlink"/>
            <w:noProof/>
          </w:rPr>
          <w:t>Gráfico 16</w:t>
        </w:r>
        <w:r w:rsidR="000620CC">
          <w:rPr>
            <w:rFonts w:asciiTheme="minorHAnsi" w:eastAsiaTheme="minorEastAsia" w:hAnsiTheme="minorHAnsi" w:cstheme="minorBidi"/>
            <w:noProof/>
          </w:rPr>
          <w:tab/>
        </w:r>
        <w:r w:rsidR="000620CC" w:rsidRPr="008F1C9B">
          <w:rPr>
            <w:rStyle w:val="Hyperlink"/>
            <w:noProof/>
          </w:rPr>
          <w:t>Resultado de Depósitos e Consignações (Ativo - Passivo)</w:t>
        </w:r>
        <w:r w:rsidR="000620CC">
          <w:rPr>
            <w:noProof/>
            <w:webHidden/>
          </w:rPr>
          <w:tab/>
        </w:r>
        <w:r w:rsidR="000620CC">
          <w:rPr>
            <w:noProof/>
            <w:webHidden/>
          </w:rPr>
          <w:fldChar w:fldCharType="begin"/>
        </w:r>
        <w:r w:rsidR="000620CC">
          <w:rPr>
            <w:noProof/>
            <w:webHidden/>
          </w:rPr>
          <w:instrText xml:space="preserve"> PAGEREF _Toc167825109 \h </w:instrText>
        </w:r>
        <w:r w:rsidR="000620CC">
          <w:rPr>
            <w:noProof/>
            <w:webHidden/>
          </w:rPr>
        </w:r>
        <w:r w:rsidR="000620CC">
          <w:rPr>
            <w:noProof/>
            <w:webHidden/>
          </w:rPr>
          <w:fldChar w:fldCharType="separate"/>
        </w:r>
        <w:r w:rsidR="000620CC">
          <w:rPr>
            <w:noProof/>
            <w:webHidden/>
          </w:rPr>
          <w:t>123</w:t>
        </w:r>
        <w:r w:rsidR="000620CC">
          <w:rPr>
            <w:noProof/>
            <w:webHidden/>
          </w:rPr>
          <w:fldChar w:fldCharType="end"/>
        </w:r>
      </w:hyperlink>
    </w:p>
    <w:p w14:paraId="24FCBB9F" w14:textId="331ED1A8" w:rsidR="000620CC" w:rsidRDefault="006A2FD6">
      <w:pPr>
        <w:pStyle w:val="ndicedeilustraes"/>
        <w:tabs>
          <w:tab w:val="right" w:leader="dot" w:pos="9055"/>
        </w:tabs>
        <w:rPr>
          <w:rFonts w:asciiTheme="minorHAnsi" w:eastAsiaTheme="minorEastAsia" w:hAnsiTheme="minorHAnsi" w:cstheme="minorBidi"/>
          <w:noProof/>
        </w:rPr>
      </w:pPr>
      <w:hyperlink w:anchor="_Toc167825110" w:history="1">
        <w:r w:rsidR="000620CC" w:rsidRPr="008F1C9B">
          <w:rPr>
            <w:rStyle w:val="Hyperlink"/>
            <w:noProof/>
          </w:rPr>
          <w:t>Gráfico 17</w:t>
        </w:r>
        <w:r w:rsidR="000620CC">
          <w:rPr>
            <w:rFonts w:asciiTheme="minorHAnsi" w:eastAsiaTheme="minorEastAsia" w:hAnsiTheme="minorHAnsi" w:cstheme="minorBidi"/>
            <w:noProof/>
          </w:rPr>
          <w:tab/>
        </w:r>
        <w:r w:rsidR="000620CC" w:rsidRPr="008F1C9B">
          <w:rPr>
            <w:rStyle w:val="Hyperlink"/>
            <w:noProof/>
          </w:rPr>
          <w:t>Renúncia de Receita por Tipo de Impostos</w:t>
        </w:r>
        <w:r w:rsidR="000620CC">
          <w:rPr>
            <w:noProof/>
            <w:webHidden/>
          </w:rPr>
          <w:tab/>
        </w:r>
        <w:r w:rsidR="000620CC">
          <w:rPr>
            <w:noProof/>
            <w:webHidden/>
          </w:rPr>
          <w:fldChar w:fldCharType="begin"/>
        </w:r>
        <w:r w:rsidR="000620CC">
          <w:rPr>
            <w:noProof/>
            <w:webHidden/>
          </w:rPr>
          <w:instrText xml:space="preserve"> PAGEREF _Toc167825110 \h </w:instrText>
        </w:r>
        <w:r w:rsidR="000620CC">
          <w:rPr>
            <w:noProof/>
            <w:webHidden/>
          </w:rPr>
        </w:r>
        <w:r w:rsidR="000620CC">
          <w:rPr>
            <w:noProof/>
            <w:webHidden/>
          </w:rPr>
          <w:fldChar w:fldCharType="separate"/>
        </w:r>
        <w:r w:rsidR="000620CC">
          <w:rPr>
            <w:noProof/>
            <w:webHidden/>
          </w:rPr>
          <w:t>141</w:t>
        </w:r>
        <w:r w:rsidR="000620CC">
          <w:rPr>
            <w:noProof/>
            <w:webHidden/>
          </w:rPr>
          <w:fldChar w:fldCharType="end"/>
        </w:r>
      </w:hyperlink>
    </w:p>
    <w:p w14:paraId="0EB68813" w14:textId="7F7C1F15" w:rsidR="000620CC" w:rsidRDefault="006A2FD6">
      <w:pPr>
        <w:pStyle w:val="ndicedeilustraes"/>
        <w:tabs>
          <w:tab w:val="right" w:leader="dot" w:pos="9055"/>
        </w:tabs>
        <w:rPr>
          <w:rFonts w:asciiTheme="minorHAnsi" w:eastAsiaTheme="minorEastAsia" w:hAnsiTheme="minorHAnsi" w:cstheme="minorBidi"/>
          <w:noProof/>
        </w:rPr>
      </w:pPr>
      <w:hyperlink w:anchor="_Toc167825111" w:history="1">
        <w:r w:rsidR="000620CC" w:rsidRPr="008F1C9B">
          <w:rPr>
            <w:rStyle w:val="Hyperlink"/>
            <w:noProof/>
          </w:rPr>
          <w:t>Gráfico 18</w:t>
        </w:r>
        <w:r w:rsidR="000620CC">
          <w:rPr>
            <w:rFonts w:asciiTheme="minorHAnsi" w:eastAsiaTheme="minorEastAsia" w:hAnsiTheme="minorHAnsi" w:cstheme="minorBidi"/>
            <w:noProof/>
          </w:rPr>
          <w:tab/>
        </w:r>
        <w:r w:rsidR="000620CC" w:rsidRPr="008F1C9B">
          <w:rPr>
            <w:rStyle w:val="Hyperlink"/>
            <w:noProof/>
          </w:rPr>
          <w:t>Renúncia de Receita por Modalidade</w:t>
        </w:r>
        <w:r w:rsidR="000620CC">
          <w:rPr>
            <w:noProof/>
            <w:webHidden/>
          </w:rPr>
          <w:tab/>
        </w:r>
        <w:r w:rsidR="000620CC">
          <w:rPr>
            <w:noProof/>
            <w:webHidden/>
          </w:rPr>
          <w:fldChar w:fldCharType="begin"/>
        </w:r>
        <w:r w:rsidR="000620CC">
          <w:rPr>
            <w:noProof/>
            <w:webHidden/>
          </w:rPr>
          <w:instrText xml:space="preserve"> PAGEREF _Toc167825111 \h </w:instrText>
        </w:r>
        <w:r w:rsidR="000620CC">
          <w:rPr>
            <w:noProof/>
            <w:webHidden/>
          </w:rPr>
        </w:r>
        <w:r w:rsidR="000620CC">
          <w:rPr>
            <w:noProof/>
            <w:webHidden/>
          </w:rPr>
          <w:fldChar w:fldCharType="separate"/>
        </w:r>
        <w:r w:rsidR="000620CC">
          <w:rPr>
            <w:noProof/>
            <w:webHidden/>
          </w:rPr>
          <w:t>142</w:t>
        </w:r>
        <w:r w:rsidR="000620CC">
          <w:rPr>
            <w:noProof/>
            <w:webHidden/>
          </w:rPr>
          <w:fldChar w:fldCharType="end"/>
        </w:r>
      </w:hyperlink>
    </w:p>
    <w:p w14:paraId="0B8EF50E" w14:textId="5E1EF044" w:rsidR="000620CC" w:rsidRDefault="006A2FD6">
      <w:pPr>
        <w:pStyle w:val="ndicedeilustraes"/>
        <w:tabs>
          <w:tab w:val="right" w:leader="dot" w:pos="9055"/>
        </w:tabs>
        <w:rPr>
          <w:rFonts w:asciiTheme="minorHAnsi" w:eastAsiaTheme="minorEastAsia" w:hAnsiTheme="minorHAnsi" w:cstheme="minorBidi"/>
          <w:noProof/>
        </w:rPr>
      </w:pPr>
      <w:hyperlink w:anchor="_Toc167825112" w:history="1">
        <w:r w:rsidR="000620CC" w:rsidRPr="008F1C9B">
          <w:rPr>
            <w:rStyle w:val="Hyperlink"/>
            <w:noProof/>
          </w:rPr>
          <w:t>Gráfico 19</w:t>
        </w:r>
        <w:r w:rsidR="000620CC">
          <w:rPr>
            <w:rFonts w:asciiTheme="minorHAnsi" w:eastAsiaTheme="minorEastAsia" w:hAnsiTheme="minorHAnsi" w:cstheme="minorBidi"/>
            <w:noProof/>
          </w:rPr>
          <w:tab/>
        </w:r>
        <w:r w:rsidR="000620CC" w:rsidRPr="008F1C9B">
          <w:rPr>
            <w:rStyle w:val="Hyperlink"/>
            <w:noProof/>
          </w:rPr>
          <w:t>Renúncia de Receita por Atividade Econômica (ICMS – Crédito Outorgado, Redução de Base de Cálculo e Isenção)</w:t>
        </w:r>
        <w:r w:rsidR="000620CC">
          <w:rPr>
            <w:noProof/>
            <w:webHidden/>
          </w:rPr>
          <w:tab/>
        </w:r>
        <w:r w:rsidR="000620CC">
          <w:rPr>
            <w:noProof/>
            <w:webHidden/>
          </w:rPr>
          <w:fldChar w:fldCharType="begin"/>
        </w:r>
        <w:r w:rsidR="000620CC">
          <w:rPr>
            <w:noProof/>
            <w:webHidden/>
          </w:rPr>
          <w:instrText xml:space="preserve"> PAGEREF _Toc167825112 \h </w:instrText>
        </w:r>
        <w:r w:rsidR="000620CC">
          <w:rPr>
            <w:noProof/>
            <w:webHidden/>
          </w:rPr>
        </w:r>
        <w:r w:rsidR="000620CC">
          <w:rPr>
            <w:noProof/>
            <w:webHidden/>
          </w:rPr>
          <w:fldChar w:fldCharType="separate"/>
        </w:r>
        <w:r w:rsidR="000620CC">
          <w:rPr>
            <w:noProof/>
            <w:webHidden/>
          </w:rPr>
          <w:t>142</w:t>
        </w:r>
        <w:r w:rsidR="000620CC">
          <w:rPr>
            <w:noProof/>
            <w:webHidden/>
          </w:rPr>
          <w:fldChar w:fldCharType="end"/>
        </w:r>
      </w:hyperlink>
    </w:p>
    <w:p w14:paraId="065BDDC0" w14:textId="579F2C50" w:rsidR="000620CC" w:rsidRDefault="006A2FD6">
      <w:pPr>
        <w:pStyle w:val="ndicedeilustraes"/>
        <w:tabs>
          <w:tab w:val="right" w:leader="dot" w:pos="9055"/>
        </w:tabs>
        <w:rPr>
          <w:rFonts w:asciiTheme="minorHAnsi" w:eastAsiaTheme="minorEastAsia" w:hAnsiTheme="minorHAnsi" w:cstheme="minorBidi"/>
          <w:noProof/>
        </w:rPr>
      </w:pPr>
      <w:hyperlink w:anchor="_Toc167825113" w:history="1">
        <w:r w:rsidR="000620CC" w:rsidRPr="008F1C9B">
          <w:rPr>
            <w:rStyle w:val="Hyperlink"/>
            <w:noProof/>
          </w:rPr>
          <w:t>Gráfico 20</w:t>
        </w:r>
        <w:r w:rsidR="000620CC">
          <w:rPr>
            <w:rFonts w:asciiTheme="minorHAnsi" w:eastAsiaTheme="minorEastAsia" w:hAnsiTheme="minorHAnsi" w:cstheme="minorBidi"/>
            <w:noProof/>
          </w:rPr>
          <w:tab/>
        </w:r>
        <w:r w:rsidR="000620CC" w:rsidRPr="008F1C9B">
          <w:rPr>
            <w:rStyle w:val="Hyperlink"/>
            <w:noProof/>
          </w:rPr>
          <w:t>Renúncia de Receita por Região (ICMS – Crédito Outorgado)</w:t>
        </w:r>
        <w:r w:rsidR="000620CC">
          <w:rPr>
            <w:noProof/>
            <w:webHidden/>
          </w:rPr>
          <w:tab/>
        </w:r>
        <w:r w:rsidR="000620CC">
          <w:rPr>
            <w:noProof/>
            <w:webHidden/>
          </w:rPr>
          <w:fldChar w:fldCharType="begin"/>
        </w:r>
        <w:r w:rsidR="000620CC">
          <w:rPr>
            <w:noProof/>
            <w:webHidden/>
          </w:rPr>
          <w:instrText xml:space="preserve"> PAGEREF _Toc167825113 \h </w:instrText>
        </w:r>
        <w:r w:rsidR="000620CC">
          <w:rPr>
            <w:noProof/>
            <w:webHidden/>
          </w:rPr>
        </w:r>
        <w:r w:rsidR="000620CC">
          <w:rPr>
            <w:noProof/>
            <w:webHidden/>
          </w:rPr>
          <w:fldChar w:fldCharType="separate"/>
        </w:r>
        <w:r w:rsidR="000620CC">
          <w:rPr>
            <w:noProof/>
            <w:webHidden/>
          </w:rPr>
          <w:t>143</w:t>
        </w:r>
        <w:r w:rsidR="000620CC">
          <w:rPr>
            <w:noProof/>
            <w:webHidden/>
          </w:rPr>
          <w:fldChar w:fldCharType="end"/>
        </w:r>
      </w:hyperlink>
    </w:p>
    <w:p w14:paraId="0D56C30E" w14:textId="09FD7702" w:rsidR="000620CC" w:rsidRDefault="006A2FD6">
      <w:pPr>
        <w:pStyle w:val="ndicedeilustraes"/>
        <w:tabs>
          <w:tab w:val="right" w:leader="dot" w:pos="9055"/>
        </w:tabs>
        <w:rPr>
          <w:rFonts w:asciiTheme="minorHAnsi" w:eastAsiaTheme="minorEastAsia" w:hAnsiTheme="minorHAnsi" w:cstheme="minorBidi"/>
          <w:noProof/>
        </w:rPr>
      </w:pPr>
      <w:hyperlink w:anchor="_Toc167825114" w:history="1">
        <w:r w:rsidR="000620CC" w:rsidRPr="008F1C9B">
          <w:rPr>
            <w:rStyle w:val="Hyperlink"/>
            <w:noProof/>
          </w:rPr>
          <w:t>Gráfico 21</w:t>
        </w:r>
        <w:r w:rsidR="000620CC">
          <w:rPr>
            <w:rFonts w:asciiTheme="minorHAnsi" w:eastAsiaTheme="minorEastAsia" w:hAnsiTheme="minorHAnsi" w:cstheme="minorBidi"/>
            <w:noProof/>
          </w:rPr>
          <w:tab/>
        </w:r>
        <w:r w:rsidR="000620CC" w:rsidRPr="008F1C9B">
          <w:rPr>
            <w:rStyle w:val="Hyperlink"/>
            <w:noProof/>
          </w:rPr>
          <w:t>Renúncia de Receita – 10 Maiores Municípios (ICMS – Crédito Outorgado, Fomentar e Produzir)</w:t>
        </w:r>
        <w:r w:rsidR="000620CC">
          <w:rPr>
            <w:noProof/>
            <w:webHidden/>
          </w:rPr>
          <w:tab/>
        </w:r>
        <w:r w:rsidR="000620CC">
          <w:rPr>
            <w:noProof/>
            <w:webHidden/>
          </w:rPr>
          <w:fldChar w:fldCharType="begin"/>
        </w:r>
        <w:r w:rsidR="000620CC">
          <w:rPr>
            <w:noProof/>
            <w:webHidden/>
          </w:rPr>
          <w:instrText xml:space="preserve"> PAGEREF _Toc167825114 \h </w:instrText>
        </w:r>
        <w:r w:rsidR="000620CC">
          <w:rPr>
            <w:noProof/>
            <w:webHidden/>
          </w:rPr>
        </w:r>
        <w:r w:rsidR="000620CC">
          <w:rPr>
            <w:noProof/>
            <w:webHidden/>
          </w:rPr>
          <w:fldChar w:fldCharType="separate"/>
        </w:r>
        <w:r w:rsidR="000620CC">
          <w:rPr>
            <w:noProof/>
            <w:webHidden/>
          </w:rPr>
          <w:t>143</w:t>
        </w:r>
        <w:r w:rsidR="000620CC">
          <w:rPr>
            <w:noProof/>
            <w:webHidden/>
          </w:rPr>
          <w:fldChar w:fldCharType="end"/>
        </w:r>
      </w:hyperlink>
    </w:p>
    <w:p w14:paraId="54859B52" w14:textId="4EB81341" w:rsidR="000620CC" w:rsidRDefault="006A2FD6">
      <w:pPr>
        <w:pStyle w:val="ndicedeilustraes"/>
        <w:tabs>
          <w:tab w:val="right" w:leader="dot" w:pos="9055"/>
        </w:tabs>
        <w:rPr>
          <w:rFonts w:asciiTheme="minorHAnsi" w:eastAsiaTheme="minorEastAsia" w:hAnsiTheme="minorHAnsi" w:cstheme="minorBidi"/>
          <w:noProof/>
        </w:rPr>
      </w:pPr>
      <w:hyperlink w:anchor="_Toc167825115" w:history="1">
        <w:r w:rsidR="000620CC" w:rsidRPr="008F1C9B">
          <w:rPr>
            <w:rStyle w:val="Hyperlink"/>
            <w:noProof/>
          </w:rPr>
          <w:t>Gráfico 22</w:t>
        </w:r>
        <w:r w:rsidR="000620CC">
          <w:rPr>
            <w:rFonts w:asciiTheme="minorHAnsi" w:eastAsiaTheme="minorEastAsia" w:hAnsiTheme="minorHAnsi" w:cstheme="minorBidi"/>
            <w:noProof/>
          </w:rPr>
          <w:tab/>
        </w:r>
        <w:r w:rsidR="000620CC" w:rsidRPr="008F1C9B">
          <w:rPr>
            <w:rStyle w:val="Hyperlink"/>
            <w:noProof/>
          </w:rPr>
          <w:t>Histórico de Execução de Despesa na Função Educação</w:t>
        </w:r>
        <w:r w:rsidR="000620CC">
          <w:rPr>
            <w:noProof/>
            <w:webHidden/>
          </w:rPr>
          <w:tab/>
        </w:r>
        <w:r w:rsidR="000620CC">
          <w:rPr>
            <w:noProof/>
            <w:webHidden/>
          </w:rPr>
          <w:fldChar w:fldCharType="begin"/>
        </w:r>
        <w:r w:rsidR="000620CC">
          <w:rPr>
            <w:noProof/>
            <w:webHidden/>
          </w:rPr>
          <w:instrText xml:space="preserve"> PAGEREF _Toc167825115 \h </w:instrText>
        </w:r>
        <w:r w:rsidR="000620CC">
          <w:rPr>
            <w:noProof/>
            <w:webHidden/>
          </w:rPr>
        </w:r>
        <w:r w:rsidR="000620CC">
          <w:rPr>
            <w:noProof/>
            <w:webHidden/>
          </w:rPr>
          <w:fldChar w:fldCharType="separate"/>
        </w:r>
        <w:r w:rsidR="000620CC">
          <w:rPr>
            <w:noProof/>
            <w:webHidden/>
          </w:rPr>
          <w:t>152</w:t>
        </w:r>
        <w:r w:rsidR="000620CC">
          <w:rPr>
            <w:noProof/>
            <w:webHidden/>
          </w:rPr>
          <w:fldChar w:fldCharType="end"/>
        </w:r>
      </w:hyperlink>
    </w:p>
    <w:p w14:paraId="24A46B36" w14:textId="12FDF755" w:rsidR="000620CC" w:rsidRDefault="006A2FD6">
      <w:pPr>
        <w:pStyle w:val="ndicedeilustraes"/>
        <w:tabs>
          <w:tab w:val="right" w:leader="dot" w:pos="9055"/>
        </w:tabs>
        <w:rPr>
          <w:rFonts w:asciiTheme="minorHAnsi" w:eastAsiaTheme="minorEastAsia" w:hAnsiTheme="minorHAnsi" w:cstheme="minorBidi"/>
          <w:noProof/>
        </w:rPr>
      </w:pPr>
      <w:hyperlink w:anchor="_Toc167825116" w:history="1">
        <w:r w:rsidR="000620CC" w:rsidRPr="008F1C9B">
          <w:rPr>
            <w:rStyle w:val="Hyperlink"/>
            <w:noProof/>
          </w:rPr>
          <w:t>Gráfico 23</w:t>
        </w:r>
        <w:r w:rsidR="000620CC">
          <w:rPr>
            <w:rFonts w:asciiTheme="minorHAnsi" w:eastAsiaTheme="minorEastAsia" w:hAnsiTheme="minorHAnsi" w:cstheme="minorBidi"/>
            <w:noProof/>
          </w:rPr>
          <w:tab/>
        </w:r>
        <w:r w:rsidR="000620CC" w:rsidRPr="008F1C9B">
          <w:rPr>
            <w:rStyle w:val="Hyperlink"/>
            <w:noProof/>
          </w:rPr>
          <w:t>Histórico de Execução de Despesa na Função Saúde</w:t>
        </w:r>
        <w:r w:rsidR="000620CC">
          <w:rPr>
            <w:noProof/>
            <w:webHidden/>
          </w:rPr>
          <w:tab/>
        </w:r>
        <w:r w:rsidR="000620CC">
          <w:rPr>
            <w:noProof/>
            <w:webHidden/>
          </w:rPr>
          <w:fldChar w:fldCharType="begin"/>
        </w:r>
        <w:r w:rsidR="000620CC">
          <w:rPr>
            <w:noProof/>
            <w:webHidden/>
          </w:rPr>
          <w:instrText xml:space="preserve"> PAGEREF _Toc167825116 \h </w:instrText>
        </w:r>
        <w:r w:rsidR="000620CC">
          <w:rPr>
            <w:noProof/>
            <w:webHidden/>
          </w:rPr>
        </w:r>
        <w:r w:rsidR="000620CC">
          <w:rPr>
            <w:noProof/>
            <w:webHidden/>
          </w:rPr>
          <w:fldChar w:fldCharType="separate"/>
        </w:r>
        <w:r w:rsidR="000620CC">
          <w:rPr>
            <w:noProof/>
            <w:webHidden/>
          </w:rPr>
          <w:t>163</w:t>
        </w:r>
        <w:r w:rsidR="000620CC">
          <w:rPr>
            <w:noProof/>
            <w:webHidden/>
          </w:rPr>
          <w:fldChar w:fldCharType="end"/>
        </w:r>
      </w:hyperlink>
    </w:p>
    <w:p w14:paraId="52B1C8F6" w14:textId="4C8651D6" w:rsidR="000620CC" w:rsidRDefault="006A2FD6">
      <w:pPr>
        <w:pStyle w:val="ndicedeilustraes"/>
        <w:tabs>
          <w:tab w:val="right" w:leader="dot" w:pos="9055"/>
        </w:tabs>
        <w:rPr>
          <w:rFonts w:asciiTheme="minorHAnsi" w:eastAsiaTheme="minorEastAsia" w:hAnsiTheme="minorHAnsi" w:cstheme="minorBidi"/>
          <w:noProof/>
        </w:rPr>
      </w:pPr>
      <w:hyperlink w:anchor="_Toc167825117" w:history="1">
        <w:r w:rsidR="000620CC" w:rsidRPr="008F1C9B">
          <w:rPr>
            <w:rStyle w:val="Hyperlink"/>
            <w:noProof/>
          </w:rPr>
          <w:t>Gráfico 24</w:t>
        </w:r>
        <w:r w:rsidR="000620CC">
          <w:rPr>
            <w:rFonts w:asciiTheme="minorHAnsi" w:eastAsiaTheme="minorEastAsia" w:hAnsiTheme="minorHAnsi" w:cstheme="minorBidi"/>
            <w:noProof/>
          </w:rPr>
          <w:tab/>
        </w:r>
        <w:r w:rsidR="000620CC" w:rsidRPr="008F1C9B">
          <w:rPr>
            <w:rStyle w:val="Hyperlink"/>
            <w:noProof/>
          </w:rPr>
          <w:t>Despesas Empenhadas às OSs e OSCs</w:t>
        </w:r>
        <w:r w:rsidR="000620CC">
          <w:rPr>
            <w:noProof/>
            <w:webHidden/>
          </w:rPr>
          <w:tab/>
        </w:r>
        <w:r w:rsidR="000620CC">
          <w:rPr>
            <w:noProof/>
            <w:webHidden/>
          </w:rPr>
          <w:fldChar w:fldCharType="begin"/>
        </w:r>
        <w:r w:rsidR="000620CC">
          <w:rPr>
            <w:noProof/>
            <w:webHidden/>
          </w:rPr>
          <w:instrText xml:space="preserve"> PAGEREF _Toc167825117 \h </w:instrText>
        </w:r>
        <w:r w:rsidR="000620CC">
          <w:rPr>
            <w:noProof/>
            <w:webHidden/>
          </w:rPr>
        </w:r>
        <w:r w:rsidR="000620CC">
          <w:rPr>
            <w:noProof/>
            <w:webHidden/>
          </w:rPr>
          <w:fldChar w:fldCharType="separate"/>
        </w:r>
        <w:r w:rsidR="000620CC">
          <w:rPr>
            <w:noProof/>
            <w:webHidden/>
          </w:rPr>
          <w:t>168</w:t>
        </w:r>
        <w:r w:rsidR="000620CC">
          <w:rPr>
            <w:noProof/>
            <w:webHidden/>
          </w:rPr>
          <w:fldChar w:fldCharType="end"/>
        </w:r>
      </w:hyperlink>
    </w:p>
    <w:p w14:paraId="0977771D" w14:textId="2F004215" w:rsidR="000620CC" w:rsidRDefault="006A2FD6">
      <w:pPr>
        <w:pStyle w:val="ndicedeilustraes"/>
        <w:tabs>
          <w:tab w:val="right" w:leader="dot" w:pos="9055"/>
        </w:tabs>
        <w:rPr>
          <w:rFonts w:asciiTheme="minorHAnsi" w:eastAsiaTheme="minorEastAsia" w:hAnsiTheme="minorHAnsi" w:cstheme="minorBidi"/>
          <w:noProof/>
        </w:rPr>
      </w:pPr>
      <w:hyperlink w:anchor="_Toc167825118" w:history="1">
        <w:r w:rsidR="000620CC" w:rsidRPr="008F1C9B">
          <w:rPr>
            <w:rStyle w:val="Hyperlink"/>
            <w:noProof/>
          </w:rPr>
          <w:t>Gráfico 25</w:t>
        </w:r>
        <w:r w:rsidR="000620CC">
          <w:rPr>
            <w:rFonts w:asciiTheme="minorHAnsi" w:eastAsiaTheme="minorEastAsia" w:hAnsiTheme="minorHAnsi" w:cstheme="minorBidi"/>
            <w:noProof/>
          </w:rPr>
          <w:tab/>
        </w:r>
        <w:r w:rsidR="000620CC" w:rsidRPr="008F1C9B">
          <w:rPr>
            <w:rStyle w:val="Hyperlink"/>
            <w:noProof/>
          </w:rPr>
          <w:t>Estoque da Dívida Ativa –  2019 a 2023</w:t>
        </w:r>
        <w:r w:rsidR="000620CC">
          <w:rPr>
            <w:noProof/>
            <w:webHidden/>
          </w:rPr>
          <w:tab/>
        </w:r>
        <w:r w:rsidR="000620CC">
          <w:rPr>
            <w:noProof/>
            <w:webHidden/>
          </w:rPr>
          <w:fldChar w:fldCharType="begin"/>
        </w:r>
        <w:r w:rsidR="000620CC">
          <w:rPr>
            <w:noProof/>
            <w:webHidden/>
          </w:rPr>
          <w:instrText xml:space="preserve"> PAGEREF _Toc167825118 \h </w:instrText>
        </w:r>
        <w:r w:rsidR="000620CC">
          <w:rPr>
            <w:noProof/>
            <w:webHidden/>
          </w:rPr>
        </w:r>
        <w:r w:rsidR="000620CC">
          <w:rPr>
            <w:noProof/>
            <w:webHidden/>
          </w:rPr>
          <w:fldChar w:fldCharType="separate"/>
        </w:r>
        <w:r w:rsidR="000620CC">
          <w:rPr>
            <w:noProof/>
            <w:webHidden/>
          </w:rPr>
          <w:t>190</w:t>
        </w:r>
        <w:r w:rsidR="000620CC">
          <w:rPr>
            <w:noProof/>
            <w:webHidden/>
          </w:rPr>
          <w:fldChar w:fldCharType="end"/>
        </w:r>
      </w:hyperlink>
    </w:p>
    <w:p w14:paraId="47213CAC" w14:textId="5CC6A661" w:rsidR="000620CC" w:rsidRDefault="006A2FD6">
      <w:pPr>
        <w:pStyle w:val="ndicedeilustraes"/>
        <w:tabs>
          <w:tab w:val="right" w:leader="dot" w:pos="9055"/>
        </w:tabs>
        <w:rPr>
          <w:rFonts w:asciiTheme="minorHAnsi" w:eastAsiaTheme="minorEastAsia" w:hAnsiTheme="minorHAnsi" w:cstheme="minorBidi"/>
          <w:noProof/>
        </w:rPr>
      </w:pPr>
      <w:hyperlink w:anchor="_Toc167825119" w:history="1">
        <w:r w:rsidR="000620CC" w:rsidRPr="008F1C9B">
          <w:rPr>
            <w:rStyle w:val="Hyperlink"/>
            <w:noProof/>
            <w:lang w:eastAsia="en-US"/>
          </w:rPr>
          <w:t>Gráfico 26</w:t>
        </w:r>
        <w:r w:rsidR="000620CC">
          <w:rPr>
            <w:rFonts w:asciiTheme="minorHAnsi" w:eastAsiaTheme="minorEastAsia" w:hAnsiTheme="minorHAnsi" w:cstheme="minorBidi"/>
            <w:noProof/>
          </w:rPr>
          <w:tab/>
        </w:r>
        <w:r w:rsidR="000620CC" w:rsidRPr="008F1C9B">
          <w:rPr>
            <w:rStyle w:val="Hyperlink"/>
            <w:noProof/>
            <w:lang w:eastAsia="en-US"/>
          </w:rPr>
          <w:t>Evolução da Dívida Ativa x Recuperação de Créditos</w:t>
        </w:r>
        <w:r w:rsidR="000620CC">
          <w:rPr>
            <w:noProof/>
            <w:webHidden/>
          </w:rPr>
          <w:tab/>
        </w:r>
        <w:r w:rsidR="000620CC">
          <w:rPr>
            <w:noProof/>
            <w:webHidden/>
          </w:rPr>
          <w:fldChar w:fldCharType="begin"/>
        </w:r>
        <w:r w:rsidR="000620CC">
          <w:rPr>
            <w:noProof/>
            <w:webHidden/>
          </w:rPr>
          <w:instrText xml:space="preserve"> PAGEREF _Toc167825119 \h </w:instrText>
        </w:r>
        <w:r w:rsidR="000620CC">
          <w:rPr>
            <w:noProof/>
            <w:webHidden/>
          </w:rPr>
        </w:r>
        <w:r w:rsidR="000620CC">
          <w:rPr>
            <w:noProof/>
            <w:webHidden/>
          </w:rPr>
          <w:fldChar w:fldCharType="separate"/>
        </w:r>
        <w:r w:rsidR="000620CC">
          <w:rPr>
            <w:noProof/>
            <w:webHidden/>
          </w:rPr>
          <w:t>193</w:t>
        </w:r>
        <w:r w:rsidR="000620CC">
          <w:rPr>
            <w:noProof/>
            <w:webHidden/>
          </w:rPr>
          <w:fldChar w:fldCharType="end"/>
        </w:r>
      </w:hyperlink>
    </w:p>
    <w:p w14:paraId="6121619B" w14:textId="2A0F4641" w:rsidR="000620CC" w:rsidRDefault="006A2FD6">
      <w:pPr>
        <w:pStyle w:val="ndicedeilustraes"/>
        <w:tabs>
          <w:tab w:val="right" w:leader="dot" w:pos="9055"/>
        </w:tabs>
        <w:rPr>
          <w:rFonts w:asciiTheme="minorHAnsi" w:eastAsiaTheme="minorEastAsia" w:hAnsiTheme="minorHAnsi" w:cstheme="minorBidi"/>
          <w:noProof/>
        </w:rPr>
      </w:pPr>
      <w:hyperlink w:anchor="_Toc167825120" w:history="1">
        <w:r w:rsidR="000620CC" w:rsidRPr="008F1C9B">
          <w:rPr>
            <w:rStyle w:val="Hyperlink"/>
            <w:noProof/>
          </w:rPr>
          <w:t>Gráfico 27</w:t>
        </w:r>
        <w:r w:rsidR="000620CC">
          <w:rPr>
            <w:rFonts w:asciiTheme="minorHAnsi" w:eastAsiaTheme="minorEastAsia" w:hAnsiTheme="minorHAnsi" w:cstheme="minorBidi"/>
            <w:noProof/>
          </w:rPr>
          <w:tab/>
        </w:r>
        <w:r w:rsidR="000620CC" w:rsidRPr="008F1C9B">
          <w:rPr>
            <w:rStyle w:val="Hyperlink"/>
            <w:noProof/>
          </w:rPr>
          <w:t>Provisões Matemáticas Previdenciárias de Longo Prazo</w:t>
        </w:r>
        <w:r w:rsidR="000620CC">
          <w:rPr>
            <w:noProof/>
            <w:webHidden/>
          </w:rPr>
          <w:tab/>
        </w:r>
        <w:r w:rsidR="000620CC">
          <w:rPr>
            <w:noProof/>
            <w:webHidden/>
          </w:rPr>
          <w:fldChar w:fldCharType="begin"/>
        </w:r>
        <w:r w:rsidR="000620CC">
          <w:rPr>
            <w:noProof/>
            <w:webHidden/>
          </w:rPr>
          <w:instrText xml:space="preserve"> PAGEREF _Toc167825120 \h </w:instrText>
        </w:r>
        <w:r w:rsidR="000620CC">
          <w:rPr>
            <w:noProof/>
            <w:webHidden/>
          </w:rPr>
        </w:r>
        <w:r w:rsidR="000620CC">
          <w:rPr>
            <w:noProof/>
            <w:webHidden/>
          </w:rPr>
          <w:fldChar w:fldCharType="separate"/>
        </w:r>
        <w:r w:rsidR="000620CC">
          <w:rPr>
            <w:noProof/>
            <w:webHidden/>
          </w:rPr>
          <w:t>210</w:t>
        </w:r>
        <w:r w:rsidR="000620CC">
          <w:rPr>
            <w:noProof/>
            <w:webHidden/>
          </w:rPr>
          <w:fldChar w:fldCharType="end"/>
        </w:r>
      </w:hyperlink>
    </w:p>
    <w:p w14:paraId="5B9D9C8D" w14:textId="084F2053" w:rsidR="00633C2D" w:rsidRPr="00B215AC" w:rsidRDefault="00633C2D" w:rsidP="00633C2D">
      <w:pPr>
        <w:tabs>
          <w:tab w:val="right" w:leader="dot" w:pos="9072"/>
        </w:tabs>
        <w:spacing w:before="120"/>
        <w:ind w:left="1134" w:right="360" w:hanging="1134"/>
        <w:jc w:val="center"/>
        <w:rPr>
          <w:rFonts w:cs="Arial"/>
          <w:color w:val="FF0000"/>
          <w:sz w:val="18"/>
          <w:szCs w:val="18"/>
        </w:rPr>
      </w:pPr>
      <w:r w:rsidRPr="00B215AC">
        <w:rPr>
          <w:rFonts w:cs="Arial"/>
          <w:color w:val="FF0000"/>
          <w:sz w:val="18"/>
          <w:szCs w:val="18"/>
        </w:rPr>
        <w:fldChar w:fldCharType="end"/>
      </w:r>
    </w:p>
    <w:p w14:paraId="488BB632" w14:textId="77777777" w:rsidR="00633C2D" w:rsidRPr="00B215AC" w:rsidRDefault="00633C2D" w:rsidP="00633C2D">
      <w:pPr>
        <w:rPr>
          <w:rFonts w:cs="Arial"/>
          <w:color w:val="FF0000"/>
          <w:sz w:val="18"/>
          <w:szCs w:val="18"/>
        </w:rPr>
      </w:pPr>
      <w:r w:rsidRPr="00B215AC">
        <w:rPr>
          <w:rFonts w:cs="Arial"/>
          <w:color w:val="FF0000"/>
          <w:sz w:val="18"/>
          <w:szCs w:val="18"/>
        </w:rPr>
        <w:br w:type="page"/>
      </w:r>
    </w:p>
    <w:p w14:paraId="32D9885D" w14:textId="77777777" w:rsidR="006F3212" w:rsidRPr="00B215AC" w:rsidRDefault="006F3212" w:rsidP="00B523B9">
      <w:pPr>
        <w:pStyle w:val="1-REL11"/>
        <w:rPr>
          <w:color w:val="FF0000"/>
        </w:rPr>
      </w:pPr>
    </w:p>
    <w:p w14:paraId="5E511659" w14:textId="77777777" w:rsidR="006F3212" w:rsidRPr="00E84200" w:rsidRDefault="006F3212" w:rsidP="006F3212">
      <w:pPr>
        <w:jc w:val="right"/>
        <w:outlineLvl w:val="0"/>
        <w:rPr>
          <w:rFonts w:ascii="Georgia" w:hAnsi="Georgia"/>
          <w:sz w:val="56"/>
          <w:szCs w:val="56"/>
        </w:rPr>
      </w:pPr>
      <w:r w:rsidRPr="00E84200">
        <w:rPr>
          <w:rFonts w:ascii="Georgia" w:hAnsi="Georgia"/>
          <w:sz w:val="56"/>
          <w:szCs w:val="56"/>
        </w:rPr>
        <w:t>Lista de Quadros</w:t>
      </w:r>
    </w:p>
    <w:p w14:paraId="67D347DF" w14:textId="77777777" w:rsidR="006F3212" w:rsidRPr="00E84200" w:rsidRDefault="006F3212" w:rsidP="006F3212">
      <w:pPr>
        <w:ind w:right="360"/>
        <w:jc w:val="center"/>
        <w:rPr>
          <w:rFonts w:cs="Arial"/>
        </w:rPr>
      </w:pPr>
    </w:p>
    <w:p w14:paraId="2F79134C" w14:textId="77777777" w:rsidR="006F3212" w:rsidRPr="00B215AC" w:rsidRDefault="006F3212" w:rsidP="006F3212">
      <w:pPr>
        <w:ind w:right="360"/>
        <w:jc w:val="center"/>
        <w:rPr>
          <w:rFonts w:cs="Arial"/>
          <w:color w:val="FF0000"/>
        </w:rPr>
      </w:pPr>
    </w:p>
    <w:p w14:paraId="52E629EB" w14:textId="77777777" w:rsidR="006F3212" w:rsidRPr="00B215AC" w:rsidRDefault="006F3212" w:rsidP="006F3212">
      <w:pPr>
        <w:ind w:right="360"/>
        <w:jc w:val="center"/>
        <w:rPr>
          <w:rFonts w:cs="Arial"/>
          <w:color w:val="FF0000"/>
        </w:rPr>
      </w:pPr>
    </w:p>
    <w:p w14:paraId="31228280" w14:textId="59A910F7" w:rsidR="000620CC" w:rsidRDefault="006F3212">
      <w:pPr>
        <w:pStyle w:val="ndicedeilustraes"/>
        <w:tabs>
          <w:tab w:val="right" w:leader="dot" w:pos="9055"/>
        </w:tabs>
        <w:rPr>
          <w:rFonts w:asciiTheme="minorHAnsi" w:eastAsiaTheme="minorEastAsia" w:hAnsiTheme="minorHAnsi" w:cstheme="minorBidi"/>
          <w:noProof/>
        </w:rPr>
      </w:pPr>
      <w:r w:rsidRPr="00B215AC">
        <w:rPr>
          <w:rFonts w:cs="Arial"/>
          <w:color w:val="FF0000"/>
        </w:rPr>
        <w:fldChar w:fldCharType="begin"/>
      </w:r>
      <w:r w:rsidRPr="00B215AC">
        <w:rPr>
          <w:rFonts w:cs="Arial"/>
          <w:color w:val="FF0000"/>
        </w:rPr>
        <w:instrText xml:space="preserve"> TOC \t "0 -T-QUADRO" \c </w:instrText>
      </w:r>
      <w:r w:rsidRPr="00B215AC">
        <w:rPr>
          <w:rFonts w:cs="Arial"/>
          <w:color w:val="FF0000"/>
        </w:rPr>
        <w:fldChar w:fldCharType="separate"/>
      </w:r>
      <w:r w:rsidR="000620CC" w:rsidRPr="002E40BE">
        <w:rPr>
          <w:rFonts w:cs="Arial"/>
          <w:noProof/>
          <w14:scene3d>
            <w14:camera w14:prst="orthographicFront"/>
            <w14:lightRig w14:rig="threePt" w14:dir="t">
              <w14:rot w14:lat="0" w14:lon="0" w14:rev="0"/>
            </w14:lightRig>
          </w14:scene3d>
        </w:rPr>
        <w:t>Quadro 1</w:t>
      </w:r>
      <w:r w:rsidR="000620CC" w:rsidRPr="002E40BE">
        <w:rPr>
          <w:rFonts w:cs="Arial"/>
          <w:noProof/>
        </w:rPr>
        <w:t xml:space="preserve"> Eixos Estratégicos PPA </w:t>
      </w:r>
      <w:r w:rsidR="000620CC">
        <w:rPr>
          <w:noProof/>
        </w:rPr>
        <w:t>– 2020 a 2023</w:t>
      </w:r>
      <w:r w:rsidR="000620CC">
        <w:rPr>
          <w:noProof/>
        </w:rPr>
        <w:tab/>
      </w:r>
      <w:r w:rsidR="000620CC">
        <w:rPr>
          <w:noProof/>
        </w:rPr>
        <w:fldChar w:fldCharType="begin"/>
      </w:r>
      <w:r w:rsidR="000620CC">
        <w:rPr>
          <w:noProof/>
        </w:rPr>
        <w:instrText xml:space="preserve"> PAGEREF _Toc167825121 \h </w:instrText>
      </w:r>
      <w:r w:rsidR="000620CC">
        <w:rPr>
          <w:noProof/>
        </w:rPr>
      </w:r>
      <w:r w:rsidR="000620CC">
        <w:rPr>
          <w:noProof/>
        </w:rPr>
        <w:fldChar w:fldCharType="separate"/>
      </w:r>
      <w:r w:rsidR="000620CC">
        <w:rPr>
          <w:noProof/>
        </w:rPr>
        <w:t>37</w:t>
      </w:r>
      <w:r w:rsidR="000620CC">
        <w:rPr>
          <w:noProof/>
        </w:rPr>
        <w:fldChar w:fldCharType="end"/>
      </w:r>
    </w:p>
    <w:p w14:paraId="13F532AF" w14:textId="645943BA" w:rsidR="000620CC" w:rsidRDefault="000620CC">
      <w:pPr>
        <w:pStyle w:val="ndicedeilustraes"/>
        <w:tabs>
          <w:tab w:val="right" w:leader="dot" w:pos="9055"/>
        </w:tabs>
        <w:rPr>
          <w:rFonts w:asciiTheme="minorHAnsi" w:eastAsiaTheme="minorEastAsia" w:hAnsiTheme="minorHAnsi" w:cstheme="minorBidi"/>
          <w:noProof/>
        </w:rPr>
      </w:pPr>
      <w:r w:rsidRPr="002E40BE">
        <w:rPr>
          <w:noProof/>
          <w14:scene3d>
            <w14:camera w14:prst="orthographicFront"/>
            <w14:lightRig w14:rig="threePt" w14:dir="t">
              <w14:rot w14:lat="0" w14:lon="0" w14:rev="0"/>
            </w14:lightRig>
          </w14:scene3d>
        </w:rPr>
        <w:t>Quadro 2</w:t>
      </w:r>
      <w:r>
        <w:rPr>
          <w:noProof/>
        </w:rPr>
        <w:t xml:space="preserve"> Cronograma PIPCP com Prazo de Implantação e Registros Contábeis até 2031</w:t>
      </w:r>
      <w:r>
        <w:rPr>
          <w:noProof/>
        </w:rPr>
        <w:tab/>
      </w:r>
      <w:r>
        <w:rPr>
          <w:noProof/>
        </w:rPr>
        <w:fldChar w:fldCharType="begin"/>
      </w:r>
      <w:r>
        <w:rPr>
          <w:noProof/>
        </w:rPr>
        <w:instrText xml:space="preserve"> PAGEREF _Toc167825122 \h </w:instrText>
      </w:r>
      <w:r>
        <w:rPr>
          <w:noProof/>
        </w:rPr>
      </w:r>
      <w:r>
        <w:rPr>
          <w:noProof/>
        </w:rPr>
        <w:fldChar w:fldCharType="separate"/>
      </w:r>
      <w:r>
        <w:rPr>
          <w:noProof/>
        </w:rPr>
        <w:t>228</w:t>
      </w:r>
      <w:r>
        <w:rPr>
          <w:noProof/>
        </w:rPr>
        <w:fldChar w:fldCharType="end"/>
      </w:r>
    </w:p>
    <w:p w14:paraId="40A6104F" w14:textId="4BC0115E" w:rsidR="000620CC" w:rsidRDefault="000620CC">
      <w:pPr>
        <w:pStyle w:val="ndicedeilustraes"/>
        <w:tabs>
          <w:tab w:val="right" w:leader="dot" w:pos="9055"/>
        </w:tabs>
        <w:rPr>
          <w:rFonts w:asciiTheme="minorHAnsi" w:eastAsiaTheme="minorEastAsia" w:hAnsiTheme="minorHAnsi" w:cstheme="minorBidi"/>
          <w:noProof/>
        </w:rPr>
      </w:pPr>
      <w:r w:rsidRPr="002E40BE">
        <w:rPr>
          <w:noProof/>
          <w14:scene3d>
            <w14:camera w14:prst="orthographicFront"/>
            <w14:lightRig w14:rig="threePt" w14:dir="t">
              <w14:rot w14:lat="0" w14:lon="0" w14:rev="0"/>
            </w14:lightRig>
          </w14:scene3d>
        </w:rPr>
        <w:t>Quadro 3</w:t>
      </w:r>
      <w:r>
        <w:rPr>
          <w:noProof/>
        </w:rPr>
        <w:t xml:space="preserve"> Achados da Análise da Prestação de Contas do Governador 2023</w:t>
      </w:r>
      <w:r>
        <w:rPr>
          <w:noProof/>
        </w:rPr>
        <w:tab/>
      </w:r>
      <w:r>
        <w:rPr>
          <w:noProof/>
        </w:rPr>
        <w:fldChar w:fldCharType="begin"/>
      </w:r>
      <w:r>
        <w:rPr>
          <w:noProof/>
        </w:rPr>
        <w:instrText xml:space="preserve"> PAGEREF _Toc167825123 \h </w:instrText>
      </w:r>
      <w:r>
        <w:rPr>
          <w:noProof/>
        </w:rPr>
      </w:r>
      <w:r>
        <w:rPr>
          <w:noProof/>
        </w:rPr>
        <w:fldChar w:fldCharType="separate"/>
      </w:r>
      <w:r>
        <w:rPr>
          <w:noProof/>
        </w:rPr>
        <w:t>259</w:t>
      </w:r>
      <w:r>
        <w:rPr>
          <w:noProof/>
        </w:rPr>
        <w:fldChar w:fldCharType="end"/>
      </w:r>
    </w:p>
    <w:p w14:paraId="3808F73A" w14:textId="207B3164" w:rsidR="006F3212" w:rsidRPr="00B215AC" w:rsidRDefault="006F3212" w:rsidP="006F3212">
      <w:pPr>
        <w:ind w:right="360"/>
        <w:jc w:val="center"/>
        <w:rPr>
          <w:rFonts w:cs="Arial"/>
          <w:color w:val="FF0000"/>
        </w:rPr>
      </w:pPr>
      <w:r w:rsidRPr="00B215AC">
        <w:rPr>
          <w:rFonts w:cs="Arial"/>
          <w:color w:val="FF0000"/>
        </w:rPr>
        <w:fldChar w:fldCharType="end"/>
      </w:r>
    </w:p>
    <w:p w14:paraId="4B014011" w14:textId="77777777" w:rsidR="006F3212" w:rsidRPr="00B215AC" w:rsidRDefault="006F3212" w:rsidP="006F3212">
      <w:pPr>
        <w:ind w:right="360"/>
        <w:jc w:val="center"/>
        <w:rPr>
          <w:rFonts w:cs="Arial"/>
          <w:color w:val="FF0000"/>
        </w:rPr>
      </w:pPr>
    </w:p>
    <w:p w14:paraId="0A039768" w14:textId="77777777" w:rsidR="006F3212" w:rsidRPr="00B215AC" w:rsidRDefault="006F3212" w:rsidP="006F3212">
      <w:pPr>
        <w:rPr>
          <w:rFonts w:cs="Arial"/>
          <w:color w:val="FF0000"/>
          <w:sz w:val="18"/>
          <w:szCs w:val="18"/>
        </w:rPr>
      </w:pPr>
      <w:r w:rsidRPr="00B215AC">
        <w:rPr>
          <w:rFonts w:cs="Arial"/>
          <w:color w:val="FF0000"/>
          <w:sz w:val="18"/>
          <w:szCs w:val="18"/>
        </w:rPr>
        <w:br w:type="page"/>
      </w:r>
    </w:p>
    <w:p w14:paraId="46D43258" w14:textId="77777777" w:rsidR="00E33613" w:rsidRPr="00607736" w:rsidRDefault="00E33613" w:rsidP="00B523B9">
      <w:pPr>
        <w:pStyle w:val="1-REL11"/>
      </w:pPr>
    </w:p>
    <w:p w14:paraId="559C3156" w14:textId="77777777" w:rsidR="00E33613" w:rsidRPr="00607736" w:rsidRDefault="00E33613" w:rsidP="00E33613">
      <w:pPr>
        <w:jc w:val="right"/>
        <w:outlineLvl w:val="0"/>
        <w:rPr>
          <w:rFonts w:ascii="Georgia" w:hAnsi="Georgia"/>
          <w:sz w:val="56"/>
          <w:szCs w:val="56"/>
        </w:rPr>
      </w:pPr>
      <w:r w:rsidRPr="00607736">
        <w:rPr>
          <w:rFonts w:ascii="Georgia" w:hAnsi="Georgia"/>
          <w:sz w:val="56"/>
          <w:szCs w:val="56"/>
        </w:rPr>
        <w:t>Lista de Figuras</w:t>
      </w:r>
    </w:p>
    <w:p w14:paraId="641D8223" w14:textId="77777777" w:rsidR="00E33613" w:rsidRPr="00B215AC" w:rsidRDefault="00E33613" w:rsidP="00E33613">
      <w:pPr>
        <w:ind w:right="360"/>
        <w:jc w:val="center"/>
        <w:rPr>
          <w:rFonts w:cs="Arial"/>
          <w:color w:val="FF0000"/>
        </w:rPr>
      </w:pPr>
    </w:p>
    <w:p w14:paraId="5B166702" w14:textId="77777777" w:rsidR="00E33613" w:rsidRPr="00B215AC" w:rsidRDefault="00E33613" w:rsidP="00E33613">
      <w:pPr>
        <w:ind w:right="360"/>
        <w:jc w:val="center"/>
        <w:rPr>
          <w:rFonts w:cs="Arial"/>
          <w:color w:val="FF0000"/>
        </w:rPr>
      </w:pPr>
    </w:p>
    <w:p w14:paraId="140FA2E2" w14:textId="5A9D58BC" w:rsidR="000620CC" w:rsidRDefault="00DF3817">
      <w:pPr>
        <w:pStyle w:val="ndicedeilustraes"/>
        <w:tabs>
          <w:tab w:val="right" w:leader="dot" w:pos="9055"/>
        </w:tabs>
        <w:rPr>
          <w:rFonts w:asciiTheme="minorHAnsi" w:eastAsiaTheme="minorEastAsia" w:hAnsiTheme="minorHAnsi" w:cstheme="minorBidi"/>
          <w:noProof/>
        </w:rPr>
      </w:pPr>
      <w:r w:rsidRPr="00B215AC">
        <w:rPr>
          <w:rFonts w:cs="Arial"/>
          <w:color w:val="FF0000"/>
        </w:rPr>
        <w:fldChar w:fldCharType="begin"/>
      </w:r>
      <w:r w:rsidRPr="00B215AC">
        <w:rPr>
          <w:rFonts w:cs="Arial"/>
          <w:color w:val="FF0000"/>
        </w:rPr>
        <w:instrText xml:space="preserve"> TOC \t "0 - FIGURA" \c </w:instrText>
      </w:r>
      <w:r w:rsidRPr="00B215AC">
        <w:rPr>
          <w:rFonts w:cs="Arial"/>
          <w:color w:val="FF0000"/>
        </w:rPr>
        <w:fldChar w:fldCharType="separate"/>
      </w:r>
      <w:r w:rsidR="000620CC" w:rsidRPr="00A8358E">
        <w:rPr>
          <w:noProof/>
          <w:color w:val="000000"/>
        </w:rPr>
        <w:t>Figura 1</w:t>
      </w:r>
      <w:r w:rsidR="000620CC">
        <w:rPr>
          <w:rFonts w:asciiTheme="minorHAnsi" w:eastAsiaTheme="minorEastAsia" w:hAnsiTheme="minorHAnsi" w:cstheme="minorBidi"/>
          <w:noProof/>
        </w:rPr>
        <w:tab/>
      </w:r>
      <w:r w:rsidR="000620CC">
        <w:rPr>
          <w:noProof/>
        </w:rPr>
        <w:t xml:space="preserve">Quadro </w:t>
      </w:r>
      <w:r w:rsidR="000620CC" w:rsidRPr="00A8358E">
        <w:rPr>
          <w:noProof/>
        </w:rPr>
        <w:t>Comparativo</w:t>
      </w:r>
      <w:r w:rsidR="000620CC">
        <w:rPr>
          <w:noProof/>
        </w:rPr>
        <w:t>: Fundo Financeiro do RPPS</w:t>
      </w:r>
      <w:r w:rsidR="000620CC">
        <w:rPr>
          <w:noProof/>
        </w:rPr>
        <w:tab/>
      </w:r>
      <w:r w:rsidR="000620CC">
        <w:rPr>
          <w:noProof/>
        </w:rPr>
        <w:fldChar w:fldCharType="begin"/>
      </w:r>
      <w:r w:rsidR="000620CC">
        <w:rPr>
          <w:noProof/>
        </w:rPr>
        <w:instrText xml:space="preserve"> PAGEREF _Toc167825124 \h </w:instrText>
      </w:r>
      <w:r w:rsidR="000620CC">
        <w:rPr>
          <w:noProof/>
        </w:rPr>
      </w:r>
      <w:r w:rsidR="000620CC">
        <w:rPr>
          <w:noProof/>
        </w:rPr>
        <w:fldChar w:fldCharType="separate"/>
      </w:r>
      <w:r w:rsidR="000620CC">
        <w:rPr>
          <w:noProof/>
        </w:rPr>
        <w:t>217</w:t>
      </w:r>
      <w:r w:rsidR="000620CC">
        <w:rPr>
          <w:noProof/>
        </w:rPr>
        <w:fldChar w:fldCharType="end"/>
      </w:r>
    </w:p>
    <w:p w14:paraId="36E881E8" w14:textId="445413C6" w:rsidR="000620CC" w:rsidRDefault="000620CC">
      <w:pPr>
        <w:pStyle w:val="ndicedeilustraes"/>
        <w:tabs>
          <w:tab w:val="right" w:leader="dot" w:pos="9055"/>
        </w:tabs>
        <w:rPr>
          <w:rFonts w:asciiTheme="minorHAnsi" w:eastAsiaTheme="minorEastAsia" w:hAnsiTheme="minorHAnsi" w:cstheme="minorBidi"/>
          <w:noProof/>
        </w:rPr>
      </w:pPr>
      <w:r w:rsidRPr="00A8358E">
        <w:rPr>
          <w:noProof/>
          <w:color w:val="000000"/>
        </w:rPr>
        <w:t>Figura 2</w:t>
      </w:r>
      <w:r>
        <w:rPr>
          <w:rFonts w:asciiTheme="minorHAnsi" w:eastAsiaTheme="minorEastAsia" w:hAnsiTheme="minorHAnsi" w:cstheme="minorBidi"/>
          <w:noProof/>
        </w:rPr>
        <w:tab/>
      </w:r>
      <w:r>
        <w:rPr>
          <w:noProof/>
        </w:rPr>
        <w:t>Quadro Comparativo: Fundo Financeiro do SPSM/GO</w:t>
      </w:r>
      <w:r>
        <w:rPr>
          <w:noProof/>
        </w:rPr>
        <w:tab/>
      </w:r>
      <w:r>
        <w:rPr>
          <w:noProof/>
        </w:rPr>
        <w:fldChar w:fldCharType="begin"/>
      </w:r>
      <w:r>
        <w:rPr>
          <w:noProof/>
        </w:rPr>
        <w:instrText xml:space="preserve"> PAGEREF _Toc167825125 \h </w:instrText>
      </w:r>
      <w:r>
        <w:rPr>
          <w:noProof/>
        </w:rPr>
      </w:r>
      <w:r>
        <w:rPr>
          <w:noProof/>
        </w:rPr>
        <w:fldChar w:fldCharType="separate"/>
      </w:r>
      <w:r>
        <w:rPr>
          <w:noProof/>
        </w:rPr>
        <w:t>218</w:t>
      </w:r>
      <w:r>
        <w:rPr>
          <w:noProof/>
        </w:rPr>
        <w:fldChar w:fldCharType="end"/>
      </w:r>
    </w:p>
    <w:p w14:paraId="00FB625C" w14:textId="0D79A4B3" w:rsidR="00E33613" w:rsidRPr="00B215AC" w:rsidRDefault="00DF3817" w:rsidP="00E33613">
      <w:pPr>
        <w:ind w:right="360"/>
        <w:jc w:val="center"/>
        <w:rPr>
          <w:rFonts w:cs="Arial"/>
          <w:color w:val="FF0000"/>
        </w:rPr>
      </w:pPr>
      <w:r w:rsidRPr="00B215AC">
        <w:rPr>
          <w:rFonts w:cs="Arial"/>
          <w:color w:val="FF0000"/>
        </w:rPr>
        <w:fldChar w:fldCharType="end"/>
      </w:r>
    </w:p>
    <w:p w14:paraId="46F90D02" w14:textId="77777777" w:rsidR="00E33613" w:rsidRPr="00B215AC" w:rsidRDefault="00E33613" w:rsidP="00E33613">
      <w:pPr>
        <w:ind w:right="360"/>
        <w:jc w:val="center"/>
        <w:rPr>
          <w:rFonts w:cs="Arial"/>
          <w:color w:val="FF0000"/>
        </w:rPr>
      </w:pPr>
    </w:p>
    <w:p w14:paraId="5B74D84C" w14:textId="77777777" w:rsidR="00E33613" w:rsidRPr="00B215AC" w:rsidRDefault="00E33613" w:rsidP="00E33613">
      <w:pPr>
        <w:rPr>
          <w:rFonts w:cs="Arial"/>
          <w:color w:val="FF0000"/>
          <w:sz w:val="18"/>
          <w:szCs w:val="18"/>
        </w:rPr>
      </w:pPr>
      <w:r w:rsidRPr="00B215AC">
        <w:rPr>
          <w:rFonts w:cs="Arial"/>
          <w:color w:val="FF0000"/>
          <w:sz w:val="18"/>
          <w:szCs w:val="18"/>
        </w:rPr>
        <w:br w:type="page"/>
      </w:r>
    </w:p>
    <w:p w14:paraId="2C9AC75C" w14:textId="77777777" w:rsidR="00633C2D" w:rsidRPr="00B215AC" w:rsidRDefault="00633C2D" w:rsidP="00B523B9">
      <w:pPr>
        <w:pStyle w:val="1-REL11"/>
        <w:rPr>
          <w:color w:val="FF0000"/>
        </w:rPr>
      </w:pPr>
      <w:bookmarkStart w:id="6" w:name="_Hlk72506577"/>
    </w:p>
    <w:p w14:paraId="48DECF8A" w14:textId="77777777" w:rsidR="00633C2D" w:rsidRPr="00473DE2" w:rsidRDefault="00633C2D" w:rsidP="00633C2D">
      <w:pPr>
        <w:jc w:val="right"/>
        <w:outlineLvl w:val="0"/>
        <w:rPr>
          <w:rFonts w:ascii="Georgia" w:hAnsi="Georgia"/>
          <w:sz w:val="56"/>
          <w:szCs w:val="56"/>
        </w:rPr>
      </w:pPr>
      <w:r w:rsidRPr="00473DE2">
        <w:rPr>
          <w:rFonts w:ascii="Georgia" w:hAnsi="Georgia"/>
          <w:sz w:val="56"/>
          <w:szCs w:val="56"/>
        </w:rPr>
        <w:t xml:space="preserve">Siglas </w:t>
      </w:r>
    </w:p>
    <w:p w14:paraId="26CCC70A" w14:textId="77777777" w:rsidR="00633C2D" w:rsidRPr="00B215AC" w:rsidRDefault="00633C2D" w:rsidP="00633C2D">
      <w:pPr>
        <w:ind w:right="360"/>
        <w:jc w:val="center"/>
        <w:rPr>
          <w:rFonts w:cs="Arial"/>
          <w:color w:val="FF0000"/>
        </w:rPr>
      </w:pPr>
    </w:p>
    <w:bookmarkEnd w:id="6"/>
    <w:p w14:paraId="18FC7F4F" w14:textId="77777777" w:rsidR="00931C39" w:rsidRPr="00B215AC" w:rsidRDefault="00931C39" w:rsidP="00931C39">
      <w:pPr>
        <w:ind w:right="360"/>
        <w:jc w:val="center"/>
        <w:rPr>
          <w:rFonts w:cs="Arial"/>
          <w:color w:val="FF0000"/>
        </w:rPr>
      </w:pPr>
    </w:p>
    <w:p w14:paraId="29ACC7C7" w14:textId="77777777" w:rsidR="00931C39" w:rsidRPr="00B215AC" w:rsidRDefault="00931C39" w:rsidP="00931C39">
      <w:pPr>
        <w:ind w:right="360"/>
        <w:jc w:val="center"/>
        <w:rPr>
          <w:rFonts w:cs="Arial"/>
          <w:color w:val="FF0000"/>
        </w:rPr>
      </w:pPr>
    </w:p>
    <w:p w14:paraId="6478DB1B" w14:textId="77777777" w:rsidR="00931C39" w:rsidRPr="00B215AC" w:rsidRDefault="00931C39" w:rsidP="00931C39">
      <w:pPr>
        <w:ind w:right="360"/>
        <w:jc w:val="center"/>
        <w:rPr>
          <w:rFonts w:cs="Arial"/>
          <w:color w:val="FF0000"/>
        </w:rPr>
      </w:pPr>
    </w:p>
    <w:tbl>
      <w:tblPr>
        <w:tblW w:w="9084" w:type="dxa"/>
        <w:tblBorders>
          <w:insideV w:val="single" w:sz="12" w:space="0" w:color="66FFFF"/>
        </w:tblBorders>
        <w:tblCellMar>
          <w:left w:w="70" w:type="dxa"/>
          <w:right w:w="70" w:type="dxa"/>
        </w:tblCellMar>
        <w:tblLook w:val="04A0" w:firstRow="1" w:lastRow="0" w:firstColumn="1" w:lastColumn="0" w:noHBand="0" w:noVBand="1"/>
      </w:tblPr>
      <w:tblGrid>
        <w:gridCol w:w="1560"/>
        <w:gridCol w:w="7524"/>
      </w:tblGrid>
      <w:tr w:rsidR="004063F8" w:rsidRPr="000620CC" w14:paraId="3C0519E7" w14:textId="77777777" w:rsidTr="00DE00AC">
        <w:trPr>
          <w:trHeight w:val="300"/>
        </w:trPr>
        <w:tc>
          <w:tcPr>
            <w:tcW w:w="1560" w:type="dxa"/>
            <w:shd w:val="clear" w:color="auto" w:fill="auto"/>
            <w:vAlign w:val="center"/>
          </w:tcPr>
          <w:p w14:paraId="58642399" w14:textId="154FC7FE" w:rsidR="004063F8" w:rsidRPr="000620CC" w:rsidRDefault="004063F8" w:rsidP="00645D3D">
            <w:pPr>
              <w:jc w:val="left"/>
              <w:rPr>
                <w:rFonts w:cs="Arial"/>
              </w:rPr>
            </w:pPr>
            <w:r w:rsidRPr="000620CC">
              <w:rPr>
                <w:rFonts w:cs="Arial"/>
              </w:rPr>
              <w:t>Abevida</w:t>
            </w:r>
          </w:p>
        </w:tc>
        <w:tc>
          <w:tcPr>
            <w:tcW w:w="7524" w:type="dxa"/>
            <w:shd w:val="clear" w:color="auto" w:fill="auto"/>
            <w:vAlign w:val="center"/>
          </w:tcPr>
          <w:p w14:paraId="14B69880" w14:textId="017BB942" w:rsidR="004063F8" w:rsidRPr="000620CC" w:rsidRDefault="004063F8" w:rsidP="00645D3D">
            <w:pPr>
              <w:jc w:val="left"/>
              <w:rPr>
                <w:rFonts w:cs="Arial"/>
              </w:rPr>
            </w:pPr>
            <w:r w:rsidRPr="000620CC">
              <w:rPr>
                <w:rFonts w:cs="Arial"/>
              </w:rPr>
              <w:t>Associação Brasileira de Esperança e Vida</w:t>
            </w:r>
          </w:p>
        </w:tc>
      </w:tr>
      <w:tr w:rsidR="008A77E8" w:rsidRPr="000620CC" w14:paraId="00FCE192" w14:textId="77777777" w:rsidTr="00DE00AC">
        <w:trPr>
          <w:trHeight w:val="300"/>
        </w:trPr>
        <w:tc>
          <w:tcPr>
            <w:tcW w:w="1560" w:type="dxa"/>
            <w:shd w:val="clear" w:color="auto" w:fill="auto"/>
            <w:vAlign w:val="center"/>
          </w:tcPr>
          <w:p w14:paraId="2E39167E" w14:textId="1F1DD3F3" w:rsidR="001532AA" w:rsidRPr="000620CC" w:rsidRDefault="001532AA" w:rsidP="00645D3D">
            <w:pPr>
              <w:jc w:val="left"/>
              <w:rPr>
                <w:rFonts w:cs="Arial"/>
              </w:rPr>
            </w:pPr>
            <w:r w:rsidRPr="000620CC">
              <w:rPr>
                <w:rFonts w:cs="Arial"/>
              </w:rPr>
              <w:t>ACO</w:t>
            </w:r>
          </w:p>
        </w:tc>
        <w:tc>
          <w:tcPr>
            <w:tcW w:w="7524" w:type="dxa"/>
            <w:shd w:val="clear" w:color="auto" w:fill="auto"/>
            <w:vAlign w:val="center"/>
          </w:tcPr>
          <w:p w14:paraId="5F209B91" w14:textId="0F0FC7B1" w:rsidR="001532AA" w:rsidRPr="000620CC" w:rsidRDefault="001532AA" w:rsidP="00645D3D">
            <w:pPr>
              <w:jc w:val="left"/>
              <w:rPr>
                <w:rFonts w:cs="Arial"/>
              </w:rPr>
            </w:pPr>
            <w:r w:rsidRPr="000620CC">
              <w:rPr>
                <w:rFonts w:cs="Arial"/>
              </w:rPr>
              <w:t>Ação Cível Ordinária</w:t>
            </w:r>
          </w:p>
        </w:tc>
      </w:tr>
      <w:tr w:rsidR="00645D3D" w:rsidRPr="000620CC" w14:paraId="537C4FF5" w14:textId="77777777" w:rsidTr="00DE00AC">
        <w:trPr>
          <w:trHeight w:val="300"/>
        </w:trPr>
        <w:tc>
          <w:tcPr>
            <w:tcW w:w="1560" w:type="dxa"/>
            <w:shd w:val="clear" w:color="auto" w:fill="auto"/>
            <w:vAlign w:val="center"/>
          </w:tcPr>
          <w:p w14:paraId="3CE07A99" w14:textId="77777777" w:rsidR="00645D3D" w:rsidRPr="000620CC" w:rsidRDefault="00645D3D" w:rsidP="00645D3D">
            <w:pPr>
              <w:jc w:val="left"/>
              <w:rPr>
                <w:rFonts w:cs="Arial"/>
              </w:rPr>
            </w:pPr>
            <w:r w:rsidRPr="000620CC">
              <w:rPr>
                <w:rFonts w:cs="Arial"/>
              </w:rPr>
              <w:t>ADCT</w:t>
            </w:r>
          </w:p>
        </w:tc>
        <w:tc>
          <w:tcPr>
            <w:tcW w:w="7524" w:type="dxa"/>
            <w:shd w:val="clear" w:color="auto" w:fill="auto"/>
            <w:vAlign w:val="center"/>
          </w:tcPr>
          <w:p w14:paraId="0ACC1CDF" w14:textId="77777777" w:rsidR="00645D3D" w:rsidRPr="000620CC" w:rsidRDefault="00645D3D" w:rsidP="00645D3D">
            <w:pPr>
              <w:jc w:val="left"/>
              <w:rPr>
                <w:rFonts w:cs="Arial"/>
              </w:rPr>
            </w:pPr>
            <w:r w:rsidRPr="000620CC">
              <w:rPr>
                <w:rFonts w:cs="Arial"/>
              </w:rPr>
              <w:t>Ato das Disposições Constitucionais Transitórias</w:t>
            </w:r>
          </w:p>
        </w:tc>
      </w:tr>
      <w:tr w:rsidR="00645D3D" w:rsidRPr="000620CC" w14:paraId="439636D8" w14:textId="77777777" w:rsidTr="00DE00AC">
        <w:trPr>
          <w:trHeight w:val="300"/>
        </w:trPr>
        <w:tc>
          <w:tcPr>
            <w:tcW w:w="1560" w:type="dxa"/>
            <w:shd w:val="clear" w:color="auto" w:fill="auto"/>
            <w:vAlign w:val="center"/>
            <w:hideMark/>
          </w:tcPr>
          <w:p w14:paraId="631445A4" w14:textId="77777777" w:rsidR="00645D3D" w:rsidRPr="000620CC" w:rsidRDefault="00645D3D" w:rsidP="00645D3D">
            <w:pPr>
              <w:jc w:val="left"/>
              <w:rPr>
                <w:rFonts w:cs="Arial"/>
              </w:rPr>
            </w:pPr>
            <w:r w:rsidRPr="000620CC">
              <w:rPr>
                <w:rFonts w:cs="Arial"/>
              </w:rPr>
              <w:t>ADI</w:t>
            </w:r>
          </w:p>
        </w:tc>
        <w:tc>
          <w:tcPr>
            <w:tcW w:w="7524" w:type="dxa"/>
            <w:shd w:val="clear" w:color="auto" w:fill="auto"/>
            <w:noWrap/>
            <w:vAlign w:val="center"/>
            <w:hideMark/>
          </w:tcPr>
          <w:p w14:paraId="1BC0840A" w14:textId="77777777" w:rsidR="00645D3D" w:rsidRPr="000620CC" w:rsidRDefault="00645D3D" w:rsidP="00645D3D">
            <w:pPr>
              <w:jc w:val="left"/>
              <w:rPr>
                <w:rFonts w:cs="Arial"/>
              </w:rPr>
            </w:pPr>
            <w:r w:rsidRPr="000620CC">
              <w:rPr>
                <w:rFonts w:cs="Arial"/>
              </w:rPr>
              <w:t xml:space="preserve">Ação Direta de Inconstitucionalidade </w:t>
            </w:r>
          </w:p>
        </w:tc>
      </w:tr>
      <w:tr w:rsidR="0053262C" w:rsidRPr="000620CC" w14:paraId="755887D4" w14:textId="77777777" w:rsidTr="00DE00AC">
        <w:trPr>
          <w:trHeight w:val="300"/>
        </w:trPr>
        <w:tc>
          <w:tcPr>
            <w:tcW w:w="1560" w:type="dxa"/>
            <w:shd w:val="clear" w:color="auto" w:fill="auto"/>
            <w:vAlign w:val="center"/>
          </w:tcPr>
          <w:p w14:paraId="71C81A06" w14:textId="4AF936E0" w:rsidR="0053262C" w:rsidRPr="000620CC" w:rsidRDefault="0053262C" w:rsidP="00645D3D">
            <w:pPr>
              <w:jc w:val="left"/>
              <w:rPr>
                <w:rFonts w:cs="Arial"/>
              </w:rPr>
            </w:pPr>
            <w:r w:rsidRPr="000620CC">
              <w:rPr>
                <w:rFonts w:cs="Arial"/>
              </w:rPr>
              <w:t>Agehab</w:t>
            </w:r>
          </w:p>
        </w:tc>
        <w:tc>
          <w:tcPr>
            <w:tcW w:w="7524" w:type="dxa"/>
            <w:shd w:val="clear" w:color="auto" w:fill="auto"/>
            <w:vAlign w:val="center"/>
          </w:tcPr>
          <w:p w14:paraId="249B4FFE" w14:textId="2C949152" w:rsidR="0053262C" w:rsidRPr="000620CC" w:rsidRDefault="0053262C" w:rsidP="00645D3D">
            <w:pPr>
              <w:jc w:val="left"/>
              <w:rPr>
                <w:rFonts w:cs="Arial"/>
              </w:rPr>
            </w:pPr>
            <w:r w:rsidRPr="000620CC">
              <w:rPr>
                <w:rFonts w:cs="Arial"/>
              </w:rPr>
              <w:t xml:space="preserve">Agência Goiana de Habitação </w:t>
            </w:r>
          </w:p>
        </w:tc>
      </w:tr>
      <w:tr w:rsidR="00645D3D" w:rsidRPr="000620CC" w14:paraId="3757A9CE" w14:textId="77777777" w:rsidTr="00DE00AC">
        <w:trPr>
          <w:trHeight w:val="300"/>
        </w:trPr>
        <w:tc>
          <w:tcPr>
            <w:tcW w:w="1560" w:type="dxa"/>
            <w:shd w:val="clear" w:color="auto" w:fill="auto"/>
            <w:vAlign w:val="center"/>
            <w:hideMark/>
          </w:tcPr>
          <w:p w14:paraId="74C2D3AF" w14:textId="77777777" w:rsidR="00645D3D" w:rsidRPr="000620CC" w:rsidRDefault="00645D3D" w:rsidP="00645D3D">
            <w:pPr>
              <w:jc w:val="left"/>
              <w:rPr>
                <w:rFonts w:cs="Arial"/>
              </w:rPr>
            </w:pPr>
            <w:r w:rsidRPr="000620CC">
              <w:rPr>
                <w:rFonts w:cs="Arial"/>
              </w:rPr>
              <w:t>Agir</w:t>
            </w:r>
          </w:p>
        </w:tc>
        <w:tc>
          <w:tcPr>
            <w:tcW w:w="7524" w:type="dxa"/>
            <w:shd w:val="clear" w:color="auto" w:fill="auto"/>
            <w:vAlign w:val="center"/>
            <w:hideMark/>
          </w:tcPr>
          <w:p w14:paraId="713FCAE5" w14:textId="77777777" w:rsidR="00645D3D" w:rsidRPr="000620CC" w:rsidRDefault="00645D3D" w:rsidP="00645D3D">
            <w:pPr>
              <w:jc w:val="left"/>
              <w:rPr>
                <w:rFonts w:cs="Arial"/>
              </w:rPr>
            </w:pPr>
            <w:r w:rsidRPr="000620CC">
              <w:rPr>
                <w:rFonts w:cs="Arial"/>
              </w:rPr>
              <w:t>Associação Goiana de Integralização e Reabilitação</w:t>
            </w:r>
          </w:p>
        </w:tc>
      </w:tr>
      <w:tr w:rsidR="00645D3D" w:rsidRPr="000620CC" w14:paraId="4F67F482" w14:textId="77777777" w:rsidTr="00DE00AC">
        <w:trPr>
          <w:trHeight w:val="300"/>
        </w:trPr>
        <w:tc>
          <w:tcPr>
            <w:tcW w:w="1560" w:type="dxa"/>
            <w:shd w:val="clear" w:color="auto" w:fill="auto"/>
            <w:vAlign w:val="center"/>
            <w:hideMark/>
          </w:tcPr>
          <w:p w14:paraId="391A0BFE" w14:textId="77777777" w:rsidR="00645D3D" w:rsidRPr="000620CC" w:rsidRDefault="00645D3D" w:rsidP="00645D3D">
            <w:pPr>
              <w:jc w:val="left"/>
              <w:rPr>
                <w:rFonts w:cs="Arial"/>
              </w:rPr>
            </w:pPr>
            <w:r w:rsidRPr="000620CC">
              <w:rPr>
                <w:rFonts w:cs="Arial"/>
              </w:rPr>
              <w:t>Alego</w:t>
            </w:r>
          </w:p>
        </w:tc>
        <w:tc>
          <w:tcPr>
            <w:tcW w:w="7524" w:type="dxa"/>
            <w:shd w:val="clear" w:color="auto" w:fill="auto"/>
            <w:vAlign w:val="center"/>
            <w:hideMark/>
          </w:tcPr>
          <w:p w14:paraId="374AE60B" w14:textId="77777777" w:rsidR="00645D3D" w:rsidRPr="000620CC" w:rsidRDefault="00645D3D" w:rsidP="00645D3D">
            <w:pPr>
              <w:jc w:val="left"/>
              <w:rPr>
                <w:rFonts w:cs="Arial"/>
              </w:rPr>
            </w:pPr>
            <w:r w:rsidRPr="000620CC">
              <w:rPr>
                <w:rFonts w:cs="Arial"/>
              </w:rPr>
              <w:t>Assembleia Legislativa do Estado de Goiás</w:t>
            </w:r>
          </w:p>
        </w:tc>
      </w:tr>
      <w:tr w:rsidR="00645D3D" w:rsidRPr="000620CC" w14:paraId="42A4CC3F" w14:textId="77777777" w:rsidTr="00DE00AC">
        <w:trPr>
          <w:trHeight w:val="300"/>
        </w:trPr>
        <w:tc>
          <w:tcPr>
            <w:tcW w:w="1560" w:type="dxa"/>
            <w:shd w:val="clear" w:color="auto" w:fill="auto"/>
            <w:vAlign w:val="center"/>
            <w:hideMark/>
          </w:tcPr>
          <w:p w14:paraId="621C0820" w14:textId="77777777" w:rsidR="00645D3D" w:rsidRPr="000620CC" w:rsidRDefault="00645D3D" w:rsidP="00645D3D">
            <w:pPr>
              <w:jc w:val="left"/>
              <w:rPr>
                <w:rFonts w:cs="Arial"/>
              </w:rPr>
            </w:pPr>
            <w:r w:rsidRPr="000620CC">
              <w:rPr>
                <w:rFonts w:cs="Arial"/>
              </w:rPr>
              <w:t>AMF</w:t>
            </w:r>
          </w:p>
        </w:tc>
        <w:tc>
          <w:tcPr>
            <w:tcW w:w="7524" w:type="dxa"/>
            <w:shd w:val="clear" w:color="auto" w:fill="auto"/>
            <w:vAlign w:val="center"/>
            <w:hideMark/>
          </w:tcPr>
          <w:p w14:paraId="687098DA" w14:textId="77777777" w:rsidR="00645D3D" w:rsidRPr="000620CC" w:rsidRDefault="00645D3D" w:rsidP="00645D3D">
            <w:pPr>
              <w:jc w:val="left"/>
              <w:rPr>
                <w:rFonts w:cs="Arial"/>
              </w:rPr>
            </w:pPr>
            <w:r w:rsidRPr="000620CC">
              <w:rPr>
                <w:rFonts w:cs="Arial"/>
              </w:rPr>
              <w:t>Anexo de Metas Fiscais</w:t>
            </w:r>
          </w:p>
        </w:tc>
      </w:tr>
      <w:tr w:rsidR="00645D3D" w:rsidRPr="000620CC" w14:paraId="2F028DF0" w14:textId="77777777" w:rsidTr="00DE00AC">
        <w:trPr>
          <w:trHeight w:val="300"/>
        </w:trPr>
        <w:tc>
          <w:tcPr>
            <w:tcW w:w="1560" w:type="dxa"/>
            <w:shd w:val="clear" w:color="auto" w:fill="auto"/>
            <w:vAlign w:val="center"/>
            <w:hideMark/>
          </w:tcPr>
          <w:p w14:paraId="473C59B0" w14:textId="77777777" w:rsidR="00645D3D" w:rsidRPr="000620CC" w:rsidRDefault="00645D3D" w:rsidP="00645D3D">
            <w:pPr>
              <w:jc w:val="left"/>
              <w:rPr>
                <w:rFonts w:cs="Arial"/>
              </w:rPr>
            </w:pPr>
            <w:r w:rsidRPr="000620CC">
              <w:rPr>
                <w:rFonts w:cs="Arial"/>
              </w:rPr>
              <w:t>ASPS</w:t>
            </w:r>
          </w:p>
        </w:tc>
        <w:tc>
          <w:tcPr>
            <w:tcW w:w="7524" w:type="dxa"/>
            <w:shd w:val="clear" w:color="auto" w:fill="auto"/>
            <w:vAlign w:val="center"/>
            <w:hideMark/>
          </w:tcPr>
          <w:p w14:paraId="714995BE" w14:textId="77777777" w:rsidR="00645D3D" w:rsidRPr="000620CC" w:rsidRDefault="00645D3D" w:rsidP="00645D3D">
            <w:pPr>
              <w:jc w:val="left"/>
              <w:rPr>
                <w:rFonts w:cs="Arial"/>
              </w:rPr>
            </w:pPr>
            <w:r w:rsidRPr="000620CC">
              <w:rPr>
                <w:rFonts w:cs="Arial"/>
              </w:rPr>
              <w:t>Aplicação em Ações e Serviços Públicos de Saúde</w:t>
            </w:r>
          </w:p>
        </w:tc>
      </w:tr>
      <w:tr w:rsidR="00433643" w:rsidRPr="000620CC" w14:paraId="6314CC3F" w14:textId="77777777" w:rsidTr="00DE00AC">
        <w:trPr>
          <w:trHeight w:val="300"/>
        </w:trPr>
        <w:tc>
          <w:tcPr>
            <w:tcW w:w="1560" w:type="dxa"/>
            <w:shd w:val="clear" w:color="auto" w:fill="auto"/>
            <w:vAlign w:val="center"/>
          </w:tcPr>
          <w:p w14:paraId="23998C0D" w14:textId="73DF34FC" w:rsidR="00433643" w:rsidRPr="000620CC" w:rsidRDefault="00433643" w:rsidP="00645D3D">
            <w:pPr>
              <w:jc w:val="left"/>
              <w:rPr>
                <w:rFonts w:cs="Arial"/>
              </w:rPr>
            </w:pPr>
            <w:r w:rsidRPr="000620CC">
              <w:rPr>
                <w:rFonts w:cs="Arial"/>
              </w:rPr>
              <w:t>Atricon</w:t>
            </w:r>
          </w:p>
        </w:tc>
        <w:tc>
          <w:tcPr>
            <w:tcW w:w="7524" w:type="dxa"/>
            <w:shd w:val="clear" w:color="auto" w:fill="auto"/>
            <w:vAlign w:val="center"/>
          </w:tcPr>
          <w:p w14:paraId="549E9707" w14:textId="2BA6A5B5" w:rsidR="00433643" w:rsidRPr="000620CC" w:rsidRDefault="00433643" w:rsidP="00645D3D">
            <w:pPr>
              <w:jc w:val="left"/>
              <w:rPr>
                <w:rFonts w:cs="Arial"/>
              </w:rPr>
            </w:pPr>
            <w:r w:rsidRPr="000620CC">
              <w:rPr>
                <w:rFonts w:cs="Arial"/>
              </w:rPr>
              <w:t>Associação dos Membros dos Tribunais de Contas do Brasil</w:t>
            </w:r>
          </w:p>
        </w:tc>
      </w:tr>
      <w:tr w:rsidR="00CF49C6" w:rsidRPr="000620CC" w14:paraId="23F979C8" w14:textId="77777777" w:rsidTr="00DE00AC">
        <w:trPr>
          <w:trHeight w:val="300"/>
        </w:trPr>
        <w:tc>
          <w:tcPr>
            <w:tcW w:w="1560" w:type="dxa"/>
            <w:shd w:val="clear" w:color="auto" w:fill="auto"/>
            <w:vAlign w:val="center"/>
          </w:tcPr>
          <w:p w14:paraId="726A54D5" w14:textId="45BA9B0D" w:rsidR="00CF49C6" w:rsidRPr="000620CC" w:rsidRDefault="00CF49C6" w:rsidP="00645D3D">
            <w:pPr>
              <w:jc w:val="left"/>
              <w:rPr>
                <w:rFonts w:cs="Arial"/>
              </w:rPr>
            </w:pPr>
            <w:r w:rsidRPr="000620CC">
              <w:rPr>
                <w:rFonts w:cs="Arial"/>
              </w:rPr>
              <w:t>AV</w:t>
            </w:r>
          </w:p>
        </w:tc>
        <w:tc>
          <w:tcPr>
            <w:tcW w:w="7524" w:type="dxa"/>
            <w:shd w:val="clear" w:color="auto" w:fill="auto"/>
            <w:vAlign w:val="center"/>
          </w:tcPr>
          <w:p w14:paraId="74455C79" w14:textId="62272DFC" w:rsidR="00CF49C6" w:rsidRPr="000620CC" w:rsidRDefault="00CF49C6" w:rsidP="00645D3D">
            <w:pPr>
              <w:jc w:val="left"/>
              <w:rPr>
                <w:rFonts w:cs="Arial"/>
              </w:rPr>
            </w:pPr>
            <w:r w:rsidRPr="000620CC">
              <w:rPr>
                <w:rFonts w:cs="Arial"/>
              </w:rPr>
              <w:t>Análise Vertical</w:t>
            </w:r>
          </w:p>
        </w:tc>
      </w:tr>
      <w:tr w:rsidR="00645D3D" w:rsidRPr="000620CC" w14:paraId="70E8975E" w14:textId="77777777" w:rsidTr="00DE00AC">
        <w:trPr>
          <w:trHeight w:val="300"/>
        </w:trPr>
        <w:tc>
          <w:tcPr>
            <w:tcW w:w="1560" w:type="dxa"/>
            <w:shd w:val="clear" w:color="auto" w:fill="auto"/>
            <w:vAlign w:val="center"/>
          </w:tcPr>
          <w:p w14:paraId="100C0A08" w14:textId="77777777" w:rsidR="00645D3D" w:rsidRPr="000620CC" w:rsidRDefault="00645D3D" w:rsidP="00645D3D">
            <w:pPr>
              <w:jc w:val="left"/>
              <w:rPr>
                <w:rFonts w:cs="Arial"/>
              </w:rPr>
            </w:pPr>
            <w:r w:rsidRPr="000620CC">
              <w:rPr>
                <w:rFonts w:cs="Arial"/>
              </w:rPr>
              <w:t>BGE</w:t>
            </w:r>
          </w:p>
        </w:tc>
        <w:tc>
          <w:tcPr>
            <w:tcW w:w="7524" w:type="dxa"/>
            <w:shd w:val="clear" w:color="auto" w:fill="auto"/>
            <w:vAlign w:val="center"/>
          </w:tcPr>
          <w:p w14:paraId="38E98037" w14:textId="77777777" w:rsidR="00645D3D" w:rsidRPr="000620CC" w:rsidRDefault="00645D3D" w:rsidP="00645D3D">
            <w:pPr>
              <w:jc w:val="left"/>
              <w:rPr>
                <w:rFonts w:cs="Arial"/>
              </w:rPr>
            </w:pPr>
            <w:r w:rsidRPr="000620CC">
              <w:rPr>
                <w:rFonts w:cs="Arial"/>
              </w:rPr>
              <w:t>Balanço Geral do Estado</w:t>
            </w:r>
          </w:p>
        </w:tc>
      </w:tr>
      <w:tr w:rsidR="00473DE2" w:rsidRPr="000620CC" w14:paraId="73BEC97F" w14:textId="77777777" w:rsidTr="00DE00AC">
        <w:trPr>
          <w:trHeight w:val="300"/>
        </w:trPr>
        <w:tc>
          <w:tcPr>
            <w:tcW w:w="1560" w:type="dxa"/>
            <w:shd w:val="clear" w:color="auto" w:fill="auto"/>
            <w:vAlign w:val="center"/>
          </w:tcPr>
          <w:p w14:paraId="63AFFA6A" w14:textId="7085AEA0" w:rsidR="00473DE2" w:rsidRPr="000620CC" w:rsidRDefault="00473DE2" w:rsidP="00645D3D">
            <w:pPr>
              <w:jc w:val="left"/>
              <w:rPr>
                <w:rFonts w:cs="Arial"/>
              </w:rPr>
            </w:pPr>
            <w:r w:rsidRPr="000620CC">
              <w:rPr>
                <w:rFonts w:cs="Arial"/>
              </w:rPr>
              <w:t>Bird</w:t>
            </w:r>
          </w:p>
        </w:tc>
        <w:tc>
          <w:tcPr>
            <w:tcW w:w="7524" w:type="dxa"/>
            <w:shd w:val="clear" w:color="auto" w:fill="auto"/>
            <w:vAlign w:val="center"/>
          </w:tcPr>
          <w:p w14:paraId="7126ACC4" w14:textId="1F92475E" w:rsidR="00473DE2" w:rsidRPr="000620CC" w:rsidRDefault="00473DE2" w:rsidP="00645D3D">
            <w:pPr>
              <w:jc w:val="left"/>
              <w:rPr>
                <w:rFonts w:cs="Arial"/>
              </w:rPr>
            </w:pPr>
            <w:r w:rsidRPr="000620CC">
              <w:rPr>
                <w:rFonts w:cs="Arial"/>
              </w:rPr>
              <w:t>Banco Internacional para Reconstrução e Desenvolvimento</w:t>
            </w:r>
          </w:p>
        </w:tc>
      </w:tr>
      <w:tr w:rsidR="00645D3D" w:rsidRPr="000620CC" w14:paraId="27A0617D" w14:textId="77777777" w:rsidTr="00DE00AC">
        <w:trPr>
          <w:trHeight w:val="300"/>
        </w:trPr>
        <w:tc>
          <w:tcPr>
            <w:tcW w:w="1560" w:type="dxa"/>
            <w:shd w:val="clear" w:color="auto" w:fill="auto"/>
            <w:vAlign w:val="center"/>
          </w:tcPr>
          <w:p w14:paraId="2603E5BD" w14:textId="77777777" w:rsidR="00645D3D" w:rsidRPr="000620CC" w:rsidRDefault="00645D3D" w:rsidP="00645D3D">
            <w:pPr>
              <w:jc w:val="left"/>
              <w:rPr>
                <w:rFonts w:cs="Arial"/>
              </w:rPr>
            </w:pPr>
            <w:r w:rsidRPr="000620CC">
              <w:rPr>
                <w:rFonts w:cs="Arial"/>
              </w:rPr>
              <w:t>BNDES</w:t>
            </w:r>
          </w:p>
        </w:tc>
        <w:tc>
          <w:tcPr>
            <w:tcW w:w="7524" w:type="dxa"/>
            <w:shd w:val="clear" w:color="auto" w:fill="auto"/>
            <w:vAlign w:val="center"/>
          </w:tcPr>
          <w:p w14:paraId="7E914F69" w14:textId="77777777" w:rsidR="00645D3D" w:rsidRPr="000620CC" w:rsidRDefault="00645D3D" w:rsidP="00645D3D">
            <w:pPr>
              <w:jc w:val="left"/>
              <w:rPr>
                <w:rFonts w:cs="Arial"/>
              </w:rPr>
            </w:pPr>
            <w:r w:rsidRPr="000620CC">
              <w:rPr>
                <w:rFonts w:cs="Arial"/>
              </w:rPr>
              <w:t>Banco Nacional de Desenvolvimento Econômico e Social</w:t>
            </w:r>
          </w:p>
        </w:tc>
      </w:tr>
      <w:tr w:rsidR="00645D3D" w:rsidRPr="000620CC" w14:paraId="600ECE9B" w14:textId="77777777" w:rsidTr="00DE00AC">
        <w:trPr>
          <w:trHeight w:val="300"/>
        </w:trPr>
        <w:tc>
          <w:tcPr>
            <w:tcW w:w="1560" w:type="dxa"/>
            <w:shd w:val="clear" w:color="auto" w:fill="auto"/>
            <w:vAlign w:val="center"/>
          </w:tcPr>
          <w:p w14:paraId="4EC8B314" w14:textId="77777777" w:rsidR="00645D3D" w:rsidRPr="000620CC" w:rsidRDefault="00645D3D" w:rsidP="00645D3D">
            <w:pPr>
              <w:jc w:val="left"/>
              <w:rPr>
                <w:rFonts w:cs="Arial"/>
              </w:rPr>
            </w:pPr>
            <w:r w:rsidRPr="000620CC">
              <w:rPr>
                <w:rFonts w:cs="Arial"/>
              </w:rPr>
              <w:t>BO</w:t>
            </w:r>
          </w:p>
        </w:tc>
        <w:tc>
          <w:tcPr>
            <w:tcW w:w="7524" w:type="dxa"/>
            <w:shd w:val="clear" w:color="auto" w:fill="auto"/>
            <w:noWrap/>
            <w:vAlign w:val="center"/>
          </w:tcPr>
          <w:p w14:paraId="048AE8BA" w14:textId="77777777" w:rsidR="00645D3D" w:rsidRPr="000620CC" w:rsidRDefault="00645D3D" w:rsidP="00645D3D">
            <w:pPr>
              <w:jc w:val="left"/>
              <w:rPr>
                <w:rFonts w:cs="Arial"/>
              </w:rPr>
            </w:pPr>
            <w:r w:rsidRPr="000620CC">
              <w:rPr>
                <w:rFonts w:cs="Arial"/>
              </w:rPr>
              <w:t xml:space="preserve">Sistema </w:t>
            </w:r>
            <w:r w:rsidRPr="000620CC">
              <w:rPr>
                <w:rFonts w:cs="Arial"/>
                <w:i/>
                <w:iCs/>
              </w:rPr>
              <w:t>Business Objects</w:t>
            </w:r>
          </w:p>
        </w:tc>
      </w:tr>
      <w:tr w:rsidR="00645D3D" w:rsidRPr="000620CC" w14:paraId="4900E12D" w14:textId="77777777" w:rsidTr="00DE00AC">
        <w:trPr>
          <w:trHeight w:val="300"/>
        </w:trPr>
        <w:tc>
          <w:tcPr>
            <w:tcW w:w="1560" w:type="dxa"/>
            <w:shd w:val="clear" w:color="auto" w:fill="auto"/>
            <w:vAlign w:val="center"/>
            <w:hideMark/>
          </w:tcPr>
          <w:p w14:paraId="33190280" w14:textId="77777777" w:rsidR="00645D3D" w:rsidRPr="000620CC" w:rsidRDefault="00645D3D" w:rsidP="00645D3D">
            <w:pPr>
              <w:jc w:val="left"/>
              <w:rPr>
                <w:rFonts w:cs="Arial"/>
              </w:rPr>
            </w:pPr>
            <w:r w:rsidRPr="000620CC">
              <w:rPr>
                <w:rFonts w:cs="Arial"/>
              </w:rPr>
              <w:t>BP</w:t>
            </w:r>
          </w:p>
        </w:tc>
        <w:tc>
          <w:tcPr>
            <w:tcW w:w="7524" w:type="dxa"/>
            <w:shd w:val="clear" w:color="auto" w:fill="auto"/>
            <w:noWrap/>
            <w:vAlign w:val="center"/>
            <w:hideMark/>
          </w:tcPr>
          <w:p w14:paraId="6181BB72" w14:textId="77777777" w:rsidR="00645D3D" w:rsidRPr="000620CC" w:rsidRDefault="00645D3D" w:rsidP="00645D3D">
            <w:pPr>
              <w:jc w:val="left"/>
              <w:rPr>
                <w:rFonts w:cs="Arial"/>
              </w:rPr>
            </w:pPr>
            <w:r w:rsidRPr="000620CC">
              <w:rPr>
                <w:rFonts w:cs="Arial"/>
              </w:rPr>
              <w:t>Balanço Patrimonial</w:t>
            </w:r>
          </w:p>
        </w:tc>
      </w:tr>
      <w:tr w:rsidR="00645D3D" w:rsidRPr="000620CC" w14:paraId="2D0792C7" w14:textId="77777777" w:rsidTr="00DE00AC">
        <w:trPr>
          <w:trHeight w:val="300"/>
        </w:trPr>
        <w:tc>
          <w:tcPr>
            <w:tcW w:w="1560" w:type="dxa"/>
            <w:shd w:val="clear" w:color="auto" w:fill="auto"/>
            <w:vAlign w:val="center"/>
          </w:tcPr>
          <w:p w14:paraId="41CB503E" w14:textId="77777777" w:rsidR="00645D3D" w:rsidRPr="000620CC" w:rsidRDefault="00645D3D" w:rsidP="00645D3D">
            <w:pPr>
              <w:jc w:val="left"/>
              <w:rPr>
                <w:rFonts w:cs="Arial"/>
              </w:rPr>
            </w:pPr>
            <w:r w:rsidRPr="000620CC">
              <w:rPr>
                <w:rFonts w:cs="Arial"/>
              </w:rPr>
              <w:t>Cadin</w:t>
            </w:r>
          </w:p>
        </w:tc>
        <w:tc>
          <w:tcPr>
            <w:tcW w:w="7524" w:type="dxa"/>
            <w:shd w:val="clear" w:color="auto" w:fill="auto"/>
            <w:noWrap/>
            <w:vAlign w:val="center"/>
          </w:tcPr>
          <w:p w14:paraId="2FD22CA5" w14:textId="77777777" w:rsidR="00645D3D" w:rsidRPr="000620CC" w:rsidRDefault="00645D3D" w:rsidP="00645D3D">
            <w:pPr>
              <w:jc w:val="left"/>
              <w:rPr>
                <w:rFonts w:cs="Arial"/>
              </w:rPr>
            </w:pPr>
            <w:r w:rsidRPr="000620CC">
              <w:rPr>
                <w:rFonts w:cs="Arial"/>
              </w:rPr>
              <w:t>Cadastro Informativo de Créditos não Quitados do Setor Público Federal</w:t>
            </w:r>
          </w:p>
        </w:tc>
      </w:tr>
      <w:tr w:rsidR="00645D3D" w:rsidRPr="000620CC" w14:paraId="048898F6" w14:textId="77777777" w:rsidTr="00DE00AC">
        <w:trPr>
          <w:trHeight w:val="300"/>
        </w:trPr>
        <w:tc>
          <w:tcPr>
            <w:tcW w:w="1560" w:type="dxa"/>
            <w:shd w:val="clear" w:color="auto" w:fill="auto"/>
            <w:vAlign w:val="center"/>
            <w:hideMark/>
          </w:tcPr>
          <w:p w14:paraId="147BCFBE" w14:textId="77777777" w:rsidR="00645D3D" w:rsidRPr="000620CC" w:rsidRDefault="00645D3D" w:rsidP="00645D3D">
            <w:pPr>
              <w:jc w:val="left"/>
              <w:rPr>
                <w:rFonts w:cs="Arial"/>
              </w:rPr>
            </w:pPr>
            <w:r w:rsidRPr="000620CC">
              <w:rPr>
                <w:rFonts w:cs="Arial"/>
              </w:rPr>
              <w:t>CE</w:t>
            </w:r>
          </w:p>
        </w:tc>
        <w:tc>
          <w:tcPr>
            <w:tcW w:w="7524" w:type="dxa"/>
            <w:shd w:val="clear" w:color="auto" w:fill="auto"/>
            <w:noWrap/>
            <w:vAlign w:val="center"/>
            <w:hideMark/>
          </w:tcPr>
          <w:p w14:paraId="6CDD656B" w14:textId="77777777" w:rsidR="00645D3D" w:rsidRPr="000620CC" w:rsidRDefault="00645D3D" w:rsidP="00645D3D">
            <w:pPr>
              <w:jc w:val="left"/>
              <w:rPr>
                <w:rFonts w:cs="Arial"/>
              </w:rPr>
            </w:pPr>
            <w:r w:rsidRPr="000620CC">
              <w:rPr>
                <w:rFonts w:cs="Arial"/>
              </w:rPr>
              <w:t xml:space="preserve">Constituição Estadual </w:t>
            </w:r>
          </w:p>
        </w:tc>
      </w:tr>
      <w:tr w:rsidR="00645D3D" w:rsidRPr="000620CC" w14:paraId="3C64A63D" w14:textId="77777777" w:rsidTr="00DE00AC">
        <w:trPr>
          <w:trHeight w:val="300"/>
        </w:trPr>
        <w:tc>
          <w:tcPr>
            <w:tcW w:w="1560" w:type="dxa"/>
            <w:shd w:val="clear" w:color="auto" w:fill="auto"/>
            <w:vAlign w:val="center"/>
            <w:hideMark/>
          </w:tcPr>
          <w:p w14:paraId="0760B5D1" w14:textId="77777777" w:rsidR="00645D3D" w:rsidRPr="000620CC" w:rsidRDefault="00645D3D" w:rsidP="00645D3D">
            <w:pPr>
              <w:jc w:val="left"/>
              <w:rPr>
                <w:rFonts w:cs="Arial"/>
              </w:rPr>
            </w:pPr>
            <w:r w:rsidRPr="000620CC">
              <w:rPr>
                <w:rFonts w:cs="Arial"/>
              </w:rPr>
              <w:t>CEF</w:t>
            </w:r>
          </w:p>
        </w:tc>
        <w:tc>
          <w:tcPr>
            <w:tcW w:w="7524" w:type="dxa"/>
            <w:shd w:val="clear" w:color="auto" w:fill="auto"/>
            <w:vAlign w:val="center"/>
            <w:hideMark/>
          </w:tcPr>
          <w:p w14:paraId="242BB8FE" w14:textId="77777777" w:rsidR="00645D3D" w:rsidRPr="000620CC" w:rsidRDefault="00645D3D" w:rsidP="00645D3D">
            <w:pPr>
              <w:jc w:val="left"/>
              <w:rPr>
                <w:rFonts w:cs="Arial"/>
              </w:rPr>
            </w:pPr>
            <w:r w:rsidRPr="000620CC">
              <w:rPr>
                <w:rFonts w:cs="Arial"/>
              </w:rPr>
              <w:t>Caixa Econômica Federal</w:t>
            </w:r>
          </w:p>
        </w:tc>
      </w:tr>
      <w:tr w:rsidR="00645D3D" w:rsidRPr="000620CC" w14:paraId="4ACE22D0" w14:textId="77777777" w:rsidTr="00DE00AC">
        <w:trPr>
          <w:trHeight w:val="300"/>
        </w:trPr>
        <w:tc>
          <w:tcPr>
            <w:tcW w:w="1560" w:type="dxa"/>
            <w:shd w:val="clear" w:color="auto" w:fill="auto"/>
            <w:vAlign w:val="center"/>
            <w:hideMark/>
          </w:tcPr>
          <w:p w14:paraId="7C4A5450" w14:textId="77777777" w:rsidR="00645D3D" w:rsidRPr="000620CC" w:rsidRDefault="00645D3D" w:rsidP="00645D3D">
            <w:pPr>
              <w:jc w:val="left"/>
              <w:rPr>
                <w:rFonts w:cs="Arial"/>
              </w:rPr>
            </w:pPr>
            <w:r w:rsidRPr="000620CC">
              <w:rPr>
                <w:rFonts w:cs="Arial"/>
              </w:rPr>
              <w:t>Celg D</w:t>
            </w:r>
          </w:p>
        </w:tc>
        <w:tc>
          <w:tcPr>
            <w:tcW w:w="7524" w:type="dxa"/>
            <w:shd w:val="clear" w:color="auto" w:fill="auto"/>
            <w:vAlign w:val="center"/>
            <w:hideMark/>
          </w:tcPr>
          <w:p w14:paraId="4A917F51" w14:textId="77777777" w:rsidR="00645D3D" w:rsidRPr="000620CC" w:rsidRDefault="00645D3D" w:rsidP="00645D3D">
            <w:pPr>
              <w:jc w:val="left"/>
              <w:rPr>
                <w:rFonts w:cs="Arial"/>
              </w:rPr>
            </w:pPr>
            <w:r w:rsidRPr="000620CC">
              <w:rPr>
                <w:rFonts w:cs="Arial"/>
              </w:rPr>
              <w:t>Celg Distribuição S/A</w:t>
            </w:r>
          </w:p>
        </w:tc>
      </w:tr>
      <w:tr w:rsidR="00645D3D" w:rsidRPr="000620CC" w14:paraId="0D97A3D3" w14:textId="77777777" w:rsidTr="00DE00AC">
        <w:trPr>
          <w:trHeight w:val="300"/>
        </w:trPr>
        <w:tc>
          <w:tcPr>
            <w:tcW w:w="1560" w:type="dxa"/>
            <w:shd w:val="clear" w:color="auto" w:fill="auto"/>
            <w:vAlign w:val="center"/>
            <w:hideMark/>
          </w:tcPr>
          <w:p w14:paraId="611A5DFA" w14:textId="77777777" w:rsidR="00645D3D" w:rsidRPr="000620CC" w:rsidRDefault="00645D3D" w:rsidP="00645D3D">
            <w:pPr>
              <w:jc w:val="left"/>
              <w:rPr>
                <w:rFonts w:cs="Arial"/>
              </w:rPr>
            </w:pPr>
            <w:r w:rsidRPr="000620CC">
              <w:rPr>
                <w:rFonts w:cs="Arial"/>
              </w:rPr>
              <w:t>Celgpar</w:t>
            </w:r>
          </w:p>
        </w:tc>
        <w:tc>
          <w:tcPr>
            <w:tcW w:w="7524" w:type="dxa"/>
            <w:shd w:val="clear" w:color="auto" w:fill="auto"/>
            <w:vAlign w:val="center"/>
            <w:hideMark/>
          </w:tcPr>
          <w:p w14:paraId="4B94268C" w14:textId="77777777" w:rsidR="00645D3D" w:rsidRPr="000620CC" w:rsidRDefault="00645D3D" w:rsidP="00645D3D">
            <w:pPr>
              <w:jc w:val="left"/>
              <w:rPr>
                <w:rFonts w:cs="Arial"/>
              </w:rPr>
            </w:pPr>
            <w:r w:rsidRPr="000620CC">
              <w:rPr>
                <w:rFonts w:cs="Arial"/>
              </w:rPr>
              <w:t>Companhia Celg de Participações S/A</w:t>
            </w:r>
          </w:p>
        </w:tc>
      </w:tr>
      <w:tr w:rsidR="00645D3D" w:rsidRPr="000620CC" w14:paraId="4040F423" w14:textId="77777777" w:rsidTr="00DE00AC">
        <w:trPr>
          <w:trHeight w:val="300"/>
        </w:trPr>
        <w:tc>
          <w:tcPr>
            <w:tcW w:w="1560" w:type="dxa"/>
            <w:shd w:val="clear" w:color="auto" w:fill="auto"/>
            <w:vAlign w:val="center"/>
            <w:hideMark/>
          </w:tcPr>
          <w:p w14:paraId="0D749CC3" w14:textId="77777777" w:rsidR="00645D3D" w:rsidRPr="000620CC" w:rsidRDefault="00645D3D" w:rsidP="00645D3D">
            <w:pPr>
              <w:jc w:val="left"/>
              <w:rPr>
                <w:rFonts w:cs="Arial"/>
              </w:rPr>
            </w:pPr>
            <w:r w:rsidRPr="000620CC">
              <w:rPr>
                <w:rFonts w:cs="Arial"/>
              </w:rPr>
              <w:t>CF</w:t>
            </w:r>
          </w:p>
        </w:tc>
        <w:tc>
          <w:tcPr>
            <w:tcW w:w="7524" w:type="dxa"/>
            <w:shd w:val="clear" w:color="auto" w:fill="auto"/>
            <w:noWrap/>
            <w:vAlign w:val="center"/>
            <w:hideMark/>
          </w:tcPr>
          <w:p w14:paraId="4DAEA6C7" w14:textId="77777777" w:rsidR="00645D3D" w:rsidRPr="000620CC" w:rsidRDefault="00645D3D" w:rsidP="00645D3D">
            <w:pPr>
              <w:jc w:val="left"/>
              <w:rPr>
                <w:rFonts w:cs="Arial"/>
              </w:rPr>
            </w:pPr>
            <w:r w:rsidRPr="000620CC">
              <w:rPr>
                <w:rFonts w:cs="Arial"/>
              </w:rPr>
              <w:t xml:space="preserve">Constituição Federal </w:t>
            </w:r>
          </w:p>
        </w:tc>
      </w:tr>
      <w:tr w:rsidR="00645D3D" w:rsidRPr="000620CC" w14:paraId="15099E0C" w14:textId="77777777" w:rsidTr="00DE00AC">
        <w:trPr>
          <w:trHeight w:val="300"/>
        </w:trPr>
        <w:tc>
          <w:tcPr>
            <w:tcW w:w="1560" w:type="dxa"/>
            <w:shd w:val="clear" w:color="auto" w:fill="auto"/>
            <w:vAlign w:val="center"/>
            <w:hideMark/>
          </w:tcPr>
          <w:p w14:paraId="16E2C65F" w14:textId="77777777" w:rsidR="00645D3D" w:rsidRPr="000620CC" w:rsidRDefault="00645D3D" w:rsidP="00645D3D">
            <w:pPr>
              <w:jc w:val="left"/>
              <w:rPr>
                <w:rFonts w:cs="Arial"/>
              </w:rPr>
            </w:pPr>
            <w:r w:rsidRPr="000620CC">
              <w:rPr>
                <w:rFonts w:cs="Arial"/>
              </w:rPr>
              <w:t>CF/88</w:t>
            </w:r>
          </w:p>
        </w:tc>
        <w:tc>
          <w:tcPr>
            <w:tcW w:w="7524" w:type="dxa"/>
            <w:shd w:val="clear" w:color="auto" w:fill="auto"/>
            <w:vAlign w:val="center"/>
            <w:hideMark/>
          </w:tcPr>
          <w:p w14:paraId="14E0F452" w14:textId="77777777" w:rsidR="00645D3D" w:rsidRPr="000620CC" w:rsidRDefault="00645D3D" w:rsidP="00645D3D">
            <w:pPr>
              <w:jc w:val="left"/>
              <w:rPr>
                <w:rFonts w:cs="Arial"/>
              </w:rPr>
            </w:pPr>
            <w:r w:rsidRPr="000620CC">
              <w:rPr>
                <w:rFonts w:cs="Arial"/>
              </w:rPr>
              <w:t>Constituição da República Federativa do Brasil de 1988</w:t>
            </w:r>
          </w:p>
        </w:tc>
      </w:tr>
      <w:tr w:rsidR="00645D3D" w:rsidRPr="000620CC" w14:paraId="52950935" w14:textId="77777777" w:rsidTr="00DE00AC">
        <w:trPr>
          <w:trHeight w:val="300"/>
        </w:trPr>
        <w:tc>
          <w:tcPr>
            <w:tcW w:w="1560" w:type="dxa"/>
            <w:shd w:val="clear" w:color="auto" w:fill="auto"/>
            <w:vAlign w:val="center"/>
            <w:hideMark/>
          </w:tcPr>
          <w:p w14:paraId="2D00E4F0" w14:textId="77777777" w:rsidR="00645D3D" w:rsidRPr="000620CC" w:rsidRDefault="00645D3D" w:rsidP="00645D3D">
            <w:pPr>
              <w:jc w:val="left"/>
              <w:rPr>
                <w:rFonts w:cs="Arial"/>
              </w:rPr>
            </w:pPr>
            <w:r w:rsidRPr="000620CC">
              <w:rPr>
                <w:rFonts w:cs="Arial"/>
              </w:rPr>
              <w:t>CFC</w:t>
            </w:r>
          </w:p>
        </w:tc>
        <w:tc>
          <w:tcPr>
            <w:tcW w:w="7524" w:type="dxa"/>
            <w:shd w:val="clear" w:color="auto" w:fill="auto"/>
            <w:vAlign w:val="center"/>
            <w:hideMark/>
          </w:tcPr>
          <w:p w14:paraId="165B95F8" w14:textId="77777777" w:rsidR="00645D3D" w:rsidRPr="000620CC" w:rsidRDefault="00645D3D" w:rsidP="00645D3D">
            <w:pPr>
              <w:jc w:val="left"/>
              <w:rPr>
                <w:rFonts w:cs="Arial"/>
              </w:rPr>
            </w:pPr>
            <w:r w:rsidRPr="000620CC">
              <w:rPr>
                <w:rFonts w:cs="Arial"/>
              </w:rPr>
              <w:t>Conselho Federal de Contabilidade</w:t>
            </w:r>
          </w:p>
        </w:tc>
      </w:tr>
      <w:tr w:rsidR="00645D3D" w:rsidRPr="000620CC" w14:paraId="58A2C13E" w14:textId="77777777" w:rsidTr="00DE00AC">
        <w:trPr>
          <w:trHeight w:val="300"/>
        </w:trPr>
        <w:tc>
          <w:tcPr>
            <w:tcW w:w="1560" w:type="dxa"/>
            <w:shd w:val="clear" w:color="auto" w:fill="auto"/>
            <w:vAlign w:val="center"/>
            <w:hideMark/>
          </w:tcPr>
          <w:p w14:paraId="3A8F2659" w14:textId="77777777" w:rsidR="00645D3D" w:rsidRPr="000620CC" w:rsidRDefault="00645D3D" w:rsidP="00645D3D">
            <w:pPr>
              <w:jc w:val="left"/>
              <w:rPr>
                <w:rFonts w:cs="Arial"/>
              </w:rPr>
            </w:pPr>
            <w:r w:rsidRPr="000620CC">
              <w:rPr>
                <w:rFonts w:cs="Arial"/>
              </w:rPr>
              <w:t>CGE</w:t>
            </w:r>
          </w:p>
        </w:tc>
        <w:tc>
          <w:tcPr>
            <w:tcW w:w="7524" w:type="dxa"/>
            <w:shd w:val="clear" w:color="auto" w:fill="auto"/>
            <w:vAlign w:val="center"/>
            <w:hideMark/>
          </w:tcPr>
          <w:p w14:paraId="20BEF3FC" w14:textId="77777777" w:rsidR="00645D3D" w:rsidRPr="000620CC" w:rsidRDefault="00645D3D" w:rsidP="00645D3D">
            <w:pPr>
              <w:jc w:val="left"/>
              <w:rPr>
                <w:rFonts w:cs="Arial"/>
              </w:rPr>
            </w:pPr>
            <w:r w:rsidRPr="000620CC">
              <w:rPr>
                <w:rFonts w:cs="Arial"/>
              </w:rPr>
              <w:t>Controladoria-Geral do Estado</w:t>
            </w:r>
          </w:p>
        </w:tc>
      </w:tr>
      <w:tr w:rsidR="00645D3D" w:rsidRPr="000620CC" w14:paraId="2A931A70" w14:textId="77777777" w:rsidTr="00DE00AC">
        <w:trPr>
          <w:trHeight w:val="300"/>
        </w:trPr>
        <w:tc>
          <w:tcPr>
            <w:tcW w:w="1560" w:type="dxa"/>
            <w:shd w:val="clear" w:color="auto" w:fill="auto"/>
            <w:vAlign w:val="center"/>
            <w:hideMark/>
          </w:tcPr>
          <w:p w14:paraId="76DC584A" w14:textId="77777777" w:rsidR="00645D3D" w:rsidRPr="000620CC" w:rsidRDefault="00645D3D" w:rsidP="00645D3D">
            <w:pPr>
              <w:jc w:val="left"/>
              <w:rPr>
                <w:rFonts w:cs="Arial"/>
              </w:rPr>
            </w:pPr>
            <w:r w:rsidRPr="000620CC">
              <w:rPr>
                <w:rFonts w:cs="Arial"/>
              </w:rPr>
              <w:t>CMDF</w:t>
            </w:r>
          </w:p>
        </w:tc>
        <w:tc>
          <w:tcPr>
            <w:tcW w:w="7524" w:type="dxa"/>
            <w:shd w:val="clear" w:color="auto" w:fill="auto"/>
            <w:vAlign w:val="center"/>
            <w:hideMark/>
          </w:tcPr>
          <w:p w14:paraId="7E33F6E1" w14:textId="77777777" w:rsidR="00645D3D" w:rsidRPr="000620CC" w:rsidRDefault="00645D3D" w:rsidP="00645D3D">
            <w:pPr>
              <w:jc w:val="left"/>
              <w:rPr>
                <w:rFonts w:cs="Arial"/>
              </w:rPr>
            </w:pPr>
            <w:r w:rsidRPr="000620CC">
              <w:rPr>
                <w:rFonts w:cs="Arial"/>
              </w:rPr>
              <w:t>Cronograma Mensal de Desembolso Financeiro</w:t>
            </w:r>
          </w:p>
        </w:tc>
      </w:tr>
      <w:tr w:rsidR="00645D3D" w:rsidRPr="000620CC" w14:paraId="697C4907" w14:textId="77777777" w:rsidTr="00DE00AC">
        <w:trPr>
          <w:trHeight w:val="300"/>
        </w:trPr>
        <w:tc>
          <w:tcPr>
            <w:tcW w:w="1560" w:type="dxa"/>
            <w:shd w:val="clear" w:color="auto" w:fill="auto"/>
            <w:vAlign w:val="center"/>
          </w:tcPr>
          <w:p w14:paraId="6FDBF9CB" w14:textId="77777777" w:rsidR="00645D3D" w:rsidRPr="000620CC" w:rsidRDefault="00645D3D" w:rsidP="00645D3D">
            <w:pPr>
              <w:jc w:val="left"/>
              <w:rPr>
                <w:rFonts w:cs="Arial"/>
              </w:rPr>
            </w:pPr>
            <w:r w:rsidRPr="000620CC">
              <w:rPr>
                <w:rFonts w:cs="Arial"/>
              </w:rPr>
              <w:t>Comex</w:t>
            </w:r>
          </w:p>
        </w:tc>
        <w:tc>
          <w:tcPr>
            <w:tcW w:w="7524" w:type="dxa"/>
            <w:shd w:val="clear" w:color="auto" w:fill="auto"/>
            <w:vAlign w:val="center"/>
          </w:tcPr>
          <w:p w14:paraId="650AC6DF" w14:textId="77777777" w:rsidR="00645D3D" w:rsidRPr="000620CC" w:rsidRDefault="00645D3D" w:rsidP="00645D3D">
            <w:pPr>
              <w:jc w:val="left"/>
              <w:rPr>
                <w:rFonts w:cs="Arial"/>
              </w:rPr>
            </w:pPr>
            <w:r w:rsidRPr="000620CC">
              <w:rPr>
                <w:rFonts w:cs="Arial"/>
              </w:rPr>
              <w:t>Comércio Exterior</w:t>
            </w:r>
          </w:p>
        </w:tc>
      </w:tr>
      <w:tr w:rsidR="00645D3D" w:rsidRPr="000620CC" w14:paraId="5F3F45E0" w14:textId="77777777" w:rsidTr="00DE00AC">
        <w:trPr>
          <w:trHeight w:val="300"/>
        </w:trPr>
        <w:tc>
          <w:tcPr>
            <w:tcW w:w="1560" w:type="dxa"/>
            <w:shd w:val="clear" w:color="auto" w:fill="auto"/>
            <w:vAlign w:val="center"/>
            <w:hideMark/>
          </w:tcPr>
          <w:p w14:paraId="600A8096" w14:textId="77777777" w:rsidR="00645D3D" w:rsidRPr="000620CC" w:rsidRDefault="00645D3D" w:rsidP="00645D3D">
            <w:pPr>
              <w:jc w:val="left"/>
              <w:rPr>
                <w:rFonts w:cs="Arial"/>
              </w:rPr>
            </w:pPr>
            <w:r w:rsidRPr="000620CC">
              <w:rPr>
                <w:rFonts w:cs="Arial"/>
              </w:rPr>
              <w:t>Confundeb</w:t>
            </w:r>
          </w:p>
        </w:tc>
        <w:tc>
          <w:tcPr>
            <w:tcW w:w="7524" w:type="dxa"/>
            <w:shd w:val="clear" w:color="auto" w:fill="auto"/>
            <w:vAlign w:val="center"/>
            <w:hideMark/>
          </w:tcPr>
          <w:p w14:paraId="0DF3DBAD" w14:textId="77777777" w:rsidR="00645D3D" w:rsidRPr="000620CC" w:rsidRDefault="00645D3D" w:rsidP="00645D3D">
            <w:pPr>
              <w:jc w:val="left"/>
              <w:rPr>
                <w:rFonts w:cs="Arial"/>
              </w:rPr>
            </w:pPr>
            <w:r w:rsidRPr="000620CC">
              <w:rPr>
                <w:rFonts w:cs="Arial"/>
              </w:rPr>
              <w:t>Conselho de Acompanhamento e Controle Social do Fundeb do Estado de Goiás</w:t>
            </w:r>
          </w:p>
        </w:tc>
      </w:tr>
      <w:tr w:rsidR="00645D3D" w:rsidRPr="000620CC" w14:paraId="55854D41" w14:textId="77777777" w:rsidTr="00DE00AC">
        <w:trPr>
          <w:trHeight w:val="300"/>
        </w:trPr>
        <w:tc>
          <w:tcPr>
            <w:tcW w:w="1560" w:type="dxa"/>
            <w:shd w:val="clear" w:color="auto" w:fill="auto"/>
            <w:vAlign w:val="center"/>
          </w:tcPr>
          <w:p w14:paraId="19688DE6" w14:textId="77777777" w:rsidR="00645D3D" w:rsidRPr="000620CC" w:rsidRDefault="00645D3D" w:rsidP="00645D3D">
            <w:pPr>
              <w:jc w:val="left"/>
              <w:rPr>
                <w:rFonts w:cs="Arial"/>
              </w:rPr>
            </w:pPr>
            <w:r w:rsidRPr="000620CC">
              <w:rPr>
                <w:rFonts w:cs="Arial"/>
              </w:rPr>
              <w:t>CPC</w:t>
            </w:r>
          </w:p>
        </w:tc>
        <w:tc>
          <w:tcPr>
            <w:tcW w:w="7524" w:type="dxa"/>
            <w:shd w:val="clear" w:color="auto" w:fill="auto"/>
            <w:vAlign w:val="center"/>
          </w:tcPr>
          <w:p w14:paraId="5B187D21" w14:textId="3863F0B1" w:rsidR="00645D3D" w:rsidRPr="000620CC" w:rsidRDefault="005772E8" w:rsidP="00645D3D">
            <w:pPr>
              <w:jc w:val="left"/>
              <w:rPr>
                <w:rFonts w:cs="Arial"/>
              </w:rPr>
            </w:pPr>
            <w:r w:rsidRPr="000620CC">
              <w:rPr>
                <w:rFonts w:cs="Arial"/>
              </w:rPr>
              <w:t>Comitê de Pronunciamentos Contábeis</w:t>
            </w:r>
          </w:p>
        </w:tc>
      </w:tr>
      <w:tr w:rsidR="00645D3D" w:rsidRPr="000620CC" w14:paraId="449E237B" w14:textId="77777777" w:rsidTr="00DE00AC">
        <w:trPr>
          <w:trHeight w:val="300"/>
        </w:trPr>
        <w:tc>
          <w:tcPr>
            <w:tcW w:w="1560" w:type="dxa"/>
            <w:shd w:val="clear" w:color="auto" w:fill="auto"/>
            <w:vAlign w:val="center"/>
            <w:hideMark/>
          </w:tcPr>
          <w:p w14:paraId="73C1FB18" w14:textId="77777777" w:rsidR="00645D3D" w:rsidRPr="000620CC" w:rsidRDefault="00645D3D" w:rsidP="00645D3D">
            <w:pPr>
              <w:jc w:val="left"/>
              <w:rPr>
                <w:rFonts w:cs="Arial"/>
              </w:rPr>
            </w:pPr>
            <w:r w:rsidRPr="000620CC">
              <w:rPr>
                <w:rFonts w:cs="Arial"/>
              </w:rPr>
              <w:t>Crer</w:t>
            </w:r>
          </w:p>
        </w:tc>
        <w:tc>
          <w:tcPr>
            <w:tcW w:w="7524" w:type="dxa"/>
            <w:shd w:val="clear" w:color="auto" w:fill="auto"/>
            <w:vAlign w:val="center"/>
            <w:hideMark/>
          </w:tcPr>
          <w:p w14:paraId="73CAC2C0" w14:textId="77777777" w:rsidR="00645D3D" w:rsidRPr="000620CC" w:rsidRDefault="00645D3D" w:rsidP="00645D3D">
            <w:pPr>
              <w:jc w:val="left"/>
              <w:rPr>
                <w:rFonts w:cs="Arial"/>
              </w:rPr>
            </w:pPr>
            <w:r w:rsidRPr="000620CC">
              <w:rPr>
                <w:rFonts w:cs="Arial"/>
              </w:rPr>
              <w:t>Centro Estadual de Reabilitação e Readaptação Dr. Henrique Santillo</w:t>
            </w:r>
          </w:p>
        </w:tc>
      </w:tr>
      <w:tr w:rsidR="0094692E" w:rsidRPr="000620CC" w14:paraId="3560F640" w14:textId="77777777" w:rsidTr="00DE00AC">
        <w:trPr>
          <w:trHeight w:val="300"/>
        </w:trPr>
        <w:tc>
          <w:tcPr>
            <w:tcW w:w="1560" w:type="dxa"/>
            <w:shd w:val="clear" w:color="auto" w:fill="auto"/>
            <w:vAlign w:val="center"/>
          </w:tcPr>
          <w:p w14:paraId="0C897DD5" w14:textId="1102A3E3" w:rsidR="0094692E" w:rsidRPr="000620CC" w:rsidRDefault="0094692E" w:rsidP="00645D3D">
            <w:pPr>
              <w:jc w:val="left"/>
              <w:rPr>
                <w:rFonts w:cs="Arial"/>
              </w:rPr>
            </w:pPr>
            <w:r w:rsidRPr="000620CC">
              <w:rPr>
                <w:rFonts w:cs="Arial"/>
              </w:rPr>
              <w:t>CRFB</w:t>
            </w:r>
          </w:p>
        </w:tc>
        <w:tc>
          <w:tcPr>
            <w:tcW w:w="7524" w:type="dxa"/>
            <w:shd w:val="clear" w:color="auto" w:fill="auto"/>
            <w:vAlign w:val="center"/>
          </w:tcPr>
          <w:p w14:paraId="11AD0336" w14:textId="7DB6F914" w:rsidR="0094692E" w:rsidRPr="000620CC" w:rsidRDefault="0094692E" w:rsidP="00645D3D">
            <w:pPr>
              <w:jc w:val="left"/>
              <w:rPr>
                <w:rFonts w:cs="Arial"/>
              </w:rPr>
            </w:pPr>
            <w:r w:rsidRPr="000620CC">
              <w:rPr>
                <w:rFonts w:cs="Arial"/>
              </w:rPr>
              <w:t>Constituição da República Federativa Brasileira</w:t>
            </w:r>
          </w:p>
        </w:tc>
      </w:tr>
      <w:tr w:rsidR="00645D3D" w:rsidRPr="000620CC" w14:paraId="7E567834" w14:textId="77777777" w:rsidTr="00DE00AC">
        <w:trPr>
          <w:trHeight w:val="300"/>
        </w:trPr>
        <w:tc>
          <w:tcPr>
            <w:tcW w:w="1560" w:type="dxa"/>
            <w:shd w:val="clear" w:color="auto" w:fill="auto"/>
            <w:vAlign w:val="center"/>
            <w:hideMark/>
          </w:tcPr>
          <w:p w14:paraId="01C3F689" w14:textId="77777777" w:rsidR="00645D3D" w:rsidRPr="000620CC" w:rsidRDefault="00645D3D" w:rsidP="00645D3D">
            <w:pPr>
              <w:jc w:val="left"/>
              <w:rPr>
                <w:rFonts w:cs="Arial"/>
              </w:rPr>
            </w:pPr>
            <w:r w:rsidRPr="000620CC">
              <w:rPr>
                <w:rFonts w:cs="Arial"/>
              </w:rPr>
              <w:t>CRP</w:t>
            </w:r>
          </w:p>
        </w:tc>
        <w:tc>
          <w:tcPr>
            <w:tcW w:w="7524" w:type="dxa"/>
            <w:shd w:val="clear" w:color="auto" w:fill="auto"/>
            <w:vAlign w:val="center"/>
            <w:hideMark/>
          </w:tcPr>
          <w:p w14:paraId="55D598DF" w14:textId="77777777" w:rsidR="00645D3D" w:rsidRPr="000620CC" w:rsidRDefault="00645D3D" w:rsidP="00645D3D">
            <w:pPr>
              <w:jc w:val="left"/>
              <w:rPr>
                <w:rFonts w:cs="Arial"/>
              </w:rPr>
            </w:pPr>
            <w:r w:rsidRPr="000620CC">
              <w:rPr>
                <w:rFonts w:cs="Arial"/>
              </w:rPr>
              <w:t>Certificado de Regularidade Previdenciária</w:t>
            </w:r>
          </w:p>
        </w:tc>
      </w:tr>
      <w:tr w:rsidR="00741922" w:rsidRPr="000620CC" w14:paraId="4958377E" w14:textId="77777777" w:rsidTr="00DE00AC">
        <w:trPr>
          <w:trHeight w:val="300"/>
        </w:trPr>
        <w:tc>
          <w:tcPr>
            <w:tcW w:w="1560" w:type="dxa"/>
            <w:shd w:val="clear" w:color="auto" w:fill="auto"/>
            <w:vAlign w:val="center"/>
          </w:tcPr>
          <w:p w14:paraId="4002B707" w14:textId="4EB6B2B6" w:rsidR="00741922" w:rsidRPr="000620CC" w:rsidRDefault="00741922" w:rsidP="00645D3D">
            <w:pPr>
              <w:jc w:val="left"/>
              <w:rPr>
                <w:rFonts w:cs="Arial"/>
              </w:rPr>
            </w:pPr>
            <w:r w:rsidRPr="000620CC">
              <w:rPr>
                <w:rFonts w:cs="Arial"/>
              </w:rPr>
              <w:t>CSRRF</w:t>
            </w:r>
          </w:p>
        </w:tc>
        <w:tc>
          <w:tcPr>
            <w:tcW w:w="7524" w:type="dxa"/>
            <w:shd w:val="clear" w:color="auto" w:fill="auto"/>
            <w:vAlign w:val="center"/>
          </w:tcPr>
          <w:p w14:paraId="433452C5" w14:textId="01A8519D" w:rsidR="00741922" w:rsidRPr="000620CC" w:rsidRDefault="00741922" w:rsidP="00645D3D">
            <w:pPr>
              <w:jc w:val="left"/>
              <w:rPr>
                <w:rFonts w:cs="Arial"/>
              </w:rPr>
            </w:pPr>
            <w:r w:rsidRPr="000620CC">
              <w:rPr>
                <w:rFonts w:cs="Arial"/>
              </w:rPr>
              <w:t>Conselho de Supervisão do Regime de Recuperação Fiscal</w:t>
            </w:r>
          </w:p>
        </w:tc>
      </w:tr>
      <w:tr w:rsidR="00645D3D" w:rsidRPr="000620CC" w14:paraId="710E6B97" w14:textId="77777777" w:rsidTr="00DE00AC">
        <w:trPr>
          <w:trHeight w:val="300"/>
        </w:trPr>
        <w:tc>
          <w:tcPr>
            <w:tcW w:w="1560" w:type="dxa"/>
            <w:shd w:val="clear" w:color="auto" w:fill="auto"/>
            <w:vAlign w:val="center"/>
            <w:hideMark/>
          </w:tcPr>
          <w:p w14:paraId="564E67E3" w14:textId="77777777" w:rsidR="00645D3D" w:rsidRPr="000620CC" w:rsidRDefault="00645D3D" w:rsidP="00645D3D">
            <w:pPr>
              <w:jc w:val="left"/>
              <w:rPr>
                <w:rFonts w:cs="Arial"/>
              </w:rPr>
            </w:pPr>
            <w:r w:rsidRPr="000620CC">
              <w:rPr>
                <w:rFonts w:cs="Arial"/>
              </w:rPr>
              <w:t>CUTE</w:t>
            </w:r>
          </w:p>
        </w:tc>
        <w:tc>
          <w:tcPr>
            <w:tcW w:w="7524" w:type="dxa"/>
            <w:shd w:val="clear" w:color="auto" w:fill="auto"/>
            <w:vAlign w:val="center"/>
            <w:hideMark/>
          </w:tcPr>
          <w:p w14:paraId="18F45931" w14:textId="77777777" w:rsidR="00645D3D" w:rsidRPr="000620CC" w:rsidRDefault="00645D3D" w:rsidP="00645D3D">
            <w:pPr>
              <w:jc w:val="left"/>
              <w:rPr>
                <w:rFonts w:cs="Arial"/>
              </w:rPr>
            </w:pPr>
            <w:r w:rsidRPr="000620CC">
              <w:rPr>
                <w:rFonts w:cs="Arial"/>
              </w:rPr>
              <w:t>Conta Única do Tesouro Estadual</w:t>
            </w:r>
          </w:p>
        </w:tc>
      </w:tr>
      <w:tr w:rsidR="00645D3D" w:rsidRPr="000620CC" w14:paraId="1D354DE0" w14:textId="77777777" w:rsidTr="00DE00AC">
        <w:trPr>
          <w:trHeight w:val="300"/>
        </w:trPr>
        <w:tc>
          <w:tcPr>
            <w:tcW w:w="1560" w:type="dxa"/>
            <w:shd w:val="clear" w:color="auto" w:fill="auto"/>
            <w:vAlign w:val="center"/>
            <w:hideMark/>
          </w:tcPr>
          <w:p w14:paraId="6152EC45" w14:textId="77777777" w:rsidR="00645D3D" w:rsidRPr="000620CC" w:rsidRDefault="00645D3D" w:rsidP="00645D3D">
            <w:pPr>
              <w:jc w:val="left"/>
              <w:rPr>
                <w:rFonts w:cs="Arial"/>
              </w:rPr>
            </w:pPr>
            <w:r w:rsidRPr="000620CC">
              <w:rPr>
                <w:rFonts w:cs="Arial"/>
              </w:rPr>
              <w:t>DCL</w:t>
            </w:r>
          </w:p>
        </w:tc>
        <w:tc>
          <w:tcPr>
            <w:tcW w:w="7524" w:type="dxa"/>
            <w:shd w:val="clear" w:color="auto" w:fill="auto"/>
            <w:vAlign w:val="center"/>
            <w:hideMark/>
          </w:tcPr>
          <w:p w14:paraId="453F01CF" w14:textId="77777777" w:rsidR="00645D3D" w:rsidRPr="000620CC" w:rsidRDefault="00645D3D" w:rsidP="00645D3D">
            <w:pPr>
              <w:jc w:val="left"/>
              <w:rPr>
                <w:rFonts w:cs="Arial"/>
              </w:rPr>
            </w:pPr>
            <w:r w:rsidRPr="000620CC">
              <w:rPr>
                <w:rFonts w:cs="Arial"/>
              </w:rPr>
              <w:t>Dívida Consolidada Líquida</w:t>
            </w:r>
          </w:p>
        </w:tc>
      </w:tr>
      <w:tr w:rsidR="00645D3D" w:rsidRPr="000620CC" w14:paraId="044FC80F" w14:textId="77777777" w:rsidTr="00DE00AC">
        <w:trPr>
          <w:trHeight w:val="300"/>
        </w:trPr>
        <w:tc>
          <w:tcPr>
            <w:tcW w:w="1560" w:type="dxa"/>
            <w:shd w:val="clear" w:color="auto" w:fill="auto"/>
            <w:vAlign w:val="center"/>
            <w:hideMark/>
          </w:tcPr>
          <w:p w14:paraId="20F93E87" w14:textId="77777777" w:rsidR="00645D3D" w:rsidRPr="000620CC" w:rsidRDefault="00645D3D" w:rsidP="00645D3D">
            <w:pPr>
              <w:jc w:val="left"/>
              <w:rPr>
                <w:rFonts w:cs="Arial"/>
              </w:rPr>
            </w:pPr>
            <w:r w:rsidRPr="000620CC">
              <w:rPr>
                <w:rFonts w:cs="Arial"/>
              </w:rPr>
              <w:t>Detran</w:t>
            </w:r>
          </w:p>
        </w:tc>
        <w:tc>
          <w:tcPr>
            <w:tcW w:w="7524" w:type="dxa"/>
            <w:shd w:val="clear" w:color="auto" w:fill="auto"/>
            <w:vAlign w:val="center"/>
            <w:hideMark/>
          </w:tcPr>
          <w:p w14:paraId="14E084B5" w14:textId="77777777" w:rsidR="00645D3D" w:rsidRPr="000620CC" w:rsidRDefault="00645D3D" w:rsidP="00645D3D">
            <w:pPr>
              <w:jc w:val="left"/>
              <w:rPr>
                <w:rFonts w:cs="Arial"/>
              </w:rPr>
            </w:pPr>
            <w:r w:rsidRPr="000620CC">
              <w:rPr>
                <w:rFonts w:cs="Arial"/>
              </w:rPr>
              <w:t>Departamento Estadual de Trânsito</w:t>
            </w:r>
          </w:p>
        </w:tc>
      </w:tr>
      <w:tr w:rsidR="00645D3D" w:rsidRPr="000620CC" w14:paraId="5D4AA9FB" w14:textId="77777777" w:rsidTr="00DE00AC">
        <w:trPr>
          <w:trHeight w:val="300"/>
        </w:trPr>
        <w:tc>
          <w:tcPr>
            <w:tcW w:w="1560" w:type="dxa"/>
            <w:shd w:val="clear" w:color="auto" w:fill="auto"/>
            <w:vAlign w:val="center"/>
            <w:hideMark/>
          </w:tcPr>
          <w:p w14:paraId="03BA92B0" w14:textId="77777777" w:rsidR="00645D3D" w:rsidRPr="000620CC" w:rsidRDefault="00645D3D" w:rsidP="00645D3D">
            <w:pPr>
              <w:jc w:val="left"/>
              <w:rPr>
                <w:rFonts w:cs="Arial"/>
              </w:rPr>
            </w:pPr>
            <w:r w:rsidRPr="000620CC">
              <w:rPr>
                <w:rFonts w:cs="Arial"/>
              </w:rPr>
              <w:t>DF</w:t>
            </w:r>
          </w:p>
        </w:tc>
        <w:tc>
          <w:tcPr>
            <w:tcW w:w="7524" w:type="dxa"/>
            <w:shd w:val="clear" w:color="auto" w:fill="auto"/>
            <w:vAlign w:val="center"/>
            <w:hideMark/>
          </w:tcPr>
          <w:p w14:paraId="279A15FF" w14:textId="77777777" w:rsidR="00645D3D" w:rsidRPr="000620CC" w:rsidRDefault="00645D3D" w:rsidP="00645D3D">
            <w:pPr>
              <w:jc w:val="left"/>
              <w:rPr>
                <w:rFonts w:cs="Arial"/>
              </w:rPr>
            </w:pPr>
            <w:r w:rsidRPr="000620CC">
              <w:rPr>
                <w:rFonts w:cs="Arial"/>
              </w:rPr>
              <w:t>Distrito Federal</w:t>
            </w:r>
          </w:p>
        </w:tc>
      </w:tr>
      <w:tr w:rsidR="006A10F8" w:rsidRPr="000620CC" w14:paraId="3EA957D2" w14:textId="77777777" w:rsidTr="00DE00AC">
        <w:trPr>
          <w:trHeight w:val="300"/>
        </w:trPr>
        <w:tc>
          <w:tcPr>
            <w:tcW w:w="1560" w:type="dxa"/>
            <w:shd w:val="clear" w:color="auto" w:fill="auto"/>
            <w:vAlign w:val="center"/>
          </w:tcPr>
          <w:p w14:paraId="6193BE9A" w14:textId="366C8668" w:rsidR="006A10F8" w:rsidRPr="000620CC" w:rsidRDefault="006A10F8" w:rsidP="00645D3D">
            <w:pPr>
              <w:jc w:val="left"/>
              <w:rPr>
                <w:rFonts w:cs="Arial"/>
              </w:rPr>
            </w:pPr>
            <w:r w:rsidRPr="000620CC">
              <w:rPr>
                <w:rFonts w:cs="Arial"/>
              </w:rPr>
              <w:lastRenderedPageBreak/>
              <w:t>DGAP</w:t>
            </w:r>
          </w:p>
        </w:tc>
        <w:tc>
          <w:tcPr>
            <w:tcW w:w="7524" w:type="dxa"/>
            <w:shd w:val="clear" w:color="auto" w:fill="auto"/>
            <w:vAlign w:val="center"/>
          </w:tcPr>
          <w:p w14:paraId="7C03F3B5" w14:textId="0690CD44" w:rsidR="006A10F8" w:rsidRPr="000620CC" w:rsidRDefault="006A10F8" w:rsidP="00645D3D">
            <w:pPr>
              <w:jc w:val="left"/>
              <w:rPr>
                <w:rFonts w:cs="Arial"/>
              </w:rPr>
            </w:pPr>
            <w:r w:rsidRPr="000620CC">
              <w:rPr>
                <w:rFonts w:cs="Arial"/>
              </w:rPr>
              <w:t>Diretoria Geral de Administração Penitenciária</w:t>
            </w:r>
          </w:p>
        </w:tc>
      </w:tr>
      <w:tr w:rsidR="00DA5713" w:rsidRPr="000620CC" w14:paraId="37E7F640" w14:textId="77777777" w:rsidTr="00DE00AC">
        <w:trPr>
          <w:trHeight w:val="300"/>
        </w:trPr>
        <w:tc>
          <w:tcPr>
            <w:tcW w:w="1560" w:type="dxa"/>
            <w:shd w:val="clear" w:color="auto" w:fill="auto"/>
            <w:vAlign w:val="center"/>
          </w:tcPr>
          <w:p w14:paraId="7191C83C" w14:textId="6E2FE43A" w:rsidR="00DA5713" w:rsidRPr="000620CC" w:rsidRDefault="00DA5713" w:rsidP="00645D3D">
            <w:pPr>
              <w:jc w:val="left"/>
              <w:rPr>
                <w:rFonts w:cs="Arial"/>
              </w:rPr>
            </w:pPr>
            <w:r w:rsidRPr="000620CC">
              <w:rPr>
                <w:rFonts w:cs="Arial"/>
              </w:rPr>
              <w:t>DGPC</w:t>
            </w:r>
          </w:p>
        </w:tc>
        <w:tc>
          <w:tcPr>
            <w:tcW w:w="7524" w:type="dxa"/>
            <w:shd w:val="clear" w:color="auto" w:fill="auto"/>
            <w:vAlign w:val="center"/>
          </w:tcPr>
          <w:p w14:paraId="00BB98F7" w14:textId="234E667B" w:rsidR="00DA5713" w:rsidRPr="000620CC" w:rsidRDefault="00DA5713" w:rsidP="00645D3D">
            <w:pPr>
              <w:jc w:val="left"/>
              <w:rPr>
                <w:rFonts w:cs="Arial"/>
              </w:rPr>
            </w:pPr>
            <w:r w:rsidRPr="000620CC">
              <w:rPr>
                <w:rFonts w:cs="Arial"/>
              </w:rPr>
              <w:t>Delegacia Geral da Polícia Civil</w:t>
            </w:r>
          </w:p>
        </w:tc>
      </w:tr>
      <w:tr w:rsidR="00F85C19" w:rsidRPr="000620CC" w14:paraId="2F7364AB" w14:textId="77777777" w:rsidTr="00DE00AC">
        <w:trPr>
          <w:trHeight w:val="300"/>
        </w:trPr>
        <w:tc>
          <w:tcPr>
            <w:tcW w:w="1560" w:type="dxa"/>
            <w:shd w:val="clear" w:color="auto" w:fill="auto"/>
            <w:vAlign w:val="center"/>
          </w:tcPr>
          <w:p w14:paraId="38CC0FC4" w14:textId="57DB8532" w:rsidR="00F85C19" w:rsidRPr="000620CC" w:rsidRDefault="00F85C19" w:rsidP="00645D3D">
            <w:pPr>
              <w:jc w:val="left"/>
              <w:rPr>
                <w:rFonts w:cs="Arial"/>
              </w:rPr>
            </w:pPr>
            <w:r w:rsidRPr="000620CC">
              <w:rPr>
                <w:rFonts w:cs="Arial"/>
              </w:rPr>
              <w:t>DOE</w:t>
            </w:r>
          </w:p>
        </w:tc>
        <w:tc>
          <w:tcPr>
            <w:tcW w:w="7524" w:type="dxa"/>
            <w:shd w:val="clear" w:color="auto" w:fill="auto"/>
            <w:vAlign w:val="center"/>
          </w:tcPr>
          <w:p w14:paraId="0785B4BD" w14:textId="7DDE79CB" w:rsidR="00F85C19" w:rsidRPr="000620CC" w:rsidRDefault="00F85C19" w:rsidP="00645D3D">
            <w:pPr>
              <w:jc w:val="left"/>
              <w:rPr>
                <w:rFonts w:cs="Arial"/>
              </w:rPr>
            </w:pPr>
            <w:r w:rsidRPr="000620CC">
              <w:rPr>
                <w:rFonts w:cs="Arial"/>
              </w:rPr>
              <w:t>Diário Oficial do Estado</w:t>
            </w:r>
          </w:p>
        </w:tc>
      </w:tr>
      <w:tr w:rsidR="00645D3D" w:rsidRPr="000620CC" w14:paraId="3908AEB5" w14:textId="77777777" w:rsidTr="00DE00AC">
        <w:trPr>
          <w:trHeight w:val="300"/>
        </w:trPr>
        <w:tc>
          <w:tcPr>
            <w:tcW w:w="1560" w:type="dxa"/>
            <w:shd w:val="clear" w:color="auto" w:fill="auto"/>
            <w:vAlign w:val="center"/>
            <w:hideMark/>
          </w:tcPr>
          <w:p w14:paraId="1467F3ED" w14:textId="77777777" w:rsidR="00645D3D" w:rsidRPr="000620CC" w:rsidRDefault="00645D3D" w:rsidP="00645D3D">
            <w:pPr>
              <w:jc w:val="left"/>
              <w:rPr>
                <w:rFonts w:cs="Arial"/>
              </w:rPr>
            </w:pPr>
            <w:r w:rsidRPr="000620CC">
              <w:rPr>
                <w:rFonts w:cs="Arial"/>
              </w:rPr>
              <w:t>DOU</w:t>
            </w:r>
          </w:p>
        </w:tc>
        <w:tc>
          <w:tcPr>
            <w:tcW w:w="7524" w:type="dxa"/>
            <w:shd w:val="clear" w:color="auto" w:fill="auto"/>
            <w:vAlign w:val="center"/>
            <w:hideMark/>
          </w:tcPr>
          <w:p w14:paraId="73059A98" w14:textId="77777777" w:rsidR="00645D3D" w:rsidRPr="000620CC" w:rsidRDefault="00645D3D" w:rsidP="00645D3D">
            <w:pPr>
              <w:jc w:val="left"/>
              <w:rPr>
                <w:rFonts w:cs="Arial"/>
              </w:rPr>
            </w:pPr>
            <w:r w:rsidRPr="000620CC">
              <w:rPr>
                <w:rFonts w:cs="Arial"/>
              </w:rPr>
              <w:t>Diário Oficial da União</w:t>
            </w:r>
          </w:p>
        </w:tc>
      </w:tr>
      <w:tr w:rsidR="00645D3D" w:rsidRPr="000620CC" w14:paraId="50986DB7" w14:textId="77777777" w:rsidTr="00DE00AC">
        <w:trPr>
          <w:trHeight w:val="300"/>
        </w:trPr>
        <w:tc>
          <w:tcPr>
            <w:tcW w:w="1560" w:type="dxa"/>
            <w:shd w:val="clear" w:color="auto" w:fill="auto"/>
            <w:vAlign w:val="center"/>
          </w:tcPr>
          <w:p w14:paraId="1D232867" w14:textId="77777777" w:rsidR="00645D3D" w:rsidRPr="000620CC" w:rsidRDefault="00645D3D" w:rsidP="00645D3D">
            <w:pPr>
              <w:jc w:val="left"/>
              <w:rPr>
                <w:rFonts w:cs="Arial"/>
              </w:rPr>
            </w:pPr>
            <w:r w:rsidRPr="000620CC">
              <w:rPr>
                <w:rFonts w:cs="Arial"/>
              </w:rPr>
              <w:t>DPE-GO</w:t>
            </w:r>
          </w:p>
        </w:tc>
        <w:tc>
          <w:tcPr>
            <w:tcW w:w="7524" w:type="dxa"/>
            <w:shd w:val="clear" w:color="auto" w:fill="auto"/>
            <w:vAlign w:val="center"/>
          </w:tcPr>
          <w:p w14:paraId="68D1B84E" w14:textId="5B07A924" w:rsidR="00645D3D" w:rsidRPr="000620CC" w:rsidRDefault="00645D3D" w:rsidP="00645D3D">
            <w:pPr>
              <w:jc w:val="left"/>
              <w:rPr>
                <w:rFonts w:cs="Arial"/>
              </w:rPr>
            </w:pPr>
            <w:r w:rsidRPr="000620CC">
              <w:rPr>
                <w:rFonts w:cs="Arial"/>
              </w:rPr>
              <w:t>Defensor</w:t>
            </w:r>
            <w:r w:rsidR="006C0212" w:rsidRPr="000620CC">
              <w:rPr>
                <w:rFonts w:cs="Arial"/>
              </w:rPr>
              <w:t>ia</w:t>
            </w:r>
            <w:r w:rsidRPr="000620CC">
              <w:rPr>
                <w:rFonts w:cs="Arial"/>
              </w:rPr>
              <w:t xml:space="preserve"> Pública do Estado de Goiás</w:t>
            </w:r>
          </w:p>
        </w:tc>
      </w:tr>
      <w:tr w:rsidR="009305A8" w:rsidRPr="000620CC" w14:paraId="1A71A59C" w14:textId="77777777" w:rsidTr="00DE00AC">
        <w:trPr>
          <w:trHeight w:val="300"/>
        </w:trPr>
        <w:tc>
          <w:tcPr>
            <w:tcW w:w="1560" w:type="dxa"/>
            <w:shd w:val="clear" w:color="auto" w:fill="auto"/>
            <w:vAlign w:val="center"/>
          </w:tcPr>
          <w:p w14:paraId="40FC4ED5" w14:textId="1A0DB6F7" w:rsidR="009305A8" w:rsidRPr="000620CC" w:rsidRDefault="009305A8" w:rsidP="00645D3D">
            <w:pPr>
              <w:jc w:val="left"/>
              <w:rPr>
                <w:rFonts w:cs="Arial"/>
              </w:rPr>
            </w:pPr>
            <w:r w:rsidRPr="000620CC">
              <w:rPr>
                <w:rFonts w:cs="Arial"/>
              </w:rPr>
              <w:t>DRAA</w:t>
            </w:r>
          </w:p>
        </w:tc>
        <w:tc>
          <w:tcPr>
            <w:tcW w:w="7524" w:type="dxa"/>
            <w:shd w:val="clear" w:color="auto" w:fill="auto"/>
            <w:noWrap/>
            <w:vAlign w:val="center"/>
          </w:tcPr>
          <w:p w14:paraId="2A690856" w14:textId="7553410F" w:rsidR="009305A8" w:rsidRPr="000620CC" w:rsidRDefault="009305A8" w:rsidP="00645D3D">
            <w:pPr>
              <w:jc w:val="left"/>
              <w:rPr>
                <w:rFonts w:cs="Arial"/>
              </w:rPr>
            </w:pPr>
            <w:r w:rsidRPr="000620CC">
              <w:rPr>
                <w:rFonts w:cs="Arial"/>
              </w:rPr>
              <w:t>Demonstrativo de Resultados da Avaliação Atuarial</w:t>
            </w:r>
          </w:p>
        </w:tc>
      </w:tr>
      <w:tr w:rsidR="00645D3D" w:rsidRPr="000620CC" w14:paraId="78D98DB4" w14:textId="77777777" w:rsidTr="00DE00AC">
        <w:trPr>
          <w:trHeight w:val="300"/>
        </w:trPr>
        <w:tc>
          <w:tcPr>
            <w:tcW w:w="1560" w:type="dxa"/>
            <w:shd w:val="clear" w:color="auto" w:fill="auto"/>
            <w:vAlign w:val="center"/>
            <w:hideMark/>
          </w:tcPr>
          <w:p w14:paraId="02B5D61B" w14:textId="77777777" w:rsidR="00645D3D" w:rsidRPr="000620CC" w:rsidRDefault="00645D3D" w:rsidP="00645D3D">
            <w:pPr>
              <w:jc w:val="left"/>
              <w:rPr>
                <w:rFonts w:cs="Arial"/>
              </w:rPr>
            </w:pPr>
            <w:r w:rsidRPr="000620CC">
              <w:rPr>
                <w:rFonts w:cs="Arial"/>
              </w:rPr>
              <w:t>DVP</w:t>
            </w:r>
          </w:p>
        </w:tc>
        <w:tc>
          <w:tcPr>
            <w:tcW w:w="7524" w:type="dxa"/>
            <w:shd w:val="clear" w:color="auto" w:fill="auto"/>
            <w:noWrap/>
            <w:vAlign w:val="center"/>
            <w:hideMark/>
          </w:tcPr>
          <w:p w14:paraId="14E38E5F" w14:textId="77777777" w:rsidR="00645D3D" w:rsidRPr="000620CC" w:rsidRDefault="00645D3D" w:rsidP="00645D3D">
            <w:pPr>
              <w:jc w:val="left"/>
              <w:rPr>
                <w:rFonts w:cs="Arial"/>
              </w:rPr>
            </w:pPr>
            <w:r w:rsidRPr="000620CC">
              <w:rPr>
                <w:rFonts w:cs="Arial"/>
              </w:rPr>
              <w:t>Demonstração de Variações Patrimoniais</w:t>
            </w:r>
          </w:p>
        </w:tc>
      </w:tr>
      <w:tr w:rsidR="00645D3D" w:rsidRPr="000620CC" w14:paraId="00C6C2DD" w14:textId="77777777" w:rsidTr="00DE00AC">
        <w:trPr>
          <w:trHeight w:val="300"/>
        </w:trPr>
        <w:tc>
          <w:tcPr>
            <w:tcW w:w="1560" w:type="dxa"/>
            <w:shd w:val="clear" w:color="auto" w:fill="auto"/>
            <w:vAlign w:val="center"/>
            <w:hideMark/>
          </w:tcPr>
          <w:p w14:paraId="4D1E3644" w14:textId="77777777" w:rsidR="00645D3D" w:rsidRPr="000620CC" w:rsidRDefault="00645D3D" w:rsidP="00645D3D">
            <w:pPr>
              <w:jc w:val="left"/>
              <w:rPr>
                <w:rFonts w:cs="Arial"/>
              </w:rPr>
            </w:pPr>
            <w:r w:rsidRPr="000620CC">
              <w:rPr>
                <w:rFonts w:cs="Arial"/>
              </w:rPr>
              <w:t>EC</w:t>
            </w:r>
          </w:p>
        </w:tc>
        <w:tc>
          <w:tcPr>
            <w:tcW w:w="7524" w:type="dxa"/>
            <w:shd w:val="clear" w:color="auto" w:fill="auto"/>
            <w:noWrap/>
            <w:vAlign w:val="center"/>
            <w:hideMark/>
          </w:tcPr>
          <w:p w14:paraId="1B149C8E" w14:textId="77777777" w:rsidR="00645D3D" w:rsidRPr="000620CC" w:rsidRDefault="00645D3D" w:rsidP="00645D3D">
            <w:pPr>
              <w:jc w:val="left"/>
              <w:rPr>
                <w:rFonts w:cs="Arial"/>
              </w:rPr>
            </w:pPr>
            <w:r w:rsidRPr="000620CC">
              <w:rPr>
                <w:rFonts w:cs="Arial"/>
              </w:rPr>
              <w:t xml:space="preserve">Emenda Constitucional </w:t>
            </w:r>
          </w:p>
        </w:tc>
      </w:tr>
      <w:tr w:rsidR="003337E8" w:rsidRPr="000620CC" w14:paraId="4797856E" w14:textId="77777777" w:rsidTr="00DE00AC">
        <w:trPr>
          <w:trHeight w:val="300"/>
        </w:trPr>
        <w:tc>
          <w:tcPr>
            <w:tcW w:w="1560" w:type="dxa"/>
            <w:shd w:val="clear" w:color="auto" w:fill="auto"/>
            <w:vAlign w:val="center"/>
          </w:tcPr>
          <w:p w14:paraId="18C3C4D3" w14:textId="16A8D5AC" w:rsidR="003337E8" w:rsidRPr="000620CC" w:rsidRDefault="003337E8" w:rsidP="00645D3D">
            <w:pPr>
              <w:jc w:val="left"/>
              <w:rPr>
                <w:rFonts w:cs="Arial"/>
              </w:rPr>
            </w:pPr>
            <w:r w:rsidRPr="000620CC">
              <w:t>ECONOMIA</w:t>
            </w:r>
          </w:p>
        </w:tc>
        <w:tc>
          <w:tcPr>
            <w:tcW w:w="7524" w:type="dxa"/>
            <w:shd w:val="clear" w:color="auto" w:fill="auto"/>
            <w:noWrap/>
            <w:vAlign w:val="center"/>
          </w:tcPr>
          <w:p w14:paraId="29629FC1" w14:textId="387A059C" w:rsidR="003337E8" w:rsidRPr="000620CC" w:rsidRDefault="003337E8" w:rsidP="00645D3D">
            <w:pPr>
              <w:jc w:val="left"/>
              <w:rPr>
                <w:rFonts w:cs="Arial"/>
              </w:rPr>
            </w:pPr>
            <w:r w:rsidRPr="000620CC">
              <w:t>Secretaria de Estado da Economia</w:t>
            </w:r>
          </w:p>
        </w:tc>
      </w:tr>
      <w:tr w:rsidR="00CC3B17" w:rsidRPr="000620CC" w14:paraId="3988EFA7" w14:textId="77777777" w:rsidTr="00DE00AC">
        <w:trPr>
          <w:trHeight w:val="300"/>
        </w:trPr>
        <w:tc>
          <w:tcPr>
            <w:tcW w:w="1560" w:type="dxa"/>
            <w:shd w:val="clear" w:color="auto" w:fill="auto"/>
            <w:vAlign w:val="center"/>
          </w:tcPr>
          <w:p w14:paraId="35889F3D" w14:textId="2DA4A967" w:rsidR="00CC3B17" w:rsidRPr="000620CC" w:rsidRDefault="00CC3B17" w:rsidP="00645D3D">
            <w:pPr>
              <w:jc w:val="left"/>
              <w:rPr>
                <w:rFonts w:cs="Arial"/>
              </w:rPr>
            </w:pPr>
            <w:r w:rsidRPr="000620CC">
              <w:rPr>
                <w:rFonts w:cs="Arial"/>
              </w:rPr>
              <w:t>EFD</w:t>
            </w:r>
          </w:p>
        </w:tc>
        <w:tc>
          <w:tcPr>
            <w:tcW w:w="7524" w:type="dxa"/>
            <w:shd w:val="clear" w:color="auto" w:fill="auto"/>
            <w:vAlign w:val="center"/>
          </w:tcPr>
          <w:p w14:paraId="5551ADE4" w14:textId="6BC9CE8E" w:rsidR="00CC3B17" w:rsidRPr="000620CC" w:rsidRDefault="00CC3B17" w:rsidP="00645D3D">
            <w:pPr>
              <w:jc w:val="left"/>
              <w:rPr>
                <w:rFonts w:cs="Arial"/>
              </w:rPr>
            </w:pPr>
            <w:r w:rsidRPr="000620CC">
              <w:rPr>
                <w:rFonts w:cs="Arial"/>
              </w:rPr>
              <w:t>Escrituração Fiscal Digital</w:t>
            </w:r>
          </w:p>
        </w:tc>
      </w:tr>
      <w:tr w:rsidR="00645D3D" w:rsidRPr="000620CC" w14:paraId="465B459A" w14:textId="77777777" w:rsidTr="00DE00AC">
        <w:trPr>
          <w:trHeight w:val="300"/>
        </w:trPr>
        <w:tc>
          <w:tcPr>
            <w:tcW w:w="1560" w:type="dxa"/>
            <w:shd w:val="clear" w:color="auto" w:fill="auto"/>
            <w:vAlign w:val="center"/>
            <w:hideMark/>
          </w:tcPr>
          <w:p w14:paraId="642E5281" w14:textId="77777777" w:rsidR="00645D3D" w:rsidRPr="000620CC" w:rsidRDefault="00645D3D" w:rsidP="00645D3D">
            <w:pPr>
              <w:jc w:val="left"/>
              <w:rPr>
                <w:rFonts w:cs="Arial"/>
              </w:rPr>
            </w:pPr>
            <w:r w:rsidRPr="000620CC">
              <w:rPr>
                <w:rFonts w:cs="Arial"/>
              </w:rPr>
              <w:t>Emater</w:t>
            </w:r>
          </w:p>
        </w:tc>
        <w:tc>
          <w:tcPr>
            <w:tcW w:w="7524" w:type="dxa"/>
            <w:shd w:val="clear" w:color="auto" w:fill="auto"/>
            <w:vAlign w:val="center"/>
            <w:hideMark/>
          </w:tcPr>
          <w:p w14:paraId="601FFDDF" w14:textId="77777777" w:rsidR="00645D3D" w:rsidRPr="000620CC" w:rsidRDefault="00645D3D" w:rsidP="00645D3D">
            <w:pPr>
              <w:jc w:val="left"/>
              <w:rPr>
                <w:rFonts w:cs="Arial"/>
              </w:rPr>
            </w:pPr>
            <w:r w:rsidRPr="000620CC">
              <w:rPr>
                <w:rFonts w:cs="Arial"/>
              </w:rPr>
              <w:t>Agência Goiana de Assistência Técnica, Extensão Rural e Pesquisa Agropecuária</w:t>
            </w:r>
          </w:p>
        </w:tc>
      </w:tr>
      <w:tr w:rsidR="00645D3D" w:rsidRPr="000620CC" w14:paraId="09F4C123" w14:textId="77777777" w:rsidTr="00DE00AC">
        <w:trPr>
          <w:trHeight w:val="300"/>
        </w:trPr>
        <w:tc>
          <w:tcPr>
            <w:tcW w:w="1560" w:type="dxa"/>
            <w:shd w:val="clear" w:color="auto" w:fill="auto"/>
            <w:vAlign w:val="center"/>
            <w:hideMark/>
          </w:tcPr>
          <w:p w14:paraId="368A0CDF" w14:textId="77777777" w:rsidR="00645D3D" w:rsidRPr="000620CC" w:rsidRDefault="00645D3D" w:rsidP="00645D3D">
            <w:pPr>
              <w:jc w:val="left"/>
              <w:rPr>
                <w:rFonts w:cs="Arial"/>
              </w:rPr>
            </w:pPr>
            <w:r w:rsidRPr="000620CC">
              <w:rPr>
                <w:rFonts w:cs="Arial"/>
              </w:rPr>
              <w:t>Fapeg</w:t>
            </w:r>
          </w:p>
        </w:tc>
        <w:tc>
          <w:tcPr>
            <w:tcW w:w="7524" w:type="dxa"/>
            <w:shd w:val="clear" w:color="auto" w:fill="auto"/>
            <w:vAlign w:val="center"/>
            <w:hideMark/>
          </w:tcPr>
          <w:p w14:paraId="691C9E60" w14:textId="77777777" w:rsidR="00645D3D" w:rsidRPr="000620CC" w:rsidRDefault="00645D3D" w:rsidP="00645D3D">
            <w:pPr>
              <w:jc w:val="left"/>
              <w:rPr>
                <w:rFonts w:cs="Arial"/>
              </w:rPr>
            </w:pPr>
            <w:r w:rsidRPr="000620CC">
              <w:rPr>
                <w:rFonts w:cs="Arial"/>
              </w:rPr>
              <w:t>Fundação de Amparo à Pesquisa do Estado de Goiás</w:t>
            </w:r>
          </w:p>
        </w:tc>
      </w:tr>
      <w:tr w:rsidR="00645D3D" w:rsidRPr="000620CC" w14:paraId="12EF9380" w14:textId="77777777" w:rsidTr="00DE00AC">
        <w:trPr>
          <w:trHeight w:val="300"/>
        </w:trPr>
        <w:tc>
          <w:tcPr>
            <w:tcW w:w="1560" w:type="dxa"/>
            <w:shd w:val="clear" w:color="auto" w:fill="auto"/>
            <w:vAlign w:val="center"/>
            <w:hideMark/>
          </w:tcPr>
          <w:p w14:paraId="0DA223A6" w14:textId="77777777" w:rsidR="00645D3D" w:rsidRPr="000620CC" w:rsidRDefault="00645D3D" w:rsidP="00645D3D">
            <w:pPr>
              <w:jc w:val="left"/>
              <w:rPr>
                <w:rFonts w:cs="Arial"/>
              </w:rPr>
            </w:pPr>
            <w:r w:rsidRPr="000620CC">
              <w:rPr>
                <w:rFonts w:cs="Arial"/>
              </w:rPr>
              <w:t xml:space="preserve">FBCF </w:t>
            </w:r>
          </w:p>
        </w:tc>
        <w:tc>
          <w:tcPr>
            <w:tcW w:w="7524" w:type="dxa"/>
            <w:shd w:val="clear" w:color="auto" w:fill="auto"/>
            <w:noWrap/>
            <w:vAlign w:val="center"/>
            <w:hideMark/>
          </w:tcPr>
          <w:p w14:paraId="203E592B" w14:textId="77777777" w:rsidR="00645D3D" w:rsidRPr="000620CC" w:rsidRDefault="00645D3D" w:rsidP="00645D3D">
            <w:pPr>
              <w:jc w:val="left"/>
              <w:rPr>
                <w:rFonts w:cs="Arial"/>
              </w:rPr>
            </w:pPr>
            <w:r w:rsidRPr="000620CC">
              <w:rPr>
                <w:rFonts w:cs="Arial"/>
              </w:rPr>
              <w:t xml:space="preserve">Formação Bruta de Capital Fixo </w:t>
            </w:r>
          </w:p>
        </w:tc>
      </w:tr>
      <w:tr w:rsidR="00645D3D" w:rsidRPr="000620CC" w14:paraId="78E75AD3" w14:textId="77777777" w:rsidTr="00DE00AC">
        <w:trPr>
          <w:trHeight w:val="300"/>
        </w:trPr>
        <w:tc>
          <w:tcPr>
            <w:tcW w:w="1560" w:type="dxa"/>
            <w:shd w:val="clear" w:color="auto" w:fill="auto"/>
            <w:vAlign w:val="center"/>
          </w:tcPr>
          <w:p w14:paraId="0BFA56EA" w14:textId="77777777" w:rsidR="00645D3D" w:rsidRPr="000620CC" w:rsidRDefault="00645D3D" w:rsidP="00645D3D">
            <w:pPr>
              <w:jc w:val="left"/>
              <w:rPr>
                <w:rFonts w:cs="Arial"/>
              </w:rPr>
            </w:pPr>
            <w:r w:rsidRPr="000620CC">
              <w:rPr>
                <w:rFonts w:cs="Arial"/>
              </w:rPr>
              <w:t>Feas</w:t>
            </w:r>
          </w:p>
        </w:tc>
        <w:tc>
          <w:tcPr>
            <w:tcW w:w="7524" w:type="dxa"/>
            <w:shd w:val="clear" w:color="auto" w:fill="auto"/>
            <w:noWrap/>
            <w:vAlign w:val="center"/>
          </w:tcPr>
          <w:p w14:paraId="1DE51871" w14:textId="77777777" w:rsidR="00645D3D" w:rsidRPr="000620CC" w:rsidRDefault="00645D3D" w:rsidP="00645D3D">
            <w:pPr>
              <w:jc w:val="left"/>
              <w:rPr>
                <w:rFonts w:cs="Arial"/>
              </w:rPr>
            </w:pPr>
            <w:r w:rsidRPr="000620CC">
              <w:rPr>
                <w:rFonts w:cs="Arial"/>
              </w:rPr>
              <w:t>Fundo Estadual de Assistência Social</w:t>
            </w:r>
          </w:p>
        </w:tc>
      </w:tr>
      <w:tr w:rsidR="00645D3D" w:rsidRPr="000620CC" w14:paraId="6FE778C9" w14:textId="77777777" w:rsidTr="00DE00AC">
        <w:trPr>
          <w:trHeight w:val="300"/>
        </w:trPr>
        <w:tc>
          <w:tcPr>
            <w:tcW w:w="1560" w:type="dxa"/>
            <w:shd w:val="clear" w:color="auto" w:fill="auto"/>
            <w:vAlign w:val="center"/>
            <w:hideMark/>
          </w:tcPr>
          <w:p w14:paraId="5E943E32" w14:textId="77777777" w:rsidR="00645D3D" w:rsidRPr="000620CC" w:rsidRDefault="00645D3D" w:rsidP="00645D3D">
            <w:pPr>
              <w:jc w:val="left"/>
              <w:rPr>
                <w:rFonts w:cs="Arial"/>
              </w:rPr>
            </w:pPr>
            <w:r w:rsidRPr="000620CC">
              <w:rPr>
                <w:rFonts w:cs="Arial"/>
              </w:rPr>
              <w:t>Fema</w:t>
            </w:r>
          </w:p>
        </w:tc>
        <w:tc>
          <w:tcPr>
            <w:tcW w:w="7524" w:type="dxa"/>
            <w:shd w:val="clear" w:color="auto" w:fill="auto"/>
            <w:vAlign w:val="center"/>
            <w:hideMark/>
          </w:tcPr>
          <w:p w14:paraId="7822F394" w14:textId="77777777" w:rsidR="00645D3D" w:rsidRPr="000620CC" w:rsidRDefault="00645D3D" w:rsidP="00645D3D">
            <w:pPr>
              <w:jc w:val="left"/>
              <w:rPr>
                <w:rFonts w:cs="Arial"/>
              </w:rPr>
            </w:pPr>
            <w:r w:rsidRPr="000620CC">
              <w:rPr>
                <w:rFonts w:cs="Arial"/>
              </w:rPr>
              <w:t>Fundo Estadual do Meio Ambiente</w:t>
            </w:r>
          </w:p>
        </w:tc>
      </w:tr>
      <w:tr w:rsidR="00645D3D" w:rsidRPr="000620CC" w14:paraId="663FF26F" w14:textId="77777777" w:rsidTr="00DE00AC">
        <w:trPr>
          <w:trHeight w:val="300"/>
        </w:trPr>
        <w:tc>
          <w:tcPr>
            <w:tcW w:w="1560" w:type="dxa"/>
            <w:shd w:val="clear" w:color="auto" w:fill="auto"/>
            <w:vAlign w:val="center"/>
            <w:hideMark/>
          </w:tcPr>
          <w:p w14:paraId="1E11B952" w14:textId="77777777" w:rsidR="00645D3D" w:rsidRPr="000620CC" w:rsidRDefault="00645D3D" w:rsidP="00645D3D">
            <w:pPr>
              <w:jc w:val="left"/>
              <w:rPr>
                <w:rFonts w:cs="Arial"/>
              </w:rPr>
            </w:pPr>
            <w:r w:rsidRPr="000620CC">
              <w:rPr>
                <w:rFonts w:cs="Arial"/>
              </w:rPr>
              <w:t>FES</w:t>
            </w:r>
          </w:p>
        </w:tc>
        <w:tc>
          <w:tcPr>
            <w:tcW w:w="7524" w:type="dxa"/>
            <w:shd w:val="clear" w:color="auto" w:fill="auto"/>
            <w:vAlign w:val="center"/>
            <w:hideMark/>
          </w:tcPr>
          <w:p w14:paraId="28FF53D6" w14:textId="77777777" w:rsidR="00645D3D" w:rsidRPr="000620CC" w:rsidRDefault="00645D3D" w:rsidP="00645D3D">
            <w:pPr>
              <w:jc w:val="left"/>
              <w:rPr>
                <w:rFonts w:cs="Arial"/>
              </w:rPr>
            </w:pPr>
            <w:r w:rsidRPr="000620CC">
              <w:rPr>
                <w:rFonts w:cs="Arial"/>
              </w:rPr>
              <w:t>Fundo Estadual de Saúde</w:t>
            </w:r>
          </w:p>
        </w:tc>
      </w:tr>
      <w:tr w:rsidR="00645D3D" w:rsidRPr="000620CC" w14:paraId="29DE9986" w14:textId="77777777" w:rsidTr="00DE00AC">
        <w:trPr>
          <w:trHeight w:val="300"/>
        </w:trPr>
        <w:tc>
          <w:tcPr>
            <w:tcW w:w="1560" w:type="dxa"/>
            <w:shd w:val="clear" w:color="auto" w:fill="auto"/>
            <w:vAlign w:val="center"/>
            <w:hideMark/>
          </w:tcPr>
          <w:p w14:paraId="3E448748" w14:textId="77777777" w:rsidR="00645D3D" w:rsidRPr="000620CC" w:rsidRDefault="00645D3D" w:rsidP="00645D3D">
            <w:pPr>
              <w:jc w:val="left"/>
              <w:rPr>
                <w:rFonts w:cs="Arial"/>
              </w:rPr>
            </w:pPr>
            <w:r w:rsidRPr="000620CC">
              <w:rPr>
                <w:rFonts w:cs="Arial"/>
              </w:rPr>
              <w:t>FGTS</w:t>
            </w:r>
          </w:p>
        </w:tc>
        <w:tc>
          <w:tcPr>
            <w:tcW w:w="7524" w:type="dxa"/>
            <w:shd w:val="clear" w:color="auto" w:fill="auto"/>
            <w:vAlign w:val="center"/>
            <w:hideMark/>
          </w:tcPr>
          <w:p w14:paraId="6606B1C4" w14:textId="77777777" w:rsidR="00645D3D" w:rsidRPr="000620CC" w:rsidRDefault="00645D3D" w:rsidP="00645D3D">
            <w:pPr>
              <w:jc w:val="left"/>
              <w:rPr>
                <w:rFonts w:cs="Arial"/>
              </w:rPr>
            </w:pPr>
            <w:r w:rsidRPr="000620CC">
              <w:rPr>
                <w:rFonts w:cs="Arial"/>
              </w:rPr>
              <w:t>Fundo de Garantia por Tempo de Serviço</w:t>
            </w:r>
          </w:p>
        </w:tc>
      </w:tr>
      <w:tr w:rsidR="00312839" w:rsidRPr="000620CC" w14:paraId="6F1DF406" w14:textId="77777777" w:rsidTr="00DE00AC">
        <w:trPr>
          <w:trHeight w:val="300"/>
        </w:trPr>
        <w:tc>
          <w:tcPr>
            <w:tcW w:w="1560" w:type="dxa"/>
            <w:shd w:val="clear" w:color="auto" w:fill="auto"/>
            <w:vAlign w:val="center"/>
          </w:tcPr>
          <w:p w14:paraId="4694842F" w14:textId="2F96A181" w:rsidR="00312839" w:rsidRPr="000620CC" w:rsidRDefault="00312839" w:rsidP="00645D3D">
            <w:pPr>
              <w:jc w:val="left"/>
              <w:rPr>
                <w:rFonts w:cs="Arial"/>
              </w:rPr>
            </w:pPr>
            <w:r w:rsidRPr="000620CC">
              <w:rPr>
                <w:rFonts w:cs="Arial"/>
              </w:rPr>
              <w:t>Fipe</w:t>
            </w:r>
          </w:p>
        </w:tc>
        <w:tc>
          <w:tcPr>
            <w:tcW w:w="7524" w:type="dxa"/>
            <w:shd w:val="clear" w:color="auto" w:fill="auto"/>
            <w:vAlign w:val="center"/>
          </w:tcPr>
          <w:p w14:paraId="4A9FCA3A" w14:textId="718C9E5F" w:rsidR="00312839" w:rsidRPr="000620CC" w:rsidRDefault="00312839" w:rsidP="00645D3D">
            <w:pPr>
              <w:jc w:val="left"/>
              <w:rPr>
                <w:rFonts w:cs="Arial"/>
              </w:rPr>
            </w:pPr>
            <w:r w:rsidRPr="000620CC">
              <w:rPr>
                <w:rFonts w:cs="Arial"/>
              </w:rPr>
              <w:t>Fundação Instituto de Pesquisas Econômicas</w:t>
            </w:r>
          </w:p>
        </w:tc>
      </w:tr>
      <w:tr w:rsidR="00645D3D" w:rsidRPr="000620CC" w14:paraId="58D0E688" w14:textId="77777777" w:rsidTr="00DE00AC">
        <w:trPr>
          <w:trHeight w:val="300"/>
        </w:trPr>
        <w:tc>
          <w:tcPr>
            <w:tcW w:w="1560" w:type="dxa"/>
            <w:shd w:val="clear" w:color="auto" w:fill="auto"/>
            <w:vAlign w:val="center"/>
            <w:hideMark/>
          </w:tcPr>
          <w:p w14:paraId="5BB4840B" w14:textId="77777777" w:rsidR="00645D3D" w:rsidRPr="000620CC" w:rsidRDefault="00645D3D" w:rsidP="00645D3D">
            <w:pPr>
              <w:jc w:val="left"/>
              <w:rPr>
                <w:rFonts w:cs="Arial"/>
              </w:rPr>
            </w:pPr>
            <w:r w:rsidRPr="000620CC">
              <w:rPr>
                <w:rFonts w:cs="Arial"/>
              </w:rPr>
              <w:t>FNDE</w:t>
            </w:r>
          </w:p>
        </w:tc>
        <w:tc>
          <w:tcPr>
            <w:tcW w:w="7524" w:type="dxa"/>
            <w:shd w:val="clear" w:color="auto" w:fill="auto"/>
            <w:vAlign w:val="center"/>
            <w:hideMark/>
          </w:tcPr>
          <w:p w14:paraId="373A7615" w14:textId="77777777" w:rsidR="00645D3D" w:rsidRPr="000620CC" w:rsidRDefault="00645D3D" w:rsidP="00645D3D">
            <w:pPr>
              <w:jc w:val="left"/>
              <w:rPr>
                <w:rFonts w:cs="Arial"/>
              </w:rPr>
            </w:pPr>
            <w:r w:rsidRPr="000620CC">
              <w:rPr>
                <w:rFonts w:cs="Arial"/>
              </w:rPr>
              <w:t>Fundo Nacional de Desenvolvimento da Educação</w:t>
            </w:r>
          </w:p>
        </w:tc>
      </w:tr>
      <w:tr w:rsidR="00A02F41" w:rsidRPr="000620CC" w14:paraId="4FE73FFC" w14:textId="77777777" w:rsidTr="00DE00AC">
        <w:trPr>
          <w:trHeight w:val="300"/>
        </w:trPr>
        <w:tc>
          <w:tcPr>
            <w:tcW w:w="1560" w:type="dxa"/>
            <w:shd w:val="clear" w:color="auto" w:fill="auto"/>
            <w:vAlign w:val="center"/>
          </w:tcPr>
          <w:p w14:paraId="36D9A332" w14:textId="7EC2D301" w:rsidR="00A02F41" w:rsidRPr="000620CC" w:rsidRDefault="00A02F41" w:rsidP="00645D3D">
            <w:pPr>
              <w:jc w:val="left"/>
              <w:rPr>
                <w:rFonts w:cs="Arial"/>
              </w:rPr>
            </w:pPr>
            <w:r w:rsidRPr="000620CC">
              <w:rPr>
                <w:rFonts w:cs="Arial"/>
              </w:rPr>
              <w:t>FOB</w:t>
            </w:r>
          </w:p>
        </w:tc>
        <w:tc>
          <w:tcPr>
            <w:tcW w:w="7524" w:type="dxa"/>
            <w:shd w:val="clear" w:color="auto" w:fill="auto"/>
            <w:vAlign w:val="center"/>
          </w:tcPr>
          <w:p w14:paraId="565682DD" w14:textId="2DBC5DD2" w:rsidR="00A02F41" w:rsidRPr="000620CC" w:rsidRDefault="00A02F41" w:rsidP="00645D3D">
            <w:pPr>
              <w:jc w:val="left"/>
              <w:rPr>
                <w:rFonts w:cs="Arial"/>
              </w:rPr>
            </w:pPr>
            <w:r w:rsidRPr="000620CC">
              <w:rPr>
                <w:rFonts w:cs="Arial"/>
              </w:rPr>
              <w:t>Free On Boad</w:t>
            </w:r>
          </w:p>
        </w:tc>
      </w:tr>
      <w:tr w:rsidR="00645D3D" w:rsidRPr="000620CC" w14:paraId="7841377A" w14:textId="77777777" w:rsidTr="00DE00AC">
        <w:trPr>
          <w:trHeight w:val="300"/>
        </w:trPr>
        <w:tc>
          <w:tcPr>
            <w:tcW w:w="1560" w:type="dxa"/>
            <w:shd w:val="clear" w:color="auto" w:fill="auto"/>
            <w:vAlign w:val="center"/>
            <w:hideMark/>
          </w:tcPr>
          <w:p w14:paraId="6128E69E" w14:textId="77777777" w:rsidR="00645D3D" w:rsidRPr="000620CC" w:rsidRDefault="00645D3D" w:rsidP="00645D3D">
            <w:pPr>
              <w:jc w:val="left"/>
              <w:rPr>
                <w:rFonts w:cs="Arial"/>
              </w:rPr>
            </w:pPr>
            <w:r w:rsidRPr="000620CC">
              <w:rPr>
                <w:rFonts w:cs="Arial"/>
              </w:rPr>
              <w:t>Fomentar</w:t>
            </w:r>
          </w:p>
        </w:tc>
        <w:tc>
          <w:tcPr>
            <w:tcW w:w="7524" w:type="dxa"/>
            <w:shd w:val="clear" w:color="auto" w:fill="auto"/>
            <w:vAlign w:val="center"/>
            <w:hideMark/>
          </w:tcPr>
          <w:p w14:paraId="792414DC" w14:textId="77777777" w:rsidR="00645D3D" w:rsidRPr="000620CC" w:rsidRDefault="00645D3D" w:rsidP="00645D3D">
            <w:pPr>
              <w:jc w:val="left"/>
              <w:rPr>
                <w:rFonts w:cs="Arial"/>
              </w:rPr>
            </w:pPr>
            <w:r w:rsidRPr="000620CC">
              <w:rPr>
                <w:rFonts w:cs="Arial"/>
              </w:rPr>
              <w:t>Fundo de Participação e Fomento à Industrialização do Estado de Goiás</w:t>
            </w:r>
          </w:p>
        </w:tc>
      </w:tr>
      <w:tr w:rsidR="00DD5CCF" w:rsidRPr="000620CC" w14:paraId="569A457D" w14:textId="77777777" w:rsidTr="00DE00AC">
        <w:trPr>
          <w:trHeight w:val="300"/>
        </w:trPr>
        <w:tc>
          <w:tcPr>
            <w:tcW w:w="1560" w:type="dxa"/>
            <w:shd w:val="clear" w:color="auto" w:fill="auto"/>
            <w:vAlign w:val="center"/>
            <w:hideMark/>
          </w:tcPr>
          <w:p w14:paraId="78FA3163" w14:textId="77777777" w:rsidR="00645D3D" w:rsidRPr="000620CC" w:rsidRDefault="00645D3D" w:rsidP="00645D3D">
            <w:pPr>
              <w:jc w:val="left"/>
              <w:rPr>
                <w:rFonts w:cs="Arial"/>
              </w:rPr>
            </w:pPr>
            <w:r w:rsidRPr="000620CC">
              <w:rPr>
                <w:rFonts w:cs="Arial"/>
              </w:rPr>
              <w:t>FPE</w:t>
            </w:r>
          </w:p>
        </w:tc>
        <w:tc>
          <w:tcPr>
            <w:tcW w:w="7524" w:type="dxa"/>
            <w:shd w:val="clear" w:color="auto" w:fill="auto"/>
            <w:vAlign w:val="center"/>
            <w:hideMark/>
          </w:tcPr>
          <w:p w14:paraId="31459CB9" w14:textId="724A5D44" w:rsidR="00645D3D" w:rsidRPr="000620CC" w:rsidRDefault="00DD5CCF" w:rsidP="00645D3D">
            <w:pPr>
              <w:jc w:val="left"/>
              <w:rPr>
                <w:rFonts w:cs="Arial"/>
              </w:rPr>
            </w:pPr>
            <w:r w:rsidRPr="000620CC">
              <w:rPr>
                <w:rFonts w:cs="Arial"/>
              </w:rPr>
              <w:t>Fundo de Participação dos Estados e do Distrito Federal</w:t>
            </w:r>
          </w:p>
        </w:tc>
      </w:tr>
      <w:tr w:rsidR="00645D3D" w:rsidRPr="000620CC" w14:paraId="2AF8C859" w14:textId="77777777" w:rsidTr="00DE00AC">
        <w:trPr>
          <w:trHeight w:val="300"/>
        </w:trPr>
        <w:tc>
          <w:tcPr>
            <w:tcW w:w="1560" w:type="dxa"/>
            <w:shd w:val="clear" w:color="auto" w:fill="auto"/>
            <w:vAlign w:val="center"/>
            <w:hideMark/>
          </w:tcPr>
          <w:p w14:paraId="7768B5E8" w14:textId="77777777" w:rsidR="00645D3D" w:rsidRPr="000620CC" w:rsidRDefault="00645D3D" w:rsidP="00645D3D">
            <w:pPr>
              <w:jc w:val="left"/>
              <w:rPr>
                <w:rFonts w:cs="Arial"/>
              </w:rPr>
            </w:pPr>
            <w:r w:rsidRPr="000620CC">
              <w:rPr>
                <w:rFonts w:cs="Arial"/>
              </w:rPr>
              <w:t>Funac</w:t>
            </w:r>
          </w:p>
        </w:tc>
        <w:tc>
          <w:tcPr>
            <w:tcW w:w="7524" w:type="dxa"/>
            <w:shd w:val="clear" w:color="auto" w:fill="auto"/>
            <w:vAlign w:val="center"/>
            <w:hideMark/>
          </w:tcPr>
          <w:p w14:paraId="07177BE6" w14:textId="1C3476CD" w:rsidR="00645D3D" w:rsidRPr="000620CC" w:rsidRDefault="00645D3D" w:rsidP="00645D3D">
            <w:pPr>
              <w:jc w:val="left"/>
              <w:rPr>
                <w:rFonts w:cs="Arial"/>
              </w:rPr>
            </w:pPr>
            <w:r w:rsidRPr="000620CC">
              <w:rPr>
                <w:rFonts w:cs="Arial"/>
              </w:rPr>
              <w:t>Fundo de Aporte à Celg D</w:t>
            </w:r>
          </w:p>
        </w:tc>
      </w:tr>
      <w:tr w:rsidR="00645D3D" w:rsidRPr="000620CC" w14:paraId="219DCDE8" w14:textId="77777777" w:rsidTr="00DE00AC">
        <w:trPr>
          <w:trHeight w:val="510"/>
        </w:trPr>
        <w:tc>
          <w:tcPr>
            <w:tcW w:w="1560" w:type="dxa"/>
            <w:shd w:val="clear" w:color="auto" w:fill="auto"/>
            <w:vAlign w:val="center"/>
            <w:hideMark/>
          </w:tcPr>
          <w:p w14:paraId="252AD51A" w14:textId="77777777" w:rsidR="00645D3D" w:rsidRPr="000620CC" w:rsidRDefault="00645D3D" w:rsidP="00645D3D">
            <w:pPr>
              <w:jc w:val="left"/>
              <w:rPr>
                <w:rFonts w:cs="Arial"/>
              </w:rPr>
            </w:pPr>
            <w:r w:rsidRPr="000620CC">
              <w:rPr>
                <w:rFonts w:cs="Arial"/>
              </w:rPr>
              <w:t>Fundeb</w:t>
            </w:r>
          </w:p>
        </w:tc>
        <w:tc>
          <w:tcPr>
            <w:tcW w:w="7524" w:type="dxa"/>
            <w:shd w:val="clear" w:color="auto" w:fill="auto"/>
            <w:vAlign w:val="center"/>
            <w:hideMark/>
          </w:tcPr>
          <w:p w14:paraId="773E06F5" w14:textId="77777777" w:rsidR="00645D3D" w:rsidRPr="000620CC" w:rsidRDefault="00645D3D" w:rsidP="00645D3D">
            <w:pPr>
              <w:jc w:val="left"/>
              <w:rPr>
                <w:rFonts w:cs="Arial"/>
              </w:rPr>
            </w:pPr>
            <w:r w:rsidRPr="000620CC">
              <w:rPr>
                <w:rFonts w:cs="Arial"/>
              </w:rPr>
              <w:t>Fundo de Manutenção e Desenvolvimento da Educação Básica e de Valorização dos Profissionais da Educação</w:t>
            </w:r>
          </w:p>
        </w:tc>
      </w:tr>
      <w:tr w:rsidR="00645D3D" w:rsidRPr="000620CC" w14:paraId="3E4DAE93" w14:textId="77777777" w:rsidTr="00DE00AC">
        <w:trPr>
          <w:trHeight w:val="510"/>
        </w:trPr>
        <w:tc>
          <w:tcPr>
            <w:tcW w:w="1560" w:type="dxa"/>
            <w:shd w:val="clear" w:color="auto" w:fill="auto"/>
            <w:vAlign w:val="center"/>
          </w:tcPr>
          <w:p w14:paraId="3DF0FC26" w14:textId="77777777" w:rsidR="00645D3D" w:rsidRPr="000620CC" w:rsidRDefault="00645D3D" w:rsidP="00645D3D">
            <w:pPr>
              <w:jc w:val="left"/>
              <w:rPr>
                <w:rFonts w:cs="Arial"/>
              </w:rPr>
            </w:pPr>
            <w:r w:rsidRPr="000620CC">
              <w:rPr>
                <w:rFonts w:cs="Arial"/>
              </w:rPr>
              <w:t>Fundef</w:t>
            </w:r>
          </w:p>
        </w:tc>
        <w:tc>
          <w:tcPr>
            <w:tcW w:w="7524" w:type="dxa"/>
            <w:shd w:val="clear" w:color="auto" w:fill="auto"/>
            <w:vAlign w:val="center"/>
          </w:tcPr>
          <w:p w14:paraId="6106007D" w14:textId="77777777" w:rsidR="00645D3D" w:rsidRPr="000620CC" w:rsidRDefault="00645D3D" w:rsidP="00645D3D">
            <w:pPr>
              <w:jc w:val="left"/>
              <w:rPr>
                <w:rFonts w:cs="Arial"/>
              </w:rPr>
            </w:pPr>
            <w:r w:rsidRPr="000620CC">
              <w:rPr>
                <w:rFonts w:cs="Arial"/>
              </w:rPr>
              <w:t>Fundo de Manutenção e Desenvolvimento do Ensino Fundamental e de Valorização do Magistério</w:t>
            </w:r>
          </w:p>
        </w:tc>
      </w:tr>
      <w:tr w:rsidR="001179FC" w:rsidRPr="000620CC" w14:paraId="54B17D9E" w14:textId="77777777" w:rsidTr="001179FC">
        <w:trPr>
          <w:trHeight w:val="353"/>
        </w:trPr>
        <w:tc>
          <w:tcPr>
            <w:tcW w:w="1560" w:type="dxa"/>
            <w:shd w:val="clear" w:color="auto" w:fill="auto"/>
            <w:vAlign w:val="center"/>
          </w:tcPr>
          <w:p w14:paraId="78619121" w14:textId="3FB8BD29" w:rsidR="001179FC" w:rsidRPr="000620CC" w:rsidRDefault="001179FC" w:rsidP="00645D3D">
            <w:pPr>
              <w:jc w:val="left"/>
              <w:rPr>
                <w:rFonts w:cs="Arial"/>
              </w:rPr>
            </w:pPr>
            <w:r w:rsidRPr="000620CC">
              <w:rPr>
                <w:rFonts w:cs="Arial"/>
              </w:rPr>
              <w:t>Fundeinfra</w:t>
            </w:r>
          </w:p>
        </w:tc>
        <w:tc>
          <w:tcPr>
            <w:tcW w:w="7524" w:type="dxa"/>
            <w:shd w:val="clear" w:color="auto" w:fill="auto"/>
            <w:vAlign w:val="center"/>
          </w:tcPr>
          <w:p w14:paraId="5209954D" w14:textId="21115448" w:rsidR="001179FC" w:rsidRPr="000620CC" w:rsidRDefault="001179FC" w:rsidP="001179FC">
            <w:pPr>
              <w:jc w:val="left"/>
              <w:rPr>
                <w:rFonts w:cs="Arial"/>
              </w:rPr>
            </w:pPr>
            <w:r w:rsidRPr="000620CC">
              <w:rPr>
                <w:rFonts w:cs="Arial"/>
              </w:rPr>
              <w:t>Fundo Estadual de Infraestrutura</w:t>
            </w:r>
          </w:p>
        </w:tc>
      </w:tr>
      <w:tr w:rsidR="00645D3D" w:rsidRPr="000620CC" w14:paraId="08CD0A64" w14:textId="77777777" w:rsidTr="00DE00AC">
        <w:trPr>
          <w:trHeight w:val="300"/>
        </w:trPr>
        <w:tc>
          <w:tcPr>
            <w:tcW w:w="1560" w:type="dxa"/>
            <w:shd w:val="clear" w:color="auto" w:fill="auto"/>
            <w:vAlign w:val="center"/>
            <w:hideMark/>
          </w:tcPr>
          <w:p w14:paraId="452F1E36" w14:textId="77777777" w:rsidR="00645D3D" w:rsidRPr="000620CC" w:rsidRDefault="00645D3D" w:rsidP="00645D3D">
            <w:pPr>
              <w:jc w:val="left"/>
              <w:rPr>
                <w:rFonts w:cs="Arial"/>
              </w:rPr>
            </w:pPr>
            <w:r w:rsidRPr="000620CC">
              <w:rPr>
                <w:rFonts w:cs="Arial"/>
              </w:rPr>
              <w:t>Fundepeg</w:t>
            </w:r>
          </w:p>
        </w:tc>
        <w:tc>
          <w:tcPr>
            <w:tcW w:w="7524" w:type="dxa"/>
            <w:shd w:val="clear" w:color="auto" w:fill="auto"/>
            <w:vAlign w:val="center"/>
            <w:hideMark/>
          </w:tcPr>
          <w:p w14:paraId="3BA6CB2B" w14:textId="76FA2F14" w:rsidR="00645D3D" w:rsidRPr="000620CC" w:rsidRDefault="00645D3D" w:rsidP="00645D3D">
            <w:pPr>
              <w:jc w:val="left"/>
              <w:rPr>
                <w:rFonts w:cs="Arial"/>
              </w:rPr>
            </w:pPr>
            <w:r w:rsidRPr="000620CC">
              <w:rPr>
                <w:rFonts w:cs="Arial"/>
              </w:rPr>
              <w:t>Fundo de Manut</w:t>
            </w:r>
            <w:r w:rsidR="001A2CC7" w:rsidRPr="000620CC">
              <w:rPr>
                <w:rFonts w:cs="Arial"/>
              </w:rPr>
              <w:t>.</w:t>
            </w:r>
            <w:r w:rsidRPr="000620CC">
              <w:rPr>
                <w:rFonts w:cs="Arial"/>
              </w:rPr>
              <w:t xml:space="preserve"> e Reaparelhamento da Defensoria Pública do Estado de Goiás</w:t>
            </w:r>
          </w:p>
        </w:tc>
      </w:tr>
      <w:tr w:rsidR="00645D3D" w:rsidRPr="000620CC" w14:paraId="56504FB3" w14:textId="77777777" w:rsidTr="00DE00AC">
        <w:trPr>
          <w:trHeight w:val="300"/>
        </w:trPr>
        <w:tc>
          <w:tcPr>
            <w:tcW w:w="1560" w:type="dxa"/>
            <w:shd w:val="clear" w:color="auto" w:fill="auto"/>
            <w:vAlign w:val="center"/>
            <w:hideMark/>
          </w:tcPr>
          <w:p w14:paraId="3D1442AB" w14:textId="77777777" w:rsidR="00645D3D" w:rsidRPr="000620CC" w:rsidRDefault="00645D3D" w:rsidP="00645D3D">
            <w:pPr>
              <w:jc w:val="left"/>
              <w:rPr>
                <w:rFonts w:cs="Arial"/>
              </w:rPr>
            </w:pPr>
            <w:r w:rsidRPr="000620CC">
              <w:rPr>
                <w:rFonts w:cs="Arial"/>
              </w:rPr>
              <w:t>Fundesp-PJ</w:t>
            </w:r>
          </w:p>
        </w:tc>
        <w:tc>
          <w:tcPr>
            <w:tcW w:w="7524" w:type="dxa"/>
            <w:shd w:val="clear" w:color="auto" w:fill="auto"/>
            <w:vAlign w:val="center"/>
            <w:hideMark/>
          </w:tcPr>
          <w:p w14:paraId="4D4E77A2" w14:textId="77777777" w:rsidR="00645D3D" w:rsidRPr="000620CC" w:rsidRDefault="00645D3D" w:rsidP="00645D3D">
            <w:pPr>
              <w:jc w:val="left"/>
              <w:rPr>
                <w:rFonts w:cs="Arial"/>
              </w:rPr>
            </w:pPr>
            <w:r w:rsidRPr="000620CC">
              <w:rPr>
                <w:rFonts w:cs="Arial"/>
              </w:rPr>
              <w:t>Fundo Especial de Reaparelhamento e Modernização do Poder Judiciário</w:t>
            </w:r>
          </w:p>
        </w:tc>
      </w:tr>
      <w:tr w:rsidR="00645D3D" w:rsidRPr="000620CC" w14:paraId="1C922D9E" w14:textId="77777777" w:rsidTr="00DE00AC">
        <w:trPr>
          <w:trHeight w:val="300"/>
        </w:trPr>
        <w:tc>
          <w:tcPr>
            <w:tcW w:w="1560" w:type="dxa"/>
            <w:shd w:val="clear" w:color="auto" w:fill="auto"/>
            <w:vAlign w:val="center"/>
            <w:hideMark/>
          </w:tcPr>
          <w:p w14:paraId="620E7BAA" w14:textId="77777777" w:rsidR="00645D3D" w:rsidRPr="000620CC" w:rsidRDefault="00645D3D" w:rsidP="00645D3D">
            <w:pPr>
              <w:jc w:val="left"/>
              <w:rPr>
                <w:rFonts w:cs="Arial"/>
              </w:rPr>
            </w:pPr>
            <w:r w:rsidRPr="000620CC">
              <w:rPr>
                <w:rFonts w:cs="Arial"/>
              </w:rPr>
              <w:t>Fundo Cultural</w:t>
            </w:r>
          </w:p>
        </w:tc>
        <w:tc>
          <w:tcPr>
            <w:tcW w:w="7524" w:type="dxa"/>
            <w:shd w:val="clear" w:color="auto" w:fill="auto"/>
            <w:vAlign w:val="center"/>
            <w:hideMark/>
          </w:tcPr>
          <w:p w14:paraId="60AB0957" w14:textId="77777777" w:rsidR="00645D3D" w:rsidRPr="000620CC" w:rsidRDefault="00645D3D" w:rsidP="00645D3D">
            <w:pPr>
              <w:jc w:val="left"/>
              <w:rPr>
                <w:rFonts w:cs="Arial"/>
              </w:rPr>
            </w:pPr>
            <w:r w:rsidRPr="000620CC">
              <w:rPr>
                <w:rFonts w:cs="Arial"/>
              </w:rPr>
              <w:t>Fundo de Arte e Cultura do Estado de Goiás</w:t>
            </w:r>
          </w:p>
        </w:tc>
      </w:tr>
      <w:tr w:rsidR="00645D3D" w:rsidRPr="000620CC" w14:paraId="2628B3D2" w14:textId="77777777" w:rsidTr="00DE00AC">
        <w:trPr>
          <w:trHeight w:val="510"/>
        </w:trPr>
        <w:tc>
          <w:tcPr>
            <w:tcW w:w="1560" w:type="dxa"/>
            <w:shd w:val="clear" w:color="auto" w:fill="auto"/>
            <w:vAlign w:val="center"/>
            <w:hideMark/>
          </w:tcPr>
          <w:p w14:paraId="2EECC62A" w14:textId="77777777" w:rsidR="00645D3D" w:rsidRPr="000620CC" w:rsidRDefault="00645D3D" w:rsidP="00645D3D">
            <w:pPr>
              <w:jc w:val="left"/>
              <w:rPr>
                <w:rFonts w:cs="Arial"/>
              </w:rPr>
            </w:pPr>
            <w:r w:rsidRPr="000620CC">
              <w:rPr>
                <w:rFonts w:cs="Arial"/>
              </w:rPr>
              <w:t>Funebom</w:t>
            </w:r>
          </w:p>
        </w:tc>
        <w:tc>
          <w:tcPr>
            <w:tcW w:w="7524" w:type="dxa"/>
            <w:shd w:val="clear" w:color="auto" w:fill="auto"/>
            <w:vAlign w:val="center"/>
            <w:hideMark/>
          </w:tcPr>
          <w:p w14:paraId="4C7B02D6" w14:textId="59F34803" w:rsidR="00645D3D" w:rsidRPr="000620CC" w:rsidRDefault="00645D3D" w:rsidP="00645D3D">
            <w:pPr>
              <w:jc w:val="left"/>
              <w:rPr>
                <w:rFonts w:cs="Arial"/>
              </w:rPr>
            </w:pPr>
            <w:r w:rsidRPr="000620CC">
              <w:rPr>
                <w:rFonts w:cs="Arial"/>
              </w:rPr>
              <w:t>Fundo Especial de Reaparelhamento e Modernização do Corpo de Bombeiros Militar do Estado de Goiás</w:t>
            </w:r>
          </w:p>
        </w:tc>
      </w:tr>
      <w:tr w:rsidR="00645D3D" w:rsidRPr="000620CC" w14:paraId="3EC7660A" w14:textId="77777777" w:rsidTr="00DE00AC">
        <w:trPr>
          <w:trHeight w:val="300"/>
        </w:trPr>
        <w:tc>
          <w:tcPr>
            <w:tcW w:w="1560" w:type="dxa"/>
            <w:shd w:val="clear" w:color="auto" w:fill="auto"/>
            <w:vAlign w:val="center"/>
            <w:hideMark/>
          </w:tcPr>
          <w:p w14:paraId="02873E3C" w14:textId="77777777" w:rsidR="00645D3D" w:rsidRPr="000620CC" w:rsidRDefault="00645D3D" w:rsidP="00645D3D">
            <w:pPr>
              <w:jc w:val="left"/>
              <w:rPr>
                <w:rFonts w:cs="Arial"/>
              </w:rPr>
            </w:pPr>
            <w:r w:rsidRPr="000620CC">
              <w:rPr>
                <w:rFonts w:cs="Arial"/>
              </w:rPr>
              <w:t>Funesp</w:t>
            </w:r>
          </w:p>
        </w:tc>
        <w:tc>
          <w:tcPr>
            <w:tcW w:w="7524" w:type="dxa"/>
            <w:shd w:val="clear" w:color="auto" w:fill="auto"/>
            <w:vAlign w:val="center"/>
            <w:hideMark/>
          </w:tcPr>
          <w:p w14:paraId="196B2717" w14:textId="77777777" w:rsidR="00645D3D" w:rsidRPr="000620CC" w:rsidRDefault="00645D3D" w:rsidP="00645D3D">
            <w:pPr>
              <w:jc w:val="left"/>
              <w:rPr>
                <w:rFonts w:cs="Arial"/>
              </w:rPr>
            </w:pPr>
            <w:r w:rsidRPr="000620CC">
              <w:rPr>
                <w:rFonts w:cs="Arial"/>
              </w:rPr>
              <w:t>Fundo Estadual de Segurança Pública</w:t>
            </w:r>
          </w:p>
        </w:tc>
      </w:tr>
      <w:tr w:rsidR="00645D3D" w:rsidRPr="000620CC" w14:paraId="4694DD94" w14:textId="77777777" w:rsidTr="00DE00AC">
        <w:trPr>
          <w:trHeight w:val="300"/>
        </w:trPr>
        <w:tc>
          <w:tcPr>
            <w:tcW w:w="1560" w:type="dxa"/>
            <w:shd w:val="clear" w:color="auto" w:fill="auto"/>
            <w:vAlign w:val="center"/>
          </w:tcPr>
          <w:p w14:paraId="02A25F75" w14:textId="77777777" w:rsidR="00645D3D" w:rsidRPr="000620CC" w:rsidRDefault="00645D3D" w:rsidP="00645D3D">
            <w:pPr>
              <w:jc w:val="left"/>
              <w:rPr>
                <w:rFonts w:cs="Arial"/>
              </w:rPr>
            </w:pPr>
            <w:r w:rsidRPr="000620CC">
              <w:rPr>
                <w:rFonts w:cs="Arial"/>
              </w:rPr>
              <w:t>Funev</w:t>
            </w:r>
          </w:p>
        </w:tc>
        <w:tc>
          <w:tcPr>
            <w:tcW w:w="7524" w:type="dxa"/>
            <w:shd w:val="clear" w:color="auto" w:fill="auto"/>
            <w:vAlign w:val="center"/>
          </w:tcPr>
          <w:p w14:paraId="2A34CC78" w14:textId="77777777" w:rsidR="00645D3D" w:rsidRPr="000620CC" w:rsidRDefault="00645D3D" w:rsidP="00645D3D">
            <w:pPr>
              <w:jc w:val="left"/>
              <w:rPr>
                <w:rFonts w:cs="Arial"/>
              </w:rPr>
            </w:pPr>
            <w:r w:rsidRPr="000620CC">
              <w:rPr>
                <w:rFonts w:cs="Arial"/>
              </w:rPr>
              <w:t>Fundação Universitária Evangélica</w:t>
            </w:r>
          </w:p>
        </w:tc>
      </w:tr>
      <w:tr w:rsidR="00211120" w:rsidRPr="000620CC" w14:paraId="76D926A6" w14:textId="77777777" w:rsidTr="00DE00AC">
        <w:trPr>
          <w:trHeight w:val="366"/>
        </w:trPr>
        <w:tc>
          <w:tcPr>
            <w:tcW w:w="1560" w:type="dxa"/>
            <w:shd w:val="clear" w:color="auto" w:fill="auto"/>
            <w:vAlign w:val="center"/>
          </w:tcPr>
          <w:p w14:paraId="63B4E1C5" w14:textId="2CE38AE0" w:rsidR="00211120" w:rsidRPr="000620CC" w:rsidRDefault="00211120" w:rsidP="00645D3D">
            <w:pPr>
              <w:jc w:val="left"/>
              <w:rPr>
                <w:rFonts w:cs="Arial"/>
              </w:rPr>
            </w:pPr>
            <w:r w:rsidRPr="000620CC">
              <w:rPr>
                <w:rFonts w:cs="Arial"/>
              </w:rPr>
              <w:t>Goiasprev</w:t>
            </w:r>
          </w:p>
        </w:tc>
        <w:tc>
          <w:tcPr>
            <w:tcW w:w="7524" w:type="dxa"/>
            <w:shd w:val="clear" w:color="auto" w:fill="auto"/>
            <w:vAlign w:val="center"/>
          </w:tcPr>
          <w:p w14:paraId="2D4623D3" w14:textId="17137BEF" w:rsidR="00211120" w:rsidRPr="000620CC" w:rsidRDefault="00211120" w:rsidP="00645D3D">
            <w:pPr>
              <w:jc w:val="left"/>
              <w:rPr>
                <w:rFonts w:cs="Arial"/>
              </w:rPr>
            </w:pPr>
            <w:r w:rsidRPr="000620CC">
              <w:rPr>
                <w:rFonts w:cs="Arial"/>
              </w:rPr>
              <w:t>Goiás Previdência</w:t>
            </w:r>
          </w:p>
        </w:tc>
      </w:tr>
      <w:tr w:rsidR="00DA5713" w:rsidRPr="000620CC" w14:paraId="77949F73" w14:textId="77777777" w:rsidTr="00DE00AC">
        <w:trPr>
          <w:trHeight w:val="366"/>
        </w:trPr>
        <w:tc>
          <w:tcPr>
            <w:tcW w:w="1560" w:type="dxa"/>
            <w:shd w:val="clear" w:color="auto" w:fill="auto"/>
            <w:vAlign w:val="center"/>
          </w:tcPr>
          <w:p w14:paraId="777128F2" w14:textId="40AFF91D" w:rsidR="00DA5713" w:rsidRPr="000620CC" w:rsidRDefault="00DA5713" w:rsidP="00645D3D">
            <w:pPr>
              <w:jc w:val="left"/>
              <w:rPr>
                <w:rFonts w:cs="Arial"/>
              </w:rPr>
            </w:pPr>
            <w:r w:rsidRPr="000620CC">
              <w:rPr>
                <w:rFonts w:cs="Arial"/>
              </w:rPr>
              <w:t>GoiásTelecom</w:t>
            </w:r>
          </w:p>
        </w:tc>
        <w:tc>
          <w:tcPr>
            <w:tcW w:w="7524" w:type="dxa"/>
            <w:shd w:val="clear" w:color="auto" w:fill="auto"/>
            <w:vAlign w:val="center"/>
          </w:tcPr>
          <w:p w14:paraId="4B3CD3C2" w14:textId="4B4AE4BF" w:rsidR="00DA5713" w:rsidRPr="000620CC" w:rsidRDefault="00DA5713" w:rsidP="00645D3D">
            <w:pPr>
              <w:jc w:val="left"/>
              <w:rPr>
                <w:rFonts w:cs="Arial"/>
              </w:rPr>
            </w:pPr>
            <w:r w:rsidRPr="000620CC">
              <w:rPr>
                <w:rFonts w:cs="Arial"/>
              </w:rPr>
              <w:t>Goiás Telecomunicações S.A</w:t>
            </w:r>
          </w:p>
        </w:tc>
      </w:tr>
      <w:tr w:rsidR="00645D3D" w:rsidRPr="000620CC" w14:paraId="1AA3A179" w14:textId="77777777" w:rsidTr="00DE00AC">
        <w:trPr>
          <w:trHeight w:val="366"/>
        </w:trPr>
        <w:tc>
          <w:tcPr>
            <w:tcW w:w="1560" w:type="dxa"/>
            <w:shd w:val="clear" w:color="auto" w:fill="auto"/>
            <w:vAlign w:val="center"/>
          </w:tcPr>
          <w:p w14:paraId="58055A45" w14:textId="77777777" w:rsidR="00645D3D" w:rsidRPr="000620CC" w:rsidRDefault="00645D3D" w:rsidP="00645D3D">
            <w:pPr>
              <w:jc w:val="left"/>
              <w:rPr>
                <w:rFonts w:cs="Arial"/>
              </w:rPr>
            </w:pPr>
            <w:r w:rsidRPr="000620CC">
              <w:rPr>
                <w:rFonts w:cs="Arial"/>
              </w:rPr>
              <w:t>Goinfra</w:t>
            </w:r>
          </w:p>
        </w:tc>
        <w:tc>
          <w:tcPr>
            <w:tcW w:w="7524" w:type="dxa"/>
            <w:shd w:val="clear" w:color="auto" w:fill="auto"/>
            <w:vAlign w:val="center"/>
          </w:tcPr>
          <w:p w14:paraId="6064EB4C" w14:textId="77777777" w:rsidR="00645D3D" w:rsidRPr="000620CC" w:rsidRDefault="00645D3D" w:rsidP="00645D3D">
            <w:pPr>
              <w:jc w:val="left"/>
              <w:rPr>
                <w:rFonts w:cs="Arial"/>
              </w:rPr>
            </w:pPr>
            <w:r w:rsidRPr="000620CC">
              <w:rPr>
                <w:rFonts w:cs="Arial"/>
              </w:rPr>
              <w:t>Agência Goiana de Infraestrutura e Transportes</w:t>
            </w:r>
          </w:p>
        </w:tc>
      </w:tr>
      <w:tr w:rsidR="00645D3D" w:rsidRPr="000620CC" w14:paraId="615B1F6E" w14:textId="77777777" w:rsidTr="00DE00AC">
        <w:trPr>
          <w:trHeight w:val="300"/>
        </w:trPr>
        <w:tc>
          <w:tcPr>
            <w:tcW w:w="1560" w:type="dxa"/>
            <w:shd w:val="clear" w:color="auto" w:fill="auto"/>
            <w:vAlign w:val="center"/>
            <w:hideMark/>
          </w:tcPr>
          <w:p w14:paraId="127650CA" w14:textId="77777777" w:rsidR="00645D3D" w:rsidRPr="000620CC" w:rsidRDefault="00645D3D" w:rsidP="00645D3D">
            <w:pPr>
              <w:jc w:val="left"/>
              <w:rPr>
                <w:rFonts w:cs="Arial"/>
              </w:rPr>
            </w:pPr>
            <w:r w:rsidRPr="000620CC">
              <w:rPr>
                <w:rFonts w:cs="Arial"/>
              </w:rPr>
              <w:t>GSF</w:t>
            </w:r>
          </w:p>
        </w:tc>
        <w:tc>
          <w:tcPr>
            <w:tcW w:w="7524" w:type="dxa"/>
            <w:shd w:val="clear" w:color="auto" w:fill="auto"/>
            <w:vAlign w:val="center"/>
            <w:hideMark/>
          </w:tcPr>
          <w:p w14:paraId="600600D7" w14:textId="77777777" w:rsidR="00645D3D" w:rsidRPr="000620CC" w:rsidRDefault="00645D3D" w:rsidP="00645D3D">
            <w:pPr>
              <w:jc w:val="left"/>
              <w:rPr>
                <w:rFonts w:cs="Arial"/>
              </w:rPr>
            </w:pPr>
            <w:r w:rsidRPr="000620CC">
              <w:rPr>
                <w:rFonts w:cs="Arial"/>
              </w:rPr>
              <w:t>Gabinete do Secretário da Fazenda</w:t>
            </w:r>
          </w:p>
        </w:tc>
      </w:tr>
      <w:tr w:rsidR="004063F8" w:rsidRPr="000620CC" w14:paraId="2DF5110D" w14:textId="77777777" w:rsidTr="00DE00AC">
        <w:trPr>
          <w:trHeight w:val="300"/>
        </w:trPr>
        <w:tc>
          <w:tcPr>
            <w:tcW w:w="1560" w:type="dxa"/>
            <w:shd w:val="clear" w:color="auto" w:fill="auto"/>
            <w:vAlign w:val="center"/>
          </w:tcPr>
          <w:p w14:paraId="71E858BB" w14:textId="26F4B49E" w:rsidR="004063F8" w:rsidRPr="000620CC" w:rsidRDefault="004063F8" w:rsidP="00645D3D">
            <w:pPr>
              <w:jc w:val="left"/>
              <w:rPr>
                <w:rFonts w:cs="Arial"/>
              </w:rPr>
            </w:pPr>
            <w:r w:rsidRPr="000620CC">
              <w:rPr>
                <w:rFonts w:cs="Arial"/>
              </w:rPr>
              <w:t>HCN</w:t>
            </w:r>
          </w:p>
        </w:tc>
        <w:tc>
          <w:tcPr>
            <w:tcW w:w="7524" w:type="dxa"/>
            <w:shd w:val="clear" w:color="auto" w:fill="auto"/>
            <w:vAlign w:val="center"/>
          </w:tcPr>
          <w:p w14:paraId="79A0EEC6" w14:textId="1992565D" w:rsidR="004063F8" w:rsidRPr="000620CC" w:rsidRDefault="007E52A3" w:rsidP="00645D3D">
            <w:pPr>
              <w:jc w:val="left"/>
              <w:rPr>
                <w:rFonts w:cs="Arial"/>
              </w:rPr>
            </w:pPr>
            <w:r w:rsidRPr="000620CC">
              <w:rPr>
                <w:rFonts w:cs="Arial"/>
              </w:rPr>
              <w:t>Hospital Estadual do Centro-Norte Goiano</w:t>
            </w:r>
          </w:p>
        </w:tc>
      </w:tr>
      <w:tr w:rsidR="00645D3D" w:rsidRPr="000620CC" w14:paraId="571809E6" w14:textId="77777777" w:rsidTr="00DE00AC">
        <w:trPr>
          <w:trHeight w:val="300"/>
        </w:trPr>
        <w:tc>
          <w:tcPr>
            <w:tcW w:w="1560" w:type="dxa"/>
            <w:shd w:val="clear" w:color="auto" w:fill="auto"/>
            <w:vAlign w:val="center"/>
            <w:hideMark/>
          </w:tcPr>
          <w:p w14:paraId="7FD1AB4E" w14:textId="77777777" w:rsidR="00645D3D" w:rsidRPr="000620CC" w:rsidRDefault="00645D3D" w:rsidP="00645D3D">
            <w:pPr>
              <w:jc w:val="left"/>
              <w:rPr>
                <w:rFonts w:cs="Arial"/>
              </w:rPr>
            </w:pPr>
            <w:r w:rsidRPr="000620CC">
              <w:rPr>
                <w:rFonts w:cs="Arial"/>
              </w:rPr>
              <w:t>HDS</w:t>
            </w:r>
          </w:p>
        </w:tc>
        <w:tc>
          <w:tcPr>
            <w:tcW w:w="7524" w:type="dxa"/>
            <w:shd w:val="clear" w:color="auto" w:fill="auto"/>
            <w:vAlign w:val="center"/>
            <w:hideMark/>
          </w:tcPr>
          <w:p w14:paraId="29A5C234" w14:textId="77777777" w:rsidR="00645D3D" w:rsidRPr="000620CC" w:rsidRDefault="00645D3D" w:rsidP="00645D3D">
            <w:pPr>
              <w:jc w:val="left"/>
              <w:rPr>
                <w:rFonts w:cs="Arial"/>
              </w:rPr>
            </w:pPr>
            <w:r w:rsidRPr="000620CC">
              <w:rPr>
                <w:rFonts w:cs="Arial"/>
              </w:rPr>
              <w:t xml:space="preserve">Hospital Estadual de Dermatologia Sanitária e Reabilitação Santa Marta </w:t>
            </w:r>
          </w:p>
        </w:tc>
      </w:tr>
      <w:tr w:rsidR="004063F8" w:rsidRPr="000620CC" w14:paraId="768E62DC" w14:textId="77777777" w:rsidTr="00DE00AC">
        <w:trPr>
          <w:trHeight w:val="300"/>
        </w:trPr>
        <w:tc>
          <w:tcPr>
            <w:tcW w:w="1560" w:type="dxa"/>
            <w:shd w:val="clear" w:color="auto" w:fill="auto"/>
            <w:vAlign w:val="center"/>
          </w:tcPr>
          <w:p w14:paraId="0514825A" w14:textId="6562CCE6" w:rsidR="004063F8" w:rsidRPr="000620CC" w:rsidRDefault="004063F8" w:rsidP="00645D3D">
            <w:pPr>
              <w:jc w:val="left"/>
              <w:rPr>
                <w:rFonts w:cs="Arial"/>
              </w:rPr>
            </w:pPr>
            <w:r w:rsidRPr="000620CC">
              <w:rPr>
                <w:rFonts w:cs="Arial"/>
              </w:rPr>
              <w:t>Hecad</w:t>
            </w:r>
          </w:p>
        </w:tc>
        <w:tc>
          <w:tcPr>
            <w:tcW w:w="7524" w:type="dxa"/>
            <w:shd w:val="clear" w:color="auto" w:fill="auto"/>
            <w:vAlign w:val="center"/>
          </w:tcPr>
          <w:p w14:paraId="7ED96F43" w14:textId="0F340016" w:rsidR="004063F8" w:rsidRPr="000620CC" w:rsidRDefault="004063F8" w:rsidP="00645D3D">
            <w:pPr>
              <w:jc w:val="left"/>
              <w:rPr>
                <w:rFonts w:cs="Arial"/>
              </w:rPr>
            </w:pPr>
            <w:r w:rsidRPr="000620CC">
              <w:rPr>
                <w:rFonts w:cs="Arial"/>
              </w:rPr>
              <w:t>Hospital Estadual da Criança e do Adolescente</w:t>
            </w:r>
          </w:p>
        </w:tc>
      </w:tr>
      <w:tr w:rsidR="007E52A3" w:rsidRPr="000620CC" w14:paraId="75B60F41" w14:textId="77777777" w:rsidTr="00DE00AC">
        <w:trPr>
          <w:trHeight w:val="300"/>
        </w:trPr>
        <w:tc>
          <w:tcPr>
            <w:tcW w:w="1560" w:type="dxa"/>
            <w:shd w:val="clear" w:color="auto" w:fill="auto"/>
            <w:vAlign w:val="center"/>
          </w:tcPr>
          <w:p w14:paraId="434B2E2B" w14:textId="5C0C27DD" w:rsidR="007E52A3" w:rsidRPr="000620CC" w:rsidRDefault="007E52A3" w:rsidP="00645D3D">
            <w:pPr>
              <w:jc w:val="left"/>
              <w:rPr>
                <w:rFonts w:cs="Arial"/>
              </w:rPr>
            </w:pPr>
            <w:r w:rsidRPr="000620CC">
              <w:rPr>
                <w:rFonts w:cs="Arial"/>
              </w:rPr>
              <w:t>Hetrin</w:t>
            </w:r>
          </w:p>
        </w:tc>
        <w:tc>
          <w:tcPr>
            <w:tcW w:w="7524" w:type="dxa"/>
            <w:shd w:val="clear" w:color="auto" w:fill="auto"/>
            <w:vAlign w:val="center"/>
          </w:tcPr>
          <w:p w14:paraId="3636F732" w14:textId="4B426D0F" w:rsidR="007E52A3" w:rsidRPr="000620CC" w:rsidRDefault="007E52A3" w:rsidP="00645D3D">
            <w:pPr>
              <w:jc w:val="left"/>
              <w:rPr>
                <w:rFonts w:cs="Arial"/>
              </w:rPr>
            </w:pPr>
            <w:r w:rsidRPr="000620CC">
              <w:rPr>
                <w:rFonts w:cs="Arial"/>
              </w:rPr>
              <w:t>Hospital Estadual de Trindade</w:t>
            </w:r>
          </w:p>
        </w:tc>
      </w:tr>
      <w:tr w:rsidR="00645D3D" w:rsidRPr="000620CC" w14:paraId="18C44D92" w14:textId="77777777" w:rsidTr="00DE00AC">
        <w:trPr>
          <w:trHeight w:val="300"/>
        </w:trPr>
        <w:tc>
          <w:tcPr>
            <w:tcW w:w="1560" w:type="dxa"/>
            <w:shd w:val="clear" w:color="auto" w:fill="auto"/>
            <w:vAlign w:val="center"/>
            <w:hideMark/>
          </w:tcPr>
          <w:p w14:paraId="7998C1C8" w14:textId="77777777" w:rsidR="00645D3D" w:rsidRPr="000620CC" w:rsidRDefault="00645D3D" w:rsidP="00645D3D">
            <w:pPr>
              <w:jc w:val="left"/>
              <w:rPr>
                <w:rFonts w:cs="Arial"/>
              </w:rPr>
            </w:pPr>
            <w:r w:rsidRPr="000620CC">
              <w:rPr>
                <w:rFonts w:cs="Arial"/>
              </w:rPr>
              <w:lastRenderedPageBreak/>
              <w:t>Hugo</w:t>
            </w:r>
          </w:p>
        </w:tc>
        <w:tc>
          <w:tcPr>
            <w:tcW w:w="7524" w:type="dxa"/>
            <w:shd w:val="clear" w:color="auto" w:fill="auto"/>
            <w:vAlign w:val="center"/>
            <w:hideMark/>
          </w:tcPr>
          <w:p w14:paraId="744F1422" w14:textId="0F11F9E5" w:rsidR="00645D3D" w:rsidRPr="000620CC" w:rsidRDefault="004063F8" w:rsidP="00645D3D">
            <w:pPr>
              <w:jc w:val="left"/>
              <w:rPr>
                <w:rFonts w:cs="Arial"/>
              </w:rPr>
            </w:pPr>
            <w:r w:rsidRPr="000620CC">
              <w:rPr>
                <w:rFonts w:cs="Arial"/>
              </w:rPr>
              <w:t>Hospital de Urgências de Goiás Dr. Valdemiro Cruz</w:t>
            </w:r>
          </w:p>
        </w:tc>
      </w:tr>
      <w:tr w:rsidR="00645D3D" w:rsidRPr="000620CC" w14:paraId="0603BBB7" w14:textId="77777777" w:rsidTr="00DE00AC">
        <w:trPr>
          <w:trHeight w:val="510"/>
        </w:trPr>
        <w:tc>
          <w:tcPr>
            <w:tcW w:w="1560" w:type="dxa"/>
            <w:shd w:val="clear" w:color="auto" w:fill="auto"/>
            <w:vAlign w:val="center"/>
            <w:hideMark/>
          </w:tcPr>
          <w:p w14:paraId="3DE09F33" w14:textId="77777777" w:rsidR="00645D3D" w:rsidRPr="000620CC" w:rsidRDefault="00645D3D" w:rsidP="00645D3D">
            <w:pPr>
              <w:jc w:val="left"/>
              <w:rPr>
                <w:rFonts w:cs="Arial"/>
              </w:rPr>
            </w:pPr>
            <w:r w:rsidRPr="000620CC">
              <w:rPr>
                <w:rFonts w:cs="Arial"/>
              </w:rPr>
              <w:t xml:space="preserve">Hugol </w:t>
            </w:r>
          </w:p>
        </w:tc>
        <w:tc>
          <w:tcPr>
            <w:tcW w:w="7524" w:type="dxa"/>
            <w:shd w:val="clear" w:color="auto" w:fill="auto"/>
            <w:vAlign w:val="center"/>
            <w:hideMark/>
          </w:tcPr>
          <w:p w14:paraId="6D48341A" w14:textId="77777777" w:rsidR="00645D3D" w:rsidRPr="000620CC" w:rsidRDefault="00645D3D" w:rsidP="00645D3D">
            <w:pPr>
              <w:jc w:val="left"/>
              <w:rPr>
                <w:rFonts w:cs="Arial"/>
              </w:rPr>
            </w:pPr>
            <w:r w:rsidRPr="000620CC">
              <w:rPr>
                <w:rFonts w:cs="Arial"/>
              </w:rPr>
              <w:t>Hospital Estadual de Urgências da Região Noroeste de Goiânia Governador Otávio Lage de Siqueira</w:t>
            </w:r>
          </w:p>
        </w:tc>
      </w:tr>
      <w:tr w:rsidR="004063F8" w:rsidRPr="000620CC" w14:paraId="3DA3D881" w14:textId="77777777" w:rsidTr="00DE00AC">
        <w:trPr>
          <w:trHeight w:val="300"/>
        </w:trPr>
        <w:tc>
          <w:tcPr>
            <w:tcW w:w="1560" w:type="dxa"/>
            <w:shd w:val="clear" w:color="auto" w:fill="auto"/>
            <w:vAlign w:val="center"/>
          </w:tcPr>
          <w:p w14:paraId="779C7DBA" w14:textId="1664C0B9" w:rsidR="004063F8" w:rsidRPr="000620CC" w:rsidRDefault="004063F8" w:rsidP="00645D3D">
            <w:pPr>
              <w:jc w:val="left"/>
              <w:rPr>
                <w:rFonts w:cs="Arial"/>
              </w:rPr>
            </w:pPr>
            <w:r w:rsidRPr="000620CC">
              <w:rPr>
                <w:rFonts w:cs="Arial"/>
              </w:rPr>
              <w:t>IBGC</w:t>
            </w:r>
          </w:p>
        </w:tc>
        <w:tc>
          <w:tcPr>
            <w:tcW w:w="7524" w:type="dxa"/>
            <w:shd w:val="clear" w:color="auto" w:fill="auto"/>
            <w:vAlign w:val="center"/>
          </w:tcPr>
          <w:p w14:paraId="49903DE8" w14:textId="7222E5AB" w:rsidR="004063F8" w:rsidRPr="000620CC" w:rsidRDefault="004063F8" w:rsidP="00645D3D">
            <w:pPr>
              <w:jc w:val="left"/>
              <w:rPr>
                <w:rFonts w:cs="Arial"/>
              </w:rPr>
            </w:pPr>
            <w:r w:rsidRPr="000620CC">
              <w:rPr>
                <w:rFonts w:cs="Arial"/>
              </w:rPr>
              <w:t>Instituto Brasileiro de Gestão Compartilhada</w:t>
            </w:r>
          </w:p>
        </w:tc>
      </w:tr>
      <w:tr w:rsidR="00645D3D" w:rsidRPr="000620CC" w14:paraId="6E700004" w14:textId="77777777" w:rsidTr="00DE00AC">
        <w:trPr>
          <w:trHeight w:val="300"/>
        </w:trPr>
        <w:tc>
          <w:tcPr>
            <w:tcW w:w="1560" w:type="dxa"/>
            <w:shd w:val="clear" w:color="auto" w:fill="auto"/>
            <w:vAlign w:val="center"/>
            <w:hideMark/>
          </w:tcPr>
          <w:p w14:paraId="58450F1B" w14:textId="77777777" w:rsidR="00645D3D" w:rsidRPr="000620CC" w:rsidRDefault="00645D3D" w:rsidP="00645D3D">
            <w:pPr>
              <w:jc w:val="left"/>
              <w:rPr>
                <w:rFonts w:cs="Arial"/>
              </w:rPr>
            </w:pPr>
            <w:r w:rsidRPr="000620CC">
              <w:rPr>
                <w:rFonts w:cs="Arial"/>
              </w:rPr>
              <w:t>IBGE</w:t>
            </w:r>
          </w:p>
        </w:tc>
        <w:tc>
          <w:tcPr>
            <w:tcW w:w="7524" w:type="dxa"/>
            <w:shd w:val="clear" w:color="auto" w:fill="auto"/>
            <w:vAlign w:val="center"/>
            <w:hideMark/>
          </w:tcPr>
          <w:p w14:paraId="6C615E6A" w14:textId="77777777" w:rsidR="00645D3D" w:rsidRPr="000620CC" w:rsidRDefault="00645D3D" w:rsidP="00645D3D">
            <w:pPr>
              <w:jc w:val="left"/>
              <w:rPr>
                <w:rFonts w:cs="Arial"/>
              </w:rPr>
            </w:pPr>
            <w:r w:rsidRPr="000620CC">
              <w:rPr>
                <w:rFonts w:cs="Arial"/>
              </w:rPr>
              <w:t>Instituto Brasileiro de Geografia e Estatística</w:t>
            </w:r>
          </w:p>
        </w:tc>
      </w:tr>
      <w:tr w:rsidR="00645D3D" w:rsidRPr="000620CC" w14:paraId="2AE28966" w14:textId="77777777" w:rsidTr="00DE00AC">
        <w:trPr>
          <w:trHeight w:val="384"/>
        </w:trPr>
        <w:tc>
          <w:tcPr>
            <w:tcW w:w="1560" w:type="dxa"/>
            <w:shd w:val="clear" w:color="auto" w:fill="auto"/>
            <w:vAlign w:val="center"/>
          </w:tcPr>
          <w:p w14:paraId="59BD8EDD" w14:textId="77777777" w:rsidR="00645D3D" w:rsidRPr="000620CC" w:rsidRDefault="00645D3D" w:rsidP="00645D3D">
            <w:pPr>
              <w:jc w:val="left"/>
              <w:rPr>
                <w:rFonts w:cs="Arial"/>
              </w:rPr>
            </w:pPr>
            <w:r w:rsidRPr="000620CC">
              <w:rPr>
                <w:rFonts w:cs="Arial"/>
              </w:rPr>
              <w:t>IBGH</w:t>
            </w:r>
          </w:p>
        </w:tc>
        <w:tc>
          <w:tcPr>
            <w:tcW w:w="7524" w:type="dxa"/>
            <w:shd w:val="clear" w:color="auto" w:fill="auto"/>
            <w:vAlign w:val="center"/>
          </w:tcPr>
          <w:p w14:paraId="581EA666" w14:textId="77777777" w:rsidR="00645D3D" w:rsidRPr="000620CC" w:rsidRDefault="00645D3D" w:rsidP="00645D3D">
            <w:pPr>
              <w:jc w:val="left"/>
              <w:rPr>
                <w:rFonts w:cs="Arial"/>
              </w:rPr>
            </w:pPr>
            <w:r w:rsidRPr="000620CC">
              <w:rPr>
                <w:rFonts w:cs="Arial"/>
              </w:rPr>
              <w:t>Instituto Brasileiro de Gestão Hospitalar</w:t>
            </w:r>
          </w:p>
        </w:tc>
      </w:tr>
      <w:tr w:rsidR="004063F8" w:rsidRPr="000620CC" w14:paraId="7FB02F2D" w14:textId="77777777" w:rsidTr="00DE00AC">
        <w:trPr>
          <w:trHeight w:val="510"/>
        </w:trPr>
        <w:tc>
          <w:tcPr>
            <w:tcW w:w="1560" w:type="dxa"/>
            <w:shd w:val="clear" w:color="auto" w:fill="auto"/>
            <w:vAlign w:val="center"/>
          </w:tcPr>
          <w:p w14:paraId="49A21C65" w14:textId="60DF21DE" w:rsidR="004063F8" w:rsidRPr="000620CC" w:rsidRDefault="004063F8" w:rsidP="00645D3D">
            <w:pPr>
              <w:jc w:val="left"/>
              <w:rPr>
                <w:rFonts w:cs="Arial"/>
              </w:rPr>
            </w:pPr>
            <w:r w:rsidRPr="000620CC">
              <w:rPr>
                <w:rFonts w:cs="Arial"/>
              </w:rPr>
              <w:t>IBSa</w:t>
            </w:r>
            <w:r w:rsidR="001A2CC7" w:rsidRPr="000620CC">
              <w:rPr>
                <w:rFonts w:cs="Arial"/>
              </w:rPr>
              <w:t>ú</w:t>
            </w:r>
            <w:r w:rsidRPr="000620CC">
              <w:rPr>
                <w:rFonts w:cs="Arial"/>
              </w:rPr>
              <w:t>de</w:t>
            </w:r>
          </w:p>
        </w:tc>
        <w:tc>
          <w:tcPr>
            <w:tcW w:w="7524" w:type="dxa"/>
            <w:shd w:val="clear" w:color="auto" w:fill="auto"/>
            <w:vAlign w:val="center"/>
          </w:tcPr>
          <w:p w14:paraId="6B282F6C" w14:textId="36D90EA2" w:rsidR="004063F8" w:rsidRPr="000620CC" w:rsidRDefault="004063F8" w:rsidP="00645D3D">
            <w:pPr>
              <w:jc w:val="left"/>
              <w:rPr>
                <w:rFonts w:cs="Arial"/>
              </w:rPr>
            </w:pPr>
            <w:r w:rsidRPr="000620CC">
              <w:rPr>
                <w:rFonts w:cs="Arial"/>
              </w:rPr>
              <w:t>Instituto Brasileiro de Saúde Ensino Pesquisa e Extensão para o Desenvolvimento Humano</w:t>
            </w:r>
          </w:p>
        </w:tc>
      </w:tr>
      <w:tr w:rsidR="00645D3D" w:rsidRPr="000620CC" w14:paraId="1405CA61" w14:textId="77777777" w:rsidTr="00DE00AC">
        <w:trPr>
          <w:trHeight w:val="510"/>
        </w:trPr>
        <w:tc>
          <w:tcPr>
            <w:tcW w:w="1560" w:type="dxa"/>
            <w:shd w:val="clear" w:color="auto" w:fill="auto"/>
            <w:vAlign w:val="center"/>
            <w:hideMark/>
          </w:tcPr>
          <w:p w14:paraId="4FBDC893" w14:textId="77777777" w:rsidR="00645D3D" w:rsidRPr="000620CC" w:rsidRDefault="00645D3D" w:rsidP="00645D3D">
            <w:pPr>
              <w:jc w:val="left"/>
              <w:rPr>
                <w:rFonts w:cs="Arial"/>
              </w:rPr>
            </w:pPr>
            <w:r w:rsidRPr="000620CC">
              <w:rPr>
                <w:rFonts w:cs="Arial"/>
              </w:rPr>
              <w:t>ICMS</w:t>
            </w:r>
          </w:p>
        </w:tc>
        <w:tc>
          <w:tcPr>
            <w:tcW w:w="7524" w:type="dxa"/>
            <w:shd w:val="clear" w:color="auto" w:fill="auto"/>
            <w:vAlign w:val="center"/>
            <w:hideMark/>
          </w:tcPr>
          <w:p w14:paraId="3EC483EC" w14:textId="77777777" w:rsidR="00645D3D" w:rsidRPr="000620CC" w:rsidRDefault="00645D3D" w:rsidP="00645D3D">
            <w:pPr>
              <w:jc w:val="left"/>
              <w:rPr>
                <w:rFonts w:cs="Arial"/>
              </w:rPr>
            </w:pPr>
            <w:r w:rsidRPr="000620CC">
              <w:rPr>
                <w:rFonts w:cs="Arial"/>
              </w:rPr>
              <w:t>Imposto sobre Operações Relativas à Circulação de Mercadorias e sobre Prestações de Serviços de Transporte Interestadual, Intermunicipal e de Comunicação</w:t>
            </w:r>
          </w:p>
        </w:tc>
      </w:tr>
      <w:tr w:rsidR="00645D3D" w:rsidRPr="000620CC" w14:paraId="3224911E" w14:textId="77777777" w:rsidTr="00DE00AC">
        <w:trPr>
          <w:trHeight w:val="294"/>
        </w:trPr>
        <w:tc>
          <w:tcPr>
            <w:tcW w:w="1560" w:type="dxa"/>
            <w:shd w:val="clear" w:color="auto" w:fill="auto"/>
            <w:vAlign w:val="center"/>
          </w:tcPr>
          <w:p w14:paraId="3D31B651" w14:textId="1F02FD63" w:rsidR="00645D3D" w:rsidRPr="000620CC" w:rsidRDefault="00645D3D" w:rsidP="00645D3D">
            <w:pPr>
              <w:jc w:val="left"/>
              <w:rPr>
                <w:rFonts w:cs="Arial"/>
              </w:rPr>
            </w:pPr>
            <w:r w:rsidRPr="000620CC">
              <w:rPr>
                <w:rFonts w:cs="Arial"/>
              </w:rPr>
              <w:t>IDT</w:t>
            </w:r>
            <w:r w:rsidR="004063F8" w:rsidRPr="000620CC">
              <w:rPr>
                <w:rFonts w:cs="Arial"/>
              </w:rPr>
              <w:t>ech</w:t>
            </w:r>
          </w:p>
        </w:tc>
        <w:tc>
          <w:tcPr>
            <w:tcW w:w="7524" w:type="dxa"/>
            <w:shd w:val="clear" w:color="auto" w:fill="auto"/>
            <w:vAlign w:val="center"/>
          </w:tcPr>
          <w:p w14:paraId="372C1B6A" w14:textId="77777777" w:rsidR="00645D3D" w:rsidRPr="000620CC" w:rsidRDefault="00645D3D" w:rsidP="00645D3D">
            <w:pPr>
              <w:jc w:val="left"/>
              <w:rPr>
                <w:rFonts w:cs="Arial"/>
              </w:rPr>
            </w:pPr>
            <w:r w:rsidRPr="000620CC">
              <w:rPr>
                <w:rFonts w:cs="Arial"/>
              </w:rPr>
              <w:t>Instituto de Desenvolvimento Tecnológico e Humano</w:t>
            </w:r>
          </w:p>
        </w:tc>
      </w:tr>
      <w:tr w:rsidR="00645D3D" w:rsidRPr="000620CC" w14:paraId="62109BF3" w14:textId="77777777" w:rsidTr="00DE00AC">
        <w:trPr>
          <w:trHeight w:val="300"/>
        </w:trPr>
        <w:tc>
          <w:tcPr>
            <w:tcW w:w="1560" w:type="dxa"/>
            <w:shd w:val="clear" w:color="auto" w:fill="auto"/>
            <w:vAlign w:val="center"/>
            <w:hideMark/>
          </w:tcPr>
          <w:p w14:paraId="3FDFFD0C" w14:textId="77777777" w:rsidR="00645D3D" w:rsidRPr="000620CC" w:rsidRDefault="00645D3D" w:rsidP="00645D3D">
            <w:pPr>
              <w:jc w:val="left"/>
              <w:rPr>
                <w:rFonts w:cs="Arial"/>
              </w:rPr>
            </w:pPr>
            <w:r w:rsidRPr="000620CC">
              <w:rPr>
                <w:rFonts w:cs="Arial"/>
              </w:rPr>
              <w:t>IGH</w:t>
            </w:r>
          </w:p>
        </w:tc>
        <w:tc>
          <w:tcPr>
            <w:tcW w:w="7524" w:type="dxa"/>
            <w:shd w:val="clear" w:color="auto" w:fill="auto"/>
            <w:vAlign w:val="center"/>
            <w:hideMark/>
          </w:tcPr>
          <w:p w14:paraId="0EFB8456" w14:textId="77777777" w:rsidR="00645D3D" w:rsidRPr="000620CC" w:rsidRDefault="00645D3D" w:rsidP="00645D3D">
            <w:pPr>
              <w:jc w:val="left"/>
              <w:rPr>
                <w:rFonts w:cs="Arial"/>
              </w:rPr>
            </w:pPr>
            <w:r w:rsidRPr="000620CC">
              <w:rPr>
                <w:rFonts w:cs="Arial"/>
              </w:rPr>
              <w:t>Instituto de Gestão e Humanização</w:t>
            </w:r>
          </w:p>
        </w:tc>
      </w:tr>
      <w:tr w:rsidR="00645D3D" w:rsidRPr="000620CC" w14:paraId="1917BFD5" w14:textId="77777777" w:rsidTr="00DE00AC">
        <w:trPr>
          <w:trHeight w:val="300"/>
        </w:trPr>
        <w:tc>
          <w:tcPr>
            <w:tcW w:w="1560" w:type="dxa"/>
            <w:shd w:val="clear" w:color="auto" w:fill="auto"/>
            <w:vAlign w:val="center"/>
          </w:tcPr>
          <w:p w14:paraId="323BA8C6" w14:textId="77777777" w:rsidR="00645D3D" w:rsidRPr="000620CC" w:rsidRDefault="00645D3D" w:rsidP="00645D3D">
            <w:pPr>
              <w:jc w:val="left"/>
              <w:rPr>
                <w:rFonts w:cs="Arial"/>
              </w:rPr>
            </w:pPr>
            <w:r w:rsidRPr="000620CC">
              <w:rPr>
                <w:rFonts w:cs="Arial"/>
              </w:rPr>
              <w:t>IGPR</w:t>
            </w:r>
          </w:p>
        </w:tc>
        <w:tc>
          <w:tcPr>
            <w:tcW w:w="7524" w:type="dxa"/>
            <w:shd w:val="clear" w:color="auto" w:fill="auto"/>
            <w:vAlign w:val="center"/>
          </w:tcPr>
          <w:p w14:paraId="35C67232" w14:textId="77777777" w:rsidR="00645D3D" w:rsidRPr="000620CC" w:rsidRDefault="00645D3D" w:rsidP="00645D3D">
            <w:pPr>
              <w:jc w:val="left"/>
              <w:rPr>
                <w:rFonts w:cs="Arial"/>
              </w:rPr>
            </w:pPr>
            <w:r w:rsidRPr="000620CC">
              <w:rPr>
                <w:rFonts w:cs="Arial"/>
              </w:rPr>
              <w:t>Instituto de Gestão por Resultados</w:t>
            </w:r>
          </w:p>
        </w:tc>
      </w:tr>
      <w:tr w:rsidR="00645D3D" w:rsidRPr="000620CC" w14:paraId="7662B7BD" w14:textId="77777777" w:rsidTr="00DE00AC">
        <w:trPr>
          <w:trHeight w:val="300"/>
        </w:trPr>
        <w:tc>
          <w:tcPr>
            <w:tcW w:w="1560" w:type="dxa"/>
            <w:shd w:val="clear" w:color="auto" w:fill="auto"/>
            <w:vAlign w:val="center"/>
            <w:hideMark/>
          </w:tcPr>
          <w:p w14:paraId="3F2715C9" w14:textId="77777777" w:rsidR="00645D3D" w:rsidRPr="000620CC" w:rsidRDefault="00645D3D" w:rsidP="00645D3D">
            <w:pPr>
              <w:jc w:val="left"/>
              <w:rPr>
                <w:rFonts w:cs="Arial"/>
              </w:rPr>
            </w:pPr>
            <w:r w:rsidRPr="000620CC">
              <w:rPr>
                <w:rFonts w:cs="Arial"/>
              </w:rPr>
              <w:t>IMB</w:t>
            </w:r>
          </w:p>
        </w:tc>
        <w:tc>
          <w:tcPr>
            <w:tcW w:w="7524" w:type="dxa"/>
            <w:shd w:val="clear" w:color="auto" w:fill="auto"/>
            <w:noWrap/>
            <w:vAlign w:val="center"/>
            <w:hideMark/>
          </w:tcPr>
          <w:p w14:paraId="597B9DD4" w14:textId="77777777" w:rsidR="00645D3D" w:rsidRPr="000620CC" w:rsidRDefault="00645D3D" w:rsidP="00645D3D">
            <w:pPr>
              <w:jc w:val="left"/>
              <w:rPr>
                <w:rFonts w:cs="Arial"/>
              </w:rPr>
            </w:pPr>
            <w:r w:rsidRPr="000620CC">
              <w:rPr>
                <w:rFonts w:cs="Arial"/>
              </w:rPr>
              <w:t>Instituto Mauro Borges</w:t>
            </w:r>
          </w:p>
        </w:tc>
      </w:tr>
      <w:tr w:rsidR="00645D3D" w:rsidRPr="000620CC" w14:paraId="11F6C59C" w14:textId="77777777" w:rsidTr="00DE00AC">
        <w:trPr>
          <w:trHeight w:val="300"/>
        </w:trPr>
        <w:tc>
          <w:tcPr>
            <w:tcW w:w="1560" w:type="dxa"/>
            <w:shd w:val="clear" w:color="auto" w:fill="auto"/>
            <w:vAlign w:val="center"/>
          </w:tcPr>
          <w:p w14:paraId="442FB2D0" w14:textId="305B12D4" w:rsidR="00645D3D" w:rsidRPr="000620CC" w:rsidRDefault="00645D3D" w:rsidP="00645D3D">
            <w:pPr>
              <w:jc w:val="left"/>
              <w:rPr>
                <w:rFonts w:cs="Arial"/>
              </w:rPr>
            </w:pPr>
            <w:r w:rsidRPr="000620CC">
              <w:rPr>
                <w:rFonts w:cs="Arial"/>
              </w:rPr>
              <w:t>I</w:t>
            </w:r>
            <w:r w:rsidR="004063F8" w:rsidRPr="000620CC">
              <w:rPr>
                <w:rFonts w:cs="Arial"/>
              </w:rPr>
              <w:t>med</w:t>
            </w:r>
          </w:p>
        </w:tc>
        <w:tc>
          <w:tcPr>
            <w:tcW w:w="7524" w:type="dxa"/>
            <w:shd w:val="clear" w:color="auto" w:fill="auto"/>
            <w:noWrap/>
            <w:vAlign w:val="center"/>
          </w:tcPr>
          <w:p w14:paraId="74EBB7CA" w14:textId="77777777" w:rsidR="00645D3D" w:rsidRPr="000620CC" w:rsidRDefault="00645D3D" w:rsidP="00645D3D">
            <w:pPr>
              <w:jc w:val="left"/>
              <w:rPr>
                <w:rFonts w:cs="Arial"/>
              </w:rPr>
            </w:pPr>
            <w:r w:rsidRPr="000620CC">
              <w:rPr>
                <w:rFonts w:cs="Arial"/>
              </w:rPr>
              <w:t>Instituto de Medicina Estudos e Desenvolvimento</w:t>
            </w:r>
          </w:p>
        </w:tc>
      </w:tr>
      <w:tr w:rsidR="009C6321" w:rsidRPr="000620CC" w14:paraId="5532395F" w14:textId="77777777" w:rsidTr="00DE00AC">
        <w:trPr>
          <w:trHeight w:val="300"/>
        </w:trPr>
        <w:tc>
          <w:tcPr>
            <w:tcW w:w="1560" w:type="dxa"/>
            <w:shd w:val="clear" w:color="auto" w:fill="auto"/>
            <w:vAlign w:val="center"/>
          </w:tcPr>
          <w:p w14:paraId="73DB1E26" w14:textId="757AFACE" w:rsidR="009C6321" w:rsidRPr="000620CC" w:rsidRDefault="0019668F" w:rsidP="00645D3D">
            <w:pPr>
              <w:jc w:val="left"/>
              <w:rPr>
                <w:rFonts w:cs="Arial"/>
              </w:rPr>
            </w:pPr>
            <w:r w:rsidRPr="000620CC">
              <w:rPr>
                <w:rFonts w:cs="Arial"/>
              </w:rPr>
              <w:t>INPC</w:t>
            </w:r>
          </w:p>
        </w:tc>
        <w:tc>
          <w:tcPr>
            <w:tcW w:w="7524" w:type="dxa"/>
            <w:shd w:val="clear" w:color="auto" w:fill="auto"/>
            <w:vAlign w:val="center"/>
          </w:tcPr>
          <w:p w14:paraId="38209649" w14:textId="6153E737" w:rsidR="009C6321" w:rsidRPr="000620CC" w:rsidRDefault="0019668F" w:rsidP="00645D3D">
            <w:pPr>
              <w:jc w:val="left"/>
              <w:rPr>
                <w:rFonts w:cs="Arial"/>
              </w:rPr>
            </w:pPr>
            <w:r w:rsidRPr="000620CC">
              <w:rPr>
                <w:rFonts w:cs="Arial"/>
              </w:rPr>
              <w:t>Índice Nacional de Preços ao Consumidor</w:t>
            </w:r>
          </w:p>
        </w:tc>
      </w:tr>
      <w:tr w:rsidR="00645D3D" w:rsidRPr="000620CC" w14:paraId="739BFFE5" w14:textId="77777777" w:rsidTr="00DE00AC">
        <w:trPr>
          <w:trHeight w:val="300"/>
        </w:trPr>
        <w:tc>
          <w:tcPr>
            <w:tcW w:w="1560" w:type="dxa"/>
            <w:shd w:val="clear" w:color="auto" w:fill="auto"/>
            <w:vAlign w:val="center"/>
          </w:tcPr>
          <w:p w14:paraId="4307A3A6" w14:textId="77777777" w:rsidR="00645D3D" w:rsidRPr="000620CC" w:rsidRDefault="00645D3D" w:rsidP="00645D3D">
            <w:pPr>
              <w:jc w:val="left"/>
              <w:rPr>
                <w:rFonts w:cs="Arial"/>
              </w:rPr>
            </w:pPr>
            <w:r w:rsidRPr="000620CC">
              <w:rPr>
                <w:rFonts w:cs="Arial"/>
              </w:rPr>
              <w:t>INTS</w:t>
            </w:r>
          </w:p>
        </w:tc>
        <w:tc>
          <w:tcPr>
            <w:tcW w:w="7524" w:type="dxa"/>
            <w:shd w:val="clear" w:color="auto" w:fill="auto"/>
            <w:vAlign w:val="center"/>
          </w:tcPr>
          <w:p w14:paraId="171DF711" w14:textId="77777777" w:rsidR="00645D3D" w:rsidRPr="000620CC" w:rsidRDefault="00645D3D" w:rsidP="00645D3D">
            <w:pPr>
              <w:jc w:val="left"/>
              <w:rPr>
                <w:rFonts w:cs="Arial"/>
              </w:rPr>
            </w:pPr>
            <w:r w:rsidRPr="000620CC">
              <w:rPr>
                <w:rFonts w:cs="Arial"/>
              </w:rPr>
              <w:t>Instituto Nacional de Tecnologia e Saúde</w:t>
            </w:r>
          </w:p>
        </w:tc>
      </w:tr>
      <w:tr w:rsidR="00645D3D" w:rsidRPr="000620CC" w14:paraId="468E870E" w14:textId="77777777" w:rsidTr="00DE00AC">
        <w:trPr>
          <w:trHeight w:val="300"/>
        </w:trPr>
        <w:tc>
          <w:tcPr>
            <w:tcW w:w="1560" w:type="dxa"/>
            <w:shd w:val="clear" w:color="auto" w:fill="auto"/>
            <w:vAlign w:val="center"/>
            <w:hideMark/>
          </w:tcPr>
          <w:p w14:paraId="42B4E14A" w14:textId="77777777" w:rsidR="00645D3D" w:rsidRPr="000620CC" w:rsidRDefault="00645D3D" w:rsidP="00645D3D">
            <w:pPr>
              <w:jc w:val="left"/>
              <w:rPr>
                <w:rFonts w:cs="Arial"/>
              </w:rPr>
            </w:pPr>
            <w:r w:rsidRPr="000620CC">
              <w:rPr>
                <w:rFonts w:cs="Arial"/>
              </w:rPr>
              <w:t>INSS</w:t>
            </w:r>
          </w:p>
        </w:tc>
        <w:tc>
          <w:tcPr>
            <w:tcW w:w="7524" w:type="dxa"/>
            <w:shd w:val="clear" w:color="auto" w:fill="auto"/>
            <w:vAlign w:val="center"/>
            <w:hideMark/>
          </w:tcPr>
          <w:p w14:paraId="30339958" w14:textId="77777777" w:rsidR="00645D3D" w:rsidRPr="000620CC" w:rsidRDefault="00645D3D" w:rsidP="00645D3D">
            <w:pPr>
              <w:jc w:val="left"/>
              <w:rPr>
                <w:rFonts w:cs="Arial"/>
              </w:rPr>
            </w:pPr>
            <w:r w:rsidRPr="000620CC">
              <w:rPr>
                <w:rFonts w:cs="Arial"/>
              </w:rPr>
              <w:t>Instituto Nacional do Seguro Social</w:t>
            </w:r>
          </w:p>
        </w:tc>
      </w:tr>
      <w:tr w:rsidR="00645D3D" w:rsidRPr="000620CC" w14:paraId="2625BD5E" w14:textId="77777777" w:rsidTr="00DE00AC">
        <w:trPr>
          <w:trHeight w:val="300"/>
        </w:trPr>
        <w:tc>
          <w:tcPr>
            <w:tcW w:w="1560" w:type="dxa"/>
            <w:shd w:val="clear" w:color="auto" w:fill="auto"/>
            <w:vAlign w:val="center"/>
            <w:hideMark/>
          </w:tcPr>
          <w:p w14:paraId="64E005DE" w14:textId="77777777" w:rsidR="00645D3D" w:rsidRPr="000620CC" w:rsidRDefault="00645D3D" w:rsidP="00645D3D">
            <w:pPr>
              <w:jc w:val="left"/>
              <w:rPr>
                <w:rFonts w:cs="Arial"/>
              </w:rPr>
            </w:pPr>
            <w:r w:rsidRPr="000620CC">
              <w:rPr>
                <w:rFonts w:cs="Arial"/>
              </w:rPr>
              <w:t>Ipasgo</w:t>
            </w:r>
          </w:p>
        </w:tc>
        <w:tc>
          <w:tcPr>
            <w:tcW w:w="7524" w:type="dxa"/>
            <w:shd w:val="clear" w:color="auto" w:fill="auto"/>
            <w:vAlign w:val="center"/>
            <w:hideMark/>
          </w:tcPr>
          <w:p w14:paraId="014DF111" w14:textId="77777777" w:rsidR="00645D3D" w:rsidRPr="000620CC" w:rsidRDefault="00645D3D" w:rsidP="00645D3D">
            <w:pPr>
              <w:jc w:val="left"/>
              <w:rPr>
                <w:rFonts w:cs="Arial"/>
              </w:rPr>
            </w:pPr>
            <w:r w:rsidRPr="000620CC">
              <w:rPr>
                <w:rFonts w:cs="Arial"/>
              </w:rPr>
              <w:t>Instituto de Assistência dos Servidores Públicos do Estado de Goiás</w:t>
            </w:r>
          </w:p>
        </w:tc>
      </w:tr>
      <w:tr w:rsidR="00940B40" w:rsidRPr="000620CC" w14:paraId="394FA31E" w14:textId="77777777" w:rsidTr="00DE00AC">
        <w:trPr>
          <w:trHeight w:val="300"/>
        </w:trPr>
        <w:tc>
          <w:tcPr>
            <w:tcW w:w="1560" w:type="dxa"/>
            <w:shd w:val="clear" w:color="auto" w:fill="auto"/>
            <w:vAlign w:val="center"/>
          </w:tcPr>
          <w:p w14:paraId="7F6BFA46" w14:textId="481F9EAB" w:rsidR="00940B40" w:rsidRPr="000620CC" w:rsidRDefault="00940B40" w:rsidP="00645D3D">
            <w:pPr>
              <w:jc w:val="left"/>
              <w:rPr>
                <w:rFonts w:cs="Arial"/>
              </w:rPr>
            </w:pPr>
            <w:r w:rsidRPr="000620CC">
              <w:rPr>
                <w:rFonts w:cs="Arial"/>
              </w:rPr>
              <w:t>IPC</w:t>
            </w:r>
          </w:p>
        </w:tc>
        <w:tc>
          <w:tcPr>
            <w:tcW w:w="7524" w:type="dxa"/>
            <w:shd w:val="clear" w:color="auto" w:fill="auto"/>
            <w:noWrap/>
            <w:vAlign w:val="center"/>
          </w:tcPr>
          <w:p w14:paraId="6C6D5480" w14:textId="559C2808" w:rsidR="00940B40" w:rsidRPr="000620CC" w:rsidRDefault="00940B40" w:rsidP="00645D3D">
            <w:pPr>
              <w:jc w:val="left"/>
              <w:rPr>
                <w:rFonts w:cs="Arial"/>
              </w:rPr>
            </w:pPr>
            <w:r w:rsidRPr="000620CC">
              <w:rPr>
                <w:rFonts w:cs="Arial"/>
              </w:rPr>
              <w:t>Instruções de Procedimentos Contábeis</w:t>
            </w:r>
          </w:p>
        </w:tc>
      </w:tr>
      <w:tr w:rsidR="00645D3D" w:rsidRPr="000620CC" w14:paraId="7F5B05A4" w14:textId="77777777" w:rsidTr="00DE00AC">
        <w:trPr>
          <w:trHeight w:val="300"/>
        </w:trPr>
        <w:tc>
          <w:tcPr>
            <w:tcW w:w="1560" w:type="dxa"/>
            <w:shd w:val="clear" w:color="auto" w:fill="auto"/>
            <w:vAlign w:val="center"/>
            <w:hideMark/>
          </w:tcPr>
          <w:p w14:paraId="10DE8EBA" w14:textId="77777777" w:rsidR="00645D3D" w:rsidRPr="000620CC" w:rsidRDefault="00645D3D" w:rsidP="00645D3D">
            <w:pPr>
              <w:jc w:val="left"/>
              <w:rPr>
                <w:rFonts w:cs="Arial"/>
              </w:rPr>
            </w:pPr>
            <w:r w:rsidRPr="000620CC">
              <w:rPr>
                <w:rFonts w:cs="Arial"/>
              </w:rPr>
              <w:t>IPCA</w:t>
            </w:r>
          </w:p>
        </w:tc>
        <w:tc>
          <w:tcPr>
            <w:tcW w:w="7524" w:type="dxa"/>
            <w:shd w:val="clear" w:color="auto" w:fill="auto"/>
            <w:noWrap/>
            <w:vAlign w:val="center"/>
            <w:hideMark/>
          </w:tcPr>
          <w:p w14:paraId="451630CD" w14:textId="77777777" w:rsidR="00645D3D" w:rsidRPr="000620CC" w:rsidRDefault="00645D3D" w:rsidP="00645D3D">
            <w:pPr>
              <w:jc w:val="left"/>
              <w:rPr>
                <w:rFonts w:cs="Arial"/>
              </w:rPr>
            </w:pPr>
            <w:r w:rsidRPr="000620CC">
              <w:rPr>
                <w:rFonts w:cs="Arial"/>
              </w:rPr>
              <w:t>Índice de Preços ao Consumidor Amplo</w:t>
            </w:r>
          </w:p>
        </w:tc>
      </w:tr>
      <w:tr w:rsidR="00645D3D" w:rsidRPr="000620CC" w14:paraId="3053833E" w14:textId="77777777" w:rsidTr="00DE00AC">
        <w:trPr>
          <w:trHeight w:val="300"/>
        </w:trPr>
        <w:tc>
          <w:tcPr>
            <w:tcW w:w="1560" w:type="dxa"/>
            <w:shd w:val="clear" w:color="auto" w:fill="auto"/>
            <w:vAlign w:val="center"/>
            <w:hideMark/>
          </w:tcPr>
          <w:p w14:paraId="61F472F1" w14:textId="77777777" w:rsidR="00645D3D" w:rsidRPr="000620CC" w:rsidRDefault="00645D3D" w:rsidP="00645D3D">
            <w:pPr>
              <w:jc w:val="left"/>
              <w:rPr>
                <w:rFonts w:cs="Arial"/>
              </w:rPr>
            </w:pPr>
            <w:r w:rsidRPr="000620CC">
              <w:rPr>
                <w:rFonts w:cs="Arial"/>
              </w:rPr>
              <w:t>IPCA-E</w:t>
            </w:r>
          </w:p>
        </w:tc>
        <w:tc>
          <w:tcPr>
            <w:tcW w:w="7524" w:type="dxa"/>
            <w:shd w:val="clear" w:color="auto" w:fill="auto"/>
            <w:vAlign w:val="center"/>
            <w:hideMark/>
          </w:tcPr>
          <w:p w14:paraId="79EA65E2" w14:textId="77777777" w:rsidR="00645D3D" w:rsidRPr="000620CC" w:rsidRDefault="00645D3D" w:rsidP="00645D3D">
            <w:pPr>
              <w:jc w:val="left"/>
              <w:rPr>
                <w:rFonts w:cs="Arial"/>
              </w:rPr>
            </w:pPr>
            <w:r w:rsidRPr="000620CC">
              <w:rPr>
                <w:rFonts w:cs="Arial"/>
              </w:rPr>
              <w:t>Índice de Preços ao Consumidor Amplo Especial</w:t>
            </w:r>
          </w:p>
        </w:tc>
      </w:tr>
      <w:tr w:rsidR="00645D3D" w:rsidRPr="000620CC" w14:paraId="1E9C5B43" w14:textId="77777777" w:rsidTr="00DE00AC">
        <w:trPr>
          <w:trHeight w:val="300"/>
        </w:trPr>
        <w:tc>
          <w:tcPr>
            <w:tcW w:w="1560" w:type="dxa"/>
            <w:shd w:val="clear" w:color="auto" w:fill="auto"/>
            <w:vAlign w:val="center"/>
            <w:hideMark/>
          </w:tcPr>
          <w:p w14:paraId="0EDEA9FC" w14:textId="44F80C69" w:rsidR="00645D3D" w:rsidRPr="000620CC" w:rsidRDefault="00645D3D" w:rsidP="00645D3D">
            <w:pPr>
              <w:jc w:val="left"/>
              <w:rPr>
                <w:rFonts w:cs="Arial"/>
              </w:rPr>
            </w:pPr>
            <w:r w:rsidRPr="000620CC">
              <w:rPr>
                <w:rFonts w:cs="Arial"/>
              </w:rPr>
              <w:t>I</w:t>
            </w:r>
            <w:r w:rsidR="009C6321" w:rsidRPr="000620CC">
              <w:rPr>
                <w:rFonts w:cs="Arial"/>
              </w:rPr>
              <w:t>pea</w:t>
            </w:r>
          </w:p>
        </w:tc>
        <w:tc>
          <w:tcPr>
            <w:tcW w:w="7524" w:type="dxa"/>
            <w:shd w:val="clear" w:color="auto" w:fill="auto"/>
            <w:vAlign w:val="center"/>
            <w:hideMark/>
          </w:tcPr>
          <w:p w14:paraId="0F2BCE77" w14:textId="77777777" w:rsidR="00645D3D" w:rsidRPr="000620CC" w:rsidRDefault="00645D3D" w:rsidP="00645D3D">
            <w:pPr>
              <w:jc w:val="left"/>
              <w:rPr>
                <w:rFonts w:cs="Arial"/>
              </w:rPr>
            </w:pPr>
            <w:r w:rsidRPr="000620CC">
              <w:rPr>
                <w:rFonts w:cs="Arial"/>
              </w:rPr>
              <w:t>Instituto de Pesquisa Econômica Aplicada</w:t>
            </w:r>
          </w:p>
        </w:tc>
      </w:tr>
      <w:tr w:rsidR="004063F8" w:rsidRPr="000620CC" w14:paraId="1AEDC910" w14:textId="77777777" w:rsidTr="00DE00AC">
        <w:trPr>
          <w:trHeight w:val="300"/>
        </w:trPr>
        <w:tc>
          <w:tcPr>
            <w:tcW w:w="1560" w:type="dxa"/>
            <w:shd w:val="clear" w:color="auto" w:fill="auto"/>
            <w:vAlign w:val="center"/>
          </w:tcPr>
          <w:p w14:paraId="5FAD24C6" w14:textId="07DEA480" w:rsidR="004063F8" w:rsidRPr="000620CC" w:rsidRDefault="004063F8" w:rsidP="00645D3D">
            <w:pPr>
              <w:jc w:val="left"/>
              <w:rPr>
                <w:rFonts w:cs="Arial"/>
              </w:rPr>
            </w:pPr>
            <w:r w:rsidRPr="000620CC">
              <w:rPr>
                <w:rFonts w:cs="Arial"/>
              </w:rPr>
              <w:t>IPGSE</w:t>
            </w:r>
          </w:p>
        </w:tc>
        <w:tc>
          <w:tcPr>
            <w:tcW w:w="7524" w:type="dxa"/>
            <w:shd w:val="clear" w:color="auto" w:fill="auto"/>
            <w:vAlign w:val="center"/>
          </w:tcPr>
          <w:p w14:paraId="1068AE27" w14:textId="08B66453" w:rsidR="004063F8" w:rsidRPr="000620CC" w:rsidRDefault="004063F8" w:rsidP="00645D3D">
            <w:pPr>
              <w:jc w:val="left"/>
              <w:rPr>
                <w:rFonts w:cs="Arial"/>
              </w:rPr>
            </w:pPr>
            <w:r w:rsidRPr="000620CC">
              <w:rPr>
                <w:rFonts w:cs="Arial"/>
              </w:rPr>
              <w:t>Instituto de Planejamento e Gestão de Serviços Especializados</w:t>
            </w:r>
          </w:p>
        </w:tc>
      </w:tr>
      <w:tr w:rsidR="00645D3D" w:rsidRPr="000620CC" w14:paraId="0CB113E3" w14:textId="77777777" w:rsidTr="00DE00AC">
        <w:trPr>
          <w:trHeight w:val="300"/>
        </w:trPr>
        <w:tc>
          <w:tcPr>
            <w:tcW w:w="1560" w:type="dxa"/>
            <w:shd w:val="clear" w:color="auto" w:fill="auto"/>
            <w:vAlign w:val="center"/>
            <w:hideMark/>
          </w:tcPr>
          <w:p w14:paraId="6F65DD5F" w14:textId="77777777" w:rsidR="00645D3D" w:rsidRPr="000620CC" w:rsidRDefault="00645D3D" w:rsidP="00645D3D">
            <w:pPr>
              <w:jc w:val="left"/>
              <w:rPr>
                <w:rFonts w:cs="Arial"/>
              </w:rPr>
            </w:pPr>
            <w:r w:rsidRPr="000620CC">
              <w:rPr>
                <w:rFonts w:cs="Arial"/>
              </w:rPr>
              <w:t>IPI</w:t>
            </w:r>
          </w:p>
        </w:tc>
        <w:tc>
          <w:tcPr>
            <w:tcW w:w="7524" w:type="dxa"/>
            <w:shd w:val="clear" w:color="auto" w:fill="auto"/>
            <w:vAlign w:val="center"/>
            <w:hideMark/>
          </w:tcPr>
          <w:p w14:paraId="31EA8305" w14:textId="77777777" w:rsidR="00645D3D" w:rsidRPr="000620CC" w:rsidRDefault="00645D3D" w:rsidP="00645D3D">
            <w:pPr>
              <w:jc w:val="left"/>
              <w:rPr>
                <w:rFonts w:cs="Arial"/>
              </w:rPr>
            </w:pPr>
            <w:r w:rsidRPr="000620CC">
              <w:rPr>
                <w:rFonts w:cs="Arial"/>
              </w:rPr>
              <w:t>Imposto sobre Produtos Industrializados</w:t>
            </w:r>
          </w:p>
        </w:tc>
      </w:tr>
      <w:tr w:rsidR="00074FCC" w:rsidRPr="000620CC" w14:paraId="6EACF7DC" w14:textId="77777777" w:rsidTr="00DE00AC">
        <w:trPr>
          <w:trHeight w:val="300"/>
        </w:trPr>
        <w:tc>
          <w:tcPr>
            <w:tcW w:w="1560" w:type="dxa"/>
            <w:shd w:val="clear" w:color="auto" w:fill="auto"/>
            <w:vAlign w:val="center"/>
          </w:tcPr>
          <w:p w14:paraId="25C83189" w14:textId="6C90EE02" w:rsidR="00074FCC" w:rsidRPr="000620CC" w:rsidRDefault="00074FCC" w:rsidP="00645D3D">
            <w:pPr>
              <w:jc w:val="left"/>
              <w:rPr>
                <w:rFonts w:cs="Arial"/>
              </w:rPr>
            </w:pPr>
            <w:r w:rsidRPr="000620CC">
              <w:rPr>
                <w:rFonts w:cs="Arial"/>
              </w:rPr>
              <w:t>IPO</w:t>
            </w:r>
          </w:p>
        </w:tc>
        <w:tc>
          <w:tcPr>
            <w:tcW w:w="7524" w:type="dxa"/>
            <w:shd w:val="clear" w:color="auto" w:fill="auto"/>
            <w:vAlign w:val="center"/>
          </w:tcPr>
          <w:p w14:paraId="0C21259F" w14:textId="329FA37A" w:rsidR="00074FCC" w:rsidRPr="000620CC" w:rsidRDefault="00074FCC" w:rsidP="00645D3D">
            <w:pPr>
              <w:jc w:val="left"/>
              <w:rPr>
                <w:rFonts w:cs="Arial"/>
                <w:i/>
              </w:rPr>
            </w:pPr>
            <w:r w:rsidRPr="000620CC">
              <w:rPr>
                <w:rFonts w:cs="Arial"/>
                <w:i/>
              </w:rPr>
              <w:t>Initial Public Offering</w:t>
            </w:r>
          </w:p>
        </w:tc>
      </w:tr>
      <w:tr w:rsidR="00645D3D" w:rsidRPr="000620CC" w14:paraId="0BA62106" w14:textId="77777777" w:rsidTr="00DE00AC">
        <w:trPr>
          <w:trHeight w:val="300"/>
        </w:trPr>
        <w:tc>
          <w:tcPr>
            <w:tcW w:w="1560" w:type="dxa"/>
            <w:shd w:val="clear" w:color="auto" w:fill="auto"/>
            <w:vAlign w:val="center"/>
            <w:hideMark/>
          </w:tcPr>
          <w:p w14:paraId="0054A05E" w14:textId="77777777" w:rsidR="00645D3D" w:rsidRPr="000620CC" w:rsidRDefault="00645D3D" w:rsidP="00645D3D">
            <w:pPr>
              <w:jc w:val="left"/>
              <w:rPr>
                <w:rFonts w:cs="Arial"/>
              </w:rPr>
            </w:pPr>
            <w:r w:rsidRPr="000620CC">
              <w:rPr>
                <w:rFonts w:cs="Arial"/>
              </w:rPr>
              <w:t>IPVA</w:t>
            </w:r>
          </w:p>
        </w:tc>
        <w:tc>
          <w:tcPr>
            <w:tcW w:w="7524" w:type="dxa"/>
            <w:shd w:val="clear" w:color="auto" w:fill="auto"/>
            <w:vAlign w:val="center"/>
            <w:hideMark/>
          </w:tcPr>
          <w:p w14:paraId="4998F2C4" w14:textId="77777777" w:rsidR="00645D3D" w:rsidRPr="000620CC" w:rsidRDefault="00645D3D" w:rsidP="00645D3D">
            <w:pPr>
              <w:jc w:val="left"/>
              <w:rPr>
                <w:rFonts w:cs="Arial"/>
              </w:rPr>
            </w:pPr>
            <w:r w:rsidRPr="000620CC">
              <w:rPr>
                <w:rFonts w:cs="Arial"/>
              </w:rPr>
              <w:t>Imposto sobre Propriedade de Veículos Automotores</w:t>
            </w:r>
          </w:p>
        </w:tc>
      </w:tr>
      <w:tr w:rsidR="0053262C" w:rsidRPr="000620CC" w14:paraId="634546DE" w14:textId="77777777" w:rsidTr="00DE00AC">
        <w:trPr>
          <w:trHeight w:val="300"/>
        </w:trPr>
        <w:tc>
          <w:tcPr>
            <w:tcW w:w="1560" w:type="dxa"/>
            <w:shd w:val="clear" w:color="auto" w:fill="auto"/>
            <w:vAlign w:val="center"/>
          </w:tcPr>
          <w:p w14:paraId="67DE34B8" w14:textId="61B71295" w:rsidR="0053262C" w:rsidRPr="000620CC" w:rsidRDefault="0053262C" w:rsidP="00645D3D">
            <w:pPr>
              <w:jc w:val="left"/>
              <w:rPr>
                <w:rFonts w:cs="Arial"/>
              </w:rPr>
            </w:pPr>
            <w:r w:rsidRPr="000620CC">
              <w:rPr>
                <w:rFonts w:cs="Arial"/>
              </w:rPr>
              <w:t>Iquego</w:t>
            </w:r>
          </w:p>
        </w:tc>
        <w:tc>
          <w:tcPr>
            <w:tcW w:w="7524" w:type="dxa"/>
            <w:shd w:val="clear" w:color="auto" w:fill="auto"/>
            <w:vAlign w:val="center"/>
          </w:tcPr>
          <w:p w14:paraId="52996F07" w14:textId="063110B0" w:rsidR="0053262C" w:rsidRPr="000620CC" w:rsidRDefault="0053262C" w:rsidP="00645D3D">
            <w:pPr>
              <w:jc w:val="left"/>
              <w:rPr>
                <w:rFonts w:cs="Arial"/>
              </w:rPr>
            </w:pPr>
            <w:r w:rsidRPr="000620CC">
              <w:rPr>
                <w:rFonts w:cs="Arial"/>
              </w:rPr>
              <w:t>Indústria Química do Estado de Goiás S/A</w:t>
            </w:r>
          </w:p>
        </w:tc>
      </w:tr>
      <w:tr w:rsidR="00645D3D" w:rsidRPr="000620CC" w14:paraId="1DA07880" w14:textId="77777777" w:rsidTr="00DE00AC">
        <w:trPr>
          <w:trHeight w:val="300"/>
        </w:trPr>
        <w:tc>
          <w:tcPr>
            <w:tcW w:w="1560" w:type="dxa"/>
            <w:shd w:val="clear" w:color="auto" w:fill="auto"/>
            <w:vAlign w:val="center"/>
            <w:hideMark/>
          </w:tcPr>
          <w:p w14:paraId="7F4DA08B" w14:textId="77777777" w:rsidR="00645D3D" w:rsidRPr="000620CC" w:rsidRDefault="00645D3D" w:rsidP="00645D3D">
            <w:pPr>
              <w:jc w:val="left"/>
              <w:rPr>
                <w:rFonts w:cs="Arial"/>
              </w:rPr>
            </w:pPr>
            <w:r w:rsidRPr="000620CC">
              <w:rPr>
                <w:rFonts w:cs="Arial"/>
              </w:rPr>
              <w:t>IRRF</w:t>
            </w:r>
          </w:p>
        </w:tc>
        <w:tc>
          <w:tcPr>
            <w:tcW w:w="7524" w:type="dxa"/>
            <w:shd w:val="clear" w:color="auto" w:fill="auto"/>
            <w:vAlign w:val="center"/>
            <w:hideMark/>
          </w:tcPr>
          <w:p w14:paraId="6014EBA1" w14:textId="77777777" w:rsidR="00645D3D" w:rsidRPr="000620CC" w:rsidRDefault="00645D3D" w:rsidP="00645D3D">
            <w:pPr>
              <w:jc w:val="left"/>
              <w:rPr>
                <w:rFonts w:cs="Arial"/>
              </w:rPr>
            </w:pPr>
            <w:r w:rsidRPr="000620CC">
              <w:rPr>
                <w:rFonts w:cs="Arial"/>
              </w:rPr>
              <w:t>Imposto sobre a Renda e Proventos de Qualquer Natureza Retido na Fonte</w:t>
            </w:r>
          </w:p>
        </w:tc>
      </w:tr>
      <w:tr w:rsidR="00645D3D" w:rsidRPr="000620CC" w14:paraId="1C56EE98" w14:textId="77777777" w:rsidTr="00DE00AC">
        <w:trPr>
          <w:trHeight w:val="300"/>
        </w:trPr>
        <w:tc>
          <w:tcPr>
            <w:tcW w:w="1560" w:type="dxa"/>
            <w:shd w:val="clear" w:color="auto" w:fill="auto"/>
            <w:vAlign w:val="center"/>
          </w:tcPr>
          <w:p w14:paraId="303B8764" w14:textId="77777777" w:rsidR="00645D3D" w:rsidRPr="000620CC" w:rsidRDefault="00645D3D" w:rsidP="00645D3D">
            <w:pPr>
              <w:jc w:val="left"/>
              <w:rPr>
                <w:rFonts w:cs="Arial"/>
              </w:rPr>
            </w:pPr>
            <w:r w:rsidRPr="000620CC">
              <w:rPr>
                <w:rFonts w:cs="Arial"/>
              </w:rPr>
              <w:t>ISG</w:t>
            </w:r>
          </w:p>
        </w:tc>
        <w:tc>
          <w:tcPr>
            <w:tcW w:w="7524" w:type="dxa"/>
            <w:shd w:val="clear" w:color="auto" w:fill="auto"/>
            <w:vAlign w:val="center"/>
          </w:tcPr>
          <w:p w14:paraId="76C5C657" w14:textId="77777777" w:rsidR="00645D3D" w:rsidRPr="000620CC" w:rsidRDefault="00645D3D" w:rsidP="00645D3D">
            <w:pPr>
              <w:jc w:val="left"/>
              <w:rPr>
                <w:rFonts w:cs="Arial"/>
              </w:rPr>
            </w:pPr>
            <w:r w:rsidRPr="000620CC">
              <w:rPr>
                <w:rFonts w:cs="Arial"/>
              </w:rPr>
              <w:t>Instituto Sócrates Guanaes</w:t>
            </w:r>
          </w:p>
        </w:tc>
      </w:tr>
      <w:tr w:rsidR="00645D3D" w:rsidRPr="000620CC" w14:paraId="336C41B4" w14:textId="77777777" w:rsidTr="00DE00AC">
        <w:trPr>
          <w:trHeight w:val="300"/>
        </w:trPr>
        <w:tc>
          <w:tcPr>
            <w:tcW w:w="1560" w:type="dxa"/>
            <w:shd w:val="clear" w:color="auto" w:fill="auto"/>
            <w:vAlign w:val="center"/>
            <w:hideMark/>
          </w:tcPr>
          <w:p w14:paraId="4E0C01C7" w14:textId="77777777" w:rsidR="00645D3D" w:rsidRPr="000620CC" w:rsidRDefault="00645D3D" w:rsidP="00645D3D">
            <w:pPr>
              <w:jc w:val="left"/>
              <w:rPr>
                <w:rFonts w:cs="Arial"/>
              </w:rPr>
            </w:pPr>
            <w:r w:rsidRPr="000620CC">
              <w:rPr>
                <w:rFonts w:cs="Arial"/>
              </w:rPr>
              <w:t>ITCD</w:t>
            </w:r>
          </w:p>
        </w:tc>
        <w:tc>
          <w:tcPr>
            <w:tcW w:w="7524" w:type="dxa"/>
            <w:shd w:val="clear" w:color="auto" w:fill="auto"/>
            <w:vAlign w:val="center"/>
            <w:hideMark/>
          </w:tcPr>
          <w:p w14:paraId="3DAD10DA" w14:textId="77777777" w:rsidR="00645D3D" w:rsidRPr="000620CC" w:rsidRDefault="00645D3D" w:rsidP="00645D3D">
            <w:pPr>
              <w:jc w:val="left"/>
              <w:rPr>
                <w:rFonts w:cs="Arial"/>
              </w:rPr>
            </w:pPr>
            <w:r w:rsidRPr="000620CC">
              <w:rPr>
                <w:rFonts w:cs="Arial"/>
              </w:rPr>
              <w:t>Imposto sobre Transmissão causa mortis e Doação de Bens e Direitos</w:t>
            </w:r>
          </w:p>
        </w:tc>
      </w:tr>
      <w:tr w:rsidR="00645D3D" w:rsidRPr="000620CC" w14:paraId="293C1877" w14:textId="77777777" w:rsidTr="00DE00AC">
        <w:trPr>
          <w:trHeight w:val="300"/>
        </w:trPr>
        <w:tc>
          <w:tcPr>
            <w:tcW w:w="1560" w:type="dxa"/>
            <w:shd w:val="clear" w:color="auto" w:fill="auto"/>
            <w:vAlign w:val="center"/>
            <w:hideMark/>
          </w:tcPr>
          <w:p w14:paraId="5B216D4E" w14:textId="77777777" w:rsidR="00645D3D" w:rsidRPr="000620CC" w:rsidRDefault="00645D3D" w:rsidP="00645D3D">
            <w:pPr>
              <w:jc w:val="left"/>
              <w:rPr>
                <w:rFonts w:cs="Arial"/>
              </w:rPr>
            </w:pPr>
            <w:r w:rsidRPr="000620CC">
              <w:rPr>
                <w:rFonts w:cs="Arial"/>
              </w:rPr>
              <w:t>LC</w:t>
            </w:r>
          </w:p>
        </w:tc>
        <w:tc>
          <w:tcPr>
            <w:tcW w:w="7524" w:type="dxa"/>
            <w:shd w:val="clear" w:color="auto" w:fill="auto"/>
            <w:vAlign w:val="center"/>
            <w:hideMark/>
          </w:tcPr>
          <w:p w14:paraId="2C6B3E27" w14:textId="77777777" w:rsidR="00645D3D" w:rsidRPr="000620CC" w:rsidRDefault="00645D3D" w:rsidP="00645D3D">
            <w:pPr>
              <w:jc w:val="left"/>
              <w:rPr>
                <w:rFonts w:cs="Arial"/>
              </w:rPr>
            </w:pPr>
            <w:r w:rsidRPr="000620CC">
              <w:rPr>
                <w:rFonts w:cs="Arial"/>
              </w:rPr>
              <w:t>Lei Complementar</w:t>
            </w:r>
          </w:p>
        </w:tc>
      </w:tr>
      <w:tr w:rsidR="00645D3D" w:rsidRPr="000620CC" w14:paraId="0541FE48" w14:textId="77777777" w:rsidTr="00DE00AC">
        <w:trPr>
          <w:trHeight w:val="300"/>
        </w:trPr>
        <w:tc>
          <w:tcPr>
            <w:tcW w:w="1560" w:type="dxa"/>
            <w:shd w:val="clear" w:color="auto" w:fill="auto"/>
            <w:vAlign w:val="center"/>
            <w:hideMark/>
          </w:tcPr>
          <w:p w14:paraId="01834CD9" w14:textId="77777777" w:rsidR="00645D3D" w:rsidRPr="000620CC" w:rsidRDefault="00645D3D" w:rsidP="00645D3D">
            <w:pPr>
              <w:jc w:val="left"/>
              <w:rPr>
                <w:rFonts w:cs="Arial"/>
              </w:rPr>
            </w:pPr>
            <w:r w:rsidRPr="000620CC">
              <w:rPr>
                <w:rFonts w:cs="Arial"/>
              </w:rPr>
              <w:t>LDB</w:t>
            </w:r>
          </w:p>
        </w:tc>
        <w:tc>
          <w:tcPr>
            <w:tcW w:w="7524" w:type="dxa"/>
            <w:shd w:val="clear" w:color="auto" w:fill="auto"/>
            <w:vAlign w:val="center"/>
            <w:hideMark/>
          </w:tcPr>
          <w:p w14:paraId="2527DC7A" w14:textId="77777777" w:rsidR="00645D3D" w:rsidRPr="000620CC" w:rsidRDefault="00645D3D" w:rsidP="00645D3D">
            <w:pPr>
              <w:jc w:val="left"/>
              <w:rPr>
                <w:rFonts w:cs="Arial"/>
              </w:rPr>
            </w:pPr>
            <w:r w:rsidRPr="000620CC">
              <w:rPr>
                <w:rFonts w:cs="Arial"/>
              </w:rPr>
              <w:t>Lei de Diretrizes e Bases da Educação Nacional</w:t>
            </w:r>
          </w:p>
        </w:tc>
      </w:tr>
      <w:tr w:rsidR="00645D3D" w:rsidRPr="000620CC" w14:paraId="07589DAC" w14:textId="77777777" w:rsidTr="00DE00AC">
        <w:trPr>
          <w:trHeight w:val="300"/>
        </w:trPr>
        <w:tc>
          <w:tcPr>
            <w:tcW w:w="1560" w:type="dxa"/>
            <w:shd w:val="clear" w:color="auto" w:fill="auto"/>
            <w:vAlign w:val="center"/>
            <w:hideMark/>
          </w:tcPr>
          <w:p w14:paraId="4FC4B37C" w14:textId="77777777" w:rsidR="00645D3D" w:rsidRPr="000620CC" w:rsidRDefault="00645D3D" w:rsidP="00645D3D">
            <w:pPr>
              <w:jc w:val="left"/>
              <w:rPr>
                <w:rFonts w:cs="Arial"/>
              </w:rPr>
            </w:pPr>
            <w:r w:rsidRPr="000620CC">
              <w:rPr>
                <w:rFonts w:cs="Arial"/>
              </w:rPr>
              <w:t>LDO</w:t>
            </w:r>
          </w:p>
        </w:tc>
        <w:tc>
          <w:tcPr>
            <w:tcW w:w="7524" w:type="dxa"/>
            <w:shd w:val="clear" w:color="auto" w:fill="auto"/>
            <w:vAlign w:val="center"/>
            <w:hideMark/>
          </w:tcPr>
          <w:p w14:paraId="48267B65" w14:textId="77777777" w:rsidR="00645D3D" w:rsidRPr="000620CC" w:rsidRDefault="00645D3D" w:rsidP="00645D3D">
            <w:pPr>
              <w:jc w:val="left"/>
              <w:rPr>
                <w:rFonts w:cs="Arial"/>
              </w:rPr>
            </w:pPr>
            <w:r w:rsidRPr="000620CC">
              <w:rPr>
                <w:rFonts w:cs="Arial"/>
              </w:rPr>
              <w:t>Lei de Diretrizes Orçamentárias</w:t>
            </w:r>
          </w:p>
        </w:tc>
      </w:tr>
      <w:tr w:rsidR="00645D3D" w:rsidRPr="000620CC" w14:paraId="1FDCDFBF" w14:textId="77777777" w:rsidTr="00DE00AC">
        <w:trPr>
          <w:trHeight w:val="300"/>
        </w:trPr>
        <w:tc>
          <w:tcPr>
            <w:tcW w:w="1560" w:type="dxa"/>
            <w:shd w:val="clear" w:color="auto" w:fill="auto"/>
            <w:vAlign w:val="center"/>
            <w:hideMark/>
          </w:tcPr>
          <w:p w14:paraId="6DA58A00" w14:textId="77777777" w:rsidR="00645D3D" w:rsidRPr="000620CC" w:rsidRDefault="00645D3D" w:rsidP="00645D3D">
            <w:pPr>
              <w:jc w:val="left"/>
              <w:rPr>
                <w:rFonts w:cs="Arial"/>
              </w:rPr>
            </w:pPr>
            <w:r w:rsidRPr="000620CC">
              <w:rPr>
                <w:rFonts w:cs="Arial"/>
              </w:rPr>
              <w:t>LOA</w:t>
            </w:r>
          </w:p>
        </w:tc>
        <w:tc>
          <w:tcPr>
            <w:tcW w:w="7524" w:type="dxa"/>
            <w:shd w:val="clear" w:color="auto" w:fill="auto"/>
            <w:vAlign w:val="center"/>
            <w:hideMark/>
          </w:tcPr>
          <w:p w14:paraId="02AC1CE3" w14:textId="77777777" w:rsidR="00645D3D" w:rsidRPr="000620CC" w:rsidRDefault="00645D3D" w:rsidP="00645D3D">
            <w:pPr>
              <w:jc w:val="left"/>
              <w:rPr>
                <w:rFonts w:cs="Arial"/>
              </w:rPr>
            </w:pPr>
            <w:r w:rsidRPr="000620CC">
              <w:rPr>
                <w:rFonts w:cs="Arial"/>
              </w:rPr>
              <w:t>Lei Orçamentária Anual</w:t>
            </w:r>
          </w:p>
        </w:tc>
      </w:tr>
      <w:tr w:rsidR="00645D3D" w:rsidRPr="000620CC" w14:paraId="7DF5E43F" w14:textId="77777777" w:rsidTr="00DE00AC">
        <w:trPr>
          <w:trHeight w:val="300"/>
        </w:trPr>
        <w:tc>
          <w:tcPr>
            <w:tcW w:w="1560" w:type="dxa"/>
            <w:shd w:val="clear" w:color="auto" w:fill="auto"/>
            <w:vAlign w:val="center"/>
          </w:tcPr>
          <w:p w14:paraId="77806D77" w14:textId="282C1FEE" w:rsidR="00645D3D" w:rsidRPr="000620CC" w:rsidRDefault="00645D3D" w:rsidP="00645D3D">
            <w:pPr>
              <w:jc w:val="left"/>
              <w:rPr>
                <w:rFonts w:cs="Arial"/>
              </w:rPr>
            </w:pPr>
            <w:r w:rsidRPr="000620CC">
              <w:rPr>
                <w:rFonts w:cs="Arial"/>
              </w:rPr>
              <w:t>LO</w:t>
            </w:r>
            <w:r w:rsidR="00F21FBF" w:rsidRPr="000620CC">
              <w:rPr>
                <w:rFonts w:cs="Arial"/>
              </w:rPr>
              <w:t>TCE/GO</w:t>
            </w:r>
          </w:p>
        </w:tc>
        <w:tc>
          <w:tcPr>
            <w:tcW w:w="7524" w:type="dxa"/>
            <w:shd w:val="clear" w:color="auto" w:fill="auto"/>
            <w:vAlign w:val="center"/>
          </w:tcPr>
          <w:p w14:paraId="14F45F3A" w14:textId="77777777" w:rsidR="00645D3D" w:rsidRPr="000620CC" w:rsidRDefault="00645D3D" w:rsidP="00645D3D">
            <w:pPr>
              <w:jc w:val="left"/>
              <w:rPr>
                <w:rFonts w:cs="Arial"/>
              </w:rPr>
            </w:pPr>
            <w:r w:rsidRPr="000620CC">
              <w:rPr>
                <w:rFonts w:cs="Arial"/>
              </w:rPr>
              <w:t>Lei Orgânica do Tribunal de Contas do Estado de Goiás</w:t>
            </w:r>
          </w:p>
        </w:tc>
      </w:tr>
      <w:tr w:rsidR="00645D3D" w:rsidRPr="000620CC" w14:paraId="402C1828" w14:textId="77777777" w:rsidTr="00DE00AC">
        <w:trPr>
          <w:trHeight w:val="300"/>
        </w:trPr>
        <w:tc>
          <w:tcPr>
            <w:tcW w:w="1560" w:type="dxa"/>
            <w:shd w:val="clear" w:color="auto" w:fill="auto"/>
            <w:vAlign w:val="center"/>
            <w:hideMark/>
          </w:tcPr>
          <w:p w14:paraId="5D423D38" w14:textId="77777777" w:rsidR="00645D3D" w:rsidRPr="000620CC" w:rsidRDefault="00645D3D" w:rsidP="00645D3D">
            <w:pPr>
              <w:jc w:val="left"/>
              <w:rPr>
                <w:rFonts w:cs="Arial"/>
              </w:rPr>
            </w:pPr>
            <w:r w:rsidRPr="000620CC">
              <w:rPr>
                <w:rFonts w:cs="Arial"/>
              </w:rPr>
              <w:t>LRF</w:t>
            </w:r>
          </w:p>
        </w:tc>
        <w:tc>
          <w:tcPr>
            <w:tcW w:w="7524" w:type="dxa"/>
            <w:shd w:val="clear" w:color="auto" w:fill="auto"/>
            <w:noWrap/>
            <w:vAlign w:val="center"/>
            <w:hideMark/>
          </w:tcPr>
          <w:p w14:paraId="513382C1" w14:textId="77777777" w:rsidR="00645D3D" w:rsidRPr="000620CC" w:rsidRDefault="00645D3D" w:rsidP="00645D3D">
            <w:pPr>
              <w:jc w:val="left"/>
              <w:rPr>
                <w:rFonts w:cs="Arial"/>
              </w:rPr>
            </w:pPr>
            <w:r w:rsidRPr="000620CC">
              <w:rPr>
                <w:rFonts w:cs="Arial"/>
              </w:rPr>
              <w:t>Lei de Responsabilidade Fiscal</w:t>
            </w:r>
          </w:p>
        </w:tc>
      </w:tr>
      <w:tr w:rsidR="00645D3D" w:rsidRPr="000620CC" w14:paraId="06650CDD" w14:textId="77777777" w:rsidTr="00DE00AC">
        <w:trPr>
          <w:trHeight w:val="300"/>
        </w:trPr>
        <w:tc>
          <w:tcPr>
            <w:tcW w:w="1560" w:type="dxa"/>
            <w:shd w:val="clear" w:color="auto" w:fill="auto"/>
            <w:vAlign w:val="center"/>
            <w:hideMark/>
          </w:tcPr>
          <w:p w14:paraId="76A77B8A" w14:textId="6B5080F4" w:rsidR="00645D3D" w:rsidRPr="000620CC" w:rsidRDefault="0025712D" w:rsidP="00645D3D">
            <w:pPr>
              <w:jc w:val="left"/>
              <w:rPr>
                <w:rFonts w:cs="Arial"/>
              </w:rPr>
            </w:pPr>
            <w:r w:rsidRPr="000620CC">
              <w:rPr>
                <w:rFonts w:cs="Arial"/>
              </w:rPr>
              <w:t>MCASP</w:t>
            </w:r>
          </w:p>
        </w:tc>
        <w:tc>
          <w:tcPr>
            <w:tcW w:w="7524" w:type="dxa"/>
            <w:shd w:val="clear" w:color="auto" w:fill="auto"/>
            <w:vAlign w:val="center"/>
            <w:hideMark/>
          </w:tcPr>
          <w:p w14:paraId="123B4224" w14:textId="77777777" w:rsidR="00645D3D" w:rsidRPr="000620CC" w:rsidRDefault="00645D3D" w:rsidP="00645D3D">
            <w:pPr>
              <w:jc w:val="left"/>
              <w:rPr>
                <w:rFonts w:cs="Arial"/>
              </w:rPr>
            </w:pPr>
            <w:r w:rsidRPr="000620CC">
              <w:rPr>
                <w:rFonts w:cs="Arial"/>
              </w:rPr>
              <w:t>Manual de Contabilidade Aplicada ao Setor Público</w:t>
            </w:r>
          </w:p>
        </w:tc>
      </w:tr>
      <w:tr w:rsidR="00645D3D" w:rsidRPr="000620CC" w14:paraId="6507B909" w14:textId="77777777" w:rsidTr="00DE00AC">
        <w:trPr>
          <w:trHeight w:val="300"/>
        </w:trPr>
        <w:tc>
          <w:tcPr>
            <w:tcW w:w="1560" w:type="dxa"/>
            <w:shd w:val="clear" w:color="auto" w:fill="auto"/>
            <w:vAlign w:val="center"/>
            <w:hideMark/>
          </w:tcPr>
          <w:p w14:paraId="6DAB2D16" w14:textId="77777777" w:rsidR="00645D3D" w:rsidRPr="000620CC" w:rsidRDefault="00645D3D" w:rsidP="00645D3D">
            <w:pPr>
              <w:jc w:val="left"/>
              <w:rPr>
                <w:rFonts w:cs="Arial"/>
              </w:rPr>
            </w:pPr>
            <w:r w:rsidRPr="000620CC">
              <w:rPr>
                <w:rFonts w:cs="Arial"/>
              </w:rPr>
              <w:t>MDE</w:t>
            </w:r>
          </w:p>
        </w:tc>
        <w:tc>
          <w:tcPr>
            <w:tcW w:w="7524" w:type="dxa"/>
            <w:shd w:val="clear" w:color="auto" w:fill="auto"/>
            <w:vAlign w:val="center"/>
            <w:hideMark/>
          </w:tcPr>
          <w:p w14:paraId="5AED84AD" w14:textId="77777777" w:rsidR="00645D3D" w:rsidRPr="000620CC" w:rsidRDefault="00645D3D" w:rsidP="00645D3D">
            <w:pPr>
              <w:jc w:val="left"/>
              <w:rPr>
                <w:rFonts w:cs="Arial"/>
              </w:rPr>
            </w:pPr>
            <w:r w:rsidRPr="000620CC">
              <w:rPr>
                <w:rFonts w:cs="Arial"/>
              </w:rPr>
              <w:t>Manutenção e Desenvolvimento do Ensino</w:t>
            </w:r>
          </w:p>
        </w:tc>
      </w:tr>
      <w:tr w:rsidR="00645D3D" w:rsidRPr="000620CC" w14:paraId="2FAE7CA7" w14:textId="77777777" w:rsidTr="00DE00AC">
        <w:trPr>
          <w:trHeight w:val="300"/>
        </w:trPr>
        <w:tc>
          <w:tcPr>
            <w:tcW w:w="1560" w:type="dxa"/>
            <w:shd w:val="clear" w:color="auto" w:fill="auto"/>
            <w:vAlign w:val="center"/>
            <w:hideMark/>
          </w:tcPr>
          <w:p w14:paraId="74528674" w14:textId="77777777" w:rsidR="00645D3D" w:rsidRPr="000620CC" w:rsidRDefault="00645D3D" w:rsidP="00645D3D">
            <w:pPr>
              <w:jc w:val="left"/>
              <w:rPr>
                <w:rFonts w:cs="Arial"/>
              </w:rPr>
            </w:pPr>
            <w:r w:rsidRPr="000620CC">
              <w:rPr>
                <w:rFonts w:cs="Arial"/>
              </w:rPr>
              <w:t>MDF</w:t>
            </w:r>
          </w:p>
        </w:tc>
        <w:tc>
          <w:tcPr>
            <w:tcW w:w="7524" w:type="dxa"/>
            <w:shd w:val="clear" w:color="auto" w:fill="auto"/>
            <w:vAlign w:val="center"/>
            <w:hideMark/>
          </w:tcPr>
          <w:p w14:paraId="1CFCF778" w14:textId="77777777" w:rsidR="00645D3D" w:rsidRPr="000620CC" w:rsidRDefault="00645D3D" w:rsidP="00645D3D">
            <w:pPr>
              <w:jc w:val="left"/>
              <w:rPr>
                <w:rFonts w:cs="Arial"/>
              </w:rPr>
            </w:pPr>
            <w:r w:rsidRPr="000620CC">
              <w:rPr>
                <w:rFonts w:cs="Arial"/>
              </w:rPr>
              <w:t>Manual dos Demonstrativos Fiscais</w:t>
            </w:r>
          </w:p>
        </w:tc>
      </w:tr>
      <w:tr w:rsidR="00DA5713" w:rsidRPr="000620CC" w14:paraId="5414063F" w14:textId="77777777" w:rsidTr="00DE00AC">
        <w:trPr>
          <w:trHeight w:val="300"/>
        </w:trPr>
        <w:tc>
          <w:tcPr>
            <w:tcW w:w="1560" w:type="dxa"/>
            <w:shd w:val="clear" w:color="auto" w:fill="auto"/>
            <w:vAlign w:val="center"/>
          </w:tcPr>
          <w:p w14:paraId="32FB4E90" w14:textId="3FE0DBCF" w:rsidR="00DA5713" w:rsidRPr="000620CC" w:rsidRDefault="00DA5713" w:rsidP="00645D3D">
            <w:pPr>
              <w:jc w:val="left"/>
              <w:rPr>
                <w:rFonts w:cs="Arial"/>
              </w:rPr>
            </w:pPr>
            <w:r w:rsidRPr="000620CC">
              <w:rPr>
                <w:rFonts w:cs="Arial"/>
              </w:rPr>
              <w:t>Metrobus</w:t>
            </w:r>
          </w:p>
        </w:tc>
        <w:tc>
          <w:tcPr>
            <w:tcW w:w="7524" w:type="dxa"/>
            <w:shd w:val="clear" w:color="auto" w:fill="auto"/>
            <w:vAlign w:val="center"/>
          </w:tcPr>
          <w:p w14:paraId="6E01BF47" w14:textId="13D87AF0" w:rsidR="00DA5713" w:rsidRPr="000620CC" w:rsidRDefault="00DA5713" w:rsidP="00645D3D">
            <w:pPr>
              <w:jc w:val="left"/>
              <w:rPr>
                <w:rFonts w:cs="Arial"/>
              </w:rPr>
            </w:pPr>
            <w:r w:rsidRPr="000620CC">
              <w:rPr>
                <w:rFonts w:cs="Arial"/>
              </w:rPr>
              <w:t>Metrobus Transportes Coletivos S/A</w:t>
            </w:r>
          </w:p>
        </w:tc>
      </w:tr>
      <w:tr w:rsidR="00645D3D" w:rsidRPr="000620CC" w14:paraId="7E37103C" w14:textId="77777777" w:rsidTr="00DE00AC">
        <w:trPr>
          <w:trHeight w:val="300"/>
        </w:trPr>
        <w:tc>
          <w:tcPr>
            <w:tcW w:w="1560" w:type="dxa"/>
            <w:shd w:val="clear" w:color="auto" w:fill="auto"/>
            <w:vAlign w:val="center"/>
          </w:tcPr>
          <w:p w14:paraId="53F0E623" w14:textId="77777777" w:rsidR="00645D3D" w:rsidRPr="000620CC" w:rsidRDefault="00645D3D" w:rsidP="00645D3D">
            <w:pPr>
              <w:jc w:val="left"/>
              <w:rPr>
                <w:rFonts w:cs="Arial"/>
              </w:rPr>
            </w:pPr>
            <w:r w:rsidRPr="000620CC">
              <w:rPr>
                <w:rFonts w:cs="Arial"/>
              </w:rPr>
              <w:t>MP-GO</w:t>
            </w:r>
          </w:p>
        </w:tc>
        <w:tc>
          <w:tcPr>
            <w:tcW w:w="7524" w:type="dxa"/>
            <w:shd w:val="clear" w:color="auto" w:fill="auto"/>
            <w:vAlign w:val="center"/>
          </w:tcPr>
          <w:p w14:paraId="5BB9B3E4" w14:textId="77777777" w:rsidR="00645D3D" w:rsidRPr="000620CC" w:rsidRDefault="00645D3D" w:rsidP="00645D3D">
            <w:pPr>
              <w:jc w:val="left"/>
              <w:rPr>
                <w:rFonts w:cs="Arial"/>
              </w:rPr>
            </w:pPr>
            <w:r w:rsidRPr="000620CC">
              <w:rPr>
                <w:rFonts w:cs="Arial"/>
              </w:rPr>
              <w:t>Ministério Público do Estado de Goiás</w:t>
            </w:r>
          </w:p>
        </w:tc>
      </w:tr>
      <w:tr w:rsidR="00645D3D" w:rsidRPr="000620CC" w14:paraId="39810A2E" w14:textId="77777777" w:rsidTr="00DE00AC">
        <w:trPr>
          <w:trHeight w:val="300"/>
        </w:trPr>
        <w:tc>
          <w:tcPr>
            <w:tcW w:w="1560" w:type="dxa"/>
            <w:shd w:val="clear" w:color="auto" w:fill="auto"/>
            <w:vAlign w:val="center"/>
          </w:tcPr>
          <w:p w14:paraId="2176C8E8" w14:textId="77777777" w:rsidR="00645D3D" w:rsidRPr="000620CC" w:rsidRDefault="00645D3D" w:rsidP="00645D3D">
            <w:pPr>
              <w:jc w:val="left"/>
              <w:rPr>
                <w:rFonts w:cs="Arial"/>
              </w:rPr>
            </w:pPr>
            <w:r w:rsidRPr="000620CC">
              <w:rPr>
                <w:rFonts w:cs="Arial"/>
              </w:rPr>
              <w:t>MPF</w:t>
            </w:r>
          </w:p>
        </w:tc>
        <w:tc>
          <w:tcPr>
            <w:tcW w:w="7524" w:type="dxa"/>
            <w:shd w:val="clear" w:color="auto" w:fill="auto"/>
            <w:vAlign w:val="center"/>
          </w:tcPr>
          <w:p w14:paraId="6506308A" w14:textId="77777777" w:rsidR="00645D3D" w:rsidRPr="000620CC" w:rsidRDefault="00645D3D" w:rsidP="00645D3D">
            <w:pPr>
              <w:jc w:val="left"/>
              <w:rPr>
                <w:rFonts w:cs="Arial"/>
              </w:rPr>
            </w:pPr>
            <w:r w:rsidRPr="000620CC">
              <w:rPr>
                <w:rFonts w:cs="Arial"/>
              </w:rPr>
              <w:t>Ministério Público Federal</w:t>
            </w:r>
          </w:p>
        </w:tc>
      </w:tr>
      <w:tr w:rsidR="00645D3D" w:rsidRPr="000620CC" w14:paraId="726958EE" w14:textId="77777777" w:rsidTr="00DE00AC">
        <w:trPr>
          <w:trHeight w:val="347"/>
        </w:trPr>
        <w:tc>
          <w:tcPr>
            <w:tcW w:w="1560" w:type="dxa"/>
            <w:shd w:val="clear" w:color="auto" w:fill="auto"/>
            <w:vAlign w:val="center"/>
            <w:hideMark/>
          </w:tcPr>
          <w:p w14:paraId="7B6B8024" w14:textId="77777777" w:rsidR="00645D3D" w:rsidRPr="000620CC" w:rsidRDefault="00645D3D" w:rsidP="00645D3D">
            <w:pPr>
              <w:jc w:val="left"/>
              <w:rPr>
                <w:rFonts w:cs="Arial"/>
              </w:rPr>
            </w:pPr>
            <w:r w:rsidRPr="000620CC">
              <w:rPr>
                <w:rFonts w:cs="Arial"/>
              </w:rPr>
              <w:t>NBC TSP</w:t>
            </w:r>
          </w:p>
        </w:tc>
        <w:tc>
          <w:tcPr>
            <w:tcW w:w="7524" w:type="dxa"/>
            <w:shd w:val="clear" w:color="auto" w:fill="auto"/>
            <w:vAlign w:val="center"/>
            <w:hideMark/>
          </w:tcPr>
          <w:p w14:paraId="661FF0E4" w14:textId="77777777" w:rsidR="00645D3D" w:rsidRPr="000620CC" w:rsidRDefault="00645D3D" w:rsidP="00645D3D">
            <w:pPr>
              <w:jc w:val="left"/>
              <w:rPr>
                <w:rFonts w:cs="Arial"/>
              </w:rPr>
            </w:pPr>
            <w:r w:rsidRPr="000620CC">
              <w:rPr>
                <w:rFonts w:cs="Arial"/>
              </w:rPr>
              <w:t>Normas Brasileiras de Contabilidade Aplicada ao Setor Público – NBC TSP</w:t>
            </w:r>
          </w:p>
        </w:tc>
      </w:tr>
      <w:tr w:rsidR="00AD5D2A" w:rsidRPr="000620CC" w14:paraId="389B25F9" w14:textId="77777777" w:rsidTr="00DE00AC">
        <w:trPr>
          <w:trHeight w:val="300"/>
        </w:trPr>
        <w:tc>
          <w:tcPr>
            <w:tcW w:w="1560" w:type="dxa"/>
            <w:shd w:val="clear" w:color="auto" w:fill="auto"/>
            <w:vAlign w:val="center"/>
          </w:tcPr>
          <w:p w14:paraId="40E09E37" w14:textId="298FDD20" w:rsidR="00AD5D2A" w:rsidRPr="000620CC" w:rsidRDefault="00AD5D2A" w:rsidP="00645D3D">
            <w:pPr>
              <w:jc w:val="left"/>
              <w:rPr>
                <w:rFonts w:cs="Arial"/>
              </w:rPr>
            </w:pPr>
            <w:r w:rsidRPr="000620CC">
              <w:rPr>
                <w:rFonts w:cs="Arial"/>
              </w:rPr>
              <w:lastRenderedPageBreak/>
              <w:t>NFC-e</w:t>
            </w:r>
          </w:p>
        </w:tc>
        <w:tc>
          <w:tcPr>
            <w:tcW w:w="7524" w:type="dxa"/>
            <w:shd w:val="clear" w:color="auto" w:fill="auto"/>
            <w:noWrap/>
            <w:vAlign w:val="center"/>
          </w:tcPr>
          <w:p w14:paraId="042272CF" w14:textId="2855125C" w:rsidR="00AD5D2A" w:rsidRPr="000620CC" w:rsidRDefault="00AD5D2A" w:rsidP="00645D3D">
            <w:pPr>
              <w:jc w:val="left"/>
              <w:rPr>
                <w:rFonts w:cs="Arial"/>
              </w:rPr>
            </w:pPr>
            <w:r w:rsidRPr="000620CC">
              <w:rPr>
                <w:rFonts w:cs="Arial"/>
              </w:rPr>
              <w:t>Nota Fiscal do Consumidor Eletrônica</w:t>
            </w:r>
          </w:p>
        </w:tc>
      </w:tr>
      <w:tr w:rsidR="00645D3D" w:rsidRPr="000620CC" w14:paraId="6C9F3CD1" w14:textId="77777777" w:rsidTr="00DE00AC">
        <w:trPr>
          <w:trHeight w:val="300"/>
        </w:trPr>
        <w:tc>
          <w:tcPr>
            <w:tcW w:w="1560" w:type="dxa"/>
            <w:shd w:val="clear" w:color="auto" w:fill="auto"/>
            <w:vAlign w:val="center"/>
          </w:tcPr>
          <w:p w14:paraId="4E859733" w14:textId="77777777" w:rsidR="00645D3D" w:rsidRPr="000620CC" w:rsidRDefault="00645D3D" w:rsidP="00645D3D">
            <w:pPr>
              <w:jc w:val="left"/>
              <w:rPr>
                <w:rFonts w:cs="Arial"/>
              </w:rPr>
            </w:pPr>
            <w:r w:rsidRPr="000620CC">
              <w:rPr>
                <w:rFonts w:cs="Arial"/>
              </w:rPr>
              <w:t>OCP</w:t>
            </w:r>
          </w:p>
        </w:tc>
        <w:tc>
          <w:tcPr>
            <w:tcW w:w="7524" w:type="dxa"/>
            <w:shd w:val="clear" w:color="auto" w:fill="auto"/>
            <w:noWrap/>
            <w:vAlign w:val="center"/>
          </w:tcPr>
          <w:p w14:paraId="7606595D" w14:textId="77777777" w:rsidR="00645D3D" w:rsidRPr="000620CC" w:rsidRDefault="00645D3D" w:rsidP="00645D3D">
            <w:pPr>
              <w:jc w:val="left"/>
              <w:rPr>
                <w:rFonts w:cs="Arial"/>
              </w:rPr>
            </w:pPr>
            <w:r w:rsidRPr="000620CC">
              <w:rPr>
                <w:rFonts w:cs="Arial"/>
              </w:rPr>
              <w:t>Ordem Cronológica de Pagamentos</w:t>
            </w:r>
          </w:p>
        </w:tc>
      </w:tr>
      <w:tr w:rsidR="00645D3D" w:rsidRPr="000620CC" w14:paraId="10C7CA18" w14:textId="77777777" w:rsidTr="00DE00AC">
        <w:trPr>
          <w:trHeight w:val="300"/>
        </w:trPr>
        <w:tc>
          <w:tcPr>
            <w:tcW w:w="1560" w:type="dxa"/>
            <w:shd w:val="clear" w:color="auto" w:fill="auto"/>
            <w:vAlign w:val="center"/>
          </w:tcPr>
          <w:p w14:paraId="33ED1DD4" w14:textId="77777777" w:rsidR="00645D3D" w:rsidRPr="000620CC" w:rsidRDefault="00645D3D" w:rsidP="00645D3D">
            <w:pPr>
              <w:jc w:val="left"/>
              <w:rPr>
                <w:rFonts w:cs="Arial"/>
              </w:rPr>
            </w:pPr>
            <w:r w:rsidRPr="000620CC">
              <w:rPr>
                <w:rFonts w:cs="Arial"/>
              </w:rPr>
              <w:t>ODS</w:t>
            </w:r>
          </w:p>
        </w:tc>
        <w:tc>
          <w:tcPr>
            <w:tcW w:w="7524" w:type="dxa"/>
            <w:shd w:val="clear" w:color="auto" w:fill="auto"/>
            <w:noWrap/>
            <w:vAlign w:val="center"/>
          </w:tcPr>
          <w:p w14:paraId="2A9E2A41" w14:textId="77777777" w:rsidR="00645D3D" w:rsidRPr="000620CC" w:rsidRDefault="00645D3D" w:rsidP="00645D3D">
            <w:pPr>
              <w:jc w:val="left"/>
              <w:rPr>
                <w:rFonts w:cs="Arial"/>
              </w:rPr>
            </w:pPr>
            <w:r w:rsidRPr="000620CC">
              <w:rPr>
                <w:rFonts w:cs="Arial"/>
              </w:rPr>
              <w:t>Objetivos de Desenvolvimento Sustentável</w:t>
            </w:r>
          </w:p>
        </w:tc>
      </w:tr>
      <w:tr w:rsidR="00645D3D" w:rsidRPr="000620CC" w14:paraId="5276E14C" w14:textId="77777777" w:rsidTr="00DE00AC">
        <w:trPr>
          <w:trHeight w:val="300"/>
        </w:trPr>
        <w:tc>
          <w:tcPr>
            <w:tcW w:w="1560" w:type="dxa"/>
            <w:shd w:val="clear" w:color="auto" w:fill="auto"/>
            <w:vAlign w:val="center"/>
            <w:hideMark/>
          </w:tcPr>
          <w:p w14:paraId="5BA0C353" w14:textId="77777777" w:rsidR="00645D3D" w:rsidRPr="000620CC" w:rsidRDefault="00645D3D" w:rsidP="00645D3D">
            <w:pPr>
              <w:jc w:val="left"/>
              <w:rPr>
                <w:rFonts w:cs="Arial"/>
              </w:rPr>
            </w:pPr>
            <w:r w:rsidRPr="000620CC">
              <w:rPr>
                <w:rFonts w:cs="Arial"/>
              </w:rPr>
              <w:t>OGE</w:t>
            </w:r>
          </w:p>
        </w:tc>
        <w:tc>
          <w:tcPr>
            <w:tcW w:w="7524" w:type="dxa"/>
            <w:shd w:val="clear" w:color="auto" w:fill="auto"/>
            <w:noWrap/>
            <w:vAlign w:val="center"/>
            <w:hideMark/>
          </w:tcPr>
          <w:p w14:paraId="4172215E" w14:textId="77777777" w:rsidR="00645D3D" w:rsidRPr="000620CC" w:rsidRDefault="00645D3D" w:rsidP="00645D3D">
            <w:pPr>
              <w:jc w:val="left"/>
              <w:rPr>
                <w:rFonts w:cs="Arial"/>
              </w:rPr>
            </w:pPr>
            <w:r w:rsidRPr="000620CC">
              <w:rPr>
                <w:rFonts w:cs="Arial"/>
              </w:rPr>
              <w:t xml:space="preserve">Orçamento Geral do Estado </w:t>
            </w:r>
          </w:p>
        </w:tc>
      </w:tr>
      <w:tr w:rsidR="00645D3D" w:rsidRPr="000620CC" w14:paraId="09ABA4EA" w14:textId="77777777" w:rsidTr="00DE00AC">
        <w:trPr>
          <w:trHeight w:val="300"/>
        </w:trPr>
        <w:tc>
          <w:tcPr>
            <w:tcW w:w="1560" w:type="dxa"/>
            <w:shd w:val="clear" w:color="auto" w:fill="auto"/>
            <w:vAlign w:val="center"/>
          </w:tcPr>
          <w:p w14:paraId="35AE0BC2" w14:textId="77777777" w:rsidR="00645D3D" w:rsidRPr="000620CC" w:rsidRDefault="00645D3D" w:rsidP="00645D3D">
            <w:pPr>
              <w:jc w:val="left"/>
              <w:rPr>
                <w:rFonts w:cs="Arial"/>
              </w:rPr>
            </w:pPr>
            <w:r w:rsidRPr="000620CC">
              <w:rPr>
                <w:rFonts w:cs="Arial"/>
              </w:rPr>
              <w:t>ONU</w:t>
            </w:r>
          </w:p>
        </w:tc>
        <w:tc>
          <w:tcPr>
            <w:tcW w:w="7524" w:type="dxa"/>
            <w:shd w:val="clear" w:color="auto" w:fill="auto"/>
            <w:noWrap/>
            <w:vAlign w:val="center"/>
          </w:tcPr>
          <w:p w14:paraId="7105E192" w14:textId="77777777" w:rsidR="00645D3D" w:rsidRPr="000620CC" w:rsidRDefault="00645D3D" w:rsidP="00645D3D">
            <w:pPr>
              <w:jc w:val="left"/>
              <w:rPr>
                <w:rFonts w:cs="Arial"/>
              </w:rPr>
            </w:pPr>
            <w:r w:rsidRPr="000620CC">
              <w:rPr>
                <w:rFonts w:cs="Arial"/>
              </w:rPr>
              <w:t>Organização das Nações Unidas</w:t>
            </w:r>
          </w:p>
        </w:tc>
      </w:tr>
      <w:tr w:rsidR="00645D3D" w:rsidRPr="000620CC" w14:paraId="14C9A4DC" w14:textId="77777777" w:rsidTr="00DE00AC">
        <w:trPr>
          <w:trHeight w:val="300"/>
        </w:trPr>
        <w:tc>
          <w:tcPr>
            <w:tcW w:w="1560" w:type="dxa"/>
            <w:shd w:val="clear" w:color="auto" w:fill="auto"/>
            <w:vAlign w:val="center"/>
            <w:hideMark/>
          </w:tcPr>
          <w:p w14:paraId="18E256B0" w14:textId="77777777" w:rsidR="00645D3D" w:rsidRPr="000620CC" w:rsidRDefault="00645D3D" w:rsidP="00645D3D">
            <w:pPr>
              <w:jc w:val="left"/>
              <w:rPr>
                <w:rFonts w:cs="Arial"/>
              </w:rPr>
            </w:pPr>
            <w:r w:rsidRPr="000620CC">
              <w:rPr>
                <w:rFonts w:cs="Arial"/>
              </w:rPr>
              <w:t>OP</w:t>
            </w:r>
          </w:p>
        </w:tc>
        <w:tc>
          <w:tcPr>
            <w:tcW w:w="7524" w:type="dxa"/>
            <w:shd w:val="clear" w:color="auto" w:fill="auto"/>
            <w:vAlign w:val="center"/>
            <w:hideMark/>
          </w:tcPr>
          <w:p w14:paraId="3E2461D3" w14:textId="77777777" w:rsidR="00645D3D" w:rsidRPr="000620CC" w:rsidRDefault="00645D3D" w:rsidP="00645D3D">
            <w:pPr>
              <w:jc w:val="left"/>
              <w:rPr>
                <w:rFonts w:cs="Arial"/>
              </w:rPr>
            </w:pPr>
            <w:r w:rsidRPr="000620CC">
              <w:rPr>
                <w:rFonts w:cs="Arial"/>
              </w:rPr>
              <w:t>Ordem de Pagamento</w:t>
            </w:r>
          </w:p>
        </w:tc>
      </w:tr>
      <w:tr w:rsidR="00645D3D" w:rsidRPr="000620CC" w14:paraId="0D765F23" w14:textId="77777777" w:rsidTr="00DE00AC">
        <w:trPr>
          <w:trHeight w:val="300"/>
        </w:trPr>
        <w:tc>
          <w:tcPr>
            <w:tcW w:w="1560" w:type="dxa"/>
            <w:shd w:val="clear" w:color="auto" w:fill="auto"/>
            <w:vAlign w:val="center"/>
            <w:hideMark/>
          </w:tcPr>
          <w:p w14:paraId="404C68A6" w14:textId="77777777" w:rsidR="00645D3D" w:rsidRPr="000620CC" w:rsidRDefault="00645D3D" w:rsidP="00645D3D">
            <w:pPr>
              <w:jc w:val="left"/>
              <w:rPr>
                <w:rFonts w:cs="Arial"/>
              </w:rPr>
            </w:pPr>
            <w:r w:rsidRPr="000620CC">
              <w:rPr>
                <w:rFonts w:cs="Arial"/>
              </w:rPr>
              <w:t>OSS</w:t>
            </w:r>
          </w:p>
        </w:tc>
        <w:tc>
          <w:tcPr>
            <w:tcW w:w="7524" w:type="dxa"/>
            <w:shd w:val="clear" w:color="auto" w:fill="auto"/>
            <w:vAlign w:val="center"/>
            <w:hideMark/>
          </w:tcPr>
          <w:p w14:paraId="4E577D7F" w14:textId="77777777" w:rsidR="00645D3D" w:rsidRPr="000620CC" w:rsidRDefault="00645D3D" w:rsidP="00645D3D">
            <w:pPr>
              <w:jc w:val="left"/>
              <w:rPr>
                <w:rFonts w:cs="Arial"/>
              </w:rPr>
            </w:pPr>
            <w:r w:rsidRPr="000620CC">
              <w:rPr>
                <w:rFonts w:cs="Arial"/>
              </w:rPr>
              <w:t>Organização Social de Saúde</w:t>
            </w:r>
          </w:p>
        </w:tc>
      </w:tr>
      <w:tr w:rsidR="008F73A6" w:rsidRPr="000620CC" w14:paraId="7E8297D4" w14:textId="77777777" w:rsidTr="00DE00AC">
        <w:trPr>
          <w:trHeight w:val="300"/>
        </w:trPr>
        <w:tc>
          <w:tcPr>
            <w:tcW w:w="1560" w:type="dxa"/>
            <w:shd w:val="clear" w:color="auto" w:fill="auto"/>
            <w:vAlign w:val="center"/>
          </w:tcPr>
          <w:p w14:paraId="74EB87BC" w14:textId="1742BEE6" w:rsidR="008F73A6" w:rsidRPr="000620CC" w:rsidRDefault="008F73A6" w:rsidP="00645D3D">
            <w:pPr>
              <w:jc w:val="left"/>
              <w:rPr>
                <w:rFonts w:cs="Arial"/>
              </w:rPr>
            </w:pPr>
            <w:r w:rsidRPr="000620CC">
              <w:rPr>
                <w:rFonts w:cs="Arial"/>
              </w:rPr>
              <w:t>PAF</w:t>
            </w:r>
          </w:p>
        </w:tc>
        <w:tc>
          <w:tcPr>
            <w:tcW w:w="7524" w:type="dxa"/>
            <w:shd w:val="clear" w:color="auto" w:fill="auto"/>
            <w:vAlign w:val="center"/>
          </w:tcPr>
          <w:p w14:paraId="0AC33987" w14:textId="654EB0EE" w:rsidR="008F73A6" w:rsidRPr="000620CC" w:rsidRDefault="00BC74CB" w:rsidP="00645D3D">
            <w:pPr>
              <w:jc w:val="left"/>
              <w:rPr>
                <w:rFonts w:cs="Arial"/>
              </w:rPr>
            </w:pPr>
            <w:r w:rsidRPr="000620CC">
              <w:rPr>
                <w:rFonts w:cs="Arial"/>
              </w:rPr>
              <w:t>Programa de Reestruturação e de Ajuste Fiscal</w:t>
            </w:r>
          </w:p>
        </w:tc>
      </w:tr>
      <w:tr w:rsidR="00645D3D" w:rsidRPr="000620CC" w14:paraId="7F4E4906" w14:textId="77777777" w:rsidTr="00DE00AC">
        <w:trPr>
          <w:trHeight w:val="300"/>
        </w:trPr>
        <w:tc>
          <w:tcPr>
            <w:tcW w:w="1560" w:type="dxa"/>
            <w:shd w:val="clear" w:color="auto" w:fill="auto"/>
            <w:vAlign w:val="center"/>
            <w:hideMark/>
          </w:tcPr>
          <w:p w14:paraId="112C67B5" w14:textId="77777777" w:rsidR="00645D3D" w:rsidRPr="000620CC" w:rsidRDefault="00645D3D" w:rsidP="00645D3D">
            <w:pPr>
              <w:jc w:val="left"/>
              <w:rPr>
                <w:rFonts w:cs="Arial"/>
              </w:rPr>
            </w:pPr>
            <w:r w:rsidRPr="000620CC">
              <w:rPr>
                <w:rFonts w:cs="Arial"/>
              </w:rPr>
              <w:t>PCASP</w:t>
            </w:r>
          </w:p>
        </w:tc>
        <w:tc>
          <w:tcPr>
            <w:tcW w:w="7524" w:type="dxa"/>
            <w:shd w:val="clear" w:color="auto" w:fill="auto"/>
            <w:vAlign w:val="center"/>
            <w:hideMark/>
          </w:tcPr>
          <w:p w14:paraId="6F9341C0" w14:textId="77777777" w:rsidR="00645D3D" w:rsidRPr="000620CC" w:rsidRDefault="00645D3D" w:rsidP="00645D3D">
            <w:pPr>
              <w:jc w:val="left"/>
              <w:rPr>
                <w:rFonts w:cs="Arial"/>
              </w:rPr>
            </w:pPr>
            <w:r w:rsidRPr="000620CC">
              <w:rPr>
                <w:rFonts w:cs="Arial"/>
              </w:rPr>
              <w:t>Plano de Contas Aplicado ao Setor Público</w:t>
            </w:r>
          </w:p>
        </w:tc>
      </w:tr>
      <w:tr w:rsidR="00D31EDA" w:rsidRPr="000620CC" w14:paraId="60ED6294" w14:textId="77777777" w:rsidTr="00DE00AC">
        <w:trPr>
          <w:trHeight w:val="300"/>
        </w:trPr>
        <w:tc>
          <w:tcPr>
            <w:tcW w:w="1560" w:type="dxa"/>
            <w:shd w:val="clear" w:color="auto" w:fill="auto"/>
            <w:vAlign w:val="center"/>
          </w:tcPr>
          <w:p w14:paraId="1C4CF46E" w14:textId="54475A6B" w:rsidR="00D31EDA" w:rsidRPr="000620CC" w:rsidRDefault="00D31EDA" w:rsidP="00645D3D">
            <w:pPr>
              <w:jc w:val="left"/>
              <w:rPr>
                <w:rFonts w:cs="Arial"/>
              </w:rPr>
            </w:pPr>
            <w:r w:rsidRPr="000620CC">
              <w:rPr>
                <w:rFonts w:cs="Arial"/>
              </w:rPr>
              <w:t>PDV</w:t>
            </w:r>
          </w:p>
        </w:tc>
        <w:tc>
          <w:tcPr>
            <w:tcW w:w="7524" w:type="dxa"/>
            <w:shd w:val="clear" w:color="auto" w:fill="auto"/>
            <w:noWrap/>
            <w:vAlign w:val="center"/>
          </w:tcPr>
          <w:p w14:paraId="4F49E545" w14:textId="75D70FAA" w:rsidR="00D31EDA" w:rsidRPr="000620CC" w:rsidRDefault="00D31EDA" w:rsidP="00645D3D">
            <w:pPr>
              <w:jc w:val="left"/>
              <w:rPr>
                <w:rFonts w:cs="Arial"/>
              </w:rPr>
            </w:pPr>
            <w:r w:rsidRPr="000620CC">
              <w:rPr>
                <w:rFonts w:cs="Arial"/>
              </w:rPr>
              <w:t>Programa de Demissão Voluntária</w:t>
            </w:r>
          </w:p>
        </w:tc>
      </w:tr>
      <w:tr w:rsidR="00645D3D" w:rsidRPr="000620CC" w14:paraId="1BECA71D" w14:textId="77777777" w:rsidTr="00DE00AC">
        <w:trPr>
          <w:trHeight w:val="300"/>
        </w:trPr>
        <w:tc>
          <w:tcPr>
            <w:tcW w:w="1560" w:type="dxa"/>
            <w:shd w:val="clear" w:color="auto" w:fill="auto"/>
            <w:vAlign w:val="center"/>
            <w:hideMark/>
          </w:tcPr>
          <w:p w14:paraId="4DD5C831" w14:textId="77777777" w:rsidR="00645D3D" w:rsidRPr="000620CC" w:rsidRDefault="00645D3D" w:rsidP="00645D3D">
            <w:pPr>
              <w:jc w:val="left"/>
              <w:rPr>
                <w:rFonts w:cs="Arial"/>
              </w:rPr>
            </w:pPr>
            <w:r w:rsidRPr="000620CC">
              <w:rPr>
                <w:rFonts w:cs="Arial"/>
              </w:rPr>
              <w:t xml:space="preserve">PIB </w:t>
            </w:r>
          </w:p>
        </w:tc>
        <w:tc>
          <w:tcPr>
            <w:tcW w:w="7524" w:type="dxa"/>
            <w:shd w:val="clear" w:color="auto" w:fill="auto"/>
            <w:noWrap/>
            <w:vAlign w:val="center"/>
            <w:hideMark/>
          </w:tcPr>
          <w:p w14:paraId="1D6DE4BB" w14:textId="77777777" w:rsidR="00645D3D" w:rsidRPr="000620CC" w:rsidRDefault="00645D3D" w:rsidP="00645D3D">
            <w:pPr>
              <w:jc w:val="left"/>
              <w:rPr>
                <w:rFonts w:cs="Arial"/>
              </w:rPr>
            </w:pPr>
            <w:r w:rsidRPr="000620CC">
              <w:rPr>
                <w:rFonts w:cs="Arial"/>
              </w:rPr>
              <w:t xml:space="preserve">Produto Interno Bruto </w:t>
            </w:r>
          </w:p>
        </w:tc>
      </w:tr>
      <w:tr w:rsidR="008C2E09" w:rsidRPr="000620CC" w14:paraId="106291C3" w14:textId="77777777" w:rsidTr="00DE00AC">
        <w:trPr>
          <w:trHeight w:val="300"/>
        </w:trPr>
        <w:tc>
          <w:tcPr>
            <w:tcW w:w="1560" w:type="dxa"/>
            <w:shd w:val="clear" w:color="auto" w:fill="auto"/>
            <w:vAlign w:val="center"/>
          </w:tcPr>
          <w:p w14:paraId="7AAFD7B9" w14:textId="32589E47" w:rsidR="008C2E09" w:rsidRPr="000620CC" w:rsidRDefault="008C2E09" w:rsidP="00645D3D">
            <w:pPr>
              <w:jc w:val="left"/>
              <w:rPr>
                <w:rFonts w:cs="Arial"/>
              </w:rPr>
            </w:pPr>
            <w:r w:rsidRPr="000620CC">
              <w:t>PIM</w:t>
            </w:r>
          </w:p>
        </w:tc>
        <w:tc>
          <w:tcPr>
            <w:tcW w:w="7524" w:type="dxa"/>
            <w:shd w:val="clear" w:color="auto" w:fill="auto"/>
            <w:noWrap/>
            <w:vAlign w:val="center"/>
          </w:tcPr>
          <w:p w14:paraId="46F3C1E7" w14:textId="76372118" w:rsidR="008C2E09" w:rsidRPr="000620CC" w:rsidRDefault="008C2E09" w:rsidP="00645D3D">
            <w:pPr>
              <w:jc w:val="left"/>
              <w:rPr>
                <w:rFonts w:cs="Arial"/>
              </w:rPr>
            </w:pPr>
            <w:r w:rsidRPr="000620CC">
              <w:rPr>
                <w:rFonts w:cs="Arial"/>
              </w:rPr>
              <w:t>Pesquisa Industrial Mensal</w:t>
            </w:r>
          </w:p>
        </w:tc>
      </w:tr>
      <w:tr w:rsidR="00645D3D" w:rsidRPr="000620CC" w14:paraId="15107C34" w14:textId="77777777" w:rsidTr="00DE00AC">
        <w:trPr>
          <w:trHeight w:val="300"/>
        </w:trPr>
        <w:tc>
          <w:tcPr>
            <w:tcW w:w="1560" w:type="dxa"/>
            <w:shd w:val="clear" w:color="auto" w:fill="auto"/>
            <w:vAlign w:val="center"/>
            <w:hideMark/>
          </w:tcPr>
          <w:p w14:paraId="60D3BA75" w14:textId="77777777" w:rsidR="00645D3D" w:rsidRPr="000620CC" w:rsidRDefault="00645D3D" w:rsidP="00645D3D">
            <w:pPr>
              <w:jc w:val="left"/>
              <w:rPr>
                <w:rFonts w:cs="Arial"/>
              </w:rPr>
            </w:pPr>
            <w:r w:rsidRPr="000620CC">
              <w:rPr>
                <w:rFonts w:cs="Arial"/>
              </w:rPr>
              <w:t>PIPCP</w:t>
            </w:r>
          </w:p>
        </w:tc>
        <w:tc>
          <w:tcPr>
            <w:tcW w:w="7524" w:type="dxa"/>
            <w:shd w:val="clear" w:color="auto" w:fill="auto"/>
            <w:vAlign w:val="center"/>
            <w:hideMark/>
          </w:tcPr>
          <w:p w14:paraId="35A4F9D0" w14:textId="77777777" w:rsidR="00645D3D" w:rsidRPr="000620CC" w:rsidRDefault="00645D3D" w:rsidP="00645D3D">
            <w:pPr>
              <w:jc w:val="left"/>
              <w:rPr>
                <w:rFonts w:cs="Arial"/>
              </w:rPr>
            </w:pPr>
            <w:r w:rsidRPr="000620CC">
              <w:rPr>
                <w:rFonts w:cs="Arial"/>
              </w:rPr>
              <w:t>Plano de Implantação de Procedimentos Contábeis Patrimoniais</w:t>
            </w:r>
          </w:p>
        </w:tc>
      </w:tr>
      <w:tr w:rsidR="0067677C" w:rsidRPr="000620CC" w14:paraId="66EADEB1" w14:textId="77777777" w:rsidTr="00DE00AC">
        <w:trPr>
          <w:trHeight w:val="300"/>
        </w:trPr>
        <w:tc>
          <w:tcPr>
            <w:tcW w:w="1560" w:type="dxa"/>
            <w:shd w:val="clear" w:color="auto" w:fill="auto"/>
            <w:vAlign w:val="center"/>
          </w:tcPr>
          <w:p w14:paraId="7032385D" w14:textId="26CE8225" w:rsidR="0067677C" w:rsidRPr="000620CC" w:rsidRDefault="0067677C" w:rsidP="00645D3D">
            <w:pPr>
              <w:jc w:val="left"/>
              <w:rPr>
                <w:rFonts w:cs="Arial"/>
              </w:rPr>
            </w:pPr>
            <w:r w:rsidRPr="000620CC">
              <w:rPr>
                <w:rFonts w:cs="Arial"/>
              </w:rPr>
              <w:t>PJ</w:t>
            </w:r>
          </w:p>
        </w:tc>
        <w:tc>
          <w:tcPr>
            <w:tcW w:w="7524" w:type="dxa"/>
            <w:shd w:val="clear" w:color="auto" w:fill="auto"/>
            <w:vAlign w:val="center"/>
          </w:tcPr>
          <w:p w14:paraId="51A94C8F" w14:textId="3BE0237D" w:rsidR="0067677C" w:rsidRPr="000620CC" w:rsidRDefault="0067677C" w:rsidP="00645D3D">
            <w:pPr>
              <w:jc w:val="left"/>
              <w:rPr>
                <w:rFonts w:cs="Arial"/>
              </w:rPr>
            </w:pPr>
            <w:r w:rsidRPr="000620CC">
              <w:rPr>
                <w:rFonts w:cs="Arial"/>
              </w:rPr>
              <w:t>Poder Judiciário</w:t>
            </w:r>
          </w:p>
        </w:tc>
      </w:tr>
      <w:tr w:rsidR="00645D3D" w:rsidRPr="000620CC" w14:paraId="252C9C7B" w14:textId="77777777" w:rsidTr="00DE00AC">
        <w:trPr>
          <w:trHeight w:val="300"/>
        </w:trPr>
        <w:tc>
          <w:tcPr>
            <w:tcW w:w="1560" w:type="dxa"/>
            <w:shd w:val="clear" w:color="auto" w:fill="auto"/>
            <w:vAlign w:val="center"/>
            <w:hideMark/>
          </w:tcPr>
          <w:p w14:paraId="34798FFD" w14:textId="77777777" w:rsidR="00645D3D" w:rsidRPr="000620CC" w:rsidRDefault="00645D3D" w:rsidP="00645D3D">
            <w:pPr>
              <w:jc w:val="left"/>
              <w:rPr>
                <w:rFonts w:cs="Arial"/>
              </w:rPr>
            </w:pPr>
            <w:r w:rsidRPr="000620CC">
              <w:rPr>
                <w:rFonts w:cs="Arial"/>
              </w:rPr>
              <w:t>PM</w:t>
            </w:r>
          </w:p>
        </w:tc>
        <w:tc>
          <w:tcPr>
            <w:tcW w:w="7524" w:type="dxa"/>
            <w:shd w:val="clear" w:color="auto" w:fill="auto"/>
            <w:vAlign w:val="center"/>
            <w:hideMark/>
          </w:tcPr>
          <w:p w14:paraId="3695A01F" w14:textId="77777777" w:rsidR="00645D3D" w:rsidRPr="000620CC" w:rsidRDefault="00645D3D" w:rsidP="00645D3D">
            <w:pPr>
              <w:jc w:val="left"/>
              <w:rPr>
                <w:rFonts w:cs="Arial"/>
              </w:rPr>
            </w:pPr>
            <w:r w:rsidRPr="000620CC">
              <w:rPr>
                <w:rFonts w:cs="Arial"/>
              </w:rPr>
              <w:t>Comando-Geral da Polícia Militar</w:t>
            </w:r>
          </w:p>
        </w:tc>
      </w:tr>
      <w:tr w:rsidR="00F85C19" w:rsidRPr="000620CC" w14:paraId="1B4D103E" w14:textId="77777777" w:rsidTr="00DE00AC">
        <w:trPr>
          <w:trHeight w:val="300"/>
        </w:trPr>
        <w:tc>
          <w:tcPr>
            <w:tcW w:w="1560" w:type="dxa"/>
            <w:shd w:val="clear" w:color="auto" w:fill="auto"/>
            <w:vAlign w:val="center"/>
          </w:tcPr>
          <w:p w14:paraId="6B49C63B" w14:textId="1692BDE8" w:rsidR="00F85C19" w:rsidRPr="000620CC" w:rsidRDefault="00F85C19" w:rsidP="00645D3D">
            <w:pPr>
              <w:jc w:val="left"/>
              <w:rPr>
                <w:rFonts w:cs="Arial"/>
              </w:rPr>
            </w:pPr>
            <w:r w:rsidRPr="000620CC">
              <w:rPr>
                <w:rFonts w:cs="Arial"/>
              </w:rPr>
              <w:t>PMS</w:t>
            </w:r>
          </w:p>
        </w:tc>
        <w:tc>
          <w:tcPr>
            <w:tcW w:w="7524" w:type="dxa"/>
            <w:shd w:val="clear" w:color="auto" w:fill="auto"/>
            <w:vAlign w:val="center"/>
          </w:tcPr>
          <w:p w14:paraId="0846B2FC" w14:textId="07962D28" w:rsidR="00F85C19" w:rsidRPr="000620CC" w:rsidRDefault="00F85C19" w:rsidP="00645D3D">
            <w:pPr>
              <w:jc w:val="left"/>
              <w:rPr>
                <w:rFonts w:cs="Arial"/>
              </w:rPr>
            </w:pPr>
            <w:r w:rsidRPr="000620CC">
              <w:rPr>
                <w:rFonts w:cs="Arial"/>
              </w:rPr>
              <w:t>Pesquisa Mensal de Serviços</w:t>
            </w:r>
          </w:p>
        </w:tc>
      </w:tr>
      <w:tr w:rsidR="00645D3D" w:rsidRPr="000620CC" w14:paraId="5357B003" w14:textId="77777777" w:rsidTr="00DE00AC">
        <w:trPr>
          <w:trHeight w:val="300"/>
        </w:trPr>
        <w:tc>
          <w:tcPr>
            <w:tcW w:w="1560" w:type="dxa"/>
            <w:shd w:val="clear" w:color="auto" w:fill="auto"/>
            <w:vAlign w:val="center"/>
            <w:hideMark/>
          </w:tcPr>
          <w:p w14:paraId="3B7BDEA5" w14:textId="50632E9E" w:rsidR="00645D3D" w:rsidRPr="000620CC" w:rsidRDefault="00645D3D" w:rsidP="00645D3D">
            <w:pPr>
              <w:jc w:val="left"/>
              <w:rPr>
                <w:rFonts w:cs="Arial"/>
              </w:rPr>
            </w:pPr>
            <w:r w:rsidRPr="000620CC">
              <w:rPr>
                <w:rFonts w:cs="Arial"/>
              </w:rPr>
              <w:t>P</w:t>
            </w:r>
            <w:r w:rsidR="00F6215C" w:rsidRPr="000620CC">
              <w:rPr>
                <w:rFonts w:cs="Arial"/>
              </w:rPr>
              <w:t>nad</w:t>
            </w:r>
          </w:p>
        </w:tc>
        <w:tc>
          <w:tcPr>
            <w:tcW w:w="7524" w:type="dxa"/>
            <w:shd w:val="clear" w:color="auto" w:fill="auto"/>
            <w:noWrap/>
            <w:vAlign w:val="center"/>
            <w:hideMark/>
          </w:tcPr>
          <w:p w14:paraId="1A19301E" w14:textId="77777777" w:rsidR="00645D3D" w:rsidRPr="000620CC" w:rsidRDefault="00645D3D" w:rsidP="00645D3D">
            <w:pPr>
              <w:jc w:val="left"/>
              <w:rPr>
                <w:rFonts w:cs="Arial"/>
              </w:rPr>
            </w:pPr>
            <w:r w:rsidRPr="000620CC">
              <w:rPr>
                <w:rFonts w:cs="Arial"/>
              </w:rPr>
              <w:t>Pesquisa Nacional por Amostra de Domicílios Contínua</w:t>
            </w:r>
          </w:p>
        </w:tc>
      </w:tr>
      <w:tr w:rsidR="00F6215C" w:rsidRPr="000620CC" w14:paraId="0829A0F9" w14:textId="77777777" w:rsidTr="00DE00AC">
        <w:trPr>
          <w:trHeight w:val="300"/>
        </w:trPr>
        <w:tc>
          <w:tcPr>
            <w:tcW w:w="1560" w:type="dxa"/>
            <w:shd w:val="clear" w:color="auto" w:fill="auto"/>
            <w:vAlign w:val="center"/>
          </w:tcPr>
          <w:p w14:paraId="6F56FB22" w14:textId="363F26CF" w:rsidR="00F6215C" w:rsidRPr="000620CC" w:rsidRDefault="00F6215C" w:rsidP="00645D3D">
            <w:pPr>
              <w:jc w:val="left"/>
              <w:rPr>
                <w:rFonts w:cs="Arial"/>
              </w:rPr>
            </w:pPr>
            <w:r w:rsidRPr="000620CC">
              <w:rPr>
                <w:rFonts w:cs="Arial"/>
              </w:rPr>
              <w:t>Pnae</w:t>
            </w:r>
          </w:p>
        </w:tc>
        <w:tc>
          <w:tcPr>
            <w:tcW w:w="7524" w:type="dxa"/>
            <w:shd w:val="clear" w:color="auto" w:fill="auto"/>
            <w:noWrap/>
            <w:vAlign w:val="center"/>
          </w:tcPr>
          <w:p w14:paraId="76ED4980" w14:textId="1FC77A33" w:rsidR="00F6215C" w:rsidRPr="000620CC" w:rsidRDefault="00F6215C" w:rsidP="00645D3D">
            <w:pPr>
              <w:jc w:val="left"/>
              <w:rPr>
                <w:rFonts w:cs="Arial"/>
              </w:rPr>
            </w:pPr>
            <w:r w:rsidRPr="000620CC">
              <w:rPr>
                <w:rFonts w:cs="Arial"/>
              </w:rPr>
              <w:t>Programa Nacional de Alimentação Escolar</w:t>
            </w:r>
          </w:p>
        </w:tc>
      </w:tr>
      <w:tr w:rsidR="00645D3D" w:rsidRPr="000620CC" w14:paraId="1B1F6C62" w14:textId="77777777" w:rsidTr="00DE00AC">
        <w:trPr>
          <w:trHeight w:val="300"/>
        </w:trPr>
        <w:tc>
          <w:tcPr>
            <w:tcW w:w="1560" w:type="dxa"/>
            <w:shd w:val="clear" w:color="auto" w:fill="auto"/>
            <w:vAlign w:val="center"/>
            <w:hideMark/>
          </w:tcPr>
          <w:p w14:paraId="66083702" w14:textId="77777777" w:rsidR="00645D3D" w:rsidRPr="000620CC" w:rsidRDefault="00645D3D" w:rsidP="00645D3D">
            <w:pPr>
              <w:jc w:val="left"/>
              <w:rPr>
                <w:rFonts w:cs="Arial"/>
              </w:rPr>
            </w:pPr>
            <w:r w:rsidRPr="000620CC">
              <w:rPr>
                <w:rFonts w:cs="Arial"/>
              </w:rPr>
              <w:t>PPA</w:t>
            </w:r>
          </w:p>
        </w:tc>
        <w:tc>
          <w:tcPr>
            <w:tcW w:w="7524" w:type="dxa"/>
            <w:shd w:val="clear" w:color="auto" w:fill="auto"/>
            <w:vAlign w:val="center"/>
            <w:hideMark/>
          </w:tcPr>
          <w:p w14:paraId="64333259" w14:textId="77777777" w:rsidR="00645D3D" w:rsidRPr="000620CC" w:rsidRDefault="00645D3D" w:rsidP="00645D3D">
            <w:pPr>
              <w:jc w:val="left"/>
              <w:rPr>
                <w:rFonts w:cs="Arial"/>
              </w:rPr>
            </w:pPr>
            <w:r w:rsidRPr="000620CC">
              <w:rPr>
                <w:rFonts w:cs="Arial"/>
              </w:rPr>
              <w:t>Plano Plurianual</w:t>
            </w:r>
          </w:p>
        </w:tc>
      </w:tr>
      <w:tr w:rsidR="00645D3D" w:rsidRPr="000620CC" w14:paraId="5FF07FBB" w14:textId="77777777" w:rsidTr="00DE00AC">
        <w:trPr>
          <w:trHeight w:val="300"/>
        </w:trPr>
        <w:tc>
          <w:tcPr>
            <w:tcW w:w="1560" w:type="dxa"/>
            <w:shd w:val="clear" w:color="auto" w:fill="auto"/>
            <w:noWrap/>
            <w:vAlign w:val="center"/>
            <w:hideMark/>
          </w:tcPr>
          <w:p w14:paraId="1F8D9C3B" w14:textId="77777777" w:rsidR="00645D3D" w:rsidRPr="000620CC" w:rsidRDefault="00645D3D" w:rsidP="00645D3D">
            <w:pPr>
              <w:jc w:val="left"/>
              <w:rPr>
                <w:rFonts w:cs="Arial"/>
              </w:rPr>
            </w:pPr>
            <w:r w:rsidRPr="000620CC">
              <w:rPr>
                <w:rFonts w:cs="Arial"/>
              </w:rPr>
              <w:t>Prevcom-BrC</w:t>
            </w:r>
          </w:p>
        </w:tc>
        <w:tc>
          <w:tcPr>
            <w:tcW w:w="7524" w:type="dxa"/>
            <w:shd w:val="clear" w:color="auto" w:fill="auto"/>
            <w:vAlign w:val="center"/>
            <w:hideMark/>
          </w:tcPr>
          <w:p w14:paraId="16AF58DB" w14:textId="409F8DE1" w:rsidR="00645D3D" w:rsidRPr="000620CC" w:rsidRDefault="00645D3D" w:rsidP="00645D3D">
            <w:pPr>
              <w:jc w:val="left"/>
              <w:rPr>
                <w:rFonts w:cs="Arial"/>
              </w:rPr>
            </w:pPr>
            <w:r w:rsidRPr="000620CC">
              <w:rPr>
                <w:rFonts w:cs="Arial"/>
              </w:rPr>
              <w:t>Fundação de Previdência Complementar do Estado de Goiás</w:t>
            </w:r>
          </w:p>
        </w:tc>
      </w:tr>
      <w:tr w:rsidR="000908CA" w:rsidRPr="000620CC" w14:paraId="20E7994C" w14:textId="77777777" w:rsidTr="00DE00AC">
        <w:trPr>
          <w:trHeight w:val="300"/>
        </w:trPr>
        <w:tc>
          <w:tcPr>
            <w:tcW w:w="1560" w:type="dxa"/>
            <w:shd w:val="clear" w:color="auto" w:fill="auto"/>
            <w:vAlign w:val="center"/>
          </w:tcPr>
          <w:p w14:paraId="217B9469" w14:textId="59AD0EAE" w:rsidR="000908CA" w:rsidRPr="000620CC" w:rsidRDefault="000908CA" w:rsidP="00645D3D">
            <w:pPr>
              <w:jc w:val="left"/>
              <w:rPr>
                <w:rFonts w:cs="Arial"/>
              </w:rPr>
            </w:pPr>
            <w:r w:rsidRPr="000620CC">
              <w:rPr>
                <w:rFonts w:cs="Arial"/>
              </w:rPr>
              <w:t>PRF</w:t>
            </w:r>
          </w:p>
        </w:tc>
        <w:tc>
          <w:tcPr>
            <w:tcW w:w="7524" w:type="dxa"/>
            <w:shd w:val="clear" w:color="auto" w:fill="auto"/>
            <w:vAlign w:val="center"/>
          </w:tcPr>
          <w:p w14:paraId="1CF93EB6" w14:textId="444DD557" w:rsidR="000908CA" w:rsidRPr="000620CC" w:rsidRDefault="000908CA" w:rsidP="00645D3D">
            <w:pPr>
              <w:jc w:val="left"/>
              <w:rPr>
                <w:rFonts w:cs="Arial"/>
              </w:rPr>
            </w:pPr>
            <w:r w:rsidRPr="000620CC">
              <w:rPr>
                <w:rFonts w:cs="Arial"/>
              </w:rPr>
              <w:t>Plano de Recuperação Fiscal</w:t>
            </w:r>
          </w:p>
        </w:tc>
      </w:tr>
      <w:tr w:rsidR="00DA5713" w:rsidRPr="000620CC" w14:paraId="190AB1F6" w14:textId="77777777" w:rsidTr="00DE00AC">
        <w:trPr>
          <w:trHeight w:val="300"/>
        </w:trPr>
        <w:tc>
          <w:tcPr>
            <w:tcW w:w="1560" w:type="dxa"/>
            <w:shd w:val="clear" w:color="auto" w:fill="auto"/>
            <w:vAlign w:val="center"/>
          </w:tcPr>
          <w:p w14:paraId="6DBE4010" w14:textId="392F5F4A" w:rsidR="00DA5713" w:rsidRPr="000620CC" w:rsidRDefault="00DA5713" w:rsidP="00645D3D">
            <w:pPr>
              <w:jc w:val="left"/>
              <w:rPr>
                <w:rFonts w:cs="Arial"/>
              </w:rPr>
            </w:pPr>
            <w:r w:rsidRPr="000620CC">
              <w:rPr>
                <w:rFonts w:cs="Arial"/>
              </w:rPr>
              <w:t>Prodago</w:t>
            </w:r>
          </w:p>
        </w:tc>
        <w:tc>
          <w:tcPr>
            <w:tcW w:w="7524" w:type="dxa"/>
            <w:shd w:val="clear" w:color="auto" w:fill="auto"/>
            <w:vAlign w:val="center"/>
          </w:tcPr>
          <w:p w14:paraId="36ACAA36" w14:textId="1BFFB0D4" w:rsidR="00DA5713" w:rsidRPr="000620CC" w:rsidRDefault="00DA5713" w:rsidP="00645D3D">
            <w:pPr>
              <w:jc w:val="left"/>
              <w:rPr>
                <w:rFonts w:cs="Arial"/>
              </w:rPr>
            </w:pPr>
            <w:r w:rsidRPr="000620CC">
              <w:rPr>
                <w:rFonts w:cs="Arial"/>
              </w:rPr>
              <w:t>Empresa Estadual de Processamento de Dados de Goiás – em liquidação</w:t>
            </w:r>
          </w:p>
        </w:tc>
      </w:tr>
      <w:tr w:rsidR="00645D3D" w:rsidRPr="000620CC" w14:paraId="08B4FC14" w14:textId="77777777" w:rsidTr="00DE00AC">
        <w:trPr>
          <w:trHeight w:val="300"/>
        </w:trPr>
        <w:tc>
          <w:tcPr>
            <w:tcW w:w="1560" w:type="dxa"/>
            <w:shd w:val="clear" w:color="auto" w:fill="auto"/>
            <w:vAlign w:val="center"/>
            <w:hideMark/>
          </w:tcPr>
          <w:p w14:paraId="28610F4A" w14:textId="77777777" w:rsidR="00645D3D" w:rsidRPr="000620CC" w:rsidRDefault="00645D3D" w:rsidP="00645D3D">
            <w:pPr>
              <w:jc w:val="left"/>
              <w:rPr>
                <w:rFonts w:cs="Arial"/>
              </w:rPr>
            </w:pPr>
            <w:r w:rsidRPr="000620CC">
              <w:rPr>
                <w:rFonts w:cs="Arial"/>
              </w:rPr>
              <w:t>Produzir</w:t>
            </w:r>
          </w:p>
        </w:tc>
        <w:tc>
          <w:tcPr>
            <w:tcW w:w="7524" w:type="dxa"/>
            <w:shd w:val="clear" w:color="auto" w:fill="auto"/>
            <w:vAlign w:val="center"/>
            <w:hideMark/>
          </w:tcPr>
          <w:p w14:paraId="2E944201" w14:textId="77777777" w:rsidR="00645D3D" w:rsidRPr="000620CC" w:rsidRDefault="00645D3D" w:rsidP="00645D3D">
            <w:pPr>
              <w:jc w:val="left"/>
              <w:rPr>
                <w:rFonts w:cs="Arial"/>
              </w:rPr>
            </w:pPr>
            <w:r w:rsidRPr="000620CC">
              <w:rPr>
                <w:rFonts w:cs="Arial"/>
              </w:rPr>
              <w:t>Programa de Desenvolvimento Industrial do Estado de Goiás</w:t>
            </w:r>
          </w:p>
        </w:tc>
      </w:tr>
      <w:tr w:rsidR="000908CA" w:rsidRPr="000620CC" w14:paraId="3D04869B" w14:textId="77777777" w:rsidTr="00DE00AC">
        <w:trPr>
          <w:trHeight w:val="300"/>
        </w:trPr>
        <w:tc>
          <w:tcPr>
            <w:tcW w:w="1560" w:type="dxa"/>
            <w:shd w:val="clear" w:color="auto" w:fill="auto"/>
            <w:vAlign w:val="center"/>
          </w:tcPr>
          <w:p w14:paraId="5E0E3ED4" w14:textId="67BA909F" w:rsidR="000908CA" w:rsidRPr="000620CC" w:rsidRDefault="000908CA" w:rsidP="00645D3D">
            <w:pPr>
              <w:jc w:val="left"/>
              <w:rPr>
                <w:rFonts w:cs="Arial"/>
              </w:rPr>
            </w:pPr>
            <w:r w:rsidRPr="000620CC">
              <w:rPr>
                <w:rFonts w:cs="Arial"/>
              </w:rPr>
              <w:t>Protege Goiás</w:t>
            </w:r>
          </w:p>
        </w:tc>
        <w:tc>
          <w:tcPr>
            <w:tcW w:w="7524" w:type="dxa"/>
            <w:shd w:val="clear" w:color="auto" w:fill="auto"/>
            <w:vAlign w:val="center"/>
          </w:tcPr>
          <w:p w14:paraId="638D4107" w14:textId="212BEFD7" w:rsidR="000908CA" w:rsidRPr="000620CC" w:rsidRDefault="000908CA" w:rsidP="00645D3D">
            <w:pPr>
              <w:jc w:val="left"/>
              <w:rPr>
                <w:rFonts w:cs="Arial"/>
              </w:rPr>
            </w:pPr>
            <w:r w:rsidRPr="000620CC">
              <w:rPr>
                <w:rFonts w:cs="Arial"/>
              </w:rPr>
              <w:t>Fundo de Proteção Social do Estado de Goiás</w:t>
            </w:r>
          </w:p>
        </w:tc>
      </w:tr>
      <w:tr w:rsidR="00645D3D" w:rsidRPr="000620CC" w14:paraId="620ABF28" w14:textId="77777777" w:rsidTr="00DE00AC">
        <w:trPr>
          <w:trHeight w:val="300"/>
        </w:trPr>
        <w:tc>
          <w:tcPr>
            <w:tcW w:w="1560" w:type="dxa"/>
            <w:shd w:val="clear" w:color="auto" w:fill="auto"/>
            <w:vAlign w:val="center"/>
          </w:tcPr>
          <w:p w14:paraId="2C89829F" w14:textId="77777777" w:rsidR="00645D3D" w:rsidRPr="000620CC" w:rsidRDefault="00645D3D" w:rsidP="00645D3D">
            <w:pPr>
              <w:jc w:val="left"/>
              <w:rPr>
                <w:rFonts w:cs="Arial"/>
              </w:rPr>
            </w:pPr>
            <w:r w:rsidRPr="000620CC">
              <w:rPr>
                <w:rFonts w:cs="Arial"/>
              </w:rPr>
              <w:t>RCL</w:t>
            </w:r>
          </w:p>
        </w:tc>
        <w:tc>
          <w:tcPr>
            <w:tcW w:w="7524" w:type="dxa"/>
            <w:shd w:val="clear" w:color="auto" w:fill="auto"/>
            <w:vAlign w:val="center"/>
          </w:tcPr>
          <w:p w14:paraId="3264D9F8" w14:textId="77777777" w:rsidR="00645D3D" w:rsidRPr="000620CC" w:rsidRDefault="00645D3D" w:rsidP="00645D3D">
            <w:pPr>
              <w:jc w:val="left"/>
              <w:rPr>
                <w:rFonts w:cs="Arial"/>
              </w:rPr>
            </w:pPr>
            <w:r w:rsidRPr="000620CC">
              <w:rPr>
                <w:rFonts w:cs="Arial"/>
              </w:rPr>
              <w:t>Receita Corrente Líquida</w:t>
            </w:r>
          </w:p>
        </w:tc>
      </w:tr>
      <w:tr w:rsidR="00312839" w:rsidRPr="000620CC" w14:paraId="2EDFDDEA" w14:textId="77777777" w:rsidTr="00DE00AC">
        <w:trPr>
          <w:trHeight w:val="300"/>
        </w:trPr>
        <w:tc>
          <w:tcPr>
            <w:tcW w:w="1560" w:type="dxa"/>
            <w:shd w:val="clear" w:color="auto" w:fill="auto"/>
            <w:vAlign w:val="center"/>
          </w:tcPr>
          <w:p w14:paraId="6AF75230" w14:textId="353DAAB0" w:rsidR="00312839" w:rsidRPr="000620CC" w:rsidRDefault="00312839" w:rsidP="00645D3D">
            <w:pPr>
              <w:jc w:val="left"/>
              <w:rPr>
                <w:rFonts w:cs="Arial"/>
              </w:rPr>
            </w:pPr>
            <w:r w:rsidRPr="000620CC">
              <w:rPr>
                <w:rFonts w:cs="Arial"/>
              </w:rPr>
              <w:t>RCPG</w:t>
            </w:r>
          </w:p>
        </w:tc>
        <w:tc>
          <w:tcPr>
            <w:tcW w:w="7524" w:type="dxa"/>
            <w:shd w:val="clear" w:color="auto" w:fill="auto"/>
            <w:vAlign w:val="center"/>
          </w:tcPr>
          <w:p w14:paraId="2D18E397" w14:textId="1404140A" w:rsidR="00312839" w:rsidRPr="000620CC" w:rsidRDefault="00312839" w:rsidP="00645D3D">
            <w:pPr>
              <w:jc w:val="left"/>
              <w:rPr>
                <w:rFonts w:cs="Arial"/>
              </w:rPr>
            </w:pPr>
            <w:r w:rsidRPr="000620CC">
              <w:rPr>
                <w:rFonts w:cs="Arial"/>
              </w:rPr>
              <w:t>Relatório Contábil de Propósito Geral</w:t>
            </w:r>
          </w:p>
        </w:tc>
      </w:tr>
      <w:tr w:rsidR="00230F3D" w:rsidRPr="000620CC" w14:paraId="291F4B8B" w14:textId="77777777" w:rsidTr="00DE00AC">
        <w:trPr>
          <w:trHeight w:val="300"/>
        </w:trPr>
        <w:tc>
          <w:tcPr>
            <w:tcW w:w="1560" w:type="dxa"/>
            <w:shd w:val="clear" w:color="auto" w:fill="auto"/>
            <w:vAlign w:val="center"/>
          </w:tcPr>
          <w:p w14:paraId="6B77EBE1" w14:textId="7AD01AE5" w:rsidR="00230F3D" w:rsidRPr="000620CC" w:rsidRDefault="00230F3D" w:rsidP="00645D3D">
            <w:pPr>
              <w:jc w:val="left"/>
              <w:rPr>
                <w:rFonts w:cs="Arial"/>
              </w:rPr>
            </w:pPr>
            <w:r w:rsidRPr="000620CC">
              <w:rPr>
                <w:rFonts w:cs="Arial"/>
              </w:rPr>
              <w:t>RDO</w:t>
            </w:r>
          </w:p>
        </w:tc>
        <w:tc>
          <w:tcPr>
            <w:tcW w:w="7524" w:type="dxa"/>
            <w:shd w:val="clear" w:color="auto" w:fill="auto"/>
            <w:vAlign w:val="center"/>
          </w:tcPr>
          <w:p w14:paraId="72A117E9" w14:textId="72D735BE" w:rsidR="00230F3D" w:rsidRPr="000620CC" w:rsidRDefault="00230F3D" w:rsidP="00645D3D">
            <w:pPr>
              <w:jc w:val="left"/>
              <w:rPr>
                <w:rFonts w:cs="Arial"/>
              </w:rPr>
            </w:pPr>
            <w:r w:rsidRPr="000620CC">
              <w:rPr>
                <w:rFonts w:cs="Arial"/>
              </w:rPr>
              <w:t>Recurso Disponível no Órgão</w:t>
            </w:r>
          </w:p>
        </w:tc>
      </w:tr>
      <w:tr w:rsidR="00645D3D" w:rsidRPr="000620CC" w14:paraId="4C4F6A84" w14:textId="77777777" w:rsidTr="00DE00AC">
        <w:trPr>
          <w:trHeight w:val="300"/>
        </w:trPr>
        <w:tc>
          <w:tcPr>
            <w:tcW w:w="1560" w:type="dxa"/>
            <w:shd w:val="clear" w:color="auto" w:fill="auto"/>
            <w:vAlign w:val="center"/>
            <w:hideMark/>
          </w:tcPr>
          <w:p w14:paraId="515446FC" w14:textId="77777777" w:rsidR="00645D3D" w:rsidRPr="000620CC" w:rsidRDefault="00645D3D" w:rsidP="00645D3D">
            <w:pPr>
              <w:jc w:val="left"/>
              <w:rPr>
                <w:rFonts w:cs="Arial"/>
              </w:rPr>
            </w:pPr>
            <w:r w:rsidRPr="000620CC">
              <w:rPr>
                <w:rFonts w:cs="Arial"/>
              </w:rPr>
              <w:t>RGF</w:t>
            </w:r>
          </w:p>
        </w:tc>
        <w:tc>
          <w:tcPr>
            <w:tcW w:w="7524" w:type="dxa"/>
            <w:shd w:val="clear" w:color="auto" w:fill="auto"/>
            <w:vAlign w:val="center"/>
            <w:hideMark/>
          </w:tcPr>
          <w:p w14:paraId="29340924" w14:textId="77777777" w:rsidR="00645D3D" w:rsidRPr="000620CC" w:rsidRDefault="00645D3D" w:rsidP="00645D3D">
            <w:pPr>
              <w:jc w:val="left"/>
              <w:rPr>
                <w:rFonts w:cs="Arial"/>
              </w:rPr>
            </w:pPr>
            <w:r w:rsidRPr="000620CC">
              <w:rPr>
                <w:rFonts w:cs="Arial"/>
              </w:rPr>
              <w:t>Relatório de Gestão Fiscal</w:t>
            </w:r>
          </w:p>
        </w:tc>
      </w:tr>
      <w:tr w:rsidR="00645D3D" w:rsidRPr="000620CC" w14:paraId="536D3274" w14:textId="77777777" w:rsidTr="00DE00AC">
        <w:trPr>
          <w:trHeight w:val="300"/>
        </w:trPr>
        <w:tc>
          <w:tcPr>
            <w:tcW w:w="1560" w:type="dxa"/>
            <w:shd w:val="clear" w:color="auto" w:fill="auto"/>
            <w:vAlign w:val="center"/>
          </w:tcPr>
          <w:p w14:paraId="1DB62BE3" w14:textId="77777777" w:rsidR="00645D3D" w:rsidRPr="000620CC" w:rsidRDefault="00645D3D" w:rsidP="00645D3D">
            <w:pPr>
              <w:jc w:val="left"/>
              <w:rPr>
                <w:rFonts w:cs="Arial"/>
              </w:rPr>
            </w:pPr>
            <w:r w:rsidRPr="000620CC">
              <w:rPr>
                <w:rFonts w:cs="Arial"/>
              </w:rPr>
              <w:t>RGPS</w:t>
            </w:r>
          </w:p>
        </w:tc>
        <w:tc>
          <w:tcPr>
            <w:tcW w:w="7524" w:type="dxa"/>
            <w:shd w:val="clear" w:color="auto" w:fill="auto"/>
            <w:vAlign w:val="center"/>
          </w:tcPr>
          <w:p w14:paraId="70BE6673" w14:textId="77777777" w:rsidR="00645D3D" w:rsidRPr="000620CC" w:rsidRDefault="00645D3D" w:rsidP="00645D3D">
            <w:pPr>
              <w:jc w:val="left"/>
              <w:rPr>
                <w:rFonts w:cs="Arial"/>
              </w:rPr>
            </w:pPr>
            <w:r w:rsidRPr="000620CC">
              <w:rPr>
                <w:rFonts w:cs="Arial"/>
              </w:rPr>
              <w:t>Regime Geral de Previdência Social</w:t>
            </w:r>
          </w:p>
        </w:tc>
      </w:tr>
      <w:tr w:rsidR="00645D3D" w:rsidRPr="000620CC" w14:paraId="79A8CFB9" w14:textId="77777777" w:rsidTr="00DE00AC">
        <w:trPr>
          <w:trHeight w:val="300"/>
        </w:trPr>
        <w:tc>
          <w:tcPr>
            <w:tcW w:w="1560" w:type="dxa"/>
            <w:shd w:val="clear" w:color="auto" w:fill="auto"/>
            <w:vAlign w:val="center"/>
          </w:tcPr>
          <w:p w14:paraId="1F355C8A" w14:textId="6ADDE8EA" w:rsidR="00645D3D" w:rsidRPr="000620CC" w:rsidRDefault="00645D3D" w:rsidP="00645D3D">
            <w:pPr>
              <w:jc w:val="left"/>
              <w:rPr>
                <w:rFonts w:cs="Arial"/>
              </w:rPr>
            </w:pPr>
            <w:r w:rsidRPr="000620CC">
              <w:rPr>
                <w:rFonts w:cs="Arial"/>
              </w:rPr>
              <w:t>RI</w:t>
            </w:r>
            <w:r w:rsidR="00F21FBF" w:rsidRPr="000620CC">
              <w:rPr>
                <w:rFonts w:cs="Arial"/>
              </w:rPr>
              <w:t>TCE/GO</w:t>
            </w:r>
          </w:p>
        </w:tc>
        <w:tc>
          <w:tcPr>
            <w:tcW w:w="7524" w:type="dxa"/>
            <w:shd w:val="clear" w:color="auto" w:fill="auto"/>
            <w:vAlign w:val="center"/>
          </w:tcPr>
          <w:p w14:paraId="5D2BF026" w14:textId="77777777" w:rsidR="00645D3D" w:rsidRPr="000620CC" w:rsidRDefault="00645D3D" w:rsidP="00645D3D">
            <w:pPr>
              <w:jc w:val="left"/>
              <w:rPr>
                <w:rFonts w:cs="Arial"/>
              </w:rPr>
            </w:pPr>
            <w:r w:rsidRPr="000620CC">
              <w:rPr>
                <w:rFonts w:cs="Arial"/>
              </w:rPr>
              <w:t>Regimento Interno do Tribunal de Contas do Estado de Goiás</w:t>
            </w:r>
          </w:p>
        </w:tc>
      </w:tr>
      <w:tr w:rsidR="00645D3D" w:rsidRPr="000620CC" w14:paraId="61FA83E7" w14:textId="77777777" w:rsidTr="00DE00AC">
        <w:trPr>
          <w:trHeight w:val="300"/>
        </w:trPr>
        <w:tc>
          <w:tcPr>
            <w:tcW w:w="1560" w:type="dxa"/>
            <w:shd w:val="clear" w:color="auto" w:fill="auto"/>
            <w:vAlign w:val="center"/>
          </w:tcPr>
          <w:p w14:paraId="5C35D7F4" w14:textId="77777777" w:rsidR="00645D3D" w:rsidRPr="000620CC" w:rsidRDefault="00645D3D" w:rsidP="00645D3D">
            <w:pPr>
              <w:jc w:val="left"/>
              <w:rPr>
                <w:rFonts w:cs="Arial"/>
              </w:rPr>
            </w:pPr>
            <w:r w:rsidRPr="000620CC">
              <w:rPr>
                <w:rFonts w:cs="Arial"/>
              </w:rPr>
              <w:t>RN</w:t>
            </w:r>
          </w:p>
        </w:tc>
        <w:tc>
          <w:tcPr>
            <w:tcW w:w="7524" w:type="dxa"/>
            <w:shd w:val="clear" w:color="auto" w:fill="auto"/>
            <w:vAlign w:val="center"/>
          </w:tcPr>
          <w:p w14:paraId="18AA8D46" w14:textId="77777777" w:rsidR="00645D3D" w:rsidRPr="000620CC" w:rsidRDefault="00645D3D" w:rsidP="00645D3D">
            <w:pPr>
              <w:jc w:val="left"/>
              <w:rPr>
                <w:rFonts w:cs="Arial"/>
              </w:rPr>
            </w:pPr>
            <w:r w:rsidRPr="000620CC">
              <w:rPr>
                <w:rFonts w:cs="Arial"/>
              </w:rPr>
              <w:t>Resolução Normativa</w:t>
            </w:r>
          </w:p>
        </w:tc>
      </w:tr>
      <w:tr w:rsidR="00645D3D" w:rsidRPr="000620CC" w14:paraId="0577437F" w14:textId="77777777" w:rsidTr="00DE00AC">
        <w:trPr>
          <w:trHeight w:val="300"/>
        </w:trPr>
        <w:tc>
          <w:tcPr>
            <w:tcW w:w="1560" w:type="dxa"/>
            <w:shd w:val="clear" w:color="auto" w:fill="auto"/>
            <w:vAlign w:val="center"/>
          </w:tcPr>
          <w:p w14:paraId="62A32E13" w14:textId="77777777" w:rsidR="00645D3D" w:rsidRPr="000620CC" w:rsidRDefault="00645D3D" w:rsidP="00645D3D">
            <w:pPr>
              <w:jc w:val="left"/>
              <w:rPr>
                <w:rFonts w:cs="Arial"/>
              </w:rPr>
            </w:pPr>
            <w:r w:rsidRPr="000620CC">
              <w:rPr>
                <w:rFonts w:cs="Arial"/>
              </w:rPr>
              <w:t>RP</w:t>
            </w:r>
          </w:p>
        </w:tc>
        <w:tc>
          <w:tcPr>
            <w:tcW w:w="7524" w:type="dxa"/>
            <w:shd w:val="clear" w:color="auto" w:fill="auto"/>
            <w:vAlign w:val="center"/>
          </w:tcPr>
          <w:p w14:paraId="292B8418" w14:textId="77777777" w:rsidR="00645D3D" w:rsidRPr="000620CC" w:rsidRDefault="00645D3D" w:rsidP="00645D3D">
            <w:pPr>
              <w:jc w:val="left"/>
              <w:rPr>
                <w:rFonts w:cs="Arial"/>
              </w:rPr>
            </w:pPr>
            <w:r w:rsidRPr="000620CC">
              <w:rPr>
                <w:rFonts w:cs="Arial"/>
              </w:rPr>
              <w:t>Restos a Pagar</w:t>
            </w:r>
          </w:p>
        </w:tc>
      </w:tr>
      <w:tr w:rsidR="00645D3D" w:rsidRPr="000620CC" w14:paraId="6DFC557F" w14:textId="77777777" w:rsidTr="00DE00AC">
        <w:trPr>
          <w:trHeight w:val="300"/>
        </w:trPr>
        <w:tc>
          <w:tcPr>
            <w:tcW w:w="1560" w:type="dxa"/>
            <w:shd w:val="clear" w:color="auto" w:fill="auto"/>
            <w:vAlign w:val="center"/>
          </w:tcPr>
          <w:p w14:paraId="4B650A25" w14:textId="77777777" w:rsidR="00645D3D" w:rsidRPr="000620CC" w:rsidRDefault="00645D3D" w:rsidP="00645D3D">
            <w:pPr>
              <w:jc w:val="left"/>
              <w:rPr>
                <w:rFonts w:cs="Arial"/>
              </w:rPr>
            </w:pPr>
            <w:r w:rsidRPr="000620CC">
              <w:rPr>
                <w:rFonts w:cs="Arial"/>
              </w:rPr>
              <w:t>RPNP</w:t>
            </w:r>
          </w:p>
        </w:tc>
        <w:tc>
          <w:tcPr>
            <w:tcW w:w="7524" w:type="dxa"/>
            <w:shd w:val="clear" w:color="auto" w:fill="auto"/>
            <w:vAlign w:val="center"/>
          </w:tcPr>
          <w:p w14:paraId="7E431151" w14:textId="77777777" w:rsidR="00645D3D" w:rsidRPr="000620CC" w:rsidRDefault="00645D3D" w:rsidP="00645D3D">
            <w:pPr>
              <w:jc w:val="left"/>
              <w:rPr>
                <w:rFonts w:cs="Arial"/>
              </w:rPr>
            </w:pPr>
            <w:r w:rsidRPr="000620CC">
              <w:rPr>
                <w:rFonts w:cs="Arial"/>
              </w:rPr>
              <w:t>Restos a Pagar Não Processados</w:t>
            </w:r>
          </w:p>
        </w:tc>
      </w:tr>
      <w:tr w:rsidR="00645D3D" w:rsidRPr="000620CC" w14:paraId="722ED3CB" w14:textId="77777777" w:rsidTr="00DE00AC">
        <w:trPr>
          <w:trHeight w:val="300"/>
        </w:trPr>
        <w:tc>
          <w:tcPr>
            <w:tcW w:w="1560" w:type="dxa"/>
            <w:shd w:val="clear" w:color="auto" w:fill="auto"/>
            <w:vAlign w:val="center"/>
          </w:tcPr>
          <w:p w14:paraId="0468D9C2" w14:textId="77777777" w:rsidR="00645D3D" w:rsidRPr="000620CC" w:rsidRDefault="00645D3D" w:rsidP="00645D3D">
            <w:pPr>
              <w:jc w:val="left"/>
              <w:rPr>
                <w:rFonts w:cs="Arial"/>
              </w:rPr>
            </w:pPr>
            <w:r w:rsidRPr="000620CC">
              <w:rPr>
                <w:rFonts w:cs="Arial"/>
              </w:rPr>
              <w:t>RPP</w:t>
            </w:r>
          </w:p>
        </w:tc>
        <w:tc>
          <w:tcPr>
            <w:tcW w:w="7524" w:type="dxa"/>
            <w:shd w:val="clear" w:color="auto" w:fill="auto"/>
            <w:vAlign w:val="center"/>
          </w:tcPr>
          <w:p w14:paraId="45769B41" w14:textId="77777777" w:rsidR="00645D3D" w:rsidRPr="000620CC" w:rsidRDefault="00645D3D" w:rsidP="00645D3D">
            <w:pPr>
              <w:jc w:val="left"/>
              <w:rPr>
                <w:rFonts w:cs="Arial"/>
              </w:rPr>
            </w:pPr>
            <w:r w:rsidRPr="000620CC">
              <w:rPr>
                <w:rFonts w:cs="Arial"/>
              </w:rPr>
              <w:t>Restos a Pagar Processados</w:t>
            </w:r>
          </w:p>
        </w:tc>
      </w:tr>
      <w:tr w:rsidR="00645D3D" w:rsidRPr="000620CC" w14:paraId="675BBA7B" w14:textId="77777777" w:rsidTr="00DE00AC">
        <w:trPr>
          <w:trHeight w:val="300"/>
        </w:trPr>
        <w:tc>
          <w:tcPr>
            <w:tcW w:w="1560" w:type="dxa"/>
            <w:shd w:val="clear" w:color="auto" w:fill="auto"/>
            <w:vAlign w:val="center"/>
            <w:hideMark/>
          </w:tcPr>
          <w:p w14:paraId="1BAC0E6A" w14:textId="77777777" w:rsidR="00645D3D" w:rsidRPr="000620CC" w:rsidRDefault="00645D3D" w:rsidP="00645D3D">
            <w:pPr>
              <w:jc w:val="left"/>
              <w:rPr>
                <w:rFonts w:cs="Arial"/>
              </w:rPr>
            </w:pPr>
            <w:r w:rsidRPr="000620CC">
              <w:rPr>
                <w:rFonts w:cs="Arial"/>
              </w:rPr>
              <w:t>RPPS</w:t>
            </w:r>
          </w:p>
        </w:tc>
        <w:tc>
          <w:tcPr>
            <w:tcW w:w="7524" w:type="dxa"/>
            <w:shd w:val="clear" w:color="auto" w:fill="auto"/>
            <w:vAlign w:val="center"/>
            <w:hideMark/>
          </w:tcPr>
          <w:p w14:paraId="32B1BAE5" w14:textId="77777777" w:rsidR="00645D3D" w:rsidRPr="000620CC" w:rsidRDefault="00645D3D" w:rsidP="00645D3D">
            <w:pPr>
              <w:jc w:val="left"/>
              <w:rPr>
                <w:rFonts w:cs="Arial"/>
              </w:rPr>
            </w:pPr>
            <w:r w:rsidRPr="000620CC">
              <w:rPr>
                <w:rFonts w:cs="Arial"/>
              </w:rPr>
              <w:t>Regime Próprio de Previdência dos Servidores</w:t>
            </w:r>
          </w:p>
        </w:tc>
      </w:tr>
      <w:tr w:rsidR="00645D3D" w:rsidRPr="000620CC" w14:paraId="441B85DD" w14:textId="77777777" w:rsidTr="00DE00AC">
        <w:trPr>
          <w:trHeight w:val="300"/>
        </w:trPr>
        <w:tc>
          <w:tcPr>
            <w:tcW w:w="1560" w:type="dxa"/>
            <w:shd w:val="clear" w:color="auto" w:fill="auto"/>
            <w:vAlign w:val="center"/>
            <w:hideMark/>
          </w:tcPr>
          <w:p w14:paraId="450DF1FA" w14:textId="77777777" w:rsidR="00645D3D" w:rsidRPr="000620CC" w:rsidRDefault="00645D3D" w:rsidP="00645D3D">
            <w:pPr>
              <w:jc w:val="left"/>
              <w:rPr>
                <w:rFonts w:cs="Arial"/>
              </w:rPr>
            </w:pPr>
            <w:r w:rsidRPr="000620CC">
              <w:rPr>
                <w:rFonts w:cs="Arial"/>
              </w:rPr>
              <w:t>RREO</w:t>
            </w:r>
          </w:p>
        </w:tc>
        <w:tc>
          <w:tcPr>
            <w:tcW w:w="7524" w:type="dxa"/>
            <w:shd w:val="clear" w:color="auto" w:fill="auto"/>
            <w:vAlign w:val="center"/>
            <w:hideMark/>
          </w:tcPr>
          <w:p w14:paraId="4308CFDF" w14:textId="77777777" w:rsidR="00645D3D" w:rsidRPr="000620CC" w:rsidRDefault="00645D3D" w:rsidP="00645D3D">
            <w:pPr>
              <w:jc w:val="left"/>
              <w:rPr>
                <w:rFonts w:cs="Arial"/>
              </w:rPr>
            </w:pPr>
            <w:r w:rsidRPr="000620CC">
              <w:rPr>
                <w:rFonts w:cs="Arial"/>
              </w:rPr>
              <w:t>Relatório Resumido de Execução Orçamentária</w:t>
            </w:r>
          </w:p>
        </w:tc>
      </w:tr>
      <w:tr w:rsidR="00645D3D" w:rsidRPr="000620CC" w14:paraId="09C578C7" w14:textId="77777777" w:rsidTr="00DE00AC">
        <w:trPr>
          <w:trHeight w:val="300"/>
        </w:trPr>
        <w:tc>
          <w:tcPr>
            <w:tcW w:w="1560" w:type="dxa"/>
            <w:shd w:val="clear" w:color="auto" w:fill="auto"/>
            <w:vAlign w:val="center"/>
          </w:tcPr>
          <w:p w14:paraId="6EEB3FAE" w14:textId="77777777" w:rsidR="00645D3D" w:rsidRPr="000620CC" w:rsidRDefault="00645D3D" w:rsidP="00645D3D">
            <w:pPr>
              <w:jc w:val="left"/>
              <w:rPr>
                <w:rFonts w:cs="Arial"/>
              </w:rPr>
            </w:pPr>
            <w:r w:rsidRPr="000620CC">
              <w:rPr>
                <w:rFonts w:cs="Arial"/>
              </w:rPr>
              <w:t>RRO</w:t>
            </w:r>
          </w:p>
        </w:tc>
        <w:tc>
          <w:tcPr>
            <w:tcW w:w="7524" w:type="dxa"/>
            <w:shd w:val="clear" w:color="auto" w:fill="auto"/>
            <w:vAlign w:val="center"/>
          </w:tcPr>
          <w:p w14:paraId="51F6F297" w14:textId="77777777" w:rsidR="00645D3D" w:rsidRPr="000620CC" w:rsidRDefault="00645D3D" w:rsidP="00645D3D">
            <w:pPr>
              <w:jc w:val="left"/>
              <w:rPr>
                <w:rFonts w:cs="Arial"/>
              </w:rPr>
            </w:pPr>
            <w:r w:rsidRPr="000620CC">
              <w:rPr>
                <w:rFonts w:cs="Arial"/>
              </w:rPr>
              <w:t>Recurso Disponível no Órgão</w:t>
            </w:r>
          </w:p>
        </w:tc>
      </w:tr>
      <w:tr w:rsidR="00645D3D" w:rsidRPr="000620CC" w14:paraId="084D397F" w14:textId="77777777" w:rsidTr="00DE00AC">
        <w:trPr>
          <w:trHeight w:val="300"/>
        </w:trPr>
        <w:tc>
          <w:tcPr>
            <w:tcW w:w="1560" w:type="dxa"/>
            <w:shd w:val="clear" w:color="auto" w:fill="auto"/>
            <w:vAlign w:val="center"/>
          </w:tcPr>
          <w:p w14:paraId="77B72FAC" w14:textId="77777777" w:rsidR="00645D3D" w:rsidRPr="000620CC" w:rsidRDefault="00645D3D" w:rsidP="00645D3D">
            <w:pPr>
              <w:jc w:val="left"/>
              <w:rPr>
                <w:rFonts w:cs="Arial"/>
              </w:rPr>
            </w:pPr>
            <w:r w:rsidRPr="000620CC">
              <w:rPr>
                <w:rFonts w:cs="Arial"/>
              </w:rPr>
              <w:t>RRF</w:t>
            </w:r>
          </w:p>
        </w:tc>
        <w:tc>
          <w:tcPr>
            <w:tcW w:w="7524" w:type="dxa"/>
            <w:shd w:val="clear" w:color="auto" w:fill="auto"/>
            <w:vAlign w:val="center"/>
          </w:tcPr>
          <w:p w14:paraId="49ACE154" w14:textId="77777777" w:rsidR="00645D3D" w:rsidRPr="000620CC" w:rsidRDefault="00645D3D" w:rsidP="00645D3D">
            <w:pPr>
              <w:jc w:val="left"/>
              <w:rPr>
                <w:rFonts w:cs="Arial"/>
              </w:rPr>
            </w:pPr>
            <w:r w:rsidRPr="000620CC">
              <w:rPr>
                <w:rFonts w:cs="Arial"/>
              </w:rPr>
              <w:t>Regime de Recuperação Fiscal</w:t>
            </w:r>
          </w:p>
        </w:tc>
      </w:tr>
      <w:tr w:rsidR="00645D3D" w:rsidRPr="000620CC" w14:paraId="0769F73B" w14:textId="77777777" w:rsidTr="00DE00AC">
        <w:trPr>
          <w:trHeight w:val="300"/>
        </w:trPr>
        <w:tc>
          <w:tcPr>
            <w:tcW w:w="1560" w:type="dxa"/>
            <w:shd w:val="clear" w:color="auto" w:fill="auto"/>
            <w:vAlign w:val="center"/>
          </w:tcPr>
          <w:p w14:paraId="15A378C8" w14:textId="77777777" w:rsidR="00645D3D" w:rsidRPr="000620CC" w:rsidRDefault="00645D3D" w:rsidP="00645D3D">
            <w:pPr>
              <w:jc w:val="left"/>
              <w:rPr>
                <w:rFonts w:cs="Arial"/>
              </w:rPr>
            </w:pPr>
            <w:r w:rsidRPr="000620CC">
              <w:rPr>
                <w:rFonts w:cs="Arial"/>
              </w:rPr>
              <w:t>RRT</w:t>
            </w:r>
          </w:p>
        </w:tc>
        <w:tc>
          <w:tcPr>
            <w:tcW w:w="7524" w:type="dxa"/>
            <w:shd w:val="clear" w:color="auto" w:fill="auto"/>
            <w:vAlign w:val="center"/>
          </w:tcPr>
          <w:p w14:paraId="3B5D5A9C" w14:textId="77777777" w:rsidR="00645D3D" w:rsidRPr="000620CC" w:rsidRDefault="00645D3D" w:rsidP="00645D3D">
            <w:pPr>
              <w:jc w:val="left"/>
              <w:rPr>
                <w:rFonts w:cs="Arial"/>
              </w:rPr>
            </w:pPr>
            <w:r w:rsidRPr="000620CC">
              <w:rPr>
                <w:rFonts w:cs="Arial"/>
              </w:rPr>
              <w:t>Receita Recolhida no Tesouro</w:t>
            </w:r>
          </w:p>
        </w:tc>
      </w:tr>
      <w:tr w:rsidR="00645D3D" w:rsidRPr="000620CC" w14:paraId="279EFF28" w14:textId="77777777" w:rsidTr="00DE00AC">
        <w:trPr>
          <w:trHeight w:val="300"/>
        </w:trPr>
        <w:tc>
          <w:tcPr>
            <w:tcW w:w="1560" w:type="dxa"/>
            <w:shd w:val="clear" w:color="auto" w:fill="auto"/>
            <w:vAlign w:val="center"/>
            <w:hideMark/>
          </w:tcPr>
          <w:p w14:paraId="073E3CC6" w14:textId="77777777" w:rsidR="00645D3D" w:rsidRPr="000620CC" w:rsidRDefault="00645D3D" w:rsidP="00645D3D">
            <w:pPr>
              <w:jc w:val="left"/>
              <w:rPr>
                <w:rFonts w:cs="Arial"/>
              </w:rPr>
            </w:pPr>
            <w:r w:rsidRPr="000620CC">
              <w:rPr>
                <w:rFonts w:cs="Arial"/>
              </w:rPr>
              <w:t>SCG</w:t>
            </w:r>
          </w:p>
        </w:tc>
        <w:tc>
          <w:tcPr>
            <w:tcW w:w="7524" w:type="dxa"/>
            <w:shd w:val="clear" w:color="auto" w:fill="auto"/>
            <w:vAlign w:val="center"/>
            <w:hideMark/>
          </w:tcPr>
          <w:p w14:paraId="79AE1D17" w14:textId="77777777" w:rsidR="00645D3D" w:rsidRPr="000620CC" w:rsidRDefault="00645D3D" w:rsidP="00645D3D">
            <w:pPr>
              <w:jc w:val="left"/>
              <w:rPr>
                <w:rFonts w:cs="Arial"/>
              </w:rPr>
            </w:pPr>
            <w:r w:rsidRPr="000620CC">
              <w:rPr>
                <w:rFonts w:cs="Arial"/>
              </w:rPr>
              <w:t>Sistema de Contabilidade Geral do Estado de Goiás</w:t>
            </w:r>
          </w:p>
        </w:tc>
      </w:tr>
      <w:tr w:rsidR="00FB7EDF" w:rsidRPr="000620CC" w14:paraId="5F06E417" w14:textId="77777777" w:rsidTr="00DE00AC">
        <w:trPr>
          <w:trHeight w:val="300"/>
        </w:trPr>
        <w:tc>
          <w:tcPr>
            <w:tcW w:w="1560" w:type="dxa"/>
            <w:shd w:val="clear" w:color="auto" w:fill="auto"/>
            <w:vAlign w:val="center"/>
          </w:tcPr>
          <w:p w14:paraId="28476AFA" w14:textId="1037E1DF" w:rsidR="00FB7EDF" w:rsidRPr="000620CC" w:rsidRDefault="00FB7EDF" w:rsidP="00645D3D">
            <w:pPr>
              <w:jc w:val="left"/>
              <w:rPr>
                <w:rFonts w:cs="Arial"/>
              </w:rPr>
            </w:pPr>
            <w:r w:rsidRPr="000620CC">
              <w:rPr>
                <w:rFonts w:cs="Arial"/>
              </w:rPr>
              <w:t>SGG</w:t>
            </w:r>
          </w:p>
        </w:tc>
        <w:tc>
          <w:tcPr>
            <w:tcW w:w="7524" w:type="dxa"/>
            <w:shd w:val="clear" w:color="auto" w:fill="auto"/>
            <w:vAlign w:val="center"/>
          </w:tcPr>
          <w:p w14:paraId="56DFB3F0" w14:textId="743CCC25" w:rsidR="00FB7EDF" w:rsidRPr="000620CC" w:rsidRDefault="00FB7EDF" w:rsidP="00645D3D">
            <w:pPr>
              <w:jc w:val="left"/>
              <w:rPr>
                <w:rFonts w:cs="Arial"/>
              </w:rPr>
            </w:pPr>
            <w:r w:rsidRPr="000620CC">
              <w:rPr>
                <w:rFonts w:cs="Arial"/>
              </w:rPr>
              <w:t>Secretaria-Geral de Governo</w:t>
            </w:r>
          </w:p>
        </w:tc>
      </w:tr>
      <w:tr w:rsidR="00DA5713" w:rsidRPr="000620CC" w14:paraId="765C0BB1" w14:textId="77777777" w:rsidTr="00DE00AC">
        <w:trPr>
          <w:trHeight w:val="300"/>
        </w:trPr>
        <w:tc>
          <w:tcPr>
            <w:tcW w:w="1560" w:type="dxa"/>
            <w:shd w:val="clear" w:color="auto" w:fill="auto"/>
            <w:vAlign w:val="center"/>
          </w:tcPr>
          <w:p w14:paraId="551E32FD" w14:textId="3CA505A0" w:rsidR="00DA5713" w:rsidRPr="000620CC" w:rsidRDefault="00DA5713" w:rsidP="00645D3D">
            <w:pPr>
              <w:jc w:val="left"/>
              <w:rPr>
                <w:rFonts w:cs="Arial"/>
              </w:rPr>
            </w:pPr>
            <w:r w:rsidRPr="000620CC">
              <w:rPr>
                <w:rFonts w:cs="Arial"/>
              </w:rPr>
              <w:t>Saneago</w:t>
            </w:r>
          </w:p>
        </w:tc>
        <w:tc>
          <w:tcPr>
            <w:tcW w:w="7524" w:type="dxa"/>
            <w:shd w:val="clear" w:color="auto" w:fill="auto"/>
            <w:vAlign w:val="center"/>
          </w:tcPr>
          <w:p w14:paraId="02970308" w14:textId="264CEDEB" w:rsidR="00DA5713" w:rsidRPr="000620CC" w:rsidRDefault="00DA5713" w:rsidP="00645D3D">
            <w:pPr>
              <w:jc w:val="left"/>
              <w:rPr>
                <w:rFonts w:cs="Arial"/>
              </w:rPr>
            </w:pPr>
            <w:r w:rsidRPr="000620CC">
              <w:rPr>
                <w:rFonts w:cs="Arial"/>
              </w:rPr>
              <w:t>Saneamento de Goiás S/A</w:t>
            </w:r>
          </w:p>
        </w:tc>
      </w:tr>
      <w:tr w:rsidR="00CC3B17" w:rsidRPr="000620CC" w14:paraId="0A038597" w14:textId="77777777" w:rsidTr="00DE00AC">
        <w:trPr>
          <w:trHeight w:val="300"/>
        </w:trPr>
        <w:tc>
          <w:tcPr>
            <w:tcW w:w="1560" w:type="dxa"/>
            <w:shd w:val="clear" w:color="auto" w:fill="auto"/>
            <w:vAlign w:val="center"/>
          </w:tcPr>
          <w:p w14:paraId="3576C651" w14:textId="5C1AFB61" w:rsidR="00CC3B17" w:rsidRPr="000620CC" w:rsidRDefault="00CC3B17" w:rsidP="00645D3D">
            <w:pPr>
              <w:jc w:val="left"/>
              <w:rPr>
                <w:rFonts w:cs="Arial"/>
              </w:rPr>
            </w:pPr>
            <w:r w:rsidRPr="000620CC">
              <w:rPr>
                <w:rFonts w:cs="Arial"/>
              </w:rPr>
              <w:t>SARE</w:t>
            </w:r>
          </w:p>
        </w:tc>
        <w:tc>
          <w:tcPr>
            <w:tcW w:w="7524" w:type="dxa"/>
            <w:shd w:val="clear" w:color="auto" w:fill="auto"/>
            <w:vAlign w:val="center"/>
          </w:tcPr>
          <w:p w14:paraId="28A2D649" w14:textId="78794049" w:rsidR="00CC3B17" w:rsidRPr="000620CC" w:rsidRDefault="00CC3B17" w:rsidP="00645D3D">
            <w:pPr>
              <w:jc w:val="left"/>
              <w:rPr>
                <w:rFonts w:cs="Arial"/>
              </w:rPr>
            </w:pPr>
            <w:r w:rsidRPr="000620CC">
              <w:rPr>
                <w:rFonts w:cs="Arial"/>
              </w:rPr>
              <w:t>Sistema de Arrecadação Estadual</w:t>
            </w:r>
          </w:p>
        </w:tc>
      </w:tr>
      <w:tr w:rsidR="005B33DE" w:rsidRPr="000620CC" w14:paraId="24D229CB" w14:textId="77777777" w:rsidTr="00DE00AC">
        <w:trPr>
          <w:trHeight w:val="300"/>
        </w:trPr>
        <w:tc>
          <w:tcPr>
            <w:tcW w:w="1560" w:type="dxa"/>
            <w:shd w:val="clear" w:color="auto" w:fill="auto"/>
            <w:vAlign w:val="center"/>
          </w:tcPr>
          <w:p w14:paraId="1866B7BF" w14:textId="7DEAA8C4" w:rsidR="005B33DE" w:rsidRPr="000620CC" w:rsidRDefault="005B33DE" w:rsidP="00645D3D">
            <w:pPr>
              <w:jc w:val="left"/>
              <w:rPr>
                <w:rFonts w:cs="Arial"/>
              </w:rPr>
            </w:pPr>
            <w:r w:rsidRPr="000620CC">
              <w:rPr>
                <w:rFonts w:cs="Arial"/>
              </w:rPr>
              <w:t>Sead</w:t>
            </w:r>
          </w:p>
        </w:tc>
        <w:tc>
          <w:tcPr>
            <w:tcW w:w="7524" w:type="dxa"/>
            <w:shd w:val="clear" w:color="auto" w:fill="auto"/>
            <w:vAlign w:val="center"/>
          </w:tcPr>
          <w:p w14:paraId="37A3DFEC" w14:textId="64B9146B" w:rsidR="005B33DE" w:rsidRPr="000620CC" w:rsidRDefault="00074FCC" w:rsidP="00645D3D">
            <w:pPr>
              <w:jc w:val="left"/>
              <w:rPr>
                <w:rFonts w:cs="Arial"/>
              </w:rPr>
            </w:pPr>
            <w:r w:rsidRPr="000620CC">
              <w:rPr>
                <w:rFonts w:cs="Arial"/>
              </w:rPr>
              <w:t>Secretaria de Estado da Administração</w:t>
            </w:r>
          </w:p>
        </w:tc>
      </w:tr>
      <w:tr w:rsidR="00334821" w:rsidRPr="000620CC" w14:paraId="7E1F8096" w14:textId="77777777" w:rsidTr="00DE00AC">
        <w:trPr>
          <w:trHeight w:val="300"/>
        </w:trPr>
        <w:tc>
          <w:tcPr>
            <w:tcW w:w="1560" w:type="dxa"/>
            <w:shd w:val="clear" w:color="auto" w:fill="auto"/>
            <w:vAlign w:val="center"/>
          </w:tcPr>
          <w:p w14:paraId="3885065D" w14:textId="697788B2" w:rsidR="00334821" w:rsidRPr="000620CC" w:rsidRDefault="00334821" w:rsidP="00645D3D">
            <w:pPr>
              <w:jc w:val="left"/>
              <w:rPr>
                <w:rFonts w:cs="Arial"/>
              </w:rPr>
            </w:pPr>
            <w:r w:rsidRPr="000620CC">
              <w:rPr>
                <w:rFonts w:cs="Arial"/>
              </w:rPr>
              <w:t>Seduc</w:t>
            </w:r>
          </w:p>
        </w:tc>
        <w:tc>
          <w:tcPr>
            <w:tcW w:w="7524" w:type="dxa"/>
            <w:shd w:val="clear" w:color="auto" w:fill="auto"/>
            <w:vAlign w:val="center"/>
          </w:tcPr>
          <w:p w14:paraId="6251FB38" w14:textId="6923A3CA" w:rsidR="00334821" w:rsidRPr="000620CC" w:rsidRDefault="00334821" w:rsidP="00645D3D">
            <w:pPr>
              <w:jc w:val="left"/>
              <w:rPr>
                <w:rFonts w:cs="Arial"/>
              </w:rPr>
            </w:pPr>
            <w:r w:rsidRPr="000620CC">
              <w:rPr>
                <w:rFonts w:cs="Arial"/>
              </w:rPr>
              <w:t>Secretaria de Estado da Educação</w:t>
            </w:r>
          </w:p>
        </w:tc>
      </w:tr>
      <w:tr w:rsidR="00645D3D" w:rsidRPr="000620CC" w14:paraId="68425104" w14:textId="77777777" w:rsidTr="00DE00AC">
        <w:trPr>
          <w:trHeight w:val="300"/>
        </w:trPr>
        <w:tc>
          <w:tcPr>
            <w:tcW w:w="1560" w:type="dxa"/>
            <w:shd w:val="clear" w:color="auto" w:fill="auto"/>
            <w:vAlign w:val="center"/>
            <w:hideMark/>
          </w:tcPr>
          <w:p w14:paraId="19AF687E" w14:textId="77777777" w:rsidR="00645D3D" w:rsidRPr="000620CC" w:rsidRDefault="00645D3D" w:rsidP="00645D3D">
            <w:pPr>
              <w:jc w:val="left"/>
              <w:rPr>
                <w:rFonts w:cs="Arial"/>
              </w:rPr>
            </w:pPr>
            <w:r w:rsidRPr="000620CC">
              <w:rPr>
                <w:rFonts w:cs="Arial"/>
              </w:rPr>
              <w:lastRenderedPageBreak/>
              <w:t>Sefaz</w:t>
            </w:r>
          </w:p>
        </w:tc>
        <w:tc>
          <w:tcPr>
            <w:tcW w:w="7524" w:type="dxa"/>
            <w:shd w:val="clear" w:color="auto" w:fill="auto"/>
            <w:vAlign w:val="center"/>
            <w:hideMark/>
          </w:tcPr>
          <w:p w14:paraId="79485DC5" w14:textId="739EF563" w:rsidR="00645D3D" w:rsidRPr="000620CC" w:rsidRDefault="00645D3D" w:rsidP="00645D3D">
            <w:pPr>
              <w:jc w:val="left"/>
              <w:rPr>
                <w:rFonts w:cs="Arial"/>
              </w:rPr>
            </w:pPr>
            <w:r w:rsidRPr="000620CC">
              <w:rPr>
                <w:rFonts w:cs="Arial"/>
              </w:rPr>
              <w:t xml:space="preserve">Secretaria </w:t>
            </w:r>
            <w:r w:rsidR="00334821" w:rsidRPr="000620CC">
              <w:rPr>
                <w:rFonts w:cs="Arial"/>
              </w:rPr>
              <w:t xml:space="preserve">de Estado </w:t>
            </w:r>
            <w:r w:rsidRPr="000620CC">
              <w:rPr>
                <w:rFonts w:cs="Arial"/>
              </w:rPr>
              <w:t>da Fazenda</w:t>
            </w:r>
          </w:p>
        </w:tc>
      </w:tr>
      <w:tr w:rsidR="002571E6" w:rsidRPr="000620CC" w14:paraId="25F2CDCE" w14:textId="77777777" w:rsidTr="00DE00AC">
        <w:trPr>
          <w:trHeight w:val="300"/>
        </w:trPr>
        <w:tc>
          <w:tcPr>
            <w:tcW w:w="1560" w:type="dxa"/>
            <w:shd w:val="clear" w:color="auto" w:fill="auto"/>
            <w:vAlign w:val="center"/>
          </w:tcPr>
          <w:p w14:paraId="7CC7A3AA" w14:textId="5472F267" w:rsidR="002571E6" w:rsidRPr="000620CC" w:rsidRDefault="002571E6" w:rsidP="00645D3D">
            <w:pPr>
              <w:jc w:val="left"/>
              <w:rPr>
                <w:rFonts w:cs="Arial"/>
              </w:rPr>
            </w:pPr>
            <w:r w:rsidRPr="000620CC">
              <w:rPr>
                <w:rFonts w:cs="Arial"/>
              </w:rPr>
              <w:t>Seonet</w:t>
            </w:r>
          </w:p>
        </w:tc>
        <w:tc>
          <w:tcPr>
            <w:tcW w:w="7524" w:type="dxa"/>
            <w:shd w:val="clear" w:color="auto" w:fill="auto"/>
            <w:vAlign w:val="center"/>
          </w:tcPr>
          <w:p w14:paraId="11DEA87F" w14:textId="5D942CF9" w:rsidR="002571E6" w:rsidRPr="000620CC" w:rsidRDefault="002571E6" w:rsidP="00645D3D">
            <w:pPr>
              <w:jc w:val="left"/>
              <w:rPr>
                <w:rFonts w:cs="Arial"/>
              </w:rPr>
            </w:pPr>
            <w:r w:rsidRPr="000620CC">
              <w:rPr>
                <w:rFonts w:cs="Arial"/>
              </w:rPr>
              <w:t>Sistema de Elaboração Orçamentária</w:t>
            </w:r>
          </w:p>
        </w:tc>
      </w:tr>
      <w:tr w:rsidR="00645D3D" w:rsidRPr="000620CC" w14:paraId="1D0B5FE6" w14:textId="77777777" w:rsidTr="00DE00AC">
        <w:trPr>
          <w:trHeight w:val="300"/>
        </w:trPr>
        <w:tc>
          <w:tcPr>
            <w:tcW w:w="1560" w:type="dxa"/>
            <w:shd w:val="clear" w:color="auto" w:fill="auto"/>
            <w:vAlign w:val="center"/>
          </w:tcPr>
          <w:p w14:paraId="6472D34C" w14:textId="77777777" w:rsidR="00645D3D" w:rsidRPr="000620CC" w:rsidRDefault="00645D3D" w:rsidP="00645D3D">
            <w:pPr>
              <w:jc w:val="left"/>
              <w:rPr>
                <w:rFonts w:cs="Arial"/>
              </w:rPr>
            </w:pPr>
            <w:r w:rsidRPr="000620CC">
              <w:rPr>
                <w:rFonts w:cs="Arial"/>
              </w:rPr>
              <w:t>Serv-CGoverno</w:t>
            </w:r>
          </w:p>
        </w:tc>
        <w:tc>
          <w:tcPr>
            <w:tcW w:w="7524" w:type="dxa"/>
            <w:shd w:val="clear" w:color="auto" w:fill="auto"/>
            <w:vAlign w:val="center"/>
          </w:tcPr>
          <w:p w14:paraId="2420E559" w14:textId="4866F7DE" w:rsidR="00645D3D" w:rsidRPr="000620CC" w:rsidRDefault="00645D3D" w:rsidP="00645D3D">
            <w:pPr>
              <w:jc w:val="left"/>
              <w:rPr>
                <w:rFonts w:cs="Arial"/>
              </w:rPr>
            </w:pPr>
            <w:r w:rsidRPr="000620CC">
              <w:rPr>
                <w:rFonts w:cs="Arial"/>
              </w:rPr>
              <w:t>Serviço de Contas de Governo</w:t>
            </w:r>
            <w:r w:rsidR="00F21FBF" w:rsidRPr="000620CC">
              <w:rPr>
                <w:rFonts w:cs="Arial"/>
              </w:rPr>
              <w:t xml:space="preserve"> </w:t>
            </w:r>
            <w:r w:rsidR="00F21FBF" w:rsidRPr="000620CC">
              <w:rPr>
                <w:rFonts w:cs="Arial"/>
              </w:rPr>
              <w:br/>
              <w:t>(Atual: Serviço de Fiscalização de Contas de Governo)</w:t>
            </w:r>
          </w:p>
        </w:tc>
      </w:tr>
      <w:tr w:rsidR="00645D3D" w:rsidRPr="000620CC" w14:paraId="205E82EB" w14:textId="77777777" w:rsidTr="00DE00AC">
        <w:trPr>
          <w:trHeight w:val="300"/>
        </w:trPr>
        <w:tc>
          <w:tcPr>
            <w:tcW w:w="1560" w:type="dxa"/>
            <w:shd w:val="clear" w:color="auto" w:fill="auto"/>
            <w:vAlign w:val="center"/>
            <w:hideMark/>
          </w:tcPr>
          <w:p w14:paraId="55890A59" w14:textId="77777777" w:rsidR="00645D3D" w:rsidRPr="000620CC" w:rsidRDefault="00645D3D" w:rsidP="00645D3D">
            <w:pPr>
              <w:jc w:val="left"/>
              <w:rPr>
                <w:rFonts w:cs="Arial"/>
              </w:rPr>
            </w:pPr>
            <w:r w:rsidRPr="000620CC">
              <w:rPr>
                <w:rFonts w:cs="Arial"/>
              </w:rPr>
              <w:t>Siofi-Net</w:t>
            </w:r>
          </w:p>
        </w:tc>
        <w:tc>
          <w:tcPr>
            <w:tcW w:w="7524" w:type="dxa"/>
            <w:shd w:val="clear" w:color="auto" w:fill="auto"/>
            <w:vAlign w:val="center"/>
            <w:hideMark/>
          </w:tcPr>
          <w:p w14:paraId="055EC955" w14:textId="77777777" w:rsidR="00645D3D" w:rsidRPr="000620CC" w:rsidRDefault="00645D3D" w:rsidP="00645D3D">
            <w:pPr>
              <w:jc w:val="left"/>
              <w:rPr>
                <w:rFonts w:cs="Arial"/>
              </w:rPr>
            </w:pPr>
            <w:r w:rsidRPr="000620CC">
              <w:rPr>
                <w:rFonts w:cs="Arial"/>
              </w:rPr>
              <w:t>Sistema de Programação e Execução Orçamentária e Financeira</w:t>
            </w:r>
          </w:p>
        </w:tc>
      </w:tr>
      <w:tr w:rsidR="00645D3D" w:rsidRPr="000620CC" w14:paraId="16AA5315" w14:textId="77777777" w:rsidTr="00DE00AC">
        <w:trPr>
          <w:trHeight w:val="300"/>
        </w:trPr>
        <w:tc>
          <w:tcPr>
            <w:tcW w:w="1560" w:type="dxa"/>
            <w:shd w:val="clear" w:color="auto" w:fill="auto"/>
            <w:vAlign w:val="center"/>
            <w:hideMark/>
          </w:tcPr>
          <w:p w14:paraId="64D13E52" w14:textId="77777777" w:rsidR="00645D3D" w:rsidRPr="000620CC" w:rsidRDefault="00645D3D" w:rsidP="00645D3D">
            <w:pPr>
              <w:jc w:val="left"/>
              <w:rPr>
                <w:rFonts w:cs="Arial"/>
              </w:rPr>
            </w:pPr>
            <w:r w:rsidRPr="000620CC">
              <w:rPr>
                <w:rFonts w:cs="Arial"/>
              </w:rPr>
              <w:t>Siope</w:t>
            </w:r>
          </w:p>
        </w:tc>
        <w:tc>
          <w:tcPr>
            <w:tcW w:w="7524" w:type="dxa"/>
            <w:shd w:val="clear" w:color="auto" w:fill="auto"/>
            <w:vAlign w:val="center"/>
            <w:hideMark/>
          </w:tcPr>
          <w:p w14:paraId="4A50BE88" w14:textId="77777777" w:rsidR="00645D3D" w:rsidRPr="000620CC" w:rsidRDefault="00645D3D" w:rsidP="00645D3D">
            <w:pPr>
              <w:jc w:val="left"/>
              <w:rPr>
                <w:rFonts w:cs="Arial"/>
              </w:rPr>
            </w:pPr>
            <w:r w:rsidRPr="000620CC">
              <w:rPr>
                <w:rFonts w:cs="Arial"/>
              </w:rPr>
              <w:t>Sistema de Informações sobre Orçamentos Públicos em Educação</w:t>
            </w:r>
          </w:p>
        </w:tc>
      </w:tr>
      <w:tr w:rsidR="00645D3D" w:rsidRPr="000620CC" w14:paraId="16594A18" w14:textId="77777777" w:rsidTr="00DE00AC">
        <w:trPr>
          <w:trHeight w:val="300"/>
        </w:trPr>
        <w:tc>
          <w:tcPr>
            <w:tcW w:w="1560" w:type="dxa"/>
            <w:shd w:val="clear" w:color="auto" w:fill="auto"/>
            <w:vAlign w:val="center"/>
            <w:hideMark/>
          </w:tcPr>
          <w:p w14:paraId="1F4200C8" w14:textId="77777777" w:rsidR="00645D3D" w:rsidRPr="000620CC" w:rsidRDefault="00645D3D" w:rsidP="00645D3D">
            <w:pPr>
              <w:jc w:val="left"/>
              <w:rPr>
                <w:rFonts w:cs="Arial"/>
              </w:rPr>
            </w:pPr>
            <w:r w:rsidRPr="000620CC">
              <w:rPr>
                <w:rFonts w:cs="Arial"/>
              </w:rPr>
              <w:t>Siops</w:t>
            </w:r>
          </w:p>
        </w:tc>
        <w:tc>
          <w:tcPr>
            <w:tcW w:w="7524" w:type="dxa"/>
            <w:shd w:val="clear" w:color="auto" w:fill="auto"/>
            <w:vAlign w:val="center"/>
            <w:hideMark/>
          </w:tcPr>
          <w:p w14:paraId="4224BC51" w14:textId="77777777" w:rsidR="00645D3D" w:rsidRPr="000620CC" w:rsidRDefault="00645D3D" w:rsidP="00645D3D">
            <w:pPr>
              <w:jc w:val="left"/>
              <w:rPr>
                <w:rFonts w:cs="Arial"/>
              </w:rPr>
            </w:pPr>
            <w:r w:rsidRPr="000620CC">
              <w:rPr>
                <w:rFonts w:cs="Arial"/>
              </w:rPr>
              <w:t>Sistema de Informações sobre Orçamentos Públicos em Saúde</w:t>
            </w:r>
          </w:p>
        </w:tc>
      </w:tr>
      <w:tr w:rsidR="00645D3D" w:rsidRPr="000620CC" w14:paraId="3E7C3C29" w14:textId="77777777" w:rsidTr="00DE00AC">
        <w:trPr>
          <w:trHeight w:val="300"/>
        </w:trPr>
        <w:tc>
          <w:tcPr>
            <w:tcW w:w="1560" w:type="dxa"/>
            <w:shd w:val="clear" w:color="auto" w:fill="auto"/>
            <w:vAlign w:val="center"/>
          </w:tcPr>
          <w:p w14:paraId="7A7C25F3" w14:textId="77777777" w:rsidR="00645D3D" w:rsidRPr="000620CC" w:rsidRDefault="00645D3D" w:rsidP="00645D3D">
            <w:pPr>
              <w:jc w:val="left"/>
              <w:rPr>
                <w:rFonts w:cs="Arial"/>
              </w:rPr>
            </w:pPr>
            <w:r w:rsidRPr="000620CC">
              <w:rPr>
                <w:rFonts w:cs="Arial"/>
              </w:rPr>
              <w:t>Siplam</w:t>
            </w:r>
          </w:p>
        </w:tc>
        <w:tc>
          <w:tcPr>
            <w:tcW w:w="7524" w:type="dxa"/>
            <w:shd w:val="clear" w:color="auto" w:fill="auto"/>
            <w:vAlign w:val="center"/>
          </w:tcPr>
          <w:p w14:paraId="07C8D411" w14:textId="77777777" w:rsidR="00645D3D" w:rsidRPr="000620CC" w:rsidRDefault="00645D3D" w:rsidP="00645D3D">
            <w:pPr>
              <w:jc w:val="left"/>
              <w:rPr>
                <w:rFonts w:cs="Arial"/>
              </w:rPr>
            </w:pPr>
            <w:r w:rsidRPr="000620CC">
              <w:rPr>
                <w:rFonts w:cs="Arial"/>
              </w:rPr>
              <w:t>Sistema de Planejamento e Monitoramento do Plano Plurianual </w:t>
            </w:r>
          </w:p>
        </w:tc>
      </w:tr>
      <w:tr w:rsidR="00645D3D" w:rsidRPr="000620CC" w14:paraId="704AB195" w14:textId="77777777" w:rsidTr="00DE00AC">
        <w:trPr>
          <w:trHeight w:val="300"/>
        </w:trPr>
        <w:tc>
          <w:tcPr>
            <w:tcW w:w="1560" w:type="dxa"/>
            <w:shd w:val="clear" w:color="auto" w:fill="auto"/>
            <w:vAlign w:val="center"/>
          </w:tcPr>
          <w:p w14:paraId="3F1CBC46" w14:textId="77777777" w:rsidR="00645D3D" w:rsidRPr="000620CC" w:rsidRDefault="00645D3D" w:rsidP="00645D3D">
            <w:pPr>
              <w:jc w:val="left"/>
              <w:rPr>
                <w:rFonts w:cs="Arial"/>
              </w:rPr>
            </w:pPr>
            <w:r w:rsidRPr="000620CC">
              <w:rPr>
                <w:rFonts w:cs="Arial"/>
              </w:rPr>
              <w:t>SOF</w:t>
            </w:r>
          </w:p>
        </w:tc>
        <w:tc>
          <w:tcPr>
            <w:tcW w:w="7524" w:type="dxa"/>
            <w:shd w:val="clear" w:color="auto" w:fill="auto"/>
            <w:vAlign w:val="center"/>
          </w:tcPr>
          <w:p w14:paraId="4C6F98EE" w14:textId="77777777" w:rsidR="00645D3D" w:rsidRPr="000620CC" w:rsidRDefault="00645D3D" w:rsidP="00645D3D">
            <w:pPr>
              <w:jc w:val="left"/>
              <w:rPr>
                <w:rFonts w:cs="Arial"/>
              </w:rPr>
            </w:pPr>
            <w:r w:rsidRPr="000620CC">
              <w:rPr>
                <w:rFonts w:cs="Arial"/>
              </w:rPr>
              <w:t>Secretaria de Orçamento Federal</w:t>
            </w:r>
          </w:p>
        </w:tc>
      </w:tr>
      <w:tr w:rsidR="00FB689D" w:rsidRPr="000620CC" w14:paraId="265C74AC" w14:textId="77777777" w:rsidTr="00DE00AC">
        <w:trPr>
          <w:trHeight w:val="300"/>
        </w:trPr>
        <w:tc>
          <w:tcPr>
            <w:tcW w:w="1560" w:type="dxa"/>
            <w:shd w:val="clear" w:color="auto" w:fill="auto"/>
            <w:vAlign w:val="center"/>
          </w:tcPr>
          <w:p w14:paraId="1696997B" w14:textId="6D029A95" w:rsidR="00FB689D" w:rsidRPr="000620CC" w:rsidRDefault="00FB689D" w:rsidP="00645D3D">
            <w:pPr>
              <w:jc w:val="left"/>
              <w:rPr>
                <w:rFonts w:cs="Arial"/>
              </w:rPr>
            </w:pPr>
            <w:r w:rsidRPr="000620CC">
              <w:rPr>
                <w:rFonts w:cs="Arial"/>
              </w:rPr>
              <w:t>SPC</w:t>
            </w:r>
          </w:p>
        </w:tc>
        <w:tc>
          <w:tcPr>
            <w:tcW w:w="7524" w:type="dxa"/>
            <w:shd w:val="clear" w:color="auto" w:fill="auto"/>
            <w:vAlign w:val="center"/>
          </w:tcPr>
          <w:p w14:paraId="2A8AB55D" w14:textId="4852240E" w:rsidR="00FB689D" w:rsidRPr="000620CC" w:rsidRDefault="00FB689D" w:rsidP="00645D3D">
            <w:pPr>
              <w:jc w:val="left"/>
              <w:rPr>
                <w:rFonts w:cs="Arial"/>
              </w:rPr>
            </w:pPr>
            <w:r w:rsidRPr="000620CC">
              <w:rPr>
                <w:rFonts w:cs="Arial"/>
              </w:rPr>
              <w:t>Sistema de Prestação de Contas</w:t>
            </w:r>
          </w:p>
        </w:tc>
      </w:tr>
      <w:tr w:rsidR="00550E37" w:rsidRPr="000620CC" w14:paraId="7C7A235B" w14:textId="77777777" w:rsidTr="00DE00AC">
        <w:trPr>
          <w:trHeight w:val="300"/>
        </w:trPr>
        <w:tc>
          <w:tcPr>
            <w:tcW w:w="1560" w:type="dxa"/>
            <w:shd w:val="clear" w:color="auto" w:fill="auto"/>
            <w:vAlign w:val="center"/>
          </w:tcPr>
          <w:p w14:paraId="7BA4F742" w14:textId="43DA2598" w:rsidR="00550E37" w:rsidRPr="000620CC" w:rsidRDefault="00550E37" w:rsidP="00645D3D">
            <w:pPr>
              <w:jc w:val="left"/>
              <w:rPr>
                <w:rFonts w:cs="Arial"/>
              </w:rPr>
            </w:pPr>
            <w:r w:rsidRPr="000620CC">
              <w:rPr>
                <w:rFonts w:cs="Arial"/>
              </w:rPr>
              <w:t>SPrev</w:t>
            </w:r>
          </w:p>
        </w:tc>
        <w:tc>
          <w:tcPr>
            <w:tcW w:w="7524" w:type="dxa"/>
            <w:shd w:val="clear" w:color="auto" w:fill="auto"/>
            <w:vAlign w:val="center"/>
          </w:tcPr>
          <w:p w14:paraId="02AE86E8" w14:textId="2552DED4" w:rsidR="00550E37" w:rsidRPr="000620CC" w:rsidRDefault="00550E37" w:rsidP="00645D3D">
            <w:pPr>
              <w:jc w:val="left"/>
              <w:rPr>
                <w:rFonts w:cs="Arial"/>
              </w:rPr>
            </w:pPr>
            <w:r w:rsidRPr="000620CC">
              <w:rPr>
                <w:rFonts w:cs="Arial"/>
              </w:rPr>
              <w:t>Secretaria de Previdência</w:t>
            </w:r>
          </w:p>
        </w:tc>
      </w:tr>
      <w:tr w:rsidR="009305A8" w:rsidRPr="000620CC" w14:paraId="788CF291" w14:textId="77777777" w:rsidTr="00DE00AC">
        <w:trPr>
          <w:trHeight w:val="300"/>
        </w:trPr>
        <w:tc>
          <w:tcPr>
            <w:tcW w:w="1560" w:type="dxa"/>
            <w:shd w:val="clear" w:color="auto" w:fill="auto"/>
            <w:vAlign w:val="center"/>
          </w:tcPr>
          <w:p w14:paraId="0F098AD8" w14:textId="79E78C9B" w:rsidR="009305A8" w:rsidRPr="000620CC" w:rsidRDefault="009305A8" w:rsidP="00645D3D">
            <w:pPr>
              <w:jc w:val="left"/>
              <w:rPr>
                <w:rFonts w:cs="Arial"/>
              </w:rPr>
            </w:pPr>
            <w:r w:rsidRPr="000620CC">
              <w:rPr>
                <w:rFonts w:cs="Arial"/>
              </w:rPr>
              <w:t>SPSM</w:t>
            </w:r>
          </w:p>
        </w:tc>
        <w:tc>
          <w:tcPr>
            <w:tcW w:w="7524" w:type="dxa"/>
            <w:shd w:val="clear" w:color="auto" w:fill="auto"/>
            <w:vAlign w:val="center"/>
          </w:tcPr>
          <w:p w14:paraId="7C202734" w14:textId="05AAE1EA" w:rsidR="009305A8" w:rsidRPr="000620CC" w:rsidRDefault="009305A8" w:rsidP="00645D3D">
            <w:pPr>
              <w:jc w:val="left"/>
              <w:rPr>
                <w:rFonts w:cs="Arial"/>
              </w:rPr>
            </w:pPr>
            <w:r w:rsidRPr="000620CC">
              <w:rPr>
                <w:rFonts w:cs="Arial"/>
              </w:rPr>
              <w:t>Sistema de Proteção Social dos Militares</w:t>
            </w:r>
          </w:p>
        </w:tc>
      </w:tr>
      <w:tr w:rsidR="00645D3D" w:rsidRPr="000620CC" w14:paraId="5574CD40" w14:textId="77777777" w:rsidTr="00DE00AC">
        <w:trPr>
          <w:trHeight w:val="300"/>
        </w:trPr>
        <w:tc>
          <w:tcPr>
            <w:tcW w:w="1560" w:type="dxa"/>
            <w:shd w:val="clear" w:color="auto" w:fill="auto"/>
            <w:vAlign w:val="center"/>
            <w:hideMark/>
          </w:tcPr>
          <w:p w14:paraId="01AC008F" w14:textId="77777777" w:rsidR="00645D3D" w:rsidRPr="000620CC" w:rsidRDefault="00645D3D" w:rsidP="00645D3D">
            <w:pPr>
              <w:jc w:val="left"/>
              <w:rPr>
                <w:rFonts w:cs="Arial"/>
              </w:rPr>
            </w:pPr>
            <w:r w:rsidRPr="000620CC">
              <w:rPr>
                <w:rFonts w:cs="Arial"/>
              </w:rPr>
              <w:t>STF</w:t>
            </w:r>
          </w:p>
        </w:tc>
        <w:tc>
          <w:tcPr>
            <w:tcW w:w="7524" w:type="dxa"/>
            <w:shd w:val="clear" w:color="auto" w:fill="auto"/>
            <w:vAlign w:val="center"/>
            <w:hideMark/>
          </w:tcPr>
          <w:p w14:paraId="3E9E2EC3" w14:textId="77777777" w:rsidR="00645D3D" w:rsidRPr="000620CC" w:rsidRDefault="00645D3D" w:rsidP="00645D3D">
            <w:pPr>
              <w:jc w:val="left"/>
              <w:rPr>
                <w:rFonts w:cs="Arial"/>
              </w:rPr>
            </w:pPr>
            <w:r w:rsidRPr="000620CC">
              <w:rPr>
                <w:rFonts w:cs="Arial"/>
              </w:rPr>
              <w:t>Supremo Tribunal Federal</w:t>
            </w:r>
          </w:p>
        </w:tc>
      </w:tr>
      <w:tr w:rsidR="00645D3D" w:rsidRPr="000620CC" w14:paraId="55472FE0" w14:textId="77777777" w:rsidTr="00DE00AC">
        <w:trPr>
          <w:trHeight w:val="300"/>
        </w:trPr>
        <w:tc>
          <w:tcPr>
            <w:tcW w:w="1560" w:type="dxa"/>
            <w:shd w:val="clear" w:color="auto" w:fill="auto"/>
            <w:vAlign w:val="center"/>
            <w:hideMark/>
          </w:tcPr>
          <w:p w14:paraId="7CF2FBFE" w14:textId="77777777" w:rsidR="00645D3D" w:rsidRPr="000620CC" w:rsidRDefault="00645D3D" w:rsidP="00645D3D">
            <w:pPr>
              <w:jc w:val="left"/>
              <w:rPr>
                <w:rFonts w:cs="Arial"/>
              </w:rPr>
            </w:pPr>
            <w:r w:rsidRPr="000620CC">
              <w:rPr>
                <w:rFonts w:cs="Arial"/>
              </w:rPr>
              <w:t>STN</w:t>
            </w:r>
          </w:p>
        </w:tc>
        <w:tc>
          <w:tcPr>
            <w:tcW w:w="7524" w:type="dxa"/>
            <w:shd w:val="clear" w:color="auto" w:fill="auto"/>
            <w:vAlign w:val="center"/>
            <w:hideMark/>
          </w:tcPr>
          <w:p w14:paraId="10BA471F" w14:textId="77777777" w:rsidR="00645D3D" w:rsidRPr="000620CC" w:rsidRDefault="00645D3D" w:rsidP="00645D3D">
            <w:pPr>
              <w:jc w:val="left"/>
              <w:rPr>
                <w:rFonts w:cs="Arial"/>
              </w:rPr>
            </w:pPr>
            <w:r w:rsidRPr="000620CC">
              <w:rPr>
                <w:rFonts w:cs="Arial"/>
              </w:rPr>
              <w:t>Secretaria do Tesouro Nacional</w:t>
            </w:r>
          </w:p>
        </w:tc>
      </w:tr>
      <w:tr w:rsidR="00645D3D" w:rsidRPr="000620CC" w14:paraId="7B8E5723" w14:textId="77777777" w:rsidTr="00DE00AC">
        <w:trPr>
          <w:trHeight w:val="300"/>
        </w:trPr>
        <w:tc>
          <w:tcPr>
            <w:tcW w:w="1560" w:type="dxa"/>
            <w:shd w:val="clear" w:color="auto" w:fill="auto"/>
            <w:vAlign w:val="center"/>
          </w:tcPr>
          <w:p w14:paraId="27048662" w14:textId="167CDF00" w:rsidR="00645D3D" w:rsidRPr="000620CC" w:rsidRDefault="00645D3D" w:rsidP="00645D3D">
            <w:pPr>
              <w:jc w:val="left"/>
              <w:rPr>
                <w:rFonts w:cs="Arial"/>
              </w:rPr>
            </w:pPr>
            <w:r w:rsidRPr="000620CC">
              <w:rPr>
                <w:rFonts w:cs="Arial"/>
              </w:rPr>
              <w:t>S</w:t>
            </w:r>
            <w:r w:rsidR="00F21FBF" w:rsidRPr="000620CC">
              <w:rPr>
                <w:rFonts w:cs="Arial"/>
              </w:rPr>
              <w:t>upat/</w:t>
            </w:r>
            <w:r w:rsidRPr="000620CC">
              <w:rPr>
                <w:rFonts w:cs="Arial"/>
              </w:rPr>
              <w:t>S</w:t>
            </w:r>
            <w:r w:rsidR="00F21FBF" w:rsidRPr="000620CC">
              <w:rPr>
                <w:rFonts w:cs="Arial"/>
              </w:rPr>
              <w:t>ead</w:t>
            </w:r>
          </w:p>
        </w:tc>
        <w:tc>
          <w:tcPr>
            <w:tcW w:w="7524" w:type="dxa"/>
            <w:shd w:val="clear" w:color="auto" w:fill="auto"/>
            <w:vAlign w:val="center"/>
          </w:tcPr>
          <w:p w14:paraId="73A4278E" w14:textId="77777777" w:rsidR="00645D3D" w:rsidRPr="000620CC" w:rsidRDefault="00645D3D" w:rsidP="00645D3D">
            <w:pPr>
              <w:jc w:val="left"/>
              <w:rPr>
                <w:rFonts w:cs="Arial"/>
              </w:rPr>
            </w:pPr>
            <w:r w:rsidRPr="000620CC">
              <w:rPr>
                <w:rFonts w:cs="Arial"/>
              </w:rPr>
              <w:t>Superintendência Central de Patrimônio da Secretaria de Estado da Administração</w:t>
            </w:r>
          </w:p>
        </w:tc>
      </w:tr>
      <w:tr w:rsidR="00645D3D" w:rsidRPr="000620CC" w14:paraId="39B16261" w14:textId="77777777" w:rsidTr="00DE00AC">
        <w:trPr>
          <w:trHeight w:val="300"/>
        </w:trPr>
        <w:tc>
          <w:tcPr>
            <w:tcW w:w="1560" w:type="dxa"/>
            <w:shd w:val="clear" w:color="auto" w:fill="auto"/>
            <w:vAlign w:val="center"/>
            <w:hideMark/>
          </w:tcPr>
          <w:p w14:paraId="1EB1D0EE" w14:textId="77777777" w:rsidR="00645D3D" w:rsidRPr="000620CC" w:rsidRDefault="00645D3D" w:rsidP="00645D3D">
            <w:pPr>
              <w:jc w:val="left"/>
              <w:rPr>
                <w:rFonts w:cs="Arial"/>
              </w:rPr>
            </w:pPr>
            <w:r w:rsidRPr="000620CC">
              <w:rPr>
                <w:rFonts w:cs="Arial"/>
              </w:rPr>
              <w:t>SUS</w:t>
            </w:r>
          </w:p>
        </w:tc>
        <w:tc>
          <w:tcPr>
            <w:tcW w:w="7524" w:type="dxa"/>
            <w:shd w:val="clear" w:color="auto" w:fill="auto"/>
            <w:vAlign w:val="center"/>
            <w:hideMark/>
          </w:tcPr>
          <w:p w14:paraId="26A8EDA4" w14:textId="77777777" w:rsidR="00645D3D" w:rsidRPr="000620CC" w:rsidRDefault="00645D3D" w:rsidP="00645D3D">
            <w:pPr>
              <w:jc w:val="left"/>
              <w:rPr>
                <w:rFonts w:cs="Arial"/>
              </w:rPr>
            </w:pPr>
            <w:r w:rsidRPr="000620CC">
              <w:rPr>
                <w:rFonts w:cs="Arial"/>
              </w:rPr>
              <w:t>Sistema Único de Saúde</w:t>
            </w:r>
          </w:p>
        </w:tc>
      </w:tr>
      <w:tr w:rsidR="00645D3D" w:rsidRPr="000620CC" w14:paraId="4376C229" w14:textId="77777777" w:rsidTr="00DE00AC">
        <w:trPr>
          <w:trHeight w:val="300"/>
        </w:trPr>
        <w:tc>
          <w:tcPr>
            <w:tcW w:w="1560" w:type="dxa"/>
            <w:shd w:val="clear" w:color="auto" w:fill="auto"/>
            <w:vAlign w:val="center"/>
            <w:hideMark/>
          </w:tcPr>
          <w:p w14:paraId="6517E6BF" w14:textId="4C64A293" w:rsidR="00645D3D" w:rsidRPr="000620CC" w:rsidRDefault="00645D3D" w:rsidP="00645D3D">
            <w:pPr>
              <w:jc w:val="left"/>
              <w:rPr>
                <w:rFonts w:cs="Arial"/>
              </w:rPr>
            </w:pPr>
            <w:r w:rsidRPr="000620CC">
              <w:rPr>
                <w:rFonts w:cs="Arial"/>
              </w:rPr>
              <w:t>TCE</w:t>
            </w:r>
            <w:r w:rsidR="00F21FBF" w:rsidRPr="000620CC">
              <w:rPr>
                <w:rFonts w:cs="Arial"/>
              </w:rPr>
              <w:t>/GO</w:t>
            </w:r>
          </w:p>
        </w:tc>
        <w:tc>
          <w:tcPr>
            <w:tcW w:w="7524" w:type="dxa"/>
            <w:shd w:val="clear" w:color="auto" w:fill="auto"/>
            <w:vAlign w:val="center"/>
            <w:hideMark/>
          </w:tcPr>
          <w:p w14:paraId="60FC207A" w14:textId="77777777" w:rsidR="00645D3D" w:rsidRPr="000620CC" w:rsidRDefault="00645D3D" w:rsidP="00645D3D">
            <w:pPr>
              <w:jc w:val="left"/>
              <w:rPr>
                <w:rFonts w:cs="Arial"/>
              </w:rPr>
            </w:pPr>
            <w:r w:rsidRPr="000620CC">
              <w:rPr>
                <w:rFonts w:cs="Arial"/>
              </w:rPr>
              <w:t>Tribunal de Contas do Estado de Goiás</w:t>
            </w:r>
          </w:p>
        </w:tc>
      </w:tr>
      <w:tr w:rsidR="00645D3D" w:rsidRPr="000620CC" w14:paraId="62FA0E66" w14:textId="77777777" w:rsidTr="00DE00AC">
        <w:trPr>
          <w:trHeight w:val="300"/>
        </w:trPr>
        <w:tc>
          <w:tcPr>
            <w:tcW w:w="1560" w:type="dxa"/>
            <w:shd w:val="clear" w:color="auto" w:fill="auto"/>
            <w:vAlign w:val="center"/>
            <w:hideMark/>
          </w:tcPr>
          <w:p w14:paraId="3E037091" w14:textId="0771AEF1" w:rsidR="00645D3D" w:rsidRPr="000620CC" w:rsidRDefault="00645D3D" w:rsidP="00645D3D">
            <w:pPr>
              <w:jc w:val="left"/>
              <w:rPr>
                <w:rFonts w:cs="Arial"/>
              </w:rPr>
            </w:pPr>
            <w:r w:rsidRPr="000620CC">
              <w:rPr>
                <w:rFonts w:cs="Arial"/>
              </w:rPr>
              <w:t>TCM</w:t>
            </w:r>
            <w:r w:rsidR="00F21FBF" w:rsidRPr="000620CC">
              <w:rPr>
                <w:rFonts w:cs="Arial"/>
              </w:rPr>
              <w:t>/GO</w:t>
            </w:r>
          </w:p>
        </w:tc>
        <w:tc>
          <w:tcPr>
            <w:tcW w:w="7524" w:type="dxa"/>
            <w:shd w:val="clear" w:color="auto" w:fill="auto"/>
            <w:vAlign w:val="center"/>
            <w:hideMark/>
          </w:tcPr>
          <w:p w14:paraId="25024411" w14:textId="77777777" w:rsidR="00645D3D" w:rsidRPr="000620CC" w:rsidRDefault="00645D3D" w:rsidP="00645D3D">
            <w:pPr>
              <w:jc w:val="left"/>
              <w:rPr>
                <w:rFonts w:cs="Arial"/>
              </w:rPr>
            </w:pPr>
            <w:r w:rsidRPr="000620CC">
              <w:rPr>
                <w:rFonts w:cs="Arial"/>
              </w:rPr>
              <w:t>Tribunal de Contas dos Municípios do Estado de Goiás</w:t>
            </w:r>
          </w:p>
        </w:tc>
      </w:tr>
      <w:tr w:rsidR="00645D3D" w:rsidRPr="000620CC" w14:paraId="4B7A4E40" w14:textId="77777777" w:rsidTr="00DE00AC">
        <w:trPr>
          <w:trHeight w:val="300"/>
        </w:trPr>
        <w:tc>
          <w:tcPr>
            <w:tcW w:w="1560" w:type="dxa"/>
            <w:shd w:val="clear" w:color="auto" w:fill="auto"/>
            <w:vAlign w:val="center"/>
            <w:hideMark/>
          </w:tcPr>
          <w:p w14:paraId="2E07512C" w14:textId="77777777" w:rsidR="00645D3D" w:rsidRPr="000620CC" w:rsidRDefault="00645D3D" w:rsidP="00645D3D">
            <w:pPr>
              <w:jc w:val="left"/>
              <w:rPr>
                <w:rFonts w:cs="Arial"/>
              </w:rPr>
            </w:pPr>
            <w:r w:rsidRPr="000620CC">
              <w:rPr>
                <w:rFonts w:cs="Arial"/>
              </w:rPr>
              <w:t>TCU</w:t>
            </w:r>
          </w:p>
        </w:tc>
        <w:tc>
          <w:tcPr>
            <w:tcW w:w="7524" w:type="dxa"/>
            <w:shd w:val="clear" w:color="auto" w:fill="auto"/>
            <w:vAlign w:val="center"/>
            <w:hideMark/>
          </w:tcPr>
          <w:p w14:paraId="69C1D0F6" w14:textId="77777777" w:rsidR="00645D3D" w:rsidRPr="000620CC" w:rsidRDefault="00645D3D" w:rsidP="00645D3D">
            <w:pPr>
              <w:jc w:val="left"/>
              <w:rPr>
                <w:rFonts w:cs="Arial"/>
              </w:rPr>
            </w:pPr>
            <w:r w:rsidRPr="000620CC">
              <w:rPr>
                <w:rFonts w:cs="Arial"/>
              </w:rPr>
              <w:t>Tribunal de Contas da União</w:t>
            </w:r>
          </w:p>
        </w:tc>
      </w:tr>
      <w:tr w:rsidR="00645D3D" w:rsidRPr="000620CC" w14:paraId="39E67AB2" w14:textId="77777777" w:rsidTr="00DE00AC">
        <w:trPr>
          <w:trHeight w:val="300"/>
        </w:trPr>
        <w:tc>
          <w:tcPr>
            <w:tcW w:w="1560" w:type="dxa"/>
            <w:shd w:val="clear" w:color="auto" w:fill="auto"/>
            <w:vAlign w:val="center"/>
            <w:hideMark/>
          </w:tcPr>
          <w:p w14:paraId="2E18C1C5" w14:textId="41D98287" w:rsidR="00645D3D" w:rsidRPr="000620CC" w:rsidRDefault="00645D3D" w:rsidP="00645D3D">
            <w:pPr>
              <w:jc w:val="left"/>
              <w:rPr>
                <w:rFonts w:cs="Arial"/>
              </w:rPr>
            </w:pPr>
            <w:r w:rsidRPr="000620CC">
              <w:rPr>
                <w:rFonts w:cs="Arial"/>
              </w:rPr>
              <w:t>TJ</w:t>
            </w:r>
            <w:r w:rsidR="00F21FBF" w:rsidRPr="000620CC">
              <w:rPr>
                <w:rFonts w:cs="Arial"/>
              </w:rPr>
              <w:t>/GO</w:t>
            </w:r>
          </w:p>
        </w:tc>
        <w:tc>
          <w:tcPr>
            <w:tcW w:w="7524" w:type="dxa"/>
            <w:shd w:val="clear" w:color="auto" w:fill="auto"/>
            <w:vAlign w:val="center"/>
            <w:hideMark/>
          </w:tcPr>
          <w:p w14:paraId="06CE7837" w14:textId="77777777" w:rsidR="00645D3D" w:rsidRPr="000620CC" w:rsidRDefault="00645D3D" w:rsidP="00645D3D">
            <w:pPr>
              <w:jc w:val="left"/>
              <w:rPr>
                <w:rFonts w:cs="Arial"/>
              </w:rPr>
            </w:pPr>
            <w:r w:rsidRPr="000620CC">
              <w:rPr>
                <w:rFonts w:cs="Arial"/>
              </w:rPr>
              <w:t>Tribunal de Justiça do Estado de Goiás</w:t>
            </w:r>
          </w:p>
        </w:tc>
      </w:tr>
      <w:tr w:rsidR="00645D3D" w:rsidRPr="000620CC" w14:paraId="50C69AF1" w14:textId="77777777" w:rsidTr="00DE00AC">
        <w:trPr>
          <w:trHeight w:val="300"/>
        </w:trPr>
        <w:tc>
          <w:tcPr>
            <w:tcW w:w="1560" w:type="dxa"/>
            <w:shd w:val="clear" w:color="auto" w:fill="auto"/>
            <w:vAlign w:val="center"/>
            <w:hideMark/>
          </w:tcPr>
          <w:p w14:paraId="59FDD8A7" w14:textId="77777777" w:rsidR="00645D3D" w:rsidRPr="000620CC" w:rsidRDefault="00645D3D" w:rsidP="00645D3D">
            <w:pPr>
              <w:jc w:val="left"/>
              <w:rPr>
                <w:rFonts w:cs="Arial"/>
              </w:rPr>
            </w:pPr>
            <w:r w:rsidRPr="000620CC">
              <w:rPr>
                <w:rFonts w:cs="Arial"/>
              </w:rPr>
              <w:t>UEG</w:t>
            </w:r>
          </w:p>
        </w:tc>
        <w:tc>
          <w:tcPr>
            <w:tcW w:w="7524" w:type="dxa"/>
            <w:shd w:val="clear" w:color="auto" w:fill="auto"/>
            <w:vAlign w:val="center"/>
            <w:hideMark/>
          </w:tcPr>
          <w:p w14:paraId="7A6D5E46" w14:textId="77777777" w:rsidR="00645D3D" w:rsidRPr="000620CC" w:rsidRDefault="00645D3D" w:rsidP="00645D3D">
            <w:pPr>
              <w:jc w:val="left"/>
              <w:rPr>
                <w:rFonts w:cs="Arial"/>
              </w:rPr>
            </w:pPr>
            <w:r w:rsidRPr="000620CC">
              <w:rPr>
                <w:rFonts w:cs="Arial"/>
              </w:rPr>
              <w:t>Universidade Estadual de Goiás</w:t>
            </w:r>
          </w:p>
        </w:tc>
      </w:tr>
    </w:tbl>
    <w:p w14:paraId="77D36A9A" w14:textId="77777777" w:rsidR="00931C39" w:rsidRPr="00B215AC" w:rsidRDefault="00931C39" w:rsidP="00931C39">
      <w:pPr>
        <w:ind w:right="360"/>
        <w:jc w:val="center"/>
        <w:rPr>
          <w:rFonts w:cs="Arial"/>
          <w:color w:val="FF0000"/>
        </w:rPr>
      </w:pPr>
    </w:p>
    <w:p w14:paraId="04AD8C43" w14:textId="77777777" w:rsidR="00633C2D" w:rsidRPr="00B215AC" w:rsidRDefault="00633C2D" w:rsidP="00633C2D">
      <w:pPr>
        <w:tabs>
          <w:tab w:val="right" w:leader="dot" w:pos="9072"/>
        </w:tabs>
        <w:spacing w:before="120"/>
        <w:ind w:left="1134" w:right="360" w:hanging="1134"/>
        <w:jc w:val="center"/>
        <w:rPr>
          <w:rFonts w:cs="Arial"/>
          <w:color w:val="FF0000"/>
          <w:sz w:val="18"/>
          <w:szCs w:val="18"/>
          <w:lang w:val="en-US"/>
        </w:rPr>
      </w:pPr>
    </w:p>
    <w:p w14:paraId="10EA92A0" w14:textId="77777777" w:rsidR="00633C2D" w:rsidRPr="00B215AC" w:rsidRDefault="00633C2D" w:rsidP="00633C2D">
      <w:pPr>
        <w:tabs>
          <w:tab w:val="right" w:leader="dot" w:pos="9072"/>
        </w:tabs>
        <w:spacing w:before="120"/>
        <w:ind w:left="1134" w:right="360" w:hanging="1134"/>
        <w:jc w:val="center"/>
        <w:rPr>
          <w:rFonts w:cs="Arial"/>
          <w:color w:val="FF0000"/>
          <w:sz w:val="18"/>
          <w:szCs w:val="18"/>
          <w:lang w:val="en-US"/>
        </w:rPr>
      </w:pPr>
    </w:p>
    <w:p w14:paraId="1207C504" w14:textId="77777777" w:rsidR="00633C2D" w:rsidRPr="00B215AC" w:rsidRDefault="00633C2D" w:rsidP="00633C2D">
      <w:pPr>
        <w:tabs>
          <w:tab w:val="right" w:leader="dot" w:pos="9072"/>
        </w:tabs>
        <w:spacing w:before="120"/>
        <w:ind w:left="1134" w:right="360" w:hanging="1134"/>
        <w:jc w:val="center"/>
        <w:rPr>
          <w:rFonts w:cs="Arial"/>
          <w:color w:val="FF0000"/>
          <w:sz w:val="18"/>
          <w:szCs w:val="18"/>
          <w:lang w:val="en-US"/>
        </w:rPr>
      </w:pPr>
    </w:p>
    <w:p w14:paraId="4F1DE978" w14:textId="77777777" w:rsidR="00633C2D" w:rsidRPr="00B215AC" w:rsidRDefault="00633C2D" w:rsidP="00633C2D">
      <w:pPr>
        <w:tabs>
          <w:tab w:val="right" w:leader="dot" w:pos="9072"/>
        </w:tabs>
        <w:spacing w:before="120"/>
        <w:ind w:left="1134" w:right="360" w:hanging="1134"/>
        <w:jc w:val="center"/>
        <w:rPr>
          <w:rFonts w:cs="Arial"/>
          <w:color w:val="FF0000"/>
          <w:sz w:val="18"/>
          <w:szCs w:val="18"/>
          <w:lang w:val="en-US"/>
        </w:rPr>
      </w:pPr>
    </w:p>
    <w:p w14:paraId="49927137" w14:textId="77777777" w:rsidR="00633C2D" w:rsidRPr="00B215AC" w:rsidRDefault="00633C2D" w:rsidP="00633C2D">
      <w:pPr>
        <w:tabs>
          <w:tab w:val="right" w:leader="dot" w:pos="9072"/>
        </w:tabs>
        <w:spacing w:before="120"/>
        <w:ind w:left="1134" w:right="360" w:hanging="1134"/>
        <w:jc w:val="center"/>
        <w:rPr>
          <w:rFonts w:cs="Arial"/>
          <w:color w:val="FF0000"/>
          <w:sz w:val="18"/>
          <w:szCs w:val="18"/>
          <w:lang w:val="en-US"/>
        </w:rPr>
      </w:pPr>
    </w:p>
    <w:p w14:paraId="120E35E8" w14:textId="77777777" w:rsidR="00633C2D" w:rsidRPr="00B215AC" w:rsidRDefault="00633C2D" w:rsidP="00633C2D">
      <w:pPr>
        <w:tabs>
          <w:tab w:val="right" w:leader="dot" w:pos="9072"/>
        </w:tabs>
        <w:spacing w:before="120"/>
        <w:ind w:left="1134" w:right="360" w:hanging="1134"/>
        <w:jc w:val="center"/>
        <w:rPr>
          <w:rFonts w:cs="Arial"/>
          <w:color w:val="FF0000"/>
          <w:lang w:val="en-US"/>
        </w:rPr>
        <w:sectPr w:rsidR="00633C2D" w:rsidRPr="00B215AC" w:rsidSect="006B765A">
          <w:footerReference w:type="default" r:id="rId12"/>
          <w:headerReference w:type="first" r:id="rId13"/>
          <w:footerReference w:type="first" r:id="rId14"/>
          <w:footnotePr>
            <w:numRestart w:val="eachSect"/>
          </w:footnotePr>
          <w:pgSz w:w="11900" w:h="16840"/>
          <w:pgMar w:top="2098" w:right="1134" w:bottom="1134" w:left="1701" w:header="720" w:footer="720" w:gutter="0"/>
          <w:pgNumType w:fmt="lowerRoman" w:start="7"/>
          <w:cols w:space="720"/>
          <w:noEndnote/>
          <w:docGrid w:linePitch="299"/>
        </w:sectPr>
      </w:pPr>
    </w:p>
    <w:p w14:paraId="4636C079" w14:textId="77777777" w:rsidR="00EB0F24" w:rsidRPr="00B215AC" w:rsidRDefault="00EB0F24" w:rsidP="00EB0F24">
      <w:pPr>
        <w:pStyle w:val="0-TXT11"/>
        <w:rPr>
          <w:rFonts w:cs="Times New Roman"/>
          <w:color w:val="FF0000"/>
          <w:lang w:val="en-US"/>
        </w:rPr>
      </w:pPr>
    </w:p>
    <w:p w14:paraId="3D82CED4" w14:textId="77777777" w:rsidR="00EB0F24" w:rsidRPr="00B215AC" w:rsidRDefault="00EB0F24" w:rsidP="00F65087">
      <w:pPr>
        <w:pStyle w:val="0-TXT11"/>
        <w:rPr>
          <w:rFonts w:cs="Times New Roman"/>
          <w:color w:val="FF0000"/>
          <w:sz w:val="20"/>
          <w:szCs w:val="20"/>
          <w:lang w:val="en-US"/>
        </w:rPr>
      </w:pPr>
    </w:p>
    <w:p w14:paraId="5E4571EE" w14:textId="77777777" w:rsidR="000A4B65" w:rsidRPr="00B215AC" w:rsidRDefault="000A4B65">
      <w:pPr>
        <w:jc w:val="left"/>
        <w:rPr>
          <w:color w:val="FF0000"/>
          <w:w w:val="95"/>
          <w:szCs w:val="24"/>
          <w:lang w:val="en-US"/>
        </w:rPr>
      </w:pPr>
    </w:p>
    <w:p w14:paraId="2930AC47" w14:textId="77777777" w:rsidR="00D35AC3" w:rsidRPr="00B215AC" w:rsidRDefault="00D35AC3" w:rsidP="00D35AC3">
      <w:pPr>
        <w:pStyle w:val="0-TXT11"/>
        <w:rPr>
          <w:rFonts w:cs="Times New Roman"/>
          <w:color w:val="FF0000"/>
          <w:lang w:val="en-US"/>
        </w:rPr>
      </w:pPr>
    </w:p>
    <w:p w14:paraId="4B4DDA16" w14:textId="77777777" w:rsidR="00D35AC3" w:rsidRPr="00B215AC" w:rsidRDefault="00D35AC3" w:rsidP="00D35AC3">
      <w:pPr>
        <w:pStyle w:val="0-TXT11"/>
        <w:rPr>
          <w:rFonts w:cs="Times New Roman"/>
          <w:color w:val="FF0000"/>
          <w:lang w:val="en-US"/>
        </w:rPr>
      </w:pPr>
    </w:p>
    <w:p w14:paraId="04B463F9" w14:textId="77777777" w:rsidR="00D35AC3" w:rsidRPr="00B215AC" w:rsidRDefault="00D35AC3" w:rsidP="00D35AC3">
      <w:pPr>
        <w:pStyle w:val="0-TXT11"/>
        <w:rPr>
          <w:rFonts w:cs="Times New Roman"/>
          <w:color w:val="FF0000"/>
          <w:lang w:val="en-US"/>
        </w:rPr>
      </w:pPr>
    </w:p>
    <w:p w14:paraId="176C031A" w14:textId="77777777" w:rsidR="00D35AC3" w:rsidRPr="00B215AC" w:rsidRDefault="00D35AC3" w:rsidP="00D35AC3">
      <w:pPr>
        <w:pStyle w:val="0-TXT11"/>
        <w:rPr>
          <w:rFonts w:cs="Times New Roman"/>
          <w:color w:val="FF0000"/>
          <w:lang w:val="en-US"/>
        </w:rPr>
      </w:pPr>
    </w:p>
    <w:p w14:paraId="25BFC667" w14:textId="77777777" w:rsidR="00D35AC3" w:rsidRPr="00B215AC" w:rsidRDefault="00D35AC3" w:rsidP="00D35AC3">
      <w:pPr>
        <w:pStyle w:val="0-TXT11"/>
        <w:rPr>
          <w:rFonts w:cs="Times New Roman"/>
          <w:color w:val="FF0000"/>
          <w:lang w:val="en-US"/>
        </w:rPr>
      </w:pPr>
    </w:p>
    <w:p w14:paraId="492B1B9C" w14:textId="77777777" w:rsidR="00D35AC3" w:rsidRPr="00B215AC" w:rsidRDefault="00D35AC3" w:rsidP="00D35AC3">
      <w:pPr>
        <w:pStyle w:val="0-TXT11"/>
        <w:rPr>
          <w:rFonts w:cs="Times New Roman"/>
          <w:color w:val="FF0000"/>
          <w:lang w:val="en-US"/>
        </w:rPr>
      </w:pPr>
    </w:p>
    <w:p w14:paraId="15CF005F" w14:textId="77777777" w:rsidR="00D35AC3" w:rsidRPr="00B215AC" w:rsidRDefault="00D35AC3" w:rsidP="00D35AC3">
      <w:pPr>
        <w:pStyle w:val="0-TXT11"/>
        <w:rPr>
          <w:rFonts w:cs="Times New Roman"/>
          <w:color w:val="FF0000"/>
          <w:lang w:val="en-US"/>
        </w:rPr>
      </w:pPr>
    </w:p>
    <w:p w14:paraId="414E080A" w14:textId="77777777" w:rsidR="00D35AC3" w:rsidRPr="00B215AC" w:rsidRDefault="00D35AC3" w:rsidP="00D35AC3">
      <w:pPr>
        <w:pStyle w:val="0-TXT11"/>
        <w:rPr>
          <w:rFonts w:cs="Times New Roman"/>
          <w:color w:val="FF0000"/>
          <w:lang w:val="en-US"/>
        </w:rPr>
      </w:pPr>
    </w:p>
    <w:p w14:paraId="69974511" w14:textId="77777777" w:rsidR="00D35AC3" w:rsidRPr="00B215AC" w:rsidRDefault="00D35AC3" w:rsidP="00D35AC3">
      <w:pPr>
        <w:pStyle w:val="0-TXT11"/>
        <w:rPr>
          <w:rFonts w:cs="Times New Roman"/>
          <w:color w:val="FF0000"/>
          <w:lang w:val="en-US"/>
        </w:rPr>
      </w:pPr>
    </w:p>
    <w:p w14:paraId="6B418A6B" w14:textId="77777777" w:rsidR="00D35AC3" w:rsidRPr="00B215AC" w:rsidRDefault="00D35AC3" w:rsidP="00D35AC3">
      <w:pPr>
        <w:pStyle w:val="0-TXT11"/>
        <w:rPr>
          <w:rFonts w:cs="Times New Roman"/>
          <w:color w:val="FF0000"/>
          <w:lang w:val="en-US"/>
        </w:rPr>
      </w:pPr>
    </w:p>
    <w:p w14:paraId="4C6824A1" w14:textId="77777777" w:rsidR="00D35AC3" w:rsidRPr="00B215AC" w:rsidRDefault="00D35AC3" w:rsidP="00D35AC3">
      <w:pPr>
        <w:pStyle w:val="0-TXT11"/>
        <w:rPr>
          <w:rFonts w:cs="Times New Roman"/>
          <w:color w:val="FF0000"/>
          <w:lang w:val="en-US"/>
        </w:rPr>
      </w:pPr>
    </w:p>
    <w:p w14:paraId="525214C5" w14:textId="77777777" w:rsidR="00D35AC3" w:rsidRPr="00B215AC" w:rsidRDefault="00D35AC3" w:rsidP="00D35AC3">
      <w:pPr>
        <w:pStyle w:val="0-TXT11"/>
        <w:rPr>
          <w:rFonts w:cs="Times New Roman"/>
          <w:color w:val="FF0000"/>
          <w:lang w:val="en-US"/>
        </w:rPr>
      </w:pPr>
    </w:p>
    <w:p w14:paraId="31F3B311" w14:textId="77777777" w:rsidR="00D35AC3" w:rsidRPr="00B215AC" w:rsidRDefault="00D35AC3" w:rsidP="00D35AC3">
      <w:pPr>
        <w:pStyle w:val="0-TXT11"/>
        <w:rPr>
          <w:rFonts w:cs="Times New Roman"/>
          <w:color w:val="FF0000"/>
          <w:lang w:val="en-US"/>
        </w:rPr>
      </w:pPr>
    </w:p>
    <w:p w14:paraId="6D29636C" w14:textId="77777777" w:rsidR="00D35AC3" w:rsidRPr="00B215AC" w:rsidRDefault="00D35AC3" w:rsidP="00D35AC3">
      <w:pPr>
        <w:pStyle w:val="0-TXT11"/>
        <w:rPr>
          <w:rFonts w:cs="Times New Roman"/>
          <w:color w:val="FF0000"/>
          <w:lang w:val="en-US"/>
        </w:rPr>
      </w:pPr>
    </w:p>
    <w:p w14:paraId="67D814AD" w14:textId="77777777" w:rsidR="00D35AC3" w:rsidRPr="00B215AC" w:rsidRDefault="00D35AC3" w:rsidP="00D35AC3">
      <w:pPr>
        <w:pStyle w:val="0-TXT11"/>
        <w:rPr>
          <w:rFonts w:cs="Times New Roman"/>
          <w:color w:val="FF0000"/>
          <w:lang w:val="en-US"/>
        </w:rPr>
      </w:pPr>
    </w:p>
    <w:p w14:paraId="679E2728" w14:textId="77777777" w:rsidR="00D35AC3" w:rsidRPr="00B215AC" w:rsidRDefault="00D35AC3" w:rsidP="00D35AC3">
      <w:pPr>
        <w:pStyle w:val="0-TXT11"/>
        <w:rPr>
          <w:rFonts w:cs="Times New Roman"/>
          <w:color w:val="FF0000"/>
          <w:lang w:val="en-US"/>
        </w:rPr>
      </w:pPr>
    </w:p>
    <w:p w14:paraId="39512277" w14:textId="77777777" w:rsidR="00D35AC3" w:rsidRPr="00B215AC" w:rsidRDefault="00D35AC3" w:rsidP="00D35AC3">
      <w:pPr>
        <w:pStyle w:val="0-TXT11"/>
        <w:rPr>
          <w:rFonts w:cs="Times New Roman"/>
          <w:color w:val="FF0000"/>
          <w:lang w:val="en-US"/>
        </w:rPr>
      </w:pPr>
    </w:p>
    <w:p w14:paraId="78A40F83" w14:textId="77777777" w:rsidR="00D35AC3" w:rsidRPr="00B215AC" w:rsidRDefault="00D35AC3" w:rsidP="00D35AC3">
      <w:pPr>
        <w:pStyle w:val="0-TXT11"/>
        <w:rPr>
          <w:rFonts w:cs="Times New Roman"/>
          <w:color w:val="FF0000"/>
          <w:lang w:val="en-US"/>
        </w:rPr>
      </w:pPr>
    </w:p>
    <w:p w14:paraId="48F3FE17" w14:textId="77777777" w:rsidR="00D35AC3" w:rsidRPr="00B215AC" w:rsidRDefault="00D35AC3" w:rsidP="00D35AC3">
      <w:pPr>
        <w:pStyle w:val="0-TXT11"/>
        <w:rPr>
          <w:rFonts w:cs="Times New Roman"/>
          <w:color w:val="FF0000"/>
          <w:lang w:val="en-US"/>
        </w:rPr>
      </w:pPr>
    </w:p>
    <w:p w14:paraId="5367889A" w14:textId="77777777" w:rsidR="00D35AC3" w:rsidRPr="00B215AC" w:rsidRDefault="00D35AC3" w:rsidP="00D35AC3">
      <w:pPr>
        <w:pStyle w:val="0-TXT11"/>
        <w:rPr>
          <w:rFonts w:cs="Times New Roman"/>
          <w:color w:val="FF0000"/>
          <w:lang w:val="en-US"/>
        </w:rPr>
      </w:pPr>
    </w:p>
    <w:p w14:paraId="45F06A64" w14:textId="77777777" w:rsidR="00D35AC3" w:rsidRPr="00B215AC" w:rsidRDefault="00D35AC3" w:rsidP="00D35AC3">
      <w:pPr>
        <w:pStyle w:val="0-TXT11"/>
        <w:rPr>
          <w:rFonts w:cs="Times New Roman"/>
          <w:color w:val="FF0000"/>
          <w:lang w:val="en-US"/>
        </w:rPr>
      </w:pPr>
    </w:p>
    <w:p w14:paraId="332E4E21" w14:textId="77777777" w:rsidR="00D35AC3" w:rsidRPr="00B215AC" w:rsidRDefault="00D35AC3" w:rsidP="00D35AC3">
      <w:pPr>
        <w:pStyle w:val="0-TXT11"/>
        <w:rPr>
          <w:rFonts w:cs="Times New Roman"/>
          <w:color w:val="FF0000"/>
          <w:lang w:val="en-US"/>
        </w:rPr>
      </w:pPr>
    </w:p>
    <w:p w14:paraId="00759146" w14:textId="77777777" w:rsidR="00D35AC3" w:rsidRPr="00B215AC" w:rsidRDefault="00D35AC3" w:rsidP="00D35AC3">
      <w:pPr>
        <w:pStyle w:val="0-TXT11"/>
        <w:rPr>
          <w:rFonts w:cs="Times New Roman"/>
          <w:lang w:val="en-US"/>
        </w:rPr>
      </w:pPr>
    </w:p>
    <w:p w14:paraId="3952DB5C" w14:textId="77777777" w:rsidR="00D35AC3" w:rsidRPr="00B215AC" w:rsidRDefault="00D35AC3" w:rsidP="00D35AC3">
      <w:pPr>
        <w:pStyle w:val="0-TXT11"/>
        <w:rPr>
          <w:rFonts w:cs="Times New Roman"/>
          <w:lang w:val="en-US"/>
        </w:rPr>
      </w:pPr>
    </w:p>
    <w:p w14:paraId="3AB6235A" w14:textId="77777777" w:rsidR="00D35AC3" w:rsidRPr="00B215AC" w:rsidRDefault="00D35AC3" w:rsidP="00D35AC3">
      <w:pPr>
        <w:pStyle w:val="0-TXT11"/>
        <w:rPr>
          <w:rFonts w:cs="Times New Roman"/>
          <w:lang w:val="en-US"/>
        </w:rPr>
      </w:pPr>
    </w:p>
    <w:p w14:paraId="78770B35" w14:textId="77777777" w:rsidR="00D35AC3" w:rsidRPr="00B215AC" w:rsidRDefault="0078615F" w:rsidP="00D35AC3">
      <w:pPr>
        <w:pStyle w:val="0-TXT11"/>
        <w:jc w:val="right"/>
        <w:rPr>
          <w:rFonts w:cs="Times New Roman"/>
          <w:b/>
          <w:sz w:val="44"/>
          <w:szCs w:val="44"/>
        </w:rPr>
        <w:sectPr w:rsidR="00D35AC3" w:rsidRPr="00B215AC" w:rsidSect="00633C2D">
          <w:footerReference w:type="default" r:id="rId15"/>
          <w:headerReference w:type="first" r:id="rId16"/>
          <w:footerReference w:type="first" r:id="rId17"/>
          <w:footnotePr>
            <w:numRestart w:val="eachSect"/>
          </w:footnotePr>
          <w:pgSz w:w="11905" w:h="16837"/>
          <w:pgMar w:top="1134" w:right="850" w:bottom="1134" w:left="1701" w:header="720" w:footer="720" w:gutter="0"/>
          <w:cols w:space="720"/>
          <w:noEndnote/>
        </w:sectPr>
      </w:pPr>
      <w:r w:rsidRPr="00B215AC">
        <w:rPr>
          <w:rFonts w:cs="Times New Roman"/>
          <w:b/>
          <w:sz w:val="44"/>
          <w:szCs w:val="44"/>
        </w:rPr>
        <w:t>I</w:t>
      </w:r>
      <w:r w:rsidR="00D35AC3" w:rsidRPr="00B215AC">
        <w:rPr>
          <w:rFonts w:cs="Times New Roman"/>
          <w:b/>
          <w:sz w:val="44"/>
          <w:szCs w:val="44"/>
        </w:rPr>
        <w:t>NTRODUÇÃO</w:t>
      </w:r>
    </w:p>
    <w:p w14:paraId="09F5F674" w14:textId="77777777" w:rsidR="00D35AC3" w:rsidRPr="00B215AC" w:rsidRDefault="00D35AC3" w:rsidP="00D35AC3">
      <w:pPr>
        <w:pStyle w:val="0-TXT11"/>
        <w:ind w:left="567"/>
        <w:rPr>
          <w:rFonts w:cs="Times New Roman"/>
          <w:color w:val="FF0000"/>
          <w:sz w:val="20"/>
          <w:szCs w:val="20"/>
        </w:rPr>
        <w:sectPr w:rsidR="00D35AC3" w:rsidRPr="00B215AC" w:rsidSect="00B42CE7">
          <w:headerReference w:type="default" r:id="rId18"/>
          <w:footnotePr>
            <w:numRestart w:val="eachSect"/>
          </w:footnotePr>
          <w:type w:val="continuous"/>
          <w:pgSz w:w="11905" w:h="16837"/>
          <w:pgMar w:top="1134" w:right="850" w:bottom="1134" w:left="1701" w:header="720" w:footer="720" w:gutter="0"/>
          <w:cols w:space="720"/>
          <w:noEndnote/>
        </w:sectPr>
      </w:pPr>
    </w:p>
    <w:p w14:paraId="33AC5E4D" w14:textId="039CD129" w:rsidR="00805B7A" w:rsidRDefault="00805B7A" w:rsidP="00805B7A">
      <w:pPr>
        <w:pStyle w:val="1-REL11"/>
        <w:rPr>
          <w:color w:val="FF0000"/>
        </w:rPr>
      </w:pPr>
      <w:bookmarkStart w:id="7" w:name="_Toc511305463"/>
    </w:p>
    <w:p w14:paraId="3210C260" w14:textId="77777777" w:rsidR="00A16AA2" w:rsidRPr="00B215AC" w:rsidRDefault="00A16AA2" w:rsidP="00805B7A">
      <w:pPr>
        <w:pStyle w:val="1-REL11"/>
        <w:rPr>
          <w:color w:val="FF0000"/>
        </w:rPr>
      </w:pPr>
    </w:p>
    <w:p w14:paraId="3BFC7FE8" w14:textId="4F05FC49" w:rsidR="009D7B72" w:rsidRPr="00B215AC" w:rsidRDefault="00825F3C" w:rsidP="009D7B72">
      <w:pPr>
        <w:pStyle w:val="Ttulo"/>
        <w:rPr>
          <w:color w:val="auto"/>
        </w:rPr>
      </w:pPr>
      <w:r w:rsidRPr="00B215AC">
        <w:rPr>
          <w:color w:val="auto"/>
        </w:rPr>
        <w:t>I</w:t>
      </w:r>
      <w:r w:rsidR="00FE2B84" w:rsidRPr="00B215AC">
        <w:rPr>
          <w:color w:val="auto"/>
        </w:rPr>
        <w:t>ntrodução</w:t>
      </w:r>
      <w:bookmarkStart w:id="8" w:name="_Ref507501837"/>
      <w:bookmarkStart w:id="9" w:name="_Ref507501944"/>
      <w:bookmarkStart w:id="10" w:name="_Ref507501978"/>
      <w:bookmarkStart w:id="11" w:name="_Toc511305464"/>
      <w:bookmarkEnd w:id="7"/>
    </w:p>
    <w:bookmarkEnd w:id="8"/>
    <w:bookmarkEnd w:id="9"/>
    <w:bookmarkEnd w:id="10"/>
    <w:bookmarkEnd w:id="11"/>
    <w:p w14:paraId="102BB9FF" w14:textId="77777777" w:rsidR="003954A5" w:rsidRDefault="003954A5" w:rsidP="003954A5">
      <w:pPr>
        <w:pStyle w:val="0-TXT11"/>
        <w:rPr>
          <w:rFonts w:cs="Times New Roman"/>
          <w:color w:val="FF0000"/>
        </w:rPr>
      </w:pPr>
    </w:p>
    <w:p w14:paraId="788B1F8F" w14:textId="77777777" w:rsidR="003954A5" w:rsidRDefault="003954A5" w:rsidP="003954A5">
      <w:pPr>
        <w:pStyle w:val="1-REL11"/>
      </w:pPr>
      <w:r>
        <w:t>Ao Tribunal de Contas do Estado de Goiás, órgão auxiliar do controle externo a cargo da Assembleia Legislativa do Estado de Goiás, compete, entre outras atribuições, apreciar as contas prestadas anualmente pelo Governador do Estado e emitir Parecer Prévio dentro do prazo de 60 dias contados a partir do seu recebimento. É o que preconiza a Constituição do Estado, em seu art. 26, inciso I, e se constitui na principal missão controladora dos Tribunais de Contas do Brasil.</w:t>
      </w:r>
    </w:p>
    <w:p w14:paraId="0C46AC6F" w14:textId="77777777" w:rsidR="003954A5" w:rsidRDefault="003954A5" w:rsidP="003954A5">
      <w:pPr>
        <w:pStyle w:val="1-REL11"/>
      </w:pPr>
      <w:r>
        <w:t>O exame das contas do Governador do Estado representa atividade honrosa, complexa e abrangente, atribuída ao Tribunal de Contas pela Constituição Estadual e legislação pertinente, tendo em vista sua relevância e representatividade no processo de transparência e controle social, e amplitude dos temas analisados.</w:t>
      </w:r>
    </w:p>
    <w:p w14:paraId="0E51DEFE" w14:textId="77777777" w:rsidR="003954A5" w:rsidRDefault="003954A5" w:rsidP="003954A5">
      <w:pPr>
        <w:pStyle w:val="1-REL11"/>
      </w:pPr>
      <w:r>
        <w:t xml:space="preserve">Em </w:t>
      </w:r>
      <w:r w:rsidRPr="00013AB0">
        <w:t>conformidade com a Resolução Administrativa nº 19, de 11 de outubro de 2022,</w:t>
      </w:r>
      <w:r>
        <w:t xml:space="preserve"> que trata da </w:t>
      </w:r>
      <w:r>
        <w:rPr>
          <w:color w:val="000000"/>
        </w:rPr>
        <w:t xml:space="preserve">estrutura organizacional e competências dos órgãos e unidades organizacionais do Tribunal de Contas do Estado de Goiás, dentre outras providências, </w:t>
      </w:r>
      <w:r>
        <w:t>o presente Relatório Técnico Conclusivo apresenta análise detalhada das Contas do Chefe do Poder Executivo com o objetivo de subsidiar a emissão do Parecer Prévio por parte desta Corte de Contas.</w:t>
      </w:r>
    </w:p>
    <w:p w14:paraId="75E46061" w14:textId="77777777" w:rsidR="003954A5" w:rsidRDefault="003954A5" w:rsidP="003954A5">
      <w:pPr>
        <w:pStyle w:val="1-REL11"/>
      </w:pPr>
      <w:r>
        <w:t xml:space="preserve">A Assembleia Legislativa do Estado de Goiás (Alego) iniciou a Sessão Legislativa do Exercício de 2023 em 15 de fevereiro de 2024 e, considerando que a data limite para envio das contas se encerra 60 dias após a abertura da Sessão Legislativa, nos termos do art. 37, XI, da Constituição Estadual, e do art. 173 do Regimento Interno desta Corte, ou seja, até 15/04/2024, informa-se que no dia 12/04/2024 (processo nº 202300047001912) o Excelentíssimo Senhor Governador do Estado de Goiás, Ronaldo Caiado Ramos, encaminhou eletrônica e tempestivamente a Prestação das Contas referente ao período de 01 de janeiro a 31 de dezembro de 2023, nos termos da </w:t>
      </w:r>
      <w:r w:rsidRPr="00E47EA1">
        <w:t>Resolução Normativa TCE/GO nº 7, de 31 de agosto de 2018, ato</w:t>
      </w:r>
      <w:r>
        <w:t xml:space="preserve"> este formalizado pelo Ofício nº 1358/2024/SGG (processo nº 202300047001912, evento 261).</w:t>
      </w:r>
    </w:p>
    <w:p w14:paraId="55526C96" w14:textId="77777777" w:rsidR="003954A5" w:rsidRDefault="003954A5" w:rsidP="003954A5">
      <w:pPr>
        <w:pStyle w:val="1-REL11"/>
      </w:pPr>
      <w:r>
        <w:t>O mencionado envio eletrônico permite a organização sistemática das peças componentes do Balanço Geral do Estado (BGE), com definição clara dos atores e respectivas responsabilidades na operacionalização. Além disso, a ferramenta possibilita a redução de tarefas pelo prestador das contas, especialmente quanto ao envio dos demonstrativos contábeis, que são carregados automaticamente no sistema, mediante integração com a base de dados do Sistema de Contabilidade Geral do Estado de Goiás (SCG).</w:t>
      </w:r>
    </w:p>
    <w:p w14:paraId="561CA05D" w14:textId="77777777" w:rsidR="003954A5" w:rsidRDefault="003954A5" w:rsidP="003954A5">
      <w:pPr>
        <w:pStyle w:val="1-REL11"/>
      </w:pPr>
      <w:r>
        <w:t xml:space="preserve">Outra contribuição da tecnologia da informação para a prestação de contas públicas é a redução de erros em função da validação automática dos arquivos, evitando-se que haja envio de </w:t>
      </w:r>
      <w:r>
        <w:lastRenderedPageBreak/>
        <w:t>documentos em formatos e conteúdos mínimos diferentes daqueles previamente acordados. Ao mesmo tempo, viabiliza o aprimoramento contínuo, o desenvolvimento de trilhas de auditoria e criação de banco de dados que subsidia análises posteriores, implicando em bons resultados para a administração pública e melhoria dos serviços.</w:t>
      </w:r>
    </w:p>
    <w:p w14:paraId="234102E1" w14:textId="77777777" w:rsidR="003954A5" w:rsidRDefault="003954A5" w:rsidP="003954A5">
      <w:pPr>
        <w:pStyle w:val="1-REL11"/>
      </w:pPr>
      <w:r>
        <w:t>O Anexo Único da RN nº 7/2018, em alinhamento ao que dispõe o Regimento Interno do TCE/GO, estabelece o rol de informações, documentos e demonstrativos a serem fornecidos, dentre estes o Balanço Geral do Estado, o Relatório do Órgão Central do Sistema de Controle Interno e as informações sobre o atendimento das deliberações do TCE/GO.</w:t>
      </w:r>
    </w:p>
    <w:p w14:paraId="10182538" w14:textId="77777777" w:rsidR="003954A5" w:rsidRDefault="003954A5" w:rsidP="003954A5">
      <w:pPr>
        <w:pStyle w:val="1-REL11"/>
      </w:pPr>
      <w:r>
        <w:t>A análise técnica promovida pelo Serviço de Fiscalização de Contas de Governo, no âmbito da Gerência de Fiscalização de Contas, foi realizada com base nas peças contidas no processo de prestação de contas governamentais, autos nº 202300047001912, com observância aos aspectos de consistência, integridade, objetividade, transparência e relevância.</w:t>
      </w:r>
    </w:p>
    <w:p w14:paraId="095880A8" w14:textId="77777777" w:rsidR="003954A5" w:rsidRDefault="003954A5" w:rsidP="003954A5">
      <w:pPr>
        <w:pStyle w:val="1-REL11"/>
      </w:pPr>
      <w:r>
        <w:t>O processo de análise ocorre por meio de um sistema de gestão de qualidade eficiente, seguindo normas e padrões internacionais, conforme Certificação ISO 9001:2015, obtida em 12/09/2018 e monitorada nos anos posteriores.</w:t>
      </w:r>
    </w:p>
    <w:p w14:paraId="234C600F" w14:textId="77777777" w:rsidR="003954A5" w:rsidRDefault="003954A5" w:rsidP="003954A5">
      <w:pPr>
        <w:pStyle w:val="1-REL11"/>
      </w:pPr>
      <w:r>
        <w:t>As informações, apontamentos, constatações, recomendações e determinações deste Relatório Técnico foram sistematizados de modo a compor e delinear o resultado global das análises. As propostas de encaminhamento foram procedidas considerando os critérios estabelecidos a fim de contemplar, de forma abrangente e substancial, as ações necessárias e representativas no contexto das Contas Públicas, em consonância com a concepção e o atual cenário da gestão governamental.</w:t>
      </w:r>
    </w:p>
    <w:p w14:paraId="440DEDAD" w14:textId="77777777" w:rsidR="003954A5" w:rsidRDefault="003954A5" w:rsidP="003954A5">
      <w:pPr>
        <w:pStyle w:val="1-REL11"/>
      </w:pPr>
      <w:r>
        <w:t>Assim, o escopo e a constituição das análises compreendem, sinteticamente, as dimensões formais, legais, orçamentárias, financeiras e patrimoniais da gestão, em consonância com o arcabouço legal e técnico delineado nas Constituições Federal e Estadual, relativo à atuação do Tribunal de Contas na fiscalização das contas públicas.</w:t>
      </w:r>
    </w:p>
    <w:p w14:paraId="6563D199" w14:textId="77777777" w:rsidR="003954A5" w:rsidRDefault="003954A5" w:rsidP="003954A5">
      <w:pPr>
        <w:pStyle w:val="1-REL11"/>
      </w:pPr>
      <w:r>
        <w:t>Um aspecto merecedor de destaque é que, para a realização dos trabalhos que embasaram a construção deste Relatório Técnico, a equipe esteve diante de limitações de tempo e de recursos disponíveis, que demandaram esforço considerável na tentativa de uma análise com a profundidade suficientemente desejada.</w:t>
      </w:r>
    </w:p>
    <w:p w14:paraId="416CCCEC" w14:textId="77777777" w:rsidR="003954A5" w:rsidRDefault="003954A5" w:rsidP="003954A5">
      <w:pPr>
        <w:pStyle w:val="1-REL11"/>
      </w:pPr>
      <w:r>
        <w:t>Além dessa Introdução, o Relatório está estruturado em sete capítulos, nos quais são demonstradas as análises de forma conjunta e sistematizada, tendo em vista o caráter amplo e integrado da gestão governamental e apresenta-se, a seguir, o conteúdo resumido de cada um dos capítulos.</w:t>
      </w:r>
    </w:p>
    <w:p w14:paraId="05FE5A9F" w14:textId="77777777" w:rsidR="003954A5" w:rsidRDefault="003954A5" w:rsidP="003954A5">
      <w:pPr>
        <w:pStyle w:val="1-REL11"/>
      </w:pPr>
    </w:p>
    <w:p w14:paraId="09E733EC" w14:textId="77777777" w:rsidR="003954A5" w:rsidRDefault="003954A5" w:rsidP="003954A5">
      <w:pPr>
        <w:pStyle w:val="1-REL11"/>
      </w:pPr>
      <w:r>
        <w:t xml:space="preserve">No Capítulo 1 – Conjuntura Econômica, em abordagem preliminar e contextual, apresentam-se aspectos relacionados à conjuntura econômica do estado de Goiás, com enfoque sobre os </w:t>
      </w:r>
      <w:r>
        <w:lastRenderedPageBreak/>
        <w:t>resultados obtidos no exercício de 2023, de acordo com dados do Instituto Mauro Borges (IMB) e do Instituto Brasileiro de Geografia e Estatística (IBGE).</w:t>
      </w:r>
    </w:p>
    <w:p w14:paraId="05BF9405" w14:textId="77777777" w:rsidR="003954A5" w:rsidRDefault="003954A5" w:rsidP="003954A5">
      <w:pPr>
        <w:pStyle w:val="1-REL11"/>
      </w:pPr>
      <w:r>
        <w:t>O Capítulo 2 – Ação Setorial do Governo, tem caráter descritivo e informativo, no qual são apresentadas análises referentes ao início do Plano Plurianual 2020-2023 e à concepção do planejamento, de acordo com as estratégias estabelecidas.</w:t>
      </w:r>
    </w:p>
    <w:p w14:paraId="219E2889" w14:textId="77777777" w:rsidR="003954A5" w:rsidRDefault="003954A5" w:rsidP="003954A5">
      <w:pPr>
        <w:pStyle w:val="1-REL11"/>
      </w:pPr>
      <w:r>
        <w:t>O Capítulo 3 – Gestão Orçamentária e Financeira, aborda de forma ampla e orientada pelos preceitos legais, técnicos e princípios orçamentários pertinentes, a análise do planejamento e orçamento, a realização das receitas e a execução despesas, em conformidade com as políticas e finanças públicas estaduais.</w:t>
      </w:r>
    </w:p>
    <w:p w14:paraId="4B85C365" w14:textId="77777777" w:rsidR="003954A5" w:rsidRDefault="003954A5" w:rsidP="003954A5">
      <w:pPr>
        <w:pStyle w:val="1-REL11"/>
      </w:pPr>
      <w:r>
        <w:t>No Capítulo 4 – Gestão Fiscal, são apresentados os resultados dos exames delineados pelos componentes basilares da Lei Complementar nº 101, de 4 de maio de 2000 – Lei de Responsabilidade Fiscal (LRF). Nessa perspectiva extensa e abrangente, a delimitação alcançou as análises da gestão fiscal e finanças públicas do estado de Goiás, englobando as dimensões econômicas e financeiras, de forma geral.</w:t>
      </w:r>
    </w:p>
    <w:p w14:paraId="65A5D94C" w14:textId="77777777" w:rsidR="003954A5" w:rsidRDefault="003954A5" w:rsidP="003954A5">
      <w:pPr>
        <w:pStyle w:val="1-REL11"/>
      </w:pPr>
      <w:r>
        <w:t>O Capítulo 5 – Vinculações Constitucionais, tem abordagem particular, voltada para a análise do cumprimento dos índices e limites estabelecidos nas Constituições Federal e Estadual.</w:t>
      </w:r>
    </w:p>
    <w:p w14:paraId="268E301F" w14:textId="77777777" w:rsidR="003954A5" w:rsidRDefault="003954A5" w:rsidP="003954A5">
      <w:pPr>
        <w:pStyle w:val="1-REL11"/>
      </w:pPr>
      <w:r>
        <w:t>No Capítulo 6 – Gestão Patrimonial, são demonstradas as análises dos registros contábeis que afetam o Balanço Patrimonial (BP) e a Demonstração de Variações Patrimoniais do Estado (DVP), com ênfase para os dados consolidados do Estado.</w:t>
      </w:r>
    </w:p>
    <w:p w14:paraId="37D8E43D" w14:textId="77777777" w:rsidR="003954A5" w:rsidRDefault="003954A5" w:rsidP="003954A5">
      <w:pPr>
        <w:pStyle w:val="1-REL11"/>
      </w:pPr>
      <w:r>
        <w:t>No Capítulo 7 – Monitoramento das Recomendações do TCE/GO no Parecer Prévio dos Exercícios Anteriores foi tratado o acompanhamento quanto ao atendimento das recomendações constantes no Parecer Prévio relativo à Prestação de Contas do Governado do exercício de 2022.</w:t>
      </w:r>
    </w:p>
    <w:p w14:paraId="16B8BCDF" w14:textId="77777777" w:rsidR="003954A5" w:rsidRDefault="003954A5" w:rsidP="003954A5">
      <w:pPr>
        <w:pStyle w:val="1-REL11"/>
      </w:pPr>
      <w:r>
        <w:t>Na seção de Conclusão está demonstrado o esforço de formulação sintética e ordenada do resultado dos trabalhos, em conformidade com as dimensões, metodologia e procedimentos adotados, bem como propostas de determinações e recomendações sugeridas pela Unidade Técnica frente às intercorrências encontradas neste exíguo tempo de análise da Prestação de Contas do Governador.</w:t>
      </w:r>
    </w:p>
    <w:p w14:paraId="48328024" w14:textId="77777777" w:rsidR="003954A5" w:rsidRDefault="003954A5" w:rsidP="003954A5">
      <w:pPr>
        <w:pStyle w:val="1-REL11"/>
      </w:pPr>
      <w:r>
        <w:t>Cabe assinalar que, apesar de o art. 56 da LRF estabelecer que as contas submetidas pelo Governador a Parecer Prévio desta Corte de Contas incluirão as dos Presidentes da Assembleia Legislativa e Judiciário e do Chefe do Ministério Público, seus efeitos foram suspensos em face de liminar concedida em 09/08/2007 pelo Supremo Tribunal Federal, na Ação Direta de Inconstitucionalidade (ADI) nº 2.238.</w:t>
      </w:r>
    </w:p>
    <w:p w14:paraId="546AC9B5" w14:textId="77777777" w:rsidR="003954A5" w:rsidRDefault="003954A5" w:rsidP="003954A5">
      <w:pPr>
        <w:pStyle w:val="1-REL11"/>
      </w:pPr>
      <w:r>
        <w:t xml:space="preserve">Assim, registra-se que o Parecer Prévio abrange apenas as contas prestadas pelo Governador, independentemente do relatório técnico conter informações e análises sobre a execução orçamentária e financeira desses outros Poderes e Órgãos Autônomos, que têm as contas de </w:t>
      </w:r>
      <w:r>
        <w:lastRenderedPageBreak/>
        <w:t>seus gestores julgadas em processos distintos por esta Corte de Contas (inciso II, do art. 71, da CF).</w:t>
      </w:r>
    </w:p>
    <w:p w14:paraId="1FC8FC6C" w14:textId="77777777" w:rsidR="003954A5" w:rsidRDefault="003954A5" w:rsidP="003954A5">
      <w:pPr>
        <w:pStyle w:val="1-REL11"/>
      </w:pPr>
      <w:r>
        <w:t>O Tribunal de Contas, no exercício de sua relevante missão e louvando-se na minuciosa e apurada análise eficientemente realizada sobre a execução orçamentária do exercício de 2023, sobre a situação da administração financeira do Estado e, ainda, sobre todos os anexos que integram as contas anuais, por exigência da Lei Federal nº 4.320, de 17 de março de 1964, oferece à decisão do Poder Legislativo os resultados aqui reproduzidos e analisados.</w:t>
      </w:r>
    </w:p>
    <w:p w14:paraId="2FF6128D" w14:textId="77777777" w:rsidR="004B4B7A" w:rsidRPr="00B215AC" w:rsidRDefault="004B4B7A" w:rsidP="007267A4">
      <w:pPr>
        <w:pStyle w:val="0-TXT11"/>
        <w:rPr>
          <w:rFonts w:cs="Times New Roman"/>
          <w:color w:val="FF0000"/>
        </w:rPr>
        <w:sectPr w:rsidR="004B4B7A" w:rsidRPr="00B215AC" w:rsidSect="00C57A3A">
          <w:headerReference w:type="default" r:id="rId19"/>
          <w:footerReference w:type="default" r:id="rId20"/>
          <w:footnotePr>
            <w:numRestart w:val="eachSect"/>
          </w:footnotePr>
          <w:pgSz w:w="11905" w:h="16837"/>
          <w:pgMar w:top="1134" w:right="851" w:bottom="1134" w:left="1701" w:header="720" w:footer="720" w:gutter="0"/>
          <w:cols w:space="720"/>
          <w:noEndnote/>
        </w:sectPr>
      </w:pPr>
    </w:p>
    <w:p w14:paraId="0E32885D" w14:textId="77777777" w:rsidR="007267A4" w:rsidRPr="00B215AC" w:rsidRDefault="007267A4" w:rsidP="007267A4">
      <w:pPr>
        <w:pStyle w:val="0-TXT11"/>
        <w:rPr>
          <w:rFonts w:cs="Times New Roman"/>
          <w:color w:val="FF0000"/>
        </w:rPr>
      </w:pPr>
    </w:p>
    <w:p w14:paraId="43A602CB" w14:textId="77777777" w:rsidR="007267A4" w:rsidRPr="00B215AC" w:rsidRDefault="007267A4" w:rsidP="007267A4">
      <w:pPr>
        <w:pStyle w:val="0-TXT11"/>
        <w:rPr>
          <w:rFonts w:cs="Times New Roman"/>
          <w:color w:val="FF0000"/>
        </w:rPr>
      </w:pPr>
    </w:p>
    <w:p w14:paraId="52C609A0" w14:textId="77777777" w:rsidR="007267A4" w:rsidRPr="00B215AC" w:rsidRDefault="007267A4" w:rsidP="007267A4">
      <w:pPr>
        <w:pStyle w:val="0-TXT11"/>
        <w:rPr>
          <w:rFonts w:cs="Times New Roman"/>
          <w:color w:val="FF0000"/>
        </w:rPr>
      </w:pPr>
    </w:p>
    <w:p w14:paraId="126C1DD6" w14:textId="77777777" w:rsidR="007267A4" w:rsidRPr="00B215AC" w:rsidRDefault="007267A4" w:rsidP="007267A4">
      <w:pPr>
        <w:pStyle w:val="0-TXT11"/>
        <w:rPr>
          <w:rFonts w:cs="Times New Roman"/>
          <w:color w:val="FF0000"/>
        </w:rPr>
      </w:pPr>
    </w:p>
    <w:p w14:paraId="58C164FF" w14:textId="77777777" w:rsidR="007267A4" w:rsidRPr="00B215AC" w:rsidRDefault="007267A4" w:rsidP="007267A4">
      <w:pPr>
        <w:pStyle w:val="0-TXT11"/>
        <w:rPr>
          <w:rFonts w:cs="Times New Roman"/>
          <w:color w:val="FF0000"/>
        </w:rPr>
      </w:pPr>
    </w:p>
    <w:p w14:paraId="0E4C64B4" w14:textId="77777777" w:rsidR="007267A4" w:rsidRPr="00B215AC" w:rsidRDefault="007267A4" w:rsidP="007267A4">
      <w:pPr>
        <w:pStyle w:val="0-TXT11"/>
        <w:rPr>
          <w:rFonts w:cs="Times New Roman"/>
          <w:color w:val="FF0000"/>
        </w:rPr>
      </w:pPr>
    </w:p>
    <w:p w14:paraId="23C00D9B" w14:textId="77777777" w:rsidR="007267A4" w:rsidRPr="00B215AC" w:rsidRDefault="007267A4" w:rsidP="007267A4">
      <w:pPr>
        <w:pStyle w:val="0-TXT11"/>
        <w:rPr>
          <w:rFonts w:cs="Times New Roman"/>
          <w:color w:val="FF0000"/>
        </w:rPr>
      </w:pPr>
    </w:p>
    <w:p w14:paraId="19D6C056" w14:textId="77777777" w:rsidR="007267A4" w:rsidRPr="00B215AC" w:rsidRDefault="007267A4" w:rsidP="007267A4">
      <w:pPr>
        <w:pStyle w:val="0-TXT11"/>
        <w:rPr>
          <w:rFonts w:cs="Times New Roman"/>
          <w:color w:val="FF0000"/>
        </w:rPr>
      </w:pPr>
    </w:p>
    <w:p w14:paraId="5E9D7297" w14:textId="77777777" w:rsidR="007267A4" w:rsidRPr="00B215AC" w:rsidRDefault="007267A4" w:rsidP="007267A4">
      <w:pPr>
        <w:pStyle w:val="0-TXT11"/>
        <w:rPr>
          <w:rFonts w:cs="Times New Roman"/>
          <w:color w:val="FF0000"/>
        </w:rPr>
      </w:pPr>
    </w:p>
    <w:p w14:paraId="5941F268" w14:textId="77777777" w:rsidR="007267A4" w:rsidRPr="00B215AC" w:rsidRDefault="007267A4" w:rsidP="007267A4">
      <w:pPr>
        <w:pStyle w:val="0-TXT11"/>
        <w:rPr>
          <w:rFonts w:cs="Times New Roman"/>
          <w:color w:val="FF0000"/>
        </w:rPr>
      </w:pPr>
    </w:p>
    <w:p w14:paraId="51FD5AAB" w14:textId="77777777" w:rsidR="007267A4" w:rsidRPr="00B215AC" w:rsidRDefault="007267A4" w:rsidP="007267A4">
      <w:pPr>
        <w:pStyle w:val="0-TXT11"/>
        <w:rPr>
          <w:rFonts w:cs="Times New Roman"/>
          <w:color w:val="FF0000"/>
        </w:rPr>
      </w:pPr>
    </w:p>
    <w:p w14:paraId="7F8C389F" w14:textId="77777777" w:rsidR="007267A4" w:rsidRPr="00B215AC" w:rsidRDefault="007267A4" w:rsidP="007267A4">
      <w:pPr>
        <w:pStyle w:val="0-TXT11"/>
        <w:rPr>
          <w:rFonts w:cs="Times New Roman"/>
          <w:color w:val="FF0000"/>
        </w:rPr>
      </w:pPr>
    </w:p>
    <w:p w14:paraId="4165182F" w14:textId="77777777" w:rsidR="007267A4" w:rsidRPr="00B215AC" w:rsidRDefault="007267A4" w:rsidP="007267A4">
      <w:pPr>
        <w:pStyle w:val="0-TXT11"/>
        <w:rPr>
          <w:rFonts w:cs="Times New Roman"/>
          <w:color w:val="FF0000"/>
        </w:rPr>
      </w:pPr>
    </w:p>
    <w:p w14:paraId="5E5D969E" w14:textId="77777777" w:rsidR="007267A4" w:rsidRPr="00B215AC" w:rsidRDefault="007267A4" w:rsidP="007267A4">
      <w:pPr>
        <w:pStyle w:val="0-TXT11"/>
        <w:rPr>
          <w:rFonts w:cs="Times New Roman"/>
          <w:color w:val="FF0000"/>
        </w:rPr>
      </w:pPr>
    </w:p>
    <w:p w14:paraId="4768198B" w14:textId="77777777" w:rsidR="007267A4" w:rsidRPr="00B215AC" w:rsidRDefault="007267A4" w:rsidP="007267A4">
      <w:pPr>
        <w:pStyle w:val="0-TXT11"/>
        <w:rPr>
          <w:rFonts w:cs="Times New Roman"/>
          <w:color w:val="FF0000"/>
        </w:rPr>
      </w:pPr>
    </w:p>
    <w:p w14:paraId="7FA8C3C8" w14:textId="77777777" w:rsidR="007267A4" w:rsidRPr="00B215AC" w:rsidRDefault="007267A4" w:rsidP="007267A4">
      <w:pPr>
        <w:pStyle w:val="0-TXT11"/>
        <w:rPr>
          <w:rFonts w:cs="Times New Roman"/>
          <w:color w:val="FF0000"/>
        </w:rPr>
      </w:pPr>
    </w:p>
    <w:p w14:paraId="086BCB24" w14:textId="77777777" w:rsidR="007267A4" w:rsidRPr="00B215AC" w:rsidRDefault="007267A4" w:rsidP="007267A4">
      <w:pPr>
        <w:pStyle w:val="0-TXT11"/>
        <w:rPr>
          <w:rFonts w:cs="Times New Roman"/>
          <w:color w:val="FF0000"/>
        </w:rPr>
      </w:pPr>
    </w:p>
    <w:p w14:paraId="2A5CE4BE" w14:textId="77777777" w:rsidR="007267A4" w:rsidRPr="00B215AC" w:rsidRDefault="007267A4" w:rsidP="007267A4">
      <w:pPr>
        <w:pStyle w:val="0-TXT11"/>
        <w:rPr>
          <w:rFonts w:cs="Times New Roman"/>
          <w:color w:val="FF0000"/>
        </w:rPr>
      </w:pPr>
    </w:p>
    <w:p w14:paraId="48C01D7F" w14:textId="77777777" w:rsidR="007267A4" w:rsidRPr="00B215AC" w:rsidRDefault="007267A4" w:rsidP="007267A4">
      <w:pPr>
        <w:pStyle w:val="0-TXT11"/>
        <w:rPr>
          <w:rFonts w:cs="Times New Roman"/>
          <w:color w:val="FF0000"/>
        </w:rPr>
      </w:pPr>
    </w:p>
    <w:p w14:paraId="0D386E20" w14:textId="77777777" w:rsidR="007267A4" w:rsidRPr="00340121" w:rsidRDefault="007267A4" w:rsidP="007267A4">
      <w:pPr>
        <w:pStyle w:val="0-TXT11"/>
        <w:rPr>
          <w:rFonts w:cs="Times New Roman"/>
        </w:rPr>
      </w:pPr>
    </w:p>
    <w:p w14:paraId="48E5850F" w14:textId="77777777" w:rsidR="007267A4" w:rsidRPr="00340121" w:rsidRDefault="007267A4" w:rsidP="007267A4">
      <w:pPr>
        <w:pStyle w:val="0-TXT11"/>
        <w:rPr>
          <w:rFonts w:cs="Times New Roman"/>
        </w:rPr>
      </w:pPr>
    </w:p>
    <w:p w14:paraId="282E7C93" w14:textId="77777777" w:rsidR="007267A4" w:rsidRPr="00340121" w:rsidRDefault="007267A4" w:rsidP="007267A4">
      <w:pPr>
        <w:pStyle w:val="0-TXT11"/>
        <w:rPr>
          <w:rFonts w:cs="Times New Roman"/>
        </w:rPr>
      </w:pPr>
    </w:p>
    <w:p w14:paraId="1A6DCB00" w14:textId="77777777" w:rsidR="008C40A6" w:rsidRPr="00340121" w:rsidRDefault="008C40A6" w:rsidP="007267A4">
      <w:pPr>
        <w:pStyle w:val="0-TXT11"/>
        <w:rPr>
          <w:rFonts w:cs="Times New Roman"/>
        </w:rPr>
      </w:pPr>
    </w:p>
    <w:p w14:paraId="0111904D" w14:textId="77777777" w:rsidR="007267A4" w:rsidRPr="00340121" w:rsidRDefault="007267A4" w:rsidP="007267A4">
      <w:pPr>
        <w:pStyle w:val="0-TXT11"/>
        <w:rPr>
          <w:rFonts w:cs="Times New Roman"/>
        </w:rPr>
      </w:pPr>
    </w:p>
    <w:p w14:paraId="19D99086" w14:textId="77777777" w:rsidR="007267A4" w:rsidRPr="00340121" w:rsidRDefault="007267A4" w:rsidP="007267A4">
      <w:pPr>
        <w:pStyle w:val="0-TXT11"/>
        <w:rPr>
          <w:rFonts w:cs="Times New Roman"/>
        </w:rPr>
      </w:pPr>
    </w:p>
    <w:p w14:paraId="4A8A2126" w14:textId="77777777" w:rsidR="007267A4" w:rsidRPr="00340121" w:rsidRDefault="007267A4" w:rsidP="00B523B9">
      <w:pPr>
        <w:pStyle w:val="1-CAPTULO"/>
      </w:pPr>
      <w:bookmarkStart w:id="12" w:name="_Ref165647703"/>
    </w:p>
    <w:bookmarkEnd w:id="12"/>
    <w:p w14:paraId="30268430" w14:textId="74A78343" w:rsidR="007267A4" w:rsidRPr="00340121" w:rsidRDefault="007267A4" w:rsidP="007267A4">
      <w:pPr>
        <w:pStyle w:val="0-TXT11"/>
        <w:jc w:val="right"/>
        <w:rPr>
          <w:rFonts w:cs="Times New Roman"/>
          <w:sz w:val="48"/>
          <w:szCs w:val="48"/>
        </w:rPr>
      </w:pPr>
      <w:r w:rsidRPr="00340121">
        <w:rPr>
          <w:rFonts w:cs="Times New Roman"/>
          <w:sz w:val="48"/>
          <w:szCs w:val="48"/>
        </w:rPr>
        <w:fldChar w:fldCharType="begin"/>
      </w:r>
      <w:r w:rsidRPr="00340121">
        <w:rPr>
          <w:rFonts w:cs="Times New Roman"/>
          <w:sz w:val="48"/>
          <w:szCs w:val="48"/>
        </w:rPr>
        <w:instrText xml:space="preserve"> STYLEREF  "Título 1"  \* MERGEFORMAT </w:instrText>
      </w:r>
      <w:r w:rsidRPr="00340121">
        <w:rPr>
          <w:rFonts w:cs="Times New Roman"/>
          <w:sz w:val="48"/>
          <w:szCs w:val="48"/>
        </w:rPr>
        <w:fldChar w:fldCharType="separate"/>
      </w:r>
      <w:r w:rsidR="0099185A">
        <w:rPr>
          <w:rFonts w:cs="Times New Roman"/>
          <w:noProof/>
          <w:sz w:val="48"/>
          <w:szCs w:val="48"/>
        </w:rPr>
        <w:t>Conjuntura Econômica</w:t>
      </w:r>
      <w:r w:rsidRPr="00340121">
        <w:rPr>
          <w:rFonts w:cs="Times New Roman"/>
          <w:sz w:val="48"/>
          <w:szCs w:val="48"/>
        </w:rPr>
        <w:fldChar w:fldCharType="end"/>
      </w:r>
    </w:p>
    <w:p w14:paraId="50A9EB45" w14:textId="77777777" w:rsidR="007267A4" w:rsidRPr="00340121" w:rsidRDefault="007267A4" w:rsidP="00C10D76">
      <w:pPr>
        <w:pStyle w:val="0-TXT11"/>
        <w:ind w:right="-2"/>
        <w:rPr>
          <w:rFonts w:cs="Times New Roman"/>
        </w:rPr>
      </w:pPr>
    </w:p>
    <w:p w14:paraId="21B39AFF" w14:textId="77777777" w:rsidR="007267A4" w:rsidRPr="00B215AC" w:rsidRDefault="007267A4" w:rsidP="00C10D76">
      <w:pPr>
        <w:pStyle w:val="0-TXT11"/>
        <w:ind w:right="-2"/>
        <w:rPr>
          <w:rFonts w:cs="Times New Roman"/>
          <w:color w:val="FF0000"/>
        </w:rPr>
      </w:pPr>
    </w:p>
    <w:p w14:paraId="024DF5D1" w14:textId="77777777" w:rsidR="002D2B62" w:rsidRPr="00B215AC" w:rsidRDefault="002D2B62" w:rsidP="00C10D76">
      <w:pPr>
        <w:pStyle w:val="0-TXT11"/>
        <w:ind w:right="-2"/>
        <w:rPr>
          <w:rFonts w:cs="Times New Roman"/>
          <w:color w:val="FF0000"/>
        </w:rPr>
      </w:pPr>
    </w:p>
    <w:p w14:paraId="03DC09DA" w14:textId="77777777" w:rsidR="002D2B62" w:rsidRPr="00B215AC" w:rsidRDefault="002D2B62" w:rsidP="00C10D76">
      <w:pPr>
        <w:pStyle w:val="0-TXT11"/>
        <w:ind w:right="-2"/>
        <w:rPr>
          <w:rFonts w:cs="Times New Roman"/>
          <w:color w:val="FF0000"/>
        </w:rPr>
      </w:pPr>
    </w:p>
    <w:p w14:paraId="2B72A925" w14:textId="77777777" w:rsidR="002D2B62" w:rsidRPr="00B215AC" w:rsidRDefault="002D2B62" w:rsidP="00C10D76">
      <w:pPr>
        <w:pStyle w:val="0-TXT11"/>
        <w:ind w:right="-2"/>
        <w:rPr>
          <w:rFonts w:cs="Times New Roman"/>
          <w:color w:val="FF0000"/>
        </w:rPr>
      </w:pPr>
    </w:p>
    <w:p w14:paraId="68CFBCB5" w14:textId="77777777" w:rsidR="004B4B7A" w:rsidRPr="00B215AC" w:rsidRDefault="004B4B7A" w:rsidP="00C10D76">
      <w:pPr>
        <w:pStyle w:val="0-TXT11"/>
        <w:ind w:right="-2"/>
        <w:rPr>
          <w:rFonts w:cs="Times New Roman"/>
          <w:color w:val="FF0000"/>
        </w:rPr>
        <w:sectPr w:rsidR="004B4B7A" w:rsidRPr="00B215AC" w:rsidSect="00C57A3A">
          <w:footerReference w:type="default" r:id="rId21"/>
          <w:footnotePr>
            <w:numRestart w:val="eachSect"/>
          </w:footnotePr>
          <w:pgSz w:w="11905" w:h="16837"/>
          <w:pgMar w:top="1134" w:right="851" w:bottom="1134" w:left="1701" w:header="720" w:footer="720" w:gutter="0"/>
          <w:cols w:space="720"/>
          <w:noEndnote/>
        </w:sectPr>
      </w:pPr>
    </w:p>
    <w:p w14:paraId="7624971C" w14:textId="32201390" w:rsidR="00CA6A66" w:rsidRDefault="00CA6A66" w:rsidP="00CA6A66">
      <w:pPr>
        <w:pStyle w:val="1-REL11"/>
        <w:rPr>
          <w:color w:val="FF0000"/>
        </w:rPr>
      </w:pPr>
    </w:p>
    <w:p w14:paraId="30C18D69" w14:textId="1A8CCD9D" w:rsidR="0069149D" w:rsidRPr="00B215AC" w:rsidRDefault="0069149D" w:rsidP="00E175C4">
      <w:pPr>
        <w:pStyle w:val="Ttulo1"/>
        <w:numPr>
          <w:ilvl w:val="0"/>
          <w:numId w:val="34"/>
        </w:numPr>
      </w:pPr>
      <w:bookmarkStart w:id="13" w:name="_Toc167871615"/>
      <w:r>
        <w:t>Conjuntura Econômica</w:t>
      </w:r>
      <w:bookmarkEnd w:id="13"/>
      <w:r w:rsidRPr="00B215AC">
        <w:t xml:space="preserve"> </w:t>
      </w:r>
    </w:p>
    <w:p w14:paraId="7EFC2E9C" w14:textId="77777777" w:rsidR="002A6438" w:rsidRPr="008A013F" w:rsidRDefault="002A6438" w:rsidP="002A6438">
      <w:pPr>
        <w:pStyle w:val="1-REL11"/>
      </w:pPr>
      <w:bookmarkStart w:id="14" w:name="_Toc511305472"/>
      <w:r w:rsidRPr="008A013F">
        <w:t>O presente capítulo trata de aspectos relacionados à conjuntura econômica do estado de Goiás, com enfoque sobre os resultados obtidos no exercício de 2023, comparado ao resultado alcançado no Brasil.</w:t>
      </w:r>
    </w:p>
    <w:p w14:paraId="2B9518F9" w14:textId="77777777" w:rsidR="002A6438" w:rsidRPr="008A013F" w:rsidRDefault="002A6438" w:rsidP="002A6438">
      <w:pPr>
        <w:pStyle w:val="1-REL11"/>
      </w:pPr>
      <w:r w:rsidRPr="008A013F">
        <w:t>Apresenta-se ponderações acerca do comportamento dos grandes setores do Produto Interno Bruto (PIB) goiano, inflação, mercado de trabalho e balança comercial com base em dados do Instituto Mauro Borges (IMB) e do Instituto Brasileiro de Geografia e Estatística (IBGE).</w:t>
      </w:r>
    </w:p>
    <w:p w14:paraId="11EBDD81" w14:textId="77777777" w:rsidR="002A6438" w:rsidRPr="00D02010" w:rsidRDefault="002A6438" w:rsidP="002A6438">
      <w:pPr>
        <w:pStyle w:val="1-REL11"/>
      </w:pPr>
      <w:r w:rsidRPr="008A013F">
        <w:t>As informações apresentadas têm como referência o Relatório do Órgão Central do Sistema de Controle Interno (processo nº 202300047001912, evento 11, páginas 13/38)</w:t>
      </w:r>
      <w:r>
        <w:t>.</w:t>
      </w:r>
      <w:r w:rsidRPr="008A013F">
        <w:t xml:space="preserve"> </w:t>
      </w:r>
    </w:p>
    <w:p w14:paraId="209D578F" w14:textId="77777777" w:rsidR="002A6438" w:rsidRPr="00FA7B76" w:rsidRDefault="002A6438" w:rsidP="002A6438">
      <w:pPr>
        <w:pStyle w:val="Ttulo2"/>
      </w:pPr>
      <w:bookmarkStart w:id="15" w:name="_Toc167871616"/>
      <w:r w:rsidRPr="00FA7B76">
        <w:t>Comportamento dos Grandes Setores do PIB Goiano</w:t>
      </w:r>
      <w:bookmarkEnd w:id="15"/>
    </w:p>
    <w:p w14:paraId="278C6B44" w14:textId="02D26732" w:rsidR="002A6438" w:rsidRPr="00FA7B76" w:rsidRDefault="002A6438" w:rsidP="002A6438">
      <w:pPr>
        <w:pStyle w:val="1-REL11"/>
      </w:pPr>
      <w:r w:rsidRPr="00FA7B76">
        <w:t xml:space="preserve">Segundo informações enviadas pela Controladoria Geral do Estado no </w:t>
      </w:r>
      <w:r>
        <w:t>bojo da Prestação de Contas do Governador de 2023</w:t>
      </w:r>
      <w:r w:rsidRPr="00FA7B76">
        <w:t xml:space="preserve"> (processo nº</w:t>
      </w:r>
      <w:r>
        <w:t> </w:t>
      </w:r>
      <w:r w:rsidRPr="00FA7B76">
        <w:t>202300047001912, evento 11), o PIB goiano encerrou o ano de 2023 com crescimento de 4,4%</w:t>
      </w:r>
      <w:r>
        <w:t>, em comparação ao ano de 2022</w:t>
      </w:r>
      <w:r w:rsidRPr="00FA7B76">
        <w:t>.</w:t>
      </w:r>
    </w:p>
    <w:p w14:paraId="50FBCF04" w14:textId="77777777" w:rsidR="002A6438" w:rsidRDefault="002A6438" w:rsidP="002A6438">
      <w:pPr>
        <w:pStyle w:val="1-REL11"/>
      </w:pPr>
      <w:r w:rsidRPr="000D3C96">
        <w:t>Os três setores (agropecuária, indústria e serviços) encerraram o ano com taxas positivas, atingindo seu maior volume de produção da série histórica, consequentemente elevando o patamar do PIB. O destaque seu deu no setor agropecuário, indicando que seu ritmo de crescimento é maior que os demais setores, inclusive que o próprio PIB.</w:t>
      </w:r>
    </w:p>
    <w:p w14:paraId="6741B8F2" w14:textId="325490A8" w:rsidR="002A6438" w:rsidRDefault="002A6438" w:rsidP="002A6438">
      <w:pPr>
        <w:pStyle w:val="1-REL11"/>
      </w:pPr>
      <w:r>
        <w:t>O PIB per capta goiano se manteve abaixo do brasileiro, o estado de Goiás atingiu a cifra de R$</w:t>
      </w:r>
      <w:r w:rsidR="008805EC">
        <w:t> </w:t>
      </w:r>
      <w:r>
        <w:t>47</w:t>
      </w:r>
      <w:r w:rsidR="008805EC">
        <w:t> </w:t>
      </w:r>
      <w:r>
        <w:t>mil reais, enquanto que o Brasil logrou R$</w:t>
      </w:r>
      <w:r w:rsidR="008805EC">
        <w:t> </w:t>
      </w:r>
      <w:r>
        <w:t>53</w:t>
      </w:r>
      <w:r w:rsidR="008805EC">
        <w:t> </w:t>
      </w:r>
      <w:r>
        <w:t>mil em 2023. A estimativa para o valor corrente do PIB de Goiás em 2023 foi de R$</w:t>
      </w:r>
      <w:r w:rsidR="008805EC">
        <w:t> </w:t>
      </w:r>
      <w:r>
        <w:t>336</w:t>
      </w:r>
      <w:r w:rsidR="008805EC">
        <w:t> </w:t>
      </w:r>
      <w:r>
        <w:t>bilhões, representando 3,1% do PIB nacional.</w:t>
      </w:r>
    </w:p>
    <w:p w14:paraId="5F611CB7" w14:textId="77777777" w:rsidR="002A6438" w:rsidRDefault="002A6438" w:rsidP="002A6438">
      <w:pPr>
        <w:pStyle w:val="1-REL11"/>
      </w:pPr>
      <w:r>
        <w:t>Na apuração do Índice de Atividade Econômica do Brasil e de Goiás, o resultado apresentado pelo Bacen foi superior à do IMB para o PIB de 2023. O crescimento apontado pelo índice para Goiás ficou em 6%. Tal divergência se deu pelo uso de metodologias distintas entre as duas instituições, sendo também observada na estimação de outros PIBs estaduais.</w:t>
      </w:r>
    </w:p>
    <w:p w14:paraId="2B977B8A" w14:textId="77777777" w:rsidR="002A6438" w:rsidRDefault="002A6438" w:rsidP="002A6438">
      <w:pPr>
        <w:pStyle w:val="1-REL11"/>
      </w:pPr>
      <w:r w:rsidRPr="00065BF7">
        <w:t xml:space="preserve">A agropecuária teve crescimento de 12,9% no ano de 2023, sendo influenciada pela lavoura temporária, com destaque para o bom desempenho do milho, da soja e da cana-de-açúcar. </w:t>
      </w:r>
      <w:r>
        <w:t>Na</w:t>
      </w:r>
      <w:r w:rsidRPr="00065BF7">
        <w:t xml:space="preserve"> pecuária</w:t>
      </w:r>
      <w:r>
        <w:t>, o bom resultado se deu pelo aumento de 17,8%</w:t>
      </w:r>
      <w:r w:rsidRPr="00065BF7">
        <w:t xml:space="preserve"> </w:t>
      </w:r>
      <w:r>
        <w:t>no</w:t>
      </w:r>
      <w:r w:rsidRPr="00065BF7">
        <w:t xml:space="preserve"> abate de bovinos, </w:t>
      </w:r>
      <w:r>
        <w:t>4,9% no abate de frangos, 1,4% na produção de leite cru e 7% na produção de ovos.</w:t>
      </w:r>
    </w:p>
    <w:p w14:paraId="6D6B158D" w14:textId="77777777" w:rsidR="002A6438" w:rsidRDefault="002A6438" w:rsidP="002A6438">
      <w:pPr>
        <w:pStyle w:val="1-REL11"/>
        <w:rPr>
          <w:highlight w:val="lightGray"/>
        </w:rPr>
      </w:pPr>
      <w:r w:rsidRPr="00076033">
        <w:t>Considerando o 4º trimestre de 2023, a agropecuária em Goiás recuou 17,4%, enquanto que o Brasil apresentou estabilidade</w:t>
      </w:r>
      <w:r>
        <w:t>, r</w:t>
      </w:r>
      <w:r w:rsidRPr="00076033">
        <w:t>esultado afetado pelo aumento dos</w:t>
      </w:r>
      <w:r>
        <w:t xml:space="preserve"> custos intermediários </w:t>
      </w:r>
      <w:r>
        <w:lastRenderedPageBreak/>
        <w:t>incorridos pelos produtores nas lavouras que terão suas colheitas realizadas no início do ano seguinte.</w:t>
      </w:r>
    </w:p>
    <w:p w14:paraId="4026B9CF" w14:textId="77777777" w:rsidR="002A6438" w:rsidRPr="001F55D5" w:rsidRDefault="002A6438" w:rsidP="002A6438">
      <w:pPr>
        <w:pStyle w:val="1-REL11"/>
      </w:pPr>
      <w:r w:rsidRPr="001F55D5">
        <w:t xml:space="preserve">A indústria goiana cresceu 3,8% no exercício de 2023, em comparação com o período de 2022. </w:t>
      </w:r>
      <w:r>
        <w:t>O</w:t>
      </w:r>
      <w:r w:rsidRPr="001F55D5">
        <w:t xml:space="preserve">s serviços industriais de utilidade pública (2,8%) e a indústria de transformação (5,3%) cresceram no período analisado, por outro lado </w:t>
      </w:r>
      <w:r>
        <w:t>a</w:t>
      </w:r>
      <w:r w:rsidRPr="001F55D5">
        <w:t xml:space="preserve"> indústria extrativa e a construção civil apresentaram resultados negativos.</w:t>
      </w:r>
    </w:p>
    <w:p w14:paraId="28B31025" w14:textId="77777777" w:rsidR="002A6438" w:rsidRPr="003C3477" w:rsidRDefault="002A6438" w:rsidP="002A6438">
      <w:pPr>
        <w:pStyle w:val="1-REL11"/>
      </w:pPr>
      <w:r w:rsidRPr="001F55D5">
        <w:t xml:space="preserve">O desempenho anual positivo da fabricação de produtos alimentícios (8,8%), da fabricação de coque, de produtos derivados do petróleo e de biocombustíveis (2,7%), segmentos com participação relevante na indústria de transformação e da fabricação de produtos </w:t>
      </w:r>
      <w:r w:rsidRPr="003C3477">
        <w:t>farmoquímicos e farmacêuticos (2,8%), respondem por mais de 55% do Valor Bruto de Produção do segmento industrial.</w:t>
      </w:r>
    </w:p>
    <w:p w14:paraId="61DB2D76" w14:textId="1CC778F6" w:rsidR="009B7A30" w:rsidRDefault="009B7A30" w:rsidP="00ED3571">
      <w:pPr>
        <w:pStyle w:val="0-TABELA"/>
      </w:pPr>
      <w:bookmarkStart w:id="16" w:name="_Toc167871714"/>
      <w:r>
        <w:t>Produção Industrial por Atividades</w:t>
      </w:r>
      <w:bookmarkEnd w:id="16"/>
    </w:p>
    <w:p w14:paraId="306BFF28" w14:textId="46C948E0" w:rsidR="009B7A30" w:rsidRPr="00873B17" w:rsidRDefault="009B7A30" w:rsidP="009B7A30">
      <w:pPr>
        <w:pStyle w:val="0-EmR1"/>
        <w:rPr>
          <w:lang w:eastAsia="en-US"/>
        </w:rPr>
      </w:pPr>
      <w:r>
        <w:rPr>
          <w:lang w:eastAsia="en-US"/>
        </w:rPr>
        <w:t xml:space="preserve"> %</w:t>
      </w:r>
    </w:p>
    <w:tbl>
      <w:tblPr>
        <w:tblW w:w="5000" w:type="pct"/>
        <w:tblCellMar>
          <w:left w:w="70" w:type="dxa"/>
          <w:right w:w="70" w:type="dxa"/>
        </w:tblCellMar>
        <w:tblLook w:val="0000" w:firstRow="0" w:lastRow="0" w:firstColumn="0" w:lastColumn="0" w:noHBand="0" w:noVBand="0"/>
      </w:tblPr>
      <w:tblGrid>
        <w:gridCol w:w="6945"/>
        <w:gridCol w:w="1418"/>
        <w:gridCol w:w="990"/>
      </w:tblGrid>
      <w:tr w:rsidR="00AD14E2" w:rsidRPr="00D546D5" w14:paraId="7FA03657" w14:textId="77777777" w:rsidTr="00B32D66">
        <w:trPr>
          <w:trHeight w:val="307"/>
          <w:tblHeader/>
        </w:trPr>
        <w:tc>
          <w:tcPr>
            <w:tcW w:w="3713" w:type="pct"/>
            <w:vMerge w:val="restart"/>
            <w:tcBorders>
              <w:top w:val="single" w:sz="4" w:space="0" w:color="auto"/>
              <w:bottom w:val="single" w:sz="4" w:space="0" w:color="auto"/>
              <w:right w:val="single" w:sz="4" w:space="0" w:color="auto"/>
            </w:tcBorders>
            <w:shd w:val="clear" w:color="auto" w:fill="A1F2FD"/>
            <w:vAlign w:val="center"/>
          </w:tcPr>
          <w:p w14:paraId="6066EA11" w14:textId="77777777" w:rsidR="00AD14E2" w:rsidRPr="00D546D5" w:rsidRDefault="00AD14E2" w:rsidP="00B32D66">
            <w:pPr>
              <w:jc w:val="center"/>
              <w:rPr>
                <w:rFonts w:cs="Arial"/>
                <w:b/>
                <w:sz w:val="20"/>
                <w:szCs w:val="20"/>
              </w:rPr>
            </w:pPr>
            <w:r w:rsidRPr="00D546D5">
              <w:rPr>
                <w:rFonts w:cs="Arial"/>
                <w:b/>
                <w:sz w:val="20"/>
                <w:szCs w:val="20"/>
              </w:rPr>
              <w:t>Atividades de Indústria</w:t>
            </w:r>
          </w:p>
        </w:tc>
        <w:tc>
          <w:tcPr>
            <w:tcW w:w="1287" w:type="pct"/>
            <w:gridSpan w:val="2"/>
            <w:tcBorders>
              <w:top w:val="single" w:sz="4" w:space="0" w:color="auto"/>
              <w:left w:val="single" w:sz="4" w:space="0" w:color="auto"/>
              <w:bottom w:val="single" w:sz="4" w:space="0" w:color="auto"/>
            </w:tcBorders>
            <w:shd w:val="clear" w:color="auto" w:fill="A1F2FD"/>
            <w:vAlign w:val="center"/>
          </w:tcPr>
          <w:p w14:paraId="672E8B3B" w14:textId="77777777" w:rsidR="00AD14E2" w:rsidRPr="00D546D5" w:rsidRDefault="00AD14E2" w:rsidP="00B32D66">
            <w:pPr>
              <w:jc w:val="center"/>
              <w:rPr>
                <w:rFonts w:cs="Arial"/>
                <w:b/>
                <w:sz w:val="20"/>
                <w:szCs w:val="20"/>
              </w:rPr>
            </w:pPr>
            <w:r w:rsidRPr="00D546D5">
              <w:rPr>
                <w:rFonts w:cs="Arial"/>
                <w:b/>
                <w:sz w:val="20"/>
                <w:szCs w:val="20"/>
              </w:rPr>
              <w:t>Variação (%)</w:t>
            </w:r>
          </w:p>
        </w:tc>
      </w:tr>
      <w:tr w:rsidR="00AD14E2" w:rsidRPr="00D546D5" w14:paraId="087270A1" w14:textId="77777777" w:rsidTr="00B32D66">
        <w:trPr>
          <w:trHeight w:val="307"/>
          <w:tblHeader/>
        </w:trPr>
        <w:tc>
          <w:tcPr>
            <w:tcW w:w="3713" w:type="pct"/>
            <w:vMerge/>
            <w:tcBorders>
              <w:top w:val="single" w:sz="4" w:space="0" w:color="auto"/>
              <w:bottom w:val="single" w:sz="4" w:space="0" w:color="auto"/>
              <w:right w:val="single" w:sz="4" w:space="0" w:color="auto"/>
            </w:tcBorders>
            <w:shd w:val="clear" w:color="auto" w:fill="A1F2FD"/>
            <w:vAlign w:val="center"/>
          </w:tcPr>
          <w:p w14:paraId="405194A0" w14:textId="77777777" w:rsidR="00AD14E2" w:rsidRPr="00D546D5" w:rsidRDefault="00AD14E2" w:rsidP="00B32D66">
            <w:pPr>
              <w:jc w:val="center"/>
              <w:rPr>
                <w:rFonts w:cs="Arial"/>
                <w:b/>
                <w:sz w:val="20"/>
                <w:szCs w:val="20"/>
              </w:rPr>
            </w:pPr>
          </w:p>
        </w:tc>
        <w:tc>
          <w:tcPr>
            <w:tcW w:w="758" w:type="pct"/>
            <w:tcBorders>
              <w:top w:val="single" w:sz="4" w:space="0" w:color="auto"/>
              <w:left w:val="single" w:sz="4" w:space="0" w:color="auto"/>
              <w:bottom w:val="single" w:sz="4" w:space="0" w:color="auto"/>
              <w:right w:val="single" w:sz="4" w:space="0" w:color="auto"/>
            </w:tcBorders>
            <w:shd w:val="clear" w:color="auto" w:fill="A1F2FD"/>
            <w:vAlign w:val="center"/>
          </w:tcPr>
          <w:p w14:paraId="14BFA30E" w14:textId="77777777" w:rsidR="00AD14E2" w:rsidRPr="00D546D5" w:rsidRDefault="00AD14E2" w:rsidP="00B32D66">
            <w:pPr>
              <w:jc w:val="center"/>
              <w:rPr>
                <w:rFonts w:cs="Arial"/>
                <w:b/>
                <w:sz w:val="20"/>
                <w:szCs w:val="20"/>
              </w:rPr>
            </w:pPr>
            <w:r w:rsidRPr="00D546D5">
              <w:rPr>
                <w:rFonts w:cs="Arial"/>
                <w:b/>
                <w:sz w:val="20"/>
                <w:szCs w:val="20"/>
              </w:rPr>
              <w:t>Brasil</w:t>
            </w:r>
          </w:p>
        </w:tc>
        <w:tc>
          <w:tcPr>
            <w:tcW w:w="529" w:type="pct"/>
            <w:tcBorders>
              <w:top w:val="single" w:sz="4" w:space="0" w:color="auto"/>
              <w:left w:val="single" w:sz="4" w:space="0" w:color="auto"/>
              <w:bottom w:val="single" w:sz="4" w:space="0" w:color="auto"/>
            </w:tcBorders>
            <w:shd w:val="clear" w:color="auto" w:fill="A1F2FD"/>
            <w:vAlign w:val="center"/>
          </w:tcPr>
          <w:p w14:paraId="16DF1D44" w14:textId="77777777" w:rsidR="00AD14E2" w:rsidRPr="00D546D5" w:rsidRDefault="00AD14E2" w:rsidP="00B32D66">
            <w:pPr>
              <w:jc w:val="center"/>
              <w:rPr>
                <w:rFonts w:cs="Arial"/>
                <w:b/>
                <w:sz w:val="20"/>
                <w:szCs w:val="20"/>
              </w:rPr>
            </w:pPr>
            <w:r w:rsidRPr="00D546D5">
              <w:rPr>
                <w:rFonts w:cs="Arial"/>
                <w:b/>
                <w:sz w:val="20"/>
                <w:szCs w:val="20"/>
              </w:rPr>
              <w:t>Goiás</w:t>
            </w:r>
          </w:p>
        </w:tc>
      </w:tr>
      <w:tr w:rsidR="00AD14E2" w:rsidRPr="00D546D5" w14:paraId="4D53A63A" w14:textId="77777777" w:rsidTr="00B32D66">
        <w:trPr>
          <w:trHeight w:val="307"/>
        </w:trPr>
        <w:tc>
          <w:tcPr>
            <w:tcW w:w="3713" w:type="pct"/>
            <w:tcBorders>
              <w:top w:val="single" w:sz="4" w:space="0" w:color="auto"/>
              <w:right w:val="single" w:sz="4" w:space="0" w:color="auto"/>
            </w:tcBorders>
            <w:vAlign w:val="center"/>
          </w:tcPr>
          <w:p w14:paraId="2957896F" w14:textId="77777777" w:rsidR="00AD14E2" w:rsidRPr="00D546D5" w:rsidRDefault="00AD14E2" w:rsidP="00AD14E2">
            <w:pPr>
              <w:ind w:left="73"/>
              <w:rPr>
                <w:rFonts w:cs="Arial"/>
                <w:sz w:val="20"/>
                <w:szCs w:val="20"/>
              </w:rPr>
            </w:pPr>
            <w:r w:rsidRPr="00D546D5">
              <w:rPr>
                <w:rFonts w:cs="Arial"/>
                <w:sz w:val="20"/>
                <w:szCs w:val="20"/>
              </w:rPr>
              <w:t>Indústria geral</w:t>
            </w:r>
          </w:p>
        </w:tc>
        <w:tc>
          <w:tcPr>
            <w:tcW w:w="758" w:type="pct"/>
            <w:tcBorders>
              <w:top w:val="single" w:sz="4" w:space="0" w:color="auto"/>
              <w:left w:val="single" w:sz="4" w:space="0" w:color="auto"/>
              <w:right w:val="single" w:sz="4" w:space="0" w:color="auto"/>
            </w:tcBorders>
            <w:vAlign w:val="center"/>
          </w:tcPr>
          <w:p w14:paraId="1E4042F7"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0,2</w:t>
            </w:r>
          </w:p>
        </w:tc>
        <w:tc>
          <w:tcPr>
            <w:tcW w:w="529" w:type="pct"/>
            <w:tcBorders>
              <w:top w:val="single" w:sz="4" w:space="0" w:color="auto"/>
              <w:left w:val="single" w:sz="4" w:space="0" w:color="auto"/>
            </w:tcBorders>
            <w:vAlign w:val="center"/>
          </w:tcPr>
          <w:p w14:paraId="2255B6D4"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6,1</w:t>
            </w:r>
          </w:p>
        </w:tc>
      </w:tr>
      <w:tr w:rsidR="00AD14E2" w:rsidRPr="00D546D5" w14:paraId="31CF8935" w14:textId="77777777" w:rsidTr="00B32D66">
        <w:trPr>
          <w:trHeight w:val="307"/>
        </w:trPr>
        <w:tc>
          <w:tcPr>
            <w:tcW w:w="3713" w:type="pct"/>
            <w:tcBorders>
              <w:right w:val="single" w:sz="4" w:space="0" w:color="auto"/>
            </w:tcBorders>
            <w:vAlign w:val="center"/>
          </w:tcPr>
          <w:p w14:paraId="1D1CD64A" w14:textId="77777777" w:rsidR="00AD14E2" w:rsidRPr="00D546D5" w:rsidRDefault="00AD14E2" w:rsidP="00AD14E2">
            <w:pPr>
              <w:ind w:left="73"/>
              <w:rPr>
                <w:rFonts w:cs="Arial"/>
                <w:sz w:val="20"/>
                <w:szCs w:val="20"/>
              </w:rPr>
            </w:pPr>
            <w:r w:rsidRPr="00D546D5">
              <w:rPr>
                <w:rFonts w:cs="Arial"/>
                <w:sz w:val="20"/>
                <w:szCs w:val="20"/>
              </w:rPr>
              <w:t>Indústrias extrativas</w:t>
            </w:r>
          </w:p>
        </w:tc>
        <w:tc>
          <w:tcPr>
            <w:tcW w:w="758" w:type="pct"/>
            <w:tcBorders>
              <w:left w:val="single" w:sz="4" w:space="0" w:color="auto"/>
              <w:right w:val="single" w:sz="4" w:space="0" w:color="auto"/>
            </w:tcBorders>
            <w:vAlign w:val="center"/>
          </w:tcPr>
          <w:p w14:paraId="765598D7"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7,0</w:t>
            </w:r>
          </w:p>
        </w:tc>
        <w:tc>
          <w:tcPr>
            <w:tcW w:w="529" w:type="pct"/>
            <w:tcBorders>
              <w:left w:val="single" w:sz="4" w:space="0" w:color="auto"/>
            </w:tcBorders>
            <w:vAlign w:val="center"/>
          </w:tcPr>
          <w:p w14:paraId="4CD566A4" w14:textId="77777777" w:rsidR="00AD14E2" w:rsidRPr="00D546D5" w:rsidRDefault="00AD14E2" w:rsidP="00B32D66">
            <w:pPr>
              <w:jc w:val="center"/>
              <w:rPr>
                <w:rFonts w:cs="Arial"/>
                <w:color w:val="000000" w:themeColor="text1"/>
                <w:sz w:val="20"/>
                <w:szCs w:val="20"/>
              </w:rPr>
            </w:pPr>
            <w:r w:rsidRPr="00D546D5">
              <w:rPr>
                <w:rFonts w:cs="Arial"/>
                <w:color w:val="FF0000"/>
                <w:sz w:val="20"/>
                <w:szCs w:val="20"/>
              </w:rPr>
              <w:t>(0,8)</w:t>
            </w:r>
          </w:p>
        </w:tc>
      </w:tr>
      <w:tr w:rsidR="00AD14E2" w:rsidRPr="00D546D5" w14:paraId="33DB00F4" w14:textId="77777777" w:rsidTr="00B32D66">
        <w:trPr>
          <w:trHeight w:val="307"/>
        </w:trPr>
        <w:tc>
          <w:tcPr>
            <w:tcW w:w="3713" w:type="pct"/>
            <w:tcBorders>
              <w:right w:val="single" w:sz="4" w:space="0" w:color="auto"/>
            </w:tcBorders>
            <w:vAlign w:val="center"/>
          </w:tcPr>
          <w:p w14:paraId="01CF71C0" w14:textId="77777777" w:rsidR="00AD14E2" w:rsidRPr="00D546D5" w:rsidRDefault="00AD14E2" w:rsidP="00AD14E2">
            <w:pPr>
              <w:ind w:left="73"/>
              <w:rPr>
                <w:rFonts w:cs="Arial"/>
                <w:sz w:val="20"/>
                <w:szCs w:val="20"/>
              </w:rPr>
            </w:pPr>
            <w:r w:rsidRPr="00D546D5">
              <w:rPr>
                <w:rFonts w:cs="Arial"/>
                <w:sz w:val="20"/>
                <w:szCs w:val="20"/>
              </w:rPr>
              <w:t>Indústria de transformação</w:t>
            </w:r>
          </w:p>
        </w:tc>
        <w:tc>
          <w:tcPr>
            <w:tcW w:w="758" w:type="pct"/>
            <w:tcBorders>
              <w:left w:val="single" w:sz="4" w:space="0" w:color="auto"/>
              <w:right w:val="single" w:sz="4" w:space="0" w:color="auto"/>
            </w:tcBorders>
            <w:vAlign w:val="center"/>
          </w:tcPr>
          <w:p w14:paraId="0E4B8EC5" w14:textId="77777777" w:rsidR="00AD14E2" w:rsidRPr="00D546D5" w:rsidRDefault="00AD14E2" w:rsidP="00B32D66">
            <w:pPr>
              <w:jc w:val="center"/>
              <w:rPr>
                <w:rFonts w:cs="Arial"/>
                <w:color w:val="000000" w:themeColor="text1"/>
                <w:sz w:val="20"/>
                <w:szCs w:val="20"/>
              </w:rPr>
            </w:pPr>
            <w:r w:rsidRPr="00D546D5">
              <w:rPr>
                <w:rFonts w:cs="Arial"/>
                <w:color w:val="FF0000"/>
                <w:sz w:val="20"/>
                <w:szCs w:val="20"/>
              </w:rPr>
              <w:t>(1,0)</w:t>
            </w:r>
          </w:p>
        </w:tc>
        <w:tc>
          <w:tcPr>
            <w:tcW w:w="529" w:type="pct"/>
            <w:tcBorders>
              <w:left w:val="single" w:sz="4" w:space="0" w:color="auto"/>
            </w:tcBorders>
            <w:vAlign w:val="center"/>
          </w:tcPr>
          <w:p w14:paraId="03B0E201"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6,4</w:t>
            </w:r>
          </w:p>
        </w:tc>
      </w:tr>
      <w:tr w:rsidR="00AD14E2" w:rsidRPr="00D546D5" w14:paraId="24841BCD" w14:textId="77777777" w:rsidTr="00B32D66">
        <w:trPr>
          <w:trHeight w:val="307"/>
        </w:trPr>
        <w:tc>
          <w:tcPr>
            <w:tcW w:w="3713" w:type="pct"/>
            <w:tcBorders>
              <w:right w:val="single" w:sz="4" w:space="0" w:color="auto"/>
            </w:tcBorders>
            <w:vAlign w:val="center"/>
          </w:tcPr>
          <w:p w14:paraId="73C05A24" w14:textId="77777777" w:rsidR="00AD14E2" w:rsidRPr="00D546D5" w:rsidRDefault="00AD14E2" w:rsidP="00AD14E2">
            <w:pPr>
              <w:ind w:left="73"/>
              <w:rPr>
                <w:rFonts w:cs="Arial"/>
                <w:sz w:val="20"/>
                <w:szCs w:val="20"/>
              </w:rPr>
            </w:pPr>
            <w:r w:rsidRPr="00D546D5">
              <w:rPr>
                <w:rFonts w:cs="Arial"/>
                <w:sz w:val="20"/>
                <w:szCs w:val="20"/>
              </w:rPr>
              <w:t>Fabricação de produtos alimentícios</w:t>
            </w:r>
          </w:p>
        </w:tc>
        <w:tc>
          <w:tcPr>
            <w:tcW w:w="758" w:type="pct"/>
            <w:tcBorders>
              <w:left w:val="single" w:sz="4" w:space="0" w:color="auto"/>
              <w:right w:val="single" w:sz="4" w:space="0" w:color="auto"/>
            </w:tcBorders>
            <w:vAlign w:val="center"/>
          </w:tcPr>
          <w:p w14:paraId="354F1E8D"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3,7</w:t>
            </w:r>
          </w:p>
        </w:tc>
        <w:tc>
          <w:tcPr>
            <w:tcW w:w="529" w:type="pct"/>
            <w:tcBorders>
              <w:left w:val="single" w:sz="4" w:space="0" w:color="auto"/>
            </w:tcBorders>
            <w:vAlign w:val="center"/>
          </w:tcPr>
          <w:p w14:paraId="3753CA49"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8,8</w:t>
            </w:r>
          </w:p>
        </w:tc>
      </w:tr>
      <w:tr w:rsidR="00AD14E2" w:rsidRPr="00D546D5" w14:paraId="3EBB9D42" w14:textId="77777777" w:rsidTr="00B32D66">
        <w:trPr>
          <w:trHeight w:val="307"/>
        </w:trPr>
        <w:tc>
          <w:tcPr>
            <w:tcW w:w="3713" w:type="pct"/>
            <w:tcBorders>
              <w:right w:val="single" w:sz="4" w:space="0" w:color="auto"/>
            </w:tcBorders>
            <w:vAlign w:val="center"/>
          </w:tcPr>
          <w:p w14:paraId="7B2B53AC" w14:textId="77777777" w:rsidR="00AD14E2" w:rsidRPr="00D546D5" w:rsidRDefault="00AD14E2" w:rsidP="00AD14E2">
            <w:pPr>
              <w:ind w:left="73"/>
              <w:rPr>
                <w:rFonts w:cs="Arial"/>
                <w:sz w:val="20"/>
                <w:szCs w:val="20"/>
              </w:rPr>
            </w:pPr>
            <w:r w:rsidRPr="00D546D5">
              <w:rPr>
                <w:rFonts w:cs="Arial"/>
                <w:sz w:val="20"/>
                <w:szCs w:val="20"/>
              </w:rPr>
              <w:t>Fabricação de bebidas</w:t>
            </w:r>
          </w:p>
        </w:tc>
        <w:tc>
          <w:tcPr>
            <w:tcW w:w="758" w:type="pct"/>
            <w:tcBorders>
              <w:left w:val="single" w:sz="4" w:space="0" w:color="auto"/>
              <w:right w:val="single" w:sz="4" w:space="0" w:color="auto"/>
            </w:tcBorders>
            <w:vAlign w:val="center"/>
          </w:tcPr>
          <w:p w14:paraId="4835E345"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0,9</w:t>
            </w:r>
          </w:p>
        </w:tc>
        <w:tc>
          <w:tcPr>
            <w:tcW w:w="529" w:type="pct"/>
            <w:tcBorders>
              <w:left w:val="single" w:sz="4" w:space="0" w:color="auto"/>
            </w:tcBorders>
            <w:vAlign w:val="center"/>
          </w:tcPr>
          <w:p w14:paraId="565CBC96"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0,9</w:t>
            </w:r>
          </w:p>
        </w:tc>
      </w:tr>
      <w:tr w:rsidR="00AD14E2" w:rsidRPr="00D546D5" w14:paraId="7261E8F6" w14:textId="77777777" w:rsidTr="00B32D66">
        <w:trPr>
          <w:trHeight w:val="307"/>
        </w:trPr>
        <w:tc>
          <w:tcPr>
            <w:tcW w:w="3713" w:type="pct"/>
            <w:tcBorders>
              <w:right w:val="single" w:sz="4" w:space="0" w:color="auto"/>
            </w:tcBorders>
            <w:vAlign w:val="center"/>
          </w:tcPr>
          <w:p w14:paraId="3E8CD3DB" w14:textId="77777777" w:rsidR="00AD14E2" w:rsidRPr="00D546D5" w:rsidRDefault="00AD14E2" w:rsidP="00AD14E2">
            <w:pPr>
              <w:ind w:left="73"/>
              <w:rPr>
                <w:rFonts w:cs="Arial"/>
                <w:sz w:val="20"/>
                <w:szCs w:val="20"/>
              </w:rPr>
            </w:pPr>
            <w:r w:rsidRPr="00D546D5">
              <w:rPr>
                <w:rFonts w:cs="Arial"/>
                <w:sz w:val="20"/>
                <w:szCs w:val="20"/>
              </w:rPr>
              <w:t>Confecção de artigos do vestuário e acessórios</w:t>
            </w:r>
          </w:p>
        </w:tc>
        <w:tc>
          <w:tcPr>
            <w:tcW w:w="758" w:type="pct"/>
            <w:tcBorders>
              <w:left w:val="single" w:sz="4" w:space="0" w:color="auto"/>
              <w:right w:val="single" w:sz="4" w:space="0" w:color="auto"/>
            </w:tcBorders>
            <w:vAlign w:val="center"/>
          </w:tcPr>
          <w:p w14:paraId="3BA83B18" w14:textId="77777777" w:rsidR="00AD14E2" w:rsidRPr="00D546D5" w:rsidRDefault="00AD14E2" w:rsidP="00B32D66">
            <w:pPr>
              <w:jc w:val="center"/>
              <w:rPr>
                <w:rFonts w:cs="Arial"/>
                <w:color w:val="FF0000"/>
                <w:sz w:val="20"/>
                <w:szCs w:val="20"/>
              </w:rPr>
            </w:pPr>
            <w:r w:rsidRPr="00D546D5">
              <w:rPr>
                <w:rFonts w:cs="Arial"/>
                <w:color w:val="FF0000"/>
                <w:sz w:val="20"/>
                <w:szCs w:val="20"/>
              </w:rPr>
              <w:t>(7,0)</w:t>
            </w:r>
          </w:p>
        </w:tc>
        <w:tc>
          <w:tcPr>
            <w:tcW w:w="529" w:type="pct"/>
            <w:tcBorders>
              <w:left w:val="single" w:sz="4" w:space="0" w:color="auto"/>
            </w:tcBorders>
            <w:vAlign w:val="center"/>
          </w:tcPr>
          <w:p w14:paraId="3FEFECF2" w14:textId="77777777" w:rsidR="00AD14E2" w:rsidRPr="00D546D5" w:rsidRDefault="00AD14E2" w:rsidP="00B32D66">
            <w:pPr>
              <w:jc w:val="center"/>
              <w:rPr>
                <w:rFonts w:cs="Arial"/>
                <w:color w:val="000000" w:themeColor="text1"/>
                <w:sz w:val="20"/>
                <w:szCs w:val="20"/>
              </w:rPr>
            </w:pPr>
            <w:r w:rsidRPr="00D546D5">
              <w:rPr>
                <w:rFonts w:cs="Arial"/>
                <w:color w:val="FF0000"/>
                <w:sz w:val="20"/>
                <w:szCs w:val="20"/>
              </w:rPr>
              <w:t>(0,5)</w:t>
            </w:r>
          </w:p>
        </w:tc>
      </w:tr>
      <w:tr w:rsidR="00AD14E2" w:rsidRPr="00D546D5" w14:paraId="4144EE10" w14:textId="77777777" w:rsidTr="00B32D66">
        <w:trPr>
          <w:trHeight w:val="307"/>
        </w:trPr>
        <w:tc>
          <w:tcPr>
            <w:tcW w:w="3713" w:type="pct"/>
            <w:tcBorders>
              <w:right w:val="single" w:sz="4" w:space="0" w:color="auto"/>
            </w:tcBorders>
            <w:vAlign w:val="center"/>
          </w:tcPr>
          <w:p w14:paraId="31331889" w14:textId="77777777" w:rsidR="00AD14E2" w:rsidRPr="00D546D5" w:rsidRDefault="00AD14E2" w:rsidP="00AD14E2">
            <w:pPr>
              <w:ind w:left="73"/>
              <w:rPr>
                <w:rFonts w:cs="Arial"/>
                <w:sz w:val="20"/>
                <w:szCs w:val="20"/>
              </w:rPr>
            </w:pPr>
            <w:r w:rsidRPr="00D546D5">
              <w:rPr>
                <w:rFonts w:cs="Arial"/>
                <w:sz w:val="20"/>
                <w:szCs w:val="20"/>
              </w:rPr>
              <w:t>Fabricação de celulose, papel e produtos de papel</w:t>
            </w:r>
          </w:p>
        </w:tc>
        <w:tc>
          <w:tcPr>
            <w:tcW w:w="758" w:type="pct"/>
            <w:tcBorders>
              <w:left w:val="single" w:sz="4" w:space="0" w:color="auto"/>
              <w:right w:val="single" w:sz="4" w:space="0" w:color="auto"/>
            </w:tcBorders>
            <w:vAlign w:val="center"/>
          </w:tcPr>
          <w:p w14:paraId="1040FA4B" w14:textId="77777777" w:rsidR="00AD14E2" w:rsidRPr="00D546D5" w:rsidRDefault="00AD14E2" w:rsidP="00B32D66">
            <w:pPr>
              <w:jc w:val="center"/>
              <w:rPr>
                <w:rFonts w:cs="Arial"/>
                <w:color w:val="FF0000"/>
                <w:sz w:val="20"/>
                <w:szCs w:val="20"/>
              </w:rPr>
            </w:pPr>
            <w:r w:rsidRPr="00D546D5">
              <w:rPr>
                <w:rFonts w:cs="Arial"/>
                <w:color w:val="FF0000"/>
                <w:sz w:val="20"/>
                <w:szCs w:val="20"/>
              </w:rPr>
              <w:t>(1,9)</w:t>
            </w:r>
          </w:p>
        </w:tc>
        <w:tc>
          <w:tcPr>
            <w:tcW w:w="529" w:type="pct"/>
            <w:tcBorders>
              <w:left w:val="single" w:sz="4" w:space="0" w:color="auto"/>
            </w:tcBorders>
            <w:vAlign w:val="center"/>
          </w:tcPr>
          <w:p w14:paraId="27CEBD67"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0,7</w:t>
            </w:r>
          </w:p>
        </w:tc>
      </w:tr>
      <w:tr w:rsidR="00AD14E2" w:rsidRPr="00D546D5" w14:paraId="4D2787EB" w14:textId="77777777" w:rsidTr="00B32D66">
        <w:trPr>
          <w:trHeight w:val="307"/>
        </w:trPr>
        <w:tc>
          <w:tcPr>
            <w:tcW w:w="3713" w:type="pct"/>
            <w:tcBorders>
              <w:right w:val="single" w:sz="4" w:space="0" w:color="auto"/>
            </w:tcBorders>
            <w:vAlign w:val="center"/>
          </w:tcPr>
          <w:p w14:paraId="0C6DA6E5" w14:textId="77777777" w:rsidR="00AD14E2" w:rsidRPr="00D546D5" w:rsidRDefault="00AD14E2" w:rsidP="00AD14E2">
            <w:pPr>
              <w:ind w:left="73"/>
              <w:rPr>
                <w:rFonts w:cs="Arial"/>
                <w:sz w:val="20"/>
                <w:szCs w:val="20"/>
              </w:rPr>
            </w:pPr>
            <w:r w:rsidRPr="00D546D5">
              <w:rPr>
                <w:rFonts w:cs="Arial"/>
                <w:sz w:val="20"/>
                <w:szCs w:val="20"/>
              </w:rPr>
              <w:t>Fabricação de coque, de produtos derivados do petróleo e de biocombustíveis</w:t>
            </w:r>
          </w:p>
        </w:tc>
        <w:tc>
          <w:tcPr>
            <w:tcW w:w="758" w:type="pct"/>
            <w:tcBorders>
              <w:left w:val="single" w:sz="4" w:space="0" w:color="auto"/>
              <w:right w:val="single" w:sz="4" w:space="0" w:color="auto"/>
            </w:tcBorders>
            <w:vAlign w:val="center"/>
          </w:tcPr>
          <w:p w14:paraId="65A852D1"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6,1</w:t>
            </w:r>
          </w:p>
        </w:tc>
        <w:tc>
          <w:tcPr>
            <w:tcW w:w="529" w:type="pct"/>
            <w:tcBorders>
              <w:left w:val="single" w:sz="4" w:space="0" w:color="auto"/>
            </w:tcBorders>
            <w:vAlign w:val="center"/>
          </w:tcPr>
          <w:p w14:paraId="057DFB8A"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2,7</w:t>
            </w:r>
          </w:p>
        </w:tc>
      </w:tr>
      <w:tr w:rsidR="00AD14E2" w:rsidRPr="00D546D5" w14:paraId="096E96C2" w14:textId="77777777" w:rsidTr="00B32D66">
        <w:trPr>
          <w:trHeight w:val="307"/>
        </w:trPr>
        <w:tc>
          <w:tcPr>
            <w:tcW w:w="3713" w:type="pct"/>
            <w:tcBorders>
              <w:right w:val="single" w:sz="4" w:space="0" w:color="auto"/>
            </w:tcBorders>
            <w:vAlign w:val="center"/>
          </w:tcPr>
          <w:p w14:paraId="0096115A" w14:textId="77777777" w:rsidR="00AD14E2" w:rsidRPr="00D546D5" w:rsidRDefault="00AD14E2" w:rsidP="00AD14E2">
            <w:pPr>
              <w:ind w:left="73"/>
              <w:rPr>
                <w:rFonts w:cs="Arial"/>
                <w:sz w:val="20"/>
                <w:szCs w:val="20"/>
              </w:rPr>
            </w:pPr>
            <w:r w:rsidRPr="00D546D5">
              <w:rPr>
                <w:rFonts w:cs="Arial"/>
                <w:sz w:val="20"/>
                <w:szCs w:val="20"/>
              </w:rPr>
              <w:t>Fabricação de produtos químicos</w:t>
            </w:r>
          </w:p>
        </w:tc>
        <w:tc>
          <w:tcPr>
            <w:tcW w:w="758" w:type="pct"/>
            <w:tcBorders>
              <w:left w:val="single" w:sz="4" w:space="0" w:color="auto"/>
              <w:right w:val="single" w:sz="4" w:space="0" w:color="auto"/>
            </w:tcBorders>
            <w:vAlign w:val="center"/>
          </w:tcPr>
          <w:p w14:paraId="1824480B" w14:textId="77777777" w:rsidR="00AD14E2" w:rsidRPr="00D546D5" w:rsidRDefault="00AD14E2" w:rsidP="00B32D66">
            <w:pPr>
              <w:jc w:val="center"/>
              <w:rPr>
                <w:rFonts w:cs="Arial"/>
                <w:color w:val="FF0000"/>
                <w:sz w:val="20"/>
                <w:szCs w:val="20"/>
              </w:rPr>
            </w:pPr>
            <w:r w:rsidRPr="00D546D5">
              <w:rPr>
                <w:rFonts w:cs="Arial"/>
                <w:color w:val="FF0000"/>
                <w:sz w:val="20"/>
                <w:szCs w:val="20"/>
              </w:rPr>
              <w:t>(5,9)</w:t>
            </w:r>
          </w:p>
        </w:tc>
        <w:tc>
          <w:tcPr>
            <w:tcW w:w="529" w:type="pct"/>
            <w:tcBorders>
              <w:left w:val="single" w:sz="4" w:space="0" w:color="auto"/>
            </w:tcBorders>
            <w:vAlign w:val="center"/>
          </w:tcPr>
          <w:p w14:paraId="42EC9721"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12,2</w:t>
            </w:r>
          </w:p>
        </w:tc>
      </w:tr>
      <w:tr w:rsidR="00AD14E2" w:rsidRPr="00D546D5" w14:paraId="312E611A" w14:textId="77777777" w:rsidTr="00B32D66">
        <w:trPr>
          <w:trHeight w:val="307"/>
        </w:trPr>
        <w:tc>
          <w:tcPr>
            <w:tcW w:w="3713" w:type="pct"/>
            <w:tcBorders>
              <w:right w:val="single" w:sz="4" w:space="0" w:color="auto"/>
            </w:tcBorders>
            <w:shd w:val="clear" w:color="auto" w:fill="auto"/>
            <w:vAlign w:val="center"/>
          </w:tcPr>
          <w:p w14:paraId="729A5076" w14:textId="77777777" w:rsidR="00AD14E2" w:rsidRPr="00D546D5" w:rsidRDefault="00AD14E2" w:rsidP="00AD14E2">
            <w:pPr>
              <w:ind w:left="73"/>
              <w:rPr>
                <w:rFonts w:cs="Arial"/>
                <w:sz w:val="20"/>
                <w:szCs w:val="20"/>
              </w:rPr>
            </w:pPr>
            <w:r w:rsidRPr="00D546D5">
              <w:rPr>
                <w:rFonts w:cs="Arial"/>
                <w:sz w:val="20"/>
                <w:szCs w:val="20"/>
              </w:rPr>
              <w:t>Fabricação de produtos farmoquímicos e farmacêuticos</w:t>
            </w:r>
          </w:p>
        </w:tc>
        <w:tc>
          <w:tcPr>
            <w:tcW w:w="758" w:type="pct"/>
            <w:tcBorders>
              <w:left w:val="single" w:sz="4" w:space="0" w:color="auto"/>
              <w:right w:val="single" w:sz="4" w:space="0" w:color="auto"/>
            </w:tcBorders>
            <w:shd w:val="clear" w:color="auto" w:fill="auto"/>
            <w:vAlign w:val="center"/>
          </w:tcPr>
          <w:p w14:paraId="250DC3B8" w14:textId="77777777" w:rsidR="00AD14E2" w:rsidRPr="00D546D5" w:rsidRDefault="00AD14E2" w:rsidP="00B32D66">
            <w:pPr>
              <w:jc w:val="center"/>
              <w:rPr>
                <w:rFonts w:cs="Arial"/>
                <w:color w:val="FF0000"/>
                <w:sz w:val="20"/>
                <w:szCs w:val="20"/>
              </w:rPr>
            </w:pPr>
            <w:r w:rsidRPr="00D546D5">
              <w:rPr>
                <w:rFonts w:cs="Arial"/>
                <w:color w:val="FF0000"/>
                <w:sz w:val="20"/>
                <w:szCs w:val="20"/>
              </w:rPr>
              <w:t>(0,8)</w:t>
            </w:r>
          </w:p>
        </w:tc>
        <w:tc>
          <w:tcPr>
            <w:tcW w:w="529" w:type="pct"/>
            <w:tcBorders>
              <w:left w:val="single" w:sz="4" w:space="0" w:color="auto"/>
            </w:tcBorders>
            <w:shd w:val="clear" w:color="auto" w:fill="FFFFFF"/>
            <w:vAlign w:val="center"/>
          </w:tcPr>
          <w:p w14:paraId="1C1A1F45"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2,8</w:t>
            </w:r>
          </w:p>
        </w:tc>
      </w:tr>
      <w:tr w:rsidR="00AD14E2" w:rsidRPr="00D546D5" w14:paraId="29301D7D" w14:textId="77777777" w:rsidTr="00B32D66">
        <w:trPr>
          <w:trHeight w:val="307"/>
        </w:trPr>
        <w:tc>
          <w:tcPr>
            <w:tcW w:w="3713" w:type="pct"/>
            <w:tcBorders>
              <w:right w:val="single" w:sz="4" w:space="0" w:color="auto"/>
            </w:tcBorders>
            <w:vAlign w:val="center"/>
          </w:tcPr>
          <w:p w14:paraId="5B4FDD6A" w14:textId="77777777" w:rsidR="00AD14E2" w:rsidRPr="00D546D5" w:rsidRDefault="00AD14E2" w:rsidP="00AD14E2">
            <w:pPr>
              <w:ind w:left="73"/>
              <w:rPr>
                <w:rFonts w:cs="Arial"/>
                <w:sz w:val="20"/>
                <w:szCs w:val="20"/>
              </w:rPr>
            </w:pPr>
            <w:r w:rsidRPr="00D546D5">
              <w:rPr>
                <w:rFonts w:cs="Arial"/>
                <w:sz w:val="20"/>
                <w:szCs w:val="20"/>
              </w:rPr>
              <w:t>Fabricação de produtos de minerais não metálicos</w:t>
            </w:r>
          </w:p>
        </w:tc>
        <w:tc>
          <w:tcPr>
            <w:tcW w:w="758" w:type="pct"/>
            <w:tcBorders>
              <w:left w:val="single" w:sz="4" w:space="0" w:color="auto"/>
              <w:right w:val="single" w:sz="4" w:space="0" w:color="auto"/>
            </w:tcBorders>
            <w:vAlign w:val="center"/>
          </w:tcPr>
          <w:p w14:paraId="21EE037A" w14:textId="77777777" w:rsidR="00AD14E2" w:rsidRPr="00D546D5" w:rsidRDefault="00AD14E2" w:rsidP="00B32D66">
            <w:pPr>
              <w:jc w:val="center"/>
              <w:rPr>
                <w:rFonts w:cs="Arial"/>
                <w:color w:val="FF0000"/>
                <w:sz w:val="20"/>
                <w:szCs w:val="20"/>
              </w:rPr>
            </w:pPr>
            <w:r w:rsidRPr="00D546D5">
              <w:rPr>
                <w:rFonts w:cs="Arial"/>
                <w:color w:val="FF0000"/>
                <w:sz w:val="20"/>
                <w:szCs w:val="20"/>
              </w:rPr>
              <w:t>(6,1)</w:t>
            </w:r>
          </w:p>
        </w:tc>
        <w:tc>
          <w:tcPr>
            <w:tcW w:w="529" w:type="pct"/>
            <w:tcBorders>
              <w:left w:val="single" w:sz="4" w:space="0" w:color="auto"/>
            </w:tcBorders>
            <w:vAlign w:val="center"/>
          </w:tcPr>
          <w:p w14:paraId="43081C3D"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6,8</w:t>
            </w:r>
          </w:p>
        </w:tc>
      </w:tr>
      <w:tr w:rsidR="00AD14E2" w:rsidRPr="00D546D5" w14:paraId="0EA01A14" w14:textId="77777777" w:rsidTr="00B32D66">
        <w:trPr>
          <w:trHeight w:val="307"/>
        </w:trPr>
        <w:tc>
          <w:tcPr>
            <w:tcW w:w="3713" w:type="pct"/>
            <w:tcBorders>
              <w:right w:val="single" w:sz="4" w:space="0" w:color="auto"/>
            </w:tcBorders>
            <w:vAlign w:val="center"/>
          </w:tcPr>
          <w:p w14:paraId="35E80945" w14:textId="77777777" w:rsidR="00AD14E2" w:rsidRPr="00D546D5" w:rsidRDefault="00AD14E2" w:rsidP="00AD14E2">
            <w:pPr>
              <w:ind w:left="73"/>
              <w:rPr>
                <w:rFonts w:cs="Arial"/>
                <w:sz w:val="20"/>
                <w:szCs w:val="20"/>
              </w:rPr>
            </w:pPr>
            <w:r w:rsidRPr="00D546D5">
              <w:rPr>
                <w:rFonts w:cs="Arial"/>
                <w:sz w:val="20"/>
                <w:szCs w:val="20"/>
              </w:rPr>
              <w:t>Metalurgia</w:t>
            </w:r>
          </w:p>
        </w:tc>
        <w:tc>
          <w:tcPr>
            <w:tcW w:w="758" w:type="pct"/>
            <w:tcBorders>
              <w:left w:val="single" w:sz="4" w:space="0" w:color="auto"/>
              <w:right w:val="single" w:sz="4" w:space="0" w:color="auto"/>
            </w:tcBorders>
            <w:vAlign w:val="center"/>
          </w:tcPr>
          <w:p w14:paraId="21B87323" w14:textId="77777777" w:rsidR="00AD14E2" w:rsidRPr="00D546D5" w:rsidRDefault="00AD14E2" w:rsidP="00B32D66">
            <w:pPr>
              <w:jc w:val="center"/>
              <w:rPr>
                <w:rFonts w:cs="Arial"/>
                <w:color w:val="FF0000"/>
                <w:sz w:val="20"/>
                <w:szCs w:val="20"/>
              </w:rPr>
            </w:pPr>
            <w:r w:rsidRPr="00D546D5">
              <w:rPr>
                <w:rFonts w:cs="Arial"/>
                <w:color w:val="FF0000"/>
                <w:sz w:val="20"/>
                <w:szCs w:val="20"/>
              </w:rPr>
              <w:t>(2,9)</w:t>
            </w:r>
          </w:p>
        </w:tc>
        <w:tc>
          <w:tcPr>
            <w:tcW w:w="529" w:type="pct"/>
            <w:tcBorders>
              <w:left w:val="single" w:sz="4" w:space="0" w:color="auto"/>
            </w:tcBorders>
            <w:vAlign w:val="center"/>
          </w:tcPr>
          <w:p w14:paraId="3C25BBBD"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16,7</w:t>
            </w:r>
          </w:p>
        </w:tc>
      </w:tr>
      <w:tr w:rsidR="00AD14E2" w:rsidRPr="00D546D5" w14:paraId="2E2B4630" w14:textId="77777777" w:rsidTr="00B32D66">
        <w:trPr>
          <w:trHeight w:val="307"/>
        </w:trPr>
        <w:tc>
          <w:tcPr>
            <w:tcW w:w="3713" w:type="pct"/>
            <w:tcBorders>
              <w:right w:val="single" w:sz="4" w:space="0" w:color="auto"/>
            </w:tcBorders>
            <w:vAlign w:val="center"/>
          </w:tcPr>
          <w:p w14:paraId="2F1531A1" w14:textId="77777777" w:rsidR="00AD14E2" w:rsidRPr="00D546D5" w:rsidRDefault="00AD14E2" w:rsidP="00AD14E2">
            <w:pPr>
              <w:ind w:left="73"/>
              <w:rPr>
                <w:rFonts w:cs="Arial"/>
                <w:sz w:val="20"/>
                <w:szCs w:val="20"/>
              </w:rPr>
            </w:pPr>
            <w:r w:rsidRPr="00D546D5">
              <w:rPr>
                <w:rFonts w:cs="Arial"/>
                <w:sz w:val="20"/>
                <w:szCs w:val="20"/>
              </w:rPr>
              <w:t>Fabricação de produtos de metal, exceto máquinas e equipamentos</w:t>
            </w:r>
          </w:p>
        </w:tc>
        <w:tc>
          <w:tcPr>
            <w:tcW w:w="758" w:type="pct"/>
            <w:tcBorders>
              <w:left w:val="single" w:sz="4" w:space="0" w:color="auto"/>
              <w:right w:val="single" w:sz="4" w:space="0" w:color="auto"/>
            </w:tcBorders>
            <w:vAlign w:val="center"/>
          </w:tcPr>
          <w:p w14:paraId="5B1DC873" w14:textId="77777777" w:rsidR="00AD14E2" w:rsidRPr="00D546D5" w:rsidRDefault="00AD14E2" w:rsidP="00B32D66">
            <w:pPr>
              <w:jc w:val="center"/>
              <w:rPr>
                <w:rFonts w:cs="Arial"/>
                <w:color w:val="FF0000"/>
                <w:sz w:val="20"/>
                <w:szCs w:val="20"/>
              </w:rPr>
            </w:pPr>
            <w:r w:rsidRPr="00D546D5">
              <w:rPr>
                <w:rFonts w:cs="Arial"/>
                <w:color w:val="FF0000"/>
                <w:sz w:val="20"/>
                <w:szCs w:val="20"/>
              </w:rPr>
              <w:t>(3,3)</w:t>
            </w:r>
          </w:p>
        </w:tc>
        <w:tc>
          <w:tcPr>
            <w:tcW w:w="529" w:type="pct"/>
            <w:tcBorders>
              <w:left w:val="single" w:sz="4" w:space="0" w:color="auto"/>
            </w:tcBorders>
            <w:vAlign w:val="center"/>
          </w:tcPr>
          <w:p w14:paraId="209FD140"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1,4</w:t>
            </w:r>
          </w:p>
        </w:tc>
      </w:tr>
      <w:tr w:rsidR="00AD14E2" w:rsidRPr="00D546D5" w14:paraId="788B01C3" w14:textId="77777777" w:rsidTr="00B32D66">
        <w:trPr>
          <w:trHeight w:val="307"/>
        </w:trPr>
        <w:tc>
          <w:tcPr>
            <w:tcW w:w="3713" w:type="pct"/>
            <w:tcBorders>
              <w:right w:val="single" w:sz="4" w:space="0" w:color="auto"/>
            </w:tcBorders>
            <w:vAlign w:val="center"/>
          </w:tcPr>
          <w:p w14:paraId="4D307348" w14:textId="77777777" w:rsidR="00AD14E2" w:rsidRPr="00D546D5" w:rsidRDefault="00AD14E2" w:rsidP="00AD14E2">
            <w:pPr>
              <w:ind w:left="73"/>
              <w:rPr>
                <w:rFonts w:cs="Arial"/>
                <w:sz w:val="20"/>
                <w:szCs w:val="20"/>
              </w:rPr>
            </w:pPr>
            <w:r w:rsidRPr="00D546D5">
              <w:rPr>
                <w:rFonts w:cs="Arial"/>
                <w:sz w:val="20"/>
                <w:szCs w:val="20"/>
              </w:rPr>
              <w:t>Fabricação de máquinas e equipamentos</w:t>
            </w:r>
          </w:p>
        </w:tc>
        <w:tc>
          <w:tcPr>
            <w:tcW w:w="758" w:type="pct"/>
            <w:tcBorders>
              <w:left w:val="single" w:sz="4" w:space="0" w:color="auto"/>
              <w:right w:val="single" w:sz="4" w:space="0" w:color="auto"/>
            </w:tcBorders>
            <w:vAlign w:val="center"/>
          </w:tcPr>
          <w:p w14:paraId="56C374CF" w14:textId="77777777" w:rsidR="00AD14E2" w:rsidRPr="00D546D5" w:rsidRDefault="00AD14E2" w:rsidP="00B32D66">
            <w:pPr>
              <w:jc w:val="center"/>
              <w:rPr>
                <w:rFonts w:cs="Arial"/>
                <w:color w:val="FF0000"/>
                <w:sz w:val="20"/>
                <w:szCs w:val="20"/>
              </w:rPr>
            </w:pPr>
            <w:r w:rsidRPr="00D546D5">
              <w:rPr>
                <w:rFonts w:cs="Arial"/>
                <w:color w:val="FF0000"/>
                <w:sz w:val="20"/>
                <w:szCs w:val="20"/>
              </w:rPr>
              <w:t>(7,2)</w:t>
            </w:r>
          </w:p>
        </w:tc>
        <w:tc>
          <w:tcPr>
            <w:tcW w:w="529" w:type="pct"/>
            <w:tcBorders>
              <w:left w:val="single" w:sz="4" w:space="0" w:color="auto"/>
            </w:tcBorders>
            <w:vAlign w:val="center"/>
          </w:tcPr>
          <w:p w14:paraId="2365195E" w14:textId="77777777" w:rsidR="00AD14E2" w:rsidRPr="00D546D5" w:rsidRDefault="00AD14E2" w:rsidP="00B32D66">
            <w:pPr>
              <w:jc w:val="center"/>
              <w:rPr>
                <w:rFonts w:cs="Arial"/>
                <w:color w:val="FF0000"/>
                <w:sz w:val="20"/>
                <w:szCs w:val="20"/>
              </w:rPr>
            </w:pPr>
            <w:r w:rsidRPr="00D546D5">
              <w:rPr>
                <w:rFonts w:cs="Arial"/>
                <w:color w:val="FF0000"/>
                <w:sz w:val="20"/>
                <w:szCs w:val="20"/>
              </w:rPr>
              <w:t>(17,7)</w:t>
            </w:r>
          </w:p>
        </w:tc>
      </w:tr>
      <w:tr w:rsidR="00AD14E2" w:rsidRPr="00D546D5" w14:paraId="20376946" w14:textId="77777777" w:rsidTr="00B32D66">
        <w:trPr>
          <w:trHeight w:val="307"/>
        </w:trPr>
        <w:tc>
          <w:tcPr>
            <w:tcW w:w="3713" w:type="pct"/>
            <w:tcBorders>
              <w:bottom w:val="single" w:sz="4" w:space="0" w:color="auto"/>
              <w:right w:val="single" w:sz="4" w:space="0" w:color="auto"/>
            </w:tcBorders>
            <w:vAlign w:val="center"/>
          </w:tcPr>
          <w:p w14:paraId="07CF9526" w14:textId="77777777" w:rsidR="00AD14E2" w:rsidRPr="00D546D5" w:rsidRDefault="00AD14E2" w:rsidP="00AD14E2">
            <w:pPr>
              <w:ind w:left="73"/>
              <w:rPr>
                <w:rFonts w:cs="Arial"/>
                <w:sz w:val="20"/>
                <w:szCs w:val="20"/>
              </w:rPr>
            </w:pPr>
            <w:r w:rsidRPr="00D546D5">
              <w:rPr>
                <w:rFonts w:cs="Arial"/>
                <w:sz w:val="20"/>
                <w:szCs w:val="20"/>
              </w:rPr>
              <w:t>Fabricação de veículos automotores, reboques e carrocerias</w:t>
            </w:r>
          </w:p>
        </w:tc>
        <w:tc>
          <w:tcPr>
            <w:tcW w:w="758" w:type="pct"/>
            <w:tcBorders>
              <w:left w:val="single" w:sz="4" w:space="0" w:color="auto"/>
              <w:bottom w:val="single" w:sz="4" w:space="0" w:color="auto"/>
              <w:right w:val="single" w:sz="4" w:space="0" w:color="auto"/>
            </w:tcBorders>
            <w:vAlign w:val="center"/>
          </w:tcPr>
          <w:p w14:paraId="4199774C" w14:textId="77777777" w:rsidR="00AD14E2" w:rsidRPr="00D546D5" w:rsidRDefault="00AD14E2" w:rsidP="00B32D66">
            <w:pPr>
              <w:jc w:val="center"/>
              <w:rPr>
                <w:rFonts w:cs="Arial"/>
                <w:color w:val="FF0000"/>
                <w:sz w:val="20"/>
                <w:szCs w:val="20"/>
              </w:rPr>
            </w:pPr>
            <w:r w:rsidRPr="00D546D5">
              <w:rPr>
                <w:rFonts w:cs="Arial"/>
                <w:color w:val="FF0000"/>
                <w:sz w:val="20"/>
                <w:szCs w:val="20"/>
              </w:rPr>
              <w:t>(7,1)</w:t>
            </w:r>
          </w:p>
        </w:tc>
        <w:tc>
          <w:tcPr>
            <w:tcW w:w="529" w:type="pct"/>
            <w:tcBorders>
              <w:left w:val="single" w:sz="4" w:space="0" w:color="auto"/>
              <w:bottom w:val="single" w:sz="4" w:space="0" w:color="auto"/>
            </w:tcBorders>
            <w:vAlign w:val="center"/>
          </w:tcPr>
          <w:p w14:paraId="378263B2" w14:textId="77777777" w:rsidR="00AD14E2" w:rsidRPr="00D546D5" w:rsidRDefault="00AD14E2" w:rsidP="00B32D66">
            <w:pPr>
              <w:jc w:val="center"/>
              <w:rPr>
                <w:rFonts w:cs="Arial"/>
                <w:color w:val="FF0000"/>
                <w:sz w:val="20"/>
                <w:szCs w:val="20"/>
              </w:rPr>
            </w:pPr>
            <w:r w:rsidRPr="00D546D5">
              <w:rPr>
                <w:rFonts w:cs="Arial"/>
                <w:color w:val="FF0000"/>
                <w:sz w:val="20"/>
                <w:szCs w:val="20"/>
              </w:rPr>
              <w:t>(6,4)</w:t>
            </w:r>
          </w:p>
        </w:tc>
      </w:tr>
    </w:tbl>
    <w:p w14:paraId="16D8F434" w14:textId="77777777" w:rsidR="00AD14E2" w:rsidRPr="003C3477" w:rsidRDefault="00AD14E2" w:rsidP="00EF01A1">
      <w:pPr>
        <w:pStyle w:val="1-FONTE8ESQ"/>
      </w:pPr>
      <w:r w:rsidRPr="003C3477">
        <w:t>Fonte: Pesquisa Industrial Mensal (PIM) - IBGE</w:t>
      </w:r>
    </w:p>
    <w:p w14:paraId="1C1D2BF6" w14:textId="435D9E5A" w:rsidR="00AD14E2" w:rsidRPr="003C3477" w:rsidRDefault="00AD14E2" w:rsidP="00EF01A1">
      <w:pPr>
        <w:pStyle w:val="1-FONTE8ESQ"/>
      </w:pPr>
      <w:r w:rsidRPr="003C3477">
        <w:t xml:space="preserve">Elaboração: </w:t>
      </w:r>
      <w:r w:rsidR="008C2E09" w:rsidRPr="00F35525">
        <w:t>IMB</w:t>
      </w:r>
      <w:r w:rsidRPr="003C3477">
        <w:t>/</w:t>
      </w:r>
      <w:r w:rsidR="008C2E09">
        <w:t>SGG</w:t>
      </w:r>
      <w:r w:rsidRPr="003C3477">
        <w:t xml:space="preserve"> – 2024</w:t>
      </w:r>
    </w:p>
    <w:p w14:paraId="36982A51" w14:textId="77777777" w:rsidR="00AD14E2" w:rsidRDefault="00AD14E2" w:rsidP="00AD14E2">
      <w:pPr>
        <w:pStyle w:val="1-REL11"/>
        <w:rPr>
          <w:highlight w:val="lightGray"/>
        </w:rPr>
      </w:pPr>
      <w:r w:rsidRPr="00F35525">
        <w:t>Conforme apontamentos do IMB, no ano de 2023 o setor de Serviços goiano cresceu 2,2%. Os</w:t>
      </w:r>
      <w:r>
        <w:t xml:space="preserve"> serviços de informação e comunicação e os serviços de transportes, serviços auxiliares aos transportes e correios tiveram os maiores crescimentos anuais, com taxas de 11,4% e 9,8%, respectivamente.</w:t>
      </w:r>
    </w:p>
    <w:p w14:paraId="069C3C1F" w14:textId="77777777" w:rsidR="00AD14E2" w:rsidRPr="00081459" w:rsidRDefault="00AD14E2" w:rsidP="00AD14E2">
      <w:pPr>
        <w:pStyle w:val="1-REL11"/>
      </w:pPr>
      <w:r w:rsidRPr="00081459">
        <w:lastRenderedPageBreak/>
        <w:t>Os dados apurados pelo IBGE, através da Pesquisa Mensal de Serviços, mostrou uma taxa acumulada de 1,7% para o ramo de turismo em Goiás e de 6,9% para o Brasil.</w:t>
      </w:r>
    </w:p>
    <w:p w14:paraId="1535A9D9" w14:textId="00C5397D" w:rsidR="00AD14E2" w:rsidRDefault="00AD14E2" w:rsidP="00ED3571">
      <w:pPr>
        <w:pStyle w:val="0-TABELA"/>
      </w:pPr>
      <w:bookmarkStart w:id="17" w:name="_Toc167871715"/>
      <w:r w:rsidRPr="00081459">
        <w:t xml:space="preserve">Variação do Volume de Serviços por </w:t>
      </w:r>
      <w:r>
        <w:t>A</w:t>
      </w:r>
      <w:r w:rsidRPr="00081459">
        <w:t>tividades</w:t>
      </w:r>
      <w:bookmarkEnd w:id="17"/>
    </w:p>
    <w:p w14:paraId="226D8B63" w14:textId="77777777" w:rsidR="00AD14E2" w:rsidRPr="00081459" w:rsidRDefault="00AD14E2" w:rsidP="00AD14E2">
      <w:pPr>
        <w:pStyle w:val="0-EmR1"/>
        <w:rPr>
          <w:lang w:eastAsia="en-US"/>
        </w:rPr>
      </w:pPr>
      <w:r w:rsidRPr="00081459">
        <w:rPr>
          <w:lang w:eastAsia="en-US"/>
        </w:rPr>
        <w:t>%</w:t>
      </w:r>
    </w:p>
    <w:tbl>
      <w:tblPr>
        <w:tblW w:w="5000" w:type="pct"/>
        <w:tblBorders>
          <w:top w:val="single" w:sz="4" w:space="0" w:color="auto"/>
          <w:bottom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945"/>
        <w:gridCol w:w="1276"/>
        <w:gridCol w:w="1132"/>
      </w:tblGrid>
      <w:tr w:rsidR="00AD14E2" w:rsidRPr="00D546D5" w14:paraId="5B9087F9" w14:textId="77777777" w:rsidTr="00B32D66">
        <w:trPr>
          <w:trHeight w:val="307"/>
          <w:tblHeader/>
        </w:trPr>
        <w:tc>
          <w:tcPr>
            <w:tcW w:w="3713" w:type="pct"/>
            <w:vMerge w:val="restart"/>
            <w:shd w:val="clear" w:color="auto" w:fill="A1F2FD"/>
            <w:vAlign w:val="center"/>
          </w:tcPr>
          <w:p w14:paraId="5F890A3D" w14:textId="77777777" w:rsidR="00AD14E2" w:rsidRPr="00D546D5" w:rsidRDefault="00AD14E2" w:rsidP="00B32D66">
            <w:pPr>
              <w:jc w:val="center"/>
              <w:rPr>
                <w:rFonts w:cs="Arial"/>
                <w:b/>
                <w:sz w:val="20"/>
                <w:szCs w:val="20"/>
              </w:rPr>
            </w:pPr>
            <w:r w:rsidRPr="00D546D5">
              <w:rPr>
                <w:rFonts w:cs="Arial"/>
                <w:b/>
                <w:sz w:val="20"/>
                <w:szCs w:val="20"/>
              </w:rPr>
              <w:t>Atividades de Serviços</w:t>
            </w:r>
          </w:p>
        </w:tc>
        <w:tc>
          <w:tcPr>
            <w:tcW w:w="1287" w:type="pct"/>
            <w:gridSpan w:val="2"/>
            <w:shd w:val="clear" w:color="auto" w:fill="A1F2FD"/>
            <w:vAlign w:val="center"/>
          </w:tcPr>
          <w:p w14:paraId="275AA59F" w14:textId="77777777" w:rsidR="00AD14E2" w:rsidRPr="00D546D5" w:rsidRDefault="00AD14E2" w:rsidP="00B32D66">
            <w:pPr>
              <w:jc w:val="center"/>
              <w:rPr>
                <w:rFonts w:cs="Arial"/>
                <w:b/>
                <w:sz w:val="20"/>
                <w:szCs w:val="20"/>
              </w:rPr>
            </w:pPr>
            <w:r w:rsidRPr="00D546D5">
              <w:rPr>
                <w:rFonts w:cs="Arial"/>
                <w:b/>
                <w:sz w:val="20"/>
                <w:szCs w:val="20"/>
              </w:rPr>
              <w:t>Variação (%)</w:t>
            </w:r>
          </w:p>
        </w:tc>
      </w:tr>
      <w:tr w:rsidR="00AD14E2" w:rsidRPr="00D546D5" w14:paraId="4FB7AEFD" w14:textId="77777777" w:rsidTr="00B32D66">
        <w:trPr>
          <w:trHeight w:val="307"/>
          <w:tblHeader/>
        </w:trPr>
        <w:tc>
          <w:tcPr>
            <w:tcW w:w="3713" w:type="pct"/>
            <w:vMerge/>
            <w:tcBorders>
              <w:bottom w:val="single" w:sz="4" w:space="0" w:color="auto"/>
            </w:tcBorders>
            <w:shd w:val="clear" w:color="auto" w:fill="A1F2FD"/>
            <w:vAlign w:val="center"/>
          </w:tcPr>
          <w:p w14:paraId="52BD32AC" w14:textId="77777777" w:rsidR="00AD14E2" w:rsidRPr="00D546D5" w:rsidRDefault="00AD14E2" w:rsidP="00B32D66">
            <w:pPr>
              <w:jc w:val="center"/>
              <w:rPr>
                <w:rFonts w:cs="Arial"/>
                <w:b/>
                <w:sz w:val="20"/>
                <w:szCs w:val="20"/>
              </w:rPr>
            </w:pPr>
          </w:p>
        </w:tc>
        <w:tc>
          <w:tcPr>
            <w:tcW w:w="682" w:type="pct"/>
            <w:tcBorders>
              <w:bottom w:val="single" w:sz="4" w:space="0" w:color="auto"/>
            </w:tcBorders>
            <w:shd w:val="clear" w:color="auto" w:fill="A1F2FD"/>
            <w:vAlign w:val="center"/>
          </w:tcPr>
          <w:p w14:paraId="3F4DDACF" w14:textId="77777777" w:rsidR="00AD14E2" w:rsidRPr="00D546D5" w:rsidRDefault="00AD14E2" w:rsidP="00B32D66">
            <w:pPr>
              <w:jc w:val="center"/>
              <w:rPr>
                <w:rFonts w:cs="Arial"/>
                <w:b/>
                <w:sz w:val="20"/>
                <w:szCs w:val="20"/>
              </w:rPr>
            </w:pPr>
            <w:r w:rsidRPr="00D546D5">
              <w:rPr>
                <w:rFonts w:cs="Arial"/>
                <w:b/>
                <w:sz w:val="20"/>
                <w:szCs w:val="20"/>
              </w:rPr>
              <w:t>Brasil</w:t>
            </w:r>
          </w:p>
        </w:tc>
        <w:tc>
          <w:tcPr>
            <w:tcW w:w="605" w:type="pct"/>
            <w:tcBorders>
              <w:bottom w:val="single" w:sz="4" w:space="0" w:color="auto"/>
            </w:tcBorders>
            <w:shd w:val="clear" w:color="auto" w:fill="A1F2FD"/>
            <w:vAlign w:val="center"/>
          </w:tcPr>
          <w:p w14:paraId="28D00760" w14:textId="77777777" w:rsidR="00AD14E2" w:rsidRPr="00D546D5" w:rsidRDefault="00AD14E2" w:rsidP="00B32D66">
            <w:pPr>
              <w:jc w:val="center"/>
              <w:rPr>
                <w:rFonts w:cs="Arial"/>
                <w:b/>
                <w:sz w:val="20"/>
                <w:szCs w:val="20"/>
              </w:rPr>
            </w:pPr>
            <w:r w:rsidRPr="00D546D5">
              <w:rPr>
                <w:rFonts w:cs="Arial"/>
                <w:b/>
                <w:sz w:val="20"/>
                <w:szCs w:val="20"/>
              </w:rPr>
              <w:t>Goiás</w:t>
            </w:r>
          </w:p>
        </w:tc>
      </w:tr>
      <w:tr w:rsidR="00AD14E2" w:rsidRPr="00D546D5" w14:paraId="15C35C56" w14:textId="77777777" w:rsidTr="00B32D66">
        <w:trPr>
          <w:trHeight w:val="307"/>
        </w:trPr>
        <w:tc>
          <w:tcPr>
            <w:tcW w:w="3713" w:type="pct"/>
            <w:tcBorders>
              <w:top w:val="single" w:sz="4" w:space="0" w:color="auto"/>
              <w:bottom w:val="nil"/>
            </w:tcBorders>
            <w:vAlign w:val="center"/>
          </w:tcPr>
          <w:p w14:paraId="54C0F3D4" w14:textId="77777777" w:rsidR="00AD14E2" w:rsidRPr="00D546D5" w:rsidRDefault="00AD14E2" w:rsidP="00191840">
            <w:pPr>
              <w:ind w:left="72"/>
              <w:rPr>
                <w:rFonts w:cs="Arial"/>
                <w:sz w:val="20"/>
                <w:szCs w:val="20"/>
              </w:rPr>
            </w:pPr>
            <w:r w:rsidRPr="00D546D5">
              <w:rPr>
                <w:rFonts w:cs="Arial"/>
                <w:sz w:val="20"/>
                <w:szCs w:val="20"/>
              </w:rPr>
              <w:t>Serviços prestados às famílias</w:t>
            </w:r>
          </w:p>
        </w:tc>
        <w:tc>
          <w:tcPr>
            <w:tcW w:w="682" w:type="pct"/>
            <w:tcBorders>
              <w:top w:val="single" w:sz="4" w:space="0" w:color="auto"/>
              <w:bottom w:val="nil"/>
            </w:tcBorders>
            <w:vAlign w:val="center"/>
          </w:tcPr>
          <w:p w14:paraId="0956F6A4" w14:textId="7C77A73E"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4,7</w:t>
            </w:r>
            <w:r w:rsidR="007B02A1">
              <w:rPr>
                <w:rFonts w:cs="Arial"/>
                <w:color w:val="000000" w:themeColor="text1"/>
                <w:sz w:val="20"/>
                <w:szCs w:val="20"/>
              </w:rPr>
              <w:t>0</w:t>
            </w:r>
          </w:p>
        </w:tc>
        <w:tc>
          <w:tcPr>
            <w:tcW w:w="605" w:type="pct"/>
            <w:tcBorders>
              <w:top w:val="single" w:sz="4" w:space="0" w:color="auto"/>
              <w:bottom w:val="nil"/>
            </w:tcBorders>
            <w:vAlign w:val="center"/>
          </w:tcPr>
          <w:p w14:paraId="6840B742" w14:textId="44DB63CC"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0,5</w:t>
            </w:r>
            <w:r w:rsidR="007B02A1">
              <w:rPr>
                <w:rFonts w:cs="Arial"/>
                <w:color w:val="000000" w:themeColor="text1"/>
                <w:sz w:val="20"/>
                <w:szCs w:val="20"/>
              </w:rPr>
              <w:t>0</w:t>
            </w:r>
          </w:p>
        </w:tc>
      </w:tr>
      <w:tr w:rsidR="00AD14E2" w:rsidRPr="00D546D5" w14:paraId="5100A43C" w14:textId="77777777" w:rsidTr="00B32D66">
        <w:trPr>
          <w:trHeight w:val="307"/>
        </w:trPr>
        <w:tc>
          <w:tcPr>
            <w:tcW w:w="3713" w:type="pct"/>
            <w:tcBorders>
              <w:top w:val="nil"/>
              <w:bottom w:val="nil"/>
            </w:tcBorders>
            <w:vAlign w:val="center"/>
          </w:tcPr>
          <w:p w14:paraId="02B9FE4D" w14:textId="77777777" w:rsidR="00AD14E2" w:rsidRPr="00D546D5" w:rsidRDefault="00AD14E2" w:rsidP="00191840">
            <w:pPr>
              <w:ind w:left="72"/>
              <w:rPr>
                <w:rFonts w:cs="Arial"/>
                <w:sz w:val="20"/>
                <w:szCs w:val="20"/>
              </w:rPr>
            </w:pPr>
            <w:r w:rsidRPr="00D546D5">
              <w:rPr>
                <w:rFonts w:cs="Arial"/>
                <w:sz w:val="20"/>
                <w:szCs w:val="20"/>
              </w:rPr>
              <w:t>Serviços de informação e comunicação</w:t>
            </w:r>
          </w:p>
        </w:tc>
        <w:tc>
          <w:tcPr>
            <w:tcW w:w="682" w:type="pct"/>
            <w:tcBorders>
              <w:top w:val="nil"/>
              <w:bottom w:val="nil"/>
            </w:tcBorders>
            <w:vAlign w:val="center"/>
          </w:tcPr>
          <w:p w14:paraId="345D8626" w14:textId="0A7AA473"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3,4</w:t>
            </w:r>
            <w:r w:rsidR="007B02A1">
              <w:rPr>
                <w:rFonts w:cs="Arial"/>
                <w:color w:val="000000" w:themeColor="text1"/>
                <w:sz w:val="20"/>
                <w:szCs w:val="20"/>
              </w:rPr>
              <w:t>0</w:t>
            </w:r>
          </w:p>
        </w:tc>
        <w:tc>
          <w:tcPr>
            <w:tcW w:w="605" w:type="pct"/>
            <w:tcBorders>
              <w:top w:val="nil"/>
              <w:bottom w:val="nil"/>
            </w:tcBorders>
            <w:vAlign w:val="center"/>
          </w:tcPr>
          <w:p w14:paraId="02F01FCD" w14:textId="6D3C996F"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11,4</w:t>
            </w:r>
            <w:r w:rsidR="007B02A1">
              <w:rPr>
                <w:rFonts w:cs="Arial"/>
                <w:color w:val="000000" w:themeColor="text1"/>
                <w:sz w:val="20"/>
                <w:szCs w:val="20"/>
              </w:rPr>
              <w:t>0</w:t>
            </w:r>
          </w:p>
        </w:tc>
      </w:tr>
      <w:tr w:rsidR="00AD14E2" w:rsidRPr="00D546D5" w14:paraId="32BF96C1" w14:textId="77777777" w:rsidTr="00B32D66">
        <w:trPr>
          <w:trHeight w:val="307"/>
        </w:trPr>
        <w:tc>
          <w:tcPr>
            <w:tcW w:w="3713" w:type="pct"/>
            <w:tcBorders>
              <w:top w:val="nil"/>
              <w:bottom w:val="nil"/>
            </w:tcBorders>
            <w:vAlign w:val="center"/>
          </w:tcPr>
          <w:p w14:paraId="20A96473" w14:textId="77777777" w:rsidR="00AD14E2" w:rsidRPr="00D546D5" w:rsidRDefault="00AD14E2" w:rsidP="00191840">
            <w:pPr>
              <w:ind w:left="72"/>
              <w:rPr>
                <w:rFonts w:cs="Arial"/>
                <w:sz w:val="20"/>
                <w:szCs w:val="20"/>
              </w:rPr>
            </w:pPr>
            <w:r w:rsidRPr="00D546D5">
              <w:rPr>
                <w:rFonts w:cs="Arial"/>
                <w:sz w:val="20"/>
                <w:szCs w:val="20"/>
              </w:rPr>
              <w:t>Serviços profissionais, administrativos e complementares</w:t>
            </w:r>
          </w:p>
        </w:tc>
        <w:tc>
          <w:tcPr>
            <w:tcW w:w="682" w:type="pct"/>
            <w:tcBorders>
              <w:top w:val="nil"/>
              <w:bottom w:val="nil"/>
            </w:tcBorders>
            <w:vAlign w:val="center"/>
          </w:tcPr>
          <w:p w14:paraId="1D7F414F" w14:textId="653D75B6"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3,7</w:t>
            </w:r>
            <w:r w:rsidR="007B02A1">
              <w:rPr>
                <w:rFonts w:cs="Arial"/>
                <w:color w:val="000000" w:themeColor="text1"/>
                <w:sz w:val="20"/>
                <w:szCs w:val="20"/>
              </w:rPr>
              <w:t>0</w:t>
            </w:r>
          </w:p>
        </w:tc>
        <w:tc>
          <w:tcPr>
            <w:tcW w:w="605" w:type="pct"/>
            <w:tcBorders>
              <w:top w:val="nil"/>
              <w:bottom w:val="nil"/>
            </w:tcBorders>
            <w:vAlign w:val="center"/>
          </w:tcPr>
          <w:p w14:paraId="35F929A6" w14:textId="3DC9096F" w:rsidR="00AD14E2" w:rsidRPr="00D546D5" w:rsidRDefault="00AD14E2" w:rsidP="00B32D66">
            <w:pPr>
              <w:jc w:val="center"/>
              <w:rPr>
                <w:rFonts w:cs="Arial"/>
                <w:color w:val="000000" w:themeColor="text1"/>
                <w:sz w:val="20"/>
                <w:szCs w:val="20"/>
              </w:rPr>
            </w:pPr>
            <w:r w:rsidRPr="00D546D5">
              <w:rPr>
                <w:rFonts w:cs="Arial"/>
                <w:color w:val="FF0000"/>
                <w:sz w:val="20"/>
                <w:szCs w:val="20"/>
              </w:rPr>
              <w:t>(1,0</w:t>
            </w:r>
            <w:r w:rsidR="007B02A1">
              <w:rPr>
                <w:rFonts w:cs="Arial"/>
                <w:color w:val="FF0000"/>
                <w:sz w:val="20"/>
                <w:szCs w:val="20"/>
              </w:rPr>
              <w:t>0</w:t>
            </w:r>
            <w:r w:rsidRPr="00D546D5">
              <w:rPr>
                <w:rFonts w:cs="Arial"/>
                <w:color w:val="FF0000"/>
                <w:sz w:val="20"/>
                <w:szCs w:val="20"/>
              </w:rPr>
              <w:t>)</w:t>
            </w:r>
          </w:p>
        </w:tc>
      </w:tr>
      <w:tr w:rsidR="00AD14E2" w:rsidRPr="00D546D5" w14:paraId="3091C573" w14:textId="77777777" w:rsidTr="00B32D66">
        <w:trPr>
          <w:trHeight w:val="307"/>
        </w:trPr>
        <w:tc>
          <w:tcPr>
            <w:tcW w:w="3713" w:type="pct"/>
            <w:tcBorders>
              <w:top w:val="nil"/>
              <w:bottom w:val="nil"/>
            </w:tcBorders>
            <w:vAlign w:val="center"/>
          </w:tcPr>
          <w:p w14:paraId="7B072E98" w14:textId="77777777" w:rsidR="00AD14E2" w:rsidRPr="00D546D5" w:rsidRDefault="00AD14E2" w:rsidP="00191840">
            <w:pPr>
              <w:ind w:left="72"/>
              <w:rPr>
                <w:rFonts w:cs="Arial"/>
                <w:sz w:val="20"/>
                <w:szCs w:val="20"/>
              </w:rPr>
            </w:pPr>
            <w:r w:rsidRPr="00D546D5">
              <w:rPr>
                <w:rFonts w:cs="Arial"/>
                <w:sz w:val="20"/>
                <w:szCs w:val="20"/>
              </w:rPr>
              <w:t>Transportes, serviços auxiliares aos transportes e correio</w:t>
            </w:r>
          </w:p>
        </w:tc>
        <w:tc>
          <w:tcPr>
            <w:tcW w:w="682" w:type="pct"/>
            <w:tcBorders>
              <w:top w:val="nil"/>
              <w:bottom w:val="nil"/>
            </w:tcBorders>
            <w:vAlign w:val="center"/>
          </w:tcPr>
          <w:p w14:paraId="5D937E2B" w14:textId="18EF946E"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1,5</w:t>
            </w:r>
            <w:r w:rsidR="007B02A1">
              <w:rPr>
                <w:rFonts w:cs="Arial"/>
                <w:color w:val="000000" w:themeColor="text1"/>
                <w:sz w:val="20"/>
                <w:szCs w:val="20"/>
              </w:rPr>
              <w:t>0</w:t>
            </w:r>
          </w:p>
        </w:tc>
        <w:tc>
          <w:tcPr>
            <w:tcW w:w="605" w:type="pct"/>
            <w:tcBorders>
              <w:top w:val="nil"/>
              <w:bottom w:val="nil"/>
            </w:tcBorders>
            <w:vAlign w:val="center"/>
          </w:tcPr>
          <w:p w14:paraId="7E5C28AF" w14:textId="02D0460C"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9,8</w:t>
            </w:r>
            <w:r w:rsidR="007B02A1">
              <w:rPr>
                <w:rFonts w:cs="Arial"/>
                <w:color w:val="000000" w:themeColor="text1"/>
                <w:sz w:val="20"/>
                <w:szCs w:val="20"/>
              </w:rPr>
              <w:t>0</w:t>
            </w:r>
          </w:p>
        </w:tc>
      </w:tr>
      <w:tr w:rsidR="00AD14E2" w:rsidRPr="00D546D5" w14:paraId="7573CC3E" w14:textId="77777777" w:rsidTr="00B32D66">
        <w:trPr>
          <w:trHeight w:val="307"/>
        </w:trPr>
        <w:tc>
          <w:tcPr>
            <w:tcW w:w="3713" w:type="pct"/>
            <w:tcBorders>
              <w:top w:val="nil"/>
              <w:bottom w:val="nil"/>
            </w:tcBorders>
            <w:vAlign w:val="center"/>
          </w:tcPr>
          <w:p w14:paraId="63509AA0" w14:textId="77777777" w:rsidR="00AD14E2" w:rsidRPr="00D546D5" w:rsidRDefault="00AD14E2" w:rsidP="00191840">
            <w:pPr>
              <w:ind w:left="72"/>
              <w:rPr>
                <w:rFonts w:cs="Arial"/>
                <w:sz w:val="20"/>
                <w:szCs w:val="20"/>
              </w:rPr>
            </w:pPr>
            <w:r w:rsidRPr="00D546D5">
              <w:rPr>
                <w:rFonts w:cs="Arial"/>
                <w:sz w:val="20"/>
                <w:szCs w:val="20"/>
              </w:rPr>
              <w:t>Outros serviços</w:t>
            </w:r>
          </w:p>
        </w:tc>
        <w:tc>
          <w:tcPr>
            <w:tcW w:w="682" w:type="pct"/>
            <w:tcBorders>
              <w:top w:val="nil"/>
              <w:bottom w:val="nil"/>
            </w:tcBorders>
            <w:vAlign w:val="center"/>
          </w:tcPr>
          <w:p w14:paraId="2648E1C4" w14:textId="25089CF2" w:rsidR="00AD14E2" w:rsidRPr="00D546D5" w:rsidRDefault="00AD14E2" w:rsidP="00B32D66">
            <w:pPr>
              <w:jc w:val="center"/>
              <w:rPr>
                <w:rFonts w:cs="Arial"/>
                <w:color w:val="FF0000"/>
                <w:sz w:val="20"/>
                <w:szCs w:val="20"/>
              </w:rPr>
            </w:pPr>
            <w:r w:rsidRPr="00D546D5">
              <w:rPr>
                <w:rFonts w:cs="Arial"/>
                <w:color w:val="FF0000"/>
                <w:sz w:val="20"/>
                <w:szCs w:val="20"/>
              </w:rPr>
              <w:t>(1,8</w:t>
            </w:r>
            <w:r w:rsidR="007B02A1">
              <w:rPr>
                <w:rFonts w:cs="Arial"/>
                <w:color w:val="FF0000"/>
                <w:sz w:val="20"/>
                <w:szCs w:val="20"/>
              </w:rPr>
              <w:t>0</w:t>
            </w:r>
            <w:r w:rsidRPr="00D546D5">
              <w:rPr>
                <w:rFonts w:cs="Arial"/>
                <w:color w:val="FF0000"/>
                <w:sz w:val="20"/>
                <w:szCs w:val="20"/>
              </w:rPr>
              <w:t>)</w:t>
            </w:r>
          </w:p>
        </w:tc>
        <w:tc>
          <w:tcPr>
            <w:tcW w:w="605" w:type="pct"/>
            <w:tcBorders>
              <w:top w:val="nil"/>
              <w:bottom w:val="nil"/>
            </w:tcBorders>
            <w:vAlign w:val="center"/>
          </w:tcPr>
          <w:p w14:paraId="5509D66C" w14:textId="6B9FF540" w:rsidR="00AD14E2" w:rsidRPr="00D546D5" w:rsidRDefault="00AD14E2" w:rsidP="00B32D66">
            <w:pPr>
              <w:jc w:val="center"/>
              <w:rPr>
                <w:rFonts w:cs="Arial"/>
                <w:color w:val="FF0000"/>
                <w:sz w:val="20"/>
                <w:szCs w:val="20"/>
              </w:rPr>
            </w:pPr>
            <w:r w:rsidRPr="00D546D5">
              <w:rPr>
                <w:rFonts w:cs="Arial"/>
                <w:color w:val="FF0000"/>
                <w:sz w:val="20"/>
                <w:szCs w:val="20"/>
              </w:rPr>
              <w:t>(0,6</w:t>
            </w:r>
            <w:r w:rsidR="007B02A1">
              <w:rPr>
                <w:rFonts w:cs="Arial"/>
                <w:color w:val="FF0000"/>
                <w:sz w:val="20"/>
                <w:szCs w:val="20"/>
              </w:rPr>
              <w:t>0</w:t>
            </w:r>
            <w:r w:rsidRPr="00D546D5">
              <w:rPr>
                <w:rFonts w:cs="Arial"/>
                <w:color w:val="FF0000"/>
                <w:sz w:val="20"/>
                <w:szCs w:val="20"/>
              </w:rPr>
              <w:t>)</w:t>
            </w:r>
          </w:p>
        </w:tc>
      </w:tr>
      <w:tr w:rsidR="00AD14E2" w:rsidRPr="00D546D5" w14:paraId="0475D070" w14:textId="77777777" w:rsidTr="00B32D66">
        <w:trPr>
          <w:trHeight w:val="307"/>
        </w:trPr>
        <w:tc>
          <w:tcPr>
            <w:tcW w:w="3713" w:type="pct"/>
            <w:tcBorders>
              <w:top w:val="nil"/>
            </w:tcBorders>
            <w:vAlign w:val="center"/>
          </w:tcPr>
          <w:p w14:paraId="766F4CA6" w14:textId="77777777" w:rsidR="00AD14E2" w:rsidRPr="00D546D5" w:rsidRDefault="00AD14E2" w:rsidP="00191840">
            <w:pPr>
              <w:ind w:left="72"/>
              <w:rPr>
                <w:rFonts w:cs="Arial"/>
                <w:sz w:val="20"/>
                <w:szCs w:val="20"/>
              </w:rPr>
            </w:pPr>
            <w:r w:rsidRPr="00D546D5">
              <w:rPr>
                <w:rFonts w:cs="Arial"/>
                <w:sz w:val="20"/>
                <w:szCs w:val="20"/>
              </w:rPr>
              <w:t>Turismo</w:t>
            </w:r>
          </w:p>
        </w:tc>
        <w:tc>
          <w:tcPr>
            <w:tcW w:w="682" w:type="pct"/>
            <w:tcBorders>
              <w:top w:val="nil"/>
            </w:tcBorders>
            <w:vAlign w:val="center"/>
          </w:tcPr>
          <w:p w14:paraId="26DC6C53" w14:textId="3CE8C19B"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6,9</w:t>
            </w:r>
            <w:r w:rsidR="007B02A1">
              <w:rPr>
                <w:rFonts w:cs="Arial"/>
                <w:color w:val="000000" w:themeColor="text1"/>
                <w:sz w:val="20"/>
                <w:szCs w:val="20"/>
              </w:rPr>
              <w:t>0</w:t>
            </w:r>
          </w:p>
        </w:tc>
        <w:tc>
          <w:tcPr>
            <w:tcW w:w="605" w:type="pct"/>
            <w:tcBorders>
              <w:top w:val="nil"/>
            </w:tcBorders>
            <w:vAlign w:val="center"/>
          </w:tcPr>
          <w:p w14:paraId="713474E8" w14:textId="4D93B9EC"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1,7</w:t>
            </w:r>
            <w:r w:rsidR="007B02A1">
              <w:rPr>
                <w:rFonts w:cs="Arial"/>
                <w:color w:val="000000" w:themeColor="text1"/>
                <w:sz w:val="20"/>
                <w:szCs w:val="20"/>
              </w:rPr>
              <w:t>0</w:t>
            </w:r>
          </w:p>
        </w:tc>
      </w:tr>
    </w:tbl>
    <w:p w14:paraId="36C9F862" w14:textId="77777777" w:rsidR="00AD14E2" w:rsidRPr="00081459" w:rsidRDefault="00AD14E2" w:rsidP="00EF01A1">
      <w:pPr>
        <w:pStyle w:val="1-FONTE8ESQ"/>
      </w:pPr>
      <w:r w:rsidRPr="00081459">
        <w:t>Fonte: Pesquisa Mensal de Serviços (PMS) - IBGE</w:t>
      </w:r>
    </w:p>
    <w:p w14:paraId="7D4A9B11" w14:textId="0227AF0E" w:rsidR="00AD14E2" w:rsidRPr="00081459" w:rsidRDefault="00AD14E2" w:rsidP="00EF01A1">
      <w:pPr>
        <w:pStyle w:val="1-FONTE8ESQ"/>
      </w:pPr>
      <w:r w:rsidRPr="00081459">
        <w:t>Elaboração: IMB/SGG – 2024</w:t>
      </w:r>
    </w:p>
    <w:p w14:paraId="322BE8B7" w14:textId="77777777" w:rsidR="00AD14E2" w:rsidRPr="00713C58" w:rsidRDefault="00AD14E2" w:rsidP="00AD14E2">
      <w:pPr>
        <w:pStyle w:val="1-REL11"/>
      </w:pPr>
      <w:r w:rsidRPr="00713C58">
        <w:t>O resultado encontrado na Pesquisa Mensal de Comércio do IBGE para o ramo de comércio varejista indicou um crescimento de 0,7% em 2023. Em mesma comparação, o Brasil expandiu 1,6% nessa atividade.</w:t>
      </w:r>
    </w:p>
    <w:p w14:paraId="598B92F7" w14:textId="77777777" w:rsidR="00AD14E2" w:rsidRDefault="00AD14E2" w:rsidP="00AD14E2">
      <w:pPr>
        <w:pStyle w:val="1-REL11"/>
      </w:pPr>
      <w:r w:rsidRPr="00713C58">
        <w:t>Os segmentos de mais notórios</w:t>
      </w:r>
      <w:r>
        <w:t xml:space="preserve"> alargamentos positivos em 2023 são as atividades de artigos farmacêuticos, médicos, ortopédicos, de perfumaria e cosméticos (10,7%) e hipermercados, supermercados, produtos alimentícios, bebidas e fumo (3,5%).</w:t>
      </w:r>
    </w:p>
    <w:p w14:paraId="5A91E971" w14:textId="77777777" w:rsidR="00AD14E2" w:rsidRDefault="00AD14E2" w:rsidP="00AD14E2">
      <w:pPr>
        <w:pStyle w:val="1-REL11"/>
      </w:pPr>
      <w:r>
        <w:t>No quesito Operações de Crédito, o estado de Goiás e o Brasil tiveram um crescimento de 10,1% e 5,6%, respectivamente. Os créditos destinados à pessoas físicas aumentaram em 14,3%, mas em contrapartida, o saldo recuou em 0,2% para pessoas jurídicas.</w:t>
      </w:r>
    </w:p>
    <w:p w14:paraId="2AB57A7B" w14:textId="77777777" w:rsidR="00AD14E2" w:rsidRDefault="00AD14E2" w:rsidP="00AD14E2">
      <w:pPr>
        <w:pStyle w:val="1-REL11"/>
      </w:pPr>
      <w:r>
        <w:t xml:space="preserve">A busca por crédito é influenciada pela taxa Selic que sofreu redução ao longo do ano, contudo em menor proporção do que a esperada pelo governo. A projeção de queda da Selic para o exercício de 2024 reflete no </w:t>
      </w:r>
      <w:r w:rsidRPr="00DC646A">
        <w:t xml:space="preserve">desempenho fiscal do governo e </w:t>
      </w:r>
      <w:r>
        <w:t>n</w:t>
      </w:r>
      <w:r w:rsidRPr="00DC646A">
        <w:t>o controle dos índices de preços</w:t>
      </w:r>
      <w:r>
        <w:t>.</w:t>
      </w:r>
    </w:p>
    <w:p w14:paraId="0F287FC7" w14:textId="77777777" w:rsidR="00AD14E2" w:rsidRDefault="00AD14E2" w:rsidP="00AD14E2">
      <w:pPr>
        <w:pStyle w:val="1-REL11"/>
      </w:pPr>
      <w:r>
        <w:t>Nos últimos anos, percebe-se uma tendência de aumento da taxa de inadimplência tanto para Goiás quanto para o Brasil. Em 2023, a média do Brasil foi de 6% de inadimplência, enquanto que a de Goiás foi de 3,1%.</w:t>
      </w:r>
    </w:p>
    <w:p w14:paraId="6ED23F54" w14:textId="77777777" w:rsidR="00AD14E2" w:rsidRDefault="00AD14E2" w:rsidP="00AD14E2">
      <w:pPr>
        <w:pStyle w:val="Ttulo2"/>
      </w:pPr>
      <w:bookmarkStart w:id="18" w:name="_Toc167871617"/>
      <w:r>
        <w:t>Inflação</w:t>
      </w:r>
      <w:bookmarkEnd w:id="18"/>
    </w:p>
    <w:p w14:paraId="12D4595A" w14:textId="77777777" w:rsidR="00AD14E2" w:rsidRDefault="00AD14E2" w:rsidP="00AD14E2">
      <w:pPr>
        <w:pStyle w:val="1-REL11"/>
      </w:pPr>
      <w:r>
        <w:t xml:space="preserve">A aferição da inflação é oficialmente realizada pelo Índice de Preços ao Consumidor Amplo (IPCA) e no ano de 2023 o percentual detectado para a capital do estado de Goiás foi de 3,82%, o menor desde 2018, enquanto que a inflação acumulada no Brasil foi de 4,62%.  </w:t>
      </w:r>
    </w:p>
    <w:p w14:paraId="77749175" w14:textId="77777777" w:rsidR="00AD14E2" w:rsidRDefault="00AD14E2" w:rsidP="00AD14E2">
      <w:pPr>
        <w:pStyle w:val="1-REL11"/>
      </w:pPr>
      <w:r>
        <w:t xml:space="preserve">Em 2023, o Grupo de Produtos que teve maior elevação de preços em Goiânia foi Educação (8,96%). Na sequência, os grupos que registraram as maiores inflações foram: Saúde e Cuidados </w:t>
      </w:r>
      <w:r>
        <w:lastRenderedPageBreak/>
        <w:t>Pessoais (6,25%) e Despesas Pessoais (5,9%). Por outro lado, os grupos com menor variação de preços foram: Comunicação (1,63%), Alimentação e Bebidas (0,93%) e Artigos de Residência (- 0,61%).</w:t>
      </w:r>
    </w:p>
    <w:p w14:paraId="4DFD2572" w14:textId="77777777" w:rsidR="00AD14E2" w:rsidRDefault="00AD14E2" w:rsidP="00AD14E2">
      <w:pPr>
        <w:pStyle w:val="1-REL11"/>
      </w:pPr>
      <w:r>
        <w:t xml:space="preserve">Apesar do </w:t>
      </w:r>
      <w:r w:rsidRPr="00B81374">
        <w:t>grupo de educação</w:t>
      </w:r>
      <w:r>
        <w:t xml:space="preserve"> ter sofrido</w:t>
      </w:r>
      <w:r w:rsidRPr="00B81374">
        <w:t xml:space="preserve"> a maior variação</w:t>
      </w:r>
      <w:r>
        <w:t xml:space="preserve"> de preço em 2023, o maior impacto na inflação em Goiânia provem do grupo de Transportes, pois a variação dos itens pesa de maneira diferente para os consumidores goianienses, em virtude da participação de determinados grupos em sua cesta de bens de consumo.</w:t>
      </w:r>
    </w:p>
    <w:p w14:paraId="03926EA5" w14:textId="77777777" w:rsidR="00AD14E2" w:rsidRDefault="00AD14E2" w:rsidP="00AD14E2">
      <w:pPr>
        <w:pStyle w:val="1-REL11"/>
      </w:pPr>
      <w:r>
        <w:t>Os principais segmentos de produtos responsáveis pelo fato de a inflação em Goiânia ter sido menor que a média brasileira são, principalmente, transporte e habitação. Ainda que esses grupos tenham sofrido elevação nos preços, cresceram menos que a média brasileira.</w:t>
      </w:r>
    </w:p>
    <w:p w14:paraId="23AB5675" w14:textId="77777777" w:rsidR="00AD14E2" w:rsidRDefault="00AD14E2" w:rsidP="00AD14E2">
      <w:pPr>
        <w:pStyle w:val="1-REL11"/>
      </w:pPr>
      <w:r>
        <w:t xml:space="preserve">O </w:t>
      </w:r>
      <w:r w:rsidRPr="007A48B8">
        <w:t>preço dos bens de Serviços em Goiânia terminou o ano de 2023 com um aumento de 5,93%</w:t>
      </w:r>
      <w:r>
        <w:t xml:space="preserve"> quando comparado ao exercício de 2022. O grupo de subitens associados a Serviços adicionam àqueles que são considerados como prestação de serviços na sociedade, tais como atendimento médico, matrículas escolares, atendimento mecânico, alimentação fora do domicílio e outros.</w:t>
      </w:r>
    </w:p>
    <w:p w14:paraId="7F2087EA" w14:textId="77777777" w:rsidR="00AD14E2" w:rsidRDefault="00AD14E2" w:rsidP="00AD14E2">
      <w:pPr>
        <w:pStyle w:val="1-REL11"/>
      </w:pPr>
      <w:r>
        <w:t>O grupo de itens que possui peso significativo no cálculo de apuração da inflação é o de alimentos, computando 15,1% na cesta de consumo. A inflação acumulada em 12 meses relacionou uma deflação de 0,62% em 2023, é a primeira redução de preços desde 2018. A redução dos preços dos alimentos pode ter sido um fator determinante para a contenção do índice geral de inflação.</w:t>
      </w:r>
    </w:p>
    <w:p w14:paraId="1E0B0BCE" w14:textId="77777777" w:rsidR="00AD14E2" w:rsidRDefault="00AD14E2" w:rsidP="00AD14E2">
      <w:pPr>
        <w:pStyle w:val="1-REL11"/>
      </w:pPr>
      <w:r>
        <w:t xml:space="preserve">O serviços/bens como a gasolina, transporte público, multas, taxa de água e esgoto e outros são tidos por monitorados por sofrerem </w:t>
      </w:r>
      <w:r w:rsidRPr="00AF632C">
        <w:t>algum tipo de interferência governamental</w:t>
      </w:r>
      <w:r>
        <w:t xml:space="preserve">. </w:t>
      </w:r>
      <w:r w:rsidRPr="00AF632C">
        <w:t>Esses, por sua vez, possuem uma participação significativa na cesta de consumo dos goianienses</w:t>
      </w:r>
      <w:r>
        <w:t xml:space="preserve">, </w:t>
      </w:r>
      <w:r w:rsidRPr="00AF632C">
        <w:t>representa</w:t>
      </w:r>
      <w:r>
        <w:t>ndo</w:t>
      </w:r>
      <w:r w:rsidRPr="00AF632C">
        <w:t xml:space="preserve"> 25,2% de todo o consumo</w:t>
      </w:r>
      <w:r>
        <w:t xml:space="preserve">. </w:t>
      </w:r>
      <w:r w:rsidRPr="00AF632C">
        <w:t xml:space="preserve">Em Goiânia, a inflação desses bens </w:t>
      </w:r>
      <w:r>
        <w:t>chegou a</w:t>
      </w:r>
      <w:r w:rsidRPr="00AF632C">
        <w:t xml:space="preserve"> 7,77%. Dentre todos os grupos de produtos analisados, este foi o único que </w:t>
      </w:r>
      <w:r>
        <w:t>alcançou</w:t>
      </w:r>
      <w:r w:rsidRPr="00AF632C">
        <w:t xml:space="preserve"> uma aceleração de preços, ante uma deflação de 6,12% em 2022</w:t>
      </w:r>
      <w:r>
        <w:t>.</w:t>
      </w:r>
    </w:p>
    <w:p w14:paraId="28D0919D" w14:textId="77777777" w:rsidR="00AD14E2" w:rsidRDefault="00AD14E2" w:rsidP="00AD14E2">
      <w:pPr>
        <w:pStyle w:val="1-REL11"/>
      </w:pPr>
      <w:r>
        <w:t>Existe também os bens classificados como livres, por não serem monitorados pelo governo, eles representam um peso de 74,8% no consumo dos habitantes da capital, atingindo a inflação de 2,49%. Conclui-se que os bens monitorados contribuíram de maneira relevante para o aumento da inflação em 2023.</w:t>
      </w:r>
    </w:p>
    <w:p w14:paraId="646EFB37" w14:textId="77777777" w:rsidR="00AD14E2" w:rsidRPr="00362ACA" w:rsidRDefault="00AD14E2" w:rsidP="00AD14E2">
      <w:pPr>
        <w:pStyle w:val="Ttulo2"/>
      </w:pPr>
      <w:bookmarkStart w:id="19" w:name="_Toc167871618"/>
      <w:r w:rsidRPr="00362ACA">
        <w:t>Mercado de Trabalho</w:t>
      </w:r>
      <w:bookmarkEnd w:id="19"/>
    </w:p>
    <w:p w14:paraId="10A85C41" w14:textId="60C9EB7D" w:rsidR="00AD14E2" w:rsidRDefault="00AD14E2" w:rsidP="00AD14E2">
      <w:pPr>
        <w:pStyle w:val="1-REL11"/>
      </w:pPr>
      <w:r>
        <w:t>O mercado de trabalho em Goiás, durante o exercício de 2023, atingiu o marco de 3,88</w:t>
      </w:r>
      <w:r w:rsidR="00755658">
        <w:t> milhões</w:t>
      </w:r>
      <w:r>
        <w:t xml:space="preserve"> de pessoas ocupadas. Quando comparado ao exercício de 2022, obteve um crescimento de 257</w:t>
      </w:r>
      <w:r w:rsidR="00755658">
        <w:t> </w:t>
      </w:r>
      <w:r>
        <w:t>mil (7,1%) pessoas ocupadas no Estado. Tal crescimento supera a média brasileira e torna Goiás o estado com a 3ª maior taxa de crescimento entre as unidades federativas.</w:t>
      </w:r>
    </w:p>
    <w:p w14:paraId="25E7D2FA" w14:textId="29CC723D" w:rsidR="00AD14E2" w:rsidRPr="008C2E09" w:rsidRDefault="00AD14E2" w:rsidP="00AD14E2">
      <w:pPr>
        <w:pStyle w:val="1-REL11"/>
        <w:rPr>
          <w:vanish/>
          <w:specVanish/>
        </w:rPr>
      </w:pPr>
      <w:r>
        <w:lastRenderedPageBreak/>
        <w:t>Segregando esse aumento significativo, os dados apontam que de 204</w:t>
      </w:r>
      <w:r w:rsidR="00F763BE">
        <w:t> </w:t>
      </w:r>
      <w:r>
        <w:t>mil pessoas empregadas, 132</w:t>
      </w:r>
      <w:r w:rsidR="008C2E09">
        <w:t> </w:t>
      </w:r>
      <w:r>
        <w:t>mil pessoas foram contratadas com carteira assinada e 72</w:t>
      </w:r>
      <w:r w:rsidR="008C2E09">
        <w:t> </w:t>
      </w:r>
      <w:r>
        <w:t>mil sem carteira assinada. Aumentou também o quantitativo de empregadores no Estado, com uma elevação de 34,7% em comparação com 2022 e a maioria desses empregadores estão registrados no Cadastro Nacional de Pessoas Jurídicas. Em contrapartida, houve uma redução na quantidade pessoas trabalhando em ocupações por conta própria (- 0,4%) e trabalhadores familiares (-6,3%).</w:t>
      </w:r>
    </w:p>
    <w:p w14:paraId="49957E7C" w14:textId="7E8E9F14" w:rsidR="00AD14E2" w:rsidRDefault="008C2E09" w:rsidP="00AD14E2">
      <w:pPr>
        <w:pStyle w:val="1-REL11"/>
      </w:pPr>
      <w:r>
        <w:t xml:space="preserve"> </w:t>
      </w:r>
      <w:r w:rsidR="00AD14E2">
        <w:t>Analisando os setores da economia goiana, o que mais expandiu foi o de Serviços, com um crescimento em 2023 de 157</w:t>
      </w:r>
      <w:r w:rsidR="00F763BE">
        <w:t> </w:t>
      </w:r>
      <w:r w:rsidR="00AD14E2">
        <w:t>mil pessoas (8,5%). Comércio e Construção foram o 2º e 3º setor que mais cresceram na quantidade de pessoas ocupadas, com uma variação de 76</w:t>
      </w:r>
      <w:r w:rsidR="00F763BE">
        <w:t> </w:t>
      </w:r>
      <w:r w:rsidR="00AD14E2">
        <w:t>mil e 45</w:t>
      </w:r>
      <w:r w:rsidR="00F763BE">
        <w:t> </w:t>
      </w:r>
      <w:r w:rsidR="00AD14E2">
        <w:t>mil pessoas, respectivamente. Por outro lado, os setores que mais reduziram foram a Agropecuária, com redução de 14</w:t>
      </w:r>
      <w:r w:rsidR="00F763BE">
        <w:t> </w:t>
      </w:r>
      <w:r w:rsidR="00AD14E2">
        <w:t>mil pessoas ocupadas e Indústria, com uma redução de 9</w:t>
      </w:r>
      <w:r w:rsidR="00F763BE">
        <w:t> </w:t>
      </w:r>
      <w:r w:rsidR="00AD14E2">
        <w:t xml:space="preserve">mil pessoas. </w:t>
      </w:r>
    </w:p>
    <w:p w14:paraId="072247B2" w14:textId="77777777" w:rsidR="00AD14E2" w:rsidRDefault="00AD14E2" w:rsidP="00ED3571">
      <w:pPr>
        <w:pStyle w:val="0-TABELA"/>
      </w:pPr>
      <w:bookmarkStart w:id="20" w:name="_Toc167871716"/>
      <w:r>
        <w:t>Pessoas Ocupadas por Setor</w:t>
      </w:r>
      <w:bookmarkEnd w:id="20"/>
      <w:r>
        <w:t xml:space="preserve"> </w:t>
      </w:r>
    </w:p>
    <w:p w14:paraId="492539AD" w14:textId="77777777" w:rsidR="00AD14E2" w:rsidRPr="000917DB" w:rsidRDefault="00AD14E2" w:rsidP="00AD14E2">
      <w:pPr>
        <w:pStyle w:val="0-EmR1"/>
        <w:rPr>
          <w:lang w:eastAsia="en-US"/>
        </w:rPr>
      </w:pPr>
      <w:r>
        <w:rPr>
          <w:lang w:eastAsia="en-US"/>
        </w:rPr>
        <w:t>R$ mil</w:t>
      </w:r>
    </w:p>
    <w:tbl>
      <w:tblPr>
        <w:tblW w:w="5000" w:type="pct"/>
        <w:tblBorders>
          <w:top w:val="single" w:sz="4" w:space="0" w:color="auto"/>
          <w:bottom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2"/>
        <w:gridCol w:w="1156"/>
        <w:gridCol w:w="921"/>
        <w:gridCol w:w="974"/>
      </w:tblGrid>
      <w:tr w:rsidR="00AD14E2" w:rsidRPr="00D546D5" w14:paraId="346A092F" w14:textId="77777777" w:rsidTr="00B32D66">
        <w:trPr>
          <w:trHeight w:val="307"/>
          <w:tblHeader/>
        </w:trPr>
        <w:tc>
          <w:tcPr>
            <w:tcW w:w="3383" w:type="pct"/>
            <w:shd w:val="clear" w:color="auto" w:fill="A1F2FD"/>
            <w:vAlign w:val="center"/>
          </w:tcPr>
          <w:p w14:paraId="34227CA9" w14:textId="77777777" w:rsidR="00AD14E2" w:rsidRPr="00D546D5" w:rsidRDefault="00AD14E2" w:rsidP="00B32D66">
            <w:pPr>
              <w:jc w:val="center"/>
              <w:rPr>
                <w:rFonts w:cs="Arial"/>
                <w:b/>
                <w:sz w:val="20"/>
                <w:szCs w:val="20"/>
              </w:rPr>
            </w:pPr>
            <w:r w:rsidRPr="00D546D5">
              <w:rPr>
                <w:rFonts w:cs="Arial"/>
                <w:b/>
                <w:sz w:val="20"/>
                <w:szCs w:val="20"/>
              </w:rPr>
              <w:t>Mercado de Trabalho</w:t>
            </w:r>
          </w:p>
        </w:tc>
        <w:tc>
          <w:tcPr>
            <w:tcW w:w="633" w:type="pct"/>
            <w:shd w:val="clear" w:color="auto" w:fill="A1F2FD"/>
            <w:vAlign w:val="center"/>
          </w:tcPr>
          <w:p w14:paraId="2A153EEE" w14:textId="77777777" w:rsidR="00AD14E2" w:rsidRPr="00D546D5" w:rsidRDefault="00AD14E2" w:rsidP="00B32D66">
            <w:pPr>
              <w:jc w:val="center"/>
              <w:rPr>
                <w:rFonts w:cs="Arial"/>
                <w:b/>
                <w:sz w:val="20"/>
                <w:szCs w:val="20"/>
              </w:rPr>
            </w:pPr>
            <w:r w:rsidRPr="00D546D5">
              <w:rPr>
                <w:rFonts w:cs="Arial"/>
                <w:b/>
                <w:sz w:val="20"/>
                <w:szCs w:val="20"/>
              </w:rPr>
              <w:t>2022</w:t>
            </w:r>
          </w:p>
        </w:tc>
        <w:tc>
          <w:tcPr>
            <w:tcW w:w="507" w:type="pct"/>
            <w:shd w:val="clear" w:color="auto" w:fill="A1F2FD"/>
            <w:vAlign w:val="center"/>
          </w:tcPr>
          <w:p w14:paraId="0C1BFAA5" w14:textId="77777777" w:rsidR="00AD14E2" w:rsidRPr="00D546D5" w:rsidRDefault="00AD14E2" w:rsidP="00B32D66">
            <w:pPr>
              <w:jc w:val="center"/>
              <w:rPr>
                <w:rFonts w:cs="Arial"/>
                <w:b/>
                <w:sz w:val="20"/>
                <w:szCs w:val="20"/>
              </w:rPr>
            </w:pPr>
            <w:r w:rsidRPr="00D546D5">
              <w:rPr>
                <w:rFonts w:cs="Arial"/>
                <w:b/>
                <w:sz w:val="20"/>
                <w:szCs w:val="20"/>
              </w:rPr>
              <w:t>2023</w:t>
            </w:r>
          </w:p>
        </w:tc>
        <w:tc>
          <w:tcPr>
            <w:tcW w:w="476" w:type="pct"/>
            <w:shd w:val="clear" w:color="auto" w:fill="A1F2FD"/>
            <w:vAlign w:val="center"/>
          </w:tcPr>
          <w:p w14:paraId="286B38AD" w14:textId="77777777" w:rsidR="00AD14E2" w:rsidRPr="00D546D5" w:rsidRDefault="00AD14E2" w:rsidP="00B32D66">
            <w:pPr>
              <w:jc w:val="center"/>
              <w:rPr>
                <w:rFonts w:cs="Arial"/>
                <w:b/>
                <w:sz w:val="20"/>
                <w:szCs w:val="20"/>
              </w:rPr>
            </w:pPr>
            <w:r w:rsidRPr="00D546D5">
              <w:rPr>
                <w:rFonts w:cs="Arial"/>
                <w:b/>
                <w:sz w:val="20"/>
                <w:szCs w:val="20"/>
              </w:rPr>
              <w:t>Variação %</w:t>
            </w:r>
          </w:p>
        </w:tc>
      </w:tr>
      <w:tr w:rsidR="00AD14E2" w:rsidRPr="00D546D5" w14:paraId="331E9BCB" w14:textId="77777777" w:rsidTr="00B32D66">
        <w:trPr>
          <w:trHeight w:val="307"/>
        </w:trPr>
        <w:tc>
          <w:tcPr>
            <w:tcW w:w="3383" w:type="pct"/>
            <w:tcBorders>
              <w:bottom w:val="nil"/>
            </w:tcBorders>
            <w:vAlign w:val="center"/>
          </w:tcPr>
          <w:p w14:paraId="62EF1CB9" w14:textId="77777777" w:rsidR="00AD14E2" w:rsidRPr="00D546D5" w:rsidRDefault="00AD14E2" w:rsidP="00191840">
            <w:pPr>
              <w:ind w:left="72"/>
              <w:rPr>
                <w:rFonts w:cs="Arial"/>
                <w:sz w:val="20"/>
                <w:szCs w:val="20"/>
              </w:rPr>
            </w:pPr>
            <w:r w:rsidRPr="00D546D5">
              <w:rPr>
                <w:rFonts w:cs="Arial"/>
                <w:sz w:val="20"/>
                <w:szCs w:val="20"/>
              </w:rPr>
              <w:t>Agropecuária</w:t>
            </w:r>
          </w:p>
        </w:tc>
        <w:tc>
          <w:tcPr>
            <w:tcW w:w="633" w:type="pct"/>
            <w:tcBorders>
              <w:bottom w:val="nil"/>
            </w:tcBorders>
            <w:vAlign w:val="center"/>
          </w:tcPr>
          <w:p w14:paraId="0A2DDE72"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267</w:t>
            </w:r>
          </w:p>
        </w:tc>
        <w:tc>
          <w:tcPr>
            <w:tcW w:w="507" w:type="pct"/>
            <w:tcBorders>
              <w:bottom w:val="nil"/>
            </w:tcBorders>
            <w:vAlign w:val="center"/>
          </w:tcPr>
          <w:p w14:paraId="1CBB6AD9"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253</w:t>
            </w:r>
          </w:p>
        </w:tc>
        <w:tc>
          <w:tcPr>
            <w:tcW w:w="476" w:type="pct"/>
            <w:tcBorders>
              <w:bottom w:val="nil"/>
            </w:tcBorders>
            <w:vAlign w:val="center"/>
          </w:tcPr>
          <w:p w14:paraId="5CFEB97B" w14:textId="00C20300" w:rsidR="00AD14E2" w:rsidRPr="00D546D5" w:rsidRDefault="00AD14E2" w:rsidP="00B32D66">
            <w:pPr>
              <w:jc w:val="center"/>
              <w:rPr>
                <w:rFonts w:cs="Arial"/>
                <w:color w:val="FF0000"/>
                <w:sz w:val="20"/>
                <w:szCs w:val="20"/>
              </w:rPr>
            </w:pPr>
            <w:r w:rsidRPr="00D546D5">
              <w:rPr>
                <w:rFonts w:cs="Arial"/>
                <w:color w:val="FF0000"/>
                <w:sz w:val="20"/>
                <w:szCs w:val="20"/>
              </w:rPr>
              <w:t>(5,2</w:t>
            </w:r>
            <w:r w:rsidR="00034184">
              <w:rPr>
                <w:rFonts w:cs="Arial"/>
                <w:color w:val="FF0000"/>
                <w:sz w:val="20"/>
                <w:szCs w:val="20"/>
              </w:rPr>
              <w:t>0</w:t>
            </w:r>
            <w:r w:rsidRPr="00D546D5">
              <w:rPr>
                <w:rFonts w:cs="Arial"/>
                <w:color w:val="FF0000"/>
                <w:sz w:val="20"/>
                <w:szCs w:val="20"/>
              </w:rPr>
              <w:t>)</w:t>
            </w:r>
          </w:p>
        </w:tc>
      </w:tr>
      <w:tr w:rsidR="00AD14E2" w:rsidRPr="00D546D5" w14:paraId="2D3A2843" w14:textId="77777777" w:rsidTr="00B32D66">
        <w:trPr>
          <w:trHeight w:val="307"/>
        </w:trPr>
        <w:tc>
          <w:tcPr>
            <w:tcW w:w="3383" w:type="pct"/>
            <w:tcBorders>
              <w:top w:val="nil"/>
              <w:bottom w:val="nil"/>
            </w:tcBorders>
            <w:vAlign w:val="center"/>
          </w:tcPr>
          <w:p w14:paraId="384B9B1B" w14:textId="77777777" w:rsidR="00AD14E2" w:rsidRPr="00D546D5" w:rsidRDefault="00AD14E2" w:rsidP="00191840">
            <w:pPr>
              <w:ind w:left="72"/>
              <w:rPr>
                <w:rFonts w:cs="Arial"/>
                <w:sz w:val="20"/>
                <w:szCs w:val="20"/>
              </w:rPr>
            </w:pPr>
            <w:r w:rsidRPr="00D546D5">
              <w:rPr>
                <w:rFonts w:cs="Arial"/>
                <w:sz w:val="20"/>
                <w:szCs w:val="20"/>
              </w:rPr>
              <w:t>Indústria</w:t>
            </w:r>
          </w:p>
        </w:tc>
        <w:tc>
          <w:tcPr>
            <w:tcW w:w="633" w:type="pct"/>
            <w:tcBorders>
              <w:top w:val="nil"/>
              <w:bottom w:val="nil"/>
            </w:tcBorders>
            <w:vAlign w:val="center"/>
          </w:tcPr>
          <w:p w14:paraId="478A24EA"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465</w:t>
            </w:r>
          </w:p>
        </w:tc>
        <w:tc>
          <w:tcPr>
            <w:tcW w:w="507" w:type="pct"/>
            <w:tcBorders>
              <w:top w:val="nil"/>
              <w:bottom w:val="nil"/>
            </w:tcBorders>
            <w:vAlign w:val="center"/>
          </w:tcPr>
          <w:p w14:paraId="19B6F123"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456</w:t>
            </w:r>
          </w:p>
        </w:tc>
        <w:tc>
          <w:tcPr>
            <w:tcW w:w="476" w:type="pct"/>
            <w:tcBorders>
              <w:top w:val="nil"/>
              <w:bottom w:val="nil"/>
            </w:tcBorders>
            <w:vAlign w:val="center"/>
          </w:tcPr>
          <w:p w14:paraId="1A4D942C" w14:textId="552D5CAF" w:rsidR="00AD14E2" w:rsidRPr="00D546D5" w:rsidRDefault="00AD14E2" w:rsidP="00B32D66">
            <w:pPr>
              <w:jc w:val="center"/>
              <w:rPr>
                <w:rFonts w:cs="Arial"/>
                <w:color w:val="FF0000"/>
                <w:sz w:val="20"/>
                <w:szCs w:val="20"/>
              </w:rPr>
            </w:pPr>
            <w:r w:rsidRPr="00D546D5">
              <w:rPr>
                <w:rFonts w:cs="Arial"/>
                <w:color w:val="FF0000"/>
                <w:sz w:val="20"/>
                <w:szCs w:val="20"/>
              </w:rPr>
              <w:t>(1,9</w:t>
            </w:r>
            <w:r w:rsidR="00034184">
              <w:rPr>
                <w:rFonts w:cs="Arial"/>
                <w:color w:val="FF0000"/>
                <w:sz w:val="20"/>
                <w:szCs w:val="20"/>
              </w:rPr>
              <w:t>0</w:t>
            </w:r>
            <w:r w:rsidRPr="00D546D5">
              <w:rPr>
                <w:rFonts w:cs="Arial"/>
                <w:color w:val="FF0000"/>
                <w:sz w:val="20"/>
                <w:szCs w:val="20"/>
              </w:rPr>
              <w:t>)</w:t>
            </w:r>
          </w:p>
        </w:tc>
      </w:tr>
      <w:tr w:rsidR="00AD14E2" w:rsidRPr="00D546D5" w14:paraId="73E36F47" w14:textId="77777777" w:rsidTr="00B32D66">
        <w:trPr>
          <w:trHeight w:val="307"/>
        </w:trPr>
        <w:tc>
          <w:tcPr>
            <w:tcW w:w="3383" w:type="pct"/>
            <w:tcBorders>
              <w:top w:val="nil"/>
              <w:bottom w:val="nil"/>
            </w:tcBorders>
            <w:vAlign w:val="center"/>
          </w:tcPr>
          <w:p w14:paraId="2B2768BC" w14:textId="77777777" w:rsidR="00AD14E2" w:rsidRPr="00D546D5" w:rsidRDefault="00AD14E2" w:rsidP="00191840">
            <w:pPr>
              <w:ind w:left="72"/>
              <w:rPr>
                <w:rFonts w:cs="Arial"/>
                <w:sz w:val="20"/>
                <w:szCs w:val="20"/>
              </w:rPr>
            </w:pPr>
            <w:r w:rsidRPr="00D546D5">
              <w:rPr>
                <w:rFonts w:cs="Arial"/>
                <w:sz w:val="20"/>
                <w:szCs w:val="20"/>
              </w:rPr>
              <w:t>Construção</w:t>
            </w:r>
          </w:p>
        </w:tc>
        <w:tc>
          <w:tcPr>
            <w:tcW w:w="633" w:type="pct"/>
            <w:tcBorders>
              <w:top w:val="nil"/>
              <w:bottom w:val="nil"/>
            </w:tcBorders>
            <w:vAlign w:val="center"/>
          </w:tcPr>
          <w:p w14:paraId="21E9B855"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300</w:t>
            </w:r>
          </w:p>
        </w:tc>
        <w:tc>
          <w:tcPr>
            <w:tcW w:w="507" w:type="pct"/>
            <w:tcBorders>
              <w:top w:val="nil"/>
              <w:bottom w:val="nil"/>
            </w:tcBorders>
            <w:vAlign w:val="center"/>
          </w:tcPr>
          <w:p w14:paraId="1E516C06"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345</w:t>
            </w:r>
          </w:p>
        </w:tc>
        <w:tc>
          <w:tcPr>
            <w:tcW w:w="476" w:type="pct"/>
            <w:tcBorders>
              <w:top w:val="nil"/>
              <w:bottom w:val="nil"/>
            </w:tcBorders>
            <w:vAlign w:val="center"/>
          </w:tcPr>
          <w:p w14:paraId="34A9DF2C" w14:textId="7B606DD1"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15,0</w:t>
            </w:r>
            <w:r w:rsidR="00034184">
              <w:rPr>
                <w:rFonts w:cs="Arial"/>
                <w:color w:val="000000" w:themeColor="text1"/>
                <w:sz w:val="20"/>
                <w:szCs w:val="20"/>
              </w:rPr>
              <w:t>0</w:t>
            </w:r>
          </w:p>
        </w:tc>
      </w:tr>
      <w:tr w:rsidR="00AD14E2" w:rsidRPr="00D546D5" w14:paraId="2BDB2329" w14:textId="77777777" w:rsidTr="00B32D66">
        <w:trPr>
          <w:trHeight w:val="307"/>
        </w:trPr>
        <w:tc>
          <w:tcPr>
            <w:tcW w:w="3383" w:type="pct"/>
            <w:tcBorders>
              <w:top w:val="nil"/>
              <w:bottom w:val="nil"/>
            </w:tcBorders>
            <w:vAlign w:val="center"/>
          </w:tcPr>
          <w:p w14:paraId="7730DDE4" w14:textId="77777777" w:rsidR="00AD14E2" w:rsidRPr="00D546D5" w:rsidRDefault="00AD14E2" w:rsidP="00191840">
            <w:pPr>
              <w:ind w:left="72"/>
              <w:rPr>
                <w:rFonts w:cs="Arial"/>
                <w:sz w:val="20"/>
                <w:szCs w:val="20"/>
              </w:rPr>
            </w:pPr>
            <w:r w:rsidRPr="00D546D5">
              <w:rPr>
                <w:rFonts w:cs="Arial"/>
                <w:sz w:val="20"/>
                <w:szCs w:val="20"/>
              </w:rPr>
              <w:t>Comércio</w:t>
            </w:r>
          </w:p>
        </w:tc>
        <w:tc>
          <w:tcPr>
            <w:tcW w:w="633" w:type="pct"/>
            <w:tcBorders>
              <w:top w:val="nil"/>
              <w:bottom w:val="nil"/>
            </w:tcBorders>
            <w:vAlign w:val="center"/>
          </w:tcPr>
          <w:p w14:paraId="28BD71A2"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746</w:t>
            </w:r>
          </w:p>
        </w:tc>
        <w:tc>
          <w:tcPr>
            <w:tcW w:w="507" w:type="pct"/>
            <w:tcBorders>
              <w:top w:val="nil"/>
              <w:bottom w:val="nil"/>
            </w:tcBorders>
            <w:vAlign w:val="center"/>
          </w:tcPr>
          <w:p w14:paraId="06BD2CCC"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822</w:t>
            </w:r>
          </w:p>
        </w:tc>
        <w:tc>
          <w:tcPr>
            <w:tcW w:w="476" w:type="pct"/>
            <w:tcBorders>
              <w:top w:val="nil"/>
              <w:bottom w:val="nil"/>
            </w:tcBorders>
            <w:vAlign w:val="center"/>
          </w:tcPr>
          <w:p w14:paraId="226C3287" w14:textId="16AB2121"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10,2</w:t>
            </w:r>
            <w:r w:rsidR="00034184">
              <w:rPr>
                <w:rFonts w:cs="Arial"/>
                <w:color w:val="000000" w:themeColor="text1"/>
                <w:sz w:val="20"/>
                <w:szCs w:val="20"/>
              </w:rPr>
              <w:t>0</w:t>
            </w:r>
          </w:p>
        </w:tc>
      </w:tr>
      <w:tr w:rsidR="00AD14E2" w:rsidRPr="00D546D5" w14:paraId="755270D8" w14:textId="77777777" w:rsidTr="00B32D66">
        <w:trPr>
          <w:trHeight w:val="307"/>
        </w:trPr>
        <w:tc>
          <w:tcPr>
            <w:tcW w:w="3383" w:type="pct"/>
            <w:tcBorders>
              <w:top w:val="nil"/>
            </w:tcBorders>
            <w:vAlign w:val="center"/>
          </w:tcPr>
          <w:p w14:paraId="10E0A5A1" w14:textId="77777777" w:rsidR="00AD14E2" w:rsidRPr="00D546D5" w:rsidRDefault="00AD14E2" w:rsidP="00191840">
            <w:pPr>
              <w:ind w:left="72"/>
              <w:rPr>
                <w:rFonts w:cs="Arial"/>
                <w:sz w:val="20"/>
                <w:szCs w:val="20"/>
              </w:rPr>
            </w:pPr>
            <w:r w:rsidRPr="00D546D5">
              <w:rPr>
                <w:rFonts w:cs="Arial"/>
                <w:sz w:val="20"/>
                <w:szCs w:val="20"/>
              </w:rPr>
              <w:t>Serviços</w:t>
            </w:r>
          </w:p>
        </w:tc>
        <w:tc>
          <w:tcPr>
            <w:tcW w:w="633" w:type="pct"/>
            <w:tcBorders>
              <w:top w:val="nil"/>
            </w:tcBorders>
            <w:vAlign w:val="center"/>
          </w:tcPr>
          <w:p w14:paraId="153EBAC7"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1.840</w:t>
            </w:r>
          </w:p>
        </w:tc>
        <w:tc>
          <w:tcPr>
            <w:tcW w:w="507" w:type="pct"/>
            <w:tcBorders>
              <w:top w:val="nil"/>
            </w:tcBorders>
            <w:vAlign w:val="center"/>
          </w:tcPr>
          <w:p w14:paraId="22901AFE" w14:textId="77777777"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1.1997</w:t>
            </w:r>
          </w:p>
        </w:tc>
        <w:tc>
          <w:tcPr>
            <w:tcW w:w="476" w:type="pct"/>
            <w:tcBorders>
              <w:top w:val="nil"/>
            </w:tcBorders>
            <w:vAlign w:val="center"/>
          </w:tcPr>
          <w:p w14:paraId="0D684CAE" w14:textId="4F92A3EA" w:rsidR="00AD14E2" w:rsidRPr="00D546D5" w:rsidRDefault="00AD14E2" w:rsidP="00B32D66">
            <w:pPr>
              <w:jc w:val="center"/>
              <w:rPr>
                <w:rFonts w:cs="Arial"/>
                <w:color w:val="000000" w:themeColor="text1"/>
                <w:sz w:val="20"/>
                <w:szCs w:val="20"/>
              </w:rPr>
            </w:pPr>
            <w:r w:rsidRPr="00D546D5">
              <w:rPr>
                <w:rFonts w:cs="Arial"/>
                <w:color w:val="000000" w:themeColor="text1"/>
                <w:sz w:val="20"/>
                <w:szCs w:val="20"/>
              </w:rPr>
              <w:t>8,5</w:t>
            </w:r>
            <w:r w:rsidR="00034184">
              <w:rPr>
                <w:rFonts w:cs="Arial"/>
                <w:color w:val="000000" w:themeColor="text1"/>
                <w:sz w:val="20"/>
                <w:szCs w:val="20"/>
              </w:rPr>
              <w:t>0</w:t>
            </w:r>
          </w:p>
        </w:tc>
      </w:tr>
      <w:tr w:rsidR="00AD14E2" w:rsidRPr="00D546D5" w14:paraId="23CCB15B" w14:textId="77777777" w:rsidTr="00B32D66">
        <w:trPr>
          <w:trHeight w:val="307"/>
        </w:trPr>
        <w:tc>
          <w:tcPr>
            <w:tcW w:w="3383" w:type="pct"/>
            <w:vAlign w:val="center"/>
          </w:tcPr>
          <w:p w14:paraId="76C0132A" w14:textId="77777777" w:rsidR="00AD14E2" w:rsidRPr="00D546D5" w:rsidRDefault="00AD14E2" w:rsidP="00B32D66">
            <w:pPr>
              <w:jc w:val="center"/>
              <w:rPr>
                <w:rFonts w:cs="Arial"/>
                <w:b/>
                <w:sz w:val="20"/>
                <w:szCs w:val="20"/>
              </w:rPr>
            </w:pPr>
            <w:r w:rsidRPr="00D546D5">
              <w:rPr>
                <w:rFonts w:cs="Arial"/>
                <w:b/>
                <w:sz w:val="20"/>
                <w:szCs w:val="20"/>
              </w:rPr>
              <w:t>Total</w:t>
            </w:r>
          </w:p>
        </w:tc>
        <w:tc>
          <w:tcPr>
            <w:tcW w:w="633" w:type="pct"/>
            <w:vAlign w:val="center"/>
          </w:tcPr>
          <w:p w14:paraId="41AC2679" w14:textId="77777777" w:rsidR="00AD14E2" w:rsidRPr="00D546D5" w:rsidRDefault="00AD14E2" w:rsidP="00B32D66">
            <w:pPr>
              <w:jc w:val="center"/>
              <w:rPr>
                <w:rFonts w:cs="Arial"/>
                <w:b/>
                <w:color w:val="000000" w:themeColor="text1"/>
                <w:sz w:val="20"/>
                <w:szCs w:val="20"/>
              </w:rPr>
            </w:pPr>
            <w:r w:rsidRPr="00D546D5">
              <w:rPr>
                <w:rFonts w:cs="Arial"/>
                <w:b/>
                <w:color w:val="000000" w:themeColor="text1"/>
                <w:sz w:val="20"/>
                <w:szCs w:val="20"/>
              </w:rPr>
              <w:t>3.619</w:t>
            </w:r>
          </w:p>
        </w:tc>
        <w:tc>
          <w:tcPr>
            <w:tcW w:w="507" w:type="pct"/>
            <w:vAlign w:val="center"/>
          </w:tcPr>
          <w:p w14:paraId="044CBF4F" w14:textId="77777777" w:rsidR="00AD14E2" w:rsidRPr="00D546D5" w:rsidRDefault="00AD14E2" w:rsidP="00B32D66">
            <w:pPr>
              <w:jc w:val="center"/>
              <w:rPr>
                <w:rFonts w:cs="Arial"/>
                <w:b/>
                <w:color w:val="000000" w:themeColor="text1"/>
                <w:sz w:val="20"/>
                <w:szCs w:val="20"/>
              </w:rPr>
            </w:pPr>
            <w:r w:rsidRPr="00D546D5">
              <w:rPr>
                <w:rFonts w:cs="Arial"/>
                <w:b/>
                <w:color w:val="000000" w:themeColor="text1"/>
                <w:sz w:val="20"/>
                <w:szCs w:val="20"/>
              </w:rPr>
              <w:t>3.876</w:t>
            </w:r>
          </w:p>
        </w:tc>
        <w:tc>
          <w:tcPr>
            <w:tcW w:w="476" w:type="pct"/>
            <w:vAlign w:val="center"/>
          </w:tcPr>
          <w:p w14:paraId="0F53FAE4" w14:textId="156ECAA9" w:rsidR="00AD14E2" w:rsidRPr="00D546D5" w:rsidRDefault="00AD14E2" w:rsidP="00B32D66">
            <w:pPr>
              <w:jc w:val="center"/>
              <w:rPr>
                <w:rFonts w:cs="Arial"/>
                <w:b/>
                <w:color w:val="000000" w:themeColor="text1"/>
                <w:sz w:val="20"/>
                <w:szCs w:val="20"/>
              </w:rPr>
            </w:pPr>
            <w:r w:rsidRPr="00D546D5">
              <w:rPr>
                <w:rFonts w:cs="Arial"/>
                <w:b/>
                <w:color w:val="000000" w:themeColor="text1"/>
                <w:sz w:val="20"/>
                <w:szCs w:val="20"/>
              </w:rPr>
              <w:t>7,1</w:t>
            </w:r>
            <w:r w:rsidR="00034184">
              <w:rPr>
                <w:rFonts w:cs="Arial"/>
                <w:b/>
                <w:color w:val="000000" w:themeColor="text1"/>
                <w:sz w:val="20"/>
                <w:szCs w:val="20"/>
              </w:rPr>
              <w:t>0</w:t>
            </w:r>
          </w:p>
        </w:tc>
      </w:tr>
    </w:tbl>
    <w:p w14:paraId="7EBCB032" w14:textId="10A8D804" w:rsidR="00AD14E2" w:rsidRDefault="00AD14E2" w:rsidP="00EF01A1">
      <w:pPr>
        <w:pStyle w:val="1-FONTE8ESQ"/>
      </w:pPr>
      <w:r>
        <w:t>Fonte: P</w:t>
      </w:r>
      <w:r w:rsidR="003F27F4">
        <w:t>nad</w:t>
      </w:r>
      <w:r>
        <w:t xml:space="preserve"> Contínua / IBGE</w:t>
      </w:r>
    </w:p>
    <w:p w14:paraId="2763D93F" w14:textId="77777777" w:rsidR="003F27F4" w:rsidRPr="00081459" w:rsidRDefault="003F27F4" w:rsidP="00EF01A1">
      <w:pPr>
        <w:pStyle w:val="1-FONTE8ESQ"/>
      </w:pPr>
      <w:r w:rsidRPr="00081459">
        <w:t>Elaboração: IMB/ SGG – 2024</w:t>
      </w:r>
    </w:p>
    <w:p w14:paraId="1960000A" w14:textId="77DDDB22" w:rsidR="00AD14E2" w:rsidRDefault="00AD14E2" w:rsidP="00AD14E2">
      <w:pPr>
        <w:pStyle w:val="1-REL11"/>
      </w:pPr>
      <w:r>
        <w:t>A taxa de desocupação registrada em 2023 foi de 5,8</w:t>
      </w:r>
      <w:r w:rsidR="00034184">
        <w:t>0</w:t>
      </w:r>
      <w:r>
        <w:t>%, a menor dos últimos 10 anos.</w:t>
      </w:r>
    </w:p>
    <w:p w14:paraId="12EE476B" w14:textId="59416625" w:rsidR="00AD14E2" w:rsidRDefault="00AD14E2" w:rsidP="00AD14E2">
      <w:pPr>
        <w:pStyle w:val="1-REL11"/>
      </w:pPr>
      <w:r>
        <w:t>O aumento de ocupação gerou consequente aumento do rendimento médio no trabalho, atingindo a média de R$</w:t>
      </w:r>
      <w:r w:rsidR="00B561D3">
        <w:t> </w:t>
      </w:r>
      <w:r>
        <w:t>2.891,00, essa cifra superou a renda média brasileira.</w:t>
      </w:r>
      <w:r w:rsidRPr="00A71DAD">
        <w:t xml:space="preserve"> </w:t>
      </w:r>
    </w:p>
    <w:p w14:paraId="5A3687CC" w14:textId="7DDF5D0B" w:rsidR="00AD14E2" w:rsidRDefault="00AD14E2" w:rsidP="00AD14E2">
      <w:pPr>
        <w:pStyle w:val="1-REL11"/>
      </w:pPr>
      <w:r>
        <w:t>Segundo dados e análise do IMB, a dinâmica positiva do mercado de trabalho afeta a taxa de informalidade em Goiás, que no 4º trimestre de 2023 atingiu 37,2</w:t>
      </w:r>
      <w:r w:rsidR="00EE0647">
        <w:t>0</w:t>
      </w:r>
      <w:r>
        <w:t>%. É importante notar que a partir do 4º trimestre de 2022, a informalidade em Goiás passou a cair mais rapidamente do que a média nacional.</w:t>
      </w:r>
    </w:p>
    <w:p w14:paraId="7904723A" w14:textId="77777777" w:rsidR="00AD14E2" w:rsidRPr="003E7EFC" w:rsidRDefault="00AD14E2" w:rsidP="00AD14E2">
      <w:pPr>
        <w:pStyle w:val="Ttulo2"/>
      </w:pPr>
      <w:bookmarkStart w:id="21" w:name="_Hlk7796764"/>
      <w:bookmarkStart w:id="22" w:name="_Toc167871619"/>
      <w:r w:rsidRPr="003E7EFC">
        <w:t>Comércio Exterior Goiano</w:t>
      </w:r>
      <w:bookmarkEnd w:id="22"/>
    </w:p>
    <w:bookmarkEnd w:id="21"/>
    <w:p w14:paraId="3A9F0219" w14:textId="7C9939D7" w:rsidR="00AD14E2" w:rsidRDefault="00AD14E2" w:rsidP="00AD14E2">
      <w:pPr>
        <w:pStyle w:val="1-REL11"/>
      </w:pPr>
      <w:r>
        <w:t xml:space="preserve">Em 2023, o estado de Goiás atingiu o maior saldo da balança comercial registrado desde 1997, segundo informações do Ministério da Indústria, Comércio Exterior e Serviços, sendo </w:t>
      </w:r>
      <w:r w:rsidRPr="00612B8F">
        <w:rPr>
          <w:i/>
        </w:rPr>
        <w:t>Free On Board</w:t>
      </w:r>
      <w:r>
        <w:t xml:space="preserve"> (FOB) US$</w:t>
      </w:r>
      <w:r w:rsidR="00F763BE">
        <w:t> </w:t>
      </w:r>
      <w:r>
        <w:t>9,09</w:t>
      </w:r>
      <w:r w:rsidR="00F763BE">
        <w:t> </w:t>
      </w:r>
      <w:r>
        <w:t>bilhões, acréscimo de 11,3</w:t>
      </w:r>
      <w:r w:rsidR="00EE0647">
        <w:t>0</w:t>
      </w:r>
      <w:r>
        <w:t>% em relação a 2022.</w:t>
      </w:r>
    </w:p>
    <w:p w14:paraId="012049A2" w14:textId="3E94ADB1" w:rsidR="00AD14E2" w:rsidRDefault="00AD14E2" w:rsidP="00AD14E2">
      <w:pPr>
        <w:pStyle w:val="1-REL11"/>
        <w:tabs>
          <w:tab w:val="center" w:pos="4676"/>
        </w:tabs>
      </w:pPr>
      <w:r>
        <w:t>No quesito exportação, o Estado</w:t>
      </w:r>
      <w:r>
        <w:tab/>
        <w:t xml:space="preserve"> alcançou a 2ª posição mais elevada na série histórica (FOB US$</w:t>
      </w:r>
      <w:r w:rsidR="00F763BE">
        <w:t> </w:t>
      </w:r>
      <w:r>
        <w:t>13,97</w:t>
      </w:r>
      <w:r w:rsidR="00F763BE">
        <w:t> </w:t>
      </w:r>
      <w:r>
        <w:t>bilhões) e na importação, o Estado atingiu o 5º maior valor importado desde 1997 (FOB US$</w:t>
      </w:r>
      <w:r w:rsidR="00F763BE">
        <w:t> </w:t>
      </w:r>
      <w:r>
        <w:t>4,88</w:t>
      </w:r>
      <w:r w:rsidR="00F763BE">
        <w:t> </w:t>
      </w:r>
      <w:r>
        <w:t>bilhões).</w:t>
      </w:r>
    </w:p>
    <w:p w14:paraId="4EB58971" w14:textId="603AE7B2" w:rsidR="00AD14E2" w:rsidRDefault="00AD14E2" w:rsidP="00AD14E2">
      <w:pPr>
        <w:pStyle w:val="1-REL11"/>
      </w:pPr>
      <w:r>
        <w:lastRenderedPageBreak/>
        <w:t>Dentre os países destinatários, a China foi o principal parceiro comercial do estado de Goiás, 57,4% do volume exportado, crescimento de 40,8</w:t>
      </w:r>
      <w:r w:rsidR="00EE0647">
        <w:t>0</w:t>
      </w:r>
      <w:r>
        <w:t>% em comparação aos resultados de 2022. Em seguida, estão o Vietnã e a Indonésia com participação de 4,7</w:t>
      </w:r>
      <w:r w:rsidR="00EE0647">
        <w:t>0</w:t>
      </w:r>
      <w:r>
        <w:t>% e 3,9</w:t>
      </w:r>
      <w:r w:rsidR="00EE0647">
        <w:t>0</w:t>
      </w:r>
      <w:r>
        <w:t>%, respectivamente.</w:t>
      </w:r>
    </w:p>
    <w:p w14:paraId="256699BB" w14:textId="4E110DA2" w:rsidR="00AD14E2" w:rsidRDefault="00AD14E2" w:rsidP="00AD14E2">
      <w:pPr>
        <w:pStyle w:val="1-REL11"/>
        <w:rPr>
          <w:highlight w:val="lightGray"/>
        </w:rPr>
      </w:pPr>
      <w:r>
        <w:t>Os produtos de maior representatividade na exportação decorrem do agronegócio, representando 96,9% do volume total exportado pelo Estado. Com ressalto para os produtos que não passaram por nenhum processo de transformação, como soja em grão, milho em grão, carnes congeladas, entre outros, totalizaram 79,4</w:t>
      </w:r>
      <w:r w:rsidR="00EE0647">
        <w:t>0</w:t>
      </w:r>
      <w:r>
        <w:t>% das exportações do agronegócio em Goiás. As exportações do segmento da Agroindústria representaram 20,6</w:t>
      </w:r>
      <w:r w:rsidR="00EE0647">
        <w:t>0</w:t>
      </w:r>
      <w:r>
        <w:t>% do volume exportado do setor, enquanto o segmento de Insumos que integram produtos como máquinas agrícolas e fertilizantes representou 0,002%.</w:t>
      </w:r>
    </w:p>
    <w:p w14:paraId="6C246C87" w14:textId="389129A2" w:rsidR="00AD14E2" w:rsidRDefault="00AD14E2" w:rsidP="00AD14E2">
      <w:pPr>
        <w:pStyle w:val="1-REL11"/>
        <w:rPr>
          <w:highlight w:val="lightGray"/>
        </w:rPr>
      </w:pPr>
      <w:r>
        <w:t>Conclui-se que os grandes destaques da pauta exportadora de Goiás integram o agronegócio. Somente o complexo soja representou 63,6</w:t>
      </w:r>
      <w:r w:rsidR="00EE0647">
        <w:t>0</w:t>
      </w:r>
      <w:r>
        <w:t>% das exportações de Goiás, seguido das exportações de milho e derivados, 23,7</w:t>
      </w:r>
      <w:r w:rsidR="00EE0647">
        <w:t>0</w:t>
      </w:r>
      <w:r>
        <w:t>% e das exportações de açúcares, 5,5</w:t>
      </w:r>
      <w:r w:rsidR="00EE0647">
        <w:t>0</w:t>
      </w:r>
      <w:r>
        <w:t>%.</w:t>
      </w:r>
    </w:p>
    <w:p w14:paraId="12F2D16C" w14:textId="021FEB1C" w:rsidR="00AD14E2" w:rsidRPr="00B215AC" w:rsidRDefault="00AD14E2" w:rsidP="00B523B9">
      <w:pPr>
        <w:pStyle w:val="1-REL11"/>
        <w:rPr>
          <w:color w:val="FF0000"/>
        </w:rPr>
        <w:sectPr w:rsidR="00AD14E2" w:rsidRPr="00B215AC" w:rsidSect="00C57A3A">
          <w:footerReference w:type="default" r:id="rId22"/>
          <w:footnotePr>
            <w:numRestart w:val="eachSect"/>
          </w:footnotePr>
          <w:pgSz w:w="11905" w:h="16837"/>
          <w:pgMar w:top="1134" w:right="851" w:bottom="1134" w:left="1701" w:header="720" w:footer="720" w:gutter="0"/>
          <w:cols w:space="720"/>
          <w:noEndnote/>
        </w:sectPr>
      </w:pPr>
    </w:p>
    <w:p w14:paraId="0858E0A6" w14:textId="77777777" w:rsidR="00C94FBC" w:rsidRPr="00B215AC" w:rsidRDefault="00C94FBC" w:rsidP="00C94FBC">
      <w:pPr>
        <w:pStyle w:val="0-TXT11"/>
        <w:rPr>
          <w:rFonts w:cs="Times New Roman"/>
          <w:color w:val="FF0000"/>
        </w:rPr>
      </w:pPr>
    </w:p>
    <w:p w14:paraId="54AEED8F" w14:textId="77777777" w:rsidR="00C94FBC" w:rsidRPr="00B215AC" w:rsidRDefault="00C94FBC" w:rsidP="00C94FBC">
      <w:pPr>
        <w:pStyle w:val="0-TXT11"/>
        <w:rPr>
          <w:rFonts w:cs="Times New Roman"/>
          <w:color w:val="FF0000"/>
        </w:rPr>
      </w:pPr>
    </w:p>
    <w:p w14:paraId="55DC7C10" w14:textId="77777777" w:rsidR="00C94FBC" w:rsidRPr="00B215AC" w:rsidRDefault="00C94FBC" w:rsidP="00C94FBC">
      <w:pPr>
        <w:pStyle w:val="0-TXT11"/>
        <w:rPr>
          <w:rFonts w:cs="Times New Roman"/>
          <w:color w:val="FF0000"/>
        </w:rPr>
      </w:pPr>
    </w:p>
    <w:p w14:paraId="069047FC" w14:textId="77777777" w:rsidR="00C94FBC" w:rsidRPr="00B215AC" w:rsidRDefault="00C94FBC" w:rsidP="00C94FBC">
      <w:pPr>
        <w:pStyle w:val="0-TXT11"/>
        <w:rPr>
          <w:rFonts w:cs="Times New Roman"/>
          <w:color w:val="FF0000"/>
        </w:rPr>
      </w:pPr>
    </w:p>
    <w:p w14:paraId="68263DAD" w14:textId="77777777" w:rsidR="00C94FBC" w:rsidRPr="00B215AC" w:rsidRDefault="00C94FBC" w:rsidP="00C94FBC">
      <w:pPr>
        <w:pStyle w:val="0-TXT11"/>
        <w:rPr>
          <w:rFonts w:cs="Times New Roman"/>
          <w:color w:val="FF0000"/>
        </w:rPr>
      </w:pPr>
    </w:p>
    <w:p w14:paraId="1E18F95B" w14:textId="77777777" w:rsidR="00C94FBC" w:rsidRPr="00B215AC" w:rsidRDefault="00C94FBC" w:rsidP="00C94FBC">
      <w:pPr>
        <w:pStyle w:val="0-TXT11"/>
        <w:rPr>
          <w:rFonts w:cs="Times New Roman"/>
          <w:color w:val="FF0000"/>
        </w:rPr>
      </w:pPr>
    </w:p>
    <w:p w14:paraId="3F22D3ED" w14:textId="77777777" w:rsidR="00C94FBC" w:rsidRPr="00B215AC" w:rsidRDefault="00C94FBC" w:rsidP="00C94FBC">
      <w:pPr>
        <w:pStyle w:val="0-TXT11"/>
        <w:rPr>
          <w:rFonts w:cs="Times New Roman"/>
          <w:color w:val="FF0000"/>
        </w:rPr>
      </w:pPr>
    </w:p>
    <w:p w14:paraId="362909F5" w14:textId="77777777" w:rsidR="00C94FBC" w:rsidRPr="00B215AC" w:rsidRDefault="00C94FBC" w:rsidP="00C94FBC">
      <w:pPr>
        <w:pStyle w:val="0-TXT11"/>
        <w:rPr>
          <w:rFonts w:cs="Times New Roman"/>
          <w:color w:val="FF0000"/>
        </w:rPr>
      </w:pPr>
    </w:p>
    <w:p w14:paraId="5F6FD431" w14:textId="77777777" w:rsidR="00C94FBC" w:rsidRPr="00B215AC" w:rsidRDefault="00C94FBC" w:rsidP="00C94FBC">
      <w:pPr>
        <w:pStyle w:val="0-TXT11"/>
        <w:rPr>
          <w:rFonts w:cs="Times New Roman"/>
          <w:color w:val="FF0000"/>
        </w:rPr>
      </w:pPr>
    </w:p>
    <w:p w14:paraId="602C53FC" w14:textId="77777777" w:rsidR="00C94FBC" w:rsidRPr="00B215AC" w:rsidRDefault="00C94FBC" w:rsidP="00C94FBC">
      <w:pPr>
        <w:pStyle w:val="0-TXT11"/>
        <w:rPr>
          <w:rFonts w:cs="Times New Roman"/>
          <w:color w:val="FF0000"/>
        </w:rPr>
      </w:pPr>
    </w:p>
    <w:p w14:paraId="1F9ED1E0" w14:textId="77777777" w:rsidR="00C94FBC" w:rsidRPr="00B215AC" w:rsidRDefault="00C94FBC" w:rsidP="00C94FBC">
      <w:pPr>
        <w:pStyle w:val="0-TXT11"/>
        <w:rPr>
          <w:rFonts w:cs="Times New Roman"/>
          <w:color w:val="FF0000"/>
        </w:rPr>
      </w:pPr>
    </w:p>
    <w:p w14:paraId="2AE6445C" w14:textId="77777777" w:rsidR="00C94FBC" w:rsidRPr="00B215AC" w:rsidRDefault="00C94FBC" w:rsidP="00C94FBC">
      <w:pPr>
        <w:pStyle w:val="0-TXT11"/>
        <w:rPr>
          <w:rFonts w:cs="Times New Roman"/>
          <w:color w:val="FF0000"/>
        </w:rPr>
      </w:pPr>
    </w:p>
    <w:p w14:paraId="5ED949EC" w14:textId="77777777" w:rsidR="00C94FBC" w:rsidRPr="00B215AC" w:rsidRDefault="00C94FBC" w:rsidP="00C94FBC">
      <w:pPr>
        <w:pStyle w:val="0-TXT11"/>
        <w:rPr>
          <w:rFonts w:cs="Times New Roman"/>
          <w:color w:val="FF0000"/>
        </w:rPr>
      </w:pPr>
    </w:p>
    <w:p w14:paraId="50F5CE08" w14:textId="77777777" w:rsidR="00C94FBC" w:rsidRPr="00B215AC" w:rsidRDefault="00C94FBC" w:rsidP="00C94FBC">
      <w:pPr>
        <w:pStyle w:val="0-TXT11"/>
        <w:rPr>
          <w:rFonts w:cs="Times New Roman"/>
          <w:color w:val="FF0000"/>
        </w:rPr>
      </w:pPr>
    </w:p>
    <w:p w14:paraId="00EDE6F2" w14:textId="77777777" w:rsidR="00C94FBC" w:rsidRPr="00B215AC" w:rsidRDefault="00C94FBC" w:rsidP="00C94FBC">
      <w:pPr>
        <w:pStyle w:val="0-TXT11"/>
        <w:rPr>
          <w:rFonts w:cs="Times New Roman"/>
          <w:color w:val="FF0000"/>
        </w:rPr>
      </w:pPr>
    </w:p>
    <w:p w14:paraId="41C183D1" w14:textId="77777777" w:rsidR="00C94FBC" w:rsidRPr="00B215AC" w:rsidRDefault="00C94FBC" w:rsidP="00C94FBC">
      <w:pPr>
        <w:pStyle w:val="0-TXT11"/>
        <w:rPr>
          <w:rFonts w:cs="Times New Roman"/>
          <w:color w:val="FF0000"/>
        </w:rPr>
      </w:pPr>
    </w:p>
    <w:p w14:paraId="37EAC1B8" w14:textId="77777777" w:rsidR="00C94FBC" w:rsidRPr="00B215AC" w:rsidRDefault="00C94FBC" w:rsidP="00C94FBC">
      <w:pPr>
        <w:pStyle w:val="0-TXT11"/>
        <w:rPr>
          <w:rFonts w:cs="Times New Roman"/>
          <w:color w:val="FF0000"/>
        </w:rPr>
      </w:pPr>
    </w:p>
    <w:p w14:paraId="44167826" w14:textId="77777777" w:rsidR="00FD18CD" w:rsidRPr="00B215AC" w:rsidRDefault="00FD18CD" w:rsidP="00C94FBC">
      <w:pPr>
        <w:pStyle w:val="0-TXT11"/>
        <w:rPr>
          <w:rFonts w:cs="Times New Roman"/>
          <w:color w:val="FF0000"/>
        </w:rPr>
      </w:pPr>
    </w:p>
    <w:p w14:paraId="2D0C2E83" w14:textId="77777777" w:rsidR="00FD18CD" w:rsidRPr="00B215AC" w:rsidRDefault="00FD18CD" w:rsidP="00C94FBC">
      <w:pPr>
        <w:pStyle w:val="0-TXT11"/>
        <w:rPr>
          <w:rFonts w:cs="Times New Roman"/>
          <w:color w:val="FF0000"/>
        </w:rPr>
      </w:pPr>
    </w:p>
    <w:p w14:paraId="47610FDC" w14:textId="77777777" w:rsidR="00FD18CD" w:rsidRPr="00B215AC" w:rsidRDefault="00FD18CD" w:rsidP="00C94FBC">
      <w:pPr>
        <w:pStyle w:val="0-TXT11"/>
        <w:rPr>
          <w:rFonts w:cs="Times New Roman"/>
          <w:color w:val="FF0000"/>
        </w:rPr>
      </w:pPr>
    </w:p>
    <w:p w14:paraId="71AA5491" w14:textId="77777777" w:rsidR="00C94FBC" w:rsidRPr="00B215AC" w:rsidRDefault="00C94FBC" w:rsidP="00C94FBC">
      <w:pPr>
        <w:pStyle w:val="0-TXT11"/>
        <w:rPr>
          <w:rFonts w:cs="Times New Roman"/>
          <w:color w:val="FF0000"/>
        </w:rPr>
      </w:pPr>
    </w:p>
    <w:p w14:paraId="2E7B433A" w14:textId="77777777" w:rsidR="00C94FBC" w:rsidRPr="00B215AC" w:rsidRDefault="00C94FBC" w:rsidP="00C94FBC">
      <w:pPr>
        <w:pStyle w:val="0-TXT11"/>
        <w:rPr>
          <w:rFonts w:cs="Times New Roman"/>
          <w:color w:val="FF0000"/>
        </w:rPr>
      </w:pPr>
    </w:p>
    <w:p w14:paraId="49CEC7FC" w14:textId="77777777" w:rsidR="00C94FBC" w:rsidRPr="00B215AC" w:rsidRDefault="00C94FBC" w:rsidP="00C94FBC">
      <w:pPr>
        <w:pStyle w:val="0-TXT11"/>
        <w:rPr>
          <w:rFonts w:cs="Times New Roman"/>
          <w:color w:val="FF0000"/>
        </w:rPr>
      </w:pPr>
    </w:p>
    <w:p w14:paraId="1CDAE611" w14:textId="77777777" w:rsidR="00C94FBC" w:rsidRPr="00B215AC" w:rsidRDefault="00C94FBC" w:rsidP="00C94FBC">
      <w:pPr>
        <w:pStyle w:val="0-TXT11"/>
        <w:rPr>
          <w:rFonts w:cs="Times New Roman"/>
          <w:color w:val="FF0000"/>
        </w:rPr>
      </w:pPr>
    </w:p>
    <w:p w14:paraId="14B8D3A6" w14:textId="77777777" w:rsidR="00FD18CD" w:rsidRPr="00B215AC" w:rsidRDefault="00FD18CD" w:rsidP="00FD18CD">
      <w:pPr>
        <w:pStyle w:val="Ttulo"/>
        <w:rPr>
          <w:color w:val="auto"/>
        </w:rPr>
      </w:pPr>
    </w:p>
    <w:p w14:paraId="119C46FF" w14:textId="77777777" w:rsidR="00C94FBC" w:rsidRPr="00B215AC" w:rsidRDefault="00C94FBC" w:rsidP="00B523B9">
      <w:pPr>
        <w:pStyle w:val="1-CAPTULO"/>
      </w:pPr>
    </w:p>
    <w:p w14:paraId="7AF1C814" w14:textId="77777777" w:rsidR="00C94FBC" w:rsidRPr="00B215AC" w:rsidRDefault="00084F94" w:rsidP="00C94FBC">
      <w:pPr>
        <w:pStyle w:val="0-TXT11"/>
        <w:jc w:val="right"/>
        <w:rPr>
          <w:rFonts w:cs="Times New Roman"/>
          <w:sz w:val="48"/>
          <w:szCs w:val="48"/>
        </w:rPr>
      </w:pPr>
      <w:r w:rsidRPr="00B215AC">
        <w:rPr>
          <w:rFonts w:cs="Times New Roman"/>
          <w:sz w:val="48"/>
          <w:szCs w:val="48"/>
        </w:rPr>
        <w:t>Ação Setorial do Governo</w:t>
      </w:r>
    </w:p>
    <w:p w14:paraId="2895B28F" w14:textId="77777777" w:rsidR="00C94FBC" w:rsidRPr="00B215AC" w:rsidRDefault="00C94FBC" w:rsidP="00C94FBC">
      <w:pPr>
        <w:pStyle w:val="0-TXT11"/>
        <w:ind w:right="-2"/>
        <w:rPr>
          <w:rFonts w:cs="Times New Roman"/>
        </w:rPr>
      </w:pPr>
    </w:p>
    <w:p w14:paraId="11EFE534" w14:textId="77777777" w:rsidR="00C94FBC" w:rsidRPr="00B215AC" w:rsidRDefault="00C94FBC" w:rsidP="00C94FBC">
      <w:pPr>
        <w:pStyle w:val="0-TXT11"/>
        <w:ind w:right="-2"/>
        <w:rPr>
          <w:rFonts w:cs="Times New Roman"/>
          <w:color w:val="FF0000"/>
        </w:rPr>
      </w:pPr>
    </w:p>
    <w:p w14:paraId="3B38B9C8" w14:textId="77777777" w:rsidR="00BB53AC" w:rsidRPr="00B215AC" w:rsidRDefault="00BB53AC" w:rsidP="00C94FBC">
      <w:pPr>
        <w:pStyle w:val="0-TXT11"/>
        <w:ind w:right="-2"/>
        <w:rPr>
          <w:rFonts w:cs="Times New Roman"/>
          <w:color w:val="FF0000"/>
        </w:rPr>
      </w:pPr>
    </w:p>
    <w:p w14:paraId="0A3C08D9" w14:textId="77777777" w:rsidR="00BB53AC" w:rsidRPr="00B215AC" w:rsidRDefault="00BB53AC" w:rsidP="00C94FBC">
      <w:pPr>
        <w:pStyle w:val="0-TXT11"/>
        <w:ind w:right="-2"/>
        <w:rPr>
          <w:rFonts w:cs="Times New Roman"/>
          <w:color w:val="FF0000"/>
        </w:rPr>
      </w:pPr>
    </w:p>
    <w:p w14:paraId="3C2C227B" w14:textId="77777777" w:rsidR="00BB53AC" w:rsidRPr="00B215AC" w:rsidRDefault="00BB53AC" w:rsidP="00C94FBC">
      <w:pPr>
        <w:pStyle w:val="0-TXT11"/>
        <w:ind w:right="-2"/>
        <w:rPr>
          <w:rFonts w:cs="Times New Roman"/>
          <w:color w:val="FF0000"/>
        </w:rPr>
      </w:pPr>
    </w:p>
    <w:p w14:paraId="0433A4A0" w14:textId="77777777" w:rsidR="00BB53AC" w:rsidRPr="00B215AC" w:rsidRDefault="00BB53AC" w:rsidP="00C94FBC">
      <w:pPr>
        <w:pStyle w:val="0-TXT11"/>
        <w:ind w:right="-2"/>
        <w:rPr>
          <w:rFonts w:cs="Times New Roman"/>
          <w:color w:val="FF0000"/>
        </w:rPr>
      </w:pPr>
    </w:p>
    <w:p w14:paraId="4C3F3CBB" w14:textId="77777777" w:rsidR="00BB53AC" w:rsidRPr="00B215AC" w:rsidRDefault="00BB53AC" w:rsidP="00C94FBC">
      <w:pPr>
        <w:pStyle w:val="0-TXT11"/>
        <w:ind w:right="-2"/>
        <w:rPr>
          <w:rFonts w:cs="Times New Roman"/>
          <w:color w:val="FF0000"/>
        </w:rPr>
      </w:pPr>
    </w:p>
    <w:p w14:paraId="3109AB06" w14:textId="77777777" w:rsidR="00BB53AC" w:rsidRPr="00B215AC" w:rsidRDefault="00BB53AC" w:rsidP="00C94FBC">
      <w:pPr>
        <w:pStyle w:val="0-TXT11"/>
        <w:ind w:right="-2"/>
        <w:rPr>
          <w:rFonts w:cs="Times New Roman"/>
          <w:color w:val="FF0000"/>
        </w:rPr>
      </w:pPr>
    </w:p>
    <w:p w14:paraId="5AF2DDE5" w14:textId="77777777" w:rsidR="00BB53AC" w:rsidRPr="00B215AC" w:rsidRDefault="00BB53AC" w:rsidP="00C94FBC">
      <w:pPr>
        <w:pStyle w:val="0-TXT11"/>
        <w:ind w:right="-2"/>
        <w:rPr>
          <w:rFonts w:cs="Times New Roman"/>
          <w:color w:val="FF0000"/>
        </w:rPr>
      </w:pPr>
    </w:p>
    <w:p w14:paraId="3237766E" w14:textId="77777777" w:rsidR="00BB53AC" w:rsidRPr="00B215AC" w:rsidRDefault="00BB53AC" w:rsidP="00C94FBC">
      <w:pPr>
        <w:pStyle w:val="0-TXT11"/>
        <w:ind w:right="-2"/>
        <w:rPr>
          <w:rFonts w:cs="Times New Roman"/>
          <w:color w:val="FF0000"/>
        </w:rPr>
      </w:pPr>
    </w:p>
    <w:p w14:paraId="14C72471" w14:textId="77777777" w:rsidR="00C94FBC" w:rsidRPr="00B215AC" w:rsidRDefault="00C94FBC" w:rsidP="00C94FBC">
      <w:pPr>
        <w:pStyle w:val="0-TXT11"/>
        <w:ind w:right="-2"/>
        <w:rPr>
          <w:rFonts w:cs="Times New Roman"/>
          <w:color w:val="FF0000"/>
        </w:rPr>
      </w:pPr>
    </w:p>
    <w:p w14:paraId="36CDCBA8" w14:textId="77777777" w:rsidR="00C94FBC" w:rsidRPr="00B215AC" w:rsidRDefault="00C94FBC" w:rsidP="00B523B9">
      <w:pPr>
        <w:pStyle w:val="1-REL11"/>
        <w:rPr>
          <w:color w:val="FF0000"/>
        </w:rPr>
      </w:pPr>
    </w:p>
    <w:p w14:paraId="100AC640" w14:textId="0A60C200" w:rsidR="00C94FBC" w:rsidRPr="00B215AC" w:rsidRDefault="00C94FBC" w:rsidP="00B523B9">
      <w:pPr>
        <w:pStyle w:val="1-REL11"/>
        <w:rPr>
          <w:color w:val="FF0000"/>
        </w:rPr>
        <w:sectPr w:rsidR="00C94FBC" w:rsidRPr="00B215AC" w:rsidSect="00C57A3A">
          <w:footerReference w:type="default" r:id="rId23"/>
          <w:footnotePr>
            <w:numRestart w:val="eachSect"/>
          </w:footnotePr>
          <w:pgSz w:w="11905" w:h="16837"/>
          <w:pgMar w:top="1134" w:right="851" w:bottom="1134" w:left="1701" w:header="720" w:footer="720" w:gutter="0"/>
          <w:cols w:space="720"/>
          <w:noEndnote/>
        </w:sectPr>
      </w:pPr>
    </w:p>
    <w:p w14:paraId="5F18D56F" w14:textId="14CE4FC1" w:rsidR="00BD067C" w:rsidRPr="00B215AC" w:rsidRDefault="00BD067C" w:rsidP="00E175C4">
      <w:pPr>
        <w:pStyle w:val="Ttulo1"/>
        <w:numPr>
          <w:ilvl w:val="0"/>
          <w:numId w:val="34"/>
        </w:numPr>
      </w:pPr>
      <w:bookmarkStart w:id="23" w:name="_Toc167871620"/>
      <w:r w:rsidRPr="00B215AC">
        <w:lastRenderedPageBreak/>
        <w:t xml:space="preserve">Ação </w:t>
      </w:r>
      <w:r w:rsidRPr="0069149D">
        <w:t>Setorial</w:t>
      </w:r>
      <w:r w:rsidRPr="00B215AC">
        <w:t xml:space="preserve"> do Governo</w:t>
      </w:r>
      <w:bookmarkEnd w:id="23"/>
      <w:r w:rsidRPr="00B215AC">
        <w:t xml:space="preserve"> </w:t>
      </w:r>
    </w:p>
    <w:p w14:paraId="5B0B4A5E" w14:textId="5EB67867" w:rsidR="0069149D" w:rsidRPr="00BB228F" w:rsidRDefault="0069149D" w:rsidP="00F71F59">
      <w:pPr>
        <w:pStyle w:val="1-REL11"/>
        <w:spacing w:line="288" w:lineRule="auto"/>
        <w:rPr>
          <w:rFonts w:cs="Arial"/>
        </w:rPr>
      </w:pPr>
      <w:r>
        <w:t xml:space="preserve">A análise </w:t>
      </w:r>
      <w:r w:rsidRPr="000F69A1">
        <w:t>da ação setorial do governo</w:t>
      </w:r>
      <w:r>
        <w:t xml:space="preserve"> no presente Relatório busca oferecer elementos técnicos em relação aos eixos e objetivos estratégicos e programas temáticos do Plano Plurianual 2020-2023, por meio dos quais destacam-se as realizações do governo e os efeitos da atuação estatal para a sociedade.</w:t>
      </w:r>
    </w:p>
    <w:p w14:paraId="44413445" w14:textId="1E212FB2" w:rsidR="00BD067C" w:rsidRPr="00B215AC" w:rsidRDefault="00BD067C" w:rsidP="00B000B6">
      <w:pPr>
        <w:pStyle w:val="Ttulo2"/>
        <w:numPr>
          <w:ilvl w:val="1"/>
          <w:numId w:val="34"/>
        </w:numPr>
      </w:pPr>
      <w:bookmarkStart w:id="24" w:name="_Ref104212827"/>
      <w:bookmarkStart w:id="25" w:name="_Toc167871621"/>
      <w:r w:rsidRPr="00B215AC">
        <w:t xml:space="preserve">Plano </w:t>
      </w:r>
      <w:bookmarkEnd w:id="24"/>
      <w:r w:rsidR="0069149D">
        <w:t>Plurianual</w:t>
      </w:r>
      <w:bookmarkEnd w:id="25"/>
    </w:p>
    <w:p w14:paraId="517AC6FA" w14:textId="5A4AE8B5" w:rsidR="00F71F59" w:rsidRPr="00AB6334" w:rsidRDefault="00F71F59" w:rsidP="00F71F59">
      <w:pPr>
        <w:pStyle w:val="1-REL11"/>
      </w:pPr>
      <w:r w:rsidRPr="00AB6334">
        <w:t xml:space="preserve">O </w:t>
      </w:r>
      <w:r w:rsidR="00FA0B1B" w:rsidRPr="00FA0B1B">
        <w:t xml:space="preserve">Plano Plurianual </w:t>
      </w:r>
      <w:r w:rsidR="00FA0B1B">
        <w:t>(PPA)</w:t>
      </w:r>
      <w:r w:rsidRPr="00AB6334">
        <w:t xml:space="preserve"> é um instrumento de planejamento de médio prazo que estabelece, de forma regionalizada, as diretrizes, objetivos e metas da administração pública para as despesas de capital e outras delas decorrentes e para as relativas aos programas de duração continuada (CF</w:t>
      </w:r>
      <w:r>
        <w:t>/88</w:t>
      </w:r>
      <w:r w:rsidRPr="00AB6334">
        <w:t>, art. 165, §</w:t>
      </w:r>
      <w:r>
        <w:t xml:space="preserve"> </w:t>
      </w:r>
      <w:r w:rsidRPr="00AB6334">
        <w:t>1º, bem como CE, art. 10, §</w:t>
      </w:r>
      <w:r>
        <w:t xml:space="preserve"> </w:t>
      </w:r>
      <w:r w:rsidRPr="00AB6334">
        <w:t>1º).</w:t>
      </w:r>
      <w:r w:rsidR="006246E6">
        <w:t xml:space="preserve">  </w:t>
      </w:r>
    </w:p>
    <w:p w14:paraId="6E30379D" w14:textId="77777777" w:rsidR="00F71F59" w:rsidRPr="00AB6334" w:rsidRDefault="00F71F59" w:rsidP="00736A8C">
      <w:pPr>
        <w:pStyle w:val="1-REL11"/>
        <w:numPr>
          <w:ilvl w:val="0"/>
          <w:numId w:val="44"/>
        </w:numPr>
      </w:pPr>
      <w:r w:rsidRPr="00AB6334">
        <w:t>Diretrizes: orienta os programas, com fundamento nas demandas da sociedade;</w:t>
      </w:r>
    </w:p>
    <w:p w14:paraId="4AD27739" w14:textId="77777777" w:rsidR="00F71F59" w:rsidRPr="00AB6334" w:rsidRDefault="00F71F59" w:rsidP="00736A8C">
      <w:pPr>
        <w:pStyle w:val="1-REL11"/>
        <w:numPr>
          <w:ilvl w:val="0"/>
          <w:numId w:val="44"/>
        </w:numPr>
      </w:pPr>
      <w:r w:rsidRPr="00AB6334">
        <w:t>Objetivos: resultado a ser alcançado que expressa o que deve ser feito para a transformação de determinada realidade;</w:t>
      </w:r>
    </w:p>
    <w:p w14:paraId="0734A2D9" w14:textId="77777777" w:rsidR="00F71F59" w:rsidRPr="00AB6334" w:rsidRDefault="00F71F59" w:rsidP="00736A8C">
      <w:pPr>
        <w:pStyle w:val="1-REL11"/>
        <w:numPr>
          <w:ilvl w:val="0"/>
          <w:numId w:val="44"/>
        </w:numPr>
      </w:pPr>
      <w:r w:rsidRPr="00AB6334">
        <w:t>Metas: resultado a ser alcançado, de natureza quantitativa ou qualitativa, que contribui para o alcance do objetivo.</w:t>
      </w:r>
    </w:p>
    <w:p w14:paraId="095809D8" w14:textId="77777777" w:rsidR="00F71F59" w:rsidRPr="00AB6334" w:rsidRDefault="00F71F59" w:rsidP="00F71F59">
      <w:pPr>
        <w:pStyle w:val="1-REL11"/>
      </w:pPr>
      <w:r w:rsidRPr="00AB6334">
        <w:t>Sua vigência é de 4 anos, iniciando-se no segundo exercício financeiro do mandato do chefe do Poder Executivo e terminando no primeiro exercício financeiro do mandato subsequente (ADCT, art. 35, §</w:t>
      </w:r>
      <w:r>
        <w:t xml:space="preserve"> </w:t>
      </w:r>
      <w:r w:rsidRPr="00AB6334">
        <w:t>2º, I).</w:t>
      </w:r>
    </w:p>
    <w:p w14:paraId="117E60FD" w14:textId="77777777" w:rsidR="00F71F59" w:rsidRPr="00AB6334" w:rsidRDefault="00F71F59" w:rsidP="00F71F59">
      <w:pPr>
        <w:pStyle w:val="1-REL11"/>
      </w:pPr>
      <w:r w:rsidRPr="00AB6334">
        <w:t>O PPA orienta a elaboração da Lei de Diretrizes Orçamentárias e da Lei Orçamentária Anual (LRF, art</w:t>
      </w:r>
      <w:r>
        <w:t>s</w:t>
      </w:r>
      <w:r w:rsidRPr="00AB6334">
        <w:t>. 5º e 16).</w:t>
      </w:r>
    </w:p>
    <w:p w14:paraId="385B8242" w14:textId="77777777" w:rsidR="00F71F59" w:rsidRPr="00AB6334" w:rsidRDefault="00F71F59" w:rsidP="00F71F59">
      <w:pPr>
        <w:pStyle w:val="1-REL11"/>
      </w:pPr>
      <w:r w:rsidRPr="00AB6334">
        <w:t xml:space="preserve">O PPA 2020-2023 do </w:t>
      </w:r>
      <w:r>
        <w:t>e</w:t>
      </w:r>
      <w:r w:rsidRPr="00AB6334">
        <w:t>stado de Goiás foi instituído pela Lei Estadual nº 20.755</w:t>
      </w:r>
      <w:r>
        <w:t xml:space="preserve">, de 28 de janeiro de </w:t>
      </w:r>
      <w:r w:rsidRPr="00AB6334">
        <w:t>2020</w:t>
      </w:r>
      <w:r>
        <w:t>,</w:t>
      </w:r>
      <w:r w:rsidRPr="00AB6334">
        <w:t xml:space="preserve"> e estrutura-se em:</w:t>
      </w:r>
    </w:p>
    <w:p w14:paraId="29A0E83B" w14:textId="77777777" w:rsidR="00F71F59" w:rsidRPr="00C71AD3" w:rsidRDefault="00F71F59" w:rsidP="00736A8C">
      <w:pPr>
        <w:pStyle w:val="1-REL11"/>
        <w:numPr>
          <w:ilvl w:val="0"/>
          <w:numId w:val="44"/>
        </w:numPr>
      </w:pPr>
      <w:r>
        <w:t>Eixo Estratégico de Atuação Intersetorial: representa o elemento de planejamento que organiza a atuação governamental, de forma integrada, articulada e sistêmica;</w:t>
      </w:r>
    </w:p>
    <w:p w14:paraId="1CF9F980" w14:textId="77777777" w:rsidR="00F71F59" w:rsidRPr="00C71AD3" w:rsidRDefault="00F71F59" w:rsidP="00736A8C">
      <w:pPr>
        <w:pStyle w:val="1-REL11"/>
        <w:numPr>
          <w:ilvl w:val="0"/>
          <w:numId w:val="44"/>
        </w:numPr>
      </w:pPr>
      <w:r>
        <w:t xml:space="preserve">Objetivo Estratégico: consiste em desdobramento do Eixo, sendo representado pelo desaﬁo que se pretende suplantar com a atuação do governo na implementação das políticas públicas; </w:t>
      </w:r>
    </w:p>
    <w:p w14:paraId="3CE563B7" w14:textId="1B202061" w:rsidR="00F71F59" w:rsidRDefault="00F71F59" w:rsidP="00736A8C">
      <w:pPr>
        <w:pStyle w:val="1-REL11"/>
        <w:numPr>
          <w:ilvl w:val="0"/>
          <w:numId w:val="44"/>
        </w:numPr>
      </w:pPr>
      <w:r w:rsidRPr="008F1215">
        <w:t>Programa: consiste no instrumento de intervenção da ação governamental, visando ao alcance dos resultados desejados pela busca da solução ou amenização de problemas ou atendimento de demandas da população goiana.</w:t>
      </w:r>
    </w:p>
    <w:p w14:paraId="472F3082" w14:textId="77777777" w:rsidR="00F71F59" w:rsidRPr="005C3EE0" w:rsidRDefault="00F71F59" w:rsidP="00F71F59">
      <w:pPr>
        <w:pStyle w:val="1-REL11"/>
        <w:ind w:left="720"/>
      </w:pPr>
      <w:r w:rsidRPr="00C71AD3">
        <w:t xml:space="preserve">São </w:t>
      </w:r>
      <w:r w:rsidRPr="005C3EE0">
        <w:t>classificados em:</w:t>
      </w:r>
    </w:p>
    <w:p w14:paraId="7864BA93" w14:textId="77777777" w:rsidR="00F71F59" w:rsidRPr="005C3EE0" w:rsidRDefault="00F71F59" w:rsidP="00736A8C">
      <w:pPr>
        <w:pStyle w:val="1-REL11"/>
        <w:numPr>
          <w:ilvl w:val="1"/>
          <w:numId w:val="44"/>
        </w:numPr>
      </w:pPr>
      <w:r w:rsidRPr="005C3EE0">
        <w:lastRenderedPageBreak/>
        <w:t>Finalísticos: resultam em bens e serviços de interesse direto e imediato da sociedade (atributos: resultado, indicador e metas físicas);</w:t>
      </w:r>
    </w:p>
    <w:p w14:paraId="4B5680F4" w14:textId="77777777" w:rsidR="00F71F59" w:rsidRPr="005C3EE0" w:rsidRDefault="00F71F59" w:rsidP="00736A8C">
      <w:pPr>
        <w:pStyle w:val="1-REL11"/>
        <w:numPr>
          <w:ilvl w:val="1"/>
          <w:numId w:val="44"/>
        </w:numPr>
      </w:pPr>
      <w:r w:rsidRPr="005C3EE0">
        <w:t>De Gestão: voltados para o funcionamento da máquina administrativa do Estado, contemplando o conjunto de despesas de natureza administrativa e outras não passíveis de apropriação nos programas finalísticos destinadas ao apoio, gestão e manutenção da atuação governamental; e</w:t>
      </w:r>
    </w:p>
    <w:p w14:paraId="509DEBAE" w14:textId="77777777" w:rsidR="00F71F59" w:rsidRPr="005C3EE0" w:rsidRDefault="00F71F59" w:rsidP="00736A8C">
      <w:pPr>
        <w:pStyle w:val="1-REL11"/>
        <w:numPr>
          <w:ilvl w:val="1"/>
          <w:numId w:val="44"/>
        </w:numPr>
      </w:pPr>
      <w:r w:rsidRPr="005C3EE0">
        <w:t>Especiais: não contribuem, de forma direta, para manutenção, expansão ou aperfeiçoamento das ações de governo, não geram produtos à sociedade nem ao governo (pagamento da dívida pública, cumprimento de decisões judiciais, previdência social e outras operações especiais que não ensejam contraprestação direta sob a forma de bens e serviços).</w:t>
      </w:r>
    </w:p>
    <w:p w14:paraId="4435024F" w14:textId="6FCE9CA5" w:rsidR="0069149D" w:rsidRPr="008C1264" w:rsidRDefault="0069149D" w:rsidP="0069149D">
      <w:pPr>
        <w:pStyle w:val="1-REL11"/>
      </w:pPr>
      <w:r>
        <w:t>Os Eixos e Objetivos Estratégicos definidos para o PPA 2020-2023 são:</w:t>
      </w:r>
    </w:p>
    <w:p w14:paraId="40A67242" w14:textId="03CE8617" w:rsidR="0069149D" w:rsidRDefault="0069149D" w:rsidP="00B000B6">
      <w:pPr>
        <w:pStyle w:val="0-T-QUADRO"/>
        <w:numPr>
          <w:ilvl w:val="0"/>
          <w:numId w:val="36"/>
        </w:numPr>
        <w:autoSpaceDN w:val="0"/>
        <w:ind w:left="0" w:firstLine="0"/>
        <w:rPr>
          <w:rFonts w:cs="Arial"/>
        </w:rPr>
      </w:pPr>
      <w:bookmarkStart w:id="26" w:name="_Toc167825121"/>
      <w:r>
        <w:rPr>
          <w:rFonts w:cs="Arial"/>
        </w:rPr>
        <w:t xml:space="preserve">Eixos Estratégicos PPA </w:t>
      </w:r>
      <w:r w:rsidR="00E6391B" w:rsidRPr="001C305A">
        <w:t>– 20</w:t>
      </w:r>
      <w:r w:rsidR="00E6391B">
        <w:t>20 a 2023</w:t>
      </w:r>
      <w:bookmarkEnd w:id="26"/>
    </w:p>
    <w:tbl>
      <w:tblPr>
        <w:tblW w:w="5000" w:type="pct"/>
        <w:tblCellMar>
          <w:left w:w="70" w:type="dxa"/>
          <w:right w:w="70" w:type="dxa"/>
        </w:tblCellMar>
        <w:tblLook w:val="04A0" w:firstRow="1" w:lastRow="0" w:firstColumn="1" w:lastColumn="0" w:noHBand="0" w:noVBand="1"/>
      </w:tblPr>
      <w:tblGrid>
        <w:gridCol w:w="4275"/>
        <w:gridCol w:w="5058"/>
      </w:tblGrid>
      <w:tr w:rsidR="00EB3BE8" w:rsidRPr="00423440" w14:paraId="2807B1CF" w14:textId="77777777" w:rsidTr="006A2FD6">
        <w:trPr>
          <w:trHeight w:val="340"/>
        </w:trPr>
        <w:tc>
          <w:tcPr>
            <w:tcW w:w="2290" w:type="pct"/>
            <w:tcBorders>
              <w:top w:val="single" w:sz="4" w:space="0" w:color="auto"/>
              <w:left w:val="single" w:sz="8" w:space="0" w:color="auto"/>
              <w:bottom w:val="single" w:sz="4" w:space="0" w:color="auto"/>
              <w:right w:val="single" w:sz="8" w:space="0" w:color="auto"/>
            </w:tcBorders>
            <w:shd w:val="clear" w:color="000000" w:fill="A1F2FD"/>
            <w:vAlign w:val="center"/>
            <w:hideMark/>
          </w:tcPr>
          <w:p w14:paraId="391BA8FF" w14:textId="77777777" w:rsidR="00EB3BE8" w:rsidRPr="00423440" w:rsidRDefault="00EB3BE8" w:rsidP="00EB3BE8">
            <w:pPr>
              <w:jc w:val="center"/>
              <w:rPr>
                <w:rFonts w:cs="Arial"/>
                <w:b/>
                <w:bCs/>
                <w:color w:val="000000"/>
                <w:sz w:val="20"/>
                <w:szCs w:val="20"/>
              </w:rPr>
            </w:pPr>
            <w:r w:rsidRPr="00423440">
              <w:rPr>
                <w:rFonts w:cs="Arial"/>
                <w:b/>
                <w:bCs/>
                <w:color w:val="000000"/>
                <w:sz w:val="20"/>
                <w:szCs w:val="20"/>
              </w:rPr>
              <w:t>Eixos Estratégicos</w:t>
            </w:r>
          </w:p>
        </w:tc>
        <w:tc>
          <w:tcPr>
            <w:tcW w:w="2710" w:type="pct"/>
            <w:tcBorders>
              <w:top w:val="single" w:sz="4" w:space="0" w:color="auto"/>
              <w:left w:val="nil"/>
              <w:bottom w:val="single" w:sz="4" w:space="0" w:color="auto"/>
              <w:right w:val="single" w:sz="8" w:space="0" w:color="auto"/>
            </w:tcBorders>
            <w:shd w:val="clear" w:color="000000" w:fill="A1F2FD"/>
            <w:vAlign w:val="center"/>
            <w:hideMark/>
          </w:tcPr>
          <w:p w14:paraId="752F060A" w14:textId="77777777" w:rsidR="00EB3BE8" w:rsidRPr="00423440" w:rsidRDefault="00EB3BE8" w:rsidP="00EB3BE8">
            <w:pPr>
              <w:jc w:val="center"/>
              <w:rPr>
                <w:rFonts w:cs="Arial"/>
                <w:b/>
                <w:bCs/>
                <w:color w:val="000000"/>
                <w:sz w:val="20"/>
                <w:szCs w:val="20"/>
              </w:rPr>
            </w:pPr>
            <w:r w:rsidRPr="00423440">
              <w:rPr>
                <w:rFonts w:cs="Arial"/>
                <w:b/>
                <w:bCs/>
                <w:color w:val="000000"/>
                <w:sz w:val="20"/>
                <w:szCs w:val="20"/>
              </w:rPr>
              <w:t>Objetivos Estratégicos</w:t>
            </w:r>
          </w:p>
        </w:tc>
      </w:tr>
      <w:tr w:rsidR="00EB3BE8" w:rsidRPr="00423440" w14:paraId="1C516B87" w14:textId="77777777" w:rsidTr="006A2FD6">
        <w:trPr>
          <w:trHeight w:val="340"/>
        </w:trPr>
        <w:tc>
          <w:tcPr>
            <w:tcW w:w="2290" w:type="pct"/>
            <w:tcBorders>
              <w:top w:val="single" w:sz="4" w:space="0" w:color="auto"/>
              <w:left w:val="single" w:sz="8" w:space="0" w:color="auto"/>
              <w:bottom w:val="single" w:sz="8" w:space="0" w:color="auto"/>
              <w:right w:val="single" w:sz="8" w:space="0" w:color="auto"/>
            </w:tcBorders>
            <w:shd w:val="clear" w:color="000000" w:fill="FFFFFF"/>
            <w:vAlign w:val="center"/>
            <w:hideMark/>
          </w:tcPr>
          <w:p w14:paraId="4A3D158F" w14:textId="77777777" w:rsidR="00EB3BE8" w:rsidRPr="00423440" w:rsidRDefault="00EB3BE8" w:rsidP="00EB3BE8">
            <w:pPr>
              <w:jc w:val="center"/>
              <w:rPr>
                <w:rFonts w:cs="Arial"/>
                <w:color w:val="000000"/>
                <w:sz w:val="20"/>
                <w:szCs w:val="20"/>
              </w:rPr>
            </w:pPr>
            <w:r w:rsidRPr="00423440">
              <w:rPr>
                <w:rFonts w:cs="Arial"/>
                <w:color w:val="000000"/>
                <w:sz w:val="20"/>
                <w:szCs w:val="20"/>
              </w:rPr>
              <w:t>Eixo 1 - Goiás da Responsabilidade Fiscal</w:t>
            </w:r>
          </w:p>
        </w:tc>
        <w:tc>
          <w:tcPr>
            <w:tcW w:w="2710" w:type="pct"/>
            <w:tcBorders>
              <w:top w:val="single" w:sz="4" w:space="0" w:color="auto"/>
              <w:left w:val="nil"/>
              <w:bottom w:val="single" w:sz="8" w:space="0" w:color="auto"/>
              <w:right w:val="single" w:sz="8" w:space="0" w:color="auto"/>
            </w:tcBorders>
            <w:shd w:val="clear" w:color="000000" w:fill="FFFFFF"/>
            <w:vAlign w:val="center"/>
            <w:hideMark/>
          </w:tcPr>
          <w:p w14:paraId="2470F41B" w14:textId="77777777" w:rsidR="00EB3BE8" w:rsidRPr="00423440" w:rsidRDefault="00EB3BE8" w:rsidP="00EB3BE8">
            <w:pPr>
              <w:jc w:val="center"/>
              <w:rPr>
                <w:rFonts w:cs="Arial"/>
                <w:color w:val="000000"/>
                <w:sz w:val="20"/>
                <w:szCs w:val="20"/>
              </w:rPr>
            </w:pPr>
            <w:r w:rsidRPr="00423440">
              <w:rPr>
                <w:rFonts w:cs="Arial"/>
                <w:color w:val="000000"/>
                <w:sz w:val="20"/>
                <w:szCs w:val="20"/>
              </w:rPr>
              <w:t>Sustentabilidade Financeira</w:t>
            </w:r>
          </w:p>
        </w:tc>
      </w:tr>
      <w:tr w:rsidR="00EB3BE8" w:rsidRPr="00423440" w14:paraId="254AAA68" w14:textId="77777777" w:rsidTr="00EB3BE8">
        <w:trPr>
          <w:trHeight w:val="340"/>
        </w:trPr>
        <w:tc>
          <w:tcPr>
            <w:tcW w:w="2290"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7A96EAF6" w14:textId="77777777" w:rsidR="00EB3BE8" w:rsidRPr="00423440" w:rsidRDefault="00EB3BE8" w:rsidP="00EB3BE8">
            <w:pPr>
              <w:jc w:val="center"/>
              <w:rPr>
                <w:rFonts w:cs="Arial"/>
                <w:color w:val="000000"/>
                <w:sz w:val="20"/>
                <w:szCs w:val="20"/>
              </w:rPr>
            </w:pPr>
            <w:r w:rsidRPr="00423440">
              <w:rPr>
                <w:rFonts w:cs="Arial"/>
                <w:color w:val="000000"/>
                <w:sz w:val="20"/>
                <w:szCs w:val="20"/>
              </w:rPr>
              <w:t>Eixo 2 - Goiás da Governança e Gestão Transformadora</w:t>
            </w:r>
          </w:p>
        </w:tc>
        <w:tc>
          <w:tcPr>
            <w:tcW w:w="2710" w:type="pct"/>
            <w:tcBorders>
              <w:top w:val="nil"/>
              <w:left w:val="nil"/>
              <w:bottom w:val="dotted" w:sz="4" w:space="0" w:color="auto"/>
              <w:right w:val="single" w:sz="8" w:space="0" w:color="auto"/>
            </w:tcBorders>
            <w:shd w:val="clear" w:color="000000" w:fill="FFFFFF"/>
            <w:vAlign w:val="center"/>
            <w:hideMark/>
          </w:tcPr>
          <w:p w14:paraId="0AC0E62B" w14:textId="77777777" w:rsidR="00EB3BE8" w:rsidRPr="00423440" w:rsidRDefault="00EB3BE8" w:rsidP="00EB3BE8">
            <w:pPr>
              <w:jc w:val="center"/>
              <w:rPr>
                <w:rFonts w:cs="Arial"/>
                <w:color w:val="000000"/>
                <w:sz w:val="20"/>
                <w:szCs w:val="20"/>
              </w:rPr>
            </w:pPr>
            <w:r w:rsidRPr="00423440">
              <w:rPr>
                <w:rFonts w:cs="Arial"/>
                <w:color w:val="000000"/>
                <w:sz w:val="20"/>
                <w:szCs w:val="20"/>
              </w:rPr>
              <w:t>Confiança</w:t>
            </w:r>
          </w:p>
        </w:tc>
      </w:tr>
      <w:tr w:rsidR="00EB3BE8" w:rsidRPr="00423440" w14:paraId="3794EB91" w14:textId="77777777" w:rsidTr="00EB3BE8">
        <w:trPr>
          <w:trHeight w:val="340"/>
        </w:trPr>
        <w:tc>
          <w:tcPr>
            <w:tcW w:w="2290" w:type="pct"/>
            <w:vMerge/>
            <w:tcBorders>
              <w:top w:val="nil"/>
              <w:left w:val="single" w:sz="8" w:space="0" w:color="auto"/>
              <w:bottom w:val="single" w:sz="8" w:space="0" w:color="000000"/>
              <w:right w:val="single" w:sz="8" w:space="0" w:color="auto"/>
            </w:tcBorders>
            <w:vAlign w:val="center"/>
            <w:hideMark/>
          </w:tcPr>
          <w:p w14:paraId="3C7826C2" w14:textId="77777777" w:rsidR="00EB3BE8" w:rsidRPr="00423440" w:rsidRDefault="00EB3BE8" w:rsidP="00EB3BE8">
            <w:pPr>
              <w:jc w:val="left"/>
              <w:rPr>
                <w:rFonts w:cs="Arial"/>
                <w:color w:val="000000"/>
                <w:sz w:val="20"/>
                <w:szCs w:val="20"/>
              </w:rPr>
            </w:pPr>
          </w:p>
        </w:tc>
        <w:tc>
          <w:tcPr>
            <w:tcW w:w="2710" w:type="pct"/>
            <w:tcBorders>
              <w:top w:val="nil"/>
              <w:left w:val="nil"/>
              <w:bottom w:val="dotted" w:sz="4" w:space="0" w:color="auto"/>
              <w:right w:val="single" w:sz="8" w:space="0" w:color="auto"/>
            </w:tcBorders>
            <w:shd w:val="clear" w:color="000000" w:fill="FFFFFF"/>
            <w:vAlign w:val="center"/>
            <w:hideMark/>
          </w:tcPr>
          <w:p w14:paraId="6873A52F" w14:textId="77777777" w:rsidR="00EB3BE8" w:rsidRPr="00423440" w:rsidRDefault="00EB3BE8" w:rsidP="00EB3BE8">
            <w:pPr>
              <w:jc w:val="center"/>
              <w:rPr>
                <w:rFonts w:cs="Arial"/>
                <w:color w:val="000000"/>
                <w:sz w:val="20"/>
                <w:szCs w:val="20"/>
              </w:rPr>
            </w:pPr>
            <w:r w:rsidRPr="00423440">
              <w:rPr>
                <w:rFonts w:cs="Arial"/>
                <w:color w:val="000000"/>
                <w:sz w:val="20"/>
                <w:szCs w:val="20"/>
              </w:rPr>
              <w:t>Controle Social</w:t>
            </w:r>
          </w:p>
        </w:tc>
      </w:tr>
      <w:tr w:rsidR="00EB3BE8" w:rsidRPr="00423440" w14:paraId="3438C3C5" w14:textId="77777777" w:rsidTr="00EB3BE8">
        <w:trPr>
          <w:trHeight w:val="340"/>
        </w:trPr>
        <w:tc>
          <w:tcPr>
            <w:tcW w:w="2290" w:type="pct"/>
            <w:vMerge/>
            <w:tcBorders>
              <w:top w:val="nil"/>
              <w:left w:val="single" w:sz="8" w:space="0" w:color="auto"/>
              <w:bottom w:val="single" w:sz="8" w:space="0" w:color="000000"/>
              <w:right w:val="single" w:sz="8" w:space="0" w:color="auto"/>
            </w:tcBorders>
            <w:vAlign w:val="center"/>
            <w:hideMark/>
          </w:tcPr>
          <w:p w14:paraId="671DFE4D" w14:textId="77777777" w:rsidR="00EB3BE8" w:rsidRPr="00423440" w:rsidRDefault="00EB3BE8" w:rsidP="00EB3BE8">
            <w:pPr>
              <w:jc w:val="left"/>
              <w:rPr>
                <w:rFonts w:cs="Arial"/>
                <w:color w:val="000000"/>
                <w:sz w:val="20"/>
                <w:szCs w:val="20"/>
              </w:rPr>
            </w:pPr>
          </w:p>
        </w:tc>
        <w:tc>
          <w:tcPr>
            <w:tcW w:w="2710" w:type="pct"/>
            <w:tcBorders>
              <w:top w:val="nil"/>
              <w:left w:val="nil"/>
              <w:bottom w:val="dotted" w:sz="4" w:space="0" w:color="auto"/>
              <w:right w:val="single" w:sz="8" w:space="0" w:color="auto"/>
            </w:tcBorders>
            <w:shd w:val="clear" w:color="000000" w:fill="FFFFFF"/>
            <w:vAlign w:val="center"/>
            <w:hideMark/>
          </w:tcPr>
          <w:p w14:paraId="04B1CE02" w14:textId="77777777" w:rsidR="00EB3BE8" w:rsidRPr="00423440" w:rsidRDefault="00EB3BE8" w:rsidP="00EB3BE8">
            <w:pPr>
              <w:jc w:val="center"/>
              <w:rPr>
                <w:rFonts w:cs="Arial"/>
                <w:color w:val="000000"/>
                <w:sz w:val="20"/>
                <w:szCs w:val="20"/>
              </w:rPr>
            </w:pPr>
            <w:r w:rsidRPr="00423440">
              <w:rPr>
                <w:rFonts w:cs="Arial"/>
                <w:color w:val="000000"/>
                <w:sz w:val="20"/>
                <w:szCs w:val="20"/>
              </w:rPr>
              <w:t>Atendimento de Excelência</w:t>
            </w:r>
          </w:p>
        </w:tc>
      </w:tr>
      <w:tr w:rsidR="00EB3BE8" w:rsidRPr="00423440" w14:paraId="1428F8BD" w14:textId="77777777" w:rsidTr="00EB3BE8">
        <w:trPr>
          <w:trHeight w:val="340"/>
        </w:trPr>
        <w:tc>
          <w:tcPr>
            <w:tcW w:w="2290" w:type="pct"/>
            <w:vMerge/>
            <w:tcBorders>
              <w:top w:val="nil"/>
              <w:left w:val="single" w:sz="8" w:space="0" w:color="auto"/>
              <w:bottom w:val="single" w:sz="8" w:space="0" w:color="000000"/>
              <w:right w:val="single" w:sz="8" w:space="0" w:color="auto"/>
            </w:tcBorders>
            <w:vAlign w:val="center"/>
            <w:hideMark/>
          </w:tcPr>
          <w:p w14:paraId="00BB3A61" w14:textId="77777777" w:rsidR="00EB3BE8" w:rsidRPr="00423440" w:rsidRDefault="00EB3BE8" w:rsidP="00EB3BE8">
            <w:pPr>
              <w:jc w:val="left"/>
              <w:rPr>
                <w:rFonts w:cs="Arial"/>
                <w:color w:val="000000"/>
                <w:sz w:val="20"/>
                <w:szCs w:val="20"/>
              </w:rPr>
            </w:pPr>
          </w:p>
        </w:tc>
        <w:tc>
          <w:tcPr>
            <w:tcW w:w="2710" w:type="pct"/>
            <w:tcBorders>
              <w:top w:val="nil"/>
              <w:left w:val="nil"/>
              <w:bottom w:val="single" w:sz="8" w:space="0" w:color="auto"/>
              <w:right w:val="single" w:sz="8" w:space="0" w:color="auto"/>
            </w:tcBorders>
            <w:shd w:val="clear" w:color="000000" w:fill="FFFFFF"/>
            <w:vAlign w:val="center"/>
            <w:hideMark/>
          </w:tcPr>
          <w:p w14:paraId="29BB5E9A" w14:textId="77777777" w:rsidR="00EB3BE8" w:rsidRPr="00423440" w:rsidRDefault="00EB3BE8" w:rsidP="00EB3BE8">
            <w:pPr>
              <w:jc w:val="center"/>
              <w:rPr>
                <w:rFonts w:cs="Arial"/>
                <w:color w:val="000000"/>
                <w:sz w:val="20"/>
                <w:szCs w:val="20"/>
              </w:rPr>
            </w:pPr>
            <w:r w:rsidRPr="00423440">
              <w:rPr>
                <w:rFonts w:cs="Arial"/>
                <w:color w:val="000000"/>
                <w:sz w:val="20"/>
                <w:szCs w:val="20"/>
              </w:rPr>
              <w:t>Servidor Público</w:t>
            </w:r>
          </w:p>
        </w:tc>
      </w:tr>
      <w:tr w:rsidR="00EB3BE8" w:rsidRPr="00423440" w14:paraId="05B60B8D" w14:textId="77777777" w:rsidTr="00EB3BE8">
        <w:trPr>
          <w:trHeight w:val="340"/>
        </w:trPr>
        <w:tc>
          <w:tcPr>
            <w:tcW w:w="2290"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02DB31E2" w14:textId="77777777" w:rsidR="00EB3BE8" w:rsidRPr="00423440" w:rsidRDefault="00EB3BE8" w:rsidP="00EB3BE8">
            <w:pPr>
              <w:jc w:val="center"/>
              <w:rPr>
                <w:rFonts w:cs="Arial"/>
                <w:color w:val="000000"/>
                <w:sz w:val="20"/>
                <w:szCs w:val="20"/>
              </w:rPr>
            </w:pPr>
            <w:r w:rsidRPr="00423440">
              <w:rPr>
                <w:rFonts w:cs="Arial"/>
                <w:color w:val="000000"/>
                <w:sz w:val="20"/>
                <w:szCs w:val="20"/>
              </w:rPr>
              <w:t>Eixo 3 - Goiás da Infraestrutura e Sustentabilidade</w:t>
            </w:r>
          </w:p>
        </w:tc>
        <w:tc>
          <w:tcPr>
            <w:tcW w:w="2710" w:type="pct"/>
            <w:tcBorders>
              <w:top w:val="nil"/>
              <w:left w:val="nil"/>
              <w:bottom w:val="dotted" w:sz="4" w:space="0" w:color="auto"/>
              <w:right w:val="single" w:sz="8" w:space="0" w:color="auto"/>
            </w:tcBorders>
            <w:shd w:val="clear" w:color="000000" w:fill="FFFFFF"/>
            <w:vAlign w:val="center"/>
            <w:hideMark/>
          </w:tcPr>
          <w:p w14:paraId="2E156450" w14:textId="77777777" w:rsidR="00EB3BE8" w:rsidRPr="00423440" w:rsidRDefault="00EB3BE8" w:rsidP="00EB3BE8">
            <w:pPr>
              <w:jc w:val="center"/>
              <w:rPr>
                <w:rFonts w:cs="Arial"/>
                <w:color w:val="000000"/>
                <w:sz w:val="20"/>
                <w:szCs w:val="20"/>
              </w:rPr>
            </w:pPr>
            <w:r w:rsidRPr="00423440">
              <w:rPr>
                <w:rFonts w:cs="Arial"/>
                <w:color w:val="000000"/>
                <w:sz w:val="20"/>
                <w:szCs w:val="20"/>
              </w:rPr>
              <w:t>Infraestrutura para Famílias</w:t>
            </w:r>
          </w:p>
        </w:tc>
      </w:tr>
      <w:tr w:rsidR="00EB3BE8" w:rsidRPr="00423440" w14:paraId="0ED569B1" w14:textId="77777777" w:rsidTr="00EB3BE8">
        <w:trPr>
          <w:trHeight w:val="340"/>
        </w:trPr>
        <w:tc>
          <w:tcPr>
            <w:tcW w:w="2290" w:type="pct"/>
            <w:vMerge/>
            <w:tcBorders>
              <w:top w:val="nil"/>
              <w:left w:val="single" w:sz="8" w:space="0" w:color="auto"/>
              <w:bottom w:val="single" w:sz="8" w:space="0" w:color="000000"/>
              <w:right w:val="single" w:sz="8" w:space="0" w:color="auto"/>
            </w:tcBorders>
            <w:vAlign w:val="center"/>
            <w:hideMark/>
          </w:tcPr>
          <w:p w14:paraId="33E5CEB7" w14:textId="77777777" w:rsidR="00EB3BE8" w:rsidRPr="00423440" w:rsidRDefault="00EB3BE8" w:rsidP="00EB3BE8">
            <w:pPr>
              <w:jc w:val="left"/>
              <w:rPr>
                <w:rFonts w:cs="Arial"/>
                <w:color w:val="000000"/>
                <w:sz w:val="20"/>
                <w:szCs w:val="20"/>
              </w:rPr>
            </w:pPr>
          </w:p>
        </w:tc>
        <w:tc>
          <w:tcPr>
            <w:tcW w:w="2710" w:type="pct"/>
            <w:tcBorders>
              <w:top w:val="nil"/>
              <w:left w:val="nil"/>
              <w:bottom w:val="dotted" w:sz="4" w:space="0" w:color="auto"/>
              <w:right w:val="single" w:sz="8" w:space="0" w:color="auto"/>
            </w:tcBorders>
            <w:shd w:val="clear" w:color="000000" w:fill="FFFFFF"/>
            <w:vAlign w:val="center"/>
            <w:hideMark/>
          </w:tcPr>
          <w:p w14:paraId="1238244D" w14:textId="77777777" w:rsidR="00EB3BE8" w:rsidRPr="00423440" w:rsidRDefault="00EB3BE8" w:rsidP="00EB3BE8">
            <w:pPr>
              <w:jc w:val="center"/>
              <w:rPr>
                <w:rFonts w:cs="Arial"/>
                <w:color w:val="000000"/>
                <w:sz w:val="20"/>
                <w:szCs w:val="20"/>
              </w:rPr>
            </w:pPr>
            <w:r w:rsidRPr="00423440">
              <w:rPr>
                <w:rFonts w:cs="Arial"/>
                <w:color w:val="000000"/>
                <w:sz w:val="20"/>
                <w:szCs w:val="20"/>
              </w:rPr>
              <w:t>Infraestrutura para os Negócios</w:t>
            </w:r>
          </w:p>
        </w:tc>
      </w:tr>
      <w:tr w:rsidR="00EB3BE8" w:rsidRPr="00423440" w14:paraId="38B20471" w14:textId="77777777" w:rsidTr="00EB3BE8">
        <w:trPr>
          <w:trHeight w:val="340"/>
        </w:trPr>
        <w:tc>
          <w:tcPr>
            <w:tcW w:w="2290" w:type="pct"/>
            <w:vMerge/>
            <w:tcBorders>
              <w:top w:val="nil"/>
              <w:left w:val="single" w:sz="8" w:space="0" w:color="auto"/>
              <w:bottom w:val="single" w:sz="8" w:space="0" w:color="000000"/>
              <w:right w:val="single" w:sz="8" w:space="0" w:color="auto"/>
            </w:tcBorders>
            <w:vAlign w:val="center"/>
            <w:hideMark/>
          </w:tcPr>
          <w:p w14:paraId="2C44609D" w14:textId="77777777" w:rsidR="00EB3BE8" w:rsidRPr="00423440" w:rsidRDefault="00EB3BE8" w:rsidP="00EB3BE8">
            <w:pPr>
              <w:jc w:val="left"/>
              <w:rPr>
                <w:rFonts w:cs="Arial"/>
                <w:color w:val="000000"/>
                <w:sz w:val="20"/>
                <w:szCs w:val="20"/>
              </w:rPr>
            </w:pPr>
          </w:p>
        </w:tc>
        <w:tc>
          <w:tcPr>
            <w:tcW w:w="2710" w:type="pct"/>
            <w:tcBorders>
              <w:top w:val="nil"/>
              <w:left w:val="nil"/>
              <w:bottom w:val="single" w:sz="8" w:space="0" w:color="auto"/>
              <w:right w:val="single" w:sz="8" w:space="0" w:color="auto"/>
            </w:tcBorders>
            <w:shd w:val="clear" w:color="000000" w:fill="FFFFFF"/>
            <w:vAlign w:val="center"/>
            <w:hideMark/>
          </w:tcPr>
          <w:p w14:paraId="563B36CC" w14:textId="77777777" w:rsidR="00EB3BE8" w:rsidRPr="00423440" w:rsidRDefault="00EB3BE8" w:rsidP="00EB3BE8">
            <w:pPr>
              <w:jc w:val="center"/>
              <w:rPr>
                <w:rFonts w:cs="Arial"/>
                <w:color w:val="000000"/>
                <w:sz w:val="20"/>
                <w:szCs w:val="20"/>
              </w:rPr>
            </w:pPr>
            <w:r w:rsidRPr="00423440">
              <w:rPr>
                <w:rFonts w:cs="Arial"/>
                <w:color w:val="000000"/>
                <w:sz w:val="20"/>
                <w:szCs w:val="20"/>
              </w:rPr>
              <w:t>Meio Ambiente</w:t>
            </w:r>
          </w:p>
        </w:tc>
      </w:tr>
      <w:tr w:rsidR="00EB3BE8" w:rsidRPr="00423440" w14:paraId="372A0980" w14:textId="77777777" w:rsidTr="00EB3BE8">
        <w:trPr>
          <w:trHeight w:val="340"/>
        </w:trPr>
        <w:tc>
          <w:tcPr>
            <w:tcW w:w="2290"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20613A6B" w14:textId="77777777" w:rsidR="00EB3BE8" w:rsidRPr="00423440" w:rsidRDefault="00EB3BE8" w:rsidP="00EB3BE8">
            <w:pPr>
              <w:jc w:val="center"/>
              <w:rPr>
                <w:rFonts w:cs="Arial"/>
                <w:color w:val="000000"/>
                <w:sz w:val="20"/>
                <w:szCs w:val="20"/>
              </w:rPr>
            </w:pPr>
            <w:r w:rsidRPr="00423440">
              <w:rPr>
                <w:rFonts w:cs="Arial"/>
                <w:color w:val="000000"/>
                <w:sz w:val="20"/>
                <w:szCs w:val="20"/>
              </w:rPr>
              <w:t>Eixo 4 - Goiás da Educação Plena</w:t>
            </w:r>
          </w:p>
        </w:tc>
        <w:tc>
          <w:tcPr>
            <w:tcW w:w="2710" w:type="pct"/>
            <w:tcBorders>
              <w:top w:val="nil"/>
              <w:left w:val="nil"/>
              <w:bottom w:val="dotted" w:sz="4" w:space="0" w:color="auto"/>
              <w:right w:val="single" w:sz="8" w:space="0" w:color="auto"/>
            </w:tcBorders>
            <w:shd w:val="clear" w:color="000000" w:fill="FFFFFF"/>
            <w:vAlign w:val="center"/>
            <w:hideMark/>
          </w:tcPr>
          <w:p w14:paraId="4D0AECC4" w14:textId="77777777" w:rsidR="00EB3BE8" w:rsidRPr="00423440" w:rsidRDefault="00EB3BE8" w:rsidP="00EB3BE8">
            <w:pPr>
              <w:jc w:val="center"/>
              <w:rPr>
                <w:rFonts w:cs="Arial"/>
                <w:color w:val="000000"/>
                <w:sz w:val="20"/>
                <w:szCs w:val="20"/>
              </w:rPr>
            </w:pPr>
            <w:r w:rsidRPr="00423440">
              <w:rPr>
                <w:rFonts w:cs="Arial"/>
                <w:color w:val="000000"/>
                <w:sz w:val="20"/>
                <w:szCs w:val="20"/>
              </w:rPr>
              <w:t>Educação para Cidadania</w:t>
            </w:r>
          </w:p>
        </w:tc>
      </w:tr>
      <w:tr w:rsidR="00EB3BE8" w:rsidRPr="00423440" w14:paraId="31E2242C" w14:textId="77777777" w:rsidTr="00EB3BE8">
        <w:trPr>
          <w:trHeight w:val="340"/>
        </w:trPr>
        <w:tc>
          <w:tcPr>
            <w:tcW w:w="2290" w:type="pct"/>
            <w:vMerge/>
            <w:tcBorders>
              <w:top w:val="nil"/>
              <w:left w:val="single" w:sz="8" w:space="0" w:color="auto"/>
              <w:bottom w:val="single" w:sz="8" w:space="0" w:color="000000"/>
              <w:right w:val="single" w:sz="8" w:space="0" w:color="auto"/>
            </w:tcBorders>
            <w:vAlign w:val="center"/>
            <w:hideMark/>
          </w:tcPr>
          <w:p w14:paraId="62BB355C" w14:textId="77777777" w:rsidR="00EB3BE8" w:rsidRPr="00423440" w:rsidRDefault="00EB3BE8" w:rsidP="00EB3BE8">
            <w:pPr>
              <w:jc w:val="left"/>
              <w:rPr>
                <w:rFonts w:cs="Arial"/>
                <w:color w:val="000000"/>
                <w:sz w:val="20"/>
                <w:szCs w:val="20"/>
              </w:rPr>
            </w:pPr>
          </w:p>
        </w:tc>
        <w:tc>
          <w:tcPr>
            <w:tcW w:w="2710" w:type="pct"/>
            <w:tcBorders>
              <w:top w:val="nil"/>
              <w:left w:val="nil"/>
              <w:bottom w:val="single" w:sz="8" w:space="0" w:color="auto"/>
              <w:right w:val="single" w:sz="8" w:space="0" w:color="auto"/>
            </w:tcBorders>
            <w:shd w:val="clear" w:color="000000" w:fill="FFFFFF"/>
            <w:vAlign w:val="center"/>
            <w:hideMark/>
          </w:tcPr>
          <w:p w14:paraId="42FAFDA9" w14:textId="77777777" w:rsidR="00EB3BE8" w:rsidRPr="00423440" w:rsidRDefault="00EB3BE8" w:rsidP="00EB3BE8">
            <w:pPr>
              <w:jc w:val="center"/>
              <w:rPr>
                <w:rFonts w:cs="Arial"/>
                <w:color w:val="000000"/>
                <w:sz w:val="20"/>
                <w:szCs w:val="20"/>
              </w:rPr>
            </w:pPr>
            <w:r w:rsidRPr="00423440">
              <w:rPr>
                <w:rFonts w:cs="Arial"/>
                <w:color w:val="000000"/>
                <w:sz w:val="20"/>
                <w:szCs w:val="20"/>
              </w:rPr>
              <w:t>Educação para o Mercado</w:t>
            </w:r>
          </w:p>
        </w:tc>
      </w:tr>
      <w:tr w:rsidR="00EB3BE8" w:rsidRPr="00423440" w14:paraId="79DCD07C" w14:textId="77777777" w:rsidTr="00EB3BE8">
        <w:trPr>
          <w:trHeight w:val="340"/>
        </w:trPr>
        <w:tc>
          <w:tcPr>
            <w:tcW w:w="2290"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4B92756A" w14:textId="77777777" w:rsidR="00EB3BE8" w:rsidRPr="00423440" w:rsidRDefault="00EB3BE8" w:rsidP="00EB3BE8">
            <w:pPr>
              <w:jc w:val="center"/>
              <w:rPr>
                <w:rFonts w:cs="Arial"/>
                <w:color w:val="000000"/>
                <w:sz w:val="20"/>
                <w:szCs w:val="20"/>
              </w:rPr>
            </w:pPr>
            <w:r w:rsidRPr="00423440">
              <w:rPr>
                <w:rFonts w:cs="Arial"/>
                <w:color w:val="000000"/>
                <w:sz w:val="20"/>
                <w:szCs w:val="20"/>
              </w:rPr>
              <w:t>Eixo 5 - Goiás do Desenvolvimento Econômico</w:t>
            </w:r>
          </w:p>
        </w:tc>
        <w:tc>
          <w:tcPr>
            <w:tcW w:w="2710" w:type="pct"/>
            <w:tcBorders>
              <w:top w:val="nil"/>
              <w:left w:val="nil"/>
              <w:bottom w:val="dotted" w:sz="4" w:space="0" w:color="auto"/>
              <w:right w:val="single" w:sz="8" w:space="0" w:color="auto"/>
            </w:tcBorders>
            <w:shd w:val="clear" w:color="000000" w:fill="FFFFFF"/>
            <w:vAlign w:val="center"/>
            <w:hideMark/>
          </w:tcPr>
          <w:p w14:paraId="4CAF3DA5" w14:textId="77777777" w:rsidR="00EB3BE8" w:rsidRPr="00423440" w:rsidRDefault="00EB3BE8" w:rsidP="00EB3BE8">
            <w:pPr>
              <w:jc w:val="center"/>
              <w:rPr>
                <w:rFonts w:cs="Arial"/>
                <w:color w:val="000000"/>
                <w:sz w:val="20"/>
                <w:szCs w:val="20"/>
              </w:rPr>
            </w:pPr>
            <w:r w:rsidRPr="00423440">
              <w:rPr>
                <w:rFonts w:cs="Arial"/>
                <w:color w:val="000000"/>
                <w:sz w:val="20"/>
                <w:szCs w:val="20"/>
              </w:rPr>
              <w:t>Inovação</w:t>
            </w:r>
          </w:p>
        </w:tc>
      </w:tr>
      <w:tr w:rsidR="00EB3BE8" w:rsidRPr="00423440" w14:paraId="073A70B5" w14:textId="77777777" w:rsidTr="00EB3BE8">
        <w:trPr>
          <w:trHeight w:val="340"/>
        </w:trPr>
        <w:tc>
          <w:tcPr>
            <w:tcW w:w="2290" w:type="pct"/>
            <w:vMerge/>
            <w:tcBorders>
              <w:top w:val="nil"/>
              <w:left w:val="single" w:sz="8" w:space="0" w:color="auto"/>
              <w:bottom w:val="single" w:sz="8" w:space="0" w:color="000000"/>
              <w:right w:val="single" w:sz="8" w:space="0" w:color="auto"/>
            </w:tcBorders>
            <w:vAlign w:val="center"/>
            <w:hideMark/>
          </w:tcPr>
          <w:p w14:paraId="27371451" w14:textId="77777777" w:rsidR="00EB3BE8" w:rsidRPr="00423440" w:rsidRDefault="00EB3BE8" w:rsidP="00EB3BE8">
            <w:pPr>
              <w:jc w:val="left"/>
              <w:rPr>
                <w:rFonts w:cs="Arial"/>
                <w:color w:val="000000"/>
                <w:sz w:val="20"/>
                <w:szCs w:val="20"/>
              </w:rPr>
            </w:pPr>
          </w:p>
        </w:tc>
        <w:tc>
          <w:tcPr>
            <w:tcW w:w="2710" w:type="pct"/>
            <w:tcBorders>
              <w:top w:val="nil"/>
              <w:left w:val="nil"/>
              <w:bottom w:val="single" w:sz="8" w:space="0" w:color="auto"/>
              <w:right w:val="single" w:sz="8" w:space="0" w:color="auto"/>
            </w:tcBorders>
            <w:shd w:val="clear" w:color="000000" w:fill="FFFFFF"/>
            <w:vAlign w:val="center"/>
            <w:hideMark/>
          </w:tcPr>
          <w:p w14:paraId="0713373A" w14:textId="77777777" w:rsidR="00EB3BE8" w:rsidRPr="00423440" w:rsidRDefault="00EB3BE8" w:rsidP="00EB3BE8">
            <w:pPr>
              <w:jc w:val="center"/>
              <w:rPr>
                <w:rFonts w:cs="Arial"/>
                <w:color w:val="000000"/>
                <w:sz w:val="20"/>
                <w:szCs w:val="20"/>
              </w:rPr>
            </w:pPr>
            <w:r w:rsidRPr="00423440">
              <w:rPr>
                <w:rFonts w:cs="Arial"/>
                <w:color w:val="000000"/>
                <w:sz w:val="20"/>
                <w:szCs w:val="20"/>
              </w:rPr>
              <w:t>Ambiente Atrativo</w:t>
            </w:r>
          </w:p>
        </w:tc>
      </w:tr>
      <w:tr w:rsidR="00EB3BE8" w:rsidRPr="00423440" w14:paraId="589E37C4" w14:textId="77777777" w:rsidTr="00EB3BE8">
        <w:trPr>
          <w:trHeight w:val="340"/>
        </w:trPr>
        <w:tc>
          <w:tcPr>
            <w:tcW w:w="2290"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680291EA" w14:textId="77777777" w:rsidR="00EB3BE8" w:rsidRPr="00423440" w:rsidRDefault="00EB3BE8" w:rsidP="00EB3BE8">
            <w:pPr>
              <w:jc w:val="center"/>
              <w:rPr>
                <w:rFonts w:cs="Arial"/>
                <w:color w:val="000000"/>
                <w:sz w:val="20"/>
                <w:szCs w:val="20"/>
              </w:rPr>
            </w:pPr>
            <w:r w:rsidRPr="00423440">
              <w:rPr>
                <w:rFonts w:cs="Arial"/>
                <w:color w:val="000000"/>
                <w:sz w:val="20"/>
                <w:szCs w:val="20"/>
              </w:rPr>
              <w:t>Eixo 6 - Goiás da Saúde Integral</w:t>
            </w:r>
          </w:p>
        </w:tc>
        <w:tc>
          <w:tcPr>
            <w:tcW w:w="2710" w:type="pct"/>
            <w:tcBorders>
              <w:top w:val="nil"/>
              <w:left w:val="nil"/>
              <w:bottom w:val="dotted" w:sz="4" w:space="0" w:color="auto"/>
              <w:right w:val="single" w:sz="8" w:space="0" w:color="auto"/>
            </w:tcBorders>
            <w:shd w:val="clear" w:color="000000" w:fill="FFFFFF"/>
            <w:vAlign w:val="center"/>
            <w:hideMark/>
          </w:tcPr>
          <w:p w14:paraId="45A4A6C2" w14:textId="77777777" w:rsidR="00EB3BE8" w:rsidRPr="00423440" w:rsidRDefault="00EB3BE8" w:rsidP="00EB3BE8">
            <w:pPr>
              <w:jc w:val="center"/>
              <w:rPr>
                <w:rFonts w:cs="Arial"/>
                <w:color w:val="000000"/>
                <w:sz w:val="20"/>
                <w:szCs w:val="20"/>
              </w:rPr>
            </w:pPr>
            <w:r w:rsidRPr="00423440">
              <w:rPr>
                <w:rFonts w:cs="Arial"/>
                <w:color w:val="000000"/>
                <w:sz w:val="20"/>
                <w:szCs w:val="20"/>
              </w:rPr>
              <w:t>Vida Saudável e Longevidade</w:t>
            </w:r>
          </w:p>
        </w:tc>
      </w:tr>
      <w:tr w:rsidR="00EB3BE8" w:rsidRPr="00423440" w14:paraId="1B74004A" w14:textId="77777777" w:rsidTr="00EB3BE8">
        <w:trPr>
          <w:trHeight w:val="340"/>
        </w:trPr>
        <w:tc>
          <w:tcPr>
            <w:tcW w:w="2290" w:type="pct"/>
            <w:vMerge/>
            <w:tcBorders>
              <w:top w:val="nil"/>
              <w:left w:val="single" w:sz="8" w:space="0" w:color="auto"/>
              <w:bottom w:val="single" w:sz="8" w:space="0" w:color="000000"/>
              <w:right w:val="single" w:sz="8" w:space="0" w:color="auto"/>
            </w:tcBorders>
            <w:vAlign w:val="center"/>
            <w:hideMark/>
          </w:tcPr>
          <w:p w14:paraId="48CE4B7F" w14:textId="77777777" w:rsidR="00EB3BE8" w:rsidRPr="00423440" w:rsidRDefault="00EB3BE8" w:rsidP="00EB3BE8">
            <w:pPr>
              <w:jc w:val="left"/>
              <w:rPr>
                <w:rFonts w:cs="Arial"/>
                <w:color w:val="000000"/>
                <w:sz w:val="20"/>
                <w:szCs w:val="20"/>
              </w:rPr>
            </w:pPr>
          </w:p>
        </w:tc>
        <w:tc>
          <w:tcPr>
            <w:tcW w:w="2710" w:type="pct"/>
            <w:tcBorders>
              <w:top w:val="nil"/>
              <w:left w:val="nil"/>
              <w:bottom w:val="single" w:sz="8" w:space="0" w:color="auto"/>
              <w:right w:val="single" w:sz="8" w:space="0" w:color="auto"/>
            </w:tcBorders>
            <w:shd w:val="clear" w:color="000000" w:fill="FFFFFF"/>
            <w:vAlign w:val="center"/>
            <w:hideMark/>
          </w:tcPr>
          <w:p w14:paraId="2D331331" w14:textId="77777777" w:rsidR="00EB3BE8" w:rsidRPr="00423440" w:rsidRDefault="00EB3BE8" w:rsidP="00EB3BE8">
            <w:pPr>
              <w:jc w:val="center"/>
              <w:rPr>
                <w:rFonts w:cs="Arial"/>
                <w:color w:val="000000"/>
                <w:sz w:val="20"/>
                <w:szCs w:val="20"/>
              </w:rPr>
            </w:pPr>
            <w:r w:rsidRPr="00423440">
              <w:rPr>
                <w:rFonts w:cs="Arial"/>
                <w:color w:val="000000"/>
                <w:sz w:val="20"/>
                <w:szCs w:val="20"/>
              </w:rPr>
              <w:t>Monitoramento de Perfis de Saúde</w:t>
            </w:r>
          </w:p>
        </w:tc>
      </w:tr>
      <w:tr w:rsidR="00EB3BE8" w:rsidRPr="00423440" w14:paraId="61FC04E7" w14:textId="77777777" w:rsidTr="00EB3BE8">
        <w:trPr>
          <w:trHeight w:val="340"/>
        </w:trPr>
        <w:tc>
          <w:tcPr>
            <w:tcW w:w="2290"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4C3BE748" w14:textId="77777777" w:rsidR="00EB3BE8" w:rsidRPr="00423440" w:rsidRDefault="00EB3BE8" w:rsidP="00EB3BE8">
            <w:pPr>
              <w:jc w:val="center"/>
              <w:rPr>
                <w:rFonts w:cs="Arial"/>
                <w:color w:val="000000"/>
                <w:sz w:val="20"/>
                <w:szCs w:val="20"/>
              </w:rPr>
            </w:pPr>
            <w:r w:rsidRPr="00423440">
              <w:rPr>
                <w:rFonts w:cs="Arial"/>
                <w:color w:val="000000"/>
                <w:sz w:val="20"/>
                <w:szCs w:val="20"/>
              </w:rPr>
              <w:t>Eixo 7 - Goiás da Paz</w:t>
            </w:r>
          </w:p>
        </w:tc>
        <w:tc>
          <w:tcPr>
            <w:tcW w:w="2710" w:type="pct"/>
            <w:tcBorders>
              <w:top w:val="nil"/>
              <w:left w:val="nil"/>
              <w:bottom w:val="dotted" w:sz="4" w:space="0" w:color="auto"/>
              <w:right w:val="single" w:sz="8" w:space="0" w:color="auto"/>
            </w:tcBorders>
            <w:shd w:val="clear" w:color="000000" w:fill="FFFFFF"/>
            <w:vAlign w:val="center"/>
            <w:hideMark/>
          </w:tcPr>
          <w:p w14:paraId="31248B2D" w14:textId="77777777" w:rsidR="00EB3BE8" w:rsidRPr="00423440" w:rsidRDefault="00EB3BE8" w:rsidP="00EB3BE8">
            <w:pPr>
              <w:jc w:val="center"/>
              <w:rPr>
                <w:rFonts w:cs="Arial"/>
                <w:color w:val="000000"/>
                <w:sz w:val="20"/>
                <w:szCs w:val="20"/>
              </w:rPr>
            </w:pPr>
            <w:r w:rsidRPr="00423440">
              <w:rPr>
                <w:rFonts w:cs="Arial"/>
                <w:color w:val="000000"/>
                <w:sz w:val="20"/>
                <w:szCs w:val="20"/>
              </w:rPr>
              <w:t>Segurança e Proteção</w:t>
            </w:r>
          </w:p>
        </w:tc>
      </w:tr>
      <w:tr w:rsidR="00EB3BE8" w:rsidRPr="00423440" w14:paraId="6A0ABE0F" w14:textId="77777777" w:rsidTr="00EB3BE8">
        <w:trPr>
          <w:trHeight w:val="340"/>
        </w:trPr>
        <w:tc>
          <w:tcPr>
            <w:tcW w:w="2290" w:type="pct"/>
            <w:vMerge/>
            <w:tcBorders>
              <w:top w:val="nil"/>
              <w:left w:val="single" w:sz="8" w:space="0" w:color="auto"/>
              <w:bottom w:val="single" w:sz="8" w:space="0" w:color="000000"/>
              <w:right w:val="single" w:sz="8" w:space="0" w:color="auto"/>
            </w:tcBorders>
            <w:vAlign w:val="center"/>
            <w:hideMark/>
          </w:tcPr>
          <w:p w14:paraId="1C54FDAB" w14:textId="77777777" w:rsidR="00EB3BE8" w:rsidRPr="00423440" w:rsidRDefault="00EB3BE8" w:rsidP="00EB3BE8">
            <w:pPr>
              <w:jc w:val="left"/>
              <w:rPr>
                <w:rFonts w:cs="Arial"/>
                <w:color w:val="000000"/>
                <w:sz w:val="20"/>
                <w:szCs w:val="20"/>
              </w:rPr>
            </w:pPr>
          </w:p>
        </w:tc>
        <w:tc>
          <w:tcPr>
            <w:tcW w:w="2710" w:type="pct"/>
            <w:tcBorders>
              <w:top w:val="nil"/>
              <w:left w:val="nil"/>
              <w:bottom w:val="single" w:sz="8" w:space="0" w:color="auto"/>
              <w:right w:val="single" w:sz="8" w:space="0" w:color="auto"/>
            </w:tcBorders>
            <w:shd w:val="clear" w:color="000000" w:fill="FFFFFF"/>
            <w:vAlign w:val="center"/>
            <w:hideMark/>
          </w:tcPr>
          <w:p w14:paraId="0394443E" w14:textId="77777777" w:rsidR="00EB3BE8" w:rsidRPr="00423440" w:rsidRDefault="00EB3BE8" w:rsidP="00EB3BE8">
            <w:pPr>
              <w:jc w:val="center"/>
              <w:rPr>
                <w:rFonts w:cs="Arial"/>
                <w:color w:val="000000"/>
                <w:sz w:val="20"/>
                <w:szCs w:val="20"/>
              </w:rPr>
            </w:pPr>
            <w:r w:rsidRPr="00423440">
              <w:rPr>
                <w:rFonts w:cs="Arial"/>
                <w:color w:val="000000"/>
                <w:sz w:val="20"/>
                <w:szCs w:val="20"/>
              </w:rPr>
              <w:t>Justiça</w:t>
            </w:r>
          </w:p>
        </w:tc>
      </w:tr>
      <w:tr w:rsidR="00EB3BE8" w:rsidRPr="00423440" w14:paraId="0C712640" w14:textId="77777777" w:rsidTr="00EB3BE8">
        <w:trPr>
          <w:trHeight w:val="340"/>
        </w:trPr>
        <w:tc>
          <w:tcPr>
            <w:tcW w:w="2290"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392A46DA" w14:textId="77777777" w:rsidR="00EB3BE8" w:rsidRPr="00423440" w:rsidRDefault="00EB3BE8" w:rsidP="00EB3BE8">
            <w:pPr>
              <w:jc w:val="center"/>
              <w:rPr>
                <w:rFonts w:cs="Arial"/>
                <w:color w:val="000000"/>
                <w:sz w:val="20"/>
                <w:szCs w:val="20"/>
              </w:rPr>
            </w:pPr>
            <w:r w:rsidRPr="00423440">
              <w:rPr>
                <w:rFonts w:cs="Arial"/>
                <w:color w:val="000000"/>
                <w:sz w:val="20"/>
                <w:szCs w:val="20"/>
              </w:rPr>
              <w:t>Eixo 8 - Goiás da Inclusão</w:t>
            </w:r>
          </w:p>
        </w:tc>
        <w:tc>
          <w:tcPr>
            <w:tcW w:w="2710" w:type="pct"/>
            <w:tcBorders>
              <w:top w:val="nil"/>
              <w:left w:val="nil"/>
              <w:bottom w:val="dotted" w:sz="4" w:space="0" w:color="auto"/>
              <w:right w:val="single" w:sz="8" w:space="0" w:color="auto"/>
            </w:tcBorders>
            <w:shd w:val="clear" w:color="000000" w:fill="FFFFFF"/>
            <w:vAlign w:val="center"/>
            <w:hideMark/>
          </w:tcPr>
          <w:p w14:paraId="25ECE746" w14:textId="77777777" w:rsidR="00EB3BE8" w:rsidRPr="00423440" w:rsidRDefault="00EB3BE8" w:rsidP="00EB3BE8">
            <w:pPr>
              <w:jc w:val="center"/>
              <w:rPr>
                <w:rFonts w:cs="Arial"/>
                <w:color w:val="000000"/>
                <w:sz w:val="20"/>
                <w:szCs w:val="20"/>
              </w:rPr>
            </w:pPr>
            <w:r w:rsidRPr="00423440">
              <w:rPr>
                <w:rFonts w:cs="Arial"/>
                <w:color w:val="000000"/>
                <w:sz w:val="20"/>
                <w:szCs w:val="20"/>
              </w:rPr>
              <w:t>Proteção Social</w:t>
            </w:r>
          </w:p>
        </w:tc>
      </w:tr>
      <w:tr w:rsidR="00EB3BE8" w:rsidRPr="00423440" w14:paraId="198B4331" w14:textId="77777777" w:rsidTr="00EE0647">
        <w:trPr>
          <w:trHeight w:val="340"/>
        </w:trPr>
        <w:tc>
          <w:tcPr>
            <w:tcW w:w="2290" w:type="pct"/>
            <w:vMerge/>
            <w:tcBorders>
              <w:top w:val="nil"/>
              <w:left w:val="single" w:sz="8" w:space="0" w:color="auto"/>
              <w:bottom w:val="single" w:sz="8" w:space="0" w:color="auto"/>
              <w:right w:val="single" w:sz="8" w:space="0" w:color="auto"/>
            </w:tcBorders>
            <w:vAlign w:val="center"/>
            <w:hideMark/>
          </w:tcPr>
          <w:p w14:paraId="6BD5131B" w14:textId="77777777" w:rsidR="00EB3BE8" w:rsidRPr="00423440" w:rsidRDefault="00EB3BE8" w:rsidP="00EB3BE8">
            <w:pPr>
              <w:jc w:val="left"/>
              <w:rPr>
                <w:rFonts w:cs="Arial"/>
                <w:color w:val="000000"/>
                <w:sz w:val="20"/>
                <w:szCs w:val="20"/>
              </w:rPr>
            </w:pPr>
          </w:p>
        </w:tc>
        <w:tc>
          <w:tcPr>
            <w:tcW w:w="2710" w:type="pct"/>
            <w:tcBorders>
              <w:top w:val="nil"/>
              <w:left w:val="nil"/>
              <w:bottom w:val="single" w:sz="8" w:space="0" w:color="auto"/>
              <w:right w:val="single" w:sz="8" w:space="0" w:color="auto"/>
            </w:tcBorders>
            <w:shd w:val="clear" w:color="000000" w:fill="FFFFFF"/>
            <w:vAlign w:val="center"/>
            <w:hideMark/>
          </w:tcPr>
          <w:p w14:paraId="684AD2F1" w14:textId="77777777" w:rsidR="00EB3BE8" w:rsidRPr="00423440" w:rsidRDefault="00EB3BE8" w:rsidP="00EB3BE8">
            <w:pPr>
              <w:jc w:val="center"/>
              <w:rPr>
                <w:rFonts w:cs="Arial"/>
                <w:color w:val="000000"/>
                <w:sz w:val="20"/>
                <w:szCs w:val="20"/>
              </w:rPr>
            </w:pPr>
            <w:r w:rsidRPr="00423440">
              <w:rPr>
                <w:rFonts w:cs="Arial"/>
                <w:color w:val="000000"/>
                <w:sz w:val="20"/>
                <w:szCs w:val="20"/>
              </w:rPr>
              <w:t>Convívio e Inclusão</w:t>
            </w:r>
          </w:p>
        </w:tc>
      </w:tr>
    </w:tbl>
    <w:p w14:paraId="687B069D" w14:textId="175A527E" w:rsidR="0069149D" w:rsidRDefault="0069149D" w:rsidP="00EF01A1">
      <w:pPr>
        <w:pStyle w:val="1-FONTE8ESQ"/>
      </w:pPr>
      <w:r>
        <w:t>Fonte: Plano Plurianual 2020-2023</w:t>
      </w:r>
      <w:r w:rsidR="00046BD7" w:rsidRPr="00046BD7">
        <w:t xml:space="preserve"> e DOE n.º 23.226, de 28 de janeiro de 2020</w:t>
      </w:r>
    </w:p>
    <w:p w14:paraId="3041F9D7" w14:textId="1797EEE8" w:rsidR="00BD067C" w:rsidRDefault="00EE2E8E" w:rsidP="0069149D">
      <w:pPr>
        <w:pStyle w:val="1-REL11"/>
      </w:pPr>
      <w:r w:rsidRPr="00EE2E8E">
        <w:lastRenderedPageBreak/>
        <w:t>Aos Eixos Estratégicos estão alocados 46 programas finalísticos e de gestão. A Reserva de Contingência e a Reserva do Regime Próprio de Previdência Social (RPPS) não integram os Eixos Estratégicos do PPA.</w:t>
      </w:r>
    </w:p>
    <w:p w14:paraId="7465BD3C" w14:textId="77777777" w:rsidR="00BD067C" w:rsidRPr="00B215AC" w:rsidRDefault="00BD067C" w:rsidP="003B2277">
      <w:pPr>
        <w:pStyle w:val="Ttulo2"/>
      </w:pPr>
      <w:bookmarkStart w:id="27" w:name="_Toc167871622"/>
      <w:r w:rsidRPr="00B215AC">
        <w:t>Panorama Geral</w:t>
      </w:r>
      <w:bookmarkEnd w:id="27"/>
    </w:p>
    <w:p w14:paraId="09BE4ADE" w14:textId="3E2F957D" w:rsidR="00F71F59" w:rsidRPr="002D15F2" w:rsidRDefault="00F71F59" w:rsidP="00F71F59">
      <w:pPr>
        <w:pStyle w:val="1-REL11"/>
      </w:pPr>
      <w:r w:rsidRPr="009539CA">
        <w:t>Para o exercício financeiro de 2023 foi orçado o valor total de R$</w:t>
      </w:r>
      <w:r w:rsidR="00F763BE">
        <w:t> </w:t>
      </w:r>
      <w:r w:rsidRPr="009539CA">
        <w:t>39</w:t>
      </w:r>
      <w:r>
        <w:t>,</w:t>
      </w:r>
      <w:r w:rsidRPr="009539CA">
        <w:t>9</w:t>
      </w:r>
      <w:r>
        <w:t>5</w:t>
      </w:r>
      <w:r w:rsidR="00F763BE">
        <w:t> </w:t>
      </w:r>
      <w:r>
        <w:t>bilhões</w:t>
      </w:r>
      <w:r w:rsidRPr="009539CA">
        <w:t xml:space="preserve">, que representa um aumento de 5,30% em relação ao </w:t>
      </w:r>
      <w:r w:rsidRPr="002D15F2">
        <w:t>orçamento do exercício financeiro de 2022. O valor autorizado no exercício de 2023 foi 15,95% superior ao inicialmente orçado, alcançando o valor de R$</w:t>
      </w:r>
      <w:r w:rsidR="00F763BE">
        <w:t> </w:t>
      </w:r>
      <w:r w:rsidRPr="002D15F2">
        <w:t>47</w:t>
      </w:r>
      <w:r>
        <w:t>,52</w:t>
      </w:r>
      <w:r w:rsidR="00F763BE">
        <w:t> </w:t>
      </w:r>
      <w:r>
        <w:t>bilhões</w:t>
      </w:r>
      <w:r w:rsidRPr="002D15F2">
        <w:t>.</w:t>
      </w:r>
    </w:p>
    <w:p w14:paraId="644ADBEC" w14:textId="01C6E1AB" w:rsidR="00F71F59" w:rsidRPr="002D15F2" w:rsidRDefault="00F71F59" w:rsidP="00F71F59">
      <w:pPr>
        <w:pStyle w:val="1-REL11"/>
      </w:pPr>
      <w:r w:rsidRPr="002D15F2">
        <w:t>Ao final do exercício, o valor total de despesas executadas foi de R$ 39</w:t>
      </w:r>
      <w:r>
        <w:t>,</w:t>
      </w:r>
      <w:r w:rsidRPr="002D15F2">
        <w:t>42</w:t>
      </w:r>
      <w:r w:rsidR="00F763BE">
        <w:t> </w:t>
      </w:r>
      <w:r>
        <w:t>bilhões</w:t>
      </w:r>
      <w:r w:rsidRPr="002D15F2">
        <w:t>, o que representa 98,68% do valor orçado e 82,95% do valor autorizado.</w:t>
      </w:r>
    </w:p>
    <w:p w14:paraId="26E3CC32" w14:textId="77777777" w:rsidR="00F71F59" w:rsidRPr="002D15F2" w:rsidRDefault="00F71F59" w:rsidP="00F71F59">
      <w:pPr>
        <w:pStyle w:val="1-REL11"/>
      </w:pPr>
      <w:r w:rsidRPr="002D15F2">
        <w:t xml:space="preserve">A execução orçamentária no </w:t>
      </w:r>
      <w:r>
        <w:t>período de</w:t>
      </w:r>
      <w:r w:rsidRPr="002D15F2">
        <w:t xml:space="preserve"> 202</w:t>
      </w:r>
      <w:r>
        <w:t>0</w:t>
      </w:r>
      <w:r w:rsidRPr="002D15F2">
        <w:t>-2023 é apresentada na tabela seguinte:</w:t>
      </w:r>
    </w:p>
    <w:p w14:paraId="082B5B19" w14:textId="447BECC4" w:rsidR="00DC20DF" w:rsidRPr="006B40F6" w:rsidRDefault="00DC20DF" w:rsidP="00ED3571">
      <w:pPr>
        <w:pStyle w:val="0-TABELA"/>
      </w:pPr>
      <w:bookmarkStart w:id="28" w:name="_Toc167871717"/>
      <w:r w:rsidRPr="006B40F6">
        <w:t xml:space="preserve">Execução Orçamentária BGE </w:t>
      </w:r>
      <w:r w:rsidR="00E6391B" w:rsidRPr="001C305A">
        <w:t>– 20</w:t>
      </w:r>
      <w:r w:rsidR="00E6391B">
        <w:t>20 a 2023</w:t>
      </w:r>
      <w:bookmarkEnd w:id="28"/>
    </w:p>
    <w:p w14:paraId="02529498" w14:textId="1DFE192F" w:rsidR="00DC20DF" w:rsidRPr="005527C9" w:rsidRDefault="00EE2E8E" w:rsidP="00DC20DF">
      <w:pPr>
        <w:pStyle w:val="0-EmR1"/>
      </w:pPr>
      <w:r>
        <w:t>R$ 1</w:t>
      </w:r>
    </w:p>
    <w:tbl>
      <w:tblPr>
        <w:tblW w:w="5000" w:type="pct"/>
        <w:tblBorders>
          <w:top w:val="single" w:sz="4" w:space="0" w:color="auto"/>
          <w:bottom w:val="single" w:sz="4" w:space="0" w:color="auto"/>
          <w:insideV w:val="single" w:sz="4" w:space="0" w:color="auto"/>
        </w:tblBorders>
        <w:tblCellMar>
          <w:left w:w="70" w:type="dxa"/>
          <w:right w:w="70" w:type="dxa"/>
        </w:tblCellMar>
        <w:tblLook w:val="04A0" w:firstRow="1" w:lastRow="0" w:firstColumn="1" w:lastColumn="0" w:noHBand="0" w:noVBand="1"/>
      </w:tblPr>
      <w:tblGrid>
        <w:gridCol w:w="1032"/>
        <w:gridCol w:w="1683"/>
        <w:gridCol w:w="1684"/>
        <w:gridCol w:w="1684"/>
        <w:gridCol w:w="1684"/>
        <w:gridCol w:w="1586"/>
      </w:tblGrid>
      <w:tr w:rsidR="00DC20DF" w:rsidRPr="00D546D5" w14:paraId="1EEC1817" w14:textId="77777777" w:rsidTr="00A11652">
        <w:trPr>
          <w:trHeight w:val="340"/>
          <w:tblHeader/>
        </w:trPr>
        <w:tc>
          <w:tcPr>
            <w:tcW w:w="553" w:type="pct"/>
            <w:tcBorders>
              <w:top w:val="single" w:sz="4" w:space="0" w:color="auto"/>
              <w:bottom w:val="single" w:sz="4" w:space="0" w:color="auto"/>
            </w:tcBorders>
            <w:shd w:val="clear" w:color="B5EEF7" w:fill="B5EEF7"/>
            <w:noWrap/>
            <w:vAlign w:val="center"/>
            <w:hideMark/>
          </w:tcPr>
          <w:p w14:paraId="351B3BC6" w14:textId="77777777" w:rsidR="00DC20DF" w:rsidRPr="00D546D5" w:rsidRDefault="00DC20DF" w:rsidP="00DC20DF">
            <w:pPr>
              <w:jc w:val="center"/>
              <w:rPr>
                <w:rFonts w:cs="Arial"/>
                <w:b/>
                <w:bCs/>
                <w:color w:val="000000"/>
                <w:sz w:val="20"/>
                <w:szCs w:val="20"/>
              </w:rPr>
            </w:pPr>
            <w:r w:rsidRPr="00D546D5">
              <w:rPr>
                <w:b/>
                <w:bCs/>
                <w:sz w:val="20"/>
                <w:szCs w:val="20"/>
              </w:rPr>
              <w:t>Exercício</w:t>
            </w:r>
          </w:p>
        </w:tc>
        <w:tc>
          <w:tcPr>
            <w:tcW w:w="901" w:type="pct"/>
            <w:tcBorders>
              <w:top w:val="single" w:sz="4" w:space="0" w:color="auto"/>
              <w:bottom w:val="single" w:sz="4" w:space="0" w:color="auto"/>
            </w:tcBorders>
            <w:shd w:val="clear" w:color="B5EEF7" w:fill="B5EEF7"/>
            <w:noWrap/>
            <w:vAlign w:val="center"/>
            <w:hideMark/>
          </w:tcPr>
          <w:p w14:paraId="70D0E961" w14:textId="77777777" w:rsidR="00DC20DF" w:rsidRPr="00D546D5" w:rsidRDefault="00DC20DF" w:rsidP="00DC20DF">
            <w:pPr>
              <w:jc w:val="center"/>
              <w:rPr>
                <w:rFonts w:cs="Arial"/>
                <w:b/>
                <w:bCs/>
                <w:color w:val="000000"/>
                <w:sz w:val="20"/>
                <w:szCs w:val="20"/>
              </w:rPr>
            </w:pPr>
            <w:r w:rsidRPr="00D546D5">
              <w:rPr>
                <w:b/>
                <w:bCs/>
                <w:sz w:val="20"/>
                <w:szCs w:val="20"/>
              </w:rPr>
              <w:t>Orçada</w:t>
            </w:r>
          </w:p>
        </w:tc>
        <w:tc>
          <w:tcPr>
            <w:tcW w:w="901" w:type="pct"/>
            <w:tcBorders>
              <w:top w:val="single" w:sz="4" w:space="0" w:color="auto"/>
              <w:bottom w:val="single" w:sz="4" w:space="0" w:color="auto"/>
            </w:tcBorders>
            <w:shd w:val="clear" w:color="B5EEF7" w:fill="B5EEF7"/>
            <w:noWrap/>
            <w:vAlign w:val="center"/>
            <w:hideMark/>
          </w:tcPr>
          <w:p w14:paraId="199625E7" w14:textId="77777777" w:rsidR="00DC20DF" w:rsidRPr="00D546D5" w:rsidRDefault="00DC20DF" w:rsidP="00DC20DF">
            <w:pPr>
              <w:jc w:val="center"/>
              <w:rPr>
                <w:rFonts w:cs="Arial"/>
                <w:b/>
                <w:bCs/>
                <w:color w:val="000000"/>
                <w:sz w:val="20"/>
                <w:szCs w:val="20"/>
              </w:rPr>
            </w:pPr>
            <w:r w:rsidRPr="00D546D5">
              <w:rPr>
                <w:b/>
                <w:bCs/>
                <w:sz w:val="20"/>
                <w:szCs w:val="20"/>
              </w:rPr>
              <w:t>Autorizada</w:t>
            </w:r>
          </w:p>
        </w:tc>
        <w:tc>
          <w:tcPr>
            <w:tcW w:w="901" w:type="pct"/>
            <w:tcBorders>
              <w:top w:val="single" w:sz="4" w:space="0" w:color="auto"/>
              <w:bottom w:val="single" w:sz="4" w:space="0" w:color="auto"/>
            </w:tcBorders>
            <w:shd w:val="clear" w:color="B5EEF7" w:fill="B5EEF7"/>
            <w:noWrap/>
            <w:vAlign w:val="center"/>
            <w:hideMark/>
          </w:tcPr>
          <w:p w14:paraId="3038C58B" w14:textId="77777777" w:rsidR="00DC20DF" w:rsidRPr="00D546D5" w:rsidRDefault="00DC20DF" w:rsidP="00DC20DF">
            <w:pPr>
              <w:jc w:val="center"/>
              <w:rPr>
                <w:rFonts w:cs="Arial"/>
                <w:b/>
                <w:bCs/>
                <w:color w:val="000000"/>
                <w:sz w:val="20"/>
                <w:szCs w:val="20"/>
              </w:rPr>
            </w:pPr>
            <w:r w:rsidRPr="00D546D5">
              <w:rPr>
                <w:b/>
                <w:bCs/>
                <w:sz w:val="20"/>
                <w:szCs w:val="20"/>
              </w:rPr>
              <w:t>Empenhada</w:t>
            </w:r>
          </w:p>
        </w:tc>
        <w:tc>
          <w:tcPr>
            <w:tcW w:w="901" w:type="pct"/>
            <w:tcBorders>
              <w:top w:val="single" w:sz="4" w:space="0" w:color="auto"/>
              <w:bottom w:val="single" w:sz="4" w:space="0" w:color="auto"/>
            </w:tcBorders>
            <w:shd w:val="clear" w:color="B5EEF7" w:fill="B5EEF7"/>
            <w:noWrap/>
            <w:vAlign w:val="center"/>
            <w:hideMark/>
          </w:tcPr>
          <w:p w14:paraId="0CFF28EF" w14:textId="77777777" w:rsidR="00DC20DF" w:rsidRPr="00D546D5" w:rsidRDefault="00DC20DF" w:rsidP="00DC20DF">
            <w:pPr>
              <w:jc w:val="center"/>
              <w:rPr>
                <w:rFonts w:cs="Arial"/>
                <w:b/>
                <w:bCs/>
                <w:color w:val="000000"/>
                <w:sz w:val="20"/>
                <w:szCs w:val="20"/>
              </w:rPr>
            </w:pPr>
            <w:r w:rsidRPr="00D546D5">
              <w:rPr>
                <w:b/>
                <w:bCs/>
                <w:sz w:val="20"/>
                <w:szCs w:val="20"/>
              </w:rPr>
              <w:t>Paga</w:t>
            </w:r>
          </w:p>
        </w:tc>
        <w:tc>
          <w:tcPr>
            <w:tcW w:w="843" w:type="pct"/>
            <w:tcBorders>
              <w:top w:val="single" w:sz="4" w:space="0" w:color="auto"/>
              <w:bottom w:val="single" w:sz="4" w:space="0" w:color="auto"/>
            </w:tcBorders>
            <w:shd w:val="clear" w:color="B5EEF7" w:fill="B5EEF7"/>
            <w:noWrap/>
            <w:vAlign w:val="center"/>
            <w:hideMark/>
          </w:tcPr>
          <w:p w14:paraId="33D21E95" w14:textId="77777777" w:rsidR="00DC20DF" w:rsidRPr="00D546D5" w:rsidRDefault="00DC20DF" w:rsidP="00DC20DF">
            <w:pPr>
              <w:jc w:val="center"/>
              <w:rPr>
                <w:rFonts w:cs="Arial"/>
                <w:b/>
                <w:bCs/>
                <w:color w:val="000000"/>
                <w:sz w:val="20"/>
                <w:szCs w:val="20"/>
              </w:rPr>
            </w:pPr>
            <w:r w:rsidRPr="00D546D5">
              <w:rPr>
                <w:b/>
                <w:bCs/>
                <w:sz w:val="20"/>
                <w:szCs w:val="20"/>
              </w:rPr>
              <w:t>Restos a Pagar</w:t>
            </w:r>
          </w:p>
        </w:tc>
      </w:tr>
      <w:tr w:rsidR="00DC20DF" w:rsidRPr="00D546D5" w14:paraId="11D5969A" w14:textId="77777777" w:rsidTr="00A11652">
        <w:trPr>
          <w:trHeight w:val="340"/>
        </w:trPr>
        <w:tc>
          <w:tcPr>
            <w:tcW w:w="553" w:type="pct"/>
            <w:tcBorders>
              <w:top w:val="single" w:sz="4" w:space="0" w:color="auto"/>
            </w:tcBorders>
            <w:shd w:val="clear" w:color="auto" w:fill="auto"/>
            <w:noWrap/>
            <w:vAlign w:val="center"/>
            <w:hideMark/>
          </w:tcPr>
          <w:p w14:paraId="6264FBA7" w14:textId="77777777" w:rsidR="00DC20DF" w:rsidRPr="00D546D5" w:rsidRDefault="00DC20DF" w:rsidP="00DC20DF">
            <w:pPr>
              <w:jc w:val="center"/>
              <w:rPr>
                <w:rFonts w:cs="Arial"/>
                <w:color w:val="000000"/>
                <w:sz w:val="20"/>
                <w:szCs w:val="20"/>
              </w:rPr>
            </w:pPr>
            <w:r w:rsidRPr="00D546D5">
              <w:rPr>
                <w:sz w:val="20"/>
                <w:szCs w:val="20"/>
              </w:rPr>
              <w:t>2020</w:t>
            </w:r>
          </w:p>
        </w:tc>
        <w:tc>
          <w:tcPr>
            <w:tcW w:w="901" w:type="pct"/>
            <w:tcBorders>
              <w:top w:val="single" w:sz="4" w:space="0" w:color="auto"/>
            </w:tcBorders>
            <w:shd w:val="clear" w:color="auto" w:fill="auto"/>
            <w:noWrap/>
            <w:vAlign w:val="center"/>
            <w:hideMark/>
          </w:tcPr>
          <w:p w14:paraId="57171294" w14:textId="0E1316EE" w:rsidR="00DC20DF" w:rsidRPr="00D546D5" w:rsidRDefault="00DC20DF" w:rsidP="007C1FBF">
            <w:pPr>
              <w:jc w:val="right"/>
              <w:rPr>
                <w:rFonts w:cs="Arial"/>
                <w:color w:val="000000"/>
                <w:sz w:val="20"/>
                <w:szCs w:val="20"/>
              </w:rPr>
            </w:pPr>
            <w:r w:rsidRPr="00D546D5">
              <w:rPr>
                <w:sz w:val="20"/>
                <w:szCs w:val="20"/>
              </w:rPr>
              <w:t>31.818.767.000</w:t>
            </w:r>
          </w:p>
        </w:tc>
        <w:tc>
          <w:tcPr>
            <w:tcW w:w="901" w:type="pct"/>
            <w:tcBorders>
              <w:top w:val="single" w:sz="4" w:space="0" w:color="auto"/>
            </w:tcBorders>
            <w:shd w:val="clear" w:color="auto" w:fill="auto"/>
            <w:noWrap/>
            <w:vAlign w:val="center"/>
            <w:hideMark/>
          </w:tcPr>
          <w:p w14:paraId="2B309A99" w14:textId="0D6359EB" w:rsidR="00DC20DF" w:rsidRPr="00D546D5" w:rsidRDefault="00DC20DF" w:rsidP="007C1FBF">
            <w:pPr>
              <w:jc w:val="right"/>
              <w:rPr>
                <w:rFonts w:cs="Arial"/>
                <w:color w:val="000000"/>
                <w:sz w:val="20"/>
                <w:szCs w:val="20"/>
              </w:rPr>
            </w:pPr>
            <w:r w:rsidRPr="00D546D5">
              <w:rPr>
                <w:sz w:val="20"/>
                <w:szCs w:val="20"/>
              </w:rPr>
              <w:t>33.421.664.398</w:t>
            </w:r>
          </w:p>
        </w:tc>
        <w:tc>
          <w:tcPr>
            <w:tcW w:w="901" w:type="pct"/>
            <w:tcBorders>
              <w:top w:val="single" w:sz="4" w:space="0" w:color="auto"/>
            </w:tcBorders>
            <w:shd w:val="clear" w:color="auto" w:fill="auto"/>
            <w:noWrap/>
            <w:vAlign w:val="center"/>
            <w:hideMark/>
          </w:tcPr>
          <w:p w14:paraId="02A7A977" w14:textId="377D3B5A" w:rsidR="00DC20DF" w:rsidRPr="00D546D5" w:rsidRDefault="00DC20DF" w:rsidP="007C1FBF">
            <w:pPr>
              <w:jc w:val="right"/>
              <w:rPr>
                <w:rFonts w:cs="Arial"/>
                <w:color w:val="000000"/>
                <w:sz w:val="20"/>
                <w:szCs w:val="20"/>
              </w:rPr>
            </w:pPr>
            <w:r w:rsidRPr="00D546D5">
              <w:rPr>
                <w:sz w:val="20"/>
                <w:szCs w:val="20"/>
              </w:rPr>
              <w:t>28.939.396.289</w:t>
            </w:r>
          </w:p>
        </w:tc>
        <w:tc>
          <w:tcPr>
            <w:tcW w:w="901" w:type="pct"/>
            <w:tcBorders>
              <w:top w:val="single" w:sz="4" w:space="0" w:color="auto"/>
            </w:tcBorders>
            <w:shd w:val="clear" w:color="auto" w:fill="auto"/>
            <w:noWrap/>
            <w:vAlign w:val="center"/>
            <w:hideMark/>
          </w:tcPr>
          <w:p w14:paraId="751CF173" w14:textId="5A5AC143" w:rsidR="00DC20DF" w:rsidRPr="00D546D5" w:rsidRDefault="00DC20DF" w:rsidP="007C1FBF">
            <w:pPr>
              <w:jc w:val="right"/>
              <w:rPr>
                <w:rFonts w:cs="Arial"/>
                <w:color w:val="000000"/>
                <w:sz w:val="20"/>
                <w:szCs w:val="20"/>
              </w:rPr>
            </w:pPr>
            <w:r w:rsidRPr="00D546D5">
              <w:rPr>
                <w:sz w:val="20"/>
                <w:szCs w:val="20"/>
              </w:rPr>
              <w:t>25.991.567.679</w:t>
            </w:r>
          </w:p>
        </w:tc>
        <w:tc>
          <w:tcPr>
            <w:tcW w:w="843" w:type="pct"/>
            <w:tcBorders>
              <w:top w:val="single" w:sz="4" w:space="0" w:color="auto"/>
            </w:tcBorders>
            <w:shd w:val="clear" w:color="auto" w:fill="auto"/>
            <w:noWrap/>
            <w:vAlign w:val="center"/>
            <w:hideMark/>
          </w:tcPr>
          <w:p w14:paraId="7267C3F6" w14:textId="66B511D0" w:rsidR="00DC20DF" w:rsidRPr="00D546D5" w:rsidRDefault="00DC20DF" w:rsidP="007C1FBF">
            <w:pPr>
              <w:jc w:val="right"/>
              <w:rPr>
                <w:rFonts w:cs="Arial"/>
                <w:color w:val="000000"/>
                <w:sz w:val="20"/>
                <w:szCs w:val="20"/>
              </w:rPr>
            </w:pPr>
            <w:r w:rsidRPr="00D546D5">
              <w:rPr>
                <w:sz w:val="20"/>
                <w:szCs w:val="20"/>
              </w:rPr>
              <w:t>2.947.828.610</w:t>
            </w:r>
          </w:p>
        </w:tc>
      </w:tr>
      <w:tr w:rsidR="00DC20DF" w:rsidRPr="00D546D5" w14:paraId="20C79A4C" w14:textId="77777777" w:rsidTr="00A11652">
        <w:trPr>
          <w:trHeight w:val="340"/>
        </w:trPr>
        <w:tc>
          <w:tcPr>
            <w:tcW w:w="553" w:type="pct"/>
            <w:shd w:val="clear" w:color="auto" w:fill="auto"/>
            <w:noWrap/>
            <w:vAlign w:val="center"/>
            <w:hideMark/>
          </w:tcPr>
          <w:p w14:paraId="49FF4A84" w14:textId="77777777" w:rsidR="00DC20DF" w:rsidRPr="00D546D5" w:rsidRDefault="00DC20DF" w:rsidP="00DC20DF">
            <w:pPr>
              <w:jc w:val="center"/>
              <w:rPr>
                <w:rFonts w:cs="Arial"/>
                <w:color w:val="000000"/>
                <w:sz w:val="20"/>
                <w:szCs w:val="20"/>
              </w:rPr>
            </w:pPr>
            <w:r w:rsidRPr="00D546D5">
              <w:rPr>
                <w:sz w:val="20"/>
                <w:szCs w:val="20"/>
              </w:rPr>
              <w:t>2021</w:t>
            </w:r>
          </w:p>
        </w:tc>
        <w:tc>
          <w:tcPr>
            <w:tcW w:w="901" w:type="pct"/>
            <w:shd w:val="clear" w:color="auto" w:fill="auto"/>
            <w:noWrap/>
            <w:vAlign w:val="center"/>
            <w:hideMark/>
          </w:tcPr>
          <w:p w14:paraId="61DA891C" w14:textId="4B7936AC" w:rsidR="00DC20DF" w:rsidRPr="00D546D5" w:rsidRDefault="00DC20DF" w:rsidP="007C1FBF">
            <w:pPr>
              <w:jc w:val="right"/>
              <w:rPr>
                <w:rFonts w:cs="Arial"/>
                <w:color w:val="000000"/>
                <w:sz w:val="20"/>
                <w:szCs w:val="20"/>
              </w:rPr>
            </w:pPr>
            <w:r w:rsidRPr="00D546D5">
              <w:rPr>
                <w:sz w:val="20"/>
                <w:szCs w:val="20"/>
              </w:rPr>
              <w:t>33.162.367.000</w:t>
            </w:r>
          </w:p>
        </w:tc>
        <w:tc>
          <w:tcPr>
            <w:tcW w:w="901" w:type="pct"/>
            <w:shd w:val="clear" w:color="auto" w:fill="auto"/>
            <w:noWrap/>
            <w:vAlign w:val="center"/>
            <w:hideMark/>
          </w:tcPr>
          <w:p w14:paraId="17CAEB3D" w14:textId="043343B9" w:rsidR="00DC20DF" w:rsidRPr="00D546D5" w:rsidRDefault="00DC20DF" w:rsidP="007C1FBF">
            <w:pPr>
              <w:jc w:val="right"/>
              <w:rPr>
                <w:rFonts w:cs="Arial"/>
                <w:color w:val="000000"/>
                <w:sz w:val="20"/>
                <w:szCs w:val="20"/>
              </w:rPr>
            </w:pPr>
            <w:r w:rsidRPr="00D546D5">
              <w:rPr>
                <w:sz w:val="20"/>
                <w:szCs w:val="20"/>
              </w:rPr>
              <w:t>37.147.985.112</w:t>
            </w:r>
          </w:p>
        </w:tc>
        <w:tc>
          <w:tcPr>
            <w:tcW w:w="901" w:type="pct"/>
            <w:shd w:val="clear" w:color="auto" w:fill="auto"/>
            <w:noWrap/>
            <w:vAlign w:val="center"/>
            <w:hideMark/>
          </w:tcPr>
          <w:p w14:paraId="5EAF447F" w14:textId="3DB9BE83" w:rsidR="00DC20DF" w:rsidRPr="00D546D5" w:rsidRDefault="00DC20DF" w:rsidP="007C1FBF">
            <w:pPr>
              <w:jc w:val="right"/>
              <w:rPr>
                <w:rFonts w:cs="Arial"/>
                <w:color w:val="000000"/>
                <w:sz w:val="20"/>
                <w:szCs w:val="20"/>
              </w:rPr>
            </w:pPr>
            <w:r w:rsidRPr="00D546D5">
              <w:rPr>
                <w:sz w:val="20"/>
                <w:szCs w:val="20"/>
              </w:rPr>
              <w:t>34.039.050.501</w:t>
            </w:r>
          </w:p>
        </w:tc>
        <w:tc>
          <w:tcPr>
            <w:tcW w:w="901" w:type="pct"/>
            <w:shd w:val="clear" w:color="auto" w:fill="auto"/>
            <w:noWrap/>
            <w:vAlign w:val="center"/>
            <w:hideMark/>
          </w:tcPr>
          <w:p w14:paraId="04E3A4F7" w14:textId="19CE8B2C" w:rsidR="00DC20DF" w:rsidRPr="00D546D5" w:rsidRDefault="00DC20DF" w:rsidP="007C1FBF">
            <w:pPr>
              <w:jc w:val="right"/>
              <w:rPr>
                <w:rFonts w:cs="Arial"/>
                <w:color w:val="000000"/>
                <w:sz w:val="20"/>
                <w:szCs w:val="20"/>
              </w:rPr>
            </w:pPr>
            <w:r w:rsidRPr="00D546D5">
              <w:rPr>
                <w:sz w:val="20"/>
                <w:szCs w:val="20"/>
              </w:rPr>
              <w:t>30.537.073.920</w:t>
            </w:r>
          </w:p>
        </w:tc>
        <w:tc>
          <w:tcPr>
            <w:tcW w:w="843" w:type="pct"/>
            <w:shd w:val="clear" w:color="auto" w:fill="auto"/>
            <w:noWrap/>
            <w:vAlign w:val="center"/>
            <w:hideMark/>
          </w:tcPr>
          <w:p w14:paraId="2C3C4FA1" w14:textId="23BDD9D3" w:rsidR="00DC20DF" w:rsidRPr="00D546D5" w:rsidRDefault="00DC20DF" w:rsidP="007C1FBF">
            <w:pPr>
              <w:jc w:val="right"/>
              <w:rPr>
                <w:rFonts w:cs="Arial"/>
                <w:color w:val="000000"/>
                <w:sz w:val="20"/>
                <w:szCs w:val="20"/>
              </w:rPr>
            </w:pPr>
            <w:r w:rsidRPr="00D546D5">
              <w:rPr>
                <w:sz w:val="20"/>
                <w:szCs w:val="20"/>
              </w:rPr>
              <w:t>3.501.976.581</w:t>
            </w:r>
          </w:p>
        </w:tc>
      </w:tr>
      <w:tr w:rsidR="00DC20DF" w:rsidRPr="00D546D5" w14:paraId="4F5486E7" w14:textId="77777777" w:rsidTr="00A11652">
        <w:trPr>
          <w:trHeight w:val="340"/>
        </w:trPr>
        <w:tc>
          <w:tcPr>
            <w:tcW w:w="553" w:type="pct"/>
            <w:shd w:val="clear" w:color="auto" w:fill="auto"/>
            <w:noWrap/>
            <w:vAlign w:val="center"/>
            <w:hideMark/>
          </w:tcPr>
          <w:p w14:paraId="2477220A" w14:textId="77777777" w:rsidR="00DC20DF" w:rsidRPr="00D546D5" w:rsidRDefault="00DC20DF" w:rsidP="00DC20DF">
            <w:pPr>
              <w:jc w:val="center"/>
              <w:rPr>
                <w:rFonts w:cs="Arial"/>
                <w:color w:val="000000"/>
                <w:sz w:val="20"/>
                <w:szCs w:val="20"/>
              </w:rPr>
            </w:pPr>
            <w:r w:rsidRPr="00D546D5">
              <w:rPr>
                <w:sz w:val="20"/>
                <w:szCs w:val="20"/>
              </w:rPr>
              <w:t>2022</w:t>
            </w:r>
          </w:p>
        </w:tc>
        <w:tc>
          <w:tcPr>
            <w:tcW w:w="901" w:type="pct"/>
            <w:shd w:val="clear" w:color="auto" w:fill="auto"/>
            <w:noWrap/>
            <w:vAlign w:val="center"/>
            <w:hideMark/>
          </w:tcPr>
          <w:p w14:paraId="0961979A" w14:textId="455A2807" w:rsidR="00DC20DF" w:rsidRPr="00D546D5" w:rsidRDefault="00DC20DF" w:rsidP="007C1FBF">
            <w:pPr>
              <w:jc w:val="right"/>
              <w:rPr>
                <w:rFonts w:cs="Arial"/>
                <w:color w:val="000000"/>
                <w:sz w:val="20"/>
                <w:szCs w:val="20"/>
              </w:rPr>
            </w:pPr>
            <w:r w:rsidRPr="00D546D5">
              <w:rPr>
                <w:sz w:val="20"/>
                <w:szCs w:val="20"/>
              </w:rPr>
              <w:t>37.828.000.000</w:t>
            </w:r>
          </w:p>
        </w:tc>
        <w:tc>
          <w:tcPr>
            <w:tcW w:w="901" w:type="pct"/>
            <w:shd w:val="clear" w:color="auto" w:fill="auto"/>
            <w:noWrap/>
            <w:vAlign w:val="center"/>
            <w:hideMark/>
          </w:tcPr>
          <w:p w14:paraId="0001AABE" w14:textId="2EBE6D1C" w:rsidR="00DC20DF" w:rsidRPr="00D546D5" w:rsidRDefault="00DC20DF" w:rsidP="007C1FBF">
            <w:pPr>
              <w:jc w:val="right"/>
              <w:rPr>
                <w:rFonts w:cs="Arial"/>
                <w:color w:val="000000"/>
                <w:sz w:val="20"/>
                <w:szCs w:val="20"/>
              </w:rPr>
            </w:pPr>
            <w:r w:rsidRPr="00D546D5">
              <w:rPr>
                <w:sz w:val="20"/>
                <w:szCs w:val="20"/>
              </w:rPr>
              <w:t>43.461.177.793</w:t>
            </w:r>
          </w:p>
        </w:tc>
        <w:tc>
          <w:tcPr>
            <w:tcW w:w="901" w:type="pct"/>
            <w:shd w:val="clear" w:color="auto" w:fill="auto"/>
            <w:noWrap/>
            <w:vAlign w:val="center"/>
            <w:hideMark/>
          </w:tcPr>
          <w:p w14:paraId="5AFFEC8D" w14:textId="5A6C9978" w:rsidR="00DC20DF" w:rsidRPr="00D546D5" w:rsidRDefault="00DC20DF" w:rsidP="007C1FBF">
            <w:pPr>
              <w:jc w:val="right"/>
              <w:rPr>
                <w:rFonts w:cs="Arial"/>
                <w:color w:val="000000"/>
                <w:sz w:val="20"/>
                <w:szCs w:val="20"/>
              </w:rPr>
            </w:pPr>
            <w:r w:rsidRPr="00D546D5">
              <w:rPr>
                <w:sz w:val="20"/>
                <w:szCs w:val="20"/>
              </w:rPr>
              <w:t>38.761.193.279</w:t>
            </w:r>
          </w:p>
        </w:tc>
        <w:tc>
          <w:tcPr>
            <w:tcW w:w="901" w:type="pct"/>
            <w:shd w:val="clear" w:color="auto" w:fill="auto"/>
            <w:noWrap/>
            <w:vAlign w:val="center"/>
            <w:hideMark/>
          </w:tcPr>
          <w:p w14:paraId="2722B98A" w14:textId="134889AE" w:rsidR="00DC20DF" w:rsidRPr="00D546D5" w:rsidRDefault="00DC20DF" w:rsidP="007C1FBF">
            <w:pPr>
              <w:jc w:val="right"/>
              <w:rPr>
                <w:rFonts w:cs="Arial"/>
                <w:color w:val="000000"/>
                <w:sz w:val="20"/>
                <w:szCs w:val="20"/>
              </w:rPr>
            </w:pPr>
            <w:r w:rsidRPr="00D546D5">
              <w:rPr>
                <w:sz w:val="20"/>
                <w:szCs w:val="20"/>
              </w:rPr>
              <w:t>37.123.320.052</w:t>
            </w:r>
          </w:p>
        </w:tc>
        <w:tc>
          <w:tcPr>
            <w:tcW w:w="843" w:type="pct"/>
            <w:shd w:val="clear" w:color="auto" w:fill="auto"/>
            <w:noWrap/>
            <w:vAlign w:val="center"/>
            <w:hideMark/>
          </w:tcPr>
          <w:p w14:paraId="7A349C13" w14:textId="60D6A011" w:rsidR="00DC20DF" w:rsidRPr="00D546D5" w:rsidRDefault="00DC20DF" w:rsidP="007C1FBF">
            <w:pPr>
              <w:jc w:val="right"/>
              <w:rPr>
                <w:rFonts w:cs="Arial"/>
                <w:color w:val="000000"/>
                <w:sz w:val="20"/>
                <w:szCs w:val="20"/>
              </w:rPr>
            </w:pPr>
            <w:r w:rsidRPr="00D546D5">
              <w:rPr>
                <w:sz w:val="20"/>
                <w:szCs w:val="20"/>
              </w:rPr>
              <w:t>1.637.873.227</w:t>
            </w:r>
          </w:p>
        </w:tc>
      </w:tr>
      <w:tr w:rsidR="001D0AFD" w:rsidRPr="00D546D5" w14:paraId="7EC5463F" w14:textId="77777777" w:rsidTr="00A11652">
        <w:trPr>
          <w:trHeight w:val="340"/>
        </w:trPr>
        <w:tc>
          <w:tcPr>
            <w:tcW w:w="553" w:type="pct"/>
            <w:shd w:val="clear" w:color="auto" w:fill="auto"/>
            <w:noWrap/>
            <w:vAlign w:val="center"/>
          </w:tcPr>
          <w:p w14:paraId="4DDD84C3" w14:textId="18CAAA63" w:rsidR="001D0AFD" w:rsidRPr="00D546D5" w:rsidRDefault="001D0AFD" w:rsidP="001D0AFD">
            <w:pPr>
              <w:jc w:val="center"/>
              <w:rPr>
                <w:sz w:val="20"/>
                <w:szCs w:val="20"/>
              </w:rPr>
            </w:pPr>
            <w:r w:rsidRPr="00D546D5">
              <w:rPr>
                <w:sz w:val="20"/>
                <w:szCs w:val="20"/>
              </w:rPr>
              <w:t>2023</w:t>
            </w:r>
          </w:p>
        </w:tc>
        <w:tc>
          <w:tcPr>
            <w:tcW w:w="901" w:type="pct"/>
            <w:shd w:val="clear" w:color="auto" w:fill="auto"/>
            <w:noWrap/>
            <w:vAlign w:val="center"/>
          </w:tcPr>
          <w:p w14:paraId="463B075A" w14:textId="31F748E5" w:rsidR="001D0AFD" w:rsidRPr="00D546D5" w:rsidRDefault="001D0AFD" w:rsidP="001D0AFD">
            <w:pPr>
              <w:jc w:val="right"/>
              <w:rPr>
                <w:sz w:val="20"/>
                <w:szCs w:val="20"/>
              </w:rPr>
            </w:pPr>
            <w:r w:rsidRPr="00D546D5">
              <w:rPr>
                <w:sz w:val="20"/>
                <w:szCs w:val="20"/>
              </w:rPr>
              <w:t>39.947.309.000</w:t>
            </w:r>
          </w:p>
        </w:tc>
        <w:tc>
          <w:tcPr>
            <w:tcW w:w="901" w:type="pct"/>
            <w:shd w:val="clear" w:color="auto" w:fill="auto"/>
            <w:noWrap/>
            <w:vAlign w:val="center"/>
          </w:tcPr>
          <w:p w14:paraId="6195F1B8" w14:textId="76B4441E" w:rsidR="001D0AFD" w:rsidRPr="00D546D5" w:rsidRDefault="001D0AFD" w:rsidP="001D0AFD">
            <w:pPr>
              <w:jc w:val="right"/>
              <w:rPr>
                <w:sz w:val="20"/>
                <w:szCs w:val="20"/>
              </w:rPr>
            </w:pPr>
            <w:r w:rsidRPr="00D546D5">
              <w:rPr>
                <w:sz w:val="20"/>
                <w:szCs w:val="20"/>
              </w:rPr>
              <w:t>47.525.637.211</w:t>
            </w:r>
          </w:p>
        </w:tc>
        <w:tc>
          <w:tcPr>
            <w:tcW w:w="901" w:type="pct"/>
            <w:shd w:val="clear" w:color="auto" w:fill="auto"/>
            <w:noWrap/>
            <w:vAlign w:val="center"/>
          </w:tcPr>
          <w:p w14:paraId="5066FA82" w14:textId="7CA62550" w:rsidR="001D0AFD" w:rsidRPr="00D546D5" w:rsidRDefault="001D0AFD" w:rsidP="001D0AFD">
            <w:pPr>
              <w:jc w:val="right"/>
              <w:rPr>
                <w:sz w:val="20"/>
                <w:szCs w:val="20"/>
              </w:rPr>
            </w:pPr>
            <w:r w:rsidRPr="00D546D5">
              <w:rPr>
                <w:sz w:val="20"/>
                <w:szCs w:val="20"/>
              </w:rPr>
              <w:t>39.420.594.476</w:t>
            </w:r>
          </w:p>
        </w:tc>
        <w:tc>
          <w:tcPr>
            <w:tcW w:w="901" w:type="pct"/>
            <w:shd w:val="clear" w:color="auto" w:fill="auto"/>
            <w:noWrap/>
            <w:vAlign w:val="center"/>
          </w:tcPr>
          <w:p w14:paraId="19A51ED3" w14:textId="0CF255FE" w:rsidR="001D0AFD" w:rsidRPr="00D546D5" w:rsidRDefault="001D0AFD" w:rsidP="001D0AFD">
            <w:pPr>
              <w:jc w:val="right"/>
              <w:rPr>
                <w:sz w:val="20"/>
                <w:szCs w:val="20"/>
              </w:rPr>
            </w:pPr>
            <w:r w:rsidRPr="00D546D5">
              <w:rPr>
                <w:sz w:val="20"/>
                <w:szCs w:val="20"/>
              </w:rPr>
              <w:t>37.945.543.146</w:t>
            </w:r>
          </w:p>
        </w:tc>
        <w:tc>
          <w:tcPr>
            <w:tcW w:w="843" w:type="pct"/>
            <w:shd w:val="clear" w:color="auto" w:fill="auto"/>
            <w:noWrap/>
            <w:vAlign w:val="center"/>
          </w:tcPr>
          <w:p w14:paraId="6E9C5712" w14:textId="47D9A25A" w:rsidR="001D0AFD" w:rsidRPr="00D546D5" w:rsidRDefault="001D0AFD" w:rsidP="001D0AFD">
            <w:pPr>
              <w:jc w:val="right"/>
              <w:rPr>
                <w:sz w:val="20"/>
                <w:szCs w:val="20"/>
              </w:rPr>
            </w:pPr>
            <w:r w:rsidRPr="00D546D5">
              <w:rPr>
                <w:sz w:val="20"/>
                <w:szCs w:val="20"/>
              </w:rPr>
              <w:t>1.475.051.330</w:t>
            </w:r>
          </w:p>
        </w:tc>
      </w:tr>
    </w:tbl>
    <w:p w14:paraId="78C82B73" w14:textId="566F94F1" w:rsidR="00DC20DF" w:rsidRPr="004D0F52" w:rsidRDefault="00DC20DF" w:rsidP="00C306B6">
      <w:pPr>
        <w:pStyle w:val="0-FONTEBALANO"/>
      </w:pPr>
      <w:r w:rsidRPr="004D0F52">
        <w:t xml:space="preserve">Fonte: </w:t>
      </w:r>
      <w:r w:rsidR="00531981" w:rsidRPr="00531981">
        <w:t>Comparativo da Despesa Autorizada com a Realizada por Projeto/Atividade</w:t>
      </w:r>
      <w:r w:rsidR="00531981">
        <w:t xml:space="preserve"> - </w:t>
      </w:r>
      <w:r w:rsidRPr="004D0F52">
        <w:t>Anexo 11</w:t>
      </w:r>
      <w:r w:rsidR="005C7F59">
        <w:t xml:space="preserve"> (BGE 2020 a 2023)</w:t>
      </w:r>
    </w:p>
    <w:p w14:paraId="0B921692" w14:textId="77777777" w:rsidR="001D0AFD" w:rsidRDefault="00A46EE7" w:rsidP="001D0AFD">
      <w:pPr>
        <w:pStyle w:val="1-REL11"/>
        <w:keepNext/>
      </w:pPr>
      <w:r>
        <w:t xml:space="preserve"> </w:t>
      </w:r>
      <w:r w:rsidR="001D0AFD" w:rsidRPr="00405CF0">
        <w:t xml:space="preserve">Observa-se que o volume de recursos orçados e dispendidos nos exercícios manteve-se em ascensão, encerrando 2023 com aumento das despesas executadas na ordem de </w:t>
      </w:r>
      <w:r w:rsidR="001D0AFD">
        <w:t>36,22</w:t>
      </w:r>
      <w:r w:rsidR="001D0AFD" w:rsidRPr="00405CF0">
        <w:t xml:space="preserve">% em relação a </w:t>
      </w:r>
      <w:r w:rsidR="001D0AFD" w:rsidRPr="009D345F">
        <w:t>202</w:t>
      </w:r>
      <w:r w:rsidR="001D0AFD">
        <w:t>0</w:t>
      </w:r>
      <w:r w:rsidR="001D0AFD" w:rsidRPr="009D345F">
        <w:t>.</w:t>
      </w:r>
    </w:p>
    <w:p w14:paraId="217FDC09" w14:textId="77777777" w:rsidR="00DC20DF" w:rsidRDefault="00DC20DF" w:rsidP="00B000B6">
      <w:pPr>
        <w:pStyle w:val="Ttulo2"/>
        <w:numPr>
          <w:ilvl w:val="1"/>
          <w:numId w:val="34"/>
        </w:numPr>
        <w:autoSpaceDN w:val="0"/>
        <w:ind w:left="709" w:hanging="709"/>
        <w:rPr>
          <w:rFonts w:cs="Arial"/>
        </w:rPr>
      </w:pPr>
      <w:bookmarkStart w:id="29" w:name="_Toc167871623"/>
      <w:r>
        <w:rPr>
          <w:rFonts w:cs="Arial"/>
        </w:rPr>
        <w:t>Eixos Estratégicos</w:t>
      </w:r>
      <w:bookmarkEnd w:id="29"/>
    </w:p>
    <w:p w14:paraId="4129178B" w14:textId="36C4DD2D" w:rsidR="00DC20DF" w:rsidRPr="00225B99" w:rsidRDefault="00DC20DF" w:rsidP="00DC20DF">
      <w:pPr>
        <w:pStyle w:val="1-REL11"/>
        <w:rPr>
          <w:rFonts w:cs="Arial"/>
        </w:rPr>
      </w:pPr>
      <w:r w:rsidRPr="00225B99">
        <w:t>As movimentações orçamentárias e financeiras do exercício financeiro de 202</w:t>
      </w:r>
      <w:r w:rsidR="001D0AFD">
        <w:t>3</w:t>
      </w:r>
      <w:r w:rsidRPr="00225B99">
        <w:t xml:space="preserve"> por Eixos Estratégicos do PPA seguem abaixo:</w:t>
      </w:r>
    </w:p>
    <w:p w14:paraId="3E0B2234" w14:textId="193196FC" w:rsidR="001D0AFD" w:rsidRPr="001D0AFD" w:rsidRDefault="00DC20DF" w:rsidP="00ED3571">
      <w:pPr>
        <w:pStyle w:val="0-TABELA"/>
      </w:pPr>
      <w:bookmarkStart w:id="30" w:name="_Toc167871718"/>
      <w:r w:rsidRPr="00225B99">
        <w:t>Execução das Despesas por Eixos Estratégicos</w:t>
      </w:r>
      <w:bookmarkEnd w:id="30"/>
      <w:r w:rsidRPr="00225B99">
        <w:t xml:space="preserve"> </w:t>
      </w:r>
    </w:p>
    <w:p w14:paraId="1B31DEE7" w14:textId="24243F10" w:rsidR="00DC20DF" w:rsidRDefault="00EE2E8E" w:rsidP="00A53847">
      <w:pPr>
        <w:pStyle w:val="0-EmR1"/>
      </w:pPr>
      <w:r>
        <w:t>R$ 1</w:t>
      </w:r>
    </w:p>
    <w:tbl>
      <w:tblPr>
        <w:tblW w:w="5000" w:type="pct"/>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835"/>
        <w:gridCol w:w="1304"/>
        <w:gridCol w:w="1304"/>
        <w:gridCol w:w="1304"/>
        <w:gridCol w:w="1304"/>
        <w:gridCol w:w="1302"/>
      </w:tblGrid>
      <w:tr w:rsidR="001D0AFD" w:rsidRPr="008A7C46" w14:paraId="4CFD295D" w14:textId="77777777" w:rsidTr="00A11652">
        <w:trPr>
          <w:trHeight w:val="397"/>
          <w:tblHeader/>
        </w:trPr>
        <w:tc>
          <w:tcPr>
            <w:tcW w:w="1516" w:type="pct"/>
            <w:tcBorders>
              <w:bottom w:val="single" w:sz="4" w:space="0" w:color="auto"/>
            </w:tcBorders>
            <w:shd w:val="clear" w:color="auto" w:fill="A1F2FD"/>
            <w:noWrap/>
            <w:tcMar>
              <w:top w:w="17" w:type="dxa"/>
              <w:bottom w:w="17" w:type="dxa"/>
            </w:tcMar>
            <w:vAlign w:val="center"/>
            <w:hideMark/>
          </w:tcPr>
          <w:p w14:paraId="55E310BC" w14:textId="77777777" w:rsidR="001D0AFD" w:rsidRPr="00A377A2" w:rsidRDefault="001D0AFD" w:rsidP="00A11652">
            <w:pPr>
              <w:keepNext/>
              <w:keepLines/>
              <w:jc w:val="center"/>
              <w:rPr>
                <w:rFonts w:cs="Arial"/>
                <w:b/>
                <w:bCs/>
                <w:color w:val="000000"/>
                <w:sz w:val="18"/>
                <w:szCs w:val="18"/>
              </w:rPr>
            </w:pPr>
            <w:r w:rsidRPr="00A377A2">
              <w:rPr>
                <w:rFonts w:cs="Arial"/>
                <w:b/>
                <w:bCs/>
                <w:color w:val="000000"/>
                <w:sz w:val="18"/>
                <w:szCs w:val="18"/>
              </w:rPr>
              <w:t>Eixos Governamentais</w:t>
            </w:r>
          </w:p>
        </w:tc>
        <w:tc>
          <w:tcPr>
            <w:tcW w:w="697" w:type="pct"/>
            <w:tcBorders>
              <w:bottom w:val="single" w:sz="4" w:space="0" w:color="auto"/>
            </w:tcBorders>
            <w:shd w:val="clear" w:color="auto" w:fill="A1F2FD"/>
            <w:tcMar>
              <w:top w:w="17" w:type="dxa"/>
              <w:bottom w:w="17" w:type="dxa"/>
            </w:tcMar>
            <w:vAlign w:val="center"/>
            <w:hideMark/>
          </w:tcPr>
          <w:p w14:paraId="0305DE88" w14:textId="77777777" w:rsidR="001D0AFD" w:rsidRPr="00A377A2" w:rsidRDefault="001D0AFD" w:rsidP="002970EF">
            <w:pPr>
              <w:keepNext/>
              <w:keepLines/>
              <w:ind w:left="-68"/>
              <w:jc w:val="center"/>
              <w:rPr>
                <w:rFonts w:cs="Arial"/>
                <w:b/>
                <w:bCs/>
                <w:color w:val="000000"/>
                <w:sz w:val="18"/>
                <w:szCs w:val="18"/>
              </w:rPr>
            </w:pPr>
            <w:r w:rsidRPr="00A377A2">
              <w:rPr>
                <w:rFonts w:cs="Arial"/>
                <w:b/>
                <w:bCs/>
                <w:color w:val="000000"/>
                <w:sz w:val="18"/>
                <w:szCs w:val="18"/>
              </w:rPr>
              <w:t>Orçada</w:t>
            </w:r>
          </w:p>
        </w:tc>
        <w:tc>
          <w:tcPr>
            <w:tcW w:w="697" w:type="pct"/>
            <w:tcBorders>
              <w:bottom w:val="single" w:sz="4" w:space="0" w:color="auto"/>
            </w:tcBorders>
            <w:shd w:val="clear" w:color="auto" w:fill="A1F2FD"/>
            <w:tcMar>
              <w:top w:w="17" w:type="dxa"/>
              <w:bottom w:w="17" w:type="dxa"/>
            </w:tcMar>
            <w:vAlign w:val="center"/>
            <w:hideMark/>
          </w:tcPr>
          <w:p w14:paraId="1336BFE8" w14:textId="77777777" w:rsidR="001D0AFD" w:rsidRPr="00A377A2" w:rsidRDefault="001D0AFD" w:rsidP="002970EF">
            <w:pPr>
              <w:keepNext/>
              <w:keepLines/>
              <w:ind w:left="-94"/>
              <w:jc w:val="center"/>
              <w:rPr>
                <w:rFonts w:cs="Arial"/>
                <w:b/>
                <w:bCs/>
                <w:color w:val="000000"/>
                <w:sz w:val="18"/>
                <w:szCs w:val="18"/>
              </w:rPr>
            </w:pPr>
            <w:r w:rsidRPr="00A377A2">
              <w:rPr>
                <w:rFonts w:cs="Arial"/>
                <w:b/>
                <w:bCs/>
                <w:color w:val="000000"/>
                <w:sz w:val="18"/>
                <w:szCs w:val="18"/>
              </w:rPr>
              <w:t>Autorizada</w:t>
            </w:r>
          </w:p>
        </w:tc>
        <w:tc>
          <w:tcPr>
            <w:tcW w:w="697" w:type="pct"/>
            <w:tcBorders>
              <w:bottom w:val="single" w:sz="4" w:space="0" w:color="auto"/>
            </w:tcBorders>
            <w:shd w:val="clear" w:color="auto" w:fill="A1F2FD"/>
            <w:tcMar>
              <w:top w:w="17" w:type="dxa"/>
              <w:bottom w:w="17" w:type="dxa"/>
            </w:tcMar>
            <w:vAlign w:val="center"/>
            <w:hideMark/>
          </w:tcPr>
          <w:p w14:paraId="366CD91D" w14:textId="77777777" w:rsidR="001D0AFD" w:rsidRPr="00A377A2" w:rsidRDefault="001D0AFD" w:rsidP="002970EF">
            <w:pPr>
              <w:keepNext/>
              <w:keepLines/>
              <w:ind w:left="-132" w:hanging="10"/>
              <w:jc w:val="center"/>
              <w:rPr>
                <w:rFonts w:cs="Arial"/>
                <w:b/>
                <w:bCs/>
                <w:color w:val="000000"/>
                <w:sz w:val="18"/>
                <w:szCs w:val="18"/>
              </w:rPr>
            </w:pPr>
            <w:r w:rsidRPr="00A377A2">
              <w:rPr>
                <w:rFonts w:cs="Arial"/>
                <w:b/>
                <w:bCs/>
                <w:color w:val="000000"/>
                <w:sz w:val="18"/>
                <w:szCs w:val="18"/>
              </w:rPr>
              <w:t>Empenhada</w:t>
            </w:r>
          </w:p>
        </w:tc>
        <w:tc>
          <w:tcPr>
            <w:tcW w:w="697" w:type="pct"/>
            <w:tcBorders>
              <w:bottom w:val="single" w:sz="4" w:space="0" w:color="auto"/>
            </w:tcBorders>
            <w:shd w:val="clear" w:color="auto" w:fill="A1F2FD"/>
            <w:tcMar>
              <w:top w:w="17" w:type="dxa"/>
              <w:bottom w:w="17" w:type="dxa"/>
            </w:tcMar>
            <w:vAlign w:val="center"/>
            <w:hideMark/>
          </w:tcPr>
          <w:p w14:paraId="08D1F000" w14:textId="77777777" w:rsidR="001D0AFD" w:rsidRPr="00A377A2" w:rsidRDefault="001D0AFD" w:rsidP="002970EF">
            <w:pPr>
              <w:keepNext/>
              <w:keepLines/>
              <w:ind w:left="-157"/>
              <w:jc w:val="center"/>
              <w:rPr>
                <w:rFonts w:cs="Arial"/>
                <w:b/>
                <w:bCs/>
                <w:color w:val="000000"/>
                <w:sz w:val="18"/>
                <w:szCs w:val="18"/>
              </w:rPr>
            </w:pPr>
            <w:r w:rsidRPr="00A377A2">
              <w:rPr>
                <w:rFonts w:cs="Arial"/>
                <w:b/>
                <w:bCs/>
                <w:color w:val="000000"/>
                <w:sz w:val="18"/>
                <w:szCs w:val="18"/>
              </w:rPr>
              <w:t>Paga</w:t>
            </w:r>
          </w:p>
        </w:tc>
        <w:tc>
          <w:tcPr>
            <w:tcW w:w="696" w:type="pct"/>
            <w:tcBorders>
              <w:bottom w:val="single" w:sz="4" w:space="0" w:color="auto"/>
            </w:tcBorders>
            <w:shd w:val="clear" w:color="auto" w:fill="A1F2FD"/>
            <w:tcMar>
              <w:top w:w="17" w:type="dxa"/>
              <w:bottom w:w="17" w:type="dxa"/>
            </w:tcMar>
            <w:vAlign w:val="center"/>
            <w:hideMark/>
          </w:tcPr>
          <w:p w14:paraId="78F0E7E5" w14:textId="77777777" w:rsidR="001D0AFD" w:rsidRPr="00A377A2" w:rsidRDefault="001D0AFD" w:rsidP="00A11652">
            <w:pPr>
              <w:keepNext/>
              <w:keepLines/>
              <w:jc w:val="center"/>
              <w:rPr>
                <w:rFonts w:cs="Arial"/>
                <w:b/>
                <w:bCs/>
                <w:color w:val="000000"/>
                <w:sz w:val="18"/>
                <w:szCs w:val="18"/>
              </w:rPr>
            </w:pPr>
            <w:r w:rsidRPr="00A377A2">
              <w:rPr>
                <w:rFonts w:cs="Arial"/>
                <w:b/>
                <w:bCs/>
                <w:color w:val="000000"/>
                <w:sz w:val="18"/>
                <w:szCs w:val="18"/>
              </w:rPr>
              <w:t>Restos a Pagar</w:t>
            </w:r>
          </w:p>
        </w:tc>
      </w:tr>
      <w:tr w:rsidR="001D0AFD" w:rsidRPr="008A7C46" w14:paraId="31607A61" w14:textId="77777777" w:rsidTr="00A11652">
        <w:trPr>
          <w:trHeight w:val="397"/>
        </w:trPr>
        <w:tc>
          <w:tcPr>
            <w:tcW w:w="1516" w:type="pct"/>
            <w:tcBorders>
              <w:bottom w:val="nil"/>
            </w:tcBorders>
            <w:shd w:val="clear" w:color="auto" w:fill="auto"/>
            <w:noWrap/>
            <w:tcMar>
              <w:top w:w="17" w:type="dxa"/>
              <w:bottom w:w="17" w:type="dxa"/>
            </w:tcMar>
            <w:vAlign w:val="center"/>
            <w:hideMark/>
          </w:tcPr>
          <w:p w14:paraId="2728A14A" w14:textId="77777777" w:rsidR="001D0AFD" w:rsidRPr="002970EF" w:rsidRDefault="001D0AFD" w:rsidP="00B32D66">
            <w:pPr>
              <w:keepNext/>
              <w:keepLines/>
              <w:ind w:left="640" w:hanging="640"/>
              <w:jc w:val="left"/>
              <w:rPr>
                <w:rFonts w:cs="Arial"/>
                <w:color w:val="000000"/>
                <w:sz w:val="17"/>
                <w:szCs w:val="17"/>
              </w:rPr>
            </w:pPr>
            <w:r w:rsidRPr="002970EF">
              <w:rPr>
                <w:rFonts w:cs="Arial"/>
                <w:color w:val="000000"/>
                <w:sz w:val="17"/>
                <w:szCs w:val="17"/>
              </w:rPr>
              <w:t>Eixo 1 - Goiás da Responsabilidade Fiscal</w:t>
            </w:r>
          </w:p>
        </w:tc>
        <w:tc>
          <w:tcPr>
            <w:tcW w:w="697" w:type="pct"/>
            <w:tcBorders>
              <w:bottom w:val="nil"/>
            </w:tcBorders>
            <w:shd w:val="clear" w:color="auto" w:fill="auto"/>
            <w:noWrap/>
            <w:tcMar>
              <w:top w:w="17" w:type="dxa"/>
              <w:bottom w:w="17" w:type="dxa"/>
            </w:tcMar>
            <w:vAlign w:val="center"/>
            <w:hideMark/>
          </w:tcPr>
          <w:p w14:paraId="5CC058D1" w14:textId="77777777" w:rsidR="001D0AFD" w:rsidRPr="002970EF" w:rsidRDefault="001D0AFD" w:rsidP="002970EF">
            <w:pPr>
              <w:keepNext/>
              <w:keepLines/>
              <w:ind w:left="-68"/>
              <w:jc w:val="right"/>
              <w:rPr>
                <w:rFonts w:cs="Arial"/>
                <w:color w:val="000000"/>
                <w:sz w:val="17"/>
                <w:szCs w:val="17"/>
              </w:rPr>
            </w:pPr>
            <w:r w:rsidRPr="002970EF">
              <w:rPr>
                <w:rFonts w:cs="Arial"/>
                <w:color w:val="000000"/>
                <w:sz w:val="17"/>
                <w:szCs w:val="17"/>
              </w:rPr>
              <w:t>40.402.000</w:t>
            </w:r>
          </w:p>
        </w:tc>
        <w:tc>
          <w:tcPr>
            <w:tcW w:w="697" w:type="pct"/>
            <w:tcBorders>
              <w:bottom w:val="nil"/>
            </w:tcBorders>
            <w:shd w:val="clear" w:color="auto" w:fill="auto"/>
            <w:noWrap/>
            <w:tcMar>
              <w:top w:w="17" w:type="dxa"/>
              <w:bottom w:w="17" w:type="dxa"/>
            </w:tcMar>
            <w:vAlign w:val="center"/>
            <w:hideMark/>
          </w:tcPr>
          <w:p w14:paraId="5A1C27F6" w14:textId="77777777" w:rsidR="001D0AFD" w:rsidRPr="002970EF" w:rsidRDefault="001D0AFD" w:rsidP="002970EF">
            <w:pPr>
              <w:keepNext/>
              <w:keepLines/>
              <w:ind w:left="-94"/>
              <w:jc w:val="right"/>
              <w:rPr>
                <w:rFonts w:cs="Arial"/>
                <w:color w:val="000000"/>
                <w:sz w:val="17"/>
                <w:szCs w:val="17"/>
              </w:rPr>
            </w:pPr>
            <w:r w:rsidRPr="002970EF">
              <w:rPr>
                <w:rFonts w:cs="Arial"/>
                <w:color w:val="000000"/>
                <w:sz w:val="17"/>
                <w:szCs w:val="17"/>
              </w:rPr>
              <w:t>77.985.774</w:t>
            </w:r>
          </w:p>
        </w:tc>
        <w:tc>
          <w:tcPr>
            <w:tcW w:w="697" w:type="pct"/>
            <w:tcBorders>
              <w:bottom w:val="nil"/>
            </w:tcBorders>
            <w:shd w:val="clear" w:color="auto" w:fill="auto"/>
            <w:noWrap/>
            <w:tcMar>
              <w:top w:w="17" w:type="dxa"/>
              <w:bottom w:w="17" w:type="dxa"/>
            </w:tcMar>
            <w:vAlign w:val="center"/>
            <w:hideMark/>
          </w:tcPr>
          <w:p w14:paraId="0535E0A3" w14:textId="77777777" w:rsidR="001D0AFD" w:rsidRPr="002970EF" w:rsidRDefault="001D0AFD" w:rsidP="002970EF">
            <w:pPr>
              <w:keepNext/>
              <w:keepLines/>
              <w:ind w:left="-132" w:hanging="10"/>
              <w:jc w:val="right"/>
              <w:rPr>
                <w:rFonts w:cs="Arial"/>
                <w:color w:val="000000"/>
                <w:sz w:val="17"/>
                <w:szCs w:val="17"/>
              </w:rPr>
            </w:pPr>
            <w:r w:rsidRPr="002970EF">
              <w:rPr>
                <w:rFonts w:cs="Arial"/>
                <w:color w:val="000000"/>
                <w:sz w:val="17"/>
                <w:szCs w:val="17"/>
              </w:rPr>
              <w:t xml:space="preserve"> 38.640.003 </w:t>
            </w:r>
          </w:p>
        </w:tc>
        <w:tc>
          <w:tcPr>
            <w:tcW w:w="697" w:type="pct"/>
            <w:tcBorders>
              <w:bottom w:val="nil"/>
            </w:tcBorders>
            <w:shd w:val="clear" w:color="auto" w:fill="auto"/>
            <w:noWrap/>
            <w:tcMar>
              <w:top w:w="17" w:type="dxa"/>
              <w:bottom w:w="17" w:type="dxa"/>
            </w:tcMar>
            <w:vAlign w:val="center"/>
            <w:hideMark/>
          </w:tcPr>
          <w:p w14:paraId="7EF77FA3" w14:textId="77777777" w:rsidR="001D0AFD" w:rsidRPr="002970EF" w:rsidRDefault="001D0AFD" w:rsidP="002970EF">
            <w:pPr>
              <w:keepNext/>
              <w:keepLines/>
              <w:ind w:left="-157"/>
              <w:jc w:val="right"/>
              <w:rPr>
                <w:rFonts w:cs="Arial"/>
                <w:color w:val="000000"/>
                <w:sz w:val="17"/>
                <w:szCs w:val="17"/>
              </w:rPr>
            </w:pPr>
            <w:r w:rsidRPr="002970EF">
              <w:rPr>
                <w:rFonts w:cs="Arial"/>
                <w:color w:val="000000"/>
                <w:sz w:val="17"/>
                <w:szCs w:val="17"/>
              </w:rPr>
              <w:t xml:space="preserve"> 28.112.566 </w:t>
            </w:r>
          </w:p>
        </w:tc>
        <w:tc>
          <w:tcPr>
            <w:tcW w:w="696" w:type="pct"/>
            <w:tcBorders>
              <w:bottom w:val="nil"/>
            </w:tcBorders>
            <w:shd w:val="clear" w:color="auto" w:fill="auto"/>
            <w:noWrap/>
            <w:tcMar>
              <w:top w:w="17" w:type="dxa"/>
              <w:bottom w:w="17" w:type="dxa"/>
            </w:tcMar>
            <w:vAlign w:val="center"/>
            <w:hideMark/>
          </w:tcPr>
          <w:p w14:paraId="77E899C8" w14:textId="77777777" w:rsidR="001D0AFD" w:rsidRPr="002970EF" w:rsidRDefault="001D0AFD" w:rsidP="00B32D66">
            <w:pPr>
              <w:keepNext/>
              <w:keepLines/>
              <w:jc w:val="right"/>
              <w:rPr>
                <w:rFonts w:cs="Arial"/>
                <w:color w:val="000000"/>
                <w:sz w:val="17"/>
                <w:szCs w:val="17"/>
              </w:rPr>
            </w:pPr>
            <w:r w:rsidRPr="002970EF">
              <w:rPr>
                <w:rFonts w:cs="Arial"/>
                <w:color w:val="000000"/>
                <w:sz w:val="17"/>
                <w:szCs w:val="17"/>
              </w:rPr>
              <w:t xml:space="preserve"> 10.527.436 </w:t>
            </w:r>
          </w:p>
        </w:tc>
      </w:tr>
      <w:tr w:rsidR="001D0AFD" w:rsidRPr="008A7C46" w14:paraId="1BCBD49A" w14:textId="77777777" w:rsidTr="00A11652">
        <w:trPr>
          <w:trHeight w:val="397"/>
        </w:trPr>
        <w:tc>
          <w:tcPr>
            <w:tcW w:w="1516" w:type="pct"/>
            <w:tcBorders>
              <w:top w:val="nil"/>
              <w:bottom w:val="nil"/>
            </w:tcBorders>
            <w:shd w:val="clear" w:color="auto" w:fill="auto"/>
            <w:noWrap/>
            <w:tcMar>
              <w:top w:w="17" w:type="dxa"/>
              <w:bottom w:w="17" w:type="dxa"/>
            </w:tcMar>
            <w:vAlign w:val="center"/>
            <w:hideMark/>
          </w:tcPr>
          <w:p w14:paraId="5D43A44B" w14:textId="77777777" w:rsidR="001D0AFD" w:rsidRPr="002970EF" w:rsidRDefault="001D0AFD" w:rsidP="00B32D66">
            <w:pPr>
              <w:ind w:left="640" w:hanging="640"/>
              <w:jc w:val="left"/>
              <w:outlineLvl w:val="1"/>
              <w:rPr>
                <w:rFonts w:cs="Arial"/>
                <w:color w:val="000000"/>
                <w:sz w:val="17"/>
                <w:szCs w:val="17"/>
              </w:rPr>
            </w:pPr>
            <w:r w:rsidRPr="002970EF">
              <w:rPr>
                <w:rFonts w:cs="Arial"/>
                <w:color w:val="000000"/>
                <w:sz w:val="17"/>
                <w:szCs w:val="17"/>
              </w:rPr>
              <w:t>Eixo 2 - Goiás da Governança e Gestão Transformadora</w:t>
            </w:r>
          </w:p>
        </w:tc>
        <w:tc>
          <w:tcPr>
            <w:tcW w:w="697" w:type="pct"/>
            <w:tcBorders>
              <w:top w:val="nil"/>
              <w:bottom w:val="nil"/>
            </w:tcBorders>
            <w:shd w:val="clear" w:color="auto" w:fill="auto"/>
            <w:noWrap/>
            <w:tcMar>
              <w:top w:w="17" w:type="dxa"/>
              <w:bottom w:w="17" w:type="dxa"/>
            </w:tcMar>
            <w:vAlign w:val="center"/>
            <w:hideMark/>
          </w:tcPr>
          <w:p w14:paraId="0702AEE9" w14:textId="77777777" w:rsidR="001D0AFD" w:rsidRPr="002970EF" w:rsidRDefault="001D0AFD" w:rsidP="002970EF">
            <w:pPr>
              <w:ind w:left="-68"/>
              <w:jc w:val="right"/>
              <w:outlineLvl w:val="1"/>
              <w:rPr>
                <w:rFonts w:cs="Arial"/>
                <w:color w:val="000000"/>
                <w:sz w:val="17"/>
                <w:szCs w:val="17"/>
              </w:rPr>
            </w:pPr>
            <w:r w:rsidRPr="002970EF">
              <w:rPr>
                <w:rFonts w:cs="Arial"/>
                <w:color w:val="000000"/>
                <w:sz w:val="17"/>
                <w:szCs w:val="17"/>
              </w:rPr>
              <w:t>28.171.262.000</w:t>
            </w:r>
          </w:p>
        </w:tc>
        <w:tc>
          <w:tcPr>
            <w:tcW w:w="697" w:type="pct"/>
            <w:tcBorders>
              <w:top w:val="nil"/>
              <w:bottom w:val="nil"/>
            </w:tcBorders>
            <w:shd w:val="clear" w:color="auto" w:fill="auto"/>
            <w:noWrap/>
            <w:tcMar>
              <w:top w:w="17" w:type="dxa"/>
              <w:bottom w:w="17" w:type="dxa"/>
            </w:tcMar>
            <w:vAlign w:val="center"/>
            <w:hideMark/>
          </w:tcPr>
          <w:p w14:paraId="0CFCD612" w14:textId="77777777" w:rsidR="001D0AFD" w:rsidRPr="002970EF" w:rsidRDefault="001D0AFD" w:rsidP="002970EF">
            <w:pPr>
              <w:ind w:left="-94"/>
              <w:jc w:val="right"/>
              <w:outlineLvl w:val="1"/>
              <w:rPr>
                <w:rFonts w:cs="Arial"/>
                <w:color w:val="000000"/>
                <w:sz w:val="17"/>
                <w:szCs w:val="17"/>
              </w:rPr>
            </w:pPr>
            <w:r w:rsidRPr="002970EF">
              <w:rPr>
                <w:rFonts w:cs="Arial"/>
                <w:color w:val="000000"/>
                <w:sz w:val="17"/>
                <w:szCs w:val="17"/>
              </w:rPr>
              <w:t xml:space="preserve">32.161.936.090 </w:t>
            </w:r>
          </w:p>
        </w:tc>
        <w:tc>
          <w:tcPr>
            <w:tcW w:w="697" w:type="pct"/>
            <w:tcBorders>
              <w:top w:val="nil"/>
              <w:bottom w:val="nil"/>
            </w:tcBorders>
            <w:shd w:val="clear" w:color="auto" w:fill="auto"/>
            <w:noWrap/>
            <w:tcMar>
              <w:top w:w="17" w:type="dxa"/>
              <w:bottom w:w="17" w:type="dxa"/>
            </w:tcMar>
            <w:vAlign w:val="center"/>
            <w:hideMark/>
          </w:tcPr>
          <w:p w14:paraId="5AAD3792" w14:textId="77777777" w:rsidR="001D0AFD" w:rsidRPr="002970EF" w:rsidRDefault="001D0AFD" w:rsidP="002970EF">
            <w:pPr>
              <w:keepNext/>
              <w:keepLines/>
              <w:ind w:left="-132" w:hanging="10"/>
              <w:jc w:val="right"/>
              <w:rPr>
                <w:rFonts w:cs="Arial"/>
                <w:color w:val="000000"/>
                <w:sz w:val="17"/>
                <w:szCs w:val="17"/>
              </w:rPr>
            </w:pPr>
            <w:r w:rsidRPr="002970EF">
              <w:rPr>
                <w:rFonts w:cs="Arial"/>
                <w:color w:val="000000"/>
                <w:sz w:val="17"/>
                <w:szCs w:val="17"/>
              </w:rPr>
              <w:t>28.925.479.149</w:t>
            </w:r>
          </w:p>
        </w:tc>
        <w:tc>
          <w:tcPr>
            <w:tcW w:w="697" w:type="pct"/>
            <w:tcBorders>
              <w:top w:val="nil"/>
              <w:bottom w:val="nil"/>
            </w:tcBorders>
            <w:shd w:val="clear" w:color="auto" w:fill="auto"/>
            <w:noWrap/>
            <w:tcMar>
              <w:top w:w="17" w:type="dxa"/>
              <w:bottom w:w="17" w:type="dxa"/>
            </w:tcMar>
            <w:vAlign w:val="center"/>
            <w:hideMark/>
          </w:tcPr>
          <w:p w14:paraId="4239BD5F" w14:textId="77777777" w:rsidR="001D0AFD" w:rsidRPr="002970EF" w:rsidRDefault="001D0AFD" w:rsidP="002970EF">
            <w:pPr>
              <w:keepNext/>
              <w:keepLines/>
              <w:ind w:left="-157"/>
              <w:jc w:val="right"/>
              <w:rPr>
                <w:rFonts w:cs="Arial"/>
                <w:color w:val="000000"/>
                <w:sz w:val="17"/>
                <w:szCs w:val="17"/>
              </w:rPr>
            </w:pPr>
            <w:r w:rsidRPr="002970EF">
              <w:rPr>
                <w:rFonts w:cs="Arial"/>
                <w:color w:val="000000"/>
                <w:sz w:val="17"/>
                <w:szCs w:val="17"/>
              </w:rPr>
              <w:t>28.679.875.484</w:t>
            </w:r>
          </w:p>
        </w:tc>
        <w:tc>
          <w:tcPr>
            <w:tcW w:w="696" w:type="pct"/>
            <w:tcBorders>
              <w:top w:val="nil"/>
              <w:bottom w:val="nil"/>
            </w:tcBorders>
            <w:shd w:val="clear" w:color="auto" w:fill="auto"/>
            <w:noWrap/>
            <w:tcMar>
              <w:top w:w="17" w:type="dxa"/>
              <w:bottom w:w="17" w:type="dxa"/>
            </w:tcMar>
            <w:vAlign w:val="center"/>
            <w:hideMark/>
          </w:tcPr>
          <w:p w14:paraId="3C22BD7A" w14:textId="77777777" w:rsidR="001D0AFD" w:rsidRPr="002970EF" w:rsidRDefault="001D0AFD" w:rsidP="00B32D66">
            <w:pPr>
              <w:keepNext/>
              <w:keepLines/>
              <w:jc w:val="right"/>
              <w:rPr>
                <w:rFonts w:cs="Arial"/>
                <w:color w:val="000000"/>
                <w:sz w:val="17"/>
                <w:szCs w:val="17"/>
              </w:rPr>
            </w:pPr>
            <w:r w:rsidRPr="002970EF">
              <w:rPr>
                <w:rFonts w:cs="Arial"/>
                <w:color w:val="000000"/>
                <w:sz w:val="17"/>
                <w:szCs w:val="17"/>
              </w:rPr>
              <w:t>245.603.665</w:t>
            </w:r>
          </w:p>
        </w:tc>
      </w:tr>
      <w:tr w:rsidR="001D0AFD" w:rsidRPr="008A7C46" w14:paraId="23317274" w14:textId="77777777" w:rsidTr="00A11652">
        <w:trPr>
          <w:trHeight w:val="397"/>
        </w:trPr>
        <w:tc>
          <w:tcPr>
            <w:tcW w:w="1516" w:type="pct"/>
            <w:tcBorders>
              <w:top w:val="nil"/>
              <w:bottom w:val="nil"/>
            </w:tcBorders>
            <w:shd w:val="clear" w:color="auto" w:fill="auto"/>
            <w:noWrap/>
            <w:tcMar>
              <w:top w:w="17" w:type="dxa"/>
              <w:bottom w:w="17" w:type="dxa"/>
            </w:tcMar>
            <w:vAlign w:val="center"/>
            <w:hideMark/>
          </w:tcPr>
          <w:p w14:paraId="75A7E545" w14:textId="77777777" w:rsidR="001D0AFD" w:rsidRPr="002970EF" w:rsidRDefault="001D0AFD" w:rsidP="00B32D66">
            <w:pPr>
              <w:ind w:left="640" w:hanging="640"/>
              <w:jc w:val="left"/>
              <w:outlineLvl w:val="1"/>
              <w:rPr>
                <w:rFonts w:cs="Arial"/>
                <w:color w:val="000000"/>
                <w:sz w:val="17"/>
                <w:szCs w:val="17"/>
              </w:rPr>
            </w:pPr>
            <w:r w:rsidRPr="002970EF">
              <w:rPr>
                <w:rFonts w:cs="Arial"/>
                <w:color w:val="000000"/>
                <w:sz w:val="17"/>
                <w:szCs w:val="17"/>
              </w:rPr>
              <w:t>Eixo 3 - Goiás da Infraestrutura e Sustentabilidade</w:t>
            </w:r>
          </w:p>
        </w:tc>
        <w:tc>
          <w:tcPr>
            <w:tcW w:w="697" w:type="pct"/>
            <w:tcBorders>
              <w:top w:val="nil"/>
              <w:bottom w:val="nil"/>
            </w:tcBorders>
            <w:shd w:val="clear" w:color="auto" w:fill="auto"/>
            <w:noWrap/>
            <w:tcMar>
              <w:top w:w="17" w:type="dxa"/>
              <w:bottom w:w="17" w:type="dxa"/>
            </w:tcMar>
            <w:vAlign w:val="center"/>
          </w:tcPr>
          <w:p w14:paraId="4513734A" w14:textId="77777777" w:rsidR="001D0AFD" w:rsidRPr="002970EF" w:rsidRDefault="001D0AFD" w:rsidP="002970EF">
            <w:pPr>
              <w:ind w:left="-68"/>
              <w:jc w:val="right"/>
              <w:outlineLvl w:val="1"/>
              <w:rPr>
                <w:rFonts w:cs="Arial"/>
                <w:color w:val="000000"/>
                <w:sz w:val="17"/>
                <w:szCs w:val="17"/>
              </w:rPr>
            </w:pPr>
            <w:r w:rsidRPr="002970EF">
              <w:rPr>
                <w:rFonts w:cs="Arial"/>
                <w:color w:val="000000"/>
                <w:sz w:val="17"/>
                <w:szCs w:val="17"/>
              </w:rPr>
              <w:t>905.749.000</w:t>
            </w:r>
          </w:p>
        </w:tc>
        <w:tc>
          <w:tcPr>
            <w:tcW w:w="697" w:type="pct"/>
            <w:tcBorders>
              <w:top w:val="nil"/>
              <w:bottom w:val="nil"/>
            </w:tcBorders>
            <w:shd w:val="clear" w:color="auto" w:fill="auto"/>
            <w:noWrap/>
            <w:tcMar>
              <w:top w:w="17" w:type="dxa"/>
              <w:bottom w:w="17" w:type="dxa"/>
            </w:tcMar>
            <w:vAlign w:val="center"/>
          </w:tcPr>
          <w:p w14:paraId="163AB507" w14:textId="77777777" w:rsidR="001D0AFD" w:rsidRPr="002970EF" w:rsidRDefault="001D0AFD" w:rsidP="002970EF">
            <w:pPr>
              <w:ind w:left="-94"/>
              <w:jc w:val="right"/>
              <w:outlineLvl w:val="1"/>
              <w:rPr>
                <w:rFonts w:cs="Arial"/>
                <w:color w:val="000000"/>
                <w:sz w:val="17"/>
                <w:szCs w:val="17"/>
              </w:rPr>
            </w:pPr>
            <w:r w:rsidRPr="002970EF">
              <w:rPr>
                <w:rFonts w:cs="Arial"/>
                <w:color w:val="000000"/>
                <w:sz w:val="17"/>
                <w:szCs w:val="17"/>
              </w:rPr>
              <w:t>3.077.361.197</w:t>
            </w:r>
          </w:p>
        </w:tc>
        <w:tc>
          <w:tcPr>
            <w:tcW w:w="697" w:type="pct"/>
            <w:tcBorders>
              <w:top w:val="nil"/>
              <w:bottom w:val="nil"/>
            </w:tcBorders>
            <w:shd w:val="clear" w:color="auto" w:fill="auto"/>
            <w:noWrap/>
            <w:tcMar>
              <w:top w:w="17" w:type="dxa"/>
              <w:bottom w:w="17" w:type="dxa"/>
            </w:tcMar>
            <w:vAlign w:val="center"/>
          </w:tcPr>
          <w:p w14:paraId="653F8A88" w14:textId="77777777" w:rsidR="001D0AFD" w:rsidRPr="002970EF" w:rsidRDefault="001D0AFD" w:rsidP="002970EF">
            <w:pPr>
              <w:keepNext/>
              <w:keepLines/>
              <w:ind w:left="-132" w:hanging="10"/>
              <w:jc w:val="right"/>
              <w:rPr>
                <w:rFonts w:cs="Arial"/>
                <w:color w:val="000000"/>
                <w:sz w:val="17"/>
                <w:szCs w:val="17"/>
              </w:rPr>
            </w:pPr>
            <w:r w:rsidRPr="002970EF">
              <w:rPr>
                <w:rFonts w:cs="Arial"/>
                <w:color w:val="000000"/>
                <w:sz w:val="17"/>
                <w:szCs w:val="17"/>
              </w:rPr>
              <w:t>2.099.453.300</w:t>
            </w:r>
          </w:p>
        </w:tc>
        <w:tc>
          <w:tcPr>
            <w:tcW w:w="697" w:type="pct"/>
            <w:tcBorders>
              <w:top w:val="nil"/>
              <w:bottom w:val="nil"/>
            </w:tcBorders>
            <w:shd w:val="clear" w:color="auto" w:fill="auto"/>
            <w:noWrap/>
            <w:tcMar>
              <w:top w:w="17" w:type="dxa"/>
              <w:bottom w:w="17" w:type="dxa"/>
            </w:tcMar>
            <w:vAlign w:val="center"/>
          </w:tcPr>
          <w:p w14:paraId="51B27E10" w14:textId="77777777" w:rsidR="001D0AFD" w:rsidRPr="002970EF" w:rsidRDefault="001D0AFD" w:rsidP="002970EF">
            <w:pPr>
              <w:keepNext/>
              <w:keepLines/>
              <w:ind w:left="-157"/>
              <w:jc w:val="right"/>
              <w:rPr>
                <w:rFonts w:cs="Arial"/>
                <w:color w:val="000000"/>
                <w:sz w:val="17"/>
                <w:szCs w:val="17"/>
              </w:rPr>
            </w:pPr>
            <w:r w:rsidRPr="002970EF">
              <w:rPr>
                <w:rFonts w:cs="Arial"/>
                <w:color w:val="000000"/>
                <w:sz w:val="17"/>
                <w:szCs w:val="17"/>
              </w:rPr>
              <w:t>1.796.775.608</w:t>
            </w:r>
          </w:p>
        </w:tc>
        <w:tc>
          <w:tcPr>
            <w:tcW w:w="696" w:type="pct"/>
            <w:tcBorders>
              <w:top w:val="nil"/>
              <w:bottom w:val="nil"/>
            </w:tcBorders>
            <w:shd w:val="clear" w:color="auto" w:fill="auto"/>
            <w:noWrap/>
            <w:tcMar>
              <w:top w:w="17" w:type="dxa"/>
              <w:bottom w:w="17" w:type="dxa"/>
            </w:tcMar>
            <w:vAlign w:val="center"/>
          </w:tcPr>
          <w:p w14:paraId="479B12EA" w14:textId="77777777" w:rsidR="001D0AFD" w:rsidRPr="002970EF" w:rsidRDefault="001D0AFD" w:rsidP="00B32D66">
            <w:pPr>
              <w:keepNext/>
              <w:keepLines/>
              <w:jc w:val="right"/>
              <w:rPr>
                <w:rFonts w:cs="Arial"/>
                <w:color w:val="000000"/>
                <w:sz w:val="17"/>
                <w:szCs w:val="17"/>
              </w:rPr>
            </w:pPr>
            <w:r w:rsidRPr="002970EF">
              <w:rPr>
                <w:rFonts w:cs="Arial"/>
                <w:color w:val="000000"/>
                <w:sz w:val="17"/>
                <w:szCs w:val="17"/>
              </w:rPr>
              <w:t>302.677.691</w:t>
            </w:r>
          </w:p>
        </w:tc>
      </w:tr>
      <w:tr w:rsidR="001D0AFD" w:rsidRPr="008A7C46" w14:paraId="4B981CAB" w14:textId="77777777" w:rsidTr="00A11652">
        <w:trPr>
          <w:trHeight w:val="397"/>
        </w:trPr>
        <w:tc>
          <w:tcPr>
            <w:tcW w:w="1516" w:type="pct"/>
            <w:tcBorders>
              <w:top w:val="nil"/>
              <w:bottom w:val="nil"/>
            </w:tcBorders>
            <w:shd w:val="clear" w:color="auto" w:fill="auto"/>
            <w:noWrap/>
            <w:tcMar>
              <w:top w:w="17" w:type="dxa"/>
              <w:bottom w:w="17" w:type="dxa"/>
            </w:tcMar>
            <w:vAlign w:val="center"/>
            <w:hideMark/>
          </w:tcPr>
          <w:p w14:paraId="3B007EA5" w14:textId="77777777" w:rsidR="001D0AFD" w:rsidRPr="002970EF" w:rsidRDefault="001D0AFD" w:rsidP="00B32D66">
            <w:pPr>
              <w:ind w:left="640" w:hanging="640"/>
              <w:jc w:val="left"/>
              <w:outlineLvl w:val="1"/>
              <w:rPr>
                <w:rFonts w:cs="Arial"/>
                <w:color w:val="000000"/>
                <w:sz w:val="17"/>
                <w:szCs w:val="17"/>
              </w:rPr>
            </w:pPr>
            <w:r w:rsidRPr="002970EF">
              <w:rPr>
                <w:rFonts w:cs="Arial"/>
                <w:color w:val="000000"/>
                <w:sz w:val="17"/>
                <w:szCs w:val="17"/>
              </w:rPr>
              <w:lastRenderedPageBreak/>
              <w:t>Eixo 4 - Goiás da Educação Plena</w:t>
            </w:r>
          </w:p>
        </w:tc>
        <w:tc>
          <w:tcPr>
            <w:tcW w:w="697" w:type="pct"/>
            <w:tcBorders>
              <w:top w:val="nil"/>
              <w:bottom w:val="nil"/>
            </w:tcBorders>
            <w:shd w:val="clear" w:color="auto" w:fill="auto"/>
            <w:noWrap/>
            <w:tcMar>
              <w:top w:w="17" w:type="dxa"/>
              <w:bottom w:w="17" w:type="dxa"/>
            </w:tcMar>
            <w:vAlign w:val="center"/>
          </w:tcPr>
          <w:p w14:paraId="1D0743C1" w14:textId="77777777" w:rsidR="001D0AFD" w:rsidRPr="002970EF" w:rsidRDefault="001D0AFD" w:rsidP="002970EF">
            <w:pPr>
              <w:ind w:left="-68"/>
              <w:jc w:val="right"/>
              <w:outlineLvl w:val="1"/>
              <w:rPr>
                <w:rFonts w:cs="Arial"/>
                <w:color w:val="000000"/>
                <w:sz w:val="17"/>
                <w:szCs w:val="17"/>
              </w:rPr>
            </w:pPr>
            <w:r w:rsidRPr="002970EF">
              <w:rPr>
                <w:rFonts w:cs="Arial"/>
                <w:color w:val="000000"/>
                <w:sz w:val="17"/>
                <w:szCs w:val="17"/>
              </w:rPr>
              <w:t>1.963.358.000</w:t>
            </w:r>
          </w:p>
        </w:tc>
        <w:tc>
          <w:tcPr>
            <w:tcW w:w="697" w:type="pct"/>
            <w:tcBorders>
              <w:top w:val="nil"/>
              <w:bottom w:val="nil"/>
            </w:tcBorders>
            <w:shd w:val="clear" w:color="auto" w:fill="auto"/>
            <w:noWrap/>
            <w:tcMar>
              <w:top w:w="17" w:type="dxa"/>
              <w:bottom w:w="17" w:type="dxa"/>
            </w:tcMar>
            <w:vAlign w:val="center"/>
          </w:tcPr>
          <w:p w14:paraId="3ABF055A" w14:textId="77777777" w:rsidR="001D0AFD" w:rsidRPr="002970EF" w:rsidRDefault="001D0AFD" w:rsidP="002970EF">
            <w:pPr>
              <w:ind w:left="-94"/>
              <w:jc w:val="right"/>
              <w:outlineLvl w:val="1"/>
              <w:rPr>
                <w:rFonts w:cs="Arial"/>
                <w:color w:val="000000"/>
                <w:sz w:val="17"/>
                <w:szCs w:val="17"/>
              </w:rPr>
            </w:pPr>
            <w:r w:rsidRPr="002970EF">
              <w:rPr>
                <w:rFonts w:cs="Arial"/>
                <w:color w:val="000000"/>
                <w:sz w:val="17"/>
                <w:szCs w:val="17"/>
              </w:rPr>
              <w:t>2.488.862.245</w:t>
            </w:r>
          </w:p>
        </w:tc>
        <w:tc>
          <w:tcPr>
            <w:tcW w:w="697" w:type="pct"/>
            <w:tcBorders>
              <w:top w:val="nil"/>
              <w:bottom w:val="nil"/>
            </w:tcBorders>
            <w:shd w:val="clear" w:color="auto" w:fill="auto"/>
            <w:noWrap/>
            <w:tcMar>
              <w:top w:w="17" w:type="dxa"/>
              <w:bottom w:w="17" w:type="dxa"/>
            </w:tcMar>
            <w:vAlign w:val="center"/>
          </w:tcPr>
          <w:p w14:paraId="4D3D170D" w14:textId="77777777" w:rsidR="001D0AFD" w:rsidRPr="002970EF" w:rsidRDefault="001D0AFD" w:rsidP="002970EF">
            <w:pPr>
              <w:keepNext/>
              <w:keepLines/>
              <w:ind w:left="-132" w:hanging="10"/>
              <w:jc w:val="right"/>
              <w:rPr>
                <w:rFonts w:cs="Arial"/>
                <w:color w:val="000000"/>
                <w:sz w:val="17"/>
                <w:szCs w:val="17"/>
              </w:rPr>
            </w:pPr>
            <w:r w:rsidRPr="002970EF">
              <w:rPr>
                <w:rFonts w:cs="Arial"/>
                <w:color w:val="000000"/>
                <w:sz w:val="17"/>
                <w:szCs w:val="17"/>
              </w:rPr>
              <w:t>2.022.098.959</w:t>
            </w:r>
          </w:p>
        </w:tc>
        <w:tc>
          <w:tcPr>
            <w:tcW w:w="697" w:type="pct"/>
            <w:tcBorders>
              <w:top w:val="nil"/>
              <w:bottom w:val="nil"/>
            </w:tcBorders>
            <w:shd w:val="clear" w:color="auto" w:fill="auto"/>
            <w:noWrap/>
            <w:tcMar>
              <w:top w:w="17" w:type="dxa"/>
              <w:bottom w:w="17" w:type="dxa"/>
            </w:tcMar>
            <w:vAlign w:val="center"/>
          </w:tcPr>
          <w:p w14:paraId="3BAA20E5" w14:textId="77777777" w:rsidR="001D0AFD" w:rsidRPr="002970EF" w:rsidRDefault="001D0AFD" w:rsidP="002970EF">
            <w:pPr>
              <w:keepNext/>
              <w:keepLines/>
              <w:ind w:left="-157"/>
              <w:jc w:val="right"/>
              <w:rPr>
                <w:rFonts w:cs="Arial"/>
                <w:color w:val="000000"/>
                <w:sz w:val="17"/>
                <w:szCs w:val="17"/>
              </w:rPr>
            </w:pPr>
            <w:r w:rsidRPr="002970EF">
              <w:rPr>
                <w:rFonts w:cs="Arial"/>
                <w:color w:val="000000"/>
                <w:sz w:val="17"/>
                <w:szCs w:val="17"/>
              </w:rPr>
              <w:t>1.911.618.395</w:t>
            </w:r>
          </w:p>
        </w:tc>
        <w:tc>
          <w:tcPr>
            <w:tcW w:w="696" w:type="pct"/>
            <w:tcBorders>
              <w:top w:val="nil"/>
              <w:bottom w:val="nil"/>
            </w:tcBorders>
            <w:shd w:val="clear" w:color="auto" w:fill="auto"/>
            <w:noWrap/>
            <w:tcMar>
              <w:top w:w="17" w:type="dxa"/>
              <w:bottom w:w="17" w:type="dxa"/>
            </w:tcMar>
            <w:vAlign w:val="center"/>
          </w:tcPr>
          <w:p w14:paraId="08BCBC7F" w14:textId="77777777" w:rsidR="001D0AFD" w:rsidRPr="002970EF" w:rsidRDefault="001D0AFD" w:rsidP="00B32D66">
            <w:pPr>
              <w:keepNext/>
              <w:keepLines/>
              <w:jc w:val="right"/>
              <w:rPr>
                <w:rFonts w:cs="Arial"/>
                <w:color w:val="000000"/>
                <w:sz w:val="17"/>
                <w:szCs w:val="17"/>
              </w:rPr>
            </w:pPr>
            <w:r w:rsidRPr="002970EF">
              <w:rPr>
                <w:rFonts w:cs="Arial"/>
                <w:color w:val="000000"/>
                <w:sz w:val="17"/>
                <w:szCs w:val="17"/>
              </w:rPr>
              <w:t>110.480.564</w:t>
            </w:r>
          </w:p>
        </w:tc>
      </w:tr>
      <w:tr w:rsidR="001D0AFD" w:rsidRPr="008A7C46" w14:paraId="4F770FAD" w14:textId="77777777" w:rsidTr="00A11652">
        <w:trPr>
          <w:trHeight w:val="397"/>
        </w:trPr>
        <w:tc>
          <w:tcPr>
            <w:tcW w:w="1516" w:type="pct"/>
            <w:tcBorders>
              <w:top w:val="nil"/>
              <w:bottom w:val="nil"/>
            </w:tcBorders>
            <w:shd w:val="clear" w:color="auto" w:fill="auto"/>
            <w:noWrap/>
            <w:tcMar>
              <w:top w:w="17" w:type="dxa"/>
              <w:bottom w:w="17" w:type="dxa"/>
            </w:tcMar>
            <w:vAlign w:val="center"/>
            <w:hideMark/>
          </w:tcPr>
          <w:p w14:paraId="25909F5E" w14:textId="77777777" w:rsidR="001D0AFD" w:rsidRPr="002970EF" w:rsidRDefault="001D0AFD" w:rsidP="00B32D66">
            <w:pPr>
              <w:ind w:left="640" w:hanging="640"/>
              <w:jc w:val="left"/>
              <w:outlineLvl w:val="1"/>
              <w:rPr>
                <w:rFonts w:cs="Arial"/>
                <w:color w:val="000000"/>
                <w:sz w:val="17"/>
                <w:szCs w:val="17"/>
              </w:rPr>
            </w:pPr>
            <w:r w:rsidRPr="002970EF">
              <w:rPr>
                <w:rFonts w:cs="Arial"/>
                <w:color w:val="000000"/>
                <w:sz w:val="17"/>
                <w:szCs w:val="17"/>
              </w:rPr>
              <w:t>Eixo 5 - Goiás do Desenvolvimento Econômico</w:t>
            </w:r>
          </w:p>
        </w:tc>
        <w:tc>
          <w:tcPr>
            <w:tcW w:w="697" w:type="pct"/>
            <w:tcBorders>
              <w:top w:val="nil"/>
              <w:bottom w:val="nil"/>
            </w:tcBorders>
            <w:shd w:val="clear" w:color="auto" w:fill="auto"/>
            <w:noWrap/>
            <w:tcMar>
              <w:top w:w="17" w:type="dxa"/>
              <w:bottom w:w="17" w:type="dxa"/>
            </w:tcMar>
            <w:vAlign w:val="center"/>
            <w:hideMark/>
          </w:tcPr>
          <w:p w14:paraId="383EAB6C" w14:textId="77777777" w:rsidR="001D0AFD" w:rsidRPr="002970EF" w:rsidRDefault="001D0AFD" w:rsidP="002970EF">
            <w:pPr>
              <w:ind w:left="-68"/>
              <w:jc w:val="right"/>
              <w:outlineLvl w:val="1"/>
              <w:rPr>
                <w:rFonts w:cs="Arial"/>
                <w:color w:val="000000"/>
                <w:sz w:val="17"/>
                <w:szCs w:val="17"/>
              </w:rPr>
            </w:pPr>
            <w:r w:rsidRPr="002970EF">
              <w:rPr>
                <w:rFonts w:cs="Arial"/>
                <w:color w:val="000000"/>
                <w:sz w:val="17"/>
                <w:szCs w:val="17"/>
              </w:rPr>
              <w:t>376.805.000</w:t>
            </w:r>
          </w:p>
        </w:tc>
        <w:tc>
          <w:tcPr>
            <w:tcW w:w="697" w:type="pct"/>
            <w:tcBorders>
              <w:top w:val="nil"/>
              <w:bottom w:val="nil"/>
            </w:tcBorders>
            <w:shd w:val="clear" w:color="auto" w:fill="auto"/>
            <w:noWrap/>
            <w:tcMar>
              <w:top w:w="17" w:type="dxa"/>
              <w:bottom w:w="17" w:type="dxa"/>
            </w:tcMar>
            <w:vAlign w:val="center"/>
            <w:hideMark/>
          </w:tcPr>
          <w:p w14:paraId="574312A5" w14:textId="77777777" w:rsidR="001D0AFD" w:rsidRPr="002970EF" w:rsidRDefault="001D0AFD" w:rsidP="002970EF">
            <w:pPr>
              <w:ind w:left="-94"/>
              <w:jc w:val="right"/>
              <w:outlineLvl w:val="1"/>
              <w:rPr>
                <w:rFonts w:cs="Arial"/>
                <w:color w:val="000000"/>
                <w:sz w:val="17"/>
                <w:szCs w:val="17"/>
              </w:rPr>
            </w:pPr>
            <w:r w:rsidRPr="002970EF">
              <w:rPr>
                <w:rFonts w:cs="Arial"/>
                <w:color w:val="000000"/>
                <w:sz w:val="17"/>
                <w:szCs w:val="17"/>
              </w:rPr>
              <w:t xml:space="preserve">516.799.406 </w:t>
            </w:r>
          </w:p>
        </w:tc>
        <w:tc>
          <w:tcPr>
            <w:tcW w:w="697" w:type="pct"/>
            <w:tcBorders>
              <w:top w:val="nil"/>
              <w:bottom w:val="nil"/>
            </w:tcBorders>
            <w:shd w:val="clear" w:color="auto" w:fill="auto"/>
            <w:noWrap/>
            <w:tcMar>
              <w:top w:w="17" w:type="dxa"/>
              <w:bottom w:w="17" w:type="dxa"/>
            </w:tcMar>
            <w:vAlign w:val="center"/>
            <w:hideMark/>
          </w:tcPr>
          <w:p w14:paraId="432F1790" w14:textId="77777777" w:rsidR="001D0AFD" w:rsidRPr="002970EF" w:rsidRDefault="001D0AFD" w:rsidP="002970EF">
            <w:pPr>
              <w:keepNext/>
              <w:keepLines/>
              <w:ind w:left="-132" w:hanging="10"/>
              <w:jc w:val="right"/>
              <w:rPr>
                <w:rFonts w:cs="Arial"/>
                <w:color w:val="000000"/>
                <w:sz w:val="17"/>
                <w:szCs w:val="17"/>
              </w:rPr>
            </w:pPr>
            <w:r w:rsidRPr="002970EF">
              <w:rPr>
                <w:rFonts w:cs="Arial"/>
                <w:color w:val="000000"/>
                <w:sz w:val="17"/>
                <w:szCs w:val="17"/>
              </w:rPr>
              <w:t>326.269.632</w:t>
            </w:r>
          </w:p>
        </w:tc>
        <w:tc>
          <w:tcPr>
            <w:tcW w:w="697" w:type="pct"/>
            <w:tcBorders>
              <w:top w:val="nil"/>
              <w:bottom w:val="nil"/>
            </w:tcBorders>
            <w:shd w:val="clear" w:color="auto" w:fill="auto"/>
            <w:noWrap/>
            <w:tcMar>
              <w:top w:w="17" w:type="dxa"/>
              <w:bottom w:w="17" w:type="dxa"/>
            </w:tcMar>
            <w:vAlign w:val="center"/>
            <w:hideMark/>
          </w:tcPr>
          <w:p w14:paraId="00A7BE11" w14:textId="77777777" w:rsidR="001D0AFD" w:rsidRPr="002970EF" w:rsidRDefault="001D0AFD" w:rsidP="002970EF">
            <w:pPr>
              <w:keepNext/>
              <w:keepLines/>
              <w:ind w:left="-157"/>
              <w:jc w:val="right"/>
              <w:rPr>
                <w:rFonts w:cs="Arial"/>
                <w:color w:val="000000"/>
                <w:sz w:val="17"/>
                <w:szCs w:val="17"/>
              </w:rPr>
            </w:pPr>
            <w:r w:rsidRPr="002970EF">
              <w:rPr>
                <w:rFonts w:cs="Arial"/>
                <w:color w:val="000000"/>
                <w:sz w:val="17"/>
                <w:szCs w:val="17"/>
              </w:rPr>
              <w:t>310.416.888</w:t>
            </w:r>
          </w:p>
        </w:tc>
        <w:tc>
          <w:tcPr>
            <w:tcW w:w="696" w:type="pct"/>
            <w:tcBorders>
              <w:top w:val="nil"/>
              <w:bottom w:val="nil"/>
            </w:tcBorders>
            <w:shd w:val="clear" w:color="auto" w:fill="auto"/>
            <w:noWrap/>
            <w:tcMar>
              <w:top w:w="17" w:type="dxa"/>
              <w:bottom w:w="17" w:type="dxa"/>
            </w:tcMar>
            <w:vAlign w:val="center"/>
            <w:hideMark/>
          </w:tcPr>
          <w:p w14:paraId="3E3341FB" w14:textId="77777777" w:rsidR="001D0AFD" w:rsidRPr="002970EF" w:rsidRDefault="001D0AFD" w:rsidP="00B32D66">
            <w:pPr>
              <w:keepNext/>
              <w:keepLines/>
              <w:jc w:val="right"/>
              <w:rPr>
                <w:rFonts w:cs="Arial"/>
                <w:color w:val="000000"/>
                <w:sz w:val="17"/>
                <w:szCs w:val="17"/>
              </w:rPr>
            </w:pPr>
            <w:r w:rsidRPr="002970EF">
              <w:rPr>
                <w:rFonts w:cs="Arial"/>
                <w:color w:val="000000"/>
                <w:sz w:val="17"/>
                <w:szCs w:val="17"/>
              </w:rPr>
              <w:t>15.852.744</w:t>
            </w:r>
          </w:p>
        </w:tc>
      </w:tr>
      <w:tr w:rsidR="001D0AFD" w:rsidRPr="008A7C46" w14:paraId="24BF35DD" w14:textId="77777777" w:rsidTr="00A11652">
        <w:trPr>
          <w:trHeight w:val="397"/>
        </w:trPr>
        <w:tc>
          <w:tcPr>
            <w:tcW w:w="1516" w:type="pct"/>
            <w:tcBorders>
              <w:top w:val="nil"/>
              <w:bottom w:val="nil"/>
            </w:tcBorders>
            <w:shd w:val="clear" w:color="auto" w:fill="auto"/>
            <w:noWrap/>
            <w:tcMar>
              <w:top w:w="17" w:type="dxa"/>
              <w:bottom w:w="17" w:type="dxa"/>
            </w:tcMar>
            <w:vAlign w:val="center"/>
            <w:hideMark/>
          </w:tcPr>
          <w:p w14:paraId="25A14ED2" w14:textId="77777777" w:rsidR="001D0AFD" w:rsidRPr="002970EF" w:rsidRDefault="001D0AFD" w:rsidP="00B32D66">
            <w:pPr>
              <w:ind w:left="640" w:hanging="640"/>
              <w:jc w:val="left"/>
              <w:outlineLvl w:val="1"/>
              <w:rPr>
                <w:rFonts w:cs="Arial"/>
                <w:color w:val="000000"/>
                <w:sz w:val="17"/>
                <w:szCs w:val="17"/>
              </w:rPr>
            </w:pPr>
            <w:r w:rsidRPr="002970EF">
              <w:rPr>
                <w:rFonts w:cs="Arial"/>
                <w:color w:val="000000"/>
                <w:sz w:val="17"/>
                <w:szCs w:val="17"/>
              </w:rPr>
              <w:t>Eixo 6 - Goiás da Saúde Integral</w:t>
            </w:r>
          </w:p>
        </w:tc>
        <w:tc>
          <w:tcPr>
            <w:tcW w:w="697" w:type="pct"/>
            <w:tcBorders>
              <w:top w:val="nil"/>
              <w:bottom w:val="nil"/>
            </w:tcBorders>
            <w:shd w:val="clear" w:color="auto" w:fill="auto"/>
            <w:noWrap/>
            <w:tcMar>
              <w:top w:w="17" w:type="dxa"/>
              <w:bottom w:w="17" w:type="dxa"/>
            </w:tcMar>
            <w:vAlign w:val="center"/>
            <w:hideMark/>
          </w:tcPr>
          <w:p w14:paraId="38598224" w14:textId="77777777" w:rsidR="001D0AFD" w:rsidRPr="002970EF" w:rsidRDefault="001D0AFD" w:rsidP="002970EF">
            <w:pPr>
              <w:ind w:left="-68"/>
              <w:jc w:val="right"/>
              <w:outlineLvl w:val="1"/>
              <w:rPr>
                <w:rFonts w:cs="Arial"/>
                <w:color w:val="000000"/>
                <w:sz w:val="17"/>
                <w:szCs w:val="17"/>
              </w:rPr>
            </w:pPr>
            <w:r w:rsidRPr="002970EF">
              <w:rPr>
                <w:rFonts w:cs="Arial"/>
                <w:color w:val="000000"/>
                <w:sz w:val="17"/>
                <w:szCs w:val="17"/>
              </w:rPr>
              <w:t>3.994.458.000</w:t>
            </w:r>
          </w:p>
        </w:tc>
        <w:tc>
          <w:tcPr>
            <w:tcW w:w="697" w:type="pct"/>
            <w:tcBorders>
              <w:top w:val="nil"/>
              <w:bottom w:val="nil"/>
            </w:tcBorders>
            <w:shd w:val="clear" w:color="auto" w:fill="auto"/>
            <w:noWrap/>
            <w:tcMar>
              <w:top w:w="17" w:type="dxa"/>
              <w:bottom w:w="17" w:type="dxa"/>
            </w:tcMar>
            <w:vAlign w:val="center"/>
            <w:hideMark/>
          </w:tcPr>
          <w:p w14:paraId="5CE26D3A" w14:textId="77777777" w:rsidR="001D0AFD" w:rsidRPr="002970EF" w:rsidRDefault="001D0AFD" w:rsidP="002970EF">
            <w:pPr>
              <w:ind w:left="-94"/>
              <w:jc w:val="right"/>
              <w:outlineLvl w:val="1"/>
              <w:rPr>
                <w:rFonts w:cs="Arial"/>
                <w:color w:val="000000"/>
                <w:sz w:val="17"/>
                <w:szCs w:val="17"/>
              </w:rPr>
            </w:pPr>
            <w:r w:rsidRPr="002970EF">
              <w:rPr>
                <w:rFonts w:cs="Arial"/>
                <w:color w:val="000000"/>
                <w:sz w:val="17"/>
                <w:szCs w:val="17"/>
              </w:rPr>
              <w:t xml:space="preserve">4.612.987.928 </w:t>
            </w:r>
          </w:p>
        </w:tc>
        <w:tc>
          <w:tcPr>
            <w:tcW w:w="697" w:type="pct"/>
            <w:tcBorders>
              <w:top w:val="nil"/>
              <w:bottom w:val="nil"/>
            </w:tcBorders>
            <w:shd w:val="clear" w:color="auto" w:fill="auto"/>
            <w:noWrap/>
            <w:tcMar>
              <w:top w:w="17" w:type="dxa"/>
              <w:bottom w:w="17" w:type="dxa"/>
            </w:tcMar>
            <w:vAlign w:val="center"/>
            <w:hideMark/>
          </w:tcPr>
          <w:p w14:paraId="75853537" w14:textId="77777777" w:rsidR="001D0AFD" w:rsidRPr="002970EF" w:rsidRDefault="001D0AFD" w:rsidP="002970EF">
            <w:pPr>
              <w:keepNext/>
              <w:keepLines/>
              <w:ind w:left="-132" w:hanging="10"/>
              <w:jc w:val="right"/>
              <w:rPr>
                <w:rFonts w:cs="Arial"/>
                <w:color w:val="000000"/>
                <w:sz w:val="17"/>
                <w:szCs w:val="17"/>
              </w:rPr>
            </w:pPr>
            <w:r w:rsidRPr="002970EF">
              <w:rPr>
                <w:rFonts w:cs="Arial"/>
                <w:color w:val="000000"/>
                <w:sz w:val="17"/>
                <w:szCs w:val="17"/>
              </w:rPr>
              <w:t>4.120.231.163</w:t>
            </w:r>
          </w:p>
        </w:tc>
        <w:tc>
          <w:tcPr>
            <w:tcW w:w="697" w:type="pct"/>
            <w:tcBorders>
              <w:top w:val="nil"/>
              <w:bottom w:val="nil"/>
            </w:tcBorders>
            <w:shd w:val="clear" w:color="auto" w:fill="auto"/>
            <w:noWrap/>
            <w:tcMar>
              <w:top w:w="17" w:type="dxa"/>
              <w:bottom w:w="17" w:type="dxa"/>
            </w:tcMar>
            <w:vAlign w:val="center"/>
            <w:hideMark/>
          </w:tcPr>
          <w:p w14:paraId="12577572" w14:textId="77777777" w:rsidR="001D0AFD" w:rsidRPr="002970EF" w:rsidRDefault="001D0AFD" w:rsidP="002970EF">
            <w:pPr>
              <w:keepNext/>
              <w:keepLines/>
              <w:ind w:left="-157"/>
              <w:jc w:val="right"/>
              <w:rPr>
                <w:rFonts w:cs="Arial"/>
                <w:color w:val="000000"/>
                <w:sz w:val="17"/>
                <w:szCs w:val="17"/>
              </w:rPr>
            </w:pPr>
            <w:r w:rsidRPr="002970EF">
              <w:rPr>
                <w:rFonts w:cs="Arial"/>
                <w:color w:val="000000"/>
                <w:sz w:val="17"/>
                <w:szCs w:val="17"/>
              </w:rPr>
              <w:t>3.791.094.159</w:t>
            </w:r>
          </w:p>
        </w:tc>
        <w:tc>
          <w:tcPr>
            <w:tcW w:w="696" w:type="pct"/>
            <w:tcBorders>
              <w:top w:val="nil"/>
              <w:bottom w:val="nil"/>
            </w:tcBorders>
            <w:shd w:val="clear" w:color="auto" w:fill="auto"/>
            <w:noWrap/>
            <w:tcMar>
              <w:top w:w="17" w:type="dxa"/>
              <w:bottom w:w="17" w:type="dxa"/>
            </w:tcMar>
            <w:vAlign w:val="center"/>
            <w:hideMark/>
          </w:tcPr>
          <w:p w14:paraId="404150A2" w14:textId="77777777" w:rsidR="001D0AFD" w:rsidRPr="002970EF" w:rsidRDefault="001D0AFD" w:rsidP="00B32D66">
            <w:pPr>
              <w:keepNext/>
              <w:keepLines/>
              <w:jc w:val="right"/>
              <w:rPr>
                <w:rFonts w:cs="Arial"/>
                <w:color w:val="000000"/>
                <w:sz w:val="17"/>
                <w:szCs w:val="17"/>
              </w:rPr>
            </w:pPr>
            <w:r w:rsidRPr="002970EF">
              <w:rPr>
                <w:rFonts w:cs="Arial"/>
                <w:color w:val="000000"/>
                <w:sz w:val="17"/>
                <w:szCs w:val="17"/>
              </w:rPr>
              <w:t>329.137.004</w:t>
            </w:r>
          </w:p>
        </w:tc>
      </w:tr>
      <w:tr w:rsidR="001D0AFD" w:rsidRPr="008A7C46" w14:paraId="4A5F669F" w14:textId="77777777" w:rsidTr="00A11652">
        <w:trPr>
          <w:trHeight w:val="397"/>
        </w:trPr>
        <w:tc>
          <w:tcPr>
            <w:tcW w:w="1516" w:type="pct"/>
            <w:tcBorders>
              <w:top w:val="nil"/>
              <w:bottom w:val="nil"/>
            </w:tcBorders>
            <w:shd w:val="clear" w:color="auto" w:fill="auto"/>
            <w:noWrap/>
            <w:tcMar>
              <w:top w:w="17" w:type="dxa"/>
              <w:bottom w:w="17" w:type="dxa"/>
            </w:tcMar>
            <w:vAlign w:val="center"/>
            <w:hideMark/>
          </w:tcPr>
          <w:p w14:paraId="56821F0C" w14:textId="77777777" w:rsidR="001D0AFD" w:rsidRPr="002970EF" w:rsidRDefault="001D0AFD" w:rsidP="00B32D66">
            <w:pPr>
              <w:ind w:left="640" w:hanging="640"/>
              <w:jc w:val="left"/>
              <w:outlineLvl w:val="1"/>
              <w:rPr>
                <w:rFonts w:cs="Arial"/>
                <w:color w:val="000000"/>
                <w:sz w:val="17"/>
                <w:szCs w:val="17"/>
              </w:rPr>
            </w:pPr>
            <w:r w:rsidRPr="002970EF">
              <w:rPr>
                <w:rFonts w:cs="Arial"/>
                <w:color w:val="000000"/>
                <w:sz w:val="17"/>
                <w:szCs w:val="17"/>
              </w:rPr>
              <w:t>Eixo 7 - Goiás da Paz</w:t>
            </w:r>
          </w:p>
        </w:tc>
        <w:tc>
          <w:tcPr>
            <w:tcW w:w="697" w:type="pct"/>
            <w:tcBorders>
              <w:top w:val="nil"/>
              <w:bottom w:val="nil"/>
            </w:tcBorders>
            <w:shd w:val="clear" w:color="auto" w:fill="auto"/>
            <w:noWrap/>
            <w:tcMar>
              <w:top w:w="17" w:type="dxa"/>
              <w:bottom w:w="17" w:type="dxa"/>
            </w:tcMar>
            <w:vAlign w:val="center"/>
            <w:hideMark/>
          </w:tcPr>
          <w:p w14:paraId="58EDFF4D" w14:textId="77777777" w:rsidR="001D0AFD" w:rsidRPr="002970EF" w:rsidRDefault="001D0AFD" w:rsidP="002970EF">
            <w:pPr>
              <w:ind w:left="-68"/>
              <w:jc w:val="right"/>
              <w:outlineLvl w:val="1"/>
              <w:rPr>
                <w:rFonts w:cs="Arial"/>
                <w:color w:val="000000"/>
                <w:sz w:val="17"/>
                <w:szCs w:val="17"/>
              </w:rPr>
            </w:pPr>
            <w:r w:rsidRPr="002970EF">
              <w:rPr>
                <w:rFonts w:cs="Arial"/>
                <w:color w:val="000000"/>
                <w:sz w:val="17"/>
                <w:szCs w:val="17"/>
              </w:rPr>
              <w:t>1.132.767.000</w:t>
            </w:r>
          </w:p>
        </w:tc>
        <w:tc>
          <w:tcPr>
            <w:tcW w:w="697" w:type="pct"/>
            <w:tcBorders>
              <w:top w:val="nil"/>
              <w:bottom w:val="nil"/>
            </w:tcBorders>
            <w:shd w:val="clear" w:color="auto" w:fill="auto"/>
            <w:noWrap/>
            <w:tcMar>
              <w:top w:w="17" w:type="dxa"/>
              <w:bottom w:w="17" w:type="dxa"/>
            </w:tcMar>
            <w:vAlign w:val="center"/>
            <w:hideMark/>
          </w:tcPr>
          <w:p w14:paraId="3D68150C" w14:textId="77777777" w:rsidR="001D0AFD" w:rsidRPr="002970EF" w:rsidRDefault="001D0AFD" w:rsidP="002970EF">
            <w:pPr>
              <w:ind w:left="-94"/>
              <w:jc w:val="right"/>
              <w:outlineLvl w:val="1"/>
              <w:rPr>
                <w:rFonts w:cs="Arial"/>
                <w:color w:val="000000"/>
                <w:sz w:val="17"/>
                <w:szCs w:val="17"/>
              </w:rPr>
            </w:pPr>
            <w:r w:rsidRPr="002970EF">
              <w:rPr>
                <w:rFonts w:cs="Arial"/>
                <w:color w:val="000000"/>
                <w:sz w:val="17"/>
                <w:szCs w:val="17"/>
              </w:rPr>
              <w:t xml:space="preserve">1.457.397.211 </w:t>
            </w:r>
          </w:p>
        </w:tc>
        <w:tc>
          <w:tcPr>
            <w:tcW w:w="697" w:type="pct"/>
            <w:tcBorders>
              <w:top w:val="nil"/>
              <w:bottom w:val="nil"/>
            </w:tcBorders>
            <w:shd w:val="clear" w:color="auto" w:fill="auto"/>
            <w:noWrap/>
            <w:tcMar>
              <w:top w:w="17" w:type="dxa"/>
              <w:bottom w:w="17" w:type="dxa"/>
            </w:tcMar>
            <w:vAlign w:val="center"/>
            <w:hideMark/>
          </w:tcPr>
          <w:p w14:paraId="5CFC52A9" w14:textId="77777777" w:rsidR="001D0AFD" w:rsidRPr="002970EF" w:rsidRDefault="001D0AFD" w:rsidP="002970EF">
            <w:pPr>
              <w:keepNext/>
              <w:keepLines/>
              <w:ind w:left="-132" w:hanging="10"/>
              <w:jc w:val="right"/>
              <w:rPr>
                <w:rFonts w:cs="Arial"/>
                <w:color w:val="000000"/>
                <w:sz w:val="17"/>
                <w:szCs w:val="17"/>
              </w:rPr>
            </w:pPr>
            <w:r w:rsidRPr="002970EF">
              <w:rPr>
                <w:rFonts w:cs="Arial"/>
                <w:color w:val="000000"/>
                <w:sz w:val="17"/>
                <w:szCs w:val="17"/>
              </w:rPr>
              <w:t>879.360.855</w:t>
            </w:r>
          </w:p>
        </w:tc>
        <w:tc>
          <w:tcPr>
            <w:tcW w:w="697" w:type="pct"/>
            <w:tcBorders>
              <w:top w:val="nil"/>
              <w:bottom w:val="nil"/>
            </w:tcBorders>
            <w:shd w:val="clear" w:color="auto" w:fill="auto"/>
            <w:noWrap/>
            <w:tcMar>
              <w:top w:w="17" w:type="dxa"/>
              <w:bottom w:w="17" w:type="dxa"/>
            </w:tcMar>
            <w:vAlign w:val="center"/>
            <w:hideMark/>
          </w:tcPr>
          <w:p w14:paraId="56FC0D69" w14:textId="77777777" w:rsidR="001D0AFD" w:rsidRPr="002970EF" w:rsidRDefault="001D0AFD" w:rsidP="002970EF">
            <w:pPr>
              <w:keepNext/>
              <w:keepLines/>
              <w:ind w:left="-157"/>
              <w:jc w:val="right"/>
              <w:rPr>
                <w:rFonts w:cs="Arial"/>
                <w:color w:val="000000"/>
                <w:sz w:val="17"/>
                <w:szCs w:val="17"/>
              </w:rPr>
            </w:pPr>
            <w:r w:rsidRPr="002970EF">
              <w:rPr>
                <w:rFonts w:cs="Arial"/>
                <w:color w:val="000000"/>
                <w:sz w:val="17"/>
                <w:szCs w:val="17"/>
              </w:rPr>
              <w:t>651.460.479</w:t>
            </w:r>
          </w:p>
        </w:tc>
        <w:tc>
          <w:tcPr>
            <w:tcW w:w="696" w:type="pct"/>
            <w:tcBorders>
              <w:top w:val="nil"/>
              <w:bottom w:val="nil"/>
            </w:tcBorders>
            <w:shd w:val="clear" w:color="auto" w:fill="auto"/>
            <w:noWrap/>
            <w:tcMar>
              <w:top w:w="17" w:type="dxa"/>
              <w:bottom w:w="17" w:type="dxa"/>
            </w:tcMar>
            <w:vAlign w:val="center"/>
            <w:hideMark/>
          </w:tcPr>
          <w:p w14:paraId="1E9B6431" w14:textId="77777777" w:rsidR="001D0AFD" w:rsidRPr="002970EF" w:rsidRDefault="001D0AFD" w:rsidP="00B32D66">
            <w:pPr>
              <w:keepNext/>
              <w:keepLines/>
              <w:jc w:val="right"/>
              <w:rPr>
                <w:rFonts w:cs="Arial"/>
                <w:color w:val="000000"/>
                <w:sz w:val="17"/>
                <w:szCs w:val="17"/>
              </w:rPr>
            </w:pPr>
            <w:r w:rsidRPr="002970EF">
              <w:rPr>
                <w:rFonts w:cs="Arial"/>
                <w:color w:val="000000"/>
                <w:sz w:val="17"/>
                <w:szCs w:val="17"/>
              </w:rPr>
              <w:t>227.900.376</w:t>
            </w:r>
          </w:p>
        </w:tc>
      </w:tr>
      <w:tr w:rsidR="001D0AFD" w:rsidRPr="008A7C46" w14:paraId="0EF36375" w14:textId="77777777" w:rsidTr="00A11652">
        <w:trPr>
          <w:trHeight w:val="397"/>
        </w:trPr>
        <w:tc>
          <w:tcPr>
            <w:tcW w:w="1516" w:type="pct"/>
            <w:tcBorders>
              <w:top w:val="nil"/>
              <w:bottom w:val="nil"/>
            </w:tcBorders>
            <w:shd w:val="clear" w:color="auto" w:fill="auto"/>
            <w:noWrap/>
            <w:tcMar>
              <w:top w:w="17" w:type="dxa"/>
              <w:bottom w:w="17" w:type="dxa"/>
            </w:tcMar>
            <w:vAlign w:val="center"/>
            <w:hideMark/>
          </w:tcPr>
          <w:p w14:paraId="48F0ABCA" w14:textId="77777777" w:rsidR="001D0AFD" w:rsidRPr="002970EF" w:rsidRDefault="001D0AFD" w:rsidP="00B32D66">
            <w:pPr>
              <w:ind w:left="640" w:hanging="640"/>
              <w:jc w:val="left"/>
              <w:outlineLvl w:val="1"/>
              <w:rPr>
                <w:rFonts w:cs="Arial"/>
                <w:color w:val="000000"/>
                <w:sz w:val="17"/>
                <w:szCs w:val="17"/>
              </w:rPr>
            </w:pPr>
            <w:r w:rsidRPr="002970EF">
              <w:rPr>
                <w:rFonts w:cs="Arial"/>
                <w:color w:val="000000"/>
                <w:sz w:val="17"/>
                <w:szCs w:val="17"/>
              </w:rPr>
              <w:t>Eixo 8 - Goiás da Inclusão</w:t>
            </w:r>
          </w:p>
        </w:tc>
        <w:tc>
          <w:tcPr>
            <w:tcW w:w="697" w:type="pct"/>
            <w:tcBorders>
              <w:top w:val="nil"/>
              <w:bottom w:val="nil"/>
            </w:tcBorders>
            <w:shd w:val="clear" w:color="auto" w:fill="auto"/>
            <w:noWrap/>
            <w:tcMar>
              <w:top w:w="17" w:type="dxa"/>
              <w:bottom w:w="17" w:type="dxa"/>
            </w:tcMar>
            <w:vAlign w:val="center"/>
            <w:hideMark/>
          </w:tcPr>
          <w:p w14:paraId="53FB4FE7" w14:textId="77777777" w:rsidR="001D0AFD" w:rsidRPr="002970EF" w:rsidRDefault="001D0AFD" w:rsidP="002970EF">
            <w:pPr>
              <w:ind w:left="-68"/>
              <w:jc w:val="right"/>
              <w:outlineLvl w:val="1"/>
              <w:rPr>
                <w:rFonts w:cs="Arial"/>
                <w:color w:val="000000"/>
                <w:sz w:val="17"/>
                <w:szCs w:val="17"/>
              </w:rPr>
            </w:pPr>
            <w:r w:rsidRPr="002970EF">
              <w:rPr>
                <w:rFonts w:cs="Arial"/>
                <w:color w:val="000000"/>
                <w:sz w:val="17"/>
                <w:szCs w:val="17"/>
              </w:rPr>
              <w:t>998.376.000</w:t>
            </w:r>
          </w:p>
        </w:tc>
        <w:tc>
          <w:tcPr>
            <w:tcW w:w="697" w:type="pct"/>
            <w:tcBorders>
              <w:top w:val="nil"/>
              <w:bottom w:val="nil"/>
            </w:tcBorders>
            <w:shd w:val="clear" w:color="auto" w:fill="auto"/>
            <w:noWrap/>
            <w:tcMar>
              <w:top w:w="17" w:type="dxa"/>
              <w:bottom w:w="17" w:type="dxa"/>
            </w:tcMar>
            <w:vAlign w:val="center"/>
            <w:hideMark/>
          </w:tcPr>
          <w:p w14:paraId="6B3543DB" w14:textId="77777777" w:rsidR="001D0AFD" w:rsidRPr="002970EF" w:rsidRDefault="001D0AFD" w:rsidP="002970EF">
            <w:pPr>
              <w:ind w:left="-94"/>
              <w:jc w:val="right"/>
              <w:outlineLvl w:val="1"/>
              <w:rPr>
                <w:rFonts w:cs="Arial"/>
                <w:color w:val="000000"/>
                <w:sz w:val="17"/>
                <w:szCs w:val="17"/>
              </w:rPr>
            </w:pPr>
            <w:r w:rsidRPr="002970EF">
              <w:rPr>
                <w:rFonts w:cs="Arial"/>
                <w:color w:val="000000"/>
                <w:sz w:val="17"/>
                <w:szCs w:val="17"/>
              </w:rPr>
              <w:t xml:space="preserve">1.786.048.670 </w:t>
            </w:r>
          </w:p>
        </w:tc>
        <w:tc>
          <w:tcPr>
            <w:tcW w:w="697" w:type="pct"/>
            <w:tcBorders>
              <w:top w:val="nil"/>
              <w:bottom w:val="nil"/>
            </w:tcBorders>
            <w:shd w:val="clear" w:color="auto" w:fill="auto"/>
            <w:noWrap/>
            <w:tcMar>
              <w:top w:w="17" w:type="dxa"/>
              <w:bottom w:w="17" w:type="dxa"/>
            </w:tcMar>
            <w:vAlign w:val="center"/>
            <w:hideMark/>
          </w:tcPr>
          <w:p w14:paraId="75791AD2" w14:textId="77777777" w:rsidR="001D0AFD" w:rsidRPr="002970EF" w:rsidRDefault="001D0AFD" w:rsidP="002970EF">
            <w:pPr>
              <w:keepNext/>
              <w:keepLines/>
              <w:ind w:left="-132" w:hanging="10"/>
              <w:jc w:val="right"/>
              <w:rPr>
                <w:rFonts w:cs="Arial"/>
                <w:color w:val="000000"/>
                <w:sz w:val="17"/>
                <w:szCs w:val="17"/>
              </w:rPr>
            </w:pPr>
            <w:r w:rsidRPr="002970EF">
              <w:rPr>
                <w:rFonts w:cs="Arial"/>
                <w:color w:val="000000"/>
                <w:sz w:val="17"/>
                <w:szCs w:val="17"/>
              </w:rPr>
              <w:t>1.009.061.414</w:t>
            </w:r>
          </w:p>
        </w:tc>
        <w:tc>
          <w:tcPr>
            <w:tcW w:w="697" w:type="pct"/>
            <w:tcBorders>
              <w:top w:val="nil"/>
              <w:bottom w:val="nil"/>
            </w:tcBorders>
            <w:shd w:val="clear" w:color="auto" w:fill="auto"/>
            <w:noWrap/>
            <w:tcMar>
              <w:top w:w="17" w:type="dxa"/>
              <w:bottom w:w="17" w:type="dxa"/>
            </w:tcMar>
            <w:vAlign w:val="center"/>
            <w:hideMark/>
          </w:tcPr>
          <w:p w14:paraId="4206EAA4" w14:textId="77777777" w:rsidR="001D0AFD" w:rsidRPr="002970EF" w:rsidRDefault="001D0AFD" w:rsidP="002970EF">
            <w:pPr>
              <w:keepNext/>
              <w:keepLines/>
              <w:ind w:left="-157"/>
              <w:jc w:val="right"/>
              <w:rPr>
                <w:rFonts w:cs="Arial"/>
                <w:color w:val="000000"/>
                <w:sz w:val="17"/>
                <w:szCs w:val="17"/>
              </w:rPr>
            </w:pPr>
            <w:r w:rsidRPr="002970EF">
              <w:rPr>
                <w:rFonts w:cs="Arial"/>
                <w:color w:val="000000"/>
                <w:sz w:val="17"/>
                <w:szCs w:val="17"/>
              </w:rPr>
              <w:t>776.189.566</w:t>
            </w:r>
          </w:p>
        </w:tc>
        <w:tc>
          <w:tcPr>
            <w:tcW w:w="696" w:type="pct"/>
            <w:tcBorders>
              <w:top w:val="nil"/>
              <w:bottom w:val="nil"/>
            </w:tcBorders>
            <w:shd w:val="clear" w:color="auto" w:fill="auto"/>
            <w:noWrap/>
            <w:tcMar>
              <w:top w:w="17" w:type="dxa"/>
              <w:bottom w:w="17" w:type="dxa"/>
            </w:tcMar>
            <w:vAlign w:val="center"/>
            <w:hideMark/>
          </w:tcPr>
          <w:p w14:paraId="1E647544" w14:textId="77777777" w:rsidR="001D0AFD" w:rsidRPr="002970EF" w:rsidRDefault="001D0AFD" w:rsidP="00B32D66">
            <w:pPr>
              <w:keepNext/>
              <w:keepLines/>
              <w:jc w:val="right"/>
              <w:rPr>
                <w:rFonts w:cs="Arial"/>
                <w:color w:val="000000"/>
                <w:sz w:val="17"/>
                <w:szCs w:val="17"/>
              </w:rPr>
            </w:pPr>
            <w:r w:rsidRPr="002970EF">
              <w:rPr>
                <w:rFonts w:cs="Arial"/>
                <w:color w:val="000000"/>
                <w:sz w:val="17"/>
                <w:szCs w:val="17"/>
              </w:rPr>
              <w:t>232.871.849</w:t>
            </w:r>
          </w:p>
        </w:tc>
      </w:tr>
      <w:tr w:rsidR="001D0AFD" w:rsidRPr="008A7C46" w14:paraId="66B822F2" w14:textId="77777777" w:rsidTr="00A11652">
        <w:trPr>
          <w:trHeight w:val="397"/>
        </w:trPr>
        <w:tc>
          <w:tcPr>
            <w:tcW w:w="1516" w:type="pct"/>
            <w:tcBorders>
              <w:top w:val="nil"/>
            </w:tcBorders>
            <w:shd w:val="clear" w:color="auto" w:fill="auto"/>
            <w:noWrap/>
            <w:tcMar>
              <w:top w:w="17" w:type="dxa"/>
              <w:bottom w:w="17" w:type="dxa"/>
            </w:tcMar>
            <w:vAlign w:val="center"/>
            <w:hideMark/>
          </w:tcPr>
          <w:p w14:paraId="2A3B4A5C" w14:textId="77777777" w:rsidR="001D0AFD" w:rsidRPr="002970EF" w:rsidRDefault="001D0AFD" w:rsidP="00B32D66">
            <w:pPr>
              <w:ind w:left="640" w:hanging="640"/>
              <w:jc w:val="left"/>
              <w:outlineLvl w:val="1"/>
              <w:rPr>
                <w:rFonts w:cs="Arial"/>
                <w:color w:val="000000"/>
                <w:sz w:val="17"/>
                <w:szCs w:val="17"/>
              </w:rPr>
            </w:pPr>
            <w:r w:rsidRPr="002970EF">
              <w:rPr>
                <w:rFonts w:cs="Arial"/>
                <w:color w:val="000000"/>
                <w:sz w:val="17"/>
                <w:szCs w:val="17"/>
              </w:rPr>
              <w:t>Reservas Estaduais</w:t>
            </w:r>
          </w:p>
        </w:tc>
        <w:tc>
          <w:tcPr>
            <w:tcW w:w="697" w:type="pct"/>
            <w:tcBorders>
              <w:top w:val="nil"/>
            </w:tcBorders>
            <w:shd w:val="clear" w:color="auto" w:fill="auto"/>
            <w:noWrap/>
            <w:tcMar>
              <w:top w:w="17" w:type="dxa"/>
              <w:bottom w:w="17" w:type="dxa"/>
            </w:tcMar>
            <w:vAlign w:val="center"/>
            <w:hideMark/>
          </w:tcPr>
          <w:p w14:paraId="3FA07082" w14:textId="77777777" w:rsidR="001D0AFD" w:rsidRPr="002970EF" w:rsidRDefault="001D0AFD" w:rsidP="002970EF">
            <w:pPr>
              <w:ind w:left="-68"/>
              <w:jc w:val="right"/>
              <w:outlineLvl w:val="1"/>
              <w:rPr>
                <w:rFonts w:cs="Arial"/>
                <w:color w:val="000000"/>
                <w:sz w:val="17"/>
                <w:szCs w:val="17"/>
              </w:rPr>
            </w:pPr>
            <w:r w:rsidRPr="002970EF">
              <w:rPr>
                <w:rFonts w:cs="Arial"/>
                <w:color w:val="000000"/>
                <w:sz w:val="17"/>
                <w:szCs w:val="17"/>
              </w:rPr>
              <w:t>2.013.989.000</w:t>
            </w:r>
          </w:p>
        </w:tc>
        <w:tc>
          <w:tcPr>
            <w:tcW w:w="697" w:type="pct"/>
            <w:tcBorders>
              <w:top w:val="nil"/>
            </w:tcBorders>
            <w:shd w:val="clear" w:color="auto" w:fill="auto"/>
            <w:noWrap/>
            <w:tcMar>
              <w:top w:w="17" w:type="dxa"/>
              <w:bottom w:w="17" w:type="dxa"/>
            </w:tcMar>
            <w:vAlign w:val="center"/>
            <w:hideMark/>
          </w:tcPr>
          <w:p w14:paraId="0908F0D7" w14:textId="77777777" w:rsidR="001D0AFD" w:rsidRPr="002970EF" w:rsidRDefault="001D0AFD" w:rsidP="002970EF">
            <w:pPr>
              <w:ind w:left="-94"/>
              <w:jc w:val="right"/>
              <w:outlineLvl w:val="1"/>
              <w:rPr>
                <w:rFonts w:cs="Arial"/>
                <w:color w:val="000000"/>
                <w:sz w:val="17"/>
                <w:szCs w:val="17"/>
              </w:rPr>
            </w:pPr>
            <w:r w:rsidRPr="002970EF">
              <w:rPr>
                <w:rFonts w:cs="Arial"/>
                <w:color w:val="000000"/>
                <w:sz w:val="17"/>
                <w:szCs w:val="17"/>
              </w:rPr>
              <w:t xml:space="preserve">1.346.258.729 </w:t>
            </w:r>
          </w:p>
        </w:tc>
        <w:tc>
          <w:tcPr>
            <w:tcW w:w="697" w:type="pct"/>
            <w:tcBorders>
              <w:top w:val="nil"/>
            </w:tcBorders>
            <w:shd w:val="clear" w:color="auto" w:fill="auto"/>
            <w:noWrap/>
            <w:tcMar>
              <w:top w:w="17" w:type="dxa"/>
              <w:bottom w:w="17" w:type="dxa"/>
            </w:tcMar>
            <w:vAlign w:val="center"/>
            <w:hideMark/>
          </w:tcPr>
          <w:p w14:paraId="370C11C4" w14:textId="77777777" w:rsidR="001D0AFD" w:rsidRPr="002970EF" w:rsidRDefault="001D0AFD" w:rsidP="002970EF">
            <w:pPr>
              <w:keepNext/>
              <w:keepLines/>
              <w:ind w:left="-132" w:hanging="10"/>
              <w:jc w:val="right"/>
              <w:rPr>
                <w:rFonts w:cs="Arial"/>
                <w:color w:val="000000"/>
                <w:sz w:val="17"/>
                <w:szCs w:val="17"/>
              </w:rPr>
            </w:pPr>
            <w:r w:rsidRPr="002970EF">
              <w:rPr>
                <w:rFonts w:cs="Arial"/>
                <w:color w:val="000000"/>
                <w:sz w:val="17"/>
                <w:szCs w:val="17"/>
              </w:rPr>
              <w:t>-</w:t>
            </w:r>
          </w:p>
        </w:tc>
        <w:tc>
          <w:tcPr>
            <w:tcW w:w="697" w:type="pct"/>
            <w:tcBorders>
              <w:top w:val="nil"/>
            </w:tcBorders>
            <w:shd w:val="clear" w:color="auto" w:fill="auto"/>
            <w:noWrap/>
            <w:tcMar>
              <w:top w:w="17" w:type="dxa"/>
              <w:bottom w:w="17" w:type="dxa"/>
            </w:tcMar>
            <w:vAlign w:val="center"/>
            <w:hideMark/>
          </w:tcPr>
          <w:p w14:paraId="651265BE" w14:textId="77777777" w:rsidR="001D0AFD" w:rsidRPr="002970EF" w:rsidRDefault="001D0AFD" w:rsidP="002970EF">
            <w:pPr>
              <w:keepNext/>
              <w:keepLines/>
              <w:ind w:left="-157"/>
              <w:jc w:val="right"/>
              <w:rPr>
                <w:rFonts w:cs="Arial"/>
                <w:color w:val="000000"/>
                <w:sz w:val="17"/>
                <w:szCs w:val="17"/>
              </w:rPr>
            </w:pPr>
            <w:r w:rsidRPr="002970EF">
              <w:rPr>
                <w:rFonts w:cs="Arial"/>
                <w:color w:val="000000"/>
                <w:sz w:val="17"/>
                <w:szCs w:val="17"/>
              </w:rPr>
              <w:t>-</w:t>
            </w:r>
          </w:p>
        </w:tc>
        <w:tc>
          <w:tcPr>
            <w:tcW w:w="696" w:type="pct"/>
            <w:tcBorders>
              <w:top w:val="nil"/>
            </w:tcBorders>
            <w:shd w:val="clear" w:color="auto" w:fill="auto"/>
            <w:noWrap/>
            <w:tcMar>
              <w:top w:w="17" w:type="dxa"/>
              <w:bottom w:w="17" w:type="dxa"/>
            </w:tcMar>
            <w:vAlign w:val="center"/>
            <w:hideMark/>
          </w:tcPr>
          <w:p w14:paraId="0DD60630" w14:textId="77777777" w:rsidR="001D0AFD" w:rsidRPr="002970EF" w:rsidRDefault="001D0AFD" w:rsidP="00B32D66">
            <w:pPr>
              <w:keepNext/>
              <w:keepLines/>
              <w:jc w:val="right"/>
              <w:rPr>
                <w:rFonts w:cs="Arial"/>
                <w:color w:val="000000"/>
                <w:sz w:val="17"/>
                <w:szCs w:val="17"/>
              </w:rPr>
            </w:pPr>
            <w:r w:rsidRPr="002970EF">
              <w:rPr>
                <w:rFonts w:cs="Arial"/>
                <w:color w:val="000000"/>
                <w:sz w:val="17"/>
                <w:szCs w:val="17"/>
              </w:rPr>
              <w:t>-</w:t>
            </w:r>
          </w:p>
        </w:tc>
      </w:tr>
      <w:tr w:rsidR="001D0AFD" w:rsidRPr="00B67B45" w14:paraId="3140E80A" w14:textId="77777777" w:rsidTr="00A11652">
        <w:trPr>
          <w:trHeight w:val="397"/>
        </w:trPr>
        <w:tc>
          <w:tcPr>
            <w:tcW w:w="1516" w:type="pct"/>
            <w:shd w:val="clear" w:color="auto" w:fill="auto"/>
            <w:noWrap/>
            <w:tcMar>
              <w:top w:w="17" w:type="dxa"/>
              <w:bottom w:w="17" w:type="dxa"/>
            </w:tcMar>
            <w:vAlign w:val="center"/>
            <w:hideMark/>
          </w:tcPr>
          <w:p w14:paraId="41219101" w14:textId="77777777" w:rsidR="001D0AFD" w:rsidRPr="002970EF" w:rsidRDefault="001D0AFD" w:rsidP="00B32D66">
            <w:pPr>
              <w:jc w:val="center"/>
              <w:outlineLvl w:val="1"/>
              <w:rPr>
                <w:rFonts w:cs="Arial"/>
                <w:b/>
                <w:bCs/>
                <w:color w:val="000000"/>
                <w:sz w:val="17"/>
                <w:szCs w:val="17"/>
              </w:rPr>
            </w:pPr>
            <w:r w:rsidRPr="002970EF">
              <w:rPr>
                <w:rFonts w:cs="Arial"/>
                <w:b/>
                <w:bCs/>
                <w:color w:val="000000"/>
                <w:sz w:val="17"/>
                <w:szCs w:val="17"/>
              </w:rPr>
              <w:t>Total</w:t>
            </w:r>
          </w:p>
        </w:tc>
        <w:tc>
          <w:tcPr>
            <w:tcW w:w="697" w:type="pct"/>
            <w:shd w:val="clear" w:color="auto" w:fill="auto"/>
            <w:noWrap/>
            <w:tcMar>
              <w:top w:w="17" w:type="dxa"/>
              <w:bottom w:w="17" w:type="dxa"/>
            </w:tcMar>
            <w:vAlign w:val="center"/>
            <w:hideMark/>
          </w:tcPr>
          <w:p w14:paraId="3FC4AD34" w14:textId="77777777" w:rsidR="001D0AFD" w:rsidRPr="002970EF" w:rsidRDefault="001D0AFD" w:rsidP="002970EF">
            <w:pPr>
              <w:ind w:left="-68"/>
              <w:jc w:val="right"/>
              <w:outlineLvl w:val="1"/>
              <w:rPr>
                <w:rFonts w:cs="Arial"/>
                <w:b/>
                <w:bCs/>
                <w:color w:val="000000"/>
                <w:sz w:val="17"/>
                <w:szCs w:val="17"/>
              </w:rPr>
            </w:pPr>
            <w:r w:rsidRPr="002970EF">
              <w:rPr>
                <w:rFonts w:cs="Arial"/>
                <w:b/>
                <w:bCs/>
                <w:color w:val="000000"/>
                <w:sz w:val="17"/>
                <w:szCs w:val="17"/>
              </w:rPr>
              <w:t>39.597.166.000</w:t>
            </w:r>
          </w:p>
        </w:tc>
        <w:tc>
          <w:tcPr>
            <w:tcW w:w="697" w:type="pct"/>
            <w:shd w:val="clear" w:color="auto" w:fill="auto"/>
            <w:noWrap/>
            <w:tcMar>
              <w:top w:w="17" w:type="dxa"/>
              <w:bottom w:w="17" w:type="dxa"/>
            </w:tcMar>
            <w:vAlign w:val="center"/>
            <w:hideMark/>
          </w:tcPr>
          <w:p w14:paraId="7735758F" w14:textId="77777777" w:rsidR="001D0AFD" w:rsidRPr="002970EF" w:rsidRDefault="001D0AFD" w:rsidP="002970EF">
            <w:pPr>
              <w:ind w:left="-94"/>
              <w:jc w:val="right"/>
              <w:outlineLvl w:val="1"/>
              <w:rPr>
                <w:rFonts w:cs="Arial"/>
                <w:b/>
                <w:bCs/>
                <w:color w:val="000000"/>
                <w:sz w:val="17"/>
                <w:szCs w:val="17"/>
              </w:rPr>
            </w:pPr>
            <w:r w:rsidRPr="002970EF">
              <w:rPr>
                <w:rFonts w:cs="Arial"/>
                <w:b/>
                <w:bCs/>
                <w:color w:val="000000"/>
                <w:sz w:val="17"/>
                <w:szCs w:val="17"/>
              </w:rPr>
              <w:t xml:space="preserve">47.525.637.211 </w:t>
            </w:r>
          </w:p>
        </w:tc>
        <w:tc>
          <w:tcPr>
            <w:tcW w:w="697" w:type="pct"/>
            <w:shd w:val="clear" w:color="auto" w:fill="auto"/>
            <w:noWrap/>
            <w:tcMar>
              <w:top w:w="17" w:type="dxa"/>
              <w:bottom w:w="17" w:type="dxa"/>
            </w:tcMar>
            <w:vAlign w:val="center"/>
            <w:hideMark/>
          </w:tcPr>
          <w:p w14:paraId="58EBEEB3" w14:textId="77777777" w:rsidR="001D0AFD" w:rsidRPr="002970EF" w:rsidRDefault="001D0AFD" w:rsidP="002970EF">
            <w:pPr>
              <w:keepNext/>
              <w:keepLines/>
              <w:ind w:left="-132" w:hanging="10"/>
              <w:jc w:val="right"/>
              <w:rPr>
                <w:rFonts w:cs="Arial"/>
                <w:b/>
                <w:color w:val="000000"/>
                <w:sz w:val="17"/>
                <w:szCs w:val="17"/>
              </w:rPr>
            </w:pPr>
            <w:r w:rsidRPr="002970EF">
              <w:rPr>
                <w:rFonts w:cs="Arial"/>
                <w:b/>
                <w:color w:val="000000"/>
                <w:sz w:val="17"/>
                <w:szCs w:val="17"/>
              </w:rPr>
              <w:t>39.420.594.476</w:t>
            </w:r>
          </w:p>
        </w:tc>
        <w:tc>
          <w:tcPr>
            <w:tcW w:w="697" w:type="pct"/>
            <w:shd w:val="clear" w:color="auto" w:fill="auto"/>
            <w:noWrap/>
            <w:tcMar>
              <w:top w:w="17" w:type="dxa"/>
              <w:bottom w:w="17" w:type="dxa"/>
            </w:tcMar>
            <w:vAlign w:val="center"/>
            <w:hideMark/>
          </w:tcPr>
          <w:p w14:paraId="6E313DB0" w14:textId="77777777" w:rsidR="001D0AFD" w:rsidRPr="002970EF" w:rsidRDefault="001D0AFD" w:rsidP="002970EF">
            <w:pPr>
              <w:keepNext/>
              <w:keepLines/>
              <w:ind w:left="-157"/>
              <w:jc w:val="right"/>
              <w:rPr>
                <w:rFonts w:cs="Arial"/>
                <w:b/>
                <w:color w:val="000000"/>
                <w:sz w:val="17"/>
                <w:szCs w:val="17"/>
              </w:rPr>
            </w:pPr>
            <w:r w:rsidRPr="002970EF">
              <w:rPr>
                <w:rFonts w:cs="Arial"/>
                <w:b/>
                <w:color w:val="000000"/>
                <w:sz w:val="17"/>
                <w:szCs w:val="17"/>
              </w:rPr>
              <w:t>37.945.543.146</w:t>
            </w:r>
          </w:p>
        </w:tc>
        <w:tc>
          <w:tcPr>
            <w:tcW w:w="696" w:type="pct"/>
            <w:shd w:val="clear" w:color="auto" w:fill="auto"/>
            <w:noWrap/>
            <w:tcMar>
              <w:top w:w="17" w:type="dxa"/>
              <w:bottom w:w="17" w:type="dxa"/>
            </w:tcMar>
            <w:vAlign w:val="center"/>
            <w:hideMark/>
          </w:tcPr>
          <w:p w14:paraId="72188205" w14:textId="77777777" w:rsidR="001D0AFD" w:rsidRPr="002970EF" w:rsidRDefault="001D0AFD" w:rsidP="00B32D66">
            <w:pPr>
              <w:keepNext/>
              <w:keepLines/>
              <w:jc w:val="right"/>
              <w:rPr>
                <w:rFonts w:cs="Arial"/>
                <w:b/>
                <w:color w:val="000000"/>
                <w:sz w:val="17"/>
                <w:szCs w:val="17"/>
              </w:rPr>
            </w:pPr>
            <w:r w:rsidRPr="002970EF">
              <w:rPr>
                <w:rFonts w:cs="Arial"/>
                <w:b/>
                <w:color w:val="000000"/>
                <w:sz w:val="17"/>
                <w:szCs w:val="17"/>
              </w:rPr>
              <w:t>1.475.051.330</w:t>
            </w:r>
          </w:p>
        </w:tc>
      </w:tr>
    </w:tbl>
    <w:p w14:paraId="1EFEDA74" w14:textId="14F3ED2E" w:rsidR="00DC20DF" w:rsidRPr="00D35F51" w:rsidRDefault="00DC20DF" w:rsidP="00C306B6">
      <w:pPr>
        <w:pStyle w:val="0-FONTEBALANO"/>
      </w:pPr>
      <w:r w:rsidRPr="00D35F51">
        <w:t xml:space="preserve">Fonte: </w:t>
      </w:r>
      <w:r w:rsidR="00531981" w:rsidRPr="00531981">
        <w:t>Comparativo da Despesa Autorizada com a Realizada por Projeto/Atividade</w:t>
      </w:r>
      <w:r w:rsidR="00531981">
        <w:t xml:space="preserve"> - </w:t>
      </w:r>
      <w:r w:rsidR="00531981" w:rsidRPr="004D0F52">
        <w:t>Anexo 11</w:t>
      </w:r>
      <w:r w:rsidR="00531981">
        <w:t xml:space="preserve"> (BGE 2023)</w:t>
      </w:r>
    </w:p>
    <w:p w14:paraId="66BBB67D" w14:textId="5D1FC25B" w:rsidR="00531981" w:rsidRDefault="00531981" w:rsidP="00531981">
      <w:pPr>
        <w:pStyle w:val="1-REL11"/>
        <w:rPr>
          <w:highlight w:val="lightGray"/>
        </w:rPr>
      </w:pPr>
      <w:r>
        <w:t xml:space="preserve">Os valores apresentados na tabela acima e nas subsequentes referem-se </w:t>
      </w:r>
      <w:r w:rsidRPr="0062203D">
        <w:t>ao Orçamento Fiscal e</w:t>
      </w:r>
      <w:r>
        <w:t xml:space="preserve"> ao Orçamento</w:t>
      </w:r>
      <w:r w:rsidRPr="0062203D">
        <w:t xml:space="preserve"> da Seguridade Social</w:t>
      </w:r>
      <w:r>
        <w:t xml:space="preserve"> (R$</w:t>
      </w:r>
      <w:r w:rsidR="00F763BE">
        <w:t> </w:t>
      </w:r>
      <w:r>
        <w:t>39,60</w:t>
      </w:r>
      <w:r w:rsidR="00F763BE">
        <w:t> </w:t>
      </w:r>
      <w:r>
        <w:t>bilhões)</w:t>
      </w:r>
      <w:r w:rsidRPr="0062203D">
        <w:t>, visto que o</w:t>
      </w:r>
      <w:r>
        <w:t xml:space="preserve"> Orçamento</w:t>
      </w:r>
      <w:r w:rsidRPr="0062203D">
        <w:t xml:space="preserve"> de Investimento </w:t>
      </w:r>
      <w:r>
        <w:t>(R$</w:t>
      </w:r>
      <w:r w:rsidR="00F763BE">
        <w:t> </w:t>
      </w:r>
      <w:r>
        <w:t>350,14</w:t>
      </w:r>
      <w:r w:rsidR="00755658">
        <w:t> milhões</w:t>
      </w:r>
      <w:r>
        <w:t xml:space="preserve">) </w:t>
      </w:r>
      <w:r w:rsidRPr="0062203D">
        <w:t xml:space="preserve">está diretamente relacionado </w:t>
      </w:r>
      <w:r>
        <w:t>às</w:t>
      </w:r>
      <w:r w:rsidRPr="0062203D">
        <w:t xml:space="preserve"> ações e atividades das empresas estatais estaduais</w:t>
      </w:r>
      <w:r>
        <w:t>, portanto não está no escopo de análise deste capítulo.</w:t>
      </w:r>
    </w:p>
    <w:p w14:paraId="4A54C30F" w14:textId="77777777" w:rsidR="00531981" w:rsidRPr="00E52377" w:rsidRDefault="00531981" w:rsidP="00531981">
      <w:pPr>
        <w:pStyle w:val="1-REL11"/>
      </w:pPr>
      <w:r w:rsidRPr="00E52377">
        <w:t xml:space="preserve">O </w:t>
      </w:r>
      <w:r w:rsidRPr="00E52377">
        <w:rPr>
          <w:iCs/>
        </w:rPr>
        <w:t>Eixo Estratégico 2 - Goiás da Governança e Gestão Transformadora,</w:t>
      </w:r>
      <w:r w:rsidRPr="00E52377">
        <w:t xml:space="preserve"> que tem por objetivo “reestabelecer a confiança nas instituições, oferecer serviço de qualidade para a sociedade, fomentar o controle social e reconhecer e valorizar o servidor como agente transformador da sociedade” (PPA 2020-2023), foi o eixo estratégico de maior representatividade na execução da despesa, tendo alcançado 7</w:t>
      </w:r>
      <w:r>
        <w:t>3</w:t>
      </w:r>
      <w:r w:rsidRPr="00E52377">
        <w:t>,</w:t>
      </w:r>
      <w:r>
        <w:t>38</w:t>
      </w:r>
      <w:r w:rsidRPr="00E52377">
        <w:t>% do total de despesas empenhadas.</w:t>
      </w:r>
    </w:p>
    <w:p w14:paraId="30CBF4A3" w14:textId="77777777" w:rsidR="00531981" w:rsidRPr="00704CC8" w:rsidRDefault="00531981" w:rsidP="00531981">
      <w:pPr>
        <w:pStyle w:val="1-REL11"/>
      </w:pPr>
      <w:r w:rsidRPr="008C74F9">
        <w:t>Em segundo lugar</w:t>
      </w:r>
      <w:r>
        <w:t>,</w:t>
      </w:r>
      <w:r w:rsidRPr="008C74F9">
        <w:t xml:space="preserve"> na representatividade das despesas executadas, o Eixo Estratégico 6 – Goiás da Saúde Integral, que tem por objetivo “proporcionar maior longevidade e uma vida saudável aos cidadãos goianos, adotando políticas de saúde efetivas e preventivas” (PPA 2020-2023), representou 10,45% do total das despesas empenhadas no exercício </w:t>
      </w:r>
      <w:r w:rsidRPr="00704CC8">
        <w:t>financeiro de 2023.</w:t>
      </w:r>
    </w:p>
    <w:p w14:paraId="2FA1FBE6" w14:textId="77777777" w:rsidR="00DC20DF" w:rsidRDefault="00DC20DF" w:rsidP="00B000B6">
      <w:pPr>
        <w:pStyle w:val="Ttulo2"/>
        <w:numPr>
          <w:ilvl w:val="1"/>
          <w:numId w:val="34"/>
        </w:numPr>
        <w:autoSpaceDN w:val="0"/>
        <w:ind w:left="709" w:hanging="709"/>
        <w:rPr>
          <w:rFonts w:cs="Arial"/>
        </w:rPr>
      </w:pPr>
      <w:bookmarkStart w:id="31" w:name="_Toc167871624"/>
      <w:r>
        <w:rPr>
          <w:rFonts w:cs="Arial"/>
        </w:rPr>
        <w:t>Programas Governamentais</w:t>
      </w:r>
      <w:bookmarkEnd w:id="31"/>
    </w:p>
    <w:p w14:paraId="10D66B41" w14:textId="77777777" w:rsidR="00531981" w:rsidRPr="00704CC8" w:rsidRDefault="00531981" w:rsidP="00531981">
      <w:pPr>
        <w:pStyle w:val="1-REL11"/>
        <w:rPr>
          <w:rFonts w:cs="Arial"/>
        </w:rPr>
      </w:pPr>
      <w:r w:rsidRPr="00704CC8">
        <w:t>Na tabela seguinte, apresenta-se a movimentação orçamentária e financeira dos Eixos Estratégicos separando os recursos ligados aos Programas Finalísticos dos recursos relacionados aos Programas de Gestão e Especiais:</w:t>
      </w:r>
    </w:p>
    <w:p w14:paraId="400F340C" w14:textId="77777777" w:rsidR="00DC20DF" w:rsidRPr="00DF2EEC" w:rsidRDefault="00DC20DF" w:rsidP="00ED3571">
      <w:pPr>
        <w:pStyle w:val="0-TABELA"/>
      </w:pPr>
      <w:bookmarkStart w:id="32" w:name="_Toc167871719"/>
      <w:r w:rsidRPr="00DF2EEC">
        <w:t xml:space="preserve">Execução das Despesas </w:t>
      </w:r>
      <w:r>
        <w:t>dos</w:t>
      </w:r>
      <w:r w:rsidRPr="00DF2EEC">
        <w:t xml:space="preserve"> Eixos Estratégicos por Tipo de Programa</w:t>
      </w:r>
      <w:bookmarkEnd w:id="32"/>
    </w:p>
    <w:p w14:paraId="224C960A" w14:textId="32413E5F" w:rsidR="00DC20DF" w:rsidRDefault="00EE2E8E" w:rsidP="00DC20DF">
      <w:pPr>
        <w:pStyle w:val="0-EmR1"/>
      </w:pPr>
      <w:r>
        <w:t>R$ 1</w:t>
      </w:r>
    </w:p>
    <w:tbl>
      <w:tblPr>
        <w:tblW w:w="5000" w:type="pct"/>
        <w:tblLayout w:type="fixed"/>
        <w:tblCellMar>
          <w:left w:w="70" w:type="dxa"/>
          <w:right w:w="70" w:type="dxa"/>
        </w:tblCellMar>
        <w:tblLook w:val="04A0" w:firstRow="1" w:lastRow="0" w:firstColumn="1" w:lastColumn="0" w:noHBand="0" w:noVBand="1"/>
      </w:tblPr>
      <w:tblGrid>
        <w:gridCol w:w="2977"/>
        <w:gridCol w:w="1276"/>
        <w:gridCol w:w="1276"/>
        <w:gridCol w:w="1274"/>
        <w:gridCol w:w="1276"/>
        <w:gridCol w:w="1274"/>
      </w:tblGrid>
      <w:tr w:rsidR="00531981" w:rsidRPr="00531981" w14:paraId="757F38C4" w14:textId="77777777" w:rsidTr="00A11652">
        <w:trPr>
          <w:trHeight w:val="340"/>
          <w:tblHeader/>
        </w:trPr>
        <w:tc>
          <w:tcPr>
            <w:tcW w:w="1591" w:type="pct"/>
            <w:tcBorders>
              <w:top w:val="single" w:sz="4" w:space="0" w:color="auto"/>
              <w:left w:val="nil"/>
              <w:bottom w:val="single" w:sz="4" w:space="0" w:color="auto"/>
              <w:right w:val="single" w:sz="4" w:space="0" w:color="auto"/>
            </w:tcBorders>
            <w:shd w:val="clear" w:color="auto" w:fill="A1F2FD"/>
            <w:noWrap/>
            <w:tcMar>
              <w:top w:w="28" w:type="dxa"/>
              <w:bottom w:w="28" w:type="dxa"/>
            </w:tcMar>
            <w:vAlign w:val="center"/>
            <w:hideMark/>
          </w:tcPr>
          <w:p w14:paraId="643B7DF3" w14:textId="77777777" w:rsidR="00531981" w:rsidRPr="00531981" w:rsidRDefault="00531981" w:rsidP="00A11652">
            <w:pPr>
              <w:jc w:val="center"/>
              <w:rPr>
                <w:rFonts w:cs="Arial"/>
                <w:b/>
                <w:bCs/>
                <w:sz w:val="18"/>
                <w:szCs w:val="18"/>
              </w:rPr>
            </w:pPr>
            <w:r w:rsidRPr="00531981">
              <w:rPr>
                <w:rFonts w:cs="Arial"/>
                <w:b/>
                <w:bCs/>
                <w:sz w:val="18"/>
                <w:szCs w:val="18"/>
              </w:rPr>
              <w:t>Tipo de Programa</w:t>
            </w:r>
          </w:p>
        </w:tc>
        <w:tc>
          <w:tcPr>
            <w:tcW w:w="682" w:type="pct"/>
            <w:tcBorders>
              <w:top w:val="single" w:sz="4" w:space="0" w:color="auto"/>
              <w:left w:val="single" w:sz="4" w:space="0" w:color="auto"/>
              <w:bottom w:val="single" w:sz="4" w:space="0" w:color="auto"/>
              <w:right w:val="single" w:sz="4" w:space="0" w:color="auto"/>
            </w:tcBorders>
            <w:shd w:val="clear" w:color="auto" w:fill="A1F2FD"/>
            <w:noWrap/>
            <w:tcMar>
              <w:top w:w="28" w:type="dxa"/>
              <w:bottom w:w="28" w:type="dxa"/>
            </w:tcMar>
            <w:vAlign w:val="center"/>
            <w:hideMark/>
          </w:tcPr>
          <w:p w14:paraId="595BB522" w14:textId="77777777" w:rsidR="00531981" w:rsidRPr="00531981" w:rsidRDefault="00531981" w:rsidP="00A11652">
            <w:pPr>
              <w:jc w:val="center"/>
              <w:rPr>
                <w:rFonts w:cs="Arial"/>
                <w:b/>
                <w:bCs/>
                <w:sz w:val="18"/>
                <w:szCs w:val="18"/>
              </w:rPr>
            </w:pPr>
            <w:r w:rsidRPr="00531981">
              <w:rPr>
                <w:rFonts w:cs="Arial"/>
                <w:b/>
                <w:bCs/>
                <w:sz w:val="18"/>
                <w:szCs w:val="18"/>
              </w:rPr>
              <w:t>Orçada</w:t>
            </w:r>
          </w:p>
        </w:tc>
        <w:tc>
          <w:tcPr>
            <w:tcW w:w="682" w:type="pct"/>
            <w:tcBorders>
              <w:top w:val="single" w:sz="4" w:space="0" w:color="auto"/>
              <w:left w:val="single" w:sz="4" w:space="0" w:color="auto"/>
              <w:bottom w:val="single" w:sz="4" w:space="0" w:color="auto"/>
              <w:right w:val="single" w:sz="4" w:space="0" w:color="auto"/>
            </w:tcBorders>
            <w:shd w:val="clear" w:color="auto" w:fill="A1F2FD"/>
            <w:noWrap/>
            <w:tcMar>
              <w:top w:w="28" w:type="dxa"/>
              <w:bottom w:w="28" w:type="dxa"/>
            </w:tcMar>
            <w:vAlign w:val="center"/>
            <w:hideMark/>
          </w:tcPr>
          <w:p w14:paraId="2E40BBBC" w14:textId="77777777" w:rsidR="00531981" w:rsidRPr="00531981" w:rsidRDefault="00531981" w:rsidP="00A11652">
            <w:pPr>
              <w:jc w:val="center"/>
              <w:rPr>
                <w:rFonts w:cs="Arial"/>
                <w:b/>
                <w:bCs/>
                <w:sz w:val="18"/>
                <w:szCs w:val="18"/>
              </w:rPr>
            </w:pPr>
            <w:r w:rsidRPr="00531981">
              <w:rPr>
                <w:rFonts w:cs="Arial"/>
                <w:b/>
                <w:bCs/>
                <w:sz w:val="18"/>
                <w:szCs w:val="18"/>
              </w:rPr>
              <w:t>Autorizada</w:t>
            </w:r>
          </w:p>
        </w:tc>
        <w:tc>
          <w:tcPr>
            <w:tcW w:w="681" w:type="pct"/>
            <w:tcBorders>
              <w:top w:val="single" w:sz="4" w:space="0" w:color="auto"/>
              <w:left w:val="single" w:sz="4" w:space="0" w:color="auto"/>
              <w:bottom w:val="single" w:sz="4" w:space="0" w:color="auto"/>
              <w:right w:val="single" w:sz="4" w:space="0" w:color="auto"/>
            </w:tcBorders>
            <w:shd w:val="clear" w:color="auto" w:fill="A1F2FD"/>
            <w:noWrap/>
            <w:tcMar>
              <w:top w:w="28" w:type="dxa"/>
              <w:bottom w:w="28" w:type="dxa"/>
            </w:tcMar>
            <w:vAlign w:val="center"/>
            <w:hideMark/>
          </w:tcPr>
          <w:p w14:paraId="046EE1BC" w14:textId="77777777" w:rsidR="00531981" w:rsidRPr="00531981" w:rsidRDefault="00531981" w:rsidP="00A11652">
            <w:pPr>
              <w:jc w:val="center"/>
              <w:rPr>
                <w:rFonts w:cs="Arial"/>
                <w:b/>
                <w:bCs/>
                <w:sz w:val="18"/>
                <w:szCs w:val="18"/>
              </w:rPr>
            </w:pPr>
            <w:r w:rsidRPr="00531981">
              <w:rPr>
                <w:rFonts w:cs="Arial"/>
                <w:b/>
                <w:bCs/>
                <w:sz w:val="18"/>
                <w:szCs w:val="18"/>
              </w:rPr>
              <w:t>Empenhada</w:t>
            </w:r>
          </w:p>
        </w:tc>
        <w:tc>
          <w:tcPr>
            <w:tcW w:w="682" w:type="pct"/>
            <w:tcBorders>
              <w:top w:val="single" w:sz="4" w:space="0" w:color="auto"/>
              <w:left w:val="single" w:sz="4" w:space="0" w:color="auto"/>
              <w:bottom w:val="single" w:sz="4" w:space="0" w:color="auto"/>
              <w:right w:val="single" w:sz="4" w:space="0" w:color="auto"/>
            </w:tcBorders>
            <w:shd w:val="clear" w:color="auto" w:fill="A1F2FD"/>
            <w:noWrap/>
            <w:tcMar>
              <w:top w:w="28" w:type="dxa"/>
              <w:bottom w:w="28" w:type="dxa"/>
            </w:tcMar>
            <w:vAlign w:val="center"/>
            <w:hideMark/>
          </w:tcPr>
          <w:p w14:paraId="2CD692E2" w14:textId="77777777" w:rsidR="00531981" w:rsidRPr="00531981" w:rsidRDefault="00531981" w:rsidP="00531981">
            <w:pPr>
              <w:ind w:left="-74"/>
              <w:jc w:val="center"/>
              <w:rPr>
                <w:rFonts w:cs="Arial"/>
                <w:b/>
                <w:bCs/>
                <w:sz w:val="18"/>
                <w:szCs w:val="18"/>
              </w:rPr>
            </w:pPr>
            <w:r w:rsidRPr="00531981">
              <w:rPr>
                <w:rFonts w:cs="Arial"/>
                <w:b/>
                <w:bCs/>
                <w:sz w:val="18"/>
                <w:szCs w:val="18"/>
              </w:rPr>
              <w:t xml:space="preserve">Paga </w:t>
            </w:r>
          </w:p>
        </w:tc>
        <w:tc>
          <w:tcPr>
            <w:tcW w:w="681" w:type="pct"/>
            <w:tcBorders>
              <w:top w:val="single" w:sz="4" w:space="0" w:color="auto"/>
              <w:left w:val="single" w:sz="4" w:space="0" w:color="auto"/>
              <w:bottom w:val="single" w:sz="4" w:space="0" w:color="auto"/>
              <w:right w:val="nil"/>
            </w:tcBorders>
            <w:shd w:val="clear" w:color="auto" w:fill="A1F2FD"/>
            <w:noWrap/>
            <w:tcMar>
              <w:top w:w="28" w:type="dxa"/>
              <w:bottom w:w="28" w:type="dxa"/>
            </w:tcMar>
            <w:vAlign w:val="center"/>
            <w:hideMark/>
          </w:tcPr>
          <w:p w14:paraId="3ECDBAAC" w14:textId="77777777" w:rsidR="00531981" w:rsidRPr="00531981" w:rsidRDefault="00531981" w:rsidP="00A11652">
            <w:pPr>
              <w:jc w:val="center"/>
              <w:rPr>
                <w:rFonts w:cs="Arial"/>
                <w:b/>
                <w:bCs/>
                <w:sz w:val="18"/>
                <w:szCs w:val="18"/>
              </w:rPr>
            </w:pPr>
            <w:r w:rsidRPr="00531981">
              <w:rPr>
                <w:rFonts w:cs="Arial"/>
                <w:b/>
                <w:bCs/>
                <w:sz w:val="18"/>
                <w:szCs w:val="18"/>
              </w:rPr>
              <w:t>A Pagar</w:t>
            </w:r>
          </w:p>
        </w:tc>
      </w:tr>
      <w:tr w:rsidR="00531981" w:rsidRPr="00531981" w14:paraId="57F16C7E" w14:textId="77777777" w:rsidTr="00A11652">
        <w:trPr>
          <w:trHeight w:val="340"/>
        </w:trPr>
        <w:tc>
          <w:tcPr>
            <w:tcW w:w="1591" w:type="pct"/>
            <w:tcBorders>
              <w:top w:val="single" w:sz="4" w:space="0" w:color="auto"/>
              <w:left w:val="nil"/>
              <w:bottom w:val="single" w:sz="4" w:space="0" w:color="23CCE4"/>
              <w:right w:val="single" w:sz="4" w:space="0" w:color="auto"/>
            </w:tcBorders>
            <w:noWrap/>
            <w:tcMar>
              <w:top w:w="28" w:type="dxa"/>
              <w:bottom w:w="28" w:type="dxa"/>
            </w:tcMar>
            <w:vAlign w:val="center"/>
            <w:hideMark/>
          </w:tcPr>
          <w:p w14:paraId="2CB1A0B4" w14:textId="77777777" w:rsidR="00531981" w:rsidRPr="00531981" w:rsidRDefault="00531981" w:rsidP="00A11652">
            <w:pPr>
              <w:jc w:val="center"/>
              <w:rPr>
                <w:rFonts w:cs="Arial"/>
                <w:b/>
                <w:bCs/>
                <w:iCs/>
                <w:sz w:val="18"/>
                <w:szCs w:val="18"/>
              </w:rPr>
            </w:pPr>
            <w:r w:rsidRPr="00531981">
              <w:rPr>
                <w:rFonts w:cs="Arial"/>
                <w:b/>
                <w:bCs/>
                <w:iCs/>
                <w:sz w:val="18"/>
                <w:szCs w:val="18"/>
              </w:rPr>
              <w:t>Programas Finalísticos</w:t>
            </w:r>
          </w:p>
        </w:tc>
        <w:tc>
          <w:tcPr>
            <w:tcW w:w="682" w:type="pct"/>
            <w:tcBorders>
              <w:top w:val="single" w:sz="4" w:space="0" w:color="auto"/>
              <w:left w:val="single" w:sz="4" w:space="0" w:color="auto"/>
              <w:bottom w:val="single" w:sz="4" w:space="0" w:color="23CCE4"/>
              <w:right w:val="single" w:sz="4" w:space="0" w:color="auto"/>
            </w:tcBorders>
            <w:noWrap/>
            <w:tcMar>
              <w:top w:w="28" w:type="dxa"/>
              <w:bottom w:w="28" w:type="dxa"/>
            </w:tcMar>
            <w:vAlign w:val="center"/>
          </w:tcPr>
          <w:p w14:paraId="356EE9A4" w14:textId="77777777" w:rsidR="00531981" w:rsidRPr="00531981" w:rsidRDefault="00531981" w:rsidP="00531981">
            <w:pPr>
              <w:ind w:left="-65"/>
              <w:jc w:val="right"/>
              <w:rPr>
                <w:rFonts w:cs="Arial"/>
                <w:b/>
                <w:bCs/>
                <w:iCs/>
                <w:sz w:val="17"/>
                <w:szCs w:val="17"/>
              </w:rPr>
            </w:pPr>
            <w:r w:rsidRPr="00531981">
              <w:rPr>
                <w:rFonts w:cs="Arial"/>
                <w:b/>
                <w:bCs/>
                <w:iCs/>
                <w:sz w:val="17"/>
                <w:szCs w:val="17"/>
              </w:rPr>
              <w:t>11.499.928.000</w:t>
            </w:r>
          </w:p>
        </w:tc>
        <w:tc>
          <w:tcPr>
            <w:tcW w:w="682" w:type="pct"/>
            <w:tcBorders>
              <w:top w:val="single" w:sz="4" w:space="0" w:color="auto"/>
              <w:left w:val="single" w:sz="4" w:space="0" w:color="auto"/>
              <w:bottom w:val="single" w:sz="4" w:space="0" w:color="23CCE4"/>
              <w:right w:val="single" w:sz="4" w:space="0" w:color="auto"/>
            </w:tcBorders>
            <w:noWrap/>
            <w:tcMar>
              <w:top w:w="28" w:type="dxa"/>
              <w:bottom w:w="28" w:type="dxa"/>
            </w:tcMar>
            <w:vAlign w:val="center"/>
          </w:tcPr>
          <w:p w14:paraId="7B0600A8" w14:textId="77777777" w:rsidR="00531981" w:rsidRPr="00531981" w:rsidRDefault="00531981" w:rsidP="00531981">
            <w:pPr>
              <w:ind w:hanging="67"/>
              <w:jc w:val="right"/>
              <w:rPr>
                <w:rFonts w:cs="Arial"/>
                <w:b/>
                <w:bCs/>
                <w:iCs/>
                <w:sz w:val="17"/>
                <w:szCs w:val="17"/>
              </w:rPr>
            </w:pPr>
            <w:r w:rsidRPr="00531981">
              <w:rPr>
                <w:rFonts w:cs="Arial"/>
                <w:b/>
                <w:bCs/>
                <w:iCs/>
                <w:sz w:val="17"/>
                <w:szCs w:val="17"/>
              </w:rPr>
              <w:t>16.122.014.908</w:t>
            </w:r>
          </w:p>
        </w:tc>
        <w:tc>
          <w:tcPr>
            <w:tcW w:w="681" w:type="pct"/>
            <w:tcBorders>
              <w:top w:val="single" w:sz="4" w:space="0" w:color="auto"/>
              <w:left w:val="single" w:sz="4" w:space="0" w:color="auto"/>
              <w:bottom w:val="single" w:sz="4" w:space="0" w:color="23CCE4"/>
              <w:right w:val="single" w:sz="4" w:space="0" w:color="auto"/>
            </w:tcBorders>
            <w:noWrap/>
            <w:tcMar>
              <w:top w:w="28" w:type="dxa"/>
              <w:bottom w:w="28" w:type="dxa"/>
            </w:tcMar>
            <w:vAlign w:val="center"/>
          </w:tcPr>
          <w:p w14:paraId="30542332" w14:textId="77777777" w:rsidR="00531981" w:rsidRPr="00531981" w:rsidRDefault="00531981" w:rsidP="00531981">
            <w:pPr>
              <w:ind w:left="-70"/>
              <w:jc w:val="right"/>
              <w:rPr>
                <w:rFonts w:cs="Arial"/>
                <w:b/>
                <w:bCs/>
                <w:iCs/>
                <w:sz w:val="17"/>
                <w:szCs w:val="17"/>
              </w:rPr>
            </w:pPr>
            <w:r w:rsidRPr="00531981">
              <w:rPr>
                <w:rFonts w:cs="Arial"/>
                <w:b/>
                <w:bCs/>
                <w:color w:val="000000"/>
                <w:sz w:val="17"/>
                <w:szCs w:val="17"/>
              </w:rPr>
              <w:t>11.053.136.197</w:t>
            </w:r>
          </w:p>
        </w:tc>
        <w:tc>
          <w:tcPr>
            <w:tcW w:w="682" w:type="pct"/>
            <w:tcBorders>
              <w:top w:val="single" w:sz="4" w:space="0" w:color="auto"/>
              <w:left w:val="single" w:sz="4" w:space="0" w:color="auto"/>
              <w:bottom w:val="single" w:sz="4" w:space="0" w:color="23CCE4"/>
              <w:right w:val="single" w:sz="4" w:space="0" w:color="auto"/>
            </w:tcBorders>
            <w:noWrap/>
            <w:tcMar>
              <w:top w:w="28" w:type="dxa"/>
              <w:bottom w:w="28" w:type="dxa"/>
            </w:tcMar>
            <w:vAlign w:val="center"/>
          </w:tcPr>
          <w:p w14:paraId="26D6F9E0" w14:textId="77777777" w:rsidR="00531981" w:rsidRPr="00531981" w:rsidRDefault="00531981" w:rsidP="00531981">
            <w:pPr>
              <w:ind w:left="-74"/>
              <w:jc w:val="right"/>
              <w:rPr>
                <w:rFonts w:cs="Arial"/>
                <w:b/>
                <w:bCs/>
                <w:iCs/>
                <w:sz w:val="17"/>
                <w:szCs w:val="17"/>
              </w:rPr>
            </w:pPr>
            <w:r w:rsidRPr="00531981">
              <w:rPr>
                <w:rFonts w:cs="Arial"/>
                <w:b/>
                <w:bCs/>
                <w:color w:val="000000"/>
                <w:sz w:val="17"/>
                <w:szCs w:val="17"/>
              </w:rPr>
              <w:t>9.809.202.669</w:t>
            </w:r>
          </w:p>
        </w:tc>
        <w:tc>
          <w:tcPr>
            <w:tcW w:w="681" w:type="pct"/>
            <w:tcBorders>
              <w:top w:val="single" w:sz="4" w:space="0" w:color="auto"/>
              <w:left w:val="single" w:sz="4" w:space="0" w:color="auto"/>
              <w:bottom w:val="single" w:sz="4" w:space="0" w:color="23CCE4"/>
              <w:right w:val="nil"/>
            </w:tcBorders>
            <w:noWrap/>
            <w:tcMar>
              <w:top w:w="28" w:type="dxa"/>
              <w:bottom w:w="28" w:type="dxa"/>
            </w:tcMar>
            <w:vAlign w:val="center"/>
          </w:tcPr>
          <w:p w14:paraId="203CCF82" w14:textId="77777777" w:rsidR="00531981" w:rsidRPr="00531981" w:rsidRDefault="00531981" w:rsidP="00A11652">
            <w:pPr>
              <w:jc w:val="right"/>
              <w:rPr>
                <w:rFonts w:cs="Arial"/>
                <w:b/>
                <w:bCs/>
                <w:iCs/>
                <w:sz w:val="17"/>
                <w:szCs w:val="17"/>
              </w:rPr>
            </w:pPr>
            <w:r w:rsidRPr="00531981">
              <w:rPr>
                <w:rFonts w:cs="Arial"/>
                <w:b/>
                <w:bCs/>
                <w:color w:val="000000"/>
                <w:sz w:val="17"/>
                <w:szCs w:val="17"/>
              </w:rPr>
              <w:t>1.243.933.528</w:t>
            </w:r>
          </w:p>
        </w:tc>
      </w:tr>
      <w:tr w:rsidR="00531981" w:rsidRPr="00531981" w14:paraId="62FB6BFD" w14:textId="77777777" w:rsidTr="00A11652">
        <w:trPr>
          <w:trHeight w:val="340"/>
        </w:trPr>
        <w:tc>
          <w:tcPr>
            <w:tcW w:w="1591" w:type="pct"/>
            <w:tcBorders>
              <w:top w:val="nil"/>
              <w:left w:val="nil"/>
              <w:bottom w:val="nil"/>
              <w:right w:val="single" w:sz="4" w:space="0" w:color="auto"/>
            </w:tcBorders>
            <w:noWrap/>
            <w:tcMar>
              <w:top w:w="28" w:type="dxa"/>
              <w:bottom w:w="28" w:type="dxa"/>
            </w:tcMar>
            <w:vAlign w:val="center"/>
            <w:hideMark/>
          </w:tcPr>
          <w:p w14:paraId="63DBF570" w14:textId="77777777" w:rsidR="00531981" w:rsidRPr="00531981" w:rsidRDefault="00531981" w:rsidP="00A11652">
            <w:pPr>
              <w:ind w:left="640" w:hanging="640"/>
              <w:jc w:val="left"/>
              <w:rPr>
                <w:rFonts w:cs="Arial"/>
                <w:sz w:val="18"/>
                <w:szCs w:val="18"/>
              </w:rPr>
            </w:pPr>
            <w:r w:rsidRPr="00531981">
              <w:rPr>
                <w:rFonts w:cs="Arial"/>
                <w:sz w:val="18"/>
                <w:szCs w:val="18"/>
              </w:rPr>
              <w:t>Eixo 1 - Goiás da Responsabilidade Fiscal</w:t>
            </w:r>
          </w:p>
        </w:tc>
        <w:tc>
          <w:tcPr>
            <w:tcW w:w="682" w:type="pct"/>
            <w:tcBorders>
              <w:top w:val="nil"/>
              <w:left w:val="single" w:sz="4" w:space="0" w:color="auto"/>
              <w:bottom w:val="nil"/>
              <w:right w:val="single" w:sz="4" w:space="0" w:color="auto"/>
            </w:tcBorders>
            <w:noWrap/>
            <w:tcMar>
              <w:top w:w="28" w:type="dxa"/>
              <w:bottom w:w="28" w:type="dxa"/>
            </w:tcMar>
            <w:vAlign w:val="center"/>
          </w:tcPr>
          <w:p w14:paraId="0863B776" w14:textId="77777777" w:rsidR="00531981" w:rsidRPr="00531981" w:rsidRDefault="00531981" w:rsidP="00531981">
            <w:pPr>
              <w:ind w:left="-65"/>
              <w:jc w:val="right"/>
              <w:rPr>
                <w:rFonts w:cs="Arial"/>
                <w:sz w:val="17"/>
                <w:szCs w:val="17"/>
              </w:rPr>
            </w:pPr>
            <w:r w:rsidRPr="00531981">
              <w:rPr>
                <w:rFonts w:cs="Arial"/>
                <w:sz w:val="17"/>
                <w:szCs w:val="17"/>
              </w:rPr>
              <w:t>40.402.000</w:t>
            </w:r>
          </w:p>
        </w:tc>
        <w:tc>
          <w:tcPr>
            <w:tcW w:w="682" w:type="pct"/>
            <w:tcBorders>
              <w:top w:val="nil"/>
              <w:left w:val="single" w:sz="4" w:space="0" w:color="auto"/>
              <w:bottom w:val="nil"/>
              <w:right w:val="single" w:sz="4" w:space="0" w:color="auto"/>
            </w:tcBorders>
            <w:noWrap/>
            <w:tcMar>
              <w:top w:w="28" w:type="dxa"/>
              <w:bottom w:w="28" w:type="dxa"/>
            </w:tcMar>
            <w:vAlign w:val="center"/>
          </w:tcPr>
          <w:p w14:paraId="7481E150" w14:textId="77777777" w:rsidR="00531981" w:rsidRPr="00531981" w:rsidRDefault="00531981" w:rsidP="00531981">
            <w:pPr>
              <w:ind w:hanging="67"/>
              <w:jc w:val="right"/>
              <w:rPr>
                <w:rFonts w:cs="Arial"/>
                <w:sz w:val="17"/>
                <w:szCs w:val="17"/>
              </w:rPr>
            </w:pPr>
            <w:r w:rsidRPr="00531981">
              <w:rPr>
                <w:rFonts w:cs="Arial"/>
                <w:sz w:val="17"/>
                <w:szCs w:val="17"/>
              </w:rPr>
              <w:t>77.985.734</w:t>
            </w:r>
          </w:p>
        </w:tc>
        <w:tc>
          <w:tcPr>
            <w:tcW w:w="681" w:type="pct"/>
            <w:tcBorders>
              <w:top w:val="nil"/>
              <w:left w:val="single" w:sz="4" w:space="0" w:color="auto"/>
              <w:bottom w:val="nil"/>
              <w:right w:val="single" w:sz="4" w:space="0" w:color="auto"/>
            </w:tcBorders>
            <w:noWrap/>
            <w:tcMar>
              <w:top w:w="28" w:type="dxa"/>
              <w:bottom w:w="28" w:type="dxa"/>
            </w:tcMar>
            <w:vAlign w:val="center"/>
          </w:tcPr>
          <w:p w14:paraId="35ADA3CA" w14:textId="77777777" w:rsidR="00531981" w:rsidRPr="00531981" w:rsidRDefault="00531981" w:rsidP="00531981">
            <w:pPr>
              <w:ind w:left="-70"/>
              <w:jc w:val="right"/>
              <w:rPr>
                <w:rFonts w:cs="Arial"/>
                <w:sz w:val="17"/>
                <w:szCs w:val="17"/>
              </w:rPr>
            </w:pPr>
            <w:r w:rsidRPr="00531981">
              <w:rPr>
                <w:rFonts w:cs="Arial"/>
                <w:color w:val="000000"/>
                <w:sz w:val="17"/>
                <w:szCs w:val="17"/>
              </w:rPr>
              <w:t>38.640.003</w:t>
            </w:r>
          </w:p>
        </w:tc>
        <w:tc>
          <w:tcPr>
            <w:tcW w:w="682" w:type="pct"/>
            <w:tcBorders>
              <w:top w:val="nil"/>
              <w:left w:val="single" w:sz="4" w:space="0" w:color="auto"/>
              <w:bottom w:val="nil"/>
              <w:right w:val="single" w:sz="4" w:space="0" w:color="auto"/>
            </w:tcBorders>
            <w:noWrap/>
            <w:tcMar>
              <w:top w:w="28" w:type="dxa"/>
              <w:bottom w:w="28" w:type="dxa"/>
            </w:tcMar>
            <w:vAlign w:val="center"/>
          </w:tcPr>
          <w:p w14:paraId="61713B3F" w14:textId="77777777" w:rsidR="00531981" w:rsidRPr="00531981" w:rsidRDefault="00531981" w:rsidP="00531981">
            <w:pPr>
              <w:ind w:left="-74"/>
              <w:jc w:val="right"/>
              <w:rPr>
                <w:rFonts w:cs="Arial"/>
                <w:sz w:val="17"/>
                <w:szCs w:val="17"/>
              </w:rPr>
            </w:pPr>
            <w:r w:rsidRPr="00531981">
              <w:rPr>
                <w:rFonts w:cs="Arial"/>
                <w:color w:val="000000"/>
                <w:sz w:val="17"/>
                <w:szCs w:val="17"/>
              </w:rPr>
              <w:t>28.112.566</w:t>
            </w:r>
          </w:p>
        </w:tc>
        <w:tc>
          <w:tcPr>
            <w:tcW w:w="681" w:type="pct"/>
            <w:tcBorders>
              <w:top w:val="nil"/>
              <w:left w:val="single" w:sz="4" w:space="0" w:color="auto"/>
              <w:bottom w:val="nil"/>
              <w:right w:val="nil"/>
            </w:tcBorders>
            <w:noWrap/>
            <w:tcMar>
              <w:top w:w="28" w:type="dxa"/>
              <w:bottom w:w="28" w:type="dxa"/>
            </w:tcMar>
            <w:vAlign w:val="center"/>
          </w:tcPr>
          <w:p w14:paraId="4FFAC8EF" w14:textId="77777777" w:rsidR="00531981" w:rsidRPr="00531981" w:rsidRDefault="00531981" w:rsidP="00A11652">
            <w:pPr>
              <w:jc w:val="right"/>
              <w:rPr>
                <w:rFonts w:cs="Arial"/>
                <w:sz w:val="17"/>
                <w:szCs w:val="17"/>
              </w:rPr>
            </w:pPr>
            <w:r w:rsidRPr="00531981">
              <w:rPr>
                <w:rFonts w:cs="Arial"/>
                <w:color w:val="000000"/>
                <w:sz w:val="17"/>
                <w:szCs w:val="17"/>
              </w:rPr>
              <w:t>10.527.436</w:t>
            </w:r>
          </w:p>
        </w:tc>
      </w:tr>
      <w:tr w:rsidR="00531981" w:rsidRPr="00531981" w14:paraId="30C2BB5D" w14:textId="77777777" w:rsidTr="00A11652">
        <w:trPr>
          <w:trHeight w:val="340"/>
        </w:trPr>
        <w:tc>
          <w:tcPr>
            <w:tcW w:w="1591" w:type="pct"/>
            <w:tcBorders>
              <w:top w:val="nil"/>
              <w:left w:val="nil"/>
              <w:bottom w:val="nil"/>
              <w:right w:val="single" w:sz="4" w:space="0" w:color="auto"/>
            </w:tcBorders>
            <w:noWrap/>
            <w:tcMar>
              <w:top w:w="28" w:type="dxa"/>
              <w:bottom w:w="28" w:type="dxa"/>
            </w:tcMar>
            <w:vAlign w:val="center"/>
            <w:hideMark/>
          </w:tcPr>
          <w:p w14:paraId="626AA9B7" w14:textId="77777777" w:rsidR="00531981" w:rsidRPr="00531981" w:rsidRDefault="00531981" w:rsidP="00A11652">
            <w:pPr>
              <w:ind w:left="640" w:hanging="640"/>
              <w:jc w:val="left"/>
              <w:rPr>
                <w:rFonts w:cs="Arial"/>
                <w:sz w:val="18"/>
                <w:szCs w:val="18"/>
              </w:rPr>
            </w:pPr>
            <w:r w:rsidRPr="00531981">
              <w:rPr>
                <w:rFonts w:cs="Arial"/>
                <w:sz w:val="18"/>
                <w:szCs w:val="18"/>
              </w:rPr>
              <w:lastRenderedPageBreak/>
              <w:t>Eixo 2 - Goiás da Governança e Gestão Transformadora</w:t>
            </w:r>
          </w:p>
        </w:tc>
        <w:tc>
          <w:tcPr>
            <w:tcW w:w="682" w:type="pct"/>
            <w:tcBorders>
              <w:top w:val="nil"/>
              <w:left w:val="single" w:sz="4" w:space="0" w:color="auto"/>
              <w:bottom w:val="nil"/>
              <w:right w:val="single" w:sz="4" w:space="0" w:color="auto"/>
            </w:tcBorders>
            <w:noWrap/>
            <w:tcMar>
              <w:top w:w="28" w:type="dxa"/>
              <w:bottom w:w="28" w:type="dxa"/>
            </w:tcMar>
            <w:vAlign w:val="center"/>
          </w:tcPr>
          <w:p w14:paraId="30FDC565" w14:textId="77777777" w:rsidR="00531981" w:rsidRPr="00531981" w:rsidRDefault="00531981" w:rsidP="00531981">
            <w:pPr>
              <w:ind w:left="-65"/>
              <w:jc w:val="right"/>
              <w:rPr>
                <w:rFonts w:cs="Arial"/>
                <w:sz w:val="17"/>
                <w:szCs w:val="17"/>
              </w:rPr>
            </w:pPr>
            <w:r w:rsidRPr="00531981">
              <w:rPr>
                <w:rFonts w:cs="Arial"/>
                <w:sz w:val="17"/>
                <w:szCs w:val="17"/>
              </w:rPr>
              <w:t>2.267.657.000</w:t>
            </w:r>
          </w:p>
        </w:tc>
        <w:tc>
          <w:tcPr>
            <w:tcW w:w="682" w:type="pct"/>
            <w:tcBorders>
              <w:top w:val="nil"/>
              <w:left w:val="single" w:sz="4" w:space="0" w:color="auto"/>
              <w:bottom w:val="nil"/>
              <w:right w:val="single" w:sz="4" w:space="0" w:color="auto"/>
            </w:tcBorders>
            <w:noWrap/>
            <w:tcMar>
              <w:top w:w="28" w:type="dxa"/>
              <w:bottom w:w="28" w:type="dxa"/>
            </w:tcMar>
            <w:vAlign w:val="center"/>
          </w:tcPr>
          <w:p w14:paraId="128A8D75" w14:textId="77777777" w:rsidR="00531981" w:rsidRPr="00531981" w:rsidRDefault="00531981" w:rsidP="00531981">
            <w:pPr>
              <w:ind w:hanging="67"/>
              <w:jc w:val="right"/>
              <w:rPr>
                <w:rFonts w:cs="Arial"/>
                <w:sz w:val="17"/>
                <w:szCs w:val="17"/>
              </w:rPr>
            </w:pPr>
            <w:r w:rsidRPr="00531981">
              <w:rPr>
                <w:rFonts w:cs="Arial"/>
                <w:sz w:val="17"/>
                <w:szCs w:val="17"/>
              </w:rPr>
              <w:t>2.374.310.241</w:t>
            </w:r>
          </w:p>
        </w:tc>
        <w:tc>
          <w:tcPr>
            <w:tcW w:w="681" w:type="pct"/>
            <w:tcBorders>
              <w:top w:val="nil"/>
              <w:left w:val="single" w:sz="4" w:space="0" w:color="auto"/>
              <w:bottom w:val="nil"/>
              <w:right w:val="single" w:sz="4" w:space="0" w:color="auto"/>
            </w:tcBorders>
            <w:noWrap/>
            <w:tcMar>
              <w:top w:w="28" w:type="dxa"/>
              <w:bottom w:w="28" w:type="dxa"/>
            </w:tcMar>
            <w:vAlign w:val="center"/>
          </w:tcPr>
          <w:p w14:paraId="68618C35" w14:textId="77777777" w:rsidR="00531981" w:rsidRPr="00531981" w:rsidRDefault="00531981" w:rsidP="00531981">
            <w:pPr>
              <w:ind w:left="-70"/>
              <w:jc w:val="right"/>
              <w:rPr>
                <w:rFonts w:cs="Arial"/>
                <w:sz w:val="17"/>
                <w:szCs w:val="17"/>
              </w:rPr>
            </w:pPr>
            <w:r w:rsidRPr="00531981">
              <w:rPr>
                <w:rFonts w:cs="Arial"/>
                <w:color w:val="000000"/>
                <w:sz w:val="17"/>
                <w:szCs w:val="17"/>
              </w:rPr>
              <w:t>745.416.244</w:t>
            </w:r>
          </w:p>
        </w:tc>
        <w:tc>
          <w:tcPr>
            <w:tcW w:w="682" w:type="pct"/>
            <w:tcBorders>
              <w:top w:val="nil"/>
              <w:left w:val="single" w:sz="4" w:space="0" w:color="auto"/>
              <w:bottom w:val="nil"/>
              <w:right w:val="single" w:sz="4" w:space="0" w:color="auto"/>
            </w:tcBorders>
            <w:noWrap/>
            <w:tcMar>
              <w:top w:w="28" w:type="dxa"/>
              <w:bottom w:w="28" w:type="dxa"/>
            </w:tcMar>
            <w:vAlign w:val="center"/>
          </w:tcPr>
          <w:p w14:paraId="014CAAC5" w14:textId="77777777" w:rsidR="00531981" w:rsidRPr="00531981" w:rsidRDefault="00531981" w:rsidP="00531981">
            <w:pPr>
              <w:ind w:left="-74"/>
              <w:jc w:val="right"/>
              <w:rPr>
                <w:rFonts w:cs="Arial"/>
                <w:sz w:val="17"/>
                <w:szCs w:val="17"/>
              </w:rPr>
            </w:pPr>
            <w:r w:rsidRPr="00531981">
              <w:rPr>
                <w:rFonts w:cs="Arial"/>
                <w:color w:val="000000"/>
                <w:sz w:val="17"/>
                <w:szCs w:val="17"/>
              </w:rPr>
              <w:t>702.307.179</w:t>
            </w:r>
          </w:p>
        </w:tc>
        <w:tc>
          <w:tcPr>
            <w:tcW w:w="681" w:type="pct"/>
            <w:tcBorders>
              <w:top w:val="nil"/>
              <w:left w:val="single" w:sz="4" w:space="0" w:color="auto"/>
              <w:bottom w:val="nil"/>
              <w:right w:val="nil"/>
            </w:tcBorders>
            <w:noWrap/>
            <w:tcMar>
              <w:top w:w="28" w:type="dxa"/>
              <w:bottom w:w="28" w:type="dxa"/>
            </w:tcMar>
            <w:vAlign w:val="center"/>
          </w:tcPr>
          <w:p w14:paraId="753FEF0D" w14:textId="77777777" w:rsidR="00531981" w:rsidRPr="00531981" w:rsidRDefault="00531981" w:rsidP="00A11652">
            <w:pPr>
              <w:jc w:val="right"/>
              <w:rPr>
                <w:rFonts w:cs="Arial"/>
                <w:sz w:val="17"/>
                <w:szCs w:val="17"/>
              </w:rPr>
            </w:pPr>
            <w:r w:rsidRPr="00531981">
              <w:rPr>
                <w:rFonts w:cs="Arial"/>
                <w:color w:val="000000"/>
                <w:sz w:val="17"/>
                <w:szCs w:val="17"/>
              </w:rPr>
              <w:t>43.109.065</w:t>
            </w:r>
          </w:p>
        </w:tc>
      </w:tr>
      <w:tr w:rsidR="00531981" w:rsidRPr="00531981" w14:paraId="16A436AF" w14:textId="77777777" w:rsidTr="00A11652">
        <w:trPr>
          <w:trHeight w:val="340"/>
        </w:trPr>
        <w:tc>
          <w:tcPr>
            <w:tcW w:w="1591" w:type="pct"/>
            <w:tcBorders>
              <w:top w:val="nil"/>
              <w:left w:val="nil"/>
              <w:bottom w:val="nil"/>
              <w:right w:val="single" w:sz="4" w:space="0" w:color="auto"/>
            </w:tcBorders>
            <w:noWrap/>
            <w:tcMar>
              <w:top w:w="28" w:type="dxa"/>
              <w:bottom w:w="28" w:type="dxa"/>
            </w:tcMar>
            <w:vAlign w:val="center"/>
            <w:hideMark/>
          </w:tcPr>
          <w:p w14:paraId="399AA48B" w14:textId="77777777" w:rsidR="00531981" w:rsidRPr="00531981" w:rsidRDefault="00531981" w:rsidP="00A11652">
            <w:pPr>
              <w:ind w:left="640" w:hanging="640"/>
              <w:jc w:val="left"/>
              <w:rPr>
                <w:rFonts w:cs="Arial"/>
                <w:sz w:val="18"/>
                <w:szCs w:val="18"/>
              </w:rPr>
            </w:pPr>
            <w:bookmarkStart w:id="33" w:name="_Hlk163466747"/>
            <w:r w:rsidRPr="00531981">
              <w:rPr>
                <w:rFonts w:cs="Arial"/>
                <w:sz w:val="18"/>
                <w:szCs w:val="18"/>
              </w:rPr>
              <w:t>Eixo 3 - Goiás da Infraestrutura e Sustentabilidade</w:t>
            </w:r>
            <w:bookmarkEnd w:id="33"/>
          </w:p>
        </w:tc>
        <w:tc>
          <w:tcPr>
            <w:tcW w:w="682" w:type="pct"/>
            <w:tcBorders>
              <w:top w:val="nil"/>
              <w:left w:val="single" w:sz="4" w:space="0" w:color="auto"/>
              <w:bottom w:val="nil"/>
              <w:right w:val="single" w:sz="4" w:space="0" w:color="auto"/>
            </w:tcBorders>
            <w:noWrap/>
            <w:tcMar>
              <w:top w:w="28" w:type="dxa"/>
              <w:bottom w:w="28" w:type="dxa"/>
            </w:tcMar>
            <w:vAlign w:val="center"/>
          </w:tcPr>
          <w:p w14:paraId="7CA74674" w14:textId="77777777" w:rsidR="00531981" w:rsidRPr="00531981" w:rsidRDefault="00531981" w:rsidP="00531981">
            <w:pPr>
              <w:ind w:left="-65"/>
              <w:jc w:val="right"/>
              <w:rPr>
                <w:rFonts w:cs="Arial"/>
                <w:sz w:val="17"/>
                <w:szCs w:val="17"/>
              </w:rPr>
            </w:pPr>
            <w:r w:rsidRPr="00531981">
              <w:rPr>
                <w:rFonts w:cs="Arial"/>
                <w:sz w:val="17"/>
                <w:szCs w:val="17"/>
              </w:rPr>
              <w:t>905.749.000</w:t>
            </w:r>
          </w:p>
        </w:tc>
        <w:tc>
          <w:tcPr>
            <w:tcW w:w="682" w:type="pct"/>
            <w:tcBorders>
              <w:top w:val="nil"/>
              <w:left w:val="single" w:sz="4" w:space="0" w:color="auto"/>
              <w:bottom w:val="nil"/>
              <w:right w:val="single" w:sz="4" w:space="0" w:color="auto"/>
            </w:tcBorders>
            <w:noWrap/>
            <w:tcMar>
              <w:top w:w="28" w:type="dxa"/>
              <w:bottom w:w="28" w:type="dxa"/>
            </w:tcMar>
            <w:vAlign w:val="center"/>
          </w:tcPr>
          <w:p w14:paraId="3846C7CD" w14:textId="77777777" w:rsidR="00531981" w:rsidRPr="00531981" w:rsidRDefault="00531981" w:rsidP="00531981">
            <w:pPr>
              <w:ind w:hanging="67"/>
              <w:jc w:val="right"/>
              <w:rPr>
                <w:rFonts w:cs="Arial"/>
                <w:sz w:val="17"/>
                <w:szCs w:val="17"/>
              </w:rPr>
            </w:pPr>
            <w:r w:rsidRPr="00531981">
              <w:rPr>
                <w:rFonts w:cs="Arial"/>
                <w:sz w:val="17"/>
                <w:szCs w:val="17"/>
              </w:rPr>
              <w:t>3.077.361.197</w:t>
            </w:r>
          </w:p>
        </w:tc>
        <w:tc>
          <w:tcPr>
            <w:tcW w:w="681" w:type="pct"/>
            <w:tcBorders>
              <w:top w:val="nil"/>
              <w:left w:val="single" w:sz="4" w:space="0" w:color="auto"/>
              <w:bottom w:val="nil"/>
              <w:right w:val="single" w:sz="4" w:space="0" w:color="auto"/>
            </w:tcBorders>
            <w:noWrap/>
            <w:tcMar>
              <w:top w:w="28" w:type="dxa"/>
              <w:bottom w:w="28" w:type="dxa"/>
            </w:tcMar>
            <w:vAlign w:val="center"/>
          </w:tcPr>
          <w:p w14:paraId="0E6BE076" w14:textId="77777777" w:rsidR="00531981" w:rsidRPr="00531981" w:rsidRDefault="00531981" w:rsidP="00531981">
            <w:pPr>
              <w:ind w:left="-70"/>
              <w:jc w:val="right"/>
              <w:rPr>
                <w:rFonts w:cs="Arial"/>
                <w:sz w:val="17"/>
                <w:szCs w:val="17"/>
              </w:rPr>
            </w:pPr>
            <w:r w:rsidRPr="00531981">
              <w:rPr>
                <w:rFonts w:cs="Arial"/>
                <w:color w:val="000000"/>
                <w:sz w:val="17"/>
                <w:szCs w:val="17"/>
              </w:rPr>
              <w:t>2.099.453.300</w:t>
            </w:r>
          </w:p>
        </w:tc>
        <w:tc>
          <w:tcPr>
            <w:tcW w:w="682" w:type="pct"/>
            <w:tcBorders>
              <w:top w:val="nil"/>
              <w:left w:val="single" w:sz="4" w:space="0" w:color="auto"/>
              <w:bottom w:val="nil"/>
              <w:right w:val="single" w:sz="4" w:space="0" w:color="auto"/>
            </w:tcBorders>
            <w:noWrap/>
            <w:tcMar>
              <w:top w:w="28" w:type="dxa"/>
              <w:bottom w:w="28" w:type="dxa"/>
            </w:tcMar>
            <w:vAlign w:val="center"/>
          </w:tcPr>
          <w:p w14:paraId="5B8ED24D" w14:textId="77777777" w:rsidR="00531981" w:rsidRPr="00531981" w:rsidRDefault="00531981" w:rsidP="00531981">
            <w:pPr>
              <w:ind w:left="-74"/>
              <w:jc w:val="right"/>
              <w:rPr>
                <w:rFonts w:cs="Arial"/>
                <w:sz w:val="17"/>
                <w:szCs w:val="17"/>
              </w:rPr>
            </w:pPr>
            <w:r w:rsidRPr="00531981">
              <w:rPr>
                <w:rFonts w:cs="Arial"/>
                <w:color w:val="000000"/>
                <w:sz w:val="17"/>
                <w:szCs w:val="17"/>
              </w:rPr>
              <w:t>1.796.775.608</w:t>
            </w:r>
          </w:p>
        </w:tc>
        <w:tc>
          <w:tcPr>
            <w:tcW w:w="681" w:type="pct"/>
            <w:tcBorders>
              <w:top w:val="nil"/>
              <w:left w:val="single" w:sz="4" w:space="0" w:color="auto"/>
              <w:bottom w:val="nil"/>
              <w:right w:val="nil"/>
            </w:tcBorders>
            <w:noWrap/>
            <w:tcMar>
              <w:top w:w="28" w:type="dxa"/>
              <w:bottom w:w="28" w:type="dxa"/>
            </w:tcMar>
            <w:vAlign w:val="center"/>
          </w:tcPr>
          <w:p w14:paraId="1126C019" w14:textId="77777777" w:rsidR="00531981" w:rsidRPr="00531981" w:rsidRDefault="00531981" w:rsidP="00A11652">
            <w:pPr>
              <w:jc w:val="right"/>
              <w:rPr>
                <w:rFonts w:cs="Arial"/>
                <w:sz w:val="17"/>
                <w:szCs w:val="17"/>
              </w:rPr>
            </w:pPr>
            <w:r w:rsidRPr="00531981">
              <w:rPr>
                <w:rFonts w:cs="Arial"/>
                <w:color w:val="000000"/>
                <w:sz w:val="17"/>
                <w:szCs w:val="17"/>
              </w:rPr>
              <w:t>302.677.691</w:t>
            </w:r>
          </w:p>
        </w:tc>
      </w:tr>
      <w:tr w:rsidR="00531981" w:rsidRPr="00531981" w14:paraId="2FE09AE9" w14:textId="77777777" w:rsidTr="00A11652">
        <w:trPr>
          <w:trHeight w:val="340"/>
        </w:trPr>
        <w:tc>
          <w:tcPr>
            <w:tcW w:w="1591" w:type="pct"/>
            <w:tcBorders>
              <w:top w:val="nil"/>
              <w:left w:val="nil"/>
              <w:bottom w:val="nil"/>
              <w:right w:val="single" w:sz="4" w:space="0" w:color="auto"/>
            </w:tcBorders>
            <w:noWrap/>
            <w:tcMar>
              <w:top w:w="28" w:type="dxa"/>
              <w:bottom w:w="28" w:type="dxa"/>
            </w:tcMar>
            <w:vAlign w:val="center"/>
            <w:hideMark/>
          </w:tcPr>
          <w:p w14:paraId="34D28282" w14:textId="77777777" w:rsidR="00531981" w:rsidRPr="00531981" w:rsidRDefault="00531981" w:rsidP="00A11652">
            <w:pPr>
              <w:ind w:left="640" w:hanging="640"/>
              <w:jc w:val="left"/>
              <w:rPr>
                <w:rFonts w:cs="Arial"/>
                <w:sz w:val="18"/>
                <w:szCs w:val="18"/>
              </w:rPr>
            </w:pPr>
            <w:r w:rsidRPr="00531981">
              <w:rPr>
                <w:rFonts w:cs="Arial"/>
                <w:sz w:val="18"/>
                <w:szCs w:val="18"/>
              </w:rPr>
              <w:t>Eixo 4 - Goiás da Educação Plena</w:t>
            </w:r>
          </w:p>
        </w:tc>
        <w:tc>
          <w:tcPr>
            <w:tcW w:w="682" w:type="pct"/>
            <w:tcBorders>
              <w:top w:val="nil"/>
              <w:left w:val="single" w:sz="4" w:space="0" w:color="auto"/>
              <w:bottom w:val="nil"/>
              <w:right w:val="single" w:sz="4" w:space="0" w:color="auto"/>
            </w:tcBorders>
            <w:noWrap/>
            <w:tcMar>
              <w:top w:w="28" w:type="dxa"/>
              <w:bottom w:w="28" w:type="dxa"/>
            </w:tcMar>
            <w:vAlign w:val="center"/>
          </w:tcPr>
          <w:p w14:paraId="0AE59224" w14:textId="77777777" w:rsidR="00531981" w:rsidRPr="00531981" w:rsidRDefault="00531981" w:rsidP="00531981">
            <w:pPr>
              <w:ind w:left="-65"/>
              <w:jc w:val="right"/>
              <w:rPr>
                <w:rFonts w:cs="Arial"/>
                <w:sz w:val="17"/>
                <w:szCs w:val="17"/>
              </w:rPr>
            </w:pPr>
            <w:r w:rsidRPr="00531981">
              <w:rPr>
                <w:rFonts w:cs="Arial"/>
                <w:sz w:val="17"/>
                <w:szCs w:val="17"/>
              </w:rPr>
              <w:t>1.963.358.000</w:t>
            </w:r>
          </w:p>
        </w:tc>
        <w:tc>
          <w:tcPr>
            <w:tcW w:w="682" w:type="pct"/>
            <w:tcBorders>
              <w:top w:val="nil"/>
              <w:left w:val="single" w:sz="4" w:space="0" w:color="auto"/>
              <w:bottom w:val="nil"/>
              <w:right w:val="single" w:sz="4" w:space="0" w:color="auto"/>
            </w:tcBorders>
            <w:noWrap/>
            <w:tcMar>
              <w:top w:w="28" w:type="dxa"/>
              <w:bottom w:w="28" w:type="dxa"/>
            </w:tcMar>
            <w:vAlign w:val="center"/>
          </w:tcPr>
          <w:p w14:paraId="24242B8C" w14:textId="77777777" w:rsidR="00531981" w:rsidRPr="00531981" w:rsidRDefault="00531981" w:rsidP="00531981">
            <w:pPr>
              <w:ind w:hanging="67"/>
              <w:jc w:val="right"/>
              <w:rPr>
                <w:rFonts w:cs="Arial"/>
                <w:sz w:val="17"/>
                <w:szCs w:val="17"/>
              </w:rPr>
            </w:pPr>
            <w:r w:rsidRPr="00531981">
              <w:rPr>
                <w:rFonts w:cs="Arial"/>
                <w:sz w:val="17"/>
                <w:szCs w:val="17"/>
              </w:rPr>
              <w:t>2.488.862.245</w:t>
            </w:r>
          </w:p>
        </w:tc>
        <w:tc>
          <w:tcPr>
            <w:tcW w:w="681" w:type="pct"/>
            <w:tcBorders>
              <w:top w:val="nil"/>
              <w:left w:val="single" w:sz="4" w:space="0" w:color="auto"/>
              <w:bottom w:val="nil"/>
              <w:right w:val="single" w:sz="4" w:space="0" w:color="auto"/>
            </w:tcBorders>
            <w:noWrap/>
            <w:tcMar>
              <w:top w:w="28" w:type="dxa"/>
              <w:bottom w:w="28" w:type="dxa"/>
            </w:tcMar>
            <w:vAlign w:val="center"/>
          </w:tcPr>
          <w:p w14:paraId="1AA763BE" w14:textId="77777777" w:rsidR="00531981" w:rsidRPr="00531981" w:rsidRDefault="00531981" w:rsidP="00531981">
            <w:pPr>
              <w:ind w:left="-70"/>
              <w:jc w:val="right"/>
              <w:rPr>
                <w:rFonts w:cs="Arial"/>
                <w:sz w:val="17"/>
                <w:szCs w:val="17"/>
              </w:rPr>
            </w:pPr>
            <w:r w:rsidRPr="00531981">
              <w:rPr>
                <w:rFonts w:cs="Arial"/>
                <w:color w:val="000000"/>
                <w:sz w:val="17"/>
                <w:szCs w:val="17"/>
              </w:rPr>
              <w:t>2.022.098.959</w:t>
            </w:r>
          </w:p>
        </w:tc>
        <w:tc>
          <w:tcPr>
            <w:tcW w:w="682" w:type="pct"/>
            <w:tcBorders>
              <w:top w:val="nil"/>
              <w:left w:val="single" w:sz="4" w:space="0" w:color="auto"/>
              <w:bottom w:val="nil"/>
              <w:right w:val="single" w:sz="4" w:space="0" w:color="auto"/>
            </w:tcBorders>
            <w:noWrap/>
            <w:tcMar>
              <w:top w:w="28" w:type="dxa"/>
              <w:bottom w:w="28" w:type="dxa"/>
            </w:tcMar>
            <w:vAlign w:val="center"/>
          </w:tcPr>
          <w:p w14:paraId="22AA273F" w14:textId="77777777" w:rsidR="00531981" w:rsidRPr="00531981" w:rsidRDefault="00531981" w:rsidP="00531981">
            <w:pPr>
              <w:ind w:left="-74"/>
              <w:jc w:val="right"/>
              <w:rPr>
                <w:rFonts w:cs="Arial"/>
                <w:sz w:val="17"/>
                <w:szCs w:val="17"/>
              </w:rPr>
            </w:pPr>
            <w:r w:rsidRPr="00531981">
              <w:rPr>
                <w:rFonts w:cs="Arial"/>
                <w:color w:val="000000"/>
                <w:sz w:val="17"/>
                <w:szCs w:val="17"/>
              </w:rPr>
              <w:t>1.911.618.395</w:t>
            </w:r>
          </w:p>
        </w:tc>
        <w:tc>
          <w:tcPr>
            <w:tcW w:w="681" w:type="pct"/>
            <w:tcBorders>
              <w:top w:val="nil"/>
              <w:left w:val="single" w:sz="4" w:space="0" w:color="auto"/>
              <w:bottom w:val="nil"/>
              <w:right w:val="nil"/>
            </w:tcBorders>
            <w:noWrap/>
            <w:tcMar>
              <w:top w:w="28" w:type="dxa"/>
              <w:bottom w:w="28" w:type="dxa"/>
            </w:tcMar>
            <w:vAlign w:val="center"/>
          </w:tcPr>
          <w:p w14:paraId="74B070B4" w14:textId="77777777" w:rsidR="00531981" w:rsidRPr="00531981" w:rsidRDefault="00531981" w:rsidP="00A11652">
            <w:pPr>
              <w:jc w:val="right"/>
              <w:rPr>
                <w:rFonts w:cs="Arial"/>
                <w:sz w:val="17"/>
                <w:szCs w:val="17"/>
              </w:rPr>
            </w:pPr>
            <w:r w:rsidRPr="00531981">
              <w:rPr>
                <w:rFonts w:cs="Arial"/>
                <w:color w:val="000000"/>
                <w:sz w:val="17"/>
                <w:szCs w:val="17"/>
              </w:rPr>
              <w:t>110.480.564</w:t>
            </w:r>
          </w:p>
        </w:tc>
      </w:tr>
      <w:tr w:rsidR="00531981" w:rsidRPr="00531981" w14:paraId="42C85A1A" w14:textId="77777777" w:rsidTr="00A11652">
        <w:trPr>
          <w:trHeight w:val="340"/>
        </w:trPr>
        <w:tc>
          <w:tcPr>
            <w:tcW w:w="1591" w:type="pct"/>
            <w:tcBorders>
              <w:top w:val="nil"/>
              <w:left w:val="nil"/>
              <w:bottom w:val="nil"/>
              <w:right w:val="single" w:sz="4" w:space="0" w:color="auto"/>
            </w:tcBorders>
            <w:noWrap/>
            <w:tcMar>
              <w:top w:w="28" w:type="dxa"/>
              <w:bottom w:w="28" w:type="dxa"/>
            </w:tcMar>
            <w:vAlign w:val="center"/>
            <w:hideMark/>
          </w:tcPr>
          <w:p w14:paraId="56A39750" w14:textId="77777777" w:rsidR="00531981" w:rsidRPr="00531981" w:rsidRDefault="00531981" w:rsidP="00A11652">
            <w:pPr>
              <w:ind w:left="640" w:hanging="640"/>
              <w:jc w:val="left"/>
              <w:rPr>
                <w:rFonts w:cs="Arial"/>
                <w:sz w:val="18"/>
                <w:szCs w:val="18"/>
              </w:rPr>
            </w:pPr>
            <w:r w:rsidRPr="00531981">
              <w:rPr>
                <w:rFonts w:cs="Arial"/>
                <w:sz w:val="18"/>
                <w:szCs w:val="18"/>
              </w:rPr>
              <w:t>Eixo 5 - Goiás do Desenvolvimento Econômico</w:t>
            </w:r>
          </w:p>
        </w:tc>
        <w:tc>
          <w:tcPr>
            <w:tcW w:w="682" w:type="pct"/>
            <w:tcBorders>
              <w:top w:val="nil"/>
              <w:left w:val="single" w:sz="4" w:space="0" w:color="auto"/>
              <w:bottom w:val="nil"/>
              <w:right w:val="single" w:sz="4" w:space="0" w:color="auto"/>
            </w:tcBorders>
            <w:noWrap/>
            <w:tcMar>
              <w:top w:w="28" w:type="dxa"/>
              <w:bottom w:w="28" w:type="dxa"/>
            </w:tcMar>
            <w:vAlign w:val="center"/>
          </w:tcPr>
          <w:p w14:paraId="5CF0BA84" w14:textId="77777777" w:rsidR="00531981" w:rsidRPr="00531981" w:rsidRDefault="00531981" w:rsidP="00531981">
            <w:pPr>
              <w:ind w:left="-65"/>
              <w:jc w:val="right"/>
              <w:rPr>
                <w:rFonts w:cs="Arial"/>
                <w:sz w:val="17"/>
                <w:szCs w:val="17"/>
              </w:rPr>
            </w:pPr>
            <w:r w:rsidRPr="00531981">
              <w:rPr>
                <w:rFonts w:cs="Arial"/>
                <w:sz w:val="17"/>
                <w:szCs w:val="17"/>
              </w:rPr>
              <w:t>376.805.000</w:t>
            </w:r>
          </w:p>
        </w:tc>
        <w:tc>
          <w:tcPr>
            <w:tcW w:w="682" w:type="pct"/>
            <w:tcBorders>
              <w:top w:val="nil"/>
              <w:left w:val="single" w:sz="4" w:space="0" w:color="auto"/>
              <w:bottom w:val="nil"/>
              <w:right w:val="single" w:sz="4" w:space="0" w:color="auto"/>
            </w:tcBorders>
            <w:noWrap/>
            <w:tcMar>
              <w:top w:w="28" w:type="dxa"/>
              <w:bottom w:w="28" w:type="dxa"/>
            </w:tcMar>
            <w:vAlign w:val="center"/>
          </w:tcPr>
          <w:p w14:paraId="1A304DB8" w14:textId="77777777" w:rsidR="00531981" w:rsidRPr="00531981" w:rsidRDefault="00531981" w:rsidP="00531981">
            <w:pPr>
              <w:ind w:hanging="67"/>
              <w:jc w:val="right"/>
              <w:rPr>
                <w:rFonts w:cs="Arial"/>
                <w:sz w:val="17"/>
                <w:szCs w:val="17"/>
              </w:rPr>
            </w:pPr>
            <w:r w:rsidRPr="00531981">
              <w:rPr>
                <w:rFonts w:cs="Arial"/>
                <w:sz w:val="17"/>
                <w:szCs w:val="17"/>
              </w:rPr>
              <w:t>516.799.406</w:t>
            </w:r>
          </w:p>
        </w:tc>
        <w:tc>
          <w:tcPr>
            <w:tcW w:w="681" w:type="pct"/>
            <w:tcBorders>
              <w:top w:val="nil"/>
              <w:left w:val="single" w:sz="4" w:space="0" w:color="auto"/>
              <w:bottom w:val="nil"/>
              <w:right w:val="single" w:sz="4" w:space="0" w:color="auto"/>
            </w:tcBorders>
            <w:noWrap/>
            <w:tcMar>
              <w:top w:w="28" w:type="dxa"/>
              <w:bottom w:w="28" w:type="dxa"/>
            </w:tcMar>
            <w:vAlign w:val="center"/>
          </w:tcPr>
          <w:p w14:paraId="4A2257AC" w14:textId="77777777" w:rsidR="00531981" w:rsidRPr="00531981" w:rsidRDefault="00531981" w:rsidP="00531981">
            <w:pPr>
              <w:ind w:left="-70"/>
              <w:jc w:val="right"/>
              <w:rPr>
                <w:rFonts w:cs="Arial"/>
                <w:sz w:val="17"/>
                <w:szCs w:val="17"/>
              </w:rPr>
            </w:pPr>
            <w:r w:rsidRPr="00531981">
              <w:rPr>
                <w:rFonts w:cs="Arial"/>
                <w:color w:val="000000"/>
                <w:sz w:val="17"/>
                <w:szCs w:val="17"/>
              </w:rPr>
              <w:t>326.269.632</w:t>
            </w:r>
          </w:p>
        </w:tc>
        <w:tc>
          <w:tcPr>
            <w:tcW w:w="682" w:type="pct"/>
            <w:tcBorders>
              <w:top w:val="nil"/>
              <w:left w:val="single" w:sz="4" w:space="0" w:color="auto"/>
              <w:bottom w:val="nil"/>
              <w:right w:val="single" w:sz="4" w:space="0" w:color="auto"/>
            </w:tcBorders>
            <w:noWrap/>
            <w:tcMar>
              <w:top w:w="28" w:type="dxa"/>
              <w:bottom w:w="28" w:type="dxa"/>
            </w:tcMar>
            <w:vAlign w:val="center"/>
          </w:tcPr>
          <w:p w14:paraId="228A346F" w14:textId="77777777" w:rsidR="00531981" w:rsidRPr="00531981" w:rsidRDefault="00531981" w:rsidP="00531981">
            <w:pPr>
              <w:ind w:left="-74"/>
              <w:jc w:val="right"/>
              <w:rPr>
                <w:rFonts w:cs="Arial"/>
                <w:sz w:val="17"/>
                <w:szCs w:val="17"/>
              </w:rPr>
            </w:pPr>
            <w:r w:rsidRPr="00531981">
              <w:rPr>
                <w:rFonts w:cs="Arial"/>
                <w:color w:val="000000"/>
                <w:sz w:val="17"/>
                <w:szCs w:val="17"/>
              </w:rPr>
              <w:t>310.416.888</w:t>
            </w:r>
          </w:p>
        </w:tc>
        <w:tc>
          <w:tcPr>
            <w:tcW w:w="681" w:type="pct"/>
            <w:tcBorders>
              <w:top w:val="nil"/>
              <w:left w:val="single" w:sz="4" w:space="0" w:color="auto"/>
              <w:bottom w:val="nil"/>
              <w:right w:val="nil"/>
            </w:tcBorders>
            <w:noWrap/>
            <w:tcMar>
              <w:top w:w="28" w:type="dxa"/>
              <w:bottom w:w="28" w:type="dxa"/>
            </w:tcMar>
            <w:vAlign w:val="center"/>
          </w:tcPr>
          <w:p w14:paraId="2B0A3CB9" w14:textId="77777777" w:rsidR="00531981" w:rsidRPr="00531981" w:rsidRDefault="00531981" w:rsidP="00A11652">
            <w:pPr>
              <w:jc w:val="right"/>
              <w:rPr>
                <w:rFonts w:cs="Arial"/>
                <w:sz w:val="17"/>
                <w:szCs w:val="17"/>
              </w:rPr>
            </w:pPr>
            <w:r w:rsidRPr="00531981">
              <w:rPr>
                <w:rFonts w:cs="Arial"/>
                <w:color w:val="000000"/>
                <w:sz w:val="17"/>
                <w:szCs w:val="17"/>
              </w:rPr>
              <w:t>15.852.744</w:t>
            </w:r>
          </w:p>
        </w:tc>
      </w:tr>
      <w:tr w:rsidR="00531981" w:rsidRPr="00531981" w14:paraId="4842B8DF" w14:textId="77777777" w:rsidTr="00A11652">
        <w:trPr>
          <w:trHeight w:val="340"/>
        </w:trPr>
        <w:tc>
          <w:tcPr>
            <w:tcW w:w="1591" w:type="pct"/>
            <w:tcBorders>
              <w:top w:val="nil"/>
              <w:left w:val="nil"/>
              <w:bottom w:val="nil"/>
              <w:right w:val="single" w:sz="4" w:space="0" w:color="auto"/>
            </w:tcBorders>
            <w:noWrap/>
            <w:tcMar>
              <w:top w:w="28" w:type="dxa"/>
              <w:bottom w:w="28" w:type="dxa"/>
            </w:tcMar>
            <w:vAlign w:val="center"/>
            <w:hideMark/>
          </w:tcPr>
          <w:p w14:paraId="1B356992" w14:textId="77777777" w:rsidR="00531981" w:rsidRPr="00531981" w:rsidRDefault="00531981" w:rsidP="00A11652">
            <w:pPr>
              <w:ind w:left="640" w:hanging="640"/>
              <w:jc w:val="left"/>
              <w:rPr>
                <w:rFonts w:cs="Arial"/>
                <w:sz w:val="18"/>
                <w:szCs w:val="18"/>
              </w:rPr>
            </w:pPr>
            <w:r w:rsidRPr="00531981">
              <w:rPr>
                <w:rFonts w:cs="Arial"/>
                <w:sz w:val="18"/>
                <w:szCs w:val="18"/>
              </w:rPr>
              <w:t>Eixo 6 - Goiás da Saúde Integral</w:t>
            </w:r>
          </w:p>
        </w:tc>
        <w:tc>
          <w:tcPr>
            <w:tcW w:w="682" w:type="pct"/>
            <w:tcBorders>
              <w:top w:val="nil"/>
              <w:left w:val="single" w:sz="4" w:space="0" w:color="auto"/>
              <w:bottom w:val="nil"/>
              <w:right w:val="single" w:sz="4" w:space="0" w:color="auto"/>
            </w:tcBorders>
            <w:noWrap/>
            <w:tcMar>
              <w:top w:w="28" w:type="dxa"/>
              <w:bottom w:w="28" w:type="dxa"/>
            </w:tcMar>
            <w:vAlign w:val="center"/>
          </w:tcPr>
          <w:p w14:paraId="6B1FBC82" w14:textId="77777777" w:rsidR="00531981" w:rsidRPr="00531981" w:rsidRDefault="00531981" w:rsidP="00531981">
            <w:pPr>
              <w:ind w:left="-65"/>
              <w:jc w:val="right"/>
              <w:rPr>
                <w:rFonts w:cs="Arial"/>
                <w:sz w:val="17"/>
                <w:szCs w:val="17"/>
              </w:rPr>
            </w:pPr>
            <w:r w:rsidRPr="00531981">
              <w:rPr>
                <w:rFonts w:cs="Arial"/>
                <w:sz w:val="17"/>
                <w:szCs w:val="17"/>
              </w:rPr>
              <w:t>3.994.458.000</w:t>
            </w:r>
          </w:p>
        </w:tc>
        <w:tc>
          <w:tcPr>
            <w:tcW w:w="682" w:type="pct"/>
            <w:tcBorders>
              <w:top w:val="nil"/>
              <w:left w:val="single" w:sz="4" w:space="0" w:color="auto"/>
              <w:bottom w:val="nil"/>
              <w:right w:val="single" w:sz="4" w:space="0" w:color="auto"/>
            </w:tcBorders>
            <w:noWrap/>
            <w:tcMar>
              <w:top w:w="28" w:type="dxa"/>
              <w:bottom w:w="28" w:type="dxa"/>
            </w:tcMar>
            <w:vAlign w:val="center"/>
          </w:tcPr>
          <w:p w14:paraId="3B8FC974" w14:textId="77777777" w:rsidR="00531981" w:rsidRPr="00531981" w:rsidRDefault="00531981" w:rsidP="00531981">
            <w:pPr>
              <w:ind w:hanging="67"/>
              <w:jc w:val="right"/>
              <w:rPr>
                <w:rFonts w:cs="Arial"/>
                <w:sz w:val="17"/>
                <w:szCs w:val="17"/>
              </w:rPr>
            </w:pPr>
            <w:r w:rsidRPr="00531981">
              <w:rPr>
                <w:rFonts w:cs="Arial"/>
                <w:sz w:val="17"/>
                <w:szCs w:val="17"/>
              </w:rPr>
              <w:t>4.612.987.928</w:t>
            </w:r>
          </w:p>
        </w:tc>
        <w:tc>
          <w:tcPr>
            <w:tcW w:w="681" w:type="pct"/>
            <w:tcBorders>
              <w:top w:val="nil"/>
              <w:left w:val="single" w:sz="4" w:space="0" w:color="auto"/>
              <w:bottom w:val="nil"/>
              <w:right w:val="single" w:sz="4" w:space="0" w:color="auto"/>
            </w:tcBorders>
            <w:noWrap/>
            <w:tcMar>
              <w:top w:w="28" w:type="dxa"/>
              <w:bottom w:w="28" w:type="dxa"/>
            </w:tcMar>
            <w:vAlign w:val="center"/>
          </w:tcPr>
          <w:p w14:paraId="1630354B" w14:textId="77777777" w:rsidR="00531981" w:rsidRPr="00531981" w:rsidRDefault="00531981" w:rsidP="00531981">
            <w:pPr>
              <w:ind w:left="-70"/>
              <w:jc w:val="right"/>
              <w:rPr>
                <w:rFonts w:cs="Arial"/>
                <w:sz w:val="17"/>
                <w:szCs w:val="17"/>
              </w:rPr>
            </w:pPr>
            <w:r w:rsidRPr="00531981">
              <w:rPr>
                <w:rFonts w:cs="Arial"/>
                <w:color w:val="000000"/>
                <w:sz w:val="17"/>
                <w:szCs w:val="17"/>
              </w:rPr>
              <w:t>4.120.231.163</w:t>
            </w:r>
          </w:p>
        </w:tc>
        <w:tc>
          <w:tcPr>
            <w:tcW w:w="682" w:type="pct"/>
            <w:tcBorders>
              <w:top w:val="nil"/>
              <w:left w:val="single" w:sz="4" w:space="0" w:color="auto"/>
              <w:bottom w:val="nil"/>
              <w:right w:val="single" w:sz="4" w:space="0" w:color="auto"/>
            </w:tcBorders>
            <w:noWrap/>
            <w:tcMar>
              <w:top w:w="28" w:type="dxa"/>
              <w:bottom w:w="28" w:type="dxa"/>
            </w:tcMar>
            <w:vAlign w:val="center"/>
          </w:tcPr>
          <w:p w14:paraId="52794308" w14:textId="77777777" w:rsidR="00531981" w:rsidRPr="00531981" w:rsidRDefault="00531981" w:rsidP="00531981">
            <w:pPr>
              <w:ind w:left="-74"/>
              <w:jc w:val="right"/>
              <w:rPr>
                <w:rFonts w:cs="Arial"/>
                <w:sz w:val="17"/>
                <w:szCs w:val="17"/>
              </w:rPr>
            </w:pPr>
            <w:r w:rsidRPr="00531981">
              <w:rPr>
                <w:rFonts w:cs="Arial"/>
                <w:color w:val="000000"/>
                <w:sz w:val="17"/>
                <w:szCs w:val="17"/>
              </w:rPr>
              <w:t>3.791.094.159</w:t>
            </w:r>
          </w:p>
        </w:tc>
        <w:tc>
          <w:tcPr>
            <w:tcW w:w="681" w:type="pct"/>
            <w:tcBorders>
              <w:top w:val="nil"/>
              <w:left w:val="single" w:sz="4" w:space="0" w:color="auto"/>
              <w:bottom w:val="nil"/>
              <w:right w:val="nil"/>
            </w:tcBorders>
            <w:noWrap/>
            <w:tcMar>
              <w:top w:w="28" w:type="dxa"/>
              <w:bottom w:w="28" w:type="dxa"/>
            </w:tcMar>
            <w:vAlign w:val="center"/>
          </w:tcPr>
          <w:p w14:paraId="110D5A02" w14:textId="77777777" w:rsidR="00531981" w:rsidRPr="00531981" w:rsidRDefault="00531981" w:rsidP="00A11652">
            <w:pPr>
              <w:jc w:val="right"/>
              <w:rPr>
                <w:rFonts w:cs="Arial"/>
                <w:sz w:val="17"/>
                <w:szCs w:val="17"/>
              </w:rPr>
            </w:pPr>
            <w:r w:rsidRPr="00531981">
              <w:rPr>
                <w:rFonts w:cs="Arial"/>
                <w:color w:val="000000"/>
                <w:sz w:val="17"/>
                <w:szCs w:val="17"/>
              </w:rPr>
              <w:t>329.137.004</w:t>
            </w:r>
          </w:p>
        </w:tc>
      </w:tr>
      <w:tr w:rsidR="00531981" w:rsidRPr="00531981" w14:paraId="62DA0CD4" w14:textId="77777777" w:rsidTr="00A11652">
        <w:trPr>
          <w:trHeight w:val="340"/>
        </w:trPr>
        <w:tc>
          <w:tcPr>
            <w:tcW w:w="1591" w:type="pct"/>
            <w:tcBorders>
              <w:top w:val="nil"/>
              <w:left w:val="nil"/>
              <w:bottom w:val="nil"/>
              <w:right w:val="single" w:sz="4" w:space="0" w:color="auto"/>
            </w:tcBorders>
            <w:noWrap/>
            <w:tcMar>
              <w:top w:w="28" w:type="dxa"/>
              <w:bottom w:w="28" w:type="dxa"/>
            </w:tcMar>
            <w:vAlign w:val="center"/>
            <w:hideMark/>
          </w:tcPr>
          <w:p w14:paraId="42BB1B0D" w14:textId="77777777" w:rsidR="00531981" w:rsidRPr="00531981" w:rsidRDefault="00531981" w:rsidP="00A11652">
            <w:pPr>
              <w:ind w:left="640" w:hanging="640"/>
              <w:jc w:val="left"/>
              <w:rPr>
                <w:rFonts w:cs="Arial"/>
                <w:sz w:val="18"/>
                <w:szCs w:val="18"/>
              </w:rPr>
            </w:pPr>
            <w:r w:rsidRPr="00531981">
              <w:rPr>
                <w:rFonts w:cs="Arial"/>
                <w:sz w:val="18"/>
                <w:szCs w:val="18"/>
              </w:rPr>
              <w:t>Eixo 7 - Goiás da Paz</w:t>
            </w:r>
          </w:p>
        </w:tc>
        <w:tc>
          <w:tcPr>
            <w:tcW w:w="682" w:type="pct"/>
            <w:tcBorders>
              <w:top w:val="nil"/>
              <w:left w:val="single" w:sz="4" w:space="0" w:color="auto"/>
              <w:bottom w:val="nil"/>
              <w:right w:val="single" w:sz="4" w:space="0" w:color="auto"/>
            </w:tcBorders>
            <w:noWrap/>
            <w:tcMar>
              <w:top w:w="28" w:type="dxa"/>
              <w:bottom w:w="28" w:type="dxa"/>
            </w:tcMar>
            <w:vAlign w:val="center"/>
          </w:tcPr>
          <w:p w14:paraId="1F09ABF9" w14:textId="77777777" w:rsidR="00531981" w:rsidRPr="00531981" w:rsidRDefault="00531981" w:rsidP="00531981">
            <w:pPr>
              <w:ind w:left="-65"/>
              <w:jc w:val="right"/>
              <w:rPr>
                <w:rFonts w:cs="Arial"/>
                <w:sz w:val="17"/>
                <w:szCs w:val="17"/>
              </w:rPr>
            </w:pPr>
            <w:r w:rsidRPr="00531981">
              <w:rPr>
                <w:rFonts w:cs="Arial"/>
                <w:sz w:val="17"/>
                <w:szCs w:val="17"/>
              </w:rPr>
              <w:t>953.123.000</w:t>
            </w:r>
          </w:p>
        </w:tc>
        <w:tc>
          <w:tcPr>
            <w:tcW w:w="682" w:type="pct"/>
            <w:tcBorders>
              <w:top w:val="nil"/>
              <w:left w:val="single" w:sz="4" w:space="0" w:color="auto"/>
              <w:bottom w:val="nil"/>
              <w:right w:val="single" w:sz="4" w:space="0" w:color="auto"/>
            </w:tcBorders>
            <w:noWrap/>
            <w:tcMar>
              <w:top w:w="28" w:type="dxa"/>
              <w:bottom w:w="28" w:type="dxa"/>
            </w:tcMar>
            <w:vAlign w:val="center"/>
          </w:tcPr>
          <w:p w14:paraId="511738A9" w14:textId="77777777" w:rsidR="00531981" w:rsidRPr="00531981" w:rsidRDefault="00531981" w:rsidP="00531981">
            <w:pPr>
              <w:ind w:hanging="67"/>
              <w:jc w:val="right"/>
              <w:rPr>
                <w:rFonts w:cs="Arial"/>
                <w:sz w:val="17"/>
                <w:szCs w:val="17"/>
              </w:rPr>
            </w:pPr>
            <w:r w:rsidRPr="00531981">
              <w:rPr>
                <w:rFonts w:cs="Arial"/>
                <w:sz w:val="17"/>
                <w:szCs w:val="17"/>
              </w:rPr>
              <w:t>1.187.659.487</w:t>
            </w:r>
          </w:p>
        </w:tc>
        <w:tc>
          <w:tcPr>
            <w:tcW w:w="681" w:type="pct"/>
            <w:tcBorders>
              <w:top w:val="nil"/>
              <w:left w:val="single" w:sz="4" w:space="0" w:color="auto"/>
              <w:bottom w:val="nil"/>
              <w:right w:val="single" w:sz="4" w:space="0" w:color="auto"/>
            </w:tcBorders>
            <w:noWrap/>
            <w:tcMar>
              <w:top w:w="28" w:type="dxa"/>
              <w:bottom w:w="28" w:type="dxa"/>
            </w:tcMar>
            <w:vAlign w:val="center"/>
          </w:tcPr>
          <w:p w14:paraId="02E596FF" w14:textId="77777777" w:rsidR="00531981" w:rsidRPr="00531981" w:rsidRDefault="00531981" w:rsidP="00531981">
            <w:pPr>
              <w:ind w:left="-70"/>
              <w:jc w:val="right"/>
              <w:rPr>
                <w:rFonts w:cs="Arial"/>
                <w:sz w:val="17"/>
                <w:szCs w:val="17"/>
              </w:rPr>
            </w:pPr>
            <w:r w:rsidRPr="00531981">
              <w:rPr>
                <w:rFonts w:cs="Arial"/>
                <w:color w:val="000000"/>
                <w:sz w:val="17"/>
                <w:szCs w:val="17"/>
              </w:rPr>
              <w:t>691.965.481</w:t>
            </w:r>
          </w:p>
        </w:tc>
        <w:tc>
          <w:tcPr>
            <w:tcW w:w="682" w:type="pct"/>
            <w:tcBorders>
              <w:top w:val="nil"/>
              <w:left w:val="single" w:sz="4" w:space="0" w:color="auto"/>
              <w:bottom w:val="nil"/>
              <w:right w:val="single" w:sz="4" w:space="0" w:color="auto"/>
            </w:tcBorders>
            <w:noWrap/>
            <w:tcMar>
              <w:top w:w="28" w:type="dxa"/>
              <w:bottom w:w="28" w:type="dxa"/>
            </w:tcMar>
            <w:vAlign w:val="center"/>
          </w:tcPr>
          <w:p w14:paraId="3CDE61D2" w14:textId="77777777" w:rsidR="00531981" w:rsidRPr="00531981" w:rsidRDefault="00531981" w:rsidP="00531981">
            <w:pPr>
              <w:ind w:left="-74"/>
              <w:jc w:val="right"/>
              <w:rPr>
                <w:rFonts w:cs="Arial"/>
                <w:sz w:val="17"/>
                <w:szCs w:val="17"/>
              </w:rPr>
            </w:pPr>
            <w:r w:rsidRPr="00531981">
              <w:rPr>
                <w:rFonts w:cs="Arial"/>
                <w:color w:val="000000"/>
                <w:sz w:val="17"/>
                <w:szCs w:val="17"/>
              </w:rPr>
              <w:t>492.688.307</w:t>
            </w:r>
          </w:p>
        </w:tc>
        <w:tc>
          <w:tcPr>
            <w:tcW w:w="681" w:type="pct"/>
            <w:tcBorders>
              <w:top w:val="nil"/>
              <w:left w:val="single" w:sz="4" w:space="0" w:color="auto"/>
              <w:bottom w:val="nil"/>
              <w:right w:val="nil"/>
            </w:tcBorders>
            <w:noWrap/>
            <w:tcMar>
              <w:top w:w="28" w:type="dxa"/>
              <w:bottom w:w="28" w:type="dxa"/>
            </w:tcMar>
            <w:vAlign w:val="center"/>
          </w:tcPr>
          <w:p w14:paraId="3A5B7D13" w14:textId="77777777" w:rsidR="00531981" w:rsidRPr="00531981" w:rsidRDefault="00531981" w:rsidP="00A11652">
            <w:pPr>
              <w:jc w:val="right"/>
              <w:rPr>
                <w:rFonts w:cs="Arial"/>
                <w:sz w:val="17"/>
                <w:szCs w:val="17"/>
              </w:rPr>
            </w:pPr>
            <w:r w:rsidRPr="00531981">
              <w:rPr>
                <w:rFonts w:cs="Arial"/>
                <w:color w:val="000000"/>
                <w:sz w:val="17"/>
                <w:szCs w:val="17"/>
              </w:rPr>
              <w:t>199.277.173</w:t>
            </w:r>
          </w:p>
        </w:tc>
      </w:tr>
      <w:tr w:rsidR="00531981" w:rsidRPr="00531981" w14:paraId="3834AA4C" w14:textId="77777777" w:rsidTr="00A11652">
        <w:trPr>
          <w:trHeight w:val="340"/>
        </w:trPr>
        <w:tc>
          <w:tcPr>
            <w:tcW w:w="1591" w:type="pct"/>
            <w:tcBorders>
              <w:top w:val="nil"/>
              <w:left w:val="nil"/>
              <w:bottom w:val="nil"/>
              <w:right w:val="single" w:sz="4" w:space="0" w:color="auto"/>
            </w:tcBorders>
            <w:noWrap/>
            <w:tcMar>
              <w:top w:w="28" w:type="dxa"/>
              <w:bottom w:w="28" w:type="dxa"/>
            </w:tcMar>
            <w:vAlign w:val="center"/>
            <w:hideMark/>
          </w:tcPr>
          <w:p w14:paraId="622B136E" w14:textId="77777777" w:rsidR="00531981" w:rsidRPr="00531981" w:rsidRDefault="00531981" w:rsidP="00A11652">
            <w:pPr>
              <w:ind w:left="640" w:hanging="640"/>
              <w:jc w:val="left"/>
              <w:rPr>
                <w:rFonts w:cs="Arial"/>
                <w:sz w:val="18"/>
                <w:szCs w:val="18"/>
              </w:rPr>
            </w:pPr>
            <w:r w:rsidRPr="00531981">
              <w:rPr>
                <w:rFonts w:cs="Arial"/>
                <w:sz w:val="18"/>
                <w:szCs w:val="18"/>
              </w:rPr>
              <w:t>Eixo 8 - Goiás da Inclusão</w:t>
            </w:r>
          </w:p>
        </w:tc>
        <w:tc>
          <w:tcPr>
            <w:tcW w:w="682" w:type="pct"/>
            <w:tcBorders>
              <w:top w:val="nil"/>
              <w:left w:val="single" w:sz="4" w:space="0" w:color="auto"/>
              <w:bottom w:val="nil"/>
              <w:right w:val="single" w:sz="4" w:space="0" w:color="auto"/>
            </w:tcBorders>
            <w:noWrap/>
            <w:tcMar>
              <w:top w:w="28" w:type="dxa"/>
              <w:bottom w:w="28" w:type="dxa"/>
            </w:tcMar>
            <w:vAlign w:val="center"/>
          </w:tcPr>
          <w:p w14:paraId="29954AD0" w14:textId="77777777" w:rsidR="00531981" w:rsidRPr="00531981" w:rsidRDefault="00531981" w:rsidP="00531981">
            <w:pPr>
              <w:ind w:left="-65"/>
              <w:jc w:val="right"/>
              <w:rPr>
                <w:rFonts w:cs="Arial"/>
                <w:sz w:val="17"/>
                <w:szCs w:val="17"/>
              </w:rPr>
            </w:pPr>
            <w:r w:rsidRPr="00531981">
              <w:rPr>
                <w:rFonts w:cs="Arial"/>
                <w:sz w:val="17"/>
                <w:szCs w:val="17"/>
              </w:rPr>
              <w:t>998.376.000</w:t>
            </w:r>
          </w:p>
        </w:tc>
        <w:tc>
          <w:tcPr>
            <w:tcW w:w="682" w:type="pct"/>
            <w:tcBorders>
              <w:top w:val="nil"/>
              <w:left w:val="single" w:sz="4" w:space="0" w:color="auto"/>
              <w:bottom w:val="nil"/>
              <w:right w:val="single" w:sz="4" w:space="0" w:color="auto"/>
            </w:tcBorders>
            <w:noWrap/>
            <w:tcMar>
              <w:top w:w="28" w:type="dxa"/>
              <w:bottom w:w="28" w:type="dxa"/>
            </w:tcMar>
            <w:vAlign w:val="center"/>
          </w:tcPr>
          <w:p w14:paraId="5F63DDF5" w14:textId="77777777" w:rsidR="00531981" w:rsidRPr="00531981" w:rsidRDefault="00531981" w:rsidP="00531981">
            <w:pPr>
              <w:ind w:hanging="67"/>
              <w:jc w:val="right"/>
              <w:rPr>
                <w:rFonts w:cs="Arial"/>
                <w:sz w:val="17"/>
                <w:szCs w:val="17"/>
              </w:rPr>
            </w:pPr>
            <w:r w:rsidRPr="00531981">
              <w:rPr>
                <w:rFonts w:cs="Arial"/>
                <w:sz w:val="17"/>
                <w:szCs w:val="17"/>
              </w:rPr>
              <w:t>1.786.048.670</w:t>
            </w:r>
          </w:p>
        </w:tc>
        <w:tc>
          <w:tcPr>
            <w:tcW w:w="681" w:type="pct"/>
            <w:tcBorders>
              <w:top w:val="nil"/>
              <w:left w:val="single" w:sz="4" w:space="0" w:color="auto"/>
              <w:bottom w:val="nil"/>
              <w:right w:val="single" w:sz="4" w:space="0" w:color="auto"/>
            </w:tcBorders>
            <w:noWrap/>
            <w:tcMar>
              <w:top w:w="28" w:type="dxa"/>
              <w:bottom w:w="28" w:type="dxa"/>
            </w:tcMar>
            <w:vAlign w:val="center"/>
          </w:tcPr>
          <w:p w14:paraId="1546FC63" w14:textId="77777777" w:rsidR="00531981" w:rsidRPr="00531981" w:rsidRDefault="00531981" w:rsidP="00531981">
            <w:pPr>
              <w:ind w:left="-70"/>
              <w:jc w:val="right"/>
              <w:rPr>
                <w:rFonts w:cs="Arial"/>
                <w:sz w:val="17"/>
                <w:szCs w:val="17"/>
              </w:rPr>
            </w:pPr>
            <w:r w:rsidRPr="00531981">
              <w:rPr>
                <w:rFonts w:cs="Arial"/>
                <w:color w:val="000000"/>
                <w:sz w:val="17"/>
                <w:szCs w:val="17"/>
              </w:rPr>
              <w:t>1.009.061.414</w:t>
            </w:r>
          </w:p>
        </w:tc>
        <w:tc>
          <w:tcPr>
            <w:tcW w:w="682" w:type="pct"/>
            <w:tcBorders>
              <w:top w:val="nil"/>
              <w:left w:val="single" w:sz="4" w:space="0" w:color="auto"/>
              <w:bottom w:val="nil"/>
              <w:right w:val="single" w:sz="4" w:space="0" w:color="auto"/>
            </w:tcBorders>
            <w:noWrap/>
            <w:tcMar>
              <w:top w:w="28" w:type="dxa"/>
              <w:bottom w:w="28" w:type="dxa"/>
            </w:tcMar>
            <w:vAlign w:val="center"/>
          </w:tcPr>
          <w:p w14:paraId="5F4D2985" w14:textId="77777777" w:rsidR="00531981" w:rsidRPr="00531981" w:rsidRDefault="00531981" w:rsidP="00531981">
            <w:pPr>
              <w:ind w:left="-74"/>
              <w:jc w:val="right"/>
              <w:rPr>
                <w:rFonts w:cs="Arial"/>
                <w:sz w:val="17"/>
                <w:szCs w:val="17"/>
              </w:rPr>
            </w:pPr>
            <w:r w:rsidRPr="00531981">
              <w:rPr>
                <w:rFonts w:cs="Arial"/>
                <w:color w:val="000000"/>
                <w:sz w:val="17"/>
                <w:szCs w:val="17"/>
              </w:rPr>
              <w:t>776.189.566</w:t>
            </w:r>
          </w:p>
        </w:tc>
        <w:tc>
          <w:tcPr>
            <w:tcW w:w="681" w:type="pct"/>
            <w:tcBorders>
              <w:top w:val="nil"/>
              <w:left w:val="single" w:sz="4" w:space="0" w:color="auto"/>
              <w:bottom w:val="nil"/>
              <w:right w:val="nil"/>
            </w:tcBorders>
            <w:noWrap/>
            <w:tcMar>
              <w:top w:w="28" w:type="dxa"/>
              <w:bottom w:w="28" w:type="dxa"/>
            </w:tcMar>
            <w:vAlign w:val="center"/>
          </w:tcPr>
          <w:p w14:paraId="2E3EBF11" w14:textId="77777777" w:rsidR="00531981" w:rsidRPr="00531981" w:rsidRDefault="00531981" w:rsidP="00A11652">
            <w:pPr>
              <w:jc w:val="right"/>
              <w:rPr>
                <w:rFonts w:cs="Arial"/>
                <w:sz w:val="17"/>
                <w:szCs w:val="17"/>
              </w:rPr>
            </w:pPr>
            <w:r w:rsidRPr="00531981">
              <w:rPr>
                <w:rFonts w:cs="Arial"/>
                <w:color w:val="000000"/>
                <w:sz w:val="17"/>
                <w:szCs w:val="17"/>
              </w:rPr>
              <w:t>232.871.849</w:t>
            </w:r>
          </w:p>
        </w:tc>
      </w:tr>
      <w:tr w:rsidR="00531981" w:rsidRPr="00531981" w14:paraId="2F31F443" w14:textId="77777777" w:rsidTr="00A11652">
        <w:trPr>
          <w:trHeight w:val="340"/>
        </w:trPr>
        <w:tc>
          <w:tcPr>
            <w:tcW w:w="1591" w:type="pct"/>
            <w:tcBorders>
              <w:top w:val="single" w:sz="4" w:space="0" w:color="auto"/>
              <w:left w:val="nil"/>
              <w:bottom w:val="single" w:sz="4" w:space="0" w:color="23CCE4"/>
              <w:right w:val="single" w:sz="4" w:space="0" w:color="auto"/>
            </w:tcBorders>
            <w:noWrap/>
            <w:tcMar>
              <w:top w:w="28" w:type="dxa"/>
              <w:bottom w:w="28" w:type="dxa"/>
            </w:tcMar>
            <w:vAlign w:val="center"/>
            <w:hideMark/>
          </w:tcPr>
          <w:p w14:paraId="5775E526" w14:textId="77777777" w:rsidR="00531981" w:rsidRPr="00531981" w:rsidRDefault="00531981" w:rsidP="00A11652">
            <w:pPr>
              <w:jc w:val="center"/>
              <w:rPr>
                <w:rFonts w:cs="Arial"/>
                <w:b/>
                <w:bCs/>
                <w:iCs/>
                <w:sz w:val="18"/>
                <w:szCs w:val="18"/>
              </w:rPr>
            </w:pPr>
            <w:r w:rsidRPr="00531981">
              <w:rPr>
                <w:rFonts w:cs="Arial"/>
                <w:b/>
                <w:bCs/>
                <w:iCs/>
                <w:sz w:val="18"/>
                <w:szCs w:val="18"/>
              </w:rPr>
              <w:t>Programas de Gestão e Especiais</w:t>
            </w:r>
          </w:p>
        </w:tc>
        <w:tc>
          <w:tcPr>
            <w:tcW w:w="682" w:type="pct"/>
            <w:tcBorders>
              <w:top w:val="single" w:sz="4" w:space="0" w:color="auto"/>
              <w:left w:val="single" w:sz="4" w:space="0" w:color="auto"/>
              <w:bottom w:val="single" w:sz="4" w:space="0" w:color="23CCE4"/>
              <w:right w:val="single" w:sz="4" w:space="0" w:color="auto"/>
            </w:tcBorders>
            <w:noWrap/>
            <w:tcMar>
              <w:top w:w="28" w:type="dxa"/>
              <w:bottom w:w="28" w:type="dxa"/>
            </w:tcMar>
            <w:vAlign w:val="center"/>
            <w:hideMark/>
          </w:tcPr>
          <w:p w14:paraId="60E4BDD7" w14:textId="77777777" w:rsidR="00531981" w:rsidRPr="00531981" w:rsidRDefault="00531981" w:rsidP="00531981">
            <w:pPr>
              <w:ind w:left="-65"/>
              <w:jc w:val="right"/>
              <w:rPr>
                <w:rFonts w:cs="Arial"/>
                <w:b/>
                <w:bCs/>
                <w:iCs/>
                <w:sz w:val="17"/>
                <w:szCs w:val="17"/>
              </w:rPr>
            </w:pPr>
            <w:r w:rsidRPr="00531981">
              <w:rPr>
                <w:rFonts w:cs="Arial"/>
                <w:b/>
                <w:bCs/>
                <w:iCs/>
                <w:sz w:val="17"/>
                <w:szCs w:val="17"/>
              </w:rPr>
              <w:t>26.083.249.000</w:t>
            </w:r>
          </w:p>
        </w:tc>
        <w:tc>
          <w:tcPr>
            <w:tcW w:w="682" w:type="pct"/>
            <w:tcBorders>
              <w:top w:val="single" w:sz="4" w:space="0" w:color="auto"/>
              <w:left w:val="single" w:sz="4" w:space="0" w:color="auto"/>
              <w:bottom w:val="single" w:sz="4" w:space="0" w:color="23CCE4"/>
              <w:right w:val="single" w:sz="4" w:space="0" w:color="auto"/>
            </w:tcBorders>
            <w:noWrap/>
            <w:tcMar>
              <w:top w:w="28" w:type="dxa"/>
              <w:bottom w:w="28" w:type="dxa"/>
            </w:tcMar>
            <w:vAlign w:val="center"/>
            <w:hideMark/>
          </w:tcPr>
          <w:p w14:paraId="4253D58B" w14:textId="77777777" w:rsidR="00531981" w:rsidRPr="00531981" w:rsidRDefault="00531981" w:rsidP="00531981">
            <w:pPr>
              <w:ind w:hanging="67"/>
              <w:jc w:val="right"/>
              <w:rPr>
                <w:rFonts w:cs="Arial"/>
                <w:b/>
                <w:bCs/>
                <w:iCs/>
                <w:sz w:val="17"/>
                <w:szCs w:val="17"/>
              </w:rPr>
            </w:pPr>
            <w:r w:rsidRPr="00531981">
              <w:rPr>
                <w:rFonts w:cs="Arial"/>
                <w:b/>
                <w:bCs/>
                <w:iCs/>
                <w:sz w:val="17"/>
                <w:szCs w:val="17"/>
              </w:rPr>
              <w:t>30.057.363.573</w:t>
            </w:r>
          </w:p>
        </w:tc>
        <w:tc>
          <w:tcPr>
            <w:tcW w:w="681" w:type="pct"/>
            <w:tcBorders>
              <w:top w:val="single" w:sz="4" w:space="0" w:color="auto"/>
              <w:left w:val="single" w:sz="4" w:space="0" w:color="auto"/>
              <w:bottom w:val="single" w:sz="4" w:space="0" w:color="23CCE4"/>
              <w:right w:val="single" w:sz="4" w:space="0" w:color="auto"/>
            </w:tcBorders>
            <w:noWrap/>
            <w:tcMar>
              <w:top w:w="28" w:type="dxa"/>
              <w:bottom w:w="28" w:type="dxa"/>
            </w:tcMar>
            <w:vAlign w:val="center"/>
            <w:hideMark/>
          </w:tcPr>
          <w:p w14:paraId="253419AD" w14:textId="77777777" w:rsidR="00531981" w:rsidRPr="00531981" w:rsidRDefault="00531981" w:rsidP="00531981">
            <w:pPr>
              <w:ind w:left="-70"/>
              <w:jc w:val="right"/>
              <w:rPr>
                <w:rFonts w:cs="Arial"/>
                <w:b/>
                <w:bCs/>
                <w:iCs/>
                <w:sz w:val="17"/>
                <w:szCs w:val="17"/>
              </w:rPr>
            </w:pPr>
            <w:r w:rsidRPr="00531981">
              <w:rPr>
                <w:rFonts w:cs="Arial"/>
                <w:b/>
                <w:bCs/>
                <w:color w:val="000000"/>
                <w:sz w:val="17"/>
                <w:szCs w:val="17"/>
              </w:rPr>
              <w:t>28.367.458.279</w:t>
            </w:r>
          </w:p>
        </w:tc>
        <w:tc>
          <w:tcPr>
            <w:tcW w:w="682" w:type="pct"/>
            <w:tcBorders>
              <w:top w:val="single" w:sz="4" w:space="0" w:color="auto"/>
              <w:left w:val="single" w:sz="4" w:space="0" w:color="auto"/>
              <w:bottom w:val="single" w:sz="4" w:space="0" w:color="23CCE4"/>
              <w:right w:val="single" w:sz="4" w:space="0" w:color="auto"/>
            </w:tcBorders>
            <w:noWrap/>
            <w:tcMar>
              <w:top w:w="28" w:type="dxa"/>
              <w:bottom w:w="28" w:type="dxa"/>
            </w:tcMar>
            <w:vAlign w:val="center"/>
          </w:tcPr>
          <w:p w14:paraId="5AC9D611" w14:textId="77777777" w:rsidR="00531981" w:rsidRPr="00531981" w:rsidRDefault="00531981" w:rsidP="00531981">
            <w:pPr>
              <w:ind w:left="-74"/>
              <w:jc w:val="right"/>
              <w:rPr>
                <w:rFonts w:cs="Arial"/>
                <w:b/>
                <w:bCs/>
                <w:iCs/>
                <w:sz w:val="17"/>
                <w:szCs w:val="17"/>
              </w:rPr>
            </w:pPr>
            <w:r w:rsidRPr="00531981">
              <w:rPr>
                <w:rFonts w:cs="Arial"/>
                <w:b/>
                <w:bCs/>
                <w:color w:val="000000"/>
                <w:sz w:val="17"/>
                <w:szCs w:val="17"/>
              </w:rPr>
              <w:t>28.136.340.477</w:t>
            </w:r>
          </w:p>
        </w:tc>
        <w:tc>
          <w:tcPr>
            <w:tcW w:w="681" w:type="pct"/>
            <w:tcBorders>
              <w:top w:val="single" w:sz="4" w:space="0" w:color="auto"/>
              <w:left w:val="single" w:sz="4" w:space="0" w:color="auto"/>
              <w:bottom w:val="single" w:sz="4" w:space="0" w:color="23CCE4"/>
              <w:right w:val="nil"/>
            </w:tcBorders>
            <w:noWrap/>
            <w:tcMar>
              <w:top w:w="28" w:type="dxa"/>
              <w:bottom w:w="28" w:type="dxa"/>
            </w:tcMar>
            <w:vAlign w:val="center"/>
          </w:tcPr>
          <w:p w14:paraId="0C262A50" w14:textId="77777777" w:rsidR="00531981" w:rsidRPr="00531981" w:rsidRDefault="00531981" w:rsidP="00A11652">
            <w:pPr>
              <w:jc w:val="right"/>
              <w:rPr>
                <w:rFonts w:cs="Arial"/>
                <w:b/>
                <w:bCs/>
                <w:iCs/>
                <w:sz w:val="17"/>
                <w:szCs w:val="17"/>
              </w:rPr>
            </w:pPr>
            <w:r w:rsidRPr="00531981">
              <w:rPr>
                <w:rFonts w:cs="Arial"/>
                <w:b/>
                <w:bCs/>
                <w:color w:val="000000"/>
                <w:sz w:val="17"/>
                <w:szCs w:val="17"/>
              </w:rPr>
              <w:t>231.117.802</w:t>
            </w:r>
          </w:p>
        </w:tc>
      </w:tr>
      <w:tr w:rsidR="00531981" w:rsidRPr="00531981" w14:paraId="1CD705BE" w14:textId="77777777" w:rsidTr="00A11652">
        <w:trPr>
          <w:trHeight w:val="340"/>
        </w:trPr>
        <w:tc>
          <w:tcPr>
            <w:tcW w:w="1591" w:type="pct"/>
            <w:tcBorders>
              <w:top w:val="nil"/>
              <w:left w:val="nil"/>
              <w:bottom w:val="nil"/>
              <w:right w:val="single" w:sz="4" w:space="0" w:color="auto"/>
            </w:tcBorders>
            <w:noWrap/>
            <w:tcMar>
              <w:top w:w="28" w:type="dxa"/>
              <w:bottom w:w="28" w:type="dxa"/>
            </w:tcMar>
            <w:vAlign w:val="center"/>
            <w:hideMark/>
          </w:tcPr>
          <w:p w14:paraId="2A7486D5" w14:textId="77777777" w:rsidR="00531981" w:rsidRPr="00531981" w:rsidRDefault="00531981" w:rsidP="00A11652">
            <w:pPr>
              <w:jc w:val="left"/>
              <w:rPr>
                <w:rFonts w:cs="Arial"/>
                <w:sz w:val="18"/>
                <w:szCs w:val="18"/>
              </w:rPr>
            </w:pPr>
            <w:r w:rsidRPr="00531981">
              <w:rPr>
                <w:rFonts w:cs="Arial"/>
                <w:sz w:val="18"/>
                <w:szCs w:val="18"/>
              </w:rPr>
              <w:t>Programas Administrativos</w:t>
            </w:r>
          </w:p>
        </w:tc>
        <w:tc>
          <w:tcPr>
            <w:tcW w:w="682" w:type="pct"/>
            <w:tcBorders>
              <w:top w:val="nil"/>
              <w:left w:val="single" w:sz="4" w:space="0" w:color="auto"/>
              <w:bottom w:val="nil"/>
              <w:right w:val="single" w:sz="4" w:space="0" w:color="auto"/>
            </w:tcBorders>
            <w:noWrap/>
            <w:tcMar>
              <w:top w:w="28" w:type="dxa"/>
              <w:bottom w:w="28" w:type="dxa"/>
            </w:tcMar>
            <w:vAlign w:val="center"/>
          </w:tcPr>
          <w:p w14:paraId="536560B6" w14:textId="77777777" w:rsidR="00531981" w:rsidRPr="00531981" w:rsidRDefault="00531981" w:rsidP="00531981">
            <w:pPr>
              <w:ind w:left="-65"/>
              <w:jc w:val="right"/>
              <w:rPr>
                <w:rFonts w:cs="Arial"/>
                <w:sz w:val="17"/>
                <w:szCs w:val="17"/>
              </w:rPr>
            </w:pPr>
            <w:r w:rsidRPr="00531981">
              <w:rPr>
                <w:rFonts w:cs="Arial"/>
                <w:sz w:val="17"/>
                <w:szCs w:val="17"/>
              </w:rPr>
              <w:t>16.430.000.000</w:t>
            </w:r>
          </w:p>
        </w:tc>
        <w:tc>
          <w:tcPr>
            <w:tcW w:w="682" w:type="pct"/>
            <w:tcBorders>
              <w:top w:val="nil"/>
              <w:left w:val="single" w:sz="4" w:space="0" w:color="auto"/>
              <w:bottom w:val="nil"/>
              <w:right w:val="single" w:sz="4" w:space="0" w:color="auto"/>
            </w:tcBorders>
            <w:noWrap/>
            <w:tcMar>
              <w:top w:w="28" w:type="dxa"/>
              <w:bottom w:w="28" w:type="dxa"/>
            </w:tcMar>
            <w:vAlign w:val="center"/>
          </w:tcPr>
          <w:p w14:paraId="733BFCF5" w14:textId="77777777" w:rsidR="00531981" w:rsidRPr="00531981" w:rsidRDefault="00531981" w:rsidP="00531981">
            <w:pPr>
              <w:ind w:hanging="67"/>
              <w:jc w:val="right"/>
              <w:rPr>
                <w:rFonts w:cs="Arial"/>
                <w:sz w:val="17"/>
                <w:szCs w:val="17"/>
              </w:rPr>
            </w:pPr>
            <w:r w:rsidRPr="00531981">
              <w:rPr>
                <w:rFonts w:cs="Arial"/>
                <w:sz w:val="17"/>
                <w:szCs w:val="17"/>
              </w:rPr>
              <w:t>18.185.893.248</w:t>
            </w:r>
          </w:p>
        </w:tc>
        <w:tc>
          <w:tcPr>
            <w:tcW w:w="681" w:type="pct"/>
            <w:tcBorders>
              <w:top w:val="nil"/>
              <w:left w:val="single" w:sz="4" w:space="0" w:color="auto"/>
              <w:bottom w:val="nil"/>
              <w:right w:val="single" w:sz="4" w:space="0" w:color="auto"/>
            </w:tcBorders>
            <w:noWrap/>
            <w:tcMar>
              <w:top w:w="28" w:type="dxa"/>
              <w:bottom w:w="28" w:type="dxa"/>
            </w:tcMar>
            <w:vAlign w:val="center"/>
          </w:tcPr>
          <w:p w14:paraId="5F6430D9" w14:textId="77777777" w:rsidR="00531981" w:rsidRPr="00531981" w:rsidRDefault="00531981" w:rsidP="00531981">
            <w:pPr>
              <w:ind w:left="-70"/>
              <w:jc w:val="right"/>
              <w:rPr>
                <w:rFonts w:cs="Arial"/>
                <w:sz w:val="17"/>
                <w:szCs w:val="17"/>
              </w:rPr>
            </w:pPr>
            <w:r w:rsidRPr="00531981">
              <w:rPr>
                <w:rFonts w:cs="Arial"/>
                <w:color w:val="000000"/>
                <w:sz w:val="17"/>
                <w:szCs w:val="17"/>
              </w:rPr>
              <w:t>16.998.414.839</w:t>
            </w:r>
          </w:p>
        </w:tc>
        <w:tc>
          <w:tcPr>
            <w:tcW w:w="682" w:type="pct"/>
            <w:tcBorders>
              <w:top w:val="nil"/>
              <w:left w:val="single" w:sz="4" w:space="0" w:color="auto"/>
              <w:bottom w:val="nil"/>
              <w:right w:val="single" w:sz="4" w:space="0" w:color="auto"/>
            </w:tcBorders>
            <w:noWrap/>
            <w:tcMar>
              <w:top w:w="28" w:type="dxa"/>
              <w:bottom w:w="28" w:type="dxa"/>
            </w:tcMar>
            <w:vAlign w:val="center"/>
          </w:tcPr>
          <w:p w14:paraId="21B2D9C3" w14:textId="77777777" w:rsidR="00531981" w:rsidRPr="00531981" w:rsidRDefault="00531981" w:rsidP="00531981">
            <w:pPr>
              <w:ind w:left="-74"/>
              <w:jc w:val="right"/>
              <w:rPr>
                <w:rFonts w:cs="Arial"/>
                <w:sz w:val="17"/>
                <w:szCs w:val="17"/>
              </w:rPr>
            </w:pPr>
            <w:r w:rsidRPr="00531981">
              <w:rPr>
                <w:rFonts w:cs="Arial"/>
                <w:color w:val="000000"/>
                <w:sz w:val="17"/>
                <w:szCs w:val="17"/>
              </w:rPr>
              <w:t>16.797.045.429</w:t>
            </w:r>
          </w:p>
        </w:tc>
        <w:tc>
          <w:tcPr>
            <w:tcW w:w="681" w:type="pct"/>
            <w:tcBorders>
              <w:top w:val="nil"/>
              <w:left w:val="single" w:sz="4" w:space="0" w:color="auto"/>
              <w:bottom w:val="nil"/>
              <w:right w:val="nil"/>
            </w:tcBorders>
            <w:noWrap/>
            <w:tcMar>
              <w:top w:w="28" w:type="dxa"/>
              <w:bottom w:w="28" w:type="dxa"/>
            </w:tcMar>
            <w:vAlign w:val="center"/>
          </w:tcPr>
          <w:p w14:paraId="6558DB04" w14:textId="77777777" w:rsidR="00531981" w:rsidRPr="00531981" w:rsidRDefault="00531981" w:rsidP="00A11652">
            <w:pPr>
              <w:jc w:val="right"/>
              <w:rPr>
                <w:rFonts w:cs="Arial"/>
                <w:sz w:val="17"/>
                <w:szCs w:val="17"/>
              </w:rPr>
            </w:pPr>
            <w:r w:rsidRPr="00531981">
              <w:rPr>
                <w:rFonts w:cs="Arial"/>
                <w:color w:val="000000"/>
                <w:sz w:val="17"/>
                <w:szCs w:val="17"/>
              </w:rPr>
              <w:t>201.369.410</w:t>
            </w:r>
          </w:p>
        </w:tc>
      </w:tr>
      <w:tr w:rsidR="00531981" w:rsidRPr="00531981" w14:paraId="1FF62D7D" w14:textId="77777777" w:rsidTr="00A11652">
        <w:trPr>
          <w:trHeight w:val="340"/>
        </w:trPr>
        <w:tc>
          <w:tcPr>
            <w:tcW w:w="1591" w:type="pct"/>
            <w:tcBorders>
              <w:top w:val="nil"/>
              <w:left w:val="nil"/>
              <w:bottom w:val="single" w:sz="4" w:space="0" w:color="auto"/>
              <w:right w:val="single" w:sz="4" w:space="0" w:color="auto"/>
            </w:tcBorders>
            <w:noWrap/>
            <w:tcMar>
              <w:top w:w="28" w:type="dxa"/>
              <w:bottom w:w="28" w:type="dxa"/>
            </w:tcMar>
            <w:vAlign w:val="center"/>
            <w:hideMark/>
          </w:tcPr>
          <w:p w14:paraId="000402F9" w14:textId="77777777" w:rsidR="00531981" w:rsidRPr="00531981" w:rsidRDefault="00531981" w:rsidP="00A11652">
            <w:pPr>
              <w:jc w:val="left"/>
              <w:rPr>
                <w:rFonts w:cs="Arial"/>
                <w:sz w:val="18"/>
                <w:szCs w:val="18"/>
              </w:rPr>
            </w:pPr>
            <w:r w:rsidRPr="00531981">
              <w:rPr>
                <w:rFonts w:cs="Arial"/>
                <w:sz w:val="18"/>
                <w:szCs w:val="18"/>
              </w:rPr>
              <w:t>Encargos Especiais</w:t>
            </w:r>
          </w:p>
        </w:tc>
        <w:tc>
          <w:tcPr>
            <w:tcW w:w="682" w:type="pct"/>
            <w:tcBorders>
              <w:top w:val="nil"/>
              <w:left w:val="single" w:sz="4" w:space="0" w:color="auto"/>
              <w:bottom w:val="single" w:sz="4" w:space="0" w:color="auto"/>
              <w:right w:val="single" w:sz="4" w:space="0" w:color="auto"/>
            </w:tcBorders>
            <w:noWrap/>
            <w:tcMar>
              <w:top w:w="28" w:type="dxa"/>
              <w:bottom w:w="28" w:type="dxa"/>
            </w:tcMar>
            <w:vAlign w:val="center"/>
            <w:hideMark/>
          </w:tcPr>
          <w:p w14:paraId="34F2BFBB" w14:textId="77777777" w:rsidR="00531981" w:rsidRPr="00531981" w:rsidRDefault="00531981" w:rsidP="00531981">
            <w:pPr>
              <w:ind w:left="-65"/>
              <w:jc w:val="right"/>
              <w:rPr>
                <w:rFonts w:cs="Arial"/>
                <w:sz w:val="17"/>
                <w:szCs w:val="17"/>
              </w:rPr>
            </w:pPr>
            <w:r w:rsidRPr="00531981">
              <w:rPr>
                <w:rFonts w:cs="Arial"/>
                <w:sz w:val="17"/>
                <w:szCs w:val="17"/>
              </w:rPr>
              <w:t>9.653.249.000</w:t>
            </w:r>
          </w:p>
        </w:tc>
        <w:tc>
          <w:tcPr>
            <w:tcW w:w="682" w:type="pct"/>
            <w:tcBorders>
              <w:top w:val="nil"/>
              <w:left w:val="single" w:sz="4" w:space="0" w:color="auto"/>
              <w:bottom w:val="single" w:sz="4" w:space="0" w:color="auto"/>
              <w:right w:val="single" w:sz="4" w:space="0" w:color="auto"/>
            </w:tcBorders>
            <w:noWrap/>
            <w:tcMar>
              <w:top w:w="28" w:type="dxa"/>
              <w:bottom w:w="28" w:type="dxa"/>
            </w:tcMar>
            <w:vAlign w:val="center"/>
          </w:tcPr>
          <w:p w14:paraId="5FB24864" w14:textId="77777777" w:rsidR="00531981" w:rsidRPr="00531981" w:rsidRDefault="00531981" w:rsidP="00531981">
            <w:pPr>
              <w:ind w:hanging="67"/>
              <w:jc w:val="right"/>
              <w:rPr>
                <w:rFonts w:cs="Arial"/>
                <w:sz w:val="17"/>
                <w:szCs w:val="17"/>
              </w:rPr>
            </w:pPr>
            <w:r w:rsidRPr="00531981">
              <w:rPr>
                <w:rFonts w:cs="Arial"/>
                <w:sz w:val="17"/>
                <w:szCs w:val="17"/>
              </w:rPr>
              <w:t>11.871.470.325</w:t>
            </w:r>
          </w:p>
        </w:tc>
        <w:tc>
          <w:tcPr>
            <w:tcW w:w="681" w:type="pct"/>
            <w:tcBorders>
              <w:top w:val="nil"/>
              <w:left w:val="single" w:sz="4" w:space="0" w:color="auto"/>
              <w:bottom w:val="single" w:sz="4" w:space="0" w:color="auto"/>
              <w:right w:val="single" w:sz="4" w:space="0" w:color="auto"/>
            </w:tcBorders>
            <w:noWrap/>
            <w:tcMar>
              <w:top w:w="28" w:type="dxa"/>
              <w:bottom w:w="28" w:type="dxa"/>
            </w:tcMar>
            <w:vAlign w:val="center"/>
          </w:tcPr>
          <w:p w14:paraId="55901BBA" w14:textId="77777777" w:rsidR="00531981" w:rsidRPr="00531981" w:rsidRDefault="00531981" w:rsidP="00531981">
            <w:pPr>
              <w:ind w:left="-70"/>
              <w:jc w:val="right"/>
              <w:rPr>
                <w:rFonts w:cs="Arial"/>
                <w:sz w:val="17"/>
                <w:szCs w:val="17"/>
              </w:rPr>
            </w:pPr>
            <w:r w:rsidRPr="00531981">
              <w:rPr>
                <w:rFonts w:cs="Arial"/>
                <w:color w:val="000000"/>
                <w:sz w:val="17"/>
                <w:szCs w:val="17"/>
              </w:rPr>
              <w:t>11.369.043.440</w:t>
            </w:r>
          </w:p>
        </w:tc>
        <w:tc>
          <w:tcPr>
            <w:tcW w:w="682" w:type="pct"/>
            <w:tcBorders>
              <w:top w:val="nil"/>
              <w:left w:val="single" w:sz="4" w:space="0" w:color="auto"/>
              <w:bottom w:val="single" w:sz="4" w:space="0" w:color="auto"/>
              <w:right w:val="single" w:sz="4" w:space="0" w:color="auto"/>
            </w:tcBorders>
            <w:noWrap/>
            <w:tcMar>
              <w:top w:w="28" w:type="dxa"/>
              <w:bottom w:w="28" w:type="dxa"/>
            </w:tcMar>
            <w:vAlign w:val="center"/>
          </w:tcPr>
          <w:p w14:paraId="1484863D" w14:textId="77777777" w:rsidR="00531981" w:rsidRPr="00531981" w:rsidRDefault="00531981" w:rsidP="00531981">
            <w:pPr>
              <w:ind w:left="-74"/>
              <w:jc w:val="right"/>
              <w:rPr>
                <w:rFonts w:cs="Arial"/>
                <w:sz w:val="17"/>
                <w:szCs w:val="17"/>
              </w:rPr>
            </w:pPr>
            <w:r w:rsidRPr="00531981">
              <w:rPr>
                <w:rFonts w:cs="Arial"/>
                <w:color w:val="000000"/>
                <w:sz w:val="17"/>
                <w:szCs w:val="17"/>
              </w:rPr>
              <w:t>11.339.295.048</w:t>
            </w:r>
          </w:p>
        </w:tc>
        <w:tc>
          <w:tcPr>
            <w:tcW w:w="681" w:type="pct"/>
            <w:tcBorders>
              <w:top w:val="nil"/>
              <w:left w:val="single" w:sz="4" w:space="0" w:color="auto"/>
              <w:bottom w:val="single" w:sz="4" w:space="0" w:color="auto"/>
              <w:right w:val="nil"/>
            </w:tcBorders>
            <w:noWrap/>
            <w:tcMar>
              <w:top w:w="28" w:type="dxa"/>
              <w:bottom w:w="28" w:type="dxa"/>
            </w:tcMar>
            <w:vAlign w:val="center"/>
          </w:tcPr>
          <w:p w14:paraId="3B1E9991" w14:textId="77777777" w:rsidR="00531981" w:rsidRPr="00531981" w:rsidRDefault="00531981" w:rsidP="00A11652">
            <w:pPr>
              <w:jc w:val="right"/>
              <w:rPr>
                <w:rFonts w:cs="Arial"/>
                <w:sz w:val="17"/>
                <w:szCs w:val="17"/>
              </w:rPr>
            </w:pPr>
            <w:r w:rsidRPr="00531981">
              <w:rPr>
                <w:rFonts w:cs="Arial"/>
                <w:color w:val="000000"/>
                <w:sz w:val="17"/>
                <w:szCs w:val="17"/>
              </w:rPr>
              <w:t>29.748.392</w:t>
            </w:r>
          </w:p>
        </w:tc>
      </w:tr>
      <w:tr w:rsidR="00531981" w:rsidRPr="00531981" w14:paraId="6032FE1A" w14:textId="77777777" w:rsidTr="00A11652">
        <w:trPr>
          <w:trHeight w:val="340"/>
        </w:trPr>
        <w:tc>
          <w:tcPr>
            <w:tcW w:w="1591" w:type="pct"/>
            <w:tcBorders>
              <w:top w:val="single" w:sz="4" w:space="0" w:color="auto"/>
              <w:left w:val="nil"/>
              <w:bottom w:val="single" w:sz="4" w:space="0" w:color="auto"/>
              <w:right w:val="single" w:sz="4" w:space="0" w:color="auto"/>
            </w:tcBorders>
            <w:noWrap/>
            <w:tcMar>
              <w:top w:w="28" w:type="dxa"/>
              <w:bottom w:w="28" w:type="dxa"/>
            </w:tcMar>
            <w:vAlign w:val="center"/>
            <w:hideMark/>
          </w:tcPr>
          <w:p w14:paraId="423BD7C5" w14:textId="77777777" w:rsidR="00531981" w:rsidRPr="00531981" w:rsidRDefault="00531981" w:rsidP="00A11652">
            <w:pPr>
              <w:jc w:val="center"/>
              <w:rPr>
                <w:rFonts w:cs="Arial"/>
                <w:b/>
                <w:bCs/>
                <w:iCs/>
                <w:sz w:val="18"/>
                <w:szCs w:val="18"/>
              </w:rPr>
            </w:pPr>
            <w:r w:rsidRPr="00531981">
              <w:rPr>
                <w:rFonts w:cs="Arial"/>
                <w:b/>
                <w:bCs/>
                <w:iCs/>
                <w:sz w:val="18"/>
                <w:szCs w:val="18"/>
              </w:rPr>
              <w:t>Reservas Estaduais</w:t>
            </w:r>
          </w:p>
        </w:tc>
        <w:tc>
          <w:tcPr>
            <w:tcW w:w="68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hideMark/>
          </w:tcPr>
          <w:p w14:paraId="0CD185B9" w14:textId="77777777" w:rsidR="00531981" w:rsidRPr="00531981" w:rsidRDefault="00531981" w:rsidP="00A11652">
            <w:pPr>
              <w:ind w:left="-65"/>
              <w:jc w:val="right"/>
              <w:rPr>
                <w:rFonts w:cs="Arial"/>
                <w:b/>
                <w:bCs/>
                <w:iCs/>
                <w:sz w:val="17"/>
                <w:szCs w:val="17"/>
              </w:rPr>
            </w:pPr>
            <w:r w:rsidRPr="00531981">
              <w:rPr>
                <w:rFonts w:cs="Arial"/>
                <w:b/>
                <w:bCs/>
                <w:iCs/>
                <w:sz w:val="17"/>
                <w:szCs w:val="17"/>
              </w:rPr>
              <w:t>2.013.989.000</w:t>
            </w:r>
          </w:p>
        </w:tc>
        <w:tc>
          <w:tcPr>
            <w:tcW w:w="68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hideMark/>
          </w:tcPr>
          <w:p w14:paraId="5D03C5EC" w14:textId="77777777" w:rsidR="00531981" w:rsidRPr="00531981" w:rsidRDefault="00531981" w:rsidP="00A11652">
            <w:pPr>
              <w:ind w:hanging="67"/>
              <w:jc w:val="right"/>
              <w:rPr>
                <w:rFonts w:cs="Arial"/>
                <w:b/>
                <w:bCs/>
                <w:iCs/>
                <w:sz w:val="17"/>
                <w:szCs w:val="17"/>
              </w:rPr>
            </w:pPr>
            <w:r w:rsidRPr="00531981">
              <w:rPr>
                <w:rFonts w:cs="Arial"/>
                <w:b/>
                <w:bCs/>
                <w:iCs/>
                <w:sz w:val="17"/>
                <w:szCs w:val="17"/>
              </w:rPr>
              <w:t>1.346.258.729</w:t>
            </w:r>
          </w:p>
        </w:tc>
        <w:tc>
          <w:tcPr>
            <w:tcW w:w="68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hideMark/>
          </w:tcPr>
          <w:p w14:paraId="74CCE604" w14:textId="77777777" w:rsidR="00531981" w:rsidRPr="00531981" w:rsidRDefault="00531981" w:rsidP="00A11652">
            <w:pPr>
              <w:ind w:left="-70"/>
              <w:jc w:val="right"/>
              <w:rPr>
                <w:rFonts w:cs="Arial"/>
                <w:b/>
                <w:bCs/>
                <w:iCs/>
                <w:sz w:val="17"/>
                <w:szCs w:val="17"/>
              </w:rPr>
            </w:pPr>
            <w:r w:rsidRPr="00531981">
              <w:rPr>
                <w:rFonts w:cs="Arial"/>
                <w:b/>
                <w:bCs/>
                <w:iCs/>
                <w:sz w:val="17"/>
                <w:szCs w:val="17"/>
              </w:rPr>
              <w:t>-</w:t>
            </w:r>
          </w:p>
        </w:tc>
        <w:tc>
          <w:tcPr>
            <w:tcW w:w="68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hideMark/>
          </w:tcPr>
          <w:p w14:paraId="73A12E3F" w14:textId="77777777" w:rsidR="00531981" w:rsidRPr="00531981" w:rsidRDefault="00531981" w:rsidP="00A11652">
            <w:pPr>
              <w:ind w:left="-74"/>
              <w:jc w:val="right"/>
              <w:rPr>
                <w:rFonts w:cs="Arial"/>
                <w:b/>
                <w:bCs/>
                <w:iCs/>
                <w:sz w:val="17"/>
                <w:szCs w:val="17"/>
              </w:rPr>
            </w:pPr>
            <w:r w:rsidRPr="00531981">
              <w:rPr>
                <w:rFonts w:cs="Arial"/>
                <w:b/>
                <w:bCs/>
                <w:iCs/>
                <w:sz w:val="17"/>
                <w:szCs w:val="17"/>
              </w:rPr>
              <w:t>-</w:t>
            </w:r>
          </w:p>
        </w:tc>
        <w:tc>
          <w:tcPr>
            <w:tcW w:w="681" w:type="pct"/>
            <w:tcBorders>
              <w:top w:val="single" w:sz="4" w:space="0" w:color="auto"/>
              <w:left w:val="single" w:sz="4" w:space="0" w:color="auto"/>
              <w:bottom w:val="single" w:sz="4" w:space="0" w:color="auto"/>
              <w:right w:val="nil"/>
            </w:tcBorders>
            <w:noWrap/>
            <w:tcMar>
              <w:top w:w="28" w:type="dxa"/>
              <w:bottom w:w="28" w:type="dxa"/>
            </w:tcMar>
            <w:vAlign w:val="center"/>
            <w:hideMark/>
          </w:tcPr>
          <w:p w14:paraId="09781E67" w14:textId="77777777" w:rsidR="00531981" w:rsidRPr="00531981" w:rsidRDefault="00531981" w:rsidP="00A11652">
            <w:pPr>
              <w:jc w:val="right"/>
              <w:rPr>
                <w:rFonts w:cs="Arial"/>
                <w:b/>
                <w:bCs/>
                <w:iCs/>
                <w:sz w:val="17"/>
                <w:szCs w:val="17"/>
              </w:rPr>
            </w:pPr>
            <w:r w:rsidRPr="00531981">
              <w:rPr>
                <w:rFonts w:cs="Arial"/>
                <w:b/>
                <w:bCs/>
                <w:iCs/>
                <w:sz w:val="17"/>
                <w:szCs w:val="17"/>
              </w:rPr>
              <w:t>-</w:t>
            </w:r>
          </w:p>
        </w:tc>
      </w:tr>
      <w:tr w:rsidR="00531981" w:rsidRPr="00531981" w14:paraId="64930E01" w14:textId="77777777" w:rsidTr="00A11652">
        <w:trPr>
          <w:trHeight w:val="340"/>
        </w:trPr>
        <w:tc>
          <w:tcPr>
            <w:tcW w:w="1591" w:type="pct"/>
            <w:tcBorders>
              <w:top w:val="single" w:sz="4" w:space="0" w:color="auto"/>
              <w:left w:val="nil"/>
              <w:bottom w:val="single" w:sz="4" w:space="0" w:color="auto"/>
              <w:right w:val="single" w:sz="4" w:space="0" w:color="auto"/>
            </w:tcBorders>
            <w:shd w:val="clear" w:color="auto" w:fill="auto"/>
            <w:noWrap/>
            <w:tcMar>
              <w:top w:w="28" w:type="dxa"/>
              <w:bottom w:w="28" w:type="dxa"/>
            </w:tcMar>
            <w:vAlign w:val="center"/>
            <w:hideMark/>
          </w:tcPr>
          <w:p w14:paraId="1F4B1D7D" w14:textId="77777777" w:rsidR="00531981" w:rsidRPr="00531981" w:rsidRDefault="00531981" w:rsidP="00A11652">
            <w:pPr>
              <w:jc w:val="center"/>
              <w:rPr>
                <w:rFonts w:cs="Arial"/>
                <w:b/>
                <w:bCs/>
                <w:sz w:val="18"/>
                <w:szCs w:val="18"/>
              </w:rPr>
            </w:pPr>
            <w:r w:rsidRPr="00531981">
              <w:rPr>
                <w:rFonts w:cs="Arial"/>
                <w:b/>
                <w:bCs/>
                <w:sz w:val="18"/>
                <w:szCs w:val="18"/>
              </w:rPr>
              <w:t>Total</w:t>
            </w:r>
          </w:p>
        </w:tc>
        <w:tc>
          <w:tcPr>
            <w:tcW w:w="68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hideMark/>
          </w:tcPr>
          <w:p w14:paraId="1FB7096C" w14:textId="77777777" w:rsidR="00531981" w:rsidRPr="00531981" w:rsidRDefault="00531981" w:rsidP="00A11652">
            <w:pPr>
              <w:ind w:left="-65"/>
              <w:jc w:val="right"/>
              <w:rPr>
                <w:rFonts w:cs="Arial"/>
                <w:b/>
                <w:bCs/>
                <w:sz w:val="17"/>
                <w:szCs w:val="17"/>
              </w:rPr>
            </w:pPr>
            <w:r w:rsidRPr="00531981">
              <w:rPr>
                <w:rFonts w:cs="Arial"/>
                <w:b/>
                <w:bCs/>
                <w:sz w:val="17"/>
                <w:szCs w:val="17"/>
              </w:rPr>
              <w:t>39.597.166.000</w:t>
            </w:r>
          </w:p>
        </w:tc>
        <w:tc>
          <w:tcPr>
            <w:tcW w:w="68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BF132E0" w14:textId="77777777" w:rsidR="00531981" w:rsidRPr="00531981" w:rsidRDefault="00531981" w:rsidP="00A11652">
            <w:pPr>
              <w:ind w:hanging="67"/>
              <w:jc w:val="right"/>
              <w:rPr>
                <w:rFonts w:cs="Arial"/>
                <w:b/>
                <w:bCs/>
                <w:sz w:val="17"/>
                <w:szCs w:val="17"/>
              </w:rPr>
            </w:pPr>
            <w:r w:rsidRPr="00531981">
              <w:rPr>
                <w:rFonts w:cs="Arial"/>
                <w:b/>
                <w:bCs/>
                <w:sz w:val="17"/>
                <w:szCs w:val="17"/>
              </w:rPr>
              <w:t>47.525.637.211</w:t>
            </w:r>
          </w:p>
        </w:tc>
        <w:tc>
          <w:tcPr>
            <w:tcW w:w="68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F398F84" w14:textId="77777777" w:rsidR="00531981" w:rsidRPr="00531981" w:rsidRDefault="00531981" w:rsidP="00A11652">
            <w:pPr>
              <w:ind w:left="-70"/>
              <w:jc w:val="right"/>
              <w:rPr>
                <w:rFonts w:cs="Arial"/>
                <w:b/>
                <w:bCs/>
                <w:sz w:val="17"/>
                <w:szCs w:val="17"/>
              </w:rPr>
            </w:pPr>
            <w:r w:rsidRPr="00531981">
              <w:rPr>
                <w:rFonts w:cs="Arial"/>
                <w:b/>
                <w:bCs/>
                <w:color w:val="000000"/>
                <w:sz w:val="17"/>
                <w:szCs w:val="17"/>
              </w:rPr>
              <w:t>39.420.594.476</w:t>
            </w:r>
          </w:p>
        </w:tc>
        <w:tc>
          <w:tcPr>
            <w:tcW w:w="68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E43BA7B" w14:textId="77777777" w:rsidR="00531981" w:rsidRPr="00531981" w:rsidRDefault="00531981" w:rsidP="00A11652">
            <w:pPr>
              <w:ind w:left="-74"/>
              <w:jc w:val="right"/>
              <w:rPr>
                <w:rFonts w:cs="Arial"/>
                <w:b/>
                <w:bCs/>
                <w:sz w:val="17"/>
                <w:szCs w:val="17"/>
              </w:rPr>
            </w:pPr>
            <w:r w:rsidRPr="00531981">
              <w:rPr>
                <w:rFonts w:cs="Arial"/>
                <w:b/>
                <w:bCs/>
                <w:color w:val="000000"/>
                <w:sz w:val="17"/>
                <w:szCs w:val="17"/>
              </w:rPr>
              <w:t>37.945.543.146</w:t>
            </w:r>
          </w:p>
        </w:tc>
        <w:tc>
          <w:tcPr>
            <w:tcW w:w="681" w:type="pct"/>
            <w:tcBorders>
              <w:top w:val="single" w:sz="4" w:space="0" w:color="auto"/>
              <w:left w:val="single" w:sz="4" w:space="0" w:color="auto"/>
              <w:bottom w:val="single" w:sz="4" w:space="0" w:color="auto"/>
              <w:right w:val="nil"/>
            </w:tcBorders>
            <w:shd w:val="clear" w:color="auto" w:fill="auto"/>
            <w:noWrap/>
            <w:tcMar>
              <w:top w:w="28" w:type="dxa"/>
              <w:bottom w:w="28" w:type="dxa"/>
            </w:tcMar>
            <w:vAlign w:val="center"/>
          </w:tcPr>
          <w:p w14:paraId="6755E084" w14:textId="77777777" w:rsidR="00531981" w:rsidRPr="00531981" w:rsidRDefault="00531981" w:rsidP="00A11652">
            <w:pPr>
              <w:jc w:val="right"/>
              <w:rPr>
                <w:rFonts w:cs="Arial"/>
                <w:b/>
                <w:bCs/>
                <w:sz w:val="17"/>
                <w:szCs w:val="17"/>
              </w:rPr>
            </w:pPr>
            <w:r w:rsidRPr="00531981">
              <w:rPr>
                <w:rFonts w:cs="Arial"/>
                <w:b/>
                <w:bCs/>
                <w:color w:val="000000"/>
                <w:sz w:val="17"/>
                <w:szCs w:val="17"/>
              </w:rPr>
              <w:t>1.475.051.330</w:t>
            </w:r>
          </w:p>
        </w:tc>
      </w:tr>
    </w:tbl>
    <w:p w14:paraId="7FA20022" w14:textId="1ED4E131" w:rsidR="00DC20DF" w:rsidRDefault="00DC20DF" w:rsidP="00531981">
      <w:pPr>
        <w:pStyle w:val="0-FONTEBALANO"/>
      </w:pPr>
      <w:r w:rsidRPr="004B284A">
        <w:t xml:space="preserve">Fonte: Plano Plurianual 2020-2023 e </w:t>
      </w:r>
      <w:r w:rsidR="00531981" w:rsidRPr="00531981">
        <w:t>Comparativo da Despesa Autorizada com a Realizada por Projeto/Atividade</w:t>
      </w:r>
      <w:r w:rsidR="00531981">
        <w:t xml:space="preserve"> - </w:t>
      </w:r>
      <w:r w:rsidR="00531981" w:rsidRPr="004D0F52">
        <w:t>Anexo 11</w:t>
      </w:r>
      <w:r w:rsidR="00531981">
        <w:t xml:space="preserve"> (BGE 2023)</w:t>
      </w:r>
      <w:r w:rsidR="00A46EE7">
        <w:t xml:space="preserve"> </w:t>
      </w:r>
    </w:p>
    <w:p w14:paraId="12F98CB3" w14:textId="77777777" w:rsidR="002376AB" w:rsidRPr="00B54618" w:rsidRDefault="002376AB" w:rsidP="00194C00">
      <w:pPr>
        <w:pStyle w:val="1-REL11"/>
        <w:spacing w:line="300" w:lineRule="auto"/>
      </w:pPr>
      <w:r w:rsidRPr="00B54618">
        <w:t>Os Programas Finalísticos representaram 29,04% do total de despesas orçadas, enquanto os Programas de Gestão e Especiais representaram 70,96% do total orçado.</w:t>
      </w:r>
    </w:p>
    <w:p w14:paraId="0A976C53" w14:textId="77777777" w:rsidR="002376AB" w:rsidRPr="001B02A9" w:rsidRDefault="002376AB" w:rsidP="00194C00">
      <w:pPr>
        <w:pStyle w:val="1-REL11"/>
        <w:spacing w:line="300" w:lineRule="auto"/>
      </w:pPr>
      <w:r w:rsidRPr="001B02A9">
        <w:t>Evidencia-se que, quando apartados os recursos dos Programas Finalísticos, o Eixo Estratégico</w:t>
      </w:r>
      <w:r>
        <w:t> </w:t>
      </w:r>
      <w:r w:rsidRPr="001B02A9">
        <w:t>6 - Goiás da Saúde Integral foi o que abarcou maior parte do</w:t>
      </w:r>
      <w:r>
        <w:t>s</w:t>
      </w:r>
      <w:r w:rsidRPr="001B02A9">
        <w:t xml:space="preserve"> recursos orçados e despesas executadas, representando 10,09% do valor total inicialmente orçado e 10,45% do total das despesas empenhadas no exercício.</w:t>
      </w:r>
    </w:p>
    <w:p w14:paraId="6E234F97" w14:textId="77777777" w:rsidR="002376AB" w:rsidRPr="001B02A9" w:rsidRDefault="002376AB" w:rsidP="00194C00">
      <w:pPr>
        <w:pStyle w:val="1-REL11"/>
        <w:spacing w:line="300" w:lineRule="auto"/>
        <w:rPr>
          <w:rFonts w:cs="Arial"/>
        </w:rPr>
      </w:pPr>
      <w:r w:rsidRPr="001B02A9">
        <w:rPr>
          <w:rFonts w:cs="Arial"/>
        </w:rPr>
        <w:t>Em segundo lugar, o Eixo 3 - Goiás da Infraestrutura e Sustentabilidade abarcou 2,29% do orçado para o exercício, tendo sido responsável por 5,33% da despesa empenhada no período.</w:t>
      </w:r>
    </w:p>
    <w:p w14:paraId="5BB150D6" w14:textId="77777777" w:rsidR="002376AB" w:rsidRPr="001B02A9" w:rsidRDefault="002376AB" w:rsidP="00194C00">
      <w:pPr>
        <w:pStyle w:val="1-REL11"/>
        <w:spacing w:line="300" w:lineRule="auto"/>
      </w:pPr>
      <w:r w:rsidRPr="001B02A9">
        <w:t xml:space="preserve">Já em relação aos Programas de Gestão e Especiais, os Programas Administrativos, cujos recursos são destinados ao pagamento de pessoal e encargos sociais, representaram a maior parte do orçamento, 41,50% do total orçado, seguido pelos Encargos Especiais, que representaram 24,38% do </w:t>
      </w:r>
      <w:r w:rsidRPr="002376AB">
        <w:t>orçamento</w:t>
      </w:r>
      <w:r w:rsidRPr="001B02A9">
        <w:t>.</w:t>
      </w:r>
    </w:p>
    <w:p w14:paraId="04EC0560" w14:textId="77777777" w:rsidR="00DC20DF" w:rsidRDefault="00DC20DF" w:rsidP="00B000B6">
      <w:pPr>
        <w:pStyle w:val="Ttulo3"/>
        <w:numPr>
          <w:ilvl w:val="2"/>
          <w:numId w:val="34"/>
        </w:numPr>
      </w:pPr>
      <w:bookmarkStart w:id="34" w:name="_Toc167871625"/>
      <w:r>
        <w:t>Programas Finalísticos</w:t>
      </w:r>
      <w:bookmarkEnd w:id="34"/>
    </w:p>
    <w:p w14:paraId="6D96F270" w14:textId="76484F62" w:rsidR="00DC20DF" w:rsidRPr="00F65045" w:rsidRDefault="002376AB" w:rsidP="00DC20DF">
      <w:pPr>
        <w:pStyle w:val="1-REL11"/>
      </w:pPr>
      <w:r w:rsidRPr="002376AB">
        <w:t>Os Programas Finalísticos ofertam bens e serviços diretamente à sociedade e foram executados por meio de 41 programas. A evolução no período de vigência do PPA dos Programas Finalísticos segue abaixo:</w:t>
      </w:r>
    </w:p>
    <w:p w14:paraId="52DFA63A" w14:textId="7FA7785B" w:rsidR="00DC20DF" w:rsidRPr="00F65045" w:rsidRDefault="00DC20DF" w:rsidP="00ED3571">
      <w:pPr>
        <w:pStyle w:val="0-TABELA"/>
      </w:pPr>
      <w:bookmarkStart w:id="35" w:name="_Toc167871720"/>
      <w:r w:rsidRPr="00F65045">
        <w:lastRenderedPageBreak/>
        <w:t>Programas Finalísticos</w:t>
      </w:r>
      <w:r w:rsidR="00E6391B">
        <w:t xml:space="preserve"> </w:t>
      </w:r>
      <w:r w:rsidR="00E6391B" w:rsidRPr="001C305A">
        <w:t>– 20</w:t>
      </w:r>
      <w:r w:rsidR="00E6391B">
        <w:t>20 a 2023</w:t>
      </w:r>
      <w:bookmarkEnd w:id="35"/>
    </w:p>
    <w:p w14:paraId="68F8DC81" w14:textId="26DF6714" w:rsidR="00DC20DF" w:rsidRPr="00F65045" w:rsidRDefault="00EE2E8E" w:rsidP="00DC20DF">
      <w:pPr>
        <w:pStyle w:val="0-EmR1"/>
        <w:rPr>
          <w:rFonts w:cs="Arial"/>
        </w:rPr>
      </w:pPr>
      <w:r>
        <w:t>R$ 1</w:t>
      </w:r>
    </w:p>
    <w:tbl>
      <w:tblPr>
        <w:tblW w:w="5000" w:type="pct"/>
        <w:tblCellMar>
          <w:left w:w="70" w:type="dxa"/>
          <w:right w:w="70" w:type="dxa"/>
        </w:tblCellMar>
        <w:tblLook w:val="04A0" w:firstRow="1" w:lastRow="0" w:firstColumn="1" w:lastColumn="0" w:noHBand="0" w:noVBand="1"/>
      </w:tblPr>
      <w:tblGrid>
        <w:gridCol w:w="2639"/>
        <w:gridCol w:w="2275"/>
        <w:gridCol w:w="2219"/>
        <w:gridCol w:w="2220"/>
      </w:tblGrid>
      <w:tr w:rsidR="00DC20DF" w:rsidRPr="00423440" w14:paraId="1ED989E3" w14:textId="77777777" w:rsidTr="002970EF">
        <w:trPr>
          <w:trHeight w:val="397"/>
          <w:tblHeader/>
        </w:trPr>
        <w:tc>
          <w:tcPr>
            <w:tcW w:w="1411" w:type="pct"/>
            <w:vMerge w:val="restart"/>
            <w:tcBorders>
              <w:top w:val="single" w:sz="4" w:space="0" w:color="auto"/>
              <w:left w:val="nil"/>
              <w:bottom w:val="single" w:sz="4" w:space="0" w:color="auto"/>
              <w:right w:val="single" w:sz="4" w:space="0" w:color="auto"/>
            </w:tcBorders>
            <w:shd w:val="clear" w:color="auto" w:fill="B5EEF7"/>
            <w:noWrap/>
            <w:vAlign w:val="center"/>
            <w:hideMark/>
          </w:tcPr>
          <w:p w14:paraId="2E302E1C" w14:textId="77777777" w:rsidR="00DC20DF" w:rsidRPr="00423440" w:rsidRDefault="00DC20DF" w:rsidP="007C1FBF">
            <w:pPr>
              <w:jc w:val="center"/>
              <w:rPr>
                <w:b/>
                <w:sz w:val="20"/>
                <w:szCs w:val="20"/>
              </w:rPr>
            </w:pPr>
            <w:r w:rsidRPr="00423440">
              <w:rPr>
                <w:b/>
                <w:sz w:val="20"/>
                <w:szCs w:val="20"/>
              </w:rPr>
              <w:t>Exercício</w:t>
            </w:r>
          </w:p>
        </w:tc>
        <w:tc>
          <w:tcPr>
            <w:tcW w:w="3589" w:type="pct"/>
            <w:gridSpan w:val="3"/>
            <w:tcBorders>
              <w:top w:val="single" w:sz="4" w:space="0" w:color="auto"/>
              <w:left w:val="single" w:sz="4" w:space="0" w:color="auto"/>
              <w:bottom w:val="single" w:sz="4" w:space="0" w:color="auto"/>
              <w:right w:val="nil"/>
            </w:tcBorders>
            <w:shd w:val="clear" w:color="auto" w:fill="B5EEF7"/>
            <w:noWrap/>
            <w:vAlign w:val="center"/>
            <w:hideMark/>
          </w:tcPr>
          <w:p w14:paraId="0965BB92" w14:textId="77777777" w:rsidR="00DC20DF" w:rsidRPr="00423440" w:rsidRDefault="00DC20DF" w:rsidP="00DC20DF">
            <w:pPr>
              <w:keepNext/>
              <w:jc w:val="center"/>
              <w:rPr>
                <w:rFonts w:cs="Arial"/>
                <w:sz w:val="20"/>
                <w:szCs w:val="20"/>
              </w:rPr>
            </w:pPr>
            <w:r w:rsidRPr="00423440">
              <w:rPr>
                <w:rFonts w:cs="Arial"/>
                <w:b/>
                <w:bCs/>
                <w:sz w:val="20"/>
                <w:szCs w:val="20"/>
              </w:rPr>
              <w:t>Programas Finalísticos</w:t>
            </w:r>
          </w:p>
        </w:tc>
      </w:tr>
      <w:tr w:rsidR="00DC20DF" w:rsidRPr="00423440" w14:paraId="1AFEBD21" w14:textId="77777777" w:rsidTr="002970EF">
        <w:trPr>
          <w:trHeight w:val="397"/>
          <w:tblHeader/>
        </w:trPr>
        <w:tc>
          <w:tcPr>
            <w:tcW w:w="1411" w:type="pct"/>
            <w:vMerge/>
            <w:tcBorders>
              <w:top w:val="single" w:sz="4" w:space="0" w:color="auto"/>
              <w:left w:val="nil"/>
              <w:bottom w:val="single" w:sz="4" w:space="0" w:color="auto"/>
              <w:right w:val="single" w:sz="4" w:space="0" w:color="auto"/>
            </w:tcBorders>
            <w:vAlign w:val="center"/>
            <w:hideMark/>
          </w:tcPr>
          <w:p w14:paraId="1A8B85A3" w14:textId="77777777" w:rsidR="00DC20DF" w:rsidRPr="00423440" w:rsidRDefault="00DC20DF" w:rsidP="007C1FBF">
            <w:pPr>
              <w:rPr>
                <w:b/>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B5EEF7"/>
            <w:noWrap/>
            <w:vAlign w:val="center"/>
            <w:hideMark/>
          </w:tcPr>
          <w:p w14:paraId="75926C38" w14:textId="77777777" w:rsidR="00DC20DF" w:rsidRPr="00423440" w:rsidRDefault="00DC20DF" w:rsidP="00DC20DF">
            <w:pPr>
              <w:keepNext/>
              <w:jc w:val="center"/>
              <w:rPr>
                <w:rFonts w:cs="Arial"/>
                <w:b/>
                <w:bCs/>
                <w:sz w:val="20"/>
                <w:szCs w:val="20"/>
              </w:rPr>
            </w:pPr>
            <w:r w:rsidRPr="00423440">
              <w:rPr>
                <w:rFonts w:cs="Arial"/>
                <w:b/>
                <w:bCs/>
                <w:sz w:val="20"/>
                <w:szCs w:val="20"/>
              </w:rPr>
              <w:t>Orçada</w:t>
            </w:r>
          </w:p>
        </w:tc>
        <w:tc>
          <w:tcPr>
            <w:tcW w:w="1186" w:type="pct"/>
            <w:tcBorders>
              <w:top w:val="single" w:sz="4" w:space="0" w:color="auto"/>
              <w:left w:val="single" w:sz="4" w:space="0" w:color="auto"/>
              <w:bottom w:val="single" w:sz="4" w:space="0" w:color="auto"/>
              <w:right w:val="single" w:sz="4" w:space="0" w:color="auto"/>
            </w:tcBorders>
            <w:shd w:val="clear" w:color="auto" w:fill="B5EEF7"/>
            <w:noWrap/>
            <w:vAlign w:val="center"/>
            <w:hideMark/>
          </w:tcPr>
          <w:p w14:paraId="0D4E8E6B" w14:textId="77777777" w:rsidR="00DC20DF" w:rsidRPr="00423440" w:rsidRDefault="00DC20DF" w:rsidP="00DC20DF">
            <w:pPr>
              <w:keepNext/>
              <w:jc w:val="center"/>
              <w:rPr>
                <w:rFonts w:cs="Arial"/>
                <w:b/>
                <w:bCs/>
                <w:sz w:val="20"/>
                <w:szCs w:val="20"/>
              </w:rPr>
            </w:pPr>
            <w:r w:rsidRPr="00423440">
              <w:rPr>
                <w:rFonts w:cs="Arial"/>
                <w:b/>
                <w:bCs/>
                <w:sz w:val="20"/>
                <w:szCs w:val="20"/>
              </w:rPr>
              <w:t>Autorizada</w:t>
            </w:r>
          </w:p>
        </w:tc>
        <w:tc>
          <w:tcPr>
            <w:tcW w:w="1186" w:type="pct"/>
            <w:tcBorders>
              <w:top w:val="single" w:sz="4" w:space="0" w:color="auto"/>
              <w:left w:val="single" w:sz="4" w:space="0" w:color="auto"/>
              <w:bottom w:val="single" w:sz="4" w:space="0" w:color="auto"/>
              <w:right w:val="nil"/>
            </w:tcBorders>
            <w:shd w:val="clear" w:color="auto" w:fill="B5EEF7"/>
            <w:noWrap/>
            <w:vAlign w:val="center"/>
            <w:hideMark/>
          </w:tcPr>
          <w:p w14:paraId="19BA4BE8" w14:textId="77777777" w:rsidR="00DC20DF" w:rsidRPr="00423440" w:rsidRDefault="00DC20DF" w:rsidP="00DC20DF">
            <w:pPr>
              <w:keepNext/>
              <w:jc w:val="center"/>
              <w:rPr>
                <w:rFonts w:cs="Arial"/>
                <w:b/>
                <w:bCs/>
                <w:sz w:val="20"/>
                <w:szCs w:val="20"/>
              </w:rPr>
            </w:pPr>
            <w:r w:rsidRPr="00423440">
              <w:rPr>
                <w:rFonts w:cs="Arial"/>
                <w:b/>
                <w:bCs/>
                <w:sz w:val="20"/>
                <w:szCs w:val="20"/>
              </w:rPr>
              <w:t>Empenhada</w:t>
            </w:r>
          </w:p>
        </w:tc>
      </w:tr>
      <w:tr w:rsidR="00DC20DF" w:rsidRPr="00423440" w14:paraId="6D31D5A7" w14:textId="77777777" w:rsidTr="002970EF">
        <w:trPr>
          <w:trHeight w:val="397"/>
        </w:trPr>
        <w:tc>
          <w:tcPr>
            <w:tcW w:w="1411" w:type="pct"/>
            <w:tcBorders>
              <w:top w:val="nil"/>
              <w:left w:val="nil"/>
              <w:bottom w:val="nil"/>
              <w:right w:val="single" w:sz="4" w:space="0" w:color="auto"/>
            </w:tcBorders>
            <w:noWrap/>
            <w:vAlign w:val="center"/>
            <w:hideMark/>
          </w:tcPr>
          <w:p w14:paraId="39AA5728" w14:textId="77777777" w:rsidR="00DC20DF" w:rsidRPr="00423440" w:rsidRDefault="00DC20DF" w:rsidP="007C1FBF">
            <w:pPr>
              <w:jc w:val="center"/>
              <w:rPr>
                <w:sz w:val="20"/>
                <w:szCs w:val="20"/>
              </w:rPr>
            </w:pPr>
            <w:r w:rsidRPr="00423440">
              <w:rPr>
                <w:sz w:val="20"/>
                <w:szCs w:val="20"/>
              </w:rPr>
              <w:t>2020</w:t>
            </w:r>
          </w:p>
        </w:tc>
        <w:tc>
          <w:tcPr>
            <w:tcW w:w="1216" w:type="pct"/>
            <w:tcBorders>
              <w:top w:val="nil"/>
              <w:left w:val="single" w:sz="4" w:space="0" w:color="auto"/>
              <w:bottom w:val="nil"/>
              <w:right w:val="single" w:sz="4" w:space="0" w:color="auto"/>
            </w:tcBorders>
            <w:noWrap/>
            <w:vAlign w:val="center"/>
            <w:hideMark/>
          </w:tcPr>
          <w:p w14:paraId="56DE6DE6" w14:textId="77777777" w:rsidR="00DC20DF" w:rsidRPr="00423440" w:rsidRDefault="00DC20DF" w:rsidP="00DC20DF">
            <w:pPr>
              <w:keepNext/>
              <w:jc w:val="right"/>
              <w:rPr>
                <w:rFonts w:cs="Arial"/>
                <w:b/>
                <w:bCs/>
                <w:sz w:val="20"/>
                <w:szCs w:val="20"/>
              </w:rPr>
            </w:pPr>
            <w:r w:rsidRPr="00423440">
              <w:rPr>
                <w:rFonts w:cs="Arial"/>
                <w:sz w:val="20"/>
                <w:szCs w:val="20"/>
              </w:rPr>
              <w:t>6.718.408.000</w:t>
            </w:r>
          </w:p>
        </w:tc>
        <w:tc>
          <w:tcPr>
            <w:tcW w:w="1186" w:type="pct"/>
            <w:tcBorders>
              <w:top w:val="nil"/>
              <w:left w:val="single" w:sz="4" w:space="0" w:color="auto"/>
              <w:bottom w:val="nil"/>
              <w:right w:val="single" w:sz="4" w:space="0" w:color="auto"/>
            </w:tcBorders>
            <w:noWrap/>
            <w:vAlign w:val="center"/>
            <w:hideMark/>
          </w:tcPr>
          <w:p w14:paraId="2E2AFEA0" w14:textId="77777777" w:rsidR="00DC20DF" w:rsidRPr="00423440" w:rsidRDefault="00DC20DF" w:rsidP="00DC20DF">
            <w:pPr>
              <w:keepNext/>
              <w:jc w:val="right"/>
              <w:rPr>
                <w:rFonts w:cs="Arial"/>
                <w:b/>
                <w:bCs/>
                <w:sz w:val="20"/>
                <w:szCs w:val="20"/>
              </w:rPr>
            </w:pPr>
            <w:r w:rsidRPr="00423440">
              <w:rPr>
                <w:rFonts w:cs="Arial"/>
                <w:sz w:val="20"/>
                <w:szCs w:val="20"/>
              </w:rPr>
              <w:t>9.258.333.977</w:t>
            </w:r>
          </w:p>
        </w:tc>
        <w:tc>
          <w:tcPr>
            <w:tcW w:w="1186" w:type="pct"/>
            <w:tcBorders>
              <w:top w:val="nil"/>
              <w:left w:val="single" w:sz="4" w:space="0" w:color="auto"/>
              <w:bottom w:val="nil"/>
              <w:right w:val="nil"/>
            </w:tcBorders>
            <w:noWrap/>
            <w:vAlign w:val="center"/>
            <w:hideMark/>
          </w:tcPr>
          <w:p w14:paraId="42771372" w14:textId="77777777" w:rsidR="00DC20DF" w:rsidRPr="00423440" w:rsidRDefault="00DC20DF" w:rsidP="00DC20DF">
            <w:pPr>
              <w:keepNext/>
              <w:jc w:val="right"/>
              <w:rPr>
                <w:rFonts w:cs="Arial"/>
                <w:b/>
                <w:bCs/>
                <w:sz w:val="20"/>
                <w:szCs w:val="20"/>
              </w:rPr>
            </w:pPr>
            <w:r w:rsidRPr="00423440">
              <w:rPr>
                <w:rFonts w:cs="Arial"/>
                <w:sz w:val="20"/>
                <w:szCs w:val="20"/>
              </w:rPr>
              <w:t>6.425.096.544</w:t>
            </w:r>
          </w:p>
        </w:tc>
      </w:tr>
      <w:tr w:rsidR="00DC20DF" w:rsidRPr="00423440" w14:paraId="726B9468" w14:textId="77777777" w:rsidTr="002970EF">
        <w:trPr>
          <w:trHeight w:val="397"/>
        </w:trPr>
        <w:tc>
          <w:tcPr>
            <w:tcW w:w="1411" w:type="pct"/>
            <w:tcBorders>
              <w:top w:val="nil"/>
              <w:left w:val="nil"/>
              <w:bottom w:val="nil"/>
              <w:right w:val="single" w:sz="4" w:space="0" w:color="auto"/>
            </w:tcBorders>
            <w:noWrap/>
            <w:vAlign w:val="center"/>
            <w:hideMark/>
          </w:tcPr>
          <w:p w14:paraId="2BDE4E52" w14:textId="77777777" w:rsidR="00DC20DF" w:rsidRPr="00423440" w:rsidRDefault="00DC20DF" w:rsidP="007C1FBF">
            <w:pPr>
              <w:jc w:val="center"/>
              <w:rPr>
                <w:sz w:val="20"/>
                <w:szCs w:val="20"/>
              </w:rPr>
            </w:pPr>
            <w:r w:rsidRPr="00423440">
              <w:rPr>
                <w:sz w:val="20"/>
                <w:szCs w:val="20"/>
              </w:rPr>
              <w:t>2021</w:t>
            </w:r>
          </w:p>
        </w:tc>
        <w:tc>
          <w:tcPr>
            <w:tcW w:w="1216" w:type="pct"/>
            <w:tcBorders>
              <w:top w:val="nil"/>
              <w:left w:val="single" w:sz="4" w:space="0" w:color="auto"/>
              <w:bottom w:val="nil"/>
              <w:right w:val="single" w:sz="4" w:space="0" w:color="auto"/>
            </w:tcBorders>
            <w:noWrap/>
            <w:vAlign w:val="center"/>
            <w:hideMark/>
          </w:tcPr>
          <w:p w14:paraId="0A6F73F0" w14:textId="77777777" w:rsidR="00DC20DF" w:rsidRPr="00423440" w:rsidRDefault="00DC20DF" w:rsidP="00DC20DF">
            <w:pPr>
              <w:keepNext/>
              <w:jc w:val="right"/>
              <w:rPr>
                <w:rFonts w:cs="Arial"/>
                <w:sz w:val="20"/>
                <w:szCs w:val="20"/>
              </w:rPr>
            </w:pPr>
            <w:r w:rsidRPr="00423440">
              <w:rPr>
                <w:rFonts w:cs="Arial"/>
                <w:sz w:val="20"/>
                <w:szCs w:val="20"/>
              </w:rPr>
              <w:t>7.841.533.000</w:t>
            </w:r>
          </w:p>
        </w:tc>
        <w:tc>
          <w:tcPr>
            <w:tcW w:w="1186" w:type="pct"/>
            <w:tcBorders>
              <w:top w:val="nil"/>
              <w:left w:val="single" w:sz="4" w:space="0" w:color="auto"/>
              <w:bottom w:val="nil"/>
              <w:right w:val="single" w:sz="4" w:space="0" w:color="auto"/>
            </w:tcBorders>
            <w:noWrap/>
            <w:vAlign w:val="center"/>
            <w:hideMark/>
          </w:tcPr>
          <w:p w14:paraId="70BF70FC" w14:textId="77777777" w:rsidR="00DC20DF" w:rsidRPr="00423440" w:rsidRDefault="00DC20DF" w:rsidP="00DC20DF">
            <w:pPr>
              <w:keepNext/>
              <w:jc w:val="right"/>
              <w:rPr>
                <w:rFonts w:cs="Arial"/>
                <w:sz w:val="20"/>
                <w:szCs w:val="20"/>
              </w:rPr>
            </w:pPr>
            <w:r w:rsidRPr="00423440">
              <w:rPr>
                <w:rFonts w:cs="Arial"/>
                <w:sz w:val="20"/>
                <w:szCs w:val="20"/>
              </w:rPr>
              <w:t>13.991.519.679</w:t>
            </w:r>
          </w:p>
        </w:tc>
        <w:tc>
          <w:tcPr>
            <w:tcW w:w="1186" w:type="pct"/>
            <w:tcBorders>
              <w:top w:val="nil"/>
              <w:left w:val="single" w:sz="4" w:space="0" w:color="auto"/>
              <w:bottom w:val="nil"/>
              <w:right w:val="nil"/>
            </w:tcBorders>
            <w:noWrap/>
            <w:vAlign w:val="center"/>
            <w:hideMark/>
          </w:tcPr>
          <w:p w14:paraId="7B5E7997" w14:textId="77777777" w:rsidR="00DC20DF" w:rsidRPr="00423440" w:rsidRDefault="00DC20DF" w:rsidP="00DC20DF">
            <w:pPr>
              <w:keepNext/>
              <w:jc w:val="right"/>
              <w:rPr>
                <w:rFonts w:cs="Arial"/>
                <w:sz w:val="20"/>
                <w:szCs w:val="20"/>
              </w:rPr>
            </w:pPr>
            <w:r w:rsidRPr="00423440">
              <w:rPr>
                <w:rFonts w:cs="Arial"/>
                <w:sz w:val="20"/>
                <w:szCs w:val="20"/>
              </w:rPr>
              <w:t>11.960.868.246</w:t>
            </w:r>
          </w:p>
        </w:tc>
      </w:tr>
      <w:tr w:rsidR="00DC20DF" w:rsidRPr="00423440" w14:paraId="674A7696" w14:textId="77777777" w:rsidTr="002970EF">
        <w:trPr>
          <w:trHeight w:val="397"/>
        </w:trPr>
        <w:tc>
          <w:tcPr>
            <w:tcW w:w="1411" w:type="pct"/>
            <w:tcBorders>
              <w:top w:val="single" w:sz="4" w:space="0" w:color="auto"/>
              <w:left w:val="nil"/>
              <w:bottom w:val="single" w:sz="4" w:space="0" w:color="auto"/>
              <w:right w:val="single" w:sz="4" w:space="0" w:color="auto"/>
            </w:tcBorders>
            <w:shd w:val="clear" w:color="auto" w:fill="B5EEF7"/>
            <w:noWrap/>
            <w:vAlign w:val="center"/>
            <w:hideMark/>
          </w:tcPr>
          <w:p w14:paraId="603D3800" w14:textId="6A18C11C" w:rsidR="00DC20DF" w:rsidRPr="00423440" w:rsidRDefault="00DC20DF" w:rsidP="007C1FBF">
            <w:pPr>
              <w:jc w:val="center"/>
              <w:rPr>
                <w:b/>
                <w:sz w:val="20"/>
                <w:szCs w:val="20"/>
              </w:rPr>
            </w:pPr>
            <w:r w:rsidRPr="00423440">
              <w:rPr>
                <w:b/>
                <w:sz w:val="20"/>
                <w:szCs w:val="20"/>
              </w:rPr>
              <w:t>Evolução Temporal</w:t>
            </w:r>
            <w:r w:rsidR="007C1FBF" w:rsidRPr="00423440">
              <w:rPr>
                <w:b/>
                <w:sz w:val="20"/>
                <w:szCs w:val="20"/>
              </w:rPr>
              <w:br/>
            </w:r>
            <w:r w:rsidRPr="00423440">
              <w:rPr>
                <w:b/>
                <w:sz w:val="20"/>
                <w:szCs w:val="20"/>
              </w:rPr>
              <w:t>2020-2021</w:t>
            </w:r>
          </w:p>
        </w:tc>
        <w:tc>
          <w:tcPr>
            <w:tcW w:w="1216" w:type="pct"/>
            <w:tcBorders>
              <w:top w:val="single" w:sz="4" w:space="0" w:color="auto"/>
              <w:left w:val="single" w:sz="4" w:space="0" w:color="auto"/>
              <w:bottom w:val="single" w:sz="4" w:space="0" w:color="auto"/>
              <w:right w:val="single" w:sz="4" w:space="0" w:color="auto"/>
            </w:tcBorders>
            <w:shd w:val="clear" w:color="auto" w:fill="B5EEF7"/>
            <w:noWrap/>
            <w:vAlign w:val="center"/>
            <w:hideMark/>
          </w:tcPr>
          <w:p w14:paraId="279A4732" w14:textId="77777777" w:rsidR="00DC20DF" w:rsidRPr="00423440" w:rsidRDefault="00DC20DF" w:rsidP="00DC20DF">
            <w:pPr>
              <w:keepNext/>
              <w:jc w:val="center"/>
              <w:rPr>
                <w:rFonts w:cs="Arial"/>
                <w:b/>
                <w:bCs/>
                <w:sz w:val="20"/>
                <w:szCs w:val="20"/>
              </w:rPr>
            </w:pPr>
            <w:r w:rsidRPr="00423440">
              <w:rPr>
                <w:rFonts w:cs="Arial"/>
                <w:b/>
                <w:bCs/>
                <w:sz w:val="20"/>
                <w:szCs w:val="20"/>
              </w:rPr>
              <w:t>acréscimo de 16,72%</w:t>
            </w:r>
          </w:p>
        </w:tc>
        <w:tc>
          <w:tcPr>
            <w:tcW w:w="1186" w:type="pct"/>
            <w:tcBorders>
              <w:top w:val="single" w:sz="4" w:space="0" w:color="auto"/>
              <w:left w:val="single" w:sz="4" w:space="0" w:color="auto"/>
              <w:bottom w:val="single" w:sz="4" w:space="0" w:color="auto"/>
              <w:right w:val="single" w:sz="4" w:space="0" w:color="auto"/>
            </w:tcBorders>
            <w:shd w:val="clear" w:color="auto" w:fill="B5EEF7"/>
            <w:noWrap/>
            <w:vAlign w:val="center"/>
            <w:hideMark/>
          </w:tcPr>
          <w:p w14:paraId="64AA11EB" w14:textId="77777777" w:rsidR="00DC20DF" w:rsidRPr="00423440" w:rsidRDefault="00DC20DF" w:rsidP="00DC20DF">
            <w:pPr>
              <w:keepNext/>
              <w:jc w:val="center"/>
              <w:rPr>
                <w:rFonts w:cs="Arial"/>
                <w:b/>
                <w:bCs/>
                <w:sz w:val="20"/>
                <w:szCs w:val="20"/>
              </w:rPr>
            </w:pPr>
            <w:r w:rsidRPr="00423440">
              <w:rPr>
                <w:rFonts w:cs="Arial"/>
                <w:b/>
                <w:bCs/>
                <w:sz w:val="20"/>
                <w:szCs w:val="20"/>
              </w:rPr>
              <w:t>acréscimo de 51,12%</w:t>
            </w:r>
          </w:p>
        </w:tc>
        <w:tc>
          <w:tcPr>
            <w:tcW w:w="1186" w:type="pct"/>
            <w:tcBorders>
              <w:top w:val="single" w:sz="4" w:space="0" w:color="auto"/>
              <w:left w:val="single" w:sz="4" w:space="0" w:color="auto"/>
              <w:bottom w:val="single" w:sz="4" w:space="0" w:color="auto"/>
              <w:right w:val="nil"/>
            </w:tcBorders>
            <w:shd w:val="clear" w:color="auto" w:fill="B5EEF7"/>
            <w:noWrap/>
            <w:vAlign w:val="center"/>
            <w:hideMark/>
          </w:tcPr>
          <w:p w14:paraId="6B7E4C85" w14:textId="77777777" w:rsidR="00DC20DF" w:rsidRPr="00423440" w:rsidRDefault="00DC20DF" w:rsidP="00DC20DF">
            <w:pPr>
              <w:keepNext/>
              <w:jc w:val="center"/>
              <w:rPr>
                <w:rFonts w:cs="Arial"/>
                <w:b/>
                <w:bCs/>
                <w:sz w:val="20"/>
                <w:szCs w:val="20"/>
              </w:rPr>
            </w:pPr>
            <w:r w:rsidRPr="00423440">
              <w:rPr>
                <w:rFonts w:cs="Arial"/>
                <w:b/>
                <w:bCs/>
                <w:sz w:val="20"/>
                <w:szCs w:val="20"/>
              </w:rPr>
              <w:t>acréscimo de 86,16%</w:t>
            </w:r>
          </w:p>
        </w:tc>
      </w:tr>
      <w:tr w:rsidR="00DC20DF" w:rsidRPr="00423440" w14:paraId="72DD3089" w14:textId="77777777" w:rsidTr="002970EF">
        <w:trPr>
          <w:trHeight w:val="397"/>
        </w:trPr>
        <w:tc>
          <w:tcPr>
            <w:tcW w:w="1411" w:type="pct"/>
            <w:tcBorders>
              <w:top w:val="single" w:sz="4" w:space="0" w:color="auto"/>
              <w:left w:val="nil"/>
              <w:bottom w:val="single" w:sz="4" w:space="0" w:color="auto"/>
              <w:right w:val="single" w:sz="4" w:space="0" w:color="auto"/>
            </w:tcBorders>
            <w:shd w:val="clear" w:color="auto" w:fill="auto"/>
            <w:noWrap/>
            <w:vAlign w:val="center"/>
            <w:hideMark/>
          </w:tcPr>
          <w:p w14:paraId="2EB44477" w14:textId="77777777" w:rsidR="00DC20DF" w:rsidRPr="00423440" w:rsidRDefault="00DC20DF" w:rsidP="007C1FBF">
            <w:pPr>
              <w:jc w:val="center"/>
              <w:rPr>
                <w:sz w:val="20"/>
                <w:szCs w:val="20"/>
              </w:rPr>
            </w:pPr>
            <w:r w:rsidRPr="00423440">
              <w:rPr>
                <w:sz w:val="20"/>
                <w:szCs w:val="20"/>
              </w:rPr>
              <w:t>2022</w:t>
            </w:r>
          </w:p>
        </w:tc>
        <w:tc>
          <w:tcPr>
            <w:tcW w:w="121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4B35941" w14:textId="77777777" w:rsidR="00DC20DF" w:rsidRPr="00423440" w:rsidRDefault="00DC20DF" w:rsidP="00DC20DF">
            <w:pPr>
              <w:keepNext/>
              <w:jc w:val="right"/>
              <w:rPr>
                <w:rFonts w:cs="Arial"/>
                <w:b/>
                <w:bCs/>
                <w:sz w:val="20"/>
                <w:szCs w:val="20"/>
              </w:rPr>
            </w:pPr>
            <w:r w:rsidRPr="00423440">
              <w:rPr>
                <w:sz w:val="20"/>
                <w:szCs w:val="20"/>
              </w:rPr>
              <w:t xml:space="preserve">10.396.739.001 </w:t>
            </w:r>
          </w:p>
        </w:tc>
        <w:tc>
          <w:tcPr>
            <w:tcW w:w="118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F73EC26" w14:textId="77777777" w:rsidR="00DC20DF" w:rsidRPr="00423440" w:rsidRDefault="00DC20DF" w:rsidP="00DC20DF">
            <w:pPr>
              <w:keepNext/>
              <w:jc w:val="right"/>
              <w:rPr>
                <w:rFonts w:cs="Arial"/>
                <w:b/>
                <w:bCs/>
                <w:sz w:val="20"/>
                <w:szCs w:val="20"/>
              </w:rPr>
            </w:pPr>
            <w:r w:rsidRPr="00423440">
              <w:rPr>
                <w:sz w:val="20"/>
                <w:szCs w:val="20"/>
              </w:rPr>
              <w:t xml:space="preserve">13.481.919.820 </w:t>
            </w:r>
          </w:p>
        </w:tc>
        <w:tc>
          <w:tcPr>
            <w:tcW w:w="1186" w:type="pct"/>
            <w:tcBorders>
              <w:top w:val="single" w:sz="4" w:space="0" w:color="auto"/>
              <w:left w:val="single" w:sz="4" w:space="0" w:color="auto"/>
              <w:bottom w:val="single" w:sz="4" w:space="0" w:color="auto"/>
              <w:right w:val="nil"/>
            </w:tcBorders>
            <w:shd w:val="clear" w:color="auto" w:fill="auto"/>
            <w:noWrap/>
            <w:vAlign w:val="center"/>
          </w:tcPr>
          <w:p w14:paraId="1D377055" w14:textId="77777777" w:rsidR="00DC20DF" w:rsidRPr="00423440" w:rsidRDefault="00DC20DF" w:rsidP="00DC20DF">
            <w:pPr>
              <w:keepNext/>
              <w:jc w:val="right"/>
              <w:rPr>
                <w:rFonts w:cs="Arial"/>
                <w:b/>
                <w:bCs/>
                <w:sz w:val="20"/>
                <w:szCs w:val="20"/>
              </w:rPr>
            </w:pPr>
            <w:r w:rsidRPr="00423440">
              <w:rPr>
                <w:sz w:val="20"/>
                <w:szCs w:val="20"/>
              </w:rPr>
              <w:t xml:space="preserve">11.199.818.449 </w:t>
            </w:r>
          </w:p>
        </w:tc>
      </w:tr>
      <w:tr w:rsidR="00DC20DF" w:rsidRPr="00423440" w14:paraId="47BFF13C" w14:textId="77777777" w:rsidTr="002970EF">
        <w:trPr>
          <w:trHeight w:val="397"/>
        </w:trPr>
        <w:tc>
          <w:tcPr>
            <w:tcW w:w="1411" w:type="pct"/>
            <w:tcBorders>
              <w:top w:val="single" w:sz="4" w:space="0" w:color="auto"/>
              <w:left w:val="nil"/>
              <w:bottom w:val="single" w:sz="4" w:space="0" w:color="auto"/>
              <w:right w:val="single" w:sz="4" w:space="0" w:color="auto"/>
            </w:tcBorders>
            <w:shd w:val="clear" w:color="auto" w:fill="B5EEF7"/>
            <w:noWrap/>
            <w:vAlign w:val="center"/>
            <w:hideMark/>
          </w:tcPr>
          <w:p w14:paraId="3CA47BDB" w14:textId="78C6C455" w:rsidR="00DC20DF" w:rsidRPr="00423440" w:rsidRDefault="00DC20DF" w:rsidP="007C1FBF">
            <w:pPr>
              <w:jc w:val="center"/>
              <w:rPr>
                <w:b/>
                <w:sz w:val="20"/>
                <w:szCs w:val="20"/>
              </w:rPr>
            </w:pPr>
            <w:r w:rsidRPr="00423440">
              <w:rPr>
                <w:b/>
                <w:sz w:val="20"/>
                <w:szCs w:val="20"/>
              </w:rPr>
              <w:t>Evolução Temporal</w:t>
            </w:r>
            <w:r w:rsidR="007C1FBF" w:rsidRPr="00423440">
              <w:rPr>
                <w:b/>
                <w:sz w:val="20"/>
                <w:szCs w:val="20"/>
              </w:rPr>
              <w:br/>
            </w:r>
            <w:r w:rsidRPr="00423440">
              <w:rPr>
                <w:b/>
                <w:sz w:val="20"/>
                <w:szCs w:val="20"/>
              </w:rPr>
              <w:t>2021-2022</w:t>
            </w:r>
          </w:p>
        </w:tc>
        <w:tc>
          <w:tcPr>
            <w:tcW w:w="1216" w:type="pct"/>
            <w:tcBorders>
              <w:top w:val="single" w:sz="4" w:space="0" w:color="auto"/>
              <w:left w:val="single" w:sz="4" w:space="0" w:color="auto"/>
              <w:bottom w:val="single" w:sz="4" w:space="0" w:color="auto"/>
              <w:right w:val="single" w:sz="4" w:space="0" w:color="auto"/>
            </w:tcBorders>
            <w:shd w:val="clear" w:color="auto" w:fill="B5EEF7"/>
            <w:noWrap/>
            <w:vAlign w:val="center"/>
          </w:tcPr>
          <w:p w14:paraId="0D3060EB" w14:textId="77777777" w:rsidR="00DC20DF" w:rsidRPr="00423440" w:rsidRDefault="00DC20DF" w:rsidP="00DC20DF">
            <w:pPr>
              <w:keepNext/>
              <w:jc w:val="center"/>
              <w:rPr>
                <w:rFonts w:cs="Arial"/>
                <w:b/>
                <w:bCs/>
                <w:sz w:val="20"/>
                <w:szCs w:val="20"/>
              </w:rPr>
            </w:pPr>
            <w:r w:rsidRPr="00423440">
              <w:rPr>
                <w:b/>
                <w:bCs/>
                <w:sz w:val="20"/>
                <w:szCs w:val="20"/>
              </w:rPr>
              <w:t>acréscimo de 32,59%</w:t>
            </w:r>
          </w:p>
        </w:tc>
        <w:tc>
          <w:tcPr>
            <w:tcW w:w="1186" w:type="pct"/>
            <w:tcBorders>
              <w:top w:val="single" w:sz="4" w:space="0" w:color="auto"/>
              <w:left w:val="single" w:sz="4" w:space="0" w:color="auto"/>
              <w:bottom w:val="single" w:sz="4" w:space="0" w:color="auto"/>
              <w:right w:val="single" w:sz="4" w:space="0" w:color="auto"/>
            </w:tcBorders>
            <w:shd w:val="clear" w:color="auto" w:fill="B5EEF7"/>
            <w:noWrap/>
            <w:vAlign w:val="center"/>
          </w:tcPr>
          <w:p w14:paraId="1402E17A" w14:textId="77777777" w:rsidR="00DC20DF" w:rsidRPr="00423440" w:rsidRDefault="00DC20DF" w:rsidP="00DC20DF">
            <w:pPr>
              <w:keepNext/>
              <w:jc w:val="center"/>
              <w:rPr>
                <w:rFonts w:cs="Arial"/>
                <w:b/>
                <w:bCs/>
                <w:sz w:val="20"/>
                <w:szCs w:val="20"/>
              </w:rPr>
            </w:pPr>
            <w:r w:rsidRPr="00423440">
              <w:rPr>
                <w:b/>
                <w:bCs/>
                <w:sz w:val="20"/>
                <w:szCs w:val="20"/>
              </w:rPr>
              <w:t xml:space="preserve"> decréscimo de 3,64%</w:t>
            </w:r>
          </w:p>
        </w:tc>
        <w:tc>
          <w:tcPr>
            <w:tcW w:w="1186" w:type="pct"/>
            <w:tcBorders>
              <w:top w:val="single" w:sz="4" w:space="0" w:color="auto"/>
              <w:left w:val="single" w:sz="4" w:space="0" w:color="auto"/>
              <w:bottom w:val="single" w:sz="4" w:space="0" w:color="auto"/>
              <w:right w:val="nil"/>
            </w:tcBorders>
            <w:shd w:val="clear" w:color="auto" w:fill="B5EEF7"/>
            <w:noWrap/>
            <w:vAlign w:val="center"/>
          </w:tcPr>
          <w:p w14:paraId="4D90D172" w14:textId="77777777" w:rsidR="00DC20DF" w:rsidRPr="00423440" w:rsidRDefault="00DC20DF" w:rsidP="00DC20DF">
            <w:pPr>
              <w:keepNext/>
              <w:jc w:val="center"/>
              <w:rPr>
                <w:rFonts w:cs="Arial"/>
                <w:b/>
                <w:bCs/>
                <w:sz w:val="20"/>
                <w:szCs w:val="20"/>
              </w:rPr>
            </w:pPr>
            <w:r w:rsidRPr="00423440">
              <w:rPr>
                <w:b/>
                <w:bCs/>
                <w:sz w:val="20"/>
                <w:szCs w:val="20"/>
              </w:rPr>
              <w:t xml:space="preserve"> decréscimo de 6,36%</w:t>
            </w:r>
          </w:p>
        </w:tc>
      </w:tr>
      <w:tr w:rsidR="002376AB" w:rsidRPr="00423440" w14:paraId="0B546C70" w14:textId="77777777" w:rsidTr="002970EF">
        <w:trPr>
          <w:trHeight w:val="397"/>
        </w:trPr>
        <w:tc>
          <w:tcPr>
            <w:tcW w:w="1411"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0B203B71" w14:textId="77777777" w:rsidR="002376AB" w:rsidRPr="00423440" w:rsidRDefault="002376AB" w:rsidP="00A11652">
            <w:pPr>
              <w:jc w:val="center"/>
              <w:rPr>
                <w:sz w:val="20"/>
                <w:szCs w:val="20"/>
              </w:rPr>
            </w:pPr>
            <w:r w:rsidRPr="00423440">
              <w:rPr>
                <w:sz w:val="20"/>
                <w:szCs w:val="20"/>
              </w:rPr>
              <w:t>2023</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6E95092B" w14:textId="77777777" w:rsidR="002376AB" w:rsidRPr="00423440" w:rsidRDefault="002376AB" w:rsidP="002970EF">
            <w:pPr>
              <w:keepNext/>
              <w:jc w:val="right"/>
              <w:rPr>
                <w:bCs/>
                <w:sz w:val="20"/>
                <w:szCs w:val="20"/>
              </w:rPr>
            </w:pPr>
            <w:r w:rsidRPr="00423440">
              <w:rPr>
                <w:bCs/>
                <w:sz w:val="20"/>
                <w:szCs w:val="20"/>
              </w:rPr>
              <w:t>11.499.928.000</w:t>
            </w:r>
          </w:p>
        </w:tc>
        <w:tc>
          <w:tcPr>
            <w:tcW w:w="1186"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668DB822" w14:textId="77777777" w:rsidR="002376AB" w:rsidRPr="00423440" w:rsidRDefault="002376AB" w:rsidP="002970EF">
            <w:pPr>
              <w:keepNext/>
              <w:jc w:val="right"/>
              <w:rPr>
                <w:bCs/>
                <w:sz w:val="20"/>
                <w:szCs w:val="20"/>
              </w:rPr>
            </w:pPr>
            <w:r w:rsidRPr="00423440">
              <w:rPr>
                <w:bCs/>
                <w:sz w:val="20"/>
                <w:szCs w:val="20"/>
              </w:rPr>
              <w:t>16.122.014.908</w:t>
            </w:r>
          </w:p>
        </w:tc>
        <w:tc>
          <w:tcPr>
            <w:tcW w:w="1186" w:type="pct"/>
            <w:tcBorders>
              <w:top w:val="single" w:sz="4" w:space="0" w:color="auto"/>
              <w:left w:val="single" w:sz="4" w:space="0" w:color="auto"/>
              <w:bottom w:val="single" w:sz="4" w:space="0" w:color="auto"/>
              <w:right w:val="nil"/>
            </w:tcBorders>
            <w:shd w:val="clear" w:color="auto" w:fill="FFFFFF" w:themeFill="background1"/>
            <w:noWrap/>
            <w:vAlign w:val="center"/>
          </w:tcPr>
          <w:p w14:paraId="65DDDC2C" w14:textId="77777777" w:rsidR="002376AB" w:rsidRPr="00423440" w:rsidRDefault="002376AB" w:rsidP="002970EF">
            <w:pPr>
              <w:keepNext/>
              <w:jc w:val="right"/>
              <w:rPr>
                <w:bCs/>
                <w:sz w:val="20"/>
                <w:szCs w:val="20"/>
              </w:rPr>
            </w:pPr>
            <w:r w:rsidRPr="00423440">
              <w:rPr>
                <w:bCs/>
                <w:sz w:val="20"/>
                <w:szCs w:val="20"/>
              </w:rPr>
              <w:t>11.053.136.197</w:t>
            </w:r>
          </w:p>
        </w:tc>
      </w:tr>
      <w:tr w:rsidR="002376AB" w:rsidRPr="00423440" w14:paraId="4DACBC1A" w14:textId="77777777" w:rsidTr="002970EF">
        <w:trPr>
          <w:trHeight w:val="397"/>
        </w:trPr>
        <w:tc>
          <w:tcPr>
            <w:tcW w:w="1411" w:type="pct"/>
            <w:tcBorders>
              <w:top w:val="single" w:sz="4" w:space="0" w:color="auto"/>
              <w:left w:val="nil"/>
              <w:bottom w:val="single" w:sz="4" w:space="0" w:color="auto"/>
              <w:right w:val="single" w:sz="4" w:space="0" w:color="auto"/>
            </w:tcBorders>
            <w:shd w:val="clear" w:color="auto" w:fill="B5EEF7"/>
            <w:noWrap/>
            <w:vAlign w:val="center"/>
            <w:hideMark/>
          </w:tcPr>
          <w:p w14:paraId="40D0C01B" w14:textId="77777777" w:rsidR="002376AB" w:rsidRPr="00423440" w:rsidRDefault="002376AB" w:rsidP="00A11652">
            <w:pPr>
              <w:jc w:val="center"/>
              <w:rPr>
                <w:b/>
                <w:sz w:val="20"/>
                <w:szCs w:val="20"/>
              </w:rPr>
            </w:pPr>
            <w:r w:rsidRPr="00423440">
              <w:rPr>
                <w:b/>
                <w:sz w:val="20"/>
                <w:szCs w:val="20"/>
              </w:rPr>
              <w:t xml:space="preserve">Evolução Temporal </w:t>
            </w:r>
          </w:p>
        </w:tc>
        <w:tc>
          <w:tcPr>
            <w:tcW w:w="1216" w:type="pct"/>
            <w:tcBorders>
              <w:top w:val="single" w:sz="4" w:space="0" w:color="auto"/>
              <w:left w:val="single" w:sz="4" w:space="0" w:color="auto"/>
              <w:bottom w:val="single" w:sz="4" w:space="0" w:color="auto"/>
              <w:right w:val="single" w:sz="4" w:space="0" w:color="auto"/>
            </w:tcBorders>
            <w:shd w:val="clear" w:color="auto" w:fill="B5EEF7"/>
            <w:noWrap/>
            <w:vAlign w:val="center"/>
          </w:tcPr>
          <w:p w14:paraId="2366A739" w14:textId="77777777" w:rsidR="002376AB" w:rsidRPr="00423440" w:rsidRDefault="002376AB" w:rsidP="002376AB">
            <w:pPr>
              <w:keepNext/>
              <w:jc w:val="center"/>
              <w:rPr>
                <w:b/>
                <w:bCs/>
                <w:sz w:val="20"/>
                <w:szCs w:val="20"/>
              </w:rPr>
            </w:pPr>
            <w:r w:rsidRPr="00423440">
              <w:rPr>
                <w:b/>
                <w:bCs/>
                <w:sz w:val="20"/>
                <w:szCs w:val="20"/>
              </w:rPr>
              <w:t>acréscimo de 9,59%</w:t>
            </w:r>
          </w:p>
        </w:tc>
        <w:tc>
          <w:tcPr>
            <w:tcW w:w="1186" w:type="pct"/>
            <w:tcBorders>
              <w:top w:val="single" w:sz="4" w:space="0" w:color="auto"/>
              <w:left w:val="single" w:sz="4" w:space="0" w:color="auto"/>
              <w:bottom w:val="single" w:sz="4" w:space="0" w:color="auto"/>
              <w:right w:val="single" w:sz="4" w:space="0" w:color="auto"/>
            </w:tcBorders>
            <w:shd w:val="clear" w:color="auto" w:fill="B5EEF7"/>
            <w:noWrap/>
            <w:vAlign w:val="center"/>
          </w:tcPr>
          <w:p w14:paraId="342A0043" w14:textId="77777777" w:rsidR="002376AB" w:rsidRPr="00423440" w:rsidRDefault="002376AB" w:rsidP="002376AB">
            <w:pPr>
              <w:keepNext/>
              <w:jc w:val="center"/>
              <w:rPr>
                <w:b/>
                <w:bCs/>
                <w:sz w:val="20"/>
                <w:szCs w:val="20"/>
              </w:rPr>
            </w:pPr>
            <w:r w:rsidRPr="00423440">
              <w:rPr>
                <w:b/>
                <w:bCs/>
                <w:sz w:val="20"/>
                <w:szCs w:val="20"/>
              </w:rPr>
              <w:t>acréscimo de 16,38%</w:t>
            </w:r>
          </w:p>
        </w:tc>
        <w:tc>
          <w:tcPr>
            <w:tcW w:w="1186" w:type="pct"/>
            <w:tcBorders>
              <w:top w:val="single" w:sz="4" w:space="0" w:color="auto"/>
              <w:left w:val="single" w:sz="4" w:space="0" w:color="auto"/>
              <w:bottom w:val="single" w:sz="4" w:space="0" w:color="auto"/>
              <w:right w:val="nil"/>
            </w:tcBorders>
            <w:shd w:val="clear" w:color="auto" w:fill="B5EEF7"/>
            <w:noWrap/>
            <w:vAlign w:val="center"/>
          </w:tcPr>
          <w:p w14:paraId="4A58D9EA" w14:textId="77777777" w:rsidR="002376AB" w:rsidRPr="00423440" w:rsidRDefault="002376AB" w:rsidP="002376AB">
            <w:pPr>
              <w:keepNext/>
              <w:jc w:val="center"/>
              <w:rPr>
                <w:b/>
                <w:bCs/>
                <w:sz w:val="20"/>
                <w:szCs w:val="20"/>
              </w:rPr>
            </w:pPr>
            <w:r w:rsidRPr="00423440">
              <w:rPr>
                <w:b/>
                <w:bCs/>
                <w:sz w:val="20"/>
                <w:szCs w:val="20"/>
              </w:rPr>
              <w:t>decréscimo de 1,31%</w:t>
            </w:r>
          </w:p>
        </w:tc>
      </w:tr>
    </w:tbl>
    <w:p w14:paraId="29965713" w14:textId="4160C6B5" w:rsidR="00DC20DF" w:rsidRPr="00F65045" w:rsidRDefault="00DC20DF" w:rsidP="00EF01A1">
      <w:pPr>
        <w:pStyle w:val="1-FONTE8ESQ"/>
      </w:pPr>
      <w:r w:rsidRPr="00F65045">
        <w:t xml:space="preserve">Fonte: Plano Plurianual 2020-2023 e </w:t>
      </w:r>
      <w:r w:rsidR="00531981" w:rsidRPr="00531981">
        <w:t>Comparativo da Despesa Autorizada com a Realizada por Projeto/Atividade</w:t>
      </w:r>
      <w:r w:rsidR="00531981">
        <w:t xml:space="preserve"> - </w:t>
      </w:r>
      <w:r w:rsidR="00531981" w:rsidRPr="004D0F52">
        <w:t>Anexo 11</w:t>
      </w:r>
      <w:r w:rsidR="00531981">
        <w:t xml:space="preserve"> (BGE 2023)</w:t>
      </w:r>
    </w:p>
    <w:p w14:paraId="2B8D4BE6" w14:textId="496D79B0" w:rsidR="00A11652" w:rsidRPr="00980B82" w:rsidRDefault="00A11652" w:rsidP="00A11652">
      <w:pPr>
        <w:pStyle w:val="1-REL11"/>
      </w:pPr>
      <w:r w:rsidRPr="00980B82">
        <w:t>Todos os Programas Finalísticos obtiveram significativas suplementações em seus recursos inicialmente orçados, tendo a despesa autorizada majorado o orçamento inicial em 40,19%, conforme discriminação abaixo:</w:t>
      </w:r>
    </w:p>
    <w:p w14:paraId="520A09A5" w14:textId="156C0158" w:rsidR="00DC20DF" w:rsidRPr="006E462E" w:rsidRDefault="00DC20DF" w:rsidP="00ED3571">
      <w:pPr>
        <w:pStyle w:val="0-TABELA"/>
      </w:pPr>
      <w:bookmarkStart w:id="36" w:name="_Toc167871721"/>
      <w:r w:rsidRPr="006E462E">
        <w:t>Programas Finalísticos</w:t>
      </w:r>
      <w:bookmarkEnd w:id="36"/>
    </w:p>
    <w:p w14:paraId="6620D615" w14:textId="6BB78206" w:rsidR="00DC20DF" w:rsidRPr="006E462E" w:rsidRDefault="00EE2E8E" w:rsidP="00DC20DF">
      <w:pPr>
        <w:pStyle w:val="0-EmR1"/>
      </w:pPr>
      <w:r>
        <w:t>R$ 1</w:t>
      </w:r>
    </w:p>
    <w:tbl>
      <w:tblPr>
        <w:tblW w:w="5000" w:type="pct"/>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976"/>
        <w:gridCol w:w="1278"/>
        <w:gridCol w:w="1279"/>
        <w:gridCol w:w="1276"/>
        <w:gridCol w:w="1270"/>
        <w:gridCol w:w="1274"/>
      </w:tblGrid>
      <w:tr w:rsidR="007A5BBD" w:rsidRPr="00B54618" w14:paraId="54D7E9B6" w14:textId="77777777" w:rsidTr="007A5BBD">
        <w:trPr>
          <w:trHeight w:val="397"/>
          <w:tblHeader/>
        </w:trPr>
        <w:tc>
          <w:tcPr>
            <w:tcW w:w="1591" w:type="pct"/>
            <w:vMerge w:val="restart"/>
            <w:tcBorders>
              <w:top w:val="single" w:sz="4" w:space="0" w:color="auto"/>
              <w:left w:val="nil"/>
              <w:right w:val="single" w:sz="4" w:space="0" w:color="auto"/>
            </w:tcBorders>
            <w:shd w:val="clear" w:color="auto" w:fill="A1F2FD"/>
            <w:noWrap/>
            <w:tcMar>
              <w:top w:w="28" w:type="dxa"/>
              <w:bottom w:w="28" w:type="dxa"/>
            </w:tcMar>
            <w:vAlign w:val="center"/>
            <w:hideMark/>
          </w:tcPr>
          <w:p w14:paraId="6F7E2356" w14:textId="77777777" w:rsidR="007A5BBD" w:rsidRPr="00FC63E4" w:rsidRDefault="007A5BBD" w:rsidP="00B32D66">
            <w:pPr>
              <w:jc w:val="center"/>
              <w:rPr>
                <w:rFonts w:cs="Arial"/>
                <w:b/>
                <w:bCs/>
                <w:sz w:val="18"/>
                <w:szCs w:val="18"/>
              </w:rPr>
            </w:pPr>
            <w:r w:rsidRPr="00FC63E4">
              <w:rPr>
                <w:rFonts w:cs="Arial"/>
                <w:b/>
                <w:bCs/>
                <w:sz w:val="18"/>
                <w:szCs w:val="18"/>
              </w:rPr>
              <w:t>Eixos Estratégicos</w:t>
            </w:r>
          </w:p>
        </w:tc>
        <w:tc>
          <w:tcPr>
            <w:tcW w:w="683" w:type="pct"/>
            <w:tcBorders>
              <w:top w:val="single" w:sz="4" w:space="0" w:color="auto"/>
              <w:left w:val="single" w:sz="4" w:space="0" w:color="auto"/>
              <w:bottom w:val="nil"/>
              <w:right w:val="single" w:sz="4" w:space="0" w:color="auto"/>
            </w:tcBorders>
            <w:shd w:val="clear" w:color="auto" w:fill="A1F2FD"/>
            <w:noWrap/>
            <w:tcMar>
              <w:top w:w="28" w:type="dxa"/>
              <w:bottom w:w="28" w:type="dxa"/>
            </w:tcMar>
            <w:vAlign w:val="center"/>
            <w:hideMark/>
          </w:tcPr>
          <w:p w14:paraId="551E7C2C" w14:textId="77777777" w:rsidR="007A5BBD" w:rsidRPr="00FC63E4" w:rsidRDefault="007A5BBD" w:rsidP="00B32D66">
            <w:pPr>
              <w:jc w:val="center"/>
              <w:rPr>
                <w:rFonts w:cs="Arial"/>
                <w:b/>
                <w:bCs/>
                <w:sz w:val="18"/>
                <w:szCs w:val="18"/>
              </w:rPr>
            </w:pPr>
            <w:r w:rsidRPr="00FC63E4">
              <w:rPr>
                <w:rFonts w:cs="Arial"/>
                <w:b/>
                <w:bCs/>
                <w:sz w:val="18"/>
                <w:szCs w:val="18"/>
              </w:rPr>
              <w:t>Orçada</w:t>
            </w:r>
          </w:p>
        </w:tc>
        <w:tc>
          <w:tcPr>
            <w:tcW w:w="684" w:type="pct"/>
            <w:tcBorders>
              <w:top w:val="single" w:sz="4" w:space="0" w:color="auto"/>
              <w:left w:val="single" w:sz="4" w:space="0" w:color="auto"/>
              <w:bottom w:val="nil"/>
              <w:right w:val="single" w:sz="4" w:space="0" w:color="auto"/>
            </w:tcBorders>
            <w:shd w:val="clear" w:color="auto" w:fill="A1F2FD"/>
            <w:noWrap/>
            <w:tcMar>
              <w:top w:w="28" w:type="dxa"/>
              <w:bottom w:w="28" w:type="dxa"/>
            </w:tcMar>
            <w:vAlign w:val="center"/>
            <w:hideMark/>
          </w:tcPr>
          <w:p w14:paraId="0D8E8D69" w14:textId="77777777" w:rsidR="007A5BBD" w:rsidRPr="00FC63E4" w:rsidRDefault="007A5BBD" w:rsidP="00B32D66">
            <w:pPr>
              <w:jc w:val="center"/>
              <w:rPr>
                <w:rFonts w:cs="Arial"/>
                <w:b/>
                <w:bCs/>
                <w:sz w:val="18"/>
                <w:szCs w:val="18"/>
              </w:rPr>
            </w:pPr>
            <w:r w:rsidRPr="00FC63E4">
              <w:rPr>
                <w:rFonts w:cs="Arial"/>
                <w:b/>
                <w:bCs/>
                <w:sz w:val="18"/>
                <w:szCs w:val="18"/>
              </w:rPr>
              <w:t>Autorizada</w:t>
            </w:r>
          </w:p>
        </w:tc>
        <w:tc>
          <w:tcPr>
            <w:tcW w:w="682" w:type="pct"/>
            <w:tcBorders>
              <w:top w:val="single" w:sz="4" w:space="0" w:color="auto"/>
              <w:left w:val="single" w:sz="4" w:space="0" w:color="auto"/>
              <w:bottom w:val="nil"/>
              <w:right w:val="single" w:sz="4" w:space="0" w:color="auto"/>
            </w:tcBorders>
            <w:shd w:val="clear" w:color="auto" w:fill="A1F2FD"/>
            <w:noWrap/>
            <w:tcMar>
              <w:top w:w="28" w:type="dxa"/>
              <w:bottom w:w="28" w:type="dxa"/>
            </w:tcMar>
            <w:vAlign w:val="center"/>
            <w:hideMark/>
          </w:tcPr>
          <w:p w14:paraId="30D3BE6D" w14:textId="77777777" w:rsidR="007A5BBD" w:rsidRPr="004466B5" w:rsidRDefault="007A5BBD" w:rsidP="00B32D66">
            <w:pPr>
              <w:jc w:val="center"/>
              <w:rPr>
                <w:rFonts w:cs="Arial"/>
                <w:b/>
                <w:bCs/>
                <w:sz w:val="18"/>
                <w:szCs w:val="18"/>
              </w:rPr>
            </w:pPr>
            <w:r w:rsidRPr="004466B5">
              <w:rPr>
                <w:rFonts w:cs="Arial"/>
                <w:b/>
                <w:bCs/>
                <w:sz w:val="18"/>
                <w:szCs w:val="18"/>
              </w:rPr>
              <w:t>Empenhada</w:t>
            </w:r>
          </w:p>
        </w:tc>
        <w:tc>
          <w:tcPr>
            <w:tcW w:w="679" w:type="pct"/>
            <w:tcBorders>
              <w:top w:val="single" w:sz="4" w:space="0" w:color="auto"/>
              <w:left w:val="single" w:sz="4" w:space="0" w:color="auto"/>
              <w:bottom w:val="nil"/>
              <w:right w:val="single" w:sz="4" w:space="0" w:color="auto"/>
            </w:tcBorders>
            <w:shd w:val="clear" w:color="auto" w:fill="A1F2FD"/>
            <w:noWrap/>
            <w:tcMar>
              <w:top w:w="28" w:type="dxa"/>
              <w:bottom w:w="28" w:type="dxa"/>
            </w:tcMar>
            <w:vAlign w:val="center"/>
            <w:hideMark/>
          </w:tcPr>
          <w:p w14:paraId="463D27CD" w14:textId="77777777" w:rsidR="007A5BBD" w:rsidRPr="004466B5" w:rsidRDefault="007A5BBD" w:rsidP="00B32D66">
            <w:pPr>
              <w:jc w:val="center"/>
              <w:rPr>
                <w:rFonts w:cs="Arial"/>
                <w:b/>
                <w:bCs/>
                <w:sz w:val="18"/>
                <w:szCs w:val="18"/>
              </w:rPr>
            </w:pPr>
            <w:r>
              <w:rPr>
                <w:rFonts w:cs="Arial"/>
                <w:b/>
                <w:bCs/>
                <w:sz w:val="18"/>
                <w:szCs w:val="18"/>
              </w:rPr>
              <w:t xml:space="preserve">% </w:t>
            </w:r>
            <w:r w:rsidRPr="004466B5">
              <w:rPr>
                <w:rFonts w:cs="Arial"/>
                <w:b/>
                <w:bCs/>
                <w:sz w:val="18"/>
                <w:szCs w:val="18"/>
              </w:rPr>
              <w:t>Autorizada / Orçada</w:t>
            </w:r>
          </w:p>
        </w:tc>
        <w:tc>
          <w:tcPr>
            <w:tcW w:w="681" w:type="pct"/>
            <w:tcBorders>
              <w:top w:val="single" w:sz="4" w:space="0" w:color="auto"/>
              <w:left w:val="single" w:sz="4" w:space="0" w:color="auto"/>
              <w:bottom w:val="nil"/>
              <w:right w:val="nil"/>
            </w:tcBorders>
            <w:shd w:val="clear" w:color="auto" w:fill="A1F2FD"/>
            <w:noWrap/>
            <w:tcMar>
              <w:top w:w="28" w:type="dxa"/>
              <w:bottom w:w="28" w:type="dxa"/>
            </w:tcMar>
            <w:vAlign w:val="center"/>
            <w:hideMark/>
          </w:tcPr>
          <w:p w14:paraId="332CB2E6" w14:textId="77777777" w:rsidR="007A5BBD" w:rsidRPr="004466B5" w:rsidRDefault="007A5BBD" w:rsidP="00B32D66">
            <w:pPr>
              <w:jc w:val="center"/>
              <w:rPr>
                <w:rFonts w:cs="Arial"/>
                <w:b/>
                <w:bCs/>
                <w:sz w:val="18"/>
                <w:szCs w:val="18"/>
              </w:rPr>
            </w:pPr>
            <w:r>
              <w:rPr>
                <w:rFonts w:cs="Arial"/>
                <w:b/>
                <w:bCs/>
                <w:sz w:val="18"/>
                <w:szCs w:val="18"/>
              </w:rPr>
              <w:t xml:space="preserve">% </w:t>
            </w:r>
            <w:r w:rsidRPr="004466B5">
              <w:rPr>
                <w:rFonts w:cs="Arial"/>
                <w:b/>
                <w:bCs/>
                <w:sz w:val="18"/>
                <w:szCs w:val="18"/>
              </w:rPr>
              <w:t>Empenhada / Autorizado</w:t>
            </w:r>
          </w:p>
        </w:tc>
      </w:tr>
      <w:tr w:rsidR="007A5BBD" w:rsidRPr="00B54618" w14:paraId="5CA13112" w14:textId="77777777" w:rsidTr="007A5BBD">
        <w:trPr>
          <w:trHeight w:val="397"/>
          <w:tblHeader/>
        </w:trPr>
        <w:tc>
          <w:tcPr>
            <w:tcW w:w="1591" w:type="pct"/>
            <w:vMerge/>
            <w:tcBorders>
              <w:left w:val="nil"/>
              <w:bottom w:val="single" w:sz="4" w:space="0" w:color="auto"/>
              <w:right w:val="single" w:sz="4" w:space="0" w:color="auto"/>
            </w:tcBorders>
            <w:shd w:val="clear" w:color="auto" w:fill="A1F2FD"/>
            <w:noWrap/>
            <w:tcMar>
              <w:top w:w="28" w:type="dxa"/>
              <w:bottom w:w="28" w:type="dxa"/>
            </w:tcMar>
            <w:vAlign w:val="center"/>
          </w:tcPr>
          <w:p w14:paraId="0326A896" w14:textId="77777777" w:rsidR="007A5BBD" w:rsidRPr="00FC63E4" w:rsidRDefault="007A5BBD" w:rsidP="00B32D66">
            <w:pPr>
              <w:jc w:val="center"/>
              <w:rPr>
                <w:rFonts w:cs="Arial"/>
                <w:b/>
                <w:bCs/>
                <w:sz w:val="18"/>
                <w:szCs w:val="18"/>
              </w:rPr>
            </w:pPr>
          </w:p>
        </w:tc>
        <w:tc>
          <w:tcPr>
            <w:tcW w:w="683" w:type="pct"/>
            <w:tcBorders>
              <w:top w:val="nil"/>
              <w:left w:val="single" w:sz="4" w:space="0" w:color="auto"/>
              <w:bottom w:val="single" w:sz="4" w:space="0" w:color="auto"/>
              <w:right w:val="single" w:sz="4" w:space="0" w:color="auto"/>
            </w:tcBorders>
            <w:shd w:val="clear" w:color="auto" w:fill="A1F2FD"/>
            <w:noWrap/>
            <w:tcMar>
              <w:top w:w="28" w:type="dxa"/>
              <w:bottom w:w="28" w:type="dxa"/>
            </w:tcMar>
            <w:vAlign w:val="center"/>
          </w:tcPr>
          <w:p w14:paraId="7D1E3763" w14:textId="1FB90E2D" w:rsidR="007A5BBD" w:rsidRPr="00FC63E4" w:rsidRDefault="004A06E3" w:rsidP="00B32D66">
            <w:pPr>
              <w:jc w:val="center"/>
              <w:rPr>
                <w:rFonts w:cs="Arial"/>
                <w:b/>
                <w:bCs/>
                <w:sz w:val="18"/>
                <w:szCs w:val="18"/>
              </w:rPr>
            </w:pPr>
            <w:r>
              <w:rPr>
                <w:rFonts w:cs="Arial"/>
                <w:b/>
                <w:bCs/>
                <w:sz w:val="18"/>
                <w:szCs w:val="18"/>
              </w:rPr>
              <w:t>(a)</w:t>
            </w:r>
          </w:p>
        </w:tc>
        <w:tc>
          <w:tcPr>
            <w:tcW w:w="684" w:type="pct"/>
            <w:tcBorders>
              <w:top w:val="nil"/>
              <w:left w:val="single" w:sz="4" w:space="0" w:color="auto"/>
              <w:bottom w:val="single" w:sz="4" w:space="0" w:color="auto"/>
              <w:right w:val="single" w:sz="4" w:space="0" w:color="auto"/>
            </w:tcBorders>
            <w:shd w:val="clear" w:color="auto" w:fill="A1F2FD"/>
            <w:noWrap/>
            <w:tcMar>
              <w:top w:w="28" w:type="dxa"/>
              <w:bottom w:w="28" w:type="dxa"/>
            </w:tcMar>
            <w:vAlign w:val="center"/>
          </w:tcPr>
          <w:p w14:paraId="0B3FDA50" w14:textId="2DFB92D2" w:rsidR="007A5BBD" w:rsidRPr="00FC63E4" w:rsidRDefault="004A06E3" w:rsidP="00B32D66">
            <w:pPr>
              <w:jc w:val="center"/>
              <w:rPr>
                <w:rFonts w:cs="Arial"/>
                <w:b/>
                <w:bCs/>
                <w:sz w:val="18"/>
                <w:szCs w:val="18"/>
              </w:rPr>
            </w:pPr>
            <w:r>
              <w:rPr>
                <w:rFonts w:cs="Arial"/>
                <w:b/>
                <w:bCs/>
                <w:sz w:val="18"/>
                <w:szCs w:val="18"/>
              </w:rPr>
              <w:t>(b)</w:t>
            </w:r>
          </w:p>
        </w:tc>
        <w:tc>
          <w:tcPr>
            <w:tcW w:w="682" w:type="pct"/>
            <w:tcBorders>
              <w:top w:val="nil"/>
              <w:left w:val="single" w:sz="4" w:space="0" w:color="auto"/>
              <w:bottom w:val="single" w:sz="4" w:space="0" w:color="auto"/>
              <w:right w:val="single" w:sz="4" w:space="0" w:color="auto"/>
            </w:tcBorders>
            <w:shd w:val="clear" w:color="auto" w:fill="A1F2FD"/>
            <w:noWrap/>
            <w:tcMar>
              <w:top w:w="28" w:type="dxa"/>
              <w:bottom w:w="28" w:type="dxa"/>
            </w:tcMar>
            <w:vAlign w:val="center"/>
          </w:tcPr>
          <w:p w14:paraId="2BA6F785" w14:textId="4EEE086B" w:rsidR="007A5BBD" w:rsidRPr="004466B5" w:rsidRDefault="004A06E3" w:rsidP="00B32D66">
            <w:pPr>
              <w:jc w:val="center"/>
              <w:rPr>
                <w:rFonts w:cs="Arial"/>
                <w:b/>
                <w:bCs/>
                <w:sz w:val="18"/>
                <w:szCs w:val="18"/>
              </w:rPr>
            </w:pPr>
            <w:r>
              <w:rPr>
                <w:rFonts w:cs="Arial"/>
                <w:b/>
                <w:bCs/>
                <w:sz w:val="18"/>
                <w:szCs w:val="18"/>
              </w:rPr>
              <w:t>(c)</w:t>
            </w:r>
          </w:p>
        </w:tc>
        <w:tc>
          <w:tcPr>
            <w:tcW w:w="679" w:type="pct"/>
            <w:tcBorders>
              <w:top w:val="nil"/>
              <w:left w:val="single" w:sz="4" w:space="0" w:color="auto"/>
              <w:bottom w:val="single" w:sz="4" w:space="0" w:color="auto"/>
              <w:right w:val="single" w:sz="4" w:space="0" w:color="auto"/>
            </w:tcBorders>
            <w:shd w:val="clear" w:color="auto" w:fill="A1F2FD"/>
            <w:noWrap/>
            <w:tcMar>
              <w:top w:w="28" w:type="dxa"/>
              <w:bottom w:w="28" w:type="dxa"/>
            </w:tcMar>
            <w:vAlign w:val="center"/>
          </w:tcPr>
          <w:p w14:paraId="3F727598" w14:textId="19384142" w:rsidR="007A5BBD" w:rsidRDefault="004A06E3" w:rsidP="00B32D66">
            <w:pPr>
              <w:jc w:val="center"/>
              <w:rPr>
                <w:rFonts w:cs="Arial"/>
                <w:b/>
                <w:bCs/>
                <w:sz w:val="18"/>
                <w:szCs w:val="18"/>
              </w:rPr>
            </w:pPr>
            <w:r>
              <w:rPr>
                <w:rFonts w:cs="Arial"/>
                <w:b/>
                <w:bCs/>
                <w:sz w:val="18"/>
                <w:szCs w:val="18"/>
              </w:rPr>
              <w:t>(d) = (b/a)</w:t>
            </w:r>
          </w:p>
        </w:tc>
        <w:tc>
          <w:tcPr>
            <w:tcW w:w="681" w:type="pct"/>
            <w:tcBorders>
              <w:top w:val="nil"/>
              <w:left w:val="single" w:sz="4" w:space="0" w:color="auto"/>
              <w:bottom w:val="single" w:sz="4" w:space="0" w:color="auto"/>
              <w:right w:val="nil"/>
            </w:tcBorders>
            <w:shd w:val="clear" w:color="auto" w:fill="A1F2FD"/>
            <w:noWrap/>
            <w:tcMar>
              <w:top w:w="28" w:type="dxa"/>
              <w:bottom w:w="28" w:type="dxa"/>
            </w:tcMar>
            <w:vAlign w:val="center"/>
          </w:tcPr>
          <w:p w14:paraId="25161E9D" w14:textId="61D2D6A7" w:rsidR="007A5BBD" w:rsidRDefault="004A06E3" w:rsidP="00B32D66">
            <w:pPr>
              <w:jc w:val="center"/>
              <w:rPr>
                <w:rFonts w:cs="Arial"/>
                <w:b/>
                <w:bCs/>
                <w:sz w:val="18"/>
                <w:szCs w:val="18"/>
              </w:rPr>
            </w:pPr>
            <w:r>
              <w:rPr>
                <w:rFonts w:cs="Arial"/>
                <w:b/>
                <w:bCs/>
                <w:sz w:val="18"/>
                <w:szCs w:val="18"/>
              </w:rPr>
              <w:t>(e) = (c/b)</w:t>
            </w:r>
          </w:p>
        </w:tc>
      </w:tr>
      <w:tr w:rsidR="002970EF" w:rsidRPr="00B54618" w14:paraId="29E96536" w14:textId="77777777" w:rsidTr="000E4601">
        <w:trPr>
          <w:trHeight w:val="397"/>
        </w:trPr>
        <w:tc>
          <w:tcPr>
            <w:tcW w:w="1591" w:type="pct"/>
            <w:tcBorders>
              <w:top w:val="single" w:sz="4" w:space="0" w:color="auto"/>
              <w:left w:val="nil"/>
              <w:bottom w:val="nil"/>
              <w:right w:val="single" w:sz="4" w:space="0" w:color="auto"/>
            </w:tcBorders>
            <w:noWrap/>
            <w:tcMar>
              <w:top w:w="28" w:type="dxa"/>
              <w:bottom w:w="28" w:type="dxa"/>
            </w:tcMar>
            <w:vAlign w:val="center"/>
          </w:tcPr>
          <w:p w14:paraId="7A2DC1E2" w14:textId="77777777" w:rsidR="002970EF" w:rsidRPr="002970EF" w:rsidRDefault="002970EF" w:rsidP="00B32D66">
            <w:pPr>
              <w:jc w:val="left"/>
              <w:rPr>
                <w:rFonts w:cs="Arial"/>
                <w:sz w:val="18"/>
                <w:szCs w:val="18"/>
              </w:rPr>
            </w:pPr>
            <w:r w:rsidRPr="002970EF">
              <w:rPr>
                <w:rFonts w:cs="Arial"/>
                <w:color w:val="000000"/>
                <w:sz w:val="18"/>
                <w:szCs w:val="18"/>
              </w:rPr>
              <w:t>Eixo 6 - Goiás da Saúde Integral</w:t>
            </w:r>
          </w:p>
        </w:tc>
        <w:tc>
          <w:tcPr>
            <w:tcW w:w="683" w:type="pct"/>
            <w:tcBorders>
              <w:top w:val="single" w:sz="4" w:space="0" w:color="auto"/>
              <w:left w:val="single" w:sz="4" w:space="0" w:color="auto"/>
              <w:bottom w:val="nil"/>
              <w:right w:val="single" w:sz="4" w:space="0" w:color="auto"/>
            </w:tcBorders>
            <w:noWrap/>
            <w:tcMar>
              <w:top w:w="28" w:type="dxa"/>
              <w:bottom w:w="28" w:type="dxa"/>
            </w:tcMar>
            <w:vAlign w:val="center"/>
          </w:tcPr>
          <w:p w14:paraId="4873E1FA" w14:textId="77777777" w:rsidR="002970EF" w:rsidRPr="002970EF" w:rsidRDefault="002970EF" w:rsidP="002970EF">
            <w:pPr>
              <w:ind w:left="-62" w:right="-57"/>
              <w:jc w:val="right"/>
              <w:rPr>
                <w:rFonts w:cs="Arial"/>
                <w:sz w:val="18"/>
                <w:szCs w:val="18"/>
              </w:rPr>
            </w:pPr>
            <w:r w:rsidRPr="002970EF">
              <w:rPr>
                <w:rFonts w:cs="Arial"/>
                <w:sz w:val="18"/>
                <w:szCs w:val="18"/>
              </w:rPr>
              <w:t>3.994.458.000</w:t>
            </w:r>
          </w:p>
        </w:tc>
        <w:tc>
          <w:tcPr>
            <w:tcW w:w="684" w:type="pct"/>
            <w:tcBorders>
              <w:top w:val="single" w:sz="4" w:space="0" w:color="auto"/>
              <w:left w:val="single" w:sz="4" w:space="0" w:color="auto"/>
              <w:bottom w:val="nil"/>
              <w:right w:val="single" w:sz="4" w:space="0" w:color="auto"/>
            </w:tcBorders>
            <w:noWrap/>
            <w:tcMar>
              <w:top w:w="28" w:type="dxa"/>
              <w:bottom w:w="28" w:type="dxa"/>
            </w:tcMar>
            <w:vAlign w:val="center"/>
          </w:tcPr>
          <w:p w14:paraId="20B11CCC" w14:textId="77777777" w:rsidR="002970EF" w:rsidRPr="002970EF" w:rsidRDefault="002970EF" w:rsidP="002970EF">
            <w:pPr>
              <w:ind w:left="-68" w:right="-57"/>
              <w:jc w:val="right"/>
              <w:rPr>
                <w:rFonts w:cs="Arial"/>
                <w:sz w:val="18"/>
                <w:szCs w:val="18"/>
              </w:rPr>
            </w:pPr>
            <w:r w:rsidRPr="002970EF">
              <w:rPr>
                <w:rFonts w:cs="Arial"/>
                <w:sz w:val="18"/>
                <w:szCs w:val="18"/>
              </w:rPr>
              <w:t>4.612.987.928</w:t>
            </w:r>
          </w:p>
        </w:tc>
        <w:tc>
          <w:tcPr>
            <w:tcW w:w="682" w:type="pct"/>
            <w:tcBorders>
              <w:top w:val="single" w:sz="4" w:space="0" w:color="auto"/>
              <w:left w:val="single" w:sz="4" w:space="0" w:color="auto"/>
              <w:bottom w:val="nil"/>
              <w:right w:val="single" w:sz="4" w:space="0" w:color="auto"/>
            </w:tcBorders>
            <w:noWrap/>
            <w:tcMar>
              <w:top w:w="28" w:type="dxa"/>
              <w:bottom w:w="28" w:type="dxa"/>
            </w:tcMar>
            <w:vAlign w:val="center"/>
          </w:tcPr>
          <w:p w14:paraId="45AA83F1" w14:textId="77777777" w:rsidR="002970EF" w:rsidRPr="002970EF" w:rsidRDefault="002970EF" w:rsidP="002970EF">
            <w:pPr>
              <w:ind w:left="-70" w:right="-57"/>
              <w:jc w:val="right"/>
              <w:rPr>
                <w:rFonts w:cs="Arial"/>
                <w:sz w:val="18"/>
                <w:szCs w:val="18"/>
              </w:rPr>
            </w:pPr>
            <w:r w:rsidRPr="002970EF">
              <w:rPr>
                <w:rFonts w:cs="Arial"/>
                <w:color w:val="000000"/>
                <w:sz w:val="18"/>
                <w:szCs w:val="18"/>
              </w:rPr>
              <w:t>4.120.231.163</w:t>
            </w:r>
          </w:p>
        </w:tc>
        <w:tc>
          <w:tcPr>
            <w:tcW w:w="679" w:type="pct"/>
            <w:tcBorders>
              <w:top w:val="single" w:sz="4" w:space="0" w:color="auto"/>
              <w:left w:val="single" w:sz="4" w:space="0" w:color="auto"/>
              <w:bottom w:val="nil"/>
              <w:right w:val="single" w:sz="4" w:space="0" w:color="auto"/>
            </w:tcBorders>
            <w:noWrap/>
            <w:tcMar>
              <w:top w:w="28" w:type="dxa"/>
              <w:bottom w:w="28" w:type="dxa"/>
            </w:tcMar>
            <w:vAlign w:val="center"/>
          </w:tcPr>
          <w:p w14:paraId="3994997B" w14:textId="77777777" w:rsidR="002970EF" w:rsidRPr="002970EF" w:rsidRDefault="002970EF" w:rsidP="00B32D66">
            <w:pPr>
              <w:jc w:val="center"/>
              <w:rPr>
                <w:rFonts w:cs="Arial"/>
                <w:sz w:val="18"/>
                <w:szCs w:val="18"/>
              </w:rPr>
            </w:pPr>
            <w:r w:rsidRPr="002970EF">
              <w:rPr>
                <w:rFonts w:cs="Arial"/>
                <w:color w:val="000000"/>
                <w:sz w:val="18"/>
                <w:szCs w:val="18"/>
              </w:rPr>
              <w:t>115,48</w:t>
            </w:r>
          </w:p>
        </w:tc>
        <w:tc>
          <w:tcPr>
            <w:tcW w:w="681" w:type="pct"/>
            <w:tcBorders>
              <w:top w:val="single" w:sz="4" w:space="0" w:color="auto"/>
              <w:left w:val="single" w:sz="4" w:space="0" w:color="auto"/>
              <w:bottom w:val="nil"/>
              <w:right w:val="nil"/>
            </w:tcBorders>
            <w:noWrap/>
            <w:tcMar>
              <w:top w:w="28" w:type="dxa"/>
              <w:bottom w:w="28" w:type="dxa"/>
            </w:tcMar>
            <w:vAlign w:val="center"/>
          </w:tcPr>
          <w:p w14:paraId="14D0D0DD" w14:textId="77777777" w:rsidR="002970EF" w:rsidRPr="002970EF" w:rsidRDefault="002970EF" w:rsidP="00B32D66">
            <w:pPr>
              <w:jc w:val="center"/>
              <w:rPr>
                <w:rFonts w:cs="Arial"/>
                <w:sz w:val="18"/>
                <w:szCs w:val="18"/>
              </w:rPr>
            </w:pPr>
            <w:r w:rsidRPr="002970EF">
              <w:rPr>
                <w:rFonts w:cs="Arial"/>
                <w:color w:val="000000"/>
                <w:sz w:val="18"/>
                <w:szCs w:val="18"/>
              </w:rPr>
              <w:t>89,32</w:t>
            </w:r>
          </w:p>
        </w:tc>
      </w:tr>
      <w:tr w:rsidR="002970EF" w:rsidRPr="00B54618" w14:paraId="6F32493B" w14:textId="77777777" w:rsidTr="000E4601">
        <w:trPr>
          <w:trHeight w:val="397"/>
        </w:trPr>
        <w:tc>
          <w:tcPr>
            <w:tcW w:w="1591" w:type="pct"/>
            <w:tcBorders>
              <w:top w:val="nil"/>
              <w:left w:val="nil"/>
              <w:bottom w:val="nil"/>
              <w:right w:val="single" w:sz="4" w:space="0" w:color="auto"/>
            </w:tcBorders>
            <w:noWrap/>
            <w:tcMar>
              <w:top w:w="28" w:type="dxa"/>
              <w:bottom w:w="28" w:type="dxa"/>
            </w:tcMar>
            <w:vAlign w:val="center"/>
          </w:tcPr>
          <w:p w14:paraId="79DC818F" w14:textId="77777777" w:rsidR="002970EF" w:rsidRPr="002970EF" w:rsidRDefault="002970EF" w:rsidP="00B32D66">
            <w:pPr>
              <w:jc w:val="left"/>
              <w:rPr>
                <w:rFonts w:cs="Arial"/>
                <w:sz w:val="18"/>
                <w:szCs w:val="18"/>
              </w:rPr>
            </w:pPr>
            <w:r w:rsidRPr="002970EF">
              <w:rPr>
                <w:rFonts w:cs="Arial"/>
                <w:sz w:val="18"/>
                <w:szCs w:val="18"/>
              </w:rPr>
              <w:t>Eixo 2 - Goiás da Governança e Gestão Transformadora</w:t>
            </w:r>
          </w:p>
        </w:tc>
        <w:tc>
          <w:tcPr>
            <w:tcW w:w="683" w:type="pct"/>
            <w:tcBorders>
              <w:top w:val="nil"/>
              <w:left w:val="single" w:sz="4" w:space="0" w:color="auto"/>
              <w:bottom w:val="nil"/>
              <w:right w:val="single" w:sz="4" w:space="0" w:color="auto"/>
            </w:tcBorders>
            <w:noWrap/>
            <w:tcMar>
              <w:top w:w="28" w:type="dxa"/>
              <w:bottom w:w="28" w:type="dxa"/>
            </w:tcMar>
            <w:vAlign w:val="center"/>
          </w:tcPr>
          <w:p w14:paraId="1B634CF4" w14:textId="77777777" w:rsidR="002970EF" w:rsidRPr="002970EF" w:rsidRDefault="002970EF" w:rsidP="002970EF">
            <w:pPr>
              <w:ind w:left="-62" w:right="-57"/>
              <w:jc w:val="right"/>
              <w:rPr>
                <w:rFonts w:cs="Arial"/>
                <w:sz w:val="18"/>
                <w:szCs w:val="18"/>
              </w:rPr>
            </w:pPr>
            <w:r w:rsidRPr="002970EF">
              <w:rPr>
                <w:rFonts w:cs="Arial"/>
                <w:sz w:val="18"/>
                <w:szCs w:val="18"/>
              </w:rPr>
              <w:t>2.267.657.000</w:t>
            </w:r>
          </w:p>
        </w:tc>
        <w:tc>
          <w:tcPr>
            <w:tcW w:w="684" w:type="pct"/>
            <w:tcBorders>
              <w:top w:val="nil"/>
              <w:left w:val="single" w:sz="4" w:space="0" w:color="auto"/>
              <w:bottom w:val="nil"/>
              <w:right w:val="single" w:sz="4" w:space="0" w:color="auto"/>
            </w:tcBorders>
            <w:noWrap/>
            <w:tcMar>
              <w:top w:w="28" w:type="dxa"/>
              <w:bottom w:w="28" w:type="dxa"/>
            </w:tcMar>
            <w:vAlign w:val="center"/>
          </w:tcPr>
          <w:p w14:paraId="4B8BE5CF" w14:textId="77777777" w:rsidR="002970EF" w:rsidRPr="002970EF" w:rsidRDefault="002970EF" w:rsidP="002970EF">
            <w:pPr>
              <w:ind w:left="-68" w:right="-57"/>
              <w:jc w:val="right"/>
              <w:rPr>
                <w:rFonts w:cs="Arial"/>
                <w:sz w:val="18"/>
                <w:szCs w:val="18"/>
              </w:rPr>
            </w:pPr>
            <w:r w:rsidRPr="002970EF">
              <w:rPr>
                <w:rFonts w:cs="Arial"/>
                <w:sz w:val="18"/>
                <w:szCs w:val="18"/>
              </w:rPr>
              <w:t>2.374.310.241</w:t>
            </w:r>
          </w:p>
        </w:tc>
        <w:tc>
          <w:tcPr>
            <w:tcW w:w="682" w:type="pct"/>
            <w:tcBorders>
              <w:top w:val="nil"/>
              <w:left w:val="single" w:sz="4" w:space="0" w:color="auto"/>
              <w:bottom w:val="nil"/>
              <w:right w:val="single" w:sz="4" w:space="0" w:color="auto"/>
            </w:tcBorders>
            <w:noWrap/>
            <w:tcMar>
              <w:top w:w="28" w:type="dxa"/>
              <w:bottom w:w="28" w:type="dxa"/>
            </w:tcMar>
            <w:vAlign w:val="center"/>
          </w:tcPr>
          <w:p w14:paraId="50FC26BE" w14:textId="77777777" w:rsidR="002970EF" w:rsidRPr="002970EF" w:rsidRDefault="002970EF" w:rsidP="002970EF">
            <w:pPr>
              <w:ind w:left="-70" w:right="-57"/>
              <w:jc w:val="right"/>
              <w:rPr>
                <w:rFonts w:cs="Arial"/>
                <w:sz w:val="18"/>
                <w:szCs w:val="18"/>
              </w:rPr>
            </w:pPr>
            <w:r w:rsidRPr="002970EF">
              <w:rPr>
                <w:rFonts w:cs="Arial"/>
                <w:color w:val="000000"/>
                <w:sz w:val="18"/>
                <w:szCs w:val="18"/>
              </w:rPr>
              <w:t>745.416.244</w:t>
            </w:r>
          </w:p>
        </w:tc>
        <w:tc>
          <w:tcPr>
            <w:tcW w:w="679" w:type="pct"/>
            <w:tcBorders>
              <w:top w:val="nil"/>
              <w:left w:val="single" w:sz="4" w:space="0" w:color="auto"/>
              <w:bottom w:val="nil"/>
              <w:right w:val="single" w:sz="4" w:space="0" w:color="auto"/>
            </w:tcBorders>
            <w:noWrap/>
            <w:tcMar>
              <w:top w:w="28" w:type="dxa"/>
              <w:bottom w:w="28" w:type="dxa"/>
            </w:tcMar>
            <w:vAlign w:val="center"/>
          </w:tcPr>
          <w:p w14:paraId="74671A1E" w14:textId="77777777" w:rsidR="002970EF" w:rsidRPr="002970EF" w:rsidRDefault="002970EF" w:rsidP="00B32D66">
            <w:pPr>
              <w:jc w:val="center"/>
              <w:rPr>
                <w:rFonts w:cs="Arial"/>
                <w:sz w:val="18"/>
                <w:szCs w:val="18"/>
              </w:rPr>
            </w:pPr>
            <w:r w:rsidRPr="002970EF">
              <w:rPr>
                <w:rFonts w:cs="Arial"/>
                <w:color w:val="000000"/>
                <w:sz w:val="18"/>
                <w:szCs w:val="18"/>
              </w:rPr>
              <w:t>104,70</w:t>
            </w:r>
          </w:p>
        </w:tc>
        <w:tc>
          <w:tcPr>
            <w:tcW w:w="681" w:type="pct"/>
            <w:tcBorders>
              <w:top w:val="nil"/>
              <w:left w:val="single" w:sz="4" w:space="0" w:color="auto"/>
              <w:bottom w:val="nil"/>
              <w:right w:val="nil"/>
            </w:tcBorders>
            <w:noWrap/>
            <w:tcMar>
              <w:top w:w="28" w:type="dxa"/>
              <w:bottom w:w="28" w:type="dxa"/>
            </w:tcMar>
            <w:vAlign w:val="center"/>
          </w:tcPr>
          <w:p w14:paraId="3261DB99" w14:textId="77777777" w:rsidR="002970EF" w:rsidRPr="002970EF" w:rsidRDefault="002970EF" w:rsidP="00B32D66">
            <w:pPr>
              <w:jc w:val="center"/>
              <w:rPr>
                <w:rFonts w:cs="Arial"/>
                <w:sz w:val="18"/>
                <w:szCs w:val="18"/>
              </w:rPr>
            </w:pPr>
            <w:r w:rsidRPr="002970EF">
              <w:rPr>
                <w:rFonts w:cs="Arial"/>
                <w:color w:val="000000"/>
                <w:sz w:val="18"/>
                <w:szCs w:val="18"/>
              </w:rPr>
              <w:t>31,40</w:t>
            </w:r>
          </w:p>
        </w:tc>
      </w:tr>
      <w:tr w:rsidR="002970EF" w:rsidRPr="00B54618" w14:paraId="006312FC" w14:textId="77777777" w:rsidTr="000E4601">
        <w:trPr>
          <w:trHeight w:val="397"/>
        </w:trPr>
        <w:tc>
          <w:tcPr>
            <w:tcW w:w="1591" w:type="pct"/>
            <w:tcBorders>
              <w:top w:val="nil"/>
              <w:left w:val="nil"/>
              <w:bottom w:val="nil"/>
              <w:right w:val="single" w:sz="4" w:space="0" w:color="auto"/>
            </w:tcBorders>
            <w:noWrap/>
            <w:tcMar>
              <w:top w:w="28" w:type="dxa"/>
              <w:bottom w:w="28" w:type="dxa"/>
            </w:tcMar>
            <w:vAlign w:val="center"/>
          </w:tcPr>
          <w:p w14:paraId="773055AA" w14:textId="77777777" w:rsidR="002970EF" w:rsidRPr="002970EF" w:rsidRDefault="002970EF" w:rsidP="00B32D66">
            <w:pPr>
              <w:jc w:val="left"/>
              <w:rPr>
                <w:rFonts w:cs="Arial"/>
                <w:sz w:val="18"/>
                <w:szCs w:val="18"/>
              </w:rPr>
            </w:pPr>
            <w:r w:rsidRPr="002970EF">
              <w:rPr>
                <w:rFonts w:cs="Arial"/>
                <w:sz w:val="18"/>
                <w:szCs w:val="18"/>
              </w:rPr>
              <w:t>Eixo 4 - Goiás da Educação Plena</w:t>
            </w:r>
          </w:p>
        </w:tc>
        <w:tc>
          <w:tcPr>
            <w:tcW w:w="683" w:type="pct"/>
            <w:tcBorders>
              <w:top w:val="nil"/>
              <w:left w:val="single" w:sz="4" w:space="0" w:color="auto"/>
              <w:bottom w:val="nil"/>
              <w:right w:val="single" w:sz="4" w:space="0" w:color="auto"/>
            </w:tcBorders>
            <w:noWrap/>
            <w:tcMar>
              <w:top w:w="28" w:type="dxa"/>
              <w:bottom w:w="28" w:type="dxa"/>
            </w:tcMar>
            <w:vAlign w:val="center"/>
          </w:tcPr>
          <w:p w14:paraId="14535711" w14:textId="77777777" w:rsidR="002970EF" w:rsidRPr="002970EF" w:rsidRDefault="002970EF" w:rsidP="002970EF">
            <w:pPr>
              <w:ind w:left="-62" w:right="-57"/>
              <w:jc w:val="right"/>
              <w:rPr>
                <w:rFonts w:cs="Arial"/>
                <w:sz w:val="18"/>
                <w:szCs w:val="18"/>
              </w:rPr>
            </w:pPr>
            <w:r w:rsidRPr="002970EF">
              <w:rPr>
                <w:rFonts w:cs="Arial"/>
                <w:sz w:val="18"/>
                <w:szCs w:val="18"/>
              </w:rPr>
              <w:t>1.963.358.000</w:t>
            </w:r>
          </w:p>
        </w:tc>
        <w:tc>
          <w:tcPr>
            <w:tcW w:w="684" w:type="pct"/>
            <w:tcBorders>
              <w:top w:val="nil"/>
              <w:left w:val="single" w:sz="4" w:space="0" w:color="auto"/>
              <w:bottom w:val="nil"/>
              <w:right w:val="single" w:sz="4" w:space="0" w:color="auto"/>
            </w:tcBorders>
            <w:noWrap/>
            <w:tcMar>
              <w:top w:w="28" w:type="dxa"/>
              <w:bottom w:w="28" w:type="dxa"/>
            </w:tcMar>
            <w:vAlign w:val="center"/>
          </w:tcPr>
          <w:p w14:paraId="5C3FE7D6" w14:textId="77777777" w:rsidR="002970EF" w:rsidRPr="002970EF" w:rsidRDefault="002970EF" w:rsidP="002970EF">
            <w:pPr>
              <w:ind w:left="-68" w:right="-57"/>
              <w:jc w:val="right"/>
              <w:rPr>
                <w:rFonts w:cs="Arial"/>
                <w:sz w:val="18"/>
                <w:szCs w:val="18"/>
              </w:rPr>
            </w:pPr>
            <w:r w:rsidRPr="002970EF">
              <w:rPr>
                <w:rFonts w:cs="Arial"/>
                <w:sz w:val="18"/>
                <w:szCs w:val="18"/>
              </w:rPr>
              <w:t>2.488.862.245</w:t>
            </w:r>
          </w:p>
        </w:tc>
        <w:tc>
          <w:tcPr>
            <w:tcW w:w="682" w:type="pct"/>
            <w:tcBorders>
              <w:top w:val="nil"/>
              <w:left w:val="single" w:sz="4" w:space="0" w:color="auto"/>
              <w:bottom w:val="nil"/>
              <w:right w:val="single" w:sz="4" w:space="0" w:color="auto"/>
            </w:tcBorders>
            <w:noWrap/>
            <w:tcMar>
              <w:top w:w="28" w:type="dxa"/>
              <w:bottom w:w="28" w:type="dxa"/>
            </w:tcMar>
            <w:vAlign w:val="center"/>
          </w:tcPr>
          <w:p w14:paraId="1AADF395" w14:textId="77777777" w:rsidR="002970EF" w:rsidRPr="002970EF" w:rsidRDefault="002970EF" w:rsidP="002970EF">
            <w:pPr>
              <w:ind w:left="-70" w:right="-57"/>
              <w:jc w:val="right"/>
              <w:rPr>
                <w:rFonts w:cs="Arial"/>
                <w:sz w:val="18"/>
                <w:szCs w:val="18"/>
              </w:rPr>
            </w:pPr>
            <w:r w:rsidRPr="002970EF">
              <w:rPr>
                <w:rFonts w:cs="Arial"/>
                <w:color w:val="000000"/>
                <w:sz w:val="18"/>
                <w:szCs w:val="18"/>
              </w:rPr>
              <w:t>2.022.098.959</w:t>
            </w:r>
          </w:p>
        </w:tc>
        <w:tc>
          <w:tcPr>
            <w:tcW w:w="679" w:type="pct"/>
            <w:tcBorders>
              <w:top w:val="nil"/>
              <w:left w:val="single" w:sz="4" w:space="0" w:color="auto"/>
              <w:bottom w:val="nil"/>
              <w:right w:val="single" w:sz="4" w:space="0" w:color="auto"/>
            </w:tcBorders>
            <w:noWrap/>
            <w:tcMar>
              <w:top w:w="28" w:type="dxa"/>
              <w:bottom w:w="28" w:type="dxa"/>
            </w:tcMar>
            <w:vAlign w:val="center"/>
          </w:tcPr>
          <w:p w14:paraId="1E6651C1" w14:textId="77777777" w:rsidR="002970EF" w:rsidRPr="002970EF" w:rsidRDefault="002970EF" w:rsidP="00B32D66">
            <w:pPr>
              <w:jc w:val="center"/>
              <w:rPr>
                <w:rFonts w:cs="Arial"/>
                <w:sz w:val="18"/>
                <w:szCs w:val="18"/>
              </w:rPr>
            </w:pPr>
            <w:r w:rsidRPr="002970EF">
              <w:rPr>
                <w:rFonts w:cs="Arial"/>
                <w:color w:val="000000"/>
                <w:sz w:val="18"/>
                <w:szCs w:val="18"/>
              </w:rPr>
              <w:t>126,77</w:t>
            </w:r>
          </w:p>
        </w:tc>
        <w:tc>
          <w:tcPr>
            <w:tcW w:w="681" w:type="pct"/>
            <w:tcBorders>
              <w:top w:val="nil"/>
              <w:left w:val="single" w:sz="4" w:space="0" w:color="auto"/>
              <w:bottom w:val="nil"/>
              <w:right w:val="nil"/>
            </w:tcBorders>
            <w:noWrap/>
            <w:tcMar>
              <w:top w:w="28" w:type="dxa"/>
              <w:bottom w:w="28" w:type="dxa"/>
            </w:tcMar>
            <w:vAlign w:val="center"/>
          </w:tcPr>
          <w:p w14:paraId="565B1C8C" w14:textId="77777777" w:rsidR="002970EF" w:rsidRPr="002970EF" w:rsidRDefault="002970EF" w:rsidP="00B32D66">
            <w:pPr>
              <w:jc w:val="center"/>
              <w:rPr>
                <w:rFonts w:cs="Arial"/>
                <w:sz w:val="18"/>
                <w:szCs w:val="18"/>
              </w:rPr>
            </w:pPr>
            <w:r w:rsidRPr="002970EF">
              <w:rPr>
                <w:rFonts w:cs="Arial"/>
                <w:color w:val="000000"/>
                <w:sz w:val="18"/>
                <w:szCs w:val="18"/>
              </w:rPr>
              <w:t>81,25</w:t>
            </w:r>
          </w:p>
        </w:tc>
      </w:tr>
      <w:tr w:rsidR="002970EF" w:rsidRPr="00B54618" w14:paraId="7DF9A8B0" w14:textId="77777777" w:rsidTr="000E4601">
        <w:trPr>
          <w:trHeight w:val="397"/>
        </w:trPr>
        <w:tc>
          <w:tcPr>
            <w:tcW w:w="1591" w:type="pct"/>
            <w:tcBorders>
              <w:top w:val="nil"/>
              <w:left w:val="nil"/>
              <w:bottom w:val="nil"/>
              <w:right w:val="single" w:sz="4" w:space="0" w:color="auto"/>
            </w:tcBorders>
            <w:noWrap/>
            <w:tcMar>
              <w:top w:w="28" w:type="dxa"/>
              <w:bottom w:w="28" w:type="dxa"/>
            </w:tcMar>
            <w:vAlign w:val="center"/>
          </w:tcPr>
          <w:p w14:paraId="73DC0524" w14:textId="77777777" w:rsidR="002970EF" w:rsidRPr="002970EF" w:rsidRDefault="002970EF" w:rsidP="00B32D66">
            <w:pPr>
              <w:jc w:val="left"/>
              <w:rPr>
                <w:rFonts w:cs="Arial"/>
                <w:sz w:val="18"/>
                <w:szCs w:val="18"/>
              </w:rPr>
            </w:pPr>
            <w:r w:rsidRPr="002970EF">
              <w:rPr>
                <w:rFonts w:cs="Arial"/>
                <w:sz w:val="18"/>
                <w:szCs w:val="18"/>
              </w:rPr>
              <w:t>Eixo 8 - Goiás da Inclusão</w:t>
            </w:r>
          </w:p>
        </w:tc>
        <w:tc>
          <w:tcPr>
            <w:tcW w:w="683" w:type="pct"/>
            <w:tcBorders>
              <w:top w:val="nil"/>
              <w:left w:val="single" w:sz="4" w:space="0" w:color="auto"/>
              <w:bottom w:val="nil"/>
              <w:right w:val="single" w:sz="4" w:space="0" w:color="auto"/>
            </w:tcBorders>
            <w:noWrap/>
            <w:tcMar>
              <w:top w:w="28" w:type="dxa"/>
              <w:bottom w:w="28" w:type="dxa"/>
            </w:tcMar>
            <w:vAlign w:val="center"/>
          </w:tcPr>
          <w:p w14:paraId="5ABE2DBD" w14:textId="77777777" w:rsidR="002970EF" w:rsidRPr="002970EF" w:rsidRDefault="002970EF" w:rsidP="002970EF">
            <w:pPr>
              <w:ind w:left="-62" w:right="-57"/>
              <w:jc w:val="right"/>
              <w:rPr>
                <w:rFonts w:cs="Arial"/>
                <w:sz w:val="18"/>
                <w:szCs w:val="18"/>
              </w:rPr>
            </w:pPr>
            <w:r w:rsidRPr="002970EF">
              <w:rPr>
                <w:rFonts w:cs="Arial"/>
                <w:sz w:val="18"/>
                <w:szCs w:val="18"/>
              </w:rPr>
              <w:t>998.376.000</w:t>
            </w:r>
          </w:p>
        </w:tc>
        <w:tc>
          <w:tcPr>
            <w:tcW w:w="684" w:type="pct"/>
            <w:tcBorders>
              <w:top w:val="nil"/>
              <w:left w:val="single" w:sz="4" w:space="0" w:color="auto"/>
              <w:bottom w:val="nil"/>
              <w:right w:val="single" w:sz="4" w:space="0" w:color="auto"/>
            </w:tcBorders>
            <w:noWrap/>
            <w:tcMar>
              <w:top w:w="28" w:type="dxa"/>
              <w:bottom w:w="28" w:type="dxa"/>
            </w:tcMar>
            <w:vAlign w:val="center"/>
          </w:tcPr>
          <w:p w14:paraId="4CED9708" w14:textId="77777777" w:rsidR="002970EF" w:rsidRPr="002970EF" w:rsidRDefault="002970EF" w:rsidP="002970EF">
            <w:pPr>
              <w:ind w:left="-68" w:right="-57"/>
              <w:jc w:val="right"/>
              <w:rPr>
                <w:rFonts w:cs="Arial"/>
                <w:sz w:val="18"/>
                <w:szCs w:val="18"/>
              </w:rPr>
            </w:pPr>
            <w:r w:rsidRPr="002970EF">
              <w:rPr>
                <w:rFonts w:cs="Arial"/>
                <w:sz w:val="18"/>
                <w:szCs w:val="18"/>
              </w:rPr>
              <w:t>1.786.048.670</w:t>
            </w:r>
          </w:p>
        </w:tc>
        <w:tc>
          <w:tcPr>
            <w:tcW w:w="682" w:type="pct"/>
            <w:tcBorders>
              <w:top w:val="nil"/>
              <w:left w:val="single" w:sz="4" w:space="0" w:color="auto"/>
              <w:bottom w:val="nil"/>
              <w:right w:val="single" w:sz="4" w:space="0" w:color="auto"/>
            </w:tcBorders>
            <w:noWrap/>
            <w:tcMar>
              <w:top w:w="28" w:type="dxa"/>
              <w:bottom w:w="28" w:type="dxa"/>
            </w:tcMar>
            <w:vAlign w:val="center"/>
          </w:tcPr>
          <w:p w14:paraId="51C7F2E9" w14:textId="77777777" w:rsidR="002970EF" w:rsidRPr="002970EF" w:rsidRDefault="002970EF" w:rsidP="002970EF">
            <w:pPr>
              <w:ind w:left="-70" w:right="-57"/>
              <w:jc w:val="right"/>
              <w:rPr>
                <w:rFonts w:cs="Arial"/>
                <w:sz w:val="18"/>
                <w:szCs w:val="18"/>
              </w:rPr>
            </w:pPr>
            <w:r w:rsidRPr="002970EF">
              <w:rPr>
                <w:rFonts w:cs="Arial"/>
                <w:color w:val="000000"/>
                <w:sz w:val="18"/>
                <w:szCs w:val="18"/>
              </w:rPr>
              <w:t>1.009.061.414</w:t>
            </w:r>
          </w:p>
        </w:tc>
        <w:tc>
          <w:tcPr>
            <w:tcW w:w="679" w:type="pct"/>
            <w:tcBorders>
              <w:top w:val="nil"/>
              <w:left w:val="single" w:sz="4" w:space="0" w:color="auto"/>
              <w:bottom w:val="nil"/>
              <w:right w:val="single" w:sz="4" w:space="0" w:color="auto"/>
            </w:tcBorders>
            <w:noWrap/>
            <w:tcMar>
              <w:top w:w="28" w:type="dxa"/>
              <w:bottom w:w="28" w:type="dxa"/>
            </w:tcMar>
            <w:vAlign w:val="center"/>
          </w:tcPr>
          <w:p w14:paraId="7EBEA8C9" w14:textId="77777777" w:rsidR="002970EF" w:rsidRPr="002970EF" w:rsidRDefault="002970EF" w:rsidP="00B32D66">
            <w:pPr>
              <w:jc w:val="center"/>
              <w:rPr>
                <w:rFonts w:cs="Arial"/>
                <w:sz w:val="18"/>
                <w:szCs w:val="18"/>
              </w:rPr>
            </w:pPr>
            <w:r w:rsidRPr="002970EF">
              <w:rPr>
                <w:rFonts w:cs="Arial"/>
                <w:color w:val="000000"/>
                <w:sz w:val="18"/>
                <w:szCs w:val="18"/>
              </w:rPr>
              <w:t>178,90</w:t>
            </w:r>
          </w:p>
        </w:tc>
        <w:tc>
          <w:tcPr>
            <w:tcW w:w="681" w:type="pct"/>
            <w:tcBorders>
              <w:top w:val="nil"/>
              <w:left w:val="single" w:sz="4" w:space="0" w:color="auto"/>
              <w:bottom w:val="nil"/>
              <w:right w:val="nil"/>
            </w:tcBorders>
            <w:noWrap/>
            <w:tcMar>
              <w:top w:w="28" w:type="dxa"/>
              <w:bottom w:w="28" w:type="dxa"/>
            </w:tcMar>
            <w:vAlign w:val="center"/>
          </w:tcPr>
          <w:p w14:paraId="735E268B" w14:textId="77777777" w:rsidR="002970EF" w:rsidRPr="002970EF" w:rsidRDefault="002970EF" w:rsidP="00B32D66">
            <w:pPr>
              <w:jc w:val="center"/>
              <w:rPr>
                <w:rFonts w:cs="Arial"/>
                <w:sz w:val="18"/>
                <w:szCs w:val="18"/>
              </w:rPr>
            </w:pPr>
            <w:r w:rsidRPr="002970EF">
              <w:rPr>
                <w:rFonts w:cs="Arial"/>
                <w:color w:val="000000"/>
                <w:sz w:val="18"/>
                <w:szCs w:val="18"/>
              </w:rPr>
              <w:t>56,50</w:t>
            </w:r>
          </w:p>
        </w:tc>
      </w:tr>
      <w:tr w:rsidR="002970EF" w:rsidRPr="00B54618" w14:paraId="7C21A75D" w14:textId="77777777" w:rsidTr="000E4601">
        <w:trPr>
          <w:trHeight w:val="397"/>
        </w:trPr>
        <w:tc>
          <w:tcPr>
            <w:tcW w:w="1591" w:type="pct"/>
            <w:tcBorders>
              <w:top w:val="nil"/>
              <w:left w:val="nil"/>
              <w:bottom w:val="nil"/>
              <w:right w:val="single" w:sz="4" w:space="0" w:color="auto"/>
            </w:tcBorders>
            <w:noWrap/>
            <w:tcMar>
              <w:top w:w="28" w:type="dxa"/>
              <w:bottom w:w="28" w:type="dxa"/>
            </w:tcMar>
            <w:vAlign w:val="center"/>
          </w:tcPr>
          <w:p w14:paraId="6DC9746D" w14:textId="77777777" w:rsidR="002970EF" w:rsidRPr="002970EF" w:rsidRDefault="002970EF" w:rsidP="00B32D66">
            <w:pPr>
              <w:jc w:val="left"/>
              <w:rPr>
                <w:rFonts w:cs="Arial"/>
                <w:sz w:val="18"/>
                <w:szCs w:val="18"/>
              </w:rPr>
            </w:pPr>
            <w:r w:rsidRPr="002970EF">
              <w:rPr>
                <w:rFonts w:cs="Arial"/>
                <w:sz w:val="18"/>
                <w:szCs w:val="18"/>
              </w:rPr>
              <w:t>Eixo 7 - Goiás da Paz</w:t>
            </w:r>
          </w:p>
        </w:tc>
        <w:tc>
          <w:tcPr>
            <w:tcW w:w="683" w:type="pct"/>
            <w:tcBorders>
              <w:top w:val="nil"/>
              <w:left w:val="single" w:sz="4" w:space="0" w:color="auto"/>
              <w:bottom w:val="nil"/>
              <w:right w:val="single" w:sz="4" w:space="0" w:color="auto"/>
            </w:tcBorders>
            <w:noWrap/>
            <w:tcMar>
              <w:top w:w="28" w:type="dxa"/>
              <w:bottom w:w="28" w:type="dxa"/>
            </w:tcMar>
            <w:vAlign w:val="center"/>
          </w:tcPr>
          <w:p w14:paraId="6484699D" w14:textId="77777777" w:rsidR="002970EF" w:rsidRPr="002970EF" w:rsidRDefault="002970EF" w:rsidP="002970EF">
            <w:pPr>
              <w:ind w:left="-62" w:right="-57"/>
              <w:jc w:val="right"/>
              <w:rPr>
                <w:rFonts w:cs="Arial"/>
                <w:sz w:val="18"/>
                <w:szCs w:val="18"/>
              </w:rPr>
            </w:pPr>
            <w:r w:rsidRPr="002970EF">
              <w:rPr>
                <w:rFonts w:cs="Arial"/>
                <w:sz w:val="18"/>
                <w:szCs w:val="18"/>
              </w:rPr>
              <w:t>953.123.000</w:t>
            </w:r>
          </w:p>
        </w:tc>
        <w:tc>
          <w:tcPr>
            <w:tcW w:w="684" w:type="pct"/>
            <w:tcBorders>
              <w:top w:val="nil"/>
              <w:left w:val="single" w:sz="4" w:space="0" w:color="auto"/>
              <w:bottom w:val="nil"/>
              <w:right w:val="single" w:sz="4" w:space="0" w:color="auto"/>
            </w:tcBorders>
            <w:noWrap/>
            <w:tcMar>
              <w:top w:w="28" w:type="dxa"/>
              <w:bottom w:w="28" w:type="dxa"/>
            </w:tcMar>
            <w:vAlign w:val="center"/>
          </w:tcPr>
          <w:p w14:paraId="46D49B27" w14:textId="77777777" w:rsidR="002970EF" w:rsidRPr="002970EF" w:rsidRDefault="002970EF" w:rsidP="002970EF">
            <w:pPr>
              <w:ind w:left="-68" w:right="-57"/>
              <w:jc w:val="right"/>
              <w:rPr>
                <w:rFonts w:cs="Arial"/>
                <w:sz w:val="18"/>
                <w:szCs w:val="18"/>
              </w:rPr>
            </w:pPr>
            <w:r w:rsidRPr="002970EF">
              <w:rPr>
                <w:rFonts w:cs="Arial"/>
                <w:sz w:val="18"/>
                <w:szCs w:val="18"/>
              </w:rPr>
              <w:t>1.187.659.487</w:t>
            </w:r>
          </w:p>
        </w:tc>
        <w:tc>
          <w:tcPr>
            <w:tcW w:w="682" w:type="pct"/>
            <w:tcBorders>
              <w:top w:val="nil"/>
              <w:left w:val="single" w:sz="4" w:space="0" w:color="auto"/>
              <w:bottom w:val="nil"/>
              <w:right w:val="single" w:sz="4" w:space="0" w:color="auto"/>
            </w:tcBorders>
            <w:noWrap/>
            <w:tcMar>
              <w:top w:w="28" w:type="dxa"/>
              <w:bottom w:w="28" w:type="dxa"/>
            </w:tcMar>
            <w:vAlign w:val="center"/>
          </w:tcPr>
          <w:p w14:paraId="65510F51" w14:textId="77777777" w:rsidR="002970EF" w:rsidRPr="002970EF" w:rsidRDefault="002970EF" w:rsidP="002970EF">
            <w:pPr>
              <w:ind w:left="-70" w:right="-57"/>
              <w:jc w:val="right"/>
              <w:rPr>
                <w:rFonts w:cs="Arial"/>
                <w:sz w:val="18"/>
                <w:szCs w:val="18"/>
              </w:rPr>
            </w:pPr>
            <w:r w:rsidRPr="002970EF">
              <w:rPr>
                <w:rFonts w:cs="Arial"/>
                <w:color w:val="000000"/>
                <w:sz w:val="18"/>
                <w:szCs w:val="18"/>
              </w:rPr>
              <w:t>691.965.481</w:t>
            </w:r>
          </w:p>
        </w:tc>
        <w:tc>
          <w:tcPr>
            <w:tcW w:w="679" w:type="pct"/>
            <w:tcBorders>
              <w:top w:val="nil"/>
              <w:left w:val="single" w:sz="4" w:space="0" w:color="auto"/>
              <w:bottom w:val="nil"/>
              <w:right w:val="single" w:sz="4" w:space="0" w:color="auto"/>
            </w:tcBorders>
            <w:noWrap/>
            <w:tcMar>
              <w:top w:w="28" w:type="dxa"/>
              <w:bottom w:w="28" w:type="dxa"/>
            </w:tcMar>
            <w:vAlign w:val="center"/>
          </w:tcPr>
          <w:p w14:paraId="71C582B2" w14:textId="77777777" w:rsidR="002970EF" w:rsidRPr="002970EF" w:rsidRDefault="002970EF" w:rsidP="00B32D66">
            <w:pPr>
              <w:jc w:val="center"/>
              <w:rPr>
                <w:rFonts w:cs="Arial"/>
                <w:sz w:val="18"/>
                <w:szCs w:val="18"/>
              </w:rPr>
            </w:pPr>
            <w:r w:rsidRPr="002970EF">
              <w:rPr>
                <w:rFonts w:cs="Arial"/>
                <w:color w:val="000000"/>
                <w:sz w:val="18"/>
                <w:szCs w:val="18"/>
              </w:rPr>
              <w:t>124,61</w:t>
            </w:r>
          </w:p>
        </w:tc>
        <w:tc>
          <w:tcPr>
            <w:tcW w:w="681" w:type="pct"/>
            <w:tcBorders>
              <w:top w:val="nil"/>
              <w:left w:val="single" w:sz="4" w:space="0" w:color="auto"/>
              <w:bottom w:val="nil"/>
              <w:right w:val="nil"/>
            </w:tcBorders>
            <w:noWrap/>
            <w:tcMar>
              <w:top w:w="28" w:type="dxa"/>
              <w:bottom w:w="28" w:type="dxa"/>
            </w:tcMar>
            <w:vAlign w:val="center"/>
          </w:tcPr>
          <w:p w14:paraId="4133D290" w14:textId="77777777" w:rsidR="002970EF" w:rsidRPr="002970EF" w:rsidRDefault="002970EF" w:rsidP="00B32D66">
            <w:pPr>
              <w:jc w:val="center"/>
              <w:rPr>
                <w:rFonts w:cs="Arial"/>
                <w:sz w:val="18"/>
                <w:szCs w:val="18"/>
              </w:rPr>
            </w:pPr>
            <w:r w:rsidRPr="002970EF">
              <w:rPr>
                <w:rFonts w:cs="Arial"/>
                <w:color w:val="000000"/>
                <w:sz w:val="18"/>
                <w:szCs w:val="18"/>
              </w:rPr>
              <w:t>58,26</w:t>
            </w:r>
          </w:p>
        </w:tc>
      </w:tr>
      <w:tr w:rsidR="002970EF" w:rsidRPr="00B54618" w14:paraId="261D88A5" w14:textId="77777777" w:rsidTr="000E4601">
        <w:trPr>
          <w:trHeight w:val="397"/>
        </w:trPr>
        <w:tc>
          <w:tcPr>
            <w:tcW w:w="1591" w:type="pct"/>
            <w:tcBorders>
              <w:top w:val="nil"/>
              <w:left w:val="nil"/>
              <w:bottom w:val="nil"/>
              <w:right w:val="single" w:sz="4" w:space="0" w:color="auto"/>
            </w:tcBorders>
            <w:noWrap/>
            <w:tcMar>
              <w:top w:w="28" w:type="dxa"/>
              <w:bottom w:w="28" w:type="dxa"/>
            </w:tcMar>
            <w:vAlign w:val="center"/>
          </w:tcPr>
          <w:p w14:paraId="321E9ECF" w14:textId="77777777" w:rsidR="002970EF" w:rsidRPr="002970EF" w:rsidRDefault="002970EF" w:rsidP="00B32D66">
            <w:pPr>
              <w:jc w:val="left"/>
              <w:rPr>
                <w:rFonts w:cs="Arial"/>
                <w:sz w:val="18"/>
                <w:szCs w:val="18"/>
              </w:rPr>
            </w:pPr>
            <w:r w:rsidRPr="002970EF">
              <w:rPr>
                <w:rFonts w:cs="Arial"/>
                <w:sz w:val="18"/>
                <w:szCs w:val="18"/>
              </w:rPr>
              <w:t xml:space="preserve">Eixo 3 - </w:t>
            </w:r>
            <w:bookmarkStart w:id="37" w:name="_Hlk163476119"/>
            <w:r w:rsidRPr="002970EF">
              <w:rPr>
                <w:rFonts w:cs="Arial"/>
                <w:sz w:val="18"/>
                <w:szCs w:val="18"/>
              </w:rPr>
              <w:t>Goiás da Infraestrutura e Sustentabilidade</w:t>
            </w:r>
            <w:bookmarkEnd w:id="37"/>
          </w:p>
        </w:tc>
        <w:tc>
          <w:tcPr>
            <w:tcW w:w="683" w:type="pct"/>
            <w:tcBorders>
              <w:top w:val="nil"/>
              <w:left w:val="single" w:sz="4" w:space="0" w:color="auto"/>
              <w:bottom w:val="nil"/>
              <w:right w:val="single" w:sz="4" w:space="0" w:color="auto"/>
            </w:tcBorders>
            <w:noWrap/>
            <w:tcMar>
              <w:top w:w="28" w:type="dxa"/>
              <w:bottom w:w="28" w:type="dxa"/>
            </w:tcMar>
            <w:vAlign w:val="center"/>
          </w:tcPr>
          <w:p w14:paraId="5BBF4723" w14:textId="77777777" w:rsidR="002970EF" w:rsidRPr="002970EF" w:rsidRDefault="002970EF" w:rsidP="002970EF">
            <w:pPr>
              <w:ind w:left="-62" w:right="-57"/>
              <w:jc w:val="right"/>
              <w:rPr>
                <w:rFonts w:cs="Arial"/>
                <w:sz w:val="18"/>
                <w:szCs w:val="18"/>
              </w:rPr>
            </w:pPr>
            <w:r w:rsidRPr="002970EF">
              <w:rPr>
                <w:rFonts w:cs="Arial"/>
                <w:sz w:val="18"/>
                <w:szCs w:val="18"/>
              </w:rPr>
              <w:t>905.749.000</w:t>
            </w:r>
          </w:p>
        </w:tc>
        <w:tc>
          <w:tcPr>
            <w:tcW w:w="684" w:type="pct"/>
            <w:tcBorders>
              <w:top w:val="nil"/>
              <w:left w:val="single" w:sz="4" w:space="0" w:color="auto"/>
              <w:bottom w:val="nil"/>
              <w:right w:val="single" w:sz="4" w:space="0" w:color="auto"/>
            </w:tcBorders>
            <w:noWrap/>
            <w:tcMar>
              <w:top w:w="28" w:type="dxa"/>
              <w:bottom w:w="28" w:type="dxa"/>
            </w:tcMar>
            <w:vAlign w:val="center"/>
          </w:tcPr>
          <w:p w14:paraId="5418DEAF" w14:textId="77777777" w:rsidR="002970EF" w:rsidRPr="002970EF" w:rsidRDefault="002970EF" w:rsidP="002970EF">
            <w:pPr>
              <w:ind w:left="-68" w:right="-57"/>
              <w:jc w:val="right"/>
              <w:rPr>
                <w:rFonts w:cs="Arial"/>
                <w:sz w:val="18"/>
                <w:szCs w:val="18"/>
              </w:rPr>
            </w:pPr>
            <w:r w:rsidRPr="002970EF">
              <w:rPr>
                <w:rFonts w:cs="Arial"/>
                <w:sz w:val="18"/>
                <w:szCs w:val="18"/>
              </w:rPr>
              <w:t>3.077.361.197</w:t>
            </w:r>
          </w:p>
        </w:tc>
        <w:tc>
          <w:tcPr>
            <w:tcW w:w="682" w:type="pct"/>
            <w:tcBorders>
              <w:top w:val="nil"/>
              <w:left w:val="single" w:sz="4" w:space="0" w:color="auto"/>
              <w:bottom w:val="nil"/>
              <w:right w:val="single" w:sz="4" w:space="0" w:color="auto"/>
            </w:tcBorders>
            <w:noWrap/>
            <w:tcMar>
              <w:top w:w="28" w:type="dxa"/>
              <w:bottom w:w="28" w:type="dxa"/>
            </w:tcMar>
            <w:vAlign w:val="center"/>
          </w:tcPr>
          <w:p w14:paraId="5923B8AA" w14:textId="77777777" w:rsidR="002970EF" w:rsidRPr="002970EF" w:rsidRDefault="002970EF" w:rsidP="002970EF">
            <w:pPr>
              <w:ind w:left="-70" w:right="-57"/>
              <w:jc w:val="right"/>
              <w:rPr>
                <w:rFonts w:cs="Arial"/>
                <w:sz w:val="18"/>
                <w:szCs w:val="18"/>
              </w:rPr>
            </w:pPr>
            <w:r w:rsidRPr="002970EF">
              <w:rPr>
                <w:rFonts w:cs="Arial"/>
                <w:color w:val="000000"/>
                <w:sz w:val="18"/>
                <w:szCs w:val="18"/>
              </w:rPr>
              <w:t>2.099.453.300</w:t>
            </w:r>
          </w:p>
        </w:tc>
        <w:tc>
          <w:tcPr>
            <w:tcW w:w="679" w:type="pct"/>
            <w:tcBorders>
              <w:top w:val="nil"/>
              <w:left w:val="single" w:sz="4" w:space="0" w:color="auto"/>
              <w:bottom w:val="nil"/>
              <w:right w:val="single" w:sz="4" w:space="0" w:color="auto"/>
            </w:tcBorders>
            <w:noWrap/>
            <w:tcMar>
              <w:top w:w="28" w:type="dxa"/>
              <w:bottom w:w="28" w:type="dxa"/>
            </w:tcMar>
            <w:vAlign w:val="center"/>
          </w:tcPr>
          <w:p w14:paraId="4A702A79" w14:textId="77777777" w:rsidR="002970EF" w:rsidRPr="002970EF" w:rsidRDefault="002970EF" w:rsidP="00B32D66">
            <w:pPr>
              <w:jc w:val="center"/>
              <w:rPr>
                <w:rFonts w:cs="Arial"/>
                <w:sz w:val="18"/>
                <w:szCs w:val="18"/>
              </w:rPr>
            </w:pPr>
            <w:r w:rsidRPr="002970EF">
              <w:rPr>
                <w:rFonts w:cs="Arial"/>
                <w:color w:val="000000"/>
                <w:sz w:val="18"/>
                <w:szCs w:val="18"/>
              </w:rPr>
              <w:t>339,76</w:t>
            </w:r>
          </w:p>
        </w:tc>
        <w:tc>
          <w:tcPr>
            <w:tcW w:w="681" w:type="pct"/>
            <w:tcBorders>
              <w:top w:val="nil"/>
              <w:left w:val="single" w:sz="4" w:space="0" w:color="auto"/>
              <w:bottom w:val="nil"/>
              <w:right w:val="nil"/>
            </w:tcBorders>
            <w:noWrap/>
            <w:tcMar>
              <w:top w:w="28" w:type="dxa"/>
              <w:bottom w:w="28" w:type="dxa"/>
            </w:tcMar>
            <w:vAlign w:val="center"/>
          </w:tcPr>
          <w:p w14:paraId="4C1A4031" w14:textId="77777777" w:rsidR="002970EF" w:rsidRPr="002970EF" w:rsidRDefault="002970EF" w:rsidP="00B32D66">
            <w:pPr>
              <w:jc w:val="center"/>
              <w:rPr>
                <w:rFonts w:cs="Arial"/>
                <w:sz w:val="18"/>
                <w:szCs w:val="18"/>
              </w:rPr>
            </w:pPr>
            <w:r w:rsidRPr="002970EF">
              <w:rPr>
                <w:rFonts w:cs="Arial"/>
                <w:color w:val="000000"/>
                <w:sz w:val="18"/>
                <w:szCs w:val="18"/>
              </w:rPr>
              <w:t>68,22</w:t>
            </w:r>
          </w:p>
        </w:tc>
      </w:tr>
      <w:tr w:rsidR="002970EF" w:rsidRPr="00B54618" w14:paraId="2A3B5B33" w14:textId="77777777" w:rsidTr="000E4601">
        <w:trPr>
          <w:trHeight w:val="397"/>
        </w:trPr>
        <w:tc>
          <w:tcPr>
            <w:tcW w:w="1591" w:type="pct"/>
            <w:tcBorders>
              <w:top w:val="nil"/>
              <w:left w:val="nil"/>
              <w:bottom w:val="nil"/>
              <w:right w:val="single" w:sz="4" w:space="0" w:color="auto"/>
            </w:tcBorders>
            <w:noWrap/>
            <w:tcMar>
              <w:top w:w="28" w:type="dxa"/>
              <w:bottom w:w="28" w:type="dxa"/>
            </w:tcMar>
            <w:vAlign w:val="center"/>
          </w:tcPr>
          <w:p w14:paraId="560FEA8C" w14:textId="77777777" w:rsidR="002970EF" w:rsidRPr="002970EF" w:rsidRDefault="002970EF" w:rsidP="00B32D66">
            <w:pPr>
              <w:jc w:val="left"/>
              <w:rPr>
                <w:rFonts w:cs="Arial"/>
                <w:sz w:val="18"/>
                <w:szCs w:val="18"/>
              </w:rPr>
            </w:pPr>
            <w:r w:rsidRPr="002970EF">
              <w:rPr>
                <w:rFonts w:cs="Arial"/>
                <w:color w:val="000000"/>
                <w:sz w:val="18"/>
                <w:szCs w:val="18"/>
              </w:rPr>
              <w:t>Eixo 5 - Goiás do Desenvolvimento Econômico</w:t>
            </w:r>
          </w:p>
        </w:tc>
        <w:tc>
          <w:tcPr>
            <w:tcW w:w="683" w:type="pct"/>
            <w:tcBorders>
              <w:top w:val="nil"/>
              <w:left w:val="single" w:sz="4" w:space="0" w:color="auto"/>
              <w:bottom w:val="nil"/>
              <w:right w:val="single" w:sz="4" w:space="0" w:color="auto"/>
            </w:tcBorders>
            <w:noWrap/>
            <w:tcMar>
              <w:top w:w="28" w:type="dxa"/>
              <w:bottom w:w="28" w:type="dxa"/>
            </w:tcMar>
            <w:vAlign w:val="center"/>
          </w:tcPr>
          <w:p w14:paraId="3BA5D713" w14:textId="77777777" w:rsidR="002970EF" w:rsidRPr="002970EF" w:rsidRDefault="002970EF" w:rsidP="002970EF">
            <w:pPr>
              <w:ind w:left="-62" w:right="-57"/>
              <w:jc w:val="right"/>
              <w:rPr>
                <w:rFonts w:cs="Arial"/>
                <w:sz w:val="18"/>
                <w:szCs w:val="18"/>
              </w:rPr>
            </w:pPr>
            <w:r w:rsidRPr="002970EF">
              <w:rPr>
                <w:rFonts w:cs="Arial"/>
                <w:sz w:val="18"/>
                <w:szCs w:val="18"/>
              </w:rPr>
              <w:t>376.805.000</w:t>
            </w:r>
          </w:p>
        </w:tc>
        <w:tc>
          <w:tcPr>
            <w:tcW w:w="684" w:type="pct"/>
            <w:tcBorders>
              <w:top w:val="nil"/>
              <w:left w:val="single" w:sz="4" w:space="0" w:color="auto"/>
              <w:bottom w:val="nil"/>
              <w:right w:val="single" w:sz="4" w:space="0" w:color="auto"/>
            </w:tcBorders>
            <w:noWrap/>
            <w:tcMar>
              <w:top w:w="28" w:type="dxa"/>
              <w:bottom w:w="28" w:type="dxa"/>
            </w:tcMar>
            <w:vAlign w:val="center"/>
          </w:tcPr>
          <w:p w14:paraId="6438C20D" w14:textId="77777777" w:rsidR="002970EF" w:rsidRPr="002970EF" w:rsidRDefault="002970EF" w:rsidP="002970EF">
            <w:pPr>
              <w:ind w:left="-68" w:right="-57"/>
              <w:jc w:val="right"/>
              <w:rPr>
                <w:rFonts w:cs="Arial"/>
                <w:sz w:val="18"/>
                <w:szCs w:val="18"/>
              </w:rPr>
            </w:pPr>
            <w:r w:rsidRPr="002970EF">
              <w:rPr>
                <w:rFonts w:cs="Arial"/>
                <w:sz w:val="18"/>
                <w:szCs w:val="18"/>
              </w:rPr>
              <w:t>516.799.406</w:t>
            </w:r>
          </w:p>
        </w:tc>
        <w:tc>
          <w:tcPr>
            <w:tcW w:w="682" w:type="pct"/>
            <w:tcBorders>
              <w:top w:val="nil"/>
              <w:left w:val="single" w:sz="4" w:space="0" w:color="auto"/>
              <w:bottom w:val="nil"/>
              <w:right w:val="single" w:sz="4" w:space="0" w:color="auto"/>
            </w:tcBorders>
            <w:noWrap/>
            <w:tcMar>
              <w:top w:w="28" w:type="dxa"/>
              <w:bottom w:w="28" w:type="dxa"/>
            </w:tcMar>
            <w:vAlign w:val="center"/>
          </w:tcPr>
          <w:p w14:paraId="707957DE" w14:textId="77777777" w:rsidR="002970EF" w:rsidRPr="002970EF" w:rsidRDefault="002970EF" w:rsidP="002970EF">
            <w:pPr>
              <w:ind w:left="-70" w:right="-57"/>
              <w:jc w:val="right"/>
              <w:rPr>
                <w:rFonts w:cs="Arial"/>
                <w:sz w:val="18"/>
                <w:szCs w:val="18"/>
              </w:rPr>
            </w:pPr>
            <w:r w:rsidRPr="002970EF">
              <w:rPr>
                <w:rFonts w:cs="Arial"/>
                <w:color w:val="000000"/>
                <w:sz w:val="18"/>
                <w:szCs w:val="18"/>
              </w:rPr>
              <w:t>326.269.632</w:t>
            </w:r>
          </w:p>
        </w:tc>
        <w:tc>
          <w:tcPr>
            <w:tcW w:w="679" w:type="pct"/>
            <w:tcBorders>
              <w:top w:val="nil"/>
              <w:left w:val="single" w:sz="4" w:space="0" w:color="auto"/>
              <w:bottom w:val="nil"/>
              <w:right w:val="single" w:sz="4" w:space="0" w:color="auto"/>
            </w:tcBorders>
            <w:noWrap/>
            <w:tcMar>
              <w:top w:w="28" w:type="dxa"/>
              <w:bottom w:w="28" w:type="dxa"/>
            </w:tcMar>
            <w:vAlign w:val="center"/>
          </w:tcPr>
          <w:p w14:paraId="7A2CD61B" w14:textId="77777777" w:rsidR="002970EF" w:rsidRPr="002970EF" w:rsidRDefault="002970EF" w:rsidP="00B32D66">
            <w:pPr>
              <w:jc w:val="center"/>
              <w:rPr>
                <w:rFonts w:cs="Arial"/>
                <w:sz w:val="18"/>
                <w:szCs w:val="18"/>
              </w:rPr>
            </w:pPr>
            <w:r w:rsidRPr="002970EF">
              <w:rPr>
                <w:rFonts w:cs="Arial"/>
                <w:color w:val="000000"/>
                <w:sz w:val="18"/>
                <w:szCs w:val="18"/>
              </w:rPr>
              <w:t>137,15</w:t>
            </w:r>
          </w:p>
        </w:tc>
        <w:tc>
          <w:tcPr>
            <w:tcW w:w="681" w:type="pct"/>
            <w:tcBorders>
              <w:top w:val="nil"/>
              <w:left w:val="single" w:sz="4" w:space="0" w:color="auto"/>
              <w:bottom w:val="nil"/>
              <w:right w:val="nil"/>
            </w:tcBorders>
            <w:noWrap/>
            <w:tcMar>
              <w:top w:w="28" w:type="dxa"/>
              <w:bottom w:w="28" w:type="dxa"/>
            </w:tcMar>
            <w:vAlign w:val="center"/>
          </w:tcPr>
          <w:p w14:paraId="251ED0C2" w14:textId="77777777" w:rsidR="002970EF" w:rsidRPr="002970EF" w:rsidRDefault="002970EF" w:rsidP="00B32D66">
            <w:pPr>
              <w:jc w:val="center"/>
              <w:rPr>
                <w:rFonts w:cs="Arial"/>
                <w:sz w:val="18"/>
                <w:szCs w:val="18"/>
              </w:rPr>
            </w:pPr>
            <w:r w:rsidRPr="002970EF">
              <w:rPr>
                <w:rFonts w:cs="Arial"/>
                <w:color w:val="000000"/>
                <w:sz w:val="18"/>
                <w:szCs w:val="18"/>
              </w:rPr>
              <w:t>63,13</w:t>
            </w:r>
          </w:p>
        </w:tc>
      </w:tr>
      <w:tr w:rsidR="002970EF" w:rsidRPr="00B54618" w14:paraId="349DCF0A" w14:textId="77777777" w:rsidTr="000E4601">
        <w:trPr>
          <w:trHeight w:val="397"/>
        </w:trPr>
        <w:tc>
          <w:tcPr>
            <w:tcW w:w="1591" w:type="pct"/>
            <w:tcBorders>
              <w:top w:val="nil"/>
              <w:left w:val="nil"/>
              <w:bottom w:val="nil"/>
              <w:right w:val="single" w:sz="4" w:space="0" w:color="auto"/>
            </w:tcBorders>
            <w:noWrap/>
            <w:tcMar>
              <w:top w:w="28" w:type="dxa"/>
              <w:bottom w:w="28" w:type="dxa"/>
            </w:tcMar>
            <w:vAlign w:val="center"/>
          </w:tcPr>
          <w:p w14:paraId="42267A43" w14:textId="77777777" w:rsidR="002970EF" w:rsidRPr="002970EF" w:rsidRDefault="002970EF" w:rsidP="00B32D66">
            <w:pPr>
              <w:jc w:val="left"/>
              <w:rPr>
                <w:rFonts w:cs="Arial"/>
                <w:sz w:val="18"/>
                <w:szCs w:val="18"/>
              </w:rPr>
            </w:pPr>
            <w:r w:rsidRPr="002970EF">
              <w:rPr>
                <w:rFonts w:cs="Arial"/>
                <w:color w:val="000000"/>
                <w:sz w:val="18"/>
                <w:szCs w:val="18"/>
              </w:rPr>
              <w:t>Eixo 1 - Goiás da Responsabilidade Fiscal</w:t>
            </w:r>
          </w:p>
        </w:tc>
        <w:tc>
          <w:tcPr>
            <w:tcW w:w="683" w:type="pct"/>
            <w:tcBorders>
              <w:top w:val="nil"/>
              <w:left w:val="single" w:sz="4" w:space="0" w:color="auto"/>
              <w:bottom w:val="nil"/>
              <w:right w:val="single" w:sz="4" w:space="0" w:color="auto"/>
            </w:tcBorders>
            <w:noWrap/>
            <w:tcMar>
              <w:top w:w="28" w:type="dxa"/>
              <w:bottom w:w="28" w:type="dxa"/>
            </w:tcMar>
            <w:vAlign w:val="center"/>
          </w:tcPr>
          <w:p w14:paraId="592D21CC" w14:textId="77777777" w:rsidR="002970EF" w:rsidRPr="002970EF" w:rsidRDefault="002970EF" w:rsidP="002970EF">
            <w:pPr>
              <w:ind w:left="-62" w:right="-57"/>
              <w:jc w:val="right"/>
              <w:rPr>
                <w:rFonts w:cs="Arial"/>
                <w:sz w:val="18"/>
                <w:szCs w:val="18"/>
              </w:rPr>
            </w:pPr>
            <w:r w:rsidRPr="002970EF">
              <w:rPr>
                <w:rFonts w:cs="Arial"/>
                <w:sz w:val="18"/>
                <w:szCs w:val="18"/>
              </w:rPr>
              <w:t>40.402.000</w:t>
            </w:r>
          </w:p>
        </w:tc>
        <w:tc>
          <w:tcPr>
            <w:tcW w:w="684" w:type="pct"/>
            <w:tcBorders>
              <w:top w:val="nil"/>
              <w:left w:val="single" w:sz="4" w:space="0" w:color="auto"/>
              <w:bottom w:val="nil"/>
              <w:right w:val="single" w:sz="4" w:space="0" w:color="auto"/>
            </w:tcBorders>
            <w:noWrap/>
            <w:tcMar>
              <w:top w:w="28" w:type="dxa"/>
              <w:bottom w:w="28" w:type="dxa"/>
            </w:tcMar>
            <w:vAlign w:val="center"/>
          </w:tcPr>
          <w:p w14:paraId="3376778F" w14:textId="77777777" w:rsidR="002970EF" w:rsidRPr="002970EF" w:rsidRDefault="002970EF" w:rsidP="002970EF">
            <w:pPr>
              <w:ind w:left="-68" w:right="-57"/>
              <w:jc w:val="right"/>
              <w:rPr>
                <w:rFonts w:cs="Arial"/>
                <w:sz w:val="18"/>
                <w:szCs w:val="18"/>
              </w:rPr>
            </w:pPr>
            <w:r w:rsidRPr="002970EF">
              <w:rPr>
                <w:rFonts w:cs="Arial"/>
                <w:sz w:val="18"/>
                <w:szCs w:val="18"/>
              </w:rPr>
              <w:t>77.985.734</w:t>
            </w:r>
          </w:p>
        </w:tc>
        <w:tc>
          <w:tcPr>
            <w:tcW w:w="682" w:type="pct"/>
            <w:tcBorders>
              <w:top w:val="nil"/>
              <w:left w:val="single" w:sz="4" w:space="0" w:color="auto"/>
              <w:bottom w:val="nil"/>
              <w:right w:val="single" w:sz="4" w:space="0" w:color="auto"/>
            </w:tcBorders>
            <w:noWrap/>
            <w:tcMar>
              <w:top w:w="28" w:type="dxa"/>
              <w:bottom w:w="28" w:type="dxa"/>
            </w:tcMar>
            <w:vAlign w:val="center"/>
          </w:tcPr>
          <w:p w14:paraId="62D58ABB" w14:textId="77777777" w:rsidR="002970EF" w:rsidRPr="002970EF" w:rsidRDefault="002970EF" w:rsidP="002970EF">
            <w:pPr>
              <w:ind w:left="-70" w:right="-57"/>
              <w:jc w:val="right"/>
              <w:rPr>
                <w:rFonts w:cs="Arial"/>
                <w:sz w:val="18"/>
                <w:szCs w:val="18"/>
              </w:rPr>
            </w:pPr>
            <w:r w:rsidRPr="002970EF">
              <w:rPr>
                <w:rFonts w:cs="Arial"/>
                <w:color w:val="000000"/>
                <w:sz w:val="18"/>
                <w:szCs w:val="18"/>
              </w:rPr>
              <w:t>38.640.003</w:t>
            </w:r>
          </w:p>
        </w:tc>
        <w:tc>
          <w:tcPr>
            <w:tcW w:w="679" w:type="pct"/>
            <w:tcBorders>
              <w:top w:val="nil"/>
              <w:left w:val="single" w:sz="4" w:space="0" w:color="auto"/>
              <w:bottom w:val="nil"/>
              <w:right w:val="single" w:sz="4" w:space="0" w:color="auto"/>
            </w:tcBorders>
            <w:noWrap/>
            <w:tcMar>
              <w:top w:w="28" w:type="dxa"/>
              <w:bottom w:w="28" w:type="dxa"/>
            </w:tcMar>
            <w:vAlign w:val="center"/>
          </w:tcPr>
          <w:p w14:paraId="35380359" w14:textId="77777777" w:rsidR="002970EF" w:rsidRPr="002970EF" w:rsidRDefault="002970EF" w:rsidP="00B32D66">
            <w:pPr>
              <w:jc w:val="center"/>
              <w:rPr>
                <w:rFonts w:cs="Arial"/>
                <w:sz w:val="18"/>
                <w:szCs w:val="18"/>
              </w:rPr>
            </w:pPr>
            <w:r w:rsidRPr="002970EF">
              <w:rPr>
                <w:rFonts w:cs="Arial"/>
                <w:color w:val="000000"/>
                <w:sz w:val="18"/>
                <w:szCs w:val="18"/>
              </w:rPr>
              <w:t>193,02</w:t>
            </w:r>
          </w:p>
        </w:tc>
        <w:tc>
          <w:tcPr>
            <w:tcW w:w="681" w:type="pct"/>
            <w:tcBorders>
              <w:top w:val="nil"/>
              <w:left w:val="single" w:sz="4" w:space="0" w:color="auto"/>
              <w:bottom w:val="nil"/>
              <w:right w:val="nil"/>
            </w:tcBorders>
            <w:noWrap/>
            <w:tcMar>
              <w:top w:w="28" w:type="dxa"/>
              <w:bottom w:w="28" w:type="dxa"/>
            </w:tcMar>
            <w:vAlign w:val="center"/>
          </w:tcPr>
          <w:p w14:paraId="40E537E3" w14:textId="77777777" w:rsidR="002970EF" w:rsidRPr="002970EF" w:rsidRDefault="002970EF" w:rsidP="00B32D66">
            <w:pPr>
              <w:jc w:val="center"/>
              <w:rPr>
                <w:rFonts w:cs="Arial"/>
                <w:sz w:val="18"/>
                <w:szCs w:val="18"/>
              </w:rPr>
            </w:pPr>
            <w:r w:rsidRPr="002970EF">
              <w:rPr>
                <w:rFonts w:cs="Arial"/>
                <w:color w:val="000000"/>
                <w:sz w:val="18"/>
                <w:szCs w:val="18"/>
              </w:rPr>
              <w:t>49,55</w:t>
            </w:r>
          </w:p>
        </w:tc>
      </w:tr>
      <w:tr w:rsidR="002970EF" w:rsidRPr="00B54618" w14:paraId="5A8E8856" w14:textId="77777777" w:rsidTr="000E4601">
        <w:trPr>
          <w:trHeight w:val="397"/>
        </w:trPr>
        <w:tc>
          <w:tcPr>
            <w:tcW w:w="1591" w:type="pct"/>
            <w:tcBorders>
              <w:top w:val="single" w:sz="4" w:space="0" w:color="auto"/>
              <w:left w:val="nil"/>
              <w:bottom w:val="single" w:sz="4" w:space="0" w:color="auto"/>
              <w:right w:val="single" w:sz="4" w:space="0" w:color="auto"/>
            </w:tcBorders>
            <w:shd w:val="clear" w:color="auto" w:fill="auto"/>
            <w:noWrap/>
            <w:tcMar>
              <w:top w:w="28" w:type="dxa"/>
              <w:bottom w:w="28" w:type="dxa"/>
            </w:tcMar>
            <w:vAlign w:val="center"/>
            <w:hideMark/>
          </w:tcPr>
          <w:p w14:paraId="251C88BA" w14:textId="77777777" w:rsidR="002970EF" w:rsidRPr="002970EF" w:rsidRDefault="002970EF" w:rsidP="00B32D66">
            <w:pPr>
              <w:jc w:val="center"/>
              <w:rPr>
                <w:rFonts w:cs="Arial"/>
                <w:b/>
                <w:bCs/>
                <w:sz w:val="18"/>
                <w:szCs w:val="18"/>
              </w:rPr>
            </w:pPr>
            <w:r w:rsidRPr="002970EF">
              <w:rPr>
                <w:rFonts w:cs="Arial"/>
                <w:b/>
                <w:bCs/>
                <w:sz w:val="18"/>
                <w:szCs w:val="18"/>
              </w:rPr>
              <w:t>Programas Finalísticos</w:t>
            </w:r>
          </w:p>
        </w:tc>
        <w:tc>
          <w:tcPr>
            <w:tcW w:w="68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2B61618" w14:textId="77777777" w:rsidR="002970EF" w:rsidRPr="002970EF" w:rsidRDefault="002970EF" w:rsidP="002970EF">
            <w:pPr>
              <w:ind w:left="-62" w:right="-57"/>
              <w:jc w:val="right"/>
              <w:rPr>
                <w:rFonts w:cs="Arial"/>
                <w:b/>
                <w:bCs/>
                <w:sz w:val="18"/>
                <w:szCs w:val="18"/>
              </w:rPr>
            </w:pPr>
            <w:r w:rsidRPr="002970EF">
              <w:rPr>
                <w:rFonts w:cs="Arial"/>
                <w:b/>
                <w:bCs/>
                <w:iCs/>
                <w:sz w:val="18"/>
                <w:szCs w:val="18"/>
              </w:rPr>
              <w:t>11.499.928.000</w:t>
            </w:r>
          </w:p>
        </w:tc>
        <w:tc>
          <w:tcPr>
            <w:tcW w:w="684"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E7A7E59" w14:textId="77777777" w:rsidR="002970EF" w:rsidRPr="002970EF" w:rsidRDefault="002970EF" w:rsidP="002970EF">
            <w:pPr>
              <w:ind w:left="-68" w:right="-57"/>
              <w:jc w:val="right"/>
              <w:rPr>
                <w:rFonts w:cs="Arial"/>
                <w:b/>
                <w:bCs/>
                <w:sz w:val="18"/>
                <w:szCs w:val="18"/>
              </w:rPr>
            </w:pPr>
            <w:r w:rsidRPr="002970EF">
              <w:rPr>
                <w:rFonts w:cs="Arial"/>
                <w:b/>
                <w:bCs/>
                <w:iCs/>
                <w:sz w:val="18"/>
                <w:szCs w:val="18"/>
              </w:rPr>
              <w:t>16.122.014.908</w:t>
            </w:r>
          </w:p>
        </w:tc>
        <w:tc>
          <w:tcPr>
            <w:tcW w:w="68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C4DD7D4" w14:textId="77777777" w:rsidR="002970EF" w:rsidRPr="002970EF" w:rsidRDefault="002970EF" w:rsidP="002970EF">
            <w:pPr>
              <w:ind w:left="-70" w:right="-57"/>
              <w:jc w:val="right"/>
              <w:rPr>
                <w:rFonts w:cs="Arial"/>
                <w:b/>
                <w:bCs/>
                <w:sz w:val="18"/>
                <w:szCs w:val="18"/>
              </w:rPr>
            </w:pPr>
            <w:r w:rsidRPr="002970EF">
              <w:rPr>
                <w:rFonts w:cs="Arial"/>
                <w:b/>
                <w:bCs/>
                <w:color w:val="000000"/>
                <w:sz w:val="18"/>
                <w:szCs w:val="18"/>
              </w:rPr>
              <w:t>11.053.136.196</w:t>
            </w:r>
          </w:p>
        </w:tc>
        <w:tc>
          <w:tcPr>
            <w:tcW w:w="67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15D9C09" w14:textId="77777777" w:rsidR="002970EF" w:rsidRPr="002970EF" w:rsidRDefault="002970EF" w:rsidP="00B32D66">
            <w:pPr>
              <w:jc w:val="center"/>
              <w:rPr>
                <w:rFonts w:cs="Arial"/>
                <w:b/>
                <w:bCs/>
                <w:sz w:val="18"/>
                <w:szCs w:val="18"/>
              </w:rPr>
            </w:pPr>
            <w:r w:rsidRPr="002970EF">
              <w:rPr>
                <w:rFonts w:cs="Arial"/>
                <w:b/>
                <w:color w:val="000000"/>
                <w:sz w:val="18"/>
                <w:szCs w:val="18"/>
              </w:rPr>
              <w:t>140,19</w:t>
            </w:r>
          </w:p>
        </w:tc>
        <w:tc>
          <w:tcPr>
            <w:tcW w:w="681" w:type="pct"/>
            <w:tcBorders>
              <w:top w:val="single" w:sz="4" w:space="0" w:color="auto"/>
              <w:left w:val="single" w:sz="4" w:space="0" w:color="auto"/>
              <w:bottom w:val="single" w:sz="4" w:space="0" w:color="auto"/>
              <w:right w:val="nil"/>
            </w:tcBorders>
            <w:shd w:val="clear" w:color="auto" w:fill="auto"/>
            <w:noWrap/>
            <w:tcMar>
              <w:top w:w="28" w:type="dxa"/>
              <w:bottom w:w="28" w:type="dxa"/>
            </w:tcMar>
            <w:vAlign w:val="center"/>
          </w:tcPr>
          <w:p w14:paraId="3F37CBB4" w14:textId="77777777" w:rsidR="002970EF" w:rsidRPr="002970EF" w:rsidRDefault="002970EF" w:rsidP="00B32D66">
            <w:pPr>
              <w:jc w:val="center"/>
              <w:rPr>
                <w:rFonts w:cs="Arial"/>
                <w:b/>
                <w:bCs/>
                <w:sz w:val="18"/>
                <w:szCs w:val="18"/>
              </w:rPr>
            </w:pPr>
            <w:r w:rsidRPr="002970EF">
              <w:rPr>
                <w:rFonts w:cs="Arial"/>
                <w:b/>
                <w:color w:val="000000"/>
                <w:sz w:val="18"/>
                <w:szCs w:val="18"/>
              </w:rPr>
              <w:t>68,56</w:t>
            </w:r>
          </w:p>
        </w:tc>
      </w:tr>
    </w:tbl>
    <w:p w14:paraId="0ACBF964" w14:textId="1132B744" w:rsidR="00DC20DF" w:rsidRPr="006E462E" w:rsidRDefault="00DC20DF" w:rsidP="00EF01A1">
      <w:pPr>
        <w:pStyle w:val="1-FONTE8ESQ"/>
      </w:pPr>
      <w:r w:rsidRPr="006E462E">
        <w:t xml:space="preserve">Fonte: Plano Plurianual 2020-2023 e </w:t>
      </w:r>
      <w:r w:rsidR="00531981" w:rsidRPr="00531981">
        <w:t>Comparativo da Despesa Autorizada com a Realizada por Projeto/Atividade</w:t>
      </w:r>
      <w:r w:rsidR="00531981">
        <w:t xml:space="preserve"> - </w:t>
      </w:r>
      <w:r w:rsidR="00531981" w:rsidRPr="004D0F52">
        <w:t>Anexo 11</w:t>
      </w:r>
      <w:r w:rsidR="00531981">
        <w:t xml:space="preserve"> (BGE 2023)</w:t>
      </w:r>
    </w:p>
    <w:p w14:paraId="4E2B3AAF" w14:textId="56D11734" w:rsidR="00DC20DF" w:rsidRPr="00B6124D" w:rsidRDefault="000E4601" w:rsidP="00DC20DF">
      <w:pPr>
        <w:pStyle w:val="1-REL11"/>
      </w:pPr>
      <w:r w:rsidRPr="000E4601">
        <w:lastRenderedPageBreak/>
        <w:t>Dentre os Programas Finalísticos, 4 programas se destacaram por terem respondido por 70,69% dos recursos orçados e 71,06% da despesa executada no exercício de 2023, são eles:</w:t>
      </w:r>
    </w:p>
    <w:p w14:paraId="6B771EBE" w14:textId="77777777" w:rsidR="00DC20DF" w:rsidRPr="00CE4177" w:rsidRDefault="00DC20DF" w:rsidP="00ED3571">
      <w:pPr>
        <w:pStyle w:val="0-TABELA"/>
      </w:pPr>
      <w:bookmarkStart w:id="38" w:name="_Toc167871722"/>
      <w:r w:rsidRPr="00CE4177">
        <w:t>Programas Finalísticos de Maior Representatividade</w:t>
      </w:r>
      <w:bookmarkEnd w:id="38"/>
    </w:p>
    <w:p w14:paraId="53E350B0" w14:textId="3800E867" w:rsidR="00DC20DF" w:rsidRPr="00AC490A" w:rsidRDefault="00DC20DF" w:rsidP="00DC20DF">
      <w:pPr>
        <w:pStyle w:val="0-EmR1"/>
      </w:pPr>
      <w:r w:rsidRPr="006E462E">
        <w:t>R$ </w:t>
      </w:r>
      <w:r w:rsidR="00EE2E8E">
        <w:t>mil</w:t>
      </w:r>
    </w:p>
    <w:tbl>
      <w:tblPr>
        <w:tblW w:w="5000" w:type="pct"/>
        <w:tblLayout w:type="fixed"/>
        <w:tblCellMar>
          <w:left w:w="70" w:type="dxa"/>
          <w:right w:w="70" w:type="dxa"/>
        </w:tblCellMar>
        <w:tblLook w:val="04A0" w:firstRow="1" w:lastRow="0" w:firstColumn="1" w:lastColumn="0" w:noHBand="0" w:noVBand="1"/>
      </w:tblPr>
      <w:tblGrid>
        <w:gridCol w:w="1988"/>
        <w:gridCol w:w="2551"/>
        <w:gridCol w:w="1132"/>
        <w:gridCol w:w="1278"/>
        <w:gridCol w:w="1134"/>
        <w:gridCol w:w="1270"/>
      </w:tblGrid>
      <w:tr w:rsidR="00DC20DF" w:rsidRPr="00EA7D53" w14:paraId="662D983C" w14:textId="77777777" w:rsidTr="006E34B3">
        <w:trPr>
          <w:trHeight w:val="567"/>
        </w:trPr>
        <w:tc>
          <w:tcPr>
            <w:tcW w:w="1063" w:type="pct"/>
            <w:tcBorders>
              <w:top w:val="single" w:sz="4" w:space="0" w:color="auto"/>
              <w:bottom w:val="single" w:sz="4" w:space="0" w:color="auto"/>
              <w:right w:val="single" w:sz="4" w:space="0" w:color="auto"/>
            </w:tcBorders>
            <w:shd w:val="clear" w:color="auto" w:fill="B5EEF7"/>
            <w:noWrap/>
            <w:tcMar>
              <w:top w:w="28" w:type="dxa"/>
              <w:bottom w:w="28" w:type="dxa"/>
            </w:tcMar>
            <w:vAlign w:val="center"/>
            <w:hideMark/>
          </w:tcPr>
          <w:p w14:paraId="529B5EE8" w14:textId="77777777" w:rsidR="00DC20DF" w:rsidRPr="00EA7D53" w:rsidRDefault="00DC20DF" w:rsidP="00DC20DF">
            <w:pPr>
              <w:jc w:val="center"/>
              <w:rPr>
                <w:rFonts w:cs="Arial"/>
                <w:b/>
                <w:bCs/>
                <w:sz w:val="20"/>
                <w:szCs w:val="20"/>
              </w:rPr>
            </w:pPr>
            <w:r w:rsidRPr="00EA7D53">
              <w:rPr>
                <w:rFonts w:cs="Arial"/>
                <w:b/>
                <w:bCs/>
                <w:sz w:val="20"/>
                <w:szCs w:val="20"/>
              </w:rPr>
              <w:t>Programa</w:t>
            </w:r>
          </w:p>
        </w:tc>
        <w:tc>
          <w:tcPr>
            <w:tcW w:w="1364" w:type="pct"/>
            <w:tcBorders>
              <w:top w:val="single" w:sz="4" w:space="0" w:color="auto"/>
              <w:left w:val="single" w:sz="4" w:space="0" w:color="auto"/>
              <w:bottom w:val="single" w:sz="4" w:space="0" w:color="auto"/>
              <w:right w:val="single" w:sz="4" w:space="0" w:color="auto"/>
            </w:tcBorders>
            <w:shd w:val="clear" w:color="auto" w:fill="B5EEF7"/>
            <w:noWrap/>
            <w:tcMar>
              <w:top w:w="28" w:type="dxa"/>
              <w:bottom w:w="28" w:type="dxa"/>
            </w:tcMar>
            <w:vAlign w:val="center"/>
            <w:hideMark/>
          </w:tcPr>
          <w:p w14:paraId="2D94C47F" w14:textId="77777777" w:rsidR="00DC20DF" w:rsidRPr="00EA7D53" w:rsidRDefault="00DC20DF" w:rsidP="00DC20DF">
            <w:pPr>
              <w:jc w:val="center"/>
              <w:rPr>
                <w:rFonts w:cs="Arial"/>
                <w:b/>
                <w:bCs/>
                <w:sz w:val="20"/>
                <w:szCs w:val="20"/>
              </w:rPr>
            </w:pPr>
            <w:r w:rsidRPr="00EA7D53">
              <w:rPr>
                <w:rFonts w:cs="Arial"/>
                <w:b/>
                <w:bCs/>
                <w:sz w:val="20"/>
                <w:szCs w:val="20"/>
              </w:rPr>
              <w:t>Eixo Estratégico</w:t>
            </w:r>
          </w:p>
        </w:tc>
        <w:tc>
          <w:tcPr>
            <w:tcW w:w="605" w:type="pct"/>
            <w:tcBorders>
              <w:top w:val="single" w:sz="4" w:space="0" w:color="auto"/>
              <w:left w:val="single" w:sz="4" w:space="0" w:color="auto"/>
              <w:bottom w:val="single" w:sz="4" w:space="0" w:color="auto"/>
              <w:right w:val="single" w:sz="4" w:space="0" w:color="auto"/>
            </w:tcBorders>
            <w:shd w:val="clear" w:color="auto" w:fill="B5EEF7"/>
            <w:noWrap/>
            <w:tcMar>
              <w:top w:w="28" w:type="dxa"/>
              <w:bottom w:w="28" w:type="dxa"/>
            </w:tcMar>
            <w:vAlign w:val="center"/>
            <w:hideMark/>
          </w:tcPr>
          <w:p w14:paraId="3F430A4A" w14:textId="77777777" w:rsidR="00DC20DF" w:rsidRPr="00EA7D53" w:rsidRDefault="00DC20DF" w:rsidP="00DC20DF">
            <w:pPr>
              <w:jc w:val="center"/>
              <w:rPr>
                <w:rFonts w:cs="Arial"/>
                <w:b/>
                <w:bCs/>
                <w:sz w:val="20"/>
                <w:szCs w:val="20"/>
              </w:rPr>
            </w:pPr>
            <w:r w:rsidRPr="00EA7D53">
              <w:rPr>
                <w:rFonts w:cs="Arial"/>
                <w:b/>
                <w:bCs/>
                <w:sz w:val="20"/>
                <w:szCs w:val="20"/>
              </w:rPr>
              <w:t>Orçada</w:t>
            </w:r>
          </w:p>
        </w:tc>
        <w:tc>
          <w:tcPr>
            <w:tcW w:w="683" w:type="pct"/>
            <w:tcBorders>
              <w:top w:val="single" w:sz="4" w:space="0" w:color="auto"/>
              <w:left w:val="single" w:sz="4" w:space="0" w:color="auto"/>
              <w:bottom w:val="single" w:sz="4" w:space="0" w:color="auto"/>
              <w:right w:val="single" w:sz="4" w:space="0" w:color="auto"/>
            </w:tcBorders>
            <w:shd w:val="clear" w:color="auto" w:fill="B5EEF7"/>
            <w:tcMar>
              <w:top w:w="28" w:type="dxa"/>
              <w:bottom w:w="28" w:type="dxa"/>
            </w:tcMar>
            <w:vAlign w:val="center"/>
            <w:hideMark/>
          </w:tcPr>
          <w:p w14:paraId="09EE7DAC" w14:textId="77777777" w:rsidR="00DC20DF" w:rsidRPr="00EA7D53" w:rsidRDefault="00DC20DF" w:rsidP="00DC20DF">
            <w:pPr>
              <w:jc w:val="center"/>
              <w:rPr>
                <w:rFonts w:cs="Arial"/>
                <w:b/>
                <w:bCs/>
                <w:sz w:val="20"/>
                <w:szCs w:val="20"/>
              </w:rPr>
            </w:pPr>
            <w:r w:rsidRPr="00EA7D53">
              <w:rPr>
                <w:rFonts w:cs="Arial"/>
                <w:b/>
                <w:bCs/>
                <w:sz w:val="20"/>
                <w:szCs w:val="20"/>
              </w:rPr>
              <w:t>% dos Programas Finalísticos</w:t>
            </w:r>
          </w:p>
        </w:tc>
        <w:tc>
          <w:tcPr>
            <w:tcW w:w="606" w:type="pct"/>
            <w:tcBorders>
              <w:top w:val="single" w:sz="4" w:space="0" w:color="auto"/>
              <w:left w:val="single" w:sz="4" w:space="0" w:color="auto"/>
              <w:bottom w:val="single" w:sz="4" w:space="0" w:color="auto"/>
              <w:right w:val="single" w:sz="4" w:space="0" w:color="auto"/>
            </w:tcBorders>
            <w:shd w:val="clear" w:color="auto" w:fill="B5EEF7"/>
            <w:noWrap/>
            <w:tcMar>
              <w:top w:w="28" w:type="dxa"/>
              <w:bottom w:w="28" w:type="dxa"/>
            </w:tcMar>
            <w:vAlign w:val="center"/>
            <w:hideMark/>
          </w:tcPr>
          <w:p w14:paraId="1D57D939" w14:textId="77777777" w:rsidR="00DC20DF" w:rsidRPr="00EA7D53" w:rsidRDefault="00DC20DF" w:rsidP="00B13662">
            <w:pPr>
              <w:ind w:right="-74" w:hanging="70"/>
              <w:jc w:val="center"/>
              <w:rPr>
                <w:rFonts w:cs="Arial"/>
                <w:b/>
                <w:bCs/>
                <w:sz w:val="20"/>
                <w:szCs w:val="20"/>
              </w:rPr>
            </w:pPr>
            <w:r w:rsidRPr="00EA7D53">
              <w:rPr>
                <w:rFonts w:cs="Arial"/>
                <w:b/>
                <w:bCs/>
                <w:sz w:val="20"/>
                <w:szCs w:val="20"/>
              </w:rPr>
              <w:t>Empenhada</w:t>
            </w:r>
          </w:p>
        </w:tc>
        <w:tc>
          <w:tcPr>
            <w:tcW w:w="680" w:type="pct"/>
            <w:tcBorders>
              <w:top w:val="single" w:sz="4" w:space="0" w:color="auto"/>
              <w:left w:val="single" w:sz="4" w:space="0" w:color="auto"/>
              <w:bottom w:val="single" w:sz="4" w:space="0" w:color="auto"/>
            </w:tcBorders>
            <w:shd w:val="clear" w:color="auto" w:fill="B5EEF7"/>
            <w:tcMar>
              <w:top w:w="28" w:type="dxa"/>
              <w:bottom w:w="28" w:type="dxa"/>
            </w:tcMar>
            <w:vAlign w:val="center"/>
            <w:hideMark/>
          </w:tcPr>
          <w:p w14:paraId="4B184E92" w14:textId="77777777" w:rsidR="00862E98" w:rsidRDefault="00DC20DF" w:rsidP="00DC20DF">
            <w:pPr>
              <w:jc w:val="center"/>
              <w:rPr>
                <w:rFonts w:cs="Arial"/>
                <w:b/>
                <w:bCs/>
                <w:sz w:val="20"/>
                <w:szCs w:val="20"/>
              </w:rPr>
            </w:pPr>
            <w:r w:rsidRPr="00EA7D53">
              <w:rPr>
                <w:rFonts w:cs="Arial"/>
                <w:b/>
                <w:bCs/>
                <w:sz w:val="20"/>
                <w:szCs w:val="20"/>
              </w:rPr>
              <w:t xml:space="preserve">% dos Programas </w:t>
            </w:r>
          </w:p>
          <w:p w14:paraId="4E3519DA" w14:textId="5A42ADF4" w:rsidR="00DC20DF" w:rsidRPr="00EA7D53" w:rsidRDefault="00DC20DF" w:rsidP="00DC20DF">
            <w:pPr>
              <w:jc w:val="center"/>
              <w:rPr>
                <w:rFonts w:cs="Arial"/>
                <w:b/>
                <w:bCs/>
                <w:sz w:val="20"/>
                <w:szCs w:val="20"/>
              </w:rPr>
            </w:pPr>
            <w:r w:rsidRPr="00EA7D53">
              <w:rPr>
                <w:rFonts w:cs="Arial"/>
                <w:b/>
                <w:bCs/>
                <w:sz w:val="20"/>
                <w:szCs w:val="20"/>
              </w:rPr>
              <w:t>Finalísticos</w:t>
            </w:r>
          </w:p>
        </w:tc>
      </w:tr>
      <w:tr w:rsidR="00B13662" w:rsidRPr="00EA7D53" w14:paraId="442B8890" w14:textId="77777777" w:rsidTr="006E34B3">
        <w:trPr>
          <w:trHeight w:val="567"/>
        </w:trPr>
        <w:tc>
          <w:tcPr>
            <w:tcW w:w="1063" w:type="pct"/>
            <w:tcBorders>
              <w:top w:val="single" w:sz="4" w:space="0" w:color="auto"/>
              <w:right w:val="single" w:sz="4" w:space="0" w:color="auto"/>
            </w:tcBorders>
            <w:shd w:val="clear" w:color="auto" w:fill="auto"/>
            <w:noWrap/>
            <w:tcMar>
              <w:top w:w="28" w:type="dxa"/>
              <w:bottom w:w="28" w:type="dxa"/>
            </w:tcMar>
            <w:vAlign w:val="center"/>
          </w:tcPr>
          <w:p w14:paraId="7E36200B" w14:textId="7CCBB11B" w:rsidR="00B13662" w:rsidRPr="00EA7D53" w:rsidRDefault="00B13662" w:rsidP="00B13662">
            <w:pPr>
              <w:jc w:val="left"/>
              <w:rPr>
                <w:rFonts w:cs="Arial"/>
                <w:sz w:val="20"/>
                <w:szCs w:val="20"/>
              </w:rPr>
            </w:pPr>
            <w:r w:rsidRPr="00EA7D53">
              <w:rPr>
                <w:sz w:val="20"/>
                <w:szCs w:val="20"/>
              </w:rPr>
              <w:t>Saúde Integral [1043]</w:t>
            </w:r>
          </w:p>
        </w:tc>
        <w:tc>
          <w:tcPr>
            <w:tcW w:w="1364" w:type="pct"/>
            <w:tcBorders>
              <w:top w:val="single" w:sz="4" w:space="0" w:color="auto"/>
              <w:left w:val="single" w:sz="4" w:space="0" w:color="auto"/>
              <w:right w:val="single" w:sz="4" w:space="0" w:color="auto"/>
            </w:tcBorders>
            <w:shd w:val="clear" w:color="auto" w:fill="auto"/>
            <w:noWrap/>
            <w:tcMar>
              <w:top w:w="28" w:type="dxa"/>
              <w:bottom w:w="28" w:type="dxa"/>
            </w:tcMar>
            <w:vAlign w:val="center"/>
          </w:tcPr>
          <w:p w14:paraId="7D783590" w14:textId="2D566394" w:rsidR="00B13662" w:rsidRPr="00EA7D53" w:rsidRDefault="00B13662" w:rsidP="00B13662">
            <w:pPr>
              <w:jc w:val="left"/>
              <w:rPr>
                <w:rFonts w:cs="Arial"/>
                <w:sz w:val="20"/>
                <w:szCs w:val="20"/>
              </w:rPr>
            </w:pPr>
            <w:r w:rsidRPr="00EA7D53">
              <w:rPr>
                <w:sz w:val="20"/>
                <w:szCs w:val="20"/>
              </w:rPr>
              <w:t>6 - Goiás da Saúde Integral</w:t>
            </w:r>
          </w:p>
        </w:tc>
        <w:tc>
          <w:tcPr>
            <w:tcW w:w="605" w:type="pct"/>
            <w:tcBorders>
              <w:top w:val="single" w:sz="4" w:space="0" w:color="auto"/>
              <w:left w:val="single" w:sz="4" w:space="0" w:color="auto"/>
              <w:right w:val="single" w:sz="4" w:space="0" w:color="auto"/>
            </w:tcBorders>
            <w:shd w:val="clear" w:color="auto" w:fill="auto"/>
            <w:noWrap/>
            <w:tcMar>
              <w:top w:w="28" w:type="dxa"/>
              <w:bottom w:w="28" w:type="dxa"/>
            </w:tcMar>
            <w:vAlign w:val="center"/>
          </w:tcPr>
          <w:p w14:paraId="07ABC0FD" w14:textId="6636E786" w:rsidR="00B13662" w:rsidRPr="00EA7D53" w:rsidRDefault="00B13662" w:rsidP="00B13662">
            <w:pPr>
              <w:jc w:val="right"/>
              <w:rPr>
                <w:rFonts w:cs="Arial"/>
                <w:sz w:val="20"/>
                <w:szCs w:val="20"/>
              </w:rPr>
            </w:pPr>
            <w:r w:rsidRPr="00EA7D53">
              <w:rPr>
                <w:sz w:val="20"/>
                <w:szCs w:val="20"/>
              </w:rPr>
              <w:t>3.749.258</w:t>
            </w:r>
          </w:p>
        </w:tc>
        <w:tc>
          <w:tcPr>
            <w:tcW w:w="683" w:type="pct"/>
            <w:tcBorders>
              <w:top w:val="single" w:sz="4" w:space="0" w:color="auto"/>
              <w:left w:val="single" w:sz="4" w:space="0" w:color="auto"/>
              <w:right w:val="single" w:sz="4" w:space="0" w:color="auto"/>
            </w:tcBorders>
            <w:shd w:val="clear" w:color="auto" w:fill="auto"/>
            <w:noWrap/>
            <w:tcMar>
              <w:top w:w="28" w:type="dxa"/>
              <w:bottom w:w="28" w:type="dxa"/>
            </w:tcMar>
            <w:vAlign w:val="center"/>
          </w:tcPr>
          <w:p w14:paraId="63175E22" w14:textId="635CF9D0" w:rsidR="00B13662" w:rsidRPr="00EA7D53" w:rsidRDefault="00B13662" w:rsidP="00B13662">
            <w:pPr>
              <w:jc w:val="center"/>
              <w:rPr>
                <w:rFonts w:cs="Arial"/>
                <w:sz w:val="20"/>
                <w:szCs w:val="20"/>
              </w:rPr>
            </w:pPr>
            <w:r w:rsidRPr="00EA7D53">
              <w:rPr>
                <w:sz w:val="20"/>
                <w:szCs w:val="20"/>
              </w:rPr>
              <w:t>32,60</w:t>
            </w:r>
          </w:p>
        </w:tc>
        <w:tc>
          <w:tcPr>
            <w:tcW w:w="606" w:type="pct"/>
            <w:tcBorders>
              <w:top w:val="single" w:sz="4" w:space="0" w:color="auto"/>
              <w:left w:val="single" w:sz="4" w:space="0" w:color="auto"/>
              <w:right w:val="single" w:sz="4" w:space="0" w:color="auto"/>
            </w:tcBorders>
            <w:shd w:val="clear" w:color="auto" w:fill="auto"/>
            <w:noWrap/>
            <w:tcMar>
              <w:top w:w="28" w:type="dxa"/>
              <w:bottom w:w="28" w:type="dxa"/>
            </w:tcMar>
            <w:vAlign w:val="center"/>
          </w:tcPr>
          <w:p w14:paraId="12832F59" w14:textId="00E87D41" w:rsidR="00B13662" w:rsidRPr="00EA7D53" w:rsidRDefault="00B13662" w:rsidP="00B13662">
            <w:pPr>
              <w:jc w:val="right"/>
              <w:rPr>
                <w:rFonts w:cs="Arial"/>
                <w:sz w:val="20"/>
                <w:szCs w:val="20"/>
              </w:rPr>
            </w:pPr>
            <w:r w:rsidRPr="00EA7D53">
              <w:rPr>
                <w:sz w:val="20"/>
                <w:szCs w:val="20"/>
              </w:rPr>
              <w:t>3.782.152</w:t>
            </w:r>
          </w:p>
        </w:tc>
        <w:tc>
          <w:tcPr>
            <w:tcW w:w="680" w:type="pct"/>
            <w:tcBorders>
              <w:top w:val="single" w:sz="4" w:space="0" w:color="auto"/>
              <w:left w:val="single" w:sz="4" w:space="0" w:color="auto"/>
            </w:tcBorders>
            <w:shd w:val="clear" w:color="auto" w:fill="auto"/>
            <w:noWrap/>
            <w:tcMar>
              <w:top w:w="28" w:type="dxa"/>
              <w:bottom w:w="28" w:type="dxa"/>
            </w:tcMar>
            <w:vAlign w:val="center"/>
          </w:tcPr>
          <w:p w14:paraId="4DBC1983" w14:textId="7219CE2C" w:rsidR="00B13662" w:rsidRPr="00EA7D53" w:rsidRDefault="00B13662" w:rsidP="00B13662">
            <w:pPr>
              <w:jc w:val="center"/>
              <w:rPr>
                <w:rFonts w:cs="Arial"/>
                <w:sz w:val="20"/>
                <w:szCs w:val="20"/>
              </w:rPr>
            </w:pPr>
            <w:r w:rsidRPr="00EA7D53">
              <w:rPr>
                <w:sz w:val="20"/>
                <w:szCs w:val="20"/>
              </w:rPr>
              <w:t>34,22</w:t>
            </w:r>
          </w:p>
        </w:tc>
      </w:tr>
      <w:tr w:rsidR="00B13662" w:rsidRPr="00EA7D53" w14:paraId="6EA70B80" w14:textId="77777777" w:rsidTr="006E34B3">
        <w:trPr>
          <w:trHeight w:val="567"/>
        </w:trPr>
        <w:tc>
          <w:tcPr>
            <w:tcW w:w="1063" w:type="pct"/>
            <w:tcBorders>
              <w:right w:val="single" w:sz="4" w:space="0" w:color="auto"/>
            </w:tcBorders>
            <w:shd w:val="clear" w:color="auto" w:fill="auto"/>
            <w:noWrap/>
            <w:tcMar>
              <w:top w:w="28" w:type="dxa"/>
              <w:bottom w:w="28" w:type="dxa"/>
            </w:tcMar>
            <w:vAlign w:val="center"/>
          </w:tcPr>
          <w:p w14:paraId="5522CB36" w14:textId="63076A97" w:rsidR="00B13662" w:rsidRPr="00EA7D53" w:rsidRDefault="00B13662" w:rsidP="00B13662">
            <w:pPr>
              <w:jc w:val="left"/>
              <w:rPr>
                <w:rFonts w:cs="Arial"/>
                <w:sz w:val="20"/>
                <w:szCs w:val="20"/>
              </w:rPr>
            </w:pPr>
            <w:r w:rsidRPr="00EA7D53">
              <w:rPr>
                <w:sz w:val="20"/>
                <w:szCs w:val="20"/>
              </w:rPr>
              <w:t>M.O.V.E. Goiás [1025]</w:t>
            </w:r>
          </w:p>
        </w:tc>
        <w:tc>
          <w:tcPr>
            <w:tcW w:w="1364" w:type="pct"/>
            <w:tcBorders>
              <w:left w:val="single" w:sz="4" w:space="0" w:color="auto"/>
              <w:right w:val="single" w:sz="4" w:space="0" w:color="auto"/>
            </w:tcBorders>
            <w:shd w:val="clear" w:color="auto" w:fill="auto"/>
            <w:noWrap/>
            <w:tcMar>
              <w:top w:w="28" w:type="dxa"/>
              <w:bottom w:w="28" w:type="dxa"/>
            </w:tcMar>
            <w:vAlign w:val="center"/>
          </w:tcPr>
          <w:p w14:paraId="32DABAB9" w14:textId="2E910AEF" w:rsidR="00B13662" w:rsidRPr="00EA7D53" w:rsidRDefault="00B13662" w:rsidP="00B13662">
            <w:pPr>
              <w:jc w:val="left"/>
              <w:rPr>
                <w:rFonts w:cs="Arial"/>
                <w:sz w:val="20"/>
                <w:szCs w:val="20"/>
              </w:rPr>
            </w:pPr>
            <w:r w:rsidRPr="00EA7D53">
              <w:rPr>
                <w:sz w:val="20"/>
                <w:szCs w:val="20"/>
              </w:rPr>
              <w:t>2 - Goiás da Governança e Gestão Transformadora</w:t>
            </w:r>
          </w:p>
        </w:tc>
        <w:tc>
          <w:tcPr>
            <w:tcW w:w="605" w:type="pct"/>
            <w:tcBorders>
              <w:left w:val="single" w:sz="4" w:space="0" w:color="auto"/>
              <w:right w:val="single" w:sz="4" w:space="0" w:color="auto"/>
            </w:tcBorders>
            <w:shd w:val="clear" w:color="auto" w:fill="auto"/>
            <w:noWrap/>
            <w:tcMar>
              <w:top w:w="28" w:type="dxa"/>
              <w:bottom w:w="28" w:type="dxa"/>
            </w:tcMar>
            <w:vAlign w:val="center"/>
          </w:tcPr>
          <w:p w14:paraId="0C3A1876" w14:textId="0D5D31C4" w:rsidR="00B13662" w:rsidRPr="00EA7D53" w:rsidRDefault="00B13662" w:rsidP="00B13662">
            <w:pPr>
              <w:jc w:val="right"/>
              <w:rPr>
                <w:rFonts w:cs="Arial"/>
                <w:sz w:val="20"/>
                <w:szCs w:val="20"/>
              </w:rPr>
            </w:pPr>
            <w:r w:rsidRPr="00EA7D53">
              <w:rPr>
                <w:sz w:val="20"/>
                <w:szCs w:val="20"/>
              </w:rPr>
              <w:t>1.947.582</w:t>
            </w:r>
          </w:p>
        </w:tc>
        <w:tc>
          <w:tcPr>
            <w:tcW w:w="683" w:type="pct"/>
            <w:tcBorders>
              <w:left w:val="single" w:sz="4" w:space="0" w:color="auto"/>
              <w:right w:val="single" w:sz="4" w:space="0" w:color="auto"/>
            </w:tcBorders>
            <w:shd w:val="clear" w:color="auto" w:fill="auto"/>
            <w:noWrap/>
            <w:tcMar>
              <w:top w:w="28" w:type="dxa"/>
              <w:bottom w:w="28" w:type="dxa"/>
            </w:tcMar>
            <w:vAlign w:val="center"/>
          </w:tcPr>
          <w:p w14:paraId="2BC924C2" w14:textId="4B4AF5DB" w:rsidR="00B13662" w:rsidRPr="00EA7D53" w:rsidRDefault="00B13662" w:rsidP="00B13662">
            <w:pPr>
              <w:jc w:val="center"/>
              <w:rPr>
                <w:rFonts w:cs="Arial"/>
                <w:sz w:val="20"/>
                <w:szCs w:val="20"/>
              </w:rPr>
            </w:pPr>
            <w:r w:rsidRPr="00EA7D53">
              <w:rPr>
                <w:sz w:val="20"/>
                <w:szCs w:val="20"/>
              </w:rPr>
              <w:t>16,94</w:t>
            </w:r>
          </w:p>
        </w:tc>
        <w:tc>
          <w:tcPr>
            <w:tcW w:w="606" w:type="pct"/>
            <w:tcBorders>
              <w:left w:val="single" w:sz="4" w:space="0" w:color="auto"/>
              <w:right w:val="single" w:sz="4" w:space="0" w:color="auto"/>
            </w:tcBorders>
            <w:shd w:val="clear" w:color="auto" w:fill="auto"/>
            <w:noWrap/>
            <w:tcMar>
              <w:top w:w="28" w:type="dxa"/>
              <w:bottom w:w="28" w:type="dxa"/>
            </w:tcMar>
            <w:vAlign w:val="center"/>
          </w:tcPr>
          <w:p w14:paraId="5E9401AA" w14:textId="15C6C19B" w:rsidR="00B13662" w:rsidRPr="00EA7D53" w:rsidRDefault="00B13662" w:rsidP="00B13662">
            <w:pPr>
              <w:jc w:val="right"/>
              <w:rPr>
                <w:rFonts w:cs="Arial"/>
                <w:sz w:val="20"/>
                <w:szCs w:val="20"/>
              </w:rPr>
            </w:pPr>
            <w:r w:rsidRPr="00EA7D53">
              <w:rPr>
                <w:sz w:val="20"/>
                <w:szCs w:val="20"/>
              </w:rPr>
              <w:t>438.196</w:t>
            </w:r>
          </w:p>
        </w:tc>
        <w:tc>
          <w:tcPr>
            <w:tcW w:w="680" w:type="pct"/>
            <w:tcBorders>
              <w:left w:val="single" w:sz="4" w:space="0" w:color="auto"/>
            </w:tcBorders>
            <w:shd w:val="clear" w:color="auto" w:fill="auto"/>
            <w:noWrap/>
            <w:tcMar>
              <w:top w:w="28" w:type="dxa"/>
              <w:bottom w:w="28" w:type="dxa"/>
            </w:tcMar>
            <w:vAlign w:val="center"/>
          </w:tcPr>
          <w:p w14:paraId="6F10B2C4" w14:textId="04FE1222" w:rsidR="00B13662" w:rsidRPr="00EA7D53" w:rsidRDefault="00B13662" w:rsidP="00B13662">
            <w:pPr>
              <w:jc w:val="center"/>
              <w:rPr>
                <w:rFonts w:cs="Arial"/>
                <w:sz w:val="20"/>
                <w:szCs w:val="20"/>
              </w:rPr>
            </w:pPr>
            <w:r w:rsidRPr="00EA7D53">
              <w:rPr>
                <w:sz w:val="20"/>
                <w:szCs w:val="20"/>
              </w:rPr>
              <w:t>3,96</w:t>
            </w:r>
          </w:p>
        </w:tc>
      </w:tr>
      <w:tr w:rsidR="00B13662" w:rsidRPr="00EA7D53" w14:paraId="4EBCF7D8" w14:textId="77777777" w:rsidTr="006E34B3">
        <w:trPr>
          <w:trHeight w:val="567"/>
        </w:trPr>
        <w:tc>
          <w:tcPr>
            <w:tcW w:w="1063" w:type="pct"/>
            <w:tcBorders>
              <w:right w:val="single" w:sz="4" w:space="0" w:color="auto"/>
            </w:tcBorders>
            <w:shd w:val="clear" w:color="auto" w:fill="auto"/>
            <w:noWrap/>
            <w:tcMar>
              <w:top w:w="28" w:type="dxa"/>
              <w:bottom w:w="28" w:type="dxa"/>
            </w:tcMar>
            <w:vAlign w:val="center"/>
          </w:tcPr>
          <w:p w14:paraId="197128E9" w14:textId="220A4605" w:rsidR="00B13662" w:rsidRPr="00EA7D53" w:rsidRDefault="00B13662" w:rsidP="00B13662">
            <w:pPr>
              <w:jc w:val="left"/>
              <w:rPr>
                <w:rFonts w:cs="Arial"/>
                <w:sz w:val="20"/>
                <w:szCs w:val="20"/>
              </w:rPr>
            </w:pPr>
            <w:r w:rsidRPr="00EA7D53">
              <w:rPr>
                <w:sz w:val="20"/>
                <w:szCs w:val="20"/>
              </w:rPr>
              <w:t>Educação que Queremos [1008]</w:t>
            </w:r>
          </w:p>
        </w:tc>
        <w:tc>
          <w:tcPr>
            <w:tcW w:w="1364" w:type="pct"/>
            <w:tcBorders>
              <w:left w:val="single" w:sz="4" w:space="0" w:color="auto"/>
              <w:right w:val="single" w:sz="4" w:space="0" w:color="auto"/>
            </w:tcBorders>
            <w:shd w:val="clear" w:color="auto" w:fill="auto"/>
            <w:noWrap/>
            <w:tcMar>
              <w:top w:w="28" w:type="dxa"/>
              <w:bottom w:w="28" w:type="dxa"/>
            </w:tcMar>
            <w:vAlign w:val="center"/>
          </w:tcPr>
          <w:p w14:paraId="253B2C6B" w14:textId="7F2CF2F9" w:rsidR="00B13662" w:rsidRPr="00EA7D53" w:rsidRDefault="00B13662" w:rsidP="00B13662">
            <w:pPr>
              <w:jc w:val="left"/>
              <w:rPr>
                <w:rFonts w:cs="Arial"/>
                <w:sz w:val="20"/>
                <w:szCs w:val="20"/>
              </w:rPr>
            </w:pPr>
            <w:r w:rsidRPr="00EA7D53">
              <w:rPr>
                <w:sz w:val="20"/>
                <w:szCs w:val="20"/>
              </w:rPr>
              <w:t>4 - Goiás da Educação Plena</w:t>
            </w:r>
          </w:p>
        </w:tc>
        <w:tc>
          <w:tcPr>
            <w:tcW w:w="605" w:type="pct"/>
            <w:tcBorders>
              <w:left w:val="single" w:sz="4" w:space="0" w:color="auto"/>
              <w:right w:val="single" w:sz="4" w:space="0" w:color="auto"/>
            </w:tcBorders>
            <w:shd w:val="clear" w:color="auto" w:fill="auto"/>
            <w:noWrap/>
            <w:tcMar>
              <w:top w:w="28" w:type="dxa"/>
              <w:bottom w:w="28" w:type="dxa"/>
            </w:tcMar>
            <w:vAlign w:val="center"/>
          </w:tcPr>
          <w:p w14:paraId="6A23BA11" w14:textId="7A722D65" w:rsidR="00B13662" w:rsidRPr="00EA7D53" w:rsidRDefault="00B13662" w:rsidP="00B13662">
            <w:pPr>
              <w:jc w:val="right"/>
              <w:rPr>
                <w:rFonts w:cs="Arial"/>
                <w:sz w:val="20"/>
                <w:szCs w:val="20"/>
              </w:rPr>
            </w:pPr>
            <w:r w:rsidRPr="00EA7D53">
              <w:rPr>
                <w:sz w:val="20"/>
                <w:szCs w:val="20"/>
              </w:rPr>
              <w:t>1.712.129</w:t>
            </w:r>
          </w:p>
        </w:tc>
        <w:tc>
          <w:tcPr>
            <w:tcW w:w="683" w:type="pct"/>
            <w:tcBorders>
              <w:left w:val="single" w:sz="4" w:space="0" w:color="auto"/>
              <w:right w:val="single" w:sz="4" w:space="0" w:color="auto"/>
            </w:tcBorders>
            <w:shd w:val="clear" w:color="auto" w:fill="auto"/>
            <w:noWrap/>
            <w:tcMar>
              <w:top w:w="28" w:type="dxa"/>
              <w:bottom w:w="28" w:type="dxa"/>
            </w:tcMar>
            <w:vAlign w:val="center"/>
          </w:tcPr>
          <w:p w14:paraId="77A61D07" w14:textId="09446E1C" w:rsidR="00B13662" w:rsidRPr="00EA7D53" w:rsidRDefault="00B13662" w:rsidP="00B13662">
            <w:pPr>
              <w:jc w:val="center"/>
              <w:rPr>
                <w:rFonts w:cs="Arial"/>
                <w:sz w:val="20"/>
                <w:szCs w:val="20"/>
              </w:rPr>
            </w:pPr>
            <w:r w:rsidRPr="00EA7D53">
              <w:rPr>
                <w:sz w:val="20"/>
                <w:szCs w:val="20"/>
              </w:rPr>
              <w:t>14,89</w:t>
            </w:r>
          </w:p>
        </w:tc>
        <w:tc>
          <w:tcPr>
            <w:tcW w:w="606" w:type="pct"/>
            <w:tcBorders>
              <w:left w:val="single" w:sz="4" w:space="0" w:color="auto"/>
              <w:right w:val="single" w:sz="4" w:space="0" w:color="auto"/>
            </w:tcBorders>
            <w:shd w:val="clear" w:color="auto" w:fill="auto"/>
            <w:noWrap/>
            <w:tcMar>
              <w:top w:w="28" w:type="dxa"/>
              <w:bottom w:w="28" w:type="dxa"/>
            </w:tcMar>
            <w:vAlign w:val="center"/>
          </w:tcPr>
          <w:p w14:paraId="3AB4833D" w14:textId="2140E9BD" w:rsidR="00B13662" w:rsidRPr="00EA7D53" w:rsidRDefault="00B13662" w:rsidP="00B13662">
            <w:pPr>
              <w:jc w:val="right"/>
              <w:rPr>
                <w:rFonts w:cs="Arial"/>
                <w:sz w:val="20"/>
                <w:szCs w:val="20"/>
              </w:rPr>
            </w:pPr>
            <w:r w:rsidRPr="00EA7D53">
              <w:rPr>
                <w:sz w:val="20"/>
                <w:szCs w:val="20"/>
              </w:rPr>
              <w:t>1.751.310</w:t>
            </w:r>
          </w:p>
        </w:tc>
        <w:tc>
          <w:tcPr>
            <w:tcW w:w="680" w:type="pct"/>
            <w:tcBorders>
              <w:left w:val="single" w:sz="4" w:space="0" w:color="auto"/>
            </w:tcBorders>
            <w:shd w:val="clear" w:color="auto" w:fill="auto"/>
            <w:noWrap/>
            <w:tcMar>
              <w:top w:w="28" w:type="dxa"/>
              <w:bottom w:w="28" w:type="dxa"/>
            </w:tcMar>
            <w:vAlign w:val="center"/>
          </w:tcPr>
          <w:p w14:paraId="3A1B9201" w14:textId="5253A8AA" w:rsidR="00B13662" w:rsidRPr="00EA7D53" w:rsidRDefault="00B13662" w:rsidP="00B13662">
            <w:pPr>
              <w:jc w:val="center"/>
              <w:rPr>
                <w:rFonts w:cs="Arial"/>
                <w:sz w:val="20"/>
                <w:szCs w:val="20"/>
              </w:rPr>
            </w:pPr>
            <w:r w:rsidRPr="00EA7D53">
              <w:rPr>
                <w:sz w:val="20"/>
                <w:szCs w:val="20"/>
              </w:rPr>
              <w:t>15,84</w:t>
            </w:r>
          </w:p>
        </w:tc>
      </w:tr>
      <w:tr w:rsidR="00B13662" w:rsidRPr="00EA7D53" w14:paraId="3D979183" w14:textId="77777777" w:rsidTr="006E34B3">
        <w:trPr>
          <w:trHeight w:val="567"/>
        </w:trPr>
        <w:tc>
          <w:tcPr>
            <w:tcW w:w="1063" w:type="pct"/>
            <w:tcBorders>
              <w:bottom w:val="single" w:sz="4" w:space="0" w:color="auto"/>
              <w:right w:val="single" w:sz="4" w:space="0" w:color="auto"/>
            </w:tcBorders>
            <w:shd w:val="clear" w:color="auto" w:fill="auto"/>
            <w:noWrap/>
            <w:tcMar>
              <w:top w:w="28" w:type="dxa"/>
              <w:bottom w:w="28" w:type="dxa"/>
            </w:tcMar>
            <w:vAlign w:val="center"/>
          </w:tcPr>
          <w:p w14:paraId="427CFE3F" w14:textId="6E7A53A7" w:rsidR="00B13662" w:rsidRPr="00EA7D53" w:rsidRDefault="00B13662" w:rsidP="00B13662">
            <w:pPr>
              <w:jc w:val="left"/>
              <w:rPr>
                <w:rFonts w:cs="Arial"/>
                <w:sz w:val="20"/>
                <w:szCs w:val="20"/>
              </w:rPr>
            </w:pPr>
            <w:r w:rsidRPr="00EA7D53">
              <w:rPr>
                <w:sz w:val="20"/>
                <w:szCs w:val="20"/>
              </w:rPr>
              <w:t>Rotas da Produção e do Turismo [1041]</w:t>
            </w:r>
          </w:p>
        </w:tc>
        <w:tc>
          <w:tcPr>
            <w:tcW w:w="1364" w:type="pct"/>
            <w:tcBorders>
              <w:left w:val="single" w:sz="4" w:space="0" w:color="auto"/>
              <w:bottom w:val="single" w:sz="4" w:space="0" w:color="auto"/>
              <w:right w:val="single" w:sz="4" w:space="0" w:color="auto"/>
            </w:tcBorders>
            <w:shd w:val="clear" w:color="auto" w:fill="auto"/>
            <w:noWrap/>
            <w:tcMar>
              <w:top w:w="28" w:type="dxa"/>
              <w:bottom w:w="28" w:type="dxa"/>
            </w:tcMar>
            <w:vAlign w:val="center"/>
          </w:tcPr>
          <w:p w14:paraId="50329C7D" w14:textId="65E81BF6" w:rsidR="00B13662" w:rsidRPr="00EA7D53" w:rsidRDefault="00B13662" w:rsidP="00B13662">
            <w:pPr>
              <w:jc w:val="left"/>
              <w:rPr>
                <w:rFonts w:cs="Arial"/>
                <w:sz w:val="20"/>
                <w:szCs w:val="20"/>
              </w:rPr>
            </w:pPr>
            <w:r w:rsidRPr="00EA7D53">
              <w:rPr>
                <w:sz w:val="20"/>
                <w:szCs w:val="20"/>
              </w:rPr>
              <w:t>3 - Goiás da Infraestrutura e Sustentabilidade</w:t>
            </w:r>
          </w:p>
        </w:tc>
        <w:tc>
          <w:tcPr>
            <w:tcW w:w="605" w:type="pct"/>
            <w:tcBorders>
              <w:left w:val="single" w:sz="4" w:space="0" w:color="auto"/>
              <w:bottom w:val="single" w:sz="4" w:space="0" w:color="auto"/>
              <w:right w:val="single" w:sz="4" w:space="0" w:color="auto"/>
            </w:tcBorders>
            <w:shd w:val="clear" w:color="auto" w:fill="auto"/>
            <w:noWrap/>
            <w:tcMar>
              <w:top w:w="28" w:type="dxa"/>
              <w:bottom w:w="28" w:type="dxa"/>
            </w:tcMar>
            <w:vAlign w:val="center"/>
          </w:tcPr>
          <w:p w14:paraId="40AA4CF0" w14:textId="14859498" w:rsidR="00B13662" w:rsidRPr="00EA7D53" w:rsidRDefault="00B13662" w:rsidP="00B13662">
            <w:pPr>
              <w:jc w:val="right"/>
              <w:rPr>
                <w:rFonts w:cs="Arial"/>
                <w:sz w:val="20"/>
                <w:szCs w:val="20"/>
              </w:rPr>
            </w:pPr>
            <w:r w:rsidRPr="00EA7D53">
              <w:rPr>
                <w:sz w:val="20"/>
                <w:szCs w:val="20"/>
              </w:rPr>
              <w:t>720.843</w:t>
            </w:r>
          </w:p>
        </w:tc>
        <w:tc>
          <w:tcPr>
            <w:tcW w:w="683" w:type="pct"/>
            <w:tcBorders>
              <w:left w:val="single" w:sz="4" w:space="0" w:color="auto"/>
              <w:bottom w:val="single" w:sz="4" w:space="0" w:color="auto"/>
              <w:right w:val="single" w:sz="4" w:space="0" w:color="auto"/>
            </w:tcBorders>
            <w:shd w:val="clear" w:color="auto" w:fill="auto"/>
            <w:noWrap/>
            <w:tcMar>
              <w:top w:w="28" w:type="dxa"/>
              <w:bottom w:w="28" w:type="dxa"/>
            </w:tcMar>
            <w:vAlign w:val="center"/>
          </w:tcPr>
          <w:p w14:paraId="605671BF" w14:textId="63A25818" w:rsidR="00B13662" w:rsidRPr="00EA7D53" w:rsidRDefault="00B13662" w:rsidP="00B13662">
            <w:pPr>
              <w:jc w:val="center"/>
              <w:rPr>
                <w:rFonts w:cs="Arial"/>
                <w:sz w:val="20"/>
                <w:szCs w:val="20"/>
              </w:rPr>
            </w:pPr>
            <w:r w:rsidRPr="00EA7D53">
              <w:rPr>
                <w:sz w:val="20"/>
                <w:szCs w:val="20"/>
              </w:rPr>
              <w:t>6,27</w:t>
            </w:r>
          </w:p>
        </w:tc>
        <w:tc>
          <w:tcPr>
            <w:tcW w:w="606" w:type="pct"/>
            <w:tcBorders>
              <w:left w:val="single" w:sz="4" w:space="0" w:color="auto"/>
              <w:bottom w:val="single" w:sz="4" w:space="0" w:color="auto"/>
              <w:right w:val="single" w:sz="4" w:space="0" w:color="auto"/>
            </w:tcBorders>
            <w:shd w:val="clear" w:color="auto" w:fill="auto"/>
            <w:noWrap/>
            <w:tcMar>
              <w:top w:w="28" w:type="dxa"/>
              <w:bottom w:w="28" w:type="dxa"/>
            </w:tcMar>
            <w:vAlign w:val="center"/>
          </w:tcPr>
          <w:p w14:paraId="6F568F11" w14:textId="661A787E" w:rsidR="00B13662" w:rsidRPr="00EA7D53" w:rsidRDefault="00B13662" w:rsidP="00B13662">
            <w:pPr>
              <w:jc w:val="right"/>
              <w:rPr>
                <w:rFonts w:cs="Arial"/>
                <w:sz w:val="20"/>
                <w:szCs w:val="20"/>
              </w:rPr>
            </w:pPr>
            <w:r w:rsidRPr="00EA7D53">
              <w:rPr>
                <w:sz w:val="20"/>
                <w:szCs w:val="20"/>
              </w:rPr>
              <w:t>1.882.269</w:t>
            </w:r>
          </w:p>
        </w:tc>
        <w:tc>
          <w:tcPr>
            <w:tcW w:w="680" w:type="pct"/>
            <w:tcBorders>
              <w:left w:val="single" w:sz="4" w:space="0" w:color="auto"/>
              <w:bottom w:val="single" w:sz="4" w:space="0" w:color="auto"/>
            </w:tcBorders>
            <w:shd w:val="clear" w:color="auto" w:fill="auto"/>
            <w:noWrap/>
            <w:tcMar>
              <w:top w:w="28" w:type="dxa"/>
              <w:bottom w:w="28" w:type="dxa"/>
            </w:tcMar>
            <w:vAlign w:val="center"/>
          </w:tcPr>
          <w:p w14:paraId="66BB617B" w14:textId="208D6992" w:rsidR="00B13662" w:rsidRPr="00EA7D53" w:rsidRDefault="00B13662" w:rsidP="00B13662">
            <w:pPr>
              <w:jc w:val="center"/>
              <w:rPr>
                <w:rFonts w:cs="Arial"/>
                <w:sz w:val="20"/>
                <w:szCs w:val="20"/>
              </w:rPr>
            </w:pPr>
            <w:r w:rsidRPr="00EA7D53">
              <w:rPr>
                <w:sz w:val="20"/>
                <w:szCs w:val="20"/>
              </w:rPr>
              <w:t>17,03</w:t>
            </w:r>
          </w:p>
        </w:tc>
      </w:tr>
      <w:tr w:rsidR="00B13662" w:rsidRPr="00EA7D53" w14:paraId="62FE5B3F" w14:textId="77777777" w:rsidTr="006E34B3">
        <w:trPr>
          <w:trHeight w:val="567"/>
        </w:trPr>
        <w:tc>
          <w:tcPr>
            <w:tcW w:w="2426" w:type="pct"/>
            <w:gridSpan w:val="2"/>
            <w:tcBorders>
              <w:top w:val="single" w:sz="4" w:space="0" w:color="auto"/>
              <w:bottom w:val="single" w:sz="4" w:space="0" w:color="auto"/>
              <w:right w:val="single" w:sz="4" w:space="0" w:color="auto"/>
            </w:tcBorders>
            <w:shd w:val="clear" w:color="auto" w:fill="auto"/>
            <w:noWrap/>
            <w:tcMar>
              <w:top w:w="28" w:type="dxa"/>
              <w:bottom w:w="28" w:type="dxa"/>
            </w:tcMar>
            <w:vAlign w:val="center"/>
          </w:tcPr>
          <w:p w14:paraId="7AB622A8" w14:textId="77777777" w:rsidR="00B13662" w:rsidRPr="00EA7D53" w:rsidRDefault="00B13662" w:rsidP="00B13662">
            <w:pPr>
              <w:jc w:val="center"/>
              <w:rPr>
                <w:rFonts w:cs="Arial"/>
                <w:b/>
                <w:bCs/>
                <w:sz w:val="20"/>
                <w:szCs w:val="20"/>
              </w:rPr>
            </w:pPr>
            <w:r w:rsidRPr="00EA7D53">
              <w:rPr>
                <w:rFonts w:cs="Arial"/>
                <w:b/>
                <w:bCs/>
                <w:sz w:val="20"/>
                <w:szCs w:val="20"/>
              </w:rPr>
              <w:t>Total</w:t>
            </w:r>
          </w:p>
        </w:tc>
        <w:tc>
          <w:tcPr>
            <w:tcW w:w="60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85C7F97" w14:textId="7FE02842" w:rsidR="00B13662" w:rsidRPr="00EA7D53" w:rsidRDefault="00B13662" w:rsidP="00B13662">
            <w:pPr>
              <w:jc w:val="right"/>
              <w:rPr>
                <w:rFonts w:cs="Arial"/>
                <w:b/>
                <w:sz w:val="20"/>
                <w:szCs w:val="20"/>
              </w:rPr>
            </w:pPr>
            <w:r w:rsidRPr="00EA7D53">
              <w:rPr>
                <w:b/>
                <w:sz w:val="20"/>
                <w:szCs w:val="20"/>
              </w:rPr>
              <w:t>8.129.812</w:t>
            </w:r>
          </w:p>
        </w:tc>
        <w:tc>
          <w:tcPr>
            <w:tcW w:w="68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F97A7BC" w14:textId="55756AAE" w:rsidR="00B13662" w:rsidRPr="00EA7D53" w:rsidRDefault="00B13662" w:rsidP="00B13662">
            <w:pPr>
              <w:jc w:val="center"/>
              <w:rPr>
                <w:rFonts w:cs="Arial"/>
                <w:b/>
                <w:sz w:val="20"/>
                <w:szCs w:val="20"/>
              </w:rPr>
            </w:pPr>
            <w:r w:rsidRPr="00EA7D53">
              <w:rPr>
                <w:b/>
                <w:sz w:val="20"/>
                <w:szCs w:val="20"/>
              </w:rPr>
              <w:t>70,69</w:t>
            </w:r>
          </w:p>
        </w:tc>
        <w:tc>
          <w:tcPr>
            <w:tcW w:w="606"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80AB603" w14:textId="148A750C" w:rsidR="00B13662" w:rsidRPr="00EA7D53" w:rsidRDefault="00B13662" w:rsidP="00B13662">
            <w:pPr>
              <w:jc w:val="right"/>
              <w:rPr>
                <w:rFonts w:cs="Arial"/>
                <w:b/>
                <w:sz w:val="20"/>
                <w:szCs w:val="20"/>
              </w:rPr>
            </w:pPr>
            <w:r w:rsidRPr="00EA7D53">
              <w:rPr>
                <w:b/>
                <w:sz w:val="20"/>
                <w:szCs w:val="20"/>
              </w:rPr>
              <w:t>7.853.927</w:t>
            </w:r>
          </w:p>
        </w:tc>
        <w:tc>
          <w:tcPr>
            <w:tcW w:w="680" w:type="pct"/>
            <w:tcBorders>
              <w:top w:val="single" w:sz="4" w:space="0" w:color="auto"/>
              <w:left w:val="single" w:sz="4" w:space="0" w:color="auto"/>
              <w:bottom w:val="single" w:sz="4" w:space="0" w:color="auto"/>
            </w:tcBorders>
            <w:shd w:val="clear" w:color="auto" w:fill="auto"/>
            <w:noWrap/>
            <w:tcMar>
              <w:top w:w="28" w:type="dxa"/>
              <w:bottom w:w="28" w:type="dxa"/>
            </w:tcMar>
            <w:vAlign w:val="center"/>
          </w:tcPr>
          <w:p w14:paraId="1DF534FC" w14:textId="1EB90D0D" w:rsidR="00B13662" w:rsidRPr="00EA7D53" w:rsidRDefault="00B13662" w:rsidP="00B13662">
            <w:pPr>
              <w:jc w:val="center"/>
              <w:rPr>
                <w:rFonts w:cs="Arial"/>
                <w:b/>
                <w:sz w:val="20"/>
                <w:szCs w:val="20"/>
              </w:rPr>
            </w:pPr>
            <w:r w:rsidRPr="00EA7D53">
              <w:rPr>
                <w:b/>
                <w:sz w:val="20"/>
                <w:szCs w:val="20"/>
              </w:rPr>
              <w:t>71,06</w:t>
            </w:r>
          </w:p>
        </w:tc>
      </w:tr>
      <w:tr w:rsidR="00B13662" w:rsidRPr="00EA7D53" w14:paraId="03FB0C4D" w14:textId="77777777" w:rsidTr="006E34B3">
        <w:trPr>
          <w:trHeight w:val="567"/>
        </w:trPr>
        <w:tc>
          <w:tcPr>
            <w:tcW w:w="2426" w:type="pct"/>
            <w:gridSpan w:val="2"/>
            <w:tcBorders>
              <w:top w:val="single" w:sz="4" w:space="0" w:color="auto"/>
              <w:bottom w:val="single" w:sz="4" w:space="0" w:color="auto"/>
              <w:right w:val="single" w:sz="4" w:space="0" w:color="auto"/>
            </w:tcBorders>
            <w:shd w:val="clear" w:color="auto" w:fill="FFFFFF" w:themeFill="background1"/>
            <w:noWrap/>
            <w:tcMar>
              <w:top w:w="28" w:type="dxa"/>
              <w:bottom w:w="28" w:type="dxa"/>
            </w:tcMar>
            <w:vAlign w:val="center"/>
          </w:tcPr>
          <w:p w14:paraId="52FF6676" w14:textId="77777777" w:rsidR="00B13662" w:rsidRPr="00EA7D53" w:rsidRDefault="00B13662" w:rsidP="00B13662">
            <w:pPr>
              <w:jc w:val="center"/>
              <w:rPr>
                <w:rFonts w:cs="Arial"/>
                <w:b/>
                <w:bCs/>
                <w:sz w:val="20"/>
                <w:szCs w:val="20"/>
              </w:rPr>
            </w:pPr>
            <w:r w:rsidRPr="00EA7D53">
              <w:rPr>
                <w:rFonts w:cs="Arial"/>
                <w:b/>
                <w:bCs/>
                <w:sz w:val="20"/>
                <w:szCs w:val="20"/>
              </w:rPr>
              <w:t>Total Programas Finalísticos</w:t>
            </w:r>
          </w:p>
        </w:tc>
        <w:tc>
          <w:tcPr>
            <w:tcW w:w="605" w:type="pct"/>
            <w:tcBorders>
              <w:top w:val="single" w:sz="4" w:space="0" w:color="auto"/>
              <w:left w:val="single" w:sz="4" w:space="0" w:color="auto"/>
              <w:bottom w:val="single" w:sz="4" w:space="0" w:color="auto"/>
              <w:right w:val="single" w:sz="4" w:space="0" w:color="auto"/>
            </w:tcBorders>
            <w:shd w:val="clear" w:color="auto" w:fill="FFFFFF" w:themeFill="background1"/>
            <w:noWrap/>
            <w:tcMar>
              <w:top w:w="28" w:type="dxa"/>
              <w:bottom w:w="28" w:type="dxa"/>
            </w:tcMar>
            <w:vAlign w:val="center"/>
          </w:tcPr>
          <w:p w14:paraId="2B0AB042" w14:textId="3C366E56" w:rsidR="00B13662" w:rsidRPr="00EA7D53" w:rsidRDefault="00B13662" w:rsidP="006E34B3">
            <w:pPr>
              <w:ind w:left="-72"/>
              <w:jc w:val="right"/>
              <w:rPr>
                <w:rFonts w:cs="Arial"/>
                <w:b/>
                <w:sz w:val="20"/>
                <w:szCs w:val="20"/>
              </w:rPr>
            </w:pPr>
            <w:r w:rsidRPr="00EA7D53">
              <w:rPr>
                <w:b/>
                <w:sz w:val="20"/>
                <w:szCs w:val="20"/>
              </w:rPr>
              <w:t>11.499.928</w:t>
            </w:r>
          </w:p>
        </w:tc>
        <w:tc>
          <w:tcPr>
            <w:tcW w:w="683" w:type="pct"/>
            <w:tcBorders>
              <w:top w:val="single" w:sz="4" w:space="0" w:color="auto"/>
              <w:left w:val="single" w:sz="4" w:space="0" w:color="auto"/>
              <w:bottom w:val="single" w:sz="4" w:space="0" w:color="auto"/>
              <w:right w:val="single" w:sz="4" w:space="0" w:color="auto"/>
            </w:tcBorders>
            <w:shd w:val="clear" w:color="auto" w:fill="FFFFFF" w:themeFill="background1"/>
            <w:noWrap/>
            <w:tcMar>
              <w:top w:w="28" w:type="dxa"/>
              <w:bottom w:w="28" w:type="dxa"/>
            </w:tcMar>
            <w:vAlign w:val="center"/>
          </w:tcPr>
          <w:p w14:paraId="5418A353" w14:textId="77777777" w:rsidR="00B13662" w:rsidRPr="00EA7D53" w:rsidRDefault="00B13662" w:rsidP="00B13662">
            <w:pPr>
              <w:jc w:val="right"/>
              <w:rPr>
                <w:rFonts w:cs="Arial"/>
                <w:b/>
                <w:sz w:val="20"/>
                <w:szCs w:val="20"/>
              </w:rPr>
            </w:pPr>
          </w:p>
        </w:tc>
        <w:tc>
          <w:tcPr>
            <w:tcW w:w="606" w:type="pct"/>
            <w:tcBorders>
              <w:top w:val="single" w:sz="4" w:space="0" w:color="auto"/>
              <w:left w:val="single" w:sz="4" w:space="0" w:color="auto"/>
              <w:bottom w:val="single" w:sz="4" w:space="0" w:color="auto"/>
              <w:right w:val="single" w:sz="4" w:space="0" w:color="auto"/>
            </w:tcBorders>
            <w:shd w:val="clear" w:color="auto" w:fill="FFFFFF" w:themeFill="background1"/>
            <w:noWrap/>
            <w:tcMar>
              <w:top w:w="28" w:type="dxa"/>
              <w:bottom w:w="28" w:type="dxa"/>
            </w:tcMar>
            <w:vAlign w:val="center"/>
          </w:tcPr>
          <w:p w14:paraId="503E8EB4" w14:textId="0F339F14" w:rsidR="00B13662" w:rsidRPr="00EA7D53" w:rsidRDefault="00B13662" w:rsidP="00B13662">
            <w:pPr>
              <w:ind w:left="-70"/>
              <w:jc w:val="right"/>
              <w:rPr>
                <w:rFonts w:cs="Arial"/>
                <w:b/>
                <w:sz w:val="20"/>
                <w:szCs w:val="20"/>
              </w:rPr>
            </w:pPr>
            <w:r w:rsidRPr="00EA7D53">
              <w:rPr>
                <w:b/>
                <w:sz w:val="20"/>
                <w:szCs w:val="20"/>
              </w:rPr>
              <w:t>11.053.136</w:t>
            </w:r>
          </w:p>
        </w:tc>
        <w:tc>
          <w:tcPr>
            <w:tcW w:w="680" w:type="pct"/>
            <w:tcBorders>
              <w:top w:val="single" w:sz="4" w:space="0" w:color="auto"/>
              <w:left w:val="single" w:sz="4" w:space="0" w:color="auto"/>
              <w:bottom w:val="single" w:sz="4" w:space="0" w:color="auto"/>
            </w:tcBorders>
            <w:shd w:val="clear" w:color="auto" w:fill="FFFFFF" w:themeFill="background1"/>
            <w:noWrap/>
            <w:tcMar>
              <w:top w:w="28" w:type="dxa"/>
              <w:bottom w:w="28" w:type="dxa"/>
            </w:tcMar>
            <w:vAlign w:val="center"/>
          </w:tcPr>
          <w:p w14:paraId="0AF56A48" w14:textId="77777777" w:rsidR="00B13662" w:rsidRPr="00EA7D53" w:rsidRDefault="00B13662" w:rsidP="00B13662">
            <w:pPr>
              <w:jc w:val="right"/>
              <w:rPr>
                <w:rFonts w:cs="Arial"/>
                <w:b/>
                <w:sz w:val="20"/>
                <w:szCs w:val="20"/>
              </w:rPr>
            </w:pPr>
          </w:p>
        </w:tc>
      </w:tr>
    </w:tbl>
    <w:p w14:paraId="511385AB" w14:textId="21BBFB0B" w:rsidR="00DC20DF" w:rsidRDefault="00DC20DF" w:rsidP="00EF01A1">
      <w:pPr>
        <w:pStyle w:val="1-FONTE8ESQ"/>
      </w:pPr>
      <w:r w:rsidRPr="006E462E">
        <w:t xml:space="preserve">Fonte: Plano Plurianual 2020-2023 e </w:t>
      </w:r>
      <w:r w:rsidR="00531981" w:rsidRPr="00531981">
        <w:t>Comparativo da Despesa Autorizada com a Realizada por Projeto/Atividade</w:t>
      </w:r>
      <w:r w:rsidR="00531981">
        <w:t xml:space="preserve"> - </w:t>
      </w:r>
      <w:r w:rsidR="00531981" w:rsidRPr="004D0F52">
        <w:t>Anexo 11</w:t>
      </w:r>
      <w:r w:rsidR="00531981">
        <w:t xml:space="preserve"> (BGE 2023)</w:t>
      </w:r>
    </w:p>
    <w:p w14:paraId="69F7EC0B" w14:textId="77777777" w:rsidR="00B13662" w:rsidRPr="003605E6" w:rsidRDefault="00B13662" w:rsidP="00B13662">
      <w:pPr>
        <w:pStyle w:val="1-REL11"/>
      </w:pPr>
      <w:r w:rsidRPr="003605E6">
        <w:t xml:space="preserve">Somente </w:t>
      </w:r>
      <w:r>
        <w:t>um</w:t>
      </w:r>
      <w:r w:rsidRPr="003605E6">
        <w:t xml:space="preserve"> programa não foi executado ao longo do exercício de 2023, apesar de constar no PPA 2020-2023:</w:t>
      </w:r>
    </w:p>
    <w:p w14:paraId="615AB312" w14:textId="20B94A49" w:rsidR="001D1E59" w:rsidRDefault="00B13662" w:rsidP="00736A8C">
      <w:pPr>
        <w:pStyle w:val="1-REL11"/>
        <w:numPr>
          <w:ilvl w:val="0"/>
          <w:numId w:val="46"/>
        </w:numPr>
      </w:pPr>
      <w:r w:rsidRPr="003605E6">
        <w:t>Saneamento e Sustentabilidade [1042] - Eixo Estratégico 3 - Goiás da Infraestrutura e Sustentabilidade.</w:t>
      </w:r>
    </w:p>
    <w:p w14:paraId="152FC2EF" w14:textId="77777777" w:rsidR="00DC20DF" w:rsidRPr="008954F6" w:rsidRDefault="00DC20DF" w:rsidP="00A224E9">
      <w:pPr>
        <w:pStyle w:val="Ttulo3"/>
      </w:pPr>
      <w:bookmarkStart w:id="39" w:name="_Toc105661447"/>
      <w:bookmarkStart w:id="40" w:name="_Toc167871626"/>
      <w:r w:rsidRPr="008954F6">
        <w:t>Programas</w:t>
      </w:r>
      <w:bookmarkEnd w:id="39"/>
      <w:r w:rsidRPr="008954F6">
        <w:t xml:space="preserve"> de Gestão e Especia</w:t>
      </w:r>
      <w:r>
        <w:t>is</w:t>
      </w:r>
      <w:bookmarkEnd w:id="40"/>
    </w:p>
    <w:p w14:paraId="3DE2AA27" w14:textId="77777777" w:rsidR="009159A8" w:rsidRPr="003605E6" w:rsidRDefault="009159A8" w:rsidP="009159A8">
      <w:pPr>
        <w:pStyle w:val="1-REL11"/>
        <w:rPr>
          <w:rFonts w:cs="Arial"/>
        </w:rPr>
      </w:pPr>
      <w:r w:rsidRPr="003605E6">
        <w:t xml:space="preserve">Os </w:t>
      </w:r>
      <w:r w:rsidRPr="003605E6">
        <w:rPr>
          <w:iCs/>
        </w:rPr>
        <w:t>Programas de Gestão e Especiais</w:t>
      </w:r>
      <w:r w:rsidRPr="003605E6">
        <w:rPr>
          <w:b/>
        </w:rPr>
        <w:t xml:space="preserve"> </w:t>
      </w:r>
      <w:r w:rsidRPr="003605E6">
        <w:t>são</w:t>
      </w:r>
      <w:r w:rsidRPr="003605E6">
        <w:rPr>
          <w:b/>
        </w:rPr>
        <w:t xml:space="preserve"> </w:t>
      </w:r>
      <w:r w:rsidRPr="003605E6">
        <w:t>destinados à manutenção da máquina pública (Programas Administrativos) e para despesas que não se vinculam diretamente a um bem ou serviço à sociedade (Encargos Especiais) e são realizados no Eixo Estratégico 2 - Goiás da Governança e Gestão Transformadora e Eixo 7 - Goiás da Paz.</w:t>
      </w:r>
    </w:p>
    <w:p w14:paraId="3BA68158" w14:textId="41D19281" w:rsidR="009159A8" w:rsidRPr="00B54618" w:rsidRDefault="009159A8" w:rsidP="009159A8">
      <w:pPr>
        <w:pStyle w:val="1-REL11"/>
        <w:rPr>
          <w:highlight w:val="lightGray"/>
        </w:rPr>
      </w:pPr>
      <w:r w:rsidRPr="003605E6">
        <w:t>O orçamento destinado aos Programas de Gestão e Especiais, no valor de R$ 26</w:t>
      </w:r>
      <w:r>
        <w:t>,08</w:t>
      </w:r>
      <w:r w:rsidR="00F763BE">
        <w:t> </w:t>
      </w:r>
      <w:r>
        <w:t>bilhões</w:t>
      </w:r>
      <w:r w:rsidRPr="003605E6">
        <w:t>, representou 65,87% do total orçado para o Estado para 2023 e 63,24% do total autorizado. Ao final do exercício, o valor executado de despesas foi de R$ 28</w:t>
      </w:r>
      <w:r>
        <w:t>,37</w:t>
      </w:r>
      <w:r w:rsidR="00F763BE">
        <w:t> </w:t>
      </w:r>
      <w:r>
        <w:t>bilhões</w:t>
      </w:r>
      <w:r w:rsidRPr="003605E6">
        <w:t>, de modo que o percentual destes gastos em relação ao total empenhado pelo Estado atingiu 71,96%.</w:t>
      </w:r>
    </w:p>
    <w:p w14:paraId="7DBCEB60" w14:textId="30689F7B" w:rsidR="009159A8" w:rsidRPr="00C22CCE" w:rsidRDefault="009159A8" w:rsidP="009159A8">
      <w:pPr>
        <w:pStyle w:val="1-REL11"/>
      </w:pPr>
      <w:r w:rsidRPr="00C22CCE">
        <w:t xml:space="preserve">Do total empenhado no exercício de 2023, </w:t>
      </w:r>
      <w:r>
        <w:t>R$</w:t>
      </w:r>
      <w:r w:rsidR="00755658">
        <w:t> </w:t>
      </w:r>
      <w:r>
        <w:t>231,12</w:t>
      </w:r>
      <w:r w:rsidR="00755658">
        <w:t> milhões</w:t>
      </w:r>
      <w:r>
        <w:t xml:space="preserve"> (0,59%) foi inscrito em restos a pagar e restante pago no exercício.</w:t>
      </w:r>
    </w:p>
    <w:p w14:paraId="79CDAF61" w14:textId="17D8668D" w:rsidR="00DC20DF" w:rsidRPr="00CA7E7F" w:rsidRDefault="009159A8" w:rsidP="00CA7E7F">
      <w:pPr>
        <w:pStyle w:val="1-REL11"/>
      </w:pPr>
      <w:r w:rsidRPr="00C22CCE">
        <w:lastRenderedPageBreak/>
        <w:t xml:space="preserve">Os </w:t>
      </w:r>
      <w:r w:rsidRPr="00C22CCE">
        <w:rPr>
          <w:iCs/>
        </w:rPr>
        <w:t>Programas de Gestão e Especiais</w:t>
      </w:r>
      <w:r w:rsidRPr="00C22CCE">
        <w:t xml:space="preserve"> foram executados por meio de 5 programas, conforme demonstrado abaixo:</w:t>
      </w:r>
    </w:p>
    <w:p w14:paraId="62CE0775" w14:textId="77777777" w:rsidR="00DC20DF" w:rsidRPr="004B0F5A" w:rsidRDefault="00DC20DF" w:rsidP="00ED3571">
      <w:pPr>
        <w:pStyle w:val="0-TABELA"/>
      </w:pPr>
      <w:bookmarkStart w:id="41" w:name="_Toc167871723"/>
      <w:r w:rsidRPr="004B0F5A">
        <w:t>Programas de Gestão e Especia</w:t>
      </w:r>
      <w:r>
        <w:t>is</w:t>
      </w:r>
      <w:r w:rsidRPr="004B0F5A">
        <w:t xml:space="preserve"> – Despesas </w:t>
      </w:r>
      <w:r>
        <w:t>Executadas</w:t>
      </w:r>
      <w:bookmarkEnd w:id="41"/>
    </w:p>
    <w:p w14:paraId="15011103" w14:textId="1AD97A91" w:rsidR="00DC20DF" w:rsidRPr="004B0F5A" w:rsidRDefault="00EE2E8E" w:rsidP="00DC20DF">
      <w:pPr>
        <w:pStyle w:val="0-EmR1"/>
        <w:rPr>
          <w:rStyle w:val="0-EmR1Char"/>
        </w:rPr>
      </w:pPr>
      <w:r>
        <w:rPr>
          <w:rStyle w:val="0-EmR1Char"/>
        </w:rPr>
        <w:t>R$ 1</w:t>
      </w:r>
    </w:p>
    <w:tbl>
      <w:tblPr>
        <w:tblW w:w="5000" w:type="pct"/>
        <w:tblLayout w:type="fixed"/>
        <w:tblCellMar>
          <w:left w:w="70" w:type="dxa"/>
          <w:right w:w="70" w:type="dxa"/>
        </w:tblCellMar>
        <w:tblLook w:val="04A0" w:firstRow="1" w:lastRow="0" w:firstColumn="1" w:lastColumn="0" w:noHBand="0" w:noVBand="1"/>
      </w:tblPr>
      <w:tblGrid>
        <w:gridCol w:w="5529"/>
        <w:gridCol w:w="1558"/>
        <w:gridCol w:w="1063"/>
        <w:gridCol w:w="1203"/>
      </w:tblGrid>
      <w:tr w:rsidR="00DC20DF" w:rsidRPr="00A224E9" w14:paraId="4578B6F0" w14:textId="77777777" w:rsidTr="00A224E9">
        <w:trPr>
          <w:trHeight w:val="227"/>
          <w:tblHeader/>
        </w:trPr>
        <w:tc>
          <w:tcPr>
            <w:tcW w:w="2956" w:type="pct"/>
            <w:tcBorders>
              <w:top w:val="single" w:sz="4" w:space="0" w:color="auto"/>
              <w:left w:val="nil"/>
              <w:bottom w:val="single" w:sz="4" w:space="0" w:color="auto"/>
              <w:right w:val="single" w:sz="4" w:space="0" w:color="auto"/>
            </w:tcBorders>
            <w:shd w:val="clear" w:color="auto" w:fill="B5EEF7"/>
            <w:noWrap/>
            <w:tcMar>
              <w:top w:w="28" w:type="dxa"/>
              <w:bottom w:w="28" w:type="dxa"/>
            </w:tcMar>
            <w:vAlign w:val="center"/>
            <w:hideMark/>
          </w:tcPr>
          <w:p w14:paraId="64F65D14" w14:textId="77777777" w:rsidR="00DC20DF" w:rsidRPr="00A224E9" w:rsidRDefault="00DC20DF" w:rsidP="00DC20DF">
            <w:pPr>
              <w:jc w:val="center"/>
              <w:rPr>
                <w:b/>
                <w:bCs/>
                <w:sz w:val="20"/>
                <w:szCs w:val="20"/>
              </w:rPr>
            </w:pPr>
            <w:r w:rsidRPr="00A224E9">
              <w:rPr>
                <w:rFonts w:cs="Arial"/>
                <w:b/>
                <w:bCs/>
                <w:sz w:val="20"/>
                <w:szCs w:val="20"/>
              </w:rPr>
              <w:t>Programas de Gestão e Especiais</w:t>
            </w:r>
          </w:p>
        </w:tc>
        <w:tc>
          <w:tcPr>
            <w:tcW w:w="833" w:type="pct"/>
            <w:tcBorders>
              <w:top w:val="single" w:sz="4" w:space="0" w:color="auto"/>
              <w:left w:val="single" w:sz="4" w:space="0" w:color="auto"/>
              <w:bottom w:val="single" w:sz="4" w:space="0" w:color="auto"/>
              <w:right w:val="single" w:sz="4" w:space="0" w:color="auto"/>
            </w:tcBorders>
            <w:shd w:val="clear" w:color="auto" w:fill="B5EEF7"/>
            <w:noWrap/>
            <w:tcMar>
              <w:top w:w="28" w:type="dxa"/>
              <w:bottom w:w="28" w:type="dxa"/>
            </w:tcMar>
            <w:vAlign w:val="center"/>
            <w:hideMark/>
          </w:tcPr>
          <w:p w14:paraId="5A5DC2EC" w14:textId="77777777" w:rsidR="00DC20DF" w:rsidRPr="00A224E9" w:rsidRDefault="00DC20DF" w:rsidP="00DC20DF">
            <w:pPr>
              <w:jc w:val="center"/>
              <w:rPr>
                <w:rFonts w:cs="Arial"/>
                <w:b/>
                <w:bCs/>
                <w:sz w:val="20"/>
                <w:szCs w:val="20"/>
              </w:rPr>
            </w:pPr>
            <w:r w:rsidRPr="00A224E9">
              <w:rPr>
                <w:rFonts w:cs="Arial"/>
                <w:b/>
                <w:bCs/>
                <w:sz w:val="20"/>
                <w:szCs w:val="20"/>
              </w:rPr>
              <w:t>Empenhada</w:t>
            </w:r>
          </w:p>
        </w:tc>
        <w:tc>
          <w:tcPr>
            <w:tcW w:w="568" w:type="pct"/>
            <w:tcBorders>
              <w:top w:val="single" w:sz="4" w:space="0" w:color="auto"/>
              <w:left w:val="single" w:sz="4" w:space="0" w:color="auto"/>
              <w:bottom w:val="single" w:sz="4" w:space="0" w:color="auto"/>
              <w:right w:val="single" w:sz="4" w:space="0" w:color="auto"/>
            </w:tcBorders>
            <w:shd w:val="clear" w:color="auto" w:fill="B5EEF7"/>
            <w:noWrap/>
            <w:tcMar>
              <w:top w:w="28" w:type="dxa"/>
              <w:bottom w:w="28" w:type="dxa"/>
            </w:tcMar>
            <w:vAlign w:val="center"/>
            <w:hideMark/>
          </w:tcPr>
          <w:p w14:paraId="5A0BBED6" w14:textId="16754745" w:rsidR="00DC20DF" w:rsidRPr="00A224E9" w:rsidRDefault="00E81084" w:rsidP="00135A07">
            <w:pPr>
              <w:ind w:left="-72" w:right="-70"/>
              <w:jc w:val="center"/>
              <w:rPr>
                <w:rFonts w:cs="Arial"/>
                <w:b/>
                <w:bCs/>
                <w:sz w:val="18"/>
                <w:szCs w:val="18"/>
              </w:rPr>
            </w:pPr>
            <w:r w:rsidRPr="00A224E9">
              <w:rPr>
                <w:rFonts w:cs="Arial"/>
                <w:b/>
                <w:bCs/>
                <w:sz w:val="18"/>
                <w:szCs w:val="18"/>
              </w:rPr>
              <w:t xml:space="preserve">AV </w:t>
            </w:r>
            <w:r w:rsidR="00135A07" w:rsidRPr="00A224E9">
              <w:rPr>
                <w:rFonts w:cs="Arial"/>
                <w:b/>
                <w:bCs/>
                <w:sz w:val="18"/>
                <w:szCs w:val="18"/>
              </w:rPr>
              <w:t xml:space="preserve"> Empenhada </w:t>
            </w:r>
            <w:r w:rsidR="00DC20DF" w:rsidRPr="00A224E9">
              <w:rPr>
                <w:rFonts w:cs="Arial"/>
                <w:b/>
                <w:bCs/>
                <w:sz w:val="18"/>
                <w:szCs w:val="18"/>
              </w:rPr>
              <w:t xml:space="preserve">% </w:t>
            </w:r>
          </w:p>
        </w:tc>
        <w:tc>
          <w:tcPr>
            <w:tcW w:w="643" w:type="pct"/>
            <w:tcBorders>
              <w:top w:val="single" w:sz="4" w:space="0" w:color="auto"/>
              <w:left w:val="single" w:sz="4" w:space="0" w:color="auto"/>
              <w:bottom w:val="single" w:sz="4" w:space="0" w:color="auto"/>
              <w:right w:val="nil"/>
            </w:tcBorders>
            <w:shd w:val="clear" w:color="auto" w:fill="B5EEF7"/>
            <w:noWrap/>
            <w:tcMar>
              <w:top w:w="28" w:type="dxa"/>
              <w:bottom w:w="28" w:type="dxa"/>
            </w:tcMar>
            <w:vAlign w:val="center"/>
            <w:hideMark/>
          </w:tcPr>
          <w:p w14:paraId="0FA4EF30" w14:textId="6534F3D0" w:rsidR="00DC20DF" w:rsidRPr="00A224E9" w:rsidRDefault="00DC20DF" w:rsidP="00135A07">
            <w:pPr>
              <w:ind w:hanging="68"/>
              <w:jc w:val="center"/>
              <w:rPr>
                <w:rFonts w:cs="Arial"/>
                <w:b/>
                <w:bCs/>
                <w:sz w:val="18"/>
                <w:szCs w:val="18"/>
              </w:rPr>
            </w:pPr>
            <w:r w:rsidRPr="00A224E9">
              <w:rPr>
                <w:rFonts w:cs="Arial"/>
                <w:b/>
                <w:bCs/>
                <w:sz w:val="18"/>
                <w:szCs w:val="18"/>
              </w:rPr>
              <w:t>% Empenhada</w:t>
            </w:r>
            <w:r w:rsidR="00135A07" w:rsidRPr="00A224E9">
              <w:rPr>
                <w:rFonts w:cs="Arial"/>
                <w:b/>
                <w:bCs/>
                <w:sz w:val="18"/>
                <w:szCs w:val="18"/>
              </w:rPr>
              <w:t xml:space="preserve"> </w:t>
            </w:r>
            <w:r w:rsidRPr="00A224E9">
              <w:rPr>
                <w:rFonts w:cs="Arial"/>
                <w:b/>
                <w:bCs/>
                <w:sz w:val="18"/>
                <w:szCs w:val="18"/>
              </w:rPr>
              <w:t>/</w:t>
            </w:r>
            <w:r w:rsidRPr="00A224E9">
              <w:rPr>
                <w:rFonts w:cs="Arial"/>
                <w:b/>
                <w:bCs/>
                <w:sz w:val="18"/>
                <w:szCs w:val="18"/>
              </w:rPr>
              <w:br/>
              <w:t>Total Estado</w:t>
            </w:r>
          </w:p>
        </w:tc>
      </w:tr>
      <w:tr w:rsidR="009159A8" w:rsidRPr="00A224E9" w14:paraId="1308AADB" w14:textId="77777777" w:rsidTr="00A224E9">
        <w:trPr>
          <w:trHeight w:val="425"/>
        </w:trPr>
        <w:tc>
          <w:tcPr>
            <w:tcW w:w="2956" w:type="pct"/>
            <w:tcBorders>
              <w:top w:val="single" w:sz="4" w:space="0" w:color="auto"/>
              <w:left w:val="nil"/>
              <w:bottom w:val="nil"/>
              <w:right w:val="single" w:sz="4" w:space="0" w:color="auto"/>
            </w:tcBorders>
            <w:noWrap/>
            <w:tcMar>
              <w:top w:w="28" w:type="dxa"/>
              <w:bottom w:w="28" w:type="dxa"/>
            </w:tcMar>
            <w:vAlign w:val="center"/>
            <w:hideMark/>
          </w:tcPr>
          <w:p w14:paraId="430EFF5C" w14:textId="77777777" w:rsidR="009159A8" w:rsidRPr="00A224E9" w:rsidRDefault="009159A8" w:rsidP="009159A8">
            <w:pPr>
              <w:ind w:firstLineChars="37" w:firstLine="74"/>
              <w:jc w:val="left"/>
              <w:rPr>
                <w:rFonts w:cs="Arial"/>
                <w:b/>
                <w:bCs/>
                <w:sz w:val="20"/>
                <w:szCs w:val="20"/>
              </w:rPr>
            </w:pPr>
            <w:r w:rsidRPr="00A224E9">
              <w:rPr>
                <w:rFonts w:cs="Arial"/>
                <w:b/>
                <w:bCs/>
                <w:sz w:val="20"/>
                <w:szCs w:val="20"/>
              </w:rPr>
              <w:t>Eixo 2 - Goiás da Governança e Gestão Transformadora</w:t>
            </w:r>
          </w:p>
        </w:tc>
        <w:tc>
          <w:tcPr>
            <w:tcW w:w="833" w:type="pct"/>
            <w:tcBorders>
              <w:top w:val="single" w:sz="4" w:space="0" w:color="auto"/>
              <w:left w:val="single" w:sz="4" w:space="0" w:color="auto"/>
              <w:bottom w:val="nil"/>
              <w:right w:val="single" w:sz="4" w:space="0" w:color="auto"/>
            </w:tcBorders>
            <w:noWrap/>
            <w:tcMar>
              <w:top w:w="28" w:type="dxa"/>
              <w:bottom w:w="28" w:type="dxa"/>
            </w:tcMar>
            <w:vAlign w:val="center"/>
          </w:tcPr>
          <w:p w14:paraId="31675506" w14:textId="655AF2F7" w:rsidR="009159A8" w:rsidRPr="00A224E9" w:rsidRDefault="009159A8" w:rsidP="009159A8">
            <w:pPr>
              <w:jc w:val="right"/>
              <w:rPr>
                <w:rFonts w:cs="Arial"/>
                <w:b/>
                <w:bCs/>
                <w:sz w:val="20"/>
                <w:szCs w:val="20"/>
              </w:rPr>
            </w:pPr>
            <w:r w:rsidRPr="00A224E9">
              <w:rPr>
                <w:rFonts w:cs="Arial"/>
                <w:b/>
                <w:bCs/>
                <w:color w:val="000000"/>
                <w:sz w:val="20"/>
                <w:szCs w:val="20"/>
              </w:rPr>
              <w:t>28.180.062.905</w:t>
            </w:r>
          </w:p>
        </w:tc>
        <w:tc>
          <w:tcPr>
            <w:tcW w:w="568" w:type="pct"/>
            <w:tcBorders>
              <w:top w:val="single" w:sz="4" w:space="0" w:color="auto"/>
              <w:left w:val="single" w:sz="4" w:space="0" w:color="auto"/>
              <w:bottom w:val="nil"/>
              <w:right w:val="single" w:sz="4" w:space="0" w:color="auto"/>
            </w:tcBorders>
            <w:noWrap/>
            <w:tcMar>
              <w:top w:w="28" w:type="dxa"/>
              <w:bottom w:w="28" w:type="dxa"/>
            </w:tcMar>
            <w:vAlign w:val="center"/>
          </w:tcPr>
          <w:p w14:paraId="64359088" w14:textId="2E3C0E61" w:rsidR="009159A8" w:rsidRPr="00A224E9" w:rsidRDefault="009159A8" w:rsidP="009159A8">
            <w:pPr>
              <w:jc w:val="center"/>
              <w:rPr>
                <w:rFonts w:cs="Arial"/>
                <w:b/>
                <w:bCs/>
                <w:sz w:val="20"/>
                <w:szCs w:val="20"/>
              </w:rPr>
            </w:pPr>
            <w:r w:rsidRPr="00A224E9">
              <w:rPr>
                <w:rFonts w:cs="Arial"/>
                <w:b/>
                <w:bCs/>
                <w:color w:val="000000"/>
                <w:sz w:val="20"/>
                <w:szCs w:val="20"/>
              </w:rPr>
              <w:t>99,34</w:t>
            </w:r>
          </w:p>
        </w:tc>
        <w:tc>
          <w:tcPr>
            <w:tcW w:w="643" w:type="pct"/>
            <w:tcBorders>
              <w:top w:val="single" w:sz="4" w:space="0" w:color="auto"/>
              <w:left w:val="single" w:sz="4" w:space="0" w:color="auto"/>
              <w:bottom w:val="nil"/>
              <w:right w:val="nil"/>
            </w:tcBorders>
            <w:noWrap/>
            <w:tcMar>
              <w:top w:w="28" w:type="dxa"/>
              <w:bottom w:w="28" w:type="dxa"/>
            </w:tcMar>
            <w:vAlign w:val="center"/>
          </w:tcPr>
          <w:p w14:paraId="75F6AAF0" w14:textId="184EDBAB" w:rsidR="009159A8" w:rsidRPr="00A224E9" w:rsidRDefault="009159A8" w:rsidP="009159A8">
            <w:pPr>
              <w:jc w:val="center"/>
              <w:rPr>
                <w:rFonts w:cs="Arial"/>
                <w:b/>
                <w:bCs/>
                <w:sz w:val="20"/>
                <w:szCs w:val="20"/>
              </w:rPr>
            </w:pPr>
            <w:r w:rsidRPr="00A224E9">
              <w:rPr>
                <w:rFonts w:cs="Arial"/>
                <w:b/>
                <w:bCs/>
                <w:color w:val="000000"/>
                <w:sz w:val="20"/>
                <w:szCs w:val="20"/>
              </w:rPr>
              <w:t>71,49</w:t>
            </w:r>
          </w:p>
        </w:tc>
      </w:tr>
      <w:tr w:rsidR="009159A8" w:rsidRPr="00A224E9" w14:paraId="73B20A0C" w14:textId="77777777" w:rsidTr="00A224E9">
        <w:trPr>
          <w:trHeight w:val="227"/>
        </w:trPr>
        <w:tc>
          <w:tcPr>
            <w:tcW w:w="2956" w:type="pct"/>
            <w:tcBorders>
              <w:top w:val="single" w:sz="4" w:space="0" w:color="4BACC6" w:themeColor="accent5"/>
              <w:left w:val="nil"/>
              <w:bottom w:val="nil"/>
              <w:right w:val="single" w:sz="4" w:space="0" w:color="auto"/>
            </w:tcBorders>
            <w:noWrap/>
            <w:tcMar>
              <w:top w:w="28" w:type="dxa"/>
              <w:bottom w:w="28" w:type="dxa"/>
            </w:tcMar>
            <w:vAlign w:val="center"/>
            <w:hideMark/>
          </w:tcPr>
          <w:p w14:paraId="4E8F5C2A" w14:textId="77777777" w:rsidR="009159A8" w:rsidRPr="00A224E9" w:rsidRDefault="009159A8" w:rsidP="009159A8">
            <w:pPr>
              <w:ind w:firstLineChars="200" w:firstLine="402"/>
              <w:jc w:val="left"/>
              <w:rPr>
                <w:rFonts w:cs="Arial"/>
                <w:b/>
                <w:bCs/>
                <w:sz w:val="20"/>
                <w:szCs w:val="20"/>
              </w:rPr>
            </w:pPr>
            <w:r w:rsidRPr="00A224E9">
              <w:rPr>
                <w:rFonts w:cs="Arial"/>
                <w:b/>
                <w:bCs/>
                <w:sz w:val="20"/>
                <w:szCs w:val="20"/>
              </w:rPr>
              <w:t>Servidor Público</w:t>
            </w:r>
          </w:p>
        </w:tc>
        <w:tc>
          <w:tcPr>
            <w:tcW w:w="833" w:type="pct"/>
            <w:tcBorders>
              <w:top w:val="single" w:sz="4" w:space="0" w:color="4BACC6" w:themeColor="accent5"/>
              <w:left w:val="single" w:sz="4" w:space="0" w:color="auto"/>
              <w:bottom w:val="nil"/>
              <w:right w:val="single" w:sz="4" w:space="0" w:color="auto"/>
            </w:tcBorders>
            <w:noWrap/>
            <w:tcMar>
              <w:top w:w="28" w:type="dxa"/>
              <w:bottom w:w="28" w:type="dxa"/>
            </w:tcMar>
            <w:vAlign w:val="center"/>
          </w:tcPr>
          <w:p w14:paraId="6CCF9178" w14:textId="5B2E96ED" w:rsidR="009159A8" w:rsidRPr="00A224E9" w:rsidRDefault="009159A8" w:rsidP="009159A8">
            <w:pPr>
              <w:jc w:val="right"/>
              <w:rPr>
                <w:rFonts w:cs="Arial"/>
                <w:b/>
                <w:bCs/>
                <w:sz w:val="20"/>
                <w:szCs w:val="20"/>
              </w:rPr>
            </w:pPr>
            <w:r w:rsidRPr="00A224E9">
              <w:rPr>
                <w:rFonts w:cs="Arial"/>
                <w:b/>
                <w:bCs/>
                <w:color w:val="000000"/>
                <w:sz w:val="20"/>
                <w:szCs w:val="20"/>
              </w:rPr>
              <w:t>23.094.291.138</w:t>
            </w:r>
          </w:p>
        </w:tc>
        <w:tc>
          <w:tcPr>
            <w:tcW w:w="568" w:type="pct"/>
            <w:tcBorders>
              <w:top w:val="single" w:sz="4" w:space="0" w:color="4BACC6" w:themeColor="accent5"/>
              <w:left w:val="single" w:sz="4" w:space="0" w:color="auto"/>
              <w:bottom w:val="nil"/>
              <w:right w:val="single" w:sz="4" w:space="0" w:color="auto"/>
            </w:tcBorders>
            <w:noWrap/>
            <w:tcMar>
              <w:top w:w="28" w:type="dxa"/>
              <w:bottom w:w="28" w:type="dxa"/>
            </w:tcMar>
            <w:vAlign w:val="center"/>
          </w:tcPr>
          <w:p w14:paraId="720C9D1B" w14:textId="1032D43E" w:rsidR="009159A8" w:rsidRPr="00A224E9" w:rsidRDefault="009159A8" w:rsidP="009159A8">
            <w:pPr>
              <w:jc w:val="center"/>
              <w:rPr>
                <w:rFonts w:cs="Arial"/>
                <w:b/>
                <w:bCs/>
                <w:sz w:val="20"/>
                <w:szCs w:val="20"/>
              </w:rPr>
            </w:pPr>
            <w:r w:rsidRPr="00A224E9">
              <w:rPr>
                <w:rFonts w:cs="Arial"/>
                <w:b/>
                <w:bCs/>
                <w:color w:val="000000"/>
                <w:sz w:val="20"/>
                <w:szCs w:val="20"/>
              </w:rPr>
              <w:t>81,41</w:t>
            </w:r>
          </w:p>
        </w:tc>
        <w:tc>
          <w:tcPr>
            <w:tcW w:w="643" w:type="pct"/>
            <w:tcBorders>
              <w:top w:val="single" w:sz="4" w:space="0" w:color="4BACC6" w:themeColor="accent5"/>
              <w:left w:val="single" w:sz="4" w:space="0" w:color="auto"/>
              <w:bottom w:val="nil"/>
              <w:right w:val="nil"/>
            </w:tcBorders>
            <w:noWrap/>
            <w:tcMar>
              <w:top w:w="28" w:type="dxa"/>
              <w:bottom w:w="28" w:type="dxa"/>
            </w:tcMar>
            <w:vAlign w:val="center"/>
          </w:tcPr>
          <w:p w14:paraId="68F40007" w14:textId="200DCCF8" w:rsidR="009159A8" w:rsidRPr="00A224E9" w:rsidRDefault="009159A8" w:rsidP="009159A8">
            <w:pPr>
              <w:jc w:val="center"/>
              <w:rPr>
                <w:rFonts w:cs="Arial"/>
                <w:b/>
                <w:bCs/>
                <w:sz w:val="20"/>
                <w:szCs w:val="20"/>
              </w:rPr>
            </w:pPr>
            <w:r w:rsidRPr="00A224E9">
              <w:rPr>
                <w:rFonts w:cs="Arial"/>
                <w:b/>
                <w:bCs/>
                <w:color w:val="000000"/>
                <w:sz w:val="20"/>
                <w:szCs w:val="20"/>
              </w:rPr>
              <w:t>58,58</w:t>
            </w:r>
          </w:p>
        </w:tc>
      </w:tr>
      <w:tr w:rsidR="009159A8" w:rsidRPr="00A224E9" w14:paraId="3B973D9A" w14:textId="77777777" w:rsidTr="00A224E9">
        <w:trPr>
          <w:trHeight w:val="454"/>
        </w:trPr>
        <w:tc>
          <w:tcPr>
            <w:tcW w:w="2956" w:type="pct"/>
            <w:tcBorders>
              <w:top w:val="nil"/>
              <w:left w:val="nil"/>
              <w:bottom w:val="nil"/>
              <w:right w:val="single" w:sz="4" w:space="0" w:color="auto"/>
            </w:tcBorders>
            <w:noWrap/>
            <w:tcMar>
              <w:top w:w="28" w:type="dxa"/>
              <w:bottom w:w="28" w:type="dxa"/>
            </w:tcMar>
            <w:vAlign w:val="center"/>
            <w:hideMark/>
          </w:tcPr>
          <w:p w14:paraId="103851B8" w14:textId="77777777" w:rsidR="009159A8" w:rsidRPr="00A224E9" w:rsidRDefault="009159A8" w:rsidP="009159A8">
            <w:pPr>
              <w:ind w:leftChars="316" w:left="696" w:hanging="1"/>
              <w:jc w:val="left"/>
              <w:rPr>
                <w:rFonts w:cs="Arial"/>
                <w:sz w:val="20"/>
                <w:szCs w:val="20"/>
              </w:rPr>
            </w:pPr>
            <w:r w:rsidRPr="00A224E9">
              <w:rPr>
                <w:rFonts w:cs="Arial"/>
                <w:sz w:val="20"/>
                <w:szCs w:val="20"/>
              </w:rPr>
              <w:t>Encargos da Folha de Pagamento dos Servidores Públicos [4100]</w:t>
            </w:r>
          </w:p>
        </w:tc>
        <w:tc>
          <w:tcPr>
            <w:tcW w:w="833" w:type="pct"/>
            <w:tcBorders>
              <w:top w:val="nil"/>
              <w:left w:val="single" w:sz="4" w:space="0" w:color="auto"/>
              <w:bottom w:val="nil"/>
              <w:right w:val="single" w:sz="4" w:space="0" w:color="auto"/>
            </w:tcBorders>
            <w:noWrap/>
            <w:tcMar>
              <w:top w:w="28" w:type="dxa"/>
              <w:bottom w:w="28" w:type="dxa"/>
            </w:tcMar>
            <w:vAlign w:val="center"/>
          </w:tcPr>
          <w:p w14:paraId="5BA3ADEC" w14:textId="71DB2392" w:rsidR="009159A8" w:rsidRPr="00A224E9" w:rsidRDefault="009159A8" w:rsidP="009159A8">
            <w:pPr>
              <w:jc w:val="right"/>
              <w:rPr>
                <w:rFonts w:cs="Arial"/>
                <w:sz w:val="20"/>
                <w:szCs w:val="20"/>
              </w:rPr>
            </w:pPr>
            <w:r w:rsidRPr="00A224E9">
              <w:rPr>
                <w:rFonts w:cs="Arial"/>
                <w:color w:val="000000"/>
                <w:sz w:val="20"/>
                <w:szCs w:val="20"/>
              </w:rPr>
              <w:t xml:space="preserve">15.044.127.818 </w:t>
            </w:r>
          </w:p>
        </w:tc>
        <w:tc>
          <w:tcPr>
            <w:tcW w:w="568" w:type="pct"/>
            <w:tcBorders>
              <w:top w:val="nil"/>
              <w:left w:val="single" w:sz="4" w:space="0" w:color="auto"/>
              <w:bottom w:val="nil"/>
              <w:right w:val="single" w:sz="4" w:space="0" w:color="auto"/>
            </w:tcBorders>
            <w:noWrap/>
            <w:tcMar>
              <w:top w:w="28" w:type="dxa"/>
              <w:bottom w:w="28" w:type="dxa"/>
            </w:tcMar>
            <w:vAlign w:val="center"/>
          </w:tcPr>
          <w:p w14:paraId="31542BC6" w14:textId="6C783203" w:rsidR="009159A8" w:rsidRPr="00A224E9" w:rsidRDefault="009159A8" w:rsidP="009159A8">
            <w:pPr>
              <w:jc w:val="center"/>
              <w:rPr>
                <w:rFonts w:cs="Arial"/>
                <w:sz w:val="20"/>
                <w:szCs w:val="20"/>
              </w:rPr>
            </w:pPr>
            <w:r w:rsidRPr="00A224E9">
              <w:rPr>
                <w:rFonts w:cs="Arial"/>
                <w:color w:val="000000"/>
                <w:sz w:val="20"/>
                <w:szCs w:val="20"/>
              </w:rPr>
              <w:t>53,03</w:t>
            </w:r>
          </w:p>
        </w:tc>
        <w:tc>
          <w:tcPr>
            <w:tcW w:w="643" w:type="pct"/>
            <w:tcBorders>
              <w:top w:val="nil"/>
              <w:left w:val="single" w:sz="4" w:space="0" w:color="auto"/>
              <w:bottom w:val="nil"/>
              <w:right w:val="nil"/>
            </w:tcBorders>
            <w:noWrap/>
            <w:tcMar>
              <w:top w:w="28" w:type="dxa"/>
              <w:bottom w:w="28" w:type="dxa"/>
            </w:tcMar>
            <w:vAlign w:val="center"/>
          </w:tcPr>
          <w:p w14:paraId="05201A22" w14:textId="22A3E003" w:rsidR="009159A8" w:rsidRPr="00A224E9" w:rsidRDefault="009159A8" w:rsidP="009159A8">
            <w:pPr>
              <w:jc w:val="center"/>
              <w:rPr>
                <w:rFonts w:cs="Arial"/>
                <w:sz w:val="20"/>
                <w:szCs w:val="20"/>
              </w:rPr>
            </w:pPr>
            <w:r w:rsidRPr="00A224E9">
              <w:rPr>
                <w:rFonts w:cs="Arial"/>
                <w:color w:val="000000"/>
                <w:sz w:val="20"/>
                <w:szCs w:val="20"/>
              </w:rPr>
              <w:t>38,16</w:t>
            </w:r>
          </w:p>
        </w:tc>
      </w:tr>
      <w:tr w:rsidR="009159A8" w:rsidRPr="00A224E9" w14:paraId="1AAD198E" w14:textId="77777777" w:rsidTr="00A224E9">
        <w:trPr>
          <w:trHeight w:val="454"/>
        </w:trPr>
        <w:tc>
          <w:tcPr>
            <w:tcW w:w="2956" w:type="pct"/>
            <w:tcBorders>
              <w:top w:val="nil"/>
              <w:left w:val="nil"/>
              <w:bottom w:val="nil"/>
              <w:right w:val="single" w:sz="4" w:space="0" w:color="auto"/>
            </w:tcBorders>
            <w:noWrap/>
            <w:tcMar>
              <w:top w:w="28" w:type="dxa"/>
              <w:bottom w:w="28" w:type="dxa"/>
            </w:tcMar>
            <w:vAlign w:val="center"/>
            <w:hideMark/>
          </w:tcPr>
          <w:p w14:paraId="34232014" w14:textId="77777777" w:rsidR="009159A8" w:rsidRPr="00A224E9" w:rsidRDefault="009159A8" w:rsidP="009159A8">
            <w:pPr>
              <w:ind w:leftChars="316" w:left="696" w:hanging="1"/>
              <w:jc w:val="left"/>
              <w:rPr>
                <w:rFonts w:cs="Arial"/>
                <w:sz w:val="20"/>
                <w:szCs w:val="20"/>
              </w:rPr>
            </w:pPr>
            <w:r w:rsidRPr="00A224E9">
              <w:rPr>
                <w:rFonts w:cs="Arial"/>
                <w:sz w:val="20"/>
                <w:szCs w:val="20"/>
              </w:rPr>
              <w:t>Encargos dos Benefícios Previdenciários e Especiais [0200]</w:t>
            </w:r>
          </w:p>
        </w:tc>
        <w:tc>
          <w:tcPr>
            <w:tcW w:w="833" w:type="pct"/>
            <w:tcBorders>
              <w:top w:val="nil"/>
              <w:left w:val="single" w:sz="4" w:space="0" w:color="auto"/>
              <w:bottom w:val="nil"/>
              <w:right w:val="single" w:sz="4" w:space="0" w:color="auto"/>
            </w:tcBorders>
            <w:noWrap/>
            <w:tcMar>
              <w:top w:w="28" w:type="dxa"/>
              <w:bottom w:w="28" w:type="dxa"/>
            </w:tcMar>
            <w:vAlign w:val="center"/>
          </w:tcPr>
          <w:p w14:paraId="42925EA8" w14:textId="365DE363" w:rsidR="009159A8" w:rsidRPr="00A224E9" w:rsidRDefault="009159A8" w:rsidP="009159A8">
            <w:pPr>
              <w:jc w:val="right"/>
              <w:rPr>
                <w:rFonts w:cs="Arial"/>
                <w:sz w:val="20"/>
                <w:szCs w:val="20"/>
              </w:rPr>
            </w:pPr>
            <w:r w:rsidRPr="00A224E9">
              <w:rPr>
                <w:rFonts w:cs="Arial"/>
                <w:color w:val="000000"/>
                <w:sz w:val="20"/>
                <w:szCs w:val="20"/>
              </w:rPr>
              <w:t xml:space="preserve">8.050.163.320 </w:t>
            </w:r>
          </w:p>
        </w:tc>
        <w:tc>
          <w:tcPr>
            <w:tcW w:w="568" w:type="pct"/>
            <w:tcBorders>
              <w:top w:val="nil"/>
              <w:left w:val="single" w:sz="4" w:space="0" w:color="auto"/>
              <w:bottom w:val="nil"/>
              <w:right w:val="single" w:sz="4" w:space="0" w:color="auto"/>
            </w:tcBorders>
            <w:noWrap/>
            <w:tcMar>
              <w:top w:w="28" w:type="dxa"/>
              <w:bottom w:w="28" w:type="dxa"/>
            </w:tcMar>
            <w:vAlign w:val="center"/>
          </w:tcPr>
          <w:p w14:paraId="04462023" w14:textId="69AE4A9B" w:rsidR="009159A8" w:rsidRPr="00A224E9" w:rsidRDefault="009159A8" w:rsidP="009159A8">
            <w:pPr>
              <w:jc w:val="center"/>
              <w:rPr>
                <w:rFonts w:cs="Arial"/>
                <w:sz w:val="20"/>
                <w:szCs w:val="20"/>
              </w:rPr>
            </w:pPr>
            <w:r w:rsidRPr="00A224E9">
              <w:rPr>
                <w:rFonts w:cs="Arial"/>
                <w:color w:val="000000"/>
                <w:sz w:val="20"/>
                <w:szCs w:val="20"/>
              </w:rPr>
              <w:t>28,38</w:t>
            </w:r>
          </w:p>
        </w:tc>
        <w:tc>
          <w:tcPr>
            <w:tcW w:w="643" w:type="pct"/>
            <w:tcBorders>
              <w:top w:val="nil"/>
              <w:left w:val="single" w:sz="4" w:space="0" w:color="auto"/>
              <w:bottom w:val="nil"/>
              <w:right w:val="nil"/>
            </w:tcBorders>
            <w:noWrap/>
            <w:tcMar>
              <w:top w:w="28" w:type="dxa"/>
              <w:bottom w:w="28" w:type="dxa"/>
            </w:tcMar>
            <w:vAlign w:val="center"/>
          </w:tcPr>
          <w:p w14:paraId="114B8EAC" w14:textId="322F187B" w:rsidR="009159A8" w:rsidRPr="00A224E9" w:rsidRDefault="009159A8" w:rsidP="009159A8">
            <w:pPr>
              <w:jc w:val="center"/>
              <w:rPr>
                <w:rFonts w:cs="Arial"/>
                <w:sz w:val="20"/>
                <w:szCs w:val="20"/>
              </w:rPr>
            </w:pPr>
            <w:r w:rsidRPr="00A224E9">
              <w:rPr>
                <w:rFonts w:cs="Arial"/>
                <w:color w:val="000000"/>
                <w:sz w:val="20"/>
                <w:szCs w:val="20"/>
              </w:rPr>
              <w:t>20,42</w:t>
            </w:r>
          </w:p>
        </w:tc>
      </w:tr>
      <w:tr w:rsidR="009159A8" w:rsidRPr="00A224E9" w14:paraId="17E841AA" w14:textId="77777777" w:rsidTr="00A224E9">
        <w:trPr>
          <w:trHeight w:val="227"/>
        </w:trPr>
        <w:tc>
          <w:tcPr>
            <w:tcW w:w="2956" w:type="pct"/>
            <w:tcBorders>
              <w:top w:val="nil"/>
              <w:left w:val="nil"/>
              <w:bottom w:val="nil"/>
              <w:right w:val="single" w:sz="4" w:space="0" w:color="auto"/>
            </w:tcBorders>
            <w:noWrap/>
            <w:tcMar>
              <w:top w:w="28" w:type="dxa"/>
              <w:bottom w:w="28" w:type="dxa"/>
            </w:tcMar>
            <w:vAlign w:val="center"/>
            <w:hideMark/>
          </w:tcPr>
          <w:p w14:paraId="7DBA117B" w14:textId="77777777" w:rsidR="009159A8" w:rsidRPr="00A224E9" w:rsidRDefault="009159A8" w:rsidP="009159A8">
            <w:pPr>
              <w:ind w:firstLineChars="200" w:firstLine="402"/>
              <w:jc w:val="left"/>
              <w:rPr>
                <w:rFonts w:cs="Arial"/>
                <w:b/>
                <w:bCs/>
                <w:sz w:val="20"/>
                <w:szCs w:val="20"/>
              </w:rPr>
            </w:pPr>
            <w:r w:rsidRPr="00A224E9">
              <w:rPr>
                <w:rFonts w:cs="Arial"/>
                <w:b/>
                <w:bCs/>
                <w:sz w:val="20"/>
                <w:szCs w:val="20"/>
              </w:rPr>
              <w:t>Confiança</w:t>
            </w:r>
          </w:p>
        </w:tc>
        <w:tc>
          <w:tcPr>
            <w:tcW w:w="833" w:type="pct"/>
            <w:tcBorders>
              <w:top w:val="nil"/>
              <w:left w:val="single" w:sz="4" w:space="0" w:color="auto"/>
              <w:bottom w:val="nil"/>
              <w:right w:val="single" w:sz="4" w:space="0" w:color="auto"/>
            </w:tcBorders>
            <w:noWrap/>
            <w:tcMar>
              <w:top w:w="28" w:type="dxa"/>
              <w:bottom w:w="28" w:type="dxa"/>
            </w:tcMar>
            <w:vAlign w:val="center"/>
          </w:tcPr>
          <w:p w14:paraId="663DA506" w14:textId="2D810A9F" w:rsidR="009159A8" w:rsidRPr="00A224E9" w:rsidRDefault="009159A8" w:rsidP="009159A8">
            <w:pPr>
              <w:jc w:val="right"/>
              <w:rPr>
                <w:rFonts w:cs="Arial"/>
                <w:b/>
                <w:bCs/>
                <w:sz w:val="20"/>
                <w:szCs w:val="20"/>
              </w:rPr>
            </w:pPr>
            <w:r w:rsidRPr="00A224E9">
              <w:rPr>
                <w:rFonts w:cs="Arial"/>
                <w:b/>
                <w:bCs/>
                <w:color w:val="000000"/>
                <w:sz w:val="20"/>
                <w:szCs w:val="20"/>
              </w:rPr>
              <w:t>5.085.771.767</w:t>
            </w:r>
          </w:p>
        </w:tc>
        <w:tc>
          <w:tcPr>
            <w:tcW w:w="568" w:type="pct"/>
            <w:tcBorders>
              <w:top w:val="nil"/>
              <w:left w:val="single" w:sz="4" w:space="0" w:color="auto"/>
              <w:bottom w:val="nil"/>
              <w:right w:val="single" w:sz="4" w:space="0" w:color="auto"/>
            </w:tcBorders>
            <w:noWrap/>
            <w:tcMar>
              <w:top w:w="28" w:type="dxa"/>
              <w:bottom w:w="28" w:type="dxa"/>
            </w:tcMar>
            <w:vAlign w:val="center"/>
          </w:tcPr>
          <w:p w14:paraId="65F0D56F" w14:textId="5B289786" w:rsidR="009159A8" w:rsidRPr="00A224E9" w:rsidRDefault="009159A8" w:rsidP="009159A8">
            <w:pPr>
              <w:jc w:val="center"/>
              <w:rPr>
                <w:rFonts w:cs="Arial"/>
                <w:b/>
                <w:bCs/>
                <w:sz w:val="20"/>
                <w:szCs w:val="20"/>
              </w:rPr>
            </w:pPr>
            <w:r w:rsidRPr="00A224E9">
              <w:rPr>
                <w:rFonts w:cs="Arial"/>
                <w:b/>
                <w:bCs/>
                <w:color w:val="000000"/>
                <w:sz w:val="20"/>
                <w:szCs w:val="20"/>
              </w:rPr>
              <w:t>17,93</w:t>
            </w:r>
          </w:p>
        </w:tc>
        <w:tc>
          <w:tcPr>
            <w:tcW w:w="643" w:type="pct"/>
            <w:tcBorders>
              <w:top w:val="nil"/>
              <w:left w:val="single" w:sz="4" w:space="0" w:color="auto"/>
              <w:bottom w:val="nil"/>
              <w:right w:val="nil"/>
            </w:tcBorders>
            <w:noWrap/>
            <w:tcMar>
              <w:top w:w="28" w:type="dxa"/>
              <w:bottom w:w="28" w:type="dxa"/>
            </w:tcMar>
            <w:vAlign w:val="center"/>
          </w:tcPr>
          <w:p w14:paraId="6338DFA2" w14:textId="10933926" w:rsidR="009159A8" w:rsidRPr="00A224E9" w:rsidRDefault="009159A8" w:rsidP="009159A8">
            <w:pPr>
              <w:jc w:val="center"/>
              <w:rPr>
                <w:rFonts w:cs="Arial"/>
                <w:b/>
                <w:bCs/>
                <w:sz w:val="20"/>
                <w:szCs w:val="20"/>
              </w:rPr>
            </w:pPr>
            <w:r w:rsidRPr="00A224E9">
              <w:rPr>
                <w:rFonts w:cs="Arial"/>
                <w:b/>
                <w:bCs/>
                <w:color w:val="000000"/>
                <w:sz w:val="20"/>
                <w:szCs w:val="20"/>
              </w:rPr>
              <w:t>12,90</w:t>
            </w:r>
          </w:p>
        </w:tc>
      </w:tr>
      <w:tr w:rsidR="009159A8" w:rsidRPr="00A224E9" w14:paraId="4C918672" w14:textId="77777777" w:rsidTr="00A224E9">
        <w:trPr>
          <w:trHeight w:val="340"/>
        </w:trPr>
        <w:tc>
          <w:tcPr>
            <w:tcW w:w="2956" w:type="pct"/>
            <w:tcBorders>
              <w:top w:val="nil"/>
              <w:left w:val="nil"/>
              <w:bottom w:val="nil"/>
              <w:right w:val="single" w:sz="4" w:space="0" w:color="auto"/>
            </w:tcBorders>
            <w:noWrap/>
            <w:tcMar>
              <w:top w:w="28" w:type="dxa"/>
              <w:bottom w:w="28" w:type="dxa"/>
            </w:tcMar>
            <w:vAlign w:val="center"/>
            <w:hideMark/>
          </w:tcPr>
          <w:p w14:paraId="442BDB3E" w14:textId="77777777" w:rsidR="009159A8" w:rsidRPr="00A224E9" w:rsidRDefault="009159A8" w:rsidP="009159A8">
            <w:pPr>
              <w:ind w:leftChars="390" w:left="858" w:firstLineChars="1" w:firstLine="2"/>
              <w:jc w:val="left"/>
              <w:rPr>
                <w:rFonts w:cs="Arial"/>
                <w:sz w:val="20"/>
                <w:szCs w:val="20"/>
              </w:rPr>
            </w:pPr>
            <w:r w:rsidRPr="00A224E9">
              <w:rPr>
                <w:rFonts w:cs="Arial"/>
                <w:sz w:val="20"/>
                <w:szCs w:val="20"/>
              </w:rPr>
              <w:t>Encargos Especiais [0100]</w:t>
            </w:r>
          </w:p>
        </w:tc>
        <w:tc>
          <w:tcPr>
            <w:tcW w:w="833" w:type="pct"/>
            <w:tcBorders>
              <w:top w:val="nil"/>
              <w:left w:val="single" w:sz="4" w:space="0" w:color="auto"/>
              <w:bottom w:val="nil"/>
              <w:right w:val="single" w:sz="4" w:space="0" w:color="auto"/>
            </w:tcBorders>
            <w:noWrap/>
            <w:tcMar>
              <w:top w:w="28" w:type="dxa"/>
              <w:bottom w:w="28" w:type="dxa"/>
            </w:tcMar>
            <w:vAlign w:val="center"/>
          </w:tcPr>
          <w:p w14:paraId="6186B41C" w14:textId="6ABB47EF" w:rsidR="009159A8" w:rsidRPr="00A224E9" w:rsidRDefault="009159A8" w:rsidP="009159A8">
            <w:pPr>
              <w:jc w:val="right"/>
              <w:rPr>
                <w:rFonts w:cs="Arial"/>
                <w:sz w:val="20"/>
                <w:szCs w:val="20"/>
              </w:rPr>
            </w:pPr>
            <w:r w:rsidRPr="00A224E9">
              <w:rPr>
                <w:rFonts w:cs="Arial"/>
                <w:color w:val="000000"/>
                <w:sz w:val="20"/>
                <w:szCs w:val="20"/>
              </w:rPr>
              <w:t xml:space="preserve">3.318.880.120 </w:t>
            </w:r>
          </w:p>
        </w:tc>
        <w:tc>
          <w:tcPr>
            <w:tcW w:w="568" w:type="pct"/>
            <w:tcBorders>
              <w:top w:val="nil"/>
              <w:left w:val="single" w:sz="4" w:space="0" w:color="auto"/>
              <w:bottom w:val="nil"/>
              <w:right w:val="single" w:sz="4" w:space="0" w:color="auto"/>
            </w:tcBorders>
            <w:noWrap/>
            <w:tcMar>
              <w:top w:w="28" w:type="dxa"/>
              <w:bottom w:w="28" w:type="dxa"/>
            </w:tcMar>
            <w:vAlign w:val="center"/>
          </w:tcPr>
          <w:p w14:paraId="07B8872B" w14:textId="417CAA4A" w:rsidR="009159A8" w:rsidRPr="00A224E9" w:rsidRDefault="009159A8" w:rsidP="009159A8">
            <w:pPr>
              <w:jc w:val="center"/>
              <w:rPr>
                <w:rFonts w:cs="Arial"/>
                <w:sz w:val="20"/>
                <w:szCs w:val="20"/>
              </w:rPr>
            </w:pPr>
            <w:r w:rsidRPr="00A224E9">
              <w:rPr>
                <w:rFonts w:cs="Arial"/>
                <w:color w:val="000000"/>
                <w:sz w:val="20"/>
                <w:szCs w:val="20"/>
              </w:rPr>
              <w:t>11,70</w:t>
            </w:r>
          </w:p>
        </w:tc>
        <w:tc>
          <w:tcPr>
            <w:tcW w:w="643" w:type="pct"/>
            <w:tcBorders>
              <w:top w:val="nil"/>
              <w:left w:val="single" w:sz="4" w:space="0" w:color="auto"/>
              <w:bottom w:val="nil"/>
              <w:right w:val="nil"/>
            </w:tcBorders>
            <w:noWrap/>
            <w:tcMar>
              <w:top w:w="28" w:type="dxa"/>
              <w:bottom w:w="28" w:type="dxa"/>
            </w:tcMar>
            <w:vAlign w:val="center"/>
          </w:tcPr>
          <w:p w14:paraId="4D262CCD" w14:textId="48BC0D73" w:rsidR="009159A8" w:rsidRPr="00A224E9" w:rsidRDefault="009159A8" w:rsidP="009159A8">
            <w:pPr>
              <w:jc w:val="center"/>
              <w:rPr>
                <w:rFonts w:cs="Arial"/>
                <w:sz w:val="20"/>
                <w:szCs w:val="20"/>
              </w:rPr>
            </w:pPr>
            <w:r w:rsidRPr="00A224E9">
              <w:rPr>
                <w:rFonts w:cs="Arial"/>
                <w:color w:val="000000"/>
                <w:sz w:val="20"/>
                <w:szCs w:val="20"/>
              </w:rPr>
              <w:t>8,42</w:t>
            </w:r>
          </w:p>
        </w:tc>
      </w:tr>
      <w:tr w:rsidR="009159A8" w:rsidRPr="00A224E9" w14:paraId="7D10E3C2" w14:textId="77777777" w:rsidTr="00A224E9">
        <w:trPr>
          <w:trHeight w:val="340"/>
        </w:trPr>
        <w:tc>
          <w:tcPr>
            <w:tcW w:w="2956" w:type="pct"/>
            <w:tcBorders>
              <w:top w:val="nil"/>
              <w:left w:val="nil"/>
              <w:bottom w:val="single" w:sz="4" w:space="0" w:color="auto"/>
              <w:right w:val="single" w:sz="4" w:space="0" w:color="auto"/>
            </w:tcBorders>
            <w:noWrap/>
            <w:tcMar>
              <w:top w:w="28" w:type="dxa"/>
              <w:bottom w:w="28" w:type="dxa"/>
            </w:tcMar>
            <w:vAlign w:val="center"/>
            <w:hideMark/>
          </w:tcPr>
          <w:p w14:paraId="05DF9251" w14:textId="77777777" w:rsidR="009159A8" w:rsidRPr="00A224E9" w:rsidRDefault="009159A8" w:rsidP="009159A8">
            <w:pPr>
              <w:ind w:leftChars="390" w:left="858" w:firstLineChars="1" w:firstLine="2"/>
              <w:jc w:val="left"/>
              <w:rPr>
                <w:rFonts w:cs="Arial"/>
                <w:sz w:val="20"/>
                <w:szCs w:val="20"/>
              </w:rPr>
            </w:pPr>
            <w:r w:rsidRPr="00A224E9">
              <w:rPr>
                <w:rFonts w:cs="Arial"/>
                <w:sz w:val="20"/>
                <w:szCs w:val="20"/>
              </w:rPr>
              <w:t>Gestão e Manutenção [4200]</w:t>
            </w:r>
          </w:p>
        </w:tc>
        <w:tc>
          <w:tcPr>
            <w:tcW w:w="833" w:type="pct"/>
            <w:tcBorders>
              <w:top w:val="nil"/>
              <w:left w:val="single" w:sz="4" w:space="0" w:color="auto"/>
              <w:bottom w:val="single" w:sz="4" w:space="0" w:color="auto"/>
              <w:right w:val="single" w:sz="4" w:space="0" w:color="auto"/>
            </w:tcBorders>
            <w:noWrap/>
            <w:tcMar>
              <w:top w:w="28" w:type="dxa"/>
              <w:bottom w:w="28" w:type="dxa"/>
            </w:tcMar>
            <w:vAlign w:val="center"/>
          </w:tcPr>
          <w:p w14:paraId="6CFCEB2A" w14:textId="12B9BAB1" w:rsidR="009159A8" w:rsidRPr="00A224E9" w:rsidRDefault="009159A8" w:rsidP="009159A8">
            <w:pPr>
              <w:jc w:val="right"/>
              <w:rPr>
                <w:rFonts w:cs="Arial"/>
                <w:sz w:val="20"/>
                <w:szCs w:val="20"/>
              </w:rPr>
            </w:pPr>
            <w:r w:rsidRPr="00A224E9">
              <w:rPr>
                <w:rFonts w:cs="Arial"/>
                <w:color w:val="000000"/>
                <w:sz w:val="20"/>
                <w:szCs w:val="20"/>
              </w:rPr>
              <w:t>1.766.891.647</w:t>
            </w:r>
          </w:p>
        </w:tc>
        <w:tc>
          <w:tcPr>
            <w:tcW w:w="568" w:type="pct"/>
            <w:tcBorders>
              <w:top w:val="nil"/>
              <w:left w:val="single" w:sz="4" w:space="0" w:color="auto"/>
              <w:bottom w:val="single" w:sz="4" w:space="0" w:color="auto"/>
              <w:right w:val="single" w:sz="4" w:space="0" w:color="auto"/>
            </w:tcBorders>
            <w:noWrap/>
            <w:tcMar>
              <w:top w:w="28" w:type="dxa"/>
              <w:bottom w:w="28" w:type="dxa"/>
            </w:tcMar>
            <w:vAlign w:val="center"/>
          </w:tcPr>
          <w:p w14:paraId="3DD69DDF" w14:textId="63785DCA" w:rsidR="009159A8" w:rsidRPr="00A224E9" w:rsidRDefault="009159A8" w:rsidP="009159A8">
            <w:pPr>
              <w:jc w:val="center"/>
              <w:rPr>
                <w:rFonts w:cs="Arial"/>
                <w:sz w:val="20"/>
                <w:szCs w:val="20"/>
              </w:rPr>
            </w:pPr>
            <w:r w:rsidRPr="00A224E9">
              <w:rPr>
                <w:rFonts w:cs="Arial"/>
                <w:color w:val="000000"/>
                <w:sz w:val="20"/>
                <w:szCs w:val="20"/>
              </w:rPr>
              <w:t>6,23</w:t>
            </w:r>
          </w:p>
        </w:tc>
        <w:tc>
          <w:tcPr>
            <w:tcW w:w="643" w:type="pct"/>
            <w:tcBorders>
              <w:top w:val="nil"/>
              <w:left w:val="single" w:sz="4" w:space="0" w:color="auto"/>
              <w:bottom w:val="single" w:sz="4" w:space="0" w:color="auto"/>
              <w:right w:val="nil"/>
            </w:tcBorders>
            <w:noWrap/>
            <w:tcMar>
              <w:top w:w="28" w:type="dxa"/>
              <w:bottom w:w="28" w:type="dxa"/>
            </w:tcMar>
            <w:vAlign w:val="center"/>
          </w:tcPr>
          <w:p w14:paraId="6D735857" w14:textId="3D82F657" w:rsidR="009159A8" w:rsidRPr="00A224E9" w:rsidRDefault="009159A8" w:rsidP="009159A8">
            <w:pPr>
              <w:jc w:val="center"/>
              <w:rPr>
                <w:rFonts w:cs="Arial"/>
                <w:sz w:val="20"/>
                <w:szCs w:val="20"/>
              </w:rPr>
            </w:pPr>
            <w:r w:rsidRPr="00A224E9">
              <w:rPr>
                <w:rFonts w:cs="Arial"/>
                <w:color w:val="000000"/>
                <w:sz w:val="20"/>
                <w:szCs w:val="20"/>
              </w:rPr>
              <w:t>4,48</w:t>
            </w:r>
          </w:p>
        </w:tc>
      </w:tr>
      <w:tr w:rsidR="00E813D5" w:rsidRPr="00A224E9" w14:paraId="2A35ABC7" w14:textId="77777777" w:rsidTr="00A224E9">
        <w:trPr>
          <w:trHeight w:val="340"/>
        </w:trPr>
        <w:tc>
          <w:tcPr>
            <w:tcW w:w="2956" w:type="pct"/>
            <w:tcBorders>
              <w:top w:val="single" w:sz="4" w:space="0" w:color="auto"/>
              <w:left w:val="nil"/>
              <w:bottom w:val="nil"/>
              <w:right w:val="single" w:sz="4" w:space="0" w:color="auto"/>
            </w:tcBorders>
            <w:noWrap/>
            <w:tcMar>
              <w:top w:w="28" w:type="dxa"/>
              <w:bottom w:w="28" w:type="dxa"/>
            </w:tcMar>
            <w:vAlign w:val="center"/>
            <w:hideMark/>
          </w:tcPr>
          <w:p w14:paraId="57C1A883" w14:textId="5369B4A8" w:rsidR="00E813D5" w:rsidRPr="00A224E9" w:rsidRDefault="00E813D5" w:rsidP="00E813D5">
            <w:pPr>
              <w:ind w:firstLineChars="37" w:firstLine="74"/>
              <w:jc w:val="left"/>
              <w:rPr>
                <w:rFonts w:cs="Arial"/>
                <w:b/>
                <w:bCs/>
                <w:sz w:val="20"/>
                <w:szCs w:val="20"/>
              </w:rPr>
            </w:pPr>
            <w:r w:rsidRPr="00A224E9">
              <w:rPr>
                <w:rFonts w:cs="Arial"/>
                <w:b/>
                <w:bCs/>
                <w:sz w:val="20"/>
                <w:szCs w:val="20"/>
              </w:rPr>
              <w:t>Eixo 7 - Goiás da Paz</w:t>
            </w:r>
          </w:p>
        </w:tc>
        <w:tc>
          <w:tcPr>
            <w:tcW w:w="833" w:type="pct"/>
            <w:tcBorders>
              <w:top w:val="single" w:sz="4" w:space="0" w:color="auto"/>
              <w:left w:val="single" w:sz="4" w:space="0" w:color="auto"/>
              <w:bottom w:val="nil"/>
              <w:right w:val="single" w:sz="4" w:space="0" w:color="auto"/>
            </w:tcBorders>
            <w:noWrap/>
            <w:tcMar>
              <w:top w:w="28" w:type="dxa"/>
              <w:bottom w:w="28" w:type="dxa"/>
            </w:tcMar>
            <w:vAlign w:val="center"/>
          </w:tcPr>
          <w:p w14:paraId="3B6A8EE5" w14:textId="749612B6" w:rsidR="00E813D5" w:rsidRPr="00A224E9" w:rsidRDefault="00E813D5" w:rsidP="00E813D5">
            <w:pPr>
              <w:jc w:val="right"/>
              <w:rPr>
                <w:rFonts w:cs="Arial"/>
                <w:b/>
                <w:bCs/>
                <w:sz w:val="20"/>
                <w:szCs w:val="20"/>
              </w:rPr>
            </w:pPr>
            <w:r w:rsidRPr="00A224E9">
              <w:rPr>
                <w:rFonts w:cs="Arial"/>
                <w:b/>
                <w:bCs/>
                <w:color w:val="000000"/>
                <w:sz w:val="20"/>
                <w:szCs w:val="20"/>
              </w:rPr>
              <w:t>187.395.375</w:t>
            </w:r>
          </w:p>
        </w:tc>
        <w:tc>
          <w:tcPr>
            <w:tcW w:w="568" w:type="pct"/>
            <w:tcBorders>
              <w:top w:val="single" w:sz="4" w:space="0" w:color="auto"/>
              <w:left w:val="single" w:sz="4" w:space="0" w:color="auto"/>
              <w:bottom w:val="nil"/>
              <w:right w:val="single" w:sz="4" w:space="0" w:color="auto"/>
            </w:tcBorders>
            <w:noWrap/>
            <w:tcMar>
              <w:top w:w="28" w:type="dxa"/>
              <w:bottom w:w="28" w:type="dxa"/>
            </w:tcMar>
            <w:vAlign w:val="center"/>
          </w:tcPr>
          <w:p w14:paraId="01F8B0DA" w14:textId="33290EF9" w:rsidR="00E813D5" w:rsidRPr="00A224E9" w:rsidRDefault="00E813D5" w:rsidP="00E813D5">
            <w:pPr>
              <w:jc w:val="center"/>
              <w:rPr>
                <w:rFonts w:cs="Arial"/>
                <w:b/>
                <w:bCs/>
                <w:sz w:val="20"/>
                <w:szCs w:val="20"/>
              </w:rPr>
            </w:pPr>
            <w:r w:rsidRPr="00A224E9">
              <w:rPr>
                <w:rFonts w:cs="Arial"/>
                <w:b/>
                <w:bCs/>
                <w:color w:val="000000"/>
                <w:sz w:val="20"/>
                <w:szCs w:val="20"/>
              </w:rPr>
              <w:t>0,66</w:t>
            </w:r>
          </w:p>
        </w:tc>
        <w:tc>
          <w:tcPr>
            <w:tcW w:w="643" w:type="pct"/>
            <w:tcBorders>
              <w:top w:val="single" w:sz="4" w:space="0" w:color="auto"/>
              <w:left w:val="single" w:sz="4" w:space="0" w:color="auto"/>
              <w:bottom w:val="nil"/>
              <w:right w:val="nil"/>
            </w:tcBorders>
            <w:noWrap/>
            <w:tcMar>
              <w:top w:w="28" w:type="dxa"/>
              <w:bottom w:w="28" w:type="dxa"/>
            </w:tcMar>
            <w:vAlign w:val="center"/>
          </w:tcPr>
          <w:p w14:paraId="3CA53D83" w14:textId="58D7EF88" w:rsidR="00E813D5" w:rsidRPr="00A224E9" w:rsidRDefault="00E813D5" w:rsidP="00E813D5">
            <w:pPr>
              <w:jc w:val="center"/>
              <w:rPr>
                <w:rFonts w:cs="Arial"/>
                <w:b/>
                <w:bCs/>
                <w:sz w:val="20"/>
                <w:szCs w:val="20"/>
              </w:rPr>
            </w:pPr>
            <w:r w:rsidRPr="00A224E9">
              <w:rPr>
                <w:rFonts w:cs="Arial"/>
                <w:b/>
                <w:bCs/>
                <w:color w:val="000000"/>
                <w:sz w:val="20"/>
                <w:szCs w:val="20"/>
              </w:rPr>
              <w:t>0,48</w:t>
            </w:r>
          </w:p>
        </w:tc>
      </w:tr>
      <w:tr w:rsidR="00E813D5" w:rsidRPr="00A224E9" w14:paraId="3091D9F4" w14:textId="77777777" w:rsidTr="00A224E9">
        <w:trPr>
          <w:trHeight w:val="340"/>
        </w:trPr>
        <w:tc>
          <w:tcPr>
            <w:tcW w:w="2956" w:type="pct"/>
            <w:tcBorders>
              <w:top w:val="single" w:sz="4" w:space="0" w:color="4BACC6" w:themeColor="accent5"/>
              <w:left w:val="nil"/>
              <w:bottom w:val="nil"/>
              <w:right w:val="single" w:sz="4" w:space="0" w:color="auto"/>
            </w:tcBorders>
            <w:noWrap/>
            <w:tcMar>
              <w:top w:w="28" w:type="dxa"/>
              <w:bottom w:w="28" w:type="dxa"/>
            </w:tcMar>
            <w:vAlign w:val="center"/>
            <w:hideMark/>
          </w:tcPr>
          <w:p w14:paraId="680BABF6" w14:textId="07EE7E01" w:rsidR="00E813D5" w:rsidRPr="00A224E9" w:rsidRDefault="00E813D5" w:rsidP="00E813D5">
            <w:pPr>
              <w:ind w:firstLineChars="200" w:firstLine="402"/>
              <w:jc w:val="left"/>
              <w:rPr>
                <w:rFonts w:cs="Arial"/>
                <w:b/>
                <w:bCs/>
                <w:sz w:val="20"/>
                <w:szCs w:val="20"/>
              </w:rPr>
            </w:pPr>
            <w:r w:rsidRPr="00A224E9">
              <w:rPr>
                <w:rFonts w:cs="Arial"/>
                <w:b/>
                <w:bCs/>
                <w:sz w:val="20"/>
                <w:szCs w:val="20"/>
              </w:rPr>
              <w:t>Justiça</w:t>
            </w:r>
          </w:p>
        </w:tc>
        <w:tc>
          <w:tcPr>
            <w:tcW w:w="833" w:type="pct"/>
            <w:tcBorders>
              <w:top w:val="single" w:sz="4" w:space="0" w:color="4BACC6" w:themeColor="accent5"/>
              <w:left w:val="single" w:sz="4" w:space="0" w:color="auto"/>
              <w:bottom w:val="nil"/>
              <w:right w:val="single" w:sz="4" w:space="0" w:color="auto"/>
            </w:tcBorders>
            <w:noWrap/>
            <w:tcMar>
              <w:top w:w="28" w:type="dxa"/>
              <w:bottom w:w="28" w:type="dxa"/>
            </w:tcMar>
            <w:vAlign w:val="center"/>
          </w:tcPr>
          <w:p w14:paraId="22D0DED3" w14:textId="292C0C0F" w:rsidR="00E813D5" w:rsidRPr="00A224E9" w:rsidRDefault="00E813D5" w:rsidP="00E813D5">
            <w:pPr>
              <w:jc w:val="right"/>
              <w:rPr>
                <w:rFonts w:cs="Arial"/>
                <w:b/>
                <w:bCs/>
                <w:sz w:val="20"/>
                <w:szCs w:val="20"/>
              </w:rPr>
            </w:pPr>
            <w:r w:rsidRPr="00A224E9">
              <w:rPr>
                <w:rFonts w:cs="Arial"/>
                <w:b/>
                <w:bCs/>
                <w:color w:val="000000"/>
                <w:sz w:val="20"/>
                <w:szCs w:val="20"/>
              </w:rPr>
              <w:t>187.395.375</w:t>
            </w:r>
          </w:p>
        </w:tc>
        <w:tc>
          <w:tcPr>
            <w:tcW w:w="568" w:type="pct"/>
            <w:tcBorders>
              <w:top w:val="single" w:sz="4" w:space="0" w:color="4BACC6" w:themeColor="accent5"/>
              <w:left w:val="single" w:sz="4" w:space="0" w:color="auto"/>
              <w:bottom w:val="nil"/>
              <w:right w:val="single" w:sz="4" w:space="0" w:color="auto"/>
            </w:tcBorders>
            <w:noWrap/>
            <w:tcMar>
              <w:top w:w="28" w:type="dxa"/>
              <w:bottom w:w="28" w:type="dxa"/>
            </w:tcMar>
            <w:vAlign w:val="center"/>
          </w:tcPr>
          <w:p w14:paraId="4201120E" w14:textId="78A49619" w:rsidR="00E813D5" w:rsidRPr="00A224E9" w:rsidRDefault="00E813D5" w:rsidP="00E813D5">
            <w:pPr>
              <w:jc w:val="center"/>
              <w:rPr>
                <w:rFonts w:cs="Arial"/>
                <w:b/>
                <w:bCs/>
                <w:sz w:val="20"/>
                <w:szCs w:val="20"/>
              </w:rPr>
            </w:pPr>
            <w:r w:rsidRPr="00A224E9">
              <w:rPr>
                <w:rFonts w:cs="Arial"/>
                <w:b/>
                <w:bCs/>
                <w:color w:val="000000"/>
                <w:sz w:val="20"/>
                <w:szCs w:val="20"/>
              </w:rPr>
              <w:t>0,66</w:t>
            </w:r>
          </w:p>
        </w:tc>
        <w:tc>
          <w:tcPr>
            <w:tcW w:w="643" w:type="pct"/>
            <w:tcBorders>
              <w:top w:val="single" w:sz="4" w:space="0" w:color="4BACC6" w:themeColor="accent5"/>
              <w:left w:val="single" w:sz="4" w:space="0" w:color="auto"/>
              <w:bottom w:val="nil"/>
              <w:right w:val="nil"/>
            </w:tcBorders>
            <w:noWrap/>
            <w:tcMar>
              <w:top w:w="28" w:type="dxa"/>
              <w:bottom w:w="28" w:type="dxa"/>
            </w:tcMar>
            <w:vAlign w:val="center"/>
          </w:tcPr>
          <w:p w14:paraId="3E1E6EEA" w14:textId="0F17F261" w:rsidR="00E813D5" w:rsidRPr="00A224E9" w:rsidRDefault="00E813D5" w:rsidP="00E813D5">
            <w:pPr>
              <w:jc w:val="center"/>
              <w:rPr>
                <w:rFonts w:cs="Arial"/>
                <w:b/>
                <w:bCs/>
                <w:sz w:val="20"/>
                <w:szCs w:val="20"/>
              </w:rPr>
            </w:pPr>
            <w:r w:rsidRPr="00A224E9">
              <w:rPr>
                <w:rFonts w:cs="Arial"/>
                <w:b/>
                <w:bCs/>
                <w:color w:val="000000"/>
                <w:sz w:val="20"/>
                <w:szCs w:val="20"/>
              </w:rPr>
              <w:t>0,48</w:t>
            </w:r>
          </w:p>
        </w:tc>
      </w:tr>
      <w:tr w:rsidR="00E813D5" w:rsidRPr="00A224E9" w14:paraId="76110D93" w14:textId="77777777" w:rsidTr="00A224E9">
        <w:trPr>
          <w:trHeight w:val="340"/>
        </w:trPr>
        <w:tc>
          <w:tcPr>
            <w:tcW w:w="2956" w:type="pct"/>
            <w:tcBorders>
              <w:left w:val="nil"/>
              <w:bottom w:val="single" w:sz="4" w:space="0" w:color="auto"/>
              <w:right w:val="single" w:sz="4" w:space="0" w:color="auto"/>
            </w:tcBorders>
            <w:noWrap/>
            <w:tcMar>
              <w:top w:w="28" w:type="dxa"/>
              <w:bottom w:w="28" w:type="dxa"/>
            </w:tcMar>
            <w:vAlign w:val="center"/>
          </w:tcPr>
          <w:p w14:paraId="41A4E613" w14:textId="17828897" w:rsidR="00E813D5" w:rsidRPr="00A224E9" w:rsidRDefault="00E813D5" w:rsidP="00E813D5">
            <w:pPr>
              <w:ind w:leftChars="390" w:left="858" w:firstLineChars="1" w:firstLine="2"/>
              <w:jc w:val="left"/>
              <w:rPr>
                <w:rFonts w:cs="Arial"/>
                <w:sz w:val="20"/>
                <w:szCs w:val="20"/>
              </w:rPr>
            </w:pPr>
            <w:r w:rsidRPr="00A224E9">
              <w:rPr>
                <w:rFonts w:cs="Arial"/>
                <w:sz w:val="20"/>
                <w:szCs w:val="20"/>
              </w:rPr>
              <w:t>Gestão Penitenciária Moderna [1030]</w:t>
            </w:r>
          </w:p>
        </w:tc>
        <w:tc>
          <w:tcPr>
            <w:tcW w:w="833" w:type="pct"/>
            <w:tcBorders>
              <w:left w:val="single" w:sz="4" w:space="0" w:color="auto"/>
              <w:bottom w:val="single" w:sz="4" w:space="0" w:color="auto"/>
              <w:right w:val="single" w:sz="4" w:space="0" w:color="auto"/>
            </w:tcBorders>
            <w:noWrap/>
            <w:tcMar>
              <w:top w:w="28" w:type="dxa"/>
              <w:bottom w:w="28" w:type="dxa"/>
            </w:tcMar>
            <w:vAlign w:val="center"/>
          </w:tcPr>
          <w:p w14:paraId="6E1B460F" w14:textId="03DE1CF0" w:rsidR="00E813D5" w:rsidRPr="00A224E9" w:rsidRDefault="00E813D5" w:rsidP="00E813D5">
            <w:pPr>
              <w:jc w:val="right"/>
              <w:rPr>
                <w:rFonts w:cs="Arial"/>
                <w:sz w:val="20"/>
                <w:szCs w:val="20"/>
              </w:rPr>
            </w:pPr>
            <w:r w:rsidRPr="00A224E9">
              <w:rPr>
                <w:rFonts w:cs="Arial"/>
                <w:color w:val="000000"/>
                <w:sz w:val="20"/>
                <w:szCs w:val="20"/>
              </w:rPr>
              <w:t>187.395.375</w:t>
            </w:r>
          </w:p>
        </w:tc>
        <w:tc>
          <w:tcPr>
            <w:tcW w:w="568" w:type="pct"/>
            <w:tcBorders>
              <w:left w:val="single" w:sz="4" w:space="0" w:color="auto"/>
              <w:bottom w:val="single" w:sz="4" w:space="0" w:color="auto"/>
              <w:right w:val="single" w:sz="4" w:space="0" w:color="auto"/>
            </w:tcBorders>
            <w:noWrap/>
            <w:tcMar>
              <w:top w:w="28" w:type="dxa"/>
              <w:bottom w:w="28" w:type="dxa"/>
            </w:tcMar>
            <w:vAlign w:val="center"/>
          </w:tcPr>
          <w:p w14:paraId="275BA184" w14:textId="1F5C0FB2" w:rsidR="00E813D5" w:rsidRPr="00A224E9" w:rsidRDefault="00E813D5" w:rsidP="00E813D5">
            <w:pPr>
              <w:jc w:val="center"/>
              <w:rPr>
                <w:sz w:val="20"/>
                <w:szCs w:val="20"/>
              </w:rPr>
            </w:pPr>
            <w:r w:rsidRPr="00A224E9">
              <w:rPr>
                <w:rFonts w:cs="Arial"/>
                <w:color w:val="000000"/>
                <w:sz w:val="20"/>
                <w:szCs w:val="20"/>
              </w:rPr>
              <w:t>0,66</w:t>
            </w:r>
          </w:p>
        </w:tc>
        <w:tc>
          <w:tcPr>
            <w:tcW w:w="643" w:type="pct"/>
            <w:tcBorders>
              <w:left w:val="single" w:sz="4" w:space="0" w:color="auto"/>
              <w:bottom w:val="single" w:sz="4" w:space="0" w:color="auto"/>
              <w:right w:val="nil"/>
            </w:tcBorders>
            <w:noWrap/>
            <w:tcMar>
              <w:top w:w="28" w:type="dxa"/>
              <w:bottom w:w="28" w:type="dxa"/>
            </w:tcMar>
            <w:vAlign w:val="center"/>
          </w:tcPr>
          <w:p w14:paraId="0150065F" w14:textId="1B817525" w:rsidR="00E813D5" w:rsidRPr="00A224E9" w:rsidRDefault="00E813D5" w:rsidP="00E813D5">
            <w:pPr>
              <w:jc w:val="center"/>
              <w:rPr>
                <w:sz w:val="20"/>
                <w:szCs w:val="20"/>
              </w:rPr>
            </w:pPr>
            <w:r w:rsidRPr="00A224E9">
              <w:rPr>
                <w:rFonts w:cs="Arial"/>
                <w:color w:val="000000"/>
                <w:sz w:val="20"/>
                <w:szCs w:val="20"/>
              </w:rPr>
              <w:t>0,48</w:t>
            </w:r>
          </w:p>
        </w:tc>
      </w:tr>
      <w:tr w:rsidR="00E813D5" w:rsidRPr="00A224E9" w14:paraId="0648D8DA" w14:textId="77777777" w:rsidTr="00A224E9">
        <w:trPr>
          <w:trHeight w:val="340"/>
        </w:trPr>
        <w:tc>
          <w:tcPr>
            <w:tcW w:w="2956" w:type="pct"/>
            <w:tcBorders>
              <w:top w:val="single" w:sz="4" w:space="0" w:color="auto"/>
              <w:left w:val="nil"/>
              <w:bottom w:val="single" w:sz="4" w:space="0" w:color="auto"/>
              <w:right w:val="single" w:sz="4" w:space="0" w:color="auto"/>
            </w:tcBorders>
            <w:shd w:val="clear" w:color="auto" w:fill="FFFFFF" w:themeFill="background1"/>
            <w:noWrap/>
            <w:tcMar>
              <w:top w:w="28" w:type="dxa"/>
              <w:bottom w:w="28" w:type="dxa"/>
            </w:tcMar>
            <w:vAlign w:val="center"/>
            <w:hideMark/>
          </w:tcPr>
          <w:p w14:paraId="3F66E77A" w14:textId="77777777" w:rsidR="00E813D5" w:rsidRPr="00A224E9" w:rsidRDefault="00E813D5" w:rsidP="00E813D5">
            <w:pPr>
              <w:jc w:val="center"/>
              <w:rPr>
                <w:rFonts w:cs="Arial"/>
                <w:b/>
                <w:bCs/>
                <w:sz w:val="20"/>
                <w:szCs w:val="20"/>
              </w:rPr>
            </w:pPr>
            <w:r w:rsidRPr="00A224E9">
              <w:rPr>
                <w:rFonts w:cs="Arial"/>
                <w:b/>
                <w:bCs/>
                <w:sz w:val="20"/>
                <w:szCs w:val="20"/>
              </w:rPr>
              <w:t>Total</w:t>
            </w:r>
          </w:p>
        </w:tc>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noWrap/>
            <w:tcMar>
              <w:top w:w="28" w:type="dxa"/>
              <w:bottom w:w="28" w:type="dxa"/>
            </w:tcMar>
            <w:vAlign w:val="center"/>
          </w:tcPr>
          <w:p w14:paraId="69CB0E6E" w14:textId="5EC6C053" w:rsidR="00E813D5" w:rsidRPr="00A224E9" w:rsidRDefault="00E813D5" w:rsidP="00E813D5">
            <w:pPr>
              <w:jc w:val="right"/>
              <w:rPr>
                <w:rFonts w:cs="Arial"/>
                <w:b/>
                <w:bCs/>
                <w:sz w:val="20"/>
                <w:szCs w:val="20"/>
              </w:rPr>
            </w:pPr>
            <w:r w:rsidRPr="00A224E9">
              <w:rPr>
                <w:rFonts w:cs="Arial"/>
                <w:b/>
                <w:bCs/>
                <w:color w:val="000000"/>
                <w:sz w:val="20"/>
                <w:szCs w:val="20"/>
              </w:rPr>
              <w:t>28.367.458.279</w:t>
            </w:r>
          </w:p>
        </w:tc>
        <w:tc>
          <w:tcPr>
            <w:tcW w:w="568" w:type="pct"/>
            <w:tcBorders>
              <w:top w:val="single" w:sz="4" w:space="0" w:color="auto"/>
              <w:left w:val="single" w:sz="4" w:space="0" w:color="auto"/>
              <w:bottom w:val="single" w:sz="4" w:space="0" w:color="auto"/>
              <w:right w:val="single" w:sz="4" w:space="0" w:color="auto"/>
            </w:tcBorders>
            <w:shd w:val="clear" w:color="auto" w:fill="FFFFFF" w:themeFill="background1"/>
            <w:noWrap/>
            <w:tcMar>
              <w:top w:w="28" w:type="dxa"/>
              <w:bottom w:w="28" w:type="dxa"/>
            </w:tcMar>
            <w:vAlign w:val="center"/>
          </w:tcPr>
          <w:p w14:paraId="2DF58D5F" w14:textId="1C132F48" w:rsidR="00E813D5" w:rsidRPr="00A224E9" w:rsidRDefault="00E813D5" w:rsidP="00E813D5">
            <w:pPr>
              <w:jc w:val="center"/>
              <w:rPr>
                <w:rFonts w:cs="Arial"/>
                <w:b/>
                <w:bCs/>
                <w:sz w:val="20"/>
                <w:szCs w:val="20"/>
              </w:rPr>
            </w:pPr>
            <w:r w:rsidRPr="00A224E9">
              <w:rPr>
                <w:rFonts w:cs="Arial"/>
                <w:b/>
                <w:bCs/>
                <w:color w:val="000000"/>
                <w:sz w:val="20"/>
                <w:szCs w:val="20"/>
              </w:rPr>
              <w:t>100,00</w:t>
            </w:r>
          </w:p>
        </w:tc>
        <w:tc>
          <w:tcPr>
            <w:tcW w:w="643" w:type="pct"/>
            <w:tcBorders>
              <w:top w:val="single" w:sz="4" w:space="0" w:color="auto"/>
              <w:left w:val="single" w:sz="4" w:space="0" w:color="auto"/>
              <w:bottom w:val="single" w:sz="4" w:space="0" w:color="auto"/>
              <w:right w:val="nil"/>
            </w:tcBorders>
            <w:shd w:val="clear" w:color="auto" w:fill="FFFFFF" w:themeFill="background1"/>
            <w:noWrap/>
            <w:tcMar>
              <w:top w:w="28" w:type="dxa"/>
              <w:bottom w:w="28" w:type="dxa"/>
            </w:tcMar>
            <w:vAlign w:val="center"/>
          </w:tcPr>
          <w:p w14:paraId="403D2F35" w14:textId="36E432AB" w:rsidR="00E813D5" w:rsidRPr="00A224E9" w:rsidRDefault="00E813D5" w:rsidP="00E813D5">
            <w:pPr>
              <w:jc w:val="center"/>
              <w:rPr>
                <w:rFonts w:cs="Arial"/>
                <w:b/>
                <w:bCs/>
                <w:sz w:val="20"/>
                <w:szCs w:val="20"/>
              </w:rPr>
            </w:pPr>
            <w:r w:rsidRPr="00A224E9">
              <w:rPr>
                <w:rFonts w:cs="Arial"/>
                <w:b/>
                <w:bCs/>
                <w:color w:val="000000"/>
                <w:sz w:val="20"/>
                <w:szCs w:val="20"/>
              </w:rPr>
              <w:t>71,97</w:t>
            </w:r>
          </w:p>
        </w:tc>
      </w:tr>
    </w:tbl>
    <w:p w14:paraId="15A9B160" w14:textId="79415623" w:rsidR="009159A8" w:rsidRDefault="009159A8" w:rsidP="00EF01A1">
      <w:pPr>
        <w:pStyle w:val="1-FONTE8ESQ"/>
      </w:pPr>
      <w:r w:rsidRPr="004B0F5A">
        <w:t xml:space="preserve">Fonte: Plano Plurianual 2020-2023 e </w:t>
      </w:r>
      <w:r w:rsidRPr="00531981">
        <w:t>Comparativo da Despesa Autorizada com a Realizada por Projeto/Atividade</w:t>
      </w:r>
      <w:r>
        <w:t xml:space="preserve"> - </w:t>
      </w:r>
      <w:r w:rsidRPr="004D0F52">
        <w:t>Anexo 11</w:t>
      </w:r>
      <w:r>
        <w:t xml:space="preserve"> (BGE 2023)</w:t>
      </w:r>
    </w:p>
    <w:p w14:paraId="5A926504" w14:textId="77777777" w:rsidR="00194C00" w:rsidRDefault="00194C00" w:rsidP="00EF01A1">
      <w:pPr>
        <w:pStyle w:val="1-FONTE8ESQ"/>
      </w:pPr>
    </w:p>
    <w:p w14:paraId="0C3704E3" w14:textId="77777777" w:rsidR="00DC20DF" w:rsidRPr="00C954C1" w:rsidRDefault="00DC20DF" w:rsidP="00117967">
      <w:pPr>
        <w:pStyle w:val="Ttulo4"/>
      </w:pPr>
      <w:r w:rsidRPr="00C954C1">
        <w:t>Programas Administrativos</w:t>
      </w:r>
    </w:p>
    <w:p w14:paraId="18493134" w14:textId="05E57A7B" w:rsidR="00E813D5" w:rsidRPr="00853BDE" w:rsidRDefault="00E813D5" w:rsidP="00A224E9">
      <w:pPr>
        <w:pStyle w:val="1-REL11"/>
        <w:spacing w:before="240" w:after="240" w:line="324" w:lineRule="auto"/>
      </w:pPr>
      <w:r w:rsidRPr="00853BDE">
        <w:t xml:space="preserve">Os Programas Administrativos englobam despesas de natureza tipicamente administrativa e outras que, embora contribuam para a consecução dos objetivos dos programas finalísticos e de gestão de políticas públicas, não sejam passíveis de apropriação àqueles programas. São os programas mais expressivos dentro dos </w:t>
      </w:r>
      <w:r w:rsidRPr="00853BDE">
        <w:rPr>
          <w:iCs/>
        </w:rPr>
        <w:t xml:space="preserve">Programas de Gestão e Especiais e do </w:t>
      </w:r>
      <w:r w:rsidR="00E96CDF">
        <w:rPr>
          <w:iCs/>
        </w:rPr>
        <w:t>O</w:t>
      </w:r>
      <w:r w:rsidRPr="00853BDE">
        <w:rPr>
          <w:iCs/>
        </w:rPr>
        <w:t xml:space="preserve">rçamento </w:t>
      </w:r>
      <w:r w:rsidR="00E96CDF">
        <w:rPr>
          <w:iCs/>
        </w:rPr>
        <w:t>G</w:t>
      </w:r>
      <w:r w:rsidRPr="00853BDE">
        <w:rPr>
          <w:iCs/>
        </w:rPr>
        <w:t>eral do Estado, tendo representado 41,49% do orçamento total para o exercício de 2023.</w:t>
      </w:r>
    </w:p>
    <w:p w14:paraId="4AF166B7" w14:textId="2153ECAC" w:rsidR="00E813D5" w:rsidRPr="00853BDE" w:rsidRDefault="00E813D5" w:rsidP="00A224E9">
      <w:pPr>
        <w:pStyle w:val="1-REL11"/>
        <w:spacing w:before="240" w:after="240" w:line="324" w:lineRule="auto"/>
      </w:pPr>
      <w:r w:rsidRPr="00853BDE">
        <w:t>Inicialmente orçado em R$ 16</w:t>
      </w:r>
      <w:r>
        <w:t>,</w:t>
      </w:r>
      <w:r w:rsidRPr="00853BDE">
        <w:t>43</w:t>
      </w:r>
      <w:r w:rsidR="00F763BE">
        <w:t> </w:t>
      </w:r>
      <w:r>
        <w:t>bilhões</w:t>
      </w:r>
      <w:r w:rsidRPr="00853BDE">
        <w:t>, os Programas Administrativos apresentaram um acréscimo de R$ 1</w:t>
      </w:r>
      <w:r>
        <w:t>,</w:t>
      </w:r>
      <w:r w:rsidRPr="00853BDE">
        <w:t>75</w:t>
      </w:r>
      <w:r w:rsidR="00F763BE">
        <w:t> </w:t>
      </w:r>
      <w:r>
        <w:t>bilhão</w:t>
      </w:r>
      <w:r w:rsidRPr="00853BDE">
        <w:t>,</w:t>
      </w:r>
      <w:r w:rsidRPr="00853BDE">
        <w:rPr>
          <w:color w:val="FF0000"/>
        </w:rPr>
        <w:t xml:space="preserve"> </w:t>
      </w:r>
      <w:r w:rsidRPr="00853BDE">
        <w:t>chegando a uma despesa autorizada de R$ 18</w:t>
      </w:r>
      <w:r>
        <w:t>,</w:t>
      </w:r>
      <w:r w:rsidRPr="00853BDE">
        <w:t>18</w:t>
      </w:r>
      <w:r w:rsidR="00F763BE">
        <w:t> </w:t>
      </w:r>
      <w:r>
        <w:t>bilhões</w:t>
      </w:r>
      <w:r w:rsidRPr="00853BDE">
        <w:t xml:space="preserve"> e representando 43,14% da despesa executada pelo Estado.</w:t>
      </w:r>
    </w:p>
    <w:p w14:paraId="2625C7AE" w14:textId="74F9CF27" w:rsidR="001D1E59" w:rsidRDefault="00E813D5" w:rsidP="00A224E9">
      <w:pPr>
        <w:pStyle w:val="1-REL11"/>
        <w:spacing w:before="240" w:after="240" w:line="324" w:lineRule="auto"/>
      </w:pPr>
      <w:r w:rsidRPr="00853BDE">
        <w:t>Os Programas Administrativos foram executados por meio de 3 programas, conforme demonstrado abaixo:</w:t>
      </w:r>
    </w:p>
    <w:p w14:paraId="035B29D1" w14:textId="77777777" w:rsidR="00DC20DF" w:rsidRDefault="00DC20DF" w:rsidP="00ED3571">
      <w:pPr>
        <w:pStyle w:val="0-TABELA"/>
      </w:pPr>
      <w:bookmarkStart w:id="42" w:name="_Toc167871724"/>
      <w:r>
        <w:lastRenderedPageBreak/>
        <w:t>Programas Administrativos por Programa</w:t>
      </w:r>
      <w:bookmarkEnd w:id="42"/>
    </w:p>
    <w:p w14:paraId="5B5FF87D" w14:textId="2D797E9E" w:rsidR="00DC20DF" w:rsidRPr="0014647F" w:rsidRDefault="00EE2E8E" w:rsidP="00DC20DF">
      <w:pPr>
        <w:pStyle w:val="0-EmR1"/>
        <w:rPr>
          <w:lang w:eastAsia="en-US"/>
        </w:rPr>
      </w:pPr>
      <w:r>
        <w:t>R$ 1</w:t>
      </w:r>
    </w:p>
    <w:tbl>
      <w:tblPr>
        <w:tblW w:w="5000" w:type="pct"/>
        <w:tblLayout w:type="fixed"/>
        <w:tblCellMar>
          <w:left w:w="70" w:type="dxa"/>
          <w:right w:w="70" w:type="dxa"/>
        </w:tblCellMar>
        <w:tblLook w:val="04A0" w:firstRow="1" w:lastRow="0" w:firstColumn="1" w:lastColumn="0" w:noHBand="0" w:noVBand="1"/>
      </w:tblPr>
      <w:tblGrid>
        <w:gridCol w:w="2409"/>
        <w:gridCol w:w="1418"/>
        <w:gridCol w:w="1418"/>
        <w:gridCol w:w="1418"/>
        <w:gridCol w:w="1506"/>
        <w:gridCol w:w="1184"/>
      </w:tblGrid>
      <w:tr w:rsidR="00DC20DF" w:rsidRPr="00080B21" w14:paraId="45DEFA9D" w14:textId="77777777" w:rsidTr="00194C00">
        <w:trPr>
          <w:trHeight w:val="454"/>
          <w:tblHeader/>
        </w:trPr>
        <w:tc>
          <w:tcPr>
            <w:tcW w:w="1288" w:type="pct"/>
            <w:tcBorders>
              <w:top w:val="single" w:sz="8" w:space="0" w:color="auto"/>
              <w:left w:val="nil"/>
              <w:bottom w:val="single" w:sz="8" w:space="0" w:color="auto"/>
              <w:right w:val="single" w:sz="8" w:space="0" w:color="auto"/>
            </w:tcBorders>
            <w:shd w:val="clear" w:color="000000" w:fill="B5EEF7"/>
            <w:noWrap/>
            <w:vAlign w:val="center"/>
            <w:hideMark/>
          </w:tcPr>
          <w:p w14:paraId="0BCCAAC8" w14:textId="77777777" w:rsidR="00DC20DF" w:rsidRPr="00080B21" w:rsidRDefault="00DC20DF" w:rsidP="00DC20DF">
            <w:pPr>
              <w:jc w:val="center"/>
              <w:rPr>
                <w:rFonts w:cs="Arial"/>
                <w:b/>
                <w:bCs/>
                <w:color w:val="000000"/>
                <w:sz w:val="18"/>
                <w:szCs w:val="18"/>
              </w:rPr>
            </w:pPr>
            <w:r w:rsidRPr="00080B21">
              <w:rPr>
                <w:rFonts w:cs="Arial"/>
                <w:b/>
                <w:bCs/>
                <w:color w:val="000000"/>
                <w:sz w:val="18"/>
                <w:szCs w:val="18"/>
              </w:rPr>
              <w:t>Programas</w:t>
            </w:r>
          </w:p>
        </w:tc>
        <w:tc>
          <w:tcPr>
            <w:tcW w:w="758" w:type="pct"/>
            <w:tcBorders>
              <w:top w:val="single" w:sz="8" w:space="0" w:color="auto"/>
              <w:left w:val="nil"/>
              <w:bottom w:val="single" w:sz="8" w:space="0" w:color="auto"/>
              <w:right w:val="single" w:sz="8" w:space="0" w:color="auto"/>
            </w:tcBorders>
            <w:shd w:val="clear" w:color="000000" w:fill="B5EEF7"/>
            <w:noWrap/>
            <w:vAlign w:val="center"/>
            <w:hideMark/>
          </w:tcPr>
          <w:p w14:paraId="45C06631" w14:textId="77777777" w:rsidR="00DC20DF" w:rsidRPr="00080B21" w:rsidRDefault="00DC20DF" w:rsidP="00DC20DF">
            <w:pPr>
              <w:jc w:val="center"/>
              <w:rPr>
                <w:rFonts w:cs="Arial"/>
                <w:b/>
                <w:bCs/>
                <w:color w:val="000000"/>
                <w:sz w:val="18"/>
                <w:szCs w:val="18"/>
              </w:rPr>
            </w:pPr>
            <w:r w:rsidRPr="00080B21">
              <w:rPr>
                <w:rFonts w:cs="Arial"/>
                <w:b/>
                <w:bCs/>
                <w:color w:val="000000"/>
                <w:sz w:val="18"/>
                <w:szCs w:val="18"/>
              </w:rPr>
              <w:t>Orçada</w:t>
            </w:r>
          </w:p>
        </w:tc>
        <w:tc>
          <w:tcPr>
            <w:tcW w:w="758" w:type="pct"/>
            <w:tcBorders>
              <w:top w:val="single" w:sz="8" w:space="0" w:color="auto"/>
              <w:left w:val="nil"/>
              <w:bottom w:val="single" w:sz="8" w:space="0" w:color="auto"/>
              <w:right w:val="single" w:sz="8" w:space="0" w:color="auto"/>
            </w:tcBorders>
            <w:shd w:val="clear" w:color="000000" w:fill="B5EEF7"/>
            <w:noWrap/>
            <w:vAlign w:val="center"/>
            <w:hideMark/>
          </w:tcPr>
          <w:p w14:paraId="011D2DBC" w14:textId="77777777" w:rsidR="00DC20DF" w:rsidRPr="00080B21" w:rsidRDefault="00DC20DF" w:rsidP="00DC20DF">
            <w:pPr>
              <w:jc w:val="center"/>
              <w:rPr>
                <w:rFonts w:cs="Arial"/>
                <w:b/>
                <w:bCs/>
                <w:color w:val="000000"/>
                <w:sz w:val="18"/>
                <w:szCs w:val="18"/>
              </w:rPr>
            </w:pPr>
            <w:r w:rsidRPr="00080B21">
              <w:rPr>
                <w:rFonts w:cs="Arial"/>
                <w:b/>
                <w:bCs/>
                <w:color w:val="000000"/>
                <w:sz w:val="18"/>
                <w:szCs w:val="18"/>
              </w:rPr>
              <w:t>Autorizada</w:t>
            </w:r>
          </w:p>
        </w:tc>
        <w:tc>
          <w:tcPr>
            <w:tcW w:w="758" w:type="pct"/>
            <w:tcBorders>
              <w:top w:val="single" w:sz="8" w:space="0" w:color="auto"/>
              <w:left w:val="nil"/>
              <w:bottom w:val="single" w:sz="8" w:space="0" w:color="auto"/>
              <w:right w:val="single" w:sz="8" w:space="0" w:color="auto"/>
            </w:tcBorders>
            <w:shd w:val="clear" w:color="000000" w:fill="B5EEF7"/>
            <w:noWrap/>
            <w:vAlign w:val="center"/>
            <w:hideMark/>
          </w:tcPr>
          <w:p w14:paraId="57704728" w14:textId="77777777" w:rsidR="00DC20DF" w:rsidRPr="00080B21" w:rsidRDefault="00DC20DF" w:rsidP="00DC20DF">
            <w:pPr>
              <w:jc w:val="center"/>
              <w:rPr>
                <w:rFonts w:cs="Arial"/>
                <w:b/>
                <w:bCs/>
                <w:color w:val="000000"/>
                <w:sz w:val="18"/>
                <w:szCs w:val="18"/>
              </w:rPr>
            </w:pPr>
            <w:r w:rsidRPr="00080B21">
              <w:rPr>
                <w:rFonts w:cs="Arial"/>
                <w:b/>
                <w:bCs/>
                <w:color w:val="000000"/>
                <w:sz w:val="18"/>
                <w:szCs w:val="18"/>
              </w:rPr>
              <w:t>Empenhada</w:t>
            </w:r>
          </w:p>
        </w:tc>
        <w:tc>
          <w:tcPr>
            <w:tcW w:w="805" w:type="pct"/>
            <w:tcBorders>
              <w:top w:val="single" w:sz="8" w:space="0" w:color="auto"/>
              <w:left w:val="nil"/>
              <w:bottom w:val="single" w:sz="8" w:space="0" w:color="auto"/>
              <w:right w:val="single" w:sz="8" w:space="0" w:color="auto"/>
            </w:tcBorders>
            <w:shd w:val="clear" w:color="000000" w:fill="B5EEF7"/>
            <w:noWrap/>
            <w:vAlign w:val="center"/>
            <w:hideMark/>
          </w:tcPr>
          <w:p w14:paraId="0966BCC7" w14:textId="77777777" w:rsidR="00DC20DF" w:rsidRPr="00080B21" w:rsidRDefault="00DC20DF" w:rsidP="00DC20DF">
            <w:pPr>
              <w:jc w:val="center"/>
              <w:rPr>
                <w:rFonts w:cs="Arial"/>
                <w:b/>
                <w:bCs/>
                <w:color w:val="000000"/>
                <w:sz w:val="18"/>
                <w:szCs w:val="18"/>
              </w:rPr>
            </w:pPr>
            <w:r w:rsidRPr="00080B21">
              <w:rPr>
                <w:rFonts w:cs="Arial"/>
                <w:b/>
                <w:bCs/>
                <w:color w:val="000000"/>
                <w:sz w:val="18"/>
                <w:szCs w:val="18"/>
              </w:rPr>
              <w:t xml:space="preserve">Paga </w:t>
            </w:r>
          </w:p>
        </w:tc>
        <w:tc>
          <w:tcPr>
            <w:tcW w:w="633" w:type="pct"/>
            <w:tcBorders>
              <w:top w:val="single" w:sz="8" w:space="0" w:color="auto"/>
              <w:left w:val="nil"/>
              <w:bottom w:val="single" w:sz="8" w:space="0" w:color="auto"/>
              <w:right w:val="nil"/>
            </w:tcBorders>
            <w:shd w:val="clear" w:color="000000" w:fill="B5EEF7"/>
            <w:noWrap/>
            <w:vAlign w:val="center"/>
            <w:hideMark/>
          </w:tcPr>
          <w:p w14:paraId="4564C4CE" w14:textId="77777777" w:rsidR="00DC20DF" w:rsidRPr="00080B21" w:rsidRDefault="00DC20DF" w:rsidP="00DC20DF">
            <w:pPr>
              <w:jc w:val="center"/>
              <w:rPr>
                <w:rFonts w:cs="Arial"/>
                <w:b/>
                <w:bCs/>
                <w:color w:val="000000"/>
                <w:sz w:val="18"/>
                <w:szCs w:val="18"/>
              </w:rPr>
            </w:pPr>
            <w:r w:rsidRPr="00080B21">
              <w:rPr>
                <w:rFonts w:cs="Arial"/>
                <w:b/>
                <w:bCs/>
                <w:color w:val="000000"/>
                <w:sz w:val="18"/>
                <w:szCs w:val="18"/>
              </w:rPr>
              <w:t xml:space="preserve">Restos a Pagar </w:t>
            </w:r>
          </w:p>
        </w:tc>
      </w:tr>
      <w:tr w:rsidR="00E813D5" w:rsidRPr="00080B21" w14:paraId="636D082F" w14:textId="77777777" w:rsidTr="00EA7D53">
        <w:trPr>
          <w:trHeight w:val="567"/>
        </w:trPr>
        <w:tc>
          <w:tcPr>
            <w:tcW w:w="1288" w:type="pct"/>
            <w:tcBorders>
              <w:top w:val="nil"/>
              <w:left w:val="nil"/>
              <w:bottom w:val="nil"/>
              <w:right w:val="single" w:sz="8" w:space="0" w:color="auto"/>
            </w:tcBorders>
            <w:shd w:val="clear" w:color="auto" w:fill="auto"/>
            <w:noWrap/>
            <w:vAlign w:val="center"/>
            <w:hideMark/>
          </w:tcPr>
          <w:p w14:paraId="16412278" w14:textId="3E380713" w:rsidR="00E813D5" w:rsidRPr="00080B21" w:rsidRDefault="00E813D5" w:rsidP="00374AE3">
            <w:pPr>
              <w:ind w:left="72"/>
              <w:jc w:val="left"/>
              <w:rPr>
                <w:rFonts w:cs="Arial"/>
                <w:color w:val="000000"/>
                <w:sz w:val="18"/>
                <w:szCs w:val="18"/>
              </w:rPr>
            </w:pPr>
            <w:r w:rsidRPr="00D059A9">
              <w:rPr>
                <w:rFonts w:cs="Arial"/>
                <w:color w:val="000000"/>
                <w:sz w:val="18"/>
                <w:szCs w:val="18"/>
              </w:rPr>
              <w:t>Gestão Penitenciária Moderna [1030]</w:t>
            </w:r>
          </w:p>
        </w:tc>
        <w:tc>
          <w:tcPr>
            <w:tcW w:w="758" w:type="pct"/>
            <w:tcBorders>
              <w:top w:val="nil"/>
              <w:left w:val="nil"/>
              <w:bottom w:val="nil"/>
              <w:right w:val="single" w:sz="8" w:space="0" w:color="auto"/>
            </w:tcBorders>
            <w:shd w:val="clear" w:color="auto" w:fill="auto"/>
            <w:noWrap/>
            <w:vAlign w:val="center"/>
            <w:hideMark/>
          </w:tcPr>
          <w:p w14:paraId="5BD4095E" w14:textId="354BE9DE" w:rsidR="00E813D5" w:rsidRPr="00080B21" w:rsidRDefault="00E813D5" w:rsidP="00E813D5">
            <w:pPr>
              <w:jc w:val="right"/>
              <w:rPr>
                <w:rFonts w:cs="Arial"/>
                <w:color w:val="000000"/>
                <w:sz w:val="18"/>
                <w:szCs w:val="18"/>
              </w:rPr>
            </w:pPr>
            <w:r w:rsidRPr="00D059A9">
              <w:rPr>
                <w:rFonts w:cs="Arial"/>
                <w:color w:val="000000"/>
                <w:sz w:val="18"/>
                <w:szCs w:val="18"/>
              </w:rPr>
              <w:t>179.644.000</w:t>
            </w:r>
          </w:p>
        </w:tc>
        <w:tc>
          <w:tcPr>
            <w:tcW w:w="758" w:type="pct"/>
            <w:tcBorders>
              <w:top w:val="nil"/>
              <w:left w:val="nil"/>
              <w:bottom w:val="nil"/>
              <w:right w:val="single" w:sz="8" w:space="0" w:color="auto"/>
            </w:tcBorders>
            <w:shd w:val="clear" w:color="auto" w:fill="auto"/>
            <w:noWrap/>
            <w:vAlign w:val="center"/>
            <w:hideMark/>
          </w:tcPr>
          <w:p w14:paraId="707848B1" w14:textId="0CF0AFBA" w:rsidR="00E813D5" w:rsidRPr="00080B21" w:rsidRDefault="00E813D5" w:rsidP="00E813D5">
            <w:pPr>
              <w:jc w:val="right"/>
              <w:rPr>
                <w:rFonts w:cs="Arial"/>
                <w:color w:val="000000"/>
                <w:sz w:val="18"/>
                <w:szCs w:val="18"/>
              </w:rPr>
            </w:pPr>
            <w:r w:rsidRPr="00D059A9">
              <w:rPr>
                <w:rFonts w:cs="Arial"/>
                <w:color w:val="000000"/>
                <w:sz w:val="18"/>
                <w:szCs w:val="18"/>
              </w:rPr>
              <w:t>269.737.724</w:t>
            </w:r>
          </w:p>
        </w:tc>
        <w:tc>
          <w:tcPr>
            <w:tcW w:w="758" w:type="pct"/>
            <w:tcBorders>
              <w:top w:val="nil"/>
              <w:left w:val="nil"/>
              <w:bottom w:val="nil"/>
              <w:right w:val="single" w:sz="8" w:space="0" w:color="auto"/>
            </w:tcBorders>
            <w:shd w:val="clear" w:color="auto" w:fill="auto"/>
            <w:noWrap/>
            <w:vAlign w:val="center"/>
            <w:hideMark/>
          </w:tcPr>
          <w:p w14:paraId="51899D92" w14:textId="67D082CA" w:rsidR="00E813D5" w:rsidRPr="00080B21" w:rsidRDefault="00E813D5" w:rsidP="00E813D5">
            <w:pPr>
              <w:jc w:val="right"/>
              <w:rPr>
                <w:rFonts w:cs="Arial"/>
                <w:color w:val="000000"/>
                <w:sz w:val="18"/>
                <w:szCs w:val="18"/>
              </w:rPr>
            </w:pPr>
            <w:r w:rsidRPr="00D059A9">
              <w:rPr>
                <w:rFonts w:cs="Arial"/>
                <w:color w:val="000000"/>
                <w:sz w:val="18"/>
                <w:szCs w:val="18"/>
              </w:rPr>
              <w:t>187.395.375</w:t>
            </w:r>
          </w:p>
        </w:tc>
        <w:tc>
          <w:tcPr>
            <w:tcW w:w="805" w:type="pct"/>
            <w:tcBorders>
              <w:top w:val="nil"/>
              <w:left w:val="nil"/>
              <w:bottom w:val="nil"/>
              <w:right w:val="single" w:sz="8" w:space="0" w:color="auto"/>
            </w:tcBorders>
            <w:shd w:val="clear" w:color="auto" w:fill="auto"/>
            <w:noWrap/>
            <w:vAlign w:val="center"/>
            <w:hideMark/>
          </w:tcPr>
          <w:p w14:paraId="276EB9D7" w14:textId="562E3626" w:rsidR="00E813D5" w:rsidRPr="00080B21" w:rsidRDefault="00E813D5" w:rsidP="00E813D5">
            <w:pPr>
              <w:jc w:val="right"/>
              <w:rPr>
                <w:rFonts w:cs="Arial"/>
                <w:color w:val="000000"/>
                <w:sz w:val="18"/>
                <w:szCs w:val="18"/>
              </w:rPr>
            </w:pPr>
            <w:r w:rsidRPr="00D059A9">
              <w:rPr>
                <w:rFonts w:cs="Arial"/>
                <w:color w:val="000000"/>
                <w:sz w:val="18"/>
                <w:szCs w:val="18"/>
              </w:rPr>
              <w:t>158.772.172</w:t>
            </w:r>
          </w:p>
        </w:tc>
        <w:tc>
          <w:tcPr>
            <w:tcW w:w="633" w:type="pct"/>
            <w:tcBorders>
              <w:top w:val="nil"/>
              <w:left w:val="nil"/>
              <w:bottom w:val="nil"/>
              <w:right w:val="nil"/>
            </w:tcBorders>
            <w:shd w:val="clear" w:color="auto" w:fill="auto"/>
            <w:noWrap/>
            <w:vAlign w:val="center"/>
            <w:hideMark/>
          </w:tcPr>
          <w:p w14:paraId="5DDC31BD" w14:textId="4273FE95" w:rsidR="00E813D5" w:rsidRPr="00080B21" w:rsidRDefault="00E813D5" w:rsidP="00E813D5">
            <w:pPr>
              <w:jc w:val="right"/>
              <w:rPr>
                <w:rFonts w:cs="Arial"/>
                <w:color w:val="000000"/>
                <w:sz w:val="18"/>
                <w:szCs w:val="18"/>
              </w:rPr>
            </w:pPr>
            <w:r w:rsidRPr="00D059A9">
              <w:rPr>
                <w:rFonts w:cs="Arial"/>
                <w:color w:val="000000"/>
                <w:sz w:val="18"/>
                <w:szCs w:val="18"/>
              </w:rPr>
              <w:t>28.623.203</w:t>
            </w:r>
          </w:p>
        </w:tc>
      </w:tr>
      <w:tr w:rsidR="00E813D5" w:rsidRPr="00080B21" w14:paraId="0AAED9C9" w14:textId="77777777" w:rsidTr="00EA7D53">
        <w:trPr>
          <w:trHeight w:val="567"/>
        </w:trPr>
        <w:tc>
          <w:tcPr>
            <w:tcW w:w="1288" w:type="pct"/>
            <w:tcBorders>
              <w:top w:val="nil"/>
              <w:left w:val="nil"/>
              <w:bottom w:val="nil"/>
              <w:right w:val="single" w:sz="8" w:space="0" w:color="auto"/>
            </w:tcBorders>
            <w:shd w:val="clear" w:color="auto" w:fill="auto"/>
            <w:noWrap/>
            <w:vAlign w:val="center"/>
          </w:tcPr>
          <w:p w14:paraId="41E16503" w14:textId="76FA643B" w:rsidR="00E813D5" w:rsidRPr="00080B21" w:rsidRDefault="00E813D5" w:rsidP="00374AE3">
            <w:pPr>
              <w:ind w:left="72"/>
              <w:jc w:val="left"/>
              <w:rPr>
                <w:rFonts w:cs="Arial"/>
                <w:color w:val="000000"/>
                <w:sz w:val="18"/>
                <w:szCs w:val="18"/>
              </w:rPr>
            </w:pPr>
            <w:r w:rsidRPr="00D059A9">
              <w:rPr>
                <w:rFonts w:cs="Arial"/>
                <w:color w:val="000000"/>
                <w:sz w:val="18"/>
                <w:szCs w:val="18"/>
              </w:rPr>
              <w:t>Encargos da Folha de dos Servidores Públicos [4100]</w:t>
            </w:r>
          </w:p>
        </w:tc>
        <w:tc>
          <w:tcPr>
            <w:tcW w:w="758" w:type="pct"/>
            <w:tcBorders>
              <w:top w:val="nil"/>
              <w:left w:val="nil"/>
              <w:bottom w:val="nil"/>
              <w:right w:val="single" w:sz="8" w:space="0" w:color="auto"/>
            </w:tcBorders>
            <w:shd w:val="clear" w:color="auto" w:fill="auto"/>
            <w:noWrap/>
            <w:vAlign w:val="center"/>
          </w:tcPr>
          <w:p w14:paraId="7EED00FF" w14:textId="7EE41DEC" w:rsidR="00E813D5" w:rsidRPr="00080B21" w:rsidRDefault="00E813D5" w:rsidP="00E813D5">
            <w:pPr>
              <w:jc w:val="right"/>
              <w:rPr>
                <w:rFonts w:cs="Arial"/>
                <w:color w:val="000000"/>
                <w:sz w:val="18"/>
                <w:szCs w:val="18"/>
              </w:rPr>
            </w:pPr>
            <w:r w:rsidRPr="00D059A9">
              <w:rPr>
                <w:rFonts w:cs="Arial"/>
                <w:color w:val="000000"/>
                <w:sz w:val="18"/>
                <w:szCs w:val="18"/>
              </w:rPr>
              <w:t>14.527.371.000</w:t>
            </w:r>
          </w:p>
        </w:tc>
        <w:tc>
          <w:tcPr>
            <w:tcW w:w="758" w:type="pct"/>
            <w:tcBorders>
              <w:top w:val="nil"/>
              <w:left w:val="nil"/>
              <w:bottom w:val="nil"/>
              <w:right w:val="single" w:sz="8" w:space="0" w:color="auto"/>
            </w:tcBorders>
            <w:shd w:val="clear" w:color="auto" w:fill="auto"/>
            <w:noWrap/>
            <w:vAlign w:val="center"/>
          </w:tcPr>
          <w:p w14:paraId="654C3FD4" w14:textId="105CD58E" w:rsidR="00E813D5" w:rsidRPr="00080B21" w:rsidRDefault="00E813D5" w:rsidP="00E813D5">
            <w:pPr>
              <w:jc w:val="right"/>
              <w:rPr>
                <w:rFonts w:cs="Arial"/>
                <w:color w:val="000000"/>
                <w:sz w:val="18"/>
                <w:szCs w:val="18"/>
              </w:rPr>
            </w:pPr>
            <w:r w:rsidRPr="00D059A9">
              <w:rPr>
                <w:rFonts w:cs="Arial"/>
                <w:color w:val="000000"/>
                <w:sz w:val="18"/>
                <w:szCs w:val="18"/>
              </w:rPr>
              <w:t>15.486.919.435</w:t>
            </w:r>
          </w:p>
        </w:tc>
        <w:tc>
          <w:tcPr>
            <w:tcW w:w="758" w:type="pct"/>
            <w:tcBorders>
              <w:top w:val="nil"/>
              <w:left w:val="nil"/>
              <w:bottom w:val="nil"/>
              <w:right w:val="single" w:sz="8" w:space="0" w:color="auto"/>
            </w:tcBorders>
            <w:shd w:val="clear" w:color="auto" w:fill="auto"/>
            <w:noWrap/>
            <w:vAlign w:val="center"/>
          </w:tcPr>
          <w:p w14:paraId="39399855" w14:textId="547974F0" w:rsidR="00E813D5" w:rsidRPr="00080B21" w:rsidRDefault="00E813D5" w:rsidP="00E813D5">
            <w:pPr>
              <w:jc w:val="right"/>
              <w:rPr>
                <w:rFonts w:cs="Arial"/>
                <w:color w:val="000000"/>
                <w:sz w:val="18"/>
                <w:szCs w:val="18"/>
              </w:rPr>
            </w:pPr>
            <w:r w:rsidRPr="00D059A9">
              <w:rPr>
                <w:rFonts w:cs="Arial"/>
                <w:color w:val="000000"/>
                <w:sz w:val="18"/>
                <w:szCs w:val="18"/>
              </w:rPr>
              <w:t>15.044.127.818</w:t>
            </w:r>
          </w:p>
        </w:tc>
        <w:tc>
          <w:tcPr>
            <w:tcW w:w="805" w:type="pct"/>
            <w:tcBorders>
              <w:top w:val="nil"/>
              <w:left w:val="nil"/>
              <w:bottom w:val="nil"/>
              <w:right w:val="single" w:sz="8" w:space="0" w:color="auto"/>
            </w:tcBorders>
            <w:shd w:val="clear" w:color="auto" w:fill="auto"/>
            <w:noWrap/>
            <w:vAlign w:val="center"/>
          </w:tcPr>
          <w:p w14:paraId="7195D96E" w14:textId="5287F88C" w:rsidR="00E813D5" w:rsidRPr="00080B21" w:rsidRDefault="00E813D5" w:rsidP="00E813D5">
            <w:pPr>
              <w:jc w:val="right"/>
              <w:rPr>
                <w:rFonts w:cs="Arial"/>
                <w:color w:val="000000"/>
                <w:sz w:val="18"/>
                <w:szCs w:val="18"/>
              </w:rPr>
            </w:pPr>
            <w:r w:rsidRPr="00D059A9">
              <w:rPr>
                <w:rFonts w:cs="Arial"/>
                <w:color w:val="000000"/>
                <w:sz w:val="18"/>
                <w:szCs w:val="18"/>
              </w:rPr>
              <w:t>15.031.066.372</w:t>
            </w:r>
          </w:p>
        </w:tc>
        <w:tc>
          <w:tcPr>
            <w:tcW w:w="633" w:type="pct"/>
            <w:tcBorders>
              <w:top w:val="nil"/>
              <w:left w:val="nil"/>
              <w:bottom w:val="nil"/>
              <w:right w:val="nil"/>
            </w:tcBorders>
            <w:shd w:val="clear" w:color="auto" w:fill="auto"/>
            <w:noWrap/>
            <w:vAlign w:val="center"/>
          </w:tcPr>
          <w:p w14:paraId="1CC34806" w14:textId="4556F923" w:rsidR="00E813D5" w:rsidRPr="00080B21" w:rsidRDefault="00E813D5" w:rsidP="00E813D5">
            <w:pPr>
              <w:jc w:val="right"/>
              <w:rPr>
                <w:rFonts w:cs="Arial"/>
                <w:color w:val="000000"/>
                <w:sz w:val="18"/>
                <w:szCs w:val="18"/>
              </w:rPr>
            </w:pPr>
            <w:r w:rsidRPr="00D059A9">
              <w:rPr>
                <w:rFonts w:cs="Arial"/>
                <w:color w:val="000000"/>
                <w:sz w:val="18"/>
                <w:szCs w:val="18"/>
              </w:rPr>
              <w:t>13.061.446</w:t>
            </w:r>
          </w:p>
        </w:tc>
      </w:tr>
      <w:tr w:rsidR="00E813D5" w:rsidRPr="00080B21" w14:paraId="5ADF89E8" w14:textId="77777777" w:rsidTr="00EA7D53">
        <w:trPr>
          <w:trHeight w:val="567"/>
        </w:trPr>
        <w:tc>
          <w:tcPr>
            <w:tcW w:w="1288" w:type="pct"/>
            <w:tcBorders>
              <w:top w:val="nil"/>
              <w:left w:val="nil"/>
              <w:bottom w:val="single" w:sz="8" w:space="0" w:color="auto"/>
              <w:right w:val="single" w:sz="8" w:space="0" w:color="auto"/>
            </w:tcBorders>
            <w:shd w:val="clear" w:color="auto" w:fill="auto"/>
            <w:noWrap/>
            <w:vAlign w:val="center"/>
            <w:hideMark/>
          </w:tcPr>
          <w:p w14:paraId="68DFDBD2" w14:textId="0E0A3645" w:rsidR="00E813D5" w:rsidRPr="00080B21" w:rsidRDefault="00E813D5" w:rsidP="00374AE3">
            <w:pPr>
              <w:ind w:left="72"/>
              <w:jc w:val="left"/>
              <w:rPr>
                <w:rFonts w:cs="Arial"/>
                <w:color w:val="000000"/>
                <w:sz w:val="18"/>
                <w:szCs w:val="18"/>
              </w:rPr>
            </w:pPr>
            <w:r w:rsidRPr="00D059A9">
              <w:rPr>
                <w:rFonts w:cs="Arial"/>
                <w:color w:val="000000"/>
                <w:sz w:val="18"/>
                <w:szCs w:val="18"/>
              </w:rPr>
              <w:t>Gestão e Manutenção [4200]</w:t>
            </w:r>
          </w:p>
        </w:tc>
        <w:tc>
          <w:tcPr>
            <w:tcW w:w="758" w:type="pct"/>
            <w:tcBorders>
              <w:top w:val="nil"/>
              <w:left w:val="nil"/>
              <w:bottom w:val="single" w:sz="8" w:space="0" w:color="auto"/>
              <w:right w:val="single" w:sz="8" w:space="0" w:color="auto"/>
            </w:tcBorders>
            <w:shd w:val="clear" w:color="auto" w:fill="auto"/>
            <w:noWrap/>
            <w:vAlign w:val="center"/>
            <w:hideMark/>
          </w:tcPr>
          <w:p w14:paraId="6F0104F1" w14:textId="39B33917" w:rsidR="00E813D5" w:rsidRPr="00080B21" w:rsidRDefault="00E813D5" w:rsidP="00E813D5">
            <w:pPr>
              <w:jc w:val="right"/>
              <w:rPr>
                <w:rFonts w:cs="Arial"/>
                <w:color w:val="000000"/>
                <w:sz w:val="18"/>
                <w:szCs w:val="18"/>
              </w:rPr>
            </w:pPr>
            <w:r w:rsidRPr="00D059A9">
              <w:rPr>
                <w:rFonts w:cs="Arial"/>
                <w:color w:val="000000"/>
                <w:sz w:val="18"/>
                <w:szCs w:val="18"/>
              </w:rPr>
              <w:t>1.722.985.000</w:t>
            </w:r>
          </w:p>
        </w:tc>
        <w:tc>
          <w:tcPr>
            <w:tcW w:w="758" w:type="pct"/>
            <w:tcBorders>
              <w:top w:val="nil"/>
              <w:left w:val="nil"/>
              <w:bottom w:val="single" w:sz="8" w:space="0" w:color="auto"/>
              <w:right w:val="single" w:sz="8" w:space="0" w:color="auto"/>
            </w:tcBorders>
            <w:shd w:val="clear" w:color="auto" w:fill="auto"/>
            <w:noWrap/>
            <w:vAlign w:val="center"/>
            <w:hideMark/>
          </w:tcPr>
          <w:p w14:paraId="152782D8" w14:textId="7E152F5D" w:rsidR="00E813D5" w:rsidRPr="00080B21" w:rsidRDefault="00E813D5" w:rsidP="00E813D5">
            <w:pPr>
              <w:jc w:val="right"/>
              <w:rPr>
                <w:rFonts w:cs="Arial"/>
                <w:color w:val="000000"/>
                <w:sz w:val="18"/>
                <w:szCs w:val="18"/>
              </w:rPr>
            </w:pPr>
            <w:r w:rsidRPr="00D059A9">
              <w:rPr>
                <w:rFonts w:cs="Arial"/>
                <w:color w:val="000000"/>
                <w:sz w:val="18"/>
                <w:szCs w:val="18"/>
              </w:rPr>
              <w:t>2.429.236.089</w:t>
            </w:r>
          </w:p>
        </w:tc>
        <w:tc>
          <w:tcPr>
            <w:tcW w:w="758" w:type="pct"/>
            <w:tcBorders>
              <w:top w:val="nil"/>
              <w:left w:val="nil"/>
              <w:bottom w:val="single" w:sz="8" w:space="0" w:color="auto"/>
              <w:right w:val="single" w:sz="8" w:space="0" w:color="auto"/>
            </w:tcBorders>
            <w:shd w:val="clear" w:color="auto" w:fill="auto"/>
            <w:noWrap/>
            <w:vAlign w:val="center"/>
            <w:hideMark/>
          </w:tcPr>
          <w:p w14:paraId="27D36486" w14:textId="24E4AB97" w:rsidR="00E813D5" w:rsidRPr="00080B21" w:rsidRDefault="00E813D5" w:rsidP="00E813D5">
            <w:pPr>
              <w:jc w:val="right"/>
              <w:rPr>
                <w:rFonts w:cs="Arial"/>
                <w:color w:val="000000"/>
                <w:sz w:val="18"/>
                <w:szCs w:val="18"/>
              </w:rPr>
            </w:pPr>
            <w:r w:rsidRPr="00D059A9">
              <w:rPr>
                <w:rFonts w:cs="Arial"/>
                <w:color w:val="000000"/>
                <w:sz w:val="18"/>
                <w:szCs w:val="18"/>
              </w:rPr>
              <w:t>1.766.891.647</w:t>
            </w:r>
          </w:p>
        </w:tc>
        <w:tc>
          <w:tcPr>
            <w:tcW w:w="805" w:type="pct"/>
            <w:tcBorders>
              <w:top w:val="nil"/>
              <w:left w:val="nil"/>
              <w:bottom w:val="single" w:sz="8" w:space="0" w:color="auto"/>
              <w:right w:val="single" w:sz="8" w:space="0" w:color="auto"/>
            </w:tcBorders>
            <w:shd w:val="clear" w:color="auto" w:fill="auto"/>
            <w:noWrap/>
            <w:vAlign w:val="center"/>
            <w:hideMark/>
          </w:tcPr>
          <w:p w14:paraId="73C42A2A" w14:textId="1718D40F" w:rsidR="00E813D5" w:rsidRPr="00080B21" w:rsidRDefault="00E813D5" w:rsidP="00E813D5">
            <w:pPr>
              <w:jc w:val="right"/>
              <w:rPr>
                <w:rFonts w:cs="Arial"/>
                <w:color w:val="000000"/>
                <w:sz w:val="18"/>
                <w:szCs w:val="18"/>
              </w:rPr>
            </w:pPr>
            <w:r w:rsidRPr="00D059A9">
              <w:rPr>
                <w:rFonts w:cs="Arial"/>
                <w:color w:val="000000"/>
                <w:sz w:val="18"/>
                <w:szCs w:val="18"/>
              </w:rPr>
              <w:t>1.607.206.886</w:t>
            </w:r>
          </w:p>
        </w:tc>
        <w:tc>
          <w:tcPr>
            <w:tcW w:w="633" w:type="pct"/>
            <w:tcBorders>
              <w:top w:val="nil"/>
              <w:left w:val="nil"/>
              <w:bottom w:val="single" w:sz="8" w:space="0" w:color="auto"/>
              <w:right w:val="nil"/>
            </w:tcBorders>
            <w:shd w:val="clear" w:color="auto" w:fill="auto"/>
            <w:noWrap/>
            <w:vAlign w:val="center"/>
            <w:hideMark/>
          </w:tcPr>
          <w:p w14:paraId="47928405" w14:textId="4B83E8A6" w:rsidR="00E813D5" w:rsidRPr="00080B21" w:rsidRDefault="00E813D5" w:rsidP="00E813D5">
            <w:pPr>
              <w:jc w:val="right"/>
              <w:rPr>
                <w:rFonts w:cs="Arial"/>
                <w:color w:val="000000"/>
                <w:sz w:val="18"/>
                <w:szCs w:val="18"/>
              </w:rPr>
            </w:pPr>
            <w:r w:rsidRPr="00D059A9">
              <w:rPr>
                <w:rFonts w:cs="Arial"/>
                <w:color w:val="000000"/>
                <w:sz w:val="18"/>
                <w:szCs w:val="18"/>
              </w:rPr>
              <w:t>159.684.761</w:t>
            </w:r>
          </w:p>
        </w:tc>
      </w:tr>
      <w:tr w:rsidR="00E813D5" w:rsidRPr="00080B21" w14:paraId="5DEDDE1B" w14:textId="77777777" w:rsidTr="00194C00">
        <w:trPr>
          <w:trHeight w:val="454"/>
        </w:trPr>
        <w:tc>
          <w:tcPr>
            <w:tcW w:w="1288" w:type="pct"/>
            <w:tcBorders>
              <w:top w:val="nil"/>
              <w:left w:val="nil"/>
              <w:bottom w:val="single" w:sz="8" w:space="0" w:color="auto"/>
              <w:right w:val="single" w:sz="8" w:space="0" w:color="auto"/>
            </w:tcBorders>
            <w:shd w:val="clear" w:color="auto" w:fill="FFFFFF" w:themeFill="background1"/>
            <w:noWrap/>
            <w:vAlign w:val="center"/>
            <w:hideMark/>
          </w:tcPr>
          <w:p w14:paraId="4CBA7E2B" w14:textId="31415D17" w:rsidR="00E813D5" w:rsidRPr="00080B21" w:rsidRDefault="00E813D5" w:rsidP="00E813D5">
            <w:pPr>
              <w:jc w:val="center"/>
              <w:rPr>
                <w:rFonts w:cs="Arial"/>
                <w:b/>
                <w:bCs/>
                <w:color w:val="000000"/>
                <w:sz w:val="18"/>
                <w:szCs w:val="18"/>
              </w:rPr>
            </w:pPr>
            <w:r w:rsidRPr="00D059A9">
              <w:rPr>
                <w:rFonts w:cs="Arial"/>
                <w:b/>
                <w:bCs/>
                <w:color w:val="000000"/>
                <w:sz w:val="18"/>
                <w:szCs w:val="18"/>
              </w:rPr>
              <w:t>Total</w:t>
            </w:r>
          </w:p>
        </w:tc>
        <w:tc>
          <w:tcPr>
            <w:tcW w:w="758" w:type="pct"/>
            <w:tcBorders>
              <w:top w:val="nil"/>
              <w:left w:val="nil"/>
              <w:bottom w:val="single" w:sz="8" w:space="0" w:color="auto"/>
              <w:right w:val="single" w:sz="8" w:space="0" w:color="auto"/>
            </w:tcBorders>
            <w:shd w:val="clear" w:color="auto" w:fill="FFFFFF" w:themeFill="background1"/>
            <w:noWrap/>
            <w:vAlign w:val="center"/>
            <w:hideMark/>
          </w:tcPr>
          <w:p w14:paraId="29871F40" w14:textId="27B6C537" w:rsidR="00E813D5" w:rsidRPr="00080B21" w:rsidRDefault="00E813D5" w:rsidP="00E813D5">
            <w:pPr>
              <w:jc w:val="right"/>
              <w:rPr>
                <w:rFonts w:cs="Arial"/>
                <w:b/>
                <w:bCs/>
                <w:color w:val="000000"/>
                <w:sz w:val="18"/>
                <w:szCs w:val="18"/>
              </w:rPr>
            </w:pPr>
            <w:r w:rsidRPr="00D059A9">
              <w:rPr>
                <w:rFonts w:cs="Arial"/>
                <w:b/>
                <w:bCs/>
                <w:color w:val="000000"/>
                <w:sz w:val="18"/>
                <w:szCs w:val="18"/>
              </w:rPr>
              <w:t>16.430.000.000</w:t>
            </w:r>
          </w:p>
        </w:tc>
        <w:tc>
          <w:tcPr>
            <w:tcW w:w="758" w:type="pct"/>
            <w:tcBorders>
              <w:top w:val="nil"/>
              <w:left w:val="nil"/>
              <w:bottom w:val="single" w:sz="8" w:space="0" w:color="auto"/>
              <w:right w:val="single" w:sz="8" w:space="0" w:color="auto"/>
            </w:tcBorders>
            <w:shd w:val="clear" w:color="auto" w:fill="FFFFFF" w:themeFill="background1"/>
            <w:noWrap/>
            <w:vAlign w:val="center"/>
            <w:hideMark/>
          </w:tcPr>
          <w:p w14:paraId="3FC695BE" w14:textId="2948D375" w:rsidR="00E813D5" w:rsidRPr="00080B21" w:rsidRDefault="00E813D5" w:rsidP="00E813D5">
            <w:pPr>
              <w:jc w:val="right"/>
              <w:rPr>
                <w:rFonts w:cs="Arial"/>
                <w:b/>
                <w:bCs/>
                <w:color w:val="000000"/>
                <w:sz w:val="18"/>
                <w:szCs w:val="18"/>
              </w:rPr>
            </w:pPr>
            <w:r w:rsidRPr="00D059A9">
              <w:rPr>
                <w:rFonts w:cs="Arial"/>
                <w:b/>
                <w:bCs/>
                <w:color w:val="000000"/>
                <w:sz w:val="18"/>
                <w:szCs w:val="18"/>
              </w:rPr>
              <w:t>18.185.893.248</w:t>
            </w:r>
          </w:p>
        </w:tc>
        <w:tc>
          <w:tcPr>
            <w:tcW w:w="758" w:type="pct"/>
            <w:tcBorders>
              <w:top w:val="nil"/>
              <w:left w:val="nil"/>
              <w:bottom w:val="single" w:sz="8" w:space="0" w:color="auto"/>
              <w:right w:val="single" w:sz="8" w:space="0" w:color="auto"/>
            </w:tcBorders>
            <w:shd w:val="clear" w:color="auto" w:fill="FFFFFF" w:themeFill="background1"/>
            <w:noWrap/>
            <w:vAlign w:val="center"/>
            <w:hideMark/>
          </w:tcPr>
          <w:p w14:paraId="406B7C68" w14:textId="118D7330" w:rsidR="00E813D5" w:rsidRPr="00080B21" w:rsidRDefault="00E813D5" w:rsidP="00E813D5">
            <w:pPr>
              <w:jc w:val="right"/>
              <w:rPr>
                <w:rFonts w:cs="Arial"/>
                <w:b/>
                <w:bCs/>
                <w:color w:val="000000"/>
                <w:sz w:val="18"/>
                <w:szCs w:val="18"/>
              </w:rPr>
            </w:pPr>
            <w:r w:rsidRPr="00D059A9">
              <w:rPr>
                <w:rFonts w:cs="Arial"/>
                <w:b/>
                <w:color w:val="000000"/>
                <w:sz w:val="18"/>
                <w:szCs w:val="18"/>
              </w:rPr>
              <w:t>16.998.414.839</w:t>
            </w:r>
          </w:p>
        </w:tc>
        <w:tc>
          <w:tcPr>
            <w:tcW w:w="805" w:type="pct"/>
            <w:tcBorders>
              <w:top w:val="nil"/>
              <w:left w:val="nil"/>
              <w:bottom w:val="single" w:sz="8" w:space="0" w:color="auto"/>
              <w:right w:val="single" w:sz="8" w:space="0" w:color="auto"/>
            </w:tcBorders>
            <w:shd w:val="clear" w:color="auto" w:fill="FFFFFF" w:themeFill="background1"/>
            <w:noWrap/>
            <w:vAlign w:val="center"/>
            <w:hideMark/>
          </w:tcPr>
          <w:p w14:paraId="76906836" w14:textId="6A90C6A6" w:rsidR="00E813D5" w:rsidRPr="00080B21" w:rsidRDefault="00E813D5" w:rsidP="00E813D5">
            <w:pPr>
              <w:jc w:val="right"/>
              <w:rPr>
                <w:rFonts w:cs="Arial"/>
                <w:b/>
                <w:bCs/>
                <w:color w:val="000000"/>
                <w:sz w:val="18"/>
                <w:szCs w:val="18"/>
              </w:rPr>
            </w:pPr>
            <w:r w:rsidRPr="00D059A9">
              <w:rPr>
                <w:rFonts w:cs="Arial"/>
                <w:b/>
                <w:color w:val="000000"/>
                <w:sz w:val="18"/>
                <w:szCs w:val="18"/>
              </w:rPr>
              <w:t>16.797.045.429</w:t>
            </w:r>
          </w:p>
        </w:tc>
        <w:tc>
          <w:tcPr>
            <w:tcW w:w="633" w:type="pct"/>
            <w:tcBorders>
              <w:top w:val="single" w:sz="8" w:space="0" w:color="auto"/>
              <w:left w:val="nil"/>
              <w:bottom w:val="single" w:sz="8" w:space="0" w:color="auto"/>
            </w:tcBorders>
            <w:shd w:val="clear" w:color="auto" w:fill="FFFFFF" w:themeFill="background1"/>
            <w:noWrap/>
            <w:vAlign w:val="center"/>
            <w:hideMark/>
          </w:tcPr>
          <w:p w14:paraId="1CFAD5EE" w14:textId="5C55C16B" w:rsidR="00E813D5" w:rsidRPr="00080B21" w:rsidRDefault="00E813D5" w:rsidP="00E813D5">
            <w:pPr>
              <w:jc w:val="right"/>
              <w:rPr>
                <w:rFonts w:cs="Arial"/>
                <w:b/>
                <w:bCs/>
                <w:color w:val="000000"/>
                <w:sz w:val="18"/>
                <w:szCs w:val="18"/>
              </w:rPr>
            </w:pPr>
            <w:r w:rsidRPr="00D059A9">
              <w:rPr>
                <w:rFonts w:cs="Arial"/>
                <w:b/>
                <w:color w:val="000000"/>
                <w:sz w:val="18"/>
                <w:szCs w:val="18"/>
              </w:rPr>
              <w:t>201.369.410</w:t>
            </w:r>
          </w:p>
        </w:tc>
      </w:tr>
    </w:tbl>
    <w:p w14:paraId="096E9910" w14:textId="259BB940" w:rsidR="00DC20DF" w:rsidRDefault="00DC20DF" w:rsidP="00EF01A1">
      <w:pPr>
        <w:pStyle w:val="1-FONTE8ESQ"/>
      </w:pPr>
      <w:r w:rsidRPr="0014647F">
        <w:t xml:space="preserve">Fonte: Plano Plurianual 2020-2023 e </w:t>
      </w:r>
      <w:r w:rsidR="00531981">
        <w:t xml:space="preserve">Comparativo da Despesa Autorizada com a Realizada por Projeto/Atividade - Anexo 11 (BGE 2023) </w:t>
      </w:r>
    </w:p>
    <w:p w14:paraId="48AF7F8B" w14:textId="6C0AF38A" w:rsidR="00E813D5" w:rsidRPr="00210A7B" w:rsidRDefault="00E813D5" w:rsidP="00E813D5">
      <w:pPr>
        <w:pStyle w:val="1-REL11"/>
      </w:pPr>
      <w:r w:rsidRPr="001B6ACB">
        <w:t>O programa Encargos da Folha de Pagamento dos Servidores Públicos [4100], com execução de despesas no montante de R$ 15</w:t>
      </w:r>
      <w:r>
        <w:t>,</w:t>
      </w:r>
      <w:r w:rsidRPr="001B6ACB">
        <w:t>04</w:t>
      </w:r>
      <w:r w:rsidR="00F763BE">
        <w:t> </w:t>
      </w:r>
      <w:r>
        <w:t>bilhões</w:t>
      </w:r>
      <w:r w:rsidRPr="001B6ACB">
        <w:t xml:space="preserve">, representa 88,50% dos recursos gastos nos </w:t>
      </w:r>
      <w:r w:rsidRPr="00210A7B">
        <w:rPr>
          <w:iCs/>
        </w:rPr>
        <w:t>Programas de Gestão e Especiais</w:t>
      </w:r>
      <w:r w:rsidRPr="00210A7B">
        <w:t xml:space="preserve"> e 38,16% em relação ao total de despesas geral.</w:t>
      </w:r>
    </w:p>
    <w:p w14:paraId="64CFCAA3" w14:textId="77777777" w:rsidR="00DC20DF" w:rsidRPr="000B59F9" w:rsidRDefault="00DC20DF" w:rsidP="00117967">
      <w:pPr>
        <w:pStyle w:val="Ttulo4"/>
      </w:pPr>
      <w:r w:rsidRPr="000B59F9">
        <w:t>Encargos Especiais</w:t>
      </w:r>
    </w:p>
    <w:p w14:paraId="0F14940F" w14:textId="77777777" w:rsidR="00E813D5" w:rsidRPr="00210A7B" w:rsidRDefault="00E813D5" w:rsidP="00E813D5">
      <w:pPr>
        <w:pStyle w:val="1-REL11"/>
        <w:rPr>
          <w:rFonts w:cs="Arial"/>
        </w:rPr>
      </w:pPr>
      <w:r w:rsidRPr="00210A7B">
        <w:t>Encargos Especiais referem-se à aplicação de recursos que não contribuem de forma direta para manutenção, expansão ou aperfeiçoamento das ações de governo, ou seja, não geram produtos à sociedade nem ao governo. São despesas relativas ao pagamento de inativos, juros, encargos e amortização da dívida pública, precatórios, sentenças judiciais e outros.</w:t>
      </w:r>
    </w:p>
    <w:p w14:paraId="2380C3BD" w14:textId="71F377D8" w:rsidR="00E813D5" w:rsidRPr="00210A7B" w:rsidRDefault="00E813D5" w:rsidP="00E813D5">
      <w:pPr>
        <w:pStyle w:val="1-REL11"/>
      </w:pPr>
      <w:r w:rsidRPr="00210A7B">
        <w:t>Inicialmente orçado em R$ 9</w:t>
      </w:r>
      <w:r>
        <w:t>,</w:t>
      </w:r>
      <w:r w:rsidRPr="00210A7B">
        <w:t>65</w:t>
      </w:r>
      <w:r w:rsidR="00F763BE">
        <w:t> </w:t>
      </w:r>
      <w:r>
        <w:t>bilhões</w:t>
      </w:r>
      <w:r w:rsidRPr="00210A7B">
        <w:t>, os Encargos Especiais apresentaram um acréscimo de R$ 2</w:t>
      </w:r>
      <w:r>
        <w:t>,</w:t>
      </w:r>
      <w:r w:rsidRPr="00210A7B">
        <w:t>2</w:t>
      </w:r>
      <w:r>
        <w:t>2 bilhões</w:t>
      </w:r>
      <w:r w:rsidRPr="00210A7B">
        <w:t>, chegando a uma despesa autorizada de R$ 11</w:t>
      </w:r>
      <w:r>
        <w:t>,</w:t>
      </w:r>
      <w:r w:rsidRPr="00210A7B">
        <w:t>87</w:t>
      </w:r>
      <w:r w:rsidR="00F763BE">
        <w:t> </w:t>
      </w:r>
      <w:r>
        <w:t>bilhões</w:t>
      </w:r>
      <w:r w:rsidRPr="00210A7B">
        <w:t xml:space="preserve"> e representando 18,68% da despesa executada pelo Estado.</w:t>
      </w:r>
    </w:p>
    <w:p w14:paraId="1DE1FDA8" w14:textId="77777777" w:rsidR="00E813D5" w:rsidRPr="00210A7B" w:rsidRDefault="00E813D5" w:rsidP="00E813D5">
      <w:pPr>
        <w:pStyle w:val="1-REL11"/>
      </w:pPr>
      <w:r w:rsidRPr="00210A7B">
        <w:t xml:space="preserve">Os </w:t>
      </w:r>
      <w:r w:rsidRPr="00210A7B">
        <w:rPr>
          <w:iCs/>
        </w:rPr>
        <w:t>Encargos Especiais</w:t>
      </w:r>
      <w:r w:rsidRPr="00210A7B">
        <w:t xml:space="preserve"> foram executados por meio de 2 programas, conforme demonstrado abaixo:</w:t>
      </w:r>
    </w:p>
    <w:p w14:paraId="46D1B4B0" w14:textId="28DD7B17" w:rsidR="00340121" w:rsidRDefault="00340121" w:rsidP="00ED3571">
      <w:pPr>
        <w:pStyle w:val="0-TABELA"/>
      </w:pPr>
      <w:bookmarkStart w:id="43" w:name="_Toc167871725"/>
      <w:r>
        <w:t>Encargos Especiais por Programa</w:t>
      </w:r>
      <w:bookmarkEnd w:id="43"/>
    </w:p>
    <w:p w14:paraId="220FC543" w14:textId="38D5A920" w:rsidR="00DC20DF" w:rsidRPr="0014647F" w:rsidRDefault="00EE2E8E" w:rsidP="00DC20DF">
      <w:pPr>
        <w:pStyle w:val="0-EmR1"/>
        <w:rPr>
          <w:lang w:eastAsia="en-US"/>
        </w:rPr>
      </w:pPr>
      <w:r>
        <w:t>R$ 1</w:t>
      </w:r>
    </w:p>
    <w:tbl>
      <w:tblPr>
        <w:tblW w:w="5000" w:type="pct"/>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409"/>
        <w:gridCol w:w="1388"/>
        <w:gridCol w:w="1390"/>
        <w:gridCol w:w="1388"/>
        <w:gridCol w:w="1390"/>
        <w:gridCol w:w="1388"/>
      </w:tblGrid>
      <w:tr w:rsidR="00DC20DF" w:rsidRPr="0014647F" w14:paraId="5E50D8C9" w14:textId="77777777" w:rsidTr="00374AE3">
        <w:trPr>
          <w:trHeight w:val="284"/>
          <w:tblHeader/>
        </w:trPr>
        <w:tc>
          <w:tcPr>
            <w:tcW w:w="1288" w:type="pct"/>
            <w:tcBorders>
              <w:top w:val="single" w:sz="4" w:space="0" w:color="auto"/>
              <w:left w:val="nil"/>
              <w:bottom w:val="single" w:sz="4" w:space="0" w:color="auto"/>
              <w:right w:val="single" w:sz="4" w:space="0" w:color="auto"/>
            </w:tcBorders>
            <w:shd w:val="clear" w:color="auto" w:fill="B5EEF7"/>
            <w:noWrap/>
            <w:vAlign w:val="center"/>
            <w:hideMark/>
          </w:tcPr>
          <w:p w14:paraId="520F55A2" w14:textId="77777777" w:rsidR="00DC20DF" w:rsidRPr="0014647F" w:rsidRDefault="00DC20DF" w:rsidP="00DC20DF">
            <w:pPr>
              <w:jc w:val="center"/>
              <w:rPr>
                <w:rFonts w:cs="Arial"/>
                <w:b/>
                <w:bCs/>
                <w:sz w:val="18"/>
                <w:szCs w:val="18"/>
              </w:rPr>
            </w:pPr>
            <w:r>
              <w:rPr>
                <w:rFonts w:cs="Arial"/>
                <w:b/>
                <w:bCs/>
                <w:sz w:val="18"/>
                <w:szCs w:val="18"/>
              </w:rPr>
              <w:t>Programas</w:t>
            </w:r>
          </w:p>
        </w:tc>
        <w:tc>
          <w:tcPr>
            <w:tcW w:w="742" w:type="pct"/>
            <w:tcBorders>
              <w:top w:val="single" w:sz="4" w:space="0" w:color="auto"/>
              <w:left w:val="single" w:sz="4" w:space="0" w:color="auto"/>
              <w:bottom w:val="single" w:sz="4" w:space="0" w:color="auto"/>
              <w:right w:val="single" w:sz="4" w:space="0" w:color="auto"/>
            </w:tcBorders>
            <w:shd w:val="clear" w:color="auto" w:fill="B5EEF7"/>
            <w:noWrap/>
            <w:vAlign w:val="center"/>
            <w:hideMark/>
          </w:tcPr>
          <w:p w14:paraId="31550DD5" w14:textId="77777777" w:rsidR="00DC20DF" w:rsidRPr="0014647F" w:rsidRDefault="00DC20DF" w:rsidP="00DC20DF">
            <w:pPr>
              <w:jc w:val="center"/>
              <w:rPr>
                <w:rFonts w:cs="Arial"/>
                <w:b/>
                <w:bCs/>
                <w:sz w:val="18"/>
                <w:szCs w:val="18"/>
              </w:rPr>
            </w:pPr>
            <w:r w:rsidRPr="0014647F">
              <w:rPr>
                <w:rFonts w:cs="Arial"/>
                <w:b/>
                <w:bCs/>
                <w:sz w:val="18"/>
                <w:szCs w:val="18"/>
              </w:rPr>
              <w:t>Orçada</w:t>
            </w:r>
          </w:p>
        </w:tc>
        <w:tc>
          <w:tcPr>
            <w:tcW w:w="743" w:type="pct"/>
            <w:tcBorders>
              <w:top w:val="single" w:sz="4" w:space="0" w:color="auto"/>
              <w:left w:val="single" w:sz="4" w:space="0" w:color="auto"/>
              <w:bottom w:val="single" w:sz="4" w:space="0" w:color="auto"/>
              <w:right w:val="single" w:sz="4" w:space="0" w:color="auto"/>
            </w:tcBorders>
            <w:shd w:val="clear" w:color="auto" w:fill="B5EEF7"/>
            <w:noWrap/>
            <w:vAlign w:val="center"/>
            <w:hideMark/>
          </w:tcPr>
          <w:p w14:paraId="27006006" w14:textId="77777777" w:rsidR="00DC20DF" w:rsidRPr="0014647F" w:rsidRDefault="00DC20DF" w:rsidP="00DC20DF">
            <w:pPr>
              <w:jc w:val="center"/>
              <w:rPr>
                <w:rFonts w:cs="Arial"/>
                <w:b/>
                <w:bCs/>
                <w:sz w:val="18"/>
                <w:szCs w:val="18"/>
              </w:rPr>
            </w:pPr>
            <w:r w:rsidRPr="0014647F">
              <w:rPr>
                <w:rFonts w:cs="Arial"/>
                <w:b/>
                <w:bCs/>
                <w:sz w:val="18"/>
                <w:szCs w:val="18"/>
              </w:rPr>
              <w:t>Autorizada</w:t>
            </w:r>
          </w:p>
        </w:tc>
        <w:tc>
          <w:tcPr>
            <w:tcW w:w="742" w:type="pct"/>
            <w:tcBorders>
              <w:top w:val="single" w:sz="4" w:space="0" w:color="auto"/>
              <w:left w:val="single" w:sz="4" w:space="0" w:color="auto"/>
              <w:bottom w:val="single" w:sz="4" w:space="0" w:color="auto"/>
              <w:right w:val="single" w:sz="4" w:space="0" w:color="auto"/>
            </w:tcBorders>
            <w:shd w:val="clear" w:color="auto" w:fill="B5EEF7"/>
            <w:noWrap/>
            <w:vAlign w:val="center"/>
            <w:hideMark/>
          </w:tcPr>
          <w:p w14:paraId="54709022" w14:textId="77777777" w:rsidR="00DC20DF" w:rsidRPr="0014647F" w:rsidRDefault="00DC20DF" w:rsidP="00DC20DF">
            <w:pPr>
              <w:jc w:val="center"/>
              <w:rPr>
                <w:rFonts w:cs="Arial"/>
                <w:b/>
                <w:bCs/>
                <w:sz w:val="18"/>
                <w:szCs w:val="18"/>
              </w:rPr>
            </w:pPr>
            <w:r w:rsidRPr="0014647F">
              <w:rPr>
                <w:rFonts w:cs="Arial"/>
                <w:b/>
                <w:bCs/>
                <w:sz w:val="18"/>
                <w:szCs w:val="18"/>
              </w:rPr>
              <w:t>Empenhada</w:t>
            </w:r>
          </w:p>
        </w:tc>
        <w:tc>
          <w:tcPr>
            <w:tcW w:w="743" w:type="pct"/>
            <w:tcBorders>
              <w:top w:val="single" w:sz="4" w:space="0" w:color="auto"/>
              <w:left w:val="single" w:sz="4" w:space="0" w:color="auto"/>
              <w:bottom w:val="single" w:sz="4" w:space="0" w:color="auto"/>
              <w:right w:val="single" w:sz="4" w:space="0" w:color="auto"/>
            </w:tcBorders>
            <w:shd w:val="clear" w:color="auto" w:fill="B5EEF7"/>
            <w:noWrap/>
            <w:vAlign w:val="center"/>
            <w:hideMark/>
          </w:tcPr>
          <w:p w14:paraId="7D564CE7" w14:textId="77777777" w:rsidR="00DC20DF" w:rsidRPr="0014647F" w:rsidRDefault="00DC20DF" w:rsidP="00DC20DF">
            <w:pPr>
              <w:jc w:val="center"/>
              <w:rPr>
                <w:rFonts w:cs="Arial"/>
                <w:b/>
                <w:bCs/>
                <w:sz w:val="18"/>
                <w:szCs w:val="18"/>
              </w:rPr>
            </w:pPr>
            <w:r w:rsidRPr="0014647F">
              <w:rPr>
                <w:rFonts w:cs="Arial"/>
                <w:b/>
                <w:bCs/>
                <w:sz w:val="18"/>
                <w:szCs w:val="18"/>
              </w:rPr>
              <w:t xml:space="preserve">Paga </w:t>
            </w:r>
          </w:p>
        </w:tc>
        <w:tc>
          <w:tcPr>
            <w:tcW w:w="742" w:type="pct"/>
            <w:tcBorders>
              <w:top w:val="single" w:sz="4" w:space="0" w:color="auto"/>
              <w:left w:val="single" w:sz="4" w:space="0" w:color="auto"/>
              <w:bottom w:val="single" w:sz="4" w:space="0" w:color="auto"/>
              <w:right w:val="nil"/>
            </w:tcBorders>
            <w:shd w:val="clear" w:color="auto" w:fill="B5EEF7"/>
            <w:noWrap/>
            <w:vAlign w:val="center"/>
            <w:hideMark/>
          </w:tcPr>
          <w:p w14:paraId="72D130FA" w14:textId="77777777" w:rsidR="00DC20DF" w:rsidRPr="0014647F" w:rsidRDefault="00DC20DF" w:rsidP="00DC20DF">
            <w:pPr>
              <w:jc w:val="center"/>
              <w:rPr>
                <w:rFonts w:cs="Arial"/>
                <w:b/>
                <w:bCs/>
                <w:sz w:val="18"/>
                <w:szCs w:val="18"/>
              </w:rPr>
            </w:pPr>
            <w:r w:rsidRPr="0014647F">
              <w:rPr>
                <w:rFonts w:cs="Arial"/>
                <w:b/>
                <w:bCs/>
                <w:sz w:val="18"/>
                <w:szCs w:val="18"/>
              </w:rPr>
              <w:t xml:space="preserve">Restos a Pagar </w:t>
            </w:r>
          </w:p>
        </w:tc>
      </w:tr>
      <w:tr w:rsidR="00E813D5" w:rsidRPr="0014647F" w14:paraId="4C5063AA" w14:textId="77777777" w:rsidTr="00374AE3">
        <w:trPr>
          <w:trHeight w:val="284"/>
        </w:trPr>
        <w:tc>
          <w:tcPr>
            <w:tcW w:w="1288" w:type="pct"/>
            <w:tcBorders>
              <w:top w:val="single" w:sz="4" w:space="0" w:color="auto"/>
              <w:left w:val="nil"/>
              <w:bottom w:val="nil"/>
              <w:right w:val="single" w:sz="4" w:space="0" w:color="auto"/>
            </w:tcBorders>
            <w:noWrap/>
            <w:vAlign w:val="center"/>
            <w:hideMark/>
          </w:tcPr>
          <w:p w14:paraId="5E997B7F" w14:textId="3869EC33" w:rsidR="00E813D5" w:rsidRPr="0014647F" w:rsidRDefault="00E813D5" w:rsidP="00374AE3">
            <w:pPr>
              <w:ind w:left="72"/>
              <w:jc w:val="left"/>
              <w:rPr>
                <w:rFonts w:cs="Arial"/>
                <w:sz w:val="18"/>
                <w:szCs w:val="18"/>
              </w:rPr>
            </w:pPr>
            <w:r w:rsidRPr="00084A8D">
              <w:rPr>
                <w:rFonts w:cs="Arial"/>
                <w:sz w:val="18"/>
                <w:szCs w:val="18"/>
              </w:rPr>
              <w:t>Encargos dos Benefícios Previdenciários e Especiais [0200]</w:t>
            </w:r>
          </w:p>
        </w:tc>
        <w:tc>
          <w:tcPr>
            <w:tcW w:w="742" w:type="pct"/>
            <w:tcBorders>
              <w:top w:val="single" w:sz="4" w:space="0" w:color="auto"/>
              <w:left w:val="single" w:sz="4" w:space="0" w:color="auto"/>
              <w:bottom w:val="nil"/>
              <w:right w:val="single" w:sz="4" w:space="0" w:color="auto"/>
            </w:tcBorders>
            <w:noWrap/>
            <w:vAlign w:val="center"/>
            <w:hideMark/>
          </w:tcPr>
          <w:p w14:paraId="4123A73B" w14:textId="0FA10E92" w:rsidR="00E813D5" w:rsidRPr="0014647F" w:rsidRDefault="00E813D5" w:rsidP="00E813D5">
            <w:pPr>
              <w:jc w:val="right"/>
              <w:rPr>
                <w:rFonts w:cs="Arial"/>
                <w:sz w:val="18"/>
                <w:szCs w:val="18"/>
              </w:rPr>
            </w:pPr>
            <w:r w:rsidRPr="00084A8D">
              <w:rPr>
                <w:sz w:val="18"/>
                <w:szCs w:val="18"/>
              </w:rPr>
              <w:t>7.464.592.000</w:t>
            </w:r>
          </w:p>
        </w:tc>
        <w:tc>
          <w:tcPr>
            <w:tcW w:w="743" w:type="pct"/>
            <w:tcBorders>
              <w:top w:val="single" w:sz="4" w:space="0" w:color="auto"/>
              <w:left w:val="single" w:sz="4" w:space="0" w:color="auto"/>
              <w:bottom w:val="nil"/>
              <w:right w:val="single" w:sz="4" w:space="0" w:color="auto"/>
            </w:tcBorders>
            <w:noWrap/>
            <w:vAlign w:val="center"/>
            <w:hideMark/>
          </w:tcPr>
          <w:p w14:paraId="0FD35216" w14:textId="3B241114" w:rsidR="00E813D5" w:rsidRPr="0014647F" w:rsidRDefault="00E813D5" w:rsidP="00E813D5">
            <w:pPr>
              <w:jc w:val="right"/>
              <w:rPr>
                <w:rFonts w:cs="Arial"/>
                <w:sz w:val="18"/>
                <w:szCs w:val="18"/>
              </w:rPr>
            </w:pPr>
            <w:r w:rsidRPr="00084A8D">
              <w:rPr>
                <w:sz w:val="18"/>
                <w:szCs w:val="18"/>
              </w:rPr>
              <w:t>8.456.898.197</w:t>
            </w:r>
          </w:p>
        </w:tc>
        <w:tc>
          <w:tcPr>
            <w:tcW w:w="742" w:type="pct"/>
            <w:tcBorders>
              <w:top w:val="single" w:sz="4" w:space="0" w:color="auto"/>
              <w:left w:val="single" w:sz="4" w:space="0" w:color="auto"/>
              <w:bottom w:val="nil"/>
              <w:right w:val="single" w:sz="4" w:space="0" w:color="auto"/>
            </w:tcBorders>
            <w:noWrap/>
            <w:vAlign w:val="center"/>
            <w:hideMark/>
          </w:tcPr>
          <w:p w14:paraId="3900CCB1" w14:textId="06DEC2E4" w:rsidR="00E813D5" w:rsidRPr="0014647F" w:rsidRDefault="00E813D5" w:rsidP="00E813D5">
            <w:pPr>
              <w:jc w:val="right"/>
              <w:rPr>
                <w:rFonts w:cs="Arial"/>
                <w:sz w:val="18"/>
                <w:szCs w:val="18"/>
              </w:rPr>
            </w:pPr>
            <w:r w:rsidRPr="00084A8D">
              <w:rPr>
                <w:rFonts w:cs="Arial"/>
                <w:color w:val="000000"/>
                <w:sz w:val="18"/>
                <w:szCs w:val="18"/>
              </w:rPr>
              <w:t>8.050.163.320</w:t>
            </w:r>
          </w:p>
        </w:tc>
        <w:tc>
          <w:tcPr>
            <w:tcW w:w="743" w:type="pct"/>
            <w:tcBorders>
              <w:top w:val="single" w:sz="4" w:space="0" w:color="auto"/>
              <w:left w:val="single" w:sz="4" w:space="0" w:color="auto"/>
              <w:bottom w:val="nil"/>
              <w:right w:val="single" w:sz="4" w:space="0" w:color="auto"/>
            </w:tcBorders>
            <w:noWrap/>
            <w:vAlign w:val="center"/>
            <w:hideMark/>
          </w:tcPr>
          <w:p w14:paraId="6EB96CB4" w14:textId="0AB19D4D" w:rsidR="00E813D5" w:rsidRPr="0014647F" w:rsidRDefault="00E813D5" w:rsidP="00E813D5">
            <w:pPr>
              <w:jc w:val="right"/>
              <w:rPr>
                <w:rFonts w:cs="Arial"/>
                <w:sz w:val="18"/>
                <w:szCs w:val="18"/>
              </w:rPr>
            </w:pPr>
            <w:r w:rsidRPr="00084A8D">
              <w:rPr>
                <w:rFonts w:cs="Arial"/>
                <w:color w:val="000000"/>
                <w:sz w:val="18"/>
                <w:szCs w:val="18"/>
              </w:rPr>
              <w:t>8.048.689.140</w:t>
            </w:r>
          </w:p>
        </w:tc>
        <w:tc>
          <w:tcPr>
            <w:tcW w:w="742" w:type="pct"/>
            <w:tcBorders>
              <w:top w:val="single" w:sz="4" w:space="0" w:color="auto"/>
              <w:left w:val="single" w:sz="4" w:space="0" w:color="auto"/>
              <w:bottom w:val="nil"/>
              <w:right w:val="nil"/>
            </w:tcBorders>
            <w:noWrap/>
            <w:vAlign w:val="center"/>
            <w:hideMark/>
          </w:tcPr>
          <w:p w14:paraId="5A8C1D64" w14:textId="36267223" w:rsidR="00E813D5" w:rsidRPr="0014647F" w:rsidRDefault="00E813D5" w:rsidP="00E813D5">
            <w:pPr>
              <w:jc w:val="right"/>
              <w:rPr>
                <w:rFonts w:cs="Arial"/>
                <w:sz w:val="18"/>
                <w:szCs w:val="18"/>
              </w:rPr>
            </w:pPr>
            <w:r w:rsidRPr="00084A8D">
              <w:rPr>
                <w:rFonts w:cs="Arial"/>
                <w:color w:val="000000"/>
                <w:sz w:val="18"/>
                <w:szCs w:val="18"/>
              </w:rPr>
              <w:t>1.474.180</w:t>
            </w:r>
          </w:p>
        </w:tc>
      </w:tr>
      <w:tr w:rsidR="00E813D5" w:rsidRPr="0014647F" w14:paraId="7A12C851" w14:textId="77777777" w:rsidTr="00374AE3">
        <w:trPr>
          <w:trHeight w:val="284"/>
        </w:trPr>
        <w:tc>
          <w:tcPr>
            <w:tcW w:w="1288" w:type="pct"/>
            <w:tcBorders>
              <w:top w:val="nil"/>
              <w:left w:val="nil"/>
              <w:bottom w:val="single" w:sz="4" w:space="0" w:color="auto"/>
              <w:right w:val="single" w:sz="4" w:space="0" w:color="auto"/>
            </w:tcBorders>
            <w:noWrap/>
            <w:vAlign w:val="center"/>
            <w:hideMark/>
          </w:tcPr>
          <w:p w14:paraId="430C3E89" w14:textId="16140273" w:rsidR="00E813D5" w:rsidRPr="0014647F" w:rsidRDefault="00E813D5" w:rsidP="00374AE3">
            <w:pPr>
              <w:ind w:left="72"/>
              <w:jc w:val="left"/>
              <w:rPr>
                <w:rFonts w:cs="Arial"/>
                <w:sz w:val="18"/>
                <w:szCs w:val="18"/>
              </w:rPr>
            </w:pPr>
            <w:r w:rsidRPr="00084A8D">
              <w:rPr>
                <w:rFonts w:cs="Arial"/>
                <w:sz w:val="18"/>
                <w:szCs w:val="18"/>
              </w:rPr>
              <w:t>Encargos Especiais [0100]</w:t>
            </w:r>
          </w:p>
        </w:tc>
        <w:tc>
          <w:tcPr>
            <w:tcW w:w="742" w:type="pct"/>
            <w:tcBorders>
              <w:top w:val="nil"/>
              <w:left w:val="single" w:sz="4" w:space="0" w:color="auto"/>
              <w:bottom w:val="single" w:sz="4" w:space="0" w:color="auto"/>
              <w:right w:val="single" w:sz="4" w:space="0" w:color="auto"/>
            </w:tcBorders>
            <w:noWrap/>
            <w:vAlign w:val="center"/>
            <w:hideMark/>
          </w:tcPr>
          <w:p w14:paraId="47C7D613" w14:textId="7FC272BB" w:rsidR="00E813D5" w:rsidRPr="0014647F" w:rsidRDefault="00E813D5" w:rsidP="00E813D5">
            <w:pPr>
              <w:jc w:val="right"/>
              <w:rPr>
                <w:rFonts w:cs="Arial"/>
                <w:sz w:val="18"/>
                <w:szCs w:val="18"/>
              </w:rPr>
            </w:pPr>
            <w:r w:rsidRPr="00084A8D">
              <w:rPr>
                <w:sz w:val="18"/>
                <w:szCs w:val="18"/>
              </w:rPr>
              <w:t>2.188.657.000</w:t>
            </w:r>
          </w:p>
        </w:tc>
        <w:tc>
          <w:tcPr>
            <w:tcW w:w="743" w:type="pct"/>
            <w:tcBorders>
              <w:top w:val="nil"/>
              <w:left w:val="single" w:sz="4" w:space="0" w:color="auto"/>
              <w:bottom w:val="single" w:sz="4" w:space="0" w:color="auto"/>
              <w:right w:val="single" w:sz="4" w:space="0" w:color="auto"/>
            </w:tcBorders>
            <w:noWrap/>
            <w:vAlign w:val="center"/>
            <w:hideMark/>
          </w:tcPr>
          <w:p w14:paraId="586C7B9B" w14:textId="79F81460" w:rsidR="00E813D5" w:rsidRPr="0014647F" w:rsidRDefault="00E813D5" w:rsidP="00E813D5">
            <w:pPr>
              <w:jc w:val="right"/>
              <w:rPr>
                <w:rFonts w:cs="Arial"/>
                <w:sz w:val="18"/>
                <w:szCs w:val="18"/>
              </w:rPr>
            </w:pPr>
            <w:r w:rsidRPr="00084A8D">
              <w:rPr>
                <w:sz w:val="18"/>
                <w:szCs w:val="18"/>
              </w:rPr>
              <w:t>3.414.572.128</w:t>
            </w:r>
          </w:p>
        </w:tc>
        <w:tc>
          <w:tcPr>
            <w:tcW w:w="742" w:type="pct"/>
            <w:tcBorders>
              <w:top w:val="nil"/>
              <w:left w:val="single" w:sz="4" w:space="0" w:color="auto"/>
              <w:bottom w:val="single" w:sz="4" w:space="0" w:color="auto"/>
              <w:right w:val="single" w:sz="4" w:space="0" w:color="auto"/>
            </w:tcBorders>
            <w:noWrap/>
            <w:vAlign w:val="center"/>
            <w:hideMark/>
          </w:tcPr>
          <w:p w14:paraId="54CEC7F1" w14:textId="5999EEF2" w:rsidR="00E813D5" w:rsidRPr="0014647F" w:rsidRDefault="00E813D5" w:rsidP="00E813D5">
            <w:pPr>
              <w:jc w:val="right"/>
              <w:rPr>
                <w:rFonts w:cs="Arial"/>
                <w:sz w:val="18"/>
                <w:szCs w:val="18"/>
              </w:rPr>
            </w:pPr>
            <w:r w:rsidRPr="00084A8D">
              <w:rPr>
                <w:rFonts w:cs="Arial"/>
                <w:color w:val="000000"/>
                <w:sz w:val="18"/>
                <w:szCs w:val="18"/>
              </w:rPr>
              <w:t>3.318.880.120</w:t>
            </w:r>
          </w:p>
        </w:tc>
        <w:tc>
          <w:tcPr>
            <w:tcW w:w="743" w:type="pct"/>
            <w:tcBorders>
              <w:top w:val="nil"/>
              <w:left w:val="single" w:sz="4" w:space="0" w:color="auto"/>
              <w:bottom w:val="single" w:sz="4" w:space="0" w:color="auto"/>
              <w:right w:val="single" w:sz="4" w:space="0" w:color="auto"/>
            </w:tcBorders>
            <w:noWrap/>
            <w:vAlign w:val="center"/>
            <w:hideMark/>
          </w:tcPr>
          <w:p w14:paraId="1BD95234" w14:textId="5B5C112F" w:rsidR="00E813D5" w:rsidRPr="0014647F" w:rsidRDefault="00E813D5" w:rsidP="00E813D5">
            <w:pPr>
              <w:jc w:val="right"/>
              <w:rPr>
                <w:rFonts w:cs="Arial"/>
                <w:sz w:val="18"/>
                <w:szCs w:val="18"/>
              </w:rPr>
            </w:pPr>
            <w:r w:rsidRPr="00084A8D">
              <w:rPr>
                <w:rFonts w:cs="Arial"/>
                <w:color w:val="000000"/>
                <w:sz w:val="18"/>
                <w:szCs w:val="18"/>
              </w:rPr>
              <w:t>3.290.605.908</w:t>
            </w:r>
          </w:p>
        </w:tc>
        <w:tc>
          <w:tcPr>
            <w:tcW w:w="742" w:type="pct"/>
            <w:tcBorders>
              <w:top w:val="nil"/>
              <w:left w:val="single" w:sz="4" w:space="0" w:color="auto"/>
              <w:bottom w:val="single" w:sz="4" w:space="0" w:color="auto"/>
              <w:right w:val="nil"/>
            </w:tcBorders>
            <w:noWrap/>
            <w:vAlign w:val="center"/>
            <w:hideMark/>
          </w:tcPr>
          <w:p w14:paraId="7B334CB5" w14:textId="48D2F2BD" w:rsidR="00E813D5" w:rsidRPr="0014647F" w:rsidRDefault="00E813D5" w:rsidP="00E813D5">
            <w:pPr>
              <w:jc w:val="right"/>
              <w:rPr>
                <w:rFonts w:cs="Arial"/>
                <w:sz w:val="18"/>
                <w:szCs w:val="18"/>
              </w:rPr>
            </w:pPr>
            <w:r w:rsidRPr="00084A8D">
              <w:rPr>
                <w:rFonts w:cs="Arial"/>
                <w:color w:val="000000"/>
                <w:sz w:val="18"/>
                <w:szCs w:val="18"/>
              </w:rPr>
              <w:t>28.274.212</w:t>
            </w:r>
          </w:p>
        </w:tc>
      </w:tr>
      <w:tr w:rsidR="00E813D5" w:rsidRPr="0014647F" w14:paraId="067AEABA" w14:textId="77777777" w:rsidTr="00374AE3">
        <w:trPr>
          <w:trHeight w:val="284"/>
        </w:trPr>
        <w:tc>
          <w:tcPr>
            <w:tcW w:w="1288"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3D9BC256" w14:textId="0CBC0BA0" w:rsidR="00E813D5" w:rsidRPr="0014647F" w:rsidRDefault="00E813D5" w:rsidP="00E813D5">
            <w:pPr>
              <w:jc w:val="center"/>
              <w:rPr>
                <w:rFonts w:cs="Arial"/>
                <w:b/>
                <w:bCs/>
                <w:sz w:val="18"/>
                <w:szCs w:val="18"/>
              </w:rPr>
            </w:pPr>
            <w:r w:rsidRPr="00084A8D">
              <w:rPr>
                <w:rFonts w:cs="Arial"/>
                <w:b/>
                <w:bCs/>
                <w:sz w:val="18"/>
                <w:szCs w:val="18"/>
              </w:rPr>
              <w:t>Total</w:t>
            </w:r>
          </w:p>
        </w:tc>
        <w:tc>
          <w:tcPr>
            <w:tcW w:w="742"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B7B4146" w14:textId="72D41702" w:rsidR="00E813D5" w:rsidRPr="0014647F" w:rsidRDefault="00E813D5" w:rsidP="00E813D5">
            <w:pPr>
              <w:ind w:hanging="73"/>
              <w:jc w:val="right"/>
              <w:rPr>
                <w:rFonts w:cs="Arial"/>
                <w:b/>
                <w:bCs/>
                <w:sz w:val="18"/>
                <w:szCs w:val="18"/>
              </w:rPr>
            </w:pPr>
            <w:r w:rsidRPr="00084A8D">
              <w:rPr>
                <w:b/>
                <w:bCs/>
                <w:sz w:val="18"/>
                <w:szCs w:val="18"/>
              </w:rPr>
              <w:t>9.653.249.000</w:t>
            </w:r>
          </w:p>
        </w:tc>
        <w:tc>
          <w:tcPr>
            <w:tcW w:w="743"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283E0B6" w14:textId="4FD69B4F" w:rsidR="00E813D5" w:rsidRPr="0014647F" w:rsidRDefault="00E813D5" w:rsidP="00E813D5">
            <w:pPr>
              <w:ind w:hanging="41"/>
              <w:jc w:val="right"/>
              <w:rPr>
                <w:rFonts w:cs="Arial"/>
                <w:b/>
                <w:bCs/>
                <w:sz w:val="18"/>
                <w:szCs w:val="18"/>
              </w:rPr>
            </w:pPr>
            <w:r w:rsidRPr="00084A8D">
              <w:rPr>
                <w:rFonts w:cs="Arial"/>
                <w:b/>
                <w:bCs/>
                <w:sz w:val="18"/>
                <w:szCs w:val="18"/>
              </w:rPr>
              <w:t>11.871.470.325</w:t>
            </w:r>
          </w:p>
        </w:tc>
        <w:tc>
          <w:tcPr>
            <w:tcW w:w="742"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8508E7D" w14:textId="63CEAFCB" w:rsidR="00E813D5" w:rsidRPr="0014647F" w:rsidRDefault="00E813D5" w:rsidP="00E813D5">
            <w:pPr>
              <w:ind w:hanging="155"/>
              <w:jc w:val="right"/>
              <w:rPr>
                <w:rFonts w:cs="Arial"/>
                <w:b/>
                <w:bCs/>
                <w:sz w:val="18"/>
                <w:szCs w:val="18"/>
              </w:rPr>
            </w:pPr>
            <w:r w:rsidRPr="00084A8D">
              <w:rPr>
                <w:rFonts w:cs="Arial"/>
                <w:b/>
                <w:bCs/>
                <w:color w:val="000000"/>
                <w:sz w:val="18"/>
                <w:szCs w:val="18"/>
              </w:rPr>
              <w:t>11.369.043.440</w:t>
            </w:r>
          </w:p>
        </w:tc>
        <w:tc>
          <w:tcPr>
            <w:tcW w:w="743"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5775296" w14:textId="6CB8F6F8" w:rsidR="00E813D5" w:rsidRPr="0014647F" w:rsidRDefault="00E813D5" w:rsidP="00E813D5">
            <w:pPr>
              <w:ind w:hanging="127"/>
              <w:jc w:val="right"/>
              <w:rPr>
                <w:rFonts w:cs="Arial"/>
                <w:b/>
                <w:bCs/>
                <w:sz w:val="18"/>
                <w:szCs w:val="18"/>
              </w:rPr>
            </w:pPr>
            <w:r w:rsidRPr="00084A8D">
              <w:rPr>
                <w:rFonts w:cs="Arial"/>
                <w:b/>
                <w:bCs/>
                <w:color w:val="000000"/>
                <w:sz w:val="18"/>
                <w:szCs w:val="18"/>
              </w:rPr>
              <w:t>11.339.295.048</w:t>
            </w:r>
          </w:p>
        </w:tc>
        <w:tc>
          <w:tcPr>
            <w:tcW w:w="742" w:type="pct"/>
            <w:tcBorders>
              <w:top w:val="single" w:sz="4" w:space="0" w:color="auto"/>
              <w:left w:val="single" w:sz="4" w:space="0" w:color="auto"/>
              <w:bottom w:val="single" w:sz="4" w:space="0" w:color="auto"/>
              <w:right w:val="nil"/>
            </w:tcBorders>
            <w:shd w:val="clear" w:color="auto" w:fill="FFFFFF" w:themeFill="background1"/>
            <w:noWrap/>
            <w:vAlign w:val="center"/>
            <w:hideMark/>
          </w:tcPr>
          <w:p w14:paraId="0DA82407" w14:textId="63929B49" w:rsidR="00E813D5" w:rsidRPr="0014647F" w:rsidRDefault="00E813D5" w:rsidP="00E813D5">
            <w:pPr>
              <w:jc w:val="right"/>
              <w:rPr>
                <w:rFonts w:cs="Arial"/>
                <w:b/>
                <w:bCs/>
                <w:sz w:val="18"/>
                <w:szCs w:val="18"/>
              </w:rPr>
            </w:pPr>
            <w:r w:rsidRPr="00084A8D">
              <w:rPr>
                <w:rFonts w:cs="Arial"/>
                <w:b/>
                <w:bCs/>
                <w:color w:val="000000"/>
                <w:sz w:val="18"/>
                <w:szCs w:val="18"/>
              </w:rPr>
              <w:t>29.748.392</w:t>
            </w:r>
          </w:p>
        </w:tc>
      </w:tr>
    </w:tbl>
    <w:p w14:paraId="3C8E3751" w14:textId="29551951" w:rsidR="00531981" w:rsidRDefault="00DC20DF" w:rsidP="00EF01A1">
      <w:pPr>
        <w:pStyle w:val="1-FONTE8ESQ"/>
      </w:pPr>
      <w:r w:rsidRPr="0014647F">
        <w:t xml:space="preserve">Fonte: Plano Plurianual 2020-2023 e </w:t>
      </w:r>
      <w:bookmarkStart w:id="44" w:name="_Ref104989882"/>
      <w:r w:rsidR="00531981" w:rsidRPr="00531981">
        <w:t>Comparativo da Despesa Autorizada com a Realizada por Projeto/Atividade</w:t>
      </w:r>
      <w:r w:rsidR="00531981">
        <w:t xml:space="preserve"> - </w:t>
      </w:r>
      <w:r w:rsidR="00531981" w:rsidRPr="004D0F52">
        <w:t>Anexo 11</w:t>
      </w:r>
      <w:r w:rsidR="00531981">
        <w:t xml:space="preserve"> (BGE 2023)</w:t>
      </w:r>
    </w:p>
    <w:p w14:paraId="40B90F6B" w14:textId="77777777" w:rsidR="00A224E9" w:rsidRDefault="00A224E9" w:rsidP="00EF01A1">
      <w:pPr>
        <w:pStyle w:val="1-FONTE8ESQ"/>
      </w:pPr>
    </w:p>
    <w:p w14:paraId="68DF0AAB" w14:textId="05CF053A" w:rsidR="00DC20DF" w:rsidRPr="00353600" w:rsidRDefault="00DC20DF" w:rsidP="00A224E9">
      <w:pPr>
        <w:pStyle w:val="Ttulo3"/>
      </w:pPr>
      <w:bookmarkStart w:id="45" w:name="_Toc167871627"/>
      <w:r w:rsidRPr="00353600">
        <w:lastRenderedPageBreak/>
        <w:t>Reservas Estaduais</w:t>
      </w:r>
      <w:bookmarkEnd w:id="45"/>
      <w:r w:rsidRPr="00353600">
        <w:t xml:space="preserve"> </w:t>
      </w:r>
      <w:bookmarkEnd w:id="44"/>
    </w:p>
    <w:p w14:paraId="76DC6FD7" w14:textId="6DBEB974" w:rsidR="00531981" w:rsidRDefault="00E813D5" w:rsidP="00DC20DF">
      <w:pPr>
        <w:pStyle w:val="1-REL11"/>
        <w:rPr>
          <w:lang w:eastAsia="en-US"/>
        </w:rPr>
      </w:pPr>
      <w:r w:rsidRPr="006B796E">
        <w:rPr>
          <w:lang w:eastAsia="en-US"/>
        </w:rPr>
        <w:t>As Reservas Estaduais foram compostas por 2 tipos, para as quais foi orçado o montante total de R$ </w:t>
      </w:r>
      <w:r w:rsidRPr="006B796E">
        <w:t>2</w:t>
      </w:r>
      <w:r>
        <w:t>,</w:t>
      </w:r>
      <w:r w:rsidRPr="006B796E">
        <w:t>01</w:t>
      </w:r>
      <w:r w:rsidR="00F763BE">
        <w:t> </w:t>
      </w:r>
      <w:r>
        <w:t>bilhões</w:t>
      </w:r>
      <w:r w:rsidRPr="006B796E">
        <w:rPr>
          <w:lang w:eastAsia="en-US"/>
        </w:rPr>
        <w:t>, o que correspondeu a 5,09% do orçamento para 2023. Não houve execução orçamentária direta em nenhuma das reservas, apenas reduções para abertura de créditos adicionais no valor total de R$</w:t>
      </w:r>
      <w:r w:rsidR="00755658">
        <w:rPr>
          <w:lang w:eastAsia="en-US"/>
        </w:rPr>
        <w:t> </w:t>
      </w:r>
      <w:r w:rsidRPr="006B796E">
        <w:rPr>
          <w:lang w:eastAsia="en-US"/>
        </w:rPr>
        <w:t>667</w:t>
      </w:r>
      <w:r>
        <w:rPr>
          <w:lang w:eastAsia="en-US"/>
        </w:rPr>
        <w:t>,</w:t>
      </w:r>
      <w:r w:rsidRPr="006B796E">
        <w:rPr>
          <w:lang w:eastAsia="en-US"/>
        </w:rPr>
        <w:t>73</w:t>
      </w:r>
      <w:r w:rsidR="00755658">
        <w:rPr>
          <w:lang w:eastAsia="en-US"/>
        </w:rPr>
        <w:t> milhões</w:t>
      </w:r>
      <w:r w:rsidRPr="006B796E">
        <w:rPr>
          <w:lang w:eastAsia="en-US"/>
        </w:rPr>
        <w:t>.</w:t>
      </w:r>
    </w:p>
    <w:p w14:paraId="24663FFE" w14:textId="276676A2" w:rsidR="00340121" w:rsidRDefault="00340121" w:rsidP="00ED3571">
      <w:pPr>
        <w:pStyle w:val="0-TABELA"/>
      </w:pPr>
      <w:bookmarkStart w:id="46" w:name="_Toc167871726"/>
      <w:r>
        <w:t>Reservas Estaduais</w:t>
      </w:r>
      <w:bookmarkEnd w:id="46"/>
    </w:p>
    <w:p w14:paraId="22351A4A" w14:textId="4E4F4CA8" w:rsidR="00DC20DF" w:rsidRPr="00353600" w:rsidRDefault="00EE2E8E" w:rsidP="00DC20DF">
      <w:pPr>
        <w:pStyle w:val="0-EmR1"/>
        <w:rPr>
          <w:lang w:eastAsia="en-US"/>
        </w:rPr>
      </w:pPr>
      <w:r>
        <w:t>R$ 1</w:t>
      </w:r>
    </w:p>
    <w:tbl>
      <w:tblPr>
        <w:tblW w:w="5000" w:type="pct"/>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821"/>
        <w:gridCol w:w="1558"/>
        <w:gridCol w:w="1491"/>
        <w:gridCol w:w="1483"/>
      </w:tblGrid>
      <w:tr w:rsidR="00DC20DF" w:rsidRPr="00E10D93" w14:paraId="0FFD5A24" w14:textId="77777777" w:rsidTr="00423440">
        <w:trPr>
          <w:trHeight w:val="340"/>
          <w:tblHeader/>
        </w:trPr>
        <w:tc>
          <w:tcPr>
            <w:tcW w:w="2577" w:type="pct"/>
            <w:tcBorders>
              <w:top w:val="single" w:sz="4" w:space="0" w:color="auto"/>
              <w:left w:val="nil"/>
              <w:bottom w:val="single" w:sz="4" w:space="0" w:color="auto"/>
              <w:right w:val="single" w:sz="4" w:space="0" w:color="auto"/>
            </w:tcBorders>
            <w:shd w:val="clear" w:color="auto" w:fill="B5EEF7"/>
            <w:noWrap/>
            <w:vAlign w:val="center"/>
            <w:hideMark/>
          </w:tcPr>
          <w:p w14:paraId="6A3E3B88" w14:textId="77777777" w:rsidR="00DC20DF" w:rsidRPr="00E10D93" w:rsidRDefault="00DC20DF" w:rsidP="00CA7E7F">
            <w:pPr>
              <w:jc w:val="center"/>
              <w:rPr>
                <w:b/>
                <w:sz w:val="20"/>
                <w:szCs w:val="20"/>
              </w:rPr>
            </w:pPr>
            <w:r w:rsidRPr="00E10D93">
              <w:rPr>
                <w:b/>
                <w:sz w:val="20"/>
                <w:szCs w:val="20"/>
              </w:rPr>
              <w:t>Reservas</w:t>
            </w:r>
          </w:p>
        </w:tc>
        <w:tc>
          <w:tcPr>
            <w:tcW w:w="833" w:type="pct"/>
            <w:tcBorders>
              <w:top w:val="single" w:sz="4" w:space="0" w:color="auto"/>
              <w:left w:val="single" w:sz="4" w:space="0" w:color="auto"/>
              <w:bottom w:val="single" w:sz="4" w:space="0" w:color="auto"/>
              <w:right w:val="single" w:sz="4" w:space="0" w:color="auto"/>
            </w:tcBorders>
            <w:shd w:val="clear" w:color="auto" w:fill="B5EEF7"/>
            <w:noWrap/>
            <w:vAlign w:val="center"/>
            <w:hideMark/>
          </w:tcPr>
          <w:p w14:paraId="707EC883" w14:textId="77777777" w:rsidR="00DC20DF" w:rsidRPr="00E10D93" w:rsidRDefault="00DC20DF" w:rsidP="00DC20DF">
            <w:pPr>
              <w:keepNext/>
              <w:jc w:val="center"/>
              <w:rPr>
                <w:rFonts w:cs="Arial"/>
                <w:b/>
                <w:bCs/>
                <w:sz w:val="20"/>
                <w:szCs w:val="20"/>
              </w:rPr>
            </w:pPr>
            <w:r w:rsidRPr="00E10D93">
              <w:rPr>
                <w:rFonts w:cs="Arial"/>
                <w:b/>
                <w:bCs/>
                <w:sz w:val="20"/>
                <w:szCs w:val="20"/>
              </w:rPr>
              <w:t>Orçada</w:t>
            </w:r>
          </w:p>
        </w:tc>
        <w:tc>
          <w:tcPr>
            <w:tcW w:w="797" w:type="pct"/>
            <w:tcBorders>
              <w:top w:val="single" w:sz="4" w:space="0" w:color="auto"/>
              <w:left w:val="single" w:sz="4" w:space="0" w:color="auto"/>
              <w:bottom w:val="single" w:sz="4" w:space="0" w:color="auto"/>
              <w:right w:val="single" w:sz="4" w:space="0" w:color="auto"/>
            </w:tcBorders>
            <w:shd w:val="clear" w:color="auto" w:fill="B5EEF7"/>
            <w:noWrap/>
            <w:vAlign w:val="center"/>
            <w:hideMark/>
          </w:tcPr>
          <w:p w14:paraId="4ADF5050" w14:textId="77777777" w:rsidR="00DC20DF" w:rsidRPr="00E10D93" w:rsidRDefault="00DC20DF" w:rsidP="00DC20DF">
            <w:pPr>
              <w:keepNext/>
              <w:jc w:val="center"/>
              <w:rPr>
                <w:rFonts w:cs="Arial"/>
                <w:b/>
                <w:bCs/>
                <w:sz w:val="20"/>
                <w:szCs w:val="20"/>
              </w:rPr>
            </w:pPr>
            <w:r w:rsidRPr="00E10D93">
              <w:rPr>
                <w:rFonts w:cs="Arial"/>
                <w:b/>
                <w:bCs/>
                <w:sz w:val="20"/>
                <w:szCs w:val="20"/>
              </w:rPr>
              <w:t>Autorizada</w:t>
            </w:r>
          </w:p>
        </w:tc>
        <w:tc>
          <w:tcPr>
            <w:tcW w:w="793" w:type="pct"/>
            <w:tcBorders>
              <w:top w:val="single" w:sz="4" w:space="0" w:color="auto"/>
              <w:left w:val="single" w:sz="4" w:space="0" w:color="auto"/>
              <w:bottom w:val="single" w:sz="4" w:space="0" w:color="auto"/>
              <w:right w:val="nil"/>
            </w:tcBorders>
            <w:shd w:val="clear" w:color="auto" w:fill="B5EEF7"/>
            <w:noWrap/>
            <w:vAlign w:val="center"/>
            <w:hideMark/>
          </w:tcPr>
          <w:p w14:paraId="7418D750" w14:textId="0EB2D836" w:rsidR="00DC20DF" w:rsidRPr="00E10D93" w:rsidRDefault="00E813D5" w:rsidP="00DC20DF">
            <w:pPr>
              <w:keepNext/>
              <w:jc w:val="center"/>
              <w:rPr>
                <w:rFonts w:cs="Arial"/>
                <w:b/>
                <w:bCs/>
                <w:sz w:val="20"/>
                <w:szCs w:val="20"/>
              </w:rPr>
            </w:pPr>
            <w:r w:rsidRPr="00E10D93">
              <w:rPr>
                <w:b/>
                <w:sz w:val="20"/>
                <w:szCs w:val="20"/>
              </w:rPr>
              <w:t>%</w:t>
            </w:r>
            <w:r w:rsidR="00984D64" w:rsidRPr="00E10D93">
              <w:rPr>
                <w:b/>
                <w:sz w:val="20"/>
                <w:szCs w:val="20"/>
              </w:rPr>
              <w:t xml:space="preserve"> </w:t>
            </w:r>
            <w:r w:rsidR="00DC20DF" w:rsidRPr="00E10D93">
              <w:rPr>
                <w:rFonts w:cs="Arial"/>
                <w:b/>
                <w:bCs/>
                <w:sz w:val="20"/>
                <w:szCs w:val="20"/>
              </w:rPr>
              <w:t>Autorizado/</w:t>
            </w:r>
          </w:p>
          <w:p w14:paraId="7809187D" w14:textId="77777777" w:rsidR="00DC20DF" w:rsidRPr="00E10D93" w:rsidRDefault="00DC20DF" w:rsidP="00DC20DF">
            <w:pPr>
              <w:keepNext/>
              <w:jc w:val="center"/>
              <w:rPr>
                <w:rFonts w:cs="Arial"/>
                <w:b/>
                <w:bCs/>
                <w:sz w:val="20"/>
                <w:szCs w:val="20"/>
              </w:rPr>
            </w:pPr>
            <w:r w:rsidRPr="00E10D93">
              <w:rPr>
                <w:rFonts w:cs="Arial"/>
                <w:b/>
                <w:bCs/>
                <w:sz w:val="20"/>
                <w:szCs w:val="20"/>
              </w:rPr>
              <w:t>Orçado</w:t>
            </w:r>
          </w:p>
        </w:tc>
      </w:tr>
      <w:tr w:rsidR="00E813D5" w:rsidRPr="00E10D93" w14:paraId="1C6D4489" w14:textId="77777777" w:rsidTr="00423440">
        <w:trPr>
          <w:trHeight w:val="340"/>
        </w:trPr>
        <w:tc>
          <w:tcPr>
            <w:tcW w:w="2577" w:type="pct"/>
            <w:tcBorders>
              <w:top w:val="single" w:sz="4" w:space="0" w:color="auto"/>
              <w:left w:val="nil"/>
              <w:bottom w:val="nil"/>
              <w:right w:val="single" w:sz="4" w:space="0" w:color="auto"/>
            </w:tcBorders>
            <w:noWrap/>
            <w:vAlign w:val="center"/>
            <w:hideMark/>
          </w:tcPr>
          <w:p w14:paraId="0577CBC2" w14:textId="6F048A24" w:rsidR="00E813D5" w:rsidRPr="00E10D93" w:rsidRDefault="00E813D5" w:rsidP="00E813D5">
            <w:pPr>
              <w:ind w:firstLineChars="100" w:firstLine="200"/>
              <w:jc w:val="left"/>
              <w:rPr>
                <w:rFonts w:cs="Arial"/>
                <w:sz w:val="20"/>
                <w:szCs w:val="20"/>
              </w:rPr>
            </w:pPr>
            <w:r w:rsidRPr="00E10D93">
              <w:rPr>
                <w:sz w:val="20"/>
                <w:szCs w:val="20"/>
              </w:rPr>
              <w:t>Reserva de Contingência [9999]</w:t>
            </w:r>
          </w:p>
        </w:tc>
        <w:tc>
          <w:tcPr>
            <w:tcW w:w="833" w:type="pct"/>
            <w:tcBorders>
              <w:top w:val="single" w:sz="4" w:space="0" w:color="auto"/>
              <w:left w:val="single" w:sz="4" w:space="0" w:color="auto"/>
              <w:bottom w:val="nil"/>
              <w:right w:val="single" w:sz="4" w:space="0" w:color="auto"/>
            </w:tcBorders>
            <w:noWrap/>
            <w:vAlign w:val="center"/>
            <w:hideMark/>
          </w:tcPr>
          <w:p w14:paraId="5FD07930" w14:textId="26FA1E1C" w:rsidR="00E813D5" w:rsidRPr="00E10D93" w:rsidRDefault="00E813D5" w:rsidP="00E813D5">
            <w:pPr>
              <w:jc w:val="right"/>
              <w:rPr>
                <w:rFonts w:cs="Arial"/>
                <w:sz w:val="20"/>
                <w:szCs w:val="20"/>
              </w:rPr>
            </w:pPr>
            <w:r w:rsidRPr="00E10D93">
              <w:rPr>
                <w:sz w:val="20"/>
                <w:szCs w:val="20"/>
              </w:rPr>
              <w:t>1.936.797.000</w:t>
            </w:r>
          </w:p>
        </w:tc>
        <w:tc>
          <w:tcPr>
            <w:tcW w:w="797" w:type="pct"/>
            <w:tcBorders>
              <w:top w:val="single" w:sz="4" w:space="0" w:color="auto"/>
              <w:left w:val="single" w:sz="4" w:space="0" w:color="auto"/>
              <w:bottom w:val="nil"/>
              <w:right w:val="single" w:sz="4" w:space="0" w:color="auto"/>
            </w:tcBorders>
            <w:noWrap/>
            <w:vAlign w:val="center"/>
            <w:hideMark/>
          </w:tcPr>
          <w:p w14:paraId="5BC60A9E" w14:textId="1BC7D7B0" w:rsidR="00E813D5" w:rsidRPr="00E10D93" w:rsidRDefault="00E813D5" w:rsidP="00E813D5">
            <w:pPr>
              <w:jc w:val="right"/>
              <w:rPr>
                <w:rFonts w:cs="Arial"/>
                <w:sz w:val="20"/>
                <w:szCs w:val="20"/>
              </w:rPr>
            </w:pPr>
            <w:r w:rsidRPr="00E10D93">
              <w:rPr>
                <w:sz w:val="20"/>
                <w:szCs w:val="20"/>
              </w:rPr>
              <w:t>1.269.066.729</w:t>
            </w:r>
          </w:p>
        </w:tc>
        <w:tc>
          <w:tcPr>
            <w:tcW w:w="793" w:type="pct"/>
            <w:tcBorders>
              <w:top w:val="single" w:sz="4" w:space="0" w:color="auto"/>
              <w:left w:val="single" w:sz="4" w:space="0" w:color="auto"/>
              <w:bottom w:val="nil"/>
              <w:right w:val="nil"/>
            </w:tcBorders>
            <w:noWrap/>
            <w:vAlign w:val="center"/>
            <w:hideMark/>
          </w:tcPr>
          <w:p w14:paraId="5792239E" w14:textId="0A10AFAC" w:rsidR="00E813D5" w:rsidRPr="00E10D93" w:rsidRDefault="00E813D5" w:rsidP="00E813D5">
            <w:pPr>
              <w:jc w:val="center"/>
              <w:rPr>
                <w:rFonts w:cs="Arial"/>
                <w:sz w:val="20"/>
                <w:szCs w:val="20"/>
              </w:rPr>
            </w:pPr>
            <w:r w:rsidRPr="00E10D93">
              <w:rPr>
                <w:sz w:val="20"/>
                <w:szCs w:val="20"/>
              </w:rPr>
              <w:t>65,52</w:t>
            </w:r>
          </w:p>
        </w:tc>
      </w:tr>
      <w:tr w:rsidR="00E813D5" w:rsidRPr="00E10D93" w14:paraId="743753B1" w14:textId="77777777" w:rsidTr="00423440">
        <w:trPr>
          <w:trHeight w:val="340"/>
        </w:trPr>
        <w:tc>
          <w:tcPr>
            <w:tcW w:w="2577" w:type="pct"/>
            <w:tcBorders>
              <w:top w:val="nil"/>
              <w:left w:val="nil"/>
              <w:bottom w:val="nil"/>
              <w:right w:val="single" w:sz="4" w:space="0" w:color="auto"/>
            </w:tcBorders>
            <w:noWrap/>
            <w:vAlign w:val="center"/>
            <w:hideMark/>
          </w:tcPr>
          <w:p w14:paraId="26EAF0F8" w14:textId="773D2D3C" w:rsidR="00E813D5" w:rsidRPr="00E10D93" w:rsidRDefault="00E813D5" w:rsidP="00E813D5">
            <w:pPr>
              <w:ind w:firstLineChars="100" w:firstLine="200"/>
              <w:jc w:val="left"/>
              <w:rPr>
                <w:rFonts w:cs="Arial"/>
                <w:sz w:val="20"/>
                <w:szCs w:val="20"/>
              </w:rPr>
            </w:pPr>
            <w:r w:rsidRPr="00E10D93">
              <w:rPr>
                <w:sz w:val="20"/>
                <w:szCs w:val="20"/>
              </w:rPr>
              <w:t>Reserva do RPPS [9998]</w:t>
            </w:r>
          </w:p>
        </w:tc>
        <w:tc>
          <w:tcPr>
            <w:tcW w:w="833" w:type="pct"/>
            <w:tcBorders>
              <w:top w:val="nil"/>
              <w:left w:val="single" w:sz="4" w:space="0" w:color="auto"/>
              <w:bottom w:val="nil"/>
              <w:right w:val="single" w:sz="4" w:space="0" w:color="auto"/>
            </w:tcBorders>
            <w:noWrap/>
            <w:vAlign w:val="center"/>
            <w:hideMark/>
          </w:tcPr>
          <w:p w14:paraId="1E2B3296" w14:textId="10EE58F6" w:rsidR="00E813D5" w:rsidRPr="00E10D93" w:rsidRDefault="00E813D5" w:rsidP="00E813D5">
            <w:pPr>
              <w:jc w:val="right"/>
              <w:rPr>
                <w:rFonts w:cs="Arial"/>
                <w:sz w:val="20"/>
                <w:szCs w:val="20"/>
              </w:rPr>
            </w:pPr>
            <w:r w:rsidRPr="00E10D93">
              <w:rPr>
                <w:sz w:val="20"/>
                <w:szCs w:val="20"/>
              </w:rPr>
              <w:t>77.192.000</w:t>
            </w:r>
          </w:p>
        </w:tc>
        <w:tc>
          <w:tcPr>
            <w:tcW w:w="797" w:type="pct"/>
            <w:tcBorders>
              <w:top w:val="nil"/>
              <w:left w:val="single" w:sz="4" w:space="0" w:color="auto"/>
              <w:bottom w:val="nil"/>
              <w:right w:val="single" w:sz="4" w:space="0" w:color="auto"/>
            </w:tcBorders>
            <w:noWrap/>
            <w:vAlign w:val="center"/>
            <w:hideMark/>
          </w:tcPr>
          <w:p w14:paraId="7A406BD2" w14:textId="42C636D7" w:rsidR="00E813D5" w:rsidRPr="00E10D93" w:rsidRDefault="00E813D5" w:rsidP="00E813D5">
            <w:pPr>
              <w:jc w:val="right"/>
              <w:rPr>
                <w:rFonts w:cs="Arial"/>
                <w:sz w:val="20"/>
                <w:szCs w:val="20"/>
              </w:rPr>
            </w:pPr>
            <w:r w:rsidRPr="00E10D93">
              <w:rPr>
                <w:sz w:val="20"/>
                <w:szCs w:val="20"/>
              </w:rPr>
              <w:t>77.192.000</w:t>
            </w:r>
          </w:p>
        </w:tc>
        <w:tc>
          <w:tcPr>
            <w:tcW w:w="793" w:type="pct"/>
            <w:tcBorders>
              <w:top w:val="nil"/>
              <w:left w:val="single" w:sz="4" w:space="0" w:color="auto"/>
              <w:bottom w:val="nil"/>
              <w:right w:val="nil"/>
            </w:tcBorders>
            <w:noWrap/>
            <w:vAlign w:val="center"/>
            <w:hideMark/>
          </w:tcPr>
          <w:p w14:paraId="1475547F" w14:textId="370F2A13" w:rsidR="00E813D5" w:rsidRPr="00E10D93" w:rsidRDefault="00E813D5" w:rsidP="00E813D5">
            <w:pPr>
              <w:jc w:val="center"/>
              <w:rPr>
                <w:rFonts w:cs="Arial"/>
                <w:sz w:val="20"/>
                <w:szCs w:val="20"/>
              </w:rPr>
            </w:pPr>
            <w:r w:rsidRPr="00E10D93">
              <w:rPr>
                <w:sz w:val="20"/>
                <w:szCs w:val="20"/>
              </w:rPr>
              <w:t>100,00</w:t>
            </w:r>
          </w:p>
        </w:tc>
      </w:tr>
      <w:tr w:rsidR="00E813D5" w:rsidRPr="00E10D93" w14:paraId="321A568E" w14:textId="77777777" w:rsidTr="00423440">
        <w:trPr>
          <w:trHeight w:val="437"/>
        </w:trPr>
        <w:tc>
          <w:tcPr>
            <w:tcW w:w="2577"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7873BDB5" w14:textId="00EA5B26" w:rsidR="00E813D5" w:rsidRPr="00E10D93" w:rsidRDefault="00E813D5" w:rsidP="00E813D5">
            <w:pPr>
              <w:jc w:val="center"/>
              <w:rPr>
                <w:b/>
                <w:sz w:val="20"/>
                <w:szCs w:val="20"/>
              </w:rPr>
            </w:pPr>
            <w:r w:rsidRPr="00E10D93">
              <w:rPr>
                <w:rFonts w:cs="Arial"/>
                <w:b/>
                <w:bCs/>
                <w:sz w:val="20"/>
                <w:szCs w:val="20"/>
              </w:rPr>
              <w:t>Reservas Estaduais</w:t>
            </w:r>
          </w:p>
        </w:tc>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B41AFEF" w14:textId="4DA44373" w:rsidR="00E813D5" w:rsidRPr="00E10D93" w:rsidRDefault="00E813D5" w:rsidP="00E813D5">
            <w:pPr>
              <w:keepNext/>
              <w:jc w:val="right"/>
              <w:rPr>
                <w:rFonts w:cs="Arial"/>
                <w:b/>
                <w:bCs/>
                <w:sz w:val="20"/>
                <w:szCs w:val="20"/>
              </w:rPr>
            </w:pPr>
            <w:r w:rsidRPr="00E10D93">
              <w:rPr>
                <w:b/>
                <w:bCs/>
                <w:sz w:val="20"/>
                <w:szCs w:val="20"/>
              </w:rPr>
              <w:t xml:space="preserve">2.013.989.000 </w:t>
            </w:r>
          </w:p>
        </w:tc>
        <w:tc>
          <w:tcPr>
            <w:tcW w:w="797"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2071BF1" w14:textId="2651C78B" w:rsidR="00E813D5" w:rsidRPr="00E10D93" w:rsidRDefault="00E813D5" w:rsidP="00E813D5">
            <w:pPr>
              <w:keepNext/>
              <w:jc w:val="right"/>
              <w:rPr>
                <w:rFonts w:cs="Arial"/>
                <w:b/>
                <w:bCs/>
                <w:sz w:val="20"/>
                <w:szCs w:val="20"/>
              </w:rPr>
            </w:pPr>
            <w:r w:rsidRPr="00E10D93">
              <w:rPr>
                <w:b/>
                <w:bCs/>
                <w:sz w:val="20"/>
                <w:szCs w:val="20"/>
              </w:rPr>
              <w:t xml:space="preserve">1.346.258.729 </w:t>
            </w:r>
          </w:p>
        </w:tc>
        <w:tc>
          <w:tcPr>
            <w:tcW w:w="793" w:type="pct"/>
            <w:tcBorders>
              <w:top w:val="single" w:sz="4" w:space="0" w:color="auto"/>
              <w:left w:val="single" w:sz="4" w:space="0" w:color="auto"/>
              <w:bottom w:val="single" w:sz="4" w:space="0" w:color="auto"/>
              <w:right w:val="nil"/>
            </w:tcBorders>
            <w:shd w:val="clear" w:color="auto" w:fill="FFFFFF" w:themeFill="background1"/>
            <w:noWrap/>
            <w:vAlign w:val="center"/>
            <w:hideMark/>
          </w:tcPr>
          <w:p w14:paraId="15C7EEA1" w14:textId="63F4194D" w:rsidR="00E813D5" w:rsidRPr="00E10D93" w:rsidRDefault="00E813D5" w:rsidP="00E813D5">
            <w:pPr>
              <w:keepNext/>
              <w:jc w:val="center"/>
              <w:rPr>
                <w:rFonts w:cs="Arial"/>
                <w:b/>
                <w:bCs/>
                <w:sz w:val="20"/>
                <w:szCs w:val="20"/>
              </w:rPr>
            </w:pPr>
            <w:r w:rsidRPr="00E10D93">
              <w:rPr>
                <w:b/>
                <w:bCs/>
                <w:sz w:val="20"/>
                <w:szCs w:val="20"/>
              </w:rPr>
              <w:t>66,85</w:t>
            </w:r>
          </w:p>
        </w:tc>
      </w:tr>
    </w:tbl>
    <w:p w14:paraId="377744AD" w14:textId="50540AFD" w:rsidR="00DC20DF" w:rsidRPr="00353600" w:rsidRDefault="00DC20DF" w:rsidP="00EF01A1">
      <w:pPr>
        <w:pStyle w:val="1-FONTE8ESQ"/>
      </w:pPr>
      <w:r w:rsidRPr="00353600">
        <w:t xml:space="preserve">Fonte: Plano Plurianual 2020-2023 e </w:t>
      </w:r>
      <w:r w:rsidR="00531981">
        <w:t xml:space="preserve">Comparativo da Despesa Autorizada com a Realizada por Projeto/Atividade - Anexo 11 (BGE 2023) </w:t>
      </w:r>
    </w:p>
    <w:p w14:paraId="68C5E9C6" w14:textId="77777777" w:rsidR="00BD067C" w:rsidRDefault="00BD067C" w:rsidP="00BD067C">
      <w:pPr>
        <w:spacing w:line="276" w:lineRule="auto"/>
        <w:jc w:val="left"/>
        <w:rPr>
          <w:rFonts w:eastAsia="Calibri" w:cs="Arial"/>
          <w:color w:val="FF0000"/>
        </w:rPr>
      </w:pPr>
    </w:p>
    <w:p w14:paraId="095D5151" w14:textId="77777777" w:rsidR="00C306B6" w:rsidRDefault="00C306B6" w:rsidP="00BD067C">
      <w:pPr>
        <w:spacing w:line="276" w:lineRule="auto"/>
        <w:jc w:val="left"/>
        <w:rPr>
          <w:rFonts w:eastAsia="Calibri" w:cs="Arial"/>
          <w:color w:val="FF0000"/>
        </w:rPr>
      </w:pPr>
    </w:p>
    <w:p w14:paraId="4CD8FD37" w14:textId="31404329" w:rsidR="00C306B6" w:rsidRPr="00B215AC" w:rsidRDefault="00C306B6" w:rsidP="00BD067C">
      <w:pPr>
        <w:spacing w:line="276" w:lineRule="auto"/>
        <w:jc w:val="left"/>
        <w:rPr>
          <w:rFonts w:eastAsia="Calibri" w:cs="Arial"/>
          <w:color w:val="FF0000"/>
        </w:rPr>
        <w:sectPr w:rsidR="00C306B6" w:rsidRPr="00B215AC">
          <w:headerReference w:type="default" r:id="rId24"/>
          <w:footerReference w:type="default" r:id="rId25"/>
          <w:footnotePr>
            <w:numRestart w:val="eachSect"/>
          </w:footnotePr>
          <w:pgSz w:w="11905" w:h="16837"/>
          <w:pgMar w:top="1134" w:right="851" w:bottom="1134" w:left="1701" w:header="720" w:footer="720" w:gutter="0"/>
          <w:cols w:space="720"/>
        </w:sectPr>
      </w:pPr>
    </w:p>
    <w:p w14:paraId="3B76FAFA" w14:textId="77777777" w:rsidR="00BD067C" w:rsidRPr="00B215AC" w:rsidRDefault="00BD067C" w:rsidP="00BD067C">
      <w:pPr>
        <w:pStyle w:val="0-TXT11"/>
        <w:rPr>
          <w:color w:val="FF0000"/>
        </w:rPr>
      </w:pPr>
    </w:p>
    <w:p w14:paraId="173E8B92" w14:textId="77777777" w:rsidR="00BD067C" w:rsidRPr="00B215AC" w:rsidRDefault="00BD067C" w:rsidP="00BD067C">
      <w:pPr>
        <w:pStyle w:val="1-REL11"/>
        <w:rPr>
          <w:color w:val="FF0000"/>
          <w:highlight w:val="yellow"/>
        </w:rPr>
      </w:pPr>
    </w:p>
    <w:p w14:paraId="7A11A205" w14:textId="77777777" w:rsidR="00C94FBC" w:rsidRPr="00B215AC" w:rsidRDefault="00C94FBC" w:rsidP="00C94FBC">
      <w:pPr>
        <w:pStyle w:val="0-TXT11"/>
        <w:rPr>
          <w:rFonts w:cs="Times New Roman"/>
          <w:color w:val="FF0000"/>
        </w:rPr>
      </w:pPr>
      <w:bookmarkStart w:id="47" w:name="_Toc504639946"/>
      <w:bookmarkStart w:id="48" w:name="_Ref504647093"/>
      <w:bookmarkEnd w:id="14"/>
    </w:p>
    <w:p w14:paraId="1181A077" w14:textId="77777777" w:rsidR="00C94FBC" w:rsidRPr="00B215AC" w:rsidRDefault="00C94FBC" w:rsidP="00C94FBC">
      <w:pPr>
        <w:pStyle w:val="0-TXT11"/>
        <w:rPr>
          <w:rFonts w:cs="Times New Roman"/>
          <w:color w:val="FF0000"/>
        </w:rPr>
      </w:pPr>
    </w:p>
    <w:p w14:paraId="34F5B871" w14:textId="77777777" w:rsidR="00C94FBC" w:rsidRPr="00B215AC" w:rsidRDefault="00C94FBC" w:rsidP="00C94FBC">
      <w:pPr>
        <w:pStyle w:val="0-TXT11"/>
        <w:rPr>
          <w:rFonts w:cs="Times New Roman"/>
          <w:color w:val="FF0000"/>
        </w:rPr>
      </w:pPr>
    </w:p>
    <w:p w14:paraId="51B19E44" w14:textId="77777777" w:rsidR="00C94FBC" w:rsidRPr="00B215AC" w:rsidRDefault="00C94FBC" w:rsidP="00C94FBC">
      <w:pPr>
        <w:pStyle w:val="0-TXT11"/>
        <w:rPr>
          <w:rFonts w:cs="Times New Roman"/>
          <w:color w:val="FF0000"/>
        </w:rPr>
      </w:pPr>
    </w:p>
    <w:p w14:paraId="26118107" w14:textId="77777777" w:rsidR="00C94FBC" w:rsidRPr="00B215AC" w:rsidRDefault="00C94FBC" w:rsidP="00C94FBC">
      <w:pPr>
        <w:pStyle w:val="0-TXT11"/>
        <w:rPr>
          <w:rFonts w:cs="Times New Roman"/>
          <w:color w:val="FF0000"/>
        </w:rPr>
      </w:pPr>
    </w:p>
    <w:p w14:paraId="088FB9B8" w14:textId="77777777" w:rsidR="00C94FBC" w:rsidRPr="00B215AC" w:rsidRDefault="00C94FBC" w:rsidP="00C94FBC">
      <w:pPr>
        <w:pStyle w:val="0-TXT11"/>
        <w:rPr>
          <w:rFonts w:cs="Times New Roman"/>
          <w:color w:val="FF0000"/>
        </w:rPr>
      </w:pPr>
    </w:p>
    <w:p w14:paraId="0CD488F6" w14:textId="77777777" w:rsidR="00C94FBC" w:rsidRPr="00B215AC" w:rsidRDefault="00C94FBC" w:rsidP="00C94FBC">
      <w:pPr>
        <w:pStyle w:val="0-TXT11"/>
        <w:rPr>
          <w:rFonts w:cs="Times New Roman"/>
          <w:color w:val="FF0000"/>
        </w:rPr>
      </w:pPr>
    </w:p>
    <w:p w14:paraId="5096F2EC" w14:textId="77777777" w:rsidR="00C94FBC" w:rsidRPr="00B215AC" w:rsidRDefault="00C94FBC" w:rsidP="00C94FBC">
      <w:pPr>
        <w:pStyle w:val="0-TXT11"/>
        <w:rPr>
          <w:rFonts w:cs="Times New Roman"/>
          <w:color w:val="FF0000"/>
        </w:rPr>
      </w:pPr>
    </w:p>
    <w:p w14:paraId="49F2325B" w14:textId="77777777" w:rsidR="00C94FBC" w:rsidRPr="00B215AC" w:rsidRDefault="00C94FBC" w:rsidP="00C94FBC">
      <w:pPr>
        <w:pStyle w:val="0-TXT11"/>
        <w:rPr>
          <w:rFonts w:cs="Times New Roman"/>
          <w:color w:val="FF0000"/>
        </w:rPr>
      </w:pPr>
    </w:p>
    <w:p w14:paraId="6B82B91A" w14:textId="77777777" w:rsidR="00C94FBC" w:rsidRPr="00B215AC" w:rsidRDefault="00C94FBC" w:rsidP="00C94FBC">
      <w:pPr>
        <w:pStyle w:val="0-TXT11"/>
        <w:rPr>
          <w:rFonts w:cs="Times New Roman"/>
          <w:color w:val="FF0000"/>
        </w:rPr>
      </w:pPr>
    </w:p>
    <w:p w14:paraId="110417CE" w14:textId="77777777" w:rsidR="00C94FBC" w:rsidRPr="00B215AC" w:rsidRDefault="00C94FBC" w:rsidP="00C94FBC">
      <w:pPr>
        <w:pStyle w:val="0-TXT11"/>
        <w:rPr>
          <w:rFonts w:cs="Times New Roman"/>
          <w:color w:val="FF0000"/>
        </w:rPr>
      </w:pPr>
    </w:p>
    <w:p w14:paraId="6511E8F7" w14:textId="77777777" w:rsidR="00C94FBC" w:rsidRPr="00B215AC" w:rsidRDefault="00C94FBC" w:rsidP="00C94FBC">
      <w:pPr>
        <w:pStyle w:val="0-TXT11"/>
        <w:rPr>
          <w:rFonts w:cs="Times New Roman"/>
          <w:color w:val="FF0000"/>
        </w:rPr>
      </w:pPr>
    </w:p>
    <w:p w14:paraId="7B232F3B" w14:textId="77777777" w:rsidR="00C94FBC" w:rsidRPr="00B215AC" w:rsidRDefault="00C94FBC" w:rsidP="00C94FBC">
      <w:pPr>
        <w:pStyle w:val="0-TXT11"/>
        <w:rPr>
          <w:rFonts w:cs="Times New Roman"/>
          <w:color w:val="FF0000"/>
        </w:rPr>
      </w:pPr>
    </w:p>
    <w:p w14:paraId="0FD7F308" w14:textId="77777777" w:rsidR="00C94FBC" w:rsidRPr="00B215AC" w:rsidRDefault="00C94FBC" w:rsidP="00C94FBC">
      <w:pPr>
        <w:pStyle w:val="0-TXT11"/>
        <w:rPr>
          <w:rFonts w:cs="Times New Roman"/>
          <w:color w:val="FF0000"/>
        </w:rPr>
      </w:pPr>
    </w:p>
    <w:p w14:paraId="6A93327A" w14:textId="77777777" w:rsidR="00C94FBC" w:rsidRPr="00B215AC" w:rsidRDefault="00C94FBC" w:rsidP="00C94FBC">
      <w:pPr>
        <w:pStyle w:val="0-TXT11"/>
        <w:rPr>
          <w:rFonts w:cs="Times New Roman"/>
          <w:color w:val="FF0000"/>
        </w:rPr>
      </w:pPr>
    </w:p>
    <w:p w14:paraId="2C04517B" w14:textId="77777777" w:rsidR="00C94FBC" w:rsidRPr="00B215AC" w:rsidRDefault="00C94FBC" w:rsidP="00C94FBC">
      <w:pPr>
        <w:pStyle w:val="0-TXT11"/>
        <w:rPr>
          <w:rFonts w:cs="Times New Roman"/>
          <w:color w:val="FF0000"/>
        </w:rPr>
      </w:pPr>
    </w:p>
    <w:p w14:paraId="3CB6A962" w14:textId="77777777" w:rsidR="00C94FBC" w:rsidRPr="00B215AC" w:rsidRDefault="00C94FBC" w:rsidP="00C94FBC">
      <w:pPr>
        <w:pStyle w:val="0-TXT11"/>
        <w:rPr>
          <w:rFonts w:cs="Times New Roman"/>
          <w:color w:val="FF0000"/>
        </w:rPr>
      </w:pPr>
    </w:p>
    <w:p w14:paraId="468CFC4D" w14:textId="77777777" w:rsidR="00C94FBC" w:rsidRPr="00B215AC" w:rsidRDefault="00C94FBC" w:rsidP="00C94FBC">
      <w:pPr>
        <w:pStyle w:val="0-TXT11"/>
        <w:rPr>
          <w:rFonts w:cs="Times New Roman"/>
          <w:color w:val="FF0000"/>
        </w:rPr>
      </w:pPr>
    </w:p>
    <w:p w14:paraId="29B7FECD" w14:textId="77777777" w:rsidR="00C94FBC" w:rsidRPr="00B215AC" w:rsidRDefault="00C94FBC" w:rsidP="00C94FBC">
      <w:pPr>
        <w:pStyle w:val="0-TXT11"/>
        <w:rPr>
          <w:rFonts w:cs="Times New Roman"/>
          <w:color w:val="FF0000"/>
        </w:rPr>
      </w:pPr>
    </w:p>
    <w:p w14:paraId="12B6B65F" w14:textId="77777777" w:rsidR="00C94FBC" w:rsidRPr="00B215AC" w:rsidRDefault="00C94FBC" w:rsidP="00C94FBC">
      <w:pPr>
        <w:pStyle w:val="0-TXT11"/>
        <w:rPr>
          <w:rFonts w:cs="Times New Roman"/>
          <w:color w:val="FF0000"/>
        </w:rPr>
      </w:pPr>
    </w:p>
    <w:p w14:paraId="067F2153" w14:textId="77777777" w:rsidR="00C94FBC" w:rsidRPr="00B215AC" w:rsidRDefault="00C94FBC" w:rsidP="00C94FBC">
      <w:pPr>
        <w:pStyle w:val="0-TXT11"/>
        <w:rPr>
          <w:rFonts w:cs="Times New Roman"/>
          <w:color w:val="FF0000"/>
        </w:rPr>
      </w:pPr>
    </w:p>
    <w:p w14:paraId="562E1337" w14:textId="77777777" w:rsidR="00C94FBC" w:rsidRPr="00B215AC" w:rsidRDefault="00C94FBC" w:rsidP="00C94FBC">
      <w:pPr>
        <w:pStyle w:val="0-TXT11"/>
        <w:rPr>
          <w:rFonts w:cs="Times New Roman"/>
          <w:color w:val="FF0000"/>
        </w:rPr>
      </w:pPr>
    </w:p>
    <w:p w14:paraId="40A4094F" w14:textId="77777777" w:rsidR="00C94FBC" w:rsidRPr="00B215AC" w:rsidRDefault="00C94FBC" w:rsidP="00C94FBC">
      <w:pPr>
        <w:pStyle w:val="0-TXT11"/>
        <w:rPr>
          <w:rFonts w:cs="Times New Roman"/>
          <w:color w:val="FF0000"/>
        </w:rPr>
      </w:pPr>
    </w:p>
    <w:p w14:paraId="7005FDDA" w14:textId="77777777" w:rsidR="00C94FBC" w:rsidRPr="00B215AC" w:rsidRDefault="00C94FBC" w:rsidP="00C94FBC">
      <w:pPr>
        <w:pStyle w:val="0-TXT11"/>
        <w:rPr>
          <w:rFonts w:cs="Times New Roman"/>
          <w:color w:val="FF0000"/>
        </w:rPr>
      </w:pPr>
    </w:p>
    <w:p w14:paraId="30E89273" w14:textId="77777777" w:rsidR="00C94FBC" w:rsidRPr="00B215AC" w:rsidRDefault="00C94FBC" w:rsidP="00C94FBC">
      <w:pPr>
        <w:pStyle w:val="Ttulo"/>
        <w:rPr>
          <w:color w:val="FF0000"/>
        </w:rPr>
      </w:pPr>
    </w:p>
    <w:p w14:paraId="65472229" w14:textId="77777777" w:rsidR="00C94FBC" w:rsidRPr="00746212" w:rsidRDefault="00C94FBC" w:rsidP="00B523B9">
      <w:pPr>
        <w:pStyle w:val="1-CAPTULO"/>
      </w:pPr>
    </w:p>
    <w:p w14:paraId="74F67DAC" w14:textId="77777777" w:rsidR="00C94FBC" w:rsidRPr="00746212" w:rsidRDefault="00FA2C07" w:rsidP="00C94FBC">
      <w:pPr>
        <w:pStyle w:val="0-TXT11"/>
        <w:jc w:val="right"/>
        <w:rPr>
          <w:rFonts w:cs="Times New Roman"/>
          <w:sz w:val="48"/>
          <w:szCs w:val="48"/>
        </w:rPr>
      </w:pPr>
      <w:r w:rsidRPr="00746212">
        <w:rPr>
          <w:rFonts w:cs="Times New Roman"/>
          <w:sz w:val="48"/>
          <w:szCs w:val="48"/>
        </w:rPr>
        <w:t>Gestão Orçamentária e Financeira</w:t>
      </w:r>
    </w:p>
    <w:p w14:paraId="2F401636" w14:textId="77777777" w:rsidR="00C94FBC" w:rsidRPr="00746212" w:rsidRDefault="00C94FBC" w:rsidP="00C94FBC">
      <w:pPr>
        <w:pStyle w:val="0-TXT11"/>
        <w:ind w:right="-2"/>
        <w:rPr>
          <w:rFonts w:cs="Times New Roman"/>
        </w:rPr>
      </w:pPr>
    </w:p>
    <w:p w14:paraId="48A0F0A8" w14:textId="77777777" w:rsidR="00C94FBC" w:rsidRPr="00746212" w:rsidRDefault="00C94FBC" w:rsidP="00C94FBC">
      <w:pPr>
        <w:pStyle w:val="0-TXT11"/>
        <w:ind w:right="-2"/>
        <w:rPr>
          <w:rFonts w:cs="Times New Roman"/>
        </w:rPr>
      </w:pPr>
    </w:p>
    <w:p w14:paraId="613D2B1B" w14:textId="77777777" w:rsidR="00C94FBC" w:rsidRPr="00746212" w:rsidRDefault="00C94FBC" w:rsidP="00C94FBC">
      <w:pPr>
        <w:pStyle w:val="0-TXT11"/>
        <w:ind w:right="-2"/>
        <w:rPr>
          <w:rFonts w:cs="Times New Roman"/>
        </w:rPr>
      </w:pPr>
    </w:p>
    <w:p w14:paraId="02AB8EFE" w14:textId="77777777" w:rsidR="00C94FBC" w:rsidRPr="00746212" w:rsidRDefault="00C94FBC" w:rsidP="00C94FBC">
      <w:pPr>
        <w:pStyle w:val="0-TXT11"/>
        <w:ind w:right="-2"/>
        <w:rPr>
          <w:rFonts w:cs="Times New Roman"/>
        </w:rPr>
      </w:pPr>
    </w:p>
    <w:p w14:paraId="0A995422" w14:textId="77777777" w:rsidR="00C94FBC" w:rsidRPr="00B215AC" w:rsidRDefault="00C94FBC" w:rsidP="00C94FBC">
      <w:pPr>
        <w:pStyle w:val="0-TXT11"/>
        <w:ind w:right="-2"/>
        <w:rPr>
          <w:rFonts w:cs="Times New Roman"/>
          <w:color w:val="FF0000"/>
        </w:rPr>
      </w:pPr>
    </w:p>
    <w:p w14:paraId="373D5620" w14:textId="77777777" w:rsidR="00C94FBC" w:rsidRPr="00B215AC" w:rsidRDefault="00C94FBC" w:rsidP="00C94FBC">
      <w:pPr>
        <w:pStyle w:val="0-TXT11"/>
        <w:ind w:right="-2"/>
        <w:rPr>
          <w:rFonts w:cs="Times New Roman"/>
          <w:color w:val="FF0000"/>
        </w:rPr>
        <w:sectPr w:rsidR="00C94FBC" w:rsidRPr="00B215AC" w:rsidSect="00C57A3A">
          <w:footerReference w:type="default" r:id="rId26"/>
          <w:footnotePr>
            <w:numRestart w:val="eachSect"/>
          </w:footnotePr>
          <w:pgSz w:w="11905" w:h="16837"/>
          <w:pgMar w:top="1134" w:right="851" w:bottom="1134" w:left="1701" w:header="720" w:footer="720" w:gutter="0"/>
          <w:cols w:space="720"/>
          <w:noEndnote/>
        </w:sectPr>
      </w:pPr>
    </w:p>
    <w:p w14:paraId="471DD5D1" w14:textId="2E2834F0" w:rsidR="00AA4E99" w:rsidRPr="00B215AC" w:rsidRDefault="00AA4E99" w:rsidP="00E175C4">
      <w:pPr>
        <w:pStyle w:val="Ttulo1"/>
      </w:pPr>
      <w:bookmarkStart w:id="49" w:name="_Ref504647954"/>
      <w:bookmarkStart w:id="50" w:name="_Ref504647956"/>
      <w:bookmarkStart w:id="51" w:name="_Toc167871628"/>
      <w:bookmarkEnd w:id="47"/>
      <w:bookmarkEnd w:id="48"/>
      <w:r w:rsidRPr="00B215AC">
        <w:lastRenderedPageBreak/>
        <w:t>Gestão Orçamentária e Financeira</w:t>
      </w:r>
      <w:bookmarkEnd w:id="51"/>
    </w:p>
    <w:p w14:paraId="03C64489" w14:textId="77777777" w:rsidR="007923AF" w:rsidRPr="00310488" w:rsidRDefault="007923AF" w:rsidP="00537D6E">
      <w:pPr>
        <w:pStyle w:val="1-REL11"/>
        <w:spacing w:line="300" w:lineRule="auto"/>
        <w:rPr>
          <w:highlight w:val="lightGray"/>
        </w:rPr>
      </w:pPr>
      <w:r w:rsidRPr="00310488">
        <w:t>Este capítulo destina-se a avaliar aspectos relacionados à gestão orçamentária e financeira do Estado, com o objetivo de subsidiar a opinião emitida no Parecer Prévio sobre a</w:t>
      </w:r>
      <w:r>
        <w:t xml:space="preserve"> Prestação de</w:t>
      </w:r>
      <w:r w:rsidRPr="00310488">
        <w:t xml:space="preserve"> Contas do Governador 202</w:t>
      </w:r>
      <w:r>
        <w:t>3</w:t>
      </w:r>
      <w:r w:rsidRPr="00310488">
        <w:t>, que deverá conter registros sobre a observância e cumprimento das normas constitucionais, legais e regulamentares na execução do orçamento do Estado e nas demais operações realizadas com recursos públicos, em especial quanto ao que estabelece a Lei Orçamentária Anual (LOA), conforme o art. 176, § 1º do Regimento Interno do Tribunal de Contas do Estado de Goiás.</w:t>
      </w:r>
    </w:p>
    <w:p w14:paraId="683FED72" w14:textId="77777777" w:rsidR="007923AF" w:rsidRPr="00310488" w:rsidRDefault="007923AF" w:rsidP="00537D6E">
      <w:pPr>
        <w:pStyle w:val="1-REL11"/>
        <w:spacing w:line="300" w:lineRule="auto"/>
      </w:pPr>
      <w:r w:rsidRPr="00310488">
        <w:t>A Gestão Orçamentária e Financeira consiste na elaboração do planejamento orçamentário, na sua execução</w:t>
      </w:r>
      <w:r>
        <w:t>,</w:t>
      </w:r>
      <w:r w:rsidRPr="00310488">
        <w:t xml:space="preserve"> de acordo com</w:t>
      </w:r>
      <w:r>
        <w:t xml:space="preserve"> as diretrizes da Lei de Diretrizes Orçamentárias (LDO) e</w:t>
      </w:r>
      <w:r w:rsidRPr="00310488">
        <w:t xml:space="preserve"> os limites aprovados na LOA ou nos créditos adicionais, </w:t>
      </w:r>
      <w:r>
        <w:t>bem como</w:t>
      </w:r>
      <w:r w:rsidRPr="00310488">
        <w:t xml:space="preserve"> nos registros contábeis dos fatos e atos de natureza orçamentária praticados pelos gestores públicos. Por meio dessa gestão, é possível ter um melhor controle sobre previsão da receita, fluxo de caixa e gastos públicos com vista a atingir os resultados pretendidos.</w:t>
      </w:r>
    </w:p>
    <w:p w14:paraId="778518A9" w14:textId="008D3CF3" w:rsidR="007923AF" w:rsidRDefault="007923AF" w:rsidP="00537D6E">
      <w:pPr>
        <w:pStyle w:val="1-REL11"/>
        <w:spacing w:line="300" w:lineRule="auto"/>
      </w:pPr>
      <w:r w:rsidRPr="00310488">
        <w:t xml:space="preserve">Para a análise da Gestão Orçamentária e Financeira utilizou-se dos Demonstrativos Contábeis e Fiscais enviados pelo Governador do Estado a esta Corte de Contas, bem com as informações contidas no documento Balanço Geral do Estado (BGE). Complementarmente, foram realizadas consultas em sistemas, tais como o Sistema de Contabilidade Geral do Estado, o Sistema de Programação e Execução Orçamentária e Financeira e o </w:t>
      </w:r>
      <w:r w:rsidRPr="00310488">
        <w:rPr>
          <w:i/>
        </w:rPr>
        <w:t>Business Objects</w:t>
      </w:r>
      <w:r w:rsidRPr="00310488">
        <w:t xml:space="preserve"> (BO). </w:t>
      </w:r>
    </w:p>
    <w:p w14:paraId="4567E6FB" w14:textId="77777777" w:rsidR="00537D6E" w:rsidRPr="00310488" w:rsidRDefault="00537D6E" w:rsidP="007923AF">
      <w:pPr>
        <w:pStyle w:val="1-REL11"/>
      </w:pPr>
    </w:p>
    <w:p w14:paraId="34B84413" w14:textId="77777777" w:rsidR="00AA4E99" w:rsidRPr="00B215AC" w:rsidRDefault="00AA4E99" w:rsidP="00B215AC">
      <w:pPr>
        <w:pStyle w:val="Ttulo2"/>
      </w:pPr>
      <w:bookmarkStart w:id="52" w:name="_Toc167871629"/>
      <w:r w:rsidRPr="00B215AC">
        <w:t>Orçamento</w:t>
      </w:r>
      <w:bookmarkEnd w:id="52"/>
    </w:p>
    <w:p w14:paraId="3B32A170" w14:textId="77777777" w:rsidR="00A96988" w:rsidRPr="00905447" w:rsidRDefault="00A96988" w:rsidP="00537D6E">
      <w:pPr>
        <w:pStyle w:val="1-REL11"/>
        <w:spacing w:line="300" w:lineRule="auto"/>
      </w:pPr>
      <w:r w:rsidRPr="00905447">
        <w:t xml:space="preserve">O orçamento público é o instrumento de planejamento que autoriza a aplicação de recursos na concretização das políticas públicas definidas no Plano Plurianual em forma de programas. Definido por lei, o orçamento prevê receitas e fixa despesas para um exercício financeiro e, em respeito ao princípio da unidade, a peça orçamentária deverá compreender o Orçamento Fiscal, </w:t>
      </w:r>
      <w:r>
        <w:t>o</w:t>
      </w:r>
      <w:r w:rsidRPr="00905447">
        <w:t xml:space="preserve"> Orçamento </w:t>
      </w:r>
      <w:r>
        <w:t>d</w:t>
      </w:r>
      <w:r w:rsidRPr="00905447">
        <w:t xml:space="preserve">a Seguridade Social </w:t>
      </w:r>
      <w:r>
        <w:t xml:space="preserve">e o </w:t>
      </w:r>
      <w:r w:rsidRPr="00905447">
        <w:t xml:space="preserve">Orçamento </w:t>
      </w:r>
      <w:r>
        <w:t>d</w:t>
      </w:r>
      <w:r w:rsidRPr="00905447">
        <w:t xml:space="preserve">e Investimento </w:t>
      </w:r>
      <w:r>
        <w:t>d</w:t>
      </w:r>
      <w:r w:rsidRPr="00905447">
        <w:t>as Empresas.</w:t>
      </w:r>
    </w:p>
    <w:p w14:paraId="20681BEF" w14:textId="13895B69" w:rsidR="00A96988" w:rsidRDefault="00A96988" w:rsidP="00537D6E">
      <w:pPr>
        <w:pStyle w:val="1-REL11"/>
        <w:spacing w:line="300" w:lineRule="auto"/>
      </w:pPr>
      <w:r w:rsidRPr="00905447">
        <w:t>Aprovado pela Lei Estadual nº</w:t>
      </w:r>
      <w:r w:rsidR="00F763BE">
        <w:t> </w:t>
      </w:r>
      <w:r w:rsidRPr="00905447">
        <w:t>21.</w:t>
      </w:r>
      <w:r>
        <w:t>760</w:t>
      </w:r>
      <w:r w:rsidRPr="00905447">
        <w:t xml:space="preserve">, de </w:t>
      </w:r>
      <w:r>
        <w:t>29</w:t>
      </w:r>
      <w:r w:rsidRPr="00905447">
        <w:t xml:space="preserve"> de </w:t>
      </w:r>
      <w:r>
        <w:t>dezembro</w:t>
      </w:r>
      <w:r w:rsidRPr="00905447">
        <w:t xml:space="preserve"> de 2022</w:t>
      </w:r>
      <w:r>
        <w:t xml:space="preserve"> (LOA)</w:t>
      </w:r>
      <w:r w:rsidRPr="00905447">
        <w:t xml:space="preserve">, o Orçamento Geral do </w:t>
      </w:r>
      <w:r w:rsidR="00E96CDF">
        <w:t>E</w:t>
      </w:r>
      <w:r w:rsidRPr="00905447">
        <w:t>stado inicialmente estimou a receita e fixou a despesa para o exercício de 202</w:t>
      </w:r>
      <w:r>
        <w:t>3</w:t>
      </w:r>
      <w:r w:rsidRPr="00905447">
        <w:t xml:space="preserve"> em R$ 39</w:t>
      </w:r>
      <w:r>
        <w:t>,95</w:t>
      </w:r>
      <w:r w:rsidR="00F763BE">
        <w:t> </w:t>
      </w:r>
      <w:r>
        <w:t>bilhões</w:t>
      </w:r>
      <w:r w:rsidRPr="00905447">
        <w:t>, em que foram considerados os recursos de todas as fontes e observado o princípio do equilíbrio orçamentário, e foi assim organizado:</w:t>
      </w:r>
    </w:p>
    <w:p w14:paraId="02BAF289" w14:textId="77777777" w:rsidR="0093754F" w:rsidRPr="00905447" w:rsidRDefault="0093754F" w:rsidP="00537D6E">
      <w:pPr>
        <w:pStyle w:val="1-REL11"/>
        <w:spacing w:line="300" w:lineRule="auto"/>
      </w:pPr>
    </w:p>
    <w:p w14:paraId="550455EC" w14:textId="77777777" w:rsidR="00A96988" w:rsidRPr="005B22DD" w:rsidRDefault="00A96988" w:rsidP="00ED3571">
      <w:pPr>
        <w:pStyle w:val="0-TABELA"/>
      </w:pPr>
      <w:bookmarkStart w:id="53" w:name="_Toc135332467"/>
      <w:bookmarkStart w:id="54" w:name="_Toc167871727"/>
      <w:r w:rsidRPr="00C17412">
        <w:lastRenderedPageBreak/>
        <w:t>Orçamento Geral do Estado</w:t>
      </w:r>
      <w:bookmarkEnd w:id="53"/>
      <w:bookmarkEnd w:id="54"/>
    </w:p>
    <w:p w14:paraId="22611E1F" w14:textId="77777777" w:rsidR="00A96988" w:rsidRDefault="00A96988" w:rsidP="00A96988">
      <w:pPr>
        <w:pStyle w:val="0-EmR1"/>
        <w:rPr>
          <w:rStyle w:val="Forte"/>
          <w:b w:val="0"/>
        </w:rPr>
      </w:pPr>
      <w:r w:rsidRPr="00D512F5">
        <w:t>R$ 1</w:t>
      </w:r>
    </w:p>
    <w:tbl>
      <w:tblPr>
        <w:tblW w:w="5000" w:type="pct"/>
        <w:tblCellMar>
          <w:left w:w="70" w:type="dxa"/>
          <w:right w:w="70" w:type="dxa"/>
        </w:tblCellMar>
        <w:tblLook w:val="04A0" w:firstRow="1" w:lastRow="0" w:firstColumn="1" w:lastColumn="0" w:noHBand="0" w:noVBand="1"/>
      </w:tblPr>
      <w:tblGrid>
        <w:gridCol w:w="5246"/>
        <w:gridCol w:w="2551"/>
        <w:gridCol w:w="1556"/>
      </w:tblGrid>
      <w:tr w:rsidR="00A96988" w:rsidRPr="00E10D93" w14:paraId="50DADC04" w14:textId="77777777" w:rsidTr="00A16068">
        <w:trPr>
          <w:trHeight w:val="465"/>
          <w:tblHeader/>
        </w:trPr>
        <w:tc>
          <w:tcPr>
            <w:tcW w:w="2804" w:type="pct"/>
            <w:tcBorders>
              <w:top w:val="single" w:sz="4" w:space="0" w:color="auto"/>
              <w:left w:val="nil"/>
              <w:bottom w:val="single" w:sz="4" w:space="0" w:color="auto"/>
              <w:right w:val="single" w:sz="4" w:space="0" w:color="auto"/>
            </w:tcBorders>
            <w:shd w:val="clear" w:color="000000" w:fill="A1F2FD"/>
            <w:vAlign w:val="center"/>
            <w:hideMark/>
          </w:tcPr>
          <w:p w14:paraId="02CD4782" w14:textId="77777777" w:rsidR="00A96988" w:rsidRPr="00E10D93" w:rsidRDefault="00A96988" w:rsidP="00A96988">
            <w:pPr>
              <w:jc w:val="center"/>
              <w:rPr>
                <w:rFonts w:cs="Arial"/>
                <w:b/>
                <w:bCs/>
                <w:color w:val="000000"/>
                <w:sz w:val="20"/>
                <w:szCs w:val="20"/>
              </w:rPr>
            </w:pPr>
            <w:r w:rsidRPr="00E10D93">
              <w:rPr>
                <w:rFonts w:cs="Arial"/>
                <w:b/>
                <w:bCs/>
                <w:color w:val="000000"/>
                <w:sz w:val="20"/>
                <w:szCs w:val="20"/>
              </w:rPr>
              <w:t>Orçamento</w:t>
            </w:r>
          </w:p>
        </w:tc>
        <w:tc>
          <w:tcPr>
            <w:tcW w:w="1364" w:type="pct"/>
            <w:tcBorders>
              <w:top w:val="single" w:sz="4" w:space="0" w:color="auto"/>
              <w:left w:val="nil"/>
              <w:bottom w:val="single" w:sz="4" w:space="0" w:color="auto"/>
              <w:right w:val="single" w:sz="4" w:space="0" w:color="auto"/>
            </w:tcBorders>
            <w:shd w:val="clear" w:color="000000" w:fill="A1F2FD"/>
            <w:vAlign w:val="center"/>
            <w:hideMark/>
          </w:tcPr>
          <w:p w14:paraId="183CFB34" w14:textId="77777777" w:rsidR="00A96988" w:rsidRPr="00E10D93" w:rsidRDefault="00A96988" w:rsidP="00A96988">
            <w:pPr>
              <w:jc w:val="center"/>
              <w:rPr>
                <w:rFonts w:cs="Arial"/>
                <w:b/>
                <w:bCs/>
                <w:color w:val="000000"/>
                <w:sz w:val="20"/>
                <w:szCs w:val="20"/>
              </w:rPr>
            </w:pPr>
            <w:r w:rsidRPr="00E10D93">
              <w:rPr>
                <w:rFonts w:cs="Arial"/>
                <w:b/>
                <w:bCs/>
                <w:color w:val="000000"/>
                <w:sz w:val="20"/>
                <w:szCs w:val="20"/>
              </w:rPr>
              <w:t>Valor</w:t>
            </w:r>
          </w:p>
        </w:tc>
        <w:tc>
          <w:tcPr>
            <w:tcW w:w="832" w:type="pct"/>
            <w:tcBorders>
              <w:top w:val="single" w:sz="4" w:space="0" w:color="auto"/>
              <w:left w:val="nil"/>
              <w:bottom w:val="single" w:sz="4" w:space="0" w:color="auto"/>
              <w:right w:val="nil"/>
            </w:tcBorders>
            <w:shd w:val="clear" w:color="000000" w:fill="A1F2FD"/>
            <w:vAlign w:val="center"/>
            <w:hideMark/>
          </w:tcPr>
          <w:p w14:paraId="767DBD7A" w14:textId="3577B846" w:rsidR="00A96988" w:rsidRPr="00E10D93" w:rsidRDefault="00E81084" w:rsidP="00A96988">
            <w:pPr>
              <w:jc w:val="center"/>
              <w:rPr>
                <w:rFonts w:cs="Arial"/>
                <w:b/>
                <w:bCs/>
                <w:color w:val="000000"/>
                <w:sz w:val="20"/>
                <w:szCs w:val="20"/>
              </w:rPr>
            </w:pPr>
            <w:r w:rsidRPr="00E10D93">
              <w:rPr>
                <w:rFonts w:cs="Arial"/>
                <w:b/>
                <w:bCs/>
                <w:color w:val="000000"/>
                <w:sz w:val="20"/>
                <w:szCs w:val="20"/>
              </w:rPr>
              <w:t xml:space="preserve">AV </w:t>
            </w:r>
            <w:r w:rsidR="00A96988" w:rsidRPr="00E10D93">
              <w:rPr>
                <w:rFonts w:cs="Arial"/>
                <w:b/>
                <w:bCs/>
                <w:color w:val="000000"/>
                <w:sz w:val="20"/>
                <w:szCs w:val="20"/>
              </w:rPr>
              <w:t>%</w:t>
            </w:r>
          </w:p>
        </w:tc>
      </w:tr>
      <w:tr w:rsidR="00A96988" w:rsidRPr="00E10D93" w14:paraId="4FB4B3EF" w14:textId="77777777" w:rsidTr="002D295F">
        <w:trPr>
          <w:trHeight w:val="284"/>
        </w:trPr>
        <w:tc>
          <w:tcPr>
            <w:tcW w:w="2804" w:type="pct"/>
            <w:tcBorders>
              <w:top w:val="nil"/>
              <w:left w:val="nil"/>
              <w:bottom w:val="nil"/>
              <w:right w:val="single" w:sz="4" w:space="0" w:color="auto"/>
            </w:tcBorders>
            <w:shd w:val="clear" w:color="auto" w:fill="auto"/>
            <w:noWrap/>
            <w:vAlign w:val="center"/>
            <w:hideMark/>
          </w:tcPr>
          <w:p w14:paraId="77377877" w14:textId="77777777" w:rsidR="00A96988" w:rsidRPr="00E10D93" w:rsidRDefault="00A96988" w:rsidP="000C6745">
            <w:pPr>
              <w:ind w:left="209"/>
              <w:jc w:val="left"/>
              <w:rPr>
                <w:rFonts w:cs="Arial"/>
                <w:color w:val="000000"/>
                <w:sz w:val="20"/>
                <w:szCs w:val="20"/>
              </w:rPr>
            </w:pPr>
            <w:r w:rsidRPr="00E10D93">
              <w:rPr>
                <w:rFonts w:cs="Arial"/>
                <w:color w:val="000000"/>
                <w:sz w:val="20"/>
                <w:szCs w:val="20"/>
              </w:rPr>
              <w:t>Fiscal</w:t>
            </w:r>
          </w:p>
        </w:tc>
        <w:tc>
          <w:tcPr>
            <w:tcW w:w="1364" w:type="pct"/>
            <w:tcBorders>
              <w:top w:val="nil"/>
              <w:left w:val="nil"/>
              <w:bottom w:val="nil"/>
              <w:right w:val="single" w:sz="4" w:space="0" w:color="auto"/>
            </w:tcBorders>
            <w:shd w:val="clear" w:color="auto" w:fill="auto"/>
            <w:noWrap/>
            <w:vAlign w:val="center"/>
            <w:hideMark/>
          </w:tcPr>
          <w:p w14:paraId="26156677" w14:textId="77777777" w:rsidR="00A96988" w:rsidRPr="00E10D93" w:rsidRDefault="00A96988" w:rsidP="00A96988">
            <w:pPr>
              <w:jc w:val="right"/>
              <w:rPr>
                <w:rFonts w:cs="Arial"/>
                <w:color w:val="000000"/>
                <w:sz w:val="20"/>
                <w:szCs w:val="20"/>
              </w:rPr>
            </w:pPr>
            <w:r w:rsidRPr="00E10D93">
              <w:rPr>
                <w:rFonts w:cs="Arial"/>
                <w:color w:val="000000"/>
                <w:sz w:val="20"/>
                <w:szCs w:val="20"/>
              </w:rPr>
              <w:t xml:space="preserve">25.628.606.000 </w:t>
            </w:r>
          </w:p>
        </w:tc>
        <w:tc>
          <w:tcPr>
            <w:tcW w:w="832" w:type="pct"/>
            <w:tcBorders>
              <w:top w:val="nil"/>
              <w:left w:val="nil"/>
              <w:bottom w:val="nil"/>
              <w:right w:val="nil"/>
            </w:tcBorders>
            <w:shd w:val="clear" w:color="auto" w:fill="auto"/>
            <w:noWrap/>
            <w:vAlign w:val="center"/>
            <w:hideMark/>
          </w:tcPr>
          <w:p w14:paraId="1E08B92D" w14:textId="77777777" w:rsidR="00A96988" w:rsidRPr="00E10D93" w:rsidRDefault="00A96988" w:rsidP="00A96988">
            <w:pPr>
              <w:jc w:val="center"/>
              <w:rPr>
                <w:rFonts w:cs="Arial"/>
                <w:color w:val="000000"/>
                <w:sz w:val="20"/>
                <w:szCs w:val="20"/>
              </w:rPr>
            </w:pPr>
            <w:r w:rsidRPr="00E10D93">
              <w:rPr>
                <w:rFonts w:cs="Arial"/>
                <w:color w:val="000000"/>
                <w:sz w:val="20"/>
                <w:szCs w:val="20"/>
              </w:rPr>
              <w:t>64,16</w:t>
            </w:r>
          </w:p>
        </w:tc>
      </w:tr>
      <w:tr w:rsidR="00A96988" w:rsidRPr="00E10D93" w14:paraId="75C29F88" w14:textId="77777777" w:rsidTr="002D295F">
        <w:trPr>
          <w:trHeight w:val="284"/>
        </w:trPr>
        <w:tc>
          <w:tcPr>
            <w:tcW w:w="2804" w:type="pct"/>
            <w:tcBorders>
              <w:top w:val="nil"/>
              <w:left w:val="nil"/>
              <w:bottom w:val="nil"/>
              <w:right w:val="single" w:sz="4" w:space="0" w:color="auto"/>
            </w:tcBorders>
            <w:shd w:val="clear" w:color="auto" w:fill="auto"/>
            <w:noWrap/>
            <w:vAlign w:val="center"/>
            <w:hideMark/>
          </w:tcPr>
          <w:p w14:paraId="6267C7B1" w14:textId="77777777" w:rsidR="00A96988" w:rsidRPr="00E10D93" w:rsidRDefault="00A96988" w:rsidP="000C6745">
            <w:pPr>
              <w:ind w:left="209"/>
              <w:jc w:val="left"/>
              <w:rPr>
                <w:rFonts w:cs="Arial"/>
                <w:color w:val="000000"/>
                <w:sz w:val="20"/>
                <w:szCs w:val="20"/>
              </w:rPr>
            </w:pPr>
            <w:r w:rsidRPr="00E10D93">
              <w:rPr>
                <w:rFonts w:cs="Arial"/>
                <w:color w:val="000000"/>
                <w:sz w:val="20"/>
                <w:szCs w:val="20"/>
              </w:rPr>
              <w:t>Seguridade Social</w:t>
            </w:r>
          </w:p>
        </w:tc>
        <w:tc>
          <w:tcPr>
            <w:tcW w:w="1364" w:type="pct"/>
            <w:tcBorders>
              <w:top w:val="nil"/>
              <w:left w:val="nil"/>
              <w:bottom w:val="nil"/>
              <w:right w:val="single" w:sz="4" w:space="0" w:color="auto"/>
            </w:tcBorders>
            <w:shd w:val="clear" w:color="auto" w:fill="auto"/>
            <w:noWrap/>
            <w:vAlign w:val="center"/>
            <w:hideMark/>
          </w:tcPr>
          <w:p w14:paraId="4264B268" w14:textId="77777777" w:rsidR="00A96988" w:rsidRPr="00E10D93" w:rsidRDefault="00A96988" w:rsidP="00A96988">
            <w:pPr>
              <w:jc w:val="right"/>
              <w:rPr>
                <w:rFonts w:cs="Arial"/>
                <w:color w:val="000000"/>
                <w:sz w:val="20"/>
                <w:szCs w:val="20"/>
              </w:rPr>
            </w:pPr>
            <w:r w:rsidRPr="00E10D93">
              <w:rPr>
                <w:rFonts w:cs="Arial"/>
                <w:color w:val="000000"/>
                <w:sz w:val="20"/>
                <w:szCs w:val="20"/>
              </w:rPr>
              <w:t xml:space="preserve">13.968.560.000 </w:t>
            </w:r>
          </w:p>
        </w:tc>
        <w:tc>
          <w:tcPr>
            <w:tcW w:w="832" w:type="pct"/>
            <w:tcBorders>
              <w:top w:val="nil"/>
              <w:left w:val="nil"/>
              <w:bottom w:val="nil"/>
              <w:right w:val="nil"/>
            </w:tcBorders>
            <w:shd w:val="clear" w:color="auto" w:fill="auto"/>
            <w:noWrap/>
            <w:vAlign w:val="center"/>
            <w:hideMark/>
          </w:tcPr>
          <w:p w14:paraId="2C1D2935" w14:textId="77777777" w:rsidR="00A96988" w:rsidRPr="00E10D93" w:rsidRDefault="00A96988" w:rsidP="00A96988">
            <w:pPr>
              <w:jc w:val="center"/>
              <w:rPr>
                <w:rFonts w:cs="Arial"/>
                <w:color w:val="000000"/>
                <w:sz w:val="20"/>
                <w:szCs w:val="20"/>
              </w:rPr>
            </w:pPr>
            <w:r w:rsidRPr="00E10D93">
              <w:rPr>
                <w:rFonts w:cs="Arial"/>
                <w:color w:val="000000"/>
                <w:sz w:val="20"/>
                <w:szCs w:val="20"/>
              </w:rPr>
              <w:t>34,97</w:t>
            </w:r>
          </w:p>
        </w:tc>
      </w:tr>
      <w:tr w:rsidR="00A96988" w:rsidRPr="00E10D93" w14:paraId="1D8C37A3" w14:textId="77777777" w:rsidTr="002D295F">
        <w:trPr>
          <w:trHeight w:val="284"/>
        </w:trPr>
        <w:tc>
          <w:tcPr>
            <w:tcW w:w="2804" w:type="pct"/>
            <w:tcBorders>
              <w:top w:val="nil"/>
              <w:left w:val="nil"/>
              <w:bottom w:val="single" w:sz="4" w:space="0" w:color="auto"/>
              <w:right w:val="single" w:sz="4" w:space="0" w:color="auto"/>
            </w:tcBorders>
            <w:shd w:val="clear" w:color="auto" w:fill="auto"/>
            <w:noWrap/>
            <w:vAlign w:val="center"/>
            <w:hideMark/>
          </w:tcPr>
          <w:p w14:paraId="466F16F9" w14:textId="77777777" w:rsidR="00A96988" w:rsidRPr="00E10D93" w:rsidRDefault="00A96988" w:rsidP="000C6745">
            <w:pPr>
              <w:ind w:left="209"/>
              <w:jc w:val="left"/>
              <w:rPr>
                <w:rFonts w:cs="Arial"/>
                <w:color w:val="000000"/>
                <w:sz w:val="20"/>
                <w:szCs w:val="20"/>
              </w:rPr>
            </w:pPr>
            <w:r w:rsidRPr="00E10D93">
              <w:rPr>
                <w:rFonts w:cs="Arial"/>
                <w:color w:val="000000"/>
                <w:sz w:val="20"/>
                <w:szCs w:val="20"/>
              </w:rPr>
              <w:t>Investimento</w:t>
            </w:r>
          </w:p>
        </w:tc>
        <w:tc>
          <w:tcPr>
            <w:tcW w:w="1364" w:type="pct"/>
            <w:tcBorders>
              <w:top w:val="nil"/>
              <w:left w:val="nil"/>
              <w:bottom w:val="single" w:sz="4" w:space="0" w:color="auto"/>
              <w:right w:val="single" w:sz="4" w:space="0" w:color="auto"/>
            </w:tcBorders>
            <w:shd w:val="clear" w:color="auto" w:fill="auto"/>
            <w:noWrap/>
            <w:vAlign w:val="center"/>
            <w:hideMark/>
          </w:tcPr>
          <w:p w14:paraId="2ED11DF5" w14:textId="77777777" w:rsidR="00A96988" w:rsidRPr="00E10D93" w:rsidRDefault="00A96988" w:rsidP="00A96988">
            <w:pPr>
              <w:jc w:val="right"/>
              <w:rPr>
                <w:rFonts w:cs="Arial"/>
                <w:color w:val="000000"/>
                <w:sz w:val="20"/>
                <w:szCs w:val="20"/>
              </w:rPr>
            </w:pPr>
            <w:r w:rsidRPr="00E10D93">
              <w:rPr>
                <w:rFonts w:cs="Arial"/>
                <w:color w:val="000000"/>
                <w:sz w:val="20"/>
                <w:szCs w:val="20"/>
              </w:rPr>
              <w:t xml:space="preserve">350.143.000 </w:t>
            </w:r>
          </w:p>
        </w:tc>
        <w:tc>
          <w:tcPr>
            <w:tcW w:w="832" w:type="pct"/>
            <w:tcBorders>
              <w:top w:val="nil"/>
              <w:left w:val="nil"/>
              <w:bottom w:val="single" w:sz="4" w:space="0" w:color="auto"/>
              <w:right w:val="nil"/>
            </w:tcBorders>
            <w:shd w:val="clear" w:color="auto" w:fill="auto"/>
            <w:noWrap/>
            <w:vAlign w:val="center"/>
            <w:hideMark/>
          </w:tcPr>
          <w:p w14:paraId="27770F21" w14:textId="77777777" w:rsidR="00A96988" w:rsidRPr="00E10D93" w:rsidRDefault="00A96988" w:rsidP="00A96988">
            <w:pPr>
              <w:jc w:val="center"/>
              <w:rPr>
                <w:rFonts w:cs="Arial"/>
                <w:color w:val="000000"/>
                <w:sz w:val="20"/>
                <w:szCs w:val="20"/>
              </w:rPr>
            </w:pPr>
            <w:r w:rsidRPr="00E10D93">
              <w:rPr>
                <w:rFonts w:cs="Arial"/>
                <w:color w:val="000000"/>
                <w:sz w:val="20"/>
                <w:szCs w:val="20"/>
              </w:rPr>
              <w:t>0,88</w:t>
            </w:r>
          </w:p>
        </w:tc>
      </w:tr>
      <w:tr w:rsidR="00A96988" w:rsidRPr="00E10D93" w14:paraId="554A225A" w14:textId="77777777" w:rsidTr="002D295F">
        <w:trPr>
          <w:trHeight w:val="284"/>
        </w:trPr>
        <w:tc>
          <w:tcPr>
            <w:tcW w:w="2804" w:type="pct"/>
            <w:tcBorders>
              <w:top w:val="nil"/>
              <w:left w:val="nil"/>
              <w:bottom w:val="single" w:sz="4" w:space="0" w:color="auto"/>
              <w:right w:val="single" w:sz="4" w:space="0" w:color="auto"/>
            </w:tcBorders>
            <w:shd w:val="clear" w:color="auto" w:fill="auto"/>
            <w:noWrap/>
            <w:vAlign w:val="center"/>
            <w:hideMark/>
          </w:tcPr>
          <w:p w14:paraId="273F291B" w14:textId="77777777" w:rsidR="00A96988" w:rsidRPr="00E10D93" w:rsidRDefault="00A96988" w:rsidP="00A96988">
            <w:pPr>
              <w:jc w:val="center"/>
              <w:rPr>
                <w:rFonts w:cs="Arial"/>
                <w:b/>
                <w:bCs/>
                <w:color w:val="000000"/>
                <w:sz w:val="20"/>
                <w:szCs w:val="20"/>
              </w:rPr>
            </w:pPr>
            <w:r w:rsidRPr="00E10D93">
              <w:rPr>
                <w:rFonts w:cs="Arial"/>
                <w:b/>
                <w:bCs/>
                <w:color w:val="000000"/>
                <w:sz w:val="20"/>
                <w:szCs w:val="20"/>
              </w:rPr>
              <w:t>Total</w:t>
            </w:r>
          </w:p>
        </w:tc>
        <w:tc>
          <w:tcPr>
            <w:tcW w:w="1364" w:type="pct"/>
            <w:tcBorders>
              <w:top w:val="nil"/>
              <w:left w:val="nil"/>
              <w:bottom w:val="single" w:sz="4" w:space="0" w:color="auto"/>
              <w:right w:val="single" w:sz="4" w:space="0" w:color="auto"/>
            </w:tcBorders>
            <w:shd w:val="clear" w:color="auto" w:fill="auto"/>
            <w:noWrap/>
            <w:vAlign w:val="center"/>
            <w:hideMark/>
          </w:tcPr>
          <w:p w14:paraId="3D18AFD3" w14:textId="77777777" w:rsidR="00A96988" w:rsidRPr="00E10D93" w:rsidRDefault="00A96988" w:rsidP="00A96988">
            <w:pPr>
              <w:jc w:val="right"/>
              <w:rPr>
                <w:rFonts w:cs="Arial"/>
                <w:b/>
                <w:bCs/>
                <w:color w:val="000000"/>
                <w:sz w:val="20"/>
                <w:szCs w:val="20"/>
              </w:rPr>
            </w:pPr>
            <w:r w:rsidRPr="00E10D93">
              <w:rPr>
                <w:rFonts w:cs="Arial"/>
                <w:b/>
                <w:bCs/>
                <w:color w:val="000000"/>
                <w:sz w:val="20"/>
                <w:szCs w:val="20"/>
              </w:rPr>
              <w:t xml:space="preserve">39.947.309.000 </w:t>
            </w:r>
          </w:p>
        </w:tc>
        <w:tc>
          <w:tcPr>
            <w:tcW w:w="832" w:type="pct"/>
            <w:tcBorders>
              <w:top w:val="nil"/>
              <w:left w:val="nil"/>
              <w:bottom w:val="single" w:sz="4" w:space="0" w:color="auto"/>
              <w:right w:val="nil"/>
            </w:tcBorders>
            <w:shd w:val="clear" w:color="auto" w:fill="auto"/>
            <w:noWrap/>
            <w:vAlign w:val="center"/>
            <w:hideMark/>
          </w:tcPr>
          <w:p w14:paraId="771E0246" w14:textId="77777777" w:rsidR="00A96988" w:rsidRPr="00E10D93" w:rsidRDefault="00A96988" w:rsidP="00A96988">
            <w:pPr>
              <w:jc w:val="center"/>
              <w:rPr>
                <w:rFonts w:cs="Arial"/>
                <w:b/>
                <w:bCs/>
                <w:color w:val="000000"/>
                <w:sz w:val="20"/>
                <w:szCs w:val="20"/>
              </w:rPr>
            </w:pPr>
            <w:r w:rsidRPr="00E10D93">
              <w:rPr>
                <w:rFonts w:cs="Arial"/>
                <w:b/>
                <w:bCs/>
                <w:color w:val="000000"/>
                <w:sz w:val="20"/>
                <w:szCs w:val="20"/>
              </w:rPr>
              <w:t>100,00</w:t>
            </w:r>
          </w:p>
        </w:tc>
      </w:tr>
    </w:tbl>
    <w:p w14:paraId="1814B854" w14:textId="77777777" w:rsidR="00A96988" w:rsidRPr="000B1356" w:rsidRDefault="00A96988" w:rsidP="00EF01A1">
      <w:pPr>
        <w:pStyle w:val="1-FONTE8ESQ"/>
        <w:rPr>
          <w:rStyle w:val="Forte"/>
          <w:b w:val="0"/>
        </w:rPr>
      </w:pPr>
      <w:r w:rsidRPr="000B1356">
        <w:rPr>
          <w:rStyle w:val="Forte"/>
          <w:b w:val="0"/>
        </w:rPr>
        <w:t>Fonte: Lei Estadual nº 21.760/2022 (LOA)</w:t>
      </w:r>
    </w:p>
    <w:p w14:paraId="6DF03BFD" w14:textId="77777777" w:rsidR="00A96988" w:rsidRPr="00C17412" w:rsidRDefault="00A96988" w:rsidP="00A96988">
      <w:pPr>
        <w:pStyle w:val="1-REL11"/>
      </w:pPr>
      <w:r w:rsidRPr="00457E56">
        <w:t xml:space="preserve">Em relação aos </w:t>
      </w:r>
      <w:r>
        <w:t>o</w:t>
      </w:r>
      <w:r w:rsidRPr="00457E56">
        <w:t>rçamentos Fiscal e da Seguridade Social, os recursos orçamentários foram alocados nas seguintes despesas por função, que revelam como o governo pretendia gastar em suas áreas de atuação:</w:t>
      </w:r>
    </w:p>
    <w:p w14:paraId="2C53D1A4" w14:textId="5FCA83A3" w:rsidR="00B215AC" w:rsidRPr="00941A89" w:rsidRDefault="00B215AC" w:rsidP="00B215AC">
      <w:pPr>
        <w:pStyle w:val="0-GRFICO"/>
      </w:pPr>
      <w:bookmarkStart w:id="55" w:name="_Toc167825094"/>
      <w:r>
        <w:t xml:space="preserve">Orçamento Inicial </w:t>
      </w:r>
      <w:r w:rsidR="00AB4C8E">
        <w:t>por</w:t>
      </w:r>
      <w:r>
        <w:t xml:space="preserve"> Função da Despesa</w:t>
      </w:r>
      <w:bookmarkEnd w:id="55"/>
    </w:p>
    <w:p w14:paraId="3E439DE4" w14:textId="77E89C4E" w:rsidR="00B215AC" w:rsidRPr="00B215AC" w:rsidRDefault="00A96988" w:rsidP="0058597A">
      <w:pPr>
        <w:pStyle w:val="1-REL11"/>
        <w:spacing w:after="60"/>
        <w:rPr>
          <w:lang w:eastAsia="en-US"/>
        </w:rPr>
      </w:pPr>
      <w:r>
        <w:rPr>
          <w:noProof/>
        </w:rPr>
        <w:drawing>
          <wp:inline distT="0" distB="0" distL="0" distR="0" wp14:anchorId="31C14802" wp14:editId="3F065C50">
            <wp:extent cx="5939155" cy="4059936"/>
            <wp:effectExtent l="0" t="0" r="156845" b="150495"/>
            <wp:docPr id="27" name="Gráfico 27">
              <a:extLst xmlns:a="http://schemas.openxmlformats.org/drawingml/2006/main">
                <a:ext uri="{FF2B5EF4-FFF2-40B4-BE49-F238E27FC236}">
                  <a16:creationId xmlns:a16="http://schemas.microsoft.com/office/drawing/2014/main" id="{37E4F676-361B-47BC-A231-26485120E38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126CCBFF" w14:textId="7C444589" w:rsidR="00B215AC" w:rsidRPr="006A2FE1" w:rsidRDefault="00B215AC" w:rsidP="00E46AD4">
      <w:pPr>
        <w:pStyle w:val="0-FNT-GRAFICO"/>
        <w:rPr>
          <w:rStyle w:val="Forte"/>
          <w:b w:val="0"/>
        </w:rPr>
      </w:pPr>
      <w:r w:rsidRPr="00C5315D">
        <w:rPr>
          <w:rStyle w:val="Forte"/>
          <w:b w:val="0"/>
        </w:rPr>
        <w:t xml:space="preserve">Fonte: </w:t>
      </w:r>
      <w:r w:rsidRPr="003A6AB0">
        <w:rPr>
          <w:rStyle w:val="Forte"/>
          <w:b w:val="0"/>
          <w:i/>
        </w:rPr>
        <w:t>Business Objects</w:t>
      </w:r>
      <w:r>
        <w:rPr>
          <w:rStyle w:val="Forte"/>
          <w:b w:val="0"/>
        </w:rPr>
        <w:t xml:space="preserve"> </w:t>
      </w:r>
    </w:p>
    <w:p w14:paraId="4989F7CF" w14:textId="77777777" w:rsidR="00A224E9" w:rsidRDefault="00A224E9" w:rsidP="00B215AC">
      <w:pPr>
        <w:pStyle w:val="1-REL11"/>
      </w:pPr>
    </w:p>
    <w:p w14:paraId="72DAAC1B" w14:textId="0FABB6A1" w:rsidR="00B215AC" w:rsidRDefault="00B215AC" w:rsidP="00B215AC">
      <w:pPr>
        <w:pStyle w:val="1-REL11"/>
      </w:pPr>
      <w:r>
        <w:t xml:space="preserve">Por </w:t>
      </w:r>
      <w:r w:rsidRPr="006A2FD6">
        <w:t>Grupos de Natureza da Despesa</w:t>
      </w:r>
      <w:r>
        <w:t>, o Orçamento de 202</w:t>
      </w:r>
      <w:r w:rsidR="00A96988">
        <w:t>3</w:t>
      </w:r>
      <w:r>
        <w:t xml:space="preserve"> apresentou a seguinte distribuição:</w:t>
      </w:r>
    </w:p>
    <w:p w14:paraId="3113FC76" w14:textId="4760A123" w:rsidR="0093754F" w:rsidRPr="00C17412" w:rsidRDefault="00B215AC" w:rsidP="00ED3571">
      <w:pPr>
        <w:pStyle w:val="0-TABELA"/>
      </w:pPr>
      <w:bookmarkStart w:id="56" w:name="_Toc167871728"/>
      <w:r>
        <w:lastRenderedPageBreak/>
        <w:t>Orçamento Inicial por Grupos de Natureza da Despesa</w:t>
      </w:r>
      <w:bookmarkEnd w:id="56"/>
      <w:r w:rsidR="0093754F" w:rsidRPr="0093754F">
        <w:t xml:space="preserve"> </w:t>
      </w:r>
    </w:p>
    <w:p w14:paraId="6B01496B" w14:textId="4E931994" w:rsidR="00B215AC" w:rsidRDefault="0093754F" w:rsidP="0093754F">
      <w:pPr>
        <w:pStyle w:val="0-EmR1"/>
      </w:pPr>
      <w:r w:rsidRPr="00333D34">
        <w:t>R$ 1</w:t>
      </w:r>
    </w:p>
    <w:tbl>
      <w:tblPr>
        <w:tblW w:w="5000" w:type="pct"/>
        <w:tblLayout w:type="fixed"/>
        <w:tblCellMar>
          <w:left w:w="70" w:type="dxa"/>
          <w:right w:w="70" w:type="dxa"/>
        </w:tblCellMar>
        <w:tblLook w:val="04A0" w:firstRow="1" w:lastRow="0" w:firstColumn="1" w:lastColumn="0" w:noHBand="0" w:noVBand="1"/>
      </w:tblPr>
      <w:tblGrid>
        <w:gridCol w:w="5152"/>
        <w:gridCol w:w="2787"/>
        <w:gridCol w:w="1414"/>
      </w:tblGrid>
      <w:tr w:rsidR="00A96988" w:rsidRPr="00E10D93" w14:paraId="1CB3E6C3" w14:textId="77777777" w:rsidTr="002B4DEE">
        <w:trPr>
          <w:trHeight w:hRule="exact" w:val="340"/>
          <w:tblHeader/>
        </w:trPr>
        <w:tc>
          <w:tcPr>
            <w:tcW w:w="2754" w:type="pct"/>
            <w:tcBorders>
              <w:top w:val="single" w:sz="4" w:space="0" w:color="auto"/>
              <w:left w:val="nil"/>
              <w:bottom w:val="single" w:sz="4" w:space="0" w:color="auto"/>
              <w:right w:val="single" w:sz="4" w:space="0" w:color="auto"/>
            </w:tcBorders>
            <w:shd w:val="clear" w:color="000000" w:fill="A1F2FD"/>
            <w:vAlign w:val="center"/>
            <w:hideMark/>
          </w:tcPr>
          <w:p w14:paraId="587E9A99" w14:textId="77777777" w:rsidR="00A96988" w:rsidRPr="00E10D93" w:rsidRDefault="00A96988" w:rsidP="00537D6E">
            <w:pPr>
              <w:jc w:val="center"/>
              <w:rPr>
                <w:rFonts w:cs="Arial"/>
                <w:b/>
                <w:bCs/>
                <w:color w:val="000000"/>
                <w:sz w:val="20"/>
                <w:szCs w:val="20"/>
              </w:rPr>
            </w:pPr>
            <w:r w:rsidRPr="00E10D93">
              <w:rPr>
                <w:rFonts w:cs="Arial"/>
                <w:b/>
                <w:bCs/>
                <w:color w:val="000000"/>
                <w:sz w:val="20"/>
                <w:szCs w:val="20"/>
              </w:rPr>
              <w:t>Natureza da Despesa</w:t>
            </w:r>
          </w:p>
        </w:tc>
        <w:tc>
          <w:tcPr>
            <w:tcW w:w="1490" w:type="pct"/>
            <w:tcBorders>
              <w:top w:val="single" w:sz="4" w:space="0" w:color="auto"/>
              <w:left w:val="nil"/>
              <w:bottom w:val="single" w:sz="4" w:space="0" w:color="auto"/>
              <w:right w:val="single" w:sz="4" w:space="0" w:color="auto"/>
            </w:tcBorders>
            <w:shd w:val="clear" w:color="000000" w:fill="A1F2FD"/>
            <w:vAlign w:val="center"/>
            <w:hideMark/>
          </w:tcPr>
          <w:p w14:paraId="0BFDCB2F" w14:textId="45B80377" w:rsidR="00A96988" w:rsidRPr="00E10D93" w:rsidRDefault="00A96988" w:rsidP="00A96988">
            <w:pPr>
              <w:jc w:val="center"/>
              <w:rPr>
                <w:rFonts w:cs="Arial"/>
                <w:b/>
                <w:bCs/>
                <w:color w:val="000000"/>
                <w:sz w:val="20"/>
                <w:szCs w:val="20"/>
              </w:rPr>
            </w:pPr>
            <w:r w:rsidRPr="00E10D93">
              <w:rPr>
                <w:rFonts w:cs="Arial"/>
                <w:b/>
                <w:bCs/>
                <w:color w:val="000000"/>
                <w:sz w:val="20"/>
                <w:szCs w:val="20"/>
              </w:rPr>
              <w:t>Valor Orçado</w:t>
            </w:r>
          </w:p>
        </w:tc>
        <w:tc>
          <w:tcPr>
            <w:tcW w:w="756" w:type="pct"/>
            <w:tcBorders>
              <w:top w:val="single" w:sz="4" w:space="0" w:color="auto"/>
              <w:left w:val="nil"/>
              <w:bottom w:val="single" w:sz="4" w:space="0" w:color="auto"/>
              <w:right w:val="nil"/>
            </w:tcBorders>
            <w:shd w:val="clear" w:color="000000" w:fill="A1F2FD"/>
            <w:vAlign w:val="center"/>
            <w:hideMark/>
          </w:tcPr>
          <w:p w14:paraId="22687742" w14:textId="48EB518B" w:rsidR="00A96988" w:rsidRPr="00E10D93" w:rsidRDefault="00600F4B" w:rsidP="00A96988">
            <w:pPr>
              <w:jc w:val="center"/>
              <w:rPr>
                <w:rFonts w:cs="Arial"/>
                <w:b/>
                <w:bCs/>
                <w:color w:val="000000"/>
                <w:sz w:val="20"/>
                <w:szCs w:val="20"/>
              </w:rPr>
            </w:pPr>
            <w:r w:rsidRPr="00E10D93">
              <w:rPr>
                <w:rFonts w:cs="Arial"/>
                <w:b/>
                <w:bCs/>
                <w:color w:val="000000"/>
                <w:sz w:val="20"/>
                <w:szCs w:val="20"/>
              </w:rPr>
              <w:t xml:space="preserve">AV </w:t>
            </w:r>
            <w:r w:rsidR="00A96988" w:rsidRPr="00E10D93">
              <w:rPr>
                <w:rFonts w:cs="Arial"/>
                <w:b/>
                <w:bCs/>
                <w:color w:val="000000"/>
                <w:sz w:val="20"/>
                <w:szCs w:val="20"/>
              </w:rPr>
              <w:t xml:space="preserve">% </w:t>
            </w:r>
          </w:p>
        </w:tc>
      </w:tr>
      <w:tr w:rsidR="00A96988" w:rsidRPr="00E10D93" w14:paraId="5593C866" w14:textId="77777777" w:rsidTr="002B4DEE">
        <w:trPr>
          <w:trHeight w:hRule="exact" w:val="340"/>
        </w:trPr>
        <w:tc>
          <w:tcPr>
            <w:tcW w:w="2754" w:type="pct"/>
            <w:tcBorders>
              <w:top w:val="nil"/>
              <w:left w:val="nil"/>
              <w:bottom w:val="nil"/>
              <w:right w:val="single" w:sz="4" w:space="0" w:color="auto"/>
            </w:tcBorders>
            <w:shd w:val="clear" w:color="FFFFFF" w:fill="FFFFFF"/>
            <w:noWrap/>
            <w:vAlign w:val="center"/>
            <w:hideMark/>
          </w:tcPr>
          <w:p w14:paraId="3CA87AC4" w14:textId="77777777" w:rsidR="00A96988" w:rsidRPr="00E10D93" w:rsidRDefault="00A96988" w:rsidP="000C6745">
            <w:pPr>
              <w:ind w:left="209"/>
              <w:jc w:val="left"/>
              <w:rPr>
                <w:rFonts w:cs="Arial"/>
                <w:color w:val="333333"/>
                <w:sz w:val="20"/>
                <w:szCs w:val="20"/>
              </w:rPr>
            </w:pPr>
            <w:r w:rsidRPr="00E10D93">
              <w:rPr>
                <w:rFonts w:cs="Arial"/>
                <w:color w:val="333333"/>
                <w:sz w:val="20"/>
                <w:szCs w:val="20"/>
              </w:rPr>
              <w:t>Pessoal e Encargos Sociais</w:t>
            </w:r>
          </w:p>
        </w:tc>
        <w:tc>
          <w:tcPr>
            <w:tcW w:w="1490" w:type="pct"/>
            <w:tcBorders>
              <w:top w:val="nil"/>
              <w:left w:val="nil"/>
              <w:bottom w:val="nil"/>
              <w:right w:val="single" w:sz="4" w:space="0" w:color="auto"/>
            </w:tcBorders>
            <w:shd w:val="clear" w:color="auto" w:fill="auto"/>
            <w:noWrap/>
            <w:vAlign w:val="center"/>
            <w:hideMark/>
          </w:tcPr>
          <w:p w14:paraId="267A8653" w14:textId="77777777" w:rsidR="00A96988" w:rsidRPr="00E10D93" w:rsidRDefault="00A96988" w:rsidP="00A96988">
            <w:pPr>
              <w:jc w:val="right"/>
              <w:rPr>
                <w:rFonts w:cs="Arial"/>
                <w:color w:val="000000"/>
                <w:sz w:val="20"/>
                <w:szCs w:val="20"/>
              </w:rPr>
            </w:pPr>
            <w:r w:rsidRPr="00E10D93">
              <w:rPr>
                <w:rFonts w:cs="Arial"/>
                <w:color w:val="000000"/>
                <w:sz w:val="20"/>
                <w:szCs w:val="20"/>
              </w:rPr>
              <w:t>21.391.632.000</w:t>
            </w:r>
          </w:p>
        </w:tc>
        <w:tc>
          <w:tcPr>
            <w:tcW w:w="756" w:type="pct"/>
            <w:tcBorders>
              <w:top w:val="nil"/>
              <w:left w:val="nil"/>
              <w:bottom w:val="nil"/>
              <w:right w:val="nil"/>
            </w:tcBorders>
            <w:shd w:val="clear" w:color="FFFFFF" w:fill="FFFFFF"/>
            <w:noWrap/>
            <w:vAlign w:val="center"/>
            <w:hideMark/>
          </w:tcPr>
          <w:p w14:paraId="457FDED1" w14:textId="77777777" w:rsidR="00A96988" w:rsidRPr="00E10D93" w:rsidRDefault="00A96988" w:rsidP="00A96988">
            <w:pPr>
              <w:jc w:val="center"/>
              <w:rPr>
                <w:rFonts w:cs="Arial"/>
                <w:color w:val="333333"/>
                <w:sz w:val="20"/>
                <w:szCs w:val="20"/>
              </w:rPr>
            </w:pPr>
            <w:r w:rsidRPr="00E10D93">
              <w:rPr>
                <w:rFonts w:cs="Arial"/>
                <w:color w:val="333333"/>
                <w:sz w:val="20"/>
                <w:szCs w:val="20"/>
              </w:rPr>
              <w:t>54,02</w:t>
            </w:r>
          </w:p>
        </w:tc>
      </w:tr>
      <w:tr w:rsidR="00A96988" w:rsidRPr="00E10D93" w14:paraId="355F4297" w14:textId="77777777" w:rsidTr="002B4DEE">
        <w:trPr>
          <w:trHeight w:hRule="exact" w:val="340"/>
        </w:trPr>
        <w:tc>
          <w:tcPr>
            <w:tcW w:w="2754" w:type="pct"/>
            <w:tcBorders>
              <w:top w:val="nil"/>
              <w:left w:val="nil"/>
              <w:bottom w:val="nil"/>
              <w:right w:val="single" w:sz="4" w:space="0" w:color="auto"/>
            </w:tcBorders>
            <w:shd w:val="clear" w:color="FFFFFF" w:fill="FFFFFF"/>
            <w:noWrap/>
            <w:vAlign w:val="center"/>
            <w:hideMark/>
          </w:tcPr>
          <w:p w14:paraId="217BCE0B" w14:textId="77777777" w:rsidR="00A96988" w:rsidRPr="00E10D93" w:rsidRDefault="00A96988" w:rsidP="000C6745">
            <w:pPr>
              <w:ind w:left="209"/>
              <w:jc w:val="left"/>
              <w:rPr>
                <w:rFonts w:cs="Arial"/>
                <w:color w:val="333333"/>
                <w:sz w:val="20"/>
                <w:szCs w:val="20"/>
              </w:rPr>
            </w:pPr>
            <w:r w:rsidRPr="00E10D93">
              <w:rPr>
                <w:rFonts w:cs="Arial"/>
                <w:color w:val="333333"/>
                <w:sz w:val="20"/>
                <w:szCs w:val="20"/>
              </w:rPr>
              <w:t>Outras Despesas Correntes</w:t>
            </w:r>
          </w:p>
        </w:tc>
        <w:tc>
          <w:tcPr>
            <w:tcW w:w="1490" w:type="pct"/>
            <w:tcBorders>
              <w:top w:val="nil"/>
              <w:left w:val="nil"/>
              <w:bottom w:val="nil"/>
              <w:right w:val="single" w:sz="4" w:space="0" w:color="auto"/>
            </w:tcBorders>
            <w:shd w:val="clear" w:color="auto" w:fill="auto"/>
            <w:noWrap/>
            <w:vAlign w:val="center"/>
            <w:hideMark/>
          </w:tcPr>
          <w:p w14:paraId="259C3F6F" w14:textId="77777777" w:rsidR="00A96988" w:rsidRPr="00E10D93" w:rsidRDefault="00A96988" w:rsidP="00A96988">
            <w:pPr>
              <w:jc w:val="right"/>
              <w:rPr>
                <w:rFonts w:cs="Arial"/>
                <w:color w:val="000000"/>
                <w:sz w:val="20"/>
                <w:szCs w:val="20"/>
              </w:rPr>
            </w:pPr>
            <w:r w:rsidRPr="00E10D93">
              <w:rPr>
                <w:rFonts w:cs="Arial"/>
                <w:color w:val="000000"/>
                <w:sz w:val="20"/>
                <w:szCs w:val="20"/>
              </w:rPr>
              <w:t>13.047.682.000</w:t>
            </w:r>
          </w:p>
        </w:tc>
        <w:tc>
          <w:tcPr>
            <w:tcW w:w="756" w:type="pct"/>
            <w:tcBorders>
              <w:top w:val="nil"/>
              <w:left w:val="nil"/>
              <w:bottom w:val="nil"/>
              <w:right w:val="nil"/>
            </w:tcBorders>
            <w:shd w:val="clear" w:color="FFFFFF" w:fill="FFFFFF"/>
            <w:noWrap/>
            <w:vAlign w:val="center"/>
            <w:hideMark/>
          </w:tcPr>
          <w:p w14:paraId="763A4B14" w14:textId="77777777" w:rsidR="00A96988" w:rsidRPr="00E10D93" w:rsidRDefault="00A96988" w:rsidP="00A96988">
            <w:pPr>
              <w:jc w:val="center"/>
              <w:rPr>
                <w:rFonts w:cs="Arial"/>
                <w:color w:val="333333"/>
                <w:sz w:val="20"/>
                <w:szCs w:val="20"/>
              </w:rPr>
            </w:pPr>
            <w:r w:rsidRPr="00E10D93">
              <w:rPr>
                <w:rFonts w:cs="Arial"/>
                <w:color w:val="333333"/>
                <w:sz w:val="20"/>
                <w:szCs w:val="20"/>
              </w:rPr>
              <w:t>32,95</w:t>
            </w:r>
          </w:p>
        </w:tc>
      </w:tr>
      <w:tr w:rsidR="00A96988" w:rsidRPr="00E10D93" w14:paraId="435F7C5E" w14:textId="77777777" w:rsidTr="002B4DEE">
        <w:trPr>
          <w:trHeight w:hRule="exact" w:val="340"/>
        </w:trPr>
        <w:tc>
          <w:tcPr>
            <w:tcW w:w="2754" w:type="pct"/>
            <w:tcBorders>
              <w:top w:val="nil"/>
              <w:left w:val="nil"/>
              <w:bottom w:val="nil"/>
              <w:right w:val="single" w:sz="4" w:space="0" w:color="auto"/>
            </w:tcBorders>
            <w:shd w:val="clear" w:color="FFFFFF" w:fill="FFFFFF"/>
            <w:noWrap/>
            <w:vAlign w:val="center"/>
            <w:hideMark/>
          </w:tcPr>
          <w:p w14:paraId="228A6C4E" w14:textId="77777777" w:rsidR="00A96988" w:rsidRPr="00E10D93" w:rsidRDefault="00A96988" w:rsidP="000C6745">
            <w:pPr>
              <w:ind w:left="209"/>
              <w:jc w:val="left"/>
              <w:rPr>
                <w:rFonts w:cs="Arial"/>
                <w:color w:val="333333"/>
                <w:sz w:val="20"/>
                <w:szCs w:val="20"/>
              </w:rPr>
            </w:pPr>
            <w:r w:rsidRPr="00E10D93">
              <w:rPr>
                <w:rFonts w:cs="Arial"/>
                <w:color w:val="333333"/>
                <w:sz w:val="20"/>
                <w:szCs w:val="20"/>
              </w:rPr>
              <w:t>Investimentos</w:t>
            </w:r>
          </w:p>
        </w:tc>
        <w:tc>
          <w:tcPr>
            <w:tcW w:w="1490" w:type="pct"/>
            <w:tcBorders>
              <w:top w:val="nil"/>
              <w:left w:val="nil"/>
              <w:bottom w:val="nil"/>
              <w:right w:val="single" w:sz="4" w:space="0" w:color="auto"/>
            </w:tcBorders>
            <w:shd w:val="clear" w:color="auto" w:fill="auto"/>
            <w:noWrap/>
            <w:vAlign w:val="center"/>
            <w:hideMark/>
          </w:tcPr>
          <w:p w14:paraId="3369B0D2" w14:textId="77777777" w:rsidR="00A96988" w:rsidRPr="00E10D93" w:rsidRDefault="00A96988" w:rsidP="00A96988">
            <w:pPr>
              <w:jc w:val="right"/>
              <w:rPr>
                <w:rFonts w:cs="Arial"/>
                <w:color w:val="000000"/>
                <w:sz w:val="20"/>
                <w:szCs w:val="20"/>
              </w:rPr>
            </w:pPr>
            <w:r w:rsidRPr="00E10D93">
              <w:rPr>
                <w:rFonts w:cs="Arial"/>
                <w:color w:val="000000"/>
                <w:sz w:val="20"/>
                <w:szCs w:val="20"/>
              </w:rPr>
              <w:t>2.203.696.000</w:t>
            </w:r>
          </w:p>
        </w:tc>
        <w:tc>
          <w:tcPr>
            <w:tcW w:w="756" w:type="pct"/>
            <w:tcBorders>
              <w:top w:val="nil"/>
              <w:left w:val="nil"/>
              <w:bottom w:val="nil"/>
              <w:right w:val="nil"/>
            </w:tcBorders>
            <w:shd w:val="clear" w:color="FFFFFF" w:fill="FFFFFF"/>
            <w:noWrap/>
            <w:vAlign w:val="center"/>
            <w:hideMark/>
          </w:tcPr>
          <w:p w14:paraId="78B142E0" w14:textId="77777777" w:rsidR="00A96988" w:rsidRPr="00E10D93" w:rsidRDefault="00A96988" w:rsidP="00A96988">
            <w:pPr>
              <w:jc w:val="center"/>
              <w:rPr>
                <w:rFonts w:cs="Arial"/>
                <w:color w:val="333333"/>
                <w:sz w:val="20"/>
                <w:szCs w:val="20"/>
              </w:rPr>
            </w:pPr>
            <w:r w:rsidRPr="00E10D93">
              <w:rPr>
                <w:rFonts w:cs="Arial"/>
                <w:color w:val="333333"/>
                <w:sz w:val="20"/>
                <w:szCs w:val="20"/>
              </w:rPr>
              <w:t>5,57</w:t>
            </w:r>
          </w:p>
        </w:tc>
      </w:tr>
      <w:tr w:rsidR="00A96988" w:rsidRPr="00E10D93" w14:paraId="6D73069E" w14:textId="77777777" w:rsidTr="002B4DEE">
        <w:trPr>
          <w:trHeight w:hRule="exact" w:val="340"/>
        </w:trPr>
        <w:tc>
          <w:tcPr>
            <w:tcW w:w="2754" w:type="pct"/>
            <w:tcBorders>
              <w:top w:val="nil"/>
              <w:left w:val="nil"/>
              <w:bottom w:val="nil"/>
              <w:right w:val="single" w:sz="4" w:space="0" w:color="auto"/>
            </w:tcBorders>
            <w:shd w:val="clear" w:color="FFFFFF" w:fill="FFFFFF"/>
            <w:noWrap/>
            <w:vAlign w:val="center"/>
            <w:hideMark/>
          </w:tcPr>
          <w:p w14:paraId="4132F8B1" w14:textId="77777777" w:rsidR="00A96988" w:rsidRPr="00E10D93" w:rsidRDefault="00A96988" w:rsidP="000C6745">
            <w:pPr>
              <w:ind w:left="209"/>
              <w:jc w:val="left"/>
              <w:rPr>
                <w:rFonts w:cs="Arial"/>
                <w:color w:val="333333"/>
                <w:sz w:val="20"/>
                <w:szCs w:val="20"/>
              </w:rPr>
            </w:pPr>
            <w:r w:rsidRPr="00E10D93">
              <w:rPr>
                <w:rFonts w:cs="Arial"/>
                <w:color w:val="333333"/>
                <w:sz w:val="20"/>
                <w:szCs w:val="20"/>
              </w:rPr>
              <w:t>Amortização da Dívida</w:t>
            </w:r>
          </w:p>
        </w:tc>
        <w:tc>
          <w:tcPr>
            <w:tcW w:w="1490" w:type="pct"/>
            <w:tcBorders>
              <w:top w:val="nil"/>
              <w:left w:val="nil"/>
              <w:bottom w:val="nil"/>
              <w:right w:val="single" w:sz="4" w:space="0" w:color="auto"/>
            </w:tcBorders>
            <w:shd w:val="clear" w:color="auto" w:fill="auto"/>
            <w:noWrap/>
            <w:vAlign w:val="center"/>
            <w:hideMark/>
          </w:tcPr>
          <w:p w14:paraId="5B7B7045" w14:textId="77777777" w:rsidR="00A96988" w:rsidRPr="00E10D93" w:rsidRDefault="00A96988" w:rsidP="00A96988">
            <w:pPr>
              <w:jc w:val="right"/>
              <w:rPr>
                <w:rFonts w:cs="Arial"/>
                <w:color w:val="000000"/>
                <w:sz w:val="20"/>
                <w:szCs w:val="20"/>
              </w:rPr>
            </w:pPr>
            <w:r w:rsidRPr="00E10D93">
              <w:rPr>
                <w:rFonts w:cs="Arial"/>
                <w:color w:val="000000"/>
                <w:sz w:val="20"/>
                <w:szCs w:val="20"/>
              </w:rPr>
              <w:t>2.013.989.000</w:t>
            </w:r>
          </w:p>
        </w:tc>
        <w:tc>
          <w:tcPr>
            <w:tcW w:w="756" w:type="pct"/>
            <w:tcBorders>
              <w:top w:val="nil"/>
              <w:left w:val="nil"/>
              <w:bottom w:val="nil"/>
              <w:right w:val="nil"/>
            </w:tcBorders>
            <w:shd w:val="clear" w:color="FFFFFF" w:fill="FFFFFF"/>
            <w:noWrap/>
            <w:vAlign w:val="center"/>
            <w:hideMark/>
          </w:tcPr>
          <w:p w14:paraId="298EFC55" w14:textId="77777777" w:rsidR="00A96988" w:rsidRPr="00E10D93" w:rsidRDefault="00A96988" w:rsidP="00A96988">
            <w:pPr>
              <w:jc w:val="center"/>
              <w:rPr>
                <w:rFonts w:cs="Arial"/>
                <w:color w:val="333333"/>
                <w:sz w:val="20"/>
                <w:szCs w:val="20"/>
              </w:rPr>
            </w:pPr>
            <w:r w:rsidRPr="00E10D93">
              <w:rPr>
                <w:rFonts w:cs="Arial"/>
                <w:color w:val="333333"/>
                <w:sz w:val="20"/>
                <w:szCs w:val="20"/>
              </w:rPr>
              <w:t>5,09</w:t>
            </w:r>
          </w:p>
        </w:tc>
      </w:tr>
      <w:tr w:rsidR="00A96988" w:rsidRPr="00E10D93" w14:paraId="79F97D4D" w14:textId="77777777" w:rsidTr="002B4DEE">
        <w:trPr>
          <w:trHeight w:hRule="exact" w:val="340"/>
        </w:trPr>
        <w:tc>
          <w:tcPr>
            <w:tcW w:w="2754" w:type="pct"/>
            <w:tcBorders>
              <w:top w:val="nil"/>
              <w:left w:val="nil"/>
              <w:bottom w:val="nil"/>
              <w:right w:val="single" w:sz="4" w:space="0" w:color="auto"/>
            </w:tcBorders>
            <w:shd w:val="clear" w:color="FFFFFF" w:fill="FFFFFF"/>
            <w:noWrap/>
            <w:vAlign w:val="center"/>
            <w:hideMark/>
          </w:tcPr>
          <w:p w14:paraId="70D1CF03" w14:textId="77777777" w:rsidR="00A96988" w:rsidRPr="00E10D93" w:rsidRDefault="00A96988" w:rsidP="000C6745">
            <w:pPr>
              <w:ind w:left="209"/>
              <w:jc w:val="left"/>
              <w:rPr>
                <w:rFonts w:cs="Arial"/>
                <w:color w:val="333333"/>
                <w:sz w:val="20"/>
                <w:szCs w:val="20"/>
              </w:rPr>
            </w:pPr>
            <w:r w:rsidRPr="00E10D93">
              <w:rPr>
                <w:rFonts w:cs="Arial"/>
                <w:color w:val="333333"/>
                <w:sz w:val="20"/>
                <w:szCs w:val="20"/>
              </w:rPr>
              <w:t>Reserva de Contingência</w:t>
            </w:r>
          </w:p>
        </w:tc>
        <w:tc>
          <w:tcPr>
            <w:tcW w:w="1490" w:type="pct"/>
            <w:tcBorders>
              <w:top w:val="nil"/>
              <w:left w:val="nil"/>
              <w:bottom w:val="nil"/>
              <w:right w:val="single" w:sz="4" w:space="0" w:color="auto"/>
            </w:tcBorders>
            <w:shd w:val="clear" w:color="auto" w:fill="auto"/>
            <w:noWrap/>
            <w:vAlign w:val="center"/>
            <w:hideMark/>
          </w:tcPr>
          <w:p w14:paraId="3BFF8A6B" w14:textId="77777777" w:rsidR="00A96988" w:rsidRPr="00E10D93" w:rsidRDefault="00A96988" w:rsidP="00A96988">
            <w:pPr>
              <w:jc w:val="right"/>
              <w:rPr>
                <w:rFonts w:cs="Arial"/>
                <w:color w:val="000000"/>
                <w:sz w:val="20"/>
                <w:szCs w:val="20"/>
              </w:rPr>
            </w:pPr>
            <w:r w:rsidRPr="00E10D93">
              <w:rPr>
                <w:rFonts w:cs="Arial"/>
                <w:color w:val="000000"/>
                <w:sz w:val="20"/>
                <w:szCs w:val="20"/>
              </w:rPr>
              <w:t>634.919.000</w:t>
            </w:r>
          </w:p>
        </w:tc>
        <w:tc>
          <w:tcPr>
            <w:tcW w:w="756" w:type="pct"/>
            <w:tcBorders>
              <w:top w:val="nil"/>
              <w:left w:val="nil"/>
              <w:bottom w:val="nil"/>
              <w:right w:val="nil"/>
            </w:tcBorders>
            <w:shd w:val="clear" w:color="FFFFFF" w:fill="FFFFFF"/>
            <w:noWrap/>
            <w:vAlign w:val="center"/>
            <w:hideMark/>
          </w:tcPr>
          <w:p w14:paraId="556E0D1A" w14:textId="77777777" w:rsidR="00A96988" w:rsidRPr="00E10D93" w:rsidRDefault="00A96988" w:rsidP="00A96988">
            <w:pPr>
              <w:jc w:val="center"/>
              <w:rPr>
                <w:rFonts w:cs="Arial"/>
                <w:color w:val="333333"/>
                <w:sz w:val="20"/>
                <w:szCs w:val="20"/>
              </w:rPr>
            </w:pPr>
            <w:r w:rsidRPr="00E10D93">
              <w:rPr>
                <w:rFonts w:cs="Arial"/>
                <w:color w:val="333333"/>
                <w:sz w:val="20"/>
                <w:szCs w:val="20"/>
              </w:rPr>
              <w:t>1,60</w:t>
            </w:r>
          </w:p>
        </w:tc>
      </w:tr>
      <w:tr w:rsidR="00A96988" w:rsidRPr="00E10D93" w14:paraId="446688C8" w14:textId="77777777" w:rsidTr="002B4DEE">
        <w:trPr>
          <w:trHeight w:hRule="exact" w:val="340"/>
        </w:trPr>
        <w:tc>
          <w:tcPr>
            <w:tcW w:w="2754" w:type="pct"/>
            <w:tcBorders>
              <w:top w:val="nil"/>
              <w:left w:val="nil"/>
              <w:bottom w:val="nil"/>
              <w:right w:val="single" w:sz="4" w:space="0" w:color="auto"/>
            </w:tcBorders>
            <w:shd w:val="clear" w:color="FFFFFF" w:fill="FFFFFF"/>
            <w:noWrap/>
            <w:vAlign w:val="center"/>
            <w:hideMark/>
          </w:tcPr>
          <w:p w14:paraId="7348F186" w14:textId="77777777" w:rsidR="00A96988" w:rsidRPr="00E10D93" w:rsidRDefault="00A96988" w:rsidP="000C6745">
            <w:pPr>
              <w:ind w:left="209"/>
              <w:jc w:val="left"/>
              <w:rPr>
                <w:rFonts w:cs="Arial"/>
                <w:color w:val="333333"/>
                <w:sz w:val="20"/>
                <w:szCs w:val="20"/>
              </w:rPr>
            </w:pPr>
            <w:r w:rsidRPr="00E10D93">
              <w:rPr>
                <w:rFonts w:cs="Arial"/>
                <w:color w:val="333333"/>
                <w:sz w:val="20"/>
                <w:szCs w:val="20"/>
              </w:rPr>
              <w:t>Juros e Encargos da Dívida</w:t>
            </w:r>
          </w:p>
        </w:tc>
        <w:tc>
          <w:tcPr>
            <w:tcW w:w="1490" w:type="pct"/>
            <w:tcBorders>
              <w:top w:val="nil"/>
              <w:left w:val="nil"/>
              <w:bottom w:val="nil"/>
              <w:right w:val="single" w:sz="4" w:space="0" w:color="auto"/>
            </w:tcBorders>
            <w:shd w:val="clear" w:color="auto" w:fill="auto"/>
            <w:noWrap/>
            <w:vAlign w:val="center"/>
            <w:hideMark/>
          </w:tcPr>
          <w:p w14:paraId="506699F0" w14:textId="77777777" w:rsidR="00A96988" w:rsidRPr="00E10D93" w:rsidRDefault="00A96988" w:rsidP="00A96988">
            <w:pPr>
              <w:jc w:val="right"/>
              <w:rPr>
                <w:rFonts w:cs="Arial"/>
                <w:color w:val="000000"/>
                <w:sz w:val="20"/>
                <w:szCs w:val="20"/>
              </w:rPr>
            </w:pPr>
            <w:r w:rsidRPr="00E10D93">
              <w:rPr>
                <w:rFonts w:cs="Arial"/>
                <w:color w:val="000000"/>
                <w:sz w:val="20"/>
                <w:szCs w:val="20"/>
              </w:rPr>
              <w:t>248.604.000</w:t>
            </w:r>
          </w:p>
        </w:tc>
        <w:tc>
          <w:tcPr>
            <w:tcW w:w="756" w:type="pct"/>
            <w:tcBorders>
              <w:top w:val="nil"/>
              <w:left w:val="nil"/>
              <w:bottom w:val="nil"/>
              <w:right w:val="nil"/>
            </w:tcBorders>
            <w:shd w:val="clear" w:color="FFFFFF" w:fill="FFFFFF"/>
            <w:noWrap/>
            <w:vAlign w:val="center"/>
            <w:hideMark/>
          </w:tcPr>
          <w:p w14:paraId="0B2C7A8F" w14:textId="77777777" w:rsidR="00A96988" w:rsidRPr="00E10D93" w:rsidRDefault="00A96988" w:rsidP="00A96988">
            <w:pPr>
              <w:jc w:val="center"/>
              <w:rPr>
                <w:rFonts w:cs="Arial"/>
                <w:color w:val="333333"/>
                <w:sz w:val="20"/>
                <w:szCs w:val="20"/>
              </w:rPr>
            </w:pPr>
            <w:r w:rsidRPr="00E10D93">
              <w:rPr>
                <w:rFonts w:cs="Arial"/>
                <w:color w:val="333333"/>
                <w:sz w:val="20"/>
                <w:szCs w:val="20"/>
              </w:rPr>
              <w:t>0,63</w:t>
            </w:r>
          </w:p>
        </w:tc>
      </w:tr>
      <w:tr w:rsidR="00A96988" w:rsidRPr="00E10D93" w14:paraId="6D9929D9" w14:textId="77777777" w:rsidTr="002B4DEE">
        <w:trPr>
          <w:trHeight w:hRule="exact" w:val="340"/>
        </w:trPr>
        <w:tc>
          <w:tcPr>
            <w:tcW w:w="2754" w:type="pct"/>
            <w:tcBorders>
              <w:top w:val="nil"/>
              <w:left w:val="nil"/>
              <w:bottom w:val="single" w:sz="4" w:space="0" w:color="auto"/>
              <w:right w:val="single" w:sz="4" w:space="0" w:color="auto"/>
            </w:tcBorders>
            <w:shd w:val="clear" w:color="FFFFFF" w:fill="FFFFFF"/>
            <w:noWrap/>
            <w:vAlign w:val="center"/>
            <w:hideMark/>
          </w:tcPr>
          <w:p w14:paraId="2C9A296A" w14:textId="77777777" w:rsidR="00A96988" w:rsidRPr="00E10D93" w:rsidRDefault="00A96988" w:rsidP="000C6745">
            <w:pPr>
              <w:ind w:left="209"/>
              <w:jc w:val="left"/>
              <w:rPr>
                <w:rFonts w:cs="Arial"/>
                <w:color w:val="333333"/>
                <w:sz w:val="20"/>
                <w:szCs w:val="20"/>
              </w:rPr>
            </w:pPr>
            <w:r w:rsidRPr="00E10D93">
              <w:rPr>
                <w:rFonts w:cs="Arial"/>
                <w:color w:val="333333"/>
                <w:sz w:val="20"/>
                <w:szCs w:val="20"/>
              </w:rPr>
              <w:t>Inversões Financeiras</w:t>
            </w:r>
          </w:p>
        </w:tc>
        <w:tc>
          <w:tcPr>
            <w:tcW w:w="1490" w:type="pct"/>
            <w:tcBorders>
              <w:top w:val="nil"/>
              <w:left w:val="nil"/>
              <w:bottom w:val="single" w:sz="4" w:space="0" w:color="auto"/>
              <w:right w:val="single" w:sz="4" w:space="0" w:color="auto"/>
            </w:tcBorders>
            <w:shd w:val="clear" w:color="auto" w:fill="auto"/>
            <w:noWrap/>
            <w:vAlign w:val="center"/>
            <w:hideMark/>
          </w:tcPr>
          <w:p w14:paraId="3133894C" w14:textId="77777777" w:rsidR="00A96988" w:rsidRPr="00E10D93" w:rsidRDefault="00A96988" w:rsidP="00A96988">
            <w:pPr>
              <w:jc w:val="right"/>
              <w:rPr>
                <w:rFonts w:cs="Arial"/>
                <w:color w:val="000000"/>
                <w:sz w:val="20"/>
                <w:szCs w:val="20"/>
              </w:rPr>
            </w:pPr>
            <w:r w:rsidRPr="00E10D93">
              <w:rPr>
                <w:rFonts w:cs="Arial"/>
                <w:color w:val="000000"/>
                <w:sz w:val="20"/>
                <w:szCs w:val="20"/>
              </w:rPr>
              <w:t>56.644.000</w:t>
            </w:r>
          </w:p>
        </w:tc>
        <w:tc>
          <w:tcPr>
            <w:tcW w:w="756" w:type="pct"/>
            <w:tcBorders>
              <w:top w:val="nil"/>
              <w:left w:val="nil"/>
              <w:bottom w:val="single" w:sz="4" w:space="0" w:color="auto"/>
              <w:right w:val="nil"/>
            </w:tcBorders>
            <w:shd w:val="clear" w:color="FFFFFF" w:fill="FFFFFF"/>
            <w:noWrap/>
            <w:vAlign w:val="center"/>
            <w:hideMark/>
          </w:tcPr>
          <w:p w14:paraId="2126EE85" w14:textId="77777777" w:rsidR="00A96988" w:rsidRPr="00E10D93" w:rsidRDefault="00A96988" w:rsidP="00A96988">
            <w:pPr>
              <w:jc w:val="center"/>
              <w:rPr>
                <w:rFonts w:cs="Arial"/>
                <w:color w:val="333333"/>
                <w:sz w:val="20"/>
                <w:szCs w:val="20"/>
              </w:rPr>
            </w:pPr>
            <w:r w:rsidRPr="00E10D93">
              <w:rPr>
                <w:rFonts w:cs="Arial"/>
                <w:color w:val="333333"/>
                <w:sz w:val="20"/>
                <w:szCs w:val="20"/>
              </w:rPr>
              <w:t>0,14</w:t>
            </w:r>
          </w:p>
        </w:tc>
      </w:tr>
      <w:tr w:rsidR="00A96988" w:rsidRPr="00E10D93" w14:paraId="45749266" w14:textId="77777777" w:rsidTr="002B4DEE">
        <w:trPr>
          <w:trHeight w:hRule="exact" w:val="340"/>
        </w:trPr>
        <w:tc>
          <w:tcPr>
            <w:tcW w:w="2754" w:type="pct"/>
            <w:tcBorders>
              <w:top w:val="nil"/>
              <w:left w:val="nil"/>
              <w:bottom w:val="single" w:sz="4" w:space="0" w:color="auto"/>
              <w:right w:val="single" w:sz="4" w:space="0" w:color="auto"/>
            </w:tcBorders>
            <w:shd w:val="clear" w:color="auto" w:fill="auto"/>
            <w:noWrap/>
            <w:vAlign w:val="center"/>
            <w:hideMark/>
          </w:tcPr>
          <w:p w14:paraId="27E75941" w14:textId="77777777" w:rsidR="00A96988" w:rsidRPr="00E10D93" w:rsidRDefault="00A96988" w:rsidP="00A96988">
            <w:pPr>
              <w:jc w:val="center"/>
              <w:rPr>
                <w:rFonts w:cs="Arial"/>
                <w:b/>
                <w:bCs/>
                <w:color w:val="000000"/>
                <w:sz w:val="20"/>
                <w:szCs w:val="20"/>
              </w:rPr>
            </w:pPr>
            <w:r w:rsidRPr="00E10D93">
              <w:rPr>
                <w:rFonts w:cs="Arial"/>
                <w:b/>
                <w:bCs/>
                <w:color w:val="000000"/>
                <w:sz w:val="20"/>
                <w:szCs w:val="20"/>
              </w:rPr>
              <w:t>Total</w:t>
            </w:r>
          </w:p>
        </w:tc>
        <w:tc>
          <w:tcPr>
            <w:tcW w:w="1490" w:type="pct"/>
            <w:tcBorders>
              <w:top w:val="nil"/>
              <w:left w:val="nil"/>
              <w:bottom w:val="single" w:sz="4" w:space="0" w:color="auto"/>
              <w:right w:val="single" w:sz="4" w:space="0" w:color="auto"/>
            </w:tcBorders>
            <w:shd w:val="clear" w:color="auto" w:fill="auto"/>
            <w:noWrap/>
            <w:vAlign w:val="center"/>
            <w:hideMark/>
          </w:tcPr>
          <w:p w14:paraId="7157C9FC" w14:textId="77777777" w:rsidR="00A96988" w:rsidRPr="00E10D93" w:rsidRDefault="00A96988" w:rsidP="00A96988">
            <w:pPr>
              <w:jc w:val="right"/>
              <w:rPr>
                <w:rFonts w:cs="Arial"/>
                <w:b/>
                <w:bCs/>
                <w:color w:val="000000"/>
                <w:sz w:val="20"/>
                <w:szCs w:val="20"/>
              </w:rPr>
            </w:pPr>
            <w:r w:rsidRPr="00E10D93">
              <w:rPr>
                <w:rFonts w:cs="Arial"/>
                <w:b/>
                <w:bCs/>
                <w:color w:val="000000"/>
                <w:sz w:val="20"/>
                <w:szCs w:val="20"/>
              </w:rPr>
              <w:t>39.597.166.000</w:t>
            </w:r>
          </w:p>
        </w:tc>
        <w:tc>
          <w:tcPr>
            <w:tcW w:w="756" w:type="pct"/>
            <w:tcBorders>
              <w:top w:val="nil"/>
              <w:left w:val="nil"/>
              <w:bottom w:val="single" w:sz="4" w:space="0" w:color="auto"/>
              <w:right w:val="nil"/>
            </w:tcBorders>
            <w:shd w:val="clear" w:color="FFFFFF" w:fill="FFFFFF"/>
            <w:noWrap/>
            <w:vAlign w:val="center"/>
            <w:hideMark/>
          </w:tcPr>
          <w:p w14:paraId="4FECAB4D" w14:textId="77777777" w:rsidR="00A96988" w:rsidRPr="00E10D93" w:rsidRDefault="00A96988" w:rsidP="00A96988">
            <w:pPr>
              <w:jc w:val="center"/>
              <w:rPr>
                <w:rFonts w:cs="Arial"/>
                <w:b/>
                <w:bCs/>
                <w:color w:val="333333"/>
                <w:sz w:val="20"/>
                <w:szCs w:val="20"/>
              </w:rPr>
            </w:pPr>
            <w:r w:rsidRPr="00E10D93">
              <w:rPr>
                <w:rFonts w:cs="Arial"/>
                <w:b/>
                <w:bCs/>
                <w:color w:val="333333"/>
                <w:sz w:val="20"/>
                <w:szCs w:val="20"/>
              </w:rPr>
              <w:t>100,00</w:t>
            </w:r>
          </w:p>
        </w:tc>
      </w:tr>
    </w:tbl>
    <w:p w14:paraId="24211C56" w14:textId="77777777" w:rsidR="00A96988" w:rsidRPr="00333D34" w:rsidRDefault="00A96988" w:rsidP="00EF01A1">
      <w:pPr>
        <w:pStyle w:val="1-FONTE8ESQ"/>
        <w:rPr>
          <w:rStyle w:val="Forte"/>
          <w:b w:val="0"/>
          <w:bCs w:val="0"/>
        </w:rPr>
      </w:pPr>
      <w:r w:rsidRPr="00333D34">
        <w:rPr>
          <w:rStyle w:val="Forte"/>
          <w:b w:val="0"/>
          <w:bCs w:val="0"/>
        </w:rPr>
        <w:t xml:space="preserve">Fonte: </w:t>
      </w:r>
      <w:r>
        <w:rPr>
          <w:rStyle w:val="Forte"/>
          <w:b w:val="0"/>
          <w:bCs w:val="0"/>
        </w:rPr>
        <w:t>Balanço Orçamentário – Anexo 12 (BGE 2023)</w:t>
      </w:r>
      <w:r w:rsidRPr="00333D34">
        <w:rPr>
          <w:rStyle w:val="Forte"/>
          <w:b w:val="0"/>
          <w:bCs w:val="0"/>
        </w:rPr>
        <w:t xml:space="preserve">, </w:t>
      </w:r>
      <w:r w:rsidRPr="00D7707D">
        <w:rPr>
          <w:rStyle w:val="Forte"/>
          <w:b w:val="0"/>
          <w:bCs w:val="0"/>
          <w:i/>
        </w:rPr>
        <w:t>Business Objects</w:t>
      </w:r>
    </w:p>
    <w:p w14:paraId="2548DB72" w14:textId="79855187" w:rsidR="00A96988" w:rsidRDefault="00A96988" w:rsidP="00A96988">
      <w:pPr>
        <w:pStyle w:val="1-REL11"/>
      </w:pPr>
      <w:r>
        <w:t xml:space="preserve">A partir do exercício de 2021 também estão alocados, dentro dos orçamentos Fiscal e </w:t>
      </w:r>
      <w:r w:rsidRPr="00457E56">
        <w:t>da Seguridade Social</w:t>
      </w:r>
      <w:r>
        <w:t>, os valores designados para as empresas estatais dependentes</w:t>
      </w:r>
      <w:r>
        <w:rPr>
          <w:rStyle w:val="Refdenotaderodap"/>
        </w:rPr>
        <w:footnoteReference w:id="1"/>
      </w:r>
      <w:r>
        <w:t xml:space="preserve">. Em 2023 esses recursos foram orçados conforme a tabela a seguir: </w:t>
      </w:r>
    </w:p>
    <w:p w14:paraId="14398708" w14:textId="77777777" w:rsidR="00A96988" w:rsidRPr="00C17412" w:rsidRDefault="00A96988" w:rsidP="00ED3571">
      <w:pPr>
        <w:pStyle w:val="0-TABELA"/>
      </w:pPr>
      <w:bookmarkStart w:id="57" w:name="_Toc167871729"/>
      <w:r w:rsidRPr="00C17412">
        <w:t xml:space="preserve">Orçamento </w:t>
      </w:r>
      <w:r>
        <w:t>das Empresas Estatais Dependentes</w:t>
      </w:r>
      <w:bookmarkEnd w:id="57"/>
    </w:p>
    <w:p w14:paraId="7DFDF354" w14:textId="77777777" w:rsidR="00A96988" w:rsidRPr="00494AED" w:rsidRDefault="00A96988" w:rsidP="00A96988">
      <w:pPr>
        <w:pStyle w:val="0-EmR1"/>
      </w:pPr>
      <w:r w:rsidRPr="00333D34">
        <w:t>R$ 1</w:t>
      </w:r>
    </w:p>
    <w:tbl>
      <w:tblPr>
        <w:tblW w:w="5000" w:type="pct"/>
        <w:tblLayout w:type="fixed"/>
        <w:tblCellMar>
          <w:left w:w="70" w:type="dxa"/>
          <w:right w:w="70" w:type="dxa"/>
        </w:tblCellMar>
        <w:tblLook w:val="04A0" w:firstRow="1" w:lastRow="0" w:firstColumn="1" w:lastColumn="0" w:noHBand="0" w:noVBand="1"/>
      </w:tblPr>
      <w:tblGrid>
        <w:gridCol w:w="1771"/>
        <w:gridCol w:w="5773"/>
        <w:gridCol w:w="1809"/>
      </w:tblGrid>
      <w:tr w:rsidR="00A96988" w:rsidRPr="00E10D93" w14:paraId="625AAD73" w14:textId="77777777" w:rsidTr="00854644">
        <w:trPr>
          <w:trHeight w:val="312"/>
          <w:tblHeader/>
        </w:trPr>
        <w:tc>
          <w:tcPr>
            <w:tcW w:w="947" w:type="pct"/>
            <w:tcBorders>
              <w:top w:val="single" w:sz="4" w:space="0" w:color="auto"/>
              <w:left w:val="nil"/>
              <w:bottom w:val="single" w:sz="4" w:space="0" w:color="auto"/>
              <w:right w:val="single" w:sz="4" w:space="0" w:color="auto"/>
            </w:tcBorders>
            <w:shd w:val="clear" w:color="000000" w:fill="A1F2FD"/>
            <w:vAlign w:val="center"/>
            <w:hideMark/>
          </w:tcPr>
          <w:p w14:paraId="126CCAEA" w14:textId="77777777" w:rsidR="00A96988" w:rsidRPr="00E10D93" w:rsidRDefault="00A96988" w:rsidP="00A96988">
            <w:pPr>
              <w:jc w:val="center"/>
              <w:rPr>
                <w:rFonts w:cs="Arial"/>
                <w:b/>
                <w:bCs/>
                <w:color w:val="000000"/>
                <w:sz w:val="20"/>
                <w:szCs w:val="20"/>
              </w:rPr>
            </w:pPr>
            <w:r w:rsidRPr="00E10D93">
              <w:rPr>
                <w:rFonts w:cs="Arial"/>
                <w:b/>
                <w:bCs/>
                <w:color w:val="000000"/>
                <w:sz w:val="20"/>
                <w:szCs w:val="20"/>
              </w:rPr>
              <w:t>Unidade Orçamentária</w:t>
            </w:r>
          </w:p>
        </w:tc>
        <w:tc>
          <w:tcPr>
            <w:tcW w:w="3086" w:type="pct"/>
            <w:tcBorders>
              <w:top w:val="single" w:sz="4" w:space="0" w:color="auto"/>
              <w:left w:val="nil"/>
              <w:bottom w:val="single" w:sz="4" w:space="0" w:color="auto"/>
              <w:right w:val="single" w:sz="4" w:space="0" w:color="auto"/>
            </w:tcBorders>
            <w:shd w:val="clear" w:color="000000" w:fill="A1F2FD"/>
            <w:vAlign w:val="center"/>
            <w:hideMark/>
          </w:tcPr>
          <w:p w14:paraId="72B12DF9" w14:textId="77777777" w:rsidR="00A96988" w:rsidRPr="00E10D93" w:rsidRDefault="00A96988" w:rsidP="00A96988">
            <w:pPr>
              <w:jc w:val="center"/>
              <w:rPr>
                <w:rFonts w:cs="Arial"/>
                <w:b/>
                <w:bCs/>
                <w:color w:val="000000"/>
                <w:sz w:val="20"/>
                <w:szCs w:val="20"/>
              </w:rPr>
            </w:pPr>
            <w:r w:rsidRPr="00E10D93">
              <w:rPr>
                <w:rFonts w:cs="Arial"/>
                <w:b/>
                <w:bCs/>
                <w:color w:val="000000"/>
                <w:sz w:val="20"/>
                <w:szCs w:val="20"/>
              </w:rPr>
              <w:t>Empresa Dependente</w:t>
            </w:r>
          </w:p>
        </w:tc>
        <w:tc>
          <w:tcPr>
            <w:tcW w:w="967" w:type="pct"/>
            <w:tcBorders>
              <w:top w:val="single" w:sz="4" w:space="0" w:color="auto"/>
              <w:left w:val="nil"/>
              <w:bottom w:val="single" w:sz="4" w:space="0" w:color="auto"/>
              <w:right w:val="nil"/>
            </w:tcBorders>
            <w:shd w:val="clear" w:color="000000" w:fill="A1F2FD"/>
            <w:vAlign w:val="center"/>
            <w:hideMark/>
          </w:tcPr>
          <w:p w14:paraId="123DA7CA" w14:textId="77777777" w:rsidR="00A96988" w:rsidRPr="00E10D93" w:rsidRDefault="00A96988" w:rsidP="00A96988">
            <w:pPr>
              <w:jc w:val="center"/>
              <w:rPr>
                <w:rFonts w:cs="Arial"/>
                <w:b/>
                <w:bCs/>
                <w:color w:val="000000"/>
                <w:sz w:val="20"/>
                <w:szCs w:val="20"/>
              </w:rPr>
            </w:pPr>
            <w:r w:rsidRPr="00E10D93">
              <w:rPr>
                <w:rFonts w:cs="Arial"/>
                <w:b/>
                <w:bCs/>
                <w:color w:val="000000"/>
                <w:sz w:val="20"/>
                <w:szCs w:val="20"/>
              </w:rPr>
              <w:t>Valor Orçado</w:t>
            </w:r>
          </w:p>
        </w:tc>
      </w:tr>
      <w:tr w:rsidR="00A96988" w:rsidRPr="00E10D93" w14:paraId="3E2D488A" w14:textId="77777777" w:rsidTr="00854644">
        <w:trPr>
          <w:trHeight w:val="312"/>
        </w:trPr>
        <w:tc>
          <w:tcPr>
            <w:tcW w:w="947" w:type="pct"/>
            <w:tcBorders>
              <w:top w:val="nil"/>
              <w:left w:val="nil"/>
              <w:bottom w:val="nil"/>
              <w:right w:val="single" w:sz="4" w:space="0" w:color="auto"/>
            </w:tcBorders>
            <w:shd w:val="clear" w:color="auto" w:fill="auto"/>
            <w:noWrap/>
            <w:vAlign w:val="center"/>
            <w:hideMark/>
          </w:tcPr>
          <w:p w14:paraId="4BBCF00A" w14:textId="77777777" w:rsidR="00A96988" w:rsidRPr="00E10D93" w:rsidRDefault="00A96988" w:rsidP="00A96988">
            <w:pPr>
              <w:jc w:val="center"/>
              <w:rPr>
                <w:rFonts w:cs="Arial"/>
                <w:color w:val="000000"/>
                <w:sz w:val="20"/>
                <w:szCs w:val="20"/>
              </w:rPr>
            </w:pPr>
            <w:r w:rsidRPr="00E10D93">
              <w:rPr>
                <w:rFonts w:cs="Arial"/>
                <w:color w:val="000000"/>
                <w:sz w:val="20"/>
                <w:szCs w:val="20"/>
              </w:rPr>
              <w:t>4094</w:t>
            </w:r>
          </w:p>
        </w:tc>
        <w:tc>
          <w:tcPr>
            <w:tcW w:w="3086" w:type="pct"/>
            <w:tcBorders>
              <w:top w:val="nil"/>
              <w:left w:val="nil"/>
              <w:bottom w:val="nil"/>
              <w:right w:val="single" w:sz="4" w:space="0" w:color="auto"/>
            </w:tcBorders>
            <w:shd w:val="clear" w:color="auto" w:fill="auto"/>
            <w:noWrap/>
            <w:vAlign w:val="center"/>
            <w:hideMark/>
          </w:tcPr>
          <w:p w14:paraId="2A51929D" w14:textId="77777777" w:rsidR="00A96988" w:rsidRPr="00E10D93" w:rsidRDefault="00A96988" w:rsidP="00A96988">
            <w:pPr>
              <w:jc w:val="left"/>
              <w:rPr>
                <w:rFonts w:cs="Arial"/>
                <w:color w:val="000000"/>
                <w:sz w:val="20"/>
                <w:szCs w:val="20"/>
              </w:rPr>
            </w:pPr>
            <w:r w:rsidRPr="00E10D93">
              <w:rPr>
                <w:rFonts w:cs="Arial"/>
                <w:color w:val="000000"/>
                <w:sz w:val="20"/>
                <w:szCs w:val="20"/>
              </w:rPr>
              <w:t>Agência Goiana de Habitação S/A - Agehab</w:t>
            </w:r>
          </w:p>
        </w:tc>
        <w:tc>
          <w:tcPr>
            <w:tcW w:w="967" w:type="pct"/>
            <w:tcBorders>
              <w:top w:val="nil"/>
              <w:left w:val="nil"/>
              <w:bottom w:val="nil"/>
              <w:right w:val="nil"/>
            </w:tcBorders>
            <w:shd w:val="clear" w:color="auto" w:fill="auto"/>
            <w:noWrap/>
            <w:vAlign w:val="center"/>
            <w:hideMark/>
          </w:tcPr>
          <w:p w14:paraId="167268DB" w14:textId="77777777" w:rsidR="00A96988" w:rsidRPr="00E10D93" w:rsidRDefault="00A96988" w:rsidP="00A96988">
            <w:pPr>
              <w:jc w:val="right"/>
              <w:rPr>
                <w:rFonts w:cs="Arial"/>
                <w:color w:val="000000"/>
                <w:sz w:val="20"/>
                <w:szCs w:val="20"/>
              </w:rPr>
            </w:pPr>
            <w:r w:rsidRPr="00E10D93">
              <w:rPr>
                <w:rFonts w:cs="Arial"/>
                <w:color w:val="000000"/>
                <w:sz w:val="20"/>
                <w:szCs w:val="20"/>
              </w:rPr>
              <w:t xml:space="preserve">330.021.000 </w:t>
            </w:r>
          </w:p>
        </w:tc>
      </w:tr>
      <w:tr w:rsidR="00A96988" w:rsidRPr="00E10D93" w14:paraId="0D3C57E9" w14:textId="77777777" w:rsidTr="00854644">
        <w:trPr>
          <w:trHeight w:val="312"/>
        </w:trPr>
        <w:tc>
          <w:tcPr>
            <w:tcW w:w="947" w:type="pct"/>
            <w:tcBorders>
              <w:top w:val="nil"/>
              <w:left w:val="nil"/>
              <w:bottom w:val="nil"/>
              <w:right w:val="single" w:sz="4" w:space="0" w:color="auto"/>
            </w:tcBorders>
            <w:shd w:val="clear" w:color="auto" w:fill="auto"/>
            <w:noWrap/>
            <w:vAlign w:val="center"/>
            <w:hideMark/>
          </w:tcPr>
          <w:p w14:paraId="6A44ABB3" w14:textId="77777777" w:rsidR="00A96988" w:rsidRPr="00E10D93" w:rsidRDefault="00A96988" w:rsidP="00A96988">
            <w:pPr>
              <w:jc w:val="center"/>
              <w:rPr>
                <w:rFonts w:cs="Arial"/>
                <w:color w:val="000000"/>
                <w:sz w:val="20"/>
                <w:szCs w:val="20"/>
              </w:rPr>
            </w:pPr>
            <w:r w:rsidRPr="00E10D93">
              <w:rPr>
                <w:rFonts w:cs="Arial"/>
                <w:color w:val="000000"/>
                <w:sz w:val="20"/>
                <w:szCs w:val="20"/>
              </w:rPr>
              <w:t>4093</w:t>
            </w:r>
          </w:p>
        </w:tc>
        <w:tc>
          <w:tcPr>
            <w:tcW w:w="3086" w:type="pct"/>
            <w:tcBorders>
              <w:top w:val="nil"/>
              <w:left w:val="nil"/>
              <w:bottom w:val="nil"/>
              <w:right w:val="single" w:sz="4" w:space="0" w:color="auto"/>
            </w:tcBorders>
            <w:shd w:val="clear" w:color="auto" w:fill="auto"/>
            <w:noWrap/>
            <w:vAlign w:val="center"/>
            <w:hideMark/>
          </w:tcPr>
          <w:p w14:paraId="677BDC80" w14:textId="77777777" w:rsidR="00A96988" w:rsidRPr="00E10D93" w:rsidRDefault="00A96988" w:rsidP="00A96988">
            <w:pPr>
              <w:jc w:val="left"/>
              <w:rPr>
                <w:rFonts w:cs="Arial"/>
                <w:color w:val="000000"/>
                <w:sz w:val="20"/>
                <w:szCs w:val="20"/>
              </w:rPr>
            </w:pPr>
            <w:r w:rsidRPr="00E10D93">
              <w:rPr>
                <w:rFonts w:cs="Arial"/>
                <w:color w:val="000000"/>
                <w:sz w:val="20"/>
                <w:szCs w:val="20"/>
              </w:rPr>
              <w:t>Metrobus Transporte Coletivo S/A</w:t>
            </w:r>
          </w:p>
        </w:tc>
        <w:tc>
          <w:tcPr>
            <w:tcW w:w="967" w:type="pct"/>
            <w:tcBorders>
              <w:top w:val="nil"/>
              <w:left w:val="nil"/>
              <w:bottom w:val="nil"/>
              <w:right w:val="nil"/>
            </w:tcBorders>
            <w:shd w:val="clear" w:color="auto" w:fill="auto"/>
            <w:noWrap/>
            <w:vAlign w:val="center"/>
            <w:hideMark/>
          </w:tcPr>
          <w:p w14:paraId="15C6F89D" w14:textId="77777777" w:rsidR="00A96988" w:rsidRPr="00E10D93" w:rsidRDefault="00A96988" w:rsidP="00A96988">
            <w:pPr>
              <w:jc w:val="right"/>
              <w:rPr>
                <w:rFonts w:cs="Arial"/>
                <w:color w:val="000000"/>
                <w:sz w:val="20"/>
                <w:szCs w:val="20"/>
              </w:rPr>
            </w:pPr>
            <w:r w:rsidRPr="00E10D93">
              <w:rPr>
                <w:rFonts w:cs="Arial"/>
                <w:color w:val="000000"/>
                <w:sz w:val="20"/>
                <w:szCs w:val="20"/>
              </w:rPr>
              <w:t xml:space="preserve">89.789.000 </w:t>
            </w:r>
          </w:p>
        </w:tc>
      </w:tr>
      <w:tr w:rsidR="00A96988" w:rsidRPr="00E10D93" w14:paraId="6AE2F336" w14:textId="77777777" w:rsidTr="00854644">
        <w:trPr>
          <w:trHeight w:val="312"/>
        </w:trPr>
        <w:tc>
          <w:tcPr>
            <w:tcW w:w="947" w:type="pct"/>
            <w:tcBorders>
              <w:top w:val="nil"/>
              <w:left w:val="nil"/>
              <w:bottom w:val="nil"/>
              <w:right w:val="single" w:sz="4" w:space="0" w:color="auto"/>
            </w:tcBorders>
            <w:shd w:val="clear" w:color="auto" w:fill="auto"/>
            <w:noWrap/>
            <w:vAlign w:val="center"/>
            <w:hideMark/>
          </w:tcPr>
          <w:p w14:paraId="5F0533F3" w14:textId="77777777" w:rsidR="00A96988" w:rsidRPr="00E10D93" w:rsidRDefault="00A96988" w:rsidP="00A96988">
            <w:pPr>
              <w:jc w:val="center"/>
              <w:rPr>
                <w:rFonts w:cs="Arial"/>
                <w:color w:val="000000"/>
                <w:sz w:val="20"/>
                <w:szCs w:val="20"/>
              </w:rPr>
            </w:pPr>
            <w:r w:rsidRPr="00E10D93">
              <w:rPr>
                <w:rFonts w:cs="Arial"/>
                <w:color w:val="000000"/>
                <w:sz w:val="20"/>
                <w:szCs w:val="20"/>
              </w:rPr>
              <w:t>2890</w:t>
            </w:r>
          </w:p>
        </w:tc>
        <w:tc>
          <w:tcPr>
            <w:tcW w:w="3086" w:type="pct"/>
            <w:tcBorders>
              <w:top w:val="nil"/>
              <w:left w:val="nil"/>
              <w:bottom w:val="nil"/>
              <w:right w:val="single" w:sz="4" w:space="0" w:color="auto"/>
            </w:tcBorders>
            <w:shd w:val="clear" w:color="auto" w:fill="auto"/>
            <w:noWrap/>
            <w:vAlign w:val="center"/>
            <w:hideMark/>
          </w:tcPr>
          <w:p w14:paraId="65A6D4DB" w14:textId="77777777" w:rsidR="00A96988" w:rsidRPr="00E10D93" w:rsidRDefault="00A96988" w:rsidP="00A96988">
            <w:pPr>
              <w:jc w:val="left"/>
              <w:rPr>
                <w:rFonts w:cs="Arial"/>
                <w:color w:val="000000"/>
                <w:sz w:val="20"/>
                <w:szCs w:val="20"/>
              </w:rPr>
            </w:pPr>
            <w:r w:rsidRPr="00E10D93">
              <w:rPr>
                <w:rFonts w:cs="Arial"/>
                <w:color w:val="000000"/>
                <w:sz w:val="20"/>
                <w:szCs w:val="20"/>
              </w:rPr>
              <w:t>Indústria Química do Estado de Goiás S/A - Iquego</w:t>
            </w:r>
          </w:p>
        </w:tc>
        <w:tc>
          <w:tcPr>
            <w:tcW w:w="967" w:type="pct"/>
            <w:tcBorders>
              <w:top w:val="nil"/>
              <w:left w:val="nil"/>
              <w:bottom w:val="nil"/>
              <w:right w:val="nil"/>
            </w:tcBorders>
            <w:shd w:val="clear" w:color="auto" w:fill="auto"/>
            <w:noWrap/>
            <w:vAlign w:val="center"/>
            <w:hideMark/>
          </w:tcPr>
          <w:p w14:paraId="4C40BEC2" w14:textId="77777777" w:rsidR="00A96988" w:rsidRPr="00E10D93" w:rsidRDefault="00A96988" w:rsidP="00A96988">
            <w:pPr>
              <w:jc w:val="right"/>
              <w:rPr>
                <w:rFonts w:cs="Arial"/>
                <w:color w:val="000000"/>
                <w:sz w:val="20"/>
                <w:szCs w:val="20"/>
              </w:rPr>
            </w:pPr>
            <w:r w:rsidRPr="00E10D93">
              <w:rPr>
                <w:rFonts w:cs="Arial"/>
                <w:color w:val="000000"/>
                <w:sz w:val="20"/>
                <w:szCs w:val="20"/>
              </w:rPr>
              <w:t xml:space="preserve">37.632.000 </w:t>
            </w:r>
          </w:p>
        </w:tc>
      </w:tr>
      <w:tr w:rsidR="00A96988" w:rsidRPr="00E10D93" w14:paraId="69D1A609" w14:textId="77777777" w:rsidTr="00854644">
        <w:trPr>
          <w:trHeight w:val="312"/>
        </w:trPr>
        <w:tc>
          <w:tcPr>
            <w:tcW w:w="947" w:type="pct"/>
            <w:tcBorders>
              <w:top w:val="nil"/>
              <w:left w:val="nil"/>
              <w:bottom w:val="nil"/>
              <w:right w:val="single" w:sz="4" w:space="0" w:color="auto"/>
            </w:tcBorders>
            <w:shd w:val="clear" w:color="auto" w:fill="auto"/>
            <w:noWrap/>
            <w:vAlign w:val="center"/>
            <w:hideMark/>
          </w:tcPr>
          <w:p w14:paraId="1F995D8C" w14:textId="77777777" w:rsidR="00A96988" w:rsidRPr="00E10D93" w:rsidRDefault="00A96988" w:rsidP="00A96988">
            <w:pPr>
              <w:jc w:val="center"/>
              <w:rPr>
                <w:rFonts w:cs="Arial"/>
                <w:color w:val="000000"/>
                <w:sz w:val="20"/>
                <w:szCs w:val="20"/>
              </w:rPr>
            </w:pPr>
            <w:r w:rsidRPr="00E10D93">
              <w:rPr>
                <w:rFonts w:cs="Arial"/>
                <w:color w:val="000000"/>
                <w:sz w:val="20"/>
                <w:szCs w:val="20"/>
              </w:rPr>
              <w:t>4091</w:t>
            </w:r>
          </w:p>
        </w:tc>
        <w:tc>
          <w:tcPr>
            <w:tcW w:w="3086" w:type="pct"/>
            <w:tcBorders>
              <w:top w:val="nil"/>
              <w:left w:val="nil"/>
              <w:bottom w:val="nil"/>
              <w:right w:val="single" w:sz="4" w:space="0" w:color="auto"/>
            </w:tcBorders>
            <w:shd w:val="clear" w:color="auto" w:fill="auto"/>
            <w:noWrap/>
            <w:vAlign w:val="center"/>
            <w:hideMark/>
          </w:tcPr>
          <w:p w14:paraId="59A6924F" w14:textId="77777777" w:rsidR="00A96988" w:rsidRPr="00E10D93" w:rsidRDefault="00A96988" w:rsidP="00A96988">
            <w:pPr>
              <w:jc w:val="left"/>
              <w:rPr>
                <w:rFonts w:cs="Arial"/>
                <w:color w:val="000000"/>
                <w:sz w:val="20"/>
                <w:szCs w:val="20"/>
              </w:rPr>
            </w:pPr>
            <w:r w:rsidRPr="00E10D93">
              <w:rPr>
                <w:rFonts w:cs="Arial"/>
                <w:color w:val="000000"/>
                <w:sz w:val="20"/>
                <w:szCs w:val="20"/>
              </w:rPr>
              <w:t>Goiás Telecom S/A</w:t>
            </w:r>
          </w:p>
        </w:tc>
        <w:tc>
          <w:tcPr>
            <w:tcW w:w="967" w:type="pct"/>
            <w:tcBorders>
              <w:top w:val="nil"/>
              <w:left w:val="nil"/>
              <w:bottom w:val="nil"/>
              <w:right w:val="nil"/>
            </w:tcBorders>
            <w:shd w:val="clear" w:color="auto" w:fill="auto"/>
            <w:noWrap/>
            <w:vAlign w:val="center"/>
            <w:hideMark/>
          </w:tcPr>
          <w:p w14:paraId="6647C15B" w14:textId="77777777" w:rsidR="00A96988" w:rsidRPr="00E10D93" w:rsidRDefault="00A96988" w:rsidP="00A96988">
            <w:pPr>
              <w:jc w:val="right"/>
              <w:rPr>
                <w:rFonts w:cs="Arial"/>
                <w:color w:val="000000"/>
                <w:sz w:val="20"/>
                <w:szCs w:val="20"/>
              </w:rPr>
            </w:pPr>
            <w:r w:rsidRPr="00E10D93">
              <w:rPr>
                <w:rFonts w:cs="Arial"/>
                <w:color w:val="000000"/>
                <w:sz w:val="20"/>
                <w:szCs w:val="20"/>
              </w:rPr>
              <w:t xml:space="preserve">2.670.000 </w:t>
            </w:r>
          </w:p>
        </w:tc>
      </w:tr>
      <w:tr w:rsidR="00A96988" w:rsidRPr="00E10D93" w14:paraId="5E5DADF0" w14:textId="77777777" w:rsidTr="00854644">
        <w:trPr>
          <w:trHeight w:val="312"/>
        </w:trPr>
        <w:tc>
          <w:tcPr>
            <w:tcW w:w="4033"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2ADB8947" w14:textId="77777777" w:rsidR="00A96988" w:rsidRPr="00E10D93" w:rsidRDefault="00A96988" w:rsidP="00A96988">
            <w:pPr>
              <w:jc w:val="center"/>
              <w:rPr>
                <w:rFonts w:cs="Arial"/>
                <w:b/>
                <w:bCs/>
                <w:color w:val="000000"/>
                <w:sz w:val="20"/>
                <w:szCs w:val="20"/>
              </w:rPr>
            </w:pPr>
            <w:r w:rsidRPr="00E10D93">
              <w:rPr>
                <w:rFonts w:cs="Arial"/>
                <w:b/>
                <w:bCs/>
                <w:color w:val="000000"/>
                <w:sz w:val="20"/>
                <w:szCs w:val="20"/>
              </w:rPr>
              <w:t>Total</w:t>
            </w:r>
          </w:p>
        </w:tc>
        <w:tc>
          <w:tcPr>
            <w:tcW w:w="967" w:type="pct"/>
            <w:tcBorders>
              <w:top w:val="single" w:sz="4" w:space="0" w:color="auto"/>
              <w:left w:val="nil"/>
              <w:bottom w:val="single" w:sz="4" w:space="0" w:color="auto"/>
              <w:right w:val="nil"/>
            </w:tcBorders>
            <w:shd w:val="clear" w:color="auto" w:fill="auto"/>
            <w:noWrap/>
            <w:vAlign w:val="center"/>
            <w:hideMark/>
          </w:tcPr>
          <w:p w14:paraId="432E32BF" w14:textId="77777777" w:rsidR="00A96988" w:rsidRPr="00E10D93" w:rsidRDefault="00A96988" w:rsidP="00A96988">
            <w:pPr>
              <w:jc w:val="right"/>
              <w:rPr>
                <w:rFonts w:cs="Arial"/>
                <w:b/>
                <w:bCs/>
                <w:color w:val="000000"/>
                <w:sz w:val="20"/>
                <w:szCs w:val="20"/>
              </w:rPr>
            </w:pPr>
            <w:r w:rsidRPr="00E10D93">
              <w:rPr>
                <w:rFonts w:cs="Arial"/>
                <w:b/>
                <w:bCs/>
                <w:color w:val="000000"/>
                <w:sz w:val="20"/>
                <w:szCs w:val="20"/>
              </w:rPr>
              <w:t xml:space="preserve">460.112.000 </w:t>
            </w:r>
          </w:p>
        </w:tc>
      </w:tr>
    </w:tbl>
    <w:p w14:paraId="4AE6C740" w14:textId="77777777" w:rsidR="00A96988" w:rsidRPr="00333D34" w:rsidRDefault="00A96988" w:rsidP="00EF01A1">
      <w:pPr>
        <w:pStyle w:val="1-FONTE8ESQ"/>
        <w:rPr>
          <w:rStyle w:val="Forte"/>
          <w:b w:val="0"/>
          <w:bCs w:val="0"/>
        </w:rPr>
      </w:pPr>
      <w:r>
        <w:rPr>
          <w:rStyle w:val="Forte"/>
          <w:b w:val="0"/>
          <w:bCs w:val="0"/>
        </w:rPr>
        <w:t>Font</w:t>
      </w:r>
      <w:r w:rsidRPr="00333D34">
        <w:rPr>
          <w:rStyle w:val="Forte"/>
          <w:b w:val="0"/>
          <w:bCs w:val="0"/>
        </w:rPr>
        <w:t xml:space="preserve">e: </w:t>
      </w:r>
      <w:r w:rsidRPr="000B1356">
        <w:rPr>
          <w:rStyle w:val="Forte"/>
          <w:b w:val="0"/>
        </w:rPr>
        <w:t>Lei Estadual nº 21.760/2022 (LOA)</w:t>
      </w:r>
    </w:p>
    <w:p w14:paraId="1276ADC8" w14:textId="77777777" w:rsidR="00A96988" w:rsidRPr="00C17412" w:rsidRDefault="00A96988" w:rsidP="00A96988">
      <w:pPr>
        <w:pStyle w:val="1-REL11"/>
      </w:pPr>
      <w:r w:rsidRPr="001F59D4">
        <w:t xml:space="preserve">Já o </w:t>
      </w:r>
      <w:r>
        <w:t>o</w:t>
      </w:r>
      <w:r w:rsidRPr="001F59D4">
        <w:t xml:space="preserve">rçamento de Investimento, que está diretamente relacionado com ações e atividades das empresas estatais não dependentes, </w:t>
      </w:r>
      <w:r>
        <w:t xml:space="preserve">teve seus recursos </w:t>
      </w:r>
      <w:r w:rsidRPr="001F59D4">
        <w:t>destinados da seguinte forma:</w:t>
      </w:r>
    </w:p>
    <w:p w14:paraId="6DF588BA" w14:textId="77777777" w:rsidR="00A96988" w:rsidRPr="00C17412" w:rsidRDefault="00A96988" w:rsidP="00ED3571">
      <w:pPr>
        <w:pStyle w:val="0-TABELA"/>
      </w:pPr>
      <w:bookmarkStart w:id="58" w:name="_Toc167871730"/>
      <w:r w:rsidRPr="00C17412">
        <w:t xml:space="preserve">Orçamento </w:t>
      </w:r>
      <w:r>
        <w:t>de Investimento</w:t>
      </w:r>
      <w:bookmarkEnd w:id="58"/>
    </w:p>
    <w:p w14:paraId="7F8B34D0" w14:textId="77777777" w:rsidR="00A96988" w:rsidRDefault="00A96988" w:rsidP="00A96988">
      <w:pPr>
        <w:pStyle w:val="0-EmR1"/>
        <w:rPr>
          <w:rStyle w:val="Forte"/>
          <w:b w:val="0"/>
          <w:bCs w:val="0"/>
        </w:rPr>
      </w:pPr>
      <w:r w:rsidRPr="00333D34">
        <w:t>R$ 1</w:t>
      </w:r>
    </w:p>
    <w:tbl>
      <w:tblPr>
        <w:tblW w:w="5000" w:type="pct"/>
        <w:tblCellMar>
          <w:left w:w="70" w:type="dxa"/>
          <w:right w:w="70" w:type="dxa"/>
        </w:tblCellMar>
        <w:tblLook w:val="04A0" w:firstRow="1" w:lastRow="0" w:firstColumn="1" w:lastColumn="0" w:noHBand="0" w:noVBand="1"/>
      </w:tblPr>
      <w:tblGrid>
        <w:gridCol w:w="6463"/>
        <w:gridCol w:w="1476"/>
        <w:gridCol w:w="1414"/>
      </w:tblGrid>
      <w:tr w:rsidR="00A96988" w:rsidRPr="00EA7D53" w14:paraId="1E94C34A" w14:textId="77777777" w:rsidTr="00854644">
        <w:trPr>
          <w:trHeight w:val="312"/>
          <w:tblHeader/>
        </w:trPr>
        <w:tc>
          <w:tcPr>
            <w:tcW w:w="3455" w:type="pct"/>
            <w:tcBorders>
              <w:top w:val="single" w:sz="4" w:space="0" w:color="auto"/>
              <w:left w:val="nil"/>
              <w:bottom w:val="single" w:sz="4" w:space="0" w:color="auto"/>
              <w:right w:val="single" w:sz="4" w:space="0" w:color="auto"/>
            </w:tcBorders>
            <w:shd w:val="clear" w:color="000000" w:fill="A1F2FD"/>
            <w:vAlign w:val="center"/>
            <w:hideMark/>
          </w:tcPr>
          <w:p w14:paraId="1A760979" w14:textId="77777777" w:rsidR="00A96988" w:rsidRPr="00EA7D53" w:rsidRDefault="00A96988" w:rsidP="00A96988">
            <w:pPr>
              <w:jc w:val="center"/>
              <w:rPr>
                <w:rFonts w:cs="Arial"/>
                <w:b/>
                <w:bCs/>
                <w:color w:val="000000"/>
                <w:sz w:val="20"/>
                <w:szCs w:val="20"/>
              </w:rPr>
            </w:pPr>
            <w:r w:rsidRPr="00EA7D53">
              <w:rPr>
                <w:rFonts w:cs="Arial"/>
                <w:b/>
                <w:bCs/>
                <w:color w:val="000000"/>
                <w:sz w:val="20"/>
                <w:szCs w:val="20"/>
              </w:rPr>
              <w:t>Empresa Não Dependente</w:t>
            </w:r>
          </w:p>
        </w:tc>
        <w:tc>
          <w:tcPr>
            <w:tcW w:w="789" w:type="pct"/>
            <w:tcBorders>
              <w:top w:val="single" w:sz="4" w:space="0" w:color="auto"/>
              <w:left w:val="nil"/>
              <w:bottom w:val="single" w:sz="4" w:space="0" w:color="auto"/>
              <w:right w:val="single" w:sz="4" w:space="0" w:color="auto"/>
            </w:tcBorders>
            <w:shd w:val="clear" w:color="000000" w:fill="A1F2FD"/>
            <w:vAlign w:val="center"/>
            <w:hideMark/>
          </w:tcPr>
          <w:p w14:paraId="3D562ED0" w14:textId="77777777" w:rsidR="00A96988" w:rsidRPr="00EA7D53" w:rsidRDefault="00A96988" w:rsidP="00A96988">
            <w:pPr>
              <w:jc w:val="center"/>
              <w:rPr>
                <w:rFonts w:cs="Arial"/>
                <w:b/>
                <w:bCs/>
                <w:color w:val="000000"/>
                <w:sz w:val="20"/>
                <w:szCs w:val="20"/>
              </w:rPr>
            </w:pPr>
            <w:r w:rsidRPr="00EA7D53">
              <w:rPr>
                <w:rFonts w:cs="Arial"/>
                <w:b/>
                <w:bCs/>
                <w:color w:val="000000"/>
                <w:sz w:val="20"/>
                <w:szCs w:val="20"/>
              </w:rPr>
              <w:t>Valor Orçado</w:t>
            </w:r>
          </w:p>
        </w:tc>
        <w:tc>
          <w:tcPr>
            <w:tcW w:w="756" w:type="pct"/>
            <w:tcBorders>
              <w:top w:val="single" w:sz="4" w:space="0" w:color="auto"/>
              <w:left w:val="nil"/>
              <w:bottom w:val="single" w:sz="4" w:space="0" w:color="auto"/>
              <w:right w:val="nil"/>
            </w:tcBorders>
            <w:shd w:val="clear" w:color="000000" w:fill="A1F2FD"/>
            <w:vAlign w:val="center"/>
            <w:hideMark/>
          </w:tcPr>
          <w:p w14:paraId="2E4EC2D2" w14:textId="42BAFA63" w:rsidR="00A96988" w:rsidRPr="00EA7D53" w:rsidRDefault="00600F4B" w:rsidP="00A96988">
            <w:pPr>
              <w:jc w:val="center"/>
              <w:rPr>
                <w:rFonts w:cs="Arial"/>
                <w:b/>
                <w:bCs/>
                <w:color w:val="000000"/>
                <w:sz w:val="20"/>
                <w:szCs w:val="20"/>
              </w:rPr>
            </w:pPr>
            <w:r w:rsidRPr="00EA7D53">
              <w:rPr>
                <w:rFonts w:cs="Arial"/>
                <w:b/>
                <w:bCs/>
                <w:color w:val="000000"/>
                <w:sz w:val="20"/>
                <w:szCs w:val="20"/>
              </w:rPr>
              <w:t xml:space="preserve">AV </w:t>
            </w:r>
            <w:r w:rsidR="00A96988" w:rsidRPr="00EA7D53">
              <w:rPr>
                <w:rFonts w:cs="Arial"/>
                <w:b/>
                <w:bCs/>
                <w:color w:val="000000"/>
                <w:sz w:val="20"/>
                <w:szCs w:val="20"/>
              </w:rPr>
              <w:t>%</w:t>
            </w:r>
          </w:p>
        </w:tc>
      </w:tr>
      <w:tr w:rsidR="00A96988" w:rsidRPr="00EA7D53" w14:paraId="146CF71A" w14:textId="77777777" w:rsidTr="00854644">
        <w:trPr>
          <w:trHeight w:val="312"/>
        </w:trPr>
        <w:tc>
          <w:tcPr>
            <w:tcW w:w="3455" w:type="pct"/>
            <w:tcBorders>
              <w:top w:val="nil"/>
              <w:left w:val="nil"/>
              <w:bottom w:val="nil"/>
              <w:right w:val="single" w:sz="4" w:space="0" w:color="auto"/>
            </w:tcBorders>
            <w:shd w:val="clear" w:color="auto" w:fill="auto"/>
            <w:noWrap/>
            <w:vAlign w:val="center"/>
            <w:hideMark/>
          </w:tcPr>
          <w:p w14:paraId="4C14AEEC" w14:textId="77777777" w:rsidR="00A96988" w:rsidRPr="00EA7D53" w:rsidRDefault="00A96988" w:rsidP="000C6745">
            <w:pPr>
              <w:ind w:left="209"/>
              <w:jc w:val="left"/>
              <w:rPr>
                <w:rFonts w:cs="Arial"/>
                <w:color w:val="000000"/>
                <w:sz w:val="20"/>
                <w:szCs w:val="20"/>
              </w:rPr>
            </w:pPr>
            <w:r w:rsidRPr="00EA7D53">
              <w:rPr>
                <w:rFonts w:cs="Arial"/>
                <w:color w:val="000000"/>
                <w:sz w:val="20"/>
                <w:szCs w:val="20"/>
              </w:rPr>
              <w:t>Companhia Celg de Participação - Celgpar</w:t>
            </w:r>
          </w:p>
        </w:tc>
        <w:tc>
          <w:tcPr>
            <w:tcW w:w="789" w:type="pct"/>
            <w:tcBorders>
              <w:top w:val="nil"/>
              <w:left w:val="nil"/>
              <w:bottom w:val="nil"/>
              <w:right w:val="single" w:sz="4" w:space="0" w:color="auto"/>
            </w:tcBorders>
            <w:shd w:val="clear" w:color="auto" w:fill="auto"/>
            <w:noWrap/>
            <w:vAlign w:val="center"/>
            <w:hideMark/>
          </w:tcPr>
          <w:p w14:paraId="508760AF" w14:textId="77777777" w:rsidR="00A96988" w:rsidRPr="00EA7D53" w:rsidRDefault="00A96988" w:rsidP="00A96988">
            <w:pPr>
              <w:jc w:val="right"/>
              <w:rPr>
                <w:rFonts w:cs="Arial"/>
                <w:color w:val="000000"/>
                <w:sz w:val="20"/>
                <w:szCs w:val="20"/>
              </w:rPr>
            </w:pPr>
            <w:r w:rsidRPr="00EA7D53">
              <w:rPr>
                <w:rFonts w:cs="Arial"/>
                <w:color w:val="000000"/>
                <w:sz w:val="20"/>
                <w:szCs w:val="20"/>
              </w:rPr>
              <w:t xml:space="preserve">175.502.000 </w:t>
            </w:r>
          </w:p>
        </w:tc>
        <w:tc>
          <w:tcPr>
            <w:tcW w:w="756" w:type="pct"/>
            <w:tcBorders>
              <w:top w:val="nil"/>
              <w:left w:val="nil"/>
              <w:bottom w:val="nil"/>
              <w:right w:val="nil"/>
            </w:tcBorders>
            <w:shd w:val="clear" w:color="auto" w:fill="auto"/>
            <w:noWrap/>
            <w:vAlign w:val="center"/>
            <w:hideMark/>
          </w:tcPr>
          <w:p w14:paraId="74950851" w14:textId="77777777" w:rsidR="00A96988" w:rsidRPr="00EA7D53" w:rsidRDefault="00A96988" w:rsidP="00A96988">
            <w:pPr>
              <w:jc w:val="center"/>
              <w:rPr>
                <w:rFonts w:cs="Arial"/>
                <w:color w:val="000000"/>
                <w:sz w:val="20"/>
                <w:szCs w:val="20"/>
              </w:rPr>
            </w:pPr>
            <w:r w:rsidRPr="00EA7D53">
              <w:rPr>
                <w:rFonts w:cs="Arial"/>
                <w:color w:val="000000"/>
                <w:sz w:val="20"/>
                <w:szCs w:val="20"/>
              </w:rPr>
              <w:t>50,12</w:t>
            </w:r>
          </w:p>
        </w:tc>
      </w:tr>
      <w:tr w:rsidR="00A96988" w:rsidRPr="00EA7D53" w14:paraId="74CE613C" w14:textId="77777777" w:rsidTr="00854644">
        <w:trPr>
          <w:trHeight w:val="312"/>
        </w:trPr>
        <w:tc>
          <w:tcPr>
            <w:tcW w:w="3455" w:type="pct"/>
            <w:tcBorders>
              <w:top w:val="nil"/>
              <w:left w:val="nil"/>
              <w:bottom w:val="nil"/>
              <w:right w:val="single" w:sz="4" w:space="0" w:color="auto"/>
            </w:tcBorders>
            <w:shd w:val="clear" w:color="auto" w:fill="auto"/>
            <w:noWrap/>
            <w:vAlign w:val="center"/>
            <w:hideMark/>
          </w:tcPr>
          <w:p w14:paraId="335054AC" w14:textId="77777777" w:rsidR="00A96988" w:rsidRPr="00EA7D53" w:rsidRDefault="00A96988" w:rsidP="000C6745">
            <w:pPr>
              <w:ind w:left="209"/>
              <w:jc w:val="left"/>
              <w:rPr>
                <w:rFonts w:cs="Arial"/>
                <w:color w:val="000000"/>
                <w:sz w:val="20"/>
                <w:szCs w:val="20"/>
              </w:rPr>
            </w:pPr>
            <w:r w:rsidRPr="00EA7D53">
              <w:rPr>
                <w:rFonts w:cs="Arial"/>
                <w:color w:val="000000"/>
                <w:sz w:val="20"/>
                <w:szCs w:val="20"/>
              </w:rPr>
              <w:t>Companhia de Desenvolvimento Econômico de Goiás - Codego</w:t>
            </w:r>
          </w:p>
        </w:tc>
        <w:tc>
          <w:tcPr>
            <w:tcW w:w="789" w:type="pct"/>
            <w:tcBorders>
              <w:top w:val="nil"/>
              <w:left w:val="nil"/>
              <w:bottom w:val="nil"/>
              <w:right w:val="single" w:sz="4" w:space="0" w:color="auto"/>
            </w:tcBorders>
            <w:shd w:val="clear" w:color="auto" w:fill="auto"/>
            <w:noWrap/>
            <w:vAlign w:val="center"/>
            <w:hideMark/>
          </w:tcPr>
          <w:p w14:paraId="2BCD151D" w14:textId="77777777" w:rsidR="00A96988" w:rsidRPr="00EA7D53" w:rsidRDefault="00A96988" w:rsidP="00A96988">
            <w:pPr>
              <w:jc w:val="right"/>
              <w:rPr>
                <w:rFonts w:cs="Arial"/>
                <w:color w:val="000000"/>
                <w:sz w:val="20"/>
                <w:szCs w:val="20"/>
              </w:rPr>
            </w:pPr>
            <w:r w:rsidRPr="00EA7D53">
              <w:rPr>
                <w:rFonts w:cs="Arial"/>
                <w:color w:val="000000"/>
                <w:sz w:val="20"/>
                <w:szCs w:val="20"/>
              </w:rPr>
              <w:t xml:space="preserve">162.521.000 </w:t>
            </w:r>
          </w:p>
        </w:tc>
        <w:tc>
          <w:tcPr>
            <w:tcW w:w="756" w:type="pct"/>
            <w:tcBorders>
              <w:top w:val="nil"/>
              <w:left w:val="nil"/>
              <w:bottom w:val="nil"/>
              <w:right w:val="nil"/>
            </w:tcBorders>
            <w:shd w:val="clear" w:color="auto" w:fill="auto"/>
            <w:noWrap/>
            <w:vAlign w:val="center"/>
            <w:hideMark/>
          </w:tcPr>
          <w:p w14:paraId="75AFD013" w14:textId="77777777" w:rsidR="00A96988" w:rsidRPr="00EA7D53" w:rsidRDefault="00A96988" w:rsidP="00A96988">
            <w:pPr>
              <w:jc w:val="center"/>
              <w:rPr>
                <w:rFonts w:cs="Arial"/>
                <w:color w:val="000000"/>
                <w:sz w:val="20"/>
                <w:szCs w:val="20"/>
              </w:rPr>
            </w:pPr>
            <w:r w:rsidRPr="00EA7D53">
              <w:rPr>
                <w:rFonts w:cs="Arial"/>
                <w:color w:val="000000"/>
                <w:sz w:val="20"/>
                <w:szCs w:val="20"/>
              </w:rPr>
              <w:t>46,42</w:t>
            </w:r>
          </w:p>
        </w:tc>
      </w:tr>
      <w:tr w:rsidR="00A96988" w:rsidRPr="00EA7D53" w14:paraId="7EE8AF4A" w14:textId="77777777" w:rsidTr="00854644">
        <w:trPr>
          <w:trHeight w:val="312"/>
        </w:trPr>
        <w:tc>
          <w:tcPr>
            <w:tcW w:w="3455" w:type="pct"/>
            <w:tcBorders>
              <w:top w:val="nil"/>
              <w:left w:val="nil"/>
              <w:bottom w:val="nil"/>
              <w:right w:val="single" w:sz="4" w:space="0" w:color="auto"/>
            </w:tcBorders>
            <w:shd w:val="clear" w:color="auto" w:fill="auto"/>
            <w:noWrap/>
            <w:vAlign w:val="center"/>
            <w:hideMark/>
          </w:tcPr>
          <w:p w14:paraId="2C753036" w14:textId="77777777" w:rsidR="00A96988" w:rsidRPr="00EA7D53" w:rsidRDefault="00A96988" w:rsidP="000C6745">
            <w:pPr>
              <w:ind w:left="209"/>
              <w:jc w:val="left"/>
              <w:rPr>
                <w:rFonts w:cs="Arial"/>
                <w:color w:val="000000"/>
                <w:sz w:val="20"/>
                <w:szCs w:val="20"/>
              </w:rPr>
            </w:pPr>
            <w:r w:rsidRPr="00EA7D53">
              <w:rPr>
                <w:rFonts w:cs="Arial"/>
                <w:color w:val="000000"/>
                <w:sz w:val="20"/>
                <w:szCs w:val="20"/>
              </w:rPr>
              <w:t>Centrais de Abastecimento de Goiás S/A - Ceasa</w:t>
            </w:r>
          </w:p>
        </w:tc>
        <w:tc>
          <w:tcPr>
            <w:tcW w:w="789" w:type="pct"/>
            <w:tcBorders>
              <w:top w:val="nil"/>
              <w:left w:val="nil"/>
              <w:bottom w:val="nil"/>
              <w:right w:val="single" w:sz="4" w:space="0" w:color="auto"/>
            </w:tcBorders>
            <w:shd w:val="clear" w:color="auto" w:fill="auto"/>
            <w:noWrap/>
            <w:vAlign w:val="center"/>
            <w:hideMark/>
          </w:tcPr>
          <w:p w14:paraId="26C7535F" w14:textId="77777777" w:rsidR="00A96988" w:rsidRPr="00EA7D53" w:rsidRDefault="00A96988" w:rsidP="00A96988">
            <w:pPr>
              <w:jc w:val="right"/>
              <w:rPr>
                <w:rFonts w:cs="Arial"/>
                <w:color w:val="000000"/>
                <w:sz w:val="20"/>
                <w:szCs w:val="20"/>
              </w:rPr>
            </w:pPr>
            <w:r w:rsidRPr="00EA7D53">
              <w:rPr>
                <w:rFonts w:cs="Arial"/>
                <w:color w:val="000000"/>
                <w:sz w:val="20"/>
                <w:szCs w:val="20"/>
              </w:rPr>
              <w:t xml:space="preserve">6.010.000 </w:t>
            </w:r>
          </w:p>
        </w:tc>
        <w:tc>
          <w:tcPr>
            <w:tcW w:w="756" w:type="pct"/>
            <w:tcBorders>
              <w:top w:val="nil"/>
              <w:left w:val="nil"/>
              <w:bottom w:val="nil"/>
              <w:right w:val="nil"/>
            </w:tcBorders>
            <w:shd w:val="clear" w:color="auto" w:fill="auto"/>
            <w:noWrap/>
            <w:vAlign w:val="center"/>
            <w:hideMark/>
          </w:tcPr>
          <w:p w14:paraId="47D62F7D" w14:textId="77777777" w:rsidR="00A96988" w:rsidRPr="00EA7D53" w:rsidRDefault="00A96988" w:rsidP="00A96988">
            <w:pPr>
              <w:jc w:val="center"/>
              <w:rPr>
                <w:rFonts w:cs="Arial"/>
                <w:color w:val="000000"/>
                <w:sz w:val="20"/>
                <w:szCs w:val="20"/>
              </w:rPr>
            </w:pPr>
            <w:r w:rsidRPr="00EA7D53">
              <w:rPr>
                <w:rFonts w:cs="Arial"/>
                <w:color w:val="000000"/>
                <w:sz w:val="20"/>
                <w:szCs w:val="20"/>
              </w:rPr>
              <w:t>1,72</w:t>
            </w:r>
          </w:p>
        </w:tc>
      </w:tr>
      <w:tr w:rsidR="00A96988" w:rsidRPr="00EA7D53" w14:paraId="6F067FA2" w14:textId="77777777" w:rsidTr="00854644">
        <w:trPr>
          <w:trHeight w:val="312"/>
        </w:trPr>
        <w:tc>
          <w:tcPr>
            <w:tcW w:w="3455" w:type="pct"/>
            <w:tcBorders>
              <w:top w:val="nil"/>
              <w:left w:val="nil"/>
              <w:bottom w:val="nil"/>
              <w:right w:val="single" w:sz="4" w:space="0" w:color="auto"/>
            </w:tcBorders>
            <w:shd w:val="clear" w:color="auto" w:fill="auto"/>
            <w:noWrap/>
            <w:vAlign w:val="center"/>
            <w:hideMark/>
          </w:tcPr>
          <w:p w14:paraId="3F99A4C4" w14:textId="77777777" w:rsidR="00A96988" w:rsidRPr="00EA7D53" w:rsidRDefault="00A96988" w:rsidP="000C6745">
            <w:pPr>
              <w:ind w:left="209"/>
              <w:jc w:val="left"/>
              <w:rPr>
                <w:rFonts w:cs="Arial"/>
                <w:color w:val="000000"/>
                <w:sz w:val="20"/>
                <w:szCs w:val="20"/>
              </w:rPr>
            </w:pPr>
            <w:r w:rsidRPr="00EA7D53">
              <w:rPr>
                <w:rFonts w:cs="Arial"/>
                <w:color w:val="000000"/>
                <w:sz w:val="20"/>
                <w:szCs w:val="20"/>
              </w:rPr>
              <w:t>Agência de Fomento de Goiás – Goiás Fomento</w:t>
            </w:r>
          </w:p>
        </w:tc>
        <w:tc>
          <w:tcPr>
            <w:tcW w:w="789" w:type="pct"/>
            <w:tcBorders>
              <w:top w:val="nil"/>
              <w:left w:val="nil"/>
              <w:bottom w:val="nil"/>
              <w:right w:val="single" w:sz="4" w:space="0" w:color="auto"/>
            </w:tcBorders>
            <w:shd w:val="clear" w:color="auto" w:fill="auto"/>
            <w:noWrap/>
            <w:vAlign w:val="center"/>
            <w:hideMark/>
          </w:tcPr>
          <w:p w14:paraId="0452C8DA" w14:textId="77777777" w:rsidR="00A96988" w:rsidRPr="00EA7D53" w:rsidRDefault="00A96988" w:rsidP="00A96988">
            <w:pPr>
              <w:jc w:val="right"/>
              <w:rPr>
                <w:rFonts w:cs="Arial"/>
                <w:color w:val="000000"/>
                <w:sz w:val="20"/>
                <w:szCs w:val="20"/>
              </w:rPr>
            </w:pPr>
            <w:r w:rsidRPr="00EA7D53">
              <w:rPr>
                <w:rFonts w:cs="Arial"/>
                <w:color w:val="000000"/>
                <w:sz w:val="20"/>
                <w:szCs w:val="20"/>
              </w:rPr>
              <w:t xml:space="preserve">2.626.000 </w:t>
            </w:r>
          </w:p>
        </w:tc>
        <w:tc>
          <w:tcPr>
            <w:tcW w:w="756" w:type="pct"/>
            <w:tcBorders>
              <w:top w:val="nil"/>
              <w:left w:val="nil"/>
              <w:bottom w:val="nil"/>
              <w:right w:val="nil"/>
            </w:tcBorders>
            <w:shd w:val="clear" w:color="auto" w:fill="auto"/>
            <w:noWrap/>
            <w:vAlign w:val="center"/>
            <w:hideMark/>
          </w:tcPr>
          <w:p w14:paraId="76EFF7E8" w14:textId="77777777" w:rsidR="00A96988" w:rsidRPr="00EA7D53" w:rsidRDefault="00A96988" w:rsidP="00A96988">
            <w:pPr>
              <w:jc w:val="center"/>
              <w:rPr>
                <w:rFonts w:cs="Arial"/>
                <w:color w:val="000000"/>
                <w:sz w:val="20"/>
                <w:szCs w:val="20"/>
              </w:rPr>
            </w:pPr>
            <w:r w:rsidRPr="00EA7D53">
              <w:rPr>
                <w:rFonts w:cs="Arial"/>
                <w:color w:val="000000"/>
                <w:sz w:val="20"/>
                <w:szCs w:val="20"/>
              </w:rPr>
              <w:t>0,75</w:t>
            </w:r>
          </w:p>
        </w:tc>
      </w:tr>
      <w:tr w:rsidR="00A96988" w:rsidRPr="00EA7D53" w14:paraId="2E41AFC4" w14:textId="77777777" w:rsidTr="00854644">
        <w:trPr>
          <w:trHeight w:val="312"/>
        </w:trPr>
        <w:tc>
          <w:tcPr>
            <w:tcW w:w="3455" w:type="pct"/>
            <w:tcBorders>
              <w:top w:val="nil"/>
              <w:left w:val="nil"/>
              <w:bottom w:val="nil"/>
              <w:right w:val="single" w:sz="4" w:space="0" w:color="auto"/>
            </w:tcBorders>
            <w:shd w:val="clear" w:color="auto" w:fill="auto"/>
            <w:noWrap/>
            <w:vAlign w:val="center"/>
            <w:hideMark/>
          </w:tcPr>
          <w:p w14:paraId="675B4988" w14:textId="77777777" w:rsidR="00A96988" w:rsidRPr="00EA7D53" w:rsidRDefault="00A96988" w:rsidP="000C6745">
            <w:pPr>
              <w:ind w:left="209"/>
              <w:jc w:val="left"/>
              <w:rPr>
                <w:rFonts w:cs="Arial"/>
                <w:color w:val="000000"/>
                <w:sz w:val="20"/>
                <w:szCs w:val="20"/>
              </w:rPr>
            </w:pPr>
            <w:r w:rsidRPr="00EA7D53">
              <w:rPr>
                <w:rFonts w:cs="Arial"/>
                <w:color w:val="000000"/>
                <w:sz w:val="20"/>
                <w:szCs w:val="20"/>
              </w:rPr>
              <w:t>Companhia de Investimentos e Parcerias de Goiás - Goiás Parcerias</w:t>
            </w:r>
          </w:p>
        </w:tc>
        <w:tc>
          <w:tcPr>
            <w:tcW w:w="789" w:type="pct"/>
            <w:tcBorders>
              <w:top w:val="nil"/>
              <w:left w:val="nil"/>
              <w:bottom w:val="nil"/>
              <w:right w:val="single" w:sz="4" w:space="0" w:color="auto"/>
            </w:tcBorders>
            <w:shd w:val="clear" w:color="auto" w:fill="auto"/>
            <w:noWrap/>
            <w:vAlign w:val="center"/>
            <w:hideMark/>
          </w:tcPr>
          <w:p w14:paraId="3420E4F6" w14:textId="77777777" w:rsidR="00A96988" w:rsidRPr="00EA7D53" w:rsidRDefault="00A96988" w:rsidP="00A96988">
            <w:pPr>
              <w:jc w:val="right"/>
              <w:rPr>
                <w:rFonts w:cs="Arial"/>
                <w:color w:val="000000"/>
                <w:sz w:val="20"/>
                <w:szCs w:val="20"/>
              </w:rPr>
            </w:pPr>
            <w:r w:rsidRPr="00EA7D53">
              <w:rPr>
                <w:rFonts w:cs="Arial"/>
                <w:color w:val="000000"/>
                <w:sz w:val="20"/>
                <w:szCs w:val="20"/>
              </w:rPr>
              <w:t xml:space="preserve">1.041.000 </w:t>
            </w:r>
          </w:p>
        </w:tc>
        <w:tc>
          <w:tcPr>
            <w:tcW w:w="756" w:type="pct"/>
            <w:tcBorders>
              <w:top w:val="nil"/>
              <w:left w:val="nil"/>
              <w:bottom w:val="nil"/>
              <w:right w:val="nil"/>
            </w:tcBorders>
            <w:shd w:val="clear" w:color="auto" w:fill="auto"/>
            <w:noWrap/>
            <w:vAlign w:val="center"/>
            <w:hideMark/>
          </w:tcPr>
          <w:p w14:paraId="6CFC8330" w14:textId="77777777" w:rsidR="00A96988" w:rsidRPr="00EA7D53" w:rsidRDefault="00A96988" w:rsidP="00A96988">
            <w:pPr>
              <w:jc w:val="center"/>
              <w:rPr>
                <w:rFonts w:cs="Arial"/>
                <w:color w:val="000000"/>
                <w:sz w:val="20"/>
                <w:szCs w:val="20"/>
              </w:rPr>
            </w:pPr>
            <w:r w:rsidRPr="00EA7D53">
              <w:rPr>
                <w:rFonts w:cs="Arial"/>
                <w:color w:val="000000"/>
                <w:sz w:val="20"/>
                <w:szCs w:val="20"/>
              </w:rPr>
              <w:t>0,30</w:t>
            </w:r>
          </w:p>
        </w:tc>
      </w:tr>
      <w:tr w:rsidR="00A96988" w:rsidRPr="00EA7D53" w14:paraId="0CF81A4A" w14:textId="77777777" w:rsidTr="00854644">
        <w:trPr>
          <w:trHeight w:val="312"/>
        </w:trPr>
        <w:tc>
          <w:tcPr>
            <w:tcW w:w="3455" w:type="pct"/>
            <w:tcBorders>
              <w:top w:val="nil"/>
              <w:left w:val="nil"/>
              <w:bottom w:val="nil"/>
              <w:right w:val="single" w:sz="4" w:space="0" w:color="auto"/>
            </w:tcBorders>
            <w:shd w:val="clear" w:color="auto" w:fill="auto"/>
            <w:noWrap/>
            <w:vAlign w:val="center"/>
            <w:hideMark/>
          </w:tcPr>
          <w:p w14:paraId="2900B843" w14:textId="77777777" w:rsidR="00A96988" w:rsidRPr="00EA7D53" w:rsidRDefault="00A96988" w:rsidP="000C6745">
            <w:pPr>
              <w:ind w:left="209"/>
              <w:jc w:val="left"/>
              <w:rPr>
                <w:rFonts w:cs="Arial"/>
                <w:color w:val="000000"/>
                <w:sz w:val="20"/>
                <w:szCs w:val="20"/>
              </w:rPr>
            </w:pPr>
            <w:r w:rsidRPr="00EA7D53">
              <w:rPr>
                <w:rFonts w:cs="Arial"/>
                <w:color w:val="000000"/>
                <w:sz w:val="20"/>
                <w:szCs w:val="20"/>
              </w:rPr>
              <w:t>Saneamento de Goiás S/A - Saneago</w:t>
            </w:r>
          </w:p>
        </w:tc>
        <w:tc>
          <w:tcPr>
            <w:tcW w:w="789" w:type="pct"/>
            <w:tcBorders>
              <w:top w:val="nil"/>
              <w:left w:val="nil"/>
              <w:bottom w:val="nil"/>
              <w:right w:val="single" w:sz="4" w:space="0" w:color="auto"/>
            </w:tcBorders>
            <w:shd w:val="clear" w:color="auto" w:fill="auto"/>
            <w:noWrap/>
            <w:vAlign w:val="center"/>
            <w:hideMark/>
          </w:tcPr>
          <w:p w14:paraId="1BA9B5D0" w14:textId="77777777" w:rsidR="00A96988" w:rsidRPr="00EA7D53" w:rsidRDefault="00A96988" w:rsidP="00A96988">
            <w:pPr>
              <w:jc w:val="right"/>
              <w:rPr>
                <w:rFonts w:cs="Arial"/>
                <w:color w:val="000000"/>
                <w:sz w:val="20"/>
                <w:szCs w:val="20"/>
              </w:rPr>
            </w:pPr>
            <w:r w:rsidRPr="00EA7D53">
              <w:rPr>
                <w:rFonts w:cs="Arial"/>
                <w:color w:val="000000"/>
                <w:sz w:val="20"/>
                <w:szCs w:val="20"/>
              </w:rPr>
              <w:t xml:space="preserve">999.000 </w:t>
            </w:r>
          </w:p>
        </w:tc>
        <w:tc>
          <w:tcPr>
            <w:tcW w:w="756" w:type="pct"/>
            <w:tcBorders>
              <w:top w:val="nil"/>
              <w:left w:val="nil"/>
              <w:bottom w:val="nil"/>
              <w:right w:val="nil"/>
            </w:tcBorders>
            <w:shd w:val="clear" w:color="auto" w:fill="auto"/>
            <w:noWrap/>
            <w:vAlign w:val="center"/>
            <w:hideMark/>
          </w:tcPr>
          <w:p w14:paraId="58B0AD60" w14:textId="77777777" w:rsidR="00A96988" w:rsidRPr="00EA7D53" w:rsidRDefault="00A96988" w:rsidP="00A96988">
            <w:pPr>
              <w:jc w:val="center"/>
              <w:rPr>
                <w:rFonts w:cs="Arial"/>
                <w:color w:val="000000"/>
                <w:sz w:val="20"/>
                <w:szCs w:val="20"/>
              </w:rPr>
            </w:pPr>
            <w:r w:rsidRPr="00EA7D53">
              <w:rPr>
                <w:rFonts w:cs="Arial"/>
                <w:color w:val="000000"/>
                <w:sz w:val="20"/>
                <w:szCs w:val="20"/>
              </w:rPr>
              <w:t>0,29</w:t>
            </w:r>
          </w:p>
        </w:tc>
      </w:tr>
      <w:tr w:rsidR="00A96988" w:rsidRPr="00EA7D53" w14:paraId="564DFB9C" w14:textId="77777777" w:rsidTr="00854644">
        <w:trPr>
          <w:trHeight w:val="312"/>
        </w:trPr>
        <w:tc>
          <w:tcPr>
            <w:tcW w:w="3455" w:type="pct"/>
            <w:tcBorders>
              <w:top w:val="nil"/>
              <w:left w:val="nil"/>
              <w:bottom w:val="nil"/>
              <w:right w:val="single" w:sz="4" w:space="0" w:color="auto"/>
            </w:tcBorders>
            <w:shd w:val="clear" w:color="auto" w:fill="auto"/>
            <w:noWrap/>
            <w:vAlign w:val="center"/>
            <w:hideMark/>
          </w:tcPr>
          <w:p w14:paraId="25153744" w14:textId="77777777" w:rsidR="00A96988" w:rsidRPr="00EA7D53" w:rsidRDefault="00A96988" w:rsidP="000C6745">
            <w:pPr>
              <w:ind w:left="209"/>
              <w:jc w:val="left"/>
              <w:rPr>
                <w:rFonts w:cs="Arial"/>
                <w:color w:val="000000"/>
                <w:sz w:val="20"/>
                <w:szCs w:val="20"/>
              </w:rPr>
            </w:pPr>
            <w:r w:rsidRPr="00EA7D53">
              <w:rPr>
                <w:rFonts w:cs="Arial"/>
                <w:color w:val="000000"/>
                <w:sz w:val="20"/>
                <w:szCs w:val="20"/>
              </w:rPr>
              <w:lastRenderedPageBreak/>
              <w:t>Agência Goiana de Gás Canalizado S/A - Goiasgás</w:t>
            </w:r>
          </w:p>
        </w:tc>
        <w:tc>
          <w:tcPr>
            <w:tcW w:w="789" w:type="pct"/>
            <w:tcBorders>
              <w:top w:val="nil"/>
              <w:left w:val="nil"/>
              <w:bottom w:val="nil"/>
              <w:right w:val="single" w:sz="4" w:space="0" w:color="auto"/>
            </w:tcBorders>
            <w:shd w:val="clear" w:color="auto" w:fill="auto"/>
            <w:noWrap/>
            <w:vAlign w:val="center"/>
            <w:hideMark/>
          </w:tcPr>
          <w:p w14:paraId="39F5EFE3" w14:textId="77777777" w:rsidR="00A96988" w:rsidRPr="00EA7D53" w:rsidRDefault="00A96988" w:rsidP="00A96988">
            <w:pPr>
              <w:jc w:val="right"/>
              <w:rPr>
                <w:rFonts w:cs="Arial"/>
                <w:color w:val="000000"/>
                <w:sz w:val="20"/>
                <w:szCs w:val="20"/>
              </w:rPr>
            </w:pPr>
            <w:r w:rsidRPr="00EA7D53">
              <w:rPr>
                <w:rFonts w:cs="Arial"/>
                <w:color w:val="000000"/>
                <w:sz w:val="20"/>
                <w:szCs w:val="20"/>
              </w:rPr>
              <w:t xml:space="preserve">800.000 </w:t>
            </w:r>
          </w:p>
        </w:tc>
        <w:tc>
          <w:tcPr>
            <w:tcW w:w="756" w:type="pct"/>
            <w:tcBorders>
              <w:top w:val="nil"/>
              <w:left w:val="nil"/>
              <w:bottom w:val="nil"/>
              <w:right w:val="nil"/>
            </w:tcBorders>
            <w:shd w:val="clear" w:color="auto" w:fill="auto"/>
            <w:noWrap/>
            <w:vAlign w:val="center"/>
            <w:hideMark/>
          </w:tcPr>
          <w:p w14:paraId="2B00BC8B" w14:textId="77777777" w:rsidR="00A96988" w:rsidRPr="00EA7D53" w:rsidRDefault="00A96988" w:rsidP="00A96988">
            <w:pPr>
              <w:jc w:val="center"/>
              <w:rPr>
                <w:rFonts w:cs="Arial"/>
                <w:color w:val="000000"/>
                <w:sz w:val="20"/>
                <w:szCs w:val="20"/>
              </w:rPr>
            </w:pPr>
            <w:r w:rsidRPr="00EA7D53">
              <w:rPr>
                <w:rFonts w:cs="Arial"/>
                <w:color w:val="000000"/>
                <w:sz w:val="20"/>
                <w:szCs w:val="20"/>
              </w:rPr>
              <w:t>0,23</w:t>
            </w:r>
          </w:p>
        </w:tc>
      </w:tr>
      <w:tr w:rsidR="00A96988" w:rsidRPr="00EA7D53" w14:paraId="6C249641" w14:textId="77777777" w:rsidTr="00854644">
        <w:trPr>
          <w:trHeight w:val="312"/>
        </w:trPr>
        <w:tc>
          <w:tcPr>
            <w:tcW w:w="3455" w:type="pct"/>
            <w:tcBorders>
              <w:top w:val="nil"/>
              <w:left w:val="nil"/>
              <w:bottom w:val="nil"/>
              <w:right w:val="single" w:sz="4" w:space="0" w:color="auto"/>
            </w:tcBorders>
            <w:shd w:val="clear" w:color="auto" w:fill="auto"/>
            <w:noWrap/>
            <w:vAlign w:val="center"/>
            <w:hideMark/>
          </w:tcPr>
          <w:p w14:paraId="08BA64B8" w14:textId="77777777" w:rsidR="00A96988" w:rsidRPr="00EA7D53" w:rsidRDefault="00A96988" w:rsidP="000C6745">
            <w:pPr>
              <w:ind w:left="209"/>
              <w:jc w:val="left"/>
              <w:rPr>
                <w:rFonts w:cs="Arial"/>
                <w:color w:val="000000"/>
                <w:sz w:val="20"/>
                <w:szCs w:val="20"/>
              </w:rPr>
            </w:pPr>
            <w:r w:rsidRPr="00EA7D53">
              <w:rPr>
                <w:rFonts w:cs="Arial"/>
                <w:color w:val="000000"/>
                <w:sz w:val="20"/>
                <w:szCs w:val="20"/>
              </w:rPr>
              <w:t>Lago Azul Transmissão S/A</w:t>
            </w:r>
          </w:p>
        </w:tc>
        <w:tc>
          <w:tcPr>
            <w:tcW w:w="789" w:type="pct"/>
            <w:tcBorders>
              <w:top w:val="nil"/>
              <w:left w:val="nil"/>
              <w:bottom w:val="nil"/>
              <w:right w:val="single" w:sz="4" w:space="0" w:color="auto"/>
            </w:tcBorders>
            <w:shd w:val="clear" w:color="auto" w:fill="auto"/>
            <w:noWrap/>
            <w:vAlign w:val="center"/>
            <w:hideMark/>
          </w:tcPr>
          <w:p w14:paraId="71B6A089" w14:textId="77777777" w:rsidR="00A96988" w:rsidRPr="00EA7D53" w:rsidRDefault="00A96988" w:rsidP="00A96988">
            <w:pPr>
              <w:jc w:val="right"/>
              <w:rPr>
                <w:rFonts w:cs="Arial"/>
                <w:color w:val="000000"/>
                <w:sz w:val="20"/>
                <w:szCs w:val="20"/>
              </w:rPr>
            </w:pPr>
            <w:r w:rsidRPr="00EA7D53">
              <w:rPr>
                <w:rFonts w:cs="Arial"/>
                <w:color w:val="000000"/>
                <w:sz w:val="20"/>
                <w:szCs w:val="20"/>
              </w:rPr>
              <w:t xml:space="preserve">644.000 </w:t>
            </w:r>
          </w:p>
        </w:tc>
        <w:tc>
          <w:tcPr>
            <w:tcW w:w="756" w:type="pct"/>
            <w:tcBorders>
              <w:top w:val="nil"/>
              <w:left w:val="nil"/>
              <w:bottom w:val="nil"/>
              <w:right w:val="nil"/>
            </w:tcBorders>
            <w:shd w:val="clear" w:color="auto" w:fill="auto"/>
            <w:noWrap/>
            <w:vAlign w:val="center"/>
            <w:hideMark/>
          </w:tcPr>
          <w:p w14:paraId="0639A2BB" w14:textId="77777777" w:rsidR="00A96988" w:rsidRPr="00EA7D53" w:rsidRDefault="00A96988" w:rsidP="00A96988">
            <w:pPr>
              <w:jc w:val="center"/>
              <w:rPr>
                <w:rFonts w:cs="Arial"/>
                <w:color w:val="000000"/>
                <w:sz w:val="20"/>
                <w:szCs w:val="20"/>
              </w:rPr>
            </w:pPr>
            <w:r w:rsidRPr="00EA7D53">
              <w:rPr>
                <w:rFonts w:cs="Arial"/>
                <w:color w:val="000000"/>
                <w:sz w:val="20"/>
                <w:szCs w:val="20"/>
              </w:rPr>
              <w:t>0,18</w:t>
            </w:r>
          </w:p>
        </w:tc>
      </w:tr>
      <w:tr w:rsidR="00A96988" w:rsidRPr="00EA7D53" w14:paraId="16FFDE72" w14:textId="77777777" w:rsidTr="00854644">
        <w:trPr>
          <w:trHeight w:val="312"/>
        </w:trPr>
        <w:tc>
          <w:tcPr>
            <w:tcW w:w="3455" w:type="pct"/>
            <w:tcBorders>
              <w:top w:val="single" w:sz="4" w:space="0" w:color="auto"/>
              <w:left w:val="nil"/>
              <w:bottom w:val="single" w:sz="4" w:space="0" w:color="auto"/>
              <w:right w:val="single" w:sz="4" w:space="0" w:color="auto"/>
            </w:tcBorders>
            <w:shd w:val="clear" w:color="auto" w:fill="auto"/>
            <w:noWrap/>
            <w:vAlign w:val="center"/>
            <w:hideMark/>
          </w:tcPr>
          <w:p w14:paraId="52A52FE7" w14:textId="77777777" w:rsidR="00A96988" w:rsidRPr="00EA7D53" w:rsidRDefault="00A96988" w:rsidP="00A96988">
            <w:pPr>
              <w:jc w:val="center"/>
              <w:rPr>
                <w:rFonts w:cs="Arial"/>
                <w:b/>
                <w:bCs/>
                <w:color w:val="000000"/>
                <w:sz w:val="20"/>
                <w:szCs w:val="20"/>
              </w:rPr>
            </w:pPr>
            <w:r w:rsidRPr="00EA7D53">
              <w:rPr>
                <w:rFonts w:cs="Arial"/>
                <w:b/>
                <w:bCs/>
                <w:color w:val="000000"/>
                <w:sz w:val="20"/>
                <w:szCs w:val="20"/>
              </w:rPr>
              <w:t>Total</w:t>
            </w:r>
          </w:p>
        </w:tc>
        <w:tc>
          <w:tcPr>
            <w:tcW w:w="789" w:type="pct"/>
            <w:tcBorders>
              <w:top w:val="single" w:sz="4" w:space="0" w:color="auto"/>
              <w:left w:val="nil"/>
              <w:bottom w:val="single" w:sz="4" w:space="0" w:color="auto"/>
              <w:right w:val="single" w:sz="4" w:space="0" w:color="auto"/>
            </w:tcBorders>
            <w:shd w:val="clear" w:color="auto" w:fill="auto"/>
            <w:noWrap/>
            <w:vAlign w:val="center"/>
            <w:hideMark/>
          </w:tcPr>
          <w:p w14:paraId="262B872A" w14:textId="77777777" w:rsidR="00A96988" w:rsidRPr="00EA7D53" w:rsidRDefault="00A96988" w:rsidP="00A96988">
            <w:pPr>
              <w:jc w:val="right"/>
              <w:rPr>
                <w:rFonts w:cs="Arial"/>
                <w:b/>
                <w:bCs/>
                <w:color w:val="000000"/>
                <w:sz w:val="20"/>
                <w:szCs w:val="20"/>
              </w:rPr>
            </w:pPr>
            <w:r w:rsidRPr="00EA7D53">
              <w:rPr>
                <w:rFonts w:cs="Arial"/>
                <w:b/>
                <w:bCs/>
                <w:color w:val="000000"/>
                <w:sz w:val="20"/>
                <w:szCs w:val="20"/>
              </w:rPr>
              <w:t xml:space="preserve">350.143.000 </w:t>
            </w:r>
          </w:p>
        </w:tc>
        <w:tc>
          <w:tcPr>
            <w:tcW w:w="756" w:type="pct"/>
            <w:tcBorders>
              <w:top w:val="single" w:sz="4" w:space="0" w:color="auto"/>
              <w:left w:val="nil"/>
              <w:bottom w:val="single" w:sz="4" w:space="0" w:color="auto"/>
              <w:right w:val="nil"/>
            </w:tcBorders>
            <w:shd w:val="clear" w:color="auto" w:fill="auto"/>
            <w:noWrap/>
            <w:vAlign w:val="center"/>
            <w:hideMark/>
          </w:tcPr>
          <w:p w14:paraId="6EED0C5A" w14:textId="77777777" w:rsidR="00A96988" w:rsidRPr="00EA7D53" w:rsidRDefault="00A96988" w:rsidP="00A96988">
            <w:pPr>
              <w:jc w:val="center"/>
              <w:rPr>
                <w:rFonts w:cs="Arial"/>
                <w:b/>
                <w:bCs/>
                <w:color w:val="000000"/>
                <w:sz w:val="20"/>
                <w:szCs w:val="20"/>
              </w:rPr>
            </w:pPr>
            <w:r w:rsidRPr="00EA7D53">
              <w:rPr>
                <w:rFonts w:cs="Arial"/>
                <w:b/>
                <w:bCs/>
                <w:color w:val="000000"/>
                <w:sz w:val="20"/>
                <w:szCs w:val="20"/>
              </w:rPr>
              <w:t>100,00</w:t>
            </w:r>
          </w:p>
        </w:tc>
      </w:tr>
    </w:tbl>
    <w:p w14:paraId="710577BB" w14:textId="77777777" w:rsidR="00A96988" w:rsidRPr="00333D34" w:rsidRDefault="00A96988" w:rsidP="00EF01A1">
      <w:pPr>
        <w:pStyle w:val="1-FONTE8ESQ"/>
        <w:rPr>
          <w:rStyle w:val="Forte"/>
          <w:b w:val="0"/>
          <w:bCs w:val="0"/>
        </w:rPr>
      </w:pPr>
      <w:r>
        <w:rPr>
          <w:rStyle w:val="Forte"/>
          <w:b w:val="0"/>
          <w:bCs w:val="0"/>
        </w:rPr>
        <w:t>Font</w:t>
      </w:r>
      <w:r w:rsidRPr="00333D34">
        <w:rPr>
          <w:rStyle w:val="Forte"/>
          <w:b w:val="0"/>
          <w:bCs w:val="0"/>
        </w:rPr>
        <w:t xml:space="preserve">e: </w:t>
      </w:r>
      <w:r w:rsidRPr="000B1356">
        <w:rPr>
          <w:rStyle w:val="Forte"/>
          <w:b w:val="0"/>
        </w:rPr>
        <w:t>Lei Estadual nº 21.760/2022 (LOA)</w:t>
      </w:r>
    </w:p>
    <w:p w14:paraId="79CF233C" w14:textId="10049118" w:rsidR="00A96988" w:rsidRDefault="00A96988" w:rsidP="00A96988">
      <w:pPr>
        <w:pStyle w:val="1-REL11"/>
      </w:pPr>
      <w:r>
        <w:t>Frisa-se que as análises dos tópicos que se seguem limitam-se aos recursos dos orçamentos Fiscal e da Seguridade Social que, juntos, totalizaram receitas e despesas no montante de R$ 39,60</w:t>
      </w:r>
      <w:r w:rsidR="00F763BE">
        <w:t> </w:t>
      </w:r>
      <w:r>
        <w:t xml:space="preserve">bilhões (99,12% do total). As análises inerentes a execução orçamentária e financeira do orçamento de Investimento são realizadas na Prestação de Contas Anual dos Gestores, em razão das especificidades inerentes às empresas estatais não dependentes. </w:t>
      </w:r>
    </w:p>
    <w:p w14:paraId="16AB8D70" w14:textId="77777777" w:rsidR="00A96988" w:rsidRPr="004470B4" w:rsidRDefault="00A96988" w:rsidP="00A96988">
      <w:pPr>
        <w:pStyle w:val="Ttulo2"/>
      </w:pPr>
      <w:bookmarkStart w:id="59" w:name="_Toc167871630"/>
      <w:r w:rsidRPr="004470B4">
        <w:t>Resultado da Execução Orçamentária</w:t>
      </w:r>
      <w:bookmarkEnd w:id="59"/>
    </w:p>
    <w:p w14:paraId="4E5DC187" w14:textId="77777777" w:rsidR="00A96988" w:rsidRDefault="00A96988" w:rsidP="00A96988">
      <w:pPr>
        <w:pStyle w:val="1-REL11"/>
      </w:pPr>
      <w:r w:rsidRPr="00955B2E">
        <w:t>O resultado da execução orçamentária é</w:t>
      </w:r>
      <w:r>
        <w:t xml:space="preserve"> </w:t>
      </w:r>
      <w:r w:rsidRPr="00955B2E">
        <w:t>avaliado pela execução do orçamento e respectiva aplicação de recursos financeiros na efetivação dos programas de governo. Trata-se da diferença entre as receitas arrecadadas e as despesas empenhadas no exercício. Ao avaliar o resultado orçamentário de um exercício pode-se obter um superávit, quando as receitas superam o valor das despesas; déficit, quando as despesas foram realizadas em valor superior à arrecadação do Estado; ou resultado nulo, quando a execução orçamentária observa o equilíbrio entre receitas e despesas.</w:t>
      </w:r>
    </w:p>
    <w:p w14:paraId="7DD62896" w14:textId="77777777" w:rsidR="00A96988" w:rsidRDefault="00A96988" w:rsidP="00A96988">
      <w:pPr>
        <w:pStyle w:val="1-REL11"/>
      </w:pPr>
      <w:r>
        <w:t>Resume-se a seguir o resultado orçamentário apurado no exercício de 2023:</w:t>
      </w:r>
    </w:p>
    <w:p w14:paraId="1BE00CD0" w14:textId="77777777" w:rsidR="00A96988" w:rsidRPr="00C17412" w:rsidRDefault="00A96988" w:rsidP="00ED3571">
      <w:pPr>
        <w:pStyle w:val="0-TABELA"/>
      </w:pPr>
      <w:bookmarkStart w:id="60" w:name="_Toc167871731"/>
      <w:r>
        <w:t xml:space="preserve">Resultado da Execução </w:t>
      </w:r>
      <w:r w:rsidRPr="00C17412">
        <w:t>Orçament</w:t>
      </w:r>
      <w:r>
        <w:t>ária</w:t>
      </w:r>
      <w:bookmarkEnd w:id="60"/>
    </w:p>
    <w:p w14:paraId="7D584706" w14:textId="77777777" w:rsidR="00A96988" w:rsidRDefault="00A96988" w:rsidP="00A96988">
      <w:pPr>
        <w:pStyle w:val="0-EmR1"/>
      </w:pPr>
      <w:r w:rsidRPr="00333D34">
        <w:t>R$ 1</w:t>
      </w:r>
    </w:p>
    <w:tbl>
      <w:tblPr>
        <w:tblW w:w="5000" w:type="pct"/>
        <w:tblLayout w:type="fixed"/>
        <w:tblCellMar>
          <w:left w:w="70" w:type="dxa"/>
          <w:right w:w="70" w:type="dxa"/>
        </w:tblCellMar>
        <w:tblLook w:val="04A0" w:firstRow="1" w:lastRow="0" w:firstColumn="1" w:lastColumn="0" w:noHBand="0" w:noVBand="1"/>
      </w:tblPr>
      <w:tblGrid>
        <w:gridCol w:w="7512"/>
        <w:gridCol w:w="1841"/>
      </w:tblGrid>
      <w:tr w:rsidR="00A96988" w:rsidRPr="00E753DB" w14:paraId="67FC12FA" w14:textId="77777777" w:rsidTr="00423440">
        <w:trPr>
          <w:trHeight w:val="284"/>
          <w:tblHeader/>
        </w:trPr>
        <w:tc>
          <w:tcPr>
            <w:tcW w:w="4016" w:type="pct"/>
            <w:tcBorders>
              <w:top w:val="single" w:sz="4" w:space="0" w:color="auto"/>
              <w:left w:val="nil"/>
              <w:bottom w:val="single" w:sz="4" w:space="0" w:color="auto"/>
              <w:right w:val="single" w:sz="4" w:space="0" w:color="auto"/>
            </w:tcBorders>
            <w:shd w:val="clear" w:color="000000" w:fill="A1F2FD"/>
            <w:vAlign w:val="center"/>
            <w:hideMark/>
          </w:tcPr>
          <w:p w14:paraId="3EA9AB9D" w14:textId="77777777" w:rsidR="00A96988" w:rsidRPr="00E753DB" w:rsidRDefault="00A96988" w:rsidP="00A96988">
            <w:pPr>
              <w:jc w:val="center"/>
              <w:rPr>
                <w:rFonts w:cs="Arial"/>
                <w:b/>
                <w:bCs/>
                <w:color w:val="000000"/>
                <w:sz w:val="20"/>
                <w:szCs w:val="20"/>
              </w:rPr>
            </w:pPr>
            <w:r w:rsidRPr="00E753DB">
              <w:rPr>
                <w:rFonts w:cs="Arial"/>
                <w:b/>
                <w:bCs/>
                <w:color w:val="000000"/>
                <w:sz w:val="20"/>
                <w:szCs w:val="20"/>
              </w:rPr>
              <w:t>Descrição</w:t>
            </w:r>
          </w:p>
        </w:tc>
        <w:tc>
          <w:tcPr>
            <w:tcW w:w="984" w:type="pct"/>
            <w:tcBorders>
              <w:top w:val="single" w:sz="4" w:space="0" w:color="auto"/>
              <w:left w:val="nil"/>
              <w:bottom w:val="single" w:sz="4" w:space="0" w:color="auto"/>
              <w:right w:val="nil"/>
            </w:tcBorders>
            <w:shd w:val="clear" w:color="000000" w:fill="A1F2FD"/>
            <w:vAlign w:val="center"/>
            <w:hideMark/>
          </w:tcPr>
          <w:p w14:paraId="0E297862" w14:textId="77777777" w:rsidR="00A96988" w:rsidRPr="00E753DB" w:rsidRDefault="00A96988" w:rsidP="00A96988">
            <w:pPr>
              <w:jc w:val="center"/>
              <w:rPr>
                <w:rFonts w:cs="Arial"/>
                <w:b/>
                <w:bCs/>
                <w:color w:val="000000"/>
                <w:sz w:val="20"/>
                <w:szCs w:val="20"/>
              </w:rPr>
            </w:pPr>
            <w:r w:rsidRPr="00E753DB">
              <w:rPr>
                <w:rFonts w:cs="Arial"/>
                <w:b/>
                <w:bCs/>
                <w:color w:val="000000"/>
                <w:sz w:val="20"/>
                <w:szCs w:val="20"/>
              </w:rPr>
              <w:t>Valor</w:t>
            </w:r>
          </w:p>
        </w:tc>
      </w:tr>
      <w:tr w:rsidR="00A96988" w:rsidRPr="00E753DB" w14:paraId="37D4B3AD" w14:textId="77777777" w:rsidTr="00423440">
        <w:trPr>
          <w:trHeight w:val="284"/>
        </w:trPr>
        <w:tc>
          <w:tcPr>
            <w:tcW w:w="4016" w:type="pct"/>
            <w:tcBorders>
              <w:top w:val="nil"/>
              <w:left w:val="nil"/>
              <w:bottom w:val="nil"/>
              <w:right w:val="single" w:sz="4" w:space="0" w:color="auto"/>
            </w:tcBorders>
            <w:shd w:val="clear" w:color="auto" w:fill="auto"/>
            <w:noWrap/>
            <w:vAlign w:val="center"/>
            <w:hideMark/>
          </w:tcPr>
          <w:p w14:paraId="4C70F6AF" w14:textId="77777777" w:rsidR="00A96988" w:rsidRPr="00E753DB" w:rsidRDefault="00A96988" w:rsidP="00A96988">
            <w:pPr>
              <w:jc w:val="left"/>
              <w:rPr>
                <w:rFonts w:cs="Arial"/>
                <w:b/>
                <w:bCs/>
                <w:color w:val="000000"/>
                <w:sz w:val="20"/>
                <w:szCs w:val="20"/>
              </w:rPr>
            </w:pPr>
            <w:r w:rsidRPr="00E753DB">
              <w:rPr>
                <w:rFonts w:cs="Arial"/>
                <w:b/>
                <w:bCs/>
                <w:color w:val="000000"/>
                <w:sz w:val="20"/>
                <w:szCs w:val="20"/>
              </w:rPr>
              <w:t>Receitas</w:t>
            </w:r>
          </w:p>
        </w:tc>
        <w:tc>
          <w:tcPr>
            <w:tcW w:w="984" w:type="pct"/>
            <w:tcBorders>
              <w:top w:val="nil"/>
              <w:left w:val="nil"/>
              <w:bottom w:val="nil"/>
              <w:right w:val="nil"/>
            </w:tcBorders>
            <w:shd w:val="clear" w:color="auto" w:fill="auto"/>
            <w:noWrap/>
            <w:vAlign w:val="center"/>
            <w:hideMark/>
          </w:tcPr>
          <w:p w14:paraId="24B466B3" w14:textId="77777777" w:rsidR="00A96988" w:rsidRPr="00E753DB" w:rsidRDefault="00A96988" w:rsidP="00A96988">
            <w:pPr>
              <w:jc w:val="left"/>
              <w:rPr>
                <w:rFonts w:cs="Arial"/>
                <w:color w:val="000000"/>
                <w:sz w:val="20"/>
                <w:szCs w:val="20"/>
              </w:rPr>
            </w:pPr>
            <w:r w:rsidRPr="00E753DB">
              <w:rPr>
                <w:rFonts w:cs="Arial"/>
                <w:color w:val="000000"/>
                <w:sz w:val="20"/>
                <w:szCs w:val="20"/>
              </w:rPr>
              <w:t> </w:t>
            </w:r>
          </w:p>
        </w:tc>
      </w:tr>
      <w:tr w:rsidR="00A96988" w:rsidRPr="00E753DB" w14:paraId="4FAE3E8B" w14:textId="77777777" w:rsidTr="00423440">
        <w:trPr>
          <w:trHeight w:val="284"/>
        </w:trPr>
        <w:tc>
          <w:tcPr>
            <w:tcW w:w="4016" w:type="pct"/>
            <w:tcBorders>
              <w:top w:val="nil"/>
              <w:left w:val="nil"/>
              <w:bottom w:val="nil"/>
              <w:right w:val="single" w:sz="4" w:space="0" w:color="auto"/>
            </w:tcBorders>
            <w:shd w:val="clear" w:color="auto" w:fill="auto"/>
            <w:noWrap/>
            <w:vAlign w:val="center"/>
            <w:hideMark/>
          </w:tcPr>
          <w:p w14:paraId="75FDB4BC" w14:textId="77777777" w:rsidR="00A96988" w:rsidRPr="00E753DB" w:rsidRDefault="00A96988" w:rsidP="002D295F">
            <w:pPr>
              <w:ind w:firstLine="209"/>
              <w:jc w:val="left"/>
              <w:rPr>
                <w:rFonts w:cs="Arial"/>
                <w:color w:val="000000"/>
                <w:sz w:val="20"/>
                <w:szCs w:val="20"/>
              </w:rPr>
            </w:pPr>
            <w:r w:rsidRPr="00E753DB">
              <w:rPr>
                <w:rFonts w:cs="Arial"/>
                <w:color w:val="000000"/>
                <w:sz w:val="20"/>
                <w:szCs w:val="20"/>
              </w:rPr>
              <w:t>Previsão Inicial</w:t>
            </w:r>
          </w:p>
        </w:tc>
        <w:tc>
          <w:tcPr>
            <w:tcW w:w="984" w:type="pct"/>
            <w:tcBorders>
              <w:top w:val="nil"/>
              <w:left w:val="nil"/>
              <w:bottom w:val="nil"/>
              <w:right w:val="nil"/>
            </w:tcBorders>
            <w:shd w:val="clear" w:color="auto" w:fill="auto"/>
            <w:noWrap/>
            <w:vAlign w:val="center"/>
            <w:hideMark/>
          </w:tcPr>
          <w:p w14:paraId="210B75AD" w14:textId="77777777" w:rsidR="00A96988" w:rsidRPr="00E753DB" w:rsidRDefault="00A96988" w:rsidP="00A96988">
            <w:pPr>
              <w:jc w:val="right"/>
              <w:rPr>
                <w:rFonts w:cs="Arial"/>
                <w:color w:val="000000"/>
                <w:sz w:val="20"/>
                <w:szCs w:val="20"/>
              </w:rPr>
            </w:pPr>
            <w:r w:rsidRPr="00E753DB">
              <w:rPr>
                <w:rFonts w:cs="Arial"/>
                <w:color w:val="000000"/>
                <w:sz w:val="20"/>
                <w:szCs w:val="20"/>
              </w:rPr>
              <w:t xml:space="preserve">39.597.166.000 </w:t>
            </w:r>
          </w:p>
        </w:tc>
      </w:tr>
      <w:tr w:rsidR="00A96988" w:rsidRPr="00E753DB" w14:paraId="5047E94D" w14:textId="77777777" w:rsidTr="00423440">
        <w:trPr>
          <w:trHeight w:val="284"/>
        </w:trPr>
        <w:tc>
          <w:tcPr>
            <w:tcW w:w="4016" w:type="pct"/>
            <w:tcBorders>
              <w:top w:val="nil"/>
              <w:left w:val="nil"/>
              <w:bottom w:val="nil"/>
              <w:right w:val="single" w:sz="4" w:space="0" w:color="auto"/>
            </w:tcBorders>
            <w:shd w:val="clear" w:color="auto" w:fill="auto"/>
            <w:noWrap/>
            <w:vAlign w:val="center"/>
            <w:hideMark/>
          </w:tcPr>
          <w:p w14:paraId="6AA24C63" w14:textId="77777777" w:rsidR="00A96988" w:rsidRPr="00E753DB" w:rsidRDefault="00A96988" w:rsidP="002D295F">
            <w:pPr>
              <w:ind w:firstLine="209"/>
              <w:jc w:val="left"/>
              <w:rPr>
                <w:rFonts w:cs="Arial"/>
                <w:color w:val="000000"/>
                <w:sz w:val="20"/>
                <w:szCs w:val="20"/>
              </w:rPr>
            </w:pPr>
            <w:r w:rsidRPr="00E753DB">
              <w:rPr>
                <w:rFonts w:cs="Arial"/>
                <w:color w:val="000000"/>
                <w:sz w:val="20"/>
                <w:szCs w:val="20"/>
              </w:rPr>
              <w:t>Previsão Atualizada</w:t>
            </w:r>
          </w:p>
        </w:tc>
        <w:tc>
          <w:tcPr>
            <w:tcW w:w="984" w:type="pct"/>
            <w:tcBorders>
              <w:top w:val="nil"/>
              <w:left w:val="nil"/>
              <w:bottom w:val="nil"/>
              <w:right w:val="nil"/>
            </w:tcBorders>
            <w:shd w:val="clear" w:color="auto" w:fill="auto"/>
            <w:noWrap/>
            <w:vAlign w:val="center"/>
            <w:hideMark/>
          </w:tcPr>
          <w:p w14:paraId="6F594F66" w14:textId="77777777" w:rsidR="00A96988" w:rsidRPr="00E753DB" w:rsidRDefault="00A96988" w:rsidP="00A96988">
            <w:pPr>
              <w:jc w:val="right"/>
              <w:rPr>
                <w:rFonts w:cs="Arial"/>
                <w:color w:val="000000"/>
                <w:sz w:val="20"/>
                <w:szCs w:val="20"/>
              </w:rPr>
            </w:pPr>
            <w:r w:rsidRPr="00E753DB">
              <w:rPr>
                <w:rFonts w:cs="Arial"/>
                <w:color w:val="000000"/>
                <w:sz w:val="20"/>
                <w:szCs w:val="20"/>
              </w:rPr>
              <w:t xml:space="preserve">40.956.132.484 </w:t>
            </w:r>
          </w:p>
        </w:tc>
      </w:tr>
      <w:tr w:rsidR="00A96988" w:rsidRPr="00E753DB" w14:paraId="41304985" w14:textId="77777777" w:rsidTr="00423440">
        <w:trPr>
          <w:trHeight w:val="284"/>
        </w:trPr>
        <w:tc>
          <w:tcPr>
            <w:tcW w:w="4016" w:type="pct"/>
            <w:tcBorders>
              <w:top w:val="nil"/>
              <w:left w:val="nil"/>
              <w:bottom w:val="nil"/>
              <w:right w:val="single" w:sz="4" w:space="0" w:color="auto"/>
            </w:tcBorders>
            <w:shd w:val="clear" w:color="auto" w:fill="auto"/>
            <w:noWrap/>
            <w:vAlign w:val="center"/>
            <w:hideMark/>
          </w:tcPr>
          <w:p w14:paraId="71CE0284" w14:textId="77777777" w:rsidR="00A96988" w:rsidRPr="00E753DB" w:rsidRDefault="00A96988" w:rsidP="002D295F">
            <w:pPr>
              <w:ind w:firstLine="209"/>
              <w:jc w:val="left"/>
              <w:rPr>
                <w:rFonts w:cs="Arial"/>
                <w:color w:val="000000"/>
                <w:sz w:val="20"/>
                <w:szCs w:val="20"/>
              </w:rPr>
            </w:pPr>
            <w:r w:rsidRPr="00E753DB">
              <w:rPr>
                <w:rFonts w:cs="Arial"/>
                <w:color w:val="000000"/>
                <w:sz w:val="20"/>
                <w:szCs w:val="20"/>
              </w:rPr>
              <w:t>Receitas Arrecadadas</w:t>
            </w:r>
          </w:p>
        </w:tc>
        <w:tc>
          <w:tcPr>
            <w:tcW w:w="984" w:type="pct"/>
            <w:tcBorders>
              <w:top w:val="nil"/>
              <w:left w:val="nil"/>
              <w:bottom w:val="nil"/>
              <w:right w:val="nil"/>
            </w:tcBorders>
            <w:shd w:val="clear" w:color="auto" w:fill="auto"/>
            <w:noWrap/>
            <w:vAlign w:val="center"/>
            <w:hideMark/>
          </w:tcPr>
          <w:p w14:paraId="0743701A" w14:textId="77777777" w:rsidR="00A96988" w:rsidRPr="00E753DB" w:rsidRDefault="00A96988" w:rsidP="00A96988">
            <w:pPr>
              <w:jc w:val="right"/>
              <w:rPr>
                <w:rFonts w:cs="Arial"/>
                <w:color w:val="000000"/>
                <w:sz w:val="20"/>
                <w:szCs w:val="20"/>
              </w:rPr>
            </w:pPr>
            <w:r w:rsidRPr="00E753DB">
              <w:rPr>
                <w:rFonts w:cs="Arial"/>
                <w:color w:val="000000"/>
                <w:sz w:val="20"/>
                <w:szCs w:val="20"/>
              </w:rPr>
              <w:t xml:space="preserve">41.984.711.516 </w:t>
            </w:r>
          </w:p>
        </w:tc>
      </w:tr>
      <w:tr w:rsidR="00A96988" w:rsidRPr="00E753DB" w14:paraId="19FD89E9" w14:textId="77777777" w:rsidTr="00423440">
        <w:trPr>
          <w:trHeight w:val="284"/>
        </w:trPr>
        <w:tc>
          <w:tcPr>
            <w:tcW w:w="4016" w:type="pct"/>
            <w:tcBorders>
              <w:top w:val="nil"/>
              <w:left w:val="nil"/>
              <w:bottom w:val="single" w:sz="4" w:space="0" w:color="auto"/>
              <w:right w:val="single" w:sz="4" w:space="0" w:color="auto"/>
            </w:tcBorders>
            <w:shd w:val="clear" w:color="auto" w:fill="auto"/>
            <w:noWrap/>
            <w:vAlign w:val="center"/>
            <w:hideMark/>
          </w:tcPr>
          <w:p w14:paraId="7481565E" w14:textId="77777777" w:rsidR="00A96988" w:rsidRPr="00E753DB" w:rsidRDefault="00A96988" w:rsidP="002D295F">
            <w:pPr>
              <w:ind w:firstLine="209"/>
              <w:jc w:val="left"/>
              <w:rPr>
                <w:rFonts w:cs="Arial"/>
                <w:color w:val="000000"/>
                <w:sz w:val="20"/>
                <w:szCs w:val="20"/>
              </w:rPr>
            </w:pPr>
            <w:r w:rsidRPr="00E753DB">
              <w:rPr>
                <w:rFonts w:cs="Arial"/>
                <w:color w:val="000000"/>
                <w:sz w:val="20"/>
                <w:szCs w:val="20"/>
              </w:rPr>
              <w:t>Saldos de Exercícios Anteriores (Utilizados para Créditos Adicionais)</w:t>
            </w:r>
          </w:p>
        </w:tc>
        <w:tc>
          <w:tcPr>
            <w:tcW w:w="984" w:type="pct"/>
            <w:tcBorders>
              <w:top w:val="nil"/>
              <w:left w:val="nil"/>
              <w:bottom w:val="single" w:sz="4" w:space="0" w:color="auto"/>
              <w:right w:val="nil"/>
            </w:tcBorders>
            <w:shd w:val="clear" w:color="auto" w:fill="auto"/>
            <w:noWrap/>
            <w:vAlign w:val="center"/>
            <w:hideMark/>
          </w:tcPr>
          <w:p w14:paraId="20DB594C" w14:textId="77777777" w:rsidR="00A96988" w:rsidRPr="00E753DB" w:rsidRDefault="00A96988" w:rsidP="00A96988">
            <w:pPr>
              <w:jc w:val="right"/>
              <w:rPr>
                <w:rFonts w:cs="Arial"/>
                <w:color w:val="000000"/>
                <w:sz w:val="20"/>
                <w:szCs w:val="20"/>
              </w:rPr>
            </w:pPr>
            <w:r w:rsidRPr="00E753DB">
              <w:rPr>
                <w:rFonts w:cs="Arial"/>
                <w:color w:val="000000"/>
                <w:sz w:val="20"/>
                <w:szCs w:val="20"/>
              </w:rPr>
              <w:t xml:space="preserve">6.569.504.727 </w:t>
            </w:r>
          </w:p>
        </w:tc>
      </w:tr>
      <w:tr w:rsidR="00A96988" w:rsidRPr="00E753DB" w14:paraId="135838BC" w14:textId="77777777" w:rsidTr="00423440">
        <w:trPr>
          <w:trHeight w:val="284"/>
        </w:trPr>
        <w:tc>
          <w:tcPr>
            <w:tcW w:w="4016" w:type="pct"/>
            <w:tcBorders>
              <w:top w:val="single" w:sz="4" w:space="0" w:color="auto"/>
              <w:left w:val="nil"/>
              <w:bottom w:val="nil"/>
              <w:right w:val="single" w:sz="4" w:space="0" w:color="auto"/>
            </w:tcBorders>
            <w:shd w:val="clear" w:color="auto" w:fill="auto"/>
            <w:noWrap/>
            <w:vAlign w:val="center"/>
            <w:hideMark/>
          </w:tcPr>
          <w:p w14:paraId="2EA06632" w14:textId="77777777" w:rsidR="00A96988" w:rsidRPr="00E753DB" w:rsidRDefault="00A96988" w:rsidP="00A96988">
            <w:pPr>
              <w:jc w:val="left"/>
              <w:rPr>
                <w:rFonts w:cs="Arial"/>
                <w:b/>
                <w:bCs/>
                <w:color w:val="000000"/>
                <w:sz w:val="20"/>
                <w:szCs w:val="20"/>
              </w:rPr>
            </w:pPr>
            <w:r w:rsidRPr="00E753DB">
              <w:rPr>
                <w:rFonts w:cs="Arial"/>
                <w:b/>
                <w:bCs/>
                <w:color w:val="000000"/>
                <w:sz w:val="20"/>
                <w:szCs w:val="20"/>
              </w:rPr>
              <w:t>Despesas</w:t>
            </w:r>
          </w:p>
        </w:tc>
        <w:tc>
          <w:tcPr>
            <w:tcW w:w="984" w:type="pct"/>
            <w:tcBorders>
              <w:top w:val="single" w:sz="4" w:space="0" w:color="auto"/>
              <w:left w:val="nil"/>
              <w:bottom w:val="nil"/>
              <w:right w:val="nil"/>
            </w:tcBorders>
            <w:shd w:val="clear" w:color="auto" w:fill="auto"/>
            <w:noWrap/>
            <w:vAlign w:val="center"/>
            <w:hideMark/>
          </w:tcPr>
          <w:p w14:paraId="5A7D48A1" w14:textId="77777777" w:rsidR="00A96988" w:rsidRPr="00E753DB" w:rsidRDefault="00A96988" w:rsidP="00A96988">
            <w:pPr>
              <w:jc w:val="left"/>
              <w:rPr>
                <w:rFonts w:cs="Arial"/>
                <w:color w:val="000000"/>
                <w:sz w:val="20"/>
                <w:szCs w:val="20"/>
              </w:rPr>
            </w:pPr>
            <w:r w:rsidRPr="00E753DB">
              <w:rPr>
                <w:rFonts w:cs="Arial"/>
                <w:color w:val="000000"/>
                <w:sz w:val="20"/>
                <w:szCs w:val="20"/>
              </w:rPr>
              <w:t> </w:t>
            </w:r>
          </w:p>
        </w:tc>
      </w:tr>
      <w:tr w:rsidR="00A96988" w:rsidRPr="00E753DB" w14:paraId="271533DF" w14:textId="77777777" w:rsidTr="00423440">
        <w:trPr>
          <w:trHeight w:val="284"/>
        </w:trPr>
        <w:tc>
          <w:tcPr>
            <w:tcW w:w="4016" w:type="pct"/>
            <w:tcBorders>
              <w:top w:val="nil"/>
              <w:left w:val="nil"/>
              <w:bottom w:val="nil"/>
              <w:right w:val="single" w:sz="4" w:space="0" w:color="auto"/>
            </w:tcBorders>
            <w:shd w:val="clear" w:color="auto" w:fill="auto"/>
            <w:noWrap/>
            <w:vAlign w:val="center"/>
            <w:hideMark/>
          </w:tcPr>
          <w:p w14:paraId="3A853B85" w14:textId="77777777" w:rsidR="00A96988" w:rsidRPr="00E753DB" w:rsidRDefault="00A96988" w:rsidP="002D295F">
            <w:pPr>
              <w:ind w:firstLine="209"/>
              <w:jc w:val="left"/>
              <w:rPr>
                <w:rFonts w:cs="Arial"/>
                <w:color w:val="000000"/>
                <w:sz w:val="20"/>
                <w:szCs w:val="20"/>
              </w:rPr>
            </w:pPr>
            <w:r w:rsidRPr="00E753DB">
              <w:rPr>
                <w:rFonts w:cs="Arial"/>
                <w:color w:val="000000"/>
                <w:sz w:val="20"/>
                <w:szCs w:val="20"/>
              </w:rPr>
              <w:t>Dotação Inicial</w:t>
            </w:r>
          </w:p>
        </w:tc>
        <w:tc>
          <w:tcPr>
            <w:tcW w:w="984" w:type="pct"/>
            <w:tcBorders>
              <w:top w:val="nil"/>
              <w:left w:val="nil"/>
              <w:bottom w:val="nil"/>
              <w:right w:val="nil"/>
            </w:tcBorders>
            <w:shd w:val="clear" w:color="auto" w:fill="auto"/>
            <w:noWrap/>
            <w:vAlign w:val="center"/>
            <w:hideMark/>
          </w:tcPr>
          <w:p w14:paraId="24493223" w14:textId="77777777" w:rsidR="00A96988" w:rsidRPr="00E753DB" w:rsidRDefault="00A96988" w:rsidP="00A96988">
            <w:pPr>
              <w:jc w:val="right"/>
              <w:rPr>
                <w:rFonts w:cs="Arial"/>
                <w:color w:val="000000"/>
                <w:sz w:val="20"/>
                <w:szCs w:val="20"/>
              </w:rPr>
            </w:pPr>
            <w:r w:rsidRPr="00E753DB">
              <w:rPr>
                <w:rFonts w:cs="Arial"/>
                <w:color w:val="000000"/>
                <w:sz w:val="20"/>
                <w:szCs w:val="20"/>
              </w:rPr>
              <w:t xml:space="preserve">39.597.166.000 </w:t>
            </w:r>
          </w:p>
        </w:tc>
      </w:tr>
      <w:tr w:rsidR="00A96988" w:rsidRPr="00E753DB" w14:paraId="323310B5" w14:textId="77777777" w:rsidTr="00423440">
        <w:trPr>
          <w:trHeight w:val="284"/>
        </w:trPr>
        <w:tc>
          <w:tcPr>
            <w:tcW w:w="4016" w:type="pct"/>
            <w:tcBorders>
              <w:top w:val="nil"/>
              <w:left w:val="nil"/>
              <w:bottom w:val="nil"/>
              <w:right w:val="single" w:sz="4" w:space="0" w:color="auto"/>
            </w:tcBorders>
            <w:shd w:val="clear" w:color="auto" w:fill="auto"/>
            <w:noWrap/>
            <w:vAlign w:val="center"/>
            <w:hideMark/>
          </w:tcPr>
          <w:p w14:paraId="7373AC9A" w14:textId="77777777" w:rsidR="00A96988" w:rsidRPr="00E753DB" w:rsidRDefault="00A96988" w:rsidP="002D295F">
            <w:pPr>
              <w:ind w:firstLine="209"/>
              <w:jc w:val="left"/>
              <w:rPr>
                <w:rFonts w:cs="Arial"/>
                <w:color w:val="000000"/>
                <w:sz w:val="20"/>
                <w:szCs w:val="20"/>
              </w:rPr>
            </w:pPr>
            <w:r w:rsidRPr="00E753DB">
              <w:rPr>
                <w:rFonts w:cs="Arial"/>
                <w:color w:val="000000"/>
                <w:sz w:val="20"/>
                <w:szCs w:val="20"/>
              </w:rPr>
              <w:t>Dotação Atualizada</w:t>
            </w:r>
          </w:p>
        </w:tc>
        <w:tc>
          <w:tcPr>
            <w:tcW w:w="984" w:type="pct"/>
            <w:tcBorders>
              <w:top w:val="nil"/>
              <w:left w:val="nil"/>
              <w:bottom w:val="nil"/>
              <w:right w:val="nil"/>
            </w:tcBorders>
            <w:shd w:val="clear" w:color="auto" w:fill="auto"/>
            <w:noWrap/>
            <w:vAlign w:val="center"/>
            <w:hideMark/>
          </w:tcPr>
          <w:p w14:paraId="37B191CC" w14:textId="77777777" w:rsidR="00A96988" w:rsidRPr="00E753DB" w:rsidRDefault="00A96988" w:rsidP="00A96988">
            <w:pPr>
              <w:jc w:val="right"/>
              <w:rPr>
                <w:rFonts w:cs="Arial"/>
                <w:color w:val="000000"/>
                <w:sz w:val="20"/>
                <w:szCs w:val="20"/>
              </w:rPr>
            </w:pPr>
            <w:r w:rsidRPr="00E753DB">
              <w:rPr>
                <w:rFonts w:cs="Arial"/>
                <w:color w:val="000000"/>
                <w:sz w:val="20"/>
                <w:szCs w:val="20"/>
              </w:rPr>
              <w:t xml:space="preserve">47.525.637.211 </w:t>
            </w:r>
          </w:p>
        </w:tc>
      </w:tr>
      <w:tr w:rsidR="00A96988" w:rsidRPr="00E753DB" w14:paraId="46291A1E" w14:textId="77777777" w:rsidTr="00423440">
        <w:trPr>
          <w:trHeight w:val="284"/>
        </w:trPr>
        <w:tc>
          <w:tcPr>
            <w:tcW w:w="4016" w:type="pct"/>
            <w:tcBorders>
              <w:top w:val="nil"/>
              <w:left w:val="nil"/>
              <w:bottom w:val="nil"/>
              <w:right w:val="single" w:sz="4" w:space="0" w:color="auto"/>
            </w:tcBorders>
            <w:shd w:val="clear" w:color="auto" w:fill="auto"/>
            <w:noWrap/>
            <w:vAlign w:val="center"/>
            <w:hideMark/>
          </w:tcPr>
          <w:p w14:paraId="6C14C22C" w14:textId="77777777" w:rsidR="00A96988" w:rsidRPr="00E753DB" w:rsidRDefault="00A96988" w:rsidP="002D295F">
            <w:pPr>
              <w:ind w:firstLine="209"/>
              <w:jc w:val="left"/>
              <w:rPr>
                <w:rFonts w:cs="Arial"/>
                <w:color w:val="000000"/>
                <w:sz w:val="20"/>
                <w:szCs w:val="20"/>
              </w:rPr>
            </w:pPr>
            <w:r w:rsidRPr="00E753DB">
              <w:rPr>
                <w:rFonts w:cs="Arial"/>
                <w:color w:val="000000"/>
                <w:sz w:val="20"/>
                <w:szCs w:val="20"/>
              </w:rPr>
              <w:t>Despesas Empenhadas</w:t>
            </w:r>
          </w:p>
        </w:tc>
        <w:tc>
          <w:tcPr>
            <w:tcW w:w="984" w:type="pct"/>
            <w:tcBorders>
              <w:top w:val="nil"/>
              <w:left w:val="nil"/>
              <w:bottom w:val="nil"/>
              <w:right w:val="nil"/>
            </w:tcBorders>
            <w:shd w:val="clear" w:color="auto" w:fill="auto"/>
            <w:noWrap/>
            <w:vAlign w:val="center"/>
            <w:hideMark/>
          </w:tcPr>
          <w:p w14:paraId="736A0AB1" w14:textId="77777777" w:rsidR="00A96988" w:rsidRPr="00E753DB" w:rsidRDefault="00A96988" w:rsidP="00A96988">
            <w:pPr>
              <w:jc w:val="right"/>
              <w:rPr>
                <w:rFonts w:cs="Arial"/>
                <w:color w:val="000000"/>
                <w:sz w:val="20"/>
                <w:szCs w:val="20"/>
              </w:rPr>
            </w:pPr>
            <w:r w:rsidRPr="00E753DB">
              <w:rPr>
                <w:rFonts w:cs="Arial"/>
                <w:color w:val="000000"/>
                <w:sz w:val="20"/>
                <w:szCs w:val="20"/>
              </w:rPr>
              <w:t xml:space="preserve">39.420.594.476 </w:t>
            </w:r>
          </w:p>
        </w:tc>
      </w:tr>
      <w:tr w:rsidR="00A96988" w:rsidRPr="00E753DB" w14:paraId="3FFD1114" w14:textId="77777777" w:rsidTr="00423440">
        <w:trPr>
          <w:trHeight w:val="284"/>
        </w:trPr>
        <w:tc>
          <w:tcPr>
            <w:tcW w:w="4016" w:type="pct"/>
            <w:tcBorders>
              <w:top w:val="nil"/>
              <w:left w:val="nil"/>
              <w:bottom w:val="nil"/>
              <w:right w:val="single" w:sz="4" w:space="0" w:color="auto"/>
            </w:tcBorders>
            <w:shd w:val="clear" w:color="auto" w:fill="auto"/>
            <w:noWrap/>
            <w:vAlign w:val="center"/>
            <w:hideMark/>
          </w:tcPr>
          <w:p w14:paraId="31DBC771" w14:textId="77777777" w:rsidR="00A96988" w:rsidRPr="00E753DB" w:rsidRDefault="00A96988" w:rsidP="002D295F">
            <w:pPr>
              <w:ind w:firstLine="209"/>
              <w:jc w:val="left"/>
              <w:rPr>
                <w:rFonts w:cs="Arial"/>
                <w:color w:val="000000"/>
                <w:sz w:val="20"/>
                <w:szCs w:val="20"/>
              </w:rPr>
            </w:pPr>
            <w:r w:rsidRPr="00E753DB">
              <w:rPr>
                <w:rFonts w:cs="Arial"/>
                <w:color w:val="000000"/>
                <w:sz w:val="20"/>
                <w:szCs w:val="20"/>
              </w:rPr>
              <w:t>Despesas Liquidadas</w:t>
            </w:r>
          </w:p>
        </w:tc>
        <w:tc>
          <w:tcPr>
            <w:tcW w:w="984" w:type="pct"/>
            <w:tcBorders>
              <w:top w:val="nil"/>
              <w:left w:val="nil"/>
              <w:bottom w:val="nil"/>
              <w:right w:val="nil"/>
            </w:tcBorders>
            <w:shd w:val="clear" w:color="auto" w:fill="auto"/>
            <w:noWrap/>
            <w:vAlign w:val="center"/>
            <w:hideMark/>
          </w:tcPr>
          <w:p w14:paraId="577F0C05" w14:textId="77777777" w:rsidR="00A96988" w:rsidRPr="00E753DB" w:rsidRDefault="00A96988" w:rsidP="00A96988">
            <w:pPr>
              <w:jc w:val="right"/>
              <w:rPr>
                <w:rFonts w:cs="Arial"/>
                <w:color w:val="000000"/>
                <w:sz w:val="20"/>
                <w:szCs w:val="20"/>
              </w:rPr>
            </w:pPr>
            <w:r w:rsidRPr="00E753DB">
              <w:rPr>
                <w:rFonts w:cs="Arial"/>
                <w:color w:val="000000"/>
                <w:sz w:val="20"/>
                <w:szCs w:val="20"/>
              </w:rPr>
              <w:t xml:space="preserve">38.086.180.602 </w:t>
            </w:r>
          </w:p>
        </w:tc>
      </w:tr>
      <w:tr w:rsidR="00A96988" w:rsidRPr="00E753DB" w14:paraId="469BF218" w14:textId="77777777" w:rsidTr="00423440">
        <w:trPr>
          <w:trHeight w:val="284"/>
        </w:trPr>
        <w:tc>
          <w:tcPr>
            <w:tcW w:w="4016" w:type="pct"/>
            <w:tcBorders>
              <w:top w:val="nil"/>
              <w:left w:val="nil"/>
              <w:bottom w:val="single" w:sz="4" w:space="0" w:color="auto"/>
              <w:right w:val="single" w:sz="4" w:space="0" w:color="auto"/>
            </w:tcBorders>
            <w:shd w:val="clear" w:color="auto" w:fill="auto"/>
            <w:noWrap/>
            <w:vAlign w:val="center"/>
            <w:hideMark/>
          </w:tcPr>
          <w:p w14:paraId="6A85105E" w14:textId="77777777" w:rsidR="00A96988" w:rsidRPr="00E753DB" w:rsidRDefault="00A96988" w:rsidP="002D295F">
            <w:pPr>
              <w:ind w:firstLine="209"/>
              <w:jc w:val="left"/>
              <w:rPr>
                <w:rFonts w:cs="Arial"/>
                <w:color w:val="000000"/>
                <w:sz w:val="20"/>
                <w:szCs w:val="20"/>
              </w:rPr>
            </w:pPr>
            <w:r w:rsidRPr="00E753DB">
              <w:rPr>
                <w:rFonts w:cs="Arial"/>
                <w:color w:val="000000"/>
                <w:sz w:val="20"/>
                <w:szCs w:val="20"/>
              </w:rPr>
              <w:t>Despesas Pagas</w:t>
            </w:r>
          </w:p>
        </w:tc>
        <w:tc>
          <w:tcPr>
            <w:tcW w:w="984" w:type="pct"/>
            <w:tcBorders>
              <w:top w:val="nil"/>
              <w:left w:val="nil"/>
              <w:bottom w:val="single" w:sz="4" w:space="0" w:color="auto"/>
              <w:right w:val="nil"/>
            </w:tcBorders>
            <w:shd w:val="clear" w:color="auto" w:fill="auto"/>
            <w:noWrap/>
            <w:vAlign w:val="center"/>
            <w:hideMark/>
          </w:tcPr>
          <w:p w14:paraId="0DD1D9C4" w14:textId="77777777" w:rsidR="00A96988" w:rsidRPr="00E753DB" w:rsidRDefault="00A96988" w:rsidP="00A96988">
            <w:pPr>
              <w:jc w:val="right"/>
              <w:rPr>
                <w:rFonts w:cs="Arial"/>
                <w:color w:val="000000"/>
                <w:sz w:val="20"/>
                <w:szCs w:val="20"/>
              </w:rPr>
            </w:pPr>
            <w:r w:rsidRPr="00E753DB">
              <w:rPr>
                <w:rFonts w:cs="Arial"/>
                <w:color w:val="000000"/>
                <w:sz w:val="20"/>
                <w:szCs w:val="20"/>
              </w:rPr>
              <w:t xml:space="preserve">37.945.543.146 </w:t>
            </w:r>
          </w:p>
        </w:tc>
      </w:tr>
      <w:tr w:rsidR="00A96988" w:rsidRPr="00E753DB" w14:paraId="6B123E2E" w14:textId="77777777" w:rsidTr="00423440">
        <w:trPr>
          <w:trHeight w:val="284"/>
        </w:trPr>
        <w:tc>
          <w:tcPr>
            <w:tcW w:w="4016" w:type="pct"/>
            <w:tcBorders>
              <w:top w:val="single" w:sz="4" w:space="0" w:color="auto"/>
              <w:left w:val="nil"/>
              <w:bottom w:val="single" w:sz="4" w:space="0" w:color="auto"/>
              <w:right w:val="single" w:sz="4" w:space="0" w:color="auto"/>
            </w:tcBorders>
            <w:shd w:val="clear" w:color="auto" w:fill="auto"/>
            <w:noWrap/>
            <w:vAlign w:val="center"/>
            <w:hideMark/>
          </w:tcPr>
          <w:p w14:paraId="67A35DE8" w14:textId="77777777" w:rsidR="00A96988" w:rsidRPr="00E753DB" w:rsidRDefault="00A96988" w:rsidP="00A96988">
            <w:pPr>
              <w:jc w:val="left"/>
              <w:rPr>
                <w:rFonts w:cs="Arial"/>
                <w:b/>
                <w:color w:val="000000"/>
                <w:sz w:val="20"/>
                <w:szCs w:val="20"/>
              </w:rPr>
            </w:pPr>
            <w:r w:rsidRPr="00E753DB">
              <w:rPr>
                <w:rFonts w:cs="Arial"/>
                <w:b/>
                <w:color w:val="000000"/>
                <w:sz w:val="20"/>
                <w:szCs w:val="20"/>
              </w:rPr>
              <w:t>Superávit Orçamentário (Receita Arrecadada - Despesa Empenhada)</w:t>
            </w:r>
          </w:p>
        </w:tc>
        <w:tc>
          <w:tcPr>
            <w:tcW w:w="984" w:type="pct"/>
            <w:tcBorders>
              <w:top w:val="single" w:sz="4" w:space="0" w:color="auto"/>
              <w:left w:val="nil"/>
              <w:bottom w:val="single" w:sz="4" w:space="0" w:color="auto"/>
              <w:right w:val="nil"/>
            </w:tcBorders>
            <w:shd w:val="clear" w:color="auto" w:fill="auto"/>
            <w:noWrap/>
            <w:vAlign w:val="center"/>
            <w:hideMark/>
          </w:tcPr>
          <w:p w14:paraId="0156694C" w14:textId="77777777" w:rsidR="00A96988" w:rsidRPr="00E753DB" w:rsidRDefault="00A96988" w:rsidP="00A96988">
            <w:pPr>
              <w:jc w:val="right"/>
              <w:rPr>
                <w:rFonts w:cs="Arial"/>
                <w:b/>
                <w:color w:val="000000"/>
                <w:sz w:val="20"/>
                <w:szCs w:val="20"/>
              </w:rPr>
            </w:pPr>
            <w:r w:rsidRPr="00E753DB">
              <w:rPr>
                <w:rFonts w:cs="Arial"/>
                <w:b/>
                <w:color w:val="000000"/>
                <w:sz w:val="20"/>
                <w:szCs w:val="20"/>
              </w:rPr>
              <w:t xml:space="preserve">2.564.117.040 </w:t>
            </w:r>
          </w:p>
        </w:tc>
      </w:tr>
    </w:tbl>
    <w:p w14:paraId="35E8660C" w14:textId="77777777" w:rsidR="00A96988" w:rsidRPr="00333D34" w:rsidRDefault="00A96988" w:rsidP="00EF01A1">
      <w:pPr>
        <w:pStyle w:val="1-FONTE8ESQ"/>
        <w:rPr>
          <w:rStyle w:val="Forte"/>
          <w:b w:val="0"/>
          <w:bCs w:val="0"/>
        </w:rPr>
      </w:pPr>
      <w:r>
        <w:rPr>
          <w:rStyle w:val="Forte"/>
          <w:b w:val="0"/>
          <w:bCs w:val="0"/>
        </w:rPr>
        <w:t>Font</w:t>
      </w:r>
      <w:r w:rsidRPr="00333D34">
        <w:rPr>
          <w:rStyle w:val="Forte"/>
          <w:b w:val="0"/>
          <w:bCs w:val="0"/>
        </w:rPr>
        <w:t xml:space="preserve">e: </w:t>
      </w:r>
      <w:r>
        <w:rPr>
          <w:rStyle w:val="Forte"/>
          <w:b w:val="0"/>
          <w:bCs w:val="0"/>
        </w:rPr>
        <w:t>Balanço Orçamentário – Anexo 12 (BGE 2023)</w:t>
      </w:r>
    </w:p>
    <w:p w14:paraId="2F9F98A0" w14:textId="5396E582" w:rsidR="00A96988" w:rsidRDefault="00A96988" w:rsidP="00A96988">
      <w:pPr>
        <w:pStyle w:val="1-REL11"/>
      </w:pPr>
      <w:r>
        <w:t>Em relação à previsão da receita atualizada (R$</w:t>
      </w:r>
      <w:r w:rsidR="00195D28">
        <w:t> </w:t>
      </w:r>
      <w:r>
        <w:t>40,96</w:t>
      </w:r>
      <w:r w:rsidR="002E0BC9">
        <w:t> </w:t>
      </w:r>
      <w:r>
        <w:t xml:space="preserve">bilhões), arrecadou-se 2,51% (R$ 41,98 bilhões) acima do total previsto para o exercício. No que tange às despesas, 82,95% </w:t>
      </w:r>
      <w:r>
        <w:lastRenderedPageBreak/>
        <w:t>da dotação atualizada (R$</w:t>
      </w:r>
      <w:r w:rsidR="00195D28">
        <w:t> </w:t>
      </w:r>
      <w:r>
        <w:t>47,53</w:t>
      </w:r>
      <w:r w:rsidR="003337E8">
        <w:t> </w:t>
      </w:r>
      <w:r>
        <w:t>bilhões) foi empenhada (R$</w:t>
      </w:r>
      <w:r w:rsidR="00195D28">
        <w:t> </w:t>
      </w:r>
      <w:r>
        <w:t>39,42</w:t>
      </w:r>
      <w:r w:rsidR="003337E8">
        <w:t> </w:t>
      </w:r>
      <w:r>
        <w:t>bilhões) no exercício de 2023.</w:t>
      </w:r>
    </w:p>
    <w:p w14:paraId="18AF09CB" w14:textId="3BA151E0" w:rsidR="00A96988" w:rsidRPr="00C5308F" w:rsidRDefault="00A96988" w:rsidP="00A96988">
      <w:pPr>
        <w:pStyle w:val="1-REL11"/>
      </w:pPr>
      <w:r>
        <w:t>Assim, confrontado as receitas arrecadadas (R$</w:t>
      </w:r>
      <w:r w:rsidR="00195D28">
        <w:t> </w:t>
      </w:r>
      <w:r>
        <w:t>41,98</w:t>
      </w:r>
      <w:r w:rsidR="00F763BE">
        <w:t> </w:t>
      </w:r>
      <w:r>
        <w:t>bilhões) com as despesas empenhadas (R$ 39,42</w:t>
      </w:r>
      <w:r w:rsidR="00F763BE">
        <w:t> </w:t>
      </w:r>
      <w:r>
        <w:t>bilhões), a execução orçamentária apresentou superávit de R$</w:t>
      </w:r>
      <w:r w:rsidR="00195D28">
        <w:t> </w:t>
      </w:r>
      <w:r>
        <w:t>2,56</w:t>
      </w:r>
      <w:r w:rsidR="00F763BE">
        <w:t> </w:t>
      </w:r>
      <w:r>
        <w:t xml:space="preserve">bilhões </w:t>
      </w:r>
      <w:r w:rsidRPr="00C5308F">
        <w:t>em 2023.</w:t>
      </w:r>
    </w:p>
    <w:p w14:paraId="0E177828" w14:textId="77777777" w:rsidR="00A96988" w:rsidRPr="00C5308F" w:rsidRDefault="00A96988" w:rsidP="00A96988">
      <w:pPr>
        <w:pStyle w:val="1-REL11"/>
      </w:pPr>
      <w:r w:rsidRPr="00C5308F">
        <w:t>O gráfico a seguir apresenta o resultado orçamentário do Estado nos últimos dez exercícios, sendo que para 2018 buscou-se demonstrar o resultado em dois cenários, conforme análise apresentado no Relatório</w:t>
      </w:r>
      <w:r>
        <w:t xml:space="preserve"> Técnico</w:t>
      </w:r>
      <w:r w:rsidRPr="00C5308F">
        <w:t xml:space="preserve"> das Contas do Governador 2018:</w:t>
      </w:r>
    </w:p>
    <w:p w14:paraId="35694DFB" w14:textId="77777777" w:rsidR="00A96988" w:rsidRPr="00455069" w:rsidRDefault="00A96988" w:rsidP="00887B06">
      <w:pPr>
        <w:pStyle w:val="0-GRFICO"/>
      </w:pPr>
      <w:bookmarkStart w:id="61" w:name="_Toc167825095"/>
      <w:r>
        <w:t>Resultado Orçamentário – 2014 a 2023</w:t>
      </w:r>
      <w:bookmarkEnd w:id="61"/>
    </w:p>
    <w:p w14:paraId="23E1598C" w14:textId="77777777" w:rsidR="00A96988" w:rsidRDefault="00A96988" w:rsidP="00A96988">
      <w:pPr>
        <w:pStyle w:val="1-REL11"/>
      </w:pPr>
      <w:r>
        <w:rPr>
          <w:noProof/>
        </w:rPr>
        <w:drawing>
          <wp:inline distT="0" distB="0" distL="0" distR="0" wp14:anchorId="2CA776B6" wp14:editId="264CCC02">
            <wp:extent cx="5762625" cy="3902149"/>
            <wp:effectExtent l="57150" t="57150" r="161925" b="193675"/>
            <wp:docPr id="31" name="Gráfico 31">
              <a:extLst xmlns:a="http://schemas.openxmlformats.org/drawingml/2006/main">
                <a:ext uri="{FF2B5EF4-FFF2-40B4-BE49-F238E27FC236}">
                  <a16:creationId xmlns:a16="http://schemas.microsoft.com/office/drawing/2014/main" id="{3CEE06B1-FA94-458D-8062-BCE3E9164CD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17350EA7" w14:textId="77777777" w:rsidR="00A96988" w:rsidRPr="00AE14E7" w:rsidRDefault="00A96988" w:rsidP="00A96988">
      <w:pPr>
        <w:pStyle w:val="0-FNT-GRAFICO"/>
      </w:pPr>
      <w:r w:rsidRPr="00AE14E7">
        <w:t xml:space="preserve">Fonte: Balanço Orçamentário </w:t>
      </w:r>
      <w:r>
        <w:t xml:space="preserve">- </w:t>
      </w:r>
      <w:r w:rsidRPr="00AE14E7">
        <w:t>Anexo 12</w:t>
      </w:r>
      <w:r>
        <w:t xml:space="preserve"> (BGE 2023) </w:t>
      </w:r>
      <w:r w:rsidRPr="00AE14E7">
        <w:t>e resultados apresentados nos tópicos 3.3 Receita e 3.4 Despesa</w:t>
      </w:r>
    </w:p>
    <w:p w14:paraId="697FD862" w14:textId="237FBE17" w:rsidR="00A96988" w:rsidRDefault="00A96988" w:rsidP="00A96988">
      <w:pPr>
        <w:pStyle w:val="1-REL11"/>
      </w:pPr>
      <w:r>
        <w:t>Em relação a 2022, verificou-se que as receitas arrecadadas apresentaram uma variação real negativa de 8,10% e as despesas empenhadas de 2,92%, ou seja, o impacto negativo foi maior na arrecadação. Pelo gráfico a seguir, pode-se comparar a variação real das receitas e despesas nos últimos dez exercícios:</w:t>
      </w:r>
    </w:p>
    <w:p w14:paraId="689D1EE3" w14:textId="77777777" w:rsidR="00A96988" w:rsidRPr="00571327" w:rsidRDefault="00A96988" w:rsidP="006E2785">
      <w:pPr>
        <w:pStyle w:val="0-GRFICO"/>
      </w:pPr>
      <w:bookmarkStart w:id="62" w:name="_Toc167825096"/>
      <w:r w:rsidRPr="00571327">
        <w:lastRenderedPageBreak/>
        <w:t>Variação Real das Receitas e Despesas – 201</w:t>
      </w:r>
      <w:r>
        <w:t>4</w:t>
      </w:r>
      <w:r w:rsidRPr="00571327">
        <w:t xml:space="preserve"> a 202</w:t>
      </w:r>
      <w:r>
        <w:t>3</w:t>
      </w:r>
      <w:bookmarkEnd w:id="62"/>
    </w:p>
    <w:p w14:paraId="6EB6CAE5" w14:textId="77777777" w:rsidR="00A96988" w:rsidRPr="00955B2E" w:rsidRDefault="00A96988" w:rsidP="00A96988">
      <w:pPr>
        <w:pStyle w:val="1-REL11"/>
      </w:pPr>
      <w:r>
        <w:rPr>
          <w:noProof/>
        </w:rPr>
        <w:drawing>
          <wp:inline distT="0" distB="0" distL="0" distR="0" wp14:anchorId="23EDCBBF" wp14:editId="527CB665">
            <wp:extent cx="5939155" cy="3847795"/>
            <wp:effectExtent l="0" t="0" r="156845" b="153035"/>
            <wp:docPr id="32" name="Gráfico 32">
              <a:extLst xmlns:a="http://schemas.openxmlformats.org/drawingml/2006/main">
                <a:ext uri="{FF2B5EF4-FFF2-40B4-BE49-F238E27FC236}">
                  <a16:creationId xmlns:a16="http://schemas.microsoft.com/office/drawing/2014/main" id="{F27C33BB-43A2-43A6-9B4B-162E3B9B9D4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7592AAA0" w14:textId="77777777" w:rsidR="00A96988" w:rsidRPr="007A6173" w:rsidRDefault="00A96988" w:rsidP="00A96988">
      <w:pPr>
        <w:pStyle w:val="0-FNT-GRAFICO"/>
      </w:pPr>
      <w:r w:rsidRPr="007A6173">
        <w:t xml:space="preserve">Fonte: </w:t>
      </w:r>
      <w:r>
        <w:rPr>
          <w:rStyle w:val="Forte"/>
          <w:b w:val="0"/>
          <w:bCs w:val="0"/>
        </w:rPr>
        <w:t>Balanço Orçamentário – Anexo 12 (BGE 2023)</w:t>
      </w:r>
      <w:r w:rsidRPr="007A6173">
        <w:t xml:space="preserve"> e índice IPCA (Portal do IBGE)</w:t>
      </w:r>
    </w:p>
    <w:p w14:paraId="16A8AAA6" w14:textId="77777777" w:rsidR="00A96988" w:rsidRPr="007A6173" w:rsidRDefault="00A96988" w:rsidP="00A96988">
      <w:pPr>
        <w:pStyle w:val="0-FNT-GRAFICO"/>
      </w:pPr>
      <w:r w:rsidRPr="007A6173">
        <w:t xml:space="preserve"> ¹ Série 3 = Despesas sob a ótica das Despesas Sem Prévio Empenho de 2018</w:t>
      </w:r>
    </w:p>
    <w:p w14:paraId="5FA752C8" w14:textId="77777777" w:rsidR="00A96988" w:rsidRPr="00381287" w:rsidRDefault="00A96988" w:rsidP="00A96988">
      <w:pPr>
        <w:pStyle w:val="Ttulo2"/>
      </w:pPr>
      <w:bookmarkStart w:id="63" w:name="_Toc167871631"/>
      <w:r w:rsidRPr="00381287">
        <w:t>Receita</w:t>
      </w:r>
      <w:bookmarkEnd w:id="63"/>
    </w:p>
    <w:p w14:paraId="311FB081" w14:textId="6EDB1879" w:rsidR="00A96988" w:rsidRDefault="00A96988" w:rsidP="00A96988">
      <w:pPr>
        <w:pStyle w:val="1-REL11"/>
      </w:pPr>
      <w:r w:rsidRPr="00203646">
        <w:t xml:space="preserve">A receita líquida prevista para o </w:t>
      </w:r>
      <w:r>
        <w:t>o</w:t>
      </w:r>
      <w:r w:rsidRPr="00203646">
        <w:t>rçamento Fiscal e da Seguridade Social foi de R$</w:t>
      </w:r>
      <w:r>
        <w:t> </w:t>
      </w:r>
      <w:r w:rsidRPr="00203646">
        <w:t>39</w:t>
      </w:r>
      <w:r>
        <w:t>,60</w:t>
      </w:r>
      <w:r w:rsidR="00F763BE">
        <w:t> </w:t>
      </w:r>
      <w:r>
        <w:t>bilhões</w:t>
      </w:r>
      <w:r w:rsidRPr="00203646">
        <w:t>. Durante a execução do orçamento essa projeção foi atualizada em 3,43%, percentual que corresponde a um acréscimo de R$</w:t>
      </w:r>
      <w:r w:rsidR="00F763BE">
        <w:t> </w:t>
      </w:r>
      <w:r w:rsidRPr="00203646">
        <w:t>1</w:t>
      </w:r>
      <w:r>
        <w:t>,</w:t>
      </w:r>
      <w:r w:rsidRPr="00203646">
        <w:t>3</w:t>
      </w:r>
      <w:r>
        <w:t>6</w:t>
      </w:r>
      <w:r w:rsidR="00F763BE">
        <w:t> </w:t>
      </w:r>
      <w:r>
        <w:t>bilhões</w:t>
      </w:r>
      <w:r w:rsidRPr="00203646">
        <w:t>, totalizando R$ 40</w:t>
      </w:r>
      <w:r>
        <w:t>,</w:t>
      </w:r>
      <w:r w:rsidRPr="00203646">
        <w:t>96</w:t>
      </w:r>
      <w:r w:rsidR="00F763BE">
        <w:t> </w:t>
      </w:r>
      <w:r>
        <w:t>bilhões para o período</w:t>
      </w:r>
      <w:r w:rsidRPr="00203646">
        <w:t>. O exercício foi encerrado com uma arrecadação de R$</w:t>
      </w:r>
      <w:r w:rsidR="00F763BE">
        <w:t> </w:t>
      </w:r>
      <w:r w:rsidRPr="00203646">
        <w:t>41</w:t>
      </w:r>
      <w:r>
        <w:t>,</w:t>
      </w:r>
      <w:r w:rsidRPr="00203646">
        <w:t>98</w:t>
      </w:r>
      <w:r w:rsidR="003337E8">
        <w:t> </w:t>
      </w:r>
      <w:r>
        <w:t>bilhões</w:t>
      </w:r>
      <w:r w:rsidRPr="00203646">
        <w:t>, resultado 2,51% acima da previsão atualizada, perfazendo, em termos nominais, um excesso de arrecadação na ordem de R$</w:t>
      </w:r>
      <w:r>
        <w:t> </w:t>
      </w:r>
      <w:r w:rsidRPr="00203646">
        <w:t>1</w:t>
      </w:r>
      <w:r>
        <w:t>,03</w:t>
      </w:r>
      <w:r w:rsidR="00F763BE">
        <w:t> </w:t>
      </w:r>
      <w:r>
        <w:t>bilhão.</w:t>
      </w:r>
    </w:p>
    <w:p w14:paraId="27C30348" w14:textId="521FD8DE" w:rsidR="00A96988" w:rsidRPr="001A1567" w:rsidRDefault="00A96988" w:rsidP="00A96988">
      <w:pPr>
        <w:pStyle w:val="1-REL11"/>
      </w:pPr>
      <w:r>
        <w:t xml:space="preserve">Do montante arrecadado, </w:t>
      </w:r>
      <w:r w:rsidRPr="001A1567">
        <w:t>R$</w:t>
      </w:r>
      <w:r w:rsidR="00F763BE">
        <w:t> </w:t>
      </w:r>
      <w:r w:rsidRPr="001A1567">
        <w:t>2</w:t>
      </w:r>
      <w:r>
        <w:t>7</w:t>
      </w:r>
      <w:r w:rsidRPr="001A1567">
        <w:t>,</w:t>
      </w:r>
      <w:r>
        <w:t>86</w:t>
      </w:r>
      <w:r w:rsidR="00F763BE">
        <w:t> </w:t>
      </w:r>
      <w:r w:rsidRPr="001A1567">
        <w:t>bilhões (</w:t>
      </w:r>
      <w:r>
        <w:t>66</w:t>
      </w:r>
      <w:r w:rsidRPr="001A1567">
        <w:t>,</w:t>
      </w:r>
      <w:r>
        <w:t>35</w:t>
      </w:r>
      <w:r w:rsidRPr="001A1567">
        <w:t xml:space="preserve">%) </w:t>
      </w:r>
      <w:r>
        <w:t>são</w:t>
      </w:r>
      <w:r w:rsidRPr="001A1567">
        <w:t xml:space="preserve"> </w:t>
      </w:r>
      <w:r>
        <w:t>recursos</w:t>
      </w:r>
      <w:r w:rsidRPr="001A1567">
        <w:t xml:space="preserve"> Ordinári</w:t>
      </w:r>
      <w:r>
        <w:t>o</w:t>
      </w:r>
      <w:r w:rsidRPr="001A1567">
        <w:t>s, em que o processo de alocação é livre entre a origem e a aplicação, e R$ </w:t>
      </w:r>
      <w:r>
        <w:t>14,13</w:t>
      </w:r>
      <w:r w:rsidR="003337E8">
        <w:t> </w:t>
      </w:r>
      <w:r>
        <w:t>b</w:t>
      </w:r>
      <w:r w:rsidRPr="001A1567">
        <w:t>ilhões (</w:t>
      </w:r>
      <w:r>
        <w:t>33,65</w:t>
      </w:r>
      <w:r w:rsidRPr="001A1567">
        <w:t xml:space="preserve">%) </w:t>
      </w:r>
      <w:r>
        <w:t>são</w:t>
      </w:r>
      <w:r w:rsidRPr="001A1567">
        <w:t xml:space="preserve"> </w:t>
      </w:r>
      <w:r>
        <w:t>recursos</w:t>
      </w:r>
      <w:r w:rsidRPr="001A1567">
        <w:t xml:space="preserve"> Vinculad</w:t>
      </w:r>
      <w:r>
        <w:t>o</w:t>
      </w:r>
      <w:r w:rsidRPr="001A1567">
        <w:t>s, ou seja, exist</w:t>
      </w:r>
      <w:r>
        <w:t>e</w:t>
      </w:r>
      <w:r w:rsidRPr="001A1567">
        <w:t xml:space="preserve"> um processo de vinculação entre a origem e destino dos recursos para atendimento a finalidades específicas legalmente estabelecidas.</w:t>
      </w:r>
    </w:p>
    <w:p w14:paraId="7F61A064" w14:textId="77777777" w:rsidR="00A96988" w:rsidRDefault="00A96988" w:rsidP="00A96988">
      <w:pPr>
        <w:pStyle w:val="1-REL11"/>
      </w:pPr>
      <w:r>
        <w:t>A</w:t>
      </w:r>
      <w:r w:rsidRPr="00203646">
        <w:t xml:space="preserve"> tabela </w:t>
      </w:r>
      <w:r>
        <w:t>a seguir detalha o resultado da arrecadação por Origem do Recurso em 2023</w:t>
      </w:r>
      <w:r w:rsidRPr="00203646">
        <w:t>:</w:t>
      </w:r>
    </w:p>
    <w:p w14:paraId="5F532838" w14:textId="77777777" w:rsidR="00A96988" w:rsidRPr="00A4702C" w:rsidRDefault="00A96988" w:rsidP="00ED3571">
      <w:pPr>
        <w:pStyle w:val="0-TABELA"/>
      </w:pPr>
      <w:bookmarkStart w:id="64" w:name="_Ref165568583"/>
      <w:bookmarkStart w:id="65" w:name="_Toc167871732"/>
      <w:r w:rsidRPr="00A4702C">
        <w:lastRenderedPageBreak/>
        <w:t>Resultado da Arrecadação por Origem de Recurso</w:t>
      </w:r>
      <w:bookmarkEnd w:id="64"/>
      <w:bookmarkEnd w:id="65"/>
    </w:p>
    <w:p w14:paraId="143ACAFB" w14:textId="77777777" w:rsidR="00A96988" w:rsidRDefault="00A96988" w:rsidP="00A96988">
      <w:pPr>
        <w:pStyle w:val="0-EmR1"/>
        <w:rPr>
          <w:rStyle w:val="Forte"/>
          <w:b w:val="0"/>
          <w:bCs w:val="0"/>
        </w:rPr>
      </w:pPr>
      <w:r w:rsidRPr="00333D34">
        <w:t>R$ 1</w:t>
      </w:r>
    </w:p>
    <w:tbl>
      <w:tblPr>
        <w:tblW w:w="5000" w:type="pct"/>
        <w:tblLayout w:type="fixed"/>
        <w:tblCellMar>
          <w:left w:w="70" w:type="dxa"/>
          <w:right w:w="70" w:type="dxa"/>
        </w:tblCellMar>
        <w:tblLook w:val="04A0" w:firstRow="1" w:lastRow="0" w:firstColumn="1" w:lastColumn="0" w:noHBand="0" w:noVBand="1"/>
      </w:tblPr>
      <w:tblGrid>
        <w:gridCol w:w="2698"/>
        <w:gridCol w:w="1559"/>
        <w:gridCol w:w="1556"/>
        <w:gridCol w:w="1154"/>
        <w:gridCol w:w="1395"/>
        <w:gridCol w:w="991"/>
      </w:tblGrid>
      <w:tr w:rsidR="005177C1" w:rsidRPr="004A12A2" w14:paraId="7DD2AC86" w14:textId="77777777" w:rsidTr="00854644">
        <w:trPr>
          <w:trHeight w:val="340"/>
          <w:tblHeader/>
        </w:trPr>
        <w:tc>
          <w:tcPr>
            <w:tcW w:w="1442" w:type="pct"/>
            <w:vMerge w:val="restart"/>
            <w:tcBorders>
              <w:top w:val="single" w:sz="4" w:space="0" w:color="auto"/>
              <w:left w:val="nil"/>
              <w:right w:val="single" w:sz="4" w:space="0" w:color="auto"/>
            </w:tcBorders>
            <w:shd w:val="clear" w:color="000000" w:fill="A1F2FD"/>
            <w:vAlign w:val="center"/>
            <w:hideMark/>
          </w:tcPr>
          <w:p w14:paraId="2E89C278" w14:textId="77777777" w:rsidR="005177C1" w:rsidRPr="004A12A2" w:rsidRDefault="005177C1" w:rsidP="00A96988">
            <w:pPr>
              <w:jc w:val="center"/>
              <w:rPr>
                <w:rFonts w:cs="Arial"/>
                <w:b/>
                <w:bCs/>
                <w:color w:val="000000"/>
                <w:sz w:val="18"/>
                <w:szCs w:val="18"/>
              </w:rPr>
            </w:pPr>
            <w:r w:rsidRPr="004A12A2">
              <w:rPr>
                <w:rFonts w:cs="Arial"/>
                <w:b/>
                <w:bCs/>
                <w:color w:val="000000"/>
                <w:sz w:val="18"/>
                <w:szCs w:val="18"/>
              </w:rPr>
              <w:t>Origem do Recurso</w:t>
            </w:r>
          </w:p>
        </w:tc>
        <w:tc>
          <w:tcPr>
            <w:tcW w:w="833"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75F653C7" w14:textId="3C21A2C6" w:rsidR="005177C1" w:rsidRPr="004A12A2" w:rsidRDefault="005177C1" w:rsidP="00A96988">
            <w:pPr>
              <w:jc w:val="center"/>
              <w:rPr>
                <w:rFonts w:cs="Arial"/>
                <w:b/>
                <w:bCs/>
                <w:color w:val="000000"/>
                <w:sz w:val="18"/>
                <w:szCs w:val="18"/>
              </w:rPr>
            </w:pPr>
            <w:r w:rsidRPr="004A12A2">
              <w:rPr>
                <w:rFonts w:cs="Arial"/>
                <w:b/>
                <w:bCs/>
                <w:color w:val="000000"/>
                <w:sz w:val="18"/>
                <w:szCs w:val="18"/>
              </w:rPr>
              <w:t>Receita Prevista</w:t>
            </w:r>
          </w:p>
        </w:tc>
        <w:tc>
          <w:tcPr>
            <w:tcW w:w="832"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05F8DF80" w14:textId="67AE777F" w:rsidR="005177C1" w:rsidRPr="004A12A2" w:rsidRDefault="005177C1" w:rsidP="00A96988">
            <w:pPr>
              <w:jc w:val="center"/>
              <w:rPr>
                <w:rFonts w:cs="Arial"/>
                <w:b/>
                <w:bCs/>
                <w:color w:val="000000"/>
                <w:sz w:val="18"/>
                <w:szCs w:val="18"/>
              </w:rPr>
            </w:pPr>
            <w:r w:rsidRPr="004A12A2">
              <w:rPr>
                <w:rFonts w:cs="Arial"/>
                <w:b/>
                <w:bCs/>
                <w:color w:val="000000"/>
                <w:sz w:val="18"/>
                <w:szCs w:val="18"/>
              </w:rPr>
              <w:t>Receita Realizada</w:t>
            </w:r>
          </w:p>
        </w:tc>
        <w:tc>
          <w:tcPr>
            <w:tcW w:w="617" w:type="pct"/>
            <w:vMerge w:val="restart"/>
            <w:tcBorders>
              <w:top w:val="single" w:sz="4" w:space="0" w:color="auto"/>
              <w:left w:val="nil"/>
              <w:right w:val="single" w:sz="4" w:space="0" w:color="auto"/>
            </w:tcBorders>
            <w:shd w:val="clear" w:color="000000" w:fill="A1F2FD"/>
            <w:vAlign w:val="center"/>
          </w:tcPr>
          <w:p w14:paraId="3FDE0726" w14:textId="1102E9B8" w:rsidR="005177C1" w:rsidRPr="004A12A2" w:rsidRDefault="003A6FB5" w:rsidP="005177C1">
            <w:pPr>
              <w:jc w:val="center"/>
              <w:rPr>
                <w:rFonts w:cs="Arial"/>
                <w:b/>
                <w:bCs/>
                <w:color w:val="000000"/>
                <w:sz w:val="18"/>
                <w:szCs w:val="18"/>
              </w:rPr>
            </w:pPr>
            <w:r>
              <w:rPr>
                <w:rFonts w:cs="Arial"/>
                <w:b/>
                <w:bCs/>
                <w:color w:val="000000"/>
                <w:sz w:val="18"/>
                <w:szCs w:val="18"/>
              </w:rPr>
              <w:t>AV</w:t>
            </w:r>
            <w:r w:rsidR="005177C1">
              <w:rPr>
                <w:rFonts w:cs="Arial"/>
                <w:b/>
                <w:bCs/>
                <w:color w:val="000000"/>
                <w:sz w:val="18"/>
                <w:szCs w:val="18"/>
              </w:rPr>
              <w:t xml:space="preserve"> </w:t>
            </w:r>
            <w:r w:rsidR="005177C1" w:rsidRPr="004A12A2">
              <w:rPr>
                <w:rFonts w:cs="Arial"/>
                <w:b/>
                <w:bCs/>
                <w:color w:val="000000"/>
                <w:sz w:val="18"/>
                <w:szCs w:val="18"/>
              </w:rPr>
              <w:t>Receita Realizad</w:t>
            </w:r>
            <w:r>
              <w:rPr>
                <w:rFonts w:cs="Arial"/>
                <w:b/>
                <w:bCs/>
                <w:color w:val="000000"/>
                <w:sz w:val="18"/>
                <w:szCs w:val="18"/>
              </w:rPr>
              <w:t>a</w:t>
            </w:r>
            <w:r>
              <w:rPr>
                <w:rFonts w:cs="Arial"/>
                <w:b/>
                <w:bCs/>
                <w:color w:val="000000"/>
                <w:sz w:val="18"/>
                <w:szCs w:val="18"/>
              </w:rPr>
              <w:br/>
              <w:t>%</w:t>
            </w:r>
          </w:p>
        </w:tc>
        <w:tc>
          <w:tcPr>
            <w:tcW w:w="1276" w:type="pct"/>
            <w:gridSpan w:val="2"/>
            <w:tcBorders>
              <w:top w:val="single" w:sz="4" w:space="0" w:color="auto"/>
              <w:left w:val="single" w:sz="4" w:space="0" w:color="auto"/>
              <w:bottom w:val="single" w:sz="4" w:space="0" w:color="auto"/>
            </w:tcBorders>
            <w:shd w:val="clear" w:color="000000" w:fill="A1F2FD"/>
            <w:vAlign w:val="center"/>
            <w:hideMark/>
          </w:tcPr>
          <w:p w14:paraId="516BFABE" w14:textId="77777777" w:rsidR="005177C1" w:rsidRPr="004A12A2" w:rsidRDefault="005177C1" w:rsidP="00A96988">
            <w:pPr>
              <w:jc w:val="center"/>
              <w:rPr>
                <w:rFonts w:cs="Arial"/>
                <w:b/>
                <w:bCs/>
                <w:color w:val="000000"/>
                <w:sz w:val="18"/>
                <w:szCs w:val="18"/>
              </w:rPr>
            </w:pPr>
            <w:r w:rsidRPr="004A12A2">
              <w:rPr>
                <w:rFonts w:cs="Arial"/>
                <w:b/>
                <w:bCs/>
                <w:color w:val="000000"/>
                <w:sz w:val="18"/>
                <w:szCs w:val="18"/>
              </w:rPr>
              <w:t>Resultado da Arrecadação</w:t>
            </w:r>
          </w:p>
        </w:tc>
      </w:tr>
      <w:tr w:rsidR="005177C1" w:rsidRPr="004A12A2" w14:paraId="2749F364" w14:textId="77777777" w:rsidTr="00854644">
        <w:trPr>
          <w:trHeight w:val="340"/>
          <w:tblHeader/>
        </w:trPr>
        <w:tc>
          <w:tcPr>
            <w:tcW w:w="1442" w:type="pct"/>
            <w:vMerge/>
            <w:tcBorders>
              <w:left w:val="nil"/>
              <w:right w:val="single" w:sz="4" w:space="0" w:color="auto"/>
            </w:tcBorders>
            <w:vAlign w:val="center"/>
            <w:hideMark/>
          </w:tcPr>
          <w:p w14:paraId="16319CB9" w14:textId="77777777" w:rsidR="005177C1" w:rsidRPr="004A12A2" w:rsidRDefault="005177C1" w:rsidP="005177C1">
            <w:pPr>
              <w:jc w:val="left"/>
              <w:rPr>
                <w:rFonts w:cs="Arial"/>
                <w:b/>
                <w:bCs/>
                <w:color w:val="000000"/>
                <w:sz w:val="18"/>
                <w:szCs w:val="18"/>
              </w:rPr>
            </w:pPr>
          </w:p>
        </w:tc>
        <w:tc>
          <w:tcPr>
            <w:tcW w:w="833" w:type="pct"/>
            <w:vMerge/>
            <w:tcBorders>
              <w:top w:val="single" w:sz="4" w:space="0" w:color="auto"/>
              <w:left w:val="single" w:sz="4" w:space="0" w:color="auto"/>
              <w:right w:val="single" w:sz="4" w:space="0" w:color="auto"/>
            </w:tcBorders>
            <w:vAlign w:val="center"/>
            <w:hideMark/>
          </w:tcPr>
          <w:p w14:paraId="08562B6B" w14:textId="77777777" w:rsidR="005177C1" w:rsidRPr="004A12A2" w:rsidRDefault="005177C1" w:rsidP="005177C1">
            <w:pPr>
              <w:jc w:val="left"/>
              <w:rPr>
                <w:rFonts w:cs="Arial"/>
                <w:b/>
                <w:bCs/>
                <w:color w:val="000000"/>
                <w:sz w:val="18"/>
                <w:szCs w:val="18"/>
              </w:rPr>
            </w:pPr>
          </w:p>
        </w:tc>
        <w:tc>
          <w:tcPr>
            <w:tcW w:w="832" w:type="pct"/>
            <w:vMerge/>
            <w:tcBorders>
              <w:top w:val="single" w:sz="4" w:space="0" w:color="auto"/>
              <w:left w:val="single" w:sz="4" w:space="0" w:color="auto"/>
              <w:right w:val="single" w:sz="4" w:space="0" w:color="auto"/>
            </w:tcBorders>
            <w:vAlign w:val="center"/>
            <w:hideMark/>
          </w:tcPr>
          <w:p w14:paraId="6CCC62EA" w14:textId="77777777" w:rsidR="005177C1" w:rsidRPr="004A12A2" w:rsidRDefault="005177C1" w:rsidP="005177C1">
            <w:pPr>
              <w:jc w:val="left"/>
              <w:rPr>
                <w:rFonts w:cs="Arial"/>
                <w:b/>
                <w:bCs/>
                <w:color w:val="000000"/>
                <w:sz w:val="18"/>
                <w:szCs w:val="18"/>
              </w:rPr>
            </w:pPr>
          </w:p>
        </w:tc>
        <w:tc>
          <w:tcPr>
            <w:tcW w:w="617" w:type="pct"/>
            <w:vMerge/>
            <w:tcBorders>
              <w:left w:val="nil"/>
              <w:right w:val="single" w:sz="4" w:space="0" w:color="auto"/>
            </w:tcBorders>
            <w:shd w:val="clear" w:color="000000" w:fill="A1F2FD"/>
            <w:vAlign w:val="center"/>
          </w:tcPr>
          <w:p w14:paraId="7CC02C91" w14:textId="08157372" w:rsidR="005177C1" w:rsidRPr="004A12A2" w:rsidRDefault="005177C1" w:rsidP="005177C1">
            <w:pPr>
              <w:jc w:val="center"/>
              <w:rPr>
                <w:rFonts w:cs="Arial"/>
                <w:b/>
                <w:bCs/>
                <w:color w:val="000000"/>
                <w:sz w:val="18"/>
                <w:szCs w:val="18"/>
              </w:rPr>
            </w:pPr>
          </w:p>
        </w:tc>
        <w:tc>
          <w:tcPr>
            <w:tcW w:w="746" w:type="pct"/>
            <w:tcBorders>
              <w:top w:val="nil"/>
              <w:left w:val="single" w:sz="4" w:space="0" w:color="auto"/>
              <w:right w:val="single" w:sz="4" w:space="0" w:color="auto"/>
            </w:tcBorders>
            <w:shd w:val="clear" w:color="000000" w:fill="A1F2FD"/>
            <w:vAlign w:val="center"/>
            <w:hideMark/>
          </w:tcPr>
          <w:p w14:paraId="77FB89F0" w14:textId="6A00550F" w:rsidR="005177C1" w:rsidRPr="004A12A2" w:rsidRDefault="007F394A" w:rsidP="005177C1">
            <w:pPr>
              <w:jc w:val="center"/>
              <w:rPr>
                <w:rFonts w:cs="Arial"/>
                <w:b/>
                <w:bCs/>
                <w:color w:val="000000"/>
                <w:sz w:val="18"/>
                <w:szCs w:val="18"/>
              </w:rPr>
            </w:pPr>
            <w:r>
              <w:rPr>
                <w:rFonts w:cs="Arial"/>
                <w:b/>
                <w:bCs/>
                <w:color w:val="000000"/>
                <w:sz w:val="18"/>
                <w:szCs w:val="18"/>
              </w:rPr>
              <w:t>R$</w:t>
            </w:r>
          </w:p>
        </w:tc>
        <w:tc>
          <w:tcPr>
            <w:tcW w:w="530" w:type="pct"/>
            <w:tcBorders>
              <w:top w:val="nil"/>
              <w:left w:val="nil"/>
            </w:tcBorders>
            <w:shd w:val="clear" w:color="000000" w:fill="A1F2FD"/>
            <w:vAlign w:val="center"/>
            <w:hideMark/>
          </w:tcPr>
          <w:p w14:paraId="07E7C1CA" w14:textId="4AB415D4" w:rsidR="005177C1" w:rsidRPr="004A12A2" w:rsidRDefault="005177C1" w:rsidP="005177C1">
            <w:pPr>
              <w:jc w:val="center"/>
              <w:rPr>
                <w:rFonts w:cs="Arial"/>
                <w:b/>
                <w:bCs/>
                <w:color w:val="000000"/>
                <w:sz w:val="18"/>
                <w:szCs w:val="18"/>
              </w:rPr>
            </w:pPr>
            <w:r w:rsidRPr="004A12A2">
              <w:rPr>
                <w:rFonts w:cs="Arial"/>
                <w:b/>
                <w:bCs/>
                <w:color w:val="000000"/>
                <w:sz w:val="18"/>
                <w:szCs w:val="18"/>
              </w:rPr>
              <w:t>%</w:t>
            </w:r>
          </w:p>
        </w:tc>
      </w:tr>
      <w:tr w:rsidR="005177C1" w:rsidRPr="004A12A2" w14:paraId="204B1699" w14:textId="77777777" w:rsidTr="00854644">
        <w:trPr>
          <w:trHeight w:val="340"/>
          <w:tblHeader/>
        </w:trPr>
        <w:tc>
          <w:tcPr>
            <w:tcW w:w="1442" w:type="pct"/>
            <w:vMerge/>
            <w:tcBorders>
              <w:left w:val="nil"/>
              <w:bottom w:val="single" w:sz="4" w:space="0" w:color="auto"/>
              <w:right w:val="single" w:sz="4" w:space="0" w:color="auto"/>
            </w:tcBorders>
            <w:shd w:val="clear" w:color="auto" w:fill="A1F2FD"/>
            <w:vAlign w:val="center"/>
          </w:tcPr>
          <w:p w14:paraId="3612C8E5" w14:textId="77777777" w:rsidR="005177C1" w:rsidRPr="004A12A2" w:rsidRDefault="005177C1" w:rsidP="005177C1">
            <w:pPr>
              <w:jc w:val="left"/>
              <w:rPr>
                <w:rFonts w:cs="Arial"/>
                <w:b/>
                <w:bCs/>
                <w:color w:val="000000"/>
                <w:sz w:val="18"/>
                <w:szCs w:val="18"/>
              </w:rPr>
            </w:pPr>
          </w:p>
        </w:tc>
        <w:tc>
          <w:tcPr>
            <w:tcW w:w="833" w:type="pct"/>
            <w:tcBorders>
              <w:left w:val="single" w:sz="4" w:space="0" w:color="auto"/>
              <w:bottom w:val="single" w:sz="4" w:space="0" w:color="auto"/>
              <w:right w:val="single" w:sz="4" w:space="0" w:color="auto"/>
            </w:tcBorders>
            <w:shd w:val="clear" w:color="auto" w:fill="A1F2FD"/>
            <w:vAlign w:val="center"/>
          </w:tcPr>
          <w:p w14:paraId="09B1C792" w14:textId="1D273637" w:rsidR="005177C1" w:rsidRPr="004A12A2" w:rsidRDefault="005177C1" w:rsidP="005177C1">
            <w:pPr>
              <w:jc w:val="center"/>
              <w:rPr>
                <w:rFonts w:cs="Arial"/>
                <w:b/>
                <w:bCs/>
                <w:color w:val="000000"/>
                <w:sz w:val="18"/>
                <w:szCs w:val="18"/>
              </w:rPr>
            </w:pPr>
            <w:r w:rsidRPr="004A12A2">
              <w:rPr>
                <w:rFonts w:cs="Arial"/>
                <w:b/>
                <w:bCs/>
                <w:color w:val="000000"/>
                <w:sz w:val="18"/>
                <w:szCs w:val="18"/>
              </w:rPr>
              <w:t>(a)</w:t>
            </w:r>
          </w:p>
        </w:tc>
        <w:tc>
          <w:tcPr>
            <w:tcW w:w="832" w:type="pct"/>
            <w:tcBorders>
              <w:left w:val="single" w:sz="4" w:space="0" w:color="auto"/>
              <w:bottom w:val="single" w:sz="4" w:space="0" w:color="auto"/>
              <w:right w:val="single" w:sz="4" w:space="0" w:color="auto"/>
            </w:tcBorders>
            <w:shd w:val="clear" w:color="auto" w:fill="A1F2FD"/>
            <w:vAlign w:val="center"/>
          </w:tcPr>
          <w:p w14:paraId="0441DF5E" w14:textId="64863DD9" w:rsidR="005177C1" w:rsidRPr="004A12A2" w:rsidRDefault="005177C1" w:rsidP="005177C1">
            <w:pPr>
              <w:jc w:val="center"/>
              <w:rPr>
                <w:rFonts w:cs="Arial"/>
                <w:b/>
                <w:bCs/>
                <w:color w:val="000000"/>
                <w:sz w:val="18"/>
                <w:szCs w:val="18"/>
              </w:rPr>
            </w:pPr>
            <w:r w:rsidRPr="004A12A2">
              <w:rPr>
                <w:rFonts w:cs="Arial"/>
                <w:b/>
                <w:bCs/>
                <w:color w:val="000000"/>
                <w:sz w:val="18"/>
                <w:szCs w:val="18"/>
              </w:rPr>
              <w:t>(b)</w:t>
            </w:r>
          </w:p>
        </w:tc>
        <w:tc>
          <w:tcPr>
            <w:tcW w:w="617" w:type="pct"/>
            <w:tcBorders>
              <w:left w:val="nil"/>
              <w:bottom w:val="single" w:sz="4" w:space="0" w:color="auto"/>
              <w:right w:val="single" w:sz="4" w:space="0" w:color="auto"/>
            </w:tcBorders>
            <w:shd w:val="clear" w:color="000000" w:fill="A1F2FD"/>
            <w:vAlign w:val="center"/>
          </w:tcPr>
          <w:p w14:paraId="465C20C3" w14:textId="725CF1EF" w:rsidR="005177C1" w:rsidRDefault="005177C1" w:rsidP="005177C1">
            <w:pPr>
              <w:jc w:val="center"/>
              <w:rPr>
                <w:rFonts w:cs="Arial"/>
                <w:b/>
                <w:bCs/>
                <w:color w:val="000000"/>
                <w:sz w:val="18"/>
                <w:szCs w:val="18"/>
              </w:rPr>
            </w:pPr>
            <w:r w:rsidRPr="004A12A2">
              <w:rPr>
                <w:rFonts w:cs="Arial"/>
                <w:b/>
                <w:bCs/>
                <w:color w:val="000000"/>
                <w:sz w:val="18"/>
                <w:szCs w:val="18"/>
              </w:rPr>
              <w:t>(</w:t>
            </w:r>
            <w:r>
              <w:rPr>
                <w:rFonts w:cs="Arial"/>
                <w:b/>
                <w:bCs/>
                <w:color w:val="000000"/>
                <w:sz w:val="18"/>
                <w:szCs w:val="18"/>
              </w:rPr>
              <w:t>c</w:t>
            </w:r>
            <w:r w:rsidRPr="004A12A2">
              <w:rPr>
                <w:rFonts w:cs="Arial"/>
                <w:b/>
                <w:bCs/>
                <w:color w:val="000000"/>
                <w:sz w:val="18"/>
                <w:szCs w:val="18"/>
              </w:rPr>
              <w:t>)</w:t>
            </w:r>
          </w:p>
        </w:tc>
        <w:tc>
          <w:tcPr>
            <w:tcW w:w="746" w:type="pct"/>
            <w:tcBorders>
              <w:left w:val="single" w:sz="4" w:space="0" w:color="auto"/>
              <w:bottom w:val="single" w:sz="4" w:space="0" w:color="auto"/>
              <w:right w:val="single" w:sz="4" w:space="0" w:color="auto"/>
            </w:tcBorders>
            <w:shd w:val="clear" w:color="000000" w:fill="A1F2FD"/>
            <w:vAlign w:val="center"/>
          </w:tcPr>
          <w:p w14:paraId="6E22DCE2" w14:textId="7460FC69" w:rsidR="005177C1" w:rsidRPr="004A12A2" w:rsidRDefault="005177C1" w:rsidP="005177C1">
            <w:pPr>
              <w:jc w:val="center"/>
              <w:rPr>
                <w:rFonts w:cs="Arial"/>
                <w:b/>
                <w:bCs/>
                <w:color w:val="000000"/>
                <w:sz w:val="18"/>
                <w:szCs w:val="18"/>
              </w:rPr>
            </w:pPr>
            <w:r>
              <w:rPr>
                <w:rFonts w:cs="Arial"/>
                <w:b/>
                <w:bCs/>
                <w:color w:val="000000"/>
                <w:sz w:val="18"/>
                <w:szCs w:val="18"/>
              </w:rPr>
              <w:t>(d)</w:t>
            </w:r>
            <w:r w:rsidR="00121990">
              <w:rPr>
                <w:rFonts w:cs="Arial"/>
                <w:b/>
                <w:bCs/>
                <w:color w:val="000000"/>
                <w:sz w:val="18"/>
                <w:szCs w:val="18"/>
              </w:rPr>
              <w:t xml:space="preserve"> </w:t>
            </w:r>
            <w:r>
              <w:rPr>
                <w:rFonts w:cs="Arial"/>
                <w:b/>
                <w:bCs/>
                <w:color w:val="000000"/>
                <w:sz w:val="18"/>
                <w:szCs w:val="18"/>
              </w:rPr>
              <w:t>=</w:t>
            </w:r>
            <w:r w:rsidR="00121990">
              <w:rPr>
                <w:rFonts w:cs="Arial"/>
                <w:b/>
                <w:bCs/>
                <w:color w:val="000000"/>
                <w:sz w:val="18"/>
                <w:szCs w:val="18"/>
              </w:rPr>
              <w:t xml:space="preserve"> </w:t>
            </w:r>
            <w:r w:rsidRPr="004A12A2">
              <w:rPr>
                <w:rFonts w:cs="Arial"/>
                <w:b/>
                <w:bCs/>
                <w:color w:val="000000"/>
                <w:sz w:val="18"/>
                <w:szCs w:val="18"/>
              </w:rPr>
              <w:t>(b-a)</w:t>
            </w:r>
          </w:p>
        </w:tc>
        <w:tc>
          <w:tcPr>
            <w:tcW w:w="530" w:type="pct"/>
            <w:tcBorders>
              <w:left w:val="nil"/>
              <w:bottom w:val="single" w:sz="4" w:space="0" w:color="auto"/>
            </w:tcBorders>
            <w:shd w:val="clear" w:color="000000" w:fill="A1F2FD"/>
            <w:vAlign w:val="center"/>
          </w:tcPr>
          <w:p w14:paraId="4A80ABBC" w14:textId="3A6161EB" w:rsidR="005177C1" w:rsidRPr="004A12A2" w:rsidRDefault="005177C1" w:rsidP="005177C1">
            <w:pPr>
              <w:ind w:hanging="71"/>
              <w:jc w:val="center"/>
              <w:rPr>
                <w:rFonts w:cs="Arial"/>
                <w:b/>
                <w:bCs/>
                <w:color w:val="000000"/>
                <w:sz w:val="18"/>
                <w:szCs w:val="18"/>
              </w:rPr>
            </w:pPr>
            <w:r>
              <w:rPr>
                <w:rFonts w:cs="Arial"/>
                <w:b/>
                <w:bCs/>
                <w:color w:val="000000"/>
                <w:sz w:val="18"/>
                <w:szCs w:val="18"/>
              </w:rPr>
              <w:t>(</w:t>
            </w:r>
            <w:r w:rsidR="005947F4">
              <w:rPr>
                <w:rFonts w:cs="Arial"/>
                <w:b/>
                <w:bCs/>
                <w:color w:val="000000"/>
                <w:sz w:val="18"/>
                <w:szCs w:val="18"/>
              </w:rPr>
              <w:t>e</w:t>
            </w:r>
            <w:r>
              <w:rPr>
                <w:rFonts w:cs="Arial"/>
                <w:b/>
                <w:bCs/>
                <w:color w:val="000000"/>
                <w:sz w:val="18"/>
                <w:szCs w:val="18"/>
              </w:rPr>
              <w:t>)</w:t>
            </w:r>
            <w:r w:rsidR="00121990">
              <w:rPr>
                <w:rFonts w:cs="Arial"/>
                <w:b/>
                <w:bCs/>
                <w:color w:val="000000"/>
                <w:sz w:val="18"/>
                <w:szCs w:val="18"/>
              </w:rPr>
              <w:t xml:space="preserve"> </w:t>
            </w:r>
            <w:r>
              <w:rPr>
                <w:rFonts w:cs="Arial"/>
                <w:b/>
                <w:bCs/>
                <w:color w:val="000000"/>
                <w:sz w:val="18"/>
                <w:szCs w:val="18"/>
              </w:rPr>
              <w:t>=</w:t>
            </w:r>
            <w:r w:rsidR="00121990">
              <w:rPr>
                <w:rFonts w:cs="Arial"/>
                <w:b/>
                <w:bCs/>
                <w:color w:val="000000"/>
                <w:sz w:val="18"/>
                <w:szCs w:val="18"/>
              </w:rPr>
              <w:t xml:space="preserve"> </w:t>
            </w:r>
            <w:r w:rsidRPr="004A12A2">
              <w:rPr>
                <w:rFonts w:cs="Arial"/>
                <w:b/>
                <w:bCs/>
                <w:color w:val="000000"/>
                <w:sz w:val="18"/>
                <w:szCs w:val="18"/>
              </w:rPr>
              <w:t>(</w:t>
            </w:r>
            <w:r>
              <w:rPr>
                <w:rFonts w:cs="Arial"/>
                <w:b/>
                <w:bCs/>
                <w:color w:val="000000"/>
                <w:sz w:val="18"/>
                <w:szCs w:val="18"/>
              </w:rPr>
              <w:t>d</w:t>
            </w:r>
            <w:r w:rsidRPr="004A12A2">
              <w:rPr>
                <w:rFonts w:cs="Arial"/>
                <w:b/>
                <w:bCs/>
                <w:color w:val="000000"/>
                <w:sz w:val="18"/>
                <w:szCs w:val="18"/>
              </w:rPr>
              <w:t>/a)</w:t>
            </w:r>
          </w:p>
        </w:tc>
      </w:tr>
      <w:tr w:rsidR="005177C1" w:rsidRPr="004A12A2" w14:paraId="779B1987" w14:textId="77777777" w:rsidTr="00854644">
        <w:trPr>
          <w:trHeight w:val="340"/>
        </w:trPr>
        <w:tc>
          <w:tcPr>
            <w:tcW w:w="1442" w:type="pct"/>
            <w:tcBorders>
              <w:top w:val="nil"/>
              <w:left w:val="nil"/>
              <w:bottom w:val="nil"/>
              <w:right w:val="single" w:sz="4" w:space="0" w:color="auto"/>
            </w:tcBorders>
            <w:shd w:val="clear" w:color="auto" w:fill="auto"/>
            <w:noWrap/>
            <w:vAlign w:val="center"/>
            <w:hideMark/>
          </w:tcPr>
          <w:p w14:paraId="5B0B020B" w14:textId="77777777" w:rsidR="005177C1" w:rsidRPr="004A12A2" w:rsidRDefault="005177C1" w:rsidP="005177C1">
            <w:pPr>
              <w:jc w:val="left"/>
              <w:rPr>
                <w:rFonts w:cs="Arial"/>
                <w:b/>
                <w:bCs/>
                <w:color w:val="000000"/>
                <w:sz w:val="18"/>
                <w:szCs w:val="18"/>
              </w:rPr>
            </w:pPr>
            <w:r w:rsidRPr="004A12A2">
              <w:rPr>
                <w:rFonts w:cs="Arial"/>
                <w:b/>
                <w:bCs/>
                <w:color w:val="000000"/>
                <w:sz w:val="18"/>
                <w:szCs w:val="18"/>
              </w:rPr>
              <w:t>Receitas Correntes</w:t>
            </w:r>
          </w:p>
        </w:tc>
        <w:tc>
          <w:tcPr>
            <w:tcW w:w="833" w:type="pct"/>
            <w:tcBorders>
              <w:top w:val="nil"/>
              <w:left w:val="nil"/>
              <w:bottom w:val="nil"/>
              <w:right w:val="single" w:sz="4" w:space="0" w:color="auto"/>
            </w:tcBorders>
            <w:shd w:val="clear" w:color="auto" w:fill="auto"/>
            <w:noWrap/>
            <w:vAlign w:val="center"/>
            <w:hideMark/>
          </w:tcPr>
          <w:p w14:paraId="505A3B1C" w14:textId="77777777" w:rsidR="005177C1" w:rsidRPr="003A3D90" w:rsidRDefault="005177C1" w:rsidP="005177C1">
            <w:pPr>
              <w:jc w:val="right"/>
              <w:rPr>
                <w:rFonts w:cs="Arial"/>
                <w:b/>
                <w:color w:val="000000"/>
                <w:sz w:val="18"/>
                <w:szCs w:val="18"/>
              </w:rPr>
            </w:pPr>
            <w:r w:rsidRPr="003A3D90">
              <w:rPr>
                <w:rFonts w:cs="Arial"/>
                <w:b/>
                <w:color w:val="000000"/>
                <w:sz w:val="18"/>
                <w:szCs w:val="18"/>
              </w:rPr>
              <w:t>40.771.772.994</w:t>
            </w:r>
          </w:p>
        </w:tc>
        <w:tc>
          <w:tcPr>
            <w:tcW w:w="832" w:type="pct"/>
            <w:tcBorders>
              <w:top w:val="nil"/>
              <w:left w:val="nil"/>
              <w:bottom w:val="nil"/>
              <w:right w:val="single" w:sz="4" w:space="0" w:color="auto"/>
            </w:tcBorders>
            <w:shd w:val="clear" w:color="auto" w:fill="auto"/>
            <w:noWrap/>
            <w:vAlign w:val="center"/>
            <w:hideMark/>
          </w:tcPr>
          <w:p w14:paraId="309A7637" w14:textId="77777777" w:rsidR="005177C1" w:rsidRPr="003A3D90" w:rsidRDefault="005177C1" w:rsidP="005177C1">
            <w:pPr>
              <w:jc w:val="right"/>
              <w:rPr>
                <w:rFonts w:cs="Arial"/>
                <w:b/>
                <w:color w:val="000000"/>
                <w:sz w:val="18"/>
                <w:szCs w:val="18"/>
              </w:rPr>
            </w:pPr>
            <w:r w:rsidRPr="003A3D90">
              <w:rPr>
                <w:rFonts w:cs="Arial"/>
                <w:b/>
                <w:color w:val="000000"/>
                <w:sz w:val="18"/>
                <w:szCs w:val="18"/>
              </w:rPr>
              <w:t>41.814.126.268</w:t>
            </w:r>
          </w:p>
        </w:tc>
        <w:tc>
          <w:tcPr>
            <w:tcW w:w="617" w:type="pct"/>
            <w:tcBorders>
              <w:top w:val="nil"/>
              <w:left w:val="nil"/>
              <w:right w:val="single" w:sz="4" w:space="0" w:color="auto"/>
            </w:tcBorders>
            <w:vAlign w:val="center"/>
          </w:tcPr>
          <w:p w14:paraId="57AF2A4C" w14:textId="02D99313" w:rsidR="005177C1" w:rsidRPr="003A3D90" w:rsidRDefault="005177C1" w:rsidP="003E19DA">
            <w:pPr>
              <w:ind w:hanging="70"/>
              <w:jc w:val="center"/>
              <w:rPr>
                <w:rFonts w:cs="Arial"/>
                <w:b/>
                <w:color w:val="000000"/>
                <w:sz w:val="18"/>
                <w:szCs w:val="18"/>
              </w:rPr>
            </w:pPr>
            <w:r w:rsidRPr="003A3D90">
              <w:rPr>
                <w:rFonts w:cs="Arial"/>
                <w:b/>
                <w:color w:val="000000"/>
                <w:sz w:val="18"/>
                <w:szCs w:val="18"/>
              </w:rPr>
              <w:t>99,59</w:t>
            </w:r>
          </w:p>
        </w:tc>
        <w:tc>
          <w:tcPr>
            <w:tcW w:w="746" w:type="pct"/>
            <w:tcBorders>
              <w:top w:val="nil"/>
              <w:left w:val="single" w:sz="4" w:space="0" w:color="auto"/>
              <w:bottom w:val="nil"/>
              <w:right w:val="single" w:sz="4" w:space="0" w:color="auto"/>
            </w:tcBorders>
            <w:shd w:val="clear" w:color="auto" w:fill="auto"/>
            <w:noWrap/>
            <w:vAlign w:val="center"/>
            <w:hideMark/>
          </w:tcPr>
          <w:p w14:paraId="30B5FC0A" w14:textId="5761A2CB" w:rsidR="005177C1" w:rsidRPr="003A3D90" w:rsidRDefault="005177C1" w:rsidP="005177C1">
            <w:pPr>
              <w:ind w:hanging="70"/>
              <w:jc w:val="right"/>
              <w:rPr>
                <w:rFonts w:cs="Arial"/>
                <w:b/>
                <w:color w:val="000000"/>
                <w:sz w:val="18"/>
                <w:szCs w:val="18"/>
              </w:rPr>
            </w:pPr>
            <w:r w:rsidRPr="003A3D90">
              <w:rPr>
                <w:rFonts w:cs="Arial"/>
                <w:b/>
                <w:color w:val="000000"/>
                <w:sz w:val="18"/>
                <w:szCs w:val="18"/>
              </w:rPr>
              <w:t>1.042.353.274</w:t>
            </w:r>
          </w:p>
        </w:tc>
        <w:tc>
          <w:tcPr>
            <w:tcW w:w="530" w:type="pct"/>
            <w:tcBorders>
              <w:top w:val="nil"/>
              <w:left w:val="nil"/>
              <w:bottom w:val="nil"/>
            </w:tcBorders>
            <w:shd w:val="clear" w:color="auto" w:fill="auto"/>
            <w:noWrap/>
            <w:vAlign w:val="center"/>
            <w:hideMark/>
          </w:tcPr>
          <w:p w14:paraId="5092E03A" w14:textId="77777777" w:rsidR="005177C1" w:rsidRPr="003A3D90" w:rsidRDefault="005177C1" w:rsidP="005177C1">
            <w:pPr>
              <w:jc w:val="center"/>
              <w:rPr>
                <w:rFonts w:cs="Arial"/>
                <w:b/>
                <w:color w:val="000000"/>
                <w:sz w:val="18"/>
                <w:szCs w:val="18"/>
              </w:rPr>
            </w:pPr>
            <w:r w:rsidRPr="003A3D90">
              <w:rPr>
                <w:rFonts w:cs="Arial"/>
                <w:b/>
                <w:color w:val="000000"/>
                <w:sz w:val="18"/>
                <w:szCs w:val="18"/>
              </w:rPr>
              <w:t>2,56</w:t>
            </w:r>
          </w:p>
        </w:tc>
      </w:tr>
      <w:tr w:rsidR="005177C1" w:rsidRPr="004A12A2" w14:paraId="6F5675B2" w14:textId="77777777" w:rsidTr="00854644">
        <w:trPr>
          <w:trHeight w:val="340"/>
        </w:trPr>
        <w:tc>
          <w:tcPr>
            <w:tcW w:w="1442" w:type="pct"/>
            <w:tcBorders>
              <w:top w:val="nil"/>
              <w:left w:val="nil"/>
              <w:bottom w:val="nil"/>
              <w:right w:val="single" w:sz="4" w:space="0" w:color="auto"/>
            </w:tcBorders>
            <w:shd w:val="clear" w:color="auto" w:fill="auto"/>
            <w:noWrap/>
            <w:vAlign w:val="center"/>
            <w:hideMark/>
          </w:tcPr>
          <w:p w14:paraId="142F50C6" w14:textId="77777777" w:rsidR="005177C1" w:rsidRPr="004A12A2" w:rsidRDefault="005177C1" w:rsidP="00E813D5">
            <w:pPr>
              <w:ind w:left="73"/>
              <w:jc w:val="left"/>
              <w:rPr>
                <w:rFonts w:cs="Arial"/>
                <w:color w:val="000000"/>
                <w:sz w:val="18"/>
                <w:szCs w:val="18"/>
              </w:rPr>
            </w:pPr>
            <w:r w:rsidRPr="004A12A2">
              <w:rPr>
                <w:rFonts w:cs="Arial"/>
                <w:color w:val="000000"/>
                <w:sz w:val="18"/>
                <w:szCs w:val="18"/>
              </w:rPr>
              <w:t>Impostos, Taxas e Contrib. de Melhoria</w:t>
            </w:r>
          </w:p>
        </w:tc>
        <w:tc>
          <w:tcPr>
            <w:tcW w:w="833" w:type="pct"/>
            <w:tcBorders>
              <w:top w:val="nil"/>
              <w:left w:val="nil"/>
              <w:bottom w:val="nil"/>
              <w:right w:val="single" w:sz="4" w:space="0" w:color="auto"/>
            </w:tcBorders>
            <w:shd w:val="clear" w:color="auto" w:fill="auto"/>
            <w:noWrap/>
            <w:vAlign w:val="center"/>
            <w:hideMark/>
          </w:tcPr>
          <w:p w14:paraId="763A71CD" w14:textId="77777777" w:rsidR="005177C1" w:rsidRPr="004A12A2" w:rsidRDefault="005177C1" w:rsidP="005177C1">
            <w:pPr>
              <w:jc w:val="right"/>
              <w:rPr>
                <w:rFonts w:cs="Arial"/>
                <w:color w:val="000000"/>
                <w:sz w:val="18"/>
                <w:szCs w:val="18"/>
              </w:rPr>
            </w:pPr>
            <w:r w:rsidRPr="004A12A2">
              <w:rPr>
                <w:rFonts w:cs="Arial"/>
                <w:color w:val="000000"/>
                <w:sz w:val="18"/>
                <w:szCs w:val="18"/>
              </w:rPr>
              <w:t>21.919.490.000</w:t>
            </w:r>
          </w:p>
        </w:tc>
        <w:tc>
          <w:tcPr>
            <w:tcW w:w="832" w:type="pct"/>
            <w:tcBorders>
              <w:top w:val="nil"/>
              <w:left w:val="nil"/>
              <w:bottom w:val="nil"/>
              <w:right w:val="single" w:sz="4" w:space="0" w:color="auto"/>
            </w:tcBorders>
            <w:shd w:val="clear" w:color="auto" w:fill="auto"/>
            <w:noWrap/>
            <w:vAlign w:val="center"/>
            <w:hideMark/>
          </w:tcPr>
          <w:p w14:paraId="3B2CB651" w14:textId="77777777" w:rsidR="005177C1" w:rsidRPr="004A12A2" w:rsidRDefault="005177C1" w:rsidP="005177C1">
            <w:pPr>
              <w:jc w:val="right"/>
              <w:rPr>
                <w:rFonts w:cs="Arial"/>
                <w:color w:val="000000"/>
                <w:sz w:val="18"/>
                <w:szCs w:val="18"/>
              </w:rPr>
            </w:pPr>
            <w:r w:rsidRPr="004A12A2">
              <w:rPr>
                <w:rFonts w:cs="Arial"/>
                <w:color w:val="000000"/>
                <w:sz w:val="18"/>
                <w:szCs w:val="18"/>
              </w:rPr>
              <w:t>22.212.155.353</w:t>
            </w:r>
          </w:p>
        </w:tc>
        <w:tc>
          <w:tcPr>
            <w:tcW w:w="617" w:type="pct"/>
            <w:tcBorders>
              <w:top w:val="nil"/>
              <w:left w:val="nil"/>
              <w:bottom w:val="nil"/>
              <w:right w:val="single" w:sz="4" w:space="0" w:color="auto"/>
            </w:tcBorders>
            <w:vAlign w:val="center"/>
          </w:tcPr>
          <w:p w14:paraId="10E53E04" w14:textId="6FEBDEB2" w:rsidR="005177C1" w:rsidRPr="004A12A2" w:rsidRDefault="005177C1" w:rsidP="005177C1">
            <w:pPr>
              <w:jc w:val="center"/>
              <w:rPr>
                <w:rFonts w:cs="Arial"/>
                <w:color w:val="000000"/>
                <w:sz w:val="18"/>
                <w:szCs w:val="18"/>
              </w:rPr>
            </w:pPr>
            <w:r w:rsidRPr="004A12A2">
              <w:rPr>
                <w:rFonts w:cs="Arial"/>
                <w:color w:val="000000"/>
                <w:sz w:val="18"/>
                <w:szCs w:val="18"/>
              </w:rPr>
              <w:t>52,91</w:t>
            </w:r>
          </w:p>
        </w:tc>
        <w:tc>
          <w:tcPr>
            <w:tcW w:w="746" w:type="pct"/>
            <w:tcBorders>
              <w:top w:val="nil"/>
              <w:left w:val="single" w:sz="4" w:space="0" w:color="auto"/>
              <w:bottom w:val="nil"/>
              <w:right w:val="single" w:sz="4" w:space="0" w:color="auto"/>
            </w:tcBorders>
            <w:shd w:val="clear" w:color="auto" w:fill="auto"/>
            <w:noWrap/>
            <w:vAlign w:val="center"/>
            <w:hideMark/>
          </w:tcPr>
          <w:p w14:paraId="3D5B0A2F" w14:textId="75F69CAB" w:rsidR="005177C1" w:rsidRPr="004A12A2" w:rsidRDefault="005177C1" w:rsidP="005177C1">
            <w:pPr>
              <w:jc w:val="right"/>
              <w:rPr>
                <w:rFonts w:cs="Arial"/>
                <w:color w:val="000000"/>
                <w:sz w:val="18"/>
                <w:szCs w:val="18"/>
              </w:rPr>
            </w:pPr>
            <w:r w:rsidRPr="004A12A2">
              <w:rPr>
                <w:rFonts w:cs="Arial"/>
                <w:color w:val="000000"/>
                <w:sz w:val="18"/>
                <w:szCs w:val="18"/>
              </w:rPr>
              <w:t>292.665.353</w:t>
            </w:r>
          </w:p>
        </w:tc>
        <w:tc>
          <w:tcPr>
            <w:tcW w:w="530" w:type="pct"/>
            <w:tcBorders>
              <w:top w:val="nil"/>
              <w:left w:val="nil"/>
              <w:bottom w:val="nil"/>
            </w:tcBorders>
            <w:shd w:val="clear" w:color="auto" w:fill="auto"/>
            <w:noWrap/>
            <w:vAlign w:val="center"/>
            <w:hideMark/>
          </w:tcPr>
          <w:p w14:paraId="68A26EDC" w14:textId="77777777" w:rsidR="005177C1" w:rsidRPr="004A12A2" w:rsidRDefault="005177C1" w:rsidP="005177C1">
            <w:pPr>
              <w:jc w:val="center"/>
              <w:rPr>
                <w:rFonts w:cs="Arial"/>
                <w:color w:val="000000"/>
                <w:sz w:val="18"/>
                <w:szCs w:val="18"/>
              </w:rPr>
            </w:pPr>
            <w:r w:rsidRPr="004A12A2">
              <w:rPr>
                <w:rFonts w:cs="Arial"/>
                <w:color w:val="000000"/>
                <w:sz w:val="18"/>
                <w:szCs w:val="18"/>
              </w:rPr>
              <w:t>1,34</w:t>
            </w:r>
          </w:p>
        </w:tc>
      </w:tr>
      <w:tr w:rsidR="005177C1" w:rsidRPr="004A12A2" w14:paraId="1B346D20" w14:textId="77777777" w:rsidTr="00854644">
        <w:trPr>
          <w:trHeight w:val="340"/>
        </w:trPr>
        <w:tc>
          <w:tcPr>
            <w:tcW w:w="1442" w:type="pct"/>
            <w:tcBorders>
              <w:top w:val="nil"/>
              <w:left w:val="nil"/>
              <w:bottom w:val="nil"/>
              <w:right w:val="single" w:sz="4" w:space="0" w:color="auto"/>
            </w:tcBorders>
            <w:shd w:val="clear" w:color="auto" w:fill="auto"/>
            <w:noWrap/>
            <w:vAlign w:val="center"/>
            <w:hideMark/>
          </w:tcPr>
          <w:p w14:paraId="62EE1D15" w14:textId="77777777" w:rsidR="005177C1" w:rsidRPr="004A12A2" w:rsidRDefault="005177C1" w:rsidP="00E813D5">
            <w:pPr>
              <w:ind w:left="73"/>
              <w:jc w:val="left"/>
              <w:rPr>
                <w:rFonts w:cs="Arial"/>
                <w:color w:val="000000"/>
                <w:sz w:val="18"/>
                <w:szCs w:val="18"/>
              </w:rPr>
            </w:pPr>
            <w:r w:rsidRPr="004A12A2">
              <w:rPr>
                <w:rFonts w:cs="Arial"/>
                <w:color w:val="000000"/>
                <w:sz w:val="18"/>
                <w:szCs w:val="18"/>
              </w:rPr>
              <w:t>Contribuições</w:t>
            </w:r>
          </w:p>
        </w:tc>
        <w:tc>
          <w:tcPr>
            <w:tcW w:w="833" w:type="pct"/>
            <w:tcBorders>
              <w:top w:val="nil"/>
              <w:left w:val="nil"/>
              <w:bottom w:val="nil"/>
              <w:right w:val="single" w:sz="4" w:space="0" w:color="auto"/>
            </w:tcBorders>
            <w:shd w:val="clear" w:color="auto" w:fill="auto"/>
            <w:noWrap/>
            <w:vAlign w:val="center"/>
            <w:hideMark/>
          </w:tcPr>
          <w:p w14:paraId="63DE8C5D" w14:textId="77777777" w:rsidR="005177C1" w:rsidRPr="004A12A2" w:rsidRDefault="005177C1" w:rsidP="005177C1">
            <w:pPr>
              <w:jc w:val="right"/>
              <w:rPr>
                <w:rFonts w:cs="Arial"/>
                <w:color w:val="000000"/>
                <w:sz w:val="18"/>
                <w:szCs w:val="18"/>
              </w:rPr>
            </w:pPr>
            <w:r w:rsidRPr="004A12A2">
              <w:rPr>
                <w:rFonts w:cs="Arial"/>
                <w:color w:val="000000"/>
                <w:sz w:val="18"/>
                <w:szCs w:val="18"/>
              </w:rPr>
              <w:t>3.038.728.000</w:t>
            </w:r>
          </w:p>
        </w:tc>
        <w:tc>
          <w:tcPr>
            <w:tcW w:w="832" w:type="pct"/>
            <w:tcBorders>
              <w:top w:val="nil"/>
              <w:left w:val="nil"/>
              <w:bottom w:val="nil"/>
              <w:right w:val="single" w:sz="4" w:space="0" w:color="auto"/>
            </w:tcBorders>
            <w:shd w:val="clear" w:color="auto" w:fill="auto"/>
            <w:noWrap/>
            <w:vAlign w:val="center"/>
            <w:hideMark/>
          </w:tcPr>
          <w:p w14:paraId="6BBBAE8A" w14:textId="77777777" w:rsidR="005177C1" w:rsidRPr="004A12A2" w:rsidRDefault="005177C1" w:rsidP="005177C1">
            <w:pPr>
              <w:jc w:val="right"/>
              <w:rPr>
                <w:rFonts w:cs="Arial"/>
                <w:color w:val="000000"/>
                <w:sz w:val="18"/>
                <w:szCs w:val="18"/>
              </w:rPr>
            </w:pPr>
            <w:r w:rsidRPr="004A12A2">
              <w:rPr>
                <w:rFonts w:cs="Arial"/>
                <w:color w:val="000000"/>
                <w:sz w:val="18"/>
                <w:szCs w:val="18"/>
              </w:rPr>
              <w:t>3.137.909.145</w:t>
            </w:r>
          </w:p>
        </w:tc>
        <w:tc>
          <w:tcPr>
            <w:tcW w:w="617" w:type="pct"/>
            <w:tcBorders>
              <w:top w:val="nil"/>
              <w:left w:val="nil"/>
              <w:bottom w:val="nil"/>
              <w:right w:val="single" w:sz="4" w:space="0" w:color="auto"/>
            </w:tcBorders>
            <w:vAlign w:val="center"/>
          </w:tcPr>
          <w:p w14:paraId="2D9ABFED" w14:textId="46CB459B" w:rsidR="005177C1" w:rsidRPr="004A12A2" w:rsidRDefault="005177C1" w:rsidP="005177C1">
            <w:pPr>
              <w:jc w:val="center"/>
              <w:rPr>
                <w:rFonts w:cs="Arial"/>
                <w:color w:val="000000"/>
                <w:sz w:val="18"/>
                <w:szCs w:val="18"/>
              </w:rPr>
            </w:pPr>
            <w:r w:rsidRPr="004A12A2">
              <w:rPr>
                <w:rFonts w:cs="Arial"/>
                <w:color w:val="000000"/>
                <w:sz w:val="18"/>
                <w:szCs w:val="18"/>
              </w:rPr>
              <w:t>7,47</w:t>
            </w:r>
          </w:p>
        </w:tc>
        <w:tc>
          <w:tcPr>
            <w:tcW w:w="746" w:type="pct"/>
            <w:tcBorders>
              <w:top w:val="nil"/>
              <w:left w:val="single" w:sz="4" w:space="0" w:color="auto"/>
              <w:bottom w:val="nil"/>
              <w:right w:val="single" w:sz="4" w:space="0" w:color="auto"/>
            </w:tcBorders>
            <w:shd w:val="clear" w:color="auto" w:fill="auto"/>
            <w:noWrap/>
            <w:vAlign w:val="center"/>
            <w:hideMark/>
          </w:tcPr>
          <w:p w14:paraId="1A23CD69" w14:textId="4588D687" w:rsidR="005177C1" w:rsidRPr="004A12A2" w:rsidRDefault="005177C1" w:rsidP="005177C1">
            <w:pPr>
              <w:jc w:val="right"/>
              <w:rPr>
                <w:rFonts w:cs="Arial"/>
                <w:color w:val="000000"/>
                <w:sz w:val="18"/>
                <w:szCs w:val="18"/>
              </w:rPr>
            </w:pPr>
            <w:r w:rsidRPr="004A12A2">
              <w:rPr>
                <w:rFonts w:cs="Arial"/>
                <w:color w:val="000000"/>
                <w:sz w:val="18"/>
                <w:szCs w:val="18"/>
              </w:rPr>
              <w:t>99.181.145</w:t>
            </w:r>
          </w:p>
        </w:tc>
        <w:tc>
          <w:tcPr>
            <w:tcW w:w="530" w:type="pct"/>
            <w:tcBorders>
              <w:top w:val="nil"/>
              <w:left w:val="nil"/>
              <w:bottom w:val="nil"/>
            </w:tcBorders>
            <w:shd w:val="clear" w:color="auto" w:fill="auto"/>
            <w:noWrap/>
            <w:vAlign w:val="center"/>
            <w:hideMark/>
          </w:tcPr>
          <w:p w14:paraId="6A8BF08F" w14:textId="77777777" w:rsidR="005177C1" w:rsidRPr="004A12A2" w:rsidRDefault="005177C1" w:rsidP="005177C1">
            <w:pPr>
              <w:jc w:val="center"/>
              <w:rPr>
                <w:rFonts w:cs="Arial"/>
                <w:color w:val="000000"/>
                <w:sz w:val="18"/>
                <w:szCs w:val="18"/>
              </w:rPr>
            </w:pPr>
            <w:r w:rsidRPr="004A12A2">
              <w:rPr>
                <w:rFonts w:cs="Arial"/>
                <w:color w:val="000000"/>
                <w:sz w:val="18"/>
                <w:szCs w:val="18"/>
              </w:rPr>
              <w:t>3,26</w:t>
            </w:r>
          </w:p>
        </w:tc>
      </w:tr>
      <w:tr w:rsidR="005177C1" w:rsidRPr="004A12A2" w14:paraId="7CA4FCB4" w14:textId="77777777" w:rsidTr="00854644">
        <w:trPr>
          <w:trHeight w:val="340"/>
        </w:trPr>
        <w:tc>
          <w:tcPr>
            <w:tcW w:w="1442" w:type="pct"/>
            <w:tcBorders>
              <w:top w:val="nil"/>
              <w:left w:val="nil"/>
              <w:bottom w:val="nil"/>
              <w:right w:val="single" w:sz="4" w:space="0" w:color="auto"/>
            </w:tcBorders>
            <w:shd w:val="clear" w:color="auto" w:fill="auto"/>
            <w:noWrap/>
            <w:vAlign w:val="center"/>
            <w:hideMark/>
          </w:tcPr>
          <w:p w14:paraId="454B3433" w14:textId="77777777" w:rsidR="005177C1" w:rsidRPr="004A12A2" w:rsidRDefault="005177C1" w:rsidP="00E813D5">
            <w:pPr>
              <w:ind w:left="73"/>
              <w:jc w:val="left"/>
              <w:rPr>
                <w:rFonts w:cs="Arial"/>
                <w:color w:val="000000"/>
                <w:sz w:val="18"/>
                <w:szCs w:val="18"/>
              </w:rPr>
            </w:pPr>
            <w:r w:rsidRPr="004A12A2">
              <w:rPr>
                <w:rFonts w:cs="Arial"/>
                <w:color w:val="000000"/>
                <w:sz w:val="18"/>
                <w:szCs w:val="18"/>
              </w:rPr>
              <w:t>Patrimonial</w:t>
            </w:r>
          </w:p>
        </w:tc>
        <w:tc>
          <w:tcPr>
            <w:tcW w:w="833" w:type="pct"/>
            <w:tcBorders>
              <w:top w:val="nil"/>
              <w:left w:val="nil"/>
              <w:bottom w:val="nil"/>
              <w:right w:val="single" w:sz="4" w:space="0" w:color="auto"/>
            </w:tcBorders>
            <w:shd w:val="clear" w:color="auto" w:fill="auto"/>
            <w:noWrap/>
            <w:vAlign w:val="center"/>
            <w:hideMark/>
          </w:tcPr>
          <w:p w14:paraId="711E5E9E" w14:textId="77777777" w:rsidR="005177C1" w:rsidRPr="004A12A2" w:rsidRDefault="005177C1" w:rsidP="005177C1">
            <w:pPr>
              <w:jc w:val="right"/>
              <w:rPr>
                <w:rFonts w:cs="Arial"/>
                <w:color w:val="000000"/>
                <w:sz w:val="18"/>
                <w:szCs w:val="18"/>
              </w:rPr>
            </w:pPr>
            <w:r w:rsidRPr="004A12A2">
              <w:rPr>
                <w:rFonts w:cs="Arial"/>
                <w:color w:val="000000"/>
                <w:sz w:val="18"/>
                <w:szCs w:val="18"/>
              </w:rPr>
              <w:t>1.029.294.236</w:t>
            </w:r>
          </w:p>
        </w:tc>
        <w:tc>
          <w:tcPr>
            <w:tcW w:w="832" w:type="pct"/>
            <w:tcBorders>
              <w:top w:val="nil"/>
              <w:left w:val="nil"/>
              <w:bottom w:val="nil"/>
              <w:right w:val="single" w:sz="4" w:space="0" w:color="auto"/>
            </w:tcBorders>
            <w:shd w:val="clear" w:color="auto" w:fill="auto"/>
            <w:noWrap/>
            <w:vAlign w:val="center"/>
            <w:hideMark/>
          </w:tcPr>
          <w:p w14:paraId="3520C84A" w14:textId="77777777" w:rsidR="005177C1" w:rsidRPr="004A12A2" w:rsidRDefault="005177C1" w:rsidP="005177C1">
            <w:pPr>
              <w:jc w:val="right"/>
              <w:rPr>
                <w:rFonts w:cs="Arial"/>
                <w:color w:val="000000"/>
                <w:sz w:val="18"/>
                <w:szCs w:val="18"/>
              </w:rPr>
            </w:pPr>
            <w:r w:rsidRPr="004A12A2">
              <w:rPr>
                <w:rFonts w:cs="Arial"/>
                <w:color w:val="000000"/>
                <w:sz w:val="18"/>
                <w:szCs w:val="18"/>
              </w:rPr>
              <w:t>1.868.721.591</w:t>
            </w:r>
          </w:p>
        </w:tc>
        <w:tc>
          <w:tcPr>
            <w:tcW w:w="617" w:type="pct"/>
            <w:tcBorders>
              <w:top w:val="nil"/>
              <w:left w:val="nil"/>
              <w:bottom w:val="nil"/>
              <w:right w:val="single" w:sz="4" w:space="0" w:color="auto"/>
            </w:tcBorders>
            <w:vAlign w:val="center"/>
          </w:tcPr>
          <w:p w14:paraId="371C53FB" w14:textId="7F3A2E49" w:rsidR="005177C1" w:rsidRPr="004A12A2" w:rsidRDefault="005177C1" w:rsidP="005177C1">
            <w:pPr>
              <w:jc w:val="center"/>
              <w:rPr>
                <w:rFonts w:cs="Arial"/>
                <w:color w:val="000000"/>
                <w:sz w:val="18"/>
                <w:szCs w:val="18"/>
              </w:rPr>
            </w:pPr>
            <w:r w:rsidRPr="004A12A2">
              <w:rPr>
                <w:rFonts w:cs="Arial"/>
                <w:color w:val="000000"/>
                <w:sz w:val="18"/>
                <w:szCs w:val="18"/>
              </w:rPr>
              <w:t>4,45</w:t>
            </w:r>
          </w:p>
        </w:tc>
        <w:tc>
          <w:tcPr>
            <w:tcW w:w="746" w:type="pct"/>
            <w:tcBorders>
              <w:top w:val="nil"/>
              <w:left w:val="single" w:sz="4" w:space="0" w:color="auto"/>
              <w:bottom w:val="nil"/>
              <w:right w:val="single" w:sz="4" w:space="0" w:color="auto"/>
            </w:tcBorders>
            <w:shd w:val="clear" w:color="auto" w:fill="auto"/>
            <w:noWrap/>
            <w:vAlign w:val="center"/>
            <w:hideMark/>
          </w:tcPr>
          <w:p w14:paraId="45B08025" w14:textId="24C1BA7F" w:rsidR="005177C1" w:rsidRPr="004A12A2" w:rsidRDefault="005177C1" w:rsidP="005177C1">
            <w:pPr>
              <w:jc w:val="right"/>
              <w:rPr>
                <w:rFonts w:cs="Arial"/>
                <w:color w:val="000000"/>
                <w:sz w:val="18"/>
                <w:szCs w:val="18"/>
              </w:rPr>
            </w:pPr>
            <w:r w:rsidRPr="004A12A2">
              <w:rPr>
                <w:rFonts w:cs="Arial"/>
                <w:color w:val="000000"/>
                <w:sz w:val="18"/>
                <w:szCs w:val="18"/>
              </w:rPr>
              <w:t>839.427.354</w:t>
            </w:r>
          </w:p>
        </w:tc>
        <w:tc>
          <w:tcPr>
            <w:tcW w:w="530" w:type="pct"/>
            <w:tcBorders>
              <w:top w:val="nil"/>
              <w:left w:val="nil"/>
              <w:bottom w:val="nil"/>
            </w:tcBorders>
            <w:shd w:val="clear" w:color="auto" w:fill="auto"/>
            <w:noWrap/>
            <w:vAlign w:val="center"/>
            <w:hideMark/>
          </w:tcPr>
          <w:p w14:paraId="1F30ED4D" w14:textId="77777777" w:rsidR="005177C1" w:rsidRPr="004A12A2" w:rsidRDefault="005177C1" w:rsidP="005177C1">
            <w:pPr>
              <w:jc w:val="center"/>
              <w:rPr>
                <w:rFonts w:cs="Arial"/>
                <w:color w:val="000000"/>
                <w:sz w:val="18"/>
                <w:szCs w:val="18"/>
              </w:rPr>
            </w:pPr>
            <w:r w:rsidRPr="004A12A2">
              <w:rPr>
                <w:rFonts w:cs="Arial"/>
                <w:color w:val="000000"/>
                <w:sz w:val="18"/>
                <w:szCs w:val="18"/>
              </w:rPr>
              <w:t>81,55</w:t>
            </w:r>
          </w:p>
        </w:tc>
      </w:tr>
      <w:tr w:rsidR="005177C1" w:rsidRPr="004A12A2" w14:paraId="0E7DC29C" w14:textId="77777777" w:rsidTr="00854644">
        <w:trPr>
          <w:trHeight w:val="340"/>
        </w:trPr>
        <w:tc>
          <w:tcPr>
            <w:tcW w:w="1442" w:type="pct"/>
            <w:tcBorders>
              <w:top w:val="nil"/>
              <w:left w:val="nil"/>
              <w:bottom w:val="nil"/>
              <w:right w:val="single" w:sz="4" w:space="0" w:color="auto"/>
            </w:tcBorders>
            <w:shd w:val="clear" w:color="auto" w:fill="auto"/>
            <w:noWrap/>
            <w:vAlign w:val="center"/>
            <w:hideMark/>
          </w:tcPr>
          <w:p w14:paraId="607F7BB3" w14:textId="77777777" w:rsidR="005177C1" w:rsidRPr="004A12A2" w:rsidRDefault="005177C1" w:rsidP="00E813D5">
            <w:pPr>
              <w:ind w:left="73"/>
              <w:jc w:val="left"/>
              <w:rPr>
                <w:rFonts w:cs="Arial"/>
                <w:color w:val="000000"/>
                <w:sz w:val="18"/>
                <w:szCs w:val="18"/>
              </w:rPr>
            </w:pPr>
            <w:r w:rsidRPr="004A12A2">
              <w:rPr>
                <w:rFonts w:cs="Arial"/>
                <w:color w:val="000000"/>
                <w:sz w:val="18"/>
                <w:szCs w:val="18"/>
              </w:rPr>
              <w:t>Agropecuária</w:t>
            </w:r>
          </w:p>
        </w:tc>
        <w:tc>
          <w:tcPr>
            <w:tcW w:w="833" w:type="pct"/>
            <w:tcBorders>
              <w:top w:val="nil"/>
              <w:left w:val="nil"/>
              <w:bottom w:val="nil"/>
              <w:right w:val="single" w:sz="4" w:space="0" w:color="auto"/>
            </w:tcBorders>
            <w:shd w:val="clear" w:color="auto" w:fill="auto"/>
            <w:noWrap/>
            <w:vAlign w:val="center"/>
            <w:hideMark/>
          </w:tcPr>
          <w:p w14:paraId="15B97B0A" w14:textId="77777777" w:rsidR="005177C1" w:rsidRPr="004A12A2" w:rsidRDefault="005177C1" w:rsidP="005177C1">
            <w:pPr>
              <w:jc w:val="right"/>
              <w:rPr>
                <w:rFonts w:cs="Arial"/>
                <w:color w:val="000000"/>
                <w:sz w:val="18"/>
                <w:szCs w:val="18"/>
              </w:rPr>
            </w:pPr>
            <w:r w:rsidRPr="004A12A2">
              <w:rPr>
                <w:rFonts w:cs="Arial"/>
                <w:color w:val="000000"/>
                <w:sz w:val="18"/>
                <w:szCs w:val="18"/>
              </w:rPr>
              <w:t>-</w:t>
            </w:r>
          </w:p>
        </w:tc>
        <w:tc>
          <w:tcPr>
            <w:tcW w:w="832" w:type="pct"/>
            <w:tcBorders>
              <w:top w:val="nil"/>
              <w:left w:val="nil"/>
              <w:bottom w:val="nil"/>
              <w:right w:val="single" w:sz="4" w:space="0" w:color="auto"/>
            </w:tcBorders>
            <w:shd w:val="clear" w:color="auto" w:fill="auto"/>
            <w:noWrap/>
            <w:vAlign w:val="center"/>
            <w:hideMark/>
          </w:tcPr>
          <w:p w14:paraId="07B1EF86" w14:textId="77777777" w:rsidR="005177C1" w:rsidRPr="004A12A2" w:rsidRDefault="005177C1" w:rsidP="005177C1">
            <w:pPr>
              <w:jc w:val="right"/>
              <w:rPr>
                <w:rFonts w:cs="Arial"/>
                <w:color w:val="000000"/>
                <w:sz w:val="18"/>
                <w:szCs w:val="18"/>
              </w:rPr>
            </w:pPr>
            <w:r w:rsidRPr="004A12A2">
              <w:rPr>
                <w:rFonts w:cs="Arial"/>
                <w:color w:val="000000"/>
                <w:sz w:val="18"/>
                <w:szCs w:val="18"/>
              </w:rPr>
              <w:t>181.189</w:t>
            </w:r>
          </w:p>
        </w:tc>
        <w:tc>
          <w:tcPr>
            <w:tcW w:w="617" w:type="pct"/>
            <w:tcBorders>
              <w:top w:val="nil"/>
              <w:left w:val="nil"/>
              <w:bottom w:val="nil"/>
              <w:right w:val="single" w:sz="4" w:space="0" w:color="auto"/>
            </w:tcBorders>
            <w:vAlign w:val="center"/>
          </w:tcPr>
          <w:p w14:paraId="16DE8EDA" w14:textId="760EA4B2" w:rsidR="005177C1" w:rsidRPr="004A12A2" w:rsidRDefault="005177C1" w:rsidP="005177C1">
            <w:pPr>
              <w:jc w:val="center"/>
              <w:rPr>
                <w:rFonts w:cs="Arial"/>
                <w:color w:val="000000"/>
                <w:sz w:val="18"/>
                <w:szCs w:val="18"/>
              </w:rPr>
            </w:pPr>
            <w:r w:rsidRPr="004A12A2">
              <w:rPr>
                <w:rFonts w:cs="Arial"/>
                <w:color w:val="000000"/>
                <w:sz w:val="18"/>
                <w:szCs w:val="18"/>
              </w:rPr>
              <w:t>0,00</w:t>
            </w:r>
          </w:p>
        </w:tc>
        <w:tc>
          <w:tcPr>
            <w:tcW w:w="746" w:type="pct"/>
            <w:tcBorders>
              <w:top w:val="nil"/>
              <w:left w:val="single" w:sz="4" w:space="0" w:color="auto"/>
              <w:bottom w:val="nil"/>
              <w:right w:val="single" w:sz="4" w:space="0" w:color="auto"/>
            </w:tcBorders>
            <w:shd w:val="clear" w:color="auto" w:fill="auto"/>
            <w:noWrap/>
            <w:vAlign w:val="center"/>
            <w:hideMark/>
          </w:tcPr>
          <w:p w14:paraId="503EA6B2" w14:textId="54CEA6B7" w:rsidR="005177C1" w:rsidRPr="004A12A2" w:rsidRDefault="005177C1" w:rsidP="005177C1">
            <w:pPr>
              <w:jc w:val="right"/>
              <w:rPr>
                <w:rFonts w:cs="Arial"/>
                <w:color w:val="000000"/>
                <w:sz w:val="18"/>
                <w:szCs w:val="18"/>
              </w:rPr>
            </w:pPr>
            <w:r w:rsidRPr="004A12A2">
              <w:rPr>
                <w:rFonts w:cs="Arial"/>
                <w:color w:val="000000"/>
                <w:sz w:val="18"/>
                <w:szCs w:val="18"/>
              </w:rPr>
              <w:t>181.189</w:t>
            </w:r>
          </w:p>
        </w:tc>
        <w:tc>
          <w:tcPr>
            <w:tcW w:w="530" w:type="pct"/>
            <w:tcBorders>
              <w:top w:val="nil"/>
              <w:left w:val="nil"/>
              <w:bottom w:val="nil"/>
            </w:tcBorders>
            <w:shd w:val="clear" w:color="auto" w:fill="auto"/>
            <w:noWrap/>
            <w:vAlign w:val="center"/>
            <w:hideMark/>
          </w:tcPr>
          <w:p w14:paraId="0E8DCB4A" w14:textId="77777777" w:rsidR="005177C1" w:rsidRPr="004A12A2" w:rsidRDefault="005177C1" w:rsidP="005177C1">
            <w:pPr>
              <w:jc w:val="center"/>
              <w:rPr>
                <w:rFonts w:cs="Arial"/>
                <w:color w:val="000000"/>
                <w:sz w:val="18"/>
                <w:szCs w:val="18"/>
              </w:rPr>
            </w:pPr>
            <w:r w:rsidRPr="004A12A2">
              <w:rPr>
                <w:rFonts w:cs="Arial"/>
                <w:color w:val="000000"/>
                <w:sz w:val="18"/>
                <w:szCs w:val="18"/>
              </w:rPr>
              <w:t>100,00</w:t>
            </w:r>
          </w:p>
        </w:tc>
      </w:tr>
      <w:tr w:rsidR="005177C1" w:rsidRPr="004A12A2" w14:paraId="7667D15D" w14:textId="77777777" w:rsidTr="00854644">
        <w:trPr>
          <w:trHeight w:val="340"/>
        </w:trPr>
        <w:tc>
          <w:tcPr>
            <w:tcW w:w="1442" w:type="pct"/>
            <w:tcBorders>
              <w:top w:val="nil"/>
              <w:left w:val="nil"/>
              <w:bottom w:val="nil"/>
              <w:right w:val="single" w:sz="4" w:space="0" w:color="auto"/>
            </w:tcBorders>
            <w:shd w:val="clear" w:color="auto" w:fill="auto"/>
            <w:noWrap/>
            <w:vAlign w:val="center"/>
            <w:hideMark/>
          </w:tcPr>
          <w:p w14:paraId="099FA155" w14:textId="77777777" w:rsidR="005177C1" w:rsidRPr="004A12A2" w:rsidRDefault="005177C1" w:rsidP="00E813D5">
            <w:pPr>
              <w:ind w:left="73"/>
              <w:jc w:val="left"/>
              <w:rPr>
                <w:rFonts w:cs="Arial"/>
                <w:color w:val="000000"/>
                <w:sz w:val="18"/>
                <w:szCs w:val="18"/>
              </w:rPr>
            </w:pPr>
            <w:r w:rsidRPr="004A12A2">
              <w:rPr>
                <w:rFonts w:cs="Arial"/>
                <w:color w:val="000000"/>
                <w:sz w:val="18"/>
                <w:szCs w:val="18"/>
              </w:rPr>
              <w:t>Industrial</w:t>
            </w:r>
          </w:p>
        </w:tc>
        <w:tc>
          <w:tcPr>
            <w:tcW w:w="833" w:type="pct"/>
            <w:tcBorders>
              <w:top w:val="nil"/>
              <w:left w:val="nil"/>
              <w:bottom w:val="nil"/>
              <w:right w:val="single" w:sz="4" w:space="0" w:color="auto"/>
            </w:tcBorders>
            <w:shd w:val="clear" w:color="auto" w:fill="auto"/>
            <w:noWrap/>
            <w:vAlign w:val="center"/>
            <w:hideMark/>
          </w:tcPr>
          <w:p w14:paraId="4BFCF85E" w14:textId="77777777" w:rsidR="005177C1" w:rsidRPr="004A12A2" w:rsidRDefault="005177C1" w:rsidP="005177C1">
            <w:pPr>
              <w:jc w:val="right"/>
              <w:rPr>
                <w:rFonts w:cs="Arial"/>
                <w:color w:val="000000"/>
                <w:sz w:val="18"/>
                <w:szCs w:val="18"/>
              </w:rPr>
            </w:pPr>
            <w:r w:rsidRPr="004A12A2">
              <w:rPr>
                <w:rFonts w:cs="Arial"/>
                <w:color w:val="000000"/>
                <w:sz w:val="18"/>
                <w:szCs w:val="18"/>
              </w:rPr>
              <w:t>138.000</w:t>
            </w:r>
          </w:p>
        </w:tc>
        <w:tc>
          <w:tcPr>
            <w:tcW w:w="832" w:type="pct"/>
            <w:tcBorders>
              <w:top w:val="nil"/>
              <w:left w:val="nil"/>
              <w:bottom w:val="nil"/>
              <w:right w:val="single" w:sz="4" w:space="0" w:color="auto"/>
            </w:tcBorders>
            <w:shd w:val="clear" w:color="auto" w:fill="auto"/>
            <w:noWrap/>
            <w:vAlign w:val="center"/>
            <w:hideMark/>
          </w:tcPr>
          <w:p w14:paraId="42D11AB8" w14:textId="77777777" w:rsidR="005177C1" w:rsidRPr="004A12A2" w:rsidRDefault="005177C1" w:rsidP="005177C1">
            <w:pPr>
              <w:jc w:val="right"/>
              <w:rPr>
                <w:rFonts w:cs="Arial"/>
                <w:color w:val="000000"/>
                <w:sz w:val="18"/>
                <w:szCs w:val="18"/>
              </w:rPr>
            </w:pPr>
            <w:r w:rsidRPr="004A12A2">
              <w:rPr>
                <w:rFonts w:cs="Arial"/>
                <w:color w:val="000000"/>
                <w:sz w:val="18"/>
                <w:szCs w:val="18"/>
              </w:rPr>
              <w:t>-</w:t>
            </w:r>
          </w:p>
        </w:tc>
        <w:tc>
          <w:tcPr>
            <w:tcW w:w="617" w:type="pct"/>
            <w:tcBorders>
              <w:top w:val="nil"/>
              <w:left w:val="nil"/>
              <w:bottom w:val="nil"/>
              <w:right w:val="single" w:sz="4" w:space="0" w:color="auto"/>
            </w:tcBorders>
            <w:vAlign w:val="center"/>
          </w:tcPr>
          <w:p w14:paraId="6F31593C" w14:textId="2AD13C5F" w:rsidR="005177C1" w:rsidRPr="004A12A2" w:rsidRDefault="005177C1" w:rsidP="005177C1">
            <w:pPr>
              <w:jc w:val="center"/>
              <w:rPr>
                <w:rFonts w:cs="Arial"/>
                <w:color w:val="FF0000"/>
                <w:sz w:val="18"/>
                <w:szCs w:val="18"/>
              </w:rPr>
            </w:pPr>
            <w:r w:rsidRPr="004A12A2">
              <w:rPr>
                <w:rFonts w:cs="Arial"/>
                <w:color w:val="000000"/>
                <w:sz w:val="18"/>
                <w:szCs w:val="18"/>
              </w:rPr>
              <w:t>-</w:t>
            </w:r>
          </w:p>
        </w:tc>
        <w:tc>
          <w:tcPr>
            <w:tcW w:w="746" w:type="pct"/>
            <w:tcBorders>
              <w:top w:val="nil"/>
              <w:left w:val="single" w:sz="4" w:space="0" w:color="auto"/>
              <w:bottom w:val="nil"/>
              <w:right w:val="single" w:sz="4" w:space="0" w:color="auto"/>
            </w:tcBorders>
            <w:shd w:val="clear" w:color="auto" w:fill="auto"/>
            <w:noWrap/>
            <w:vAlign w:val="center"/>
            <w:hideMark/>
          </w:tcPr>
          <w:p w14:paraId="6AFAE640" w14:textId="731B08E6" w:rsidR="005177C1" w:rsidRPr="004A12A2" w:rsidRDefault="005177C1" w:rsidP="005177C1">
            <w:pPr>
              <w:jc w:val="right"/>
              <w:rPr>
                <w:rFonts w:cs="Arial"/>
                <w:color w:val="000000"/>
                <w:sz w:val="18"/>
                <w:szCs w:val="18"/>
              </w:rPr>
            </w:pPr>
            <w:r w:rsidRPr="004A12A2">
              <w:rPr>
                <w:rFonts w:cs="Arial"/>
                <w:color w:val="FF0000"/>
                <w:sz w:val="18"/>
                <w:szCs w:val="18"/>
              </w:rPr>
              <w:t>(138.000)</w:t>
            </w:r>
          </w:p>
        </w:tc>
        <w:tc>
          <w:tcPr>
            <w:tcW w:w="530" w:type="pct"/>
            <w:tcBorders>
              <w:top w:val="nil"/>
              <w:left w:val="nil"/>
              <w:bottom w:val="nil"/>
            </w:tcBorders>
            <w:shd w:val="clear" w:color="auto" w:fill="auto"/>
            <w:noWrap/>
            <w:vAlign w:val="center"/>
            <w:hideMark/>
          </w:tcPr>
          <w:p w14:paraId="3660042F" w14:textId="77777777" w:rsidR="005177C1" w:rsidRPr="004A12A2" w:rsidRDefault="005177C1" w:rsidP="005177C1">
            <w:pPr>
              <w:jc w:val="center"/>
              <w:rPr>
                <w:rFonts w:cs="Arial"/>
                <w:color w:val="000000"/>
                <w:sz w:val="18"/>
                <w:szCs w:val="18"/>
              </w:rPr>
            </w:pPr>
            <w:r w:rsidRPr="004A12A2">
              <w:rPr>
                <w:rFonts w:cs="Arial"/>
                <w:color w:val="FF0000"/>
                <w:sz w:val="18"/>
                <w:szCs w:val="18"/>
              </w:rPr>
              <w:t>(100,00)</w:t>
            </w:r>
          </w:p>
        </w:tc>
      </w:tr>
      <w:tr w:rsidR="005177C1" w:rsidRPr="004A12A2" w14:paraId="270D1239" w14:textId="77777777" w:rsidTr="00854644">
        <w:trPr>
          <w:trHeight w:val="340"/>
        </w:trPr>
        <w:tc>
          <w:tcPr>
            <w:tcW w:w="1442" w:type="pct"/>
            <w:tcBorders>
              <w:top w:val="nil"/>
              <w:left w:val="nil"/>
              <w:bottom w:val="nil"/>
              <w:right w:val="single" w:sz="4" w:space="0" w:color="auto"/>
            </w:tcBorders>
            <w:shd w:val="clear" w:color="auto" w:fill="auto"/>
            <w:noWrap/>
            <w:vAlign w:val="center"/>
            <w:hideMark/>
          </w:tcPr>
          <w:p w14:paraId="07D7E6BB" w14:textId="77777777" w:rsidR="005177C1" w:rsidRPr="004A12A2" w:rsidRDefault="005177C1" w:rsidP="00E813D5">
            <w:pPr>
              <w:ind w:left="73"/>
              <w:jc w:val="left"/>
              <w:rPr>
                <w:rFonts w:cs="Arial"/>
                <w:color w:val="000000"/>
                <w:sz w:val="18"/>
                <w:szCs w:val="18"/>
              </w:rPr>
            </w:pPr>
            <w:r w:rsidRPr="004A12A2">
              <w:rPr>
                <w:rFonts w:cs="Arial"/>
                <w:color w:val="000000"/>
                <w:sz w:val="18"/>
                <w:szCs w:val="18"/>
              </w:rPr>
              <w:t>Serviços</w:t>
            </w:r>
          </w:p>
        </w:tc>
        <w:tc>
          <w:tcPr>
            <w:tcW w:w="833" w:type="pct"/>
            <w:tcBorders>
              <w:top w:val="nil"/>
              <w:left w:val="nil"/>
              <w:bottom w:val="nil"/>
              <w:right w:val="single" w:sz="4" w:space="0" w:color="auto"/>
            </w:tcBorders>
            <w:shd w:val="clear" w:color="auto" w:fill="auto"/>
            <w:noWrap/>
            <w:vAlign w:val="center"/>
            <w:hideMark/>
          </w:tcPr>
          <w:p w14:paraId="00BB56D9" w14:textId="77777777" w:rsidR="005177C1" w:rsidRPr="004A12A2" w:rsidRDefault="005177C1" w:rsidP="005177C1">
            <w:pPr>
              <w:jc w:val="right"/>
              <w:rPr>
                <w:rFonts w:cs="Arial"/>
                <w:color w:val="000000"/>
                <w:sz w:val="18"/>
                <w:szCs w:val="18"/>
              </w:rPr>
            </w:pPr>
            <w:r w:rsidRPr="004A12A2">
              <w:rPr>
                <w:rFonts w:cs="Arial"/>
                <w:color w:val="000000"/>
                <w:sz w:val="18"/>
                <w:szCs w:val="18"/>
              </w:rPr>
              <w:t>2.444.600.000</w:t>
            </w:r>
          </w:p>
        </w:tc>
        <w:tc>
          <w:tcPr>
            <w:tcW w:w="832" w:type="pct"/>
            <w:tcBorders>
              <w:top w:val="nil"/>
              <w:left w:val="nil"/>
              <w:bottom w:val="nil"/>
              <w:right w:val="single" w:sz="4" w:space="0" w:color="auto"/>
            </w:tcBorders>
            <w:shd w:val="clear" w:color="auto" w:fill="auto"/>
            <w:noWrap/>
            <w:vAlign w:val="center"/>
            <w:hideMark/>
          </w:tcPr>
          <w:p w14:paraId="2DFF7E2D" w14:textId="77777777" w:rsidR="005177C1" w:rsidRPr="004A12A2" w:rsidRDefault="005177C1" w:rsidP="005177C1">
            <w:pPr>
              <w:jc w:val="right"/>
              <w:rPr>
                <w:rFonts w:cs="Arial"/>
                <w:color w:val="000000"/>
                <w:sz w:val="18"/>
                <w:szCs w:val="18"/>
              </w:rPr>
            </w:pPr>
            <w:r w:rsidRPr="004A12A2">
              <w:rPr>
                <w:rFonts w:cs="Arial"/>
                <w:color w:val="000000"/>
                <w:sz w:val="18"/>
                <w:szCs w:val="18"/>
              </w:rPr>
              <w:t>943.302.290</w:t>
            </w:r>
          </w:p>
        </w:tc>
        <w:tc>
          <w:tcPr>
            <w:tcW w:w="617" w:type="pct"/>
            <w:tcBorders>
              <w:top w:val="nil"/>
              <w:left w:val="nil"/>
              <w:bottom w:val="nil"/>
              <w:right w:val="single" w:sz="4" w:space="0" w:color="auto"/>
            </w:tcBorders>
            <w:vAlign w:val="center"/>
          </w:tcPr>
          <w:p w14:paraId="591AF9C8" w14:textId="3805DE28" w:rsidR="005177C1" w:rsidRPr="004A12A2" w:rsidRDefault="005177C1" w:rsidP="005177C1">
            <w:pPr>
              <w:jc w:val="center"/>
              <w:rPr>
                <w:rFonts w:cs="Arial"/>
                <w:color w:val="FF0000"/>
                <w:sz w:val="18"/>
                <w:szCs w:val="18"/>
              </w:rPr>
            </w:pPr>
            <w:r w:rsidRPr="004A12A2">
              <w:rPr>
                <w:rFonts w:cs="Arial"/>
                <w:color w:val="000000"/>
                <w:sz w:val="18"/>
                <w:szCs w:val="18"/>
              </w:rPr>
              <w:t>2,25</w:t>
            </w:r>
          </w:p>
        </w:tc>
        <w:tc>
          <w:tcPr>
            <w:tcW w:w="746" w:type="pct"/>
            <w:tcBorders>
              <w:top w:val="nil"/>
              <w:left w:val="single" w:sz="4" w:space="0" w:color="auto"/>
              <w:bottom w:val="nil"/>
              <w:right w:val="single" w:sz="4" w:space="0" w:color="auto"/>
            </w:tcBorders>
            <w:shd w:val="clear" w:color="auto" w:fill="auto"/>
            <w:noWrap/>
            <w:vAlign w:val="center"/>
            <w:hideMark/>
          </w:tcPr>
          <w:p w14:paraId="3D9858CB" w14:textId="53395266" w:rsidR="005177C1" w:rsidRPr="004A12A2" w:rsidRDefault="005177C1" w:rsidP="005177C1">
            <w:pPr>
              <w:ind w:hanging="92"/>
              <w:jc w:val="right"/>
              <w:rPr>
                <w:rFonts w:cs="Arial"/>
                <w:color w:val="000000"/>
                <w:sz w:val="18"/>
                <w:szCs w:val="18"/>
              </w:rPr>
            </w:pPr>
            <w:r w:rsidRPr="004A12A2">
              <w:rPr>
                <w:rFonts w:cs="Arial"/>
                <w:color w:val="FF0000"/>
                <w:sz w:val="18"/>
                <w:szCs w:val="18"/>
              </w:rPr>
              <w:t>(1.501.297.710)</w:t>
            </w:r>
          </w:p>
        </w:tc>
        <w:tc>
          <w:tcPr>
            <w:tcW w:w="530" w:type="pct"/>
            <w:tcBorders>
              <w:top w:val="nil"/>
              <w:left w:val="nil"/>
              <w:bottom w:val="nil"/>
            </w:tcBorders>
            <w:shd w:val="clear" w:color="auto" w:fill="auto"/>
            <w:noWrap/>
            <w:vAlign w:val="center"/>
            <w:hideMark/>
          </w:tcPr>
          <w:p w14:paraId="18933DED" w14:textId="77777777" w:rsidR="005177C1" w:rsidRPr="004A12A2" w:rsidRDefault="005177C1" w:rsidP="005177C1">
            <w:pPr>
              <w:jc w:val="center"/>
              <w:rPr>
                <w:rFonts w:cs="Arial"/>
                <w:color w:val="000000"/>
                <w:sz w:val="18"/>
                <w:szCs w:val="18"/>
              </w:rPr>
            </w:pPr>
            <w:r w:rsidRPr="004A12A2">
              <w:rPr>
                <w:rFonts w:cs="Arial"/>
                <w:color w:val="FF0000"/>
                <w:sz w:val="18"/>
                <w:szCs w:val="18"/>
              </w:rPr>
              <w:t>(61,41)</w:t>
            </w:r>
          </w:p>
        </w:tc>
      </w:tr>
      <w:tr w:rsidR="005177C1" w:rsidRPr="004A12A2" w14:paraId="19FB8634" w14:textId="77777777" w:rsidTr="00854644">
        <w:trPr>
          <w:trHeight w:val="340"/>
        </w:trPr>
        <w:tc>
          <w:tcPr>
            <w:tcW w:w="1442" w:type="pct"/>
            <w:tcBorders>
              <w:top w:val="nil"/>
              <w:left w:val="nil"/>
              <w:bottom w:val="nil"/>
              <w:right w:val="single" w:sz="4" w:space="0" w:color="auto"/>
            </w:tcBorders>
            <w:shd w:val="clear" w:color="auto" w:fill="auto"/>
            <w:noWrap/>
            <w:vAlign w:val="center"/>
            <w:hideMark/>
          </w:tcPr>
          <w:p w14:paraId="3B80D37F" w14:textId="77777777" w:rsidR="005177C1" w:rsidRPr="004A12A2" w:rsidRDefault="005177C1" w:rsidP="00E813D5">
            <w:pPr>
              <w:ind w:left="73"/>
              <w:jc w:val="left"/>
              <w:rPr>
                <w:rFonts w:cs="Arial"/>
                <w:color w:val="000000"/>
                <w:sz w:val="18"/>
                <w:szCs w:val="18"/>
              </w:rPr>
            </w:pPr>
            <w:r w:rsidRPr="004A12A2">
              <w:rPr>
                <w:rFonts w:cs="Arial"/>
                <w:color w:val="000000"/>
                <w:sz w:val="18"/>
                <w:szCs w:val="18"/>
              </w:rPr>
              <w:t>Transferências Correntes</w:t>
            </w:r>
          </w:p>
        </w:tc>
        <w:tc>
          <w:tcPr>
            <w:tcW w:w="833" w:type="pct"/>
            <w:tcBorders>
              <w:top w:val="nil"/>
              <w:left w:val="nil"/>
              <w:bottom w:val="nil"/>
              <w:right w:val="single" w:sz="4" w:space="0" w:color="auto"/>
            </w:tcBorders>
            <w:shd w:val="clear" w:color="auto" w:fill="auto"/>
            <w:noWrap/>
            <w:vAlign w:val="center"/>
            <w:hideMark/>
          </w:tcPr>
          <w:p w14:paraId="583E9137" w14:textId="77777777" w:rsidR="005177C1" w:rsidRPr="004A12A2" w:rsidRDefault="005177C1" w:rsidP="005177C1">
            <w:pPr>
              <w:jc w:val="right"/>
              <w:rPr>
                <w:rFonts w:cs="Arial"/>
                <w:color w:val="000000"/>
                <w:sz w:val="18"/>
                <w:szCs w:val="18"/>
              </w:rPr>
            </w:pPr>
            <w:r w:rsidRPr="004A12A2">
              <w:rPr>
                <w:rFonts w:cs="Arial"/>
                <w:color w:val="000000"/>
                <w:sz w:val="18"/>
                <w:szCs w:val="18"/>
              </w:rPr>
              <w:t>9.354.889.517</w:t>
            </w:r>
          </w:p>
        </w:tc>
        <w:tc>
          <w:tcPr>
            <w:tcW w:w="832" w:type="pct"/>
            <w:tcBorders>
              <w:top w:val="nil"/>
              <w:left w:val="nil"/>
              <w:bottom w:val="nil"/>
              <w:right w:val="single" w:sz="4" w:space="0" w:color="auto"/>
            </w:tcBorders>
            <w:shd w:val="clear" w:color="auto" w:fill="auto"/>
            <w:noWrap/>
            <w:vAlign w:val="center"/>
            <w:hideMark/>
          </w:tcPr>
          <w:p w14:paraId="7355E243" w14:textId="77777777" w:rsidR="005177C1" w:rsidRPr="004A12A2" w:rsidRDefault="005177C1" w:rsidP="005177C1">
            <w:pPr>
              <w:jc w:val="right"/>
              <w:rPr>
                <w:rFonts w:cs="Arial"/>
                <w:color w:val="000000"/>
                <w:sz w:val="18"/>
                <w:szCs w:val="18"/>
              </w:rPr>
            </w:pPr>
            <w:r w:rsidRPr="004A12A2">
              <w:rPr>
                <w:rFonts w:cs="Arial"/>
                <w:color w:val="000000"/>
                <w:sz w:val="18"/>
                <w:szCs w:val="18"/>
              </w:rPr>
              <w:t>9.720.419.580</w:t>
            </w:r>
          </w:p>
        </w:tc>
        <w:tc>
          <w:tcPr>
            <w:tcW w:w="617" w:type="pct"/>
            <w:tcBorders>
              <w:top w:val="nil"/>
              <w:left w:val="nil"/>
              <w:bottom w:val="nil"/>
              <w:right w:val="single" w:sz="4" w:space="0" w:color="auto"/>
            </w:tcBorders>
            <w:vAlign w:val="center"/>
          </w:tcPr>
          <w:p w14:paraId="7C07C2DE" w14:textId="54286F9C" w:rsidR="005177C1" w:rsidRPr="004A12A2" w:rsidRDefault="005177C1" w:rsidP="005177C1">
            <w:pPr>
              <w:jc w:val="center"/>
              <w:rPr>
                <w:rFonts w:cs="Arial"/>
                <w:color w:val="000000"/>
                <w:sz w:val="18"/>
                <w:szCs w:val="18"/>
              </w:rPr>
            </w:pPr>
            <w:r w:rsidRPr="004A12A2">
              <w:rPr>
                <w:rFonts w:cs="Arial"/>
                <w:color w:val="000000"/>
                <w:sz w:val="18"/>
                <w:szCs w:val="18"/>
              </w:rPr>
              <w:t>23,15</w:t>
            </w:r>
          </w:p>
        </w:tc>
        <w:tc>
          <w:tcPr>
            <w:tcW w:w="746" w:type="pct"/>
            <w:tcBorders>
              <w:top w:val="nil"/>
              <w:left w:val="single" w:sz="4" w:space="0" w:color="auto"/>
              <w:bottom w:val="nil"/>
              <w:right w:val="single" w:sz="4" w:space="0" w:color="auto"/>
            </w:tcBorders>
            <w:shd w:val="clear" w:color="auto" w:fill="auto"/>
            <w:noWrap/>
            <w:vAlign w:val="center"/>
            <w:hideMark/>
          </w:tcPr>
          <w:p w14:paraId="40D62B23" w14:textId="7AED489E" w:rsidR="005177C1" w:rsidRPr="004A12A2" w:rsidRDefault="005177C1" w:rsidP="005177C1">
            <w:pPr>
              <w:jc w:val="right"/>
              <w:rPr>
                <w:rFonts w:cs="Arial"/>
                <w:color w:val="000000"/>
                <w:sz w:val="18"/>
                <w:szCs w:val="18"/>
              </w:rPr>
            </w:pPr>
            <w:r w:rsidRPr="004A12A2">
              <w:rPr>
                <w:rFonts w:cs="Arial"/>
                <w:color w:val="000000"/>
                <w:sz w:val="18"/>
                <w:szCs w:val="18"/>
              </w:rPr>
              <w:t>365.530.063</w:t>
            </w:r>
          </w:p>
        </w:tc>
        <w:tc>
          <w:tcPr>
            <w:tcW w:w="530" w:type="pct"/>
            <w:tcBorders>
              <w:top w:val="nil"/>
              <w:left w:val="nil"/>
              <w:bottom w:val="nil"/>
            </w:tcBorders>
            <w:shd w:val="clear" w:color="auto" w:fill="auto"/>
            <w:noWrap/>
            <w:vAlign w:val="center"/>
            <w:hideMark/>
          </w:tcPr>
          <w:p w14:paraId="7341AEDC" w14:textId="77777777" w:rsidR="005177C1" w:rsidRPr="004A12A2" w:rsidRDefault="005177C1" w:rsidP="005177C1">
            <w:pPr>
              <w:jc w:val="center"/>
              <w:rPr>
                <w:rFonts w:cs="Arial"/>
                <w:color w:val="000000"/>
                <w:sz w:val="18"/>
                <w:szCs w:val="18"/>
              </w:rPr>
            </w:pPr>
            <w:r w:rsidRPr="004A12A2">
              <w:rPr>
                <w:rFonts w:cs="Arial"/>
                <w:color w:val="000000"/>
                <w:sz w:val="18"/>
                <w:szCs w:val="18"/>
              </w:rPr>
              <w:t>3,91</w:t>
            </w:r>
          </w:p>
        </w:tc>
      </w:tr>
      <w:tr w:rsidR="005177C1" w:rsidRPr="004A12A2" w14:paraId="7C51F7B5" w14:textId="77777777" w:rsidTr="00854644">
        <w:trPr>
          <w:trHeight w:val="340"/>
        </w:trPr>
        <w:tc>
          <w:tcPr>
            <w:tcW w:w="1442" w:type="pct"/>
            <w:tcBorders>
              <w:top w:val="nil"/>
              <w:left w:val="nil"/>
              <w:bottom w:val="nil"/>
              <w:right w:val="single" w:sz="4" w:space="0" w:color="auto"/>
            </w:tcBorders>
            <w:shd w:val="clear" w:color="auto" w:fill="auto"/>
            <w:noWrap/>
            <w:vAlign w:val="center"/>
            <w:hideMark/>
          </w:tcPr>
          <w:p w14:paraId="61582998" w14:textId="77777777" w:rsidR="005177C1" w:rsidRPr="004A12A2" w:rsidRDefault="005177C1" w:rsidP="00E813D5">
            <w:pPr>
              <w:ind w:left="73"/>
              <w:jc w:val="left"/>
              <w:rPr>
                <w:rFonts w:cs="Arial"/>
                <w:color w:val="000000"/>
                <w:sz w:val="18"/>
                <w:szCs w:val="18"/>
              </w:rPr>
            </w:pPr>
            <w:r w:rsidRPr="004A12A2">
              <w:rPr>
                <w:rFonts w:cs="Arial"/>
                <w:color w:val="000000"/>
                <w:sz w:val="18"/>
                <w:szCs w:val="18"/>
              </w:rPr>
              <w:t>Outras Receitas Correntes</w:t>
            </w:r>
          </w:p>
        </w:tc>
        <w:tc>
          <w:tcPr>
            <w:tcW w:w="833" w:type="pct"/>
            <w:tcBorders>
              <w:top w:val="nil"/>
              <w:left w:val="nil"/>
              <w:bottom w:val="nil"/>
              <w:right w:val="single" w:sz="4" w:space="0" w:color="auto"/>
            </w:tcBorders>
            <w:shd w:val="clear" w:color="auto" w:fill="auto"/>
            <w:noWrap/>
            <w:vAlign w:val="center"/>
            <w:hideMark/>
          </w:tcPr>
          <w:p w14:paraId="0E40889C" w14:textId="77777777" w:rsidR="005177C1" w:rsidRPr="004A12A2" w:rsidRDefault="005177C1" w:rsidP="005177C1">
            <w:pPr>
              <w:jc w:val="right"/>
              <w:rPr>
                <w:rFonts w:cs="Arial"/>
                <w:color w:val="000000"/>
                <w:sz w:val="18"/>
                <w:szCs w:val="18"/>
              </w:rPr>
            </w:pPr>
            <w:r w:rsidRPr="004A12A2">
              <w:rPr>
                <w:rFonts w:cs="Arial"/>
                <w:color w:val="000000"/>
                <w:sz w:val="18"/>
                <w:szCs w:val="18"/>
              </w:rPr>
              <w:t>2.984.633.240</w:t>
            </w:r>
          </w:p>
        </w:tc>
        <w:tc>
          <w:tcPr>
            <w:tcW w:w="832" w:type="pct"/>
            <w:tcBorders>
              <w:top w:val="nil"/>
              <w:left w:val="nil"/>
              <w:bottom w:val="nil"/>
              <w:right w:val="single" w:sz="4" w:space="0" w:color="auto"/>
            </w:tcBorders>
            <w:shd w:val="clear" w:color="auto" w:fill="auto"/>
            <w:noWrap/>
            <w:vAlign w:val="center"/>
            <w:hideMark/>
          </w:tcPr>
          <w:p w14:paraId="5CC57AB9" w14:textId="77777777" w:rsidR="005177C1" w:rsidRPr="004A12A2" w:rsidRDefault="005177C1" w:rsidP="005177C1">
            <w:pPr>
              <w:jc w:val="right"/>
              <w:rPr>
                <w:rFonts w:cs="Arial"/>
                <w:color w:val="000000"/>
                <w:sz w:val="18"/>
                <w:szCs w:val="18"/>
              </w:rPr>
            </w:pPr>
            <w:r w:rsidRPr="004A12A2">
              <w:rPr>
                <w:rFonts w:cs="Arial"/>
                <w:color w:val="000000"/>
                <w:sz w:val="18"/>
                <w:szCs w:val="18"/>
              </w:rPr>
              <w:t>3.931.437.119</w:t>
            </w:r>
          </w:p>
        </w:tc>
        <w:tc>
          <w:tcPr>
            <w:tcW w:w="617" w:type="pct"/>
            <w:tcBorders>
              <w:top w:val="nil"/>
              <w:left w:val="nil"/>
              <w:bottom w:val="nil"/>
              <w:right w:val="single" w:sz="4" w:space="0" w:color="auto"/>
            </w:tcBorders>
            <w:vAlign w:val="center"/>
          </w:tcPr>
          <w:p w14:paraId="2FD36C12" w14:textId="2E4E8DAA" w:rsidR="005177C1" w:rsidRPr="004A12A2" w:rsidRDefault="005177C1" w:rsidP="005177C1">
            <w:pPr>
              <w:jc w:val="center"/>
              <w:rPr>
                <w:rFonts w:cs="Arial"/>
                <w:color w:val="000000"/>
                <w:sz w:val="18"/>
                <w:szCs w:val="18"/>
              </w:rPr>
            </w:pPr>
            <w:r w:rsidRPr="004A12A2">
              <w:rPr>
                <w:rFonts w:cs="Arial"/>
                <w:color w:val="000000"/>
                <w:sz w:val="18"/>
                <w:szCs w:val="18"/>
              </w:rPr>
              <w:t>9,36</w:t>
            </w:r>
          </w:p>
        </w:tc>
        <w:tc>
          <w:tcPr>
            <w:tcW w:w="746" w:type="pct"/>
            <w:tcBorders>
              <w:top w:val="nil"/>
              <w:left w:val="single" w:sz="4" w:space="0" w:color="auto"/>
              <w:bottom w:val="nil"/>
              <w:right w:val="single" w:sz="4" w:space="0" w:color="auto"/>
            </w:tcBorders>
            <w:shd w:val="clear" w:color="auto" w:fill="auto"/>
            <w:noWrap/>
            <w:vAlign w:val="center"/>
            <w:hideMark/>
          </w:tcPr>
          <w:p w14:paraId="1F01F1F0" w14:textId="50CBA706" w:rsidR="005177C1" w:rsidRPr="004A12A2" w:rsidRDefault="005177C1" w:rsidP="005177C1">
            <w:pPr>
              <w:jc w:val="right"/>
              <w:rPr>
                <w:rFonts w:cs="Arial"/>
                <w:color w:val="000000"/>
                <w:sz w:val="18"/>
                <w:szCs w:val="18"/>
              </w:rPr>
            </w:pPr>
            <w:r w:rsidRPr="004A12A2">
              <w:rPr>
                <w:rFonts w:cs="Arial"/>
                <w:color w:val="000000"/>
                <w:sz w:val="18"/>
                <w:szCs w:val="18"/>
              </w:rPr>
              <w:t>946.803.879</w:t>
            </w:r>
          </w:p>
        </w:tc>
        <w:tc>
          <w:tcPr>
            <w:tcW w:w="530" w:type="pct"/>
            <w:tcBorders>
              <w:top w:val="nil"/>
              <w:left w:val="nil"/>
              <w:bottom w:val="nil"/>
            </w:tcBorders>
            <w:shd w:val="clear" w:color="auto" w:fill="auto"/>
            <w:noWrap/>
            <w:vAlign w:val="center"/>
            <w:hideMark/>
          </w:tcPr>
          <w:p w14:paraId="28AB38CA" w14:textId="77777777" w:rsidR="005177C1" w:rsidRPr="004A12A2" w:rsidRDefault="005177C1" w:rsidP="005177C1">
            <w:pPr>
              <w:jc w:val="center"/>
              <w:rPr>
                <w:rFonts w:cs="Arial"/>
                <w:color w:val="000000"/>
                <w:sz w:val="18"/>
                <w:szCs w:val="18"/>
              </w:rPr>
            </w:pPr>
            <w:r w:rsidRPr="004A12A2">
              <w:rPr>
                <w:rFonts w:cs="Arial"/>
                <w:color w:val="000000"/>
                <w:sz w:val="18"/>
                <w:szCs w:val="18"/>
              </w:rPr>
              <w:t>31,72</w:t>
            </w:r>
          </w:p>
        </w:tc>
      </w:tr>
      <w:tr w:rsidR="005177C1" w:rsidRPr="004A12A2" w14:paraId="76085C05" w14:textId="77777777" w:rsidTr="00854644">
        <w:trPr>
          <w:trHeight w:val="340"/>
        </w:trPr>
        <w:tc>
          <w:tcPr>
            <w:tcW w:w="1442" w:type="pct"/>
            <w:tcBorders>
              <w:top w:val="nil"/>
              <w:left w:val="nil"/>
              <w:bottom w:val="nil"/>
              <w:right w:val="single" w:sz="4" w:space="0" w:color="auto"/>
            </w:tcBorders>
            <w:shd w:val="clear" w:color="auto" w:fill="auto"/>
            <w:noWrap/>
            <w:vAlign w:val="center"/>
            <w:hideMark/>
          </w:tcPr>
          <w:p w14:paraId="6F98D4F6" w14:textId="77777777" w:rsidR="005177C1" w:rsidRPr="004A12A2" w:rsidRDefault="005177C1" w:rsidP="005177C1">
            <w:pPr>
              <w:jc w:val="left"/>
              <w:rPr>
                <w:rFonts w:cs="Arial"/>
                <w:b/>
                <w:bCs/>
                <w:color w:val="000000"/>
                <w:sz w:val="18"/>
                <w:szCs w:val="18"/>
              </w:rPr>
            </w:pPr>
            <w:r w:rsidRPr="004A12A2">
              <w:rPr>
                <w:rFonts w:cs="Arial"/>
                <w:b/>
                <w:bCs/>
                <w:color w:val="000000"/>
                <w:sz w:val="18"/>
                <w:szCs w:val="18"/>
              </w:rPr>
              <w:t>Receitas de Capital</w:t>
            </w:r>
          </w:p>
        </w:tc>
        <w:tc>
          <w:tcPr>
            <w:tcW w:w="833" w:type="pct"/>
            <w:tcBorders>
              <w:top w:val="nil"/>
              <w:left w:val="nil"/>
              <w:bottom w:val="nil"/>
              <w:right w:val="single" w:sz="4" w:space="0" w:color="auto"/>
            </w:tcBorders>
            <w:shd w:val="clear" w:color="auto" w:fill="auto"/>
            <w:noWrap/>
            <w:vAlign w:val="center"/>
            <w:hideMark/>
          </w:tcPr>
          <w:p w14:paraId="552EC519" w14:textId="77777777" w:rsidR="005177C1" w:rsidRPr="003A3D90" w:rsidRDefault="005177C1" w:rsidP="005177C1">
            <w:pPr>
              <w:jc w:val="right"/>
              <w:rPr>
                <w:rFonts w:cs="Arial"/>
                <w:b/>
                <w:color w:val="000000"/>
                <w:sz w:val="18"/>
                <w:szCs w:val="18"/>
              </w:rPr>
            </w:pPr>
            <w:r w:rsidRPr="003A3D90">
              <w:rPr>
                <w:rFonts w:cs="Arial"/>
                <w:b/>
                <w:color w:val="000000"/>
                <w:sz w:val="18"/>
                <w:szCs w:val="18"/>
              </w:rPr>
              <w:t>184.359.490</w:t>
            </w:r>
          </w:p>
        </w:tc>
        <w:tc>
          <w:tcPr>
            <w:tcW w:w="832" w:type="pct"/>
            <w:tcBorders>
              <w:top w:val="nil"/>
              <w:left w:val="nil"/>
              <w:bottom w:val="nil"/>
              <w:right w:val="single" w:sz="4" w:space="0" w:color="auto"/>
            </w:tcBorders>
            <w:shd w:val="clear" w:color="auto" w:fill="auto"/>
            <w:noWrap/>
            <w:vAlign w:val="center"/>
            <w:hideMark/>
          </w:tcPr>
          <w:p w14:paraId="7E4C20ED" w14:textId="77777777" w:rsidR="005177C1" w:rsidRPr="003A3D90" w:rsidRDefault="005177C1" w:rsidP="005177C1">
            <w:pPr>
              <w:jc w:val="right"/>
              <w:rPr>
                <w:rFonts w:cs="Arial"/>
                <w:b/>
                <w:color w:val="000000"/>
                <w:sz w:val="18"/>
                <w:szCs w:val="18"/>
              </w:rPr>
            </w:pPr>
            <w:r w:rsidRPr="003A3D90">
              <w:rPr>
                <w:rFonts w:cs="Arial"/>
                <w:b/>
                <w:color w:val="000000"/>
                <w:sz w:val="18"/>
                <w:szCs w:val="18"/>
              </w:rPr>
              <w:t>170.585.248</w:t>
            </w:r>
          </w:p>
        </w:tc>
        <w:tc>
          <w:tcPr>
            <w:tcW w:w="617" w:type="pct"/>
            <w:tcBorders>
              <w:top w:val="nil"/>
              <w:left w:val="nil"/>
              <w:bottom w:val="nil"/>
              <w:right w:val="single" w:sz="4" w:space="0" w:color="auto"/>
            </w:tcBorders>
            <w:vAlign w:val="center"/>
          </w:tcPr>
          <w:p w14:paraId="726B0F44" w14:textId="169D6C02" w:rsidR="005177C1" w:rsidRPr="003A3D90" w:rsidRDefault="005177C1" w:rsidP="005177C1">
            <w:pPr>
              <w:jc w:val="center"/>
              <w:rPr>
                <w:rFonts w:cs="Arial"/>
                <w:b/>
                <w:color w:val="FF0000"/>
                <w:sz w:val="18"/>
                <w:szCs w:val="18"/>
              </w:rPr>
            </w:pPr>
            <w:r w:rsidRPr="003A3D90">
              <w:rPr>
                <w:rFonts w:cs="Arial"/>
                <w:b/>
                <w:color w:val="000000"/>
                <w:sz w:val="18"/>
                <w:szCs w:val="18"/>
              </w:rPr>
              <w:t>0,41</w:t>
            </w:r>
          </w:p>
        </w:tc>
        <w:tc>
          <w:tcPr>
            <w:tcW w:w="746" w:type="pct"/>
            <w:tcBorders>
              <w:top w:val="nil"/>
              <w:left w:val="single" w:sz="4" w:space="0" w:color="auto"/>
              <w:bottom w:val="nil"/>
              <w:right w:val="single" w:sz="4" w:space="0" w:color="auto"/>
            </w:tcBorders>
            <w:shd w:val="clear" w:color="auto" w:fill="auto"/>
            <w:noWrap/>
            <w:vAlign w:val="center"/>
            <w:hideMark/>
          </w:tcPr>
          <w:p w14:paraId="499823ED" w14:textId="5CE5AEAD" w:rsidR="005177C1" w:rsidRPr="003A3D90" w:rsidRDefault="005177C1" w:rsidP="005177C1">
            <w:pPr>
              <w:jc w:val="right"/>
              <w:rPr>
                <w:rFonts w:cs="Arial"/>
                <w:b/>
                <w:color w:val="000000"/>
                <w:sz w:val="18"/>
                <w:szCs w:val="18"/>
              </w:rPr>
            </w:pPr>
            <w:r w:rsidRPr="003A3D90">
              <w:rPr>
                <w:rFonts w:cs="Arial"/>
                <w:b/>
                <w:color w:val="FF0000"/>
                <w:sz w:val="18"/>
                <w:szCs w:val="18"/>
              </w:rPr>
              <w:t>(13.774.242)</w:t>
            </w:r>
          </w:p>
        </w:tc>
        <w:tc>
          <w:tcPr>
            <w:tcW w:w="530" w:type="pct"/>
            <w:tcBorders>
              <w:top w:val="nil"/>
              <w:left w:val="nil"/>
              <w:bottom w:val="nil"/>
            </w:tcBorders>
            <w:shd w:val="clear" w:color="auto" w:fill="auto"/>
            <w:noWrap/>
            <w:vAlign w:val="center"/>
            <w:hideMark/>
          </w:tcPr>
          <w:p w14:paraId="6CA71070" w14:textId="77777777" w:rsidR="005177C1" w:rsidRPr="003A3D90" w:rsidRDefault="005177C1" w:rsidP="005177C1">
            <w:pPr>
              <w:jc w:val="center"/>
              <w:rPr>
                <w:rFonts w:cs="Arial"/>
                <w:b/>
                <w:color w:val="000000"/>
                <w:sz w:val="18"/>
                <w:szCs w:val="18"/>
              </w:rPr>
            </w:pPr>
            <w:r w:rsidRPr="003A3D90">
              <w:rPr>
                <w:rFonts w:cs="Arial"/>
                <w:b/>
                <w:color w:val="FF0000"/>
                <w:sz w:val="18"/>
                <w:szCs w:val="18"/>
              </w:rPr>
              <w:t>(7,47)</w:t>
            </w:r>
          </w:p>
        </w:tc>
      </w:tr>
      <w:tr w:rsidR="005177C1" w:rsidRPr="004A12A2" w14:paraId="4072A167" w14:textId="77777777" w:rsidTr="00854644">
        <w:trPr>
          <w:trHeight w:val="340"/>
        </w:trPr>
        <w:tc>
          <w:tcPr>
            <w:tcW w:w="1442" w:type="pct"/>
            <w:tcBorders>
              <w:top w:val="nil"/>
              <w:left w:val="nil"/>
              <w:bottom w:val="nil"/>
              <w:right w:val="single" w:sz="4" w:space="0" w:color="auto"/>
            </w:tcBorders>
            <w:shd w:val="clear" w:color="auto" w:fill="auto"/>
            <w:noWrap/>
            <w:vAlign w:val="center"/>
            <w:hideMark/>
          </w:tcPr>
          <w:p w14:paraId="39BF17DD" w14:textId="77777777" w:rsidR="005177C1" w:rsidRPr="004A12A2" w:rsidRDefault="005177C1" w:rsidP="00E813D5">
            <w:pPr>
              <w:ind w:left="73"/>
              <w:jc w:val="left"/>
              <w:rPr>
                <w:rFonts w:cs="Arial"/>
                <w:color w:val="000000"/>
                <w:sz w:val="18"/>
                <w:szCs w:val="18"/>
              </w:rPr>
            </w:pPr>
            <w:r w:rsidRPr="004A12A2">
              <w:rPr>
                <w:rFonts w:cs="Arial"/>
                <w:color w:val="000000"/>
                <w:sz w:val="18"/>
                <w:szCs w:val="18"/>
              </w:rPr>
              <w:t>Operações de Crédito</w:t>
            </w:r>
          </w:p>
        </w:tc>
        <w:tc>
          <w:tcPr>
            <w:tcW w:w="833" w:type="pct"/>
            <w:tcBorders>
              <w:top w:val="nil"/>
              <w:left w:val="nil"/>
              <w:bottom w:val="nil"/>
              <w:right w:val="single" w:sz="4" w:space="0" w:color="auto"/>
            </w:tcBorders>
            <w:shd w:val="clear" w:color="auto" w:fill="auto"/>
            <w:noWrap/>
            <w:vAlign w:val="center"/>
            <w:hideMark/>
          </w:tcPr>
          <w:p w14:paraId="7303506D" w14:textId="77777777" w:rsidR="005177C1" w:rsidRPr="004A12A2" w:rsidRDefault="005177C1" w:rsidP="005177C1">
            <w:pPr>
              <w:jc w:val="right"/>
              <w:rPr>
                <w:rFonts w:cs="Arial"/>
                <w:color w:val="000000"/>
                <w:sz w:val="18"/>
                <w:szCs w:val="18"/>
              </w:rPr>
            </w:pPr>
            <w:r w:rsidRPr="004A12A2">
              <w:rPr>
                <w:rFonts w:cs="Arial"/>
                <w:color w:val="000000"/>
                <w:sz w:val="18"/>
                <w:szCs w:val="18"/>
              </w:rPr>
              <w:t>30.000</w:t>
            </w:r>
          </w:p>
        </w:tc>
        <w:tc>
          <w:tcPr>
            <w:tcW w:w="832" w:type="pct"/>
            <w:tcBorders>
              <w:top w:val="nil"/>
              <w:left w:val="nil"/>
              <w:bottom w:val="nil"/>
              <w:right w:val="single" w:sz="4" w:space="0" w:color="auto"/>
            </w:tcBorders>
            <w:shd w:val="clear" w:color="auto" w:fill="auto"/>
            <w:noWrap/>
            <w:vAlign w:val="center"/>
            <w:hideMark/>
          </w:tcPr>
          <w:p w14:paraId="613148F3" w14:textId="77777777" w:rsidR="005177C1" w:rsidRPr="004A12A2" w:rsidRDefault="005177C1" w:rsidP="005177C1">
            <w:pPr>
              <w:jc w:val="right"/>
              <w:rPr>
                <w:rFonts w:cs="Arial"/>
                <w:color w:val="000000"/>
                <w:sz w:val="18"/>
                <w:szCs w:val="18"/>
              </w:rPr>
            </w:pPr>
            <w:r w:rsidRPr="004A12A2">
              <w:rPr>
                <w:rFonts w:cs="Arial"/>
                <w:color w:val="000000"/>
                <w:sz w:val="18"/>
                <w:szCs w:val="18"/>
              </w:rPr>
              <w:t>-</w:t>
            </w:r>
          </w:p>
        </w:tc>
        <w:tc>
          <w:tcPr>
            <w:tcW w:w="617" w:type="pct"/>
            <w:tcBorders>
              <w:top w:val="nil"/>
              <w:left w:val="nil"/>
              <w:bottom w:val="nil"/>
              <w:right w:val="single" w:sz="4" w:space="0" w:color="auto"/>
            </w:tcBorders>
            <w:vAlign w:val="center"/>
          </w:tcPr>
          <w:p w14:paraId="73E97818" w14:textId="30453383" w:rsidR="005177C1" w:rsidRPr="004A12A2" w:rsidRDefault="005177C1" w:rsidP="005177C1">
            <w:pPr>
              <w:jc w:val="center"/>
              <w:rPr>
                <w:rFonts w:cs="Arial"/>
                <w:color w:val="FF0000"/>
                <w:sz w:val="18"/>
                <w:szCs w:val="18"/>
              </w:rPr>
            </w:pPr>
            <w:r w:rsidRPr="004A12A2">
              <w:rPr>
                <w:rFonts w:cs="Arial"/>
                <w:color w:val="000000"/>
                <w:sz w:val="18"/>
                <w:szCs w:val="18"/>
              </w:rPr>
              <w:t>-</w:t>
            </w:r>
          </w:p>
        </w:tc>
        <w:tc>
          <w:tcPr>
            <w:tcW w:w="746" w:type="pct"/>
            <w:tcBorders>
              <w:top w:val="nil"/>
              <w:left w:val="single" w:sz="4" w:space="0" w:color="auto"/>
              <w:bottom w:val="nil"/>
              <w:right w:val="single" w:sz="4" w:space="0" w:color="auto"/>
            </w:tcBorders>
            <w:shd w:val="clear" w:color="auto" w:fill="auto"/>
            <w:noWrap/>
            <w:vAlign w:val="center"/>
            <w:hideMark/>
          </w:tcPr>
          <w:p w14:paraId="3AC88D16" w14:textId="10359D8A" w:rsidR="005177C1" w:rsidRPr="004A12A2" w:rsidRDefault="005177C1" w:rsidP="005177C1">
            <w:pPr>
              <w:jc w:val="right"/>
              <w:rPr>
                <w:rFonts w:cs="Arial"/>
                <w:color w:val="000000"/>
                <w:sz w:val="18"/>
                <w:szCs w:val="18"/>
              </w:rPr>
            </w:pPr>
            <w:r w:rsidRPr="004A12A2">
              <w:rPr>
                <w:rFonts w:cs="Arial"/>
                <w:color w:val="FF0000"/>
                <w:sz w:val="18"/>
                <w:szCs w:val="18"/>
              </w:rPr>
              <w:t>(30.000)</w:t>
            </w:r>
          </w:p>
        </w:tc>
        <w:tc>
          <w:tcPr>
            <w:tcW w:w="530" w:type="pct"/>
            <w:tcBorders>
              <w:top w:val="nil"/>
              <w:left w:val="nil"/>
              <w:bottom w:val="nil"/>
            </w:tcBorders>
            <w:shd w:val="clear" w:color="auto" w:fill="auto"/>
            <w:noWrap/>
            <w:vAlign w:val="center"/>
            <w:hideMark/>
          </w:tcPr>
          <w:p w14:paraId="3AD953AB" w14:textId="77777777" w:rsidR="005177C1" w:rsidRPr="004A12A2" w:rsidRDefault="005177C1" w:rsidP="005177C1">
            <w:pPr>
              <w:jc w:val="center"/>
              <w:rPr>
                <w:rFonts w:cs="Arial"/>
                <w:color w:val="000000"/>
                <w:sz w:val="18"/>
                <w:szCs w:val="18"/>
              </w:rPr>
            </w:pPr>
            <w:r w:rsidRPr="00056E16">
              <w:rPr>
                <w:rFonts w:cs="Arial"/>
                <w:color w:val="FF0000"/>
                <w:sz w:val="18"/>
                <w:szCs w:val="18"/>
              </w:rPr>
              <w:t>(100,00)</w:t>
            </w:r>
          </w:p>
        </w:tc>
      </w:tr>
      <w:tr w:rsidR="005177C1" w:rsidRPr="004A12A2" w14:paraId="79FA1446" w14:textId="77777777" w:rsidTr="00854644">
        <w:trPr>
          <w:trHeight w:val="340"/>
        </w:trPr>
        <w:tc>
          <w:tcPr>
            <w:tcW w:w="1442" w:type="pct"/>
            <w:tcBorders>
              <w:top w:val="nil"/>
              <w:left w:val="nil"/>
              <w:bottom w:val="nil"/>
              <w:right w:val="single" w:sz="4" w:space="0" w:color="auto"/>
            </w:tcBorders>
            <w:shd w:val="clear" w:color="auto" w:fill="auto"/>
            <w:noWrap/>
            <w:vAlign w:val="center"/>
            <w:hideMark/>
          </w:tcPr>
          <w:p w14:paraId="08A6CF8D" w14:textId="77777777" w:rsidR="005177C1" w:rsidRPr="004A12A2" w:rsidRDefault="005177C1" w:rsidP="00E813D5">
            <w:pPr>
              <w:ind w:left="73"/>
              <w:jc w:val="left"/>
              <w:rPr>
                <w:rFonts w:cs="Arial"/>
                <w:color w:val="000000"/>
                <w:sz w:val="18"/>
                <w:szCs w:val="18"/>
              </w:rPr>
            </w:pPr>
            <w:r w:rsidRPr="004A12A2">
              <w:rPr>
                <w:rFonts w:cs="Arial"/>
                <w:color w:val="000000"/>
                <w:sz w:val="18"/>
                <w:szCs w:val="18"/>
              </w:rPr>
              <w:t>Alienação de Bens</w:t>
            </w:r>
          </w:p>
        </w:tc>
        <w:tc>
          <w:tcPr>
            <w:tcW w:w="833" w:type="pct"/>
            <w:tcBorders>
              <w:top w:val="nil"/>
              <w:left w:val="nil"/>
              <w:bottom w:val="nil"/>
              <w:right w:val="single" w:sz="4" w:space="0" w:color="auto"/>
            </w:tcBorders>
            <w:shd w:val="clear" w:color="auto" w:fill="auto"/>
            <w:noWrap/>
            <w:vAlign w:val="center"/>
            <w:hideMark/>
          </w:tcPr>
          <w:p w14:paraId="0275139E" w14:textId="77777777" w:rsidR="005177C1" w:rsidRPr="004A12A2" w:rsidRDefault="005177C1" w:rsidP="005177C1">
            <w:pPr>
              <w:jc w:val="right"/>
              <w:rPr>
                <w:rFonts w:cs="Arial"/>
                <w:color w:val="000000"/>
                <w:sz w:val="18"/>
                <w:szCs w:val="18"/>
              </w:rPr>
            </w:pPr>
            <w:r w:rsidRPr="004A12A2">
              <w:rPr>
                <w:rFonts w:cs="Arial"/>
                <w:color w:val="000000"/>
                <w:sz w:val="18"/>
                <w:szCs w:val="18"/>
              </w:rPr>
              <w:t>46.516.000</w:t>
            </w:r>
          </w:p>
        </w:tc>
        <w:tc>
          <w:tcPr>
            <w:tcW w:w="832" w:type="pct"/>
            <w:tcBorders>
              <w:top w:val="nil"/>
              <w:left w:val="nil"/>
              <w:bottom w:val="nil"/>
              <w:right w:val="single" w:sz="4" w:space="0" w:color="auto"/>
            </w:tcBorders>
            <w:shd w:val="clear" w:color="auto" w:fill="auto"/>
            <w:noWrap/>
            <w:vAlign w:val="center"/>
            <w:hideMark/>
          </w:tcPr>
          <w:p w14:paraId="607E3B22" w14:textId="77777777" w:rsidR="005177C1" w:rsidRPr="004A12A2" w:rsidRDefault="005177C1" w:rsidP="005177C1">
            <w:pPr>
              <w:jc w:val="right"/>
              <w:rPr>
                <w:rFonts w:cs="Arial"/>
                <w:color w:val="000000"/>
                <w:sz w:val="18"/>
                <w:szCs w:val="18"/>
              </w:rPr>
            </w:pPr>
            <w:r w:rsidRPr="004A12A2">
              <w:rPr>
                <w:rFonts w:cs="Arial"/>
                <w:color w:val="000000"/>
                <w:sz w:val="18"/>
                <w:szCs w:val="18"/>
              </w:rPr>
              <w:t>6.980.814</w:t>
            </w:r>
          </w:p>
        </w:tc>
        <w:tc>
          <w:tcPr>
            <w:tcW w:w="617" w:type="pct"/>
            <w:tcBorders>
              <w:top w:val="nil"/>
              <w:left w:val="nil"/>
              <w:bottom w:val="nil"/>
              <w:right w:val="single" w:sz="4" w:space="0" w:color="auto"/>
            </w:tcBorders>
            <w:vAlign w:val="center"/>
          </w:tcPr>
          <w:p w14:paraId="4BB4E1D4" w14:textId="69D5F790" w:rsidR="005177C1" w:rsidRPr="004A12A2" w:rsidRDefault="005177C1" w:rsidP="005177C1">
            <w:pPr>
              <w:jc w:val="center"/>
              <w:rPr>
                <w:rFonts w:cs="Arial"/>
                <w:color w:val="FF0000"/>
                <w:sz w:val="18"/>
                <w:szCs w:val="18"/>
              </w:rPr>
            </w:pPr>
            <w:r w:rsidRPr="004A12A2">
              <w:rPr>
                <w:rFonts w:cs="Arial"/>
                <w:color w:val="000000"/>
                <w:sz w:val="18"/>
                <w:szCs w:val="18"/>
              </w:rPr>
              <w:t>0,02</w:t>
            </w:r>
          </w:p>
        </w:tc>
        <w:tc>
          <w:tcPr>
            <w:tcW w:w="746" w:type="pct"/>
            <w:tcBorders>
              <w:top w:val="nil"/>
              <w:left w:val="single" w:sz="4" w:space="0" w:color="auto"/>
              <w:bottom w:val="nil"/>
              <w:right w:val="single" w:sz="4" w:space="0" w:color="auto"/>
            </w:tcBorders>
            <w:shd w:val="clear" w:color="auto" w:fill="auto"/>
            <w:noWrap/>
            <w:vAlign w:val="center"/>
            <w:hideMark/>
          </w:tcPr>
          <w:p w14:paraId="65AF8408" w14:textId="5EB11D10" w:rsidR="005177C1" w:rsidRPr="004A12A2" w:rsidRDefault="005177C1" w:rsidP="005177C1">
            <w:pPr>
              <w:jc w:val="right"/>
              <w:rPr>
                <w:rFonts w:cs="Arial"/>
                <w:color w:val="000000"/>
                <w:sz w:val="18"/>
                <w:szCs w:val="18"/>
              </w:rPr>
            </w:pPr>
            <w:r w:rsidRPr="004A12A2">
              <w:rPr>
                <w:rFonts w:cs="Arial"/>
                <w:color w:val="FF0000"/>
                <w:sz w:val="18"/>
                <w:szCs w:val="18"/>
              </w:rPr>
              <w:t>(39.535.186)</w:t>
            </w:r>
          </w:p>
        </w:tc>
        <w:tc>
          <w:tcPr>
            <w:tcW w:w="530" w:type="pct"/>
            <w:tcBorders>
              <w:top w:val="nil"/>
              <w:left w:val="nil"/>
              <w:bottom w:val="nil"/>
            </w:tcBorders>
            <w:shd w:val="clear" w:color="auto" w:fill="auto"/>
            <w:noWrap/>
            <w:vAlign w:val="center"/>
            <w:hideMark/>
          </w:tcPr>
          <w:p w14:paraId="19692157" w14:textId="77777777" w:rsidR="005177C1" w:rsidRPr="004A12A2" w:rsidRDefault="005177C1" w:rsidP="005177C1">
            <w:pPr>
              <w:jc w:val="center"/>
              <w:rPr>
                <w:rFonts w:cs="Arial"/>
                <w:color w:val="000000"/>
                <w:sz w:val="18"/>
                <w:szCs w:val="18"/>
              </w:rPr>
            </w:pPr>
            <w:r w:rsidRPr="004A12A2">
              <w:rPr>
                <w:rFonts w:cs="Arial"/>
                <w:color w:val="FF0000"/>
                <w:sz w:val="18"/>
                <w:szCs w:val="18"/>
              </w:rPr>
              <w:t>(84,99)</w:t>
            </w:r>
          </w:p>
        </w:tc>
      </w:tr>
      <w:tr w:rsidR="005177C1" w:rsidRPr="004A12A2" w14:paraId="442CCFA6" w14:textId="77777777" w:rsidTr="00854644">
        <w:trPr>
          <w:trHeight w:val="340"/>
        </w:trPr>
        <w:tc>
          <w:tcPr>
            <w:tcW w:w="1442" w:type="pct"/>
            <w:tcBorders>
              <w:top w:val="nil"/>
              <w:left w:val="nil"/>
              <w:bottom w:val="nil"/>
              <w:right w:val="single" w:sz="4" w:space="0" w:color="auto"/>
            </w:tcBorders>
            <w:shd w:val="clear" w:color="auto" w:fill="auto"/>
            <w:noWrap/>
            <w:vAlign w:val="center"/>
            <w:hideMark/>
          </w:tcPr>
          <w:p w14:paraId="09E8BF8A" w14:textId="77777777" w:rsidR="005177C1" w:rsidRPr="004A12A2" w:rsidRDefault="005177C1" w:rsidP="00E813D5">
            <w:pPr>
              <w:ind w:left="73"/>
              <w:jc w:val="left"/>
              <w:rPr>
                <w:rFonts w:cs="Arial"/>
                <w:color w:val="000000"/>
                <w:sz w:val="18"/>
                <w:szCs w:val="18"/>
              </w:rPr>
            </w:pPr>
            <w:r w:rsidRPr="004A12A2">
              <w:rPr>
                <w:rFonts w:cs="Arial"/>
                <w:color w:val="000000"/>
                <w:sz w:val="18"/>
                <w:szCs w:val="18"/>
              </w:rPr>
              <w:t>Amortizações de Empréstimos</w:t>
            </w:r>
          </w:p>
        </w:tc>
        <w:tc>
          <w:tcPr>
            <w:tcW w:w="833" w:type="pct"/>
            <w:tcBorders>
              <w:top w:val="nil"/>
              <w:left w:val="nil"/>
              <w:bottom w:val="nil"/>
              <w:right w:val="single" w:sz="4" w:space="0" w:color="auto"/>
            </w:tcBorders>
            <w:shd w:val="clear" w:color="auto" w:fill="auto"/>
            <w:noWrap/>
            <w:vAlign w:val="center"/>
            <w:hideMark/>
          </w:tcPr>
          <w:p w14:paraId="4108B938" w14:textId="77777777" w:rsidR="005177C1" w:rsidRPr="004A12A2" w:rsidRDefault="005177C1" w:rsidP="005177C1">
            <w:pPr>
              <w:jc w:val="right"/>
              <w:rPr>
                <w:rFonts w:cs="Arial"/>
                <w:color w:val="000000"/>
                <w:sz w:val="18"/>
                <w:szCs w:val="18"/>
              </w:rPr>
            </w:pPr>
            <w:r w:rsidRPr="004A12A2">
              <w:rPr>
                <w:rFonts w:cs="Arial"/>
                <w:color w:val="000000"/>
                <w:sz w:val="18"/>
                <w:szCs w:val="18"/>
              </w:rPr>
              <w:t>15.367.000</w:t>
            </w:r>
          </w:p>
        </w:tc>
        <w:tc>
          <w:tcPr>
            <w:tcW w:w="832" w:type="pct"/>
            <w:tcBorders>
              <w:top w:val="nil"/>
              <w:left w:val="nil"/>
              <w:bottom w:val="nil"/>
              <w:right w:val="single" w:sz="4" w:space="0" w:color="auto"/>
            </w:tcBorders>
            <w:shd w:val="clear" w:color="auto" w:fill="auto"/>
            <w:noWrap/>
            <w:vAlign w:val="center"/>
            <w:hideMark/>
          </w:tcPr>
          <w:p w14:paraId="06B67A01" w14:textId="77777777" w:rsidR="005177C1" w:rsidRPr="004A12A2" w:rsidRDefault="005177C1" w:rsidP="005177C1">
            <w:pPr>
              <w:jc w:val="right"/>
              <w:rPr>
                <w:rFonts w:cs="Arial"/>
                <w:color w:val="000000"/>
                <w:sz w:val="18"/>
                <w:szCs w:val="18"/>
              </w:rPr>
            </w:pPr>
            <w:r w:rsidRPr="004A12A2">
              <w:rPr>
                <w:rFonts w:cs="Arial"/>
                <w:color w:val="000000"/>
                <w:sz w:val="18"/>
                <w:szCs w:val="18"/>
              </w:rPr>
              <w:t>13.980.203</w:t>
            </w:r>
          </w:p>
        </w:tc>
        <w:tc>
          <w:tcPr>
            <w:tcW w:w="617" w:type="pct"/>
            <w:tcBorders>
              <w:top w:val="nil"/>
              <w:left w:val="nil"/>
              <w:bottom w:val="nil"/>
              <w:right w:val="single" w:sz="4" w:space="0" w:color="auto"/>
            </w:tcBorders>
            <w:vAlign w:val="center"/>
          </w:tcPr>
          <w:p w14:paraId="72ED5E41" w14:textId="50873A62" w:rsidR="005177C1" w:rsidRPr="004A12A2" w:rsidRDefault="005177C1" w:rsidP="005177C1">
            <w:pPr>
              <w:jc w:val="center"/>
              <w:rPr>
                <w:rFonts w:cs="Arial"/>
                <w:color w:val="FF0000"/>
                <w:sz w:val="18"/>
                <w:szCs w:val="18"/>
              </w:rPr>
            </w:pPr>
            <w:r w:rsidRPr="004A12A2">
              <w:rPr>
                <w:rFonts w:cs="Arial"/>
                <w:color w:val="000000"/>
                <w:sz w:val="18"/>
                <w:szCs w:val="18"/>
              </w:rPr>
              <w:t>0,03</w:t>
            </w:r>
          </w:p>
        </w:tc>
        <w:tc>
          <w:tcPr>
            <w:tcW w:w="746" w:type="pct"/>
            <w:tcBorders>
              <w:top w:val="nil"/>
              <w:left w:val="single" w:sz="4" w:space="0" w:color="auto"/>
              <w:bottom w:val="nil"/>
              <w:right w:val="single" w:sz="4" w:space="0" w:color="auto"/>
            </w:tcBorders>
            <w:shd w:val="clear" w:color="auto" w:fill="auto"/>
            <w:noWrap/>
            <w:vAlign w:val="center"/>
            <w:hideMark/>
          </w:tcPr>
          <w:p w14:paraId="217337FB" w14:textId="754854E2" w:rsidR="005177C1" w:rsidRPr="004A12A2" w:rsidRDefault="005177C1" w:rsidP="005177C1">
            <w:pPr>
              <w:jc w:val="right"/>
              <w:rPr>
                <w:rFonts w:cs="Arial"/>
                <w:color w:val="000000"/>
                <w:sz w:val="18"/>
                <w:szCs w:val="18"/>
              </w:rPr>
            </w:pPr>
            <w:r w:rsidRPr="004A12A2">
              <w:rPr>
                <w:rFonts w:cs="Arial"/>
                <w:color w:val="FF0000"/>
                <w:sz w:val="18"/>
                <w:szCs w:val="18"/>
              </w:rPr>
              <w:t>(1.386.797)</w:t>
            </w:r>
          </w:p>
        </w:tc>
        <w:tc>
          <w:tcPr>
            <w:tcW w:w="530" w:type="pct"/>
            <w:tcBorders>
              <w:top w:val="nil"/>
              <w:left w:val="nil"/>
              <w:bottom w:val="nil"/>
            </w:tcBorders>
            <w:shd w:val="clear" w:color="auto" w:fill="auto"/>
            <w:noWrap/>
            <w:vAlign w:val="center"/>
            <w:hideMark/>
          </w:tcPr>
          <w:p w14:paraId="5C3753D3" w14:textId="77777777" w:rsidR="005177C1" w:rsidRPr="004A12A2" w:rsidRDefault="005177C1" w:rsidP="005177C1">
            <w:pPr>
              <w:jc w:val="center"/>
              <w:rPr>
                <w:rFonts w:cs="Arial"/>
                <w:color w:val="000000"/>
                <w:sz w:val="18"/>
                <w:szCs w:val="18"/>
              </w:rPr>
            </w:pPr>
            <w:r w:rsidRPr="004A12A2">
              <w:rPr>
                <w:rFonts w:cs="Arial"/>
                <w:color w:val="FF0000"/>
                <w:sz w:val="18"/>
                <w:szCs w:val="18"/>
              </w:rPr>
              <w:t>(9,02)</w:t>
            </w:r>
          </w:p>
        </w:tc>
      </w:tr>
      <w:tr w:rsidR="005177C1" w:rsidRPr="004A12A2" w14:paraId="706139F8" w14:textId="77777777" w:rsidTr="00854644">
        <w:trPr>
          <w:trHeight w:val="340"/>
        </w:trPr>
        <w:tc>
          <w:tcPr>
            <w:tcW w:w="1442" w:type="pct"/>
            <w:tcBorders>
              <w:top w:val="nil"/>
              <w:left w:val="nil"/>
              <w:bottom w:val="nil"/>
              <w:right w:val="single" w:sz="4" w:space="0" w:color="auto"/>
            </w:tcBorders>
            <w:shd w:val="clear" w:color="auto" w:fill="auto"/>
            <w:noWrap/>
            <w:vAlign w:val="center"/>
            <w:hideMark/>
          </w:tcPr>
          <w:p w14:paraId="0626E402" w14:textId="77777777" w:rsidR="005177C1" w:rsidRPr="004A12A2" w:rsidRDefault="005177C1" w:rsidP="00E813D5">
            <w:pPr>
              <w:ind w:left="73"/>
              <w:jc w:val="left"/>
              <w:rPr>
                <w:rFonts w:cs="Arial"/>
                <w:color w:val="000000"/>
                <w:sz w:val="18"/>
                <w:szCs w:val="18"/>
              </w:rPr>
            </w:pPr>
            <w:r w:rsidRPr="004A12A2">
              <w:rPr>
                <w:rFonts w:cs="Arial"/>
                <w:color w:val="000000"/>
                <w:sz w:val="18"/>
                <w:szCs w:val="18"/>
              </w:rPr>
              <w:t>Transferências de Capital</w:t>
            </w:r>
          </w:p>
        </w:tc>
        <w:tc>
          <w:tcPr>
            <w:tcW w:w="833" w:type="pct"/>
            <w:tcBorders>
              <w:top w:val="nil"/>
              <w:left w:val="nil"/>
              <w:bottom w:val="nil"/>
              <w:right w:val="single" w:sz="4" w:space="0" w:color="auto"/>
            </w:tcBorders>
            <w:shd w:val="clear" w:color="auto" w:fill="auto"/>
            <w:noWrap/>
            <w:vAlign w:val="center"/>
            <w:hideMark/>
          </w:tcPr>
          <w:p w14:paraId="1D05C5E5" w14:textId="77777777" w:rsidR="005177C1" w:rsidRPr="004A12A2" w:rsidRDefault="005177C1" w:rsidP="005177C1">
            <w:pPr>
              <w:jc w:val="right"/>
              <w:rPr>
                <w:rFonts w:cs="Arial"/>
                <w:color w:val="000000"/>
                <w:sz w:val="18"/>
                <w:szCs w:val="18"/>
              </w:rPr>
            </w:pPr>
            <w:r w:rsidRPr="004A12A2">
              <w:rPr>
                <w:rFonts w:cs="Arial"/>
                <w:color w:val="000000"/>
                <w:sz w:val="18"/>
                <w:szCs w:val="18"/>
              </w:rPr>
              <w:t>108.719.490</w:t>
            </w:r>
          </w:p>
        </w:tc>
        <w:tc>
          <w:tcPr>
            <w:tcW w:w="832" w:type="pct"/>
            <w:tcBorders>
              <w:top w:val="nil"/>
              <w:left w:val="nil"/>
              <w:bottom w:val="nil"/>
              <w:right w:val="single" w:sz="4" w:space="0" w:color="auto"/>
            </w:tcBorders>
            <w:shd w:val="clear" w:color="auto" w:fill="auto"/>
            <w:noWrap/>
            <w:vAlign w:val="center"/>
            <w:hideMark/>
          </w:tcPr>
          <w:p w14:paraId="01859945" w14:textId="77777777" w:rsidR="005177C1" w:rsidRPr="004A12A2" w:rsidRDefault="005177C1" w:rsidP="005177C1">
            <w:pPr>
              <w:jc w:val="right"/>
              <w:rPr>
                <w:rFonts w:cs="Arial"/>
                <w:color w:val="000000"/>
                <w:sz w:val="18"/>
                <w:szCs w:val="18"/>
              </w:rPr>
            </w:pPr>
            <w:r w:rsidRPr="004A12A2">
              <w:rPr>
                <w:rFonts w:cs="Arial"/>
                <w:color w:val="000000"/>
                <w:sz w:val="18"/>
                <w:szCs w:val="18"/>
              </w:rPr>
              <w:t>149.504.181</w:t>
            </w:r>
          </w:p>
        </w:tc>
        <w:tc>
          <w:tcPr>
            <w:tcW w:w="617" w:type="pct"/>
            <w:tcBorders>
              <w:top w:val="nil"/>
              <w:left w:val="nil"/>
              <w:bottom w:val="nil"/>
              <w:right w:val="single" w:sz="4" w:space="0" w:color="auto"/>
            </w:tcBorders>
            <w:vAlign w:val="center"/>
          </w:tcPr>
          <w:p w14:paraId="6F24DBF7" w14:textId="6ED7B118" w:rsidR="005177C1" w:rsidRPr="004A12A2" w:rsidRDefault="005177C1" w:rsidP="005177C1">
            <w:pPr>
              <w:jc w:val="center"/>
              <w:rPr>
                <w:rFonts w:cs="Arial"/>
                <w:color w:val="000000"/>
                <w:sz w:val="18"/>
                <w:szCs w:val="18"/>
              </w:rPr>
            </w:pPr>
            <w:r w:rsidRPr="004A12A2">
              <w:rPr>
                <w:rFonts w:cs="Arial"/>
                <w:color w:val="000000"/>
                <w:sz w:val="18"/>
                <w:szCs w:val="18"/>
              </w:rPr>
              <w:t>0,36</w:t>
            </w:r>
          </w:p>
        </w:tc>
        <w:tc>
          <w:tcPr>
            <w:tcW w:w="746" w:type="pct"/>
            <w:tcBorders>
              <w:top w:val="nil"/>
              <w:left w:val="single" w:sz="4" w:space="0" w:color="auto"/>
              <w:bottom w:val="nil"/>
              <w:right w:val="single" w:sz="4" w:space="0" w:color="auto"/>
            </w:tcBorders>
            <w:shd w:val="clear" w:color="auto" w:fill="auto"/>
            <w:noWrap/>
            <w:vAlign w:val="center"/>
            <w:hideMark/>
          </w:tcPr>
          <w:p w14:paraId="7D558C95" w14:textId="1745E312" w:rsidR="005177C1" w:rsidRPr="004A12A2" w:rsidRDefault="005177C1" w:rsidP="005177C1">
            <w:pPr>
              <w:jc w:val="right"/>
              <w:rPr>
                <w:rFonts w:cs="Arial"/>
                <w:color w:val="000000"/>
                <w:sz w:val="18"/>
                <w:szCs w:val="18"/>
              </w:rPr>
            </w:pPr>
            <w:r w:rsidRPr="004A12A2">
              <w:rPr>
                <w:rFonts w:cs="Arial"/>
                <w:color w:val="000000"/>
                <w:sz w:val="18"/>
                <w:szCs w:val="18"/>
              </w:rPr>
              <w:t>40.784.691</w:t>
            </w:r>
          </w:p>
        </w:tc>
        <w:tc>
          <w:tcPr>
            <w:tcW w:w="530" w:type="pct"/>
            <w:tcBorders>
              <w:top w:val="nil"/>
              <w:left w:val="nil"/>
              <w:bottom w:val="nil"/>
            </w:tcBorders>
            <w:shd w:val="clear" w:color="auto" w:fill="auto"/>
            <w:noWrap/>
            <w:vAlign w:val="center"/>
            <w:hideMark/>
          </w:tcPr>
          <w:p w14:paraId="55FF29E3" w14:textId="77777777" w:rsidR="005177C1" w:rsidRPr="004A12A2" w:rsidRDefault="005177C1" w:rsidP="005177C1">
            <w:pPr>
              <w:jc w:val="center"/>
              <w:rPr>
                <w:rFonts w:cs="Arial"/>
                <w:color w:val="000000"/>
                <w:sz w:val="18"/>
                <w:szCs w:val="18"/>
              </w:rPr>
            </w:pPr>
            <w:r w:rsidRPr="004A12A2">
              <w:rPr>
                <w:rFonts w:cs="Arial"/>
                <w:color w:val="000000"/>
                <w:sz w:val="18"/>
                <w:szCs w:val="18"/>
              </w:rPr>
              <w:t>37,51</w:t>
            </w:r>
          </w:p>
        </w:tc>
      </w:tr>
      <w:tr w:rsidR="005177C1" w:rsidRPr="004A12A2" w14:paraId="71139329" w14:textId="77777777" w:rsidTr="00854644">
        <w:trPr>
          <w:trHeight w:val="340"/>
        </w:trPr>
        <w:tc>
          <w:tcPr>
            <w:tcW w:w="1442" w:type="pct"/>
            <w:tcBorders>
              <w:top w:val="nil"/>
              <w:left w:val="nil"/>
              <w:bottom w:val="nil"/>
              <w:right w:val="single" w:sz="4" w:space="0" w:color="auto"/>
            </w:tcBorders>
            <w:shd w:val="clear" w:color="auto" w:fill="auto"/>
            <w:noWrap/>
            <w:vAlign w:val="center"/>
            <w:hideMark/>
          </w:tcPr>
          <w:p w14:paraId="5CF9C0E0" w14:textId="77777777" w:rsidR="005177C1" w:rsidRPr="004A12A2" w:rsidRDefault="005177C1" w:rsidP="00E813D5">
            <w:pPr>
              <w:ind w:left="73"/>
              <w:jc w:val="left"/>
              <w:rPr>
                <w:rFonts w:cs="Arial"/>
                <w:color w:val="000000"/>
                <w:sz w:val="18"/>
                <w:szCs w:val="18"/>
              </w:rPr>
            </w:pPr>
            <w:r w:rsidRPr="004A12A2">
              <w:rPr>
                <w:rFonts w:cs="Arial"/>
                <w:color w:val="000000"/>
                <w:sz w:val="18"/>
                <w:szCs w:val="18"/>
              </w:rPr>
              <w:t>Outras Receitas de Capital</w:t>
            </w:r>
          </w:p>
        </w:tc>
        <w:tc>
          <w:tcPr>
            <w:tcW w:w="833" w:type="pct"/>
            <w:tcBorders>
              <w:top w:val="nil"/>
              <w:left w:val="nil"/>
              <w:bottom w:val="nil"/>
              <w:right w:val="single" w:sz="4" w:space="0" w:color="auto"/>
            </w:tcBorders>
            <w:shd w:val="clear" w:color="auto" w:fill="auto"/>
            <w:noWrap/>
            <w:vAlign w:val="center"/>
            <w:hideMark/>
          </w:tcPr>
          <w:p w14:paraId="74692CDC" w14:textId="77777777" w:rsidR="005177C1" w:rsidRPr="004A12A2" w:rsidRDefault="005177C1" w:rsidP="005177C1">
            <w:pPr>
              <w:jc w:val="right"/>
              <w:rPr>
                <w:rFonts w:cs="Arial"/>
                <w:color w:val="000000"/>
                <w:sz w:val="18"/>
                <w:szCs w:val="18"/>
              </w:rPr>
            </w:pPr>
            <w:r w:rsidRPr="004A12A2">
              <w:rPr>
                <w:rFonts w:cs="Arial"/>
                <w:color w:val="000000"/>
                <w:sz w:val="18"/>
                <w:szCs w:val="18"/>
              </w:rPr>
              <w:t>13.727.000</w:t>
            </w:r>
          </w:p>
        </w:tc>
        <w:tc>
          <w:tcPr>
            <w:tcW w:w="832" w:type="pct"/>
            <w:tcBorders>
              <w:top w:val="nil"/>
              <w:left w:val="nil"/>
              <w:bottom w:val="nil"/>
              <w:right w:val="single" w:sz="4" w:space="0" w:color="auto"/>
            </w:tcBorders>
            <w:shd w:val="clear" w:color="auto" w:fill="auto"/>
            <w:noWrap/>
            <w:vAlign w:val="center"/>
            <w:hideMark/>
          </w:tcPr>
          <w:p w14:paraId="01EAEBD0" w14:textId="77777777" w:rsidR="005177C1" w:rsidRPr="004A12A2" w:rsidRDefault="005177C1" w:rsidP="005177C1">
            <w:pPr>
              <w:jc w:val="right"/>
              <w:rPr>
                <w:rFonts w:cs="Arial"/>
                <w:color w:val="000000"/>
                <w:sz w:val="18"/>
                <w:szCs w:val="18"/>
              </w:rPr>
            </w:pPr>
            <w:r w:rsidRPr="004A12A2">
              <w:rPr>
                <w:rFonts w:cs="Arial"/>
                <w:color w:val="000000"/>
                <w:sz w:val="18"/>
                <w:szCs w:val="18"/>
              </w:rPr>
              <w:t>120.050</w:t>
            </w:r>
          </w:p>
        </w:tc>
        <w:tc>
          <w:tcPr>
            <w:tcW w:w="617" w:type="pct"/>
            <w:tcBorders>
              <w:top w:val="nil"/>
              <w:left w:val="nil"/>
              <w:bottom w:val="nil"/>
              <w:right w:val="single" w:sz="4" w:space="0" w:color="auto"/>
            </w:tcBorders>
            <w:vAlign w:val="center"/>
          </w:tcPr>
          <w:p w14:paraId="43143E8C" w14:textId="63B1CA58" w:rsidR="005177C1" w:rsidRPr="004A12A2" w:rsidRDefault="005177C1" w:rsidP="005177C1">
            <w:pPr>
              <w:jc w:val="center"/>
              <w:rPr>
                <w:rFonts w:cs="Arial"/>
                <w:color w:val="FF0000"/>
                <w:sz w:val="18"/>
                <w:szCs w:val="18"/>
              </w:rPr>
            </w:pPr>
            <w:r w:rsidRPr="004A12A2">
              <w:rPr>
                <w:rFonts w:cs="Arial"/>
                <w:color w:val="000000"/>
                <w:sz w:val="18"/>
                <w:szCs w:val="18"/>
              </w:rPr>
              <w:t>0,00</w:t>
            </w:r>
          </w:p>
        </w:tc>
        <w:tc>
          <w:tcPr>
            <w:tcW w:w="746" w:type="pct"/>
            <w:tcBorders>
              <w:top w:val="nil"/>
              <w:left w:val="single" w:sz="4" w:space="0" w:color="auto"/>
              <w:bottom w:val="nil"/>
              <w:right w:val="single" w:sz="4" w:space="0" w:color="auto"/>
            </w:tcBorders>
            <w:shd w:val="clear" w:color="auto" w:fill="auto"/>
            <w:noWrap/>
            <w:vAlign w:val="center"/>
            <w:hideMark/>
          </w:tcPr>
          <w:p w14:paraId="2C652FA7" w14:textId="741775EF" w:rsidR="005177C1" w:rsidRPr="004A12A2" w:rsidRDefault="005177C1" w:rsidP="005177C1">
            <w:pPr>
              <w:jc w:val="right"/>
              <w:rPr>
                <w:rFonts w:cs="Arial"/>
                <w:color w:val="000000"/>
                <w:sz w:val="18"/>
                <w:szCs w:val="18"/>
              </w:rPr>
            </w:pPr>
            <w:r w:rsidRPr="004A12A2">
              <w:rPr>
                <w:rFonts w:cs="Arial"/>
                <w:color w:val="FF0000"/>
                <w:sz w:val="18"/>
                <w:szCs w:val="18"/>
              </w:rPr>
              <w:t>(13.606.950)</w:t>
            </w:r>
          </w:p>
        </w:tc>
        <w:tc>
          <w:tcPr>
            <w:tcW w:w="530" w:type="pct"/>
            <w:tcBorders>
              <w:top w:val="nil"/>
              <w:left w:val="nil"/>
              <w:bottom w:val="nil"/>
            </w:tcBorders>
            <w:shd w:val="clear" w:color="auto" w:fill="auto"/>
            <w:noWrap/>
            <w:vAlign w:val="center"/>
            <w:hideMark/>
          </w:tcPr>
          <w:p w14:paraId="40E1F023" w14:textId="77777777" w:rsidR="005177C1" w:rsidRPr="004A12A2" w:rsidRDefault="005177C1" w:rsidP="005177C1">
            <w:pPr>
              <w:jc w:val="center"/>
              <w:rPr>
                <w:rFonts w:cs="Arial"/>
                <w:color w:val="000000"/>
                <w:sz w:val="18"/>
                <w:szCs w:val="18"/>
              </w:rPr>
            </w:pPr>
            <w:r w:rsidRPr="004A12A2">
              <w:rPr>
                <w:rFonts w:cs="Arial"/>
                <w:color w:val="FF0000"/>
                <w:sz w:val="18"/>
                <w:szCs w:val="18"/>
              </w:rPr>
              <w:t>(99,13)</w:t>
            </w:r>
          </w:p>
        </w:tc>
      </w:tr>
      <w:tr w:rsidR="005177C1" w:rsidRPr="004A12A2" w14:paraId="09AE9382" w14:textId="77777777" w:rsidTr="00854644">
        <w:trPr>
          <w:trHeight w:val="340"/>
        </w:trPr>
        <w:tc>
          <w:tcPr>
            <w:tcW w:w="1442" w:type="pct"/>
            <w:tcBorders>
              <w:top w:val="single" w:sz="4" w:space="0" w:color="auto"/>
              <w:left w:val="nil"/>
              <w:bottom w:val="single" w:sz="4" w:space="0" w:color="auto"/>
              <w:right w:val="single" w:sz="4" w:space="0" w:color="auto"/>
            </w:tcBorders>
            <w:shd w:val="clear" w:color="auto" w:fill="auto"/>
            <w:noWrap/>
            <w:vAlign w:val="center"/>
            <w:hideMark/>
          </w:tcPr>
          <w:p w14:paraId="17017073" w14:textId="77777777" w:rsidR="005177C1" w:rsidRPr="004A12A2" w:rsidRDefault="005177C1" w:rsidP="005177C1">
            <w:pPr>
              <w:jc w:val="center"/>
              <w:rPr>
                <w:rFonts w:cs="Arial"/>
                <w:b/>
                <w:bCs/>
                <w:color w:val="000000"/>
                <w:sz w:val="18"/>
                <w:szCs w:val="18"/>
              </w:rPr>
            </w:pPr>
            <w:r w:rsidRPr="004A12A2">
              <w:rPr>
                <w:rFonts w:cs="Arial"/>
                <w:b/>
                <w:bCs/>
                <w:color w:val="000000"/>
                <w:sz w:val="18"/>
                <w:szCs w:val="18"/>
              </w:rPr>
              <w:t>Total</w:t>
            </w:r>
          </w:p>
        </w:tc>
        <w:tc>
          <w:tcPr>
            <w:tcW w:w="833" w:type="pct"/>
            <w:tcBorders>
              <w:top w:val="single" w:sz="4" w:space="0" w:color="auto"/>
              <w:left w:val="nil"/>
              <w:bottom w:val="single" w:sz="4" w:space="0" w:color="auto"/>
              <w:right w:val="single" w:sz="4" w:space="0" w:color="auto"/>
            </w:tcBorders>
            <w:shd w:val="clear" w:color="auto" w:fill="auto"/>
            <w:noWrap/>
            <w:vAlign w:val="center"/>
            <w:hideMark/>
          </w:tcPr>
          <w:p w14:paraId="2D43BCA0" w14:textId="77777777" w:rsidR="005177C1" w:rsidRPr="004A12A2" w:rsidRDefault="005177C1" w:rsidP="005177C1">
            <w:pPr>
              <w:jc w:val="right"/>
              <w:rPr>
                <w:rFonts w:cs="Arial"/>
                <w:b/>
                <w:bCs/>
                <w:color w:val="000000"/>
                <w:sz w:val="18"/>
                <w:szCs w:val="18"/>
              </w:rPr>
            </w:pPr>
            <w:r w:rsidRPr="004A12A2">
              <w:rPr>
                <w:rFonts w:cs="Arial"/>
                <w:b/>
                <w:bCs/>
                <w:color w:val="000000"/>
                <w:sz w:val="18"/>
                <w:szCs w:val="18"/>
              </w:rPr>
              <w:t>40.956.132.484</w:t>
            </w:r>
          </w:p>
        </w:tc>
        <w:tc>
          <w:tcPr>
            <w:tcW w:w="832" w:type="pct"/>
            <w:tcBorders>
              <w:top w:val="single" w:sz="4" w:space="0" w:color="auto"/>
              <w:left w:val="nil"/>
              <w:bottom w:val="single" w:sz="4" w:space="0" w:color="auto"/>
              <w:right w:val="single" w:sz="4" w:space="0" w:color="auto"/>
            </w:tcBorders>
            <w:shd w:val="clear" w:color="auto" w:fill="auto"/>
            <w:noWrap/>
            <w:vAlign w:val="center"/>
            <w:hideMark/>
          </w:tcPr>
          <w:p w14:paraId="1AA81F98" w14:textId="77777777" w:rsidR="005177C1" w:rsidRPr="004A12A2" w:rsidRDefault="005177C1" w:rsidP="005177C1">
            <w:pPr>
              <w:jc w:val="right"/>
              <w:rPr>
                <w:rFonts w:cs="Arial"/>
                <w:b/>
                <w:bCs/>
                <w:color w:val="000000"/>
                <w:sz w:val="18"/>
                <w:szCs w:val="18"/>
              </w:rPr>
            </w:pPr>
            <w:r w:rsidRPr="004A12A2">
              <w:rPr>
                <w:rFonts w:cs="Arial"/>
                <w:b/>
                <w:bCs/>
                <w:color w:val="000000"/>
                <w:sz w:val="18"/>
                <w:szCs w:val="18"/>
              </w:rPr>
              <w:t>41.984.711.516</w:t>
            </w:r>
          </w:p>
        </w:tc>
        <w:tc>
          <w:tcPr>
            <w:tcW w:w="617" w:type="pct"/>
            <w:tcBorders>
              <w:top w:val="single" w:sz="4" w:space="0" w:color="auto"/>
              <w:left w:val="nil"/>
              <w:bottom w:val="single" w:sz="4" w:space="0" w:color="auto"/>
              <w:right w:val="single" w:sz="4" w:space="0" w:color="auto"/>
            </w:tcBorders>
            <w:vAlign w:val="center"/>
          </w:tcPr>
          <w:p w14:paraId="581073AB" w14:textId="36AC9013" w:rsidR="005177C1" w:rsidRPr="004A12A2" w:rsidRDefault="005177C1" w:rsidP="005177C1">
            <w:pPr>
              <w:jc w:val="center"/>
              <w:rPr>
                <w:rFonts w:cs="Arial"/>
                <w:b/>
                <w:bCs/>
                <w:color w:val="000000"/>
                <w:sz w:val="18"/>
                <w:szCs w:val="18"/>
              </w:rPr>
            </w:pPr>
            <w:r w:rsidRPr="004A12A2">
              <w:rPr>
                <w:rFonts w:cs="Arial"/>
                <w:b/>
                <w:bCs/>
                <w:color w:val="000000"/>
                <w:sz w:val="18"/>
                <w:szCs w:val="18"/>
              </w:rPr>
              <w:t>100,00</w:t>
            </w:r>
          </w:p>
        </w:tc>
        <w:tc>
          <w:tcPr>
            <w:tcW w:w="74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D0B90D" w14:textId="7AB049E9" w:rsidR="005177C1" w:rsidRPr="004A12A2" w:rsidRDefault="005177C1" w:rsidP="005177C1">
            <w:pPr>
              <w:jc w:val="right"/>
              <w:rPr>
                <w:rFonts w:cs="Arial"/>
                <w:b/>
                <w:bCs/>
                <w:color w:val="000000"/>
                <w:sz w:val="18"/>
                <w:szCs w:val="18"/>
              </w:rPr>
            </w:pPr>
            <w:r w:rsidRPr="004A12A2">
              <w:rPr>
                <w:rFonts w:cs="Arial"/>
                <w:b/>
                <w:bCs/>
                <w:color w:val="000000"/>
                <w:sz w:val="18"/>
                <w:szCs w:val="18"/>
              </w:rPr>
              <w:t>1.028.579.032</w:t>
            </w:r>
          </w:p>
        </w:tc>
        <w:tc>
          <w:tcPr>
            <w:tcW w:w="530" w:type="pct"/>
            <w:tcBorders>
              <w:top w:val="single" w:sz="4" w:space="0" w:color="auto"/>
              <w:left w:val="nil"/>
              <w:bottom w:val="single" w:sz="4" w:space="0" w:color="auto"/>
            </w:tcBorders>
            <w:shd w:val="clear" w:color="auto" w:fill="auto"/>
            <w:noWrap/>
            <w:vAlign w:val="center"/>
            <w:hideMark/>
          </w:tcPr>
          <w:p w14:paraId="6857EF5A" w14:textId="77777777" w:rsidR="005177C1" w:rsidRPr="004A12A2" w:rsidRDefault="005177C1" w:rsidP="005177C1">
            <w:pPr>
              <w:jc w:val="center"/>
              <w:rPr>
                <w:rFonts w:cs="Arial"/>
                <w:b/>
                <w:bCs/>
                <w:color w:val="000000"/>
                <w:sz w:val="18"/>
                <w:szCs w:val="18"/>
              </w:rPr>
            </w:pPr>
            <w:r w:rsidRPr="004A12A2">
              <w:rPr>
                <w:rFonts w:cs="Arial"/>
                <w:b/>
                <w:bCs/>
                <w:color w:val="000000"/>
                <w:sz w:val="18"/>
                <w:szCs w:val="18"/>
              </w:rPr>
              <w:t>2,51</w:t>
            </w:r>
          </w:p>
        </w:tc>
      </w:tr>
    </w:tbl>
    <w:p w14:paraId="095DA225" w14:textId="77777777" w:rsidR="00A96988" w:rsidRPr="00333D34" w:rsidRDefault="00A96988" w:rsidP="00EF01A1">
      <w:pPr>
        <w:pStyle w:val="1-FONTE8ESQ"/>
        <w:rPr>
          <w:rStyle w:val="Forte"/>
          <w:b w:val="0"/>
          <w:bCs w:val="0"/>
        </w:rPr>
      </w:pPr>
      <w:r>
        <w:rPr>
          <w:rStyle w:val="Forte"/>
          <w:b w:val="0"/>
          <w:bCs w:val="0"/>
        </w:rPr>
        <w:t>Font</w:t>
      </w:r>
      <w:r w:rsidRPr="00333D34">
        <w:rPr>
          <w:rStyle w:val="Forte"/>
          <w:b w:val="0"/>
          <w:bCs w:val="0"/>
        </w:rPr>
        <w:t xml:space="preserve">e: </w:t>
      </w:r>
      <w:r>
        <w:rPr>
          <w:rStyle w:val="Forte"/>
          <w:b w:val="0"/>
          <w:bCs w:val="0"/>
        </w:rPr>
        <w:t>Balanço Orçamentário – Anexo 12 (BGE 2023)</w:t>
      </w:r>
    </w:p>
    <w:p w14:paraId="68221698" w14:textId="77777777" w:rsidR="00A96988" w:rsidRDefault="00A96988" w:rsidP="00A96988">
      <w:pPr>
        <w:pStyle w:val="1-REL11"/>
      </w:pPr>
      <w:r w:rsidRPr="00116556">
        <w:t>Apenas as Receitas Correntes apresentaram desempenho nominal positivo em relação ao excesso de arrecadação verificado, com destaque para as receitas de origem Patrimonial, Transferências Correntes e Outras Receitas Correntes.</w:t>
      </w:r>
    </w:p>
    <w:p w14:paraId="7EC9A50C" w14:textId="77777777" w:rsidR="00A96988" w:rsidRDefault="00A96988" w:rsidP="00A96988">
      <w:pPr>
        <w:pStyle w:val="1-REL11"/>
      </w:pPr>
      <w:r w:rsidRPr="00116556">
        <w:t>Em termos percentuais, o destaque ficou para a receita corrente Patrimonial, que performou 81,55% acima do valor previsto para o exercício, influenciada basicamente pelos rendimentos de aplicações financeiras dos recursos estaduais.</w:t>
      </w:r>
    </w:p>
    <w:p w14:paraId="18CDC9C7" w14:textId="77777777" w:rsidR="00A96988" w:rsidRDefault="00A96988" w:rsidP="00A96988">
      <w:pPr>
        <w:pStyle w:val="1-REL11"/>
      </w:pPr>
      <w:r w:rsidRPr="00116556">
        <w:t>Registra-se que o baixo resultado na rubrica receita de Serviços é justificada pelo fato de que, a partir d</w:t>
      </w:r>
      <w:r>
        <w:t>a competência 05</w:t>
      </w:r>
      <w:r w:rsidRPr="00116556">
        <w:t xml:space="preserve">/2023, as receitas oriundas do </w:t>
      </w:r>
      <w:r w:rsidRPr="00DE00AC">
        <w:rPr>
          <w:rFonts w:cs="Arial"/>
        </w:rPr>
        <w:t>Instituto de Assistência dos Servidores Públicos do Estado de Goiás</w:t>
      </w:r>
      <w:r>
        <w:rPr>
          <w:rFonts w:cs="Arial"/>
        </w:rPr>
        <w:t xml:space="preserve"> (</w:t>
      </w:r>
      <w:r w:rsidRPr="001538CC">
        <w:t>Ipasgo</w:t>
      </w:r>
      <w:r>
        <w:t>)</w:t>
      </w:r>
      <w:r w:rsidRPr="00116556">
        <w:t xml:space="preserve"> deixaram de fazer parte da arrecadação estadual.</w:t>
      </w:r>
    </w:p>
    <w:p w14:paraId="29C29A0E" w14:textId="77777777" w:rsidR="00A96988" w:rsidRDefault="00A96988" w:rsidP="00A96988">
      <w:pPr>
        <w:pStyle w:val="1-REL11"/>
      </w:pPr>
      <w:r w:rsidRPr="00116556">
        <w:t>Em relação às Transferências Correntes, praticamente a totalidade arrecada</w:t>
      </w:r>
      <w:r>
        <w:t>da</w:t>
      </w:r>
      <w:r w:rsidRPr="00116556">
        <w:t xml:space="preserve"> foi oriunda de recursos repassados pela União e suas </w:t>
      </w:r>
      <w:r w:rsidRPr="00256D53">
        <w:t>entidades (Fundeb, FPE, SUS,</w:t>
      </w:r>
      <w:r w:rsidRPr="00116556">
        <w:t xml:space="preserve"> etc.).</w:t>
      </w:r>
    </w:p>
    <w:p w14:paraId="299CDEDC" w14:textId="77777777" w:rsidR="00A96988" w:rsidRDefault="00A96988" w:rsidP="00A96988">
      <w:pPr>
        <w:pStyle w:val="1-REL11"/>
      </w:pPr>
      <w:r w:rsidRPr="00116556">
        <w:lastRenderedPageBreak/>
        <w:t xml:space="preserve">Quanto a origem Outras Receitas Correntes, destacaram-se os recursos arrecadados por meio das contribuições ao </w:t>
      </w:r>
      <w:r w:rsidRPr="00282B83">
        <w:t>Fundo de Proteção Social do Estado de Goiás (Protege Goiás) e ao Fundo Estadual de Infraestrutura (Fundeinfra).</w:t>
      </w:r>
    </w:p>
    <w:p w14:paraId="021E5440" w14:textId="141EC956" w:rsidR="00A96988" w:rsidRDefault="00A96988" w:rsidP="00A96988">
      <w:pPr>
        <w:pStyle w:val="1-REL11"/>
      </w:pPr>
      <w:r>
        <w:t>Já a respeito do desempenho das Receitas de Capital, destaca-se a frustação da arrecadação apresentada na rubrica Alienação de Bens, em que estavam previstas receitas com alienação de bens imóveis remanescentes de empresas em liquidação, bem como na rubrica Outras Receitas de Capital, também relacionadas com a expectativa de receitas oriundas de demais ativos remanescentes de empresas em liquidação.</w:t>
      </w:r>
    </w:p>
    <w:p w14:paraId="6092C2CF" w14:textId="77777777" w:rsidR="00A96988" w:rsidRDefault="00A96988" w:rsidP="00A96988">
      <w:pPr>
        <w:pStyle w:val="1-REL11"/>
      </w:pPr>
      <w:r>
        <w:t>O gráfico a seguir demonstra a parcela de participação de cada origem da receita:</w:t>
      </w:r>
    </w:p>
    <w:p w14:paraId="79487BCE" w14:textId="77777777" w:rsidR="00A96988" w:rsidRPr="004E53C7" w:rsidRDefault="00A96988" w:rsidP="000017B5">
      <w:pPr>
        <w:pStyle w:val="0-GRFICO"/>
      </w:pPr>
      <w:bookmarkStart w:id="66" w:name="_Toc167825097"/>
      <w:r w:rsidRPr="004E53C7">
        <w:t xml:space="preserve">Representação das Receitas </w:t>
      </w:r>
      <w:r>
        <w:t>por</w:t>
      </w:r>
      <w:r w:rsidRPr="004E53C7">
        <w:t xml:space="preserve"> Origem</w:t>
      </w:r>
      <w:bookmarkEnd w:id="66"/>
      <w:r w:rsidRPr="004E53C7">
        <w:t xml:space="preserve"> </w:t>
      </w:r>
    </w:p>
    <w:p w14:paraId="6CC2814C" w14:textId="77777777" w:rsidR="00A96988" w:rsidRDefault="00A96988" w:rsidP="00854644">
      <w:pPr>
        <w:pStyle w:val="1-REL11"/>
        <w:jc w:val="center"/>
        <w:rPr>
          <w:highlight w:val="yellow"/>
        </w:rPr>
      </w:pPr>
      <w:r>
        <w:rPr>
          <w:noProof/>
        </w:rPr>
        <w:drawing>
          <wp:inline distT="0" distB="0" distL="0" distR="0" wp14:anchorId="5634EE58" wp14:editId="2EB1B856">
            <wp:extent cx="5969000" cy="3832529"/>
            <wp:effectExtent l="0" t="0" r="146050" b="149225"/>
            <wp:docPr id="33" name="Gráfico 33">
              <a:extLst xmlns:a="http://schemas.openxmlformats.org/drawingml/2006/main">
                <a:ext uri="{FF2B5EF4-FFF2-40B4-BE49-F238E27FC236}">
                  <a16:creationId xmlns:a16="http://schemas.microsoft.com/office/drawing/2014/main" id="{98F43657-3B48-4A6E-B1F5-E2757F31456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7CE73D5D" w14:textId="77777777" w:rsidR="00A96988" w:rsidRPr="004E53C7" w:rsidRDefault="00A96988" w:rsidP="00EF01A1">
      <w:pPr>
        <w:pStyle w:val="1-FNT-GRAFICO"/>
      </w:pPr>
      <w:r w:rsidRPr="004E53C7">
        <w:t xml:space="preserve">Fonte: </w:t>
      </w:r>
      <w:r>
        <w:rPr>
          <w:rStyle w:val="Forte"/>
          <w:b w:val="0"/>
          <w:bCs w:val="0"/>
        </w:rPr>
        <w:t>Balanço Orçamentário – Anexo 12 (BGE 2023)</w:t>
      </w:r>
    </w:p>
    <w:p w14:paraId="0584C396" w14:textId="77777777" w:rsidR="00854644" w:rsidRDefault="00854644" w:rsidP="00A96988">
      <w:pPr>
        <w:pStyle w:val="1-REL11"/>
      </w:pPr>
    </w:p>
    <w:p w14:paraId="4E2A0342" w14:textId="05CC311C" w:rsidR="00A96988" w:rsidRPr="003C743D" w:rsidRDefault="00A96988" w:rsidP="00A96988">
      <w:pPr>
        <w:pStyle w:val="1-REL11"/>
        <w:rPr>
          <w:highlight w:val="yellow"/>
        </w:rPr>
      </w:pPr>
      <w:r w:rsidRPr="003C743D">
        <w:t>Já o gráfico abaixo demonstra a representação dessas fontes de recursos, dando ênfase em suas principais espécies da receita:</w:t>
      </w:r>
      <w:r w:rsidR="002D295F">
        <w:t xml:space="preserve"> </w:t>
      </w:r>
    </w:p>
    <w:p w14:paraId="3CCBD929" w14:textId="77777777" w:rsidR="00A96988" w:rsidRPr="003C743D" w:rsidRDefault="00A96988" w:rsidP="000E3D93">
      <w:pPr>
        <w:pStyle w:val="0-GRFICO"/>
      </w:pPr>
      <w:bookmarkStart w:id="67" w:name="_Toc167825098"/>
      <w:r w:rsidRPr="003C743D">
        <w:lastRenderedPageBreak/>
        <w:t>Representação da Receita</w:t>
      </w:r>
      <w:r w:rsidRPr="00C200DB">
        <w:t xml:space="preserve"> </w:t>
      </w:r>
      <w:r>
        <w:t>por</w:t>
      </w:r>
      <w:r w:rsidRPr="003C743D">
        <w:t xml:space="preserve"> Espécies</w:t>
      </w:r>
      <w:bookmarkEnd w:id="67"/>
    </w:p>
    <w:p w14:paraId="66DFEFA1" w14:textId="421C9611" w:rsidR="00A96988" w:rsidRPr="004A76BE" w:rsidRDefault="00A96988" w:rsidP="00EF01A1">
      <w:pPr>
        <w:pStyle w:val="1-FNT-GRAFICO"/>
      </w:pPr>
      <w:r>
        <w:rPr>
          <w:noProof/>
        </w:rPr>
        <w:drawing>
          <wp:inline distT="0" distB="0" distL="0" distR="0" wp14:anchorId="256183B4" wp14:editId="605C0596">
            <wp:extent cx="5897715" cy="2997200"/>
            <wp:effectExtent l="0" t="0" r="160655" b="146050"/>
            <wp:docPr id="34" name="Gráfico 34">
              <a:extLst xmlns:a="http://schemas.openxmlformats.org/drawingml/2006/main">
                <a:ext uri="{FF2B5EF4-FFF2-40B4-BE49-F238E27FC236}">
                  <a16:creationId xmlns:a16="http://schemas.microsoft.com/office/drawing/2014/main" id="{F273DF90-FE8C-42EB-9ED4-957A8ADC263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r w:rsidRPr="004A76BE">
        <w:t>Fonte</w:t>
      </w:r>
      <w:r w:rsidRPr="00AD4D3B">
        <w:t xml:space="preserve">: </w:t>
      </w:r>
      <w:r w:rsidR="00E613B8" w:rsidRPr="004A76BE">
        <w:t xml:space="preserve">Comparativo da Receita Orçada com a Realizada </w:t>
      </w:r>
      <w:r w:rsidR="00E613B8" w:rsidRPr="004A76BE">
        <w:rPr>
          <w:rStyle w:val="Forte"/>
          <w:b w:val="0"/>
          <w:bCs w:val="0"/>
          <w:i/>
        </w:rPr>
        <w:t xml:space="preserve"> – </w:t>
      </w:r>
      <w:r w:rsidRPr="004A76BE">
        <w:t>Anexo 10 (BGE 2023)</w:t>
      </w:r>
    </w:p>
    <w:p w14:paraId="37F8D785" w14:textId="77777777" w:rsidR="00A96988" w:rsidRDefault="00A96988" w:rsidP="00A96988">
      <w:pPr>
        <w:pStyle w:val="1-REL11"/>
        <w:rPr>
          <w:highlight w:val="yellow"/>
        </w:rPr>
      </w:pPr>
      <w:r>
        <w:t>A seguir, apresenta-se uma comparação da arrecadação estadual nos exercícios de 2021 a 2023:</w:t>
      </w:r>
    </w:p>
    <w:p w14:paraId="6070CF99" w14:textId="77777777" w:rsidR="00A96988" w:rsidRPr="000151AC" w:rsidRDefault="00A96988" w:rsidP="006E2785">
      <w:pPr>
        <w:pStyle w:val="0-GRFICO"/>
      </w:pPr>
      <w:bookmarkStart w:id="68" w:name="_Toc167825099"/>
      <w:r w:rsidRPr="000151AC">
        <w:t>Receita Arrecadada – Últimos 3 Exercícios</w:t>
      </w:r>
      <w:bookmarkEnd w:id="68"/>
    </w:p>
    <w:p w14:paraId="3B3979D1" w14:textId="09EC6A92" w:rsidR="00A96988" w:rsidRPr="00A64C93" w:rsidRDefault="00A96988" w:rsidP="00EF01A1">
      <w:pPr>
        <w:pStyle w:val="1-FNT-GRAFICO"/>
        <w:rPr>
          <w:highlight w:val="yellow"/>
        </w:rPr>
      </w:pPr>
      <w:r>
        <w:rPr>
          <w:noProof/>
        </w:rPr>
        <w:drawing>
          <wp:inline distT="0" distB="0" distL="0" distR="0" wp14:anchorId="7146A33B" wp14:editId="7615087F">
            <wp:extent cx="5931535" cy="2681785"/>
            <wp:effectExtent l="0" t="0" r="145415" b="156845"/>
            <wp:docPr id="35" name="Gráfico 35">
              <a:extLst xmlns:a="http://schemas.openxmlformats.org/drawingml/2006/main">
                <a:ext uri="{FF2B5EF4-FFF2-40B4-BE49-F238E27FC236}">
                  <a16:creationId xmlns:a16="http://schemas.microsoft.com/office/drawing/2014/main" id="{237B4FCD-A46C-4F81-A3C1-A58ED1BEDA1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r w:rsidRPr="004E53C7">
        <w:t xml:space="preserve">Fonte: </w:t>
      </w:r>
      <w:r w:rsidRPr="00862E98">
        <w:rPr>
          <w:i/>
        </w:rPr>
        <w:t>Business Objects</w:t>
      </w:r>
    </w:p>
    <w:p w14:paraId="27032676" w14:textId="77777777" w:rsidR="00A96988" w:rsidRDefault="00A96988" w:rsidP="00A96988">
      <w:pPr>
        <w:pStyle w:val="1-REL11"/>
        <w:rPr>
          <w:highlight w:val="yellow"/>
        </w:rPr>
      </w:pPr>
      <w:r>
        <w:lastRenderedPageBreak/>
        <w:t>O 5º e 6º bimestres apresentaram a maior arrecadação nominal em 2023, revertendo o comportamento de desaceleração observado no 3º e 4º bimestres do mesmo exercício. Apesar disso, a arrecadação de 2023 foi 3,48% inferior à realizada em 2022.</w:t>
      </w:r>
    </w:p>
    <w:p w14:paraId="3EE7470C" w14:textId="77777777" w:rsidR="00A96988" w:rsidRDefault="00A96988" w:rsidP="00A96988">
      <w:pPr>
        <w:pStyle w:val="1-REL11"/>
        <w:rPr>
          <w:highlight w:val="yellow"/>
        </w:rPr>
      </w:pPr>
      <w:r>
        <w:t>A arrecadação estadual por Poder/Órgão Autônomo, em 2023, apresentou o seguinte desempenho:</w:t>
      </w:r>
    </w:p>
    <w:p w14:paraId="499D6A74" w14:textId="77777777" w:rsidR="00A96988" w:rsidRPr="00677853" w:rsidRDefault="00A96988" w:rsidP="00ED3571">
      <w:pPr>
        <w:pStyle w:val="0-TABELA"/>
      </w:pPr>
      <w:bookmarkStart w:id="69" w:name="_Toc167871733"/>
      <w:r w:rsidRPr="00677853">
        <w:t>Resultado da Arrecadação por Poder/Órgão Autônomo</w:t>
      </w:r>
      <w:bookmarkEnd w:id="69"/>
    </w:p>
    <w:p w14:paraId="3709CED7" w14:textId="77777777" w:rsidR="00A96988" w:rsidRPr="00A2457F" w:rsidRDefault="00A96988" w:rsidP="00A96988">
      <w:pPr>
        <w:pStyle w:val="0-EmR1"/>
        <w:rPr>
          <w:highlight w:val="yellow"/>
        </w:rPr>
      </w:pPr>
      <w:r w:rsidRPr="00333D34">
        <w:t>R$ 1</w:t>
      </w:r>
    </w:p>
    <w:tbl>
      <w:tblPr>
        <w:tblW w:w="5000" w:type="pct"/>
        <w:tblLayout w:type="fixed"/>
        <w:tblCellMar>
          <w:left w:w="70" w:type="dxa"/>
          <w:right w:w="70" w:type="dxa"/>
        </w:tblCellMar>
        <w:tblLook w:val="04A0" w:firstRow="1" w:lastRow="0" w:firstColumn="1" w:lastColumn="0" w:noHBand="0" w:noVBand="1"/>
      </w:tblPr>
      <w:tblGrid>
        <w:gridCol w:w="2974"/>
        <w:gridCol w:w="1418"/>
        <w:gridCol w:w="1418"/>
        <w:gridCol w:w="1135"/>
        <w:gridCol w:w="1276"/>
        <w:gridCol w:w="1132"/>
      </w:tblGrid>
      <w:tr w:rsidR="005177C1" w:rsidRPr="00A2457F" w14:paraId="5AC66882" w14:textId="1D2CE1EC" w:rsidTr="00854644">
        <w:trPr>
          <w:trHeight w:val="284"/>
          <w:tblHeader/>
        </w:trPr>
        <w:tc>
          <w:tcPr>
            <w:tcW w:w="1590" w:type="pct"/>
            <w:vMerge w:val="restart"/>
            <w:tcBorders>
              <w:top w:val="single" w:sz="4" w:space="0" w:color="auto"/>
              <w:left w:val="nil"/>
              <w:right w:val="single" w:sz="4" w:space="0" w:color="auto"/>
            </w:tcBorders>
            <w:shd w:val="clear" w:color="000000" w:fill="A1F2FD"/>
            <w:vAlign w:val="center"/>
            <w:hideMark/>
          </w:tcPr>
          <w:p w14:paraId="0E50DAC3" w14:textId="77777777" w:rsidR="005177C1" w:rsidRPr="00A2457F" w:rsidRDefault="005177C1" w:rsidP="00A96988">
            <w:pPr>
              <w:jc w:val="center"/>
              <w:rPr>
                <w:rFonts w:cs="Arial"/>
                <w:b/>
                <w:bCs/>
                <w:color w:val="000000"/>
                <w:sz w:val="18"/>
                <w:szCs w:val="18"/>
              </w:rPr>
            </w:pPr>
            <w:r w:rsidRPr="00A2457F">
              <w:rPr>
                <w:rFonts w:cs="Arial"/>
                <w:b/>
                <w:bCs/>
                <w:color w:val="000000"/>
                <w:sz w:val="18"/>
                <w:szCs w:val="18"/>
              </w:rPr>
              <w:t>Poder/Órgão Autônomo</w:t>
            </w:r>
          </w:p>
        </w:tc>
        <w:tc>
          <w:tcPr>
            <w:tcW w:w="758"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45BD8720" w14:textId="7755EE53" w:rsidR="005177C1" w:rsidRPr="00A2457F" w:rsidRDefault="005177C1" w:rsidP="00A64C93">
            <w:pPr>
              <w:jc w:val="center"/>
              <w:rPr>
                <w:rFonts w:cs="Arial"/>
                <w:b/>
                <w:bCs/>
                <w:color w:val="000000"/>
                <w:sz w:val="18"/>
                <w:szCs w:val="18"/>
              </w:rPr>
            </w:pPr>
            <w:r w:rsidRPr="00A2457F">
              <w:rPr>
                <w:rFonts w:cs="Arial"/>
                <w:b/>
                <w:bCs/>
                <w:color w:val="000000"/>
                <w:sz w:val="18"/>
                <w:szCs w:val="18"/>
              </w:rPr>
              <w:t>Previsão</w:t>
            </w:r>
          </w:p>
        </w:tc>
        <w:tc>
          <w:tcPr>
            <w:tcW w:w="758"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12F5AFA5" w14:textId="44EB28D6" w:rsidR="005177C1" w:rsidRPr="00A2457F" w:rsidRDefault="005177C1" w:rsidP="00A96988">
            <w:pPr>
              <w:jc w:val="center"/>
              <w:rPr>
                <w:rFonts w:cs="Arial"/>
                <w:b/>
                <w:bCs/>
                <w:color w:val="000000"/>
                <w:sz w:val="18"/>
                <w:szCs w:val="18"/>
              </w:rPr>
            </w:pPr>
            <w:r w:rsidRPr="00A2457F">
              <w:rPr>
                <w:rFonts w:cs="Arial"/>
                <w:b/>
                <w:bCs/>
                <w:color w:val="000000"/>
                <w:sz w:val="18"/>
                <w:szCs w:val="18"/>
              </w:rPr>
              <w:t xml:space="preserve">Arrecadação </w:t>
            </w:r>
          </w:p>
        </w:tc>
        <w:tc>
          <w:tcPr>
            <w:tcW w:w="607" w:type="pct"/>
            <w:vMerge w:val="restart"/>
            <w:tcBorders>
              <w:top w:val="single" w:sz="4" w:space="0" w:color="auto"/>
              <w:left w:val="nil"/>
              <w:right w:val="single" w:sz="4" w:space="0" w:color="auto"/>
            </w:tcBorders>
            <w:shd w:val="clear" w:color="000000" w:fill="A1F2FD"/>
          </w:tcPr>
          <w:p w14:paraId="39E3B520" w14:textId="2431A59A" w:rsidR="005177C1" w:rsidRPr="00A2457F" w:rsidRDefault="003A6FB5" w:rsidP="00135A07">
            <w:pPr>
              <w:ind w:left="-68" w:right="-66"/>
              <w:jc w:val="center"/>
              <w:rPr>
                <w:rFonts w:cs="Arial"/>
                <w:b/>
                <w:bCs/>
                <w:color w:val="000000"/>
                <w:sz w:val="18"/>
                <w:szCs w:val="18"/>
              </w:rPr>
            </w:pPr>
            <w:r>
              <w:rPr>
                <w:rFonts w:cs="Arial"/>
                <w:b/>
                <w:bCs/>
                <w:color w:val="000000"/>
                <w:sz w:val="18"/>
                <w:szCs w:val="18"/>
              </w:rPr>
              <w:t>AV</w:t>
            </w:r>
            <w:r w:rsidR="005177C1">
              <w:rPr>
                <w:rFonts w:cs="Arial"/>
                <w:b/>
                <w:bCs/>
                <w:color w:val="000000"/>
                <w:sz w:val="18"/>
                <w:szCs w:val="18"/>
              </w:rPr>
              <w:t xml:space="preserve"> Arrecadação</w:t>
            </w:r>
            <w:r>
              <w:rPr>
                <w:rFonts w:cs="Arial"/>
                <w:b/>
                <w:bCs/>
                <w:color w:val="000000"/>
                <w:sz w:val="18"/>
                <w:szCs w:val="18"/>
              </w:rPr>
              <w:t xml:space="preserve"> </w:t>
            </w:r>
            <w:r>
              <w:rPr>
                <w:rFonts w:cs="Arial"/>
                <w:b/>
                <w:bCs/>
                <w:color w:val="000000"/>
                <w:sz w:val="18"/>
                <w:szCs w:val="18"/>
              </w:rPr>
              <w:br/>
              <w:t>%</w:t>
            </w:r>
          </w:p>
        </w:tc>
        <w:tc>
          <w:tcPr>
            <w:tcW w:w="1287" w:type="pct"/>
            <w:gridSpan w:val="2"/>
            <w:tcBorders>
              <w:top w:val="single" w:sz="4" w:space="0" w:color="auto"/>
              <w:left w:val="single" w:sz="4" w:space="0" w:color="auto"/>
              <w:bottom w:val="single" w:sz="4" w:space="0" w:color="auto"/>
            </w:tcBorders>
            <w:shd w:val="clear" w:color="000000" w:fill="A1F2FD"/>
            <w:vAlign w:val="center"/>
            <w:hideMark/>
          </w:tcPr>
          <w:p w14:paraId="51C8297D" w14:textId="5B3A0296" w:rsidR="005177C1" w:rsidRPr="00A2457F" w:rsidRDefault="005177C1" w:rsidP="005177C1">
            <w:pPr>
              <w:jc w:val="center"/>
              <w:rPr>
                <w:rFonts w:cs="Arial"/>
                <w:b/>
                <w:bCs/>
                <w:color w:val="000000"/>
                <w:sz w:val="18"/>
                <w:szCs w:val="18"/>
              </w:rPr>
            </w:pPr>
            <w:r w:rsidRPr="00A2457F">
              <w:rPr>
                <w:rFonts w:cs="Arial"/>
                <w:b/>
                <w:bCs/>
                <w:color w:val="000000"/>
                <w:sz w:val="18"/>
                <w:szCs w:val="18"/>
              </w:rPr>
              <w:t>Resultado da Arrecadação</w:t>
            </w:r>
          </w:p>
        </w:tc>
      </w:tr>
      <w:tr w:rsidR="005177C1" w:rsidRPr="00A2457F" w14:paraId="187C2780" w14:textId="77777777" w:rsidTr="00854644">
        <w:trPr>
          <w:trHeight w:val="284"/>
          <w:tblHeader/>
        </w:trPr>
        <w:tc>
          <w:tcPr>
            <w:tcW w:w="1590" w:type="pct"/>
            <w:vMerge/>
            <w:tcBorders>
              <w:left w:val="nil"/>
              <w:right w:val="single" w:sz="4" w:space="0" w:color="auto"/>
            </w:tcBorders>
            <w:vAlign w:val="center"/>
            <w:hideMark/>
          </w:tcPr>
          <w:p w14:paraId="08A433D9" w14:textId="77777777" w:rsidR="005177C1" w:rsidRPr="00A2457F" w:rsidRDefault="005177C1" w:rsidP="005177C1">
            <w:pPr>
              <w:jc w:val="left"/>
              <w:rPr>
                <w:rFonts w:cs="Arial"/>
                <w:b/>
                <w:bCs/>
                <w:color w:val="000000"/>
                <w:sz w:val="18"/>
                <w:szCs w:val="18"/>
              </w:rPr>
            </w:pPr>
          </w:p>
        </w:tc>
        <w:tc>
          <w:tcPr>
            <w:tcW w:w="758" w:type="pct"/>
            <w:vMerge/>
            <w:tcBorders>
              <w:top w:val="single" w:sz="4" w:space="0" w:color="auto"/>
              <w:left w:val="single" w:sz="4" w:space="0" w:color="auto"/>
              <w:right w:val="single" w:sz="4" w:space="0" w:color="auto"/>
            </w:tcBorders>
            <w:vAlign w:val="center"/>
            <w:hideMark/>
          </w:tcPr>
          <w:p w14:paraId="1E65BF89" w14:textId="77777777" w:rsidR="005177C1" w:rsidRPr="00A2457F" w:rsidRDefault="005177C1" w:rsidP="005177C1">
            <w:pPr>
              <w:jc w:val="left"/>
              <w:rPr>
                <w:rFonts w:cs="Arial"/>
                <w:b/>
                <w:bCs/>
                <w:color w:val="000000"/>
                <w:sz w:val="18"/>
                <w:szCs w:val="18"/>
              </w:rPr>
            </w:pPr>
          </w:p>
        </w:tc>
        <w:tc>
          <w:tcPr>
            <w:tcW w:w="758" w:type="pct"/>
            <w:vMerge/>
            <w:tcBorders>
              <w:top w:val="single" w:sz="4" w:space="0" w:color="auto"/>
              <w:left w:val="single" w:sz="4" w:space="0" w:color="auto"/>
              <w:right w:val="single" w:sz="4" w:space="0" w:color="auto"/>
            </w:tcBorders>
            <w:vAlign w:val="center"/>
            <w:hideMark/>
          </w:tcPr>
          <w:p w14:paraId="4071AAFC" w14:textId="77777777" w:rsidR="005177C1" w:rsidRPr="00A2457F" w:rsidRDefault="005177C1" w:rsidP="005177C1">
            <w:pPr>
              <w:jc w:val="left"/>
              <w:rPr>
                <w:rFonts w:cs="Arial"/>
                <w:b/>
                <w:bCs/>
                <w:color w:val="000000"/>
                <w:sz w:val="18"/>
                <w:szCs w:val="18"/>
              </w:rPr>
            </w:pPr>
          </w:p>
        </w:tc>
        <w:tc>
          <w:tcPr>
            <w:tcW w:w="607" w:type="pct"/>
            <w:vMerge/>
            <w:tcBorders>
              <w:left w:val="nil"/>
              <w:right w:val="single" w:sz="4" w:space="0" w:color="auto"/>
            </w:tcBorders>
            <w:shd w:val="clear" w:color="000000" w:fill="A1F2FD"/>
            <w:vAlign w:val="center"/>
          </w:tcPr>
          <w:p w14:paraId="27DD7285" w14:textId="59DA0C41" w:rsidR="005177C1" w:rsidRPr="00A2457F" w:rsidRDefault="005177C1" w:rsidP="005177C1">
            <w:pPr>
              <w:jc w:val="center"/>
              <w:rPr>
                <w:rFonts w:cs="Arial"/>
                <w:b/>
                <w:bCs/>
                <w:color w:val="000000"/>
                <w:sz w:val="18"/>
                <w:szCs w:val="18"/>
              </w:rPr>
            </w:pPr>
          </w:p>
        </w:tc>
        <w:tc>
          <w:tcPr>
            <w:tcW w:w="682" w:type="pct"/>
            <w:tcBorders>
              <w:top w:val="nil"/>
              <w:left w:val="single" w:sz="4" w:space="0" w:color="auto"/>
              <w:right w:val="single" w:sz="4" w:space="0" w:color="auto"/>
            </w:tcBorders>
            <w:shd w:val="clear" w:color="000000" w:fill="A1F2FD"/>
            <w:vAlign w:val="center"/>
            <w:hideMark/>
          </w:tcPr>
          <w:p w14:paraId="57A1A0C0" w14:textId="66C8D282" w:rsidR="005177C1" w:rsidRPr="00A2457F" w:rsidRDefault="007F394A" w:rsidP="005177C1">
            <w:pPr>
              <w:jc w:val="center"/>
              <w:rPr>
                <w:rFonts w:cs="Arial"/>
                <w:b/>
                <w:bCs/>
                <w:color w:val="000000"/>
                <w:sz w:val="18"/>
                <w:szCs w:val="18"/>
              </w:rPr>
            </w:pPr>
            <w:r>
              <w:rPr>
                <w:rFonts w:cs="Arial"/>
                <w:b/>
                <w:bCs/>
                <w:color w:val="000000"/>
                <w:sz w:val="18"/>
                <w:szCs w:val="18"/>
              </w:rPr>
              <w:t>R$</w:t>
            </w:r>
          </w:p>
        </w:tc>
        <w:tc>
          <w:tcPr>
            <w:tcW w:w="605" w:type="pct"/>
            <w:tcBorders>
              <w:top w:val="nil"/>
              <w:left w:val="nil"/>
            </w:tcBorders>
            <w:shd w:val="clear" w:color="000000" w:fill="A1F2FD"/>
            <w:vAlign w:val="center"/>
            <w:hideMark/>
          </w:tcPr>
          <w:p w14:paraId="6EA0CD4C" w14:textId="071A9EA3" w:rsidR="005177C1" w:rsidRPr="00A2457F" w:rsidRDefault="005177C1" w:rsidP="005177C1">
            <w:pPr>
              <w:jc w:val="center"/>
              <w:rPr>
                <w:rFonts w:cs="Arial"/>
                <w:b/>
                <w:bCs/>
                <w:color w:val="000000"/>
                <w:sz w:val="18"/>
                <w:szCs w:val="18"/>
              </w:rPr>
            </w:pPr>
            <w:r w:rsidRPr="00A2457F">
              <w:rPr>
                <w:rFonts w:cs="Arial"/>
                <w:b/>
                <w:bCs/>
                <w:color w:val="000000"/>
                <w:sz w:val="18"/>
                <w:szCs w:val="18"/>
              </w:rPr>
              <w:t>%</w:t>
            </w:r>
          </w:p>
        </w:tc>
      </w:tr>
      <w:tr w:rsidR="005177C1" w:rsidRPr="00A2457F" w14:paraId="0E43AE93" w14:textId="77777777" w:rsidTr="00854644">
        <w:trPr>
          <w:trHeight w:val="284"/>
          <w:tblHeader/>
        </w:trPr>
        <w:tc>
          <w:tcPr>
            <w:tcW w:w="1590" w:type="pct"/>
            <w:vMerge/>
            <w:tcBorders>
              <w:left w:val="nil"/>
              <w:bottom w:val="single" w:sz="4" w:space="0" w:color="auto"/>
              <w:right w:val="single" w:sz="4" w:space="0" w:color="auto"/>
            </w:tcBorders>
            <w:shd w:val="clear" w:color="auto" w:fill="A1F2FD"/>
            <w:vAlign w:val="center"/>
          </w:tcPr>
          <w:p w14:paraId="79008548" w14:textId="77777777" w:rsidR="005177C1" w:rsidRPr="00A2457F" w:rsidRDefault="005177C1" w:rsidP="005177C1">
            <w:pPr>
              <w:jc w:val="center"/>
              <w:rPr>
                <w:rFonts w:cs="Arial"/>
                <w:b/>
                <w:bCs/>
                <w:color w:val="000000"/>
                <w:sz w:val="18"/>
                <w:szCs w:val="18"/>
              </w:rPr>
            </w:pPr>
          </w:p>
        </w:tc>
        <w:tc>
          <w:tcPr>
            <w:tcW w:w="758" w:type="pct"/>
            <w:tcBorders>
              <w:left w:val="single" w:sz="4" w:space="0" w:color="auto"/>
              <w:bottom w:val="single" w:sz="4" w:space="0" w:color="auto"/>
              <w:right w:val="single" w:sz="4" w:space="0" w:color="auto"/>
            </w:tcBorders>
            <w:shd w:val="clear" w:color="auto" w:fill="A1F2FD"/>
            <w:vAlign w:val="center"/>
          </w:tcPr>
          <w:p w14:paraId="2406039C" w14:textId="326CBE6F" w:rsidR="005177C1" w:rsidRPr="00A2457F" w:rsidRDefault="005177C1" w:rsidP="005177C1">
            <w:pPr>
              <w:jc w:val="center"/>
              <w:rPr>
                <w:rFonts w:cs="Arial"/>
                <w:b/>
                <w:bCs/>
                <w:color w:val="000000"/>
                <w:sz w:val="18"/>
                <w:szCs w:val="18"/>
              </w:rPr>
            </w:pPr>
            <w:r w:rsidRPr="00A2457F">
              <w:rPr>
                <w:rFonts w:cs="Arial"/>
                <w:b/>
                <w:bCs/>
                <w:color w:val="000000"/>
                <w:sz w:val="18"/>
                <w:szCs w:val="18"/>
              </w:rPr>
              <w:t>(a)</w:t>
            </w:r>
          </w:p>
        </w:tc>
        <w:tc>
          <w:tcPr>
            <w:tcW w:w="758" w:type="pct"/>
            <w:tcBorders>
              <w:left w:val="single" w:sz="4" w:space="0" w:color="auto"/>
              <w:bottom w:val="single" w:sz="4" w:space="0" w:color="auto"/>
              <w:right w:val="single" w:sz="4" w:space="0" w:color="auto"/>
            </w:tcBorders>
            <w:shd w:val="clear" w:color="auto" w:fill="A1F2FD"/>
            <w:vAlign w:val="center"/>
          </w:tcPr>
          <w:p w14:paraId="15C5333E" w14:textId="0C8A814C" w:rsidR="005177C1" w:rsidRPr="00A2457F" w:rsidRDefault="005177C1" w:rsidP="005177C1">
            <w:pPr>
              <w:jc w:val="center"/>
              <w:rPr>
                <w:rFonts w:cs="Arial"/>
                <w:b/>
                <w:bCs/>
                <w:color w:val="000000"/>
                <w:sz w:val="18"/>
                <w:szCs w:val="18"/>
              </w:rPr>
            </w:pPr>
            <w:r w:rsidRPr="00A2457F">
              <w:rPr>
                <w:rFonts w:cs="Arial"/>
                <w:b/>
                <w:bCs/>
                <w:color w:val="000000"/>
                <w:sz w:val="18"/>
                <w:szCs w:val="18"/>
              </w:rPr>
              <w:t>(b)</w:t>
            </w:r>
          </w:p>
        </w:tc>
        <w:tc>
          <w:tcPr>
            <w:tcW w:w="607" w:type="pct"/>
            <w:tcBorders>
              <w:left w:val="nil"/>
              <w:bottom w:val="single" w:sz="4" w:space="0" w:color="auto"/>
              <w:right w:val="single" w:sz="4" w:space="0" w:color="auto"/>
            </w:tcBorders>
            <w:shd w:val="clear" w:color="000000" w:fill="A1F2FD"/>
            <w:vAlign w:val="center"/>
          </w:tcPr>
          <w:p w14:paraId="2958555D" w14:textId="7BBA1757" w:rsidR="005177C1" w:rsidRPr="00A2457F" w:rsidRDefault="005177C1" w:rsidP="005177C1">
            <w:pPr>
              <w:jc w:val="center"/>
              <w:rPr>
                <w:rFonts w:cs="Arial"/>
                <w:b/>
                <w:bCs/>
                <w:color w:val="000000"/>
                <w:sz w:val="18"/>
                <w:szCs w:val="18"/>
              </w:rPr>
            </w:pPr>
            <w:r w:rsidRPr="00A2457F">
              <w:rPr>
                <w:rFonts w:cs="Arial"/>
                <w:b/>
                <w:bCs/>
                <w:color w:val="000000"/>
                <w:sz w:val="18"/>
                <w:szCs w:val="18"/>
              </w:rPr>
              <w:t>(</w:t>
            </w:r>
            <w:r>
              <w:rPr>
                <w:rFonts w:cs="Arial"/>
                <w:b/>
                <w:bCs/>
                <w:color w:val="000000"/>
                <w:sz w:val="18"/>
                <w:szCs w:val="18"/>
              </w:rPr>
              <w:t>c</w:t>
            </w:r>
            <w:r w:rsidRPr="00A2457F">
              <w:rPr>
                <w:rFonts w:cs="Arial"/>
                <w:b/>
                <w:bCs/>
                <w:color w:val="000000"/>
                <w:sz w:val="18"/>
                <w:szCs w:val="18"/>
              </w:rPr>
              <w:t>)</w:t>
            </w:r>
          </w:p>
        </w:tc>
        <w:tc>
          <w:tcPr>
            <w:tcW w:w="682" w:type="pct"/>
            <w:tcBorders>
              <w:left w:val="single" w:sz="4" w:space="0" w:color="auto"/>
              <w:bottom w:val="single" w:sz="4" w:space="0" w:color="auto"/>
              <w:right w:val="single" w:sz="4" w:space="0" w:color="auto"/>
            </w:tcBorders>
            <w:shd w:val="clear" w:color="000000" w:fill="A1F2FD"/>
            <w:vAlign w:val="center"/>
          </w:tcPr>
          <w:p w14:paraId="494B9482" w14:textId="12EFF8A3" w:rsidR="005177C1" w:rsidRPr="00A2457F" w:rsidRDefault="005177C1" w:rsidP="005177C1">
            <w:pPr>
              <w:jc w:val="center"/>
              <w:rPr>
                <w:rFonts w:cs="Arial"/>
                <w:b/>
                <w:bCs/>
                <w:color w:val="000000"/>
                <w:sz w:val="18"/>
                <w:szCs w:val="18"/>
              </w:rPr>
            </w:pPr>
            <w:r>
              <w:rPr>
                <w:rFonts w:cs="Arial"/>
                <w:b/>
                <w:bCs/>
                <w:color w:val="000000"/>
                <w:sz w:val="18"/>
                <w:szCs w:val="18"/>
              </w:rPr>
              <w:t>(d)</w:t>
            </w:r>
            <w:r w:rsidR="00135A07">
              <w:rPr>
                <w:rFonts w:cs="Arial"/>
                <w:b/>
                <w:bCs/>
                <w:color w:val="000000"/>
                <w:sz w:val="18"/>
                <w:szCs w:val="18"/>
              </w:rPr>
              <w:t xml:space="preserve"> </w:t>
            </w:r>
            <w:r>
              <w:rPr>
                <w:rFonts w:cs="Arial"/>
                <w:b/>
                <w:bCs/>
                <w:color w:val="000000"/>
                <w:sz w:val="18"/>
                <w:szCs w:val="18"/>
              </w:rPr>
              <w:t>=</w:t>
            </w:r>
            <w:r w:rsidR="00135A07">
              <w:rPr>
                <w:rFonts w:cs="Arial"/>
                <w:b/>
                <w:bCs/>
                <w:color w:val="000000"/>
                <w:sz w:val="18"/>
                <w:szCs w:val="18"/>
              </w:rPr>
              <w:t xml:space="preserve"> </w:t>
            </w:r>
            <w:r w:rsidRPr="00A2457F">
              <w:rPr>
                <w:rFonts w:cs="Arial"/>
                <w:b/>
                <w:bCs/>
                <w:color w:val="000000"/>
                <w:sz w:val="18"/>
                <w:szCs w:val="18"/>
              </w:rPr>
              <w:t>(b-a)</w:t>
            </w:r>
          </w:p>
        </w:tc>
        <w:tc>
          <w:tcPr>
            <w:tcW w:w="605" w:type="pct"/>
            <w:tcBorders>
              <w:left w:val="nil"/>
              <w:bottom w:val="single" w:sz="4" w:space="0" w:color="auto"/>
            </w:tcBorders>
            <w:shd w:val="clear" w:color="000000" w:fill="A1F2FD"/>
            <w:vAlign w:val="center"/>
          </w:tcPr>
          <w:p w14:paraId="738D27E6" w14:textId="56D7FA9C" w:rsidR="005177C1" w:rsidRPr="00A2457F" w:rsidRDefault="005177C1" w:rsidP="005177C1">
            <w:pPr>
              <w:jc w:val="center"/>
              <w:rPr>
                <w:rFonts w:cs="Arial"/>
                <w:b/>
                <w:bCs/>
                <w:color w:val="000000"/>
                <w:sz w:val="18"/>
                <w:szCs w:val="18"/>
              </w:rPr>
            </w:pPr>
            <w:r>
              <w:rPr>
                <w:rFonts w:cs="Arial"/>
                <w:b/>
                <w:bCs/>
                <w:color w:val="000000"/>
                <w:sz w:val="18"/>
                <w:szCs w:val="18"/>
              </w:rPr>
              <w:t>(e)</w:t>
            </w:r>
            <w:r w:rsidR="00135A07">
              <w:rPr>
                <w:rFonts w:cs="Arial"/>
                <w:b/>
                <w:bCs/>
                <w:color w:val="000000"/>
                <w:sz w:val="18"/>
                <w:szCs w:val="18"/>
              </w:rPr>
              <w:t xml:space="preserve"> </w:t>
            </w:r>
            <w:r>
              <w:rPr>
                <w:rFonts w:cs="Arial"/>
                <w:b/>
                <w:bCs/>
                <w:color w:val="000000"/>
                <w:sz w:val="18"/>
                <w:szCs w:val="18"/>
              </w:rPr>
              <w:t>=</w:t>
            </w:r>
            <w:r w:rsidR="00135A07">
              <w:rPr>
                <w:rFonts w:cs="Arial"/>
                <w:b/>
                <w:bCs/>
                <w:color w:val="000000"/>
                <w:sz w:val="18"/>
                <w:szCs w:val="18"/>
              </w:rPr>
              <w:t xml:space="preserve"> </w:t>
            </w:r>
            <w:r w:rsidRPr="00A2457F">
              <w:rPr>
                <w:rFonts w:cs="Arial"/>
                <w:b/>
                <w:bCs/>
                <w:color w:val="000000"/>
                <w:sz w:val="18"/>
                <w:szCs w:val="18"/>
              </w:rPr>
              <w:t>(</w:t>
            </w:r>
            <w:r>
              <w:rPr>
                <w:rFonts w:cs="Arial"/>
                <w:b/>
                <w:bCs/>
                <w:color w:val="000000"/>
                <w:sz w:val="18"/>
                <w:szCs w:val="18"/>
              </w:rPr>
              <w:t>d</w:t>
            </w:r>
            <w:r w:rsidRPr="00A2457F">
              <w:rPr>
                <w:rFonts w:cs="Arial"/>
                <w:b/>
                <w:bCs/>
                <w:color w:val="000000"/>
                <w:sz w:val="18"/>
                <w:szCs w:val="18"/>
              </w:rPr>
              <w:t>/a)</w:t>
            </w:r>
          </w:p>
        </w:tc>
      </w:tr>
      <w:tr w:rsidR="005177C1" w:rsidRPr="00A2457F" w14:paraId="23ED1892" w14:textId="77777777" w:rsidTr="00854644">
        <w:trPr>
          <w:trHeight w:val="284"/>
        </w:trPr>
        <w:tc>
          <w:tcPr>
            <w:tcW w:w="1590" w:type="pct"/>
            <w:tcBorders>
              <w:top w:val="nil"/>
              <w:left w:val="nil"/>
              <w:bottom w:val="nil"/>
              <w:right w:val="single" w:sz="4" w:space="0" w:color="auto"/>
            </w:tcBorders>
            <w:shd w:val="clear" w:color="auto" w:fill="auto"/>
            <w:noWrap/>
            <w:vAlign w:val="center"/>
            <w:hideMark/>
          </w:tcPr>
          <w:p w14:paraId="6E042686" w14:textId="77777777" w:rsidR="005177C1" w:rsidRPr="00A2457F" w:rsidRDefault="005177C1" w:rsidP="005177C1">
            <w:pPr>
              <w:jc w:val="left"/>
              <w:rPr>
                <w:rFonts w:cs="Arial"/>
                <w:color w:val="000000"/>
                <w:sz w:val="18"/>
                <w:szCs w:val="18"/>
              </w:rPr>
            </w:pPr>
            <w:r w:rsidRPr="00A2457F">
              <w:rPr>
                <w:rFonts w:cs="Arial"/>
                <w:color w:val="000000"/>
                <w:sz w:val="18"/>
                <w:szCs w:val="18"/>
              </w:rPr>
              <w:t>Executivo</w:t>
            </w:r>
          </w:p>
        </w:tc>
        <w:tc>
          <w:tcPr>
            <w:tcW w:w="758" w:type="pct"/>
            <w:tcBorders>
              <w:top w:val="nil"/>
              <w:left w:val="nil"/>
              <w:bottom w:val="nil"/>
              <w:right w:val="single" w:sz="4" w:space="0" w:color="auto"/>
            </w:tcBorders>
            <w:shd w:val="clear" w:color="auto" w:fill="auto"/>
            <w:noWrap/>
            <w:vAlign w:val="center"/>
            <w:hideMark/>
          </w:tcPr>
          <w:p w14:paraId="3046D865" w14:textId="77777777" w:rsidR="005177C1" w:rsidRPr="00A2457F" w:rsidRDefault="005177C1" w:rsidP="005177C1">
            <w:pPr>
              <w:jc w:val="right"/>
              <w:rPr>
                <w:rFonts w:cs="Arial"/>
                <w:color w:val="000000"/>
                <w:sz w:val="18"/>
                <w:szCs w:val="18"/>
              </w:rPr>
            </w:pPr>
            <w:r w:rsidRPr="00A2457F">
              <w:rPr>
                <w:rFonts w:cs="Arial"/>
                <w:color w:val="000000"/>
                <w:sz w:val="18"/>
                <w:szCs w:val="18"/>
              </w:rPr>
              <w:t xml:space="preserve">39.868.276.601 </w:t>
            </w:r>
          </w:p>
        </w:tc>
        <w:tc>
          <w:tcPr>
            <w:tcW w:w="758" w:type="pct"/>
            <w:tcBorders>
              <w:top w:val="nil"/>
              <w:left w:val="nil"/>
              <w:bottom w:val="nil"/>
              <w:right w:val="single" w:sz="4" w:space="0" w:color="auto"/>
            </w:tcBorders>
            <w:shd w:val="clear" w:color="auto" w:fill="auto"/>
            <w:noWrap/>
            <w:vAlign w:val="center"/>
            <w:hideMark/>
          </w:tcPr>
          <w:p w14:paraId="28E85BF5" w14:textId="77777777" w:rsidR="005177C1" w:rsidRPr="00A2457F" w:rsidRDefault="005177C1" w:rsidP="005177C1">
            <w:pPr>
              <w:jc w:val="right"/>
              <w:rPr>
                <w:rFonts w:cs="Arial"/>
                <w:color w:val="000000"/>
                <w:sz w:val="18"/>
                <w:szCs w:val="18"/>
              </w:rPr>
            </w:pPr>
            <w:r w:rsidRPr="00A2457F">
              <w:rPr>
                <w:rFonts w:cs="Arial"/>
                <w:color w:val="000000"/>
                <w:sz w:val="18"/>
                <w:szCs w:val="18"/>
              </w:rPr>
              <w:t xml:space="preserve">40.705.805.744 </w:t>
            </w:r>
          </w:p>
        </w:tc>
        <w:tc>
          <w:tcPr>
            <w:tcW w:w="607" w:type="pct"/>
            <w:tcBorders>
              <w:top w:val="nil"/>
              <w:left w:val="nil"/>
              <w:bottom w:val="nil"/>
              <w:right w:val="single" w:sz="4" w:space="0" w:color="auto"/>
            </w:tcBorders>
            <w:vAlign w:val="center"/>
          </w:tcPr>
          <w:p w14:paraId="0336ABCE" w14:textId="5D98C188" w:rsidR="005177C1" w:rsidRPr="00A2457F" w:rsidRDefault="005177C1" w:rsidP="005177C1">
            <w:pPr>
              <w:jc w:val="center"/>
              <w:rPr>
                <w:rFonts w:cs="Arial"/>
                <w:color w:val="000000"/>
                <w:sz w:val="18"/>
                <w:szCs w:val="18"/>
              </w:rPr>
            </w:pPr>
            <w:r w:rsidRPr="00A2457F">
              <w:rPr>
                <w:rFonts w:cs="Arial"/>
                <w:color w:val="000000"/>
                <w:sz w:val="18"/>
                <w:szCs w:val="18"/>
              </w:rPr>
              <w:t>96,95</w:t>
            </w:r>
          </w:p>
        </w:tc>
        <w:tc>
          <w:tcPr>
            <w:tcW w:w="682" w:type="pct"/>
            <w:tcBorders>
              <w:top w:val="nil"/>
              <w:left w:val="single" w:sz="4" w:space="0" w:color="auto"/>
              <w:bottom w:val="nil"/>
              <w:right w:val="single" w:sz="4" w:space="0" w:color="auto"/>
            </w:tcBorders>
            <w:shd w:val="clear" w:color="auto" w:fill="auto"/>
            <w:noWrap/>
            <w:vAlign w:val="center"/>
            <w:hideMark/>
          </w:tcPr>
          <w:p w14:paraId="751C817E" w14:textId="3CCF993E" w:rsidR="005177C1" w:rsidRPr="00A2457F" w:rsidRDefault="005177C1" w:rsidP="005177C1">
            <w:pPr>
              <w:jc w:val="right"/>
              <w:rPr>
                <w:rFonts w:cs="Arial"/>
                <w:color w:val="000000"/>
                <w:sz w:val="18"/>
                <w:szCs w:val="18"/>
              </w:rPr>
            </w:pPr>
            <w:r w:rsidRPr="00A2457F">
              <w:rPr>
                <w:rFonts w:cs="Arial"/>
                <w:color w:val="000000"/>
                <w:sz w:val="18"/>
                <w:szCs w:val="18"/>
              </w:rPr>
              <w:t xml:space="preserve">837.529.143 </w:t>
            </w:r>
          </w:p>
        </w:tc>
        <w:tc>
          <w:tcPr>
            <w:tcW w:w="605" w:type="pct"/>
            <w:tcBorders>
              <w:top w:val="nil"/>
              <w:left w:val="nil"/>
              <w:bottom w:val="nil"/>
            </w:tcBorders>
            <w:shd w:val="clear" w:color="auto" w:fill="auto"/>
            <w:noWrap/>
            <w:vAlign w:val="center"/>
            <w:hideMark/>
          </w:tcPr>
          <w:p w14:paraId="61A0C784" w14:textId="77777777" w:rsidR="005177C1" w:rsidRPr="00A2457F" w:rsidRDefault="005177C1" w:rsidP="005177C1">
            <w:pPr>
              <w:jc w:val="center"/>
              <w:rPr>
                <w:rFonts w:cs="Arial"/>
                <w:color w:val="000000"/>
                <w:sz w:val="18"/>
                <w:szCs w:val="18"/>
              </w:rPr>
            </w:pPr>
            <w:r w:rsidRPr="00A2457F">
              <w:rPr>
                <w:rFonts w:cs="Arial"/>
                <w:color w:val="000000"/>
                <w:sz w:val="18"/>
                <w:szCs w:val="18"/>
              </w:rPr>
              <w:t xml:space="preserve">2,10 </w:t>
            </w:r>
          </w:p>
        </w:tc>
      </w:tr>
      <w:tr w:rsidR="005177C1" w:rsidRPr="00A2457F" w14:paraId="757BF8BD" w14:textId="77777777" w:rsidTr="00854644">
        <w:trPr>
          <w:trHeight w:val="284"/>
        </w:trPr>
        <w:tc>
          <w:tcPr>
            <w:tcW w:w="1590" w:type="pct"/>
            <w:tcBorders>
              <w:top w:val="nil"/>
              <w:left w:val="nil"/>
              <w:bottom w:val="nil"/>
              <w:right w:val="single" w:sz="4" w:space="0" w:color="auto"/>
            </w:tcBorders>
            <w:shd w:val="clear" w:color="auto" w:fill="auto"/>
            <w:noWrap/>
            <w:vAlign w:val="center"/>
            <w:hideMark/>
          </w:tcPr>
          <w:p w14:paraId="59D4677D" w14:textId="77777777" w:rsidR="005177C1" w:rsidRPr="00A2457F" w:rsidRDefault="005177C1" w:rsidP="005177C1">
            <w:pPr>
              <w:jc w:val="left"/>
              <w:rPr>
                <w:rFonts w:cs="Arial"/>
                <w:color w:val="000000"/>
                <w:sz w:val="18"/>
                <w:szCs w:val="18"/>
              </w:rPr>
            </w:pPr>
            <w:r w:rsidRPr="00A2457F">
              <w:rPr>
                <w:rFonts w:cs="Arial"/>
                <w:color w:val="000000"/>
                <w:sz w:val="18"/>
                <w:szCs w:val="18"/>
              </w:rPr>
              <w:t>Judiciário</w:t>
            </w:r>
          </w:p>
        </w:tc>
        <w:tc>
          <w:tcPr>
            <w:tcW w:w="758" w:type="pct"/>
            <w:tcBorders>
              <w:top w:val="nil"/>
              <w:left w:val="nil"/>
              <w:bottom w:val="nil"/>
              <w:right w:val="single" w:sz="4" w:space="0" w:color="auto"/>
            </w:tcBorders>
            <w:shd w:val="clear" w:color="auto" w:fill="auto"/>
            <w:noWrap/>
            <w:vAlign w:val="center"/>
            <w:hideMark/>
          </w:tcPr>
          <w:p w14:paraId="44930711" w14:textId="77777777" w:rsidR="005177C1" w:rsidRPr="00A2457F" w:rsidRDefault="005177C1" w:rsidP="005177C1">
            <w:pPr>
              <w:jc w:val="right"/>
              <w:rPr>
                <w:rFonts w:cs="Arial"/>
                <w:color w:val="000000"/>
                <w:sz w:val="18"/>
                <w:szCs w:val="18"/>
              </w:rPr>
            </w:pPr>
            <w:r w:rsidRPr="00A2457F">
              <w:rPr>
                <w:rFonts w:cs="Arial"/>
                <w:color w:val="000000"/>
                <w:sz w:val="18"/>
                <w:szCs w:val="18"/>
              </w:rPr>
              <w:t xml:space="preserve">981.071.000 </w:t>
            </w:r>
          </w:p>
        </w:tc>
        <w:tc>
          <w:tcPr>
            <w:tcW w:w="758" w:type="pct"/>
            <w:tcBorders>
              <w:top w:val="nil"/>
              <w:left w:val="nil"/>
              <w:bottom w:val="nil"/>
              <w:right w:val="single" w:sz="4" w:space="0" w:color="auto"/>
            </w:tcBorders>
            <w:shd w:val="clear" w:color="auto" w:fill="auto"/>
            <w:noWrap/>
            <w:vAlign w:val="center"/>
            <w:hideMark/>
          </w:tcPr>
          <w:p w14:paraId="5782FD27" w14:textId="77777777" w:rsidR="005177C1" w:rsidRPr="00A2457F" w:rsidRDefault="005177C1" w:rsidP="005177C1">
            <w:pPr>
              <w:jc w:val="right"/>
              <w:rPr>
                <w:rFonts w:cs="Arial"/>
                <w:color w:val="000000"/>
                <w:sz w:val="18"/>
                <w:szCs w:val="18"/>
              </w:rPr>
            </w:pPr>
            <w:r w:rsidRPr="00A2457F">
              <w:rPr>
                <w:rFonts w:cs="Arial"/>
                <w:color w:val="000000"/>
                <w:sz w:val="18"/>
                <w:szCs w:val="18"/>
              </w:rPr>
              <w:t xml:space="preserve">1.137.752.814 </w:t>
            </w:r>
          </w:p>
        </w:tc>
        <w:tc>
          <w:tcPr>
            <w:tcW w:w="607" w:type="pct"/>
            <w:tcBorders>
              <w:top w:val="nil"/>
              <w:left w:val="nil"/>
              <w:bottom w:val="nil"/>
              <w:right w:val="single" w:sz="4" w:space="0" w:color="auto"/>
            </w:tcBorders>
            <w:vAlign w:val="center"/>
          </w:tcPr>
          <w:p w14:paraId="683FE1AF" w14:textId="484567D5" w:rsidR="005177C1" w:rsidRPr="00A2457F" w:rsidRDefault="005177C1" w:rsidP="005177C1">
            <w:pPr>
              <w:jc w:val="center"/>
              <w:rPr>
                <w:rFonts w:cs="Arial"/>
                <w:color w:val="000000"/>
                <w:sz w:val="18"/>
                <w:szCs w:val="18"/>
              </w:rPr>
            </w:pPr>
            <w:r w:rsidRPr="00A2457F">
              <w:rPr>
                <w:rFonts w:cs="Arial"/>
                <w:color w:val="000000"/>
                <w:sz w:val="18"/>
                <w:szCs w:val="18"/>
              </w:rPr>
              <w:t>2,71</w:t>
            </w:r>
          </w:p>
        </w:tc>
        <w:tc>
          <w:tcPr>
            <w:tcW w:w="682" w:type="pct"/>
            <w:tcBorders>
              <w:top w:val="nil"/>
              <w:left w:val="single" w:sz="4" w:space="0" w:color="auto"/>
              <w:bottom w:val="nil"/>
              <w:right w:val="single" w:sz="4" w:space="0" w:color="auto"/>
            </w:tcBorders>
            <w:shd w:val="clear" w:color="auto" w:fill="auto"/>
            <w:noWrap/>
            <w:vAlign w:val="center"/>
            <w:hideMark/>
          </w:tcPr>
          <w:p w14:paraId="5736A32C" w14:textId="6369ADDD" w:rsidR="005177C1" w:rsidRPr="00A2457F" w:rsidRDefault="005177C1" w:rsidP="005177C1">
            <w:pPr>
              <w:jc w:val="right"/>
              <w:rPr>
                <w:rFonts w:cs="Arial"/>
                <w:color w:val="000000"/>
                <w:sz w:val="18"/>
                <w:szCs w:val="18"/>
              </w:rPr>
            </w:pPr>
            <w:r w:rsidRPr="00A2457F">
              <w:rPr>
                <w:rFonts w:cs="Arial"/>
                <w:color w:val="000000"/>
                <w:sz w:val="18"/>
                <w:szCs w:val="18"/>
              </w:rPr>
              <w:t xml:space="preserve">156.681.814 </w:t>
            </w:r>
          </w:p>
        </w:tc>
        <w:tc>
          <w:tcPr>
            <w:tcW w:w="605" w:type="pct"/>
            <w:tcBorders>
              <w:top w:val="nil"/>
              <w:left w:val="nil"/>
              <w:bottom w:val="nil"/>
            </w:tcBorders>
            <w:shd w:val="clear" w:color="auto" w:fill="auto"/>
            <w:noWrap/>
            <w:vAlign w:val="center"/>
            <w:hideMark/>
          </w:tcPr>
          <w:p w14:paraId="661EBF4D" w14:textId="77777777" w:rsidR="005177C1" w:rsidRPr="00A2457F" w:rsidRDefault="005177C1" w:rsidP="005177C1">
            <w:pPr>
              <w:jc w:val="center"/>
              <w:rPr>
                <w:rFonts w:cs="Arial"/>
                <w:color w:val="000000"/>
                <w:sz w:val="18"/>
                <w:szCs w:val="18"/>
              </w:rPr>
            </w:pPr>
            <w:r w:rsidRPr="00A2457F">
              <w:rPr>
                <w:rFonts w:cs="Arial"/>
                <w:color w:val="000000"/>
                <w:sz w:val="18"/>
                <w:szCs w:val="18"/>
              </w:rPr>
              <w:t xml:space="preserve">15,97 </w:t>
            </w:r>
          </w:p>
        </w:tc>
      </w:tr>
      <w:tr w:rsidR="005177C1" w:rsidRPr="00A2457F" w14:paraId="1F38AA54" w14:textId="77777777" w:rsidTr="00854644">
        <w:trPr>
          <w:trHeight w:val="284"/>
        </w:trPr>
        <w:tc>
          <w:tcPr>
            <w:tcW w:w="1590" w:type="pct"/>
            <w:tcBorders>
              <w:top w:val="nil"/>
              <w:left w:val="nil"/>
              <w:bottom w:val="nil"/>
              <w:right w:val="single" w:sz="4" w:space="0" w:color="auto"/>
            </w:tcBorders>
            <w:shd w:val="clear" w:color="auto" w:fill="auto"/>
            <w:noWrap/>
            <w:vAlign w:val="center"/>
            <w:hideMark/>
          </w:tcPr>
          <w:p w14:paraId="30025C8D" w14:textId="77777777" w:rsidR="005177C1" w:rsidRPr="00A2457F" w:rsidRDefault="005177C1" w:rsidP="005177C1">
            <w:pPr>
              <w:jc w:val="left"/>
              <w:rPr>
                <w:rFonts w:cs="Arial"/>
                <w:color w:val="000000"/>
                <w:sz w:val="18"/>
                <w:szCs w:val="18"/>
              </w:rPr>
            </w:pPr>
            <w:r w:rsidRPr="00A2457F">
              <w:rPr>
                <w:rFonts w:cs="Arial"/>
                <w:color w:val="000000"/>
                <w:sz w:val="18"/>
                <w:szCs w:val="18"/>
              </w:rPr>
              <w:t>Ministério Público</w:t>
            </w:r>
          </w:p>
        </w:tc>
        <w:tc>
          <w:tcPr>
            <w:tcW w:w="758" w:type="pct"/>
            <w:tcBorders>
              <w:top w:val="nil"/>
              <w:left w:val="nil"/>
              <w:bottom w:val="nil"/>
              <w:right w:val="single" w:sz="4" w:space="0" w:color="auto"/>
            </w:tcBorders>
            <w:shd w:val="clear" w:color="auto" w:fill="auto"/>
            <w:noWrap/>
            <w:vAlign w:val="center"/>
            <w:hideMark/>
          </w:tcPr>
          <w:p w14:paraId="65A56AA8" w14:textId="77777777" w:rsidR="005177C1" w:rsidRPr="00A2457F" w:rsidRDefault="005177C1" w:rsidP="005177C1">
            <w:pPr>
              <w:jc w:val="right"/>
              <w:rPr>
                <w:rFonts w:cs="Arial"/>
                <w:color w:val="000000"/>
                <w:sz w:val="18"/>
                <w:szCs w:val="18"/>
              </w:rPr>
            </w:pPr>
            <w:r w:rsidRPr="00A2457F">
              <w:rPr>
                <w:rFonts w:cs="Arial"/>
                <w:color w:val="000000"/>
                <w:sz w:val="18"/>
                <w:szCs w:val="18"/>
              </w:rPr>
              <w:t xml:space="preserve">57.942.000 </w:t>
            </w:r>
          </w:p>
        </w:tc>
        <w:tc>
          <w:tcPr>
            <w:tcW w:w="758" w:type="pct"/>
            <w:tcBorders>
              <w:top w:val="nil"/>
              <w:left w:val="nil"/>
              <w:bottom w:val="nil"/>
              <w:right w:val="single" w:sz="4" w:space="0" w:color="auto"/>
            </w:tcBorders>
            <w:shd w:val="clear" w:color="auto" w:fill="auto"/>
            <w:noWrap/>
            <w:vAlign w:val="center"/>
            <w:hideMark/>
          </w:tcPr>
          <w:p w14:paraId="15F99C48" w14:textId="77777777" w:rsidR="005177C1" w:rsidRPr="00A2457F" w:rsidRDefault="005177C1" w:rsidP="005177C1">
            <w:pPr>
              <w:jc w:val="right"/>
              <w:rPr>
                <w:rFonts w:cs="Arial"/>
                <w:color w:val="000000"/>
                <w:sz w:val="18"/>
                <w:szCs w:val="18"/>
              </w:rPr>
            </w:pPr>
            <w:r w:rsidRPr="00A2457F">
              <w:rPr>
                <w:rFonts w:cs="Arial"/>
                <w:color w:val="000000"/>
                <w:sz w:val="18"/>
                <w:szCs w:val="18"/>
              </w:rPr>
              <w:t xml:space="preserve">83.514.140 </w:t>
            </w:r>
          </w:p>
        </w:tc>
        <w:tc>
          <w:tcPr>
            <w:tcW w:w="607" w:type="pct"/>
            <w:tcBorders>
              <w:top w:val="nil"/>
              <w:left w:val="nil"/>
              <w:bottom w:val="nil"/>
              <w:right w:val="single" w:sz="4" w:space="0" w:color="auto"/>
            </w:tcBorders>
            <w:vAlign w:val="center"/>
          </w:tcPr>
          <w:p w14:paraId="2A704122" w14:textId="29AD1FA9" w:rsidR="005177C1" w:rsidRPr="00A2457F" w:rsidRDefault="005177C1" w:rsidP="005177C1">
            <w:pPr>
              <w:jc w:val="center"/>
              <w:rPr>
                <w:rFonts w:cs="Arial"/>
                <w:color w:val="000000"/>
                <w:sz w:val="18"/>
                <w:szCs w:val="18"/>
              </w:rPr>
            </w:pPr>
            <w:r w:rsidRPr="00A2457F">
              <w:rPr>
                <w:rFonts w:cs="Arial"/>
                <w:color w:val="000000"/>
                <w:sz w:val="18"/>
                <w:szCs w:val="18"/>
              </w:rPr>
              <w:t>0,20</w:t>
            </w:r>
          </w:p>
        </w:tc>
        <w:tc>
          <w:tcPr>
            <w:tcW w:w="682" w:type="pct"/>
            <w:tcBorders>
              <w:top w:val="nil"/>
              <w:left w:val="single" w:sz="4" w:space="0" w:color="auto"/>
              <w:bottom w:val="nil"/>
              <w:right w:val="single" w:sz="4" w:space="0" w:color="auto"/>
            </w:tcBorders>
            <w:shd w:val="clear" w:color="auto" w:fill="auto"/>
            <w:noWrap/>
            <w:vAlign w:val="center"/>
            <w:hideMark/>
          </w:tcPr>
          <w:p w14:paraId="23ED2331" w14:textId="75C1E4B7" w:rsidR="005177C1" w:rsidRPr="00A2457F" w:rsidRDefault="005177C1" w:rsidP="005177C1">
            <w:pPr>
              <w:jc w:val="right"/>
              <w:rPr>
                <w:rFonts w:cs="Arial"/>
                <w:color w:val="000000"/>
                <w:sz w:val="18"/>
                <w:szCs w:val="18"/>
              </w:rPr>
            </w:pPr>
            <w:r w:rsidRPr="00A2457F">
              <w:rPr>
                <w:rFonts w:cs="Arial"/>
                <w:color w:val="000000"/>
                <w:sz w:val="18"/>
                <w:szCs w:val="18"/>
              </w:rPr>
              <w:t xml:space="preserve">25.572.140 </w:t>
            </w:r>
          </w:p>
        </w:tc>
        <w:tc>
          <w:tcPr>
            <w:tcW w:w="605" w:type="pct"/>
            <w:tcBorders>
              <w:top w:val="nil"/>
              <w:left w:val="nil"/>
              <w:bottom w:val="nil"/>
            </w:tcBorders>
            <w:shd w:val="clear" w:color="auto" w:fill="auto"/>
            <w:noWrap/>
            <w:vAlign w:val="center"/>
            <w:hideMark/>
          </w:tcPr>
          <w:p w14:paraId="5B6BC8A5" w14:textId="77777777" w:rsidR="005177C1" w:rsidRPr="00A2457F" w:rsidRDefault="005177C1" w:rsidP="005177C1">
            <w:pPr>
              <w:jc w:val="center"/>
              <w:rPr>
                <w:rFonts w:cs="Arial"/>
                <w:color w:val="000000"/>
                <w:sz w:val="18"/>
                <w:szCs w:val="18"/>
              </w:rPr>
            </w:pPr>
            <w:r w:rsidRPr="00A2457F">
              <w:rPr>
                <w:rFonts w:cs="Arial"/>
                <w:color w:val="000000"/>
                <w:sz w:val="18"/>
                <w:szCs w:val="18"/>
              </w:rPr>
              <w:t xml:space="preserve">44,13 </w:t>
            </w:r>
          </w:p>
        </w:tc>
      </w:tr>
      <w:tr w:rsidR="005177C1" w:rsidRPr="00A2457F" w14:paraId="125E3DC2" w14:textId="77777777" w:rsidTr="00854644">
        <w:trPr>
          <w:trHeight w:val="284"/>
        </w:trPr>
        <w:tc>
          <w:tcPr>
            <w:tcW w:w="1590" w:type="pct"/>
            <w:tcBorders>
              <w:top w:val="nil"/>
              <w:left w:val="nil"/>
              <w:bottom w:val="nil"/>
              <w:right w:val="single" w:sz="4" w:space="0" w:color="auto"/>
            </w:tcBorders>
            <w:shd w:val="clear" w:color="auto" w:fill="auto"/>
            <w:noWrap/>
            <w:vAlign w:val="center"/>
            <w:hideMark/>
          </w:tcPr>
          <w:p w14:paraId="5BEB2038" w14:textId="77777777" w:rsidR="005177C1" w:rsidRPr="00A2457F" w:rsidRDefault="005177C1" w:rsidP="005177C1">
            <w:pPr>
              <w:jc w:val="left"/>
              <w:rPr>
                <w:rFonts w:cs="Arial"/>
                <w:color w:val="000000"/>
                <w:sz w:val="18"/>
                <w:szCs w:val="18"/>
              </w:rPr>
            </w:pPr>
            <w:r w:rsidRPr="00A2457F">
              <w:rPr>
                <w:rFonts w:cs="Arial"/>
                <w:color w:val="000000"/>
                <w:sz w:val="18"/>
                <w:szCs w:val="18"/>
              </w:rPr>
              <w:t>Defensoria Pública</w:t>
            </w:r>
          </w:p>
        </w:tc>
        <w:tc>
          <w:tcPr>
            <w:tcW w:w="758" w:type="pct"/>
            <w:tcBorders>
              <w:top w:val="nil"/>
              <w:left w:val="nil"/>
              <w:bottom w:val="nil"/>
              <w:right w:val="single" w:sz="4" w:space="0" w:color="auto"/>
            </w:tcBorders>
            <w:shd w:val="clear" w:color="auto" w:fill="auto"/>
            <w:noWrap/>
            <w:vAlign w:val="center"/>
            <w:hideMark/>
          </w:tcPr>
          <w:p w14:paraId="663FFE06" w14:textId="77777777" w:rsidR="005177C1" w:rsidRPr="00A2457F" w:rsidRDefault="005177C1" w:rsidP="005177C1">
            <w:pPr>
              <w:jc w:val="right"/>
              <w:rPr>
                <w:rFonts w:cs="Arial"/>
                <w:color w:val="000000"/>
                <w:sz w:val="18"/>
                <w:szCs w:val="18"/>
              </w:rPr>
            </w:pPr>
            <w:r w:rsidRPr="00A2457F">
              <w:rPr>
                <w:rFonts w:cs="Arial"/>
                <w:color w:val="000000"/>
                <w:sz w:val="18"/>
                <w:szCs w:val="18"/>
              </w:rPr>
              <w:t xml:space="preserve">27.412.883 </w:t>
            </w:r>
          </w:p>
        </w:tc>
        <w:tc>
          <w:tcPr>
            <w:tcW w:w="758" w:type="pct"/>
            <w:tcBorders>
              <w:top w:val="nil"/>
              <w:left w:val="nil"/>
              <w:bottom w:val="nil"/>
              <w:right w:val="single" w:sz="4" w:space="0" w:color="auto"/>
            </w:tcBorders>
            <w:shd w:val="clear" w:color="auto" w:fill="auto"/>
            <w:noWrap/>
            <w:vAlign w:val="center"/>
            <w:hideMark/>
          </w:tcPr>
          <w:p w14:paraId="40012BC8" w14:textId="77777777" w:rsidR="005177C1" w:rsidRPr="00A2457F" w:rsidRDefault="005177C1" w:rsidP="005177C1">
            <w:pPr>
              <w:jc w:val="right"/>
              <w:rPr>
                <w:rFonts w:cs="Arial"/>
                <w:color w:val="000000"/>
                <w:sz w:val="18"/>
                <w:szCs w:val="18"/>
              </w:rPr>
            </w:pPr>
            <w:r w:rsidRPr="00A2457F">
              <w:rPr>
                <w:rFonts w:cs="Arial"/>
                <w:color w:val="000000"/>
                <w:sz w:val="18"/>
                <w:szCs w:val="18"/>
              </w:rPr>
              <w:t xml:space="preserve">25.325.594 </w:t>
            </w:r>
          </w:p>
        </w:tc>
        <w:tc>
          <w:tcPr>
            <w:tcW w:w="607" w:type="pct"/>
            <w:tcBorders>
              <w:top w:val="nil"/>
              <w:left w:val="nil"/>
              <w:bottom w:val="nil"/>
              <w:right w:val="single" w:sz="4" w:space="0" w:color="auto"/>
            </w:tcBorders>
            <w:vAlign w:val="center"/>
          </w:tcPr>
          <w:p w14:paraId="4AF2E47E" w14:textId="71A46298" w:rsidR="005177C1" w:rsidRPr="00A2457F" w:rsidRDefault="005177C1" w:rsidP="005177C1">
            <w:pPr>
              <w:jc w:val="center"/>
              <w:rPr>
                <w:rFonts w:cs="Arial"/>
                <w:color w:val="FF0000"/>
                <w:sz w:val="18"/>
                <w:szCs w:val="18"/>
              </w:rPr>
            </w:pPr>
            <w:r w:rsidRPr="00A2457F">
              <w:rPr>
                <w:rFonts w:cs="Arial"/>
                <w:color w:val="000000"/>
                <w:sz w:val="18"/>
                <w:szCs w:val="18"/>
              </w:rPr>
              <w:t>0,06</w:t>
            </w:r>
          </w:p>
        </w:tc>
        <w:tc>
          <w:tcPr>
            <w:tcW w:w="682" w:type="pct"/>
            <w:tcBorders>
              <w:top w:val="nil"/>
              <w:left w:val="single" w:sz="4" w:space="0" w:color="auto"/>
              <w:bottom w:val="nil"/>
              <w:right w:val="single" w:sz="4" w:space="0" w:color="auto"/>
            </w:tcBorders>
            <w:shd w:val="clear" w:color="auto" w:fill="auto"/>
            <w:noWrap/>
            <w:vAlign w:val="center"/>
            <w:hideMark/>
          </w:tcPr>
          <w:p w14:paraId="07F97E50" w14:textId="2F7F8A8C" w:rsidR="005177C1" w:rsidRPr="00A2457F" w:rsidRDefault="005177C1" w:rsidP="005177C1">
            <w:pPr>
              <w:jc w:val="right"/>
              <w:rPr>
                <w:rFonts w:cs="Arial"/>
                <w:color w:val="000000"/>
                <w:sz w:val="18"/>
                <w:szCs w:val="18"/>
              </w:rPr>
            </w:pPr>
            <w:r w:rsidRPr="00A2457F">
              <w:rPr>
                <w:rFonts w:cs="Arial"/>
                <w:color w:val="FF0000"/>
                <w:sz w:val="18"/>
                <w:szCs w:val="18"/>
              </w:rPr>
              <w:t>(2.087.289)</w:t>
            </w:r>
          </w:p>
        </w:tc>
        <w:tc>
          <w:tcPr>
            <w:tcW w:w="605" w:type="pct"/>
            <w:tcBorders>
              <w:top w:val="nil"/>
              <w:left w:val="nil"/>
              <w:bottom w:val="nil"/>
            </w:tcBorders>
            <w:shd w:val="clear" w:color="auto" w:fill="auto"/>
            <w:noWrap/>
            <w:vAlign w:val="center"/>
            <w:hideMark/>
          </w:tcPr>
          <w:p w14:paraId="096F70B3" w14:textId="77777777" w:rsidR="005177C1" w:rsidRPr="00A2457F" w:rsidRDefault="005177C1" w:rsidP="005177C1">
            <w:pPr>
              <w:jc w:val="center"/>
              <w:rPr>
                <w:rFonts w:cs="Arial"/>
                <w:color w:val="000000"/>
                <w:sz w:val="18"/>
                <w:szCs w:val="18"/>
              </w:rPr>
            </w:pPr>
            <w:r w:rsidRPr="00A2457F">
              <w:rPr>
                <w:rFonts w:cs="Arial"/>
                <w:color w:val="FF0000"/>
                <w:sz w:val="18"/>
                <w:szCs w:val="18"/>
              </w:rPr>
              <w:t>(7,61)</w:t>
            </w:r>
          </w:p>
        </w:tc>
      </w:tr>
      <w:tr w:rsidR="005177C1" w:rsidRPr="00A2457F" w14:paraId="461AA531" w14:textId="77777777" w:rsidTr="00854644">
        <w:trPr>
          <w:trHeight w:val="284"/>
        </w:trPr>
        <w:tc>
          <w:tcPr>
            <w:tcW w:w="1590" w:type="pct"/>
            <w:tcBorders>
              <w:top w:val="nil"/>
              <w:left w:val="nil"/>
              <w:bottom w:val="nil"/>
              <w:right w:val="single" w:sz="4" w:space="0" w:color="auto"/>
            </w:tcBorders>
            <w:shd w:val="clear" w:color="auto" w:fill="auto"/>
            <w:noWrap/>
            <w:vAlign w:val="center"/>
            <w:hideMark/>
          </w:tcPr>
          <w:p w14:paraId="4473EC7B" w14:textId="77777777" w:rsidR="005177C1" w:rsidRPr="00A2457F" w:rsidRDefault="005177C1" w:rsidP="005177C1">
            <w:pPr>
              <w:jc w:val="left"/>
              <w:rPr>
                <w:rFonts w:cs="Arial"/>
                <w:color w:val="000000"/>
                <w:sz w:val="18"/>
                <w:szCs w:val="18"/>
              </w:rPr>
            </w:pPr>
            <w:r w:rsidRPr="00A2457F">
              <w:rPr>
                <w:rFonts w:cs="Arial"/>
                <w:color w:val="000000"/>
                <w:sz w:val="18"/>
                <w:szCs w:val="18"/>
              </w:rPr>
              <w:t>Assembleia Legislativa</w:t>
            </w:r>
          </w:p>
        </w:tc>
        <w:tc>
          <w:tcPr>
            <w:tcW w:w="758" w:type="pct"/>
            <w:tcBorders>
              <w:top w:val="nil"/>
              <w:left w:val="nil"/>
              <w:bottom w:val="nil"/>
              <w:right w:val="single" w:sz="4" w:space="0" w:color="auto"/>
            </w:tcBorders>
            <w:shd w:val="clear" w:color="auto" w:fill="auto"/>
            <w:noWrap/>
            <w:vAlign w:val="center"/>
            <w:hideMark/>
          </w:tcPr>
          <w:p w14:paraId="2E43FC95" w14:textId="77777777" w:rsidR="005177C1" w:rsidRPr="00A2457F" w:rsidRDefault="005177C1" w:rsidP="005177C1">
            <w:pPr>
              <w:jc w:val="right"/>
              <w:rPr>
                <w:rFonts w:cs="Arial"/>
                <w:color w:val="000000"/>
                <w:sz w:val="18"/>
                <w:szCs w:val="18"/>
              </w:rPr>
            </w:pPr>
            <w:r w:rsidRPr="00A2457F">
              <w:rPr>
                <w:rFonts w:cs="Arial"/>
                <w:color w:val="000000"/>
                <w:sz w:val="18"/>
                <w:szCs w:val="18"/>
              </w:rPr>
              <w:t xml:space="preserve">12.541.000 </w:t>
            </w:r>
          </w:p>
        </w:tc>
        <w:tc>
          <w:tcPr>
            <w:tcW w:w="758" w:type="pct"/>
            <w:tcBorders>
              <w:top w:val="nil"/>
              <w:left w:val="nil"/>
              <w:bottom w:val="nil"/>
              <w:right w:val="single" w:sz="4" w:space="0" w:color="auto"/>
            </w:tcBorders>
            <w:shd w:val="clear" w:color="auto" w:fill="auto"/>
            <w:noWrap/>
            <w:vAlign w:val="center"/>
            <w:hideMark/>
          </w:tcPr>
          <w:p w14:paraId="013DA810" w14:textId="77777777" w:rsidR="005177C1" w:rsidRPr="00A2457F" w:rsidRDefault="005177C1" w:rsidP="005177C1">
            <w:pPr>
              <w:jc w:val="right"/>
              <w:rPr>
                <w:rFonts w:cs="Arial"/>
                <w:color w:val="000000"/>
                <w:sz w:val="18"/>
                <w:szCs w:val="18"/>
              </w:rPr>
            </w:pPr>
            <w:r w:rsidRPr="00A2457F">
              <w:rPr>
                <w:rFonts w:cs="Arial"/>
                <w:color w:val="000000"/>
                <w:sz w:val="18"/>
                <w:szCs w:val="18"/>
              </w:rPr>
              <w:t xml:space="preserve">16.496.647 </w:t>
            </w:r>
          </w:p>
        </w:tc>
        <w:tc>
          <w:tcPr>
            <w:tcW w:w="607" w:type="pct"/>
            <w:tcBorders>
              <w:top w:val="nil"/>
              <w:left w:val="nil"/>
              <w:bottom w:val="nil"/>
              <w:right w:val="single" w:sz="4" w:space="0" w:color="auto"/>
            </w:tcBorders>
            <w:vAlign w:val="center"/>
          </w:tcPr>
          <w:p w14:paraId="7070E2FC" w14:textId="4A675701" w:rsidR="005177C1" w:rsidRPr="00A2457F" w:rsidRDefault="005177C1" w:rsidP="005177C1">
            <w:pPr>
              <w:jc w:val="center"/>
              <w:rPr>
                <w:rFonts w:cs="Arial"/>
                <w:color w:val="000000"/>
                <w:sz w:val="18"/>
                <w:szCs w:val="18"/>
              </w:rPr>
            </w:pPr>
            <w:r w:rsidRPr="00A2457F">
              <w:rPr>
                <w:rFonts w:cs="Arial"/>
                <w:color w:val="000000"/>
                <w:sz w:val="18"/>
                <w:szCs w:val="18"/>
              </w:rPr>
              <w:t>0,04</w:t>
            </w:r>
          </w:p>
        </w:tc>
        <w:tc>
          <w:tcPr>
            <w:tcW w:w="682" w:type="pct"/>
            <w:tcBorders>
              <w:top w:val="nil"/>
              <w:left w:val="single" w:sz="4" w:space="0" w:color="auto"/>
              <w:bottom w:val="nil"/>
              <w:right w:val="single" w:sz="4" w:space="0" w:color="auto"/>
            </w:tcBorders>
            <w:shd w:val="clear" w:color="auto" w:fill="auto"/>
            <w:noWrap/>
            <w:vAlign w:val="center"/>
            <w:hideMark/>
          </w:tcPr>
          <w:p w14:paraId="35652FAD" w14:textId="63348220" w:rsidR="005177C1" w:rsidRPr="00A2457F" w:rsidRDefault="005177C1" w:rsidP="005177C1">
            <w:pPr>
              <w:jc w:val="right"/>
              <w:rPr>
                <w:rFonts w:cs="Arial"/>
                <w:color w:val="000000"/>
                <w:sz w:val="18"/>
                <w:szCs w:val="18"/>
              </w:rPr>
            </w:pPr>
            <w:r w:rsidRPr="00A2457F">
              <w:rPr>
                <w:rFonts w:cs="Arial"/>
                <w:color w:val="000000"/>
                <w:sz w:val="18"/>
                <w:szCs w:val="18"/>
              </w:rPr>
              <w:t xml:space="preserve">3.955.647 </w:t>
            </w:r>
          </w:p>
        </w:tc>
        <w:tc>
          <w:tcPr>
            <w:tcW w:w="605" w:type="pct"/>
            <w:tcBorders>
              <w:top w:val="nil"/>
              <w:left w:val="nil"/>
              <w:bottom w:val="nil"/>
            </w:tcBorders>
            <w:shd w:val="clear" w:color="auto" w:fill="auto"/>
            <w:noWrap/>
            <w:vAlign w:val="center"/>
            <w:hideMark/>
          </w:tcPr>
          <w:p w14:paraId="05E2CCBB" w14:textId="77777777" w:rsidR="005177C1" w:rsidRPr="00A2457F" w:rsidRDefault="005177C1" w:rsidP="005177C1">
            <w:pPr>
              <w:jc w:val="center"/>
              <w:rPr>
                <w:rFonts w:cs="Arial"/>
                <w:color w:val="000000"/>
                <w:sz w:val="18"/>
                <w:szCs w:val="18"/>
              </w:rPr>
            </w:pPr>
            <w:r w:rsidRPr="00A2457F">
              <w:rPr>
                <w:rFonts w:cs="Arial"/>
                <w:color w:val="000000"/>
                <w:sz w:val="18"/>
                <w:szCs w:val="18"/>
              </w:rPr>
              <w:t xml:space="preserve">31,54 </w:t>
            </w:r>
          </w:p>
        </w:tc>
      </w:tr>
      <w:tr w:rsidR="005177C1" w:rsidRPr="00A2457F" w14:paraId="61AF56D2" w14:textId="77777777" w:rsidTr="00854644">
        <w:trPr>
          <w:trHeight w:val="284"/>
        </w:trPr>
        <w:tc>
          <w:tcPr>
            <w:tcW w:w="1590" w:type="pct"/>
            <w:tcBorders>
              <w:top w:val="nil"/>
              <w:left w:val="nil"/>
              <w:bottom w:val="nil"/>
              <w:right w:val="single" w:sz="4" w:space="0" w:color="auto"/>
            </w:tcBorders>
            <w:shd w:val="clear" w:color="auto" w:fill="auto"/>
            <w:noWrap/>
            <w:vAlign w:val="center"/>
            <w:hideMark/>
          </w:tcPr>
          <w:p w14:paraId="0740123C" w14:textId="77777777" w:rsidR="005177C1" w:rsidRPr="00A2457F" w:rsidRDefault="005177C1" w:rsidP="005177C1">
            <w:pPr>
              <w:jc w:val="left"/>
              <w:rPr>
                <w:rFonts w:cs="Arial"/>
                <w:color w:val="000000"/>
                <w:sz w:val="18"/>
                <w:szCs w:val="18"/>
              </w:rPr>
            </w:pPr>
            <w:r w:rsidRPr="00A2457F">
              <w:rPr>
                <w:rFonts w:cs="Arial"/>
                <w:color w:val="000000"/>
                <w:sz w:val="18"/>
                <w:szCs w:val="18"/>
              </w:rPr>
              <w:t>Tribunal de Contas do Estado</w:t>
            </w:r>
          </w:p>
        </w:tc>
        <w:tc>
          <w:tcPr>
            <w:tcW w:w="758" w:type="pct"/>
            <w:tcBorders>
              <w:top w:val="nil"/>
              <w:left w:val="nil"/>
              <w:bottom w:val="nil"/>
              <w:right w:val="single" w:sz="4" w:space="0" w:color="auto"/>
            </w:tcBorders>
            <w:shd w:val="clear" w:color="auto" w:fill="auto"/>
            <w:noWrap/>
            <w:vAlign w:val="center"/>
            <w:hideMark/>
          </w:tcPr>
          <w:p w14:paraId="40083B93" w14:textId="77777777" w:rsidR="005177C1" w:rsidRPr="00A2457F" w:rsidRDefault="005177C1" w:rsidP="005177C1">
            <w:pPr>
              <w:jc w:val="right"/>
              <w:rPr>
                <w:rFonts w:cs="Arial"/>
                <w:color w:val="000000"/>
                <w:sz w:val="18"/>
                <w:szCs w:val="18"/>
              </w:rPr>
            </w:pPr>
            <w:r w:rsidRPr="00A2457F">
              <w:rPr>
                <w:rFonts w:cs="Arial"/>
                <w:color w:val="000000"/>
                <w:sz w:val="18"/>
                <w:szCs w:val="18"/>
              </w:rPr>
              <w:t xml:space="preserve">5.023.000 </w:t>
            </w:r>
          </w:p>
        </w:tc>
        <w:tc>
          <w:tcPr>
            <w:tcW w:w="758" w:type="pct"/>
            <w:tcBorders>
              <w:top w:val="nil"/>
              <w:left w:val="nil"/>
              <w:bottom w:val="nil"/>
              <w:right w:val="single" w:sz="4" w:space="0" w:color="auto"/>
            </w:tcBorders>
            <w:shd w:val="clear" w:color="auto" w:fill="auto"/>
            <w:noWrap/>
            <w:vAlign w:val="center"/>
            <w:hideMark/>
          </w:tcPr>
          <w:p w14:paraId="16E23D96" w14:textId="77777777" w:rsidR="005177C1" w:rsidRPr="00A2457F" w:rsidRDefault="005177C1" w:rsidP="005177C1">
            <w:pPr>
              <w:jc w:val="right"/>
              <w:rPr>
                <w:rFonts w:cs="Arial"/>
                <w:color w:val="000000"/>
                <w:sz w:val="18"/>
                <w:szCs w:val="18"/>
              </w:rPr>
            </w:pPr>
            <w:r w:rsidRPr="00A2457F">
              <w:rPr>
                <w:rFonts w:cs="Arial"/>
                <w:color w:val="000000"/>
                <w:sz w:val="18"/>
                <w:szCs w:val="18"/>
              </w:rPr>
              <w:t xml:space="preserve">9.203.166 </w:t>
            </w:r>
          </w:p>
        </w:tc>
        <w:tc>
          <w:tcPr>
            <w:tcW w:w="607" w:type="pct"/>
            <w:tcBorders>
              <w:top w:val="nil"/>
              <w:left w:val="nil"/>
              <w:bottom w:val="nil"/>
              <w:right w:val="single" w:sz="4" w:space="0" w:color="auto"/>
            </w:tcBorders>
            <w:vAlign w:val="center"/>
          </w:tcPr>
          <w:p w14:paraId="3F254D3E" w14:textId="7981AFE1" w:rsidR="005177C1" w:rsidRPr="00A2457F" w:rsidRDefault="005177C1" w:rsidP="005177C1">
            <w:pPr>
              <w:jc w:val="center"/>
              <w:rPr>
                <w:rFonts w:cs="Arial"/>
                <w:color w:val="000000"/>
                <w:sz w:val="18"/>
                <w:szCs w:val="18"/>
              </w:rPr>
            </w:pPr>
            <w:r w:rsidRPr="00A2457F">
              <w:rPr>
                <w:rFonts w:cs="Arial"/>
                <w:color w:val="000000"/>
                <w:sz w:val="18"/>
                <w:szCs w:val="18"/>
              </w:rPr>
              <w:t>0,02</w:t>
            </w:r>
          </w:p>
        </w:tc>
        <w:tc>
          <w:tcPr>
            <w:tcW w:w="682" w:type="pct"/>
            <w:tcBorders>
              <w:top w:val="nil"/>
              <w:left w:val="single" w:sz="4" w:space="0" w:color="auto"/>
              <w:bottom w:val="nil"/>
              <w:right w:val="single" w:sz="4" w:space="0" w:color="auto"/>
            </w:tcBorders>
            <w:shd w:val="clear" w:color="auto" w:fill="auto"/>
            <w:noWrap/>
            <w:vAlign w:val="center"/>
            <w:hideMark/>
          </w:tcPr>
          <w:p w14:paraId="00616C67" w14:textId="35C0C3D3" w:rsidR="005177C1" w:rsidRPr="00A2457F" w:rsidRDefault="005177C1" w:rsidP="005177C1">
            <w:pPr>
              <w:jc w:val="right"/>
              <w:rPr>
                <w:rFonts w:cs="Arial"/>
                <w:color w:val="000000"/>
                <w:sz w:val="18"/>
                <w:szCs w:val="18"/>
              </w:rPr>
            </w:pPr>
            <w:r w:rsidRPr="00A2457F">
              <w:rPr>
                <w:rFonts w:cs="Arial"/>
                <w:color w:val="000000"/>
                <w:sz w:val="18"/>
                <w:szCs w:val="18"/>
              </w:rPr>
              <w:t xml:space="preserve">4.180.166 </w:t>
            </w:r>
          </w:p>
        </w:tc>
        <w:tc>
          <w:tcPr>
            <w:tcW w:w="605" w:type="pct"/>
            <w:tcBorders>
              <w:top w:val="nil"/>
              <w:left w:val="nil"/>
              <w:bottom w:val="nil"/>
            </w:tcBorders>
            <w:shd w:val="clear" w:color="auto" w:fill="auto"/>
            <w:noWrap/>
            <w:vAlign w:val="center"/>
            <w:hideMark/>
          </w:tcPr>
          <w:p w14:paraId="348854C8" w14:textId="77777777" w:rsidR="005177C1" w:rsidRPr="00A2457F" w:rsidRDefault="005177C1" w:rsidP="005177C1">
            <w:pPr>
              <w:jc w:val="center"/>
              <w:rPr>
                <w:rFonts w:cs="Arial"/>
                <w:color w:val="000000"/>
                <w:sz w:val="18"/>
                <w:szCs w:val="18"/>
              </w:rPr>
            </w:pPr>
            <w:r w:rsidRPr="00A2457F">
              <w:rPr>
                <w:rFonts w:cs="Arial"/>
                <w:color w:val="000000"/>
                <w:sz w:val="18"/>
                <w:szCs w:val="18"/>
              </w:rPr>
              <w:t xml:space="preserve">83,22 </w:t>
            </w:r>
          </w:p>
        </w:tc>
      </w:tr>
      <w:tr w:rsidR="005177C1" w:rsidRPr="00A2457F" w14:paraId="62A8DFBA" w14:textId="77777777" w:rsidTr="00854644">
        <w:trPr>
          <w:trHeight w:val="284"/>
        </w:trPr>
        <w:tc>
          <w:tcPr>
            <w:tcW w:w="1590" w:type="pct"/>
            <w:tcBorders>
              <w:top w:val="nil"/>
              <w:left w:val="nil"/>
              <w:bottom w:val="single" w:sz="4" w:space="0" w:color="auto"/>
              <w:right w:val="single" w:sz="4" w:space="0" w:color="auto"/>
            </w:tcBorders>
            <w:shd w:val="clear" w:color="auto" w:fill="auto"/>
            <w:noWrap/>
            <w:vAlign w:val="center"/>
            <w:hideMark/>
          </w:tcPr>
          <w:p w14:paraId="1EA29A05" w14:textId="77777777" w:rsidR="005177C1" w:rsidRPr="00A2457F" w:rsidRDefault="005177C1" w:rsidP="005177C1">
            <w:pPr>
              <w:jc w:val="left"/>
              <w:rPr>
                <w:rFonts w:cs="Arial"/>
                <w:color w:val="000000"/>
                <w:sz w:val="18"/>
                <w:szCs w:val="18"/>
              </w:rPr>
            </w:pPr>
            <w:r w:rsidRPr="00A2457F">
              <w:rPr>
                <w:rFonts w:cs="Arial"/>
                <w:color w:val="000000"/>
                <w:sz w:val="18"/>
                <w:szCs w:val="18"/>
              </w:rPr>
              <w:t>Tribunal de Contas dos Municípios</w:t>
            </w:r>
          </w:p>
        </w:tc>
        <w:tc>
          <w:tcPr>
            <w:tcW w:w="758" w:type="pct"/>
            <w:tcBorders>
              <w:top w:val="nil"/>
              <w:left w:val="nil"/>
              <w:bottom w:val="single" w:sz="4" w:space="0" w:color="auto"/>
              <w:right w:val="single" w:sz="4" w:space="0" w:color="auto"/>
            </w:tcBorders>
            <w:shd w:val="clear" w:color="auto" w:fill="auto"/>
            <w:noWrap/>
            <w:vAlign w:val="center"/>
            <w:hideMark/>
          </w:tcPr>
          <w:p w14:paraId="5EFB8296" w14:textId="77777777" w:rsidR="005177C1" w:rsidRPr="00A2457F" w:rsidRDefault="005177C1" w:rsidP="005177C1">
            <w:pPr>
              <w:jc w:val="right"/>
              <w:rPr>
                <w:rFonts w:cs="Arial"/>
                <w:color w:val="000000"/>
                <w:sz w:val="18"/>
                <w:szCs w:val="18"/>
              </w:rPr>
            </w:pPr>
            <w:r w:rsidRPr="00A2457F">
              <w:rPr>
                <w:rFonts w:cs="Arial"/>
                <w:color w:val="000000"/>
                <w:sz w:val="18"/>
                <w:szCs w:val="18"/>
              </w:rPr>
              <w:t xml:space="preserve">3.866.000 </w:t>
            </w:r>
          </w:p>
        </w:tc>
        <w:tc>
          <w:tcPr>
            <w:tcW w:w="758" w:type="pct"/>
            <w:tcBorders>
              <w:top w:val="nil"/>
              <w:left w:val="nil"/>
              <w:bottom w:val="single" w:sz="4" w:space="0" w:color="auto"/>
              <w:right w:val="single" w:sz="4" w:space="0" w:color="auto"/>
            </w:tcBorders>
            <w:shd w:val="clear" w:color="auto" w:fill="auto"/>
            <w:noWrap/>
            <w:vAlign w:val="center"/>
            <w:hideMark/>
          </w:tcPr>
          <w:p w14:paraId="71CDAD59" w14:textId="77777777" w:rsidR="005177C1" w:rsidRPr="00A2457F" w:rsidRDefault="005177C1" w:rsidP="005177C1">
            <w:pPr>
              <w:jc w:val="right"/>
              <w:rPr>
                <w:rFonts w:cs="Arial"/>
                <w:color w:val="000000"/>
                <w:sz w:val="18"/>
                <w:szCs w:val="18"/>
              </w:rPr>
            </w:pPr>
            <w:r w:rsidRPr="00A2457F">
              <w:rPr>
                <w:rFonts w:cs="Arial"/>
                <w:color w:val="000000"/>
                <w:sz w:val="18"/>
                <w:szCs w:val="18"/>
              </w:rPr>
              <w:t xml:space="preserve">6.613.411 </w:t>
            </w:r>
          </w:p>
        </w:tc>
        <w:tc>
          <w:tcPr>
            <w:tcW w:w="607" w:type="pct"/>
            <w:tcBorders>
              <w:top w:val="nil"/>
              <w:left w:val="nil"/>
              <w:bottom w:val="single" w:sz="4" w:space="0" w:color="auto"/>
              <w:right w:val="single" w:sz="4" w:space="0" w:color="auto"/>
            </w:tcBorders>
            <w:vAlign w:val="center"/>
          </w:tcPr>
          <w:p w14:paraId="4E919415" w14:textId="7F4547DD" w:rsidR="005177C1" w:rsidRPr="00A2457F" w:rsidRDefault="005177C1" w:rsidP="005177C1">
            <w:pPr>
              <w:jc w:val="center"/>
              <w:rPr>
                <w:rFonts w:cs="Arial"/>
                <w:color w:val="000000"/>
                <w:sz w:val="18"/>
                <w:szCs w:val="18"/>
              </w:rPr>
            </w:pPr>
            <w:r w:rsidRPr="00A2457F">
              <w:rPr>
                <w:rFonts w:cs="Arial"/>
                <w:color w:val="000000"/>
                <w:sz w:val="18"/>
                <w:szCs w:val="18"/>
              </w:rPr>
              <w:t>0,02</w:t>
            </w:r>
          </w:p>
        </w:tc>
        <w:tc>
          <w:tcPr>
            <w:tcW w:w="682" w:type="pct"/>
            <w:tcBorders>
              <w:top w:val="nil"/>
              <w:left w:val="single" w:sz="4" w:space="0" w:color="auto"/>
              <w:bottom w:val="single" w:sz="4" w:space="0" w:color="auto"/>
              <w:right w:val="single" w:sz="4" w:space="0" w:color="auto"/>
            </w:tcBorders>
            <w:shd w:val="clear" w:color="auto" w:fill="auto"/>
            <w:noWrap/>
            <w:vAlign w:val="center"/>
            <w:hideMark/>
          </w:tcPr>
          <w:p w14:paraId="7A802F02" w14:textId="15112A54" w:rsidR="005177C1" w:rsidRPr="00A2457F" w:rsidRDefault="005177C1" w:rsidP="005177C1">
            <w:pPr>
              <w:jc w:val="right"/>
              <w:rPr>
                <w:rFonts w:cs="Arial"/>
                <w:color w:val="000000"/>
                <w:sz w:val="18"/>
                <w:szCs w:val="18"/>
              </w:rPr>
            </w:pPr>
            <w:r w:rsidRPr="00A2457F">
              <w:rPr>
                <w:rFonts w:cs="Arial"/>
                <w:color w:val="000000"/>
                <w:sz w:val="18"/>
                <w:szCs w:val="18"/>
              </w:rPr>
              <w:t xml:space="preserve">2.747.411 </w:t>
            </w:r>
          </w:p>
        </w:tc>
        <w:tc>
          <w:tcPr>
            <w:tcW w:w="605" w:type="pct"/>
            <w:tcBorders>
              <w:top w:val="nil"/>
              <w:left w:val="nil"/>
              <w:bottom w:val="nil"/>
            </w:tcBorders>
            <w:shd w:val="clear" w:color="auto" w:fill="auto"/>
            <w:noWrap/>
            <w:vAlign w:val="center"/>
            <w:hideMark/>
          </w:tcPr>
          <w:p w14:paraId="22984D59" w14:textId="77777777" w:rsidR="005177C1" w:rsidRPr="00A2457F" w:rsidRDefault="005177C1" w:rsidP="005177C1">
            <w:pPr>
              <w:jc w:val="center"/>
              <w:rPr>
                <w:rFonts w:cs="Arial"/>
                <w:color w:val="000000"/>
                <w:sz w:val="18"/>
                <w:szCs w:val="18"/>
              </w:rPr>
            </w:pPr>
            <w:r w:rsidRPr="00A2457F">
              <w:rPr>
                <w:rFonts w:cs="Arial"/>
                <w:color w:val="000000"/>
                <w:sz w:val="18"/>
                <w:szCs w:val="18"/>
              </w:rPr>
              <w:t xml:space="preserve">71,07 </w:t>
            </w:r>
          </w:p>
        </w:tc>
      </w:tr>
      <w:tr w:rsidR="005177C1" w:rsidRPr="00A2457F" w14:paraId="76A34BC8" w14:textId="77777777" w:rsidTr="00854644">
        <w:trPr>
          <w:trHeight w:val="284"/>
        </w:trPr>
        <w:tc>
          <w:tcPr>
            <w:tcW w:w="1590" w:type="pct"/>
            <w:tcBorders>
              <w:top w:val="nil"/>
              <w:left w:val="nil"/>
              <w:bottom w:val="single" w:sz="4" w:space="0" w:color="auto"/>
              <w:right w:val="single" w:sz="4" w:space="0" w:color="auto"/>
            </w:tcBorders>
            <w:shd w:val="clear" w:color="auto" w:fill="auto"/>
            <w:noWrap/>
            <w:vAlign w:val="center"/>
            <w:hideMark/>
          </w:tcPr>
          <w:p w14:paraId="039BC2DB" w14:textId="77777777" w:rsidR="005177C1" w:rsidRPr="00A2457F" w:rsidRDefault="005177C1" w:rsidP="005177C1">
            <w:pPr>
              <w:jc w:val="center"/>
              <w:rPr>
                <w:rFonts w:cs="Arial"/>
                <w:b/>
                <w:bCs/>
                <w:color w:val="000000"/>
                <w:sz w:val="18"/>
                <w:szCs w:val="18"/>
              </w:rPr>
            </w:pPr>
            <w:r w:rsidRPr="00A2457F">
              <w:rPr>
                <w:rFonts w:cs="Arial"/>
                <w:b/>
                <w:bCs/>
                <w:color w:val="000000"/>
                <w:sz w:val="18"/>
                <w:szCs w:val="18"/>
              </w:rPr>
              <w:t>Total</w:t>
            </w:r>
          </w:p>
        </w:tc>
        <w:tc>
          <w:tcPr>
            <w:tcW w:w="758" w:type="pct"/>
            <w:tcBorders>
              <w:top w:val="nil"/>
              <w:left w:val="nil"/>
              <w:bottom w:val="single" w:sz="4" w:space="0" w:color="auto"/>
              <w:right w:val="single" w:sz="4" w:space="0" w:color="auto"/>
            </w:tcBorders>
            <w:shd w:val="clear" w:color="auto" w:fill="auto"/>
            <w:noWrap/>
            <w:vAlign w:val="center"/>
            <w:hideMark/>
          </w:tcPr>
          <w:p w14:paraId="098F0EB3" w14:textId="77777777" w:rsidR="005177C1" w:rsidRPr="00A2457F" w:rsidRDefault="005177C1" w:rsidP="005177C1">
            <w:pPr>
              <w:jc w:val="right"/>
              <w:rPr>
                <w:rFonts w:cs="Arial"/>
                <w:b/>
                <w:bCs/>
                <w:color w:val="000000"/>
                <w:sz w:val="18"/>
                <w:szCs w:val="18"/>
              </w:rPr>
            </w:pPr>
            <w:r w:rsidRPr="00A2457F">
              <w:rPr>
                <w:rFonts w:cs="Arial"/>
                <w:b/>
                <w:bCs/>
                <w:color w:val="000000"/>
                <w:sz w:val="18"/>
                <w:szCs w:val="18"/>
              </w:rPr>
              <w:t xml:space="preserve">40.956.132.484 </w:t>
            </w:r>
          </w:p>
        </w:tc>
        <w:tc>
          <w:tcPr>
            <w:tcW w:w="758" w:type="pct"/>
            <w:tcBorders>
              <w:top w:val="nil"/>
              <w:left w:val="nil"/>
              <w:bottom w:val="single" w:sz="4" w:space="0" w:color="auto"/>
              <w:right w:val="single" w:sz="4" w:space="0" w:color="auto"/>
            </w:tcBorders>
            <w:shd w:val="clear" w:color="auto" w:fill="auto"/>
            <w:noWrap/>
            <w:vAlign w:val="center"/>
            <w:hideMark/>
          </w:tcPr>
          <w:p w14:paraId="503392E9" w14:textId="77777777" w:rsidR="005177C1" w:rsidRPr="00A2457F" w:rsidRDefault="005177C1" w:rsidP="005177C1">
            <w:pPr>
              <w:jc w:val="right"/>
              <w:rPr>
                <w:rFonts w:cs="Arial"/>
                <w:b/>
                <w:bCs/>
                <w:color w:val="000000"/>
                <w:sz w:val="18"/>
                <w:szCs w:val="18"/>
              </w:rPr>
            </w:pPr>
            <w:r w:rsidRPr="00A2457F">
              <w:rPr>
                <w:rFonts w:cs="Arial"/>
                <w:b/>
                <w:bCs/>
                <w:color w:val="000000"/>
                <w:sz w:val="18"/>
                <w:szCs w:val="18"/>
              </w:rPr>
              <w:t xml:space="preserve">41.984.711.516 </w:t>
            </w:r>
          </w:p>
        </w:tc>
        <w:tc>
          <w:tcPr>
            <w:tcW w:w="607" w:type="pct"/>
            <w:tcBorders>
              <w:top w:val="nil"/>
              <w:left w:val="nil"/>
              <w:bottom w:val="single" w:sz="4" w:space="0" w:color="auto"/>
              <w:right w:val="single" w:sz="4" w:space="0" w:color="auto"/>
            </w:tcBorders>
            <w:vAlign w:val="center"/>
          </w:tcPr>
          <w:p w14:paraId="68ACA97E" w14:textId="40B088B8" w:rsidR="005177C1" w:rsidRPr="00A2457F" w:rsidRDefault="005177C1" w:rsidP="005177C1">
            <w:pPr>
              <w:jc w:val="center"/>
              <w:rPr>
                <w:rFonts w:cs="Arial"/>
                <w:b/>
                <w:bCs/>
                <w:color w:val="000000"/>
                <w:sz w:val="18"/>
                <w:szCs w:val="18"/>
              </w:rPr>
            </w:pPr>
            <w:r w:rsidRPr="00A2457F">
              <w:rPr>
                <w:rFonts w:cs="Arial"/>
                <w:b/>
                <w:bCs/>
                <w:color w:val="000000"/>
                <w:sz w:val="18"/>
                <w:szCs w:val="18"/>
              </w:rPr>
              <w:t>100,00</w:t>
            </w:r>
          </w:p>
        </w:tc>
        <w:tc>
          <w:tcPr>
            <w:tcW w:w="682" w:type="pct"/>
            <w:tcBorders>
              <w:top w:val="nil"/>
              <w:left w:val="single" w:sz="4" w:space="0" w:color="auto"/>
              <w:bottom w:val="single" w:sz="4" w:space="0" w:color="auto"/>
              <w:right w:val="single" w:sz="4" w:space="0" w:color="auto"/>
            </w:tcBorders>
            <w:shd w:val="clear" w:color="auto" w:fill="auto"/>
            <w:noWrap/>
            <w:vAlign w:val="center"/>
            <w:hideMark/>
          </w:tcPr>
          <w:p w14:paraId="6597E316" w14:textId="41EAD2FA" w:rsidR="005177C1" w:rsidRPr="00A2457F" w:rsidRDefault="005177C1" w:rsidP="00504723">
            <w:pPr>
              <w:ind w:hanging="74"/>
              <w:jc w:val="right"/>
              <w:rPr>
                <w:rFonts w:cs="Arial"/>
                <w:b/>
                <w:bCs/>
                <w:color w:val="000000"/>
                <w:sz w:val="18"/>
                <w:szCs w:val="18"/>
              </w:rPr>
            </w:pPr>
            <w:r w:rsidRPr="00A2457F">
              <w:rPr>
                <w:rFonts w:cs="Arial"/>
                <w:b/>
                <w:bCs/>
                <w:color w:val="000000"/>
                <w:sz w:val="18"/>
                <w:szCs w:val="18"/>
              </w:rPr>
              <w:t xml:space="preserve">1.028.579.032 </w:t>
            </w:r>
          </w:p>
        </w:tc>
        <w:tc>
          <w:tcPr>
            <w:tcW w:w="605" w:type="pct"/>
            <w:tcBorders>
              <w:top w:val="single" w:sz="4" w:space="0" w:color="auto"/>
              <w:left w:val="nil"/>
              <w:bottom w:val="single" w:sz="4" w:space="0" w:color="auto"/>
            </w:tcBorders>
            <w:shd w:val="clear" w:color="auto" w:fill="auto"/>
            <w:noWrap/>
            <w:vAlign w:val="center"/>
            <w:hideMark/>
          </w:tcPr>
          <w:p w14:paraId="0EEFB928" w14:textId="77777777" w:rsidR="005177C1" w:rsidRPr="00A2457F" w:rsidRDefault="005177C1" w:rsidP="005177C1">
            <w:pPr>
              <w:jc w:val="center"/>
              <w:rPr>
                <w:rFonts w:cs="Arial"/>
                <w:b/>
                <w:bCs/>
                <w:color w:val="000000"/>
                <w:sz w:val="18"/>
                <w:szCs w:val="18"/>
              </w:rPr>
            </w:pPr>
            <w:r w:rsidRPr="00A2457F">
              <w:rPr>
                <w:rFonts w:cs="Arial"/>
                <w:b/>
                <w:bCs/>
                <w:color w:val="000000"/>
                <w:sz w:val="18"/>
                <w:szCs w:val="18"/>
              </w:rPr>
              <w:t xml:space="preserve">2,51 </w:t>
            </w:r>
          </w:p>
        </w:tc>
      </w:tr>
    </w:tbl>
    <w:p w14:paraId="719F2067" w14:textId="77777777" w:rsidR="00A96988" w:rsidRPr="00333D34" w:rsidRDefault="00A96988" w:rsidP="00EF01A1">
      <w:pPr>
        <w:pStyle w:val="1-FONTE8ESQ"/>
        <w:rPr>
          <w:rStyle w:val="Forte"/>
          <w:b w:val="0"/>
          <w:bCs w:val="0"/>
        </w:rPr>
      </w:pPr>
      <w:r>
        <w:rPr>
          <w:rStyle w:val="Forte"/>
          <w:b w:val="0"/>
          <w:bCs w:val="0"/>
        </w:rPr>
        <w:t>Font</w:t>
      </w:r>
      <w:r w:rsidRPr="00333D34">
        <w:rPr>
          <w:rStyle w:val="Forte"/>
          <w:b w:val="0"/>
          <w:bCs w:val="0"/>
        </w:rPr>
        <w:t xml:space="preserve">e: </w:t>
      </w:r>
      <w:r>
        <w:rPr>
          <w:rStyle w:val="Forte"/>
          <w:b w:val="0"/>
          <w:bCs w:val="0"/>
        </w:rPr>
        <w:t>Balanço Orçamentário – Anexo 12 (BGE 2023)</w:t>
      </w:r>
    </w:p>
    <w:p w14:paraId="00AB0D3A" w14:textId="77777777" w:rsidR="00A96988" w:rsidRPr="00D7707D" w:rsidRDefault="00A96988" w:rsidP="00A96988">
      <w:pPr>
        <w:pStyle w:val="1-REL11"/>
      </w:pPr>
      <w:r>
        <w:t xml:space="preserve">Conforme demonstrado na tabela acima, com exceção da Defensoria Púbica, todos os Poderes e Órgãos Autônomos obtiveram excesso de arrecadação no período. Naturalmente, por gerir o </w:t>
      </w:r>
      <w:r w:rsidRPr="00D7707D">
        <w:t>Tesouro Estadual, o Poder Executivo auferiu 96,95% da arrecadação total no Estado.</w:t>
      </w:r>
    </w:p>
    <w:p w14:paraId="3D271CA6" w14:textId="77777777" w:rsidR="00A96988" w:rsidRPr="00D7707D" w:rsidRDefault="00A96988" w:rsidP="00A96988">
      <w:pPr>
        <w:pStyle w:val="1-REL11"/>
      </w:pPr>
      <w:r w:rsidRPr="00D7707D">
        <w:t>Em relação às empresas dependentes, a arrecadação do exercício apresentou o seguinte resultado:</w:t>
      </w:r>
    </w:p>
    <w:p w14:paraId="2082D716" w14:textId="77777777" w:rsidR="00A96988" w:rsidRPr="0005722B" w:rsidRDefault="00A96988" w:rsidP="00ED3571">
      <w:pPr>
        <w:pStyle w:val="0-TABELA"/>
      </w:pPr>
      <w:bookmarkStart w:id="70" w:name="_Toc167871734"/>
      <w:r w:rsidRPr="0005722B">
        <w:t xml:space="preserve">Arrecadação </w:t>
      </w:r>
      <w:r>
        <w:t>das Empresas Dependentes</w:t>
      </w:r>
      <w:bookmarkEnd w:id="70"/>
    </w:p>
    <w:p w14:paraId="56823092" w14:textId="77777777" w:rsidR="00A96988" w:rsidRPr="000B50C3" w:rsidRDefault="00A96988" w:rsidP="00A96988">
      <w:pPr>
        <w:pStyle w:val="0-EmR1"/>
        <w:rPr>
          <w:highlight w:val="yellow"/>
        </w:rPr>
      </w:pPr>
      <w:r w:rsidRPr="00333D34">
        <w:t>R$ 1</w:t>
      </w:r>
    </w:p>
    <w:tbl>
      <w:tblPr>
        <w:tblW w:w="5000" w:type="pct"/>
        <w:tblLayout w:type="fixed"/>
        <w:tblCellMar>
          <w:left w:w="70" w:type="dxa"/>
          <w:right w:w="70" w:type="dxa"/>
        </w:tblCellMar>
        <w:tblLook w:val="04A0" w:firstRow="1" w:lastRow="0" w:firstColumn="1" w:lastColumn="0" w:noHBand="0" w:noVBand="1"/>
      </w:tblPr>
      <w:tblGrid>
        <w:gridCol w:w="566"/>
        <w:gridCol w:w="4253"/>
        <w:gridCol w:w="1276"/>
        <w:gridCol w:w="1134"/>
        <w:gridCol w:w="1134"/>
        <w:gridCol w:w="990"/>
      </w:tblGrid>
      <w:tr w:rsidR="005947F4" w:rsidRPr="0099566D" w14:paraId="0F23F5C5" w14:textId="77777777" w:rsidTr="00AF12E0">
        <w:trPr>
          <w:trHeight w:val="545"/>
          <w:tblHeader/>
        </w:trPr>
        <w:tc>
          <w:tcPr>
            <w:tcW w:w="303" w:type="pct"/>
            <w:vMerge w:val="restart"/>
            <w:tcBorders>
              <w:top w:val="single" w:sz="4" w:space="0" w:color="auto"/>
              <w:left w:val="nil"/>
              <w:right w:val="single" w:sz="4" w:space="0" w:color="auto"/>
            </w:tcBorders>
            <w:shd w:val="clear" w:color="000000" w:fill="A1F2FD"/>
            <w:vAlign w:val="center"/>
            <w:hideMark/>
          </w:tcPr>
          <w:p w14:paraId="5B8E391D" w14:textId="77777777" w:rsidR="005947F4" w:rsidRPr="0099566D" w:rsidRDefault="005947F4" w:rsidP="00A96988">
            <w:pPr>
              <w:jc w:val="center"/>
              <w:rPr>
                <w:rFonts w:cs="Arial"/>
                <w:b/>
                <w:bCs/>
                <w:color w:val="000000"/>
                <w:sz w:val="18"/>
                <w:szCs w:val="18"/>
              </w:rPr>
            </w:pPr>
            <w:r w:rsidRPr="0099566D">
              <w:rPr>
                <w:rFonts w:cs="Arial"/>
                <w:b/>
                <w:bCs/>
                <w:color w:val="000000"/>
                <w:sz w:val="18"/>
                <w:szCs w:val="18"/>
              </w:rPr>
              <w:t>UO</w:t>
            </w:r>
            <w:r w:rsidRPr="0099566D">
              <w:rPr>
                <w:rFonts w:cs="Arial"/>
                <w:b/>
                <w:bCs/>
                <w:color w:val="000000"/>
                <w:sz w:val="18"/>
                <w:szCs w:val="18"/>
                <w:vertAlign w:val="superscript"/>
              </w:rPr>
              <w:t>1</w:t>
            </w:r>
          </w:p>
        </w:tc>
        <w:tc>
          <w:tcPr>
            <w:tcW w:w="2274" w:type="pct"/>
            <w:vMerge w:val="restart"/>
            <w:tcBorders>
              <w:top w:val="single" w:sz="4" w:space="0" w:color="auto"/>
              <w:left w:val="single" w:sz="4" w:space="0" w:color="auto"/>
              <w:right w:val="single" w:sz="4" w:space="0" w:color="auto"/>
            </w:tcBorders>
            <w:shd w:val="clear" w:color="000000" w:fill="A1F2FD"/>
            <w:vAlign w:val="center"/>
            <w:hideMark/>
          </w:tcPr>
          <w:p w14:paraId="7A31F2D6" w14:textId="77777777" w:rsidR="005947F4" w:rsidRPr="0099566D" w:rsidRDefault="005947F4" w:rsidP="00A96988">
            <w:pPr>
              <w:jc w:val="center"/>
              <w:rPr>
                <w:rFonts w:cs="Arial"/>
                <w:b/>
                <w:bCs/>
                <w:color w:val="000000"/>
                <w:sz w:val="18"/>
                <w:szCs w:val="18"/>
              </w:rPr>
            </w:pPr>
            <w:r w:rsidRPr="0099566D">
              <w:rPr>
                <w:rFonts w:cs="Arial"/>
                <w:b/>
                <w:bCs/>
                <w:color w:val="000000"/>
                <w:sz w:val="18"/>
                <w:szCs w:val="18"/>
              </w:rPr>
              <w:t>Empresa Dependente</w:t>
            </w:r>
          </w:p>
        </w:tc>
        <w:tc>
          <w:tcPr>
            <w:tcW w:w="682"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693DEBC2" w14:textId="655BBFE4" w:rsidR="005947F4" w:rsidRPr="0099566D" w:rsidRDefault="005947F4" w:rsidP="00A96988">
            <w:pPr>
              <w:jc w:val="center"/>
              <w:rPr>
                <w:rFonts w:cs="Arial"/>
                <w:b/>
                <w:bCs/>
                <w:color w:val="000000"/>
                <w:sz w:val="18"/>
                <w:szCs w:val="18"/>
              </w:rPr>
            </w:pPr>
            <w:r w:rsidRPr="0099566D">
              <w:rPr>
                <w:rFonts w:cs="Arial"/>
                <w:b/>
                <w:bCs/>
                <w:color w:val="000000"/>
                <w:sz w:val="18"/>
                <w:szCs w:val="18"/>
              </w:rPr>
              <w:t xml:space="preserve">Receita Prevista </w:t>
            </w:r>
          </w:p>
        </w:tc>
        <w:tc>
          <w:tcPr>
            <w:tcW w:w="606"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62A88F5E" w14:textId="0A09413C" w:rsidR="005947F4" w:rsidRPr="0099566D" w:rsidRDefault="005947F4" w:rsidP="003E19DA">
            <w:pPr>
              <w:jc w:val="center"/>
              <w:rPr>
                <w:rFonts w:cs="Arial"/>
                <w:b/>
                <w:bCs/>
                <w:color w:val="000000"/>
                <w:sz w:val="18"/>
                <w:szCs w:val="18"/>
              </w:rPr>
            </w:pPr>
            <w:r w:rsidRPr="0099566D">
              <w:rPr>
                <w:rFonts w:cs="Arial"/>
                <w:b/>
                <w:bCs/>
                <w:color w:val="000000"/>
                <w:sz w:val="18"/>
                <w:szCs w:val="18"/>
              </w:rPr>
              <w:t xml:space="preserve">Receita Realizada </w:t>
            </w:r>
          </w:p>
        </w:tc>
        <w:tc>
          <w:tcPr>
            <w:tcW w:w="1135" w:type="pct"/>
            <w:gridSpan w:val="2"/>
            <w:tcBorders>
              <w:top w:val="single" w:sz="4" w:space="0" w:color="auto"/>
              <w:left w:val="nil"/>
              <w:bottom w:val="single" w:sz="4" w:space="0" w:color="auto"/>
              <w:right w:val="nil"/>
            </w:tcBorders>
            <w:shd w:val="clear" w:color="000000" w:fill="A1F2FD"/>
            <w:vAlign w:val="center"/>
            <w:hideMark/>
          </w:tcPr>
          <w:p w14:paraId="7790F56B" w14:textId="77777777" w:rsidR="005947F4" w:rsidRPr="0099566D" w:rsidRDefault="005947F4" w:rsidP="00A96988">
            <w:pPr>
              <w:jc w:val="center"/>
              <w:rPr>
                <w:rFonts w:cs="Arial"/>
                <w:b/>
                <w:bCs/>
                <w:color w:val="000000"/>
                <w:sz w:val="18"/>
                <w:szCs w:val="18"/>
              </w:rPr>
            </w:pPr>
            <w:r w:rsidRPr="0099566D">
              <w:rPr>
                <w:rFonts w:cs="Arial"/>
                <w:b/>
                <w:bCs/>
                <w:color w:val="000000"/>
                <w:sz w:val="18"/>
                <w:szCs w:val="18"/>
              </w:rPr>
              <w:t>Resultado da Arrecadação</w:t>
            </w:r>
          </w:p>
        </w:tc>
      </w:tr>
      <w:tr w:rsidR="005947F4" w:rsidRPr="0099566D" w14:paraId="54BD38A2" w14:textId="77777777" w:rsidTr="005947F4">
        <w:trPr>
          <w:trHeight w:val="340"/>
          <w:tblHeader/>
        </w:trPr>
        <w:tc>
          <w:tcPr>
            <w:tcW w:w="303" w:type="pct"/>
            <w:vMerge/>
            <w:tcBorders>
              <w:left w:val="nil"/>
              <w:right w:val="single" w:sz="4" w:space="0" w:color="auto"/>
            </w:tcBorders>
            <w:vAlign w:val="center"/>
            <w:hideMark/>
          </w:tcPr>
          <w:p w14:paraId="71984F9E" w14:textId="77777777" w:rsidR="005947F4" w:rsidRPr="0099566D" w:rsidRDefault="005947F4" w:rsidP="00A96988">
            <w:pPr>
              <w:jc w:val="left"/>
              <w:rPr>
                <w:rFonts w:cs="Arial"/>
                <w:b/>
                <w:bCs/>
                <w:color w:val="000000"/>
                <w:sz w:val="18"/>
                <w:szCs w:val="18"/>
              </w:rPr>
            </w:pPr>
          </w:p>
        </w:tc>
        <w:tc>
          <w:tcPr>
            <w:tcW w:w="2274" w:type="pct"/>
            <w:vMerge/>
            <w:tcBorders>
              <w:left w:val="single" w:sz="4" w:space="0" w:color="auto"/>
              <w:right w:val="single" w:sz="4" w:space="0" w:color="auto"/>
            </w:tcBorders>
            <w:vAlign w:val="center"/>
            <w:hideMark/>
          </w:tcPr>
          <w:p w14:paraId="7B33646B" w14:textId="77777777" w:rsidR="005947F4" w:rsidRPr="0099566D" w:rsidRDefault="005947F4" w:rsidP="00A96988">
            <w:pPr>
              <w:jc w:val="left"/>
              <w:rPr>
                <w:rFonts w:cs="Arial"/>
                <w:b/>
                <w:bCs/>
                <w:color w:val="000000"/>
                <w:sz w:val="18"/>
                <w:szCs w:val="18"/>
              </w:rPr>
            </w:pPr>
          </w:p>
        </w:tc>
        <w:tc>
          <w:tcPr>
            <w:tcW w:w="682" w:type="pct"/>
            <w:vMerge/>
            <w:tcBorders>
              <w:top w:val="single" w:sz="4" w:space="0" w:color="auto"/>
              <w:left w:val="single" w:sz="4" w:space="0" w:color="auto"/>
              <w:right w:val="single" w:sz="4" w:space="0" w:color="auto"/>
            </w:tcBorders>
            <w:vAlign w:val="center"/>
            <w:hideMark/>
          </w:tcPr>
          <w:p w14:paraId="7DA05F2B" w14:textId="77777777" w:rsidR="005947F4" w:rsidRPr="0099566D" w:rsidRDefault="005947F4" w:rsidP="00A96988">
            <w:pPr>
              <w:jc w:val="left"/>
              <w:rPr>
                <w:rFonts w:cs="Arial"/>
                <w:b/>
                <w:bCs/>
                <w:color w:val="000000"/>
                <w:sz w:val="18"/>
                <w:szCs w:val="18"/>
              </w:rPr>
            </w:pPr>
          </w:p>
        </w:tc>
        <w:tc>
          <w:tcPr>
            <w:tcW w:w="606" w:type="pct"/>
            <w:vMerge/>
            <w:tcBorders>
              <w:top w:val="single" w:sz="4" w:space="0" w:color="auto"/>
              <w:left w:val="single" w:sz="4" w:space="0" w:color="auto"/>
              <w:right w:val="single" w:sz="4" w:space="0" w:color="auto"/>
            </w:tcBorders>
            <w:vAlign w:val="center"/>
            <w:hideMark/>
          </w:tcPr>
          <w:p w14:paraId="0C6FF008" w14:textId="77777777" w:rsidR="005947F4" w:rsidRPr="0099566D" w:rsidRDefault="005947F4" w:rsidP="00A96988">
            <w:pPr>
              <w:jc w:val="left"/>
              <w:rPr>
                <w:rFonts w:cs="Arial"/>
                <w:b/>
                <w:bCs/>
                <w:color w:val="000000"/>
                <w:sz w:val="18"/>
                <w:szCs w:val="18"/>
              </w:rPr>
            </w:pPr>
          </w:p>
        </w:tc>
        <w:tc>
          <w:tcPr>
            <w:tcW w:w="606" w:type="pct"/>
            <w:tcBorders>
              <w:top w:val="nil"/>
              <w:left w:val="nil"/>
              <w:right w:val="single" w:sz="4" w:space="0" w:color="auto"/>
            </w:tcBorders>
            <w:shd w:val="clear" w:color="000000" w:fill="A1F2FD"/>
            <w:vAlign w:val="center"/>
            <w:hideMark/>
          </w:tcPr>
          <w:p w14:paraId="3D581CAD" w14:textId="6E3E2A6A" w:rsidR="005947F4" w:rsidRPr="0099566D" w:rsidRDefault="00600F4B" w:rsidP="00A96988">
            <w:pPr>
              <w:jc w:val="center"/>
              <w:rPr>
                <w:rFonts w:cs="Arial"/>
                <w:b/>
                <w:bCs/>
                <w:color w:val="000000"/>
                <w:sz w:val="18"/>
                <w:szCs w:val="18"/>
              </w:rPr>
            </w:pPr>
            <w:r>
              <w:rPr>
                <w:rFonts w:cs="Arial"/>
                <w:b/>
                <w:bCs/>
                <w:color w:val="000000"/>
                <w:sz w:val="18"/>
                <w:szCs w:val="18"/>
              </w:rPr>
              <w:t>R$</w:t>
            </w:r>
          </w:p>
        </w:tc>
        <w:tc>
          <w:tcPr>
            <w:tcW w:w="529" w:type="pct"/>
            <w:tcBorders>
              <w:top w:val="nil"/>
              <w:left w:val="nil"/>
              <w:right w:val="nil"/>
            </w:tcBorders>
            <w:shd w:val="clear" w:color="000000" w:fill="A1F2FD"/>
            <w:vAlign w:val="center"/>
            <w:hideMark/>
          </w:tcPr>
          <w:p w14:paraId="7850F468" w14:textId="68EA4CDF" w:rsidR="005947F4" w:rsidRPr="0099566D" w:rsidRDefault="005947F4" w:rsidP="00A96988">
            <w:pPr>
              <w:jc w:val="center"/>
              <w:rPr>
                <w:rFonts w:cs="Arial"/>
                <w:b/>
                <w:bCs/>
                <w:color w:val="000000"/>
                <w:sz w:val="18"/>
                <w:szCs w:val="18"/>
              </w:rPr>
            </w:pPr>
            <w:r w:rsidRPr="0099566D">
              <w:rPr>
                <w:rFonts w:cs="Arial"/>
                <w:b/>
                <w:bCs/>
                <w:color w:val="000000"/>
                <w:sz w:val="18"/>
                <w:szCs w:val="18"/>
              </w:rPr>
              <w:t xml:space="preserve">% </w:t>
            </w:r>
          </w:p>
        </w:tc>
      </w:tr>
      <w:tr w:rsidR="005947F4" w:rsidRPr="0099566D" w14:paraId="135C3B49" w14:textId="77777777" w:rsidTr="00AF12E0">
        <w:trPr>
          <w:trHeight w:val="213"/>
          <w:tblHeader/>
        </w:trPr>
        <w:tc>
          <w:tcPr>
            <w:tcW w:w="303" w:type="pct"/>
            <w:vMerge/>
            <w:tcBorders>
              <w:left w:val="nil"/>
              <w:bottom w:val="single" w:sz="4" w:space="0" w:color="000000"/>
              <w:right w:val="single" w:sz="4" w:space="0" w:color="auto"/>
            </w:tcBorders>
            <w:shd w:val="clear" w:color="auto" w:fill="A1F2FD"/>
            <w:vAlign w:val="center"/>
          </w:tcPr>
          <w:p w14:paraId="53E83145" w14:textId="77777777" w:rsidR="005947F4" w:rsidRPr="0099566D" w:rsidRDefault="005947F4" w:rsidP="00A96988">
            <w:pPr>
              <w:jc w:val="left"/>
              <w:rPr>
                <w:rFonts w:cs="Arial"/>
                <w:b/>
                <w:bCs/>
                <w:color w:val="000000"/>
                <w:sz w:val="18"/>
                <w:szCs w:val="18"/>
              </w:rPr>
            </w:pPr>
          </w:p>
        </w:tc>
        <w:tc>
          <w:tcPr>
            <w:tcW w:w="2274" w:type="pct"/>
            <w:vMerge/>
            <w:tcBorders>
              <w:left w:val="single" w:sz="4" w:space="0" w:color="auto"/>
              <w:bottom w:val="single" w:sz="4" w:space="0" w:color="000000"/>
              <w:right w:val="single" w:sz="4" w:space="0" w:color="auto"/>
            </w:tcBorders>
            <w:shd w:val="clear" w:color="auto" w:fill="A1F2FD"/>
            <w:vAlign w:val="center"/>
          </w:tcPr>
          <w:p w14:paraId="0DB713F0" w14:textId="77777777" w:rsidR="005947F4" w:rsidRPr="0099566D" w:rsidRDefault="005947F4" w:rsidP="00A96988">
            <w:pPr>
              <w:jc w:val="left"/>
              <w:rPr>
                <w:rFonts w:cs="Arial"/>
                <w:b/>
                <w:bCs/>
                <w:color w:val="000000"/>
                <w:sz w:val="18"/>
                <w:szCs w:val="18"/>
              </w:rPr>
            </w:pPr>
          </w:p>
        </w:tc>
        <w:tc>
          <w:tcPr>
            <w:tcW w:w="682" w:type="pct"/>
            <w:tcBorders>
              <w:left w:val="single" w:sz="4" w:space="0" w:color="auto"/>
              <w:bottom w:val="single" w:sz="4" w:space="0" w:color="auto"/>
              <w:right w:val="single" w:sz="4" w:space="0" w:color="auto"/>
            </w:tcBorders>
            <w:shd w:val="clear" w:color="auto" w:fill="A1F2FD"/>
            <w:vAlign w:val="center"/>
          </w:tcPr>
          <w:p w14:paraId="438498EE" w14:textId="1376ED8E" w:rsidR="005947F4" w:rsidRPr="0099566D" w:rsidRDefault="005947F4" w:rsidP="005947F4">
            <w:pPr>
              <w:jc w:val="center"/>
              <w:rPr>
                <w:rFonts w:cs="Arial"/>
                <w:b/>
                <w:bCs/>
                <w:color w:val="000000"/>
                <w:sz w:val="18"/>
                <w:szCs w:val="18"/>
              </w:rPr>
            </w:pPr>
            <w:r w:rsidRPr="0099566D">
              <w:rPr>
                <w:rFonts w:cs="Arial"/>
                <w:b/>
                <w:bCs/>
                <w:color w:val="000000"/>
                <w:sz w:val="18"/>
                <w:szCs w:val="18"/>
              </w:rPr>
              <w:t>(a)</w:t>
            </w:r>
          </w:p>
        </w:tc>
        <w:tc>
          <w:tcPr>
            <w:tcW w:w="606" w:type="pct"/>
            <w:tcBorders>
              <w:left w:val="single" w:sz="4" w:space="0" w:color="auto"/>
              <w:bottom w:val="single" w:sz="4" w:space="0" w:color="auto"/>
              <w:right w:val="single" w:sz="4" w:space="0" w:color="auto"/>
            </w:tcBorders>
            <w:shd w:val="clear" w:color="auto" w:fill="A1F2FD"/>
            <w:vAlign w:val="center"/>
          </w:tcPr>
          <w:p w14:paraId="50EBCBE2" w14:textId="4CEEC338" w:rsidR="005947F4" w:rsidRPr="0099566D" w:rsidRDefault="005947F4" w:rsidP="005947F4">
            <w:pPr>
              <w:jc w:val="center"/>
              <w:rPr>
                <w:rFonts w:cs="Arial"/>
                <w:b/>
                <w:bCs/>
                <w:color w:val="000000"/>
                <w:sz w:val="18"/>
                <w:szCs w:val="18"/>
              </w:rPr>
            </w:pPr>
            <w:r w:rsidRPr="0099566D">
              <w:rPr>
                <w:rFonts w:cs="Arial"/>
                <w:b/>
                <w:bCs/>
                <w:color w:val="000000"/>
                <w:sz w:val="18"/>
                <w:szCs w:val="18"/>
              </w:rPr>
              <w:t>(b)</w:t>
            </w:r>
          </w:p>
        </w:tc>
        <w:tc>
          <w:tcPr>
            <w:tcW w:w="606" w:type="pct"/>
            <w:tcBorders>
              <w:left w:val="nil"/>
              <w:bottom w:val="single" w:sz="4" w:space="0" w:color="auto"/>
              <w:right w:val="single" w:sz="4" w:space="0" w:color="auto"/>
            </w:tcBorders>
            <w:shd w:val="clear" w:color="000000" w:fill="A1F2FD"/>
            <w:vAlign w:val="center"/>
          </w:tcPr>
          <w:p w14:paraId="00F98CC0" w14:textId="4405D85A" w:rsidR="005947F4" w:rsidRPr="0099566D" w:rsidRDefault="005947F4" w:rsidP="005947F4">
            <w:pPr>
              <w:jc w:val="center"/>
              <w:rPr>
                <w:rFonts w:cs="Arial"/>
                <w:b/>
                <w:bCs/>
                <w:color w:val="000000"/>
                <w:sz w:val="18"/>
                <w:szCs w:val="18"/>
              </w:rPr>
            </w:pPr>
            <w:r>
              <w:rPr>
                <w:rFonts w:cs="Arial"/>
                <w:b/>
                <w:bCs/>
                <w:color w:val="000000"/>
                <w:sz w:val="18"/>
                <w:szCs w:val="18"/>
              </w:rPr>
              <w:t>(c)</w:t>
            </w:r>
            <w:r w:rsidR="009356CA">
              <w:rPr>
                <w:rFonts w:cs="Arial"/>
                <w:b/>
                <w:bCs/>
                <w:color w:val="000000"/>
                <w:sz w:val="18"/>
                <w:szCs w:val="18"/>
              </w:rPr>
              <w:t xml:space="preserve"> </w:t>
            </w:r>
            <w:r>
              <w:rPr>
                <w:rFonts w:cs="Arial"/>
                <w:b/>
                <w:bCs/>
                <w:color w:val="000000"/>
                <w:sz w:val="18"/>
                <w:szCs w:val="18"/>
              </w:rPr>
              <w:t>=</w:t>
            </w:r>
            <w:r w:rsidR="009356CA">
              <w:rPr>
                <w:rFonts w:cs="Arial"/>
                <w:b/>
                <w:bCs/>
                <w:color w:val="000000"/>
                <w:sz w:val="18"/>
                <w:szCs w:val="18"/>
              </w:rPr>
              <w:t xml:space="preserve"> </w:t>
            </w:r>
            <w:r w:rsidRPr="0099566D">
              <w:rPr>
                <w:rFonts w:cs="Arial"/>
                <w:b/>
                <w:bCs/>
                <w:color w:val="000000"/>
                <w:sz w:val="18"/>
                <w:szCs w:val="18"/>
              </w:rPr>
              <w:t>(b-a)</w:t>
            </w:r>
          </w:p>
        </w:tc>
        <w:tc>
          <w:tcPr>
            <w:tcW w:w="529" w:type="pct"/>
            <w:tcBorders>
              <w:left w:val="nil"/>
              <w:bottom w:val="single" w:sz="4" w:space="0" w:color="auto"/>
              <w:right w:val="nil"/>
            </w:tcBorders>
            <w:shd w:val="clear" w:color="000000" w:fill="A1F2FD"/>
            <w:vAlign w:val="center"/>
          </w:tcPr>
          <w:p w14:paraId="00994798" w14:textId="2F75220C" w:rsidR="005947F4" w:rsidRPr="0099566D" w:rsidRDefault="005947F4" w:rsidP="005947F4">
            <w:pPr>
              <w:jc w:val="center"/>
              <w:rPr>
                <w:rFonts w:cs="Arial"/>
                <w:b/>
                <w:bCs/>
                <w:color w:val="000000"/>
                <w:sz w:val="18"/>
                <w:szCs w:val="18"/>
              </w:rPr>
            </w:pPr>
            <w:r>
              <w:rPr>
                <w:rFonts w:cs="Arial"/>
                <w:b/>
                <w:bCs/>
                <w:color w:val="000000"/>
                <w:sz w:val="18"/>
                <w:szCs w:val="18"/>
              </w:rPr>
              <w:t>(d)</w:t>
            </w:r>
            <w:r w:rsidR="009356CA">
              <w:rPr>
                <w:rFonts w:cs="Arial"/>
                <w:b/>
                <w:bCs/>
                <w:color w:val="000000"/>
                <w:sz w:val="18"/>
                <w:szCs w:val="18"/>
              </w:rPr>
              <w:t xml:space="preserve"> </w:t>
            </w:r>
            <w:r>
              <w:rPr>
                <w:rFonts w:cs="Arial"/>
                <w:b/>
                <w:bCs/>
                <w:color w:val="000000"/>
                <w:sz w:val="18"/>
                <w:szCs w:val="18"/>
              </w:rPr>
              <w:t>=</w:t>
            </w:r>
            <w:r w:rsidR="009356CA">
              <w:rPr>
                <w:rFonts w:cs="Arial"/>
                <w:b/>
                <w:bCs/>
                <w:color w:val="000000"/>
                <w:sz w:val="18"/>
                <w:szCs w:val="18"/>
              </w:rPr>
              <w:t xml:space="preserve"> </w:t>
            </w:r>
            <w:r w:rsidRPr="0099566D">
              <w:rPr>
                <w:rFonts w:cs="Arial"/>
                <w:b/>
                <w:bCs/>
                <w:color w:val="000000"/>
                <w:sz w:val="18"/>
                <w:szCs w:val="18"/>
              </w:rPr>
              <w:t>(</w:t>
            </w:r>
            <w:r>
              <w:rPr>
                <w:rFonts w:cs="Arial"/>
                <w:b/>
                <w:bCs/>
                <w:color w:val="000000"/>
                <w:sz w:val="18"/>
                <w:szCs w:val="18"/>
              </w:rPr>
              <w:t>c</w:t>
            </w:r>
            <w:r w:rsidRPr="0099566D">
              <w:rPr>
                <w:rFonts w:cs="Arial"/>
                <w:b/>
                <w:bCs/>
                <w:color w:val="000000"/>
                <w:sz w:val="18"/>
                <w:szCs w:val="18"/>
              </w:rPr>
              <w:t>/a)</w:t>
            </w:r>
          </w:p>
        </w:tc>
      </w:tr>
      <w:tr w:rsidR="00A96988" w:rsidRPr="0099566D" w14:paraId="7524B59F" w14:textId="77777777" w:rsidTr="00526AF1">
        <w:trPr>
          <w:trHeight w:val="284"/>
        </w:trPr>
        <w:tc>
          <w:tcPr>
            <w:tcW w:w="303" w:type="pct"/>
            <w:tcBorders>
              <w:top w:val="nil"/>
              <w:left w:val="nil"/>
              <w:bottom w:val="nil"/>
              <w:right w:val="single" w:sz="4" w:space="0" w:color="auto"/>
            </w:tcBorders>
            <w:shd w:val="clear" w:color="auto" w:fill="auto"/>
            <w:noWrap/>
            <w:vAlign w:val="center"/>
            <w:hideMark/>
          </w:tcPr>
          <w:p w14:paraId="7A328C9E" w14:textId="77777777" w:rsidR="00A96988" w:rsidRPr="0099566D" w:rsidRDefault="00A96988" w:rsidP="00A96988">
            <w:pPr>
              <w:jc w:val="left"/>
              <w:rPr>
                <w:rFonts w:cs="Arial"/>
                <w:color w:val="000000"/>
                <w:sz w:val="18"/>
                <w:szCs w:val="18"/>
              </w:rPr>
            </w:pPr>
            <w:r w:rsidRPr="0099566D">
              <w:rPr>
                <w:rFonts w:cs="Arial"/>
                <w:color w:val="000000"/>
                <w:sz w:val="18"/>
                <w:szCs w:val="18"/>
              </w:rPr>
              <w:t>4093</w:t>
            </w:r>
          </w:p>
        </w:tc>
        <w:tc>
          <w:tcPr>
            <w:tcW w:w="2274" w:type="pct"/>
            <w:tcBorders>
              <w:top w:val="nil"/>
              <w:left w:val="nil"/>
              <w:bottom w:val="nil"/>
              <w:right w:val="single" w:sz="4" w:space="0" w:color="auto"/>
            </w:tcBorders>
            <w:shd w:val="clear" w:color="auto" w:fill="auto"/>
            <w:noWrap/>
            <w:vAlign w:val="center"/>
            <w:hideMark/>
          </w:tcPr>
          <w:p w14:paraId="00498D93" w14:textId="77777777" w:rsidR="00A96988" w:rsidRPr="0099566D" w:rsidRDefault="00A96988" w:rsidP="00A96988">
            <w:pPr>
              <w:jc w:val="left"/>
              <w:rPr>
                <w:rFonts w:cs="Arial"/>
                <w:color w:val="000000"/>
                <w:sz w:val="18"/>
                <w:szCs w:val="18"/>
              </w:rPr>
            </w:pPr>
            <w:r w:rsidRPr="0099566D">
              <w:rPr>
                <w:rFonts w:cs="Arial"/>
                <w:color w:val="000000"/>
                <w:sz w:val="18"/>
                <w:szCs w:val="18"/>
              </w:rPr>
              <w:t>Metrobus Transporte Coletivo S/A</w:t>
            </w:r>
          </w:p>
        </w:tc>
        <w:tc>
          <w:tcPr>
            <w:tcW w:w="682" w:type="pct"/>
            <w:tcBorders>
              <w:top w:val="nil"/>
              <w:left w:val="nil"/>
              <w:bottom w:val="nil"/>
              <w:right w:val="nil"/>
            </w:tcBorders>
            <w:shd w:val="clear" w:color="auto" w:fill="auto"/>
            <w:noWrap/>
            <w:vAlign w:val="center"/>
            <w:hideMark/>
          </w:tcPr>
          <w:p w14:paraId="20C903C4" w14:textId="77777777" w:rsidR="00A96988" w:rsidRPr="0099566D" w:rsidRDefault="00A96988" w:rsidP="00A96988">
            <w:pPr>
              <w:jc w:val="right"/>
              <w:rPr>
                <w:rFonts w:cs="Arial"/>
                <w:color w:val="000000"/>
                <w:sz w:val="18"/>
                <w:szCs w:val="18"/>
              </w:rPr>
            </w:pPr>
            <w:r w:rsidRPr="0099566D">
              <w:rPr>
                <w:rFonts w:cs="Arial"/>
                <w:color w:val="000000"/>
                <w:sz w:val="18"/>
                <w:szCs w:val="18"/>
              </w:rPr>
              <w:t>61.387.000</w:t>
            </w:r>
          </w:p>
        </w:tc>
        <w:tc>
          <w:tcPr>
            <w:tcW w:w="606" w:type="pct"/>
            <w:tcBorders>
              <w:top w:val="nil"/>
              <w:left w:val="single" w:sz="4" w:space="0" w:color="auto"/>
              <w:bottom w:val="nil"/>
              <w:right w:val="nil"/>
            </w:tcBorders>
            <w:shd w:val="clear" w:color="auto" w:fill="auto"/>
            <w:noWrap/>
            <w:vAlign w:val="center"/>
            <w:hideMark/>
          </w:tcPr>
          <w:p w14:paraId="5AA234FE" w14:textId="77777777" w:rsidR="00A96988" w:rsidRPr="0099566D" w:rsidRDefault="00A96988" w:rsidP="00A96988">
            <w:pPr>
              <w:jc w:val="right"/>
              <w:rPr>
                <w:rFonts w:cs="Arial"/>
                <w:color w:val="000000"/>
                <w:sz w:val="18"/>
                <w:szCs w:val="18"/>
              </w:rPr>
            </w:pPr>
            <w:r w:rsidRPr="0099566D">
              <w:rPr>
                <w:rFonts w:cs="Arial"/>
                <w:color w:val="000000"/>
                <w:sz w:val="18"/>
                <w:szCs w:val="18"/>
              </w:rPr>
              <w:t>66.446.586</w:t>
            </w:r>
          </w:p>
        </w:tc>
        <w:tc>
          <w:tcPr>
            <w:tcW w:w="606" w:type="pct"/>
            <w:tcBorders>
              <w:top w:val="nil"/>
              <w:left w:val="single" w:sz="4" w:space="0" w:color="auto"/>
              <w:bottom w:val="nil"/>
              <w:right w:val="single" w:sz="4" w:space="0" w:color="auto"/>
            </w:tcBorders>
            <w:shd w:val="clear" w:color="auto" w:fill="auto"/>
            <w:noWrap/>
            <w:vAlign w:val="center"/>
            <w:hideMark/>
          </w:tcPr>
          <w:p w14:paraId="1BD7E4BE" w14:textId="77777777" w:rsidR="00A96988" w:rsidRPr="0099566D" w:rsidRDefault="00A96988" w:rsidP="00A96988">
            <w:pPr>
              <w:jc w:val="right"/>
              <w:rPr>
                <w:rFonts w:cs="Arial"/>
                <w:color w:val="000000"/>
                <w:sz w:val="18"/>
                <w:szCs w:val="18"/>
              </w:rPr>
            </w:pPr>
            <w:r w:rsidRPr="0099566D">
              <w:rPr>
                <w:rFonts w:cs="Arial"/>
                <w:color w:val="000000"/>
                <w:sz w:val="18"/>
                <w:szCs w:val="18"/>
              </w:rPr>
              <w:t>5.059.586</w:t>
            </w:r>
          </w:p>
        </w:tc>
        <w:tc>
          <w:tcPr>
            <w:tcW w:w="529" w:type="pct"/>
            <w:tcBorders>
              <w:top w:val="nil"/>
              <w:left w:val="nil"/>
              <w:bottom w:val="nil"/>
              <w:right w:val="nil"/>
            </w:tcBorders>
            <w:shd w:val="clear" w:color="auto" w:fill="auto"/>
            <w:noWrap/>
            <w:vAlign w:val="center"/>
            <w:hideMark/>
          </w:tcPr>
          <w:p w14:paraId="446F1927" w14:textId="77777777" w:rsidR="00A96988" w:rsidRPr="0099566D" w:rsidRDefault="00A96988" w:rsidP="00A96988">
            <w:pPr>
              <w:jc w:val="center"/>
              <w:rPr>
                <w:rFonts w:cs="Arial"/>
                <w:color w:val="000000"/>
                <w:sz w:val="18"/>
                <w:szCs w:val="18"/>
              </w:rPr>
            </w:pPr>
            <w:r w:rsidRPr="0099566D">
              <w:rPr>
                <w:rFonts w:cs="Arial"/>
                <w:color w:val="000000"/>
                <w:sz w:val="18"/>
                <w:szCs w:val="18"/>
              </w:rPr>
              <w:t>8,24</w:t>
            </w:r>
          </w:p>
        </w:tc>
      </w:tr>
      <w:tr w:rsidR="00A96988" w:rsidRPr="0099566D" w14:paraId="1B3F37FD" w14:textId="77777777" w:rsidTr="00526AF1">
        <w:trPr>
          <w:trHeight w:val="284"/>
        </w:trPr>
        <w:tc>
          <w:tcPr>
            <w:tcW w:w="303" w:type="pct"/>
            <w:tcBorders>
              <w:top w:val="nil"/>
              <w:left w:val="nil"/>
              <w:bottom w:val="nil"/>
              <w:right w:val="single" w:sz="4" w:space="0" w:color="auto"/>
            </w:tcBorders>
            <w:shd w:val="clear" w:color="auto" w:fill="auto"/>
            <w:noWrap/>
            <w:vAlign w:val="center"/>
            <w:hideMark/>
          </w:tcPr>
          <w:p w14:paraId="1C588768" w14:textId="77777777" w:rsidR="00A96988" w:rsidRPr="0099566D" w:rsidRDefault="00A96988" w:rsidP="00A96988">
            <w:pPr>
              <w:jc w:val="left"/>
              <w:rPr>
                <w:rFonts w:cs="Arial"/>
                <w:color w:val="000000"/>
                <w:sz w:val="18"/>
                <w:szCs w:val="18"/>
              </w:rPr>
            </w:pPr>
            <w:r w:rsidRPr="0099566D">
              <w:rPr>
                <w:rFonts w:cs="Arial"/>
                <w:color w:val="000000"/>
                <w:sz w:val="18"/>
                <w:szCs w:val="18"/>
              </w:rPr>
              <w:t>2890</w:t>
            </w:r>
          </w:p>
        </w:tc>
        <w:tc>
          <w:tcPr>
            <w:tcW w:w="2274" w:type="pct"/>
            <w:tcBorders>
              <w:top w:val="nil"/>
              <w:left w:val="nil"/>
              <w:bottom w:val="nil"/>
              <w:right w:val="single" w:sz="4" w:space="0" w:color="auto"/>
            </w:tcBorders>
            <w:shd w:val="clear" w:color="auto" w:fill="auto"/>
            <w:noWrap/>
            <w:vAlign w:val="center"/>
            <w:hideMark/>
          </w:tcPr>
          <w:p w14:paraId="0B4F50F7" w14:textId="77777777" w:rsidR="00A96988" w:rsidRPr="0099566D" w:rsidRDefault="00A96988" w:rsidP="00A96988">
            <w:pPr>
              <w:jc w:val="left"/>
              <w:rPr>
                <w:rFonts w:cs="Arial"/>
                <w:color w:val="000000"/>
                <w:sz w:val="18"/>
                <w:szCs w:val="18"/>
              </w:rPr>
            </w:pPr>
            <w:r w:rsidRPr="0099566D">
              <w:rPr>
                <w:rFonts w:cs="Arial"/>
                <w:color w:val="000000"/>
                <w:sz w:val="18"/>
                <w:szCs w:val="18"/>
              </w:rPr>
              <w:t>Indústria Química do Estado de Goiás S/A - Iquego</w:t>
            </w:r>
          </w:p>
        </w:tc>
        <w:tc>
          <w:tcPr>
            <w:tcW w:w="682" w:type="pct"/>
            <w:tcBorders>
              <w:top w:val="nil"/>
              <w:left w:val="nil"/>
              <w:bottom w:val="nil"/>
              <w:right w:val="nil"/>
            </w:tcBorders>
            <w:shd w:val="clear" w:color="auto" w:fill="auto"/>
            <w:noWrap/>
            <w:vAlign w:val="center"/>
            <w:hideMark/>
          </w:tcPr>
          <w:p w14:paraId="7CE1BF56" w14:textId="77777777" w:rsidR="00A96988" w:rsidRPr="0099566D" w:rsidRDefault="00A96988" w:rsidP="00A96988">
            <w:pPr>
              <w:jc w:val="right"/>
              <w:rPr>
                <w:rFonts w:cs="Arial"/>
                <w:color w:val="000000"/>
                <w:sz w:val="18"/>
                <w:szCs w:val="18"/>
              </w:rPr>
            </w:pPr>
            <w:r w:rsidRPr="0099566D">
              <w:rPr>
                <w:rFonts w:cs="Arial"/>
                <w:color w:val="000000"/>
                <w:sz w:val="18"/>
                <w:szCs w:val="18"/>
              </w:rPr>
              <w:t>26.947.000</w:t>
            </w:r>
          </w:p>
        </w:tc>
        <w:tc>
          <w:tcPr>
            <w:tcW w:w="606" w:type="pct"/>
            <w:tcBorders>
              <w:top w:val="nil"/>
              <w:left w:val="single" w:sz="4" w:space="0" w:color="auto"/>
              <w:bottom w:val="nil"/>
              <w:right w:val="nil"/>
            </w:tcBorders>
            <w:shd w:val="clear" w:color="auto" w:fill="auto"/>
            <w:noWrap/>
            <w:vAlign w:val="center"/>
            <w:hideMark/>
          </w:tcPr>
          <w:p w14:paraId="7B763B80" w14:textId="77777777" w:rsidR="00A96988" w:rsidRPr="0099566D" w:rsidRDefault="00A96988" w:rsidP="00A96988">
            <w:pPr>
              <w:jc w:val="right"/>
              <w:rPr>
                <w:rFonts w:cs="Arial"/>
                <w:color w:val="000000"/>
                <w:sz w:val="18"/>
                <w:szCs w:val="18"/>
              </w:rPr>
            </w:pPr>
            <w:r w:rsidRPr="0099566D">
              <w:rPr>
                <w:rFonts w:cs="Arial"/>
                <w:color w:val="000000"/>
                <w:sz w:val="18"/>
                <w:szCs w:val="18"/>
              </w:rPr>
              <w:t>9.922.433</w:t>
            </w:r>
          </w:p>
        </w:tc>
        <w:tc>
          <w:tcPr>
            <w:tcW w:w="606" w:type="pct"/>
            <w:tcBorders>
              <w:top w:val="nil"/>
              <w:left w:val="single" w:sz="4" w:space="0" w:color="auto"/>
              <w:bottom w:val="nil"/>
              <w:right w:val="single" w:sz="4" w:space="0" w:color="auto"/>
            </w:tcBorders>
            <w:shd w:val="clear" w:color="auto" w:fill="auto"/>
            <w:noWrap/>
            <w:vAlign w:val="center"/>
            <w:hideMark/>
          </w:tcPr>
          <w:p w14:paraId="01D5A80C" w14:textId="77777777" w:rsidR="00A96988" w:rsidRPr="0099566D" w:rsidRDefault="00A96988" w:rsidP="005947F4">
            <w:pPr>
              <w:ind w:hanging="65"/>
              <w:jc w:val="right"/>
              <w:rPr>
                <w:rFonts w:cs="Arial"/>
                <w:color w:val="000000"/>
                <w:sz w:val="18"/>
                <w:szCs w:val="18"/>
              </w:rPr>
            </w:pPr>
            <w:r w:rsidRPr="0099566D">
              <w:rPr>
                <w:rFonts w:cs="Arial"/>
                <w:color w:val="FF0000"/>
                <w:sz w:val="18"/>
                <w:szCs w:val="18"/>
              </w:rPr>
              <w:t>(17.024.567)</w:t>
            </w:r>
          </w:p>
        </w:tc>
        <w:tc>
          <w:tcPr>
            <w:tcW w:w="529" w:type="pct"/>
            <w:tcBorders>
              <w:top w:val="nil"/>
              <w:left w:val="nil"/>
              <w:bottom w:val="nil"/>
              <w:right w:val="nil"/>
            </w:tcBorders>
            <w:shd w:val="clear" w:color="auto" w:fill="auto"/>
            <w:noWrap/>
            <w:vAlign w:val="center"/>
            <w:hideMark/>
          </w:tcPr>
          <w:p w14:paraId="7C9C8249" w14:textId="77777777" w:rsidR="00A96988" w:rsidRPr="0099566D" w:rsidRDefault="00A96988" w:rsidP="00A96988">
            <w:pPr>
              <w:jc w:val="center"/>
              <w:rPr>
                <w:rFonts w:cs="Arial"/>
                <w:color w:val="000000"/>
                <w:sz w:val="18"/>
                <w:szCs w:val="18"/>
              </w:rPr>
            </w:pPr>
            <w:r w:rsidRPr="0099566D">
              <w:rPr>
                <w:rFonts w:cs="Arial"/>
                <w:color w:val="FF0000"/>
                <w:sz w:val="18"/>
                <w:szCs w:val="18"/>
              </w:rPr>
              <w:t>(63,18)</w:t>
            </w:r>
          </w:p>
        </w:tc>
      </w:tr>
      <w:tr w:rsidR="00A96988" w:rsidRPr="0099566D" w14:paraId="0C9B848C" w14:textId="77777777" w:rsidTr="00526AF1">
        <w:trPr>
          <w:trHeight w:val="284"/>
        </w:trPr>
        <w:tc>
          <w:tcPr>
            <w:tcW w:w="303" w:type="pct"/>
            <w:tcBorders>
              <w:top w:val="nil"/>
              <w:left w:val="nil"/>
              <w:bottom w:val="nil"/>
              <w:right w:val="single" w:sz="4" w:space="0" w:color="auto"/>
            </w:tcBorders>
            <w:shd w:val="clear" w:color="auto" w:fill="auto"/>
            <w:noWrap/>
            <w:vAlign w:val="center"/>
            <w:hideMark/>
          </w:tcPr>
          <w:p w14:paraId="6353AD10" w14:textId="77777777" w:rsidR="00A96988" w:rsidRPr="0099566D" w:rsidRDefault="00A96988" w:rsidP="00A96988">
            <w:pPr>
              <w:jc w:val="left"/>
              <w:rPr>
                <w:rFonts w:cs="Arial"/>
                <w:color w:val="000000"/>
                <w:sz w:val="18"/>
                <w:szCs w:val="18"/>
              </w:rPr>
            </w:pPr>
            <w:r w:rsidRPr="0099566D">
              <w:rPr>
                <w:rFonts w:cs="Arial"/>
                <w:color w:val="000000"/>
                <w:sz w:val="18"/>
                <w:szCs w:val="18"/>
              </w:rPr>
              <w:t>4094</w:t>
            </w:r>
          </w:p>
        </w:tc>
        <w:tc>
          <w:tcPr>
            <w:tcW w:w="2274" w:type="pct"/>
            <w:tcBorders>
              <w:top w:val="nil"/>
              <w:left w:val="nil"/>
              <w:bottom w:val="nil"/>
              <w:right w:val="single" w:sz="4" w:space="0" w:color="auto"/>
            </w:tcBorders>
            <w:shd w:val="clear" w:color="auto" w:fill="auto"/>
            <w:noWrap/>
            <w:vAlign w:val="center"/>
            <w:hideMark/>
          </w:tcPr>
          <w:p w14:paraId="1C233BF2" w14:textId="77777777" w:rsidR="00A96988" w:rsidRPr="0099566D" w:rsidRDefault="00A96988" w:rsidP="00A96988">
            <w:pPr>
              <w:jc w:val="left"/>
              <w:rPr>
                <w:rFonts w:cs="Arial"/>
                <w:color w:val="000000"/>
                <w:sz w:val="18"/>
                <w:szCs w:val="18"/>
              </w:rPr>
            </w:pPr>
            <w:r w:rsidRPr="0099566D">
              <w:rPr>
                <w:rFonts w:cs="Arial"/>
                <w:color w:val="000000"/>
                <w:sz w:val="18"/>
                <w:szCs w:val="18"/>
              </w:rPr>
              <w:t>Agência Goiana de Habitação S/A - Agehab</w:t>
            </w:r>
          </w:p>
        </w:tc>
        <w:tc>
          <w:tcPr>
            <w:tcW w:w="682" w:type="pct"/>
            <w:tcBorders>
              <w:top w:val="nil"/>
              <w:left w:val="nil"/>
              <w:bottom w:val="nil"/>
              <w:right w:val="nil"/>
            </w:tcBorders>
            <w:shd w:val="clear" w:color="auto" w:fill="auto"/>
            <w:noWrap/>
            <w:vAlign w:val="center"/>
            <w:hideMark/>
          </w:tcPr>
          <w:p w14:paraId="0EBF736E" w14:textId="77777777" w:rsidR="00A96988" w:rsidRPr="0099566D" w:rsidRDefault="00A96988" w:rsidP="00A96988">
            <w:pPr>
              <w:jc w:val="right"/>
              <w:rPr>
                <w:rFonts w:cs="Arial"/>
                <w:color w:val="000000"/>
                <w:sz w:val="18"/>
                <w:szCs w:val="18"/>
              </w:rPr>
            </w:pPr>
            <w:r w:rsidRPr="0099566D">
              <w:rPr>
                <w:rFonts w:cs="Arial"/>
                <w:color w:val="000000"/>
                <w:sz w:val="18"/>
                <w:szCs w:val="18"/>
              </w:rPr>
              <w:t>17.645.000</w:t>
            </w:r>
          </w:p>
        </w:tc>
        <w:tc>
          <w:tcPr>
            <w:tcW w:w="606" w:type="pct"/>
            <w:tcBorders>
              <w:top w:val="nil"/>
              <w:left w:val="single" w:sz="4" w:space="0" w:color="auto"/>
              <w:bottom w:val="nil"/>
              <w:right w:val="nil"/>
            </w:tcBorders>
            <w:shd w:val="clear" w:color="auto" w:fill="auto"/>
            <w:noWrap/>
            <w:vAlign w:val="center"/>
            <w:hideMark/>
          </w:tcPr>
          <w:p w14:paraId="61BC057F" w14:textId="77777777" w:rsidR="00A96988" w:rsidRPr="0099566D" w:rsidRDefault="00A96988" w:rsidP="00A96988">
            <w:pPr>
              <w:jc w:val="right"/>
              <w:rPr>
                <w:rFonts w:cs="Arial"/>
                <w:color w:val="000000"/>
                <w:sz w:val="18"/>
                <w:szCs w:val="18"/>
              </w:rPr>
            </w:pPr>
            <w:r w:rsidRPr="0099566D">
              <w:rPr>
                <w:rFonts w:cs="Arial"/>
                <w:color w:val="000000"/>
                <w:sz w:val="18"/>
                <w:szCs w:val="18"/>
              </w:rPr>
              <w:t>8.803.493</w:t>
            </w:r>
          </w:p>
        </w:tc>
        <w:tc>
          <w:tcPr>
            <w:tcW w:w="606" w:type="pct"/>
            <w:tcBorders>
              <w:top w:val="nil"/>
              <w:left w:val="single" w:sz="4" w:space="0" w:color="auto"/>
              <w:bottom w:val="nil"/>
              <w:right w:val="single" w:sz="4" w:space="0" w:color="auto"/>
            </w:tcBorders>
            <w:shd w:val="clear" w:color="auto" w:fill="auto"/>
            <w:noWrap/>
            <w:vAlign w:val="center"/>
            <w:hideMark/>
          </w:tcPr>
          <w:p w14:paraId="052BBE5E" w14:textId="77777777" w:rsidR="00A96988" w:rsidRPr="0099566D" w:rsidRDefault="00A96988" w:rsidP="00A96988">
            <w:pPr>
              <w:jc w:val="right"/>
              <w:rPr>
                <w:rFonts w:cs="Arial"/>
                <w:color w:val="000000"/>
                <w:sz w:val="18"/>
                <w:szCs w:val="18"/>
              </w:rPr>
            </w:pPr>
            <w:r w:rsidRPr="0099566D">
              <w:rPr>
                <w:rFonts w:cs="Arial"/>
                <w:color w:val="FF0000"/>
                <w:sz w:val="18"/>
                <w:szCs w:val="18"/>
              </w:rPr>
              <w:t>(8.841.507)</w:t>
            </w:r>
          </w:p>
        </w:tc>
        <w:tc>
          <w:tcPr>
            <w:tcW w:w="529" w:type="pct"/>
            <w:tcBorders>
              <w:top w:val="nil"/>
              <w:left w:val="nil"/>
              <w:bottom w:val="nil"/>
              <w:right w:val="nil"/>
            </w:tcBorders>
            <w:shd w:val="clear" w:color="auto" w:fill="auto"/>
            <w:noWrap/>
            <w:vAlign w:val="center"/>
            <w:hideMark/>
          </w:tcPr>
          <w:p w14:paraId="7A32DED5" w14:textId="77777777" w:rsidR="00A96988" w:rsidRPr="0099566D" w:rsidRDefault="00A96988" w:rsidP="00A96988">
            <w:pPr>
              <w:jc w:val="center"/>
              <w:rPr>
                <w:rFonts w:cs="Arial"/>
                <w:color w:val="000000"/>
                <w:sz w:val="18"/>
                <w:szCs w:val="18"/>
              </w:rPr>
            </w:pPr>
            <w:r w:rsidRPr="0099566D">
              <w:rPr>
                <w:rFonts w:cs="Arial"/>
                <w:color w:val="FF0000"/>
                <w:sz w:val="18"/>
                <w:szCs w:val="18"/>
              </w:rPr>
              <w:t>(50,11)</w:t>
            </w:r>
          </w:p>
        </w:tc>
      </w:tr>
      <w:tr w:rsidR="00A96988" w:rsidRPr="0099566D" w14:paraId="0290310A" w14:textId="77777777" w:rsidTr="00526AF1">
        <w:trPr>
          <w:trHeight w:val="284"/>
        </w:trPr>
        <w:tc>
          <w:tcPr>
            <w:tcW w:w="303" w:type="pct"/>
            <w:tcBorders>
              <w:top w:val="nil"/>
              <w:left w:val="nil"/>
              <w:bottom w:val="nil"/>
              <w:right w:val="single" w:sz="4" w:space="0" w:color="auto"/>
            </w:tcBorders>
            <w:shd w:val="clear" w:color="auto" w:fill="auto"/>
            <w:noWrap/>
            <w:vAlign w:val="center"/>
            <w:hideMark/>
          </w:tcPr>
          <w:p w14:paraId="4538A961" w14:textId="77777777" w:rsidR="00A96988" w:rsidRPr="0099566D" w:rsidRDefault="00A96988" w:rsidP="00A96988">
            <w:pPr>
              <w:jc w:val="left"/>
              <w:rPr>
                <w:rFonts w:cs="Arial"/>
                <w:color w:val="000000"/>
                <w:sz w:val="18"/>
                <w:szCs w:val="18"/>
              </w:rPr>
            </w:pPr>
            <w:r w:rsidRPr="0099566D">
              <w:rPr>
                <w:rFonts w:cs="Arial"/>
                <w:color w:val="000000"/>
                <w:sz w:val="18"/>
                <w:szCs w:val="18"/>
              </w:rPr>
              <w:t>4091</w:t>
            </w:r>
          </w:p>
        </w:tc>
        <w:tc>
          <w:tcPr>
            <w:tcW w:w="2274" w:type="pct"/>
            <w:tcBorders>
              <w:top w:val="nil"/>
              <w:left w:val="nil"/>
              <w:bottom w:val="nil"/>
              <w:right w:val="single" w:sz="4" w:space="0" w:color="auto"/>
            </w:tcBorders>
            <w:shd w:val="clear" w:color="auto" w:fill="auto"/>
            <w:noWrap/>
            <w:vAlign w:val="center"/>
            <w:hideMark/>
          </w:tcPr>
          <w:p w14:paraId="29C6C2C2" w14:textId="77777777" w:rsidR="00A96988" w:rsidRPr="0099566D" w:rsidRDefault="00A96988" w:rsidP="00A96988">
            <w:pPr>
              <w:jc w:val="left"/>
              <w:rPr>
                <w:rFonts w:cs="Arial"/>
                <w:color w:val="000000"/>
                <w:sz w:val="18"/>
                <w:szCs w:val="18"/>
              </w:rPr>
            </w:pPr>
            <w:r w:rsidRPr="0099566D">
              <w:rPr>
                <w:rFonts w:cs="Arial"/>
                <w:color w:val="000000"/>
                <w:sz w:val="18"/>
                <w:szCs w:val="18"/>
              </w:rPr>
              <w:t>Goiás Telecom S/A</w:t>
            </w:r>
          </w:p>
        </w:tc>
        <w:tc>
          <w:tcPr>
            <w:tcW w:w="682" w:type="pct"/>
            <w:tcBorders>
              <w:top w:val="nil"/>
              <w:left w:val="nil"/>
              <w:bottom w:val="nil"/>
              <w:right w:val="nil"/>
            </w:tcBorders>
            <w:shd w:val="clear" w:color="auto" w:fill="auto"/>
            <w:noWrap/>
            <w:vAlign w:val="center"/>
            <w:hideMark/>
          </w:tcPr>
          <w:p w14:paraId="492A621F" w14:textId="77777777" w:rsidR="00A96988" w:rsidRPr="0099566D" w:rsidRDefault="00A96988" w:rsidP="00A96988">
            <w:pPr>
              <w:jc w:val="right"/>
              <w:rPr>
                <w:rFonts w:cs="Arial"/>
                <w:color w:val="000000"/>
                <w:sz w:val="18"/>
                <w:szCs w:val="18"/>
              </w:rPr>
            </w:pPr>
            <w:r w:rsidRPr="0099566D">
              <w:rPr>
                <w:rFonts w:cs="Arial"/>
                <w:color w:val="000000"/>
                <w:sz w:val="18"/>
                <w:szCs w:val="18"/>
              </w:rPr>
              <w:t>270.000</w:t>
            </w:r>
          </w:p>
        </w:tc>
        <w:tc>
          <w:tcPr>
            <w:tcW w:w="606" w:type="pct"/>
            <w:tcBorders>
              <w:top w:val="nil"/>
              <w:left w:val="single" w:sz="4" w:space="0" w:color="auto"/>
              <w:bottom w:val="nil"/>
              <w:right w:val="nil"/>
            </w:tcBorders>
            <w:shd w:val="clear" w:color="auto" w:fill="auto"/>
            <w:noWrap/>
            <w:vAlign w:val="center"/>
            <w:hideMark/>
          </w:tcPr>
          <w:p w14:paraId="7A030A56" w14:textId="77777777" w:rsidR="00A96988" w:rsidRPr="0099566D" w:rsidRDefault="00A96988" w:rsidP="00A96988">
            <w:pPr>
              <w:jc w:val="right"/>
              <w:rPr>
                <w:rFonts w:cs="Arial"/>
                <w:color w:val="000000"/>
                <w:sz w:val="18"/>
                <w:szCs w:val="18"/>
              </w:rPr>
            </w:pPr>
            <w:r w:rsidRPr="0099566D">
              <w:rPr>
                <w:rFonts w:cs="Arial"/>
                <w:color w:val="000000"/>
                <w:sz w:val="18"/>
                <w:szCs w:val="18"/>
              </w:rPr>
              <w:t>776.824</w:t>
            </w:r>
          </w:p>
        </w:tc>
        <w:tc>
          <w:tcPr>
            <w:tcW w:w="606" w:type="pct"/>
            <w:tcBorders>
              <w:top w:val="nil"/>
              <w:left w:val="single" w:sz="4" w:space="0" w:color="auto"/>
              <w:bottom w:val="nil"/>
              <w:right w:val="single" w:sz="4" w:space="0" w:color="auto"/>
            </w:tcBorders>
            <w:shd w:val="clear" w:color="auto" w:fill="auto"/>
            <w:noWrap/>
            <w:vAlign w:val="center"/>
            <w:hideMark/>
          </w:tcPr>
          <w:p w14:paraId="61B08598" w14:textId="77777777" w:rsidR="00A96988" w:rsidRPr="0099566D" w:rsidRDefault="00A96988" w:rsidP="00A96988">
            <w:pPr>
              <w:jc w:val="right"/>
              <w:rPr>
                <w:rFonts w:cs="Arial"/>
                <w:color w:val="000000"/>
                <w:sz w:val="18"/>
                <w:szCs w:val="18"/>
              </w:rPr>
            </w:pPr>
            <w:r w:rsidRPr="0099566D">
              <w:rPr>
                <w:rFonts w:cs="Arial"/>
                <w:color w:val="000000"/>
                <w:sz w:val="18"/>
                <w:szCs w:val="18"/>
              </w:rPr>
              <w:t>506.824</w:t>
            </w:r>
          </w:p>
        </w:tc>
        <w:tc>
          <w:tcPr>
            <w:tcW w:w="529" w:type="pct"/>
            <w:tcBorders>
              <w:top w:val="nil"/>
              <w:left w:val="nil"/>
              <w:bottom w:val="nil"/>
              <w:right w:val="nil"/>
            </w:tcBorders>
            <w:shd w:val="clear" w:color="auto" w:fill="auto"/>
            <w:noWrap/>
            <w:vAlign w:val="center"/>
            <w:hideMark/>
          </w:tcPr>
          <w:p w14:paraId="4C01F7E7" w14:textId="77777777" w:rsidR="00A96988" w:rsidRPr="0099566D" w:rsidRDefault="00A96988" w:rsidP="00A96988">
            <w:pPr>
              <w:jc w:val="center"/>
              <w:rPr>
                <w:rFonts w:cs="Arial"/>
                <w:color w:val="000000"/>
                <w:sz w:val="18"/>
                <w:szCs w:val="18"/>
              </w:rPr>
            </w:pPr>
            <w:r w:rsidRPr="0099566D">
              <w:rPr>
                <w:rFonts w:cs="Arial"/>
                <w:color w:val="000000"/>
                <w:sz w:val="18"/>
                <w:szCs w:val="18"/>
              </w:rPr>
              <w:t>187,71</w:t>
            </w:r>
          </w:p>
        </w:tc>
      </w:tr>
      <w:tr w:rsidR="00A96988" w:rsidRPr="0099566D" w14:paraId="74E2D816" w14:textId="77777777" w:rsidTr="00526AF1">
        <w:trPr>
          <w:trHeight w:val="284"/>
        </w:trPr>
        <w:tc>
          <w:tcPr>
            <w:tcW w:w="2577" w:type="pct"/>
            <w:gridSpan w:val="2"/>
            <w:tcBorders>
              <w:top w:val="single" w:sz="4" w:space="0" w:color="auto"/>
              <w:left w:val="nil"/>
              <w:bottom w:val="single" w:sz="4" w:space="0" w:color="auto"/>
              <w:right w:val="single" w:sz="4" w:space="0" w:color="000000"/>
            </w:tcBorders>
            <w:shd w:val="clear" w:color="auto" w:fill="auto"/>
            <w:noWrap/>
            <w:vAlign w:val="center"/>
            <w:hideMark/>
          </w:tcPr>
          <w:p w14:paraId="70B5F11F" w14:textId="77777777" w:rsidR="00A96988" w:rsidRPr="0099566D" w:rsidRDefault="00A96988" w:rsidP="00A96988">
            <w:pPr>
              <w:jc w:val="center"/>
              <w:rPr>
                <w:rFonts w:cs="Arial"/>
                <w:b/>
                <w:bCs/>
                <w:color w:val="000000"/>
                <w:sz w:val="18"/>
                <w:szCs w:val="18"/>
              </w:rPr>
            </w:pPr>
            <w:r w:rsidRPr="0099566D">
              <w:rPr>
                <w:rFonts w:cs="Arial"/>
                <w:b/>
                <w:bCs/>
                <w:color w:val="000000"/>
                <w:sz w:val="18"/>
                <w:szCs w:val="18"/>
              </w:rPr>
              <w:t>Total</w:t>
            </w:r>
          </w:p>
        </w:tc>
        <w:tc>
          <w:tcPr>
            <w:tcW w:w="682" w:type="pct"/>
            <w:tcBorders>
              <w:top w:val="single" w:sz="4" w:space="0" w:color="auto"/>
              <w:left w:val="nil"/>
              <w:bottom w:val="single" w:sz="4" w:space="0" w:color="auto"/>
              <w:right w:val="nil"/>
            </w:tcBorders>
            <w:shd w:val="clear" w:color="auto" w:fill="auto"/>
            <w:noWrap/>
            <w:vAlign w:val="center"/>
            <w:hideMark/>
          </w:tcPr>
          <w:p w14:paraId="0EF01DB7" w14:textId="77777777" w:rsidR="00A96988" w:rsidRPr="0099566D" w:rsidRDefault="00A96988" w:rsidP="00A96988">
            <w:pPr>
              <w:jc w:val="right"/>
              <w:rPr>
                <w:rFonts w:cs="Arial"/>
                <w:b/>
                <w:bCs/>
                <w:color w:val="000000"/>
                <w:sz w:val="18"/>
                <w:szCs w:val="18"/>
              </w:rPr>
            </w:pPr>
            <w:r w:rsidRPr="0099566D">
              <w:rPr>
                <w:rFonts w:cs="Arial"/>
                <w:b/>
                <w:bCs/>
                <w:color w:val="000000"/>
                <w:sz w:val="18"/>
                <w:szCs w:val="18"/>
              </w:rPr>
              <w:t xml:space="preserve">106.249.000 </w:t>
            </w:r>
          </w:p>
        </w:tc>
        <w:tc>
          <w:tcPr>
            <w:tcW w:w="606" w:type="pct"/>
            <w:tcBorders>
              <w:top w:val="single" w:sz="4" w:space="0" w:color="auto"/>
              <w:left w:val="single" w:sz="4" w:space="0" w:color="auto"/>
              <w:bottom w:val="single" w:sz="4" w:space="0" w:color="auto"/>
              <w:right w:val="nil"/>
            </w:tcBorders>
            <w:shd w:val="clear" w:color="auto" w:fill="auto"/>
            <w:noWrap/>
            <w:vAlign w:val="center"/>
            <w:hideMark/>
          </w:tcPr>
          <w:p w14:paraId="2CB0ABCE" w14:textId="77777777" w:rsidR="00A96988" w:rsidRPr="0099566D" w:rsidRDefault="00A96988" w:rsidP="00A96988">
            <w:pPr>
              <w:jc w:val="right"/>
              <w:rPr>
                <w:rFonts w:cs="Arial"/>
                <w:b/>
                <w:bCs/>
                <w:color w:val="000000"/>
                <w:sz w:val="18"/>
                <w:szCs w:val="18"/>
              </w:rPr>
            </w:pPr>
            <w:r w:rsidRPr="0099566D">
              <w:rPr>
                <w:rFonts w:cs="Arial"/>
                <w:b/>
                <w:bCs/>
                <w:color w:val="000000"/>
                <w:sz w:val="18"/>
                <w:szCs w:val="18"/>
              </w:rPr>
              <w:t xml:space="preserve">85.949.337 </w:t>
            </w:r>
          </w:p>
        </w:tc>
        <w:tc>
          <w:tcPr>
            <w:tcW w:w="6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BBCBC4" w14:textId="77777777" w:rsidR="00A96988" w:rsidRPr="0099566D" w:rsidRDefault="00A96988" w:rsidP="005947F4">
            <w:pPr>
              <w:ind w:hanging="65"/>
              <w:jc w:val="right"/>
              <w:rPr>
                <w:rFonts w:cs="Arial"/>
                <w:b/>
                <w:bCs/>
                <w:color w:val="000000"/>
                <w:sz w:val="18"/>
                <w:szCs w:val="18"/>
              </w:rPr>
            </w:pPr>
            <w:r w:rsidRPr="0099566D">
              <w:rPr>
                <w:rFonts w:cs="Arial"/>
                <w:b/>
                <w:bCs/>
                <w:color w:val="FF0000"/>
                <w:sz w:val="18"/>
                <w:szCs w:val="18"/>
              </w:rPr>
              <w:t>(20.299.663)</w:t>
            </w:r>
          </w:p>
        </w:tc>
        <w:tc>
          <w:tcPr>
            <w:tcW w:w="529" w:type="pct"/>
            <w:tcBorders>
              <w:top w:val="single" w:sz="4" w:space="0" w:color="auto"/>
              <w:left w:val="nil"/>
              <w:bottom w:val="single" w:sz="4" w:space="0" w:color="auto"/>
              <w:right w:val="nil"/>
            </w:tcBorders>
            <w:shd w:val="clear" w:color="auto" w:fill="auto"/>
            <w:noWrap/>
            <w:vAlign w:val="center"/>
            <w:hideMark/>
          </w:tcPr>
          <w:p w14:paraId="0F84CE16" w14:textId="77777777" w:rsidR="00A96988" w:rsidRPr="0099566D" w:rsidRDefault="00A96988" w:rsidP="00A96988">
            <w:pPr>
              <w:jc w:val="center"/>
              <w:rPr>
                <w:rFonts w:cs="Arial"/>
                <w:b/>
                <w:bCs/>
                <w:color w:val="000000"/>
                <w:sz w:val="18"/>
                <w:szCs w:val="18"/>
              </w:rPr>
            </w:pPr>
            <w:r w:rsidRPr="0099566D">
              <w:rPr>
                <w:rFonts w:cs="Arial"/>
                <w:b/>
                <w:bCs/>
                <w:color w:val="FF0000"/>
                <w:sz w:val="18"/>
                <w:szCs w:val="18"/>
              </w:rPr>
              <w:t>(19,11)</w:t>
            </w:r>
          </w:p>
        </w:tc>
      </w:tr>
    </w:tbl>
    <w:p w14:paraId="3D88C9BD" w14:textId="77777777" w:rsidR="00A96988" w:rsidRDefault="00A96988" w:rsidP="00EF01A1">
      <w:pPr>
        <w:pStyle w:val="1-FONTE8ESQ"/>
        <w:rPr>
          <w:rStyle w:val="Forte"/>
          <w:b w:val="0"/>
          <w:bCs w:val="0"/>
        </w:rPr>
      </w:pPr>
      <w:r w:rsidRPr="00333D34">
        <w:rPr>
          <w:rStyle w:val="Forte"/>
          <w:b w:val="0"/>
          <w:bCs w:val="0"/>
        </w:rPr>
        <w:t xml:space="preserve">Fonte: </w:t>
      </w:r>
      <w:r w:rsidRPr="00D7707D">
        <w:rPr>
          <w:rStyle w:val="Forte"/>
          <w:b w:val="0"/>
          <w:bCs w:val="0"/>
          <w:i/>
        </w:rPr>
        <w:t>Business Objects</w:t>
      </w:r>
    </w:p>
    <w:p w14:paraId="43B03A57" w14:textId="77777777" w:rsidR="00A96988" w:rsidRPr="00333D34" w:rsidRDefault="00A96988" w:rsidP="00EF01A1">
      <w:pPr>
        <w:pStyle w:val="1-FONTE8ESQ"/>
        <w:rPr>
          <w:rStyle w:val="Forte"/>
          <w:b w:val="0"/>
          <w:bCs w:val="0"/>
        </w:rPr>
      </w:pPr>
      <w:r w:rsidRPr="00013DDD">
        <w:rPr>
          <w:rStyle w:val="Forte"/>
          <w:b w:val="0"/>
          <w:bCs w:val="0"/>
          <w:vertAlign w:val="superscript"/>
        </w:rPr>
        <w:t>1</w:t>
      </w:r>
      <w:r>
        <w:rPr>
          <w:rStyle w:val="Forte"/>
          <w:b w:val="0"/>
          <w:bCs w:val="0"/>
        </w:rPr>
        <w:t xml:space="preserve"> UO = Unidade Orçamentária</w:t>
      </w:r>
    </w:p>
    <w:p w14:paraId="5ABAFDE9" w14:textId="77777777" w:rsidR="00A96988" w:rsidRDefault="00A96988" w:rsidP="00A96988">
      <w:pPr>
        <w:pStyle w:val="1-REL11"/>
      </w:pPr>
      <w:r>
        <w:t>A tabela abaixo demonstra os maiores volumes de arrecadação no Estado por UO no exercício:</w:t>
      </w:r>
    </w:p>
    <w:p w14:paraId="1C6133CD" w14:textId="77777777" w:rsidR="007456C7" w:rsidRPr="0005722B" w:rsidRDefault="007456C7" w:rsidP="00ED3571">
      <w:pPr>
        <w:pStyle w:val="0-TABELA"/>
      </w:pPr>
      <w:bookmarkStart w:id="71" w:name="_Ref165645530"/>
      <w:bookmarkStart w:id="72" w:name="_Toc167871735"/>
      <w:r w:rsidRPr="0005722B">
        <w:lastRenderedPageBreak/>
        <w:t>Arrecadação por U</w:t>
      </w:r>
      <w:r>
        <w:t xml:space="preserve">nidade </w:t>
      </w:r>
      <w:r w:rsidRPr="0005722B">
        <w:t>O</w:t>
      </w:r>
      <w:r>
        <w:t>rçamentária</w:t>
      </w:r>
      <w:bookmarkEnd w:id="72"/>
    </w:p>
    <w:p w14:paraId="580D03F5" w14:textId="77777777" w:rsidR="007456C7" w:rsidRDefault="007456C7" w:rsidP="007456C7">
      <w:pPr>
        <w:pStyle w:val="0-EmR1"/>
        <w:rPr>
          <w:highlight w:val="yellow"/>
        </w:rPr>
      </w:pPr>
      <w:r w:rsidRPr="00333D34">
        <w:t>R$ 1</w:t>
      </w:r>
    </w:p>
    <w:tbl>
      <w:tblPr>
        <w:tblW w:w="5000" w:type="pct"/>
        <w:tblLayout w:type="fixed"/>
        <w:tblCellMar>
          <w:left w:w="70" w:type="dxa"/>
          <w:right w:w="70" w:type="dxa"/>
        </w:tblCellMar>
        <w:tblLook w:val="04A0" w:firstRow="1" w:lastRow="0" w:firstColumn="1" w:lastColumn="0" w:noHBand="0" w:noVBand="1"/>
      </w:tblPr>
      <w:tblGrid>
        <w:gridCol w:w="6096"/>
        <w:gridCol w:w="1985"/>
        <w:gridCol w:w="1272"/>
      </w:tblGrid>
      <w:tr w:rsidR="007456C7" w:rsidRPr="000E7F14" w14:paraId="392564D9" w14:textId="77777777" w:rsidTr="00854644">
        <w:trPr>
          <w:trHeight w:val="397"/>
          <w:tblHeader/>
        </w:trPr>
        <w:tc>
          <w:tcPr>
            <w:tcW w:w="3259" w:type="pct"/>
            <w:tcBorders>
              <w:top w:val="single" w:sz="4" w:space="0" w:color="auto"/>
              <w:left w:val="nil"/>
              <w:bottom w:val="single" w:sz="4" w:space="0" w:color="auto"/>
              <w:right w:val="single" w:sz="4" w:space="0" w:color="auto"/>
            </w:tcBorders>
            <w:shd w:val="clear" w:color="000000" w:fill="A1F2FD"/>
            <w:vAlign w:val="center"/>
            <w:hideMark/>
          </w:tcPr>
          <w:p w14:paraId="065DA899" w14:textId="77777777" w:rsidR="007456C7" w:rsidRPr="000E7F14" w:rsidRDefault="007456C7" w:rsidP="007A35D1">
            <w:pPr>
              <w:jc w:val="center"/>
              <w:rPr>
                <w:rFonts w:cs="Arial"/>
                <w:b/>
                <w:bCs/>
                <w:color w:val="000000"/>
              </w:rPr>
            </w:pPr>
            <w:r w:rsidRPr="000E7F14">
              <w:rPr>
                <w:rFonts w:cs="Arial"/>
                <w:b/>
                <w:bCs/>
                <w:color w:val="000000"/>
              </w:rPr>
              <w:t>Unidade Orçamentária</w:t>
            </w:r>
          </w:p>
        </w:tc>
        <w:tc>
          <w:tcPr>
            <w:tcW w:w="1061" w:type="pct"/>
            <w:tcBorders>
              <w:top w:val="single" w:sz="4" w:space="0" w:color="auto"/>
              <w:left w:val="nil"/>
              <w:bottom w:val="single" w:sz="4" w:space="0" w:color="auto"/>
              <w:right w:val="single" w:sz="4" w:space="0" w:color="auto"/>
            </w:tcBorders>
            <w:shd w:val="clear" w:color="000000" w:fill="A1F2FD"/>
            <w:vAlign w:val="center"/>
            <w:hideMark/>
          </w:tcPr>
          <w:p w14:paraId="521999D9" w14:textId="77777777" w:rsidR="007456C7" w:rsidRPr="000E7F14" w:rsidRDefault="007456C7" w:rsidP="007A35D1">
            <w:pPr>
              <w:jc w:val="center"/>
              <w:rPr>
                <w:rFonts w:cs="Arial"/>
                <w:b/>
                <w:bCs/>
                <w:color w:val="000000"/>
              </w:rPr>
            </w:pPr>
            <w:r w:rsidRPr="000E7F14">
              <w:rPr>
                <w:rFonts w:cs="Arial"/>
                <w:b/>
                <w:bCs/>
                <w:color w:val="000000"/>
              </w:rPr>
              <w:t>Arrecadação</w:t>
            </w:r>
          </w:p>
        </w:tc>
        <w:tc>
          <w:tcPr>
            <w:tcW w:w="680" w:type="pct"/>
            <w:tcBorders>
              <w:top w:val="single" w:sz="4" w:space="0" w:color="auto"/>
              <w:left w:val="nil"/>
              <w:bottom w:val="single" w:sz="4" w:space="0" w:color="auto"/>
              <w:right w:val="nil"/>
            </w:tcBorders>
            <w:shd w:val="clear" w:color="000000" w:fill="A1F2FD"/>
            <w:vAlign w:val="center"/>
            <w:hideMark/>
          </w:tcPr>
          <w:p w14:paraId="3B2FF060" w14:textId="298F4D71" w:rsidR="007456C7" w:rsidRPr="000E7F14" w:rsidRDefault="00CF49C6" w:rsidP="007A35D1">
            <w:pPr>
              <w:jc w:val="center"/>
              <w:rPr>
                <w:rFonts w:cs="Arial"/>
                <w:b/>
                <w:bCs/>
                <w:color w:val="000000"/>
              </w:rPr>
            </w:pPr>
            <w:r>
              <w:rPr>
                <w:rFonts w:cs="Arial"/>
                <w:b/>
                <w:bCs/>
                <w:color w:val="000000"/>
              </w:rPr>
              <w:t xml:space="preserve">AV </w:t>
            </w:r>
            <w:r w:rsidR="00135A07" w:rsidRPr="000E7F14">
              <w:rPr>
                <w:rFonts w:cs="Arial"/>
                <w:b/>
                <w:bCs/>
                <w:color w:val="000000"/>
              </w:rPr>
              <w:t>%</w:t>
            </w:r>
          </w:p>
        </w:tc>
      </w:tr>
      <w:tr w:rsidR="007456C7" w:rsidRPr="000E7F14" w14:paraId="39075B5B"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6A9AA7BB" w14:textId="77777777" w:rsidR="007456C7" w:rsidRPr="000E7F14" w:rsidRDefault="007456C7" w:rsidP="007A35D1">
            <w:pPr>
              <w:jc w:val="left"/>
              <w:rPr>
                <w:rFonts w:cs="Arial"/>
              </w:rPr>
            </w:pPr>
            <w:r w:rsidRPr="000E7F14">
              <w:rPr>
                <w:rFonts w:cs="Arial"/>
              </w:rPr>
              <w:t>9995 - Tesouro Estadual</w:t>
            </w:r>
          </w:p>
        </w:tc>
        <w:tc>
          <w:tcPr>
            <w:tcW w:w="1061" w:type="pct"/>
            <w:tcBorders>
              <w:top w:val="nil"/>
              <w:left w:val="nil"/>
              <w:bottom w:val="nil"/>
              <w:right w:val="single" w:sz="4" w:space="0" w:color="auto"/>
            </w:tcBorders>
            <w:shd w:val="clear" w:color="FFFFFF" w:fill="FFFFFF"/>
            <w:noWrap/>
            <w:vAlign w:val="center"/>
            <w:hideMark/>
          </w:tcPr>
          <w:p w14:paraId="4A21950A" w14:textId="77777777" w:rsidR="007456C7" w:rsidRPr="000E7F14" w:rsidRDefault="007456C7" w:rsidP="007A35D1">
            <w:pPr>
              <w:jc w:val="right"/>
              <w:rPr>
                <w:rFonts w:cs="Arial"/>
              </w:rPr>
            </w:pPr>
            <w:r w:rsidRPr="000E7F14">
              <w:rPr>
                <w:rFonts w:cs="Arial"/>
              </w:rPr>
              <w:t xml:space="preserve">27.099.559.247 </w:t>
            </w:r>
          </w:p>
        </w:tc>
        <w:tc>
          <w:tcPr>
            <w:tcW w:w="680" w:type="pct"/>
            <w:tcBorders>
              <w:top w:val="nil"/>
              <w:left w:val="nil"/>
              <w:bottom w:val="nil"/>
              <w:right w:val="nil"/>
            </w:tcBorders>
            <w:shd w:val="clear" w:color="FFFFFF" w:fill="FFFFFF"/>
            <w:noWrap/>
            <w:vAlign w:val="center"/>
            <w:hideMark/>
          </w:tcPr>
          <w:p w14:paraId="055F6DE3" w14:textId="77777777" w:rsidR="007456C7" w:rsidRPr="000E7F14" w:rsidRDefault="007456C7" w:rsidP="007A35D1">
            <w:pPr>
              <w:jc w:val="center"/>
              <w:rPr>
                <w:rFonts w:cs="Arial"/>
              </w:rPr>
            </w:pPr>
            <w:r w:rsidRPr="000E7F14">
              <w:rPr>
                <w:rFonts w:cs="Arial"/>
              </w:rPr>
              <w:t>64,55</w:t>
            </w:r>
          </w:p>
        </w:tc>
      </w:tr>
      <w:tr w:rsidR="007456C7" w:rsidRPr="000E7F14" w14:paraId="68D34AD1"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6A488D3E" w14:textId="77777777" w:rsidR="007456C7" w:rsidRPr="000E7F14" w:rsidRDefault="007456C7" w:rsidP="007A35D1">
            <w:pPr>
              <w:jc w:val="left"/>
              <w:rPr>
                <w:rFonts w:cs="Arial"/>
              </w:rPr>
            </w:pPr>
            <w:r w:rsidRPr="000E7F14">
              <w:rPr>
                <w:rFonts w:cs="Arial"/>
              </w:rPr>
              <w:t>2401 - Gabinete do Secretário da Educação</w:t>
            </w:r>
          </w:p>
        </w:tc>
        <w:tc>
          <w:tcPr>
            <w:tcW w:w="1061" w:type="pct"/>
            <w:tcBorders>
              <w:top w:val="nil"/>
              <w:left w:val="nil"/>
              <w:bottom w:val="nil"/>
              <w:right w:val="single" w:sz="4" w:space="0" w:color="auto"/>
            </w:tcBorders>
            <w:shd w:val="clear" w:color="FFFFFF" w:fill="FFFFFF"/>
            <w:noWrap/>
            <w:vAlign w:val="center"/>
            <w:hideMark/>
          </w:tcPr>
          <w:p w14:paraId="7C5F85E5" w14:textId="77777777" w:rsidR="007456C7" w:rsidRPr="000E7F14" w:rsidRDefault="007456C7" w:rsidP="007A35D1">
            <w:pPr>
              <w:jc w:val="right"/>
              <w:rPr>
                <w:rFonts w:cs="Arial"/>
              </w:rPr>
            </w:pPr>
            <w:r w:rsidRPr="000E7F14">
              <w:rPr>
                <w:rFonts w:cs="Arial"/>
              </w:rPr>
              <w:t xml:space="preserve">3.873.554.868 </w:t>
            </w:r>
          </w:p>
        </w:tc>
        <w:tc>
          <w:tcPr>
            <w:tcW w:w="680" w:type="pct"/>
            <w:tcBorders>
              <w:top w:val="nil"/>
              <w:left w:val="nil"/>
              <w:bottom w:val="nil"/>
              <w:right w:val="nil"/>
            </w:tcBorders>
            <w:shd w:val="clear" w:color="FFFFFF" w:fill="FFFFFF"/>
            <w:noWrap/>
            <w:vAlign w:val="center"/>
            <w:hideMark/>
          </w:tcPr>
          <w:p w14:paraId="77A0A47D" w14:textId="77777777" w:rsidR="007456C7" w:rsidRPr="000E7F14" w:rsidRDefault="007456C7" w:rsidP="007A35D1">
            <w:pPr>
              <w:jc w:val="center"/>
              <w:rPr>
                <w:rFonts w:cs="Arial"/>
              </w:rPr>
            </w:pPr>
            <w:r w:rsidRPr="000E7F14">
              <w:rPr>
                <w:rFonts w:cs="Arial"/>
              </w:rPr>
              <w:t>9,23</w:t>
            </w:r>
          </w:p>
        </w:tc>
      </w:tr>
      <w:tr w:rsidR="007456C7" w:rsidRPr="000E7F14" w14:paraId="0F16F177"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0CEA1410" w14:textId="77777777" w:rsidR="007456C7" w:rsidRPr="000E7F14" w:rsidRDefault="007456C7" w:rsidP="007A35D1">
            <w:pPr>
              <w:jc w:val="left"/>
              <w:rPr>
                <w:rFonts w:cs="Arial"/>
              </w:rPr>
            </w:pPr>
            <w:r w:rsidRPr="000E7F14">
              <w:rPr>
                <w:rFonts w:cs="Arial"/>
              </w:rPr>
              <w:t>1780 - Fundo Financeiro - RPPS</w:t>
            </w:r>
          </w:p>
        </w:tc>
        <w:tc>
          <w:tcPr>
            <w:tcW w:w="1061" w:type="pct"/>
            <w:tcBorders>
              <w:top w:val="nil"/>
              <w:left w:val="nil"/>
              <w:bottom w:val="nil"/>
              <w:right w:val="single" w:sz="4" w:space="0" w:color="auto"/>
            </w:tcBorders>
            <w:shd w:val="clear" w:color="FFFFFF" w:fill="FFFFFF"/>
            <w:noWrap/>
            <w:vAlign w:val="center"/>
            <w:hideMark/>
          </w:tcPr>
          <w:p w14:paraId="0B105F04" w14:textId="77777777" w:rsidR="007456C7" w:rsidRPr="000E7F14" w:rsidRDefault="007456C7" w:rsidP="007A35D1">
            <w:pPr>
              <w:jc w:val="right"/>
              <w:rPr>
                <w:rFonts w:cs="Arial"/>
              </w:rPr>
            </w:pPr>
            <w:r w:rsidRPr="000E7F14">
              <w:rPr>
                <w:rFonts w:cs="Arial"/>
              </w:rPr>
              <w:t xml:space="preserve">2.670.540.398 </w:t>
            </w:r>
          </w:p>
        </w:tc>
        <w:tc>
          <w:tcPr>
            <w:tcW w:w="680" w:type="pct"/>
            <w:tcBorders>
              <w:top w:val="nil"/>
              <w:left w:val="nil"/>
              <w:bottom w:val="nil"/>
              <w:right w:val="nil"/>
            </w:tcBorders>
            <w:shd w:val="clear" w:color="FFFFFF" w:fill="FFFFFF"/>
            <w:noWrap/>
            <w:vAlign w:val="center"/>
            <w:hideMark/>
          </w:tcPr>
          <w:p w14:paraId="0E19CE95" w14:textId="77777777" w:rsidR="007456C7" w:rsidRPr="000E7F14" w:rsidRDefault="007456C7" w:rsidP="007A35D1">
            <w:pPr>
              <w:jc w:val="center"/>
              <w:rPr>
                <w:rFonts w:cs="Arial"/>
              </w:rPr>
            </w:pPr>
            <w:r w:rsidRPr="000E7F14">
              <w:rPr>
                <w:rFonts w:cs="Arial"/>
              </w:rPr>
              <w:t>6,36</w:t>
            </w:r>
          </w:p>
        </w:tc>
      </w:tr>
      <w:tr w:rsidR="007456C7" w:rsidRPr="000E7F14" w14:paraId="0A8D47C5"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7E3A12B5" w14:textId="77777777" w:rsidR="007456C7" w:rsidRPr="000E7F14" w:rsidRDefault="007456C7" w:rsidP="007A35D1">
            <w:pPr>
              <w:jc w:val="left"/>
              <w:rPr>
                <w:rFonts w:cs="Arial"/>
              </w:rPr>
            </w:pPr>
            <w:r w:rsidRPr="000E7F14">
              <w:rPr>
                <w:rFonts w:cs="Arial"/>
              </w:rPr>
              <w:t>1750 - Protege Goiás</w:t>
            </w:r>
          </w:p>
        </w:tc>
        <w:tc>
          <w:tcPr>
            <w:tcW w:w="1061" w:type="pct"/>
            <w:tcBorders>
              <w:top w:val="nil"/>
              <w:left w:val="nil"/>
              <w:bottom w:val="nil"/>
              <w:right w:val="single" w:sz="4" w:space="0" w:color="auto"/>
            </w:tcBorders>
            <w:shd w:val="clear" w:color="FFFFFF" w:fill="FFFFFF"/>
            <w:noWrap/>
            <w:vAlign w:val="center"/>
            <w:hideMark/>
          </w:tcPr>
          <w:p w14:paraId="14EC979A" w14:textId="77777777" w:rsidR="007456C7" w:rsidRPr="000E7F14" w:rsidRDefault="007456C7" w:rsidP="007A35D1">
            <w:pPr>
              <w:jc w:val="right"/>
              <w:rPr>
                <w:rFonts w:cs="Arial"/>
              </w:rPr>
            </w:pPr>
            <w:r w:rsidRPr="000E7F14">
              <w:rPr>
                <w:rFonts w:cs="Arial"/>
              </w:rPr>
              <w:t xml:space="preserve">1.505.738.613 </w:t>
            </w:r>
          </w:p>
        </w:tc>
        <w:tc>
          <w:tcPr>
            <w:tcW w:w="680" w:type="pct"/>
            <w:tcBorders>
              <w:top w:val="nil"/>
              <w:left w:val="nil"/>
              <w:bottom w:val="nil"/>
              <w:right w:val="nil"/>
            </w:tcBorders>
            <w:shd w:val="clear" w:color="FFFFFF" w:fill="FFFFFF"/>
            <w:noWrap/>
            <w:vAlign w:val="center"/>
            <w:hideMark/>
          </w:tcPr>
          <w:p w14:paraId="5380AD82" w14:textId="77777777" w:rsidR="007456C7" w:rsidRPr="000E7F14" w:rsidRDefault="007456C7" w:rsidP="007A35D1">
            <w:pPr>
              <w:jc w:val="center"/>
              <w:rPr>
                <w:rFonts w:cs="Arial"/>
              </w:rPr>
            </w:pPr>
            <w:r w:rsidRPr="000E7F14">
              <w:rPr>
                <w:rFonts w:cs="Arial"/>
              </w:rPr>
              <w:t>3,59</w:t>
            </w:r>
          </w:p>
        </w:tc>
      </w:tr>
      <w:tr w:rsidR="007456C7" w:rsidRPr="000E7F14" w14:paraId="4F405124"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6907077D" w14:textId="77777777" w:rsidR="007456C7" w:rsidRPr="000E7F14" w:rsidRDefault="007456C7" w:rsidP="007A35D1">
            <w:pPr>
              <w:jc w:val="left"/>
              <w:rPr>
                <w:rFonts w:cs="Arial"/>
              </w:rPr>
            </w:pPr>
            <w:r w:rsidRPr="000E7F14">
              <w:rPr>
                <w:rFonts w:cs="Arial"/>
              </w:rPr>
              <w:t>0452 - Fundesp - PJ</w:t>
            </w:r>
          </w:p>
        </w:tc>
        <w:tc>
          <w:tcPr>
            <w:tcW w:w="1061" w:type="pct"/>
            <w:tcBorders>
              <w:top w:val="nil"/>
              <w:left w:val="nil"/>
              <w:bottom w:val="nil"/>
              <w:right w:val="single" w:sz="4" w:space="0" w:color="auto"/>
            </w:tcBorders>
            <w:shd w:val="clear" w:color="FFFFFF" w:fill="FFFFFF"/>
            <w:noWrap/>
            <w:vAlign w:val="center"/>
            <w:hideMark/>
          </w:tcPr>
          <w:p w14:paraId="4DB725B8" w14:textId="77777777" w:rsidR="007456C7" w:rsidRPr="000E7F14" w:rsidRDefault="007456C7" w:rsidP="007A35D1">
            <w:pPr>
              <w:jc w:val="right"/>
              <w:rPr>
                <w:rFonts w:cs="Arial"/>
              </w:rPr>
            </w:pPr>
            <w:r w:rsidRPr="000E7F14">
              <w:rPr>
                <w:rFonts w:cs="Arial"/>
              </w:rPr>
              <w:t xml:space="preserve">1.136.259.998 </w:t>
            </w:r>
          </w:p>
        </w:tc>
        <w:tc>
          <w:tcPr>
            <w:tcW w:w="680" w:type="pct"/>
            <w:tcBorders>
              <w:top w:val="nil"/>
              <w:left w:val="nil"/>
              <w:bottom w:val="nil"/>
              <w:right w:val="nil"/>
            </w:tcBorders>
            <w:shd w:val="clear" w:color="FFFFFF" w:fill="FFFFFF"/>
            <w:noWrap/>
            <w:vAlign w:val="center"/>
            <w:hideMark/>
          </w:tcPr>
          <w:p w14:paraId="062EDF7C" w14:textId="77777777" w:rsidR="007456C7" w:rsidRPr="000E7F14" w:rsidRDefault="007456C7" w:rsidP="007A35D1">
            <w:pPr>
              <w:jc w:val="center"/>
              <w:rPr>
                <w:rFonts w:cs="Arial"/>
              </w:rPr>
            </w:pPr>
            <w:r w:rsidRPr="000E7F14">
              <w:rPr>
                <w:rFonts w:cs="Arial"/>
              </w:rPr>
              <w:t>2,71</w:t>
            </w:r>
          </w:p>
        </w:tc>
      </w:tr>
      <w:tr w:rsidR="007456C7" w:rsidRPr="000E7F14" w14:paraId="6713F9C5"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7175BBA6" w14:textId="77777777" w:rsidR="007456C7" w:rsidRPr="000E7F14" w:rsidRDefault="007456C7" w:rsidP="007A35D1">
            <w:pPr>
              <w:jc w:val="left"/>
              <w:rPr>
                <w:rFonts w:cs="Arial"/>
              </w:rPr>
            </w:pPr>
            <w:r w:rsidRPr="000E7F14">
              <w:rPr>
                <w:rFonts w:cs="Arial"/>
              </w:rPr>
              <w:t>4350 - Fundeinfra</w:t>
            </w:r>
          </w:p>
        </w:tc>
        <w:tc>
          <w:tcPr>
            <w:tcW w:w="1061" w:type="pct"/>
            <w:tcBorders>
              <w:top w:val="nil"/>
              <w:left w:val="nil"/>
              <w:bottom w:val="nil"/>
              <w:right w:val="single" w:sz="4" w:space="0" w:color="auto"/>
            </w:tcBorders>
            <w:shd w:val="clear" w:color="FFFFFF" w:fill="FFFFFF"/>
            <w:noWrap/>
            <w:vAlign w:val="center"/>
            <w:hideMark/>
          </w:tcPr>
          <w:p w14:paraId="4CACCCE2" w14:textId="77777777" w:rsidR="007456C7" w:rsidRPr="000E7F14" w:rsidRDefault="007456C7" w:rsidP="007A35D1">
            <w:pPr>
              <w:jc w:val="right"/>
              <w:rPr>
                <w:rFonts w:cs="Arial"/>
              </w:rPr>
            </w:pPr>
            <w:r w:rsidRPr="000E7F14">
              <w:rPr>
                <w:rFonts w:cs="Arial"/>
              </w:rPr>
              <w:t xml:space="preserve">1.023.670.895 </w:t>
            </w:r>
          </w:p>
        </w:tc>
        <w:tc>
          <w:tcPr>
            <w:tcW w:w="680" w:type="pct"/>
            <w:tcBorders>
              <w:top w:val="nil"/>
              <w:left w:val="nil"/>
              <w:bottom w:val="nil"/>
              <w:right w:val="nil"/>
            </w:tcBorders>
            <w:shd w:val="clear" w:color="FFFFFF" w:fill="FFFFFF"/>
            <w:noWrap/>
            <w:vAlign w:val="center"/>
            <w:hideMark/>
          </w:tcPr>
          <w:p w14:paraId="1C3CE46D" w14:textId="77777777" w:rsidR="007456C7" w:rsidRPr="000E7F14" w:rsidRDefault="007456C7" w:rsidP="007A35D1">
            <w:pPr>
              <w:jc w:val="center"/>
              <w:rPr>
                <w:rFonts w:cs="Arial"/>
              </w:rPr>
            </w:pPr>
            <w:r w:rsidRPr="000E7F14">
              <w:rPr>
                <w:rFonts w:cs="Arial"/>
              </w:rPr>
              <w:t>2,44</w:t>
            </w:r>
          </w:p>
        </w:tc>
      </w:tr>
      <w:tr w:rsidR="007456C7" w:rsidRPr="000E7F14" w14:paraId="2400A689"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0461E20C" w14:textId="77777777" w:rsidR="007456C7" w:rsidRPr="000E7F14" w:rsidRDefault="007456C7" w:rsidP="007A35D1">
            <w:pPr>
              <w:jc w:val="left"/>
              <w:rPr>
                <w:rFonts w:cs="Arial"/>
              </w:rPr>
            </w:pPr>
            <w:r w:rsidRPr="000E7F14">
              <w:rPr>
                <w:rFonts w:cs="Arial"/>
              </w:rPr>
              <w:t>2961 - Detran</w:t>
            </w:r>
          </w:p>
        </w:tc>
        <w:tc>
          <w:tcPr>
            <w:tcW w:w="1061" w:type="pct"/>
            <w:tcBorders>
              <w:top w:val="nil"/>
              <w:left w:val="nil"/>
              <w:bottom w:val="nil"/>
              <w:right w:val="single" w:sz="4" w:space="0" w:color="auto"/>
            </w:tcBorders>
            <w:shd w:val="clear" w:color="FFFFFF" w:fill="FFFFFF"/>
            <w:noWrap/>
            <w:vAlign w:val="center"/>
            <w:hideMark/>
          </w:tcPr>
          <w:p w14:paraId="3A2993EB" w14:textId="77777777" w:rsidR="007456C7" w:rsidRPr="000E7F14" w:rsidRDefault="007456C7" w:rsidP="007A35D1">
            <w:pPr>
              <w:jc w:val="right"/>
              <w:rPr>
                <w:rFonts w:cs="Arial"/>
              </w:rPr>
            </w:pPr>
            <w:r w:rsidRPr="000E7F14">
              <w:rPr>
                <w:rFonts w:cs="Arial"/>
              </w:rPr>
              <w:t xml:space="preserve">1.019.725.213 </w:t>
            </w:r>
          </w:p>
        </w:tc>
        <w:tc>
          <w:tcPr>
            <w:tcW w:w="680" w:type="pct"/>
            <w:tcBorders>
              <w:top w:val="nil"/>
              <w:left w:val="nil"/>
              <w:bottom w:val="nil"/>
              <w:right w:val="nil"/>
            </w:tcBorders>
            <w:shd w:val="clear" w:color="FFFFFF" w:fill="FFFFFF"/>
            <w:noWrap/>
            <w:vAlign w:val="center"/>
            <w:hideMark/>
          </w:tcPr>
          <w:p w14:paraId="681C62A1" w14:textId="77777777" w:rsidR="007456C7" w:rsidRPr="000E7F14" w:rsidRDefault="007456C7" w:rsidP="007A35D1">
            <w:pPr>
              <w:jc w:val="center"/>
              <w:rPr>
                <w:rFonts w:cs="Arial"/>
              </w:rPr>
            </w:pPr>
            <w:r w:rsidRPr="000E7F14">
              <w:rPr>
                <w:rFonts w:cs="Arial"/>
              </w:rPr>
              <w:t>2,43</w:t>
            </w:r>
          </w:p>
        </w:tc>
      </w:tr>
      <w:tr w:rsidR="007456C7" w:rsidRPr="000E7F14" w14:paraId="1FA7A1F2"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4801ACC3" w14:textId="77777777" w:rsidR="007456C7" w:rsidRPr="000E7F14" w:rsidRDefault="007456C7" w:rsidP="007A35D1">
            <w:pPr>
              <w:jc w:val="left"/>
              <w:rPr>
                <w:rFonts w:cs="Arial"/>
              </w:rPr>
            </w:pPr>
            <w:r w:rsidRPr="000E7F14">
              <w:rPr>
                <w:rFonts w:cs="Arial"/>
              </w:rPr>
              <w:t>1861 - Ipasgo</w:t>
            </w:r>
          </w:p>
        </w:tc>
        <w:tc>
          <w:tcPr>
            <w:tcW w:w="1061" w:type="pct"/>
            <w:tcBorders>
              <w:top w:val="nil"/>
              <w:left w:val="nil"/>
              <w:bottom w:val="nil"/>
              <w:right w:val="single" w:sz="4" w:space="0" w:color="auto"/>
            </w:tcBorders>
            <w:shd w:val="clear" w:color="FFFFFF" w:fill="FFFFFF"/>
            <w:noWrap/>
            <w:vAlign w:val="center"/>
            <w:hideMark/>
          </w:tcPr>
          <w:p w14:paraId="034D8A43" w14:textId="77777777" w:rsidR="007456C7" w:rsidRPr="000E7F14" w:rsidRDefault="007456C7" w:rsidP="007A35D1">
            <w:pPr>
              <w:jc w:val="right"/>
              <w:rPr>
                <w:rFonts w:cs="Arial"/>
              </w:rPr>
            </w:pPr>
            <w:r w:rsidRPr="000E7F14">
              <w:rPr>
                <w:rFonts w:cs="Arial"/>
              </w:rPr>
              <w:t xml:space="preserve">691.623.526 </w:t>
            </w:r>
          </w:p>
        </w:tc>
        <w:tc>
          <w:tcPr>
            <w:tcW w:w="680" w:type="pct"/>
            <w:tcBorders>
              <w:top w:val="nil"/>
              <w:left w:val="nil"/>
              <w:bottom w:val="nil"/>
              <w:right w:val="nil"/>
            </w:tcBorders>
            <w:shd w:val="clear" w:color="FFFFFF" w:fill="FFFFFF"/>
            <w:noWrap/>
            <w:vAlign w:val="center"/>
            <w:hideMark/>
          </w:tcPr>
          <w:p w14:paraId="50BDE283" w14:textId="77777777" w:rsidR="007456C7" w:rsidRPr="000E7F14" w:rsidRDefault="007456C7" w:rsidP="007A35D1">
            <w:pPr>
              <w:jc w:val="center"/>
              <w:rPr>
                <w:rFonts w:cs="Arial"/>
              </w:rPr>
            </w:pPr>
            <w:r w:rsidRPr="000E7F14">
              <w:rPr>
                <w:rFonts w:cs="Arial"/>
              </w:rPr>
              <w:t>1,65</w:t>
            </w:r>
          </w:p>
        </w:tc>
      </w:tr>
      <w:tr w:rsidR="007456C7" w:rsidRPr="000E7F14" w14:paraId="61781C3F"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7CFC9009" w14:textId="77777777" w:rsidR="007456C7" w:rsidRPr="000E7F14" w:rsidRDefault="007456C7" w:rsidP="007A35D1">
            <w:pPr>
              <w:jc w:val="left"/>
              <w:rPr>
                <w:rFonts w:cs="Arial"/>
              </w:rPr>
            </w:pPr>
            <w:r w:rsidRPr="000E7F14">
              <w:rPr>
                <w:rFonts w:cs="Arial"/>
              </w:rPr>
              <w:t>2850 - Fundo Estadual de Saúde - FES</w:t>
            </w:r>
          </w:p>
        </w:tc>
        <w:tc>
          <w:tcPr>
            <w:tcW w:w="1061" w:type="pct"/>
            <w:tcBorders>
              <w:top w:val="nil"/>
              <w:left w:val="nil"/>
              <w:bottom w:val="nil"/>
              <w:right w:val="single" w:sz="4" w:space="0" w:color="auto"/>
            </w:tcBorders>
            <w:shd w:val="clear" w:color="FFFFFF" w:fill="FFFFFF"/>
            <w:noWrap/>
            <w:vAlign w:val="center"/>
            <w:hideMark/>
          </w:tcPr>
          <w:p w14:paraId="002EA248" w14:textId="77777777" w:rsidR="007456C7" w:rsidRPr="000E7F14" w:rsidRDefault="007456C7" w:rsidP="007A35D1">
            <w:pPr>
              <w:jc w:val="right"/>
              <w:rPr>
                <w:rFonts w:cs="Arial"/>
              </w:rPr>
            </w:pPr>
            <w:r w:rsidRPr="000E7F14">
              <w:rPr>
                <w:rFonts w:cs="Arial"/>
              </w:rPr>
              <w:t xml:space="preserve">648.337.410 </w:t>
            </w:r>
          </w:p>
        </w:tc>
        <w:tc>
          <w:tcPr>
            <w:tcW w:w="680" w:type="pct"/>
            <w:tcBorders>
              <w:top w:val="nil"/>
              <w:left w:val="nil"/>
              <w:bottom w:val="nil"/>
              <w:right w:val="nil"/>
            </w:tcBorders>
            <w:shd w:val="clear" w:color="FFFFFF" w:fill="FFFFFF"/>
            <w:noWrap/>
            <w:vAlign w:val="center"/>
            <w:hideMark/>
          </w:tcPr>
          <w:p w14:paraId="1814651F" w14:textId="77777777" w:rsidR="007456C7" w:rsidRPr="000E7F14" w:rsidRDefault="007456C7" w:rsidP="007A35D1">
            <w:pPr>
              <w:jc w:val="center"/>
              <w:rPr>
                <w:rFonts w:cs="Arial"/>
              </w:rPr>
            </w:pPr>
            <w:r w:rsidRPr="000E7F14">
              <w:rPr>
                <w:rFonts w:cs="Arial"/>
              </w:rPr>
              <w:t>1,54</w:t>
            </w:r>
          </w:p>
        </w:tc>
      </w:tr>
      <w:tr w:rsidR="007456C7" w:rsidRPr="000E7F14" w14:paraId="2689C67F"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57E077C1" w14:textId="77777777" w:rsidR="007456C7" w:rsidRPr="000E7F14" w:rsidRDefault="007456C7" w:rsidP="007A35D1">
            <w:pPr>
              <w:jc w:val="left"/>
              <w:rPr>
                <w:rFonts w:cs="Arial"/>
              </w:rPr>
            </w:pPr>
            <w:r w:rsidRPr="000E7F14">
              <w:rPr>
                <w:rFonts w:cs="Arial"/>
              </w:rPr>
              <w:t>1781 - Fundo Financeiro - RPPM</w:t>
            </w:r>
          </w:p>
        </w:tc>
        <w:tc>
          <w:tcPr>
            <w:tcW w:w="1061" w:type="pct"/>
            <w:tcBorders>
              <w:top w:val="nil"/>
              <w:left w:val="nil"/>
              <w:bottom w:val="nil"/>
              <w:right w:val="single" w:sz="4" w:space="0" w:color="auto"/>
            </w:tcBorders>
            <w:shd w:val="clear" w:color="FFFFFF" w:fill="FFFFFF"/>
            <w:noWrap/>
            <w:vAlign w:val="center"/>
            <w:hideMark/>
          </w:tcPr>
          <w:p w14:paraId="595F157B" w14:textId="77777777" w:rsidR="007456C7" w:rsidRPr="000E7F14" w:rsidRDefault="007456C7" w:rsidP="007A35D1">
            <w:pPr>
              <w:jc w:val="right"/>
              <w:rPr>
                <w:rFonts w:cs="Arial"/>
              </w:rPr>
            </w:pPr>
            <w:r w:rsidRPr="000E7F14">
              <w:rPr>
                <w:rFonts w:cs="Arial"/>
              </w:rPr>
              <w:t xml:space="preserve">432.179.214 </w:t>
            </w:r>
          </w:p>
        </w:tc>
        <w:tc>
          <w:tcPr>
            <w:tcW w:w="680" w:type="pct"/>
            <w:tcBorders>
              <w:top w:val="nil"/>
              <w:left w:val="nil"/>
              <w:bottom w:val="nil"/>
              <w:right w:val="nil"/>
            </w:tcBorders>
            <w:shd w:val="clear" w:color="FFFFFF" w:fill="FFFFFF"/>
            <w:noWrap/>
            <w:vAlign w:val="center"/>
            <w:hideMark/>
          </w:tcPr>
          <w:p w14:paraId="2FC7FEE1" w14:textId="77777777" w:rsidR="007456C7" w:rsidRPr="000E7F14" w:rsidRDefault="007456C7" w:rsidP="007A35D1">
            <w:pPr>
              <w:jc w:val="center"/>
              <w:rPr>
                <w:rFonts w:cs="Arial"/>
              </w:rPr>
            </w:pPr>
            <w:r w:rsidRPr="000E7F14">
              <w:rPr>
                <w:rFonts w:cs="Arial"/>
              </w:rPr>
              <w:t>1,03</w:t>
            </w:r>
          </w:p>
        </w:tc>
      </w:tr>
      <w:tr w:rsidR="007456C7" w:rsidRPr="000E7F14" w14:paraId="41DA0A65"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0E90B7ED" w14:textId="77777777" w:rsidR="007456C7" w:rsidRPr="000E7F14" w:rsidRDefault="007456C7" w:rsidP="007A35D1">
            <w:pPr>
              <w:jc w:val="left"/>
              <w:rPr>
                <w:rFonts w:cs="Arial"/>
              </w:rPr>
            </w:pPr>
            <w:r w:rsidRPr="000E7F14">
              <w:rPr>
                <w:rFonts w:cs="Arial"/>
              </w:rPr>
              <w:t>4063 - Goinfra</w:t>
            </w:r>
          </w:p>
        </w:tc>
        <w:tc>
          <w:tcPr>
            <w:tcW w:w="1061" w:type="pct"/>
            <w:tcBorders>
              <w:top w:val="nil"/>
              <w:left w:val="nil"/>
              <w:bottom w:val="nil"/>
              <w:right w:val="single" w:sz="4" w:space="0" w:color="auto"/>
            </w:tcBorders>
            <w:shd w:val="clear" w:color="FFFFFF" w:fill="FFFFFF"/>
            <w:noWrap/>
            <w:vAlign w:val="center"/>
            <w:hideMark/>
          </w:tcPr>
          <w:p w14:paraId="60ECC501" w14:textId="77777777" w:rsidR="007456C7" w:rsidRPr="000E7F14" w:rsidRDefault="007456C7" w:rsidP="007A35D1">
            <w:pPr>
              <w:jc w:val="right"/>
              <w:rPr>
                <w:rFonts w:cs="Arial"/>
              </w:rPr>
            </w:pPr>
            <w:r w:rsidRPr="000E7F14">
              <w:rPr>
                <w:rFonts w:cs="Arial"/>
              </w:rPr>
              <w:t xml:space="preserve">224.565.116 </w:t>
            </w:r>
          </w:p>
        </w:tc>
        <w:tc>
          <w:tcPr>
            <w:tcW w:w="680" w:type="pct"/>
            <w:tcBorders>
              <w:top w:val="nil"/>
              <w:left w:val="nil"/>
              <w:bottom w:val="nil"/>
              <w:right w:val="nil"/>
            </w:tcBorders>
            <w:shd w:val="clear" w:color="FFFFFF" w:fill="FFFFFF"/>
            <w:noWrap/>
            <w:vAlign w:val="center"/>
            <w:hideMark/>
          </w:tcPr>
          <w:p w14:paraId="764EA342" w14:textId="77777777" w:rsidR="007456C7" w:rsidRPr="000E7F14" w:rsidRDefault="007456C7" w:rsidP="007A35D1">
            <w:pPr>
              <w:jc w:val="center"/>
              <w:rPr>
                <w:rFonts w:cs="Arial"/>
              </w:rPr>
            </w:pPr>
            <w:r w:rsidRPr="000E7F14">
              <w:rPr>
                <w:rFonts w:cs="Arial"/>
              </w:rPr>
              <w:t>0,53</w:t>
            </w:r>
          </w:p>
        </w:tc>
      </w:tr>
      <w:tr w:rsidR="007456C7" w:rsidRPr="000E7F14" w14:paraId="27A3DECD"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64CDA26D" w14:textId="77777777" w:rsidR="007456C7" w:rsidRPr="000E7F14" w:rsidRDefault="007456C7" w:rsidP="007A35D1">
            <w:pPr>
              <w:jc w:val="left"/>
              <w:rPr>
                <w:rFonts w:cs="Arial"/>
              </w:rPr>
            </w:pPr>
            <w:r w:rsidRPr="000E7F14">
              <w:rPr>
                <w:rFonts w:cs="Arial"/>
              </w:rPr>
              <w:t>1762 - Goiás Previdência - Goiasprev</w:t>
            </w:r>
          </w:p>
        </w:tc>
        <w:tc>
          <w:tcPr>
            <w:tcW w:w="1061" w:type="pct"/>
            <w:tcBorders>
              <w:top w:val="nil"/>
              <w:left w:val="nil"/>
              <w:bottom w:val="nil"/>
              <w:right w:val="single" w:sz="4" w:space="0" w:color="auto"/>
            </w:tcBorders>
            <w:shd w:val="clear" w:color="FFFFFF" w:fill="FFFFFF"/>
            <w:noWrap/>
            <w:vAlign w:val="center"/>
            <w:hideMark/>
          </w:tcPr>
          <w:p w14:paraId="3FDD125A" w14:textId="77777777" w:rsidR="007456C7" w:rsidRPr="000E7F14" w:rsidRDefault="007456C7" w:rsidP="007A35D1">
            <w:pPr>
              <w:jc w:val="right"/>
              <w:rPr>
                <w:rFonts w:cs="Arial"/>
              </w:rPr>
            </w:pPr>
            <w:r w:rsidRPr="000E7F14">
              <w:rPr>
                <w:rFonts w:cs="Arial"/>
              </w:rPr>
              <w:t xml:space="preserve">218.776.160 </w:t>
            </w:r>
          </w:p>
        </w:tc>
        <w:tc>
          <w:tcPr>
            <w:tcW w:w="680" w:type="pct"/>
            <w:tcBorders>
              <w:top w:val="nil"/>
              <w:left w:val="nil"/>
              <w:bottom w:val="nil"/>
              <w:right w:val="nil"/>
            </w:tcBorders>
            <w:shd w:val="clear" w:color="FFFFFF" w:fill="FFFFFF"/>
            <w:noWrap/>
            <w:vAlign w:val="center"/>
            <w:hideMark/>
          </w:tcPr>
          <w:p w14:paraId="1F15EFF9" w14:textId="77777777" w:rsidR="007456C7" w:rsidRPr="000E7F14" w:rsidRDefault="007456C7" w:rsidP="007A35D1">
            <w:pPr>
              <w:jc w:val="center"/>
              <w:rPr>
                <w:rFonts w:cs="Arial"/>
              </w:rPr>
            </w:pPr>
            <w:r w:rsidRPr="000E7F14">
              <w:rPr>
                <w:rFonts w:cs="Arial"/>
              </w:rPr>
              <w:t>0,52</w:t>
            </w:r>
          </w:p>
        </w:tc>
      </w:tr>
      <w:tr w:rsidR="007456C7" w:rsidRPr="000E7F14" w14:paraId="5DE94690"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54A732EA" w14:textId="77777777" w:rsidR="007456C7" w:rsidRPr="000E7F14" w:rsidRDefault="007456C7" w:rsidP="007A35D1">
            <w:pPr>
              <w:jc w:val="left"/>
              <w:rPr>
                <w:rFonts w:cs="Arial"/>
              </w:rPr>
            </w:pPr>
            <w:r w:rsidRPr="000E7F14">
              <w:rPr>
                <w:rFonts w:cs="Arial"/>
              </w:rPr>
              <w:t>2950 - Fundo de Segurança Pública - Funesp</w:t>
            </w:r>
          </w:p>
        </w:tc>
        <w:tc>
          <w:tcPr>
            <w:tcW w:w="1061" w:type="pct"/>
            <w:tcBorders>
              <w:top w:val="nil"/>
              <w:left w:val="nil"/>
              <w:bottom w:val="nil"/>
              <w:right w:val="single" w:sz="4" w:space="0" w:color="auto"/>
            </w:tcBorders>
            <w:shd w:val="clear" w:color="FFFFFF" w:fill="FFFFFF"/>
            <w:noWrap/>
            <w:vAlign w:val="center"/>
            <w:hideMark/>
          </w:tcPr>
          <w:p w14:paraId="2D59300C" w14:textId="77777777" w:rsidR="007456C7" w:rsidRPr="000E7F14" w:rsidRDefault="007456C7" w:rsidP="007A35D1">
            <w:pPr>
              <w:jc w:val="right"/>
              <w:rPr>
                <w:rFonts w:cs="Arial"/>
              </w:rPr>
            </w:pPr>
            <w:r w:rsidRPr="000E7F14">
              <w:rPr>
                <w:rFonts w:cs="Arial"/>
              </w:rPr>
              <w:t xml:space="preserve">203.433.416 </w:t>
            </w:r>
          </w:p>
        </w:tc>
        <w:tc>
          <w:tcPr>
            <w:tcW w:w="680" w:type="pct"/>
            <w:tcBorders>
              <w:top w:val="nil"/>
              <w:left w:val="nil"/>
              <w:bottom w:val="nil"/>
              <w:right w:val="nil"/>
            </w:tcBorders>
            <w:shd w:val="clear" w:color="FFFFFF" w:fill="FFFFFF"/>
            <w:noWrap/>
            <w:vAlign w:val="center"/>
            <w:hideMark/>
          </w:tcPr>
          <w:p w14:paraId="51950B8F" w14:textId="77777777" w:rsidR="007456C7" w:rsidRPr="000E7F14" w:rsidRDefault="007456C7" w:rsidP="007A35D1">
            <w:pPr>
              <w:jc w:val="center"/>
              <w:rPr>
                <w:rFonts w:cs="Arial"/>
              </w:rPr>
            </w:pPr>
            <w:r w:rsidRPr="000E7F14">
              <w:rPr>
                <w:rFonts w:cs="Arial"/>
              </w:rPr>
              <w:t>0,48</w:t>
            </w:r>
          </w:p>
        </w:tc>
      </w:tr>
      <w:tr w:rsidR="007456C7" w:rsidRPr="000E7F14" w14:paraId="419FD981"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5944E571" w14:textId="77777777" w:rsidR="007456C7" w:rsidRPr="000E7F14" w:rsidRDefault="007456C7" w:rsidP="007A35D1">
            <w:pPr>
              <w:jc w:val="left"/>
              <w:rPr>
                <w:rFonts w:cs="Arial"/>
              </w:rPr>
            </w:pPr>
            <w:r w:rsidRPr="000E7F14">
              <w:rPr>
                <w:rFonts w:cs="Arial"/>
              </w:rPr>
              <w:t>3351 - Funproduzir</w:t>
            </w:r>
          </w:p>
        </w:tc>
        <w:tc>
          <w:tcPr>
            <w:tcW w:w="1061" w:type="pct"/>
            <w:tcBorders>
              <w:top w:val="nil"/>
              <w:left w:val="nil"/>
              <w:bottom w:val="nil"/>
              <w:right w:val="single" w:sz="4" w:space="0" w:color="auto"/>
            </w:tcBorders>
            <w:shd w:val="clear" w:color="FFFFFF" w:fill="FFFFFF"/>
            <w:noWrap/>
            <w:vAlign w:val="center"/>
            <w:hideMark/>
          </w:tcPr>
          <w:p w14:paraId="432305CE" w14:textId="77777777" w:rsidR="007456C7" w:rsidRPr="000E7F14" w:rsidRDefault="007456C7" w:rsidP="007A35D1">
            <w:pPr>
              <w:jc w:val="right"/>
              <w:rPr>
                <w:rFonts w:cs="Arial"/>
              </w:rPr>
            </w:pPr>
            <w:r w:rsidRPr="000E7F14">
              <w:rPr>
                <w:rFonts w:cs="Arial"/>
              </w:rPr>
              <w:t xml:space="preserve">179.882.203 </w:t>
            </w:r>
          </w:p>
        </w:tc>
        <w:tc>
          <w:tcPr>
            <w:tcW w:w="680" w:type="pct"/>
            <w:tcBorders>
              <w:top w:val="nil"/>
              <w:left w:val="nil"/>
              <w:bottom w:val="nil"/>
              <w:right w:val="nil"/>
            </w:tcBorders>
            <w:shd w:val="clear" w:color="FFFFFF" w:fill="FFFFFF"/>
            <w:noWrap/>
            <w:vAlign w:val="center"/>
            <w:hideMark/>
          </w:tcPr>
          <w:p w14:paraId="31A27CF0" w14:textId="77777777" w:rsidR="007456C7" w:rsidRPr="000E7F14" w:rsidRDefault="007456C7" w:rsidP="007A35D1">
            <w:pPr>
              <w:jc w:val="center"/>
              <w:rPr>
                <w:rFonts w:cs="Arial"/>
              </w:rPr>
            </w:pPr>
            <w:r w:rsidRPr="000E7F14">
              <w:rPr>
                <w:rFonts w:cs="Arial"/>
              </w:rPr>
              <w:t>0,43</w:t>
            </w:r>
          </w:p>
        </w:tc>
      </w:tr>
      <w:tr w:rsidR="007456C7" w:rsidRPr="000E7F14" w14:paraId="1A9E0813"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2C680D4B" w14:textId="77777777" w:rsidR="007456C7" w:rsidRPr="000E7F14" w:rsidRDefault="007456C7" w:rsidP="007A35D1">
            <w:pPr>
              <w:jc w:val="left"/>
              <w:rPr>
                <w:rFonts w:cs="Arial"/>
              </w:rPr>
            </w:pPr>
            <w:r w:rsidRPr="000E7F14">
              <w:rPr>
                <w:rFonts w:cs="Arial"/>
              </w:rPr>
              <w:t>2153 - Fundo Estadual do Meio Ambiente - Fema</w:t>
            </w:r>
          </w:p>
        </w:tc>
        <w:tc>
          <w:tcPr>
            <w:tcW w:w="1061" w:type="pct"/>
            <w:tcBorders>
              <w:top w:val="nil"/>
              <w:left w:val="nil"/>
              <w:bottom w:val="nil"/>
              <w:right w:val="single" w:sz="4" w:space="0" w:color="auto"/>
            </w:tcBorders>
            <w:shd w:val="clear" w:color="FFFFFF" w:fill="FFFFFF"/>
            <w:noWrap/>
            <w:vAlign w:val="center"/>
            <w:hideMark/>
          </w:tcPr>
          <w:p w14:paraId="2ED2D183" w14:textId="77777777" w:rsidR="007456C7" w:rsidRPr="000E7F14" w:rsidRDefault="007456C7" w:rsidP="007A35D1">
            <w:pPr>
              <w:jc w:val="right"/>
              <w:rPr>
                <w:rFonts w:cs="Arial"/>
              </w:rPr>
            </w:pPr>
            <w:r w:rsidRPr="000E7F14">
              <w:rPr>
                <w:rFonts w:cs="Arial"/>
              </w:rPr>
              <w:t xml:space="preserve">101.603.256 </w:t>
            </w:r>
          </w:p>
        </w:tc>
        <w:tc>
          <w:tcPr>
            <w:tcW w:w="680" w:type="pct"/>
            <w:tcBorders>
              <w:top w:val="nil"/>
              <w:left w:val="nil"/>
              <w:bottom w:val="nil"/>
              <w:right w:val="nil"/>
            </w:tcBorders>
            <w:shd w:val="clear" w:color="FFFFFF" w:fill="FFFFFF"/>
            <w:noWrap/>
            <w:vAlign w:val="center"/>
            <w:hideMark/>
          </w:tcPr>
          <w:p w14:paraId="68BC4B34" w14:textId="77777777" w:rsidR="007456C7" w:rsidRPr="000E7F14" w:rsidRDefault="007456C7" w:rsidP="007A35D1">
            <w:pPr>
              <w:jc w:val="center"/>
              <w:rPr>
                <w:rFonts w:cs="Arial"/>
              </w:rPr>
            </w:pPr>
            <w:r w:rsidRPr="000E7F14">
              <w:rPr>
                <w:rFonts w:cs="Arial"/>
              </w:rPr>
              <w:t>0,24</w:t>
            </w:r>
          </w:p>
        </w:tc>
      </w:tr>
      <w:tr w:rsidR="007456C7" w:rsidRPr="000E7F14" w14:paraId="4D737D54" w14:textId="77777777" w:rsidTr="00854644">
        <w:trPr>
          <w:trHeight w:val="397"/>
        </w:trPr>
        <w:tc>
          <w:tcPr>
            <w:tcW w:w="3259" w:type="pct"/>
            <w:tcBorders>
              <w:top w:val="nil"/>
              <w:left w:val="nil"/>
              <w:bottom w:val="nil"/>
              <w:right w:val="single" w:sz="4" w:space="0" w:color="auto"/>
            </w:tcBorders>
            <w:shd w:val="clear" w:color="FFFFFF" w:fill="FFFFFF"/>
            <w:noWrap/>
            <w:vAlign w:val="center"/>
            <w:hideMark/>
          </w:tcPr>
          <w:p w14:paraId="3BA86FE2" w14:textId="77777777" w:rsidR="007456C7" w:rsidRPr="000E7F14" w:rsidRDefault="007456C7" w:rsidP="007A35D1">
            <w:pPr>
              <w:jc w:val="left"/>
              <w:rPr>
                <w:rFonts w:cs="Arial"/>
              </w:rPr>
            </w:pPr>
            <w:r w:rsidRPr="000E7F14">
              <w:rPr>
                <w:rFonts w:cs="Arial"/>
              </w:rPr>
              <w:t>1782 - Fundo Previdenciário</w:t>
            </w:r>
          </w:p>
        </w:tc>
        <w:tc>
          <w:tcPr>
            <w:tcW w:w="1061" w:type="pct"/>
            <w:tcBorders>
              <w:top w:val="nil"/>
              <w:left w:val="nil"/>
              <w:bottom w:val="nil"/>
              <w:right w:val="single" w:sz="4" w:space="0" w:color="auto"/>
            </w:tcBorders>
            <w:shd w:val="clear" w:color="FFFFFF" w:fill="FFFFFF"/>
            <w:noWrap/>
            <w:vAlign w:val="center"/>
            <w:hideMark/>
          </w:tcPr>
          <w:p w14:paraId="47D906AB" w14:textId="77777777" w:rsidR="007456C7" w:rsidRPr="000E7F14" w:rsidRDefault="007456C7" w:rsidP="007A35D1">
            <w:pPr>
              <w:jc w:val="right"/>
              <w:rPr>
                <w:rFonts w:cs="Arial"/>
              </w:rPr>
            </w:pPr>
            <w:r w:rsidRPr="000E7F14">
              <w:rPr>
                <w:rFonts w:cs="Arial"/>
              </w:rPr>
              <w:t xml:space="preserve">101.594.550 </w:t>
            </w:r>
          </w:p>
        </w:tc>
        <w:tc>
          <w:tcPr>
            <w:tcW w:w="680" w:type="pct"/>
            <w:tcBorders>
              <w:top w:val="nil"/>
              <w:left w:val="nil"/>
              <w:bottom w:val="nil"/>
              <w:right w:val="nil"/>
            </w:tcBorders>
            <w:shd w:val="clear" w:color="FFFFFF" w:fill="FFFFFF"/>
            <w:noWrap/>
            <w:vAlign w:val="center"/>
            <w:hideMark/>
          </w:tcPr>
          <w:p w14:paraId="6BE1B898" w14:textId="77777777" w:rsidR="007456C7" w:rsidRPr="000E7F14" w:rsidRDefault="007456C7" w:rsidP="007A35D1">
            <w:pPr>
              <w:jc w:val="center"/>
              <w:rPr>
                <w:rFonts w:cs="Arial"/>
              </w:rPr>
            </w:pPr>
            <w:r w:rsidRPr="000E7F14">
              <w:rPr>
                <w:rFonts w:cs="Arial"/>
              </w:rPr>
              <w:t>0,24</w:t>
            </w:r>
          </w:p>
        </w:tc>
      </w:tr>
      <w:tr w:rsidR="007456C7" w:rsidRPr="000E7F14" w14:paraId="5C7F20FA" w14:textId="77777777" w:rsidTr="00854644">
        <w:trPr>
          <w:trHeight w:val="397"/>
        </w:trPr>
        <w:tc>
          <w:tcPr>
            <w:tcW w:w="3259" w:type="pct"/>
            <w:tcBorders>
              <w:top w:val="nil"/>
              <w:left w:val="nil"/>
              <w:bottom w:val="single" w:sz="4" w:space="0" w:color="auto"/>
              <w:right w:val="single" w:sz="4" w:space="0" w:color="auto"/>
            </w:tcBorders>
            <w:shd w:val="clear" w:color="FFFFFF" w:fill="FFFFFF"/>
            <w:noWrap/>
            <w:vAlign w:val="center"/>
            <w:hideMark/>
          </w:tcPr>
          <w:p w14:paraId="629BDEBF" w14:textId="77777777" w:rsidR="007456C7" w:rsidRPr="000E7F14" w:rsidRDefault="007456C7" w:rsidP="007A35D1">
            <w:pPr>
              <w:jc w:val="left"/>
              <w:rPr>
                <w:rFonts w:cs="Arial"/>
              </w:rPr>
            </w:pPr>
            <w:r w:rsidRPr="000E7F14">
              <w:rPr>
                <w:rFonts w:cs="Arial"/>
              </w:rPr>
              <w:t xml:space="preserve">Demais Unidades Orçamentárias </w:t>
            </w:r>
          </w:p>
        </w:tc>
        <w:tc>
          <w:tcPr>
            <w:tcW w:w="1061" w:type="pct"/>
            <w:tcBorders>
              <w:top w:val="nil"/>
              <w:left w:val="nil"/>
              <w:bottom w:val="single" w:sz="4" w:space="0" w:color="auto"/>
              <w:right w:val="single" w:sz="4" w:space="0" w:color="auto"/>
            </w:tcBorders>
            <w:shd w:val="clear" w:color="FFFFFF" w:fill="FFFFFF"/>
            <w:noWrap/>
            <w:vAlign w:val="center"/>
            <w:hideMark/>
          </w:tcPr>
          <w:p w14:paraId="10BD406C" w14:textId="77777777" w:rsidR="007456C7" w:rsidRPr="000E7F14" w:rsidRDefault="007456C7" w:rsidP="007A35D1">
            <w:pPr>
              <w:jc w:val="right"/>
              <w:rPr>
                <w:rFonts w:cs="Arial"/>
              </w:rPr>
            </w:pPr>
            <w:r w:rsidRPr="000E7F14">
              <w:rPr>
                <w:rFonts w:cs="Arial"/>
              </w:rPr>
              <w:t xml:space="preserve">853.667.432 </w:t>
            </w:r>
          </w:p>
        </w:tc>
        <w:tc>
          <w:tcPr>
            <w:tcW w:w="680" w:type="pct"/>
            <w:tcBorders>
              <w:top w:val="nil"/>
              <w:left w:val="single" w:sz="4" w:space="0" w:color="auto"/>
              <w:bottom w:val="single" w:sz="4" w:space="0" w:color="auto"/>
              <w:right w:val="nil"/>
            </w:tcBorders>
            <w:shd w:val="clear" w:color="FFFFFF" w:fill="FFFFFF"/>
            <w:noWrap/>
            <w:vAlign w:val="center"/>
            <w:hideMark/>
          </w:tcPr>
          <w:p w14:paraId="475D2C73" w14:textId="77777777" w:rsidR="007456C7" w:rsidRPr="000E7F14" w:rsidRDefault="007456C7" w:rsidP="007A35D1">
            <w:pPr>
              <w:jc w:val="center"/>
              <w:rPr>
                <w:rFonts w:cs="Arial"/>
              </w:rPr>
            </w:pPr>
            <w:r w:rsidRPr="000E7F14">
              <w:rPr>
                <w:rFonts w:cs="Arial"/>
              </w:rPr>
              <w:t>2,03</w:t>
            </w:r>
          </w:p>
        </w:tc>
      </w:tr>
      <w:tr w:rsidR="007456C7" w:rsidRPr="000E7F14" w14:paraId="65B4B955" w14:textId="77777777" w:rsidTr="00854644">
        <w:trPr>
          <w:trHeight w:val="397"/>
        </w:trPr>
        <w:tc>
          <w:tcPr>
            <w:tcW w:w="3259" w:type="pct"/>
            <w:tcBorders>
              <w:top w:val="nil"/>
              <w:left w:val="nil"/>
              <w:bottom w:val="single" w:sz="4" w:space="0" w:color="auto"/>
              <w:right w:val="single" w:sz="4" w:space="0" w:color="auto"/>
            </w:tcBorders>
            <w:shd w:val="clear" w:color="FFFFFF" w:fill="FFFFFF"/>
            <w:noWrap/>
            <w:vAlign w:val="center"/>
            <w:hideMark/>
          </w:tcPr>
          <w:p w14:paraId="1420F190" w14:textId="77777777" w:rsidR="007456C7" w:rsidRPr="000E7F14" w:rsidRDefault="007456C7" w:rsidP="007A35D1">
            <w:pPr>
              <w:jc w:val="center"/>
              <w:rPr>
                <w:rFonts w:cs="Arial"/>
                <w:b/>
                <w:bCs/>
                <w:color w:val="333333"/>
              </w:rPr>
            </w:pPr>
            <w:r w:rsidRPr="000E7F14">
              <w:rPr>
                <w:rFonts w:cs="Arial"/>
                <w:b/>
                <w:bCs/>
                <w:color w:val="333333"/>
              </w:rPr>
              <w:t>Total</w:t>
            </w:r>
          </w:p>
        </w:tc>
        <w:tc>
          <w:tcPr>
            <w:tcW w:w="1061" w:type="pct"/>
            <w:tcBorders>
              <w:top w:val="nil"/>
              <w:left w:val="nil"/>
              <w:bottom w:val="single" w:sz="4" w:space="0" w:color="auto"/>
              <w:right w:val="single" w:sz="4" w:space="0" w:color="auto"/>
            </w:tcBorders>
            <w:shd w:val="clear" w:color="FFFFFF" w:fill="FFFFFF"/>
            <w:noWrap/>
            <w:vAlign w:val="center"/>
            <w:hideMark/>
          </w:tcPr>
          <w:p w14:paraId="4EDFD384" w14:textId="77777777" w:rsidR="007456C7" w:rsidRPr="000E7F14" w:rsidRDefault="007456C7" w:rsidP="007A35D1">
            <w:pPr>
              <w:jc w:val="right"/>
              <w:rPr>
                <w:rFonts w:cs="Arial"/>
                <w:b/>
                <w:bCs/>
                <w:color w:val="333333"/>
              </w:rPr>
            </w:pPr>
            <w:r w:rsidRPr="000E7F14">
              <w:rPr>
                <w:rFonts w:cs="Arial"/>
                <w:b/>
                <w:bCs/>
                <w:color w:val="333333"/>
              </w:rPr>
              <w:t xml:space="preserve">41.984.711.516 </w:t>
            </w:r>
          </w:p>
        </w:tc>
        <w:tc>
          <w:tcPr>
            <w:tcW w:w="680" w:type="pct"/>
            <w:tcBorders>
              <w:top w:val="single" w:sz="4" w:space="0" w:color="auto"/>
              <w:left w:val="nil"/>
              <w:bottom w:val="single" w:sz="4" w:space="0" w:color="auto"/>
              <w:right w:val="nil"/>
            </w:tcBorders>
            <w:shd w:val="clear" w:color="FFFFFF" w:fill="FFFFFF"/>
            <w:noWrap/>
            <w:vAlign w:val="center"/>
            <w:hideMark/>
          </w:tcPr>
          <w:p w14:paraId="7BC23D40" w14:textId="77777777" w:rsidR="007456C7" w:rsidRPr="000E7F14" w:rsidRDefault="007456C7" w:rsidP="007A35D1">
            <w:pPr>
              <w:jc w:val="center"/>
              <w:rPr>
                <w:rFonts w:cs="Arial"/>
                <w:b/>
                <w:bCs/>
                <w:color w:val="333333"/>
              </w:rPr>
            </w:pPr>
            <w:r w:rsidRPr="000E7F14">
              <w:rPr>
                <w:rFonts w:cs="Arial"/>
                <w:b/>
                <w:bCs/>
                <w:color w:val="333333"/>
              </w:rPr>
              <w:t xml:space="preserve">100,00 </w:t>
            </w:r>
          </w:p>
        </w:tc>
      </w:tr>
    </w:tbl>
    <w:p w14:paraId="6136E019" w14:textId="77777777" w:rsidR="007456C7" w:rsidRPr="0016377D" w:rsidRDefault="007456C7" w:rsidP="007456C7">
      <w:pPr>
        <w:pStyle w:val="0-FONTEBALANO"/>
        <w:rPr>
          <w:lang w:eastAsia="en-US"/>
        </w:rPr>
      </w:pPr>
      <w:r w:rsidRPr="0016377D">
        <w:t xml:space="preserve">Fonte: </w:t>
      </w:r>
      <w:r w:rsidRPr="0016377D">
        <w:rPr>
          <w:rStyle w:val="Forte"/>
          <w:b w:val="0"/>
          <w:i/>
        </w:rPr>
        <w:t>Business Objects</w:t>
      </w:r>
    </w:p>
    <w:p w14:paraId="045BB3A2" w14:textId="77777777" w:rsidR="00854644" w:rsidRDefault="00854644" w:rsidP="007456C7">
      <w:pPr>
        <w:pStyle w:val="1-REL11"/>
      </w:pPr>
    </w:p>
    <w:p w14:paraId="11400058" w14:textId="7C813859" w:rsidR="007456C7" w:rsidRPr="001A1567" w:rsidRDefault="007456C7" w:rsidP="007456C7">
      <w:pPr>
        <w:pStyle w:val="1-REL11"/>
      </w:pPr>
      <w:r w:rsidRPr="006A695F">
        <w:t xml:space="preserve">Considerando as 83 UOs contidas no orçamento estadual, verifica-se que houve uma concentração de 97,97% da arrecadação naquelas que obtiveram receitas acima de </w:t>
      </w:r>
      <w:r w:rsidRPr="001A1567">
        <w:t>R$ 100</w:t>
      </w:r>
      <w:r w:rsidR="00755658">
        <w:t> milhões</w:t>
      </w:r>
      <w:r w:rsidRPr="001A1567">
        <w:t xml:space="preserve"> no exercício.</w:t>
      </w:r>
    </w:p>
    <w:p w14:paraId="5F59DA9A" w14:textId="3A7A8D3D" w:rsidR="007456C7" w:rsidRPr="004C6EF5" w:rsidRDefault="007456C7" w:rsidP="007456C7">
      <w:pPr>
        <w:pStyle w:val="1-REL11"/>
      </w:pPr>
      <w:r w:rsidRPr="001A1567">
        <w:t xml:space="preserve">A maior parte dos recursos </w:t>
      </w:r>
      <w:r>
        <w:t>são de</w:t>
      </w:r>
      <w:r w:rsidRPr="001A1567">
        <w:t xml:space="preserve"> gestão do Tesouro Estadual (64,55%), unidade vinculada à Secretaria de Estado da Economia</w:t>
      </w:r>
      <w:r>
        <w:t xml:space="preserve"> (ECONOMIA)</w:t>
      </w:r>
      <w:r w:rsidRPr="001A1567">
        <w:t>. Desses recursos, R$</w:t>
      </w:r>
      <w:r w:rsidR="00755658">
        <w:t> </w:t>
      </w:r>
      <w:r w:rsidRPr="001A1567">
        <w:t>26,88</w:t>
      </w:r>
      <w:r w:rsidR="00755658">
        <w:t> </w:t>
      </w:r>
      <w:r w:rsidRPr="001A1567">
        <w:t xml:space="preserve">bilhões (99,20%) </w:t>
      </w:r>
      <w:r>
        <w:t>são</w:t>
      </w:r>
      <w:r w:rsidRPr="001A1567">
        <w:t xml:space="preserve"> </w:t>
      </w:r>
      <w:r>
        <w:t>r</w:t>
      </w:r>
      <w:r w:rsidRPr="001A1567">
        <w:t xml:space="preserve">eceitas </w:t>
      </w:r>
      <w:r w:rsidRPr="004C6EF5">
        <w:t>Ordinárias e R$ 217,09</w:t>
      </w:r>
      <w:r w:rsidR="00755658">
        <w:t> milhões</w:t>
      </w:r>
      <w:r w:rsidRPr="004C6EF5">
        <w:t xml:space="preserve"> (0,80%) </w:t>
      </w:r>
      <w:r>
        <w:t>são</w:t>
      </w:r>
      <w:r w:rsidRPr="004C6EF5">
        <w:t xml:space="preserve"> receitas Vinculadas.</w:t>
      </w:r>
    </w:p>
    <w:p w14:paraId="15242D59" w14:textId="46E3E9E5" w:rsidR="007456C7" w:rsidRDefault="007456C7" w:rsidP="007456C7">
      <w:pPr>
        <w:pStyle w:val="1-REL11"/>
      </w:pPr>
      <w:r w:rsidRPr="004C6EF5">
        <w:t>Em relação a 2022, houve uma involução de R$</w:t>
      </w:r>
      <w:r w:rsidR="00755658">
        <w:t> </w:t>
      </w:r>
      <w:r w:rsidRPr="004C6EF5">
        <w:t>1,51</w:t>
      </w:r>
      <w:r w:rsidR="00755658">
        <w:t> </w:t>
      </w:r>
      <w:r w:rsidRPr="004C6EF5">
        <w:t>bilhão na arrecadação de 2023, conforme tabela a seguir:</w:t>
      </w:r>
    </w:p>
    <w:p w14:paraId="3090E1B7" w14:textId="77777777" w:rsidR="008022D1" w:rsidRPr="004C6EF5" w:rsidRDefault="008022D1" w:rsidP="007456C7">
      <w:pPr>
        <w:pStyle w:val="1-REL11"/>
      </w:pPr>
    </w:p>
    <w:p w14:paraId="05B11445" w14:textId="25E18D88" w:rsidR="00A96988" w:rsidRPr="00D67E49" w:rsidRDefault="00A96988" w:rsidP="00ED3571">
      <w:pPr>
        <w:pStyle w:val="0-TABELA"/>
      </w:pPr>
      <w:bookmarkStart w:id="73" w:name="_Toc167871736"/>
      <w:r w:rsidRPr="00D67E49">
        <w:lastRenderedPageBreak/>
        <w:t>Comp</w:t>
      </w:r>
      <w:r w:rsidR="00A84061">
        <w:t>osição</w:t>
      </w:r>
      <w:r w:rsidRPr="00D67E49">
        <w:t xml:space="preserve"> da Arrecadação – 2023 x 2022</w:t>
      </w:r>
      <w:bookmarkEnd w:id="71"/>
      <w:bookmarkEnd w:id="73"/>
    </w:p>
    <w:p w14:paraId="75633ECE" w14:textId="77777777" w:rsidR="00A96988" w:rsidRPr="00D67E49" w:rsidRDefault="00A96988" w:rsidP="00A96988">
      <w:pPr>
        <w:pStyle w:val="0-EmR1"/>
        <w:rPr>
          <w:highlight w:val="yellow"/>
          <w:lang w:eastAsia="en-US"/>
        </w:rPr>
      </w:pPr>
      <w:r w:rsidRPr="00333D34">
        <w:t>R$ 1</w:t>
      </w:r>
    </w:p>
    <w:tbl>
      <w:tblPr>
        <w:tblW w:w="5000" w:type="pct"/>
        <w:tblLayout w:type="fixed"/>
        <w:tblCellMar>
          <w:left w:w="70" w:type="dxa"/>
          <w:right w:w="70" w:type="dxa"/>
        </w:tblCellMar>
        <w:tblLook w:val="04A0" w:firstRow="1" w:lastRow="0" w:firstColumn="1" w:lastColumn="0" w:noHBand="0" w:noVBand="1"/>
      </w:tblPr>
      <w:tblGrid>
        <w:gridCol w:w="2838"/>
        <w:gridCol w:w="1558"/>
        <w:gridCol w:w="709"/>
        <w:gridCol w:w="1700"/>
        <w:gridCol w:w="1558"/>
        <w:gridCol w:w="990"/>
      </w:tblGrid>
      <w:tr w:rsidR="00026A4E" w:rsidRPr="006A2D51" w14:paraId="7B493347" w14:textId="77777777" w:rsidTr="00854644">
        <w:trPr>
          <w:trHeight w:val="340"/>
          <w:tblHeader/>
        </w:trPr>
        <w:tc>
          <w:tcPr>
            <w:tcW w:w="1517" w:type="pct"/>
            <w:vMerge w:val="restart"/>
            <w:tcBorders>
              <w:top w:val="single" w:sz="4" w:space="0" w:color="auto"/>
              <w:left w:val="nil"/>
              <w:right w:val="single" w:sz="4" w:space="0" w:color="auto"/>
            </w:tcBorders>
            <w:shd w:val="clear" w:color="000000" w:fill="A1F2FD"/>
            <w:vAlign w:val="center"/>
            <w:hideMark/>
          </w:tcPr>
          <w:p w14:paraId="7B6D5753" w14:textId="77777777" w:rsidR="00026A4E" w:rsidRPr="006A2D51" w:rsidRDefault="00026A4E" w:rsidP="00026A4E">
            <w:pPr>
              <w:jc w:val="center"/>
              <w:rPr>
                <w:rFonts w:cs="Arial"/>
                <w:b/>
                <w:bCs/>
                <w:color w:val="000000"/>
                <w:sz w:val="18"/>
              </w:rPr>
            </w:pPr>
            <w:r w:rsidRPr="006A2D51">
              <w:rPr>
                <w:rFonts w:cs="Arial"/>
                <w:b/>
                <w:bCs/>
                <w:color w:val="000000"/>
                <w:sz w:val="18"/>
              </w:rPr>
              <w:t>Descrição</w:t>
            </w:r>
          </w:p>
        </w:tc>
        <w:tc>
          <w:tcPr>
            <w:tcW w:w="833"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427191CF" w14:textId="5720E048" w:rsidR="00026A4E" w:rsidRPr="006A2D51" w:rsidRDefault="00026A4E" w:rsidP="00026A4E">
            <w:pPr>
              <w:jc w:val="center"/>
              <w:rPr>
                <w:rFonts w:cs="Arial"/>
                <w:b/>
                <w:bCs/>
                <w:color w:val="000000"/>
                <w:sz w:val="18"/>
              </w:rPr>
            </w:pPr>
            <w:r w:rsidRPr="006A2D51">
              <w:rPr>
                <w:rFonts w:cs="Arial"/>
                <w:b/>
                <w:bCs/>
                <w:color w:val="000000"/>
                <w:sz w:val="18"/>
              </w:rPr>
              <w:t>2023</w:t>
            </w:r>
          </w:p>
        </w:tc>
        <w:tc>
          <w:tcPr>
            <w:tcW w:w="379" w:type="pct"/>
            <w:vMerge w:val="restart"/>
            <w:tcBorders>
              <w:top w:val="single" w:sz="4" w:space="0" w:color="auto"/>
              <w:left w:val="single" w:sz="4" w:space="0" w:color="auto"/>
              <w:right w:val="single" w:sz="4" w:space="0" w:color="auto"/>
            </w:tcBorders>
            <w:shd w:val="clear" w:color="000000" w:fill="A1F2FD"/>
            <w:vAlign w:val="center"/>
          </w:tcPr>
          <w:p w14:paraId="46BDA842" w14:textId="77777777" w:rsidR="003B30CD" w:rsidRDefault="00026A4E" w:rsidP="00026A4E">
            <w:pPr>
              <w:ind w:left="-40" w:right="-39"/>
              <w:jc w:val="center"/>
              <w:rPr>
                <w:rFonts w:cs="Arial"/>
                <w:b/>
                <w:bCs/>
                <w:color w:val="000000"/>
                <w:sz w:val="16"/>
              </w:rPr>
            </w:pPr>
            <w:r>
              <w:rPr>
                <w:rFonts w:cs="Arial"/>
                <w:b/>
                <w:bCs/>
                <w:color w:val="000000"/>
                <w:sz w:val="16"/>
              </w:rPr>
              <w:t xml:space="preserve">AV </w:t>
            </w:r>
          </w:p>
          <w:p w14:paraId="55E7329D" w14:textId="653BEB45" w:rsidR="00026A4E" w:rsidRDefault="00026A4E" w:rsidP="00026A4E">
            <w:pPr>
              <w:ind w:left="-40" w:right="-39"/>
              <w:jc w:val="center"/>
              <w:rPr>
                <w:rFonts w:cs="Arial"/>
                <w:b/>
                <w:bCs/>
                <w:color w:val="000000"/>
                <w:sz w:val="16"/>
              </w:rPr>
            </w:pPr>
            <w:r w:rsidRPr="006A2D51">
              <w:rPr>
                <w:rFonts w:cs="Arial"/>
                <w:b/>
                <w:bCs/>
                <w:color w:val="000000"/>
                <w:sz w:val="16"/>
              </w:rPr>
              <w:t>2023</w:t>
            </w:r>
          </w:p>
          <w:p w14:paraId="24BE9DA4" w14:textId="6D3CF09A" w:rsidR="00026A4E" w:rsidRPr="006A2D51" w:rsidRDefault="00026A4E" w:rsidP="00026A4E">
            <w:pPr>
              <w:ind w:left="-40" w:right="-39"/>
              <w:jc w:val="center"/>
              <w:rPr>
                <w:b/>
                <w:sz w:val="18"/>
              </w:rPr>
            </w:pPr>
            <w:r w:rsidRPr="006A2D51">
              <w:rPr>
                <w:rFonts w:cs="Arial"/>
                <w:b/>
                <w:bCs/>
                <w:color w:val="000000"/>
                <w:sz w:val="16"/>
              </w:rPr>
              <w:t>%</w:t>
            </w:r>
          </w:p>
        </w:tc>
        <w:tc>
          <w:tcPr>
            <w:tcW w:w="909" w:type="pct"/>
            <w:vMerge w:val="restart"/>
            <w:tcBorders>
              <w:top w:val="single" w:sz="4" w:space="0" w:color="auto"/>
              <w:left w:val="nil"/>
              <w:right w:val="single" w:sz="4" w:space="0" w:color="auto"/>
            </w:tcBorders>
            <w:shd w:val="clear" w:color="000000" w:fill="A1F2FD"/>
            <w:vAlign w:val="center"/>
          </w:tcPr>
          <w:p w14:paraId="1EA1EE9E" w14:textId="733F1B2D" w:rsidR="00026A4E" w:rsidRPr="006A2D51" w:rsidRDefault="00026A4E" w:rsidP="00026A4E">
            <w:pPr>
              <w:jc w:val="center"/>
              <w:rPr>
                <w:rFonts w:cs="Arial"/>
                <w:b/>
                <w:bCs/>
                <w:color w:val="000000"/>
                <w:sz w:val="18"/>
              </w:rPr>
            </w:pPr>
            <w:r w:rsidRPr="006A2D51">
              <w:rPr>
                <w:rFonts w:cs="Arial"/>
                <w:b/>
                <w:bCs/>
                <w:color w:val="000000"/>
                <w:sz w:val="18"/>
              </w:rPr>
              <w:t>2022</w:t>
            </w:r>
          </w:p>
        </w:tc>
        <w:tc>
          <w:tcPr>
            <w:tcW w:w="1363" w:type="pct"/>
            <w:gridSpan w:val="2"/>
            <w:tcBorders>
              <w:top w:val="single" w:sz="4" w:space="0" w:color="auto"/>
              <w:left w:val="single" w:sz="4" w:space="0" w:color="auto"/>
              <w:bottom w:val="single" w:sz="4" w:space="0" w:color="auto"/>
            </w:tcBorders>
            <w:shd w:val="clear" w:color="000000" w:fill="A1F2FD"/>
            <w:vAlign w:val="center"/>
            <w:hideMark/>
          </w:tcPr>
          <w:p w14:paraId="70D45395" w14:textId="111C2F1B" w:rsidR="00026A4E" w:rsidRPr="006A2D51" w:rsidRDefault="00026A4E" w:rsidP="00026A4E">
            <w:pPr>
              <w:jc w:val="center"/>
              <w:rPr>
                <w:rFonts w:cs="Arial"/>
                <w:b/>
                <w:bCs/>
                <w:color w:val="000000"/>
                <w:sz w:val="18"/>
              </w:rPr>
            </w:pPr>
            <w:r w:rsidRPr="006A2D51">
              <w:rPr>
                <w:rFonts w:cs="Arial"/>
                <w:b/>
                <w:bCs/>
                <w:color w:val="000000"/>
                <w:sz w:val="18"/>
              </w:rPr>
              <w:t>∆ 2023 x 2022</w:t>
            </w:r>
          </w:p>
        </w:tc>
      </w:tr>
      <w:tr w:rsidR="00026A4E" w:rsidRPr="004C6EF5" w14:paraId="13F879C9" w14:textId="77777777" w:rsidTr="00854644">
        <w:trPr>
          <w:trHeight w:val="340"/>
        </w:trPr>
        <w:tc>
          <w:tcPr>
            <w:tcW w:w="1517" w:type="pct"/>
            <w:vMerge/>
            <w:tcBorders>
              <w:left w:val="nil"/>
              <w:right w:val="single" w:sz="4" w:space="0" w:color="auto"/>
            </w:tcBorders>
            <w:vAlign w:val="center"/>
            <w:hideMark/>
          </w:tcPr>
          <w:p w14:paraId="42411ABC" w14:textId="77777777" w:rsidR="00026A4E" w:rsidRPr="004C6EF5" w:rsidRDefault="00026A4E" w:rsidP="00026A4E">
            <w:pPr>
              <w:jc w:val="left"/>
              <w:rPr>
                <w:rFonts w:cs="Arial"/>
                <w:b/>
                <w:bCs/>
                <w:color w:val="000000"/>
                <w:sz w:val="18"/>
                <w:szCs w:val="18"/>
              </w:rPr>
            </w:pPr>
          </w:p>
        </w:tc>
        <w:tc>
          <w:tcPr>
            <w:tcW w:w="833" w:type="pct"/>
            <w:vMerge/>
            <w:tcBorders>
              <w:top w:val="single" w:sz="4" w:space="0" w:color="auto"/>
              <w:left w:val="single" w:sz="4" w:space="0" w:color="auto"/>
              <w:right w:val="single" w:sz="4" w:space="0" w:color="auto"/>
            </w:tcBorders>
            <w:vAlign w:val="center"/>
            <w:hideMark/>
          </w:tcPr>
          <w:p w14:paraId="56AB8685" w14:textId="162DBAE7" w:rsidR="00026A4E" w:rsidRPr="004C6EF5" w:rsidRDefault="00026A4E" w:rsidP="00026A4E">
            <w:pPr>
              <w:jc w:val="left"/>
              <w:rPr>
                <w:rFonts w:cs="Arial"/>
                <w:b/>
                <w:bCs/>
                <w:color w:val="000000"/>
                <w:sz w:val="18"/>
                <w:szCs w:val="18"/>
              </w:rPr>
            </w:pPr>
          </w:p>
        </w:tc>
        <w:tc>
          <w:tcPr>
            <w:tcW w:w="379" w:type="pct"/>
            <w:vMerge/>
            <w:tcBorders>
              <w:left w:val="single" w:sz="4" w:space="0" w:color="auto"/>
              <w:right w:val="single" w:sz="4" w:space="0" w:color="auto"/>
            </w:tcBorders>
            <w:vAlign w:val="center"/>
          </w:tcPr>
          <w:p w14:paraId="378AB130" w14:textId="77777777" w:rsidR="00026A4E" w:rsidRPr="004C6EF5" w:rsidRDefault="00026A4E" w:rsidP="00026A4E">
            <w:pPr>
              <w:jc w:val="left"/>
              <w:rPr>
                <w:rFonts w:cs="Arial"/>
                <w:b/>
                <w:bCs/>
                <w:color w:val="000000"/>
                <w:sz w:val="18"/>
                <w:szCs w:val="18"/>
              </w:rPr>
            </w:pPr>
          </w:p>
        </w:tc>
        <w:tc>
          <w:tcPr>
            <w:tcW w:w="909" w:type="pct"/>
            <w:vMerge/>
            <w:tcBorders>
              <w:left w:val="nil"/>
              <w:right w:val="single" w:sz="4" w:space="0" w:color="auto"/>
            </w:tcBorders>
            <w:shd w:val="clear" w:color="000000" w:fill="A1F2FD"/>
            <w:vAlign w:val="center"/>
          </w:tcPr>
          <w:p w14:paraId="0A6AD672" w14:textId="77777777" w:rsidR="00026A4E" w:rsidRDefault="00026A4E" w:rsidP="00026A4E">
            <w:pPr>
              <w:rPr>
                <w:rFonts w:cs="Arial"/>
                <w:b/>
                <w:bCs/>
                <w:color w:val="000000"/>
                <w:sz w:val="18"/>
                <w:szCs w:val="18"/>
              </w:rPr>
            </w:pPr>
          </w:p>
        </w:tc>
        <w:tc>
          <w:tcPr>
            <w:tcW w:w="833" w:type="pct"/>
            <w:tcBorders>
              <w:top w:val="nil"/>
              <w:left w:val="single" w:sz="4" w:space="0" w:color="auto"/>
              <w:right w:val="single" w:sz="4" w:space="0" w:color="auto"/>
            </w:tcBorders>
            <w:shd w:val="clear" w:color="000000" w:fill="A1F2FD"/>
            <w:vAlign w:val="center"/>
            <w:hideMark/>
          </w:tcPr>
          <w:p w14:paraId="0014225E" w14:textId="3EF2E2CF" w:rsidR="00026A4E" w:rsidRPr="004C6EF5" w:rsidRDefault="00026A4E" w:rsidP="00026A4E">
            <w:pPr>
              <w:jc w:val="center"/>
              <w:rPr>
                <w:rFonts w:cs="Arial"/>
                <w:b/>
                <w:bCs/>
                <w:color w:val="000000"/>
                <w:sz w:val="18"/>
                <w:szCs w:val="18"/>
              </w:rPr>
            </w:pPr>
            <w:r>
              <w:rPr>
                <w:rFonts w:cs="Arial"/>
                <w:b/>
                <w:bCs/>
                <w:color w:val="000000"/>
                <w:sz w:val="18"/>
                <w:szCs w:val="18"/>
              </w:rPr>
              <w:t>R$</w:t>
            </w:r>
          </w:p>
        </w:tc>
        <w:tc>
          <w:tcPr>
            <w:tcW w:w="530" w:type="pct"/>
            <w:tcBorders>
              <w:top w:val="nil"/>
              <w:left w:val="nil"/>
            </w:tcBorders>
            <w:shd w:val="clear" w:color="000000" w:fill="A1F2FD"/>
            <w:vAlign w:val="center"/>
            <w:hideMark/>
          </w:tcPr>
          <w:p w14:paraId="3628FF1F" w14:textId="786E4476" w:rsidR="00026A4E" w:rsidRPr="004C6EF5" w:rsidRDefault="00026A4E" w:rsidP="00026A4E">
            <w:pPr>
              <w:jc w:val="center"/>
              <w:rPr>
                <w:rFonts w:cs="Arial"/>
                <w:b/>
                <w:bCs/>
                <w:color w:val="000000"/>
                <w:sz w:val="18"/>
                <w:szCs w:val="18"/>
              </w:rPr>
            </w:pPr>
            <w:r w:rsidRPr="004C6EF5">
              <w:rPr>
                <w:rFonts w:cs="Arial"/>
                <w:b/>
                <w:bCs/>
                <w:color w:val="000000"/>
                <w:sz w:val="18"/>
                <w:szCs w:val="18"/>
              </w:rPr>
              <w:t>%</w:t>
            </w:r>
          </w:p>
        </w:tc>
      </w:tr>
      <w:tr w:rsidR="00026A4E" w:rsidRPr="004C6EF5" w14:paraId="0698118F" w14:textId="77777777" w:rsidTr="00854644">
        <w:trPr>
          <w:trHeight w:val="340"/>
        </w:trPr>
        <w:tc>
          <w:tcPr>
            <w:tcW w:w="1517" w:type="pct"/>
            <w:vMerge/>
            <w:tcBorders>
              <w:left w:val="nil"/>
              <w:bottom w:val="single" w:sz="4" w:space="0" w:color="auto"/>
              <w:right w:val="single" w:sz="4" w:space="0" w:color="auto"/>
            </w:tcBorders>
            <w:shd w:val="clear" w:color="auto" w:fill="A1F2FD"/>
            <w:vAlign w:val="center"/>
          </w:tcPr>
          <w:p w14:paraId="0A543E35" w14:textId="77777777" w:rsidR="00026A4E" w:rsidRPr="004C6EF5" w:rsidRDefault="00026A4E" w:rsidP="00026A4E">
            <w:pPr>
              <w:jc w:val="left"/>
              <w:rPr>
                <w:rFonts w:cs="Arial"/>
                <w:b/>
                <w:bCs/>
                <w:color w:val="000000"/>
                <w:sz w:val="18"/>
                <w:szCs w:val="18"/>
              </w:rPr>
            </w:pPr>
          </w:p>
        </w:tc>
        <w:tc>
          <w:tcPr>
            <w:tcW w:w="833" w:type="pct"/>
            <w:tcBorders>
              <w:left w:val="single" w:sz="4" w:space="0" w:color="auto"/>
              <w:bottom w:val="single" w:sz="4" w:space="0" w:color="auto"/>
              <w:right w:val="single" w:sz="4" w:space="0" w:color="auto"/>
            </w:tcBorders>
            <w:shd w:val="clear" w:color="auto" w:fill="A1F2FD"/>
            <w:vAlign w:val="center"/>
          </w:tcPr>
          <w:p w14:paraId="5CE34002" w14:textId="591BC6C0" w:rsidR="00026A4E" w:rsidRPr="004C6EF5" w:rsidRDefault="00026A4E" w:rsidP="00026A4E">
            <w:pPr>
              <w:jc w:val="center"/>
              <w:rPr>
                <w:rFonts w:cs="Arial"/>
                <w:b/>
                <w:bCs/>
                <w:color w:val="000000"/>
                <w:sz w:val="18"/>
                <w:szCs w:val="18"/>
              </w:rPr>
            </w:pPr>
            <w:r w:rsidRPr="006A2D51">
              <w:rPr>
                <w:rFonts w:cs="Arial"/>
                <w:b/>
                <w:bCs/>
                <w:color w:val="000000"/>
                <w:sz w:val="18"/>
              </w:rPr>
              <w:t>(</w:t>
            </w:r>
            <w:r>
              <w:rPr>
                <w:rFonts w:cs="Arial"/>
                <w:b/>
                <w:bCs/>
                <w:color w:val="000000"/>
                <w:sz w:val="18"/>
              </w:rPr>
              <w:t>a</w:t>
            </w:r>
            <w:r w:rsidRPr="006A2D51">
              <w:rPr>
                <w:rFonts w:cs="Arial"/>
                <w:b/>
                <w:bCs/>
                <w:color w:val="000000"/>
                <w:sz w:val="18"/>
              </w:rPr>
              <w:t>)</w:t>
            </w:r>
          </w:p>
        </w:tc>
        <w:tc>
          <w:tcPr>
            <w:tcW w:w="379" w:type="pct"/>
            <w:tcBorders>
              <w:left w:val="single" w:sz="4" w:space="0" w:color="auto"/>
              <w:bottom w:val="single" w:sz="4" w:space="0" w:color="auto"/>
              <w:right w:val="single" w:sz="4" w:space="0" w:color="auto"/>
            </w:tcBorders>
            <w:shd w:val="clear" w:color="auto" w:fill="A1F2FD"/>
            <w:vAlign w:val="center"/>
          </w:tcPr>
          <w:p w14:paraId="7ACCEAE0" w14:textId="1FA6060A" w:rsidR="00026A4E" w:rsidRPr="006A2D51" w:rsidRDefault="00026A4E" w:rsidP="00026A4E">
            <w:pPr>
              <w:jc w:val="center"/>
              <w:rPr>
                <w:rFonts w:cs="Arial"/>
                <w:b/>
                <w:bCs/>
                <w:color w:val="000000"/>
                <w:sz w:val="18"/>
              </w:rPr>
            </w:pPr>
            <w:r w:rsidRPr="00E813D5">
              <w:rPr>
                <w:rFonts w:cs="Arial"/>
                <w:b/>
                <w:bCs/>
                <w:color w:val="000000"/>
                <w:sz w:val="18"/>
              </w:rPr>
              <w:t>(</w:t>
            </w:r>
            <w:r>
              <w:rPr>
                <w:rFonts w:cs="Arial"/>
                <w:b/>
                <w:bCs/>
                <w:color w:val="000000"/>
                <w:sz w:val="18"/>
              </w:rPr>
              <w:t>b</w:t>
            </w:r>
            <w:r w:rsidRPr="00E813D5">
              <w:rPr>
                <w:rFonts w:cs="Arial"/>
                <w:b/>
                <w:bCs/>
                <w:color w:val="000000"/>
                <w:sz w:val="18"/>
              </w:rPr>
              <w:t>)</w:t>
            </w:r>
          </w:p>
        </w:tc>
        <w:tc>
          <w:tcPr>
            <w:tcW w:w="909" w:type="pct"/>
            <w:tcBorders>
              <w:left w:val="nil"/>
              <w:bottom w:val="single" w:sz="4" w:space="0" w:color="auto"/>
              <w:right w:val="single" w:sz="4" w:space="0" w:color="auto"/>
            </w:tcBorders>
            <w:shd w:val="clear" w:color="auto" w:fill="A1F2FD"/>
            <w:vAlign w:val="center"/>
          </w:tcPr>
          <w:p w14:paraId="19991E9B" w14:textId="7EBB637E" w:rsidR="00026A4E" w:rsidRDefault="00026A4E" w:rsidP="00026A4E">
            <w:pPr>
              <w:jc w:val="center"/>
              <w:rPr>
                <w:rFonts w:cs="Arial"/>
                <w:b/>
                <w:bCs/>
                <w:color w:val="000000"/>
                <w:sz w:val="18"/>
                <w:szCs w:val="18"/>
              </w:rPr>
            </w:pPr>
            <w:r w:rsidRPr="006A2D51">
              <w:rPr>
                <w:rFonts w:cs="Arial"/>
                <w:b/>
                <w:bCs/>
                <w:color w:val="000000"/>
                <w:sz w:val="18"/>
              </w:rPr>
              <w:t>(</w:t>
            </w:r>
            <w:r>
              <w:rPr>
                <w:rFonts w:cs="Arial"/>
                <w:b/>
                <w:bCs/>
                <w:color w:val="000000"/>
                <w:sz w:val="18"/>
              </w:rPr>
              <w:t>c</w:t>
            </w:r>
            <w:r w:rsidRPr="006A2D51">
              <w:rPr>
                <w:rFonts w:cs="Arial"/>
                <w:b/>
                <w:bCs/>
                <w:color w:val="000000"/>
                <w:sz w:val="18"/>
              </w:rPr>
              <w:t>)</w:t>
            </w:r>
          </w:p>
        </w:tc>
        <w:tc>
          <w:tcPr>
            <w:tcW w:w="833" w:type="pct"/>
            <w:tcBorders>
              <w:left w:val="single" w:sz="4" w:space="0" w:color="auto"/>
              <w:bottom w:val="single" w:sz="4" w:space="0" w:color="auto"/>
              <w:right w:val="single" w:sz="4" w:space="0" w:color="auto"/>
            </w:tcBorders>
            <w:shd w:val="clear" w:color="auto" w:fill="A1F2FD"/>
            <w:vAlign w:val="center"/>
          </w:tcPr>
          <w:p w14:paraId="595FA1A5" w14:textId="7A734529" w:rsidR="00026A4E" w:rsidRDefault="00026A4E" w:rsidP="00026A4E">
            <w:pPr>
              <w:jc w:val="center"/>
              <w:rPr>
                <w:rFonts w:cs="Arial"/>
                <w:b/>
                <w:bCs/>
                <w:color w:val="000000"/>
                <w:sz w:val="18"/>
                <w:szCs w:val="18"/>
              </w:rPr>
            </w:pPr>
            <w:r>
              <w:rPr>
                <w:rFonts w:cs="Arial"/>
                <w:b/>
                <w:bCs/>
                <w:color w:val="000000"/>
                <w:sz w:val="18"/>
                <w:szCs w:val="18"/>
              </w:rPr>
              <w:t xml:space="preserve">(d) = </w:t>
            </w:r>
            <w:r w:rsidRPr="004C6EF5">
              <w:rPr>
                <w:rFonts w:cs="Arial"/>
                <w:b/>
                <w:bCs/>
                <w:color w:val="000000"/>
                <w:sz w:val="18"/>
                <w:szCs w:val="18"/>
              </w:rPr>
              <w:t>(</w:t>
            </w:r>
            <w:r>
              <w:rPr>
                <w:rFonts w:cs="Arial"/>
                <w:b/>
                <w:bCs/>
                <w:color w:val="000000"/>
                <w:sz w:val="18"/>
                <w:szCs w:val="18"/>
              </w:rPr>
              <w:t>a-c</w:t>
            </w:r>
            <w:r w:rsidRPr="004C6EF5">
              <w:rPr>
                <w:rFonts w:cs="Arial"/>
                <w:b/>
                <w:bCs/>
                <w:color w:val="000000"/>
                <w:sz w:val="18"/>
                <w:szCs w:val="18"/>
              </w:rPr>
              <w:t>)</w:t>
            </w:r>
          </w:p>
        </w:tc>
        <w:tc>
          <w:tcPr>
            <w:tcW w:w="530" w:type="pct"/>
            <w:tcBorders>
              <w:left w:val="nil"/>
              <w:bottom w:val="single" w:sz="4" w:space="0" w:color="auto"/>
            </w:tcBorders>
            <w:shd w:val="clear" w:color="auto" w:fill="A1F2FD"/>
            <w:vAlign w:val="center"/>
          </w:tcPr>
          <w:p w14:paraId="44C922D7" w14:textId="79242645" w:rsidR="00026A4E" w:rsidRPr="004C6EF5" w:rsidRDefault="00026A4E" w:rsidP="00026A4E">
            <w:pPr>
              <w:ind w:hanging="101"/>
              <w:jc w:val="center"/>
              <w:rPr>
                <w:rFonts w:cs="Arial"/>
                <w:b/>
                <w:bCs/>
                <w:color w:val="000000"/>
                <w:sz w:val="18"/>
                <w:szCs w:val="18"/>
              </w:rPr>
            </w:pPr>
            <w:r>
              <w:rPr>
                <w:rFonts w:cs="Arial"/>
                <w:b/>
                <w:bCs/>
                <w:color w:val="000000"/>
                <w:sz w:val="18"/>
                <w:szCs w:val="18"/>
              </w:rPr>
              <w:t xml:space="preserve">(e) = </w:t>
            </w:r>
            <w:r w:rsidRPr="004C6EF5">
              <w:rPr>
                <w:rFonts w:cs="Arial"/>
                <w:b/>
                <w:bCs/>
                <w:color w:val="000000"/>
                <w:sz w:val="18"/>
                <w:szCs w:val="18"/>
              </w:rPr>
              <w:t>(</w:t>
            </w:r>
            <w:r>
              <w:rPr>
                <w:rFonts w:cs="Arial"/>
                <w:b/>
                <w:bCs/>
                <w:color w:val="000000"/>
                <w:sz w:val="18"/>
                <w:szCs w:val="18"/>
              </w:rPr>
              <w:t>d</w:t>
            </w:r>
            <w:r w:rsidRPr="004C6EF5">
              <w:rPr>
                <w:rFonts w:cs="Arial"/>
                <w:b/>
                <w:bCs/>
                <w:color w:val="000000"/>
                <w:sz w:val="18"/>
                <w:szCs w:val="18"/>
              </w:rPr>
              <w:t>/</w:t>
            </w:r>
            <w:r w:rsidR="00545DDF">
              <w:rPr>
                <w:rFonts w:cs="Arial"/>
                <w:b/>
                <w:bCs/>
                <w:color w:val="000000"/>
                <w:sz w:val="18"/>
                <w:szCs w:val="18"/>
              </w:rPr>
              <w:t>c</w:t>
            </w:r>
            <w:r w:rsidRPr="004C6EF5">
              <w:rPr>
                <w:rFonts w:cs="Arial"/>
                <w:b/>
                <w:bCs/>
                <w:color w:val="000000"/>
                <w:sz w:val="18"/>
                <w:szCs w:val="18"/>
              </w:rPr>
              <w:t>)</w:t>
            </w:r>
          </w:p>
        </w:tc>
      </w:tr>
      <w:tr w:rsidR="00026A4E" w:rsidRPr="004C6EF5" w14:paraId="19B66C37" w14:textId="77777777" w:rsidTr="00854644">
        <w:trPr>
          <w:trHeight w:val="340"/>
        </w:trPr>
        <w:tc>
          <w:tcPr>
            <w:tcW w:w="1517" w:type="pct"/>
            <w:tcBorders>
              <w:top w:val="nil"/>
              <w:left w:val="nil"/>
              <w:bottom w:val="nil"/>
              <w:right w:val="single" w:sz="4" w:space="0" w:color="auto"/>
            </w:tcBorders>
            <w:shd w:val="clear" w:color="auto" w:fill="auto"/>
            <w:noWrap/>
            <w:vAlign w:val="center"/>
            <w:hideMark/>
          </w:tcPr>
          <w:p w14:paraId="3E64CE9D" w14:textId="77777777" w:rsidR="00026A4E" w:rsidRPr="004C6EF5" w:rsidRDefault="00026A4E" w:rsidP="00026A4E">
            <w:pPr>
              <w:jc w:val="left"/>
              <w:rPr>
                <w:rFonts w:cs="Arial"/>
                <w:b/>
                <w:bCs/>
                <w:color w:val="000000"/>
                <w:sz w:val="18"/>
                <w:szCs w:val="18"/>
              </w:rPr>
            </w:pPr>
            <w:r w:rsidRPr="004C6EF5">
              <w:rPr>
                <w:rFonts w:cs="Arial"/>
                <w:b/>
                <w:bCs/>
                <w:color w:val="000000"/>
                <w:sz w:val="18"/>
                <w:szCs w:val="18"/>
              </w:rPr>
              <w:t>Receitas Correntes</w:t>
            </w:r>
          </w:p>
        </w:tc>
        <w:tc>
          <w:tcPr>
            <w:tcW w:w="833" w:type="pct"/>
            <w:tcBorders>
              <w:top w:val="single" w:sz="4" w:space="0" w:color="auto"/>
              <w:left w:val="single" w:sz="4" w:space="0" w:color="auto"/>
              <w:bottom w:val="nil"/>
              <w:right w:val="single" w:sz="4" w:space="0" w:color="auto"/>
            </w:tcBorders>
            <w:shd w:val="clear" w:color="auto" w:fill="auto"/>
            <w:noWrap/>
            <w:vAlign w:val="center"/>
            <w:hideMark/>
          </w:tcPr>
          <w:p w14:paraId="3C573886" w14:textId="02B48593" w:rsidR="00026A4E" w:rsidRPr="004C6EF5" w:rsidRDefault="00026A4E" w:rsidP="00026A4E">
            <w:pPr>
              <w:jc w:val="right"/>
              <w:rPr>
                <w:rFonts w:cs="Arial"/>
                <w:b/>
                <w:color w:val="000000"/>
                <w:sz w:val="18"/>
                <w:szCs w:val="18"/>
              </w:rPr>
            </w:pPr>
            <w:r w:rsidRPr="004C6EF5">
              <w:rPr>
                <w:rFonts w:cs="Arial"/>
                <w:b/>
                <w:color w:val="000000"/>
                <w:sz w:val="18"/>
                <w:szCs w:val="18"/>
              </w:rPr>
              <w:t>41.814.126.268</w:t>
            </w:r>
          </w:p>
        </w:tc>
        <w:tc>
          <w:tcPr>
            <w:tcW w:w="379" w:type="pct"/>
            <w:tcBorders>
              <w:top w:val="single" w:sz="4" w:space="0" w:color="auto"/>
              <w:left w:val="nil"/>
              <w:bottom w:val="nil"/>
              <w:right w:val="single" w:sz="4" w:space="0" w:color="auto"/>
            </w:tcBorders>
            <w:vAlign w:val="center"/>
          </w:tcPr>
          <w:p w14:paraId="2D4DB11E" w14:textId="71BB8781" w:rsidR="00026A4E" w:rsidRPr="004C6EF5" w:rsidRDefault="00026A4E" w:rsidP="00026A4E">
            <w:pPr>
              <w:jc w:val="right"/>
              <w:rPr>
                <w:rFonts w:cs="Arial"/>
                <w:b/>
                <w:color w:val="000000"/>
                <w:sz w:val="18"/>
                <w:szCs w:val="18"/>
              </w:rPr>
            </w:pPr>
            <w:r w:rsidRPr="004C6EF5">
              <w:rPr>
                <w:rFonts w:cs="Arial"/>
                <w:b/>
                <w:color w:val="000000"/>
                <w:sz w:val="18"/>
                <w:szCs w:val="18"/>
              </w:rPr>
              <w:t>99,59</w:t>
            </w:r>
          </w:p>
        </w:tc>
        <w:tc>
          <w:tcPr>
            <w:tcW w:w="909" w:type="pct"/>
            <w:tcBorders>
              <w:top w:val="nil"/>
              <w:left w:val="single" w:sz="4" w:space="0" w:color="auto"/>
              <w:bottom w:val="nil"/>
              <w:right w:val="single" w:sz="4" w:space="0" w:color="auto"/>
            </w:tcBorders>
            <w:vAlign w:val="center"/>
          </w:tcPr>
          <w:p w14:paraId="535FD0B5" w14:textId="159047E8" w:rsidR="00026A4E" w:rsidRPr="004C6EF5" w:rsidRDefault="00026A4E" w:rsidP="00026A4E">
            <w:pPr>
              <w:jc w:val="right"/>
              <w:rPr>
                <w:rFonts w:cs="Arial"/>
                <w:b/>
                <w:color w:val="000000"/>
                <w:sz w:val="18"/>
                <w:szCs w:val="18"/>
              </w:rPr>
            </w:pPr>
            <w:r w:rsidRPr="004C6EF5">
              <w:rPr>
                <w:rFonts w:cs="Arial"/>
                <w:b/>
                <w:color w:val="000000"/>
                <w:sz w:val="18"/>
                <w:szCs w:val="18"/>
              </w:rPr>
              <w:t>40.282.339.917</w:t>
            </w:r>
          </w:p>
        </w:tc>
        <w:tc>
          <w:tcPr>
            <w:tcW w:w="833" w:type="pct"/>
            <w:tcBorders>
              <w:top w:val="nil"/>
              <w:left w:val="single" w:sz="4" w:space="0" w:color="auto"/>
              <w:bottom w:val="nil"/>
              <w:right w:val="single" w:sz="4" w:space="0" w:color="auto"/>
            </w:tcBorders>
            <w:shd w:val="clear" w:color="auto" w:fill="auto"/>
            <w:noWrap/>
            <w:vAlign w:val="center"/>
            <w:hideMark/>
          </w:tcPr>
          <w:p w14:paraId="64FF1C57" w14:textId="29CE29EC" w:rsidR="00026A4E" w:rsidRPr="004C6EF5" w:rsidRDefault="00026A4E" w:rsidP="00026A4E">
            <w:pPr>
              <w:jc w:val="right"/>
              <w:rPr>
                <w:rFonts w:cs="Arial"/>
                <w:b/>
                <w:color w:val="000000"/>
                <w:sz w:val="18"/>
                <w:szCs w:val="18"/>
              </w:rPr>
            </w:pPr>
            <w:r w:rsidRPr="004C6EF5">
              <w:rPr>
                <w:rFonts w:cs="Arial"/>
                <w:b/>
                <w:color w:val="000000"/>
                <w:sz w:val="18"/>
                <w:szCs w:val="18"/>
              </w:rPr>
              <w:t>1.531.786.351</w:t>
            </w:r>
          </w:p>
        </w:tc>
        <w:tc>
          <w:tcPr>
            <w:tcW w:w="530" w:type="pct"/>
            <w:tcBorders>
              <w:top w:val="nil"/>
              <w:left w:val="nil"/>
              <w:bottom w:val="nil"/>
            </w:tcBorders>
            <w:shd w:val="clear" w:color="auto" w:fill="auto"/>
            <w:noWrap/>
            <w:vAlign w:val="center"/>
            <w:hideMark/>
          </w:tcPr>
          <w:p w14:paraId="29EF3283" w14:textId="77777777" w:rsidR="00026A4E" w:rsidRPr="004C6EF5" w:rsidRDefault="00026A4E" w:rsidP="00026A4E">
            <w:pPr>
              <w:jc w:val="center"/>
              <w:rPr>
                <w:rFonts w:cs="Arial"/>
                <w:b/>
                <w:color w:val="000000"/>
                <w:sz w:val="18"/>
                <w:szCs w:val="18"/>
              </w:rPr>
            </w:pPr>
            <w:r w:rsidRPr="004C6EF5">
              <w:rPr>
                <w:rFonts w:cs="Arial"/>
                <w:b/>
                <w:color w:val="000000"/>
                <w:sz w:val="18"/>
                <w:szCs w:val="18"/>
              </w:rPr>
              <w:t>3,80</w:t>
            </w:r>
          </w:p>
        </w:tc>
      </w:tr>
      <w:tr w:rsidR="00026A4E" w:rsidRPr="004C6EF5" w14:paraId="67736C1D" w14:textId="77777777" w:rsidTr="00854644">
        <w:trPr>
          <w:trHeight w:val="340"/>
        </w:trPr>
        <w:tc>
          <w:tcPr>
            <w:tcW w:w="1517" w:type="pct"/>
            <w:tcBorders>
              <w:top w:val="nil"/>
              <w:left w:val="nil"/>
              <w:bottom w:val="nil"/>
              <w:right w:val="single" w:sz="4" w:space="0" w:color="auto"/>
            </w:tcBorders>
            <w:shd w:val="clear" w:color="auto" w:fill="auto"/>
            <w:noWrap/>
            <w:vAlign w:val="center"/>
            <w:hideMark/>
          </w:tcPr>
          <w:p w14:paraId="066237BA" w14:textId="77777777" w:rsidR="00026A4E" w:rsidRPr="004C6EF5" w:rsidRDefault="00026A4E" w:rsidP="00026A4E">
            <w:pPr>
              <w:ind w:left="209"/>
              <w:jc w:val="left"/>
              <w:rPr>
                <w:rFonts w:cs="Arial"/>
                <w:color w:val="000000"/>
                <w:sz w:val="18"/>
                <w:szCs w:val="18"/>
              </w:rPr>
            </w:pPr>
            <w:r w:rsidRPr="004C6EF5">
              <w:rPr>
                <w:rFonts w:cs="Arial"/>
                <w:color w:val="000000"/>
                <w:sz w:val="18"/>
                <w:szCs w:val="18"/>
              </w:rPr>
              <w:t>Impostos, Taxas e Contrib. de Melhoria</w:t>
            </w:r>
          </w:p>
        </w:tc>
        <w:tc>
          <w:tcPr>
            <w:tcW w:w="833" w:type="pct"/>
            <w:tcBorders>
              <w:top w:val="nil"/>
              <w:left w:val="single" w:sz="4" w:space="0" w:color="auto"/>
              <w:bottom w:val="nil"/>
              <w:right w:val="single" w:sz="4" w:space="0" w:color="auto"/>
            </w:tcBorders>
            <w:shd w:val="clear" w:color="auto" w:fill="auto"/>
            <w:noWrap/>
            <w:vAlign w:val="center"/>
            <w:hideMark/>
          </w:tcPr>
          <w:p w14:paraId="01008176" w14:textId="3DDFD93A" w:rsidR="00026A4E" w:rsidRPr="004C6EF5" w:rsidRDefault="00026A4E" w:rsidP="00026A4E">
            <w:pPr>
              <w:jc w:val="right"/>
              <w:rPr>
                <w:rFonts w:cs="Arial"/>
                <w:color w:val="000000"/>
                <w:sz w:val="18"/>
                <w:szCs w:val="18"/>
              </w:rPr>
            </w:pPr>
            <w:r w:rsidRPr="004C6EF5">
              <w:rPr>
                <w:rFonts w:cs="Arial"/>
                <w:color w:val="000000"/>
                <w:sz w:val="18"/>
                <w:szCs w:val="18"/>
              </w:rPr>
              <w:t>22.212.155.353</w:t>
            </w:r>
          </w:p>
        </w:tc>
        <w:tc>
          <w:tcPr>
            <w:tcW w:w="379" w:type="pct"/>
            <w:tcBorders>
              <w:top w:val="nil"/>
              <w:left w:val="nil"/>
              <w:bottom w:val="nil"/>
              <w:right w:val="single" w:sz="4" w:space="0" w:color="auto"/>
            </w:tcBorders>
            <w:vAlign w:val="center"/>
          </w:tcPr>
          <w:p w14:paraId="001376C2" w14:textId="424A4ECB" w:rsidR="00026A4E" w:rsidRPr="004C6EF5" w:rsidRDefault="00026A4E" w:rsidP="00026A4E">
            <w:pPr>
              <w:jc w:val="right"/>
              <w:rPr>
                <w:rFonts w:cs="Arial"/>
                <w:color w:val="000000"/>
                <w:sz w:val="18"/>
                <w:szCs w:val="18"/>
              </w:rPr>
            </w:pPr>
            <w:r w:rsidRPr="004C6EF5">
              <w:rPr>
                <w:rFonts w:cs="Arial"/>
                <w:color w:val="000000"/>
                <w:sz w:val="18"/>
                <w:szCs w:val="18"/>
              </w:rPr>
              <w:t>52,91</w:t>
            </w:r>
          </w:p>
        </w:tc>
        <w:tc>
          <w:tcPr>
            <w:tcW w:w="909" w:type="pct"/>
            <w:tcBorders>
              <w:top w:val="nil"/>
              <w:left w:val="single" w:sz="4" w:space="0" w:color="auto"/>
              <w:bottom w:val="nil"/>
              <w:right w:val="single" w:sz="4" w:space="0" w:color="auto"/>
            </w:tcBorders>
            <w:vAlign w:val="center"/>
          </w:tcPr>
          <w:p w14:paraId="4B7D517A" w14:textId="5B235111" w:rsidR="00026A4E" w:rsidRPr="004C6EF5" w:rsidRDefault="00026A4E" w:rsidP="00026A4E">
            <w:pPr>
              <w:jc w:val="right"/>
              <w:rPr>
                <w:rFonts w:cs="Arial"/>
                <w:color w:val="000000"/>
                <w:sz w:val="18"/>
                <w:szCs w:val="18"/>
              </w:rPr>
            </w:pPr>
            <w:r w:rsidRPr="004C6EF5">
              <w:rPr>
                <w:rFonts w:cs="Arial"/>
                <w:color w:val="000000"/>
                <w:sz w:val="18"/>
                <w:szCs w:val="18"/>
              </w:rPr>
              <w:t>21.267.567.311</w:t>
            </w:r>
          </w:p>
        </w:tc>
        <w:tc>
          <w:tcPr>
            <w:tcW w:w="833" w:type="pct"/>
            <w:tcBorders>
              <w:top w:val="nil"/>
              <w:left w:val="single" w:sz="4" w:space="0" w:color="auto"/>
              <w:bottom w:val="nil"/>
              <w:right w:val="single" w:sz="4" w:space="0" w:color="auto"/>
            </w:tcBorders>
            <w:shd w:val="clear" w:color="auto" w:fill="auto"/>
            <w:noWrap/>
            <w:vAlign w:val="center"/>
            <w:hideMark/>
          </w:tcPr>
          <w:p w14:paraId="60E172AA" w14:textId="3DF1D33E" w:rsidR="00026A4E" w:rsidRPr="004C6EF5" w:rsidRDefault="00026A4E" w:rsidP="00026A4E">
            <w:pPr>
              <w:jc w:val="right"/>
              <w:rPr>
                <w:rFonts w:cs="Arial"/>
                <w:color w:val="000000"/>
                <w:sz w:val="18"/>
                <w:szCs w:val="18"/>
              </w:rPr>
            </w:pPr>
            <w:r w:rsidRPr="004C6EF5">
              <w:rPr>
                <w:rFonts w:cs="Arial"/>
                <w:color w:val="000000"/>
                <w:sz w:val="18"/>
                <w:szCs w:val="18"/>
              </w:rPr>
              <w:t>944.588.042</w:t>
            </w:r>
          </w:p>
        </w:tc>
        <w:tc>
          <w:tcPr>
            <w:tcW w:w="530" w:type="pct"/>
            <w:tcBorders>
              <w:top w:val="nil"/>
              <w:left w:val="nil"/>
              <w:bottom w:val="nil"/>
            </w:tcBorders>
            <w:shd w:val="clear" w:color="auto" w:fill="auto"/>
            <w:noWrap/>
            <w:vAlign w:val="center"/>
            <w:hideMark/>
          </w:tcPr>
          <w:p w14:paraId="43F8CB45" w14:textId="77777777" w:rsidR="00026A4E" w:rsidRPr="004C6EF5" w:rsidRDefault="00026A4E" w:rsidP="00026A4E">
            <w:pPr>
              <w:jc w:val="center"/>
              <w:rPr>
                <w:rFonts w:cs="Arial"/>
                <w:color w:val="000000"/>
                <w:sz w:val="18"/>
                <w:szCs w:val="18"/>
              </w:rPr>
            </w:pPr>
            <w:r w:rsidRPr="004C6EF5">
              <w:rPr>
                <w:rFonts w:cs="Arial"/>
                <w:color w:val="000000"/>
                <w:sz w:val="18"/>
                <w:szCs w:val="18"/>
              </w:rPr>
              <w:t>4,44</w:t>
            </w:r>
          </w:p>
        </w:tc>
      </w:tr>
      <w:tr w:rsidR="00026A4E" w:rsidRPr="004C6EF5" w14:paraId="7AEF6E8D" w14:textId="77777777" w:rsidTr="00854644">
        <w:trPr>
          <w:trHeight w:val="340"/>
        </w:trPr>
        <w:tc>
          <w:tcPr>
            <w:tcW w:w="1517" w:type="pct"/>
            <w:tcBorders>
              <w:top w:val="nil"/>
              <w:left w:val="nil"/>
              <w:bottom w:val="nil"/>
              <w:right w:val="single" w:sz="4" w:space="0" w:color="auto"/>
            </w:tcBorders>
            <w:shd w:val="clear" w:color="auto" w:fill="auto"/>
            <w:noWrap/>
            <w:vAlign w:val="center"/>
            <w:hideMark/>
          </w:tcPr>
          <w:p w14:paraId="52076FA6" w14:textId="77777777" w:rsidR="00026A4E" w:rsidRPr="004C6EF5" w:rsidRDefault="00026A4E" w:rsidP="00026A4E">
            <w:pPr>
              <w:ind w:left="209"/>
              <w:jc w:val="left"/>
              <w:rPr>
                <w:rFonts w:cs="Arial"/>
                <w:color w:val="000000"/>
                <w:sz w:val="18"/>
                <w:szCs w:val="18"/>
              </w:rPr>
            </w:pPr>
            <w:r w:rsidRPr="004C6EF5">
              <w:rPr>
                <w:rFonts w:cs="Arial"/>
                <w:color w:val="000000"/>
                <w:sz w:val="18"/>
                <w:szCs w:val="18"/>
              </w:rPr>
              <w:t>Contribuições</w:t>
            </w:r>
          </w:p>
        </w:tc>
        <w:tc>
          <w:tcPr>
            <w:tcW w:w="833" w:type="pct"/>
            <w:tcBorders>
              <w:top w:val="nil"/>
              <w:left w:val="single" w:sz="4" w:space="0" w:color="auto"/>
              <w:bottom w:val="nil"/>
              <w:right w:val="single" w:sz="4" w:space="0" w:color="auto"/>
            </w:tcBorders>
            <w:shd w:val="clear" w:color="auto" w:fill="auto"/>
            <w:noWrap/>
            <w:vAlign w:val="center"/>
            <w:hideMark/>
          </w:tcPr>
          <w:p w14:paraId="0253085A" w14:textId="60E2FCEE" w:rsidR="00026A4E" w:rsidRPr="004C6EF5" w:rsidRDefault="00026A4E" w:rsidP="00026A4E">
            <w:pPr>
              <w:jc w:val="right"/>
              <w:rPr>
                <w:rFonts w:cs="Arial"/>
                <w:color w:val="000000"/>
                <w:sz w:val="18"/>
                <w:szCs w:val="18"/>
              </w:rPr>
            </w:pPr>
            <w:r w:rsidRPr="004C6EF5">
              <w:rPr>
                <w:rFonts w:cs="Arial"/>
                <w:color w:val="000000"/>
                <w:sz w:val="18"/>
                <w:szCs w:val="18"/>
              </w:rPr>
              <w:t>3.137.909.145</w:t>
            </w:r>
          </w:p>
        </w:tc>
        <w:tc>
          <w:tcPr>
            <w:tcW w:w="379" w:type="pct"/>
            <w:tcBorders>
              <w:top w:val="nil"/>
              <w:left w:val="nil"/>
              <w:bottom w:val="nil"/>
              <w:right w:val="single" w:sz="4" w:space="0" w:color="auto"/>
            </w:tcBorders>
            <w:vAlign w:val="center"/>
          </w:tcPr>
          <w:p w14:paraId="24FBAE11" w14:textId="37BDABC5" w:rsidR="00026A4E" w:rsidRPr="004C6EF5" w:rsidRDefault="00026A4E" w:rsidP="00026A4E">
            <w:pPr>
              <w:jc w:val="right"/>
              <w:rPr>
                <w:rFonts w:cs="Arial"/>
                <w:color w:val="000000"/>
                <w:sz w:val="18"/>
                <w:szCs w:val="18"/>
              </w:rPr>
            </w:pPr>
            <w:r w:rsidRPr="004C6EF5">
              <w:rPr>
                <w:rFonts w:cs="Arial"/>
                <w:color w:val="000000"/>
                <w:sz w:val="18"/>
                <w:szCs w:val="18"/>
              </w:rPr>
              <w:t>7,47</w:t>
            </w:r>
          </w:p>
        </w:tc>
        <w:tc>
          <w:tcPr>
            <w:tcW w:w="909" w:type="pct"/>
            <w:tcBorders>
              <w:top w:val="nil"/>
              <w:left w:val="single" w:sz="4" w:space="0" w:color="auto"/>
              <w:bottom w:val="nil"/>
              <w:right w:val="single" w:sz="4" w:space="0" w:color="auto"/>
            </w:tcBorders>
            <w:vAlign w:val="center"/>
          </w:tcPr>
          <w:p w14:paraId="4BC2BF09" w14:textId="74E9E572" w:rsidR="00026A4E" w:rsidRPr="004C6EF5" w:rsidRDefault="00026A4E" w:rsidP="00026A4E">
            <w:pPr>
              <w:jc w:val="right"/>
              <w:rPr>
                <w:rFonts w:cs="Arial"/>
                <w:color w:val="000000"/>
                <w:sz w:val="18"/>
                <w:szCs w:val="18"/>
              </w:rPr>
            </w:pPr>
            <w:r w:rsidRPr="004C6EF5">
              <w:rPr>
                <w:rFonts w:cs="Arial"/>
                <w:color w:val="000000"/>
                <w:sz w:val="18"/>
                <w:szCs w:val="18"/>
              </w:rPr>
              <w:t>2.921.656.158</w:t>
            </w:r>
          </w:p>
        </w:tc>
        <w:tc>
          <w:tcPr>
            <w:tcW w:w="833" w:type="pct"/>
            <w:tcBorders>
              <w:top w:val="nil"/>
              <w:left w:val="single" w:sz="4" w:space="0" w:color="auto"/>
              <w:bottom w:val="nil"/>
              <w:right w:val="single" w:sz="4" w:space="0" w:color="auto"/>
            </w:tcBorders>
            <w:shd w:val="clear" w:color="auto" w:fill="auto"/>
            <w:noWrap/>
            <w:vAlign w:val="center"/>
            <w:hideMark/>
          </w:tcPr>
          <w:p w14:paraId="6FBEB6EC" w14:textId="5614CA15" w:rsidR="00026A4E" w:rsidRPr="004C6EF5" w:rsidRDefault="00026A4E" w:rsidP="00026A4E">
            <w:pPr>
              <w:jc w:val="right"/>
              <w:rPr>
                <w:rFonts w:cs="Arial"/>
                <w:color w:val="000000"/>
                <w:sz w:val="18"/>
                <w:szCs w:val="18"/>
              </w:rPr>
            </w:pPr>
            <w:r w:rsidRPr="004C6EF5">
              <w:rPr>
                <w:rFonts w:cs="Arial"/>
                <w:color w:val="000000"/>
                <w:sz w:val="18"/>
                <w:szCs w:val="18"/>
              </w:rPr>
              <w:t>216.252.987</w:t>
            </w:r>
          </w:p>
        </w:tc>
        <w:tc>
          <w:tcPr>
            <w:tcW w:w="530" w:type="pct"/>
            <w:tcBorders>
              <w:top w:val="nil"/>
              <w:left w:val="nil"/>
              <w:bottom w:val="nil"/>
            </w:tcBorders>
            <w:shd w:val="clear" w:color="auto" w:fill="auto"/>
            <w:noWrap/>
            <w:vAlign w:val="center"/>
            <w:hideMark/>
          </w:tcPr>
          <w:p w14:paraId="027C6F5A" w14:textId="77777777" w:rsidR="00026A4E" w:rsidRPr="004C6EF5" w:rsidRDefault="00026A4E" w:rsidP="00026A4E">
            <w:pPr>
              <w:jc w:val="center"/>
              <w:rPr>
                <w:rFonts w:cs="Arial"/>
                <w:color w:val="000000"/>
                <w:sz w:val="18"/>
                <w:szCs w:val="18"/>
              </w:rPr>
            </w:pPr>
            <w:r w:rsidRPr="004C6EF5">
              <w:rPr>
                <w:rFonts w:cs="Arial"/>
                <w:color w:val="000000"/>
                <w:sz w:val="18"/>
                <w:szCs w:val="18"/>
              </w:rPr>
              <w:t>7,40</w:t>
            </w:r>
          </w:p>
        </w:tc>
      </w:tr>
      <w:tr w:rsidR="00026A4E" w:rsidRPr="004C6EF5" w14:paraId="618FEB29" w14:textId="77777777" w:rsidTr="00854644">
        <w:trPr>
          <w:trHeight w:val="340"/>
        </w:trPr>
        <w:tc>
          <w:tcPr>
            <w:tcW w:w="1517" w:type="pct"/>
            <w:tcBorders>
              <w:top w:val="nil"/>
              <w:left w:val="nil"/>
              <w:bottom w:val="nil"/>
              <w:right w:val="single" w:sz="4" w:space="0" w:color="auto"/>
            </w:tcBorders>
            <w:shd w:val="clear" w:color="auto" w:fill="auto"/>
            <w:noWrap/>
            <w:vAlign w:val="center"/>
            <w:hideMark/>
          </w:tcPr>
          <w:p w14:paraId="4E710631" w14:textId="77777777" w:rsidR="00026A4E" w:rsidRPr="005806EB" w:rsidRDefault="00026A4E" w:rsidP="00026A4E">
            <w:pPr>
              <w:ind w:left="209"/>
              <w:jc w:val="left"/>
              <w:rPr>
                <w:rFonts w:cs="Arial"/>
                <w:color w:val="000000"/>
                <w:sz w:val="18"/>
                <w:szCs w:val="18"/>
              </w:rPr>
            </w:pPr>
            <w:r w:rsidRPr="005806EB">
              <w:rPr>
                <w:rFonts w:cs="Arial"/>
                <w:color w:val="000000"/>
                <w:sz w:val="18"/>
                <w:szCs w:val="18"/>
              </w:rPr>
              <w:t>Patrimonial</w:t>
            </w:r>
          </w:p>
        </w:tc>
        <w:tc>
          <w:tcPr>
            <w:tcW w:w="833" w:type="pct"/>
            <w:tcBorders>
              <w:top w:val="nil"/>
              <w:left w:val="single" w:sz="4" w:space="0" w:color="auto"/>
              <w:bottom w:val="nil"/>
              <w:right w:val="single" w:sz="4" w:space="0" w:color="auto"/>
            </w:tcBorders>
            <w:shd w:val="clear" w:color="auto" w:fill="auto"/>
            <w:noWrap/>
            <w:vAlign w:val="center"/>
            <w:hideMark/>
          </w:tcPr>
          <w:p w14:paraId="61076016" w14:textId="5CF564B7" w:rsidR="00026A4E" w:rsidRPr="005806EB" w:rsidRDefault="00026A4E" w:rsidP="00026A4E">
            <w:pPr>
              <w:jc w:val="right"/>
              <w:rPr>
                <w:rFonts w:cs="Arial"/>
                <w:color w:val="000000"/>
                <w:sz w:val="18"/>
                <w:szCs w:val="18"/>
              </w:rPr>
            </w:pPr>
            <w:r w:rsidRPr="005806EB">
              <w:rPr>
                <w:rFonts w:cs="Arial"/>
                <w:color w:val="000000"/>
                <w:sz w:val="18"/>
                <w:szCs w:val="18"/>
              </w:rPr>
              <w:t>1.868.721.591</w:t>
            </w:r>
          </w:p>
        </w:tc>
        <w:tc>
          <w:tcPr>
            <w:tcW w:w="379" w:type="pct"/>
            <w:tcBorders>
              <w:top w:val="nil"/>
              <w:left w:val="nil"/>
              <w:bottom w:val="nil"/>
              <w:right w:val="single" w:sz="4" w:space="0" w:color="auto"/>
            </w:tcBorders>
            <w:vAlign w:val="center"/>
          </w:tcPr>
          <w:p w14:paraId="5E19316B" w14:textId="02737F3C" w:rsidR="00026A4E" w:rsidRPr="005806EB" w:rsidRDefault="00026A4E" w:rsidP="00026A4E">
            <w:pPr>
              <w:jc w:val="right"/>
              <w:rPr>
                <w:rFonts w:cs="Arial"/>
                <w:color w:val="000000"/>
                <w:sz w:val="18"/>
                <w:szCs w:val="18"/>
              </w:rPr>
            </w:pPr>
            <w:r w:rsidRPr="005806EB">
              <w:rPr>
                <w:rFonts w:cs="Arial"/>
                <w:color w:val="000000"/>
                <w:sz w:val="18"/>
                <w:szCs w:val="18"/>
              </w:rPr>
              <w:t>4,45</w:t>
            </w:r>
          </w:p>
        </w:tc>
        <w:tc>
          <w:tcPr>
            <w:tcW w:w="909" w:type="pct"/>
            <w:tcBorders>
              <w:top w:val="nil"/>
              <w:left w:val="single" w:sz="4" w:space="0" w:color="auto"/>
              <w:bottom w:val="nil"/>
              <w:right w:val="single" w:sz="4" w:space="0" w:color="auto"/>
            </w:tcBorders>
            <w:vAlign w:val="center"/>
          </w:tcPr>
          <w:p w14:paraId="4DAE0DBE" w14:textId="4C14324F" w:rsidR="00026A4E" w:rsidRPr="005806EB" w:rsidRDefault="00026A4E" w:rsidP="00026A4E">
            <w:pPr>
              <w:jc w:val="right"/>
              <w:rPr>
                <w:rFonts w:cs="Arial"/>
                <w:color w:val="FF0000"/>
                <w:sz w:val="18"/>
                <w:szCs w:val="18"/>
              </w:rPr>
            </w:pPr>
            <w:r w:rsidRPr="005806EB">
              <w:rPr>
                <w:rFonts w:cs="Arial"/>
                <w:color w:val="000000"/>
                <w:sz w:val="18"/>
                <w:szCs w:val="18"/>
              </w:rPr>
              <w:t>2.690.219.358</w:t>
            </w:r>
          </w:p>
        </w:tc>
        <w:tc>
          <w:tcPr>
            <w:tcW w:w="833" w:type="pct"/>
            <w:tcBorders>
              <w:top w:val="nil"/>
              <w:left w:val="single" w:sz="4" w:space="0" w:color="auto"/>
              <w:bottom w:val="nil"/>
              <w:right w:val="single" w:sz="4" w:space="0" w:color="auto"/>
            </w:tcBorders>
            <w:shd w:val="clear" w:color="auto" w:fill="auto"/>
            <w:noWrap/>
            <w:vAlign w:val="center"/>
            <w:hideMark/>
          </w:tcPr>
          <w:p w14:paraId="1B3D33FC" w14:textId="77901AF5" w:rsidR="00026A4E" w:rsidRPr="005806EB" w:rsidRDefault="00026A4E" w:rsidP="00026A4E">
            <w:pPr>
              <w:jc w:val="right"/>
              <w:rPr>
                <w:rFonts w:cs="Arial"/>
                <w:color w:val="000000"/>
                <w:sz w:val="18"/>
                <w:szCs w:val="18"/>
              </w:rPr>
            </w:pPr>
            <w:r w:rsidRPr="005806EB">
              <w:rPr>
                <w:rFonts w:cs="Arial"/>
                <w:color w:val="FF0000"/>
                <w:sz w:val="18"/>
                <w:szCs w:val="18"/>
              </w:rPr>
              <w:t>(821.497.767)</w:t>
            </w:r>
          </w:p>
        </w:tc>
        <w:tc>
          <w:tcPr>
            <w:tcW w:w="530" w:type="pct"/>
            <w:tcBorders>
              <w:top w:val="nil"/>
              <w:left w:val="nil"/>
              <w:bottom w:val="nil"/>
            </w:tcBorders>
            <w:shd w:val="clear" w:color="auto" w:fill="auto"/>
            <w:noWrap/>
            <w:vAlign w:val="center"/>
            <w:hideMark/>
          </w:tcPr>
          <w:p w14:paraId="16001B19" w14:textId="77777777" w:rsidR="00026A4E" w:rsidRPr="005806EB" w:rsidRDefault="00026A4E" w:rsidP="00026A4E">
            <w:pPr>
              <w:jc w:val="center"/>
              <w:rPr>
                <w:rFonts w:cs="Arial"/>
                <w:color w:val="000000"/>
                <w:sz w:val="18"/>
                <w:szCs w:val="18"/>
              </w:rPr>
            </w:pPr>
            <w:r w:rsidRPr="005806EB">
              <w:rPr>
                <w:rFonts w:cs="Arial"/>
                <w:color w:val="FF0000"/>
                <w:sz w:val="18"/>
                <w:szCs w:val="18"/>
              </w:rPr>
              <w:t>(30,54)</w:t>
            </w:r>
          </w:p>
        </w:tc>
      </w:tr>
      <w:tr w:rsidR="00026A4E" w:rsidRPr="004C6EF5" w14:paraId="0F6D7679" w14:textId="77777777" w:rsidTr="00854644">
        <w:trPr>
          <w:trHeight w:val="340"/>
        </w:trPr>
        <w:tc>
          <w:tcPr>
            <w:tcW w:w="1517" w:type="pct"/>
            <w:tcBorders>
              <w:top w:val="nil"/>
              <w:left w:val="nil"/>
              <w:bottom w:val="nil"/>
              <w:right w:val="single" w:sz="4" w:space="0" w:color="auto"/>
            </w:tcBorders>
            <w:shd w:val="clear" w:color="auto" w:fill="auto"/>
            <w:noWrap/>
            <w:vAlign w:val="center"/>
            <w:hideMark/>
          </w:tcPr>
          <w:p w14:paraId="693D7063" w14:textId="77777777" w:rsidR="00026A4E" w:rsidRPr="004C6EF5" w:rsidRDefault="00026A4E" w:rsidP="00026A4E">
            <w:pPr>
              <w:ind w:left="209"/>
              <w:jc w:val="left"/>
              <w:rPr>
                <w:rFonts w:cs="Arial"/>
                <w:color w:val="000000"/>
                <w:sz w:val="18"/>
                <w:szCs w:val="18"/>
              </w:rPr>
            </w:pPr>
            <w:r w:rsidRPr="004C6EF5">
              <w:rPr>
                <w:rFonts w:cs="Arial"/>
                <w:color w:val="000000"/>
                <w:sz w:val="18"/>
                <w:szCs w:val="18"/>
              </w:rPr>
              <w:t>Agropecuária</w:t>
            </w:r>
          </w:p>
        </w:tc>
        <w:tc>
          <w:tcPr>
            <w:tcW w:w="833" w:type="pct"/>
            <w:tcBorders>
              <w:top w:val="nil"/>
              <w:left w:val="single" w:sz="4" w:space="0" w:color="auto"/>
              <w:bottom w:val="nil"/>
              <w:right w:val="single" w:sz="4" w:space="0" w:color="auto"/>
            </w:tcBorders>
            <w:shd w:val="clear" w:color="auto" w:fill="auto"/>
            <w:noWrap/>
            <w:vAlign w:val="center"/>
            <w:hideMark/>
          </w:tcPr>
          <w:p w14:paraId="750D86C3" w14:textId="3A63E202" w:rsidR="00026A4E" w:rsidRPr="004C6EF5" w:rsidRDefault="00026A4E" w:rsidP="00026A4E">
            <w:pPr>
              <w:jc w:val="right"/>
              <w:rPr>
                <w:rFonts w:cs="Arial"/>
                <w:color w:val="000000"/>
                <w:sz w:val="18"/>
                <w:szCs w:val="18"/>
              </w:rPr>
            </w:pPr>
            <w:r w:rsidRPr="004C6EF5">
              <w:rPr>
                <w:rFonts w:cs="Arial"/>
                <w:color w:val="000000"/>
                <w:sz w:val="18"/>
                <w:szCs w:val="18"/>
              </w:rPr>
              <w:t>181.189</w:t>
            </w:r>
          </w:p>
        </w:tc>
        <w:tc>
          <w:tcPr>
            <w:tcW w:w="379" w:type="pct"/>
            <w:tcBorders>
              <w:top w:val="nil"/>
              <w:left w:val="nil"/>
              <w:right w:val="single" w:sz="4" w:space="0" w:color="auto"/>
            </w:tcBorders>
            <w:vAlign w:val="center"/>
          </w:tcPr>
          <w:p w14:paraId="4849293D" w14:textId="23E4CC08" w:rsidR="00026A4E" w:rsidRPr="004C6EF5" w:rsidRDefault="00026A4E" w:rsidP="00026A4E">
            <w:pPr>
              <w:jc w:val="right"/>
              <w:rPr>
                <w:rFonts w:cs="Arial"/>
                <w:color w:val="000000"/>
                <w:sz w:val="18"/>
                <w:szCs w:val="18"/>
              </w:rPr>
            </w:pPr>
            <w:r w:rsidRPr="004C6EF5">
              <w:rPr>
                <w:rFonts w:cs="Arial"/>
                <w:color w:val="000000"/>
                <w:sz w:val="18"/>
                <w:szCs w:val="18"/>
              </w:rPr>
              <w:t>-</w:t>
            </w:r>
          </w:p>
        </w:tc>
        <w:tc>
          <w:tcPr>
            <w:tcW w:w="909" w:type="pct"/>
            <w:tcBorders>
              <w:top w:val="nil"/>
              <w:left w:val="single" w:sz="4" w:space="0" w:color="auto"/>
              <w:right w:val="single" w:sz="4" w:space="0" w:color="auto"/>
            </w:tcBorders>
            <w:vAlign w:val="center"/>
          </w:tcPr>
          <w:p w14:paraId="4AE0377E" w14:textId="3DDAF01E" w:rsidR="00026A4E" w:rsidRPr="004C6EF5" w:rsidRDefault="00026A4E" w:rsidP="00026A4E">
            <w:pPr>
              <w:jc w:val="right"/>
              <w:rPr>
                <w:rFonts w:cs="Arial"/>
                <w:color w:val="000000"/>
                <w:sz w:val="18"/>
                <w:szCs w:val="18"/>
              </w:rPr>
            </w:pPr>
            <w:r w:rsidRPr="004C6EF5">
              <w:rPr>
                <w:rFonts w:cs="Arial"/>
                <w:color w:val="000000"/>
                <w:sz w:val="18"/>
                <w:szCs w:val="18"/>
              </w:rPr>
              <w:t>-</w:t>
            </w:r>
          </w:p>
        </w:tc>
        <w:tc>
          <w:tcPr>
            <w:tcW w:w="833" w:type="pct"/>
            <w:tcBorders>
              <w:top w:val="nil"/>
              <w:left w:val="single" w:sz="4" w:space="0" w:color="auto"/>
              <w:bottom w:val="nil"/>
              <w:right w:val="single" w:sz="4" w:space="0" w:color="auto"/>
            </w:tcBorders>
            <w:shd w:val="clear" w:color="auto" w:fill="auto"/>
            <w:noWrap/>
            <w:vAlign w:val="center"/>
            <w:hideMark/>
          </w:tcPr>
          <w:p w14:paraId="1CC8F2EA" w14:textId="0409C602" w:rsidR="00026A4E" w:rsidRPr="004C6EF5" w:rsidRDefault="00026A4E" w:rsidP="00026A4E">
            <w:pPr>
              <w:jc w:val="right"/>
              <w:rPr>
                <w:rFonts w:cs="Arial"/>
                <w:color w:val="000000"/>
                <w:sz w:val="18"/>
                <w:szCs w:val="18"/>
              </w:rPr>
            </w:pPr>
            <w:r w:rsidRPr="004C6EF5">
              <w:rPr>
                <w:rFonts w:cs="Arial"/>
                <w:color w:val="000000"/>
                <w:sz w:val="18"/>
                <w:szCs w:val="18"/>
              </w:rPr>
              <w:t>181.189</w:t>
            </w:r>
          </w:p>
        </w:tc>
        <w:tc>
          <w:tcPr>
            <w:tcW w:w="530" w:type="pct"/>
            <w:tcBorders>
              <w:top w:val="nil"/>
              <w:left w:val="nil"/>
              <w:bottom w:val="nil"/>
            </w:tcBorders>
            <w:shd w:val="clear" w:color="auto" w:fill="auto"/>
            <w:noWrap/>
            <w:vAlign w:val="center"/>
            <w:hideMark/>
          </w:tcPr>
          <w:p w14:paraId="641BB3CD" w14:textId="77777777" w:rsidR="00026A4E" w:rsidRPr="004C6EF5" w:rsidRDefault="00026A4E" w:rsidP="00026A4E">
            <w:pPr>
              <w:jc w:val="center"/>
              <w:rPr>
                <w:rFonts w:cs="Arial"/>
                <w:color w:val="000000"/>
                <w:sz w:val="18"/>
                <w:szCs w:val="18"/>
              </w:rPr>
            </w:pPr>
            <w:r>
              <w:rPr>
                <w:rFonts w:cs="Arial"/>
                <w:color w:val="000000"/>
                <w:sz w:val="18"/>
                <w:szCs w:val="18"/>
              </w:rPr>
              <w:t>100,00</w:t>
            </w:r>
          </w:p>
        </w:tc>
      </w:tr>
      <w:tr w:rsidR="00026A4E" w:rsidRPr="005806EB" w14:paraId="276FBAEC" w14:textId="77777777" w:rsidTr="00854644">
        <w:trPr>
          <w:trHeight w:val="340"/>
        </w:trPr>
        <w:tc>
          <w:tcPr>
            <w:tcW w:w="1517" w:type="pct"/>
            <w:tcBorders>
              <w:top w:val="nil"/>
              <w:left w:val="nil"/>
              <w:bottom w:val="nil"/>
              <w:right w:val="single" w:sz="4" w:space="0" w:color="auto"/>
            </w:tcBorders>
            <w:shd w:val="clear" w:color="auto" w:fill="auto"/>
            <w:noWrap/>
            <w:vAlign w:val="center"/>
            <w:hideMark/>
          </w:tcPr>
          <w:p w14:paraId="7566C26A" w14:textId="77777777" w:rsidR="00026A4E" w:rsidRPr="005806EB" w:rsidRDefault="00026A4E" w:rsidP="00026A4E">
            <w:pPr>
              <w:ind w:left="209"/>
              <w:jc w:val="left"/>
              <w:rPr>
                <w:rFonts w:cs="Arial"/>
                <w:color w:val="000000"/>
                <w:sz w:val="18"/>
                <w:szCs w:val="18"/>
              </w:rPr>
            </w:pPr>
            <w:r w:rsidRPr="005806EB">
              <w:rPr>
                <w:rFonts w:cs="Arial"/>
                <w:color w:val="000000"/>
                <w:sz w:val="18"/>
                <w:szCs w:val="18"/>
              </w:rPr>
              <w:t>Serviços</w:t>
            </w:r>
          </w:p>
        </w:tc>
        <w:tc>
          <w:tcPr>
            <w:tcW w:w="833" w:type="pct"/>
            <w:tcBorders>
              <w:top w:val="nil"/>
              <w:left w:val="single" w:sz="4" w:space="0" w:color="auto"/>
              <w:bottom w:val="nil"/>
              <w:right w:val="single" w:sz="4" w:space="0" w:color="auto"/>
            </w:tcBorders>
            <w:shd w:val="clear" w:color="auto" w:fill="auto"/>
            <w:noWrap/>
            <w:vAlign w:val="center"/>
            <w:hideMark/>
          </w:tcPr>
          <w:p w14:paraId="023D6123" w14:textId="16389356" w:rsidR="00026A4E" w:rsidRPr="005806EB" w:rsidRDefault="00026A4E" w:rsidP="00026A4E">
            <w:pPr>
              <w:jc w:val="right"/>
              <w:rPr>
                <w:rFonts w:cs="Arial"/>
                <w:color w:val="000000"/>
                <w:sz w:val="18"/>
                <w:szCs w:val="18"/>
              </w:rPr>
            </w:pPr>
            <w:r w:rsidRPr="005806EB">
              <w:rPr>
                <w:rFonts w:cs="Arial"/>
                <w:color w:val="000000"/>
                <w:sz w:val="18"/>
                <w:szCs w:val="18"/>
              </w:rPr>
              <w:t>943.302.290</w:t>
            </w:r>
          </w:p>
        </w:tc>
        <w:tc>
          <w:tcPr>
            <w:tcW w:w="379" w:type="pct"/>
            <w:tcBorders>
              <w:top w:val="nil"/>
              <w:left w:val="nil"/>
              <w:bottom w:val="nil"/>
              <w:right w:val="single" w:sz="4" w:space="0" w:color="auto"/>
            </w:tcBorders>
            <w:vAlign w:val="center"/>
          </w:tcPr>
          <w:p w14:paraId="0FB99C97" w14:textId="1B742155" w:rsidR="00026A4E" w:rsidRPr="005806EB" w:rsidRDefault="00026A4E" w:rsidP="00026A4E">
            <w:pPr>
              <w:jc w:val="right"/>
              <w:rPr>
                <w:rFonts w:cs="Arial"/>
                <w:color w:val="000000"/>
                <w:sz w:val="18"/>
                <w:szCs w:val="18"/>
              </w:rPr>
            </w:pPr>
            <w:r w:rsidRPr="005806EB">
              <w:rPr>
                <w:rFonts w:cs="Arial"/>
                <w:color w:val="000000"/>
                <w:sz w:val="18"/>
                <w:szCs w:val="18"/>
              </w:rPr>
              <w:t>2,25</w:t>
            </w:r>
          </w:p>
        </w:tc>
        <w:tc>
          <w:tcPr>
            <w:tcW w:w="909" w:type="pct"/>
            <w:tcBorders>
              <w:top w:val="nil"/>
              <w:left w:val="single" w:sz="4" w:space="0" w:color="auto"/>
              <w:bottom w:val="nil"/>
              <w:right w:val="single" w:sz="4" w:space="0" w:color="auto"/>
            </w:tcBorders>
            <w:vAlign w:val="center"/>
          </w:tcPr>
          <w:p w14:paraId="0786718A" w14:textId="133A8C90" w:rsidR="00026A4E" w:rsidRPr="005806EB" w:rsidRDefault="00026A4E" w:rsidP="00026A4E">
            <w:pPr>
              <w:jc w:val="right"/>
              <w:rPr>
                <w:rFonts w:cs="Arial"/>
                <w:color w:val="FF0000"/>
                <w:sz w:val="18"/>
                <w:szCs w:val="18"/>
              </w:rPr>
            </w:pPr>
            <w:r w:rsidRPr="005806EB">
              <w:rPr>
                <w:rFonts w:cs="Arial"/>
                <w:color w:val="000000"/>
                <w:sz w:val="18"/>
                <w:szCs w:val="18"/>
              </w:rPr>
              <w:t>2.169.686.848</w:t>
            </w:r>
          </w:p>
        </w:tc>
        <w:tc>
          <w:tcPr>
            <w:tcW w:w="833" w:type="pct"/>
            <w:tcBorders>
              <w:top w:val="nil"/>
              <w:left w:val="single" w:sz="4" w:space="0" w:color="auto"/>
              <w:bottom w:val="nil"/>
              <w:right w:val="single" w:sz="4" w:space="0" w:color="auto"/>
            </w:tcBorders>
            <w:shd w:val="clear" w:color="auto" w:fill="auto"/>
            <w:noWrap/>
            <w:vAlign w:val="center"/>
            <w:hideMark/>
          </w:tcPr>
          <w:p w14:paraId="097EDD12" w14:textId="7A320C5A" w:rsidR="00026A4E" w:rsidRPr="005806EB" w:rsidRDefault="00026A4E" w:rsidP="00026A4E">
            <w:pPr>
              <w:jc w:val="right"/>
              <w:rPr>
                <w:rFonts w:cs="Arial"/>
                <w:color w:val="000000"/>
                <w:sz w:val="18"/>
                <w:szCs w:val="18"/>
              </w:rPr>
            </w:pPr>
            <w:r w:rsidRPr="005806EB">
              <w:rPr>
                <w:rFonts w:cs="Arial"/>
                <w:color w:val="FF0000"/>
                <w:sz w:val="18"/>
                <w:szCs w:val="18"/>
              </w:rPr>
              <w:t>(1.226.384.558)</w:t>
            </w:r>
          </w:p>
        </w:tc>
        <w:tc>
          <w:tcPr>
            <w:tcW w:w="530" w:type="pct"/>
            <w:tcBorders>
              <w:top w:val="nil"/>
              <w:left w:val="nil"/>
              <w:bottom w:val="nil"/>
            </w:tcBorders>
            <w:shd w:val="clear" w:color="auto" w:fill="auto"/>
            <w:noWrap/>
            <w:vAlign w:val="center"/>
            <w:hideMark/>
          </w:tcPr>
          <w:p w14:paraId="62F3A1E4" w14:textId="77777777" w:rsidR="00026A4E" w:rsidRPr="005806EB" w:rsidRDefault="00026A4E" w:rsidP="00026A4E">
            <w:pPr>
              <w:jc w:val="center"/>
              <w:rPr>
                <w:rFonts w:cs="Arial"/>
                <w:color w:val="000000"/>
                <w:sz w:val="18"/>
                <w:szCs w:val="18"/>
              </w:rPr>
            </w:pPr>
            <w:r w:rsidRPr="005806EB">
              <w:rPr>
                <w:rFonts w:cs="Arial"/>
                <w:color w:val="FF0000"/>
                <w:sz w:val="18"/>
                <w:szCs w:val="18"/>
              </w:rPr>
              <w:t>(56,52)</w:t>
            </w:r>
          </w:p>
        </w:tc>
      </w:tr>
      <w:tr w:rsidR="00026A4E" w:rsidRPr="004C6EF5" w14:paraId="5CD6DE7D" w14:textId="77777777" w:rsidTr="00854644">
        <w:trPr>
          <w:trHeight w:val="340"/>
        </w:trPr>
        <w:tc>
          <w:tcPr>
            <w:tcW w:w="1517" w:type="pct"/>
            <w:tcBorders>
              <w:top w:val="nil"/>
              <w:left w:val="nil"/>
              <w:bottom w:val="nil"/>
              <w:right w:val="single" w:sz="4" w:space="0" w:color="auto"/>
            </w:tcBorders>
            <w:shd w:val="clear" w:color="auto" w:fill="auto"/>
            <w:noWrap/>
            <w:vAlign w:val="center"/>
            <w:hideMark/>
          </w:tcPr>
          <w:p w14:paraId="0462C528" w14:textId="77777777" w:rsidR="00026A4E" w:rsidRPr="004C6EF5" w:rsidRDefault="00026A4E" w:rsidP="00026A4E">
            <w:pPr>
              <w:ind w:left="209"/>
              <w:jc w:val="left"/>
              <w:rPr>
                <w:rFonts w:cs="Arial"/>
                <w:color w:val="000000"/>
                <w:sz w:val="18"/>
                <w:szCs w:val="18"/>
              </w:rPr>
            </w:pPr>
            <w:r w:rsidRPr="004C6EF5">
              <w:rPr>
                <w:rFonts w:cs="Arial"/>
                <w:color w:val="000000"/>
                <w:sz w:val="18"/>
                <w:szCs w:val="18"/>
              </w:rPr>
              <w:t>Transferências Correntes</w:t>
            </w:r>
          </w:p>
        </w:tc>
        <w:tc>
          <w:tcPr>
            <w:tcW w:w="833" w:type="pct"/>
            <w:tcBorders>
              <w:top w:val="nil"/>
              <w:left w:val="single" w:sz="4" w:space="0" w:color="auto"/>
              <w:bottom w:val="nil"/>
              <w:right w:val="single" w:sz="4" w:space="0" w:color="auto"/>
            </w:tcBorders>
            <w:shd w:val="clear" w:color="auto" w:fill="auto"/>
            <w:noWrap/>
            <w:vAlign w:val="center"/>
            <w:hideMark/>
          </w:tcPr>
          <w:p w14:paraId="5C3245B4" w14:textId="2273DB7C" w:rsidR="00026A4E" w:rsidRPr="004C6EF5" w:rsidRDefault="00026A4E" w:rsidP="00026A4E">
            <w:pPr>
              <w:jc w:val="right"/>
              <w:rPr>
                <w:rFonts w:cs="Arial"/>
                <w:color w:val="000000"/>
                <w:sz w:val="18"/>
                <w:szCs w:val="18"/>
              </w:rPr>
            </w:pPr>
            <w:r w:rsidRPr="004C6EF5">
              <w:rPr>
                <w:rFonts w:cs="Arial"/>
                <w:color w:val="000000"/>
                <w:sz w:val="18"/>
                <w:szCs w:val="18"/>
              </w:rPr>
              <w:t>9.720.419.580</w:t>
            </w:r>
          </w:p>
        </w:tc>
        <w:tc>
          <w:tcPr>
            <w:tcW w:w="379" w:type="pct"/>
            <w:tcBorders>
              <w:top w:val="nil"/>
              <w:left w:val="nil"/>
              <w:bottom w:val="nil"/>
              <w:right w:val="single" w:sz="4" w:space="0" w:color="auto"/>
            </w:tcBorders>
            <w:vAlign w:val="center"/>
          </w:tcPr>
          <w:p w14:paraId="7D5C6B5F" w14:textId="512F7CDD" w:rsidR="00026A4E" w:rsidRPr="004C6EF5" w:rsidRDefault="00026A4E" w:rsidP="00026A4E">
            <w:pPr>
              <w:jc w:val="right"/>
              <w:rPr>
                <w:rFonts w:cs="Arial"/>
                <w:color w:val="000000"/>
                <w:sz w:val="18"/>
                <w:szCs w:val="18"/>
              </w:rPr>
            </w:pPr>
            <w:r w:rsidRPr="004C6EF5">
              <w:rPr>
                <w:rFonts w:cs="Arial"/>
                <w:color w:val="000000"/>
                <w:sz w:val="18"/>
                <w:szCs w:val="18"/>
              </w:rPr>
              <w:t>23,15</w:t>
            </w:r>
          </w:p>
        </w:tc>
        <w:tc>
          <w:tcPr>
            <w:tcW w:w="909" w:type="pct"/>
            <w:tcBorders>
              <w:top w:val="nil"/>
              <w:left w:val="single" w:sz="4" w:space="0" w:color="auto"/>
              <w:bottom w:val="nil"/>
              <w:right w:val="single" w:sz="4" w:space="0" w:color="auto"/>
            </w:tcBorders>
            <w:vAlign w:val="center"/>
          </w:tcPr>
          <w:p w14:paraId="61DFFCC7" w14:textId="482F25BC" w:rsidR="00026A4E" w:rsidRPr="004C6EF5" w:rsidRDefault="00026A4E" w:rsidP="00026A4E">
            <w:pPr>
              <w:jc w:val="right"/>
              <w:rPr>
                <w:rFonts w:cs="Arial"/>
                <w:color w:val="000000"/>
                <w:sz w:val="18"/>
                <w:szCs w:val="18"/>
              </w:rPr>
            </w:pPr>
            <w:r w:rsidRPr="004C6EF5">
              <w:rPr>
                <w:rFonts w:cs="Arial"/>
                <w:color w:val="000000"/>
                <w:sz w:val="18"/>
                <w:szCs w:val="18"/>
              </w:rPr>
              <w:t>8.665.005.117</w:t>
            </w:r>
          </w:p>
        </w:tc>
        <w:tc>
          <w:tcPr>
            <w:tcW w:w="833" w:type="pct"/>
            <w:tcBorders>
              <w:top w:val="nil"/>
              <w:left w:val="single" w:sz="4" w:space="0" w:color="auto"/>
              <w:bottom w:val="nil"/>
              <w:right w:val="single" w:sz="4" w:space="0" w:color="auto"/>
            </w:tcBorders>
            <w:shd w:val="clear" w:color="auto" w:fill="auto"/>
            <w:noWrap/>
            <w:vAlign w:val="center"/>
            <w:hideMark/>
          </w:tcPr>
          <w:p w14:paraId="5F288782" w14:textId="39668C6D" w:rsidR="00026A4E" w:rsidRPr="004C6EF5" w:rsidRDefault="00026A4E" w:rsidP="00026A4E">
            <w:pPr>
              <w:jc w:val="right"/>
              <w:rPr>
                <w:rFonts w:cs="Arial"/>
                <w:color w:val="000000"/>
                <w:sz w:val="18"/>
                <w:szCs w:val="18"/>
              </w:rPr>
            </w:pPr>
            <w:r w:rsidRPr="004C6EF5">
              <w:rPr>
                <w:rFonts w:cs="Arial"/>
                <w:color w:val="000000"/>
                <w:sz w:val="18"/>
                <w:szCs w:val="18"/>
              </w:rPr>
              <w:t>1.055.414.464</w:t>
            </w:r>
          </w:p>
        </w:tc>
        <w:tc>
          <w:tcPr>
            <w:tcW w:w="530" w:type="pct"/>
            <w:tcBorders>
              <w:top w:val="nil"/>
              <w:left w:val="nil"/>
              <w:bottom w:val="nil"/>
            </w:tcBorders>
            <w:shd w:val="clear" w:color="auto" w:fill="auto"/>
            <w:noWrap/>
            <w:vAlign w:val="center"/>
            <w:hideMark/>
          </w:tcPr>
          <w:p w14:paraId="30E361F1" w14:textId="77777777" w:rsidR="00026A4E" w:rsidRPr="004C6EF5" w:rsidRDefault="00026A4E" w:rsidP="00026A4E">
            <w:pPr>
              <w:jc w:val="center"/>
              <w:rPr>
                <w:rFonts w:cs="Arial"/>
                <w:color w:val="000000"/>
                <w:sz w:val="18"/>
                <w:szCs w:val="18"/>
              </w:rPr>
            </w:pPr>
            <w:r w:rsidRPr="004C6EF5">
              <w:rPr>
                <w:rFonts w:cs="Arial"/>
                <w:color w:val="000000"/>
                <w:sz w:val="18"/>
                <w:szCs w:val="18"/>
              </w:rPr>
              <w:t>12,18</w:t>
            </w:r>
          </w:p>
        </w:tc>
      </w:tr>
      <w:tr w:rsidR="00026A4E" w:rsidRPr="004C6EF5" w14:paraId="05204CDE" w14:textId="77777777" w:rsidTr="00854644">
        <w:trPr>
          <w:trHeight w:val="340"/>
        </w:trPr>
        <w:tc>
          <w:tcPr>
            <w:tcW w:w="1517" w:type="pct"/>
            <w:tcBorders>
              <w:top w:val="nil"/>
              <w:left w:val="nil"/>
              <w:bottom w:val="nil"/>
              <w:right w:val="single" w:sz="4" w:space="0" w:color="auto"/>
            </w:tcBorders>
            <w:shd w:val="clear" w:color="auto" w:fill="auto"/>
            <w:noWrap/>
            <w:vAlign w:val="center"/>
            <w:hideMark/>
          </w:tcPr>
          <w:p w14:paraId="3A223901" w14:textId="77777777" w:rsidR="00026A4E" w:rsidRPr="005806EB" w:rsidRDefault="00026A4E" w:rsidP="00026A4E">
            <w:pPr>
              <w:ind w:left="209"/>
              <w:jc w:val="left"/>
              <w:rPr>
                <w:rFonts w:cs="Arial"/>
                <w:color w:val="000000"/>
                <w:sz w:val="18"/>
                <w:szCs w:val="18"/>
              </w:rPr>
            </w:pPr>
            <w:r w:rsidRPr="005806EB">
              <w:rPr>
                <w:rFonts w:cs="Arial"/>
                <w:color w:val="000000"/>
                <w:sz w:val="18"/>
                <w:szCs w:val="18"/>
              </w:rPr>
              <w:t>Outras Receitas Correntes</w:t>
            </w:r>
          </w:p>
        </w:tc>
        <w:tc>
          <w:tcPr>
            <w:tcW w:w="833" w:type="pct"/>
            <w:tcBorders>
              <w:top w:val="nil"/>
              <w:left w:val="single" w:sz="4" w:space="0" w:color="auto"/>
              <w:bottom w:val="nil"/>
              <w:right w:val="single" w:sz="4" w:space="0" w:color="auto"/>
            </w:tcBorders>
            <w:shd w:val="clear" w:color="auto" w:fill="auto"/>
            <w:noWrap/>
            <w:vAlign w:val="center"/>
            <w:hideMark/>
          </w:tcPr>
          <w:p w14:paraId="4DF19BCD" w14:textId="18381A4C" w:rsidR="00026A4E" w:rsidRPr="005806EB" w:rsidRDefault="00026A4E" w:rsidP="00026A4E">
            <w:pPr>
              <w:jc w:val="right"/>
              <w:rPr>
                <w:rFonts w:cs="Arial"/>
                <w:color w:val="000000"/>
                <w:sz w:val="18"/>
                <w:szCs w:val="18"/>
              </w:rPr>
            </w:pPr>
            <w:r w:rsidRPr="005806EB">
              <w:rPr>
                <w:rFonts w:cs="Arial"/>
                <w:color w:val="000000"/>
                <w:sz w:val="18"/>
                <w:szCs w:val="18"/>
              </w:rPr>
              <w:t>3.931.437.119</w:t>
            </w:r>
          </w:p>
        </w:tc>
        <w:tc>
          <w:tcPr>
            <w:tcW w:w="379" w:type="pct"/>
            <w:tcBorders>
              <w:top w:val="nil"/>
              <w:left w:val="nil"/>
              <w:bottom w:val="nil"/>
              <w:right w:val="single" w:sz="4" w:space="0" w:color="auto"/>
            </w:tcBorders>
            <w:vAlign w:val="center"/>
          </w:tcPr>
          <w:p w14:paraId="7B30DC7C" w14:textId="25D612F6" w:rsidR="00026A4E" w:rsidRPr="005806EB" w:rsidRDefault="00026A4E" w:rsidP="00026A4E">
            <w:pPr>
              <w:jc w:val="right"/>
              <w:rPr>
                <w:rFonts w:cs="Arial"/>
                <w:color w:val="000000"/>
                <w:sz w:val="18"/>
                <w:szCs w:val="18"/>
              </w:rPr>
            </w:pPr>
            <w:r w:rsidRPr="005806EB">
              <w:rPr>
                <w:rFonts w:cs="Arial"/>
                <w:color w:val="000000"/>
                <w:sz w:val="18"/>
                <w:szCs w:val="18"/>
              </w:rPr>
              <w:t>9,36</w:t>
            </w:r>
          </w:p>
        </w:tc>
        <w:tc>
          <w:tcPr>
            <w:tcW w:w="909" w:type="pct"/>
            <w:tcBorders>
              <w:top w:val="nil"/>
              <w:left w:val="single" w:sz="4" w:space="0" w:color="auto"/>
              <w:bottom w:val="nil"/>
              <w:right w:val="single" w:sz="4" w:space="0" w:color="auto"/>
            </w:tcBorders>
            <w:vAlign w:val="center"/>
          </w:tcPr>
          <w:p w14:paraId="08C9C49D" w14:textId="53C78AB1" w:rsidR="00026A4E" w:rsidRPr="005806EB" w:rsidRDefault="00026A4E" w:rsidP="00026A4E">
            <w:pPr>
              <w:jc w:val="right"/>
              <w:rPr>
                <w:rFonts w:cs="Arial"/>
                <w:color w:val="000000"/>
                <w:sz w:val="18"/>
                <w:szCs w:val="18"/>
              </w:rPr>
            </w:pPr>
            <w:r w:rsidRPr="005806EB">
              <w:rPr>
                <w:rFonts w:cs="Arial"/>
                <w:color w:val="000000"/>
                <w:sz w:val="18"/>
                <w:szCs w:val="18"/>
              </w:rPr>
              <w:t>2.568.205.126</w:t>
            </w:r>
          </w:p>
        </w:tc>
        <w:tc>
          <w:tcPr>
            <w:tcW w:w="833" w:type="pct"/>
            <w:tcBorders>
              <w:top w:val="nil"/>
              <w:left w:val="single" w:sz="4" w:space="0" w:color="auto"/>
              <w:bottom w:val="nil"/>
              <w:right w:val="single" w:sz="4" w:space="0" w:color="auto"/>
            </w:tcBorders>
            <w:shd w:val="clear" w:color="auto" w:fill="auto"/>
            <w:noWrap/>
            <w:vAlign w:val="center"/>
            <w:hideMark/>
          </w:tcPr>
          <w:p w14:paraId="29F0FDC5" w14:textId="012D806B" w:rsidR="00026A4E" w:rsidRPr="005806EB" w:rsidRDefault="00026A4E" w:rsidP="00026A4E">
            <w:pPr>
              <w:jc w:val="right"/>
              <w:rPr>
                <w:rFonts w:cs="Arial"/>
                <w:color w:val="000000"/>
                <w:sz w:val="18"/>
                <w:szCs w:val="18"/>
              </w:rPr>
            </w:pPr>
            <w:r w:rsidRPr="005806EB">
              <w:rPr>
                <w:rFonts w:cs="Arial"/>
                <w:color w:val="000000"/>
                <w:sz w:val="18"/>
                <w:szCs w:val="18"/>
              </w:rPr>
              <w:t>1.363.231.994</w:t>
            </w:r>
          </w:p>
        </w:tc>
        <w:tc>
          <w:tcPr>
            <w:tcW w:w="530" w:type="pct"/>
            <w:tcBorders>
              <w:top w:val="nil"/>
              <w:left w:val="nil"/>
              <w:bottom w:val="nil"/>
            </w:tcBorders>
            <w:shd w:val="clear" w:color="auto" w:fill="auto"/>
            <w:noWrap/>
            <w:vAlign w:val="center"/>
            <w:hideMark/>
          </w:tcPr>
          <w:p w14:paraId="1D4430E1" w14:textId="77777777" w:rsidR="00026A4E" w:rsidRPr="005806EB" w:rsidRDefault="00026A4E" w:rsidP="00026A4E">
            <w:pPr>
              <w:jc w:val="center"/>
              <w:rPr>
                <w:rFonts w:cs="Arial"/>
                <w:color w:val="000000"/>
                <w:sz w:val="18"/>
                <w:szCs w:val="18"/>
              </w:rPr>
            </w:pPr>
            <w:r w:rsidRPr="005806EB">
              <w:rPr>
                <w:rFonts w:cs="Arial"/>
                <w:color w:val="000000"/>
                <w:sz w:val="18"/>
                <w:szCs w:val="18"/>
              </w:rPr>
              <w:t>53,08</w:t>
            </w:r>
          </w:p>
        </w:tc>
      </w:tr>
      <w:tr w:rsidR="00026A4E" w:rsidRPr="004C6EF5" w14:paraId="08990C13" w14:textId="77777777" w:rsidTr="00854644">
        <w:trPr>
          <w:trHeight w:val="340"/>
        </w:trPr>
        <w:tc>
          <w:tcPr>
            <w:tcW w:w="1517" w:type="pct"/>
            <w:tcBorders>
              <w:top w:val="nil"/>
              <w:left w:val="nil"/>
              <w:bottom w:val="nil"/>
              <w:right w:val="single" w:sz="4" w:space="0" w:color="auto"/>
            </w:tcBorders>
            <w:shd w:val="clear" w:color="auto" w:fill="auto"/>
            <w:noWrap/>
            <w:vAlign w:val="center"/>
            <w:hideMark/>
          </w:tcPr>
          <w:p w14:paraId="433185F6" w14:textId="77777777" w:rsidR="00026A4E" w:rsidRPr="004C6EF5" w:rsidRDefault="00026A4E" w:rsidP="00026A4E">
            <w:pPr>
              <w:jc w:val="left"/>
              <w:rPr>
                <w:rFonts w:cs="Arial"/>
                <w:b/>
                <w:bCs/>
                <w:color w:val="000000"/>
                <w:sz w:val="18"/>
                <w:szCs w:val="18"/>
              </w:rPr>
            </w:pPr>
            <w:r w:rsidRPr="004C6EF5">
              <w:rPr>
                <w:rFonts w:cs="Arial"/>
                <w:b/>
                <w:bCs/>
                <w:color w:val="000000"/>
                <w:sz w:val="18"/>
                <w:szCs w:val="18"/>
              </w:rPr>
              <w:t>Receitas de Capital</w:t>
            </w:r>
          </w:p>
        </w:tc>
        <w:tc>
          <w:tcPr>
            <w:tcW w:w="833" w:type="pct"/>
            <w:tcBorders>
              <w:top w:val="nil"/>
              <w:left w:val="single" w:sz="4" w:space="0" w:color="auto"/>
              <w:bottom w:val="nil"/>
              <w:right w:val="single" w:sz="4" w:space="0" w:color="auto"/>
            </w:tcBorders>
            <w:shd w:val="clear" w:color="auto" w:fill="auto"/>
            <w:noWrap/>
            <w:vAlign w:val="center"/>
            <w:hideMark/>
          </w:tcPr>
          <w:p w14:paraId="5DED19BD" w14:textId="5E9DBE74" w:rsidR="00026A4E" w:rsidRPr="004C6EF5" w:rsidRDefault="00026A4E" w:rsidP="00026A4E">
            <w:pPr>
              <w:jc w:val="right"/>
              <w:rPr>
                <w:rFonts w:cs="Arial"/>
                <w:b/>
                <w:color w:val="000000"/>
                <w:sz w:val="18"/>
                <w:szCs w:val="18"/>
              </w:rPr>
            </w:pPr>
            <w:r w:rsidRPr="004C6EF5">
              <w:rPr>
                <w:rFonts w:cs="Arial"/>
                <w:b/>
                <w:color w:val="000000"/>
                <w:sz w:val="18"/>
                <w:szCs w:val="18"/>
              </w:rPr>
              <w:t>170.585.248</w:t>
            </w:r>
          </w:p>
        </w:tc>
        <w:tc>
          <w:tcPr>
            <w:tcW w:w="379" w:type="pct"/>
            <w:tcBorders>
              <w:top w:val="nil"/>
              <w:left w:val="nil"/>
              <w:bottom w:val="nil"/>
              <w:right w:val="single" w:sz="4" w:space="0" w:color="auto"/>
            </w:tcBorders>
            <w:vAlign w:val="center"/>
          </w:tcPr>
          <w:p w14:paraId="14933024" w14:textId="20A237B1" w:rsidR="00026A4E" w:rsidRPr="004C6EF5" w:rsidRDefault="00026A4E" w:rsidP="00026A4E">
            <w:pPr>
              <w:jc w:val="right"/>
              <w:rPr>
                <w:rFonts w:cs="Arial"/>
                <w:b/>
                <w:color w:val="000000"/>
                <w:sz w:val="18"/>
                <w:szCs w:val="18"/>
              </w:rPr>
            </w:pPr>
            <w:r w:rsidRPr="004C6EF5">
              <w:rPr>
                <w:rFonts w:cs="Arial"/>
                <w:b/>
                <w:color w:val="000000"/>
                <w:sz w:val="18"/>
                <w:szCs w:val="18"/>
              </w:rPr>
              <w:t>0,41</w:t>
            </w:r>
          </w:p>
        </w:tc>
        <w:tc>
          <w:tcPr>
            <w:tcW w:w="909" w:type="pct"/>
            <w:tcBorders>
              <w:top w:val="nil"/>
              <w:left w:val="single" w:sz="4" w:space="0" w:color="auto"/>
              <w:bottom w:val="nil"/>
              <w:right w:val="single" w:sz="4" w:space="0" w:color="auto"/>
            </w:tcBorders>
            <w:vAlign w:val="center"/>
          </w:tcPr>
          <w:p w14:paraId="70CDA035" w14:textId="292089A2" w:rsidR="00026A4E" w:rsidRPr="004C6EF5" w:rsidRDefault="00026A4E" w:rsidP="00026A4E">
            <w:pPr>
              <w:jc w:val="right"/>
              <w:rPr>
                <w:rFonts w:cs="Arial"/>
                <w:b/>
                <w:color w:val="FF0000"/>
                <w:sz w:val="18"/>
                <w:szCs w:val="18"/>
              </w:rPr>
            </w:pPr>
            <w:r w:rsidRPr="004C6EF5">
              <w:rPr>
                <w:rFonts w:cs="Arial"/>
                <w:b/>
                <w:color w:val="000000"/>
                <w:sz w:val="18"/>
                <w:szCs w:val="18"/>
              </w:rPr>
              <w:t>3.217.171.544</w:t>
            </w:r>
          </w:p>
        </w:tc>
        <w:tc>
          <w:tcPr>
            <w:tcW w:w="833" w:type="pct"/>
            <w:tcBorders>
              <w:top w:val="nil"/>
              <w:left w:val="single" w:sz="4" w:space="0" w:color="auto"/>
              <w:bottom w:val="nil"/>
              <w:right w:val="single" w:sz="4" w:space="0" w:color="auto"/>
            </w:tcBorders>
            <w:shd w:val="clear" w:color="auto" w:fill="auto"/>
            <w:noWrap/>
            <w:vAlign w:val="center"/>
            <w:hideMark/>
          </w:tcPr>
          <w:p w14:paraId="08E6E9E8" w14:textId="3F24578E" w:rsidR="00026A4E" w:rsidRPr="004C6EF5" w:rsidRDefault="00026A4E" w:rsidP="00026A4E">
            <w:pPr>
              <w:jc w:val="right"/>
              <w:rPr>
                <w:rFonts w:cs="Arial"/>
                <w:b/>
                <w:color w:val="000000"/>
                <w:sz w:val="18"/>
                <w:szCs w:val="18"/>
              </w:rPr>
            </w:pPr>
            <w:r w:rsidRPr="004C6EF5">
              <w:rPr>
                <w:rFonts w:cs="Arial"/>
                <w:b/>
                <w:color w:val="FF0000"/>
                <w:sz w:val="18"/>
                <w:szCs w:val="18"/>
              </w:rPr>
              <w:t>(3.046.586.296)</w:t>
            </w:r>
          </w:p>
        </w:tc>
        <w:tc>
          <w:tcPr>
            <w:tcW w:w="530" w:type="pct"/>
            <w:tcBorders>
              <w:top w:val="nil"/>
              <w:left w:val="nil"/>
              <w:bottom w:val="nil"/>
            </w:tcBorders>
            <w:shd w:val="clear" w:color="auto" w:fill="auto"/>
            <w:noWrap/>
            <w:vAlign w:val="center"/>
            <w:hideMark/>
          </w:tcPr>
          <w:p w14:paraId="1DA81C29" w14:textId="77777777" w:rsidR="00026A4E" w:rsidRPr="004C6EF5" w:rsidRDefault="00026A4E" w:rsidP="00026A4E">
            <w:pPr>
              <w:jc w:val="center"/>
              <w:rPr>
                <w:rFonts w:cs="Arial"/>
                <w:b/>
                <w:color w:val="000000"/>
                <w:sz w:val="18"/>
                <w:szCs w:val="18"/>
              </w:rPr>
            </w:pPr>
            <w:r w:rsidRPr="004C6EF5">
              <w:rPr>
                <w:rFonts w:cs="Arial"/>
                <w:b/>
                <w:color w:val="FF0000"/>
                <w:sz w:val="18"/>
                <w:szCs w:val="18"/>
              </w:rPr>
              <w:t>(94,70)</w:t>
            </w:r>
          </w:p>
        </w:tc>
      </w:tr>
      <w:tr w:rsidR="00026A4E" w:rsidRPr="004C6EF5" w14:paraId="652C532B" w14:textId="77777777" w:rsidTr="00854644">
        <w:trPr>
          <w:trHeight w:val="340"/>
        </w:trPr>
        <w:tc>
          <w:tcPr>
            <w:tcW w:w="1517" w:type="pct"/>
            <w:tcBorders>
              <w:top w:val="nil"/>
              <w:left w:val="nil"/>
              <w:bottom w:val="nil"/>
              <w:right w:val="single" w:sz="4" w:space="0" w:color="auto"/>
            </w:tcBorders>
            <w:shd w:val="clear" w:color="auto" w:fill="auto"/>
            <w:noWrap/>
            <w:vAlign w:val="center"/>
            <w:hideMark/>
          </w:tcPr>
          <w:p w14:paraId="7270D9C4" w14:textId="77777777" w:rsidR="00026A4E" w:rsidRPr="004C6EF5" w:rsidRDefault="00026A4E" w:rsidP="00026A4E">
            <w:pPr>
              <w:ind w:left="209"/>
              <w:jc w:val="left"/>
              <w:rPr>
                <w:rFonts w:cs="Arial"/>
                <w:color w:val="000000"/>
                <w:sz w:val="18"/>
                <w:szCs w:val="18"/>
              </w:rPr>
            </w:pPr>
            <w:r w:rsidRPr="004C6EF5">
              <w:rPr>
                <w:rFonts w:cs="Arial"/>
                <w:color w:val="000000"/>
                <w:sz w:val="18"/>
                <w:szCs w:val="18"/>
              </w:rPr>
              <w:t>Operações de Crédito</w:t>
            </w:r>
          </w:p>
        </w:tc>
        <w:tc>
          <w:tcPr>
            <w:tcW w:w="833" w:type="pct"/>
            <w:tcBorders>
              <w:top w:val="nil"/>
              <w:left w:val="single" w:sz="4" w:space="0" w:color="auto"/>
              <w:bottom w:val="nil"/>
              <w:right w:val="single" w:sz="4" w:space="0" w:color="auto"/>
            </w:tcBorders>
            <w:shd w:val="clear" w:color="auto" w:fill="auto"/>
            <w:noWrap/>
            <w:vAlign w:val="center"/>
            <w:hideMark/>
          </w:tcPr>
          <w:p w14:paraId="6E5F1C20" w14:textId="728BD1CD" w:rsidR="00026A4E" w:rsidRPr="004C6EF5" w:rsidRDefault="00026A4E" w:rsidP="00026A4E">
            <w:pPr>
              <w:jc w:val="right"/>
              <w:rPr>
                <w:rFonts w:cs="Arial"/>
                <w:color w:val="000000"/>
                <w:sz w:val="18"/>
                <w:szCs w:val="18"/>
              </w:rPr>
            </w:pPr>
            <w:r w:rsidRPr="004C6EF5">
              <w:rPr>
                <w:rFonts w:cs="Arial"/>
                <w:color w:val="000000"/>
                <w:sz w:val="18"/>
                <w:szCs w:val="18"/>
              </w:rPr>
              <w:t>-</w:t>
            </w:r>
          </w:p>
        </w:tc>
        <w:tc>
          <w:tcPr>
            <w:tcW w:w="379" w:type="pct"/>
            <w:tcBorders>
              <w:top w:val="nil"/>
              <w:left w:val="nil"/>
              <w:bottom w:val="nil"/>
              <w:right w:val="single" w:sz="4" w:space="0" w:color="auto"/>
            </w:tcBorders>
            <w:vAlign w:val="center"/>
          </w:tcPr>
          <w:p w14:paraId="450001D5" w14:textId="0A3F505B" w:rsidR="00026A4E" w:rsidRPr="004C6EF5" w:rsidRDefault="00026A4E" w:rsidP="00026A4E">
            <w:pPr>
              <w:jc w:val="right"/>
              <w:rPr>
                <w:rFonts w:cs="Arial"/>
                <w:color w:val="000000"/>
                <w:sz w:val="18"/>
                <w:szCs w:val="18"/>
              </w:rPr>
            </w:pPr>
            <w:r w:rsidRPr="004C6EF5">
              <w:rPr>
                <w:rFonts w:cs="Arial"/>
                <w:color w:val="000000"/>
                <w:sz w:val="18"/>
                <w:szCs w:val="18"/>
              </w:rPr>
              <w:t>-</w:t>
            </w:r>
          </w:p>
        </w:tc>
        <w:tc>
          <w:tcPr>
            <w:tcW w:w="909" w:type="pct"/>
            <w:tcBorders>
              <w:top w:val="nil"/>
              <w:left w:val="single" w:sz="4" w:space="0" w:color="auto"/>
              <w:bottom w:val="nil"/>
              <w:right w:val="single" w:sz="4" w:space="0" w:color="auto"/>
            </w:tcBorders>
            <w:vAlign w:val="center"/>
          </w:tcPr>
          <w:p w14:paraId="4B04AA6D" w14:textId="604CE3D1" w:rsidR="00026A4E" w:rsidRPr="004C6EF5" w:rsidRDefault="00026A4E" w:rsidP="00026A4E">
            <w:pPr>
              <w:jc w:val="right"/>
              <w:rPr>
                <w:rFonts w:cs="Arial"/>
                <w:color w:val="FF0000"/>
                <w:sz w:val="18"/>
                <w:szCs w:val="18"/>
              </w:rPr>
            </w:pPr>
            <w:r w:rsidRPr="004C6EF5">
              <w:rPr>
                <w:rFonts w:cs="Arial"/>
                <w:color w:val="000000"/>
                <w:sz w:val="18"/>
                <w:szCs w:val="18"/>
              </w:rPr>
              <w:t>2.494.249.732</w:t>
            </w:r>
          </w:p>
        </w:tc>
        <w:tc>
          <w:tcPr>
            <w:tcW w:w="833" w:type="pct"/>
            <w:tcBorders>
              <w:top w:val="nil"/>
              <w:left w:val="single" w:sz="4" w:space="0" w:color="auto"/>
              <w:bottom w:val="nil"/>
              <w:right w:val="single" w:sz="4" w:space="0" w:color="auto"/>
            </w:tcBorders>
            <w:shd w:val="clear" w:color="auto" w:fill="auto"/>
            <w:noWrap/>
            <w:vAlign w:val="center"/>
            <w:hideMark/>
          </w:tcPr>
          <w:p w14:paraId="58C255E6" w14:textId="562FAA29" w:rsidR="00026A4E" w:rsidRPr="004C6EF5" w:rsidRDefault="00026A4E" w:rsidP="00026A4E">
            <w:pPr>
              <w:jc w:val="right"/>
              <w:rPr>
                <w:rFonts w:cs="Arial"/>
                <w:color w:val="000000"/>
                <w:sz w:val="18"/>
                <w:szCs w:val="18"/>
              </w:rPr>
            </w:pPr>
            <w:r w:rsidRPr="004C6EF5">
              <w:rPr>
                <w:rFonts w:cs="Arial"/>
                <w:color w:val="FF0000"/>
                <w:sz w:val="18"/>
                <w:szCs w:val="18"/>
              </w:rPr>
              <w:t>(2.494.249.732)</w:t>
            </w:r>
          </w:p>
        </w:tc>
        <w:tc>
          <w:tcPr>
            <w:tcW w:w="530" w:type="pct"/>
            <w:tcBorders>
              <w:top w:val="nil"/>
              <w:left w:val="nil"/>
              <w:bottom w:val="nil"/>
            </w:tcBorders>
            <w:shd w:val="clear" w:color="auto" w:fill="auto"/>
            <w:noWrap/>
            <w:vAlign w:val="center"/>
            <w:hideMark/>
          </w:tcPr>
          <w:p w14:paraId="326649B3" w14:textId="77777777" w:rsidR="00026A4E" w:rsidRPr="004C6EF5" w:rsidRDefault="00026A4E" w:rsidP="00026A4E">
            <w:pPr>
              <w:jc w:val="center"/>
              <w:rPr>
                <w:rFonts w:cs="Arial"/>
                <w:color w:val="000000"/>
                <w:sz w:val="18"/>
                <w:szCs w:val="18"/>
              </w:rPr>
            </w:pPr>
            <w:r w:rsidRPr="008B3D7C">
              <w:rPr>
                <w:rFonts w:cs="Arial"/>
                <w:color w:val="FF0000"/>
                <w:sz w:val="18"/>
                <w:szCs w:val="18"/>
              </w:rPr>
              <w:t>(100,00)</w:t>
            </w:r>
          </w:p>
        </w:tc>
      </w:tr>
      <w:tr w:rsidR="00026A4E" w:rsidRPr="004C6EF5" w14:paraId="64DBD283" w14:textId="77777777" w:rsidTr="00854644">
        <w:trPr>
          <w:trHeight w:val="340"/>
        </w:trPr>
        <w:tc>
          <w:tcPr>
            <w:tcW w:w="1517" w:type="pct"/>
            <w:tcBorders>
              <w:top w:val="nil"/>
              <w:left w:val="nil"/>
              <w:bottom w:val="nil"/>
              <w:right w:val="single" w:sz="4" w:space="0" w:color="auto"/>
            </w:tcBorders>
            <w:shd w:val="clear" w:color="auto" w:fill="auto"/>
            <w:noWrap/>
            <w:vAlign w:val="center"/>
            <w:hideMark/>
          </w:tcPr>
          <w:p w14:paraId="707F8EA1" w14:textId="77777777" w:rsidR="00026A4E" w:rsidRPr="004C6EF5" w:rsidRDefault="00026A4E" w:rsidP="00026A4E">
            <w:pPr>
              <w:ind w:left="209"/>
              <w:jc w:val="left"/>
              <w:rPr>
                <w:rFonts w:cs="Arial"/>
                <w:color w:val="000000"/>
                <w:sz w:val="18"/>
                <w:szCs w:val="18"/>
              </w:rPr>
            </w:pPr>
            <w:r w:rsidRPr="004C6EF5">
              <w:rPr>
                <w:rFonts w:cs="Arial"/>
                <w:color w:val="000000"/>
                <w:sz w:val="18"/>
                <w:szCs w:val="18"/>
              </w:rPr>
              <w:t>Alienação de Bens</w:t>
            </w:r>
          </w:p>
        </w:tc>
        <w:tc>
          <w:tcPr>
            <w:tcW w:w="833" w:type="pct"/>
            <w:tcBorders>
              <w:top w:val="nil"/>
              <w:left w:val="single" w:sz="4" w:space="0" w:color="auto"/>
              <w:bottom w:val="nil"/>
              <w:right w:val="single" w:sz="4" w:space="0" w:color="auto"/>
            </w:tcBorders>
            <w:shd w:val="clear" w:color="auto" w:fill="auto"/>
            <w:noWrap/>
            <w:vAlign w:val="center"/>
            <w:hideMark/>
          </w:tcPr>
          <w:p w14:paraId="688FB9E9" w14:textId="0F053441" w:rsidR="00026A4E" w:rsidRPr="004C6EF5" w:rsidRDefault="00026A4E" w:rsidP="00026A4E">
            <w:pPr>
              <w:jc w:val="right"/>
              <w:rPr>
                <w:rFonts w:cs="Arial"/>
                <w:color w:val="000000"/>
                <w:sz w:val="18"/>
                <w:szCs w:val="18"/>
              </w:rPr>
            </w:pPr>
            <w:r w:rsidRPr="004C6EF5">
              <w:rPr>
                <w:rFonts w:cs="Arial"/>
                <w:color w:val="000000"/>
                <w:sz w:val="18"/>
                <w:szCs w:val="18"/>
              </w:rPr>
              <w:t>6.980.814</w:t>
            </w:r>
          </w:p>
        </w:tc>
        <w:tc>
          <w:tcPr>
            <w:tcW w:w="379" w:type="pct"/>
            <w:tcBorders>
              <w:top w:val="nil"/>
              <w:left w:val="nil"/>
              <w:bottom w:val="nil"/>
              <w:right w:val="single" w:sz="4" w:space="0" w:color="auto"/>
            </w:tcBorders>
            <w:vAlign w:val="center"/>
          </w:tcPr>
          <w:p w14:paraId="0BADD785" w14:textId="39FA5860" w:rsidR="00026A4E" w:rsidRPr="004C6EF5" w:rsidRDefault="00026A4E" w:rsidP="00026A4E">
            <w:pPr>
              <w:jc w:val="right"/>
              <w:rPr>
                <w:rFonts w:cs="Arial"/>
                <w:color w:val="000000"/>
                <w:sz w:val="18"/>
                <w:szCs w:val="18"/>
              </w:rPr>
            </w:pPr>
            <w:r w:rsidRPr="004C6EF5">
              <w:rPr>
                <w:rFonts w:cs="Arial"/>
                <w:color w:val="000000"/>
                <w:sz w:val="18"/>
                <w:szCs w:val="18"/>
              </w:rPr>
              <w:t>0,02</w:t>
            </w:r>
          </w:p>
        </w:tc>
        <w:tc>
          <w:tcPr>
            <w:tcW w:w="909" w:type="pct"/>
            <w:tcBorders>
              <w:top w:val="nil"/>
              <w:left w:val="single" w:sz="4" w:space="0" w:color="auto"/>
              <w:bottom w:val="nil"/>
              <w:right w:val="single" w:sz="4" w:space="0" w:color="auto"/>
            </w:tcBorders>
            <w:vAlign w:val="center"/>
          </w:tcPr>
          <w:p w14:paraId="7A192D9F" w14:textId="00CCAC36" w:rsidR="00026A4E" w:rsidRPr="004C6EF5" w:rsidRDefault="00026A4E" w:rsidP="00026A4E">
            <w:pPr>
              <w:jc w:val="right"/>
              <w:rPr>
                <w:rFonts w:cs="Arial"/>
                <w:color w:val="FF0000"/>
                <w:sz w:val="18"/>
                <w:szCs w:val="18"/>
              </w:rPr>
            </w:pPr>
            <w:r w:rsidRPr="004C6EF5">
              <w:rPr>
                <w:rFonts w:cs="Arial"/>
                <w:color w:val="000000"/>
                <w:sz w:val="18"/>
                <w:szCs w:val="18"/>
              </w:rPr>
              <w:t>586.904.572</w:t>
            </w:r>
          </w:p>
        </w:tc>
        <w:tc>
          <w:tcPr>
            <w:tcW w:w="833" w:type="pct"/>
            <w:tcBorders>
              <w:top w:val="nil"/>
              <w:left w:val="single" w:sz="4" w:space="0" w:color="auto"/>
              <w:bottom w:val="nil"/>
              <w:right w:val="single" w:sz="4" w:space="0" w:color="auto"/>
            </w:tcBorders>
            <w:shd w:val="clear" w:color="auto" w:fill="auto"/>
            <w:noWrap/>
            <w:vAlign w:val="center"/>
            <w:hideMark/>
          </w:tcPr>
          <w:p w14:paraId="517433E3" w14:textId="74B77DB5" w:rsidR="00026A4E" w:rsidRPr="004C6EF5" w:rsidRDefault="00026A4E" w:rsidP="00026A4E">
            <w:pPr>
              <w:jc w:val="right"/>
              <w:rPr>
                <w:rFonts w:cs="Arial"/>
                <w:color w:val="000000"/>
                <w:sz w:val="18"/>
                <w:szCs w:val="18"/>
              </w:rPr>
            </w:pPr>
            <w:r w:rsidRPr="004C6EF5">
              <w:rPr>
                <w:rFonts w:cs="Arial"/>
                <w:color w:val="FF0000"/>
                <w:sz w:val="18"/>
                <w:szCs w:val="18"/>
              </w:rPr>
              <w:t>(579.923.759)</w:t>
            </w:r>
          </w:p>
        </w:tc>
        <w:tc>
          <w:tcPr>
            <w:tcW w:w="530" w:type="pct"/>
            <w:tcBorders>
              <w:top w:val="nil"/>
              <w:left w:val="nil"/>
              <w:bottom w:val="nil"/>
            </w:tcBorders>
            <w:shd w:val="clear" w:color="auto" w:fill="auto"/>
            <w:noWrap/>
            <w:vAlign w:val="center"/>
            <w:hideMark/>
          </w:tcPr>
          <w:p w14:paraId="71F761B4" w14:textId="77777777" w:rsidR="00026A4E" w:rsidRPr="004C6EF5" w:rsidRDefault="00026A4E" w:rsidP="00026A4E">
            <w:pPr>
              <w:jc w:val="center"/>
              <w:rPr>
                <w:rFonts w:cs="Arial"/>
                <w:color w:val="000000"/>
                <w:sz w:val="18"/>
                <w:szCs w:val="18"/>
              </w:rPr>
            </w:pPr>
            <w:r w:rsidRPr="004C6EF5">
              <w:rPr>
                <w:rFonts w:cs="Arial"/>
                <w:color w:val="FF0000"/>
                <w:sz w:val="18"/>
                <w:szCs w:val="18"/>
              </w:rPr>
              <w:t>(98,81)</w:t>
            </w:r>
          </w:p>
        </w:tc>
      </w:tr>
      <w:tr w:rsidR="00026A4E" w:rsidRPr="004C6EF5" w14:paraId="47D41ECA" w14:textId="77777777" w:rsidTr="00854644">
        <w:trPr>
          <w:trHeight w:val="340"/>
        </w:trPr>
        <w:tc>
          <w:tcPr>
            <w:tcW w:w="1517" w:type="pct"/>
            <w:tcBorders>
              <w:top w:val="nil"/>
              <w:left w:val="nil"/>
              <w:bottom w:val="nil"/>
              <w:right w:val="single" w:sz="4" w:space="0" w:color="auto"/>
            </w:tcBorders>
            <w:shd w:val="clear" w:color="auto" w:fill="auto"/>
            <w:noWrap/>
            <w:vAlign w:val="center"/>
            <w:hideMark/>
          </w:tcPr>
          <w:p w14:paraId="6027DC21" w14:textId="77777777" w:rsidR="00026A4E" w:rsidRPr="004C6EF5" w:rsidRDefault="00026A4E" w:rsidP="00026A4E">
            <w:pPr>
              <w:ind w:left="209"/>
              <w:jc w:val="left"/>
              <w:rPr>
                <w:rFonts w:cs="Arial"/>
                <w:color w:val="000000"/>
                <w:sz w:val="18"/>
                <w:szCs w:val="18"/>
              </w:rPr>
            </w:pPr>
            <w:r w:rsidRPr="004C6EF5">
              <w:rPr>
                <w:rFonts w:cs="Arial"/>
                <w:color w:val="000000"/>
                <w:sz w:val="18"/>
                <w:szCs w:val="18"/>
              </w:rPr>
              <w:t>Amortizações de Empréstimos</w:t>
            </w:r>
          </w:p>
        </w:tc>
        <w:tc>
          <w:tcPr>
            <w:tcW w:w="833" w:type="pct"/>
            <w:tcBorders>
              <w:top w:val="nil"/>
              <w:left w:val="single" w:sz="4" w:space="0" w:color="auto"/>
              <w:bottom w:val="nil"/>
              <w:right w:val="single" w:sz="4" w:space="0" w:color="auto"/>
            </w:tcBorders>
            <w:shd w:val="clear" w:color="auto" w:fill="auto"/>
            <w:noWrap/>
            <w:vAlign w:val="center"/>
            <w:hideMark/>
          </w:tcPr>
          <w:p w14:paraId="7434D772" w14:textId="35B0A271" w:rsidR="00026A4E" w:rsidRPr="004C6EF5" w:rsidRDefault="00026A4E" w:rsidP="00026A4E">
            <w:pPr>
              <w:jc w:val="right"/>
              <w:rPr>
                <w:rFonts w:cs="Arial"/>
                <w:color w:val="000000"/>
                <w:sz w:val="18"/>
                <w:szCs w:val="18"/>
              </w:rPr>
            </w:pPr>
            <w:r w:rsidRPr="004C6EF5">
              <w:rPr>
                <w:rFonts w:cs="Arial"/>
                <w:color w:val="000000"/>
                <w:sz w:val="18"/>
                <w:szCs w:val="18"/>
              </w:rPr>
              <w:t>13.980.203</w:t>
            </w:r>
          </w:p>
        </w:tc>
        <w:tc>
          <w:tcPr>
            <w:tcW w:w="379" w:type="pct"/>
            <w:tcBorders>
              <w:top w:val="nil"/>
              <w:left w:val="nil"/>
              <w:bottom w:val="nil"/>
              <w:right w:val="single" w:sz="4" w:space="0" w:color="auto"/>
            </w:tcBorders>
            <w:vAlign w:val="center"/>
          </w:tcPr>
          <w:p w14:paraId="3B667AEF" w14:textId="541D1FE2" w:rsidR="00026A4E" w:rsidRPr="004C6EF5" w:rsidRDefault="00026A4E" w:rsidP="00026A4E">
            <w:pPr>
              <w:jc w:val="right"/>
              <w:rPr>
                <w:rFonts w:cs="Arial"/>
                <w:color w:val="000000"/>
                <w:sz w:val="18"/>
                <w:szCs w:val="18"/>
              </w:rPr>
            </w:pPr>
            <w:r w:rsidRPr="004C6EF5">
              <w:rPr>
                <w:rFonts w:cs="Arial"/>
                <w:color w:val="000000"/>
                <w:sz w:val="18"/>
                <w:szCs w:val="18"/>
              </w:rPr>
              <w:t>0,03</w:t>
            </w:r>
          </w:p>
        </w:tc>
        <w:tc>
          <w:tcPr>
            <w:tcW w:w="909" w:type="pct"/>
            <w:tcBorders>
              <w:top w:val="nil"/>
              <w:left w:val="single" w:sz="4" w:space="0" w:color="auto"/>
              <w:bottom w:val="nil"/>
              <w:right w:val="single" w:sz="4" w:space="0" w:color="auto"/>
            </w:tcBorders>
            <w:vAlign w:val="center"/>
          </w:tcPr>
          <w:p w14:paraId="73A5CB23" w14:textId="46F73A94" w:rsidR="00026A4E" w:rsidRPr="004C6EF5" w:rsidRDefault="00026A4E" w:rsidP="00026A4E">
            <w:pPr>
              <w:jc w:val="right"/>
              <w:rPr>
                <w:rFonts w:cs="Arial"/>
                <w:color w:val="000000"/>
                <w:sz w:val="18"/>
                <w:szCs w:val="18"/>
              </w:rPr>
            </w:pPr>
            <w:r w:rsidRPr="004C6EF5">
              <w:rPr>
                <w:rFonts w:cs="Arial"/>
                <w:color w:val="000000"/>
                <w:sz w:val="18"/>
                <w:szCs w:val="18"/>
              </w:rPr>
              <w:t>13.538.692</w:t>
            </w:r>
          </w:p>
        </w:tc>
        <w:tc>
          <w:tcPr>
            <w:tcW w:w="833" w:type="pct"/>
            <w:tcBorders>
              <w:top w:val="nil"/>
              <w:left w:val="single" w:sz="4" w:space="0" w:color="auto"/>
              <w:bottom w:val="nil"/>
              <w:right w:val="single" w:sz="4" w:space="0" w:color="auto"/>
            </w:tcBorders>
            <w:shd w:val="clear" w:color="auto" w:fill="auto"/>
            <w:noWrap/>
            <w:vAlign w:val="center"/>
            <w:hideMark/>
          </w:tcPr>
          <w:p w14:paraId="122EF431" w14:textId="4A6B7FC1" w:rsidR="00026A4E" w:rsidRPr="004C6EF5" w:rsidRDefault="00026A4E" w:rsidP="00026A4E">
            <w:pPr>
              <w:jc w:val="right"/>
              <w:rPr>
                <w:rFonts w:cs="Arial"/>
                <w:color w:val="000000"/>
                <w:sz w:val="18"/>
                <w:szCs w:val="18"/>
              </w:rPr>
            </w:pPr>
            <w:r w:rsidRPr="004C6EF5">
              <w:rPr>
                <w:rFonts w:cs="Arial"/>
                <w:color w:val="000000"/>
                <w:sz w:val="18"/>
                <w:szCs w:val="18"/>
              </w:rPr>
              <w:t>441.511</w:t>
            </w:r>
          </w:p>
        </w:tc>
        <w:tc>
          <w:tcPr>
            <w:tcW w:w="530" w:type="pct"/>
            <w:tcBorders>
              <w:top w:val="nil"/>
              <w:left w:val="nil"/>
              <w:bottom w:val="nil"/>
            </w:tcBorders>
            <w:shd w:val="clear" w:color="auto" w:fill="auto"/>
            <w:noWrap/>
            <w:vAlign w:val="center"/>
            <w:hideMark/>
          </w:tcPr>
          <w:p w14:paraId="2E5AA84F" w14:textId="77777777" w:rsidR="00026A4E" w:rsidRPr="004C6EF5" w:rsidRDefault="00026A4E" w:rsidP="00026A4E">
            <w:pPr>
              <w:jc w:val="center"/>
              <w:rPr>
                <w:rFonts w:cs="Arial"/>
                <w:color w:val="000000"/>
                <w:sz w:val="18"/>
                <w:szCs w:val="18"/>
              </w:rPr>
            </w:pPr>
            <w:r w:rsidRPr="004C6EF5">
              <w:rPr>
                <w:rFonts w:cs="Arial"/>
                <w:color w:val="000000"/>
                <w:sz w:val="18"/>
                <w:szCs w:val="18"/>
              </w:rPr>
              <w:t>3,26</w:t>
            </w:r>
          </w:p>
        </w:tc>
      </w:tr>
      <w:tr w:rsidR="00026A4E" w:rsidRPr="004C6EF5" w14:paraId="6DEBCA21" w14:textId="77777777" w:rsidTr="00854644">
        <w:trPr>
          <w:trHeight w:val="340"/>
        </w:trPr>
        <w:tc>
          <w:tcPr>
            <w:tcW w:w="1517" w:type="pct"/>
            <w:tcBorders>
              <w:top w:val="nil"/>
              <w:left w:val="nil"/>
              <w:bottom w:val="nil"/>
              <w:right w:val="single" w:sz="4" w:space="0" w:color="auto"/>
            </w:tcBorders>
            <w:shd w:val="clear" w:color="auto" w:fill="auto"/>
            <w:noWrap/>
            <w:vAlign w:val="center"/>
            <w:hideMark/>
          </w:tcPr>
          <w:p w14:paraId="2FADFD22" w14:textId="77777777" w:rsidR="00026A4E" w:rsidRPr="004C6EF5" w:rsidRDefault="00026A4E" w:rsidP="00026A4E">
            <w:pPr>
              <w:ind w:left="209"/>
              <w:jc w:val="left"/>
              <w:rPr>
                <w:rFonts w:cs="Arial"/>
                <w:color w:val="000000"/>
                <w:sz w:val="18"/>
                <w:szCs w:val="18"/>
              </w:rPr>
            </w:pPr>
            <w:r w:rsidRPr="004C6EF5">
              <w:rPr>
                <w:rFonts w:cs="Arial"/>
                <w:color w:val="000000"/>
                <w:sz w:val="18"/>
                <w:szCs w:val="18"/>
              </w:rPr>
              <w:t>Transferências de Capital</w:t>
            </w:r>
          </w:p>
        </w:tc>
        <w:tc>
          <w:tcPr>
            <w:tcW w:w="833" w:type="pct"/>
            <w:tcBorders>
              <w:top w:val="nil"/>
              <w:left w:val="single" w:sz="4" w:space="0" w:color="auto"/>
              <w:bottom w:val="nil"/>
              <w:right w:val="single" w:sz="4" w:space="0" w:color="auto"/>
            </w:tcBorders>
            <w:shd w:val="clear" w:color="auto" w:fill="auto"/>
            <w:noWrap/>
            <w:vAlign w:val="center"/>
            <w:hideMark/>
          </w:tcPr>
          <w:p w14:paraId="40D4BB59" w14:textId="4D0E211B" w:rsidR="00026A4E" w:rsidRPr="004C6EF5" w:rsidRDefault="00026A4E" w:rsidP="00026A4E">
            <w:pPr>
              <w:jc w:val="right"/>
              <w:rPr>
                <w:rFonts w:cs="Arial"/>
                <w:color w:val="000000"/>
                <w:sz w:val="18"/>
                <w:szCs w:val="18"/>
              </w:rPr>
            </w:pPr>
            <w:r w:rsidRPr="004C6EF5">
              <w:rPr>
                <w:rFonts w:cs="Arial"/>
                <w:color w:val="000000"/>
                <w:sz w:val="18"/>
                <w:szCs w:val="18"/>
              </w:rPr>
              <w:t>149.504.181</w:t>
            </w:r>
          </w:p>
        </w:tc>
        <w:tc>
          <w:tcPr>
            <w:tcW w:w="379" w:type="pct"/>
            <w:tcBorders>
              <w:top w:val="nil"/>
              <w:left w:val="nil"/>
              <w:bottom w:val="nil"/>
              <w:right w:val="single" w:sz="4" w:space="0" w:color="auto"/>
            </w:tcBorders>
            <w:vAlign w:val="center"/>
          </w:tcPr>
          <w:p w14:paraId="06589A47" w14:textId="7C5D061A" w:rsidR="00026A4E" w:rsidRPr="004C6EF5" w:rsidRDefault="00026A4E" w:rsidP="00026A4E">
            <w:pPr>
              <w:jc w:val="right"/>
              <w:rPr>
                <w:rFonts w:cs="Arial"/>
                <w:color w:val="000000"/>
                <w:sz w:val="18"/>
                <w:szCs w:val="18"/>
              </w:rPr>
            </w:pPr>
            <w:r w:rsidRPr="004C6EF5">
              <w:rPr>
                <w:rFonts w:cs="Arial"/>
                <w:color w:val="000000"/>
                <w:sz w:val="18"/>
                <w:szCs w:val="18"/>
              </w:rPr>
              <w:t>0,36</w:t>
            </w:r>
          </w:p>
        </w:tc>
        <w:tc>
          <w:tcPr>
            <w:tcW w:w="909" w:type="pct"/>
            <w:tcBorders>
              <w:top w:val="nil"/>
              <w:left w:val="single" w:sz="4" w:space="0" w:color="auto"/>
              <w:bottom w:val="nil"/>
              <w:right w:val="single" w:sz="4" w:space="0" w:color="auto"/>
            </w:tcBorders>
            <w:vAlign w:val="center"/>
          </w:tcPr>
          <w:p w14:paraId="4B69BC39" w14:textId="158F2AFE" w:rsidR="00026A4E" w:rsidRPr="004C6EF5" w:rsidRDefault="00026A4E" w:rsidP="00026A4E">
            <w:pPr>
              <w:jc w:val="right"/>
              <w:rPr>
                <w:rFonts w:cs="Arial"/>
                <w:color w:val="000000"/>
                <w:sz w:val="18"/>
                <w:szCs w:val="18"/>
              </w:rPr>
            </w:pPr>
            <w:r w:rsidRPr="004C6EF5">
              <w:rPr>
                <w:rFonts w:cs="Arial"/>
                <w:color w:val="000000"/>
                <w:sz w:val="18"/>
                <w:szCs w:val="18"/>
              </w:rPr>
              <w:t>122.433.548</w:t>
            </w:r>
          </w:p>
        </w:tc>
        <w:tc>
          <w:tcPr>
            <w:tcW w:w="833" w:type="pct"/>
            <w:tcBorders>
              <w:top w:val="nil"/>
              <w:left w:val="single" w:sz="4" w:space="0" w:color="auto"/>
              <w:bottom w:val="nil"/>
              <w:right w:val="single" w:sz="4" w:space="0" w:color="auto"/>
            </w:tcBorders>
            <w:shd w:val="clear" w:color="auto" w:fill="auto"/>
            <w:noWrap/>
            <w:vAlign w:val="center"/>
            <w:hideMark/>
          </w:tcPr>
          <w:p w14:paraId="4E7107D0" w14:textId="36A662C2" w:rsidR="00026A4E" w:rsidRPr="004C6EF5" w:rsidRDefault="00026A4E" w:rsidP="00026A4E">
            <w:pPr>
              <w:jc w:val="right"/>
              <w:rPr>
                <w:rFonts w:cs="Arial"/>
                <w:color w:val="000000"/>
                <w:sz w:val="18"/>
                <w:szCs w:val="18"/>
              </w:rPr>
            </w:pPr>
            <w:r w:rsidRPr="004C6EF5">
              <w:rPr>
                <w:rFonts w:cs="Arial"/>
                <w:color w:val="000000"/>
                <w:sz w:val="18"/>
                <w:szCs w:val="18"/>
              </w:rPr>
              <w:t>27.070.633</w:t>
            </w:r>
          </w:p>
        </w:tc>
        <w:tc>
          <w:tcPr>
            <w:tcW w:w="530" w:type="pct"/>
            <w:tcBorders>
              <w:top w:val="nil"/>
              <w:left w:val="nil"/>
              <w:bottom w:val="nil"/>
            </w:tcBorders>
            <w:shd w:val="clear" w:color="auto" w:fill="auto"/>
            <w:noWrap/>
            <w:vAlign w:val="center"/>
            <w:hideMark/>
          </w:tcPr>
          <w:p w14:paraId="6145A561" w14:textId="77777777" w:rsidR="00026A4E" w:rsidRPr="004C6EF5" w:rsidRDefault="00026A4E" w:rsidP="00026A4E">
            <w:pPr>
              <w:jc w:val="center"/>
              <w:rPr>
                <w:rFonts w:cs="Arial"/>
                <w:color w:val="000000"/>
                <w:sz w:val="18"/>
                <w:szCs w:val="18"/>
              </w:rPr>
            </w:pPr>
            <w:r w:rsidRPr="004C6EF5">
              <w:rPr>
                <w:rFonts w:cs="Arial"/>
                <w:color w:val="000000"/>
                <w:sz w:val="18"/>
                <w:szCs w:val="18"/>
              </w:rPr>
              <w:t>22,11</w:t>
            </w:r>
          </w:p>
        </w:tc>
      </w:tr>
      <w:tr w:rsidR="00026A4E" w:rsidRPr="004C6EF5" w14:paraId="122E0DFA" w14:textId="77777777" w:rsidTr="00854644">
        <w:trPr>
          <w:trHeight w:val="340"/>
        </w:trPr>
        <w:tc>
          <w:tcPr>
            <w:tcW w:w="1517" w:type="pct"/>
            <w:tcBorders>
              <w:top w:val="nil"/>
              <w:left w:val="nil"/>
              <w:bottom w:val="single" w:sz="4" w:space="0" w:color="auto"/>
              <w:right w:val="single" w:sz="4" w:space="0" w:color="auto"/>
            </w:tcBorders>
            <w:shd w:val="clear" w:color="auto" w:fill="auto"/>
            <w:noWrap/>
            <w:vAlign w:val="center"/>
            <w:hideMark/>
          </w:tcPr>
          <w:p w14:paraId="09B63E64" w14:textId="77777777" w:rsidR="00026A4E" w:rsidRPr="004C6EF5" w:rsidRDefault="00026A4E" w:rsidP="00026A4E">
            <w:pPr>
              <w:ind w:left="209"/>
              <w:jc w:val="left"/>
              <w:rPr>
                <w:rFonts w:cs="Arial"/>
                <w:color w:val="000000"/>
                <w:sz w:val="18"/>
                <w:szCs w:val="18"/>
              </w:rPr>
            </w:pPr>
            <w:r w:rsidRPr="004C6EF5">
              <w:rPr>
                <w:rFonts w:cs="Arial"/>
                <w:color w:val="000000"/>
                <w:sz w:val="18"/>
                <w:szCs w:val="18"/>
              </w:rPr>
              <w:t>Outras Receitas de Capital</w:t>
            </w:r>
          </w:p>
        </w:tc>
        <w:tc>
          <w:tcPr>
            <w:tcW w:w="833" w:type="pct"/>
            <w:tcBorders>
              <w:top w:val="nil"/>
              <w:left w:val="single" w:sz="4" w:space="0" w:color="auto"/>
              <w:bottom w:val="nil"/>
              <w:right w:val="single" w:sz="4" w:space="0" w:color="auto"/>
            </w:tcBorders>
            <w:shd w:val="clear" w:color="auto" w:fill="auto"/>
            <w:noWrap/>
            <w:vAlign w:val="center"/>
            <w:hideMark/>
          </w:tcPr>
          <w:p w14:paraId="2F84331C" w14:textId="7E90D96C" w:rsidR="00026A4E" w:rsidRPr="004C6EF5" w:rsidRDefault="00026A4E" w:rsidP="00026A4E">
            <w:pPr>
              <w:jc w:val="right"/>
              <w:rPr>
                <w:rFonts w:cs="Arial"/>
                <w:color w:val="000000"/>
                <w:sz w:val="18"/>
                <w:szCs w:val="18"/>
              </w:rPr>
            </w:pPr>
            <w:r w:rsidRPr="004C6EF5">
              <w:rPr>
                <w:rFonts w:cs="Arial"/>
                <w:color w:val="000000"/>
                <w:sz w:val="18"/>
                <w:szCs w:val="18"/>
              </w:rPr>
              <w:t>120.050</w:t>
            </w:r>
          </w:p>
        </w:tc>
        <w:tc>
          <w:tcPr>
            <w:tcW w:w="379" w:type="pct"/>
            <w:tcBorders>
              <w:top w:val="nil"/>
              <w:left w:val="nil"/>
              <w:bottom w:val="nil"/>
              <w:right w:val="single" w:sz="4" w:space="0" w:color="auto"/>
            </w:tcBorders>
            <w:vAlign w:val="center"/>
          </w:tcPr>
          <w:p w14:paraId="36C41676" w14:textId="17C00DF5" w:rsidR="00026A4E" w:rsidRPr="004C6EF5" w:rsidRDefault="00026A4E" w:rsidP="00026A4E">
            <w:pPr>
              <w:jc w:val="right"/>
              <w:rPr>
                <w:rFonts w:cs="Arial"/>
                <w:color w:val="000000"/>
                <w:sz w:val="18"/>
                <w:szCs w:val="18"/>
              </w:rPr>
            </w:pPr>
            <w:r w:rsidRPr="004C6EF5">
              <w:rPr>
                <w:rFonts w:cs="Arial"/>
                <w:color w:val="000000"/>
                <w:sz w:val="18"/>
                <w:szCs w:val="18"/>
              </w:rPr>
              <w:t>0,00</w:t>
            </w:r>
          </w:p>
        </w:tc>
        <w:tc>
          <w:tcPr>
            <w:tcW w:w="909" w:type="pct"/>
            <w:tcBorders>
              <w:top w:val="nil"/>
              <w:left w:val="single" w:sz="4" w:space="0" w:color="auto"/>
              <w:bottom w:val="nil"/>
              <w:right w:val="single" w:sz="4" w:space="0" w:color="auto"/>
            </w:tcBorders>
            <w:vAlign w:val="center"/>
          </w:tcPr>
          <w:p w14:paraId="2A13CB13" w14:textId="30710E71" w:rsidR="00026A4E" w:rsidRPr="004C6EF5" w:rsidRDefault="00026A4E" w:rsidP="00026A4E">
            <w:pPr>
              <w:jc w:val="right"/>
              <w:rPr>
                <w:rFonts w:cs="Arial"/>
                <w:color w:val="000000"/>
                <w:sz w:val="18"/>
                <w:szCs w:val="18"/>
              </w:rPr>
            </w:pPr>
            <w:r w:rsidRPr="004C6EF5">
              <w:rPr>
                <w:rFonts w:cs="Arial"/>
                <w:color w:val="000000"/>
                <w:sz w:val="18"/>
                <w:szCs w:val="18"/>
              </w:rPr>
              <w:t>45.000</w:t>
            </w:r>
          </w:p>
        </w:tc>
        <w:tc>
          <w:tcPr>
            <w:tcW w:w="833" w:type="pct"/>
            <w:tcBorders>
              <w:top w:val="nil"/>
              <w:left w:val="single" w:sz="4" w:space="0" w:color="auto"/>
              <w:bottom w:val="nil"/>
              <w:right w:val="single" w:sz="4" w:space="0" w:color="auto"/>
            </w:tcBorders>
            <w:shd w:val="clear" w:color="auto" w:fill="auto"/>
            <w:noWrap/>
            <w:vAlign w:val="center"/>
            <w:hideMark/>
          </w:tcPr>
          <w:p w14:paraId="6926FD8D" w14:textId="0B45320C" w:rsidR="00026A4E" w:rsidRPr="004C6EF5" w:rsidRDefault="00026A4E" w:rsidP="00026A4E">
            <w:pPr>
              <w:jc w:val="right"/>
              <w:rPr>
                <w:rFonts w:cs="Arial"/>
                <w:color w:val="000000"/>
                <w:sz w:val="18"/>
                <w:szCs w:val="18"/>
              </w:rPr>
            </w:pPr>
            <w:r w:rsidRPr="004C6EF5">
              <w:rPr>
                <w:rFonts w:cs="Arial"/>
                <w:color w:val="000000"/>
                <w:sz w:val="18"/>
                <w:szCs w:val="18"/>
              </w:rPr>
              <w:t>75.050</w:t>
            </w:r>
          </w:p>
        </w:tc>
        <w:tc>
          <w:tcPr>
            <w:tcW w:w="530" w:type="pct"/>
            <w:tcBorders>
              <w:top w:val="nil"/>
              <w:left w:val="nil"/>
              <w:bottom w:val="nil"/>
            </w:tcBorders>
            <w:shd w:val="clear" w:color="auto" w:fill="auto"/>
            <w:noWrap/>
            <w:vAlign w:val="center"/>
            <w:hideMark/>
          </w:tcPr>
          <w:p w14:paraId="17D9F167" w14:textId="77777777" w:rsidR="00026A4E" w:rsidRPr="004C6EF5" w:rsidRDefault="00026A4E" w:rsidP="00026A4E">
            <w:pPr>
              <w:jc w:val="center"/>
              <w:rPr>
                <w:rFonts w:cs="Arial"/>
                <w:color w:val="000000"/>
                <w:sz w:val="18"/>
                <w:szCs w:val="18"/>
              </w:rPr>
            </w:pPr>
            <w:r w:rsidRPr="004C6EF5">
              <w:rPr>
                <w:rFonts w:cs="Arial"/>
                <w:color w:val="000000"/>
                <w:sz w:val="18"/>
                <w:szCs w:val="18"/>
              </w:rPr>
              <w:t>166,78</w:t>
            </w:r>
          </w:p>
        </w:tc>
      </w:tr>
      <w:tr w:rsidR="00026A4E" w:rsidRPr="004C6EF5" w14:paraId="0A705D1D" w14:textId="77777777" w:rsidTr="00854644">
        <w:trPr>
          <w:trHeight w:val="340"/>
        </w:trPr>
        <w:tc>
          <w:tcPr>
            <w:tcW w:w="1517" w:type="pct"/>
            <w:tcBorders>
              <w:top w:val="nil"/>
              <w:left w:val="nil"/>
              <w:bottom w:val="single" w:sz="4" w:space="0" w:color="auto"/>
              <w:right w:val="single" w:sz="4" w:space="0" w:color="auto"/>
            </w:tcBorders>
            <w:shd w:val="clear" w:color="auto" w:fill="auto"/>
            <w:noWrap/>
            <w:vAlign w:val="center"/>
            <w:hideMark/>
          </w:tcPr>
          <w:p w14:paraId="0BDAF402" w14:textId="77777777" w:rsidR="00026A4E" w:rsidRPr="004C6EF5" w:rsidRDefault="00026A4E" w:rsidP="00026A4E">
            <w:pPr>
              <w:jc w:val="center"/>
              <w:rPr>
                <w:rFonts w:cs="Arial"/>
                <w:b/>
                <w:bCs/>
                <w:color w:val="000000"/>
                <w:sz w:val="18"/>
                <w:szCs w:val="18"/>
              </w:rPr>
            </w:pPr>
            <w:r w:rsidRPr="004C6EF5">
              <w:rPr>
                <w:rFonts w:cs="Arial"/>
                <w:b/>
                <w:bCs/>
                <w:color w:val="000000"/>
                <w:sz w:val="18"/>
                <w:szCs w:val="18"/>
              </w:rPr>
              <w:t>Total</w:t>
            </w:r>
          </w:p>
        </w:tc>
        <w:tc>
          <w:tcPr>
            <w:tcW w:w="83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CFAF70" w14:textId="018CC3D5" w:rsidR="00026A4E" w:rsidRPr="004C6EF5" w:rsidRDefault="00026A4E" w:rsidP="00026A4E">
            <w:pPr>
              <w:jc w:val="right"/>
              <w:rPr>
                <w:rFonts w:cs="Arial"/>
                <w:b/>
                <w:bCs/>
                <w:color w:val="000000"/>
                <w:sz w:val="18"/>
                <w:szCs w:val="18"/>
              </w:rPr>
            </w:pPr>
            <w:r w:rsidRPr="004C6EF5">
              <w:rPr>
                <w:rFonts w:cs="Arial"/>
                <w:b/>
                <w:bCs/>
                <w:color w:val="000000"/>
                <w:sz w:val="18"/>
                <w:szCs w:val="18"/>
              </w:rPr>
              <w:t>41.984.711.516</w:t>
            </w:r>
          </w:p>
        </w:tc>
        <w:tc>
          <w:tcPr>
            <w:tcW w:w="379" w:type="pct"/>
            <w:tcBorders>
              <w:top w:val="single" w:sz="4" w:space="0" w:color="auto"/>
              <w:left w:val="nil"/>
              <w:bottom w:val="single" w:sz="4" w:space="0" w:color="auto"/>
              <w:right w:val="single" w:sz="4" w:space="0" w:color="auto"/>
            </w:tcBorders>
            <w:vAlign w:val="center"/>
          </w:tcPr>
          <w:p w14:paraId="29A2F673" w14:textId="3DE422E1" w:rsidR="00026A4E" w:rsidRPr="004C6EF5" w:rsidRDefault="00026A4E" w:rsidP="00026A4E">
            <w:pPr>
              <w:jc w:val="right"/>
              <w:rPr>
                <w:rFonts w:cs="Arial"/>
                <w:b/>
                <w:bCs/>
                <w:color w:val="000000"/>
                <w:sz w:val="18"/>
                <w:szCs w:val="18"/>
              </w:rPr>
            </w:pPr>
            <w:r w:rsidRPr="005F5425">
              <w:rPr>
                <w:rFonts w:cs="Arial"/>
                <w:b/>
                <w:bCs/>
                <w:color w:val="000000"/>
                <w:sz w:val="18"/>
                <w:szCs w:val="18"/>
              </w:rPr>
              <w:t>100,00</w:t>
            </w:r>
          </w:p>
        </w:tc>
        <w:tc>
          <w:tcPr>
            <w:tcW w:w="909" w:type="pct"/>
            <w:tcBorders>
              <w:top w:val="single" w:sz="4" w:space="0" w:color="auto"/>
              <w:left w:val="single" w:sz="4" w:space="0" w:color="auto"/>
              <w:bottom w:val="single" w:sz="4" w:space="0" w:color="auto"/>
              <w:right w:val="single" w:sz="4" w:space="0" w:color="auto"/>
            </w:tcBorders>
            <w:vAlign w:val="center"/>
          </w:tcPr>
          <w:p w14:paraId="5CBE59B5" w14:textId="7C43D96B" w:rsidR="00026A4E" w:rsidRPr="004C6EF5" w:rsidRDefault="00026A4E" w:rsidP="00026A4E">
            <w:pPr>
              <w:jc w:val="right"/>
              <w:rPr>
                <w:rFonts w:cs="Arial"/>
                <w:b/>
                <w:bCs/>
                <w:color w:val="FF0000"/>
                <w:sz w:val="18"/>
                <w:szCs w:val="18"/>
              </w:rPr>
            </w:pPr>
            <w:r w:rsidRPr="004C6EF5">
              <w:rPr>
                <w:rFonts w:cs="Arial"/>
                <w:b/>
                <w:bCs/>
                <w:color w:val="000000"/>
                <w:sz w:val="18"/>
                <w:szCs w:val="18"/>
              </w:rPr>
              <w:t>43.499.511.461</w:t>
            </w:r>
          </w:p>
        </w:tc>
        <w:tc>
          <w:tcPr>
            <w:tcW w:w="83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24E94D" w14:textId="536F6994" w:rsidR="00026A4E" w:rsidRPr="004C6EF5" w:rsidRDefault="00026A4E" w:rsidP="00026A4E">
            <w:pPr>
              <w:jc w:val="right"/>
              <w:rPr>
                <w:rFonts w:cs="Arial"/>
                <w:b/>
                <w:bCs/>
                <w:color w:val="000000"/>
                <w:sz w:val="18"/>
                <w:szCs w:val="18"/>
              </w:rPr>
            </w:pPr>
            <w:r w:rsidRPr="004C6EF5">
              <w:rPr>
                <w:rFonts w:cs="Arial"/>
                <w:b/>
                <w:bCs/>
                <w:color w:val="FF0000"/>
                <w:sz w:val="18"/>
                <w:szCs w:val="18"/>
              </w:rPr>
              <w:t>(1.514.799.946)</w:t>
            </w:r>
          </w:p>
        </w:tc>
        <w:tc>
          <w:tcPr>
            <w:tcW w:w="530" w:type="pct"/>
            <w:tcBorders>
              <w:top w:val="single" w:sz="4" w:space="0" w:color="auto"/>
              <w:left w:val="nil"/>
              <w:bottom w:val="single" w:sz="4" w:space="0" w:color="auto"/>
            </w:tcBorders>
            <w:shd w:val="clear" w:color="auto" w:fill="auto"/>
            <w:noWrap/>
            <w:vAlign w:val="center"/>
            <w:hideMark/>
          </w:tcPr>
          <w:p w14:paraId="55170F08" w14:textId="77777777" w:rsidR="00026A4E" w:rsidRPr="004C6EF5" w:rsidRDefault="00026A4E" w:rsidP="00026A4E">
            <w:pPr>
              <w:jc w:val="center"/>
              <w:rPr>
                <w:rFonts w:cs="Arial"/>
                <w:b/>
                <w:bCs/>
                <w:color w:val="000000"/>
                <w:sz w:val="18"/>
                <w:szCs w:val="18"/>
              </w:rPr>
            </w:pPr>
            <w:r w:rsidRPr="004C6EF5">
              <w:rPr>
                <w:rFonts w:cs="Arial"/>
                <w:b/>
                <w:bCs/>
                <w:color w:val="FF0000"/>
                <w:sz w:val="18"/>
                <w:szCs w:val="18"/>
              </w:rPr>
              <w:t>(3,48)</w:t>
            </w:r>
          </w:p>
        </w:tc>
      </w:tr>
    </w:tbl>
    <w:p w14:paraId="13B0E87F" w14:textId="77777777" w:rsidR="00A96988" w:rsidRPr="00333D34" w:rsidRDefault="00A96988" w:rsidP="00EF01A1">
      <w:pPr>
        <w:pStyle w:val="1-FONTE8ESQ"/>
        <w:rPr>
          <w:rStyle w:val="Forte"/>
          <w:b w:val="0"/>
          <w:bCs w:val="0"/>
        </w:rPr>
      </w:pPr>
      <w:r>
        <w:rPr>
          <w:rStyle w:val="Forte"/>
          <w:b w:val="0"/>
          <w:bCs w:val="0"/>
        </w:rPr>
        <w:t>Font</w:t>
      </w:r>
      <w:r w:rsidRPr="00333D34">
        <w:rPr>
          <w:rStyle w:val="Forte"/>
          <w:b w:val="0"/>
          <w:bCs w:val="0"/>
        </w:rPr>
        <w:t xml:space="preserve">e: </w:t>
      </w:r>
      <w:r>
        <w:rPr>
          <w:rStyle w:val="Forte"/>
          <w:b w:val="0"/>
          <w:bCs w:val="0"/>
        </w:rPr>
        <w:t>Balanço Orçamentário – Anexo 12 (BGE 2023)</w:t>
      </w:r>
    </w:p>
    <w:p w14:paraId="04D40424" w14:textId="6AF46CE7" w:rsidR="00A96988" w:rsidRDefault="00A96988" w:rsidP="00A96988">
      <w:pPr>
        <w:pStyle w:val="1-REL11"/>
      </w:pPr>
      <w:r w:rsidRPr="00D67E49">
        <w:t xml:space="preserve">Em complemento aos comentários efetuados após a </w:t>
      </w:r>
      <w:r w:rsidR="008C2BF1">
        <w:fldChar w:fldCharType="begin"/>
      </w:r>
      <w:r w:rsidR="008C2BF1">
        <w:instrText xml:space="preserve"> REF _Ref165568583 \r \h </w:instrText>
      </w:r>
      <w:r w:rsidR="008C2BF1">
        <w:fldChar w:fldCharType="separate"/>
      </w:r>
      <w:r w:rsidR="0099185A">
        <w:t xml:space="preserve">Tabela 19 </w:t>
      </w:r>
      <w:r w:rsidR="008C2BF1">
        <w:fldChar w:fldCharType="end"/>
      </w:r>
      <w:r w:rsidR="00F15055">
        <w:t xml:space="preserve">– </w:t>
      </w:r>
      <w:r w:rsidR="00BC7190">
        <w:fldChar w:fldCharType="begin"/>
      </w:r>
      <w:r w:rsidR="00BC7190">
        <w:instrText xml:space="preserve"> REF _Ref165568583 \h </w:instrText>
      </w:r>
      <w:r w:rsidR="00BC7190">
        <w:fldChar w:fldCharType="separate"/>
      </w:r>
      <w:r w:rsidR="00BC7190" w:rsidRPr="00A4702C">
        <w:t>Resultado da Arrecadação por Origem de Recurso</w:t>
      </w:r>
      <w:r w:rsidR="00BC7190">
        <w:fldChar w:fldCharType="end"/>
      </w:r>
      <w:r w:rsidRPr="008C2BF1">
        <w:t>,</w:t>
      </w:r>
      <w:r w:rsidRPr="00D67E49">
        <w:t xml:space="preserve"> destaca-se que as Receitas Correntes, que foram 3,80% superiores em 2023, apresentaram relevante redução nas origens Patrimonial e Serviços.</w:t>
      </w:r>
    </w:p>
    <w:p w14:paraId="54AF8ECD" w14:textId="0B618C6E" w:rsidR="00A96988" w:rsidRDefault="00A96988" w:rsidP="00A96988">
      <w:pPr>
        <w:pStyle w:val="1-REL11"/>
      </w:pPr>
      <w:r w:rsidRPr="00D67E49">
        <w:t>Em relação à receita Patrimonial, ressalta-se que em 2022 houve o recebimento atípico de dividendos da Celg-T pelo estado de Goiás no valor de R$</w:t>
      </w:r>
      <w:r w:rsidR="00F763BE">
        <w:t> </w:t>
      </w:r>
      <w:r w:rsidRPr="00D67E49">
        <w:t>1</w:t>
      </w:r>
      <w:r>
        <w:t>,</w:t>
      </w:r>
      <w:r w:rsidRPr="00D67E49">
        <w:t>1</w:t>
      </w:r>
      <w:r>
        <w:t>8</w:t>
      </w:r>
      <w:r w:rsidR="00F763BE">
        <w:t> </w:t>
      </w:r>
      <w:r>
        <w:t>bilhão</w:t>
      </w:r>
      <w:r w:rsidRPr="00D67E49">
        <w:t>, não recorrente em 2023</w:t>
      </w:r>
      <w:r>
        <w:t xml:space="preserve">. Adicionalmente </w:t>
      </w:r>
      <w:r w:rsidRPr="00D67E49">
        <w:t xml:space="preserve">em 2023 houve a exclusão das receitas </w:t>
      </w:r>
      <w:r w:rsidRPr="00FD351C">
        <w:t>oriundas do Ipasgo</w:t>
      </w:r>
      <w:r>
        <w:t xml:space="preserve"> (</w:t>
      </w:r>
      <w:r w:rsidRPr="00D67E49">
        <w:t>receita de Serviços</w:t>
      </w:r>
      <w:r>
        <w:t>)</w:t>
      </w:r>
      <w:r w:rsidRPr="00D67E49">
        <w:t xml:space="preserve"> que deixaram de fazer parte da arrecadação estadual a partir d</w:t>
      </w:r>
      <w:r>
        <w:t>a competência</w:t>
      </w:r>
      <w:r w:rsidRPr="00D67E49">
        <w:t xml:space="preserve"> 05/2023.</w:t>
      </w:r>
    </w:p>
    <w:p w14:paraId="6E063160" w14:textId="2A147F49" w:rsidR="00A96988" w:rsidRPr="00D67E49" w:rsidRDefault="00A96988" w:rsidP="00A96988">
      <w:pPr>
        <w:pStyle w:val="1-REL11"/>
      </w:pPr>
      <w:r w:rsidRPr="00D67E49">
        <w:t xml:space="preserve">Destaca-se ainda que em 2023 as Receitas de Capital foram 94,70% inferiores, principalmente em virtude da ausência de receitas de operações de crédito, visto que em 2022 foi realizada operação junto </w:t>
      </w:r>
      <w:r w:rsidRPr="00282B83">
        <w:t>ao Banco Internacional para Reconstrução e Desenvolvimento (Bird), no</w:t>
      </w:r>
      <w:r w:rsidRPr="00D67E49">
        <w:t xml:space="preserve"> valor de R$</w:t>
      </w:r>
      <w:r w:rsidR="00F763BE">
        <w:t> </w:t>
      </w:r>
      <w:r w:rsidRPr="00D67E49">
        <w:t>2</w:t>
      </w:r>
      <w:r>
        <w:t>,</w:t>
      </w:r>
      <w:r w:rsidRPr="00D67E49">
        <w:t>49</w:t>
      </w:r>
      <w:r w:rsidR="00F763BE">
        <w:t> </w:t>
      </w:r>
      <w:r>
        <w:t>bilhões</w:t>
      </w:r>
      <w:r w:rsidRPr="00D67E49">
        <w:t xml:space="preserve">, para reestruturação de uma operação de crédito celebrada em 2013 com o Banco do Brasil S/A (situação que está contida no Plano de Recuperação Fiscal do </w:t>
      </w:r>
      <w:r>
        <w:t>e</w:t>
      </w:r>
      <w:r w:rsidRPr="00D67E49">
        <w:t xml:space="preserve">stado de Goiás, cujo detalhes são objeto de trabalho específico de Acompanhamento realizado por esta Corte de Contas no Processo nº 202200047000474 – Acompanhamento do Regime de Recuperação Fiscal, evento 15, fls. 22 a 24), e também pela menor arrecadação com alienação de bens do </w:t>
      </w:r>
      <w:r>
        <w:t>E</w:t>
      </w:r>
      <w:r w:rsidRPr="00D67E49">
        <w:t>stado.</w:t>
      </w:r>
    </w:p>
    <w:p w14:paraId="7EA12715" w14:textId="77777777" w:rsidR="00A96988" w:rsidRPr="00A45765" w:rsidRDefault="00A96988" w:rsidP="00A96988">
      <w:pPr>
        <w:pStyle w:val="Ttulo2"/>
      </w:pPr>
      <w:bookmarkStart w:id="74" w:name="_Toc167871632"/>
      <w:r w:rsidRPr="00A45765">
        <w:lastRenderedPageBreak/>
        <w:t>Despesa</w:t>
      </w:r>
      <w:bookmarkEnd w:id="74"/>
    </w:p>
    <w:p w14:paraId="07655089" w14:textId="4FD562DF" w:rsidR="00A96988" w:rsidRDefault="00A96988" w:rsidP="00A96988">
      <w:pPr>
        <w:pStyle w:val="1-REL11"/>
      </w:pPr>
      <w:r w:rsidRPr="00203646">
        <w:t xml:space="preserve">A </w:t>
      </w:r>
      <w:r>
        <w:t xml:space="preserve">despesa total inicialmente </w:t>
      </w:r>
      <w:r w:rsidRPr="00203646">
        <w:t xml:space="preserve">prevista para o </w:t>
      </w:r>
      <w:r>
        <w:t>o</w:t>
      </w:r>
      <w:r w:rsidRPr="00203646">
        <w:t>rçamento Fiscal e da Seguridade Social foi de R$</w:t>
      </w:r>
      <w:r>
        <w:t> </w:t>
      </w:r>
      <w:r w:rsidRPr="00203646">
        <w:t>39</w:t>
      </w:r>
      <w:r>
        <w:t>,60</w:t>
      </w:r>
      <w:r w:rsidR="00F763BE">
        <w:t> </w:t>
      </w:r>
      <w:r>
        <w:t>bilhões</w:t>
      </w:r>
      <w:r w:rsidRPr="00203646">
        <w:t xml:space="preserve">. Durante a execução do orçamento essa projeção foi atualizada em </w:t>
      </w:r>
      <w:r>
        <w:t>20</w:t>
      </w:r>
      <w:r w:rsidRPr="00203646">
        <w:t>,</w:t>
      </w:r>
      <w:r>
        <w:t>02</w:t>
      </w:r>
      <w:r w:rsidRPr="00203646">
        <w:t>%, percentual que corresponde a um acréscimo de R$</w:t>
      </w:r>
      <w:r w:rsidR="00F763BE">
        <w:t> </w:t>
      </w:r>
      <w:r>
        <w:t>7,9</w:t>
      </w:r>
      <w:r w:rsidRPr="00203646">
        <w:t>3</w:t>
      </w:r>
      <w:r w:rsidR="00F763BE">
        <w:t> </w:t>
      </w:r>
      <w:r>
        <w:t>bilhões</w:t>
      </w:r>
      <w:r w:rsidRPr="00203646">
        <w:t>, totalizando R$</w:t>
      </w:r>
      <w:r w:rsidR="00F763BE">
        <w:t> </w:t>
      </w:r>
      <w:r>
        <w:t>47,53</w:t>
      </w:r>
      <w:r w:rsidR="00F763BE">
        <w:t> </w:t>
      </w:r>
      <w:r>
        <w:t>bilhões para o período</w:t>
      </w:r>
      <w:r w:rsidRPr="00203646">
        <w:t xml:space="preserve">. </w:t>
      </w:r>
    </w:p>
    <w:p w14:paraId="54CF4DA4" w14:textId="77777777" w:rsidR="00A96988" w:rsidRDefault="00A96988" w:rsidP="00A96988">
      <w:pPr>
        <w:pStyle w:val="1-REL11"/>
      </w:pPr>
      <w:r>
        <w:t>Ao final de 2023, a despesa orçamentária do Estado apresentou o seguinte desempenho:</w:t>
      </w:r>
    </w:p>
    <w:p w14:paraId="2FE27D6C" w14:textId="77777777" w:rsidR="00A96988" w:rsidRPr="002913C7" w:rsidRDefault="00A96988" w:rsidP="00ED3571">
      <w:pPr>
        <w:pStyle w:val="0-TABELA"/>
      </w:pPr>
      <w:bookmarkStart w:id="75" w:name="_Ref165647283"/>
      <w:bookmarkStart w:id="76" w:name="_Toc167871737"/>
      <w:r w:rsidRPr="002913C7">
        <w:t>Resultado da Despesa por Grupo de Natureza</w:t>
      </w:r>
      <w:bookmarkEnd w:id="75"/>
      <w:bookmarkEnd w:id="76"/>
    </w:p>
    <w:p w14:paraId="1EF260D8" w14:textId="77777777" w:rsidR="00A96988" w:rsidRDefault="00A96988" w:rsidP="00A96988">
      <w:pPr>
        <w:pStyle w:val="0-EmR1"/>
      </w:pPr>
      <w:r w:rsidRPr="00333D34">
        <w:t>R$ 1</w:t>
      </w:r>
    </w:p>
    <w:tbl>
      <w:tblPr>
        <w:tblW w:w="5000" w:type="pct"/>
        <w:tblCellMar>
          <w:left w:w="70" w:type="dxa"/>
          <w:right w:w="70" w:type="dxa"/>
        </w:tblCellMar>
        <w:tblLook w:val="04A0" w:firstRow="1" w:lastRow="0" w:firstColumn="1" w:lastColumn="0" w:noHBand="0" w:noVBand="1"/>
      </w:tblPr>
      <w:tblGrid>
        <w:gridCol w:w="2925"/>
        <w:gridCol w:w="1393"/>
        <w:gridCol w:w="1394"/>
        <w:gridCol w:w="1231"/>
        <w:gridCol w:w="1420"/>
        <w:gridCol w:w="990"/>
      </w:tblGrid>
      <w:tr w:rsidR="002D29CF" w:rsidRPr="00326768" w14:paraId="597209A6" w14:textId="1B3ADB02" w:rsidTr="00461248">
        <w:trPr>
          <w:trHeight w:val="340"/>
          <w:tblHeader/>
        </w:trPr>
        <w:tc>
          <w:tcPr>
            <w:tcW w:w="1564" w:type="pct"/>
            <w:vMerge w:val="restart"/>
            <w:tcBorders>
              <w:top w:val="single" w:sz="4" w:space="0" w:color="auto"/>
              <w:left w:val="nil"/>
              <w:right w:val="single" w:sz="4" w:space="0" w:color="auto"/>
            </w:tcBorders>
            <w:shd w:val="clear" w:color="000000" w:fill="A1F2FD"/>
            <w:vAlign w:val="center"/>
            <w:hideMark/>
          </w:tcPr>
          <w:p w14:paraId="5379F251" w14:textId="77777777" w:rsidR="002D29CF" w:rsidRPr="00326768" w:rsidRDefault="002D29CF" w:rsidP="00A96988">
            <w:pPr>
              <w:jc w:val="center"/>
              <w:rPr>
                <w:rFonts w:cs="Arial"/>
                <w:b/>
                <w:bCs/>
                <w:color w:val="000000"/>
                <w:sz w:val="18"/>
                <w:szCs w:val="18"/>
              </w:rPr>
            </w:pPr>
            <w:r w:rsidRPr="00326768">
              <w:rPr>
                <w:rFonts w:cs="Arial"/>
                <w:b/>
                <w:bCs/>
                <w:color w:val="000000"/>
                <w:sz w:val="18"/>
                <w:szCs w:val="18"/>
              </w:rPr>
              <w:t>Grupo de Despesa</w:t>
            </w:r>
          </w:p>
        </w:tc>
        <w:tc>
          <w:tcPr>
            <w:tcW w:w="745"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4D213F56" w14:textId="0199D9FD" w:rsidR="002D29CF" w:rsidRPr="00326768" w:rsidRDefault="002D29CF" w:rsidP="002D29CF">
            <w:pPr>
              <w:jc w:val="center"/>
              <w:rPr>
                <w:rFonts w:cs="Arial"/>
                <w:b/>
                <w:bCs/>
                <w:color w:val="000000"/>
                <w:sz w:val="18"/>
                <w:szCs w:val="18"/>
              </w:rPr>
            </w:pPr>
            <w:r w:rsidRPr="00326768">
              <w:rPr>
                <w:rFonts w:cs="Arial"/>
                <w:b/>
                <w:bCs/>
                <w:color w:val="000000"/>
                <w:sz w:val="18"/>
                <w:szCs w:val="18"/>
              </w:rPr>
              <w:t>Despesa Atualizada</w:t>
            </w:r>
          </w:p>
        </w:tc>
        <w:tc>
          <w:tcPr>
            <w:tcW w:w="745"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5F9F681D" w14:textId="769110D6" w:rsidR="002D29CF" w:rsidRPr="00326768" w:rsidRDefault="002D29CF" w:rsidP="002D29CF">
            <w:pPr>
              <w:jc w:val="center"/>
              <w:rPr>
                <w:rFonts w:cs="Arial"/>
                <w:b/>
                <w:bCs/>
                <w:color w:val="000000"/>
                <w:sz w:val="18"/>
                <w:szCs w:val="18"/>
              </w:rPr>
            </w:pPr>
            <w:r w:rsidRPr="00326768">
              <w:rPr>
                <w:rFonts w:cs="Arial"/>
                <w:b/>
                <w:bCs/>
                <w:color w:val="000000"/>
                <w:sz w:val="18"/>
                <w:szCs w:val="18"/>
              </w:rPr>
              <w:t>Despesa Empenhada</w:t>
            </w:r>
          </w:p>
        </w:tc>
        <w:tc>
          <w:tcPr>
            <w:tcW w:w="658" w:type="pct"/>
            <w:vMerge w:val="restart"/>
            <w:tcBorders>
              <w:top w:val="single" w:sz="4" w:space="0" w:color="auto"/>
              <w:left w:val="nil"/>
              <w:right w:val="single" w:sz="4" w:space="0" w:color="auto"/>
            </w:tcBorders>
            <w:shd w:val="clear" w:color="000000" w:fill="A1F2FD"/>
            <w:vAlign w:val="center"/>
          </w:tcPr>
          <w:p w14:paraId="05487CC8" w14:textId="051BA18A" w:rsidR="002D29CF" w:rsidRPr="00326768" w:rsidRDefault="008C263C" w:rsidP="002D29CF">
            <w:pPr>
              <w:jc w:val="center"/>
              <w:rPr>
                <w:rFonts w:cs="Arial"/>
                <w:b/>
                <w:bCs/>
                <w:color w:val="000000"/>
                <w:sz w:val="18"/>
                <w:szCs w:val="18"/>
              </w:rPr>
            </w:pPr>
            <w:r>
              <w:rPr>
                <w:rFonts w:cs="Arial"/>
                <w:b/>
                <w:bCs/>
                <w:color w:val="000000"/>
                <w:sz w:val="18"/>
                <w:szCs w:val="18"/>
              </w:rPr>
              <w:t>AV</w:t>
            </w:r>
            <w:r w:rsidR="002D29CF">
              <w:rPr>
                <w:rFonts w:cs="Arial"/>
                <w:b/>
                <w:bCs/>
                <w:color w:val="000000"/>
                <w:sz w:val="18"/>
                <w:szCs w:val="18"/>
              </w:rPr>
              <w:t xml:space="preserve"> </w:t>
            </w:r>
            <w:r w:rsidR="002D29CF" w:rsidRPr="00326768">
              <w:rPr>
                <w:rFonts w:cs="Arial"/>
                <w:b/>
                <w:bCs/>
                <w:color w:val="000000"/>
                <w:sz w:val="18"/>
                <w:szCs w:val="18"/>
              </w:rPr>
              <w:t>Despesa Empenhada</w:t>
            </w:r>
            <w:r>
              <w:rPr>
                <w:rFonts w:cs="Arial"/>
                <w:b/>
                <w:bCs/>
                <w:color w:val="000000"/>
                <w:sz w:val="18"/>
                <w:szCs w:val="18"/>
              </w:rPr>
              <w:t xml:space="preserve"> %</w:t>
            </w:r>
          </w:p>
        </w:tc>
        <w:tc>
          <w:tcPr>
            <w:tcW w:w="1287" w:type="pct"/>
            <w:gridSpan w:val="2"/>
            <w:tcBorders>
              <w:top w:val="single" w:sz="4" w:space="0" w:color="auto"/>
              <w:left w:val="single" w:sz="4" w:space="0" w:color="auto"/>
              <w:bottom w:val="single" w:sz="4" w:space="0" w:color="auto"/>
            </w:tcBorders>
            <w:shd w:val="clear" w:color="000000" w:fill="A1F2FD"/>
            <w:vAlign w:val="center"/>
            <w:hideMark/>
          </w:tcPr>
          <w:p w14:paraId="0169F894" w14:textId="1C084B96" w:rsidR="002D29CF" w:rsidRPr="00326768" w:rsidRDefault="002D29CF" w:rsidP="00A96988">
            <w:pPr>
              <w:jc w:val="center"/>
              <w:rPr>
                <w:rFonts w:cs="Arial"/>
                <w:b/>
                <w:bCs/>
                <w:color w:val="000000"/>
                <w:sz w:val="18"/>
                <w:szCs w:val="18"/>
              </w:rPr>
            </w:pPr>
            <w:r w:rsidRPr="00326768">
              <w:rPr>
                <w:rFonts w:cs="Arial"/>
                <w:b/>
                <w:bCs/>
                <w:color w:val="000000"/>
                <w:sz w:val="18"/>
                <w:szCs w:val="18"/>
              </w:rPr>
              <w:t>Resultado da Despesa</w:t>
            </w:r>
          </w:p>
        </w:tc>
      </w:tr>
      <w:tr w:rsidR="002D29CF" w:rsidRPr="00326768" w14:paraId="26872AE2" w14:textId="77777777" w:rsidTr="00461248">
        <w:trPr>
          <w:trHeight w:val="340"/>
          <w:tblHeader/>
        </w:trPr>
        <w:tc>
          <w:tcPr>
            <w:tcW w:w="1564" w:type="pct"/>
            <w:vMerge/>
            <w:tcBorders>
              <w:left w:val="nil"/>
              <w:right w:val="single" w:sz="4" w:space="0" w:color="auto"/>
            </w:tcBorders>
            <w:vAlign w:val="center"/>
            <w:hideMark/>
          </w:tcPr>
          <w:p w14:paraId="06E914E1" w14:textId="77777777" w:rsidR="002D29CF" w:rsidRPr="00326768" w:rsidRDefault="002D29CF" w:rsidP="002D29CF">
            <w:pPr>
              <w:jc w:val="left"/>
              <w:rPr>
                <w:rFonts w:cs="Arial"/>
                <w:b/>
                <w:bCs/>
                <w:color w:val="000000"/>
                <w:sz w:val="18"/>
                <w:szCs w:val="18"/>
              </w:rPr>
            </w:pPr>
          </w:p>
        </w:tc>
        <w:tc>
          <w:tcPr>
            <w:tcW w:w="745" w:type="pct"/>
            <w:vMerge/>
            <w:tcBorders>
              <w:top w:val="single" w:sz="4" w:space="0" w:color="auto"/>
              <w:left w:val="single" w:sz="4" w:space="0" w:color="auto"/>
              <w:right w:val="single" w:sz="4" w:space="0" w:color="auto"/>
            </w:tcBorders>
            <w:vAlign w:val="center"/>
            <w:hideMark/>
          </w:tcPr>
          <w:p w14:paraId="36D2A613" w14:textId="77777777" w:rsidR="002D29CF" w:rsidRPr="00326768" w:rsidRDefault="002D29CF" w:rsidP="002D29CF">
            <w:pPr>
              <w:jc w:val="left"/>
              <w:rPr>
                <w:rFonts w:cs="Arial"/>
                <w:b/>
                <w:bCs/>
                <w:color w:val="000000"/>
                <w:sz w:val="18"/>
                <w:szCs w:val="18"/>
              </w:rPr>
            </w:pPr>
          </w:p>
        </w:tc>
        <w:tc>
          <w:tcPr>
            <w:tcW w:w="745" w:type="pct"/>
            <w:vMerge/>
            <w:tcBorders>
              <w:top w:val="single" w:sz="4" w:space="0" w:color="auto"/>
              <w:left w:val="single" w:sz="4" w:space="0" w:color="auto"/>
              <w:right w:val="single" w:sz="4" w:space="0" w:color="auto"/>
            </w:tcBorders>
            <w:vAlign w:val="center"/>
            <w:hideMark/>
          </w:tcPr>
          <w:p w14:paraId="4A39F26E" w14:textId="77777777" w:rsidR="002D29CF" w:rsidRPr="00326768" w:rsidRDefault="002D29CF" w:rsidP="002D29CF">
            <w:pPr>
              <w:jc w:val="left"/>
              <w:rPr>
                <w:rFonts w:cs="Arial"/>
                <w:b/>
                <w:bCs/>
                <w:color w:val="000000"/>
                <w:sz w:val="18"/>
                <w:szCs w:val="18"/>
              </w:rPr>
            </w:pPr>
          </w:p>
        </w:tc>
        <w:tc>
          <w:tcPr>
            <w:tcW w:w="658" w:type="pct"/>
            <w:vMerge/>
            <w:tcBorders>
              <w:left w:val="nil"/>
              <w:right w:val="single" w:sz="4" w:space="0" w:color="auto"/>
            </w:tcBorders>
            <w:shd w:val="clear" w:color="000000" w:fill="A1F2FD"/>
            <w:vAlign w:val="center"/>
          </w:tcPr>
          <w:p w14:paraId="7D367A85" w14:textId="6ED51D59" w:rsidR="002D29CF" w:rsidRPr="00326768" w:rsidRDefault="002D29CF" w:rsidP="002D29CF">
            <w:pPr>
              <w:jc w:val="center"/>
              <w:rPr>
                <w:rFonts w:cs="Arial"/>
                <w:b/>
                <w:bCs/>
                <w:color w:val="000000"/>
                <w:sz w:val="18"/>
                <w:szCs w:val="18"/>
              </w:rPr>
            </w:pPr>
          </w:p>
        </w:tc>
        <w:tc>
          <w:tcPr>
            <w:tcW w:w="759" w:type="pct"/>
            <w:tcBorders>
              <w:top w:val="nil"/>
              <w:left w:val="single" w:sz="4" w:space="0" w:color="auto"/>
              <w:right w:val="single" w:sz="4" w:space="0" w:color="auto"/>
            </w:tcBorders>
            <w:shd w:val="clear" w:color="000000" w:fill="A1F2FD"/>
            <w:vAlign w:val="center"/>
            <w:hideMark/>
          </w:tcPr>
          <w:p w14:paraId="6D2466EF" w14:textId="5333060B" w:rsidR="002D29CF" w:rsidRPr="00326768" w:rsidRDefault="00600F4B" w:rsidP="00A16068">
            <w:pPr>
              <w:jc w:val="center"/>
              <w:rPr>
                <w:rFonts w:cs="Arial"/>
                <w:b/>
                <w:bCs/>
                <w:color w:val="000000"/>
                <w:sz w:val="18"/>
                <w:szCs w:val="18"/>
              </w:rPr>
            </w:pPr>
            <w:r>
              <w:rPr>
                <w:rFonts w:cs="Arial"/>
                <w:b/>
                <w:bCs/>
                <w:color w:val="000000"/>
                <w:sz w:val="18"/>
                <w:szCs w:val="18"/>
              </w:rPr>
              <w:t>R$</w:t>
            </w:r>
          </w:p>
        </w:tc>
        <w:tc>
          <w:tcPr>
            <w:tcW w:w="529" w:type="pct"/>
            <w:tcBorders>
              <w:top w:val="nil"/>
              <w:left w:val="nil"/>
            </w:tcBorders>
            <w:shd w:val="clear" w:color="000000" w:fill="A1F2FD"/>
            <w:vAlign w:val="center"/>
            <w:hideMark/>
          </w:tcPr>
          <w:p w14:paraId="64BAAC69" w14:textId="3A67381F" w:rsidR="002D29CF" w:rsidRPr="00326768" w:rsidRDefault="002D29CF" w:rsidP="00A16068">
            <w:pPr>
              <w:jc w:val="center"/>
              <w:rPr>
                <w:rFonts w:cs="Arial"/>
                <w:b/>
                <w:bCs/>
                <w:color w:val="000000"/>
                <w:sz w:val="18"/>
                <w:szCs w:val="18"/>
              </w:rPr>
            </w:pPr>
            <w:r w:rsidRPr="00326768">
              <w:rPr>
                <w:rFonts w:cs="Arial"/>
                <w:b/>
                <w:bCs/>
                <w:color w:val="000000"/>
                <w:sz w:val="18"/>
                <w:szCs w:val="18"/>
              </w:rPr>
              <w:t>%</w:t>
            </w:r>
          </w:p>
        </w:tc>
      </w:tr>
      <w:tr w:rsidR="002D29CF" w:rsidRPr="00326768" w14:paraId="705867EB" w14:textId="77777777" w:rsidTr="00461248">
        <w:trPr>
          <w:trHeight w:val="340"/>
          <w:tblHeader/>
        </w:trPr>
        <w:tc>
          <w:tcPr>
            <w:tcW w:w="1564" w:type="pct"/>
            <w:vMerge/>
            <w:tcBorders>
              <w:left w:val="nil"/>
              <w:bottom w:val="single" w:sz="4" w:space="0" w:color="auto"/>
              <w:right w:val="single" w:sz="4" w:space="0" w:color="auto"/>
            </w:tcBorders>
            <w:shd w:val="clear" w:color="auto" w:fill="A1F2FD"/>
            <w:vAlign w:val="center"/>
          </w:tcPr>
          <w:p w14:paraId="0ED94A5D" w14:textId="77777777" w:rsidR="002D29CF" w:rsidRPr="00326768" w:rsidRDefault="002D29CF" w:rsidP="002D29CF">
            <w:pPr>
              <w:jc w:val="left"/>
              <w:rPr>
                <w:rFonts w:cs="Arial"/>
                <w:b/>
                <w:bCs/>
                <w:color w:val="000000"/>
                <w:sz w:val="18"/>
                <w:szCs w:val="18"/>
              </w:rPr>
            </w:pPr>
          </w:p>
        </w:tc>
        <w:tc>
          <w:tcPr>
            <w:tcW w:w="745" w:type="pct"/>
            <w:tcBorders>
              <w:left w:val="single" w:sz="4" w:space="0" w:color="auto"/>
              <w:bottom w:val="single" w:sz="4" w:space="0" w:color="auto"/>
              <w:right w:val="single" w:sz="4" w:space="0" w:color="auto"/>
            </w:tcBorders>
            <w:shd w:val="clear" w:color="auto" w:fill="A1F2FD"/>
            <w:vAlign w:val="center"/>
          </w:tcPr>
          <w:p w14:paraId="41068CAE" w14:textId="7B448530" w:rsidR="002D29CF" w:rsidRPr="00326768" w:rsidRDefault="002D29CF" w:rsidP="00A16068">
            <w:pPr>
              <w:jc w:val="center"/>
              <w:rPr>
                <w:rFonts w:cs="Arial"/>
                <w:b/>
                <w:bCs/>
                <w:color w:val="000000"/>
                <w:sz w:val="18"/>
                <w:szCs w:val="18"/>
              </w:rPr>
            </w:pPr>
            <w:r w:rsidRPr="00326768">
              <w:rPr>
                <w:rFonts w:cs="Arial"/>
                <w:b/>
                <w:bCs/>
                <w:color w:val="000000"/>
                <w:sz w:val="18"/>
                <w:szCs w:val="18"/>
              </w:rPr>
              <w:t>(a)</w:t>
            </w:r>
          </w:p>
        </w:tc>
        <w:tc>
          <w:tcPr>
            <w:tcW w:w="745" w:type="pct"/>
            <w:tcBorders>
              <w:left w:val="single" w:sz="4" w:space="0" w:color="auto"/>
              <w:bottom w:val="single" w:sz="4" w:space="0" w:color="auto"/>
              <w:right w:val="single" w:sz="4" w:space="0" w:color="auto"/>
            </w:tcBorders>
            <w:shd w:val="clear" w:color="auto" w:fill="A1F2FD"/>
            <w:vAlign w:val="center"/>
          </w:tcPr>
          <w:p w14:paraId="334FC036" w14:textId="0AFA86BE" w:rsidR="002D29CF" w:rsidRPr="00326768" w:rsidRDefault="002D29CF" w:rsidP="00A16068">
            <w:pPr>
              <w:jc w:val="center"/>
              <w:rPr>
                <w:rFonts w:cs="Arial"/>
                <w:b/>
                <w:bCs/>
                <w:color w:val="000000"/>
                <w:sz w:val="18"/>
                <w:szCs w:val="18"/>
              </w:rPr>
            </w:pPr>
            <w:r w:rsidRPr="00326768">
              <w:rPr>
                <w:rFonts w:cs="Arial"/>
                <w:b/>
                <w:bCs/>
                <w:color w:val="000000"/>
                <w:sz w:val="18"/>
                <w:szCs w:val="18"/>
              </w:rPr>
              <w:t>(b)</w:t>
            </w:r>
          </w:p>
        </w:tc>
        <w:tc>
          <w:tcPr>
            <w:tcW w:w="658" w:type="pct"/>
            <w:tcBorders>
              <w:left w:val="nil"/>
              <w:bottom w:val="single" w:sz="4" w:space="0" w:color="auto"/>
              <w:right w:val="single" w:sz="4" w:space="0" w:color="auto"/>
            </w:tcBorders>
            <w:shd w:val="clear" w:color="auto" w:fill="A1F2FD"/>
            <w:vAlign w:val="center"/>
          </w:tcPr>
          <w:p w14:paraId="158D98A8" w14:textId="4857FDE1" w:rsidR="002D29CF" w:rsidRPr="00326768" w:rsidRDefault="002D29CF" w:rsidP="00A16068">
            <w:pPr>
              <w:jc w:val="center"/>
              <w:rPr>
                <w:rFonts w:cs="Arial"/>
                <w:b/>
                <w:bCs/>
                <w:color w:val="000000"/>
                <w:sz w:val="18"/>
                <w:szCs w:val="18"/>
              </w:rPr>
            </w:pPr>
            <w:r w:rsidRPr="00326768">
              <w:rPr>
                <w:rFonts w:cs="Arial"/>
                <w:b/>
                <w:bCs/>
                <w:color w:val="000000"/>
                <w:sz w:val="18"/>
                <w:szCs w:val="18"/>
              </w:rPr>
              <w:t>(</w:t>
            </w:r>
            <w:r>
              <w:rPr>
                <w:rFonts w:cs="Arial"/>
                <w:b/>
                <w:bCs/>
                <w:color w:val="000000"/>
                <w:sz w:val="18"/>
                <w:szCs w:val="18"/>
              </w:rPr>
              <w:t>c</w:t>
            </w:r>
            <w:r w:rsidRPr="00326768">
              <w:rPr>
                <w:rFonts w:cs="Arial"/>
                <w:b/>
                <w:bCs/>
                <w:color w:val="000000"/>
                <w:sz w:val="18"/>
                <w:szCs w:val="18"/>
              </w:rPr>
              <w:t>)</w:t>
            </w:r>
          </w:p>
        </w:tc>
        <w:tc>
          <w:tcPr>
            <w:tcW w:w="759" w:type="pct"/>
            <w:tcBorders>
              <w:left w:val="single" w:sz="4" w:space="0" w:color="auto"/>
              <w:bottom w:val="single" w:sz="4" w:space="0" w:color="auto"/>
              <w:right w:val="single" w:sz="4" w:space="0" w:color="auto"/>
            </w:tcBorders>
            <w:shd w:val="clear" w:color="auto" w:fill="A1F2FD"/>
            <w:vAlign w:val="center"/>
          </w:tcPr>
          <w:p w14:paraId="742631FB" w14:textId="30BD4D30" w:rsidR="002D29CF" w:rsidRPr="00326768" w:rsidRDefault="00A16068" w:rsidP="00A16068">
            <w:pPr>
              <w:jc w:val="center"/>
              <w:rPr>
                <w:rFonts w:cs="Arial"/>
                <w:b/>
                <w:bCs/>
                <w:color w:val="000000"/>
                <w:sz w:val="18"/>
                <w:szCs w:val="18"/>
              </w:rPr>
            </w:pPr>
            <w:r>
              <w:rPr>
                <w:rFonts w:cs="Arial"/>
                <w:b/>
                <w:bCs/>
                <w:color w:val="000000"/>
                <w:sz w:val="18"/>
                <w:szCs w:val="18"/>
              </w:rPr>
              <w:t>(d)</w:t>
            </w:r>
            <w:r w:rsidR="008C263C">
              <w:rPr>
                <w:rFonts w:cs="Arial"/>
                <w:b/>
                <w:bCs/>
                <w:color w:val="000000"/>
                <w:sz w:val="18"/>
                <w:szCs w:val="18"/>
              </w:rPr>
              <w:t xml:space="preserve"> </w:t>
            </w:r>
            <w:r>
              <w:rPr>
                <w:rFonts w:cs="Arial"/>
                <w:b/>
                <w:bCs/>
                <w:color w:val="000000"/>
                <w:sz w:val="18"/>
                <w:szCs w:val="18"/>
              </w:rPr>
              <w:t>=</w:t>
            </w:r>
            <w:r w:rsidR="008C263C">
              <w:rPr>
                <w:rFonts w:cs="Arial"/>
                <w:b/>
                <w:bCs/>
                <w:color w:val="000000"/>
                <w:sz w:val="18"/>
                <w:szCs w:val="18"/>
              </w:rPr>
              <w:t xml:space="preserve"> </w:t>
            </w:r>
            <w:r w:rsidRPr="00326768">
              <w:rPr>
                <w:rFonts w:cs="Arial"/>
                <w:b/>
                <w:bCs/>
                <w:color w:val="000000"/>
                <w:sz w:val="18"/>
                <w:szCs w:val="18"/>
              </w:rPr>
              <w:t>(b-a)</w:t>
            </w:r>
          </w:p>
        </w:tc>
        <w:tc>
          <w:tcPr>
            <w:tcW w:w="529" w:type="pct"/>
            <w:tcBorders>
              <w:left w:val="nil"/>
              <w:bottom w:val="single" w:sz="4" w:space="0" w:color="auto"/>
            </w:tcBorders>
            <w:shd w:val="clear" w:color="auto" w:fill="A1F2FD"/>
            <w:vAlign w:val="center"/>
          </w:tcPr>
          <w:p w14:paraId="785858ED" w14:textId="79B4449B" w:rsidR="002D29CF" w:rsidRPr="00326768" w:rsidRDefault="00A16068" w:rsidP="008C263C">
            <w:pPr>
              <w:ind w:left="-105" w:right="-76"/>
              <w:jc w:val="center"/>
              <w:rPr>
                <w:rFonts w:cs="Arial"/>
                <w:b/>
                <w:bCs/>
                <w:color w:val="000000"/>
                <w:sz w:val="18"/>
                <w:szCs w:val="18"/>
              </w:rPr>
            </w:pPr>
            <w:r>
              <w:rPr>
                <w:rFonts w:cs="Arial"/>
                <w:b/>
                <w:bCs/>
                <w:color w:val="000000"/>
                <w:sz w:val="18"/>
                <w:szCs w:val="18"/>
              </w:rPr>
              <w:t>(e)</w:t>
            </w:r>
            <w:r w:rsidR="008C263C">
              <w:rPr>
                <w:rFonts w:cs="Arial"/>
                <w:b/>
                <w:bCs/>
                <w:color w:val="000000"/>
                <w:sz w:val="18"/>
                <w:szCs w:val="18"/>
              </w:rPr>
              <w:t xml:space="preserve"> </w:t>
            </w:r>
            <w:r>
              <w:rPr>
                <w:rFonts w:cs="Arial"/>
                <w:b/>
                <w:bCs/>
                <w:color w:val="000000"/>
                <w:sz w:val="18"/>
                <w:szCs w:val="18"/>
              </w:rPr>
              <w:t>=</w:t>
            </w:r>
            <w:r w:rsidR="008C263C">
              <w:rPr>
                <w:rFonts w:cs="Arial"/>
                <w:b/>
                <w:bCs/>
                <w:color w:val="000000"/>
                <w:sz w:val="18"/>
                <w:szCs w:val="18"/>
              </w:rPr>
              <w:t xml:space="preserve"> </w:t>
            </w:r>
            <w:r w:rsidRPr="00326768">
              <w:rPr>
                <w:rFonts w:cs="Arial"/>
                <w:b/>
                <w:bCs/>
                <w:color w:val="000000"/>
                <w:sz w:val="18"/>
                <w:szCs w:val="18"/>
              </w:rPr>
              <w:t>(</w:t>
            </w:r>
            <w:r w:rsidR="006E78BF">
              <w:rPr>
                <w:rFonts w:cs="Arial"/>
                <w:b/>
                <w:bCs/>
                <w:color w:val="000000"/>
                <w:sz w:val="18"/>
                <w:szCs w:val="18"/>
              </w:rPr>
              <w:t>b</w:t>
            </w:r>
            <w:r w:rsidRPr="00326768">
              <w:rPr>
                <w:rFonts w:cs="Arial"/>
                <w:b/>
                <w:bCs/>
                <w:color w:val="000000"/>
                <w:sz w:val="18"/>
                <w:szCs w:val="18"/>
              </w:rPr>
              <w:t>/a)</w:t>
            </w:r>
          </w:p>
        </w:tc>
      </w:tr>
      <w:tr w:rsidR="002D29CF" w:rsidRPr="00326768" w14:paraId="4D652C64" w14:textId="77777777" w:rsidTr="00461248">
        <w:trPr>
          <w:trHeight w:val="340"/>
        </w:trPr>
        <w:tc>
          <w:tcPr>
            <w:tcW w:w="1564" w:type="pct"/>
            <w:tcBorders>
              <w:top w:val="nil"/>
              <w:left w:val="nil"/>
              <w:bottom w:val="nil"/>
              <w:right w:val="single" w:sz="4" w:space="0" w:color="auto"/>
            </w:tcBorders>
            <w:shd w:val="clear" w:color="auto" w:fill="auto"/>
            <w:noWrap/>
            <w:vAlign w:val="center"/>
            <w:hideMark/>
          </w:tcPr>
          <w:p w14:paraId="2A84F00D" w14:textId="77777777" w:rsidR="002D29CF" w:rsidRPr="00326768" w:rsidRDefault="002D29CF" w:rsidP="002D29CF">
            <w:pPr>
              <w:jc w:val="left"/>
              <w:rPr>
                <w:rFonts w:cs="Arial"/>
                <w:b/>
                <w:bCs/>
                <w:color w:val="000000"/>
                <w:sz w:val="18"/>
                <w:szCs w:val="18"/>
              </w:rPr>
            </w:pPr>
            <w:r w:rsidRPr="00326768">
              <w:rPr>
                <w:rFonts w:cs="Arial"/>
                <w:b/>
                <w:bCs/>
                <w:color w:val="000000"/>
                <w:sz w:val="18"/>
                <w:szCs w:val="18"/>
              </w:rPr>
              <w:t>Despesas Correntes</w:t>
            </w:r>
          </w:p>
        </w:tc>
        <w:tc>
          <w:tcPr>
            <w:tcW w:w="745" w:type="pct"/>
            <w:tcBorders>
              <w:top w:val="nil"/>
              <w:left w:val="nil"/>
              <w:bottom w:val="nil"/>
              <w:right w:val="single" w:sz="4" w:space="0" w:color="auto"/>
            </w:tcBorders>
            <w:shd w:val="clear" w:color="auto" w:fill="auto"/>
            <w:noWrap/>
            <w:vAlign w:val="center"/>
            <w:hideMark/>
          </w:tcPr>
          <w:p w14:paraId="48F9F54B" w14:textId="77777777" w:rsidR="002D29CF" w:rsidRPr="00326768" w:rsidRDefault="002D29CF" w:rsidP="002D29CF">
            <w:pPr>
              <w:jc w:val="right"/>
              <w:rPr>
                <w:rFonts w:cs="Arial"/>
                <w:b/>
                <w:bCs/>
                <w:color w:val="000000"/>
                <w:sz w:val="18"/>
                <w:szCs w:val="18"/>
              </w:rPr>
            </w:pPr>
            <w:r w:rsidRPr="00326768">
              <w:rPr>
                <w:rFonts w:cs="Arial"/>
                <w:b/>
                <w:bCs/>
                <w:color w:val="000000"/>
                <w:sz w:val="18"/>
                <w:szCs w:val="18"/>
              </w:rPr>
              <w:t>40.325.524.624</w:t>
            </w:r>
          </w:p>
        </w:tc>
        <w:tc>
          <w:tcPr>
            <w:tcW w:w="745" w:type="pct"/>
            <w:tcBorders>
              <w:top w:val="nil"/>
              <w:left w:val="nil"/>
              <w:bottom w:val="nil"/>
              <w:right w:val="single" w:sz="4" w:space="0" w:color="auto"/>
            </w:tcBorders>
            <w:shd w:val="clear" w:color="auto" w:fill="auto"/>
            <w:noWrap/>
            <w:vAlign w:val="center"/>
            <w:hideMark/>
          </w:tcPr>
          <w:p w14:paraId="38441E88" w14:textId="77777777" w:rsidR="002D29CF" w:rsidRPr="00326768" w:rsidRDefault="002D29CF" w:rsidP="002D29CF">
            <w:pPr>
              <w:jc w:val="right"/>
              <w:rPr>
                <w:rFonts w:cs="Arial"/>
                <w:b/>
                <w:bCs/>
                <w:color w:val="000000"/>
                <w:sz w:val="18"/>
                <w:szCs w:val="18"/>
              </w:rPr>
            </w:pPr>
            <w:r w:rsidRPr="00326768">
              <w:rPr>
                <w:rFonts w:cs="Arial"/>
                <w:b/>
                <w:bCs/>
                <w:color w:val="000000"/>
                <w:sz w:val="18"/>
                <w:szCs w:val="18"/>
              </w:rPr>
              <w:t>35.796.669.912</w:t>
            </w:r>
          </w:p>
        </w:tc>
        <w:tc>
          <w:tcPr>
            <w:tcW w:w="658" w:type="pct"/>
            <w:tcBorders>
              <w:top w:val="nil"/>
              <w:left w:val="nil"/>
              <w:bottom w:val="nil"/>
              <w:right w:val="single" w:sz="4" w:space="0" w:color="auto"/>
            </w:tcBorders>
            <w:vAlign w:val="center"/>
          </w:tcPr>
          <w:p w14:paraId="65DE9019" w14:textId="15458958" w:rsidR="002D29CF" w:rsidRPr="00326768" w:rsidRDefault="002D29CF" w:rsidP="008C79B5">
            <w:pPr>
              <w:jc w:val="center"/>
              <w:rPr>
                <w:rFonts w:cs="Arial"/>
                <w:b/>
                <w:bCs/>
                <w:color w:val="FF0000"/>
                <w:sz w:val="18"/>
                <w:szCs w:val="18"/>
              </w:rPr>
            </w:pPr>
            <w:r w:rsidRPr="00326768">
              <w:rPr>
                <w:rFonts w:cs="Arial"/>
                <w:b/>
                <w:bCs/>
                <w:color w:val="000000"/>
                <w:sz w:val="18"/>
                <w:szCs w:val="18"/>
              </w:rPr>
              <w:t>90,81</w:t>
            </w:r>
          </w:p>
        </w:tc>
        <w:tc>
          <w:tcPr>
            <w:tcW w:w="759" w:type="pct"/>
            <w:tcBorders>
              <w:top w:val="nil"/>
              <w:left w:val="single" w:sz="4" w:space="0" w:color="auto"/>
              <w:bottom w:val="nil"/>
              <w:right w:val="single" w:sz="4" w:space="0" w:color="auto"/>
            </w:tcBorders>
            <w:shd w:val="clear" w:color="auto" w:fill="auto"/>
            <w:noWrap/>
            <w:vAlign w:val="center"/>
            <w:hideMark/>
          </w:tcPr>
          <w:p w14:paraId="28540A8B" w14:textId="2E07373B" w:rsidR="002D29CF" w:rsidRPr="00326768" w:rsidRDefault="002D29CF" w:rsidP="002D29CF">
            <w:pPr>
              <w:jc w:val="right"/>
              <w:rPr>
                <w:rFonts w:cs="Arial"/>
                <w:b/>
                <w:bCs/>
                <w:color w:val="000000"/>
                <w:sz w:val="18"/>
                <w:szCs w:val="18"/>
              </w:rPr>
            </w:pPr>
            <w:r w:rsidRPr="00326768">
              <w:rPr>
                <w:rFonts w:cs="Arial"/>
                <w:b/>
                <w:bCs/>
                <w:color w:val="FF0000"/>
                <w:sz w:val="18"/>
                <w:szCs w:val="18"/>
              </w:rPr>
              <w:t>(4.528.854.712)</w:t>
            </w:r>
          </w:p>
        </w:tc>
        <w:tc>
          <w:tcPr>
            <w:tcW w:w="529" w:type="pct"/>
            <w:tcBorders>
              <w:top w:val="nil"/>
              <w:left w:val="nil"/>
              <w:bottom w:val="nil"/>
            </w:tcBorders>
            <w:shd w:val="clear" w:color="auto" w:fill="auto"/>
            <w:noWrap/>
            <w:vAlign w:val="center"/>
            <w:hideMark/>
          </w:tcPr>
          <w:p w14:paraId="3B2546BF" w14:textId="77777777" w:rsidR="002D29CF" w:rsidRPr="00326768" w:rsidRDefault="002D29CF" w:rsidP="002D29CF">
            <w:pPr>
              <w:jc w:val="center"/>
              <w:rPr>
                <w:rFonts w:cs="Arial"/>
                <w:b/>
                <w:bCs/>
                <w:color w:val="000000"/>
                <w:sz w:val="18"/>
                <w:szCs w:val="18"/>
              </w:rPr>
            </w:pPr>
            <w:r w:rsidRPr="00326768">
              <w:rPr>
                <w:rFonts w:cs="Arial"/>
                <w:b/>
                <w:bCs/>
                <w:color w:val="000000"/>
                <w:sz w:val="18"/>
                <w:szCs w:val="18"/>
              </w:rPr>
              <w:t>88,77</w:t>
            </w:r>
          </w:p>
        </w:tc>
      </w:tr>
      <w:tr w:rsidR="002D29CF" w:rsidRPr="00326768" w14:paraId="235561D1" w14:textId="77777777" w:rsidTr="00461248">
        <w:trPr>
          <w:trHeight w:val="340"/>
        </w:trPr>
        <w:tc>
          <w:tcPr>
            <w:tcW w:w="1564" w:type="pct"/>
            <w:tcBorders>
              <w:top w:val="nil"/>
              <w:left w:val="nil"/>
              <w:bottom w:val="nil"/>
              <w:right w:val="single" w:sz="4" w:space="0" w:color="auto"/>
            </w:tcBorders>
            <w:shd w:val="clear" w:color="auto" w:fill="auto"/>
            <w:noWrap/>
            <w:vAlign w:val="center"/>
            <w:hideMark/>
          </w:tcPr>
          <w:p w14:paraId="3D64E354" w14:textId="77777777" w:rsidR="002D29CF" w:rsidRPr="00326768" w:rsidRDefault="002D29CF" w:rsidP="002D29CF">
            <w:pPr>
              <w:ind w:left="209"/>
              <w:jc w:val="left"/>
              <w:rPr>
                <w:rFonts w:cs="Arial"/>
                <w:color w:val="000000"/>
                <w:sz w:val="18"/>
                <w:szCs w:val="18"/>
              </w:rPr>
            </w:pPr>
            <w:r w:rsidRPr="00326768">
              <w:rPr>
                <w:rFonts w:cs="Arial"/>
                <w:color w:val="000000"/>
                <w:sz w:val="18"/>
                <w:szCs w:val="18"/>
              </w:rPr>
              <w:t>Pessoal e Encargos Sociais</w:t>
            </w:r>
          </w:p>
        </w:tc>
        <w:tc>
          <w:tcPr>
            <w:tcW w:w="745" w:type="pct"/>
            <w:tcBorders>
              <w:top w:val="nil"/>
              <w:left w:val="nil"/>
              <w:bottom w:val="nil"/>
              <w:right w:val="single" w:sz="4" w:space="0" w:color="auto"/>
            </w:tcBorders>
            <w:shd w:val="clear" w:color="auto" w:fill="auto"/>
            <w:noWrap/>
            <w:vAlign w:val="center"/>
            <w:hideMark/>
          </w:tcPr>
          <w:p w14:paraId="6271CFAD" w14:textId="77777777" w:rsidR="002D29CF" w:rsidRPr="00326768" w:rsidRDefault="002D29CF" w:rsidP="002D29CF">
            <w:pPr>
              <w:jc w:val="right"/>
              <w:rPr>
                <w:rFonts w:cs="Arial"/>
                <w:color w:val="000000"/>
                <w:sz w:val="18"/>
                <w:szCs w:val="18"/>
              </w:rPr>
            </w:pPr>
            <w:r w:rsidRPr="00326768">
              <w:rPr>
                <w:rFonts w:cs="Arial"/>
                <w:color w:val="000000"/>
                <w:sz w:val="18"/>
                <w:szCs w:val="18"/>
              </w:rPr>
              <w:t>23.921.869.004</w:t>
            </w:r>
          </w:p>
        </w:tc>
        <w:tc>
          <w:tcPr>
            <w:tcW w:w="745" w:type="pct"/>
            <w:tcBorders>
              <w:top w:val="nil"/>
              <w:left w:val="nil"/>
              <w:bottom w:val="nil"/>
              <w:right w:val="single" w:sz="4" w:space="0" w:color="auto"/>
            </w:tcBorders>
            <w:shd w:val="clear" w:color="auto" w:fill="auto"/>
            <w:noWrap/>
            <w:vAlign w:val="center"/>
            <w:hideMark/>
          </w:tcPr>
          <w:p w14:paraId="43390899" w14:textId="77777777" w:rsidR="002D29CF" w:rsidRPr="00326768" w:rsidRDefault="002D29CF" w:rsidP="002D29CF">
            <w:pPr>
              <w:jc w:val="right"/>
              <w:rPr>
                <w:rFonts w:cs="Arial"/>
                <w:color w:val="000000"/>
                <w:sz w:val="18"/>
                <w:szCs w:val="18"/>
              </w:rPr>
            </w:pPr>
            <w:r w:rsidRPr="00326768">
              <w:rPr>
                <w:rFonts w:cs="Arial"/>
                <w:color w:val="000000"/>
                <w:sz w:val="18"/>
                <w:szCs w:val="18"/>
              </w:rPr>
              <w:t>23.046.538.143</w:t>
            </w:r>
          </w:p>
        </w:tc>
        <w:tc>
          <w:tcPr>
            <w:tcW w:w="658" w:type="pct"/>
            <w:tcBorders>
              <w:top w:val="nil"/>
              <w:left w:val="nil"/>
              <w:bottom w:val="nil"/>
              <w:right w:val="single" w:sz="4" w:space="0" w:color="auto"/>
            </w:tcBorders>
            <w:vAlign w:val="center"/>
          </w:tcPr>
          <w:p w14:paraId="25A7F6F3" w14:textId="27B2A7C6" w:rsidR="002D29CF" w:rsidRPr="00326768" w:rsidRDefault="002D29CF" w:rsidP="008C79B5">
            <w:pPr>
              <w:jc w:val="center"/>
              <w:rPr>
                <w:rFonts w:cs="Arial"/>
                <w:color w:val="FF0000"/>
                <w:sz w:val="18"/>
                <w:szCs w:val="18"/>
              </w:rPr>
            </w:pPr>
            <w:r w:rsidRPr="00326768">
              <w:rPr>
                <w:rFonts w:cs="Arial"/>
                <w:color w:val="000000"/>
                <w:sz w:val="18"/>
                <w:szCs w:val="18"/>
              </w:rPr>
              <w:t>58,46</w:t>
            </w:r>
          </w:p>
        </w:tc>
        <w:tc>
          <w:tcPr>
            <w:tcW w:w="759" w:type="pct"/>
            <w:tcBorders>
              <w:top w:val="nil"/>
              <w:left w:val="single" w:sz="4" w:space="0" w:color="auto"/>
              <w:bottom w:val="nil"/>
              <w:right w:val="single" w:sz="4" w:space="0" w:color="auto"/>
            </w:tcBorders>
            <w:shd w:val="clear" w:color="auto" w:fill="auto"/>
            <w:noWrap/>
            <w:vAlign w:val="center"/>
            <w:hideMark/>
          </w:tcPr>
          <w:p w14:paraId="7E0BACDF" w14:textId="264AFBBB" w:rsidR="002D29CF" w:rsidRPr="00326768" w:rsidRDefault="002D29CF" w:rsidP="002D29CF">
            <w:pPr>
              <w:jc w:val="right"/>
              <w:rPr>
                <w:rFonts w:cs="Arial"/>
                <w:color w:val="000000"/>
                <w:sz w:val="18"/>
                <w:szCs w:val="18"/>
              </w:rPr>
            </w:pPr>
            <w:r w:rsidRPr="00326768">
              <w:rPr>
                <w:rFonts w:cs="Arial"/>
                <w:color w:val="FF0000"/>
                <w:sz w:val="18"/>
                <w:szCs w:val="18"/>
              </w:rPr>
              <w:t>(875.330.861)</w:t>
            </w:r>
          </w:p>
        </w:tc>
        <w:tc>
          <w:tcPr>
            <w:tcW w:w="529" w:type="pct"/>
            <w:tcBorders>
              <w:top w:val="nil"/>
              <w:left w:val="nil"/>
              <w:bottom w:val="nil"/>
            </w:tcBorders>
            <w:shd w:val="clear" w:color="auto" w:fill="auto"/>
            <w:noWrap/>
            <w:vAlign w:val="center"/>
            <w:hideMark/>
          </w:tcPr>
          <w:p w14:paraId="20F3D84E" w14:textId="77777777" w:rsidR="002D29CF" w:rsidRPr="00326768" w:rsidRDefault="002D29CF" w:rsidP="002D29CF">
            <w:pPr>
              <w:jc w:val="center"/>
              <w:rPr>
                <w:rFonts w:cs="Arial"/>
                <w:color w:val="000000"/>
                <w:sz w:val="18"/>
                <w:szCs w:val="18"/>
              </w:rPr>
            </w:pPr>
            <w:r w:rsidRPr="00326768">
              <w:rPr>
                <w:rFonts w:cs="Arial"/>
                <w:color w:val="000000"/>
                <w:sz w:val="18"/>
                <w:szCs w:val="18"/>
              </w:rPr>
              <w:t>96,34</w:t>
            </w:r>
          </w:p>
        </w:tc>
      </w:tr>
      <w:tr w:rsidR="002D29CF" w:rsidRPr="00326768" w14:paraId="4E3FEFED" w14:textId="77777777" w:rsidTr="00461248">
        <w:trPr>
          <w:trHeight w:val="340"/>
        </w:trPr>
        <w:tc>
          <w:tcPr>
            <w:tcW w:w="1564" w:type="pct"/>
            <w:tcBorders>
              <w:top w:val="nil"/>
              <w:left w:val="nil"/>
              <w:bottom w:val="nil"/>
              <w:right w:val="single" w:sz="4" w:space="0" w:color="auto"/>
            </w:tcBorders>
            <w:shd w:val="clear" w:color="auto" w:fill="auto"/>
            <w:noWrap/>
            <w:vAlign w:val="center"/>
            <w:hideMark/>
          </w:tcPr>
          <w:p w14:paraId="1D965F54" w14:textId="77777777" w:rsidR="002D29CF" w:rsidRPr="00326768" w:rsidRDefault="002D29CF" w:rsidP="002D29CF">
            <w:pPr>
              <w:ind w:left="209"/>
              <w:jc w:val="left"/>
              <w:rPr>
                <w:rFonts w:cs="Arial"/>
                <w:color w:val="000000"/>
                <w:sz w:val="18"/>
                <w:szCs w:val="18"/>
              </w:rPr>
            </w:pPr>
            <w:r w:rsidRPr="00326768">
              <w:rPr>
                <w:rFonts w:cs="Arial"/>
                <w:color w:val="000000"/>
                <w:sz w:val="18"/>
                <w:szCs w:val="18"/>
              </w:rPr>
              <w:t>Juros e Encargos da Dívida</w:t>
            </w:r>
          </w:p>
        </w:tc>
        <w:tc>
          <w:tcPr>
            <w:tcW w:w="745" w:type="pct"/>
            <w:tcBorders>
              <w:top w:val="nil"/>
              <w:left w:val="nil"/>
              <w:bottom w:val="nil"/>
              <w:right w:val="single" w:sz="4" w:space="0" w:color="auto"/>
            </w:tcBorders>
            <w:shd w:val="clear" w:color="auto" w:fill="auto"/>
            <w:noWrap/>
            <w:vAlign w:val="center"/>
            <w:hideMark/>
          </w:tcPr>
          <w:p w14:paraId="2CD3C92C" w14:textId="77777777" w:rsidR="002D29CF" w:rsidRPr="00326768" w:rsidRDefault="002D29CF" w:rsidP="002D29CF">
            <w:pPr>
              <w:jc w:val="right"/>
              <w:rPr>
                <w:rFonts w:cs="Arial"/>
                <w:color w:val="000000"/>
                <w:sz w:val="18"/>
                <w:szCs w:val="18"/>
              </w:rPr>
            </w:pPr>
            <w:r w:rsidRPr="00326768">
              <w:rPr>
                <w:rFonts w:cs="Arial"/>
                <w:color w:val="000000"/>
                <w:sz w:val="18"/>
                <w:szCs w:val="18"/>
              </w:rPr>
              <w:t>598.985.799</w:t>
            </w:r>
          </w:p>
        </w:tc>
        <w:tc>
          <w:tcPr>
            <w:tcW w:w="745" w:type="pct"/>
            <w:tcBorders>
              <w:top w:val="nil"/>
              <w:left w:val="nil"/>
              <w:bottom w:val="nil"/>
              <w:right w:val="single" w:sz="4" w:space="0" w:color="auto"/>
            </w:tcBorders>
            <w:shd w:val="clear" w:color="auto" w:fill="auto"/>
            <w:noWrap/>
            <w:vAlign w:val="center"/>
            <w:hideMark/>
          </w:tcPr>
          <w:p w14:paraId="53D9648A" w14:textId="77777777" w:rsidR="002D29CF" w:rsidRPr="00326768" w:rsidRDefault="002D29CF" w:rsidP="002D29CF">
            <w:pPr>
              <w:jc w:val="right"/>
              <w:rPr>
                <w:rFonts w:cs="Arial"/>
                <w:color w:val="000000"/>
                <w:sz w:val="18"/>
                <w:szCs w:val="18"/>
              </w:rPr>
            </w:pPr>
            <w:r w:rsidRPr="00326768">
              <w:rPr>
                <w:rFonts w:cs="Arial"/>
                <w:color w:val="000000"/>
                <w:sz w:val="18"/>
                <w:szCs w:val="18"/>
              </w:rPr>
              <w:t>588.337.114</w:t>
            </w:r>
          </w:p>
        </w:tc>
        <w:tc>
          <w:tcPr>
            <w:tcW w:w="658" w:type="pct"/>
            <w:tcBorders>
              <w:top w:val="nil"/>
              <w:left w:val="nil"/>
              <w:bottom w:val="nil"/>
              <w:right w:val="single" w:sz="4" w:space="0" w:color="auto"/>
            </w:tcBorders>
            <w:vAlign w:val="center"/>
          </w:tcPr>
          <w:p w14:paraId="61F2CB1A" w14:textId="0BDB1041" w:rsidR="002D29CF" w:rsidRPr="00326768" w:rsidRDefault="002D29CF" w:rsidP="008C79B5">
            <w:pPr>
              <w:jc w:val="center"/>
              <w:rPr>
                <w:rFonts w:cs="Arial"/>
                <w:color w:val="FF0000"/>
                <w:sz w:val="18"/>
                <w:szCs w:val="18"/>
              </w:rPr>
            </w:pPr>
            <w:r w:rsidRPr="00326768">
              <w:rPr>
                <w:rFonts w:cs="Arial"/>
                <w:color w:val="000000"/>
                <w:sz w:val="18"/>
                <w:szCs w:val="18"/>
              </w:rPr>
              <w:t>1,49</w:t>
            </w:r>
          </w:p>
        </w:tc>
        <w:tc>
          <w:tcPr>
            <w:tcW w:w="759" w:type="pct"/>
            <w:tcBorders>
              <w:top w:val="nil"/>
              <w:left w:val="single" w:sz="4" w:space="0" w:color="auto"/>
              <w:bottom w:val="nil"/>
              <w:right w:val="single" w:sz="4" w:space="0" w:color="auto"/>
            </w:tcBorders>
            <w:shd w:val="clear" w:color="auto" w:fill="auto"/>
            <w:noWrap/>
            <w:vAlign w:val="center"/>
            <w:hideMark/>
          </w:tcPr>
          <w:p w14:paraId="55F2EDE1" w14:textId="37B97CBA" w:rsidR="002D29CF" w:rsidRPr="00326768" w:rsidRDefault="002D29CF" w:rsidP="002D29CF">
            <w:pPr>
              <w:jc w:val="right"/>
              <w:rPr>
                <w:rFonts w:cs="Arial"/>
                <w:color w:val="000000"/>
                <w:sz w:val="18"/>
                <w:szCs w:val="18"/>
              </w:rPr>
            </w:pPr>
            <w:r w:rsidRPr="00326768">
              <w:rPr>
                <w:rFonts w:cs="Arial"/>
                <w:color w:val="FF0000"/>
                <w:sz w:val="18"/>
                <w:szCs w:val="18"/>
              </w:rPr>
              <w:t>(10.648.686)</w:t>
            </w:r>
          </w:p>
        </w:tc>
        <w:tc>
          <w:tcPr>
            <w:tcW w:w="529" w:type="pct"/>
            <w:tcBorders>
              <w:top w:val="nil"/>
              <w:left w:val="nil"/>
              <w:bottom w:val="nil"/>
            </w:tcBorders>
            <w:shd w:val="clear" w:color="auto" w:fill="auto"/>
            <w:noWrap/>
            <w:vAlign w:val="center"/>
            <w:hideMark/>
          </w:tcPr>
          <w:p w14:paraId="639CB238" w14:textId="77777777" w:rsidR="002D29CF" w:rsidRPr="00326768" w:rsidRDefault="002D29CF" w:rsidP="002D29CF">
            <w:pPr>
              <w:jc w:val="center"/>
              <w:rPr>
                <w:rFonts w:cs="Arial"/>
                <w:color w:val="000000"/>
                <w:sz w:val="18"/>
                <w:szCs w:val="18"/>
              </w:rPr>
            </w:pPr>
            <w:r w:rsidRPr="00326768">
              <w:rPr>
                <w:rFonts w:cs="Arial"/>
                <w:color w:val="000000"/>
                <w:sz w:val="18"/>
                <w:szCs w:val="18"/>
              </w:rPr>
              <w:t>98,22</w:t>
            </w:r>
          </w:p>
        </w:tc>
      </w:tr>
      <w:tr w:rsidR="002D29CF" w:rsidRPr="00326768" w14:paraId="59E8BF82" w14:textId="77777777" w:rsidTr="00461248">
        <w:trPr>
          <w:trHeight w:val="340"/>
        </w:trPr>
        <w:tc>
          <w:tcPr>
            <w:tcW w:w="1564" w:type="pct"/>
            <w:tcBorders>
              <w:top w:val="nil"/>
              <w:left w:val="nil"/>
              <w:bottom w:val="nil"/>
              <w:right w:val="single" w:sz="4" w:space="0" w:color="auto"/>
            </w:tcBorders>
            <w:shd w:val="clear" w:color="auto" w:fill="auto"/>
            <w:noWrap/>
            <w:vAlign w:val="center"/>
            <w:hideMark/>
          </w:tcPr>
          <w:p w14:paraId="05E4252D" w14:textId="77777777" w:rsidR="002D29CF" w:rsidRPr="00326768" w:rsidRDefault="002D29CF" w:rsidP="002D29CF">
            <w:pPr>
              <w:ind w:left="209"/>
              <w:jc w:val="left"/>
              <w:rPr>
                <w:rFonts w:cs="Arial"/>
                <w:color w:val="000000"/>
                <w:sz w:val="18"/>
                <w:szCs w:val="18"/>
              </w:rPr>
            </w:pPr>
            <w:r w:rsidRPr="00326768">
              <w:rPr>
                <w:rFonts w:cs="Arial"/>
                <w:color w:val="000000"/>
                <w:sz w:val="18"/>
                <w:szCs w:val="18"/>
              </w:rPr>
              <w:t xml:space="preserve">Outras Despesas Correntes </w:t>
            </w:r>
          </w:p>
        </w:tc>
        <w:tc>
          <w:tcPr>
            <w:tcW w:w="745" w:type="pct"/>
            <w:tcBorders>
              <w:top w:val="nil"/>
              <w:left w:val="nil"/>
              <w:bottom w:val="nil"/>
              <w:right w:val="single" w:sz="4" w:space="0" w:color="auto"/>
            </w:tcBorders>
            <w:shd w:val="clear" w:color="auto" w:fill="auto"/>
            <w:noWrap/>
            <w:vAlign w:val="center"/>
            <w:hideMark/>
          </w:tcPr>
          <w:p w14:paraId="1C72ED2A" w14:textId="77777777" w:rsidR="002D29CF" w:rsidRPr="00326768" w:rsidRDefault="002D29CF" w:rsidP="002D29CF">
            <w:pPr>
              <w:jc w:val="right"/>
              <w:rPr>
                <w:rFonts w:cs="Arial"/>
                <w:color w:val="000000"/>
                <w:sz w:val="18"/>
                <w:szCs w:val="18"/>
              </w:rPr>
            </w:pPr>
            <w:r w:rsidRPr="00326768">
              <w:rPr>
                <w:rFonts w:cs="Arial"/>
                <w:color w:val="000000"/>
                <w:sz w:val="18"/>
                <w:szCs w:val="18"/>
              </w:rPr>
              <w:t>15.804.669.821</w:t>
            </w:r>
          </w:p>
        </w:tc>
        <w:tc>
          <w:tcPr>
            <w:tcW w:w="745" w:type="pct"/>
            <w:tcBorders>
              <w:top w:val="nil"/>
              <w:left w:val="nil"/>
              <w:bottom w:val="nil"/>
              <w:right w:val="single" w:sz="4" w:space="0" w:color="auto"/>
            </w:tcBorders>
            <w:shd w:val="clear" w:color="auto" w:fill="auto"/>
            <w:noWrap/>
            <w:vAlign w:val="center"/>
            <w:hideMark/>
          </w:tcPr>
          <w:p w14:paraId="0001387B" w14:textId="77777777" w:rsidR="002D29CF" w:rsidRPr="00326768" w:rsidRDefault="002D29CF" w:rsidP="002D29CF">
            <w:pPr>
              <w:jc w:val="right"/>
              <w:rPr>
                <w:rFonts w:cs="Arial"/>
                <w:color w:val="000000"/>
                <w:sz w:val="18"/>
                <w:szCs w:val="18"/>
              </w:rPr>
            </w:pPr>
            <w:r w:rsidRPr="00326768">
              <w:rPr>
                <w:rFonts w:cs="Arial"/>
                <w:color w:val="000000"/>
                <w:sz w:val="18"/>
                <w:szCs w:val="18"/>
              </w:rPr>
              <w:t>12.161.794.655</w:t>
            </w:r>
          </w:p>
        </w:tc>
        <w:tc>
          <w:tcPr>
            <w:tcW w:w="658" w:type="pct"/>
            <w:tcBorders>
              <w:top w:val="nil"/>
              <w:left w:val="nil"/>
              <w:bottom w:val="nil"/>
              <w:right w:val="single" w:sz="4" w:space="0" w:color="auto"/>
            </w:tcBorders>
            <w:vAlign w:val="center"/>
          </w:tcPr>
          <w:p w14:paraId="0C6E8102" w14:textId="6E0B3F5D" w:rsidR="002D29CF" w:rsidRPr="00326768" w:rsidRDefault="002D29CF" w:rsidP="008C79B5">
            <w:pPr>
              <w:jc w:val="center"/>
              <w:rPr>
                <w:rFonts w:cs="Arial"/>
                <w:color w:val="FF0000"/>
                <w:sz w:val="18"/>
                <w:szCs w:val="18"/>
              </w:rPr>
            </w:pPr>
            <w:r w:rsidRPr="00326768">
              <w:rPr>
                <w:rFonts w:cs="Arial"/>
                <w:color w:val="000000"/>
                <w:sz w:val="18"/>
                <w:szCs w:val="18"/>
              </w:rPr>
              <w:t>30,85</w:t>
            </w:r>
          </w:p>
        </w:tc>
        <w:tc>
          <w:tcPr>
            <w:tcW w:w="759" w:type="pct"/>
            <w:tcBorders>
              <w:top w:val="nil"/>
              <w:left w:val="single" w:sz="4" w:space="0" w:color="auto"/>
              <w:bottom w:val="nil"/>
              <w:right w:val="single" w:sz="4" w:space="0" w:color="auto"/>
            </w:tcBorders>
            <w:shd w:val="clear" w:color="auto" w:fill="auto"/>
            <w:noWrap/>
            <w:vAlign w:val="center"/>
            <w:hideMark/>
          </w:tcPr>
          <w:p w14:paraId="49E08074" w14:textId="3A6694FD" w:rsidR="002D29CF" w:rsidRPr="00326768" w:rsidRDefault="002D29CF" w:rsidP="002D29CF">
            <w:pPr>
              <w:jc w:val="right"/>
              <w:rPr>
                <w:rFonts w:cs="Arial"/>
                <w:color w:val="000000"/>
                <w:sz w:val="18"/>
                <w:szCs w:val="18"/>
              </w:rPr>
            </w:pPr>
            <w:r w:rsidRPr="00326768">
              <w:rPr>
                <w:rFonts w:cs="Arial"/>
                <w:color w:val="FF0000"/>
                <w:sz w:val="18"/>
                <w:szCs w:val="18"/>
              </w:rPr>
              <w:t>(3.642.875.166)</w:t>
            </w:r>
          </w:p>
        </w:tc>
        <w:tc>
          <w:tcPr>
            <w:tcW w:w="529" w:type="pct"/>
            <w:tcBorders>
              <w:top w:val="nil"/>
              <w:left w:val="nil"/>
              <w:bottom w:val="nil"/>
            </w:tcBorders>
            <w:shd w:val="clear" w:color="auto" w:fill="auto"/>
            <w:noWrap/>
            <w:vAlign w:val="center"/>
            <w:hideMark/>
          </w:tcPr>
          <w:p w14:paraId="44ACBDB4" w14:textId="77777777" w:rsidR="002D29CF" w:rsidRPr="00326768" w:rsidRDefault="002D29CF" w:rsidP="002D29CF">
            <w:pPr>
              <w:jc w:val="center"/>
              <w:rPr>
                <w:rFonts w:cs="Arial"/>
                <w:color w:val="000000"/>
                <w:sz w:val="18"/>
                <w:szCs w:val="18"/>
              </w:rPr>
            </w:pPr>
            <w:r w:rsidRPr="00326768">
              <w:rPr>
                <w:rFonts w:cs="Arial"/>
                <w:color w:val="000000"/>
                <w:sz w:val="18"/>
                <w:szCs w:val="18"/>
              </w:rPr>
              <w:t>76,95</w:t>
            </w:r>
          </w:p>
        </w:tc>
      </w:tr>
      <w:tr w:rsidR="002D29CF" w:rsidRPr="00326768" w14:paraId="0CFD95C5" w14:textId="77777777" w:rsidTr="00461248">
        <w:trPr>
          <w:trHeight w:val="340"/>
        </w:trPr>
        <w:tc>
          <w:tcPr>
            <w:tcW w:w="1564" w:type="pct"/>
            <w:tcBorders>
              <w:top w:val="nil"/>
              <w:left w:val="nil"/>
              <w:bottom w:val="nil"/>
              <w:right w:val="single" w:sz="4" w:space="0" w:color="auto"/>
            </w:tcBorders>
            <w:shd w:val="clear" w:color="auto" w:fill="auto"/>
            <w:noWrap/>
            <w:vAlign w:val="center"/>
            <w:hideMark/>
          </w:tcPr>
          <w:p w14:paraId="5107B9F0" w14:textId="77777777" w:rsidR="002D29CF" w:rsidRPr="00326768" w:rsidRDefault="002D29CF" w:rsidP="002D29CF">
            <w:pPr>
              <w:jc w:val="left"/>
              <w:rPr>
                <w:rFonts w:cs="Arial"/>
                <w:b/>
                <w:bCs/>
                <w:color w:val="000000"/>
                <w:sz w:val="18"/>
                <w:szCs w:val="18"/>
              </w:rPr>
            </w:pPr>
            <w:r w:rsidRPr="00326768">
              <w:rPr>
                <w:rFonts w:cs="Arial"/>
                <w:b/>
                <w:bCs/>
                <w:color w:val="000000"/>
                <w:sz w:val="18"/>
                <w:szCs w:val="18"/>
              </w:rPr>
              <w:t>Despesas de Capital</w:t>
            </w:r>
          </w:p>
        </w:tc>
        <w:tc>
          <w:tcPr>
            <w:tcW w:w="745" w:type="pct"/>
            <w:tcBorders>
              <w:top w:val="nil"/>
              <w:left w:val="nil"/>
              <w:bottom w:val="nil"/>
              <w:right w:val="single" w:sz="4" w:space="0" w:color="auto"/>
            </w:tcBorders>
            <w:shd w:val="clear" w:color="auto" w:fill="auto"/>
            <w:noWrap/>
            <w:vAlign w:val="center"/>
            <w:hideMark/>
          </w:tcPr>
          <w:p w14:paraId="3075129E" w14:textId="77777777" w:rsidR="002D29CF" w:rsidRPr="00326768" w:rsidRDefault="002D29CF" w:rsidP="002D29CF">
            <w:pPr>
              <w:jc w:val="right"/>
              <w:rPr>
                <w:rFonts w:cs="Arial"/>
                <w:b/>
                <w:bCs/>
                <w:color w:val="000000"/>
                <w:sz w:val="18"/>
                <w:szCs w:val="18"/>
              </w:rPr>
            </w:pPr>
            <w:r w:rsidRPr="00326768">
              <w:rPr>
                <w:rFonts w:cs="Arial"/>
                <w:b/>
                <w:bCs/>
                <w:color w:val="000000"/>
                <w:sz w:val="18"/>
                <w:szCs w:val="18"/>
              </w:rPr>
              <w:t>5.931.045.858</w:t>
            </w:r>
          </w:p>
        </w:tc>
        <w:tc>
          <w:tcPr>
            <w:tcW w:w="745" w:type="pct"/>
            <w:tcBorders>
              <w:top w:val="nil"/>
              <w:left w:val="nil"/>
              <w:bottom w:val="nil"/>
              <w:right w:val="single" w:sz="4" w:space="0" w:color="auto"/>
            </w:tcBorders>
            <w:shd w:val="clear" w:color="auto" w:fill="auto"/>
            <w:noWrap/>
            <w:vAlign w:val="center"/>
            <w:hideMark/>
          </w:tcPr>
          <w:p w14:paraId="1657F67E" w14:textId="77777777" w:rsidR="002D29CF" w:rsidRPr="00326768" w:rsidRDefault="002D29CF" w:rsidP="002D29CF">
            <w:pPr>
              <w:jc w:val="right"/>
              <w:rPr>
                <w:rFonts w:cs="Arial"/>
                <w:b/>
                <w:bCs/>
                <w:color w:val="000000"/>
                <w:sz w:val="18"/>
                <w:szCs w:val="18"/>
              </w:rPr>
            </w:pPr>
            <w:r w:rsidRPr="00326768">
              <w:rPr>
                <w:rFonts w:cs="Arial"/>
                <w:b/>
                <w:bCs/>
                <w:color w:val="000000"/>
                <w:sz w:val="18"/>
                <w:szCs w:val="18"/>
              </w:rPr>
              <w:t>3.623.924.564</w:t>
            </w:r>
          </w:p>
        </w:tc>
        <w:tc>
          <w:tcPr>
            <w:tcW w:w="658" w:type="pct"/>
            <w:tcBorders>
              <w:top w:val="nil"/>
              <w:left w:val="nil"/>
              <w:bottom w:val="nil"/>
              <w:right w:val="single" w:sz="4" w:space="0" w:color="auto"/>
            </w:tcBorders>
            <w:vAlign w:val="center"/>
          </w:tcPr>
          <w:p w14:paraId="7654A876" w14:textId="408AC401" w:rsidR="002D29CF" w:rsidRPr="00326768" w:rsidRDefault="002D29CF" w:rsidP="008C79B5">
            <w:pPr>
              <w:jc w:val="center"/>
              <w:rPr>
                <w:rFonts w:cs="Arial"/>
                <w:b/>
                <w:bCs/>
                <w:color w:val="FF0000"/>
                <w:sz w:val="18"/>
                <w:szCs w:val="18"/>
              </w:rPr>
            </w:pPr>
            <w:r w:rsidRPr="00326768">
              <w:rPr>
                <w:rFonts w:cs="Arial"/>
                <w:b/>
                <w:bCs/>
                <w:color w:val="000000"/>
                <w:sz w:val="18"/>
                <w:szCs w:val="18"/>
              </w:rPr>
              <w:t>9,19</w:t>
            </w:r>
          </w:p>
        </w:tc>
        <w:tc>
          <w:tcPr>
            <w:tcW w:w="759" w:type="pct"/>
            <w:tcBorders>
              <w:top w:val="nil"/>
              <w:left w:val="single" w:sz="4" w:space="0" w:color="auto"/>
              <w:bottom w:val="nil"/>
              <w:right w:val="single" w:sz="4" w:space="0" w:color="auto"/>
            </w:tcBorders>
            <w:shd w:val="clear" w:color="auto" w:fill="auto"/>
            <w:noWrap/>
            <w:vAlign w:val="center"/>
            <w:hideMark/>
          </w:tcPr>
          <w:p w14:paraId="4797F100" w14:textId="0657EE11" w:rsidR="002D29CF" w:rsidRPr="00326768" w:rsidRDefault="002D29CF" w:rsidP="002D29CF">
            <w:pPr>
              <w:jc w:val="right"/>
              <w:rPr>
                <w:rFonts w:cs="Arial"/>
                <w:b/>
                <w:bCs/>
                <w:color w:val="000000"/>
                <w:sz w:val="18"/>
                <w:szCs w:val="18"/>
              </w:rPr>
            </w:pPr>
            <w:r w:rsidRPr="00326768">
              <w:rPr>
                <w:rFonts w:cs="Arial"/>
                <w:b/>
                <w:bCs/>
                <w:color w:val="FF0000"/>
                <w:sz w:val="18"/>
                <w:szCs w:val="18"/>
              </w:rPr>
              <w:t>(2.307.121.294)</w:t>
            </w:r>
          </w:p>
        </w:tc>
        <w:tc>
          <w:tcPr>
            <w:tcW w:w="529" w:type="pct"/>
            <w:tcBorders>
              <w:top w:val="nil"/>
              <w:left w:val="nil"/>
              <w:bottom w:val="nil"/>
            </w:tcBorders>
            <w:shd w:val="clear" w:color="auto" w:fill="auto"/>
            <w:noWrap/>
            <w:vAlign w:val="center"/>
            <w:hideMark/>
          </w:tcPr>
          <w:p w14:paraId="2B0573CE" w14:textId="77777777" w:rsidR="002D29CF" w:rsidRPr="00326768" w:rsidRDefault="002D29CF" w:rsidP="002D29CF">
            <w:pPr>
              <w:jc w:val="center"/>
              <w:rPr>
                <w:rFonts w:cs="Arial"/>
                <w:b/>
                <w:bCs/>
                <w:color w:val="000000"/>
                <w:sz w:val="18"/>
                <w:szCs w:val="18"/>
              </w:rPr>
            </w:pPr>
            <w:r w:rsidRPr="00326768">
              <w:rPr>
                <w:rFonts w:cs="Arial"/>
                <w:b/>
                <w:bCs/>
                <w:color w:val="000000"/>
                <w:sz w:val="18"/>
                <w:szCs w:val="18"/>
              </w:rPr>
              <w:t>61,10</w:t>
            </w:r>
          </w:p>
        </w:tc>
      </w:tr>
      <w:tr w:rsidR="002D29CF" w:rsidRPr="00326768" w14:paraId="0BD761E8" w14:textId="77777777" w:rsidTr="00461248">
        <w:trPr>
          <w:trHeight w:val="340"/>
        </w:trPr>
        <w:tc>
          <w:tcPr>
            <w:tcW w:w="1564" w:type="pct"/>
            <w:tcBorders>
              <w:top w:val="nil"/>
              <w:left w:val="nil"/>
              <w:bottom w:val="nil"/>
              <w:right w:val="single" w:sz="4" w:space="0" w:color="auto"/>
            </w:tcBorders>
            <w:shd w:val="clear" w:color="auto" w:fill="auto"/>
            <w:noWrap/>
            <w:vAlign w:val="center"/>
            <w:hideMark/>
          </w:tcPr>
          <w:p w14:paraId="776768E0" w14:textId="77777777" w:rsidR="002D29CF" w:rsidRPr="00326768" w:rsidRDefault="002D29CF" w:rsidP="002D29CF">
            <w:pPr>
              <w:ind w:left="209"/>
              <w:jc w:val="left"/>
              <w:rPr>
                <w:rFonts w:cs="Arial"/>
                <w:color w:val="000000"/>
                <w:sz w:val="18"/>
                <w:szCs w:val="18"/>
              </w:rPr>
            </w:pPr>
            <w:r w:rsidRPr="00326768">
              <w:rPr>
                <w:rFonts w:cs="Arial"/>
                <w:color w:val="000000"/>
                <w:sz w:val="18"/>
                <w:szCs w:val="18"/>
              </w:rPr>
              <w:t>Investimentos</w:t>
            </w:r>
          </w:p>
        </w:tc>
        <w:tc>
          <w:tcPr>
            <w:tcW w:w="745" w:type="pct"/>
            <w:tcBorders>
              <w:top w:val="nil"/>
              <w:left w:val="nil"/>
              <w:bottom w:val="nil"/>
              <w:right w:val="single" w:sz="4" w:space="0" w:color="auto"/>
            </w:tcBorders>
            <w:shd w:val="clear" w:color="auto" w:fill="auto"/>
            <w:noWrap/>
            <w:vAlign w:val="center"/>
            <w:hideMark/>
          </w:tcPr>
          <w:p w14:paraId="552F500F" w14:textId="77777777" w:rsidR="002D29CF" w:rsidRPr="00326768" w:rsidRDefault="002D29CF" w:rsidP="002D29CF">
            <w:pPr>
              <w:jc w:val="right"/>
              <w:rPr>
                <w:rFonts w:cs="Arial"/>
                <w:color w:val="000000"/>
                <w:sz w:val="18"/>
                <w:szCs w:val="18"/>
              </w:rPr>
            </w:pPr>
            <w:r w:rsidRPr="00326768">
              <w:rPr>
                <w:rFonts w:cs="Arial"/>
                <w:color w:val="000000"/>
                <w:sz w:val="18"/>
                <w:szCs w:val="18"/>
              </w:rPr>
              <w:t>5.490.827.657</w:t>
            </w:r>
          </w:p>
        </w:tc>
        <w:tc>
          <w:tcPr>
            <w:tcW w:w="745" w:type="pct"/>
            <w:tcBorders>
              <w:top w:val="nil"/>
              <w:left w:val="nil"/>
              <w:bottom w:val="nil"/>
              <w:right w:val="single" w:sz="4" w:space="0" w:color="auto"/>
            </w:tcBorders>
            <w:shd w:val="clear" w:color="auto" w:fill="auto"/>
            <w:noWrap/>
            <w:vAlign w:val="center"/>
            <w:hideMark/>
          </w:tcPr>
          <w:p w14:paraId="131F44DD" w14:textId="77777777" w:rsidR="002D29CF" w:rsidRPr="00326768" w:rsidRDefault="002D29CF" w:rsidP="002D29CF">
            <w:pPr>
              <w:jc w:val="right"/>
              <w:rPr>
                <w:rFonts w:cs="Arial"/>
                <w:color w:val="000000"/>
                <w:sz w:val="18"/>
                <w:szCs w:val="18"/>
              </w:rPr>
            </w:pPr>
            <w:r w:rsidRPr="00326768">
              <w:rPr>
                <w:rFonts w:cs="Arial"/>
                <w:color w:val="000000"/>
                <w:sz w:val="18"/>
                <w:szCs w:val="18"/>
              </w:rPr>
              <w:t>3.283.874.086</w:t>
            </w:r>
          </w:p>
        </w:tc>
        <w:tc>
          <w:tcPr>
            <w:tcW w:w="658" w:type="pct"/>
            <w:tcBorders>
              <w:top w:val="nil"/>
              <w:left w:val="nil"/>
              <w:bottom w:val="nil"/>
              <w:right w:val="single" w:sz="4" w:space="0" w:color="auto"/>
            </w:tcBorders>
            <w:vAlign w:val="center"/>
          </w:tcPr>
          <w:p w14:paraId="42A3AB63" w14:textId="268E1F86" w:rsidR="002D29CF" w:rsidRPr="00326768" w:rsidRDefault="002D29CF" w:rsidP="008C79B5">
            <w:pPr>
              <w:jc w:val="center"/>
              <w:rPr>
                <w:rFonts w:cs="Arial"/>
                <w:color w:val="FF0000"/>
                <w:sz w:val="18"/>
                <w:szCs w:val="18"/>
              </w:rPr>
            </w:pPr>
            <w:r w:rsidRPr="00326768">
              <w:rPr>
                <w:rFonts w:cs="Arial"/>
                <w:color w:val="000000"/>
                <w:sz w:val="18"/>
                <w:szCs w:val="18"/>
              </w:rPr>
              <w:t>8,33</w:t>
            </w:r>
          </w:p>
        </w:tc>
        <w:tc>
          <w:tcPr>
            <w:tcW w:w="759" w:type="pct"/>
            <w:tcBorders>
              <w:top w:val="nil"/>
              <w:left w:val="single" w:sz="4" w:space="0" w:color="auto"/>
              <w:bottom w:val="nil"/>
              <w:right w:val="single" w:sz="4" w:space="0" w:color="auto"/>
            </w:tcBorders>
            <w:shd w:val="clear" w:color="auto" w:fill="auto"/>
            <w:noWrap/>
            <w:vAlign w:val="center"/>
            <w:hideMark/>
          </w:tcPr>
          <w:p w14:paraId="31A19DF7" w14:textId="28CFB01A" w:rsidR="002D29CF" w:rsidRPr="00326768" w:rsidRDefault="002D29CF" w:rsidP="002D29CF">
            <w:pPr>
              <w:jc w:val="right"/>
              <w:rPr>
                <w:rFonts w:cs="Arial"/>
                <w:color w:val="000000"/>
                <w:sz w:val="18"/>
                <w:szCs w:val="18"/>
              </w:rPr>
            </w:pPr>
            <w:r w:rsidRPr="00326768">
              <w:rPr>
                <w:rFonts w:cs="Arial"/>
                <w:color w:val="FF0000"/>
                <w:sz w:val="18"/>
                <w:szCs w:val="18"/>
              </w:rPr>
              <w:t>(2.206.953.570)</w:t>
            </w:r>
          </w:p>
        </w:tc>
        <w:tc>
          <w:tcPr>
            <w:tcW w:w="529" w:type="pct"/>
            <w:tcBorders>
              <w:top w:val="nil"/>
              <w:left w:val="nil"/>
              <w:bottom w:val="nil"/>
            </w:tcBorders>
            <w:shd w:val="clear" w:color="auto" w:fill="auto"/>
            <w:noWrap/>
            <w:vAlign w:val="center"/>
            <w:hideMark/>
          </w:tcPr>
          <w:p w14:paraId="2035D1BE" w14:textId="77777777" w:rsidR="002D29CF" w:rsidRPr="00326768" w:rsidRDefault="002D29CF" w:rsidP="002D29CF">
            <w:pPr>
              <w:jc w:val="center"/>
              <w:rPr>
                <w:rFonts w:cs="Arial"/>
                <w:color w:val="000000"/>
                <w:sz w:val="18"/>
                <w:szCs w:val="18"/>
              </w:rPr>
            </w:pPr>
            <w:r w:rsidRPr="00326768">
              <w:rPr>
                <w:rFonts w:cs="Arial"/>
                <w:color w:val="000000"/>
                <w:sz w:val="18"/>
                <w:szCs w:val="18"/>
              </w:rPr>
              <w:t>59,81</w:t>
            </w:r>
          </w:p>
        </w:tc>
      </w:tr>
      <w:tr w:rsidR="002D29CF" w:rsidRPr="00326768" w14:paraId="3EB2F7B1" w14:textId="77777777" w:rsidTr="00461248">
        <w:trPr>
          <w:trHeight w:val="340"/>
        </w:trPr>
        <w:tc>
          <w:tcPr>
            <w:tcW w:w="1564" w:type="pct"/>
            <w:tcBorders>
              <w:top w:val="nil"/>
              <w:left w:val="nil"/>
              <w:bottom w:val="nil"/>
              <w:right w:val="single" w:sz="4" w:space="0" w:color="auto"/>
            </w:tcBorders>
            <w:shd w:val="clear" w:color="auto" w:fill="auto"/>
            <w:noWrap/>
            <w:vAlign w:val="center"/>
            <w:hideMark/>
          </w:tcPr>
          <w:p w14:paraId="60D3B415" w14:textId="77777777" w:rsidR="002D29CF" w:rsidRPr="00326768" w:rsidRDefault="002D29CF" w:rsidP="002D29CF">
            <w:pPr>
              <w:ind w:left="209"/>
              <w:jc w:val="left"/>
              <w:rPr>
                <w:rFonts w:cs="Arial"/>
                <w:color w:val="000000"/>
                <w:sz w:val="18"/>
                <w:szCs w:val="18"/>
              </w:rPr>
            </w:pPr>
            <w:r w:rsidRPr="00326768">
              <w:rPr>
                <w:rFonts w:cs="Arial"/>
                <w:color w:val="000000"/>
                <w:sz w:val="18"/>
                <w:szCs w:val="18"/>
              </w:rPr>
              <w:t>Inversões Financeiras</w:t>
            </w:r>
          </w:p>
        </w:tc>
        <w:tc>
          <w:tcPr>
            <w:tcW w:w="745" w:type="pct"/>
            <w:tcBorders>
              <w:top w:val="nil"/>
              <w:left w:val="nil"/>
              <w:bottom w:val="nil"/>
              <w:right w:val="single" w:sz="4" w:space="0" w:color="auto"/>
            </w:tcBorders>
            <w:shd w:val="clear" w:color="auto" w:fill="auto"/>
            <w:noWrap/>
            <w:vAlign w:val="center"/>
            <w:hideMark/>
          </w:tcPr>
          <w:p w14:paraId="34B06950" w14:textId="77777777" w:rsidR="002D29CF" w:rsidRPr="00326768" w:rsidRDefault="002D29CF" w:rsidP="002D29CF">
            <w:pPr>
              <w:jc w:val="right"/>
              <w:rPr>
                <w:rFonts w:cs="Arial"/>
                <w:color w:val="000000"/>
                <w:sz w:val="18"/>
                <w:szCs w:val="18"/>
              </w:rPr>
            </w:pPr>
            <w:r w:rsidRPr="00326768">
              <w:rPr>
                <w:rFonts w:cs="Arial"/>
                <w:color w:val="000000"/>
                <w:sz w:val="18"/>
                <w:szCs w:val="18"/>
              </w:rPr>
              <w:t>128.476.654</w:t>
            </w:r>
          </w:p>
        </w:tc>
        <w:tc>
          <w:tcPr>
            <w:tcW w:w="745" w:type="pct"/>
            <w:tcBorders>
              <w:top w:val="nil"/>
              <w:left w:val="nil"/>
              <w:bottom w:val="nil"/>
              <w:right w:val="single" w:sz="4" w:space="0" w:color="auto"/>
            </w:tcBorders>
            <w:shd w:val="clear" w:color="auto" w:fill="auto"/>
            <w:noWrap/>
            <w:vAlign w:val="center"/>
            <w:hideMark/>
          </w:tcPr>
          <w:p w14:paraId="6EC4FA2D" w14:textId="77777777" w:rsidR="002D29CF" w:rsidRPr="00326768" w:rsidRDefault="002D29CF" w:rsidP="002D29CF">
            <w:pPr>
              <w:jc w:val="right"/>
              <w:rPr>
                <w:rFonts w:cs="Arial"/>
                <w:color w:val="000000"/>
                <w:sz w:val="18"/>
                <w:szCs w:val="18"/>
              </w:rPr>
            </w:pPr>
            <w:r w:rsidRPr="00326768">
              <w:rPr>
                <w:rFonts w:cs="Arial"/>
                <w:color w:val="000000"/>
                <w:sz w:val="18"/>
                <w:szCs w:val="18"/>
              </w:rPr>
              <w:t>29.804.846</w:t>
            </w:r>
          </w:p>
        </w:tc>
        <w:tc>
          <w:tcPr>
            <w:tcW w:w="658" w:type="pct"/>
            <w:tcBorders>
              <w:top w:val="nil"/>
              <w:left w:val="nil"/>
              <w:bottom w:val="nil"/>
              <w:right w:val="single" w:sz="4" w:space="0" w:color="auto"/>
            </w:tcBorders>
            <w:vAlign w:val="center"/>
          </w:tcPr>
          <w:p w14:paraId="4EEB8FE0" w14:textId="355C2442" w:rsidR="002D29CF" w:rsidRPr="00326768" w:rsidRDefault="002D29CF" w:rsidP="008C79B5">
            <w:pPr>
              <w:jc w:val="center"/>
              <w:rPr>
                <w:rFonts w:cs="Arial"/>
                <w:color w:val="FF0000"/>
                <w:sz w:val="18"/>
                <w:szCs w:val="18"/>
              </w:rPr>
            </w:pPr>
            <w:r w:rsidRPr="00326768">
              <w:rPr>
                <w:rFonts w:cs="Arial"/>
                <w:color w:val="000000"/>
                <w:sz w:val="18"/>
                <w:szCs w:val="18"/>
              </w:rPr>
              <w:t>0,08</w:t>
            </w:r>
          </w:p>
        </w:tc>
        <w:tc>
          <w:tcPr>
            <w:tcW w:w="759" w:type="pct"/>
            <w:tcBorders>
              <w:top w:val="nil"/>
              <w:left w:val="single" w:sz="4" w:space="0" w:color="auto"/>
              <w:bottom w:val="nil"/>
              <w:right w:val="single" w:sz="4" w:space="0" w:color="auto"/>
            </w:tcBorders>
            <w:shd w:val="clear" w:color="auto" w:fill="auto"/>
            <w:noWrap/>
            <w:vAlign w:val="center"/>
            <w:hideMark/>
          </w:tcPr>
          <w:p w14:paraId="15BE8191" w14:textId="1BF2DBEB" w:rsidR="002D29CF" w:rsidRPr="00326768" w:rsidRDefault="002D29CF" w:rsidP="002D29CF">
            <w:pPr>
              <w:jc w:val="right"/>
              <w:rPr>
                <w:rFonts w:cs="Arial"/>
                <w:color w:val="000000"/>
                <w:sz w:val="18"/>
                <w:szCs w:val="18"/>
              </w:rPr>
            </w:pPr>
            <w:r w:rsidRPr="00326768">
              <w:rPr>
                <w:rFonts w:cs="Arial"/>
                <w:color w:val="FF0000"/>
                <w:sz w:val="18"/>
                <w:szCs w:val="18"/>
              </w:rPr>
              <w:t>(98.671.808)</w:t>
            </w:r>
          </w:p>
        </w:tc>
        <w:tc>
          <w:tcPr>
            <w:tcW w:w="529" w:type="pct"/>
            <w:tcBorders>
              <w:top w:val="nil"/>
              <w:left w:val="nil"/>
              <w:bottom w:val="nil"/>
            </w:tcBorders>
            <w:shd w:val="clear" w:color="auto" w:fill="auto"/>
            <w:noWrap/>
            <w:vAlign w:val="center"/>
            <w:hideMark/>
          </w:tcPr>
          <w:p w14:paraId="487D5CD6" w14:textId="77777777" w:rsidR="002D29CF" w:rsidRPr="00326768" w:rsidRDefault="002D29CF" w:rsidP="002D29CF">
            <w:pPr>
              <w:jc w:val="center"/>
              <w:rPr>
                <w:rFonts w:cs="Arial"/>
                <w:color w:val="000000"/>
                <w:sz w:val="18"/>
                <w:szCs w:val="18"/>
              </w:rPr>
            </w:pPr>
            <w:r w:rsidRPr="00326768">
              <w:rPr>
                <w:rFonts w:cs="Arial"/>
                <w:color w:val="000000"/>
                <w:sz w:val="18"/>
                <w:szCs w:val="18"/>
              </w:rPr>
              <w:t>23,20</w:t>
            </w:r>
          </w:p>
        </w:tc>
      </w:tr>
      <w:tr w:rsidR="002D29CF" w:rsidRPr="00326768" w14:paraId="5765D67C" w14:textId="77777777" w:rsidTr="00461248">
        <w:trPr>
          <w:trHeight w:val="340"/>
        </w:trPr>
        <w:tc>
          <w:tcPr>
            <w:tcW w:w="1564" w:type="pct"/>
            <w:tcBorders>
              <w:top w:val="nil"/>
              <w:left w:val="nil"/>
              <w:bottom w:val="nil"/>
              <w:right w:val="single" w:sz="4" w:space="0" w:color="auto"/>
            </w:tcBorders>
            <w:shd w:val="clear" w:color="auto" w:fill="auto"/>
            <w:noWrap/>
            <w:vAlign w:val="center"/>
            <w:hideMark/>
          </w:tcPr>
          <w:p w14:paraId="72D51B36" w14:textId="77777777" w:rsidR="002D29CF" w:rsidRPr="00326768" w:rsidRDefault="002D29CF" w:rsidP="002D29CF">
            <w:pPr>
              <w:ind w:left="209"/>
              <w:jc w:val="left"/>
              <w:rPr>
                <w:rFonts w:cs="Arial"/>
                <w:color w:val="000000"/>
                <w:sz w:val="18"/>
                <w:szCs w:val="18"/>
              </w:rPr>
            </w:pPr>
            <w:r w:rsidRPr="00326768">
              <w:rPr>
                <w:rFonts w:cs="Arial"/>
                <w:color w:val="000000"/>
                <w:sz w:val="18"/>
                <w:szCs w:val="18"/>
              </w:rPr>
              <w:t>Amortização da Dívida</w:t>
            </w:r>
          </w:p>
        </w:tc>
        <w:tc>
          <w:tcPr>
            <w:tcW w:w="745" w:type="pct"/>
            <w:tcBorders>
              <w:top w:val="nil"/>
              <w:left w:val="nil"/>
              <w:bottom w:val="nil"/>
              <w:right w:val="single" w:sz="4" w:space="0" w:color="auto"/>
            </w:tcBorders>
            <w:shd w:val="clear" w:color="auto" w:fill="auto"/>
            <w:noWrap/>
            <w:vAlign w:val="center"/>
            <w:hideMark/>
          </w:tcPr>
          <w:p w14:paraId="7481E59E" w14:textId="77777777" w:rsidR="002D29CF" w:rsidRPr="00326768" w:rsidRDefault="002D29CF" w:rsidP="002D29CF">
            <w:pPr>
              <w:jc w:val="right"/>
              <w:rPr>
                <w:rFonts w:cs="Arial"/>
                <w:color w:val="000000"/>
                <w:sz w:val="18"/>
                <w:szCs w:val="18"/>
              </w:rPr>
            </w:pPr>
            <w:r w:rsidRPr="00326768">
              <w:rPr>
                <w:rFonts w:cs="Arial"/>
                <w:color w:val="000000"/>
                <w:sz w:val="18"/>
                <w:szCs w:val="18"/>
              </w:rPr>
              <w:t>311.741.547</w:t>
            </w:r>
          </w:p>
        </w:tc>
        <w:tc>
          <w:tcPr>
            <w:tcW w:w="745" w:type="pct"/>
            <w:tcBorders>
              <w:top w:val="nil"/>
              <w:left w:val="nil"/>
              <w:bottom w:val="nil"/>
              <w:right w:val="single" w:sz="4" w:space="0" w:color="auto"/>
            </w:tcBorders>
            <w:shd w:val="clear" w:color="auto" w:fill="auto"/>
            <w:noWrap/>
            <w:vAlign w:val="center"/>
            <w:hideMark/>
          </w:tcPr>
          <w:p w14:paraId="3652DA1B" w14:textId="77777777" w:rsidR="002D29CF" w:rsidRPr="00326768" w:rsidRDefault="002D29CF" w:rsidP="002D29CF">
            <w:pPr>
              <w:jc w:val="right"/>
              <w:rPr>
                <w:rFonts w:cs="Arial"/>
                <w:color w:val="000000"/>
                <w:sz w:val="18"/>
                <w:szCs w:val="18"/>
              </w:rPr>
            </w:pPr>
            <w:r w:rsidRPr="00326768">
              <w:rPr>
                <w:rFonts w:cs="Arial"/>
                <w:color w:val="000000"/>
                <w:sz w:val="18"/>
                <w:szCs w:val="18"/>
              </w:rPr>
              <w:t>310.245.632</w:t>
            </w:r>
          </w:p>
        </w:tc>
        <w:tc>
          <w:tcPr>
            <w:tcW w:w="658" w:type="pct"/>
            <w:tcBorders>
              <w:top w:val="nil"/>
              <w:left w:val="nil"/>
              <w:bottom w:val="nil"/>
              <w:right w:val="single" w:sz="4" w:space="0" w:color="auto"/>
            </w:tcBorders>
            <w:vAlign w:val="center"/>
          </w:tcPr>
          <w:p w14:paraId="7071091B" w14:textId="2AE7C3E1" w:rsidR="002D29CF" w:rsidRPr="00326768" w:rsidRDefault="002D29CF" w:rsidP="008C79B5">
            <w:pPr>
              <w:jc w:val="center"/>
              <w:rPr>
                <w:rFonts w:cs="Arial"/>
                <w:color w:val="FF0000"/>
                <w:sz w:val="18"/>
                <w:szCs w:val="18"/>
              </w:rPr>
            </w:pPr>
            <w:r w:rsidRPr="00326768">
              <w:rPr>
                <w:rFonts w:cs="Arial"/>
                <w:color w:val="000000"/>
                <w:sz w:val="18"/>
                <w:szCs w:val="18"/>
              </w:rPr>
              <w:t>0,79</w:t>
            </w:r>
          </w:p>
        </w:tc>
        <w:tc>
          <w:tcPr>
            <w:tcW w:w="759" w:type="pct"/>
            <w:tcBorders>
              <w:top w:val="nil"/>
              <w:left w:val="single" w:sz="4" w:space="0" w:color="auto"/>
              <w:bottom w:val="nil"/>
              <w:right w:val="single" w:sz="4" w:space="0" w:color="auto"/>
            </w:tcBorders>
            <w:shd w:val="clear" w:color="auto" w:fill="auto"/>
            <w:noWrap/>
            <w:vAlign w:val="center"/>
            <w:hideMark/>
          </w:tcPr>
          <w:p w14:paraId="23861374" w14:textId="3DFB657C" w:rsidR="002D29CF" w:rsidRPr="00326768" w:rsidRDefault="002D29CF" w:rsidP="002D29CF">
            <w:pPr>
              <w:jc w:val="right"/>
              <w:rPr>
                <w:rFonts w:cs="Arial"/>
                <w:color w:val="000000"/>
                <w:sz w:val="18"/>
                <w:szCs w:val="18"/>
              </w:rPr>
            </w:pPr>
            <w:r w:rsidRPr="00326768">
              <w:rPr>
                <w:rFonts w:cs="Arial"/>
                <w:color w:val="FF0000"/>
                <w:sz w:val="18"/>
                <w:szCs w:val="18"/>
              </w:rPr>
              <w:t>(1.495.915)</w:t>
            </w:r>
          </w:p>
        </w:tc>
        <w:tc>
          <w:tcPr>
            <w:tcW w:w="529" w:type="pct"/>
            <w:tcBorders>
              <w:top w:val="nil"/>
              <w:left w:val="nil"/>
              <w:bottom w:val="nil"/>
            </w:tcBorders>
            <w:shd w:val="clear" w:color="auto" w:fill="auto"/>
            <w:noWrap/>
            <w:vAlign w:val="center"/>
            <w:hideMark/>
          </w:tcPr>
          <w:p w14:paraId="69A51437" w14:textId="77777777" w:rsidR="002D29CF" w:rsidRPr="00326768" w:rsidRDefault="002D29CF" w:rsidP="002D29CF">
            <w:pPr>
              <w:jc w:val="center"/>
              <w:rPr>
                <w:rFonts w:cs="Arial"/>
                <w:color w:val="000000"/>
                <w:sz w:val="18"/>
                <w:szCs w:val="18"/>
              </w:rPr>
            </w:pPr>
            <w:r w:rsidRPr="00326768">
              <w:rPr>
                <w:rFonts w:cs="Arial"/>
                <w:color w:val="000000"/>
                <w:sz w:val="18"/>
                <w:szCs w:val="18"/>
              </w:rPr>
              <w:t>99,52</w:t>
            </w:r>
          </w:p>
        </w:tc>
      </w:tr>
      <w:tr w:rsidR="002D29CF" w:rsidRPr="00326768" w14:paraId="65ABC651" w14:textId="77777777" w:rsidTr="00461248">
        <w:trPr>
          <w:trHeight w:val="340"/>
        </w:trPr>
        <w:tc>
          <w:tcPr>
            <w:tcW w:w="1564" w:type="pct"/>
            <w:tcBorders>
              <w:top w:val="nil"/>
              <w:left w:val="nil"/>
              <w:bottom w:val="single" w:sz="4" w:space="0" w:color="auto"/>
              <w:right w:val="single" w:sz="4" w:space="0" w:color="auto"/>
            </w:tcBorders>
            <w:shd w:val="clear" w:color="auto" w:fill="auto"/>
            <w:noWrap/>
            <w:vAlign w:val="center"/>
            <w:hideMark/>
          </w:tcPr>
          <w:p w14:paraId="78E24A8E" w14:textId="77777777" w:rsidR="002D29CF" w:rsidRPr="00326768" w:rsidRDefault="002D29CF" w:rsidP="002D29CF">
            <w:pPr>
              <w:jc w:val="left"/>
              <w:rPr>
                <w:rFonts w:cs="Arial"/>
                <w:b/>
                <w:bCs/>
                <w:color w:val="000000"/>
                <w:sz w:val="18"/>
                <w:szCs w:val="18"/>
              </w:rPr>
            </w:pPr>
            <w:r w:rsidRPr="00326768">
              <w:rPr>
                <w:rFonts w:cs="Arial"/>
                <w:b/>
                <w:bCs/>
                <w:color w:val="000000"/>
                <w:sz w:val="18"/>
                <w:szCs w:val="18"/>
              </w:rPr>
              <w:t>Reserva de Contingência</w:t>
            </w:r>
          </w:p>
        </w:tc>
        <w:tc>
          <w:tcPr>
            <w:tcW w:w="745" w:type="pct"/>
            <w:tcBorders>
              <w:top w:val="nil"/>
              <w:left w:val="nil"/>
              <w:bottom w:val="single" w:sz="4" w:space="0" w:color="auto"/>
              <w:right w:val="single" w:sz="4" w:space="0" w:color="auto"/>
            </w:tcBorders>
            <w:shd w:val="clear" w:color="auto" w:fill="auto"/>
            <w:noWrap/>
            <w:vAlign w:val="center"/>
            <w:hideMark/>
          </w:tcPr>
          <w:p w14:paraId="1C531EED" w14:textId="77777777" w:rsidR="002D29CF" w:rsidRPr="00326768" w:rsidRDefault="002D29CF" w:rsidP="002D29CF">
            <w:pPr>
              <w:jc w:val="right"/>
              <w:rPr>
                <w:rFonts w:cs="Arial"/>
                <w:b/>
                <w:bCs/>
                <w:color w:val="000000"/>
                <w:sz w:val="18"/>
                <w:szCs w:val="18"/>
              </w:rPr>
            </w:pPr>
            <w:r w:rsidRPr="00326768">
              <w:rPr>
                <w:rFonts w:cs="Arial"/>
                <w:b/>
                <w:bCs/>
                <w:color w:val="000000"/>
                <w:sz w:val="18"/>
                <w:szCs w:val="18"/>
              </w:rPr>
              <w:t>1.269.066.729</w:t>
            </w:r>
          </w:p>
        </w:tc>
        <w:tc>
          <w:tcPr>
            <w:tcW w:w="745" w:type="pct"/>
            <w:tcBorders>
              <w:top w:val="nil"/>
              <w:left w:val="nil"/>
              <w:bottom w:val="single" w:sz="4" w:space="0" w:color="auto"/>
              <w:right w:val="single" w:sz="4" w:space="0" w:color="auto"/>
            </w:tcBorders>
            <w:shd w:val="clear" w:color="auto" w:fill="auto"/>
            <w:noWrap/>
            <w:vAlign w:val="center"/>
            <w:hideMark/>
          </w:tcPr>
          <w:p w14:paraId="3BD62EF5" w14:textId="77777777" w:rsidR="002D29CF" w:rsidRPr="00326768" w:rsidRDefault="002D29CF" w:rsidP="002D29CF">
            <w:pPr>
              <w:jc w:val="right"/>
              <w:rPr>
                <w:rFonts w:cs="Arial"/>
                <w:b/>
                <w:bCs/>
                <w:color w:val="000000"/>
                <w:sz w:val="18"/>
                <w:szCs w:val="18"/>
              </w:rPr>
            </w:pPr>
            <w:r w:rsidRPr="00326768">
              <w:rPr>
                <w:rFonts w:cs="Arial"/>
                <w:b/>
                <w:bCs/>
                <w:color w:val="000000"/>
                <w:sz w:val="18"/>
                <w:szCs w:val="18"/>
              </w:rPr>
              <w:t>-</w:t>
            </w:r>
          </w:p>
        </w:tc>
        <w:tc>
          <w:tcPr>
            <w:tcW w:w="658" w:type="pct"/>
            <w:tcBorders>
              <w:top w:val="nil"/>
              <w:left w:val="nil"/>
              <w:bottom w:val="nil"/>
              <w:right w:val="single" w:sz="4" w:space="0" w:color="auto"/>
            </w:tcBorders>
            <w:vAlign w:val="center"/>
          </w:tcPr>
          <w:p w14:paraId="68F06E7E" w14:textId="185268A8" w:rsidR="002D29CF" w:rsidRPr="00326768" w:rsidRDefault="002D29CF" w:rsidP="008C79B5">
            <w:pPr>
              <w:jc w:val="center"/>
              <w:rPr>
                <w:rFonts w:cs="Arial"/>
                <w:color w:val="FF0000"/>
                <w:sz w:val="18"/>
                <w:szCs w:val="18"/>
              </w:rPr>
            </w:pPr>
            <w:r w:rsidRPr="00326768">
              <w:rPr>
                <w:rFonts w:cs="Arial"/>
                <w:b/>
                <w:bCs/>
                <w:color w:val="000000"/>
                <w:sz w:val="18"/>
                <w:szCs w:val="18"/>
              </w:rPr>
              <w:t>-</w:t>
            </w:r>
          </w:p>
        </w:tc>
        <w:tc>
          <w:tcPr>
            <w:tcW w:w="759" w:type="pct"/>
            <w:tcBorders>
              <w:top w:val="nil"/>
              <w:left w:val="single" w:sz="4" w:space="0" w:color="auto"/>
              <w:bottom w:val="nil"/>
              <w:right w:val="single" w:sz="4" w:space="0" w:color="auto"/>
            </w:tcBorders>
            <w:shd w:val="clear" w:color="auto" w:fill="auto"/>
            <w:noWrap/>
            <w:vAlign w:val="center"/>
            <w:hideMark/>
          </w:tcPr>
          <w:p w14:paraId="22D44413" w14:textId="3B774074" w:rsidR="002D29CF" w:rsidRPr="00326768" w:rsidRDefault="002D29CF" w:rsidP="002D29CF">
            <w:pPr>
              <w:jc w:val="right"/>
              <w:rPr>
                <w:rFonts w:cs="Arial"/>
                <w:color w:val="000000"/>
                <w:sz w:val="18"/>
                <w:szCs w:val="18"/>
              </w:rPr>
            </w:pPr>
            <w:r w:rsidRPr="00326768">
              <w:rPr>
                <w:rFonts w:cs="Arial"/>
                <w:color w:val="FF0000"/>
                <w:sz w:val="18"/>
                <w:szCs w:val="18"/>
              </w:rPr>
              <w:t>(1.269.066.729)</w:t>
            </w:r>
          </w:p>
        </w:tc>
        <w:tc>
          <w:tcPr>
            <w:tcW w:w="529" w:type="pct"/>
            <w:tcBorders>
              <w:top w:val="nil"/>
              <w:left w:val="nil"/>
              <w:bottom w:val="single" w:sz="4" w:space="0" w:color="auto"/>
            </w:tcBorders>
            <w:shd w:val="clear" w:color="auto" w:fill="auto"/>
            <w:noWrap/>
            <w:vAlign w:val="center"/>
            <w:hideMark/>
          </w:tcPr>
          <w:p w14:paraId="444442ED" w14:textId="77777777" w:rsidR="002D29CF" w:rsidRPr="00326768" w:rsidRDefault="002D29CF" w:rsidP="002D29CF">
            <w:pPr>
              <w:jc w:val="center"/>
              <w:rPr>
                <w:rFonts w:cs="Arial"/>
                <w:b/>
                <w:bCs/>
                <w:color w:val="000000"/>
                <w:sz w:val="18"/>
                <w:szCs w:val="18"/>
              </w:rPr>
            </w:pPr>
            <w:r>
              <w:rPr>
                <w:rFonts w:cs="Arial"/>
                <w:b/>
                <w:bCs/>
                <w:color w:val="000000"/>
                <w:sz w:val="18"/>
                <w:szCs w:val="18"/>
              </w:rPr>
              <w:t>(100,00)</w:t>
            </w:r>
          </w:p>
        </w:tc>
      </w:tr>
      <w:tr w:rsidR="002D29CF" w:rsidRPr="00326768" w14:paraId="72C78433" w14:textId="77777777" w:rsidTr="00461248">
        <w:trPr>
          <w:trHeight w:val="340"/>
        </w:trPr>
        <w:tc>
          <w:tcPr>
            <w:tcW w:w="1564" w:type="pct"/>
            <w:tcBorders>
              <w:top w:val="nil"/>
              <w:left w:val="nil"/>
              <w:bottom w:val="single" w:sz="4" w:space="0" w:color="auto"/>
              <w:right w:val="single" w:sz="4" w:space="0" w:color="auto"/>
            </w:tcBorders>
            <w:shd w:val="clear" w:color="auto" w:fill="auto"/>
            <w:noWrap/>
            <w:vAlign w:val="center"/>
            <w:hideMark/>
          </w:tcPr>
          <w:p w14:paraId="09E3EC64" w14:textId="77777777" w:rsidR="002D29CF" w:rsidRPr="00326768" w:rsidRDefault="002D29CF" w:rsidP="002D29CF">
            <w:pPr>
              <w:jc w:val="center"/>
              <w:rPr>
                <w:rFonts w:cs="Arial"/>
                <w:b/>
                <w:bCs/>
                <w:color w:val="000000"/>
                <w:sz w:val="18"/>
                <w:szCs w:val="18"/>
              </w:rPr>
            </w:pPr>
            <w:r w:rsidRPr="00326768">
              <w:rPr>
                <w:rFonts w:cs="Arial"/>
                <w:b/>
                <w:bCs/>
                <w:color w:val="000000"/>
                <w:sz w:val="18"/>
                <w:szCs w:val="18"/>
              </w:rPr>
              <w:t>Total</w:t>
            </w:r>
          </w:p>
        </w:tc>
        <w:tc>
          <w:tcPr>
            <w:tcW w:w="745" w:type="pct"/>
            <w:tcBorders>
              <w:top w:val="nil"/>
              <w:left w:val="nil"/>
              <w:bottom w:val="single" w:sz="4" w:space="0" w:color="auto"/>
              <w:right w:val="single" w:sz="4" w:space="0" w:color="auto"/>
            </w:tcBorders>
            <w:shd w:val="clear" w:color="auto" w:fill="auto"/>
            <w:noWrap/>
            <w:vAlign w:val="center"/>
            <w:hideMark/>
          </w:tcPr>
          <w:p w14:paraId="07F07F70" w14:textId="77777777" w:rsidR="002D29CF" w:rsidRPr="00326768" w:rsidRDefault="002D29CF" w:rsidP="002D29CF">
            <w:pPr>
              <w:jc w:val="right"/>
              <w:rPr>
                <w:rFonts w:cs="Arial"/>
                <w:b/>
                <w:bCs/>
                <w:color w:val="000000"/>
                <w:sz w:val="18"/>
                <w:szCs w:val="18"/>
              </w:rPr>
            </w:pPr>
            <w:r w:rsidRPr="00326768">
              <w:rPr>
                <w:rFonts w:cs="Arial"/>
                <w:b/>
                <w:bCs/>
                <w:color w:val="000000"/>
                <w:sz w:val="18"/>
                <w:szCs w:val="18"/>
              </w:rPr>
              <w:t>47.525.637.211</w:t>
            </w:r>
          </w:p>
        </w:tc>
        <w:tc>
          <w:tcPr>
            <w:tcW w:w="745" w:type="pct"/>
            <w:tcBorders>
              <w:top w:val="nil"/>
              <w:left w:val="nil"/>
              <w:bottom w:val="single" w:sz="4" w:space="0" w:color="auto"/>
              <w:right w:val="single" w:sz="4" w:space="0" w:color="auto"/>
            </w:tcBorders>
            <w:shd w:val="clear" w:color="auto" w:fill="auto"/>
            <w:noWrap/>
            <w:vAlign w:val="center"/>
            <w:hideMark/>
          </w:tcPr>
          <w:p w14:paraId="3055ADA0" w14:textId="77777777" w:rsidR="002D29CF" w:rsidRPr="00326768" w:rsidRDefault="002D29CF" w:rsidP="002D29CF">
            <w:pPr>
              <w:jc w:val="right"/>
              <w:rPr>
                <w:rFonts w:cs="Arial"/>
                <w:b/>
                <w:bCs/>
                <w:color w:val="000000"/>
                <w:sz w:val="18"/>
                <w:szCs w:val="18"/>
              </w:rPr>
            </w:pPr>
            <w:r w:rsidRPr="00326768">
              <w:rPr>
                <w:rFonts w:cs="Arial"/>
                <w:b/>
                <w:bCs/>
                <w:color w:val="000000"/>
                <w:sz w:val="18"/>
                <w:szCs w:val="18"/>
              </w:rPr>
              <w:t>39.420.594.476</w:t>
            </w:r>
          </w:p>
        </w:tc>
        <w:tc>
          <w:tcPr>
            <w:tcW w:w="658" w:type="pct"/>
            <w:tcBorders>
              <w:top w:val="single" w:sz="4" w:space="0" w:color="auto"/>
              <w:left w:val="nil"/>
              <w:bottom w:val="single" w:sz="4" w:space="0" w:color="auto"/>
              <w:right w:val="single" w:sz="4" w:space="0" w:color="auto"/>
            </w:tcBorders>
            <w:vAlign w:val="center"/>
          </w:tcPr>
          <w:p w14:paraId="23F0BFA1" w14:textId="2C85A74F" w:rsidR="002D29CF" w:rsidRPr="00326768" w:rsidRDefault="002D29CF" w:rsidP="008C79B5">
            <w:pPr>
              <w:jc w:val="center"/>
              <w:rPr>
                <w:rFonts w:cs="Arial"/>
                <w:b/>
                <w:bCs/>
                <w:color w:val="FF0000"/>
                <w:sz w:val="18"/>
                <w:szCs w:val="18"/>
              </w:rPr>
            </w:pPr>
            <w:r w:rsidRPr="00326768">
              <w:rPr>
                <w:rFonts w:cs="Arial"/>
                <w:b/>
                <w:bCs/>
                <w:color w:val="000000"/>
                <w:sz w:val="18"/>
                <w:szCs w:val="18"/>
              </w:rPr>
              <w:t>100,00</w:t>
            </w:r>
          </w:p>
        </w:tc>
        <w:tc>
          <w:tcPr>
            <w:tcW w:w="7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F2A6F8" w14:textId="6ACBB522" w:rsidR="002D29CF" w:rsidRPr="00326768" w:rsidRDefault="002D29CF" w:rsidP="002D29CF">
            <w:pPr>
              <w:jc w:val="right"/>
              <w:rPr>
                <w:rFonts w:cs="Arial"/>
                <w:b/>
                <w:bCs/>
                <w:color w:val="000000"/>
                <w:sz w:val="18"/>
                <w:szCs w:val="18"/>
              </w:rPr>
            </w:pPr>
            <w:r w:rsidRPr="00326768">
              <w:rPr>
                <w:rFonts w:cs="Arial"/>
                <w:b/>
                <w:bCs/>
                <w:color w:val="FF0000"/>
                <w:sz w:val="18"/>
                <w:szCs w:val="18"/>
              </w:rPr>
              <w:t>(8.105.042.735)</w:t>
            </w:r>
          </w:p>
        </w:tc>
        <w:tc>
          <w:tcPr>
            <w:tcW w:w="529" w:type="pct"/>
            <w:tcBorders>
              <w:top w:val="nil"/>
              <w:left w:val="nil"/>
              <w:bottom w:val="single" w:sz="4" w:space="0" w:color="auto"/>
            </w:tcBorders>
            <w:shd w:val="clear" w:color="auto" w:fill="auto"/>
            <w:noWrap/>
            <w:vAlign w:val="center"/>
            <w:hideMark/>
          </w:tcPr>
          <w:p w14:paraId="34FC5BC0" w14:textId="77777777" w:rsidR="002D29CF" w:rsidRPr="00326768" w:rsidRDefault="002D29CF" w:rsidP="002D29CF">
            <w:pPr>
              <w:jc w:val="center"/>
              <w:rPr>
                <w:rFonts w:cs="Arial"/>
                <w:b/>
                <w:bCs/>
                <w:color w:val="000000"/>
                <w:sz w:val="18"/>
                <w:szCs w:val="18"/>
              </w:rPr>
            </w:pPr>
            <w:r w:rsidRPr="00326768">
              <w:rPr>
                <w:rFonts w:cs="Arial"/>
                <w:b/>
                <w:bCs/>
                <w:color w:val="000000"/>
                <w:sz w:val="18"/>
                <w:szCs w:val="18"/>
              </w:rPr>
              <w:t>82,95</w:t>
            </w:r>
          </w:p>
        </w:tc>
      </w:tr>
    </w:tbl>
    <w:p w14:paraId="6B2797D4" w14:textId="77777777" w:rsidR="00A96988" w:rsidRPr="00333D34" w:rsidRDefault="00A96988" w:rsidP="00EF01A1">
      <w:pPr>
        <w:pStyle w:val="1-FONTE8ESQ"/>
        <w:rPr>
          <w:rStyle w:val="Forte"/>
          <w:b w:val="0"/>
          <w:bCs w:val="0"/>
        </w:rPr>
      </w:pPr>
      <w:r>
        <w:rPr>
          <w:rStyle w:val="Forte"/>
          <w:b w:val="0"/>
          <w:bCs w:val="0"/>
        </w:rPr>
        <w:t>Font</w:t>
      </w:r>
      <w:r w:rsidRPr="00333D34">
        <w:rPr>
          <w:rStyle w:val="Forte"/>
          <w:b w:val="0"/>
          <w:bCs w:val="0"/>
        </w:rPr>
        <w:t xml:space="preserve">e: </w:t>
      </w:r>
      <w:r>
        <w:rPr>
          <w:rStyle w:val="Forte"/>
          <w:b w:val="0"/>
          <w:bCs w:val="0"/>
        </w:rPr>
        <w:t>Balanço Orçamentário – Anexo 12 (BGE 2023)</w:t>
      </w:r>
    </w:p>
    <w:p w14:paraId="68F8913B" w14:textId="01FE6D8D" w:rsidR="00A96988" w:rsidRDefault="00A96988" w:rsidP="00526AF1">
      <w:pPr>
        <w:pStyle w:val="1-REL11"/>
      </w:pPr>
      <w:r w:rsidRPr="00C34B47">
        <w:t xml:space="preserve">Empenhou-se 82,95% das despesas autorizadas para o exercício. Fatores que devem ter contribuído para esse percentual de gastos, eventualmente baixo frente aos valores orçados, foram a arrecadação inferior em </w:t>
      </w:r>
      <w:r w:rsidRPr="00CB6BDE">
        <w:t>2023 (vide</w:t>
      </w:r>
      <w:r w:rsidR="00E337D9">
        <w:t xml:space="preserve"> </w:t>
      </w:r>
      <w:r w:rsidR="00E337D9">
        <w:fldChar w:fldCharType="begin"/>
      </w:r>
      <w:r w:rsidR="00E337D9">
        <w:instrText xml:space="preserve"> REF _Ref165568583 \w \h </w:instrText>
      </w:r>
      <w:r w:rsidR="00E337D9">
        <w:fldChar w:fldCharType="separate"/>
      </w:r>
      <w:r w:rsidR="00E337D9">
        <w:t xml:space="preserve">Tabela 19 </w:t>
      </w:r>
      <w:r w:rsidR="00E337D9">
        <w:fldChar w:fldCharType="end"/>
      </w:r>
      <w:r w:rsidR="00E337D9">
        <w:t xml:space="preserve">– </w:t>
      </w:r>
      <w:r w:rsidR="00E337D9">
        <w:fldChar w:fldCharType="begin"/>
      </w:r>
      <w:r w:rsidR="00E337D9">
        <w:instrText xml:space="preserve"> REF _Ref165568583 \h </w:instrText>
      </w:r>
      <w:r w:rsidR="00E337D9">
        <w:fldChar w:fldCharType="separate"/>
      </w:r>
      <w:r w:rsidR="00E337D9" w:rsidRPr="00A4702C">
        <w:t>Resultado da Arrecadação por Origem de Recurso</w:t>
      </w:r>
      <w:r w:rsidR="00E337D9">
        <w:fldChar w:fldCharType="end"/>
      </w:r>
      <w:r w:rsidR="00EB7FD1">
        <w:t>)</w:t>
      </w:r>
      <w:r w:rsidRPr="00CB6BDE">
        <w:t xml:space="preserve"> bem como a necessidade de co</w:t>
      </w:r>
      <w:r w:rsidRPr="00C34B47">
        <w:t xml:space="preserve">ntingenciamento de gastos no exercício em virtude do </w:t>
      </w:r>
      <w:r>
        <w:t xml:space="preserve">possível </w:t>
      </w:r>
      <w:r w:rsidRPr="00C34B47">
        <w:t>descumprimento do Teto de Gastos relativos à L</w:t>
      </w:r>
      <w:r>
        <w:t xml:space="preserve">ei </w:t>
      </w:r>
      <w:r w:rsidRPr="00C34B47">
        <w:t>C</w:t>
      </w:r>
      <w:r>
        <w:t>omplementar</w:t>
      </w:r>
      <w:r w:rsidRPr="00C34B47">
        <w:t xml:space="preserve"> nº</w:t>
      </w:r>
      <w:r w:rsidR="00CB6BDE">
        <w:t> </w:t>
      </w:r>
      <w:r w:rsidRPr="00C34B47">
        <w:t>156</w:t>
      </w:r>
      <w:r>
        <w:t xml:space="preserve">, de 28 de dezembro de </w:t>
      </w:r>
      <w:r w:rsidRPr="00C34B47">
        <w:t>2016</w:t>
      </w:r>
      <w:r>
        <w:t>, situação que será discorrida em item específico deste Relatório.</w:t>
      </w:r>
    </w:p>
    <w:p w14:paraId="22E86FF5" w14:textId="77777777" w:rsidR="00A96988" w:rsidRPr="00C34B47" w:rsidRDefault="00A96988" w:rsidP="00A96988">
      <w:pPr>
        <w:pStyle w:val="1-REL11"/>
      </w:pPr>
      <w:r w:rsidRPr="00C34B47">
        <w:t>As Despesas Correntes, que estão relacionadas com o custeio e manutenção das atividades do ente, alcançaram 88,77% do valor previsto, tendo como maior volume nominal de execução as despesas do grupo Pessoal e Encargos Sociais. Já as Despesas de Capital, que são aquelas que contribuem para a formação ou aquisição de um bem de capital, alcançaram 61,10% do valor orçado, sendo que a rubrica com melhor desempenho percentual foi Amortização da Dívida (99,52%), e a de maior volume nominal foi Investimentos.</w:t>
      </w:r>
    </w:p>
    <w:p w14:paraId="4A1BD695" w14:textId="77777777" w:rsidR="00A96988" w:rsidRDefault="00A96988" w:rsidP="00A96988">
      <w:pPr>
        <w:pStyle w:val="1-REL11"/>
      </w:pPr>
      <w:r>
        <w:t>O gráfico a seguir demonstra a parcela de participação de cada grupo de despesa:</w:t>
      </w:r>
    </w:p>
    <w:p w14:paraId="2903DE08" w14:textId="77777777" w:rsidR="00A96988" w:rsidRPr="001E2859" w:rsidRDefault="00A96988" w:rsidP="006E2785">
      <w:pPr>
        <w:pStyle w:val="0-GRFICO"/>
        <w:spacing w:before="0"/>
      </w:pPr>
      <w:bookmarkStart w:id="77" w:name="_Toc167825100"/>
      <w:r w:rsidRPr="001E2859">
        <w:lastRenderedPageBreak/>
        <w:t>Representação das Despesas por Grupo de Natureza</w:t>
      </w:r>
      <w:bookmarkEnd w:id="77"/>
    </w:p>
    <w:p w14:paraId="1469B2D3" w14:textId="77777777" w:rsidR="00A96988" w:rsidRDefault="00A96988" w:rsidP="00A96988">
      <w:pPr>
        <w:pStyle w:val="1-REL11"/>
        <w:rPr>
          <w:highlight w:val="yellow"/>
        </w:rPr>
      </w:pPr>
      <w:r>
        <w:rPr>
          <w:noProof/>
        </w:rPr>
        <w:drawing>
          <wp:inline distT="0" distB="0" distL="0" distR="0" wp14:anchorId="618C6ED3" wp14:editId="6D0F3F61">
            <wp:extent cx="5915660" cy="2487168"/>
            <wp:effectExtent l="0" t="0" r="161290" b="161290"/>
            <wp:docPr id="36" name="Gráfico 36">
              <a:extLst xmlns:a="http://schemas.openxmlformats.org/drawingml/2006/main">
                <a:ext uri="{FF2B5EF4-FFF2-40B4-BE49-F238E27FC236}">
                  <a16:creationId xmlns:a16="http://schemas.microsoft.com/office/drawing/2014/main" id="{C23BC3D5-D935-48E1-B5FB-0E1779E3B71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35FDFAEE" w14:textId="77777777" w:rsidR="00A96988" w:rsidRPr="00C227B6" w:rsidRDefault="00A96988" w:rsidP="00A96988">
      <w:pPr>
        <w:pStyle w:val="0-FNT-GRAFICO"/>
      </w:pPr>
      <w:r w:rsidRPr="00C227B6">
        <w:t xml:space="preserve">Fonte: </w:t>
      </w:r>
      <w:r>
        <w:rPr>
          <w:rStyle w:val="Forte"/>
          <w:b w:val="0"/>
          <w:bCs w:val="0"/>
        </w:rPr>
        <w:t>Balanço Orçamentário – Anexo 12 (BGE 2023)</w:t>
      </w:r>
    </w:p>
    <w:p w14:paraId="6B9051BA" w14:textId="55D57A8D" w:rsidR="00A96988" w:rsidRPr="00EF7239" w:rsidRDefault="00A96988" w:rsidP="00A96988">
      <w:pPr>
        <w:pStyle w:val="1-REL11"/>
      </w:pPr>
      <w:r w:rsidRPr="00EF7239">
        <w:t>Em relação a 2022, houve um aumento de R$</w:t>
      </w:r>
      <w:r w:rsidR="00755658">
        <w:t> </w:t>
      </w:r>
      <w:r w:rsidRPr="00EF7239">
        <w:t>659,40</w:t>
      </w:r>
      <w:r w:rsidR="00755658">
        <w:t> milhões</w:t>
      </w:r>
      <w:r w:rsidRPr="00EF7239">
        <w:t xml:space="preserve"> (1,70%) nas despesas em 2023, conforme tabela a seguir:</w:t>
      </w:r>
    </w:p>
    <w:p w14:paraId="1A9C4189" w14:textId="77777777" w:rsidR="00A96988" w:rsidRPr="00511629" w:rsidRDefault="00A96988" w:rsidP="00ED3571">
      <w:pPr>
        <w:pStyle w:val="0-TABELA"/>
      </w:pPr>
      <w:bookmarkStart w:id="78" w:name="_Toc167871738"/>
      <w:r w:rsidRPr="00511629">
        <w:t>Comparação da Despesa Realizada – 2023 x 2022</w:t>
      </w:r>
      <w:bookmarkEnd w:id="78"/>
    </w:p>
    <w:p w14:paraId="778AED13" w14:textId="77777777" w:rsidR="00A96988" w:rsidRDefault="00A96988" w:rsidP="00A96988">
      <w:pPr>
        <w:pStyle w:val="0-EmR1"/>
      </w:pPr>
      <w:r>
        <w:t>R</w:t>
      </w:r>
      <w:r w:rsidRPr="00333D34">
        <w:t>$ 1</w:t>
      </w:r>
    </w:p>
    <w:tbl>
      <w:tblPr>
        <w:tblW w:w="4773" w:type="pct"/>
        <w:tblLayout w:type="fixed"/>
        <w:tblCellMar>
          <w:left w:w="70" w:type="dxa"/>
          <w:right w:w="70" w:type="dxa"/>
        </w:tblCellMar>
        <w:tblLook w:val="04A0" w:firstRow="1" w:lastRow="0" w:firstColumn="1" w:lastColumn="0" w:noHBand="0" w:noVBand="1"/>
      </w:tblPr>
      <w:tblGrid>
        <w:gridCol w:w="2694"/>
        <w:gridCol w:w="1418"/>
        <w:gridCol w:w="991"/>
        <w:gridCol w:w="1425"/>
        <w:gridCol w:w="1418"/>
        <w:gridCol w:w="982"/>
      </w:tblGrid>
      <w:tr w:rsidR="00545DDF" w:rsidRPr="006A2D51" w14:paraId="03C1813E" w14:textId="77777777" w:rsidTr="00854644">
        <w:trPr>
          <w:trHeight w:val="284"/>
          <w:tblHeader/>
        </w:trPr>
        <w:tc>
          <w:tcPr>
            <w:tcW w:w="1509" w:type="pct"/>
            <w:vMerge w:val="restart"/>
            <w:tcBorders>
              <w:top w:val="single" w:sz="4" w:space="0" w:color="auto"/>
              <w:left w:val="nil"/>
              <w:right w:val="single" w:sz="4" w:space="0" w:color="auto"/>
            </w:tcBorders>
            <w:shd w:val="clear" w:color="000000" w:fill="A1F2FD"/>
            <w:vAlign w:val="center"/>
            <w:hideMark/>
          </w:tcPr>
          <w:p w14:paraId="5A82355B" w14:textId="77777777" w:rsidR="00545DDF" w:rsidRPr="006A2D51" w:rsidRDefault="00545DDF" w:rsidP="00545DDF">
            <w:pPr>
              <w:jc w:val="center"/>
              <w:rPr>
                <w:rFonts w:cs="Arial"/>
                <w:b/>
                <w:bCs/>
                <w:color w:val="000000"/>
                <w:sz w:val="18"/>
              </w:rPr>
            </w:pPr>
            <w:r w:rsidRPr="006A2D51">
              <w:rPr>
                <w:rFonts w:cs="Arial"/>
                <w:b/>
                <w:bCs/>
                <w:color w:val="000000"/>
                <w:sz w:val="18"/>
              </w:rPr>
              <w:t>Descrição</w:t>
            </w:r>
          </w:p>
        </w:tc>
        <w:tc>
          <w:tcPr>
            <w:tcW w:w="794"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2247878D" w14:textId="77777777" w:rsidR="00545DDF" w:rsidRPr="006A2D51" w:rsidRDefault="00545DDF" w:rsidP="00545DDF">
            <w:pPr>
              <w:jc w:val="center"/>
              <w:rPr>
                <w:rFonts w:cs="Arial"/>
                <w:b/>
                <w:bCs/>
                <w:color w:val="000000"/>
                <w:sz w:val="18"/>
              </w:rPr>
            </w:pPr>
            <w:r w:rsidRPr="006A2D51">
              <w:rPr>
                <w:rFonts w:cs="Arial"/>
                <w:b/>
                <w:bCs/>
                <w:color w:val="000000"/>
                <w:sz w:val="18"/>
              </w:rPr>
              <w:t>2023</w:t>
            </w:r>
          </w:p>
        </w:tc>
        <w:tc>
          <w:tcPr>
            <w:tcW w:w="555" w:type="pct"/>
            <w:vMerge w:val="restart"/>
            <w:tcBorders>
              <w:top w:val="single" w:sz="4" w:space="0" w:color="auto"/>
              <w:left w:val="single" w:sz="4" w:space="0" w:color="auto"/>
              <w:right w:val="single" w:sz="4" w:space="0" w:color="auto"/>
            </w:tcBorders>
            <w:shd w:val="clear" w:color="000000" w:fill="A1F2FD"/>
            <w:vAlign w:val="center"/>
          </w:tcPr>
          <w:p w14:paraId="45B588AE" w14:textId="77777777" w:rsidR="003B30CD" w:rsidRDefault="00545DDF" w:rsidP="00545DDF">
            <w:pPr>
              <w:ind w:left="-40" w:right="-39"/>
              <w:jc w:val="center"/>
              <w:rPr>
                <w:rFonts w:cs="Arial"/>
                <w:b/>
                <w:bCs/>
                <w:color w:val="000000"/>
                <w:sz w:val="16"/>
              </w:rPr>
            </w:pPr>
            <w:r>
              <w:rPr>
                <w:rFonts w:cs="Arial"/>
                <w:b/>
                <w:bCs/>
                <w:color w:val="000000"/>
                <w:sz w:val="16"/>
              </w:rPr>
              <w:t xml:space="preserve">AV </w:t>
            </w:r>
          </w:p>
          <w:p w14:paraId="43D4EAAA" w14:textId="413FC000" w:rsidR="00545DDF" w:rsidRDefault="00545DDF" w:rsidP="00545DDF">
            <w:pPr>
              <w:ind w:left="-40" w:right="-39"/>
              <w:jc w:val="center"/>
              <w:rPr>
                <w:rFonts w:cs="Arial"/>
                <w:b/>
                <w:bCs/>
                <w:color w:val="000000"/>
                <w:sz w:val="16"/>
              </w:rPr>
            </w:pPr>
            <w:r w:rsidRPr="006A2D51">
              <w:rPr>
                <w:rFonts w:cs="Arial"/>
                <w:b/>
                <w:bCs/>
                <w:color w:val="000000"/>
                <w:sz w:val="16"/>
              </w:rPr>
              <w:t>2023</w:t>
            </w:r>
          </w:p>
          <w:p w14:paraId="1CFB3AFC" w14:textId="5A3B567F" w:rsidR="00545DDF" w:rsidRPr="006A2D51" w:rsidRDefault="00545DDF" w:rsidP="00545DDF">
            <w:pPr>
              <w:ind w:left="-40" w:right="-39"/>
              <w:jc w:val="center"/>
              <w:rPr>
                <w:rFonts w:cs="Arial"/>
                <w:b/>
                <w:bCs/>
                <w:color w:val="000000"/>
                <w:sz w:val="18"/>
              </w:rPr>
            </w:pPr>
            <w:r w:rsidRPr="006A2D51">
              <w:rPr>
                <w:rFonts w:cs="Arial"/>
                <w:b/>
                <w:bCs/>
                <w:color w:val="000000"/>
                <w:sz w:val="16"/>
              </w:rPr>
              <w:t>%</w:t>
            </w:r>
          </w:p>
        </w:tc>
        <w:tc>
          <w:tcPr>
            <w:tcW w:w="798" w:type="pct"/>
            <w:vMerge w:val="restart"/>
            <w:tcBorders>
              <w:top w:val="single" w:sz="4" w:space="0" w:color="auto"/>
              <w:left w:val="single" w:sz="4" w:space="0" w:color="auto"/>
              <w:right w:val="single" w:sz="4" w:space="0" w:color="auto"/>
            </w:tcBorders>
            <w:shd w:val="clear" w:color="000000" w:fill="A1F2FD"/>
            <w:vAlign w:val="center"/>
          </w:tcPr>
          <w:p w14:paraId="39BA761E" w14:textId="3D486298" w:rsidR="00545DDF" w:rsidRDefault="00545DDF" w:rsidP="00545DDF">
            <w:pPr>
              <w:ind w:left="-40" w:right="-39"/>
              <w:jc w:val="center"/>
              <w:rPr>
                <w:rFonts w:cs="Arial"/>
                <w:b/>
                <w:bCs/>
                <w:color w:val="000000"/>
                <w:sz w:val="16"/>
              </w:rPr>
            </w:pPr>
            <w:r w:rsidRPr="006A2D51">
              <w:rPr>
                <w:rFonts w:cs="Arial"/>
                <w:b/>
                <w:bCs/>
                <w:color w:val="000000"/>
                <w:sz w:val="18"/>
              </w:rPr>
              <w:t>2022</w:t>
            </w:r>
          </w:p>
        </w:tc>
        <w:tc>
          <w:tcPr>
            <w:tcW w:w="1344" w:type="pct"/>
            <w:gridSpan w:val="2"/>
            <w:tcBorders>
              <w:top w:val="single" w:sz="4" w:space="0" w:color="auto"/>
              <w:left w:val="nil"/>
              <w:bottom w:val="single" w:sz="4" w:space="0" w:color="auto"/>
            </w:tcBorders>
            <w:shd w:val="clear" w:color="000000" w:fill="A1F2FD"/>
            <w:vAlign w:val="center"/>
            <w:hideMark/>
          </w:tcPr>
          <w:p w14:paraId="70D70401" w14:textId="77777777" w:rsidR="00545DDF" w:rsidRPr="006A2D51" w:rsidRDefault="00545DDF" w:rsidP="00545DDF">
            <w:pPr>
              <w:jc w:val="center"/>
              <w:rPr>
                <w:rFonts w:cs="Arial"/>
                <w:b/>
                <w:bCs/>
                <w:color w:val="000000"/>
                <w:sz w:val="18"/>
              </w:rPr>
            </w:pPr>
            <w:r w:rsidRPr="006A2D51">
              <w:rPr>
                <w:rFonts w:cs="Arial"/>
                <w:b/>
                <w:bCs/>
                <w:color w:val="000000"/>
                <w:sz w:val="18"/>
              </w:rPr>
              <w:t>∆ 2023 x 2022</w:t>
            </w:r>
          </w:p>
        </w:tc>
      </w:tr>
      <w:tr w:rsidR="00545DDF" w:rsidRPr="004C6EF5" w14:paraId="25F3DE3B" w14:textId="77777777" w:rsidTr="00854644">
        <w:trPr>
          <w:trHeight w:val="284"/>
        </w:trPr>
        <w:tc>
          <w:tcPr>
            <w:tcW w:w="1509" w:type="pct"/>
            <w:vMerge/>
            <w:tcBorders>
              <w:left w:val="nil"/>
              <w:right w:val="single" w:sz="4" w:space="0" w:color="auto"/>
            </w:tcBorders>
            <w:vAlign w:val="center"/>
            <w:hideMark/>
          </w:tcPr>
          <w:p w14:paraId="3187EA23" w14:textId="77777777" w:rsidR="00545DDF" w:rsidRPr="004C6EF5" w:rsidRDefault="00545DDF" w:rsidP="00545DDF">
            <w:pPr>
              <w:jc w:val="left"/>
              <w:rPr>
                <w:rFonts w:cs="Arial"/>
                <w:b/>
                <w:bCs/>
                <w:color w:val="000000"/>
                <w:sz w:val="18"/>
                <w:szCs w:val="18"/>
              </w:rPr>
            </w:pPr>
          </w:p>
        </w:tc>
        <w:tc>
          <w:tcPr>
            <w:tcW w:w="794" w:type="pct"/>
            <w:vMerge/>
            <w:tcBorders>
              <w:top w:val="single" w:sz="4" w:space="0" w:color="auto"/>
              <w:left w:val="single" w:sz="4" w:space="0" w:color="auto"/>
              <w:right w:val="single" w:sz="4" w:space="0" w:color="auto"/>
            </w:tcBorders>
            <w:vAlign w:val="center"/>
            <w:hideMark/>
          </w:tcPr>
          <w:p w14:paraId="6EBE0DC9" w14:textId="77777777" w:rsidR="00545DDF" w:rsidRPr="004C6EF5" w:rsidRDefault="00545DDF" w:rsidP="00545DDF">
            <w:pPr>
              <w:jc w:val="left"/>
              <w:rPr>
                <w:rFonts w:cs="Arial"/>
                <w:b/>
                <w:bCs/>
                <w:color w:val="000000"/>
                <w:sz w:val="18"/>
                <w:szCs w:val="18"/>
              </w:rPr>
            </w:pPr>
          </w:p>
        </w:tc>
        <w:tc>
          <w:tcPr>
            <w:tcW w:w="555" w:type="pct"/>
            <w:vMerge/>
            <w:tcBorders>
              <w:left w:val="single" w:sz="4" w:space="0" w:color="auto"/>
              <w:right w:val="single" w:sz="4" w:space="0" w:color="auto"/>
            </w:tcBorders>
            <w:vAlign w:val="center"/>
          </w:tcPr>
          <w:p w14:paraId="7E9A94C2" w14:textId="77777777" w:rsidR="00545DDF" w:rsidRPr="004C6EF5" w:rsidRDefault="00545DDF" w:rsidP="00545DDF">
            <w:pPr>
              <w:jc w:val="center"/>
              <w:rPr>
                <w:rFonts w:cs="Arial"/>
                <w:b/>
                <w:bCs/>
                <w:color w:val="000000"/>
                <w:sz w:val="18"/>
                <w:szCs w:val="18"/>
              </w:rPr>
            </w:pPr>
          </w:p>
        </w:tc>
        <w:tc>
          <w:tcPr>
            <w:tcW w:w="798" w:type="pct"/>
            <w:vMerge/>
            <w:tcBorders>
              <w:left w:val="single" w:sz="4" w:space="0" w:color="auto"/>
              <w:right w:val="single" w:sz="4" w:space="0" w:color="auto"/>
            </w:tcBorders>
            <w:vAlign w:val="center"/>
          </w:tcPr>
          <w:p w14:paraId="0A809D09" w14:textId="6D12A03F" w:rsidR="00545DDF" w:rsidRPr="004C6EF5" w:rsidRDefault="00545DDF" w:rsidP="00545DDF">
            <w:pPr>
              <w:jc w:val="left"/>
              <w:rPr>
                <w:rFonts w:cs="Arial"/>
                <w:b/>
                <w:bCs/>
                <w:color w:val="000000"/>
                <w:sz w:val="18"/>
                <w:szCs w:val="18"/>
              </w:rPr>
            </w:pPr>
          </w:p>
        </w:tc>
        <w:tc>
          <w:tcPr>
            <w:tcW w:w="794" w:type="pct"/>
            <w:tcBorders>
              <w:top w:val="nil"/>
              <w:left w:val="nil"/>
              <w:right w:val="single" w:sz="4" w:space="0" w:color="auto"/>
            </w:tcBorders>
            <w:shd w:val="clear" w:color="000000" w:fill="A1F2FD"/>
            <w:vAlign w:val="center"/>
            <w:hideMark/>
          </w:tcPr>
          <w:p w14:paraId="54450A62" w14:textId="51854F03" w:rsidR="00545DDF" w:rsidRPr="004C6EF5" w:rsidRDefault="00545DDF" w:rsidP="00545DDF">
            <w:pPr>
              <w:jc w:val="center"/>
              <w:rPr>
                <w:rFonts w:cs="Arial"/>
                <w:b/>
                <w:bCs/>
                <w:color w:val="000000"/>
                <w:sz w:val="18"/>
                <w:szCs w:val="18"/>
              </w:rPr>
            </w:pPr>
            <w:r>
              <w:rPr>
                <w:rFonts w:cs="Arial"/>
                <w:b/>
                <w:bCs/>
                <w:color w:val="000000"/>
                <w:sz w:val="18"/>
                <w:szCs w:val="18"/>
              </w:rPr>
              <w:t>R$</w:t>
            </w:r>
          </w:p>
        </w:tc>
        <w:tc>
          <w:tcPr>
            <w:tcW w:w="550" w:type="pct"/>
            <w:tcBorders>
              <w:top w:val="nil"/>
              <w:left w:val="nil"/>
            </w:tcBorders>
            <w:shd w:val="clear" w:color="000000" w:fill="A1F2FD"/>
            <w:vAlign w:val="center"/>
            <w:hideMark/>
          </w:tcPr>
          <w:p w14:paraId="77AC3ED8" w14:textId="77777777" w:rsidR="00545DDF" w:rsidRPr="004C6EF5" w:rsidRDefault="00545DDF" w:rsidP="00545DDF">
            <w:pPr>
              <w:jc w:val="center"/>
              <w:rPr>
                <w:rFonts w:cs="Arial"/>
                <w:b/>
                <w:bCs/>
                <w:color w:val="000000"/>
                <w:sz w:val="18"/>
                <w:szCs w:val="18"/>
              </w:rPr>
            </w:pPr>
            <w:r w:rsidRPr="004C6EF5">
              <w:rPr>
                <w:rFonts w:cs="Arial"/>
                <w:b/>
                <w:bCs/>
                <w:color w:val="000000"/>
                <w:sz w:val="18"/>
                <w:szCs w:val="18"/>
              </w:rPr>
              <w:t>%</w:t>
            </w:r>
          </w:p>
        </w:tc>
      </w:tr>
      <w:tr w:rsidR="00545DDF" w:rsidRPr="004C6EF5" w14:paraId="3CE08011" w14:textId="77777777" w:rsidTr="00854644">
        <w:trPr>
          <w:trHeight w:val="284"/>
        </w:trPr>
        <w:tc>
          <w:tcPr>
            <w:tcW w:w="1509" w:type="pct"/>
            <w:vMerge/>
            <w:tcBorders>
              <w:left w:val="nil"/>
              <w:bottom w:val="single" w:sz="4" w:space="0" w:color="auto"/>
              <w:right w:val="single" w:sz="4" w:space="0" w:color="auto"/>
            </w:tcBorders>
            <w:shd w:val="clear" w:color="auto" w:fill="A1F2FD"/>
            <w:vAlign w:val="center"/>
          </w:tcPr>
          <w:p w14:paraId="17A1375B" w14:textId="77777777" w:rsidR="00545DDF" w:rsidRPr="004C6EF5" w:rsidRDefault="00545DDF" w:rsidP="00545DDF">
            <w:pPr>
              <w:jc w:val="left"/>
              <w:rPr>
                <w:rFonts w:cs="Arial"/>
                <w:b/>
                <w:bCs/>
                <w:color w:val="000000"/>
                <w:sz w:val="18"/>
                <w:szCs w:val="18"/>
              </w:rPr>
            </w:pPr>
          </w:p>
        </w:tc>
        <w:tc>
          <w:tcPr>
            <w:tcW w:w="794" w:type="pct"/>
            <w:tcBorders>
              <w:left w:val="single" w:sz="4" w:space="0" w:color="auto"/>
              <w:bottom w:val="single" w:sz="4" w:space="0" w:color="auto"/>
              <w:right w:val="single" w:sz="4" w:space="0" w:color="auto"/>
            </w:tcBorders>
            <w:shd w:val="clear" w:color="auto" w:fill="A1F2FD"/>
            <w:vAlign w:val="center"/>
          </w:tcPr>
          <w:p w14:paraId="7AFE8B69" w14:textId="69074E10" w:rsidR="00545DDF" w:rsidRPr="004C6EF5" w:rsidRDefault="00545DDF" w:rsidP="00545DDF">
            <w:pPr>
              <w:jc w:val="center"/>
              <w:rPr>
                <w:rFonts w:cs="Arial"/>
                <w:b/>
                <w:bCs/>
                <w:color w:val="000000"/>
                <w:sz w:val="18"/>
                <w:szCs w:val="18"/>
              </w:rPr>
            </w:pPr>
            <w:r w:rsidRPr="006A2D51">
              <w:rPr>
                <w:rFonts w:cs="Arial"/>
                <w:b/>
                <w:bCs/>
                <w:color w:val="000000"/>
                <w:sz w:val="18"/>
              </w:rPr>
              <w:t>(</w:t>
            </w:r>
            <w:r>
              <w:rPr>
                <w:rFonts w:cs="Arial"/>
                <w:b/>
                <w:bCs/>
                <w:color w:val="000000"/>
                <w:sz w:val="18"/>
              </w:rPr>
              <w:t>a</w:t>
            </w:r>
            <w:r w:rsidRPr="006A2D51">
              <w:rPr>
                <w:rFonts w:cs="Arial"/>
                <w:b/>
                <w:bCs/>
                <w:color w:val="000000"/>
                <w:sz w:val="18"/>
              </w:rPr>
              <w:t>)</w:t>
            </w:r>
          </w:p>
        </w:tc>
        <w:tc>
          <w:tcPr>
            <w:tcW w:w="555" w:type="pct"/>
            <w:tcBorders>
              <w:left w:val="single" w:sz="4" w:space="0" w:color="auto"/>
              <w:bottom w:val="single" w:sz="4" w:space="0" w:color="auto"/>
              <w:right w:val="single" w:sz="4" w:space="0" w:color="auto"/>
            </w:tcBorders>
            <w:shd w:val="clear" w:color="auto" w:fill="A1F2FD"/>
            <w:vAlign w:val="center"/>
          </w:tcPr>
          <w:p w14:paraId="28F1B7A7" w14:textId="438C549D" w:rsidR="00545DDF" w:rsidRPr="006A2D51" w:rsidRDefault="00545DDF" w:rsidP="00545DDF">
            <w:pPr>
              <w:jc w:val="center"/>
              <w:rPr>
                <w:rFonts w:cs="Arial"/>
                <w:b/>
                <w:bCs/>
                <w:color w:val="000000"/>
                <w:sz w:val="18"/>
              </w:rPr>
            </w:pPr>
            <w:r w:rsidRPr="00E813D5">
              <w:rPr>
                <w:rFonts w:cs="Arial"/>
                <w:b/>
                <w:bCs/>
                <w:color w:val="000000"/>
                <w:sz w:val="18"/>
              </w:rPr>
              <w:t>(</w:t>
            </w:r>
            <w:r>
              <w:rPr>
                <w:rFonts w:cs="Arial"/>
                <w:b/>
                <w:bCs/>
                <w:color w:val="000000"/>
                <w:sz w:val="18"/>
              </w:rPr>
              <w:t>b</w:t>
            </w:r>
            <w:r w:rsidRPr="00E813D5">
              <w:rPr>
                <w:rFonts w:cs="Arial"/>
                <w:b/>
                <w:bCs/>
                <w:color w:val="000000"/>
                <w:sz w:val="18"/>
              </w:rPr>
              <w:t>)</w:t>
            </w:r>
          </w:p>
        </w:tc>
        <w:tc>
          <w:tcPr>
            <w:tcW w:w="798" w:type="pct"/>
            <w:tcBorders>
              <w:left w:val="single" w:sz="4" w:space="0" w:color="auto"/>
              <w:bottom w:val="single" w:sz="4" w:space="0" w:color="auto"/>
              <w:right w:val="single" w:sz="4" w:space="0" w:color="auto"/>
            </w:tcBorders>
            <w:shd w:val="clear" w:color="auto" w:fill="A1F2FD"/>
            <w:vAlign w:val="center"/>
          </w:tcPr>
          <w:p w14:paraId="588BCD9B" w14:textId="29DA9973" w:rsidR="00545DDF" w:rsidRPr="00E813D5" w:rsidRDefault="00545DDF" w:rsidP="00545DDF">
            <w:pPr>
              <w:jc w:val="center"/>
              <w:rPr>
                <w:rFonts w:cs="Arial"/>
                <w:b/>
                <w:bCs/>
                <w:color w:val="000000"/>
                <w:sz w:val="18"/>
              </w:rPr>
            </w:pPr>
            <w:r w:rsidRPr="006A2D51">
              <w:rPr>
                <w:rFonts w:cs="Arial"/>
                <w:b/>
                <w:bCs/>
                <w:color w:val="000000"/>
                <w:sz w:val="18"/>
              </w:rPr>
              <w:t>(</w:t>
            </w:r>
            <w:r>
              <w:rPr>
                <w:rFonts w:cs="Arial"/>
                <w:b/>
                <w:bCs/>
                <w:color w:val="000000"/>
                <w:sz w:val="18"/>
              </w:rPr>
              <w:t>c</w:t>
            </w:r>
            <w:r w:rsidRPr="006A2D51">
              <w:rPr>
                <w:rFonts w:cs="Arial"/>
                <w:b/>
                <w:bCs/>
                <w:color w:val="000000"/>
                <w:sz w:val="18"/>
              </w:rPr>
              <w:t>)</w:t>
            </w:r>
          </w:p>
        </w:tc>
        <w:tc>
          <w:tcPr>
            <w:tcW w:w="794" w:type="pct"/>
            <w:tcBorders>
              <w:left w:val="nil"/>
              <w:bottom w:val="single" w:sz="4" w:space="0" w:color="auto"/>
              <w:right w:val="single" w:sz="4" w:space="0" w:color="auto"/>
            </w:tcBorders>
            <w:shd w:val="clear" w:color="auto" w:fill="A1F2FD"/>
            <w:vAlign w:val="center"/>
          </w:tcPr>
          <w:p w14:paraId="694355CD" w14:textId="50435E0A" w:rsidR="00545DDF" w:rsidRDefault="00545DDF" w:rsidP="00545DDF">
            <w:pPr>
              <w:jc w:val="center"/>
              <w:rPr>
                <w:rFonts w:cs="Arial"/>
                <w:b/>
                <w:bCs/>
                <w:color w:val="000000"/>
                <w:sz w:val="18"/>
                <w:szCs w:val="18"/>
              </w:rPr>
            </w:pPr>
            <w:r>
              <w:rPr>
                <w:rFonts w:cs="Arial"/>
                <w:b/>
                <w:bCs/>
                <w:color w:val="000000"/>
                <w:sz w:val="18"/>
                <w:szCs w:val="18"/>
              </w:rPr>
              <w:t xml:space="preserve">(d) = </w:t>
            </w:r>
            <w:r w:rsidRPr="004C6EF5">
              <w:rPr>
                <w:rFonts w:cs="Arial"/>
                <w:b/>
                <w:bCs/>
                <w:color w:val="000000"/>
                <w:sz w:val="18"/>
                <w:szCs w:val="18"/>
              </w:rPr>
              <w:t>(</w:t>
            </w:r>
            <w:r>
              <w:rPr>
                <w:rFonts w:cs="Arial"/>
                <w:b/>
                <w:bCs/>
                <w:color w:val="000000"/>
                <w:sz w:val="18"/>
                <w:szCs w:val="18"/>
              </w:rPr>
              <w:t>a-c</w:t>
            </w:r>
            <w:r w:rsidRPr="004C6EF5">
              <w:rPr>
                <w:rFonts w:cs="Arial"/>
                <w:b/>
                <w:bCs/>
                <w:color w:val="000000"/>
                <w:sz w:val="18"/>
                <w:szCs w:val="18"/>
              </w:rPr>
              <w:t>)</w:t>
            </w:r>
          </w:p>
        </w:tc>
        <w:tc>
          <w:tcPr>
            <w:tcW w:w="550" w:type="pct"/>
            <w:tcBorders>
              <w:left w:val="nil"/>
              <w:bottom w:val="single" w:sz="4" w:space="0" w:color="auto"/>
            </w:tcBorders>
            <w:shd w:val="clear" w:color="auto" w:fill="A1F2FD"/>
            <w:vAlign w:val="center"/>
          </w:tcPr>
          <w:p w14:paraId="573F9268" w14:textId="7420D343" w:rsidR="00545DDF" w:rsidRPr="004C6EF5" w:rsidRDefault="00545DDF" w:rsidP="00545DDF">
            <w:pPr>
              <w:ind w:hanging="101"/>
              <w:jc w:val="center"/>
              <w:rPr>
                <w:rFonts w:cs="Arial"/>
                <w:b/>
                <w:bCs/>
                <w:color w:val="000000"/>
                <w:sz w:val="18"/>
                <w:szCs w:val="18"/>
              </w:rPr>
            </w:pPr>
            <w:r>
              <w:rPr>
                <w:rFonts w:cs="Arial"/>
                <w:b/>
                <w:bCs/>
                <w:color w:val="000000"/>
                <w:sz w:val="18"/>
                <w:szCs w:val="18"/>
              </w:rPr>
              <w:t xml:space="preserve">(e) = </w:t>
            </w:r>
            <w:r w:rsidRPr="004C6EF5">
              <w:rPr>
                <w:rFonts w:cs="Arial"/>
                <w:b/>
                <w:bCs/>
                <w:color w:val="000000"/>
                <w:sz w:val="18"/>
                <w:szCs w:val="18"/>
              </w:rPr>
              <w:t>(</w:t>
            </w:r>
            <w:r>
              <w:rPr>
                <w:rFonts w:cs="Arial"/>
                <w:b/>
                <w:bCs/>
                <w:color w:val="000000"/>
                <w:sz w:val="18"/>
                <w:szCs w:val="18"/>
              </w:rPr>
              <w:t>d</w:t>
            </w:r>
            <w:r w:rsidRPr="004C6EF5">
              <w:rPr>
                <w:rFonts w:cs="Arial"/>
                <w:b/>
                <w:bCs/>
                <w:color w:val="000000"/>
                <w:sz w:val="18"/>
                <w:szCs w:val="18"/>
              </w:rPr>
              <w:t>/</w:t>
            </w:r>
            <w:r>
              <w:rPr>
                <w:rFonts w:cs="Arial"/>
                <w:b/>
                <w:bCs/>
                <w:color w:val="000000"/>
                <w:sz w:val="18"/>
                <w:szCs w:val="18"/>
              </w:rPr>
              <w:t>c</w:t>
            </w:r>
            <w:r w:rsidRPr="004C6EF5">
              <w:rPr>
                <w:rFonts w:cs="Arial"/>
                <w:b/>
                <w:bCs/>
                <w:color w:val="000000"/>
                <w:sz w:val="18"/>
                <w:szCs w:val="18"/>
              </w:rPr>
              <w:t>)</w:t>
            </w:r>
          </w:p>
        </w:tc>
      </w:tr>
      <w:tr w:rsidR="00545DDF" w:rsidRPr="004C6EF5" w14:paraId="1BA64FEA" w14:textId="77777777" w:rsidTr="00854644">
        <w:trPr>
          <w:trHeight w:val="284"/>
        </w:trPr>
        <w:tc>
          <w:tcPr>
            <w:tcW w:w="1509" w:type="pct"/>
            <w:tcBorders>
              <w:top w:val="nil"/>
              <w:left w:val="nil"/>
              <w:bottom w:val="nil"/>
              <w:right w:val="single" w:sz="4" w:space="0" w:color="auto"/>
            </w:tcBorders>
            <w:shd w:val="clear" w:color="auto" w:fill="auto"/>
            <w:noWrap/>
            <w:vAlign w:val="center"/>
          </w:tcPr>
          <w:p w14:paraId="0B9DCF51" w14:textId="2885EFFD" w:rsidR="00545DDF" w:rsidRPr="004C6EF5" w:rsidRDefault="00545DDF" w:rsidP="00545DDF">
            <w:pPr>
              <w:jc w:val="left"/>
              <w:rPr>
                <w:rFonts w:cs="Arial"/>
                <w:b/>
                <w:bCs/>
                <w:color w:val="000000"/>
                <w:sz w:val="18"/>
                <w:szCs w:val="18"/>
              </w:rPr>
            </w:pPr>
            <w:r w:rsidRPr="00426DE6">
              <w:rPr>
                <w:rFonts w:cs="Arial"/>
                <w:b/>
                <w:bCs/>
                <w:color w:val="000000"/>
                <w:sz w:val="18"/>
                <w:szCs w:val="18"/>
              </w:rPr>
              <w:t>Despesas Correntes</w:t>
            </w:r>
          </w:p>
        </w:tc>
        <w:tc>
          <w:tcPr>
            <w:tcW w:w="794" w:type="pct"/>
            <w:tcBorders>
              <w:top w:val="single" w:sz="4" w:space="0" w:color="auto"/>
              <w:left w:val="single" w:sz="4" w:space="0" w:color="auto"/>
              <w:bottom w:val="nil"/>
              <w:right w:val="single" w:sz="4" w:space="0" w:color="auto"/>
            </w:tcBorders>
            <w:shd w:val="clear" w:color="auto" w:fill="auto"/>
            <w:noWrap/>
            <w:vAlign w:val="center"/>
          </w:tcPr>
          <w:p w14:paraId="3343C525" w14:textId="5CE2B711" w:rsidR="00545DDF" w:rsidRPr="004C6EF5" w:rsidRDefault="00545DDF" w:rsidP="00545DDF">
            <w:pPr>
              <w:jc w:val="right"/>
              <w:rPr>
                <w:rFonts w:cs="Arial"/>
                <w:b/>
                <w:color w:val="000000"/>
                <w:sz w:val="18"/>
                <w:szCs w:val="18"/>
              </w:rPr>
            </w:pPr>
            <w:r w:rsidRPr="00426DE6">
              <w:rPr>
                <w:rFonts w:cs="Arial"/>
                <w:b/>
                <w:bCs/>
                <w:color w:val="000000"/>
                <w:sz w:val="18"/>
                <w:szCs w:val="18"/>
              </w:rPr>
              <w:t>35.796.669.912</w:t>
            </w:r>
          </w:p>
        </w:tc>
        <w:tc>
          <w:tcPr>
            <w:tcW w:w="555" w:type="pct"/>
            <w:tcBorders>
              <w:top w:val="single" w:sz="4" w:space="0" w:color="auto"/>
              <w:left w:val="nil"/>
              <w:bottom w:val="nil"/>
              <w:right w:val="single" w:sz="4" w:space="0" w:color="auto"/>
            </w:tcBorders>
            <w:vAlign w:val="center"/>
          </w:tcPr>
          <w:p w14:paraId="3654A673" w14:textId="0210ADB2" w:rsidR="00545DDF" w:rsidRPr="00426DE6" w:rsidRDefault="00545DDF" w:rsidP="00545DDF">
            <w:pPr>
              <w:jc w:val="center"/>
              <w:rPr>
                <w:rFonts w:cs="Arial"/>
                <w:b/>
                <w:bCs/>
                <w:color w:val="000000"/>
                <w:sz w:val="18"/>
                <w:szCs w:val="18"/>
              </w:rPr>
            </w:pPr>
            <w:r w:rsidRPr="00426DE6">
              <w:rPr>
                <w:rFonts w:cs="Arial"/>
                <w:b/>
                <w:bCs/>
                <w:color w:val="000000"/>
                <w:sz w:val="18"/>
                <w:szCs w:val="18"/>
              </w:rPr>
              <w:t>90,81</w:t>
            </w:r>
          </w:p>
        </w:tc>
        <w:tc>
          <w:tcPr>
            <w:tcW w:w="798" w:type="pct"/>
            <w:tcBorders>
              <w:top w:val="single" w:sz="4" w:space="0" w:color="auto"/>
              <w:left w:val="single" w:sz="4" w:space="0" w:color="auto"/>
              <w:bottom w:val="nil"/>
              <w:right w:val="nil"/>
            </w:tcBorders>
            <w:vAlign w:val="center"/>
          </w:tcPr>
          <w:p w14:paraId="00823C26" w14:textId="5C1F42DB" w:rsidR="00545DDF" w:rsidRPr="00426DE6" w:rsidRDefault="00545DDF" w:rsidP="00545DDF">
            <w:pPr>
              <w:jc w:val="right"/>
              <w:rPr>
                <w:rFonts w:cs="Arial"/>
                <w:b/>
                <w:bCs/>
                <w:color w:val="000000"/>
                <w:sz w:val="18"/>
                <w:szCs w:val="18"/>
              </w:rPr>
            </w:pPr>
            <w:r w:rsidRPr="00426DE6">
              <w:rPr>
                <w:rFonts w:cs="Arial"/>
                <w:b/>
                <w:bCs/>
                <w:color w:val="000000"/>
                <w:sz w:val="18"/>
                <w:szCs w:val="18"/>
              </w:rPr>
              <w:t>33.529.268.641</w:t>
            </w:r>
          </w:p>
        </w:tc>
        <w:tc>
          <w:tcPr>
            <w:tcW w:w="794" w:type="pct"/>
            <w:tcBorders>
              <w:top w:val="nil"/>
              <w:left w:val="single" w:sz="4" w:space="0" w:color="auto"/>
              <w:bottom w:val="nil"/>
              <w:right w:val="single" w:sz="4" w:space="0" w:color="auto"/>
            </w:tcBorders>
            <w:shd w:val="clear" w:color="auto" w:fill="auto"/>
            <w:noWrap/>
            <w:vAlign w:val="center"/>
          </w:tcPr>
          <w:p w14:paraId="6DE9CB28" w14:textId="5D737633" w:rsidR="00545DDF" w:rsidRPr="004C6EF5" w:rsidRDefault="00545DDF" w:rsidP="00545DDF">
            <w:pPr>
              <w:jc w:val="right"/>
              <w:rPr>
                <w:rFonts w:cs="Arial"/>
                <w:b/>
                <w:color w:val="000000"/>
                <w:sz w:val="18"/>
                <w:szCs w:val="18"/>
              </w:rPr>
            </w:pPr>
            <w:r w:rsidRPr="00426DE6">
              <w:rPr>
                <w:rFonts w:cs="Arial"/>
                <w:b/>
                <w:bCs/>
                <w:color w:val="000000"/>
                <w:sz w:val="18"/>
                <w:szCs w:val="18"/>
              </w:rPr>
              <w:t>2.267.401.270</w:t>
            </w:r>
          </w:p>
        </w:tc>
        <w:tc>
          <w:tcPr>
            <w:tcW w:w="550" w:type="pct"/>
            <w:tcBorders>
              <w:top w:val="nil"/>
              <w:left w:val="nil"/>
              <w:bottom w:val="nil"/>
            </w:tcBorders>
            <w:shd w:val="clear" w:color="auto" w:fill="auto"/>
            <w:noWrap/>
            <w:vAlign w:val="center"/>
          </w:tcPr>
          <w:p w14:paraId="3D23A60F" w14:textId="135D45E0" w:rsidR="00545DDF" w:rsidRPr="004C6EF5" w:rsidRDefault="00545DDF" w:rsidP="00545DDF">
            <w:pPr>
              <w:jc w:val="center"/>
              <w:rPr>
                <w:rFonts w:cs="Arial"/>
                <w:b/>
                <w:color w:val="000000"/>
                <w:sz w:val="18"/>
                <w:szCs w:val="18"/>
              </w:rPr>
            </w:pPr>
            <w:r w:rsidRPr="00426DE6">
              <w:rPr>
                <w:rFonts w:cs="Arial"/>
                <w:b/>
                <w:bCs/>
                <w:color w:val="000000"/>
                <w:sz w:val="18"/>
                <w:szCs w:val="18"/>
              </w:rPr>
              <w:t>6,76</w:t>
            </w:r>
          </w:p>
        </w:tc>
      </w:tr>
      <w:tr w:rsidR="00545DDF" w:rsidRPr="004C6EF5" w14:paraId="3ACCB8E7" w14:textId="77777777" w:rsidTr="00854644">
        <w:trPr>
          <w:trHeight w:val="284"/>
        </w:trPr>
        <w:tc>
          <w:tcPr>
            <w:tcW w:w="1509" w:type="pct"/>
            <w:tcBorders>
              <w:top w:val="nil"/>
              <w:left w:val="nil"/>
              <w:bottom w:val="nil"/>
              <w:right w:val="single" w:sz="4" w:space="0" w:color="auto"/>
            </w:tcBorders>
            <w:shd w:val="clear" w:color="auto" w:fill="auto"/>
            <w:noWrap/>
            <w:vAlign w:val="center"/>
          </w:tcPr>
          <w:p w14:paraId="56547BE7" w14:textId="355480DF" w:rsidR="00545DDF" w:rsidRPr="004C6EF5" w:rsidRDefault="00545DDF" w:rsidP="00545DDF">
            <w:pPr>
              <w:ind w:left="209"/>
              <w:jc w:val="left"/>
              <w:rPr>
                <w:rFonts w:cs="Arial"/>
                <w:color w:val="000000"/>
                <w:sz w:val="18"/>
                <w:szCs w:val="18"/>
              </w:rPr>
            </w:pPr>
            <w:r w:rsidRPr="00426DE6">
              <w:rPr>
                <w:rFonts w:cs="Arial"/>
                <w:color w:val="000000"/>
                <w:sz w:val="18"/>
                <w:szCs w:val="18"/>
              </w:rPr>
              <w:t>Pessoal e Encargos Sociais</w:t>
            </w:r>
          </w:p>
        </w:tc>
        <w:tc>
          <w:tcPr>
            <w:tcW w:w="794" w:type="pct"/>
            <w:tcBorders>
              <w:top w:val="nil"/>
              <w:left w:val="single" w:sz="4" w:space="0" w:color="auto"/>
              <w:bottom w:val="nil"/>
              <w:right w:val="single" w:sz="4" w:space="0" w:color="auto"/>
            </w:tcBorders>
            <w:shd w:val="clear" w:color="auto" w:fill="auto"/>
            <w:noWrap/>
            <w:vAlign w:val="center"/>
          </w:tcPr>
          <w:p w14:paraId="761B50C8" w14:textId="0095DCD3" w:rsidR="00545DDF" w:rsidRPr="004C6EF5" w:rsidRDefault="00545DDF" w:rsidP="00545DDF">
            <w:pPr>
              <w:jc w:val="right"/>
              <w:rPr>
                <w:rFonts w:cs="Arial"/>
                <w:color w:val="000000"/>
                <w:sz w:val="18"/>
                <w:szCs w:val="18"/>
              </w:rPr>
            </w:pPr>
            <w:r w:rsidRPr="00426DE6">
              <w:rPr>
                <w:rFonts w:cs="Arial"/>
                <w:color w:val="000000"/>
                <w:sz w:val="18"/>
                <w:szCs w:val="18"/>
              </w:rPr>
              <w:t>23.046.538.143</w:t>
            </w:r>
          </w:p>
        </w:tc>
        <w:tc>
          <w:tcPr>
            <w:tcW w:w="555" w:type="pct"/>
            <w:tcBorders>
              <w:top w:val="nil"/>
              <w:left w:val="nil"/>
              <w:bottom w:val="nil"/>
              <w:right w:val="single" w:sz="4" w:space="0" w:color="auto"/>
            </w:tcBorders>
            <w:vAlign w:val="center"/>
          </w:tcPr>
          <w:p w14:paraId="695A826D" w14:textId="54E43205" w:rsidR="00545DDF" w:rsidRPr="00426DE6" w:rsidRDefault="00545DDF" w:rsidP="00545DDF">
            <w:pPr>
              <w:jc w:val="center"/>
              <w:rPr>
                <w:rFonts w:cs="Arial"/>
                <w:color w:val="000000"/>
                <w:sz w:val="18"/>
                <w:szCs w:val="18"/>
              </w:rPr>
            </w:pPr>
            <w:r w:rsidRPr="00426DE6">
              <w:rPr>
                <w:rFonts w:cs="Arial"/>
                <w:color w:val="000000"/>
                <w:sz w:val="18"/>
                <w:szCs w:val="18"/>
              </w:rPr>
              <w:t>58,46</w:t>
            </w:r>
          </w:p>
        </w:tc>
        <w:tc>
          <w:tcPr>
            <w:tcW w:w="798" w:type="pct"/>
            <w:tcBorders>
              <w:top w:val="nil"/>
              <w:left w:val="single" w:sz="4" w:space="0" w:color="auto"/>
              <w:bottom w:val="nil"/>
              <w:right w:val="nil"/>
            </w:tcBorders>
            <w:vAlign w:val="center"/>
          </w:tcPr>
          <w:p w14:paraId="7C06AC30" w14:textId="688249EA" w:rsidR="00545DDF" w:rsidRPr="00426DE6" w:rsidRDefault="00545DDF" w:rsidP="00545DDF">
            <w:pPr>
              <w:jc w:val="right"/>
              <w:rPr>
                <w:rFonts w:cs="Arial"/>
                <w:color w:val="000000"/>
                <w:sz w:val="18"/>
                <w:szCs w:val="18"/>
              </w:rPr>
            </w:pPr>
            <w:r w:rsidRPr="00426DE6">
              <w:rPr>
                <w:rFonts w:cs="Arial"/>
                <w:color w:val="000000"/>
                <w:sz w:val="18"/>
                <w:szCs w:val="18"/>
              </w:rPr>
              <w:t>21.033.708.770</w:t>
            </w:r>
          </w:p>
        </w:tc>
        <w:tc>
          <w:tcPr>
            <w:tcW w:w="794" w:type="pct"/>
            <w:tcBorders>
              <w:top w:val="nil"/>
              <w:left w:val="single" w:sz="4" w:space="0" w:color="auto"/>
              <w:bottom w:val="nil"/>
              <w:right w:val="single" w:sz="4" w:space="0" w:color="auto"/>
            </w:tcBorders>
            <w:shd w:val="clear" w:color="auto" w:fill="auto"/>
            <w:noWrap/>
            <w:vAlign w:val="center"/>
          </w:tcPr>
          <w:p w14:paraId="6BEE78B4" w14:textId="318A7B03" w:rsidR="00545DDF" w:rsidRPr="004C6EF5" w:rsidRDefault="00545DDF" w:rsidP="00545DDF">
            <w:pPr>
              <w:jc w:val="right"/>
              <w:rPr>
                <w:rFonts w:cs="Arial"/>
                <w:color w:val="000000"/>
                <w:sz w:val="18"/>
                <w:szCs w:val="18"/>
              </w:rPr>
            </w:pPr>
            <w:r w:rsidRPr="00426DE6">
              <w:rPr>
                <w:rFonts w:cs="Arial"/>
                <w:color w:val="000000"/>
                <w:sz w:val="18"/>
                <w:szCs w:val="18"/>
              </w:rPr>
              <w:t>2.012.829.373</w:t>
            </w:r>
          </w:p>
        </w:tc>
        <w:tc>
          <w:tcPr>
            <w:tcW w:w="550" w:type="pct"/>
            <w:tcBorders>
              <w:top w:val="nil"/>
              <w:left w:val="nil"/>
              <w:bottom w:val="nil"/>
            </w:tcBorders>
            <w:shd w:val="clear" w:color="auto" w:fill="auto"/>
            <w:noWrap/>
            <w:vAlign w:val="center"/>
          </w:tcPr>
          <w:p w14:paraId="36998694" w14:textId="7C4E522D" w:rsidR="00545DDF" w:rsidRPr="004C6EF5" w:rsidRDefault="00545DDF" w:rsidP="00545DDF">
            <w:pPr>
              <w:jc w:val="center"/>
              <w:rPr>
                <w:rFonts w:cs="Arial"/>
                <w:color w:val="000000"/>
                <w:sz w:val="18"/>
                <w:szCs w:val="18"/>
              </w:rPr>
            </w:pPr>
            <w:r w:rsidRPr="00426DE6">
              <w:rPr>
                <w:rFonts w:cs="Arial"/>
                <w:color w:val="000000"/>
                <w:sz w:val="18"/>
                <w:szCs w:val="18"/>
              </w:rPr>
              <w:t>9,57</w:t>
            </w:r>
          </w:p>
        </w:tc>
      </w:tr>
      <w:tr w:rsidR="00545DDF" w:rsidRPr="004C6EF5" w14:paraId="4E3E0AA1" w14:textId="77777777" w:rsidTr="00854644">
        <w:trPr>
          <w:trHeight w:val="284"/>
        </w:trPr>
        <w:tc>
          <w:tcPr>
            <w:tcW w:w="1509" w:type="pct"/>
            <w:tcBorders>
              <w:top w:val="nil"/>
              <w:left w:val="nil"/>
              <w:bottom w:val="nil"/>
              <w:right w:val="single" w:sz="4" w:space="0" w:color="auto"/>
            </w:tcBorders>
            <w:shd w:val="clear" w:color="auto" w:fill="auto"/>
            <w:noWrap/>
            <w:vAlign w:val="center"/>
          </w:tcPr>
          <w:p w14:paraId="5ADE474A" w14:textId="05E0BB30" w:rsidR="00545DDF" w:rsidRPr="004C6EF5" w:rsidRDefault="00545DDF" w:rsidP="00545DDF">
            <w:pPr>
              <w:ind w:left="209"/>
              <w:jc w:val="left"/>
              <w:rPr>
                <w:rFonts w:cs="Arial"/>
                <w:color w:val="000000"/>
                <w:sz w:val="18"/>
                <w:szCs w:val="18"/>
              </w:rPr>
            </w:pPr>
            <w:r w:rsidRPr="00426DE6">
              <w:rPr>
                <w:rFonts w:cs="Arial"/>
                <w:color w:val="000000"/>
                <w:sz w:val="18"/>
                <w:szCs w:val="18"/>
              </w:rPr>
              <w:t>Juros e Encargos da Dívida</w:t>
            </w:r>
          </w:p>
        </w:tc>
        <w:tc>
          <w:tcPr>
            <w:tcW w:w="794" w:type="pct"/>
            <w:tcBorders>
              <w:top w:val="nil"/>
              <w:left w:val="single" w:sz="4" w:space="0" w:color="auto"/>
              <w:bottom w:val="nil"/>
              <w:right w:val="single" w:sz="4" w:space="0" w:color="auto"/>
            </w:tcBorders>
            <w:shd w:val="clear" w:color="auto" w:fill="auto"/>
            <w:noWrap/>
            <w:vAlign w:val="center"/>
          </w:tcPr>
          <w:p w14:paraId="6DECA88C" w14:textId="10452F5F" w:rsidR="00545DDF" w:rsidRPr="004C6EF5" w:rsidRDefault="00545DDF" w:rsidP="00545DDF">
            <w:pPr>
              <w:jc w:val="right"/>
              <w:rPr>
                <w:rFonts w:cs="Arial"/>
                <w:color w:val="000000"/>
                <w:sz w:val="18"/>
                <w:szCs w:val="18"/>
              </w:rPr>
            </w:pPr>
            <w:r w:rsidRPr="00426DE6">
              <w:rPr>
                <w:rFonts w:cs="Arial"/>
                <w:color w:val="000000"/>
                <w:sz w:val="18"/>
                <w:szCs w:val="18"/>
              </w:rPr>
              <w:t>588.337.114</w:t>
            </w:r>
          </w:p>
        </w:tc>
        <w:tc>
          <w:tcPr>
            <w:tcW w:w="555" w:type="pct"/>
            <w:tcBorders>
              <w:top w:val="nil"/>
              <w:left w:val="nil"/>
              <w:bottom w:val="nil"/>
              <w:right w:val="single" w:sz="4" w:space="0" w:color="auto"/>
            </w:tcBorders>
            <w:vAlign w:val="center"/>
          </w:tcPr>
          <w:p w14:paraId="56872823" w14:textId="515FD80A" w:rsidR="00545DDF" w:rsidRPr="00426DE6" w:rsidRDefault="00545DDF" w:rsidP="00545DDF">
            <w:pPr>
              <w:jc w:val="center"/>
              <w:rPr>
                <w:rFonts w:cs="Arial"/>
                <w:color w:val="000000"/>
                <w:sz w:val="18"/>
                <w:szCs w:val="18"/>
              </w:rPr>
            </w:pPr>
            <w:r w:rsidRPr="00426DE6">
              <w:rPr>
                <w:rFonts w:cs="Arial"/>
                <w:color w:val="000000"/>
                <w:sz w:val="18"/>
                <w:szCs w:val="18"/>
              </w:rPr>
              <w:t>1,49</w:t>
            </w:r>
          </w:p>
        </w:tc>
        <w:tc>
          <w:tcPr>
            <w:tcW w:w="798" w:type="pct"/>
            <w:tcBorders>
              <w:top w:val="nil"/>
              <w:left w:val="single" w:sz="4" w:space="0" w:color="auto"/>
              <w:bottom w:val="nil"/>
              <w:right w:val="nil"/>
            </w:tcBorders>
            <w:vAlign w:val="center"/>
          </w:tcPr>
          <w:p w14:paraId="13718900" w14:textId="504A896E" w:rsidR="00545DDF" w:rsidRPr="00426DE6" w:rsidRDefault="00545DDF" w:rsidP="00545DDF">
            <w:pPr>
              <w:jc w:val="right"/>
              <w:rPr>
                <w:rFonts w:cs="Arial"/>
                <w:color w:val="000000"/>
                <w:sz w:val="18"/>
                <w:szCs w:val="18"/>
              </w:rPr>
            </w:pPr>
            <w:r w:rsidRPr="00426DE6">
              <w:rPr>
                <w:rFonts w:cs="Arial"/>
                <w:color w:val="000000"/>
                <w:sz w:val="18"/>
                <w:szCs w:val="18"/>
              </w:rPr>
              <w:t>358.134.053</w:t>
            </w:r>
          </w:p>
        </w:tc>
        <w:tc>
          <w:tcPr>
            <w:tcW w:w="794" w:type="pct"/>
            <w:tcBorders>
              <w:top w:val="nil"/>
              <w:left w:val="single" w:sz="4" w:space="0" w:color="auto"/>
              <w:bottom w:val="nil"/>
              <w:right w:val="single" w:sz="4" w:space="0" w:color="auto"/>
            </w:tcBorders>
            <w:shd w:val="clear" w:color="auto" w:fill="auto"/>
            <w:noWrap/>
            <w:vAlign w:val="center"/>
          </w:tcPr>
          <w:p w14:paraId="5E2B6975" w14:textId="289DFEEE" w:rsidR="00545DDF" w:rsidRPr="004C6EF5" w:rsidRDefault="00545DDF" w:rsidP="00545DDF">
            <w:pPr>
              <w:jc w:val="right"/>
              <w:rPr>
                <w:rFonts w:cs="Arial"/>
                <w:color w:val="000000"/>
                <w:sz w:val="18"/>
                <w:szCs w:val="18"/>
              </w:rPr>
            </w:pPr>
            <w:r w:rsidRPr="00426DE6">
              <w:rPr>
                <w:rFonts w:cs="Arial"/>
                <w:color w:val="000000"/>
                <w:sz w:val="18"/>
                <w:szCs w:val="18"/>
              </w:rPr>
              <w:t>230.203.061</w:t>
            </w:r>
          </w:p>
        </w:tc>
        <w:tc>
          <w:tcPr>
            <w:tcW w:w="550" w:type="pct"/>
            <w:tcBorders>
              <w:top w:val="nil"/>
              <w:left w:val="nil"/>
              <w:bottom w:val="nil"/>
            </w:tcBorders>
            <w:shd w:val="clear" w:color="auto" w:fill="auto"/>
            <w:noWrap/>
            <w:vAlign w:val="center"/>
          </w:tcPr>
          <w:p w14:paraId="42799B0D" w14:textId="63B38434" w:rsidR="00545DDF" w:rsidRPr="004C6EF5" w:rsidRDefault="00545DDF" w:rsidP="00545DDF">
            <w:pPr>
              <w:jc w:val="center"/>
              <w:rPr>
                <w:rFonts w:cs="Arial"/>
                <w:color w:val="000000"/>
                <w:sz w:val="18"/>
                <w:szCs w:val="18"/>
              </w:rPr>
            </w:pPr>
            <w:r w:rsidRPr="00426DE6">
              <w:rPr>
                <w:rFonts w:cs="Arial"/>
                <w:color w:val="000000"/>
                <w:sz w:val="18"/>
                <w:szCs w:val="18"/>
              </w:rPr>
              <w:t>64,28</w:t>
            </w:r>
          </w:p>
        </w:tc>
      </w:tr>
      <w:tr w:rsidR="00545DDF" w:rsidRPr="004C6EF5" w14:paraId="71F9A17C" w14:textId="77777777" w:rsidTr="00854644">
        <w:trPr>
          <w:trHeight w:val="284"/>
        </w:trPr>
        <w:tc>
          <w:tcPr>
            <w:tcW w:w="1509" w:type="pct"/>
            <w:tcBorders>
              <w:top w:val="nil"/>
              <w:left w:val="nil"/>
              <w:bottom w:val="nil"/>
              <w:right w:val="single" w:sz="4" w:space="0" w:color="auto"/>
            </w:tcBorders>
            <w:shd w:val="clear" w:color="auto" w:fill="auto"/>
            <w:noWrap/>
            <w:vAlign w:val="center"/>
          </w:tcPr>
          <w:p w14:paraId="3D2A9236" w14:textId="1979E18E" w:rsidR="00545DDF" w:rsidRPr="005806EB" w:rsidRDefault="00545DDF" w:rsidP="00545DDF">
            <w:pPr>
              <w:ind w:left="209"/>
              <w:jc w:val="left"/>
              <w:rPr>
                <w:rFonts w:cs="Arial"/>
                <w:color w:val="000000"/>
                <w:sz w:val="18"/>
                <w:szCs w:val="18"/>
              </w:rPr>
            </w:pPr>
            <w:r w:rsidRPr="00426DE6">
              <w:rPr>
                <w:rFonts w:cs="Arial"/>
                <w:color w:val="000000"/>
                <w:sz w:val="18"/>
                <w:szCs w:val="18"/>
              </w:rPr>
              <w:t xml:space="preserve">Outras Despesas Correntes </w:t>
            </w:r>
          </w:p>
        </w:tc>
        <w:tc>
          <w:tcPr>
            <w:tcW w:w="794" w:type="pct"/>
            <w:tcBorders>
              <w:top w:val="nil"/>
              <w:left w:val="single" w:sz="4" w:space="0" w:color="auto"/>
              <w:bottom w:val="nil"/>
              <w:right w:val="single" w:sz="4" w:space="0" w:color="auto"/>
            </w:tcBorders>
            <w:shd w:val="clear" w:color="auto" w:fill="auto"/>
            <w:noWrap/>
            <w:vAlign w:val="center"/>
          </w:tcPr>
          <w:p w14:paraId="713D7796" w14:textId="49370323" w:rsidR="00545DDF" w:rsidRPr="005806EB" w:rsidRDefault="00545DDF" w:rsidP="00545DDF">
            <w:pPr>
              <w:jc w:val="right"/>
              <w:rPr>
                <w:rFonts w:cs="Arial"/>
                <w:color w:val="000000"/>
                <w:sz w:val="18"/>
                <w:szCs w:val="18"/>
              </w:rPr>
            </w:pPr>
            <w:r w:rsidRPr="00426DE6">
              <w:rPr>
                <w:rFonts w:cs="Arial"/>
                <w:color w:val="000000"/>
                <w:sz w:val="18"/>
                <w:szCs w:val="18"/>
              </w:rPr>
              <w:t>12.161.794.655</w:t>
            </w:r>
          </w:p>
        </w:tc>
        <w:tc>
          <w:tcPr>
            <w:tcW w:w="555" w:type="pct"/>
            <w:tcBorders>
              <w:top w:val="nil"/>
              <w:left w:val="nil"/>
              <w:bottom w:val="nil"/>
              <w:right w:val="single" w:sz="4" w:space="0" w:color="auto"/>
            </w:tcBorders>
            <w:vAlign w:val="center"/>
          </w:tcPr>
          <w:p w14:paraId="319A915F" w14:textId="64EFC987" w:rsidR="00545DDF" w:rsidRPr="00426DE6" w:rsidRDefault="00545DDF" w:rsidP="00545DDF">
            <w:pPr>
              <w:jc w:val="center"/>
              <w:rPr>
                <w:rFonts w:cs="Arial"/>
                <w:color w:val="000000"/>
                <w:sz w:val="18"/>
                <w:szCs w:val="18"/>
              </w:rPr>
            </w:pPr>
            <w:r w:rsidRPr="00426DE6">
              <w:rPr>
                <w:rFonts w:cs="Arial"/>
                <w:color w:val="000000"/>
                <w:sz w:val="18"/>
                <w:szCs w:val="18"/>
              </w:rPr>
              <w:t>30,85</w:t>
            </w:r>
          </w:p>
        </w:tc>
        <w:tc>
          <w:tcPr>
            <w:tcW w:w="798" w:type="pct"/>
            <w:tcBorders>
              <w:top w:val="nil"/>
              <w:left w:val="single" w:sz="4" w:space="0" w:color="auto"/>
              <w:bottom w:val="nil"/>
              <w:right w:val="nil"/>
            </w:tcBorders>
            <w:vAlign w:val="center"/>
          </w:tcPr>
          <w:p w14:paraId="1D755F0E" w14:textId="1A1BA521" w:rsidR="00545DDF" w:rsidRPr="00426DE6" w:rsidRDefault="00545DDF" w:rsidP="00545DDF">
            <w:pPr>
              <w:jc w:val="right"/>
              <w:rPr>
                <w:rFonts w:cs="Arial"/>
                <w:color w:val="000000"/>
                <w:sz w:val="18"/>
                <w:szCs w:val="18"/>
              </w:rPr>
            </w:pPr>
            <w:r w:rsidRPr="00426DE6">
              <w:rPr>
                <w:rFonts w:cs="Arial"/>
                <w:color w:val="000000"/>
                <w:sz w:val="18"/>
                <w:szCs w:val="18"/>
              </w:rPr>
              <w:t>12.137.425.818</w:t>
            </w:r>
          </w:p>
        </w:tc>
        <w:tc>
          <w:tcPr>
            <w:tcW w:w="794" w:type="pct"/>
            <w:tcBorders>
              <w:top w:val="nil"/>
              <w:left w:val="single" w:sz="4" w:space="0" w:color="auto"/>
              <w:bottom w:val="nil"/>
              <w:right w:val="single" w:sz="4" w:space="0" w:color="auto"/>
            </w:tcBorders>
            <w:shd w:val="clear" w:color="auto" w:fill="auto"/>
            <w:noWrap/>
            <w:vAlign w:val="center"/>
          </w:tcPr>
          <w:p w14:paraId="4AB22889" w14:textId="5049A5F6" w:rsidR="00545DDF" w:rsidRPr="005806EB" w:rsidRDefault="00545DDF" w:rsidP="00545DDF">
            <w:pPr>
              <w:jc w:val="right"/>
              <w:rPr>
                <w:rFonts w:cs="Arial"/>
                <w:color w:val="000000"/>
                <w:sz w:val="18"/>
                <w:szCs w:val="18"/>
              </w:rPr>
            </w:pPr>
            <w:r w:rsidRPr="00426DE6">
              <w:rPr>
                <w:rFonts w:cs="Arial"/>
                <w:color w:val="000000"/>
                <w:sz w:val="18"/>
                <w:szCs w:val="18"/>
              </w:rPr>
              <w:t>24.368.837</w:t>
            </w:r>
          </w:p>
        </w:tc>
        <w:tc>
          <w:tcPr>
            <w:tcW w:w="550" w:type="pct"/>
            <w:tcBorders>
              <w:top w:val="nil"/>
              <w:left w:val="nil"/>
              <w:bottom w:val="nil"/>
            </w:tcBorders>
            <w:shd w:val="clear" w:color="auto" w:fill="auto"/>
            <w:noWrap/>
            <w:vAlign w:val="center"/>
          </w:tcPr>
          <w:p w14:paraId="2FC9F646" w14:textId="78E3A278" w:rsidR="00545DDF" w:rsidRPr="005806EB" w:rsidRDefault="00545DDF" w:rsidP="00545DDF">
            <w:pPr>
              <w:jc w:val="center"/>
              <w:rPr>
                <w:rFonts w:cs="Arial"/>
                <w:color w:val="000000"/>
                <w:sz w:val="18"/>
                <w:szCs w:val="18"/>
              </w:rPr>
            </w:pPr>
            <w:r w:rsidRPr="00426DE6">
              <w:rPr>
                <w:rFonts w:cs="Arial"/>
                <w:color w:val="000000"/>
                <w:sz w:val="18"/>
                <w:szCs w:val="18"/>
              </w:rPr>
              <w:t>0,20</w:t>
            </w:r>
          </w:p>
        </w:tc>
      </w:tr>
      <w:tr w:rsidR="00545DDF" w:rsidRPr="004C6EF5" w14:paraId="1A7E892F" w14:textId="77777777" w:rsidTr="00854644">
        <w:trPr>
          <w:trHeight w:val="284"/>
        </w:trPr>
        <w:tc>
          <w:tcPr>
            <w:tcW w:w="1509" w:type="pct"/>
            <w:tcBorders>
              <w:top w:val="nil"/>
              <w:left w:val="nil"/>
              <w:bottom w:val="nil"/>
              <w:right w:val="single" w:sz="4" w:space="0" w:color="auto"/>
            </w:tcBorders>
            <w:shd w:val="clear" w:color="auto" w:fill="auto"/>
            <w:noWrap/>
            <w:vAlign w:val="center"/>
          </w:tcPr>
          <w:p w14:paraId="10B50BE2" w14:textId="73CEB224" w:rsidR="00545DDF" w:rsidRPr="004C6EF5" w:rsidRDefault="00545DDF" w:rsidP="00545DDF">
            <w:pPr>
              <w:jc w:val="left"/>
              <w:rPr>
                <w:rFonts w:cs="Arial"/>
                <w:color w:val="000000"/>
                <w:sz w:val="18"/>
                <w:szCs w:val="18"/>
              </w:rPr>
            </w:pPr>
            <w:r w:rsidRPr="00426DE6">
              <w:rPr>
                <w:rFonts w:cs="Arial"/>
                <w:b/>
                <w:bCs/>
                <w:color w:val="000000"/>
                <w:sz w:val="18"/>
                <w:szCs w:val="18"/>
              </w:rPr>
              <w:t>Despesas de Capital</w:t>
            </w:r>
          </w:p>
        </w:tc>
        <w:tc>
          <w:tcPr>
            <w:tcW w:w="794" w:type="pct"/>
            <w:tcBorders>
              <w:top w:val="nil"/>
              <w:left w:val="single" w:sz="4" w:space="0" w:color="auto"/>
              <w:bottom w:val="nil"/>
              <w:right w:val="single" w:sz="4" w:space="0" w:color="auto"/>
            </w:tcBorders>
            <w:shd w:val="clear" w:color="auto" w:fill="auto"/>
            <w:noWrap/>
            <w:vAlign w:val="center"/>
          </w:tcPr>
          <w:p w14:paraId="62DDB828" w14:textId="5E8040D3" w:rsidR="00545DDF" w:rsidRPr="004C6EF5" w:rsidRDefault="00545DDF" w:rsidP="00545DDF">
            <w:pPr>
              <w:jc w:val="right"/>
              <w:rPr>
                <w:rFonts w:cs="Arial"/>
                <w:color w:val="000000"/>
                <w:sz w:val="18"/>
                <w:szCs w:val="18"/>
              </w:rPr>
            </w:pPr>
            <w:r w:rsidRPr="00426DE6">
              <w:rPr>
                <w:rFonts w:cs="Arial"/>
                <w:b/>
                <w:bCs/>
                <w:color w:val="000000"/>
                <w:sz w:val="18"/>
                <w:szCs w:val="18"/>
              </w:rPr>
              <w:t>3.623.924.564</w:t>
            </w:r>
          </w:p>
        </w:tc>
        <w:tc>
          <w:tcPr>
            <w:tcW w:w="555" w:type="pct"/>
            <w:tcBorders>
              <w:top w:val="nil"/>
              <w:left w:val="nil"/>
              <w:bottom w:val="nil"/>
              <w:right w:val="single" w:sz="4" w:space="0" w:color="auto"/>
            </w:tcBorders>
            <w:vAlign w:val="center"/>
          </w:tcPr>
          <w:p w14:paraId="345F6ABE" w14:textId="5E132E56" w:rsidR="00545DDF" w:rsidRPr="00426DE6" w:rsidRDefault="00545DDF" w:rsidP="00545DDF">
            <w:pPr>
              <w:jc w:val="center"/>
              <w:rPr>
                <w:rFonts w:cs="Arial"/>
                <w:b/>
                <w:bCs/>
                <w:color w:val="000000"/>
                <w:sz w:val="18"/>
                <w:szCs w:val="18"/>
              </w:rPr>
            </w:pPr>
            <w:r w:rsidRPr="00426DE6">
              <w:rPr>
                <w:rFonts w:cs="Arial"/>
                <w:b/>
                <w:bCs/>
                <w:color w:val="000000"/>
                <w:sz w:val="18"/>
                <w:szCs w:val="18"/>
              </w:rPr>
              <w:t>9,19</w:t>
            </w:r>
          </w:p>
        </w:tc>
        <w:tc>
          <w:tcPr>
            <w:tcW w:w="798" w:type="pct"/>
            <w:tcBorders>
              <w:top w:val="nil"/>
              <w:left w:val="single" w:sz="4" w:space="0" w:color="auto"/>
              <w:bottom w:val="nil"/>
              <w:right w:val="nil"/>
            </w:tcBorders>
            <w:vAlign w:val="center"/>
          </w:tcPr>
          <w:p w14:paraId="4FE64181" w14:textId="11C7ADB3" w:rsidR="00545DDF" w:rsidRPr="00426DE6" w:rsidRDefault="00545DDF" w:rsidP="00545DDF">
            <w:pPr>
              <w:jc w:val="right"/>
              <w:rPr>
                <w:rFonts w:cs="Arial"/>
                <w:b/>
                <w:bCs/>
                <w:color w:val="000000"/>
                <w:sz w:val="18"/>
                <w:szCs w:val="18"/>
              </w:rPr>
            </w:pPr>
            <w:r w:rsidRPr="00426DE6">
              <w:rPr>
                <w:rFonts w:cs="Arial"/>
                <w:b/>
                <w:bCs/>
                <w:color w:val="000000"/>
                <w:sz w:val="18"/>
                <w:szCs w:val="18"/>
              </w:rPr>
              <w:t>5.231.924.638</w:t>
            </w:r>
          </w:p>
        </w:tc>
        <w:tc>
          <w:tcPr>
            <w:tcW w:w="794" w:type="pct"/>
            <w:tcBorders>
              <w:top w:val="nil"/>
              <w:left w:val="single" w:sz="4" w:space="0" w:color="auto"/>
              <w:bottom w:val="nil"/>
              <w:right w:val="single" w:sz="4" w:space="0" w:color="auto"/>
            </w:tcBorders>
            <w:shd w:val="clear" w:color="auto" w:fill="auto"/>
            <w:noWrap/>
            <w:vAlign w:val="center"/>
          </w:tcPr>
          <w:p w14:paraId="59B112FD" w14:textId="34709C5E" w:rsidR="00545DDF" w:rsidRPr="004C6EF5" w:rsidRDefault="00545DDF" w:rsidP="00545DDF">
            <w:pPr>
              <w:jc w:val="right"/>
              <w:rPr>
                <w:rFonts w:cs="Arial"/>
                <w:color w:val="000000"/>
                <w:sz w:val="18"/>
                <w:szCs w:val="18"/>
              </w:rPr>
            </w:pPr>
            <w:r w:rsidRPr="00426DE6">
              <w:rPr>
                <w:rFonts w:cs="Arial"/>
                <w:b/>
                <w:bCs/>
                <w:color w:val="FF0000"/>
                <w:sz w:val="18"/>
                <w:szCs w:val="18"/>
              </w:rPr>
              <w:t>(1.608.000.074)</w:t>
            </w:r>
          </w:p>
        </w:tc>
        <w:tc>
          <w:tcPr>
            <w:tcW w:w="550" w:type="pct"/>
            <w:tcBorders>
              <w:top w:val="nil"/>
              <w:left w:val="nil"/>
              <w:bottom w:val="nil"/>
            </w:tcBorders>
            <w:shd w:val="clear" w:color="auto" w:fill="auto"/>
            <w:noWrap/>
            <w:vAlign w:val="center"/>
          </w:tcPr>
          <w:p w14:paraId="793251F1" w14:textId="4FDCBECB" w:rsidR="00545DDF" w:rsidRPr="004C6EF5" w:rsidRDefault="00545DDF" w:rsidP="00545DDF">
            <w:pPr>
              <w:jc w:val="center"/>
              <w:rPr>
                <w:rFonts w:cs="Arial"/>
                <w:color w:val="000000"/>
                <w:sz w:val="18"/>
                <w:szCs w:val="18"/>
              </w:rPr>
            </w:pPr>
            <w:r w:rsidRPr="00426DE6">
              <w:rPr>
                <w:rFonts w:cs="Arial"/>
                <w:b/>
                <w:bCs/>
                <w:color w:val="FF0000"/>
                <w:sz w:val="18"/>
                <w:szCs w:val="18"/>
              </w:rPr>
              <w:t>(30,73)</w:t>
            </w:r>
          </w:p>
        </w:tc>
      </w:tr>
      <w:tr w:rsidR="00545DDF" w:rsidRPr="005806EB" w14:paraId="2A864F09" w14:textId="77777777" w:rsidTr="00854644">
        <w:trPr>
          <w:trHeight w:val="284"/>
        </w:trPr>
        <w:tc>
          <w:tcPr>
            <w:tcW w:w="1509" w:type="pct"/>
            <w:tcBorders>
              <w:top w:val="nil"/>
              <w:left w:val="nil"/>
              <w:bottom w:val="nil"/>
              <w:right w:val="single" w:sz="4" w:space="0" w:color="auto"/>
            </w:tcBorders>
            <w:shd w:val="clear" w:color="auto" w:fill="auto"/>
            <w:noWrap/>
            <w:vAlign w:val="center"/>
          </w:tcPr>
          <w:p w14:paraId="036182A8" w14:textId="5B94F9B3" w:rsidR="00545DDF" w:rsidRPr="005806EB" w:rsidRDefault="00545DDF" w:rsidP="00545DDF">
            <w:pPr>
              <w:ind w:left="209"/>
              <w:jc w:val="left"/>
              <w:rPr>
                <w:rFonts w:cs="Arial"/>
                <w:color w:val="000000"/>
                <w:sz w:val="18"/>
                <w:szCs w:val="18"/>
              </w:rPr>
            </w:pPr>
            <w:r w:rsidRPr="00426DE6">
              <w:rPr>
                <w:rFonts w:cs="Arial"/>
                <w:color w:val="000000"/>
                <w:sz w:val="18"/>
                <w:szCs w:val="18"/>
              </w:rPr>
              <w:t>Investimentos</w:t>
            </w:r>
          </w:p>
        </w:tc>
        <w:tc>
          <w:tcPr>
            <w:tcW w:w="794" w:type="pct"/>
            <w:tcBorders>
              <w:top w:val="nil"/>
              <w:left w:val="single" w:sz="4" w:space="0" w:color="auto"/>
              <w:bottom w:val="nil"/>
              <w:right w:val="single" w:sz="4" w:space="0" w:color="auto"/>
            </w:tcBorders>
            <w:shd w:val="clear" w:color="auto" w:fill="auto"/>
            <w:noWrap/>
            <w:vAlign w:val="center"/>
          </w:tcPr>
          <w:p w14:paraId="3769F8E5" w14:textId="7943BE68" w:rsidR="00545DDF" w:rsidRPr="005806EB" w:rsidRDefault="00545DDF" w:rsidP="00545DDF">
            <w:pPr>
              <w:jc w:val="right"/>
              <w:rPr>
                <w:rFonts w:cs="Arial"/>
                <w:color w:val="000000"/>
                <w:sz w:val="18"/>
                <w:szCs w:val="18"/>
              </w:rPr>
            </w:pPr>
            <w:r w:rsidRPr="00426DE6">
              <w:rPr>
                <w:rFonts w:cs="Arial"/>
                <w:color w:val="000000"/>
                <w:sz w:val="18"/>
                <w:szCs w:val="18"/>
              </w:rPr>
              <w:t>3.283.874.086</w:t>
            </w:r>
          </w:p>
        </w:tc>
        <w:tc>
          <w:tcPr>
            <w:tcW w:w="555" w:type="pct"/>
            <w:tcBorders>
              <w:top w:val="nil"/>
              <w:left w:val="nil"/>
              <w:bottom w:val="nil"/>
              <w:right w:val="single" w:sz="4" w:space="0" w:color="auto"/>
            </w:tcBorders>
            <w:vAlign w:val="center"/>
          </w:tcPr>
          <w:p w14:paraId="41B9D1C2" w14:textId="20E58178" w:rsidR="00545DDF" w:rsidRPr="00426DE6" w:rsidRDefault="00545DDF" w:rsidP="00545DDF">
            <w:pPr>
              <w:jc w:val="center"/>
              <w:rPr>
                <w:rFonts w:cs="Arial"/>
                <w:color w:val="000000"/>
                <w:sz w:val="18"/>
                <w:szCs w:val="18"/>
              </w:rPr>
            </w:pPr>
            <w:r w:rsidRPr="00426DE6">
              <w:rPr>
                <w:rFonts w:cs="Arial"/>
                <w:color w:val="000000"/>
                <w:sz w:val="18"/>
                <w:szCs w:val="18"/>
              </w:rPr>
              <w:t>8,33</w:t>
            </w:r>
          </w:p>
        </w:tc>
        <w:tc>
          <w:tcPr>
            <w:tcW w:w="798" w:type="pct"/>
            <w:tcBorders>
              <w:top w:val="nil"/>
              <w:left w:val="single" w:sz="4" w:space="0" w:color="auto"/>
              <w:bottom w:val="nil"/>
              <w:right w:val="nil"/>
            </w:tcBorders>
            <w:vAlign w:val="center"/>
          </w:tcPr>
          <w:p w14:paraId="74E5B066" w14:textId="4B8ED623" w:rsidR="00545DDF" w:rsidRPr="00426DE6" w:rsidRDefault="00545DDF" w:rsidP="00545DDF">
            <w:pPr>
              <w:jc w:val="right"/>
              <w:rPr>
                <w:rFonts w:cs="Arial"/>
                <w:color w:val="000000"/>
                <w:sz w:val="18"/>
                <w:szCs w:val="18"/>
              </w:rPr>
            </w:pPr>
            <w:r w:rsidRPr="00426DE6">
              <w:rPr>
                <w:rFonts w:cs="Arial"/>
                <w:color w:val="000000"/>
                <w:sz w:val="18"/>
                <w:szCs w:val="18"/>
              </w:rPr>
              <w:t>2.608.758.450</w:t>
            </w:r>
          </w:p>
        </w:tc>
        <w:tc>
          <w:tcPr>
            <w:tcW w:w="794" w:type="pct"/>
            <w:tcBorders>
              <w:top w:val="nil"/>
              <w:left w:val="single" w:sz="4" w:space="0" w:color="auto"/>
              <w:bottom w:val="nil"/>
              <w:right w:val="single" w:sz="4" w:space="0" w:color="auto"/>
            </w:tcBorders>
            <w:shd w:val="clear" w:color="auto" w:fill="auto"/>
            <w:noWrap/>
            <w:vAlign w:val="center"/>
          </w:tcPr>
          <w:p w14:paraId="3F745762" w14:textId="5F2B9F5C" w:rsidR="00545DDF" w:rsidRPr="005806EB" w:rsidRDefault="00545DDF" w:rsidP="00545DDF">
            <w:pPr>
              <w:jc w:val="right"/>
              <w:rPr>
                <w:rFonts w:cs="Arial"/>
                <w:color w:val="000000"/>
                <w:sz w:val="18"/>
                <w:szCs w:val="18"/>
              </w:rPr>
            </w:pPr>
            <w:r w:rsidRPr="00426DE6">
              <w:rPr>
                <w:rFonts w:cs="Arial"/>
                <w:color w:val="000000"/>
                <w:sz w:val="18"/>
                <w:szCs w:val="18"/>
              </w:rPr>
              <w:t>675.115.636</w:t>
            </w:r>
          </w:p>
        </w:tc>
        <w:tc>
          <w:tcPr>
            <w:tcW w:w="550" w:type="pct"/>
            <w:tcBorders>
              <w:top w:val="nil"/>
              <w:left w:val="nil"/>
              <w:bottom w:val="nil"/>
            </w:tcBorders>
            <w:shd w:val="clear" w:color="auto" w:fill="auto"/>
            <w:noWrap/>
            <w:vAlign w:val="center"/>
          </w:tcPr>
          <w:p w14:paraId="6D4927BC" w14:textId="62904C7C" w:rsidR="00545DDF" w:rsidRPr="005806EB" w:rsidRDefault="00545DDF" w:rsidP="00545DDF">
            <w:pPr>
              <w:jc w:val="center"/>
              <w:rPr>
                <w:rFonts w:cs="Arial"/>
                <w:color w:val="000000"/>
                <w:sz w:val="18"/>
                <w:szCs w:val="18"/>
              </w:rPr>
            </w:pPr>
            <w:r w:rsidRPr="00426DE6">
              <w:rPr>
                <w:rFonts w:cs="Arial"/>
                <w:color w:val="000000"/>
                <w:sz w:val="18"/>
                <w:szCs w:val="18"/>
              </w:rPr>
              <w:t>25,88</w:t>
            </w:r>
          </w:p>
        </w:tc>
      </w:tr>
      <w:tr w:rsidR="00545DDF" w:rsidRPr="004C6EF5" w14:paraId="6D75B5A4" w14:textId="77777777" w:rsidTr="00854644">
        <w:trPr>
          <w:trHeight w:val="284"/>
        </w:trPr>
        <w:tc>
          <w:tcPr>
            <w:tcW w:w="1509" w:type="pct"/>
            <w:tcBorders>
              <w:top w:val="nil"/>
              <w:left w:val="nil"/>
              <w:right w:val="single" w:sz="4" w:space="0" w:color="auto"/>
            </w:tcBorders>
            <w:shd w:val="clear" w:color="auto" w:fill="auto"/>
            <w:noWrap/>
            <w:vAlign w:val="center"/>
          </w:tcPr>
          <w:p w14:paraId="7D92C9EF" w14:textId="7D3C3425" w:rsidR="00545DDF" w:rsidRPr="004C6EF5" w:rsidRDefault="00545DDF" w:rsidP="00545DDF">
            <w:pPr>
              <w:ind w:left="209"/>
              <w:jc w:val="left"/>
              <w:rPr>
                <w:rFonts w:cs="Arial"/>
                <w:color w:val="000000"/>
                <w:sz w:val="18"/>
                <w:szCs w:val="18"/>
              </w:rPr>
            </w:pPr>
            <w:r w:rsidRPr="00426DE6">
              <w:rPr>
                <w:rFonts w:cs="Arial"/>
                <w:color w:val="000000"/>
                <w:sz w:val="18"/>
                <w:szCs w:val="18"/>
              </w:rPr>
              <w:t>Inversões Financeiras</w:t>
            </w:r>
          </w:p>
        </w:tc>
        <w:tc>
          <w:tcPr>
            <w:tcW w:w="794" w:type="pct"/>
            <w:tcBorders>
              <w:top w:val="nil"/>
              <w:left w:val="single" w:sz="4" w:space="0" w:color="auto"/>
              <w:right w:val="single" w:sz="4" w:space="0" w:color="auto"/>
            </w:tcBorders>
            <w:shd w:val="clear" w:color="auto" w:fill="auto"/>
            <w:noWrap/>
            <w:vAlign w:val="center"/>
          </w:tcPr>
          <w:p w14:paraId="25865E1F" w14:textId="36ECA13B" w:rsidR="00545DDF" w:rsidRPr="004C6EF5" w:rsidRDefault="00545DDF" w:rsidP="00545DDF">
            <w:pPr>
              <w:jc w:val="right"/>
              <w:rPr>
                <w:rFonts w:cs="Arial"/>
                <w:color w:val="000000"/>
                <w:sz w:val="18"/>
                <w:szCs w:val="18"/>
              </w:rPr>
            </w:pPr>
            <w:r w:rsidRPr="00426DE6">
              <w:rPr>
                <w:rFonts w:cs="Arial"/>
                <w:color w:val="000000"/>
                <w:sz w:val="18"/>
                <w:szCs w:val="18"/>
              </w:rPr>
              <w:t>29.804.846</w:t>
            </w:r>
          </w:p>
        </w:tc>
        <w:tc>
          <w:tcPr>
            <w:tcW w:w="555" w:type="pct"/>
            <w:tcBorders>
              <w:top w:val="nil"/>
              <w:left w:val="nil"/>
              <w:right w:val="single" w:sz="4" w:space="0" w:color="auto"/>
            </w:tcBorders>
            <w:vAlign w:val="center"/>
          </w:tcPr>
          <w:p w14:paraId="6C7C5F5C" w14:textId="1FA4A579" w:rsidR="00545DDF" w:rsidRPr="00426DE6" w:rsidRDefault="00545DDF" w:rsidP="00545DDF">
            <w:pPr>
              <w:jc w:val="center"/>
              <w:rPr>
                <w:rFonts w:cs="Arial"/>
                <w:color w:val="000000"/>
                <w:sz w:val="18"/>
                <w:szCs w:val="18"/>
              </w:rPr>
            </w:pPr>
            <w:r w:rsidRPr="00426DE6">
              <w:rPr>
                <w:rFonts w:cs="Arial"/>
                <w:color w:val="000000"/>
                <w:sz w:val="18"/>
                <w:szCs w:val="18"/>
              </w:rPr>
              <w:t>0,08</w:t>
            </w:r>
          </w:p>
        </w:tc>
        <w:tc>
          <w:tcPr>
            <w:tcW w:w="798" w:type="pct"/>
            <w:tcBorders>
              <w:top w:val="nil"/>
              <w:left w:val="single" w:sz="4" w:space="0" w:color="auto"/>
              <w:right w:val="nil"/>
            </w:tcBorders>
            <w:vAlign w:val="center"/>
          </w:tcPr>
          <w:p w14:paraId="4E2D7C2E" w14:textId="10B0DF8A" w:rsidR="00545DDF" w:rsidRPr="00426DE6" w:rsidRDefault="00545DDF" w:rsidP="00545DDF">
            <w:pPr>
              <w:jc w:val="right"/>
              <w:rPr>
                <w:rFonts w:cs="Arial"/>
                <w:color w:val="000000"/>
                <w:sz w:val="18"/>
                <w:szCs w:val="18"/>
              </w:rPr>
            </w:pPr>
            <w:r w:rsidRPr="00426DE6">
              <w:rPr>
                <w:rFonts w:cs="Arial"/>
                <w:color w:val="000000"/>
                <w:sz w:val="18"/>
                <w:szCs w:val="18"/>
              </w:rPr>
              <w:t>25.315.514</w:t>
            </w:r>
          </w:p>
        </w:tc>
        <w:tc>
          <w:tcPr>
            <w:tcW w:w="794" w:type="pct"/>
            <w:tcBorders>
              <w:top w:val="nil"/>
              <w:left w:val="single" w:sz="4" w:space="0" w:color="auto"/>
              <w:right w:val="single" w:sz="4" w:space="0" w:color="auto"/>
            </w:tcBorders>
            <w:shd w:val="clear" w:color="auto" w:fill="auto"/>
            <w:noWrap/>
            <w:vAlign w:val="center"/>
          </w:tcPr>
          <w:p w14:paraId="51A7F098" w14:textId="278D64C4" w:rsidR="00545DDF" w:rsidRPr="004C6EF5" w:rsidRDefault="00545DDF" w:rsidP="00545DDF">
            <w:pPr>
              <w:jc w:val="right"/>
              <w:rPr>
                <w:rFonts w:cs="Arial"/>
                <w:color w:val="000000"/>
                <w:sz w:val="18"/>
                <w:szCs w:val="18"/>
              </w:rPr>
            </w:pPr>
            <w:r w:rsidRPr="00426DE6">
              <w:rPr>
                <w:rFonts w:cs="Arial"/>
                <w:color w:val="000000"/>
                <w:sz w:val="18"/>
                <w:szCs w:val="18"/>
              </w:rPr>
              <w:t>4.489.332</w:t>
            </w:r>
          </w:p>
        </w:tc>
        <w:tc>
          <w:tcPr>
            <w:tcW w:w="550" w:type="pct"/>
            <w:tcBorders>
              <w:top w:val="nil"/>
              <w:left w:val="nil"/>
            </w:tcBorders>
            <w:shd w:val="clear" w:color="auto" w:fill="auto"/>
            <w:noWrap/>
            <w:vAlign w:val="center"/>
          </w:tcPr>
          <w:p w14:paraId="32C5E883" w14:textId="54D3099C" w:rsidR="00545DDF" w:rsidRPr="004C6EF5" w:rsidRDefault="00545DDF" w:rsidP="00545DDF">
            <w:pPr>
              <w:jc w:val="center"/>
              <w:rPr>
                <w:rFonts w:cs="Arial"/>
                <w:color w:val="000000"/>
                <w:sz w:val="18"/>
                <w:szCs w:val="18"/>
              </w:rPr>
            </w:pPr>
            <w:r w:rsidRPr="00426DE6">
              <w:rPr>
                <w:rFonts w:cs="Arial"/>
                <w:color w:val="000000"/>
                <w:sz w:val="18"/>
                <w:szCs w:val="18"/>
              </w:rPr>
              <w:t>17,73</w:t>
            </w:r>
          </w:p>
        </w:tc>
      </w:tr>
      <w:tr w:rsidR="00545DDF" w:rsidRPr="004C6EF5" w14:paraId="250EC39D" w14:textId="77777777" w:rsidTr="00854644">
        <w:trPr>
          <w:trHeight w:val="284"/>
        </w:trPr>
        <w:tc>
          <w:tcPr>
            <w:tcW w:w="1509" w:type="pct"/>
            <w:tcBorders>
              <w:top w:val="nil"/>
              <w:left w:val="nil"/>
              <w:bottom w:val="single" w:sz="4" w:space="0" w:color="auto"/>
              <w:right w:val="single" w:sz="4" w:space="0" w:color="auto"/>
            </w:tcBorders>
            <w:shd w:val="clear" w:color="auto" w:fill="auto"/>
            <w:noWrap/>
            <w:vAlign w:val="center"/>
          </w:tcPr>
          <w:p w14:paraId="57C63C6D" w14:textId="09A973C5" w:rsidR="00545DDF" w:rsidRPr="005806EB" w:rsidRDefault="00545DDF" w:rsidP="00545DDF">
            <w:pPr>
              <w:ind w:left="209"/>
              <w:jc w:val="left"/>
              <w:rPr>
                <w:rFonts w:cs="Arial"/>
                <w:color w:val="000000"/>
                <w:sz w:val="18"/>
                <w:szCs w:val="18"/>
              </w:rPr>
            </w:pPr>
            <w:r w:rsidRPr="00426DE6">
              <w:rPr>
                <w:rFonts w:cs="Arial"/>
                <w:color w:val="000000"/>
                <w:sz w:val="18"/>
                <w:szCs w:val="18"/>
              </w:rPr>
              <w:t>Amortização da Dívida</w:t>
            </w:r>
          </w:p>
        </w:tc>
        <w:tc>
          <w:tcPr>
            <w:tcW w:w="794" w:type="pct"/>
            <w:tcBorders>
              <w:top w:val="nil"/>
              <w:left w:val="single" w:sz="4" w:space="0" w:color="auto"/>
              <w:bottom w:val="single" w:sz="4" w:space="0" w:color="auto"/>
              <w:right w:val="single" w:sz="4" w:space="0" w:color="auto"/>
            </w:tcBorders>
            <w:shd w:val="clear" w:color="auto" w:fill="auto"/>
            <w:noWrap/>
            <w:vAlign w:val="center"/>
          </w:tcPr>
          <w:p w14:paraId="56FE172E" w14:textId="2EF21B3E" w:rsidR="00545DDF" w:rsidRPr="005806EB" w:rsidRDefault="00545DDF" w:rsidP="00545DDF">
            <w:pPr>
              <w:jc w:val="right"/>
              <w:rPr>
                <w:rFonts w:cs="Arial"/>
                <w:color w:val="000000"/>
                <w:sz w:val="18"/>
                <w:szCs w:val="18"/>
              </w:rPr>
            </w:pPr>
            <w:r w:rsidRPr="00426DE6">
              <w:rPr>
                <w:rFonts w:cs="Arial"/>
                <w:color w:val="000000"/>
                <w:sz w:val="18"/>
                <w:szCs w:val="18"/>
              </w:rPr>
              <w:t>310.245.632</w:t>
            </w:r>
          </w:p>
        </w:tc>
        <w:tc>
          <w:tcPr>
            <w:tcW w:w="555" w:type="pct"/>
            <w:tcBorders>
              <w:top w:val="nil"/>
              <w:left w:val="nil"/>
              <w:bottom w:val="single" w:sz="4" w:space="0" w:color="auto"/>
              <w:right w:val="single" w:sz="4" w:space="0" w:color="auto"/>
            </w:tcBorders>
            <w:vAlign w:val="center"/>
          </w:tcPr>
          <w:p w14:paraId="4EE9C303" w14:textId="0A6CD45F" w:rsidR="00545DDF" w:rsidRPr="00426DE6" w:rsidRDefault="00545DDF" w:rsidP="00545DDF">
            <w:pPr>
              <w:jc w:val="center"/>
              <w:rPr>
                <w:rFonts w:cs="Arial"/>
                <w:color w:val="000000"/>
                <w:sz w:val="18"/>
                <w:szCs w:val="18"/>
              </w:rPr>
            </w:pPr>
            <w:r w:rsidRPr="00426DE6">
              <w:rPr>
                <w:rFonts w:cs="Arial"/>
                <w:color w:val="000000"/>
                <w:sz w:val="18"/>
                <w:szCs w:val="18"/>
              </w:rPr>
              <w:t>0,79</w:t>
            </w:r>
          </w:p>
        </w:tc>
        <w:tc>
          <w:tcPr>
            <w:tcW w:w="798" w:type="pct"/>
            <w:tcBorders>
              <w:top w:val="nil"/>
              <w:left w:val="single" w:sz="4" w:space="0" w:color="auto"/>
              <w:bottom w:val="single" w:sz="4" w:space="0" w:color="auto"/>
              <w:right w:val="nil"/>
            </w:tcBorders>
            <w:vAlign w:val="center"/>
          </w:tcPr>
          <w:p w14:paraId="5A84EC3A" w14:textId="7A634F65" w:rsidR="00545DDF" w:rsidRPr="00426DE6" w:rsidRDefault="00545DDF" w:rsidP="00545DDF">
            <w:pPr>
              <w:jc w:val="right"/>
              <w:rPr>
                <w:rFonts w:cs="Arial"/>
                <w:color w:val="000000"/>
                <w:sz w:val="18"/>
                <w:szCs w:val="18"/>
              </w:rPr>
            </w:pPr>
            <w:r w:rsidRPr="00426DE6">
              <w:rPr>
                <w:rFonts w:cs="Arial"/>
                <w:color w:val="000000"/>
                <w:sz w:val="18"/>
                <w:szCs w:val="18"/>
              </w:rPr>
              <w:t>2.597.850.673</w:t>
            </w:r>
          </w:p>
        </w:tc>
        <w:tc>
          <w:tcPr>
            <w:tcW w:w="794" w:type="pct"/>
            <w:tcBorders>
              <w:top w:val="nil"/>
              <w:left w:val="single" w:sz="4" w:space="0" w:color="auto"/>
              <w:bottom w:val="single" w:sz="4" w:space="0" w:color="auto"/>
              <w:right w:val="single" w:sz="4" w:space="0" w:color="auto"/>
            </w:tcBorders>
            <w:shd w:val="clear" w:color="auto" w:fill="auto"/>
            <w:noWrap/>
            <w:vAlign w:val="center"/>
          </w:tcPr>
          <w:p w14:paraId="6EC8F333" w14:textId="765F6C98" w:rsidR="00545DDF" w:rsidRPr="005806EB" w:rsidRDefault="00545DDF" w:rsidP="00545DDF">
            <w:pPr>
              <w:jc w:val="right"/>
              <w:rPr>
                <w:rFonts w:cs="Arial"/>
                <w:color w:val="000000"/>
                <w:sz w:val="18"/>
                <w:szCs w:val="18"/>
              </w:rPr>
            </w:pPr>
            <w:r w:rsidRPr="00426DE6">
              <w:rPr>
                <w:rFonts w:cs="Arial"/>
                <w:color w:val="FF0000"/>
                <w:sz w:val="18"/>
                <w:szCs w:val="18"/>
              </w:rPr>
              <w:t>(2.287.605.042)</w:t>
            </w:r>
          </w:p>
        </w:tc>
        <w:tc>
          <w:tcPr>
            <w:tcW w:w="550" w:type="pct"/>
            <w:tcBorders>
              <w:top w:val="nil"/>
              <w:left w:val="nil"/>
              <w:bottom w:val="single" w:sz="4" w:space="0" w:color="auto"/>
            </w:tcBorders>
            <w:shd w:val="clear" w:color="auto" w:fill="auto"/>
            <w:noWrap/>
            <w:vAlign w:val="center"/>
          </w:tcPr>
          <w:p w14:paraId="2E26E43D" w14:textId="3F249A56" w:rsidR="00545DDF" w:rsidRPr="005806EB" w:rsidRDefault="00545DDF" w:rsidP="00545DDF">
            <w:pPr>
              <w:jc w:val="center"/>
              <w:rPr>
                <w:rFonts w:cs="Arial"/>
                <w:color w:val="000000"/>
                <w:sz w:val="18"/>
                <w:szCs w:val="18"/>
              </w:rPr>
            </w:pPr>
            <w:r w:rsidRPr="00426DE6">
              <w:rPr>
                <w:rFonts w:cs="Arial"/>
                <w:color w:val="FF0000"/>
                <w:sz w:val="18"/>
                <w:szCs w:val="18"/>
              </w:rPr>
              <w:t>(88,06)</w:t>
            </w:r>
          </w:p>
        </w:tc>
      </w:tr>
      <w:tr w:rsidR="00545DDF" w:rsidRPr="004C6EF5" w14:paraId="6ECA4B81" w14:textId="77777777" w:rsidTr="00854644">
        <w:trPr>
          <w:trHeight w:val="284"/>
        </w:trPr>
        <w:tc>
          <w:tcPr>
            <w:tcW w:w="1509" w:type="pct"/>
            <w:tcBorders>
              <w:top w:val="single" w:sz="4" w:space="0" w:color="auto"/>
              <w:left w:val="nil"/>
              <w:bottom w:val="single" w:sz="4" w:space="0" w:color="auto"/>
              <w:right w:val="single" w:sz="4" w:space="0" w:color="auto"/>
            </w:tcBorders>
            <w:shd w:val="clear" w:color="auto" w:fill="auto"/>
            <w:noWrap/>
            <w:vAlign w:val="center"/>
          </w:tcPr>
          <w:p w14:paraId="50EEE3CA" w14:textId="31D7BF74" w:rsidR="00545DDF" w:rsidRPr="004C6EF5" w:rsidRDefault="00545DDF" w:rsidP="00545DDF">
            <w:pPr>
              <w:jc w:val="center"/>
              <w:rPr>
                <w:rFonts w:cs="Arial"/>
                <w:b/>
                <w:bCs/>
                <w:color w:val="000000"/>
                <w:sz w:val="18"/>
                <w:szCs w:val="18"/>
              </w:rPr>
            </w:pPr>
            <w:r w:rsidRPr="00426DE6">
              <w:rPr>
                <w:rFonts w:cs="Arial"/>
                <w:b/>
                <w:bCs/>
                <w:color w:val="000000"/>
                <w:sz w:val="18"/>
                <w:szCs w:val="18"/>
              </w:rPr>
              <w:t>Total</w:t>
            </w:r>
          </w:p>
        </w:tc>
        <w:tc>
          <w:tcPr>
            <w:tcW w:w="79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99FF66E" w14:textId="190BE5F4" w:rsidR="00545DDF" w:rsidRPr="004C6EF5" w:rsidRDefault="00545DDF" w:rsidP="00545DDF">
            <w:pPr>
              <w:jc w:val="right"/>
              <w:rPr>
                <w:rFonts w:cs="Arial"/>
                <w:b/>
                <w:bCs/>
                <w:color w:val="000000"/>
                <w:sz w:val="18"/>
                <w:szCs w:val="18"/>
              </w:rPr>
            </w:pPr>
            <w:r w:rsidRPr="00426DE6">
              <w:rPr>
                <w:rFonts w:cs="Arial"/>
                <w:b/>
                <w:bCs/>
                <w:color w:val="000000"/>
                <w:sz w:val="18"/>
                <w:szCs w:val="18"/>
              </w:rPr>
              <w:t>39.420.594.476</w:t>
            </w:r>
          </w:p>
        </w:tc>
        <w:tc>
          <w:tcPr>
            <w:tcW w:w="555" w:type="pct"/>
            <w:tcBorders>
              <w:top w:val="single" w:sz="4" w:space="0" w:color="auto"/>
              <w:left w:val="nil"/>
              <w:bottom w:val="single" w:sz="4" w:space="0" w:color="auto"/>
              <w:right w:val="single" w:sz="4" w:space="0" w:color="auto"/>
            </w:tcBorders>
            <w:vAlign w:val="center"/>
          </w:tcPr>
          <w:p w14:paraId="6FE53218" w14:textId="0C1C09F2" w:rsidR="00545DDF" w:rsidRPr="00426DE6" w:rsidRDefault="00545DDF" w:rsidP="00545DDF">
            <w:pPr>
              <w:jc w:val="center"/>
              <w:rPr>
                <w:rFonts w:cs="Arial"/>
                <w:b/>
                <w:bCs/>
                <w:color w:val="000000"/>
                <w:sz w:val="18"/>
                <w:szCs w:val="18"/>
              </w:rPr>
            </w:pPr>
            <w:r w:rsidRPr="00426DE6">
              <w:rPr>
                <w:rFonts w:cs="Arial"/>
                <w:b/>
                <w:bCs/>
                <w:color w:val="000000"/>
                <w:sz w:val="18"/>
                <w:szCs w:val="18"/>
              </w:rPr>
              <w:t>100,00</w:t>
            </w:r>
          </w:p>
        </w:tc>
        <w:tc>
          <w:tcPr>
            <w:tcW w:w="798" w:type="pct"/>
            <w:tcBorders>
              <w:top w:val="single" w:sz="4" w:space="0" w:color="auto"/>
              <w:left w:val="single" w:sz="4" w:space="0" w:color="auto"/>
              <w:bottom w:val="single" w:sz="4" w:space="0" w:color="auto"/>
              <w:right w:val="nil"/>
            </w:tcBorders>
            <w:vAlign w:val="center"/>
          </w:tcPr>
          <w:p w14:paraId="71A455F0" w14:textId="78EB2486" w:rsidR="00545DDF" w:rsidRPr="00426DE6" w:rsidRDefault="00545DDF" w:rsidP="00545DDF">
            <w:pPr>
              <w:jc w:val="right"/>
              <w:rPr>
                <w:rFonts w:cs="Arial"/>
                <w:b/>
                <w:bCs/>
                <w:color w:val="000000"/>
                <w:sz w:val="18"/>
                <w:szCs w:val="18"/>
              </w:rPr>
            </w:pPr>
            <w:r w:rsidRPr="00426DE6">
              <w:rPr>
                <w:rFonts w:cs="Arial"/>
                <w:b/>
                <w:bCs/>
                <w:color w:val="000000"/>
                <w:sz w:val="18"/>
                <w:szCs w:val="18"/>
              </w:rPr>
              <w:t>38.761.193.279</w:t>
            </w:r>
          </w:p>
        </w:tc>
        <w:tc>
          <w:tcPr>
            <w:tcW w:w="79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9FCB16" w14:textId="45D608AA" w:rsidR="00545DDF" w:rsidRPr="004C6EF5" w:rsidRDefault="00545DDF" w:rsidP="00545DDF">
            <w:pPr>
              <w:jc w:val="right"/>
              <w:rPr>
                <w:rFonts w:cs="Arial"/>
                <w:b/>
                <w:bCs/>
                <w:color w:val="000000"/>
                <w:sz w:val="18"/>
                <w:szCs w:val="18"/>
              </w:rPr>
            </w:pPr>
            <w:r w:rsidRPr="00426DE6">
              <w:rPr>
                <w:rFonts w:cs="Arial"/>
                <w:b/>
                <w:bCs/>
                <w:color w:val="000000"/>
                <w:sz w:val="18"/>
                <w:szCs w:val="18"/>
              </w:rPr>
              <w:t>659.401.197</w:t>
            </w:r>
          </w:p>
        </w:tc>
        <w:tc>
          <w:tcPr>
            <w:tcW w:w="550" w:type="pct"/>
            <w:tcBorders>
              <w:top w:val="single" w:sz="4" w:space="0" w:color="auto"/>
              <w:left w:val="nil"/>
              <w:bottom w:val="single" w:sz="4" w:space="0" w:color="auto"/>
            </w:tcBorders>
            <w:shd w:val="clear" w:color="auto" w:fill="auto"/>
            <w:noWrap/>
            <w:vAlign w:val="center"/>
          </w:tcPr>
          <w:p w14:paraId="5C3EC2F6" w14:textId="7A41A7F6" w:rsidR="00545DDF" w:rsidRPr="004C6EF5" w:rsidRDefault="00545DDF" w:rsidP="00545DDF">
            <w:pPr>
              <w:jc w:val="center"/>
              <w:rPr>
                <w:rFonts w:cs="Arial"/>
                <w:b/>
                <w:bCs/>
                <w:color w:val="000000"/>
                <w:sz w:val="18"/>
                <w:szCs w:val="18"/>
              </w:rPr>
            </w:pPr>
            <w:r w:rsidRPr="00426DE6">
              <w:rPr>
                <w:rFonts w:cs="Arial"/>
                <w:b/>
                <w:bCs/>
                <w:color w:val="000000"/>
                <w:sz w:val="18"/>
                <w:szCs w:val="18"/>
              </w:rPr>
              <w:t>1,70</w:t>
            </w:r>
          </w:p>
        </w:tc>
      </w:tr>
    </w:tbl>
    <w:p w14:paraId="624F8770" w14:textId="77777777" w:rsidR="00CB7663" w:rsidRPr="00333D34" w:rsidRDefault="00CB7663" w:rsidP="00EF01A1">
      <w:pPr>
        <w:pStyle w:val="1-FONTE8ESQ"/>
        <w:rPr>
          <w:rStyle w:val="Forte"/>
          <w:b w:val="0"/>
          <w:bCs w:val="0"/>
        </w:rPr>
      </w:pPr>
      <w:r>
        <w:rPr>
          <w:rStyle w:val="Forte"/>
          <w:b w:val="0"/>
          <w:bCs w:val="0"/>
        </w:rPr>
        <w:t>Font</w:t>
      </w:r>
      <w:r w:rsidRPr="00333D34">
        <w:rPr>
          <w:rStyle w:val="Forte"/>
          <w:b w:val="0"/>
          <w:bCs w:val="0"/>
        </w:rPr>
        <w:t xml:space="preserve">e: </w:t>
      </w:r>
      <w:r>
        <w:rPr>
          <w:rStyle w:val="Forte"/>
          <w:b w:val="0"/>
          <w:bCs w:val="0"/>
        </w:rPr>
        <w:t>Balanço Orçamentário – Anexo 12 (BGE 2023)</w:t>
      </w:r>
    </w:p>
    <w:p w14:paraId="08D5D463" w14:textId="2DADF581" w:rsidR="00A96988" w:rsidRDefault="00A96988" w:rsidP="00A96988">
      <w:pPr>
        <w:pStyle w:val="1-REL11"/>
      </w:pPr>
      <w:r>
        <w:t>Com exceção da despesa de capital Amortização da Dívida, que apresentou redução na sua execução (despesa registrada em 2022 em contrapartida a receita de operações de crédito realizada junto ao Bird, no valor de R$</w:t>
      </w:r>
      <w:r w:rsidR="00F763BE">
        <w:t> </w:t>
      </w:r>
      <w:r>
        <w:t>2,49</w:t>
      </w:r>
      <w:r w:rsidR="00F763BE">
        <w:t> </w:t>
      </w:r>
      <w:r>
        <w:t xml:space="preserve">bilhões, para reestruturação de uma operação de crédito celebrada em 2013 com o Banco do Brasil S/A e que está contida no Plano de Recuperação Fiscal do estado de Goiás), todas as demais despesas apresentaram evolução em 2023. </w:t>
      </w:r>
    </w:p>
    <w:p w14:paraId="0E419696" w14:textId="0B33F6C4" w:rsidR="00A96988" w:rsidRPr="009F6506" w:rsidRDefault="00A96988" w:rsidP="00A96988">
      <w:pPr>
        <w:pStyle w:val="1-REL11"/>
        <w:rPr>
          <w:highlight w:val="yellow"/>
        </w:rPr>
      </w:pPr>
      <w:r>
        <w:lastRenderedPageBreak/>
        <w:t>As despesas de Pessoal e Encargos Sociais apresentaram maior evolução nominal (R$</w:t>
      </w:r>
      <w:r w:rsidR="00F763BE">
        <w:t> </w:t>
      </w:r>
      <w:r>
        <w:t>2,01</w:t>
      </w:r>
      <w:r w:rsidR="00F763BE">
        <w:t> </w:t>
      </w:r>
      <w:r>
        <w:t xml:space="preserve">bilhões) seguidas pelas despesas de Investimentos que, apesar de demonstrar dispêndio abaixo dos valores previstos para o </w:t>
      </w:r>
      <w:r w:rsidRPr="00AD53DB">
        <w:t xml:space="preserve">exercício (vide </w:t>
      </w:r>
      <w:r w:rsidR="00E337D9">
        <w:fldChar w:fldCharType="begin"/>
      </w:r>
      <w:r w:rsidR="00E337D9">
        <w:instrText xml:space="preserve"> REF _Ref165647283 \w \h </w:instrText>
      </w:r>
      <w:r w:rsidR="00E337D9">
        <w:fldChar w:fldCharType="separate"/>
      </w:r>
      <w:r w:rsidR="00E337D9">
        <w:t xml:space="preserve">Tabela 24 </w:t>
      </w:r>
      <w:r w:rsidR="00E337D9">
        <w:fldChar w:fldCharType="end"/>
      </w:r>
      <w:r w:rsidR="00E337D9">
        <w:t xml:space="preserve">– </w:t>
      </w:r>
      <w:r w:rsidR="00FE1596">
        <w:fldChar w:fldCharType="begin"/>
      </w:r>
      <w:r w:rsidR="00FE1596">
        <w:instrText xml:space="preserve"> REF _Ref165647283 \h </w:instrText>
      </w:r>
      <w:r w:rsidR="00FE1596">
        <w:fldChar w:fldCharType="separate"/>
      </w:r>
      <w:r w:rsidR="00FE1596" w:rsidRPr="002913C7">
        <w:t>Resultado da Despesa por Grupo de Natureza</w:t>
      </w:r>
      <w:r w:rsidR="00FE1596">
        <w:fldChar w:fldCharType="end"/>
      </w:r>
      <w:r w:rsidRPr="00AD53DB">
        <w:t>), foram maiores que as realizadas em</w:t>
      </w:r>
      <w:r>
        <w:t xml:space="preserve"> 2022 (25,88%). Percentualmente, as despesas com Juros e Encargos da Dívida apresentaram a maior evolução (64,28%). Esta situação está relacionada </w:t>
      </w:r>
      <w:r w:rsidR="00F63533">
        <w:t>às</w:t>
      </w:r>
      <w:r>
        <w:t xml:space="preserve"> liminares que o estado de Goiás conseguiu junto ao </w:t>
      </w:r>
      <w:r w:rsidRPr="00A84ECD">
        <w:t>Supremo Tribunal Federal para suspender o pagamento da dívida entre os exercícios de 2019 a 2021, além dos valores contidos no Regime de Recuperação Fiscal. Logo, a partir de 2022</w:t>
      </w:r>
      <w:r>
        <w:t xml:space="preserve">, esses valores vêm aumentando sistematicamente devido à retomada de </w:t>
      </w:r>
      <w:r w:rsidRPr="009F6506">
        <w:t>pagamento dos juros e encargos da dívida até então suspensos.</w:t>
      </w:r>
    </w:p>
    <w:p w14:paraId="053AA9F3" w14:textId="77777777" w:rsidR="00A96988" w:rsidRPr="009F6506" w:rsidRDefault="00A96988" w:rsidP="00A96988">
      <w:pPr>
        <w:pStyle w:val="1-REL11"/>
        <w:rPr>
          <w:highlight w:val="yellow"/>
        </w:rPr>
      </w:pPr>
      <w:r w:rsidRPr="009F6506">
        <w:t>A seguir, demonstra-se a evolução e representatividade das despesas estaduais, realizadas por grupo de natureza, nos últimos dez exercícios:</w:t>
      </w:r>
    </w:p>
    <w:p w14:paraId="36967E42" w14:textId="20A21944" w:rsidR="00A96988" w:rsidRPr="001E2859" w:rsidRDefault="00A96988" w:rsidP="006E2785">
      <w:pPr>
        <w:pStyle w:val="0-GRFICO"/>
        <w:spacing w:before="0"/>
      </w:pPr>
      <w:bookmarkStart w:id="79" w:name="_Toc167825101"/>
      <w:r>
        <w:t>Evolução das Despesas Estaduais – 2014 a 2023</w:t>
      </w:r>
      <w:bookmarkEnd w:id="79"/>
    </w:p>
    <w:p w14:paraId="46767F8B" w14:textId="77777777" w:rsidR="00A96988" w:rsidRDefault="00A96988" w:rsidP="00A96988">
      <w:pPr>
        <w:pStyle w:val="1-REL11"/>
        <w:rPr>
          <w:highlight w:val="yellow"/>
        </w:rPr>
      </w:pPr>
    </w:p>
    <w:p w14:paraId="4B07E1F8" w14:textId="77777777" w:rsidR="00A96988" w:rsidRPr="006D41CB" w:rsidRDefault="00A96988" w:rsidP="00653B38">
      <w:pPr>
        <w:pStyle w:val="1-FONTEcentralizado"/>
        <w:rPr>
          <w:rStyle w:val="Forte"/>
          <w:b w:val="0"/>
        </w:rPr>
      </w:pPr>
      <w:r>
        <w:rPr>
          <w:noProof/>
        </w:rPr>
        <w:drawing>
          <wp:inline distT="0" distB="0" distL="0" distR="0" wp14:anchorId="6E529E1E" wp14:editId="3994FF62">
            <wp:extent cx="5939155" cy="3615070"/>
            <wp:effectExtent l="0" t="0" r="156845" b="156845"/>
            <wp:docPr id="40" name="Gráfico 40">
              <a:extLst xmlns:a="http://schemas.openxmlformats.org/drawingml/2006/main">
                <a:ext uri="{FF2B5EF4-FFF2-40B4-BE49-F238E27FC236}">
                  <a16:creationId xmlns:a16="http://schemas.microsoft.com/office/drawing/2014/main" id="{E3B8082B-119E-4C26-9B0A-B4A03210442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r w:rsidRPr="006D41CB">
        <w:rPr>
          <w:rStyle w:val="Forte"/>
          <w:b w:val="0"/>
        </w:rPr>
        <w:t xml:space="preserve">Fonte: </w:t>
      </w:r>
      <w:r>
        <w:rPr>
          <w:rStyle w:val="Forte"/>
          <w:b w:val="0"/>
          <w:bCs w:val="0"/>
        </w:rPr>
        <w:t>Balanço Orçamentário – Anexo 12 (BGE 2023)</w:t>
      </w:r>
    </w:p>
    <w:p w14:paraId="0874C535" w14:textId="77777777" w:rsidR="00A96988" w:rsidRDefault="00A96988" w:rsidP="00A96988">
      <w:pPr>
        <w:pStyle w:val="1-REL11"/>
      </w:pPr>
      <w:r>
        <w:t>Considerando as Funções da Despesa, que indicam em que área de ação governamental a despesa foi realizada, os recursos orçamentários foram empenhados da seguinte forma:</w:t>
      </w:r>
    </w:p>
    <w:p w14:paraId="02BE3B21" w14:textId="52E37064" w:rsidR="00A96988" w:rsidRPr="00CE7B69" w:rsidRDefault="00A96988" w:rsidP="006E2785">
      <w:pPr>
        <w:pStyle w:val="0-GRFICO"/>
      </w:pPr>
      <w:bookmarkStart w:id="80" w:name="_Toc167825102"/>
      <w:r w:rsidRPr="00CE7B69">
        <w:lastRenderedPageBreak/>
        <w:t xml:space="preserve">Despesa </w:t>
      </w:r>
      <w:r>
        <w:t>Empenhada</w:t>
      </w:r>
      <w:r w:rsidRPr="00CE7B69">
        <w:t xml:space="preserve"> </w:t>
      </w:r>
      <w:r w:rsidR="00AB4C8E">
        <w:t>p</w:t>
      </w:r>
      <w:r w:rsidRPr="00CE7B69">
        <w:t>or Função</w:t>
      </w:r>
      <w:bookmarkEnd w:id="80"/>
    </w:p>
    <w:p w14:paraId="56EF0F4B" w14:textId="77777777" w:rsidR="00A96988" w:rsidRDefault="00A96988" w:rsidP="00A96988">
      <w:pPr>
        <w:pStyle w:val="1-REL11"/>
      </w:pPr>
      <w:r>
        <w:rPr>
          <w:noProof/>
        </w:rPr>
        <w:drawing>
          <wp:inline distT="0" distB="0" distL="0" distR="0" wp14:anchorId="08CCC7FE" wp14:editId="62291384">
            <wp:extent cx="5923280" cy="2830982"/>
            <wp:effectExtent l="0" t="0" r="153670" b="160020"/>
            <wp:docPr id="43" name="Gráfico 43">
              <a:extLst xmlns:a="http://schemas.openxmlformats.org/drawingml/2006/main">
                <a:ext uri="{FF2B5EF4-FFF2-40B4-BE49-F238E27FC236}">
                  <a16:creationId xmlns:a16="http://schemas.microsoft.com/office/drawing/2014/main" id="{CE56FED5-26D3-4DA5-97A9-268C1F369D2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2C2A93D4" w14:textId="77777777" w:rsidR="00A96988" w:rsidRPr="00AD7615" w:rsidRDefault="00A96988" w:rsidP="00A96988">
      <w:pPr>
        <w:pStyle w:val="0-FNT-GRAFICO"/>
        <w:rPr>
          <w:rStyle w:val="Forte"/>
          <w:b w:val="0"/>
        </w:rPr>
      </w:pPr>
      <w:r w:rsidRPr="00AD7615">
        <w:rPr>
          <w:rStyle w:val="Forte"/>
          <w:b w:val="0"/>
        </w:rPr>
        <w:t xml:space="preserve">Fonte: </w:t>
      </w:r>
      <w:r w:rsidRPr="00AD7615">
        <w:rPr>
          <w:rStyle w:val="Forte"/>
          <w:b w:val="0"/>
          <w:i/>
        </w:rPr>
        <w:t>Business Objects</w:t>
      </w:r>
    </w:p>
    <w:p w14:paraId="4431B4C9" w14:textId="77777777" w:rsidR="009A0519" w:rsidRPr="00AD7615" w:rsidRDefault="00A96988" w:rsidP="00A96988">
      <w:pPr>
        <w:pStyle w:val="1-REL11"/>
      </w:pPr>
      <w:r w:rsidRPr="00AD7615">
        <w:t xml:space="preserve">Considerando a despesa empenhada por Poder/Órgão Autônomo, </w:t>
      </w:r>
      <w:r>
        <w:t>teve-se o</w:t>
      </w:r>
      <w:r w:rsidRPr="00AD7615">
        <w:t xml:space="preserve"> seguinte desempenho:</w:t>
      </w:r>
    </w:p>
    <w:p w14:paraId="62CB743B" w14:textId="77777777" w:rsidR="00A96988" w:rsidRPr="00683EDB" w:rsidRDefault="00A96988" w:rsidP="00ED3571">
      <w:pPr>
        <w:pStyle w:val="0-TABELA"/>
      </w:pPr>
      <w:bookmarkStart w:id="81" w:name="_Toc167871739"/>
      <w:r w:rsidRPr="00683EDB">
        <w:t>Resultado da Despesa por Poder/Órgão Autônomo</w:t>
      </w:r>
      <w:bookmarkEnd w:id="81"/>
    </w:p>
    <w:p w14:paraId="3236D4F9" w14:textId="77777777" w:rsidR="00A96988" w:rsidRDefault="00A96988" w:rsidP="00A96988">
      <w:pPr>
        <w:pStyle w:val="0-EmR1"/>
      </w:pPr>
      <w:r>
        <w:t>R</w:t>
      </w:r>
      <w:r w:rsidRPr="00333D34">
        <w:t>$ 1</w:t>
      </w:r>
    </w:p>
    <w:tbl>
      <w:tblPr>
        <w:tblW w:w="5000" w:type="pct"/>
        <w:tblCellMar>
          <w:left w:w="70" w:type="dxa"/>
          <w:right w:w="70" w:type="dxa"/>
        </w:tblCellMar>
        <w:tblLook w:val="04A0" w:firstRow="1" w:lastRow="0" w:firstColumn="1" w:lastColumn="0" w:noHBand="0" w:noVBand="1"/>
      </w:tblPr>
      <w:tblGrid>
        <w:gridCol w:w="2912"/>
        <w:gridCol w:w="1392"/>
        <w:gridCol w:w="1392"/>
        <w:gridCol w:w="1161"/>
        <w:gridCol w:w="1411"/>
        <w:gridCol w:w="1085"/>
      </w:tblGrid>
      <w:tr w:rsidR="009A0519" w:rsidRPr="009A0519" w14:paraId="317C5A84" w14:textId="77777777" w:rsidTr="00854644">
        <w:trPr>
          <w:trHeight w:val="395"/>
          <w:tblHeader/>
        </w:trPr>
        <w:tc>
          <w:tcPr>
            <w:tcW w:w="1557" w:type="pct"/>
            <w:vMerge w:val="restart"/>
            <w:tcBorders>
              <w:top w:val="single" w:sz="8" w:space="0" w:color="auto"/>
              <w:left w:val="nil"/>
              <w:bottom w:val="single" w:sz="8" w:space="0" w:color="000000"/>
              <w:right w:val="single" w:sz="8" w:space="0" w:color="auto"/>
            </w:tcBorders>
            <w:shd w:val="clear" w:color="000000" w:fill="A1F2FD"/>
            <w:vAlign w:val="center"/>
            <w:hideMark/>
          </w:tcPr>
          <w:p w14:paraId="3179CE2F" w14:textId="77777777" w:rsidR="009A0519" w:rsidRPr="009A0519" w:rsidRDefault="009A0519" w:rsidP="00F71F59">
            <w:pPr>
              <w:jc w:val="center"/>
              <w:rPr>
                <w:rFonts w:cs="Arial"/>
                <w:b/>
                <w:bCs/>
                <w:color w:val="000000"/>
                <w:sz w:val="18"/>
                <w:szCs w:val="18"/>
              </w:rPr>
            </w:pPr>
            <w:r w:rsidRPr="009A0519">
              <w:rPr>
                <w:rFonts w:cs="Arial"/>
                <w:b/>
                <w:bCs/>
                <w:color w:val="000000"/>
                <w:sz w:val="18"/>
                <w:szCs w:val="18"/>
              </w:rPr>
              <w:t>Poder/Órgão Autônomo</w:t>
            </w:r>
          </w:p>
        </w:tc>
        <w:tc>
          <w:tcPr>
            <w:tcW w:w="744" w:type="pct"/>
            <w:vMerge w:val="restart"/>
            <w:tcBorders>
              <w:top w:val="single" w:sz="8" w:space="0" w:color="auto"/>
              <w:left w:val="single" w:sz="8" w:space="0" w:color="auto"/>
              <w:bottom w:val="single" w:sz="4" w:space="0" w:color="auto"/>
              <w:right w:val="single" w:sz="8" w:space="0" w:color="auto"/>
            </w:tcBorders>
            <w:shd w:val="clear" w:color="000000" w:fill="A1F2FD"/>
            <w:vAlign w:val="center"/>
            <w:hideMark/>
          </w:tcPr>
          <w:p w14:paraId="28E7B2BF" w14:textId="77777777" w:rsidR="009A0519" w:rsidRPr="009A0519" w:rsidRDefault="009A0519" w:rsidP="00F71F59">
            <w:pPr>
              <w:jc w:val="center"/>
              <w:rPr>
                <w:rFonts w:cs="Arial"/>
                <w:b/>
                <w:bCs/>
                <w:color w:val="000000"/>
                <w:sz w:val="18"/>
                <w:szCs w:val="18"/>
              </w:rPr>
            </w:pPr>
            <w:r w:rsidRPr="009A0519">
              <w:rPr>
                <w:rFonts w:cs="Arial"/>
                <w:b/>
                <w:bCs/>
                <w:color w:val="000000"/>
                <w:sz w:val="18"/>
                <w:szCs w:val="18"/>
              </w:rPr>
              <w:t>Despesa Autorizada</w:t>
            </w:r>
          </w:p>
        </w:tc>
        <w:tc>
          <w:tcPr>
            <w:tcW w:w="744" w:type="pct"/>
            <w:vMerge w:val="restart"/>
            <w:tcBorders>
              <w:top w:val="single" w:sz="8" w:space="0" w:color="auto"/>
              <w:left w:val="single" w:sz="8" w:space="0" w:color="auto"/>
              <w:bottom w:val="single" w:sz="4" w:space="0" w:color="auto"/>
              <w:right w:val="single" w:sz="8" w:space="0" w:color="auto"/>
            </w:tcBorders>
            <w:shd w:val="clear" w:color="000000" w:fill="A1F2FD"/>
            <w:vAlign w:val="center"/>
            <w:hideMark/>
          </w:tcPr>
          <w:p w14:paraId="5BC122C6" w14:textId="77777777" w:rsidR="009A0519" w:rsidRPr="009A0519" w:rsidRDefault="009A0519" w:rsidP="00F71F59">
            <w:pPr>
              <w:jc w:val="center"/>
              <w:rPr>
                <w:rFonts w:cs="Arial"/>
                <w:b/>
                <w:bCs/>
                <w:color w:val="000000"/>
                <w:sz w:val="18"/>
                <w:szCs w:val="18"/>
              </w:rPr>
            </w:pPr>
            <w:r w:rsidRPr="009A0519">
              <w:rPr>
                <w:rFonts w:cs="Arial"/>
                <w:b/>
                <w:bCs/>
                <w:color w:val="000000"/>
                <w:sz w:val="18"/>
                <w:szCs w:val="18"/>
              </w:rPr>
              <w:t>Despesa Empenhada</w:t>
            </w:r>
          </w:p>
        </w:tc>
        <w:tc>
          <w:tcPr>
            <w:tcW w:w="621" w:type="pct"/>
            <w:vMerge w:val="restart"/>
            <w:tcBorders>
              <w:top w:val="single" w:sz="8" w:space="0" w:color="auto"/>
              <w:left w:val="nil"/>
              <w:bottom w:val="single" w:sz="4" w:space="0" w:color="auto"/>
              <w:right w:val="single" w:sz="8" w:space="0" w:color="auto"/>
            </w:tcBorders>
            <w:shd w:val="clear" w:color="000000" w:fill="A1F2FD"/>
            <w:vAlign w:val="center"/>
            <w:hideMark/>
          </w:tcPr>
          <w:p w14:paraId="1B5FFA85" w14:textId="36B66BB8" w:rsidR="009A0519" w:rsidRPr="009A0519" w:rsidRDefault="00541A31" w:rsidP="009A0519">
            <w:pPr>
              <w:jc w:val="center"/>
              <w:rPr>
                <w:rFonts w:cs="Arial"/>
                <w:b/>
                <w:bCs/>
                <w:color w:val="000000"/>
                <w:sz w:val="18"/>
                <w:szCs w:val="18"/>
              </w:rPr>
            </w:pPr>
            <w:r>
              <w:rPr>
                <w:rFonts w:cs="Arial"/>
                <w:b/>
                <w:bCs/>
                <w:color w:val="000000"/>
                <w:sz w:val="18"/>
                <w:szCs w:val="18"/>
              </w:rPr>
              <w:t xml:space="preserve">AV </w:t>
            </w:r>
            <w:r w:rsidR="009A0519" w:rsidRPr="009A0519">
              <w:rPr>
                <w:rFonts w:cs="Arial"/>
                <w:b/>
                <w:bCs/>
                <w:color w:val="000000"/>
                <w:sz w:val="18"/>
                <w:szCs w:val="18"/>
              </w:rPr>
              <w:t>Despesa Empenhada</w:t>
            </w:r>
            <w:r>
              <w:rPr>
                <w:rFonts w:cs="Arial"/>
                <w:b/>
                <w:bCs/>
                <w:color w:val="000000"/>
                <w:sz w:val="18"/>
                <w:szCs w:val="18"/>
              </w:rPr>
              <w:t xml:space="preserve"> %</w:t>
            </w:r>
            <w:r w:rsidR="009A0519" w:rsidRPr="009A0519">
              <w:rPr>
                <w:rFonts w:cs="Arial"/>
                <w:b/>
                <w:bCs/>
                <w:color w:val="000000"/>
                <w:sz w:val="18"/>
                <w:szCs w:val="18"/>
              </w:rPr>
              <w:t> </w:t>
            </w:r>
          </w:p>
        </w:tc>
        <w:tc>
          <w:tcPr>
            <w:tcW w:w="1334" w:type="pct"/>
            <w:gridSpan w:val="2"/>
            <w:tcBorders>
              <w:top w:val="single" w:sz="8" w:space="0" w:color="auto"/>
              <w:left w:val="nil"/>
              <w:bottom w:val="single" w:sz="4" w:space="0" w:color="auto"/>
            </w:tcBorders>
            <w:shd w:val="clear" w:color="000000" w:fill="A1F2FD"/>
            <w:vAlign w:val="center"/>
            <w:hideMark/>
          </w:tcPr>
          <w:p w14:paraId="4C1A8C12" w14:textId="77777777" w:rsidR="009A0519" w:rsidRPr="009A0519" w:rsidRDefault="009A0519" w:rsidP="00F71F59">
            <w:pPr>
              <w:jc w:val="center"/>
              <w:rPr>
                <w:rFonts w:cs="Arial"/>
                <w:b/>
                <w:bCs/>
                <w:color w:val="000000"/>
                <w:sz w:val="18"/>
                <w:szCs w:val="18"/>
              </w:rPr>
            </w:pPr>
            <w:r w:rsidRPr="009A0519">
              <w:rPr>
                <w:rFonts w:cs="Arial"/>
                <w:b/>
                <w:bCs/>
                <w:color w:val="000000"/>
                <w:sz w:val="18"/>
                <w:szCs w:val="18"/>
              </w:rPr>
              <w:t>Resultado da Despesa</w:t>
            </w:r>
          </w:p>
        </w:tc>
      </w:tr>
      <w:tr w:rsidR="009A0519" w:rsidRPr="009A0519" w14:paraId="4886B597" w14:textId="77777777" w:rsidTr="00854644">
        <w:trPr>
          <w:trHeight w:val="284"/>
          <w:tblHeader/>
        </w:trPr>
        <w:tc>
          <w:tcPr>
            <w:tcW w:w="1557" w:type="pct"/>
            <w:vMerge/>
            <w:tcBorders>
              <w:top w:val="single" w:sz="8" w:space="0" w:color="auto"/>
              <w:left w:val="nil"/>
              <w:bottom w:val="single" w:sz="8" w:space="0" w:color="000000"/>
              <w:right w:val="single" w:sz="8" w:space="0" w:color="auto"/>
            </w:tcBorders>
            <w:vAlign w:val="center"/>
            <w:hideMark/>
          </w:tcPr>
          <w:p w14:paraId="0AA95AD7" w14:textId="77777777" w:rsidR="009A0519" w:rsidRPr="009A0519" w:rsidRDefault="009A0519" w:rsidP="00F71F59">
            <w:pPr>
              <w:jc w:val="left"/>
              <w:rPr>
                <w:rFonts w:cs="Arial"/>
                <w:b/>
                <w:bCs/>
                <w:color w:val="000000"/>
                <w:sz w:val="18"/>
                <w:szCs w:val="18"/>
              </w:rPr>
            </w:pPr>
          </w:p>
        </w:tc>
        <w:tc>
          <w:tcPr>
            <w:tcW w:w="744" w:type="pct"/>
            <w:vMerge/>
            <w:tcBorders>
              <w:top w:val="single" w:sz="4" w:space="0" w:color="auto"/>
              <w:left w:val="single" w:sz="8" w:space="0" w:color="auto"/>
              <w:bottom w:val="single" w:sz="4" w:space="0" w:color="auto"/>
              <w:right w:val="single" w:sz="8" w:space="0" w:color="auto"/>
            </w:tcBorders>
            <w:vAlign w:val="center"/>
            <w:hideMark/>
          </w:tcPr>
          <w:p w14:paraId="1E0E9844" w14:textId="77777777" w:rsidR="009A0519" w:rsidRPr="009A0519" w:rsidRDefault="009A0519" w:rsidP="00F71F59">
            <w:pPr>
              <w:jc w:val="left"/>
              <w:rPr>
                <w:rFonts w:cs="Arial"/>
                <w:b/>
                <w:bCs/>
                <w:color w:val="000000"/>
                <w:sz w:val="18"/>
                <w:szCs w:val="18"/>
              </w:rPr>
            </w:pPr>
          </w:p>
        </w:tc>
        <w:tc>
          <w:tcPr>
            <w:tcW w:w="744" w:type="pct"/>
            <w:vMerge/>
            <w:tcBorders>
              <w:top w:val="single" w:sz="4" w:space="0" w:color="auto"/>
              <w:left w:val="single" w:sz="8" w:space="0" w:color="auto"/>
              <w:bottom w:val="single" w:sz="4" w:space="0" w:color="auto"/>
              <w:right w:val="single" w:sz="8" w:space="0" w:color="auto"/>
            </w:tcBorders>
            <w:vAlign w:val="center"/>
            <w:hideMark/>
          </w:tcPr>
          <w:p w14:paraId="30F417FC" w14:textId="77777777" w:rsidR="009A0519" w:rsidRPr="009A0519" w:rsidRDefault="009A0519" w:rsidP="00F71F59">
            <w:pPr>
              <w:jc w:val="left"/>
              <w:rPr>
                <w:rFonts w:cs="Arial"/>
                <w:b/>
                <w:bCs/>
                <w:color w:val="000000"/>
                <w:sz w:val="18"/>
                <w:szCs w:val="18"/>
              </w:rPr>
            </w:pPr>
          </w:p>
        </w:tc>
        <w:tc>
          <w:tcPr>
            <w:tcW w:w="621" w:type="pct"/>
            <w:vMerge/>
            <w:tcBorders>
              <w:top w:val="single" w:sz="4" w:space="0" w:color="auto"/>
              <w:left w:val="nil"/>
              <w:bottom w:val="single" w:sz="4" w:space="0" w:color="auto"/>
              <w:right w:val="single" w:sz="8" w:space="0" w:color="auto"/>
            </w:tcBorders>
            <w:shd w:val="clear" w:color="000000" w:fill="A1F2FD"/>
            <w:vAlign w:val="center"/>
            <w:hideMark/>
          </w:tcPr>
          <w:p w14:paraId="1F48E9A1" w14:textId="1138AFC9" w:rsidR="009A0519" w:rsidRPr="009A0519" w:rsidRDefault="009A0519" w:rsidP="00F71F59">
            <w:pPr>
              <w:jc w:val="center"/>
              <w:rPr>
                <w:rFonts w:cs="Arial"/>
                <w:b/>
                <w:bCs/>
                <w:color w:val="000000"/>
                <w:sz w:val="18"/>
                <w:szCs w:val="18"/>
              </w:rPr>
            </w:pPr>
          </w:p>
        </w:tc>
        <w:tc>
          <w:tcPr>
            <w:tcW w:w="730" w:type="pct"/>
            <w:tcBorders>
              <w:top w:val="single" w:sz="4" w:space="0" w:color="auto"/>
              <w:left w:val="nil"/>
              <w:bottom w:val="single" w:sz="4" w:space="0" w:color="auto"/>
              <w:right w:val="single" w:sz="8" w:space="0" w:color="auto"/>
            </w:tcBorders>
            <w:shd w:val="clear" w:color="000000" w:fill="A1F2FD"/>
            <w:vAlign w:val="center"/>
            <w:hideMark/>
          </w:tcPr>
          <w:p w14:paraId="4B37791D" w14:textId="63D4C353" w:rsidR="009A0519" w:rsidRPr="009A0519" w:rsidRDefault="00600F4B" w:rsidP="00F71F59">
            <w:pPr>
              <w:jc w:val="center"/>
              <w:rPr>
                <w:rFonts w:cs="Arial"/>
                <w:b/>
                <w:bCs/>
                <w:color w:val="000000"/>
                <w:sz w:val="18"/>
                <w:szCs w:val="18"/>
              </w:rPr>
            </w:pPr>
            <w:r>
              <w:rPr>
                <w:rFonts w:cs="Arial"/>
                <w:b/>
                <w:bCs/>
                <w:color w:val="000000"/>
                <w:sz w:val="18"/>
                <w:szCs w:val="18"/>
              </w:rPr>
              <w:t>R$</w:t>
            </w:r>
          </w:p>
        </w:tc>
        <w:tc>
          <w:tcPr>
            <w:tcW w:w="604" w:type="pct"/>
            <w:tcBorders>
              <w:top w:val="single" w:sz="4" w:space="0" w:color="auto"/>
              <w:left w:val="nil"/>
              <w:bottom w:val="single" w:sz="4" w:space="0" w:color="auto"/>
            </w:tcBorders>
            <w:shd w:val="clear" w:color="000000" w:fill="A1F2FD"/>
            <w:vAlign w:val="center"/>
            <w:hideMark/>
          </w:tcPr>
          <w:p w14:paraId="2A2E2D25" w14:textId="77777777" w:rsidR="009A0519" w:rsidRPr="009A0519" w:rsidRDefault="009A0519" w:rsidP="00F71F59">
            <w:pPr>
              <w:jc w:val="center"/>
              <w:rPr>
                <w:rFonts w:cs="Arial"/>
                <w:b/>
                <w:bCs/>
                <w:color w:val="000000"/>
                <w:sz w:val="18"/>
                <w:szCs w:val="18"/>
              </w:rPr>
            </w:pPr>
            <w:r w:rsidRPr="009A0519">
              <w:rPr>
                <w:rFonts w:cs="Arial"/>
                <w:b/>
                <w:bCs/>
                <w:color w:val="000000"/>
                <w:sz w:val="18"/>
                <w:szCs w:val="18"/>
              </w:rPr>
              <w:t>%</w:t>
            </w:r>
          </w:p>
        </w:tc>
      </w:tr>
      <w:tr w:rsidR="009A0519" w:rsidRPr="009A0519" w14:paraId="113C7D9B" w14:textId="77777777" w:rsidTr="00526AF1">
        <w:trPr>
          <w:trHeight w:val="246"/>
          <w:tblHeader/>
        </w:trPr>
        <w:tc>
          <w:tcPr>
            <w:tcW w:w="1557" w:type="pct"/>
            <w:vMerge/>
            <w:tcBorders>
              <w:top w:val="single" w:sz="8" w:space="0" w:color="auto"/>
              <w:left w:val="nil"/>
              <w:bottom w:val="single" w:sz="8" w:space="0" w:color="000000"/>
              <w:right w:val="single" w:sz="8" w:space="0" w:color="auto"/>
            </w:tcBorders>
            <w:vAlign w:val="center"/>
            <w:hideMark/>
          </w:tcPr>
          <w:p w14:paraId="72F130D4" w14:textId="77777777" w:rsidR="009A0519" w:rsidRPr="009A0519" w:rsidRDefault="009A0519" w:rsidP="00F71F59">
            <w:pPr>
              <w:jc w:val="left"/>
              <w:rPr>
                <w:rFonts w:cs="Arial"/>
                <w:b/>
                <w:bCs/>
                <w:color w:val="000000"/>
                <w:sz w:val="18"/>
                <w:szCs w:val="18"/>
              </w:rPr>
            </w:pPr>
          </w:p>
        </w:tc>
        <w:tc>
          <w:tcPr>
            <w:tcW w:w="744" w:type="pct"/>
            <w:tcBorders>
              <w:top w:val="single" w:sz="4" w:space="0" w:color="auto"/>
              <w:left w:val="nil"/>
              <w:bottom w:val="single" w:sz="8" w:space="0" w:color="auto"/>
              <w:right w:val="single" w:sz="8" w:space="0" w:color="auto"/>
            </w:tcBorders>
            <w:shd w:val="clear" w:color="000000" w:fill="A1F2FD"/>
            <w:vAlign w:val="center"/>
            <w:hideMark/>
          </w:tcPr>
          <w:p w14:paraId="29EB2017" w14:textId="77777777" w:rsidR="009A0519" w:rsidRPr="009A0519" w:rsidRDefault="009A0519" w:rsidP="00F71F59">
            <w:pPr>
              <w:jc w:val="center"/>
              <w:rPr>
                <w:rFonts w:cs="Arial"/>
                <w:b/>
                <w:bCs/>
                <w:color w:val="000000"/>
                <w:sz w:val="18"/>
                <w:szCs w:val="18"/>
              </w:rPr>
            </w:pPr>
            <w:r w:rsidRPr="009A0519">
              <w:rPr>
                <w:rFonts w:cs="Arial"/>
                <w:b/>
                <w:bCs/>
                <w:color w:val="000000"/>
                <w:sz w:val="18"/>
              </w:rPr>
              <w:t>(a)</w:t>
            </w:r>
          </w:p>
        </w:tc>
        <w:tc>
          <w:tcPr>
            <w:tcW w:w="744" w:type="pct"/>
            <w:tcBorders>
              <w:top w:val="single" w:sz="4" w:space="0" w:color="auto"/>
              <w:left w:val="nil"/>
              <w:bottom w:val="single" w:sz="8" w:space="0" w:color="auto"/>
              <w:right w:val="single" w:sz="8" w:space="0" w:color="auto"/>
            </w:tcBorders>
            <w:shd w:val="clear" w:color="000000" w:fill="A1F2FD"/>
            <w:vAlign w:val="center"/>
            <w:hideMark/>
          </w:tcPr>
          <w:p w14:paraId="3C3ADB90" w14:textId="77777777" w:rsidR="009A0519" w:rsidRPr="009A0519" w:rsidRDefault="009A0519" w:rsidP="00F71F59">
            <w:pPr>
              <w:jc w:val="center"/>
              <w:rPr>
                <w:rFonts w:cs="Arial"/>
                <w:b/>
                <w:bCs/>
                <w:color w:val="000000"/>
                <w:sz w:val="18"/>
                <w:szCs w:val="18"/>
              </w:rPr>
            </w:pPr>
            <w:r w:rsidRPr="009A0519">
              <w:rPr>
                <w:rFonts w:cs="Arial"/>
                <w:b/>
                <w:bCs/>
                <w:color w:val="000000"/>
                <w:sz w:val="18"/>
              </w:rPr>
              <w:t>(b)</w:t>
            </w:r>
          </w:p>
        </w:tc>
        <w:tc>
          <w:tcPr>
            <w:tcW w:w="621" w:type="pct"/>
            <w:tcBorders>
              <w:top w:val="single" w:sz="4" w:space="0" w:color="auto"/>
              <w:left w:val="nil"/>
              <w:bottom w:val="single" w:sz="8" w:space="0" w:color="auto"/>
              <w:right w:val="single" w:sz="8" w:space="0" w:color="auto"/>
            </w:tcBorders>
            <w:shd w:val="clear" w:color="000000" w:fill="A1F2FD"/>
            <w:vAlign w:val="center"/>
            <w:hideMark/>
          </w:tcPr>
          <w:p w14:paraId="3905E88C" w14:textId="77777777" w:rsidR="009A0519" w:rsidRPr="009A0519" w:rsidRDefault="009A0519" w:rsidP="00F71F59">
            <w:pPr>
              <w:jc w:val="center"/>
              <w:rPr>
                <w:rFonts w:cs="Arial"/>
                <w:b/>
                <w:bCs/>
                <w:color w:val="000000"/>
                <w:sz w:val="18"/>
                <w:szCs w:val="18"/>
              </w:rPr>
            </w:pPr>
            <w:r w:rsidRPr="009A0519">
              <w:rPr>
                <w:rFonts w:cs="Arial"/>
                <w:b/>
                <w:bCs/>
                <w:color w:val="000000"/>
                <w:sz w:val="18"/>
              </w:rPr>
              <w:t>(c)</w:t>
            </w:r>
          </w:p>
        </w:tc>
        <w:tc>
          <w:tcPr>
            <w:tcW w:w="730" w:type="pct"/>
            <w:tcBorders>
              <w:top w:val="single" w:sz="4" w:space="0" w:color="auto"/>
              <w:left w:val="nil"/>
              <w:bottom w:val="single" w:sz="8" w:space="0" w:color="auto"/>
              <w:right w:val="single" w:sz="8" w:space="0" w:color="auto"/>
            </w:tcBorders>
            <w:shd w:val="clear" w:color="000000" w:fill="A1F2FD"/>
            <w:vAlign w:val="center"/>
            <w:hideMark/>
          </w:tcPr>
          <w:p w14:paraId="32B71668" w14:textId="0742CED0" w:rsidR="009A0519" w:rsidRPr="009A0519" w:rsidRDefault="009A0519" w:rsidP="00F71F59">
            <w:pPr>
              <w:jc w:val="center"/>
              <w:rPr>
                <w:rFonts w:cs="Arial"/>
                <w:b/>
                <w:bCs/>
                <w:color w:val="000000"/>
                <w:sz w:val="18"/>
                <w:szCs w:val="18"/>
              </w:rPr>
            </w:pPr>
            <w:r w:rsidRPr="009A0519">
              <w:rPr>
                <w:rFonts w:cs="Arial"/>
                <w:b/>
                <w:bCs/>
                <w:color w:val="000000"/>
                <w:sz w:val="18"/>
                <w:szCs w:val="18"/>
              </w:rPr>
              <w:t>(d)</w:t>
            </w:r>
            <w:r w:rsidR="00541A31">
              <w:rPr>
                <w:rFonts w:cs="Arial"/>
                <w:b/>
                <w:bCs/>
                <w:color w:val="000000"/>
                <w:sz w:val="18"/>
                <w:szCs w:val="18"/>
              </w:rPr>
              <w:t xml:space="preserve"> </w:t>
            </w:r>
            <w:r w:rsidRPr="009A0519">
              <w:rPr>
                <w:rFonts w:cs="Arial"/>
                <w:b/>
                <w:bCs/>
                <w:color w:val="000000"/>
                <w:sz w:val="18"/>
                <w:szCs w:val="18"/>
              </w:rPr>
              <w:t>=</w:t>
            </w:r>
            <w:r w:rsidR="00541A31">
              <w:rPr>
                <w:rFonts w:cs="Arial"/>
                <w:b/>
                <w:bCs/>
                <w:color w:val="000000"/>
                <w:sz w:val="18"/>
                <w:szCs w:val="18"/>
              </w:rPr>
              <w:t xml:space="preserve"> </w:t>
            </w:r>
            <w:r w:rsidRPr="009A0519">
              <w:rPr>
                <w:rFonts w:cs="Arial"/>
                <w:b/>
                <w:bCs/>
                <w:color w:val="000000"/>
                <w:sz w:val="18"/>
                <w:szCs w:val="18"/>
              </w:rPr>
              <w:t>(b-a)</w:t>
            </w:r>
          </w:p>
        </w:tc>
        <w:tc>
          <w:tcPr>
            <w:tcW w:w="604" w:type="pct"/>
            <w:tcBorders>
              <w:top w:val="single" w:sz="4" w:space="0" w:color="auto"/>
              <w:left w:val="nil"/>
              <w:bottom w:val="single" w:sz="8" w:space="0" w:color="auto"/>
            </w:tcBorders>
            <w:shd w:val="clear" w:color="000000" w:fill="A1F2FD"/>
            <w:vAlign w:val="center"/>
            <w:hideMark/>
          </w:tcPr>
          <w:p w14:paraId="34E35B90" w14:textId="4A98FF25" w:rsidR="009A0519" w:rsidRPr="009A0519" w:rsidRDefault="009A0519" w:rsidP="00F71F59">
            <w:pPr>
              <w:jc w:val="center"/>
              <w:rPr>
                <w:rFonts w:cs="Arial"/>
                <w:b/>
                <w:bCs/>
                <w:color w:val="000000"/>
                <w:sz w:val="18"/>
                <w:szCs w:val="18"/>
              </w:rPr>
            </w:pPr>
            <w:r w:rsidRPr="009A0519">
              <w:rPr>
                <w:rFonts w:cs="Arial"/>
                <w:b/>
                <w:bCs/>
                <w:color w:val="000000"/>
                <w:sz w:val="18"/>
                <w:szCs w:val="18"/>
              </w:rPr>
              <w:t>(e)</w:t>
            </w:r>
            <w:r w:rsidR="00541A31">
              <w:rPr>
                <w:rFonts w:cs="Arial"/>
                <w:b/>
                <w:bCs/>
                <w:color w:val="000000"/>
                <w:sz w:val="18"/>
                <w:szCs w:val="18"/>
              </w:rPr>
              <w:t xml:space="preserve"> </w:t>
            </w:r>
            <w:r w:rsidRPr="009A0519">
              <w:rPr>
                <w:rFonts w:cs="Arial"/>
                <w:b/>
                <w:bCs/>
                <w:color w:val="000000"/>
                <w:sz w:val="18"/>
                <w:szCs w:val="18"/>
              </w:rPr>
              <w:t>=</w:t>
            </w:r>
            <w:r w:rsidR="00541A31">
              <w:rPr>
                <w:rFonts w:cs="Arial"/>
                <w:b/>
                <w:bCs/>
                <w:color w:val="000000"/>
                <w:sz w:val="18"/>
                <w:szCs w:val="18"/>
              </w:rPr>
              <w:t xml:space="preserve"> </w:t>
            </w:r>
            <w:r w:rsidRPr="009A0519">
              <w:rPr>
                <w:rFonts w:cs="Arial"/>
                <w:b/>
                <w:bCs/>
                <w:color w:val="000000"/>
                <w:sz w:val="18"/>
                <w:szCs w:val="18"/>
              </w:rPr>
              <w:t>(d/</w:t>
            </w:r>
            <w:r w:rsidR="0085108E">
              <w:rPr>
                <w:rFonts w:cs="Arial"/>
                <w:b/>
                <w:bCs/>
                <w:color w:val="000000"/>
                <w:sz w:val="18"/>
                <w:szCs w:val="18"/>
              </w:rPr>
              <w:t>a</w:t>
            </w:r>
            <w:r w:rsidRPr="009A0519">
              <w:rPr>
                <w:rFonts w:cs="Arial"/>
                <w:b/>
                <w:bCs/>
                <w:color w:val="000000"/>
                <w:sz w:val="18"/>
                <w:szCs w:val="18"/>
              </w:rPr>
              <w:t>)</w:t>
            </w:r>
          </w:p>
        </w:tc>
      </w:tr>
      <w:tr w:rsidR="00201C80" w:rsidRPr="009A0519" w14:paraId="71A9F208" w14:textId="77777777" w:rsidTr="00201C80">
        <w:trPr>
          <w:trHeight w:val="284"/>
        </w:trPr>
        <w:tc>
          <w:tcPr>
            <w:tcW w:w="1557" w:type="pct"/>
            <w:tcBorders>
              <w:top w:val="nil"/>
              <w:left w:val="nil"/>
              <w:bottom w:val="nil"/>
              <w:right w:val="single" w:sz="8" w:space="0" w:color="auto"/>
            </w:tcBorders>
            <w:shd w:val="clear" w:color="auto" w:fill="auto"/>
            <w:noWrap/>
            <w:vAlign w:val="center"/>
            <w:hideMark/>
          </w:tcPr>
          <w:p w14:paraId="58AB5210" w14:textId="77777777" w:rsidR="00201C80" w:rsidRPr="009A0519" w:rsidRDefault="00201C80" w:rsidP="00201C80">
            <w:pPr>
              <w:jc w:val="left"/>
              <w:rPr>
                <w:rFonts w:cs="Arial"/>
                <w:color w:val="000000"/>
                <w:sz w:val="18"/>
                <w:szCs w:val="18"/>
              </w:rPr>
            </w:pPr>
            <w:r w:rsidRPr="009A0519">
              <w:rPr>
                <w:rFonts w:cs="Arial"/>
                <w:color w:val="000000"/>
                <w:sz w:val="18"/>
                <w:szCs w:val="18"/>
              </w:rPr>
              <w:t>Executivo</w:t>
            </w:r>
          </w:p>
        </w:tc>
        <w:tc>
          <w:tcPr>
            <w:tcW w:w="744" w:type="pct"/>
            <w:tcBorders>
              <w:top w:val="nil"/>
              <w:left w:val="nil"/>
              <w:bottom w:val="nil"/>
              <w:right w:val="single" w:sz="8" w:space="0" w:color="auto"/>
            </w:tcBorders>
            <w:shd w:val="clear" w:color="auto" w:fill="auto"/>
            <w:noWrap/>
            <w:vAlign w:val="center"/>
            <w:hideMark/>
          </w:tcPr>
          <w:p w14:paraId="3F7816D7" w14:textId="77777777" w:rsidR="00201C80" w:rsidRPr="009A0519" w:rsidRDefault="00201C80" w:rsidP="00201C80">
            <w:pPr>
              <w:jc w:val="right"/>
              <w:rPr>
                <w:rFonts w:cs="Arial"/>
                <w:color w:val="000000"/>
                <w:sz w:val="18"/>
                <w:szCs w:val="18"/>
              </w:rPr>
            </w:pPr>
            <w:r w:rsidRPr="009A0519">
              <w:rPr>
                <w:rFonts w:cs="Arial"/>
                <w:color w:val="000000"/>
                <w:sz w:val="18"/>
                <w:szCs w:val="18"/>
              </w:rPr>
              <w:t>41.327.728.905</w:t>
            </w:r>
          </w:p>
        </w:tc>
        <w:tc>
          <w:tcPr>
            <w:tcW w:w="744" w:type="pct"/>
            <w:tcBorders>
              <w:top w:val="nil"/>
              <w:left w:val="nil"/>
              <w:bottom w:val="nil"/>
              <w:right w:val="single" w:sz="8" w:space="0" w:color="auto"/>
            </w:tcBorders>
            <w:shd w:val="clear" w:color="auto" w:fill="auto"/>
            <w:noWrap/>
            <w:vAlign w:val="center"/>
            <w:hideMark/>
          </w:tcPr>
          <w:p w14:paraId="7D110693" w14:textId="77777777" w:rsidR="00201C80" w:rsidRPr="009A0519" w:rsidRDefault="00201C80" w:rsidP="00201C80">
            <w:pPr>
              <w:jc w:val="right"/>
              <w:rPr>
                <w:rFonts w:cs="Arial"/>
                <w:color w:val="000000"/>
                <w:sz w:val="18"/>
                <w:szCs w:val="18"/>
              </w:rPr>
            </w:pPr>
            <w:r w:rsidRPr="009A0519">
              <w:rPr>
                <w:rFonts w:cs="Arial"/>
                <w:color w:val="000000"/>
                <w:sz w:val="18"/>
                <w:szCs w:val="18"/>
              </w:rPr>
              <w:t>34.024.759.716</w:t>
            </w:r>
          </w:p>
        </w:tc>
        <w:tc>
          <w:tcPr>
            <w:tcW w:w="621" w:type="pct"/>
            <w:tcBorders>
              <w:top w:val="nil"/>
              <w:left w:val="nil"/>
              <w:bottom w:val="nil"/>
              <w:right w:val="single" w:sz="8" w:space="0" w:color="auto"/>
            </w:tcBorders>
            <w:shd w:val="clear" w:color="auto" w:fill="auto"/>
            <w:noWrap/>
            <w:vAlign w:val="center"/>
            <w:hideMark/>
          </w:tcPr>
          <w:p w14:paraId="113638C1" w14:textId="77777777" w:rsidR="00201C80" w:rsidRPr="009A0519" w:rsidRDefault="00201C80" w:rsidP="00201C80">
            <w:pPr>
              <w:jc w:val="center"/>
              <w:rPr>
                <w:rFonts w:cs="Arial"/>
                <w:color w:val="000000"/>
                <w:sz w:val="18"/>
                <w:szCs w:val="18"/>
              </w:rPr>
            </w:pPr>
            <w:r w:rsidRPr="009A0519">
              <w:rPr>
                <w:rFonts w:cs="Arial"/>
                <w:color w:val="000000"/>
                <w:sz w:val="18"/>
                <w:szCs w:val="18"/>
              </w:rPr>
              <w:t>86,31</w:t>
            </w:r>
          </w:p>
        </w:tc>
        <w:tc>
          <w:tcPr>
            <w:tcW w:w="730" w:type="pct"/>
            <w:tcBorders>
              <w:top w:val="nil"/>
              <w:left w:val="nil"/>
              <w:bottom w:val="nil"/>
              <w:right w:val="single" w:sz="8" w:space="0" w:color="auto"/>
            </w:tcBorders>
            <w:shd w:val="clear" w:color="auto" w:fill="auto"/>
            <w:noWrap/>
            <w:vAlign w:val="center"/>
            <w:hideMark/>
          </w:tcPr>
          <w:p w14:paraId="682C079F" w14:textId="22A75B68" w:rsidR="00201C80" w:rsidRPr="00201C80" w:rsidRDefault="00201C80" w:rsidP="00201C80">
            <w:pPr>
              <w:jc w:val="right"/>
              <w:rPr>
                <w:rFonts w:cs="Arial"/>
                <w:color w:val="000000"/>
                <w:sz w:val="18"/>
                <w:szCs w:val="18"/>
              </w:rPr>
            </w:pPr>
            <w:r w:rsidRPr="00201C80">
              <w:rPr>
                <w:rFonts w:cs="Arial"/>
                <w:color w:val="FF0000"/>
                <w:sz w:val="18"/>
                <w:szCs w:val="18"/>
              </w:rPr>
              <w:t>(7.302.969.189)</w:t>
            </w:r>
          </w:p>
        </w:tc>
        <w:tc>
          <w:tcPr>
            <w:tcW w:w="604" w:type="pct"/>
            <w:tcBorders>
              <w:top w:val="nil"/>
              <w:left w:val="nil"/>
              <w:bottom w:val="nil"/>
            </w:tcBorders>
            <w:shd w:val="clear" w:color="auto" w:fill="auto"/>
            <w:noWrap/>
            <w:vAlign w:val="center"/>
            <w:hideMark/>
          </w:tcPr>
          <w:p w14:paraId="7C2D51D9" w14:textId="091AAC1B" w:rsidR="00201C80" w:rsidRPr="00201C80" w:rsidRDefault="00201C80" w:rsidP="00201C80">
            <w:pPr>
              <w:jc w:val="center"/>
              <w:rPr>
                <w:rFonts w:cs="Arial"/>
                <w:color w:val="000000"/>
                <w:sz w:val="18"/>
                <w:szCs w:val="18"/>
              </w:rPr>
            </w:pPr>
            <w:r w:rsidRPr="00201C80">
              <w:rPr>
                <w:rFonts w:cs="Arial"/>
                <w:color w:val="FF0000"/>
                <w:sz w:val="18"/>
                <w:szCs w:val="18"/>
              </w:rPr>
              <w:t>(17,67)</w:t>
            </w:r>
          </w:p>
        </w:tc>
      </w:tr>
      <w:tr w:rsidR="00201C80" w:rsidRPr="009A0519" w14:paraId="578CD234" w14:textId="77777777" w:rsidTr="00201C80">
        <w:trPr>
          <w:trHeight w:val="284"/>
        </w:trPr>
        <w:tc>
          <w:tcPr>
            <w:tcW w:w="1557" w:type="pct"/>
            <w:tcBorders>
              <w:top w:val="nil"/>
              <w:left w:val="nil"/>
              <w:bottom w:val="nil"/>
              <w:right w:val="single" w:sz="8" w:space="0" w:color="auto"/>
            </w:tcBorders>
            <w:shd w:val="clear" w:color="auto" w:fill="auto"/>
            <w:noWrap/>
            <w:vAlign w:val="center"/>
            <w:hideMark/>
          </w:tcPr>
          <w:p w14:paraId="1FB71505" w14:textId="77777777" w:rsidR="00201C80" w:rsidRPr="009A0519" w:rsidRDefault="00201C80" w:rsidP="00201C80">
            <w:pPr>
              <w:jc w:val="left"/>
              <w:rPr>
                <w:rFonts w:cs="Arial"/>
                <w:color w:val="000000"/>
                <w:sz w:val="18"/>
                <w:szCs w:val="18"/>
              </w:rPr>
            </w:pPr>
            <w:r w:rsidRPr="009A0519">
              <w:rPr>
                <w:rFonts w:cs="Arial"/>
                <w:color w:val="000000"/>
                <w:sz w:val="18"/>
                <w:szCs w:val="18"/>
              </w:rPr>
              <w:t>Judiciário</w:t>
            </w:r>
          </w:p>
        </w:tc>
        <w:tc>
          <w:tcPr>
            <w:tcW w:w="744" w:type="pct"/>
            <w:tcBorders>
              <w:top w:val="nil"/>
              <w:left w:val="nil"/>
              <w:bottom w:val="nil"/>
              <w:right w:val="single" w:sz="8" w:space="0" w:color="auto"/>
            </w:tcBorders>
            <w:shd w:val="clear" w:color="auto" w:fill="auto"/>
            <w:noWrap/>
            <w:vAlign w:val="center"/>
            <w:hideMark/>
          </w:tcPr>
          <w:p w14:paraId="4DAE1AE3" w14:textId="77777777" w:rsidR="00201C80" w:rsidRPr="009A0519" w:rsidRDefault="00201C80" w:rsidP="00201C80">
            <w:pPr>
              <w:jc w:val="right"/>
              <w:rPr>
                <w:rFonts w:cs="Arial"/>
                <w:color w:val="000000"/>
                <w:sz w:val="18"/>
                <w:szCs w:val="18"/>
              </w:rPr>
            </w:pPr>
            <w:r w:rsidRPr="009A0519">
              <w:rPr>
                <w:rFonts w:cs="Arial"/>
                <w:color w:val="000000"/>
                <w:sz w:val="18"/>
                <w:szCs w:val="18"/>
              </w:rPr>
              <w:t>3.460.320.258</w:t>
            </w:r>
          </w:p>
        </w:tc>
        <w:tc>
          <w:tcPr>
            <w:tcW w:w="744" w:type="pct"/>
            <w:tcBorders>
              <w:top w:val="nil"/>
              <w:left w:val="nil"/>
              <w:bottom w:val="nil"/>
              <w:right w:val="single" w:sz="8" w:space="0" w:color="auto"/>
            </w:tcBorders>
            <w:shd w:val="clear" w:color="auto" w:fill="auto"/>
            <w:noWrap/>
            <w:vAlign w:val="center"/>
            <w:hideMark/>
          </w:tcPr>
          <w:p w14:paraId="2B4A478A" w14:textId="77777777" w:rsidR="00201C80" w:rsidRPr="009A0519" w:rsidRDefault="00201C80" w:rsidP="00201C80">
            <w:pPr>
              <w:jc w:val="right"/>
              <w:rPr>
                <w:rFonts w:cs="Arial"/>
                <w:color w:val="000000"/>
                <w:sz w:val="18"/>
                <w:szCs w:val="18"/>
              </w:rPr>
            </w:pPr>
            <w:r w:rsidRPr="009A0519">
              <w:rPr>
                <w:rFonts w:cs="Arial"/>
                <w:color w:val="000000"/>
                <w:sz w:val="18"/>
                <w:szCs w:val="18"/>
              </w:rPr>
              <w:t>2.958.343.858</w:t>
            </w:r>
          </w:p>
        </w:tc>
        <w:tc>
          <w:tcPr>
            <w:tcW w:w="621" w:type="pct"/>
            <w:tcBorders>
              <w:top w:val="nil"/>
              <w:left w:val="nil"/>
              <w:bottom w:val="nil"/>
              <w:right w:val="single" w:sz="8" w:space="0" w:color="auto"/>
            </w:tcBorders>
            <w:shd w:val="clear" w:color="auto" w:fill="auto"/>
            <w:noWrap/>
            <w:vAlign w:val="center"/>
            <w:hideMark/>
          </w:tcPr>
          <w:p w14:paraId="5BA74123" w14:textId="77777777" w:rsidR="00201C80" w:rsidRPr="009A0519" w:rsidRDefault="00201C80" w:rsidP="00201C80">
            <w:pPr>
              <w:jc w:val="center"/>
              <w:rPr>
                <w:rFonts w:cs="Arial"/>
                <w:color w:val="000000"/>
                <w:sz w:val="18"/>
                <w:szCs w:val="18"/>
              </w:rPr>
            </w:pPr>
            <w:r w:rsidRPr="009A0519">
              <w:rPr>
                <w:rFonts w:cs="Arial"/>
                <w:color w:val="000000"/>
                <w:sz w:val="18"/>
                <w:szCs w:val="18"/>
              </w:rPr>
              <w:t>7,50</w:t>
            </w:r>
          </w:p>
        </w:tc>
        <w:tc>
          <w:tcPr>
            <w:tcW w:w="730" w:type="pct"/>
            <w:tcBorders>
              <w:top w:val="nil"/>
              <w:left w:val="nil"/>
              <w:bottom w:val="nil"/>
              <w:right w:val="single" w:sz="8" w:space="0" w:color="auto"/>
            </w:tcBorders>
            <w:shd w:val="clear" w:color="auto" w:fill="auto"/>
            <w:noWrap/>
            <w:vAlign w:val="center"/>
            <w:hideMark/>
          </w:tcPr>
          <w:p w14:paraId="3A7ACAE9" w14:textId="5374A35C" w:rsidR="00201C80" w:rsidRPr="00201C80" w:rsidRDefault="00201C80" w:rsidP="00201C80">
            <w:pPr>
              <w:jc w:val="right"/>
              <w:rPr>
                <w:rFonts w:cs="Arial"/>
                <w:color w:val="000000"/>
                <w:sz w:val="18"/>
                <w:szCs w:val="18"/>
              </w:rPr>
            </w:pPr>
            <w:r w:rsidRPr="00201C80">
              <w:rPr>
                <w:rFonts w:cs="Arial"/>
                <w:color w:val="FF0000"/>
                <w:sz w:val="18"/>
                <w:szCs w:val="18"/>
              </w:rPr>
              <w:t>(501.976.400)</w:t>
            </w:r>
          </w:p>
        </w:tc>
        <w:tc>
          <w:tcPr>
            <w:tcW w:w="604" w:type="pct"/>
            <w:tcBorders>
              <w:top w:val="nil"/>
              <w:left w:val="nil"/>
              <w:bottom w:val="nil"/>
            </w:tcBorders>
            <w:shd w:val="clear" w:color="auto" w:fill="auto"/>
            <w:noWrap/>
            <w:vAlign w:val="center"/>
            <w:hideMark/>
          </w:tcPr>
          <w:p w14:paraId="13C71567" w14:textId="197C79C9" w:rsidR="00201C80" w:rsidRPr="00201C80" w:rsidRDefault="00201C80" w:rsidP="00201C80">
            <w:pPr>
              <w:jc w:val="center"/>
              <w:rPr>
                <w:rFonts w:cs="Arial"/>
                <w:color w:val="000000"/>
                <w:sz w:val="18"/>
                <w:szCs w:val="18"/>
              </w:rPr>
            </w:pPr>
            <w:r w:rsidRPr="00201C80">
              <w:rPr>
                <w:rFonts w:cs="Arial"/>
                <w:color w:val="FF0000"/>
                <w:sz w:val="18"/>
                <w:szCs w:val="18"/>
              </w:rPr>
              <w:t>(14,51)</w:t>
            </w:r>
          </w:p>
        </w:tc>
      </w:tr>
      <w:tr w:rsidR="00201C80" w:rsidRPr="009A0519" w14:paraId="1921EE82" w14:textId="77777777" w:rsidTr="00201C80">
        <w:trPr>
          <w:trHeight w:val="284"/>
        </w:trPr>
        <w:tc>
          <w:tcPr>
            <w:tcW w:w="1557" w:type="pct"/>
            <w:tcBorders>
              <w:top w:val="nil"/>
              <w:left w:val="nil"/>
              <w:bottom w:val="nil"/>
              <w:right w:val="single" w:sz="8" w:space="0" w:color="auto"/>
            </w:tcBorders>
            <w:shd w:val="clear" w:color="auto" w:fill="auto"/>
            <w:noWrap/>
            <w:vAlign w:val="center"/>
            <w:hideMark/>
          </w:tcPr>
          <w:p w14:paraId="50690129" w14:textId="77777777" w:rsidR="00201C80" w:rsidRPr="009A0519" w:rsidRDefault="00201C80" w:rsidP="00201C80">
            <w:pPr>
              <w:jc w:val="left"/>
              <w:rPr>
                <w:rFonts w:cs="Arial"/>
                <w:color w:val="000000"/>
                <w:sz w:val="18"/>
                <w:szCs w:val="18"/>
              </w:rPr>
            </w:pPr>
            <w:r w:rsidRPr="009A0519">
              <w:rPr>
                <w:rFonts w:cs="Arial"/>
                <w:color w:val="000000"/>
                <w:sz w:val="18"/>
                <w:szCs w:val="18"/>
              </w:rPr>
              <w:t>Ministério Público</w:t>
            </w:r>
          </w:p>
        </w:tc>
        <w:tc>
          <w:tcPr>
            <w:tcW w:w="744" w:type="pct"/>
            <w:tcBorders>
              <w:top w:val="nil"/>
              <w:left w:val="nil"/>
              <w:bottom w:val="nil"/>
              <w:right w:val="single" w:sz="8" w:space="0" w:color="auto"/>
            </w:tcBorders>
            <w:shd w:val="clear" w:color="auto" w:fill="auto"/>
            <w:noWrap/>
            <w:vAlign w:val="center"/>
            <w:hideMark/>
          </w:tcPr>
          <w:p w14:paraId="675E6DCA" w14:textId="77777777" w:rsidR="00201C80" w:rsidRPr="009A0519" w:rsidRDefault="00201C80" w:rsidP="00201C80">
            <w:pPr>
              <w:jc w:val="right"/>
              <w:rPr>
                <w:rFonts w:cs="Arial"/>
                <w:color w:val="000000"/>
                <w:sz w:val="18"/>
                <w:szCs w:val="18"/>
              </w:rPr>
            </w:pPr>
            <w:r w:rsidRPr="009A0519">
              <w:rPr>
                <w:rFonts w:cs="Arial"/>
                <w:color w:val="000000"/>
                <w:sz w:val="18"/>
                <w:szCs w:val="18"/>
              </w:rPr>
              <w:t>1.071.296.852</w:t>
            </w:r>
          </w:p>
        </w:tc>
        <w:tc>
          <w:tcPr>
            <w:tcW w:w="744" w:type="pct"/>
            <w:tcBorders>
              <w:top w:val="nil"/>
              <w:left w:val="nil"/>
              <w:bottom w:val="nil"/>
              <w:right w:val="single" w:sz="8" w:space="0" w:color="auto"/>
            </w:tcBorders>
            <w:shd w:val="clear" w:color="auto" w:fill="auto"/>
            <w:noWrap/>
            <w:vAlign w:val="center"/>
            <w:hideMark/>
          </w:tcPr>
          <w:p w14:paraId="2CA6CDCD" w14:textId="77777777" w:rsidR="00201C80" w:rsidRPr="009A0519" w:rsidRDefault="00201C80" w:rsidP="00201C80">
            <w:pPr>
              <w:jc w:val="right"/>
              <w:rPr>
                <w:rFonts w:cs="Arial"/>
                <w:color w:val="000000"/>
                <w:sz w:val="18"/>
                <w:szCs w:val="18"/>
              </w:rPr>
            </w:pPr>
            <w:r w:rsidRPr="009A0519">
              <w:rPr>
                <w:rFonts w:cs="Arial"/>
                <w:color w:val="000000"/>
                <w:sz w:val="18"/>
                <w:szCs w:val="18"/>
              </w:rPr>
              <w:t>971.127.209</w:t>
            </w:r>
          </w:p>
        </w:tc>
        <w:tc>
          <w:tcPr>
            <w:tcW w:w="621" w:type="pct"/>
            <w:tcBorders>
              <w:top w:val="nil"/>
              <w:left w:val="nil"/>
              <w:bottom w:val="nil"/>
              <w:right w:val="single" w:sz="8" w:space="0" w:color="auto"/>
            </w:tcBorders>
            <w:shd w:val="clear" w:color="auto" w:fill="auto"/>
            <w:noWrap/>
            <w:vAlign w:val="center"/>
            <w:hideMark/>
          </w:tcPr>
          <w:p w14:paraId="16320F23" w14:textId="77777777" w:rsidR="00201C80" w:rsidRPr="009A0519" w:rsidRDefault="00201C80" w:rsidP="00201C80">
            <w:pPr>
              <w:jc w:val="center"/>
              <w:rPr>
                <w:rFonts w:cs="Arial"/>
                <w:color w:val="000000"/>
                <w:sz w:val="18"/>
                <w:szCs w:val="18"/>
              </w:rPr>
            </w:pPr>
            <w:r w:rsidRPr="009A0519">
              <w:rPr>
                <w:rFonts w:cs="Arial"/>
                <w:color w:val="000000"/>
                <w:sz w:val="18"/>
                <w:szCs w:val="18"/>
              </w:rPr>
              <w:t>2,46</w:t>
            </w:r>
          </w:p>
        </w:tc>
        <w:tc>
          <w:tcPr>
            <w:tcW w:w="730" w:type="pct"/>
            <w:tcBorders>
              <w:top w:val="nil"/>
              <w:left w:val="nil"/>
              <w:bottom w:val="nil"/>
              <w:right w:val="single" w:sz="8" w:space="0" w:color="auto"/>
            </w:tcBorders>
            <w:shd w:val="clear" w:color="auto" w:fill="auto"/>
            <w:noWrap/>
            <w:vAlign w:val="center"/>
            <w:hideMark/>
          </w:tcPr>
          <w:p w14:paraId="197B6724" w14:textId="2714F732" w:rsidR="00201C80" w:rsidRPr="00201C80" w:rsidRDefault="00201C80" w:rsidP="00201C80">
            <w:pPr>
              <w:jc w:val="right"/>
              <w:rPr>
                <w:rFonts w:cs="Arial"/>
                <w:color w:val="000000"/>
                <w:sz w:val="18"/>
                <w:szCs w:val="18"/>
              </w:rPr>
            </w:pPr>
            <w:r w:rsidRPr="00201C80">
              <w:rPr>
                <w:rFonts w:cs="Arial"/>
                <w:color w:val="FF0000"/>
                <w:sz w:val="18"/>
                <w:szCs w:val="18"/>
              </w:rPr>
              <w:t>(100.169.643)</w:t>
            </w:r>
          </w:p>
        </w:tc>
        <w:tc>
          <w:tcPr>
            <w:tcW w:w="604" w:type="pct"/>
            <w:tcBorders>
              <w:top w:val="nil"/>
              <w:left w:val="nil"/>
              <w:bottom w:val="nil"/>
            </w:tcBorders>
            <w:shd w:val="clear" w:color="auto" w:fill="auto"/>
            <w:noWrap/>
            <w:vAlign w:val="center"/>
            <w:hideMark/>
          </w:tcPr>
          <w:p w14:paraId="2E30971D" w14:textId="070C20BB" w:rsidR="00201C80" w:rsidRPr="00201C80" w:rsidRDefault="00201C80" w:rsidP="00201C80">
            <w:pPr>
              <w:jc w:val="center"/>
              <w:rPr>
                <w:rFonts w:cs="Arial"/>
                <w:color w:val="000000"/>
                <w:sz w:val="18"/>
                <w:szCs w:val="18"/>
              </w:rPr>
            </w:pPr>
            <w:r w:rsidRPr="00201C80">
              <w:rPr>
                <w:rFonts w:cs="Arial"/>
                <w:color w:val="FF0000"/>
                <w:sz w:val="18"/>
                <w:szCs w:val="18"/>
              </w:rPr>
              <w:t>(9,35)</w:t>
            </w:r>
          </w:p>
        </w:tc>
      </w:tr>
      <w:tr w:rsidR="00201C80" w:rsidRPr="009A0519" w14:paraId="2EA199F7" w14:textId="77777777" w:rsidTr="00201C80">
        <w:trPr>
          <w:trHeight w:val="284"/>
        </w:trPr>
        <w:tc>
          <w:tcPr>
            <w:tcW w:w="1557" w:type="pct"/>
            <w:tcBorders>
              <w:top w:val="nil"/>
              <w:left w:val="nil"/>
              <w:bottom w:val="nil"/>
              <w:right w:val="single" w:sz="8" w:space="0" w:color="auto"/>
            </w:tcBorders>
            <w:shd w:val="clear" w:color="auto" w:fill="auto"/>
            <w:noWrap/>
            <w:vAlign w:val="center"/>
            <w:hideMark/>
          </w:tcPr>
          <w:p w14:paraId="45C7A2D4" w14:textId="77777777" w:rsidR="00201C80" w:rsidRPr="009A0519" w:rsidRDefault="00201C80" w:rsidP="00201C80">
            <w:pPr>
              <w:jc w:val="left"/>
              <w:rPr>
                <w:rFonts w:cs="Arial"/>
                <w:color w:val="000000"/>
                <w:sz w:val="18"/>
                <w:szCs w:val="18"/>
              </w:rPr>
            </w:pPr>
            <w:r w:rsidRPr="009A0519">
              <w:rPr>
                <w:rFonts w:cs="Arial"/>
                <w:color w:val="000000"/>
                <w:sz w:val="18"/>
                <w:szCs w:val="18"/>
              </w:rPr>
              <w:t>Assembleia Legislativa</w:t>
            </w:r>
          </w:p>
        </w:tc>
        <w:tc>
          <w:tcPr>
            <w:tcW w:w="744" w:type="pct"/>
            <w:tcBorders>
              <w:top w:val="nil"/>
              <w:left w:val="nil"/>
              <w:bottom w:val="nil"/>
              <w:right w:val="single" w:sz="8" w:space="0" w:color="auto"/>
            </w:tcBorders>
            <w:shd w:val="clear" w:color="auto" w:fill="auto"/>
            <w:noWrap/>
            <w:vAlign w:val="center"/>
            <w:hideMark/>
          </w:tcPr>
          <w:p w14:paraId="16BE824C" w14:textId="77777777" w:rsidR="00201C80" w:rsidRPr="009A0519" w:rsidRDefault="00201C80" w:rsidP="00201C80">
            <w:pPr>
              <w:jc w:val="right"/>
              <w:rPr>
                <w:rFonts w:cs="Arial"/>
                <w:color w:val="000000"/>
                <w:sz w:val="18"/>
                <w:szCs w:val="18"/>
              </w:rPr>
            </w:pPr>
            <w:r w:rsidRPr="009A0519">
              <w:rPr>
                <w:rFonts w:cs="Arial"/>
                <w:color w:val="000000"/>
                <w:sz w:val="18"/>
                <w:szCs w:val="18"/>
              </w:rPr>
              <w:t>907.298.000</w:t>
            </w:r>
          </w:p>
        </w:tc>
        <w:tc>
          <w:tcPr>
            <w:tcW w:w="744" w:type="pct"/>
            <w:tcBorders>
              <w:top w:val="nil"/>
              <w:left w:val="nil"/>
              <w:bottom w:val="nil"/>
              <w:right w:val="single" w:sz="8" w:space="0" w:color="auto"/>
            </w:tcBorders>
            <w:shd w:val="clear" w:color="auto" w:fill="auto"/>
            <w:noWrap/>
            <w:vAlign w:val="center"/>
            <w:hideMark/>
          </w:tcPr>
          <w:p w14:paraId="25996AF0" w14:textId="77777777" w:rsidR="00201C80" w:rsidRPr="009A0519" w:rsidRDefault="00201C80" w:rsidP="00201C80">
            <w:pPr>
              <w:jc w:val="right"/>
              <w:rPr>
                <w:rFonts w:cs="Arial"/>
                <w:color w:val="000000"/>
                <w:sz w:val="18"/>
                <w:szCs w:val="18"/>
              </w:rPr>
            </w:pPr>
            <w:r w:rsidRPr="009A0519">
              <w:rPr>
                <w:rFonts w:cs="Arial"/>
                <w:color w:val="000000"/>
                <w:sz w:val="18"/>
                <w:szCs w:val="18"/>
              </w:rPr>
              <w:t>807.834.933</w:t>
            </w:r>
          </w:p>
        </w:tc>
        <w:tc>
          <w:tcPr>
            <w:tcW w:w="621" w:type="pct"/>
            <w:tcBorders>
              <w:top w:val="nil"/>
              <w:left w:val="nil"/>
              <w:bottom w:val="nil"/>
              <w:right w:val="single" w:sz="8" w:space="0" w:color="auto"/>
            </w:tcBorders>
            <w:shd w:val="clear" w:color="auto" w:fill="auto"/>
            <w:noWrap/>
            <w:vAlign w:val="center"/>
            <w:hideMark/>
          </w:tcPr>
          <w:p w14:paraId="09A83E0D" w14:textId="77777777" w:rsidR="00201C80" w:rsidRPr="009A0519" w:rsidRDefault="00201C80" w:rsidP="00201C80">
            <w:pPr>
              <w:jc w:val="center"/>
              <w:rPr>
                <w:rFonts w:cs="Arial"/>
                <w:color w:val="000000"/>
                <w:sz w:val="18"/>
                <w:szCs w:val="18"/>
              </w:rPr>
            </w:pPr>
            <w:r w:rsidRPr="009A0519">
              <w:rPr>
                <w:rFonts w:cs="Arial"/>
                <w:color w:val="000000"/>
                <w:sz w:val="18"/>
                <w:szCs w:val="18"/>
              </w:rPr>
              <w:t>2,05</w:t>
            </w:r>
          </w:p>
        </w:tc>
        <w:tc>
          <w:tcPr>
            <w:tcW w:w="730" w:type="pct"/>
            <w:tcBorders>
              <w:top w:val="nil"/>
              <w:left w:val="nil"/>
              <w:bottom w:val="nil"/>
              <w:right w:val="single" w:sz="8" w:space="0" w:color="auto"/>
            </w:tcBorders>
            <w:shd w:val="clear" w:color="auto" w:fill="auto"/>
            <w:noWrap/>
            <w:vAlign w:val="center"/>
            <w:hideMark/>
          </w:tcPr>
          <w:p w14:paraId="1661296E" w14:textId="671B9883" w:rsidR="00201C80" w:rsidRPr="00201C80" w:rsidRDefault="00201C80" w:rsidP="00201C80">
            <w:pPr>
              <w:jc w:val="right"/>
              <w:rPr>
                <w:rFonts w:cs="Arial"/>
                <w:color w:val="000000"/>
                <w:sz w:val="18"/>
                <w:szCs w:val="18"/>
              </w:rPr>
            </w:pPr>
            <w:r w:rsidRPr="00201C80">
              <w:rPr>
                <w:rFonts w:cs="Arial"/>
                <w:color w:val="FF0000"/>
                <w:sz w:val="18"/>
                <w:szCs w:val="18"/>
              </w:rPr>
              <w:t>(99.463.067)</w:t>
            </w:r>
          </w:p>
        </w:tc>
        <w:tc>
          <w:tcPr>
            <w:tcW w:w="604" w:type="pct"/>
            <w:tcBorders>
              <w:top w:val="nil"/>
              <w:left w:val="nil"/>
              <w:bottom w:val="nil"/>
            </w:tcBorders>
            <w:shd w:val="clear" w:color="auto" w:fill="auto"/>
            <w:noWrap/>
            <w:vAlign w:val="center"/>
            <w:hideMark/>
          </w:tcPr>
          <w:p w14:paraId="287F16FC" w14:textId="609CC1A7" w:rsidR="00201C80" w:rsidRPr="00201C80" w:rsidRDefault="00201C80" w:rsidP="00201C80">
            <w:pPr>
              <w:jc w:val="center"/>
              <w:rPr>
                <w:rFonts w:cs="Arial"/>
                <w:color w:val="000000"/>
                <w:sz w:val="18"/>
                <w:szCs w:val="18"/>
              </w:rPr>
            </w:pPr>
            <w:r w:rsidRPr="00201C80">
              <w:rPr>
                <w:rFonts w:cs="Arial"/>
                <w:color w:val="FF0000"/>
                <w:sz w:val="18"/>
                <w:szCs w:val="18"/>
              </w:rPr>
              <w:t>(10,96)</w:t>
            </w:r>
          </w:p>
        </w:tc>
      </w:tr>
      <w:tr w:rsidR="00201C80" w:rsidRPr="009A0519" w14:paraId="780E5E14" w14:textId="77777777" w:rsidTr="00201C80">
        <w:trPr>
          <w:trHeight w:val="284"/>
        </w:trPr>
        <w:tc>
          <w:tcPr>
            <w:tcW w:w="1557" w:type="pct"/>
            <w:tcBorders>
              <w:top w:val="nil"/>
              <w:left w:val="nil"/>
              <w:bottom w:val="nil"/>
              <w:right w:val="single" w:sz="8" w:space="0" w:color="auto"/>
            </w:tcBorders>
            <w:shd w:val="clear" w:color="auto" w:fill="auto"/>
            <w:noWrap/>
            <w:vAlign w:val="center"/>
            <w:hideMark/>
          </w:tcPr>
          <w:p w14:paraId="089C5919" w14:textId="77777777" w:rsidR="00201C80" w:rsidRPr="009A0519" w:rsidRDefault="00201C80" w:rsidP="00201C80">
            <w:pPr>
              <w:jc w:val="left"/>
              <w:rPr>
                <w:rFonts w:cs="Arial"/>
                <w:color w:val="000000"/>
                <w:sz w:val="18"/>
                <w:szCs w:val="18"/>
              </w:rPr>
            </w:pPr>
            <w:r w:rsidRPr="009A0519">
              <w:rPr>
                <w:rFonts w:cs="Arial"/>
                <w:color w:val="000000"/>
                <w:sz w:val="18"/>
                <w:szCs w:val="18"/>
              </w:rPr>
              <w:t>Tribunal de Contas do Estado</w:t>
            </w:r>
          </w:p>
        </w:tc>
        <w:tc>
          <w:tcPr>
            <w:tcW w:w="744" w:type="pct"/>
            <w:tcBorders>
              <w:top w:val="nil"/>
              <w:left w:val="nil"/>
              <w:bottom w:val="nil"/>
              <w:right w:val="single" w:sz="8" w:space="0" w:color="auto"/>
            </w:tcBorders>
            <w:shd w:val="clear" w:color="auto" w:fill="auto"/>
            <w:noWrap/>
            <w:vAlign w:val="center"/>
            <w:hideMark/>
          </w:tcPr>
          <w:p w14:paraId="7112C8AE" w14:textId="77777777" w:rsidR="00201C80" w:rsidRPr="009A0519" w:rsidRDefault="00201C80" w:rsidP="00201C80">
            <w:pPr>
              <w:jc w:val="right"/>
              <w:rPr>
                <w:rFonts w:cs="Arial"/>
                <w:color w:val="000000"/>
                <w:sz w:val="18"/>
                <w:szCs w:val="18"/>
              </w:rPr>
            </w:pPr>
            <w:r w:rsidRPr="009A0519">
              <w:rPr>
                <w:rFonts w:cs="Arial"/>
                <w:color w:val="000000"/>
                <w:sz w:val="18"/>
                <w:szCs w:val="18"/>
              </w:rPr>
              <w:t>366.095.638</w:t>
            </w:r>
          </w:p>
        </w:tc>
        <w:tc>
          <w:tcPr>
            <w:tcW w:w="744" w:type="pct"/>
            <w:tcBorders>
              <w:top w:val="nil"/>
              <w:left w:val="nil"/>
              <w:bottom w:val="nil"/>
              <w:right w:val="single" w:sz="8" w:space="0" w:color="auto"/>
            </w:tcBorders>
            <w:shd w:val="clear" w:color="auto" w:fill="auto"/>
            <w:noWrap/>
            <w:vAlign w:val="center"/>
            <w:hideMark/>
          </w:tcPr>
          <w:p w14:paraId="78A9A8AE" w14:textId="77777777" w:rsidR="00201C80" w:rsidRPr="009A0519" w:rsidRDefault="00201C80" w:rsidP="00201C80">
            <w:pPr>
              <w:jc w:val="right"/>
              <w:rPr>
                <w:rFonts w:cs="Arial"/>
                <w:color w:val="000000"/>
                <w:sz w:val="18"/>
                <w:szCs w:val="18"/>
              </w:rPr>
            </w:pPr>
            <w:r w:rsidRPr="009A0519">
              <w:rPr>
                <w:rFonts w:cs="Arial"/>
                <w:color w:val="000000"/>
                <w:sz w:val="18"/>
                <w:szCs w:val="18"/>
              </w:rPr>
              <w:t>340.830.783</w:t>
            </w:r>
          </w:p>
        </w:tc>
        <w:tc>
          <w:tcPr>
            <w:tcW w:w="621" w:type="pct"/>
            <w:tcBorders>
              <w:top w:val="nil"/>
              <w:left w:val="nil"/>
              <w:bottom w:val="nil"/>
              <w:right w:val="single" w:sz="8" w:space="0" w:color="auto"/>
            </w:tcBorders>
            <w:shd w:val="clear" w:color="auto" w:fill="auto"/>
            <w:noWrap/>
            <w:vAlign w:val="center"/>
            <w:hideMark/>
          </w:tcPr>
          <w:p w14:paraId="1FB90397" w14:textId="77777777" w:rsidR="00201C80" w:rsidRPr="009A0519" w:rsidRDefault="00201C80" w:rsidP="00201C80">
            <w:pPr>
              <w:jc w:val="center"/>
              <w:rPr>
                <w:rFonts w:cs="Arial"/>
                <w:color w:val="000000"/>
                <w:sz w:val="18"/>
                <w:szCs w:val="18"/>
              </w:rPr>
            </w:pPr>
            <w:r w:rsidRPr="009A0519">
              <w:rPr>
                <w:rFonts w:cs="Arial"/>
                <w:color w:val="000000"/>
                <w:sz w:val="18"/>
                <w:szCs w:val="18"/>
              </w:rPr>
              <w:t>0,86</w:t>
            </w:r>
          </w:p>
        </w:tc>
        <w:tc>
          <w:tcPr>
            <w:tcW w:w="730" w:type="pct"/>
            <w:tcBorders>
              <w:top w:val="nil"/>
              <w:left w:val="nil"/>
              <w:bottom w:val="nil"/>
              <w:right w:val="single" w:sz="8" w:space="0" w:color="auto"/>
            </w:tcBorders>
            <w:shd w:val="clear" w:color="auto" w:fill="auto"/>
            <w:noWrap/>
            <w:vAlign w:val="center"/>
            <w:hideMark/>
          </w:tcPr>
          <w:p w14:paraId="17CB6C62" w14:textId="04EBAAAE" w:rsidR="00201C80" w:rsidRPr="00201C80" w:rsidRDefault="00201C80" w:rsidP="00201C80">
            <w:pPr>
              <w:jc w:val="right"/>
              <w:rPr>
                <w:rFonts w:cs="Arial"/>
                <w:color w:val="000000"/>
                <w:sz w:val="18"/>
                <w:szCs w:val="18"/>
              </w:rPr>
            </w:pPr>
            <w:r w:rsidRPr="00201C80">
              <w:rPr>
                <w:rFonts w:cs="Arial"/>
                <w:color w:val="FF0000"/>
                <w:sz w:val="18"/>
                <w:szCs w:val="18"/>
              </w:rPr>
              <w:t>(25.264.855)</w:t>
            </w:r>
          </w:p>
        </w:tc>
        <w:tc>
          <w:tcPr>
            <w:tcW w:w="604" w:type="pct"/>
            <w:tcBorders>
              <w:top w:val="nil"/>
              <w:left w:val="nil"/>
              <w:bottom w:val="nil"/>
            </w:tcBorders>
            <w:shd w:val="clear" w:color="auto" w:fill="auto"/>
            <w:noWrap/>
            <w:vAlign w:val="center"/>
            <w:hideMark/>
          </w:tcPr>
          <w:p w14:paraId="7209ABBD" w14:textId="2BD5B459" w:rsidR="00201C80" w:rsidRPr="00201C80" w:rsidRDefault="00201C80" w:rsidP="00201C80">
            <w:pPr>
              <w:jc w:val="center"/>
              <w:rPr>
                <w:rFonts w:cs="Arial"/>
                <w:color w:val="000000"/>
                <w:sz w:val="18"/>
                <w:szCs w:val="18"/>
              </w:rPr>
            </w:pPr>
            <w:r w:rsidRPr="00201C80">
              <w:rPr>
                <w:rFonts w:cs="Arial"/>
                <w:color w:val="FF0000"/>
                <w:sz w:val="18"/>
                <w:szCs w:val="18"/>
              </w:rPr>
              <w:t>(6,90)</w:t>
            </w:r>
          </w:p>
        </w:tc>
      </w:tr>
      <w:tr w:rsidR="00201C80" w:rsidRPr="009A0519" w14:paraId="571366E6" w14:textId="77777777" w:rsidTr="00201C80">
        <w:trPr>
          <w:trHeight w:val="284"/>
        </w:trPr>
        <w:tc>
          <w:tcPr>
            <w:tcW w:w="1557" w:type="pct"/>
            <w:tcBorders>
              <w:top w:val="nil"/>
              <w:left w:val="nil"/>
              <w:bottom w:val="nil"/>
              <w:right w:val="single" w:sz="8" w:space="0" w:color="auto"/>
            </w:tcBorders>
            <w:shd w:val="clear" w:color="auto" w:fill="auto"/>
            <w:noWrap/>
            <w:vAlign w:val="center"/>
            <w:hideMark/>
          </w:tcPr>
          <w:p w14:paraId="5A3C1F2C" w14:textId="77777777" w:rsidR="00201C80" w:rsidRPr="009A0519" w:rsidRDefault="00201C80" w:rsidP="00201C80">
            <w:pPr>
              <w:jc w:val="left"/>
              <w:rPr>
                <w:rFonts w:cs="Arial"/>
                <w:color w:val="000000"/>
                <w:sz w:val="18"/>
                <w:szCs w:val="18"/>
              </w:rPr>
            </w:pPr>
            <w:r w:rsidRPr="009A0519">
              <w:rPr>
                <w:rFonts w:cs="Arial"/>
                <w:color w:val="000000"/>
                <w:sz w:val="18"/>
                <w:szCs w:val="18"/>
              </w:rPr>
              <w:t>Tribunal de Contas dos Municípios</w:t>
            </w:r>
          </w:p>
        </w:tc>
        <w:tc>
          <w:tcPr>
            <w:tcW w:w="744" w:type="pct"/>
            <w:tcBorders>
              <w:top w:val="nil"/>
              <w:left w:val="nil"/>
              <w:bottom w:val="nil"/>
              <w:right w:val="single" w:sz="8" w:space="0" w:color="auto"/>
            </w:tcBorders>
            <w:shd w:val="clear" w:color="auto" w:fill="auto"/>
            <w:noWrap/>
            <w:vAlign w:val="center"/>
            <w:hideMark/>
          </w:tcPr>
          <w:p w14:paraId="4F84C934" w14:textId="77777777" w:rsidR="00201C80" w:rsidRPr="009A0519" w:rsidRDefault="00201C80" w:rsidP="00201C80">
            <w:pPr>
              <w:jc w:val="right"/>
              <w:rPr>
                <w:rFonts w:cs="Arial"/>
                <w:color w:val="000000"/>
                <w:sz w:val="18"/>
                <w:szCs w:val="18"/>
              </w:rPr>
            </w:pPr>
            <w:r w:rsidRPr="009A0519">
              <w:rPr>
                <w:rFonts w:cs="Arial"/>
                <w:color w:val="000000"/>
                <w:sz w:val="18"/>
                <w:szCs w:val="18"/>
              </w:rPr>
              <w:t>185.493.472</w:t>
            </w:r>
          </w:p>
        </w:tc>
        <w:tc>
          <w:tcPr>
            <w:tcW w:w="744" w:type="pct"/>
            <w:tcBorders>
              <w:top w:val="nil"/>
              <w:left w:val="nil"/>
              <w:bottom w:val="nil"/>
              <w:right w:val="single" w:sz="8" w:space="0" w:color="auto"/>
            </w:tcBorders>
            <w:shd w:val="clear" w:color="auto" w:fill="auto"/>
            <w:noWrap/>
            <w:vAlign w:val="center"/>
            <w:hideMark/>
          </w:tcPr>
          <w:p w14:paraId="3427B126" w14:textId="77777777" w:rsidR="00201C80" w:rsidRPr="009A0519" w:rsidRDefault="00201C80" w:rsidP="00201C80">
            <w:pPr>
              <w:jc w:val="right"/>
              <w:rPr>
                <w:rFonts w:cs="Arial"/>
                <w:color w:val="000000"/>
                <w:sz w:val="18"/>
                <w:szCs w:val="18"/>
              </w:rPr>
            </w:pPr>
            <w:r w:rsidRPr="009A0519">
              <w:rPr>
                <w:rFonts w:cs="Arial"/>
                <w:color w:val="000000"/>
                <w:sz w:val="18"/>
                <w:szCs w:val="18"/>
              </w:rPr>
              <w:t>163.438.257</w:t>
            </w:r>
          </w:p>
        </w:tc>
        <w:tc>
          <w:tcPr>
            <w:tcW w:w="621" w:type="pct"/>
            <w:tcBorders>
              <w:top w:val="nil"/>
              <w:left w:val="nil"/>
              <w:bottom w:val="nil"/>
              <w:right w:val="single" w:sz="8" w:space="0" w:color="auto"/>
            </w:tcBorders>
            <w:shd w:val="clear" w:color="auto" w:fill="auto"/>
            <w:noWrap/>
            <w:vAlign w:val="center"/>
            <w:hideMark/>
          </w:tcPr>
          <w:p w14:paraId="71C3CFCD" w14:textId="77777777" w:rsidR="00201C80" w:rsidRPr="009A0519" w:rsidRDefault="00201C80" w:rsidP="00201C80">
            <w:pPr>
              <w:jc w:val="center"/>
              <w:rPr>
                <w:rFonts w:cs="Arial"/>
                <w:color w:val="000000"/>
                <w:sz w:val="18"/>
                <w:szCs w:val="18"/>
              </w:rPr>
            </w:pPr>
            <w:r w:rsidRPr="009A0519">
              <w:rPr>
                <w:rFonts w:cs="Arial"/>
                <w:color w:val="000000"/>
                <w:sz w:val="18"/>
                <w:szCs w:val="18"/>
              </w:rPr>
              <w:t>0,41</w:t>
            </w:r>
          </w:p>
        </w:tc>
        <w:tc>
          <w:tcPr>
            <w:tcW w:w="730" w:type="pct"/>
            <w:tcBorders>
              <w:top w:val="nil"/>
              <w:left w:val="nil"/>
              <w:bottom w:val="nil"/>
              <w:right w:val="single" w:sz="8" w:space="0" w:color="auto"/>
            </w:tcBorders>
            <w:shd w:val="clear" w:color="auto" w:fill="auto"/>
            <w:noWrap/>
            <w:vAlign w:val="center"/>
            <w:hideMark/>
          </w:tcPr>
          <w:p w14:paraId="0007D2E1" w14:textId="678ACC5C" w:rsidR="00201C80" w:rsidRPr="00201C80" w:rsidRDefault="00201C80" w:rsidP="00201C80">
            <w:pPr>
              <w:jc w:val="right"/>
              <w:rPr>
                <w:rFonts w:cs="Arial"/>
                <w:color w:val="000000"/>
                <w:sz w:val="18"/>
                <w:szCs w:val="18"/>
              </w:rPr>
            </w:pPr>
            <w:r w:rsidRPr="00201C80">
              <w:rPr>
                <w:rFonts w:cs="Arial"/>
                <w:color w:val="FF0000"/>
                <w:sz w:val="18"/>
                <w:szCs w:val="18"/>
              </w:rPr>
              <w:t>(22.055.215)</w:t>
            </w:r>
          </w:p>
        </w:tc>
        <w:tc>
          <w:tcPr>
            <w:tcW w:w="604" w:type="pct"/>
            <w:tcBorders>
              <w:top w:val="nil"/>
              <w:left w:val="nil"/>
              <w:bottom w:val="nil"/>
            </w:tcBorders>
            <w:shd w:val="clear" w:color="auto" w:fill="auto"/>
            <w:noWrap/>
            <w:vAlign w:val="center"/>
            <w:hideMark/>
          </w:tcPr>
          <w:p w14:paraId="4731A854" w14:textId="51B04150" w:rsidR="00201C80" w:rsidRPr="00201C80" w:rsidRDefault="00201C80" w:rsidP="00201C80">
            <w:pPr>
              <w:jc w:val="center"/>
              <w:rPr>
                <w:rFonts w:cs="Arial"/>
                <w:color w:val="000000"/>
                <w:sz w:val="18"/>
                <w:szCs w:val="18"/>
              </w:rPr>
            </w:pPr>
            <w:r w:rsidRPr="00201C80">
              <w:rPr>
                <w:rFonts w:cs="Arial"/>
                <w:color w:val="FF0000"/>
                <w:sz w:val="18"/>
                <w:szCs w:val="18"/>
              </w:rPr>
              <w:t>(11,89)</w:t>
            </w:r>
          </w:p>
        </w:tc>
      </w:tr>
      <w:tr w:rsidR="00201C80" w:rsidRPr="009A0519" w14:paraId="70A95AE6" w14:textId="77777777" w:rsidTr="00201C80">
        <w:trPr>
          <w:trHeight w:val="284"/>
        </w:trPr>
        <w:tc>
          <w:tcPr>
            <w:tcW w:w="1557" w:type="pct"/>
            <w:tcBorders>
              <w:top w:val="nil"/>
              <w:left w:val="nil"/>
              <w:bottom w:val="single" w:sz="8" w:space="0" w:color="auto"/>
              <w:right w:val="single" w:sz="8" w:space="0" w:color="auto"/>
            </w:tcBorders>
            <w:shd w:val="clear" w:color="auto" w:fill="auto"/>
            <w:noWrap/>
            <w:vAlign w:val="center"/>
            <w:hideMark/>
          </w:tcPr>
          <w:p w14:paraId="1E5F5881" w14:textId="77777777" w:rsidR="00201C80" w:rsidRPr="009A0519" w:rsidRDefault="00201C80" w:rsidP="00201C80">
            <w:pPr>
              <w:jc w:val="left"/>
              <w:rPr>
                <w:rFonts w:cs="Arial"/>
                <w:color w:val="000000"/>
                <w:sz w:val="18"/>
                <w:szCs w:val="18"/>
              </w:rPr>
            </w:pPr>
            <w:r w:rsidRPr="009A0519">
              <w:rPr>
                <w:rFonts w:cs="Arial"/>
                <w:color w:val="000000"/>
                <w:sz w:val="18"/>
                <w:szCs w:val="18"/>
              </w:rPr>
              <w:t>Defensoria Pública</w:t>
            </w:r>
          </w:p>
        </w:tc>
        <w:tc>
          <w:tcPr>
            <w:tcW w:w="744" w:type="pct"/>
            <w:tcBorders>
              <w:top w:val="nil"/>
              <w:left w:val="nil"/>
              <w:bottom w:val="single" w:sz="8" w:space="0" w:color="auto"/>
              <w:right w:val="single" w:sz="8" w:space="0" w:color="auto"/>
            </w:tcBorders>
            <w:shd w:val="clear" w:color="auto" w:fill="auto"/>
            <w:noWrap/>
            <w:vAlign w:val="center"/>
            <w:hideMark/>
          </w:tcPr>
          <w:p w14:paraId="4AD30343" w14:textId="77777777" w:rsidR="00201C80" w:rsidRPr="009A0519" w:rsidRDefault="00201C80" w:rsidP="00201C80">
            <w:pPr>
              <w:jc w:val="right"/>
              <w:rPr>
                <w:rFonts w:cs="Arial"/>
                <w:color w:val="000000"/>
                <w:sz w:val="18"/>
                <w:szCs w:val="18"/>
              </w:rPr>
            </w:pPr>
            <w:r w:rsidRPr="009A0519">
              <w:rPr>
                <w:rFonts w:cs="Arial"/>
                <w:color w:val="000000"/>
                <w:sz w:val="18"/>
                <w:szCs w:val="18"/>
              </w:rPr>
              <w:t>207.404.086</w:t>
            </w:r>
          </w:p>
        </w:tc>
        <w:tc>
          <w:tcPr>
            <w:tcW w:w="744" w:type="pct"/>
            <w:tcBorders>
              <w:top w:val="nil"/>
              <w:left w:val="nil"/>
              <w:bottom w:val="single" w:sz="8" w:space="0" w:color="auto"/>
              <w:right w:val="single" w:sz="8" w:space="0" w:color="auto"/>
            </w:tcBorders>
            <w:shd w:val="clear" w:color="auto" w:fill="auto"/>
            <w:noWrap/>
            <w:vAlign w:val="center"/>
            <w:hideMark/>
          </w:tcPr>
          <w:p w14:paraId="1C30F63C" w14:textId="77777777" w:rsidR="00201C80" w:rsidRPr="009A0519" w:rsidRDefault="00201C80" w:rsidP="00201C80">
            <w:pPr>
              <w:jc w:val="right"/>
              <w:rPr>
                <w:rFonts w:cs="Arial"/>
                <w:color w:val="000000"/>
                <w:sz w:val="18"/>
                <w:szCs w:val="18"/>
              </w:rPr>
            </w:pPr>
            <w:r w:rsidRPr="009A0519">
              <w:rPr>
                <w:rFonts w:cs="Arial"/>
                <w:color w:val="000000"/>
                <w:sz w:val="18"/>
                <w:szCs w:val="18"/>
              </w:rPr>
              <w:t>154.259.718</w:t>
            </w:r>
          </w:p>
        </w:tc>
        <w:tc>
          <w:tcPr>
            <w:tcW w:w="621" w:type="pct"/>
            <w:tcBorders>
              <w:top w:val="nil"/>
              <w:left w:val="nil"/>
              <w:bottom w:val="single" w:sz="8" w:space="0" w:color="auto"/>
              <w:right w:val="single" w:sz="8" w:space="0" w:color="auto"/>
            </w:tcBorders>
            <w:shd w:val="clear" w:color="auto" w:fill="auto"/>
            <w:noWrap/>
            <w:vAlign w:val="center"/>
            <w:hideMark/>
          </w:tcPr>
          <w:p w14:paraId="1D632DEC" w14:textId="77777777" w:rsidR="00201C80" w:rsidRPr="009A0519" w:rsidRDefault="00201C80" w:rsidP="00201C80">
            <w:pPr>
              <w:jc w:val="center"/>
              <w:rPr>
                <w:rFonts w:cs="Arial"/>
                <w:color w:val="000000"/>
                <w:sz w:val="18"/>
                <w:szCs w:val="18"/>
              </w:rPr>
            </w:pPr>
            <w:r w:rsidRPr="009A0519">
              <w:rPr>
                <w:rFonts w:cs="Arial"/>
                <w:color w:val="000000"/>
                <w:sz w:val="18"/>
                <w:szCs w:val="18"/>
              </w:rPr>
              <w:t>0,39</w:t>
            </w:r>
          </w:p>
        </w:tc>
        <w:tc>
          <w:tcPr>
            <w:tcW w:w="730" w:type="pct"/>
            <w:tcBorders>
              <w:top w:val="nil"/>
              <w:left w:val="nil"/>
              <w:bottom w:val="single" w:sz="8" w:space="0" w:color="auto"/>
              <w:right w:val="single" w:sz="8" w:space="0" w:color="auto"/>
            </w:tcBorders>
            <w:shd w:val="clear" w:color="auto" w:fill="auto"/>
            <w:noWrap/>
            <w:vAlign w:val="center"/>
            <w:hideMark/>
          </w:tcPr>
          <w:p w14:paraId="00E56D36" w14:textId="63CAF9A2" w:rsidR="00201C80" w:rsidRPr="00201C80" w:rsidRDefault="00201C80" w:rsidP="00201C80">
            <w:pPr>
              <w:jc w:val="right"/>
              <w:rPr>
                <w:rFonts w:cs="Arial"/>
                <w:color w:val="000000"/>
                <w:sz w:val="18"/>
                <w:szCs w:val="18"/>
              </w:rPr>
            </w:pPr>
            <w:r w:rsidRPr="00201C80">
              <w:rPr>
                <w:rFonts w:cs="Arial"/>
                <w:color w:val="FF0000"/>
                <w:sz w:val="18"/>
                <w:szCs w:val="18"/>
              </w:rPr>
              <w:t>(53.144.368)</w:t>
            </w:r>
          </w:p>
        </w:tc>
        <w:tc>
          <w:tcPr>
            <w:tcW w:w="604" w:type="pct"/>
            <w:tcBorders>
              <w:top w:val="nil"/>
              <w:left w:val="nil"/>
              <w:bottom w:val="single" w:sz="8" w:space="0" w:color="auto"/>
            </w:tcBorders>
            <w:shd w:val="clear" w:color="auto" w:fill="auto"/>
            <w:noWrap/>
            <w:vAlign w:val="center"/>
            <w:hideMark/>
          </w:tcPr>
          <w:p w14:paraId="7C9B661D" w14:textId="672AE1A3" w:rsidR="00201C80" w:rsidRPr="00201C80" w:rsidRDefault="00201C80" w:rsidP="00201C80">
            <w:pPr>
              <w:jc w:val="center"/>
              <w:rPr>
                <w:rFonts w:cs="Arial"/>
                <w:color w:val="000000"/>
                <w:sz w:val="18"/>
                <w:szCs w:val="18"/>
              </w:rPr>
            </w:pPr>
            <w:r w:rsidRPr="00201C80">
              <w:rPr>
                <w:rFonts w:cs="Arial"/>
                <w:color w:val="FF0000"/>
                <w:sz w:val="18"/>
                <w:szCs w:val="18"/>
              </w:rPr>
              <w:t>(25,62)</w:t>
            </w:r>
          </w:p>
        </w:tc>
      </w:tr>
      <w:tr w:rsidR="00201C80" w:rsidRPr="009A0519" w14:paraId="7C53CEE7" w14:textId="77777777" w:rsidTr="00201C80">
        <w:trPr>
          <w:trHeight w:val="284"/>
        </w:trPr>
        <w:tc>
          <w:tcPr>
            <w:tcW w:w="1557" w:type="pct"/>
            <w:tcBorders>
              <w:top w:val="nil"/>
              <w:left w:val="nil"/>
              <w:bottom w:val="single" w:sz="8" w:space="0" w:color="auto"/>
              <w:right w:val="single" w:sz="8" w:space="0" w:color="auto"/>
            </w:tcBorders>
            <w:shd w:val="clear" w:color="auto" w:fill="auto"/>
            <w:noWrap/>
            <w:vAlign w:val="center"/>
            <w:hideMark/>
          </w:tcPr>
          <w:p w14:paraId="2C111262" w14:textId="77777777" w:rsidR="00201C80" w:rsidRPr="009A0519" w:rsidRDefault="00201C80" w:rsidP="00201C80">
            <w:pPr>
              <w:jc w:val="center"/>
              <w:rPr>
                <w:rFonts w:cs="Arial"/>
                <w:b/>
                <w:bCs/>
                <w:color w:val="000000"/>
                <w:sz w:val="18"/>
                <w:szCs w:val="18"/>
              </w:rPr>
            </w:pPr>
            <w:r w:rsidRPr="009A0519">
              <w:rPr>
                <w:rFonts w:cs="Arial"/>
                <w:b/>
                <w:bCs/>
                <w:color w:val="000000"/>
                <w:sz w:val="18"/>
                <w:szCs w:val="18"/>
              </w:rPr>
              <w:t>Total</w:t>
            </w:r>
          </w:p>
        </w:tc>
        <w:tc>
          <w:tcPr>
            <w:tcW w:w="744" w:type="pct"/>
            <w:tcBorders>
              <w:top w:val="nil"/>
              <w:left w:val="nil"/>
              <w:bottom w:val="single" w:sz="8" w:space="0" w:color="auto"/>
              <w:right w:val="single" w:sz="8" w:space="0" w:color="auto"/>
            </w:tcBorders>
            <w:shd w:val="clear" w:color="auto" w:fill="auto"/>
            <w:noWrap/>
            <w:vAlign w:val="center"/>
            <w:hideMark/>
          </w:tcPr>
          <w:p w14:paraId="25FAF193" w14:textId="77777777" w:rsidR="00201C80" w:rsidRPr="009A0519" w:rsidRDefault="00201C80" w:rsidP="00201C80">
            <w:pPr>
              <w:jc w:val="right"/>
              <w:rPr>
                <w:rFonts w:cs="Arial"/>
                <w:b/>
                <w:bCs/>
                <w:color w:val="000000"/>
                <w:sz w:val="18"/>
                <w:szCs w:val="18"/>
              </w:rPr>
            </w:pPr>
            <w:r w:rsidRPr="009A0519">
              <w:rPr>
                <w:rFonts w:cs="Arial"/>
                <w:b/>
                <w:bCs/>
                <w:color w:val="000000"/>
                <w:sz w:val="18"/>
                <w:szCs w:val="18"/>
              </w:rPr>
              <w:t>47.525.637.211</w:t>
            </w:r>
          </w:p>
        </w:tc>
        <w:tc>
          <w:tcPr>
            <w:tcW w:w="744" w:type="pct"/>
            <w:tcBorders>
              <w:top w:val="nil"/>
              <w:left w:val="nil"/>
              <w:bottom w:val="single" w:sz="8" w:space="0" w:color="auto"/>
              <w:right w:val="single" w:sz="8" w:space="0" w:color="auto"/>
            </w:tcBorders>
            <w:shd w:val="clear" w:color="auto" w:fill="auto"/>
            <w:noWrap/>
            <w:vAlign w:val="center"/>
            <w:hideMark/>
          </w:tcPr>
          <w:p w14:paraId="2712622E" w14:textId="77777777" w:rsidR="00201C80" w:rsidRPr="009A0519" w:rsidRDefault="00201C80" w:rsidP="00201C80">
            <w:pPr>
              <w:jc w:val="right"/>
              <w:rPr>
                <w:rFonts w:cs="Arial"/>
                <w:b/>
                <w:bCs/>
                <w:color w:val="000000"/>
                <w:sz w:val="18"/>
                <w:szCs w:val="18"/>
              </w:rPr>
            </w:pPr>
            <w:r w:rsidRPr="009A0519">
              <w:rPr>
                <w:rFonts w:cs="Arial"/>
                <w:b/>
                <w:bCs/>
                <w:color w:val="000000"/>
                <w:sz w:val="18"/>
                <w:szCs w:val="18"/>
              </w:rPr>
              <w:t>39.420.594.476</w:t>
            </w:r>
          </w:p>
        </w:tc>
        <w:tc>
          <w:tcPr>
            <w:tcW w:w="621" w:type="pct"/>
            <w:tcBorders>
              <w:top w:val="nil"/>
              <w:left w:val="nil"/>
              <w:bottom w:val="single" w:sz="8" w:space="0" w:color="auto"/>
              <w:right w:val="single" w:sz="8" w:space="0" w:color="auto"/>
            </w:tcBorders>
            <w:shd w:val="clear" w:color="auto" w:fill="auto"/>
            <w:noWrap/>
            <w:vAlign w:val="center"/>
            <w:hideMark/>
          </w:tcPr>
          <w:p w14:paraId="074D4705" w14:textId="77777777" w:rsidR="00201C80" w:rsidRPr="009A0519" w:rsidRDefault="00201C80" w:rsidP="00201C80">
            <w:pPr>
              <w:jc w:val="center"/>
              <w:rPr>
                <w:rFonts w:cs="Arial"/>
                <w:b/>
                <w:bCs/>
                <w:color w:val="000000"/>
                <w:sz w:val="18"/>
                <w:szCs w:val="18"/>
              </w:rPr>
            </w:pPr>
            <w:r w:rsidRPr="009A0519">
              <w:rPr>
                <w:rFonts w:cs="Arial"/>
                <w:b/>
                <w:bCs/>
                <w:color w:val="000000"/>
                <w:sz w:val="18"/>
                <w:szCs w:val="18"/>
              </w:rPr>
              <w:t>100,00</w:t>
            </w:r>
          </w:p>
        </w:tc>
        <w:tc>
          <w:tcPr>
            <w:tcW w:w="730" w:type="pct"/>
            <w:tcBorders>
              <w:top w:val="nil"/>
              <w:left w:val="nil"/>
              <w:bottom w:val="single" w:sz="8" w:space="0" w:color="auto"/>
              <w:right w:val="single" w:sz="8" w:space="0" w:color="auto"/>
            </w:tcBorders>
            <w:shd w:val="clear" w:color="auto" w:fill="auto"/>
            <w:noWrap/>
            <w:vAlign w:val="center"/>
            <w:hideMark/>
          </w:tcPr>
          <w:p w14:paraId="3AAA4928" w14:textId="7B02DA81" w:rsidR="00201C80" w:rsidRPr="00201C80" w:rsidRDefault="00201C80" w:rsidP="00201C80">
            <w:pPr>
              <w:jc w:val="right"/>
              <w:rPr>
                <w:rFonts w:cs="Arial"/>
                <w:b/>
                <w:bCs/>
                <w:color w:val="000000"/>
                <w:sz w:val="18"/>
                <w:szCs w:val="18"/>
              </w:rPr>
            </w:pPr>
            <w:r w:rsidRPr="00201C80">
              <w:rPr>
                <w:rFonts w:cs="Arial"/>
                <w:color w:val="FF0000"/>
                <w:sz w:val="18"/>
                <w:szCs w:val="18"/>
              </w:rPr>
              <w:t>(8.105.042.735)</w:t>
            </w:r>
          </w:p>
        </w:tc>
        <w:tc>
          <w:tcPr>
            <w:tcW w:w="604" w:type="pct"/>
            <w:tcBorders>
              <w:top w:val="nil"/>
              <w:left w:val="nil"/>
              <w:bottom w:val="single" w:sz="8" w:space="0" w:color="auto"/>
            </w:tcBorders>
            <w:shd w:val="clear" w:color="auto" w:fill="auto"/>
            <w:noWrap/>
            <w:vAlign w:val="center"/>
            <w:hideMark/>
          </w:tcPr>
          <w:p w14:paraId="31C5622B" w14:textId="0B49B7F7" w:rsidR="00201C80" w:rsidRPr="00201C80" w:rsidRDefault="00201C80" w:rsidP="00201C80">
            <w:pPr>
              <w:jc w:val="center"/>
              <w:rPr>
                <w:rFonts w:cs="Arial"/>
                <w:b/>
                <w:bCs/>
                <w:color w:val="000000"/>
                <w:sz w:val="18"/>
                <w:szCs w:val="18"/>
              </w:rPr>
            </w:pPr>
            <w:r w:rsidRPr="00201C80">
              <w:rPr>
                <w:rFonts w:cs="Arial"/>
                <w:color w:val="FF0000"/>
                <w:sz w:val="18"/>
                <w:szCs w:val="18"/>
              </w:rPr>
              <w:t>(17,05)</w:t>
            </w:r>
          </w:p>
        </w:tc>
      </w:tr>
    </w:tbl>
    <w:p w14:paraId="13B47EC1" w14:textId="77777777" w:rsidR="00A96988" w:rsidRPr="00333D34" w:rsidRDefault="00A96988" w:rsidP="00EF01A1">
      <w:pPr>
        <w:pStyle w:val="1-FONTE8ESQ"/>
        <w:rPr>
          <w:rStyle w:val="Forte"/>
          <w:b w:val="0"/>
          <w:bCs w:val="0"/>
        </w:rPr>
      </w:pPr>
      <w:r>
        <w:rPr>
          <w:rStyle w:val="Forte"/>
          <w:b w:val="0"/>
          <w:bCs w:val="0"/>
        </w:rPr>
        <w:t>Font</w:t>
      </w:r>
      <w:r w:rsidRPr="00333D34">
        <w:rPr>
          <w:rStyle w:val="Forte"/>
          <w:b w:val="0"/>
          <w:bCs w:val="0"/>
        </w:rPr>
        <w:t xml:space="preserve">e: </w:t>
      </w:r>
      <w:r>
        <w:rPr>
          <w:rStyle w:val="Forte"/>
          <w:b w:val="0"/>
          <w:bCs w:val="0"/>
        </w:rPr>
        <w:t>Balanço Orçamentário – Anexo 12 (BGE 2023)</w:t>
      </w:r>
    </w:p>
    <w:p w14:paraId="0E6F7EFE" w14:textId="77777777" w:rsidR="00A96988" w:rsidRPr="00C91FE5" w:rsidRDefault="00A96988" w:rsidP="00A224E9">
      <w:pPr>
        <w:pStyle w:val="Ttulo3"/>
      </w:pPr>
      <w:bookmarkStart w:id="82" w:name="_Toc167871633"/>
      <w:r w:rsidRPr="00C91FE5">
        <w:t>Gastos com Publicidade e Propaganda</w:t>
      </w:r>
      <w:bookmarkEnd w:id="82"/>
    </w:p>
    <w:p w14:paraId="666797AF" w14:textId="77777777" w:rsidR="00A96988" w:rsidRPr="006C6EAB" w:rsidRDefault="00A96988" w:rsidP="00A96988">
      <w:pPr>
        <w:pStyle w:val="1-REL11"/>
      </w:pPr>
      <w:r w:rsidRPr="006C6EAB">
        <w:t xml:space="preserve">Este tópico apresenta o volume de gastos com Publicidade e Propaganda incorridos </w:t>
      </w:r>
      <w:r>
        <w:t>no exercício</w:t>
      </w:r>
      <w:r w:rsidRPr="006C6EAB">
        <w:t xml:space="preserve">, com o objetivo de acompanhar e dar transparência à evolução destes após a revogação da Lei </w:t>
      </w:r>
      <w:r w:rsidRPr="006C6EAB">
        <w:lastRenderedPageBreak/>
        <w:t>Estadual nº 18.699, de 10 de dezembro de 2014</w:t>
      </w:r>
      <w:r w:rsidRPr="006C6EAB">
        <w:rPr>
          <w:rStyle w:val="Refdenotaderodap"/>
        </w:rPr>
        <w:footnoteReference w:id="2"/>
      </w:r>
      <w:r w:rsidRPr="006C6EAB">
        <w:t>, que estabelecia um percentual máximo de 0,5% sobre a Receita Corrente Líquida</w:t>
      </w:r>
      <w:r>
        <w:t xml:space="preserve"> (RCL)</w:t>
      </w:r>
      <w:r w:rsidRPr="006C6EAB">
        <w:t xml:space="preserve"> para atender estes gastos, salvo exceções.</w:t>
      </w:r>
    </w:p>
    <w:p w14:paraId="2F33045E" w14:textId="77777777" w:rsidR="00A96988" w:rsidRDefault="00A96988" w:rsidP="00A96988">
      <w:pPr>
        <w:pStyle w:val="1-REL11"/>
      </w:pPr>
      <w:r>
        <w:t>Em 2023 foram realizadas as seguintes despesas relacionadas com publicidade e propaganda no Estado:</w:t>
      </w:r>
    </w:p>
    <w:p w14:paraId="533B6449" w14:textId="77777777" w:rsidR="00A96988" w:rsidRPr="00683EDB" w:rsidRDefault="00A96988" w:rsidP="00ED3571">
      <w:pPr>
        <w:pStyle w:val="0-TABELA"/>
      </w:pPr>
      <w:bookmarkStart w:id="83" w:name="_Toc167871740"/>
      <w:r>
        <w:t>Despesas com Publicidade e Propaganda</w:t>
      </w:r>
      <w:bookmarkEnd w:id="83"/>
    </w:p>
    <w:p w14:paraId="28833211" w14:textId="77777777" w:rsidR="00A96988" w:rsidRDefault="00A96988" w:rsidP="00A96988">
      <w:pPr>
        <w:pStyle w:val="0-EmR1"/>
      </w:pPr>
      <w:r w:rsidRPr="00333D34">
        <w:t>R$ 1</w:t>
      </w:r>
    </w:p>
    <w:tbl>
      <w:tblPr>
        <w:tblW w:w="5000" w:type="pct"/>
        <w:tblLayout w:type="fixed"/>
        <w:tblCellMar>
          <w:left w:w="70" w:type="dxa"/>
          <w:right w:w="70" w:type="dxa"/>
        </w:tblCellMar>
        <w:tblLook w:val="04A0" w:firstRow="1" w:lastRow="0" w:firstColumn="1" w:lastColumn="0" w:noHBand="0" w:noVBand="1"/>
      </w:tblPr>
      <w:tblGrid>
        <w:gridCol w:w="2166"/>
        <w:gridCol w:w="5683"/>
        <w:gridCol w:w="1504"/>
      </w:tblGrid>
      <w:tr w:rsidR="00A96988" w:rsidRPr="00526AF1" w14:paraId="5D545DDA" w14:textId="77777777" w:rsidTr="008C79B5">
        <w:trPr>
          <w:trHeight w:val="361"/>
          <w:tblHeader/>
        </w:trPr>
        <w:tc>
          <w:tcPr>
            <w:tcW w:w="1158" w:type="pct"/>
            <w:tcBorders>
              <w:top w:val="single" w:sz="4" w:space="0" w:color="auto"/>
              <w:left w:val="nil"/>
              <w:bottom w:val="single" w:sz="4" w:space="0" w:color="auto"/>
              <w:right w:val="single" w:sz="4" w:space="0" w:color="auto"/>
            </w:tcBorders>
            <w:shd w:val="clear" w:color="000000" w:fill="A1F2FD"/>
            <w:noWrap/>
            <w:vAlign w:val="center"/>
            <w:hideMark/>
          </w:tcPr>
          <w:p w14:paraId="4C247F15" w14:textId="77777777" w:rsidR="00A96988" w:rsidRPr="00526AF1" w:rsidRDefault="00A96988" w:rsidP="00A96988">
            <w:pPr>
              <w:jc w:val="center"/>
              <w:rPr>
                <w:rFonts w:cs="Arial"/>
                <w:b/>
                <w:bCs/>
                <w:color w:val="000000"/>
                <w:sz w:val="20"/>
                <w:szCs w:val="20"/>
              </w:rPr>
            </w:pPr>
            <w:r w:rsidRPr="00526AF1">
              <w:rPr>
                <w:rFonts w:cs="Arial"/>
                <w:b/>
                <w:bCs/>
                <w:color w:val="000000"/>
                <w:sz w:val="20"/>
                <w:szCs w:val="20"/>
              </w:rPr>
              <w:t>Natureza da Despesa</w:t>
            </w:r>
          </w:p>
        </w:tc>
        <w:tc>
          <w:tcPr>
            <w:tcW w:w="3038" w:type="pct"/>
            <w:tcBorders>
              <w:top w:val="single" w:sz="4" w:space="0" w:color="auto"/>
              <w:left w:val="nil"/>
              <w:bottom w:val="single" w:sz="4" w:space="0" w:color="auto"/>
              <w:right w:val="single" w:sz="4" w:space="0" w:color="auto"/>
            </w:tcBorders>
            <w:shd w:val="clear" w:color="000000" w:fill="A1F2FD"/>
            <w:noWrap/>
            <w:vAlign w:val="center"/>
            <w:hideMark/>
          </w:tcPr>
          <w:p w14:paraId="2F2C185B" w14:textId="77777777" w:rsidR="00A96988" w:rsidRPr="00526AF1" w:rsidRDefault="00A96988" w:rsidP="00A96988">
            <w:pPr>
              <w:jc w:val="center"/>
              <w:rPr>
                <w:rFonts w:cs="Arial"/>
                <w:b/>
                <w:bCs/>
                <w:color w:val="000000"/>
                <w:sz w:val="20"/>
                <w:szCs w:val="20"/>
              </w:rPr>
            </w:pPr>
            <w:r w:rsidRPr="00526AF1">
              <w:rPr>
                <w:rFonts w:cs="Arial"/>
                <w:b/>
                <w:bCs/>
                <w:color w:val="000000"/>
                <w:sz w:val="20"/>
                <w:szCs w:val="20"/>
              </w:rPr>
              <w:t>Descrição</w:t>
            </w:r>
          </w:p>
        </w:tc>
        <w:tc>
          <w:tcPr>
            <w:tcW w:w="804" w:type="pct"/>
            <w:tcBorders>
              <w:top w:val="single" w:sz="4" w:space="0" w:color="auto"/>
              <w:left w:val="nil"/>
              <w:bottom w:val="single" w:sz="4" w:space="0" w:color="auto"/>
              <w:right w:val="nil"/>
            </w:tcBorders>
            <w:shd w:val="clear" w:color="000000" w:fill="A1F2FD"/>
            <w:noWrap/>
            <w:vAlign w:val="center"/>
            <w:hideMark/>
          </w:tcPr>
          <w:p w14:paraId="49AF18B9" w14:textId="77777777" w:rsidR="00A96988" w:rsidRPr="00526AF1" w:rsidRDefault="00A96988" w:rsidP="00A96988">
            <w:pPr>
              <w:jc w:val="center"/>
              <w:rPr>
                <w:rFonts w:cs="Arial"/>
                <w:b/>
                <w:bCs/>
                <w:color w:val="000000"/>
                <w:sz w:val="20"/>
                <w:szCs w:val="20"/>
              </w:rPr>
            </w:pPr>
            <w:r w:rsidRPr="00526AF1">
              <w:rPr>
                <w:rFonts w:cs="Arial"/>
                <w:b/>
                <w:bCs/>
                <w:color w:val="000000"/>
                <w:sz w:val="20"/>
                <w:szCs w:val="20"/>
              </w:rPr>
              <w:t>Valor</w:t>
            </w:r>
          </w:p>
        </w:tc>
      </w:tr>
      <w:tr w:rsidR="00A96988" w:rsidRPr="00526AF1" w14:paraId="438A911D" w14:textId="77777777" w:rsidTr="008C79B5">
        <w:trPr>
          <w:trHeight w:val="284"/>
        </w:trPr>
        <w:tc>
          <w:tcPr>
            <w:tcW w:w="1158" w:type="pct"/>
            <w:tcBorders>
              <w:top w:val="nil"/>
              <w:left w:val="nil"/>
              <w:bottom w:val="nil"/>
              <w:right w:val="single" w:sz="4" w:space="0" w:color="auto"/>
            </w:tcBorders>
            <w:shd w:val="clear" w:color="auto" w:fill="auto"/>
            <w:noWrap/>
            <w:vAlign w:val="center"/>
            <w:hideMark/>
          </w:tcPr>
          <w:p w14:paraId="08A15C93" w14:textId="77777777" w:rsidR="00A96988" w:rsidRPr="00526AF1" w:rsidRDefault="00A96988" w:rsidP="00A96988">
            <w:pPr>
              <w:jc w:val="center"/>
              <w:rPr>
                <w:rFonts w:cs="Arial"/>
                <w:color w:val="000000"/>
                <w:sz w:val="20"/>
                <w:szCs w:val="20"/>
              </w:rPr>
            </w:pPr>
            <w:r w:rsidRPr="00526AF1">
              <w:rPr>
                <w:rFonts w:cs="Arial"/>
                <w:color w:val="000000"/>
                <w:sz w:val="20"/>
                <w:szCs w:val="20"/>
              </w:rPr>
              <w:t>3.3.90.35.09</w:t>
            </w:r>
          </w:p>
        </w:tc>
        <w:tc>
          <w:tcPr>
            <w:tcW w:w="3038" w:type="pct"/>
            <w:tcBorders>
              <w:top w:val="nil"/>
              <w:left w:val="nil"/>
              <w:bottom w:val="nil"/>
              <w:right w:val="single" w:sz="4" w:space="0" w:color="auto"/>
            </w:tcBorders>
            <w:shd w:val="clear" w:color="auto" w:fill="auto"/>
            <w:noWrap/>
            <w:vAlign w:val="center"/>
            <w:hideMark/>
          </w:tcPr>
          <w:p w14:paraId="316927DA" w14:textId="77777777" w:rsidR="00A96988" w:rsidRPr="00526AF1" w:rsidRDefault="00A96988" w:rsidP="00A96988">
            <w:pPr>
              <w:jc w:val="left"/>
              <w:rPr>
                <w:rFonts w:cs="Arial"/>
                <w:color w:val="000000"/>
                <w:sz w:val="20"/>
                <w:szCs w:val="20"/>
              </w:rPr>
            </w:pPr>
            <w:r w:rsidRPr="00526AF1">
              <w:rPr>
                <w:rFonts w:cs="Arial"/>
                <w:color w:val="000000"/>
                <w:sz w:val="20"/>
                <w:szCs w:val="20"/>
              </w:rPr>
              <w:t>Comunicação em Geral</w:t>
            </w:r>
          </w:p>
        </w:tc>
        <w:tc>
          <w:tcPr>
            <w:tcW w:w="804" w:type="pct"/>
            <w:tcBorders>
              <w:top w:val="nil"/>
              <w:left w:val="nil"/>
              <w:bottom w:val="nil"/>
              <w:right w:val="nil"/>
            </w:tcBorders>
            <w:shd w:val="clear" w:color="auto" w:fill="auto"/>
            <w:noWrap/>
            <w:vAlign w:val="center"/>
            <w:hideMark/>
          </w:tcPr>
          <w:p w14:paraId="2A2AB5BB" w14:textId="77777777" w:rsidR="00A96988" w:rsidRPr="00526AF1" w:rsidRDefault="00A96988" w:rsidP="00A96988">
            <w:pPr>
              <w:jc w:val="right"/>
              <w:rPr>
                <w:rFonts w:cs="Arial"/>
                <w:color w:val="000000"/>
                <w:sz w:val="20"/>
                <w:szCs w:val="20"/>
              </w:rPr>
            </w:pPr>
            <w:r w:rsidRPr="00526AF1">
              <w:rPr>
                <w:rFonts w:cs="Arial"/>
                <w:color w:val="000000"/>
                <w:sz w:val="20"/>
                <w:szCs w:val="20"/>
              </w:rPr>
              <w:t>12.834</w:t>
            </w:r>
          </w:p>
        </w:tc>
      </w:tr>
      <w:tr w:rsidR="00A96988" w:rsidRPr="00526AF1" w14:paraId="2DA1663B" w14:textId="77777777" w:rsidTr="008C79B5">
        <w:trPr>
          <w:trHeight w:val="284"/>
        </w:trPr>
        <w:tc>
          <w:tcPr>
            <w:tcW w:w="1158" w:type="pct"/>
            <w:tcBorders>
              <w:top w:val="nil"/>
              <w:left w:val="nil"/>
              <w:bottom w:val="nil"/>
              <w:right w:val="single" w:sz="4" w:space="0" w:color="auto"/>
            </w:tcBorders>
            <w:shd w:val="clear" w:color="auto" w:fill="auto"/>
            <w:noWrap/>
            <w:vAlign w:val="center"/>
            <w:hideMark/>
          </w:tcPr>
          <w:p w14:paraId="35EDD8A2" w14:textId="77777777" w:rsidR="00A96988" w:rsidRPr="00526AF1" w:rsidRDefault="00A96988" w:rsidP="00A96988">
            <w:pPr>
              <w:jc w:val="center"/>
              <w:rPr>
                <w:rFonts w:cs="Arial"/>
                <w:color w:val="000000"/>
                <w:sz w:val="20"/>
                <w:szCs w:val="20"/>
              </w:rPr>
            </w:pPr>
            <w:r w:rsidRPr="00526AF1">
              <w:rPr>
                <w:rFonts w:cs="Arial"/>
                <w:color w:val="000000"/>
                <w:sz w:val="20"/>
                <w:szCs w:val="20"/>
              </w:rPr>
              <w:t>3.3.90.36.13</w:t>
            </w:r>
          </w:p>
        </w:tc>
        <w:tc>
          <w:tcPr>
            <w:tcW w:w="3038" w:type="pct"/>
            <w:tcBorders>
              <w:top w:val="nil"/>
              <w:left w:val="nil"/>
              <w:bottom w:val="nil"/>
              <w:right w:val="single" w:sz="4" w:space="0" w:color="auto"/>
            </w:tcBorders>
            <w:shd w:val="clear" w:color="auto" w:fill="auto"/>
            <w:noWrap/>
            <w:vAlign w:val="center"/>
            <w:hideMark/>
          </w:tcPr>
          <w:p w14:paraId="009C8331" w14:textId="77777777" w:rsidR="00A96988" w:rsidRPr="00526AF1" w:rsidRDefault="00A96988" w:rsidP="00A96988">
            <w:pPr>
              <w:jc w:val="left"/>
              <w:rPr>
                <w:rFonts w:cs="Arial"/>
                <w:color w:val="000000"/>
                <w:sz w:val="20"/>
                <w:szCs w:val="20"/>
              </w:rPr>
            </w:pPr>
            <w:r w:rsidRPr="00526AF1">
              <w:rPr>
                <w:rFonts w:cs="Arial"/>
                <w:color w:val="000000"/>
                <w:sz w:val="20"/>
                <w:szCs w:val="20"/>
              </w:rPr>
              <w:t>Serviço de Comunicação em Geral</w:t>
            </w:r>
          </w:p>
        </w:tc>
        <w:tc>
          <w:tcPr>
            <w:tcW w:w="804" w:type="pct"/>
            <w:tcBorders>
              <w:top w:val="nil"/>
              <w:left w:val="nil"/>
              <w:bottom w:val="nil"/>
              <w:right w:val="nil"/>
            </w:tcBorders>
            <w:shd w:val="clear" w:color="auto" w:fill="auto"/>
            <w:noWrap/>
            <w:vAlign w:val="center"/>
            <w:hideMark/>
          </w:tcPr>
          <w:p w14:paraId="0F619518" w14:textId="77777777" w:rsidR="00A96988" w:rsidRPr="00526AF1" w:rsidRDefault="00A96988" w:rsidP="00A96988">
            <w:pPr>
              <w:jc w:val="right"/>
              <w:rPr>
                <w:rFonts w:cs="Arial"/>
                <w:color w:val="000000"/>
                <w:sz w:val="20"/>
                <w:szCs w:val="20"/>
              </w:rPr>
            </w:pPr>
            <w:r w:rsidRPr="00526AF1">
              <w:rPr>
                <w:rFonts w:cs="Arial"/>
                <w:color w:val="000000"/>
                <w:sz w:val="20"/>
                <w:szCs w:val="20"/>
              </w:rPr>
              <w:t>350</w:t>
            </w:r>
          </w:p>
        </w:tc>
      </w:tr>
      <w:tr w:rsidR="00A96988" w:rsidRPr="00526AF1" w14:paraId="15216C5E" w14:textId="77777777" w:rsidTr="008C79B5">
        <w:trPr>
          <w:trHeight w:val="284"/>
        </w:trPr>
        <w:tc>
          <w:tcPr>
            <w:tcW w:w="1158" w:type="pct"/>
            <w:tcBorders>
              <w:top w:val="nil"/>
              <w:left w:val="nil"/>
              <w:bottom w:val="nil"/>
              <w:right w:val="single" w:sz="4" w:space="0" w:color="auto"/>
            </w:tcBorders>
            <w:shd w:val="clear" w:color="auto" w:fill="auto"/>
            <w:noWrap/>
            <w:vAlign w:val="center"/>
            <w:hideMark/>
          </w:tcPr>
          <w:p w14:paraId="23DBA05E" w14:textId="77777777" w:rsidR="00A96988" w:rsidRPr="00526AF1" w:rsidRDefault="00A96988" w:rsidP="00A96988">
            <w:pPr>
              <w:jc w:val="center"/>
              <w:rPr>
                <w:rFonts w:cs="Arial"/>
                <w:color w:val="000000"/>
                <w:sz w:val="20"/>
                <w:szCs w:val="20"/>
              </w:rPr>
            </w:pPr>
            <w:r w:rsidRPr="00526AF1">
              <w:rPr>
                <w:rFonts w:cs="Arial"/>
                <w:color w:val="000000"/>
                <w:sz w:val="20"/>
                <w:szCs w:val="20"/>
              </w:rPr>
              <w:t>3.3.90.39.35</w:t>
            </w:r>
          </w:p>
        </w:tc>
        <w:tc>
          <w:tcPr>
            <w:tcW w:w="3038" w:type="pct"/>
            <w:tcBorders>
              <w:top w:val="nil"/>
              <w:left w:val="nil"/>
              <w:bottom w:val="nil"/>
              <w:right w:val="single" w:sz="4" w:space="0" w:color="auto"/>
            </w:tcBorders>
            <w:shd w:val="clear" w:color="auto" w:fill="auto"/>
            <w:noWrap/>
            <w:vAlign w:val="center"/>
            <w:hideMark/>
          </w:tcPr>
          <w:p w14:paraId="3BA3F773" w14:textId="77777777" w:rsidR="00A96988" w:rsidRPr="00526AF1" w:rsidRDefault="00A96988" w:rsidP="00A96988">
            <w:pPr>
              <w:jc w:val="left"/>
              <w:rPr>
                <w:rFonts w:cs="Arial"/>
                <w:color w:val="000000"/>
                <w:sz w:val="20"/>
                <w:szCs w:val="20"/>
              </w:rPr>
            </w:pPr>
            <w:r w:rsidRPr="00526AF1">
              <w:rPr>
                <w:rFonts w:cs="Arial"/>
                <w:color w:val="000000"/>
                <w:sz w:val="20"/>
                <w:szCs w:val="20"/>
              </w:rPr>
              <w:t>Serviços de Publicidade e Propaganda</w:t>
            </w:r>
          </w:p>
        </w:tc>
        <w:tc>
          <w:tcPr>
            <w:tcW w:w="804" w:type="pct"/>
            <w:tcBorders>
              <w:top w:val="nil"/>
              <w:left w:val="nil"/>
              <w:bottom w:val="nil"/>
              <w:right w:val="nil"/>
            </w:tcBorders>
            <w:shd w:val="clear" w:color="auto" w:fill="auto"/>
            <w:noWrap/>
            <w:vAlign w:val="center"/>
            <w:hideMark/>
          </w:tcPr>
          <w:p w14:paraId="1C58C8F0" w14:textId="77777777" w:rsidR="00A96988" w:rsidRPr="00526AF1" w:rsidRDefault="00A96988" w:rsidP="00A96988">
            <w:pPr>
              <w:jc w:val="right"/>
              <w:rPr>
                <w:rFonts w:cs="Arial"/>
                <w:color w:val="000000"/>
                <w:sz w:val="20"/>
                <w:szCs w:val="20"/>
              </w:rPr>
            </w:pPr>
            <w:r w:rsidRPr="00526AF1">
              <w:rPr>
                <w:rFonts w:cs="Arial"/>
                <w:color w:val="000000"/>
                <w:sz w:val="20"/>
                <w:szCs w:val="20"/>
              </w:rPr>
              <w:t>18.038.878</w:t>
            </w:r>
          </w:p>
        </w:tc>
      </w:tr>
      <w:tr w:rsidR="00A96988" w:rsidRPr="00526AF1" w14:paraId="448BC10D" w14:textId="77777777" w:rsidTr="008C79B5">
        <w:trPr>
          <w:trHeight w:val="284"/>
        </w:trPr>
        <w:tc>
          <w:tcPr>
            <w:tcW w:w="1158" w:type="pct"/>
            <w:tcBorders>
              <w:top w:val="nil"/>
              <w:left w:val="nil"/>
              <w:bottom w:val="nil"/>
              <w:right w:val="single" w:sz="4" w:space="0" w:color="auto"/>
            </w:tcBorders>
            <w:shd w:val="clear" w:color="auto" w:fill="auto"/>
            <w:noWrap/>
            <w:vAlign w:val="center"/>
            <w:hideMark/>
          </w:tcPr>
          <w:p w14:paraId="3E470912" w14:textId="77777777" w:rsidR="00A96988" w:rsidRPr="00526AF1" w:rsidRDefault="00A96988" w:rsidP="00A96988">
            <w:pPr>
              <w:jc w:val="center"/>
              <w:rPr>
                <w:rFonts w:cs="Arial"/>
                <w:color w:val="000000"/>
                <w:sz w:val="20"/>
                <w:szCs w:val="20"/>
              </w:rPr>
            </w:pPr>
            <w:r w:rsidRPr="00526AF1">
              <w:rPr>
                <w:rFonts w:cs="Arial"/>
                <w:color w:val="000000"/>
                <w:sz w:val="20"/>
                <w:szCs w:val="20"/>
              </w:rPr>
              <w:t>3.3.90.39.42</w:t>
            </w:r>
          </w:p>
        </w:tc>
        <w:tc>
          <w:tcPr>
            <w:tcW w:w="3038" w:type="pct"/>
            <w:tcBorders>
              <w:top w:val="nil"/>
              <w:left w:val="nil"/>
              <w:bottom w:val="nil"/>
              <w:right w:val="single" w:sz="4" w:space="0" w:color="auto"/>
            </w:tcBorders>
            <w:shd w:val="clear" w:color="auto" w:fill="auto"/>
            <w:noWrap/>
            <w:vAlign w:val="center"/>
            <w:hideMark/>
          </w:tcPr>
          <w:p w14:paraId="4633D6D9" w14:textId="77777777" w:rsidR="00A96988" w:rsidRPr="00526AF1" w:rsidRDefault="00A96988" w:rsidP="00A96988">
            <w:pPr>
              <w:jc w:val="left"/>
              <w:rPr>
                <w:rFonts w:cs="Arial"/>
                <w:color w:val="000000"/>
                <w:sz w:val="20"/>
                <w:szCs w:val="20"/>
              </w:rPr>
            </w:pPr>
            <w:r w:rsidRPr="00526AF1">
              <w:rPr>
                <w:rFonts w:cs="Arial"/>
                <w:color w:val="000000"/>
                <w:sz w:val="20"/>
                <w:szCs w:val="20"/>
              </w:rPr>
              <w:t>Campanha Publicitária de Utilidade Pública</w:t>
            </w:r>
          </w:p>
        </w:tc>
        <w:tc>
          <w:tcPr>
            <w:tcW w:w="804" w:type="pct"/>
            <w:tcBorders>
              <w:top w:val="nil"/>
              <w:left w:val="nil"/>
              <w:bottom w:val="nil"/>
              <w:right w:val="nil"/>
            </w:tcBorders>
            <w:shd w:val="clear" w:color="auto" w:fill="auto"/>
            <w:noWrap/>
            <w:vAlign w:val="center"/>
            <w:hideMark/>
          </w:tcPr>
          <w:p w14:paraId="4DC61E78" w14:textId="77777777" w:rsidR="00A96988" w:rsidRPr="00526AF1" w:rsidRDefault="00A96988" w:rsidP="00A96988">
            <w:pPr>
              <w:jc w:val="right"/>
              <w:rPr>
                <w:rFonts w:cs="Arial"/>
                <w:color w:val="000000"/>
                <w:sz w:val="20"/>
                <w:szCs w:val="20"/>
              </w:rPr>
            </w:pPr>
            <w:r w:rsidRPr="00526AF1">
              <w:rPr>
                <w:rFonts w:cs="Arial"/>
                <w:color w:val="000000"/>
                <w:sz w:val="20"/>
                <w:szCs w:val="20"/>
              </w:rPr>
              <w:t>132.457.297</w:t>
            </w:r>
          </w:p>
        </w:tc>
      </w:tr>
      <w:tr w:rsidR="00A96988" w:rsidRPr="00526AF1" w14:paraId="4D5115FE" w14:textId="77777777" w:rsidTr="008C79B5">
        <w:trPr>
          <w:trHeight w:val="284"/>
        </w:trPr>
        <w:tc>
          <w:tcPr>
            <w:tcW w:w="1158" w:type="pct"/>
            <w:tcBorders>
              <w:top w:val="nil"/>
              <w:left w:val="nil"/>
              <w:bottom w:val="single" w:sz="4" w:space="0" w:color="auto"/>
              <w:right w:val="single" w:sz="4" w:space="0" w:color="auto"/>
            </w:tcBorders>
            <w:shd w:val="clear" w:color="auto" w:fill="auto"/>
            <w:noWrap/>
            <w:vAlign w:val="center"/>
            <w:hideMark/>
          </w:tcPr>
          <w:p w14:paraId="4079F94C" w14:textId="77777777" w:rsidR="00A96988" w:rsidRPr="00526AF1" w:rsidRDefault="00A96988" w:rsidP="00A96988">
            <w:pPr>
              <w:jc w:val="center"/>
              <w:rPr>
                <w:rFonts w:cs="Arial"/>
                <w:color w:val="000000"/>
                <w:sz w:val="20"/>
                <w:szCs w:val="20"/>
              </w:rPr>
            </w:pPr>
            <w:r w:rsidRPr="00526AF1">
              <w:rPr>
                <w:rFonts w:cs="Arial"/>
                <w:color w:val="000000"/>
                <w:sz w:val="20"/>
                <w:szCs w:val="20"/>
              </w:rPr>
              <w:t>3.3.90.92.60</w:t>
            </w:r>
          </w:p>
        </w:tc>
        <w:tc>
          <w:tcPr>
            <w:tcW w:w="3038" w:type="pct"/>
            <w:tcBorders>
              <w:top w:val="nil"/>
              <w:left w:val="nil"/>
              <w:bottom w:val="single" w:sz="4" w:space="0" w:color="auto"/>
              <w:right w:val="single" w:sz="4" w:space="0" w:color="auto"/>
            </w:tcBorders>
            <w:shd w:val="clear" w:color="auto" w:fill="auto"/>
            <w:noWrap/>
            <w:vAlign w:val="center"/>
            <w:hideMark/>
          </w:tcPr>
          <w:p w14:paraId="225DAFD4" w14:textId="77777777" w:rsidR="00A96988" w:rsidRPr="00526AF1" w:rsidRDefault="00A96988" w:rsidP="00A96988">
            <w:pPr>
              <w:jc w:val="left"/>
              <w:rPr>
                <w:rFonts w:cs="Arial"/>
                <w:color w:val="000000"/>
                <w:sz w:val="20"/>
                <w:szCs w:val="20"/>
              </w:rPr>
            </w:pPr>
            <w:r w:rsidRPr="00526AF1">
              <w:rPr>
                <w:rFonts w:cs="Arial"/>
                <w:color w:val="000000"/>
                <w:sz w:val="20"/>
                <w:szCs w:val="20"/>
              </w:rPr>
              <w:t>Publicidade e Marketing</w:t>
            </w:r>
          </w:p>
        </w:tc>
        <w:tc>
          <w:tcPr>
            <w:tcW w:w="804" w:type="pct"/>
            <w:tcBorders>
              <w:top w:val="nil"/>
              <w:left w:val="nil"/>
              <w:bottom w:val="single" w:sz="4" w:space="0" w:color="auto"/>
              <w:right w:val="nil"/>
            </w:tcBorders>
            <w:shd w:val="clear" w:color="auto" w:fill="auto"/>
            <w:noWrap/>
            <w:vAlign w:val="center"/>
            <w:hideMark/>
          </w:tcPr>
          <w:p w14:paraId="7F2F1BF9" w14:textId="77777777" w:rsidR="00A96988" w:rsidRPr="00526AF1" w:rsidRDefault="00A96988" w:rsidP="00A96988">
            <w:pPr>
              <w:jc w:val="right"/>
              <w:rPr>
                <w:rFonts w:cs="Arial"/>
                <w:color w:val="000000"/>
                <w:sz w:val="20"/>
                <w:szCs w:val="20"/>
              </w:rPr>
            </w:pPr>
            <w:r w:rsidRPr="00526AF1">
              <w:rPr>
                <w:rFonts w:cs="Arial"/>
                <w:color w:val="000000"/>
                <w:sz w:val="20"/>
                <w:szCs w:val="20"/>
              </w:rPr>
              <w:t>44.347</w:t>
            </w:r>
          </w:p>
        </w:tc>
      </w:tr>
      <w:tr w:rsidR="00A96988" w:rsidRPr="00526AF1" w14:paraId="70E24B86" w14:textId="77777777" w:rsidTr="008C79B5">
        <w:trPr>
          <w:trHeight w:val="284"/>
        </w:trPr>
        <w:tc>
          <w:tcPr>
            <w:tcW w:w="4196" w:type="pct"/>
            <w:gridSpan w:val="2"/>
            <w:tcBorders>
              <w:top w:val="single" w:sz="4" w:space="0" w:color="auto"/>
              <w:left w:val="nil"/>
              <w:bottom w:val="single" w:sz="4" w:space="0" w:color="auto"/>
              <w:right w:val="single" w:sz="4" w:space="0" w:color="auto"/>
            </w:tcBorders>
            <w:shd w:val="clear" w:color="auto" w:fill="auto"/>
            <w:noWrap/>
            <w:vAlign w:val="center"/>
            <w:hideMark/>
          </w:tcPr>
          <w:p w14:paraId="3AC598E6" w14:textId="77777777" w:rsidR="00A96988" w:rsidRPr="00526AF1" w:rsidRDefault="00A96988" w:rsidP="00A96988">
            <w:pPr>
              <w:jc w:val="center"/>
              <w:rPr>
                <w:rFonts w:cs="Arial"/>
                <w:b/>
                <w:bCs/>
                <w:color w:val="000000"/>
                <w:sz w:val="20"/>
                <w:szCs w:val="20"/>
              </w:rPr>
            </w:pPr>
            <w:r w:rsidRPr="00526AF1">
              <w:rPr>
                <w:rFonts w:cs="Arial"/>
                <w:b/>
                <w:bCs/>
                <w:color w:val="000000"/>
                <w:sz w:val="20"/>
                <w:szCs w:val="20"/>
              </w:rPr>
              <w:t>Total</w:t>
            </w:r>
          </w:p>
        </w:tc>
        <w:tc>
          <w:tcPr>
            <w:tcW w:w="804" w:type="pct"/>
            <w:tcBorders>
              <w:top w:val="nil"/>
              <w:left w:val="nil"/>
              <w:bottom w:val="single" w:sz="4" w:space="0" w:color="auto"/>
              <w:right w:val="nil"/>
            </w:tcBorders>
            <w:shd w:val="clear" w:color="auto" w:fill="auto"/>
            <w:noWrap/>
            <w:vAlign w:val="center"/>
            <w:hideMark/>
          </w:tcPr>
          <w:p w14:paraId="49879169" w14:textId="77777777" w:rsidR="00A96988" w:rsidRPr="00526AF1" w:rsidRDefault="00A96988" w:rsidP="00A96988">
            <w:pPr>
              <w:jc w:val="right"/>
              <w:rPr>
                <w:rFonts w:cs="Arial"/>
                <w:b/>
                <w:bCs/>
                <w:color w:val="000000"/>
                <w:sz w:val="20"/>
                <w:szCs w:val="20"/>
              </w:rPr>
            </w:pPr>
            <w:r w:rsidRPr="00526AF1">
              <w:rPr>
                <w:rFonts w:cs="Arial"/>
                <w:b/>
                <w:bCs/>
                <w:color w:val="000000"/>
                <w:sz w:val="20"/>
                <w:szCs w:val="20"/>
              </w:rPr>
              <w:t>150.553.706</w:t>
            </w:r>
          </w:p>
        </w:tc>
      </w:tr>
    </w:tbl>
    <w:p w14:paraId="3478407A" w14:textId="77777777" w:rsidR="00A96988" w:rsidRPr="0016377D" w:rsidRDefault="00A96988" w:rsidP="00A96988">
      <w:pPr>
        <w:pStyle w:val="0-FONTEBALANO"/>
        <w:rPr>
          <w:lang w:eastAsia="en-US"/>
        </w:rPr>
      </w:pPr>
      <w:r w:rsidRPr="0016377D">
        <w:t xml:space="preserve">Fonte: </w:t>
      </w:r>
      <w:r w:rsidRPr="0016377D">
        <w:rPr>
          <w:rStyle w:val="Forte"/>
          <w:b w:val="0"/>
          <w:i/>
        </w:rPr>
        <w:t>Business Objects</w:t>
      </w:r>
    </w:p>
    <w:p w14:paraId="044E5846" w14:textId="77777777" w:rsidR="00A96988" w:rsidRPr="004C1D61" w:rsidRDefault="00A96988" w:rsidP="00A96988">
      <w:pPr>
        <w:pStyle w:val="1-REL11"/>
      </w:pPr>
      <w:r>
        <w:t>O</w:t>
      </w:r>
      <w:r w:rsidRPr="001933FA">
        <w:t xml:space="preserve"> total </w:t>
      </w:r>
      <w:r>
        <w:t>gasto</w:t>
      </w:r>
      <w:r w:rsidRPr="001933FA">
        <w:t xml:space="preserve"> </w:t>
      </w:r>
      <w:r>
        <w:t xml:space="preserve">no exercício </w:t>
      </w:r>
      <w:r w:rsidRPr="001933FA">
        <w:t>correspondeu a 0,</w:t>
      </w:r>
      <w:r>
        <w:t>3</w:t>
      </w:r>
      <w:r w:rsidRPr="001933FA">
        <w:t>9% da RCL e 0,</w:t>
      </w:r>
      <w:r>
        <w:t>38</w:t>
      </w:r>
      <w:r w:rsidRPr="001933FA">
        <w:t>% do total de despesas empenhadas no período. Em relação a 202</w:t>
      </w:r>
      <w:r>
        <w:t>2</w:t>
      </w:r>
      <w:r w:rsidRPr="001933FA">
        <w:t xml:space="preserve">, houve </w:t>
      </w:r>
      <w:r>
        <w:t xml:space="preserve">aumento </w:t>
      </w:r>
      <w:r w:rsidRPr="001933FA">
        <w:t xml:space="preserve">de </w:t>
      </w:r>
      <w:r>
        <w:t>47</w:t>
      </w:r>
      <w:r w:rsidRPr="001933FA">
        <w:t>,</w:t>
      </w:r>
      <w:r>
        <w:t>08</w:t>
      </w:r>
      <w:r w:rsidRPr="001933FA">
        <w:t xml:space="preserve">% dos </w:t>
      </w:r>
      <w:r w:rsidRPr="004C1D61">
        <w:t>gastos realizados.</w:t>
      </w:r>
    </w:p>
    <w:p w14:paraId="4C9D21A3" w14:textId="77777777" w:rsidR="00A96988" w:rsidRPr="004C1D61" w:rsidRDefault="00A96988" w:rsidP="00A96988">
      <w:pPr>
        <w:pStyle w:val="1-REL11"/>
      </w:pPr>
      <w:r w:rsidRPr="004C1D61">
        <w:t>Esclarece-se que não se fez juízo de valor sobre o conteúdo, a técnica e a essencialidade das propagandas veiculadas, assim como a avaliação da realização desta natureza de despesa em detrimento de outras que contribuiriam efetivamente para o atendimento de uma necessidade social.</w:t>
      </w:r>
    </w:p>
    <w:p w14:paraId="43204A7F" w14:textId="77777777" w:rsidR="00A96988" w:rsidRPr="001F1D86" w:rsidRDefault="00A96988" w:rsidP="00A96988">
      <w:pPr>
        <w:pStyle w:val="Ttulo2"/>
      </w:pPr>
      <w:bookmarkStart w:id="84" w:name="_Toc167871634"/>
      <w:r w:rsidRPr="001F1D86">
        <w:t>Regra de Ouro</w:t>
      </w:r>
      <w:bookmarkEnd w:id="84"/>
    </w:p>
    <w:p w14:paraId="48D6D3A3" w14:textId="77777777" w:rsidR="00A96988" w:rsidRPr="00AB48C7" w:rsidRDefault="00A96988" w:rsidP="00A96988">
      <w:pPr>
        <w:pStyle w:val="1-REL11"/>
      </w:pPr>
      <w:r w:rsidRPr="00AB48C7">
        <w:t>Estabelecida pela C</w:t>
      </w:r>
      <w:r>
        <w:t xml:space="preserve">onstituição Federal de 1988 (CF/88) e pela Lei Complementar nº 101, de 4 de maio de 2000 - </w:t>
      </w:r>
      <w:r w:rsidRPr="00AB48C7">
        <w:t>L</w:t>
      </w:r>
      <w:r>
        <w:t xml:space="preserve">ei de </w:t>
      </w:r>
      <w:r w:rsidRPr="00AB48C7">
        <w:t>R</w:t>
      </w:r>
      <w:r>
        <w:t xml:space="preserve">esponsabilidade </w:t>
      </w:r>
      <w:r w:rsidRPr="00AB48C7">
        <w:t>F</w:t>
      </w:r>
      <w:r>
        <w:t>iscal (LRF)</w:t>
      </w:r>
      <w:r w:rsidRPr="00AB48C7">
        <w:t>, a Regra de Ouro</w:t>
      </w:r>
      <w:r w:rsidRPr="00AB48C7">
        <w:rPr>
          <w:rStyle w:val="Refdenotaderodap"/>
        </w:rPr>
        <w:footnoteReference w:id="3"/>
      </w:r>
      <w:r w:rsidRPr="00AB48C7">
        <w:t xml:space="preserve"> veda a realização de</w:t>
      </w:r>
      <w:r>
        <w:t xml:space="preserve"> receitas de</w:t>
      </w:r>
      <w:r w:rsidRPr="00AB48C7">
        <w:t xml:space="preserve"> operações de crédito que excedam o montante das despesas de capital, ressalvadas as autorizadas mediante créditos suplementares ou especiais com finalidade precisa, aprovados pelo Poder Legislativo por maioria absoluta. Esta regra deve ser observada ao longo de todo o ciclo orçamentário. </w:t>
      </w:r>
    </w:p>
    <w:p w14:paraId="7481E476" w14:textId="77777777" w:rsidR="00A96988" w:rsidRPr="00AB48C7" w:rsidRDefault="00A96988" w:rsidP="00A96988">
      <w:pPr>
        <w:pStyle w:val="1-REL11"/>
      </w:pPr>
      <w:r w:rsidRPr="00AB48C7">
        <w:t>Ademais, o cumprimento desta regra é uma das condições que precisam ser atendidas para solicitar autorização para contratação de crédito perante o Ministério da Fazenda e, neste caso, a LRF determinou que a verificação deverá ser feita com base no total de recursos de operações de crédito ingressados e de despesas de capital executadas no exercício</w:t>
      </w:r>
      <w:r w:rsidRPr="00AB48C7">
        <w:rPr>
          <w:rStyle w:val="Refdenotaderodap"/>
        </w:rPr>
        <w:footnoteReference w:id="4"/>
      </w:r>
      <w:r w:rsidRPr="00AB48C7">
        <w:t>.</w:t>
      </w:r>
    </w:p>
    <w:p w14:paraId="36267150" w14:textId="77777777" w:rsidR="00A96988" w:rsidRDefault="00A96988" w:rsidP="00A96988">
      <w:pPr>
        <w:pStyle w:val="1-REL11"/>
        <w:rPr>
          <w:highlight w:val="yellow"/>
        </w:rPr>
      </w:pPr>
      <w:r>
        <w:lastRenderedPageBreak/>
        <w:t>No exercício de 2023 não foram realizadas receitas provenientes de operações de crédito, desta forma, a Regra de Ouro apresenta-se cumprida.</w:t>
      </w:r>
    </w:p>
    <w:p w14:paraId="7BD5DA02" w14:textId="77777777" w:rsidR="00A96988" w:rsidRPr="00BE51EB" w:rsidRDefault="00A96988" w:rsidP="00A96988">
      <w:pPr>
        <w:pStyle w:val="Ttulo2"/>
      </w:pPr>
      <w:bookmarkStart w:id="85" w:name="_Toc135332649"/>
      <w:bookmarkStart w:id="86" w:name="_Toc167871635"/>
      <w:r w:rsidRPr="00BE51EB">
        <w:t>Alterações Orçamentárias</w:t>
      </w:r>
      <w:bookmarkEnd w:id="85"/>
      <w:bookmarkEnd w:id="86"/>
    </w:p>
    <w:p w14:paraId="561977A9" w14:textId="77777777" w:rsidR="00A96988" w:rsidRPr="003D5669" w:rsidRDefault="00A96988" w:rsidP="00A96988">
      <w:pPr>
        <w:pStyle w:val="1-REL11"/>
      </w:pPr>
      <w:r w:rsidRPr="00A45765">
        <w:t xml:space="preserve">No decorrer de um exercício financeiro pode-se verificar a necessidade de alterações no planejamento orçamentário aprovado pela LOA. Tais alterações podem ser demandadas devido à mudança de prioridades do governo ou por fatos que não dependem da vontade do gestor, como variações de preço de mercado. Assim, para adequar a execução dos programas de trabalho do governo às novas demandas ou necessidades, o ente é autorizado pela Constituição Federal a utilizar-se das técnicas de transposição, remanejamento ou transferência de recursos, </w:t>
      </w:r>
      <w:r w:rsidRPr="003D5669">
        <w:t>e de abertura de créditos adicionais.</w:t>
      </w:r>
    </w:p>
    <w:p w14:paraId="2A106ED4" w14:textId="77777777" w:rsidR="00A96988" w:rsidRPr="003D5669" w:rsidRDefault="00A96988" w:rsidP="00A96988">
      <w:pPr>
        <w:pStyle w:val="1-REL11"/>
      </w:pPr>
      <w:r w:rsidRPr="003D5669">
        <w:t>A utilização destes instrumentos requer a observância de normas, princípios e institutos presentes na CF</w:t>
      </w:r>
      <w:r>
        <w:t>/</w:t>
      </w:r>
      <w:r w:rsidRPr="003D5669">
        <w:t>88, Constituição Estadual, Lei Federal nº 4.320, de 17 de março de 1964, Lei Estadual nº 21.527, 26 de julho de 2022 (LDO), Lei Estadual nº 21.760, de 29 de dezembro de 2022 (LOA), e Decreto Estadual nº 10.206, de 27 de janeiro de 2023 (</w:t>
      </w:r>
      <w:r>
        <w:t>d</w:t>
      </w:r>
      <w:r w:rsidRPr="003D5669">
        <w:t>ecreto que estabelece os limites anuais de empenho e pagamento pelos órgãos da administração direta, indireta e empresas estatais dependentes para o exercício de 2023). Além disso, a abertura dos créditos especiais e suplementares devem estar de acordo com as metas fiscais estabelecidas na LDO.</w:t>
      </w:r>
    </w:p>
    <w:p w14:paraId="53788C16" w14:textId="080DF79B" w:rsidR="00A96988" w:rsidRDefault="00A96988" w:rsidP="00A96988">
      <w:pPr>
        <w:pStyle w:val="1-REL11"/>
        <w:rPr>
          <w:highlight w:val="yellow"/>
        </w:rPr>
      </w:pPr>
      <w:r w:rsidRPr="003D5669">
        <w:t>Durante o exercício de 2023 ocorreram alterações</w:t>
      </w:r>
      <w:r>
        <w:t xml:space="preserve"> orçamentárias que acarretaram um acréscimo de 20,02% (R$</w:t>
      </w:r>
      <w:r w:rsidR="00F763BE">
        <w:t> </w:t>
      </w:r>
      <w:r>
        <w:t>7,93</w:t>
      </w:r>
      <w:r w:rsidR="00F763BE">
        <w:t> </w:t>
      </w:r>
      <w:r>
        <w:t>bilhões) no orçamento autorizado em relação ao valor inicialmente previsto para o período:</w:t>
      </w:r>
    </w:p>
    <w:p w14:paraId="52A3165C" w14:textId="77777777" w:rsidR="00A96988" w:rsidRPr="00F2147B" w:rsidRDefault="00A96988" w:rsidP="00ED3571">
      <w:pPr>
        <w:pStyle w:val="0-TABELA"/>
      </w:pPr>
      <w:bookmarkStart w:id="87" w:name="_Toc135332469"/>
      <w:bookmarkStart w:id="88" w:name="_Toc167871741"/>
      <w:r w:rsidRPr="00F2147B">
        <w:t>Orçamento Autorizado</w:t>
      </w:r>
      <w:bookmarkEnd w:id="87"/>
      <w:bookmarkEnd w:id="88"/>
    </w:p>
    <w:p w14:paraId="559DB69D" w14:textId="77777777" w:rsidR="00A96988" w:rsidRPr="00F56443" w:rsidRDefault="00A96988" w:rsidP="00A96988">
      <w:pPr>
        <w:pStyle w:val="0-EmR1"/>
        <w:rPr>
          <w:highlight w:val="yellow"/>
        </w:rPr>
      </w:pPr>
      <w:r>
        <w:t>R</w:t>
      </w:r>
      <w:r w:rsidRPr="00333D34">
        <w:t>$ 1</w:t>
      </w:r>
    </w:p>
    <w:tbl>
      <w:tblPr>
        <w:tblW w:w="5000" w:type="pct"/>
        <w:tblLayout w:type="fixed"/>
        <w:tblCellMar>
          <w:left w:w="70" w:type="dxa"/>
          <w:right w:w="70" w:type="dxa"/>
        </w:tblCellMar>
        <w:tblLook w:val="04A0" w:firstRow="1" w:lastRow="0" w:firstColumn="1" w:lastColumn="0" w:noHBand="0" w:noVBand="1"/>
      </w:tblPr>
      <w:tblGrid>
        <w:gridCol w:w="7512"/>
        <w:gridCol w:w="1841"/>
      </w:tblGrid>
      <w:tr w:rsidR="00A96988" w:rsidRPr="00526AF1" w14:paraId="626C03B2" w14:textId="77777777" w:rsidTr="002B4DEE">
        <w:trPr>
          <w:trHeight w:val="340"/>
          <w:tblHeader/>
        </w:trPr>
        <w:tc>
          <w:tcPr>
            <w:tcW w:w="4016" w:type="pct"/>
            <w:tcBorders>
              <w:top w:val="single" w:sz="4" w:space="0" w:color="auto"/>
              <w:left w:val="nil"/>
              <w:bottom w:val="single" w:sz="4" w:space="0" w:color="auto"/>
              <w:right w:val="single" w:sz="4" w:space="0" w:color="auto"/>
            </w:tcBorders>
            <w:shd w:val="clear" w:color="000000" w:fill="A1F2FD"/>
            <w:vAlign w:val="center"/>
            <w:hideMark/>
          </w:tcPr>
          <w:p w14:paraId="1E739428" w14:textId="77777777" w:rsidR="00A96988" w:rsidRPr="00526AF1" w:rsidRDefault="00A96988" w:rsidP="00A96988">
            <w:pPr>
              <w:jc w:val="center"/>
              <w:rPr>
                <w:rFonts w:cs="Arial"/>
                <w:b/>
                <w:bCs/>
                <w:color w:val="000000"/>
                <w:sz w:val="20"/>
                <w:szCs w:val="20"/>
              </w:rPr>
            </w:pPr>
            <w:r w:rsidRPr="00526AF1">
              <w:rPr>
                <w:rFonts w:cs="Arial"/>
                <w:b/>
                <w:bCs/>
                <w:color w:val="000000"/>
                <w:sz w:val="20"/>
                <w:szCs w:val="20"/>
              </w:rPr>
              <w:t>Descrição</w:t>
            </w:r>
          </w:p>
        </w:tc>
        <w:tc>
          <w:tcPr>
            <w:tcW w:w="984" w:type="pct"/>
            <w:tcBorders>
              <w:top w:val="single" w:sz="4" w:space="0" w:color="auto"/>
              <w:left w:val="nil"/>
              <w:bottom w:val="single" w:sz="4" w:space="0" w:color="auto"/>
              <w:right w:val="nil"/>
            </w:tcBorders>
            <w:shd w:val="clear" w:color="000000" w:fill="A1F2FD"/>
            <w:vAlign w:val="center"/>
            <w:hideMark/>
          </w:tcPr>
          <w:p w14:paraId="53078451" w14:textId="77777777" w:rsidR="00A96988" w:rsidRPr="00526AF1" w:rsidRDefault="00A96988" w:rsidP="00A96988">
            <w:pPr>
              <w:jc w:val="center"/>
              <w:rPr>
                <w:rFonts w:cs="Arial"/>
                <w:b/>
                <w:bCs/>
                <w:color w:val="000000"/>
                <w:sz w:val="20"/>
                <w:szCs w:val="20"/>
              </w:rPr>
            </w:pPr>
            <w:r w:rsidRPr="00526AF1">
              <w:rPr>
                <w:rFonts w:cs="Arial"/>
                <w:b/>
                <w:bCs/>
                <w:color w:val="000000"/>
                <w:sz w:val="20"/>
                <w:szCs w:val="20"/>
              </w:rPr>
              <w:t>Valor</w:t>
            </w:r>
          </w:p>
        </w:tc>
      </w:tr>
      <w:tr w:rsidR="00A96988" w:rsidRPr="00526AF1" w14:paraId="4D2723CF" w14:textId="77777777" w:rsidTr="002B4DEE">
        <w:trPr>
          <w:trHeight w:val="340"/>
          <w:tblHeader/>
        </w:trPr>
        <w:tc>
          <w:tcPr>
            <w:tcW w:w="4016" w:type="pct"/>
            <w:tcBorders>
              <w:top w:val="single" w:sz="4" w:space="0" w:color="auto"/>
              <w:left w:val="nil"/>
              <w:bottom w:val="nil"/>
              <w:right w:val="single" w:sz="4" w:space="0" w:color="auto"/>
            </w:tcBorders>
            <w:shd w:val="clear" w:color="000000" w:fill="FFFFFF"/>
            <w:noWrap/>
            <w:vAlign w:val="center"/>
            <w:hideMark/>
          </w:tcPr>
          <w:p w14:paraId="64D6AF8F" w14:textId="77777777" w:rsidR="00A96988" w:rsidRPr="00526AF1" w:rsidRDefault="00A96988" w:rsidP="00430111">
            <w:pPr>
              <w:ind w:left="67"/>
              <w:jc w:val="left"/>
              <w:rPr>
                <w:rFonts w:cs="Arial"/>
                <w:color w:val="333333"/>
                <w:sz w:val="20"/>
                <w:szCs w:val="20"/>
              </w:rPr>
            </w:pPr>
            <w:r w:rsidRPr="00526AF1">
              <w:rPr>
                <w:rFonts w:cs="Arial"/>
                <w:color w:val="333333"/>
                <w:sz w:val="20"/>
                <w:szCs w:val="20"/>
              </w:rPr>
              <w:t>Orçamento Inicial</w:t>
            </w:r>
          </w:p>
        </w:tc>
        <w:tc>
          <w:tcPr>
            <w:tcW w:w="984" w:type="pct"/>
            <w:tcBorders>
              <w:top w:val="single" w:sz="4" w:space="0" w:color="auto"/>
              <w:left w:val="nil"/>
              <w:bottom w:val="nil"/>
              <w:right w:val="nil"/>
            </w:tcBorders>
            <w:shd w:val="clear" w:color="auto" w:fill="auto"/>
            <w:noWrap/>
            <w:vAlign w:val="center"/>
            <w:hideMark/>
          </w:tcPr>
          <w:p w14:paraId="1B19F05F" w14:textId="77777777" w:rsidR="00A96988" w:rsidRPr="00526AF1" w:rsidRDefault="00A96988" w:rsidP="00A96988">
            <w:pPr>
              <w:jc w:val="right"/>
              <w:rPr>
                <w:rFonts w:cs="Arial"/>
                <w:color w:val="000000"/>
                <w:sz w:val="20"/>
                <w:szCs w:val="20"/>
              </w:rPr>
            </w:pPr>
            <w:r w:rsidRPr="00526AF1">
              <w:rPr>
                <w:rFonts w:cs="Arial"/>
                <w:color w:val="000000"/>
                <w:sz w:val="20"/>
                <w:szCs w:val="20"/>
              </w:rPr>
              <w:t xml:space="preserve">39.597.166.000 </w:t>
            </w:r>
          </w:p>
        </w:tc>
      </w:tr>
      <w:tr w:rsidR="00A96988" w:rsidRPr="00526AF1" w14:paraId="4AA97DE2" w14:textId="77777777" w:rsidTr="002B4DEE">
        <w:trPr>
          <w:trHeight w:val="340"/>
          <w:tblHeader/>
        </w:trPr>
        <w:tc>
          <w:tcPr>
            <w:tcW w:w="4016" w:type="pct"/>
            <w:tcBorders>
              <w:top w:val="nil"/>
              <w:left w:val="nil"/>
              <w:bottom w:val="nil"/>
              <w:right w:val="single" w:sz="4" w:space="0" w:color="auto"/>
            </w:tcBorders>
            <w:shd w:val="clear" w:color="000000" w:fill="FFFFFF"/>
            <w:noWrap/>
            <w:vAlign w:val="center"/>
            <w:hideMark/>
          </w:tcPr>
          <w:p w14:paraId="719597FC" w14:textId="77777777" w:rsidR="00A96988" w:rsidRPr="00526AF1" w:rsidRDefault="00A96988" w:rsidP="00430111">
            <w:pPr>
              <w:ind w:left="67"/>
              <w:jc w:val="left"/>
              <w:rPr>
                <w:rFonts w:cs="Arial"/>
                <w:color w:val="333333"/>
                <w:sz w:val="20"/>
                <w:szCs w:val="20"/>
              </w:rPr>
            </w:pPr>
            <w:r w:rsidRPr="00526AF1">
              <w:rPr>
                <w:rFonts w:cs="Arial"/>
                <w:color w:val="333333"/>
                <w:sz w:val="20"/>
                <w:szCs w:val="20"/>
              </w:rPr>
              <w:t>Créditos Suplementares</w:t>
            </w:r>
          </w:p>
        </w:tc>
        <w:tc>
          <w:tcPr>
            <w:tcW w:w="984" w:type="pct"/>
            <w:tcBorders>
              <w:top w:val="nil"/>
              <w:left w:val="nil"/>
              <w:bottom w:val="nil"/>
              <w:right w:val="nil"/>
            </w:tcBorders>
            <w:shd w:val="clear" w:color="auto" w:fill="auto"/>
            <w:noWrap/>
            <w:vAlign w:val="center"/>
            <w:hideMark/>
          </w:tcPr>
          <w:p w14:paraId="12F48BF2" w14:textId="77777777" w:rsidR="00A96988" w:rsidRPr="00526AF1" w:rsidRDefault="00A96988" w:rsidP="00A96988">
            <w:pPr>
              <w:jc w:val="right"/>
              <w:rPr>
                <w:rFonts w:cs="Arial"/>
                <w:color w:val="000000"/>
                <w:sz w:val="20"/>
                <w:szCs w:val="20"/>
              </w:rPr>
            </w:pPr>
            <w:r w:rsidRPr="00526AF1">
              <w:rPr>
                <w:rFonts w:cs="Arial"/>
                <w:color w:val="000000"/>
                <w:sz w:val="20"/>
                <w:szCs w:val="20"/>
              </w:rPr>
              <w:t xml:space="preserve">19.847.185.912 </w:t>
            </w:r>
          </w:p>
        </w:tc>
      </w:tr>
      <w:tr w:rsidR="00A96988" w:rsidRPr="00526AF1" w14:paraId="3E35FFD5" w14:textId="77777777" w:rsidTr="002B4DEE">
        <w:trPr>
          <w:trHeight w:val="340"/>
          <w:tblHeader/>
        </w:trPr>
        <w:tc>
          <w:tcPr>
            <w:tcW w:w="4016" w:type="pct"/>
            <w:tcBorders>
              <w:top w:val="nil"/>
              <w:left w:val="nil"/>
              <w:bottom w:val="nil"/>
              <w:right w:val="single" w:sz="4" w:space="0" w:color="auto"/>
            </w:tcBorders>
            <w:shd w:val="clear" w:color="000000" w:fill="FFFFFF"/>
            <w:noWrap/>
            <w:vAlign w:val="center"/>
            <w:hideMark/>
          </w:tcPr>
          <w:p w14:paraId="634F1F11" w14:textId="77777777" w:rsidR="00A96988" w:rsidRPr="00526AF1" w:rsidRDefault="00A96988" w:rsidP="00430111">
            <w:pPr>
              <w:ind w:left="67"/>
              <w:jc w:val="left"/>
              <w:rPr>
                <w:rFonts w:cs="Arial"/>
                <w:color w:val="333333"/>
                <w:sz w:val="20"/>
                <w:szCs w:val="20"/>
              </w:rPr>
            </w:pPr>
            <w:r w:rsidRPr="00526AF1">
              <w:rPr>
                <w:rFonts w:cs="Arial"/>
                <w:color w:val="333333"/>
                <w:sz w:val="20"/>
                <w:szCs w:val="20"/>
              </w:rPr>
              <w:t>Créditos Especiais</w:t>
            </w:r>
          </w:p>
        </w:tc>
        <w:tc>
          <w:tcPr>
            <w:tcW w:w="984" w:type="pct"/>
            <w:tcBorders>
              <w:top w:val="nil"/>
              <w:left w:val="nil"/>
              <w:bottom w:val="nil"/>
              <w:right w:val="nil"/>
            </w:tcBorders>
            <w:shd w:val="clear" w:color="auto" w:fill="auto"/>
            <w:noWrap/>
            <w:vAlign w:val="center"/>
            <w:hideMark/>
          </w:tcPr>
          <w:p w14:paraId="6D67B274" w14:textId="77777777" w:rsidR="00A96988" w:rsidRPr="00526AF1" w:rsidRDefault="00A96988" w:rsidP="00A96988">
            <w:pPr>
              <w:jc w:val="right"/>
              <w:rPr>
                <w:rFonts w:cs="Arial"/>
                <w:color w:val="000000"/>
                <w:sz w:val="20"/>
                <w:szCs w:val="20"/>
              </w:rPr>
            </w:pPr>
            <w:r w:rsidRPr="00526AF1">
              <w:rPr>
                <w:rFonts w:cs="Arial"/>
                <w:color w:val="000000"/>
                <w:sz w:val="20"/>
                <w:szCs w:val="20"/>
              </w:rPr>
              <w:t xml:space="preserve">444.680.909 </w:t>
            </w:r>
          </w:p>
        </w:tc>
      </w:tr>
      <w:tr w:rsidR="00A96988" w:rsidRPr="00526AF1" w14:paraId="6C9FE774" w14:textId="77777777" w:rsidTr="002B4DEE">
        <w:trPr>
          <w:trHeight w:val="340"/>
          <w:tblHeader/>
        </w:trPr>
        <w:tc>
          <w:tcPr>
            <w:tcW w:w="4016" w:type="pct"/>
            <w:tcBorders>
              <w:top w:val="nil"/>
              <w:left w:val="nil"/>
              <w:bottom w:val="single" w:sz="4" w:space="0" w:color="auto"/>
              <w:right w:val="single" w:sz="4" w:space="0" w:color="auto"/>
            </w:tcBorders>
            <w:shd w:val="clear" w:color="000000" w:fill="FFFFFF"/>
            <w:noWrap/>
            <w:vAlign w:val="center"/>
            <w:hideMark/>
          </w:tcPr>
          <w:p w14:paraId="38A4533D" w14:textId="77777777" w:rsidR="00A96988" w:rsidRPr="00526AF1" w:rsidRDefault="00A96988" w:rsidP="00430111">
            <w:pPr>
              <w:ind w:left="67"/>
              <w:jc w:val="left"/>
              <w:rPr>
                <w:rFonts w:cs="Arial"/>
                <w:color w:val="333333"/>
                <w:sz w:val="20"/>
                <w:szCs w:val="20"/>
              </w:rPr>
            </w:pPr>
            <w:r w:rsidRPr="00526AF1">
              <w:rPr>
                <w:rFonts w:cs="Arial"/>
                <w:color w:val="333333"/>
                <w:sz w:val="20"/>
                <w:szCs w:val="20"/>
              </w:rPr>
              <w:t>(-) Reduções</w:t>
            </w:r>
          </w:p>
        </w:tc>
        <w:tc>
          <w:tcPr>
            <w:tcW w:w="984" w:type="pct"/>
            <w:tcBorders>
              <w:top w:val="nil"/>
              <w:left w:val="nil"/>
              <w:bottom w:val="single" w:sz="4" w:space="0" w:color="auto"/>
              <w:right w:val="nil"/>
            </w:tcBorders>
            <w:shd w:val="clear" w:color="auto" w:fill="auto"/>
            <w:noWrap/>
            <w:vAlign w:val="center"/>
            <w:hideMark/>
          </w:tcPr>
          <w:p w14:paraId="131A223B" w14:textId="77777777" w:rsidR="00A96988" w:rsidRPr="00526AF1" w:rsidRDefault="00A96988" w:rsidP="00A96988">
            <w:pPr>
              <w:jc w:val="right"/>
              <w:rPr>
                <w:rFonts w:cs="Arial"/>
                <w:color w:val="000000"/>
                <w:sz w:val="20"/>
                <w:szCs w:val="20"/>
              </w:rPr>
            </w:pPr>
            <w:r w:rsidRPr="00526AF1">
              <w:rPr>
                <w:rFonts w:cs="Arial"/>
                <w:color w:val="FF0000"/>
                <w:sz w:val="20"/>
                <w:szCs w:val="20"/>
              </w:rPr>
              <w:t>(12.363.395.610)</w:t>
            </w:r>
          </w:p>
        </w:tc>
      </w:tr>
      <w:tr w:rsidR="00A96988" w:rsidRPr="00526AF1" w14:paraId="6850630B" w14:textId="77777777" w:rsidTr="002B4DEE">
        <w:trPr>
          <w:trHeight w:val="340"/>
          <w:tblHeader/>
        </w:trPr>
        <w:tc>
          <w:tcPr>
            <w:tcW w:w="4016" w:type="pct"/>
            <w:tcBorders>
              <w:top w:val="nil"/>
              <w:left w:val="nil"/>
              <w:bottom w:val="single" w:sz="4" w:space="0" w:color="auto"/>
              <w:right w:val="single" w:sz="4" w:space="0" w:color="auto"/>
            </w:tcBorders>
            <w:shd w:val="clear" w:color="auto" w:fill="auto"/>
            <w:noWrap/>
            <w:vAlign w:val="center"/>
            <w:hideMark/>
          </w:tcPr>
          <w:p w14:paraId="4D7F4BEB" w14:textId="77777777" w:rsidR="00A96988" w:rsidRPr="00526AF1" w:rsidRDefault="00A96988" w:rsidP="00A96988">
            <w:pPr>
              <w:jc w:val="center"/>
              <w:rPr>
                <w:rFonts w:cs="Arial"/>
                <w:b/>
                <w:bCs/>
                <w:color w:val="000000"/>
                <w:sz w:val="20"/>
                <w:szCs w:val="20"/>
              </w:rPr>
            </w:pPr>
            <w:r w:rsidRPr="00526AF1">
              <w:rPr>
                <w:rFonts w:cs="Arial"/>
                <w:b/>
                <w:bCs/>
                <w:color w:val="000000"/>
                <w:sz w:val="20"/>
                <w:szCs w:val="20"/>
              </w:rPr>
              <w:t>Orçamento Autorizado</w:t>
            </w:r>
          </w:p>
        </w:tc>
        <w:tc>
          <w:tcPr>
            <w:tcW w:w="984" w:type="pct"/>
            <w:tcBorders>
              <w:top w:val="nil"/>
              <w:left w:val="nil"/>
              <w:bottom w:val="single" w:sz="4" w:space="0" w:color="auto"/>
              <w:right w:val="nil"/>
            </w:tcBorders>
            <w:shd w:val="clear" w:color="auto" w:fill="auto"/>
            <w:noWrap/>
            <w:vAlign w:val="center"/>
            <w:hideMark/>
          </w:tcPr>
          <w:p w14:paraId="27905D19" w14:textId="77777777" w:rsidR="00A96988" w:rsidRPr="00526AF1" w:rsidRDefault="00A96988" w:rsidP="00A96988">
            <w:pPr>
              <w:jc w:val="right"/>
              <w:rPr>
                <w:rFonts w:cs="Arial"/>
                <w:b/>
                <w:bCs/>
                <w:color w:val="000000"/>
                <w:sz w:val="20"/>
                <w:szCs w:val="20"/>
              </w:rPr>
            </w:pPr>
            <w:r w:rsidRPr="00526AF1">
              <w:rPr>
                <w:rFonts w:cs="Arial"/>
                <w:b/>
                <w:bCs/>
                <w:color w:val="000000"/>
                <w:sz w:val="20"/>
                <w:szCs w:val="20"/>
              </w:rPr>
              <w:t xml:space="preserve">47.525.637.211 </w:t>
            </w:r>
          </w:p>
        </w:tc>
      </w:tr>
    </w:tbl>
    <w:p w14:paraId="6EF48A77" w14:textId="07901F10" w:rsidR="00A96988" w:rsidRDefault="00A96988" w:rsidP="00EF01A1">
      <w:pPr>
        <w:pStyle w:val="1-FONTE8ESQ"/>
        <w:rPr>
          <w:rStyle w:val="Forte"/>
          <w:b w:val="0"/>
          <w:bCs w:val="0"/>
        </w:rPr>
      </w:pPr>
      <w:r w:rsidRPr="00F2147B">
        <w:rPr>
          <w:rStyle w:val="Forte"/>
          <w:b w:val="0"/>
          <w:bCs w:val="0"/>
        </w:rPr>
        <w:t xml:space="preserve">Fonte: </w:t>
      </w:r>
      <w:r w:rsidR="0050681E">
        <w:rPr>
          <w:rStyle w:val="Forte"/>
          <w:b w:val="0"/>
          <w:bCs w:val="0"/>
        </w:rPr>
        <w:t xml:space="preserve">Comparativo da Despesa Orçada, Autorizada e Realizada segundo as Categorias Econômicas - </w:t>
      </w:r>
      <w:r w:rsidRPr="00F2147B">
        <w:rPr>
          <w:rStyle w:val="Forte"/>
          <w:b w:val="0"/>
          <w:bCs w:val="0"/>
        </w:rPr>
        <w:t xml:space="preserve">Anexo 2, </w:t>
      </w:r>
      <w:r w:rsidR="00DC30E2" w:rsidRPr="0050681E">
        <w:rPr>
          <w:rStyle w:val="Forte"/>
          <w:b w:val="0"/>
          <w:bCs w:val="0"/>
        </w:rPr>
        <w:t>Demonstrativo de Créditos Adicionais</w:t>
      </w:r>
      <w:r w:rsidR="00DC30E2">
        <w:rPr>
          <w:rStyle w:val="Forte"/>
          <w:b w:val="0"/>
          <w:bCs w:val="0"/>
        </w:rPr>
        <w:t xml:space="preserve"> </w:t>
      </w:r>
      <w:r w:rsidR="00DC30E2" w:rsidRPr="0050681E">
        <w:rPr>
          <w:rStyle w:val="Forte"/>
          <w:b w:val="0"/>
          <w:bCs w:val="0"/>
        </w:rPr>
        <w:t>Abertos</w:t>
      </w:r>
      <w:r w:rsidR="00DC30E2">
        <w:rPr>
          <w:rStyle w:val="Forte"/>
          <w:b w:val="0"/>
          <w:bCs w:val="0"/>
        </w:rPr>
        <w:t xml:space="preserve"> -</w:t>
      </w:r>
      <w:r w:rsidR="005006C9">
        <w:rPr>
          <w:rStyle w:val="Forte"/>
          <w:b w:val="0"/>
          <w:bCs w:val="0"/>
        </w:rPr>
        <w:t xml:space="preserve"> </w:t>
      </w:r>
      <w:r w:rsidRPr="00F2147B">
        <w:rPr>
          <w:rStyle w:val="Forte"/>
          <w:b w:val="0"/>
          <w:bCs w:val="0"/>
        </w:rPr>
        <w:t xml:space="preserve">Anexo 11A, e </w:t>
      </w:r>
      <w:r w:rsidR="0050681E">
        <w:rPr>
          <w:rStyle w:val="Forte"/>
          <w:b w:val="0"/>
          <w:bCs w:val="0"/>
        </w:rPr>
        <w:t>Demonstrativos</w:t>
      </w:r>
      <w:r w:rsidR="005006C9">
        <w:rPr>
          <w:rStyle w:val="Forte"/>
          <w:b w:val="0"/>
          <w:bCs w:val="0"/>
        </w:rPr>
        <w:t xml:space="preserve"> de </w:t>
      </w:r>
      <w:r w:rsidR="0050681E">
        <w:rPr>
          <w:rStyle w:val="Forte"/>
          <w:b w:val="0"/>
          <w:bCs w:val="0"/>
        </w:rPr>
        <w:t>R</w:t>
      </w:r>
      <w:r w:rsidR="005006C9">
        <w:rPr>
          <w:rStyle w:val="Forte"/>
          <w:b w:val="0"/>
          <w:bCs w:val="0"/>
        </w:rPr>
        <w:t xml:space="preserve">eduções de </w:t>
      </w:r>
      <w:r w:rsidR="0050681E">
        <w:rPr>
          <w:rStyle w:val="Forte"/>
          <w:b w:val="0"/>
          <w:bCs w:val="0"/>
        </w:rPr>
        <w:t>C</w:t>
      </w:r>
      <w:r w:rsidR="005006C9">
        <w:rPr>
          <w:rStyle w:val="Forte"/>
          <w:b w:val="0"/>
          <w:bCs w:val="0"/>
        </w:rPr>
        <w:t xml:space="preserve">réditos </w:t>
      </w:r>
      <w:r w:rsidR="0050681E">
        <w:rPr>
          <w:rStyle w:val="Forte"/>
          <w:b w:val="0"/>
          <w:bCs w:val="0"/>
        </w:rPr>
        <w:t xml:space="preserve">- </w:t>
      </w:r>
      <w:r w:rsidRPr="00F2147B">
        <w:rPr>
          <w:rStyle w:val="Forte"/>
          <w:b w:val="0"/>
          <w:bCs w:val="0"/>
        </w:rPr>
        <w:t xml:space="preserve">Anexo 11B </w:t>
      </w:r>
      <w:r>
        <w:rPr>
          <w:rStyle w:val="Forte"/>
          <w:b w:val="0"/>
          <w:bCs w:val="0"/>
        </w:rPr>
        <w:t>(BGE 2023)</w:t>
      </w:r>
    </w:p>
    <w:p w14:paraId="3670DF88" w14:textId="77777777" w:rsidR="00A96988" w:rsidRPr="00863BA5" w:rsidRDefault="00A96988" w:rsidP="00A224E9">
      <w:pPr>
        <w:pStyle w:val="Ttulo3"/>
      </w:pPr>
      <w:bookmarkStart w:id="89" w:name="_Toc135332650"/>
      <w:bookmarkStart w:id="90" w:name="_Toc167871636"/>
      <w:r w:rsidRPr="00863BA5">
        <w:t>Créditos Adicionais</w:t>
      </w:r>
      <w:bookmarkEnd w:id="89"/>
      <w:bookmarkEnd w:id="90"/>
    </w:p>
    <w:p w14:paraId="233C3841" w14:textId="77777777" w:rsidR="00A96988" w:rsidRPr="00031DA9" w:rsidRDefault="00A96988" w:rsidP="00A96988">
      <w:pPr>
        <w:pStyle w:val="1-REL11"/>
      </w:pPr>
      <w:r w:rsidRPr="001D41AF">
        <w:t>A Lei nº 4.320/1964 (arts</w:t>
      </w:r>
      <w:r>
        <w:t>.</w:t>
      </w:r>
      <w:r w:rsidRPr="001D41AF">
        <w:t xml:space="preserve"> 40 e 41) define como créditos adicionais as autorizações de despesas não computadas ou insuficientemente dotadas na Lei de Orçamento e os classificam como suplementares, os destinados a reforço de dotação; especiais, os destinados a despesas para </w:t>
      </w:r>
      <w:r w:rsidRPr="001D41AF">
        <w:lastRenderedPageBreak/>
        <w:t xml:space="preserve">as quais não haja dotação orçamentária específica; e extraordinários, os destinados a </w:t>
      </w:r>
      <w:r w:rsidRPr="00031DA9">
        <w:t>despesas urgentes e imprevistas.</w:t>
      </w:r>
    </w:p>
    <w:p w14:paraId="5846D2E7" w14:textId="77777777" w:rsidR="00A96988" w:rsidRPr="001C08A9" w:rsidRDefault="00A96988" w:rsidP="00A96988">
      <w:pPr>
        <w:pStyle w:val="1-REL11"/>
      </w:pPr>
      <w:r w:rsidRPr="00031DA9">
        <w:t>Um dos requisitos legais para abertura de créditos adicionais é a existência de recursos disponíveis. O art. 43 da mesma lei considera como recursos para abertura de crédito o superávit financeiro, o excesso de arrecadação, a anulação de dotação e as operações de crédito. Além dessas, é permitido utilizar como origem os recursos alocados em Reserva de Contingência</w:t>
      </w:r>
      <w:r w:rsidRPr="00031DA9">
        <w:rPr>
          <w:rStyle w:val="Refdenotaderodap"/>
        </w:rPr>
        <w:footnoteReference w:id="5"/>
      </w:r>
      <w:r w:rsidRPr="00031DA9">
        <w:t xml:space="preserve"> e </w:t>
      </w:r>
      <w:r w:rsidRPr="001C08A9">
        <w:t>os recursos sem despesas correspondentes</w:t>
      </w:r>
      <w:r w:rsidRPr="001C08A9">
        <w:rPr>
          <w:rStyle w:val="Refdenotaderodap"/>
        </w:rPr>
        <w:footnoteReference w:id="6"/>
      </w:r>
      <w:r w:rsidRPr="001C08A9">
        <w:t>.</w:t>
      </w:r>
    </w:p>
    <w:p w14:paraId="3015D816" w14:textId="77777777" w:rsidR="00A96988" w:rsidRPr="001C08A9" w:rsidRDefault="00A96988" w:rsidP="00A96988">
      <w:pPr>
        <w:pStyle w:val="1-REL11"/>
      </w:pPr>
      <w:r w:rsidRPr="001C08A9">
        <w:t>Em 2023, do montante de créditos adicionais abertos durante o exercício, 97,81% foram de natureza Suplementar e 2,19% Especia</w:t>
      </w:r>
      <w:r>
        <w:t>l</w:t>
      </w:r>
      <w:r w:rsidRPr="001C08A9">
        <w:t>, e</w:t>
      </w:r>
      <w:r>
        <w:t xml:space="preserve"> foram indicadas c</w:t>
      </w:r>
      <w:r w:rsidRPr="001C08A9">
        <w:t xml:space="preserve">omo fonte de financiamento </w:t>
      </w:r>
      <w:r>
        <w:t xml:space="preserve">os </w:t>
      </w:r>
      <w:r w:rsidRPr="001C08A9">
        <w:t>recursos disponíveis nas origens apresentadas na tabela seguinte:</w:t>
      </w:r>
    </w:p>
    <w:p w14:paraId="510F9A9C" w14:textId="77777777" w:rsidR="00A96988" w:rsidRPr="00782001" w:rsidRDefault="00A96988" w:rsidP="00ED3571">
      <w:pPr>
        <w:pStyle w:val="0-TABELA"/>
      </w:pPr>
      <w:bookmarkStart w:id="91" w:name="_Toc135332471"/>
      <w:bookmarkStart w:id="92" w:name="_Toc167871742"/>
      <w:r w:rsidRPr="00782001">
        <w:t>Créditos Adicionais por Origem de Recursos</w:t>
      </w:r>
      <w:bookmarkEnd w:id="91"/>
      <w:bookmarkEnd w:id="92"/>
    </w:p>
    <w:p w14:paraId="5EAB2B9C" w14:textId="77777777" w:rsidR="00A96988" w:rsidRDefault="00A96988" w:rsidP="00A96988">
      <w:pPr>
        <w:pStyle w:val="0-EmR1"/>
        <w:rPr>
          <w:highlight w:val="yellow"/>
        </w:rPr>
      </w:pPr>
      <w:r>
        <w:t>R</w:t>
      </w:r>
      <w:r w:rsidRPr="00333D34">
        <w:t>$ 1</w:t>
      </w:r>
    </w:p>
    <w:tbl>
      <w:tblPr>
        <w:tblW w:w="5000" w:type="pct"/>
        <w:tblLayout w:type="fixed"/>
        <w:tblCellMar>
          <w:left w:w="70" w:type="dxa"/>
          <w:right w:w="70" w:type="dxa"/>
        </w:tblCellMar>
        <w:tblLook w:val="04A0" w:firstRow="1" w:lastRow="0" w:firstColumn="1" w:lastColumn="0" w:noHBand="0" w:noVBand="1"/>
      </w:tblPr>
      <w:tblGrid>
        <w:gridCol w:w="6097"/>
        <w:gridCol w:w="1700"/>
        <w:gridCol w:w="1556"/>
      </w:tblGrid>
      <w:tr w:rsidR="00A96988" w:rsidRPr="00423440" w14:paraId="13524239" w14:textId="77777777" w:rsidTr="002B4DEE">
        <w:trPr>
          <w:trHeight w:val="340"/>
          <w:tblHeader/>
        </w:trPr>
        <w:tc>
          <w:tcPr>
            <w:tcW w:w="3259" w:type="pct"/>
            <w:tcBorders>
              <w:top w:val="single" w:sz="4" w:space="0" w:color="auto"/>
              <w:left w:val="nil"/>
              <w:bottom w:val="single" w:sz="4" w:space="0" w:color="auto"/>
              <w:right w:val="single" w:sz="4" w:space="0" w:color="auto"/>
            </w:tcBorders>
            <w:shd w:val="clear" w:color="000000" w:fill="A1F2FD"/>
            <w:vAlign w:val="center"/>
            <w:hideMark/>
          </w:tcPr>
          <w:p w14:paraId="67B4F0D0" w14:textId="77777777" w:rsidR="00A96988" w:rsidRPr="00423440" w:rsidRDefault="00A96988" w:rsidP="00A96988">
            <w:pPr>
              <w:jc w:val="center"/>
              <w:rPr>
                <w:rFonts w:cs="Arial"/>
                <w:b/>
                <w:bCs/>
                <w:color w:val="000000"/>
                <w:sz w:val="20"/>
                <w:szCs w:val="20"/>
              </w:rPr>
            </w:pPr>
            <w:r w:rsidRPr="00423440">
              <w:rPr>
                <w:rFonts w:cs="Arial"/>
                <w:b/>
                <w:bCs/>
                <w:color w:val="000000"/>
                <w:sz w:val="20"/>
                <w:szCs w:val="20"/>
              </w:rPr>
              <w:t>Origem dos Recursos</w:t>
            </w:r>
          </w:p>
        </w:tc>
        <w:tc>
          <w:tcPr>
            <w:tcW w:w="909" w:type="pct"/>
            <w:tcBorders>
              <w:top w:val="single" w:sz="4" w:space="0" w:color="auto"/>
              <w:left w:val="nil"/>
              <w:bottom w:val="single" w:sz="4" w:space="0" w:color="auto"/>
              <w:right w:val="single" w:sz="4" w:space="0" w:color="auto"/>
            </w:tcBorders>
            <w:shd w:val="clear" w:color="000000" w:fill="A1F2FD"/>
            <w:vAlign w:val="center"/>
            <w:hideMark/>
          </w:tcPr>
          <w:p w14:paraId="2387400B" w14:textId="77777777" w:rsidR="00A96988" w:rsidRPr="00423440" w:rsidRDefault="00A96988" w:rsidP="00A96988">
            <w:pPr>
              <w:jc w:val="center"/>
              <w:rPr>
                <w:rFonts w:cs="Arial"/>
                <w:b/>
                <w:bCs/>
                <w:color w:val="000000"/>
                <w:sz w:val="20"/>
                <w:szCs w:val="20"/>
              </w:rPr>
            </w:pPr>
            <w:r w:rsidRPr="00423440">
              <w:rPr>
                <w:rFonts w:cs="Arial"/>
                <w:b/>
                <w:bCs/>
                <w:color w:val="000000"/>
                <w:sz w:val="20"/>
                <w:szCs w:val="20"/>
              </w:rPr>
              <w:t>Valor</w:t>
            </w:r>
          </w:p>
        </w:tc>
        <w:tc>
          <w:tcPr>
            <w:tcW w:w="832" w:type="pct"/>
            <w:tcBorders>
              <w:top w:val="single" w:sz="4" w:space="0" w:color="auto"/>
              <w:left w:val="nil"/>
              <w:bottom w:val="single" w:sz="4" w:space="0" w:color="auto"/>
              <w:right w:val="nil"/>
            </w:tcBorders>
            <w:shd w:val="clear" w:color="000000" w:fill="A1F2FD"/>
            <w:vAlign w:val="center"/>
            <w:hideMark/>
          </w:tcPr>
          <w:p w14:paraId="16B0AFBA" w14:textId="720FBB39" w:rsidR="00A96988" w:rsidRPr="00423440" w:rsidRDefault="00600F4B" w:rsidP="00A96988">
            <w:pPr>
              <w:jc w:val="center"/>
              <w:rPr>
                <w:rFonts w:cs="Arial"/>
                <w:b/>
                <w:bCs/>
                <w:color w:val="000000"/>
                <w:sz w:val="20"/>
                <w:szCs w:val="20"/>
              </w:rPr>
            </w:pPr>
            <w:r w:rsidRPr="00423440">
              <w:rPr>
                <w:rFonts w:cs="Arial"/>
                <w:b/>
                <w:bCs/>
                <w:color w:val="000000"/>
                <w:sz w:val="20"/>
                <w:szCs w:val="20"/>
              </w:rPr>
              <w:t xml:space="preserve">AV </w:t>
            </w:r>
            <w:r w:rsidR="00A96988" w:rsidRPr="00423440">
              <w:rPr>
                <w:rFonts w:cs="Arial"/>
                <w:b/>
                <w:bCs/>
                <w:color w:val="000000"/>
                <w:sz w:val="20"/>
                <w:szCs w:val="20"/>
              </w:rPr>
              <w:t>%</w:t>
            </w:r>
          </w:p>
        </w:tc>
      </w:tr>
      <w:tr w:rsidR="00A96988" w:rsidRPr="00423440" w14:paraId="1770853D" w14:textId="77777777" w:rsidTr="002B4DEE">
        <w:trPr>
          <w:trHeight w:val="340"/>
        </w:trPr>
        <w:tc>
          <w:tcPr>
            <w:tcW w:w="3259" w:type="pct"/>
            <w:tcBorders>
              <w:top w:val="single" w:sz="4" w:space="0" w:color="auto"/>
              <w:left w:val="nil"/>
              <w:bottom w:val="nil"/>
              <w:right w:val="single" w:sz="4" w:space="0" w:color="auto"/>
            </w:tcBorders>
            <w:shd w:val="clear" w:color="auto" w:fill="auto"/>
            <w:noWrap/>
            <w:vAlign w:val="center"/>
            <w:hideMark/>
          </w:tcPr>
          <w:p w14:paraId="55C33B67" w14:textId="77777777" w:rsidR="00A96988" w:rsidRPr="00423440" w:rsidRDefault="00A96988" w:rsidP="00430111">
            <w:pPr>
              <w:ind w:left="67"/>
              <w:jc w:val="left"/>
              <w:rPr>
                <w:rFonts w:cs="Arial"/>
                <w:color w:val="000000"/>
                <w:sz w:val="20"/>
                <w:szCs w:val="20"/>
              </w:rPr>
            </w:pPr>
            <w:r w:rsidRPr="00423440">
              <w:rPr>
                <w:rFonts w:cs="Arial"/>
                <w:color w:val="000000"/>
                <w:sz w:val="20"/>
                <w:szCs w:val="20"/>
              </w:rPr>
              <w:t>Anulação de Dotação</w:t>
            </w:r>
          </w:p>
        </w:tc>
        <w:tc>
          <w:tcPr>
            <w:tcW w:w="909" w:type="pct"/>
            <w:tcBorders>
              <w:top w:val="nil"/>
              <w:left w:val="single" w:sz="4" w:space="0" w:color="auto"/>
              <w:bottom w:val="nil"/>
              <w:right w:val="single" w:sz="4" w:space="0" w:color="auto"/>
            </w:tcBorders>
            <w:shd w:val="clear" w:color="auto" w:fill="auto"/>
            <w:noWrap/>
            <w:vAlign w:val="center"/>
            <w:hideMark/>
          </w:tcPr>
          <w:p w14:paraId="3DCACF2F" w14:textId="77777777" w:rsidR="00A96988" w:rsidRPr="00423440" w:rsidRDefault="00A96988" w:rsidP="00A96988">
            <w:pPr>
              <w:jc w:val="right"/>
              <w:rPr>
                <w:rFonts w:cs="Arial"/>
                <w:color w:val="000000"/>
                <w:sz w:val="20"/>
                <w:szCs w:val="20"/>
              </w:rPr>
            </w:pPr>
            <w:r w:rsidRPr="00423440">
              <w:rPr>
                <w:rFonts w:cs="Arial"/>
                <w:color w:val="000000"/>
                <w:sz w:val="20"/>
                <w:szCs w:val="20"/>
              </w:rPr>
              <w:t>12.087.830.387</w:t>
            </w:r>
          </w:p>
        </w:tc>
        <w:tc>
          <w:tcPr>
            <w:tcW w:w="832" w:type="pct"/>
            <w:tcBorders>
              <w:top w:val="single" w:sz="4" w:space="0" w:color="auto"/>
              <w:left w:val="single" w:sz="4" w:space="0" w:color="auto"/>
              <w:bottom w:val="nil"/>
              <w:right w:val="nil"/>
            </w:tcBorders>
            <w:shd w:val="clear" w:color="auto" w:fill="auto"/>
            <w:noWrap/>
            <w:vAlign w:val="center"/>
            <w:hideMark/>
          </w:tcPr>
          <w:p w14:paraId="287B2614" w14:textId="77777777" w:rsidR="00A96988" w:rsidRPr="00423440" w:rsidRDefault="00A96988" w:rsidP="00A96988">
            <w:pPr>
              <w:jc w:val="center"/>
              <w:rPr>
                <w:rFonts w:cs="Arial"/>
                <w:color w:val="000000"/>
                <w:sz w:val="20"/>
                <w:szCs w:val="20"/>
              </w:rPr>
            </w:pPr>
            <w:r w:rsidRPr="00423440">
              <w:rPr>
                <w:rFonts w:cs="Arial"/>
                <w:color w:val="000000"/>
                <w:sz w:val="20"/>
                <w:szCs w:val="20"/>
              </w:rPr>
              <w:t>59,57</w:t>
            </w:r>
          </w:p>
        </w:tc>
      </w:tr>
      <w:tr w:rsidR="00A96988" w:rsidRPr="00423440" w14:paraId="5B6C55F4" w14:textId="77777777" w:rsidTr="002B4DEE">
        <w:trPr>
          <w:trHeight w:val="340"/>
        </w:trPr>
        <w:tc>
          <w:tcPr>
            <w:tcW w:w="3259" w:type="pct"/>
            <w:tcBorders>
              <w:top w:val="nil"/>
              <w:left w:val="nil"/>
              <w:bottom w:val="nil"/>
              <w:right w:val="single" w:sz="4" w:space="0" w:color="auto"/>
            </w:tcBorders>
            <w:shd w:val="clear" w:color="auto" w:fill="auto"/>
            <w:noWrap/>
            <w:vAlign w:val="center"/>
            <w:hideMark/>
          </w:tcPr>
          <w:p w14:paraId="52B442EF" w14:textId="77777777" w:rsidR="00A96988" w:rsidRPr="00423440" w:rsidRDefault="00A96988" w:rsidP="00430111">
            <w:pPr>
              <w:ind w:left="67"/>
              <w:jc w:val="left"/>
              <w:rPr>
                <w:rFonts w:cs="Arial"/>
                <w:color w:val="000000"/>
                <w:sz w:val="20"/>
                <w:szCs w:val="20"/>
              </w:rPr>
            </w:pPr>
            <w:r w:rsidRPr="00423440">
              <w:rPr>
                <w:rFonts w:cs="Arial"/>
                <w:color w:val="000000"/>
                <w:sz w:val="20"/>
                <w:szCs w:val="20"/>
              </w:rPr>
              <w:t>Superávit Financeiro Tesouro</w:t>
            </w:r>
          </w:p>
        </w:tc>
        <w:tc>
          <w:tcPr>
            <w:tcW w:w="909" w:type="pct"/>
            <w:tcBorders>
              <w:top w:val="nil"/>
              <w:left w:val="nil"/>
              <w:bottom w:val="nil"/>
              <w:right w:val="single" w:sz="4" w:space="0" w:color="auto"/>
            </w:tcBorders>
            <w:shd w:val="clear" w:color="auto" w:fill="auto"/>
            <w:noWrap/>
            <w:vAlign w:val="center"/>
            <w:hideMark/>
          </w:tcPr>
          <w:p w14:paraId="6878B97E" w14:textId="77777777" w:rsidR="00A96988" w:rsidRPr="00423440" w:rsidRDefault="00A96988" w:rsidP="00A96988">
            <w:pPr>
              <w:jc w:val="right"/>
              <w:rPr>
                <w:rFonts w:cs="Arial"/>
                <w:color w:val="000000"/>
                <w:sz w:val="20"/>
                <w:szCs w:val="20"/>
              </w:rPr>
            </w:pPr>
            <w:r w:rsidRPr="00423440">
              <w:rPr>
                <w:rFonts w:cs="Arial"/>
                <w:color w:val="000000"/>
                <w:sz w:val="20"/>
                <w:szCs w:val="20"/>
              </w:rPr>
              <w:t>3.409.021.391</w:t>
            </w:r>
          </w:p>
        </w:tc>
        <w:tc>
          <w:tcPr>
            <w:tcW w:w="832" w:type="pct"/>
            <w:tcBorders>
              <w:top w:val="nil"/>
              <w:left w:val="nil"/>
              <w:bottom w:val="nil"/>
              <w:right w:val="nil"/>
            </w:tcBorders>
            <w:shd w:val="clear" w:color="auto" w:fill="auto"/>
            <w:noWrap/>
            <w:vAlign w:val="center"/>
            <w:hideMark/>
          </w:tcPr>
          <w:p w14:paraId="7A70FB79" w14:textId="77777777" w:rsidR="00A96988" w:rsidRPr="00423440" w:rsidRDefault="00A96988" w:rsidP="00A96988">
            <w:pPr>
              <w:jc w:val="center"/>
              <w:rPr>
                <w:rFonts w:cs="Arial"/>
                <w:color w:val="000000"/>
                <w:sz w:val="20"/>
                <w:szCs w:val="20"/>
              </w:rPr>
            </w:pPr>
            <w:r w:rsidRPr="00423440">
              <w:rPr>
                <w:rFonts w:cs="Arial"/>
                <w:color w:val="000000"/>
                <w:sz w:val="20"/>
                <w:szCs w:val="20"/>
              </w:rPr>
              <w:t>16,80</w:t>
            </w:r>
          </w:p>
        </w:tc>
      </w:tr>
      <w:tr w:rsidR="00A96988" w:rsidRPr="00423440" w14:paraId="158C37FF" w14:textId="77777777" w:rsidTr="002B4DEE">
        <w:trPr>
          <w:trHeight w:val="340"/>
        </w:trPr>
        <w:tc>
          <w:tcPr>
            <w:tcW w:w="3259" w:type="pct"/>
            <w:tcBorders>
              <w:top w:val="nil"/>
              <w:left w:val="nil"/>
              <w:bottom w:val="nil"/>
              <w:right w:val="single" w:sz="4" w:space="0" w:color="auto"/>
            </w:tcBorders>
            <w:shd w:val="clear" w:color="auto" w:fill="auto"/>
            <w:noWrap/>
            <w:vAlign w:val="center"/>
            <w:hideMark/>
          </w:tcPr>
          <w:p w14:paraId="662A5B5D" w14:textId="77777777" w:rsidR="00A96988" w:rsidRPr="00423440" w:rsidRDefault="00A96988" w:rsidP="00430111">
            <w:pPr>
              <w:ind w:left="67"/>
              <w:jc w:val="left"/>
              <w:rPr>
                <w:rFonts w:cs="Arial"/>
                <w:color w:val="000000"/>
                <w:sz w:val="20"/>
                <w:szCs w:val="20"/>
              </w:rPr>
            </w:pPr>
            <w:r w:rsidRPr="00423440">
              <w:rPr>
                <w:rFonts w:cs="Arial"/>
                <w:color w:val="000000"/>
                <w:sz w:val="20"/>
                <w:szCs w:val="20"/>
              </w:rPr>
              <w:t>Superávit Financeiro Diretamente Arrecadado</w:t>
            </w:r>
          </w:p>
        </w:tc>
        <w:tc>
          <w:tcPr>
            <w:tcW w:w="909" w:type="pct"/>
            <w:tcBorders>
              <w:top w:val="nil"/>
              <w:left w:val="nil"/>
              <w:bottom w:val="nil"/>
              <w:right w:val="single" w:sz="4" w:space="0" w:color="auto"/>
            </w:tcBorders>
            <w:shd w:val="clear" w:color="auto" w:fill="auto"/>
            <w:noWrap/>
            <w:vAlign w:val="center"/>
            <w:hideMark/>
          </w:tcPr>
          <w:p w14:paraId="01FFE3F1" w14:textId="77777777" w:rsidR="00A96988" w:rsidRPr="00423440" w:rsidRDefault="00A96988" w:rsidP="00A96988">
            <w:pPr>
              <w:jc w:val="right"/>
              <w:rPr>
                <w:rFonts w:cs="Arial"/>
                <w:color w:val="000000"/>
                <w:sz w:val="20"/>
                <w:szCs w:val="20"/>
              </w:rPr>
            </w:pPr>
            <w:r w:rsidRPr="00423440">
              <w:rPr>
                <w:rFonts w:cs="Arial"/>
                <w:color w:val="000000"/>
                <w:sz w:val="20"/>
                <w:szCs w:val="20"/>
              </w:rPr>
              <w:t>3.150.995.457</w:t>
            </w:r>
          </w:p>
        </w:tc>
        <w:tc>
          <w:tcPr>
            <w:tcW w:w="832" w:type="pct"/>
            <w:tcBorders>
              <w:top w:val="nil"/>
              <w:left w:val="nil"/>
              <w:bottom w:val="nil"/>
              <w:right w:val="nil"/>
            </w:tcBorders>
            <w:shd w:val="clear" w:color="auto" w:fill="auto"/>
            <w:noWrap/>
            <w:vAlign w:val="center"/>
            <w:hideMark/>
          </w:tcPr>
          <w:p w14:paraId="50D85045" w14:textId="77777777" w:rsidR="00A96988" w:rsidRPr="00423440" w:rsidRDefault="00A96988" w:rsidP="00A96988">
            <w:pPr>
              <w:jc w:val="center"/>
              <w:rPr>
                <w:rFonts w:cs="Arial"/>
                <w:color w:val="000000"/>
                <w:sz w:val="20"/>
                <w:szCs w:val="20"/>
              </w:rPr>
            </w:pPr>
            <w:r w:rsidRPr="00423440">
              <w:rPr>
                <w:rFonts w:cs="Arial"/>
                <w:color w:val="000000"/>
                <w:sz w:val="20"/>
                <w:szCs w:val="20"/>
              </w:rPr>
              <w:t>15,53</w:t>
            </w:r>
          </w:p>
        </w:tc>
      </w:tr>
      <w:tr w:rsidR="00A96988" w:rsidRPr="00423440" w14:paraId="56B2B572" w14:textId="77777777" w:rsidTr="002B4DEE">
        <w:trPr>
          <w:trHeight w:val="340"/>
        </w:trPr>
        <w:tc>
          <w:tcPr>
            <w:tcW w:w="3259" w:type="pct"/>
            <w:tcBorders>
              <w:top w:val="nil"/>
              <w:left w:val="nil"/>
              <w:bottom w:val="nil"/>
              <w:right w:val="single" w:sz="4" w:space="0" w:color="auto"/>
            </w:tcBorders>
            <w:shd w:val="clear" w:color="auto" w:fill="auto"/>
            <w:noWrap/>
            <w:vAlign w:val="center"/>
            <w:hideMark/>
          </w:tcPr>
          <w:p w14:paraId="3F4CDC59" w14:textId="77777777" w:rsidR="00A96988" w:rsidRPr="00423440" w:rsidRDefault="00A96988" w:rsidP="00430111">
            <w:pPr>
              <w:ind w:left="67"/>
              <w:jc w:val="left"/>
              <w:rPr>
                <w:rFonts w:cs="Arial"/>
                <w:color w:val="000000"/>
                <w:sz w:val="20"/>
                <w:szCs w:val="20"/>
              </w:rPr>
            </w:pPr>
            <w:r w:rsidRPr="00423440">
              <w:rPr>
                <w:rFonts w:cs="Arial"/>
                <w:color w:val="000000"/>
                <w:sz w:val="20"/>
                <w:szCs w:val="20"/>
              </w:rPr>
              <w:t>Excesso de Arrecadação</w:t>
            </w:r>
          </w:p>
        </w:tc>
        <w:tc>
          <w:tcPr>
            <w:tcW w:w="909" w:type="pct"/>
            <w:tcBorders>
              <w:top w:val="nil"/>
              <w:left w:val="nil"/>
              <w:bottom w:val="nil"/>
              <w:right w:val="single" w:sz="4" w:space="0" w:color="auto"/>
            </w:tcBorders>
            <w:shd w:val="clear" w:color="auto" w:fill="auto"/>
            <w:noWrap/>
            <w:vAlign w:val="center"/>
            <w:hideMark/>
          </w:tcPr>
          <w:p w14:paraId="02AE0A58" w14:textId="77777777" w:rsidR="00A96988" w:rsidRPr="00423440" w:rsidRDefault="00A96988" w:rsidP="00A96988">
            <w:pPr>
              <w:jc w:val="right"/>
              <w:rPr>
                <w:rFonts w:cs="Arial"/>
                <w:color w:val="000000"/>
                <w:sz w:val="20"/>
                <w:szCs w:val="20"/>
              </w:rPr>
            </w:pPr>
            <w:r w:rsidRPr="00423440">
              <w:rPr>
                <w:rFonts w:cs="Arial"/>
                <w:color w:val="000000"/>
                <w:sz w:val="20"/>
                <w:szCs w:val="20"/>
              </w:rPr>
              <w:t>974.279.225</w:t>
            </w:r>
          </w:p>
        </w:tc>
        <w:tc>
          <w:tcPr>
            <w:tcW w:w="832" w:type="pct"/>
            <w:tcBorders>
              <w:top w:val="nil"/>
              <w:left w:val="nil"/>
              <w:bottom w:val="nil"/>
              <w:right w:val="nil"/>
            </w:tcBorders>
            <w:shd w:val="clear" w:color="auto" w:fill="auto"/>
            <w:noWrap/>
            <w:vAlign w:val="center"/>
            <w:hideMark/>
          </w:tcPr>
          <w:p w14:paraId="69CF746F" w14:textId="77777777" w:rsidR="00A96988" w:rsidRPr="00423440" w:rsidRDefault="00A96988" w:rsidP="00A96988">
            <w:pPr>
              <w:jc w:val="center"/>
              <w:rPr>
                <w:rFonts w:cs="Arial"/>
                <w:color w:val="000000"/>
                <w:sz w:val="20"/>
                <w:szCs w:val="20"/>
              </w:rPr>
            </w:pPr>
            <w:r w:rsidRPr="00423440">
              <w:rPr>
                <w:rFonts w:cs="Arial"/>
                <w:color w:val="000000"/>
                <w:sz w:val="20"/>
                <w:szCs w:val="20"/>
              </w:rPr>
              <w:t>4,80</w:t>
            </w:r>
          </w:p>
        </w:tc>
      </w:tr>
      <w:tr w:rsidR="00A96988" w:rsidRPr="00423440" w14:paraId="1FCD121C" w14:textId="77777777" w:rsidTr="002B4DEE">
        <w:trPr>
          <w:trHeight w:val="340"/>
        </w:trPr>
        <w:tc>
          <w:tcPr>
            <w:tcW w:w="3259" w:type="pct"/>
            <w:tcBorders>
              <w:top w:val="nil"/>
              <w:left w:val="nil"/>
              <w:bottom w:val="nil"/>
              <w:right w:val="single" w:sz="4" w:space="0" w:color="auto"/>
            </w:tcBorders>
            <w:shd w:val="clear" w:color="auto" w:fill="auto"/>
            <w:noWrap/>
            <w:vAlign w:val="center"/>
            <w:hideMark/>
          </w:tcPr>
          <w:p w14:paraId="20E7AF35" w14:textId="77777777" w:rsidR="00A96988" w:rsidRPr="00423440" w:rsidRDefault="00A96988" w:rsidP="00430111">
            <w:pPr>
              <w:ind w:left="67"/>
              <w:jc w:val="left"/>
              <w:rPr>
                <w:rFonts w:cs="Arial"/>
                <w:color w:val="000000"/>
                <w:sz w:val="20"/>
                <w:szCs w:val="20"/>
              </w:rPr>
            </w:pPr>
            <w:r w:rsidRPr="00423440">
              <w:rPr>
                <w:rFonts w:cs="Arial"/>
                <w:color w:val="000000"/>
                <w:sz w:val="20"/>
                <w:szCs w:val="20"/>
              </w:rPr>
              <w:t>Reserva de Contingência Tesouro</w:t>
            </w:r>
          </w:p>
        </w:tc>
        <w:tc>
          <w:tcPr>
            <w:tcW w:w="909" w:type="pct"/>
            <w:tcBorders>
              <w:top w:val="nil"/>
              <w:left w:val="nil"/>
              <w:bottom w:val="nil"/>
              <w:right w:val="single" w:sz="4" w:space="0" w:color="auto"/>
            </w:tcBorders>
            <w:shd w:val="clear" w:color="auto" w:fill="auto"/>
            <w:noWrap/>
            <w:vAlign w:val="center"/>
            <w:hideMark/>
          </w:tcPr>
          <w:p w14:paraId="73394118" w14:textId="77777777" w:rsidR="00A96988" w:rsidRPr="00423440" w:rsidRDefault="00A96988" w:rsidP="00A96988">
            <w:pPr>
              <w:jc w:val="right"/>
              <w:rPr>
                <w:rFonts w:cs="Arial"/>
                <w:color w:val="000000"/>
                <w:sz w:val="20"/>
                <w:szCs w:val="20"/>
              </w:rPr>
            </w:pPr>
            <w:r w:rsidRPr="00423440">
              <w:rPr>
                <w:rFonts w:cs="Arial"/>
                <w:color w:val="000000"/>
                <w:sz w:val="20"/>
                <w:szCs w:val="20"/>
              </w:rPr>
              <w:t>275.565.223</w:t>
            </w:r>
          </w:p>
        </w:tc>
        <w:tc>
          <w:tcPr>
            <w:tcW w:w="832" w:type="pct"/>
            <w:tcBorders>
              <w:top w:val="nil"/>
              <w:left w:val="nil"/>
              <w:bottom w:val="nil"/>
              <w:right w:val="nil"/>
            </w:tcBorders>
            <w:shd w:val="clear" w:color="auto" w:fill="auto"/>
            <w:noWrap/>
            <w:vAlign w:val="center"/>
            <w:hideMark/>
          </w:tcPr>
          <w:p w14:paraId="76832270" w14:textId="77777777" w:rsidR="00A96988" w:rsidRPr="00423440" w:rsidRDefault="00A96988" w:rsidP="00A96988">
            <w:pPr>
              <w:jc w:val="center"/>
              <w:rPr>
                <w:rFonts w:cs="Arial"/>
                <w:color w:val="000000"/>
                <w:sz w:val="20"/>
                <w:szCs w:val="20"/>
              </w:rPr>
            </w:pPr>
            <w:r w:rsidRPr="00423440">
              <w:rPr>
                <w:rFonts w:cs="Arial"/>
                <w:color w:val="000000"/>
                <w:sz w:val="20"/>
                <w:szCs w:val="20"/>
              </w:rPr>
              <w:t>1,36</w:t>
            </w:r>
          </w:p>
        </w:tc>
      </w:tr>
      <w:tr w:rsidR="00A96988" w:rsidRPr="00423440" w14:paraId="04E76464" w14:textId="77777777" w:rsidTr="002B4DEE">
        <w:trPr>
          <w:trHeight w:val="340"/>
        </w:trPr>
        <w:tc>
          <w:tcPr>
            <w:tcW w:w="3259" w:type="pct"/>
            <w:tcBorders>
              <w:top w:val="nil"/>
              <w:left w:val="nil"/>
              <w:bottom w:val="nil"/>
              <w:right w:val="single" w:sz="4" w:space="0" w:color="auto"/>
            </w:tcBorders>
            <w:shd w:val="clear" w:color="auto" w:fill="auto"/>
            <w:noWrap/>
            <w:vAlign w:val="center"/>
            <w:hideMark/>
          </w:tcPr>
          <w:p w14:paraId="193C738C" w14:textId="77777777" w:rsidR="00A96988" w:rsidRPr="00423440" w:rsidRDefault="00A96988" w:rsidP="00430111">
            <w:pPr>
              <w:ind w:left="67"/>
              <w:jc w:val="left"/>
              <w:rPr>
                <w:rFonts w:cs="Arial"/>
                <w:color w:val="000000"/>
                <w:sz w:val="20"/>
                <w:szCs w:val="20"/>
              </w:rPr>
            </w:pPr>
            <w:r w:rsidRPr="00423440">
              <w:rPr>
                <w:rFonts w:cs="Arial"/>
                <w:color w:val="000000"/>
                <w:sz w:val="20"/>
                <w:szCs w:val="20"/>
              </w:rPr>
              <w:t>Excesso de Arrecadação Tendência</w:t>
            </w:r>
          </w:p>
        </w:tc>
        <w:tc>
          <w:tcPr>
            <w:tcW w:w="909" w:type="pct"/>
            <w:tcBorders>
              <w:top w:val="nil"/>
              <w:left w:val="nil"/>
              <w:bottom w:val="nil"/>
              <w:right w:val="single" w:sz="4" w:space="0" w:color="auto"/>
            </w:tcBorders>
            <w:shd w:val="clear" w:color="auto" w:fill="auto"/>
            <w:noWrap/>
            <w:vAlign w:val="center"/>
            <w:hideMark/>
          </w:tcPr>
          <w:p w14:paraId="3F297E41" w14:textId="77777777" w:rsidR="00A96988" w:rsidRPr="00423440" w:rsidRDefault="00A96988" w:rsidP="00A96988">
            <w:pPr>
              <w:jc w:val="right"/>
              <w:rPr>
                <w:rFonts w:cs="Arial"/>
                <w:color w:val="000000"/>
                <w:sz w:val="20"/>
                <w:szCs w:val="20"/>
              </w:rPr>
            </w:pPr>
            <w:r w:rsidRPr="00423440">
              <w:rPr>
                <w:rFonts w:cs="Arial"/>
                <w:color w:val="000000"/>
                <w:sz w:val="20"/>
                <w:szCs w:val="20"/>
              </w:rPr>
              <w:t>224.885.805</w:t>
            </w:r>
          </w:p>
        </w:tc>
        <w:tc>
          <w:tcPr>
            <w:tcW w:w="832" w:type="pct"/>
            <w:tcBorders>
              <w:top w:val="nil"/>
              <w:left w:val="nil"/>
              <w:bottom w:val="nil"/>
              <w:right w:val="nil"/>
            </w:tcBorders>
            <w:shd w:val="clear" w:color="auto" w:fill="auto"/>
            <w:noWrap/>
            <w:vAlign w:val="center"/>
            <w:hideMark/>
          </w:tcPr>
          <w:p w14:paraId="35DD4686" w14:textId="77777777" w:rsidR="00A96988" w:rsidRPr="00423440" w:rsidRDefault="00A96988" w:rsidP="00A96988">
            <w:pPr>
              <w:jc w:val="center"/>
              <w:rPr>
                <w:rFonts w:cs="Arial"/>
                <w:color w:val="000000"/>
                <w:sz w:val="20"/>
                <w:szCs w:val="20"/>
              </w:rPr>
            </w:pPr>
            <w:r w:rsidRPr="00423440">
              <w:rPr>
                <w:rFonts w:cs="Arial"/>
                <w:color w:val="000000"/>
                <w:sz w:val="20"/>
                <w:szCs w:val="20"/>
              </w:rPr>
              <w:t>1,11</w:t>
            </w:r>
          </w:p>
        </w:tc>
      </w:tr>
      <w:tr w:rsidR="00A96988" w:rsidRPr="00423440" w14:paraId="3A88B006" w14:textId="77777777" w:rsidTr="002B4DEE">
        <w:trPr>
          <w:trHeight w:val="340"/>
        </w:trPr>
        <w:tc>
          <w:tcPr>
            <w:tcW w:w="3259" w:type="pct"/>
            <w:tcBorders>
              <w:top w:val="nil"/>
              <w:left w:val="nil"/>
              <w:bottom w:val="nil"/>
              <w:right w:val="single" w:sz="4" w:space="0" w:color="auto"/>
            </w:tcBorders>
            <w:shd w:val="clear" w:color="auto" w:fill="auto"/>
            <w:noWrap/>
            <w:vAlign w:val="center"/>
            <w:hideMark/>
          </w:tcPr>
          <w:p w14:paraId="3C02FE69" w14:textId="77777777" w:rsidR="00A96988" w:rsidRPr="00423440" w:rsidRDefault="00A96988" w:rsidP="00430111">
            <w:pPr>
              <w:ind w:left="67"/>
              <w:jc w:val="left"/>
              <w:rPr>
                <w:rFonts w:cs="Arial"/>
                <w:color w:val="000000"/>
                <w:sz w:val="20"/>
                <w:szCs w:val="20"/>
              </w:rPr>
            </w:pPr>
            <w:r w:rsidRPr="00423440">
              <w:rPr>
                <w:rFonts w:cs="Arial"/>
                <w:color w:val="000000"/>
                <w:sz w:val="20"/>
                <w:szCs w:val="20"/>
              </w:rPr>
              <w:t>Convênios, Ajustes e Acordos</w:t>
            </w:r>
          </w:p>
        </w:tc>
        <w:tc>
          <w:tcPr>
            <w:tcW w:w="909" w:type="pct"/>
            <w:tcBorders>
              <w:top w:val="nil"/>
              <w:left w:val="nil"/>
              <w:bottom w:val="nil"/>
              <w:right w:val="single" w:sz="4" w:space="0" w:color="auto"/>
            </w:tcBorders>
            <w:shd w:val="clear" w:color="auto" w:fill="auto"/>
            <w:noWrap/>
            <w:vAlign w:val="center"/>
            <w:hideMark/>
          </w:tcPr>
          <w:p w14:paraId="59E6D0D1" w14:textId="77777777" w:rsidR="00A96988" w:rsidRPr="00423440" w:rsidRDefault="00A96988" w:rsidP="00A96988">
            <w:pPr>
              <w:jc w:val="right"/>
              <w:rPr>
                <w:rFonts w:cs="Arial"/>
                <w:color w:val="000000"/>
                <w:sz w:val="20"/>
                <w:szCs w:val="20"/>
              </w:rPr>
            </w:pPr>
            <w:r w:rsidRPr="00423440">
              <w:rPr>
                <w:rFonts w:cs="Arial"/>
                <w:color w:val="000000"/>
                <w:sz w:val="20"/>
                <w:szCs w:val="20"/>
              </w:rPr>
              <w:t>157.852.556</w:t>
            </w:r>
          </w:p>
        </w:tc>
        <w:tc>
          <w:tcPr>
            <w:tcW w:w="832" w:type="pct"/>
            <w:tcBorders>
              <w:top w:val="nil"/>
              <w:left w:val="nil"/>
              <w:bottom w:val="nil"/>
              <w:right w:val="nil"/>
            </w:tcBorders>
            <w:shd w:val="clear" w:color="auto" w:fill="auto"/>
            <w:noWrap/>
            <w:vAlign w:val="center"/>
            <w:hideMark/>
          </w:tcPr>
          <w:p w14:paraId="06E5D77E" w14:textId="77777777" w:rsidR="00A96988" w:rsidRPr="00423440" w:rsidRDefault="00A96988" w:rsidP="00A96988">
            <w:pPr>
              <w:jc w:val="center"/>
              <w:rPr>
                <w:rFonts w:cs="Arial"/>
                <w:color w:val="000000"/>
                <w:sz w:val="20"/>
                <w:szCs w:val="20"/>
              </w:rPr>
            </w:pPr>
            <w:r w:rsidRPr="00423440">
              <w:rPr>
                <w:rFonts w:cs="Arial"/>
                <w:color w:val="000000"/>
                <w:sz w:val="20"/>
                <w:szCs w:val="20"/>
              </w:rPr>
              <w:t>0,78</w:t>
            </w:r>
          </w:p>
        </w:tc>
      </w:tr>
      <w:tr w:rsidR="00A96988" w:rsidRPr="00423440" w14:paraId="7CF36CD6" w14:textId="77777777" w:rsidTr="002B4DEE">
        <w:trPr>
          <w:trHeight w:val="340"/>
        </w:trPr>
        <w:tc>
          <w:tcPr>
            <w:tcW w:w="3259" w:type="pct"/>
            <w:tcBorders>
              <w:top w:val="nil"/>
              <w:left w:val="nil"/>
              <w:bottom w:val="nil"/>
              <w:right w:val="single" w:sz="4" w:space="0" w:color="auto"/>
            </w:tcBorders>
            <w:shd w:val="clear" w:color="auto" w:fill="auto"/>
            <w:noWrap/>
            <w:vAlign w:val="center"/>
            <w:hideMark/>
          </w:tcPr>
          <w:p w14:paraId="28D5B950" w14:textId="77777777" w:rsidR="00A96988" w:rsidRPr="00423440" w:rsidRDefault="00A96988" w:rsidP="00430111">
            <w:pPr>
              <w:ind w:left="67"/>
              <w:jc w:val="left"/>
              <w:rPr>
                <w:rFonts w:cs="Arial"/>
                <w:color w:val="000000"/>
                <w:sz w:val="20"/>
                <w:szCs w:val="20"/>
              </w:rPr>
            </w:pPr>
            <w:r w:rsidRPr="00423440">
              <w:rPr>
                <w:rFonts w:cs="Arial"/>
                <w:color w:val="000000"/>
                <w:sz w:val="20"/>
                <w:szCs w:val="20"/>
              </w:rPr>
              <w:t>Superávit de Cancelamento de Restos a Pagar</w:t>
            </w:r>
          </w:p>
        </w:tc>
        <w:tc>
          <w:tcPr>
            <w:tcW w:w="909" w:type="pct"/>
            <w:tcBorders>
              <w:top w:val="nil"/>
              <w:left w:val="nil"/>
              <w:bottom w:val="nil"/>
              <w:right w:val="single" w:sz="4" w:space="0" w:color="auto"/>
            </w:tcBorders>
            <w:shd w:val="clear" w:color="auto" w:fill="auto"/>
            <w:noWrap/>
            <w:vAlign w:val="center"/>
            <w:hideMark/>
          </w:tcPr>
          <w:p w14:paraId="2A32F174" w14:textId="77777777" w:rsidR="00A96988" w:rsidRPr="00423440" w:rsidRDefault="00A96988" w:rsidP="00A96988">
            <w:pPr>
              <w:jc w:val="right"/>
              <w:rPr>
                <w:rFonts w:cs="Arial"/>
                <w:color w:val="000000"/>
                <w:sz w:val="20"/>
                <w:szCs w:val="20"/>
              </w:rPr>
            </w:pPr>
            <w:r w:rsidRPr="00423440">
              <w:rPr>
                <w:rFonts w:cs="Arial"/>
                <w:color w:val="000000"/>
                <w:sz w:val="20"/>
                <w:szCs w:val="20"/>
              </w:rPr>
              <w:t>9.487.879</w:t>
            </w:r>
          </w:p>
        </w:tc>
        <w:tc>
          <w:tcPr>
            <w:tcW w:w="832" w:type="pct"/>
            <w:tcBorders>
              <w:top w:val="nil"/>
              <w:left w:val="nil"/>
              <w:bottom w:val="nil"/>
              <w:right w:val="nil"/>
            </w:tcBorders>
            <w:shd w:val="clear" w:color="auto" w:fill="auto"/>
            <w:noWrap/>
            <w:vAlign w:val="center"/>
            <w:hideMark/>
          </w:tcPr>
          <w:p w14:paraId="7F65BC3D" w14:textId="77777777" w:rsidR="00A96988" w:rsidRPr="00423440" w:rsidRDefault="00A96988" w:rsidP="00A96988">
            <w:pPr>
              <w:jc w:val="center"/>
              <w:rPr>
                <w:rFonts w:cs="Arial"/>
                <w:color w:val="000000"/>
                <w:sz w:val="20"/>
                <w:szCs w:val="20"/>
              </w:rPr>
            </w:pPr>
            <w:r w:rsidRPr="00423440">
              <w:rPr>
                <w:rFonts w:cs="Arial"/>
                <w:color w:val="000000"/>
                <w:sz w:val="20"/>
                <w:szCs w:val="20"/>
              </w:rPr>
              <w:t>0,05</w:t>
            </w:r>
          </w:p>
        </w:tc>
      </w:tr>
      <w:tr w:rsidR="00A96988" w:rsidRPr="00423440" w14:paraId="3E27552C" w14:textId="77777777" w:rsidTr="002B4DEE">
        <w:trPr>
          <w:trHeight w:val="340"/>
        </w:trPr>
        <w:tc>
          <w:tcPr>
            <w:tcW w:w="3259" w:type="pct"/>
            <w:tcBorders>
              <w:top w:val="nil"/>
              <w:left w:val="nil"/>
              <w:bottom w:val="nil"/>
              <w:right w:val="single" w:sz="4" w:space="0" w:color="auto"/>
            </w:tcBorders>
            <w:shd w:val="clear" w:color="auto" w:fill="auto"/>
            <w:noWrap/>
            <w:vAlign w:val="center"/>
            <w:hideMark/>
          </w:tcPr>
          <w:p w14:paraId="21A3578A" w14:textId="77777777" w:rsidR="00A96988" w:rsidRPr="00423440" w:rsidRDefault="00A96988" w:rsidP="00430111">
            <w:pPr>
              <w:ind w:left="67"/>
              <w:jc w:val="left"/>
              <w:rPr>
                <w:rFonts w:cs="Arial"/>
                <w:color w:val="000000"/>
                <w:sz w:val="20"/>
                <w:szCs w:val="20"/>
              </w:rPr>
            </w:pPr>
            <w:r w:rsidRPr="00423440">
              <w:rPr>
                <w:rFonts w:cs="Arial"/>
                <w:color w:val="000000"/>
                <w:sz w:val="20"/>
                <w:szCs w:val="20"/>
              </w:rPr>
              <w:t>Convênios, Ajustes e Acordos por Excesso de Arrecadação</w:t>
            </w:r>
          </w:p>
        </w:tc>
        <w:tc>
          <w:tcPr>
            <w:tcW w:w="909" w:type="pct"/>
            <w:tcBorders>
              <w:top w:val="nil"/>
              <w:left w:val="nil"/>
              <w:bottom w:val="nil"/>
              <w:right w:val="single" w:sz="4" w:space="0" w:color="auto"/>
            </w:tcBorders>
            <w:shd w:val="clear" w:color="auto" w:fill="auto"/>
            <w:noWrap/>
            <w:vAlign w:val="center"/>
            <w:hideMark/>
          </w:tcPr>
          <w:p w14:paraId="1261FE1C" w14:textId="77777777" w:rsidR="00A96988" w:rsidRPr="00423440" w:rsidRDefault="00A96988" w:rsidP="00A96988">
            <w:pPr>
              <w:jc w:val="right"/>
              <w:rPr>
                <w:rFonts w:cs="Arial"/>
                <w:color w:val="000000"/>
                <w:sz w:val="20"/>
                <w:szCs w:val="20"/>
              </w:rPr>
            </w:pPr>
            <w:r w:rsidRPr="00423440">
              <w:rPr>
                <w:rFonts w:cs="Arial"/>
                <w:color w:val="000000"/>
                <w:sz w:val="20"/>
                <w:szCs w:val="20"/>
              </w:rPr>
              <w:t>1.948.898</w:t>
            </w:r>
          </w:p>
        </w:tc>
        <w:tc>
          <w:tcPr>
            <w:tcW w:w="832" w:type="pct"/>
            <w:tcBorders>
              <w:top w:val="nil"/>
              <w:left w:val="nil"/>
              <w:bottom w:val="nil"/>
              <w:right w:val="nil"/>
            </w:tcBorders>
            <w:shd w:val="clear" w:color="auto" w:fill="auto"/>
            <w:noWrap/>
            <w:vAlign w:val="center"/>
            <w:hideMark/>
          </w:tcPr>
          <w:p w14:paraId="545E3BC2" w14:textId="77777777" w:rsidR="00A96988" w:rsidRPr="00423440" w:rsidRDefault="00A96988" w:rsidP="00A96988">
            <w:pPr>
              <w:jc w:val="center"/>
              <w:rPr>
                <w:rFonts w:cs="Arial"/>
                <w:color w:val="000000"/>
                <w:sz w:val="20"/>
                <w:szCs w:val="20"/>
              </w:rPr>
            </w:pPr>
            <w:r w:rsidRPr="00423440">
              <w:rPr>
                <w:rFonts w:cs="Arial"/>
                <w:color w:val="000000"/>
                <w:sz w:val="20"/>
                <w:szCs w:val="20"/>
              </w:rPr>
              <w:t>0,01</w:t>
            </w:r>
          </w:p>
        </w:tc>
      </w:tr>
      <w:tr w:rsidR="00A96988" w:rsidRPr="00423440" w14:paraId="3F4E7692" w14:textId="77777777" w:rsidTr="002B4DEE">
        <w:trPr>
          <w:trHeight w:val="340"/>
        </w:trPr>
        <w:tc>
          <w:tcPr>
            <w:tcW w:w="3259" w:type="pct"/>
            <w:tcBorders>
              <w:top w:val="single" w:sz="4" w:space="0" w:color="auto"/>
              <w:left w:val="nil"/>
              <w:bottom w:val="single" w:sz="4" w:space="0" w:color="auto"/>
              <w:right w:val="single" w:sz="4" w:space="0" w:color="auto"/>
            </w:tcBorders>
            <w:shd w:val="clear" w:color="auto" w:fill="auto"/>
            <w:noWrap/>
            <w:vAlign w:val="center"/>
            <w:hideMark/>
          </w:tcPr>
          <w:p w14:paraId="05FB4EB5" w14:textId="77777777" w:rsidR="00A96988" w:rsidRPr="00423440" w:rsidRDefault="00A96988" w:rsidP="00A96988">
            <w:pPr>
              <w:jc w:val="center"/>
              <w:rPr>
                <w:rFonts w:cs="Arial"/>
                <w:b/>
                <w:bCs/>
                <w:color w:val="000000"/>
                <w:sz w:val="20"/>
                <w:szCs w:val="20"/>
              </w:rPr>
            </w:pPr>
            <w:r w:rsidRPr="00423440">
              <w:rPr>
                <w:rFonts w:cs="Arial"/>
                <w:b/>
                <w:bCs/>
                <w:color w:val="000000"/>
                <w:sz w:val="20"/>
                <w:szCs w:val="20"/>
              </w:rPr>
              <w:t>Total</w:t>
            </w:r>
          </w:p>
        </w:tc>
        <w:tc>
          <w:tcPr>
            <w:tcW w:w="909" w:type="pct"/>
            <w:tcBorders>
              <w:top w:val="single" w:sz="4" w:space="0" w:color="auto"/>
              <w:left w:val="nil"/>
              <w:bottom w:val="single" w:sz="4" w:space="0" w:color="auto"/>
              <w:right w:val="single" w:sz="4" w:space="0" w:color="auto"/>
            </w:tcBorders>
            <w:shd w:val="clear" w:color="auto" w:fill="auto"/>
            <w:noWrap/>
            <w:vAlign w:val="center"/>
            <w:hideMark/>
          </w:tcPr>
          <w:p w14:paraId="15072171" w14:textId="77777777" w:rsidR="00A96988" w:rsidRPr="00423440" w:rsidRDefault="00A96988" w:rsidP="00A96988">
            <w:pPr>
              <w:jc w:val="right"/>
              <w:rPr>
                <w:rFonts w:cs="Arial"/>
                <w:b/>
                <w:bCs/>
                <w:color w:val="000000"/>
                <w:sz w:val="20"/>
                <w:szCs w:val="20"/>
              </w:rPr>
            </w:pPr>
            <w:r w:rsidRPr="00423440">
              <w:rPr>
                <w:rFonts w:cs="Arial"/>
                <w:b/>
                <w:bCs/>
                <w:color w:val="000000"/>
                <w:sz w:val="20"/>
                <w:szCs w:val="20"/>
              </w:rPr>
              <w:t>20.291.866.821</w:t>
            </w:r>
          </w:p>
        </w:tc>
        <w:tc>
          <w:tcPr>
            <w:tcW w:w="832" w:type="pct"/>
            <w:tcBorders>
              <w:top w:val="single" w:sz="4" w:space="0" w:color="auto"/>
              <w:left w:val="nil"/>
              <w:bottom w:val="single" w:sz="4" w:space="0" w:color="auto"/>
              <w:right w:val="nil"/>
            </w:tcBorders>
            <w:shd w:val="clear" w:color="auto" w:fill="auto"/>
            <w:noWrap/>
            <w:vAlign w:val="center"/>
            <w:hideMark/>
          </w:tcPr>
          <w:p w14:paraId="4D9A9B8E" w14:textId="77777777" w:rsidR="00A96988" w:rsidRPr="00423440" w:rsidRDefault="00A96988" w:rsidP="00A96988">
            <w:pPr>
              <w:jc w:val="center"/>
              <w:rPr>
                <w:rFonts w:cs="Arial"/>
                <w:b/>
                <w:bCs/>
                <w:color w:val="000000"/>
                <w:sz w:val="20"/>
                <w:szCs w:val="20"/>
              </w:rPr>
            </w:pPr>
            <w:r w:rsidRPr="00423440">
              <w:rPr>
                <w:rFonts w:cs="Arial"/>
                <w:b/>
                <w:bCs/>
                <w:color w:val="000000"/>
                <w:sz w:val="20"/>
                <w:szCs w:val="20"/>
              </w:rPr>
              <w:t>100,00</w:t>
            </w:r>
          </w:p>
        </w:tc>
      </w:tr>
    </w:tbl>
    <w:p w14:paraId="40278CAA" w14:textId="651C9D99" w:rsidR="00A96988" w:rsidRPr="00020056" w:rsidRDefault="00A96988" w:rsidP="00A96988">
      <w:pPr>
        <w:pStyle w:val="0-FONTEBALANO"/>
      </w:pPr>
      <w:r w:rsidRPr="00020056">
        <w:t xml:space="preserve">Fonte: </w:t>
      </w:r>
      <w:r w:rsidR="007F773B" w:rsidRPr="0050681E">
        <w:rPr>
          <w:rStyle w:val="Forte"/>
          <w:b w:val="0"/>
          <w:bCs w:val="0"/>
        </w:rPr>
        <w:t>Demonstrativo de Créditos Adicionais</w:t>
      </w:r>
      <w:r w:rsidR="007F773B">
        <w:rPr>
          <w:rStyle w:val="Forte"/>
          <w:b w:val="0"/>
          <w:bCs w:val="0"/>
        </w:rPr>
        <w:t xml:space="preserve"> </w:t>
      </w:r>
      <w:r w:rsidR="007F773B" w:rsidRPr="0050681E">
        <w:rPr>
          <w:rStyle w:val="Forte"/>
          <w:b w:val="0"/>
          <w:bCs w:val="0"/>
        </w:rPr>
        <w:t>Abertos</w:t>
      </w:r>
      <w:r w:rsidR="007F773B">
        <w:rPr>
          <w:rStyle w:val="Forte"/>
          <w:b w:val="0"/>
          <w:bCs w:val="0"/>
        </w:rPr>
        <w:t xml:space="preserve"> - </w:t>
      </w:r>
      <w:r w:rsidR="007F773B" w:rsidRPr="00F2147B">
        <w:rPr>
          <w:rStyle w:val="Forte"/>
          <w:b w:val="0"/>
          <w:bCs w:val="0"/>
        </w:rPr>
        <w:t>Anexo 11A</w:t>
      </w:r>
      <w:r w:rsidRPr="00020056">
        <w:t xml:space="preserve"> </w:t>
      </w:r>
      <w:r>
        <w:t>(BGE 2023)</w:t>
      </w:r>
    </w:p>
    <w:p w14:paraId="484C367D" w14:textId="77777777" w:rsidR="00A96988" w:rsidRDefault="00A96988" w:rsidP="00A96988">
      <w:pPr>
        <w:pStyle w:val="1-REL11"/>
        <w:rPr>
          <w:highlight w:val="yellow"/>
        </w:rPr>
      </w:pPr>
      <w:r>
        <w:t>Desconsiderando as reduções orçamentárias efetivadas, cuja origem dos recursos tiveram como fonte a anulação de dotações já existentes e a reserva de contingência do Tesouro, as alterações orçamentárias do período foram concentradas na fonte superávit financeiro (32,33%), seja de origem nas próprias UOs ou no Tesouro Estadual.</w:t>
      </w:r>
    </w:p>
    <w:p w14:paraId="2ED3465B" w14:textId="0E83EB48" w:rsidR="00A96988" w:rsidRDefault="00A96988" w:rsidP="00A96988">
      <w:pPr>
        <w:pStyle w:val="1-REL11"/>
      </w:pPr>
      <w:r>
        <w:t>Durante as análises do Relatório Resumido da Execução Orçamentária (RREO) de 2023, observou-se que foram abertos créditos adicionais no valor total R$</w:t>
      </w:r>
      <w:r w:rsidR="00755658">
        <w:t> </w:t>
      </w:r>
      <w:r>
        <w:t>9,48</w:t>
      </w:r>
      <w:r w:rsidR="00755658">
        <w:t> milhões</w:t>
      </w:r>
      <w:r>
        <w:t xml:space="preserve"> tendo como fonte de recursos o Superávit de Cancelamento de Restos a Pagar.</w:t>
      </w:r>
    </w:p>
    <w:p w14:paraId="7A3EEEF1" w14:textId="77777777" w:rsidR="00A96988" w:rsidRDefault="00A96988" w:rsidP="00A96988">
      <w:pPr>
        <w:pStyle w:val="1-REL11"/>
        <w:rPr>
          <w:highlight w:val="yellow"/>
        </w:rPr>
      </w:pPr>
      <w:r>
        <w:lastRenderedPageBreak/>
        <w:t>A abertura desses créditos adicionais foi embasada na Lei Complementar Estadual nº 183, de 22 de junho de 2023. O projeto de lei complementar</w:t>
      </w:r>
      <w:r>
        <w:rPr>
          <w:rStyle w:val="Refdenotaderodap"/>
        </w:rPr>
        <w:footnoteReference w:id="7"/>
      </w:r>
      <w:r>
        <w:t xml:space="preserve"> decorreu de solicitação da ECONOMIA, justificada pela necessidade de executar os recursos federais transferidos ao Estado que, caso não fossem, teriam de ser devolvidos à União. Argumentou-se ainda sobre a competência concorrente do Estado com a União para legislar sobre direito financeiro (art. 24, I e § 2º da CF/88), com o intuito de preencher eventual lacuna legislativa na definição de fontes para aberturas de créditos adicionais que não estava prevista nos arts. 40 a 46 da Lei nº 4.320/1964, bem como no Parágrafo Único do art. 8º da LRF, que aduz que "Os recursos legalmente vinculados a finalidade específica serão utilizados exclusivamente para atender ao objeto de sua vinculação, ainda que em exercício diverso daquele em que ocorrer o ingresso.".</w:t>
      </w:r>
    </w:p>
    <w:p w14:paraId="5B61843E" w14:textId="77777777" w:rsidR="00A96988" w:rsidRPr="00500A25" w:rsidRDefault="00A96988" w:rsidP="00A96988">
      <w:pPr>
        <w:pStyle w:val="1-REL11"/>
      </w:pPr>
      <w:r w:rsidRPr="00500A25">
        <w:t xml:space="preserve">Em que pese o fato da autorização legal emanada pelo Poder Legislativo estadual para efetivação dos créditos adicionais em questão, é possível </w:t>
      </w:r>
      <w:r>
        <w:t>interpretar</w:t>
      </w:r>
      <w:r w:rsidRPr="00500A25">
        <w:t xml:space="preserve"> que tenham sido extrapolados os limites da competência suplementar do ente estadual, uma vez que nova modalidade de fonte de recurso para abertura de créditos adicionais não prevista na lei de normas gerais (Lei nº 4.320/1964) tenha potencialmente sido criada, já que a fonte de recurso Superávit Financeiro então regulamentada deve ser apurada em Balanço Patrimonial do exercício anterior (art. 43, § 1º, inciso I), diferentemente do caso em análise em que não se demonstrou, na formalização dos atos, a origem dos recursos utilizados para abertura dos créditos adicionais.</w:t>
      </w:r>
    </w:p>
    <w:p w14:paraId="471B1F8E" w14:textId="77777777" w:rsidR="00A96988" w:rsidRPr="00500A25" w:rsidRDefault="00A96988" w:rsidP="00A96988">
      <w:pPr>
        <w:pStyle w:val="1-REL11"/>
      </w:pPr>
      <w:r w:rsidRPr="00500A25">
        <w:t>Considerando o fato inédito, bem como a imaterialidade envolvida perante o total de créditos adicionais abertos no exercício (0,05%), esta Unidade Técnica irá acompanhar as movimentações orçamentárias que envolverem essa situação durante as análises dos RREO</w:t>
      </w:r>
      <w:r>
        <w:t>s</w:t>
      </w:r>
      <w:r w:rsidRPr="00500A25">
        <w:t xml:space="preserve"> do exercício de 2024, a fim de avaliar a evolução da utilização desse mecanismo e a respectiva fonte de recursos.</w:t>
      </w:r>
    </w:p>
    <w:p w14:paraId="76966D0A" w14:textId="6C67D834" w:rsidR="00A96988" w:rsidRDefault="00A96988" w:rsidP="00A96988">
      <w:pPr>
        <w:pStyle w:val="1-REL11"/>
      </w:pPr>
      <w:r>
        <w:t>De antemão</w:t>
      </w:r>
      <w:r w:rsidRPr="00500A25">
        <w:t xml:space="preserve">, percebe-se a necessidade de conferir maior transparência na operacionalização e formalização da abertura de créditos adicionais tendo como fonte o superávit financeiro de cancelamento de restos a pagar. Pelas informações divulgadas no Anexo 11A – Demonstrativo de Créditos </w:t>
      </w:r>
      <w:r w:rsidR="007F773B" w:rsidRPr="0050681E">
        <w:rPr>
          <w:rStyle w:val="Forte"/>
          <w:b w:val="0"/>
          <w:bCs w:val="0"/>
        </w:rPr>
        <w:t>Adicionais</w:t>
      </w:r>
      <w:r w:rsidR="007F773B">
        <w:rPr>
          <w:rStyle w:val="Forte"/>
          <w:b w:val="0"/>
          <w:bCs w:val="0"/>
        </w:rPr>
        <w:t xml:space="preserve"> </w:t>
      </w:r>
      <w:r w:rsidRPr="00500A25">
        <w:t>Abertos e nos decretos/portarias orçamentárias publicados não foi possível validar se os atos praticados estariam adequados aos normativos legais pertinentes, já que</w:t>
      </w:r>
      <w:r>
        <w:t xml:space="preserve"> não seria possível alterar os valores de superávit financeiro apurados no Balanço Patrimonial do exercício anterior (pelo fato do exercício contábil estar fechado) e assim possibilitar a verificação da real disponibilidade do recurso para abertura do crédito adicional, bem como os decretos/portarias orçamentárias não apresentaram todos os detalhes dos procedimentos adotados especificamente para o ato em si, por exemplo, não demonstraram quais restos a pagar foram cancelados e suas respectivas justificativas.</w:t>
      </w:r>
    </w:p>
    <w:p w14:paraId="120270F6" w14:textId="217A92A1" w:rsidR="00A96988" w:rsidRPr="00EA084D" w:rsidRDefault="00A96988" w:rsidP="00E460D5">
      <w:pPr>
        <w:pStyle w:val="0-ACH-TIT"/>
      </w:pPr>
      <w:r w:rsidRPr="00EA084D">
        <w:lastRenderedPageBreak/>
        <w:t xml:space="preserve">&gt;&gt; </w:t>
      </w:r>
      <w:r w:rsidR="00E460D5" w:rsidRPr="00E460D5">
        <w:t>Deficiência na transparência na abertura de créditos adicionais tendo como fonte de recursos o superávit de cancelamento de restos a pagar</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A96988" w:rsidRPr="009C6508" w14:paraId="4BAFA706" w14:textId="77777777" w:rsidTr="00E460D5">
        <w:trPr>
          <w:trHeight w:val="1976"/>
          <w:jc w:val="center"/>
        </w:trPr>
        <w:tc>
          <w:tcPr>
            <w:tcW w:w="6237" w:type="dxa"/>
            <w:vAlign w:val="center"/>
            <w:hideMark/>
          </w:tcPr>
          <w:p w14:paraId="10A9585D" w14:textId="59425921" w:rsidR="00A96988" w:rsidRPr="009C6508" w:rsidRDefault="00E460D5" w:rsidP="006D29FB">
            <w:pPr>
              <w:pStyle w:val="0-ACH-TXT"/>
              <w:rPr>
                <w:caps/>
                <w:highlight w:val="yellow"/>
              </w:rPr>
            </w:pPr>
            <w:r w:rsidRPr="00E460D5">
              <w:t>Nos decretos/portarias orçamentárias de aberturas de créditos adicionais tendo como fonte de recursos o superávit de cancelamento de restos a pagar, não são demonstrados o número do documento de cancelamento dos restos a pagar e suas respectivas justificativas com embasamento legal, o empenho de origem, as unidades orçamentárias envolvidas, o código das fontes de recursos utilizadas, além de outras informações que possam ser úteis para a completa identificação dos atos praticados.</w:t>
            </w:r>
          </w:p>
        </w:tc>
      </w:tr>
    </w:tbl>
    <w:p w14:paraId="150557E7" w14:textId="0E96A48E" w:rsidR="00E460D5" w:rsidRDefault="00E460D5" w:rsidP="00E460D5">
      <w:pPr>
        <w:pStyle w:val="1-REL11"/>
      </w:pPr>
      <w:r>
        <w:t xml:space="preserve">Portanto, </w:t>
      </w:r>
      <w:r w:rsidR="00FB5AE9" w:rsidRPr="00E460D5">
        <w:t>sugere-se</w:t>
      </w:r>
      <w:r w:rsidRPr="00E460D5">
        <w:t xml:space="preserve"> ao Tribunal de Contas do Estado de Goiás que determine ao Governo do estado de Goiás, por meio da Secretaria de Estado da Economia, que na abertura de créditos adicionais tendo como fonte de recursos o superávit de cancelamento de restos a pagar, demonstre nos decretos/portarias orçamentárias o número do documento que efetivou o cancelamento dos restos a pagar e suas respectivas justificativas com embasamento legal, o empenho de origem, as UOs envolvidas, o código das fontes de recursos utilizadas, além de outras informações que possam ser úteis para a identificação dos atos praticados</w:t>
      </w:r>
      <w:r>
        <w:t>.</w:t>
      </w:r>
    </w:p>
    <w:p w14:paraId="4AE94AE3" w14:textId="4E0C5001" w:rsidR="00A96988" w:rsidRDefault="00A96988" w:rsidP="00A96988">
      <w:pPr>
        <w:pStyle w:val="1-REL11"/>
      </w:pPr>
    </w:p>
    <w:p w14:paraId="6AC7BB98" w14:textId="77777777" w:rsidR="00C86645" w:rsidRPr="00B215AC" w:rsidRDefault="00C86645" w:rsidP="00B523B9">
      <w:pPr>
        <w:pStyle w:val="1-REL11"/>
        <w:rPr>
          <w:color w:val="FF0000"/>
        </w:rPr>
      </w:pPr>
    </w:p>
    <w:p w14:paraId="0B749BD3" w14:textId="77777777" w:rsidR="002F5314" w:rsidRPr="00B215AC" w:rsidRDefault="002F5314" w:rsidP="00B523B9">
      <w:pPr>
        <w:pStyle w:val="1-REL11"/>
        <w:rPr>
          <w:color w:val="FF0000"/>
        </w:rPr>
        <w:sectPr w:rsidR="002F5314" w:rsidRPr="00B215AC" w:rsidSect="00527F5C">
          <w:footerReference w:type="default" r:id="rId36"/>
          <w:footnotePr>
            <w:numRestart w:val="eachSect"/>
          </w:footnotePr>
          <w:pgSz w:w="11905" w:h="16837" w:code="9"/>
          <w:pgMar w:top="1134" w:right="851" w:bottom="1134" w:left="1701" w:header="720" w:footer="720" w:gutter="0"/>
          <w:cols w:space="720"/>
          <w:noEndnote/>
        </w:sectPr>
      </w:pPr>
    </w:p>
    <w:p w14:paraId="138AACD2" w14:textId="77777777" w:rsidR="002F5314" w:rsidRPr="00B215AC" w:rsidRDefault="002F5314" w:rsidP="002F5314">
      <w:pPr>
        <w:pStyle w:val="0-TXT11"/>
        <w:rPr>
          <w:rFonts w:cs="Times New Roman"/>
          <w:color w:val="FF0000"/>
        </w:rPr>
      </w:pPr>
    </w:p>
    <w:p w14:paraId="4A14AC7C" w14:textId="77777777" w:rsidR="002F5314" w:rsidRPr="00B215AC" w:rsidRDefault="002F5314" w:rsidP="002F5314">
      <w:pPr>
        <w:pStyle w:val="0-TXT11"/>
        <w:rPr>
          <w:rFonts w:cs="Times New Roman"/>
          <w:color w:val="FF0000"/>
        </w:rPr>
      </w:pPr>
    </w:p>
    <w:p w14:paraId="1629F3BB" w14:textId="77777777" w:rsidR="002F5314" w:rsidRPr="00B215AC" w:rsidRDefault="002F5314" w:rsidP="002F5314">
      <w:pPr>
        <w:pStyle w:val="0-TXT11"/>
        <w:rPr>
          <w:rFonts w:cs="Times New Roman"/>
          <w:color w:val="FF0000"/>
        </w:rPr>
      </w:pPr>
    </w:p>
    <w:p w14:paraId="627808E0" w14:textId="77777777" w:rsidR="002F5314" w:rsidRPr="00B215AC" w:rsidRDefault="002F5314" w:rsidP="002F5314">
      <w:pPr>
        <w:pStyle w:val="0-TXT11"/>
        <w:rPr>
          <w:rFonts w:cs="Times New Roman"/>
          <w:color w:val="FF0000"/>
        </w:rPr>
      </w:pPr>
    </w:p>
    <w:p w14:paraId="31F95F34" w14:textId="77777777" w:rsidR="002F5314" w:rsidRPr="00B215AC" w:rsidRDefault="002F5314" w:rsidP="002F5314">
      <w:pPr>
        <w:pStyle w:val="0-TXT11"/>
        <w:rPr>
          <w:rFonts w:cs="Times New Roman"/>
          <w:color w:val="FF0000"/>
        </w:rPr>
      </w:pPr>
    </w:p>
    <w:p w14:paraId="46C621F6" w14:textId="77777777" w:rsidR="002F5314" w:rsidRPr="00B215AC" w:rsidRDefault="002F5314" w:rsidP="002F5314">
      <w:pPr>
        <w:pStyle w:val="0-TXT11"/>
        <w:rPr>
          <w:rFonts w:cs="Times New Roman"/>
          <w:color w:val="FF0000"/>
        </w:rPr>
      </w:pPr>
    </w:p>
    <w:p w14:paraId="3A11AC90" w14:textId="77777777" w:rsidR="002F5314" w:rsidRPr="00B215AC" w:rsidRDefault="002F5314" w:rsidP="002F5314">
      <w:pPr>
        <w:pStyle w:val="0-TXT11"/>
        <w:rPr>
          <w:rFonts w:cs="Times New Roman"/>
          <w:color w:val="FF0000"/>
        </w:rPr>
      </w:pPr>
    </w:p>
    <w:p w14:paraId="5315F41E" w14:textId="77777777" w:rsidR="002F5314" w:rsidRPr="00B215AC" w:rsidRDefault="002F5314" w:rsidP="002F5314">
      <w:pPr>
        <w:pStyle w:val="0-TXT11"/>
        <w:rPr>
          <w:rFonts w:cs="Times New Roman"/>
          <w:color w:val="FF0000"/>
        </w:rPr>
      </w:pPr>
    </w:p>
    <w:p w14:paraId="0C42FAA5" w14:textId="77777777" w:rsidR="002F5314" w:rsidRPr="00B215AC" w:rsidRDefault="002F5314" w:rsidP="002F5314">
      <w:pPr>
        <w:pStyle w:val="0-TXT11"/>
        <w:rPr>
          <w:rFonts w:cs="Times New Roman"/>
          <w:color w:val="FF0000"/>
        </w:rPr>
      </w:pPr>
    </w:p>
    <w:p w14:paraId="009633F5" w14:textId="77777777" w:rsidR="002F5314" w:rsidRPr="00B215AC" w:rsidRDefault="002F5314" w:rsidP="002F5314">
      <w:pPr>
        <w:pStyle w:val="0-TXT11"/>
        <w:rPr>
          <w:rFonts w:cs="Times New Roman"/>
          <w:color w:val="FF0000"/>
        </w:rPr>
      </w:pPr>
    </w:p>
    <w:p w14:paraId="1D53F155" w14:textId="77777777" w:rsidR="002F5314" w:rsidRPr="00B215AC" w:rsidRDefault="002F5314" w:rsidP="002F5314">
      <w:pPr>
        <w:pStyle w:val="0-TXT11"/>
        <w:rPr>
          <w:rFonts w:cs="Times New Roman"/>
          <w:color w:val="FF0000"/>
        </w:rPr>
      </w:pPr>
    </w:p>
    <w:p w14:paraId="385E0D9E" w14:textId="77777777" w:rsidR="002F5314" w:rsidRPr="00B215AC" w:rsidRDefault="002F5314" w:rsidP="002F5314">
      <w:pPr>
        <w:pStyle w:val="0-TXT11"/>
        <w:rPr>
          <w:rFonts w:cs="Times New Roman"/>
          <w:color w:val="FF0000"/>
        </w:rPr>
      </w:pPr>
    </w:p>
    <w:p w14:paraId="0B3D2D2C" w14:textId="77777777" w:rsidR="002F5314" w:rsidRPr="00B215AC" w:rsidRDefault="002F5314" w:rsidP="002F5314">
      <w:pPr>
        <w:pStyle w:val="0-TXT11"/>
        <w:rPr>
          <w:rFonts w:cs="Times New Roman"/>
          <w:color w:val="FF0000"/>
        </w:rPr>
      </w:pPr>
    </w:p>
    <w:p w14:paraId="44FAA6C8" w14:textId="77777777" w:rsidR="002F5314" w:rsidRPr="00B215AC" w:rsidRDefault="002F5314" w:rsidP="002F5314">
      <w:pPr>
        <w:pStyle w:val="0-TXT11"/>
        <w:rPr>
          <w:rFonts w:cs="Times New Roman"/>
          <w:color w:val="FF0000"/>
        </w:rPr>
      </w:pPr>
    </w:p>
    <w:p w14:paraId="5EDD3087" w14:textId="77777777" w:rsidR="002F5314" w:rsidRPr="00B215AC" w:rsidRDefault="002F5314" w:rsidP="002F5314">
      <w:pPr>
        <w:pStyle w:val="0-TXT11"/>
        <w:rPr>
          <w:rFonts w:cs="Times New Roman"/>
          <w:color w:val="FF0000"/>
        </w:rPr>
      </w:pPr>
    </w:p>
    <w:p w14:paraId="669B9E21" w14:textId="77777777" w:rsidR="002F5314" w:rsidRPr="00B215AC" w:rsidRDefault="002F5314" w:rsidP="002F5314">
      <w:pPr>
        <w:pStyle w:val="0-TXT11"/>
        <w:rPr>
          <w:rFonts w:cs="Times New Roman"/>
          <w:color w:val="FF0000"/>
        </w:rPr>
      </w:pPr>
    </w:p>
    <w:p w14:paraId="7B0E5830" w14:textId="77777777" w:rsidR="002F5314" w:rsidRPr="00B215AC" w:rsidRDefault="002F5314" w:rsidP="002F5314">
      <w:pPr>
        <w:pStyle w:val="0-TXT11"/>
        <w:rPr>
          <w:rFonts w:cs="Times New Roman"/>
          <w:color w:val="FF0000"/>
        </w:rPr>
      </w:pPr>
    </w:p>
    <w:p w14:paraId="705A2178" w14:textId="77777777" w:rsidR="002F5314" w:rsidRPr="00B215AC" w:rsidRDefault="002F5314" w:rsidP="002F5314">
      <w:pPr>
        <w:pStyle w:val="0-TXT11"/>
        <w:rPr>
          <w:rFonts w:cs="Times New Roman"/>
          <w:color w:val="FF0000"/>
        </w:rPr>
      </w:pPr>
    </w:p>
    <w:p w14:paraId="6EC3FC5F" w14:textId="77777777" w:rsidR="002F5314" w:rsidRPr="00B215AC" w:rsidRDefault="002F5314" w:rsidP="002F5314">
      <w:pPr>
        <w:pStyle w:val="0-TXT11"/>
        <w:rPr>
          <w:rFonts w:cs="Times New Roman"/>
          <w:color w:val="FF0000"/>
        </w:rPr>
      </w:pPr>
    </w:p>
    <w:p w14:paraId="6FB5B95A" w14:textId="77777777" w:rsidR="002F5314" w:rsidRPr="00B215AC" w:rsidRDefault="002F5314" w:rsidP="002F5314">
      <w:pPr>
        <w:pStyle w:val="0-TXT11"/>
        <w:rPr>
          <w:rFonts w:cs="Times New Roman"/>
          <w:color w:val="FF0000"/>
        </w:rPr>
      </w:pPr>
    </w:p>
    <w:p w14:paraId="2994A0D1" w14:textId="77777777" w:rsidR="002F5314" w:rsidRPr="00B215AC" w:rsidRDefault="002F5314" w:rsidP="002F5314">
      <w:pPr>
        <w:pStyle w:val="0-TXT11"/>
        <w:rPr>
          <w:rFonts w:cs="Times New Roman"/>
          <w:color w:val="FF0000"/>
        </w:rPr>
      </w:pPr>
    </w:p>
    <w:p w14:paraId="45EA33CA" w14:textId="77777777" w:rsidR="002F5314" w:rsidRPr="00335D9C" w:rsidRDefault="002F5314" w:rsidP="002F5314">
      <w:pPr>
        <w:pStyle w:val="0-TXT11"/>
        <w:rPr>
          <w:rFonts w:cs="Times New Roman"/>
        </w:rPr>
      </w:pPr>
    </w:p>
    <w:p w14:paraId="44D19942" w14:textId="77777777" w:rsidR="002F5314" w:rsidRPr="00335D9C" w:rsidRDefault="002F5314" w:rsidP="002F5314">
      <w:pPr>
        <w:pStyle w:val="0-TXT11"/>
        <w:rPr>
          <w:rFonts w:cs="Times New Roman"/>
        </w:rPr>
      </w:pPr>
    </w:p>
    <w:p w14:paraId="37F160C1" w14:textId="77777777" w:rsidR="002F5314" w:rsidRPr="00335D9C" w:rsidRDefault="002F5314" w:rsidP="002F5314">
      <w:pPr>
        <w:pStyle w:val="Ttulo"/>
        <w:rPr>
          <w:color w:val="auto"/>
        </w:rPr>
      </w:pPr>
    </w:p>
    <w:p w14:paraId="61EADF85" w14:textId="2345CDF4" w:rsidR="001204B3" w:rsidRPr="00335D9C" w:rsidRDefault="001204B3" w:rsidP="001204B3">
      <w:pPr>
        <w:pStyle w:val="1-REL11"/>
        <w:jc w:val="right"/>
        <w:rPr>
          <w:sz w:val="96"/>
          <w:szCs w:val="96"/>
        </w:rPr>
      </w:pPr>
      <w:r w:rsidRPr="00335D9C">
        <w:rPr>
          <w:sz w:val="96"/>
          <w:szCs w:val="96"/>
        </w:rPr>
        <w:t>4</w:t>
      </w:r>
    </w:p>
    <w:p w14:paraId="10277CF7" w14:textId="096687E4" w:rsidR="002F5314" w:rsidRPr="00335D9C" w:rsidRDefault="001204B3" w:rsidP="001204B3">
      <w:pPr>
        <w:pStyle w:val="0-TXT11"/>
        <w:ind w:right="-2"/>
        <w:jc w:val="right"/>
        <w:rPr>
          <w:rFonts w:cs="Times New Roman"/>
          <w:sz w:val="48"/>
          <w:szCs w:val="48"/>
        </w:rPr>
      </w:pPr>
      <w:r w:rsidRPr="00335D9C">
        <w:rPr>
          <w:rFonts w:cs="Times New Roman"/>
          <w:sz w:val="48"/>
          <w:szCs w:val="48"/>
        </w:rPr>
        <w:t>Gestão Fiscal</w:t>
      </w:r>
    </w:p>
    <w:p w14:paraId="55F1B917" w14:textId="77777777" w:rsidR="002F5314" w:rsidRPr="00B215AC" w:rsidRDefault="002F5314" w:rsidP="002F5314">
      <w:pPr>
        <w:pStyle w:val="0-TXT11"/>
        <w:ind w:right="-2"/>
        <w:rPr>
          <w:rFonts w:cs="Times New Roman"/>
          <w:color w:val="FF0000"/>
        </w:rPr>
      </w:pPr>
    </w:p>
    <w:p w14:paraId="35568B63" w14:textId="57EDCAD8" w:rsidR="00707162" w:rsidRPr="00B215AC" w:rsidRDefault="00707162" w:rsidP="002F5314">
      <w:pPr>
        <w:pStyle w:val="0-TXT11"/>
        <w:ind w:right="-2"/>
        <w:rPr>
          <w:rFonts w:cs="Times New Roman"/>
          <w:color w:val="FF0000"/>
        </w:rPr>
      </w:pPr>
    </w:p>
    <w:p w14:paraId="588BA938" w14:textId="77777777" w:rsidR="001204B3" w:rsidRPr="00B215AC" w:rsidRDefault="001204B3" w:rsidP="002F5314">
      <w:pPr>
        <w:pStyle w:val="0-TXT11"/>
        <w:ind w:right="-2"/>
        <w:rPr>
          <w:rFonts w:cs="Times New Roman"/>
          <w:color w:val="FF0000"/>
        </w:rPr>
      </w:pPr>
    </w:p>
    <w:p w14:paraId="0A8D6D28" w14:textId="605C718E" w:rsidR="00707162" w:rsidRPr="00B215AC" w:rsidRDefault="00707162" w:rsidP="001204B3">
      <w:pPr>
        <w:pStyle w:val="0-TXT11"/>
        <w:ind w:right="-2"/>
        <w:rPr>
          <w:rFonts w:cs="Times New Roman"/>
          <w:color w:val="FF0000"/>
        </w:rPr>
      </w:pPr>
    </w:p>
    <w:p w14:paraId="557D3D69" w14:textId="77777777" w:rsidR="001204B3" w:rsidRPr="00B215AC" w:rsidRDefault="001204B3" w:rsidP="001204B3">
      <w:pPr>
        <w:pStyle w:val="0-TXT11"/>
        <w:ind w:right="-2"/>
        <w:rPr>
          <w:rFonts w:cs="Times New Roman"/>
          <w:color w:val="FF0000"/>
        </w:rPr>
      </w:pPr>
    </w:p>
    <w:p w14:paraId="6EA150B3" w14:textId="77777777" w:rsidR="00707162" w:rsidRPr="00B215AC" w:rsidRDefault="00707162" w:rsidP="002F5314">
      <w:pPr>
        <w:pStyle w:val="0-TXT11"/>
        <w:ind w:right="-2"/>
        <w:rPr>
          <w:rFonts w:cs="Times New Roman"/>
          <w:color w:val="FF0000"/>
        </w:rPr>
      </w:pPr>
    </w:p>
    <w:p w14:paraId="3DA1D392" w14:textId="77777777" w:rsidR="00707162" w:rsidRPr="00B215AC" w:rsidRDefault="00707162" w:rsidP="002F5314">
      <w:pPr>
        <w:pStyle w:val="0-TXT11"/>
        <w:ind w:right="-2"/>
        <w:rPr>
          <w:rFonts w:cs="Times New Roman"/>
          <w:color w:val="FF0000"/>
        </w:rPr>
      </w:pPr>
    </w:p>
    <w:p w14:paraId="043E5B4A" w14:textId="4C780EE2" w:rsidR="00707162" w:rsidRPr="00B215AC" w:rsidRDefault="00707162" w:rsidP="002F5314">
      <w:pPr>
        <w:pStyle w:val="0-TXT11"/>
        <w:ind w:right="-2"/>
        <w:rPr>
          <w:rFonts w:cs="Times New Roman"/>
          <w:color w:val="FF0000"/>
        </w:rPr>
      </w:pPr>
    </w:p>
    <w:p w14:paraId="34DFDE5A" w14:textId="77777777" w:rsidR="001204B3" w:rsidRPr="00B215AC" w:rsidRDefault="001204B3" w:rsidP="002F5314">
      <w:pPr>
        <w:pStyle w:val="0-TXT11"/>
        <w:ind w:right="-2"/>
        <w:rPr>
          <w:rFonts w:cs="Times New Roman"/>
          <w:color w:val="FF0000"/>
        </w:rPr>
      </w:pPr>
    </w:p>
    <w:p w14:paraId="6740D1CA" w14:textId="77777777" w:rsidR="00707162" w:rsidRPr="00B215AC" w:rsidRDefault="00707162" w:rsidP="002F5314">
      <w:pPr>
        <w:pStyle w:val="0-TXT11"/>
        <w:ind w:right="-2"/>
        <w:rPr>
          <w:rFonts w:cs="Times New Roman"/>
          <w:color w:val="FF0000"/>
        </w:rPr>
      </w:pPr>
    </w:p>
    <w:p w14:paraId="3CBD1D28" w14:textId="77777777" w:rsidR="002F5314" w:rsidRPr="00B215AC" w:rsidRDefault="002F5314" w:rsidP="002F5314">
      <w:pPr>
        <w:pStyle w:val="0-TXT11"/>
        <w:ind w:right="-2"/>
        <w:rPr>
          <w:rFonts w:cs="Times New Roman"/>
          <w:color w:val="FF0000"/>
        </w:rPr>
      </w:pPr>
    </w:p>
    <w:p w14:paraId="3E145B27" w14:textId="77777777" w:rsidR="002F5314" w:rsidRPr="00B215AC" w:rsidRDefault="002F5314" w:rsidP="002F5314">
      <w:pPr>
        <w:pStyle w:val="0-TXT11"/>
        <w:ind w:right="-2"/>
        <w:rPr>
          <w:rFonts w:cs="Times New Roman"/>
          <w:color w:val="FF0000"/>
        </w:rPr>
      </w:pPr>
    </w:p>
    <w:p w14:paraId="2DF9B5EB" w14:textId="77777777" w:rsidR="002F5314" w:rsidRPr="00B215AC" w:rsidRDefault="002F5314" w:rsidP="002F5314">
      <w:pPr>
        <w:pStyle w:val="0-TXT11"/>
        <w:ind w:right="-2"/>
        <w:rPr>
          <w:rFonts w:cs="Times New Roman"/>
          <w:color w:val="FF0000"/>
        </w:rPr>
        <w:sectPr w:rsidR="002F5314" w:rsidRPr="00B215AC" w:rsidSect="00C57A3A">
          <w:footerReference w:type="default" r:id="rId37"/>
          <w:footnotePr>
            <w:numRestart w:val="eachSect"/>
          </w:footnotePr>
          <w:pgSz w:w="11905" w:h="16837"/>
          <w:pgMar w:top="1134" w:right="851" w:bottom="1134" w:left="1701" w:header="720" w:footer="720" w:gutter="0"/>
          <w:cols w:space="720"/>
          <w:noEndnote/>
        </w:sectPr>
      </w:pPr>
    </w:p>
    <w:p w14:paraId="5FC4CE89" w14:textId="77777777" w:rsidR="001C2621" w:rsidRPr="00B215AC" w:rsidRDefault="001C2621" w:rsidP="001C2621">
      <w:pPr>
        <w:widowControl w:val="0"/>
        <w:autoSpaceDE w:val="0"/>
        <w:autoSpaceDN w:val="0"/>
        <w:adjustRightInd w:val="0"/>
        <w:spacing w:after="13" w:line="20" w:lineRule="exact"/>
        <w:rPr>
          <w:color w:val="FF0000"/>
          <w:sz w:val="2"/>
          <w:szCs w:val="2"/>
        </w:rPr>
      </w:pPr>
    </w:p>
    <w:p w14:paraId="1C3459A1" w14:textId="35DFFA80" w:rsidR="001C2621" w:rsidRPr="00B215AC" w:rsidRDefault="001C2621" w:rsidP="00E175C4">
      <w:pPr>
        <w:pStyle w:val="Ttulo1"/>
      </w:pPr>
      <w:bookmarkStart w:id="93" w:name="_Toc511305488"/>
      <w:bookmarkStart w:id="94" w:name="_Ref167690559"/>
      <w:bookmarkStart w:id="95" w:name="_Ref167690585"/>
      <w:bookmarkStart w:id="96" w:name="_Ref167690602"/>
      <w:bookmarkStart w:id="97" w:name="_Ref167704751"/>
      <w:bookmarkStart w:id="98" w:name="_Ref167704759"/>
      <w:bookmarkStart w:id="99" w:name="_Toc167871637"/>
      <w:bookmarkEnd w:id="49"/>
      <w:bookmarkEnd w:id="50"/>
      <w:r w:rsidRPr="00B215AC">
        <w:t>Gestão Fiscal</w:t>
      </w:r>
      <w:bookmarkEnd w:id="93"/>
      <w:bookmarkEnd w:id="94"/>
      <w:bookmarkEnd w:id="95"/>
      <w:bookmarkEnd w:id="96"/>
      <w:bookmarkEnd w:id="97"/>
      <w:bookmarkEnd w:id="98"/>
      <w:bookmarkEnd w:id="99"/>
    </w:p>
    <w:p w14:paraId="76793F29" w14:textId="77777777" w:rsidR="00A87FFB" w:rsidRPr="000060E6" w:rsidRDefault="00A87FFB" w:rsidP="00A87FFB">
      <w:pPr>
        <w:pStyle w:val="1-REL11"/>
      </w:pPr>
      <w:bookmarkStart w:id="100" w:name="_Toc135332659"/>
      <w:r w:rsidRPr="000060E6">
        <w:t>Neste capítulo serão abordados os temas relacionados à Gestão Fiscal do estado de Goiás em 2023, sob a ótica da Lei Complementar nº 101, de 4 de maio de 2000 - Lei de Responsabilidade Fiscal (LRF), bem como em outras legislações vinculadas. Além disso, será objeto de análise a gestão fiscal do exercício e as implicações dos problemas sistêmicos de períodos financeiros anteriores que ainda podem influenciar no período em análise.</w:t>
      </w:r>
    </w:p>
    <w:p w14:paraId="2478ED20" w14:textId="77777777" w:rsidR="00A87FFB" w:rsidRPr="000060E6" w:rsidRDefault="00A87FFB" w:rsidP="00A87FFB">
      <w:pPr>
        <w:pStyle w:val="1-REL11"/>
      </w:pPr>
      <w:r w:rsidRPr="000060E6">
        <w:t>A LRF representa um marco importante nas finanças públicas brasileira e o gestor público deve recorrer constantemente a essa norma para tomar decisões assertivas e que venha ao encontro da boa gestão fiscal. Os gestores precisam ser eficientes para gerir os recursos arrecadados e alocar de modo sábio as receitas provenientes de impostos e taxas.</w:t>
      </w:r>
    </w:p>
    <w:p w14:paraId="4E2DA763" w14:textId="77777777" w:rsidR="00A87FFB" w:rsidRPr="000060E6" w:rsidRDefault="00A87FFB" w:rsidP="00A87FFB">
      <w:pPr>
        <w:pStyle w:val="1-REL11"/>
      </w:pPr>
      <w:r w:rsidRPr="000060E6">
        <w:t>A instabilidade mundial provocada por fatores relacionados à guerra, obriga os governos a despender cada vez mais recursos públicos para seu financiamento; e a mudança geopolítica altera a dinâmica e o relacionamento entre países, sobretudo no ambiente econômico que, por sua vez, tem a capacidade provocar mudanças significativas no orçamento dos países. Portanto, independente das situações mundiais que estão aquém do controle do gestor, é vital a obediência aos fundamentos da gestão fiscal, permitindo ao bom gestor atravessar os períodos adversos de modo mais suave.</w:t>
      </w:r>
    </w:p>
    <w:p w14:paraId="487B54BC" w14:textId="77777777" w:rsidR="00A87FFB" w:rsidRPr="000060E6" w:rsidRDefault="00A87FFB" w:rsidP="00A87FFB">
      <w:pPr>
        <w:pStyle w:val="1-REL11"/>
      </w:pPr>
      <w:r w:rsidRPr="000060E6">
        <w:t xml:space="preserve">As metodologias utilizadas para o exame da gestão fiscal compreenderam pesquisas bibliográficas, análise da legislação e respectivas atualizações, análises documentais e, ainda, extração e análise de dados do Sistema de Programação e Execução Orçamentária e Financeira (Siofi-Net), Sistema de Contabilidade Geral do Estado de Goiás (SCG), adotando-se a ferramenta </w:t>
      </w:r>
      <w:r w:rsidRPr="00D9143E">
        <w:t xml:space="preserve">Business Objects </w:t>
      </w:r>
      <w:r w:rsidRPr="000060E6">
        <w:t>(BO).</w:t>
      </w:r>
    </w:p>
    <w:p w14:paraId="3E6E8CFC" w14:textId="77777777" w:rsidR="00A87FFB" w:rsidRPr="000060E6" w:rsidRDefault="00A87FFB" w:rsidP="00A87FFB">
      <w:pPr>
        <w:pStyle w:val="1-REL11"/>
      </w:pPr>
      <w:r w:rsidRPr="000060E6">
        <w:t>Para análise da gestão fiscal, o tópico foi dividido nas seguintes seções: receita corrente líquida (RCL), acompanhamento do limite da despesa com pessoal, acompanhamento dos limites da dívida pública consolidada, operações de crédito, serviço da dívida, concessões de garantias e contragarantias recebidas, resumo dos limites legais, precatórios, avaliação das metas fiscais estabelecidas na Lei de Diretrizes Orçamentárias (LDO), previdência dos servidores públicos estaduais, transparência na gestão fiscal, análise dos restos a pagar, demais obrigações financeiras, disponibilidade de caixa por fonte de recursos, conta única do Tesouro Estadual, regime de recuperação fiscal e renúncia de receitas.</w:t>
      </w:r>
    </w:p>
    <w:p w14:paraId="32236D79" w14:textId="77777777" w:rsidR="00A87FFB" w:rsidRPr="000060E6" w:rsidRDefault="00A87FFB" w:rsidP="00A87FFB">
      <w:pPr>
        <w:pStyle w:val="1-REL11"/>
      </w:pPr>
      <w:r w:rsidRPr="000060E6">
        <w:t>Destaca-se que a responsabilidade na gestão fiscal exige ação planejada e transparente visando a busca pelo equilíbrio das contas públicas, cumprimento das metas de resultado entre receitas e despesas, assim como os limites e condições para a renúncia de receita, despesas com pessoal, seguridade social, dívidas consolidada e mobiliária, operações de crédito, concessão de garantia e inscrição em restos a pagar.</w:t>
      </w:r>
    </w:p>
    <w:p w14:paraId="142B9134" w14:textId="77777777" w:rsidR="00A87FFB" w:rsidRPr="001C305A" w:rsidRDefault="00A87FFB" w:rsidP="00A87FFB">
      <w:pPr>
        <w:pStyle w:val="1-REL11"/>
      </w:pPr>
      <w:r w:rsidRPr="001C305A">
        <w:lastRenderedPageBreak/>
        <w:t>Para acompanhar o desempenho do administrador público quanto à gestão fiscal, aferindo-se os limites e índices estabelecidos pela LRF, esta Unidade Técnica utiliza o Relatório Resumido da Execução Orçamentária (RREO), o Relatório de Gestão Fiscal (RGF) e trabalhos de fiscalização específicos realizados no exercício.</w:t>
      </w:r>
    </w:p>
    <w:p w14:paraId="666E2DFD" w14:textId="77777777" w:rsidR="00A87FFB" w:rsidRPr="001C305A" w:rsidRDefault="00A87FFB" w:rsidP="00A87FFB">
      <w:pPr>
        <w:pStyle w:val="1-REL11"/>
      </w:pPr>
      <w:r w:rsidRPr="001C305A">
        <w:t>O RREO, de elaboração e publicação bimestral pelo Poder Executivo (arts. 52 e 53 da LRF), é um demonstrativo que consolida os resultados dos três Poderes (Executivo, Legislativo e Judiciário), além do Ministério Público, e tem previsão no art. 165, § 3°, da Constituição Federal (CF/88).</w:t>
      </w:r>
    </w:p>
    <w:p w14:paraId="2BE7224C" w14:textId="77777777" w:rsidR="00A87FFB" w:rsidRPr="001C305A" w:rsidRDefault="00A87FFB" w:rsidP="00A87FFB">
      <w:pPr>
        <w:pStyle w:val="1-REL10"/>
      </w:pPr>
      <w:r w:rsidRPr="001C305A">
        <w:t>Já o RGF, apresentado ao final de cada quadrimestre conforme estabelece o art. 54 da LRF, é um demonstrativo elaborado por cada um dos titulares dos Poderes e Órgãos Autônomos definidos no art. 20 da referida lei.</w:t>
      </w:r>
    </w:p>
    <w:p w14:paraId="5D1B79DA" w14:textId="77777777" w:rsidR="00A87FFB" w:rsidRPr="001C305A" w:rsidRDefault="00A87FFB" w:rsidP="00A87FFB">
      <w:pPr>
        <w:pStyle w:val="1-REL11"/>
      </w:pPr>
      <w:r w:rsidRPr="001C305A">
        <w:t>Finalmente, destaca-se que a apuração dos cálculos dos limites mencionados no art. 1º, § 1º da LRF considerou os valores contabilizados pelo Estado e aqueles constantes nos relatórios extraídos dos sistemas oficiais. Contudo, registr</w:t>
      </w:r>
      <w:r>
        <w:t>a</w:t>
      </w:r>
      <w:r w:rsidRPr="001C305A">
        <w:t>-se que não foi objeto deste trabalho atestar se todos os valores contabilizados nas respectivas contas representam sua essência ou se estes refletem, de forma adequada, a totalidade dos eventos ocorridos.</w:t>
      </w:r>
    </w:p>
    <w:p w14:paraId="021E7B89" w14:textId="11721E41" w:rsidR="00A87FFB" w:rsidRPr="00C81E58" w:rsidRDefault="00A87FFB" w:rsidP="00A87FFB">
      <w:pPr>
        <w:pStyle w:val="Ttulo2"/>
        <w:spacing w:before="100" w:beforeAutospacing="1" w:after="100" w:afterAutospacing="1" w:line="276" w:lineRule="auto"/>
        <w:contextualSpacing/>
      </w:pPr>
      <w:bookmarkStart w:id="101" w:name="_Toc167871638"/>
      <w:r w:rsidRPr="00C81E58">
        <w:t>Receita Corrente Líquida</w:t>
      </w:r>
      <w:bookmarkEnd w:id="100"/>
      <w:bookmarkEnd w:id="101"/>
    </w:p>
    <w:p w14:paraId="6675FA5A" w14:textId="77777777" w:rsidR="00A87FFB" w:rsidRPr="001C305A" w:rsidRDefault="00A87FFB" w:rsidP="00A87FFB">
      <w:pPr>
        <w:pStyle w:val="1-REL11"/>
      </w:pPr>
      <w:bookmarkStart w:id="102" w:name="_Toc135332660"/>
      <w:r w:rsidRPr="001C305A">
        <w:t>Nesta subseção será apresentada a definição de RCL, bem como sua apuração para o período, permitindo análise quanto à evolução da RCL no Estado em 2023.</w:t>
      </w:r>
    </w:p>
    <w:p w14:paraId="571248C1" w14:textId="77777777" w:rsidR="00A87FFB" w:rsidRPr="001C305A" w:rsidRDefault="00A87FFB" w:rsidP="00A87FFB">
      <w:pPr>
        <w:pStyle w:val="1-REL11"/>
      </w:pPr>
      <w:r w:rsidRPr="001C305A">
        <w:t>A RCL é um indicador utilizado pra medir a capacidade financeira do ente da Federação, pois por meio dele calculam-se os limites da despesa total com pessoal, das dívidas consolidada e mobiliária, das operações de crédito e das respectivas amortizações, das concessões de garantia e contragarantia, bem como o montante da reserva de contingência que deve ser consignado na Lei Orçamentária Anual (LOA).</w:t>
      </w:r>
    </w:p>
    <w:p w14:paraId="737E00D5" w14:textId="77777777" w:rsidR="00A87FFB" w:rsidRPr="001C305A" w:rsidRDefault="00A87FFB" w:rsidP="00A87FFB">
      <w:pPr>
        <w:pStyle w:val="1-REL11"/>
      </w:pPr>
      <w:r w:rsidRPr="001C305A">
        <w:t>No estado de Goiás, a RCL é utilizada para destinar recursos para emendas parlamentares, conforme redação dada ao art. 111, § 8º da Constituição Estadual (CE).</w:t>
      </w:r>
    </w:p>
    <w:p w14:paraId="43F2DAB9" w14:textId="77777777" w:rsidR="00A87FFB" w:rsidRPr="00C81E58" w:rsidRDefault="00A87FFB" w:rsidP="00A224E9">
      <w:pPr>
        <w:pStyle w:val="Ttulo3"/>
      </w:pPr>
      <w:bookmarkStart w:id="103" w:name="_Toc135332661"/>
      <w:bookmarkStart w:id="104" w:name="_Toc167871639"/>
      <w:bookmarkEnd w:id="102"/>
      <w:r w:rsidRPr="00C81E58">
        <w:t>Apuração da Receita Corrente Líquida</w:t>
      </w:r>
      <w:bookmarkEnd w:id="103"/>
      <w:bookmarkEnd w:id="104"/>
    </w:p>
    <w:p w14:paraId="56BDC20C" w14:textId="77777777" w:rsidR="00A87FFB" w:rsidRPr="001C305A" w:rsidRDefault="00A87FFB" w:rsidP="00A87FFB">
      <w:pPr>
        <w:pStyle w:val="1-REL11"/>
      </w:pPr>
      <w:bookmarkStart w:id="105" w:name="_Toc164778958"/>
      <w:r w:rsidRPr="001C305A">
        <w:t xml:space="preserve">O cálculo da RCL se fundamenta no art. 2º, IV, da LRF, e compreende a soma das receitas tributárias, de contribuições, patrimoniais, industriais, agropecuárias, de serviços, transferências correntes e outras receitas também correntes, deduzindo-se as parcelas entregues aos municípios por determinação constitucional, da contribuição dos servidores para o custeio do seu sistema de previdência e assistência social e das receitas provenientes da compensação </w:t>
      </w:r>
      <w:r w:rsidRPr="001C305A">
        <w:lastRenderedPageBreak/>
        <w:t>financeira citada no § 9º do art. 201 da CF/88. Somam-se as receitas arrecadadas no mês em referência e nos onze anteriores, excluídas as duplicidades.</w:t>
      </w:r>
    </w:p>
    <w:p w14:paraId="48CA3434" w14:textId="77777777" w:rsidR="00A87FFB" w:rsidRPr="001C305A" w:rsidRDefault="00A87FFB" w:rsidP="00A87FFB">
      <w:pPr>
        <w:pStyle w:val="1-REL10"/>
      </w:pPr>
      <w:r w:rsidRPr="001C305A">
        <w:t>A RCL é usada para o cálculo e aferição de diversos limites instituídos pela LRF, e o resultado obtido por meio desse indicador poderá ocasionar diversos desdobramentos, tais como redução de despesa com pessoal, restrições à realização de operações de créditos e necessidade de redução de outras despesas correntes.</w:t>
      </w:r>
    </w:p>
    <w:p w14:paraId="104193AC" w14:textId="77777777" w:rsidR="00A87FFB" w:rsidRPr="001C305A" w:rsidRDefault="00A87FFB" w:rsidP="00A87FFB">
      <w:pPr>
        <w:pStyle w:val="1-REL10"/>
      </w:pPr>
      <w:r w:rsidRPr="001C305A">
        <w:t>Destaca-se que a RCL é um indicador que permite avaliar a performance financeira de um ente público, pois o equilíbrio fiscal é uma condição para que as políticas públicas sejam implementadas, e que investimentos importantes sejam realizados com o objetivo de melhorar a qualidade de vida da população.</w:t>
      </w:r>
    </w:p>
    <w:p w14:paraId="27066330" w14:textId="5382A9C5" w:rsidR="00BF1A08" w:rsidRDefault="00A87FFB" w:rsidP="00BF1A08">
      <w:pPr>
        <w:pStyle w:val="1-REL11"/>
      </w:pPr>
      <w:r w:rsidRPr="001C305A">
        <w:t>A apuração da RCL é feita bimestralmente e publicada no RREO, sendo que a metodologia de cálculo deve obedecer às normas preceituadas pela Secretaria do Tesouro Nacional (STN), que guarda sintonia com a Resolução nº 9/</w:t>
      </w:r>
      <w:r>
        <w:t>20</w:t>
      </w:r>
      <w:r w:rsidRPr="001C305A">
        <w:t>16</w:t>
      </w:r>
      <w:r>
        <w:t xml:space="preserve"> do </w:t>
      </w:r>
      <w:r w:rsidRPr="001C305A">
        <w:t>TCE</w:t>
      </w:r>
      <w:r>
        <w:t>/</w:t>
      </w:r>
      <w:r w:rsidRPr="001C305A">
        <w:t>GO. Apresenta-se, a seguir, a apuração da RCL para o estado de Goiás em 2023:</w:t>
      </w:r>
    </w:p>
    <w:p w14:paraId="3B17E282" w14:textId="56113D3C" w:rsidR="00BF1A08" w:rsidRPr="00BF1A08" w:rsidRDefault="00BF1A08" w:rsidP="00ED3571">
      <w:pPr>
        <w:pStyle w:val="0-TABELA"/>
      </w:pPr>
      <w:bookmarkStart w:id="106" w:name="_Toc167871743"/>
      <w:r w:rsidRPr="00442B1E">
        <w:t>Apuração d</w:t>
      </w:r>
      <w:r>
        <w:t xml:space="preserve">a </w:t>
      </w:r>
      <w:r w:rsidRPr="00C25C0A">
        <w:t>Receita Corrente Líquida</w:t>
      </w:r>
      <w:r>
        <w:t xml:space="preserve"> </w:t>
      </w:r>
      <w:r w:rsidRPr="001C305A">
        <w:t>– 20</w:t>
      </w:r>
      <w:r w:rsidR="00473849">
        <w:t>19</w:t>
      </w:r>
      <w:r>
        <w:t xml:space="preserve"> </w:t>
      </w:r>
      <w:r w:rsidR="00473849">
        <w:t>a</w:t>
      </w:r>
      <w:r>
        <w:t xml:space="preserve"> 202</w:t>
      </w:r>
      <w:r w:rsidR="00473849">
        <w:t>3</w:t>
      </w:r>
      <w:bookmarkEnd w:id="106"/>
    </w:p>
    <w:bookmarkEnd w:id="105"/>
    <w:p w14:paraId="31EDBCDC" w14:textId="77777777" w:rsidR="00A87FFB" w:rsidRPr="00D30877" w:rsidRDefault="00A87FFB" w:rsidP="00A87FFB">
      <w:pPr>
        <w:pStyle w:val="0-EmR1"/>
      </w:pPr>
      <w:r w:rsidRPr="00D30877">
        <w:t>R$ mil</w:t>
      </w:r>
    </w:p>
    <w:tbl>
      <w:tblPr>
        <w:tblW w:w="5000" w:type="pct"/>
        <w:tblCellMar>
          <w:left w:w="70" w:type="dxa"/>
          <w:right w:w="70" w:type="dxa"/>
        </w:tblCellMar>
        <w:tblLook w:val="04A0" w:firstRow="1" w:lastRow="0" w:firstColumn="1" w:lastColumn="0" w:noHBand="0" w:noVBand="1"/>
      </w:tblPr>
      <w:tblGrid>
        <w:gridCol w:w="3158"/>
        <w:gridCol w:w="1163"/>
        <w:gridCol w:w="1275"/>
        <w:gridCol w:w="1275"/>
        <w:gridCol w:w="1275"/>
        <w:gridCol w:w="1207"/>
      </w:tblGrid>
      <w:tr w:rsidR="00A87FFB" w:rsidRPr="00FD6536" w14:paraId="739EA36E" w14:textId="77777777" w:rsidTr="00E6391B">
        <w:trPr>
          <w:trHeight w:val="340"/>
          <w:tblHeader/>
        </w:trPr>
        <w:tc>
          <w:tcPr>
            <w:tcW w:w="2032" w:type="pct"/>
            <w:tcBorders>
              <w:top w:val="single" w:sz="8" w:space="0" w:color="auto"/>
              <w:left w:val="nil"/>
              <w:bottom w:val="single" w:sz="8" w:space="0" w:color="333300"/>
              <w:right w:val="single" w:sz="8" w:space="0" w:color="auto"/>
            </w:tcBorders>
            <w:shd w:val="clear" w:color="000000" w:fill="A1F2FD"/>
            <w:vAlign w:val="center"/>
            <w:hideMark/>
          </w:tcPr>
          <w:p w14:paraId="0873003E" w14:textId="77777777" w:rsidR="00A87FFB" w:rsidRPr="00FD6536" w:rsidRDefault="00A87FFB" w:rsidP="00335D8A">
            <w:pPr>
              <w:jc w:val="center"/>
              <w:rPr>
                <w:rFonts w:cs="Arial"/>
                <w:b/>
                <w:bCs/>
                <w:sz w:val="20"/>
                <w:szCs w:val="18"/>
              </w:rPr>
            </w:pPr>
            <w:r w:rsidRPr="00FD6536">
              <w:rPr>
                <w:rFonts w:cs="Arial"/>
                <w:b/>
                <w:bCs/>
                <w:sz w:val="20"/>
                <w:szCs w:val="18"/>
              </w:rPr>
              <w:t>Especificação</w:t>
            </w:r>
          </w:p>
        </w:tc>
        <w:tc>
          <w:tcPr>
            <w:tcW w:w="547" w:type="pct"/>
            <w:tcBorders>
              <w:top w:val="single" w:sz="8" w:space="0" w:color="auto"/>
              <w:left w:val="nil"/>
              <w:bottom w:val="single" w:sz="8" w:space="0" w:color="333300"/>
              <w:right w:val="single" w:sz="8" w:space="0" w:color="auto"/>
            </w:tcBorders>
            <w:shd w:val="clear" w:color="000000" w:fill="A1F2FD"/>
            <w:vAlign w:val="center"/>
            <w:hideMark/>
          </w:tcPr>
          <w:p w14:paraId="3EDD0677" w14:textId="77777777" w:rsidR="00A87FFB" w:rsidRPr="00FD6536" w:rsidRDefault="00A87FFB" w:rsidP="00335D8A">
            <w:pPr>
              <w:jc w:val="center"/>
              <w:rPr>
                <w:rFonts w:cs="Arial"/>
                <w:b/>
                <w:bCs/>
                <w:sz w:val="20"/>
                <w:szCs w:val="16"/>
              </w:rPr>
            </w:pPr>
            <w:r w:rsidRPr="00FD6536">
              <w:rPr>
                <w:rFonts w:cs="Arial"/>
                <w:b/>
                <w:bCs/>
                <w:sz w:val="20"/>
                <w:szCs w:val="16"/>
              </w:rPr>
              <w:t>2019</w:t>
            </w:r>
          </w:p>
        </w:tc>
        <w:tc>
          <w:tcPr>
            <w:tcW w:w="625" w:type="pct"/>
            <w:tcBorders>
              <w:top w:val="single" w:sz="8" w:space="0" w:color="auto"/>
              <w:left w:val="nil"/>
              <w:bottom w:val="single" w:sz="8" w:space="0" w:color="333300"/>
              <w:right w:val="single" w:sz="8" w:space="0" w:color="auto"/>
            </w:tcBorders>
            <w:shd w:val="clear" w:color="000000" w:fill="A1F2FD"/>
            <w:vAlign w:val="center"/>
            <w:hideMark/>
          </w:tcPr>
          <w:p w14:paraId="404DE90F" w14:textId="77777777" w:rsidR="00A87FFB" w:rsidRPr="00FD6536" w:rsidRDefault="00A87FFB" w:rsidP="00335D8A">
            <w:pPr>
              <w:jc w:val="center"/>
              <w:rPr>
                <w:rFonts w:cs="Arial"/>
                <w:b/>
                <w:bCs/>
                <w:sz w:val="20"/>
                <w:szCs w:val="16"/>
              </w:rPr>
            </w:pPr>
            <w:r w:rsidRPr="00FD6536">
              <w:rPr>
                <w:rFonts w:cs="Arial"/>
                <w:b/>
                <w:bCs/>
                <w:sz w:val="20"/>
                <w:szCs w:val="16"/>
              </w:rPr>
              <w:t>2020</w:t>
            </w:r>
          </w:p>
        </w:tc>
        <w:tc>
          <w:tcPr>
            <w:tcW w:w="625" w:type="pct"/>
            <w:tcBorders>
              <w:top w:val="single" w:sz="8" w:space="0" w:color="auto"/>
              <w:left w:val="nil"/>
              <w:bottom w:val="single" w:sz="8" w:space="0" w:color="333300"/>
              <w:right w:val="single" w:sz="8" w:space="0" w:color="auto"/>
            </w:tcBorders>
            <w:shd w:val="clear" w:color="000000" w:fill="A1F2FD"/>
            <w:vAlign w:val="center"/>
            <w:hideMark/>
          </w:tcPr>
          <w:p w14:paraId="07F2B886" w14:textId="77777777" w:rsidR="00A87FFB" w:rsidRPr="00FD6536" w:rsidRDefault="00A87FFB" w:rsidP="00335D8A">
            <w:pPr>
              <w:jc w:val="center"/>
              <w:rPr>
                <w:rFonts w:cs="Arial"/>
                <w:b/>
                <w:bCs/>
                <w:sz w:val="20"/>
                <w:szCs w:val="16"/>
              </w:rPr>
            </w:pPr>
            <w:r w:rsidRPr="00FD6536">
              <w:rPr>
                <w:rFonts w:cs="Arial"/>
                <w:b/>
                <w:bCs/>
                <w:sz w:val="20"/>
                <w:szCs w:val="16"/>
              </w:rPr>
              <w:t>2021</w:t>
            </w:r>
          </w:p>
        </w:tc>
        <w:tc>
          <w:tcPr>
            <w:tcW w:w="625" w:type="pct"/>
            <w:tcBorders>
              <w:top w:val="single" w:sz="8" w:space="0" w:color="auto"/>
              <w:left w:val="nil"/>
              <w:bottom w:val="single" w:sz="8" w:space="0" w:color="333300"/>
              <w:right w:val="single" w:sz="8" w:space="0" w:color="auto"/>
            </w:tcBorders>
            <w:shd w:val="clear" w:color="000000" w:fill="A1F2FD"/>
            <w:vAlign w:val="center"/>
            <w:hideMark/>
          </w:tcPr>
          <w:p w14:paraId="059D9884" w14:textId="77777777" w:rsidR="00A87FFB" w:rsidRPr="00FD6536" w:rsidRDefault="00A87FFB" w:rsidP="00335D8A">
            <w:pPr>
              <w:jc w:val="center"/>
              <w:rPr>
                <w:rFonts w:cs="Arial"/>
                <w:b/>
                <w:bCs/>
                <w:sz w:val="20"/>
                <w:szCs w:val="16"/>
              </w:rPr>
            </w:pPr>
            <w:r w:rsidRPr="00FD6536">
              <w:rPr>
                <w:rFonts w:cs="Arial"/>
                <w:b/>
                <w:bCs/>
                <w:sz w:val="20"/>
                <w:szCs w:val="16"/>
              </w:rPr>
              <w:t>2022</w:t>
            </w:r>
          </w:p>
        </w:tc>
        <w:tc>
          <w:tcPr>
            <w:tcW w:w="546" w:type="pct"/>
            <w:tcBorders>
              <w:top w:val="single" w:sz="8" w:space="0" w:color="auto"/>
              <w:left w:val="nil"/>
              <w:bottom w:val="single" w:sz="8" w:space="0" w:color="333300"/>
              <w:right w:val="nil"/>
            </w:tcBorders>
            <w:shd w:val="clear" w:color="000000" w:fill="A1F2FD"/>
            <w:vAlign w:val="center"/>
            <w:hideMark/>
          </w:tcPr>
          <w:p w14:paraId="09F0BD66" w14:textId="77777777" w:rsidR="00A87FFB" w:rsidRPr="00FD6536" w:rsidRDefault="00A87FFB" w:rsidP="00335D8A">
            <w:pPr>
              <w:jc w:val="center"/>
              <w:rPr>
                <w:rFonts w:cs="Arial"/>
                <w:b/>
                <w:bCs/>
                <w:sz w:val="20"/>
                <w:szCs w:val="16"/>
              </w:rPr>
            </w:pPr>
            <w:r w:rsidRPr="00FD6536">
              <w:rPr>
                <w:rFonts w:cs="Arial"/>
                <w:b/>
                <w:bCs/>
                <w:sz w:val="20"/>
                <w:szCs w:val="16"/>
              </w:rPr>
              <w:t>2023</w:t>
            </w:r>
          </w:p>
        </w:tc>
      </w:tr>
      <w:tr w:rsidR="00A87FFB" w:rsidRPr="00FD6536" w14:paraId="2064BF6C" w14:textId="77777777" w:rsidTr="00E6391B">
        <w:trPr>
          <w:trHeight w:val="340"/>
        </w:trPr>
        <w:tc>
          <w:tcPr>
            <w:tcW w:w="2032" w:type="pct"/>
            <w:tcBorders>
              <w:top w:val="nil"/>
              <w:left w:val="nil"/>
              <w:bottom w:val="nil"/>
              <w:right w:val="single" w:sz="8" w:space="0" w:color="auto"/>
            </w:tcBorders>
            <w:shd w:val="clear" w:color="auto" w:fill="auto"/>
            <w:vAlign w:val="center"/>
            <w:hideMark/>
          </w:tcPr>
          <w:p w14:paraId="27F0A7B3" w14:textId="77777777" w:rsidR="00A87FFB" w:rsidRPr="00FD6536" w:rsidRDefault="00A87FFB" w:rsidP="00335D8A">
            <w:pPr>
              <w:rPr>
                <w:rFonts w:cs="Arial"/>
                <w:b/>
                <w:bCs/>
                <w:sz w:val="20"/>
                <w:szCs w:val="18"/>
              </w:rPr>
            </w:pPr>
            <w:r w:rsidRPr="00FD6536">
              <w:rPr>
                <w:rFonts w:cs="Arial"/>
                <w:b/>
                <w:bCs/>
                <w:sz w:val="20"/>
                <w:szCs w:val="18"/>
              </w:rPr>
              <w:t>Receitas Correntes (I)</w:t>
            </w:r>
          </w:p>
        </w:tc>
        <w:tc>
          <w:tcPr>
            <w:tcW w:w="547" w:type="pct"/>
            <w:tcBorders>
              <w:top w:val="nil"/>
              <w:left w:val="nil"/>
              <w:bottom w:val="nil"/>
              <w:right w:val="single" w:sz="8" w:space="0" w:color="auto"/>
            </w:tcBorders>
            <w:shd w:val="clear" w:color="auto" w:fill="auto"/>
            <w:vAlign w:val="center"/>
            <w:hideMark/>
          </w:tcPr>
          <w:p w14:paraId="565E57DE" w14:textId="77777777" w:rsidR="00A87FFB" w:rsidRPr="00FD6536" w:rsidRDefault="00A87FFB" w:rsidP="00335D8A">
            <w:pPr>
              <w:jc w:val="right"/>
              <w:rPr>
                <w:rFonts w:cs="Arial"/>
                <w:b/>
                <w:bCs/>
                <w:sz w:val="20"/>
                <w:szCs w:val="16"/>
              </w:rPr>
            </w:pPr>
            <w:r w:rsidRPr="00FD6536">
              <w:rPr>
                <w:rFonts w:cs="Arial"/>
                <w:b/>
                <w:bCs/>
                <w:sz w:val="20"/>
                <w:szCs w:val="16"/>
              </w:rPr>
              <w:t>33.867.173</w:t>
            </w:r>
          </w:p>
        </w:tc>
        <w:tc>
          <w:tcPr>
            <w:tcW w:w="625" w:type="pct"/>
            <w:tcBorders>
              <w:top w:val="nil"/>
              <w:left w:val="nil"/>
              <w:bottom w:val="nil"/>
              <w:right w:val="single" w:sz="8" w:space="0" w:color="auto"/>
            </w:tcBorders>
            <w:shd w:val="clear" w:color="auto" w:fill="auto"/>
            <w:vAlign w:val="center"/>
            <w:hideMark/>
          </w:tcPr>
          <w:p w14:paraId="7C5DB151" w14:textId="77777777" w:rsidR="00A87FFB" w:rsidRPr="00FD6536" w:rsidRDefault="00A87FFB" w:rsidP="00335D8A">
            <w:pPr>
              <w:jc w:val="right"/>
              <w:rPr>
                <w:rFonts w:cs="Arial"/>
                <w:b/>
                <w:bCs/>
                <w:sz w:val="20"/>
                <w:szCs w:val="16"/>
              </w:rPr>
            </w:pPr>
            <w:r w:rsidRPr="00FD6536">
              <w:rPr>
                <w:rFonts w:cs="Arial"/>
                <w:b/>
                <w:bCs/>
                <w:sz w:val="20"/>
                <w:szCs w:val="16"/>
              </w:rPr>
              <w:t>36.454.348</w:t>
            </w:r>
          </w:p>
        </w:tc>
        <w:tc>
          <w:tcPr>
            <w:tcW w:w="625" w:type="pct"/>
            <w:tcBorders>
              <w:top w:val="nil"/>
              <w:left w:val="nil"/>
              <w:bottom w:val="nil"/>
              <w:right w:val="single" w:sz="8" w:space="0" w:color="auto"/>
            </w:tcBorders>
            <w:shd w:val="clear" w:color="auto" w:fill="auto"/>
            <w:vAlign w:val="center"/>
            <w:hideMark/>
          </w:tcPr>
          <w:p w14:paraId="3168702E" w14:textId="77777777" w:rsidR="00A87FFB" w:rsidRPr="00FD6536" w:rsidRDefault="00A87FFB" w:rsidP="00335D8A">
            <w:pPr>
              <w:jc w:val="right"/>
              <w:rPr>
                <w:rFonts w:cs="Arial"/>
                <w:b/>
                <w:bCs/>
                <w:sz w:val="20"/>
                <w:szCs w:val="16"/>
              </w:rPr>
            </w:pPr>
            <w:r w:rsidRPr="00FD6536">
              <w:rPr>
                <w:rFonts w:cs="Arial"/>
                <w:b/>
                <w:bCs/>
                <w:sz w:val="20"/>
                <w:szCs w:val="16"/>
              </w:rPr>
              <w:t>44.193.200</w:t>
            </w:r>
          </w:p>
        </w:tc>
        <w:tc>
          <w:tcPr>
            <w:tcW w:w="625" w:type="pct"/>
            <w:tcBorders>
              <w:top w:val="nil"/>
              <w:left w:val="nil"/>
              <w:bottom w:val="nil"/>
              <w:right w:val="single" w:sz="8" w:space="0" w:color="auto"/>
            </w:tcBorders>
            <w:shd w:val="clear" w:color="auto" w:fill="auto"/>
            <w:vAlign w:val="center"/>
            <w:hideMark/>
          </w:tcPr>
          <w:p w14:paraId="0EA46304" w14:textId="77777777" w:rsidR="00A87FFB" w:rsidRPr="00FD6536" w:rsidRDefault="00A87FFB" w:rsidP="00335D8A">
            <w:pPr>
              <w:jc w:val="right"/>
              <w:rPr>
                <w:rFonts w:cs="Arial"/>
                <w:b/>
                <w:bCs/>
                <w:sz w:val="20"/>
                <w:szCs w:val="16"/>
              </w:rPr>
            </w:pPr>
            <w:r w:rsidRPr="00FD6536">
              <w:rPr>
                <w:rFonts w:cs="Arial"/>
                <w:b/>
                <w:bCs/>
                <w:sz w:val="20"/>
                <w:szCs w:val="16"/>
              </w:rPr>
              <w:t>51.031.812</w:t>
            </w:r>
          </w:p>
        </w:tc>
        <w:tc>
          <w:tcPr>
            <w:tcW w:w="546" w:type="pct"/>
            <w:tcBorders>
              <w:top w:val="nil"/>
              <w:left w:val="nil"/>
              <w:bottom w:val="nil"/>
              <w:right w:val="nil"/>
            </w:tcBorders>
            <w:shd w:val="clear" w:color="auto" w:fill="auto"/>
            <w:vAlign w:val="center"/>
            <w:hideMark/>
          </w:tcPr>
          <w:p w14:paraId="53773CCF" w14:textId="77777777" w:rsidR="00A87FFB" w:rsidRPr="00FD6536" w:rsidRDefault="00A87FFB" w:rsidP="00335D8A">
            <w:pPr>
              <w:jc w:val="right"/>
              <w:rPr>
                <w:rFonts w:cs="Arial"/>
                <w:b/>
                <w:bCs/>
                <w:sz w:val="20"/>
                <w:szCs w:val="16"/>
              </w:rPr>
            </w:pPr>
            <w:r w:rsidRPr="00FD6536">
              <w:rPr>
                <w:rFonts w:cs="Arial"/>
                <w:b/>
                <w:bCs/>
                <w:sz w:val="20"/>
                <w:szCs w:val="16"/>
              </w:rPr>
              <w:t>53.575.104</w:t>
            </w:r>
          </w:p>
        </w:tc>
      </w:tr>
      <w:tr w:rsidR="00A87FFB" w:rsidRPr="00FD6536" w14:paraId="72A7C620" w14:textId="77777777" w:rsidTr="00E6391B">
        <w:trPr>
          <w:trHeight w:val="340"/>
        </w:trPr>
        <w:tc>
          <w:tcPr>
            <w:tcW w:w="2032" w:type="pct"/>
            <w:tcBorders>
              <w:top w:val="nil"/>
              <w:left w:val="nil"/>
              <w:bottom w:val="nil"/>
              <w:right w:val="single" w:sz="8" w:space="0" w:color="auto"/>
            </w:tcBorders>
            <w:shd w:val="clear" w:color="auto" w:fill="auto"/>
            <w:vAlign w:val="center"/>
            <w:hideMark/>
          </w:tcPr>
          <w:p w14:paraId="54104D21" w14:textId="77777777" w:rsidR="00A87FFB" w:rsidRPr="00FD6536" w:rsidRDefault="00A87FFB" w:rsidP="00335D8A">
            <w:pPr>
              <w:ind w:left="215" w:hanging="3"/>
              <w:rPr>
                <w:rFonts w:cs="Arial"/>
                <w:bCs/>
                <w:sz w:val="18"/>
                <w:szCs w:val="18"/>
              </w:rPr>
            </w:pPr>
            <w:r w:rsidRPr="00FD6536">
              <w:rPr>
                <w:rFonts w:cs="Arial"/>
                <w:bCs/>
                <w:sz w:val="18"/>
                <w:szCs w:val="18"/>
              </w:rPr>
              <w:t>Impostos, Taxas e Contribuições de Melhoria</w:t>
            </w:r>
          </w:p>
        </w:tc>
        <w:tc>
          <w:tcPr>
            <w:tcW w:w="547" w:type="pct"/>
            <w:tcBorders>
              <w:top w:val="nil"/>
              <w:left w:val="nil"/>
              <w:bottom w:val="nil"/>
              <w:right w:val="single" w:sz="8" w:space="0" w:color="auto"/>
            </w:tcBorders>
            <w:shd w:val="clear" w:color="auto" w:fill="auto"/>
            <w:vAlign w:val="center"/>
            <w:hideMark/>
          </w:tcPr>
          <w:p w14:paraId="106BBBFD" w14:textId="77777777" w:rsidR="00A87FFB" w:rsidRPr="00FD6536" w:rsidRDefault="00A87FFB" w:rsidP="00335D8A">
            <w:pPr>
              <w:jc w:val="right"/>
              <w:rPr>
                <w:rFonts w:cs="Arial"/>
                <w:bCs/>
                <w:sz w:val="20"/>
                <w:szCs w:val="16"/>
              </w:rPr>
            </w:pPr>
            <w:r w:rsidRPr="00FD6536">
              <w:rPr>
                <w:rFonts w:cs="Arial"/>
                <w:bCs/>
                <w:sz w:val="20"/>
                <w:szCs w:val="16"/>
              </w:rPr>
              <w:t>23.031.170</w:t>
            </w:r>
          </w:p>
        </w:tc>
        <w:tc>
          <w:tcPr>
            <w:tcW w:w="625" w:type="pct"/>
            <w:tcBorders>
              <w:top w:val="nil"/>
              <w:left w:val="nil"/>
              <w:bottom w:val="nil"/>
              <w:right w:val="single" w:sz="8" w:space="0" w:color="auto"/>
            </w:tcBorders>
            <w:shd w:val="clear" w:color="auto" w:fill="auto"/>
            <w:vAlign w:val="center"/>
            <w:hideMark/>
          </w:tcPr>
          <w:p w14:paraId="101799F3" w14:textId="77777777" w:rsidR="00A87FFB" w:rsidRPr="00FD6536" w:rsidRDefault="00A87FFB" w:rsidP="00335D8A">
            <w:pPr>
              <w:jc w:val="right"/>
              <w:rPr>
                <w:rFonts w:cs="Arial"/>
                <w:bCs/>
                <w:sz w:val="20"/>
                <w:szCs w:val="16"/>
              </w:rPr>
            </w:pPr>
            <w:r w:rsidRPr="00FD6536">
              <w:rPr>
                <w:rFonts w:cs="Arial"/>
                <w:bCs/>
                <w:sz w:val="20"/>
                <w:szCs w:val="16"/>
              </w:rPr>
              <w:t>23.759.138</w:t>
            </w:r>
          </w:p>
        </w:tc>
        <w:tc>
          <w:tcPr>
            <w:tcW w:w="625" w:type="pct"/>
            <w:tcBorders>
              <w:top w:val="nil"/>
              <w:left w:val="nil"/>
              <w:bottom w:val="nil"/>
              <w:right w:val="single" w:sz="8" w:space="0" w:color="auto"/>
            </w:tcBorders>
            <w:shd w:val="clear" w:color="auto" w:fill="auto"/>
            <w:vAlign w:val="center"/>
            <w:hideMark/>
          </w:tcPr>
          <w:p w14:paraId="7479CC3A" w14:textId="77777777" w:rsidR="00A87FFB" w:rsidRPr="00FD6536" w:rsidRDefault="00A87FFB" w:rsidP="00335D8A">
            <w:pPr>
              <w:jc w:val="right"/>
              <w:rPr>
                <w:rFonts w:cs="Arial"/>
                <w:bCs/>
                <w:sz w:val="20"/>
                <w:szCs w:val="16"/>
              </w:rPr>
            </w:pPr>
            <w:r w:rsidRPr="00FD6536">
              <w:rPr>
                <w:rFonts w:cs="Arial"/>
                <w:bCs/>
                <w:sz w:val="20"/>
                <w:szCs w:val="16"/>
              </w:rPr>
              <w:t>30.095.582</w:t>
            </w:r>
          </w:p>
        </w:tc>
        <w:tc>
          <w:tcPr>
            <w:tcW w:w="625" w:type="pct"/>
            <w:tcBorders>
              <w:top w:val="nil"/>
              <w:left w:val="nil"/>
              <w:bottom w:val="nil"/>
              <w:right w:val="single" w:sz="8" w:space="0" w:color="auto"/>
            </w:tcBorders>
            <w:shd w:val="clear" w:color="auto" w:fill="auto"/>
            <w:vAlign w:val="center"/>
            <w:hideMark/>
          </w:tcPr>
          <w:p w14:paraId="7F9CBBD0" w14:textId="77777777" w:rsidR="00A87FFB" w:rsidRPr="00FD6536" w:rsidRDefault="00A87FFB" w:rsidP="00335D8A">
            <w:pPr>
              <w:jc w:val="right"/>
              <w:rPr>
                <w:rFonts w:cs="Arial"/>
                <w:bCs/>
                <w:sz w:val="20"/>
                <w:szCs w:val="16"/>
              </w:rPr>
            </w:pPr>
            <w:r w:rsidRPr="00FD6536">
              <w:rPr>
                <w:rFonts w:cs="Arial"/>
                <w:bCs/>
                <w:sz w:val="20"/>
                <w:szCs w:val="16"/>
              </w:rPr>
              <w:t>32.349.592</w:t>
            </w:r>
          </w:p>
        </w:tc>
        <w:tc>
          <w:tcPr>
            <w:tcW w:w="546" w:type="pct"/>
            <w:tcBorders>
              <w:top w:val="nil"/>
              <w:left w:val="nil"/>
              <w:bottom w:val="nil"/>
              <w:right w:val="nil"/>
            </w:tcBorders>
            <w:shd w:val="clear" w:color="auto" w:fill="auto"/>
            <w:vAlign w:val="center"/>
            <w:hideMark/>
          </w:tcPr>
          <w:p w14:paraId="3ADE0663" w14:textId="77777777" w:rsidR="00A87FFB" w:rsidRPr="00FD6536" w:rsidRDefault="00A87FFB" w:rsidP="00335D8A">
            <w:pPr>
              <w:jc w:val="right"/>
              <w:rPr>
                <w:rFonts w:cs="Arial"/>
                <w:bCs/>
                <w:sz w:val="20"/>
                <w:szCs w:val="16"/>
              </w:rPr>
            </w:pPr>
            <w:r w:rsidRPr="00FD6536">
              <w:rPr>
                <w:rFonts w:cs="Arial"/>
                <w:bCs/>
                <w:sz w:val="20"/>
                <w:szCs w:val="16"/>
              </w:rPr>
              <w:t>34.215.129</w:t>
            </w:r>
          </w:p>
        </w:tc>
      </w:tr>
      <w:tr w:rsidR="00A87FFB" w:rsidRPr="00FD6536" w14:paraId="5D9B036B" w14:textId="77777777" w:rsidTr="00E6391B">
        <w:trPr>
          <w:trHeight w:val="340"/>
        </w:trPr>
        <w:tc>
          <w:tcPr>
            <w:tcW w:w="2032" w:type="pct"/>
            <w:tcBorders>
              <w:top w:val="nil"/>
              <w:left w:val="nil"/>
              <w:bottom w:val="nil"/>
              <w:right w:val="single" w:sz="8" w:space="0" w:color="auto"/>
            </w:tcBorders>
            <w:shd w:val="clear" w:color="auto" w:fill="auto"/>
            <w:vAlign w:val="center"/>
            <w:hideMark/>
          </w:tcPr>
          <w:p w14:paraId="2968A260" w14:textId="77777777" w:rsidR="00A87FFB" w:rsidRPr="00FD6536" w:rsidRDefault="00A87FFB" w:rsidP="00335D8A">
            <w:pPr>
              <w:ind w:firstLine="212"/>
              <w:rPr>
                <w:rFonts w:cs="Arial"/>
                <w:bCs/>
                <w:sz w:val="18"/>
                <w:szCs w:val="18"/>
              </w:rPr>
            </w:pPr>
            <w:r w:rsidRPr="00FD6536">
              <w:rPr>
                <w:rFonts w:cs="Arial"/>
                <w:bCs/>
                <w:sz w:val="18"/>
                <w:szCs w:val="18"/>
              </w:rPr>
              <w:t>Receita de Contribuições</w:t>
            </w:r>
          </w:p>
        </w:tc>
        <w:tc>
          <w:tcPr>
            <w:tcW w:w="547" w:type="pct"/>
            <w:tcBorders>
              <w:top w:val="nil"/>
              <w:left w:val="nil"/>
              <w:bottom w:val="nil"/>
              <w:right w:val="single" w:sz="8" w:space="0" w:color="auto"/>
            </w:tcBorders>
            <w:shd w:val="clear" w:color="auto" w:fill="auto"/>
            <w:vAlign w:val="center"/>
            <w:hideMark/>
          </w:tcPr>
          <w:p w14:paraId="2E2A1451" w14:textId="77777777" w:rsidR="00A87FFB" w:rsidRPr="00FD6536" w:rsidRDefault="00A87FFB" w:rsidP="00335D8A">
            <w:pPr>
              <w:jc w:val="right"/>
              <w:rPr>
                <w:rFonts w:cs="Arial"/>
                <w:bCs/>
                <w:sz w:val="20"/>
                <w:szCs w:val="16"/>
              </w:rPr>
            </w:pPr>
            <w:r w:rsidRPr="00FD6536">
              <w:rPr>
                <w:rFonts w:cs="Arial"/>
                <w:bCs/>
                <w:sz w:val="20"/>
                <w:szCs w:val="16"/>
              </w:rPr>
              <w:t>1.309.301</w:t>
            </w:r>
          </w:p>
        </w:tc>
        <w:tc>
          <w:tcPr>
            <w:tcW w:w="625" w:type="pct"/>
            <w:tcBorders>
              <w:top w:val="nil"/>
              <w:left w:val="nil"/>
              <w:bottom w:val="nil"/>
              <w:right w:val="single" w:sz="8" w:space="0" w:color="auto"/>
            </w:tcBorders>
            <w:shd w:val="clear" w:color="auto" w:fill="auto"/>
            <w:vAlign w:val="center"/>
            <w:hideMark/>
          </w:tcPr>
          <w:p w14:paraId="1F5A404B" w14:textId="77777777" w:rsidR="00A87FFB" w:rsidRPr="00FD6536" w:rsidRDefault="00A87FFB" w:rsidP="00335D8A">
            <w:pPr>
              <w:jc w:val="right"/>
              <w:rPr>
                <w:rFonts w:cs="Arial"/>
                <w:bCs/>
                <w:sz w:val="20"/>
                <w:szCs w:val="16"/>
              </w:rPr>
            </w:pPr>
            <w:r w:rsidRPr="00FD6536">
              <w:rPr>
                <w:rFonts w:cs="Arial"/>
                <w:bCs/>
                <w:sz w:val="20"/>
                <w:szCs w:val="16"/>
              </w:rPr>
              <w:t>1.391.617</w:t>
            </w:r>
          </w:p>
        </w:tc>
        <w:tc>
          <w:tcPr>
            <w:tcW w:w="625" w:type="pct"/>
            <w:tcBorders>
              <w:top w:val="nil"/>
              <w:left w:val="nil"/>
              <w:bottom w:val="nil"/>
              <w:right w:val="single" w:sz="8" w:space="0" w:color="auto"/>
            </w:tcBorders>
            <w:shd w:val="clear" w:color="auto" w:fill="auto"/>
            <w:vAlign w:val="center"/>
            <w:hideMark/>
          </w:tcPr>
          <w:p w14:paraId="6461410E" w14:textId="77777777" w:rsidR="00A87FFB" w:rsidRPr="00FD6536" w:rsidRDefault="00A87FFB" w:rsidP="00335D8A">
            <w:pPr>
              <w:jc w:val="right"/>
              <w:rPr>
                <w:rFonts w:cs="Arial"/>
                <w:bCs/>
                <w:sz w:val="20"/>
                <w:szCs w:val="16"/>
              </w:rPr>
            </w:pPr>
            <w:r w:rsidRPr="00FD6536">
              <w:rPr>
                <w:rFonts w:cs="Arial"/>
                <w:bCs/>
                <w:sz w:val="20"/>
                <w:szCs w:val="16"/>
              </w:rPr>
              <w:t>1.579.766</w:t>
            </w:r>
          </w:p>
        </w:tc>
        <w:tc>
          <w:tcPr>
            <w:tcW w:w="625" w:type="pct"/>
            <w:tcBorders>
              <w:top w:val="nil"/>
              <w:left w:val="nil"/>
              <w:bottom w:val="nil"/>
              <w:right w:val="single" w:sz="8" w:space="0" w:color="auto"/>
            </w:tcBorders>
            <w:shd w:val="clear" w:color="auto" w:fill="auto"/>
            <w:vAlign w:val="center"/>
            <w:hideMark/>
          </w:tcPr>
          <w:p w14:paraId="02099EB1" w14:textId="77777777" w:rsidR="00A87FFB" w:rsidRPr="00FD6536" w:rsidRDefault="00A87FFB" w:rsidP="00335D8A">
            <w:pPr>
              <w:jc w:val="right"/>
              <w:rPr>
                <w:rFonts w:cs="Arial"/>
                <w:bCs/>
                <w:sz w:val="20"/>
                <w:szCs w:val="16"/>
              </w:rPr>
            </w:pPr>
            <w:r w:rsidRPr="00FD6536">
              <w:rPr>
                <w:rFonts w:cs="Arial"/>
                <w:bCs/>
                <w:sz w:val="20"/>
                <w:szCs w:val="16"/>
              </w:rPr>
              <w:t>1.573.882</w:t>
            </w:r>
          </w:p>
        </w:tc>
        <w:tc>
          <w:tcPr>
            <w:tcW w:w="546" w:type="pct"/>
            <w:tcBorders>
              <w:top w:val="nil"/>
              <w:left w:val="nil"/>
              <w:bottom w:val="nil"/>
              <w:right w:val="nil"/>
            </w:tcBorders>
            <w:shd w:val="clear" w:color="auto" w:fill="auto"/>
            <w:vAlign w:val="center"/>
            <w:hideMark/>
          </w:tcPr>
          <w:p w14:paraId="46198F4B" w14:textId="77777777" w:rsidR="00A87FFB" w:rsidRPr="00FD6536" w:rsidRDefault="00A87FFB" w:rsidP="00335D8A">
            <w:pPr>
              <w:jc w:val="right"/>
              <w:rPr>
                <w:rFonts w:cs="Arial"/>
                <w:bCs/>
                <w:sz w:val="20"/>
                <w:szCs w:val="16"/>
              </w:rPr>
            </w:pPr>
            <w:r w:rsidRPr="00FD6536">
              <w:rPr>
                <w:rFonts w:cs="Arial"/>
                <w:bCs/>
                <w:sz w:val="20"/>
                <w:szCs w:val="16"/>
              </w:rPr>
              <w:t>1.715.967</w:t>
            </w:r>
          </w:p>
        </w:tc>
      </w:tr>
      <w:tr w:rsidR="00A87FFB" w:rsidRPr="00FD6536" w14:paraId="78D27C9E" w14:textId="77777777" w:rsidTr="00E6391B">
        <w:trPr>
          <w:trHeight w:val="340"/>
        </w:trPr>
        <w:tc>
          <w:tcPr>
            <w:tcW w:w="2032" w:type="pct"/>
            <w:tcBorders>
              <w:top w:val="nil"/>
              <w:left w:val="nil"/>
              <w:bottom w:val="nil"/>
              <w:right w:val="single" w:sz="8" w:space="0" w:color="auto"/>
            </w:tcBorders>
            <w:shd w:val="clear" w:color="auto" w:fill="auto"/>
            <w:vAlign w:val="center"/>
            <w:hideMark/>
          </w:tcPr>
          <w:p w14:paraId="1EDF022E" w14:textId="77777777" w:rsidR="00A87FFB" w:rsidRPr="00FD6536" w:rsidRDefault="00A87FFB" w:rsidP="00335D8A">
            <w:pPr>
              <w:ind w:firstLine="212"/>
              <w:rPr>
                <w:rFonts w:cs="Arial"/>
                <w:bCs/>
                <w:sz w:val="18"/>
                <w:szCs w:val="18"/>
              </w:rPr>
            </w:pPr>
            <w:r w:rsidRPr="00FD6536">
              <w:rPr>
                <w:rFonts w:cs="Arial"/>
                <w:bCs/>
                <w:sz w:val="18"/>
                <w:szCs w:val="18"/>
              </w:rPr>
              <w:t>Receita Patrimonial</w:t>
            </w:r>
          </w:p>
        </w:tc>
        <w:tc>
          <w:tcPr>
            <w:tcW w:w="547" w:type="pct"/>
            <w:tcBorders>
              <w:top w:val="nil"/>
              <w:left w:val="nil"/>
              <w:bottom w:val="nil"/>
              <w:right w:val="single" w:sz="8" w:space="0" w:color="auto"/>
            </w:tcBorders>
            <w:shd w:val="clear" w:color="auto" w:fill="auto"/>
            <w:vAlign w:val="center"/>
            <w:hideMark/>
          </w:tcPr>
          <w:p w14:paraId="6C635E2C" w14:textId="77777777" w:rsidR="00A87FFB" w:rsidRPr="00FD6536" w:rsidRDefault="00A87FFB" w:rsidP="00335D8A">
            <w:pPr>
              <w:jc w:val="right"/>
              <w:rPr>
                <w:rFonts w:cs="Arial"/>
                <w:bCs/>
                <w:sz w:val="20"/>
                <w:szCs w:val="16"/>
              </w:rPr>
            </w:pPr>
            <w:r w:rsidRPr="00FD6536">
              <w:rPr>
                <w:rFonts w:cs="Arial"/>
                <w:bCs/>
                <w:sz w:val="20"/>
                <w:szCs w:val="16"/>
              </w:rPr>
              <w:t>285.067</w:t>
            </w:r>
          </w:p>
        </w:tc>
        <w:tc>
          <w:tcPr>
            <w:tcW w:w="625" w:type="pct"/>
            <w:tcBorders>
              <w:top w:val="nil"/>
              <w:left w:val="nil"/>
              <w:bottom w:val="nil"/>
              <w:right w:val="single" w:sz="8" w:space="0" w:color="auto"/>
            </w:tcBorders>
            <w:shd w:val="clear" w:color="auto" w:fill="auto"/>
            <w:vAlign w:val="center"/>
            <w:hideMark/>
          </w:tcPr>
          <w:p w14:paraId="3B20B86B" w14:textId="77777777" w:rsidR="00A87FFB" w:rsidRPr="00FD6536" w:rsidRDefault="00A87FFB" w:rsidP="00335D8A">
            <w:pPr>
              <w:jc w:val="right"/>
              <w:rPr>
                <w:rFonts w:cs="Arial"/>
                <w:bCs/>
                <w:sz w:val="20"/>
                <w:szCs w:val="16"/>
              </w:rPr>
            </w:pPr>
            <w:r w:rsidRPr="00FD6536">
              <w:rPr>
                <w:rFonts w:cs="Arial"/>
                <w:bCs/>
                <w:sz w:val="20"/>
                <w:szCs w:val="16"/>
              </w:rPr>
              <w:t>251.799</w:t>
            </w:r>
          </w:p>
        </w:tc>
        <w:tc>
          <w:tcPr>
            <w:tcW w:w="625" w:type="pct"/>
            <w:tcBorders>
              <w:top w:val="nil"/>
              <w:left w:val="nil"/>
              <w:bottom w:val="nil"/>
              <w:right w:val="single" w:sz="8" w:space="0" w:color="auto"/>
            </w:tcBorders>
            <w:shd w:val="clear" w:color="auto" w:fill="auto"/>
            <w:vAlign w:val="center"/>
            <w:hideMark/>
          </w:tcPr>
          <w:p w14:paraId="714FB337" w14:textId="77777777" w:rsidR="00A87FFB" w:rsidRPr="00FD6536" w:rsidRDefault="00A87FFB" w:rsidP="00335D8A">
            <w:pPr>
              <w:jc w:val="right"/>
              <w:rPr>
                <w:rFonts w:cs="Arial"/>
                <w:bCs/>
                <w:sz w:val="20"/>
                <w:szCs w:val="16"/>
              </w:rPr>
            </w:pPr>
            <w:r w:rsidRPr="00FD6536">
              <w:rPr>
                <w:rFonts w:cs="Arial"/>
                <w:bCs/>
                <w:sz w:val="20"/>
                <w:szCs w:val="16"/>
              </w:rPr>
              <w:t>463.052</w:t>
            </w:r>
          </w:p>
        </w:tc>
        <w:tc>
          <w:tcPr>
            <w:tcW w:w="625" w:type="pct"/>
            <w:tcBorders>
              <w:top w:val="nil"/>
              <w:left w:val="nil"/>
              <w:bottom w:val="nil"/>
              <w:right w:val="single" w:sz="8" w:space="0" w:color="auto"/>
            </w:tcBorders>
            <w:shd w:val="clear" w:color="auto" w:fill="auto"/>
            <w:vAlign w:val="center"/>
            <w:hideMark/>
          </w:tcPr>
          <w:p w14:paraId="199B36B9" w14:textId="77777777" w:rsidR="00A87FFB" w:rsidRPr="00FD6536" w:rsidRDefault="00A87FFB" w:rsidP="00335D8A">
            <w:pPr>
              <w:jc w:val="right"/>
              <w:rPr>
                <w:rFonts w:cs="Arial"/>
                <w:bCs/>
                <w:sz w:val="20"/>
                <w:szCs w:val="16"/>
              </w:rPr>
            </w:pPr>
            <w:r w:rsidRPr="00FD6536">
              <w:rPr>
                <w:rFonts w:cs="Arial"/>
                <w:bCs/>
                <w:sz w:val="20"/>
                <w:szCs w:val="16"/>
              </w:rPr>
              <w:t>2.690.203</w:t>
            </w:r>
          </w:p>
        </w:tc>
        <w:tc>
          <w:tcPr>
            <w:tcW w:w="546" w:type="pct"/>
            <w:tcBorders>
              <w:top w:val="nil"/>
              <w:left w:val="nil"/>
              <w:bottom w:val="nil"/>
              <w:right w:val="nil"/>
            </w:tcBorders>
            <w:shd w:val="clear" w:color="auto" w:fill="auto"/>
            <w:vAlign w:val="center"/>
            <w:hideMark/>
          </w:tcPr>
          <w:p w14:paraId="728F26DA" w14:textId="77777777" w:rsidR="00A87FFB" w:rsidRPr="00FD6536" w:rsidRDefault="00A87FFB" w:rsidP="00335D8A">
            <w:pPr>
              <w:jc w:val="right"/>
              <w:rPr>
                <w:rFonts w:cs="Arial"/>
                <w:bCs/>
                <w:sz w:val="20"/>
                <w:szCs w:val="16"/>
              </w:rPr>
            </w:pPr>
            <w:r w:rsidRPr="00FD6536">
              <w:rPr>
                <w:rFonts w:cs="Arial"/>
                <w:bCs/>
                <w:sz w:val="20"/>
                <w:szCs w:val="16"/>
              </w:rPr>
              <w:t>1.868.721</w:t>
            </w:r>
          </w:p>
        </w:tc>
      </w:tr>
      <w:tr w:rsidR="00A87FFB" w:rsidRPr="00FD6536" w14:paraId="19DC6BC2" w14:textId="77777777" w:rsidTr="00E6391B">
        <w:trPr>
          <w:trHeight w:val="340"/>
        </w:trPr>
        <w:tc>
          <w:tcPr>
            <w:tcW w:w="2032" w:type="pct"/>
            <w:tcBorders>
              <w:top w:val="nil"/>
              <w:left w:val="nil"/>
              <w:bottom w:val="nil"/>
              <w:right w:val="single" w:sz="8" w:space="0" w:color="auto"/>
            </w:tcBorders>
            <w:shd w:val="clear" w:color="auto" w:fill="auto"/>
            <w:vAlign w:val="center"/>
            <w:hideMark/>
          </w:tcPr>
          <w:p w14:paraId="3E03AA51" w14:textId="77777777" w:rsidR="00A87FFB" w:rsidRPr="00FD6536" w:rsidRDefault="00A87FFB" w:rsidP="00335D8A">
            <w:pPr>
              <w:ind w:firstLine="212"/>
              <w:rPr>
                <w:rFonts w:cs="Arial"/>
                <w:bCs/>
                <w:sz w:val="18"/>
                <w:szCs w:val="18"/>
              </w:rPr>
            </w:pPr>
            <w:r w:rsidRPr="00FD6536">
              <w:rPr>
                <w:rFonts w:cs="Arial"/>
                <w:bCs/>
                <w:sz w:val="18"/>
                <w:szCs w:val="18"/>
              </w:rPr>
              <w:t>Receita Agropecuária</w:t>
            </w:r>
          </w:p>
        </w:tc>
        <w:tc>
          <w:tcPr>
            <w:tcW w:w="547" w:type="pct"/>
            <w:tcBorders>
              <w:top w:val="nil"/>
              <w:left w:val="nil"/>
              <w:bottom w:val="nil"/>
              <w:right w:val="single" w:sz="8" w:space="0" w:color="auto"/>
            </w:tcBorders>
            <w:shd w:val="clear" w:color="auto" w:fill="auto"/>
            <w:vAlign w:val="center"/>
            <w:hideMark/>
          </w:tcPr>
          <w:p w14:paraId="2DA9B513" w14:textId="77777777" w:rsidR="00A87FFB" w:rsidRPr="00FD6536" w:rsidRDefault="00A87FFB" w:rsidP="00335D8A">
            <w:pPr>
              <w:jc w:val="right"/>
              <w:rPr>
                <w:rFonts w:cs="Arial"/>
                <w:bCs/>
                <w:sz w:val="20"/>
                <w:szCs w:val="16"/>
              </w:rPr>
            </w:pPr>
            <w:r w:rsidRPr="00FD6536">
              <w:rPr>
                <w:rFonts w:cs="Arial"/>
                <w:bCs/>
                <w:sz w:val="20"/>
                <w:szCs w:val="16"/>
              </w:rPr>
              <w:t>-</w:t>
            </w:r>
          </w:p>
        </w:tc>
        <w:tc>
          <w:tcPr>
            <w:tcW w:w="625" w:type="pct"/>
            <w:tcBorders>
              <w:top w:val="nil"/>
              <w:left w:val="nil"/>
              <w:bottom w:val="nil"/>
              <w:right w:val="single" w:sz="8" w:space="0" w:color="auto"/>
            </w:tcBorders>
            <w:shd w:val="clear" w:color="auto" w:fill="auto"/>
            <w:vAlign w:val="center"/>
            <w:hideMark/>
          </w:tcPr>
          <w:p w14:paraId="629476F6" w14:textId="77777777" w:rsidR="00A87FFB" w:rsidRPr="00FD6536" w:rsidRDefault="00A87FFB" w:rsidP="00335D8A">
            <w:pPr>
              <w:jc w:val="right"/>
              <w:rPr>
                <w:rFonts w:cs="Arial"/>
                <w:bCs/>
                <w:sz w:val="20"/>
                <w:szCs w:val="16"/>
              </w:rPr>
            </w:pPr>
            <w:r w:rsidRPr="00FD6536">
              <w:rPr>
                <w:rFonts w:cs="Arial"/>
                <w:bCs/>
                <w:sz w:val="20"/>
                <w:szCs w:val="16"/>
              </w:rPr>
              <w:t>-</w:t>
            </w:r>
          </w:p>
        </w:tc>
        <w:tc>
          <w:tcPr>
            <w:tcW w:w="625" w:type="pct"/>
            <w:tcBorders>
              <w:top w:val="nil"/>
              <w:left w:val="nil"/>
              <w:bottom w:val="nil"/>
              <w:right w:val="single" w:sz="8" w:space="0" w:color="auto"/>
            </w:tcBorders>
            <w:shd w:val="clear" w:color="auto" w:fill="auto"/>
            <w:vAlign w:val="center"/>
            <w:hideMark/>
          </w:tcPr>
          <w:p w14:paraId="74A4AC22" w14:textId="77777777" w:rsidR="00A87FFB" w:rsidRPr="00FD6536" w:rsidRDefault="00A87FFB" w:rsidP="00335D8A">
            <w:pPr>
              <w:jc w:val="right"/>
              <w:rPr>
                <w:rFonts w:cs="Arial"/>
                <w:bCs/>
                <w:sz w:val="20"/>
                <w:szCs w:val="16"/>
              </w:rPr>
            </w:pPr>
            <w:r w:rsidRPr="00FD6536">
              <w:rPr>
                <w:rFonts w:cs="Arial"/>
                <w:bCs/>
                <w:sz w:val="20"/>
                <w:szCs w:val="16"/>
              </w:rPr>
              <w:t>-</w:t>
            </w:r>
          </w:p>
        </w:tc>
        <w:tc>
          <w:tcPr>
            <w:tcW w:w="625" w:type="pct"/>
            <w:tcBorders>
              <w:top w:val="nil"/>
              <w:left w:val="nil"/>
              <w:bottom w:val="nil"/>
              <w:right w:val="single" w:sz="8" w:space="0" w:color="auto"/>
            </w:tcBorders>
            <w:shd w:val="clear" w:color="auto" w:fill="auto"/>
            <w:vAlign w:val="center"/>
            <w:hideMark/>
          </w:tcPr>
          <w:p w14:paraId="6C6C7C5A" w14:textId="77777777" w:rsidR="00A87FFB" w:rsidRPr="00FD6536" w:rsidRDefault="00A87FFB" w:rsidP="00335D8A">
            <w:pPr>
              <w:jc w:val="right"/>
              <w:rPr>
                <w:rFonts w:cs="Arial"/>
                <w:bCs/>
                <w:sz w:val="20"/>
                <w:szCs w:val="16"/>
              </w:rPr>
            </w:pPr>
            <w:r w:rsidRPr="00FD6536">
              <w:rPr>
                <w:rFonts w:cs="Arial"/>
                <w:bCs/>
                <w:sz w:val="20"/>
                <w:szCs w:val="16"/>
              </w:rPr>
              <w:t>-</w:t>
            </w:r>
          </w:p>
        </w:tc>
        <w:tc>
          <w:tcPr>
            <w:tcW w:w="546" w:type="pct"/>
            <w:tcBorders>
              <w:top w:val="nil"/>
              <w:left w:val="nil"/>
              <w:bottom w:val="nil"/>
              <w:right w:val="nil"/>
            </w:tcBorders>
            <w:shd w:val="clear" w:color="auto" w:fill="auto"/>
            <w:vAlign w:val="center"/>
            <w:hideMark/>
          </w:tcPr>
          <w:p w14:paraId="18EB6708" w14:textId="77777777" w:rsidR="00A87FFB" w:rsidRPr="00FD6536" w:rsidRDefault="00A87FFB" w:rsidP="00335D8A">
            <w:pPr>
              <w:jc w:val="right"/>
              <w:rPr>
                <w:rFonts w:cs="Arial"/>
                <w:bCs/>
                <w:sz w:val="20"/>
                <w:szCs w:val="16"/>
              </w:rPr>
            </w:pPr>
            <w:r w:rsidRPr="00FD6536">
              <w:rPr>
                <w:rFonts w:cs="Arial"/>
                <w:bCs/>
                <w:sz w:val="20"/>
                <w:szCs w:val="16"/>
              </w:rPr>
              <w:t>181</w:t>
            </w:r>
          </w:p>
        </w:tc>
      </w:tr>
      <w:tr w:rsidR="00A87FFB" w:rsidRPr="00FD6536" w14:paraId="0EADDD61" w14:textId="77777777" w:rsidTr="00E6391B">
        <w:trPr>
          <w:trHeight w:val="340"/>
        </w:trPr>
        <w:tc>
          <w:tcPr>
            <w:tcW w:w="2032" w:type="pct"/>
            <w:tcBorders>
              <w:top w:val="nil"/>
              <w:left w:val="nil"/>
              <w:bottom w:val="nil"/>
              <w:right w:val="single" w:sz="8" w:space="0" w:color="auto"/>
            </w:tcBorders>
            <w:shd w:val="clear" w:color="auto" w:fill="auto"/>
            <w:vAlign w:val="center"/>
            <w:hideMark/>
          </w:tcPr>
          <w:p w14:paraId="381EC0C0" w14:textId="77777777" w:rsidR="00A87FFB" w:rsidRPr="00FD6536" w:rsidRDefault="00A87FFB" w:rsidP="00335D8A">
            <w:pPr>
              <w:ind w:firstLine="212"/>
              <w:rPr>
                <w:rFonts w:cs="Arial"/>
                <w:bCs/>
                <w:sz w:val="18"/>
                <w:szCs w:val="18"/>
              </w:rPr>
            </w:pPr>
            <w:r w:rsidRPr="00FD6536">
              <w:rPr>
                <w:rFonts w:cs="Arial"/>
                <w:bCs/>
                <w:sz w:val="18"/>
                <w:szCs w:val="18"/>
              </w:rPr>
              <w:t>Receita Industrial</w:t>
            </w:r>
          </w:p>
        </w:tc>
        <w:tc>
          <w:tcPr>
            <w:tcW w:w="547" w:type="pct"/>
            <w:tcBorders>
              <w:top w:val="nil"/>
              <w:left w:val="nil"/>
              <w:bottom w:val="nil"/>
              <w:right w:val="single" w:sz="8" w:space="0" w:color="auto"/>
            </w:tcBorders>
            <w:shd w:val="clear" w:color="auto" w:fill="auto"/>
            <w:vAlign w:val="center"/>
            <w:hideMark/>
          </w:tcPr>
          <w:p w14:paraId="0ED56656" w14:textId="77777777" w:rsidR="00A87FFB" w:rsidRPr="00FD6536" w:rsidRDefault="00A87FFB" w:rsidP="00335D8A">
            <w:pPr>
              <w:jc w:val="right"/>
              <w:rPr>
                <w:rFonts w:cs="Arial"/>
                <w:bCs/>
                <w:sz w:val="20"/>
                <w:szCs w:val="16"/>
              </w:rPr>
            </w:pPr>
            <w:r w:rsidRPr="00FD6536">
              <w:rPr>
                <w:rFonts w:cs="Arial"/>
                <w:bCs/>
                <w:sz w:val="20"/>
                <w:szCs w:val="16"/>
              </w:rPr>
              <w:t>-</w:t>
            </w:r>
          </w:p>
        </w:tc>
        <w:tc>
          <w:tcPr>
            <w:tcW w:w="625" w:type="pct"/>
            <w:tcBorders>
              <w:top w:val="nil"/>
              <w:left w:val="nil"/>
              <w:bottom w:val="nil"/>
              <w:right w:val="single" w:sz="8" w:space="0" w:color="auto"/>
            </w:tcBorders>
            <w:shd w:val="clear" w:color="auto" w:fill="auto"/>
            <w:vAlign w:val="center"/>
            <w:hideMark/>
          </w:tcPr>
          <w:p w14:paraId="2BC3A9E4" w14:textId="77777777" w:rsidR="00A87FFB" w:rsidRPr="00FD6536" w:rsidRDefault="00A87FFB" w:rsidP="00335D8A">
            <w:pPr>
              <w:jc w:val="right"/>
              <w:rPr>
                <w:rFonts w:cs="Arial"/>
                <w:bCs/>
                <w:sz w:val="20"/>
                <w:szCs w:val="16"/>
              </w:rPr>
            </w:pPr>
            <w:r w:rsidRPr="00FD6536">
              <w:rPr>
                <w:rFonts w:cs="Arial"/>
                <w:bCs/>
                <w:sz w:val="20"/>
                <w:szCs w:val="16"/>
              </w:rPr>
              <w:t>-</w:t>
            </w:r>
          </w:p>
        </w:tc>
        <w:tc>
          <w:tcPr>
            <w:tcW w:w="625" w:type="pct"/>
            <w:tcBorders>
              <w:top w:val="nil"/>
              <w:left w:val="nil"/>
              <w:bottom w:val="nil"/>
              <w:right w:val="single" w:sz="8" w:space="0" w:color="auto"/>
            </w:tcBorders>
            <w:shd w:val="clear" w:color="auto" w:fill="auto"/>
            <w:vAlign w:val="center"/>
            <w:hideMark/>
          </w:tcPr>
          <w:p w14:paraId="0C594F98" w14:textId="77777777" w:rsidR="00A87FFB" w:rsidRPr="00FD6536" w:rsidRDefault="00A87FFB" w:rsidP="00335D8A">
            <w:pPr>
              <w:jc w:val="right"/>
              <w:rPr>
                <w:rFonts w:cs="Arial"/>
                <w:bCs/>
                <w:sz w:val="20"/>
                <w:szCs w:val="16"/>
              </w:rPr>
            </w:pPr>
            <w:r w:rsidRPr="00FD6536">
              <w:rPr>
                <w:rFonts w:cs="Arial"/>
                <w:bCs/>
                <w:sz w:val="20"/>
                <w:szCs w:val="16"/>
              </w:rPr>
              <w:t>115</w:t>
            </w:r>
          </w:p>
        </w:tc>
        <w:tc>
          <w:tcPr>
            <w:tcW w:w="625" w:type="pct"/>
            <w:tcBorders>
              <w:top w:val="nil"/>
              <w:left w:val="nil"/>
              <w:bottom w:val="nil"/>
              <w:right w:val="single" w:sz="8" w:space="0" w:color="auto"/>
            </w:tcBorders>
            <w:shd w:val="clear" w:color="auto" w:fill="auto"/>
            <w:vAlign w:val="center"/>
            <w:hideMark/>
          </w:tcPr>
          <w:p w14:paraId="594F43CC" w14:textId="77777777" w:rsidR="00A87FFB" w:rsidRPr="00FD6536" w:rsidRDefault="00A87FFB" w:rsidP="00335D8A">
            <w:pPr>
              <w:jc w:val="right"/>
              <w:rPr>
                <w:rFonts w:cs="Arial"/>
                <w:bCs/>
                <w:sz w:val="20"/>
                <w:szCs w:val="16"/>
              </w:rPr>
            </w:pPr>
            <w:r w:rsidRPr="00FD6536">
              <w:rPr>
                <w:rFonts w:cs="Arial"/>
                <w:bCs/>
                <w:sz w:val="20"/>
                <w:szCs w:val="16"/>
              </w:rPr>
              <w:t>1.017</w:t>
            </w:r>
          </w:p>
        </w:tc>
        <w:tc>
          <w:tcPr>
            <w:tcW w:w="546" w:type="pct"/>
            <w:tcBorders>
              <w:top w:val="nil"/>
              <w:left w:val="nil"/>
              <w:bottom w:val="nil"/>
              <w:right w:val="nil"/>
            </w:tcBorders>
            <w:shd w:val="clear" w:color="auto" w:fill="auto"/>
            <w:vAlign w:val="center"/>
            <w:hideMark/>
          </w:tcPr>
          <w:p w14:paraId="50E8D12F" w14:textId="77777777" w:rsidR="00A87FFB" w:rsidRPr="00FD6536" w:rsidRDefault="00A87FFB" w:rsidP="00335D8A">
            <w:pPr>
              <w:jc w:val="right"/>
              <w:rPr>
                <w:rFonts w:cs="Arial"/>
                <w:bCs/>
                <w:sz w:val="20"/>
                <w:szCs w:val="16"/>
              </w:rPr>
            </w:pPr>
            <w:r w:rsidRPr="00FD6536">
              <w:rPr>
                <w:rFonts w:cs="Arial"/>
                <w:bCs/>
                <w:sz w:val="20"/>
                <w:szCs w:val="16"/>
              </w:rPr>
              <w:t>-</w:t>
            </w:r>
          </w:p>
        </w:tc>
      </w:tr>
      <w:tr w:rsidR="00A87FFB" w:rsidRPr="00FD6536" w14:paraId="7D57F4FB" w14:textId="77777777" w:rsidTr="00E6391B">
        <w:trPr>
          <w:trHeight w:val="340"/>
        </w:trPr>
        <w:tc>
          <w:tcPr>
            <w:tcW w:w="2032" w:type="pct"/>
            <w:tcBorders>
              <w:top w:val="nil"/>
              <w:left w:val="nil"/>
              <w:bottom w:val="nil"/>
              <w:right w:val="single" w:sz="8" w:space="0" w:color="auto"/>
            </w:tcBorders>
            <w:shd w:val="clear" w:color="auto" w:fill="auto"/>
            <w:vAlign w:val="center"/>
            <w:hideMark/>
          </w:tcPr>
          <w:p w14:paraId="3F129BE5" w14:textId="77777777" w:rsidR="00A87FFB" w:rsidRPr="00FD6536" w:rsidRDefault="00A87FFB" w:rsidP="00335D8A">
            <w:pPr>
              <w:ind w:firstLine="212"/>
              <w:rPr>
                <w:rFonts w:cs="Arial"/>
                <w:bCs/>
                <w:sz w:val="18"/>
                <w:szCs w:val="18"/>
              </w:rPr>
            </w:pPr>
            <w:r w:rsidRPr="00FD6536">
              <w:rPr>
                <w:rFonts w:cs="Arial"/>
                <w:bCs/>
                <w:sz w:val="18"/>
                <w:szCs w:val="18"/>
              </w:rPr>
              <w:t>Receita de Serviços</w:t>
            </w:r>
          </w:p>
        </w:tc>
        <w:tc>
          <w:tcPr>
            <w:tcW w:w="547" w:type="pct"/>
            <w:tcBorders>
              <w:top w:val="nil"/>
              <w:left w:val="nil"/>
              <w:bottom w:val="nil"/>
              <w:right w:val="single" w:sz="8" w:space="0" w:color="auto"/>
            </w:tcBorders>
            <w:shd w:val="clear" w:color="auto" w:fill="auto"/>
            <w:vAlign w:val="center"/>
            <w:hideMark/>
          </w:tcPr>
          <w:p w14:paraId="47F368DF" w14:textId="77777777" w:rsidR="00A87FFB" w:rsidRPr="00FD6536" w:rsidRDefault="00A87FFB" w:rsidP="00335D8A">
            <w:pPr>
              <w:jc w:val="right"/>
              <w:rPr>
                <w:rFonts w:cs="Arial"/>
                <w:bCs/>
                <w:sz w:val="20"/>
                <w:szCs w:val="16"/>
              </w:rPr>
            </w:pPr>
            <w:r w:rsidRPr="00FD6536">
              <w:rPr>
                <w:rFonts w:cs="Arial"/>
                <w:bCs/>
                <w:sz w:val="20"/>
                <w:szCs w:val="16"/>
              </w:rPr>
              <w:t>1.871.917</w:t>
            </w:r>
          </w:p>
        </w:tc>
        <w:tc>
          <w:tcPr>
            <w:tcW w:w="625" w:type="pct"/>
            <w:tcBorders>
              <w:top w:val="nil"/>
              <w:left w:val="nil"/>
              <w:bottom w:val="nil"/>
              <w:right w:val="single" w:sz="8" w:space="0" w:color="auto"/>
            </w:tcBorders>
            <w:shd w:val="clear" w:color="auto" w:fill="auto"/>
            <w:vAlign w:val="center"/>
            <w:hideMark/>
          </w:tcPr>
          <w:p w14:paraId="600B1431" w14:textId="77777777" w:rsidR="00A87FFB" w:rsidRPr="00FD6536" w:rsidRDefault="00A87FFB" w:rsidP="00335D8A">
            <w:pPr>
              <w:jc w:val="right"/>
              <w:rPr>
                <w:rFonts w:cs="Arial"/>
                <w:bCs/>
                <w:sz w:val="20"/>
                <w:szCs w:val="16"/>
              </w:rPr>
            </w:pPr>
            <w:r w:rsidRPr="00FD6536">
              <w:rPr>
                <w:rFonts w:cs="Arial"/>
                <w:bCs/>
                <w:sz w:val="20"/>
                <w:szCs w:val="16"/>
              </w:rPr>
              <w:t>1.881.983</w:t>
            </w:r>
          </w:p>
        </w:tc>
        <w:tc>
          <w:tcPr>
            <w:tcW w:w="625" w:type="pct"/>
            <w:tcBorders>
              <w:top w:val="nil"/>
              <w:left w:val="nil"/>
              <w:bottom w:val="nil"/>
              <w:right w:val="single" w:sz="8" w:space="0" w:color="auto"/>
            </w:tcBorders>
            <w:shd w:val="clear" w:color="auto" w:fill="auto"/>
            <w:vAlign w:val="center"/>
            <w:hideMark/>
          </w:tcPr>
          <w:p w14:paraId="24128C32" w14:textId="77777777" w:rsidR="00A87FFB" w:rsidRPr="00FD6536" w:rsidRDefault="00A87FFB" w:rsidP="00335D8A">
            <w:pPr>
              <w:jc w:val="right"/>
              <w:rPr>
                <w:rFonts w:cs="Arial"/>
                <w:bCs/>
                <w:sz w:val="20"/>
                <w:szCs w:val="16"/>
              </w:rPr>
            </w:pPr>
            <w:r w:rsidRPr="00FD6536">
              <w:rPr>
                <w:rFonts w:cs="Arial"/>
                <w:bCs/>
                <w:sz w:val="20"/>
                <w:szCs w:val="16"/>
              </w:rPr>
              <w:t>1.998.643</w:t>
            </w:r>
          </w:p>
        </w:tc>
        <w:tc>
          <w:tcPr>
            <w:tcW w:w="625" w:type="pct"/>
            <w:tcBorders>
              <w:top w:val="nil"/>
              <w:left w:val="nil"/>
              <w:bottom w:val="nil"/>
              <w:right w:val="single" w:sz="8" w:space="0" w:color="auto"/>
            </w:tcBorders>
            <w:shd w:val="clear" w:color="auto" w:fill="auto"/>
            <w:vAlign w:val="center"/>
            <w:hideMark/>
          </w:tcPr>
          <w:p w14:paraId="76991F52" w14:textId="77777777" w:rsidR="00A87FFB" w:rsidRPr="00FD6536" w:rsidRDefault="00A87FFB" w:rsidP="00335D8A">
            <w:pPr>
              <w:jc w:val="right"/>
              <w:rPr>
                <w:rFonts w:cs="Arial"/>
                <w:bCs/>
                <w:sz w:val="20"/>
                <w:szCs w:val="16"/>
              </w:rPr>
            </w:pPr>
            <w:r w:rsidRPr="00FD6536">
              <w:rPr>
                <w:rFonts w:cs="Arial"/>
                <w:bCs/>
                <w:sz w:val="20"/>
                <w:szCs w:val="16"/>
              </w:rPr>
              <w:t>2.089.776</w:t>
            </w:r>
          </w:p>
        </w:tc>
        <w:tc>
          <w:tcPr>
            <w:tcW w:w="546" w:type="pct"/>
            <w:tcBorders>
              <w:top w:val="nil"/>
              <w:left w:val="nil"/>
              <w:bottom w:val="nil"/>
              <w:right w:val="nil"/>
            </w:tcBorders>
            <w:shd w:val="clear" w:color="auto" w:fill="auto"/>
            <w:vAlign w:val="center"/>
            <w:hideMark/>
          </w:tcPr>
          <w:p w14:paraId="6B537FBA" w14:textId="77777777" w:rsidR="00A87FFB" w:rsidRPr="00FD6536" w:rsidRDefault="00A87FFB" w:rsidP="00335D8A">
            <w:pPr>
              <w:jc w:val="right"/>
              <w:rPr>
                <w:rFonts w:cs="Arial"/>
                <w:bCs/>
                <w:sz w:val="20"/>
                <w:szCs w:val="16"/>
              </w:rPr>
            </w:pPr>
            <w:r w:rsidRPr="00FD6536">
              <w:rPr>
                <w:rFonts w:cs="Arial"/>
                <w:bCs/>
                <w:sz w:val="20"/>
                <w:szCs w:val="16"/>
              </w:rPr>
              <w:t>875.482</w:t>
            </w:r>
          </w:p>
        </w:tc>
      </w:tr>
      <w:tr w:rsidR="00A87FFB" w:rsidRPr="00FD6536" w14:paraId="343A3ADC" w14:textId="77777777" w:rsidTr="00E6391B">
        <w:trPr>
          <w:trHeight w:val="340"/>
        </w:trPr>
        <w:tc>
          <w:tcPr>
            <w:tcW w:w="2032" w:type="pct"/>
            <w:tcBorders>
              <w:top w:val="nil"/>
              <w:left w:val="nil"/>
              <w:bottom w:val="nil"/>
              <w:right w:val="single" w:sz="8" w:space="0" w:color="auto"/>
            </w:tcBorders>
            <w:shd w:val="clear" w:color="auto" w:fill="auto"/>
            <w:vAlign w:val="center"/>
            <w:hideMark/>
          </w:tcPr>
          <w:p w14:paraId="325E4F79" w14:textId="77777777" w:rsidR="00A87FFB" w:rsidRPr="00FD6536" w:rsidRDefault="00A87FFB" w:rsidP="00335D8A">
            <w:pPr>
              <w:ind w:firstLine="212"/>
              <w:rPr>
                <w:rFonts w:cs="Arial"/>
                <w:bCs/>
                <w:sz w:val="18"/>
                <w:szCs w:val="18"/>
              </w:rPr>
            </w:pPr>
            <w:r w:rsidRPr="00FD6536">
              <w:rPr>
                <w:rFonts w:cs="Arial"/>
                <w:bCs/>
                <w:sz w:val="18"/>
                <w:szCs w:val="18"/>
              </w:rPr>
              <w:t>Transferências Correntes</w:t>
            </w:r>
          </w:p>
        </w:tc>
        <w:tc>
          <w:tcPr>
            <w:tcW w:w="547" w:type="pct"/>
            <w:tcBorders>
              <w:top w:val="nil"/>
              <w:left w:val="nil"/>
              <w:bottom w:val="nil"/>
              <w:right w:val="single" w:sz="8" w:space="0" w:color="auto"/>
            </w:tcBorders>
            <w:shd w:val="clear" w:color="auto" w:fill="auto"/>
            <w:vAlign w:val="center"/>
            <w:hideMark/>
          </w:tcPr>
          <w:p w14:paraId="671BAC65" w14:textId="77777777" w:rsidR="00A87FFB" w:rsidRPr="00FD6536" w:rsidRDefault="00A87FFB" w:rsidP="00335D8A">
            <w:pPr>
              <w:jc w:val="right"/>
              <w:rPr>
                <w:rFonts w:cs="Arial"/>
                <w:bCs/>
                <w:sz w:val="20"/>
                <w:szCs w:val="16"/>
              </w:rPr>
            </w:pPr>
            <w:r w:rsidRPr="00FD6536">
              <w:rPr>
                <w:rFonts w:cs="Arial"/>
                <w:bCs/>
                <w:sz w:val="20"/>
                <w:szCs w:val="16"/>
              </w:rPr>
              <w:t>5.976.906</w:t>
            </w:r>
          </w:p>
        </w:tc>
        <w:tc>
          <w:tcPr>
            <w:tcW w:w="625" w:type="pct"/>
            <w:tcBorders>
              <w:top w:val="nil"/>
              <w:left w:val="nil"/>
              <w:bottom w:val="nil"/>
              <w:right w:val="single" w:sz="8" w:space="0" w:color="auto"/>
            </w:tcBorders>
            <w:shd w:val="clear" w:color="auto" w:fill="auto"/>
            <w:vAlign w:val="center"/>
            <w:hideMark/>
          </w:tcPr>
          <w:p w14:paraId="2BB19DEC" w14:textId="77777777" w:rsidR="00A87FFB" w:rsidRPr="00FD6536" w:rsidRDefault="00A87FFB" w:rsidP="00335D8A">
            <w:pPr>
              <w:jc w:val="right"/>
              <w:rPr>
                <w:rFonts w:cs="Arial"/>
                <w:bCs/>
                <w:sz w:val="20"/>
                <w:szCs w:val="16"/>
              </w:rPr>
            </w:pPr>
            <w:r w:rsidRPr="00FD6536">
              <w:rPr>
                <w:rFonts w:cs="Arial"/>
                <w:bCs/>
                <w:sz w:val="20"/>
                <w:szCs w:val="16"/>
              </w:rPr>
              <w:t>7.422.844</w:t>
            </w:r>
          </w:p>
        </w:tc>
        <w:tc>
          <w:tcPr>
            <w:tcW w:w="625" w:type="pct"/>
            <w:tcBorders>
              <w:top w:val="nil"/>
              <w:left w:val="nil"/>
              <w:bottom w:val="nil"/>
              <w:right w:val="single" w:sz="8" w:space="0" w:color="auto"/>
            </w:tcBorders>
            <w:shd w:val="clear" w:color="auto" w:fill="auto"/>
            <w:vAlign w:val="center"/>
            <w:hideMark/>
          </w:tcPr>
          <w:p w14:paraId="58042A8B" w14:textId="77777777" w:rsidR="00A87FFB" w:rsidRPr="00FD6536" w:rsidRDefault="00A87FFB" w:rsidP="00335D8A">
            <w:pPr>
              <w:jc w:val="right"/>
              <w:rPr>
                <w:rFonts w:cs="Arial"/>
                <w:bCs/>
                <w:sz w:val="20"/>
                <w:szCs w:val="16"/>
              </w:rPr>
            </w:pPr>
            <w:r w:rsidRPr="00FD6536">
              <w:rPr>
                <w:rFonts w:cs="Arial"/>
                <w:bCs/>
                <w:sz w:val="20"/>
                <w:szCs w:val="16"/>
              </w:rPr>
              <w:t>7.978.988</w:t>
            </w:r>
          </w:p>
        </w:tc>
        <w:tc>
          <w:tcPr>
            <w:tcW w:w="625" w:type="pct"/>
            <w:tcBorders>
              <w:top w:val="nil"/>
              <w:left w:val="nil"/>
              <w:bottom w:val="nil"/>
              <w:right w:val="single" w:sz="8" w:space="0" w:color="auto"/>
            </w:tcBorders>
            <w:shd w:val="clear" w:color="auto" w:fill="auto"/>
            <w:vAlign w:val="center"/>
            <w:hideMark/>
          </w:tcPr>
          <w:p w14:paraId="32E0FF19" w14:textId="77777777" w:rsidR="00A87FFB" w:rsidRPr="00FD6536" w:rsidRDefault="00A87FFB" w:rsidP="00335D8A">
            <w:pPr>
              <w:jc w:val="right"/>
              <w:rPr>
                <w:rFonts w:cs="Arial"/>
                <w:bCs/>
                <w:sz w:val="20"/>
                <w:szCs w:val="16"/>
              </w:rPr>
            </w:pPr>
            <w:r w:rsidRPr="00FD6536">
              <w:rPr>
                <w:rFonts w:cs="Arial"/>
                <w:bCs/>
                <w:sz w:val="20"/>
                <w:szCs w:val="16"/>
              </w:rPr>
              <w:t>9.790.627</w:t>
            </w:r>
          </w:p>
        </w:tc>
        <w:tc>
          <w:tcPr>
            <w:tcW w:w="546" w:type="pct"/>
            <w:tcBorders>
              <w:top w:val="nil"/>
              <w:left w:val="nil"/>
              <w:bottom w:val="nil"/>
              <w:right w:val="nil"/>
            </w:tcBorders>
            <w:shd w:val="clear" w:color="auto" w:fill="auto"/>
            <w:vAlign w:val="center"/>
            <w:hideMark/>
          </w:tcPr>
          <w:p w14:paraId="7CA72B6F" w14:textId="77777777" w:rsidR="00A87FFB" w:rsidRPr="00FD6536" w:rsidRDefault="00A87FFB" w:rsidP="00335D8A">
            <w:pPr>
              <w:jc w:val="right"/>
              <w:rPr>
                <w:rFonts w:cs="Arial"/>
                <w:bCs/>
                <w:sz w:val="20"/>
                <w:szCs w:val="16"/>
              </w:rPr>
            </w:pPr>
            <w:r w:rsidRPr="00FD6536">
              <w:rPr>
                <w:rFonts w:cs="Arial"/>
                <w:bCs/>
                <w:sz w:val="20"/>
                <w:szCs w:val="16"/>
              </w:rPr>
              <w:t>11.033.950</w:t>
            </w:r>
          </w:p>
        </w:tc>
      </w:tr>
      <w:tr w:rsidR="00A87FFB" w:rsidRPr="00FD6536" w14:paraId="5D2698A2" w14:textId="77777777" w:rsidTr="00E6391B">
        <w:trPr>
          <w:trHeight w:val="340"/>
        </w:trPr>
        <w:tc>
          <w:tcPr>
            <w:tcW w:w="2032" w:type="pct"/>
            <w:tcBorders>
              <w:top w:val="nil"/>
              <w:left w:val="nil"/>
              <w:bottom w:val="nil"/>
              <w:right w:val="single" w:sz="8" w:space="0" w:color="auto"/>
            </w:tcBorders>
            <w:shd w:val="clear" w:color="auto" w:fill="auto"/>
            <w:vAlign w:val="center"/>
            <w:hideMark/>
          </w:tcPr>
          <w:p w14:paraId="38F0D560" w14:textId="77777777" w:rsidR="00A87FFB" w:rsidRPr="00FD6536" w:rsidRDefault="00A87FFB" w:rsidP="00335D8A">
            <w:pPr>
              <w:ind w:firstLine="212"/>
              <w:rPr>
                <w:rFonts w:cs="Arial"/>
                <w:bCs/>
                <w:sz w:val="18"/>
                <w:szCs w:val="18"/>
              </w:rPr>
            </w:pPr>
            <w:r w:rsidRPr="00FD6536">
              <w:rPr>
                <w:rFonts w:cs="Arial"/>
                <w:bCs/>
                <w:sz w:val="18"/>
                <w:szCs w:val="18"/>
              </w:rPr>
              <w:t>Outras Receitas Correntes</w:t>
            </w:r>
          </w:p>
        </w:tc>
        <w:tc>
          <w:tcPr>
            <w:tcW w:w="547" w:type="pct"/>
            <w:tcBorders>
              <w:top w:val="nil"/>
              <w:left w:val="nil"/>
              <w:bottom w:val="nil"/>
              <w:right w:val="single" w:sz="8" w:space="0" w:color="auto"/>
            </w:tcBorders>
            <w:shd w:val="clear" w:color="auto" w:fill="auto"/>
            <w:vAlign w:val="center"/>
            <w:hideMark/>
          </w:tcPr>
          <w:p w14:paraId="0A369A59" w14:textId="77777777" w:rsidR="00A87FFB" w:rsidRPr="00FD6536" w:rsidRDefault="00A87FFB" w:rsidP="00335D8A">
            <w:pPr>
              <w:jc w:val="right"/>
              <w:rPr>
                <w:rFonts w:cs="Arial"/>
                <w:bCs/>
                <w:sz w:val="20"/>
                <w:szCs w:val="16"/>
              </w:rPr>
            </w:pPr>
            <w:r w:rsidRPr="00FD6536">
              <w:rPr>
                <w:rFonts w:cs="Arial"/>
                <w:bCs/>
                <w:sz w:val="20"/>
                <w:szCs w:val="16"/>
              </w:rPr>
              <w:t>1.392.811</w:t>
            </w:r>
          </w:p>
        </w:tc>
        <w:tc>
          <w:tcPr>
            <w:tcW w:w="625" w:type="pct"/>
            <w:tcBorders>
              <w:top w:val="nil"/>
              <w:left w:val="nil"/>
              <w:bottom w:val="nil"/>
              <w:right w:val="single" w:sz="8" w:space="0" w:color="auto"/>
            </w:tcBorders>
            <w:shd w:val="clear" w:color="auto" w:fill="auto"/>
            <w:vAlign w:val="center"/>
            <w:hideMark/>
          </w:tcPr>
          <w:p w14:paraId="6BCBECF8" w14:textId="77777777" w:rsidR="00A87FFB" w:rsidRPr="00FD6536" w:rsidRDefault="00A87FFB" w:rsidP="00335D8A">
            <w:pPr>
              <w:jc w:val="right"/>
              <w:rPr>
                <w:rFonts w:cs="Arial"/>
                <w:bCs/>
                <w:sz w:val="20"/>
                <w:szCs w:val="16"/>
              </w:rPr>
            </w:pPr>
            <w:r w:rsidRPr="00FD6536">
              <w:rPr>
                <w:rFonts w:cs="Arial"/>
                <w:bCs/>
                <w:sz w:val="20"/>
                <w:szCs w:val="16"/>
              </w:rPr>
              <w:t>1.746.966</w:t>
            </w:r>
          </w:p>
        </w:tc>
        <w:tc>
          <w:tcPr>
            <w:tcW w:w="625" w:type="pct"/>
            <w:tcBorders>
              <w:top w:val="nil"/>
              <w:left w:val="nil"/>
              <w:bottom w:val="nil"/>
              <w:right w:val="single" w:sz="8" w:space="0" w:color="auto"/>
            </w:tcBorders>
            <w:shd w:val="clear" w:color="auto" w:fill="auto"/>
            <w:vAlign w:val="center"/>
            <w:hideMark/>
          </w:tcPr>
          <w:p w14:paraId="094EDF7B" w14:textId="77777777" w:rsidR="00A87FFB" w:rsidRPr="00FD6536" w:rsidRDefault="00A87FFB" w:rsidP="00335D8A">
            <w:pPr>
              <w:jc w:val="right"/>
              <w:rPr>
                <w:rFonts w:cs="Arial"/>
                <w:bCs/>
                <w:sz w:val="20"/>
                <w:szCs w:val="16"/>
              </w:rPr>
            </w:pPr>
            <w:r w:rsidRPr="00FD6536">
              <w:rPr>
                <w:rFonts w:cs="Arial"/>
                <w:bCs/>
                <w:sz w:val="20"/>
                <w:szCs w:val="16"/>
              </w:rPr>
              <w:t>2.077.054</w:t>
            </w:r>
          </w:p>
        </w:tc>
        <w:tc>
          <w:tcPr>
            <w:tcW w:w="625" w:type="pct"/>
            <w:tcBorders>
              <w:top w:val="nil"/>
              <w:left w:val="nil"/>
              <w:bottom w:val="nil"/>
              <w:right w:val="single" w:sz="8" w:space="0" w:color="auto"/>
            </w:tcBorders>
            <w:shd w:val="clear" w:color="auto" w:fill="auto"/>
            <w:vAlign w:val="center"/>
            <w:hideMark/>
          </w:tcPr>
          <w:p w14:paraId="31E02F0D" w14:textId="77777777" w:rsidR="00A87FFB" w:rsidRPr="00FD6536" w:rsidRDefault="00A87FFB" w:rsidP="00335D8A">
            <w:pPr>
              <w:jc w:val="right"/>
              <w:rPr>
                <w:rFonts w:cs="Arial"/>
                <w:bCs/>
                <w:sz w:val="20"/>
                <w:szCs w:val="16"/>
              </w:rPr>
            </w:pPr>
            <w:r w:rsidRPr="00FD6536">
              <w:rPr>
                <w:rFonts w:cs="Arial"/>
                <w:bCs/>
                <w:sz w:val="20"/>
                <w:szCs w:val="16"/>
              </w:rPr>
              <w:t>2.537.732</w:t>
            </w:r>
          </w:p>
        </w:tc>
        <w:tc>
          <w:tcPr>
            <w:tcW w:w="546" w:type="pct"/>
            <w:tcBorders>
              <w:top w:val="nil"/>
              <w:left w:val="nil"/>
              <w:bottom w:val="nil"/>
              <w:right w:val="nil"/>
            </w:tcBorders>
            <w:shd w:val="clear" w:color="auto" w:fill="auto"/>
            <w:vAlign w:val="center"/>
            <w:hideMark/>
          </w:tcPr>
          <w:p w14:paraId="0079D680" w14:textId="77777777" w:rsidR="00A87FFB" w:rsidRPr="00FD6536" w:rsidRDefault="00A87FFB" w:rsidP="00335D8A">
            <w:pPr>
              <w:jc w:val="right"/>
              <w:rPr>
                <w:rFonts w:cs="Arial"/>
                <w:bCs/>
                <w:sz w:val="20"/>
                <w:szCs w:val="16"/>
              </w:rPr>
            </w:pPr>
            <w:r w:rsidRPr="00FD6536">
              <w:rPr>
                <w:rFonts w:cs="Arial"/>
                <w:bCs/>
                <w:sz w:val="20"/>
                <w:szCs w:val="16"/>
              </w:rPr>
              <w:t>3.865.674</w:t>
            </w:r>
          </w:p>
        </w:tc>
      </w:tr>
      <w:tr w:rsidR="00A87FFB" w:rsidRPr="00FD6536" w14:paraId="79975436" w14:textId="77777777" w:rsidTr="00E6391B">
        <w:trPr>
          <w:trHeight w:val="340"/>
        </w:trPr>
        <w:tc>
          <w:tcPr>
            <w:tcW w:w="2032" w:type="pct"/>
            <w:tcBorders>
              <w:top w:val="nil"/>
              <w:left w:val="nil"/>
              <w:bottom w:val="nil"/>
              <w:right w:val="single" w:sz="8" w:space="0" w:color="auto"/>
            </w:tcBorders>
            <w:shd w:val="clear" w:color="auto" w:fill="auto"/>
            <w:vAlign w:val="center"/>
            <w:hideMark/>
          </w:tcPr>
          <w:p w14:paraId="2CBA582B" w14:textId="77777777" w:rsidR="00A87FFB" w:rsidRPr="00FD6536" w:rsidRDefault="00A87FFB" w:rsidP="00FD6536">
            <w:pPr>
              <w:jc w:val="center"/>
              <w:rPr>
                <w:rFonts w:cs="Arial"/>
                <w:b/>
                <w:bCs/>
                <w:sz w:val="20"/>
                <w:szCs w:val="18"/>
              </w:rPr>
            </w:pPr>
            <w:r w:rsidRPr="00FD6536">
              <w:rPr>
                <w:rFonts w:cs="Arial"/>
                <w:b/>
                <w:bCs/>
                <w:sz w:val="20"/>
                <w:szCs w:val="18"/>
              </w:rPr>
              <w:t>Deduções (II)</w:t>
            </w:r>
          </w:p>
        </w:tc>
        <w:tc>
          <w:tcPr>
            <w:tcW w:w="547" w:type="pct"/>
            <w:tcBorders>
              <w:top w:val="nil"/>
              <w:left w:val="nil"/>
              <w:bottom w:val="nil"/>
              <w:right w:val="single" w:sz="8" w:space="0" w:color="auto"/>
            </w:tcBorders>
            <w:shd w:val="clear" w:color="auto" w:fill="auto"/>
            <w:vAlign w:val="center"/>
            <w:hideMark/>
          </w:tcPr>
          <w:p w14:paraId="03D53C59" w14:textId="77777777" w:rsidR="00A87FFB" w:rsidRPr="00FD6536" w:rsidRDefault="00A87FFB" w:rsidP="00335D8A">
            <w:pPr>
              <w:jc w:val="right"/>
              <w:rPr>
                <w:rFonts w:cs="Arial"/>
                <w:b/>
                <w:bCs/>
                <w:color w:val="FF0000"/>
                <w:sz w:val="20"/>
                <w:szCs w:val="16"/>
              </w:rPr>
            </w:pPr>
            <w:r w:rsidRPr="00FD6536">
              <w:rPr>
                <w:rFonts w:cs="Arial"/>
                <w:b/>
                <w:bCs/>
                <w:color w:val="FF0000"/>
                <w:sz w:val="20"/>
                <w:szCs w:val="16"/>
              </w:rPr>
              <w:t>(9.328.552)</w:t>
            </w:r>
          </w:p>
        </w:tc>
        <w:tc>
          <w:tcPr>
            <w:tcW w:w="625" w:type="pct"/>
            <w:tcBorders>
              <w:top w:val="nil"/>
              <w:left w:val="nil"/>
              <w:bottom w:val="nil"/>
              <w:right w:val="single" w:sz="8" w:space="0" w:color="auto"/>
            </w:tcBorders>
            <w:shd w:val="clear" w:color="auto" w:fill="auto"/>
            <w:vAlign w:val="center"/>
            <w:hideMark/>
          </w:tcPr>
          <w:p w14:paraId="2678C3D4" w14:textId="77777777" w:rsidR="00A87FFB" w:rsidRPr="00FD6536" w:rsidRDefault="00A87FFB" w:rsidP="00335D8A">
            <w:pPr>
              <w:jc w:val="right"/>
              <w:rPr>
                <w:rFonts w:cs="Arial"/>
                <w:b/>
                <w:bCs/>
                <w:color w:val="FF0000"/>
                <w:sz w:val="20"/>
                <w:szCs w:val="16"/>
              </w:rPr>
            </w:pPr>
            <w:r w:rsidRPr="00FD6536">
              <w:rPr>
                <w:rFonts w:cs="Arial"/>
                <w:b/>
                <w:bCs/>
                <w:color w:val="FF0000"/>
                <w:sz w:val="20"/>
                <w:szCs w:val="16"/>
              </w:rPr>
              <w:t>(10.131.005)</w:t>
            </w:r>
          </w:p>
        </w:tc>
        <w:tc>
          <w:tcPr>
            <w:tcW w:w="625" w:type="pct"/>
            <w:tcBorders>
              <w:top w:val="nil"/>
              <w:left w:val="nil"/>
              <w:bottom w:val="nil"/>
              <w:right w:val="single" w:sz="8" w:space="0" w:color="auto"/>
            </w:tcBorders>
            <w:shd w:val="clear" w:color="auto" w:fill="auto"/>
            <w:vAlign w:val="center"/>
            <w:hideMark/>
          </w:tcPr>
          <w:p w14:paraId="01FD56EA" w14:textId="77777777" w:rsidR="00A87FFB" w:rsidRPr="00FD6536" w:rsidRDefault="00A87FFB" w:rsidP="00335D8A">
            <w:pPr>
              <w:jc w:val="right"/>
              <w:rPr>
                <w:rFonts w:cs="Arial"/>
                <w:b/>
                <w:bCs/>
                <w:color w:val="FF0000"/>
                <w:sz w:val="20"/>
                <w:szCs w:val="16"/>
              </w:rPr>
            </w:pPr>
            <w:r w:rsidRPr="00FD6536">
              <w:rPr>
                <w:rFonts w:cs="Arial"/>
                <w:b/>
                <w:bCs/>
                <w:color w:val="FF0000"/>
                <w:sz w:val="20"/>
                <w:szCs w:val="16"/>
              </w:rPr>
              <w:t>(12.647.880)</w:t>
            </w:r>
          </w:p>
        </w:tc>
        <w:tc>
          <w:tcPr>
            <w:tcW w:w="625" w:type="pct"/>
            <w:tcBorders>
              <w:top w:val="nil"/>
              <w:left w:val="nil"/>
              <w:bottom w:val="nil"/>
              <w:right w:val="single" w:sz="8" w:space="0" w:color="auto"/>
            </w:tcBorders>
            <w:shd w:val="clear" w:color="auto" w:fill="auto"/>
            <w:vAlign w:val="center"/>
            <w:hideMark/>
          </w:tcPr>
          <w:p w14:paraId="6EFBF9A4" w14:textId="77777777" w:rsidR="00A87FFB" w:rsidRPr="00FD6536" w:rsidRDefault="00A87FFB" w:rsidP="00335D8A">
            <w:pPr>
              <w:jc w:val="right"/>
              <w:rPr>
                <w:rFonts w:cs="Arial"/>
                <w:b/>
                <w:bCs/>
                <w:color w:val="FF0000"/>
                <w:sz w:val="20"/>
                <w:szCs w:val="16"/>
              </w:rPr>
            </w:pPr>
            <w:r w:rsidRPr="00FD6536">
              <w:rPr>
                <w:rFonts w:cs="Arial"/>
                <w:b/>
                <w:bCs/>
                <w:color w:val="FF0000"/>
                <w:sz w:val="20"/>
                <w:szCs w:val="16"/>
              </w:rPr>
              <w:t>(13.823.462)</w:t>
            </w:r>
          </w:p>
        </w:tc>
        <w:tc>
          <w:tcPr>
            <w:tcW w:w="546" w:type="pct"/>
            <w:tcBorders>
              <w:top w:val="nil"/>
              <w:left w:val="nil"/>
              <w:bottom w:val="nil"/>
              <w:right w:val="nil"/>
            </w:tcBorders>
            <w:shd w:val="clear" w:color="auto" w:fill="auto"/>
            <w:vAlign w:val="center"/>
            <w:hideMark/>
          </w:tcPr>
          <w:p w14:paraId="53A4EFFB" w14:textId="77777777" w:rsidR="00A87FFB" w:rsidRPr="00FD6536" w:rsidRDefault="00A87FFB" w:rsidP="00335D8A">
            <w:pPr>
              <w:ind w:hanging="68"/>
              <w:jc w:val="right"/>
              <w:rPr>
                <w:rFonts w:cs="Arial"/>
                <w:b/>
                <w:bCs/>
                <w:color w:val="FF0000"/>
                <w:sz w:val="20"/>
                <w:szCs w:val="16"/>
              </w:rPr>
            </w:pPr>
            <w:r w:rsidRPr="00FD6536">
              <w:rPr>
                <w:rFonts w:cs="Arial"/>
                <w:b/>
                <w:bCs/>
                <w:color w:val="FF0000"/>
                <w:sz w:val="20"/>
                <w:szCs w:val="16"/>
              </w:rPr>
              <w:t>(15.167.975)</w:t>
            </w:r>
          </w:p>
        </w:tc>
      </w:tr>
      <w:tr w:rsidR="00A87FFB" w:rsidRPr="00FD6536" w14:paraId="6233676B" w14:textId="77777777" w:rsidTr="00E6391B">
        <w:trPr>
          <w:trHeight w:val="340"/>
        </w:trPr>
        <w:tc>
          <w:tcPr>
            <w:tcW w:w="2032" w:type="pct"/>
            <w:tcBorders>
              <w:top w:val="single" w:sz="8" w:space="0" w:color="auto"/>
              <w:left w:val="nil"/>
              <w:bottom w:val="single" w:sz="8" w:space="0" w:color="auto"/>
              <w:right w:val="single" w:sz="8" w:space="0" w:color="auto"/>
            </w:tcBorders>
            <w:shd w:val="clear" w:color="auto" w:fill="auto"/>
            <w:vAlign w:val="center"/>
            <w:hideMark/>
          </w:tcPr>
          <w:p w14:paraId="3D868844" w14:textId="77777777" w:rsidR="00A87FFB" w:rsidRPr="00FD6536" w:rsidRDefault="00A87FFB" w:rsidP="00FD6536">
            <w:pPr>
              <w:jc w:val="center"/>
              <w:rPr>
                <w:rFonts w:cs="Arial"/>
                <w:b/>
                <w:bCs/>
                <w:sz w:val="20"/>
                <w:szCs w:val="18"/>
              </w:rPr>
            </w:pPr>
            <w:r w:rsidRPr="00FD6536">
              <w:rPr>
                <w:rFonts w:cs="Arial"/>
                <w:b/>
                <w:bCs/>
                <w:sz w:val="20"/>
                <w:szCs w:val="18"/>
              </w:rPr>
              <w:t>RCL (I-II)</w:t>
            </w:r>
          </w:p>
        </w:tc>
        <w:tc>
          <w:tcPr>
            <w:tcW w:w="547" w:type="pct"/>
            <w:tcBorders>
              <w:top w:val="single" w:sz="8" w:space="0" w:color="auto"/>
              <w:left w:val="nil"/>
              <w:bottom w:val="single" w:sz="8" w:space="0" w:color="auto"/>
              <w:right w:val="single" w:sz="8" w:space="0" w:color="auto"/>
            </w:tcBorders>
            <w:shd w:val="clear" w:color="auto" w:fill="auto"/>
            <w:vAlign w:val="center"/>
            <w:hideMark/>
          </w:tcPr>
          <w:p w14:paraId="6D265ADD" w14:textId="77777777" w:rsidR="00A87FFB" w:rsidRPr="00FD6536" w:rsidRDefault="00A87FFB" w:rsidP="00335D8A">
            <w:pPr>
              <w:jc w:val="right"/>
              <w:rPr>
                <w:rFonts w:cs="Arial"/>
                <w:b/>
                <w:bCs/>
                <w:sz w:val="20"/>
                <w:szCs w:val="16"/>
              </w:rPr>
            </w:pPr>
            <w:r w:rsidRPr="00FD6536">
              <w:rPr>
                <w:rFonts w:cs="Arial"/>
                <w:b/>
                <w:bCs/>
                <w:sz w:val="20"/>
                <w:szCs w:val="16"/>
              </w:rPr>
              <w:t>24.528.201</w:t>
            </w:r>
          </w:p>
        </w:tc>
        <w:tc>
          <w:tcPr>
            <w:tcW w:w="625" w:type="pct"/>
            <w:tcBorders>
              <w:top w:val="single" w:sz="8" w:space="0" w:color="auto"/>
              <w:left w:val="nil"/>
              <w:bottom w:val="single" w:sz="8" w:space="0" w:color="auto"/>
              <w:right w:val="single" w:sz="8" w:space="0" w:color="auto"/>
            </w:tcBorders>
            <w:shd w:val="clear" w:color="auto" w:fill="auto"/>
            <w:vAlign w:val="center"/>
            <w:hideMark/>
          </w:tcPr>
          <w:p w14:paraId="7378B908" w14:textId="77777777" w:rsidR="00A87FFB" w:rsidRPr="00FD6536" w:rsidRDefault="00A87FFB" w:rsidP="00335D8A">
            <w:pPr>
              <w:jc w:val="right"/>
              <w:rPr>
                <w:rFonts w:cs="Arial"/>
                <w:b/>
                <w:bCs/>
                <w:sz w:val="20"/>
                <w:szCs w:val="16"/>
              </w:rPr>
            </w:pPr>
            <w:r w:rsidRPr="00FD6536">
              <w:rPr>
                <w:rFonts w:cs="Arial"/>
                <w:b/>
                <w:bCs/>
                <w:sz w:val="20"/>
                <w:szCs w:val="16"/>
              </w:rPr>
              <w:t>26.323.342</w:t>
            </w:r>
          </w:p>
        </w:tc>
        <w:tc>
          <w:tcPr>
            <w:tcW w:w="625" w:type="pct"/>
            <w:tcBorders>
              <w:top w:val="single" w:sz="8" w:space="0" w:color="auto"/>
              <w:left w:val="nil"/>
              <w:bottom w:val="single" w:sz="8" w:space="0" w:color="auto"/>
              <w:right w:val="single" w:sz="8" w:space="0" w:color="auto"/>
            </w:tcBorders>
            <w:shd w:val="clear" w:color="auto" w:fill="auto"/>
            <w:vAlign w:val="center"/>
            <w:hideMark/>
          </w:tcPr>
          <w:p w14:paraId="795F65B5" w14:textId="77777777" w:rsidR="00A87FFB" w:rsidRPr="00FD6536" w:rsidRDefault="00A87FFB" w:rsidP="00335D8A">
            <w:pPr>
              <w:jc w:val="right"/>
              <w:rPr>
                <w:rFonts w:cs="Arial"/>
                <w:b/>
                <w:bCs/>
                <w:sz w:val="20"/>
                <w:szCs w:val="16"/>
              </w:rPr>
            </w:pPr>
            <w:r w:rsidRPr="00FD6536">
              <w:rPr>
                <w:rFonts w:cs="Arial"/>
                <w:b/>
                <w:bCs/>
                <w:sz w:val="20"/>
                <w:szCs w:val="16"/>
              </w:rPr>
              <w:t>31.545.320</w:t>
            </w:r>
          </w:p>
        </w:tc>
        <w:tc>
          <w:tcPr>
            <w:tcW w:w="625" w:type="pct"/>
            <w:tcBorders>
              <w:top w:val="single" w:sz="8" w:space="0" w:color="auto"/>
              <w:left w:val="nil"/>
              <w:bottom w:val="single" w:sz="8" w:space="0" w:color="auto"/>
              <w:right w:val="single" w:sz="8" w:space="0" w:color="auto"/>
            </w:tcBorders>
            <w:shd w:val="clear" w:color="auto" w:fill="auto"/>
            <w:vAlign w:val="center"/>
            <w:hideMark/>
          </w:tcPr>
          <w:p w14:paraId="5BCDD00E" w14:textId="77777777" w:rsidR="00A87FFB" w:rsidRPr="00FD6536" w:rsidRDefault="00A87FFB" w:rsidP="00335D8A">
            <w:pPr>
              <w:jc w:val="right"/>
              <w:rPr>
                <w:rFonts w:cs="Arial"/>
                <w:b/>
                <w:bCs/>
                <w:sz w:val="20"/>
                <w:szCs w:val="16"/>
              </w:rPr>
            </w:pPr>
            <w:r w:rsidRPr="00FD6536">
              <w:rPr>
                <w:rFonts w:cs="Arial"/>
                <w:b/>
                <w:bCs/>
                <w:sz w:val="20"/>
                <w:szCs w:val="16"/>
              </w:rPr>
              <w:t>37.208.349</w:t>
            </w:r>
          </w:p>
        </w:tc>
        <w:tc>
          <w:tcPr>
            <w:tcW w:w="546" w:type="pct"/>
            <w:tcBorders>
              <w:top w:val="single" w:sz="8" w:space="0" w:color="auto"/>
              <w:left w:val="nil"/>
              <w:bottom w:val="single" w:sz="8" w:space="0" w:color="auto"/>
              <w:right w:val="nil"/>
            </w:tcBorders>
            <w:shd w:val="clear" w:color="auto" w:fill="auto"/>
            <w:vAlign w:val="center"/>
            <w:hideMark/>
          </w:tcPr>
          <w:p w14:paraId="01B39A4F" w14:textId="77777777" w:rsidR="00A87FFB" w:rsidRPr="00FD6536" w:rsidRDefault="00A87FFB" w:rsidP="00335D8A">
            <w:pPr>
              <w:jc w:val="right"/>
              <w:rPr>
                <w:rFonts w:cs="Arial"/>
                <w:b/>
                <w:bCs/>
                <w:sz w:val="20"/>
                <w:szCs w:val="16"/>
              </w:rPr>
            </w:pPr>
            <w:r w:rsidRPr="00FD6536">
              <w:rPr>
                <w:rFonts w:cs="Arial"/>
                <w:b/>
                <w:bCs/>
                <w:sz w:val="20"/>
                <w:szCs w:val="16"/>
              </w:rPr>
              <w:t>38.407.129</w:t>
            </w:r>
          </w:p>
        </w:tc>
      </w:tr>
      <w:tr w:rsidR="00A87FFB" w:rsidRPr="00FD6536" w14:paraId="31A760AD" w14:textId="77777777" w:rsidTr="00E6391B">
        <w:trPr>
          <w:trHeight w:val="340"/>
        </w:trPr>
        <w:tc>
          <w:tcPr>
            <w:tcW w:w="2032" w:type="pct"/>
            <w:tcBorders>
              <w:top w:val="nil"/>
              <w:left w:val="nil"/>
              <w:bottom w:val="nil"/>
              <w:right w:val="single" w:sz="8" w:space="0" w:color="auto"/>
            </w:tcBorders>
            <w:shd w:val="clear" w:color="auto" w:fill="auto"/>
            <w:vAlign w:val="center"/>
            <w:hideMark/>
          </w:tcPr>
          <w:p w14:paraId="69135FD8" w14:textId="77777777" w:rsidR="00A87FFB" w:rsidRPr="00FD6536" w:rsidRDefault="00A87FFB" w:rsidP="00335D8A">
            <w:pPr>
              <w:ind w:left="215"/>
              <w:rPr>
                <w:rFonts w:cs="Arial"/>
                <w:sz w:val="20"/>
                <w:szCs w:val="18"/>
              </w:rPr>
            </w:pPr>
            <w:r w:rsidRPr="00FD6536">
              <w:rPr>
                <w:rFonts w:cs="Arial"/>
                <w:sz w:val="20"/>
                <w:szCs w:val="18"/>
              </w:rPr>
              <w:t>(-) Transferências obrigatórias da União relativa às emendas individuais</w:t>
            </w:r>
          </w:p>
        </w:tc>
        <w:tc>
          <w:tcPr>
            <w:tcW w:w="547" w:type="pct"/>
            <w:tcBorders>
              <w:top w:val="nil"/>
              <w:left w:val="nil"/>
              <w:bottom w:val="nil"/>
              <w:right w:val="single" w:sz="8" w:space="0" w:color="auto"/>
            </w:tcBorders>
            <w:shd w:val="clear" w:color="auto" w:fill="auto"/>
            <w:vAlign w:val="center"/>
            <w:hideMark/>
          </w:tcPr>
          <w:p w14:paraId="2750C87F" w14:textId="77777777" w:rsidR="00A87FFB" w:rsidRPr="00FD6536" w:rsidRDefault="00A87FFB" w:rsidP="00335D8A">
            <w:pPr>
              <w:jc w:val="right"/>
              <w:rPr>
                <w:rFonts w:cs="Arial"/>
                <w:color w:val="FF0000"/>
                <w:sz w:val="20"/>
                <w:szCs w:val="16"/>
              </w:rPr>
            </w:pPr>
            <w:r w:rsidRPr="00FD6536">
              <w:rPr>
                <w:rFonts w:cs="Arial"/>
                <w:color w:val="FF0000"/>
                <w:sz w:val="20"/>
                <w:szCs w:val="16"/>
              </w:rPr>
              <w:t>(10.421)</w:t>
            </w:r>
          </w:p>
        </w:tc>
        <w:tc>
          <w:tcPr>
            <w:tcW w:w="625" w:type="pct"/>
            <w:tcBorders>
              <w:top w:val="nil"/>
              <w:left w:val="nil"/>
              <w:bottom w:val="nil"/>
              <w:right w:val="single" w:sz="8" w:space="0" w:color="auto"/>
            </w:tcBorders>
            <w:shd w:val="clear" w:color="auto" w:fill="auto"/>
            <w:vAlign w:val="center"/>
            <w:hideMark/>
          </w:tcPr>
          <w:p w14:paraId="6128809C" w14:textId="77777777" w:rsidR="00A87FFB" w:rsidRPr="00FD6536" w:rsidRDefault="00A87FFB" w:rsidP="00335D8A">
            <w:pPr>
              <w:jc w:val="right"/>
              <w:rPr>
                <w:rFonts w:cs="Arial"/>
                <w:color w:val="FF0000"/>
                <w:sz w:val="20"/>
                <w:szCs w:val="16"/>
              </w:rPr>
            </w:pPr>
            <w:r w:rsidRPr="00FD6536">
              <w:rPr>
                <w:rFonts w:cs="Arial"/>
                <w:color w:val="FF0000"/>
                <w:sz w:val="20"/>
                <w:szCs w:val="16"/>
              </w:rPr>
              <w:t>(13.713)</w:t>
            </w:r>
          </w:p>
        </w:tc>
        <w:tc>
          <w:tcPr>
            <w:tcW w:w="625" w:type="pct"/>
            <w:tcBorders>
              <w:top w:val="nil"/>
              <w:left w:val="nil"/>
              <w:bottom w:val="nil"/>
              <w:right w:val="single" w:sz="8" w:space="0" w:color="auto"/>
            </w:tcBorders>
            <w:shd w:val="clear" w:color="auto" w:fill="auto"/>
            <w:vAlign w:val="center"/>
            <w:hideMark/>
          </w:tcPr>
          <w:p w14:paraId="69DABDA8" w14:textId="77777777" w:rsidR="00A87FFB" w:rsidRPr="00FD6536" w:rsidRDefault="00A87FFB" w:rsidP="00335D8A">
            <w:pPr>
              <w:jc w:val="right"/>
              <w:rPr>
                <w:rFonts w:cs="Arial"/>
                <w:color w:val="FF0000"/>
                <w:sz w:val="20"/>
                <w:szCs w:val="16"/>
              </w:rPr>
            </w:pPr>
            <w:r w:rsidRPr="00FD6536">
              <w:rPr>
                <w:rFonts w:cs="Arial"/>
                <w:color w:val="FF0000"/>
                <w:sz w:val="20"/>
                <w:szCs w:val="16"/>
              </w:rPr>
              <w:t>(5.721)</w:t>
            </w:r>
          </w:p>
        </w:tc>
        <w:tc>
          <w:tcPr>
            <w:tcW w:w="625" w:type="pct"/>
            <w:tcBorders>
              <w:top w:val="nil"/>
              <w:left w:val="nil"/>
              <w:bottom w:val="nil"/>
              <w:right w:val="single" w:sz="8" w:space="0" w:color="auto"/>
            </w:tcBorders>
            <w:shd w:val="clear" w:color="auto" w:fill="auto"/>
            <w:vAlign w:val="center"/>
            <w:hideMark/>
          </w:tcPr>
          <w:p w14:paraId="07AABFD5" w14:textId="77777777" w:rsidR="00A87FFB" w:rsidRPr="00FD6536" w:rsidRDefault="00A87FFB" w:rsidP="00335D8A">
            <w:pPr>
              <w:jc w:val="right"/>
              <w:rPr>
                <w:rFonts w:cs="Arial"/>
                <w:color w:val="FF0000"/>
                <w:sz w:val="20"/>
                <w:szCs w:val="16"/>
              </w:rPr>
            </w:pPr>
            <w:r w:rsidRPr="00FD6536">
              <w:rPr>
                <w:rFonts w:cs="Arial"/>
                <w:color w:val="FF0000"/>
                <w:sz w:val="20"/>
                <w:szCs w:val="16"/>
              </w:rPr>
              <w:t>(5.308)</w:t>
            </w:r>
          </w:p>
        </w:tc>
        <w:tc>
          <w:tcPr>
            <w:tcW w:w="546" w:type="pct"/>
            <w:tcBorders>
              <w:top w:val="nil"/>
              <w:left w:val="nil"/>
              <w:bottom w:val="nil"/>
              <w:right w:val="nil"/>
            </w:tcBorders>
            <w:shd w:val="clear" w:color="auto" w:fill="auto"/>
            <w:vAlign w:val="center"/>
            <w:hideMark/>
          </w:tcPr>
          <w:p w14:paraId="3C8E1423" w14:textId="77777777" w:rsidR="00A87FFB" w:rsidRPr="00FD6536" w:rsidRDefault="00A87FFB" w:rsidP="00335D8A">
            <w:pPr>
              <w:jc w:val="right"/>
              <w:rPr>
                <w:rFonts w:cs="Arial"/>
                <w:color w:val="FF0000"/>
                <w:sz w:val="20"/>
                <w:szCs w:val="16"/>
              </w:rPr>
            </w:pPr>
            <w:r w:rsidRPr="00FD6536">
              <w:rPr>
                <w:rFonts w:cs="Arial"/>
                <w:color w:val="FF0000"/>
                <w:sz w:val="20"/>
                <w:szCs w:val="16"/>
              </w:rPr>
              <w:t>(42.580)</w:t>
            </w:r>
          </w:p>
        </w:tc>
      </w:tr>
      <w:tr w:rsidR="00A87FFB" w:rsidRPr="00FD6536" w14:paraId="3798BDD3" w14:textId="77777777" w:rsidTr="00E6391B">
        <w:trPr>
          <w:trHeight w:val="340"/>
        </w:trPr>
        <w:tc>
          <w:tcPr>
            <w:tcW w:w="2032" w:type="pct"/>
            <w:tcBorders>
              <w:top w:val="single" w:sz="8" w:space="0" w:color="auto"/>
              <w:left w:val="nil"/>
              <w:bottom w:val="single" w:sz="8" w:space="0" w:color="auto"/>
              <w:right w:val="single" w:sz="8" w:space="0" w:color="auto"/>
            </w:tcBorders>
            <w:shd w:val="clear" w:color="auto" w:fill="auto"/>
            <w:vAlign w:val="center"/>
            <w:hideMark/>
          </w:tcPr>
          <w:p w14:paraId="7D349E24" w14:textId="77777777" w:rsidR="00A87FFB" w:rsidRPr="00FD6536" w:rsidRDefault="00A87FFB" w:rsidP="00FD6536">
            <w:pPr>
              <w:jc w:val="center"/>
              <w:rPr>
                <w:rFonts w:cs="Arial"/>
                <w:b/>
                <w:bCs/>
                <w:sz w:val="20"/>
                <w:szCs w:val="18"/>
              </w:rPr>
            </w:pPr>
            <w:r w:rsidRPr="00FD6536">
              <w:rPr>
                <w:rFonts w:cs="Arial"/>
                <w:b/>
                <w:bCs/>
                <w:sz w:val="20"/>
                <w:szCs w:val="18"/>
              </w:rPr>
              <w:t>RCL Ajustada para Cálculo dos Limites de Endividamento</w:t>
            </w:r>
          </w:p>
        </w:tc>
        <w:tc>
          <w:tcPr>
            <w:tcW w:w="547" w:type="pct"/>
            <w:tcBorders>
              <w:top w:val="single" w:sz="8" w:space="0" w:color="auto"/>
              <w:left w:val="nil"/>
              <w:bottom w:val="single" w:sz="8" w:space="0" w:color="auto"/>
              <w:right w:val="single" w:sz="8" w:space="0" w:color="auto"/>
            </w:tcBorders>
            <w:shd w:val="clear" w:color="auto" w:fill="auto"/>
            <w:vAlign w:val="center"/>
            <w:hideMark/>
          </w:tcPr>
          <w:p w14:paraId="66A3CE5A" w14:textId="77777777" w:rsidR="00A87FFB" w:rsidRPr="00FD6536" w:rsidRDefault="00A87FFB" w:rsidP="00335D8A">
            <w:pPr>
              <w:jc w:val="right"/>
              <w:rPr>
                <w:rFonts w:cs="Arial"/>
                <w:b/>
                <w:bCs/>
                <w:sz w:val="20"/>
                <w:szCs w:val="16"/>
              </w:rPr>
            </w:pPr>
            <w:r w:rsidRPr="00FD6536">
              <w:rPr>
                <w:rFonts w:cs="Arial"/>
                <w:b/>
                <w:bCs/>
                <w:sz w:val="20"/>
                <w:szCs w:val="16"/>
              </w:rPr>
              <w:t>24.517.780</w:t>
            </w:r>
          </w:p>
        </w:tc>
        <w:tc>
          <w:tcPr>
            <w:tcW w:w="625" w:type="pct"/>
            <w:tcBorders>
              <w:top w:val="single" w:sz="8" w:space="0" w:color="auto"/>
              <w:left w:val="nil"/>
              <w:bottom w:val="single" w:sz="8" w:space="0" w:color="auto"/>
              <w:right w:val="single" w:sz="8" w:space="0" w:color="auto"/>
            </w:tcBorders>
            <w:shd w:val="clear" w:color="auto" w:fill="auto"/>
            <w:vAlign w:val="center"/>
            <w:hideMark/>
          </w:tcPr>
          <w:p w14:paraId="35303587" w14:textId="77777777" w:rsidR="00A87FFB" w:rsidRPr="00FD6536" w:rsidRDefault="00A87FFB" w:rsidP="00335D8A">
            <w:pPr>
              <w:jc w:val="right"/>
              <w:rPr>
                <w:rFonts w:cs="Arial"/>
                <w:b/>
                <w:bCs/>
                <w:sz w:val="20"/>
                <w:szCs w:val="16"/>
              </w:rPr>
            </w:pPr>
            <w:r w:rsidRPr="00FD6536">
              <w:rPr>
                <w:rFonts w:cs="Arial"/>
                <w:b/>
                <w:bCs/>
                <w:sz w:val="20"/>
                <w:szCs w:val="16"/>
              </w:rPr>
              <w:t>26.309.629</w:t>
            </w:r>
          </w:p>
        </w:tc>
        <w:tc>
          <w:tcPr>
            <w:tcW w:w="625" w:type="pct"/>
            <w:tcBorders>
              <w:top w:val="single" w:sz="8" w:space="0" w:color="auto"/>
              <w:left w:val="nil"/>
              <w:bottom w:val="single" w:sz="8" w:space="0" w:color="auto"/>
              <w:right w:val="single" w:sz="8" w:space="0" w:color="auto"/>
            </w:tcBorders>
            <w:shd w:val="clear" w:color="auto" w:fill="auto"/>
            <w:vAlign w:val="center"/>
            <w:hideMark/>
          </w:tcPr>
          <w:p w14:paraId="158245ED" w14:textId="77777777" w:rsidR="00A87FFB" w:rsidRPr="00FD6536" w:rsidRDefault="00A87FFB" w:rsidP="00335D8A">
            <w:pPr>
              <w:jc w:val="right"/>
              <w:rPr>
                <w:rFonts w:cs="Arial"/>
                <w:b/>
                <w:bCs/>
                <w:sz w:val="20"/>
                <w:szCs w:val="16"/>
              </w:rPr>
            </w:pPr>
            <w:r w:rsidRPr="00FD6536">
              <w:rPr>
                <w:rFonts w:cs="Arial"/>
                <w:b/>
                <w:bCs/>
                <w:sz w:val="20"/>
                <w:szCs w:val="16"/>
              </w:rPr>
              <w:t>31.539.599</w:t>
            </w:r>
          </w:p>
        </w:tc>
        <w:tc>
          <w:tcPr>
            <w:tcW w:w="625" w:type="pct"/>
            <w:tcBorders>
              <w:top w:val="single" w:sz="8" w:space="0" w:color="auto"/>
              <w:left w:val="nil"/>
              <w:bottom w:val="single" w:sz="8" w:space="0" w:color="auto"/>
              <w:right w:val="single" w:sz="8" w:space="0" w:color="auto"/>
            </w:tcBorders>
            <w:shd w:val="clear" w:color="auto" w:fill="auto"/>
            <w:vAlign w:val="center"/>
            <w:hideMark/>
          </w:tcPr>
          <w:p w14:paraId="41C14C52" w14:textId="77777777" w:rsidR="00A87FFB" w:rsidRPr="00FD6536" w:rsidRDefault="00A87FFB" w:rsidP="00335D8A">
            <w:pPr>
              <w:jc w:val="right"/>
              <w:rPr>
                <w:rFonts w:cs="Arial"/>
                <w:b/>
                <w:bCs/>
                <w:sz w:val="20"/>
                <w:szCs w:val="16"/>
              </w:rPr>
            </w:pPr>
            <w:r w:rsidRPr="00FD6536">
              <w:rPr>
                <w:rFonts w:cs="Arial"/>
                <w:b/>
                <w:bCs/>
                <w:sz w:val="20"/>
                <w:szCs w:val="16"/>
              </w:rPr>
              <w:t>37.203.041</w:t>
            </w:r>
          </w:p>
        </w:tc>
        <w:tc>
          <w:tcPr>
            <w:tcW w:w="546" w:type="pct"/>
            <w:tcBorders>
              <w:top w:val="single" w:sz="8" w:space="0" w:color="auto"/>
              <w:left w:val="nil"/>
              <w:bottom w:val="single" w:sz="8" w:space="0" w:color="auto"/>
              <w:right w:val="nil"/>
            </w:tcBorders>
            <w:shd w:val="clear" w:color="auto" w:fill="auto"/>
            <w:vAlign w:val="center"/>
            <w:hideMark/>
          </w:tcPr>
          <w:p w14:paraId="2F99BA9C" w14:textId="77777777" w:rsidR="00A87FFB" w:rsidRPr="00FD6536" w:rsidRDefault="00A87FFB" w:rsidP="00335D8A">
            <w:pPr>
              <w:jc w:val="right"/>
              <w:rPr>
                <w:rFonts w:cs="Arial"/>
                <w:b/>
                <w:bCs/>
                <w:sz w:val="20"/>
                <w:szCs w:val="16"/>
              </w:rPr>
            </w:pPr>
            <w:r w:rsidRPr="00FD6536">
              <w:rPr>
                <w:rFonts w:cs="Arial"/>
                <w:b/>
                <w:bCs/>
                <w:sz w:val="20"/>
                <w:szCs w:val="16"/>
              </w:rPr>
              <w:t>38.364.549</w:t>
            </w:r>
          </w:p>
        </w:tc>
      </w:tr>
      <w:tr w:rsidR="00A87FFB" w:rsidRPr="00FD6536" w14:paraId="086D39EC" w14:textId="77777777" w:rsidTr="00E6391B">
        <w:trPr>
          <w:trHeight w:val="340"/>
        </w:trPr>
        <w:tc>
          <w:tcPr>
            <w:tcW w:w="2032" w:type="pct"/>
            <w:tcBorders>
              <w:top w:val="nil"/>
              <w:left w:val="nil"/>
              <w:bottom w:val="nil"/>
              <w:right w:val="single" w:sz="8" w:space="0" w:color="auto"/>
            </w:tcBorders>
            <w:shd w:val="clear" w:color="auto" w:fill="auto"/>
            <w:vAlign w:val="center"/>
            <w:hideMark/>
          </w:tcPr>
          <w:p w14:paraId="79B7289B" w14:textId="77777777" w:rsidR="00A87FFB" w:rsidRPr="00FD6536" w:rsidRDefault="00A87FFB" w:rsidP="00335D8A">
            <w:pPr>
              <w:ind w:left="215"/>
              <w:rPr>
                <w:rFonts w:cs="Arial"/>
                <w:sz w:val="20"/>
                <w:szCs w:val="18"/>
              </w:rPr>
            </w:pPr>
            <w:r w:rsidRPr="00FD6536">
              <w:rPr>
                <w:rFonts w:cs="Arial"/>
                <w:sz w:val="20"/>
                <w:szCs w:val="18"/>
              </w:rPr>
              <w:t>(-) Transferências obrigatórias da União relativas às emendas de bancada</w:t>
            </w:r>
          </w:p>
        </w:tc>
        <w:tc>
          <w:tcPr>
            <w:tcW w:w="547" w:type="pct"/>
            <w:tcBorders>
              <w:top w:val="nil"/>
              <w:left w:val="nil"/>
              <w:bottom w:val="nil"/>
              <w:right w:val="single" w:sz="8" w:space="0" w:color="auto"/>
            </w:tcBorders>
            <w:shd w:val="clear" w:color="auto" w:fill="auto"/>
            <w:vAlign w:val="center"/>
            <w:hideMark/>
          </w:tcPr>
          <w:p w14:paraId="029DC42A" w14:textId="77777777" w:rsidR="00A87FFB" w:rsidRPr="00FD6536" w:rsidRDefault="00A87FFB" w:rsidP="00335D8A">
            <w:pPr>
              <w:jc w:val="right"/>
              <w:rPr>
                <w:rFonts w:cs="Arial"/>
                <w:color w:val="FF0000"/>
                <w:sz w:val="20"/>
                <w:szCs w:val="16"/>
              </w:rPr>
            </w:pPr>
            <w:r w:rsidRPr="00FD6536">
              <w:rPr>
                <w:rFonts w:cs="Arial"/>
                <w:color w:val="FF0000"/>
                <w:sz w:val="20"/>
                <w:szCs w:val="16"/>
              </w:rPr>
              <w:t>-</w:t>
            </w:r>
          </w:p>
        </w:tc>
        <w:tc>
          <w:tcPr>
            <w:tcW w:w="625" w:type="pct"/>
            <w:tcBorders>
              <w:top w:val="nil"/>
              <w:left w:val="nil"/>
              <w:bottom w:val="nil"/>
              <w:right w:val="single" w:sz="8" w:space="0" w:color="auto"/>
            </w:tcBorders>
            <w:shd w:val="clear" w:color="auto" w:fill="auto"/>
            <w:vAlign w:val="center"/>
            <w:hideMark/>
          </w:tcPr>
          <w:p w14:paraId="797B2A7D" w14:textId="77777777" w:rsidR="00A87FFB" w:rsidRPr="00FD6536" w:rsidRDefault="00A87FFB" w:rsidP="00335D8A">
            <w:pPr>
              <w:jc w:val="right"/>
              <w:rPr>
                <w:rFonts w:cs="Arial"/>
                <w:color w:val="FF0000"/>
                <w:sz w:val="20"/>
                <w:szCs w:val="16"/>
              </w:rPr>
            </w:pPr>
            <w:r w:rsidRPr="00FD6536">
              <w:rPr>
                <w:rFonts w:cs="Arial"/>
                <w:color w:val="FF0000"/>
                <w:sz w:val="20"/>
                <w:szCs w:val="16"/>
              </w:rPr>
              <w:t>(19.608)</w:t>
            </w:r>
          </w:p>
        </w:tc>
        <w:tc>
          <w:tcPr>
            <w:tcW w:w="625" w:type="pct"/>
            <w:tcBorders>
              <w:top w:val="nil"/>
              <w:left w:val="nil"/>
              <w:bottom w:val="nil"/>
              <w:right w:val="single" w:sz="8" w:space="0" w:color="auto"/>
            </w:tcBorders>
            <w:shd w:val="clear" w:color="auto" w:fill="auto"/>
            <w:vAlign w:val="center"/>
            <w:hideMark/>
          </w:tcPr>
          <w:p w14:paraId="0519F633" w14:textId="77777777" w:rsidR="00A87FFB" w:rsidRPr="00FD6536" w:rsidRDefault="00A87FFB" w:rsidP="00335D8A">
            <w:pPr>
              <w:jc w:val="right"/>
              <w:rPr>
                <w:rFonts w:cs="Arial"/>
                <w:color w:val="FF0000"/>
                <w:sz w:val="20"/>
                <w:szCs w:val="16"/>
              </w:rPr>
            </w:pPr>
            <w:r w:rsidRPr="00FD6536">
              <w:rPr>
                <w:rFonts w:cs="Arial"/>
                <w:color w:val="FF0000"/>
                <w:sz w:val="20"/>
                <w:szCs w:val="16"/>
              </w:rPr>
              <w:t>(408)</w:t>
            </w:r>
          </w:p>
        </w:tc>
        <w:tc>
          <w:tcPr>
            <w:tcW w:w="625" w:type="pct"/>
            <w:tcBorders>
              <w:top w:val="nil"/>
              <w:left w:val="nil"/>
              <w:bottom w:val="nil"/>
              <w:right w:val="single" w:sz="8" w:space="0" w:color="auto"/>
            </w:tcBorders>
            <w:shd w:val="clear" w:color="auto" w:fill="auto"/>
            <w:vAlign w:val="center"/>
            <w:hideMark/>
          </w:tcPr>
          <w:p w14:paraId="5006C596" w14:textId="77777777" w:rsidR="00A87FFB" w:rsidRPr="00FD6536" w:rsidRDefault="00A87FFB" w:rsidP="00335D8A">
            <w:pPr>
              <w:jc w:val="right"/>
              <w:rPr>
                <w:rFonts w:cs="Arial"/>
                <w:color w:val="FF0000"/>
                <w:sz w:val="20"/>
                <w:szCs w:val="16"/>
              </w:rPr>
            </w:pPr>
            <w:r w:rsidRPr="00FD6536">
              <w:rPr>
                <w:rFonts w:cs="Arial"/>
                <w:color w:val="FF0000"/>
                <w:sz w:val="20"/>
                <w:szCs w:val="16"/>
              </w:rPr>
              <w:t>(3.990)</w:t>
            </w:r>
          </w:p>
        </w:tc>
        <w:tc>
          <w:tcPr>
            <w:tcW w:w="546" w:type="pct"/>
            <w:tcBorders>
              <w:top w:val="nil"/>
              <w:left w:val="nil"/>
              <w:bottom w:val="nil"/>
              <w:right w:val="nil"/>
            </w:tcBorders>
            <w:shd w:val="clear" w:color="auto" w:fill="auto"/>
            <w:vAlign w:val="center"/>
            <w:hideMark/>
          </w:tcPr>
          <w:p w14:paraId="2ED6FB23" w14:textId="77777777" w:rsidR="00A87FFB" w:rsidRPr="00FD6536" w:rsidRDefault="00A87FFB" w:rsidP="00335D8A">
            <w:pPr>
              <w:jc w:val="right"/>
              <w:rPr>
                <w:rFonts w:cs="Arial"/>
                <w:color w:val="FF0000"/>
                <w:sz w:val="20"/>
                <w:szCs w:val="16"/>
              </w:rPr>
            </w:pPr>
            <w:r w:rsidRPr="00FD6536">
              <w:rPr>
                <w:rFonts w:cs="Arial"/>
                <w:color w:val="FF0000"/>
                <w:sz w:val="20"/>
                <w:szCs w:val="16"/>
              </w:rPr>
              <w:t>(523)</w:t>
            </w:r>
          </w:p>
        </w:tc>
      </w:tr>
      <w:tr w:rsidR="00A87FFB" w:rsidRPr="00FD6536" w14:paraId="6BD6EE0C" w14:textId="77777777" w:rsidTr="00E6391B">
        <w:trPr>
          <w:trHeight w:val="340"/>
        </w:trPr>
        <w:tc>
          <w:tcPr>
            <w:tcW w:w="2032" w:type="pct"/>
            <w:tcBorders>
              <w:top w:val="single" w:sz="8" w:space="0" w:color="auto"/>
              <w:left w:val="nil"/>
              <w:bottom w:val="single" w:sz="8" w:space="0" w:color="auto"/>
              <w:right w:val="single" w:sz="8" w:space="0" w:color="auto"/>
            </w:tcBorders>
            <w:shd w:val="clear" w:color="auto" w:fill="auto"/>
            <w:vAlign w:val="center"/>
            <w:hideMark/>
          </w:tcPr>
          <w:p w14:paraId="6153BBCB" w14:textId="77777777" w:rsidR="00A87FFB" w:rsidRPr="00FD6536" w:rsidRDefault="00A87FFB" w:rsidP="00FD6536">
            <w:pPr>
              <w:jc w:val="center"/>
              <w:rPr>
                <w:rFonts w:cs="Arial"/>
                <w:b/>
                <w:bCs/>
                <w:sz w:val="20"/>
                <w:szCs w:val="18"/>
              </w:rPr>
            </w:pPr>
            <w:r w:rsidRPr="00FD6536">
              <w:rPr>
                <w:rFonts w:cs="Arial"/>
                <w:b/>
                <w:bCs/>
                <w:sz w:val="20"/>
                <w:szCs w:val="18"/>
              </w:rPr>
              <w:lastRenderedPageBreak/>
              <w:t>RCL Ajustada para Cálculo dos Limites da Despesa com Pessoal</w:t>
            </w:r>
          </w:p>
        </w:tc>
        <w:tc>
          <w:tcPr>
            <w:tcW w:w="547" w:type="pct"/>
            <w:tcBorders>
              <w:top w:val="single" w:sz="8" w:space="0" w:color="auto"/>
              <w:left w:val="nil"/>
              <w:bottom w:val="single" w:sz="8" w:space="0" w:color="auto"/>
              <w:right w:val="single" w:sz="8" w:space="0" w:color="auto"/>
            </w:tcBorders>
            <w:shd w:val="clear" w:color="auto" w:fill="auto"/>
            <w:vAlign w:val="center"/>
            <w:hideMark/>
          </w:tcPr>
          <w:p w14:paraId="64584943" w14:textId="77777777" w:rsidR="00A87FFB" w:rsidRPr="00FD6536" w:rsidRDefault="00A87FFB" w:rsidP="00335D8A">
            <w:pPr>
              <w:jc w:val="right"/>
              <w:rPr>
                <w:rFonts w:cs="Arial"/>
                <w:b/>
                <w:bCs/>
                <w:sz w:val="20"/>
                <w:szCs w:val="16"/>
              </w:rPr>
            </w:pPr>
            <w:r w:rsidRPr="00FD6536">
              <w:rPr>
                <w:rFonts w:cs="Arial"/>
                <w:b/>
                <w:bCs/>
                <w:sz w:val="20"/>
                <w:szCs w:val="16"/>
              </w:rPr>
              <w:t>24.517.780</w:t>
            </w:r>
          </w:p>
        </w:tc>
        <w:tc>
          <w:tcPr>
            <w:tcW w:w="625" w:type="pct"/>
            <w:tcBorders>
              <w:top w:val="single" w:sz="8" w:space="0" w:color="auto"/>
              <w:left w:val="nil"/>
              <w:bottom w:val="single" w:sz="8" w:space="0" w:color="auto"/>
              <w:right w:val="single" w:sz="8" w:space="0" w:color="auto"/>
            </w:tcBorders>
            <w:shd w:val="clear" w:color="auto" w:fill="auto"/>
            <w:vAlign w:val="center"/>
            <w:hideMark/>
          </w:tcPr>
          <w:p w14:paraId="29FF8C79" w14:textId="77777777" w:rsidR="00A87FFB" w:rsidRPr="00FD6536" w:rsidRDefault="00A87FFB" w:rsidP="00335D8A">
            <w:pPr>
              <w:jc w:val="right"/>
              <w:rPr>
                <w:rFonts w:cs="Arial"/>
                <w:b/>
                <w:bCs/>
                <w:sz w:val="20"/>
                <w:szCs w:val="16"/>
              </w:rPr>
            </w:pPr>
            <w:r w:rsidRPr="00FD6536">
              <w:rPr>
                <w:rFonts w:cs="Arial"/>
                <w:b/>
                <w:bCs/>
                <w:sz w:val="20"/>
                <w:szCs w:val="16"/>
              </w:rPr>
              <w:t>26.290.021</w:t>
            </w:r>
          </w:p>
        </w:tc>
        <w:tc>
          <w:tcPr>
            <w:tcW w:w="625" w:type="pct"/>
            <w:tcBorders>
              <w:top w:val="single" w:sz="8" w:space="0" w:color="auto"/>
              <w:left w:val="nil"/>
              <w:bottom w:val="single" w:sz="8" w:space="0" w:color="auto"/>
              <w:right w:val="single" w:sz="8" w:space="0" w:color="auto"/>
            </w:tcBorders>
            <w:shd w:val="clear" w:color="auto" w:fill="auto"/>
            <w:vAlign w:val="center"/>
            <w:hideMark/>
          </w:tcPr>
          <w:p w14:paraId="4BBCBE78" w14:textId="77777777" w:rsidR="00A87FFB" w:rsidRPr="00FD6536" w:rsidRDefault="00A87FFB" w:rsidP="00335D8A">
            <w:pPr>
              <w:jc w:val="right"/>
              <w:rPr>
                <w:rFonts w:cs="Arial"/>
                <w:b/>
                <w:bCs/>
                <w:sz w:val="20"/>
                <w:szCs w:val="16"/>
              </w:rPr>
            </w:pPr>
            <w:r w:rsidRPr="00FD6536">
              <w:rPr>
                <w:rFonts w:cs="Arial"/>
                <w:b/>
                <w:bCs/>
                <w:sz w:val="20"/>
                <w:szCs w:val="16"/>
              </w:rPr>
              <w:t>31.539.192</w:t>
            </w:r>
          </w:p>
        </w:tc>
        <w:tc>
          <w:tcPr>
            <w:tcW w:w="625" w:type="pct"/>
            <w:tcBorders>
              <w:top w:val="single" w:sz="8" w:space="0" w:color="auto"/>
              <w:left w:val="nil"/>
              <w:bottom w:val="single" w:sz="8" w:space="0" w:color="auto"/>
              <w:right w:val="single" w:sz="8" w:space="0" w:color="auto"/>
            </w:tcBorders>
            <w:shd w:val="clear" w:color="auto" w:fill="auto"/>
            <w:vAlign w:val="center"/>
            <w:hideMark/>
          </w:tcPr>
          <w:p w14:paraId="22E3EA7F" w14:textId="77777777" w:rsidR="00A87FFB" w:rsidRPr="00FD6536" w:rsidRDefault="00A87FFB" w:rsidP="00335D8A">
            <w:pPr>
              <w:jc w:val="right"/>
              <w:rPr>
                <w:rFonts w:cs="Arial"/>
                <w:b/>
                <w:bCs/>
                <w:sz w:val="20"/>
                <w:szCs w:val="16"/>
              </w:rPr>
            </w:pPr>
            <w:r w:rsidRPr="00FD6536">
              <w:rPr>
                <w:rFonts w:cs="Arial"/>
                <w:b/>
                <w:bCs/>
                <w:sz w:val="20"/>
                <w:szCs w:val="16"/>
              </w:rPr>
              <w:t>37.199.051</w:t>
            </w:r>
          </w:p>
        </w:tc>
        <w:tc>
          <w:tcPr>
            <w:tcW w:w="546" w:type="pct"/>
            <w:tcBorders>
              <w:top w:val="single" w:sz="8" w:space="0" w:color="auto"/>
              <w:left w:val="nil"/>
              <w:bottom w:val="single" w:sz="8" w:space="0" w:color="auto"/>
              <w:right w:val="nil"/>
            </w:tcBorders>
            <w:shd w:val="clear" w:color="auto" w:fill="auto"/>
            <w:vAlign w:val="center"/>
            <w:hideMark/>
          </w:tcPr>
          <w:p w14:paraId="1CA7C901" w14:textId="77777777" w:rsidR="00A87FFB" w:rsidRPr="00FD6536" w:rsidRDefault="00A87FFB" w:rsidP="00335D8A">
            <w:pPr>
              <w:jc w:val="right"/>
              <w:rPr>
                <w:rFonts w:cs="Arial"/>
                <w:b/>
                <w:bCs/>
                <w:sz w:val="20"/>
                <w:szCs w:val="16"/>
              </w:rPr>
            </w:pPr>
            <w:r w:rsidRPr="00FD6536">
              <w:rPr>
                <w:rFonts w:cs="Arial"/>
                <w:b/>
                <w:bCs/>
                <w:sz w:val="20"/>
                <w:szCs w:val="16"/>
              </w:rPr>
              <w:t>38.364.026</w:t>
            </w:r>
          </w:p>
        </w:tc>
      </w:tr>
    </w:tbl>
    <w:p w14:paraId="2F773587" w14:textId="77777777" w:rsidR="00A87FFB" w:rsidRDefault="00A87FFB" w:rsidP="00A87FFB">
      <w:pPr>
        <w:pStyle w:val="1-FONTE8ESQ"/>
      </w:pPr>
      <w:r w:rsidRPr="00D9143E">
        <w:t>Fonte: RREO 6º Bimestre</w:t>
      </w:r>
      <w:r>
        <w:t xml:space="preserve"> de </w:t>
      </w:r>
      <w:r w:rsidRPr="00D9143E">
        <w:t>2019</w:t>
      </w:r>
      <w:r>
        <w:t xml:space="preserve"> a </w:t>
      </w:r>
      <w:r w:rsidRPr="00D9143E">
        <w:t>2023</w:t>
      </w:r>
    </w:p>
    <w:p w14:paraId="0B4D3691" w14:textId="77777777" w:rsidR="00A87FFB" w:rsidRPr="001C305A" w:rsidRDefault="00A87FFB" w:rsidP="00E6391B">
      <w:pPr>
        <w:pStyle w:val="1-REL11"/>
        <w:spacing w:before="240" w:after="280" w:line="300" w:lineRule="auto"/>
      </w:pPr>
      <w:r w:rsidRPr="001C305A">
        <w:t>As transferências obrigatórias da União relativas às emendas individuais e de bancadas (art.</w:t>
      </w:r>
      <w:r>
        <w:t> </w:t>
      </w:r>
      <w:r w:rsidRPr="001C305A">
        <w:t>166, § 12, e art. 166-A, § 1º da CF/88) transferidas para o estado de Goiás também foram excluídas da RCL tão somente para fins de aplicação dos limites de despesas com pessoal e para o cálculo dos limites de endividamento.</w:t>
      </w:r>
    </w:p>
    <w:p w14:paraId="2C3306D5" w14:textId="77777777" w:rsidR="00A87FFB" w:rsidRPr="001C305A" w:rsidRDefault="00A87FFB" w:rsidP="00E6391B">
      <w:pPr>
        <w:pStyle w:val="1-REL11"/>
        <w:spacing w:before="240" w:after="280" w:line="300" w:lineRule="auto"/>
      </w:pPr>
      <w:r w:rsidRPr="001C305A">
        <w:t>Sinteticamente, a RCL obteve aumento nominal de 3,22% em relação ao exercício financeiro de 2022. Portanto, a performance nominal foi inferior a inflação acumulada em dezembro/2023 de 4,62%, calculado pelo IPCA.</w:t>
      </w:r>
    </w:p>
    <w:p w14:paraId="3C99EF06" w14:textId="77777777" w:rsidR="00A87FFB" w:rsidRPr="001C305A" w:rsidRDefault="00A87FFB" w:rsidP="00E6391B">
      <w:pPr>
        <w:pStyle w:val="1-REL11"/>
        <w:spacing w:before="240" w:after="280" w:line="300" w:lineRule="auto"/>
      </w:pPr>
      <w:r>
        <w:t>Todavia, e</w:t>
      </w:r>
      <w:r w:rsidRPr="001C305A">
        <w:t>m 2023 o estado de Goiás não obteve receitas patrimoniais oriundas das vendas de ativos. Situação diferente em 2022, em que houve o recebimento atípico de dividendos da Celg T no valor de R$ 1,17 bilhão.</w:t>
      </w:r>
    </w:p>
    <w:p w14:paraId="78738441" w14:textId="77777777" w:rsidR="00A87FFB" w:rsidRDefault="00A87FFB" w:rsidP="00E6391B">
      <w:pPr>
        <w:pStyle w:val="1-REL11"/>
        <w:spacing w:before="240" w:after="280" w:line="300" w:lineRule="auto"/>
      </w:pPr>
      <w:r w:rsidRPr="001C305A">
        <w:t xml:space="preserve">Outro ponto relevante é que a receita financeira do </w:t>
      </w:r>
      <w:r>
        <w:t>E</w:t>
      </w:r>
      <w:r w:rsidRPr="001C305A">
        <w:t>stado aumentou 23,68% em relação ao mesmo período, em termos monetários, o que corresponde a um aumento nominal de R$ 327 milhões</w:t>
      </w:r>
      <w:r>
        <w:t>; decorrente, sobretudo, do aumento de disponibilidade financeira.</w:t>
      </w:r>
    </w:p>
    <w:p w14:paraId="02A5B1F8" w14:textId="77777777" w:rsidR="00A87FFB" w:rsidRPr="001C305A" w:rsidRDefault="00A87FFB" w:rsidP="00E6391B">
      <w:pPr>
        <w:pStyle w:val="1-REL11"/>
        <w:spacing w:before="240" w:after="280" w:line="300" w:lineRule="auto"/>
      </w:pPr>
      <w:r w:rsidRPr="001C305A">
        <w:t>Ainda contribuíram para o baixo incremento da RCL a exclusão das receitas oriundas do Ipasgo, da ordem de R$ 1,26 bilhão, que deixaram de fazer parte da RCL a partir de 05/2023 em função de sua extinção dada pela Lei Estadual nº 21.880</w:t>
      </w:r>
      <w:r>
        <w:t>, de 20 de abril de 2023</w:t>
      </w:r>
      <w:r w:rsidRPr="001C305A">
        <w:t>. Contudo, o valor de R$ 680 milhões compuseram a RCL no período de janeiro/2023 a abril/2023.</w:t>
      </w:r>
    </w:p>
    <w:p w14:paraId="29A9306A" w14:textId="77777777" w:rsidR="00A87FFB" w:rsidRPr="008B171E" w:rsidRDefault="00A87FFB" w:rsidP="00E6391B">
      <w:pPr>
        <w:pStyle w:val="1-REL11"/>
        <w:spacing w:before="240" w:after="280" w:line="300" w:lineRule="auto"/>
      </w:pPr>
      <w:r w:rsidRPr="001C305A">
        <w:t xml:space="preserve">Por outro lado, o estado de Goiás </w:t>
      </w:r>
      <w:r w:rsidRPr="008B171E">
        <w:t>recebeu compensação financeira das perdas com arrecadação de ICMS – art. 3º, § 4º, Lei Complementar nº 194, de 23 de junho de 2022, no montante de R$ 1,24 bilhão entre março/2023 e dezembro/2023.</w:t>
      </w:r>
      <w:r>
        <w:t xml:space="preserve"> Além disso, houve transferência para o estado de Goiás o valor de R$ 82,37 milhões advindos da Lei Complementar nº 201, de 24 de outubro de 2023, que trata de assistência financeira para compensação das perdas do Fundo de Participação do Estado (FPE).</w:t>
      </w:r>
    </w:p>
    <w:p w14:paraId="5AB32AA0" w14:textId="67FFD1B6" w:rsidR="00A87FFB" w:rsidRDefault="00A87FFB" w:rsidP="00E6391B">
      <w:pPr>
        <w:pStyle w:val="1-REL11"/>
        <w:spacing w:before="240" w:after="280" w:line="300" w:lineRule="auto"/>
      </w:pPr>
      <w:r w:rsidRPr="008B171E">
        <w:t>A LC nº 194/</w:t>
      </w:r>
      <w:r>
        <w:t>20</w:t>
      </w:r>
      <w:r w:rsidRPr="008B171E">
        <w:t>22 vedou a fixação de alíquotas de ICMS aplicada aos combustíveis, gás natural, energia elétrica e comunicações em patamar superior ao das operações em geral e essa alteração trouxe impacto na arrecadação do ICMS em Goiás que tinha alíquotas mais elevadas. No exercício em análise, observa</w:t>
      </w:r>
      <w:r w:rsidRPr="001C305A">
        <w:t xml:space="preserve">-se que a arrecadação de ICMS teve aumento nominal de </w:t>
      </w:r>
      <w:r w:rsidRPr="001C305A">
        <w:lastRenderedPageBreak/>
        <w:t>1,18% comparado com o exercício de 2022, decorrente da mudança da legislação tributária. Quanto aos demais impostos, constatou-se aumento significativo na arrecadação e bem superior à inflação, conforme detalhado a seguir:</w:t>
      </w:r>
    </w:p>
    <w:p w14:paraId="6D82CC77" w14:textId="77777777" w:rsidR="00781D02" w:rsidRDefault="00781D02" w:rsidP="00A87FFB">
      <w:pPr>
        <w:pStyle w:val="1-REL11"/>
      </w:pPr>
    </w:p>
    <w:p w14:paraId="26771DFC" w14:textId="4CCC974B" w:rsidR="00A87FFB" w:rsidRPr="001C305A" w:rsidRDefault="00A87FFB" w:rsidP="00ED3571">
      <w:pPr>
        <w:pStyle w:val="0-TABELA"/>
        <w:rPr>
          <w:b/>
        </w:rPr>
      </w:pPr>
      <w:bookmarkStart w:id="107" w:name="_Toc167871744"/>
      <w:r w:rsidRPr="001C305A">
        <w:t>Arrecadação de Impostos Estaduais – 2023</w:t>
      </w:r>
      <w:r w:rsidR="00E927D2">
        <w:t xml:space="preserve"> X 2022</w:t>
      </w:r>
      <w:bookmarkEnd w:id="107"/>
    </w:p>
    <w:p w14:paraId="42C60891" w14:textId="77777777" w:rsidR="00A87FFB" w:rsidRPr="001C305A" w:rsidRDefault="00A87FFB" w:rsidP="00A87FFB">
      <w:pPr>
        <w:spacing w:line="276" w:lineRule="auto"/>
        <w:jc w:val="right"/>
        <w:rPr>
          <w:rFonts w:cs="Arial"/>
          <w:sz w:val="16"/>
        </w:rPr>
      </w:pPr>
      <w:r w:rsidRPr="001C305A">
        <w:rPr>
          <w:rFonts w:cs="Arial"/>
          <w:sz w:val="16"/>
        </w:rPr>
        <w:t>R$</w:t>
      </w:r>
      <w:r>
        <w:rPr>
          <w:rFonts w:cs="Arial"/>
          <w:sz w:val="16"/>
        </w:rPr>
        <w:t xml:space="preserve"> 1</w:t>
      </w:r>
    </w:p>
    <w:tbl>
      <w:tblPr>
        <w:tblW w:w="5000" w:type="pct"/>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507"/>
        <w:gridCol w:w="2282"/>
        <w:gridCol w:w="2282"/>
        <w:gridCol w:w="2282"/>
      </w:tblGrid>
      <w:tr w:rsidR="003549B2" w:rsidRPr="002D4DD3" w14:paraId="5E4C2DE4" w14:textId="77777777" w:rsidTr="00A47363">
        <w:trPr>
          <w:trHeight w:val="284"/>
          <w:tblHeader/>
        </w:trPr>
        <w:tc>
          <w:tcPr>
            <w:tcW w:w="1340" w:type="pct"/>
            <w:vMerge w:val="restart"/>
            <w:shd w:val="clear" w:color="000000" w:fill="A1F2FD"/>
            <w:vAlign w:val="center"/>
            <w:hideMark/>
          </w:tcPr>
          <w:p w14:paraId="4243691C" w14:textId="77777777" w:rsidR="003549B2" w:rsidRPr="002D4DD3" w:rsidRDefault="003549B2" w:rsidP="00335D8A">
            <w:pPr>
              <w:jc w:val="center"/>
              <w:rPr>
                <w:rFonts w:cs="Arial"/>
                <w:b/>
                <w:bCs/>
                <w:color w:val="000000"/>
                <w:sz w:val="20"/>
                <w:szCs w:val="20"/>
              </w:rPr>
            </w:pPr>
            <w:r w:rsidRPr="002D4DD3">
              <w:rPr>
                <w:rFonts w:cs="Arial"/>
                <w:b/>
                <w:bCs/>
                <w:color w:val="000000"/>
                <w:sz w:val="20"/>
                <w:szCs w:val="20"/>
              </w:rPr>
              <w:t>Impostos</w:t>
            </w:r>
          </w:p>
        </w:tc>
        <w:tc>
          <w:tcPr>
            <w:tcW w:w="2440" w:type="pct"/>
            <w:gridSpan w:val="2"/>
            <w:tcBorders>
              <w:bottom w:val="single" w:sz="4" w:space="0" w:color="auto"/>
            </w:tcBorders>
            <w:shd w:val="clear" w:color="000000" w:fill="A1F2FD"/>
          </w:tcPr>
          <w:p w14:paraId="18FDA2D6" w14:textId="3B5D937F" w:rsidR="003549B2" w:rsidRPr="002D4DD3" w:rsidRDefault="003549B2" w:rsidP="00781D02">
            <w:pPr>
              <w:jc w:val="center"/>
              <w:rPr>
                <w:rFonts w:cs="Arial"/>
                <w:b/>
                <w:bCs/>
                <w:color w:val="000000"/>
                <w:sz w:val="20"/>
                <w:szCs w:val="20"/>
              </w:rPr>
            </w:pPr>
            <w:r w:rsidRPr="002D4DD3">
              <w:rPr>
                <w:rFonts w:cs="Arial"/>
                <w:b/>
                <w:bCs/>
                <w:color w:val="000000"/>
                <w:sz w:val="20"/>
                <w:szCs w:val="20"/>
              </w:rPr>
              <w:t xml:space="preserve">6º Bimestre </w:t>
            </w:r>
          </w:p>
        </w:tc>
        <w:tc>
          <w:tcPr>
            <w:tcW w:w="1220" w:type="pct"/>
            <w:tcBorders>
              <w:bottom w:val="nil"/>
            </w:tcBorders>
            <w:shd w:val="clear" w:color="000000" w:fill="A1F2FD"/>
            <w:vAlign w:val="center"/>
            <w:hideMark/>
          </w:tcPr>
          <w:p w14:paraId="555CA5A9" w14:textId="714CBDE5" w:rsidR="003549B2" w:rsidRPr="002D4DD3" w:rsidRDefault="003549B2" w:rsidP="00781D02">
            <w:pPr>
              <w:jc w:val="center"/>
              <w:rPr>
                <w:rFonts w:cs="Arial"/>
                <w:b/>
                <w:bCs/>
                <w:color w:val="000000"/>
                <w:sz w:val="20"/>
                <w:szCs w:val="20"/>
              </w:rPr>
            </w:pPr>
            <w:r w:rsidRPr="002D4DD3">
              <w:rPr>
                <w:rFonts w:cs="Arial"/>
                <w:b/>
                <w:bCs/>
                <w:color w:val="000000"/>
                <w:sz w:val="20"/>
                <w:szCs w:val="20"/>
              </w:rPr>
              <w:t>∆ 2023 x 2022</w:t>
            </w:r>
          </w:p>
        </w:tc>
      </w:tr>
      <w:tr w:rsidR="003549B2" w:rsidRPr="002D4DD3" w14:paraId="504297FB" w14:textId="77777777" w:rsidTr="00A47363">
        <w:trPr>
          <w:trHeight w:val="284"/>
          <w:tblHeader/>
        </w:trPr>
        <w:tc>
          <w:tcPr>
            <w:tcW w:w="1340" w:type="pct"/>
            <w:vMerge/>
            <w:shd w:val="clear" w:color="000000" w:fill="A1F2FD"/>
            <w:vAlign w:val="center"/>
          </w:tcPr>
          <w:p w14:paraId="60E5F554" w14:textId="77777777" w:rsidR="003549B2" w:rsidRPr="002D4DD3" w:rsidRDefault="003549B2" w:rsidP="003549B2">
            <w:pPr>
              <w:jc w:val="center"/>
              <w:rPr>
                <w:rFonts w:cs="Arial"/>
                <w:b/>
                <w:bCs/>
                <w:color w:val="000000"/>
                <w:sz w:val="20"/>
                <w:szCs w:val="20"/>
              </w:rPr>
            </w:pPr>
          </w:p>
        </w:tc>
        <w:tc>
          <w:tcPr>
            <w:tcW w:w="1220" w:type="pct"/>
            <w:tcBorders>
              <w:bottom w:val="nil"/>
            </w:tcBorders>
            <w:shd w:val="clear" w:color="000000" w:fill="A1F2FD"/>
            <w:vAlign w:val="center"/>
          </w:tcPr>
          <w:p w14:paraId="50CBDADA" w14:textId="07CFE946" w:rsidR="003549B2" w:rsidRPr="002D4DD3" w:rsidRDefault="003549B2" w:rsidP="003549B2">
            <w:pPr>
              <w:jc w:val="center"/>
              <w:rPr>
                <w:rFonts w:cs="Arial"/>
                <w:b/>
                <w:bCs/>
                <w:color w:val="000000"/>
                <w:sz w:val="20"/>
                <w:szCs w:val="20"/>
              </w:rPr>
            </w:pPr>
            <w:r w:rsidRPr="002D4DD3">
              <w:rPr>
                <w:rFonts w:cs="Arial"/>
                <w:b/>
                <w:bCs/>
                <w:color w:val="000000"/>
                <w:sz w:val="20"/>
                <w:szCs w:val="20"/>
              </w:rPr>
              <w:t>2023</w:t>
            </w:r>
          </w:p>
        </w:tc>
        <w:tc>
          <w:tcPr>
            <w:tcW w:w="1220" w:type="pct"/>
            <w:tcBorders>
              <w:bottom w:val="nil"/>
            </w:tcBorders>
            <w:shd w:val="clear" w:color="000000" w:fill="A1F2FD"/>
            <w:vAlign w:val="center"/>
          </w:tcPr>
          <w:p w14:paraId="71018E20" w14:textId="1106E6AB" w:rsidR="003549B2" w:rsidRPr="002D4DD3" w:rsidRDefault="003549B2" w:rsidP="003549B2">
            <w:pPr>
              <w:jc w:val="center"/>
              <w:rPr>
                <w:rFonts w:cs="Arial"/>
                <w:b/>
                <w:bCs/>
                <w:color w:val="000000"/>
                <w:sz w:val="20"/>
                <w:szCs w:val="20"/>
              </w:rPr>
            </w:pPr>
            <w:r w:rsidRPr="002D4DD3">
              <w:rPr>
                <w:rFonts w:cs="Arial"/>
                <w:b/>
                <w:bCs/>
                <w:color w:val="000000"/>
                <w:sz w:val="20"/>
                <w:szCs w:val="20"/>
              </w:rPr>
              <w:t>2022</w:t>
            </w:r>
          </w:p>
        </w:tc>
        <w:tc>
          <w:tcPr>
            <w:tcW w:w="1220" w:type="pct"/>
            <w:tcBorders>
              <w:top w:val="nil"/>
              <w:bottom w:val="nil"/>
            </w:tcBorders>
            <w:shd w:val="clear" w:color="000000" w:fill="A1F2FD"/>
            <w:vAlign w:val="center"/>
          </w:tcPr>
          <w:p w14:paraId="642A927C" w14:textId="4663F368" w:rsidR="003549B2" w:rsidRPr="002D4DD3" w:rsidRDefault="003549B2" w:rsidP="003549B2">
            <w:pPr>
              <w:jc w:val="center"/>
              <w:rPr>
                <w:rFonts w:cs="Arial"/>
                <w:b/>
                <w:bCs/>
                <w:color w:val="000000"/>
                <w:sz w:val="20"/>
                <w:szCs w:val="20"/>
              </w:rPr>
            </w:pPr>
            <w:r w:rsidRPr="002D4DD3">
              <w:rPr>
                <w:rFonts w:cs="Arial"/>
                <w:b/>
                <w:bCs/>
                <w:color w:val="000000"/>
                <w:sz w:val="20"/>
                <w:szCs w:val="20"/>
              </w:rPr>
              <w:t>%</w:t>
            </w:r>
          </w:p>
        </w:tc>
      </w:tr>
      <w:tr w:rsidR="003549B2" w:rsidRPr="002D4DD3" w14:paraId="064E2673" w14:textId="77777777" w:rsidTr="00A47363">
        <w:trPr>
          <w:trHeight w:val="284"/>
          <w:tblHeader/>
        </w:trPr>
        <w:tc>
          <w:tcPr>
            <w:tcW w:w="1340" w:type="pct"/>
            <w:vMerge/>
            <w:tcBorders>
              <w:bottom w:val="single" w:sz="4" w:space="0" w:color="auto"/>
            </w:tcBorders>
            <w:shd w:val="clear" w:color="000000" w:fill="A1F2FD"/>
            <w:vAlign w:val="center"/>
          </w:tcPr>
          <w:p w14:paraId="5ECA41FB" w14:textId="77777777" w:rsidR="003549B2" w:rsidRPr="002D4DD3" w:rsidRDefault="003549B2" w:rsidP="003549B2">
            <w:pPr>
              <w:jc w:val="center"/>
              <w:rPr>
                <w:rFonts w:cs="Arial"/>
                <w:b/>
                <w:bCs/>
                <w:color w:val="000000"/>
                <w:sz w:val="20"/>
                <w:szCs w:val="20"/>
              </w:rPr>
            </w:pPr>
          </w:p>
        </w:tc>
        <w:tc>
          <w:tcPr>
            <w:tcW w:w="1220" w:type="pct"/>
            <w:tcBorders>
              <w:top w:val="nil"/>
              <w:bottom w:val="single" w:sz="4" w:space="0" w:color="auto"/>
            </w:tcBorders>
            <w:shd w:val="clear" w:color="000000" w:fill="A1F2FD"/>
            <w:vAlign w:val="center"/>
          </w:tcPr>
          <w:p w14:paraId="54DC68D8" w14:textId="022030F2" w:rsidR="003549B2" w:rsidRPr="002D4DD3" w:rsidRDefault="003549B2" w:rsidP="003549B2">
            <w:pPr>
              <w:jc w:val="center"/>
              <w:rPr>
                <w:rFonts w:cs="Arial"/>
                <w:b/>
                <w:bCs/>
                <w:color w:val="000000"/>
                <w:sz w:val="20"/>
                <w:szCs w:val="20"/>
              </w:rPr>
            </w:pPr>
            <w:r w:rsidRPr="002D4DD3">
              <w:rPr>
                <w:rFonts w:cs="Arial"/>
                <w:b/>
                <w:bCs/>
                <w:color w:val="000000"/>
                <w:sz w:val="20"/>
                <w:szCs w:val="20"/>
              </w:rPr>
              <w:t>(</w:t>
            </w:r>
            <w:r>
              <w:rPr>
                <w:rFonts w:cs="Arial"/>
                <w:b/>
                <w:bCs/>
                <w:color w:val="000000"/>
                <w:sz w:val="20"/>
                <w:szCs w:val="20"/>
              </w:rPr>
              <w:t>a</w:t>
            </w:r>
            <w:r w:rsidRPr="002D4DD3">
              <w:rPr>
                <w:rFonts w:cs="Arial"/>
                <w:b/>
                <w:bCs/>
                <w:color w:val="000000"/>
                <w:sz w:val="20"/>
                <w:szCs w:val="20"/>
              </w:rPr>
              <w:t>)</w:t>
            </w:r>
          </w:p>
        </w:tc>
        <w:tc>
          <w:tcPr>
            <w:tcW w:w="1220" w:type="pct"/>
            <w:tcBorders>
              <w:top w:val="nil"/>
              <w:bottom w:val="single" w:sz="4" w:space="0" w:color="auto"/>
            </w:tcBorders>
            <w:shd w:val="clear" w:color="000000" w:fill="A1F2FD"/>
            <w:vAlign w:val="center"/>
          </w:tcPr>
          <w:p w14:paraId="10522256" w14:textId="596182F2" w:rsidR="003549B2" w:rsidRPr="002D4DD3" w:rsidRDefault="003549B2" w:rsidP="003549B2">
            <w:pPr>
              <w:jc w:val="center"/>
              <w:rPr>
                <w:rFonts w:cs="Arial"/>
                <w:b/>
                <w:bCs/>
                <w:color w:val="000000"/>
                <w:sz w:val="20"/>
                <w:szCs w:val="20"/>
              </w:rPr>
            </w:pPr>
            <w:r w:rsidRPr="002D4DD3">
              <w:rPr>
                <w:rFonts w:cs="Arial"/>
                <w:b/>
                <w:bCs/>
                <w:color w:val="000000"/>
                <w:sz w:val="20"/>
                <w:szCs w:val="20"/>
              </w:rPr>
              <w:t>(</w:t>
            </w:r>
            <w:r>
              <w:rPr>
                <w:rFonts w:cs="Arial"/>
                <w:b/>
                <w:bCs/>
                <w:color w:val="000000"/>
                <w:sz w:val="20"/>
                <w:szCs w:val="20"/>
              </w:rPr>
              <w:t>b</w:t>
            </w:r>
            <w:r w:rsidRPr="002D4DD3">
              <w:rPr>
                <w:rFonts w:cs="Arial"/>
                <w:b/>
                <w:bCs/>
                <w:color w:val="000000"/>
                <w:sz w:val="20"/>
                <w:szCs w:val="20"/>
              </w:rPr>
              <w:t>)</w:t>
            </w:r>
          </w:p>
        </w:tc>
        <w:tc>
          <w:tcPr>
            <w:tcW w:w="1220" w:type="pct"/>
            <w:tcBorders>
              <w:top w:val="nil"/>
              <w:bottom w:val="single" w:sz="4" w:space="0" w:color="auto"/>
            </w:tcBorders>
            <w:shd w:val="clear" w:color="000000" w:fill="A1F2FD"/>
            <w:vAlign w:val="center"/>
          </w:tcPr>
          <w:p w14:paraId="1411B4B4" w14:textId="76105D04" w:rsidR="003549B2" w:rsidRPr="002D4DD3" w:rsidRDefault="003549B2" w:rsidP="003549B2">
            <w:pPr>
              <w:jc w:val="center"/>
              <w:rPr>
                <w:rFonts w:cs="Arial"/>
                <w:b/>
                <w:bCs/>
                <w:color w:val="000000"/>
                <w:sz w:val="20"/>
                <w:szCs w:val="20"/>
              </w:rPr>
            </w:pPr>
            <w:r w:rsidRPr="002D4DD3">
              <w:rPr>
                <w:rFonts w:cs="Arial"/>
                <w:b/>
                <w:bCs/>
                <w:color w:val="000000"/>
                <w:sz w:val="20"/>
                <w:szCs w:val="20"/>
              </w:rPr>
              <w:t>(c) = ((</w:t>
            </w:r>
            <w:r>
              <w:rPr>
                <w:rFonts w:cs="Arial"/>
                <w:b/>
                <w:bCs/>
                <w:color w:val="000000"/>
                <w:sz w:val="20"/>
                <w:szCs w:val="20"/>
              </w:rPr>
              <w:t>a-b</w:t>
            </w:r>
            <w:r w:rsidRPr="002D4DD3">
              <w:rPr>
                <w:rFonts w:cs="Arial"/>
                <w:b/>
                <w:bCs/>
                <w:color w:val="000000"/>
                <w:sz w:val="20"/>
                <w:szCs w:val="20"/>
              </w:rPr>
              <w:t>)/</w:t>
            </w:r>
            <w:r>
              <w:rPr>
                <w:rFonts w:cs="Arial"/>
                <w:b/>
                <w:bCs/>
                <w:color w:val="000000"/>
                <w:sz w:val="20"/>
                <w:szCs w:val="20"/>
              </w:rPr>
              <w:t>b</w:t>
            </w:r>
            <w:r w:rsidRPr="002D4DD3">
              <w:rPr>
                <w:rFonts w:cs="Arial"/>
                <w:b/>
                <w:bCs/>
                <w:color w:val="000000"/>
                <w:sz w:val="20"/>
                <w:szCs w:val="20"/>
              </w:rPr>
              <w:t>)</w:t>
            </w:r>
          </w:p>
        </w:tc>
      </w:tr>
      <w:tr w:rsidR="003549B2" w:rsidRPr="002D4DD3" w14:paraId="744CA1FF" w14:textId="77777777" w:rsidTr="003549B2">
        <w:trPr>
          <w:trHeight w:val="284"/>
        </w:trPr>
        <w:tc>
          <w:tcPr>
            <w:tcW w:w="1340" w:type="pct"/>
            <w:tcBorders>
              <w:bottom w:val="nil"/>
            </w:tcBorders>
            <w:shd w:val="clear" w:color="auto" w:fill="auto"/>
            <w:noWrap/>
            <w:vAlign w:val="bottom"/>
            <w:hideMark/>
          </w:tcPr>
          <w:p w14:paraId="2B897A71" w14:textId="77777777" w:rsidR="003549B2" w:rsidRPr="002D4DD3" w:rsidRDefault="003549B2" w:rsidP="003549B2">
            <w:pPr>
              <w:jc w:val="center"/>
              <w:rPr>
                <w:rFonts w:cs="Arial"/>
                <w:color w:val="000000"/>
                <w:sz w:val="20"/>
                <w:szCs w:val="20"/>
              </w:rPr>
            </w:pPr>
            <w:r w:rsidRPr="002D4DD3">
              <w:rPr>
                <w:rFonts w:cs="Arial"/>
                <w:color w:val="000000"/>
                <w:sz w:val="20"/>
                <w:szCs w:val="20"/>
              </w:rPr>
              <w:t>ICMS</w:t>
            </w:r>
          </w:p>
        </w:tc>
        <w:tc>
          <w:tcPr>
            <w:tcW w:w="1220" w:type="pct"/>
            <w:tcBorders>
              <w:bottom w:val="nil"/>
            </w:tcBorders>
            <w:vAlign w:val="bottom"/>
          </w:tcPr>
          <w:p w14:paraId="21A05467" w14:textId="5B3B7FBF" w:rsidR="003549B2" w:rsidRPr="002D4DD3" w:rsidRDefault="003549B2" w:rsidP="003549B2">
            <w:pPr>
              <w:jc w:val="right"/>
              <w:rPr>
                <w:rFonts w:cs="Arial"/>
                <w:color w:val="000000"/>
                <w:sz w:val="20"/>
                <w:szCs w:val="20"/>
              </w:rPr>
            </w:pPr>
            <w:r w:rsidRPr="002D4DD3">
              <w:rPr>
                <w:rFonts w:cs="Arial"/>
                <w:color w:val="000000"/>
                <w:sz w:val="20"/>
                <w:szCs w:val="20"/>
              </w:rPr>
              <w:t>24.349.471.727</w:t>
            </w:r>
          </w:p>
        </w:tc>
        <w:tc>
          <w:tcPr>
            <w:tcW w:w="1220" w:type="pct"/>
            <w:tcBorders>
              <w:bottom w:val="nil"/>
            </w:tcBorders>
            <w:shd w:val="clear" w:color="auto" w:fill="auto"/>
            <w:noWrap/>
            <w:vAlign w:val="bottom"/>
            <w:hideMark/>
          </w:tcPr>
          <w:p w14:paraId="542B0922" w14:textId="26AEF957" w:rsidR="003549B2" w:rsidRPr="002D4DD3" w:rsidRDefault="003549B2" w:rsidP="003549B2">
            <w:pPr>
              <w:jc w:val="right"/>
              <w:rPr>
                <w:rFonts w:cs="Arial"/>
                <w:color w:val="000000"/>
                <w:sz w:val="20"/>
                <w:szCs w:val="20"/>
              </w:rPr>
            </w:pPr>
            <w:r w:rsidRPr="002D4DD3">
              <w:rPr>
                <w:rFonts w:cs="Arial"/>
                <w:color w:val="000000"/>
                <w:sz w:val="20"/>
                <w:szCs w:val="20"/>
              </w:rPr>
              <w:t>24.065.860.418</w:t>
            </w:r>
          </w:p>
        </w:tc>
        <w:tc>
          <w:tcPr>
            <w:tcW w:w="1220" w:type="pct"/>
            <w:tcBorders>
              <w:bottom w:val="nil"/>
            </w:tcBorders>
            <w:shd w:val="clear" w:color="auto" w:fill="auto"/>
            <w:noWrap/>
            <w:vAlign w:val="bottom"/>
            <w:hideMark/>
          </w:tcPr>
          <w:p w14:paraId="2B72F5CE" w14:textId="77777777" w:rsidR="003549B2" w:rsidRPr="002D4DD3" w:rsidRDefault="003549B2" w:rsidP="003549B2">
            <w:pPr>
              <w:jc w:val="center"/>
              <w:rPr>
                <w:rFonts w:cs="Arial"/>
                <w:color w:val="000000"/>
                <w:sz w:val="20"/>
                <w:szCs w:val="20"/>
              </w:rPr>
            </w:pPr>
            <w:r w:rsidRPr="002D4DD3">
              <w:rPr>
                <w:rFonts w:cs="Arial"/>
                <w:color w:val="000000"/>
                <w:sz w:val="20"/>
                <w:szCs w:val="20"/>
              </w:rPr>
              <w:t>1,18</w:t>
            </w:r>
          </w:p>
        </w:tc>
      </w:tr>
      <w:tr w:rsidR="003549B2" w:rsidRPr="002D4DD3" w14:paraId="29B2F023" w14:textId="77777777" w:rsidTr="003549B2">
        <w:trPr>
          <w:trHeight w:val="284"/>
        </w:trPr>
        <w:tc>
          <w:tcPr>
            <w:tcW w:w="1340" w:type="pct"/>
            <w:tcBorders>
              <w:top w:val="nil"/>
              <w:bottom w:val="nil"/>
            </w:tcBorders>
            <w:shd w:val="clear" w:color="auto" w:fill="auto"/>
            <w:noWrap/>
            <w:vAlign w:val="center"/>
            <w:hideMark/>
          </w:tcPr>
          <w:p w14:paraId="3AEF9C63" w14:textId="77777777" w:rsidR="003549B2" w:rsidRPr="002D4DD3" w:rsidRDefault="003549B2" w:rsidP="003549B2">
            <w:pPr>
              <w:jc w:val="center"/>
              <w:rPr>
                <w:rFonts w:cs="Arial"/>
                <w:color w:val="333333"/>
                <w:sz w:val="20"/>
                <w:szCs w:val="20"/>
              </w:rPr>
            </w:pPr>
            <w:r w:rsidRPr="002D4DD3">
              <w:rPr>
                <w:rFonts w:cs="Arial"/>
                <w:color w:val="333333"/>
                <w:sz w:val="20"/>
                <w:szCs w:val="20"/>
              </w:rPr>
              <w:t>IPVA</w:t>
            </w:r>
          </w:p>
        </w:tc>
        <w:tc>
          <w:tcPr>
            <w:tcW w:w="1220" w:type="pct"/>
            <w:tcBorders>
              <w:top w:val="nil"/>
              <w:bottom w:val="nil"/>
            </w:tcBorders>
            <w:vAlign w:val="bottom"/>
          </w:tcPr>
          <w:p w14:paraId="1239D24A" w14:textId="14A0A778" w:rsidR="003549B2" w:rsidRPr="002D4DD3" w:rsidRDefault="003549B2" w:rsidP="003549B2">
            <w:pPr>
              <w:jc w:val="right"/>
              <w:rPr>
                <w:rFonts w:cs="Arial"/>
                <w:color w:val="000000"/>
                <w:sz w:val="20"/>
                <w:szCs w:val="20"/>
              </w:rPr>
            </w:pPr>
            <w:r w:rsidRPr="002D4DD3">
              <w:rPr>
                <w:rFonts w:cs="Arial"/>
                <w:color w:val="000000"/>
                <w:sz w:val="20"/>
                <w:szCs w:val="20"/>
              </w:rPr>
              <w:t>3.187.942.528</w:t>
            </w:r>
          </w:p>
        </w:tc>
        <w:tc>
          <w:tcPr>
            <w:tcW w:w="1220" w:type="pct"/>
            <w:tcBorders>
              <w:top w:val="nil"/>
              <w:bottom w:val="nil"/>
            </w:tcBorders>
            <w:shd w:val="clear" w:color="auto" w:fill="auto"/>
            <w:noWrap/>
            <w:vAlign w:val="bottom"/>
            <w:hideMark/>
          </w:tcPr>
          <w:p w14:paraId="154F5969" w14:textId="1ED2A612" w:rsidR="003549B2" w:rsidRPr="002D4DD3" w:rsidRDefault="003549B2" w:rsidP="003549B2">
            <w:pPr>
              <w:jc w:val="right"/>
              <w:rPr>
                <w:rFonts w:cs="Arial"/>
                <w:color w:val="000000"/>
                <w:sz w:val="20"/>
                <w:szCs w:val="20"/>
              </w:rPr>
            </w:pPr>
            <w:r w:rsidRPr="002D4DD3">
              <w:rPr>
                <w:rFonts w:cs="Arial"/>
                <w:color w:val="000000"/>
                <w:sz w:val="20"/>
                <w:szCs w:val="20"/>
              </w:rPr>
              <w:t>2.422.973.133</w:t>
            </w:r>
          </w:p>
        </w:tc>
        <w:tc>
          <w:tcPr>
            <w:tcW w:w="1220" w:type="pct"/>
            <w:tcBorders>
              <w:top w:val="nil"/>
              <w:bottom w:val="nil"/>
            </w:tcBorders>
            <w:shd w:val="clear" w:color="auto" w:fill="auto"/>
            <w:noWrap/>
            <w:vAlign w:val="bottom"/>
            <w:hideMark/>
          </w:tcPr>
          <w:p w14:paraId="63CF7B1D" w14:textId="77777777" w:rsidR="003549B2" w:rsidRPr="002D4DD3" w:rsidRDefault="003549B2" w:rsidP="003549B2">
            <w:pPr>
              <w:jc w:val="center"/>
              <w:rPr>
                <w:rFonts w:cs="Arial"/>
                <w:color w:val="000000"/>
                <w:sz w:val="20"/>
                <w:szCs w:val="20"/>
              </w:rPr>
            </w:pPr>
            <w:r w:rsidRPr="002D4DD3">
              <w:rPr>
                <w:rFonts w:cs="Arial"/>
                <w:color w:val="000000"/>
                <w:sz w:val="20"/>
                <w:szCs w:val="20"/>
              </w:rPr>
              <w:t>31,57</w:t>
            </w:r>
          </w:p>
        </w:tc>
      </w:tr>
      <w:tr w:rsidR="003549B2" w:rsidRPr="002D4DD3" w14:paraId="1B6A9773" w14:textId="77777777" w:rsidTr="003549B2">
        <w:trPr>
          <w:trHeight w:val="284"/>
        </w:trPr>
        <w:tc>
          <w:tcPr>
            <w:tcW w:w="1340" w:type="pct"/>
            <w:tcBorders>
              <w:top w:val="nil"/>
              <w:bottom w:val="nil"/>
            </w:tcBorders>
            <w:shd w:val="clear" w:color="auto" w:fill="auto"/>
            <w:noWrap/>
            <w:vAlign w:val="center"/>
            <w:hideMark/>
          </w:tcPr>
          <w:p w14:paraId="50B33812" w14:textId="77777777" w:rsidR="003549B2" w:rsidRPr="002D4DD3" w:rsidRDefault="003549B2" w:rsidP="003549B2">
            <w:pPr>
              <w:jc w:val="center"/>
              <w:rPr>
                <w:rFonts w:cs="Arial"/>
                <w:color w:val="333333"/>
                <w:sz w:val="20"/>
                <w:szCs w:val="20"/>
              </w:rPr>
            </w:pPr>
            <w:r w:rsidRPr="002D4DD3">
              <w:rPr>
                <w:rFonts w:cs="Arial"/>
                <w:color w:val="333333"/>
                <w:sz w:val="20"/>
                <w:szCs w:val="20"/>
              </w:rPr>
              <w:t>ITCD</w:t>
            </w:r>
          </w:p>
        </w:tc>
        <w:tc>
          <w:tcPr>
            <w:tcW w:w="1220" w:type="pct"/>
            <w:tcBorders>
              <w:top w:val="nil"/>
              <w:bottom w:val="nil"/>
            </w:tcBorders>
            <w:vAlign w:val="bottom"/>
          </w:tcPr>
          <w:p w14:paraId="2924F3D8" w14:textId="72455B57" w:rsidR="003549B2" w:rsidRPr="002D4DD3" w:rsidRDefault="003549B2" w:rsidP="003549B2">
            <w:pPr>
              <w:jc w:val="right"/>
              <w:rPr>
                <w:rFonts w:cs="Arial"/>
                <w:color w:val="000000"/>
                <w:sz w:val="20"/>
                <w:szCs w:val="20"/>
              </w:rPr>
            </w:pPr>
            <w:r w:rsidRPr="002D4DD3">
              <w:rPr>
                <w:rFonts w:cs="Arial"/>
                <w:color w:val="000000"/>
                <w:sz w:val="20"/>
                <w:szCs w:val="20"/>
              </w:rPr>
              <w:t>1.230.821.211</w:t>
            </w:r>
          </w:p>
        </w:tc>
        <w:tc>
          <w:tcPr>
            <w:tcW w:w="1220" w:type="pct"/>
            <w:tcBorders>
              <w:top w:val="nil"/>
              <w:bottom w:val="nil"/>
            </w:tcBorders>
            <w:shd w:val="clear" w:color="auto" w:fill="auto"/>
            <w:noWrap/>
            <w:vAlign w:val="bottom"/>
            <w:hideMark/>
          </w:tcPr>
          <w:p w14:paraId="067ADDB7" w14:textId="4F451AE0" w:rsidR="003549B2" w:rsidRPr="002D4DD3" w:rsidRDefault="003549B2" w:rsidP="003549B2">
            <w:pPr>
              <w:jc w:val="right"/>
              <w:rPr>
                <w:rFonts w:cs="Arial"/>
                <w:color w:val="000000"/>
                <w:sz w:val="20"/>
                <w:szCs w:val="20"/>
              </w:rPr>
            </w:pPr>
            <w:r w:rsidRPr="002D4DD3">
              <w:rPr>
                <w:rFonts w:cs="Arial"/>
                <w:color w:val="000000"/>
                <w:sz w:val="20"/>
                <w:szCs w:val="20"/>
              </w:rPr>
              <w:t>889.121.369</w:t>
            </w:r>
          </w:p>
        </w:tc>
        <w:tc>
          <w:tcPr>
            <w:tcW w:w="1220" w:type="pct"/>
            <w:tcBorders>
              <w:top w:val="nil"/>
              <w:bottom w:val="nil"/>
            </w:tcBorders>
            <w:shd w:val="clear" w:color="auto" w:fill="auto"/>
            <w:noWrap/>
            <w:vAlign w:val="bottom"/>
            <w:hideMark/>
          </w:tcPr>
          <w:p w14:paraId="19D1A9C5" w14:textId="77777777" w:rsidR="003549B2" w:rsidRPr="002D4DD3" w:rsidRDefault="003549B2" w:rsidP="003549B2">
            <w:pPr>
              <w:jc w:val="center"/>
              <w:rPr>
                <w:rFonts w:cs="Arial"/>
                <w:color w:val="000000"/>
                <w:sz w:val="20"/>
                <w:szCs w:val="20"/>
              </w:rPr>
            </w:pPr>
            <w:r w:rsidRPr="002D4DD3">
              <w:rPr>
                <w:rFonts w:cs="Arial"/>
                <w:color w:val="000000"/>
                <w:sz w:val="20"/>
                <w:szCs w:val="20"/>
              </w:rPr>
              <w:t>38,43</w:t>
            </w:r>
          </w:p>
        </w:tc>
      </w:tr>
      <w:tr w:rsidR="003549B2" w:rsidRPr="002D4DD3" w14:paraId="5E73596C" w14:textId="77777777" w:rsidTr="003549B2">
        <w:trPr>
          <w:trHeight w:val="284"/>
        </w:trPr>
        <w:tc>
          <w:tcPr>
            <w:tcW w:w="1340" w:type="pct"/>
            <w:tcBorders>
              <w:top w:val="nil"/>
              <w:bottom w:val="single" w:sz="4" w:space="0" w:color="auto"/>
            </w:tcBorders>
            <w:shd w:val="clear" w:color="auto" w:fill="auto"/>
            <w:noWrap/>
            <w:vAlign w:val="center"/>
            <w:hideMark/>
          </w:tcPr>
          <w:p w14:paraId="6340E90C" w14:textId="77777777" w:rsidR="003549B2" w:rsidRPr="002D4DD3" w:rsidRDefault="003549B2" w:rsidP="003549B2">
            <w:pPr>
              <w:jc w:val="center"/>
              <w:rPr>
                <w:rFonts w:cs="Arial"/>
                <w:color w:val="333333"/>
                <w:sz w:val="20"/>
                <w:szCs w:val="20"/>
              </w:rPr>
            </w:pPr>
            <w:r w:rsidRPr="002D4DD3">
              <w:rPr>
                <w:rFonts w:cs="Arial"/>
                <w:color w:val="333333"/>
                <w:sz w:val="20"/>
                <w:szCs w:val="20"/>
              </w:rPr>
              <w:t>IRRF</w:t>
            </w:r>
          </w:p>
        </w:tc>
        <w:tc>
          <w:tcPr>
            <w:tcW w:w="1220" w:type="pct"/>
            <w:tcBorders>
              <w:top w:val="nil"/>
              <w:bottom w:val="single" w:sz="4" w:space="0" w:color="auto"/>
            </w:tcBorders>
            <w:vAlign w:val="bottom"/>
          </w:tcPr>
          <w:p w14:paraId="1131C30A" w14:textId="69CE1403" w:rsidR="003549B2" w:rsidRPr="002D4DD3" w:rsidRDefault="003549B2" w:rsidP="003549B2">
            <w:pPr>
              <w:jc w:val="right"/>
              <w:rPr>
                <w:rFonts w:cs="Arial"/>
                <w:color w:val="000000"/>
                <w:sz w:val="20"/>
                <w:szCs w:val="20"/>
              </w:rPr>
            </w:pPr>
            <w:r w:rsidRPr="002D4DD3">
              <w:rPr>
                <w:rFonts w:cs="Arial"/>
                <w:color w:val="000000"/>
                <w:sz w:val="20"/>
                <w:szCs w:val="20"/>
              </w:rPr>
              <w:t>2.544.174.583</w:t>
            </w:r>
          </w:p>
        </w:tc>
        <w:tc>
          <w:tcPr>
            <w:tcW w:w="1220" w:type="pct"/>
            <w:tcBorders>
              <w:top w:val="nil"/>
              <w:bottom w:val="single" w:sz="4" w:space="0" w:color="auto"/>
            </w:tcBorders>
            <w:shd w:val="clear" w:color="auto" w:fill="auto"/>
            <w:noWrap/>
            <w:vAlign w:val="bottom"/>
            <w:hideMark/>
          </w:tcPr>
          <w:p w14:paraId="4C395C22" w14:textId="09AB7199" w:rsidR="003549B2" w:rsidRPr="002D4DD3" w:rsidRDefault="003549B2" w:rsidP="003549B2">
            <w:pPr>
              <w:jc w:val="right"/>
              <w:rPr>
                <w:rFonts w:cs="Arial"/>
                <w:color w:val="000000"/>
                <w:sz w:val="20"/>
                <w:szCs w:val="20"/>
              </w:rPr>
            </w:pPr>
            <w:r w:rsidRPr="002D4DD3">
              <w:rPr>
                <w:rFonts w:cs="Arial"/>
                <w:color w:val="000000"/>
                <w:sz w:val="20"/>
                <w:szCs w:val="20"/>
              </w:rPr>
              <w:t>2.252.078.660</w:t>
            </w:r>
          </w:p>
        </w:tc>
        <w:tc>
          <w:tcPr>
            <w:tcW w:w="1220" w:type="pct"/>
            <w:tcBorders>
              <w:top w:val="nil"/>
              <w:bottom w:val="single" w:sz="4" w:space="0" w:color="auto"/>
            </w:tcBorders>
            <w:shd w:val="clear" w:color="auto" w:fill="auto"/>
            <w:noWrap/>
            <w:vAlign w:val="bottom"/>
            <w:hideMark/>
          </w:tcPr>
          <w:p w14:paraId="6F8BBA34" w14:textId="77777777" w:rsidR="003549B2" w:rsidRPr="002D4DD3" w:rsidRDefault="003549B2" w:rsidP="003549B2">
            <w:pPr>
              <w:jc w:val="center"/>
              <w:rPr>
                <w:rFonts w:cs="Arial"/>
                <w:color w:val="000000"/>
                <w:sz w:val="20"/>
                <w:szCs w:val="20"/>
              </w:rPr>
            </w:pPr>
            <w:r w:rsidRPr="002D4DD3">
              <w:rPr>
                <w:rFonts w:cs="Arial"/>
                <w:color w:val="000000"/>
                <w:sz w:val="20"/>
                <w:szCs w:val="20"/>
              </w:rPr>
              <w:t>12,97</w:t>
            </w:r>
          </w:p>
        </w:tc>
      </w:tr>
      <w:tr w:rsidR="003549B2" w:rsidRPr="002D4DD3" w14:paraId="1688846B" w14:textId="77777777" w:rsidTr="003549B2">
        <w:trPr>
          <w:trHeight w:val="284"/>
        </w:trPr>
        <w:tc>
          <w:tcPr>
            <w:tcW w:w="1340" w:type="pct"/>
            <w:tcBorders>
              <w:top w:val="single" w:sz="4" w:space="0" w:color="auto"/>
            </w:tcBorders>
            <w:shd w:val="clear" w:color="auto" w:fill="auto"/>
            <w:noWrap/>
            <w:vAlign w:val="bottom"/>
            <w:hideMark/>
          </w:tcPr>
          <w:p w14:paraId="0A3A59E2" w14:textId="77777777" w:rsidR="003549B2" w:rsidRPr="002D4DD3" w:rsidRDefault="003549B2" w:rsidP="003549B2">
            <w:pPr>
              <w:jc w:val="center"/>
              <w:rPr>
                <w:rFonts w:cs="Arial"/>
                <w:b/>
                <w:bCs/>
                <w:color w:val="000000"/>
                <w:sz w:val="20"/>
                <w:szCs w:val="20"/>
              </w:rPr>
            </w:pPr>
            <w:r w:rsidRPr="002D4DD3">
              <w:rPr>
                <w:rFonts w:cs="Arial"/>
                <w:b/>
                <w:bCs/>
                <w:color w:val="000000"/>
                <w:sz w:val="20"/>
                <w:szCs w:val="20"/>
              </w:rPr>
              <w:t>Total</w:t>
            </w:r>
          </w:p>
        </w:tc>
        <w:tc>
          <w:tcPr>
            <w:tcW w:w="1220" w:type="pct"/>
            <w:tcBorders>
              <w:top w:val="single" w:sz="4" w:space="0" w:color="auto"/>
            </w:tcBorders>
            <w:vAlign w:val="bottom"/>
          </w:tcPr>
          <w:p w14:paraId="488C1B09" w14:textId="21E2973A" w:rsidR="003549B2" w:rsidRPr="002D4DD3" w:rsidRDefault="003549B2" w:rsidP="003549B2">
            <w:pPr>
              <w:jc w:val="right"/>
              <w:rPr>
                <w:rFonts w:cs="Arial"/>
                <w:b/>
                <w:bCs/>
                <w:color w:val="000000"/>
                <w:sz w:val="20"/>
                <w:szCs w:val="20"/>
              </w:rPr>
            </w:pPr>
            <w:r w:rsidRPr="002D4DD3">
              <w:rPr>
                <w:rFonts w:cs="Arial"/>
                <w:b/>
                <w:bCs/>
                <w:color w:val="000000"/>
                <w:sz w:val="20"/>
                <w:szCs w:val="20"/>
              </w:rPr>
              <w:t>31.312.410.050</w:t>
            </w:r>
          </w:p>
        </w:tc>
        <w:tc>
          <w:tcPr>
            <w:tcW w:w="1220" w:type="pct"/>
            <w:tcBorders>
              <w:top w:val="single" w:sz="4" w:space="0" w:color="auto"/>
            </w:tcBorders>
            <w:shd w:val="clear" w:color="auto" w:fill="auto"/>
            <w:noWrap/>
            <w:vAlign w:val="bottom"/>
            <w:hideMark/>
          </w:tcPr>
          <w:p w14:paraId="7B96D7D0" w14:textId="3D1422E9" w:rsidR="003549B2" w:rsidRPr="002D4DD3" w:rsidRDefault="003549B2" w:rsidP="003549B2">
            <w:pPr>
              <w:jc w:val="right"/>
              <w:rPr>
                <w:rFonts w:cs="Arial"/>
                <w:b/>
                <w:bCs/>
                <w:color w:val="000000"/>
                <w:sz w:val="20"/>
                <w:szCs w:val="20"/>
              </w:rPr>
            </w:pPr>
            <w:r w:rsidRPr="002D4DD3">
              <w:rPr>
                <w:rFonts w:cs="Arial"/>
                <w:b/>
                <w:bCs/>
                <w:color w:val="000000"/>
                <w:sz w:val="20"/>
                <w:szCs w:val="20"/>
              </w:rPr>
              <w:t>29.630.033.580</w:t>
            </w:r>
          </w:p>
        </w:tc>
        <w:tc>
          <w:tcPr>
            <w:tcW w:w="1220" w:type="pct"/>
            <w:tcBorders>
              <w:top w:val="single" w:sz="4" w:space="0" w:color="auto"/>
            </w:tcBorders>
            <w:shd w:val="clear" w:color="auto" w:fill="auto"/>
            <w:noWrap/>
            <w:vAlign w:val="bottom"/>
            <w:hideMark/>
          </w:tcPr>
          <w:p w14:paraId="57C75EB1" w14:textId="77777777" w:rsidR="003549B2" w:rsidRPr="002D4DD3" w:rsidRDefault="003549B2" w:rsidP="003549B2">
            <w:pPr>
              <w:jc w:val="center"/>
              <w:rPr>
                <w:rFonts w:cs="Arial"/>
                <w:b/>
                <w:bCs/>
                <w:color w:val="000000"/>
                <w:sz w:val="20"/>
                <w:szCs w:val="20"/>
              </w:rPr>
            </w:pPr>
            <w:r w:rsidRPr="002D4DD3">
              <w:rPr>
                <w:rFonts w:cs="Arial"/>
                <w:b/>
                <w:bCs/>
                <w:color w:val="000000"/>
                <w:sz w:val="20"/>
                <w:szCs w:val="20"/>
              </w:rPr>
              <w:t>5,68</w:t>
            </w:r>
          </w:p>
        </w:tc>
      </w:tr>
    </w:tbl>
    <w:p w14:paraId="0E4CC7BA" w14:textId="77777777" w:rsidR="00A87FFB" w:rsidRPr="008C263F" w:rsidRDefault="00A87FFB" w:rsidP="00A87FFB">
      <w:pPr>
        <w:pStyle w:val="1-FONTE8ESQ"/>
      </w:pPr>
      <w:r w:rsidRPr="008C263F">
        <w:t>Fonte: RREO 6º Bimestre/2023</w:t>
      </w:r>
    </w:p>
    <w:p w14:paraId="3296EFA8" w14:textId="77777777" w:rsidR="00A87FFB" w:rsidRPr="001C305A" w:rsidRDefault="00A87FFB" w:rsidP="00A87FFB">
      <w:pPr>
        <w:pStyle w:val="1-REL10"/>
      </w:pPr>
      <w:r w:rsidRPr="001C305A">
        <w:t xml:space="preserve">Considerando apenas os tributos de competência estadual, observa-se que Goiás não teve perda nominal de arrecadação de ICMS, mas uma arrecadação menor em função da mudança legislativa </w:t>
      </w:r>
      <w:r w:rsidRPr="00EF7B07">
        <w:t>promovida pela LC nº 194/2022.</w:t>
      </w:r>
    </w:p>
    <w:p w14:paraId="6374C5A3" w14:textId="77777777" w:rsidR="00A87FFB" w:rsidRPr="001C305A" w:rsidRDefault="00A87FFB" w:rsidP="00A87FFB">
      <w:pPr>
        <w:pStyle w:val="1-REL10"/>
      </w:pPr>
      <w:r w:rsidRPr="001C305A">
        <w:t>Analisando o quadro de arrecadação de todos os tributos de sua competência, observa-se que os demais impostos obtiveram variação nominal bem mais elevada em relação ao ICMS.</w:t>
      </w:r>
    </w:p>
    <w:p w14:paraId="11CEF49B" w14:textId="77777777" w:rsidR="00A87FFB" w:rsidRPr="001C305A" w:rsidRDefault="00A87FFB" w:rsidP="00A87FFB">
      <w:pPr>
        <w:pStyle w:val="1-REL10"/>
      </w:pPr>
      <w:r w:rsidRPr="001C305A">
        <w:t xml:space="preserve">Destaca-se que a arrecadação destinada </w:t>
      </w:r>
      <w:r w:rsidRPr="00481778">
        <w:t xml:space="preserve">ao </w:t>
      </w:r>
      <w:r w:rsidRPr="005C77A4">
        <w:t xml:space="preserve">Fundo de Proteção </w:t>
      </w:r>
      <w:r w:rsidRPr="00E32B29">
        <w:t>Social do Estado de Goiás (Protege Goiás) foi afetada pelas mudanças de alíquotas do ICMS referente aos combustíveis, comunicação e energia elétrica promovida pela LC nº 194/2022</w:t>
      </w:r>
      <w:r w:rsidRPr="001C305A">
        <w:t>. A arrecadação em 2023 alcançou R$ 333,56 milhões, ante R$ 995,91 milhões em 2022.</w:t>
      </w:r>
    </w:p>
    <w:p w14:paraId="4B8A917C" w14:textId="77777777" w:rsidR="00A87FFB" w:rsidRPr="001C305A" w:rsidRDefault="00A87FFB" w:rsidP="00A87FFB">
      <w:pPr>
        <w:pStyle w:val="1-REL10"/>
      </w:pPr>
      <w:r w:rsidRPr="001C305A">
        <w:t xml:space="preserve">Segundo informações disponibilizados pelo </w:t>
      </w:r>
      <w:r>
        <w:t>R</w:t>
      </w:r>
      <w:r w:rsidRPr="001C305A">
        <w:t xml:space="preserve">elatório do </w:t>
      </w:r>
      <w:r>
        <w:t>D</w:t>
      </w:r>
      <w:r w:rsidRPr="001C305A">
        <w:t xml:space="preserve">esempenho de </w:t>
      </w:r>
      <w:r>
        <w:t>R</w:t>
      </w:r>
      <w:r w:rsidRPr="001C305A">
        <w:t xml:space="preserve">eceita de 2023 elaborado pela </w:t>
      </w:r>
      <w:r>
        <w:t>S</w:t>
      </w:r>
      <w:r w:rsidRPr="001C305A">
        <w:t xml:space="preserve">ecretaria de </w:t>
      </w:r>
      <w:r>
        <w:t xml:space="preserve">Estado da </w:t>
      </w:r>
      <w:r w:rsidRPr="001C305A">
        <w:t>Economia</w:t>
      </w:r>
      <w:r>
        <w:t xml:space="preserve"> (ECONOMIA)</w:t>
      </w:r>
      <w:r w:rsidRPr="001C305A">
        <w:t>, houve arrecadação do ICMS positiva somente a partir de agosto/</w:t>
      </w:r>
      <w:r>
        <w:t>20</w:t>
      </w:r>
      <w:r w:rsidRPr="001C305A">
        <w:t>23 em comparação ao período de 2022, e essa performance positiva coincidiu com a implementação da monofasia do ICMS no setor de combustíveis.</w:t>
      </w:r>
    </w:p>
    <w:p w14:paraId="1DFC1E36" w14:textId="77777777" w:rsidR="00A87FFB" w:rsidRPr="001C305A" w:rsidRDefault="00A87FFB" w:rsidP="00A87FFB">
      <w:pPr>
        <w:pStyle w:val="1-REL10"/>
      </w:pPr>
      <w:r w:rsidRPr="001C305A">
        <w:t xml:space="preserve">Deve-se ainda ter em conta que o </w:t>
      </w:r>
      <w:r w:rsidRPr="00E32B29">
        <w:t>Fundo Estadual de Infraestrutura</w:t>
      </w:r>
      <w:r w:rsidRPr="001C305A">
        <w:t xml:space="preserve"> </w:t>
      </w:r>
      <w:r>
        <w:t>(</w:t>
      </w:r>
      <w:r w:rsidRPr="001C305A">
        <w:t>Fundeinfra</w:t>
      </w:r>
      <w:r>
        <w:t>)</w:t>
      </w:r>
      <w:r w:rsidRPr="001C305A">
        <w:t xml:space="preserve">, criado pela </w:t>
      </w:r>
      <w:r w:rsidRPr="00E32B29">
        <w:t>Lei Estadual nº 21.670</w:t>
      </w:r>
      <w:r>
        <w:t xml:space="preserve">, de 6 de dezembro de </w:t>
      </w:r>
      <w:r w:rsidRPr="00E32B29">
        <w:t>2022,</w:t>
      </w:r>
      <w:r w:rsidRPr="001C305A">
        <w:t xml:space="preserve"> cuja arrecadação no exercício de 2023 auferiu o montante de R$ 967 milhões</w:t>
      </w:r>
      <w:r>
        <w:t>,</w:t>
      </w:r>
      <w:r w:rsidRPr="001C305A">
        <w:t xml:space="preserve"> teve por objetivo a eventual recomposição da capacidade de arrecadação de ICMS delineadas no art. 5º da referida lei e cujos recursos devem ser destinados para infraestrutura dos transportes. Portanto, ao visualizar todos os ganhos e perdas de arrecadação estadual, conclui-se que não houve perda nominal de arrecadação de tributos no estado de Goiás no exercício de 2023.</w:t>
      </w:r>
    </w:p>
    <w:p w14:paraId="6C1FC120" w14:textId="77777777" w:rsidR="00A87FFB" w:rsidRPr="001C305A" w:rsidRDefault="00A87FFB" w:rsidP="00A87FFB">
      <w:pPr>
        <w:pStyle w:val="1-REL10"/>
      </w:pPr>
      <w:r w:rsidRPr="001C305A">
        <w:lastRenderedPageBreak/>
        <w:t>O aumento observado na arrecadação no IPVA no percentual de 31,57% ocorreu em função da variação no valor da frota de veículos, tendo por consequência a valoração da base de cálculo desse imposto por meio da tabela FIPE.</w:t>
      </w:r>
    </w:p>
    <w:p w14:paraId="1940DBB8" w14:textId="77777777" w:rsidR="00A87FFB" w:rsidRPr="001C305A" w:rsidRDefault="00A87FFB" w:rsidP="00A87FFB">
      <w:pPr>
        <w:pStyle w:val="1-REL11"/>
      </w:pPr>
      <w:r w:rsidRPr="001C305A">
        <w:t>Ademais, consta no gráfico a seguir a evolução da RCL nos últimos cinco exercícios financeiros:</w:t>
      </w:r>
    </w:p>
    <w:p w14:paraId="6839D551" w14:textId="77777777" w:rsidR="00A87FFB" w:rsidRPr="001C305A" w:rsidRDefault="00A87FFB" w:rsidP="00A87FFB">
      <w:pPr>
        <w:pStyle w:val="1-REL11"/>
      </w:pPr>
    </w:p>
    <w:p w14:paraId="0A96A0E1" w14:textId="77777777" w:rsidR="00E927D2" w:rsidRPr="002E018D" w:rsidRDefault="00A87FFB" w:rsidP="00040508">
      <w:pPr>
        <w:pStyle w:val="0-GRFICO"/>
      </w:pPr>
      <w:bookmarkStart w:id="108" w:name="_Toc135332552"/>
      <w:bookmarkStart w:id="109" w:name="_Toc167825103"/>
      <w:r>
        <w:t>Receita Corrente Líquida</w:t>
      </w:r>
      <w:bookmarkEnd w:id="108"/>
      <w:r w:rsidR="00E927D2">
        <w:t xml:space="preserve"> –  2019 a 2023</w:t>
      </w:r>
      <w:bookmarkEnd w:id="109"/>
    </w:p>
    <w:p w14:paraId="1E1BD235" w14:textId="22057CFD" w:rsidR="00982063" w:rsidRPr="001C305A" w:rsidRDefault="00982063" w:rsidP="00A47363">
      <w:pPr>
        <w:pStyle w:val="0-EmR1"/>
      </w:pPr>
      <w:r w:rsidRPr="001C305A">
        <w:t>l</w:t>
      </w:r>
    </w:p>
    <w:p w14:paraId="28F89F23" w14:textId="77777777" w:rsidR="00982063" w:rsidRPr="00E015DC" w:rsidRDefault="00982063" w:rsidP="00982063">
      <w:pPr>
        <w:pStyle w:val="0-EmR1"/>
        <w:rPr>
          <w:noProof/>
        </w:rPr>
      </w:pPr>
      <w:r w:rsidRPr="00E015DC">
        <w:rPr>
          <w:noProof/>
        </w:rPr>
        <w:drawing>
          <wp:inline distT="0" distB="0" distL="0" distR="0" wp14:anchorId="77B1E137" wp14:editId="70E8EBA3">
            <wp:extent cx="6056630" cy="3430829"/>
            <wp:effectExtent l="0" t="0" r="153670" b="151130"/>
            <wp:docPr id="11" name="Gráfico 11">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64FDCD17" w14:textId="77777777" w:rsidR="00982063" w:rsidRPr="001C305A" w:rsidRDefault="00982063" w:rsidP="00982063">
      <w:pPr>
        <w:pStyle w:val="1-FNT-GRAFICO"/>
      </w:pPr>
      <w:r w:rsidRPr="001C305A">
        <w:t>Fonte: RREO</w:t>
      </w:r>
    </w:p>
    <w:p w14:paraId="6F47AD7E" w14:textId="77777777" w:rsidR="00335D8A" w:rsidRPr="001C305A" w:rsidRDefault="00335D8A" w:rsidP="00335D8A">
      <w:pPr>
        <w:pStyle w:val="1-REL11"/>
      </w:pPr>
      <w:r w:rsidRPr="001C305A">
        <w:t>Observa-se um crescimento da RCL de 56,47% entre 2019 e 2023, ao passo que a inflação do período apurado pelo IPCA foi de 29,30%, evidenciando que o crescimento da receita é bem superior à inflação.</w:t>
      </w:r>
    </w:p>
    <w:p w14:paraId="58762998" w14:textId="1C01F8CD" w:rsidR="00335D8A" w:rsidRPr="001C305A" w:rsidRDefault="00335D8A" w:rsidP="00335D8A">
      <w:pPr>
        <w:pStyle w:val="1-REL11"/>
      </w:pPr>
      <w:r w:rsidRPr="001C305A">
        <w:t xml:space="preserve">Ampliando a análise da RCL para os estados do Centro Oeste, com exceção do Distrito Federal, e em consulta ao </w:t>
      </w:r>
      <w:r>
        <w:t>Sistema de Informações Contábeis e Fiscais do Setor Público Brasileiro (</w:t>
      </w:r>
      <w:r w:rsidRPr="001C305A">
        <w:t>Siconfi</w:t>
      </w:r>
      <w:r>
        <w:t>)</w:t>
      </w:r>
      <w:r w:rsidRPr="001C305A">
        <w:t>, observa-se que o Mato Grosso tem RCL de R$ 30,8</w:t>
      </w:r>
      <w:r>
        <w:t>6</w:t>
      </w:r>
      <w:r w:rsidRPr="001C305A">
        <w:t xml:space="preserve"> bilhões, e Mato Grosso do Sul, R$ 19,6</w:t>
      </w:r>
      <w:r>
        <w:t>8</w:t>
      </w:r>
      <w:r w:rsidRPr="001C305A">
        <w:t xml:space="preserve"> bilhões.</w:t>
      </w:r>
    </w:p>
    <w:p w14:paraId="4826A1DB" w14:textId="77777777" w:rsidR="00335D8A" w:rsidRPr="001C305A" w:rsidRDefault="00335D8A" w:rsidP="00335D8A">
      <w:pPr>
        <w:pStyle w:val="Ttulo2"/>
        <w:spacing w:before="100" w:beforeAutospacing="1" w:after="100" w:afterAutospacing="1" w:line="276" w:lineRule="auto"/>
        <w:contextualSpacing/>
      </w:pPr>
      <w:bookmarkStart w:id="110" w:name="_Toc167871640"/>
      <w:r w:rsidRPr="001C305A">
        <w:lastRenderedPageBreak/>
        <w:t>Despesa com Pessoal</w:t>
      </w:r>
      <w:bookmarkEnd w:id="110"/>
    </w:p>
    <w:p w14:paraId="0D1C2F25" w14:textId="77777777" w:rsidR="00335D8A" w:rsidRPr="001C305A" w:rsidRDefault="00335D8A" w:rsidP="00335D8A">
      <w:pPr>
        <w:tabs>
          <w:tab w:val="left" w:pos="2835"/>
        </w:tabs>
        <w:spacing w:before="200" w:after="200" w:line="276" w:lineRule="auto"/>
        <w:rPr>
          <w:rFonts w:eastAsia="Calibri" w:cs="Arial"/>
          <w:w w:val="109"/>
          <w:lang w:eastAsia="en-US"/>
        </w:rPr>
      </w:pPr>
      <w:r w:rsidRPr="001C305A">
        <w:rPr>
          <w:rFonts w:eastAsia="Calibri" w:cs="Arial"/>
          <w:w w:val="109"/>
          <w:lang w:eastAsia="en-US"/>
        </w:rPr>
        <w:t>Nesta subseção apresenta-se análise sobre o cumprimento do Limite da Despesa com Pessoal estabelecido pela LRF.</w:t>
      </w:r>
    </w:p>
    <w:p w14:paraId="0D495717" w14:textId="77777777" w:rsidR="00335D8A" w:rsidRPr="001C305A" w:rsidRDefault="00335D8A" w:rsidP="00A224E9">
      <w:pPr>
        <w:pStyle w:val="Ttulo3"/>
      </w:pPr>
      <w:bookmarkStart w:id="111" w:name="_Toc167871641"/>
      <w:r w:rsidRPr="001C305A">
        <w:t>Conceito e Limites</w:t>
      </w:r>
      <w:bookmarkEnd w:id="111"/>
    </w:p>
    <w:p w14:paraId="519ECD1E" w14:textId="77777777" w:rsidR="00335D8A" w:rsidRPr="001C305A" w:rsidRDefault="00335D8A" w:rsidP="00335D8A">
      <w:pPr>
        <w:pStyle w:val="1-REL11"/>
      </w:pPr>
      <w:r w:rsidRPr="001C305A">
        <w:t xml:space="preserve">A </w:t>
      </w:r>
      <w:r>
        <w:t>CF/88</w:t>
      </w:r>
      <w:r w:rsidRPr="001C305A">
        <w:t>, no art. 169, estabelece que “a despesa com pessoal ativo e inativo da União, dos Estados, do Distrito Federal e dos Municípios não poderá exceder os limites estabelecidos em lei complementar”. A LRF estabelece, no art. 19, o limite da despesa total com pessoal em 60% da RCL para o âmbito estadual.</w:t>
      </w:r>
    </w:p>
    <w:p w14:paraId="542FE7D7" w14:textId="77777777" w:rsidR="00335D8A" w:rsidRPr="001C305A" w:rsidRDefault="00335D8A" w:rsidP="00335D8A">
      <w:pPr>
        <w:pStyle w:val="1-REL11"/>
      </w:pPr>
      <w:r w:rsidRPr="001C305A">
        <w:t>Os arts. 18 e 19 da LRF definem os critérios e a metodologia para o cálculo da despesa com pessoal, sendo verificado ao final de cada quadrimestre o cumprimento dos limites estabelecidos. Assim, os titulares dos Poderes e Órgãos Autônomos elaboram o RGF contendo, entre outras informações, a despesa total com pessoal, distinguindo os gastos com inativos e pensionistas (arts. 22, 54 e 55 da LRF).</w:t>
      </w:r>
    </w:p>
    <w:p w14:paraId="4CDE0B2E" w14:textId="77777777" w:rsidR="00335D8A" w:rsidRPr="001C305A" w:rsidRDefault="00335D8A" w:rsidP="00335D8A">
      <w:pPr>
        <w:pStyle w:val="1-REL11"/>
      </w:pPr>
      <w:r w:rsidRPr="001C305A">
        <w:t>O Manual de Demonstrativos Fiscais (MDF) – 13ª edição, elaborado pela STN, define que a despesa com pessoal é desvinculada da natureza do vínculo empregatício. Assim, as despesas com servidores, independentemente do regime de trabalho a que estejam submetidos (servidores efetivos, celetistas, empregados públicos, servidores com contrato temporário), devem integrar a despesa total com pessoal e, portanto, compõem o cálculo do limite de gasto com pessoal.</w:t>
      </w:r>
    </w:p>
    <w:p w14:paraId="7D5FC903" w14:textId="77777777" w:rsidR="00335D8A" w:rsidRPr="001C305A" w:rsidRDefault="00335D8A" w:rsidP="00335D8A">
      <w:pPr>
        <w:pStyle w:val="1-REL11"/>
      </w:pPr>
      <w:r w:rsidRPr="001C305A">
        <w:t>No art. 20, inciso II, e nos §§ 1º e 4º da LRF, apresenta-se a repartição do limite global (60% da RCL) e, dessa forma</w:t>
      </w:r>
      <w:r>
        <w:t>,</w:t>
      </w:r>
      <w:r w:rsidRPr="001C305A">
        <w:t xml:space="preserve"> no estado de Goiás, os limites da despesa com pessoal para os Poderes e Ministério Público estão discriminados na tabela seguinte:</w:t>
      </w:r>
    </w:p>
    <w:p w14:paraId="5EAF681B" w14:textId="6E9D15B9" w:rsidR="00335D8A" w:rsidRDefault="00335D8A" w:rsidP="00ED3571">
      <w:pPr>
        <w:pStyle w:val="0-TABELA"/>
      </w:pPr>
      <w:bookmarkStart w:id="112" w:name="_Toc293065972"/>
      <w:bookmarkStart w:id="113" w:name="_Toc167871745"/>
      <w:r w:rsidRPr="001C305A">
        <w:t>Limites da Despesa com Pessoal</w:t>
      </w:r>
      <w:bookmarkEnd w:id="112"/>
      <w:bookmarkEnd w:id="113"/>
    </w:p>
    <w:tbl>
      <w:tblPr>
        <w:tblW w:w="5000" w:type="pct"/>
        <w:tblBorders>
          <w:top w:val="single" w:sz="4" w:space="0" w:color="333300"/>
          <w:bottom w:val="single" w:sz="4" w:space="0" w:color="333300"/>
          <w:insideV w:val="single" w:sz="4" w:space="0" w:color="333300"/>
        </w:tblBorders>
        <w:tblCellMar>
          <w:left w:w="70" w:type="dxa"/>
          <w:right w:w="70" w:type="dxa"/>
        </w:tblCellMar>
        <w:tblLook w:val="0000" w:firstRow="0" w:lastRow="0" w:firstColumn="0" w:lastColumn="0" w:noHBand="0" w:noVBand="0"/>
      </w:tblPr>
      <w:tblGrid>
        <w:gridCol w:w="6139"/>
        <w:gridCol w:w="3214"/>
      </w:tblGrid>
      <w:tr w:rsidR="00335D8A" w:rsidRPr="00FD6536" w14:paraId="1548EB29" w14:textId="77777777" w:rsidTr="00A47363">
        <w:trPr>
          <w:cantSplit/>
          <w:trHeight w:hRule="exact" w:val="397"/>
          <w:tblHeader/>
        </w:trPr>
        <w:tc>
          <w:tcPr>
            <w:tcW w:w="3282" w:type="pct"/>
            <w:tcBorders>
              <w:top w:val="single" w:sz="4" w:space="0" w:color="333300"/>
              <w:bottom w:val="single" w:sz="4" w:space="0" w:color="333300"/>
            </w:tcBorders>
            <w:shd w:val="clear" w:color="auto" w:fill="A1F2FD"/>
            <w:tcMar>
              <w:top w:w="28" w:type="dxa"/>
              <w:bottom w:w="28" w:type="dxa"/>
            </w:tcMar>
            <w:vAlign w:val="center"/>
          </w:tcPr>
          <w:p w14:paraId="0A39C2EE" w14:textId="77777777" w:rsidR="00335D8A" w:rsidRPr="00FD6536" w:rsidRDefault="00335D8A" w:rsidP="00335D8A">
            <w:pPr>
              <w:pStyle w:val="Corpodetexto"/>
              <w:spacing w:line="276" w:lineRule="auto"/>
              <w:ind w:left="-70"/>
              <w:jc w:val="center"/>
              <w:rPr>
                <w:rFonts w:cs="Arial"/>
                <w:b/>
                <w:bCs/>
                <w:sz w:val="20"/>
                <w:szCs w:val="20"/>
              </w:rPr>
            </w:pPr>
            <w:r w:rsidRPr="00FD6536">
              <w:rPr>
                <w:rFonts w:cs="Arial"/>
                <w:b/>
                <w:bCs/>
                <w:sz w:val="20"/>
                <w:szCs w:val="20"/>
              </w:rPr>
              <w:t>Poder/Órgão Autônomo</w:t>
            </w:r>
          </w:p>
        </w:tc>
        <w:tc>
          <w:tcPr>
            <w:tcW w:w="1718" w:type="pct"/>
            <w:tcBorders>
              <w:top w:val="single" w:sz="4" w:space="0" w:color="333300"/>
              <w:bottom w:val="single" w:sz="4" w:space="0" w:color="333300"/>
            </w:tcBorders>
            <w:shd w:val="clear" w:color="auto" w:fill="A1F2FD"/>
            <w:tcMar>
              <w:top w:w="28" w:type="dxa"/>
              <w:bottom w:w="28" w:type="dxa"/>
            </w:tcMar>
            <w:vAlign w:val="center"/>
          </w:tcPr>
          <w:p w14:paraId="64F7E63F" w14:textId="77777777" w:rsidR="00335D8A" w:rsidRPr="00FD6536" w:rsidRDefault="00335D8A" w:rsidP="00335D8A">
            <w:pPr>
              <w:pStyle w:val="Corpodetexto"/>
              <w:spacing w:line="276" w:lineRule="auto"/>
              <w:jc w:val="center"/>
              <w:rPr>
                <w:rFonts w:cs="Arial"/>
                <w:b/>
                <w:bCs/>
                <w:sz w:val="20"/>
                <w:szCs w:val="20"/>
              </w:rPr>
            </w:pPr>
            <w:r w:rsidRPr="00FD6536">
              <w:rPr>
                <w:rFonts w:cs="Arial"/>
                <w:b/>
                <w:bCs/>
                <w:sz w:val="20"/>
                <w:szCs w:val="20"/>
              </w:rPr>
              <w:t>% em Relação à RCL</w:t>
            </w:r>
          </w:p>
        </w:tc>
      </w:tr>
      <w:tr w:rsidR="00335D8A" w:rsidRPr="00FD6536" w14:paraId="2E8DD91D" w14:textId="77777777" w:rsidTr="00A47363">
        <w:trPr>
          <w:cantSplit/>
          <w:trHeight w:hRule="exact" w:val="397"/>
        </w:trPr>
        <w:tc>
          <w:tcPr>
            <w:tcW w:w="3282" w:type="pct"/>
            <w:tcBorders>
              <w:top w:val="single" w:sz="4" w:space="0" w:color="333300"/>
            </w:tcBorders>
            <w:tcMar>
              <w:top w:w="28" w:type="dxa"/>
              <w:bottom w:w="28" w:type="dxa"/>
            </w:tcMar>
            <w:vAlign w:val="center"/>
          </w:tcPr>
          <w:p w14:paraId="2972496E" w14:textId="77777777" w:rsidR="00335D8A" w:rsidRPr="00FD6536" w:rsidRDefault="00335D8A" w:rsidP="00335D8A">
            <w:pPr>
              <w:spacing w:line="276" w:lineRule="auto"/>
              <w:ind w:left="73"/>
              <w:outlineLvl w:val="0"/>
              <w:rPr>
                <w:rFonts w:cs="Arial"/>
                <w:sz w:val="20"/>
                <w:szCs w:val="20"/>
              </w:rPr>
            </w:pPr>
            <w:r w:rsidRPr="00FD6536">
              <w:rPr>
                <w:rFonts w:cs="Arial"/>
                <w:sz w:val="20"/>
                <w:szCs w:val="20"/>
              </w:rPr>
              <w:t>Poder Executivo</w:t>
            </w:r>
          </w:p>
        </w:tc>
        <w:tc>
          <w:tcPr>
            <w:tcW w:w="1718" w:type="pct"/>
            <w:tcBorders>
              <w:top w:val="single" w:sz="4" w:space="0" w:color="333300"/>
            </w:tcBorders>
            <w:tcMar>
              <w:top w:w="28" w:type="dxa"/>
              <w:bottom w:w="28" w:type="dxa"/>
            </w:tcMar>
            <w:vAlign w:val="center"/>
          </w:tcPr>
          <w:p w14:paraId="2077CA05" w14:textId="77777777" w:rsidR="00335D8A" w:rsidRPr="00FD6536" w:rsidRDefault="00335D8A" w:rsidP="00335D8A">
            <w:pPr>
              <w:spacing w:line="276" w:lineRule="auto"/>
              <w:jc w:val="center"/>
              <w:outlineLvl w:val="0"/>
              <w:rPr>
                <w:rFonts w:cs="Arial"/>
                <w:sz w:val="20"/>
                <w:szCs w:val="20"/>
              </w:rPr>
            </w:pPr>
            <w:r w:rsidRPr="00FD6536">
              <w:rPr>
                <w:rFonts w:cs="Arial"/>
                <w:sz w:val="20"/>
                <w:szCs w:val="20"/>
              </w:rPr>
              <w:t>48,60</w:t>
            </w:r>
          </w:p>
        </w:tc>
      </w:tr>
      <w:tr w:rsidR="00335D8A" w:rsidRPr="00FD6536" w14:paraId="0699F869" w14:textId="77777777" w:rsidTr="00A47363">
        <w:trPr>
          <w:cantSplit/>
          <w:trHeight w:hRule="exact" w:val="397"/>
        </w:trPr>
        <w:tc>
          <w:tcPr>
            <w:tcW w:w="3282" w:type="pct"/>
            <w:tcMar>
              <w:top w:w="28" w:type="dxa"/>
              <w:bottom w:w="28" w:type="dxa"/>
            </w:tcMar>
            <w:vAlign w:val="center"/>
          </w:tcPr>
          <w:p w14:paraId="12CF0953" w14:textId="77777777" w:rsidR="00335D8A" w:rsidRPr="00FD6536" w:rsidRDefault="00335D8A" w:rsidP="00335D8A">
            <w:pPr>
              <w:spacing w:line="276" w:lineRule="auto"/>
              <w:ind w:left="73"/>
              <w:outlineLvl w:val="0"/>
              <w:rPr>
                <w:rFonts w:cs="Arial"/>
                <w:sz w:val="20"/>
                <w:szCs w:val="20"/>
              </w:rPr>
            </w:pPr>
            <w:r w:rsidRPr="00FD6536">
              <w:rPr>
                <w:rFonts w:cs="Arial"/>
                <w:sz w:val="20"/>
                <w:szCs w:val="20"/>
              </w:rPr>
              <w:t>Poder Legislativo</w:t>
            </w:r>
          </w:p>
        </w:tc>
        <w:tc>
          <w:tcPr>
            <w:tcW w:w="1718" w:type="pct"/>
            <w:tcMar>
              <w:top w:w="28" w:type="dxa"/>
              <w:bottom w:w="28" w:type="dxa"/>
            </w:tcMar>
            <w:vAlign w:val="center"/>
          </w:tcPr>
          <w:p w14:paraId="2BA57C30" w14:textId="77777777" w:rsidR="00335D8A" w:rsidRPr="00FD6536" w:rsidRDefault="00335D8A" w:rsidP="00335D8A">
            <w:pPr>
              <w:spacing w:line="276" w:lineRule="auto"/>
              <w:jc w:val="center"/>
              <w:outlineLvl w:val="0"/>
              <w:rPr>
                <w:rFonts w:cs="Arial"/>
                <w:sz w:val="20"/>
                <w:szCs w:val="20"/>
              </w:rPr>
            </w:pPr>
            <w:r w:rsidRPr="00FD6536">
              <w:rPr>
                <w:rFonts w:cs="Arial"/>
                <w:sz w:val="20"/>
                <w:szCs w:val="20"/>
              </w:rPr>
              <w:t>3,40</w:t>
            </w:r>
          </w:p>
        </w:tc>
      </w:tr>
      <w:tr w:rsidR="00335D8A" w:rsidRPr="00FD6536" w14:paraId="0E131473" w14:textId="77777777" w:rsidTr="00A47363">
        <w:trPr>
          <w:cantSplit/>
          <w:trHeight w:hRule="exact" w:val="397"/>
        </w:trPr>
        <w:tc>
          <w:tcPr>
            <w:tcW w:w="3282" w:type="pct"/>
            <w:tcMar>
              <w:top w:w="28" w:type="dxa"/>
              <w:bottom w:w="28" w:type="dxa"/>
            </w:tcMar>
            <w:vAlign w:val="center"/>
          </w:tcPr>
          <w:p w14:paraId="5BDB85BF" w14:textId="77777777" w:rsidR="00335D8A" w:rsidRPr="00FD6536" w:rsidRDefault="00335D8A" w:rsidP="00335D8A">
            <w:pPr>
              <w:spacing w:line="276" w:lineRule="auto"/>
              <w:ind w:left="73"/>
              <w:outlineLvl w:val="0"/>
              <w:rPr>
                <w:rFonts w:cs="Arial"/>
                <w:sz w:val="20"/>
                <w:szCs w:val="20"/>
              </w:rPr>
            </w:pPr>
            <w:r w:rsidRPr="00FD6536">
              <w:rPr>
                <w:rFonts w:cs="Arial"/>
                <w:sz w:val="20"/>
                <w:szCs w:val="20"/>
              </w:rPr>
              <w:t>Poder Judiciário</w:t>
            </w:r>
          </w:p>
        </w:tc>
        <w:tc>
          <w:tcPr>
            <w:tcW w:w="1718" w:type="pct"/>
            <w:tcMar>
              <w:top w:w="28" w:type="dxa"/>
              <w:bottom w:w="28" w:type="dxa"/>
            </w:tcMar>
            <w:vAlign w:val="center"/>
          </w:tcPr>
          <w:p w14:paraId="0FA6D3AC" w14:textId="77777777" w:rsidR="00335D8A" w:rsidRPr="00FD6536" w:rsidRDefault="00335D8A" w:rsidP="00335D8A">
            <w:pPr>
              <w:spacing w:line="276" w:lineRule="auto"/>
              <w:jc w:val="center"/>
              <w:outlineLvl w:val="0"/>
              <w:rPr>
                <w:rFonts w:cs="Arial"/>
                <w:sz w:val="20"/>
                <w:szCs w:val="20"/>
              </w:rPr>
            </w:pPr>
            <w:r w:rsidRPr="00FD6536">
              <w:rPr>
                <w:rFonts w:cs="Arial"/>
                <w:sz w:val="20"/>
                <w:szCs w:val="20"/>
              </w:rPr>
              <w:t>6,00</w:t>
            </w:r>
          </w:p>
        </w:tc>
      </w:tr>
      <w:tr w:rsidR="00335D8A" w:rsidRPr="00FD6536" w14:paraId="1A46BE8C" w14:textId="77777777" w:rsidTr="00A47363">
        <w:trPr>
          <w:cantSplit/>
          <w:trHeight w:hRule="exact" w:val="397"/>
        </w:trPr>
        <w:tc>
          <w:tcPr>
            <w:tcW w:w="3282" w:type="pct"/>
            <w:tcBorders>
              <w:bottom w:val="single" w:sz="4" w:space="0" w:color="auto"/>
            </w:tcBorders>
            <w:tcMar>
              <w:top w:w="28" w:type="dxa"/>
              <w:bottom w:w="28" w:type="dxa"/>
            </w:tcMar>
            <w:vAlign w:val="center"/>
          </w:tcPr>
          <w:p w14:paraId="0D0444A4" w14:textId="77777777" w:rsidR="00335D8A" w:rsidRPr="00FD6536" w:rsidRDefault="00335D8A" w:rsidP="00335D8A">
            <w:pPr>
              <w:spacing w:line="276" w:lineRule="auto"/>
              <w:ind w:left="73"/>
              <w:outlineLvl w:val="0"/>
              <w:rPr>
                <w:rFonts w:cs="Arial"/>
                <w:sz w:val="20"/>
                <w:szCs w:val="20"/>
              </w:rPr>
            </w:pPr>
            <w:r w:rsidRPr="00FD6536">
              <w:rPr>
                <w:rFonts w:cs="Arial"/>
                <w:sz w:val="20"/>
                <w:szCs w:val="20"/>
              </w:rPr>
              <w:t>Ministério Público</w:t>
            </w:r>
          </w:p>
        </w:tc>
        <w:tc>
          <w:tcPr>
            <w:tcW w:w="1718" w:type="pct"/>
            <w:tcBorders>
              <w:bottom w:val="single" w:sz="4" w:space="0" w:color="auto"/>
            </w:tcBorders>
            <w:tcMar>
              <w:top w:w="28" w:type="dxa"/>
              <w:bottom w:w="28" w:type="dxa"/>
            </w:tcMar>
            <w:vAlign w:val="center"/>
          </w:tcPr>
          <w:p w14:paraId="77C9F847" w14:textId="77777777" w:rsidR="00335D8A" w:rsidRPr="00FD6536" w:rsidRDefault="00335D8A" w:rsidP="00335D8A">
            <w:pPr>
              <w:spacing w:line="276" w:lineRule="auto"/>
              <w:jc w:val="center"/>
              <w:outlineLvl w:val="0"/>
              <w:rPr>
                <w:rFonts w:cs="Arial"/>
                <w:sz w:val="20"/>
                <w:szCs w:val="20"/>
              </w:rPr>
            </w:pPr>
            <w:r w:rsidRPr="00FD6536">
              <w:rPr>
                <w:rFonts w:cs="Arial"/>
                <w:sz w:val="20"/>
                <w:szCs w:val="20"/>
              </w:rPr>
              <w:t>2,00</w:t>
            </w:r>
          </w:p>
        </w:tc>
      </w:tr>
      <w:tr w:rsidR="00335D8A" w:rsidRPr="00FD6536" w14:paraId="6204305D" w14:textId="77777777" w:rsidTr="00A47363">
        <w:trPr>
          <w:cantSplit/>
          <w:trHeight w:hRule="exact" w:val="397"/>
        </w:trPr>
        <w:tc>
          <w:tcPr>
            <w:tcW w:w="3282" w:type="pct"/>
            <w:tcBorders>
              <w:top w:val="single" w:sz="4" w:space="0" w:color="auto"/>
              <w:bottom w:val="single" w:sz="4" w:space="0" w:color="333300"/>
            </w:tcBorders>
            <w:tcMar>
              <w:top w:w="28" w:type="dxa"/>
              <w:bottom w:w="28" w:type="dxa"/>
            </w:tcMar>
            <w:vAlign w:val="center"/>
          </w:tcPr>
          <w:p w14:paraId="2708B2FD" w14:textId="77777777" w:rsidR="00335D8A" w:rsidRPr="00FD6536" w:rsidRDefault="00335D8A" w:rsidP="00335D8A">
            <w:pPr>
              <w:spacing w:line="276" w:lineRule="auto"/>
              <w:jc w:val="center"/>
              <w:outlineLvl w:val="0"/>
              <w:rPr>
                <w:rFonts w:cs="Arial"/>
                <w:b/>
                <w:sz w:val="20"/>
                <w:szCs w:val="20"/>
              </w:rPr>
            </w:pPr>
            <w:r w:rsidRPr="00FD6536">
              <w:rPr>
                <w:rFonts w:cs="Arial"/>
                <w:b/>
                <w:sz w:val="20"/>
                <w:szCs w:val="20"/>
              </w:rPr>
              <w:t>Total</w:t>
            </w:r>
          </w:p>
        </w:tc>
        <w:tc>
          <w:tcPr>
            <w:tcW w:w="1718" w:type="pct"/>
            <w:tcBorders>
              <w:top w:val="single" w:sz="4" w:space="0" w:color="auto"/>
              <w:bottom w:val="single" w:sz="4" w:space="0" w:color="333300"/>
            </w:tcBorders>
            <w:tcMar>
              <w:top w:w="28" w:type="dxa"/>
              <w:bottom w:w="28" w:type="dxa"/>
            </w:tcMar>
            <w:vAlign w:val="center"/>
          </w:tcPr>
          <w:p w14:paraId="13C75B3F" w14:textId="77777777" w:rsidR="00335D8A" w:rsidRPr="00FD6536" w:rsidRDefault="00335D8A" w:rsidP="00335D8A">
            <w:pPr>
              <w:spacing w:line="276" w:lineRule="auto"/>
              <w:jc w:val="center"/>
              <w:outlineLvl w:val="0"/>
              <w:rPr>
                <w:rFonts w:cs="Arial"/>
                <w:b/>
                <w:sz w:val="20"/>
                <w:szCs w:val="20"/>
              </w:rPr>
            </w:pPr>
            <w:r w:rsidRPr="00FD6536">
              <w:rPr>
                <w:rFonts w:cs="Arial"/>
                <w:b/>
                <w:sz w:val="20"/>
                <w:szCs w:val="20"/>
              </w:rPr>
              <w:t>60,00</w:t>
            </w:r>
          </w:p>
        </w:tc>
      </w:tr>
    </w:tbl>
    <w:p w14:paraId="55C04DA1" w14:textId="77777777" w:rsidR="00335D8A" w:rsidRPr="008C263F" w:rsidRDefault="00335D8A" w:rsidP="00335D8A">
      <w:pPr>
        <w:pStyle w:val="1-FONTE8ESQ"/>
      </w:pPr>
      <w:r w:rsidRPr="008C263F">
        <w:t>Fonte: LRF</w:t>
      </w:r>
    </w:p>
    <w:p w14:paraId="4D6EFE44" w14:textId="77777777" w:rsidR="00335D8A" w:rsidRPr="001C305A" w:rsidRDefault="00335D8A" w:rsidP="00335D8A">
      <w:pPr>
        <w:pStyle w:val="1-REL11"/>
      </w:pPr>
      <w:r w:rsidRPr="001C305A">
        <w:lastRenderedPageBreak/>
        <w:t>O limite de gasto com pessoal da Defensoria Pública encontra-se na composição do limite do Poder Executivo e os limites de gastos dos Tribunais de Contas (TCM/GO e TCE/GO) integram o limite do Poder Legislativo.</w:t>
      </w:r>
    </w:p>
    <w:p w14:paraId="361D5C4F" w14:textId="77777777" w:rsidR="00335D8A" w:rsidRPr="001C305A" w:rsidRDefault="00335D8A" w:rsidP="00335D8A">
      <w:pPr>
        <w:pStyle w:val="1-REL11"/>
      </w:pPr>
      <w:r w:rsidRPr="001C305A">
        <w:t>Para melhor visualização, a distribuição de gastos com pessoal dos Poderes e Ministério Público dentro do limite atribuído para o Estado está estampada no gráfico a seguir:</w:t>
      </w:r>
    </w:p>
    <w:p w14:paraId="1F6B01DE" w14:textId="77777777" w:rsidR="00335D8A" w:rsidRPr="00F82695" w:rsidRDefault="00335D8A" w:rsidP="00B000B6">
      <w:pPr>
        <w:pStyle w:val="0-GRFICO"/>
        <w:numPr>
          <w:ilvl w:val="0"/>
          <w:numId w:val="38"/>
        </w:numPr>
        <w:tabs>
          <w:tab w:val="clear" w:pos="1418"/>
          <w:tab w:val="left" w:pos="1134"/>
        </w:tabs>
        <w:ind w:left="568" w:hanging="284"/>
      </w:pPr>
      <w:bookmarkStart w:id="114" w:name="_Toc167825104"/>
      <w:r w:rsidRPr="00F82695">
        <w:t>Distribuição de Gastos com Pessoal pelos Poderes e Ministério Público em Relação à RCL</w:t>
      </w:r>
      <w:bookmarkEnd w:id="114"/>
    </w:p>
    <w:p w14:paraId="673359D8" w14:textId="77777777" w:rsidR="00335D8A" w:rsidRPr="001C305A" w:rsidRDefault="00335D8A" w:rsidP="00335D8A">
      <w:pPr>
        <w:pStyle w:val="1-FNT-GRAFICO"/>
      </w:pPr>
      <w:r w:rsidRPr="001C305A">
        <w:rPr>
          <w:noProof/>
        </w:rPr>
        <w:drawing>
          <wp:inline distT="0" distB="0" distL="0" distR="0" wp14:anchorId="6DD6A1FF" wp14:editId="6EC82227">
            <wp:extent cx="5759450" cy="3065069"/>
            <wp:effectExtent l="57150" t="0" r="50800" b="193040"/>
            <wp:docPr id="12" name="Gráfico 12">
              <a:extLst xmlns:a="http://schemas.openxmlformats.org/drawingml/2006/main">
                <a:ext uri="{FF2B5EF4-FFF2-40B4-BE49-F238E27FC236}">
                  <a16:creationId xmlns:a16="http://schemas.microsoft.com/office/drawing/2014/main" id="{00C8CE45-2583-4E3E-BA6E-D08C352322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Pr="001C305A">
        <w:t>Fonte: LRF</w:t>
      </w:r>
    </w:p>
    <w:p w14:paraId="380A9626" w14:textId="77777777" w:rsidR="00335D8A" w:rsidRPr="001C305A" w:rsidRDefault="00335D8A" w:rsidP="00BD0415">
      <w:pPr>
        <w:pStyle w:val="1-REL11"/>
      </w:pPr>
      <w:r w:rsidRPr="001C305A">
        <w:t>A LRF estabelece dois parâmetros a serem observados previamente ao atingimento do limite máximo de gastos com pessoal. O primeiro é o limite de alerta, situação onde o Tribunal de Contas deve alertar o gestor quando constatar que o montante da despesa total com pessoal ultrapassou 90% do limite especificado no art. 20 da LRF.</w:t>
      </w:r>
    </w:p>
    <w:p w14:paraId="4D025D64" w14:textId="7FED4F11" w:rsidR="00335D8A" w:rsidRPr="001C305A" w:rsidRDefault="00335D8A" w:rsidP="00BD0415">
      <w:pPr>
        <w:pStyle w:val="1-REL11"/>
      </w:pPr>
      <w:r w:rsidRPr="001C305A">
        <w:t>O outro parâmetro se refere ao limite prudencial. Tal limite é caracterizado quando a despesa com pessoal ultrapassa 95% do limite máximo. Ao atingir o limite prudencial, há imposição de vedações ao Poder ou Órgão</w:t>
      </w:r>
      <w:r>
        <w:t xml:space="preserve"> Autônomo</w:t>
      </w:r>
      <w:r w:rsidRPr="001C305A">
        <w:t>, conforme art. 22 da LRF.</w:t>
      </w:r>
    </w:p>
    <w:p w14:paraId="3B5220CA" w14:textId="77777777" w:rsidR="00335D8A" w:rsidRPr="001C305A" w:rsidRDefault="00335D8A" w:rsidP="00117967">
      <w:pPr>
        <w:pStyle w:val="Ttulo4"/>
      </w:pPr>
      <w:r w:rsidRPr="001C305A">
        <w:lastRenderedPageBreak/>
        <w:t>Defensoria Pública Estadual</w:t>
      </w:r>
    </w:p>
    <w:p w14:paraId="58C0B03C" w14:textId="77777777" w:rsidR="00335D8A" w:rsidRPr="001C305A" w:rsidRDefault="00335D8A" w:rsidP="00BD0415">
      <w:pPr>
        <w:pStyle w:val="1-REL11"/>
      </w:pPr>
      <w:r w:rsidRPr="001C305A">
        <w:t>A LRF não contemplou limite específico para o gasto com pessoal das defensorias públicas estaduais e, enquanto estes limites não forem estabelecidos, seus valores devem constar do Demonstrativo da Despesa com Pessoal do Poder Executivo.</w:t>
      </w:r>
    </w:p>
    <w:p w14:paraId="7335D93E" w14:textId="77777777" w:rsidR="00335D8A" w:rsidRPr="001C305A" w:rsidRDefault="00335D8A" w:rsidP="00BD0415">
      <w:pPr>
        <w:pStyle w:val="1-REL11"/>
      </w:pPr>
      <w:r w:rsidRPr="001C305A">
        <w:t xml:space="preserve">Destaca-se que a ausência de previsão legal se deve ao fato de que a criação das Defensorias Públicas ocorreu após publicação da LRF. Somente em 2004 foi conferida autonomia orçamentário-financeira às </w:t>
      </w:r>
      <w:r>
        <w:t>d</w:t>
      </w:r>
      <w:r w:rsidRPr="001C305A">
        <w:t>efensorias estaduais por meio da Emenda Constitucional nº</w:t>
      </w:r>
      <w:r>
        <w:t> </w:t>
      </w:r>
      <w:r w:rsidRPr="001C305A">
        <w:t>45/</w:t>
      </w:r>
      <w:r>
        <w:t>20</w:t>
      </w:r>
      <w:r w:rsidRPr="001C305A">
        <w:t>04, sendo que na União e Distrito Federal, a vigência ocorreu em 2013 por meio da Emenda Constitucional nº 74/</w:t>
      </w:r>
      <w:r>
        <w:t>20</w:t>
      </w:r>
      <w:r w:rsidRPr="001C305A">
        <w:t>13.</w:t>
      </w:r>
    </w:p>
    <w:p w14:paraId="73DC0B7E" w14:textId="77777777" w:rsidR="00335D8A" w:rsidRPr="001C305A" w:rsidRDefault="00335D8A" w:rsidP="00117967">
      <w:pPr>
        <w:pStyle w:val="Ttulo4"/>
      </w:pPr>
      <w:r w:rsidRPr="001C305A">
        <w:t>Poder Legislativo</w:t>
      </w:r>
    </w:p>
    <w:p w14:paraId="5BB1D73C" w14:textId="77777777" w:rsidR="00335D8A" w:rsidRPr="001C305A" w:rsidRDefault="00335D8A" w:rsidP="00284F6D">
      <w:pPr>
        <w:pStyle w:val="1-REL11"/>
        <w:spacing w:after="280" w:line="300" w:lineRule="auto"/>
      </w:pPr>
      <w:r w:rsidRPr="001C305A">
        <w:t xml:space="preserve">A Assembleia Legislativa do Estado de Goiás (Alego) alterou, por meio </w:t>
      </w:r>
      <w:r w:rsidRPr="0000370D">
        <w:t>da Lei Complementar Estadual nº 112</w:t>
      </w:r>
      <w:r>
        <w:t xml:space="preserve">, de 18 de setembro de </w:t>
      </w:r>
      <w:r w:rsidRPr="0000370D">
        <w:t>2014, os limites da despesa com pessoal dos órgãos</w:t>
      </w:r>
      <w:r w:rsidRPr="001C305A">
        <w:t xml:space="preserve"> vinculados ao Poder Legislativo sob o ponto de vista da LRF.</w:t>
      </w:r>
    </w:p>
    <w:p w14:paraId="509AF961" w14:textId="77777777" w:rsidR="00335D8A" w:rsidRPr="001C305A" w:rsidRDefault="00335D8A" w:rsidP="00284F6D">
      <w:pPr>
        <w:pStyle w:val="1-REL11"/>
        <w:spacing w:after="280" w:line="300" w:lineRule="auto"/>
      </w:pPr>
      <w:r w:rsidRPr="001C305A">
        <w:t>Este regramento jurídico estabeleceu normas suplementares de finanças públicas e no art.</w:t>
      </w:r>
      <w:r>
        <w:t> </w:t>
      </w:r>
      <w:r w:rsidRPr="001C305A">
        <w:t>2º foi estabelecido novos limites de gastos com pessoal ativo e inativo do Poder Legislativo, incluindo-se os Tribunais de Contas</w:t>
      </w:r>
      <w:r>
        <w:t>:</w:t>
      </w:r>
    </w:p>
    <w:p w14:paraId="645DDD3F" w14:textId="77777777" w:rsidR="00335D8A" w:rsidRPr="005E6561" w:rsidRDefault="00335D8A" w:rsidP="00BD0415">
      <w:pPr>
        <w:pStyle w:val="1-CITAO"/>
        <w:spacing w:line="276" w:lineRule="auto"/>
      </w:pPr>
      <w:r w:rsidRPr="005E6561">
        <w:t xml:space="preserve">Art. 2º As despesas com pessoal, ativo e inativo, do Legislativo, incluindo-se os Tribunais de Contas, observarão o limite total de 3,4% (três vírgula quatro por cento) da receita corrente líquida, conforme estabelecido pelo art. 20, II, "a", § 4o, da Lei Complementar federal no 101, de 4 de maio de 2000, considerando para a </w:t>
      </w:r>
      <w:r w:rsidRPr="005E6561">
        <w:rPr>
          <w:b/>
        </w:rPr>
        <w:t>Assembleia Legislativa 1,50%</w:t>
      </w:r>
      <w:r w:rsidRPr="005E6561">
        <w:t xml:space="preserve"> (um vírgula cinquenta por cento), para o </w:t>
      </w:r>
      <w:r w:rsidRPr="005E6561">
        <w:rPr>
          <w:b/>
        </w:rPr>
        <w:t>Tribunal de Contas do Estado 1,35%</w:t>
      </w:r>
      <w:r w:rsidRPr="005E6561">
        <w:t xml:space="preserve"> (um vírgula trinta e cinco por cento) e para o </w:t>
      </w:r>
      <w:r w:rsidRPr="005E6561">
        <w:rPr>
          <w:b/>
        </w:rPr>
        <w:t>Tribunal de Contas dos Municípios 0,55</w:t>
      </w:r>
      <w:r w:rsidRPr="005E6561">
        <w:t xml:space="preserve">% (zero vírgula cinquenta e cinco por cento). </w:t>
      </w:r>
      <w:r w:rsidRPr="005E6561">
        <w:rPr>
          <w:b/>
        </w:rPr>
        <w:t>(Grifou-se)</w:t>
      </w:r>
      <w:r w:rsidRPr="005E6561">
        <w:t>.</w:t>
      </w:r>
    </w:p>
    <w:p w14:paraId="4683E559" w14:textId="77777777" w:rsidR="00284F6D" w:rsidRDefault="00284F6D" w:rsidP="00284F6D">
      <w:pPr>
        <w:spacing w:before="280" w:after="280" w:line="300" w:lineRule="auto"/>
        <w:ind w:left="19" w:hanging="10"/>
        <w:rPr>
          <w:rFonts w:eastAsia="Arial" w:cs="Arial"/>
          <w:color w:val="000000"/>
        </w:rPr>
      </w:pPr>
    </w:p>
    <w:p w14:paraId="7FFDA003" w14:textId="19CC1D11" w:rsidR="00335D8A" w:rsidRPr="00D04025" w:rsidRDefault="00335D8A" w:rsidP="00284F6D">
      <w:pPr>
        <w:spacing w:before="280" w:after="280" w:line="300" w:lineRule="auto"/>
        <w:ind w:left="19" w:hanging="10"/>
        <w:rPr>
          <w:rFonts w:eastAsia="Arial" w:cs="Arial"/>
          <w:color w:val="000000"/>
        </w:rPr>
      </w:pPr>
      <w:r w:rsidRPr="00D04025">
        <w:rPr>
          <w:rFonts w:eastAsia="Arial" w:cs="Arial"/>
          <w:color w:val="000000"/>
        </w:rPr>
        <w:t xml:space="preserve">Reforça-se que os limites de gastos para os Órgãos Autônomos vinculados ao Poder Legislativo já haviam sido definidos em </w:t>
      </w:r>
      <w:r>
        <w:rPr>
          <w:rFonts w:eastAsia="Arial" w:cs="Arial"/>
          <w:color w:val="000000"/>
        </w:rPr>
        <w:t>L</w:t>
      </w:r>
      <w:r w:rsidRPr="00D04025">
        <w:rPr>
          <w:rFonts w:eastAsia="Arial" w:cs="Arial"/>
          <w:color w:val="000000"/>
        </w:rPr>
        <w:t xml:space="preserve">ei </w:t>
      </w:r>
      <w:r>
        <w:rPr>
          <w:rFonts w:eastAsia="Arial" w:cs="Arial"/>
          <w:color w:val="000000"/>
        </w:rPr>
        <w:t>C</w:t>
      </w:r>
      <w:r w:rsidRPr="00D04025">
        <w:rPr>
          <w:rFonts w:eastAsia="Arial" w:cs="Arial"/>
          <w:color w:val="000000"/>
        </w:rPr>
        <w:t xml:space="preserve">omplementar </w:t>
      </w:r>
      <w:r>
        <w:rPr>
          <w:rFonts w:eastAsia="Arial" w:cs="Arial"/>
          <w:color w:val="000000"/>
        </w:rPr>
        <w:t>F</w:t>
      </w:r>
      <w:r w:rsidRPr="00D04025">
        <w:rPr>
          <w:rFonts w:eastAsia="Arial" w:cs="Arial"/>
          <w:color w:val="000000"/>
        </w:rPr>
        <w:t>ederal e esta alteração promovida pelo art. 2º da LCE nº 112/2014 não deveria inovar e suplantar norma federal (LRF) já editada e integrante do arcabouço jurídico desde 05/2000.</w:t>
      </w:r>
    </w:p>
    <w:p w14:paraId="3FF08308" w14:textId="77777777" w:rsidR="00335D8A" w:rsidRPr="00D04025" w:rsidRDefault="00335D8A" w:rsidP="00284F6D">
      <w:pPr>
        <w:spacing w:before="280" w:after="280" w:line="300" w:lineRule="auto"/>
        <w:ind w:left="19" w:hanging="10"/>
        <w:rPr>
          <w:rFonts w:eastAsia="Arial" w:cs="Arial"/>
          <w:color w:val="000000"/>
        </w:rPr>
      </w:pPr>
      <w:r w:rsidRPr="00D04025">
        <w:rPr>
          <w:rFonts w:eastAsia="Arial" w:cs="Arial"/>
          <w:color w:val="000000"/>
        </w:rPr>
        <w:t>Contudo, a partir da vigência da LCE nº 112/2014, o TCE/GO emitiu algumas decisões consentindo com o percentual definido pelo art. 2º da LCE nº 112/2014, ou seja, 1,50% da RCL para a Alego, e 0,55% ao Tribunal de Contas dos Municípios do Estado de Goiás (TCM/GO).</w:t>
      </w:r>
    </w:p>
    <w:p w14:paraId="08DFB223" w14:textId="77777777" w:rsidR="00335D8A" w:rsidRPr="00D04025" w:rsidRDefault="00335D8A" w:rsidP="00284F6D">
      <w:pPr>
        <w:spacing w:before="280" w:after="280" w:line="300" w:lineRule="auto"/>
        <w:ind w:left="14"/>
        <w:rPr>
          <w:rFonts w:eastAsia="Arial" w:cs="Arial"/>
          <w:color w:val="000000"/>
        </w:rPr>
      </w:pPr>
      <w:r w:rsidRPr="00D04025">
        <w:rPr>
          <w:rFonts w:eastAsia="Arial" w:cs="Arial"/>
          <w:color w:val="000000"/>
        </w:rPr>
        <w:lastRenderedPageBreak/>
        <w:t>O Acórdão nº 5.398/</w:t>
      </w:r>
      <w:r>
        <w:rPr>
          <w:rFonts w:eastAsia="Arial" w:cs="Arial"/>
          <w:color w:val="000000"/>
        </w:rPr>
        <w:t>20</w:t>
      </w:r>
      <w:r w:rsidRPr="00D04025">
        <w:rPr>
          <w:rFonts w:eastAsia="Arial" w:cs="Arial"/>
          <w:color w:val="000000"/>
        </w:rPr>
        <w:t>21, no âmbito do Tribunal Pleno</w:t>
      </w:r>
      <w:r>
        <w:rPr>
          <w:rFonts w:eastAsia="Arial" w:cs="Arial"/>
          <w:color w:val="000000"/>
        </w:rPr>
        <w:t xml:space="preserve"> desta Corte de Contas</w:t>
      </w:r>
      <w:r w:rsidRPr="00D04025">
        <w:rPr>
          <w:rFonts w:eastAsia="Arial" w:cs="Arial"/>
          <w:color w:val="000000"/>
        </w:rPr>
        <w:t>, reforçou esse entendimento, anulando as regras da Resolução nº 1.186/</w:t>
      </w:r>
      <w:r>
        <w:rPr>
          <w:rFonts w:eastAsia="Arial" w:cs="Arial"/>
          <w:color w:val="000000"/>
        </w:rPr>
        <w:t>20</w:t>
      </w:r>
      <w:r w:rsidRPr="00D04025">
        <w:rPr>
          <w:rFonts w:eastAsia="Arial" w:cs="Arial"/>
          <w:color w:val="000000"/>
        </w:rPr>
        <w:t>02 e Acórdão nº</w:t>
      </w:r>
      <w:r>
        <w:rPr>
          <w:rFonts w:eastAsia="Arial" w:cs="Arial"/>
          <w:color w:val="000000"/>
        </w:rPr>
        <w:t> </w:t>
      </w:r>
      <w:r w:rsidRPr="00D04025">
        <w:rPr>
          <w:rFonts w:eastAsia="Arial" w:cs="Arial"/>
          <w:color w:val="000000"/>
        </w:rPr>
        <w:t>3133/</w:t>
      </w:r>
      <w:r>
        <w:rPr>
          <w:rFonts w:eastAsia="Arial" w:cs="Arial"/>
          <w:color w:val="000000"/>
        </w:rPr>
        <w:t>20</w:t>
      </w:r>
      <w:r w:rsidRPr="00D04025">
        <w:rPr>
          <w:rFonts w:eastAsia="Arial" w:cs="Arial"/>
          <w:color w:val="000000"/>
        </w:rPr>
        <w:t>11</w:t>
      </w:r>
      <w:r>
        <w:rPr>
          <w:rFonts w:eastAsia="Arial" w:cs="Arial"/>
          <w:color w:val="000000"/>
        </w:rPr>
        <w:t>, ambos</w:t>
      </w:r>
      <w:r w:rsidRPr="00D04025">
        <w:rPr>
          <w:rFonts w:eastAsia="Arial" w:cs="Arial"/>
          <w:color w:val="000000"/>
        </w:rPr>
        <w:t xml:space="preserve"> </w:t>
      </w:r>
      <w:r>
        <w:rPr>
          <w:rFonts w:eastAsia="Arial" w:cs="Arial"/>
          <w:color w:val="000000"/>
        </w:rPr>
        <w:t xml:space="preserve">do </w:t>
      </w:r>
      <w:r w:rsidRPr="00D04025">
        <w:rPr>
          <w:rFonts w:eastAsia="Arial" w:cs="Arial"/>
          <w:color w:val="000000"/>
        </w:rPr>
        <w:t>TCE</w:t>
      </w:r>
      <w:r>
        <w:rPr>
          <w:rFonts w:eastAsia="Arial" w:cs="Arial"/>
          <w:color w:val="000000"/>
        </w:rPr>
        <w:t>/</w:t>
      </w:r>
      <w:r w:rsidRPr="00D04025">
        <w:rPr>
          <w:rFonts w:eastAsia="Arial" w:cs="Arial"/>
          <w:color w:val="000000"/>
        </w:rPr>
        <w:t>GO. Portanto, desde o 3º quadrimestre de 2021, o art. 2º da LCE nº 112/2014 vem sendo considerado nas análises dos limites de despesa com pessoal da Alego e do TCM/GO. Reforça-se que este entendimento poderá ser reformulado após decisão específica do TCE/GO sobre eventual inconstitucionalidade do art. 2º da LCE nº 112/2014.</w:t>
      </w:r>
    </w:p>
    <w:p w14:paraId="08C18F3B" w14:textId="77777777" w:rsidR="00335D8A" w:rsidRPr="001C305A" w:rsidRDefault="00335D8A" w:rsidP="00284F6D">
      <w:pPr>
        <w:pStyle w:val="1-REL11"/>
        <w:spacing w:before="280" w:after="280" w:line="300" w:lineRule="auto"/>
      </w:pPr>
      <w:r w:rsidRPr="00D04025">
        <w:t>Dessa forma, os limites dos Órgãos Autônomos ligados ao Poder Legislativo, cujo total alcança 3,40% da RCL, são assim considerados na presente análise:</w:t>
      </w:r>
    </w:p>
    <w:p w14:paraId="04A08BDA" w14:textId="77777777" w:rsidR="00335D8A" w:rsidRPr="001C305A" w:rsidRDefault="00335D8A" w:rsidP="00ED3571">
      <w:pPr>
        <w:pStyle w:val="0-TABELA"/>
        <w:rPr>
          <w:b/>
        </w:rPr>
      </w:pPr>
      <w:bookmarkStart w:id="115" w:name="_Toc167871746"/>
      <w:r w:rsidRPr="001C305A">
        <w:t>Limites da Despesa com Pessoal – Órgãos</w:t>
      </w:r>
      <w:r>
        <w:t xml:space="preserve"> Autônomos</w:t>
      </w:r>
      <w:r w:rsidRPr="001C305A">
        <w:t xml:space="preserve"> do Poder Legislativo</w:t>
      </w:r>
      <w:bookmarkEnd w:id="115"/>
    </w:p>
    <w:tbl>
      <w:tblPr>
        <w:tblW w:w="5000" w:type="pct"/>
        <w:tblBorders>
          <w:top w:val="single" w:sz="4" w:space="0" w:color="333300"/>
          <w:bottom w:val="single" w:sz="4" w:space="0" w:color="333300"/>
          <w:insideV w:val="single" w:sz="4" w:space="0" w:color="333300"/>
        </w:tblBorders>
        <w:tblCellMar>
          <w:left w:w="70" w:type="dxa"/>
          <w:right w:w="70" w:type="dxa"/>
        </w:tblCellMar>
        <w:tblLook w:val="0000" w:firstRow="0" w:lastRow="0" w:firstColumn="0" w:lastColumn="0" w:noHBand="0" w:noVBand="0"/>
      </w:tblPr>
      <w:tblGrid>
        <w:gridCol w:w="7017"/>
        <w:gridCol w:w="2336"/>
      </w:tblGrid>
      <w:tr w:rsidR="00335D8A" w:rsidRPr="00BE6A5D" w14:paraId="682AFEDD" w14:textId="77777777" w:rsidTr="00284F6D">
        <w:trPr>
          <w:cantSplit/>
          <w:trHeight w:val="284"/>
          <w:tblHeader/>
        </w:trPr>
        <w:tc>
          <w:tcPr>
            <w:tcW w:w="3751" w:type="pct"/>
            <w:tcBorders>
              <w:top w:val="single" w:sz="4" w:space="0" w:color="333300"/>
              <w:bottom w:val="single" w:sz="4" w:space="0" w:color="333300"/>
            </w:tcBorders>
            <w:shd w:val="clear" w:color="auto" w:fill="A1F2FD"/>
            <w:tcMar>
              <w:top w:w="28" w:type="dxa"/>
              <w:bottom w:w="28" w:type="dxa"/>
            </w:tcMar>
            <w:vAlign w:val="center"/>
          </w:tcPr>
          <w:p w14:paraId="1E21CD44" w14:textId="77777777" w:rsidR="00335D8A" w:rsidRPr="00BE6A5D" w:rsidRDefault="00335D8A" w:rsidP="00335D8A">
            <w:pPr>
              <w:pStyle w:val="Corpodetexto"/>
              <w:spacing w:line="276" w:lineRule="auto"/>
              <w:ind w:left="-70"/>
              <w:jc w:val="center"/>
              <w:rPr>
                <w:rFonts w:cs="Arial"/>
                <w:b/>
                <w:bCs/>
                <w:sz w:val="20"/>
                <w:szCs w:val="20"/>
              </w:rPr>
            </w:pPr>
            <w:r w:rsidRPr="00BE6A5D">
              <w:rPr>
                <w:rFonts w:cs="Arial"/>
                <w:b/>
                <w:bCs/>
                <w:sz w:val="20"/>
                <w:szCs w:val="20"/>
              </w:rPr>
              <w:t>Órgão Autônomo</w:t>
            </w:r>
          </w:p>
        </w:tc>
        <w:tc>
          <w:tcPr>
            <w:tcW w:w="1249" w:type="pct"/>
            <w:tcBorders>
              <w:top w:val="single" w:sz="4" w:space="0" w:color="333300"/>
              <w:bottom w:val="single" w:sz="4" w:space="0" w:color="333300"/>
            </w:tcBorders>
            <w:shd w:val="clear" w:color="auto" w:fill="A1F2FD"/>
            <w:tcMar>
              <w:top w:w="28" w:type="dxa"/>
              <w:bottom w:w="28" w:type="dxa"/>
            </w:tcMar>
            <w:vAlign w:val="center"/>
          </w:tcPr>
          <w:p w14:paraId="11CC5D7B" w14:textId="77777777" w:rsidR="00335D8A" w:rsidRPr="00BE6A5D" w:rsidRDefault="00335D8A" w:rsidP="00335D8A">
            <w:pPr>
              <w:pStyle w:val="Corpodetexto"/>
              <w:spacing w:line="276" w:lineRule="auto"/>
              <w:jc w:val="center"/>
              <w:rPr>
                <w:rFonts w:cs="Arial"/>
                <w:b/>
                <w:bCs/>
                <w:sz w:val="20"/>
                <w:szCs w:val="20"/>
              </w:rPr>
            </w:pPr>
            <w:r w:rsidRPr="00BE6A5D">
              <w:rPr>
                <w:rFonts w:cs="Arial"/>
                <w:b/>
                <w:bCs/>
                <w:sz w:val="20"/>
                <w:szCs w:val="20"/>
              </w:rPr>
              <w:t>% em Relação à RCL</w:t>
            </w:r>
          </w:p>
        </w:tc>
      </w:tr>
      <w:tr w:rsidR="00335D8A" w:rsidRPr="00BE6A5D" w14:paraId="08ED40BB" w14:textId="77777777" w:rsidTr="00284F6D">
        <w:trPr>
          <w:cantSplit/>
          <w:trHeight w:val="284"/>
        </w:trPr>
        <w:tc>
          <w:tcPr>
            <w:tcW w:w="3751" w:type="pct"/>
            <w:tcBorders>
              <w:top w:val="single" w:sz="4" w:space="0" w:color="333300"/>
            </w:tcBorders>
            <w:tcMar>
              <w:top w:w="28" w:type="dxa"/>
              <w:bottom w:w="28" w:type="dxa"/>
            </w:tcMar>
            <w:vAlign w:val="center"/>
          </w:tcPr>
          <w:p w14:paraId="5480538E" w14:textId="77777777" w:rsidR="00335D8A" w:rsidRPr="00BE6A5D" w:rsidRDefault="00335D8A" w:rsidP="00335D8A">
            <w:pPr>
              <w:spacing w:line="276" w:lineRule="auto"/>
              <w:outlineLvl w:val="0"/>
              <w:rPr>
                <w:rFonts w:cs="Arial"/>
                <w:sz w:val="20"/>
                <w:szCs w:val="20"/>
              </w:rPr>
            </w:pPr>
            <w:r w:rsidRPr="00BE6A5D">
              <w:rPr>
                <w:rFonts w:cs="Arial"/>
                <w:sz w:val="20"/>
                <w:szCs w:val="20"/>
              </w:rPr>
              <w:t>Assembleia Legislativa</w:t>
            </w:r>
          </w:p>
        </w:tc>
        <w:tc>
          <w:tcPr>
            <w:tcW w:w="1249" w:type="pct"/>
            <w:tcBorders>
              <w:top w:val="single" w:sz="4" w:space="0" w:color="333300"/>
            </w:tcBorders>
            <w:tcMar>
              <w:top w:w="28" w:type="dxa"/>
              <w:bottom w:w="28" w:type="dxa"/>
            </w:tcMar>
            <w:vAlign w:val="center"/>
          </w:tcPr>
          <w:p w14:paraId="5A123E4F" w14:textId="77777777" w:rsidR="00335D8A" w:rsidRPr="00BE6A5D" w:rsidRDefault="00335D8A" w:rsidP="00335D8A">
            <w:pPr>
              <w:spacing w:line="276" w:lineRule="auto"/>
              <w:jc w:val="center"/>
              <w:outlineLvl w:val="0"/>
              <w:rPr>
                <w:rFonts w:cs="Arial"/>
                <w:sz w:val="20"/>
                <w:szCs w:val="20"/>
              </w:rPr>
            </w:pPr>
            <w:r w:rsidRPr="00BE6A5D">
              <w:rPr>
                <w:rFonts w:cs="Arial"/>
                <w:sz w:val="20"/>
                <w:szCs w:val="20"/>
              </w:rPr>
              <w:t>1,50</w:t>
            </w:r>
          </w:p>
        </w:tc>
      </w:tr>
      <w:tr w:rsidR="00335D8A" w:rsidRPr="00BE6A5D" w14:paraId="01B3B7E0" w14:textId="77777777" w:rsidTr="00284F6D">
        <w:trPr>
          <w:cantSplit/>
          <w:trHeight w:val="284"/>
        </w:trPr>
        <w:tc>
          <w:tcPr>
            <w:tcW w:w="3751" w:type="pct"/>
            <w:tcMar>
              <w:top w:w="28" w:type="dxa"/>
              <w:bottom w:w="28" w:type="dxa"/>
            </w:tcMar>
            <w:vAlign w:val="center"/>
          </w:tcPr>
          <w:p w14:paraId="10D90C38" w14:textId="77777777" w:rsidR="00335D8A" w:rsidRPr="00BE6A5D" w:rsidRDefault="00335D8A" w:rsidP="00335D8A">
            <w:pPr>
              <w:spacing w:line="276" w:lineRule="auto"/>
              <w:outlineLvl w:val="0"/>
              <w:rPr>
                <w:rFonts w:cs="Arial"/>
                <w:sz w:val="20"/>
                <w:szCs w:val="20"/>
              </w:rPr>
            </w:pPr>
            <w:r w:rsidRPr="00BE6A5D">
              <w:rPr>
                <w:rFonts w:cs="Arial"/>
                <w:sz w:val="20"/>
                <w:szCs w:val="20"/>
              </w:rPr>
              <w:t>Tribunal de Contas do Estado</w:t>
            </w:r>
          </w:p>
        </w:tc>
        <w:tc>
          <w:tcPr>
            <w:tcW w:w="1249" w:type="pct"/>
            <w:tcMar>
              <w:top w:w="28" w:type="dxa"/>
              <w:bottom w:w="28" w:type="dxa"/>
            </w:tcMar>
            <w:vAlign w:val="center"/>
          </w:tcPr>
          <w:p w14:paraId="71B6825A" w14:textId="77777777" w:rsidR="00335D8A" w:rsidRPr="00BE6A5D" w:rsidRDefault="00335D8A" w:rsidP="00335D8A">
            <w:pPr>
              <w:spacing w:line="276" w:lineRule="auto"/>
              <w:jc w:val="center"/>
              <w:outlineLvl w:val="0"/>
              <w:rPr>
                <w:rFonts w:cs="Arial"/>
                <w:sz w:val="20"/>
                <w:szCs w:val="20"/>
              </w:rPr>
            </w:pPr>
            <w:r w:rsidRPr="00BE6A5D">
              <w:rPr>
                <w:rFonts w:cs="Arial"/>
                <w:sz w:val="20"/>
                <w:szCs w:val="20"/>
              </w:rPr>
              <w:t>1,35</w:t>
            </w:r>
          </w:p>
        </w:tc>
      </w:tr>
      <w:tr w:rsidR="00335D8A" w:rsidRPr="00BE6A5D" w14:paraId="7805A7BA" w14:textId="77777777" w:rsidTr="00284F6D">
        <w:trPr>
          <w:cantSplit/>
          <w:trHeight w:val="284"/>
        </w:trPr>
        <w:tc>
          <w:tcPr>
            <w:tcW w:w="3751" w:type="pct"/>
            <w:tcBorders>
              <w:bottom w:val="single" w:sz="4" w:space="0" w:color="auto"/>
            </w:tcBorders>
            <w:tcMar>
              <w:top w:w="28" w:type="dxa"/>
              <w:bottom w:w="28" w:type="dxa"/>
            </w:tcMar>
            <w:vAlign w:val="center"/>
          </w:tcPr>
          <w:p w14:paraId="66A1C58B" w14:textId="77777777" w:rsidR="00335D8A" w:rsidRPr="00BE6A5D" w:rsidRDefault="00335D8A" w:rsidP="00335D8A">
            <w:pPr>
              <w:spacing w:line="276" w:lineRule="auto"/>
              <w:outlineLvl w:val="0"/>
              <w:rPr>
                <w:rFonts w:cs="Arial"/>
                <w:sz w:val="20"/>
                <w:szCs w:val="20"/>
              </w:rPr>
            </w:pPr>
            <w:r w:rsidRPr="00BE6A5D">
              <w:rPr>
                <w:rFonts w:cs="Arial"/>
                <w:sz w:val="20"/>
                <w:szCs w:val="20"/>
              </w:rPr>
              <w:t>Tribunal de Contas dos Municípios</w:t>
            </w:r>
          </w:p>
        </w:tc>
        <w:tc>
          <w:tcPr>
            <w:tcW w:w="1249" w:type="pct"/>
            <w:tcBorders>
              <w:bottom w:val="single" w:sz="4" w:space="0" w:color="auto"/>
            </w:tcBorders>
            <w:tcMar>
              <w:top w:w="28" w:type="dxa"/>
              <w:bottom w:w="28" w:type="dxa"/>
            </w:tcMar>
            <w:vAlign w:val="center"/>
          </w:tcPr>
          <w:p w14:paraId="6724560A" w14:textId="77777777" w:rsidR="00335D8A" w:rsidRPr="00BE6A5D" w:rsidRDefault="00335D8A" w:rsidP="00335D8A">
            <w:pPr>
              <w:spacing w:line="276" w:lineRule="auto"/>
              <w:jc w:val="center"/>
              <w:outlineLvl w:val="0"/>
              <w:rPr>
                <w:rFonts w:cs="Arial"/>
                <w:sz w:val="20"/>
                <w:szCs w:val="20"/>
              </w:rPr>
            </w:pPr>
            <w:r w:rsidRPr="00BE6A5D">
              <w:rPr>
                <w:rFonts w:cs="Arial"/>
                <w:sz w:val="20"/>
                <w:szCs w:val="20"/>
              </w:rPr>
              <w:t>0,55</w:t>
            </w:r>
          </w:p>
        </w:tc>
      </w:tr>
      <w:tr w:rsidR="00335D8A" w:rsidRPr="00BE6A5D" w14:paraId="5D0D94D5" w14:textId="77777777" w:rsidTr="00284F6D">
        <w:trPr>
          <w:cantSplit/>
          <w:trHeight w:val="284"/>
        </w:trPr>
        <w:tc>
          <w:tcPr>
            <w:tcW w:w="3751" w:type="pct"/>
            <w:tcBorders>
              <w:top w:val="single" w:sz="4" w:space="0" w:color="auto"/>
              <w:bottom w:val="single" w:sz="4" w:space="0" w:color="333300"/>
            </w:tcBorders>
            <w:tcMar>
              <w:top w:w="28" w:type="dxa"/>
              <w:bottom w:w="28" w:type="dxa"/>
            </w:tcMar>
            <w:vAlign w:val="center"/>
          </w:tcPr>
          <w:p w14:paraId="0C009292" w14:textId="77777777" w:rsidR="00335D8A" w:rsidRPr="00BE6A5D" w:rsidRDefault="00335D8A" w:rsidP="00335D8A">
            <w:pPr>
              <w:spacing w:line="276" w:lineRule="auto"/>
              <w:jc w:val="center"/>
              <w:outlineLvl w:val="0"/>
              <w:rPr>
                <w:rFonts w:cs="Arial"/>
                <w:b/>
                <w:sz w:val="20"/>
                <w:szCs w:val="20"/>
              </w:rPr>
            </w:pPr>
            <w:r w:rsidRPr="00BE6A5D">
              <w:rPr>
                <w:rFonts w:cs="Arial"/>
                <w:b/>
                <w:sz w:val="20"/>
                <w:szCs w:val="20"/>
              </w:rPr>
              <w:t>Total</w:t>
            </w:r>
          </w:p>
        </w:tc>
        <w:tc>
          <w:tcPr>
            <w:tcW w:w="1249" w:type="pct"/>
            <w:tcBorders>
              <w:top w:val="single" w:sz="4" w:space="0" w:color="auto"/>
              <w:bottom w:val="single" w:sz="4" w:space="0" w:color="333300"/>
            </w:tcBorders>
            <w:tcMar>
              <w:top w:w="28" w:type="dxa"/>
              <w:bottom w:w="28" w:type="dxa"/>
            </w:tcMar>
            <w:vAlign w:val="center"/>
          </w:tcPr>
          <w:p w14:paraId="0D03923B" w14:textId="77777777" w:rsidR="00335D8A" w:rsidRPr="00BE6A5D" w:rsidRDefault="00335D8A" w:rsidP="00335D8A">
            <w:pPr>
              <w:spacing w:line="276" w:lineRule="auto"/>
              <w:jc w:val="center"/>
              <w:outlineLvl w:val="0"/>
              <w:rPr>
                <w:rFonts w:cs="Arial"/>
                <w:b/>
                <w:sz w:val="20"/>
                <w:szCs w:val="20"/>
              </w:rPr>
            </w:pPr>
            <w:r w:rsidRPr="00BE6A5D">
              <w:rPr>
                <w:rFonts w:cs="Arial"/>
                <w:b/>
                <w:sz w:val="20"/>
                <w:szCs w:val="20"/>
              </w:rPr>
              <w:t>3,40</w:t>
            </w:r>
          </w:p>
        </w:tc>
      </w:tr>
    </w:tbl>
    <w:p w14:paraId="6D13A071" w14:textId="77777777" w:rsidR="00335D8A" w:rsidRPr="00A5108A" w:rsidRDefault="00335D8A" w:rsidP="00335D8A">
      <w:pPr>
        <w:pStyle w:val="1-FONTE8ESQ"/>
      </w:pPr>
      <w:r w:rsidRPr="00A5108A">
        <w:t>Fonte: Lei Complementar Estadual nº 112/2014</w:t>
      </w:r>
    </w:p>
    <w:p w14:paraId="24FF12ED" w14:textId="77777777" w:rsidR="00335D8A" w:rsidRPr="001C305A" w:rsidRDefault="00335D8A" w:rsidP="00A224E9">
      <w:pPr>
        <w:pStyle w:val="Ttulo3"/>
      </w:pPr>
      <w:bookmarkStart w:id="116" w:name="_Toc167871642"/>
      <w:r w:rsidRPr="001C305A">
        <w:t>Apuração Consolidada do Limite da Despesa com Pessoal</w:t>
      </w:r>
      <w:bookmarkEnd w:id="116"/>
    </w:p>
    <w:p w14:paraId="6885DBF2" w14:textId="77777777" w:rsidR="00335D8A" w:rsidRPr="001C305A" w:rsidRDefault="00335D8A" w:rsidP="00335D8A">
      <w:pPr>
        <w:pStyle w:val="1-REL11"/>
      </w:pPr>
      <w:r w:rsidRPr="001C305A">
        <w:t>A LRF consigna aos estados o limite máximo de 60% da RCL para gastos com pessoal. Portanto, as despesas com pessoal representam uma parte expressiva do dispêndio governamental, pois parte considerável dos recursos públicos é alocado para o capital humano, e este, por sua vez, é essencial para o funcionamento da máquina pública.</w:t>
      </w:r>
    </w:p>
    <w:p w14:paraId="7253C88C" w14:textId="0908B03C" w:rsidR="00335D8A" w:rsidRDefault="00335D8A" w:rsidP="00335D8A">
      <w:pPr>
        <w:pStyle w:val="1-REL11"/>
      </w:pPr>
      <w:r w:rsidRPr="001C305A">
        <w:t>Apresenta-se na tabela seguinte, de forma consolidada, os gastos com pessoal dos Poderes e Órgãos</w:t>
      </w:r>
      <w:r>
        <w:t xml:space="preserve"> Autônomos</w:t>
      </w:r>
      <w:r w:rsidRPr="001C305A">
        <w:t>. A coluna “</w:t>
      </w:r>
      <w:r w:rsidR="00086DE4">
        <w:t>b</w:t>
      </w:r>
      <w:r w:rsidRPr="001C305A">
        <w:t>” evidencia o percentual atingido, tendo como referência o 3º quadrimestre de 2023, enquanto as colunas “</w:t>
      </w:r>
      <w:r w:rsidR="00086DE4">
        <w:t>c</w:t>
      </w:r>
      <w:r w:rsidRPr="001C305A">
        <w:t>” e “</w:t>
      </w:r>
      <w:r w:rsidR="00086DE4">
        <w:t>d</w:t>
      </w:r>
      <w:r w:rsidRPr="001C305A">
        <w:t>” estabelecem os limites máximos e de alerta, respectivamente.</w:t>
      </w:r>
    </w:p>
    <w:p w14:paraId="1341A9CF" w14:textId="77777777" w:rsidR="00335D8A" w:rsidRPr="001C305A" w:rsidRDefault="00335D8A" w:rsidP="00ED3571">
      <w:pPr>
        <w:pStyle w:val="0-TABELA"/>
        <w:rPr>
          <w:b/>
        </w:rPr>
      </w:pPr>
      <w:bookmarkStart w:id="117" w:name="_Toc167871747"/>
      <w:r w:rsidRPr="001C305A">
        <w:t xml:space="preserve">Apuração do </w:t>
      </w:r>
      <w:r>
        <w:t>L</w:t>
      </w:r>
      <w:r w:rsidRPr="001C305A">
        <w:t xml:space="preserve">imite da </w:t>
      </w:r>
      <w:r>
        <w:t>D</w:t>
      </w:r>
      <w:r w:rsidRPr="001C305A">
        <w:t xml:space="preserve">espesa com </w:t>
      </w:r>
      <w:r>
        <w:t>P</w:t>
      </w:r>
      <w:r w:rsidRPr="001C305A">
        <w:t xml:space="preserve">essoal </w:t>
      </w:r>
      <w:r>
        <w:t>D</w:t>
      </w:r>
      <w:r w:rsidRPr="001C305A">
        <w:t>etalhada</w:t>
      </w:r>
      <w:bookmarkEnd w:id="117"/>
    </w:p>
    <w:p w14:paraId="27747E78" w14:textId="77777777" w:rsidR="00335D8A" w:rsidRPr="001C305A" w:rsidRDefault="00335D8A" w:rsidP="00335D8A">
      <w:pPr>
        <w:spacing w:line="276" w:lineRule="auto"/>
        <w:jc w:val="right"/>
        <w:rPr>
          <w:rFonts w:cs="Arial"/>
          <w:sz w:val="16"/>
          <w:szCs w:val="16"/>
        </w:rPr>
      </w:pPr>
      <w:r>
        <w:rPr>
          <w:rFonts w:cs="Arial"/>
          <w:sz w:val="16"/>
          <w:szCs w:val="16"/>
        </w:rPr>
        <w:t>R$ mil</w:t>
      </w:r>
    </w:p>
    <w:tbl>
      <w:tblPr>
        <w:tblW w:w="5000" w:type="pct"/>
        <w:tblCellMar>
          <w:left w:w="70" w:type="dxa"/>
          <w:right w:w="70" w:type="dxa"/>
        </w:tblCellMar>
        <w:tblLook w:val="04A0" w:firstRow="1" w:lastRow="0" w:firstColumn="1" w:lastColumn="0" w:noHBand="0" w:noVBand="1"/>
      </w:tblPr>
      <w:tblGrid>
        <w:gridCol w:w="3364"/>
        <w:gridCol w:w="1315"/>
        <w:gridCol w:w="1023"/>
        <w:gridCol w:w="1023"/>
        <w:gridCol w:w="1315"/>
        <w:gridCol w:w="1313"/>
      </w:tblGrid>
      <w:tr w:rsidR="00335D8A" w:rsidRPr="00BE6A5D" w14:paraId="29C3E091" w14:textId="77777777" w:rsidTr="00904809">
        <w:trPr>
          <w:trHeight w:val="510"/>
          <w:tblHeader/>
        </w:trPr>
        <w:tc>
          <w:tcPr>
            <w:tcW w:w="1798" w:type="pct"/>
            <w:vMerge w:val="restart"/>
            <w:tcBorders>
              <w:top w:val="single" w:sz="8" w:space="0" w:color="auto"/>
              <w:left w:val="nil"/>
              <w:bottom w:val="single" w:sz="8" w:space="0" w:color="000000"/>
              <w:right w:val="single" w:sz="8" w:space="0" w:color="auto"/>
            </w:tcBorders>
            <w:shd w:val="clear" w:color="000000" w:fill="A1F2FD"/>
            <w:vAlign w:val="center"/>
            <w:hideMark/>
          </w:tcPr>
          <w:p w14:paraId="3B24870E" w14:textId="77777777" w:rsidR="00335D8A" w:rsidRPr="00BE6A5D" w:rsidRDefault="00335D8A" w:rsidP="00335D8A">
            <w:pPr>
              <w:jc w:val="center"/>
              <w:rPr>
                <w:rFonts w:cs="Arial"/>
                <w:b/>
                <w:bCs/>
                <w:sz w:val="20"/>
                <w:szCs w:val="20"/>
              </w:rPr>
            </w:pPr>
            <w:r w:rsidRPr="00BE6A5D">
              <w:rPr>
                <w:rFonts w:cs="Arial"/>
                <w:b/>
                <w:bCs/>
                <w:sz w:val="20"/>
                <w:szCs w:val="20"/>
              </w:rPr>
              <w:t>Poderes/Órgãos Autônomos</w:t>
            </w:r>
          </w:p>
        </w:tc>
        <w:tc>
          <w:tcPr>
            <w:tcW w:w="703" w:type="pct"/>
            <w:tcBorders>
              <w:top w:val="single" w:sz="8" w:space="0" w:color="auto"/>
              <w:left w:val="single" w:sz="8" w:space="0" w:color="auto"/>
              <w:right w:val="single" w:sz="8" w:space="0" w:color="auto"/>
            </w:tcBorders>
            <w:shd w:val="clear" w:color="000000" w:fill="A1F2FD"/>
            <w:vAlign w:val="center"/>
            <w:hideMark/>
          </w:tcPr>
          <w:p w14:paraId="035DE62D" w14:textId="77777777" w:rsidR="00335D8A" w:rsidRPr="00BE6A5D" w:rsidRDefault="00335D8A" w:rsidP="00335D8A">
            <w:pPr>
              <w:jc w:val="center"/>
              <w:rPr>
                <w:rFonts w:cs="Arial"/>
                <w:b/>
                <w:bCs/>
                <w:sz w:val="20"/>
                <w:szCs w:val="20"/>
              </w:rPr>
            </w:pPr>
            <w:r w:rsidRPr="00BE6A5D">
              <w:rPr>
                <w:rFonts w:cs="Arial"/>
                <w:b/>
                <w:bCs/>
                <w:sz w:val="20"/>
                <w:szCs w:val="20"/>
              </w:rPr>
              <w:t>Despesa Líquida com Pessoal</w:t>
            </w:r>
          </w:p>
        </w:tc>
        <w:tc>
          <w:tcPr>
            <w:tcW w:w="547" w:type="pct"/>
            <w:tcBorders>
              <w:top w:val="single" w:sz="8" w:space="0" w:color="auto"/>
              <w:left w:val="nil"/>
              <w:right w:val="single" w:sz="8" w:space="0" w:color="auto"/>
            </w:tcBorders>
            <w:shd w:val="clear" w:color="000000" w:fill="A1F2FD"/>
            <w:vAlign w:val="center"/>
            <w:hideMark/>
          </w:tcPr>
          <w:p w14:paraId="445407C4" w14:textId="77777777" w:rsidR="00335D8A" w:rsidRPr="00BE6A5D" w:rsidRDefault="00335D8A" w:rsidP="00335D8A">
            <w:pPr>
              <w:jc w:val="center"/>
              <w:rPr>
                <w:rFonts w:cs="Arial"/>
                <w:b/>
                <w:bCs/>
                <w:sz w:val="20"/>
                <w:szCs w:val="20"/>
              </w:rPr>
            </w:pPr>
            <w:r w:rsidRPr="00BE6A5D">
              <w:rPr>
                <w:rFonts w:cs="Arial"/>
                <w:b/>
                <w:bCs/>
                <w:sz w:val="20"/>
                <w:szCs w:val="20"/>
              </w:rPr>
              <w:t>DLP/RCL</w:t>
            </w:r>
          </w:p>
          <w:p w14:paraId="66BAC59D" w14:textId="77777777" w:rsidR="00335D8A" w:rsidRPr="00BE6A5D" w:rsidRDefault="00335D8A" w:rsidP="00335D8A">
            <w:pPr>
              <w:jc w:val="center"/>
              <w:rPr>
                <w:rFonts w:cs="Arial"/>
                <w:b/>
                <w:bCs/>
                <w:sz w:val="20"/>
                <w:szCs w:val="20"/>
              </w:rPr>
            </w:pPr>
            <w:r w:rsidRPr="00BE6A5D">
              <w:rPr>
                <w:rFonts w:cs="Arial"/>
                <w:b/>
                <w:bCs/>
                <w:sz w:val="20"/>
                <w:szCs w:val="20"/>
              </w:rPr>
              <w:t>%</w:t>
            </w:r>
          </w:p>
        </w:tc>
        <w:tc>
          <w:tcPr>
            <w:tcW w:w="547" w:type="pct"/>
            <w:tcBorders>
              <w:top w:val="single" w:sz="8" w:space="0" w:color="auto"/>
              <w:left w:val="nil"/>
              <w:right w:val="single" w:sz="8" w:space="0" w:color="auto"/>
            </w:tcBorders>
            <w:shd w:val="clear" w:color="000000" w:fill="A1F2FD"/>
            <w:vAlign w:val="center"/>
            <w:hideMark/>
          </w:tcPr>
          <w:p w14:paraId="263C08F4" w14:textId="77777777" w:rsidR="00335D8A" w:rsidRPr="00BE6A5D" w:rsidRDefault="00335D8A" w:rsidP="00335D8A">
            <w:pPr>
              <w:jc w:val="center"/>
              <w:rPr>
                <w:rFonts w:cs="Arial"/>
                <w:b/>
                <w:bCs/>
                <w:sz w:val="20"/>
                <w:szCs w:val="20"/>
              </w:rPr>
            </w:pPr>
            <w:r w:rsidRPr="00BE6A5D">
              <w:rPr>
                <w:rFonts w:cs="Arial"/>
                <w:b/>
                <w:bCs/>
                <w:sz w:val="20"/>
                <w:szCs w:val="20"/>
              </w:rPr>
              <w:t>Limite Máximo</w:t>
            </w:r>
          </w:p>
          <w:p w14:paraId="68304836" w14:textId="77777777" w:rsidR="00335D8A" w:rsidRPr="00BE6A5D" w:rsidRDefault="00335D8A" w:rsidP="00335D8A">
            <w:pPr>
              <w:jc w:val="center"/>
              <w:rPr>
                <w:rFonts w:cs="Arial"/>
                <w:b/>
                <w:bCs/>
                <w:sz w:val="20"/>
                <w:szCs w:val="20"/>
              </w:rPr>
            </w:pPr>
            <w:r w:rsidRPr="00BE6A5D">
              <w:rPr>
                <w:rFonts w:cs="Arial"/>
                <w:b/>
                <w:bCs/>
                <w:sz w:val="20"/>
                <w:szCs w:val="20"/>
              </w:rPr>
              <w:t>%</w:t>
            </w:r>
          </w:p>
        </w:tc>
        <w:tc>
          <w:tcPr>
            <w:tcW w:w="703" w:type="pct"/>
            <w:tcBorders>
              <w:top w:val="single" w:sz="8" w:space="0" w:color="auto"/>
              <w:left w:val="nil"/>
              <w:right w:val="single" w:sz="8" w:space="0" w:color="auto"/>
            </w:tcBorders>
            <w:shd w:val="clear" w:color="000000" w:fill="A1F2FD"/>
            <w:vAlign w:val="center"/>
            <w:hideMark/>
          </w:tcPr>
          <w:p w14:paraId="1F4F3C13" w14:textId="77777777" w:rsidR="00335D8A" w:rsidRPr="00BE6A5D" w:rsidRDefault="00335D8A" w:rsidP="00335D8A">
            <w:pPr>
              <w:jc w:val="center"/>
              <w:rPr>
                <w:rFonts w:cs="Arial"/>
                <w:b/>
                <w:bCs/>
                <w:sz w:val="20"/>
                <w:szCs w:val="20"/>
              </w:rPr>
            </w:pPr>
            <w:r w:rsidRPr="00BE6A5D">
              <w:rPr>
                <w:rFonts w:cs="Arial"/>
                <w:b/>
                <w:bCs/>
                <w:sz w:val="20"/>
                <w:szCs w:val="20"/>
              </w:rPr>
              <w:t>Limite de Alerta</w:t>
            </w:r>
          </w:p>
          <w:p w14:paraId="3DC0736D" w14:textId="77777777" w:rsidR="00335D8A" w:rsidRPr="00BE6A5D" w:rsidRDefault="00335D8A" w:rsidP="00335D8A">
            <w:pPr>
              <w:jc w:val="center"/>
              <w:rPr>
                <w:rFonts w:cs="Arial"/>
                <w:b/>
                <w:bCs/>
                <w:sz w:val="20"/>
                <w:szCs w:val="20"/>
              </w:rPr>
            </w:pPr>
            <w:r w:rsidRPr="00BE6A5D">
              <w:rPr>
                <w:rFonts w:cs="Arial"/>
                <w:b/>
                <w:bCs/>
                <w:sz w:val="20"/>
                <w:szCs w:val="20"/>
              </w:rPr>
              <w:t>%</w:t>
            </w:r>
          </w:p>
        </w:tc>
        <w:tc>
          <w:tcPr>
            <w:tcW w:w="702" w:type="pct"/>
            <w:tcBorders>
              <w:top w:val="single" w:sz="8" w:space="0" w:color="auto"/>
              <w:left w:val="nil"/>
            </w:tcBorders>
            <w:shd w:val="clear" w:color="000000" w:fill="A1F2FD"/>
            <w:vAlign w:val="center"/>
            <w:hideMark/>
          </w:tcPr>
          <w:p w14:paraId="1B19043A" w14:textId="77777777" w:rsidR="00335D8A" w:rsidRPr="00BE6A5D" w:rsidRDefault="00335D8A" w:rsidP="00335D8A">
            <w:pPr>
              <w:jc w:val="center"/>
              <w:rPr>
                <w:rFonts w:cs="Arial"/>
                <w:b/>
                <w:bCs/>
                <w:sz w:val="20"/>
                <w:szCs w:val="20"/>
              </w:rPr>
            </w:pPr>
            <w:r w:rsidRPr="00BE6A5D">
              <w:rPr>
                <w:rFonts w:cs="Arial"/>
                <w:b/>
                <w:bCs/>
                <w:sz w:val="20"/>
                <w:szCs w:val="20"/>
              </w:rPr>
              <w:t>Realizado/ Limite Máximo %</w:t>
            </w:r>
          </w:p>
        </w:tc>
      </w:tr>
      <w:tr w:rsidR="00335D8A" w:rsidRPr="00BE6A5D" w14:paraId="48616BA9" w14:textId="77777777" w:rsidTr="00904809">
        <w:trPr>
          <w:trHeight w:val="315"/>
          <w:tblHeader/>
        </w:trPr>
        <w:tc>
          <w:tcPr>
            <w:tcW w:w="1798" w:type="pct"/>
            <w:vMerge/>
            <w:tcBorders>
              <w:top w:val="single" w:sz="8" w:space="0" w:color="auto"/>
              <w:left w:val="nil"/>
              <w:bottom w:val="single" w:sz="8" w:space="0" w:color="000000"/>
              <w:right w:val="single" w:sz="8" w:space="0" w:color="auto"/>
            </w:tcBorders>
            <w:vAlign w:val="center"/>
            <w:hideMark/>
          </w:tcPr>
          <w:p w14:paraId="5A8AD6B1" w14:textId="77777777" w:rsidR="00335D8A" w:rsidRPr="00BE6A5D" w:rsidRDefault="00335D8A" w:rsidP="00335D8A">
            <w:pPr>
              <w:rPr>
                <w:rFonts w:cs="Arial"/>
                <w:b/>
                <w:bCs/>
                <w:sz w:val="20"/>
                <w:szCs w:val="20"/>
              </w:rPr>
            </w:pPr>
          </w:p>
        </w:tc>
        <w:tc>
          <w:tcPr>
            <w:tcW w:w="703" w:type="pct"/>
            <w:tcBorders>
              <w:left w:val="single" w:sz="8" w:space="0" w:color="auto"/>
              <w:bottom w:val="single" w:sz="8" w:space="0" w:color="000000"/>
              <w:right w:val="single" w:sz="8" w:space="0" w:color="auto"/>
            </w:tcBorders>
            <w:shd w:val="clear" w:color="auto" w:fill="A1F2FD"/>
            <w:vAlign w:val="center"/>
            <w:hideMark/>
          </w:tcPr>
          <w:p w14:paraId="1B5B3119" w14:textId="5698AE68" w:rsidR="00335D8A" w:rsidRPr="00BE6A5D" w:rsidRDefault="00284F6D" w:rsidP="00284F6D">
            <w:pPr>
              <w:jc w:val="center"/>
              <w:rPr>
                <w:rFonts w:cs="Arial"/>
                <w:b/>
                <w:bCs/>
                <w:sz w:val="20"/>
                <w:szCs w:val="20"/>
              </w:rPr>
            </w:pPr>
            <w:r w:rsidRPr="00BE6A5D">
              <w:rPr>
                <w:rFonts w:cs="Arial"/>
                <w:b/>
                <w:bCs/>
                <w:sz w:val="20"/>
                <w:szCs w:val="20"/>
              </w:rPr>
              <w:t>(a)</w:t>
            </w:r>
          </w:p>
        </w:tc>
        <w:tc>
          <w:tcPr>
            <w:tcW w:w="547" w:type="pct"/>
            <w:tcBorders>
              <w:left w:val="nil"/>
              <w:bottom w:val="single" w:sz="8" w:space="0" w:color="auto"/>
              <w:right w:val="single" w:sz="8" w:space="0" w:color="auto"/>
            </w:tcBorders>
            <w:shd w:val="clear" w:color="000000" w:fill="A1F2FD"/>
            <w:vAlign w:val="center"/>
            <w:hideMark/>
          </w:tcPr>
          <w:p w14:paraId="14775C09" w14:textId="002DA389" w:rsidR="00335D8A" w:rsidRPr="00BE6A5D" w:rsidRDefault="00335D8A" w:rsidP="00335D8A">
            <w:pPr>
              <w:jc w:val="center"/>
              <w:rPr>
                <w:rFonts w:cs="Arial"/>
                <w:b/>
                <w:bCs/>
                <w:sz w:val="20"/>
                <w:szCs w:val="20"/>
              </w:rPr>
            </w:pPr>
            <w:r w:rsidRPr="00BE6A5D">
              <w:rPr>
                <w:rFonts w:cs="Arial"/>
                <w:b/>
                <w:bCs/>
                <w:sz w:val="20"/>
                <w:szCs w:val="20"/>
              </w:rPr>
              <w:t>(</w:t>
            </w:r>
            <w:r w:rsidR="00284F6D" w:rsidRPr="00BE6A5D">
              <w:rPr>
                <w:rFonts w:cs="Arial"/>
                <w:b/>
                <w:bCs/>
                <w:sz w:val="20"/>
                <w:szCs w:val="20"/>
              </w:rPr>
              <w:t>b</w:t>
            </w:r>
            <w:r w:rsidRPr="00BE6A5D">
              <w:rPr>
                <w:rFonts w:cs="Arial"/>
                <w:b/>
                <w:bCs/>
                <w:sz w:val="20"/>
                <w:szCs w:val="20"/>
              </w:rPr>
              <w:t>)</w:t>
            </w:r>
          </w:p>
        </w:tc>
        <w:tc>
          <w:tcPr>
            <w:tcW w:w="547" w:type="pct"/>
            <w:tcBorders>
              <w:left w:val="nil"/>
              <w:bottom w:val="single" w:sz="8" w:space="0" w:color="auto"/>
              <w:right w:val="single" w:sz="8" w:space="0" w:color="auto"/>
            </w:tcBorders>
            <w:shd w:val="clear" w:color="000000" w:fill="A1F2FD"/>
            <w:vAlign w:val="center"/>
            <w:hideMark/>
          </w:tcPr>
          <w:p w14:paraId="4212717A" w14:textId="5BC84730" w:rsidR="00335D8A" w:rsidRPr="00BE6A5D" w:rsidRDefault="00335D8A" w:rsidP="00335D8A">
            <w:pPr>
              <w:jc w:val="center"/>
              <w:rPr>
                <w:rFonts w:cs="Arial"/>
                <w:b/>
                <w:bCs/>
                <w:sz w:val="20"/>
                <w:szCs w:val="20"/>
              </w:rPr>
            </w:pPr>
            <w:r w:rsidRPr="00BE6A5D">
              <w:rPr>
                <w:rFonts w:cs="Arial"/>
                <w:b/>
                <w:bCs/>
                <w:sz w:val="20"/>
                <w:szCs w:val="20"/>
              </w:rPr>
              <w:t>(</w:t>
            </w:r>
            <w:r w:rsidR="00284F6D" w:rsidRPr="00BE6A5D">
              <w:rPr>
                <w:rFonts w:cs="Arial"/>
                <w:b/>
                <w:bCs/>
                <w:sz w:val="20"/>
                <w:szCs w:val="20"/>
              </w:rPr>
              <w:t>c</w:t>
            </w:r>
            <w:r w:rsidRPr="00BE6A5D">
              <w:rPr>
                <w:rFonts w:cs="Arial"/>
                <w:b/>
                <w:bCs/>
                <w:sz w:val="20"/>
                <w:szCs w:val="20"/>
              </w:rPr>
              <w:t>)</w:t>
            </w:r>
          </w:p>
        </w:tc>
        <w:tc>
          <w:tcPr>
            <w:tcW w:w="703" w:type="pct"/>
            <w:tcBorders>
              <w:left w:val="nil"/>
              <w:bottom w:val="single" w:sz="8" w:space="0" w:color="auto"/>
              <w:right w:val="single" w:sz="8" w:space="0" w:color="auto"/>
            </w:tcBorders>
            <w:shd w:val="clear" w:color="000000" w:fill="A1F2FD"/>
            <w:vAlign w:val="center"/>
            <w:hideMark/>
          </w:tcPr>
          <w:p w14:paraId="5898359A" w14:textId="782C0A82" w:rsidR="00335D8A" w:rsidRPr="00BE6A5D" w:rsidRDefault="00335D8A" w:rsidP="00BE6A5D">
            <w:pPr>
              <w:ind w:left="-134" w:right="-109"/>
              <w:jc w:val="center"/>
              <w:rPr>
                <w:rFonts w:cs="Arial"/>
                <w:b/>
                <w:bCs/>
                <w:sz w:val="20"/>
                <w:szCs w:val="20"/>
              </w:rPr>
            </w:pPr>
            <w:r w:rsidRPr="00BE6A5D">
              <w:rPr>
                <w:rFonts w:cs="Arial"/>
                <w:b/>
                <w:bCs/>
                <w:sz w:val="20"/>
                <w:szCs w:val="20"/>
              </w:rPr>
              <w:t>(</w:t>
            </w:r>
            <w:r w:rsidR="00284F6D" w:rsidRPr="00BE6A5D">
              <w:rPr>
                <w:rFonts w:cs="Arial"/>
                <w:b/>
                <w:bCs/>
                <w:sz w:val="20"/>
                <w:szCs w:val="20"/>
              </w:rPr>
              <w:t>d</w:t>
            </w:r>
            <w:r w:rsidRPr="00BE6A5D">
              <w:rPr>
                <w:rFonts w:cs="Arial"/>
                <w:b/>
                <w:bCs/>
                <w:sz w:val="20"/>
                <w:szCs w:val="20"/>
              </w:rPr>
              <w:t xml:space="preserve">) = (90% </w:t>
            </w:r>
            <w:r w:rsidR="00284F6D" w:rsidRPr="00BE6A5D">
              <w:rPr>
                <w:rFonts w:cs="Arial"/>
                <w:b/>
                <w:bCs/>
                <w:sz w:val="20"/>
                <w:szCs w:val="20"/>
              </w:rPr>
              <w:t>c</w:t>
            </w:r>
            <w:r w:rsidRPr="00BE6A5D">
              <w:rPr>
                <w:rFonts w:cs="Arial"/>
                <w:b/>
                <w:bCs/>
                <w:sz w:val="20"/>
                <w:szCs w:val="20"/>
              </w:rPr>
              <w:t>)</w:t>
            </w:r>
          </w:p>
        </w:tc>
        <w:tc>
          <w:tcPr>
            <w:tcW w:w="702" w:type="pct"/>
            <w:tcBorders>
              <w:left w:val="nil"/>
              <w:bottom w:val="single" w:sz="8" w:space="0" w:color="auto"/>
            </w:tcBorders>
            <w:shd w:val="clear" w:color="000000" w:fill="A1F2FD"/>
            <w:vAlign w:val="center"/>
            <w:hideMark/>
          </w:tcPr>
          <w:p w14:paraId="624D3E71" w14:textId="2C7DFA99" w:rsidR="00335D8A" w:rsidRPr="00BE6A5D" w:rsidRDefault="00335D8A" w:rsidP="00335D8A">
            <w:pPr>
              <w:jc w:val="center"/>
              <w:rPr>
                <w:rFonts w:cs="Arial"/>
                <w:b/>
                <w:bCs/>
                <w:sz w:val="20"/>
                <w:szCs w:val="20"/>
              </w:rPr>
            </w:pPr>
            <w:r w:rsidRPr="00BE6A5D">
              <w:rPr>
                <w:rFonts w:cs="Arial"/>
                <w:b/>
                <w:bCs/>
                <w:sz w:val="20"/>
                <w:szCs w:val="20"/>
              </w:rPr>
              <w:t>(</w:t>
            </w:r>
            <w:r w:rsidR="006837EA">
              <w:rPr>
                <w:rFonts w:cs="Arial"/>
                <w:b/>
                <w:bCs/>
                <w:sz w:val="20"/>
                <w:szCs w:val="20"/>
              </w:rPr>
              <w:t>e</w:t>
            </w:r>
            <w:r w:rsidRPr="00BE6A5D">
              <w:rPr>
                <w:rFonts w:cs="Arial"/>
                <w:b/>
                <w:bCs/>
                <w:sz w:val="20"/>
                <w:szCs w:val="20"/>
              </w:rPr>
              <w:t>) = (</w:t>
            </w:r>
            <w:r w:rsidR="00284F6D" w:rsidRPr="00BE6A5D">
              <w:rPr>
                <w:rFonts w:cs="Arial"/>
                <w:b/>
                <w:bCs/>
                <w:sz w:val="20"/>
                <w:szCs w:val="20"/>
              </w:rPr>
              <w:t>b</w:t>
            </w:r>
            <w:r w:rsidRPr="00BE6A5D">
              <w:rPr>
                <w:rFonts w:cs="Arial"/>
                <w:b/>
                <w:bCs/>
                <w:sz w:val="20"/>
                <w:szCs w:val="20"/>
              </w:rPr>
              <w:t>/</w:t>
            </w:r>
            <w:r w:rsidR="00284F6D" w:rsidRPr="00BE6A5D">
              <w:rPr>
                <w:rFonts w:cs="Arial"/>
                <w:b/>
                <w:bCs/>
                <w:sz w:val="20"/>
                <w:szCs w:val="20"/>
              </w:rPr>
              <w:t>c</w:t>
            </w:r>
            <w:r w:rsidRPr="00BE6A5D">
              <w:rPr>
                <w:rFonts w:cs="Arial"/>
                <w:b/>
                <w:bCs/>
                <w:sz w:val="20"/>
                <w:szCs w:val="20"/>
              </w:rPr>
              <w:t>)</w:t>
            </w:r>
          </w:p>
        </w:tc>
      </w:tr>
      <w:tr w:rsidR="00335D8A" w:rsidRPr="00BE6A5D" w14:paraId="4D10AE6B" w14:textId="77777777" w:rsidTr="00335D8A">
        <w:trPr>
          <w:trHeight w:val="315"/>
        </w:trPr>
        <w:tc>
          <w:tcPr>
            <w:tcW w:w="1798" w:type="pct"/>
            <w:tcBorders>
              <w:top w:val="nil"/>
              <w:left w:val="nil"/>
              <w:bottom w:val="nil"/>
              <w:right w:val="single" w:sz="8" w:space="0" w:color="auto"/>
            </w:tcBorders>
            <w:shd w:val="clear" w:color="000000" w:fill="FFFFFF"/>
            <w:vAlign w:val="center"/>
            <w:hideMark/>
          </w:tcPr>
          <w:p w14:paraId="5C6C20D6" w14:textId="77777777" w:rsidR="00335D8A" w:rsidRPr="00BE6A5D" w:rsidRDefault="00335D8A" w:rsidP="00335D8A">
            <w:pPr>
              <w:rPr>
                <w:rFonts w:cs="Arial"/>
                <w:sz w:val="20"/>
                <w:szCs w:val="20"/>
              </w:rPr>
            </w:pPr>
            <w:r w:rsidRPr="00BE6A5D">
              <w:rPr>
                <w:rFonts w:cs="Arial"/>
                <w:sz w:val="20"/>
                <w:szCs w:val="20"/>
              </w:rPr>
              <w:t>Poder Executivo</w:t>
            </w:r>
          </w:p>
        </w:tc>
        <w:tc>
          <w:tcPr>
            <w:tcW w:w="703" w:type="pct"/>
            <w:tcBorders>
              <w:top w:val="nil"/>
              <w:left w:val="nil"/>
              <w:bottom w:val="nil"/>
              <w:right w:val="single" w:sz="8" w:space="0" w:color="auto"/>
            </w:tcBorders>
            <w:shd w:val="clear" w:color="000000" w:fill="FFFFFF"/>
            <w:vAlign w:val="center"/>
            <w:hideMark/>
          </w:tcPr>
          <w:p w14:paraId="3B34A7E8" w14:textId="77777777" w:rsidR="00335D8A" w:rsidRPr="00BE6A5D" w:rsidRDefault="00335D8A" w:rsidP="00335D8A">
            <w:pPr>
              <w:jc w:val="right"/>
              <w:rPr>
                <w:rFonts w:cs="Arial"/>
                <w:bCs/>
                <w:sz w:val="20"/>
                <w:szCs w:val="20"/>
              </w:rPr>
            </w:pPr>
            <w:r w:rsidRPr="00BE6A5D">
              <w:rPr>
                <w:rFonts w:cs="Arial"/>
                <w:bCs/>
                <w:sz w:val="20"/>
                <w:szCs w:val="20"/>
              </w:rPr>
              <w:t>16.584.481</w:t>
            </w:r>
          </w:p>
        </w:tc>
        <w:tc>
          <w:tcPr>
            <w:tcW w:w="547" w:type="pct"/>
            <w:tcBorders>
              <w:top w:val="nil"/>
              <w:left w:val="nil"/>
              <w:bottom w:val="nil"/>
              <w:right w:val="single" w:sz="8" w:space="0" w:color="auto"/>
            </w:tcBorders>
            <w:shd w:val="clear" w:color="000000" w:fill="FFFFFF"/>
            <w:vAlign w:val="center"/>
            <w:hideMark/>
          </w:tcPr>
          <w:p w14:paraId="6E1A33EA" w14:textId="77777777" w:rsidR="00335D8A" w:rsidRPr="00BE6A5D" w:rsidRDefault="00335D8A" w:rsidP="00335D8A">
            <w:pPr>
              <w:jc w:val="center"/>
              <w:rPr>
                <w:rFonts w:cs="Arial"/>
                <w:bCs/>
                <w:sz w:val="20"/>
                <w:szCs w:val="20"/>
              </w:rPr>
            </w:pPr>
            <w:r w:rsidRPr="00BE6A5D">
              <w:rPr>
                <w:rFonts w:cs="Arial"/>
                <w:bCs/>
                <w:sz w:val="20"/>
                <w:szCs w:val="20"/>
              </w:rPr>
              <w:t>43,23</w:t>
            </w:r>
          </w:p>
        </w:tc>
        <w:tc>
          <w:tcPr>
            <w:tcW w:w="547" w:type="pct"/>
            <w:tcBorders>
              <w:top w:val="nil"/>
              <w:left w:val="nil"/>
              <w:bottom w:val="nil"/>
              <w:right w:val="single" w:sz="8" w:space="0" w:color="auto"/>
            </w:tcBorders>
            <w:shd w:val="clear" w:color="000000" w:fill="FFFFFF"/>
            <w:vAlign w:val="center"/>
            <w:hideMark/>
          </w:tcPr>
          <w:p w14:paraId="7E468088" w14:textId="77777777" w:rsidR="00335D8A" w:rsidRPr="00BE6A5D" w:rsidRDefault="00335D8A" w:rsidP="00335D8A">
            <w:pPr>
              <w:jc w:val="center"/>
              <w:rPr>
                <w:rFonts w:cs="Arial"/>
                <w:bCs/>
                <w:sz w:val="20"/>
                <w:szCs w:val="20"/>
              </w:rPr>
            </w:pPr>
            <w:r w:rsidRPr="00BE6A5D">
              <w:rPr>
                <w:rFonts w:cs="Arial"/>
                <w:bCs/>
                <w:sz w:val="20"/>
                <w:szCs w:val="20"/>
              </w:rPr>
              <w:t>48,60</w:t>
            </w:r>
          </w:p>
        </w:tc>
        <w:tc>
          <w:tcPr>
            <w:tcW w:w="703" w:type="pct"/>
            <w:tcBorders>
              <w:top w:val="nil"/>
              <w:left w:val="nil"/>
              <w:bottom w:val="nil"/>
              <w:right w:val="single" w:sz="8" w:space="0" w:color="auto"/>
            </w:tcBorders>
            <w:shd w:val="clear" w:color="000000" w:fill="FFFFFF"/>
            <w:vAlign w:val="center"/>
            <w:hideMark/>
          </w:tcPr>
          <w:p w14:paraId="71BDCA3A" w14:textId="77777777" w:rsidR="00335D8A" w:rsidRPr="00BE6A5D" w:rsidRDefault="00335D8A" w:rsidP="00335D8A">
            <w:pPr>
              <w:jc w:val="center"/>
              <w:rPr>
                <w:rFonts w:cs="Arial"/>
                <w:bCs/>
                <w:sz w:val="20"/>
                <w:szCs w:val="20"/>
              </w:rPr>
            </w:pPr>
            <w:r w:rsidRPr="00BE6A5D">
              <w:rPr>
                <w:rFonts w:cs="Arial"/>
                <w:bCs/>
                <w:sz w:val="20"/>
                <w:szCs w:val="20"/>
              </w:rPr>
              <w:t>43,74</w:t>
            </w:r>
          </w:p>
        </w:tc>
        <w:tc>
          <w:tcPr>
            <w:tcW w:w="702" w:type="pct"/>
            <w:tcBorders>
              <w:top w:val="nil"/>
              <w:left w:val="nil"/>
              <w:bottom w:val="nil"/>
            </w:tcBorders>
            <w:shd w:val="clear" w:color="000000" w:fill="FFFFFF"/>
            <w:vAlign w:val="center"/>
            <w:hideMark/>
          </w:tcPr>
          <w:p w14:paraId="190417C5" w14:textId="77777777" w:rsidR="00335D8A" w:rsidRPr="00BE6A5D" w:rsidRDefault="00335D8A" w:rsidP="00335D8A">
            <w:pPr>
              <w:jc w:val="center"/>
              <w:rPr>
                <w:rFonts w:cs="Arial"/>
                <w:bCs/>
                <w:sz w:val="20"/>
                <w:szCs w:val="20"/>
              </w:rPr>
            </w:pPr>
            <w:r w:rsidRPr="00BE6A5D">
              <w:rPr>
                <w:rFonts w:cs="Arial"/>
                <w:bCs/>
                <w:sz w:val="20"/>
                <w:szCs w:val="20"/>
              </w:rPr>
              <w:t>88,95</w:t>
            </w:r>
          </w:p>
        </w:tc>
      </w:tr>
      <w:tr w:rsidR="00335D8A" w:rsidRPr="00BE6A5D" w14:paraId="48097C3E" w14:textId="77777777" w:rsidTr="00335D8A">
        <w:trPr>
          <w:trHeight w:val="315"/>
        </w:trPr>
        <w:tc>
          <w:tcPr>
            <w:tcW w:w="1798" w:type="pct"/>
            <w:tcBorders>
              <w:top w:val="nil"/>
              <w:left w:val="nil"/>
              <w:bottom w:val="nil"/>
              <w:right w:val="single" w:sz="8" w:space="0" w:color="auto"/>
            </w:tcBorders>
            <w:shd w:val="clear" w:color="000000" w:fill="FFFFFF"/>
            <w:vAlign w:val="center"/>
            <w:hideMark/>
          </w:tcPr>
          <w:p w14:paraId="14000E26" w14:textId="77777777" w:rsidR="00335D8A" w:rsidRPr="00BE6A5D" w:rsidRDefault="00335D8A" w:rsidP="00335D8A">
            <w:pPr>
              <w:rPr>
                <w:rFonts w:cs="Arial"/>
                <w:sz w:val="20"/>
                <w:szCs w:val="20"/>
              </w:rPr>
            </w:pPr>
            <w:r w:rsidRPr="00BE6A5D">
              <w:rPr>
                <w:rFonts w:cs="Arial"/>
                <w:sz w:val="20"/>
                <w:szCs w:val="20"/>
              </w:rPr>
              <w:t>Poder Legislativo</w:t>
            </w:r>
          </w:p>
        </w:tc>
        <w:tc>
          <w:tcPr>
            <w:tcW w:w="703" w:type="pct"/>
            <w:tcBorders>
              <w:top w:val="nil"/>
              <w:left w:val="nil"/>
              <w:bottom w:val="nil"/>
              <w:right w:val="single" w:sz="8" w:space="0" w:color="auto"/>
            </w:tcBorders>
            <w:shd w:val="clear" w:color="000000" w:fill="FFFFFF"/>
            <w:vAlign w:val="center"/>
            <w:hideMark/>
          </w:tcPr>
          <w:p w14:paraId="612B8206" w14:textId="77777777" w:rsidR="00335D8A" w:rsidRPr="00BE6A5D" w:rsidRDefault="00335D8A" w:rsidP="00335D8A">
            <w:pPr>
              <w:jc w:val="right"/>
              <w:rPr>
                <w:rFonts w:cs="Arial"/>
                <w:bCs/>
                <w:sz w:val="20"/>
                <w:szCs w:val="20"/>
              </w:rPr>
            </w:pPr>
            <w:r w:rsidRPr="00BE6A5D">
              <w:rPr>
                <w:rFonts w:cs="Arial"/>
                <w:bCs/>
                <w:sz w:val="20"/>
                <w:szCs w:val="20"/>
              </w:rPr>
              <w:t>974.209</w:t>
            </w:r>
          </w:p>
        </w:tc>
        <w:tc>
          <w:tcPr>
            <w:tcW w:w="547" w:type="pct"/>
            <w:tcBorders>
              <w:top w:val="nil"/>
              <w:left w:val="nil"/>
              <w:bottom w:val="nil"/>
              <w:right w:val="single" w:sz="8" w:space="0" w:color="auto"/>
            </w:tcBorders>
            <w:shd w:val="clear" w:color="000000" w:fill="FFFFFF"/>
            <w:vAlign w:val="center"/>
            <w:hideMark/>
          </w:tcPr>
          <w:p w14:paraId="5D27FF30" w14:textId="77777777" w:rsidR="00335D8A" w:rsidRPr="00BE6A5D" w:rsidRDefault="00335D8A" w:rsidP="00335D8A">
            <w:pPr>
              <w:jc w:val="center"/>
              <w:rPr>
                <w:rFonts w:cs="Arial"/>
                <w:bCs/>
                <w:sz w:val="20"/>
                <w:szCs w:val="20"/>
              </w:rPr>
            </w:pPr>
            <w:r w:rsidRPr="00BE6A5D">
              <w:rPr>
                <w:rFonts w:cs="Arial"/>
                <w:bCs/>
                <w:sz w:val="20"/>
                <w:szCs w:val="20"/>
              </w:rPr>
              <w:t>2,54</w:t>
            </w:r>
          </w:p>
        </w:tc>
        <w:tc>
          <w:tcPr>
            <w:tcW w:w="547" w:type="pct"/>
            <w:tcBorders>
              <w:top w:val="nil"/>
              <w:left w:val="nil"/>
              <w:bottom w:val="nil"/>
              <w:right w:val="single" w:sz="8" w:space="0" w:color="auto"/>
            </w:tcBorders>
            <w:shd w:val="clear" w:color="000000" w:fill="FFFFFF"/>
            <w:vAlign w:val="center"/>
            <w:hideMark/>
          </w:tcPr>
          <w:p w14:paraId="6275BA90" w14:textId="77777777" w:rsidR="00335D8A" w:rsidRPr="00BE6A5D" w:rsidRDefault="00335D8A" w:rsidP="00335D8A">
            <w:pPr>
              <w:jc w:val="center"/>
              <w:rPr>
                <w:rFonts w:cs="Arial"/>
                <w:bCs/>
                <w:sz w:val="20"/>
                <w:szCs w:val="20"/>
              </w:rPr>
            </w:pPr>
            <w:r w:rsidRPr="00BE6A5D">
              <w:rPr>
                <w:rFonts w:cs="Arial"/>
                <w:bCs/>
                <w:sz w:val="20"/>
                <w:szCs w:val="20"/>
              </w:rPr>
              <w:t>3,40</w:t>
            </w:r>
          </w:p>
        </w:tc>
        <w:tc>
          <w:tcPr>
            <w:tcW w:w="703" w:type="pct"/>
            <w:tcBorders>
              <w:top w:val="nil"/>
              <w:left w:val="nil"/>
              <w:bottom w:val="nil"/>
              <w:right w:val="single" w:sz="8" w:space="0" w:color="auto"/>
            </w:tcBorders>
            <w:shd w:val="clear" w:color="000000" w:fill="FFFFFF"/>
            <w:vAlign w:val="center"/>
            <w:hideMark/>
          </w:tcPr>
          <w:p w14:paraId="59831641" w14:textId="77777777" w:rsidR="00335D8A" w:rsidRPr="00BE6A5D" w:rsidRDefault="00335D8A" w:rsidP="00335D8A">
            <w:pPr>
              <w:jc w:val="center"/>
              <w:rPr>
                <w:rFonts w:cs="Arial"/>
                <w:bCs/>
                <w:sz w:val="20"/>
                <w:szCs w:val="20"/>
              </w:rPr>
            </w:pPr>
            <w:r w:rsidRPr="00BE6A5D">
              <w:rPr>
                <w:rFonts w:cs="Arial"/>
                <w:bCs/>
                <w:sz w:val="20"/>
                <w:szCs w:val="20"/>
              </w:rPr>
              <w:t>3,06</w:t>
            </w:r>
          </w:p>
        </w:tc>
        <w:tc>
          <w:tcPr>
            <w:tcW w:w="702" w:type="pct"/>
            <w:tcBorders>
              <w:top w:val="nil"/>
              <w:left w:val="nil"/>
              <w:bottom w:val="nil"/>
            </w:tcBorders>
            <w:shd w:val="clear" w:color="000000" w:fill="FFFFFF"/>
            <w:vAlign w:val="center"/>
            <w:hideMark/>
          </w:tcPr>
          <w:p w14:paraId="14F9A3B1" w14:textId="77777777" w:rsidR="00335D8A" w:rsidRPr="00BE6A5D" w:rsidRDefault="00335D8A" w:rsidP="00335D8A">
            <w:pPr>
              <w:jc w:val="center"/>
              <w:rPr>
                <w:rFonts w:cs="Arial"/>
                <w:bCs/>
                <w:sz w:val="20"/>
                <w:szCs w:val="20"/>
              </w:rPr>
            </w:pPr>
            <w:r w:rsidRPr="00BE6A5D">
              <w:rPr>
                <w:rFonts w:cs="Arial"/>
                <w:bCs/>
                <w:sz w:val="20"/>
                <w:szCs w:val="20"/>
              </w:rPr>
              <w:t>74,69</w:t>
            </w:r>
          </w:p>
        </w:tc>
      </w:tr>
      <w:tr w:rsidR="00335D8A" w:rsidRPr="00BE6A5D" w14:paraId="4B62301D" w14:textId="77777777" w:rsidTr="00335D8A">
        <w:trPr>
          <w:trHeight w:val="315"/>
        </w:trPr>
        <w:tc>
          <w:tcPr>
            <w:tcW w:w="1798" w:type="pct"/>
            <w:tcBorders>
              <w:top w:val="nil"/>
              <w:left w:val="nil"/>
              <w:bottom w:val="nil"/>
              <w:right w:val="single" w:sz="8" w:space="0" w:color="auto"/>
            </w:tcBorders>
            <w:shd w:val="clear" w:color="000000" w:fill="FFFFFF"/>
            <w:vAlign w:val="center"/>
            <w:hideMark/>
          </w:tcPr>
          <w:p w14:paraId="2EF0202E" w14:textId="77777777" w:rsidR="00335D8A" w:rsidRPr="00BE6A5D" w:rsidRDefault="00335D8A" w:rsidP="00335D8A">
            <w:pPr>
              <w:ind w:firstLine="212"/>
              <w:rPr>
                <w:rFonts w:cs="Arial"/>
                <w:sz w:val="20"/>
                <w:szCs w:val="20"/>
              </w:rPr>
            </w:pPr>
            <w:r w:rsidRPr="00BE6A5D">
              <w:rPr>
                <w:rFonts w:cs="Arial"/>
                <w:sz w:val="20"/>
                <w:szCs w:val="20"/>
              </w:rPr>
              <w:t>Assembleia Legislativa</w:t>
            </w:r>
          </w:p>
        </w:tc>
        <w:tc>
          <w:tcPr>
            <w:tcW w:w="703" w:type="pct"/>
            <w:tcBorders>
              <w:top w:val="nil"/>
              <w:left w:val="nil"/>
              <w:bottom w:val="nil"/>
              <w:right w:val="single" w:sz="8" w:space="0" w:color="auto"/>
            </w:tcBorders>
            <w:shd w:val="clear" w:color="000000" w:fill="FFFFFF"/>
            <w:vAlign w:val="center"/>
            <w:hideMark/>
          </w:tcPr>
          <w:p w14:paraId="4D0F4D64" w14:textId="77777777" w:rsidR="00335D8A" w:rsidRPr="00BE6A5D" w:rsidRDefault="00335D8A" w:rsidP="00335D8A">
            <w:pPr>
              <w:jc w:val="right"/>
              <w:rPr>
                <w:rFonts w:cs="Arial"/>
                <w:sz w:val="20"/>
                <w:szCs w:val="20"/>
              </w:rPr>
            </w:pPr>
            <w:r w:rsidRPr="00BE6A5D">
              <w:rPr>
                <w:rFonts w:cs="Arial"/>
                <w:sz w:val="20"/>
                <w:szCs w:val="20"/>
              </w:rPr>
              <w:t>486.534</w:t>
            </w:r>
          </w:p>
        </w:tc>
        <w:tc>
          <w:tcPr>
            <w:tcW w:w="547" w:type="pct"/>
            <w:tcBorders>
              <w:top w:val="nil"/>
              <w:left w:val="nil"/>
              <w:bottom w:val="nil"/>
              <w:right w:val="single" w:sz="8" w:space="0" w:color="auto"/>
            </w:tcBorders>
            <w:shd w:val="clear" w:color="000000" w:fill="FFFFFF"/>
            <w:vAlign w:val="center"/>
            <w:hideMark/>
          </w:tcPr>
          <w:p w14:paraId="5F18D682" w14:textId="77777777" w:rsidR="00335D8A" w:rsidRPr="00BE6A5D" w:rsidRDefault="00335D8A" w:rsidP="00335D8A">
            <w:pPr>
              <w:jc w:val="center"/>
              <w:rPr>
                <w:rFonts w:cs="Arial"/>
                <w:sz w:val="20"/>
                <w:szCs w:val="20"/>
              </w:rPr>
            </w:pPr>
            <w:r w:rsidRPr="00BE6A5D">
              <w:rPr>
                <w:rFonts w:cs="Arial"/>
                <w:sz w:val="20"/>
                <w:szCs w:val="20"/>
              </w:rPr>
              <w:t>1,27</w:t>
            </w:r>
          </w:p>
        </w:tc>
        <w:tc>
          <w:tcPr>
            <w:tcW w:w="547" w:type="pct"/>
            <w:tcBorders>
              <w:top w:val="nil"/>
              <w:left w:val="nil"/>
              <w:bottom w:val="nil"/>
              <w:right w:val="single" w:sz="8" w:space="0" w:color="auto"/>
            </w:tcBorders>
            <w:shd w:val="clear" w:color="000000" w:fill="FFFFFF"/>
            <w:vAlign w:val="center"/>
            <w:hideMark/>
          </w:tcPr>
          <w:p w14:paraId="56EA299E" w14:textId="77777777" w:rsidR="00335D8A" w:rsidRPr="00BE6A5D" w:rsidRDefault="00335D8A" w:rsidP="00335D8A">
            <w:pPr>
              <w:jc w:val="center"/>
              <w:rPr>
                <w:rFonts w:cs="Arial"/>
                <w:sz w:val="20"/>
                <w:szCs w:val="20"/>
              </w:rPr>
            </w:pPr>
            <w:r w:rsidRPr="00BE6A5D">
              <w:rPr>
                <w:rFonts w:cs="Arial"/>
                <w:sz w:val="20"/>
                <w:szCs w:val="20"/>
              </w:rPr>
              <w:t>1,50</w:t>
            </w:r>
          </w:p>
        </w:tc>
        <w:tc>
          <w:tcPr>
            <w:tcW w:w="703" w:type="pct"/>
            <w:tcBorders>
              <w:top w:val="nil"/>
              <w:left w:val="nil"/>
              <w:bottom w:val="nil"/>
              <w:right w:val="single" w:sz="8" w:space="0" w:color="auto"/>
            </w:tcBorders>
            <w:shd w:val="clear" w:color="000000" w:fill="FFFFFF"/>
            <w:vAlign w:val="center"/>
            <w:hideMark/>
          </w:tcPr>
          <w:p w14:paraId="704B7DEB" w14:textId="77777777" w:rsidR="00335D8A" w:rsidRPr="00BE6A5D" w:rsidRDefault="00335D8A" w:rsidP="00335D8A">
            <w:pPr>
              <w:jc w:val="center"/>
              <w:rPr>
                <w:rFonts w:cs="Arial"/>
                <w:sz w:val="20"/>
                <w:szCs w:val="20"/>
              </w:rPr>
            </w:pPr>
            <w:r w:rsidRPr="00BE6A5D">
              <w:rPr>
                <w:rFonts w:cs="Arial"/>
                <w:sz w:val="20"/>
                <w:szCs w:val="20"/>
              </w:rPr>
              <w:t>1,35</w:t>
            </w:r>
          </w:p>
        </w:tc>
        <w:tc>
          <w:tcPr>
            <w:tcW w:w="702" w:type="pct"/>
            <w:tcBorders>
              <w:top w:val="nil"/>
              <w:left w:val="nil"/>
              <w:bottom w:val="nil"/>
            </w:tcBorders>
            <w:shd w:val="clear" w:color="000000" w:fill="FFFFFF"/>
            <w:vAlign w:val="center"/>
            <w:hideMark/>
          </w:tcPr>
          <w:p w14:paraId="1B2A9350" w14:textId="77777777" w:rsidR="00335D8A" w:rsidRPr="00BE6A5D" w:rsidRDefault="00335D8A" w:rsidP="00335D8A">
            <w:pPr>
              <w:jc w:val="center"/>
              <w:rPr>
                <w:rFonts w:cs="Arial"/>
                <w:sz w:val="20"/>
                <w:szCs w:val="20"/>
              </w:rPr>
            </w:pPr>
            <w:r w:rsidRPr="00BE6A5D">
              <w:rPr>
                <w:rFonts w:cs="Arial"/>
                <w:sz w:val="20"/>
                <w:szCs w:val="20"/>
              </w:rPr>
              <w:t>84,55</w:t>
            </w:r>
          </w:p>
        </w:tc>
      </w:tr>
      <w:tr w:rsidR="00335D8A" w:rsidRPr="00BE6A5D" w14:paraId="59554094" w14:textId="77777777" w:rsidTr="00335D8A">
        <w:trPr>
          <w:trHeight w:val="315"/>
        </w:trPr>
        <w:tc>
          <w:tcPr>
            <w:tcW w:w="1798" w:type="pct"/>
            <w:tcBorders>
              <w:top w:val="nil"/>
              <w:left w:val="nil"/>
              <w:bottom w:val="nil"/>
              <w:right w:val="single" w:sz="8" w:space="0" w:color="auto"/>
            </w:tcBorders>
            <w:shd w:val="clear" w:color="000000" w:fill="FFFFFF"/>
            <w:vAlign w:val="center"/>
            <w:hideMark/>
          </w:tcPr>
          <w:p w14:paraId="10DCB064" w14:textId="77777777" w:rsidR="00335D8A" w:rsidRPr="00BE6A5D" w:rsidRDefault="00335D8A" w:rsidP="00335D8A">
            <w:pPr>
              <w:ind w:firstLine="212"/>
              <w:rPr>
                <w:rFonts w:cs="Arial"/>
                <w:sz w:val="20"/>
                <w:szCs w:val="20"/>
              </w:rPr>
            </w:pPr>
            <w:r w:rsidRPr="00BE6A5D">
              <w:rPr>
                <w:rFonts w:cs="Arial"/>
                <w:sz w:val="20"/>
                <w:szCs w:val="20"/>
              </w:rPr>
              <w:lastRenderedPageBreak/>
              <w:t>Tribunal de Contas do Estado</w:t>
            </w:r>
          </w:p>
        </w:tc>
        <w:tc>
          <w:tcPr>
            <w:tcW w:w="703" w:type="pct"/>
            <w:tcBorders>
              <w:top w:val="nil"/>
              <w:left w:val="nil"/>
              <w:bottom w:val="nil"/>
              <w:right w:val="single" w:sz="8" w:space="0" w:color="auto"/>
            </w:tcBorders>
            <w:shd w:val="clear" w:color="000000" w:fill="FFFFFF"/>
            <w:vAlign w:val="center"/>
            <w:hideMark/>
          </w:tcPr>
          <w:p w14:paraId="7D67965C" w14:textId="77777777" w:rsidR="00335D8A" w:rsidRPr="00BE6A5D" w:rsidRDefault="00335D8A" w:rsidP="00335D8A">
            <w:pPr>
              <w:jc w:val="right"/>
              <w:rPr>
                <w:rFonts w:cs="Arial"/>
                <w:sz w:val="20"/>
                <w:szCs w:val="20"/>
              </w:rPr>
            </w:pPr>
            <w:r w:rsidRPr="00BE6A5D">
              <w:rPr>
                <w:rFonts w:cs="Arial"/>
                <w:sz w:val="20"/>
                <w:szCs w:val="20"/>
              </w:rPr>
              <w:t>317.549</w:t>
            </w:r>
          </w:p>
        </w:tc>
        <w:tc>
          <w:tcPr>
            <w:tcW w:w="547" w:type="pct"/>
            <w:tcBorders>
              <w:top w:val="nil"/>
              <w:left w:val="nil"/>
              <w:bottom w:val="nil"/>
              <w:right w:val="single" w:sz="8" w:space="0" w:color="auto"/>
            </w:tcBorders>
            <w:shd w:val="clear" w:color="000000" w:fill="FFFFFF"/>
            <w:vAlign w:val="center"/>
            <w:hideMark/>
          </w:tcPr>
          <w:p w14:paraId="0A0043CE" w14:textId="77777777" w:rsidR="00335D8A" w:rsidRPr="00BE6A5D" w:rsidRDefault="00335D8A" w:rsidP="00335D8A">
            <w:pPr>
              <w:jc w:val="center"/>
              <w:rPr>
                <w:rFonts w:cs="Arial"/>
                <w:sz w:val="20"/>
                <w:szCs w:val="20"/>
              </w:rPr>
            </w:pPr>
            <w:r w:rsidRPr="00BE6A5D">
              <w:rPr>
                <w:rFonts w:cs="Arial"/>
                <w:sz w:val="20"/>
                <w:szCs w:val="20"/>
              </w:rPr>
              <w:t>0,83</w:t>
            </w:r>
          </w:p>
        </w:tc>
        <w:tc>
          <w:tcPr>
            <w:tcW w:w="547" w:type="pct"/>
            <w:tcBorders>
              <w:top w:val="nil"/>
              <w:left w:val="nil"/>
              <w:bottom w:val="nil"/>
              <w:right w:val="single" w:sz="8" w:space="0" w:color="auto"/>
            </w:tcBorders>
            <w:shd w:val="clear" w:color="000000" w:fill="FFFFFF"/>
            <w:vAlign w:val="center"/>
            <w:hideMark/>
          </w:tcPr>
          <w:p w14:paraId="4735FD64" w14:textId="77777777" w:rsidR="00335D8A" w:rsidRPr="00BE6A5D" w:rsidRDefault="00335D8A" w:rsidP="00335D8A">
            <w:pPr>
              <w:jc w:val="center"/>
              <w:rPr>
                <w:rFonts w:cs="Arial"/>
                <w:sz w:val="20"/>
                <w:szCs w:val="20"/>
              </w:rPr>
            </w:pPr>
            <w:r w:rsidRPr="00BE6A5D">
              <w:rPr>
                <w:rFonts w:cs="Arial"/>
                <w:sz w:val="20"/>
                <w:szCs w:val="20"/>
              </w:rPr>
              <w:t>1,35</w:t>
            </w:r>
          </w:p>
        </w:tc>
        <w:tc>
          <w:tcPr>
            <w:tcW w:w="703" w:type="pct"/>
            <w:tcBorders>
              <w:top w:val="nil"/>
              <w:left w:val="nil"/>
              <w:bottom w:val="nil"/>
              <w:right w:val="single" w:sz="8" w:space="0" w:color="auto"/>
            </w:tcBorders>
            <w:shd w:val="clear" w:color="000000" w:fill="FFFFFF"/>
            <w:vAlign w:val="center"/>
            <w:hideMark/>
          </w:tcPr>
          <w:p w14:paraId="7D46D112" w14:textId="77777777" w:rsidR="00335D8A" w:rsidRPr="00BE6A5D" w:rsidRDefault="00335D8A" w:rsidP="00335D8A">
            <w:pPr>
              <w:jc w:val="center"/>
              <w:rPr>
                <w:rFonts w:cs="Arial"/>
                <w:sz w:val="20"/>
                <w:szCs w:val="20"/>
              </w:rPr>
            </w:pPr>
            <w:r w:rsidRPr="00BE6A5D">
              <w:rPr>
                <w:rFonts w:cs="Arial"/>
                <w:sz w:val="20"/>
                <w:szCs w:val="20"/>
              </w:rPr>
              <w:t>1,22</w:t>
            </w:r>
          </w:p>
        </w:tc>
        <w:tc>
          <w:tcPr>
            <w:tcW w:w="702" w:type="pct"/>
            <w:tcBorders>
              <w:top w:val="nil"/>
              <w:left w:val="nil"/>
              <w:bottom w:val="nil"/>
            </w:tcBorders>
            <w:shd w:val="clear" w:color="000000" w:fill="FFFFFF"/>
            <w:vAlign w:val="center"/>
            <w:hideMark/>
          </w:tcPr>
          <w:p w14:paraId="20CFA763" w14:textId="77777777" w:rsidR="00335D8A" w:rsidRPr="00BE6A5D" w:rsidRDefault="00335D8A" w:rsidP="00335D8A">
            <w:pPr>
              <w:jc w:val="center"/>
              <w:rPr>
                <w:rFonts w:cs="Arial"/>
                <w:sz w:val="20"/>
                <w:szCs w:val="20"/>
              </w:rPr>
            </w:pPr>
            <w:r w:rsidRPr="00BE6A5D">
              <w:rPr>
                <w:rFonts w:cs="Arial"/>
                <w:sz w:val="20"/>
                <w:szCs w:val="20"/>
              </w:rPr>
              <w:t>61,31</w:t>
            </w:r>
          </w:p>
        </w:tc>
      </w:tr>
      <w:tr w:rsidR="00335D8A" w:rsidRPr="00BE6A5D" w14:paraId="5120679F" w14:textId="77777777" w:rsidTr="00335D8A">
        <w:trPr>
          <w:trHeight w:val="315"/>
        </w:trPr>
        <w:tc>
          <w:tcPr>
            <w:tcW w:w="1798" w:type="pct"/>
            <w:tcBorders>
              <w:top w:val="nil"/>
              <w:left w:val="nil"/>
              <w:bottom w:val="nil"/>
              <w:right w:val="single" w:sz="8" w:space="0" w:color="auto"/>
            </w:tcBorders>
            <w:shd w:val="clear" w:color="000000" w:fill="FFFFFF"/>
            <w:vAlign w:val="center"/>
            <w:hideMark/>
          </w:tcPr>
          <w:p w14:paraId="369B4FC6" w14:textId="77777777" w:rsidR="00335D8A" w:rsidRPr="00BE6A5D" w:rsidRDefault="00335D8A" w:rsidP="00335D8A">
            <w:pPr>
              <w:ind w:firstLine="212"/>
              <w:rPr>
                <w:rFonts w:cs="Arial"/>
                <w:sz w:val="20"/>
                <w:szCs w:val="20"/>
              </w:rPr>
            </w:pPr>
            <w:r w:rsidRPr="00BE6A5D">
              <w:rPr>
                <w:rFonts w:cs="Arial"/>
                <w:sz w:val="20"/>
                <w:szCs w:val="20"/>
              </w:rPr>
              <w:t>Tribunal de Contas dos Municípios</w:t>
            </w:r>
          </w:p>
        </w:tc>
        <w:tc>
          <w:tcPr>
            <w:tcW w:w="703" w:type="pct"/>
            <w:tcBorders>
              <w:top w:val="nil"/>
              <w:left w:val="nil"/>
              <w:bottom w:val="nil"/>
              <w:right w:val="single" w:sz="8" w:space="0" w:color="auto"/>
            </w:tcBorders>
            <w:shd w:val="clear" w:color="000000" w:fill="FFFFFF"/>
            <w:vAlign w:val="center"/>
            <w:hideMark/>
          </w:tcPr>
          <w:p w14:paraId="7F5028E1" w14:textId="77777777" w:rsidR="00335D8A" w:rsidRPr="00BE6A5D" w:rsidRDefault="00335D8A" w:rsidP="00335D8A">
            <w:pPr>
              <w:jc w:val="right"/>
              <w:rPr>
                <w:rFonts w:cs="Arial"/>
                <w:sz w:val="20"/>
                <w:szCs w:val="20"/>
              </w:rPr>
            </w:pPr>
            <w:r w:rsidRPr="00BE6A5D">
              <w:rPr>
                <w:rFonts w:cs="Arial"/>
                <w:sz w:val="20"/>
                <w:szCs w:val="20"/>
              </w:rPr>
              <w:t>170.126</w:t>
            </w:r>
          </w:p>
        </w:tc>
        <w:tc>
          <w:tcPr>
            <w:tcW w:w="547" w:type="pct"/>
            <w:tcBorders>
              <w:top w:val="nil"/>
              <w:left w:val="nil"/>
              <w:bottom w:val="nil"/>
              <w:right w:val="single" w:sz="8" w:space="0" w:color="auto"/>
            </w:tcBorders>
            <w:shd w:val="clear" w:color="000000" w:fill="FFFFFF"/>
            <w:vAlign w:val="center"/>
            <w:hideMark/>
          </w:tcPr>
          <w:p w14:paraId="413D4AA8" w14:textId="77777777" w:rsidR="00335D8A" w:rsidRPr="00BE6A5D" w:rsidRDefault="00335D8A" w:rsidP="00335D8A">
            <w:pPr>
              <w:jc w:val="center"/>
              <w:rPr>
                <w:rFonts w:cs="Arial"/>
                <w:sz w:val="20"/>
                <w:szCs w:val="20"/>
              </w:rPr>
            </w:pPr>
            <w:r w:rsidRPr="00BE6A5D">
              <w:rPr>
                <w:rFonts w:cs="Arial"/>
                <w:sz w:val="20"/>
                <w:szCs w:val="20"/>
              </w:rPr>
              <w:t>0,44</w:t>
            </w:r>
          </w:p>
        </w:tc>
        <w:tc>
          <w:tcPr>
            <w:tcW w:w="547" w:type="pct"/>
            <w:tcBorders>
              <w:top w:val="nil"/>
              <w:left w:val="nil"/>
              <w:bottom w:val="nil"/>
              <w:right w:val="single" w:sz="8" w:space="0" w:color="auto"/>
            </w:tcBorders>
            <w:shd w:val="clear" w:color="000000" w:fill="FFFFFF"/>
            <w:vAlign w:val="center"/>
            <w:hideMark/>
          </w:tcPr>
          <w:p w14:paraId="6765DFE0" w14:textId="77777777" w:rsidR="00335D8A" w:rsidRPr="00BE6A5D" w:rsidRDefault="00335D8A" w:rsidP="00335D8A">
            <w:pPr>
              <w:jc w:val="center"/>
              <w:rPr>
                <w:rFonts w:cs="Arial"/>
                <w:sz w:val="20"/>
                <w:szCs w:val="20"/>
              </w:rPr>
            </w:pPr>
            <w:r w:rsidRPr="00BE6A5D">
              <w:rPr>
                <w:rFonts w:cs="Arial"/>
                <w:sz w:val="20"/>
                <w:szCs w:val="20"/>
              </w:rPr>
              <w:t>0,55</w:t>
            </w:r>
          </w:p>
        </w:tc>
        <w:tc>
          <w:tcPr>
            <w:tcW w:w="703" w:type="pct"/>
            <w:tcBorders>
              <w:top w:val="nil"/>
              <w:left w:val="nil"/>
              <w:bottom w:val="nil"/>
              <w:right w:val="single" w:sz="8" w:space="0" w:color="auto"/>
            </w:tcBorders>
            <w:shd w:val="clear" w:color="000000" w:fill="FFFFFF"/>
            <w:vAlign w:val="center"/>
            <w:hideMark/>
          </w:tcPr>
          <w:p w14:paraId="4A4A9434" w14:textId="77777777" w:rsidR="00335D8A" w:rsidRPr="00BE6A5D" w:rsidRDefault="00335D8A" w:rsidP="00335D8A">
            <w:pPr>
              <w:jc w:val="center"/>
              <w:rPr>
                <w:rFonts w:cs="Arial"/>
                <w:sz w:val="20"/>
                <w:szCs w:val="20"/>
              </w:rPr>
            </w:pPr>
            <w:r w:rsidRPr="00BE6A5D">
              <w:rPr>
                <w:rFonts w:cs="Arial"/>
                <w:sz w:val="20"/>
                <w:szCs w:val="20"/>
              </w:rPr>
              <w:t>0,50</w:t>
            </w:r>
          </w:p>
        </w:tc>
        <w:tc>
          <w:tcPr>
            <w:tcW w:w="702" w:type="pct"/>
            <w:tcBorders>
              <w:top w:val="nil"/>
              <w:left w:val="nil"/>
              <w:bottom w:val="nil"/>
            </w:tcBorders>
            <w:shd w:val="clear" w:color="000000" w:fill="FFFFFF"/>
            <w:vAlign w:val="center"/>
            <w:hideMark/>
          </w:tcPr>
          <w:p w14:paraId="2A246416" w14:textId="77777777" w:rsidR="00335D8A" w:rsidRPr="00BE6A5D" w:rsidRDefault="00335D8A" w:rsidP="00335D8A">
            <w:pPr>
              <w:jc w:val="center"/>
              <w:rPr>
                <w:rFonts w:cs="Arial"/>
                <w:sz w:val="20"/>
                <w:szCs w:val="20"/>
              </w:rPr>
            </w:pPr>
            <w:r w:rsidRPr="00BE6A5D">
              <w:rPr>
                <w:rFonts w:cs="Arial"/>
                <w:sz w:val="20"/>
                <w:szCs w:val="20"/>
              </w:rPr>
              <w:t>80,63</w:t>
            </w:r>
          </w:p>
        </w:tc>
      </w:tr>
      <w:tr w:rsidR="00335D8A" w:rsidRPr="00BE6A5D" w14:paraId="4ED1C2B7" w14:textId="77777777" w:rsidTr="00335D8A">
        <w:trPr>
          <w:trHeight w:val="315"/>
        </w:trPr>
        <w:tc>
          <w:tcPr>
            <w:tcW w:w="1798" w:type="pct"/>
            <w:tcBorders>
              <w:top w:val="nil"/>
              <w:left w:val="nil"/>
              <w:bottom w:val="nil"/>
              <w:right w:val="single" w:sz="8" w:space="0" w:color="auto"/>
            </w:tcBorders>
            <w:shd w:val="clear" w:color="000000" w:fill="FFFFFF"/>
            <w:vAlign w:val="center"/>
            <w:hideMark/>
          </w:tcPr>
          <w:p w14:paraId="6334317A" w14:textId="77777777" w:rsidR="00335D8A" w:rsidRPr="00BE6A5D" w:rsidRDefault="00335D8A" w:rsidP="00335D8A">
            <w:pPr>
              <w:rPr>
                <w:rFonts w:cs="Arial"/>
                <w:sz w:val="20"/>
                <w:szCs w:val="20"/>
              </w:rPr>
            </w:pPr>
            <w:r w:rsidRPr="00BE6A5D">
              <w:rPr>
                <w:rFonts w:cs="Arial"/>
                <w:sz w:val="20"/>
                <w:szCs w:val="20"/>
              </w:rPr>
              <w:t>Poder Judiciário</w:t>
            </w:r>
          </w:p>
        </w:tc>
        <w:tc>
          <w:tcPr>
            <w:tcW w:w="703" w:type="pct"/>
            <w:tcBorders>
              <w:top w:val="nil"/>
              <w:left w:val="nil"/>
              <w:bottom w:val="nil"/>
              <w:right w:val="single" w:sz="8" w:space="0" w:color="auto"/>
            </w:tcBorders>
            <w:shd w:val="clear" w:color="000000" w:fill="FFFFFF"/>
            <w:vAlign w:val="center"/>
            <w:hideMark/>
          </w:tcPr>
          <w:p w14:paraId="645AF2AE" w14:textId="77777777" w:rsidR="00335D8A" w:rsidRPr="00BE6A5D" w:rsidRDefault="00335D8A" w:rsidP="00335D8A">
            <w:pPr>
              <w:jc w:val="right"/>
              <w:rPr>
                <w:rFonts w:cs="Arial"/>
                <w:bCs/>
                <w:sz w:val="20"/>
                <w:szCs w:val="20"/>
              </w:rPr>
            </w:pPr>
            <w:r w:rsidRPr="00BE6A5D">
              <w:rPr>
                <w:rFonts w:cs="Arial"/>
                <w:bCs/>
                <w:sz w:val="20"/>
                <w:szCs w:val="20"/>
              </w:rPr>
              <w:t>1.662.140</w:t>
            </w:r>
          </w:p>
        </w:tc>
        <w:tc>
          <w:tcPr>
            <w:tcW w:w="547" w:type="pct"/>
            <w:tcBorders>
              <w:top w:val="nil"/>
              <w:left w:val="nil"/>
              <w:bottom w:val="nil"/>
              <w:right w:val="single" w:sz="8" w:space="0" w:color="auto"/>
            </w:tcBorders>
            <w:shd w:val="clear" w:color="000000" w:fill="FFFFFF"/>
            <w:vAlign w:val="center"/>
            <w:hideMark/>
          </w:tcPr>
          <w:p w14:paraId="101CE37E" w14:textId="77777777" w:rsidR="00335D8A" w:rsidRPr="00BE6A5D" w:rsidRDefault="00335D8A" w:rsidP="00335D8A">
            <w:pPr>
              <w:jc w:val="center"/>
              <w:rPr>
                <w:rFonts w:cs="Arial"/>
                <w:bCs/>
                <w:sz w:val="20"/>
                <w:szCs w:val="20"/>
              </w:rPr>
            </w:pPr>
            <w:r w:rsidRPr="00BE6A5D">
              <w:rPr>
                <w:rFonts w:cs="Arial"/>
                <w:bCs/>
                <w:sz w:val="20"/>
                <w:szCs w:val="20"/>
              </w:rPr>
              <w:t>4,33</w:t>
            </w:r>
          </w:p>
        </w:tc>
        <w:tc>
          <w:tcPr>
            <w:tcW w:w="547" w:type="pct"/>
            <w:tcBorders>
              <w:top w:val="nil"/>
              <w:left w:val="nil"/>
              <w:bottom w:val="nil"/>
              <w:right w:val="single" w:sz="8" w:space="0" w:color="auto"/>
            </w:tcBorders>
            <w:shd w:val="clear" w:color="000000" w:fill="FFFFFF"/>
            <w:vAlign w:val="center"/>
            <w:hideMark/>
          </w:tcPr>
          <w:p w14:paraId="3F5009ED" w14:textId="77777777" w:rsidR="00335D8A" w:rsidRPr="00BE6A5D" w:rsidRDefault="00335D8A" w:rsidP="00335D8A">
            <w:pPr>
              <w:jc w:val="center"/>
              <w:rPr>
                <w:rFonts w:cs="Arial"/>
                <w:bCs/>
                <w:sz w:val="20"/>
                <w:szCs w:val="20"/>
              </w:rPr>
            </w:pPr>
            <w:r w:rsidRPr="00BE6A5D">
              <w:rPr>
                <w:rFonts w:cs="Arial"/>
                <w:bCs/>
                <w:sz w:val="20"/>
                <w:szCs w:val="20"/>
              </w:rPr>
              <w:t>6,00</w:t>
            </w:r>
          </w:p>
        </w:tc>
        <w:tc>
          <w:tcPr>
            <w:tcW w:w="703" w:type="pct"/>
            <w:tcBorders>
              <w:top w:val="nil"/>
              <w:left w:val="nil"/>
              <w:bottom w:val="nil"/>
              <w:right w:val="single" w:sz="8" w:space="0" w:color="auto"/>
            </w:tcBorders>
            <w:shd w:val="clear" w:color="000000" w:fill="FFFFFF"/>
            <w:vAlign w:val="center"/>
            <w:hideMark/>
          </w:tcPr>
          <w:p w14:paraId="7C99A8ED" w14:textId="77777777" w:rsidR="00335D8A" w:rsidRPr="00BE6A5D" w:rsidRDefault="00335D8A" w:rsidP="00335D8A">
            <w:pPr>
              <w:jc w:val="center"/>
              <w:rPr>
                <w:rFonts w:cs="Arial"/>
                <w:bCs/>
                <w:sz w:val="20"/>
                <w:szCs w:val="20"/>
              </w:rPr>
            </w:pPr>
            <w:r w:rsidRPr="00BE6A5D">
              <w:rPr>
                <w:rFonts w:cs="Arial"/>
                <w:bCs/>
                <w:sz w:val="20"/>
                <w:szCs w:val="20"/>
              </w:rPr>
              <w:t>5,40</w:t>
            </w:r>
          </w:p>
        </w:tc>
        <w:tc>
          <w:tcPr>
            <w:tcW w:w="702" w:type="pct"/>
            <w:tcBorders>
              <w:top w:val="nil"/>
              <w:left w:val="nil"/>
              <w:bottom w:val="nil"/>
            </w:tcBorders>
            <w:shd w:val="clear" w:color="000000" w:fill="FFFFFF"/>
            <w:vAlign w:val="center"/>
            <w:hideMark/>
          </w:tcPr>
          <w:p w14:paraId="2DF29884" w14:textId="77777777" w:rsidR="00335D8A" w:rsidRPr="00BE6A5D" w:rsidRDefault="00335D8A" w:rsidP="00335D8A">
            <w:pPr>
              <w:jc w:val="center"/>
              <w:rPr>
                <w:rFonts w:cs="Arial"/>
                <w:bCs/>
                <w:sz w:val="20"/>
                <w:szCs w:val="20"/>
              </w:rPr>
            </w:pPr>
            <w:r w:rsidRPr="00BE6A5D">
              <w:rPr>
                <w:rFonts w:cs="Arial"/>
                <w:bCs/>
                <w:sz w:val="20"/>
                <w:szCs w:val="20"/>
              </w:rPr>
              <w:t>72,21</w:t>
            </w:r>
          </w:p>
        </w:tc>
      </w:tr>
      <w:tr w:rsidR="00335D8A" w:rsidRPr="00BE6A5D" w14:paraId="2D00A3BE" w14:textId="77777777" w:rsidTr="00335D8A">
        <w:trPr>
          <w:trHeight w:val="315"/>
        </w:trPr>
        <w:tc>
          <w:tcPr>
            <w:tcW w:w="1798" w:type="pct"/>
            <w:tcBorders>
              <w:top w:val="nil"/>
              <w:left w:val="nil"/>
              <w:bottom w:val="nil"/>
              <w:right w:val="single" w:sz="8" w:space="0" w:color="auto"/>
            </w:tcBorders>
            <w:shd w:val="clear" w:color="000000" w:fill="FFFFFF"/>
            <w:vAlign w:val="center"/>
            <w:hideMark/>
          </w:tcPr>
          <w:p w14:paraId="6027BA40" w14:textId="77777777" w:rsidR="00335D8A" w:rsidRPr="00BE6A5D" w:rsidRDefault="00335D8A" w:rsidP="00335D8A">
            <w:pPr>
              <w:rPr>
                <w:rFonts w:cs="Arial"/>
                <w:sz w:val="20"/>
                <w:szCs w:val="20"/>
              </w:rPr>
            </w:pPr>
            <w:r w:rsidRPr="00BE6A5D">
              <w:rPr>
                <w:rFonts w:cs="Arial"/>
                <w:sz w:val="20"/>
                <w:szCs w:val="20"/>
              </w:rPr>
              <w:t>Ministério Público</w:t>
            </w:r>
          </w:p>
        </w:tc>
        <w:tc>
          <w:tcPr>
            <w:tcW w:w="703" w:type="pct"/>
            <w:tcBorders>
              <w:top w:val="nil"/>
              <w:left w:val="nil"/>
              <w:bottom w:val="nil"/>
              <w:right w:val="single" w:sz="8" w:space="0" w:color="auto"/>
            </w:tcBorders>
            <w:shd w:val="clear" w:color="000000" w:fill="FFFFFF"/>
            <w:vAlign w:val="center"/>
            <w:hideMark/>
          </w:tcPr>
          <w:p w14:paraId="6F2105EF" w14:textId="77777777" w:rsidR="00335D8A" w:rsidRPr="00BE6A5D" w:rsidRDefault="00335D8A" w:rsidP="00335D8A">
            <w:pPr>
              <w:jc w:val="right"/>
              <w:rPr>
                <w:rFonts w:cs="Arial"/>
                <w:bCs/>
                <w:sz w:val="20"/>
                <w:szCs w:val="20"/>
              </w:rPr>
            </w:pPr>
            <w:r w:rsidRPr="00BE6A5D">
              <w:rPr>
                <w:rFonts w:cs="Arial"/>
                <w:bCs/>
                <w:sz w:val="20"/>
                <w:szCs w:val="20"/>
              </w:rPr>
              <w:t>638.649</w:t>
            </w:r>
          </w:p>
        </w:tc>
        <w:tc>
          <w:tcPr>
            <w:tcW w:w="547" w:type="pct"/>
            <w:tcBorders>
              <w:top w:val="nil"/>
              <w:left w:val="nil"/>
              <w:bottom w:val="nil"/>
              <w:right w:val="single" w:sz="8" w:space="0" w:color="auto"/>
            </w:tcBorders>
            <w:shd w:val="clear" w:color="000000" w:fill="FFFFFF"/>
            <w:vAlign w:val="center"/>
            <w:hideMark/>
          </w:tcPr>
          <w:p w14:paraId="60ED961C" w14:textId="77777777" w:rsidR="00335D8A" w:rsidRPr="00BE6A5D" w:rsidRDefault="00335D8A" w:rsidP="00335D8A">
            <w:pPr>
              <w:jc w:val="center"/>
              <w:rPr>
                <w:rFonts w:cs="Arial"/>
                <w:bCs/>
                <w:sz w:val="20"/>
                <w:szCs w:val="20"/>
              </w:rPr>
            </w:pPr>
            <w:r w:rsidRPr="00BE6A5D">
              <w:rPr>
                <w:rFonts w:cs="Arial"/>
                <w:bCs/>
                <w:sz w:val="20"/>
                <w:szCs w:val="20"/>
              </w:rPr>
              <w:t>1,66</w:t>
            </w:r>
          </w:p>
        </w:tc>
        <w:tc>
          <w:tcPr>
            <w:tcW w:w="547" w:type="pct"/>
            <w:tcBorders>
              <w:top w:val="nil"/>
              <w:left w:val="nil"/>
              <w:bottom w:val="nil"/>
              <w:right w:val="single" w:sz="8" w:space="0" w:color="auto"/>
            </w:tcBorders>
            <w:shd w:val="clear" w:color="000000" w:fill="FFFFFF"/>
            <w:vAlign w:val="center"/>
            <w:hideMark/>
          </w:tcPr>
          <w:p w14:paraId="15A4ACC8" w14:textId="77777777" w:rsidR="00335D8A" w:rsidRPr="00BE6A5D" w:rsidRDefault="00335D8A" w:rsidP="00335D8A">
            <w:pPr>
              <w:jc w:val="center"/>
              <w:rPr>
                <w:rFonts w:cs="Arial"/>
                <w:bCs/>
                <w:sz w:val="20"/>
                <w:szCs w:val="20"/>
              </w:rPr>
            </w:pPr>
            <w:r w:rsidRPr="00BE6A5D">
              <w:rPr>
                <w:rFonts w:cs="Arial"/>
                <w:bCs/>
                <w:sz w:val="20"/>
                <w:szCs w:val="20"/>
              </w:rPr>
              <w:t>2,00</w:t>
            </w:r>
          </w:p>
        </w:tc>
        <w:tc>
          <w:tcPr>
            <w:tcW w:w="703" w:type="pct"/>
            <w:tcBorders>
              <w:top w:val="nil"/>
              <w:left w:val="nil"/>
              <w:bottom w:val="nil"/>
              <w:right w:val="single" w:sz="8" w:space="0" w:color="auto"/>
            </w:tcBorders>
            <w:shd w:val="clear" w:color="000000" w:fill="FFFFFF"/>
            <w:vAlign w:val="center"/>
            <w:hideMark/>
          </w:tcPr>
          <w:p w14:paraId="69852AC1" w14:textId="77777777" w:rsidR="00335D8A" w:rsidRPr="00BE6A5D" w:rsidRDefault="00335D8A" w:rsidP="00335D8A">
            <w:pPr>
              <w:jc w:val="center"/>
              <w:rPr>
                <w:rFonts w:cs="Arial"/>
                <w:bCs/>
                <w:sz w:val="20"/>
                <w:szCs w:val="20"/>
              </w:rPr>
            </w:pPr>
            <w:r w:rsidRPr="00BE6A5D">
              <w:rPr>
                <w:rFonts w:cs="Arial"/>
                <w:bCs/>
                <w:sz w:val="20"/>
                <w:szCs w:val="20"/>
              </w:rPr>
              <w:t>1,80</w:t>
            </w:r>
          </w:p>
        </w:tc>
        <w:tc>
          <w:tcPr>
            <w:tcW w:w="702" w:type="pct"/>
            <w:tcBorders>
              <w:top w:val="nil"/>
              <w:left w:val="nil"/>
              <w:bottom w:val="nil"/>
            </w:tcBorders>
            <w:shd w:val="clear" w:color="000000" w:fill="FFFFFF"/>
            <w:vAlign w:val="center"/>
            <w:hideMark/>
          </w:tcPr>
          <w:p w14:paraId="34C60D7F" w14:textId="77777777" w:rsidR="00335D8A" w:rsidRPr="00BE6A5D" w:rsidRDefault="00335D8A" w:rsidP="00335D8A">
            <w:pPr>
              <w:jc w:val="center"/>
              <w:rPr>
                <w:rFonts w:cs="Arial"/>
                <w:bCs/>
                <w:sz w:val="20"/>
                <w:szCs w:val="20"/>
              </w:rPr>
            </w:pPr>
            <w:r w:rsidRPr="00BE6A5D">
              <w:rPr>
                <w:rFonts w:cs="Arial"/>
                <w:bCs/>
                <w:sz w:val="20"/>
                <w:szCs w:val="20"/>
              </w:rPr>
              <w:t>83,24</w:t>
            </w:r>
          </w:p>
        </w:tc>
      </w:tr>
      <w:tr w:rsidR="00335D8A" w:rsidRPr="00BE6A5D" w14:paraId="0FFCF1CA" w14:textId="77777777" w:rsidTr="00335D8A">
        <w:trPr>
          <w:trHeight w:val="315"/>
        </w:trPr>
        <w:tc>
          <w:tcPr>
            <w:tcW w:w="1798" w:type="pct"/>
            <w:tcBorders>
              <w:top w:val="single" w:sz="8" w:space="0" w:color="auto"/>
              <w:left w:val="nil"/>
              <w:bottom w:val="single" w:sz="8" w:space="0" w:color="auto"/>
              <w:right w:val="single" w:sz="8" w:space="0" w:color="auto"/>
            </w:tcBorders>
            <w:shd w:val="clear" w:color="000000" w:fill="FFFFFF"/>
            <w:vAlign w:val="center"/>
            <w:hideMark/>
          </w:tcPr>
          <w:p w14:paraId="0C968B5D" w14:textId="77777777" w:rsidR="00335D8A" w:rsidRPr="00BE6A5D" w:rsidRDefault="00335D8A" w:rsidP="00335D8A">
            <w:pPr>
              <w:jc w:val="center"/>
              <w:rPr>
                <w:rFonts w:cs="Arial"/>
                <w:b/>
                <w:bCs/>
                <w:sz w:val="20"/>
                <w:szCs w:val="20"/>
              </w:rPr>
            </w:pPr>
            <w:r w:rsidRPr="00BE6A5D">
              <w:rPr>
                <w:rFonts w:cs="Arial"/>
                <w:b/>
                <w:bCs/>
                <w:sz w:val="20"/>
                <w:szCs w:val="20"/>
              </w:rPr>
              <w:t>Total</w:t>
            </w:r>
          </w:p>
        </w:tc>
        <w:tc>
          <w:tcPr>
            <w:tcW w:w="703" w:type="pct"/>
            <w:tcBorders>
              <w:top w:val="single" w:sz="8" w:space="0" w:color="auto"/>
              <w:left w:val="nil"/>
              <w:bottom w:val="single" w:sz="8" w:space="0" w:color="auto"/>
              <w:right w:val="single" w:sz="8" w:space="0" w:color="auto"/>
            </w:tcBorders>
            <w:shd w:val="clear" w:color="000000" w:fill="FFFFFF"/>
            <w:vAlign w:val="center"/>
            <w:hideMark/>
          </w:tcPr>
          <w:p w14:paraId="066D3260" w14:textId="77777777" w:rsidR="00335D8A" w:rsidRPr="00BE6A5D" w:rsidRDefault="00335D8A" w:rsidP="00335D8A">
            <w:pPr>
              <w:jc w:val="right"/>
              <w:rPr>
                <w:rFonts w:cs="Arial"/>
                <w:b/>
                <w:bCs/>
                <w:sz w:val="20"/>
                <w:szCs w:val="20"/>
              </w:rPr>
            </w:pPr>
            <w:r w:rsidRPr="00BE6A5D">
              <w:rPr>
                <w:rFonts w:cs="Arial"/>
                <w:b/>
                <w:bCs/>
                <w:sz w:val="20"/>
                <w:szCs w:val="20"/>
              </w:rPr>
              <w:t>19.859.480</w:t>
            </w:r>
          </w:p>
        </w:tc>
        <w:tc>
          <w:tcPr>
            <w:tcW w:w="547" w:type="pct"/>
            <w:tcBorders>
              <w:top w:val="single" w:sz="8" w:space="0" w:color="auto"/>
              <w:left w:val="nil"/>
              <w:bottom w:val="single" w:sz="8" w:space="0" w:color="auto"/>
              <w:right w:val="single" w:sz="8" w:space="0" w:color="auto"/>
            </w:tcBorders>
            <w:shd w:val="clear" w:color="000000" w:fill="FFFFFF"/>
            <w:vAlign w:val="center"/>
            <w:hideMark/>
          </w:tcPr>
          <w:p w14:paraId="26323A35" w14:textId="77777777" w:rsidR="00335D8A" w:rsidRPr="00BE6A5D" w:rsidRDefault="00335D8A" w:rsidP="00335D8A">
            <w:pPr>
              <w:jc w:val="center"/>
              <w:rPr>
                <w:rFonts w:cs="Arial"/>
                <w:b/>
                <w:bCs/>
                <w:sz w:val="20"/>
                <w:szCs w:val="20"/>
              </w:rPr>
            </w:pPr>
            <w:r w:rsidRPr="00BE6A5D">
              <w:rPr>
                <w:rFonts w:cs="Arial"/>
                <w:b/>
                <w:bCs/>
                <w:sz w:val="20"/>
                <w:szCs w:val="20"/>
              </w:rPr>
              <w:t>51,77</w:t>
            </w:r>
          </w:p>
        </w:tc>
        <w:tc>
          <w:tcPr>
            <w:tcW w:w="547" w:type="pct"/>
            <w:tcBorders>
              <w:top w:val="single" w:sz="8" w:space="0" w:color="auto"/>
              <w:left w:val="nil"/>
              <w:bottom w:val="single" w:sz="8" w:space="0" w:color="auto"/>
              <w:right w:val="single" w:sz="8" w:space="0" w:color="auto"/>
            </w:tcBorders>
            <w:shd w:val="clear" w:color="000000" w:fill="FFFFFF"/>
            <w:vAlign w:val="center"/>
            <w:hideMark/>
          </w:tcPr>
          <w:p w14:paraId="6FEFD8F8" w14:textId="77777777" w:rsidR="00335D8A" w:rsidRPr="00BE6A5D" w:rsidRDefault="00335D8A" w:rsidP="00335D8A">
            <w:pPr>
              <w:jc w:val="center"/>
              <w:rPr>
                <w:rFonts w:cs="Arial"/>
                <w:b/>
                <w:bCs/>
                <w:sz w:val="20"/>
                <w:szCs w:val="20"/>
              </w:rPr>
            </w:pPr>
            <w:r w:rsidRPr="00BE6A5D">
              <w:rPr>
                <w:rFonts w:cs="Arial"/>
                <w:b/>
                <w:bCs/>
                <w:sz w:val="20"/>
                <w:szCs w:val="20"/>
              </w:rPr>
              <w:t>60,00</w:t>
            </w:r>
          </w:p>
        </w:tc>
        <w:tc>
          <w:tcPr>
            <w:tcW w:w="703" w:type="pct"/>
            <w:tcBorders>
              <w:top w:val="single" w:sz="8" w:space="0" w:color="auto"/>
              <w:left w:val="nil"/>
              <w:bottom w:val="single" w:sz="8" w:space="0" w:color="auto"/>
              <w:right w:val="single" w:sz="8" w:space="0" w:color="auto"/>
            </w:tcBorders>
            <w:shd w:val="clear" w:color="000000" w:fill="FFFFFF"/>
            <w:vAlign w:val="center"/>
            <w:hideMark/>
          </w:tcPr>
          <w:p w14:paraId="5F639A80" w14:textId="77777777" w:rsidR="00335D8A" w:rsidRPr="00BE6A5D" w:rsidRDefault="00335D8A" w:rsidP="00335D8A">
            <w:pPr>
              <w:jc w:val="center"/>
              <w:rPr>
                <w:rFonts w:cs="Arial"/>
                <w:b/>
                <w:bCs/>
                <w:sz w:val="20"/>
                <w:szCs w:val="20"/>
              </w:rPr>
            </w:pPr>
            <w:r w:rsidRPr="00BE6A5D">
              <w:rPr>
                <w:rFonts w:cs="Arial"/>
                <w:b/>
                <w:bCs/>
                <w:sz w:val="20"/>
                <w:szCs w:val="20"/>
              </w:rPr>
              <w:t>54,00</w:t>
            </w:r>
          </w:p>
        </w:tc>
        <w:tc>
          <w:tcPr>
            <w:tcW w:w="702" w:type="pct"/>
            <w:tcBorders>
              <w:top w:val="single" w:sz="8" w:space="0" w:color="auto"/>
              <w:left w:val="nil"/>
              <w:bottom w:val="single" w:sz="8" w:space="0" w:color="auto"/>
            </w:tcBorders>
            <w:shd w:val="clear" w:color="000000" w:fill="FFFFFF"/>
            <w:vAlign w:val="center"/>
            <w:hideMark/>
          </w:tcPr>
          <w:p w14:paraId="0B2B1CCF" w14:textId="77777777" w:rsidR="00335D8A" w:rsidRPr="00BE6A5D" w:rsidRDefault="00335D8A" w:rsidP="00335D8A">
            <w:pPr>
              <w:jc w:val="center"/>
              <w:rPr>
                <w:rFonts w:cs="Arial"/>
                <w:b/>
                <w:bCs/>
                <w:sz w:val="20"/>
                <w:szCs w:val="20"/>
              </w:rPr>
            </w:pPr>
            <w:r w:rsidRPr="00BE6A5D">
              <w:rPr>
                <w:rFonts w:cs="Arial"/>
                <w:b/>
                <w:bCs/>
                <w:sz w:val="20"/>
                <w:szCs w:val="20"/>
              </w:rPr>
              <w:t>86,28</w:t>
            </w:r>
          </w:p>
        </w:tc>
      </w:tr>
    </w:tbl>
    <w:p w14:paraId="75D49BE2" w14:textId="77777777" w:rsidR="00335D8A" w:rsidRPr="002F3D42" w:rsidRDefault="00335D8A" w:rsidP="00335D8A">
      <w:pPr>
        <w:pStyle w:val="1-FONTE8ESQ"/>
      </w:pPr>
      <w:r w:rsidRPr="002F3D42">
        <w:t>Fonte: RGFs do 3º quadrimestre de 2023</w:t>
      </w:r>
    </w:p>
    <w:p w14:paraId="786D3492" w14:textId="77777777" w:rsidR="00335D8A" w:rsidRPr="001C305A" w:rsidRDefault="00335D8A" w:rsidP="00335D8A">
      <w:pPr>
        <w:pStyle w:val="1-REL11"/>
      </w:pPr>
      <w:r w:rsidRPr="001C305A">
        <w:t>Preliminarmente, destaca-se que os processos relativos ao RGF do 3º quadrimestre de 2023, que subsidiaram a análise do percentual de gastos com pessoal por cada Poder e Órgão Autônomo,</w:t>
      </w:r>
      <w:r>
        <w:t xml:space="preserve"> ainda</w:t>
      </w:r>
      <w:r w:rsidRPr="001C305A">
        <w:t xml:space="preserve"> estão em trâmite nesta Corte de Contas, sem decisão de mérito até a elaboração deste Relatório Técnico.</w:t>
      </w:r>
    </w:p>
    <w:p w14:paraId="1086AE77" w14:textId="77777777" w:rsidR="00335D8A" w:rsidRPr="001C305A" w:rsidRDefault="00335D8A" w:rsidP="00335D8A">
      <w:pPr>
        <w:pStyle w:val="1-REL11"/>
      </w:pPr>
      <w:r w:rsidRPr="001C305A">
        <w:t>Dos percentuais apresentados na tabela anterior, todos</w:t>
      </w:r>
      <w:r>
        <w:t xml:space="preserve"> os</w:t>
      </w:r>
      <w:r w:rsidRPr="001C305A">
        <w:t xml:space="preserve"> Poderes e Órgãos</w:t>
      </w:r>
      <w:r>
        <w:t xml:space="preserve"> Autônomos</w:t>
      </w:r>
      <w:r w:rsidRPr="001C305A" w:rsidDel="004B5F18">
        <w:t xml:space="preserve"> </w:t>
      </w:r>
      <w:r w:rsidRPr="001C305A">
        <w:t>mantiveram suas despesas com pessoal abaixo do limite máximo</w:t>
      </w:r>
      <w:r>
        <w:t xml:space="preserve"> permitido pela LRF</w:t>
      </w:r>
      <w:r w:rsidRPr="001C305A">
        <w:t>.</w:t>
      </w:r>
    </w:p>
    <w:p w14:paraId="19DFD497" w14:textId="77777777" w:rsidR="00335D8A" w:rsidRPr="001C305A" w:rsidRDefault="00335D8A" w:rsidP="00335D8A">
      <w:pPr>
        <w:pStyle w:val="1-REL11"/>
      </w:pPr>
      <w:r w:rsidRPr="001C305A">
        <w:t>Visto que a maioria das execuções de políticas públicas são efetuadas pelo Poder Executivo, tem-se como resultado que a maior parte dos recursos para pagamento de pessoal é direcionada para este poder (83,51%), seguido, respectivamente, pelo Poder Judiciário (8,37%), Poder Legislativo (4,91%) e Ministério Público (3,22%).</w:t>
      </w:r>
    </w:p>
    <w:p w14:paraId="3AEB51AA" w14:textId="77777777" w:rsidR="00335D8A" w:rsidRPr="001C305A" w:rsidRDefault="00335D8A" w:rsidP="00335D8A">
      <w:pPr>
        <w:pStyle w:val="1-REL11"/>
      </w:pPr>
      <w:r w:rsidRPr="001C305A">
        <w:t xml:space="preserve">No âmbito das despesas com pessoal do Poder Legislativo, nota-se que a Alego consome </w:t>
      </w:r>
      <w:r>
        <w:t>49,94</w:t>
      </w:r>
      <w:r w:rsidRPr="001C305A">
        <w:t>%, o TCE/GO cerca de 3</w:t>
      </w:r>
      <w:r>
        <w:t>2,60</w:t>
      </w:r>
      <w:r w:rsidRPr="001C305A">
        <w:t>% e o TCM</w:t>
      </w:r>
      <w:r>
        <w:t>/</w:t>
      </w:r>
      <w:r w:rsidRPr="001C305A">
        <w:t>GO os 1</w:t>
      </w:r>
      <w:r>
        <w:t>7,46</w:t>
      </w:r>
      <w:r w:rsidRPr="001C305A">
        <w:t>% restantes das despesas direcionadas para o Poder Legislativo.</w:t>
      </w:r>
    </w:p>
    <w:p w14:paraId="70A8B20F" w14:textId="77777777" w:rsidR="00335D8A" w:rsidRPr="001C305A" w:rsidRDefault="00335D8A" w:rsidP="00A224E9">
      <w:pPr>
        <w:pStyle w:val="Ttulo3"/>
      </w:pPr>
      <w:bookmarkStart w:id="118" w:name="_Toc167871643"/>
      <w:r>
        <w:t>Resumo do</w:t>
      </w:r>
      <w:r w:rsidRPr="001C305A">
        <w:t xml:space="preserve"> Limite da Despesa com Pessoal</w:t>
      </w:r>
      <w:bookmarkEnd w:id="118"/>
    </w:p>
    <w:p w14:paraId="12C3D859" w14:textId="77777777" w:rsidR="00335D8A" w:rsidRDefault="00335D8A" w:rsidP="00335D8A">
      <w:pPr>
        <w:pStyle w:val="1-REL11"/>
      </w:pPr>
      <w:r>
        <w:t>O resumo do</w:t>
      </w:r>
      <w:r w:rsidRPr="001C305A">
        <w:t>s gastos com pessoal dos Poderes e Órgãos Autônomos para 2023</w:t>
      </w:r>
      <w:r>
        <w:t xml:space="preserve"> ficaram desta maneira:</w:t>
      </w:r>
    </w:p>
    <w:p w14:paraId="7E4F7B36" w14:textId="77777777" w:rsidR="00335D8A" w:rsidRDefault="00335D8A" w:rsidP="00335D8A">
      <w:pPr>
        <w:pStyle w:val="1-REL11"/>
      </w:pPr>
      <w:r w:rsidRPr="00F57B92">
        <w:t>O Poder Executivo apresentou percentual de gastos com pessoal de 43,23% da RCL. O limite máximo atribuído para o Poder Executivo é de 48,60%, conforme ar</w:t>
      </w:r>
      <w:r>
        <w:t>t.</w:t>
      </w:r>
      <w:r w:rsidRPr="00F57B92">
        <w:t xml:space="preserve"> 20, </w:t>
      </w:r>
      <w:r>
        <w:t xml:space="preserve">inciso </w:t>
      </w:r>
      <w:r w:rsidRPr="00F57B92">
        <w:t xml:space="preserve">II, </w:t>
      </w:r>
      <w:r>
        <w:t xml:space="preserve">alínea </w:t>
      </w:r>
      <w:r w:rsidRPr="00F57B92">
        <w:t>c, combinado com §</w:t>
      </w:r>
      <w:r>
        <w:t> </w:t>
      </w:r>
      <w:r w:rsidRPr="00F57B92">
        <w:t>4º do mesmo artigo da LRF.</w:t>
      </w:r>
    </w:p>
    <w:p w14:paraId="4A36BF40" w14:textId="77777777" w:rsidR="00335D8A" w:rsidRDefault="00335D8A" w:rsidP="00335D8A">
      <w:pPr>
        <w:pStyle w:val="1-REL11"/>
      </w:pPr>
      <w:r w:rsidRPr="00F57B92">
        <w:t>A A</w:t>
      </w:r>
      <w:r>
        <w:t>lego</w:t>
      </w:r>
      <w:r w:rsidRPr="00F57B92">
        <w:t xml:space="preserve"> apresentou o percentual de gastos com pessoal de 1,27% da RCL, portanto, abaixo do limite máximo de 1,50% conferido pelo art</w:t>
      </w:r>
      <w:r>
        <w:t>.</w:t>
      </w:r>
      <w:r w:rsidRPr="00F57B92">
        <w:t xml:space="preserve"> 2º da LCE nº 112/2014, e art</w:t>
      </w:r>
      <w:r>
        <w:t>.</w:t>
      </w:r>
      <w:r w:rsidRPr="00F57B92">
        <w:t xml:space="preserve"> 20, </w:t>
      </w:r>
      <w:r>
        <w:t xml:space="preserve">inciso </w:t>
      </w:r>
      <w:r w:rsidRPr="00F57B92">
        <w:t xml:space="preserve">II, </w:t>
      </w:r>
      <w:r>
        <w:t>alínea </w:t>
      </w:r>
      <w:r w:rsidRPr="00F57B92">
        <w:t>a, combinado com §</w:t>
      </w:r>
      <w:r>
        <w:t xml:space="preserve"> </w:t>
      </w:r>
      <w:r w:rsidRPr="00F57B92">
        <w:t xml:space="preserve">1º do mesmo art. 20 da </w:t>
      </w:r>
      <w:r>
        <w:t>LRF</w:t>
      </w:r>
      <w:r w:rsidRPr="00F57B92">
        <w:t>.</w:t>
      </w:r>
    </w:p>
    <w:p w14:paraId="3153E52D" w14:textId="77777777" w:rsidR="00335D8A" w:rsidRDefault="00335D8A" w:rsidP="00335D8A">
      <w:pPr>
        <w:pStyle w:val="1-REL11"/>
      </w:pPr>
      <w:r w:rsidRPr="00F57B92">
        <w:lastRenderedPageBreak/>
        <w:t>O Tribunal de Contas do Estado</w:t>
      </w:r>
      <w:r>
        <w:t xml:space="preserve"> (TCE/GO)</w:t>
      </w:r>
      <w:r w:rsidRPr="00F57B92">
        <w:t xml:space="preserve"> apresentou percentual de gastos com pessoal de 0,83% da RCL e está, portanto, dentro do limite máximo de 1,35% da RCL permitido pel</w:t>
      </w:r>
      <w:r>
        <w:t>o art. 20, inciso II, alínea a, combinado com o § 1º do artigo 20 da</w:t>
      </w:r>
      <w:r w:rsidRPr="00F57B92">
        <w:t xml:space="preserve"> </w:t>
      </w:r>
      <w:r>
        <w:t>LRF</w:t>
      </w:r>
      <w:r w:rsidRPr="00F57B92">
        <w:t>.</w:t>
      </w:r>
    </w:p>
    <w:p w14:paraId="7A8BAA8A" w14:textId="77777777" w:rsidR="00335D8A" w:rsidRDefault="00335D8A" w:rsidP="00335D8A">
      <w:pPr>
        <w:pStyle w:val="1-REL11"/>
      </w:pPr>
      <w:r w:rsidRPr="00F57B92">
        <w:t xml:space="preserve">O </w:t>
      </w:r>
      <w:r>
        <w:t>TCM/GO</w:t>
      </w:r>
      <w:r w:rsidRPr="00F57B92">
        <w:t xml:space="preserve"> teve percentual de gastos com pessoal de 0,44% da RCL e também está dentro do teto de 0,55% da RCL com fundamento no art</w:t>
      </w:r>
      <w:r>
        <w:t>.</w:t>
      </w:r>
      <w:r w:rsidRPr="00F57B92">
        <w:t xml:space="preserve"> 2º da LCE nº 112/2014, e art</w:t>
      </w:r>
      <w:r>
        <w:t>.</w:t>
      </w:r>
      <w:r w:rsidRPr="00F57B92">
        <w:t xml:space="preserve"> 20, </w:t>
      </w:r>
      <w:r>
        <w:t xml:space="preserve">inciso </w:t>
      </w:r>
      <w:r w:rsidRPr="00F57B92">
        <w:t xml:space="preserve">II, </w:t>
      </w:r>
      <w:r>
        <w:t xml:space="preserve">alínea </w:t>
      </w:r>
      <w:r w:rsidRPr="00F57B92">
        <w:t>a, combinado com §</w:t>
      </w:r>
      <w:r>
        <w:t xml:space="preserve"> </w:t>
      </w:r>
      <w:r w:rsidRPr="00F57B92">
        <w:t xml:space="preserve">1º do mesmo art. 20 da </w:t>
      </w:r>
      <w:r>
        <w:t>LRF</w:t>
      </w:r>
      <w:r w:rsidRPr="00F57B92">
        <w:t>.</w:t>
      </w:r>
    </w:p>
    <w:p w14:paraId="5B1A5D01" w14:textId="77777777" w:rsidR="00335D8A" w:rsidRDefault="00335D8A" w:rsidP="00335D8A">
      <w:pPr>
        <w:pStyle w:val="1-REL11"/>
      </w:pPr>
      <w:r w:rsidRPr="00F57B92">
        <w:t>O Poder Judiciário atingiu o percentual de gastos com pessoal de 4,33% da RCL. Desta forma, cumpriu o limite de 6,00% da RCL estabelecido pelo art</w:t>
      </w:r>
      <w:r>
        <w:t>.</w:t>
      </w:r>
      <w:r w:rsidRPr="00F57B92">
        <w:t xml:space="preserve"> 20,</w:t>
      </w:r>
      <w:r>
        <w:t xml:space="preserve"> inciso</w:t>
      </w:r>
      <w:r w:rsidRPr="00F57B92">
        <w:t xml:space="preserve"> II, </w:t>
      </w:r>
      <w:r>
        <w:t xml:space="preserve">alínea </w:t>
      </w:r>
      <w:r w:rsidRPr="00F57B92">
        <w:t xml:space="preserve">b, da </w:t>
      </w:r>
      <w:r>
        <w:t>LRF</w:t>
      </w:r>
      <w:r w:rsidRPr="00F57B92">
        <w:t>.</w:t>
      </w:r>
    </w:p>
    <w:p w14:paraId="1D6EC65C" w14:textId="77777777" w:rsidR="00335D8A" w:rsidRDefault="00335D8A" w:rsidP="00335D8A">
      <w:pPr>
        <w:pStyle w:val="1-REL11"/>
      </w:pPr>
      <w:r w:rsidRPr="00F57B92">
        <w:t>O Ministério Público apresentou o percentual de gastos com pessoal de 1,66% da RCL, e este percentual está dentro do limite máximo (2,00%)</w:t>
      </w:r>
      <w:r>
        <w:t xml:space="preserve"> definido pelo art. 20, inciso II, alínea d, da LRF</w:t>
      </w:r>
      <w:r w:rsidRPr="00F57B92">
        <w:t>.</w:t>
      </w:r>
    </w:p>
    <w:p w14:paraId="3DBC667A" w14:textId="77777777" w:rsidR="00335D8A" w:rsidRDefault="00335D8A" w:rsidP="00335D8A">
      <w:pPr>
        <w:pStyle w:val="1-REL11"/>
      </w:pPr>
      <w:r w:rsidRPr="00F57B92">
        <w:t>A</w:t>
      </w:r>
      <w:r>
        <w:t xml:space="preserve"> </w:t>
      </w:r>
      <w:r w:rsidRPr="00F57B92">
        <w:t>Defensoria Pública</w:t>
      </w:r>
      <w:r>
        <w:t xml:space="preserve"> do Estado de Goiás (DPE/GO)</w:t>
      </w:r>
      <w:r w:rsidRPr="00F57B92">
        <w:t xml:space="preserve">, conforme demonstrado anteriormente, foi considerada dentro do limite atribuído para o Poder Executivo, por não possuir limite próprio definido em </w:t>
      </w:r>
      <w:r>
        <w:t>l</w:t>
      </w:r>
      <w:r w:rsidRPr="00F57B92">
        <w:t>ei. Todavia, o gasto com pessoal é de 0,28% da RCL ajustada.</w:t>
      </w:r>
    </w:p>
    <w:p w14:paraId="7FB432DA" w14:textId="77777777" w:rsidR="00335D8A" w:rsidRPr="001C305A" w:rsidRDefault="00335D8A" w:rsidP="00A224E9">
      <w:pPr>
        <w:pStyle w:val="Ttulo3"/>
      </w:pPr>
      <w:bookmarkStart w:id="119" w:name="_Toc167871644"/>
      <w:r w:rsidRPr="001C305A">
        <w:t>Evolução da Despesa com Pessoal dos Poderes e Órgãos</w:t>
      </w:r>
      <w:r>
        <w:t xml:space="preserve"> Autônomos</w:t>
      </w:r>
      <w:bookmarkEnd w:id="119"/>
    </w:p>
    <w:p w14:paraId="3DB752F1" w14:textId="760A0D1C" w:rsidR="00E6391B" w:rsidRDefault="00335D8A" w:rsidP="00E6391B">
      <w:pPr>
        <w:pStyle w:val="1-REL11"/>
      </w:pPr>
      <w:r w:rsidRPr="001C305A">
        <w:t>Tendo em vista a representatividade dos gastos com pessoal em relação à despesa total, evidencia-se a seguir a evolução anual dos valores despendidos nesta rubrica pelos Poderes e Órgãos</w:t>
      </w:r>
      <w:r>
        <w:t xml:space="preserve"> Autônomos</w:t>
      </w:r>
      <w:r w:rsidRPr="001C305A">
        <w:t>, segundo os critérios estabelecidos pela LRF, analisados a partir dos RGFs.</w:t>
      </w:r>
    </w:p>
    <w:p w14:paraId="5F5A8647" w14:textId="7C07D5FE" w:rsidR="00335D8A" w:rsidRPr="00E6391B" w:rsidRDefault="00E6391B" w:rsidP="00ED3571">
      <w:pPr>
        <w:pStyle w:val="0-TABELA"/>
        <w:rPr>
          <w:b/>
        </w:rPr>
      </w:pPr>
      <w:bookmarkStart w:id="120" w:name="_Toc167871748"/>
      <w:r w:rsidRPr="001C305A">
        <w:t xml:space="preserve">Apuração </w:t>
      </w:r>
      <w:r w:rsidR="00335D8A" w:rsidRPr="001C305A">
        <w:t xml:space="preserve">Despesas com Pessoal dos </w:t>
      </w:r>
      <w:r w:rsidR="00335D8A" w:rsidRPr="00147059">
        <w:t>Poderes e Órgãos Autônomos</w:t>
      </w:r>
      <w:r w:rsidR="00086DE4">
        <w:t xml:space="preserve"> </w:t>
      </w:r>
      <w:r w:rsidRPr="001C305A">
        <w:t>– 20</w:t>
      </w:r>
      <w:r>
        <w:t>19 a 2023</w:t>
      </w:r>
      <w:bookmarkEnd w:id="120"/>
    </w:p>
    <w:p w14:paraId="2EDE3B71" w14:textId="77777777" w:rsidR="00335D8A" w:rsidRPr="001C305A" w:rsidRDefault="00335D8A" w:rsidP="00335D8A">
      <w:pPr>
        <w:pStyle w:val="1-emR1-8ptDIR"/>
      </w:pPr>
      <w:r w:rsidRPr="001C305A">
        <w:t>R$ mil</w:t>
      </w:r>
    </w:p>
    <w:tbl>
      <w:tblPr>
        <w:tblW w:w="5000" w:type="pct"/>
        <w:tblLayout w:type="fixed"/>
        <w:tblCellMar>
          <w:left w:w="70" w:type="dxa"/>
          <w:right w:w="70" w:type="dxa"/>
        </w:tblCellMar>
        <w:tblLook w:val="04A0" w:firstRow="1" w:lastRow="0" w:firstColumn="1" w:lastColumn="0" w:noHBand="0" w:noVBand="1"/>
      </w:tblPr>
      <w:tblGrid>
        <w:gridCol w:w="2195"/>
        <w:gridCol w:w="1007"/>
        <w:gridCol w:w="1007"/>
        <w:gridCol w:w="1007"/>
        <w:gridCol w:w="1007"/>
        <w:gridCol w:w="1007"/>
        <w:gridCol w:w="1135"/>
        <w:gridCol w:w="988"/>
      </w:tblGrid>
      <w:tr w:rsidR="00862E98" w:rsidRPr="009035C2" w14:paraId="50A91DE9" w14:textId="77777777" w:rsidTr="00E73548">
        <w:trPr>
          <w:trHeight w:val="195"/>
          <w:tblHeader/>
        </w:trPr>
        <w:tc>
          <w:tcPr>
            <w:tcW w:w="1173" w:type="pct"/>
            <w:vMerge w:val="restart"/>
            <w:tcBorders>
              <w:top w:val="single" w:sz="8" w:space="0" w:color="auto"/>
              <w:left w:val="nil"/>
              <w:right w:val="single" w:sz="8" w:space="0" w:color="auto"/>
            </w:tcBorders>
            <w:shd w:val="clear" w:color="000000" w:fill="A1F2FD"/>
            <w:vAlign w:val="center"/>
            <w:hideMark/>
          </w:tcPr>
          <w:p w14:paraId="1E9B3C3D" w14:textId="77777777" w:rsidR="00862E98" w:rsidRPr="009035C2" w:rsidRDefault="00862E98" w:rsidP="00335D8A">
            <w:pPr>
              <w:jc w:val="center"/>
              <w:rPr>
                <w:rFonts w:cs="Arial"/>
                <w:b/>
                <w:sz w:val="18"/>
                <w:szCs w:val="18"/>
              </w:rPr>
            </w:pPr>
            <w:r w:rsidRPr="009035C2">
              <w:rPr>
                <w:rFonts w:cs="Arial"/>
                <w:b/>
                <w:sz w:val="18"/>
                <w:szCs w:val="18"/>
              </w:rPr>
              <w:t>Poderes e Órgãos Autônomos</w:t>
            </w:r>
          </w:p>
        </w:tc>
        <w:tc>
          <w:tcPr>
            <w:tcW w:w="538" w:type="pct"/>
            <w:vMerge w:val="restart"/>
            <w:tcBorders>
              <w:top w:val="single" w:sz="8" w:space="0" w:color="auto"/>
              <w:left w:val="nil"/>
              <w:right w:val="single" w:sz="8" w:space="0" w:color="auto"/>
            </w:tcBorders>
            <w:shd w:val="clear" w:color="000000" w:fill="A1F2FD"/>
            <w:vAlign w:val="center"/>
            <w:hideMark/>
          </w:tcPr>
          <w:p w14:paraId="4462B000" w14:textId="77777777" w:rsidR="00862E98" w:rsidRPr="009035C2" w:rsidRDefault="00862E98" w:rsidP="009035C2">
            <w:pPr>
              <w:ind w:hanging="133"/>
              <w:jc w:val="center"/>
              <w:rPr>
                <w:rFonts w:cs="Arial"/>
                <w:b/>
                <w:sz w:val="18"/>
                <w:szCs w:val="18"/>
              </w:rPr>
            </w:pPr>
            <w:r w:rsidRPr="009035C2">
              <w:rPr>
                <w:rFonts w:cs="Arial"/>
                <w:b/>
                <w:sz w:val="18"/>
                <w:szCs w:val="18"/>
              </w:rPr>
              <w:t>2019</w:t>
            </w:r>
          </w:p>
        </w:tc>
        <w:tc>
          <w:tcPr>
            <w:tcW w:w="538" w:type="pct"/>
            <w:vMerge w:val="restart"/>
            <w:tcBorders>
              <w:top w:val="single" w:sz="8" w:space="0" w:color="auto"/>
              <w:left w:val="nil"/>
              <w:right w:val="single" w:sz="8" w:space="0" w:color="auto"/>
            </w:tcBorders>
            <w:shd w:val="clear" w:color="000000" w:fill="A1F2FD"/>
            <w:vAlign w:val="center"/>
            <w:hideMark/>
          </w:tcPr>
          <w:p w14:paraId="1906C08D" w14:textId="77777777" w:rsidR="00862E98" w:rsidRPr="009035C2" w:rsidRDefault="00862E98" w:rsidP="009035C2">
            <w:pPr>
              <w:ind w:hanging="129"/>
              <w:jc w:val="center"/>
              <w:rPr>
                <w:rFonts w:cs="Arial"/>
                <w:b/>
                <w:sz w:val="18"/>
                <w:szCs w:val="18"/>
              </w:rPr>
            </w:pPr>
            <w:r w:rsidRPr="009035C2">
              <w:rPr>
                <w:rFonts w:cs="Arial"/>
                <w:b/>
                <w:sz w:val="18"/>
                <w:szCs w:val="18"/>
              </w:rPr>
              <w:t>2020</w:t>
            </w:r>
          </w:p>
        </w:tc>
        <w:tc>
          <w:tcPr>
            <w:tcW w:w="538" w:type="pct"/>
            <w:vMerge w:val="restart"/>
            <w:tcBorders>
              <w:top w:val="single" w:sz="8" w:space="0" w:color="auto"/>
              <w:left w:val="nil"/>
              <w:right w:val="single" w:sz="8" w:space="0" w:color="auto"/>
            </w:tcBorders>
            <w:shd w:val="clear" w:color="000000" w:fill="A1F2FD"/>
            <w:vAlign w:val="center"/>
            <w:hideMark/>
          </w:tcPr>
          <w:p w14:paraId="33159ED1" w14:textId="77777777" w:rsidR="00862E98" w:rsidRPr="009035C2" w:rsidRDefault="00862E98" w:rsidP="009035C2">
            <w:pPr>
              <w:ind w:hanging="108"/>
              <w:jc w:val="center"/>
              <w:rPr>
                <w:rFonts w:cs="Arial"/>
                <w:b/>
                <w:sz w:val="18"/>
                <w:szCs w:val="18"/>
              </w:rPr>
            </w:pPr>
            <w:r w:rsidRPr="009035C2">
              <w:rPr>
                <w:rFonts w:cs="Arial"/>
                <w:b/>
                <w:sz w:val="18"/>
                <w:szCs w:val="18"/>
              </w:rPr>
              <w:t>2021</w:t>
            </w:r>
          </w:p>
        </w:tc>
        <w:tc>
          <w:tcPr>
            <w:tcW w:w="538" w:type="pct"/>
            <w:vMerge w:val="restart"/>
            <w:tcBorders>
              <w:top w:val="single" w:sz="8" w:space="0" w:color="auto"/>
              <w:left w:val="nil"/>
              <w:right w:val="single" w:sz="8" w:space="0" w:color="auto"/>
            </w:tcBorders>
            <w:shd w:val="clear" w:color="000000" w:fill="A1F2FD"/>
            <w:vAlign w:val="center"/>
            <w:hideMark/>
          </w:tcPr>
          <w:p w14:paraId="5F7A773D" w14:textId="77777777" w:rsidR="00862E98" w:rsidRPr="009035C2" w:rsidRDefault="00862E98" w:rsidP="009035C2">
            <w:pPr>
              <w:ind w:hanging="87"/>
              <w:jc w:val="center"/>
              <w:rPr>
                <w:rFonts w:cs="Arial"/>
                <w:b/>
                <w:sz w:val="18"/>
                <w:szCs w:val="18"/>
              </w:rPr>
            </w:pPr>
            <w:r w:rsidRPr="009035C2">
              <w:rPr>
                <w:rFonts w:cs="Arial"/>
                <w:b/>
                <w:sz w:val="18"/>
                <w:szCs w:val="18"/>
              </w:rPr>
              <w:t>2022</w:t>
            </w:r>
          </w:p>
        </w:tc>
        <w:tc>
          <w:tcPr>
            <w:tcW w:w="538" w:type="pct"/>
            <w:vMerge w:val="restart"/>
            <w:tcBorders>
              <w:top w:val="single" w:sz="8" w:space="0" w:color="auto"/>
              <w:left w:val="nil"/>
              <w:right w:val="single" w:sz="8" w:space="0" w:color="auto"/>
            </w:tcBorders>
            <w:shd w:val="clear" w:color="000000" w:fill="A1F2FD"/>
            <w:vAlign w:val="center"/>
            <w:hideMark/>
          </w:tcPr>
          <w:p w14:paraId="783D4BA7" w14:textId="77777777" w:rsidR="00862E98" w:rsidRPr="009035C2" w:rsidRDefault="00862E98" w:rsidP="009035C2">
            <w:pPr>
              <w:ind w:hanging="82"/>
              <w:jc w:val="center"/>
              <w:rPr>
                <w:rFonts w:cs="Arial"/>
                <w:b/>
                <w:sz w:val="18"/>
                <w:szCs w:val="18"/>
              </w:rPr>
            </w:pPr>
            <w:r w:rsidRPr="009035C2">
              <w:rPr>
                <w:rFonts w:cs="Arial"/>
                <w:b/>
                <w:sz w:val="18"/>
                <w:szCs w:val="18"/>
              </w:rPr>
              <w:t>2023</w:t>
            </w:r>
          </w:p>
        </w:tc>
        <w:tc>
          <w:tcPr>
            <w:tcW w:w="607" w:type="pct"/>
            <w:tcBorders>
              <w:top w:val="single" w:sz="8" w:space="0" w:color="auto"/>
              <w:left w:val="nil"/>
              <w:right w:val="single" w:sz="8" w:space="0" w:color="auto"/>
            </w:tcBorders>
            <w:shd w:val="clear" w:color="000000" w:fill="A1F2FD"/>
            <w:vAlign w:val="center"/>
            <w:hideMark/>
          </w:tcPr>
          <w:p w14:paraId="3A784CB9" w14:textId="2235D60D" w:rsidR="00862E98" w:rsidRPr="009035C2" w:rsidRDefault="00862E98" w:rsidP="00862E98">
            <w:pPr>
              <w:ind w:left="-66"/>
              <w:jc w:val="center"/>
              <w:rPr>
                <w:rFonts w:cs="Arial"/>
                <w:b/>
                <w:sz w:val="18"/>
                <w:szCs w:val="18"/>
              </w:rPr>
            </w:pPr>
            <w:r w:rsidRPr="009035C2">
              <w:rPr>
                <w:rFonts w:cs="Arial"/>
                <w:b/>
                <w:sz w:val="18"/>
                <w:szCs w:val="18"/>
              </w:rPr>
              <w:t>∆ 2023 x 2019</w:t>
            </w:r>
          </w:p>
        </w:tc>
        <w:tc>
          <w:tcPr>
            <w:tcW w:w="528" w:type="pct"/>
            <w:tcBorders>
              <w:top w:val="single" w:sz="8" w:space="0" w:color="auto"/>
              <w:left w:val="nil"/>
            </w:tcBorders>
            <w:shd w:val="clear" w:color="000000" w:fill="A1F2FD"/>
            <w:vAlign w:val="center"/>
            <w:hideMark/>
          </w:tcPr>
          <w:p w14:paraId="6CF6BC77" w14:textId="2FC53904" w:rsidR="00862E98" w:rsidRPr="009035C2" w:rsidRDefault="00862E98" w:rsidP="00862E98">
            <w:pPr>
              <w:ind w:left="-142" w:right="-71"/>
              <w:jc w:val="center"/>
              <w:rPr>
                <w:rFonts w:cs="Arial"/>
                <w:b/>
                <w:sz w:val="18"/>
                <w:szCs w:val="18"/>
              </w:rPr>
            </w:pPr>
            <w:r w:rsidRPr="009035C2">
              <w:rPr>
                <w:rFonts w:cs="Arial"/>
                <w:b/>
                <w:sz w:val="18"/>
                <w:szCs w:val="18"/>
              </w:rPr>
              <w:t xml:space="preserve">∆ 2023 x 2022 </w:t>
            </w:r>
          </w:p>
        </w:tc>
      </w:tr>
      <w:tr w:rsidR="00862E98" w:rsidRPr="009035C2" w14:paraId="5D0CCDF9" w14:textId="77777777" w:rsidTr="00E73548">
        <w:trPr>
          <w:trHeight w:val="173"/>
          <w:tblHeader/>
        </w:trPr>
        <w:tc>
          <w:tcPr>
            <w:tcW w:w="1173" w:type="pct"/>
            <w:vMerge/>
            <w:tcBorders>
              <w:left w:val="nil"/>
              <w:right w:val="single" w:sz="8" w:space="0" w:color="auto"/>
            </w:tcBorders>
            <w:shd w:val="clear" w:color="000000" w:fill="A1F2FD"/>
            <w:vAlign w:val="center"/>
          </w:tcPr>
          <w:p w14:paraId="1EC50707" w14:textId="77777777" w:rsidR="00862E98" w:rsidRPr="009035C2" w:rsidRDefault="00862E98" w:rsidP="00335D8A">
            <w:pPr>
              <w:jc w:val="center"/>
              <w:rPr>
                <w:rFonts w:cs="Arial"/>
                <w:b/>
                <w:sz w:val="18"/>
                <w:szCs w:val="18"/>
              </w:rPr>
            </w:pPr>
          </w:p>
        </w:tc>
        <w:tc>
          <w:tcPr>
            <w:tcW w:w="538" w:type="pct"/>
            <w:vMerge/>
            <w:tcBorders>
              <w:left w:val="nil"/>
              <w:right w:val="single" w:sz="8" w:space="0" w:color="auto"/>
            </w:tcBorders>
            <w:shd w:val="clear" w:color="000000" w:fill="A1F2FD"/>
            <w:vAlign w:val="center"/>
          </w:tcPr>
          <w:p w14:paraId="07AB5B6F" w14:textId="77777777" w:rsidR="00862E98" w:rsidRPr="009035C2" w:rsidRDefault="00862E98" w:rsidP="009035C2">
            <w:pPr>
              <w:ind w:hanging="133"/>
              <w:jc w:val="center"/>
              <w:rPr>
                <w:rFonts w:cs="Arial"/>
                <w:b/>
                <w:sz w:val="18"/>
                <w:szCs w:val="18"/>
              </w:rPr>
            </w:pPr>
          </w:p>
        </w:tc>
        <w:tc>
          <w:tcPr>
            <w:tcW w:w="538" w:type="pct"/>
            <w:vMerge/>
            <w:tcBorders>
              <w:left w:val="nil"/>
              <w:right w:val="single" w:sz="8" w:space="0" w:color="auto"/>
            </w:tcBorders>
            <w:shd w:val="clear" w:color="000000" w:fill="A1F2FD"/>
            <w:vAlign w:val="center"/>
          </w:tcPr>
          <w:p w14:paraId="53DF542A" w14:textId="77777777" w:rsidR="00862E98" w:rsidRPr="009035C2" w:rsidRDefault="00862E98" w:rsidP="009035C2">
            <w:pPr>
              <w:ind w:hanging="129"/>
              <w:jc w:val="center"/>
              <w:rPr>
                <w:rFonts w:cs="Arial"/>
                <w:b/>
                <w:sz w:val="18"/>
                <w:szCs w:val="18"/>
              </w:rPr>
            </w:pPr>
          </w:p>
        </w:tc>
        <w:tc>
          <w:tcPr>
            <w:tcW w:w="538" w:type="pct"/>
            <w:vMerge/>
            <w:tcBorders>
              <w:left w:val="nil"/>
              <w:right w:val="single" w:sz="8" w:space="0" w:color="auto"/>
            </w:tcBorders>
            <w:shd w:val="clear" w:color="000000" w:fill="A1F2FD"/>
            <w:vAlign w:val="center"/>
          </w:tcPr>
          <w:p w14:paraId="39ACBADB" w14:textId="77777777" w:rsidR="00862E98" w:rsidRPr="009035C2" w:rsidRDefault="00862E98" w:rsidP="009035C2">
            <w:pPr>
              <w:ind w:hanging="108"/>
              <w:jc w:val="center"/>
              <w:rPr>
                <w:rFonts w:cs="Arial"/>
                <w:b/>
                <w:sz w:val="18"/>
                <w:szCs w:val="18"/>
              </w:rPr>
            </w:pPr>
          </w:p>
        </w:tc>
        <w:tc>
          <w:tcPr>
            <w:tcW w:w="538" w:type="pct"/>
            <w:vMerge/>
            <w:tcBorders>
              <w:left w:val="nil"/>
              <w:right w:val="single" w:sz="8" w:space="0" w:color="auto"/>
            </w:tcBorders>
            <w:shd w:val="clear" w:color="000000" w:fill="A1F2FD"/>
            <w:vAlign w:val="center"/>
          </w:tcPr>
          <w:p w14:paraId="3289371B" w14:textId="77777777" w:rsidR="00862E98" w:rsidRPr="009035C2" w:rsidRDefault="00862E98" w:rsidP="009035C2">
            <w:pPr>
              <w:ind w:hanging="87"/>
              <w:jc w:val="center"/>
              <w:rPr>
                <w:rFonts w:cs="Arial"/>
                <w:b/>
                <w:sz w:val="18"/>
                <w:szCs w:val="18"/>
              </w:rPr>
            </w:pPr>
          </w:p>
        </w:tc>
        <w:tc>
          <w:tcPr>
            <w:tcW w:w="538" w:type="pct"/>
            <w:vMerge/>
            <w:tcBorders>
              <w:left w:val="nil"/>
              <w:right w:val="single" w:sz="8" w:space="0" w:color="auto"/>
            </w:tcBorders>
            <w:shd w:val="clear" w:color="000000" w:fill="A1F2FD"/>
            <w:vAlign w:val="center"/>
          </w:tcPr>
          <w:p w14:paraId="5513CE97" w14:textId="77777777" w:rsidR="00862E98" w:rsidRPr="009035C2" w:rsidRDefault="00862E98" w:rsidP="009035C2">
            <w:pPr>
              <w:ind w:hanging="82"/>
              <w:jc w:val="center"/>
              <w:rPr>
                <w:rFonts w:cs="Arial"/>
                <w:b/>
                <w:sz w:val="18"/>
                <w:szCs w:val="18"/>
              </w:rPr>
            </w:pPr>
          </w:p>
        </w:tc>
        <w:tc>
          <w:tcPr>
            <w:tcW w:w="607" w:type="pct"/>
            <w:tcBorders>
              <w:left w:val="nil"/>
              <w:right w:val="single" w:sz="8" w:space="0" w:color="auto"/>
            </w:tcBorders>
            <w:shd w:val="clear" w:color="000000" w:fill="A1F2FD"/>
            <w:vAlign w:val="center"/>
          </w:tcPr>
          <w:p w14:paraId="73E95124" w14:textId="2A0ABBC4" w:rsidR="00862E98" w:rsidRPr="009035C2" w:rsidRDefault="00862E98" w:rsidP="00335D8A">
            <w:pPr>
              <w:jc w:val="center"/>
              <w:rPr>
                <w:rFonts w:cs="Arial"/>
                <w:b/>
                <w:sz w:val="18"/>
                <w:szCs w:val="18"/>
              </w:rPr>
            </w:pPr>
            <w:r w:rsidRPr="009035C2">
              <w:rPr>
                <w:rFonts w:cs="Arial"/>
                <w:b/>
                <w:bCs/>
                <w:sz w:val="18"/>
                <w:szCs w:val="18"/>
              </w:rPr>
              <w:t>%</w:t>
            </w:r>
          </w:p>
        </w:tc>
        <w:tc>
          <w:tcPr>
            <w:tcW w:w="528" w:type="pct"/>
            <w:tcBorders>
              <w:left w:val="nil"/>
            </w:tcBorders>
            <w:shd w:val="clear" w:color="000000" w:fill="A1F2FD"/>
            <w:vAlign w:val="center"/>
          </w:tcPr>
          <w:p w14:paraId="58DACD8F" w14:textId="08B71737" w:rsidR="00862E98" w:rsidRPr="009035C2" w:rsidRDefault="00862E98" w:rsidP="00335D8A">
            <w:pPr>
              <w:jc w:val="center"/>
              <w:rPr>
                <w:rFonts w:cs="Arial"/>
                <w:b/>
                <w:sz w:val="18"/>
                <w:szCs w:val="18"/>
              </w:rPr>
            </w:pPr>
            <w:r w:rsidRPr="009035C2">
              <w:rPr>
                <w:rFonts w:cs="Arial"/>
                <w:b/>
                <w:bCs/>
                <w:sz w:val="18"/>
                <w:szCs w:val="18"/>
              </w:rPr>
              <w:t>%</w:t>
            </w:r>
          </w:p>
        </w:tc>
      </w:tr>
      <w:tr w:rsidR="00862E98" w:rsidRPr="009035C2" w14:paraId="32182F9C" w14:textId="77777777" w:rsidTr="00E73548">
        <w:trPr>
          <w:trHeight w:val="406"/>
          <w:tblHeader/>
        </w:trPr>
        <w:tc>
          <w:tcPr>
            <w:tcW w:w="1173" w:type="pct"/>
            <w:vMerge/>
            <w:tcBorders>
              <w:left w:val="nil"/>
              <w:bottom w:val="single" w:sz="8" w:space="0" w:color="333300"/>
              <w:right w:val="single" w:sz="8" w:space="0" w:color="auto"/>
            </w:tcBorders>
            <w:shd w:val="clear" w:color="000000" w:fill="A1F2FD"/>
            <w:vAlign w:val="center"/>
          </w:tcPr>
          <w:p w14:paraId="141C4FDB" w14:textId="77777777" w:rsidR="00862E98" w:rsidRPr="009035C2" w:rsidRDefault="00862E98" w:rsidP="00862E98">
            <w:pPr>
              <w:jc w:val="center"/>
              <w:rPr>
                <w:rFonts w:cs="Arial"/>
                <w:b/>
                <w:sz w:val="18"/>
                <w:szCs w:val="18"/>
              </w:rPr>
            </w:pPr>
          </w:p>
        </w:tc>
        <w:tc>
          <w:tcPr>
            <w:tcW w:w="538" w:type="pct"/>
            <w:tcBorders>
              <w:left w:val="nil"/>
              <w:bottom w:val="single" w:sz="8" w:space="0" w:color="auto"/>
              <w:right w:val="single" w:sz="8" w:space="0" w:color="auto"/>
            </w:tcBorders>
            <w:shd w:val="clear" w:color="000000" w:fill="A1F2FD"/>
            <w:vAlign w:val="center"/>
          </w:tcPr>
          <w:p w14:paraId="1D303D6E" w14:textId="21F7DF71" w:rsidR="00862E98" w:rsidRPr="009035C2" w:rsidRDefault="00862E98" w:rsidP="009035C2">
            <w:pPr>
              <w:ind w:hanging="133"/>
              <w:jc w:val="center"/>
              <w:rPr>
                <w:rFonts w:cs="Arial"/>
                <w:b/>
                <w:sz w:val="18"/>
                <w:szCs w:val="18"/>
              </w:rPr>
            </w:pPr>
            <w:r w:rsidRPr="009035C2">
              <w:rPr>
                <w:rFonts w:cs="Arial"/>
                <w:b/>
                <w:sz w:val="18"/>
                <w:szCs w:val="18"/>
              </w:rPr>
              <w:t>(a)</w:t>
            </w:r>
          </w:p>
        </w:tc>
        <w:tc>
          <w:tcPr>
            <w:tcW w:w="538" w:type="pct"/>
            <w:tcBorders>
              <w:left w:val="nil"/>
              <w:bottom w:val="single" w:sz="8" w:space="0" w:color="auto"/>
              <w:right w:val="single" w:sz="8" w:space="0" w:color="auto"/>
            </w:tcBorders>
            <w:shd w:val="clear" w:color="000000" w:fill="A1F2FD"/>
            <w:vAlign w:val="center"/>
          </w:tcPr>
          <w:p w14:paraId="5EB179A1" w14:textId="09AF985A" w:rsidR="00862E98" w:rsidRPr="009035C2" w:rsidRDefault="00862E98" w:rsidP="009035C2">
            <w:pPr>
              <w:ind w:hanging="129"/>
              <w:jc w:val="center"/>
              <w:rPr>
                <w:rFonts w:cs="Arial"/>
                <w:b/>
                <w:sz w:val="18"/>
                <w:szCs w:val="18"/>
              </w:rPr>
            </w:pPr>
            <w:r w:rsidRPr="009035C2">
              <w:rPr>
                <w:rFonts w:cs="Arial"/>
                <w:b/>
                <w:sz w:val="18"/>
                <w:szCs w:val="18"/>
              </w:rPr>
              <w:t>(b)</w:t>
            </w:r>
          </w:p>
        </w:tc>
        <w:tc>
          <w:tcPr>
            <w:tcW w:w="538" w:type="pct"/>
            <w:tcBorders>
              <w:left w:val="nil"/>
              <w:bottom w:val="single" w:sz="8" w:space="0" w:color="auto"/>
              <w:right w:val="single" w:sz="8" w:space="0" w:color="auto"/>
            </w:tcBorders>
            <w:shd w:val="clear" w:color="000000" w:fill="A1F2FD"/>
            <w:vAlign w:val="center"/>
          </w:tcPr>
          <w:p w14:paraId="5993F911" w14:textId="628E4965" w:rsidR="00862E98" w:rsidRPr="009035C2" w:rsidRDefault="00862E98" w:rsidP="009035C2">
            <w:pPr>
              <w:ind w:hanging="108"/>
              <w:jc w:val="center"/>
              <w:rPr>
                <w:rFonts w:cs="Arial"/>
                <w:b/>
                <w:sz w:val="18"/>
                <w:szCs w:val="18"/>
              </w:rPr>
            </w:pPr>
            <w:r w:rsidRPr="009035C2">
              <w:rPr>
                <w:rFonts w:cs="Arial"/>
                <w:b/>
                <w:sz w:val="18"/>
                <w:szCs w:val="18"/>
              </w:rPr>
              <w:t>(c)</w:t>
            </w:r>
          </w:p>
        </w:tc>
        <w:tc>
          <w:tcPr>
            <w:tcW w:w="538" w:type="pct"/>
            <w:tcBorders>
              <w:left w:val="nil"/>
              <w:bottom w:val="single" w:sz="8" w:space="0" w:color="auto"/>
              <w:right w:val="single" w:sz="8" w:space="0" w:color="auto"/>
            </w:tcBorders>
            <w:shd w:val="clear" w:color="000000" w:fill="A1F2FD"/>
            <w:vAlign w:val="center"/>
          </w:tcPr>
          <w:p w14:paraId="1CC6EA61" w14:textId="486B464C" w:rsidR="00862E98" w:rsidRPr="009035C2" w:rsidRDefault="00862E98" w:rsidP="009035C2">
            <w:pPr>
              <w:ind w:hanging="87"/>
              <w:jc w:val="center"/>
              <w:rPr>
                <w:rFonts w:cs="Arial"/>
                <w:b/>
                <w:sz w:val="18"/>
                <w:szCs w:val="18"/>
              </w:rPr>
            </w:pPr>
            <w:r w:rsidRPr="009035C2">
              <w:rPr>
                <w:rFonts w:cs="Arial"/>
                <w:b/>
                <w:sz w:val="18"/>
                <w:szCs w:val="18"/>
              </w:rPr>
              <w:t>(d)</w:t>
            </w:r>
          </w:p>
        </w:tc>
        <w:tc>
          <w:tcPr>
            <w:tcW w:w="538" w:type="pct"/>
            <w:tcBorders>
              <w:left w:val="nil"/>
              <w:bottom w:val="single" w:sz="8" w:space="0" w:color="auto"/>
              <w:right w:val="single" w:sz="8" w:space="0" w:color="auto"/>
            </w:tcBorders>
            <w:shd w:val="clear" w:color="000000" w:fill="A1F2FD"/>
            <w:vAlign w:val="center"/>
          </w:tcPr>
          <w:p w14:paraId="161A3F9E" w14:textId="0C1E4CEB" w:rsidR="00862E98" w:rsidRPr="009035C2" w:rsidRDefault="00862E98" w:rsidP="009035C2">
            <w:pPr>
              <w:ind w:hanging="82"/>
              <w:jc w:val="center"/>
              <w:rPr>
                <w:rFonts w:cs="Arial"/>
                <w:b/>
                <w:sz w:val="18"/>
                <w:szCs w:val="18"/>
              </w:rPr>
            </w:pPr>
            <w:r w:rsidRPr="009035C2">
              <w:rPr>
                <w:rFonts w:cs="Arial"/>
                <w:b/>
                <w:sz w:val="18"/>
                <w:szCs w:val="18"/>
              </w:rPr>
              <w:t>(e)</w:t>
            </w:r>
          </w:p>
        </w:tc>
        <w:tc>
          <w:tcPr>
            <w:tcW w:w="607" w:type="pct"/>
            <w:tcBorders>
              <w:left w:val="nil"/>
              <w:bottom w:val="single" w:sz="8" w:space="0" w:color="auto"/>
              <w:right w:val="single" w:sz="8" w:space="0" w:color="auto"/>
            </w:tcBorders>
            <w:shd w:val="clear" w:color="000000" w:fill="A1F2FD"/>
            <w:vAlign w:val="center"/>
          </w:tcPr>
          <w:p w14:paraId="3776F90B" w14:textId="77777777" w:rsidR="00E73548" w:rsidRDefault="00862E98" w:rsidP="00862E98">
            <w:pPr>
              <w:ind w:left="-155" w:right="-105"/>
              <w:jc w:val="center"/>
              <w:rPr>
                <w:rFonts w:cs="Arial"/>
                <w:b/>
                <w:bCs/>
                <w:color w:val="000000"/>
                <w:sz w:val="18"/>
                <w:szCs w:val="18"/>
              </w:rPr>
            </w:pPr>
            <w:r w:rsidRPr="009035C2">
              <w:rPr>
                <w:rFonts w:cs="Arial"/>
                <w:b/>
                <w:bCs/>
                <w:color w:val="000000"/>
                <w:sz w:val="18"/>
                <w:szCs w:val="18"/>
              </w:rPr>
              <w:t>(f) =</w:t>
            </w:r>
          </w:p>
          <w:p w14:paraId="0807429B" w14:textId="1B5C1AA5" w:rsidR="00862E98" w:rsidRPr="009035C2" w:rsidRDefault="00862E98" w:rsidP="00862E98">
            <w:pPr>
              <w:ind w:left="-155" w:right="-105"/>
              <w:jc w:val="center"/>
              <w:rPr>
                <w:rFonts w:cs="Arial"/>
                <w:b/>
                <w:sz w:val="18"/>
                <w:szCs w:val="18"/>
              </w:rPr>
            </w:pPr>
            <w:r w:rsidRPr="009035C2">
              <w:rPr>
                <w:rFonts w:cs="Arial"/>
                <w:b/>
                <w:bCs/>
                <w:color w:val="000000"/>
                <w:sz w:val="18"/>
                <w:szCs w:val="18"/>
              </w:rPr>
              <w:t xml:space="preserve"> ((e-a)/a))</w:t>
            </w:r>
          </w:p>
        </w:tc>
        <w:tc>
          <w:tcPr>
            <w:tcW w:w="528" w:type="pct"/>
            <w:tcBorders>
              <w:left w:val="nil"/>
              <w:bottom w:val="single" w:sz="8" w:space="0" w:color="auto"/>
            </w:tcBorders>
            <w:shd w:val="clear" w:color="000000" w:fill="A1F2FD"/>
            <w:vAlign w:val="center"/>
          </w:tcPr>
          <w:p w14:paraId="7F679CBC" w14:textId="77777777" w:rsidR="00E73548" w:rsidRDefault="00862E98" w:rsidP="00862E98">
            <w:pPr>
              <w:ind w:left="-188" w:right="-71"/>
              <w:jc w:val="center"/>
              <w:rPr>
                <w:rFonts w:cs="Arial"/>
                <w:b/>
                <w:bCs/>
                <w:color w:val="000000"/>
                <w:sz w:val="18"/>
                <w:szCs w:val="18"/>
              </w:rPr>
            </w:pPr>
            <w:r w:rsidRPr="009035C2">
              <w:rPr>
                <w:rFonts w:cs="Arial"/>
                <w:b/>
                <w:bCs/>
                <w:color w:val="000000"/>
                <w:sz w:val="18"/>
                <w:szCs w:val="18"/>
              </w:rPr>
              <w:t>(g) =</w:t>
            </w:r>
          </w:p>
          <w:p w14:paraId="1992DC40" w14:textId="56B1D5E5" w:rsidR="00862E98" w:rsidRPr="009035C2" w:rsidRDefault="00862E98" w:rsidP="00862E98">
            <w:pPr>
              <w:ind w:left="-188" w:right="-71"/>
              <w:jc w:val="center"/>
              <w:rPr>
                <w:rFonts w:cs="Arial"/>
                <w:b/>
                <w:sz w:val="18"/>
                <w:szCs w:val="18"/>
              </w:rPr>
            </w:pPr>
            <w:r w:rsidRPr="009035C2">
              <w:rPr>
                <w:rFonts w:cs="Arial"/>
                <w:b/>
                <w:bCs/>
                <w:color w:val="000000"/>
                <w:sz w:val="18"/>
                <w:szCs w:val="18"/>
              </w:rPr>
              <w:t xml:space="preserve"> ((e-d)/d))</w:t>
            </w:r>
          </w:p>
        </w:tc>
      </w:tr>
      <w:tr w:rsidR="00862E98" w:rsidRPr="009035C2" w14:paraId="73DA41CE" w14:textId="77777777" w:rsidTr="00E73548">
        <w:trPr>
          <w:trHeight w:val="284"/>
        </w:trPr>
        <w:tc>
          <w:tcPr>
            <w:tcW w:w="1173" w:type="pct"/>
            <w:tcBorders>
              <w:top w:val="nil"/>
              <w:left w:val="nil"/>
              <w:bottom w:val="nil"/>
              <w:right w:val="single" w:sz="8" w:space="0" w:color="333300"/>
            </w:tcBorders>
            <w:shd w:val="clear" w:color="000000" w:fill="FFFFFF"/>
            <w:vAlign w:val="center"/>
            <w:hideMark/>
          </w:tcPr>
          <w:p w14:paraId="02ED5714" w14:textId="77777777" w:rsidR="00335D8A" w:rsidRPr="009035C2" w:rsidRDefault="00335D8A" w:rsidP="00335D8A">
            <w:pPr>
              <w:rPr>
                <w:rFonts w:cs="Arial"/>
                <w:b/>
                <w:bCs/>
                <w:sz w:val="18"/>
                <w:szCs w:val="18"/>
              </w:rPr>
            </w:pPr>
            <w:r w:rsidRPr="009035C2">
              <w:rPr>
                <w:rFonts w:cs="Arial"/>
                <w:b/>
                <w:bCs/>
                <w:sz w:val="18"/>
                <w:szCs w:val="18"/>
              </w:rPr>
              <w:t>Poder Executivo</w:t>
            </w:r>
          </w:p>
        </w:tc>
        <w:tc>
          <w:tcPr>
            <w:tcW w:w="538" w:type="pct"/>
            <w:tcBorders>
              <w:top w:val="nil"/>
              <w:left w:val="single" w:sz="8" w:space="0" w:color="333300"/>
              <w:bottom w:val="nil"/>
              <w:right w:val="nil"/>
            </w:tcBorders>
            <w:shd w:val="clear" w:color="000000" w:fill="FFFFFF"/>
            <w:vAlign w:val="center"/>
            <w:hideMark/>
          </w:tcPr>
          <w:p w14:paraId="66324F2A" w14:textId="77777777" w:rsidR="00335D8A" w:rsidRPr="009035C2" w:rsidRDefault="00335D8A" w:rsidP="009035C2">
            <w:pPr>
              <w:ind w:hanging="133"/>
              <w:jc w:val="right"/>
              <w:rPr>
                <w:rFonts w:cs="Arial"/>
                <w:b/>
                <w:bCs/>
                <w:sz w:val="18"/>
                <w:szCs w:val="18"/>
              </w:rPr>
            </w:pPr>
            <w:r w:rsidRPr="009035C2">
              <w:rPr>
                <w:rFonts w:cs="Arial"/>
                <w:b/>
                <w:bCs/>
                <w:sz w:val="18"/>
                <w:szCs w:val="18"/>
              </w:rPr>
              <w:t>12.115.175</w:t>
            </w:r>
          </w:p>
        </w:tc>
        <w:tc>
          <w:tcPr>
            <w:tcW w:w="538" w:type="pct"/>
            <w:tcBorders>
              <w:top w:val="nil"/>
              <w:left w:val="single" w:sz="8" w:space="0" w:color="333300"/>
              <w:bottom w:val="nil"/>
              <w:right w:val="nil"/>
            </w:tcBorders>
            <w:shd w:val="clear" w:color="000000" w:fill="FFFFFF"/>
            <w:vAlign w:val="center"/>
            <w:hideMark/>
          </w:tcPr>
          <w:p w14:paraId="3313E13E" w14:textId="77777777" w:rsidR="00335D8A" w:rsidRPr="009035C2" w:rsidRDefault="00335D8A" w:rsidP="009035C2">
            <w:pPr>
              <w:ind w:hanging="129"/>
              <w:jc w:val="right"/>
              <w:rPr>
                <w:rFonts w:cs="Arial"/>
                <w:b/>
                <w:bCs/>
                <w:sz w:val="18"/>
                <w:szCs w:val="18"/>
              </w:rPr>
            </w:pPr>
            <w:r w:rsidRPr="009035C2">
              <w:rPr>
                <w:rFonts w:cs="Arial"/>
                <w:b/>
                <w:bCs/>
                <w:sz w:val="18"/>
                <w:szCs w:val="18"/>
              </w:rPr>
              <w:t>11.808.077</w:t>
            </w:r>
          </w:p>
        </w:tc>
        <w:tc>
          <w:tcPr>
            <w:tcW w:w="538" w:type="pct"/>
            <w:tcBorders>
              <w:top w:val="nil"/>
              <w:left w:val="single" w:sz="8" w:space="0" w:color="333300"/>
              <w:bottom w:val="nil"/>
              <w:right w:val="nil"/>
            </w:tcBorders>
            <w:shd w:val="clear" w:color="000000" w:fill="FFFFFF"/>
            <w:vAlign w:val="center"/>
            <w:hideMark/>
          </w:tcPr>
          <w:p w14:paraId="1CB4CFFB" w14:textId="77777777" w:rsidR="00335D8A" w:rsidRPr="009035C2" w:rsidRDefault="00335D8A" w:rsidP="009035C2">
            <w:pPr>
              <w:ind w:hanging="108"/>
              <w:jc w:val="right"/>
              <w:rPr>
                <w:rFonts w:cs="Arial"/>
                <w:b/>
                <w:bCs/>
                <w:sz w:val="18"/>
                <w:szCs w:val="18"/>
              </w:rPr>
            </w:pPr>
            <w:r w:rsidRPr="009035C2">
              <w:rPr>
                <w:rFonts w:cs="Arial"/>
                <w:b/>
                <w:bCs/>
                <w:sz w:val="18"/>
                <w:szCs w:val="18"/>
              </w:rPr>
              <w:t>12.074.219</w:t>
            </w:r>
          </w:p>
        </w:tc>
        <w:tc>
          <w:tcPr>
            <w:tcW w:w="538" w:type="pct"/>
            <w:tcBorders>
              <w:top w:val="nil"/>
              <w:left w:val="single" w:sz="8" w:space="0" w:color="333300"/>
              <w:bottom w:val="nil"/>
              <w:right w:val="nil"/>
            </w:tcBorders>
            <w:shd w:val="clear" w:color="000000" w:fill="FFFFFF"/>
            <w:vAlign w:val="center"/>
            <w:hideMark/>
          </w:tcPr>
          <w:p w14:paraId="5F9B9C76" w14:textId="77777777" w:rsidR="00335D8A" w:rsidRPr="009035C2" w:rsidRDefault="00335D8A" w:rsidP="009035C2">
            <w:pPr>
              <w:ind w:hanging="87"/>
              <w:jc w:val="right"/>
              <w:rPr>
                <w:rFonts w:cs="Arial"/>
                <w:b/>
                <w:bCs/>
                <w:sz w:val="18"/>
                <w:szCs w:val="18"/>
              </w:rPr>
            </w:pPr>
            <w:r w:rsidRPr="009035C2">
              <w:rPr>
                <w:rFonts w:cs="Arial"/>
                <w:b/>
                <w:bCs/>
                <w:sz w:val="18"/>
                <w:szCs w:val="18"/>
              </w:rPr>
              <w:t>15.071.567</w:t>
            </w:r>
          </w:p>
        </w:tc>
        <w:tc>
          <w:tcPr>
            <w:tcW w:w="538" w:type="pct"/>
            <w:tcBorders>
              <w:top w:val="nil"/>
              <w:left w:val="single" w:sz="8" w:space="0" w:color="333300"/>
              <w:bottom w:val="nil"/>
              <w:right w:val="nil"/>
            </w:tcBorders>
            <w:shd w:val="clear" w:color="000000" w:fill="FFFFFF"/>
            <w:vAlign w:val="center"/>
            <w:hideMark/>
          </w:tcPr>
          <w:p w14:paraId="6FCE3142" w14:textId="77777777" w:rsidR="00335D8A" w:rsidRPr="009035C2" w:rsidRDefault="00335D8A" w:rsidP="009035C2">
            <w:pPr>
              <w:ind w:hanging="82"/>
              <w:jc w:val="right"/>
              <w:rPr>
                <w:rFonts w:cs="Arial"/>
                <w:b/>
                <w:bCs/>
                <w:sz w:val="18"/>
                <w:szCs w:val="18"/>
              </w:rPr>
            </w:pPr>
            <w:r w:rsidRPr="009035C2">
              <w:rPr>
                <w:rFonts w:cs="Arial"/>
                <w:b/>
                <w:bCs/>
                <w:sz w:val="18"/>
                <w:szCs w:val="18"/>
              </w:rPr>
              <w:t>16.584.481</w:t>
            </w:r>
          </w:p>
        </w:tc>
        <w:tc>
          <w:tcPr>
            <w:tcW w:w="607" w:type="pct"/>
            <w:tcBorders>
              <w:top w:val="nil"/>
              <w:left w:val="single" w:sz="8" w:space="0" w:color="333300"/>
              <w:bottom w:val="nil"/>
              <w:right w:val="single" w:sz="8" w:space="0" w:color="auto"/>
            </w:tcBorders>
            <w:shd w:val="clear" w:color="000000" w:fill="FFFFFF"/>
            <w:vAlign w:val="center"/>
            <w:hideMark/>
          </w:tcPr>
          <w:p w14:paraId="54449B60" w14:textId="77777777" w:rsidR="00335D8A" w:rsidRPr="009035C2" w:rsidRDefault="00335D8A" w:rsidP="00335D8A">
            <w:pPr>
              <w:jc w:val="center"/>
              <w:rPr>
                <w:rFonts w:cs="Arial"/>
                <w:b/>
                <w:bCs/>
                <w:sz w:val="18"/>
                <w:szCs w:val="18"/>
              </w:rPr>
            </w:pPr>
            <w:r w:rsidRPr="009035C2">
              <w:rPr>
                <w:rFonts w:cs="Arial"/>
                <w:b/>
                <w:bCs/>
                <w:sz w:val="18"/>
                <w:szCs w:val="18"/>
              </w:rPr>
              <w:t>36,89</w:t>
            </w:r>
          </w:p>
        </w:tc>
        <w:tc>
          <w:tcPr>
            <w:tcW w:w="528" w:type="pct"/>
            <w:tcBorders>
              <w:top w:val="nil"/>
              <w:left w:val="single" w:sz="8" w:space="0" w:color="333300"/>
              <w:bottom w:val="nil"/>
            </w:tcBorders>
            <w:shd w:val="clear" w:color="000000" w:fill="FFFFFF"/>
            <w:vAlign w:val="center"/>
            <w:hideMark/>
          </w:tcPr>
          <w:p w14:paraId="67098904" w14:textId="77777777" w:rsidR="00335D8A" w:rsidRPr="009035C2" w:rsidRDefault="00335D8A" w:rsidP="00335D8A">
            <w:pPr>
              <w:jc w:val="center"/>
              <w:rPr>
                <w:rFonts w:cs="Arial"/>
                <w:b/>
                <w:bCs/>
                <w:sz w:val="18"/>
                <w:szCs w:val="18"/>
              </w:rPr>
            </w:pPr>
            <w:r w:rsidRPr="009035C2">
              <w:rPr>
                <w:rFonts w:cs="Arial"/>
                <w:b/>
                <w:bCs/>
                <w:sz w:val="18"/>
                <w:szCs w:val="18"/>
              </w:rPr>
              <w:t>10,04</w:t>
            </w:r>
          </w:p>
        </w:tc>
      </w:tr>
      <w:tr w:rsidR="00862E98" w:rsidRPr="009035C2" w14:paraId="43441701" w14:textId="77777777" w:rsidTr="00E73548">
        <w:trPr>
          <w:trHeight w:val="284"/>
        </w:trPr>
        <w:tc>
          <w:tcPr>
            <w:tcW w:w="1173" w:type="pct"/>
            <w:tcBorders>
              <w:top w:val="nil"/>
              <w:left w:val="nil"/>
              <w:bottom w:val="nil"/>
              <w:right w:val="single" w:sz="8" w:space="0" w:color="333300"/>
            </w:tcBorders>
            <w:shd w:val="clear" w:color="000000" w:fill="FFFFFF"/>
            <w:vAlign w:val="center"/>
            <w:hideMark/>
          </w:tcPr>
          <w:p w14:paraId="171B767F" w14:textId="77777777" w:rsidR="00335D8A" w:rsidRPr="009035C2" w:rsidRDefault="00335D8A" w:rsidP="00335D8A">
            <w:pPr>
              <w:rPr>
                <w:rFonts w:cs="Arial"/>
                <w:b/>
                <w:bCs/>
                <w:sz w:val="18"/>
                <w:szCs w:val="18"/>
              </w:rPr>
            </w:pPr>
            <w:r w:rsidRPr="009035C2">
              <w:rPr>
                <w:rFonts w:cs="Arial"/>
                <w:b/>
                <w:bCs/>
                <w:sz w:val="18"/>
                <w:szCs w:val="18"/>
              </w:rPr>
              <w:t>Poder Legislativo</w:t>
            </w:r>
          </w:p>
        </w:tc>
        <w:tc>
          <w:tcPr>
            <w:tcW w:w="538" w:type="pct"/>
            <w:tcBorders>
              <w:top w:val="nil"/>
              <w:left w:val="single" w:sz="8" w:space="0" w:color="333300"/>
              <w:bottom w:val="nil"/>
              <w:right w:val="nil"/>
            </w:tcBorders>
            <w:shd w:val="clear" w:color="000000" w:fill="FFFFFF"/>
            <w:vAlign w:val="center"/>
            <w:hideMark/>
          </w:tcPr>
          <w:p w14:paraId="139DA6F4" w14:textId="77777777" w:rsidR="00335D8A" w:rsidRPr="009035C2" w:rsidRDefault="00335D8A" w:rsidP="009035C2">
            <w:pPr>
              <w:ind w:hanging="133"/>
              <w:jc w:val="right"/>
              <w:rPr>
                <w:rFonts w:cs="Arial"/>
                <w:b/>
                <w:bCs/>
                <w:sz w:val="18"/>
                <w:szCs w:val="18"/>
              </w:rPr>
            </w:pPr>
            <w:r w:rsidRPr="009035C2">
              <w:rPr>
                <w:rFonts w:cs="Arial"/>
                <w:b/>
                <w:bCs/>
                <w:sz w:val="18"/>
                <w:szCs w:val="18"/>
              </w:rPr>
              <w:t>789.260</w:t>
            </w:r>
          </w:p>
        </w:tc>
        <w:tc>
          <w:tcPr>
            <w:tcW w:w="538" w:type="pct"/>
            <w:tcBorders>
              <w:top w:val="nil"/>
              <w:left w:val="single" w:sz="8" w:space="0" w:color="333300"/>
              <w:bottom w:val="nil"/>
              <w:right w:val="nil"/>
            </w:tcBorders>
            <w:shd w:val="clear" w:color="000000" w:fill="FFFFFF"/>
            <w:vAlign w:val="center"/>
            <w:hideMark/>
          </w:tcPr>
          <w:p w14:paraId="221A96B0" w14:textId="77777777" w:rsidR="00335D8A" w:rsidRPr="009035C2" w:rsidRDefault="00335D8A" w:rsidP="009035C2">
            <w:pPr>
              <w:ind w:hanging="129"/>
              <w:jc w:val="right"/>
              <w:rPr>
                <w:rFonts w:cs="Arial"/>
                <w:b/>
                <w:bCs/>
                <w:sz w:val="18"/>
                <w:szCs w:val="18"/>
              </w:rPr>
            </w:pPr>
            <w:r w:rsidRPr="009035C2">
              <w:rPr>
                <w:rFonts w:cs="Arial"/>
                <w:b/>
                <w:bCs/>
                <w:sz w:val="18"/>
                <w:szCs w:val="18"/>
              </w:rPr>
              <w:t>779.284</w:t>
            </w:r>
          </w:p>
        </w:tc>
        <w:tc>
          <w:tcPr>
            <w:tcW w:w="538" w:type="pct"/>
            <w:tcBorders>
              <w:top w:val="nil"/>
              <w:left w:val="single" w:sz="8" w:space="0" w:color="333300"/>
              <w:bottom w:val="nil"/>
              <w:right w:val="nil"/>
            </w:tcBorders>
            <w:shd w:val="clear" w:color="000000" w:fill="FFFFFF"/>
            <w:vAlign w:val="center"/>
            <w:hideMark/>
          </w:tcPr>
          <w:p w14:paraId="7113B2AE" w14:textId="77777777" w:rsidR="00335D8A" w:rsidRPr="009035C2" w:rsidRDefault="00335D8A" w:rsidP="009035C2">
            <w:pPr>
              <w:ind w:hanging="108"/>
              <w:jc w:val="right"/>
              <w:rPr>
                <w:rFonts w:cs="Arial"/>
                <w:b/>
                <w:bCs/>
                <w:sz w:val="18"/>
                <w:szCs w:val="18"/>
              </w:rPr>
            </w:pPr>
            <w:r w:rsidRPr="009035C2">
              <w:rPr>
                <w:rFonts w:cs="Arial"/>
                <w:b/>
                <w:bCs/>
                <w:sz w:val="18"/>
                <w:szCs w:val="18"/>
              </w:rPr>
              <w:t>794.086</w:t>
            </w:r>
          </w:p>
        </w:tc>
        <w:tc>
          <w:tcPr>
            <w:tcW w:w="538" w:type="pct"/>
            <w:tcBorders>
              <w:top w:val="nil"/>
              <w:left w:val="single" w:sz="8" w:space="0" w:color="333300"/>
              <w:bottom w:val="nil"/>
              <w:right w:val="nil"/>
            </w:tcBorders>
            <w:shd w:val="clear" w:color="000000" w:fill="FFFFFF"/>
            <w:vAlign w:val="center"/>
            <w:hideMark/>
          </w:tcPr>
          <w:p w14:paraId="1BBAA7C3" w14:textId="77777777" w:rsidR="00335D8A" w:rsidRPr="009035C2" w:rsidRDefault="00335D8A" w:rsidP="009035C2">
            <w:pPr>
              <w:ind w:hanging="87"/>
              <w:jc w:val="right"/>
              <w:rPr>
                <w:rFonts w:cs="Arial"/>
                <w:b/>
                <w:bCs/>
                <w:sz w:val="18"/>
                <w:szCs w:val="18"/>
              </w:rPr>
            </w:pPr>
            <w:r w:rsidRPr="009035C2">
              <w:rPr>
                <w:rFonts w:cs="Arial"/>
                <w:b/>
                <w:bCs/>
                <w:sz w:val="18"/>
                <w:szCs w:val="18"/>
              </w:rPr>
              <w:t>877.185</w:t>
            </w:r>
          </w:p>
        </w:tc>
        <w:tc>
          <w:tcPr>
            <w:tcW w:w="538" w:type="pct"/>
            <w:tcBorders>
              <w:top w:val="nil"/>
              <w:left w:val="single" w:sz="8" w:space="0" w:color="333300"/>
              <w:bottom w:val="nil"/>
              <w:right w:val="nil"/>
            </w:tcBorders>
            <w:shd w:val="clear" w:color="000000" w:fill="FFFFFF"/>
            <w:vAlign w:val="center"/>
            <w:hideMark/>
          </w:tcPr>
          <w:p w14:paraId="62C2A2B4" w14:textId="77777777" w:rsidR="00335D8A" w:rsidRPr="009035C2" w:rsidRDefault="00335D8A" w:rsidP="009035C2">
            <w:pPr>
              <w:ind w:hanging="82"/>
              <w:jc w:val="right"/>
              <w:rPr>
                <w:rFonts w:cs="Arial"/>
                <w:b/>
                <w:bCs/>
                <w:sz w:val="18"/>
                <w:szCs w:val="18"/>
              </w:rPr>
            </w:pPr>
            <w:r w:rsidRPr="009035C2">
              <w:rPr>
                <w:rFonts w:cs="Arial"/>
                <w:b/>
                <w:bCs/>
                <w:sz w:val="18"/>
                <w:szCs w:val="18"/>
              </w:rPr>
              <w:t>974.209</w:t>
            </w:r>
          </w:p>
        </w:tc>
        <w:tc>
          <w:tcPr>
            <w:tcW w:w="607" w:type="pct"/>
            <w:tcBorders>
              <w:top w:val="nil"/>
              <w:left w:val="single" w:sz="8" w:space="0" w:color="333300"/>
              <w:bottom w:val="nil"/>
              <w:right w:val="single" w:sz="8" w:space="0" w:color="auto"/>
            </w:tcBorders>
            <w:shd w:val="clear" w:color="000000" w:fill="FFFFFF"/>
            <w:vAlign w:val="center"/>
            <w:hideMark/>
          </w:tcPr>
          <w:p w14:paraId="5FE8BC70" w14:textId="77777777" w:rsidR="00335D8A" w:rsidRPr="009035C2" w:rsidRDefault="00335D8A" w:rsidP="00335D8A">
            <w:pPr>
              <w:jc w:val="center"/>
              <w:rPr>
                <w:rFonts w:cs="Arial"/>
                <w:b/>
                <w:bCs/>
                <w:sz w:val="18"/>
                <w:szCs w:val="18"/>
              </w:rPr>
            </w:pPr>
            <w:r w:rsidRPr="009035C2">
              <w:rPr>
                <w:rFonts w:cs="Arial"/>
                <w:b/>
                <w:bCs/>
                <w:sz w:val="18"/>
                <w:szCs w:val="18"/>
              </w:rPr>
              <w:t>23,43</w:t>
            </w:r>
          </w:p>
        </w:tc>
        <w:tc>
          <w:tcPr>
            <w:tcW w:w="528" w:type="pct"/>
            <w:tcBorders>
              <w:top w:val="nil"/>
              <w:left w:val="single" w:sz="8" w:space="0" w:color="333300"/>
              <w:bottom w:val="nil"/>
            </w:tcBorders>
            <w:shd w:val="clear" w:color="000000" w:fill="FFFFFF"/>
            <w:vAlign w:val="center"/>
            <w:hideMark/>
          </w:tcPr>
          <w:p w14:paraId="7E9207D9" w14:textId="77777777" w:rsidR="00335D8A" w:rsidRPr="009035C2" w:rsidRDefault="00335D8A" w:rsidP="00335D8A">
            <w:pPr>
              <w:jc w:val="center"/>
              <w:rPr>
                <w:rFonts w:cs="Arial"/>
                <w:b/>
                <w:bCs/>
                <w:sz w:val="18"/>
                <w:szCs w:val="18"/>
              </w:rPr>
            </w:pPr>
            <w:r w:rsidRPr="009035C2">
              <w:rPr>
                <w:rFonts w:cs="Arial"/>
                <w:b/>
                <w:bCs/>
                <w:sz w:val="18"/>
                <w:szCs w:val="18"/>
              </w:rPr>
              <w:t>11,06</w:t>
            </w:r>
          </w:p>
        </w:tc>
      </w:tr>
      <w:tr w:rsidR="00862E98" w:rsidRPr="009035C2" w14:paraId="2EDBC949" w14:textId="77777777" w:rsidTr="00E73548">
        <w:trPr>
          <w:trHeight w:val="284"/>
        </w:trPr>
        <w:tc>
          <w:tcPr>
            <w:tcW w:w="1173" w:type="pct"/>
            <w:tcBorders>
              <w:top w:val="nil"/>
              <w:left w:val="nil"/>
              <w:bottom w:val="nil"/>
              <w:right w:val="single" w:sz="8" w:space="0" w:color="333300"/>
            </w:tcBorders>
            <w:shd w:val="clear" w:color="000000" w:fill="FFFFFF"/>
            <w:vAlign w:val="center"/>
            <w:hideMark/>
          </w:tcPr>
          <w:p w14:paraId="26334EEA" w14:textId="77777777" w:rsidR="00335D8A" w:rsidRPr="009035C2" w:rsidRDefault="00335D8A" w:rsidP="00335D8A">
            <w:pPr>
              <w:ind w:left="209"/>
              <w:rPr>
                <w:rFonts w:cs="Arial"/>
                <w:sz w:val="18"/>
                <w:szCs w:val="18"/>
              </w:rPr>
            </w:pPr>
            <w:r w:rsidRPr="009035C2">
              <w:rPr>
                <w:rFonts w:cs="Arial"/>
                <w:sz w:val="18"/>
                <w:szCs w:val="18"/>
              </w:rPr>
              <w:t>Assembleia Legislativa</w:t>
            </w:r>
          </w:p>
        </w:tc>
        <w:tc>
          <w:tcPr>
            <w:tcW w:w="538" w:type="pct"/>
            <w:tcBorders>
              <w:top w:val="nil"/>
              <w:left w:val="single" w:sz="8" w:space="0" w:color="333300"/>
              <w:bottom w:val="nil"/>
              <w:right w:val="nil"/>
            </w:tcBorders>
            <w:shd w:val="clear" w:color="000000" w:fill="FFFFFF"/>
            <w:vAlign w:val="center"/>
            <w:hideMark/>
          </w:tcPr>
          <w:p w14:paraId="196740C6" w14:textId="77777777" w:rsidR="00335D8A" w:rsidRPr="009035C2" w:rsidRDefault="00335D8A" w:rsidP="009035C2">
            <w:pPr>
              <w:ind w:hanging="133"/>
              <w:jc w:val="right"/>
              <w:rPr>
                <w:rFonts w:cs="Arial"/>
                <w:sz w:val="18"/>
                <w:szCs w:val="18"/>
              </w:rPr>
            </w:pPr>
            <w:r w:rsidRPr="009035C2">
              <w:rPr>
                <w:rFonts w:cs="Arial"/>
                <w:sz w:val="18"/>
                <w:szCs w:val="18"/>
              </w:rPr>
              <w:t>359.381</w:t>
            </w:r>
          </w:p>
        </w:tc>
        <w:tc>
          <w:tcPr>
            <w:tcW w:w="538" w:type="pct"/>
            <w:tcBorders>
              <w:top w:val="nil"/>
              <w:left w:val="single" w:sz="8" w:space="0" w:color="333300"/>
              <w:bottom w:val="nil"/>
              <w:right w:val="nil"/>
            </w:tcBorders>
            <w:shd w:val="clear" w:color="000000" w:fill="FFFFFF"/>
            <w:vAlign w:val="center"/>
            <w:hideMark/>
          </w:tcPr>
          <w:p w14:paraId="292CB6A3" w14:textId="77777777" w:rsidR="00335D8A" w:rsidRPr="009035C2" w:rsidRDefault="00335D8A" w:rsidP="009035C2">
            <w:pPr>
              <w:ind w:hanging="129"/>
              <w:jc w:val="right"/>
              <w:rPr>
                <w:rFonts w:cs="Arial"/>
                <w:sz w:val="18"/>
                <w:szCs w:val="18"/>
              </w:rPr>
            </w:pPr>
            <w:r w:rsidRPr="009035C2">
              <w:rPr>
                <w:rFonts w:cs="Arial"/>
                <w:sz w:val="18"/>
                <w:szCs w:val="18"/>
              </w:rPr>
              <w:t>359.575</w:t>
            </w:r>
          </w:p>
        </w:tc>
        <w:tc>
          <w:tcPr>
            <w:tcW w:w="538" w:type="pct"/>
            <w:tcBorders>
              <w:top w:val="nil"/>
              <w:left w:val="single" w:sz="8" w:space="0" w:color="333300"/>
              <w:bottom w:val="nil"/>
              <w:right w:val="nil"/>
            </w:tcBorders>
            <w:shd w:val="clear" w:color="000000" w:fill="FFFFFF"/>
            <w:vAlign w:val="center"/>
            <w:hideMark/>
          </w:tcPr>
          <w:p w14:paraId="3367425D" w14:textId="77777777" w:rsidR="00335D8A" w:rsidRPr="009035C2" w:rsidRDefault="00335D8A" w:rsidP="009035C2">
            <w:pPr>
              <w:ind w:hanging="108"/>
              <w:jc w:val="right"/>
              <w:rPr>
                <w:rFonts w:cs="Arial"/>
                <w:sz w:val="18"/>
                <w:szCs w:val="18"/>
              </w:rPr>
            </w:pPr>
            <w:r w:rsidRPr="009035C2">
              <w:rPr>
                <w:rFonts w:cs="Arial"/>
                <w:sz w:val="18"/>
                <w:szCs w:val="18"/>
              </w:rPr>
              <w:t>370.268</w:t>
            </w:r>
          </w:p>
        </w:tc>
        <w:tc>
          <w:tcPr>
            <w:tcW w:w="538" w:type="pct"/>
            <w:tcBorders>
              <w:top w:val="nil"/>
              <w:left w:val="single" w:sz="8" w:space="0" w:color="333300"/>
              <w:bottom w:val="nil"/>
              <w:right w:val="nil"/>
            </w:tcBorders>
            <w:shd w:val="clear" w:color="000000" w:fill="FFFFFF"/>
            <w:vAlign w:val="center"/>
            <w:hideMark/>
          </w:tcPr>
          <w:p w14:paraId="1B69B7A3" w14:textId="77777777" w:rsidR="00335D8A" w:rsidRPr="009035C2" w:rsidRDefault="00335D8A" w:rsidP="009035C2">
            <w:pPr>
              <w:ind w:hanging="87"/>
              <w:jc w:val="right"/>
              <w:rPr>
                <w:rFonts w:cs="Arial"/>
                <w:sz w:val="18"/>
                <w:szCs w:val="18"/>
              </w:rPr>
            </w:pPr>
            <w:r w:rsidRPr="009035C2">
              <w:rPr>
                <w:rFonts w:cs="Arial"/>
                <w:sz w:val="18"/>
                <w:szCs w:val="18"/>
              </w:rPr>
              <w:t>420.286</w:t>
            </w:r>
          </w:p>
        </w:tc>
        <w:tc>
          <w:tcPr>
            <w:tcW w:w="538" w:type="pct"/>
            <w:tcBorders>
              <w:top w:val="nil"/>
              <w:left w:val="single" w:sz="8" w:space="0" w:color="333300"/>
              <w:bottom w:val="nil"/>
              <w:right w:val="nil"/>
            </w:tcBorders>
            <w:shd w:val="clear" w:color="000000" w:fill="FFFFFF"/>
            <w:vAlign w:val="center"/>
            <w:hideMark/>
          </w:tcPr>
          <w:p w14:paraId="41B6B77D" w14:textId="77777777" w:rsidR="00335D8A" w:rsidRPr="009035C2" w:rsidRDefault="00335D8A" w:rsidP="009035C2">
            <w:pPr>
              <w:ind w:hanging="82"/>
              <w:jc w:val="right"/>
              <w:rPr>
                <w:rFonts w:cs="Arial"/>
                <w:sz w:val="18"/>
                <w:szCs w:val="18"/>
              </w:rPr>
            </w:pPr>
            <w:r w:rsidRPr="009035C2">
              <w:rPr>
                <w:rFonts w:cs="Arial"/>
                <w:sz w:val="18"/>
                <w:szCs w:val="18"/>
              </w:rPr>
              <w:t>486.534</w:t>
            </w:r>
          </w:p>
        </w:tc>
        <w:tc>
          <w:tcPr>
            <w:tcW w:w="607" w:type="pct"/>
            <w:tcBorders>
              <w:top w:val="nil"/>
              <w:left w:val="single" w:sz="8" w:space="0" w:color="333300"/>
              <w:bottom w:val="nil"/>
              <w:right w:val="single" w:sz="8" w:space="0" w:color="auto"/>
            </w:tcBorders>
            <w:shd w:val="clear" w:color="000000" w:fill="FFFFFF"/>
            <w:vAlign w:val="center"/>
            <w:hideMark/>
          </w:tcPr>
          <w:p w14:paraId="19AA16FF" w14:textId="77777777" w:rsidR="00335D8A" w:rsidRPr="009035C2" w:rsidRDefault="00335D8A" w:rsidP="00335D8A">
            <w:pPr>
              <w:jc w:val="center"/>
              <w:rPr>
                <w:rFonts w:cs="Arial"/>
                <w:sz w:val="18"/>
                <w:szCs w:val="18"/>
              </w:rPr>
            </w:pPr>
            <w:r w:rsidRPr="009035C2">
              <w:rPr>
                <w:rFonts w:cs="Arial"/>
                <w:sz w:val="18"/>
                <w:szCs w:val="18"/>
              </w:rPr>
              <w:t>35,38</w:t>
            </w:r>
          </w:p>
        </w:tc>
        <w:tc>
          <w:tcPr>
            <w:tcW w:w="528" w:type="pct"/>
            <w:tcBorders>
              <w:top w:val="nil"/>
              <w:left w:val="single" w:sz="8" w:space="0" w:color="333300"/>
              <w:bottom w:val="nil"/>
            </w:tcBorders>
            <w:shd w:val="clear" w:color="000000" w:fill="FFFFFF"/>
            <w:vAlign w:val="center"/>
            <w:hideMark/>
          </w:tcPr>
          <w:p w14:paraId="2D40ED49" w14:textId="77777777" w:rsidR="00335D8A" w:rsidRPr="009035C2" w:rsidRDefault="00335D8A" w:rsidP="00335D8A">
            <w:pPr>
              <w:jc w:val="center"/>
              <w:rPr>
                <w:rFonts w:cs="Arial"/>
                <w:sz w:val="18"/>
                <w:szCs w:val="18"/>
              </w:rPr>
            </w:pPr>
            <w:r w:rsidRPr="009035C2">
              <w:rPr>
                <w:rFonts w:cs="Arial"/>
                <w:sz w:val="18"/>
                <w:szCs w:val="18"/>
              </w:rPr>
              <w:t>15,76</w:t>
            </w:r>
          </w:p>
        </w:tc>
      </w:tr>
      <w:tr w:rsidR="00862E98" w:rsidRPr="009035C2" w14:paraId="25A5033B" w14:textId="77777777" w:rsidTr="00E73548">
        <w:trPr>
          <w:trHeight w:val="284"/>
        </w:trPr>
        <w:tc>
          <w:tcPr>
            <w:tcW w:w="1173" w:type="pct"/>
            <w:tcBorders>
              <w:top w:val="nil"/>
              <w:left w:val="nil"/>
              <w:bottom w:val="nil"/>
              <w:right w:val="single" w:sz="8" w:space="0" w:color="333300"/>
            </w:tcBorders>
            <w:shd w:val="clear" w:color="000000" w:fill="FFFFFF"/>
            <w:vAlign w:val="center"/>
            <w:hideMark/>
          </w:tcPr>
          <w:p w14:paraId="40C5BF19" w14:textId="77777777" w:rsidR="00335D8A" w:rsidRPr="009035C2" w:rsidRDefault="00335D8A" w:rsidP="00335D8A">
            <w:pPr>
              <w:ind w:left="209"/>
              <w:rPr>
                <w:rFonts w:cs="Arial"/>
                <w:sz w:val="18"/>
                <w:szCs w:val="18"/>
              </w:rPr>
            </w:pPr>
            <w:r w:rsidRPr="009035C2">
              <w:rPr>
                <w:rFonts w:cs="Arial"/>
                <w:sz w:val="18"/>
                <w:szCs w:val="18"/>
              </w:rPr>
              <w:t>Tribunal de Contas do Estado</w:t>
            </w:r>
          </w:p>
        </w:tc>
        <w:tc>
          <w:tcPr>
            <w:tcW w:w="538" w:type="pct"/>
            <w:tcBorders>
              <w:top w:val="nil"/>
              <w:left w:val="single" w:sz="8" w:space="0" w:color="333300"/>
              <w:bottom w:val="nil"/>
              <w:right w:val="nil"/>
            </w:tcBorders>
            <w:shd w:val="clear" w:color="000000" w:fill="FFFFFF"/>
            <w:vAlign w:val="center"/>
            <w:hideMark/>
          </w:tcPr>
          <w:p w14:paraId="7D410A27" w14:textId="77777777" w:rsidR="00335D8A" w:rsidRPr="009035C2" w:rsidRDefault="00335D8A" w:rsidP="009035C2">
            <w:pPr>
              <w:ind w:hanging="133"/>
              <w:jc w:val="right"/>
              <w:rPr>
                <w:rFonts w:cs="Arial"/>
                <w:sz w:val="18"/>
                <w:szCs w:val="18"/>
              </w:rPr>
            </w:pPr>
            <w:r w:rsidRPr="009035C2">
              <w:rPr>
                <w:rFonts w:cs="Arial"/>
                <w:sz w:val="18"/>
                <w:szCs w:val="18"/>
              </w:rPr>
              <w:t>287.252</w:t>
            </w:r>
          </w:p>
        </w:tc>
        <w:tc>
          <w:tcPr>
            <w:tcW w:w="538" w:type="pct"/>
            <w:tcBorders>
              <w:top w:val="nil"/>
              <w:left w:val="single" w:sz="8" w:space="0" w:color="333300"/>
              <w:bottom w:val="nil"/>
              <w:right w:val="nil"/>
            </w:tcBorders>
            <w:shd w:val="clear" w:color="000000" w:fill="FFFFFF"/>
            <w:vAlign w:val="center"/>
            <w:hideMark/>
          </w:tcPr>
          <w:p w14:paraId="432F85D6" w14:textId="77777777" w:rsidR="00335D8A" w:rsidRPr="009035C2" w:rsidRDefault="00335D8A" w:rsidP="009035C2">
            <w:pPr>
              <w:ind w:hanging="129"/>
              <w:jc w:val="right"/>
              <w:rPr>
                <w:rFonts w:cs="Arial"/>
                <w:sz w:val="18"/>
                <w:szCs w:val="18"/>
              </w:rPr>
            </w:pPr>
            <w:r w:rsidRPr="009035C2">
              <w:rPr>
                <w:rFonts w:cs="Arial"/>
                <w:sz w:val="18"/>
                <w:szCs w:val="18"/>
              </w:rPr>
              <w:t>276.270</w:t>
            </w:r>
          </w:p>
        </w:tc>
        <w:tc>
          <w:tcPr>
            <w:tcW w:w="538" w:type="pct"/>
            <w:tcBorders>
              <w:top w:val="nil"/>
              <w:left w:val="single" w:sz="8" w:space="0" w:color="333300"/>
              <w:bottom w:val="nil"/>
              <w:right w:val="nil"/>
            </w:tcBorders>
            <w:shd w:val="clear" w:color="000000" w:fill="FFFFFF"/>
            <w:vAlign w:val="center"/>
            <w:hideMark/>
          </w:tcPr>
          <w:p w14:paraId="112E2C66" w14:textId="77777777" w:rsidR="00335D8A" w:rsidRPr="009035C2" w:rsidRDefault="00335D8A" w:rsidP="009035C2">
            <w:pPr>
              <w:ind w:hanging="108"/>
              <w:jc w:val="right"/>
              <w:rPr>
                <w:rFonts w:cs="Arial"/>
                <w:sz w:val="18"/>
                <w:szCs w:val="18"/>
              </w:rPr>
            </w:pPr>
            <w:r w:rsidRPr="009035C2">
              <w:rPr>
                <w:rFonts w:cs="Arial"/>
                <w:sz w:val="18"/>
                <w:szCs w:val="18"/>
              </w:rPr>
              <w:t>276.018</w:t>
            </w:r>
          </w:p>
        </w:tc>
        <w:tc>
          <w:tcPr>
            <w:tcW w:w="538" w:type="pct"/>
            <w:tcBorders>
              <w:top w:val="nil"/>
              <w:left w:val="single" w:sz="8" w:space="0" w:color="333300"/>
              <w:bottom w:val="nil"/>
              <w:right w:val="nil"/>
            </w:tcBorders>
            <w:shd w:val="clear" w:color="000000" w:fill="FFFFFF"/>
            <w:vAlign w:val="center"/>
            <w:hideMark/>
          </w:tcPr>
          <w:p w14:paraId="336A0DBC" w14:textId="77777777" w:rsidR="00335D8A" w:rsidRPr="009035C2" w:rsidRDefault="00335D8A" w:rsidP="009035C2">
            <w:pPr>
              <w:ind w:hanging="87"/>
              <w:jc w:val="right"/>
              <w:rPr>
                <w:rFonts w:cs="Arial"/>
                <w:sz w:val="18"/>
                <w:szCs w:val="18"/>
              </w:rPr>
            </w:pPr>
            <w:r w:rsidRPr="009035C2">
              <w:rPr>
                <w:rFonts w:cs="Arial"/>
                <w:sz w:val="18"/>
                <w:szCs w:val="18"/>
              </w:rPr>
              <w:t>296.752</w:t>
            </w:r>
          </w:p>
        </w:tc>
        <w:tc>
          <w:tcPr>
            <w:tcW w:w="538" w:type="pct"/>
            <w:tcBorders>
              <w:top w:val="nil"/>
              <w:left w:val="single" w:sz="8" w:space="0" w:color="333300"/>
              <w:bottom w:val="nil"/>
              <w:right w:val="nil"/>
            </w:tcBorders>
            <w:shd w:val="clear" w:color="000000" w:fill="FFFFFF"/>
            <w:vAlign w:val="center"/>
            <w:hideMark/>
          </w:tcPr>
          <w:p w14:paraId="069DC67C" w14:textId="77777777" w:rsidR="00335D8A" w:rsidRPr="009035C2" w:rsidRDefault="00335D8A" w:rsidP="009035C2">
            <w:pPr>
              <w:ind w:hanging="82"/>
              <w:jc w:val="right"/>
              <w:rPr>
                <w:rFonts w:cs="Arial"/>
                <w:sz w:val="18"/>
                <w:szCs w:val="18"/>
              </w:rPr>
            </w:pPr>
            <w:r w:rsidRPr="009035C2">
              <w:rPr>
                <w:rFonts w:cs="Arial"/>
                <w:sz w:val="18"/>
                <w:szCs w:val="18"/>
              </w:rPr>
              <w:t>317.549</w:t>
            </w:r>
          </w:p>
        </w:tc>
        <w:tc>
          <w:tcPr>
            <w:tcW w:w="607" w:type="pct"/>
            <w:tcBorders>
              <w:top w:val="nil"/>
              <w:left w:val="single" w:sz="8" w:space="0" w:color="333300"/>
              <w:bottom w:val="nil"/>
              <w:right w:val="single" w:sz="8" w:space="0" w:color="auto"/>
            </w:tcBorders>
            <w:shd w:val="clear" w:color="000000" w:fill="FFFFFF"/>
            <w:vAlign w:val="center"/>
            <w:hideMark/>
          </w:tcPr>
          <w:p w14:paraId="6DD426B6" w14:textId="77777777" w:rsidR="00335D8A" w:rsidRPr="009035C2" w:rsidRDefault="00335D8A" w:rsidP="00335D8A">
            <w:pPr>
              <w:jc w:val="center"/>
              <w:rPr>
                <w:rFonts w:cs="Arial"/>
                <w:sz w:val="18"/>
                <w:szCs w:val="18"/>
              </w:rPr>
            </w:pPr>
            <w:r w:rsidRPr="009035C2">
              <w:rPr>
                <w:rFonts w:cs="Arial"/>
                <w:sz w:val="18"/>
                <w:szCs w:val="18"/>
              </w:rPr>
              <w:t>10,55</w:t>
            </w:r>
          </w:p>
        </w:tc>
        <w:tc>
          <w:tcPr>
            <w:tcW w:w="528" w:type="pct"/>
            <w:tcBorders>
              <w:top w:val="nil"/>
              <w:left w:val="single" w:sz="8" w:space="0" w:color="333300"/>
              <w:bottom w:val="nil"/>
            </w:tcBorders>
            <w:shd w:val="clear" w:color="000000" w:fill="FFFFFF"/>
            <w:vAlign w:val="center"/>
            <w:hideMark/>
          </w:tcPr>
          <w:p w14:paraId="7EDDFFA3" w14:textId="77777777" w:rsidR="00335D8A" w:rsidRPr="009035C2" w:rsidRDefault="00335D8A" w:rsidP="00335D8A">
            <w:pPr>
              <w:jc w:val="center"/>
              <w:rPr>
                <w:rFonts w:cs="Arial"/>
                <w:sz w:val="18"/>
                <w:szCs w:val="18"/>
              </w:rPr>
            </w:pPr>
            <w:r w:rsidRPr="009035C2">
              <w:rPr>
                <w:rFonts w:cs="Arial"/>
                <w:sz w:val="18"/>
                <w:szCs w:val="18"/>
              </w:rPr>
              <w:t>7,01</w:t>
            </w:r>
          </w:p>
        </w:tc>
      </w:tr>
      <w:tr w:rsidR="00862E98" w:rsidRPr="009035C2" w14:paraId="5E02AB58" w14:textId="77777777" w:rsidTr="00E73548">
        <w:trPr>
          <w:trHeight w:val="284"/>
        </w:trPr>
        <w:tc>
          <w:tcPr>
            <w:tcW w:w="1173" w:type="pct"/>
            <w:tcBorders>
              <w:top w:val="nil"/>
              <w:left w:val="nil"/>
              <w:bottom w:val="nil"/>
              <w:right w:val="single" w:sz="8" w:space="0" w:color="333300"/>
            </w:tcBorders>
            <w:shd w:val="clear" w:color="000000" w:fill="FFFFFF"/>
            <w:vAlign w:val="center"/>
            <w:hideMark/>
          </w:tcPr>
          <w:p w14:paraId="4679C161" w14:textId="77777777" w:rsidR="00335D8A" w:rsidRPr="009035C2" w:rsidRDefault="00335D8A" w:rsidP="00335D8A">
            <w:pPr>
              <w:ind w:left="209"/>
              <w:rPr>
                <w:rFonts w:cs="Arial"/>
                <w:sz w:val="18"/>
                <w:szCs w:val="18"/>
              </w:rPr>
            </w:pPr>
            <w:r w:rsidRPr="009035C2">
              <w:rPr>
                <w:rFonts w:cs="Arial"/>
                <w:sz w:val="18"/>
                <w:szCs w:val="18"/>
              </w:rPr>
              <w:t>Tribunal de Contas dos Municípios</w:t>
            </w:r>
          </w:p>
        </w:tc>
        <w:tc>
          <w:tcPr>
            <w:tcW w:w="538" w:type="pct"/>
            <w:tcBorders>
              <w:top w:val="nil"/>
              <w:left w:val="single" w:sz="8" w:space="0" w:color="333300"/>
              <w:bottom w:val="nil"/>
              <w:right w:val="nil"/>
            </w:tcBorders>
            <w:shd w:val="clear" w:color="000000" w:fill="FFFFFF"/>
            <w:vAlign w:val="center"/>
            <w:hideMark/>
          </w:tcPr>
          <w:p w14:paraId="47FC8300" w14:textId="77777777" w:rsidR="00335D8A" w:rsidRPr="009035C2" w:rsidRDefault="00335D8A" w:rsidP="009035C2">
            <w:pPr>
              <w:ind w:hanging="133"/>
              <w:jc w:val="right"/>
              <w:rPr>
                <w:rFonts w:cs="Arial"/>
                <w:sz w:val="18"/>
                <w:szCs w:val="18"/>
              </w:rPr>
            </w:pPr>
            <w:r w:rsidRPr="009035C2">
              <w:rPr>
                <w:rFonts w:cs="Arial"/>
                <w:sz w:val="18"/>
                <w:szCs w:val="18"/>
              </w:rPr>
              <w:t>142.626</w:t>
            </w:r>
          </w:p>
        </w:tc>
        <w:tc>
          <w:tcPr>
            <w:tcW w:w="538" w:type="pct"/>
            <w:tcBorders>
              <w:top w:val="nil"/>
              <w:left w:val="single" w:sz="8" w:space="0" w:color="333300"/>
              <w:bottom w:val="nil"/>
              <w:right w:val="nil"/>
            </w:tcBorders>
            <w:shd w:val="clear" w:color="000000" w:fill="FFFFFF"/>
            <w:vAlign w:val="center"/>
            <w:hideMark/>
          </w:tcPr>
          <w:p w14:paraId="3D3A6BE5" w14:textId="77777777" w:rsidR="00335D8A" w:rsidRPr="009035C2" w:rsidRDefault="00335D8A" w:rsidP="009035C2">
            <w:pPr>
              <w:ind w:hanging="129"/>
              <w:jc w:val="right"/>
              <w:rPr>
                <w:rFonts w:cs="Arial"/>
                <w:sz w:val="18"/>
                <w:szCs w:val="18"/>
              </w:rPr>
            </w:pPr>
            <w:r w:rsidRPr="009035C2">
              <w:rPr>
                <w:rFonts w:cs="Arial"/>
                <w:sz w:val="18"/>
                <w:szCs w:val="18"/>
              </w:rPr>
              <w:t>143.439</w:t>
            </w:r>
          </w:p>
        </w:tc>
        <w:tc>
          <w:tcPr>
            <w:tcW w:w="538" w:type="pct"/>
            <w:tcBorders>
              <w:top w:val="nil"/>
              <w:left w:val="single" w:sz="8" w:space="0" w:color="333300"/>
              <w:bottom w:val="nil"/>
              <w:right w:val="nil"/>
            </w:tcBorders>
            <w:shd w:val="clear" w:color="000000" w:fill="FFFFFF"/>
            <w:vAlign w:val="center"/>
            <w:hideMark/>
          </w:tcPr>
          <w:p w14:paraId="054A0251" w14:textId="77777777" w:rsidR="00335D8A" w:rsidRPr="009035C2" w:rsidRDefault="00335D8A" w:rsidP="009035C2">
            <w:pPr>
              <w:ind w:hanging="108"/>
              <w:jc w:val="right"/>
              <w:rPr>
                <w:rFonts w:cs="Arial"/>
                <w:sz w:val="18"/>
                <w:szCs w:val="18"/>
              </w:rPr>
            </w:pPr>
            <w:r w:rsidRPr="009035C2">
              <w:rPr>
                <w:rFonts w:cs="Arial"/>
                <w:sz w:val="18"/>
                <w:szCs w:val="18"/>
              </w:rPr>
              <w:t>147.800</w:t>
            </w:r>
          </w:p>
        </w:tc>
        <w:tc>
          <w:tcPr>
            <w:tcW w:w="538" w:type="pct"/>
            <w:tcBorders>
              <w:top w:val="nil"/>
              <w:left w:val="single" w:sz="8" w:space="0" w:color="333300"/>
              <w:bottom w:val="nil"/>
              <w:right w:val="nil"/>
            </w:tcBorders>
            <w:shd w:val="clear" w:color="000000" w:fill="FFFFFF"/>
            <w:vAlign w:val="center"/>
            <w:hideMark/>
          </w:tcPr>
          <w:p w14:paraId="034793E7" w14:textId="77777777" w:rsidR="00335D8A" w:rsidRPr="009035C2" w:rsidRDefault="00335D8A" w:rsidP="009035C2">
            <w:pPr>
              <w:ind w:hanging="87"/>
              <w:jc w:val="right"/>
              <w:rPr>
                <w:rFonts w:cs="Arial"/>
                <w:sz w:val="18"/>
                <w:szCs w:val="18"/>
              </w:rPr>
            </w:pPr>
            <w:r w:rsidRPr="009035C2">
              <w:rPr>
                <w:rFonts w:cs="Arial"/>
                <w:sz w:val="18"/>
                <w:szCs w:val="18"/>
              </w:rPr>
              <w:t>160.148</w:t>
            </w:r>
          </w:p>
        </w:tc>
        <w:tc>
          <w:tcPr>
            <w:tcW w:w="538" w:type="pct"/>
            <w:tcBorders>
              <w:top w:val="nil"/>
              <w:left w:val="single" w:sz="8" w:space="0" w:color="333300"/>
              <w:bottom w:val="nil"/>
              <w:right w:val="nil"/>
            </w:tcBorders>
            <w:shd w:val="clear" w:color="000000" w:fill="FFFFFF"/>
            <w:vAlign w:val="center"/>
            <w:hideMark/>
          </w:tcPr>
          <w:p w14:paraId="6C01BA6A" w14:textId="77777777" w:rsidR="00335D8A" w:rsidRPr="009035C2" w:rsidRDefault="00335D8A" w:rsidP="009035C2">
            <w:pPr>
              <w:ind w:hanging="82"/>
              <w:jc w:val="right"/>
              <w:rPr>
                <w:rFonts w:cs="Arial"/>
                <w:sz w:val="18"/>
                <w:szCs w:val="18"/>
              </w:rPr>
            </w:pPr>
            <w:r w:rsidRPr="009035C2">
              <w:rPr>
                <w:rFonts w:cs="Arial"/>
                <w:sz w:val="18"/>
                <w:szCs w:val="18"/>
              </w:rPr>
              <w:t>170.126</w:t>
            </w:r>
          </w:p>
        </w:tc>
        <w:tc>
          <w:tcPr>
            <w:tcW w:w="607" w:type="pct"/>
            <w:tcBorders>
              <w:top w:val="nil"/>
              <w:left w:val="single" w:sz="8" w:space="0" w:color="333300"/>
              <w:bottom w:val="nil"/>
              <w:right w:val="single" w:sz="8" w:space="0" w:color="auto"/>
            </w:tcBorders>
            <w:shd w:val="clear" w:color="000000" w:fill="FFFFFF"/>
            <w:vAlign w:val="center"/>
            <w:hideMark/>
          </w:tcPr>
          <w:p w14:paraId="195968E0" w14:textId="77777777" w:rsidR="00335D8A" w:rsidRPr="009035C2" w:rsidRDefault="00335D8A" w:rsidP="00335D8A">
            <w:pPr>
              <w:jc w:val="center"/>
              <w:rPr>
                <w:rFonts w:cs="Arial"/>
                <w:sz w:val="18"/>
                <w:szCs w:val="18"/>
              </w:rPr>
            </w:pPr>
            <w:r w:rsidRPr="009035C2">
              <w:rPr>
                <w:rFonts w:cs="Arial"/>
                <w:sz w:val="18"/>
                <w:szCs w:val="18"/>
              </w:rPr>
              <w:t>19,28</w:t>
            </w:r>
          </w:p>
        </w:tc>
        <w:tc>
          <w:tcPr>
            <w:tcW w:w="528" w:type="pct"/>
            <w:tcBorders>
              <w:top w:val="nil"/>
              <w:left w:val="single" w:sz="8" w:space="0" w:color="333300"/>
              <w:bottom w:val="nil"/>
            </w:tcBorders>
            <w:shd w:val="clear" w:color="000000" w:fill="FFFFFF"/>
            <w:vAlign w:val="center"/>
            <w:hideMark/>
          </w:tcPr>
          <w:p w14:paraId="1619273A" w14:textId="77777777" w:rsidR="00335D8A" w:rsidRPr="009035C2" w:rsidRDefault="00335D8A" w:rsidP="00335D8A">
            <w:pPr>
              <w:jc w:val="center"/>
              <w:rPr>
                <w:rFonts w:cs="Arial"/>
                <w:sz w:val="18"/>
                <w:szCs w:val="18"/>
              </w:rPr>
            </w:pPr>
            <w:r w:rsidRPr="009035C2">
              <w:rPr>
                <w:rFonts w:cs="Arial"/>
                <w:sz w:val="18"/>
                <w:szCs w:val="18"/>
              </w:rPr>
              <w:t>6,23</w:t>
            </w:r>
          </w:p>
        </w:tc>
      </w:tr>
      <w:tr w:rsidR="00862E98" w:rsidRPr="009035C2" w14:paraId="1229C049" w14:textId="77777777" w:rsidTr="00E73548">
        <w:trPr>
          <w:trHeight w:val="284"/>
        </w:trPr>
        <w:tc>
          <w:tcPr>
            <w:tcW w:w="1173" w:type="pct"/>
            <w:tcBorders>
              <w:top w:val="nil"/>
              <w:left w:val="nil"/>
              <w:bottom w:val="nil"/>
              <w:right w:val="single" w:sz="8" w:space="0" w:color="333300"/>
            </w:tcBorders>
            <w:shd w:val="clear" w:color="000000" w:fill="FFFFFF"/>
            <w:vAlign w:val="center"/>
            <w:hideMark/>
          </w:tcPr>
          <w:p w14:paraId="27742F8E" w14:textId="77777777" w:rsidR="00335D8A" w:rsidRPr="009035C2" w:rsidRDefault="00335D8A" w:rsidP="00335D8A">
            <w:pPr>
              <w:rPr>
                <w:rFonts w:cs="Arial"/>
                <w:b/>
                <w:bCs/>
                <w:sz w:val="18"/>
                <w:szCs w:val="18"/>
              </w:rPr>
            </w:pPr>
            <w:r w:rsidRPr="009035C2">
              <w:rPr>
                <w:rFonts w:cs="Arial"/>
                <w:b/>
                <w:bCs/>
                <w:sz w:val="18"/>
                <w:szCs w:val="18"/>
              </w:rPr>
              <w:t>Poder Judiciário</w:t>
            </w:r>
          </w:p>
        </w:tc>
        <w:tc>
          <w:tcPr>
            <w:tcW w:w="538" w:type="pct"/>
            <w:tcBorders>
              <w:top w:val="nil"/>
              <w:left w:val="single" w:sz="8" w:space="0" w:color="333300"/>
              <w:bottom w:val="nil"/>
              <w:right w:val="nil"/>
            </w:tcBorders>
            <w:shd w:val="clear" w:color="000000" w:fill="FFFFFF"/>
            <w:vAlign w:val="center"/>
            <w:hideMark/>
          </w:tcPr>
          <w:p w14:paraId="2F51133C" w14:textId="77777777" w:rsidR="00335D8A" w:rsidRPr="009035C2" w:rsidRDefault="00335D8A" w:rsidP="009035C2">
            <w:pPr>
              <w:ind w:hanging="133"/>
              <w:jc w:val="right"/>
              <w:rPr>
                <w:rFonts w:cs="Arial"/>
                <w:b/>
                <w:bCs/>
                <w:sz w:val="18"/>
                <w:szCs w:val="18"/>
              </w:rPr>
            </w:pPr>
            <w:r w:rsidRPr="009035C2">
              <w:rPr>
                <w:rFonts w:cs="Arial"/>
                <w:b/>
                <w:bCs/>
                <w:sz w:val="18"/>
                <w:szCs w:val="18"/>
              </w:rPr>
              <w:t>1.212.761</w:t>
            </w:r>
          </w:p>
        </w:tc>
        <w:tc>
          <w:tcPr>
            <w:tcW w:w="538" w:type="pct"/>
            <w:tcBorders>
              <w:top w:val="nil"/>
              <w:left w:val="single" w:sz="8" w:space="0" w:color="333300"/>
              <w:bottom w:val="nil"/>
              <w:right w:val="nil"/>
            </w:tcBorders>
            <w:shd w:val="clear" w:color="000000" w:fill="FFFFFF"/>
            <w:vAlign w:val="center"/>
            <w:hideMark/>
          </w:tcPr>
          <w:p w14:paraId="545BA48F" w14:textId="77777777" w:rsidR="00335D8A" w:rsidRPr="009035C2" w:rsidRDefault="00335D8A" w:rsidP="009035C2">
            <w:pPr>
              <w:ind w:hanging="129"/>
              <w:jc w:val="right"/>
              <w:rPr>
                <w:rFonts w:cs="Arial"/>
                <w:b/>
                <w:bCs/>
                <w:sz w:val="18"/>
                <w:szCs w:val="18"/>
              </w:rPr>
            </w:pPr>
            <w:r w:rsidRPr="009035C2">
              <w:rPr>
                <w:rFonts w:cs="Arial"/>
                <w:b/>
                <w:bCs/>
                <w:sz w:val="18"/>
                <w:szCs w:val="18"/>
              </w:rPr>
              <w:t>1.218.457</w:t>
            </w:r>
          </w:p>
        </w:tc>
        <w:tc>
          <w:tcPr>
            <w:tcW w:w="538" w:type="pct"/>
            <w:tcBorders>
              <w:top w:val="nil"/>
              <w:left w:val="single" w:sz="8" w:space="0" w:color="333300"/>
              <w:bottom w:val="nil"/>
              <w:right w:val="nil"/>
            </w:tcBorders>
            <w:shd w:val="clear" w:color="000000" w:fill="FFFFFF"/>
            <w:vAlign w:val="center"/>
            <w:hideMark/>
          </w:tcPr>
          <w:p w14:paraId="5AC4F1E4" w14:textId="77777777" w:rsidR="00335D8A" w:rsidRPr="009035C2" w:rsidRDefault="00335D8A" w:rsidP="009035C2">
            <w:pPr>
              <w:ind w:hanging="108"/>
              <w:jc w:val="right"/>
              <w:rPr>
                <w:rFonts w:cs="Arial"/>
                <w:b/>
                <w:bCs/>
                <w:sz w:val="18"/>
                <w:szCs w:val="18"/>
              </w:rPr>
            </w:pPr>
            <w:r w:rsidRPr="009035C2">
              <w:rPr>
                <w:rFonts w:cs="Arial"/>
                <w:b/>
                <w:bCs/>
                <w:sz w:val="18"/>
                <w:szCs w:val="18"/>
              </w:rPr>
              <w:t>1.288.282</w:t>
            </w:r>
          </w:p>
        </w:tc>
        <w:tc>
          <w:tcPr>
            <w:tcW w:w="538" w:type="pct"/>
            <w:tcBorders>
              <w:top w:val="nil"/>
              <w:left w:val="single" w:sz="8" w:space="0" w:color="333300"/>
              <w:bottom w:val="nil"/>
              <w:right w:val="nil"/>
            </w:tcBorders>
            <w:shd w:val="clear" w:color="000000" w:fill="FFFFFF"/>
            <w:vAlign w:val="center"/>
            <w:hideMark/>
          </w:tcPr>
          <w:p w14:paraId="50809FE7" w14:textId="77777777" w:rsidR="00335D8A" w:rsidRPr="009035C2" w:rsidRDefault="00335D8A" w:rsidP="009035C2">
            <w:pPr>
              <w:ind w:hanging="87"/>
              <w:jc w:val="right"/>
              <w:rPr>
                <w:rFonts w:cs="Arial"/>
                <w:b/>
                <w:bCs/>
                <w:sz w:val="18"/>
                <w:szCs w:val="18"/>
              </w:rPr>
            </w:pPr>
            <w:r w:rsidRPr="009035C2">
              <w:rPr>
                <w:rFonts w:cs="Arial"/>
                <w:b/>
                <w:bCs/>
                <w:sz w:val="18"/>
                <w:szCs w:val="18"/>
              </w:rPr>
              <w:t>1.458.447</w:t>
            </w:r>
          </w:p>
        </w:tc>
        <w:tc>
          <w:tcPr>
            <w:tcW w:w="538" w:type="pct"/>
            <w:tcBorders>
              <w:top w:val="nil"/>
              <w:left w:val="single" w:sz="8" w:space="0" w:color="333300"/>
              <w:bottom w:val="nil"/>
              <w:right w:val="nil"/>
            </w:tcBorders>
            <w:shd w:val="clear" w:color="000000" w:fill="FFFFFF"/>
            <w:vAlign w:val="center"/>
            <w:hideMark/>
          </w:tcPr>
          <w:p w14:paraId="71834638" w14:textId="77777777" w:rsidR="00335D8A" w:rsidRPr="009035C2" w:rsidRDefault="00335D8A" w:rsidP="009035C2">
            <w:pPr>
              <w:ind w:hanging="82"/>
              <w:jc w:val="right"/>
              <w:rPr>
                <w:rFonts w:cs="Arial"/>
                <w:b/>
                <w:bCs/>
                <w:sz w:val="18"/>
                <w:szCs w:val="18"/>
              </w:rPr>
            </w:pPr>
            <w:r w:rsidRPr="009035C2">
              <w:rPr>
                <w:rFonts w:cs="Arial"/>
                <w:b/>
                <w:bCs/>
                <w:sz w:val="18"/>
                <w:szCs w:val="18"/>
              </w:rPr>
              <w:t>1.662.140</w:t>
            </w:r>
          </w:p>
        </w:tc>
        <w:tc>
          <w:tcPr>
            <w:tcW w:w="607" w:type="pct"/>
            <w:tcBorders>
              <w:top w:val="nil"/>
              <w:left w:val="single" w:sz="8" w:space="0" w:color="333300"/>
              <w:bottom w:val="nil"/>
              <w:right w:val="single" w:sz="8" w:space="0" w:color="auto"/>
            </w:tcBorders>
            <w:shd w:val="clear" w:color="000000" w:fill="FFFFFF"/>
            <w:vAlign w:val="center"/>
            <w:hideMark/>
          </w:tcPr>
          <w:p w14:paraId="5429C25C" w14:textId="77777777" w:rsidR="00335D8A" w:rsidRPr="009035C2" w:rsidRDefault="00335D8A" w:rsidP="00335D8A">
            <w:pPr>
              <w:jc w:val="center"/>
              <w:rPr>
                <w:rFonts w:cs="Arial"/>
                <w:b/>
                <w:bCs/>
                <w:sz w:val="18"/>
                <w:szCs w:val="18"/>
              </w:rPr>
            </w:pPr>
            <w:r w:rsidRPr="009035C2">
              <w:rPr>
                <w:rFonts w:cs="Arial"/>
                <w:b/>
                <w:bCs/>
                <w:sz w:val="18"/>
                <w:szCs w:val="18"/>
              </w:rPr>
              <w:t>37,05</w:t>
            </w:r>
          </w:p>
        </w:tc>
        <w:tc>
          <w:tcPr>
            <w:tcW w:w="528" w:type="pct"/>
            <w:tcBorders>
              <w:top w:val="nil"/>
              <w:left w:val="single" w:sz="8" w:space="0" w:color="333300"/>
              <w:bottom w:val="nil"/>
            </w:tcBorders>
            <w:shd w:val="clear" w:color="000000" w:fill="FFFFFF"/>
            <w:vAlign w:val="center"/>
            <w:hideMark/>
          </w:tcPr>
          <w:p w14:paraId="6112328A" w14:textId="77777777" w:rsidR="00335D8A" w:rsidRPr="009035C2" w:rsidRDefault="00335D8A" w:rsidP="00335D8A">
            <w:pPr>
              <w:jc w:val="center"/>
              <w:rPr>
                <w:rFonts w:cs="Arial"/>
                <w:b/>
                <w:bCs/>
                <w:sz w:val="18"/>
                <w:szCs w:val="18"/>
              </w:rPr>
            </w:pPr>
            <w:r w:rsidRPr="009035C2">
              <w:rPr>
                <w:rFonts w:cs="Arial"/>
                <w:b/>
                <w:bCs/>
                <w:sz w:val="18"/>
                <w:szCs w:val="18"/>
              </w:rPr>
              <w:t>13,97</w:t>
            </w:r>
          </w:p>
        </w:tc>
      </w:tr>
      <w:tr w:rsidR="00862E98" w:rsidRPr="009035C2" w14:paraId="224FDE36" w14:textId="77777777" w:rsidTr="00E73548">
        <w:trPr>
          <w:trHeight w:val="284"/>
        </w:trPr>
        <w:tc>
          <w:tcPr>
            <w:tcW w:w="1173" w:type="pct"/>
            <w:tcBorders>
              <w:top w:val="nil"/>
              <w:left w:val="nil"/>
              <w:bottom w:val="single" w:sz="8" w:space="0" w:color="333300"/>
              <w:right w:val="single" w:sz="8" w:space="0" w:color="333300"/>
            </w:tcBorders>
            <w:shd w:val="clear" w:color="000000" w:fill="FFFFFF"/>
            <w:vAlign w:val="center"/>
            <w:hideMark/>
          </w:tcPr>
          <w:p w14:paraId="66C2766D" w14:textId="77777777" w:rsidR="00335D8A" w:rsidRPr="009035C2" w:rsidRDefault="00335D8A" w:rsidP="00335D8A">
            <w:pPr>
              <w:rPr>
                <w:rFonts w:cs="Arial"/>
                <w:b/>
                <w:bCs/>
                <w:sz w:val="18"/>
                <w:szCs w:val="18"/>
              </w:rPr>
            </w:pPr>
            <w:r w:rsidRPr="009035C2">
              <w:rPr>
                <w:rFonts w:cs="Arial"/>
                <w:b/>
                <w:bCs/>
                <w:sz w:val="18"/>
                <w:szCs w:val="18"/>
              </w:rPr>
              <w:t>Ministério Público</w:t>
            </w:r>
          </w:p>
        </w:tc>
        <w:tc>
          <w:tcPr>
            <w:tcW w:w="538" w:type="pct"/>
            <w:tcBorders>
              <w:top w:val="nil"/>
              <w:left w:val="single" w:sz="8" w:space="0" w:color="333300"/>
              <w:bottom w:val="single" w:sz="8" w:space="0" w:color="333300"/>
              <w:right w:val="nil"/>
            </w:tcBorders>
            <w:shd w:val="clear" w:color="000000" w:fill="FFFFFF"/>
            <w:vAlign w:val="center"/>
            <w:hideMark/>
          </w:tcPr>
          <w:p w14:paraId="4D461F7E" w14:textId="77777777" w:rsidR="00335D8A" w:rsidRPr="009035C2" w:rsidRDefault="00335D8A" w:rsidP="009035C2">
            <w:pPr>
              <w:ind w:hanging="133"/>
              <w:jc w:val="right"/>
              <w:rPr>
                <w:rFonts w:cs="Arial"/>
                <w:b/>
                <w:bCs/>
                <w:sz w:val="18"/>
                <w:szCs w:val="18"/>
              </w:rPr>
            </w:pPr>
            <w:r w:rsidRPr="009035C2">
              <w:rPr>
                <w:rFonts w:cs="Arial"/>
                <w:b/>
                <w:bCs/>
                <w:sz w:val="18"/>
                <w:szCs w:val="18"/>
              </w:rPr>
              <w:t>496.448</w:t>
            </w:r>
          </w:p>
        </w:tc>
        <w:tc>
          <w:tcPr>
            <w:tcW w:w="538" w:type="pct"/>
            <w:tcBorders>
              <w:top w:val="nil"/>
              <w:left w:val="single" w:sz="8" w:space="0" w:color="333300"/>
              <w:bottom w:val="single" w:sz="8" w:space="0" w:color="333300"/>
              <w:right w:val="nil"/>
            </w:tcBorders>
            <w:shd w:val="clear" w:color="000000" w:fill="FFFFFF"/>
            <w:vAlign w:val="center"/>
            <w:hideMark/>
          </w:tcPr>
          <w:p w14:paraId="16331432" w14:textId="77777777" w:rsidR="00335D8A" w:rsidRPr="009035C2" w:rsidRDefault="00335D8A" w:rsidP="009035C2">
            <w:pPr>
              <w:ind w:hanging="129"/>
              <w:jc w:val="right"/>
              <w:rPr>
                <w:rFonts w:cs="Arial"/>
                <w:b/>
                <w:bCs/>
                <w:sz w:val="18"/>
                <w:szCs w:val="18"/>
              </w:rPr>
            </w:pPr>
            <w:r w:rsidRPr="009035C2">
              <w:rPr>
                <w:rFonts w:cs="Arial"/>
                <w:b/>
                <w:bCs/>
                <w:sz w:val="18"/>
                <w:szCs w:val="18"/>
              </w:rPr>
              <w:t>495.798</w:t>
            </w:r>
          </w:p>
        </w:tc>
        <w:tc>
          <w:tcPr>
            <w:tcW w:w="538" w:type="pct"/>
            <w:tcBorders>
              <w:top w:val="nil"/>
              <w:left w:val="single" w:sz="8" w:space="0" w:color="333300"/>
              <w:bottom w:val="single" w:sz="8" w:space="0" w:color="333300"/>
              <w:right w:val="nil"/>
            </w:tcBorders>
            <w:shd w:val="clear" w:color="000000" w:fill="FFFFFF"/>
            <w:vAlign w:val="center"/>
            <w:hideMark/>
          </w:tcPr>
          <w:p w14:paraId="409A7976" w14:textId="77777777" w:rsidR="00335D8A" w:rsidRPr="009035C2" w:rsidRDefault="00335D8A" w:rsidP="009035C2">
            <w:pPr>
              <w:ind w:hanging="108"/>
              <w:jc w:val="right"/>
              <w:rPr>
                <w:rFonts w:cs="Arial"/>
                <w:b/>
                <w:bCs/>
                <w:sz w:val="18"/>
                <w:szCs w:val="18"/>
              </w:rPr>
            </w:pPr>
            <w:r w:rsidRPr="009035C2">
              <w:rPr>
                <w:rFonts w:cs="Arial"/>
                <w:b/>
                <w:bCs/>
                <w:sz w:val="18"/>
                <w:szCs w:val="18"/>
              </w:rPr>
              <w:t>503.909</w:t>
            </w:r>
          </w:p>
        </w:tc>
        <w:tc>
          <w:tcPr>
            <w:tcW w:w="538" w:type="pct"/>
            <w:tcBorders>
              <w:top w:val="nil"/>
              <w:left w:val="single" w:sz="8" w:space="0" w:color="333300"/>
              <w:bottom w:val="single" w:sz="8" w:space="0" w:color="333300"/>
              <w:right w:val="nil"/>
            </w:tcBorders>
            <w:shd w:val="clear" w:color="000000" w:fill="FFFFFF"/>
            <w:vAlign w:val="center"/>
            <w:hideMark/>
          </w:tcPr>
          <w:p w14:paraId="01327FA9" w14:textId="77777777" w:rsidR="00335D8A" w:rsidRPr="009035C2" w:rsidRDefault="00335D8A" w:rsidP="009035C2">
            <w:pPr>
              <w:ind w:hanging="87"/>
              <w:jc w:val="right"/>
              <w:rPr>
                <w:rFonts w:cs="Arial"/>
                <w:b/>
                <w:bCs/>
                <w:sz w:val="18"/>
                <w:szCs w:val="18"/>
              </w:rPr>
            </w:pPr>
            <w:r w:rsidRPr="009035C2">
              <w:rPr>
                <w:rFonts w:cs="Arial"/>
                <w:b/>
                <w:bCs/>
                <w:sz w:val="18"/>
                <w:szCs w:val="18"/>
              </w:rPr>
              <w:t>579.842</w:t>
            </w:r>
          </w:p>
        </w:tc>
        <w:tc>
          <w:tcPr>
            <w:tcW w:w="538" w:type="pct"/>
            <w:tcBorders>
              <w:top w:val="nil"/>
              <w:left w:val="single" w:sz="8" w:space="0" w:color="333300"/>
              <w:bottom w:val="single" w:sz="8" w:space="0" w:color="333300"/>
              <w:right w:val="nil"/>
            </w:tcBorders>
            <w:shd w:val="clear" w:color="000000" w:fill="FFFFFF"/>
            <w:vAlign w:val="center"/>
            <w:hideMark/>
          </w:tcPr>
          <w:p w14:paraId="09581711" w14:textId="77777777" w:rsidR="00335D8A" w:rsidRPr="009035C2" w:rsidRDefault="00335D8A" w:rsidP="009035C2">
            <w:pPr>
              <w:ind w:hanging="82"/>
              <w:jc w:val="right"/>
              <w:rPr>
                <w:rFonts w:cs="Arial"/>
                <w:b/>
                <w:bCs/>
                <w:sz w:val="18"/>
                <w:szCs w:val="18"/>
              </w:rPr>
            </w:pPr>
            <w:r w:rsidRPr="009035C2">
              <w:rPr>
                <w:rFonts w:cs="Arial"/>
                <w:b/>
                <w:bCs/>
                <w:sz w:val="18"/>
                <w:szCs w:val="18"/>
              </w:rPr>
              <w:t>638.649</w:t>
            </w:r>
          </w:p>
        </w:tc>
        <w:tc>
          <w:tcPr>
            <w:tcW w:w="607" w:type="pct"/>
            <w:tcBorders>
              <w:top w:val="nil"/>
              <w:left w:val="single" w:sz="8" w:space="0" w:color="333300"/>
              <w:bottom w:val="single" w:sz="8" w:space="0" w:color="333300"/>
              <w:right w:val="single" w:sz="8" w:space="0" w:color="auto"/>
            </w:tcBorders>
            <w:shd w:val="clear" w:color="000000" w:fill="FFFFFF"/>
            <w:vAlign w:val="center"/>
            <w:hideMark/>
          </w:tcPr>
          <w:p w14:paraId="1379A226" w14:textId="77777777" w:rsidR="00335D8A" w:rsidRPr="009035C2" w:rsidRDefault="00335D8A" w:rsidP="00335D8A">
            <w:pPr>
              <w:jc w:val="center"/>
              <w:rPr>
                <w:rFonts w:cs="Arial"/>
                <w:b/>
                <w:bCs/>
                <w:sz w:val="18"/>
                <w:szCs w:val="18"/>
              </w:rPr>
            </w:pPr>
            <w:r w:rsidRPr="009035C2">
              <w:rPr>
                <w:rFonts w:cs="Arial"/>
                <w:b/>
                <w:bCs/>
                <w:sz w:val="18"/>
                <w:szCs w:val="18"/>
              </w:rPr>
              <w:t>28,64</w:t>
            </w:r>
          </w:p>
        </w:tc>
        <w:tc>
          <w:tcPr>
            <w:tcW w:w="528" w:type="pct"/>
            <w:tcBorders>
              <w:top w:val="nil"/>
              <w:left w:val="single" w:sz="8" w:space="0" w:color="333300"/>
              <w:bottom w:val="single" w:sz="8" w:space="0" w:color="333300"/>
            </w:tcBorders>
            <w:shd w:val="clear" w:color="000000" w:fill="FFFFFF"/>
            <w:vAlign w:val="center"/>
            <w:hideMark/>
          </w:tcPr>
          <w:p w14:paraId="3C4E48E9" w14:textId="77777777" w:rsidR="00335D8A" w:rsidRPr="009035C2" w:rsidRDefault="00335D8A" w:rsidP="00335D8A">
            <w:pPr>
              <w:jc w:val="center"/>
              <w:rPr>
                <w:rFonts w:cs="Arial"/>
                <w:b/>
                <w:bCs/>
                <w:sz w:val="18"/>
                <w:szCs w:val="18"/>
              </w:rPr>
            </w:pPr>
            <w:r w:rsidRPr="009035C2">
              <w:rPr>
                <w:rFonts w:cs="Arial"/>
                <w:b/>
                <w:bCs/>
                <w:sz w:val="18"/>
                <w:szCs w:val="18"/>
              </w:rPr>
              <w:t>10,14</w:t>
            </w:r>
          </w:p>
        </w:tc>
      </w:tr>
      <w:tr w:rsidR="00862E98" w:rsidRPr="009035C2" w14:paraId="1E15F7B6" w14:textId="77777777" w:rsidTr="00E73548">
        <w:trPr>
          <w:trHeight w:val="284"/>
        </w:trPr>
        <w:tc>
          <w:tcPr>
            <w:tcW w:w="1173" w:type="pct"/>
            <w:tcBorders>
              <w:top w:val="nil"/>
              <w:left w:val="nil"/>
              <w:bottom w:val="single" w:sz="8" w:space="0" w:color="333300"/>
              <w:right w:val="single" w:sz="8" w:space="0" w:color="333300"/>
            </w:tcBorders>
            <w:shd w:val="clear" w:color="000000" w:fill="FFFFFF"/>
            <w:vAlign w:val="center"/>
            <w:hideMark/>
          </w:tcPr>
          <w:p w14:paraId="6D0C8B64" w14:textId="77777777" w:rsidR="00335D8A" w:rsidRPr="009035C2" w:rsidRDefault="00335D8A" w:rsidP="00335D8A">
            <w:pPr>
              <w:jc w:val="center"/>
              <w:rPr>
                <w:rFonts w:cs="Arial"/>
                <w:b/>
                <w:bCs/>
                <w:sz w:val="18"/>
                <w:szCs w:val="18"/>
              </w:rPr>
            </w:pPr>
            <w:r w:rsidRPr="009035C2">
              <w:rPr>
                <w:rFonts w:cs="Arial"/>
                <w:b/>
                <w:bCs/>
                <w:sz w:val="18"/>
                <w:szCs w:val="18"/>
              </w:rPr>
              <w:t>Total</w:t>
            </w:r>
          </w:p>
        </w:tc>
        <w:tc>
          <w:tcPr>
            <w:tcW w:w="538" w:type="pct"/>
            <w:tcBorders>
              <w:top w:val="nil"/>
              <w:left w:val="single" w:sz="8" w:space="0" w:color="333300"/>
              <w:bottom w:val="single" w:sz="8" w:space="0" w:color="333300"/>
              <w:right w:val="nil"/>
            </w:tcBorders>
            <w:shd w:val="clear" w:color="000000" w:fill="FFFFFF"/>
            <w:vAlign w:val="center"/>
            <w:hideMark/>
          </w:tcPr>
          <w:p w14:paraId="154C6A00" w14:textId="77777777" w:rsidR="00335D8A" w:rsidRPr="009035C2" w:rsidRDefault="00335D8A" w:rsidP="009035C2">
            <w:pPr>
              <w:ind w:hanging="133"/>
              <w:jc w:val="right"/>
              <w:rPr>
                <w:rFonts w:cs="Arial"/>
                <w:b/>
                <w:bCs/>
                <w:sz w:val="18"/>
                <w:szCs w:val="18"/>
              </w:rPr>
            </w:pPr>
            <w:r w:rsidRPr="009035C2">
              <w:rPr>
                <w:rFonts w:cs="Arial"/>
                <w:b/>
                <w:bCs/>
                <w:sz w:val="18"/>
                <w:szCs w:val="18"/>
              </w:rPr>
              <w:t>14.613.643</w:t>
            </w:r>
          </w:p>
        </w:tc>
        <w:tc>
          <w:tcPr>
            <w:tcW w:w="538" w:type="pct"/>
            <w:tcBorders>
              <w:top w:val="nil"/>
              <w:left w:val="single" w:sz="8" w:space="0" w:color="333300"/>
              <w:bottom w:val="single" w:sz="8" w:space="0" w:color="333300"/>
              <w:right w:val="nil"/>
            </w:tcBorders>
            <w:shd w:val="clear" w:color="000000" w:fill="FFFFFF"/>
            <w:vAlign w:val="center"/>
            <w:hideMark/>
          </w:tcPr>
          <w:p w14:paraId="2F8B406B" w14:textId="77777777" w:rsidR="00335D8A" w:rsidRPr="009035C2" w:rsidRDefault="00335D8A" w:rsidP="009035C2">
            <w:pPr>
              <w:ind w:hanging="129"/>
              <w:jc w:val="right"/>
              <w:rPr>
                <w:rFonts w:cs="Arial"/>
                <w:b/>
                <w:bCs/>
                <w:sz w:val="18"/>
                <w:szCs w:val="18"/>
              </w:rPr>
            </w:pPr>
            <w:r w:rsidRPr="009035C2">
              <w:rPr>
                <w:rFonts w:cs="Arial"/>
                <w:b/>
                <w:bCs/>
                <w:sz w:val="18"/>
                <w:szCs w:val="18"/>
              </w:rPr>
              <w:t>14.301.617</w:t>
            </w:r>
          </w:p>
        </w:tc>
        <w:tc>
          <w:tcPr>
            <w:tcW w:w="538" w:type="pct"/>
            <w:tcBorders>
              <w:top w:val="nil"/>
              <w:left w:val="single" w:sz="8" w:space="0" w:color="333300"/>
              <w:bottom w:val="single" w:sz="8" w:space="0" w:color="333300"/>
              <w:right w:val="nil"/>
            </w:tcBorders>
            <w:shd w:val="clear" w:color="000000" w:fill="FFFFFF"/>
            <w:vAlign w:val="center"/>
            <w:hideMark/>
          </w:tcPr>
          <w:p w14:paraId="0C33081D" w14:textId="77777777" w:rsidR="00335D8A" w:rsidRPr="009035C2" w:rsidRDefault="00335D8A" w:rsidP="009035C2">
            <w:pPr>
              <w:ind w:hanging="108"/>
              <w:jc w:val="right"/>
              <w:rPr>
                <w:rFonts w:cs="Arial"/>
                <w:b/>
                <w:bCs/>
                <w:sz w:val="18"/>
                <w:szCs w:val="18"/>
              </w:rPr>
            </w:pPr>
            <w:r w:rsidRPr="009035C2">
              <w:rPr>
                <w:rFonts w:cs="Arial"/>
                <w:b/>
                <w:bCs/>
                <w:sz w:val="18"/>
                <w:szCs w:val="18"/>
              </w:rPr>
              <w:t>14.660.497</w:t>
            </w:r>
          </w:p>
        </w:tc>
        <w:tc>
          <w:tcPr>
            <w:tcW w:w="538" w:type="pct"/>
            <w:tcBorders>
              <w:top w:val="nil"/>
              <w:left w:val="single" w:sz="8" w:space="0" w:color="333300"/>
              <w:bottom w:val="single" w:sz="8" w:space="0" w:color="333300"/>
              <w:right w:val="nil"/>
            </w:tcBorders>
            <w:shd w:val="clear" w:color="000000" w:fill="FFFFFF"/>
            <w:vAlign w:val="center"/>
            <w:hideMark/>
          </w:tcPr>
          <w:p w14:paraId="1CCAFFB4" w14:textId="77777777" w:rsidR="00335D8A" w:rsidRPr="009035C2" w:rsidRDefault="00335D8A" w:rsidP="009035C2">
            <w:pPr>
              <w:ind w:hanging="87"/>
              <w:jc w:val="right"/>
              <w:rPr>
                <w:rFonts w:cs="Arial"/>
                <w:b/>
                <w:bCs/>
                <w:sz w:val="18"/>
                <w:szCs w:val="18"/>
              </w:rPr>
            </w:pPr>
            <w:r w:rsidRPr="009035C2">
              <w:rPr>
                <w:rFonts w:cs="Arial"/>
                <w:b/>
                <w:bCs/>
                <w:sz w:val="18"/>
                <w:szCs w:val="18"/>
              </w:rPr>
              <w:t>17.987.040</w:t>
            </w:r>
          </w:p>
        </w:tc>
        <w:tc>
          <w:tcPr>
            <w:tcW w:w="538" w:type="pct"/>
            <w:tcBorders>
              <w:top w:val="nil"/>
              <w:left w:val="single" w:sz="8" w:space="0" w:color="333300"/>
              <w:bottom w:val="single" w:sz="8" w:space="0" w:color="333300"/>
              <w:right w:val="nil"/>
            </w:tcBorders>
            <w:shd w:val="clear" w:color="000000" w:fill="FFFFFF"/>
            <w:vAlign w:val="center"/>
            <w:hideMark/>
          </w:tcPr>
          <w:p w14:paraId="32C05497" w14:textId="77777777" w:rsidR="00335D8A" w:rsidRPr="009035C2" w:rsidRDefault="00335D8A" w:rsidP="009035C2">
            <w:pPr>
              <w:ind w:hanging="82"/>
              <w:jc w:val="right"/>
              <w:rPr>
                <w:rFonts w:cs="Arial"/>
                <w:b/>
                <w:bCs/>
                <w:sz w:val="18"/>
                <w:szCs w:val="18"/>
              </w:rPr>
            </w:pPr>
            <w:r w:rsidRPr="009035C2">
              <w:rPr>
                <w:rFonts w:cs="Arial"/>
                <w:b/>
                <w:bCs/>
                <w:sz w:val="18"/>
                <w:szCs w:val="18"/>
              </w:rPr>
              <w:t>19.859.480</w:t>
            </w:r>
          </w:p>
        </w:tc>
        <w:tc>
          <w:tcPr>
            <w:tcW w:w="607" w:type="pct"/>
            <w:tcBorders>
              <w:top w:val="nil"/>
              <w:left w:val="single" w:sz="8" w:space="0" w:color="333300"/>
              <w:bottom w:val="single" w:sz="8" w:space="0" w:color="333300"/>
              <w:right w:val="single" w:sz="8" w:space="0" w:color="auto"/>
            </w:tcBorders>
            <w:shd w:val="clear" w:color="000000" w:fill="FFFFFF"/>
            <w:vAlign w:val="center"/>
            <w:hideMark/>
          </w:tcPr>
          <w:p w14:paraId="1779E12D" w14:textId="77777777" w:rsidR="00335D8A" w:rsidRPr="009035C2" w:rsidRDefault="00335D8A" w:rsidP="00335D8A">
            <w:pPr>
              <w:jc w:val="center"/>
              <w:rPr>
                <w:rFonts w:cs="Arial"/>
                <w:b/>
                <w:bCs/>
                <w:sz w:val="18"/>
                <w:szCs w:val="18"/>
              </w:rPr>
            </w:pPr>
            <w:r w:rsidRPr="009035C2">
              <w:rPr>
                <w:rFonts w:cs="Arial"/>
                <w:b/>
                <w:bCs/>
                <w:sz w:val="18"/>
                <w:szCs w:val="18"/>
              </w:rPr>
              <w:t>35,90</w:t>
            </w:r>
          </w:p>
        </w:tc>
        <w:tc>
          <w:tcPr>
            <w:tcW w:w="528" w:type="pct"/>
            <w:tcBorders>
              <w:top w:val="nil"/>
              <w:left w:val="single" w:sz="8" w:space="0" w:color="333300"/>
              <w:bottom w:val="single" w:sz="8" w:space="0" w:color="333300"/>
            </w:tcBorders>
            <w:shd w:val="clear" w:color="000000" w:fill="FFFFFF"/>
            <w:vAlign w:val="center"/>
            <w:hideMark/>
          </w:tcPr>
          <w:p w14:paraId="39C0374A" w14:textId="77777777" w:rsidR="00335D8A" w:rsidRPr="009035C2" w:rsidRDefault="00335D8A" w:rsidP="00335D8A">
            <w:pPr>
              <w:jc w:val="center"/>
              <w:rPr>
                <w:rFonts w:cs="Arial"/>
                <w:b/>
                <w:bCs/>
                <w:sz w:val="18"/>
                <w:szCs w:val="18"/>
              </w:rPr>
            </w:pPr>
            <w:r w:rsidRPr="009035C2">
              <w:rPr>
                <w:rFonts w:cs="Arial"/>
                <w:b/>
                <w:bCs/>
                <w:sz w:val="18"/>
                <w:szCs w:val="18"/>
              </w:rPr>
              <w:t>10,41</w:t>
            </w:r>
          </w:p>
        </w:tc>
      </w:tr>
      <w:tr w:rsidR="00862E98" w:rsidRPr="009035C2" w14:paraId="68DB1225" w14:textId="77777777" w:rsidTr="00E73548">
        <w:trPr>
          <w:trHeight w:val="284"/>
        </w:trPr>
        <w:tc>
          <w:tcPr>
            <w:tcW w:w="1173" w:type="pct"/>
            <w:tcBorders>
              <w:top w:val="nil"/>
              <w:left w:val="nil"/>
              <w:bottom w:val="single" w:sz="8" w:space="0" w:color="000000"/>
              <w:right w:val="single" w:sz="8" w:space="0" w:color="333300"/>
            </w:tcBorders>
            <w:shd w:val="clear" w:color="auto" w:fill="auto"/>
            <w:vAlign w:val="center"/>
            <w:hideMark/>
          </w:tcPr>
          <w:p w14:paraId="4BCCD530" w14:textId="77777777" w:rsidR="00335D8A" w:rsidRPr="009035C2" w:rsidRDefault="00335D8A" w:rsidP="00D30A43">
            <w:pPr>
              <w:jc w:val="center"/>
              <w:rPr>
                <w:rFonts w:cs="Arial"/>
                <w:bCs/>
                <w:sz w:val="18"/>
                <w:szCs w:val="18"/>
              </w:rPr>
            </w:pPr>
            <w:r w:rsidRPr="009035C2">
              <w:rPr>
                <w:rFonts w:cs="Arial"/>
                <w:bCs/>
                <w:sz w:val="18"/>
                <w:szCs w:val="18"/>
              </w:rPr>
              <w:t>RCL</w:t>
            </w:r>
          </w:p>
        </w:tc>
        <w:tc>
          <w:tcPr>
            <w:tcW w:w="538" w:type="pct"/>
            <w:tcBorders>
              <w:top w:val="nil"/>
              <w:left w:val="nil"/>
              <w:bottom w:val="single" w:sz="8" w:space="0" w:color="auto"/>
              <w:right w:val="single" w:sz="8" w:space="0" w:color="auto"/>
            </w:tcBorders>
            <w:shd w:val="clear" w:color="000000" w:fill="FFFFFF"/>
            <w:vAlign w:val="center"/>
            <w:hideMark/>
          </w:tcPr>
          <w:p w14:paraId="0C1B64A3" w14:textId="77777777" w:rsidR="00335D8A" w:rsidRPr="009035C2" w:rsidRDefault="00335D8A" w:rsidP="009035C2">
            <w:pPr>
              <w:ind w:hanging="133"/>
              <w:jc w:val="right"/>
              <w:rPr>
                <w:rFonts w:cs="Arial"/>
                <w:bCs/>
                <w:sz w:val="18"/>
                <w:szCs w:val="18"/>
              </w:rPr>
            </w:pPr>
            <w:r w:rsidRPr="009035C2">
              <w:rPr>
                <w:rFonts w:cs="Arial"/>
                <w:bCs/>
                <w:sz w:val="18"/>
                <w:szCs w:val="18"/>
              </w:rPr>
              <w:t>24.528.201</w:t>
            </w:r>
          </w:p>
        </w:tc>
        <w:tc>
          <w:tcPr>
            <w:tcW w:w="538" w:type="pct"/>
            <w:tcBorders>
              <w:top w:val="nil"/>
              <w:left w:val="nil"/>
              <w:bottom w:val="single" w:sz="8" w:space="0" w:color="auto"/>
              <w:right w:val="single" w:sz="8" w:space="0" w:color="auto"/>
            </w:tcBorders>
            <w:shd w:val="clear" w:color="000000" w:fill="FFFFFF"/>
            <w:vAlign w:val="center"/>
            <w:hideMark/>
          </w:tcPr>
          <w:p w14:paraId="11F07EA9" w14:textId="77777777" w:rsidR="00335D8A" w:rsidRPr="009035C2" w:rsidRDefault="00335D8A" w:rsidP="009035C2">
            <w:pPr>
              <w:ind w:hanging="129"/>
              <w:jc w:val="right"/>
              <w:rPr>
                <w:rFonts w:cs="Arial"/>
                <w:bCs/>
                <w:sz w:val="18"/>
                <w:szCs w:val="18"/>
              </w:rPr>
            </w:pPr>
            <w:r w:rsidRPr="009035C2">
              <w:rPr>
                <w:rFonts w:cs="Arial"/>
                <w:bCs/>
                <w:sz w:val="18"/>
                <w:szCs w:val="18"/>
              </w:rPr>
              <w:t>26.290.021</w:t>
            </w:r>
          </w:p>
        </w:tc>
        <w:tc>
          <w:tcPr>
            <w:tcW w:w="538" w:type="pct"/>
            <w:tcBorders>
              <w:top w:val="nil"/>
              <w:left w:val="nil"/>
              <w:bottom w:val="single" w:sz="8" w:space="0" w:color="auto"/>
              <w:right w:val="single" w:sz="8" w:space="0" w:color="auto"/>
            </w:tcBorders>
            <w:shd w:val="clear" w:color="000000" w:fill="FFFFFF"/>
            <w:vAlign w:val="center"/>
            <w:hideMark/>
          </w:tcPr>
          <w:p w14:paraId="5237CAC6" w14:textId="77777777" w:rsidR="00335D8A" w:rsidRPr="009035C2" w:rsidRDefault="00335D8A" w:rsidP="009035C2">
            <w:pPr>
              <w:ind w:hanging="108"/>
              <w:jc w:val="right"/>
              <w:rPr>
                <w:rFonts w:cs="Arial"/>
                <w:bCs/>
                <w:sz w:val="18"/>
                <w:szCs w:val="18"/>
              </w:rPr>
            </w:pPr>
            <w:r w:rsidRPr="009035C2">
              <w:rPr>
                <w:rFonts w:cs="Arial"/>
                <w:bCs/>
                <w:sz w:val="18"/>
                <w:szCs w:val="18"/>
              </w:rPr>
              <w:t>31.539.192</w:t>
            </w:r>
          </w:p>
        </w:tc>
        <w:tc>
          <w:tcPr>
            <w:tcW w:w="538" w:type="pct"/>
            <w:tcBorders>
              <w:top w:val="nil"/>
              <w:left w:val="nil"/>
              <w:bottom w:val="single" w:sz="8" w:space="0" w:color="auto"/>
              <w:right w:val="single" w:sz="8" w:space="0" w:color="auto"/>
            </w:tcBorders>
            <w:shd w:val="clear" w:color="000000" w:fill="FFFFFF"/>
            <w:vAlign w:val="center"/>
            <w:hideMark/>
          </w:tcPr>
          <w:p w14:paraId="416ADC4E" w14:textId="77777777" w:rsidR="00335D8A" w:rsidRPr="009035C2" w:rsidRDefault="00335D8A" w:rsidP="009035C2">
            <w:pPr>
              <w:ind w:hanging="87"/>
              <w:jc w:val="right"/>
              <w:rPr>
                <w:rFonts w:cs="Arial"/>
                <w:bCs/>
                <w:sz w:val="18"/>
                <w:szCs w:val="18"/>
              </w:rPr>
            </w:pPr>
            <w:r w:rsidRPr="009035C2">
              <w:rPr>
                <w:rFonts w:cs="Arial"/>
                <w:bCs/>
                <w:sz w:val="18"/>
                <w:szCs w:val="18"/>
              </w:rPr>
              <w:t>37.199.051</w:t>
            </w:r>
          </w:p>
        </w:tc>
        <w:tc>
          <w:tcPr>
            <w:tcW w:w="538" w:type="pct"/>
            <w:tcBorders>
              <w:top w:val="nil"/>
              <w:left w:val="nil"/>
              <w:bottom w:val="single" w:sz="8" w:space="0" w:color="auto"/>
              <w:right w:val="single" w:sz="8" w:space="0" w:color="auto"/>
            </w:tcBorders>
            <w:shd w:val="clear" w:color="000000" w:fill="FFFFFF"/>
            <w:vAlign w:val="center"/>
            <w:hideMark/>
          </w:tcPr>
          <w:p w14:paraId="3B927607" w14:textId="77777777" w:rsidR="00335D8A" w:rsidRPr="009035C2" w:rsidRDefault="00335D8A" w:rsidP="009035C2">
            <w:pPr>
              <w:ind w:hanging="82"/>
              <w:jc w:val="right"/>
              <w:rPr>
                <w:rFonts w:cs="Arial"/>
                <w:bCs/>
                <w:sz w:val="18"/>
                <w:szCs w:val="18"/>
              </w:rPr>
            </w:pPr>
            <w:r w:rsidRPr="009035C2">
              <w:rPr>
                <w:rFonts w:cs="Arial"/>
                <w:bCs/>
                <w:sz w:val="18"/>
                <w:szCs w:val="18"/>
              </w:rPr>
              <w:t>38.364.026</w:t>
            </w:r>
          </w:p>
        </w:tc>
        <w:tc>
          <w:tcPr>
            <w:tcW w:w="607" w:type="pct"/>
            <w:tcBorders>
              <w:top w:val="nil"/>
              <w:left w:val="nil"/>
              <w:bottom w:val="single" w:sz="4" w:space="0" w:color="auto"/>
              <w:right w:val="single" w:sz="8" w:space="0" w:color="auto"/>
            </w:tcBorders>
            <w:shd w:val="clear" w:color="auto" w:fill="auto"/>
            <w:vAlign w:val="center"/>
            <w:hideMark/>
          </w:tcPr>
          <w:p w14:paraId="7CC6AE46" w14:textId="77777777" w:rsidR="00335D8A" w:rsidRPr="009035C2" w:rsidRDefault="00335D8A" w:rsidP="00335D8A">
            <w:pPr>
              <w:jc w:val="center"/>
              <w:rPr>
                <w:rFonts w:cs="Arial"/>
                <w:bCs/>
                <w:sz w:val="18"/>
                <w:szCs w:val="18"/>
              </w:rPr>
            </w:pPr>
            <w:r w:rsidRPr="009035C2">
              <w:rPr>
                <w:rFonts w:cs="Arial"/>
                <w:bCs/>
                <w:sz w:val="18"/>
                <w:szCs w:val="18"/>
              </w:rPr>
              <w:t>56,41</w:t>
            </w:r>
          </w:p>
        </w:tc>
        <w:tc>
          <w:tcPr>
            <w:tcW w:w="528" w:type="pct"/>
            <w:tcBorders>
              <w:top w:val="nil"/>
              <w:left w:val="nil"/>
              <w:bottom w:val="single" w:sz="4" w:space="0" w:color="auto"/>
            </w:tcBorders>
            <w:shd w:val="clear" w:color="auto" w:fill="auto"/>
            <w:vAlign w:val="center"/>
            <w:hideMark/>
          </w:tcPr>
          <w:p w14:paraId="6D18BB6C" w14:textId="77777777" w:rsidR="00335D8A" w:rsidRPr="009035C2" w:rsidRDefault="00335D8A" w:rsidP="00335D8A">
            <w:pPr>
              <w:jc w:val="center"/>
              <w:rPr>
                <w:rFonts w:cs="Arial"/>
                <w:bCs/>
                <w:sz w:val="18"/>
                <w:szCs w:val="18"/>
              </w:rPr>
            </w:pPr>
            <w:r w:rsidRPr="009035C2">
              <w:rPr>
                <w:rFonts w:cs="Arial"/>
                <w:bCs/>
                <w:sz w:val="18"/>
                <w:szCs w:val="18"/>
              </w:rPr>
              <w:t>3,13</w:t>
            </w:r>
          </w:p>
        </w:tc>
      </w:tr>
      <w:tr w:rsidR="00862E98" w:rsidRPr="009035C2" w14:paraId="2D8F7911" w14:textId="77777777" w:rsidTr="00E73548">
        <w:trPr>
          <w:trHeight w:val="284"/>
        </w:trPr>
        <w:tc>
          <w:tcPr>
            <w:tcW w:w="1173" w:type="pct"/>
            <w:tcBorders>
              <w:top w:val="nil"/>
              <w:left w:val="nil"/>
              <w:bottom w:val="single" w:sz="8" w:space="0" w:color="000000"/>
              <w:right w:val="single" w:sz="8" w:space="0" w:color="333300"/>
            </w:tcBorders>
            <w:shd w:val="clear" w:color="auto" w:fill="auto"/>
            <w:vAlign w:val="center"/>
            <w:hideMark/>
          </w:tcPr>
          <w:p w14:paraId="375415A5" w14:textId="77777777" w:rsidR="00335D8A" w:rsidRPr="009035C2" w:rsidRDefault="00335D8A" w:rsidP="00086DE4">
            <w:pPr>
              <w:jc w:val="center"/>
              <w:rPr>
                <w:rFonts w:cs="Arial"/>
                <w:b/>
                <w:bCs/>
                <w:sz w:val="18"/>
                <w:szCs w:val="18"/>
              </w:rPr>
            </w:pPr>
            <w:r w:rsidRPr="009035C2">
              <w:rPr>
                <w:rFonts w:cs="Arial"/>
                <w:b/>
                <w:bCs/>
                <w:sz w:val="18"/>
                <w:szCs w:val="18"/>
              </w:rPr>
              <w:t>Despesas com Pessoal/RCL %</w:t>
            </w:r>
          </w:p>
        </w:tc>
        <w:tc>
          <w:tcPr>
            <w:tcW w:w="538" w:type="pct"/>
            <w:tcBorders>
              <w:top w:val="nil"/>
              <w:left w:val="nil"/>
              <w:bottom w:val="single" w:sz="8" w:space="0" w:color="auto"/>
              <w:right w:val="single" w:sz="8" w:space="0" w:color="auto"/>
            </w:tcBorders>
            <w:shd w:val="clear" w:color="auto" w:fill="auto"/>
            <w:vAlign w:val="center"/>
            <w:hideMark/>
          </w:tcPr>
          <w:p w14:paraId="2FCF2C9D" w14:textId="77777777" w:rsidR="00335D8A" w:rsidRPr="009035C2" w:rsidRDefault="00335D8A" w:rsidP="009035C2">
            <w:pPr>
              <w:ind w:hanging="133"/>
              <w:jc w:val="center"/>
              <w:rPr>
                <w:rFonts w:cs="Arial"/>
                <w:b/>
                <w:bCs/>
                <w:sz w:val="18"/>
                <w:szCs w:val="18"/>
              </w:rPr>
            </w:pPr>
            <w:r w:rsidRPr="009035C2">
              <w:rPr>
                <w:rFonts w:cs="Arial"/>
                <w:b/>
                <w:bCs/>
                <w:sz w:val="18"/>
                <w:szCs w:val="18"/>
              </w:rPr>
              <w:t>59,58</w:t>
            </w:r>
          </w:p>
        </w:tc>
        <w:tc>
          <w:tcPr>
            <w:tcW w:w="538" w:type="pct"/>
            <w:tcBorders>
              <w:top w:val="nil"/>
              <w:left w:val="nil"/>
              <w:bottom w:val="single" w:sz="8" w:space="0" w:color="auto"/>
              <w:right w:val="single" w:sz="8" w:space="0" w:color="auto"/>
            </w:tcBorders>
            <w:shd w:val="clear" w:color="auto" w:fill="auto"/>
            <w:vAlign w:val="center"/>
            <w:hideMark/>
          </w:tcPr>
          <w:p w14:paraId="39EF5C6D" w14:textId="77777777" w:rsidR="00335D8A" w:rsidRPr="009035C2" w:rsidRDefault="00335D8A" w:rsidP="009035C2">
            <w:pPr>
              <w:ind w:hanging="129"/>
              <w:jc w:val="center"/>
              <w:rPr>
                <w:rFonts w:cs="Arial"/>
                <w:b/>
                <w:bCs/>
                <w:sz w:val="18"/>
                <w:szCs w:val="18"/>
              </w:rPr>
            </w:pPr>
            <w:r w:rsidRPr="009035C2">
              <w:rPr>
                <w:rFonts w:cs="Arial"/>
                <w:b/>
                <w:bCs/>
                <w:sz w:val="18"/>
                <w:szCs w:val="18"/>
              </w:rPr>
              <w:t>54,40</w:t>
            </w:r>
          </w:p>
        </w:tc>
        <w:tc>
          <w:tcPr>
            <w:tcW w:w="538" w:type="pct"/>
            <w:tcBorders>
              <w:top w:val="nil"/>
              <w:left w:val="nil"/>
              <w:bottom w:val="single" w:sz="8" w:space="0" w:color="auto"/>
              <w:right w:val="single" w:sz="8" w:space="0" w:color="auto"/>
            </w:tcBorders>
            <w:shd w:val="clear" w:color="auto" w:fill="auto"/>
            <w:vAlign w:val="center"/>
            <w:hideMark/>
          </w:tcPr>
          <w:p w14:paraId="2EB98FD3" w14:textId="77777777" w:rsidR="00335D8A" w:rsidRPr="009035C2" w:rsidRDefault="00335D8A" w:rsidP="009035C2">
            <w:pPr>
              <w:ind w:hanging="108"/>
              <w:jc w:val="center"/>
              <w:rPr>
                <w:rFonts w:cs="Arial"/>
                <w:b/>
                <w:bCs/>
                <w:sz w:val="18"/>
                <w:szCs w:val="18"/>
              </w:rPr>
            </w:pPr>
            <w:r w:rsidRPr="009035C2">
              <w:rPr>
                <w:rFonts w:cs="Arial"/>
                <w:b/>
                <w:bCs/>
                <w:sz w:val="18"/>
                <w:szCs w:val="18"/>
              </w:rPr>
              <w:t>46,48</w:t>
            </w:r>
          </w:p>
        </w:tc>
        <w:tc>
          <w:tcPr>
            <w:tcW w:w="538" w:type="pct"/>
            <w:tcBorders>
              <w:top w:val="nil"/>
              <w:left w:val="nil"/>
              <w:bottom w:val="single" w:sz="8" w:space="0" w:color="auto"/>
              <w:right w:val="single" w:sz="8" w:space="0" w:color="auto"/>
            </w:tcBorders>
            <w:shd w:val="clear" w:color="auto" w:fill="auto"/>
            <w:vAlign w:val="center"/>
            <w:hideMark/>
          </w:tcPr>
          <w:p w14:paraId="1FCF5D68" w14:textId="77777777" w:rsidR="00335D8A" w:rsidRPr="009035C2" w:rsidRDefault="00335D8A" w:rsidP="009035C2">
            <w:pPr>
              <w:ind w:hanging="87"/>
              <w:jc w:val="center"/>
              <w:rPr>
                <w:rFonts w:cs="Arial"/>
                <w:b/>
                <w:bCs/>
                <w:sz w:val="18"/>
                <w:szCs w:val="18"/>
              </w:rPr>
            </w:pPr>
            <w:r w:rsidRPr="009035C2">
              <w:rPr>
                <w:rFonts w:cs="Arial"/>
                <w:b/>
                <w:bCs/>
                <w:sz w:val="18"/>
                <w:szCs w:val="18"/>
              </w:rPr>
              <w:t>48,35</w:t>
            </w:r>
          </w:p>
        </w:tc>
        <w:tc>
          <w:tcPr>
            <w:tcW w:w="538" w:type="pct"/>
            <w:tcBorders>
              <w:top w:val="single" w:sz="8" w:space="0" w:color="auto"/>
              <w:left w:val="nil"/>
              <w:bottom w:val="single" w:sz="8" w:space="0" w:color="auto"/>
              <w:right w:val="single" w:sz="4" w:space="0" w:color="auto"/>
            </w:tcBorders>
            <w:shd w:val="clear" w:color="auto" w:fill="auto"/>
            <w:vAlign w:val="center"/>
            <w:hideMark/>
          </w:tcPr>
          <w:p w14:paraId="713F2AC2" w14:textId="77777777" w:rsidR="00335D8A" w:rsidRPr="009035C2" w:rsidRDefault="00335D8A" w:rsidP="009035C2">
            <w:pPr>
              <w:ind w:hanging="82"/>
              <w:jc w:val="center"/>
              <w:rPr>
                <w:rFonts w:cs="Arial"/>
                <w:b/>
                <w:bCs/>
                <w:sz w:val="18"/>
                <w:szCs w:val="18"/>
              </w:rPr>
            </w:pPr>
            <w:r w:rsidRPr="009035C2">
              <w:rPr>
                <w:rFonts w:cs="Arial"/>
                <w:b/>
                <w:bCs/>
                <w:sz w:val="18"/>
                <w:szCs w:val="18"/>
              </w:rPr>
              <w:t>51,77</w:t>
            </w:r>
          </w:p>
        </w:tc>
        <w:tc>
          <w:tcPr>
            <w:tcW w:w="60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58355C" w14:textId="77777777" w:rsidR="00335D8A" w:rsidRPr="009035C2" w:rsidRDefault="00335D8A" w:rsidP="00335D8A">
            <w:pPr>
              <w:jc w:val="center"/>
              <w:rPr>
                <w:rFonts w:cs="Arial"/>
                <w:b/>
                <w:bCs/>
                <w:sz w:val="18"/>
                <w:szCs w:val="18"/>
              </w:rPr>
            </w:pPr>
            <w:r w:rsidRPr="009035C2">
              <w:rPr>
                <w:rFonts w:cs="Arial"/>
                <w:b/>
                <w:bCs/>
                <w:sz w:val="18"/>
                <w:szCs w:val="18"/>
              </w:rPr>
              <w:t>-</w:t>
            </w:r>
          </w:p>
        </w:tc>
        <w:tc>
          <w:tcPr>
            <w:tcW w:w="528" w:type="pct"/>
            <w:tcBorders>
              <w:top w:val="single" w:sz="4" w:space="0" w:color="auto"/>
              <w:left w:val="single" w:sz="4" w:space="0" w:color="auto"/>
              <w:bottom w:val="single" w:sz="4" w:space="0" w:color="auto"/>
              <w:right w:val="nil"/>
            </w:tcBorders>
            <w:shd w:val="clear" w:color="auto" w:fill="auto"/>
            <w:vAlign w:val="center"/>
            <w:hideMark/>
          </w:tcPr>
          <w:p w14:paraId="1603DF05" w14:textId="77777777" w:rsidR="00335D8A" w:rsidRPr="009035C2" w:rsidRDefault="00335D8A" w:rsidP="00335D8A">
            <w:pPr>
              <w:jc w:val="center"/>
              <w:rPr>
                <w:rFonts w:cs="Arial"/>
                <w:sz w:val="18"/>
                <w:szCs w:val="18"/>
              </w:rPr>
            </w:pPr>
            <w:r w:rsidRPr="009035C2">
              <w:rPr>
                <w:rFonts w:cs="Arial"/>
                <w:sz w:val="18"/>
                <w:szCs w:val="18"/>
              </w:rPr>
              <w:t>-</w:t>
            </w:r>
          </w:p>
        </w:tc>
      </w:tr>
    </w:tbl>
    <w:p w14:paraId="74244821" w14:textId="0A3A18B3" w:rsidR="00335D8A" w:rsidRPr="00F4745C" w:rsidRDefault="00335D8A" w:rsidP="00335D8A">
      <w:pPr>
        <w:pStyle w:val="1-FONTE8ESQ"/>
      </w:pPr>
      <w:r w:rsidRPr="00F4745C">
        <w:t>Fonte: RGF 3º quadrimestre dos anos de 2019</w:t>
      </w:r>
      <w:r w:rsidR="002F01F5">
        <w:t xml:space="preserve"> a </w:t>
      </w:r>
      <w:r w:rsidRPr="00F4745C">
        <w:t>2023</w:t>
      </w:r>
    </w:p>
    <w:p w14:paraId="2EF01AB7" w14:textId="77777777" w:rsidR="00335D8A" w:rsidRPr="001C305A" w:rsidRDefault="00335D8A" w:rsidP="00335D8A">
      <w:pPr>
        <w:pStyle w:val="1-REL11"/>
      </w:pPr>
      <w:r w:rsidRPr="001C305A">
        <w:lastRenderedPageBreak/>
        <w:t>Em 2023, a despesa de pessoal do Estado aumentou 10,41% em relação ao exercício financeiro de 2022, portanto, bem acima da inflação (IPCA) do período de 4,62% e do próprio crescimento da RCL. Embora as revisões salariais ocorridas no exercício de 2023 tenha</w:t>
      </w:r>
      <w:r>
        <w:t>m</w:t>
      </w:r>
      <w:r w:rsidRPr="001C305A">
        <w:t xml:space="preserve"> sido parcelada</w:t>
      </w:r>
      <w:r>
        <w:t>s</w:t>
      </w:r>
      <w:r w:rsidRPr="001C305A">
        <w:t xml:space="preserve"> e pagas 2,92% em maio/2023 e 2,92% em outubro/2023, os dados mostram que o impacto na despesa com pessoal superaram o próprio índice de inflação para revisão salaria</w:t>
      </w:r>
      <w:r>
        <w:t>l</w:t>
      </w:r>
      <w:r w:rsidRPr="001C305A">
        <w:t xml:space="preserve"> dos servidores públicos.</w:t>
      </w:r>
    </w:p>
    <w:p w14:paraId="4C3DBAB7" w14:textId="77777777" w:rsidR="00335D8A" w:rsidRPr="001C305A" w:rsidRDefault="00335D8A" w:rsidP="00335D8A">
      <w:pPr>
        <w:pStyle w:val="1-REL11"/>
      </w:pPr>
      <w:r w:rsidRPr="001C305A">
        <w:t xml:space="preserve">A expansão da despesa com pessoal </w:t>
      </w:r>
      <w:r w:rsidRPr="001C305A">
        <w:rPr>
          <w:i/>
        </w:rPr>
        <w:t xml:space="preserve">versus </w:t>
      </w:r>
      <w:r w:rsidRPr="001C305A">
        <w:t>RCL aumentou e passou de 48,35% em 2022 para 51,77% em 2023, correspondendo ao aumento nominal de R$ 1,87 bilhão.</w:t>
      </w:r>
    </w:p>
    <w:p w14:paraId="7730EF52" w14:textId="77777777" w:rsidR="00335D8A" w:rsidRPr="001C305A" w:rsidRDefault="00335D8A" w:rsidP="00335D8A">
      <w:pPr>
        <w:pStyle w:val="1-REL11"/>
      </w:pPr>
      <w:r w:rsidRPr="001C305A">
        <w:t xml:space="preserve">Nos últimos dois anos (2022 e 2023) a despesa com pessoal consolidada do estado de Goiás está desalinhada com a performance da arrecadação. Portanto, os gastos alocados com recursos humanos estão percentualmente superiores a RCL e isso sinaliza que o estado de Goiás, embora esteja no RRF, poderá ter problemas com desiquilíbrio fiscal nos anos à frente, tendo em vista que </w:t>
      </w:r>
      <w:r>
        <w:t>51,77</w:t>
      </w:r>
      <w:r w:rsidRPr="001C305A">
        <w:t>% da RCL são despendidos com pessoal.</w:t>
      </w:r>
    </w:p>
    <w:p w14:paraId="2B5A0BC2" w14:textId="77777777" w:rsidR="00335D8A" w:rsidRPr="001C305A" w:rsidRDefault="00335D8A" w:rsidP="00335D8A">
      <w:pPr>
        <w:pStyle w:val="1-REL11"/>
      </w:pPr>
      <w:r w:rsidRPr="001C305A">
        <w:t>Com uma análise individual dos Poderes e Órgãos</w:t>
      </w:r>
      <w:r>
        <w:t xml:space="preserve"> Autônomos</w:t>
      </w:r>
      <w:r w:rsidRPr="001C305A">
        <w:t xml:space="preserve">, verifica-se que todos </w:t>
      </w:r>
      <w:r>
        <w:t>apresentaram elevação de</w:t>
      </w:r>
      <w:r w:rsidRPr="001C305A">
        <w:t xml:space="preserve"> gastos com pessoal entre 2022/2023 que superaram o percentual</w:t>
      </w:r>
      <w:r>
        <w:t xml:space="preserve"> de elevação</w:t>
      </w:r>
      <w:r w:rsidRPr="001C305A">
        <w:t xml:space="preserve"> de 3,13% da RCL</w:t>
      </w:r>
      <w:r>
        <w:t xml:space="preserve"> no mesmo período</w:t>
      </w:r>
      <w:r w:rsidRPr="001C305A">
        <w:t>. O</w:t>
      </w:r>
      <w:r>
        <w:t xml:space="preserve"> aumento nos</w:t>
      </w:r>
      <w:r w:rsidRPr="001C305A">
        <w:t xml:space="preserve"> gastos </w:t>
      </w:r>
      <w:r>
        <w:t>com pessoal</w:t>
      </w:r>
      <w:r w:rsidRPr="001C305A">
        <w:t xml:space="preserve"> </w:t>
      </w:r>
      <w:r>
        <w:t xml:space="preserve">com relação a 2022 </w:t>
      </w:r>
      <w:r w:rsidRPr="001C305A">
        <w:t>do Poder Executivo atingi</w:t>
      </w:r>
      <w:r>
        <w:t>u</w:t>
      </w:r>
      <w:r w:rsidRPr="001C305A">
        <w:t xml:space="preserve"> 10,04%, a Alego 15,76%, o TCE</w:t>
      </w:r>
      <w:r>
        <w:t>/GO</w:t>
      </w:r>
      <w:r w:rsidRPr="001C305A">
        <w:t xml:space="preserve"> 7,01%</w:t>
      </w:r>
      <w:r>
        <w:t>,</w:t>
      </w:r>
      <w:r w:rsidRPr="001C305A">
        <w:t xml:space="preserve"> o TCM</w:t>
      </w:r>
      <w:r>
        <w:t>/GO</w:t>
      </w:r>
      <w:r w:rsidRPr="001C305A">
        <w:t xml:space="preserve"> 6,23%</w:t>
      </w:r>
      <w:r>
        <w:t xml:space="preserve">, </w:t>
      </w:r>
      <w:r w:rsidRPr="001C305A">
        <w:t>o Poder Judiciário 13,97%</w:t>
      </w:r>
      <w:r>
        <w:t xml:space="preserve"> e</w:t>
      </w:r>
      <w:r w:rsidRPr="001C305A">
        <w:t xml:space="preserve"> o Ministério Público 10,41%.</w:t>
      </w:r>
    </w:p>
    <w:p w14:paraId="3881EBC4" w14:textId="77777777" w:rsidR="00335D8A" w:rsidRDefault="00335D8A" w:rsidP="00335D8A">
      <w:pPr>
        <w:pStyle w:val="1-REL11"/>
      </w:pPr>
      <w:r w:rsidRPr="001C305A">
        <w:t xml:space="preserve">Informa-se que a </w:t>
      </w:r>
      <w:r>
        <w:t>DPE/GO</w:t>
      </w:r>
      <w:r w:rsidRPr="001C305A">
        <w:t xml:space="preserve"> vem tendo gastos com pessoal que se distancia da realidade de todos os Poderes e Órgãos</w:t>
      </w:r>
      <w:r>
        <w:t xml:space="preserve"> Autônomos</w:t>
      </w:r>
      <w:r w:rsidRPr="001C305A" w:rsidDel="00F507AB">
        <w:t xml:space="preserve"> </w:t>
      </w:r>
      <w:r w:rsidRPr="001C305A">
        <w:t>do estado de Goiás. Embora os gastos com pessoal da DPE</w:t>
      </w:r>
      <w:r>
        <w:t>/GO</w:t>
      </w:r>
      <w:r w:rsidRPr="001C305A">
        <w:t xml:space="preserve"> represente 0,28% da RCL de Goiás, observa-se que o aumento nominal em comparação a 2022 corresponde a 29,70%.</w:t>
      </w:r>
    </w:p>
    <w:p w14:paraId="6B3E9352" w14:textId="77777777" w:rsidR="00335D8A" w:rsidRPr="001C305A" w:rsidRDefault="00335D8A" w:rsidP="00A224E9">
      <w:pPr>
        <w:pStyle w:val="Ttulo3"/>
      </w:pPr>
      <w:bookmarkStart w:id="121" w:name="_Toc167871645"/>
      <w:r w:rsidRPr="001C305A">
        <w:t>Limite da Despesa com Pessoal Excluindo Receitas do Ipasgo</w:t>
      </w:r>
      <w:bookmarkEnd w:id="121"/>
    </w:p>
    <w:p w14:paraId="5AA697D0" w14:textId="77777777" w:rsidR="00335D8A" w:rsidRPr="001C305A" w:rsidRDefault="00335D8A" w:rsidP="00335D8A">
      <w:pPr>
        <w:pStyle w:val="1-REL11"/>
      </w:pPr>
      <w:r w:rsidRPr="001C305A">
        <w:t>Desde 2012</w:t>
      </w:r>
      <w:r>
        <w:t xml:space="preserve"> esta</w:t>
      </w:r>
      <w:r w:rsidRPr="001C305A">
        <w:t xml:space="preserve"> Unidade Técnica vem trazendo nos relatórios técnicos o impacto na RCL que os recursos oriundos do Ipasgo provoca</w:t>
      </w:r>
      <w:r>
        <w:t>va</w:t>
      </w:r>
      <w:r w:rsidRPr="001C305A">
        <w:t>m nas contas públicas do Estado, visto que esses recursos não são receitas próprias do estado de Goiás, mas recursos provenientes dos beneficiários do plano de saúde.</w:t>
      </w:r>
    </w:p>
    <w:p w14:paraId="441AFD79" w14:textId="77777777" w:rsidR="00335D8A" w:rsidRPr="001C305A" w:rsidRDefault="00335D8A" w:rsidP="00335D8A">
      <w:pPr>
        <w:pStyle w:val="1-REL11"/>
      </w:pPr>
      <w:r w:rsidRPr="001C305A">
        <w:t xml:space="preserve">No Relatório </w:t>
      </w:r>
      <w:r>
        <w:t>Técnico d</w:t>
      </w:r>
      <w:r w:rsidRPr="001C305A">
        <w:t>a</w:t>
      </w:r>
      <w:r>
        <w:t xml:space="preserve"> Prestação de</w:t>
      </w:r>
      <w:r w:rsidRPr="001C305A">
        <w:t xml:space="preserve"> Contas </w:t>
      </w:r>
      <w:r>
        <w:t>do</w:t>
      </w:r>
      <w:r w:rsidRPr="001C305A">
        <w:t xml:space="preserve"> Governador </w:t>
      </w:r>
      <w:r>
        <w:t>d</w:t>
      </w:r>
      <w:r w:rsidRPr="001C305A">
        <w:t xml:space="preserve">o Exercício de 2021 foi determinado ao Poder Executivo a adoção de providências para que, até o final de 2023, fosse efetivada a conversão do Ipasgo em pessoa jurídica de direito privado, ou promover medida com potencial equivalente para resolução dos problemas relatados, ou seja, a exclusão da receita do Ipasgo </w:t>
      </w:r>
      <w:r>
        <w:t>d</w:t>
      </w:r>
      <w:r w:rsidRPr="001C305A">
        <w:t>o cômputo da RCL.</w:t>
      </w:r>
    </w:p>
    <w:p w14:paraId="5A7AEEE9" w14:textId="77777777" w:rsidR="00335D8A" w:rsidRPr="001C305A" w:rsidRDefault="00335D8A" w:rsidP="00335D8A">
      <w:pPr>
        <w:pStyle w:val="1-REL11"/>
      </w:pPr>
      <w:r w:rsidRPr="001C305A">
        <w:t xml:space="preserve">Por meio dos Acórdãos nº 3.785/2022 e </w:t>
      </w:r>
      <w:r>
        <w:t xml:space="preserve">nº </w:t>
      </w:r>
      <w:r w:rsidRPr="001C305A">
        <w:t xml:space="preserve">3.786/2022 desta Corte de Contas houve determinação ao Chefe do Poder Executivo para o cumprimento da determinação alusiva </w:t>
      </w:r>
      <w:r>
        <w:t xml:space="preserve">ao </w:t>
      </w:r>
      <w:r>
        <w:lastRenderedPageBreak/>
        <w:t>Parecer Prévio sobre a Prestação de C</w:t>
      </w:r>
      <w:r w:rsidRPr="001C305A">
        <w:t>ontas do Governador até o final do exercício financeiro de 2023.</w:t>
      </w:r>
    </w:p>
    <w:p w14:paraId="392C4653" w14:textId="77777777" w:rsidR="00335D8A" w:rsidRPr="001C305A" w:rsidRDefault="00335D8A" w:rsidP="00335D8A">
      <w:pPr>
        <w:pStyle w:val="1-REL11"/>
      </w:pPr>
      <w:r w:rsidRPr="001C305A">
        <w:t xml:space="preserve">Considerando a publicação da </w:t>
      </w:r>
      <w:r w:rsidRPr="003E4922">
        <w:t>Lei Estadual nº 21.880/2023,</w:t>
      </w:r>
      <w:r w:rsidRPr="001C305A">
        <w:t xml:space="preserve"> que autoriza o Poder Executivo a instituir o Serviço Social Autônomo de Assistência à Saúde do Servidores Públicos e Militares do Estado de Goiás (Ipasgo Saúde), entende-se que esse tema terá solução definitiva a partir do 3º RREO de 2024, tendo em conta que o Poder Executivo vem deixando de computar as receitas do Ipasgo desde 05/2023 e a RCL é apurada somando-se as receitas arrecadadas no mês em referência e nos onze anteriores, conforme definição do art.</w:t>
      </w:r>
      <w:r>
        <w:t> </w:t>
      </w:r>
      <w:r w:rsidRPr="001C305A">
        <w:t>2º, §</w:t>
      </w:r>
      <w:r>
        <w:t> </w:t>
      </w:r>
      <w:r w:rsidRPr="001C305A">
        <w:t xml:space="preserve">3º da </w:t>
      </w:r>
      <w:r>
        <w:t>LRF</w:t>
      </w:r>
      <w:r w:rsidRPr="001C305A">
        <w:t>.</w:t>
      </w:r>
    </w:p>
    <w:p w14:paraId="7292A448" w14:textId="77777777" w:rsidR="00335D8A" w:rsidRPr="001C305A" w:rsidRDefault="00335D8A" w:rsidP="00335D8A">
      <w:pPr>
        <w:pStyle w:val="1-REL11"/>
      </w:pPr>
      <w:r w:rsidRPr="001C305A">
        <w:t>O impacto das receitas oriunda</w:t>
      </w:r>
      <w:r>
        <w:t>s</w:t>
      </w:r>
      <w:r w:rsidRPr="001C305A">
        <w:t xml:space="preserve"> do Ipasgo na RCL de 2023 é de R$ 680</w:t>
      </w:r>
      <w:r>
        <w:t>,</w:t>
      </w:r>
      <w:r w:rsidRPr="001C305A">
        <w:t>7</w:t>
      </w:r>
      <w:r>
        <w:t>2 milhões</w:t>
      </w:r>
      <w:r w:rsidRPr="001C305A">
        <w:t xml:space="preserve"> ou 1,77% do indicador, sendo que esse valor será comple</w:t>
      </w:r>
      <w:r>
        <w:t>ta</w:t>
      </w:r>
      <w:r w:rsidRPr="001C305A">
        <w:t>ment</w:t>
      </w:r>
      <w:r>
        <w:t>e</w:t>
      </w:r>
      <w:r w:rsidRPr="001C305A">
        <w:t xml:space="preserve"> eliminad</w:t>
      </w:r>
      <w:r>
        <w:t>o</w:t>
      </w:r>
      <w:r w:rsidRPr="001C305A">
        <w:t xml:space="preserve"> </w:t>
      </w:r>
      <w:r>
        <w:t>apenas n</w:t>
      </w:r>
      <w:r w:rsidRPr="001C305A">
        <w:t>a RCL publicad</w:t>
      </w:r>
      <w:r>
        <w:t>a</w:t>
      </w:r>
      <w:r w:rsidRPr="001C305A">
        <w:t xml:space="preserve"> no RREO do 3º bimestre de 2024.</w:t>
      </w:r>
    </w:p>
    <w:p w14:paraId="7EB55EF4" w14:textId="77777777" w:rsidR="00335D8A" w:rsidRPr="001C305A" w:rsidRDefault="00335D8A" w:rsidP="00A224E9">
      <w:pPr>
        <w:pStyle w:val="Ttulo3"/>
      </w:pPr>
      <w:bookmarkStart w:id="122" w:name="_Toc167871646"/>
      <w:r w:rsidRPr="001C305A">
        <w:t>Despesa com Pessoal Bruta</w:t>
      </w:r>
      <w:bookmarkEnd w:id="122"/>
    </w:p>
    <w:p w14:paraId="0F08C023" w14:textId="77777777" w:rsidR="00335D8A" w:rsidRPr="001C305A" w:rsidRDefault="00335D8A" w:rsidP="00335D8A">
      <w:pPr>
        <w:pStyle w:val="1-REL11"/>
      </w:pPr>
      <w:r w:rsidRPr="001C305A">
        <w:t xml:space="preserve">A análise da despesa com pessoal sempre contempla as despesas líquidas. Apura-se a despesa bruta e o art. 19 da </w:t>
      </w:r>
      <w:r>
        <w:t>LRF</w:t>
      </w:r>
      <w:r w:rsidRPr="001C305A">
        <w:t xml:space="preserve"> permite que algumas despesas se</w:t>
      </w:r>
      <w:r>
        <w:t>jam</w:t>
      </w:r>
      <w:r w:rsidRPr="001C305A">
        <w:t xml:space="preserve"> excluídas, e o resultado é definido como despesa</w:t>
      </w:r>
      <w:r>
        <w:t xml:space="preserve"> líquida</w:t>
      </w:r>
      <w:r w:rsidRPr="001C305A">
        <w:t xml:space="preserve"> com pessoal, sendo que esses dados são utilizado </w:t>
      </w:r>
      <w:r>
        <w:t xml:space="preserve">para apuração dos </w:t>
      </w:r>
      <w:r w:rsidRPr="001C305A">
        <w:t xml:space="preserve">limites definidos no art. 20, </w:t>
      </w:r>
      <w:r>
        <w:t xml:space="preserve">inciso </w:t>
      </w:r>
      <w:r w:rsidRPr="001C305A">
        <w:t>II</w:t>
      </w:r>
      <w:r>
        <w:t>,</w:t>
      </w:r>
      <w:r w:rsidRPr="001C305A">
        <w:t xml:space="preserve"> da </w:t>
      </w:r>
      <w:r>
        <w:t>LRF</w:t>
      </w:r>
      <w:r w:rsidRPr="001C305A">
        <w:t>.</w:t>
      </w:r>
    </w:p>
    <w:p w14:paraId="5DBFBE2D" w14:textId="77777777" w:rsidR="00335D8A" w:rsidRPr="001C305A" w:rsidRDefault="00335D8A" w:rsidP="00335D8A">
      <w:pPr>
        <w:pStyle w:val="1-REL11"/>
      </w:pPr>
      <w:r w:rsidRPr="001C305A">
        <w:t>Todavia, os gastos brutos são mais condizentes com a realidade tendo em conta que despesas relevantes decorrentes de decisão judicial, despesas de exercícios anteriores e despesas previdenciárias relacionad</w:t>
      </w:r>
      <w:r>
        <w:t>a</w:t>
      </w:r>
      <w:r w:rsidRPr="001C305A">
        <w:t>s aos descontos efetuados dos servidores ativos, inativos e pensionistas são excluídas da despesa bruta com pessoal.</w:t>
      </w:r>
    </w:p>
    <w:p w14:paraId="1FEFBEC8" w14:textId="77777777" w:rsidR="00335D8A" w:rsidRPr="001C305A" w:rsidRDefault="00335D8A" w:rsidP="00335D8A">
      <w:pPr>
        <w:pStyle w:val="1-REL11"/>
      </w:pPr>
      <w:r w:rsidRPr="001C305A">
        <w:t>Os dados a seguir contempla</w:t>
      </w:r>
      <w:r>
        <w:t>m</w:t>
      </w:r>
      <w:r w:rsidRPr="001C305A">
        <w:t xml:space="preserve"> tão somente as despesas brutas com pessoal do estado de Goiás</w:t>
      </w:r>
      <w:r>
        <w:t>:</w:t>
      </w:r>
    </w:p>
    <w:p w14:paraId="4B76D0DA" w14:textId="77777777" w:rsidR="00335D8A" w:rsidRPr="001C305A" w:rsidRDefault="00335D8A" w:rsidP="00ED3571">
      <w:pPr>
        <w:pStyle w:val="0-TABELA"/>
        <w:rPr>
          <w:b/>
        </w:rPr>
      </w:pPr>
      <w:bookmarkStart w:id="123" w:name="_Toc167871749"/>
      <w:r w:rsidRPr="001C305A">
        <w:t xml:space="preserve">Despesas Bruta com Pessoal dos </w:t>
      </w:r>
      <w:r w:rsidRPr="00F507AB">
        <w:t>Poderes e Órgãos Autônomos</w:t>
      </w:r>
      <w:bookmarkEnd w:id="123"/>
    </w:p>
    <w:p w14:paraId="28371F00" w14:textId="77777777" w:rsidR="00335D8A" w:rsidRPr="00E746B9" w:rsidRDefault="00335D8A" w:rsidP="00335D8A">
      <w:pPr>
        <w:pStyle w:val="1-emR1-8ptDIR"/>
      </w:pPr>
      <w:r w:rsidRPr="00633871">
        <w:rPr>
          <w:rFonts w:cs="Arial"/>
        </w:rPr>
        <w:t>R$ mil</w:t>
      </w:r>
    </w:p>
    <w:tbl>
      <w:tblPr>
        <w:tblW w:w="5000" w:type="pct"/>
        <w:tblCellMar>
          <w:left w:w="70" w:type="dxa"/>
          <w:right w:w="70" w:type="dxa"/>
        </w:tblCellMar>
        <w:tblLook w:val="04A0" w:firstRow="1" w:lastRow="0" w:firstColumn="1" w:lastColumn="0" w:noHBand="0" w:noVBand="1"/>
      </w:tblPr>
      <w:tblGrid>
        <w:gridCol w:w="3949"/>
        <w:gridCol w:w="2338"/>
        <w:gridCol w:w="1607"/>
        <w:gridCol w:w="1459"/>
      </w:tblGrid>
      <w:tr w:rsidR="00335D8A" w:rsidRPr="00086DE4" w14:paraId="1A9784EB" w14:textId="77777777" w:rsidTr="00335D8A">
        <w:trPr>
          <w:trHeight w:val="450"/>
          <w:tblHeader/>
        </w:trPr>
        <w:tc>
          <w:tcPr>
            <w:tcW w:w="2111" w:type="pct"/>
            <w:tcBorders>
              <w:top w:val="single" w:sz="8" w:space="0" w:color="auto"/>
              <w:left w:val="nil"/>
              <w:bottom w:val="single" w:sz="8" w:space="0" w:color="000000"/>
              <w:right w:val="single" w:sz="8" w:space="0" w:color="auto"/>
            </w:tcBorders>
            <w:shd w:val="clear" w:color="auto" w:fill="A1F2FD"/>
            <w:vAlign w:val="center"/>
            <w:hideMark/>
          </w:tcPr>
          <w:p w14:paraId="65AD1ABD" w14:textId="77777777" w:rsidR="00335D8A" w:rsidRPr="00086DE4" w:rsidRDefault="00335D8A" w:rsidP="00335D8A">
            <w:pPr>
              <w:jc w:val="center"/>
              <w:rPr>
                <w:rFonts w:cs="Arial"/>
                <w:b/>
                <w:bCs/>
                <w:sz w:val="20"/>
              </w:rPr>
            </w:pPr>
            <w:r w:rsidRPr="00086DE4">
              <w:rPr>
                <w:rFonts w:cs="Arial"/>
                <w:b/>
                <w:bCs/>
                <w:sz w:val="20"/>
              </w:rPr>
              <w:t>Poderes e Órgãos Autônomos</w:t>
            </w:r>
          </w:p>
        </w:tc>
        <w:tc>
          <w:tcPr>
            <w:tcW w:w="1250" w:type="pct"/>
            <w:tcBorders>
              <w:top w:val="single" w:sz="8" w:space="0" w:color="auto"/>
              <w:left w:val="single" w:sz="8" w:space="0" w:color="auto"/>
              <w:bottom w:val="single" w:sz="8" w:space="0" w:color="000000"/>
              <w:right w:val="single" w:sz="8" w:space="0" w:color="auto"/>
            </w:tcBorders>
            <w:shd w:val="clear" w:color="auto" w:fill="A1F2FD"/>
            <w:vAlign w:val="center"/>
            <w:hideMark/>
          </w:tcPr>
          <w:p w14:paraId="3CE7B966" w14:textId="77777777" w:rsidR="00335D8A" w:rsidRPr="00086DE4" w:rsidRDefault="00335D8A" w:rsidP="00335D8A">
            <w:pPr>
              <w:jc w:val="center"/>
              <w:rPr>
                <w:rFonts w:cs="Arial"/>
                <w:b/>
                <w:bCs/>
                <w:sz w:val="20"/>
              </w:rPr>
            </w:pPr>
            <w:r w:rsidRPr="00086DE4">
              <w:rPr>
                <w:rFonts w:cs="Arial"/>
                <w:b/>
                <w:bCs/>
                <w:sz w:val="20"/>
              </w:rPr>
              <w:t>Despesa Bruta com Pessoal</w:t>
            </w:r>
          </w:p>
        </w:tc>
        <w:tc>
          <w:tcPr>
            <w:tcW w:w="859" w:type="pct"/>
            <w:tcBorders>
              <w:top w:val="single" w:sz="8" w:space="0" w:color="auto"/>
              <w:left w:val="nil"/>
              <w:bottom w:val="single" w:sz="8" w:space="0" w:color="auto"/>
              <w:right w:val="single" w:sz="8" w:space="0" w:color="auto"/>
            </w:tcBorders>
            <w:shd w:val="clear" w:color="auto" w:fill="A1F2FD"/>
            <w:vAlign w:val="center"/>
            <w:hideMark/>
          </w:tcPr>
          <w:p w14:paraId="20C057BF" w14:textId="77777777" w:rsidR="00335D8A" w:rsidRPr="00086DE4" w:rsidRDefault="00335D8A" w:rsidP="00335D8A">
            <w:pPr>
              <w:jc w:val="center"/>
              <w:rPr>
                <w:rFonts w:cs="Arial"/>
                <w:b/>
                <w:bCs/>
                <w:sz w:val="20"/>
              </w:rPr>
            </w:pPr>
            <w:r w:rsidRPr="00086DE4">
              <w:rPr>
                <w:rFonts w:cs="Arial"/>
                <w:b/>
                <w:bCs/>
                <w:sz w:val="20"/>
              </w:rPr>
              <w:t>DBP/RCL</w:t>
            </w:r>
          </w:p>
          <w:p w14:paraId="0DF2FE20" w14:textId="77777777" w:rsidR="00335D8A" w:rsidRPr="00086DE4" w:rsidRDefault="00335D8A" w:rsidP="00335D8A">
            <w:pPr>
              <w:jc w:val="center"/>
              <w:rPr>
                <w:rFonts w:cs="Arial"/>
                <w:b/>
                <w:bCs/>
                <w:sz w:val="20"/>
              </w:rPr>
            </w:pPr>
            <w:r w:rsidRPr="00086DE4">
              <w:rPr>
                <w:rFonts w:cs="Arial"/>
                <w:b/>
                <w:bCs/>
                <w:sz w:val="20"/>
              </w:rPr>
              <w:t>%</w:t>
            </w:r>
          </w:p>
        </w:tc>
        <w:tc>
          <w:tcPr>
            <w:tcW w:w="780" w:type="pct"/>
            <w:tcBorders>
              <w:top w:val="single" w:sz="8" w:space="0" w:color="auto"/>
              <w:left w:val="nil"/>
              <w:bottom w:val="single" w:sz="8" w:space="0" w:color="auto"/>
              <w:right w:val="nil"/>
            </w:tcBorders>
            <w:shd w:val="clear" w:color="auto" w:fill="A1F2FD"/>
            <w:vAlign w:val="center"/>
            <w:hideMark/>
          </w:tcPr>
          <w:p w14:paraId="3E0BCCE5" w14:textId="77777777" w:rsidR="00335D8A" w:rsidRPr="00086DE4" w:rsidRDefault="00335D8A" w:rsidP="00335D8A">
            <w:pPr>
              <w:jc w:val="center"/>
              <w:rPr>
                <w:rFonts w:cs="Arial"/>
                <w:b/>
                <w:bCs/>
                <w:sz w:val="20"/>
              </w:rPr>
            </w:pPr>
            <w:r w:rsidRPr="00086DE4">
              <w:rPr>
                <w:rFonts w:cs="Arial"/>
                <w:b/>
                <w:bCs/>
                <w:sz w:val="20"/>
              </w:rPr>
              <w:t>Limite Máximo</w:t>
            </w:r>
          </w:p>
          <w:p w14:paraId="65C03AAA" w14:textId="77777777" w:rsidR="00335D8A" w:rsidRPr="00086DE4" w:rsidRDefault="00335D8A" w:rsidP="00335D8A">
            <w:pPr>
              <w:jc w:val="center"/>
              <w:rPr>
                <w:rFonts w:cs="Arial"/>
                <w:b/>
                <w:bCs/>
                <w:sz w:val="20"/>
              </w:rPr>
            </w:pPr>
            <w:r w:rsidRPr="00086DE4">
              <w:rPr>
                <w:rFonts w:cs="Arial"/>
                <w:b/>
                <w:bCs/>
                <w:sz w:val="20"/>
              </w:rPr>
              <w:t>%</w:t>
            </w:r>
          </w:p>
        </w:tc>
      </w:tr>
      <w:tr w:rsidR="00335D8A" w:rsidRPr="00086DE4" w14:paraId="48189E9E" w14:textId="77777777" w:rsidTr="00335D8A">
        <w:trPr>
          <w:trHeight w:val="315"/>
        </w:trPr>
        <w:tc>
          <w:tcPr>
            <w:tcW w:w="2111" w:type="pct"/>
            <w:tcBorders>
              <w:top w:val="nil"/>
              <w:left w:val="nil"/>
              <w:bottom w:val="nil"/>
              <w:right w:val="single" w:sz="8" w:space="0" w:color="auto"/>
            </w:tcBorders>
            <w:shd w:val="clear" w:color="000000" w:fill="FFFFFF"/>
            <w:vAlign w:val="center"/>
            <w:hideMark/>
          </w:tcPr>
          <w:p w14:paraId="41D2FA32" w14:textId="77777777" w:rsidR="00335D8A" w:rsidRPr="00086DE4" w:rsidRDefault="00335D8A" w:rsidP="00335D8A">
            <w:pPr>
              <w:rPr>
                <w:rFonts w:cs="Arial"/>
                <w:b/>
                <w:sz w:val="20"/>
              </w:rPr>
            </w:pPr>
            <w:r w:rsidRPr="00086DE4">
              <w:rPr>
                <w:rFonts w:cs="Arial"/>
                <w:b/>
                <w:sz w:val="20"/>
              </w:rPr>
              <w:t>Poder Executivo</w:t>
            </w:r>
          </w:p>
        </w:tc>
        <w:tc>
          <w:tcPr>
            <w:tcW w:w="1250" w:type="pct"/>
            <w:tcBorders>
              <w:top w:val="nil"/>
              <w:left w:val="nil"/>
              <w:bottom w:val="nil"/>
              <w:right w:val="single" w:sz="8" w:space="0" w:color="auto"/>
            </w:tcBorders>
            <w:shd w:val="clear" w:color="000000" w:fill="FFFFFF"/>
            <w:vAlign w:val="center"/>
            <w:hideMark/>
          </w:tcPr>
          <w:p w14:paraId="55D52D4D" w14:textId="77777777" w:rsidR="00335D8A" w:rsidRPr="00086DE4" w:rsidRDefault="00335D8A" w:rsidP="00335D8A">
            <w:pPr>
              <w:jc w:val="right"/>
              <w:rPr>
                <w:rFonts w:cs="Arial"/>
                <w:b/>
                <w:bCs/>
                <w:sz w:val="20"/>
              </w:rPr>
            </w:pPr>
            <w:r w:rsidRPr="00086DE4">
              <w:rPr>
                <w:rFonts w:cs="Arial"/>
                <w:b/>
                <w:bCs/>
                <w:sz w:val="20"/>
              </w:rPr>
              <w:t>19.422.337</w:t>
            </w:r>
          </w:p>
        </w:tc>
        <w:tc>
          <w:tcPr>
            <w:tcW w:w="859" w:type="pct"/>
            <w:tcBorders>
              <w:top w:val="nil"/>
              <w:left w:val="nil"/>
              <w:bottom w:val="nil"/>
              <w:right w:val="single" w:sz="8" w:space="0" w:color="auto"/>
            </w:tcBorders>
            <w:shd w:val="clear" w:color="000000" w:fill="FFFFFF"/>
            <w:vAlign w:val="center"/>
            <w:hideMark/>
          </w:tcPr>
          <w:p w14:paraId="6E37B458" w14:textId="77777777" w:rsidR="00335D8A" w:rsidRPr="00086DE4" w:rsidRDefault="00335D8A" w:rsidP="00335D8A">
            <w:pPr>
              <w:jc w:val="center"/>
              <w:rPr>
                <w:rFonts w:cs="Arial"/>
                <w:b/>
                <w:bCs/>
                <w:sz w:val="20"/>
              </w:rPr>
            </w:pPr>
            <w:r w:rsidRPr="00086DE4">
              <w:rPr>
                <w:rFonts w:cs="Arial"/>
                <w:b/>
                <w:bCs/>
                <w:sz w:val="20"/>
              </w:rPr>
              <w:t>50,63</w:t>
            </w:r>
          </w:p>
        </w:tc>
        <w:tc>
          <w:tcPr>
            <w:tcW w:w="780" w:type="pct"/>
            <w:tcBorders>
              <w:top w:val="nil"/>
              <w:left w:val="nil"/>
              <w:bottom w:val="nil"/>
              <w:right w:val="nil"/>
            </w:tcBorders>
            <w:shd w:val="clear" w:color="000000" w:fill="FFFFFF"/>
            <w:vAlign w:val="center"/>
            <w:hideMark/>
          </w:tcPr>
          <w:p w14:paraId="6A0E77D9" w14:textId="77777777" w:rsidR="00335D8A" w:rsidRPr="00086DE4" w:rsidRDefault="00335D8A" w:rsidP="00335D8A">
            <w:pPr>
              <w:jc w:val="center"/>
              <w:rPr>
                <w:rFonts w:cs="Arial"/>
                <w:b/>
                <w:bCs/>
                <w:sz w:val="20"/>
              </w:rPr>
            </w:pPr>
            <w:r w:rsidRPr="00086DE4">
              <w:rPr>
                <w:rFonts w:cs="Arial"/>
                <w:b/>
                <w:bCs/>
                <w:sz w:val="20"/>
              </w:rPr>
              <w:t>48,60</w:t>
            </w:r>
          </w:p>
        </w:tc>
      </w:tr>
      <w:tr w:rsidR="00335D8A" w:rsidRPr="00086DE4" w14:paraId="648832F4" w14:textId="77777777" w:rsidTr="00335D8A">
        <w:trPr>
          <w:trHeight w:val="315"/>
        </w:trPr>
        <w:tc>
          <w:tcPr>
            <w:tcW w:w="2111" w:type="pct"/>
            <w:tcBorders>
              <w:top w:val="nil"/>
              <w:left w:val="nil"/>
              <w:bottom w:val="nil"/>
              <w:right w:val="single" w:sz="8" w:space="0" w:color="auto"/>
            </w:tcBorders>
            <w:shd w:val="clear" w:color="000000" w:fill="FFFFFF"/>
            <w:vAlign w:val="center"/>
            <w:hideMark/>
          </w:tcPr>
          <w:p w14:paraId="7389E49E" w14:textId="77777777" w:rsidR="00335D8A" w:rsidRPr="00086DE4" w:rsidRDefault="00335D8A" w:rsidP="00335D8A">
            <w:pPr>
              <w:rPr>
                <w:rFonts w:cs="Arial"/>
                <w:b/>
                <w:sz w:val="20"/>
              </w:rPr>
            </w:pPr>
            <w:r w:rsidRPr="00086DE4">
              <w:rPr>
                <w:rFonts w:cs="Arial"/>
                <w:b/>
                <w:sz w:val="20"/>
              </w:rPr>
              <w:t>Poder Legislativo</w:t>
            </w:r>
          </w:p>
        </w:tc>
        <w:tc>
          <w:tcPr>
            <w:tcW w:w="1250" w:type="pct"/>
            <w:tcBorders>
              <w:top w:val="nil"/>
              <w:left w:val="nil"/>
              <w:bottom w:val="nil"/>
              <w:right w:val="single" w:sz="8" w:space="0" w:color="auto"/>
            </w:tcBorders>
            <w:shd w:val="clear" w:color="000000" w:fill="FFFFFF"/>
            <w:vAlign w:val="center"/>
            <w:hideMark/>
          </w:tcPr>
          <w:p w14:paraId="0C147DB5" w14:textId="77777777" w:rsidR="00335D8A" w:rsidRPr="00086DE4" w:rsidRDefault="00335D8A" w:rsidP="00335D8A">
            <w:pPr>
              <w:jc w:val="right"/>
              <w:rPr>
                <w:rFonts w:cs="Arial"/>
                <w:b/>
                <w:bCs/>
                <w:sz w:val="20"/>
              </w:rPr>
            </w:pPr>
            <w:r w:rsidRPr="00086DE4">
              <w:rPr>
                <w:rFonts w:cs="Arial"/>
                <w:b/>
                <w:bCs/>
                <w:sz w:val="20"/>
              </w:rPr>
              <w:t>1.435.392</w:t>
            </w:r>
          </w:p>
        </w:tc>
        <w:tc>
          <w:tcPr>
            <w:tcW w:w="859" w:type="pct"/>
            <w:tcBorders>
              <w:top w:val="nil"/>
              <w:left w:val="nil"/>
              <w:bottom w:val="nil"/>
              <w:right w:val="single" w:sz="8" w:space="0" w:color="auto"/>
            </w:tcBorders>
            <w:shd w:val="clear" w:color="000000" w:fill="FFFFFF"/>
            <w:vAlign w:val="center"/>
            <w:hideMark/>
          </w:tcPr>
          <w:p w14:paraId="0927496C" w14:textId="77777777" w:rsidR="00335D8A" w:rsidRPr="00086DE4" w:rsidRDefault="00335D8A" w:rsidP="00335D8A">
            <w:pPr>
              <w:jc w:val="center"/>
              <w:rPr>
                <w:rFonts w:cs="Arial"/>
                <w:b/>
                <w:bCs/>
                <w:sz w:val="20"/>
              </w:rPr>
            </w:pPr>
            <w:r w:rsidRPr="00086DE4">
              <w:rPr>
                <w:rFonts w:cs="Arial"/>
                <w:b/>
                <w:bCs/>
                <w:sz w:val="20"/>
              </w:rPr>
              <w:t>3,74</w:t>
            </w:r>
          </w:p>
        </w:tc>
        <w:tc>
          <w:tcPr>
            <w:tcW w:w="780" w:type="pct"/>
            <w:tcBorders>
              <w:top w:val="nil"/>
              <w:left w:val="nil"/>
              <w:bottom w:val="nil"/>
              <w:right w:val="nil"/>
            </w:tcBorders>
            <w:shd w:val="clear" w:color="000000" w:fill="FFFFFF"/>
            <w:vAlign w:val="center"/>
            <w:hideMark/>
          </w:tcPr>
          <w:p w14:paraId="43385E58" w14:textId="77777777" w:rsidR="00335D8A" w:rsidRPr="00086DE4" w:rsidRDefault="00335D8A" w:rsidP="00335D8A">
            <w:pPr>
              <w:jc w:val="center"/>
              <w:rPr>
                <w:rFonts w:cs="Arial"/>
                <w:b/>
                <w:bCs/>
                <w:sz w:val="20"/>
              </w:rPr>
            </w:pPr>
            <w:r w:rsidRPr="00086DE4">
              <w:rPr>
                <w:rFonts w:cs="Arial"/>
                <w:b/>
                <w:bCs/>
                <w:sz w:val="20"/>
              </w:rPr>
              <w:t>3,40</w:t>
            </w:r>
          </w:p>
        </w:tc>
      </w:tr>
      <w:tr w:rsidR="00335D8A" w:rsidRPr="00086DE4" w14:paraId="610535B6" w14:textId="77777777" w:rsidTr="00335D8A">
        <w:trPr>
          <w:trHeight w:val="315"/>
        </w:trPr>
        <w:tc>
          <w:tcPr>
            <w:tcW w:w="2111" w:type="pct"/>
            <w:tcBorders>
              <w:top w:val="nil"/>
              <w:left w:val="nil"/>
              <w:bottom w:val="nil"/>
              <w:right w:val="single" w:sz="8" w:space="0" w:color="auto"/>
            </w:tcBorders>
            <w:shd w:val="clear" w:color="000000" w:fill="FFFFFF"/>
            <w:vAlign w:val="center"/>
            <w:hideMark/>
          </w:tcPr>
          <w:p w14:paraId="5817A470" w14:textId="77777777" w:rsidR="00335D8A" w:rsidRPr="00086DE4" w:rsidRDefault="00335D8A" w:rsidP="00335D8A">
            <w:pPr>
              <w:ind w:firstLine="354"/>
              <w:rPr>
                <w:rFonts w:cs="Arial"/>
                <w:sz w:val="20"/>
              </w:rPr>
            </w:pPr>
            <w:r w:rsidRPr="00086DE4">
              <w:rPr>
                <w:rFonts w:cs="Arial"/>
                <w:sz w:val="20"/>
              </w:rPr>
              <w:t>Assembleia Legislativa</w:t>
            </w:r>
          </w:p>
        </w:tc>
        <w:tc>
          <w:tcPr>
            <w:tcW w:w="1250" w:type="pct"/>
            <w:tcBorders>
              <w:top w:val="nil"/>
              <w:left w:val="nil"/>
              <w:bottom w:val="nil"/>
              <w:right w:val="single" w:sz="8" w:space="0" w:color="auto"/>
            </w:tcBorders>
            <w:shd w:val="clear" w:color="000000" w:fill="FFFFFF"/>
            <w:vAlign w:val="center"/>
            <w:hideMark/>
          </w:tcPr>
          <w:p w14:paraId="1E0C48D0" w14:textId="77777777" w:rsidR="00335D8A" w:rsidRPr="00086DE4" w:rsidRDefault="00335D8A" w:rsidP="00335D8A">
            <w:pPr>
              <w:jc w:val="right"/>
              <w:rPr>
                <w:rFonts w:cs="Arial"/>
                <w:sz w:val="20"/>
              </w:rPr>
            </w:pPr>
            <w:r w:rsidRPr="00086DE4">
              <w:rPr>
                <w:rFonts w:cs="Arial"/>
                <w:sz w:val="20"/>
              </w:rPr>
              <w:t>772.038</w:t>
            </w:r>
          </w:p>
        </w:tc>
        <w:tc>
          <w:tcPr>
            <w:tcW w:w="859" w:type="pct"/>
            <w:tcBorders>
              <w:top w:val="nil"/>
              <w:left w:val="nil"/>
              <w:bottom w:val="nil"/>
              <w:right w:val="single" w:sz="8" w:space="0" w:color="auto"/>
            </w:tcBorders>
            <w:shd w:val="clear" w:color="000000" w:fill="FFFFFF"/>
            <w:vAlign w:val="center"/>
            <w:hideMark/>
          </w:tcPr>
          <w:p w14:paraId="58520B28" w14:textId="77777777" w:rsidR="00335D8A" w:rsidRPr="00086DE4" w:rsidRDefault="00335D8A" w:rsidP="00335D8A">
            <w:pPr>
              <w:jc w:val="center"/>
              <w:rPr>
                <w:rFonts w:cs="Arial"/>
                <w:sz w:val="20"/>
              </w:rPr>
            </w:pPr>
            <w:r w:rsidRPr="00086DE4">
              <w:rPr>
                <w:rFonts w:cs="Arial"/>
                <w:sz w:val="20"/>
              </w:rPr>
              <w:t>2,01</w:t>
            </w:r>
          </w:p>
        </w:tc>
        <w:tc>
          <w:tcPr>
            <w:tcW w:w="780" w:type="pct"/>
            <w:tcBorders>
              <w:top w:val="nil"/>
              <w:left w:val="nil"/>
              <w:bottom w:val="nil"/>
              <w:right w:val="nil"/>
            </w:tcBorders>
            <w:shd w:val="clear" w:color="000000" w:fill="FFFFFF"/>
            <w:vAlign w:val="center"/>
            <w:hideMark/>
          </w:tcPr>
          <w:p w14:paraId="5E82F531" w14:textId="77777777" w:rsidR="00335D8A" w:rsidRPr="00086DE4" w:rsidRDefault="00335D8A" w:rsidP="00335D8A">
            <w:pPr>
              <w:jc w:val="center"/>
              <w:rPr>
                <w:rFonts w:cs="Arial"/>
                <w:sz w:val="20"/>
              </w:rPr>
            </w:pPr>
            <w:r w:rsidRPr="00086DE4">
              <w:rPr>
                <w:rFonts w:cs="Arial"/>
                <w:sz w:val="20"/>
              </w:rPr>
              <w:t>1,50</w:t>
            </w:r>
          </w:p>
        </w:tc>
      </w:tr>
      <w:tr w:rsidR="00335D8A" w:rsidRPr="00086DE4" w14:paraId="2837DDDF" w14:textId="77777777" w:rsidTr="00335D8A">
        <w:trPr>
          <w:trHeight w:val="315"/>
        </w:trPr>
        <w:tc>
          <w:tcPr>
            <w:tcW w:w="2111" w:type="pct"/>
            <w:tcBorders>
              <w:top w:val="nil"/>
              <w:left w:val="nil"/>
              <w:bottom w:val="nil"/>
              <w:right w:val="single" w:sz="8" w:space="0" w:color="auto"/>
            </w:tcBorders>
            <w:shd w:val="clear" w:color="000000" w:fill="FFFFFF"/>
            <w:vAlign w:val="center"/>
            <w:hideMark/>
          </w:tcPr>
          <w:p w14:paraId="1FEA69F3" w14:textId="77777777" w:rsidR="00335D8A" w:rsidRPr="00086DE4" w:rsidRDefault="00335D8A" w:rsidP="00335D8A">
            <w:pPr>
              <w:ind w:firstLine="354"/>
              <w:rPr>
                <w:rFonts w:cs="Arial"/>
                <w:sz w:val="20"/>
              </w:rPr>
            </w:pPr>
            <w:r w:rsidRPr="00086DE4">
              <w:rPr>
                <w:rFonts w:cs="Arial"/>
                <w:sz w:val="20"/>
              </w:rPr>
              <w:t>Tribunal de Contas do Estado</w:t>
            </w:r>
          </w:p>
        </w:tc>
        <w:tc>
          <w:tcPr>
            <w:tcW w:w="1250" w:type="pct"/>
            <w:tcBorders>
              <w:top w:val="nil"/>
              <w:left w:val="nil"/>
              <w:bottom w:val="nil"/>
              <w:right w:val="single" w:sz="8" w:space="0" w:color="auto"/>
            </w:tcBorders>
            <w:shd w:val="clear" w:color="000000" w:fill="FFFFFF"/>
            <w:vAlign w:val="center"/>
            <w:hideMark/>
          </w:tcPr>
          <w:p w14:paraId="7EEF5927" w14:textId="77777777" w:rsidR="00335D8A" w:rsidRPr="00086DE4" w:rsidRDefault="00335D8A" w:rsidP="00335D8A">
            <w:pPr>
              <w:jc w:val="right"/>
              <w:rPr>
                <w:rFonts w:cs="Arial"/>
                <w:sz w:val="20"/>
              </w:rPr>
            </w:pPr>
            <w:r w:rsidRPr="00086DE4">
              <w:rPr>
                <w:rFonts w:cs="Arial"/>
                <w:sz w:val="20"/>
              </w:rPr>
              <w:t>457.163</w:t>
            </w:r>
          </w:p>
        </w:tc>
        <w:tc>
          <w:tcPr>
            <w:tcW w:w="859" w:type="pct"/>
            <w:tcBorders>
              <w:top w:val="nil"/>
              <w:left w:val="nil"/>
              <w:bottom w:val="nil"/>
              <w:right w:val="single" w:sz="8" w:space="0" w:color="auto"/>
            </w:tcBorders>
            <w:shd w:val="clear" w:color="000000" w:fill="FFFFFF"/>
            <w:vAlign w:val="center"/>
            <w:hideMark/>
          </w:tcPr>
          <w:p w14:paraId="3F3C311E" w14:textId="77777777" w:rsidR="00335D8A" w:rsidRPr="00086DE4" w:rsidRDefault="00335D8A" w:rsidP="00335D8A">
            <w:pPr>
              <w:jc w:val="center"/>
              <w:rPr>
                <w:rFonts w:cs="Arial"/>
                <w:sz w:val="20"/>
              </w:rPr>
            </w:pPr>
            <w:r w:rsidRPr="00086DE4">
              <w:rPr>
                <w:rFonts w:cs="Arial"/>
                <w:sz w:val="20"/>
              </w:rPr>
              <w:t>1,19</w:t>
            </w:r>
          </w:p>
        </w:tc>
        <w:tc>
          <w:tcPr>
            <w:tcW w:w="780" w:type="pct"/>
            <w:tcBorders>
              <w:top w:val="nil"/>
              <w:left w:val="nil"/>
              <w:bottom w:val="nil"/>
              <w:right w:val="nil"/>
            </w:tcBorders>
            <w:shd w:val="clear" w:color="000000" w:fill="FFFFFF"/>
            <w:vAlign w:val="center"/>
            <w:hideMark/>
          </w:tcPr>
          <w:p w14:paraId="033520CC" w14:textId="77777777" w:rsidR="00335D8A" w:rsidRPr="00086DE4" w:rsidRDefault="00335D8A" w:rsidP="00335D8A">
            <w:pPr>
              <w:jc w:val="center"/>
              <w:rPr>
                <w:rFonts w:cs="Arial"/>
                <w:sz w:val="20"/>
              </w:rPr>
            </w:pPr>
            <w:r w:rsidRPr="00086DE4">
              <w:rPr>
                <w:rFonts w:cs="Arial"/>
                <w:sz w:val="20"/>
              </w:rPr>
              <w:t>1,35</w:t>
            </w:r>
          </w:p>
        </w:tc>
      </w:tr>
      <w:tr w:rsidR="00335D8A" w:rsidRPr="00086DE4" w14:paraId="1E7B080C" w14:textId="77777777" w:rsidTr="00335D8A">
        <w:trPr>
          <w:trHeight w:val="315"/>
        </w:trPr>
        <w:tc>
          <w:tcPr>
            <w:tcW w:w="2111" w:type="pct"/>
            <w:tcBorders>
              <w:top w:val="nil"/>
              <w:left w:val="nil"/>
              <w:bottom w:val="nil"/>
              <w:right w:val="single" w:sz="8" w:space="0" w:color="auto"/>
            </w:tcBorders>
            <w:shd w:val="clear" w:color="000000" w:fill="FFFFFF"/>
            <w:vAlign w:val="center"/>
            <w:hideMark/>
          </w:tcPr>
          <w:p w14:paraId="02476A7E" w14:textId="77777777" w:rsidR="00335D8A" w:rsidRPr="00086DE4" w:rsidRDefault="00335D8A" w:rsidP="00335D8A">
            <w:pPr>
              <w:ind w:firstLine="354"/>
              <w:rPr>
                <w:rFonts w:cs="Arial"/>
                <w:sz w:val="20"/>
              </w:rPr>
            </w:pPr>
            <w:r w:rsidRPr="00086DE4">
              <w:rPr>
                <w:rFonts w:cs="Arial"/>
                <w:sz w:val="20"/>
              </w:rPr>
              <w:t>Tribunal de Contas dos Municípios</w:t>
            </w:r>
          </w:p>
        </w:tc>
        <w:tc>
          <w:tcPr>
            <w:tcW w:w="1250" w:type="pct"/>
            <w:tcBorders>
              <w:top w:val="nil"/>
              <w:left w:val="nil"/>
              <w:bottom w:val="nil"/>
              <w:right w:val="single" w:sz="8" w:space="0" w:color="auto"/>
            </w:tcBorders>
            <w:shd w:val="clear" w:color="000000" w:fill="FFFFFF"/>
            <w:vAlign w:val="center"/>
            <w:hideMark/>
          </w:tcPr>
          <w:p w14:paraId="08CD09EA" w14:textId="77777777" w:rsidR="00335D8A" w:rsidRPr="00086DE4" w:rsidRDefault="00335D8A" w:rsidP="00335D8A">
            <w:pPr>
              <w:jc w:val="right"/>
              <w:rPr>
                <w:rFonts w:cs="Arial"/>
                <w:sz w:val="20"/>
              </w:rPr>
            </w:pPr>
            <w:r w:rsidRPr="00086DE4">
              <w:rPr>
                <w:rFonts w:cs="Arial"/>
                <w:sz w:val="20"/>
              </w:rPr>
              <w:t>206.192</w:t>
            </w:r>
          </w:p>
        </w:tc>
        <w:tc>
          <w:tcPr>
            <w:tcW w:w="859" w:type="pct"/>
            <w:tcBorders>
              <w:top w:val="nil"/>
              <w:left w:val="nil"/>
              <w:bottom w:val="nil"/>
              <w:right w:val="single" w:sz="8" w:space="0" w:color="auto"/>
            </w:tcBorders>
            <w:shd w:val="clear" w:color="000000" w:fill="FFFFFF"/>
            <w:vAlign w:val="center"/>
            <w:hideMark/>
          </w:tcPr>
          <w:p w14:paraId="3D021AF2" w14:textId="77777777" w:rsidR="00335D8A" w:rsidRPr="00086DE4" w:rsidRDefault="00335D8A" w:rsidP="00335D8A">
            <w:pPr>
              <w:jc w:val="center"/>
              <w:rPr>
                <w:rFonts w:cs="Arial"/>
                <w:sz w:val="20"/>
              </w:rPr>
            </w:pPr>
            <w:r w:rsidRPr="00086DE4">
              <w:rPr>
                <w:rFonts w:cs="Arial"/>
                <w:sz w:val="20"/>
              </w:rPr>
              <w:t>0,54</w:t>
            </w:r>
          </w:p>
        </w:tc>
        <w:tc>
          <w:tcPr>
            <w:tcW w:w="780" w:type="pct"/>
            <w:tcBorders>
              <w:top w:val="nil"/>
              <w:left w:val="nil"/>
              <w:bottom w:val="nil"/>
              <w:right w:val="nil"/>
            </w:tcBorders>
            <w:shd w:val="clear" w:color="000000" w:fill="FFFFFF"/>
            <w:vAlign w:val="center"/>
            <w:hideMark/>
          </w:tcPr>
          <w:p w14:paraId="14D08495" w14:textId="77777777" w:rsidR="00335D8A" w:rsidRPr="00086DE4" w:rsidRDefault="00335D8A" w:rsidP="00335D8A">
            <w:pPr>
              <w:jc w:val="center"/>
              <w:rPr>
                <w:rFonts w:cs="Arial"/>
                <w:sz w:val="20"/>
              </w:rPr>
            </w:pPr>
            <w:r w:rsidRPr="00086DE4">
              <w:rPr>
                <w:rFonts w:cs="Arial"/>
                <w:sz w:val="20"/>
              </w:rPr>
              <w:t>0,55</w:t>
            </w:r>
          </w:p>
        </w:tc>
      </w:tr>
      <w:tr w:rsidR="00335D8A" w:rsidRPr="00086DE4" w14:paraId="24EC83DD" w14:textId="77777777" w:rsidTr="00335D8A">
        <w:trPr>
          <w:trHeight w:val="315"/>
        </w:trPr>
        <w:tc>
          <w:tcPr>
            <w:tcW w:w="2111" w:type="pct"/>
            <w:tcBorders>
              <w:top w:val="nil"/>
              <w:left w:val="nil"/>
              <w:bottom w:val="nil"/>
              <w:right w:val="single" w:sz="8" w:space="0" w:color="auto"/>
            </w:tcBorders>
            <w:shd w:val="clear" w:color="000000" w:fill="FFFFFF"/>
            <w:vAlign w:val="center"/>
            <w:hideMark/>
          </w:tcPr>
          <w:p w14:paraId="70F06582" w14:textId="77777777" w:rsidR="00335D8A" w:rsidRPr="00086DE4" w:rsidRDefault="00335D8A" w:rsidP="00335D8A">
            <w:pPr>
              <w:rPr>
                <w:rFonts w:cs="Arial"/>
                <w:b/>
                <w:sz w:val="20"/>
              </w:rPr>
            </w:pPr>
            <w:r w:rsidRPr="00086DE4">
              <w:rPr>
                <w:rFonts w:cs="Arial"/>
                <w:b/>
                <w:sz w:val="20"/>
              </w:rPr>
              <w:t>Poder Judiciário</w:t>
            </w:r>
          </w:p>
        </w:tc>
        <w:tc>
          <w:tcPr>
            <w:tcW w:w="1250" w:type="pct"/>
            <w:tcBorders>
              <w:top w:val="nil"/>
              <w:left w:val="nil"/>
              <w:bottom w:val="nil"/>
              <w:right w:val="single" w:sz="8" w:space="0" w:color="auto"/>
            </w:tcBorders>
            <w:shd w:val="clear" w:color="000000" w:fill="FFFFFF"/>
            <w:vAlign w:val="center"/>
            <w:hideMark/>
          </w:tcPr>
          <w:p w14:paraId="5173326C" w14:textId="77777777" w:rsidR="00335D8A" w:rsidRPr="00086DE4" w:rsidRDefault="00335D8A" w:rsidP="00335D8A">
            <w:pPr>
              <w:jc w:val="right"/>
              <w:rPr>
                <w:rFonts w:cs="Arial"/>
                <w:b/>
                <w:bCs/>
                <w:sz w:val="20"/>
              </w:rPr>
            </w:pPr>
            <w:r w:rsidRPr="00086DE4">
              <w:rPr>
                <w:rFonts w:cs="Arial"/>
                <w:b/>
                <w:bCs/>
                <w:sz w:val="20"/>
              </w:rPr>
              <w:t>2.493.216</w:t>
            </w:r>
          </w:p>
        </w:tc>
        <w:tc>
          <w:tcPr>
            <w:tcW w:w="859" w:type="pct"/>
            <w:tcBorders>
              <w:top w:val="nil"/>
              <w:left w:val="nil"/>
              <w:bottom w:val="nil"/>
              <w:right w:val="single" w:sz="8" w:space="0" w:color="auto"/>
            </w:tcBorders>
            <w:shd w:val="clear" w:color="000000" w:fill="FFFFFF"/>
            <w:vAlign w:val="center"/>
            <w:hideMark/>
          </w:tcPr>
          <w:p w14:paraId="4B623F5C" w14:textId="77777777" w:rsidR="00335D8A" w:rsidRPr="00086DE4" w:rsidRDefault="00335D8A" w:rsidP="00335D8A">
            <w:pPr>
              <w:jc w:val="center"/>
              <w:rPr>
                <w:rFonts w:cs="Arial"/>
                <w:b/>
                <w:bCs/>
                <w:sz w:val="20"/>
              </w:rPr>
            </w:pPr>
            <w:r w:rsidRPr="00086DE4">
              <w:rPr>
                <w:rFonts w:cs="Arial"/>
                <w:b/>
                <w:bCs/>
                <w:sz w:val="20"/>
              </w:rPr>
              <w:t>6,50</w:t>
            </w:r>
          </w:p>
        </w:tc>
        <w:tc>
          <w:tcPr>
            <w:tcW w:w="780" w:type="pct"/>
            <w:tcBorders>
              <w:top w:val="nil"/>
              <w:left w:val="nil"/>
              <w:bottom w:val="nil"/>
              <w:right w:val="nil"/>
            </w:tcBorders>
            <w:shd w:val="clear" w:color="000000" w:fill="FFFFFF"/>
            <w:vAlign w:val="center"/>
            <w:hideMark/>
          </w:tcPr>
          <w:p w14:paraId="13259C5E" w14:textId="77777777" w:rsidR="00335D8A" w:rsidRPr="00086DE4" w:rsidRDefault="00335D8A" w:rsidP="00335D8A">
            <w:pPr>
              <w:jc w:val="center"/>
              <w:rPr>
                <w:rFonts w:cs="Arial"/>
                <w:b/>
                <w:bCs/>
                <w:sz w:val="20"/>
              </w:rPr>
            </w:pPr>
            <w:r w:rsidRPr="00086DE4">
              <w:rPr>
                <w:rFonts w:cs="Arial"/>
                <w:b/>
                <w:bCs/>
                <w:sz w:val="20"/>
              </w:rPr>
              <w:t>6,00</w:t>
            </w:r>
          </w:p>
        </w:tc>
      </w:tr>
      <w:tr w:rsidR="00335D8A" w:rsidRPr="00086DE4" w14:paraId="014C025C" w14:textId="77777777" w:rsidTr="00335D8A">
        <w:trPr>
          <w:trHeight w:val="315"/>
        </w:trPr>
        <w:tc>
          <w:tcPr>
            <w:tcW w:w="2111" w:type="pct"/>
            <w:tcBorders>
              <w:top w:val="nil"/>
              <w:left w:val="nil"/>
              <w:bottom w:val="nil"/>
              <w:right w:val="single" w:sz="8" w:space="0" w:color="auto"/>
            </w:tcBorders>
            <w:shd w:val="clear" w:color="000000" w:fill="FFFFFF"/>
            <w:vAlign w:val="center"/>
            <w:hideMark/>
          </w:tcPr>
          <w:p w14:paraId="208B743A" w14:textId="77777777" w:rsidR="00335D8A" w:rsidRPr="00086DE4" w:rsidRDefault="00335D8A" w:rsidP="00335D8A">
            <w:pPr>
              <w:rPr>
                <w:rFonts w:cs="Arial"/>
                <w:b/>
                <w:sz w:val="20"/>
              </w:rPr>
            </w:pPr>
            <w:r w:rsidRPr="00086DE4">
              <w:rPr>
                <w:rFonts w:cs="Arial"/>
                <w:b/>
                <w:sz w:val="20"/>
              </w:rPr>
              <w:t>Ministério Público</w:t>
            </w:r>
          </w:p>
        </w:tc>
        <w:tc>
          <w:tcPr>
            <w:tcW w:w="1250" w:type="pct"/>
            <w:tcBorders>
              <w:top w:val="nil"/>
              <w:left w:val="nil"/>
              <w:bottom w:val="nil"/>
              <w:right w:val="single" w:sz="8" w:space="0" w:color="auto"/>
            </w:tcBorders>
            <w:shd w:val="clear" w:color="000000" w:fill="FFFFFF"/>
            <w:vAlign w:val="center"/>
            <w:hideMark/>
          </w:tcPr>
          <w:p w14:paraId="20F69EBA" w14:textId="77777777" w:rsidR="00335D8A" w:rsidRPr="00086DE4" w:rsidRDefault="00335D8A" w:rsidP="00335D8A">
            <w:pPr>
              <w:jc w:val="right"/>
              <w:rPr>
                <w:rFonts w:cs="Arial"/>
                <w:b/>
                <w:bCs/>
                <w:sz w:val="20"/>
              </w:rPr>
            </w:pPr>
            <w:r w:rsidRPr="00086DE4">
              <w:rPr>
                <w:rFonts w:cs="Arial"/>
                <w:b/>
                <w:bCs/>
                <w:sz w:val="20"/>
              </w:rPr>
              <w:t>855.965</w:t>
            </w:r>
          </w:p>
        </w:tc>
        <w:tc>
          <w:tcPr>
            <w:tcW w:w="859" w:type="pct"/>
            <w:tcBorders>
              <w:top w:val="nil"/>
              <w:left w:val="nil"/>
              <w:bottom w:val="nil"/>
              <w:right w:val="single" w:sz="8" w:space="0" w:color="auto"/>
            </w:tcBorders>
            <w:shd w:val="clear" w:color="000000" w:fill="FFFFFF"/>
            <w:vAlign w:val="center"/>
            <w:hideMark/>
          </w:tcPr>
          <w:p w14:paraId="30340E41" w14:textId="77777777" w:rsidR="00335D8A" w:rsidRPr="00086DE4" w:rsidRDefault="00335D8A" w:rsidP="00335D8A">
            <w:pPr>
              <w:jc w:val="center"/>
              <w:rPr>
                <w:rFonts w:cs="Arial"/>
                <w:b/>
                <w:bCs/>
                <w:sz w:val="20"/>
              </w:rPr>
            </w:pPr>
            <w:r w:rsidRPr="00086DE4">
              <w:rPr>
                <w:rFonts w:cs="Arial"/>
                <w:b/>
                <w:bCs/>
                <w:sz w:val="20"/>
              </w:rPr>
              <w:t>2,23</w:t>
            </w:r>
          </w:p>
        </w:tc>
        <w:tc>
          <w:tcPr>
            <w:tcW w:w="780" w:type="pct"/>
            <w:tcBorders>
              <w:top w:val="nil"/>
              <w:left w:val="nil"/>
              <w:bottom w:val="nil"/>
              <w:right w:val="nil"/>
            </w:tcBorders>
            <w:shd w:val="clear" w:color="000000" w:fill="FFFFFF"/>
            <w:vAlign w:val="center"/>
            <w:hideMark/>
          </w:tcPr>
          <w:p w14:paraId="58138E6E" w14:textId="77777777" w:rsidR="00335D8A" w:rsidRPr="00086DE4" w:rsidRDefault="00335D8A" w:rsidP="00335D8A">
            <w:pPr>
              <w:jc w:val="center"/>
              <w:rPr>
                <w:rFonts w:cs="Arial"/>
                <w:b/>
                <w:bCs/>
                <w:sz w:val="20"/>
              </w:rPr>
            </w:pPr>
            <w:r w:rsidRPr="00086DE4">
              <w:rPr>
                <w:rFonts w:cs="Arial"/>
                <w:b/>
                <w:bCs/>
                <w:sz w:val="20"/>
              </w:rPr>
              <w:t>2,00</w:t>
            </w:r>
          </w:p>
        </w:tc>
      </w:tr>
      <w:tr w:rsidR="00335D8A" w:rsidRPr="00086DE4" w14:paraId="2C7D81A5" w14:textId="77777777" w:rsidTr="00335D8A">
        <w:trPr>
          <w:trHeight w:val="315"/>
        </w:trPr>
        <w:tc>
          <w:tcPr>
            <w:tcW w:w="2111" w:type="pct"/>
            <w:tcBorders>
              <w:top w:val="single" w:sz="8" w:space="0" w:color="auto"/>
              <w:left w:val="nil"/>
              <w:bottom w:val="single" w:sz="8" w:space="0" w:color="auto"/>
              <w:right w:val="single" w:sz="8" w:space="0" w:color="auto"/>
            </w:tcBorders>
            <w:shd w:val="clear" w:color="000000" w:fill="FFFFFF"/>
            <w:vAlign w:val="center"/>
            <w:hideMark/>
          </w:tcPr>
          <w:p w14:paraId="5C032237" w14:textId="77777777" w:rsidR="00335D8A" w:rsidRPr="00086DE4" w:rsidRDefault="00335D8A" w:rsidP="00335D8A">
            <w:pPr>
              <w:jc w:val="center"/>
              <w:rPr>
                <w:rFonts w:cs="Arial"/>
                <w:b/>
                <w:bCs/>
                <w:sz w:val="20"/>
              </w:rPr>
            </w:pPr>
            <w:r w:rsidRPr="00086DE4">
              <w:rPr>
                <w:rFonts w:cs="Arial"/>
                <w:b/>
                <w:bCs/>
                <w:sz w:val="20"/>
              </w:rPr>
              <w:t>Total</w:t>
            </w:r>
          </w:p>
        </w:tc>
        <w:tc>
          <w:tcPr>
            <w:tcW w:w="1250" w:type="pct"/>
            <w:tcBorders>
              <w:top w:val="single" w:sz="8" w:space="0" w:color="auto"/>
              <w:left w:val="nil"/>
              <w:bottom w:val="single" w:sz="8" w:space="0" w:color="auto"/>
              <w:right w:val="single" w:sz="8" w:space="0" w:color="auto"/>
            </w:tcBorders>
            <w:shd w:val="clear" w:color="000000" w:fill="FFFFFF"/>
            <w:vAlign w:val="center"/>
            <w:hideMark/>
          </w:tcPr>
          <w:p w14:paraId="7F448AEB" w14:textId="77777777" w:rsidR="00335D8A" w:rsidRPr="00086DE4" w:rsidRDefault="00335D8A" w:rsidP="00335D8A">
            <w:pPr>
              <w:jc w:val="right"/>
              <w:rPr>
                <w:rFonts w:cs="Arial"/>
                <w:b/>
                <w:bCs/>
                <w:sz w:val="20"/>
              </w:rPr>
            </w:pPr>
            <w:r w:rsidRPr="00086DE4">
              <w:rPr>
                <w:rFonts w:cs="Arial"/>
                <w:b/>
                <w:bCs/>
                <w:sz w:val="20"/>
              </w:rPr>
              <w:t>24.206.912</w:t>
            </w:r>
          </w:p>
        </w:tc>
        <w:tc>
          <w:tcPr>
            <w:tcW w:w="859" w:type="pct"/>
            <w:tcBorders>
              <w:top w:val="single" w:sz="8" w:space="0" w:color="auto"/>
              <w:left w:val="nil"/>
              <w:bottom w:val="single" w:sz="8" w:space="0" w:color="auto"/>
              <w:right w:val="single" w:sz="8" w:space="0" w:color="auto"/>
            </w:tcBorders>
            <w:shd w:val="clear" w:color="000000" w:fill="FFFFFF"/>
            <w:vAlign w:val="center"/>
            <w:hideMark/>
          </w:tcPr>
          <w:p w14:paraId="0392571B" w14:textId="77777777" w:rsidR="00335D8A" w:rsidRPr="00086DE4" w:rsidRDefault="00335D8A" w:rsidP="00335D8A">
            <w:pPr>
              <w:jc w:val="center"/>
              <w:rPr>
                <w:rFonts w:cs="Arial"/>
                <w:b/>
                <w:bCs/>
                <w:sz w:val="20"/>
              </w:rPr>
            </w:pPr>
            <w:r w:rsidRPr="00086DE4">
              <w:rPr>
                <w:rFonts w:cs="Arial"/>
                <w:b/>
                <w:bCs/>
                <w:sz w:val="20"/>
              </w:rPr>
              <w:t>63,10</w:t>
            </w:r>
          </w:p>
        </w:tc>
        <w:tc>
          <w:tcPr>
            <w:tcW w:w="780" w:type="pct"/>
            <w:tcBorders>
              <w:top w:val="single" w:sz="8" w:space="0" w:color="auto"/>
              <w:left w:val="nil"/>
              <w:bottom w:val="single" w:sz="8" w:space="0" w:color="auto"/>
              <w:right w:val="nil"/>
            </w:tcBorders>
            <w:shd w:val="clear" w:color="000000" w:fill="FFFFFF"/>
            <w:vAlign w:val="center"/>
            <w:hideMark/>
          </w:tcPr>
          <w:p w14:paraId="2024527E" w14:textId="77777777" w:rsidR="00335D8A" w:rsidRPr="00086DE4" w:rsidRDefault="00335D8A" w:rsidP="00335D8A">
            <w:pPr>
              <w:jc w:val="center"/>
              <w:rPr>
                <w:rFonts w:cs="Arial"/>
                <w:b/>
                <w:bCs/>
                <w:sz w:val="20"/>
              </w:rPr>
            </w:pPr>
            <w:r w:rsidRPr="00086DE4">
              <w:rPr>
                <w:rFonts w:cs="Arial"/>
                <w:b/>
                <w:bCs/>
                <w:sz w:val="20"/>
              </w:rPr>
              <w:t>60,00</w:t>
            </w:r>
          </w:p>
        </w:tc>
      </w:tr>
    </w:tbl>
    <w:p w14:paraId="65E3508F" w14:textId="77777777" w:rsidR="00335D8A" w:rsidRPr="00051F48" w:rsidRDefault="00335D8A" w:rsidP="00335D8A">
      <w:pPr>
        <w:pStyle w:val="1-FONTE8ESQ"/>
      </w:pPr>
      <w:r w:rsidRPr="00051F48">
        <w:t>Fonte: RGFs 6º bimestre/2023</w:t>
      </w:r>
    </w:p>
    <w:p w14:paraId="5C9671F0" w14:textId="77777777" w:rsidR="00335D8A" w:rsidRPr="001C305A" w:rsidRDefault="00335D8A" w:rsidP="00335D8A">
      <w:pPr>
        <w:pStyle w:val="1-REL11"/>
      </w:pPr>
      <w:r w:rsidRPr="001C305A">
        <w:lastRenderedPageBreak/>
        <w:t xml:space="preserve">Os gastos brutos com pessoal superam o limite de 60% definido pelo art. 19, </w:t>
      </w:r>
      <w:r>
        <w:t xml:space="preserve">inciso </w:t>
      </w:r>
      <w:r w:rsidRPr="001C305A">
        <w:t>II</w:t>
      </w:r>
      <w:r>
        <w:t>,</w:t>
      </w:r>
      <w:r w:rsidRPr="001C305A">
        <w:t xml:space="preserve"> da </w:t>
      </w:r>
      <w:r>
        <w:t>LRF</w:t>
      </w:r>
      <w:r w:rsidRPr="001C305A">
        <w:t>, pois o montante de R$ 4,34 bilhões deixam de compor o limite. Entretanto, a LRF considera a despesa líquida com pessoal para aferir os limites estipulados pela norma.</w:t>
      </w:r>
    </w:p>
    <w:p w14:paraId="129DE4EC" w14:textId="2DECC911" w:rsidR="00335D8A" w:rsidRDefault="00335D8A" w:rsidP="00335D8A">
      <w:pPr>
        <w:pStyle w:val="1-REL11"/>
      </w:pPr>
      <w:r w:rsidRPr="001C305A">
        <w:t xml:space="preserve">A análise sob este ângulo permite concluir que somente o TCE/GO e TCM/GO tem gastos </w:t>
      </w:r>
      <w:r>
        <w:t xml:space="preserve">brutos </w:t>
      </w:r>
      <w:r w:rsidRPr="001C305A">
        <w:t xml:space="preserve">com pessoal abaixo do limite permitido pela LRF, sendo que Poder Executivo, </w:t>
      </w:r>
      <w:r>
        <w:t>Poder Judiciário</w:t>
      </w:r>
      <w:r w:rsidRPr="001C305A">
        <w:t xml:space="preserve">, Ministério Público e Alego tem gastos com pessoal bem superiores ao limite </w:t>
      </w:r>
      <w:r>
        <w:t>definido</w:t>
      </w:r>
      <w:r w:rsidRPr="001C305A">
        <w:t xml:space="preserve"> pela LRF.</w:t>
      </w:r>
    </w:p>
    <w:p w14:paraId="5102FF09" w14:textId="77777777" w:rsidR="00E927D2" w:rsidRPr="001C305A" w:rsidRDefault="00E927D2" w:rsidP="00E927D2">
      <w:pPr>
        <w:pStyle w:val="1-REL11"/>
      </w:pPr>
    </w:p>
    <w:p w14:paraId="7AFEE0AC" w14:textId="77777777" w:rsidR="00E927D2" w:rsidRPr="001C305A" w:rsidRDefault="00E927D2" w:rsidP="00E927D2">
      <w:pPr>
        <w:pStyle w:val="Ttulo2"/>
        <w:spacing w:before="100" w:beforeAutospacing="1" w:after="100" w:afterAutospacing="1" w:line="276" w:lineRule="auto"/>
        <w:contextualSpacing/>
      </w:pPr>
      <w:bookmarkStart w:id="124" w:name="_Toc167871647"/>
      <w:r w:rsidRPr="001C305A">
        <w:t>Dívida Pública Consolidada</w:t>
      </w:r>
      <w:bookmarkEnd w:id="124"/>
    </w:p>
    <w:p w14:paraId="1EFE0F9C" w14:textId="77777777" w:rsidR="00E927D2" w:rsidRPr="001C305A" w:rsidRDefault="00E927D2" w:rsidP="00E927D2">
      <w:pPr>
        <w:pStyle w:val="1-REL11"/>
      </w:pPr>
      <w:r w:rsidRPr="001C305A">
        <w:t>Apresenta-se, nesta parte do Relatório, análise quanto ao acompanhamento dos limites da Dívida Pública Consolidada em Goiás no exercício de 2023.</w:t>
      </w:r>
    </w:p>
    <w:p w14:paraId="13A9A785" w14:textId="77777777" w:rsidR="00E927D2" w:rsidRPr="001C305A" w:rsidRDefault="00E927D2" w:rsidP="00A224E9">
      <w:pPr>
        <w:pStyle w:val="Ttulo3"/>
      </w:pPr>
      <w:bookmarkStart w:id="125" w:name="_Toc167871648"/>
      <w:r w:rsidRPr="001C305A">
        <w:t>Conceito</w:t>
      </w:r>
      <w:bookmarkEnd w:id="125"/>
    </w:p>
    <w:p w14:paraId="6E8C569B" w14:textId="77777777" w:rsidR="00E927D2" w:rsidRPr="001C305A" w:rsidRDefault="00E927D2" w:rsidP="00E927D2">
      <w:pPr>
        <w:pStyle w:val="1-REL11"/>
      </w:pPr>
      <w:r w:rsidRPr="001C305A">
        <w:t>A Dívida Pública é classificada em flutuante e fundada e estas integram os passivos financeiro e permanente do Estado, respectivamente.</w:t>
      </w:r>
    </w:p>
    <w:p w14:paraId="18E3687B" w14:textId="77777777" w:rsidR="00E927D2" w:rsidRPr="001C305A" w:rsidRDefault="00E927D2" w:rsidP="00E927D2">
      <w:pPr>
        <w:pStyle w:val="1-REL11"/>
      </w:pPr>
      <w:r w:rsidRPr="001C305A">
        <w:t>A LRF trata do controle da dívida pública e do nível de endividamento dos entes públicos ao estabelecer controles específicos dentro de suas respectivas Leis Orçamentárias, assim como ao delegar ao Senado Federal a fixação de limites claros e precisos para cumprimento por estes entes.</w:t>
      </w:r>
    </w:p>
    <w:p w14:paraId="672BE703" w14:textId="77777777" w:rsidR="00E927D2" w:rsidRPr="001C305A" w:rsidRDefault="00E927D2" w:rsidP="00E927D2">
      <w:pPr>
        <w:pStyle w:val="1-REL11"/>
      </w:pPr>
      <w:r w:rsidRPr="001C305A">
        <w:t>O art. 29 apresenta as seguintes definições para a dívida pública:</w:t>
      </w:r>
    </w:p>
    <w:p w14:paraId="1A4A3E00" w14:textId="77777777" w:rsidR="00E927D2" w:rsidRPr="001C305A" w:rsidRDefault="00E927D2" w:rsidP="00E927D2">
      <w:pPr>
        <w:pStyle w:val="1-CITAO"/>
      </w:pPr>
      <w:r w:rsidRPr="001C305A">
        <w:t>Art. 29</w:t>
      </w:r>
    </w:p>
    <w:p w14:paraId="2D394CA9" w14:textId="77777777" w:rsidR="00E927D2" w:rsidRPr="001C305A" w:rsidRDefault="00E927D2" w:rsidP="00E927D2">
      <w:pPr>
        <w:pStyle w:val="1-CITAO"/>
      </w:pPr>
      <w:r w:rsidRPr="001C305A">
        <w:t>[...]</w:t>
      </w:r>
    </w:p>
    <w:p w14:paraId="0A3EADE3" w14:textId="77777777" w:rsidR="00E927D2" w:rsidRPr="001C305A" w:rsidRDefault="00E927D2" w:rsidP="00E927D2">
      <w:pPr>
        <w:pStyle w:val="1-CITAO"/>
      </w:pPr>
      <w:r w:rsidRPr="001C305A">
        <w:t xml:space="preserve">I - dívida pública consolidada ou fundada: montante total, apurado sem duplicidade, das obrigações financeiras do ente da Federação, assumidas em virtude de leis, </w:t>
      </w:r>
      <w:r w:rsidRPr="00494355">
        <w:t>contratos</w:t>
      </w:r>
      <w:r w:rsidRPr="001C305A">
        <w:t>, convênios ou tratados e da realização de operações de crédito, para amortização em prazo superior a doze meses;</w:t>
      </w:r>
    </w:p>
    <w:p w14:paraId="21A1A3AD" w14:textId="77777777" w:rsidR="00E927D2" w:rsidRDefault="00E927D2" w:rsidP="00E927D2">
      <w:pPr>
        <w:pStyle w:val="1-CITAO"/>
      </w:pPr>
    </w:p>
    <w:p w14:paraId="5110DEE4" w14:textId="77777777" w:rsidR="00E927D2" w:rsidRPr="001C305A" w:rsidRDefault="00E927D2" w:rsidP="00E927D2">
      <w:pPr>
        <w:pStyle w:val="1-CITAO"/>
      </w:pPr>
      <w:r w:rsidRPr="001C305A">
        <w:t>II - dívida pública mobiliária: dívida pública representada por títulos emitidos pela União, inclusive os do Banco Central do Brasil, Estados e Municípios;</w:t>
      </w:r>
    </w:p>
    <w:p w14:paraId="0F43AFC4" w14:textId="77777777" w:rsidR="00E927D2" w:rsidRDefault="00E927D2" w:rsidP="00E927D2">
      <w:pPr>
        <w:pStyle w:val="1-CITAO"/>
      </w:pPr>
    </w:p>
    <w:p w14:paraId="32BAAB00" w14:textId="77777777" w:rsidR="00E927D2" w:rsidRPr="001C305A" w:rsidRDefault="00E927D2" w:rsidP="00E927D2">
      <w:pPr>
        <w:pStyle w:val="1-CITAO"/>
      </w:pPr>
      <w:r w:rsidRPr="001C305A">
        <w:t>[...]</w:t>
      </w:r>
    </w:p>
    <w:p w14:paraId="3E3EECB3" w14:textId="77777777" w:rsidR="00E927D2" w:rsidRDefault="00E927D2" w:rsidP="00E927D2">
      <w:pPr>
        <w:pStyle w:val="1-CITAO"/>
      </w:pPr>
    </w:p>
    <w:p w14:paraId="0F0B76BB" w14:textId="77777777" w:rsidR="00E927D2" w:rsidRPr="001C305A" w:rsidRDefault="00E927D2" w:rsidP="00E927D2">
      <w:pPr>
        <w:pStyle w:val="1-CITAO"/>
      </w:pPr>
      <w:r w:rsidRPr="001C305A">
        <w:t>§ 3º Também integram a dívida pública consolidada as operações de crédito de prazo inferior a doze meses cujas receitas tenham constado do orçamento.</w:t>
      </w:r>
    </w:p>
    <w:p w14:paraId="45D6A665" w14:textId="77777777" w:rsidR="00E927D2" w:rsidRPr="001C305A" w:rsidRDefault="00E927D2" w:rsidP="00E927D2">
      <w:pPr>
        <w:pStyle w:val="1-REL11"/>
      </w:pPr>
      <w:r w:rsidRPr="00E40329">
        <w:t>A Resolução do Senado nº 40/2001 fixou</w:t>
      </w:r>
      <w:r w:rsidRPr="001C305A">
        <w:t xml:space="preserve"> os limites da dívida e, se ultrapassados, definiu a forma de recondução com base no art. 31 da LRF:</w:t>
      </w:r>
    </w:p>
    <w:p w14:paraId="56BA4EF3" w14:textId="77777777" w:rsidR="00E927D2" w:rsidRPr="001C305A" w:rsidRDefault="00E927D2" w:rsidP="00E927D2">
      <w:pPr>
        <w:pStyle w:val="1-CITAO"/>
      </w:pPr>
      <w:r w:rsidRPr="001C305A">
        <w:lastRenderedPageBreak/>
        <w:t xml:space="preserve">Art. 3º A dívida consolidada líquida dos Estados, do Distrito Federal e dos Municípios, ao final do décimo quinto exercício financeiro contado a partir do encerramento do ano de publicação desta Resolução, </w:t>
      </w:r>
      <w:r w:rsidRPr="001C305A">
        <w:rPr>
          <w:b/>
        </w:rPr>
        <w:t>não poderá exceder</w:t>
      </w:r>
      <w:r w:rsidRPr="001C305A">
        <w:t xml:space="preserve">, respectivamente, a: I - </w:t>
      </w:r>
      <w:r w:rsidRPr="001C305A">
        <w:rPr>
          <w:b/>
        </w:rPr>
        <w:t>no caso dos Estados</w:t>
      </w:r>
      <w:r w:rsidRPr="001C305A">
        <w:t xml:space="preserve"> e do Distrito Federal: </w:t>
      </w:r>
      <w:r w:rsidRPr="001C305A">
        <w:rPr>
          <w:b/>
        </w:rPr>
        <w:t>2 (duas) vezes a receita corrente líquida</w:t>
      </w:r>
      <w:r w:rsidRPr="001C305A">
        <w:t>, definida na forma do art. 2º; e II - no caso dos Municípios: a 1,2 (um inteiro e dois décimos) vezes a receita corrente líquida, definida na forma do art. 2º.</w:t>
      </w:r>
    </w:p>
    <w:p w14:paraId="4473AD73" w14:textId="77777777" w:rsidR="00E927D2" w:rsidRDefault="00E927D2" w:rsidP="00E927D2">
      <w:pPr>
        <w:pStyle w:val="1-CITAO"/>
      </w:pPr>
    </w:p>
    <w:p w14:paraId="24D1E135" w14:textId="77777777" w:rsidR="00E927D2" w:rsidRPr="001C305A" w:rsidRDefault="00E927D2" w:rsidP="00E927D2">
      <w:pPr>
        <w:pStyle w:val="1-CITAO"/>
      </w:pPr>
      <w:r w:rsidRPr="001C305A">
        <w:t xml:space="preserve">Parágrafo único. Após o prazo a que se refere o caput, a inobservância dos limites estabelecidos em seus incisos I e II sujeitará os entes da Federação às disposições do art. 31 da Lei Complementar nº 101, de 4 de maio de 2000. </w:t>
      </w:r>
      <w:r w:rsidRPr="00E40329">
        <w:t>(grifo nosso)</w:t>
      </w:r>
    </w:p>
    <w:p w14:paraId="22B96C39" w14:textId="77777777" w:rsidR="00E927D2" w:rsidRPr="001C305A" w:rsidRDefault="00E927D2" w:rsidP="00E927D2">
      <w:pPr>
        <w:pStyle w:val="1-REL11"/>
      </w:pPr>
      <w:r w:rsidRPr="001C305A">
        <w:t>Portanto, a dívida pública estadual consolidada não poderá exceder 2 vezes a RCL e será apresentada no tópico seguinte a apuração para o exercício de 2023.</w:t>
      </w:r>
    </w:p>
    <w:p w14:paraId="3E798280" w14:textId="77777777" w:rsidR="00E927D2" w:rsidRPr="001C305A" w:rsidRDefault="00E927D2" w:rsidP="00A224E9">
      <w:pPr>
        <w:pStyle w:val="Ttulo3"/>
      </w:pPr>
      <w:bookmarkStart w:id="126" w:name="_Toc167871649"/>
      <w:r w:rsidRPr="001C305A">
        <w:t>Apuração da Dívida Pública Consolidada</w:t>
      </w:r>
      <w:bookmarkEnd w:id="126"/>
    </w:p>
    <w:p w14:paraId="56904064" w14:textId="77777777" w:rsidR="00E927D2" w:rsidRPr="001C305A" w:rsidRDefault="00E927D2" w:rsidP="00B733AE">
      <w:pPr>
        <w:pStyle w:val="1-REL11"/>
        <w:spacing w:before="240" w:after="240" w:line="300" w:lineRule="auto"/>
      </w:pPr>
      <w:r w:rsidRPr="001C305A">
        <w:t>O cálculo da dívida consolidada, com definições estabelecidas pelo M</w:t>
      </w:r>
      <w:r>
        <w:t xml:space="preserve">DF 13ª edição, </w:t>
      </w:r>
      <w:r w:rsidRPr="001C305A">
        <w:t>compreende o montante total apurado das obrigações financeiras do Estado, abrangendo as dívidas mobiliária, contratual, dos precatórios judiciais posteriores a 05/05/</w:t>
      </w:r>
      <w:r>
        <w:t>20</w:t>
      </w:r>
      <w:r w:rsidRPr="001C305A">
        <w:t xml:space="preserve">00 não pagos durante a execução do orçamento em que houverem sido incluídos, dos parcelamentos com a União de tributos federais, das contribuições sociais, FGTS e outras dívidas. No entanto, não estão incluídas as dívidas provenientes do </w:t>
      </w:r>
      <w:r>
        <w:t>Regime Próprio de Previdência Social (</w:t>
      </w:r>
      <w:r w:rsidRPr="001C305A">
        <w:t>RPPS</w:t>
      </w:r>
      <w:r>
        <w:t xml:space="preserve">), como </w:t>
      </w:r>
      <w:r w:rsidRPr="001C305A">
        <w:t>juros, encargos e amortização.</w:t>
      </w:r>
    </w:p>
    <w:p w14:paraId="770318A3" w14:textId="77777777" w:rsidR="00E927D2" w:rsidRPr="00AF6C05" w:rsidRDefault="00E927D2" w:rsidP="00B733AE">
      <w:pPr>
        <w:pStyle w:val="1-REL11"/>
        <w:spacing w:before="240" w:after="240" w:line="300" w:lineRule="auto"/>
      </w:pPr>
      <w:r w:rsidRPr="001C305A">
        <w:t xml:space="preserve">Com a </w:t>
      </w:r>
      <w:r>
        <w:t>adesão</w:t>
      </w:r>
      <w:r w:rsidRPr="001C305A">
        <w:t xml:space="preserve"> </w:t>
      </w:r>
      <w:r w:rsidRPr="00AF6C05">
        <w:t>do estado de Goiás ao Regime de Recuperação Fiscal (RRF) ocorrida em 24/12/2021, a composição da dívida pública do Estado passou por uma reformulação em relação a juros remuneratórios, prazo de pagamentos, encargos e índice de correção, contemplando sobretudo os contratos oriundos das Leis nº 8.727</w:t>
      </w:r>
      <w:r>
        <w:t xml:space="preserve">, de 05 de novembro de </w:t>
      </w:r>
      <w:r w:rsidRPr="00AF6C05">
        <w:t>1993</w:t>
      </w:r>
      <w:r>
        <w:t>,</w:t>
      </w:r>
      <w:r w:rsidRPr="00AF6C05">
        <w:t xml:space="preserve"> e </w:t>
      </w:r>
      <w:r>
        <w:t xml:space="preserve">nº </w:t>
      </w:r>
      <w:r w:rsidRPr="00AF6C05">
        <w:t>9.496</w:t>
      </w:r>
      <w:r>
        <w:t xml:space="preserve">, de 11 de setembro de </w:t>
      </w:r>
      <w:r w:rsidRPr="00AF6C05">
        <w:t>1997.</w:t>
      </w:r>
    </w:p>
    <w:p w14:paraId="4CD51D06" w14:textId="77777777" w:rsidR="00E927D2" w:rsidRPr="001C305A" w:rsidRDefault="00E927D2" w:rsidP="00B733AE">
      <w:pPr>
        <w:pStyle w:val="1-REL11"/>
        <w:spacing w:before="240" w:after="240" w:line="300" w:lineRule="auto"/>
      </w:pPr>
      <w:r w:rsidRPr="00AF6C05">
        <w:t>O refinanciamento do serviço não pago dentro do RRF é concentrado no Contrato nº 255/</w:t>
      </w:r>
      <w:r>
        <w:t>20</w:t>
      </w:r>
      <w:r w:rsidRPr="00AF6C05">
        <w:t>21/CAF, em função do benefício concedido pelo art. 9º-A da L</w:t>
      </w:r>
      <w:r>
        <w:t xml:space="preserve">ei </w:t>
      </w:r>
      <w:r w:rsidRPr="00AF6C05">
        <w:t>C</w:t>
      </w:r>
      <w:r>
        <w:t>omplementar nº </w:t>
      </w:r>
      <w:r w:rsidRPr="00AF6C05">
        <w:t>159</w:t>
      </w:r>
      <w:r>
        <w:t xml:space="preserve">, de 19 de maio de </w:t>
      </w:r>
      <w:r w:rsidRPr="00AF6C05">
        <w:t>2017. Nesse sentido, no exercício de 2023, segundo ano de vigência do RRF, vai sendo adicionado encampação referente às prestações dos contratos que gozam do benefício do art. 9º da LC nº 159/2017 (incisos I e II). Desse modo, o saldo devedor em 31/12/</w:t>
      </w:r>
      <w:r>
        <w:t>20</w:t>
      </w:r>
      <w:r w:rsidRPr="00AF6C05">
        <w:t>23 do Contrato nº</w:t>
      </w:r>
      <w:r>
        <w:t> </w:t>
      </w:r>
      <w:r w:rsidRPr="00AF6C05">
        <w:t>255/21/CAF alcançou o montante de R$ 8,86 bilhões</w:t>
      </w:r>
      <w:r w:rsidRPr="001C305A">
        <w:t>.</w:t>
      </w:r>
    </w:p>
    <w:p w14:paraId="26C75A1B" w14:textId="77777777" w:rsidR="00E927D2" w:rsidRPr="001C305A" w:rsidRDefault="00E927D2" w:rsidP="00B733AE">
      <w:pPr>
        <w:pStyle w:val="1-REL11"/>
        <w:spacing w:before="240" w:after="240" w:line="300" w:lineRule="auto"/>
      </w:pPr>
      <w:r w:rsidRPr="001C305A">
        <w:t xml:space="preserve">Em 2023, o Estado passou a pagar à União 11,11% do serviço mensal dos contratos integrantes do RRF. Em 2022 não houve ressarcimento/pagamento de serviço pertinente </w:t>
      </w:r>
      <w:r>
        <w:t>à</w:t>
      </w:r>
      <w:r w:rsidRPr="001C305A">
        <w:t xml:space="preserve"> dívida pública</w:t>
      </w:r>
      <w:r>
        <w:t>, s</w:t>
      </w:r>
      <w:r w:rsidRPr="001C305A">
        <w:t xml:space="preserve">endo que o benefício correspondia </w:t>
      </w:r>
      <w:r>
        <w:t>a</w:t>
      </w:r>
      <w:r w:rsidRPr="001C305A">
        <w:t xml:space="preserve"> 100% dos valores refinanciados.</w:t>
      </w:r>
    </w:p>
    <w:p w14:paraId="48D87900" w14:textId="77777777" w:rsidR="00E927D2" w:rsidRPr="001C305A" w:rsidRDefault="00E927D2" w:rsidP="00B733AE">
      <w:pPr>
        <w:pStyle w:val="1-REL11"/>
        <w:spacing w:before="240" w:after="240" w:line="300" w:lineRule="auto"/>
      </w:pPr>
      <w:r w:rsidRPr="001C305A">
        <w:lastRenderedPageBreak/>
        <w:t>Ressalta-se que o saldo d</w:t>
      </w:r>
      <w:r>
        <w:t>e</w:t>
      </w:r>
      <w:r w:rsidRPr="001C305A">
        <w:t xml:space="preserve">vedor do </w:t>
      </w:r>
      <w:r>
        <w:t>C</w:t>
      </w:r>
      <w:r w:rsidRPr="001C305A">
        <w:t>ontrato nº 255/</w:t>
      </w:r>
      <w:r>
        <w:t>20</w:t>
      </w:r>
      <w:r w:rsidRPr="001C305A">
        <w:t>21 em 31/12/</w:t>
      </w:r>
      <w:r>
        <w:t>20</w:t>
      </w:r>
      <w:r w:rsidRPr="001C305A">
        <w:t>22 era de R$ 6</w:t>
      </w:r>
      <w:r>
        <w:t>,</w:t>
      </w:r>
      <w:r w:rsidRPr="001C305A">
        <w:t>85</w:t>
      </w:r>
      <w:r>
        <w:t> bilhões</w:t>
      </w:r>
      <w:r w:rsidRPr="001C305A">
        <w:t xml:space="preserve"> e passou para R$ 8</w:t>
      </w:r>
      <w:r>
        <w:t>,</w:t>
      </w:r>
      <w:r w:rsidRPr="001C305A">
        <w:t>8</w:t>
      </w:r>
      <w:r>
        <w:t>6 bilhões</w:t>
      </w:r>
      <w:r w:rsidRPr="001C305A">
        <w:t xml:space="preserve"> em 31/12/</w:t>
      </w:r>
      <w:r>
        <w:t>20</w:t>
      </w:r>
      <w:r w:rsidRPr="001C305A">
        <w:t>23, um aumento de R$ 2,01</w:t>
      </w:r>
      <w:r>
        <w:t> </w:t>
      </w:r>
      <w:r w:rsidRPr="001C305A">
        <w:t>bilhões.</w:t>
      </w:r>
    </w:p>
    <w:p w14:paraId="33A6E1DF" w14:textId="77777777" w:rsidR="00E927D2" w:rsidRPr="001C305A" w:rsidRDefault="00E927D2" w:rsidP="00B733AE">
      <w:pPr>
        <w:pStyle w:val="1-REL11"/>
        <w:spacing w:before="240" w:after="240" w:line="300" w:lineRule="auto"/>
      </w:pPr>
      <w:r w:rsidRPr="001C305A">
        <w:t>No relatório da dívida pública elaborad</w:t>
      </w:r>
      <w:r>
        <w:t>o</w:t>
      </w:r>
      <w:r w:rsidRPr="001C305A">
        <w:t xml:space="preserve"> pela ECONOMIA, consta Notas Explicativas de que o expressivo montante de juros, estimado no longo prazo, é uma projeção que considera a permanência do Estado no RRF até 2030 e, por consequência, as encampações dos valores honrados e não recebidos pela União (inciso I</w:t>
      </w:r>
      <w:r>
        <w:t>,</w:t>
      </w:r>
      <w:r w:rsidRPr="001C305A">
        <w:t xml:space="preserve"> § 1º e inciso II, § 2º), ambos do art. 9º </w:t>
      </w:r>
      <w:r w:rsidRPr="00E342A3">
        <w:t>da LC nº 159/2017.</w:t>
      </w:r>
    </w:p>
    <w:p w14:paraId="2433FEEE" w14:textId="77777777" w:rsidR="00E927D2" w:rsidRPr="001C305A" w:rsidRDefault="00E927D2" w:rsidP="00B733AE">
      <w:pPr>
        <w:pStyle w:val="1-REL11"/>
        <w:spacing w:before="240" w:after="240" w:line="300" w:lineRule="auto"/>
      </w:pPr>
      <w:r w:rsidRPr="001C305A">
        <w:t>Consta a seguir um resumo dos valores das suspensões dessas dívidas ocorrida no período de 2019</w:t>
      </w:r>
      <w:r>
        <w:t xml:space="preserve"> a </w:t>
      </w:r>
      <w:r w:rsidRPr="001C305A">
        <w:t>2023.</w:t>
      </w:r>
    </w:p>
    <w:p w14:paraId="79C7BEE8" w14:textId="77777777" w:rsidR="00E927D2" w:rsidRPr="001C305A" w:rsidRDefault="00E927D2" w:rsidP="00B733AE">
      <w:pPr>
        <w:pStyle w:val="1-REL11"/>
        <w:spacing w:before="240" w:after="240" w:line="300" w:lineRule="auto"/>
      </w:pPr>
      <w:r w:rsidRPr="001C305A">
        <w:t>A elaboração do demonstrativo da dívida consolidada ocorreu com base no Anexo 2 do MDF, conforme as normas e procedimentos definidos pela STN.</w:t>
      </w:r>
    </w:p>
    <w:p w14:paraId="7EF3D14C" w14:textId="77777777" w:rsidR="00E927D2" w:rsidRPr="001C305A" w:rsidRDefault="00E927D2" w:rsidP="00B733AE">
      <w:pPr>
        <w:pStyle w:val="1-REL11"/>
        <w:spacing w:before="240" w:after="240" w:line="300" w:lineRule="auto"/>
      </w:pPr>
      <w:r w:rsidRPr="001C305A">
        <w:t xml:space="preserve">Apresenta-se a seguir a apuração da dívida pública de Goiás a partir de análise realizada com base nas informações dos </w:t>
      </w:r>
      <w:r>
        <w:t>RGFs</w:t>
      </w:r>
      <w:r w:rsidRPr="001C305A">
        <w:t xml:space="preserve"> e </w:t>
      </w:r>
      <w:r>
        <w:t>do Balanço Geral do Estado (BGE)</w:t>
      </w:r>
      <w:r w:rsidRPr="001C305A">
        <w:t xml:space="preserve"> encaminhado pelo Poder Executivo:</w:t>
      </w:r>
    </w:p>
    <w:p w14:paraId="6AB15D19" w14:textId="7EFDB3F9" w:rsidR="00E927D2" w:rsidRPr="001C305A" w:rsidRDefault="00E927D2" w:rsidP="00ED3571">
      <w:pPr>
        <w:pStyle w:val="0-TABELA"/>
        <w:rPr>
          <w:b/>
        </w:rPr>
      </w:pPr>
      <w:bookmarkStart w:id="127" w:name="_Toc167871750"/>
      <w:r w:rsidRPr="001C305A">
        <w:t>Dívida Consolidada</w:t>
      </w:r>
      <w:r w:rsidR="00B733AE">
        <w:t xml:space="preserve"> </w:t>
      </w:r>
      <w:r w:rsidR="00B733AE" w:rsidRPr="001C305A">
        <w:t>– 20</w:t>
      </w:r>
      <w:r w:rsidR="00B733AE">
        <w:t>19 a 2023</w:t>
      </w:r>
      <w:bookmarkEnd w:id="127"/>
    </w:p>
    <w:p w14:paraId="314D781A" w14:textId="77777777" w:rsidR="00E927D2" w:rsidRPr="00BA7642" w:rsidRDefault="00E927D2" w:rsidP="00E927D2">
      <w:pPr>
        <w:pStyle w:val="0-EmR1"/>
      </w:pPr>
      <w:r w:rsidRPr="00BA7642">
        <w:t>R$ 1</w:t>
      </w:r>
    </w:p>
    <w:tbl>
      <w:tblPr>
        <w:tblW w:w="5000" w:type="pct"/>
        <w:tblLayout w:type="fixed"/>
        <w:tblCellMar>
          <w:left w:w="70" w:type="dxa"/>
          <w:right w:w="70" w:type="dxa"/>
        </w:tblCellMar>
        <w:tblLook w:val="04A0" w:firstRow="1" w:lastRow="0" w:firstColumn="1" w:lastColumn="0" w:noHBand="0" w:noVBand="1"/>
      </w:tblPr>
      <w:tblGrid>
        <w:gridCol w:w="2551"/>
        <w:gridCol w:w="1360"/>
        <w:gridCol w:w="1360"/>
        <w:gridCol w:w="1360"/>
        <w:gridCol w:w="1360"/>
        <w:gridCol w:w="1362"/>
      </w:tblGrid>
      <w:tr w:rsidR="0001349C" w:rsidRPr="006275E6" w14:paraId="52A10960" w14:textId="77777777" w:rsidTr="0001349C">
        <w:trPr>
          <w:trHeight w:val="284"/>
          <w:tblHeader/>
        </w:trPr>
        <w:tc>
          <w:tcPr>
            <w:tcW w:w="1364" w:type="pct"/>
            <w:tcBorders>
              <w:top w:val="single" w:sz="4" w:space="0" w:color="auto"/>
              <w:bottom w:val="single" w:sz="8" w:space="0" w:color="000000"/>
              <w:right w:val="single" w:sz="8" w:space="0" w:color="000000"/>
            </w:tcBorders>
            <w:shd w:val="clear" w:color="auto" w:fill="A1F2FD"/>
            <w:noWrap/>
            <w:vAlign w:val="center"/>
          </w:tcPr>
          <w:p w14:paraId="04054621" w14:textId="77777777" w:rsidR="00E927D2" w:rsidRPr="006275E6" w:rsidRDefault="00E927D2" w:rsidP="002F01F5">
            <w:pPr>
              <w:jc w:val="center"/>
              <w:rPr>
                <w:rFonts w:cs="Arial"/>
                <w:b/>
                <w:bCs/>
                <w:color w:val="333333"/>
                <w:sz w:val="18"/>
                <w:szCs w:val="18"/>
              </w:rPr>
            </w:pPr>
            <w:r w:rsidRPr="006275E6">
              <w:rPr>
                <w:rFonts w:cs="Arial"/>
                <w:b/>
                <w:bCs/>
                <w:color w:val="333333"/>
                <w:sz w:val="18"/>
                <w:szCs w:val="18"/>
              </w:rPr>
              <w:t>Dívida Consolidada</w:t>
            </w:r>
          </w:p>
        </w:tc>
        <w:tc>
          <w:tcPr>
            <w:tcW w:w="727" w:type="pct"/>
            <w:tcBorders>
              <w:top w:val="single" w:sz="4" w:space="0" w:color="auto"/>
              <w:left w:val="nil"/>
              <w:bottom w:val="single" w:sz="8" w:space="0" w:color="000000"/>
              <w:right w:val="single" w:sz="8" w:space="0" w:color="000000"/>
            </w:tcBorders>
            <w:shd w:val="clear" w:color="auto" w:fill="A1F2FD"/>
            <w:noWrap/>
            <w:vAlign w:val="center"/>
          </w:tcPr>
          <w:p w14:paraId="59601ACE" w14:textId="77777777" w:rsidR="00E927D2" w:rsidRPr="006275E6" w:rsidRDefault="00E927D2" w:rsidP="006275E6">
            <w:pPr>
              <w:ind w:hanging="75"/>
              <w:jc w:val="center"/>
              <w:rPr>
                <w:rFonts w:cs="Arial"/>
                <w:b/>
                <w:bCs/>
                <w:color w:val="333333"/>
                <w:sz w:val="18"/>
                <w:szCs w:val="18"/>
              </w:rPr>
            </w:pPr>
            <w:r w:rsidRPr="006275E6">
              <w:rPr>
                <w:rFonts w:cs="Arial"/>
                <w:b/>
                <w:bCs/>
                <w:color w:val="333333"/>
                <w:sz w:val="18"/>
                <w:szCs w:val="18"/>
              </w:rPr>
              <w:t>2019</w:t>
            </w:r>
          </w:p>
        </w:tc>
        <w:tc>
          <w:tcPr>
            <w:tcW w:w="727" w:type="pct"/>
            <w:tcBorders>
              <w:top w:val="single" w:sz="4" w:space="0" w:color="auto"/>
              <w:left w:val="nil"/>
              <w:bottom w:val="single" w:sz="8" w:space="0" w:color="000000"/>
              <w:right w:val="single" w:sz="8" w:space="0" w:color="000000"/>
            </w:tcBorders>
            <w:shd w:val="clear" w:color="auto" w:fill="A1F2FD"/>
            <w:noWrap/>
            <w:vAlign w:val="center"/>
          </w:tcPr>
          <w:p w14:paraId="56F1413A" w14:textId="77777777" w:rsidR="00E927D2" w:rsidRPr="006275E6" w:rsidRDefault="00E927D2" w:rsidP="006275E6">
            <w:pPr>
              <w:ind w:hanging="75"/>
              <w:jc w:val="center"/>
              <w:rPr>
                <w:rFonts w:cs="Arial"/>
                <w:b/>
                <w:bCs/>
                <w:color w:val="333333"/>
                <w:sz w:val="18"/>
                <w:szCs w:val="18"/>
              </w:rPr>
            </w:pPr>
            <w:r w:rsidRPr="006275E6">
              <w:rPr>
                <w:rFonts w:cs="Arial"/>
                <w:b/>
                <w:bCs/>
                <w:color w:val="333333"/>
                <w:sz w:val="18"/>
                <w:szCs w:val="18"/>
              </w:rPr>
              <w:t>2020</w:t>
            </w:r>
          </w:p>
        </w:tc>
        <w:tc>
          <w:tcPr>
            <w:tcW w:w="727" w:type="pct"/>
            <w:tcBorders>
              <w:top w:val="single" w:sz="4" w:space="0" w:color="auto"/>
              <w:left w:val="nil"/>
              <w:bottom w:val="single" w:sz="8" w:space="0" w:color="000000"/>
              <w:right w:val="single" w:sz="8" w:space="0" w:color="000000"/>
            </w:tcBorders>
            <w:shd w:val="clear" w:color="auto" w:fill="A1F2FD"/>
            <w:noWrap/>
            <w:vAlign w:val="center"/>
          </w:tcPr>
          <w:p w14:paraId="00603999" w14:textId="77777777" w:rsidR="00E927D2" w:rsidRPr="006275E6" w:rsidRDefault="00E927D2" w:rsidP="006275E6">
            <w:pPr>
              <w:ind w:hanging="75"/>
              <w:jc w:val="center"/>
              <w:rPr>
                <w:rFonts w:cs="Arial"/>
                <w:b/>
                <w:bCs/>
                <w:color w:val="333333"/>
                <w:sz w:val="18"/>
                <w:szCs w:val="18"/>
              </w:rPr>
            </w:pPr>
            <w:r w:rsidRPr="006275E6">
              <w:rPr>
                <w:rFonts w:cs="Arial"/>
                <w:b/>
                <w:bCs/>
                <w:color w:val="333333"/>
                <w:sz w:val="18"/>
                <w:szCs w:val="18"/>
              </w:rPr>
              <w:t>2021</w:t>
            </w:r>
          </w:p>
        </w:tc>
        <w:tc>
          <w:tcPr>
            <w:tcW w:w="727" w:type="pct"/>
            <w:tcBorders>
              <w:top w:val="single" w:sz="4" w:space="0" w:color="auto"/>
              <w:left w:val="nil"/>
              <w:bottom w:val="single" w:sz="8" w:space="0" w:color="000000"/>
              <w:right w:val="single" w:sz="8" w:space="0" w:color="000000"/>
            </w:tcBorders>
            <w:shd w:val="clear" w:color="auto" w:fill="A1F2FD"/>
            <w:noWrap/>
            <w:vAlign w:val="center"/>
          </w:tcPr>
          <w:p w14:paraId="068E48CD" w14:textId="77777777" w:rsidR="00E927D2" w:rsidRPr="006275E6" w:rsidRDefault="00E927D2" w:rsidP="006275E6">
            <w:pPr>
              <w:ind w:hanging="75"/>
              <w:jc w:val="center"/>
              <w:rPr>
                <w:rFonts w:cs="Arial"/>
                <w:b/>
                <w:bCs/>
                <w:color w:val="333333"/>
                <w:sz w:val="18"/>
                <w:szCs w:val="18"/>
              </w:rPr>
            </w:pPr>
            <w:r w:rsidRPr="006275E6">
              <w:rPr>
                <w:rFonts w:cs="Arial"/>
                <w:b/>
                <w:bCs/>
                <w:color w:val="333333"/>
                <w:sz w:val="18"/>
                <w:szCs w:val="18"/>
              </w:rPr>
              <w:t>2022</w:t>
            </w:r>
          </w:p>
        </w:tc>
        <w:tc>
          <w:tcPr>
            <w:tcW w:w="728" w:type="pct"/>
            <w:tcBorders>
              <w:top w:val="single" w:sz="4" w:space="0" w:color="auto"/>
              <w:left w:val="nil"/>
              <w:bottom w:val="single" w:sz="8" w:space="0" w:color="000000"/>
            </w:tcBorders>
            <w:shd w:val="clear" w:color="auto" w:fill="A1F2FD"/>
            <w:noWrap/>
            <w:vAlign w:val="center"/>
          </w:tcPr>
          <w:p w14:paraId="1B8B8604" w14:textId="77777777" w:rsidR="00E927D2" w:rsidRPr="006275E6" w:rsidRDefault="00E927D2" w:rsidP="006275E6">
            <w:pPr>
              <w:ind w:hanging="75"/>
              <w:jc w:val="center"/>
              <w:rPr>
                <w:rFonts w:cs="Arial"/>
                <w:b/>
                <w:bCs/>
                <w:color w:val="333333"/>
                <w:sz w:val="18"/>
                <w:szCs w:val="18"/>
              </w:rPr>
            </w:pPr>
            <w:r w:rsidRPr="006275E6">
              <w:rPr>
                <w:rFonts w:cs="Arial"/>
                <w:b/>
                <w:bCs/>
                <w:color w:val="333333"/>
                <w:sz w:val="18"/>
                <w:szCs w:val="18"/>
              </w:rPr>
              <w:t>2023</w:t>
            </w:r>
          </w:p>
        </w:tc>
      </w:tr>
      <w:tr w:rsidR="0001349C" w:rsidRPr="006275E6" w14:paraId="6A00EF4B" w14:textId="77777777" w:rsidTr="00B733AE">
        <w:trPr>
          <w:trHeight w:val="284"/>
        </w:trPr>
        <w:tc>
          <w:tcPr>
            <w:tcW w:w="1364" w:type="pct"/>
            <w:tcBorders>
              <w:top w:val="single" w:sz="8" w:space="0" w:color="000000"/>
              <w:bottom w:val="single" w:sz="8" w:space="0" w:color="000000"/>
              <w:right w:val="single" w:sz="8" w:space="0" w:color="000000"/>
            </w:tcBorders>
            <w:shd w:val="clear" w:color="FFFFFF" w:fill="FFFFFF"/>
            <w:noWrap/>
            <w:vAlign w:val="center"/>
            <w:hideMark/>
          </w:tcPr>
          <w:p w14:paraId="06F18B32" w14:textId="77777777" w:rsidR="00E927D2" w:rsidRPr="006275E6" w:rsidRDefault="00E927D2" w:rsidP="002F01F5">
            <w:pPr>
              <w:rPr>
                <w:rFonts w:cs="Arial"/>
                <w:b/>
                <w:bCs/>
                <w:color w:val="333333"/>
                <w:sz w:val="18"/>
                <w:szCs w:val="18"/>
              </w:rPr>
            </w:pPr>
            <w:r w:rsidRPr="006275E6">
              <w:rPr>
                <w:rFonts w:cs="Arial"/>
                <w:b/>
                <w:bCs/>
                <w:color w:val="333333"/>
                <w:sz w:val="18"/>
                <w:szCs w:val="18"/>
              </w:rPr>
              <w:t>Dívida Consolidada Bruta (I)</w:t>
            </w:r>
          </w:p>
        </w:tc>
        <w:tc>
          <w:tcPr>
            <w:tcW w:w="727" w:type="pct"/>
            <w:tcBorders>
              <w:top w:val="nil"/>
              <w:left w:val="nil"/>
              <w:bottom w:val="single" w:sz="8" w:space="0" w:color="000000"/>
              <w:right w:val="single" w:sz="8" w:space="0" w:color="000000"/>
            </w:tcBorders>
            <w:shd w:val="clear" w:color="FFFFFF" w:fill="FFFFFF"/>
            <w:noWrap/>
            <w:vAlign w:val="center"/>
            <w:hideMark/>
          </w:tcPr>
          <w:p w14:paraId="7B75BAC0"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20.670.271.654</w:t>
            </w:r>
          </w:p>
        </w:tc>
        <w:tc>
          <w:tcPr>
            <w:tcW w:w="727" w:type="pct"/>
            <w:tcBorders>
              <w:top w:val="nil"/>
              <w:left w:val="nil"/>
              <w:bottom w:val="single" w:sz="8" w:space="0" w:color="000000"/>
              <w:right w:val="single" w:sz="8" w:space="0" w:color="000000"/>
            </w:tcBorders>
            <w:shd w:val="clear" w:color="FFFFFF" w:fill="FFFFFF"/>
            <w:noWrap/>
            <w:vAlign w:val="center"/>
            <w:hideMark/>
          </w:tcPr>
          <w:p w14:paraId="6E8A63CA"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22.665.700.875</w:t>
            </w:r>
          </w:p>
        </w:tc>
        <w:tc>
          <w:tcPr>
            <w:tcW w:w="727" w:type="pct"/>
            <w:tcBorders>
              <w:top w:val="nil"/>
              <w:left w:val="nil"/>
              <w:bottom w:val="single" w:sz="8" w:space="0" w:color="000000"/>
              <w:right w:val="single" w:sz="8" w:space="0" w:color="000000"/>
            </w:tcBorders>
            <w:shd w:val="clear" w:color="FFFFFF" w:fill="FFFFFF"/>
            <w:noWrap/>
            <w:vAlign w:val="center"/>
            <w:hideMark/>
          </w:tcPr>
          <w:p w14:paraId="4E2328F4"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23.030.006.669</w:t>
            </w:r>
          </w:p>
        </w:tc>
        <w:tc>
          <w:tcPr>
            <w:tcW w:w="727" w:type="pct"/>
            <w:tcBorders>
              <w:top w:val="nil"/>
              <w:left w:val="nil"/>
              <w:bottom w:val="single" w:sz="8" w:space="0" w:color="000000"/>
              <w:right w:val="single" w:sz="8" w:space="0" w:color="000000"/>
            </w:tcBorders>
            <w:shd w:val="clear" w:color="FFFFFF" w:fill="FFFFFF"/>
            <w:noWrap/>
            <w:vAlign w:val="center"/>
            <w:hideMark/>
          </w:tcPr>
          <w:p w14:paraId="35E6FA20"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24.564.332.569</w:t>
            </w:r>
          </w:p>
        </w:tc>
        <w:tc>
          <w:tcPr>
            <w:tcW w:w="728" w:type="pct"/>
            <w:tcBorders>
              <w:top w:val="nil"/>
              <w:left w:val="nil"/>
              <w:bottom w:val="single" w:sz="8" w:space="0" w:color="000000"/>
            </w:tcBorders>
            <w:shd w:val="clear" w:color="FFFFFF" w:fill="FFFFFF"/>
            <w:noWrap/>
            <w:vAlign w:val="center"/>
            <w:hideMark/>
          </w:tcPr>
          <w:p w14:paraId="79165D29"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25.733.807.908</w:t>
            </w:r>
          </w:p>
        </w:tc>
      </w:tr>
      <w:tr w:rsidR="0001349C" w:rsidRPr="006275E6" w14:paraId="0F0CFB62" w14:textId="77777777" w:rsidTr="00B733AE">
        <w:trPr>
          <w:trHeight w:val="284"/>
        </w:trPr>
        <w:tc>
          <w:tcPr>
            <w:tcW w:w="1364" w:type="pct"/>
            <w:tcBorders>
              <w:top w:val="single" w:sz="8" w:space="0" w:color="000000"/>
              <w:right w:val="single" w:sz="8" w:space="0" w:color="000000"/>
            </w:tcBorders>
            <w:shd w:val="clear" w:color="FFFFFF" w:fill="FFFFFF"/>
            <w:noWrap/>
            <w:vAlign w:val="center"/>
            <w:hideMark/>
          </w:tcPr>
          <w:p w14:paraId="40E904C3" w14:textId="77777777" w:rsidR="00E927D2" w:rsidRPr="006275E6" w:rsidRDefault="00E927D2" w:rsidP="002F01F5">
            <w:pPr>
              <w:rPr>
                <w:rFonts w:cs="Arial"/>
                <w:b/>
                <w:bCs/>
                <w:color w:val="333333"/>
                <w:sz w:val="18"/>
                <w:szCs w:val="18"/>
              </w:rPr>
            </w:pPr>
            <w:r w:rsidRPr="006275E6">
              <w:rPr>
                <w:rFonts w:cs="Arial"/>
                <w:b/>
                <w:bCs/>
                <w:color w:val="333333"/>
                <w:sz w:val="18"/>
                <w:szCs w:val="18"/>
              </w:rPr>
              <w:t>Dívida Contratual</w:t>
            </w:r>
          </w:p>
        </w:tc>
        <w:tc>
          <w:tcPr>
            <w:tcW w:w="727" w:type="pct"/>
            <w:tcBorders>
              <w:top w:val="single" w:sz="8" w:space="0" w:color="000000"/>
              <w:left w:val="single" w:sz="4" w:space="0" w:color="EBEBEB"/>
              <w:right w:val="single" w:sz="8" w:space="0" w:color="000000"/>
            </w:tcBorders>
            <w:shd w:val="clear" w:color="FFFFFF" w:fill="FFFFFF"/>
            <w:noWrap/>
            <w:vAlign w:val="center"/>
            <w:hideMark/>
          </w:tcPr>
          <w:p w14:paraId="466871A0"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19.382.051.128</w:t>
            </w:r>
          </w:p>
        </w:tc>
        <w:tc>
          <w:tcPr>
            <w:tcW w:w="727" w:type="pct"/>
            <w:tcBorders>
              <w:top w:val="single" w:sz="8" w:space="0" w:color="000000"/>
              <w:left w:val="single" w:sz="4" w:space="0" w:color="EBEBEB"/>
              <w:right w:val="single" w:sz="8" w:space="0" w:color="000000"/>
            </w:tcBorders>
            <w:shd w:val="clear" w:color="FFFFFF" w:fill="FFFFFF"/>
            <w:noWrap/>
            <w:vAlign w:val="center"/>
            <w:hideMark/>
          </w:tcPr>
          <w:p w14:paraId="2FDBD73A"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21.428.165.617</w:t>
            </w:r>
          </w:p>
        </w:tc>
        <w:tc>
          <w:tcPr>
            <w:tcW w:w="727" w:type="pct"/>
            <w:tcBorders>
              <w:top w:val="single" w:sz="8" w:space="0" w:color="000000"/>
              <w:left w:val="single" w:sz="4" w:space="0" w:color="EBEBEB"/>
              <w:right w:val="single" w:sz="8" w:space="0" w:color="000000"/>
            </w:tcBorders>
            <w:shd w:val="clear" w:color="FFFFFF" w:fill="FFFFFF"/>
            <w:noWrap/>
            <w:vAlign w:val="center"/>
            <w:hideMark/>
          </w:tcPr>
          <w:p w14:paraId="1FDC8638"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21.758.100.961</w:t>
            </w:r>
          </w:p>
        </w:tc>
        <w:tc>
          <w:tcPr>
            <w:tcW w:w="727" w:type="pct"/>
            <w:tcBorders>
              <w:top w:val="single" w:sz="8" w:space="0" w:color="000000"/>
              <w:left w:val="single" w:sz="4" w:space="0" w:color="EBEBEB"/>
              <w:right w:val="single" w:sz="8" w:space="0" w:color="000000"/>
            </w:tcBorders>
            <w:shd w:val="clear" w:color="FFFFFF" w:fill="FFFFFF"/>
            <w:noWrap/>
            <w:vAlign w:val="center"/>
            <w:hideMark/>
          </w:tcPr>
          <w:p w14:paraId="6A15C405"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23.223.696.263</w:t>
            </w:r>
          </w:p>
        </w:tc>
        <w:tc>
          <w:tcPr>
            <w:tcW w:w="728" w:type="pct"/>
            <w:tcBorders>
              <w:top w:val="single" w:sz="8" w:space="0" w:color="000000"/>
              <w:left w:val="single" w:sz="4" w:space="0" w:color="EBEBEB"/>
            </w:tcBorders>
            <w:shd w:val="clear" w:color="FFFFFF" w:fill="FFFFFF"/>
            <w:noWrap/>
            <w:vAlign w:val="center"/>
            <w:hideMark/>
          </w:tcPr>
          <w:p w14:paraId="600DDE10"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24.624.243.722</w:t>
            </w:r>
          </w:p>
        </w:tc>
      </w:tr>
      <w:tr w:rsidR="0001349C" w:rsidRPr="006275E6" w14:paraId="036075B6" w14:textId="77777777" w:rsidTr="00B733AE">
        <w:trPr>
          <w:trHeight w:val="284"/>
        </w:trPr>
        <w:tc>
          <w:tcPr>
            <w:tcW w:w="1364" w:type="pct"/>
            <w:tcBorders>
              <w:right w:val="single" w:sz="8" w:space="0" w:color="000000"/>
            </w:tcBorders>
            <w:shd w:val="clear" w:color="FFFFFF" w:fill="FFFFFF"/>
            <w:noWrap/>
            <w:vAlign w:val="center"/>
            <w:hideMark/>
          </w:tcPr>
          <w:p w14:paraId="0014A3D7" w14:textId="77777777" w:rsidR="00E927D2" w:rsidRPr="006275E6" w:rsidRDefault="00E927D2" w:rsidP="002F01F5">
            <w:pPr>
              <w:ind w:firstLine="212"/>
              <w:rPr>
                <w:rFonts w:cs="Arial"/>
                <w:color w:val="333333"/>
                <w:sz w:val="18"/>
                <w:szCs w:val="18"/>
              </w:rPr>
            </w:pPr>
            <w:r w:rsidRPr="006275E6">
              <w:rPr>
                <w:rFonts w:cs="Arial"/>
                <w:color w:val="333333"/>
                <w:sz w:val="18"/>
                <w:szCs w:val="18"/>
              </w:rPr>
              <w:t>Empréstimos</w:t>
            </w:r>
          </w:p>
        </w:tc>
        <w:tc>
          <w:tcPr>
            <w:tcW w:w="727" w:type="pct"/>
            <w:tcBorders>
              <w:left w:val="single" w:sz="4" w:space="0" w:color="EBEBEB"/>
              <w:right w:val="single" w:sz="8" w:space="0" w:color="000000"/>
            </w:tcBorders>
            <w:shd w:val="clear" w:color="FFFFFF" w:fill="FFFFFF"/>
            <w:noWrap/>
            <w:vAlign w:val="center"/>
            <w:hideMark/>
          </w:tcPr>
          <w:p w14:paraId="32DE1C4A"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10.013.682.487</w:t>
            </w:r>
          </w:p>
        </w:tc>
        <w:tc>
          <w:tcPr>
            <w:tcW w:w="727" w:type="pct"/>
            <w:tcBorders>
              <w:left w:val="single" w:sz="4" w:space="0" w:color="EBEBEB"/>
              <w:right w:val="single" w:sz="8" w:space="0" w:color="000000"/>
            </w:tcBorders>
            <w:shd w:val="clear" w:color="FFFFFF" w:fill="FFFFFF"/>
            <w:noWrap/>
            <w:vAlign w:val="center"/>
            <w:hideMark/>
          </w:tcPr>
          <w:p w14:paraId="0DF00AAB"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11.247.430.738</w:t>
            </w:r>
          </w:p>
        </w:tc>
        <w:tc>
          <w:tcPr>
            <w:tcW w:w="727" w:type="pct"/>
            <w:tcBorders>
              <w:left w:val="single" w:sz="4" w:space="0" w:color="EBEBEB"/>
              <w:right w:val="single" w:sz="8" w:space="0" w:color="000000"/>
            </w:tcBorders>
            <w:shd w:val="clear" w:color="FFFFFF" w:fill="FFFFFF"/>
            <w:noWrap/>
            <w:vAlign w:val="center"/>
            <w:hideMark/>
          </w:tcPr>
          <w:p w14:paraId="4CD603AF"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9.266.019.798</w:t>
            </w:r>
          </w:p>
        </w:tc>
        <w:tc>
          <w:tcPr>
            <w:tcW w:w="727" w:type="pct"/>
            <w:tcBorders>
              <w:left w:val="single" w:sz="4" w:space="0" w:color="EBEBEB"/>
              <w:right w:val="single" w:sz="8" w:space="0" w:color="000000"/>
            </w:tcBorders>
            <w:shd w:val="clear" w:color="auto" w:fill="auto"/>
            <w:noWrap/>
            <w:vAlign w:val="center"/>
            <w:hideMark/>
          </w:tcPr>
          <w:p w14:paraId="495827F1"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8.331.728.909</w:t>
            </w:r>
          </w:p>
        </w:tc>
        <w:tc>
          <w:tcPr>
            <w:tcW w:w="728" w:type="pct"/>
            <w:tcBorders>
              <w:left w:val="single" w:sz="4" w:space="0" w:color="EBEBEB"/>
            </w:tcBorders>
            <w:shd w:val="clear" w:color="FFFFFF" w:fill="FFFFFF"/>
            <w:noWrap/>
            <w:vAlign w:val="center"/>
            <w:hideMark/>
          </w:tcPr>
          <w:p w14:paraId="56011A72"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7.570.873.751</w:t>
            </w:r>
          </w:p>
        </w:tc>
      </w:tr>
      <w:tr w:rsidR="0001349C" w:rsidRPr="006275E6" w14:paraId="74129EBE" w14:textId="77777777" w:rsidTr="00B733AE">
        <w:trPr>
          <w:trHeight w:val="284"/>
        </w:trPr>
        <w:tc>
          <w:tcPr>
            <w:tcW w:w="1364" w:type="pct"/>
            <w:tcBorders>
              <w:right w:val="single" w:sz="8" w:space="0" w:color="000000"/>
            </w:tcBorders>
            <w:shd w:val="clear" w:color="FFFFFF" w:fill="FFFFFF"/>
            <w:noWrap/>
            <w:vAlign w:val="center"/>
            <w:hideMark/>
          </w:tcPr>
          <w:p w14:paraId="269088FB" w14:textId="77777777" w:rsidR="00E927D2" w:rsidRPr="006275E6" w:rsidRDefault="00E927D2" w:rsidP="002F01F5">
            <w:pPr>
              <w:ind w:firstLine="495"/>
              <w:rPr>
                <w:rFonts w:cs="Arial"/>
                <w:color w:val="333333"/>
                <w:sz w:val="18"/>
                <w:szCs w:val="18"/>
              </w:rPr>
            </w:pPr>
            <w:r w:rsidRPr="006275E6">
              <w:rPr>
                <w:rFonts w:cs="Arial"/>
                <w:color w:val="333333"/>
                <w:sz w:val="18"/>
                <w:szCs w:val="18"/>
              </w:rPr>
              <w:t>Internos</w:t>
            </w:r>
          </w:p>
        </w:tc>
        <w:tc>
          <w:tcPr>
            <w:tcW w:w="727" w:type="pct"/>
            <w:tcBorders>
              <w:left w:val="single" w:sz="4" w:space="0" w:color="EBEBEB"/>
              <w:right w:val="single" w:sz="8" w:space="0" w:color="000000"/>
            </w:tcBorders>
            <w:shd w:val="clear" w:color="FFFFFF" w:fill="FFFFFF"/>
            <w:noWrap/>
            <w:vAlign w:val="center"/>
            <w:hideMark/>
          </w:tcPr>
          <w:p w14:paraId="11E3D210"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9.973.208.239</w:t>
            </w:r>
          </w:p>
        </w:tc>
        <w:tc>
          <w:tcPr>
            <w:tcW w:w="727" w:type="pct"/>
            <w:tcBorders>
              <w:left w:val="single" w:sz="4" w:space="0" w:color="EBEBEB"/>
              <w:right w:val="single" w:sz="8" w:space="0" w:color="000000"/>
            </w:tcBorders>
            <w:shd w:val="clear" w:color="FFFFFF" w:fill="FFFFFF"/>
            <w:noWrap/>
            <w:vAlign w:val="center"/>
            <w:hideMark/>
          </w:tcPr>
          <w:p w14:paraId="6BFE7139"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11.199.113.489</w:t>
            </w:r>
          </w:p>
        </w:tc>
        <w:tc>
          <w:tcPr>
            <w:tcW w:w="727" w:type="pct"/>
            <w:tcBorders>
              <w:left w:val="single" w:sz="4" w:space="0" w:color="EBEBEB"/>
              <w:right w:val="single" w:sz="8" w:space="0" w:color="000000"/>
            </w:tcBorders>
            <w:shd w:val="clear" w:color="FFFFFF" w:fill="FFFFFF"/>
            <w:noWrap/>
            <w:vAlign w:val="center"/>
            <w:hideMark/>
          </w:tcPr>
          <w:p w14:paraId="1B4A8781"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9.218.284.956</w:t>
            </w:r>
          </w:p>
        </w:tc>
        <w:tc>
          <w:tcPr>
            <w:tcW w:w="727" w:type="pct"/>
            <w:tcBorders>
              <w:left w:val="single" w:sz="4" w:space="0" w:color="EBEBEB"/>
              <w:right w:val="single" w:sz="8" w:space="0" w:color="000000"/>
            </w:tcBorders>
            <w:shd w:val="clear" w:color="FFFFFF" w:fill="FFFFFF"/>
            <w:noWrap/>
            <w:vAlign w:val="center"/>
            <w:hideMark/>
          </w:tcPr>
          <w:p w14:paraId="153D13A4"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5.837.774.483</w:t>
            </w:r>
          </w:p>
        </w:tc>
        <w:tc>
          <w:tcPr>
            <w:tcW w:w="728" w:type="pct"/>
            <w:tcBorders>
              <w:left w:val="single" w:sz="4" w:space="0" w:color="EBEBEB"/>
            </w:tcBorders>
            <w:shd w:val="clear" w:color="FFFFFF" w:fill="FFFFFF"/>
            <w:noWrap/>
            <w:vAlign w:val="center"/>
            <w:hideMark/>
          </w:tcPr>
          <w:p w14:paraId="632741C2"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5.260.431.894</w:t>
            </w:r>
          </w:p>
        </w:tc>
      </w:tr>
      <w:tr w:rsidR="0001349C" w:rsidRPr="006275E6" w14:paraId="14D8A010" w14:textId="77777777" w:rsidTr="00B733AE">
        <w:trPr>
          <w:trHeight w:val="284"/>
        </w:trPr>
        <w:tc>
          <w:tcPr>
            <w:tcW w:w="1364" w:type="pct"/>
            <w:tcBorders>
              <w:right w:val="single" w:sz="8" w:space="0" w:color="000000"/>
            </w:tcBorders>
            <w:shd w:val="clear" w:color="FFFFFF" w:fill="FFFFFF"/>
            <w:noWrap/>
            <w:vAlign w:val="center"/>
            <w:hideMark/>
          </w:tcPr>
          <w:p w14:paraId="0960D51D" w14:textId="77777777" w:rsidR="00E927D2" w:rsidRPr="006275E6" w:rsidRDefault="00E927D2" w:rsidP="002F01F5">
            <w:pPr>
              <w:ind w:firstLine="495"/>
              <w:rPr>
                <w:rFonts w:cs="Arial"/>
                <w:color w:val="333333"/>
                <w:sz w:val="18"/>
                <w:szCs w:val="18"/>
              </w:rPr>
            </w:pPr>
            <w:r w:rsidRPr="006275E6">
              <w:rPr>
                <w:rFonts w:cs="Arial"/>
                <w:color w:val="333333"/>
                <w:sz w:val="18"/>
                <w:szCs w:val="18"/>
              </w:rPr>
              <w:t>Externos</w:t>
            </w:r>
          </w:p>
        </w:tc>
        <w:tc>
          <w:tcPr>
            <w:tcW w:w="727" w:type="pct"/>
            <w:tcBorders>
              <w:left w:val="single" w:sz="4" w:space="0" w:color="EBEBEB"/>
              <w:right w:val="single" w:sz="8" w:space="0" w:color="000000"/>
            </w:tcBorders>
            <w:shd w:val="clear" w:color="FFFFFF" w:fill="FFFFFF"/>
            <w:noWrap/>
            <w:vAlign w:val="center"/>
            <w:hideMark/>
          </w:tcPr>
          <w:p w14:paraId="62DC7733"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40.474.248</w:t>
            </w:r>
          </w:p>
        </w:tc>
        <w:tc>
          <w:tcPr>
            <w:tcW w:w="727" w:type="pct"/>
            <w:tcBorders>
              <w:left w:val="single" w:sz="4" w:space="0" w:color="EBEBEB"/>
              <w:right w:val="single" w:sz="8" w:space="0" w:color="000000"/>
            </w:tcBorders>
            <w:shd w:val="clear" w:color="FFFFFF" w:fill="FFFFFF"/>
            <w:noWrap/>
            <w:vAlign w:val="center"/>
            <w:hideMark/>
          </w:tcPr>
          <w:p w14:paraId="3ED5CC2C"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48.317.249</w:t>
            </w:r>
          </w:p>
        </w:tc>
        <w:tc>
          <w:tcPr>
            <w:tcW w:w="727" w:type="pct"/>
            <w:tcBorders>
              <w:left w:val="single" w:sz="4" w:space="0" w:color="EBEBEB"/>
              <w:right w:val="single" w:sz="8" w:space="0" w:color="000000"/>
            </w:tcBorders>
            <w:shd w:val="clear" w:color="FFFFFF" w:fill="FFFFFF"/>
            <w:noWrap/>
            <w:vAlign w:val="center"/>
            <w:hideMark/>
          </w:tcPr>
          <w:p w14:paraId="2B069C5C"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47.734.842</w:t>
            </w:r>
          </w:p>
        </w:tc>
        <w:tc>
          <w:tcPr>
            <w:tcW w:w="727" w:type="pct"/>
            <w:tcBorders>
              <w:left w:val="single" w:sz="4" w:space="0" w:color="EBEBEB"/>
              <w:right w:val="single" w:sz="8" w:space="0" w:color="000000"/>
            </w:tcBorders>
            <w:shd w:val="clear" w:color="FFFFFF" w:fill="FFFFFF"/>
            <w:noWrap/>
            <w:vAlign w:val="center"/>
            <w:hideMark/>
          </w:tcPr>
          <w:p w14:paraId="37A9503C"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2.493.954.426</w:t>
            </w:r>
          </w:p>
        </w:tc>
        <w:tc>
          <w:tcPr>
            <w:tcW w:w="728" w:type="pct"/>
            <w:tcBorders>
              <w:left w:val="single" w:sz="4" w:space="0" w:color="EBEBEB"/>
            </w:tcBorders>
            <w:shd w:val="clear" w:color="FFFFFF" w:fill="FFFFFF"/>
            <w:noWrap/>
            <w:vAlign w:val="center"/>
            <w:hideMark/>
          </w:tcPr>
          <w:p w14:paraId="7577ED54"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2.310.441.857</w:t>
            </w:r>
          </w:p>
        </w:tc>
      </w:tr>
      <w:tr w:rsidR="0001349C" w:rsidRPr="006275E6" w14:paraId="704DB2E1" w14:textId="77777777" w:rsidTr="00B733AE">
        <w:trPr>
          <w:trHeight w:val="284"/>
        </w:trPr>
        <w:tc>
          <w:tcPr>
            <w:tcW w:w="1364" w:type="pct"/>
            <w:tcBorders>
              <w:right w:val="single" w:sz="8" w:space="0" w:color="000000"/>
            </w:tcBorders>
            <w:shd w:val="clear" w:color="FFFFFF" w:fill="FFFFFF"/>
            <w:noWrap/>
            <w:vAlign w:val="center"/>
            <w:hideMark/>
          </w:tcPr>
          <w:p w14:paraId="558132B2" w14:textId="77777777" w:rsidR="00E927D2" w:rsidRPr="006275E6" w:rsidRDefault="00E927D2" w:rsidP="002F01F5">
            <w:pPr>
              <w:ind w:left="212"/>
              <w:rPr>
                <w:rFonts w:cs="Arial"/>
                <w:color w:val="333333"/>
                <w:sz w:val="18"/>
                <w:szCs w:val="18"/>
              </w:rPr>
            </w:pPr>
            <w:r w:rsidRPr="006275E6">
              <w:rPr>
                <w:rFonts w:cs="Arial"/>
                <w:color w:val="333333"/>
                <w:sz w:val="18"/>
                <w:szCs w:val="18"/>
              </w:rPr>
              <w:t>Reestruturação da Dívida de Estados e Municípios</w:t>
            </w:r>
          </w:p>
        </w:tc>
        <w:tc>
          <w:tcPr>
            <w:tcW w:w="727" w:type="pct"/>
            <w:tcBorders>
              <w:left w:val="single" w:sz="4" w:space="0" w:color="EBEBEB"/>
              <w:right w:val="single" w:sz="8" w:space="0" w:color="000000"/>
            </w:tcBorders>
            <w:shd w:val="clear" w:color="FFFFFF" w:fill="FFFFFF"/>
            <w:noWrap/>
            <w:vAlign w:val="center"/>
            <w:hideMark/>
          </w:tcPr>
          <w:p w14:paraId="5882A8EF"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9.187.533.550</w:t>
            </w:r>
          </w:p>
        </w:tc>
        <w:tc>
          <w:tcPr>
            <w:tcW w:w="727" w:type="pct"/>
            <w:tcBorders>
              <w:left w:val="single" w:sz="4" w:space="0" w:color="EBEBEB"/>
              <w:right w:val="single" w:sz="8" w:space="0" w:color="000000"/>
            </w:tcBorders>
            <w:shd w:val="clear" w:color="FFFFFF" w:fill="FFFFFF"/>
            <w:noWrap/>
            <w:vAlign w:val="center"/>
            <w:hideMark/>
          </w:tcPr>
          <w:p w14:paraId="2797C399"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10.013.431.299</w:t>
            </w:r>
          </w:p>
        </w:tc>
        <w:tc>
          <w:tcPr>
            <w:tcW w:w="727" w:type="pct"/>
            <w:tcBorders>
              <w:left w:val="single" w:sz="4" w:space="0" w:color="EBEBEB"/>
              <w:right w:val="single" w:sz="8" w:space="0" w:color="000000"/>
            </w:tcBorders>
            <w:shd w:val="clear" w:color="FFFFFF" w:fill="FFFFFF"/>
            <w:noWrap/>
            <w:vAlign w:val="center"/>
            <w:hideMark/>
          </w:tcPr>
          <w:p w14:paraId="04379835"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12.318.264.173</w:t>
            </w:r>
          </w:p>
        </w:tc>
        <w:tc>
          <w:tcPr>
            <w:tcW w:w="727" w:type="pct"/>
            <w:tcBorders>
              <w:left w:val="single" w:sz="4" w:space="0" w:color="EBEBEB"/>
              <w:right w:val="single" w:sz="8" w:space="0" w:color="000000"/>
            </w:tcBorders>
            <w:shd w:val="clear" w:color="auto" w:fill="auto"/>
            <w:noWrap/>
            <w:vAlign w:val="center"/>
            <w:hideMark/>
          </w:tcPr>
          <w:p w14:paraId="63D6D1A3"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14.727.740.208</w:t>
            </w:r>
          </w:p>
        </w:tc>
        <w:tc>
          <w:tcPr>
            <w:tcW w:w="728" w:type="pct"/>
            <w:tcBorders>
              <w:left w:val="single" w:sz="4" w:space="0" w:color="EBEBEB"/>
            </w:tcBorders>
            <w:shd w:val="clear" w:color="FFFFFF" w:fill="FFFFFF"/>
            <w:noWrap/>
            <w:vAlign w:val="center"/>
            <w:hideMark/>
          </w:tcPr>
          <w:p w14:paraId="433556BF"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16.896.058.835</w:t>
            </w:r>
          </w:p>
        </w:tc>
      </w:tr>
      <w:tr w:rsidR="0001349C" w:rsidRPr="006275E6" w14:paraId="77EEC4FD" w14:textId="77777777" w:rsidTr="00B733AE">
        <w:trPr>
          <w:trHeight w:val="284"/>
        </w:trPr>
        <w:tc>
          <w:tcPr>
            <w:tcW w:w="1364" w:type="pct"/>
            <w:tcBorders>
              <w:right w:val="single" w:sz="8" w:space="0" w:color="000000"/>
            </w:tcBorders>
            <w:shd w:val="clear" w:color="FFFFFF" w:fill="FFFFFF"/>
            <w:noWrap/>
            <w:vAlign w:val="center"/>
            <w:hideMark/>
          </w:tcPr>
          <w:p w14:paraId="6FD4453E" w14:textId="77777777" w:rsidR="00E927D2" w:rsidRPr="006275E6" w:rsidRDefault="00E927D2" w:rsidP="002F01F5">
            <w:pPr>
              <w:ind w:left="212"/>
              <w:rPr>
                <w:rFonts w:cs="Arial"/>
                <w:color w:val="333333"/>
                <w:sz w:val="18"/>
                <w:szCs w:val="18"/>
              </w:rPr>
            </w:pPr>
            <w:r w:rsidRPr="006275E6">
              <w:rPr>
                <w:rFonts w:cs="Arial"/>
                <w:color w:val="333333"/>
                <w:sz w:val="18"/>
                <w:szCs w:val="18"/>
              </w:rPr>
              <w:t>Parcelamento e Renegociação de Dívidas</w:t>
            </w:r>
          </w:p>
        </w:tc>
        <w:tc>
          <w:tcPr>
            <w:tcW w:w="727" w:type="pct"/>
            <w:tcBorders>
              <w:left w:val="single" w:sz="4" w:space="0" w:color="EBEBEB"/>
              <w:right w:val="single" w:sz="8" w:space="0" w:color="000000"/>
            </w:tcBorders>
            <w:shd w:val="clear" w:color="FFFFFF" w:fill="FFFFFF"/>
            <w:noWrap/>
            <w:vAlign w:val="center"/>
            <w:hideMark/>
          </w:tcPr>
          <w:p w14:paraId="3D713DC1"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180.835.091</w:t>
            </w:r>
          </w:p>
        </w:tc>
        <w:tc>
          <w:tcPr>
            <w:tcW w:w="727" w:type="pct"/>
            <w:tcBorders>
              <w:left w:val="single" w:sz="4" w:space="0" w:color="EBEBEB"/>
              <w:right w:val="single" w:sz="8" w:space="0" w:color="000000"/>
            </w:tcBorders>
            <w:shd w:val="clear" w:color="FFFFFF" w:fill="FFFFFF"/>
            <w:noWrap/>
            <w:vAlign w:val="center"/>
            <w:hideMark/>
          </w:tcPr>
          <w:p w14:paraId="3C5AF40C"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167.303.579</w:t>
            </w:r>
          </w:p>
        </w:tc>
        <w:tc>
          <w:tcPr>
            <w:tcW w:w="727" w:type="pct"/>
            <w:tcBorders>
              <w:left w:val="single" w:sz="4" w:space="0" w:color="EBEBEB"/>
              <w:right w:val="single" w:sz="8" w:space="0" w:color="000000"/>
            </w:tcBorders>
            <w:shd w:val="clear" w:color="FFFFFF" w:fill="FFFFFF"/>
            <w:noWrap/>
            <w:vAlign w:val="center"/>
            <w:hideMark/>
          </w:tcPr>
          <w:p w14:paraId="08514F86"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167.796.100</w:t>
            </w:r>
          </w:p>
        </w:tc>
        <w:tc>
          <w:tcPr>
            <w:tcW w:w="727" w:type="pct"/>
            <w:tcBorders>
              <w:left w:val="single" w:sz="4" w:space="0" w:color="EBEBEB"/>
              <w:right w:val="single" w:sz="8" w:space="0" w:color="000000"/>
            </w:tcBorders>
            <w:shd w:val="clear" w:color="auto" w:fill="auto"/>
            <w:noWrap/>
            <w:vAlign w:val="center"/>
            <w:hideMark/>
          </w:tcPr>
          <w:p w14:paraId="32646F05"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158.206.255</w:t>
            </w:r>
          </w:p>
        </w:tc>
        <w:tc>
          <w:tcPr>
            <w:tcW w:w="728" w:type="pct"/>
            <w:tcBorders>
              <w:left w:val="single" w:sz="4" w:space="0" w:color="EBEBEB"/>
            </w:tcBorders>
            <w:shd w:val="clear" w:color="FFFFFF" w:fill="FFFFFF"/>
            <w:noWrap/>
            <w:vAlign w:val="center"/>
            <w:hideMark/>
          </w:tcPr>
          <w:p w14:paraId="5203D427"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151.290.245</w:t>
            </w:r>
          </w:p>
        </w:tc>
      </w:tr>
      <w:tr w:rsidR="0001349C" w:rsidRPr="006275E6" w14:paraId="62BB5801" w14:textId="77777777" w:rsidTr="00B733AE">
        <w:trPr>
          <w:trHeight w:val="284"/>
        </w:trPr>
        <w:tc>
          <w:tcPr>
            <w:tcW w:w="1364" w:type="pct"/>
            <w:tcBorders>
              <w:right w:val="single" w:sz="8" w:space="0" w:color="000000"/>
            </w:tcBorders>
            <w:shd w:val="clear" w:color="FFFFFF" w:fill="FFFFFF"/>
            <w:noWrap/>
            <w:vAlign w:val="center"/>
            <w:hideMark/>
          </w:tcPr>
          <w:p w14:paraId="1E082289" w14:textId="77777777" w:rsidR="00E927D2" w:rsidRPr="003671D8" w:rsidRDefault="00E927D2" w:rsidP="002F01F5">
            <w:pPr>
              <w:ind w:left="495"/>
              <w:rPr>
                <w:rFonts w:cs="Arial"/>
                <w:color w:val="333333"/>
                <w:sz w:val="18"/>
                <w:szCs w:val="18"/>
              </w:rPr>
            </w:pPr>
            <w:r w:rsidRPr="003671D8">
              <w:rPr>
                <w:rFonts w:cs="Arial"/>
                <w:color w:val="333333"/>
                <w:sz w:val="18"/>
                <w:szCs w:val="18"/>
              </w:rPr>
              <w:t>De Tributos</w:t>
            </w:r>
          </w:p>
        </w:tc>
        <w:tc>
          <w:tcPr>
            <w:tcW w:w="727" w:type="pct"/>
            <w:tcBorders>
              <w:left w:val="single" w:sz="4" w:space="0" w:color="EBEBEB"/>
              <w:right w:val="single" w:sz="8" w:space="0" w:color="000000"/>
            </w:tcBorders>
            <w:shd w:val="clear" w:color="FFFFFF" w:fill="FFFFFF"/>
            <w:noWrap/>
            <w:vAlign w:val="center"/>
            <w:hideMark/>
          </w:tcPr>
          <w:p w14:paraId="3921A8BA"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7.532.033</w:t>
            </w:r>
          </w:p>
        </w:tc>
        <w:tc>
          <w:tcPr>
            <w:tcW w:w="727" w:type="pct"/>
            <w:tcBorders>
              <w:left w:val="single" w:sz="4" w:space="0" w:color="EBEBEB"/>
              <w:right w:val="single" w:sz="8" w:space="0" w:color="000000"/>
            </w:tcBorders>
            <w:shd w:val="clear" w:color="FFFFFF" w:fill="FFFFFF"/>
            <w:noWrap/>
            <w:vAlign w:val="center"/>
            <w:hideMark/>
          </w:tcPr>
          <w:p w14:paraId="5B52C1EF"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5.827.147</w:t>
            </w:r>
          </w:p>
        </w:tc>
        <w:tc>
          <w:tcPr>
            <w:tcW w:w="727" w:type="pct"/>
            <w:tcBorders>
              <w:left w:val="single" w:sz="4" w:space="0" w:color="EBEBEB"/>
              <w:right w:val="single" w:sz="8" w:space="0" w:color="000000"/>
            </w:tcBorders>
            <w:shd w:val="clear" w:color="FFFFFF" w:fill="FFFFFF"/>
            <w:noWrap/>
            <w:vAlign w:val="center"/>
            <w:hideMark/>
          </w:tcPr>
          <w:p w14:paraId="10E6C9EA"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4.053.917</w:t>
            </w:r>
          </w:p>
        </w:tc>
        <w:tc>
          <w:tcPr>
            <w:tcW w:w="727" w:type="pct"/>
            <w:tcBorders>
              <w:left w:val="single" w:sz="4" w:space="0" w:color="EBEBEB"/>
              <w:right w:val="single" w:sz="8" w:space="0" w:color="000000"/>
            </w:tcBorders>
            <w:shd w:val="clear" w:color="FFFFFF" w:fill="FFFFFF"/>
            <w:noWrap/>
            <w:vAlign w:val="center"/>
            <w:hideMark/>
          </w:tcPr>
          <w:p w14:paraId="00DCD28E"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21.971</w:t>
            </w:r>
          </w:p>
        </w:tc>
        <w:tc>
          <w:tcPr>
            <w:tcW w:w="728" w:type="pct"/>
            <w:tcBorders>
              <w:left w:val="single" w:sz="4" w:space="0" w:color="EBEBEB"/>
            </w:tcBorders>
            <w:shd w:val="clear" w:color="FFFFFF" w:fill="FFFFFF"/>
            <w:noWrap/>
            <w:vAlign w:val="center"/>
            <w:hideMark/>
          </w:tcPr>
          <w:p w14:paraId="32863C12"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w:t>
            </w:r>
          </w:p>
        </w:tc>
      </w:tr>
      <w:tr w:rsidR="0001349C" w:rsidRPr="006275E6" w14:paraId="76EA54E8" w14:textId="77777777" w:rsidTr="00B733AE">
        <w:trPr>
          <w:trHeight w:val="284"/>
        </w:trPr>
        <w:tc>
          <w:tcPr>
            <w:tcW w:w="1364" w:type="pct"/>
            <w:tcBorders>
              <w:right w:val="single" w:sz="8" w:space="0" w:color="000000"/>
            </w:tcBorders>
            <w:shd w:val="clear" w:color="FFFFFF" w:fill="FFFFFF"/>
            <w:noWrap/>
            <w:vAlign w:val="center"/>
            <w:hideMark/>
          </w:tcPr>
          <w:p w14:paraId="482BFF0F" w14:textId="77777777" w:rsidR="00E927D2" w:rsidRPr="003671D8" w:rsidRDefault="00E927D2" w:rsidP="002F01F5">
            <w:pPr>
              <w:ind w:left="495"/>
              <w:rPr>
                <w:rFonts w:cs="Arial"/>
                <w:color w:val="333333"/>
                <w:sz w:val="18"/>
                <w:szCs w:val="18"/>
              </w:rPr>
            </w:pPr>
            <w:r w:rsidRPr="003671D8">
              <w:rPr>
                <w:rFonts w:cs="Arial"/>
                <w:color w:val="333333"/>
                <w:sz w:val="18"/>
                <w:szCs w:val="18"/>
              </w:rPr>
              <w:t>De Contribuições Previdenciárias</w:t>
            </w:r>
          </w:p>
        </w:tc>
        <w:tc>
          <w:tcPr>
            <w:tcW w:w="727" w:type="pct"/>
            <w:tcBorders>
              <w:left w:val="single" w:sz="4" w:space="0" w:color="EBEBEB"/>
              <w:right w:val="single" w:sz="8" w:space="0" w:color="000000"/>
            </w:tcBorders>
            <w:shd w:val="clear" w:color="FFFFFF" w:fill="FFFFFF"/>
            <w:noWrap/>
            <w:vAlign w:val="center"/>
            <w:hideMark/>
          </w:tcPr>
          <w:p w14:paraId="5AE4B8C4"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1.836.803</w:t>
            </w:r>
          </w:p>
        </w:tc>
        <w:tc>
          <w:tcPr>
            <w:tcW w:w="727" w:type="pct"/>
            <w:tcBorders>
              <w:left w:val="single" w:sz="4" w:space="0" w:color="EBEBEB"/>
              <w:right w:val="single" w:sz="8" w:space="0" w:color="000000"/>
            </w:tcBorders>
            <w:shd w:val="clear" w:color="FFFFFF" w:fill="FFFFFF"/>
            <w:noWrap/>
            <w:vAlign w:val="center"/>
            <w:hideMark/>
          </w:tcPr>
          <w:p w14:paraId="13911AA3"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w:t>
            </w:r>
          </w:p>
        </w:tc>
        <w:tc>
          <w:tcPr>
            <w:tcW w:w="727" w:type="pct"/>
            <w:tcBorders>
              <w:left w:val="single" w:sz="4" w:space="0" w:color="EBEBEB"/>
              <w:right w:val="single" w:sz="8" w:space="0" w:color="000000"/>
            </w:tcBorders>
            <w:shd w:val="clear" w:color="FFFFFF" w:fill="FFFFFF"/>
            <w:noWrap/>
            <w:vAlign w:val="center"/>
            <w:hideMark/>
          </w:tcPr>
          <w:p w14:paraId="40B7941D"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6.024.758</w:t>
            </w:r>
          </w:p>
        </w:tc>
        <w:tc>
          <w:tcPr>
            <w:tcW w:w="727" w:type="pct"/>
            <w:tcBorders>
              <w:left w:val="single" w:sz="4" w:space="0" w:color="EBEBEB"/>
              <w:right w:val="single" w:sz="8" w:space="0" w:color="000000"/>
            </w:tcBorders>
            <w:shd w:val="clear" w:color="FFFFFF" w:fill="FFFFFF"/>
            <w:noWrap/>
            <w:vAlign w:val="center"/>
            <w:hideMark/>
          </w:tcPr>
          <w:p w14:paraId="5DB9FF84"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4.229.577</w:t>
            </w:r>
          </w:p>
        </w:tc>
        <w:tc>
          <w:tcPr>
            <w:tcW w:w="728" w:type="pct"/>
            <w:tcBorders>
              <w:left w:val="single" w:sz="4" w:space="0" w:color="EBEBEB"/>
            </w:tcBorders>
            <w:shd w:val="clear" w:color="FFFFFF" w:fill="FFFFFF"/>
            <w:noWrap/>
            <w:vAlign w:val="center"/>
            <w:hideMark/>
          </w:tcPr>
          <w:p w14:paraId="438C42C5"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2.580.590</w:t>
            </w:r>
          </w:p>
        </w:tc>
      </w:tr>
      <w:tr w:rsidR="0001349C" w:rsidRPr="006275E6" w14:paraId="41E0995D" w14:textId="77777777" w:rsidTr="00B733AE">
        <w:trPr>
          <w:trHeight w:val="284"/>
        </w:trPr>
        <w:tc>
          <w:tcPr>
            <w:tcW w:w="1364" w:type="pct"/>
            <w:tcBorders>
              <w:right w:val="single" w:sz="8" w:space="0" w:color="000000"/>
            </w:tcBorders>
            <w:shd w:val="clear" w:color="FFFFFF" w:fill="FFFFFF"/>
            <w:noWrap/>
            <w:vAlign w:val="center"/>
            <w:hideMark/>
          </w:tcPr>
          <w:p w14:paraId="16C84437" w14:textId="77777777" w:rsidR="00E927D2" w:rsidRPr="003671D8" w:rsidRDefault="00E927D2" w:rsidP="002F01F5">
            <w:pPr>
              <w:ind w:left="495"/>
              <w:rPr>
                <w:rFonts w:cs="Arial"/>
                <w:color w:val="333333"/>
                <w:sz w:val="18"/>
                <w:szCs w:val="18"/>
              </w:rPr>
            </w:pPr>
            <w:r w:rsidRPr="003671D8">
              <w:rPr>
                <w:rFonts w:cs="Arial"/>
                <w:color w:val="333333"/>
                <w:sz w:val="18"/>
                <w:szCs w:val="18"/>
              </w:rPr>
              <w:t>De Demais Contribuições Sociais</w:t>
            </w:r>
          </w:p>
        </w:tc>
        <w:tc>
          <w:tcPr>
            <w:tcW w:w="727" w:type="pct"/>
            <w:tcBorders>
              <w:left w:val="single" w:sz="4" w:space="0" w:color="EBEBEB"/>
              <w:right w:val="single" w:sz="8" w:space="0" w:color="000000"/>
            </w:tcBorders>
            <w:shd w:val="clear" w:color="FFFFFF" w:fill="FFFFFF"/>
            <w:noWrap/>
            <w:vAlign w:val="center"/>
            <w:hideMark/>
          </w:tcPr>
          <w:p w14:paraId="1BEDB63E"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171.466.255</w:t>
            </w:r>
          </w:p>
        </w:tc>
        <w:tc>
          <w:tcPr>
            <w:tcW w:w="727" w:type="pct"/>
            <w:tcBorders>
              <w:left w:val="single" w:sz="4" w:space="0" w:color="EBEBEB"/>
              <w:right w:val="single" w:sz="8" w:space="0" w:color="000000"/>
            </w:tcBorders>
            <w:shd w:val="clear" w:color="FFFFFF" w:fill="FFFFFF"/>
            <w:noWrap/>
            <w:vAlign w:val="center"/>
            <w:hideMark/>
          </w:tcPr>
          <w:p w14:paraId="09752E36"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161.476.432</w:t>
            </w:r>
          </w:p>
        </w:tc>
        <w:tc>
          <w:tcPr>
            <w:tcW w:w="727" w:type="pct"/>
            <w:tcBorders>
              <w:left w:val="single" w:sz="4" w:space="0" w:color="EBEBEB"/>
              <w:right w:val="single" w:sz="8" w:space="0" w:color="000000"/>
            </w:tcBorders>
            <w:shd w:val="clear" w:color="FFFFFF" w:fill="FFFFFF"/>
            <w:noWrap/>
            <w:vAlign w:val="center"/>
            <w:hideMark/>
          </w:tcPr>
          <w:p w14:paraId="6F7A7E3E"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156.028.248</w:t>
            </w:r>
          </w:p>
        </w:tc>
        <w:tc>
          <w:tcPr>
            <w:tcW w:w="727" w:type="pct"/>
            <w:tcBorders>
              <w:left w:val="single" w:sz="4" w:space="0" w:color="EBEBEB"/>
              <w:right w:val="single" w:sz="8" w:space="0" w:color="000000"/>
            </w:tcBorders>
            <w:shd w:val="clear" w:color="FFFFFF" w:fill="FFFFFF"/>
            <w:noWrap/>
            <w:vAlign w:val="center"/>
            <w:hideMark/>
          </w:tcPr>
          <w:p w14:paraId="494A0C4E"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153.535.201</w:t>
            </w:r>
          </w:p>
        </w:tc>
        <w:tc>
          <w:tcPr>
            <w:tcW w:w="728" w:type="pct"/>
            <w:tcBorders>
              <w:left w:val="single" w:sz="4" w:space="0" w:color="EBEBEB"/>
            </w:tcBorders>
            <w:shd w:val="clear" w:color="FFFFFF" w:fill="FFFFFF"/>
            <w:noWrap/>
            <w:vAlign w:val="center"/>
            <w:hideMark/>
          </w:tcPr>
          <w:p w14:paraId="38C6E8E0"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148.566.541</w:t>
            </w:r>
          </w:p>
        </w:tc>
      </w:tr>
      <w:tr w:rsidR="0001349C" w:rsidRPr="006275E6" w14:paraId="5B0CCF72" w14:textId="77777777" w:rsidTr="00B733AE">
        <w:trPr>
          <w:trHeight w:val="284"/>
        </w:trPr>
        <w:tc>
          <w:tcPr>
            <w:tcW w:w="1364" w:type="pct"/>
            <w:tcBorders>
              <w:right w:val="single" w:sz="8" w:space="0" w:color="000000"/>
            </w:tcBorders>
            <w:shd w:val="clear" w:color="FFFFFF" w:fill="FFFFFF"/>
            <w:noWrap/>
            <w:vAlign w:val="center"/>
            <w:hideMark/>
          </w:tcPr>
          <w:p w14:paraId="60686345" w14:textId="77777777" w:rsidR="00E927D2" w:rsidRPr="003671D8" w:rsidRDefault="00E927D2" w:rsidP="002F01F5">
            <w:pPr>
              <w:ind w:left="495"/>
              <w:rPr>
                <w:rFonts w:cs="Arial"/>
                <w:color w:val="333333"/>
                <w:sz w:val="18"/>
                <w:szCs w:val="18"/>
              </w:rPr>
            </w:pPr>
            <w:r w:rsidRPr="003671D8">
              <w:rPr>
                <w:rFonts w:cs="Arial"/>
                <w:color w:val="333333"/>
                <w:sz w:val="18"/>
                <w:szCs w:val="18"/>
              </w:rPr>
              <w:t>Do FGTS</w:t>
            </w:r>
          </w:p>
        </w:tc>
        <w:tc>
          <w:tcPr>
            <w:tcW w:w="727" w:type="pct"/>
            <w:tcBorders>
              <w:left w:val="single" w:sz="4" w:space="0" w:color="EBEBEB"/>
              <w:right w:val="single" w:sz="8" w:space="0" w:color="000000"/>
            </w:tcBorders>
            <w:shd w:val="clear" w:color="FFFFFF" w:fill="FFFFFF"/>
            <w:noWrap/>
            <w:vAlign w:val="center"/>
            <w:hideMark/>
          </w:tcPr>
          <w:p w14:paraId="1FB529C8"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w:t>
            </w:r>
          </w:p>
        </w:tc>
        <w:tc>
          <w:tcPr>
            <w:tcW w:w="727" w:type="pct"/>
            <w:tcBorders>
              <w:left w:val="single" w:sz="4" w:space="0" w:color="EBEBEB"/>
              <w:right w:val="single" w:sz="8" w:space="0" w:color="000000"/>
            </w:tcBorders>
            <w:shd w:val="clear" w:color="FFFFFF" w:fill="FFFFFF"/>
            <w:noWrap/>
            <w:vAlign w:val="center"/>
            <w:hideMark/>
          </w:tcPr>
          <w:p w14:paraId="04109DB9"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w:t>
            </w:r>
          </w:p>
        </w:tc>
        <w:tc>
          <w:tcPr>
            <w:tcW w:w="727" w:type="pct"/>
            <w:tcBorders>
              <w:left w:val="single" w:sz="4" w:space="0" w:color="EBEBEB"/>
              <w:right w:val="single" w:sz="8" w:space="0" w:color="000000"/>
            </w:tcBorders>
            <w:shd w:val="clear" w:color="FFFFFF" w:fill="FFFFFF"/>
            <w:noWrap/>
            <w:vAlign w:val="center"/>
            <w:hideMark/>
          </w:tcPr>
          <w:p w14:paraId="0C7F814D"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226.271</w:t>
            </w:r>
          </w:p>
        </w:tc>
        <w:tc>
          <w:tcPr>
            <w:tcW w:w="727" w:type="pct"/>
            <w:tcBorders>
              <w:left w:val="single" w:sz="4" w:space="0" w:color="EBEBEB"/>
              <w:right w:val="single" w:sz="8" w:space="0" w:color="000000"/>
            </w:tcBorders>
            <w:shd w:val="clear" w:color="FFFFFF" w:fill="FFFFFF"/>
            <w:noWrap/>
            <w:vAlign w:val="center"/>
            <w:hideMark/>
          </w:tcPr>
          <w:p w14:paraId="12901834"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188.932</w:t>
            </w:r>
          </w:p>
        </w:tc>
        <w:tc>
          <w:tcPr>
            <w:tcW w:w="728" w:type="pct"/>
            <w:tcBorders>
              <w:left w:val="single" w:sz="4" w:space="0" w:color="EBEBEB"/>
            </w:tcBorders>
            <w:shd w:val="clear" w:color="FFFFFF" w:fill="FFFFFF"/>
            <w:noWrap/>
            <w:vAlign w:val="center"/>
            <w:hideMark/>
          </w:tcPr>
          <w:p w14:paraId="3CFD4354"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143.114</w:t>
            </w:r>
          </w:p>
        </w:tc>
      </w:tr>
      <w:tr w:rsidR="0001349C" w:rsidRPr="006275E6" w14:paraId="2E9E9091" w14:textId="77777777" w:rsidTr="00B733AE">
        <w:trPr>
          <w:trHeight w:val="284"/>
        </w:trPr>
        <w:tc>
          <w:tcPr>
            <w:tcW w:w="1364" w:type="pct"/>
            <w:tcBorders>
              <w:right w:val="single" w:sz="8" w:space="0" w:color="000000"/>
            </w:tcBorders>
            <w:shd w:val="clear" w:color="FFFFFF" w:fill="FFFFFF"/>
            <w:noWrap/>
            <w:vAlign w:val="center"/>
            <w:hideMark/>
          </w:tcPr>
          <w:p w14:paraId="157F31C4" w14:textId="77777777" w:rsidR="00E927D2" w:rsidRPr="003671D8" w:rsidRDefault="00E927D2" w:rsidP="002F01F5">
            <w:pPr>
              <w:ind w:left="495"/>
              <w:rPr>
                <w:rFonts w:cs="Arial"/>
                <w:color w:val="333333"/>
                <w:sz w:val="18"/>
                <w:szCs w:val="18"/>
              </w:rPr>
            </w:pPr>
            <w:r w:rsidRPr="003671D8">
              <w:rPr>
                <w:rFonts w:cs="Arial"/>
                <w:color w:val="333333"/>
                <w:sz w:val="18"/>
                <w:szCs w:val="18"/>
              </w:rPr>
              <w:t>Com Instituição Não Financeira</w:t>
            </w:r>
          </w:p>
        </w:tc>
        <w:tc>
          <w:tcPr>
            <w:tcW w:w="727" w:type="pct"/>
            <w:tcBorders>
              <w:left w:val="single" w:sz="4" w:space="0" w:color="EBEBEB"/>
              <w:right w:val="single" w:sz="8" w:space="0" w:color="000000"/>
            </w:tcBorders>
            <w:shd w:val="clear" w:color="FFFFFF" w:fill="FFFFFF"/>
            <w:noWrap/>
            <w:vAlign w:val="center"/>
            <w:hideMark/>
          </w:tcPr>
          <w:p w14:paraId="4BA4EE84"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w:t>
            </w:r>
          </w:p>
        </w:tc>
        <w:tc>
          <w:tcPr>
            <w:tcW w:w="727" w:type="pct"/>
            <w:tcBorders>
              <w:left w:val="single" w:sz="4" w:space="0" w:color="EBEBEB"/>
              <w:right w:val="single" w:sz="8" w:space="0" w:color="000000"/>
            </w:tcBorders>
            <w:shd w:val="clear" w:color="FFFFFF" w:fill="FFFFFF"/>
            <w:noWrap/>
            <w:vAlign w:val="center"/>
            <w:hideMark/>
          </w:tcPr>
          <w:p w14:paraId="115F0E48"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w:t>
            </w:r>
          </w:p>
        </w:tc>
        <w:tc>
          <w:tcPr>
            <w:tcW w:w="727" w:type="pct"/>
            <w:tcBorders>
              <w:left w:val="single" w:sz="4" w:space="0" w:color="EBEBEB"/>
              <w:right w:val="single" w:sz="8" w:space="0" w:color="000000"/>
            </w:tcBorders>
            <w:shd w:val="clear" w:color="FFFFFF" w:fill="FFFFFF"/>
            <w:noWrap/>
            <w:vAlign w:val="center"/>
            <w:hideMark/>
          </w:tcPr>
          <w:p w14:paraId="06B388D9"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1.462.906</w:t>
            </w:r>
          </w:p>
        </w:tc>
        <w:tc>
          <w:tcPr>
            <w:tcW w:w="727" w:type="pct"/>
            <w:tcBorders>
              <w:left w:val="single" w:sz="4" w:space="0" w:color="EBEBEB"/>
              <w:right w:val="single" w:sz="8" w:space="0" w:color="000000"/>
            </w:tcBorders>
            <w:shd w:val="clear" w:color="FFFFFF" w:fill="FFFFFF"/>
            <w:noWrap/>
            <w:vAlign w:val="center"/>
            <w:hideMark/>
          </w:tcPr>
          <w:p w14:paraId="30959226"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230.574</w:t>
            </w:r>
          </w:p>
        </w:tc>
        <w:tc>
          <w:tcPr>
            <w:tcW w:w="728" w:type="pct"/>
            <w:tcBorders>
              <w:left w:val="single" w:sz="4" w:space="0" w:color="EBEBEB"/>
            </w:tcBorders>
            <w:shd w:val="clear" w:color="FFFFFF" w:fill="FFFFFF"/>
            <w:noWrap/>
            <w:vAlign w:val="center"/>
            <w:hideMark/>
          </w:tcPr>
          <w:p w14:paraId="751480D0"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w:t>
            </w:r>
          </w:p>
        </w:tc>
      </w:tr>
      <w:tr w:rsidR="0001349C" w:rsidRPr="006275E6" w14:paraId="7ABB8D65" w14:textId="77777777" w:rsidTr="00B733AE">
        <w:trPr>
          <w:trHeight w:val="284"/>
        </w:trPr>
        <w:tc>
          <w:tcPr>
            <w:tcW w:w="1364" w:type="pct"/>
            <w:tcBorders>
              <w:right w:val="single" w:sz="8" w:space="0" w:color="000000"/>
            </w:tcBorders>
            <w:shd w:val="clear" w:color="FFFFFF" w:fill="FFFFFF"/>
            <w:noWrap/>
            <w:vAlign w:val="center"/>
            <w:hideMark/>
          </w:tcPr>
          <w:p w14:paraId="141CDED3" w14:textId="77777777" w:rsidR="00E927D2" w:rsidRPr="006275E6" w:rsidRDefault="00E927D2" w:rsidP="002F01F5">
            <w:pPr>
              <w:ind w:firstLine="212"/>
              <w:rPr>
                <w:rFonts w:cs="Arial"/>
                <w:color w:val="333333"/>
                <w:sz w:val="18"/>
                <w:szCs w:val="18"/>
              </w:rPr>
            </w:pPr>
            <w:r w:rsidRPr="006275E6">
              <w:rPr>
                <w:rFonts w:cs="Arial"/>
                <w:color w:val="333333"/>
                <w:sz w:val="18"/>
                <w:szCs w:val="18"/>
              </w:rPr>
              <w:t>Demais Dívidas Contratuais</w:t>
            </w:r>
          </w:p>
        </w:tc>
        <w:tc>
          <w:tcPr>
            <w:tcW w:w="727" w:type="pct"/>
            <w:tcBorders>
              <w:left w:val="single" w:sz="4" w:space="0" w:color="EBEBEB"/>
              <w:right w:val="single" w:sz="8" w:space="0" w:color="000000"/>
            </w:tcBorders>
            <w:shd w:val="clear" w:color="FFFFFF" w:fill="FFFFFF"/>
            <w:noWrap/>
            <w:vAlign w:val="center"/>
            <w:hideMark/>
          </w:tcPr>
          <w:p w14:paraId="329CF774"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w:t>
            </w:r>
          </w:p>
        </w:tc>
        <w:tc>
          <w:tcPr>
            <w:tcW w:w="727" w:type="pct"/>
            <w:tcBorders>
              <w:left w:val="single" w:sz="4" w:space="0" w:color="EBEBEB"/>
              <w:right w:val="single" w:sz="8" w:space="0" w:color="000000"/>
            </w:tcBorders>
            <w:shd w:val="clear" w:color="FFFFFF" w:fill="FFFFFF"/>
            <w:noWrap/>
            <w:vAlign w:val="center"/>
            <w:hideMark/>
          </w:tcPr>
          <w:p w14:paraId="4ACDFCD3"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w:t>
            </w:r>
          </w:p>
        </w:tc>
        <w:tc>
          <w:tcPr>
            <w:tcW w:w="727" w:type="pct"/>
            <w:tcBorders>
              <w:left w:val="single" w:sz="4" w:space="0" w:color="EBEBEB"/>
              <w:right w:val="single" w:sz="8" w:space="0" w:color="000000"/>
            </w:tcBorders>
            <w:shd w:val="clear" w:color="FFFFFF" w:fill="FFFFFF"/>
            <w:noWrap/>
            <w:vAlign w:val="center"/>
            <w:hideMark/>
          </w:tcPr>
          <w:p w14:paraId="5B6902C4"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6.020.891</w:t>
            </w:r>
          </w:p>
        </w:tc>
        <w:tc>
          <w:tcPr>
            <w:tcW w:w="727" w:type="pct"/>
            <w:tcBorders>
              <w:left w:val="single" w:sz="4" w:space="0" w:color="EBEBEB"/>
              <w:right w:val="single" w:sz="8" w:space="0" w:color="000000"/>
            </w:tcBorders>
            <w:shd w:val="clear" w:color="auto" w:fill="auto"/>
            <w:noWrap/>
            <w:vAlign w:val="center"/>
            <w:hideMark/>
          </w:tcPr>
          <w:p w14:paraId="669C0A6B"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6.020.891</w:t>
            </w:r>
          </w:p>
        </w:tc>
        <w:tc>
          <w:tcPr>
            <w:tcW w:w="728" w:type="pct"/>
            <w:tcBorders>
              <w:left w:val="single" w:sz="4" w:space="0" w:color="EBEBEB"/>
            </w:tcBorders>
            <w:shd w:val="clear" w:color="FFFFFF" w:fill="FFFFFF"/>
            <w:noWrap/>
            <w:vAlign w:val="center"/>
            <w:hideMark/>
          </w:tcPr>
          <w:p w14:paraId="0B489652"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6.020.891</w:t>
            </w:r>
          </w:p>
        </w:tc>
      </w:tr>
      <w:tr w:rsidR="0001349C" w:rsidRPr="006275E6" w14:paraId="412CBD60" w14:textId="77777777" w:rsidTr="00B733AE">
        <w:trPr>
          <w:trHeight w:val="284"/>
        </w:trPr>
        <w:tc>
          <w:tcPr>
            <w:tcW w:w="1364" w:type="pct"/>
            <w:tcBorders>
              <w:right w:val="single" w:sz="8" w:space="0" w:color="000000"/>
            </w:tcBorders>
            <w:shd w:val="clear" w:color="FFFFFF" w:fill="FFFFFF"/>
            <w:noWrap/>
            <w:vAlign w:val="center"/>
            <w:hideMark/>
          </w:tcPr>
          <w:p w14:paraId="082C5215" w14:textId="77777777" w:rsidR="00E927D2" w:rsidRPr="006275E6" w:rsidRDefault="00E927D2" w:rsidP="002F01F5">
            <w:pPr>
              <w:rPr>
                <w:rFonts w:cs="Arial"/>
                <w:b/>
                <w:bCs/>
                <w:color w:val="333333"/>
                <w:sz w:val="18"/>
                <w:szCs w:val="18"/>
              </w:rPr>
            </w:pPr>
            <w:r w:rsidRPr="006275E6">
              <w:rPr>
                <w:rFonts w:cs="Arial"/>
                <w:b/>
                <w:bCs/>
                <w:color w:val="333333"/>
                <w:sz w:val="18"/>
                <w:szCs w:val="18"/>
              </w:rPr>
              <w:t>Precatórios Posteriores a 05/05/2000 (inclusive) - Vencidos e Não Pagos</w:t>
            </w:r>
          </w:p>
        </w:tc>
        <w:tc>
          <w:tcPr>
            <w:tcW w:w="727" w:type="pct"/>
            <w:tcBorders>
              <w:left w:val="single" w:sz="4" w:space="0" w:color="EBEBEB"/>
              <w:right w:val="single" w:sz="8" w:space="0" w:color="000000"/>
            </w:tcBorders>
            <w:shd w:val="clear" w:color="FFFFFF" w:fill="FFFFFF"/>
            <w:noWrap/>
            <w:vAlign w:val="center"/>
            <w:hideMark/>
          </w:tcPr>
          <w:p w14:paraId="2755A2CF"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1.288.220.527</w:t>
            </w:r>
          </w:p>
        </w:tc>
        <w:tc>
          <w:tcPr>
            <w:tcW w:w="727" w:type="pct"/>
            <w:tcBorders>
              <w:left w:val="single" w:sz="4" w:space="0" w:color="EBEBEB"/>
              <w:right w:val="single" w:sz="8" w:space="0" w:color="000000"/>
            </w:tcBorders>
            <w:shd w:val="clear" w:color="FFFFFF" w:fill="FFFFFF"/>
            <w:noWrap/>
            <w:vAlign w:val="center"/>
            <w:hideMark/>
          </w:tcPr>
          <w:p w14:paraId="1B539500"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1.237.535.258</w:t>
            </w:r>
          </w:p>
        </w:tc>
        <w:tc>
          <w:tcPr>
            <w:tcW w:w="727" w:type="pct"/>
            <w:tcBorders>
              <w:left w:val="single" w:sz="4" w:space="0" w:color="EBEBEB"/>
              <w:right w:val="single" w:sz="8" w:space="0" w:color="000000"/>
            </w:tcBorders>
            <w:shd w:val="clear" w:color="FFFFFF" w:fill="FFFFFF"/>
            <w:noWrap/>
            <w:vAlign w:val="center"/>
            <w:hideMark/>
          </w:tcPr>
          <w:p w14:paraId="7087E482"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1.271.905.707</w:t>
            </w:r>
          </w:p>
        </w:tc>
        <w:tc>
          <w:tcPr>
            <w:tcW w:w="727" w:type="pct"/>
            <w:tcBorders>
              <w:left w:val="single" w:sz="4" w:space="0" w:color="EBEBEB"/>
              <w:right w:val="single" w:sz="8" w:space="0" w:color="000000"/>
            </w:tcBorders>
            <w:shd w:val="clear" w:color="FFFFFF" w:fill="FFFFFF"/>
            <w:noWrap/>
            <w:vAlign w:val="center"/>
            <w:hideMark/>
          </w:tcPr>
          <w:p w14:paraId="28564251"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1.128.407.407</w:t>
            </w:r>
          </w:p>
        </w:tc>
        <w:tc>
          <w:tcPr>
            <w:tcW w:w="728" w:type="pct"/>
            <w:tcBorders>
              <w:left w:val="single" w:sz="4" w:space="0" w:color="EBEBEB"/>
            </w:tcBorders>
            <w:shd w:val="clear" w:color="FFFFFF" w:fill="FFFFFF"/>
            <w:noWrap/>
            <w:vAlign w:val="center"/>
            <w:hideMark/>
          </w:tcPr>
          <w:p w14:paraId="103AF745"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996.912.243</w:t>
            </w:r>
          </w:p>
        </w:tc>
      </w:tr>
      <w:tr w:rsidR="0001349C" w:rsidRPr="006275E6" w14:paraId="1665A631" w14:textId="77777777" w:rsidTr="00B733AE">
        <w:trPr>
          <w:trHeight w:val="284"/>
        </w:trPr>
        <w:tc>
          <w:tcPr>
            <w:tcW w:w="1364" w:type="pct"/>
            <w:tcBorders>
              <w:bottom w:val="single" w:sz="8" w:space="0" w:color="000000"/>
              <w:right w:val="single" w:sz="8" w:space="0" w:color="000000"/>
            </w:tcBorders>
            <w:shd w:val="clear" w:color="FFFFFF" w:fill="FFFFFF"/>
            <w:noWrap/>
            <w:vAlign w:val="center"/>
            <w:hideMark/>
          </w:tcPr>
          <w:p w14:paraId="6C69E543" w14:textId="77777777" w:rsidR="00E927D2" w:rsidRPr="006275E6" w:rsidRDefault="00E927D2" w:rsidP="002F01F5">
            <w:pPr>
              <w:rPr>
                <w:rFonts w:cs="Arial"/>
                <w:b/>
                <w:bCs/>
                <w:color w:val="333333"/>
                <w:sz w:val="18"/>
                <w:szCs w:val="18"/>
              </w:rPr>
            </w:pPr>
            <w:r w:rsidRPr="006275E6">
              <w:rPr>
                <w:rFonts w:cs="Arial"/>
                <w:b/>
                <w:bCs/>
                <w:color w:val="333333"/>
                <w:sz w:val="18"/>
                <w:szCs w:val="18"/>
              </w:rPr>
              <w:t>Outras Dívidas</w:t>
            </w:r>
          </w:p>
        </w:tc>
        <w:tc>
          <w:tcPr>
            <w:tcW w:w="727" w:type="pct"/>
            <w:tcBorders>
              <w:left w:val="single" w:sz="4" w:space="0" w:color="EBEBEB"/>
              <w:bottom w:val="single" w:sz="8" w:space="0" w:color="000000"/>
              <w:right w:val="single" w:sz="8" w:space="0" w:color="000000"/>
            </w:tcBorders>
            <w:shd w:val="clear" w:color="FFFFFF" w:fill="FFFFFF"/>
            <w:noWrap/>
            <w:vAlign w:val="center"/>
            <w:hideMark/>
          </w:tcPr>
          <w:p w14:paraId="358D2FEE"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w:t>
            </w:r>
          </w:p>
        </w:tc>
        <w:tc>
          <w:tcPr>
            <w:tcW w:w="727" w:type="pct"/>
            <w:tcBorders>
              <w:left w:val="single" w:sz="4" w:space="0" w:color="EBEBEB"/>
              <w:bottom w:val="single" w:sz="8" w:space="0" w:color="000000"/>
              <w:right w:val="single" w:sz="8" w:space="0" w:color="000000"/>
            </w:tcBorders>
            <w:shd w:val="clear" w:color="FFFFFF" w:fill="FFFFFF"/>
            <w:noWrap/>
            <w:vAlign w:val="center"/>
            <w:hideMark/>
          </w:tcPr>
          <w:p w14:paraId="04748938"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w:t>
            </w:r>
          </w:p>
        </w:tc>
        <w:tc>
          <w:tcPr>
            <w:tcW w:w="727" w:type="pct"/>
            <w:tcBorders>
              <w:left w:val="single" w:sz="4" w:space="0" w:color="EBEBEB"/>
              <w:bottom w:val="single" w:sz="8" w:space="0" w:color="000000"/>
              <w:right w:val="single" w:sz="8" w:space="0" w:color="000000"/>
            </w:tcBorders>
            <w:shd w:val="clear" w:color="FFFFFF" w:fill="FFFFFF"/>
            <w:noWrap/>
            <w:vAlign w:val="center"/>
            <w:hideMark/>
          </w:tcPr>
          <w:p w14:paraId="05C0CEF6"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w:t>
            </w:r>
          </w:p>
        </w:tc>
        <w:tc>
          <w:tcPr>
            <w:tcW w:w="727" w:type="pct"/>
            <w:tcBorders>
              <w:left w:val="single" w:sz="4" w:space="0" w:color="EBEBEB"/>
              <w:bottom w:val="single" w:sz="8" w:space="0" w:color="000000"/>
              <w:right w:val="single" w:sz="8" w:space="0" w:color="000000"/>
            </w:tcBorders>
            <w:shd w:val="clear" w:color="FFFFFF" w:fill="FFFFFF"/>
            <w:noWrap/>
            <w:vAlign w:val="center"/>
            <w:hideMark/>
          </w:tcPr>
          <w:p w14:paraId="50D06DE3"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212.228.899</w:t>
            </w:r>
          </w:p>
        </w:tc>
        <w:tc>
          <w:tcPr>
            <w:tcW w:w="728" w:type="pct"/>
            <w:tcBorders>
              <w:left w:val="single" w:sz="4" w:space="0" w:color="EBEBEB"/>
              <w:bottom w:val="single" w:sz="8" w:space="0" w:color="000000"/>
            </w:tcBorders>
            <w:shd w:val="clear" w:color="FFFFFF" w:fill="FFFFFF"/>
            <w:noWrap/>
            <w:vAlign w:val="center"/>
            <w:hideMark/>
          </w:tcPr>
          <w:p w14:paraId="671471FB"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112.651.943</w:t>
            </w:r>
          </w:p>
        </w:tc>
      </w:tr>
      <w:tr w:rsidR="0001349C" w:rsidRPr="006275E6" w14:paraId="30EDE0D6" w14:textId="77777777" w:rsidTr="00BB3426">
        <w:trPr>
          <w:trHeight w:val="284"/>
        </w:trPr>
        <w:tc>
          <w:tcPr>
            <w:tcW w:w="1364" w:type="pct"/>
            <w:tcBorders>
              <w:top w:val="single" w:sz="8" w:space="0" w:color="000000"/>
              <w:bottom w:val="single" w:sz="8" w:space="0" w:color="000000"/>
              <w:right w:val="single" w:sz="8" w:space="0" w:color="000000"/>
            </w:tcBorders>
            <w:shd w:val="clear" w:color="FFFFFF" w:fill="FFFFFF"/>
            <w:noWrap/>
            <w:vAlign w:val="center"/>
            <w:hideMark/>
          </w:tcPr>
          <w:p w14:paraId="54A570E1" w14:textId="77777777" w:rsidR="00E927D2" w:rsidRPr="006275E6" w:rsidRDefault="00E927D2" w:rsidP="002F01F5">
            <w:pPr>
              <w:rPr>
                <w:rFonts w:cs="Arial"/>
                <w:b/>
                <w:bCs/>
                <w:color w:val="333333"/>
                <w:sz w:val="18"/>
                <w:szCs w:val="18"/>
              </w:rPr>
            </w:pPr>
            <w:r w:rsidRPr="006275E6">
              <w:rPr>
                <w:rFonts w:cs="Arial"/>
                <w:b/>
                <w:bCs/>
                <w:color w:val="333333"/>
                <w:sz w:val="18"/>
                <w:szCs w:val="18"/>
              </w:rPr>
              <w:lastRenderedPageBreak/>
              <w:t>Deduções (II)</w:t>
            </w:r>
          </w:p>
        </w:tc>
        <w:tc>
          <w:tcPr>
            <w:tcW w:w="727" w:type="pct"/>
            <w:tcBorders>
              <w:top w:val="single" w:sz="8" w:space="0" w:color="000000"/>
              <w:left w:val="nil"/>
              <w:bottom w:val="single" w:sz="8" w:space="0" w:color="000000"/>
              <w:right w:val="single" w:sz="8" w:space="0" w:color="000000"/>
            </w:tcBorders>
            <w:shd w:val="clear" w:color="FFFFFF" w:fill="FFFFFF"/>
            <w:noWrap/>
            <w:vAlign w:val="center"/>
            <w:hideMark/>
          </w:tcPr>
          <w:p w14:paraId="69E841BA"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335.461.646</w:t>
            </w:r>
          </w:p>
        </w:tc>
        <w:tc>
          <w:tcPr>
            <w:tcW w:w="727" w:type="pct"/>
            <w:tcBorders>
              <w:top w:val="single" w:sz="8" w:space="0" w:color="000000"/>
              <w:left w:val="nil"/>
              <w:bottom w:val="single" w:sz="8" w:space="0" w:color="000000"/>
              <w:right w:val="single" w:sz="8" w:space="0" w:color="000000"/>
            </w:tcBorders>
            <w:shd w:val="clear" w:color="FFFFFF" w:fill="FFFFFF"/>
            <w:noWrap/>
            <w:vAlign w:val="center"/>
            <w:hideMark/>
          </w:tcPr>
          <w:p w14:paraId="0E2E5C2F"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3.603.649.044</w:t>
            </w:r>
          </w:p>
        </w:tc>
        <w:tc>
          <w:tcPr>
            <w:tcW w:w="727" w:type="pct"/>
            <w:tcBorders>
              <w:top w:val="single" w:sz="8" w:space="0" w:color="000000"/>
              <w:left w:val="nil"/>
              <w:bottom w:val="single" w:sz="8" w:space="0" w:color="000000"/>
              <w:right w:val="single" w:sz="8" w:space="0" w:color="000000"/>
            </w:tcBorders>
            <w:shd w:val="clear" w:color="FFFFFF" w:fill="FFFFFF"/>
            <w:noWrap/>
            <w:vAlign w:val="center"/>
            <w:hideMark/>
          </w:tcPr>
          <w:p w14:paraId="239321DC"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8.561.080.993</w:t>
            </w:r>
          </w:p>
        </w:tc>
        <w:tc>
          <w:tcPr>
            <w:tcW w:w="727" w:type="pct"/>
            <w:tcBorders>
              <w:top w:val="single" w:sz="8" w:space="0" w:color="000000"/>
              <w:left w:val="nil"/>
              <w:bottom w:val="single" w:sz="8" w:space="0" w:color="000000"/>
              <w:right w:val="single" w:sz="8" w:space="0" w:color="000000"/>
            </w:tcBorders>
            <w:shd w:val="clear" w:color="FFFFFF" w:fill="FFFFFF"/>
            <w:noWrap/>
            <w:vAlign w:val="center"/>
            <w:hideMark/>
          </w:tcPr>
          <w:p w14:paraId="5E86C3E5"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12.465.788.251</w:t>
            </w:r>
          </w:p>
        </w:tc>
        <w:tc>
          <w:tcPr>
            <w:tcW w:w="728" w:type="pct"/>
            <w:tcBorders>
              <w:top w:val="single" w:sz="8" w:space="0" w:color="000000"/>
              <w:left w:val="nil"/>
              <w:bottom w:val="single" w:sz="8" w:space="0" w:color="000000"/>
            </w:tcBorders>
            <w:shd w:val="clear" w:color="FFFFFF" w:fill="FFFFFF"/>
            <w:noWrap/>
            <w:vAlign w:val="center"/>
            <w:hideMark/>
          </w:tcPr>
          <w:p w14:paraId="73161343"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14.404.180.865</w:t>
            </w:r>
          </w:p>
        </w:tc>
      </w:tr>
      <w:tr w:rsidR="0001349C" w:rsidRPr="006275E6" w14:paraId="70D740F4" w14:textId="77777777" w:rsidTr="00BB3426">
        <w:trPr>
          <w:trHeight w:val="284"/>
        </w:trPr>
        <w:tc>
          <w:tcPr>
            <w:tcW w:w="1364" w:type="pct"/>
            <w:tcBorders>
              <w:top w:val="single" w:sz="8" w:space="0" w:color="000000"/>
              <w:right w:val="single" w:sz="8" w:space="0" w:color="000000"/>
            </w:tcBorders>
            <w:shd w:val="clear" w:color="FFFFFF" w:fill="FFFFFF"/>
            <w:noWrap/>
            <w:vAlign w:val="center"/>
            <w:hideMark/>
          </w:tcPr>
          <w:p w14:paraId="30D73002" w14:textId="77777777" w:rsidR="00E927D2" w:rsidRPr="006275E6" w:rsidRDefault="00E927D2" w:rsidP="002F01F5">
            <w:pPr>
              <w:ind w:firstLine="212"/>
              <w:rPr>
                <w:rFonts w:cs="Arial"/>
                <w:color w:val="333333"/>
                <w:sz w:val="18"/>
                <w:szCs w:val="18"/>
              </w:rPr>
            </w:pPr>
            <w:r w:rsidRPr="006275E6">
              <w:rPr>
                <w:rFonts w:cs="Arial"/>
                <w:color w:val="333333"/>
                <w:sz w:val="18"/>
                <w:szCs w:val="18"/>
              </w:rPr>
              <w:t>Disponibilidade de Caixa</w:t>
            </w:r>
          </w:p>
        </w:tc>
        <w:tc>
          <w:tcPr>
            <w:tcW w:w="727" w:type="pct"/>
            <w:tcBorders>
              <w:top w:val="single" w:sz="8" w:space="0" w:color="000000"/>
              <w:left w:val="single" w:sz="4" w:space="0" w:color="EBEBEB"/>
              <w:right w:val="single" w:sz="8" w:space="0" w:color="000000"/>
            </w:tcBorders>
            <w:shd w:val="clear" w:color="FFFFFF" w:fill="FFFFFF"/>
            <w:noWrap/>
            <w:vAlign w:val="center"/>
            <w:hideMark/>
          </w:tcPr>
          <w:p w14:paraId="4A599464"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335.461.646</w:t>
            </w:r>
          </w:p>
        </w:tc>
        <w:tc>
          <w:tcPr>
            <w:tcW w:w="727" w:type="pct"/>
            <w:tcBorders>
              <w:top w:val="single" w:sz="8" w:space="0" w:color="000000"/>
              <w:left w:val="single" w:sz="4" w:space="0" w:color="EBEBEB"/>
              <w:right w:val="single" w:sz="8" w:space="0" w:color="000000"/>
            </w:tcBorders>
            <w:shd w:val="clear" w:color="FFFFFF" w:fill="FFFFFF"/>
            <w:noWrap/>
            <w:vAlign w:val="center"/>
            <w:hideMark/>
          </w:tcPr>
          <w:p w14:paraId="699EAE19"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3.603.649.044</w:t>
            </w:r>
          </w:p>
        </w:tc>
        <w:tc>
          <w:tcPr>
            <w:tcW w:w="727" w:type="pct"/>
            <w:tcBorders>
              <w:top w:val="single" w:sz="8" w:space="0" w:color="000000"/>
              <w:left w:val="single" w:sz="4" w:space="0" w:color="EBEBEB"/>
              <w:right w:val="single" w:sz="8" w:space="0" w:color="000000"/>
            </w:tcBorders>
            <w:shd w:val="clear" w:color="FFFFFF" w:fill="FFFFFF"/>
            <w:noWrap/>
            <w:vAlign w:val="center"/>
            <w:hideMark/>
          </w:tcPr>
          <w:p w14:paraId="0789D2E5"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8.561.080.993</w:t>
            </w:r>
          </w:p>
        </w:tc>
        <w:tc>
          <w:tcPr>
            <w:tcW w:w="727" w:type="pct"/>
            <w:tcBorders>
              <w:top w:val="single" w:sz="8" w:space="0" w:color="000000"/>
              <w:left w:val="single" w:sz="4" w:space="0" w:color="EBEBEB"/>
              <w:right w:val="single" w:sz="8" w:space="0" w:color="000000"/>
            </w:tcBorders>
            <w:shd w:val="clear" w:color="FFFFFF" w:fill="FFFFFF"/>
            <w:noWrap/>
            <w:vAlign w:val="center"/>
            <w:hideMark/>
          </w:tcPr>
          <w:p w14:paraId="4D6C5E8D"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12.465.783.076</w:t>
            </w:r>
          </w:p>
        </w:tc>
        <w:tc>
          <w:tcPr>
            <w:tcW w:w="728" w:type="pct"/>
            <w:tcBorders>
              <w:top w:val="single" w:sz="8" w:space="0" w:color="000000"/>
              <w:left w:val="single" w:sz="4" w:space="0" w:color="EBEBEB"/>
            </w:tcBorders>
            <w:shd w:val="clear" w:color="FFFFFF" w:fill="FFFFFF"/>
            <w:noWrap/>
            <w:vAlign w:val="center"/>
            <w:hideMark/>
          </w:tcPr>
          <w:p w14:paraId="51742C60"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14.404.175.487</w:t>
            </w:r>
          </w:p>
        </w:tc>
      </w:tr>
      <w:tr w:rsidR="0001349C" w:rsidRPr="006275E6" w14:paraId="5F9B04D9" w14:textId="77777777" w:rsidTr="00BB3426">
        <w:trPr>
          <w:trHeight w:val="284"/>
        </w:trPr>
        <w:tc>
          <w:tcPr>
            <w:tcW w:w="1364" w:type="pct"/>
            <w:tcBorders>
              <w:right w:val="single" w:sz="8" w:space="0" w:color="000000"/>
            </w:tcBorders>
            <w:shd w:val="clear" w:color="FFFFFF" w:fill="FFFFFF"/>
            <w:noWrap/>
            <w:vAlign w:val="center"/>
            <w:hideMark/>
          </w:tcPr>
          <w:p w14:paraId="0CE3C7EE" w14:textId="77777777" w:rsidR="00E927D2" w:rsidRPr="006275E6" w:rsidRDefault="00E927D2" w:rsidP="002F01F5">
            <w:pPr>
              <w:ind w:left="495"/>
              <w:rPr>
                <w:rFonts w:cs="Arial"/>
                <w:color w:val="333333"/>
                <w:sz w:val="18"/>
                <w:szCs w:val="18"/>
              </w:rPr>
            </w:pPr>
            <w:r w:rsidRPr="006275E6">
              <w:rPr>
                <w:rFonts w:cs="Arial"/>
                <w:color w:val="333333"/>
                <w:sz w:val="18"/>
                <w:szCs w:val="18"/>
              </w:rPr>
              <w:t>Disponibilidade de Caixa Bruta</w:t>
            </w:r>
          </w:p>
        </w:tc>
        <w:tc>
          <w:tcPr>
            <w:tcW w:w="727" w:type="pct"/>
            <w:tcBorders>
              <w:left w:val="single" w:sz="4" w:space="0" w:color="EBEBEB"/>
              <w:right w:val="single" w:sz="8" w:space="0" w:color="000000"/>
            </w:tcBorders>
            <w:shd w:val="clear" w:color="FFFFFF" w:fill="FFFFFF"/>
            <w:noWrap/>
            <w:vAlign w:val="center"/>
            <w:hideMark/>
          </w:tcPr>
          <w:p w14:paraId="1979AF88"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2.929.528.924</w:t>
            </w:r>
          </w:p>
        </w:tc>
        <w:tc>
          <w:tcPr>
            <w:tcW w:w="727" w:type="pct"/>
            <w:tcBorders>
              <w:left w:val="single" w:sz="4" w:space="0" w:color="EBEBEB"/>
              <w:right w:val="single" w:sz="8" w:space="0" w:color="000000"/>
            </w:tcBorders>
            <w:shd w:val="clear" w:color="FFFFFF" w:fill="FFFFFF"/>
            <w:noWrap/>
            <w:vAlign w:val="center"/>
            <w:hideMark/>
          </w:tcPr>
          <w:p w14:paraId="6C4FC57A"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4.487.231.553</w:t>
            </w:r>
          </w:p>
        </w:tc>
        <w:tc>
          <w:tcPr>
            <w:tcW w:w="727" w:type="pct"/>
            <w:tcBorders>
              <w:left w:val="single" w:sz="4" w:space="0" w:color="EBEBEB"/>
              <w:right w:val="single" w:sz="8" w:space="0" w:color="000000"/>
            </w:tcBorders>
            <w:shd w:val="clear" w:color="FFFFFF" w:fill="FFFFFF"/>
            <w:noWrap/>
            <w:vAlign w:val="center"/>
            <w:hideMark/>
          </w:tcPr>
          <w:p w14:paraId="4B57C7B0"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9.251.620.580</w:t>
            </w:r>
          </w:p>
        </w:tc>
        <w:tc>
          <w:tcPr>
            <w:tcW w:w="727" w:type="pct"/>
            <w:tcBorders>
              <w:left w:val="single" w:sz="4" w:space="0" w:color="EBEBEB"/>
              <w:right w:val="single" w:sz="8" w:space="0" w:color="000000"/>
            </w:tcBorders>
            <w:shd w:val="clear" w:color="FFFFFF" w:fill="FFFFFF"/>
            <w:noWrap/>
            <w:vAlign w:val="center"/>
            <w:hideMark/>
          </w:tcPr>
          <w:p w14:paraId="01949A36"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13.204.976.440</w:t>
            </w:r>
          </w:p>
        </w:tc>
        <w:tc>
          <w:tcPr>
            <w:tcW w:w="728" w:type="pct"/>
            <w:tcBorders>
              <w:left w:val="single" w:sz="4" w:space="0" w:color="EBEBEB"/>
            </w:tcBorders>
            <w:shd w:val="clear" w:color="FFFFFF" w:fill="FFFFFF"/>
            <w:noWrap/>
            <w:vAlign w:val="center"/>
            <w:hideMark/>
          </w:tcPr>
          <w:p w14:paraId="3CECB2FA"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15.304.316.923</w:t>
            </w:r>
          </w:p>
        </w:tc>
      </w:tr>
      <w:tr w:rsidR="0001349C" w:rsidRPr="006275E6" w14:paraId="5A3B9971" w14:textId="77777777" w:rsidTr="00BB3426">
        <w:trPr>
          <w:trHeight w:val="284"/>
        </w:trPr>
        <w:tc>
          <w:tcPr>
            <w:tcW w:w="1364" w:type="pct"/>
            <w:tcBorders>
              <w:right w:val="single" w:sz="8" w:space="0" w:color="000000"/>
            </w:tcBorders>
            <w:shd w:val="clear" w:color="FFFFFF" w:fill="FFFFFF"/>
            <w:noWrap/>
            <w:vAlign w:val="center"/>
            <w:hideMark/>
          </w:tcPr>
          <w:p w14:paraId="5915F0F1" w14:textId="77777777" w:rsidR="00E927D2" w:rsidRPr="006275E6" w:rsidRDefault="00E927D2" w:rsidP="002F01F5">
            <w:pPr>
              <w:ind w:left="495"/>
              <w:rPr>
                <w:rFonts w:cs="Arial"/>
                <w:color w:val="333333"/>
                <w:sz w:val="18"/>
                <w:szCs w:val="18"/>
              </w:rPr>
            </w:pPr>
            <w:r w:rsidRPr="006275E6">
              <w:rPr>
                <w:rFonts w:cs="Arial"/>
                <w:color w:val="333333"/>
                <w:sz w:val="18"/>
                <w:szCs w:val="18"/>
              </w:rPr>
              <w:t>(-) Restos a Pagar Processados</w:t>
            </w:r>
          </w:p>
        </w:tc>
        <w:tc>
          <w:tcPr>
            <w:tcW w:w="727" w:type="pct"/>
            <w:tcBorders>
              <w:left w:val="single" w:sz="4" w:space="0" w:color="EBEBEB"/>
              <w:right w:val="single" w:sz="8" w:space="0" w:color="000000"/>
            </w:tcBorders>
            <w:shd w:val="clear" w:color="FFFFFF" w:fill="FFFFFF"/>
            <w:noWrap/>
            <w:vAlign w:val="center"/>
            <w:hideMark/>
          </w:tcPr>
          <w:p w14:paraId="39C92DE9"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2.594.067.277</w:t>
            </w:r>
          </w:p>
        </w:tc>
        <w:tc>
          <w:tcPr>
            <w:tcW w:w="727" w:type="pct"/>
            <w:tcBorders>
              <w:left w:val="single" w:sz="4" w:space="0" w:color="EBEBEB"/>
              <w:right w:val="single" w:sz="8" w:space="0" w:color="000000"/>
            </w:tcBorders>
            <w:shd w:val="clear" w:color="FFFFFF" w:fill="FFFFFF"/>
            <w:noWrap/>
            <w:vAlign w:val="center"/>
            <w:hideMark/>
          </w:tcPr>
          <w:p w14:paraId="75F30DBF"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883.582.508</w:t>
            </w:r>
          </w:p>
        </w:tc>
        <w:tc>
          <w:tcPr>
            <w:tcW w:w="727" w:type="pct"/>
            <w:tcBorders>
              <w:left w:val="single" w:sz="4" w:space="0" w:color="EBEBEB"/>
              <w:right w:val="single" w:sz="8" w:space="0" w:color="000000"/>
            </w:tcBorders>
            <w:shd w:val="clear" w:color="FFFFFF" w:fill="FFFFFF"/>
            <w:noWrap/>
            <w:vAlign w:val="center"/>
            <w:hideMark/>
          </w:tcPr>
          <w:p w14:paraId="08634AE2"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689.973.835</w:t>
            </w:r>
          </w:p>
        </w:tc>
        <w:tc>
          <w:tcPr>
            <w:tcW w:w="727" w:type="pct"/>
            <w:tcBorders>
              <w:left w:val="single" w:sz="4" w:space="0" w:color="EBEBEB"/>
              <w:right w:val="single" w:sz="8" w:space="0" w:color="000000"/>
            </w:tcBorders>
            <w:shd w:val="clear" w:color="FFFFFF" w:fill="FFFFFF"/>
            <w:noWrap/>
            <w:vAlign w:val="center"/>
            <w:hideMark/>
          </w:tcPr>
          <w:p w14:paraId="643C6231"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256.119.464</w:t>
            </w:r>
          </w:p>
        </w:tc>
        <w:tc>
          <w:tcPr>
            <w:tcW w:w="728" w:type="pct"/>
            <w:tcBorders>
              <w:left w:val="single" w:sz="4" w:space="0" w:color="EBEBEB"/>
            </w:tcBorders>
            <w:shd w:val="clear" w:color="FFFFFF" w:fill="FFFFFF"/>
            <w:noWrap/>
            <w:vAlign w:val="center"/>
            <w:hideMark/>
          </w:tcPr>
          <w:p w14:paraId="7B8FE470"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232.942.898</w:t>
            </w:r>
          </w:p>
        </w:tc>
      </w:tr>
      <w:tr w:rsidR="0001349C" w:rsidRPr="006275E6" w14:paraId="1DF43217" w14:textId="77777777" w:rsidTr="00BB3426">
        <w:trPr>
          <w:trHeight w:val="284"/>
        </w:trPr>
        <w:tc>
          <w:tcPr>
            <w:tcW w:w="1364" w:type="pct"/>
            <w:tcBorders>
              <w:right w:val="single" w:sz="8" w:space="0" w:color="000000"/>
            </w:tcBorders>
            <w:shd w:val="clear" w:color="FFFFFF" w:fill="FFFFFF"/>
            <w:noWrap/>
            <w:vAlign w:val="center"/>
            <w:hideMark/>
          </w:tcPr>
          <w:p w14:paraId="3B7A6E86" w14:textId="77777777" w:rsidR="00E927D2" w:rsidRPr="006275E6" w:rsidRDefault="00E927D2" w:rsidP="002F01F5">
            <w:pPr>
              <w:ind w:left="495"/>
              <w:rPr>
                <w:rFonts w:cs="Arial"/>
                <w:color w:val="333333"/>
                <w:sz w:val="18"/>
                <w:szCs w:val="18"/>
              </w:rPr>
            </w:pPr>
            <w:r w:rsidRPr="006275E6">
              <w:rPr>
                <w:rFonts w:cs="Arial"/>
                <w:color w:val="333333"/>
                <w:sz w:val="18"/>
                <w:szCs w:val="18"/>
              </w:rPr>
              <w:t>(-) Depósitos Restituíveis e Valores Vinculados</w:t>
            </w:r>
          </w:p>
        </w:tc>
        <w:tc>
          <w:tcPr>
            <w:tcW w:w="727" w:type="pct"/>
            <w:tcBorders>
              <w:left w:val="single" w:sz="4" w:space="0" w:color="EBEBEB"/>
              <w:right w:val="single" w:sz="8" w:space="0" w:color="000000"/>
            </w:tcBorders>
            <w:shd w:val="clear" w:color="FFFFFF" w:fill="FFFFFF"/>
            <w:noWrap/>
            <w:vAlign w:val="center"/>
            <w:hideMark/>
          </w:tcPr>
          <w:p w14:paraId="62EEE8CA"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w:t>
            </w:r>
          </w:p>
        </w:tc>
        <w:tc>
          <w:tcPr>
            <w:tcW w:w="727" w:type="pct"/>
            <w:tcBorders>
              <w:left w:val="single" w:sz="4" w:space="0" w:color="EBEBEB"/>
              <w:right w:val="single" w:sz="8" w:space="0" w:color="000000"/>
            </w:tcBorders>
            <w:shd w:val="clear" w:color="FFFFFF" w:fill="FFFFFF"/>
            <w:noWrap/>
            <w:vAlign w:val="center"/>
            <w:hideMark/>
          </w:tcPr>
          <w:p w14:paraId="02656C9F"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w:t>
            </w:r>
          </w:p>
        </w:tc>
        <w:tc>
          <w:tcPr>
            <w:tcW w:w="727" w:type="pct"/>
            <w:tcBorders>
              <w:left w:val="single" w:sz="4" w:space="0" w:color="EBEBEB"/>
              <w:right w:val="single" w:sz="8" w:space="0" w:color="000000"/>
            </w:tcBorders>
            <w:shd w:val="clear" w:color="FFFFFF" w:fill="FFFFFF"/>
            <w:noWrap/>
            <w:vAlign w:val="center"/>
            <w:hideMark/>
          </w:tcPr>
          <w:p w14:paraId="0804BE12"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565.751</w:t>
            </w:r>
          </w:p>
        </w:tc>
        <w:tc>
          <w:tcPr>
            <w:tcW w:w="727" w:type="pct"/>
            <w:tcBorders>
              <w:left w:val="single" w:sz="4" w:space="0" w:color="EBEBEB"/>
              <w:right w:val="single" w:sz="8" w:space="0" w:color="000000"/>
            </w:tcBorders>
            <w:shd w:val="clear" w:color="FFFFFF" w:fill="FFFFFF"/>
            <w:noWrap/>
            <w:vAlign w:val="center"/>
            <w:hideMark/>
          </w:tcPr>
          <w:p w14:paraId="38FC75C2"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483.073.900</w:t>
            </w:r>
          </w:p>
        </w:tc>
        <w:tc>
          <w:tcPr>
            <w:tcW w:w="728" w:type="pct"/>
            <w:tcBorders>
              <w:left w:val="single" w:sz="4" w:space="0" w:color="EBEBEB"/>
            </w:tcBorders>
            <w:shd w:val="clear" w:color="FFFFFF" w:fill="FFFFFF"/>
            <w:noWrap/>
            <w:vAlign w:val="center"/>
            <w:hideMark/>
          </w:tcPr>
          <w:p w14:paraId="483E6D4E"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667.198.539</w:t>
            </w:r>
          </w:p>
        </w:tc>
      </w:tr>
      <w:tr w:rsidR="0001349C" w:rsidRPr="006275E6" w14:paraId="4DCDAF12" w14:textId="77777777" w:rsidTr="00BB3426">
        <w:trPr>
          <w:trHeight w:val="284"/>
        </w:trPr>
        <w:tc>
          <w:tcPr>
            <w:tcW w:w="1364" w:type="pct"/>
            <w:tcBorders>
              <w:bottom w:val="single" w:sz="8" w:space="0" w:color="000000"/>
              <w:right w:val="single" w:sz="8" w:space="0" w:color="000000"/>
            </w:tcBorders>
            <w:shd w:val="clear" w:color="FFFFFF" w:fill="FFFFFF"/>
            <w:noWrap/>
            <w:vAlign w:val="center"/>
            <w:hideMark/>
          </w:tcPr>
          <w:p w14:paraId="3C324D49" w14:textId="77777777" w:rsidR="00E927D2" w:rsidRPr="006275E6" w:rsidRDefault="00E927D2" w:rsidP="002F01F5">
            <w:pPr>
              <w:ind w:firstLine="212"/>
              <w:rPr>
                <w:rFonts w:cs="Arial"/>
                <w:color w:val="333333"/>
                <w:sz w:val="18"/>
                <w:szCs w:val="18"/>
              </w:rPr>
            </w:pPr>
            <w:r w:rsidRPr="006275E6">
              <w:rPr>
                <w:rFonts w:cs="Arial"/>
                <w:color w:val="333333"/>
                <w:sz w:val="18"/>
                <w:szCs w:val="18"/>
              </w:rPr>
              <w:t>Demais Haveres Financeiros</w:t>
            </w:r>
          </w:p>
        </w:tc>
        <w:tc>
          <w:tcPr>
            <w:tcW w:w="727" w:type="pct"/>
            <w:tcBorders>
              <w:left w:val="single" w:sz="4" w:space="0" w:color="EBEBEB"/>
              <w:bottom w:val="single" w:sz="8" w:space="0" w:color="000000"/>
              <w:right w:val="single" w:sz="8" w:space="0" w:color="000000"/>
            </w:tcBorders>
            <w:shd w:val="clear" w:color="FFFFFF" w:fill="FFFFFF"/>
            <w:noWrap/>
            <w:vAlign w:val="center"/>
            <w:hideMark/>
          </w:tcPr>
          <w:p w14:paraId="70CBB472"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w:t>
            </w:r>
          </w:p>
        </w:tc>
        <w:tc>
          <w:tcPr>
            <w:tcW w:w="727" w:type="pct"/>
            <w:tcBorders>
              <w:left w:val="single" w:sz="4" w:space="0" w:color="EBEBEB"/>
              <w:bottom w:val="single" w:sz="8" w:space="0" w:color="000000"/>
              <w:right w:val="single" w:sz="8" w:space="0" w:color="000000"/>
            </w:tcBorders>
            <w:shd w:val="clear" w:color="FFFFFF" w:fill="FFFFFF"/>
            <w:noWrap/>
            <w:vAlign w:val="center"/>
            <w:hideMark/>
          </w:tcPr>
          <w:p w14:paraId="51D66BD4"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w:t>
            </w:r>
          </w:p>
        </w:tc>
        <w:tc>
          <w:tcPr>
            <w:tcW w:w="727" w:type="pct"/>
            <w:tcBorders>
              <w:left w:val="single" w:sz="4" w:space="0" w:color="EBEBEB"/>
              <w:bottom w:val="single" w:sz="8" w:space="0" w:color="000000"/>
              <w:right w:val="single" w:sz="8" w:space="0" w:color="000000"/>
            </w:tcBorders>
            <w:shd w:val="clear" w:color="FFFFFF" w:fill="FFFFFF"/>
            <w:noWrap/>
            <w:vAlign w:val="center"/>
            <w:hideMark/>
          </w:tcPr>
          <w:p w14:paraId="29F38BF1"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w:t>
            </w:r>
          </w:p>
        </w:tc>
        <w:tc>
          <w:tcPr>
            <w:tcW w:w="727" w:type="pct"/>
            <w:tcBorders>
              <w:left w:val="single" w:sz="4" w:space="0" w:color="EBEBEB"/>
              <w:bottom w:val="single" w:sz="8" w:space="0" w:color="000000"/>
              <w:right w:val="single" w:sz="8" w:space="0" w:color="000000"/>
            </w:tcBorders>
            <w:shd w:val="clear" w:color="FFFFFF" w:fill="FFFFFF"/>
            <w:noWrap/>
            <w:vAlign w:val="center"/>
            <w:hideMark/>
          </w:tcPr>
          <w:p w14:paraId="7F4C73EA"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5.175</w:t>
            </w:r>
          </w:p>
        </w:tc>
        <w:tc>
          <w:tcPr>
            <w:tcW w:w="728" w:type="pct"/>
            <w:tcBorders>
              <w:left w:val="single" w:sz="4" w:space="0" w:color="EBEBEB"/>
              <w:bottom w:val="single" w:sz="8" w:space="0" w:color="000000"/>
            </w:tcBorders>
            <w:shd w:val="clear" w:color="FFFFFF" w:fill="FFFFFF"/>
            <w:noWrap/>
            <w:vAlign w:val="center"/>
            <w:hideMark/>
          </w:tcPr>
          <w:p w14:paraId="3307D045" w14:textId="77777777" w:rsidR="00E927D2" w:rsidRPr="006275E6" w:rsidRDefault="00E927D2" w:rsidP="006275E6">
            <w:pPr>
              <w:ind w:hanging="75"/>
              <w:jc w:val="right"/>
              <w:rPr>
                <w:rFonts w:cs="Arial"/>
                <w:color w:val="333333"/>
                <w:sz w:val="18"/>
                <w:szCs w:val="18"/>
              </w:rPr>
            </w:pPr>
            <w:r w:rsidRPr="006275E6">
              <w:rPr>
                <w:rFonts w:cs="Arial"/>
                <w:color w:val="333333"/>
                <w:sz w:val="18"/>
                <w:szCs w:val="18"/>
              </w:rPr>
              <w:t>5.378</w:t>
            </w:r>
          </w:p>
        </w:tc>
      </w:tr>
      <w:tr w:rsidR="0001349C" w:rsidRPr="006275E6" w14:paraId="0DC5D4BE" w14:textId="77777777" w:rsidTr="00BB3426">
        <w:trPr>
          <w:trHeight w:val="284"/>
        </w:trPr>
        <w:tc>
          <w:tcPr>
            <w:tcW w:w="1364" w:type="pct"/>
            <w:tcBorders>
              <w:top w:val="single" w:sz="8" w:space="0" w:color="000000"/>
              <w:bottom w:val="single" w:sz="8" w:space="0" w:color="000000"/>
              <w:right w:val="single" w:sz="8" w:space="0" w:color="000000"/>
            </w:tcBorders>
            <w:shd w:val="clear" w:color="FFFFFF" w:fill="A1F2FD"/>
            <w:noWrap/>
            <w:vAlign w:val="center"/>
            <w:hideMark/>
          </w:tcPr>
          <w:p w14:paraId="66C234BB" w14:textId="77777777" w:rsidR="00E927D2" w:rsidRPr="006275E6" w:rsidRDefault="00E927D2" w:rsidP="003671D8">
            <w:pPr>
              <w:jc w:val="center"/>
              <w:rPr>
                <w:rFonts w:cs="Arial"/>
                <w:b/>
                <w:bCs/>
                <w:color w:val="333333"/>
                <w:sz w:val="18"/>
                <w:szCs w:val="18"/>
              </w:rPr>
            </w:pPr>
            <w:r w:rsidRPr="006275E6">
              <w:rPr>
                <w:rFonts w:cs="Arial"/>
                <w:b/>
                <w:bCs/>
                <w:color w:val="333333"/>
                <w:sz w:val="18"/>
                <w:szCs w:val="18"/>
              </w:rPr>
              <w:t>DCL (III) = (I - II)</w:t>
            </w:r>
          </w:p>
        </w:tc>
        <w:tc>
          <w:tcPr>
            <w:tcW w:w="727" w:type="pct"/>
            <w:tcBorders>
              <w:top w:val="single" w:sz="8" w:space="0" w:color="000000"/>
              <w:left w:val="nil"/>
              <w:bottom w:val="single" w:sz="8" w:space="0" w:color="000000"/>
              <w:right w:val="single" w:sz="8" w:space="0" w:color="000000"/>
            </w:tcBorders>
            <w:shd w:val="clear" w:color="FFFFFF" w:fill="A1F2FD"/>
            <w:noWrap/>
            <w:vAlign w:val="center"/>
            <w:hideMark/>
          </w:tcPr>
          <w:p w14:paraId="436DD90D"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20.334.810.008</w:t>
            </w:r>
          </w:p>
        </w:tc>
        <w:tc>
          <w:tcPr>
            <w:tcW w:w="727" w:type="pct"/>
            <w:tcBorders>
              <w:top w:val="single" w:sz="8" w:space="0" w:color="000000"/>
              <w:left w:val="nil"/>
              <w:bottom w:val="single" w:sz="8" w:space="0" w:color="000000"/>
              <w:right w:val="single" w:sz="8" w:space="0" w:color="000000"/>
            </w:tcBorders>
            <w:shd w:val="clear" w:color="FFFFFF" w:fill="A1F2FD"/>
            <w:noWrap/>
            <w:vAlign w:val="center"/>
            <w:hideMark/>
          </w:tcPr>
          <w:p w14:paraId="682CAFDF"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19.062.051.831</w:t>
            </w:r>
          </w:p>
        </w:tc>
        <w:tc>
          <w:tcPr>
            <w:tcW w:w="727" w:type="pct"/>
            <w:tcBorders>
              <w:top w:val="single" w:sz="8" w:space="0" w:color="000000"/>
              <w:left w:val="nil"/>
              <w:bottom w:val="single" w:sz="8" w:space="0" w:color="000000"/>
              <w:right w:val="single" w:sz="8" w:space="0" w:color="000000"/>
            </w:tcBorders>
            <w:shd w:val="clear" w:color="FFFFFF" w:fill="A1F2FD"/>
            <w:noWrap/>
            <w:vAlign w:val="center"/>
            <w:hideMark/>
          </w:tcPr>
          <w:p w14:paraId="1563EA49"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14.468.925.675</w:t>
            </w:r>
          </w:p>
        </w:tc>
        <w:tc>
          <w:tcPr>
            <w:tcW w:w="727" w:type="pct"/>
            <w:tcBorders>
              <w:top w:val="single" w:sz="8" w:space="0" w:color="000000"/>
              <w:left w:val="nil"/>
              <w:bottom w:val="single" w:sz="8" w:space="0" w:color="000000"/>
              <w:right w:val="single" w:sz="8" w:space="0" w:color="000000"/>
            </w:tcBorders>
            <w:shd w:val="clear" w:color="FFFFFF" w:fill="A1F2FD"/>
            <w:noWrap/>
            <w:vAlign w:val="center"/>
            <w:hideMark/>
          </w:tcPr>
          <w:p w14:paraId="351FB80E"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12.098.544.318</w:t>
            </w:r>
          </w:p>
        </w:tc>
        <w:tc>
          <w:tcPr>
            <w:tcW w:w="728" w:type="pct"/>
            <w:tcBorders>
              <w:top w:val="single" w:sz="8" w:space="0" w:color="000000"/>
              <w:left w:val="nil"/>
              <w:bottom w:val="single" w:sz="8" w:space="0" w:color="000000"/>
            </w:tcBorders>
            <w:shd w:val="clear" w:color="FFFFFF" w:fill="A1F2FD"/>
            <w:noWrap/>
            <w:vAlign w:val="center"/>
            <w:hideMark/>
          </w:tcPr>
          <w:p w14:paraId="1CE4BA25"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11.329.627.043</w:t>
            </w:r>
          </w:p>
        </w:tc>
      </w:tr>
      <w:tr w:rsidR="0001349C" w:rsidRPr="00E73548" w14:paraId="134248C4" w14:textId="77777777" w:rsidTr="0001349C">
        <w:trPr>
          <w:trHeight w:val="284"/>
        </w:trPr>
        <w:tc>
          <w:tcPr>
            <w:tcW w:w="1364" w:type="pct"/>
            <w:tcBorders>
              <w:top w:val="single" w:sz="8" w:space="0" w:color="000000"/>
              <w:bottom w:val="single" w:sz="8" w:space="0" w:color="000000"/>
              <w:right w:val="nil"/>
            </w:tcBorders>
            <w:shd w:val="clear" w:color="FFFFFF" w:fill="FFFFFF"/>
            <w:noWrap/>
            <w:vAlign w:val="center"/>
            <w:hideMark/>
          </w:tcPr>
          <w:p w14:paraId="797F3272" w14:textId="77777777" w:rsidR="00E927D2" w:rsidRPr="00E73548" w:rsidRDefault="00E927D2" w:rsidP="003671D8">
            <w:pPr>
              <w:jc w:val="center"/>
              <w:rPr>
                <w:rFonts w:cs="Arial"/>
                <w:bCs/>
                <w:color w:val="333333"/>
                <w:sz w:val="18"/>
                <w:szCs w:val="18"/>
              </w:rPr>
            </w:pPr>
            <w:r w:rsidRPr="00E73548">
              <w:rPr>
                <w:rFonts w:cs="Arial"/>
                <w:bCs/>
                <w:color w:val="333333"/>
                <w:sz w:val="18"/>
                <w:szCs w:val="18"/>
              </w:rPr>
              <w:t>RCL (IV)</w:t>
            </w:r>
          </w:p>
        </w:tc>
        <w:tc>
          <w:tcPr>
            <w:tcW w:w="727" w:type="pct"/>
            <w:tcBorders>
              <w:top w:val="nil"/>
              <w:left w:val="single" w:sz="8" w:space="0" w:color="000000"/>
              <w:bottom w:val="single" w:sz="8" w:space="0" w:color="000000"/>
              <w:right w:val="nil"/>
            </w:tcBorders>
            <w:shd w:val="clear" w:color="FFFFFF" w:fill="FFFFFF"/>
            <w:noWrap/>
            <w:vAlign w:val="center"/>
            <w:hideMark/>
          </w:tcPr>
          <w:p w14:paraId="1FBF2CD0" w14:textId="77777777" w:rsidR="00E927D2" w:rsidRPr="00E73548" w:rsidRDefault="00E927D2" w:rsidP="006275E6">
            <w:pPr>
              <w:ind w:hanging="75"/>
              <w:jc w:val="right"/>
              <w:rPr>
                <w:rFonts w:cs="Arial"/>
                <w:bCs/>
                <w:color w:val="333333"/>
                <w:sz w:val="18"/>
                <w:szCs w:val="18"/>
              </w:rPr>
            </w:pPr>
            <w:r w:rsidRPr="00E73548">
              <w:rPr>
                <w:rFonts w:cs="Arial"/>
                <w:bCs/>
                <w:color w:val="333333"/>
                <w:sz w:val="18"/>
                <w:szCs w:val="18"/>
              </w:rPr>
              <w:t>24.538.621.317</w:t>
            </w:r>
          </w:p>
        </w:tc>
        <w:tc>
          <w:tcPr>
            <w:tcW w:w="727" w:type="pct"/>
            <w:tcBorders>
              <w:top w:val="nil"/>
              <w:left w:val="single" w:sz="8" w:space="0" w:color="000000"/>
              <w:bottom w:val="single" w:sz="8" w:space="0" w:color="000000"/>
              <w:right w:val="nil"/>
            </w:tcBorders>
            <w:shd w:val="clear" w:color="FFFFFF" w:fill="FFFFFF"/>
            <w:noWrap/>
            <w:vAlign w:val="center"/>
            <w:hideMark/>
          </w:tcPr>
          <w:p w14:paraId="0426E289" w14:textId="77777777" w:rsidR="00E927D2" w:rsidRPr="00E73548" w:rsidRDefault="00E927D2" w:rsidP="006275E6">
            <w:pPr>
              <w:ind w:hanging="75"/>
              <w:jc w:val="right"/>
              <w:rPr>
                <w:rFonts w:cs="Arial"/>
                <w:bCs/>
                <w:color w:val="333333"/>
                <w:sz w:val="18"/>
                <w:szCs w:val="18"/>
              </w:rPr>
            </w:pPr>
            <w:r w:rsidRPr="00E73548">
              <w:rPr>
                <w:rFonts w:cs="Arial"/>
                <w:bCs/>
                <w:color w:val="333333"/>
                <w:sz w:val="18"/>
                <w:szCs w:val="18"/>
              </w:rPr>
              <w:t>26.309.629.054</w:t>
            </w:r>
          </w:p>
        </w:tc>
        <w:tc>
          <w:tcPr>
            <w:tcW w:w="727" w:type="pct"/>
            <w:tcBorders>
              <w:top w:val="nil"/>
              <w:left w:val="single" w:sz="8" w:space="0" w:color="000000"/>
              <w:bottom w:val="single" w:sz="8" w:space="0" w:color="000000"/>
              <w:right w:val="nil"/>
            </w:tcBorders>
            <w:shd w:val="clear" w:color="FFFFFF" w:fill="FFFFFF"/>
            <w:noWrap/>
            <w:vAlign w:val="center"/>
            <w:hideMark/>
          </w:tcPr>
          <w:p w14:paraId="62CD535F" w14:textId="77777777" w:rsidR="00E927D2" w:rsidRPr="00E73548" w:rsidRDefault="00E927D2" w:rsidP="006275E6">
            <w:pPr>
              <w:ind w:hanging="75"/>
              <w:jc w:val="right"/>
              <w:rPr>
                <w:rFonts w:cs="Arial"/>
                <w:bCs/>
                <w:color w:val="333333"/>
                <w:sz w:val="18"/>
                <w:szCs w:val="18"/>
              </w:rPr>
            </w:pPr>
            <w:r w:rsidRPr="00E73548">
              <w:rPr>
                <w:rFonts w:cs="Arial"/>
                <w:bCs/>
                <w:color w:val="333333"/>
                <w:sz w:val="18"/>
                <w:szCs w:val="18"/>
              </w:rPr>
              <w:t>31.539.599.485</w:t>
            </w:r>
          </w:p>
        </w:tc>
        <w:tc>
          <w:tcPr>
            <w:tcW w:w="727" w:type="pct"/>
            <w:tcBorders>
              <w:top w:val="nil"/>
              <w:left w:val="single" w:sz="8" w:space="0" w:color="000000"/>
              <w:bottom w:val="single" w:sz="8" w:space="0" w:color="000000"/>
              <w:right w:val="single" w:sz="8" w:space="0" w:color="000000"/>
            </w:tcBorders>
            <w:shd w:val="clear" w:color="FFFFFF" w:fill="FFFFFF"/>
            <w:noWrap/>
            <w:vAlign w:val="center"/>
            <w:hideMark/>
          </w:tcPr>
          <w:p w14:paraId="7A0446CA" w14:textId="77777777" w:rsidR="00E927D2" w:rsidRPr="00E73548" w:rsidRDefault="00E927D2" w:rsidP="006275E6">
            <w:pPr>
              <w:ind w:hanging="75"/>
              <w:jc w:val="right"/>
              <w:rPr>
                <w:rFonts w:cs="Arial"/>
                <w:bCs/>
                <w:color w:val="333333"/>
                <w:sz w:val="18"/>
                <w:szCs w:val="18"/>
              </w:rPr>
            </w:pPr>
            <w:r w:rsidRPr="00E73548">
              <w:rPr>
                <w:rFonts w:cs="Arial"/>
                <w:bCs/>
                <w:color w:val="333333"/>
                <w:sz w:val="18"/>
                <w:szCs w:val="18"/>
              </w:rPr>
              <w:t>37.203.040.718</w:t>
            </w:r>
          </w:p>
        </w:tc>
        <w:tc>
          <w:tcPr>
            <w:tcW w:w="728" w:type="pct"/>
            <w:tcBorders>
              <w:top w:val="nil"/>
              <w:left w:val="nil"/>
              <w:bottom w:val="single" w:sz="8" w:space="0" w:color="000000"/>
            </w:tcBorders>
            <w:shd w:val="clear" w:color="FFFFFF" w:fill="FFFFFF"/>
            <w:noWrap/>
            <w:vAlign w:val="center"/>
            <w:hideMark/>
          </w:tcPr>
          <w:p w14:paraId="111CA713" w14:textId="77777777" w:rsidR="00E927D2" w:rsidRPr="00E73548" w:rsidRDefault="00E927D2" w:rsidP="006275E6">
            <w:pPr>
              <w:ind w:hanging="75"/>
              <w:jc w:val="right"/>
              <w:rPr>
                <w:rFonts w:cs="Arial"/>
                <w:bCs/>
                <w:color w:val="333333"/>
                <w:sz w:val="18"/>
                <w:szCs w:val="18"/>
              </w:rPr>
            </w:pPr>
            <w:r w:rsidRPr="00E73548">
              <w:rPr>
                <w:rFonts w:cs="Arial"/>
                <w:bCs/>
                <w:color w:val="333333"/>
                <w:sz w:val="18"/>
                <w:szCs w:val="18"/>
              </w:rPr>
              <w:t>38.364.549.333</w:t>
            </w:r>
          </w:p>
        </w:tc>
      </w:tr>
      <w:tr w:rsidR="0001349C" w:rsidRPr="00E73548" w14:paraId="27178519" w14:textId="77777777" w:rsidTr="0001349C">
        <w:trPr>
          <w:trHeight w:val="284"/>
        </w:trPr>
        <w:tc>
          <w:tcPr>
            <w:tcW w:w="1364" w:type="pct"/>
            <w:tcBorders>
              <w:top w:val="single" w:sz="8" w:space="0" w:color="000000"/>
              <w:bottom w:val="single" w:sz="8" w:space="0" w:color="000000"/>
              <w:right w:val="nil"/>
            </w:tcBorders>
            <w:shd w:val="clear" w:color="FFFFFF" w:fill="FFFFFF"/>
            <w:noWrap/>
            <w:vAlign w:val="center"/>
            <w:hideMark/>
          </w:tcPr>
          <w:p w14:paraId="70EE37E7" w14:textId="77777777" w:rsidR="00E927D2" w:rsidRPr="00E73548" w:rsidRDefault="00E927D2" w:rsidP="003671D8">
            <w:pPr>
              <w:jc w:val="center"/>
              <w:rPr>
                <w:rFonts w:cs="Arial"/>
                <w:bCs/>
                <w:color w:val="333333"/>
                <w:sz w:val="18"/>
                <w:szCs w:val="18"/>
              </w:rPr>
            </w:pPr>
            <w:r w:rsidRPr="00E73548">
              <w:rPr>
                <w:rFonts w:cs="Arial"/>
                <w:bCs/>
                <w:color w:val="333333"/>
                <w:sz w:val="18"/>
                <w:szCs w:val="18"/>
              </w:rPr>
              <w:t>% da DC sobre a RCL (I/IV)</w:t>
            </w:r>
          </w:p>
        </w:tc>
        <w:tc>
          <w:tcPr>
            <w:tcW w:w="727" w:type="pct"/>
            <w:tcBorders>
              <w:top w:val="nil"/>
              <w:left w:val="single" w:sz="8" w:space="0" w:color="000000"/>
              <w:bottom w:val="single" w:sz="8" w:space="0" w:color="000000"/>
              <w:right w:val="nil"/>
            </w:tcBorders>
            <w:shd w:val="clear" w:color="FFFFFF" w:fill="FFFFFF"/>
            <w:noWrap/>
            <w:vAlign w:val="center"/>
            <w:hideMark/>
          </w:tcPr>
          <w:p w14:paraId="7DE39BAA" w14:textId="77777777" w:rsidR="00E927D2" w:rsidRPr="00E73548" w:rsidRDefault="00E927D2" w:rsidP="006275E6">
            <w:pPr>
              <w:ind w:hanging="75"/>
              <w:jc w:val="center"/>
              <w:rPr>
                <w:rFonts w:cs="Arial"/>
                <w:bCs/>
                <w:color w:val="333333"/>
                <w:sz w:val="18"/>
                <w:szCs w:val="18"/>
              </w:rPr>
            </w:pPr>
            <w:r w:rsidRPr="00E73548">
              <w:rPr>
                <w:rFonts w:cs="Arial"/>
                <w:bCs/>
                <w:color w:val="333333"/>
                <w:sz w:val="18"/>
                <w:szCs w:val="18"/>
              </w:rPr>
              <w:t>84,24</w:t>
            </w:r>
          </w:p>
        </w:tc>
        <w:tc>
          <w:tcPr>
            <w:tcW w:w="727" w:type="pct"/>
            <w:tcBorders>
              <w:top w:val="nil"/>
              <w:left w:val="single" w:sz="8" w:space="0" w:color="000000"/>
              <w:bottom w:val="single" w:sz="8" w:space="0" w:color="000000"/>
              <w:right w:val="nil"/>
            </w:tcBorders>
            <w:shd w:val="clear" w:color="FFFFFF" w:fill="FFFFFF"/>
            <w:noWrap/>
            <w:vAlign w:val="center"/>
            <w:hideMark/>
          </w:tcPr>
          <w:p w14:paraId="1FD7C79D" w14:textId="77777777" w:rsidR="00E927D2" w:rsidRPr="00E73548" w:rsidRDefault="00E927D2" w:rsidP="006275E6">
            <w:pPr>
              <w:ind w:hanging="75"/>
              <w:jc w:val="center"/>
              <w:rPr>
                <w:rFonts w:cs="Arial"/>
                <w:bCs/>
                <w:color w:val="333333"/>
                <w:sz w:val="18"/>
                <w:szCs w:val="18"/>
              </w:rPr>
            </w:pPr>
            <w:r w:rsidRPr="00E73548">
              <w:rPr>
                <w:rFonts w:cs="Arial"/>
                <w:bCs/>
                <w:color w:val="333333"/>
                <w:sz w:val="18"/>
                <w:szCs w:val="18"/>
              </w:rPr>
              <w:t>86,15</w:t>
            </w:r>
          </w:p>
        </w:tc>
        <w:tc>
          <w:tcPr>
            <w:tcW w:w="727" w:type="pct"/>
            <w:tcBorders>
              <w:top w:val="nil"/>
              <w:left w:val="single" w:sz="8" w:space="0" w:color="000000"/>
              <w:bottom w:val="single" w:sz="8" w:space="0" w:color="000000"/>
              <w:right w:val="nil"/>
            </w:tcBorders>
            <w:shd w:val="clear" w:color="FFFFFF" w:fill="FFFFFF"/>
            <w:noWrap/>
            <w:vAlign w:val="center"/>
            <w:hideMark/>
          </w:tcPr>
          <w:p w14:paraId="34119971" w14:textId="77777777" w:rsidR="00E927D2" w:rsidRPr="00E73548" w:rsidRDefault="00E927D2" w:rsidP="006275E6">
            <w:pPr>
              <w:ind w:hanging="75"/>
              <w:jc w:val="center"/>
              <w:rPr>
                <w:rFonts w:cs="Arial"/>
                <w:bCs/>
                <w:color w:val="333333"/>
                <w:sz w:val="18"/>
                <w:szCs w:val="18"/>
              </w:rPr>
            </w:pPr>
            <w:r w:rsidRPr="00E73548">
              <w:rPr>
                <w:rFonts w:cs="Arial"/>
                <w:bCs/>
                <w:color w:val="333333"/>
                <w:sz w:val="18"/>
                <w:szCs w:val="18"/>
              </w:rPr>
              <w:t>73,02</w:t>
            </w:r>
          </w:p>
        </w:tc>
        <w:tc>
          <w:tcPr>
            <w:tcW w:w="727" w:type="pct"/>
            <w:tcBorders>
              <w:top w:val="nil"/>
              <w:left w:val="single" w:sz="8" w:space="0" w:color="000000"/>
              <w:bottom w:val="single" w:sz="8" w:space="0" w:color="000000"/>
              <w:right w:val="nil"/>
            </w:tcBorders>
            <w:shd w:val="clear" w:color="FFFFFF" w:fill="FFFFFF"/>
            <w:noWrap/>
            <w:vAlign w:val="center"/>
            <w:hideMark/>
          </w:tcPr>
          <w:p w14:paraId="223861DD" w14:textId="77777777" w:rsidR="00E927D2" w:rsidRPr="00E73548" w:rsidRDefault="00E927D2" w:rsidP="006275E6">
            <w:pPr>
              <w:ind w:hanging="75"/>
              <w:jc w:val="center"/>
              <w:rPr>
                <w:rFonts w:cs="Arial"/>
                <w:bCs/>
                <w:color w:val="333333"/>
                <w:sz w:val="18"/>
                <w:szCs w:val="18"/>
              </w:rPr>
            </w:pPr>
            <w:r w:rsidRPr="00E73548">
              <w:rPr>
                <w:rFonts w:cs="Arial"/>
                <w:bCs/>
                <w:color w:val="333333"/>
                <w:sz w:val="18"/>
                <w:szCs w:val="18"/>
              </w:rPr>
              <w:t>66,03</w:t>
            </w:r>
          </w:p>
        </w:tc>
        <w:tc>
          <w:tcPr>
            <w:tcW w:w="728" w:type="pct"/>
            <w:tcBorders>
              <w:top w:val="nil"/>
              <w:left w:val="single" w:sz="8" w:space="0" w:color="000000"/>
              <w:bottom w:val="single" w:sz="8" w:space="0" w:color="000000"/>
            </w:tcBorders>
            <w:shd w:val="clear" w:color="FFFFFF" w:fill="FFFFFF"/>
            <w:noWrap/>
            <w:vAlign w:val="center"/>
            <w:hideMark/>
          </w:tcPr>
          <w:p w14:paraId="680F1EA5" w14:textId="77777777" w:rsidR="00E927D2" w:rsidRPr="00E73548" w:rsidRDefault="00E927D2" w:rsidP="006275E6">
            <w:pPr>
              <w:ind w:hanging="75"/>
              <w:jc w:val="center"/>
              <w:rPr>
                <w:rFonts w:cs="Arial"/>
                <w:bCs/>
                <w:color w:val="333333"/>
                <w:sz w:val="18"/>
                <w:szCs w:val="18"/>
              </w:rPr>
            </w:pPr>
            <w:r w:rsidRPr="00E73548">
              <w:rPr>
                <w:rFonts w:cs="Arial"/>
                <w:bCs/>
                <w:color w:val="333333"/>
                <w:sz w:val="18"/>
                <w:szCs w:val="18"/>
              </w:rPr>
              <w:t>67,08</w:t>
            </w:r>
          </w:p>
        </w:tc>
      </w:tr>
      <w:tr w:rsidR="0001349C" w:rsidRPr="006275E6" w14:paraId="7FB0E232" w14:textId="77777777" w:rsidTr="0001349C">
        <w:trPr>
          <w:trHeight w:val="284"/>
        </w:trPr>
        <w:tc>
          <w:tcPr>
            <w:tcW w:w="1364" w:type="pct"/>
            <w:tcBorders>
              <w:top w:val="single" w:sz="8" w:space="0" w:color="000000"/>
              <w:bottom w:val="single" w:sz="8" w:space="0" w:color="000000"/>
              <w:right w:val="single" w:sz="8" w:space="0" w:color="000000"/>
            </w:tcBorders>
            <w:shd w:val="clear" w:color="FFFFFF" w:fill="A1F2FD"/>
            <w:noWrap/>
            <w:vAlign w:val="center"/>
            <w:hideMark/>
          </w:tcPr>
          <w:p w14:paraId="4C59CBCD" w14:textId="77777777" w:rsidR="00E927D2" w:rsidRPr="006275E6" w:rsidRDefault="00E927D2" w:rsidP="003671D8">
            <w:pPr>
              <w:jc w:val="center"/>
              <w:rPr>
                <w:rFonts w:cs="Arial"/>
                <w:b/>
                <w:bCs/>
                <w:color w:val="333333"/>
                <w:sz w:val="18"/>
                <w:szCs w:val="18"/>
              </w:rPr>
            </w:pPr>
            <w:r w:rsidRPr="006275E6">
              <w:rPr>
                <w:rFonts w:cs="Arial"/>
                <w:b/>
                <w:bCs/>
                <w:color w:val="333333"/>
                <w:sz w:val="18"/>
                <w:szCs w:val="18"/>
              </w:rPr>
              <w:t>% da DCL sobre a RCL (III/IV)</w:t>
            </w:r>
          </w:p>
        </w:tc>
        <w:tc>
          <w:tcPr>
            <w:tcW w:w="727" w:type="pct"/>
            <w:tcBorders>
              <w:top w:val="nil"/>
              <w:left w:val="nil"/>
              <w:bottom w:val="single" w:sz="8" w:space="0" w:color="000000"/>
              <w:right w:val="single" w:sz="8" w:space="0" w:color="000000"/>
            </w:tcBorders>
            <w:shd w:val="clear" w:color="FFFFFF" w:fill="A1F2FD"/>
            <w:noWrap/>
            <w:vAlign w:val="center"/>
            <w:hideMark/>
          </w:tcPr>
          <w:p w14:paraId="2BEC4866" w14:textId="77777777" w:rsidR="00E927D2" w:rsidRPr="006275E6" w:rsidRDefault="00E927D2" w:rsidP="006275E6">
            <w:pPr>
              <w:ind w:hanging="75"/>
              <w:jc w:val="center"/>
              <w:rPr>
                <w:rFonts w:cs="Arial"/>
                <w:b/>
                <w:bCs/>
                <w:color w:val="333333"/>
                <w:sz w:val="18"/>
                <w:szCs w:val="18"/>
              </w:rPr>
            </w:pPr>
            <w:r w:rsidRPr="006275E6">
              <w:rPr>
                <w:rFonts w:cs="Arial"/>
                <w:b/>
                <w:bCs/>
                <w:color w:val="333333"/>
                <w:sz w:val="18"/>
                <w:szCs w:val="18"/>
              </w:rPr>
              <w:t>82,87</w:t>
            </w:r>
          </w:p>
        </w:tc>
        <w:tc>
          <w:tcPr>
            <w:tcW w:w="727" w:type="pct"/>
            <w:tcBorders>
              <w:top w:val="nil"/>
              <w:left w:val="nil"/>
              <w:bottom w:val="single" w:sz="8" w:space="0" w:color="000000"/>
              <w:right w:val="single" w:sz="8" w:space="0" w:color="000000"/>
            </w:tcBorders>
            <w:shd w:val="clear" w:color="FFFFFF" w:fill="A1F2FD"/>
            <w:noWrap/>
            <w:vAlign w:val="center"/>
            <w:hideMark/>
          </w:tcPr>
          <w:p w14:paraId="22A22B20" w14:textId="77777777" w:rsidR="00E927D2" w:rsidRPr="006275E6" w:rsidRDefault="00E927D2" w:rsidP="006275E6">
            <w:pPr>
              <w:ind w:hanging="75"/>
              <w:jc w:val="center"/>
              <w:rPr>
                <w:rFonts w:cs="Arial"/>
                <w:b/>
                <w:bCs/>
                <w:color w:val="333333"/>
                <w:sz w:val="18"/>
                <w:szCs w:val="18"/>
              </w:rPr>
            </w:pPr>
            <w:r w:rsidRPr="006275E6">
              <w:rPr>
                <w:rFonts w:cs="Arial"/>
                <w:b/>
                <w:bCs/>
                <w:color w:val="333333"/>
                <w:sz w:val="18"/>
                <w:szCs w:val="18"/>
              </w:rPr>
              <w:t>72,45</w:t>
            </w:r>
          </w:p>
        </w:tc>
        <w:tc>
          <w:tcPr>
            <w:tcW w:w="727" w:type="pct"/>
            <w:tcBorders>
              <w:top w:val="nil"/>
              <w:left w:val="nil"/>
              <w:bottom w:val="single" w:sz="8" w:space="0" w:color="000000"/>
              <w:right w:val="single" w:sz="8" w:space="0" w:color="000000"/>
            </w:tcBorders>
            <w:shd w:val="clear" w:color="FFFFFF" w:fill="A1F2FD"/>
            <w:noWrap/>
            <w:vAlign w:val="center"/>
            <w:hideMark/>
          </w:tcPr>
          <w:p w14:paraId="425D3BB3" w14:textId="77777777" w:rsidR="00E927D2" w:rsidRPr="006275E6" w:rsidRDefault="00E927D2" w:rsidP="006275E6">
            <w:pPr>
              <w:ind w:hanging="75"/>
              <w:jc w:val="center"/>
              <w:rPr>
                <w:rFonts w:cs="Arial"/>
                <w:b/>
                <w:bCs/>
                <w:color w:val="333333"/>
                <w:sz w:val="18"/>
                <w:szCs w:val="18"/>
              </w:rPr>
            </w:pPr>
            <w:r w:rsidRPr="006275E6">
              <w:rPr>
                <w:rFonts w:cs="Arial"/>
                <w:b/>
                <w:bCs/>
                <w:color w:val="333333"/>
                <w:sz w:val="18"/>
                <w:szCs w:val="18"/>
              </w:rPr>
              <w:t>45,88</w:t>
            </w:r>
          </w:p>
        </w:tc>
        <w:tc>
          <w:tcPr>
            <w:tcW w:w="727" w:type="pct"/>
            <w:tcBorders>
              <w:top w:val="nil"/>
              <w:left w:val="nil"/>
              <w:bottom w:val="single" w:sz="8" w:space="0" w:color="000000"/>
              <w:right w:val="single" w:sz="8" w:space="0" w:color="000000"/>
            </w:tcBorders>
            <w:shd w:val="clear" w:color="FFFFFF" w:fill="A1F2FD"/>
            <w:noWrap/>
            <w:vAlign w:val="center"/>
            <w:hideMark/>
          </w:tcPr>
          <w:p w14:paraId="0DC80A09" w14:textId="77777777" w:rsidR="00E927D2" w:rsidRPr="006275E6" w:rsidRDefault="00E927D2" w:rsidP="006275E6">
            <w:pPr>
              <w:ind w:hanging="75"/>
              <w:jc w:val="center"/>
              <w:rPr>
                <w:rFonts w:cs="Arial"/>
                <w:b/>
                <w:bCs/>
                <w:color w:val="333333"/>
                <w:sz w:val="18"/>
                <w:szCs w:val="18"/>
              </w:rPr>
            </w:pPr>
            <w:r w:rsidRPr="006275E6">
              <w:rPr>
                <w:rFonts w:cs="Arial"/>
                <w:b/>
                <w:bCs/>
                <w:color w:val="333333"/>
                <w:sz w:val="18"/>
                <w:szCs w:val="18"/>
              </w:rPr>
              <w:t>32,52</w:t>
            </w:r>
          </w:p>
        </w:tc>
        <w:tc>
          <w:tcPr>
            <w:tcW w:w="728" w:type="pct"/>
            <w:tcBorders>
              <w:top w:val="nil"/>
              <w:left w:val="nil"/>
              <w:bottom w:val="single" w:sz="8" w:space="0" w:color="000000"/>
            </w:tcBorders>
            <w:shd w:val="clear" w:color="FFFFFF" w:fill="A1F2FD"/>
            <w:noWrap/>
            <w:vAlign w:val="center"/>
            <w:hideMark/>
          </w:tcPr>
          <w:p w14:paraId="4E35C419" w14:textId="77777777" w:rsidR="00E927D2" w:rsidRPr="006275E6" w:rsidRDefault="00E927D2" w:rsidP="006275E6">
            <w:pPr>
              <w:ind w:hanging="75"/>
              <w:jc w:val="center"/>
              <w:rPr>
                <w:rFonts w:cs="Arial"/>
                <w:b/>
                <w:bCs/>
                <w:color w:val="333333"/>
                <w:sz w:val="18"/>
                <w:szCs w:val="18"/>
              </w:rPr>
            </w:pPr>
            <w:r w:rsidRPr="006275E6">
              <w:rPr>
                <w:rFonts w:cs="Arial"/>
                <w:b/>
                <w:bCs/>
                <w:color w:val="333333"/>
                <w:sz w:val="18"/>
                <w:szCs w:val="18"/>
              </w:rPr>
              <w:t>29,53</w:t>
            </w:r>
          </w:p>
        </w:tc>
      </w:tr>
      <w:tr w:rsidR="0001349C" w:rsidRPr="006275E6" w14:paraId="017C8CF7" w14:textId="77777777" w:rsidTr="0001349C">
        <w:trPr>
          <w:trHeight w:val="284"/>
        </w:trPr>
        <w:tc>
          <w:tcPr>
            <w:tcW w:w="1364" w:type="pct"/>
            <w:tcBorders>
              <w:top w:val="single" w:sz="8" w:space="0" w:color="000000"/>
              <w:bottom w:val="single" w:sz="8" w:space="0" w:color="000000"/>
              <w:right w:val="nil"/>
            </w:tcBorders>
            <w:shd w:val="clear" w:color="FFFFFF" w:fill="FFFFFF"/>
            <w:noWrap/>
            <w:vAlign w:val="center"/>
            <w:hideMark/>
          </w:tcPr>
          <w:p w14:paraId="3FE2A6AE" w14:textId="77777777" w:rsidR="00E927D2" w:rsidRPr="006275E6" w:rsidRDefault="00E927D2" w:rsidP="003671D8">
            <w:pPr>
              <w:jc w:val="center"/>
              <w:rPr>
                <w:rFonts w:cs="Arial"/>
                <w:b/>
                <w:bCs/>
                <w:color w:val="333333"/>
                <w:sz w:val="18"/>
                <w:szCs w:val="18"/>
              </w:rPr>
            </w:pPr>
            <w:r w:rsidRPr="006275E6">
              <w:rPr>
                <w:rFonts w:cs="Arial"/>
                <w:b/>
                <w:bCs/>
                <w:color w:val="333333"/>
                <w:sz w:val="18"/>
                <w:szCs w:val="18"/>
              </w:rPr>
              <w:t>LIMITE - &lt;200%</w:t>
            </w:r>
          </w:p>
        </w:tc>
        <w:tc>
          <w:tcPr>
            <w:tcW w:w="727" w:type="pct"/>
            <w:tcBorders>
              <w:top w:val="nil"/>
              <w:left w:val="single" w:sz="8" w:space="0" w:color="000000"/>
              <w:bottom w:val="single" w:sz="8" w:space="0" w:color="000000"/>
              <w:right w:val="nil"/>
            </w:tcBorders>
            <w:shd w:val="clear" w:color="FFFFFF" w:fill="FFFFFF"/>
            <w:noWrap/>
            <w:vAlign w:val="center"/>
            <w:hideMark/>
          </w:tcPr>
          <w:p w14:paraId="75212744"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49.077.242.634</w:t>
            </w:r>
          </w:p>
        </w:tc>
        <w:tc>
          <w:tcPr>
            <w:tcW w:w="727" w:type="pct"/>
            <w:tcBorders>
              <w:top w:val="nil"/>
              <w:left w:val="single" w:sz="8" w:space="0" w:color="000000"/>
              <w:bottom w:val="single" w:sz="8" w:space="0" w:color="000000"/>
              <w:right w:val="nil"/>
            </w:tcBorders>
            <w:shd w:val="clear" w:color="FFFFFF" w:fill="FFFFFF"/>
            <w:noWrap/>
            <w:vAlign w:val="center"/>
            <w:hideMark/>
          </w:tcPr>
          <w:p w14:paraId="13EC558A"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52.619.258.109</w:t>
            </w:r>
          </w:p>
        </w:tc>
        <w:tc>
          <w:tcPr>
            <w:tcW w:w="727" w:type="pct"/>
            <w:tcBorders>
              <w:top w:val="nil"/>
              <w:left w:val="single" w:sz="8" w:space="0" w:color="000000"/>
              <w:bottom w:val="single" w:sz="8" w:space="0" w:color="000000"/>
              <w:right w:val="nil"/>
            </w:tcBorders>
            <w:shd w:val="clear" w:color="FFFFFF" w:fill="FFFFFF"/>
            <w:noWrap/>
            <w:vAlign w:val="center"/>
            <w:hideMark/>
          </w:tcPr>
          <w:p w14:paraId="6C9A5018"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63.079.198.969</w:t>
            </w:r>
          </w:p>
        </w:tc>
        <w:tc>
          <w:tcPr>
            <w:tcW w:w="727" w:type="pct"/>
            <w:tcBorders>
              <w:top w:val="nil"/>
              <w:left w:val="single" w:sz="8" w:space="0" w:color="000000"/>
              <w:bottom w:val="single" w:sz="8" w:space="0" w:color="000000"/>
              <w:right w:val="nil"/>
            </w:tcBorders>
            <w:shd w:val="clear" w:color="FFFFFF" w:fill="FFFFFF"/>
            <w:noWrap/>
            <w:vAlign w:val="center"/>
            <w:hideMark/>
          </w:tcPr>
          <w:p w14:paraId="76FF9510"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74.406.081.436</w:t>
            </w:r>
          </w:p>
        </w:tc>
        <w:tc>
          <w:tcPr>
            <w:tcW w:w="728" w:type="pct"/>
            <w:tcBorders>
              <w:top w:val="nil"/>
              <w:left w:val="single" w:sz="8" w:space="0" w:color="000000"/>
              <w:bottom w:val="single" w:sz="8" w:space="0" w:color="000000"/>
            </w:tcBorders>
            <w:shd w:val="clear" w:color="FFFFFF" w:fill="FFFFFF"/>
            <w:noWrap/>
            <w:vAlign w:val="center"/>
            <w:hideMark/>
          </w:tcPr>
          <w:p w14:paraId="460679D4" w14:textId="77777777" w:rsidR="00E927D2" w:rsidRPr="006275E6" w:rsidRDefault="00E927D2" w:rsidP="006275E6">
            <w:pPr>
              <w:ind w:hanging="75"/>
              <w:jc w:val="right"/>
              <w:rPr>
                <w:rFonts w:cs="Arial"/>
                <w:b/>
                <w:bCs/>
                <w:color w:val="333333"/>
                <w:sz w:val="18"/>
                <w:szCs w:val="18"/>
              </w:rPr>
            </w:pPr>
            <w:r w:rsidRPr="006275E6">
              <w:rPr>
                <w:rFonts w:cs="Arial"/>
                <w:b/>
                <w:bCs/>
                <w:color w:val="333333"/>
                <w:sz w:val="18"/>
                <w:szCs w:val="18"/>
              </w:rPr>
              <w:t>76.729.098.666</w:t>
            </w:r>
          </w:p>
        </w:tc>
      </w:tr>
    </w:tbl>
    <w:p w14:paraId="22389621" w14:textId="77777777" w:rsidR="00E927D2" w:rsidRPr="004E12B8" w:rsidRDefault="00E927D2" w:rsidP="00E927D2">
      <w:pPr>
        <w:pStyle w:val="1-FONTE8ESQ"/>
      </w:pPr>
      <w:r w:rsidRPr="004E12B8">
        <w:t xml:space="preserve">Fonte: RGFs e </w:t>
      </w:r>
      <w:r>
        <w:t>BGE</w:t>
      </w:r>
      <w:r w:rsidRPr="004E12B8">
        <w:t xml:space="preserve"> do estado de Goiás de 2023</w:t>
      </w:r>
    </w:p>
    <w:p w14:paraId="6FE444E1" w14:textId="77777777" w:rsidR="00E927D2" w:rsidRPr="001C305A" w:rsidRDefault="00E927D2" w:rsidP="00E927D2">
      <w:pPr>
        <w:pStyle w:val="1-REL11"/>
      </w:pPr>
      <w:r w:rsidRPr="001C305A">
        <w:t>A dívida bruta aumentou R$ 1,1</w:t>
      </w:r>
      <w:r>
        <w:t>6</w:t>
      </w:r>
      <w:r w:rsidRPr="001C305A">
        <w:t xml:space="preserve"> bilhão no período 2022/2023, resultado da reestruturação da dívida do Estado com base no RRF.</w:t>
      </w:r>
    </w:p>
    <w:p w14:paraId="23336FBA" w14:textId="77777777" w:rsidR="00E927D2" w:rsidRPr="001C305A" w:rsidRDefault="00E927D2" w:rsidP="00E927D2">
      <w:pPr>
        <w:pStyle w:val="1-REL11"/>
      </w:pPr>
      <w:r w:rsidRPr="001C305A">
        <w:t>A Dívida Consolidada Líquida (DCL) de R$ 11,32 bilhões representa 29,53% da RCL. Assim, considerando que o limite para a DCL definido pela Resolução do Senado Federal nº 40/2001 é de 200% da RCL, têm-se por consequência que Goiás obedeceu ao limite legal de endividamento.</w:t>
      </w:r>
    </w:p>
    <w:p w14:paraId="0751F7BC" w14:textId="77777777" w:rsidR="00E927D2" w:rsidRPr="001C305A" w:rsidRDefault="00E927D2" w:rsidP="00E927D2">
      <w:pPr>
        <w:pStyle w:val="1-REL11"/>
      </w:pPr>
      <w:r w:rsidRPr="001C305A">
        <w:t>O saldo da DCL reduziu R$ 768</w:t>
      </w:r>
      <w:r>
        <w:t>,92</w:t>
      </w:r>
      <w:r w:rsidRPr="001C305A">
        <w:t xml:space="preserve"> milhões em relação à 2022. Tal redução foi fundamentada pelo aumento da disponibilidade financeira de R$ 1,9</w:t>
      </w:r>
      <w:r>
        <w:t>3</w:t>
      </w:r>
      <w:r w:rsidRPr="001C305A">
        <w:t xml:space="preserve"> bilhão em 2023.</w:t>
      </w:r>
    </w:p>
    <w:p w14:paraId="6E998D82" w14:textId="77777777" w:rsidR="00E927D2" w:rsidRPr="001C305A" w:rsidRDefault="00E927D2" w:rsidP="00E927D2">
      <w:pPr>
        <w:pStyle w:val="1-REL11"/>
      </w:pPr>
      <w:r w:rsidRPr="001C305A">
        <w:t xml:space="preserve">O Poder Executivo esclareceu que DCL do Estado poderá vir a </w:t>
      </w:r>
      <w:r w:rsidRPr="00E342A3">
        <w:t>incluir os passivos contingentes provenientes do Fundo de Aporte à Celg D</w:t>
      </w:r>
      <w:r>
        <w:t xml:space="preserve"> (</w:t>
      </w:r>
      <w:r w:rsidRPr="00E342A3">
        <w:t>Funac</w:t>
      </w:r>
      <w:r>
        <w:t xml:space="preserve">), </w:t>
      </w:r>
      <w:r w:rsidRPr="00E342A3">
        <w:t>Lei Estadual nº 17.555</w:t>
      </w:r>
      <w:r>
        <w:t xml:space="preserve">, de 20 de janeiro de </w:t>
      </w:r>
      <w:r w:rsidRPr="00E342A3">
        <w:t>2012. Este fundo tem como objetivo reunir e destinar recursos financeiros</w:t>
      </w:r>
      <w:r w:rsidRPr="001C305A">
        <w:t xml:space="preserve"> para o adimplemento das obrigações provenientes dos passivos contenciosos e administrativos, ainda que não escriturados, da Celg Distribuição SA, cujos fatos geradores sejam anteriores a 24/12/</w:t>
      </w:r>
      <w:r>
        <w:t>20</w:t>
      </w:r>
      <w:r w:rsidRPr="001C305A">
        <w:t xml:space="preserve">12. </w:t>
      </w:r>
      <w:r>
        <w:t>O valor das</w:t>
      </w:r>
      <w:r w:rsidRPr="001C305A">
        <w:t xml:space="preserve"> possíveis contingências transcritas em Notas Explicativas do RGF era de R$ 1,63 bilhão. No entanto, esses dados informados pela companhia Equatorial Energia refere</w:t>
      </w:r>
      <w:r>
        <w:t>m</w:t>
      </w:r>
      <w:r w:rsidRPr="001C305A">
        <w:t>-se ao Balanço Patrimonial de 2022, portanto, estão desatualizados para o exercício financeiro de 2023.</w:t>
      </w:r>
    </w:p>
    <w:p w14:paraId="13D6A67F" w14:textId="77777777" w:rsidR="00E927D2" w:rsidRPr="001C305A" w:rsidRDefault="00E927D2" w:rsidP="00E927D2">
      <w:pPr>
        <w:pStyle w:val="1-REL11"/>
      </w:pPr>
      <w:r w:rsidRPr="001C305A">
        <w:t>Outro passivo contingente relevante que pode ser considerado no cálculo da DCL est</w:t>
      </w:r>
      <w:r>
        <w:t>á</w:t>
      </w:r>
      <w:r w:rsidRPr="001C305A">
        <w:t xml:space="preserve"> relacionado às ações judiciais envolvendo os Programas Protege, Fomentar e Produzir controladas pela </w:t>
      </w:r>
      <w:r>
        <w:t>Procuradoria-Geral do Estado (</w:t>
      </w:r>
      <w:r w:rsidRPr="001C305A">
        <w:t>PGE</w:t>
      </w:r>
      <w:r>
        <w:t xml:space="preserve">), </w:t>
      </w:r>
      <w:r w:rsidRPr="001C305A">
        <w:t>Despacho nº 1070/23/PGE;GETI-05489, totalizando em 31/12/</w:t>
      </w:r>
      <w:r>
        <w:t>20</w:t>
      </w:r>
      <w:r w:rsidRPr="001C305A">
        <w:t>23 o valor de R$ 40,35 bilhões.</w:t>
      </w:r>
    </w:p>
    <w:p w14:paraId="2CBE09C4" w14:textId="77777777" w:rsidR="00E927D2" w:rsidRPr="001C305A" w:rsidRDefault="00E927D2" w:rsidP="00E927D2">
      <w:pPr>
        <w:pStyle w:val="1-REL11"/>
      </w:pPr>
      <w:r w:rsidRPr="001C305A">
        <w:lastRenderedPageBreak/>
        <w:t xml:space="preserve">Portanto, </w:t>
      </w:r>
      <w:bookmarkStart w:id="128" w:name="_Hlk134631149"/>
      <w:r w:rsidRPr="001C305A">
        <w:t>considerando estes passivos contingentes (F</w:t>
      </w:r>
      <w:r>
        <w:t>unac</w:t>
      </w:r>
      <w:r w:rsidRPr="001C305A">
        <w:t xml:space="preserve"> e ações judiciais envolvendo os programas financeiros), a DCL de Goiás potencialmente totaliza R$ 53,31 bilhões, equivalendo a 138,97% da RCL.</w:t>
      </w:r>
    </w:p>
    <w:bookmarkEnd w:id="128"/>
    <w:p w14:paraId="11895D74" w14:textId="77777777" w:rsidR="00E927D2" w:rsidRPr="001C305A" w:rsidRDefault="00E927D2" w:rsidP="00E927D2">
      <w:pPr>
        <w:pStyle w:val="1-REL11"/>
      </w:pPr>
      <w:r w:rsidRPr="001C305A">
        <w:t xml:space="preserve">Destaca-se que, </w:t>
      </w:r>
      <w:r>
        <w:t>em relação às</w:t>
      </w:r>
      <w:r w:rsidRPr="001C305A">
        <w:t xml:space="preserve"> outras dívidas registradas no valor de R$ 112</w:t>
      </w:r>
      <w:r>
        <w:t>,65</w:t>
      </w:r>
      <w:r w:rsidRPr="001C305A">
        <w:t xml:space="preserve"> milhões</w:t>
      </w:r>
      <w:r>
        <w:t>,</w:t>
      </w:r>
      <w:r w:rsidRPr="001C305A">
        <w:t xml:space="preserve"> observou-se que foram registradas na conta contábil 8.6.3.2.1</w:t>
      </w:r>
      <w:r>
        <w:t>,</w:t>
      </w:r>
      <w:r w:rsidRPr="001C305A">
        <w:t xml:space="preserve"> relacionados </w:t>
      </w:r>
      <w:r>
        <w:t>à</w:t>
      </w:r>
      <w:r w:rsidRPr="001C305A">
        <w:t>s obrigações por competência de vários órgãos estaduais. Contudo, registr</w:t>
      </w:r>
      <w:r>
        <w:t>a</w:t>
      </w:r>
      <w:r w:rsidRPr="001C305A">
        <w:t>-se que o MDF 13ª edição afirma que essas obrigações deve</w:t>
      </w:r>
      <w:r>
        <w:t>m</w:t>
      </w:r>
      <w:r w:rsidRPr="001C305A">
        <w:t xml:space="preserve"> obedecer a certos requisitos, tais como a indisponibilidade de caixa. Assim, a Unidade Técnica acompanhará por meio do RG</w:t>
      </w:r>
      <w:r>
        <w:t>F</w:t>
      </w:r>
      <w:r w:rsidRPr="001C305A">
        <w:t xml:space="preserve"> do Poder Executivo do exercício financeiro de 2024 se os procedimentos estão sendo efetuados de maneira correta.</w:t>
      </w:r>
    </w:p>
    <w:p w14:paraId="5DD2D5EC" w14:textId="77777777" w:rsidR="00E927D2" w:rsidRPr="001C305A" w:rsidRDefault="00E927D2" w:rsidP="00E927D2">
      <w:pPr>
        <w:pStyle w:val="1-REL11"/>
      </w:pPr>
      <w:r w:rsidRPr="001C305A">
        <w:t xml:space="preserve">Apesar da elevada dívida apresentada por Goiás, ainda existe margem para contrair novos empréstimos. Deve-se, contudo, observar outros indicadores e requisitos estabelecidos </w:t>
      </w:r>
      <w:r w:rsidRPr="00F76D92">
        <w:t>pelo art. 7º da Resolução do Senado Federal nº 43/2001.</w:t>
      </w:r>
    </w:p>
    <w:p w14:paraId="23BCDFCB" w14:textId="77777777" w:rsidR="00BB3426" w:rsidRPr="001C305A" w:rsidRDefault="00BB3426" w:rsidP="00BB3426">
      <w:pPr>
        <w:pStyle w:val="1-REL11"/>
      </w:pPr>
    </w:p>
    <w:p w14:paraId="1FE237F4" w14:textId="77777777" w:rsidR="00BB3426" w:rsidRPr="001C305A" w:rsidRDefault="00BB3426" w:rsidP="00BB3426">
      <w:pPr>
        <w:pStyle w:val="Ttulo2"/>
        <w:spacing w:before="100" w:beforeAutospacing="1" w:after="100" w:afterAutospacing="1" w:line="276" w:lineRule="auto"/>
        <w:contextualSpacing/>
      </w:pPr>
      <w:bookmarkStart w:id="129" w:name="_Toc167871650"/>
      <w:r w:rsidRPr="001C305A">
        <w:t>Operações de Crédito</w:t>
      </w:r>
      <w:bookmarkEnd w:id="129"/>
    </w:p>
    <w:p w14:paraId="448950E0" w14:textId="77777777" w:rsidR="00BB3426" w:rsidRPr="001C305A" w:rsidRDefault="00BB3426" w:rsidP="00BB3426">
      <w:pPr>
        <w:pStyle w:val="1-REL11"/>
      </w:pPr>
      <w:r w:rsidRPr="001C305A">
        <w:t>A subseção de operações de crédito permite demonstrar o panorama apresentado por Goiás quando do encerramento do exercício de 2023 relacionado às operações de crédito e respectivo limite.</w:t>
      </w:r>
    </w:p>
    <w:p w14:paraId="62F074EB" w14:textId="77777777" w:rsidR="00BB3426" w:rsidRPr="001C305A" w:rsidRDefault="00BB3426" w:rsidP="00A224E9">
      <w:pPr>
        <w:pStyle w:val="Ttulo3"/>
      </w:pPr>
      <w:bookmarkStart w:id="130" w:name="_Toc167871651"/>
      <w:r w:rsidRPr="001C305A">
        <w:t>Conceito</w:t>
      </w:r>
      <w:bookmarkEnd w:id="130"/>
    </w:p>
    <w:p w14:paraId="3DC24984" w14:textId="77777777" w:rsidR="00BB3426" w:rsidRPr="001C305A" w:rsidRDefault="00BB3426" w:rsidP="00BB3426">
      <w:pPr>
        <w:pStyle w:val="1-REL11"/>
      </w:pPr>
      <w:r w:rsidRPr="001C305A">
        <w:t>A LRF, nos termos do art. 29, assim define as operações de crédito:</w:t>
      </w:r>
    </w:p>
    <w:p w14:paraId="618B273D" w14:textId="77777777" w:rsidR="00BB3426" w:rsidRPr="001C305A" w:rsidRDefault="00BB3426" w:rsidP="00BB3426">
      <w:pPr>
        <w:pStyle w:val="1-CITAO"/>
      </w:pPr>
      <w:r w:rsidRPr="001C305A">
        <w:t>[...]</w:t>
      </w:r>
    </w:p>
    <w:p w14:paraId="326D4AA5" w14:textId="77777777" w:rsidR="00BB3426" w:rsidRDefault="00BB3426" w:rsidP="00BB3426">
      <w:pPr>
        <w:pStyle w:val="1-CITAO"/>
      </w:pPr>
    </w:p>
    <w:p w14:paraId="25D55C9B" w14:textId="77777777" w:rsidR="00BB3426" w:rsidRPr="001C305A" w:rsidRDefault="00BB3426" w:rsidP="00BB3426">
      <w:pPr>
        <w:pStyle w:val="1-CITAO"/>
      </w:pPr>
      <w:r w:rsidRPr="001C305A">
        <w:t>III - operação de crédito: compromisso financeiro assumido em razão de mútuo, abertura de crédito, emissão e aceite de título, aquisição financiada de bens, recebimento antecipado de valores provenientes da venda a termo de bens e serviços, arrendamento mercantil e outras operações assemelhadas, inclusive com o uso de derivativos financeiros;</w:t>
      </w:r>
    </w:p>
    <w:p w14:paraId="054E76C9" w14:textId="77777777" w:rsidR="00BB3426" w:rsidRDefault="00BB3426" w:rsidP="00BB3426">
      <w:pPr>
        <w:pStyle w:val="1-CITAO"/>
      </w:pPr>
    </w:p>
    <w:p w14:paraId="2E2FB3A5" w14:textId="77777777" w:rsidR="00BB3426" w:rsidRPr="001C305A" w:rsidRDefault="00BB3426" w:rsidP="00BB3426">
      <w:pPr>
        <w:pStyle w:val="1-CITAO"/>
      </w:pPr>
      <w:r w:rsidRPr="001C305A">
        <w:t>[...]</w:t>
      </w:r>
    </w:p>
    <w:p w14:paraId="770B8460" w14:textId="77777777" w:rsidR="00BB3426" w:rsidRDefault="00BB3426" w:rsidP="00BB3426">
      <w:pPr>
        <w:pStyle w:val="1-CITAO"/>
      </w:pPr>
    </w:p>
    <w:p w14:paraId="0FE24300" w14:textId="77777777" w:rsidR="00BB3426" w:rsidRPr="001C305A" w:rsidRDefault="00BB3426" w:rsidP="00BB3426">
      <w:pPr>
        <w:pStyle w:val="1-CITAO"/>
      </w:pPr>
      <w:r w:rsidRPr="001C305A">
        <w:t>§ 1º Equipara-se a operação de crédito a assunção, o reconhecimento ou a confissão de dívidas pelo ente da Federação, sem prejuízo do cumprimento das exigências dos arts. 15 e 16.</w:t>
      </w:r>
    </w:p>
    <w:p w14:paraId="76310EAB" w14:textId="77777777" w:rsidR="00BB3426" w:rsidRPr="001C305A" w:rsidRDefault="00BB3426" w:rsidP="00BB3426">
      <w:pPr>
        <w:pStyle w:val="1-REL11"/>
      </w:pPr>
      <w:r w:rsidRPr="001C305A">
        <w:t>Portanto, qualquer compromisso assumido que se encaixe nas modalidades acima, configura-se como operações de crédito.</w:t>
      </w:r>
    </w:p>
    <w:p w14:paraId="530CB4C0" w14:textId="77777777" w:rsidR="00BB3426" w:rsidRPr="001C305A" w:rsidRDefault="00BB3426" w:rsidP="00A224E9">
      <w:pPr>
        <w:pStyle w:val="Ttulo3"/>
      </w:pPr>
      <w:bookmarkStart w:id="131" w:name="_Toc167871652"/>
      <w:r w:rsidRPr="001C305A">
        <w:lastRenderedPageBreak/>
        <w:t>Apuração das Operações de Crédito</w:t>
      </w:r>
      <w:bookmarkEnd w:id="131"/>
    </w:p>
    <w:p w14:paraId="297F02B1" w14:textId="77777777" w:rsidR="00BB3426" w:rsidRPr="001C305A" w:rsidRDefault="00BB3426" w:rsidP="00BB3426">
      <w:pPr>
        <w:pStyle w:val="1-REL11"/>
      </w:pPr>
      <w:r w:rsidRPr="001C305A">
        <w:t xml:space="preserve">O art. 7º, inciso I, da </w:t>
      </w:r>
      <w:r w:rsidRPr="001D1B27">
        <w:t>Resolução nº 43/2001 do</w:t>
      </w:r>
      <w:r w:rsidRPr="001C305A">
        <w:t xml:space="preserve"> Senado Federal, estabelece:</w:t>
      </w:r>
    </w:p>
    <w:p w14:paraId="08970B15" w14:textId="77777777" w:rsidR="00BB3426" w:rsidRPr="001C305A" w:rsidRDefault="00BB3426" w:rsidP="00BB3426">
      <w:pPr>
        <w:pStyle w:val="1-CITAO"/>
      </w:pPr>
      <w:r w:rsidRPr="001C305A">
        <w:t>Art. 7º As operações de crédito interno e externo dos Estados, do Distrito Federal, dos Municípios observarão, ainda, os seguintes limites:</w:t>
      </w:r>
    </w:p>
    <w:p w14:paraId="2590E2BF" w14:textId="77777777" w:rsidR="00BB3426" w:rsidRPr="001C305A" w:rsidRDefault="00BB3426" w:rsidP="00BB3426">
      <w:pPr>
        <w:pStyle w:val="1-CITAO"/>
      </w:pPr>
      <w:r w:rsidRPr="001C305A">
        <w:t xml:space="preserve">I - o montante global das operações realizadas em um exercício financeiro </w:t>
      </w:r>
      <w:r w:rsidRPr="001C305A">
        <w:rPr>
          <w:b/>
        </w:rPr>
        <w:t>não poderá ser superior a 16% (dezesseis por cento) da receita corrente líquida</w:t>
      </w:r>
      <w:r w:rsidRPr="001C305A">
        <w:t>, definida no art. 4; (grifo nosso)</w:t>
      </w:r>
    </w:p>
    <w:p w14:paraId="4257831E" w14:textId="77777777" w:rsidR="00BB3426" w:rsidRPr="001C305A" w:rsidRDefault="00BB3426" w:rsidP="00BB3426">
      <w:pPr>
        <w:pStyle w:val="1-REL11"/>
      </w:pPr>
      <w:r w:rsidRPr="001C305A">
        <w:t>Portanto, considerando que a RCL apurada e ajustada de Goiás em 2023 atingiu R$ 38</w:t>
      </w:r>
      <w:r>
        <w:t>,</w:t>
      </w:r>
      <w:r w:rsidRPr="001C305A">
        <w:t>36</w:t>
      </w:r>
      <w:r>
        <w:t> bilhões,</w:t>
      </w:r>
      <w:r w:rsidRPr="001C305A">
        <w:t xml:space="preserve"> o limite para operações de crédito é de R$ 6</w:t>
      </w:r>
      <w:r>
        <w:t>,</w:t>
      </w:r>
      <w:r w:rsidRPr="001C305A">
        <w:t>13</w:t>
      </w:r>
      <w:r>
        <w:t xml:space="preserve"> bilhões</w:t>
      </w:r>
      <w:r w:rsidRPr="001C305A">
        <w:t xml:space="preserve"> (16%).</w:t>
      </w:r>
    </w:p>
    <w:p w14:paraId="324DE58C" w14:textId="77777777" w:rsidR="00BB3426" w:rsidRPr="001C305A" w:rsidRDefault="00BB3426" w:rsidP="00BB3426">
      <w:pPr>
        <w:pStyle w:val="1-REL11"/>
      </w:pPr>
      <w:r w:rsidRPr="001C305A">
        <w:t>Em 2023 o estado de Goiás não contratou operações de crédito.</w:t>
      </w:r>
    </w:p>
    <w:p w14:paraId="716C08EB" w14:textId="77777777" w:rsidR="00BB3426" w:rsidRPr="001C305A" w:rsidRDefault="00BB3426" w:rsidP="00BB3426">
      <w:pPr>
        <w:pStyle w:val="Ttulo2"/>
        <w:spacing w:before="100" w:beforeAutospacing="1" w:after="100" w:afterAutospacing="1" w:line="276" w:lineRule="auto"/>
        <w:contextualSpacing/>
      </w:pPr>
      <w:bookmarkStart w:id="132" w:name="_Toc167871653"/>
      <w:r w:rsidRPr="001C305A">
        <w:t>Serviço da Dívida</w:t>
      </w:r>
      <w:bookmarkEnd w:id="132"/>
    </w:p>
    <w:p w14:paraId="589F1023" w14:textId="77777777" w:rsidR="00BB3426" w:rsidRPr="001C305A" w:rsidRDefault="00BB3426" w:rsidP="00BB3426">
      <w:pPr>
        <w:pStyle w:val="1-REL11"/>
      </w:pPr>
      <w:r w:rsidRPr="001C305A">
        <w:t>A presente subseção abarca análise dos serviços da dívida obtidos pelo Estado, obrigações estas contraídas para execução de projetos de investimentos.</w:t>
      </w:r>
    </w:p>
    <w:p w14:paraId="693AF6CA" w14:textId="77777777" w:rsidR="00BB3426" w:rsidRPr="001C305A" w:rsidRDefault="00BB3426" w:rsidP="00BB3426">
      <w:pPr>
        <w:pStyle w:val="1-REL11"/>
      </w:pPr>
      <w:r w:rsidRPr="001C305A">
        <w:t>Parte expressiva de um orçamento público é vinculado e o resultado dessa vinculação deixa o gestor com pouca margem de recursos públicos para realização dos investimentos que a sociedade demanda.</w:t>
      </w:r>
    </w:p>
    <w:p w14:paraId="161A88B0" w14:textId="77777777" w:rsidR="00BB3426" w:rsidRPr="00F14616" w:rsidRDefault="00BB3426" w:rsidP="00BB3426">
      <w:pPr>
        <w:pStyle w:val="1-REL11"/>
      </w:pPr>
      <w:r w:rsidRPr="001C305A">
        <w:t xml:space="preserve">Os gestores públicos contraem dívidas para executarem projetos, sobretudo, em áreas de infraestrutura, que exigem a </w:t>
      </w:r>
      <w:r w:rsidRPr="00F14616">
        <w:t>aplicação de vultosos recursos públicos.</w:t>
      </w:r>
    </w:p>
    <w:p w14:paraId="12FA9198" w14:textId="77777777" w:rsidR="00BB3426" w:rsidRPr="00F14616" w:rsidRDefault="00BB3426" w:rsidP="00BB3426">
      <w:pPr>
        <w:pStyle w:val="1-REL11"/>
      </w:pPr>
      <w:r w:rsidRPr="00F14616">
        <w:t>A maioria da dívida contratual contraída pela administração estadual, especialmente os recursos de contratos mais expressivos, é oriunda de programas de ajustes fiscais instituídos por meio de leis aprovadas pelo Congresso Nacional, sobretudo, das Leis Federais nº</w:t>
      </w:r>
      <w:r>
        <w:t> </w:t>
      </w:r>
      <w:r w:rsidRPr="00F14616">
        <w:t>8.727/1993 e 9.496/1997, cujo montante a pagar é de R$ 8,01 bilhões.</w:t>
      </w:r>
    </w:p>
    <w:p w14:paraId="31B03CE7" w14:textId="77777777" w:rsidR="00BB3426" w:rsidRPr="00F14616" w:rsidRDefault="00BB3426" w:rsidP="00BB3426">
      <w:pPr>
        <w:pStyle w:val="1-REL11"/>
      </w:pPr>
      <w:r w:rsidRPr="00F14616">
        <w:t>Os contratos assinados por meio do RRF ao qual o estado de Goiás foi submetido, relacionados aos Contratos União-255/2021/CAF art 9º-A LC nº 159/17 (RRF) e UNIÃO - 242/21/CAF art. 23 LC nº 178/21</w:t>
      </w:r>
      <w:r w:rsidRPr="00F14616">
        <w:rPr>
          <w:i/>
        </w:rPr>
        <w:t>,</w:t>
      </w:r>
      <w:r w:rsidRPr="00F14616">
        <w:t xml:space="preserve"> têm saldo devedor de R$ 6,7 bilhões.</w:t>
      </w:r>
    </w:p>
    <w:p w14:paraId="511D24BC" w14:textId="77777777" w:rsidR="00BB3426" w:rsidRPr="00F14616" w:rsidRDefault="00BB3426" w:rsidP="00BB3426">
      <w:pPr>
        <w:pStyle w:val="1-REL11"/>
      </w:pPr>
      <w:r w:rsidRPr="00F14616">
        <w:t>Cabe destacar que a Resolução nº 43/2001 do Senado Federal estabelece, no art. 7º, inciso</w:t>
      </w:r>
      <w:r>
        <w:t> </w:t>
      </w:r>
      <w:r w:rsidRPr="00F14616">
        <w:t>II, que o comprometimento anual com amortizações, juros e demais encargos da dívida consolidada, inclusive os relativos a valores a desembolsar de operações de crédito já contratadas e a contratar, não poderá exceder a 11,5% da RCL.</w:t>
      </w:r>
    </w:p>
    <w:p w14:paraId="661730B0" w14:textId="77777777" w:rsidR="00BB3426" w:rsidRPr="00F14616" w:rsidRDefault="00BB3426" w:rsidP="00A224E9">
      <w:pPr>
        <w:pStyle w:val="Ttulo3"/>
      </w:pPr>
      <w:bookmarkStart w:id="133" w:name="_Toc167871654"/>
      <w:r w:rsidRPr="00F14616">
        <w:lastRenderedPageBreak/>
        <w:t>Apuração do Serviço da Dívida</w:t>
      </w:r>
      <w:bookmarkEnd w:id="133"/>
    </w:p>
    <w:p w14:paraId="22B3BB76" w14:textId="77777777" w:rsidR="00BB3426" w:rsidRPr="001C305A" w:rsidRDefault="00BB3426" w:rsidP="00BB3426">
      <w:pPr>
        <w:pStyle w:val="1-REL11"/>
      </w:pPr>
      <w:r w:rsidRPr="00F14616">
        <w:t>Como já demonstrado, a RCL apurada pelo Estado em 2023 foi de R$ 38</w:t>
      </w:r>
      <w:r>
        <w:t>,</w:t>
      </w:r>
      <w:r w:rsidRPr="00F14616">
        <w:t>36 bilhões</w:t>
      </w:r>
      <w:r w:rsidRPr="001C305A">
        <w:t>. e, considerando que o comprometimento anual máximo com o serviço da dívida é 11,5</w:t>
      </w:r>
      <w:r>
        <w:t>0</w:t>
      </w:r>
      <w:r w:rsidRPr="001C305A">
        <w:t xml:space="preserve">%, o limite para 2023 alcançaria </w:t>
      </w:r>
      <w:r w:rsidRPr="002070DF">
        <w:t>R$ 4</w:t>
      </w:r>
      <w:r>
        <w:t>,</w:t>
      </w:r>
      <w:r w:rsidRPr="002070DF">
        <w:t>41 bilhões.</w:t>
      </w:r>
    </w:p>
    <w:p w14:paraId="642B6A71" w14:textId="77777777" w:rsidR="00BB3426" w:rsidRPr="001C305A" w:rsidRDefault="00BB3426" w:rsidP="00BB3426">
      <w:pPr>
        <w:pStyle w:val="1-REL11"/>
      </w:pPr>
      <w:r w:rsidRPr="001C305A">
        <w:t>Do montante pago com serviço da dívida em 2023, R$ 588,23 milhões referem-se a juros e encargos da dívida por contrato, R$ 558,53 milhões foram repasses para pagamento de precatórios efetuado pelo Tesouro Estadual, e R$ 325,25 milhões tratam-se da amortização da dívida, conforme demonstrado a seguir</w:t>
      </w:r>
      <w:r>
        <w:t>:</w:t>
      </w:r>
    </w:p>
    <w:p w14:paraId="709F6350" w14:textId="5B8122C3" w:rsidR="00BB3426" w:rsidRPr="001C305A" w:rsidRDefault="00BB3426" w:rsidP="00ED3571">
      <w:pPr>
        <w:pStyle w:val="0-TABELA"/>
        <w:rPr>
          <w:b/>
        </w:rPr>
      </w:pPr>
      <w:bookmarkStart w:id="134" w:name="_Toc293065985"/>
      <w:bookmarkStart w:id="135" w:name="_Toc232222822"/>
      <w:bookmarkStart w:id="136" w:name="_Toc208893299"/>
      <w:bookmarkStart w:id="137" w:name="_Toc167611777"/>
      <w:bookmarkStart w:id="138" w:name="_Toc130346070"/>
      <w:bookmarkStart w:id="139" w:name="_Toc130294922"/>
      <w:bookmarkStart w:id="140" w:name="_Toc129236712"/>
      <w:bookmarkStart w:id="141" w:name="_Toc129149287"/>
      <w:bookmarkStart w:id="142" w:name="_Toc129142148"/>
      <w:bookmarkStart w:id="143" w:name="_Toc167871751"/>
      <w:r w:rsidRPr="001C305A">
        <w:t>Serviços da Dívida</w:t>
      </w:r>
      <w:bookmarkEnd w:id="134"/>
      <w:bookmarkEnd w:id="135"/>
      <w:bookmarkEnd w:id="136"/>
      <w:bookmarkEnd w:id="137"/>
      <w:bookmarkEnd w:id="138"/>
      <w:bookmarkEnd w:id="139"/>
      <w:bookmarkEnd w:id="140"/>
      <w:bookmarkEnd w:id="141"/>
      <w:bookmarkEnd w:id="142"/>
      <w:r w:rsidR="006918C7">
        <w:t xml:space="preserve"> </w:t>
      </w:r>
      <w:r w:rsidRPr="001C305A">
        <w:t>– 20</w:t>
      </w:r>
      <w:r>
        <w:t>19 a 2023</w:t>
      </w:r>
      <w:bookmarkEnd w:id="143"/>
    </w:p>
    <w:p w14:paraId="2DB1F457" w14:textId="77777777" w:rsidR="00BB3426" w:rsidRPr="001C305A" w:rsidRDefault="00BB3426" w:rsidP="00BB3426">
      <w:pPr>
        <w:pStyle w:val="1-emR1-8ptDIR"/>
      </w:pPr>
      <w:r w:rsidRPr="001C305A">
        <w:t>R$ 1</w:t>
      </w:r>
    </w:p>
    <w:tbl>
      <w:tblPr>
        <w:tblW w:w="5000" w:type="pct"/>
        <w:tblCellMar>
          <w:left w:w="70" w:type="dxa"/>
          <w:right w:w="70" w:type="dxa"/>
        </w:tblCellMar>
        <w:tblLook w:val="04A0" w:firstRow="1" w:lastRow="0" w:firstColumn="1" w:lastColumn="0" w:noHBand="0" w:noVBand="1"/>
      </w:tblPr>
      <w:tblGrid>
        <w:gridCol w:w="2393"/>
        <w:gridCol w:w="1392"/>
        <w:gridCol w:w="1392"/>
        <w:gridCol w:w="1392"/>
        <w:gridCol w:w="1392"/>
        <w:gridCol w:w="1392"/>
      </w:tblGrid>
      <w:tr w:rsidR="00BB3426" w:rsidRPr="006275E6" w14:paraId="54F9E00E" w14:textId="77777777" w:rsidTr="00C467A0">
        <w:trPr>
          <w:trHeight w:val="284"/>
          <w:tblHeader/>
        </w:trPr>
        <w:tc>
          <w:tcPr>
            <w:tcW w:w="1563" w:type="pct"/>
            <w:tcBorders>
              <w:top w:val="single" w:sz="8" w:space="0" w:color="auto"/>
              <w:left w:val="nil"/>
              <w:bottom w:val="single" w:sz="8" w:space="0" w:color="333300"/>
              <w:right w:val="single" w:sz="8" w:space="0" w:color="333300"/>
            </w:tcBorders>
            <w:shd w:val="clear" w:color="000000" w:fill="A2F2FD"/>
            <w:vAlign w:val="center"/>
            <w:hideMark/>
          </w:tcPr>
          <w:p w14:paraId="1EF7863F" w14:textId="77777777" w:rsidR="00BB3426" w:rsidRPr="006275E6" w:rsidRDefault="00BB3426" w:rsidP="00C467A0">
            <w:pPr>
              <w:jc w:val="center"/>
              <w:rPr>
                <w:rFonts w:cs="Arial"/>
                <w:b/>
                <w:color w:val="000000"/>
                <w:sz w:val="18"/>
                <w:szCs w:val="18"/>
              </w:rPr>
            </w:pPr>
            <w:r w:rsidRPr="006275E6">
              <w:rPr>
                <w:rFonts w:cs="Arial"/>
                <w:b/>
                <w:color w:val="000000"/>
                <w:sz w:val="18"/>
                <w:szCs w:val="18"/>
              </w:rPr>
              <w:t>Grupo</w:t>
            </w:r>
          </w:p>
        </w:tc>
        <w:tc>
          <w:tcPr>
            <w:tcW w:w="674" w:type="pct"/>
            <w:tcBorders>
              <w:top w:val="single" w:sz="8" w:space="0" w:color="auto"/>
              <w:left w:val="nil"/>
              <w:bottom w:val="single" w:sz="8" w:space="0" w:color="333300"/>
              <w:right w:val="single" w:sz="8" w:space="0" w:color="auto"/>
            </w:tcBorders>
            <w:shd w:val="clear" w:color="000000" w:fill="A2F2FD"/>
            <w:vAlign w:val="center"/>
            <w:hideMark/>
          </w:tcPr>
          <w:p w14:paraId="18E5F428" w14:textId="77777777" w:rsidR="00BB3426" w:rsidRPr="006275E6" w:rsidRDefault="00BB3426" w:rsidP="00C467A0">
            <w:pPr>
              <w:jc w:val="center"/>
              <w:rPr>
                <w:rFonts w:cs="Arial"/>
                <w:b/>
                <w:color w:val="000000"/>
                <w:sz w:val="18"/>
                <w:szCs w:val="18"/>
              </w:rPr>
            </w:pPr>
            <w:r w:rsidRPr="006275E6">
              <w:rPr>
                <w:rFonts w:cs="Arial"/>
                <w:b/>
                <w:color w:val="000000"/>
                <w:sz w:val="18"/>
                <w:szCs w:val="18"/>
              </w:rPr>
              <w:t>2019</w:t>
            </w:r>
          </w:p>
        </w:tc>
        <w:tc>
          <w:tcPr>
            <w:tcW w:w="691" w:type="pct"/>
            <w:tcBorders>
              <w:top w:val="single" w:sz="8" w:space="0" w:color="auto"/>
              <w:left w:val="nil"/>
              <w:bottom w:val="single" w:sz="8" w:space="0" w:color="333300"/>
              <w:right w:val="single" w:sz="8" w:space="0" w:color="auto"/>
            </w:tcBorders>
            <w:shd w:val="clear" w:color="000000" w:fill="A2F2FD"/>
            <w:vAlign w:val="center"/>
            <w:hideMark/>
          </w:tcPr>
          <w:p w14:paraId="48D47121" w14:textId="77777777" w:rsidR="00BB3426" w:rsidRPr="006275E6" w:rsidRDefault="00BB3426" w:rsidP="00C467A0">
            <w:pPr>
              <w:jc w:val="center"/>
              <w:rPr>
                <w:rFonts w:cs="Arial"/>
                <w:b/>
                <w:color w:val="000000"/>
                <w:sz w:val="18"/>
                <w:szCs w:val="18"/>
              </w:rPr>
            </w:pPr>
            <w:r w:rsidRPr="006275E6">
              <w:rPr>
                <w:rFonts w:cs="Arial"/>
                <w:b/>
                <w:color w:val="000000"/>
                <w:sz w:val="18"/>
                <w:szCs w:val="18"/>
              </w:rPr>
              <w:t>2020</w:t>
            </w:r>
          </w:p>
        </w:tc>
        <w:tc>
          <w:tcPr>
            <w:tcW w:w="691" w:type="pct"/>
            <w:tcBorders>
              <w:top w:val="single" w:sz="8" w:space="0" w:color="auto"/>
              <w:left w:val="nil"/>
              <w:bottom w:val="single" w:sz="8" w:space="0" w:color="333300"/>
              <w:right w:val="single" w:sz="8" w:space="0" w:color="auto"/>
            </w:tcBorders>
            <w:shd w:val="clear" w:color="000000" w:fill="A2F2FD"/>
            <w:vAlign w:val="center"/>
            <w:hideMark/>
          </w:tcPr>
          <w:p w14:paraId="1904ED96" w14:textId="77777777" w:rsidR="00BB3426" w:rsidRPr="006275E6" w:rsidRDefault="00BB3426" w:rsidP="00C467A0">
            <w:pPr>
              <w:jc w:val="center"/>
              <w:rPr>
                <w:rFonts w:cs="Arial"/>
                <w:b/>
                <w:color w:val="000000"/>
                <w:sz w:val="18"/>
                <w:szCs w:val="18"/>
              </w:rPr>
            </w:pPr>
            <w:r w:rsidRPr="006275E6">
              <w:rPr>
                <w:rFonts w:cs="Arial"/>
                <w:b/>
                <w:color w:val="000000"/>
                <w:sz w:val="18"/>
                <w:szCs w:val="18"/>
              </w:rPr>
              <w:t>2021</w:t>
            </w:r>
          </w:p>
        </w:tc>
        <w:tc>
          <w:tcPr>
            <w:tcW w:w="691" w:type="pct"/>
            <w:tcBorders>
              <w:top w:val="single" w:sz="8" w:space="0" w:color="auto"/>
              <w:left w:val="nil"/>
              <w:bottom w:val="single" w:sz="8" w:space="0" w:color="333300"/>
              <w:right w:val="single" w:sz="8" w:space="0" w:color="auto"/>
            </w:tcBorders>
            <w:shd w:val="clear" w:color="000000" w:fill="A2F2FD"/>
            <w:vAlign w:val="center"/>
            <w:hideMark/>
          </w:tcPr>
          <w:p w14:paraId="6D1B4ADD" w14:textId="77777777" w:rsidR="00BB3426" w:rsidRPr="006275E6" w:rsidRDefault="00BB3426" w:rsidP="00C467A0">
            <w:pPr>
              <w:jc w:val="center"/>
              <w:rPr>
                <w:rFonts w:cs="Arial"/>
                <w:b/>
                <w:color w:val="000000"/>
                <w:sz w:val="18"/>
                <w:szCs w:val="18"/>
              </w:rPr>
            </w:pPr>
            <w:r w:rsidRPr="006275E6">
              <w:rPr>
                <w:rFonts w:cs="Arial"/>
                <w:b/>
                <w:color w:val="000000"/>
                <w:sz w:val="18"/>
                <w:szCs w:val="18"/>
              </w:rPr>
              <w:t>2022</w:t>
            </w:r>
          </w:p>
        </w:tc>
        <w:tc>
          <w:tcPr>
            <w:tcW w:w="691" w:type="pct"/>
            <w:tcBorders>
              <w:top w:val="single" w:sz="8" w:space="0" w:color="auto"/>
              <w:left w:val="nil"/>
              <w:bottom w:val="single" w:sz="8" w:space="0" w:color="333300"/>
              <w:right w:val="nil"/>
            </w:tcBorders>
            <w:shd w:val="clear" w:color="000000" w:fill="A2F2FD"/>
            <w:vAlign w:val="center"/>
            <w:hideMark/>
          </w:tcPr>
          <w:p w14:paraId="4B13E30A" w14:textId="77777777" w:rsidR="00BB3426" w:rsidRPr="006275E6" w:rsidRDefault="00BB3426" w:rsidP="00C467A0">
            <w:pPr>
              <w:jc w:val="center"/>
              <w:rPr>
                <w:rFonts w:cs="Arial"/>
                <w:b/>
                <w:color w:val="000000"/>
                <w:sz w:val="18"/>
                <w:szCs w:val="18"/>
              </w:rPr>
            </w:pPr>
            <w:r w:rsidRPr="006275E6">
              <w:rPr>
                <w:rFonts w:cs="Arial"/>
                <w:b/>
                <w:color w:val="000000"/>
                <w:sz w:val="18"/>
                <w:szCs w:val="18"/>
              </w:rPr>
              <w:t>2023</w:t>
            </w:r>
          </w:p>
        </w:tc>
      </w:tr>
      <w:tr w:rsidR="00BB3426" w:rsidRPr="006275E6" w14:paraId="04001E57" w14:textId="77777777" w:rsidTr="00C467A0">
        <w:trPr>
          <w:trHeight w:val="284"/>
        </w:trPr>
        <w:tc>
          <w:tcPr>
            <w:tcW w:w="1563" w:type="pct"/>
            <w:tcBorders>
              <w:top w:val="nil"/>
              <w:left w:val="nil"/>
              <w:bottom w:val="nil"/>
              <w:right w:val="single" w:sz="8" w:space="0" w:color="333300"/>
            </w:tcBorders>
            <w:shd w:val="clear" w:color="000000" w:fill="FFFFFF"/>
            <w:vAlign w:val="center"/>
            <w:hideMark/>
          </w:tcPr>
          <w:p w14:paraId="111568BB" w14:textId="77777777" w:rsidR="00BB3426" w:rsidRPr="006275E6" w:rsidRDefault="00BB3426" w:rsidP="00C467A0">
            <w:pPr>
              <w:rPr>
                <w:rFonts w:cs="Arial"/>
                <w:b/>
                <w:bCs/>
                <w:color w:val="000000"/>
                <w:sz w:val="18"/>
                <w:szCs w:val="18"/>
              </w:rPr>
            </w:pPr>
            <w:r w:rsidRPr="006275E6">
              <w:rPr>
                <w:rFonts w:cs="Arial"/>
                <w:b/>
                <w:bCs/>
                <w:color w:val="000000"/>
                <w:sz w:val="18"/>
                <w:szCs w:val="18"/>
              </w:rPr>
              <w:t xml:space="preserve">Juros e Encargos da Dívida </w:t>
            </w:r>
          </w:p>
        </w:tc>
        <w:tc>
          <w:tcPr>
            <w:tcW w:w="674" w:type="pct"/>
            <w:tcBorders>
              <w:top w:val="nil"/>
              <w:left w:val="nil"/>
              <w:bottom w:val="nil"/>
              <w:right w:val="single" w:sz="8" w:space="0" w:color="auto"/>
            </w:tcBorders>
            <w:shd w:val="clear" w:color="000000" w:fill="FFFFFF"/>
            <w:vAlign w:val="center"/>
            <w:hideMark/>
          </w:tcPr>
          <w:p w14:paraId="7D5F9A22" w14:textId="77777777" w:rsidR="00BB3426" w:rsidRPr="006275E6" w:rsidRDefault="00BB3426" w:rsidP="00C467A0">
            <w:pPr>
              <w:jc w:val="right"/>
              <w:rPr>
                <w:rFonts w:cs="Arial"/>
                <w:b/>
                <w:bCs/>
                <w:sz w:val="18"/>
                <w:szCs w:val="18"/>
              </w:rPr>
            </w:pPr>
            <w:r w:rsidRPr="006275E6">
              <w:rPr>
                <w:rFonts w:cs="Arial"/>
                <w:b/>
                <w:bCs/>
                <w:sz w:val="18"/>
                <w:szCs w:val="18"/>
              </w:rPr>
              <w:t>651.979.850</w:t>
            </w:r>
          </w:p>
        </w:tc>
        <w:tc>
          <w:tcPr>
            <w:tcW w:w="691" w:type="pct"/>
            <w:tcBorders>
              <w:top w:val="nil"/>
              <w:left w:val="nil"/>
              <w:bottom w:val="nil"/>
              <w:right w:val="single" w:sz="8" w:space="0" w:color="auto"/>
            </w:tcBorders>
            <w:shd w:val="clear" w:color="000000" w:fill="FFFFFF"/>
            <w:vAlign w:val="center"/>
            <w:hideMark/>
          </w:tcPr>
          <w:p w14:paraId="57A90023" w14:textId="77777777" w:rsidR="00BB3426" w:rsidRPr="006275E6" w:rsidRDefault="00BB3426" w:rsidP="00C467A0">
            <w:pPr>
              <w:jc w:val="right"/>
              <w:rPr>
                <w:rFonts w:cs="Arial"/>
                <w:b/>
                <w:bCs/>
                <w:sz w:val="18"/>
                <w:szCs w:val="18"/>
              </w:rPr>
            </w:pPr>
            <w:r w:rsidRPr="006275E6">
              <w:rPr>
                <w:rFonts w:cs="Arial"/>
                <w:b/>
                <w:bCs/>
                <w:sz w:val="18"/>
                <w:szCs w:val="18"/>
              </w:rPr>
              <w:t>40.512.352</w:t>
            </w:r>
          </w:p>
        </w:tc>
        <w:tc>
          <w:tcPr>
            <w:tcW w:w="691" w:type="pct"/>
            <w:tcBorders>
              <w:top w:val="nil"/>
              <w:left w:val="nil"/>
              <w:bottom w:val="nil"/>
              <w:right w:val="single" w:sz="8" w:space="0" w:color="auto"/>
            </w:tcBorders>
            <w:shd w:val="clear" w:color="000000" w:fill="FFFFFF"/>
            <w:vAlign w:val="center"/>
            <w:hideMark/>
          </w:tcPr>
          <w:p w14:paraId="09772D3D" w14:textId="77777777" w:rsidR="00BB3426" w:rsidRPr="006275E6" w:rsidRDefault="00BB3426" w:rsidP="00C467A0">
            <w:pPr>
              <w:jc w:val="right"/>
              <w:rPr>
                <w:rFonts w:cs="Arial"/>
                <w:b/>
                <w:bCs/>
                <w:sz w:val="18"/>
                <w:szCs w:val="18"/>
              </w:rPr>
            </w:pPr>
            <w:r w:rsidRPr="006275E6">
              <w:rPr>
                <w:rFonts w:cs="Arial"/>
                <w:b/>
                <w:bCs/>
                <w:sz w:val="18"/>
                <w:szCs w:val="18"/>
              </w:rPr>
              <w:t>72.016.902</w:t>
            </w:r>
          </w:p>
        </w:tc>
        <w:tc>
          <w:tcPr>
            <w:tcW w:w="691" w:type="pct"/>
            <w:tcBorders>
              <w:top w:val="nil"/>
              <w:left w:val="nil"/>
              <w:bottom w:val="nil"/>
              <w:right w:val="single" w:sz="8" w:space="0" w:color="auto"/>
            </w:tcBorders>
            <w:shd w:val="clear" w:color="000000" w:fill="FFFFFF"/>
            <w:vAlign w:val="center"/>
            <w:hideMark/>
          </w:tcPr>
          <w:p w14:paraId="3C0F2D90" w14:textId="77777777" w:rsidR="00BB3426" w:rsidRPr="006275E6" w:rsidRDefault="00BB3426" w:rsidP="00C467A0">
            <w:pPr>
              <w:jc w:val="right"/>
              <w:rPr>
                <w:rFonts w:cs="Arial"/>
                <w:b/>
                <w:bCs/>
                <w:sz w:val="18"/>
                <w:szCs w:val="18"/>
              </w:rPr>
            </w:pPr>
            <w:r w:rsidRPr="006275E6">
              <w:rPr>
                <w:rFonts w:cs="Arial"/>
                <w:b/>
                <w:bCs/>
                <w:sz w:val="18"/>
                <w:szCs w:val="18"/>
              </w:rPr>
              <w:t>351.090.449</w:t>
            </w:r>
          </w:p>
        </w:tc>
        <w:tc>
          <w:tcPr>
            <w:tcW w:w="691" w:type="pct"/>
            <w:tcBorders>
              <w:top w:val="nil"/>
              <w:left w:val="nil"/>
              <w:bottom w:val="nil"/>
              <w:right w:val="nil"/>
            </w:tcBorders>
            <w:shd w:val="clear" w:color="000000" w:fill="FFFFFF"/>
            <w:vAlign w:val="center"/>
            <w:hideMark/>
          </w:tcPr>
          <w:p w14:paraId="2D53D431" w14:textId="77777777" w:rsidR="00BB3426" w:rsidRPr="006275E6" w:rsidRDefault="00BB3426" w:rsidP="00C467A0">
            <w:pPr>
              <w:jc w:val="right"/>
              <w:rPr>
                <w:rFonts w:cs="Arial"/>
                <w:b/>
                <w:bCs/>
                <w:sz w:val="18"/>
                <w:szCs w:val="18"/>
              </w:rPr>
            </w:pPr>
            <w:r w:rsidRPr="006275E6">
              <w:rPr>
                <w:rFonts w:cs="Arial"/>
                <w:b/>
                <w:bCs/>
                <w:sz w:val="18"/>
                <w:szCs w:val="18"/>
              </w:rPr>
              <w:t>588.232.636</w:t>
            </w:r>
          </w:p>
        </w:tc>
      </w:tr>
      <w:tr w:rsidR="00BB3426" w:rsidRPr="006275E6" w14:paraId="24771CC7" w14:textId="77777777" w:rsidTr="00C467A0">
        <w:trPr>
          <w:trHeight w:val="284"/>
        </w:trPr>
        <w:tc>
          <w:tcPr>
            <w:tcW w:w="1563" w:type="pct"/>
            <w:tcBorders>
              <w:top w:val="nil"/>
              <w:left w:val="nil"/>
              <w:bottom w:val="nil"/>
              <w:right w:val="single" w:sz="8" w:space="0" w:color="333300"/>
            </w:tcBorders>
            <w:shd w:val="clear" w:color="000000" w:fill="FFFFFF"/>
            <w:vAlign w:val="center"/>
            <w:hideMark/>
          </w:tcPr>
          <w:p w14:paraId="1398AE79" w14:textId="77777777" w:rsidR="00BB3426" w:rsidRPr="006275E6" w:rsidRDefault="00BB3426" w:rsidP="00C467A0">
            <w:pPr>
              <w:ind w:leftChars="97" w:left="213" w:firstLine="1"/>
              <w:rPr>
                <w:rFonts w:cs="Arial"/>
                <w:color w:val="000000"/>
                <w:sz w:val="18"/>
                <w:szCs w:val="18"/>
              </w:rPr>
            </w:pPr>
            <w:r w:rsidRPr="006275E6">
              <w:rPr>
                <w:rFonts w:cs="Arial"/>
                <w:color w:val="000000"/>
                <w:sz w:val="18"/>
                <w:szCs w:val="18"/>
              </w:rPr>
              <w:t>Dívida Interna</w:t>
            </w:r>
          </w:p>
        </w:tc>
        <w:tc>
          <w:tcPr>
            <w:tcW w:w="674" w:type="pct"/>
            <w:tcBorders>
              <w:top w:val="nil"/>
              <w:left w:val="nil"/>
              <w:bottom w:val="nil"/>
              <w:right w:val="single" w:sz="8" w:space="0" w:color="auto"/>
            </w:tcBorders>
            <w:shd w:val="clear" w:color="000000" w:fill="FFFFFF"/>
            <w:vAlign w:val="center"/>
            <w:hideMark/>
          </w:tcPr>
          <w:p w14:paraId="636A1AA4" w14:textId="77777777" w:rsidR="00BB3426" w:rsidRPr="006275E6" w:rsidRDefault="00BB3426" w:rsidP="00C467A0">
            <w:pPr>
              <w:jc w:val="right"/>
              <w:rPr>
                <w:rFonts w:cs="Arial"/>
                <w:sz w:val="18"/>
                <w:szCs w:val="18"/>
              </w:rPr>
            </w:pPr>
            <w:r w:rsidRPr="006275E6">
              <w:rPr>
                <w:rFonts w:cs="Arial"/>
                <w:sz w:val="18"/>
                <w:szCs w:val="18"/>
              </w:rPr>
              <w:t>650.548.655</w:t>
            </w:r>
          </w:p>
        </w:tc>
        <w:tc>
          <w:tcPr>
            <w:tcW w:w="691" w:type="pct"/>
            <w:tcBorders>
              <w:top w:val="nil"/>
              <w:left w:val="nil"/>
              <w:bottom w:val="nil"/>
              <w:right w:val="single" w:sz="8" w:space="0" w:color="auto"/>
            </w:tcBorders>
            <w:shd w:val="clear" w:color="000000" w:fill="FFFFFF"/>
            <w:vAlign w:val="center"/>
            <w:hideMark/>
          </w:tcPr>
          <w:p w14:paraId="788CF8BD" w14:textId="77777777" w:rsidR="00BB3426" w:rsidRPr="006275E6" w:rsidRDefault="00BB3426" w:rsidP="00C467A0">
            <w:pPr>
              <w:jc w:val="right"/>
              <w:rPr>
                <w:rFonts w:cs="Arial"/>
                <w:sz w:val="18"/>
                <w:szCs w:val="18"/>
              </w:rPr>
            </w:pPr>
            <w:r w:rsidRPr="006275E6">
              <w:rPr>
                <w:rFonts w:cs="Arial"/>
                <w:sz w:val="18"/>
                <w:szCs w:val="18"/>
              </w:rPr>
              <w:t>32.149.643</w:t>
            </w:r>
          </w:p>
        </w:tc>
        <w:tc>
          <w:tcPr>
            <w:tcW w:w="691" w:type="pct"/>
            <w:tcBorders>
              <w:top w:val="nil"/>
              <w:left w:val="nil"/>
              <w:bottom w:val="nil"/>
              <w:right w:val="single" w:sz="8" w:space="0" w:color="auto"/>
            </w:tcBorders>
            <w:shd w:val="clear" w:color="000000" w:fill="FFFFFF"/>
            <w:vAlign w:val="center"/>
            <w:hideMark/>
          </w:tcPr>
          <w:p w14:paraId="532F71D4" w14:textId="77777777" w:rsidR="00BB3426" w:rsidRPr="006275E6" w:rsidRDefault="00BB3426" w:rsidP="00C467A0">
            <w:pPr>
              <w:jc w:val="right"/>
              <w:rPr>
                <w:rFonts w:cs="Arial"/>
                <w:sz w:val="18"/>
                <w:szCs w:val="18"/>
              </w:rPr>
            </w:pPr>
            <w:r w:rsidRPr="006275E6">
              <w:rPr>
                <w:rFonts w:cs="Arial"/>
                <w:sz w:val="18"/>
                <w:szCs w:val="18"/>
              </w:rPr>
              <w:t>64.441.825</w:t>
            </w:r>
          </w:p>
        </w:tc>
        <w:tc>
          <w:tcPr>
            <w:tcW w:w="691" w:type="pct"/>
            <w:tcBorders>
              <w:top w:val="nil"/>
              <w:left w:val="nil"/>
              <w:bottom w:val="nil"/>
              <w:right w:val="single" w:sz="8" w:space="0" w:color="auto"/>
            </w:tcBorders>
            <w:shd w:val="clear" w:color="000000" w:fill="FFFFFF"/>
            <w:vAlign w:val="center"/>
            <w:hideMark/>
          </w:tcPr>
          <w:p w14:paraId="5E2EC5EE" w14:textId="77777777" w:rsidR="00BB3426" w:rsidRPr="006275E6" w:rsidRDefault="00BB3426" w:rsidP="00C467A0">
            <w:pPr>
              <w:jc w:val="right"/>
              <w:rPr>
                <w:rFonts w:cs="Arial"/>
                <w:sz w:val="18"/>
                <w:szCs w:val="18"/>
              </w:rPr>
            </w:pPr>
            <w:r w:rsidRPr="006275E6">
              <w:rPr>
                <w:rFonts w:cs="Arial"/>
                <w:sz w:val="18"/>
                <w:szCs w:val="18"/>
              </w:rPr>
              <w:t>286.496.991</w:t>
            </w:r>
          </w:p>
        </w:tc>
        <w:tc>
          <w:tcPr>
            <w:tcW w:w="691" w:type="pct"/>
            <w:tcBorders>
              <w:top w:val="nil"/>
              <w:left w:val="nil"/>
              <w:bottom w:val="nil"/>
              <w:right w:val="nil"/>
            </w:tcBorders>
            <w:shd w:val="clear" w:color="000000" w:fill="FFFFFF"/>
            <w:vAlign w:val="center"/>
            <w:hideMark/>
          </w:tcPr>
          <w:p w14:paraId="436C153A" w14:textId="77777777" w:rsidR="00BB3426" w:rsidRPr="006275E6" w:rsidRDefault="00BB3426" w:rsidP="00C467A0">
            <w:pPr>
              <w:jc w:val="right"/>
              <w:rPr>
                <w:rFonts w:cs="Arial"/>
                <w:color w:val="000000"/>
                <w:sz w:val="18"/>
                <w:szCs w:val="18"/>
              </w:rPr>
            </w:pPr>
            <w:r w:rsidRPr="006275E6">
              <w:rPr>
                <w:rFonts w:cs="Arial"/>
                <w:color w:val="000000"/>
                <w:sz w:val="18"/>
                <w:szCs w:val="18"/>
              </w:rPr>
              <w:t>428.877.945</w:t>
            </w:r>
          </w:p>
        </w:tc>
      </w:tr>
      <w:tr w:rsidR="00BB3426" w:rsidRPr="006275E6" w14:paraId="29653C0E" w14:textId="77777777" w:rsidTr="00C467A0">
        <w:trPr>
          <w:trHeight w:val="284"/>
        </w:trPr>
        <w:tc>
          <w:tcPr>
            <w:tcW w:w="1563" w:type="pct"/>
            <w:tcBorders>
              <w:top w:val="nil"/>
              <w:left w:val="nil"/>
              <w:bottom w:val="nil"/>
              <w:right w:val="single" w:sz="8" w:space="0" w:color="333300"/>
            </w:tcBorders>
            <w:shd w:val="clear" w:color="000000" w:fill="FFFFFF"/>
            <w:vAlign w:val="center"/>
            <w:hideMark/>
          </w:tcPr>
          <w:p w14:paraId="0897B572" w14:textId="77777777" w:rsidR="00BB3426" w:rsidRPr="006275E6" w:rsidRDefault="00BB3426" w:rsidP="00C467A0">
            <w:pPr>
              <w:ind w:leftChars="97" w:left="213" w:firstLine="1"/>
              <w:rPr>
                <w:rFonts w:cs="Arial"/>
                <w:color w:val="000000"/>
                <w:sz w:val="18"/>
                <w:szCs w:val="18"/>
              </w:rPr>
            </w:pPr>
            <w:r w:rsidRPr="006275E6">
              <w:rPr>
                <w:rFonts w:cs="Arial"/>
                <w:color w:val="000000"/>
                <w:sz w:val="18"/>
                <w:szCs w:val="18"/>
              </w:rPr>
              <w:t>Dívida Externa</w:t>
            </w:r>
          </w:p>
        </w:tc>
        <w:tc>
          <w:tcPr>
            <w:tcW w:w="674" w:type="pct"/>
            <w:tcBorders>
              <w:top w:val="nil"/>
              <w:left w:val="nil"/>
              <w:bottom w:val="nil"/>
              <w:right w:val="single" w:sz="8" w:space="0" w:color="auto"/>
            </w:tcBorders>
            <w:shd w:val="clear" w:color="000000" w:fill="FFFFFF"/>
            <w:vAlign w:val="center"/>
            <w:hideMark/>
          </w:tcPr>
          <w:p w14:paraId="3F187DE7" w14:textId="77777777" w:rsidR="00BB3426" w:rsidRPr="006275E6" w:rsidRDefault="00BB3426" w:rsidP="00C467A0">
            <w:pPr>
              <w:jc w:val="right"/>
              <w:rPr>
                <w:rFonts w:cs="Arial"/>
                <w:sz w:val="18"/>
                <w:szCs w:val="18"/>
              </w:rPr>
            </w:pPr>
            <w:r w:rsidRPr="006275E6">
              <w:rPr>
                <w:rFonts w:cs="Arial"/>
                <w:sz w:val="18"/>
                <w:szCs w:val="18"/>
              </w:rPr>
              <w:t>1.431.195</w:t>
            </w:r>
          </w:p>
        </w:tc>
        <w:tc>
          <w:tcPr>
            <w:tcW w:w="691" w:type="pct"/>
            <w:tcBorders>
              <w:top w:val="nil"/>
              <w:left w:val="nil"/>
              <w:bottom w:val="nil"/>
              <w:right w:val="single" w:sz="8" w:space="0" w:color="auto"/>
            </w:tcBorders>
            <w:shd w:val="clear" w:color="000000" w:fill="FFFFFF"/>
            <w:vAlign w:val="center"/>
            <w:hideMark/>
          </w:tcPr>
          <w:p w14:paraId="29A2D632" w14:textId="77777777" w:rsidR="00BB3426" w:rsidRPr="006275E6" w:rsidRDefault="00BB3426" w:rsidP="00C467A0">
            <w:pPr>
              <w:jc w:val="right"/>
              <w:rPr>
                <w:rFonts w:cs="Arial"/>
                <w:sz w:val="18"/>
                <w:szCs w:val="18"/>
              </w:rPr>
            </w:pPr>
            <w:r w:rsidRPr="006275E6">
              <w:rPr>
                <w:rFonts w:cs="Arial"/>
                <w:sz w:val="18"/>
                <w:szCs w:val="18"/>
              </w:rPr>
              <w:t>1.137.780</w:t>
            </w:r>
          </w:p>
        </w:tc>
        <w:tc>
          <w:tcPr>
            <w:tcW w:w="691" w:type="pct"/>
            <w:tcBorders>
              <w:top w:val="nil"/>
              <w:left w:val="nil"/>
              <w:bottom w:val="nil"/>
              <w:right w:val="single" w:sz="8" w:space="0" w:color="auto"/>
            </w:tcBorders>
            <w:shd w:val="clear" w:color="000000" w:fill="FFFFFF"/>
            <w:vAlign w:val="center"/>
            <w:hideMark/>
          </w:tcPr>
          <w:p w14:paraId="66FFF662" w14:textId="77777777" w:rsidR="00BB3426" w:rsidRPr="006275E6" w:rsidRDefault="00BB3426" w:rsidP="00C467A0">
            <w:pPr>
              <w:jc w:val="right"/>
              <w:rPr>
                <w:rFonts w:cs="Arial"/>
                <w:sz w:val="18"/>
                <w:szCs w:val="18"/>
              </w:rPr>
            </w:pPr>
            <w:r w:rsidRPr="006275E6">
              <w:rPr>
                <w:rFonts w:cs="Arial"/>
                <w:sz w:val="18"/>
                <w:szCs w:val="18"/>
              </w:rPr>
              <w:t>618.741</w:t>
            </w:r>
          </w:p>
        </w:tc>
        <w:tc>
          <w:tcPr>
            <w:tcW w:w="691" w:type="pct"/>
            <w:tcBorders>
              <w:top w:val="nil"/>
              <w:left w:val="nil"/>
              <w:bottom w:val="nil"/>
              <w:right w:val="single" w:sz="8" w:space="0" w:color="auto"/>
            </w:tcBorders>
            <w:shd w:val="clear" w:color="000000" w:fill="FFFFFF"/>
            <w:vAlign w:val="center"/>
            <w:hideMark/>
          </w:tcPr>
          <w:p w14:paraId="049BEC9D" w14:textId="77777777" w:rsidR="00BB3426" w:rsidRPr="006275E6" w:rsidRDefault="00BB3426" w:rsidP="00C467A0">
            <w:pPr>
              <w:jc w:val="right"/>
              <w:rPr>
                <w:rFonts w:cs="Arial"/>
                <w:sz w:val="18"/>
                <w:szCs w:val="18"/>
              </w:rPr>
            </w:pPr>
            <w:r w:rsidRPr="006275E6">
              <w:rPr>
                <w:rFonts w:cs="Arial"/>
                <w:sz w:val="18"/>
                <w:szCs w:val="18"/>
              </w:rPr>
              <w:t>882.125</w:t>
            </w:r>
          </w:p>
        </w:tc>
        <w:tc>
          <w:tcPr>
            <w:tcW w:w="691" w:type="pct"/>
            <w:tcBorders>
              <w:top w:val="nil"/>
              <w:left w:val="nil"/>
              <w:bottom w:val="nil"/>
              <w:right w:val="nil"/>
            </w:tcBorders>
            <w:shd w:val="clear" w:color="000000" w:fill="FFFFFF"/>
            <w:vAlign w:val="center"/>
            <w:hideMark/>
          </w:tcPr>
          <w:p w14:paraId="6CD102CC" w14:textId="77777777" w:rsidR="00BB3426" w:rsidRPr="006275E6" w:rsidRDefault="00BB3426" w:rsidP="00C467A0">
            <w:pPr>
              <w:jc w:val="right"/>
              <w:rPr>
                <w:rFonts w:cs="Arial"/>
                <w:color w:val="000000"/>
                <w:sz w:val="18"/>
                <w:szCs w:val="18"/>
              </w:rPr>
            </w:pPr>
            <w:r w:rsidRPr="006275E6">
              <w:rPr>
                <w:rFonts w:cs="Arial"/>
                <w:color w:val="000000"/>
                <w:sz w:val="18"/>
                <w:szCs w:val="18"/>
              </w:rPr>
              <w:t>151.871.048</w:t>
            </w:r>
          </w:p>
        </w:tc>
      </w:tr>
      <w:tr w:rsidR="00BB3426" w:rsidRPr="006275E6" w14:paraId="4FAC0C1D" w14:textId="77777777" w:rsidTr="00C467A0">
        <w:trPr>
          <w:trHeight w:val="284"/>
        </w:trPr>
        <w:tc>
          <w:tcPr>
            <w:tcW w:w="1563" w:type="pct"/>
            <w:tcBorders>
              <w:top w:val="nil"/>
              <w:left w:val="nil"/>
              <w:bottom w:val="nil"/>
              <w:right w:val="single" w:sz="8" w:space="0" w:color="333300"/>
            </w:tcBorders>
            <w:shd w:val="clear" w:color="000000" w:fill="FFFFFF"/>
            <w:vAlign w:val="center"/>
            <w:hideMark/>
          </w:tcPr>
          <w:p w14:paraId="2BBDA6F3" w14:textId="77777777" w:rsidR="00BB3426" w:rsidRPr="006275E6" w:rsidRDefault="00BB3426" w:rsidP="00C467A0">
            <w:pPr>
              <w:ind w:leftChars="97" w:left="213" w:firstLine="1"/>
              <w:rPr>
                <w:rFonts w:cs="Arial"/>
                <w:color w:val="000000"/>
                <w:sz w:val="18"/>
                <w:szCs w:val="18"/>
              </w:rPr>
            </w:pPr>
            <w:r w:rsidRPr="006275E6">
              <w:rPr>
                <w:rFonts w:cs="Arial"/>
                <w:color w:val="000000"/>
                <w:sz w:val="18"/>
                <w:szCs w:val="18"/>
              </w:rPr>
              <w:t>Outros Encargos sobre a Dívida Interna</w:t>
            </w:r>
          </w:p>
        </w:tc>
        <w:tc>
          <w:tcPr>
            <w:tcW w:w="674" w:type="pct"/>
            <w:tcBorders>
              <w:top w:val="nil"/>
              <w:left w:val="nil"/>
              <w:bottom w:val="nil"/>
              <w:right w:val="single" w:sz="8" w:space="0" w:color="auto"/>
            </w:tcBorders>
            <w:shd w:val="clear" w:color="000000" w:fill="FFFFFF"/>
            <w:vAlign w:val="center"/>
            <w:hideMark/>
          </w:tcPr>
          <w:p w14:paraId="25BA8528" w14:textId="77777777" w:rsidR="00BB3426" w:rsidRPr="006275E6" w:rsidRDefault="00BB3426" w:rsidP="00C467A0">
            <w:pPr>
              <w:jc w:val="right"/>
              <w:rPr>
                <w:rFonts w:cs="Arial"/>
                <w:sz w:val="18"/>
                <w:szCs w:val="18"/>
              </w:rPr>
            </w:pPr>
            <w:r w:rsidRPr="006275E6">
              <w:rPr>
                <w:rFonts w:cs="Arial"/>
                <w:sz w:val="18"/>
                <w:szCs w:val="18"/>
              </w:rPr>
              <w:t>-</w:t>
            </w:r>
          </w:p>
        </w:tc>
        <w:tc>
          <w:tcPr>
            <w:tcW w:w="691" w:type="pct"/>
            <w:tcBorders>
              <w:top w:val="nil"/>
              <w:left w:val="nil"/>
              <w:bottom w:val="nil"/>
              <w:right w:val="single" w:sz="8" w:space="0" w:color="auto"/>
            </w:tcBorders>
            <w:shd w:val="clear" w:color="000000" w:fill="FFFFFF"/>
            <w:vAlign w:val="center"/>
            <w:hideMark/>
          </w:tcPr>
          <w:p w14:paraId="7F9310F1" w14:textId="77777777" w:rsidR="00BB3426" w:rsidRPr="006275E6" w:rsidRDefault="00BB3426" w:rsidP="00C467A0">
            <w:pPr>
              <w:jc w:val="right"/>
              <w:rPr>
                <w:rFonts w:cs="Arial"/>
                <w:sz w:val="18"/>
                <w:szCs w:val="18"/>
              </w:rPr>
            </w:pPr>
            <w:r w:rsidRPr="006275E6">
              <w:rPr>
                <w:rFonts w:cs="Arial"/>
                <w:sz w:val="18"/>
                <w:szCs w:val="18"/>
              </w:rPr>
              <w:t>7.224.929</w:t>
            </w:r>
          </w:p>
        </w:tc>
        <w:tc>
          <w:tcPr>
            <w:tcW w:w="691" w:type="pct"/>
            <w:tcBorders>
              <w:top w:val="nil"/>
              <w:left w:val="nil"/>
              <w:bottom w:val="nil"/>
              <w:right w:val="single" w:sz="8" w:space="0" w:color="auto"/>
            </w:tcBorders>
            <w:shd w:val="clear" w:color="000000" w:fill="FFFFFF"/>
            <w:vAlign w:val="center"/>
            <w:hideMark/>
          </w:tcPr>
          <w:p w14:paraId="47FDDD58" w14:textId="77777777" w:rsidR="00BB3426" w:rsidRPr="006275E6" w:rsidRDefault="00BB3426" w:rsidP="00C467A0">
            <w:pPr>
              <w:jc w:val="right"/>
              <w:rPr>
                <w:rFonts w:cs="Arial"/>
                <w:sz w:val="18"/>
                <w:szCs w:val="18"/>
              </w:rPr>
            </w:pPr>
            <w:r w:rsidRPr="006275E6">
              <w:rPr>
                <w:rFonts w:cs="Arial"/>
                <w:sz w:val="18"/>
                <w:szCs w:val="18"/>
              </w:rPr>
              <w:t>6.956.336</w:t>
            </w:r>
          </w:p>
        </w:tc>
        <w:tc>
          <w:tcPr>
            <w:tcW w:w="691" w:type="pct"/>
            <w:tcBorders>
              <w:top w:val="nil"/>
              <w:left w:val="nil"/>
              <w:bottom w:val="nil"/>
              <w:right w:val="single" w:sz="8" w:space="0" w:color="auto"/>
            </w:tcBorders>
            <w:shd w:val="clear" w:color="000000" w:fill="FFFFFF"/>
            <w:vAlign w:val="center"/>
            <w:hideMark/>
          </w:tcPr>
          <w:p w14:paraId="7121531B" w14:textId="77777777" w:rsidR="00BB3426" w:rsidRPr="006275E6" w:rsidRDefault="00BB3426" w:rsidP="00C467A0">
            <w:pPr>
              <w:jc w:val="right"/>
              <w:rPr>
                <w:rFonts w:cs="Arial"/>
                <w:sz w:val="18"/>
                <w:szCs w:val="18"/>
              </w:rPr>
            </w:pPr>
            <w:r w:rsidRPr="006275E6">
              <w:rPr>
                <w:rFonts w:cs="Arial"/>
                <w:sz w:val="18"/>
                <w:szCs w:val="18"/>
              </w:rPr>
              <w:t>63.711.333</w:t>
            </w:r>
          </w:p>
        </w:tc>
        <w:tc>
          <w:tcPr>
            <w:tcW w:w="691" w:type="pct"/>
            <w:tcBorders>
              <w:top w:val="nil"/>
              <w:left w:val="nil"/>
              <w:bottom w:val="nil"/>
              <w:right w:val="nil"/>
            </w:tcBorders>
            <w:shd w:val="clear" w:color="000000" w:fill="FFFFFF"/>
            <w:vAlign w:val="center"/>
            <w:hideMark/>
          </w:tcPr>
          <w:p w14:paraId="267E205B" w14:textId="77777777" w:rsidR="00BB3426" w:rsidRPr="006275E6" w:rsidRDefault="00BB3426" w:rsidP="00C467A0">
            <w:pPr>
              <w:jc w:val="right"/>
              <w:rPr>
                <w:rFonts w:cs="Arial"/>
                <w:color w:val="000000"/>
                <w:sz w:val="18"/>
                <w:szCs w:val="18"/>
              </w:rPr>
            </w:pPr>
            <w:r w:rsidRPr="006275E6">
              <w:rPr>
                <w:rFonts w:cs="Arial"/>
                <w:color w:val="000000"/>
                <w:sz w:val="18"/>
                <w:szCs w:val="18"/>
              </w:rPr>
              <w:t>7.472.747</w:t>
            </w:r>
          </w:p>
        </w:tc>
      </w:tr>
      <w:tr w:rsidR="00BB3426" w:rsidRPr="006275E6" w14:paraId="1B423780" w14:textId="77777777" w:rsidTr="00C467A0">
        <w:trPr>
          <w:trHeight w:val="284"/>
        </w:trPr>
        <w:tc>
          <w:tcPr>
            <w:tcW w:w="1563" w:type="pct"/>
            <w:tcBorders>
              <w:top w:val="nil"/>
              <w:left w:val="nil"/>
              <w:bottom w:val="nil"/>
              <w:right w:val="single" w:sz="8" w:space="0" w:color="333300"/>
            </w:tcBorders>
            <w:shd w:val="clear" w:color="000000" w:fill="FFFFFF"/>
            <w:vAlign w:val="center"/>
            <w:hideMark/>
          </w:tcPr>
          <w:p w14:paraId="16599233" w14:textId="77777777" w:rsidR="00BB3426" w:rsidRPr="006275E6" w:rsidRDefault="00BB3426" w:rsidP="00C467A0">
            <w:pPr>
              <w:ind w:leftChars="97" w:left="213" w:firstLine="1"/>
              <w:rPr>
                <w:rFonts w:cs="Arial"/>
                <w:color w:val="000000"/>
                <w:sz w:val="18"/>
                <w:szCs w:val="18"/>
              </w:rPr>
            </w:pPr>
            <w:r w:rsidRPr="006275E6">
              <w:rPr>
                <w:rFonts w:cs="Arial"/>
                <w:color w:val="000000"/>
                <w:sz w:val="18"/>
                <w:szCs w:val="18"/>
              </w:rPr>
              <w:t>Outros Encargos sobre a Dívida Externa</w:t>
            </w:r>
          </w:p>
        </w:tc>
        <w:tc>
          <w:tcPr>
            <w:tcW w:w="674" w:type="pct"/>
            <w:tcBorders>
              <w:top w:val="nil"/>
              <w:left w:val="nil"/>
              <w:bottom w:val="nil"/>
              <w:right w:val="single" w:sz="8" w:space="0" w:color="auto"/>
            </w:tcBorders>
            <w:shd w:val="clear" w:color="000000" w:fill="FFFFFF"/>
            <w:vAlign w:val="center"/>
            <w:hideMark/>
          </w:tcPr>
          <w:p w14:paraId="054A63F5" w14:textId="77777777" w:rsidR="00BB3426" w:rsidRPr="006275E6" w:rsidRDefault="00BB3426" w:rsidP="00C467A0">
            <w:pPr>
              <w:jc w:val="right"/>
              <w:rPr>
                <w:rFonts w:cs="Arial"/>
                <w:sz w:val="18"/>
                <w:szCs w:val="18"/>
              </w:rPr>
            </w:pPr>
            <w:r w:rsidRPr="006275E6">
              <w:rPr>
                <w:rFonts w:cs="Arial"/>
                <w:sz w:val="18"/>
                <w:szCs w:val="18"/>
              </w:rPr>
              <w:t>-</w:t>
            </w:r>
          </w:p>
        </w:tc>
        <w:tc>
          <w:tcPr>
            <w:tcW w:w="691" w:type="pct"/>
            <w:tcBorders>
              <w:top w:val="nil"/>
              <w:left w:val="nil"/>
              <w:bottom w:val="nil"/>
              <w:right w:val="single" w:sz="8" w:space="0" w:color="auto"/>
            </w:tcBorders>
            <w:shd w:val="clear" w:color="000000" w:fill="FFFFFF"/>
            <w:vAlign w:val="center"/>
            <w:hideMark/>
          </w:tcPr>
          <w:p w14:paraId="11E94EAD" w14:textId="77777777" w:rsidR="00BB3426" w:rsidRPr="006275E6" w:rsidRDefault="00BB3426" w:rsidP="00C467A0">
            <w:pPr>
              <w:jc w:val="right"/>
              <w:rPr>
                <w:rFonts w:cs="Arial"/>
                <w:sz w:val="18"/>
                <w:szCs w:val="18"/>
              </w:rPr>
            </w:pPr>
            <w:r w:rsidRPr="006275E6">
              <w:rPr>
                <w:rFonts w:cs="Arial"/>
                <w:sz w:val="18"/>
                <w:szCs w:val="18"/>
              </w:rPr>
              <w:t>-</w:t>
            </w:r>
          </w:p>
        </w:tc>
        <w:tc>
          <w:tcPr>
            <w:tcW w:w="691" w:type="pct"/>
            <w:tcBorders>
              <w:top w:val="nil"/>
              <w:left w:val="nil"/>
              <w:bottom w:val="nil"/>
              <w:right w:val="single" w:sz="8" w:space="0" w:color="auto"/>
            </w:tcBorders>
            <w:shd w:val="clear" w:color="000000" w:fill="FFFFFF"/>
            <w:vAlign w:val="center"/>
            <w:hideMark/>
          </w:tcPr>
          <w:p w14:paraId="3E7BFDD1" w14:textId="77777777" w:rsidR="00BB3426" w:rsidRPr="006275E6" w:rsidRDefault="00BB3426" w:rsidP="00C467A0">
            <w:pPr>
              <w:jc w:val="right"/>
              <w:rPr>
                <w:rFonts w:cs="Arial"/>
                <w:sz w:val="18"/>
                <w:szCs w:val="18"/>
              </w:rPr>
            </w:pPr>
            <w:r w:rsidRPr="006275E6">
              <w:rPr>
                <w:rFonts w:cs="Arial"/>
                <w:sz w:val="18"/>
                <w:szCs w:val="18"/>
              </w:rPr>
              <w:t>-</w:t>
            </w:r>
          </w:p>
        </w:tc>
        <w:tc>
          <w:tcPr>
            <w:tcW w:w="691" w:type="pct"/>
            <w:tcBorders>
              <w:top w:val="nil"/>
              <w:left w:val="nil"/>
              <w:bottom w:val="nil"/>
              <w:right w:val="single" w:sz="8" w:space="0" w:color="auto"/>
            </w:tcBorders>
            <w:shd w:val="clear" w:color="000000" w:fill="FFFFFF"/>
            <w:vAlign w:val="center"/>
            <w:hideMark/>
          </w:tcPr>
          <w:p w14:paraId="35C512E4" w14:textId="77777777" w:rsidR="00BB3426" w:rsidRPr="006275E6" w:rsidRDefault="00BB3426" w:rsidP="00C467A0">
            <w:pPr>
              <w:jc w:val="right"/>
              <w:rPr>
                <w:rFonts w:cs="Arial"/>
                <w:sz w:val="18"/>
                <w:szCs w:val="18"/>
              </w:rPr>
            </w:pPr>
            <w:r w:rsidRPr="006275E6">
              <w:rPr>
                <w:rFonts w:cs="Arial"/>
                <w:sz w:val="18"/>
                <w:szCs w:val="18"/>
              </w:rPr>
              <w:t>-</w:t>
            </w:r>
          </w:p>
        </w:tc>
        <w:tc>
          <w:tcPr>
            <w:tcW w:w="691" w:type="pct"/>
            <w:tcBorders>
              <w:top w:val="nil"/>
              <w:left w:val="nil"/>
              <w:bottom w:val="nil"/>
              <w:right w:val="nil"/>
            </w:tcBorders>
            <w:shd w:val="clear" w:color="000000" w:fill="FFFFFF"/>
            <w:vAlign w:val="center"/>
            <w:hideMark/>
          </w:tcPr>
          <w:p w14:paraId="6472981B" w14:textId="77777777" w:rsidR="00BB3426" w:rsidRPr="006275E6" w:rsidRDefault="00BB3426" w:rsidP="00C467A0">
            <w:pPr>
              <w:jc w:val="right"/>
              <w:rPr>
                <w:rFonts w:cs="Arial"/>
                <w:color w:val="000000"/>
                <w:sz w:val="18"/>
                <w:szCs w:val="18"/>
              </w:rPr>
            </w:pPr>
            <w:r w:rsidRPr="006275E6">
              <w:rPr>
                <w:rFonts w:cs="Arial"/>
                <w:color w:val="000000"/>
                <w:sz w:val="18"/>
                <w:szCs w:val="18"/>
              </w:rPr>
              <w:t>10.897</w:t>
            </w:r>
          </w:p>
        </w:tc>
      </w:tr>
      <w:tr w:rsidR="00BB3426" w:rsidRPr="006275E6" w14:paraId="0EA2F77E" w14:textId="77777777" w:rsidTr="00C467A0">
        <w:trPr>
          <w:trHeight w:val="284"/>
        </w:trPr>
        <w:tc>
          <w:tcPr>
            <w:tcW w:w="1563" w:type="pct"/>
            <w:tcBorders>
              <w:top w:val="nil"/>
              <w:left w:val="nil"/>
              <w:bottom w:val="nil"/>
              <w:right w:val="single" w:sz="8" w:space="0" w:color="333300"/>
            </w:tcBorders>
            <w:shd w:val="clear" w:color="000000" w:fill="FFFFFF"/>
            <w:vAlign w:val="center"/>
            <w:hideMark/>
          </w:tcPr>
          <w:p w14:paraId="5657EE5C" w14:textId="77777777" w:rsidR="00BB3426" w:rsidRPr="006275E6" w:rsidRDefault="00BB3426" w:rsidP="00C467A0">
            <w:pPr>
              <w:rPr>
                <w:rFonts w:cs="Arial"/>
                <w:b/>
                <w:bCs/>
                <w:color w:val="000000"/>
                <w:sz w:val="18"/>
                <w:szCs w:val="18"/>
              </w:rPr>
            </w:pPr>
            <w:r w:rsidRPr="006275E6">
              <w:rPr>
                <w:rFonts w:cs="Arial"/>
                <w:b/>
                <w:bCs/>
                <w:color w:val="000000"/>
                <w:sz w:val="18"/>
                <w:szCs w:val="18"/>
              </w:rPr>
              <w:t>Repasse ao Tribunal de Justiça (Precatórios)</w:t>
            </w:r>
          </w:p>
        </w:tc>
        <w:tc>
          <w:tcPr>
            <w:tcW w:w="674" w:type="pct"/>
            <w:tcBorders>
              <w:top w:val="nil"/>
              <w:left w:val="nil"/>
              <w:bottom w:val="nil"/>
              <w:right w:val="single" w:sz="8" w:space="0" w:color="auto"/>
            </w:tcBorders>
            <w:shd w:val="clear" w:color="000000" w:fill="FFFFFF"/>
            <w:vAlign w:val="center"/>
            <w:hideMark/>
          </w:tcPr>
          <w:p w14:paraId="0660167E" w14:textId="77777777" w:rsidR="00BB3426" w:rsidRPr="006275E6" w:rsidRDefault="00BB3426" w:rsidP="00C467A0">
            <w:pPr>
              <w:jc w:val="right"/>
              <w:rPr>
                <w:rFonts w:cs="Arial"/>
                <w:sz w:val="18"/>
                <w:szCs w:val="18"/>
              </w:rPr>
            </w:pPr>
            <w:r w:rsidRPr="006275E6">
              <w:rPr>
                <w:rFonts w:cs="Arial"/>
                <w:sz w:val="18"/>
                <w:szCs w:val="18"/>
              </w:rPr>
              <w:t>-</w:t>
            </w:r>
          </w:p>
        </w:tc>
        <w:tc>
          <w:tcPr>
            <w:tcW w:w="691" w:type="pct"/>
            <w:tcBorders>
              <w:top w:val="nil"/>
              <w:left w:val="nil"/>
              <w:bottom w:val="nil"/>
              <w:right w:val="single" w:sz="8" w:space="0" w:color="auto"/>
            </w:tcBorders>
            <w:shd w:val="clear" w:color="000000" w:fill="FFFFFF"/>
            <w:vAlign w:val="center"/>
            <w:hideMark/>
          </w:tcPr>
          <w:p w14:paraId="2F4B95CC" w14:textId="77777777" w:rsidR="00BB3426" w:rsidRPr="006275E6" w:rsidRDefault="00BB3426" w:rsidP="00C467A0">
            <w:pPr>
              <w:jc w:val="right"/>
              <w:rPr>
                <w:rFonts w:cs="Arial"/>
                <w:sz w:val="18"/>
                <w:szCs w:val="18"/>
              </w:rPr>
            </w:pPr>
            <w:r w:rsidRPr="006275E6">
              <w:rPr>
                <w:rFonts w:cs="Arial"/>
                <w:sz w:val="18"/>
                <w:szCs w:val="18"/>
              </w:rPr>
              <w:t>-</w:t>
            </w:r>
          </w:p>
        </w:tc>
        <w:tc>
          <w:tcPr>
            <w:tcW w:w="691" w:type="pct"/>
            <w:tcBorders>
              <w:top w:val="nil"/>
              <w:left w:val="nil"/>
              <w:bottom w:val="nil"/>
              <w:right w:val="single" w:sz="8" w:space="0" w:color="auto"/>
            </w:tcBorders>
            <w:shd w:val="clear" w:color="000000" w:fill="FFFFFF"/>
            <w:vAlign w:val="center"/>
            <w:hideMark/>
          </w:tcPr>
          <w:p w14:paraId="01BE8B87" w14:textId="77777777" w:rsidR="00BB3426" w:rsidRPr="006275E6" w:rsidRDefault="00BB3426" w:rsidP="00C467A0">
            <w:pPr>
              <w:jc w:val="right"/>
              <w:rPr>
                <w:rFonts w:cs="Arial"/>
                <w:sz w:val="18"/>
                <w:szCs w:val="18"/>
              </w:rPr>
            </w:pPr>
            <w:r w:rsidRPr="006275E6">
              <w:rPr>
                <w:rFonts w:cs="Arial"/>
                <w:sz w:val="18"/>
                <w:szCs w:val="18"/>
              </w:rPr>
              <w:t>-</w:t>
            </w:r>
          </w:p>
        </w:tc>
        <w:tc>
          <w:tcPr>
            <w:tcW w:w="691" w:type="pct"/>
            <w:tcBorders>
              <w:top w:val="nil"/>
              <w:left w:val="nil"/>
              <w:bottom w:val="nil"/>
              <w:right w:val="single" w:sz="8" w:space="0" w:color="auto"/>
            </w:tcBorders>
            <w:shd w:val="clear" w:color="000000" w:fill="FFFFFF"/>
            <w:vAlign w:val="center"/>
            <w:hideMark/>
          </w:tcPr>
          <w:p w14:paraId="05FB7A69" w14:textId="77777777" w:rsidR="00BB3426" w:rsidRPr="006275E6" w:rsidRDefault="00BB3426" w:rsidP="00C467A0">
            <w:pPr>
              <w:jc w:val="right"/>
              <w:rPr>
                <w:rFonts w:cs="Arial"/>
                <w:sz w:val="18"/>
                <w:szCs w:val="18"/>
              </w:rPr>
            </w:pPr>
            <w:r w:rsidRPr="006275E6">
              <w:rPr>
                <w:rFonts w:cs="Arial"/>
                <w:sz w:val="18"/>
                <w:szCs w:val="18"/>
              </w:rPr>
              <w:t>-</w:t>
            </w:r>
          </w:p>
        </w:tc>
        <w:tc>
          <w:tcPr>
            <w:tcW w:w="691" w:type="pct"/>
            <w:tcBorders>
              <w:top w:val="nil"/>
              <w:left w:val="nil"/>
              <w:bottom w:val="nil"/>
              <w:right w:val="nil"/>
            </w:tcBorders>
            <w:shd w:val="clear" w:color="000000" w:fill="FFFFFF"/>
            <w:vAlign w:val="center"/>
            <w:hideMark/>
          </w:tcPr>
          <w:p w14:paraId="1B93C2C0" w14:textId="77777777" w:rsidR="00BB3426" w:rsidRPr="006275E6" w:rsidRDefault="00BB3426" w:rsidP="00C467A0">
            <w:pPr>
              <w:jc w:val="right"/>
              <w:rPr>
                <w:rFonts w:cs="Arial"/>
                <w:b/>
                <w:bCs/>
                <w:color w:val="000000"/>
                <w:sz w:val="18"/>
                <w:szCs w:val="18"/>
              </w:rPr>
            </w:pPr>
            <w:r w:rsidRPr="006275E6">
              <w:rPr>
                <w:rFonts w:cs="Arial"/>
                <w:b/>
                <w:bCs/>
                <w:color w:val="000000"/>
                <w:sz w:val="18"/>
                <w:szCs w:val="18"/>
              </w:rPr>
              <w:t>558.539.292</w:t>
            </w:r>
          </w:p>
        </w:tc>
      </w:tr>
      <w:tr w:rsidR="00BB3426" w:rsidRPr="006275E6" w14:paraId="08350DA0" w14:textId="77777777" w:rsidTr="00C467A0">
        <w:trPr>
          <w:trHeight w:val="284"/>
        </w:trPr>
        <w:tc>
          <w:tcPr>
            <w:tcW w:w="1563" w:type="pct"/>
            <w:tcBorders>
              <w:top w:val="nil"/>
              <w:left w:val="nil"/>
              <w:bottom w:val="nil"/>
              <w:right w:val="single" w:sz="8" w:space="0" w:color="333300"/>
            </w:tcBorders>
            <w:shd w:val="clear" w:color="000000" w:fill="FFFFFF"/>
            <w:vAlign w:val="center"/>
            <w:hideMark/>
          </w:tcPr>
          <w:p w14:paraId="1CFD4666" w14:textId="77777777" w:rsidR="00BB3426" w:rsidRPr="006275E6" w:rsidRDefault="00BB3426" w:rsidP="00C467A0">
            <w:pPr>
              <w:rPr>
                <w:rFonts w:cs="Arial"/>
                <w:b/>
                <w:bCs/>
                <w:color w:val="000000"/>
                <w:sz w:val="18"/>
                <w:szCs w:val="18"/>
              </w:rPr>
            </w:pPr>
            <w:r w:rsidRPr="006275E6">
              <w:rPr>
                <w:rFonts w:cs="Arial"/>
                <w:b/>
                <w:bCs/>
                <w:color w:val="000000"/>
                <w:sz w:val="18"/>
                <w:szCs w:val="18"/>
              </w:rPr>
              <w:t>Amortização da Dívida</w:t>
            </w:r>
          </w:p>
        </w:tc>
        <w:tc>
          <w:tcPr>
            <w:tcW w:w="674" w:type="pct"/>
            <w:tcBorders>
              <w:top w:val="nil"/>
              <w:left w:val="nil"/>
              <w:bottom w:val="nil"/>
              <w:right w:val="single" w:sz="8" w:space="0" w:color="auto"/>
            </w:tcBorders>
            <w:shd w:val="clear" w:color="000000" w:fill="FFFFFF"/>
            <w:vAlign w:val="center"/>
            <w:hideMark/>
          </w:tcPr>
          <w:p w14:paraId="3B8279EE" w14:textId="77777777" w:rsidR="00BB3426" w:rsidRPr="006275E6" w:rsidRDefault="00BB3426" w:rsidP="00C467A0">
            <w:pPr>
              <w:jc w:val="right"/>
              <w:rPr>
                <w:rFonts w:cs="Arial"/>
                <w:b/>
                <w:bCs/>
                <w:sz w:val="18"/>
                <w:szCs w:val="18"/>
              </w:rPr>
            </w:pPr>
            <w:r w:rsidRPr="006275E6">
              <w:rPr>
                <w:rFonts w:cs="Arial"/>
                <w:b/>
                <w:bCs/>
                <w:sz w:val="18"/>
                <w:szCs w:val="18"/>
              </w:rPr>
              <w:t>475.817.375</w:t>
            </w:r>
          </w:p>
        </w:tc>
        <w:tc>
          <w:tcPr>
            <w:tcW w:w="691" w:type="pct"/>
            <w:tcBorders>
              <w:top w:val="nil"/>
              <w:left w:val="nil"/>
              <w:bottom w:val="nil"/>
              <w:right w:val="single" w:sz="8" w:space="0" w:color="auto"/>
            </w:tcBorders>
            <w:shd w:val="clear" w:color="000000" w:fill="FFFFFF"/>
            <w:vAlign w:val="center"/>
            <w:hideMark/>
          </w:tcPr>
          <w:p w14:paraId="178C6A81" w14:textId="77777777" w:rsidR="00BB3426" w:rsidRPr="006275E6" w:rsidRDefault="00BB3426" w:rsidP="00C467A0">
            <w:pPr>
              <w:jc w:val="right"/>
              <w:rPr>
                <w:rFonts w:cs="Arial"/>
                <w:b/>
                <w:bCs/>
                <w:sz w:val="18"/>
                <w:szCs w:val="18"/>
              </w:rPr>
            </w:pPr>
            <w:r w:rsidRPr="006275E6">
              <w:rPr>
                <w:rFonts w:cs="Arial"/>
                <w:b/>
                <w:bCs/>
                <w:sz w:val="18"/>
                <w:szCs w:val="18"/>
              </w:rPr>
              <w:t>48.140.520</w:t>
            </w:r>
          </w:p>
        </w:tc>
        <w:tc>
          <w:tcPr>
            <w:tcW w:w="691" w:type="pct"/>
            <w:tcBorders>
              <w:top w:val="nil"/>
              <w:left w:val="nil"/>
              <w:bottom w:val="nil"/>
              <w:right w:val="single" w:sz="8" w:space="0" w:color="auto"/>
            </w:tcBorders>
            <w:shd w:val="clear" w:color="000000" w:fill="FFFFFF"/>
            <w:vAlign w:val="center"/>
            <w:hideMark/>
          </w:tcPr>
          <w:p w14:paraId="00DE9A27" w14:textId="77777777" w:rsidR="00BB3426" w:rsidRPr="006275E6" w:rsidRDefault="00BB3426" w:rsidP="00C467A0">
            <w:pPr>
              <w:jc w:val="right"/>
              <w:rPr>
                <w:rFonts w:cs="Arial"/>
                <w:b/>
                <w:bCs/>
                <w:sz w:val="18"/>
                <w:szCs w:val="18"/>
              </w:rPr>
            </w:pPr>
            <w:r w:rsidRPr="006275E6">
              <w:rPr>
                <w:rFonts w:cs="Arial"/>
                <w:b/>
                <w:bCs/>
                <w:sz w:val="18"/>
                <w:szCs w:val="18"/>
              </w:rPr>
              <w:t>75.247.507</w:t>
            </w:r>
          </w:p>
        </w:tc>
        <w:tc>
          <w:tcPr>
            <w:tcW w:w="691" w:type="pct"/>
            <w:tcBorders>
              <w:top w:val="nil"/>
              <w:left w:val="nil"/>
              <w:bottom w:val="nil"/>
              <w:right w:val="single" w:sz="8" w:space="0" w:color="auto"/>
            </w:tcBorders>
            <w:shd w:val="clear" w:color="000000" w:fill="FFFFFF"/>
            <w:vAlign w:val="center"/>
            <w:hideMark/>
          </w:tcPr>
          <w:p w14:paraId="76CC81FD" w14:textId="77777777" w:rsidR="00BB3426" w:rsidRPr="006275E6" w:rsidRDefault="00BB3426" w:rsidP="00C467A0">
            <w:pPr>
              <w:jc w:val="right"/>
              <w:rPr>
                <w:rFonts w:cs="Arial"/>
                <w:b/>
                <w:bCs/>
                <w:sz w:val="18"/>
                <w:szCs w:val="18"/>
              </w:rPr>
            </w:pPr>
            <w:r w:rsidRPr="006275E6">
              <w:rPr>
                <w:rFonts w:cs="Arial"/>
                <w:b/>
                <w:bCs/>
                <w:sz w:val="18"/>
                <w:szCs w:val="18"/>
              </w:rPr>
              <w:t>2.597.850.673</w:t>
            </w:r>
          </w:p>
        </w:tc>
        <w:tc>
          <w:tcPr>
            <w:tcW w:w="691" w:type="pct"/>
            <w:tcBorders>
              <w:top w:val="nil"/>
              <w:left w:val="nil"/>
              <w:bottom w:val="nil"/>
              <w:right w:val="nil"/>
            </w:tcBorders>
            <w:shd w:val="clear" w:color="000000" w:fill="FFFFFF"/>
            <w:vAlign w:val="center"/>
            <w:hideMark/>
          </w:tcPr>
          <w:p w14:paraId="1EA3AD1E" w14:textId="77777777" w:rsidR="00BB3426" w:rsidRPr="006275E6" w:rsidRDefault="00BB3426" w:rsidP="00C467A0">
            <w:pPr>
              <w:jc w:val="right"/>
              <w:rPr>
                <w:rFonts w:cs="Arial"/>
                <w:b/>
                <w:bCs/>
                <w:sz w:val="18"/>
                <w:szCs w:val="18"/>
              </w:rPr>
            </w:pPr>
            <w:r w:rsidRPr="006275E6">
              <w:rPr>
                <w:rFonts w:cs="Arial"/>
                <w:b/>
                <w:bCs/>
                <w:sz w:val="18"/>
                <w:szCs w:val="18"/>
              </w:rPr>
              <w:t>325.255.789</w:t>
            </w:r>
          </w:p>
        </w:tc>
      </w:tr>
      <w:tr w:rsidR="00BB3426" w:rsidRPr="006275E6" w14:paraId="4743D758" w14:textId="77777777" w:rsidTr="00C467A0">
        <w:trPr>
          <w:trHeight w:val="284"/>
        </w:trPr>
        <w:tc>
          <w:tcPr>
            <w:tcW w:w="1563" w:type="pct"/>
            <w:tcBorders>
              <w:top w:val="nil"/>
              <w:left w:val="nil"/>
              <w:bottom w:val="nil"/>
              <w:right w:val="single" w:sz="8" w:space="0" w:color="333300"/>
            </w:tcBorders>
            <w:shd w:val="clear" w:color="000000" w:fill="FFFFFF"/>
            <w:noWrap/>
            <w:vAlign w:val="center"/>
            <w:hideMark/>
          </w:tcPr>
          <w:p w14:paraId="76586FAA" w14:textId="77777777" w:rsidR="00BB3426" w:rsidRPr="006275E6" w:rsidRDefault="00BB3426" w:rsidP="00C467A0">
            <w:pPr>
              <w:ind w:left="215"/>
              <w:rPr>
                <w:rFonts w:cs="Arial"/>
                <w:color w:val="000000"/>
                <w:sz w:val="18"/>
                <w:szCs w:val="18"/>
              </w:rPr>
            </w:pPr>
            <w:r w:rsidRPr="006275E6">
              <w:rPr>
                <w:rFonts w:cs="Arial"/>
                <w:color w:val="000000"/>
                <w:sz w:val="18"/>
                <w:szCs w:val="18"/>
              </w:rPr>
              <w:t>Dívida Interna</w:t>
            </w:r>
          </w:p>
        </w:tc>
        <w:tc>
          <w:tcPr>
            <w:tcW w:w="674" w:type="pct"/>
            <w:tcBorders>
              <w:top w:val="nil"/>
              <w:left w:val="nil"/>
              <w:bottom w:val="nil"/>
              <w:right w:val="single" w:sz="8" w:space="0" w:color="auto"/>
            </w:tcBorders>
            <w:shd w:val="clear" w:color="000000" w:fill="FFFFFF"/>
            <w:vAlign w:val="center"/>
            <w:hideMark/>
          </w:tcPr>
          <w:p w14:paraId="39C0C3F8" w14:textId="77777777" w:rsidR="00BB3426" w:rsidRPr="006275E6" w:rsidRDefault="00BB3426" w:rsidP="00C467A0">
            <w:pPr>
              <w:jc w:val="right"/>
              <w:rPr>
                <w:rFonts w:cs="Arial"/>
                <w:sz w:val="18"/>
                <w:szCs w:val="18"/>
              </w:rPr>
            </w:pPr>
            <w:r w:rsidRPr="006275E6">
              <w:rPr>
                <w:rFonts w:cs="Arial"/>
                <w:sz w:val="18"/>
                <w:szCs w:val="18"/>
              </w:rPr>
              <w:t>472.843.674</w:t>
            </w:r>
          </w:p>
        </w:tc>
        <w:tc>
          <w:tcPr>
            <w:tcW w:w="691" w:type="pct"/>
            <w:tcBorders>
              <w:top w:val="nil"/>
              <w:left w:val="nil"/>
              <w:bottom w:val="nil"/>
              <w:right w:val="single" w:sz="8" w:space="0" w:color="auto"/>
            </w:tcBorders>
            <w:shd w:val="clear" w:color="000000" w:fill="FFFFFF"/>
            <w:vAlign w:val="center"/>
            <w:hideMark/>
          </w:tcPr>
          <w:p w14:paraId="332ADAA2" w14:textId="77777777" w:rsidR="00BB3426" w:rsidRPr="006275E6" w:rsidRDefault="00BB3426" w:rsidP="00C467A0">
            <w:pPr>
              <w:jc w:val="right"/>
              <w:rPr>
                <w:rFonts w:cs="Arial"/>
                <w:sz w:val="18"/>
                <w:szCs w:val="18"/>
              </w:rPr>
            </w:pPr>
            <w:r w:rsidRPr="006275E6">
              <w:rPr>
                <w:rFonts w:cs="Arial"/>
                <w:sz w:val="18"/>
                <w:szCs w:val="18"/>
              </w:rPr>
              <w:t>44.129.501</w:t>
            </w:r>
          </w:p>
        </w:tc>
        <w:tc>
          <w:tcPr>
            <w:tcW w:w="691" w:type="pct"/>
            <w:tcBorders>
              <w:top w:val="nil"/>
              <w:left w:val="nil"/>
              <w:bottom w:val="nil"/>
              <w:right w:val="single" w:sz="8" w:space="0" w:color="auto"/>
            </w:tcBorders>
            <w:shd w:val="clear" w:color="000000" w:fill="FFFFFF"/>
            <w:vAlign w:val="center"/>
            <w:hideMark/>
          </w:tcPr>
          <w:p w14:paraId="0E125504" w14:textId="77777777" w:rsidR="00BB3426" w:rsidRPr="006275E6" w:rsidRDefault="00BB3426" w:rsidP="00C467A0">
            <w:pPr>
              <w:jc w:val="right"/>
              <w:rPr>
                <w:rFonts w:cs="Arial"/>
                <w:sz w:val="18"/>
                <w:szCs w:val="18"/>
              </w:rPr>
            </w:pPr>
            <w:r w:rsidRPr="006275E6">
              <w:rPr>
                <w:rFonts w:cs="Arial"/>
                <w:sz w:val="18"/>
                <w:szCs w:val="18"/>
              </w:rPr>
              <w:t>71.056.857</w:t>
            </w:r>
          </w:p>
        </w:tc>
        <w:tc>
          <w:tcPr>
            <w:tcW w:w="691" w:type="pct"/>
            <w:tcBorders>
              <w:top w:val="nil"/>
              <w:left w:val="nil"/>
              <w:bottom w:val="nil"/>
              <w:right w:val="single" w:sz="8" w:space="0" w:color="auto"/>
            </w:tcBorders>
            <w:shd w:val="clear" w:color="000000" w:fill="FFFFFF"/>
            <w:vAlign w:val="center"/>
            <w:hideMark/>
          </w:tcPr>
          <w:p w14:paraId="70543DF6" w14:textId="77777777" w:rsidR="00BB3426" w:rsidRPr="006275E6" w:rsidRDefault="00BB3426" w:rsidP="00C467A0">
            <w:pPr>
              <w:jc w:val="right"/>
              <w:rPr>
                <w:rFonts w:cs="Arial"/>
                <w:sz w:val="18"/>
                <w:szCs w:val="18"/>
              </w:rPr>
            </w:pPr>
            <w:r w:rsidRPr="006275E6">
              <w:rPr>
                <w:rFonts w:cs="Arial"/>
                <w:sz w:val="18"/>
                <w:szCs w:val="18"/>
              </w:rPr>
              <w:t>2.594.149.453</w:t>
            </w:r>
          </w:p>
        </w:tc>
        <w:tc>
          <w:tcPr>
            <w:tcW w:w="691" w:type="pct"/>
            <w:tcBorders>
              <w:top w:val="nil"/>
              <w:left w:val="nil"/>
              <w:bottom w:val="nil"/>
              <w:right w:val="nil"/>
            </w:tcBorders>
            <w:shd w:val="clear" w:color="000000" w:fill="FFFFFF"/>
            <w:vAlign w:val="center"/>
            <w:hideMark/>
          </w:tcPr>
          <w:p w14:paraId="6AD9F974" w14:textId="77777777" w:rsidR="00BB3426" w:rsidRPr="006275E6" w:rsidRDefault="00BB3426" w:rsidP="00C467A0">
            <w:pPr>
              <w:jc w:val="right"/>
              <w:rPr>
                <w:rFonts w:cs="Arial"/>
                <w:color w:val="000000"/>
                <w:sz w:val="18"/>
                <w:szCs w:val="18"/>
              </w:rPr>
            </w:pPr>
            <w:r w:rsidRPr="006275E6">
              <w:rPr>
                <w:rFonts w:cs="Arial"/>
                <w:color w:val="000000"/>
                <w:sz w:val="18"/>
                <w:szCs w:val="18"/>
              </w:rPr>
              <w:t>321.506.221</w:t>
            </w:r>
          </w:p>
        </w:tc>
      </w:tr>
      <w:tr w:rsidR="00BB3426" w:rsidRPr="006275E6" w14:paraId="610C9FA6" w14:textId="77777777" w:rsidTr="00C467A0">
        <w:trPr>
          <w:trHeight w:val="284"/>
        </w:trPr>
        <w:tc>
          <w:tcPr>
            <w:tcW w:w="1563" w:type="pct"/>
            <w:tcBorders>
              <w:top w:val="nil"/>
              <w:left w:val="nil"/>
              <w:bottom w:val="nil"/>
              <w:right w:val="single" w:sz="8" w:space="0" w:color="333300"/>
            </w:tcBorders>
            <w:shd w:val="clear" w:color="000000" w:fill="FFFFFF"/>
            <w:vAlign w:val="center"/>
            <w:hideMark/>
          </w:tcPr>
          <w:p w14:paraId="10A91CB8" w14:textId="77777777" w:rsidR="00BB3426" w:rsidRPr="006275E6" w:rsidRDefault="00BB3426" w:rsidP="00C467A0">
            <w:pPr>
              <w:ind w:left="215"/>
              <w:rPr>
                <w:rFonts w:cs="Arial"/>
                <w:color w:val="000000"/>
                <w:sz w:val="18"/>
                <w:szCs w:val="18"/>
              </w:rPr>
            </w:pPr>
            <w:r w:rsidRPr="006275E6">
              <w:rPr>
                <w:rFonts w:cs="Arial"/>
                <w:color w:val="000000"/>
                <w:sz w:val="18"/>
                <w:szCs w:val="18"/>
              </w:rPr>
              <w:t>Dívida Externa</w:t>
            </w:r>
          </w:p>
        </w:tc>
        <w:tc>
          <w:tcPr>
            <w:tcW w:w="674" w:type="pct"/>
            <w:tcBorders>
              <w:top w:val="nil"/>
              <w:left w:val="nil"/>
              <w:bottom w:val="nil"/>
              <w:right w:val="single" w:sz="8" w:space="0" w:color="auto"/>
            </w:tcBorders>
            <w:shd w:val="clear" w:color="000000" w:fill="FFFFFF"/>
            <w:vAlign w:val="center"/>
            <w:hideMark/>
          </w:tcPr>
          <w:p w14:paraId="42BF78D7" w14:textId="77777777" w:rsidR="00BB3426" w:rsidRPr="006275E6" w:rsidRDefault="00BB3426" w:rsidP="00C467A0">
            <w:pPr>
              <w:jc w:val="right"/>
              <w:rPr>
                <w:rFonts w:cs="Arial"/>
                <w:sz w:val="18"/>
                <w:szCs w:val="18"/>
              </w:rPr>
            </w:pPr>
            <w:r w:rsidRPr="006275E6">
              <w:rPr>
                <w:rFonts w:cs="Arial"/>
                <w:sz w:val="18"/>
                <w:szCs w:val="18"/>
              </w:rPr>
              <w:t>2.973.702</w:t>
            </w:r>
          </w:p>
        </w:tc>
        <w:tc>
          <w:tcPr>
            <w:tcW w:w="691" w:type="pct"/>
            <w:tcBorders>
              <w:top w:val="nil"/>
              <w:left w:val="nil"/>
              <w:bottom w:val="nil"/>
              <w:right w:val="single" w:sz="8" w:space="0" w:color="auto"/>
            </w:tcBorders>
            <w:shd w:val="clear" w:color="000000" w:fill="FFFFFF"/>
            <w:vAlign w:val="center"/>
            <w:hideMark/>
          </w:tcPr>
          <w:p w14:paraId="468B9A36" w14:textId="77777777" w:rsidR="00BB3426" w:rsidRPr="006275E6" w:rsidRDefault="00BB3426" w:rsidP="00C467A0">
            <w:pPr>
              <w:jc w:val="right"/>
              <w:rPr>
                <w:rFonts w:cs="Arial"/>
                <w:sz w:val="18"/>
                <w:szCs w:val="18"/>
              </w:rPr>
            </w:pPr>
            <w:r w:rsidRPr="006275E6">
              <w:rPr>
                <w:rFonts w:cs="Arial"/>
                <w:sz w:val="18"/>
                <w:szCs w:val="18"/>
              </w:rPr>
              <w:t>4.011.019</w:t>
            </w:r>
          </w:p>
        </w:tc>
        <w:tc>
          <w:tcPr>
            <w:tcW w:w="691" w:type="pct"/>
            <w:tcBorders>
              <w:top w:val="nil"/>
              <w:left w:val="nil"/>
              <w:bottom w:val="nil"/>
              <w:right w:val="single" w:sz="8" w:space="0" w:color="auto"/>
            </w:tcBorders>
            <w:shd w:val="clear" w:color="000000" w:fill="FFFFFF"/>
            <w:vAlign w:val="center"/>
            <w:hideMark/>
          </w:tcPr>
          <w:p w14:paraId="74A7D5BE" w14:textId="77777777" w:rsidR="00BB3426" w:rsidRPr="006275E6" w:rsidRDefault="00BB3426" w:rsidP="00C467A0">
            <w:pPr>
              <w:jc w:val="right"/>
              <w:rPr>
                <w:rFonts w:cs="Arial"/>
                <w:sz w:val="18"/>
                <w:szCs w:val="18"/>
              </w:rPr>
            </w:pPr>
            <w:r w:rsidRPr="006275E6">
              <w:rPr>
                <w:rFonts w:cs="Arial"/>
                <w:sz w:val="18"/>
                <w:szCs w:val="18"/>
              </w:rPr>
              <w:t>4.190.650</w:t>
            </w:r>
          </w:p>
        </w:tc>
        <w:tc>
          <w:tcPr>
            <w:tcW w:w="691" w:type="pct"/>
            <w:tcBorders>
              <w:top w:val="nil"/>
              <w:left w:val="nil"/>
              <w:bottom w:val="nil"/>
              <w:right w:val="single" w:sz="8" w:space="0" w:color="auto"/>
            </w:tcBorders>
            <w:shd w:val="clear" w:color="000000" w:fill="FFFFFF"/>
            <w:vAlign w:val="center"/>
            <w:hideMark/>
          </w:tcPr>
          <w:p w14:paraId="65BFC8D7" w14:textId="77777777" w:rsidR="00BB3426" w:rsidRPr="006275E6" w:rsidRDefault="00BB3426" w:rsidP="00C467A0">
            <w:pPr>
              <w:jc w:val="right"/>
              <w:rPr>
                <w:rFonts w:cs="Arial"/>
                <w:sz w:val="18"/>
                <w:szCs w:val="18"/>
              </w:rPr>
            </w:pPr>
            <w:r w:rsidRPr="006275E6">
              <w:rPr>
                <w:rFonts w:cs="Arial"/>
                <w:sz w:val="18"/>
                <w:szCs w:val="18"/>
              </w:rPr>
              <w:t>3.701.220</w:t>
            </w:r>
          </w:p>
        </w:tc>
        <w:tc>
          <w:tcPr>
            <w:tcW w:w="691" w:type="pct"/>
            <w:tcBorders>
              <w:top w:val="nil"/>
              <w:left w:val="nil"/>
              <w:bottom w:val="nil"/>
              <w:right w:val="nil"/>
            </w:tcBorders>
            <w:shd w:val="clear" w:color="000000" w:fill="FFFFFF"/>
            <w:vAlign w:val="center"/>
            <w:hideMark/>
          </w:tcPr>
          <w:p w14:paraId="0988D2D3" w14:textId="77777777" w:rsidR="00BB3426" w:rsidRPr="006275E6" w:rsidRDefault="00BB3426" w:rsidP="00C467A0">
            <w:pPr>
              <w:jc w:val="right"/>
              <w:rPr>
                <w:rFonts w:cs="Arial"/>
                <w:color w:val="000000"/>
                <w:sz w:val="18"/>
                <w:szCs w:val="18"/>
              </w:rPr>
            </w:pPr>
            <w:r w:rsidRPr="006275E6">
              <w:rPr>
                <w:rFonts w:cs="Arial"/>
                <w:color w:val="000000"/>
                <w:sz w:val="18"/>
                <w:szCs w:val="18"/>
              </w:rPr>
              <w:t>3.749.568</w:t>
            </w:r>
          </w:p>
        </w:tc>
      </w:tr>
      <w:tr w:rsidR="00BB3426" w:rsidRPr="006275E6" w14:paraId="3214BE48" w14:textId="77777777" w:rsidTr="00C467A0">
        <w:trPr>
          <w:trHeight w:val="284"/>
        </w:trPr>
        <w:tc>
          <w:tcPr>
            <w:tcW w:w="1563" w:type="pct"/>
            <w:tcBorders>
              <w:top w:val="single" w:sz="8" w:space="0" w:color="333300"/>
              <w:left w:val="nil"/>
              <w:bottom w:val="single" w:sz="8" w:space="0" w:color="333300"/>
              <w:right w:val="single" w:sz="8" w:space="0" w:color="333300"/>
            </w:tcBorders>
            <w:shd w:val="clear" w:color="000000" w:fill="FFFFFF"/>
            <w:vAlign w:val="center"/>
            <w:hideMark/>
          </w:tcPr>
          <w:p w14:paraId="3C558995" w14:textId="77777777" w:rsidR="00BB3426" w:rsidRPr="006275E6" w:rsidRDefault="00BB3426" w:rsidP="00C467A0">
            <w:pPr>
              <w:jc w:val="center"/>
              <w:rPr>
                <w:rFonts w:cs="Arial"/>
                <w:b/>
                <w:bCs/>
                <w:color w:val="000000"/>
                <w:sz w:val="18"/>
                <w:szCs w:val="18"/>
              </w:rPr>
            </w:pPr>
            <w:r w:rsidRPr="006275E6">
              <w:rPr>
                <w:rFonts w:cs="Arial"/>
                <w:b/>
                <w:bCs/>
                <w:color w:val="000000"/>
                <w:sz w:val="18"/>
                <w:szCs w:val="18"/>
              </w:rPr>
              <w:t>Total</w:t>
            </w:r>
          </w:p>
        </w:tc>
        <w:tc>
          <w:tcPr>
            <w:tcW w:w="674" w:type="pct"/>
            <w:tcBorders>
              <w:top w:val="single" w:sz="8" w:space="0" w:color="333300"/>
              <w:left w:val="nil"/>
              <w:bottom w:val="single" w:sz="8" w:space="0" w:color="333300"/>
              <w:right w:val="single" w:sz="8" w:space="0" w:color="333300"/>
            </w:tcBorders>
            <w:shd w:val="clear" w:color="000000" w:fill="FFFFFF"/>
            <w:vAlign w:val="center"/>
            <w:hideMark/>
          </w:tcPr>
          <w:p w14:paraId="388BF0A5" w14:textId="77777777" w:rsidR="00BB3426" w:rsidRPr="006275E6" w:rsidRDefault="00BB3426" w:rsidP="00C467A0">
            <w:pPr>
              <w:jc w:val="right"/>
              <w:rPr>
                <w:rFonts w:cs="Arial"/>
                <w:b/>
                <w:bCs/>
                <w:color w:val="000000"/>
                <w:sz w:val="18"/>
                <w:szCs w:val="18"/>
              </w:rPr>
            </w:pPr>
            <w:r w:rsidRPr="006275E6">
              <w:rPr>
                <w:rFonts w:cs="Arial"/>
                <w:b/>
                <w:bCs/>
                <w:color w:val="000000"/>
                <w:sz w:val="18"/>
                <w:szCs w:val="18"/>
              </w:rPr>
              <w:t>1.127.797.225</w:t>
            </w:r>
          </w:p>
        </w:tc>
        <w:tc>
          <w:tcPr>
            <w:tcW w:w="691" w:type="pct"/>
            <w:tcBorders>
              <w:top w:val="single" w:sz="8" w:space="0" w:color="333300"/>
              <w:left w:val="nil"/>
              <w:bottom w:val="single" w:sz="8" w:space="0" w:color="333300"/>
              <w:right w:val="single" w:sz="8" w:space="0" w:color="auto"/>
            </w:tcBorders>
            <w:shd w:val="clear" w:color="000000" w:fill="FFFFFF"/>
            <w:vAlign w:val="center"/>
            <w:hideMark/>
          </w:tcPr>
          <w:p w14:paraId="6B9BC9C6" w14:textId="77777777" w:rsidR="00BB3426" w:rsidRPr="006275E6" w:rsidRDefault="00BB3426" w:rsidP="00C467A0">
            <w:pPr>
              <w:jc w:val="right"/>
              <w:rPr>
                <w:rFonts w:cs="Arial"/>
                <w:b/>
                <w:bCs/>
                <w:color w:val="000000"/>
                <w:sz w:val="18"/>
                <w:szCs w:val="18"/>
              </w:rPr>
            </w:pPr>
            <w:r w:rsidRPr="006275E6">
              <w:rPr>
                <w:rFonts w:cs="Arial"/>
                <w:b/>
                <w:bCs/>
                <w:color w:val="000000"/>
                <w:sz w:val="18"/>
                <w:szCs w:val="18"/>
              </w:rPr>
              <w:t>88.652.871</w:t>
            </w:r>
          </w:p>
        </w:tc>
        <w:tc>
          <w:tcPr>
            <w:tcW w:w="691" w:type="pct"/>
            <w:tcBorders>
              <w:top w:val="single" w:sz="8" w:space="0" w:color="333300"/>
              <w:left w:val="nil"/>
              <w:bottom w:val="single" w:sz="8" w:space="0" w:color="333300"/>
              <w:right w:val="single" w:sz="8" w:space="0" w:color="auto"/>
            </w:tcBorders>
            <w:shd w:val="clear" w:color="000000" w:fill="FFFFFF"/>
            <w:vAlign w:val="center"/>
            <w:hideMark/>
          </w:tcPr>
          <w:p w14:paraId="529896FB" w14:textId="77777777" w:rsidR="00BB3426" w:rsidRPr="006275E6" w:rsidRDefault="00BB3426" w:rsidP="00C467A0">
            <w:pPr>
              <w:jc w:val="right"/>
              <w:rPr>
                <w:rFonts w:cs="Arial"/>
                <w:b/>
                <w:bCs/>
                <w:color w:val="000000"/>
                <w:sz w:val="18"/>
                <w:szCs w:val="18"/>
              </w:rPr>
            </w:pPr>
            <w:r w:rsidRPr="006275E6">
              <w:rPr>
                <w:rFonts w:cs="Arial"/>
                <w:b/>
                <w:bCs/>
                <w:color w:val="000000"/>
                <w:sz w:val="18"/>
                <w:szCs w:val="18"/>
              </w:rPr>
              <w:t>147.264.409</w:t>
            </w:r>
          </w:p>
        </w:tc>
        <w:tc>
          <w:tcPr>
            <w:tcW w:w="691" w:type="pct"/>
            <w:tcBorders>
              <w:top w:val="single" w:sz="8" w:space="0" w:color="333300"/>
              <w:left w:val="nil"/>
              <w:bottom w:val="single" w:sz="8" w:space="0" w:color="333300"/>
              <w:right w:val="single" w:sz="8" w:space="0" w:color="auto"/>
            </w:tcBorders>
            <w:shd w:val="clear" w:color="000000" w:fill="FFFFFF"/>
            <w:vAlign w:val="center"/>
            <w:hideMark/>
          </w:tcPr>
          <w:p w14:paraId="42E5044F" w14:textId="77777777" w:rsidR="00BB3426" w:rsidRPr="006275E6" w:rsidRDefault="00BB3426" w:rsidP="00C467A0">
            <w:pPr>
              <w:jc w:val="right"/>
              <w:rPr>
                <w:rFonts w:cs="Arial"/>
                <w:b/>
                <w:bCs/>
                <w:color w:val="000000"/>
                <w:sz w:val="18"/>
                <w:szCs w:val="18"/>
              </w:rPr>
            </w:pPr>
            <w:r w:rsidRPr="006275E6">
              <w:rPr>
                <w:rFonts w:cs="Arial"/>
                <w:b/>
                <w:bCs/>
                <w:color w:val="000000"/>
                <w:sz w:val="18"/>
                <w:szCs w:val="18"/>
              </w:rPr>
              <w:t>2.948.941.122</w:t>
            </w:r>
          </w:p>
        </w:tc>
        <w:tc>
          <w:tcPr>
            <w:tcW w:w="691" w:type="pct"/>
            <w:tcBorders>
              <w:top w:val="single" w:sz="8" w:space="0" w:color="333300"/>
              <w:left w:val="nil"/>
              <w:bottom w:val="single" w:sz="8" w:space="0" w:color="333300"/>
              <w:right w:val="nil"/>
            </w:tcBorders>
            <w:shd w:val="clear" w:color="000000" w:fill="FFFFFF"/>
            <w:vAlign w:val="center"/>
            <w:hideMark/>
          </w:tcPr>
          <w:p w14:paraId="66E31E78" w14:textId="77777777" w:rsidR="00BB3426" w:rsidRPr="006275E6" w:rsidRDefault="00BB3426" w:rsidP="00C467A0">
            <w:pPr>
              <w:jc w:val="right"/>
              <w:rPr>
                <w:rFonts w:cs="Arial"/>
                <w:b/>
                <w:bCs/>
                <w:color w:val="000000"/>
                <w:sz w:val="18"/>
                <w:szCs w:val="18"/>
              </w:rPr>
            </w:pPr>
            <w:r w:rsidRPr="006275E6">
              <w:rPr>
                <w:rFonts w:cs="Arial"/>
                <w:b/>
                <w:bCs/>
                <w:color w:val="000000"/>
                <w:sz w:val="18"/>
                <w:szCs w:val="18"/>
              </w:rPr>
              <w:t>1.472.027.718</w:t>
            </w:r>
          </w:p>
        </w:tc>
      </w:tr>
      <w:tr w:rsidR="00BB3426" w:rsidRPr="006275E6" w14:paraId="7E4E7996" w14:textId="77777777" w:rsidTr="00C467A0">
        <w:trPr>
          <w:trHeight w:val="284"/>
        </w:trPr>
        <w:tc>
          <w:tcPr>
            <w:tcW w:w="1563" w:type="pct"/>
            <w:tcBorders>
              <w:top w:val="nil"/>
              <w:left w:val="nil"/>
              <w:bottom w:val="single" w:sz="8" w:space="0" w:color="333300"/>
              <w:right w:val="single" w:sz="8" w:space="0" w:color="333300"/>
            </w:tcBorders>
            <w:shd w:val="clear" w:color="000000" w:fill="FFFFFF"/>
            <w:vAlign w:val="center"/>
            <w:hideMark/>
          </w:tcPr>
          <w:p w14:paraId="60D49E14" w14:textId="77777777" w:rsidR="00BB3426" w:rsidRPr="006275E6" w:rsidRDefault="00BB3426" w:rsidP="00B825BF">
            <w:pPr>
              <w:rPr>
                <w:rFonts w:cs="Arial"/>
                <w:bCs/>
                <w:color w:val="000000"/>
                <w:sz w:val="18"/>
                <w:szCs w:val="18"/>
              </w:rPr>
            </w:pPr>
            <w:r w:rsidRPr="006275E6">
              <w:rPr>
                <w:rFonts w:cs="Arial"/>
                <w:bCs/>
                <w:color w:val="000000"/>
                <w:sz w:val="18"/>
                <w:szCs w:val="18"/>
              </w:rPr>
              <w:t>Dívida Consolidada (Inclui Parcelamento de Dívidas e Precatórios)</w:t>
            </w:r>
          </w:p>
        </w:tc>
        <w:tc>
          <w:tcPr>
            <w:tcW w:w="674" w:type="pct"/>
            <w:tcBorders>
              <w:top w:val="nil"/>
              <w:left w:val="nil"/>
              <w:bottom w:val="single" w:sz="8" w:space="0" w:color="333300"/>
              <w:right w:val="single" w:sz="8" w:space="0" w:color="auto"/>
            </w:tcBorders>
            <w:shd w:val="clear" w:color="000000" w:fill="FFFFFF"/>
            <w:vAlign w:val="center"/>
            <w:hideMark/>
          </w:tcPr>
          <w:p w14:paraId="57C161DF" w14:textId="77777777" w:rsidR="00BB3426" w:rsidRPr="006275E6" w:rsidRDefault="00BB3426" w:rsidP="00C467A0">
            <w:pPr>
              <w:jc w:val="right"/>
              <w:rPr>
                <w:rFonts w:cs="Arial"/>
                <w:bCs/>
                <w:sz w:val="18"/>
                <w:szCs w:val="18"/>
              </w:rPr>
            </w:pPr>
            <w:r w:rsidRPr="006275E6">
              <w:rPr>
                <w:rFonts w:cs="Arial"/>
                <w:bCs/>
                <w:sz w:val="18"/>
                <w:szCs w:val="18"/>
              </w:rPr>
              <w:t>20.670.271.654</w:t>
            </w:r>
          </w:p>
        </w:tc>
        <w:tc>
          <w:tcPr>
            <w:tcW w:w="691" w:type="pct"/>
            <w:tcBorders>
              <w:top w:val="nil"/>
              <w:left w:val="nil"/>
              <w:bottom w:val="single" w:sz="8" w:space="0" w:color="333300"/>
              <w:right w:val="single" w:sz="8" w:space="0" w:color="auto"/>
            </w:tcBorders>
            <w:shd w:val="clear" w:color="000000" w:fill="FFFFFF"/>
            <w:vAlign w:val="center"/>
            <w:hideMark/>
          </w:tcPr>
          <w:p w14:paraId="30D48479" w14:textId="77777777" w:rsidR="00BB3426" w:rsidRPr="006275E6" w:rsidRDefault="00BB3426" w:rsidP="00C467A0">
            <w:pPr>
              <w:jc w:val="right"/>
              <w:rPr>
                <w:rFonts w:cs="Arial"/>
                <w:bCs/>
                <w:sz w:val="18"/>
                <w:szCs w:val="18"/>
              </w:rPr>
            </w:pPr>
            <w:r w:rsidRPr="006275E6">
              <w:rPr>
                <w:rFonts w:cs="Arial"/>
                <w:bCs/>
                <w:sz w:val="18"/>
                <w:szCs w:val="18"/>
              </w:rPr>
              <w:t>22.665.700.875</w:t>
            </w:r>
          </w:p>
        </w:tc>
        <w:tc>
          <w:tcPr>
            <w:tcW w:w="691" w:type="pct"/>
            <w:tcBorders>
              <w:top w:val="nil"/>
              <w:left w:val="nil"/>
              <w:bottom w:val="single" w:sz="8" w:space="0" w:color="333300"/>
              <w:right w:val="single" w:sz="8" w:space="0" w:color="auto"/>
            </w:tcBorders>
            <w:shd w:val="clear" w:color="000000" w:fill="FFFFFF"/>
            <w:vAlign w:val="center"/>
            <w:hideMark/>
          </w:tcPr>
          <w:p w14:paraId="63EAF557" w14:textId="77777777" w:rsidR="00BB3426" w:rsidRPr="006275E6" w:rsidRDefault="00BB3426" w:rsidP="00C467A0">
            <w:pPr>
              <w:jc w:val="right"/>
              <w:rPr>
                <w:rFonts w:cs="Arial"/>
                <w:bCs/>
                <w:sz w:val="18"/>
                <w:szCs w:val="18"/>
              </w:rPr>
            </w:pPr>
            <w:r w:rsidRPr="006275E6">
              <w:rPr>
                <w:rFonts w:cs="Arial"/>
                <w:bCs/>
                <w:sz w:val="18"/>
                <w:szCs w:val="18"/>
              </w:rPr>
              <w:t>23.030.006.669</w:t>
            </w:r>
          </w:p>
        </w:tc>
        <w:tc>
          <w:tcPr>
            <w:tcW w:w="691" w:type="pct"/>
            <w:tcBorders>
              <w:top w:val="nil"/>
              <w:left w:val="nil"/>
              <w:bottom w:val="single" w:sz="8" w:space="0" w:color="333300"/>
              <w:right w:val="single" w:sz="8" w:space="0" w:color="auto"/>
            </w:tcBorders>
            <w:shd w:val="clear" w:color="000000" w:fill="FFFFFF"/>
            <w:vAlign w:val="center"/>
            <w:hideMark/>
          </w:tcPr>
          <w:p w14:paraId="47D2ED36" w14:textId="77777777" w:rsidR="00BB3426" w:rsidRPr="006275E6" w:rsidRDefault="00BB3426" w:rsidP="00C467A0">
            <w:pPr>
              <w:jc w:val="right"/>
              <w:rPr>
                <w:rFonts w:cs="Arial"/>
                <w:bCs/>
                <w:sz w:val="18"/>
                <w:szCs w:val="18"/>
              </w:rPr>
            </w:pPr>
            <w:r w:rsidRPr="006275E6">
              <w:rPr>
                <w:rFonts w:cs="Arial"/>
                <w:bCs/>
                <w:sz w:val="18"/>
                <w:szCs w:val="18"/>
              </w:rPr>
              <w:t>24.564.332.569</w:t>
            </w:r>
          </w:p>
        </w:tc>
        <w:tc>
          <w:tcPr>
            <w:tcW w:w="691" w:type="pct"/>
            <w:tcBorders>
              <w:top w:val="nil"/>
              <w:left w:val="nil"/>
              <w:bottom w:val="single" w:sz="8" w:space="0" w:color="333300"/>
              <w:right w:val="nil"/>
            </w:tcBorders>
            <w:shd w:val="clear" w:color="auto" w:fill="auto"/>
            <w:vAlign w:val="center"/>
            <w:hideMark/>
          </w:tcPr>
          <w:p w14:paraId="01E30BF5" w14:textId="77777777" w:rsidR="00BB3426" w:rsidRPr="006275E6" w:rsidRDefault="00BB3426" w:rsidP="00C467A0">
            <w:pPr>
              <w:jc w:val="right"/>
              <w:rPr>
                <w:rFonts w:cs="Arial"/>
                <w:bCs/>
                <w:sz w:val="18"/>
                <w:szCs w:val="18"/>
              </w:rPr>
            </w:pPr>
            <w:r w:rsidRPr="006275E6">
              <w:rPr>
                <w:rFonts w:cs="Arial"/>
                <w:bCs/>
                <w:sz w:val="18"/>
                <w:szCs w:val="18"/>
              </w:rPr>
              <w:t>25.733.807.908</w:t>
            </w:r>
          </w:p>
        </w:tc>
      </w:tr>
      <w:tr w:rsidR="00BB3426" w:rsidRPr="006275E6" w14:paraId="3638403E" w14:textId="77777777" w:rsidTr="00C467A0">
        <w:trPr>
          <w:trHeight w:val="284"/>
        </w:trPr>
        <w:tc>
          <w:tcPr>
            <w:tcW w:w="1563" w:type="pct"/>
            <w:tcBorders>
              <w:top w:val="nil"/>
              <w:left w:val="nil"/>
              <w:bottom w:val="single" w:sz="8" w:space="0" w:color="333300"/>
              <w:right w:val="single" w:sz="8" w:space="0" w:color="333300"/>
            </w:tcBorders>
            <w:shd w:val="clear" w:color="000000" w:fill="FFFFFF"/>
            <w:vAlign w:val="center"/>
            <w:hideMark/>
          </w:tcPr>
          <w:p w14:paraId="239B698E" w14:textId="77777777" w:rsidR="00BB3426" w:rsidRPr="006275E6" w:rsidRDefault="00BB3426" w:rsidP="00C467A0">
            <w:pPr>
              <w:jc w:val="center"/>
              <w:rPr>
                <w:rFonts w:cs="Arial"/>
                <w:bCs/>
                <w:color w:val="000000"/>
                <w:sz w:val="18"/>
                <w:szCs w:val="18"/>
              </w:rPr>
            </w:pPr>
            <w:r w:rsidRPr="006275E6">
              <w:rPr>
                <w:rFonts w:cs="Arial"/>
                <w:bCs/>
                <w:color w:val="000000"/>
                <w:sz w:val="18"/>
                <w:szCs w:val="18"/>
              </w:rPr>
              <w:t>RCL</w:t>
            </w:r>
          </w:p>
        </w:tc>
        <w:tc>
          <w:tcPr>
            <w:tcW w:w="674" w:type="pct"/>
            <w:tcBorders>
              <w:top w:val="nil"/>
              <w:left w:val="nil"/>
              <w:bottom w:val="single" w:sz="8" w:space="0" w:color="333300"/>
              <w:right w:val="single" w:sz="8" w:space="0" w:color="auto"/>
            </w:tcBorders>
            <w:shd w:val="clear" w:color="000000" w:fill="FFFFFF"/>
            <w:vAlign w:val="center"/>
            <w:hideMark/>
          </w:tcPr>
          <w:p w14:paraId="1C2D32F2" w14:textId="77777777" w:rsidR="00BB3426" w:rsidRPr="006275E6" w:rsidRDefault="00BB3426" w:rsidP="00C467A0">
            <w:pPr>
              <w:jc w:val="right"/>
              <w:rPr>
                <w:rFonts w:cs="Arial"/>
                <w:bCs/>
                <w:color w:val="000000"/>
                <w:sz w:val="18"/>
                <w:szCs w:val="18"/>
              </w:rPr>
            </w:pPr>
            <w:r w:rsidRPr="006275E6">
              <w:rPr>
                <w:rFonts w:cs="Arial"/>
                <w:bCs/>
                <w:color w:val="000000"/>
                <w:sz w:val="18"/>
                <w:szCs w:val="18"/>
              </w:rPr>
              <w:t>24.538.621.317</w:t>
            </w:r>
          </w:p>
        </w:tc>
        <w:tc>
          <w:tcPr>
            <w:tcW w:w="691" w:type="pct"/>
            <w:tcBorders>
              <w:top w:val="nil"/>
              <w:left w:val="nil"/>
              <w:bottom w:val="single" w:sz="8" w:space="0" w:color="333300"/>
              <w:right w:val="single" w:sz="8" w:space="0" w:color="auto"/>
            </w:tcBorders>
            <w:shd w:val="clear" w:color="000000" w:fill="FFFFFF"/>
            <w:vAlign w:val="center"/>
            <w:hideMark/>
          </w:tcPr>
          <w:p w14:paraId="0D0836E6" w14:textId="77777777" w:rsidR="00BB3426" w:rsidRPr="006275E6" w:rsidRDefault="00BB3426" w:rsidP="00C467A0">
            <w:pPr>
              <w:jc w:val="right"/>
              <w:rPr>
                <w:rFonts w:cs="Arial"/>
                <w:bCs/>
                <w:color w:val="000000"/>
                <w:sz w:val="18"/>
                <w:szCs w:val="18"/>
              </w:rPr>
            </w:pPr>
            <w:r w:rsidRPr="006275E6">
              <w:rPr>
                <w:rFonts w:cs="Arial"/>
                <w:bCs/>
                <w:color w:val="000000"/>
                <w:sz w:val="18"/>
                <w:szCs w:val="18"/>
              </w:rPr>
              <w:t>26.309.629.054</w:t>
            </w:r>
          </w:p>
        </w:tc>
        <w:tc>
          <w:tcPr>
            <w:tcW w:w="691" w:type="pct"/>
            <w:tcBorders>
              <w:top w:val="nil"/>
              <w:left w:val="nil"/>
              <w:bottom w:val="single" w:sz="8" w:space="0" w:color="333300"/>
              <w:right w:val="single" w:sz="8" w:space="0" w:color="auto"/>
            </w:tcBorders>
            <w:shd w:val="clear" w:color="000000" w:fill="FFFFFF"/>
            <w:vAlign w:val="center"/>
            <w:hideMark/>
          </w:tcPr>
          <w:p w14:paraId="0F2EC5E3" w14:textId="77777777" w:rsidR="00BB3426" w:rsidRPr="006275E6" w:rsidRDefault="00BB3426" w:rsidP="00C467A0">
            <w:pPr>
              <w:jc w:val="right"/>
              <w:rPr>
                <w:rFonts w:cs="Arial"/>
                <w:bCs/>
                <w:color w:val="000000"/>
                <w:sz w:val="18"/>
                <w:szCs w:val="18"/>
              </w:rPr>
            </w:pPr>
            <w:r w:rsidRPr="006275E6">
              <w:rPr>
                <w:rFonts w:cs="Arial"/>
                <w:bCs/>
                <w:color w:val="000000"/>
                <w:sz w:val="18"/>
                <w:szCs w:val="18"/>
              </w:rPr>
              <w:t>31.539.599.485</w:t>
            </w:r>
          </w:p>
        </w:tc>
        <w:tc>
          <w:tcPr>
            <w:tcW w:w="691" w:type="pct"/>
            <w:tcBorders>
              <w:top w:val="nil"/>
              <w:left w:val="nil"/>
              <w:bottom w:val="single" w:sz="8" w:space="0" w:color="333300"/>
              <w:right w:val="single" w:sz="8" w:space="0" w:color="auto"/>
            </w:tcBorders>
            <w:shd w:val="clear" w:color="000000" w:fill="FFFFFF"/>
            <w:vAlign w:val="center"/>
            <w:hideMark/>
          </w:tcPr>
          <w:p w14:paraId="106A4F03" w14:textId="77777777" w:rsidR="00BB3426" w:rsidRPr="006275E6" w:rsidRDefault="00BB3426" w:rsidP="00C467A0">
            <w:pPr>
              <w:jc w:val="right"/>
              <w:rPr>
                <w:rFonts w:cs="Arial"/>
                <w:bCs/>
                <w:color w:val="000000"/>
                <w:sz w:val="18"/>
                <w:szCs w:val="18"/>
              </w:rPr>
            </w:pPr>
            <w:r w:rsidRPr="006275E6">
              <w:rPr>
                <w:rFonts w:cs="Arial"/>
                <w:bCs/>
                <w:color w:val="000000"/>
                <w:sz w:val="18"/>
                <w:szCs w:val="18"/>
              </w:rPr>
              <w:t>37.203.040.718</w:t>
            </w:r>
          </w:p>
        </w:tc>
        <w:tc>
          <w:tcPr>
            <w:tcW w:w="691" w:type="pct"/>
            <w:tcBorders>
              <w:top w:val="nil"/>
              <w:left w:val="nil"/>
              <w:bottom w:val="single" w:sz="8" w:space="0" w:color="333300"/>
              <w:right w:val="nil"/>
            </w:tcBorders>
            <w:shd w:val="clear" w:color="000000" w:fill="FFFFFF"/>
            <w:vAlign w:val="center"/>
            <w:hideMark/>
          </w:tcPr>
          <w:p w14:paraId="5965ECBF" w14:textId="77777777" w:rsidR="00BB3426" w:rsidRPr="006275E6" w:rsidRDefault="00BB3426" w:rsidP="00C467A0">
            <w:pPr>
              <w:jc w:val="right"/>
              <w:rPr>
                <w:rFonts w:cs="Arial"/>
                <w:bCs/>
                <w:color w:val="000000"/>
                <w:sz w:val="18"/>
                <w:szCs w:val="18"/>
              </w:rPr>
            </w:pPr>
            <w:r w:rsidRPr="006275E6">
              <w:rPr>
                <w:rFonts w:cs="Arial"/>
                <w:bCs/>
                <w:color w:val="000000"/>
                <w:sz w:val="18"/>
                <w:szCs w:val="18"/>
              </w:rPr>
              <w:t>38.364.549.333</w:t>
            </w:r>
          </w:p>
        </w:tc>
      </w:tr>
      <w:tr w:rsidR="00BB3426" w:rsidRPr="006275E6" w14:paraId="25F9BCDD" w14:textId="77777777" w:rsidTr="00C467A0">
        <w:trPr>
          <w:trHeight w:val="284"/>
        </w:trPr>
        <w:tc>
          <w:tcPr>
            <w:tcW w:w="1563" w:type="pct"/>
            <w:tcBorders>
              <w:top w:val="nil"/>
              <w:left w:val="nil"/>
              <w:bottom w:val="single" w:sz="8" w:space="0" w:color="333300"/>
              <w:right w:val="single" w:sz="8" w:space="0" w:color="333300"/>
            </w:tcBorders>
            <w:shd w:val="clear" w:color="000000" w:fill="FFFFFF"/>
            <w:vAlign w:val="center"/>
            <w:hideMark/>
          </w:tcPr>
          <w:p w14:paraId="7DA55E6D" w14:textId="77777777" w:rsidR="006275E6" w:rsidRDefault="00BB3426" w:rsidP="00C467A0">
            <w:pPr>
              <w:jc w:val="center"/>
              <w:rPr>
                <w:rFonts w:cs="Arial"/>
                <w:bCs/>
                <w:color w:val="000000"/>
                <w:sz w:val="18"/>
                <w:szCs w:val="18"/>
              </w:rPr>
            </w:pPr>
            <w:r w:rsidRPr="006275E6">
              <w:rPr>
                <w:rFonts w:cs="Arial"/>
                <w:b/>
                <w:bCs/>
                <w:color w:val="000000"/>
                <w:sz w:val="18"/>
                <w:szCs w:val="18"/>
              </w:rPr>
              <w:t xml:space="preserve">Percentual (%) </w:t>
            </w:r>
          </w:p>
          <w:p w14:paraId="270550BC" w14:textId="55AD8A74" w:rsidR="00BB3426" w:rsidRPr="006275E6" w:rsidRDefault="00BB3426" w:rsidP="00C467A0">
            <w:pPr>
              <w:jc w:val="center"/>
              <w:rPr>
                <w:rFonts w:cs="Arial"/>
                <w:b/>
                <w:bCs/>
                <w:color w:val="000000"/>
                <w:sz w:val="18"/>
                <w:szCs w:val="18"/>
              </w:rPr>
            </w:pPr>
            <w:r w:rsidRPr="006275E6">
              <w:rPr>
                <w:rFonts w:cs="Arial"/>
                <w:b/>
                <w:bCs/>
                <w:color w:val="000000"/>
                <w:sz w:val="18"/>
                <w:szCs w:val="18"/>
              </w:rPr>
              <w:t>Pago x RCL</w:t>
            </w:r>
          </w:p>
        </w:tc>
        <w:tc>
          <w:tcPr>
            <w:tcW w:w="674" w:type="pct"/>
            <w:tcBorders>
              <w:top w:val="nil"/>
              <w:left w:val="nil"/>
              <w:bottom w:val="single" w:sz="8" w:space="0" w:color="333300"/>
              <w:right w:val="single" w:sz="8" w:space="0" w:color="auto"/>
            </w:tcBorders>
            <w:shd w:val="clear" w:color="000000" w:fill="FFFFFF"/>
            <w:vAlign w:val="center"/>
            <w:hideMark/>
          </w:tcPr>
          <w:p w14:paraId="11F6F758" w14:textId="77777777" w:rsidR="00BB3426" w:rsidRPr="006275E6" w:rsidRDefault="00BB3426" w:rsidP="00C467A0">
            <w:pPr>
              <w:jc w:val="center"/>
              <w:rPr>
                <w:rFonts w:cs="Arial"/>
                <w:b/>
                <w:bCs/>
                <w:sz w:val="18"/>
                <w:szCs w:val="18"/>
              </w:rPr>
            </w:pPr>
            <w:r w:rsidRPr="006275E6">
              <w:rPr>
                <w:rFonts w:cs="Arial"/>
                <w:b/>
                <w:bCs/>
                <w:sz w:val="18"/>
                <w:szCs w:val="18"/>
              </w:rPr>
              <w:t>4,60</w:t>
            </w:r>
          </w:p>
        </w:tc>
        <w:tc>
          <w:tcPr>
            <w:tcW w:w="691" w:type="pct"/>
            <w:tcBorders>
              <w:top w:val="nil"/>
              <w:left w:val="nil"/>
              <w:bottom w:val="single" w:sz="8" w:space="0" w:color="333300"/>
              <w:right w:val="single" w:sz="8" w:space="0" w:color="auto"/>
            </w:tcBorders>
            <w:shd w:val="clear" w:color="000000" w:fill="FFFFFF"/>
            <w:vAlign w:val="center"/>
            <w:hideMark/>
          </w:tcPr>
          <w:p w14:paraId="4A7BA38A" w14:textId="77777777" w:rsidR="00BB3426" w:rsidRPr="006275E6" w:rsidRDefault="00BB3426" w:rsidP="00C467A0">
            <w:pPr>
              <w:jc w:val="center"/>
              <w:rPr>
                <w:rFonts w:cs="Arial"/>
                <w:b/>
                <w:bCs/>
                <w:sz w:val="18"/>
                <w:szCs w:val="18"/>
              </w:rPr>
            </w:pPr>
            <w:r w:rsidRPr="006275E6">
              <w:rPr>
                <w:rFonts w:cs="Arial"/>
                <w:b/>
                <w:bCs/>
                <w:sz w:val="18"/>
                <w:szCs w:val="18"/>
              </w:rPr>
              <w:t>0,34</w:t>
            </w:r>
          </w:p>
        </w:tc>
        <w:tc>
          <w:tcPr>
            <w:tcW w:w="691" w:type="pct"/>
            <w:tcBorders>
              <w:top w:val="nil"/>
              <w:left w:val="nil"/>
              <w:bottom w:val="single" w:sz="8" w:space="0" w:color="333300"/>
              <w:right w:val="single" w:sz="8" w:space="0" w:color="auto"/>
            </w:tcBorders>
            <w:shd w:val="clear" w:color="000000" w:fill="FFFFFF"/>
            <w:vAlign w:val="center"/>
            <w:hideMark/>
          </w:tcPr>
          <w:p w14:paraId="043DC44C" w14:textId="77777777" w:rsidR="00BB3426" w:rsidRPr="006275E6" w:rsidRDefault="00BB3426" w:rsidP="00C467A0">
            <w:pPr>
              <w:jc w:val="center"/>
              <w:rPr>
                <w:rFonts w:cs="Arial"/>
                <w:b/>
                <w:bCs/>
                <w:sz w:val="18"/>
                <w:szCs w:val="18"/>
              </w:rPr>
            </w:pPr>
            <w:r w:rsidRPr="006275E6">
              <w:rPr>
                <w:rFonts w:cs="Arial"/>
                <w:b/>
                <w:bCs/>
                <w:sz w:val="18"/>
                <w:szCs w:val="18"/>
              </w:rPr>
              <w:t>0,47</w:t>
            </w:r>
          </w:p>
        </w:tc>
        <w:tc>
          <w:tcPr>
            <w:tcW w:w="691" w:type="pct"/>
            <w:tcBorders>
              <w:top w:val="nil"/>
              <w:left w:val="nil"/>
              <w:bottom w:val="single" w:sz="8" w:space="0" w:color="333300"/>
              <w:right w:val="single" w:sz="8" w:space="0" w:color="auto"/>
            </w:tcBorders>
            <w:shd w:val="clear" w:color="000000" w:fill="FFFFFF"/>
            <w:vAlign w:val="center"/>
            <w:hideMark/>
          </w:tcPr>
          <w:p w14:paraId="50A03EF2" w14:textId="77777777" w:rsidR="00BB3426" w:rsidRPr="006275E6" w:rsidRDefault="00BB3426" w:rsidP="00C467A0">
            <w:pPr>
              <w:jc w:val="center"/>
              <w:rPr>
                <w:rFonts w:cs="Arial"/>
                <w:b/>
                <w:bCs/>
                <w:sz w:val="18"/>
                <w:szCs w:val="18"/>
              </w:rPr>
            </w:pPr>
            <w:r w:rsidRPr="006275E6">
              <w:rPr>
                <w:rFonts w:cs="Arial"/>
                <w:b/>
                <w:bCs/>
                <w:sz w:val="18"/>
                <w:szCs w:val="18"/>
              </w:rPr>
              <w:t>7,93</w:t>
            </w:r>
          </w:p>
        </w:tc>
        <w:tc>
          <w:tcPr>
            <w:tcW w:w="691" w:type="pct"/>
            <w:tcBorders>
              <w:top w:val="nil"/>
              <w:left w:val="nil"/>
              <w:bottom w:val="single" w:sz="8" w:space="0" w:color="333300"/>
              <w:right w:val="nil"/>
            </w:tcBorders>
            <w:shd w:val="clear" w:color="000000" w:fill="FFFFFF"/>
            <w:vAlign w:val="center"/>
            <w:hideMark/>
          </w:tcPr>
          <w:p w14:paraId="2E9BB19E" w14:textId="77777777" w:rsidR="00BB3426" w:rsidRPr="006275E6" w:rsidRDefault="00BB3426" w:rsidP="00C467A0">
            <w:pPr>
              <w:jc w:val="center"/>
              <w:rPr>
                <w:rFonts w:cs="Arial"/>
                <w:b/>
                <w:bCs/>
                <w:sz w:val="18"/>
                <w:szCs w:val="18"/>
              </w:rPr>
            </w:pPr>
            <w:r w:rsidRPr="006275E6">
              <w:rPr>
                <w:rFonts w:cs="Arial"/>
                <w:b/>
                <w:bCs/>
                <w:sz w:val="18"/>
                <w:szCs w:val="18"/>
              </w:rPr>
              <w:t>3,84</w:t>
            </w:r>
          </w:p>
        </w:tc>
      </w:tr>
    </w:tbl>
    <w:p w14:paraId="78CF222E" w14:textId="77777777" w:rsidR="00BB3426" w:rsidRPr="002C6D13" w:rsidRDefault="00BB3426" w:rsidP="00BB3426">
      <w:pPr>
        <w:pStyle w:val="1-FONTE8ESQ"/>
      </w:pPr>
      <w:r w:rsidRPr="002C6D13">
        <w:t>Fonte: BGE 2019 a  2023</w:t>
      </w:r>
    </w:p>
    <w:p w14:paraId="3D5F2BE2" w14:textId="77777777" w:rsidR="00BB3426" w:rsidRPr="001C305A" w:rsidRDefault="00BB3426" w:rsidP="00BB3426">
      <w:pPr>
        <w:pStyle w:val="1-REL11"/>
      </w:pPr>
      <w:r w:rsidRPr="001C305A">
        <w:t>Entre os exercícios financeiros de 2019 a 2021</w:t>
      </w:r>
      <w:r>
        <w:t>,</w:t>
      </w:r>
      <w:r w:rsidRPr="001C305A">
        <w:t xml:space="preserve"> Goiás apresentou baixo volume de pagamento de juros da dívida e amortização em razão das liminares junto ao </w:t>
      </w:r>
      <w:r>
        <w:t>Supremo Tribunal Federal (</w:t>
      </w:r>
      <w:r w:rsidRPr="001C305A">
        <w:t>STF</w:t>
      </w:r>
      <w:r>
        <w:t>)</w:t>
      </w:r>
      <w:r w:rsidRPr="001C305A">
        <w:t xml:space="preserve"> que autorizaram o Estado a realizar a suspensão dos pagamentos.</w:t>
      </w:r>
    </w:p>
    <w:p w14:paraId="0723499B" w14:textId="77777777" w:rsidR="00BB3426" w:rsidRPr="001C305A" w:rsidRDefault="00BB3426" w:rsidP="00BB3426">
      <w:pPr>
        <w:pStyle w:val="1-REL11"/>
      </w:pPr>
      <w:r w:rsidRPr="001C305A">
        <w:t xml:space="preserve">Pontua-se que as parcelas da dívida estadual que deixaram de serem pagas entre 2019 e 2021, tanto por meio das liminares bem como por meio da legislação correlata, foram refinanciadas utilizando o RRF </w:t>
      </w:r>
      <w:r>
        <w:t>aderido</w:t>
      </w:r>
      <w:r w:rsidRPr="001C305A">
        <w:t xml:space="preserve"> em 24/12/</w:t>
      </w:r>
      <w:r>
        <w:t>20</w:t>
      </w:r>
      <w:r w:rsidRPr="001C305A">
        <w:t>21. A amortização atípica ocorrida em 2022 se deu em função da amortização integral do programa Goiás Estruturante no valor de R$</w:t>
      </w:r>
      <w:r>
        <w:t> </w:t>
      </w:r>
      <w:r w:rsidRPr="001C305A">
        <w:t>2,47 bilhões.</w:t>
      </w:r>
    </w:p>
    <w:p w14:paraId="6FCB843D" w14:textId="77777777" w:rsidR="00BB3426" w:rsidRPr="00A70FC5" w:rsidRDefault="00BB3426" w:rsidP="00BB3426">
      <w:pPr>
        <w:pStyle w:val="1-REL11"/>
      </w:pPr>
      <w:r w:rsidRPr="00A70FC5">
        <w:lastRenderedPageBreak/>
        <w:t>Em 2023, o Estado passou a pagar à União 11,11% do serviço mensal dos contratos integrantes do RRF com fundamento no art. 9º, LC nº 159/2017. Dos valores despendidos de R$</w:t>
      </w:r>
      <w:r>
        <w:t> </w:t>
      </w:r>
      <w:r w:rsidRPr="00A70FC5">
        <w:t>485,40 milhões, o saldo de R$ 178,44 milhões se refere a amortização de dívida, e R$</w:t>
      </w:r>
      <w:r>
        <w:t> </w:t>
      </w:r>
      <w:r w:rsidRPr="00A70FC5">
        <w:t>306,95 milhões trata-se de juros sobre a dívida que foram pagos usando a compensação por perdas de ICMS nos termos da LC nº 194/2022 e LC nº 201/2023.</w:t>
      </w:r>
    </w:p>
    <w:p w14:paraId="6D9D1C8E" w14:textId="77777777" w:rsidR="00BB3426" w:rsidRPr="00A70FC5" w:rsidRDefault="00BB3426" w:rsidP="00BB3426">
      <w:pPr>
        <w:pStyle w:val="1-REL11"/>
      </w:pPr>
      <w:r w:rsidRPr="00A70FC5">
        <w:t>Registr</w:t>
      </w:r>
      <w:r>
        <w:t>a</w:t>
      </w:r>
      <w:r w:rsidRPr="00A70FC5">
        <w:t>-se que os contratos foram repactuados sob condições mais benéficas para o estado de Goiás, exigindo como contrapartida o obediência aos acordos firmados por meio do RRF, no qual o ente está submetido.</w:t>
      </w:r>
    </w:p>
    <w:p w14:paraId="3F5D724A" w14:textId="77777777" w:rsidR="00BB3426" w:rsidRPr="00A70FC5" w:rsidRDefault="00BB3426" w:rsidP="00BB3426">
      <w:pPr>
        <w:pStyle w:val="1-REL11"/>
      </w:pPr>
      <w:r w:rsidRPr="00A70FC5">
        <w:t>Portanto, a tendência é que os pagamentos de juros e amortização aumentem gradativamente 11,11% anualmente até o exercício financeiro de 2030, o último ano do Programa de Recuperação Fiscal.</w:t>
      </w:r>
    </w:p>
    <w:p w14:paraId="7EF660B6" w14:textId="77777777" w:rsidR="00BB3426" w:rsidRPr="00A04207" w:rsidRDefault="00BB3426" w:rsidP="00BB3426">
      <w:pPr>
        <w:pStyle w:val="1-REL11"/>
      </w:pPr>
      <w:r w:rsidRPr="00A70FC5">
        <w:t>A Unidade Técnica não considerou na tabela acima os pagamentos no valor de R$ 2,50</w:t>
      </w:r>
      <w:r>
        <w:t> </w:t>
      </w:r>
      <w:r w:rsidRPr="00A70FC5">
        <w:t>milhões mencionados no Despacho nº 34/24/Economia/GDPR</w:t>
      </w:r>
      <w:r w:rsidRPr="001C305A">
        <w:t>-05540, oriundos da empresas públicas dependentes, tendo em conta que os pagamentos não foram consolidados na unidade orçamentária responsável pelo pagamentos das amortizações e encargos da dívida pública estadual. Além disso, não foram utilizad</w:t>
      </w:r>
      <w:r>
        <w:t>a</w:t>
      </w:r>
      <w:r w:rsidRPr="001C305A">
        <w:t>s</w:t>
      </w:r>
      <w:r>
        <w:t xml:space="preserve"> as</w:t>
      </w:r>
      <w:r w:rsidRPr="001C305A">
        <w:t xml:space="preserve"> natureza</w:t>
      </w:r>
      <w:r>
        <w:t>s</w:t>
      </w:r>
      <w:r w:rsidRPr="001C305A">
        <w:t xml:space="preserve"> de despesas 3.2</w:t>
      </w:r>
      <w:r>
        <w:t xml:space="preserve"> – Juros e Encargos da Dívida </w:t>
      </w:r>
      <w:r w:rsidRPr="001C305A">
        <w:t>e</w:t>
      </w:r>
      <w:r w:rsidRPr="00A04207">
        <w:t xml:space="preserve"> 4.6</w:t>
      </w:r>
      <w:r>
        <w:t xml:space="preserve"> - </w:t>
      </w:r>
      <w:r w:rsidRPr="001C305A">
        <w:t xml:space="preserve">Amortização de </w:t>
      </w:r>
      <w:r w:rsidRPr="00A04207">
        <w:t>Dívida</w:t>
      </w:r>
      <w:r>
        <w:t xml:space="preserve">, segundo </w:t>
      </w:r>
      <w:r w:rsidRPr="001C305A">
        <w:t>metodologia do Manual Técnico do Orçamento (MTO)</w:t>
      </w:r>
      <w:r w:rsidRPr="00A04207">
        <w:t>.</w:t>
      </w:r>
    </w:p>
    <w:p w14:paraId="4CE93288" w14:textId="77777777" w:rsidR="00BB3426" w:rsidRDefault="00BB3426" w:rsidP="00BB3426">
      <w:pPr>
        <w:pStyle w:val="1-REL11"/>
      </w:pPr>
      <w:r w:rsidRPr="001C305A">
        <w:t xml:space="preserve">Observou-se ainda que o montante das amortizações da dívida estadual (R$ 15,01 milhões) foram </w:t>
      </w:r>
      <w:r>
        <w:t>empenhadas</w:t>
      </w:r>
      <w:r w:rsidRPr="001C305A">
        <w:t xml:space="preserve"> n</w:t>
      </w:r>
      <w:r>
        <w:t>a</w:t>
      </w:r>
      <w:r w:rsidRPr="001C305A">
        <w:t xml:space="preserve"> natureza de despesa 3</w:t>
      </w:r>
      <w:r>
        <w:t xml:space="preserve">.3 - </w:t>
      </w:r>
      <w:r w:rsidRPr="001C305A">
        <w:t xml:space="preserve">Outras Despesas Correntes, não obedecendo </w:t>
      </w:r>
      <w:r>
        <w:t>à</w:t>
      </w:r>
      <w:r w:rsidRPr="001C305A">
        <w:t xml:space="preserve"> metodologia do MTO</w:t>
      </w:r>
      <w:r>
        <w:t xml:space="preserve"> e Portaria Interministerial nº 163/2001, as quais determinam que amortizações da dívida sejam executas na natureza de despesa 4.6 – Amortização da Dívida, resultando na seguinte irregularidade:</w:t>
      </w:r>
    </w:p>
    <w:p w14:paraId="1BCFD149" w14:textId="0DA2FAD2" w:rsidR="00142754" w:rsidRPr="00EA084D" w:rsidRDefault="00BB3426" w:rsidP="00E460D5">
      <w:pPr>
        <w:pStyle w:val="0-ACH-TIT"/>
      </w:pPr>
      <w:r w:rsidRPr="00EA084D">
        <w:t xml:space="preserve">&gt;&gt; </w:t>
      </w:r>
      <w:r w:rsidR="00142754" w:rsidRPr="00142754">
        <w:t>Empenhos das amortizações e dos juros da dívida estadual em desacordo com a metodologia exigida do Manual Técnico do Orçamento e Portaria Interministerial nº 163/2001</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BB3426" w:rsidRPr="009C6508" w14:paraId="4D72EF68" w14:textId="77777777" w:rsidTr="00C467A0">
        <w:trPr>
          <w:trHeight w:val="629"/>
          <w:jc w:val="center"/>
        </w:trPr>
        <w:tc>
          <w:tcPr>
            <w:tcW w:w="6237" w:type="dxa"/>
            <w:vAlign w:val="center"/>
            <w:hideMark/>
          </w:tcPr>
          <w:tbl>
            <w:tblPr>
              <w:tblW w:w="0" w:type="auto"/>
              <w:tblBorders>
                <w:top w:val="nil"/>
                <w:left w:val="nil"/>
                <w:bottom w:val="nil"/>
                <w:right w:val="nil"/>
              </w:tblBorders>
              <w:tblLook w:val="0000" w:firstRow="0" w:lastRow="0" w:firstColumn="0" w:lastColumn="0" w:noHBand="0" w:noVBand="0"/>
            </w:tblPr>
            <w:tblGrid>
              <w:gridCol w:w="6097"/>
            </w:tblGrid>
            <w:tr w:rsidR="00BB3426" w:rsidRPr="009C6508" w14:paraId="6064F008" w14:textId="77777777" w:rsidTr="00C467A0">
              <w:trPr>
                <w:trHeight w:val="319"/>
              </w:trPr>
              <w:tc>
                <w:tcPr>
                  <w:tcW w:w="0" w:type="auto"/>
                  <w:tcBorders>
                    <w:bottom w:val="nil"/>
                  </w:tcBorders>
                </w:tcPr>
                <w:p w14:paraId="4237592D" w14:textId="68DA3DF6" w:rsidR="00BB3426" w:rsidRPr="009C6508" w:rsidRDefault="00142754" w:rsidP="00C467A0">
                  <w:pPr>
                    <w:pStyle w:val="0-ACH-TXT"/>
                    <w:rPr>
                      <w:highlight w:val="yellow"/>
                      <w:u w:val="single"/>
                    </w:rPr>
                  </w:pPr>
                  <w:r w:rsidRPr="00142754">
                    <w:t>Empenhos da amortização e dos juros da dívida executados pelo Tesouro Estadual e pelas empresas dependentes fora das naturezas de despesa determinadas pela metodologia do Manual Técnico do Orçamento e Portaria Interministerial nº 163, de 04 de maio de 2001.</w:t>
                  </w:r>
                </w:p>
              </w:tc>
            </w:tr>
          </w:tbl>
          <w:p w14:paraId="1B595733" w14:textId="77777777" w:rsidR="00BB3426" w:rsidRPr="009C6508" w:rsidRDefault="00BB3426" w:rsidP="00C467A0">
            <w:pPr>
              <w:pStyle w:val="Default"/>
              <w:jc w:val="both"/>
              <w:rPr>
                <w:caps/>
                <w:highlight w:val="yellow"/>
              </w:rPr>
            </w:pPr>
          </w:p>
        </w:tc>
      </w:tr>
    </w:tbl>
    <w:p w14:paraId="7B9AACFF" w14:textId="4A760D42" w:rsidR="00C467A0" w:rsidRDefault="00BB3426" w:rsidP="00C467A0">
      <w:pPr>
        <w:pStyle w:val="1-REL11"/>
      </w:pPr>
      <w:r>
        <w:t xml:space="preserve">Portanto, </w:t>
      </w:r>
      <w:r w:rsidR="00FB5AE9" w:rsidRPr="00142754">
        <w:t>sugere-se</w:t>
      </w:r>
      <w:r w:rsidR="00142754" w:rsidRPr="00142754">
        <w:t xml:space="preserve"> ao Tribunal de Contas do Estado de Goiás que determine ao Governo do estado de Goiás que adote, imediatamente, providências com vistas a efetuar os empenhos de amortização da dívida estadual e de pagamentos de juros sob as naturezas de despesa 4.6 - Amortização de Dívida e 3.2 – Juros e Encargos da Dívida, respectivamente. em obediência à metodologia exigida pelo MTO e Portaria Interministerial nº 163/2001.</w:t>
      </w:r>
    </w:p>
    <w:p w14:paraId="77EB9A09" w14:textId="77777777" w:rsidR="00C467A0" w:rsidRPr="001C305A" w:rsidRDefault="00C467A0" w:rsidP="00C467A0">
      <w:pPr>
        <w:pStyle w:val="Ttulo2"/>
        <w:spacing w:before="100" w:beforeAutospacing="1" w:after="200" w:line="276" w:lineRule="auto"/>
        <w:ind w:left="578" w:hanging="578"/>
        <w:contextualSpacing/>
      </w:pPr>
      <w:bookmarkStart w:id="144" w:name="_Toc167871655"/>
      <w:r w:rsidRPr="001C305A">
        <w:lastRenderedPageBreak/>
        <w:t>Concessões de Garantias</w:t>
      </w:r>
      <w:bookmarkEnd w:id="144"/>
    </w:p>
    <w:p w14:paraId="24813E96" w14:textId="77777777" w:rsidR="00C467A0" w:rsidRPr="001C305A" w:rsidRDefault="00C467A0" w:rsidP="00C467A0">
      <w:pPr>
        <w:pStyle w:val="1-REL11"/>
      </w:pPr>
      <w:r w:rsidRPr="001C305A">
        <w:t>Analisa-se, nos subtópicos seguintes, as características inerentes às concessões de garantias pelo Estado em 2023.</w:t>
      </w:r>
    </w:p>
    <w:p w14:paraId="0D4AC8F4" w14:textId="77777777" w:rsidR="00C467A0" w:rsidRPr="001C305A" w:rsidRDefault="00C467A0" w:rsidP="00A224E9">
      <w:pPr>
        <w:pStyle w:val="Ttulo3"/>
      </w:pPr>
      <w:bookmarkStart w:id="145" w:name="_Toc167871656"/>
      <w:r w:rsidRPr="001C305A">
        <w:t>Conceito</w:t>
      </w:r>
      <w:bookmarkEnd w:id="145"/>
    </w:p>
    <w:p w14:paraId="090BDE8F" w14:textId="77777777" w:rsidR="00C467A0" w:rsidRPr="0039798B" w:rsidRDefault="00C467A0" w:rsidP="00C467A0">
      <w:pPr>
        <w:pStyle w:val="1-REL11"/>
      </w:pPr>
      <w:r w:rsidRPr="0039798B">
        <w:t>A concessão de garantias possui tratamento destacado na LRF, não integrando o conceito de operações de crédito nos termos definidos pela Resolução nº 43/2001 do Senado Federal.</w:t>
      </w:r>
    </w:p>
    <w:p w14:paraId="2765C3FB" w14:textId="77777777" w:rsidR="00C467A0" w:rsidRPr="001C305A" w:rsidRDefault="00C467A0" w:rsidP="00C467A0">
      <w:pPr>
        <w:pStyle w:val="1-REL11"/>
      </w:pPr>
      <w:r w:rsidRPr="0039798B">
        <w:t>As garantias indicam o compromisso de adimplência de obrigação financeira</w:t>
      </w:r>
      <w:r w:rsidRPr="001C305A">
        <w:t xml:space="preserve"> ou contratual assumida por um determinado ente da Federação ou entidade a ele vinculada, para a cobertura de operações de crédito firmadas por outro ente. Afinal, no caso de eventual inadimplência do beneficiário, o ente pode ser chamado a honrar a garantia, residindo aí a importância do controle das garantias concedidas.</w:t>
      </w:r>
    </w:p>
    <w:p w14:paraId="061C3839" w14:textId="77777777" w:rsidR="00C467A0" w:rsidRPr="0039798B" w:rsidRDefault="00C467A0" w:rsidP="00C467A0">
      <w:pPr>
        <w:pStyle w:val="1-REL11"/>
      </w:pPr>
      <w:r w:rsidRPr="001C305A">
        <w:t xml:space="preserve">O art. 9º </w:t>
      </w:r>
      <w:r w:rsidRPr="0039798B">
        <w:t>da Resolução nº 43/2001 do Senado Federal estabelece que o saldo global das garantias concedidas pelos estados não poderá exceder a 22% da RCL calculada na forma do seu art. 4º. Outrossim, este limite poderá ser elevado a 32% da RCL, desde que cumulativamente, quando aplicável, o garantidor:</w:t>
      </w:r>
    </w:p>
    <w:p w14:paraId="03A5937D" w14:textId="77777777" w:rsidR="00C467A0" w:rsidRPr="0039798B" w:rsidRDefault="00C467A0" w:rsidP="00C467A0">
      <w:pPr>
        <w:pStyle w:val="1-CITAO"/>
      </w:pPr>
      <w:r w:rsidRPr="0039798B">
        <w:t>Art. 9º (...)</w:t>
      </w:r>
    </w:p>
    <w:p w14:paraId="0217DF68" w14:textId="77777777" w:rsidR="00C467A0" w:rsidRPr="0039798B" w:rsidRDefault="00C467A0" w:rsidP="00C467A0">
      <w:pPr>
        <w:pStyle w:val="1-CITAO"/>
      </w:pPr>
      <w:r w:rsidRPr="0039798B">
        <w:t>Parágrafo único (...)</w:t>
      </w:r>
    </w:p>
    <w:p w14:paraId="68E246B6" w14:textId="77777777" w:rsidR="00C467A0" w:rsidRPr="0039798B" w:rsidRDefault="00C467A0" w:rsidP="00C467A0">
      <w:pPr>
        <w:pStyle w:val="1-CITAO"/>
      </w:pPr>
      <w:r w:rsidRPr="0039798B">
        <w:t xml:space="preserve"> I – não tenha sido chamado a honrar, nos últimos 24 (vinte e quatro) meses, a contar do mês da análise, quaisquer garantias anteriormente prestadas;</w:t>
      </w:r>
    </w:p>
    <w:p w14:paraId="4BBF9B38" w14:textId="77777777" w:rsidR="00C467A0" w:rsidRPr="0039798B" w:rsidRDefault="00C467A0" w:rsidP="00C467A0">
      <w:pPr>
        <w:pStyle w:val="1-CITAO"/>
      </w:pPr>
      <w:r w:rsidRPr="0039798B">
        <w:t>II – esteja cumprindo o limite da dívida consolidada líquida, definido na Resolução nº 40, de 2001, do Senado Federal;</w:t>
      </w:r>
    </w:p>
    <w:p w14:paraId="10B2A1CB" w14:textId="77777777" w:rsidR="00C467A0" w:rsidRPr="0039798B" w:rsidRDefault="00C467A0" w:rsidP="00C467A0">
      <w:pPr>
        <w:pStyle w:val="1-CITAO"/>
      </w:pPr>
      <w:r w:rsidRPr="0039798B">
        <w:t>III – esteja cumprindo os limites de despesa com pessoal previstos na Lei Complementar nº 101, de 2000;</w:t>
      </w:r>
    </w:p>
    <w:p w14:paraId="2FF5922F" w14:textId="77777777" w:rsidR="00C467A0" w:rsidRPr="0039798B" w:rsidRDefault="00C467A0" w:rsidP="00C467A0">
      <w:pPr>
        <w:pStyle w:val="1-CITAO"/>
      </w:pPr>
      <w:r w:rsidRPr="0039798B">
        <w:t>IV – esteja cumprindo o Programa de Ajuste Fiscal acordado com a União, nos termos da Lei nº 9.496, de 1997.</w:t>
      </w:r>
    </w:p>
    <w:p w14:paraId="7AF5D9B5" w14:textId="77777777" w:rsidR="00C467A0" w:rsidRPr="0039798B" w:rsidRDefault="00C467A0" w:rsidP="00C467A0">
      <w:pPr>
        <w:pStyle w:val="1-REL11"/>
        <w:rPr>
          <w:szCs w:val="18"/>
        </w:rPr>
      </w:pPr>
      <w:r w:rsidRPr="0039798B">
        <w:t>Ainda quanto ao tema, a LRF prevê, em seu art. 40, § 5º, que é nula a garantia concedida acima dos limites fixados pelo Senado Federal.</w:t>
      </w:r>
    </w:p>
    <w:p w14:paraId="44ADDD47" w14:textId="77777777" w:rsidR="00C467A0" w:rsidRPr="0039798B" w:rsidRDefault="00C467A0" w:rsidP="00A224E9">
      <w:pPr>
        <w:pStyle w:val="Ttulo3"/>
      </w:pPr>
      <w:bookmarkStart w:id="146" w:name="_Toc167871657"/>
      <w:r w:rsidRPr="0039798B">
        <w:t>Apuração das Concessões de Garantias</w:t>
      </w:r>
      <w:bookmarkEnd w:id="146"/>
    </w:p>
    <w:p w14:paraId="5D0ED59E" w14:textId="77777777" w:rsidR="00C467A0" w:rsidRPr="001C305A" w:rsidRDefault="00C467A0" w:rsidP="00C467A0">
      <w:pPr>
        <w:pStyle w:val="1-REL11"/>
      </w:pPr>
      <w:r w:rsidRPr="0039798B">
        <w:t>No RGF do 3º quadrimestre de 2023, o Poder Executivo apresentou o montante de R$ 50</w:t>
      </w:r>
      <w:r>
        <w:t>,</w:t>
      </w:r>
      <w:r w:rsidRPr="0039798B">
        <w:t>59 milhões em concessão de garantias. Esse valor corresponde a 0,13% da RCL, portanto, dentro do limite de 22% estipulado pela Resolução nº 43/2001</w:t>
      </w:r>
      <w:r w:rsidRPr="001C305A">
        <w:t xml:space="preserve"> do Senado Federal.</w:t>
      </w:r>
    </w:p>
    <w:p w14:paraId="1D25ECA9" w14:textId="77777777" w:rsidR="00C467A0" w:rsidRPr="001C305A" w:rsidRDefault="00C467A0" w:rsidP="00C467A0">
      <w:pPr>
        <w:pStyle w:val="Ttulo2"/>
        <w:spacing w:before="100" w:beforeAutospacing="1" w:after="100" w:afterAutospacing="1" w:line="276" w:lineRule="auto"/>
        <w:contextualSpacing/>
      </w:pPr>
      <w:bookmarkStart w:id="147" w:name="_Toc167871658"/>
      <w:r w:rsidRPr="001C305A">
        <w:t>Contragarantias Recebidas</w:t>
      </w:r>
      <w:bookmarkEnd w:id="147"/>
    </w:p>
    <w:p w14:paraId="52F4D633" w14:textId="77777777" w:rsidR="00C467A0" w:rsidRPr="001C305A" w:rsidRDefault="00C467A0" w:rsidP="00C467A0">
      <w:pPr>
        <w:pStyle w:val="1-REL11"/>
      </w:pPr>
      <w:r w:rsidRPr="001C305A">
        <w:t>Quando a administração estadual contrata uma operação de crédito, o ente recebe uma garantia, geralmente da União, e isso é denominado contragarantias recebidas.</w:t>
      </w:r>
    </w:p>
    <w:p w14:paraId="15CA5552" w14:textId="77777777" w:rsidR="00C467A0" w:rsidRPr="001C305A" w:rsidRDefault="00C467A0" w:rsidP="00C467A0">
      <w:pPr>
        <w:pStyle w:val="1-REL11"/>
      </w:pPr>
      <w:r w:rsidRPr="001C305A">
        <w:lastRenderedPageBreak/>
        <w:t>O MDF especifica que a contragarantia deve ser em valor igual ou superior ao da garantia a ser concedida para abranger o ressarcimento integral dos custos financeiros decorrentes da cobertura de eventual inadimplemento. Nesse caso, o ente entra como garantidor de uma dívida e, caso não seja honrada pelo tomador do empréstimo, o garantidor deverá honrar essa dívida.</w:t>
      </w:r>
    </w:p>
    <w:p w14:paraId="0E37E8C2" w14:textId="77777777" w:rsidR="00C467A0" w:rsidRPr="001C305A" w:rsidRDefault="00C467A0" w:rsidP="00C467A0">
      <w:pPr>
        <w:pStyle w:val="1-REL11"/>
      </w:pPr>
      <w:r w:rsidRPr="001C305A">
        <w:t>Em 2023, não houve contragarantias recebidas pelo estado de Goiás ou suas entidades controladas.</w:t>
      </w:r>
    </w:p>
    <w:p w14:paraId="11E91646" w14:textId="77777777" w:rsidR="00C467A0" w:rsidRPr="00EB52B6" w:rsidRDefault="00C467A0" w:rsidP="00C467A0">
      <w:pPr>
        <w:pStyle w:val="Ttulo2"/>
        <w:spacing w:before="100" w:beforeAutospacing="1" w:after="100" w:afterAutospacing="1" w:line="276" w:lineRule="auto"/>
        <w:contextualSpacing/>
      </w:pPr>
      <w:bookmarkStart w:id="148" w:name="_Toc167871659"/>
      <w:r w:rsidRPr="00EB52B6">
        <w:t>Resumo dos Limites Legais</w:t>
      </w:r>
      <w:bookmarkEnd w:id="148"/>
    </w:p>
    <w:p w14:paraId="36082CF5" w14:textId="77777777" w:rsidR="00C467A0" w:rsidRPr="00EB52B6" w:rsidRDefault="00C467A0" w:rsidP="00C467A0">
      <w:pPr>
        <w:pStyle w:val="1-REL11"/>
      </w:pPr>
      <w:r w:rsidRPr="00EB52B6">
        <w:t>O Senado Federal, no exercício de sua competência constitucional, disciplina sobre os limites de endividamento para todos os entes da Federação, materializando-se na Resolução nº 40/2001, que dispõe sobre os limites globais para os montantes das dívidas públicas consolidada e mobiliária, e na Resolução nº 43/2001, que trata das operações de crédito internas e externas, bem como sobre as concessões de garantias.</w:t>
      </w:r>
    </w:p>
    <w:p w14:paraId="2C8D2691" w14:textId="49BE7FD8" w:rsidR="00B825BF" w:rsidRDefault="00C467A0" w:rsidP="00C467A0">
      <w:pPr>
        <w:pStyle w:val="1-REL11"/>
      </w:pPr>
      <w:r w:rsidRPr="00EB52B6">
        <w:t>Nesse contexto, apresenta-se a seguir síntese dos limites de endividamento do estado de Goiás baseada nas Resoluções nº 40/2001 e nº 43/2001 do Senado Federal, com dados extraídos do RGF do 3º quadrimestre de 2023:</w:t>
      </w:r>
    </w:p>
    <w:p w14:paraId="20D3E7E0" w14:textId="6648FA12" w:rsidR="00C467A0" w:rsidRDefault="00C467A0" w:rsidP="00ED3571">
      <w:pPr>
        <w:pStyle w:val="0-TABELA"/>
      </w:pPr>
      <w:bookmarkStart w:id="149" w:name="_Toc167871752"/>
      <w:r w:rsidRPr="001C305A">
        <w:t>Limites Legais</w:t>
      </w:r>
      <w:r>
        <w:t xml:space="preserve"> de Endividamento</w:t>
      </w:r>
      <w:bookmarkEnd w:id="149"/>
    </w:p>
    <w:p w14:paraId="18AE838C" w14:textId="4025E23F" w:rsidR="004D056B" w:rsidRPr="004D056B" w:rsidRDefault="004D056B" w:rsidP="004D056B">
      <w:pPr>
        <w:pStyle w:val="0-EmR1"/>
        <w:rPr>
          <w:lang w:eastAsia="en-US"/>
        </w:rPr>
      </w:pPr>
      <w:r>
        <w:rPr>
          <w:lang w:eastAsia="en-US"/>
        </w:rPr>
        <w:t>R$ 1</w:t>
      </w:r>
    </w:p>
    <w:tbl>
      <w:tblPr>
        <w:tblW w:w="9356" w:type="dxa"/>
        <w:tblLayout w:type="fixed"/>
        <w:tblCellMar>
          <w:left w:w="70" w:type="dxa"/>
          <w:right w:w="70" w:type="dxa"/>
        </w:tblCellMar>
        <w:tblLook w:val="04A0" w:firstRow="1" w:lastRow="0" w:firstColumn="1" w:lastColumn="0" w:noHBand="0" w:noVBand="1"/>
      </w:tblPr>
      <w:tblGrid>
        <w:gridCol w:w="2835"/>
        <w:gridCol w:w="1701"/>
        <w:gridCol w:w="1134"/>
        <w:gridCol w:w="1560"/>
        <w:gridCol w:w="708"/>
        <w:gridCol w:w="1418"/>
      </w:tblGrid>
      <w:tr w:rsidR="00C467A0" w:rsidRPr="003671D8" w14:paraId="2EAE9975" w14:textId="77777777" w:rsidTr="002B2391">
        <w:trPr>
          <w:trHeight w:val="340"/>
          <w:tblHeader/>
        </w:trPr>
        <w:tc>
          <w:tcPr>
            <w:tcW w:w="2835" w:type="dxa"/>
            <w:vMerge w:val="restart"/>
            <w:tcBorders>
              <w:top w:val="single" w:sz="4" w:space="0" w:color="auto"/>
              <w:left w:val="nil"/>
              <w:bottom w:val="single" w:sz="8" w:space="0" w:color="000000"/>
              <w:right w:val="single" w:sz="8" w:space="0" w:color="auto"/>
            </w:tcBorders>
            <w:shd w:val="clear" w:color="auto" w:fill="A1F2FD"/>
            <w:noWrap/>
            <w:vAlign w:val="center"/>
            <w:hideMark/>
          </w:tcPr>
          <w:p w14:paraId="7C7340EE" w14:textId="77777777" w:rsidR="00C467A0" w:rsidRPr="003671D8" w:rsidRDefault="00C467A0" w:rsidP="00C467A0">
            <w:pPr>
              <w:jc w:val="center"/>
              <w:rPr>
                <w:rFonts w:cs="Arial"/>
                <w:b/>
                <w:bCs/>
                <w:color w:val="000000"/>
                <w:sz w:val="18"/>
                <w:szCs w:val="18"/>
              </w:rPr>
            </w:pPr>
            <w:r w:rsidRPr="003671D8">
              <w:rPr>
                <w:rFonts w:cs="Arial"/>
                <w:b/>
                <w:bCs/>
                <w:color w:val="000000"/>
                <w:sz w:val="18"/>
                <w:szCs w:val="18"/>
              </w:rPr>
              <w:t>Descrição</w:t>
            </w:r>
          </w:p>
        </w:tc>
        <w:tc>
          <w:tcPr>
            <w:tcW w:w="1701" w:type="dxa"/>
            <w:vMerge w:val="restart"/>
            <w:tcBorders>
              <w:top w:val="single" w:sz="4" w:space="0" w:color="auto"/>
              <w:left w:val="single" w:sz="8" w:space="0" w:color="auto"/>
              <w:bottom w:val="single" w:sz="8" w:space="0" w:color="000000"/>
              <w:right w:val="single" w:sz="8" w:space="0" w:color="auto"/>
            </w:tcBorders>
            <w:shd w:val="clear" w:color="auto" w:fill="A1F2FD"/>
            <w:noWrap/>
            <w:vAlign w:val="center"/>
            <w:hideMark/>
          </w:tcPr>
          <w:p w14:paraId="6C8EF261" w14:textId="77777777" w:rsidR="00C467A0" w:rsidRPr="003671D8" w:rsidRDefault="00C467A0" w:rsidP="00C467A0">
            <w:pPr>
              <w:jc w:val="center"/>
              <w:rPr>
                <w:rFonts w:cs="Arial"/>
                <w:b/>
                <w:bCs/>
                <w:color w:val="000000"/>
                <w:sz w:val="18"/>
                <w:szCs w:val="18"/>
              </w:rPr>
            </w:pPr>
            <w:r w:rsidRPr="003671D8">
              <w:rPr>
                <w:rFonts w:cs="Arial"/>
                <w:b/>
                <w:bCs/>
                <w:color w:val="000000"/>
                <w:sz w:val="18"/>
                <w:szCs w:val="18"/>
              </w:rPr>
              <w:t>Normativo</w:t>
            </w:r>
          </w:p>
        </w:tc>
        <w:tc>
          <w:tcPr>
            <w:tcW w:w="2694" w:type="dxa"/>
            <w:gridSpan w:val="2"/>
            <w:tcBorders>
              <w:top w:val="single" w:sz="4" w:space="0" w:color="auto"/>
              <w:left w:val="nil"/>
              <w:bottom w:val="single" w:sz="8" w:space="0" w:color="auto"/>
              <w:right w:val="single" w:sz="8" w:space="0" w:color="000000"/>
            </w:tcBorders>
            <w:shd w:val="clear" w:color="auto" w:fill="A1F2FD"/>
            <w:noWrap/>
            <w:vAlign w:val="center"/>
            <w:hideMark/>
          </w:tcPr>
          <w:p w14:paraId="42F56042" w14:textId="77777777" w:rsidR="00C467A0" w:rsidRPr="003671D8" w:rsidRDefault="00C467A0" w:rsidP="00C467A0">
            <w:pPr>
              <w:jc w:val="center"/>
              <w:rPr>
                <w:rFonts w:cs="Arial"/>
                <w:b/>
                <w:bCs/>
                <w:color w:val="000000"/>
                <w:sz w:val="18"/>
                <w:szCs w:val="18"/>
              </w:rPr>
            </w:pPr>
            <w:r w:rsidRPr="003671D8">
              <w:rPr>
                <w:rFonts w:cs="Arial"/>
                <w:b/>
                <w:bCs/>
                <w:color w:val="000000"/>
                <w:sz w:val="18"/>
                <w:szCs w:val="18"/>
              </w:rPr>
              <w:t xml:space="preserve">Limite Estabelecido </w:t>
            </w:r>
          </w:p>
        </w:tc>
        <w:tc>
          <w:tcPr>
            <w:tcW w:w="2126" w:type="dxa"/>
            <w:gridSpan w:val="2"/>
            <w:tcBorders>
              <w:top w:val="single" w:sz="8" w:space="0" w:color="auto"/>
              <w:left w:val="nil"/>
              <w:bottom w:val="single" w:sz="8" w:space="0" w:color="auto"/>
              <w:right w:val="nil"/>
            </w:tcBorders>
            <w:shd w:val="clear" w:color="auto" w:fill="A1F2FD"/>
            <w:noWrap/>
            <w:vAlign w:val="center"/>
            <w:hideMark/>
          </w:tcPr>
          <w:p w14:paraId="5A7AA8E7" w14:textId="77777777" w:rsidR="00C467A0" w:rsidRPr="003671D8" w:rsidRDefault="00C467A0" w:rsidP="00C467A0">
            <w:pPr>
              <w:jc w:val="center"/>
              <w:rPr>
                <w:rFonts w:cs="Arial"/>
                <w:b/>
                <w:bCs/>
                <w:color w:val="000000"/>
                <w:sz w:val="18"/>
                <w:szCs w:val="18"/>
              </w:rPr>
            </w:pPr>
            <w:r w:rsidRPr="003671D8">
              <w:rPr>
                <w:rFonts w:cs="Arial"/>
                <w:b/>
                <w:bCs/>
                <w:color w:val="000000"/>
                <w:sz w:val="18"/>
                <w:szCs w:val="18"/>
              </w:rPr>
              <w:t>Montante Apurado</w:t>
            </w:r>
          </w:p>
        </w:tc>
      </w:tr>
      <w:tr w:rsidR="00C467A0" w:rsidRPr="003671D8" w14:paraId="0CAE36F3" w14:textId="77777777" w:rsidTr="002B2391">
        <w:trPr>
          <w:trHeight w:val="340"/>
          <w:tblHeader/>
        </w:trPr>
        <w:tc>
          <w:tcPr>
            <w:tcW w:w="2835" w:type="dxa"/>
            <w:vMerge/>
            <w:tcBorders>
              <w:top w:val="nil"/>
              <w:left w:val="nil"/>
              <w:bottom w:val="single" w:sz="8" w:space="0" w:color="000000"/>
              <w:right w:val="single" w:sz="8" w:space="0" w:color="auto"/>
            </w:tcBorders>
            <w:shd w:val="clear" w:color="auto" w:fill="A1F2FD"/>
            <w:vAlign w:val="center"/>
            <w:hideMark/>
          </w:tcPr>
          <w:p w14:paraId="7B41FAC9" w14:textId="77777777" w:rsidR="00C467A0" w:rsidRPr="003671D8" w:rsidRDefault="00C467A0" w:rsidP="00C467A0">
            <w:pPr>
              <w:rPr>
                <w:rFonts w:cs="Arial"/>
                <w:b/>
                <w:bCs/>
                <w:color w:val="000000"/>
                <w:sz w:val="18"/>
                <w:szCs w:val="18"/>
              </w:rPr>
            </w:pPr>
          </w:p>
        </w:tc>
        <w:tc>
          <w:tcPr>
            <w:tcW w:w="1701" w:type="dxa"/>
            <w:vMerge/>
            <w:tcBorders>
              <w:top w:val="nil"/>
              <w:left w:val="single" w:sz="8" w:space="0" w:color="auto"/>
              <w:bottom w:val="single" w:sz="8" w:space="0" w:color="000000"/>
              <w:right w:val="single" w:sz="8" w:space="0" w:color="auto"/>
            </w:tcBorders>
            <w:shd w:val="clear" w:color="auto" w:fill="A1F2FD"/>
            <w:vAlign w:val="center"/>
            <w:hideMark/>
          </w:tcPr>
          <w:p w14:paraId="2D3EF6B1" w14:textId="77777777" w:rsidR="00C467A0" w:rsidRPr="003671D8" w:rsidRDefault="00C467A0" w:rsidP="00C467A0">
            <w:pPr>
              <w:rPr>
                <w:rFonts w:cs="Arial"/>
                <w:b/>
                <w:bCs/>
                <w:color w:val="000000"/>
                <w:sz w:val="18"/>
                <w:szCs w:val="18"/>
              </w:rPr>
            </w:pPr>
          </w:p>
        </w:tc>
        <w:tc>
          <w:tcPr>
            <w:tcW w:w="1134" w:type="dxa"/>
            <w:tcBorders>
              <w:top w:val="nil"/>
              <w:left w:val="nil"/>
              <w:bottom w:val="single" w:sz="8" w:space="0" w:color="auto"/>
              <w:right w:val="single" w:sz="8" w:space="0" w:color="auto"/>
            </w:tcBorders>
            <w:shd w:val="clear" w:color="auto" w:fill="A1F2FD"/>
            <w:noWrap/>
            <w:vAlign w:val="center"/>
            <w:hideMark/>
          </w:tcPr>
          <w:p w14:paraId="638ABFF0" w14:textId="77777777" w:rsidR="00C467A0" w:rsidRPr="003671D8" w:rsidRDefault="00C467A0" w:rsidP="00B825BF">
            <w:pPr>
              <w:ind w:left="-69" w:right="-65"/>
              <w:jc w:val="center"/>
              <w:rPr>
                <w:rFonts w:cs="Arial"/>
                <w:b/>
                <w:bCs/>
                <w:color w:val="000000"/>
                <w:sz w:val="18"/>
                <w:szCs w:val="18"/>
              </w:rPr>
            </w:pPr>
            <w:r w:rsidRPr="003671D8">
              <w:rPr>
                <w:rFonts w:cs="Arial"/>
                <w:b/>
                <w:bCs/>
                <w:color w:val="000000"/>
                <w:sz w:val="18"/>
                <w:szCs w:val="18"/>
              </w:rPr>
              <w:t>Parâmetro</w:t>
            </w:r>
          </w:p>
        </w:tc>
        <w:tc>
          <w:tcPr>
            <w:tcW w:w="1560" w:type="dxa"/>
            <w:tcBorders>
              <w:top w:val="nil"/>
              <w:left w:val="nil"/>
              <w:bottom w:val="single" w:sz="8" w:space="0" w:color="auto"/>
              <w:right w:val="single" w:sz="8" w:space="0" w:color="auto"/>
            </w:tcBorders>
            <w:shd w:val="clear" w:color="auto" w:fill="A1F2FD"/>
            <w:noWrap/>
            <w:vAlign w:val="center"/>
            <w:hideMark/>
          </w:tcPr>
          <w:p w14:paraId="5CF239A5" w14:textId="77777777" w:rsidR="00C467A0" w:rsidRPr="003671D8" w:rsidRDefault="00C467A0" w:rsidP="00C467A0">
            <w:pPr>
              <w:jc w:val="center"/>
              <w:rPr>
                <w:rFonts w:cs="Arial"/>
                <w:b/>
                <w:bCs/>
                <w:color w:val="000000"/>
                <w:sz w:val="18"/>
                <w:szCs w:val="18"/>
              </w:rPr>
            </w:pPr>
            <w:r w:rsidRPr="003671D8">
              <w:rPr>
                <w:rFonts w:cs="Arial"/>
                <w:b/>
                <w:bCs/>
                <w:color w:val="000000"/>
                <w:sz w:val="18"/>
                <w:szCs w:val="18"/>
              </w:rPr>
              <w:t>Valor</w:t>
            </w:r>
          </w:p>
        </w:tc>
        <w:tc>
          <w:tcPr>
            <w:tcW w:w="708" w:type="dxa"/>
            <w:tcBorders>
              <w:top w:val="nil"/>
              <w:left w:val="nil"/>
              <w:bottom w:val="single" w:sz="8" w:space="0" w:color="auto"/>
              <w:right w:val="single" w:sz="8" w:space="0" w:color="auto"/>
            </w:tcBorders>
            <w:shd w:val="clear" w:color="auto" w:fill="A1F2FD"/>
            <w:noWrap/>
            <w:vAlign w:val="center"/>
            <w:hideMark/>
          </w:tcPr>
          <w:p w14:paraId="539A5884" w14:textId="77777777" w:rsidR="00C467A0" w:rsidRPr="003671D8" w:rsidRDefault="00C467A0" w:rsidP="00C467A0">
            <w:pPr>
              <w:jc w:val="center"/>
              <w:rPr>
                <w:rFonts w:cs="Arial"/>
                <w:b/>
                <w:bCs/>
                <w:color w:val="000000"/>
                <w:sz w:val="18"/>
                <w:szCs w:val="18"/>
              </w:rPr>
            </w:pPr>
            <w:r w:rsidRPr="003671D8">
              <w:rPr>
                <w:rFonts w:cs="Arial"/>
                <w:b/>
                <w:bCs/>
                <w:color w:val="000000"/>
                <w:sz w:val="18"/>
                <w:szCs w:val="18"/>
              </w:rPr>
              <w:t>%</w:t>
            </w:r>
          </w:p>
        </w:tc>
        <w:tc>
          <w:tcPr>
            <w:tcW w:w="1418" w:type="dxa"/>
            <w:tcBorders>
              <w:top w:val="nil"/>
              <w:left w:val="nil"/>
              <w:bottom w:val="single" w:sz="8" w:space="0" w:color="auto"/>
              <w:right w:val="nil"/>
            </w:tcBorders>
            <w:shd w:val="clear" w:color="auto" w:fill="A1F2FD"/>
            <w:noWrap/>
            <w:vAlign w:val="center"/>
            <w:hideMark/>
          </w:tcPr>
          <w:p w14:paraId="6342972B" w14:textId="77777777" w:rsidR="00C467A0" w:rsidRPr="003671D8" w:rsidRDefault="00C467A0" w:rsidP="00C467A0">
            <w:pPr>
              <w:jc w:val="center"/>
              <w:rPr>
                <w:rFonts w:cs="Arial"/>
                <w:b/>
                <w:bCs/>
                <w:color w:val="000000"/>
                <w:sz w:val="18"/>
                <w:szCs w:val="18"/>
              </w:rPr>
            </w:pPr>
            <w:r w:rsidRPr="003671D8">
              <w:rPr>
                <w:rFonts w:cs="Arial"/>
                <w:b/>
                <w:bCs/>
                <w:color w:val="000000"/>
                <w:sz w:val="18"/>
                <w:szCs w:val="18"/>
              </w:rPr>
              <w:t>Valor</w:t>
            </w:r>
          </w:p>
        </w:tc>
      </w:tr>
      <w:tr w:rsidR="005874E8" w:rsidRPr="003671D8" w14:paraId="3EC390BD" w14:textId="77777777" w:rsidTr="004D056B">
        <w:trPr>
          <w:trHeight w:val="567"/>
        </w:trPr>
        <w:tc>
          <w:tcPr>
            <w:tcW w:w="2835" w:type="dxa"/>
            <w:tcBorders>
              <w:top w:val="nil"/>
              <w:left w:val="nil"/>
              <w:right w:val="single" w:sz="8" w:space="0" w:color="auto"/>
            </w:tcBorders>
            <w:shd w:val="clear" w:color="000000" w:fill="FFFFFF"/>
            <w:noWrap/>
            <w:vAlign w:val="center"/>
            <w:hideMark/>
          </w:tcPr>
          <w:p w14:paraId="127EB217" w14:textId="77777777" w:rsidR="005874E8" w:rsidRPr="003671D8" w:rsidRDefault="005874E8" w:rsidP="005874E8">
            <w:pPr>
              <w:rPr>
                <w:rFonts w:cs="Arial"/>
                <w:color w:val="000000"/>
                <w:sz w:val="18"/>
                <w:szCs w:val="18"/>
              </w:rPr>
            </w:pPr>
            <w:r w:rsidRPr="003671D8">
              <w:rPr>
                <w:rFonts w:cs="Arial"/>
                <w:color w:val="000000"/>
                <w:sz w:val="18"/>
                <w:szCs w:val="18"/>
              </w:rPr>
              <w:t>Receita de operações de crédito - 2023</w:t>
            </w:r>
          </w:p>
        </w:tc>
        <w:tc>
          <w:tcPr>
            <w:tcW w:w="1701" w:type="dxa"/>
            <w:tcBorders>
              <w:top w:val="nil"/>
              <w:left w:val="nil"/>
              <w:right w:val="single" w:sz="8" w:space="0" w:color="auto"/>
            </w:tcBorders>
            <w:shd w:val="clear" w:color="000000" w:fill="FFFFFF"/>
            <w:vAlign w:val="center"/>
            <w:hideMark/>
          </w:tcPr>
          <w:p w14:paraId="421507BF" w14:textId="77777777" w:rsidR="005874E8" w:rsidRPr="003671D8" w:rsidRDefault="005874E8" w:rsidP="005874E8">
            <w:pPr>
              <w:jc w:val="center"/>
              <w:rPr>
                <w:rFonts w:cs="Arial"/>
                <w:color w:val="000000"/>
                <w:sz w:val="18"/>
                <w:szCs w:val="18"/>
              </w:rPr>
            </w:pPr>
            <w:r w:rsidRPr="003671D8">
              <w:rPr>
                <w:rFonts w:cs="Arial"/>
                <w:color w:val="000000"/>
                <w:sz w:val="18"/>
                <w:szCs w:val="18"/>
              </w:rPr>
              <w:t>Res. nº 43/01,</w:t>
            </w:r>
          </w:p>
          <w:p w14:paraId="2182DD78" w14:textId="3BD6F3F8" w:rsidR="005874E8" w:rsidRPr="003671D8" w:rsidRDefault="005874E8" w:rsidP="005874E8">
            <w:pPr>
              <w:jc w:val="center"/>
              <w:rPr>
                <w:rFonts w:cs="Arial"/>
                <w:color w:val="000000"/>
                <w:sz w:val="18"/>
                <w:szCs w:val="18"/>
              </w:rPr>
            </w:pPr>
            <w:r w:rsidRPr="003671D8">
              <w:rPr>
                <w:rFonts w:cs="Arial"/>
                <w:color w:val="000000"/>
                <w:sz w:val="18"/>
                <w:szCs w:val="18"/>
              </w:rPr>
              <w:t>art. 7º, I</w:t>
            </w:r>
          </w:p>
        </w:tc>
        <w:tc>
          <w:tcPr>
            <w:tcW w:w="1134" w:type="dxa"/>
            <w:tcBorders>
              <w:top w:val="nil"/>
              <w:left w:val="single" w:sz="8" w:space="0" w:color="auto"/>
              <w:right w:val="single" w:sz="8" w:space="0" w:color="auto"/>
            </w:tcBorders>
            <w:shd w:val="clear" w:color="000000" w:fill="FFFFFF"/>
            <w:noWrap/>
            <w:vAlign w:val="center"/>
            <w:hideMark/>
          </w:tcPr>
          <w:p w14:paraId="34771884" w14:textId="77777777" w:rsidR="005874E8" w:rsidRPr="003671D8" w:rsidRDefault="005874E8" w:rsidP="005874E8">
            <w:pPr>
              <w:jc w:val="center"/>
              <w:rPr>
                <w:rFonts w:cs="Arial"/>
                <w:color w:val="000000"/>
                <w:sz w:val="18"/>
                <w:szCs w:val="18"/>
              </w:rPr>
            </w:pPr>
            <w:r w:rsidRPr="003671D8">
              <w:rPr>
                <w:rFonts w:cs="Arial"/>
                <w:color w:val="000000"/>
                <w:sz w:val="18"/>
                <w:szCs w:val="18"/>
              </w:rPr>
              <w:t>16% da RCL</w:t>
            </w:r>
          </w:p>
        </w:tc>
        <w:tc>
          <w:tcPr>
            <w:tcW w:w="1560" w:type="dxa"/>
            <w:tcBorders>
              <w:top w:val="single" w:sz="8" w:space="0" w:color="auto"/>
              <w:left w:val="single" w:sz="8" w:space="0" w:color="auto"/>
              <w:right w:val="single" w:sz="8" w:space="0" w:color="auto"/>
            </w:tcBorders>
            <w:shd w:val="clear" w:color="000000" w:fill="FFFFFF"/>
            <w:noWrap/>
            <w:vAlign w:val="center"/>
            <w:hideMark/>
          </w:tcPr>
          <w:p w14:paraId="50E9B7AA" w14:textId="4CCBE64A" w:rsidR="005874E8" w:rsidRPr="003671D8" w:rsidRDefault="005874E8" w:rsidP="003671D8">
            <w:pPr>
              <w:ind w:hanging="73"/>
              <w:jc w:val="right"/>
              <w:rPr>
                <w:rFonts w:cs="Arial"/>
                <w:color w:val="000000"/>
                <w:sz w:val="18"/>
                <w:szCs w:val="18"/>
              </w:rPr>
            </w:pPr>
            <w:r w:rsidRPr="003671D8">
              <w:rPr>
                <w:rFonts w:cs="Arial"/>
                <w:color w:val="000000"/>
                <w:sz w:val="18"/>
                <w:szCs w:val="18"/>
              </w:rPr>
              <w:t>6.138.327.893</w:t>
            </w:r>
          </w:p>
        </w:tc>
        <w:tc>
          <w:tcPr>
            <w:tcW w:w="708" w:type="dxa"/>
            <w:tcBorders>
              <w:top w:val="single" w:sz="8" w:space="0" w:color="auto"/>
              <w:left w:val="single" w:sz="8" w:space="0" w:color="auto"/>
              <w:right w:val="single" w:sz="8" w:space="0" w:color="auto"/>
            </w:tcBorders>
            <w:shd w:val="clear" w:color="000000" w:fill="FFFFFF"/>
            <w:noWrap/>
            <w:vAlign w:val="center"/>
            <w:hideMark/>
          </w:tcPr>
          <w:p w14:paraId="44905A2B" w14:textId="60C6F2E9" w:rsidR="005874E8" w:rsidRPr="003671D8" w:rsidRDefault="005874E8" w:rsidP="005874E8">
            <w:pPr>
              <w:jc w:val="center"/>
              <w:rPr>
                <w:rFonts w:cs="Arial"/>
                <w:color w:val="000000"/>
                <w:sz w:val="18"/>
                <w:szCs w:val="18"/>
              </w:rPr>
            </w:pPr>
            <w:r w:rsidRPr="003671D8">
              <w:rPr>
                <w:rFonts w:cs="Arial"/>
                <w:color w:val="000000"/>
                <w:sz w:val="18"/>
                <w:szCs w:val="18"/>
              </w:rPr>
              <w:t>-</w:t>
            </w:r>
          </w:p>
        </w:tc>
        <w:tc>
          <w:tcPr>
            <w:tcW w:w="1418" w:type="dxa"/>
            <w:tcBorders>
              <w:top w:val="single" w:sz="8" w:space="0" w:color="auto"/>
              <w:left w:val="single" w:sz="8" w:space="0" w:color="auto"/>
              <w:right w:val="nil"/>
            </w:tcBorders>
            <w:shd w:val="clear" w:color="000000" w:fill="FFFFFF"/>
            <w:noWrap/>
            <w:vAlign w:val="center"/>
            <w:hideMark/>
          </w:tcPr>
          <w:p w14:paraId="5C72E4E2" w14:textId="4B61B860" w:rsidR="005874E8" w:rsidRPr="003671D8" w:rsidRDefault="005874E8" w:rsidP="003671D8">
            <w:pPr>
              <w:ind w:hanging="72"/>
              <w:jc w:val="right"/>
              <w:rPr>
                <w:rFonts w:cs="Arial"/>
                <w:color w:val="000000"/>
                <w:sz w:val="18"/>
                <w:szCs w:val="18"/>
              </w:rPr>
            </w:pPr>
            <w:r w:rsidRPr="003671D8">
              <w:rPr>
                <w:rFonts w:cs="Arial"/>
                <w:color w:val="000000"/>
                <w:sz w:val="18"/>
                <w:szCs w:val="18"/>
              </w:rPr>
              <w:t>-</w:t>
            </w:r>
          </w:p>
        </w:tc>
      </w:tr>
      <w:tr w:rsidR="005874E8" w:rsidRPr="003671D8" w14:paraId="0BEDEB6F" w14:textId="77777777" w:rsidTr="004D056B">
        <w:trPr>
          <w:trHeight w:val="567"/>
        </w:trPr>
        <w:tc>
          <w:tcPr>
            <w:tcW w:w="2835" w:type="dxa"/>
            <w:tcBorders>
              <w:left w:val="nil"/>
              <w:right w:val="single" w:sz="8" w:space="0" w:color="auto"/>
            </w:tcBorders>
            <w:shd w:val="clear" w:color="000000" w:fill="FFFFFF"/>
            <w:noWrap/>
            <w:vAlign w:val="center"/>
            <w:hideMark/>
          </w:tcPr>
          <w:p w14:paraId="1A81D4F6" w14:textId="77777777" w:rsidR="005874E8" w:rsidRPr="003671D8" w:rsidRDefault="005874E8" w:rsidP="005874E8">
            <w:pPr>
              <w:rPr>
                <w:rFonts w:cs="Arial"/>
                <w:color w:val="000000"/>
                <w:sz w:val="18"/>
                <w:szCs w:val="18"/>
              </w:rPr>
            </w:pPr>
            <w:r w:rsidRPr="003671D8">
              <w:rPr>
                <w:rFonts w:cs="Arial"/>
                <w:color w:val="000000"/>
                <w:sz w:val="18"/>
                <w:szCs w:val="18"/>
              </w:rPr>
              <w:t>Comprometimento anual (amortização, juros e demais encargos da dívida pública consolidada)</w:t>
            </w:r>
          </w:p>
        </w:tc>
        <w:tc>
          <w:tcPr>
            <w:tcW w:w="1701" w:type="dxa"/>
            <w:tcBorders>
              <w:left w:val="nil"/>
              <w:right w:val="single" w:sz="8" w:space="0" w:color="auto"/>
            </w:tcBorders>
            <w:shd w:val="clear" w:color="000000" w:fill="FFFFFF"/>
            <w:vAlign w:val="center"/>
            <w:hideMark/>
          </w:tcPr>
          <w:p w14:paraId="01D39FF0" w14:textId="77777777" w:rsidR="005874E8" w:rsidRPr="003671D8" w:rsidRDefault="005874E8" w:rsidP="005874E8">
            <w:pPr>
              <w:jc w:val="center"/>
              <w:rPr>
                <w:rFonts w:cs="Arial"/>
                <w:color w:val="000000"/>
                <w:sz w:val="18"/>
                <w:szCs w:val="18"/>
              </w:rPr>
            </w:pPr>
            <w:r w:rsidRPr="003671D8">
              <w:rPr>
                <w:rFonts w:cs="Arial"/>
                <w:color w:val="000000"/>
                <w:sz w:val="18"/>
                <w:szCs w:val="18"/>
              </w:rPr>
              <w:t>Res. nº 43/01, art. 7º, II, e § 4º</w:t>
            </w:r>
          </w:p>
        </w:tc>
        <w:tc>
          <w:tcPr>
            <w:tcW w:w="1134" w:type="dxa"/>
            <w:tcBorders>
              <w:left w:val="nil"/>
              <w:right w:val="single" w:sz="8" w:space="0" w:color="auto"/>
            </w:tcBorders>
            <w:shd w:val="clear" w:color="000000" w:fill="FFFFFF"/>
            <w:noWrap/>
            <w:vAlign w:val="center"/>
            <w:hideMark/>
          </w:tcPr>
          <w:p w14:paraId="2EAB6100" w14:textId="77777777" w:rsidR="005874E8" w:rsidRPr="003671D8" w:rsidRDefault="005874E8" w:rsidP="005874E8">
            <w:pPr>
              <w:jc w:val="center"/>
              <w:rPr>
                <w:rFonts w:cs="Arial"/>
                <w:color w:val="000000"/>
                <w:sz w:val="18"/>
                <w:szCs w:val="18"/>
              </w:rPr>
            </w:pPr>
            <w:r w:rsidRPr="003671D8">
              <w:rPr>
                <w:rFonts w:cs="Arial"/>
                <w:color w:val="000000"/>
                <w:sz w:val="18"/>
                <w:szCs w:val="18"/>
              </w:rPr>
              <w:t xml:space="preserve">11,5% da RCL </w:t>
            </w:r>
          </w:p>
        </w:tc>
        <w:tc>
          <w:tcPr>
            <w:tcW w:w="1560" w:type="dxa"/>
            <w:tcBorders>
              <w:left w:val="nil"/>
              <w:right w:val="single" w:sz="8" w:space="0" w:color="auto"/>
            </w:tcBorders>
            <w:shd w:val="clear" w:color="000000" w:fill="FFFFFF"/>
            <w:noWrap/>
            <w:vAlign w:val="center"/>
            <w:hideMark/>
          </w:tcPr>
          <w:p w14:paraId="7FB51A49" w14:textId="0E1E1E6D" w:rsidR="005874E8" w:rsidRPr="003671D8" w:rsidRDefault="00F300D5" w:rsidP="003671D8">
            <w:pPr>
              <w:ind w:hanging="73"/>
              <w:jc w:val="right"/>
              <w:rPr>
                <w:rFonts w:cs="Arial"/>
                <w:color w:val="000000"/>
                <w:sz w:val="18"/>
                <w:szCs w:val="18"/>
              </w:rPr>
            </w:pPr>
            <w:r w:rsidRPr="003671D8">
              <w:rPr>
                <w:rFonts w:cs="Arial"/>
                <w:color w:val="000000"/>
                <w:sz w:val="18"/>
                <w:szCs w:val="18"/>
              </w:rPr>
              <w:t>4.411.923.173</w:t>
            </w:r>
          </w:p>
        </w:tc>
        <w:tc>
          <w:tcPr>
            <w:tcW w:w="708" w:type="dxa"/>
            <w:tcBorders>
              <w:left w:val="nil"/>
              <w:right w:val="single" w:sz="8" w:space="0" w:color="auto"/>
            </w:tcBorders>
            <w:shd w:val="clear" w:color="000000" w:fill="FFFFFF"/>
            <w:noWrap/>
            <w:vAlign w:val="center"/>
            <w:hideMark/>
          </w:tcPr>
          <w:p w14:paraId="61BE58D4" w14:textId="77777777" w:rsidR="005874E8" w:rsidRPr="003671D8" w:rsidRDefault="005874E8" w:rsidP="005874E8">
            <w:pPr>
              <w:jc w:val="center"/>
              <w:rPr>
                <w:rFonts w:cs="Arial"/>
                <w:color w:val="000000"/>
                <w:sz w:val="18"/>
                <w:szCs w:val="18"/>
              </w:rPr>
            </w:pPr>
            <w:r w:rsidRPr="003671D8">
              <w:rPr>
                <w:rFonts w:cs="Arial"/>
                <w:sz w:val="18"/>
                <w:szCs w:val="18"/>
              </w:rPr>
              <w:t>3,84</w:t>
            </w:r>
          </w:p>
        </w:tc>
        <w:tc>
          <w:tcPr>
            <w:tcW w:w="1418" w:type="dxa"/>
            <w:tcBorders>
              <w:left w:val="nil"/>
              <w:right w:val="nil"/>
            </w:tcBorders>
            <w:shd w:val="clear" w:color="000000" w:fill="FFFFFF"/>
            <w:noWrap/>
            <w:vAlign w:val="center"/>
            <w:hideMark/>
          </w:tcPr>
          <w:p w14:paraId="5E62B606" w14:textId="1AB5816F" w:rsidR="005874E8" w:rsidRPr="003671D8" w:rsidRDefault="00F300D5" w:rsidP="003671D8">
            <w:pPr>
              <w:ind w:hanging="72"/>
              <w:jc w:val="right"/>
              <w:rPr>
                <w:rFonts w:cs="Arial"/>
                <w:color w:val="000000"/>
                <w:sz w:val="18"/>
                <w:szCs w:val="18"/>
              </w:rPr>
            </w:pPr>
            <w:r w:rsidRPr="003671D8">
              <w:rPr>
                <w:rFonts w:cs="Arial"/>
                <w:color w:val="000000"/>
                <w:sz w:val="18"/>
                <w:szCs w:val="18"/>
              </w:rPr>
              <w:t>1.472.027.718</w:t>
            </w:r>
          </w:p>
        </w:tc>
      </w:tr>
      <w:tr w:rsidR="005874E8" w:rsidRPr="003671D8" w14:paraId="4DCB86F3" w14:textId="77777777" w:rsidTr="004D056B">
        <w:trPr>
          <w:trHeight w:val="715"/>
        </w:trPr>
        <w:tc>
          <w:tcPr>
            <w:tcW w:w="2835" w:type="dxa"/>
            <w:tcBorders>
              <w:left w:val="nil"/>
              <w:right w:val="single" w:sz="8" w:space="0" w:color="auto"/>
            </w:tcBorders>
            <w:shd w:val="clear" w:color="000000" w:fill="FFFFFF"/>
            <w:noWrap/>
            <w:vAlign w:val="center"/>
            <w:hideMark/>
          </w:tcPr>
          <w:p w14:paraId="416DC057" w14:textId="77777777" w:rsidR="005874E8" w:rsidRPr="003671D8" w:rsidRDefault="005874E8" w:rsidP="005874E8">
            <w:pPr>
              <w:rPr>
                <w:rFonts w:cs="Arial"/>
                <w:color w:val="000000"/>
                <w:sz w:val="18"/>
                <w:szCs w:val="18"/>
              </w:rPr>
            </w:pPr>
            <w:r w:rsidRPr="003671D8">
              <w:rPr>
                <w:rFonts w:cs="Arial"/>
                <w:color w:val="000000"/>
                <w:sz w:val="18"/>
                <w:szCs w:val="18"/>
              </w:rPr>
              <w:t>Estoque da dívida</w:t>
            </w:r>
          </w:p>
        </w:tc>
        <w:tc>
          <w:tcPr>
            <w:tcW w:w="1701" w:type="dxa"/>
            <w:tcBorders>
              <w:left w:val="nil"/>
              <w:right w:val="single" w:sz="8" w:space="0" w:color="auto"/>
            </w:tcBorders>
            <w:shd w:val="clear" w:color="000000" w:fill="FFFFFF"/>
            <w:vAlign w:val="center"/>
            <w:hideMark/>
          </w:tcPr>
          <w:p w14:paraId="13A63C7B" w14:textId="77777777" w:rsidR="005874E8" w:rsidRPr="003671D8" w:rsidRDefault="005874E8" w:rsidP="005874E8">
            <w:pPr>
              <w:jc w:val="center"/>
              <w:rPr>
                <w:rFonts w:cs="Arial"/>
                <w:color w:val="000000"/>
                <w:sz w:val="18"/>
                <w:szCs w:val="18"/>
              </w:rPr>
            </w:pPr>
            <w:r w:rsidRPr="003671D8">
              <w:rPr>
                <w:rFonts w:cs="Arial"/>
                <w:color w:val="000000"/>
                <w:sz w:val="18"/>
                <w:szCs w:val="18"/>
              </w:rPr>
              <w:t>Res. nº 43/01,</w:t>
            </w:r>
          </w:p>
          <w:p w14:paraId="20A74E1D" w14:textId="486CDEA5" w:rsidR="005874E8" w:rsidRPr="003671D8" w:rsidRDefault="005874E8" w:rsidP="005874E8">
            <w:pPr>
              <w:jc w:val="center"/>
              <w:rPr>
                <w:rFonts w:cs="Arial"/>
                <w:color w:val="000000"/>
                <w:sz w:val="18"/>
                <w:szCs w:val="18"/>
              </w:rPr>
            </w:pPr>
            <w:r w:rsidRPr="003671D8">
              <w:rPr>
                <w:rFonts w:cs="Arial"/>
                <w:color w:val="000000"/>
                <w:sz w:val="18"/>
                <w:szCs w:val="18"/>
              </w:rPr>
              <w:t>art. 7º, III, e Res.</w:t>
            </w:r>
          </w:p>
          <w:p w14:paraId="2A789A3B" w14:textId="4D6C6CCD" w:rsidR="005874E8" w:rsidRPr="003671D8" w:rsidRDefault="005874E8" w:rsidP="005874E8">
            <w:pPr>
              <w:jc w:val="center"/>
              <w:rPr>
                <w:rFonts w:cs="Arial"/>
                <w:color w:val="000000"/>
                <w:sz w:val="18"/>
                <w:szCs w:val="18"/>
              </w:rPr>
            </w:pPr>
            <w:r w:rsidRPr="003671D8">
              <w:rPr>
                <w:rFonts w:cs="Arial"/>
                <w:color w:val="000000"/>
                <w:sz w:val="18"/>
                <w:szCs w:val="18"/>
              </w:rPr>
              <w:t>nº 40/01, arts. 3º e 4º</w:t>
            </w:r>
          </w:p>
        </w:tc>
        <w:tc>
          <w:tcPr>
            <w:tcW w:w="1134" w:type="dxa"/>
            <w:tcBorders>
              <w:left w:val="single" w:sz="8" w:space="0" w:color="auto"/>
              <w:right w:val="single" w:sz="8" w:space="0" w:color="auto"/>
            </w:tcBorders>
            <w:shd w:val="clear" w:color="000000" w:fill="FFFFFF"/>
            <w:noWrap/>
            <w:vAlign w:val="center"/>
            <w:hideMark/>
          </w:tcPr>
          <w:p w14:paraId="6FC18DFE" w14:textId="77777777" w:rsidR="005874E8" w:rsidRPr="003671D8" w:rsidRDefault="005874E8" w:rsidP="005874E8">
            <w:pPr>
              <w:jc w:val="center"/>
              <w:rPr>
                <w:rFonts w:cs="Arial"/>
                <w:color w:val="000000"/>
                <w:sz w:val="18"/>
                <w:szCs w:val="18"/>
              </w:rPr>
            </w:pPr>
            <w:r w:rsidRPr="003671D8">
              <w:rPr>
                <w:rFonts w:cs="Arial"/>
                <w:color w:val="000000"/>
                <w:sz w:val="18"/>
                <w:szCs w:val="18"/>
              </w:rPr>
              <w:t>200% da RCL (2021)</w:t>
            </w:r>
          </w:p>
        </w:tc>
        <w:tc>
          <w:tcPr>
            <w:tcW w:w="1560" w:type="dxa"/>
            <w:tcBorders>
              <w:left w:val="single" w:sz="8" w:space="0" w:color="auto"/>
              <w:right w:val="single" w:sz="8" w:space="0" w:color="auto"/>
            </w:tcBorders>
            <w:shd w:val="clear" w:color="000000" w:fill="FFFFFF"/>
            <w:noWrap/>
            <w:vAlign w:val="center"/>
            <w:hideMark/>
          </w:tcPr>
          <w:p w14:paraId="6384F409" w14:textId="64EEF3B8" w:rsidR="005874E8" w:rsidRPr="003671D8" w:rsidRDefault="00F300D5" w:rsidP="003671D8">
            <w:pPr>
              <w:ind w:hanging="73"/>
              <w:jc w:val="right"/>
              <w:rPr>
                <w:rFonts w:cs="Arial"/>
                <w:color w:val="000000"/>
                <w:sz w:val="18"/>
                <w:szCs w:val="18"/>
              </w:rPr>
            </w:pPr>
            <w:r w:rsidRPr="003671D8">
              <w:rPr>
                <w:rFonts w:cs="Arial"/>
                <w:color w:val="000000"/>
                <w:sz w:val="18"/>
                <w:szCs w:val="18"/>
              </w:rPr>
              <w:t>76.729.098.666</w:t>
            </w:r>
          </w:p>
        </w:tc>
        <w:tc>
          <w:tcPr>
            <w:tcW w:w="708" w:type="dxa"/>
            <w:tcBorders>
              <w:left w:val="single" w:sz="8" w:space="0" w:color="auto"/>
              <w:right w:val="single" w:sz="8" w:space="0" w:color="auto"/>
            </w:tcBorders>
            <w:shd w:val="clear" w:color="000000" w:fill="FFFFFF"/>
            <w:noWrap/>
            <w:vAlign w:val="center"/>
            <w:hideMark/>
          </w:tcPr>
          <w:p w14:paraId="63FC8BB4" w14:textId="1A2AB1CE" w:rsidR="005874E8" w:rsidRPr="003671D8" w:rsidRDefault="005874E8" w:rsidP="005874E8">
            <w:pPr>
              <w:jc w:val="center"/>
              <w:rPr>
                <w:rFonts w:cs="Arial"/>
                <w:color w:val="000000"/>
                <w:sz w:val="18"/>
                <w:szCs w:val="18"/>
              </w:rPr>
            </w:pPr>
            <w:r w:rsidRPr="003671D8">
              <w:rPr>
                <w:rFonts w:cs="Arial"/>
                <w:color w:val="000000"/>
                <w:sz w:val="18"/>
                <w:szCs w:val="18"/>
              </w:rPr>
              <w:t>3,84</w:t>
            </w:r>
          </w:p>
        </w:tc>
        <w:tc>
          <w:tcPr>
            <w:tcW w:w="1418" w:type="dxa"/>
            <w:tcBorders>
              <w:left w:val="single" w:sz="8" w:space="0" w:color="auto"/>
              <w:right w:val="nil"/>
            </w:tcBorders>
            <w:shd w:val="clear" w:color="000000" w:fill="FFFFFF"/>
            <w:noWrap/>
            <w:vAlign w:val="center"/>
            <w:hideMark/>
          </w:tcPr>
          <w:p w14:paraId="0B516CE7" w14:textId="182313E8" w:rsidR="005874E8" w:rsidRPr="003671D8" w:rsidRDefault="00F300D5" w:rsidP="003671D8">
            <w:pPr>
              <w:ind w:hanging="72"/>
              <w:jc w:val="right"/>
              <w:rPr>
                <w:rFonts w:cs="Arial"/>
                <w:color w:val="000000"/>
                <w:sz w:val="18"/>
                <w:szCs w:val="18"/>
              </w:rPr>
            </w:pPr>
            <w:r w:rsidRPr="003671D8">
              <w:rPr>
                <w:rFonts w:cs="Arial"/>
                <w:color w:val="000000"/>
                <w:sz w:val="18"/>
                <w:szCs w:val="18"/>
              </w:rPr>
              <w:t>11.329.627.043</w:t>
            </w:r>
          </w:p>
        </w:tc>
      </w:tr>
      <w:tr w:rsidR="005874E8" w:rsidRPr="003671D8" w14:paraId="2782529C" w14:textId="77777777" w:rsidTr="004D056B">
        <w:trPr>
          <w:trHeight w:val="567"/>
        </w:trPr>
        <w:tc>
          <w:tcPr>
            <w:tcW w:w="2835" w:type="dxa"/>
            <w:tcBorders>
              <w:left w:val="nil"/>
              <w:right w:val="single" w:sz="8" w:space="0" w:color="auto"/>
            </w:tcBorders>
            <w:shd w:val="clear" w:color="000000" w:fill="FFFFFF"/>
            <w:noWrap/>
            <w:vAlign w:val="center"/>
            <w:hideMark/>
          </w:tcPr>
          <w:p w14:paraId="0E28DA65" w14:textId="77777777" w:rsidR="005874E8" w:rsidRPr="003671D8" w:rsidRDefault="005874E8" w:rsidP="005874E8">
            <w:pPr>
              <w:rPr>
                <w:rFonts w:cs="Arial"/>
                <w:color w:val="000000"/>
                <w:sz w:val="18"/>
                <w:szCs w:val="18"/>
              </w:rPr>
            </w:pPr>
            <w:r w:rsidRPr="003671D8">
              <w:rPr>
                <w:rFonts w:cs="Arial"/>
                <w:color w:val="000000"/>
                <w:sz w:val="18"/>
                <w:szCs w:val="18"/>
              </w:rPr>
              <w:t>Antecipação de receita orçamentária</w:t>
            </w:r>
          </w:p>
        </w:tc>
        <w:tc>
          <w:tcPr>
            <w:tcW w:w="1701" w:type="dxa"/>
            <w:tcBorders>
              <w:left w:val="nil"/>
              <w:right w:val="single" w:sz="8" w:space="0" w:color="auto"/>
            </w:tcBorders>
            <w:shd w:val="clear" w:color="000000" w:fill="FFFFFF"/>
            <w:vAlign w:val="center"/>
            <w:hideMark/>
          </w:tcPr>
          <w:p w14:paraId="504F0F6F" w14:textId="77777777" w:rsidR="005874E8" w:rsidRPr="003671D8" w:rsidRDefault="005874E8" w:rsidP="005874E8">
            <w:pPr>
              <w:jc w:val="center"/>
              <w:rPr>
                <w:rFonts w:cs="Arial"/>
                <w:color w:val="000000"/>
                <w:sz w:val="18"/>
                <w:szCs w:val="18"/>
              </w:rPr>
            </w:pPr>
            <w:r w:rsidRPr="003671D8">
              <w:rPr>
                <w:rFonts w:cs="Arial"/>
                <w:color w:val="000000"/>
                <w:sz w:val="18"/>
                <w:szCs w:val="18"/>
              </w:rPr>
              <w:t>Res. nº 43/01, art. 10</w:t>
            </w:r>
          </w:p>
        </w:tc>
        <w:tc>
          <w:tcPr>
            <w:tcW w:w="1134" w:type="dxa"/>
            <w:tcBorders>
              <w:left w:val="nil"/>
              <w:right w:val="single" w:sz="8" w:space="0" w:color="auto"/>
            </w:tcBorders>
            <w:shd w:val="clear" w:color="000000" w:fill="FFFFFF"/>
            <w:noWrap/>
            <w:vAlign w:val="center"/>
            <w:hideMark/>
          </w:tcPr>
          <w:p w14:paraId="040FFEC1" w14:textId="77777777" w:rsidR="005874E8" w:rsidRPr="003671D8" w:rsidRDefault="005874E8" w:rsidP="005874E8">
            <w:pPr>
              <w:jc w:val="center"/>
              <w:rPr>
                <w:rFonts w:cs="Arial"/>
                <w:color w:val="000000"/>
                <w:sz w:val="18"/>
                <w:szCs w:val="18"/>
              </w:rPr>
            </w:pPr>
            <w:r w:rsidRPr="003671D8">
              <w:rPr>
                <w:rFonts w:cs="Arial"/>
                <w:color w:val="000000"/>
                <w:sz w:val="18"/>
                <w:szCs w:val="18"/>
              </w:rPr>
              <w:t>7% da RCL</w:t>
            </w:r>
          </w:p>
        </w:tc>
        <w:tc>
          <w:tcPr>
            <w:tcW w:w="1560" w:type="dxa"/>
            <w:tcBorders>
              <w:left w:val="nil"/>
              <w:right w:val="single" w:sz="8" w:space="0" w:color="auto"/>
            </w:tcBorders>
            <w:shd w:val="clear" w:color="000000" w:fill="FFFFFF"/>
            <w:noWrap/>
            <w:vAlign w:val="center"/>
            <w:hideMark/>
          </w:tcPr>
          <w:p w14:paraId="74ACD507" w14:textId="53F0579F" w:rsidR="005874E8" w:rsidRPr="003671D8" w:rsidRDefault="00F300D5" w:rsidP="003671D8">
            <w:pPr>
              <w:ind w:hanging="73"/>
              <w:jc w:val="right"/>
              <w:rPr>
                <w:rFonts w:cs="Arial"/>
                <w:color w:val="000000"/>
                <w:sz w:val="18"/>
                <w:szCs w:val="18"/>
              </w:rPr>
            </w:pPr>
            <w:r w:rsidRPr="003671D8">
              <w:rPr>
                <w:rFonts w:cs="Arial"/>
                <w:color w:val="000000"/>
                <w:sz w:val="18"/>
                <w:szCs w:val="18"/>
              </w:rPr>
              <w:t>2.685.518.453</w:t>
            </w:r>
          </w:p>
        </w:tc>
        <w:tc>
          <w:tcPr>
            <w:tcW w:w="708" w:type="dxa"/>
            <w:tcBorders>
              <w:left w:val="nil"/>
              <w:right w:val="single" w:sz="8" w:space="0" w:color="auto"/>
            </w:tcBorders>
            <w:shd w:val="clear" w:color="000000" w:fill="FFFFFF"/>
            <w:noWrap/>
            <w:vAlign w:val="center"/>
            <w:hideMark/>
          </w:tcPr>
          <w:p w14:paraId="2575601C" w14:textId="0281C2CD" w:rsidR="005874E8" w:rsidRPr="003671D8" w:rsidRDefault="005874E8" w:rsidP="005874E8">
            <w:pPr>
              <w:jc w:val="center"/>
              <w:rPr>
                <w:rFonts w:cs="Arial"/>
                <w:color w:val="000000"/>
                <w:sz w:val="18"/>
                <w:szCs w:val="18"/>
              </w:rPr>
            </w:pPr>
            <w:r w:rsidRPr="003671D8">
              <w:rPr>
                <w:rFonts w:cs="Arial"/>
                <w:color w:val="000000"/>
                <w:sz w:val="18"/>
                <w:szCs w:val="18"/>
              </w:rPr>
              <w:t>29,53</w:t>
            </w:r>
          </w:p>
        </w:tc>
        <w:tc>
          <w:tcPr>
            <w:tcW w:w="1418" w:type="dxa"/>
            <w:tcBorders>
              <w:left w:val="nil"/>
              <w:right w:val="nil"/>
            </w:tcBorders>
            <w:shd w:val="clear" w:color="000000" w:fill="FFFFFF"/>
            <w:noWrap/>
            <w:vAlign w:val="center"/>
            <w:hideMark/>
          </w:tcPr>
          <w:p w14:paraId="22F4E1AC" w14:textId="4867EFAA" w:rsidR="005874E8" w:rsidRPr="003671D8" w:rsidRDefault="00F300D5" w:rsidP="003671D8">
            <w:pPr>
              <w:ind w:hanging="72"/>
              <w:jc w:val="right"/>
              <w:rPr>
                <w:rFonts w:cs="Arial"/>
                <w:color w:val="000000"/>
                <w:sz w:val="18"/>
                <w:szCs w:val="18"/>
              </w:rPr>
            </w:pPr>
            <w:r w:rsidRPr="003671D8">
              <w:rPr>
                <w:rFonts w:cs="Arial"/>
                <w:color w:val="000000"/>
                <w:sz w:val="18"/>
                <w:szCs w:val="18"/>
              </w:rPr>
              <w:t>-</w:t>
            </w:r>
          </w:p>
        </w:tc>
      </w:tr>
      <w:tr w:rsidR="005874E8" w:rsidRPr="003671D8" w14:paraId="592CDA36" w14:textId="77777777" w:rsidTr="004D056B">
        <w:trPr>
          <w:trHeight w:val="567"/>
        </w:trPr>
        <w:tc>
          <w:tcPr>
            <w:tcW w:w="2835" w:type="dxa"/>
            <w:tcBorders>
              <w:left w:val="nil"/>
              <w:bottom w:val="single" w:sz="8" w:space="0" w:color="auto"/>
              <w:right w:val="single" w:sz="8" w:space="0" w:color="auto"/>
            </w:tcBorders>
            <w:shd w:val="clear" w:color="000000" w:fill="FFFFFF"/>
            <w:noWrap/>
            <w:vAlign w:val="center"/>
            <w:hideMark/>
          </w:tcPr>
          <w:p w14:paraId="4DA7FD51" w14:textId="77777777" w:rsidR="005874E8" w:rsidRPr="003671D8" w:rsidRDefault="005874E8" w:rsidP="005874E8">
            <w:pPr>
              <w:rPr>
                <w:rFonts w:cs="Arial"/>
                <w:color w:val="000000"/>
                <w:sz w:val="18"/>
                <w:szCs w:val="18"/>
              </w:rPr>
            </w:pPr>
            <w:r w:rsidRPr="003671D8">
              <w:rPr>
                <w:rFonts w:cs="Arial"/>
                <w:color w:val="000000"/>
                <w:sz w:val="18"/>
                <w:szCs w:val="18"/>
              </w:rPr>
              <w:t>Saldo das garantias</w:t>
            </w:r>
          </w:p>
        </w:tc>
        <w:tc>
          <w:tcPr>
            <w:tcW w:w="1701" w:type="dxa"/>
            <w:tcBorders>
              <w:left w:val="nil"/>
              <w:bottom w:val="single" w:sz="8" w:space="0" w:color="auto"/>
              <w:right w:val="single" w:sz="8" w:space="0" w:color="auto"/>
            </w:tcBorders>
            <w:shd w:val="clear" w:color="000000" w:fill="FFFFFF"/>
            <w:vAlign w:val="center"/>
            <w:hideMark/>
          </w:tcPr>
          <w:p w14:paraId="40ADF3AD" w14:textId="77777777" w:rsidR="005874E8" w:rsidRPr="003671D8" w:rsidRDefault="005874E8" w:rsidP="005874E8">
            <w:pPr>
              <w:jc w:val="center"/>
              <w:rPr>
                <w:rFonts w:cs="Arial"/>
                <w:color w:val="000000"/>
                <w:sz w:val="18"/>
                <w:szCs w:val="18"/>
              </w:rPr>
            </w:pPr>
            <w:r w:rsidRPr="003671D8">
              <w:rPr>
                <w:rFonts w:cs="Arial"/>
                <w:color w:val="000000"/>
                <w:sz w:val="18"/>
                <w:szCs w:val="18"/>
              </w:rPr>
              <w:t>Res. nº 43/01, art. 9º</w:t>
            </w:r>
          </w:p>
        </w:tc>
        <w:tc>
          <w:tcPr>
            <w:tcW w:w="1134" w:type="dxa"/>
            <w:tcBorders>
              <w:left w:val="nil"/>
              <w:bottom w:val="single" w:sz="8" w:space="0" w:color="auto"/>
              <w:right w:val="single" w:sz="8" w:space="0" w:color="auto"/>
            </w:tcBorders>
            <w:shd w:val="clear" w:color="000000" w:fill="FFFFFF"/>
            <w:noWrap/>
            <w:vAlign w:val="center"/>
            <w:hideMark/>
          </w:tcPr>
          <w:p w14:paraId="6C6A1939" w14:textId="77777777" w:rsidR="005874E8" w:rsidRPr="003671D8" w:rsidRDefault="005874E8" w:rsidP="005874E8">
            <w:pPr>
              <w:jc w:val="center"/>
              <w:rPr>
                <w:rFonts w:cs="Arial"/>
                <w:color w:val="000000"/>
                <w:sz w:val="18"/>
                <w:szCs w:val="18"/>
              </w:rPr>
            </w:pPr>
            <w:r w:rsidRPr="003671D8">
              <w:rPr>
                <w:rFonts w:cs="Arial"/>
                <w:color w:val="000000"/>
                <w:sz w:val="18"/>
                <w:szCs w:val="18"/>
              </w:rPr>
              <w:t>22% da RCL</w:t>
            </w:r>
          </w:p>
        </w:tc>
        <w:tc>
          <w:tcPr>
            <w:tcW w:w="1560" w:type="dxa"/>
            <w:tcBorders>
              <w:left w:val="nil"/>
              <w:bottom w:val="single" w:sz="8" w:space="0" w:color="auto"/>
              <w:right w:val="single" w:sz="8" w:space="0" w:color="auto"/>
            </w:tcBorders>
            <w:shd w:val="clear" w:color="000000" w:fill="FFFFFF"/>
            <w:noWrap/>
            <w:vAlign w:val="center"/>
            <w:hideMark/>
          </w:tcPr>
          <w:p w14:paraId="3D5696B2" w14:textId="7612CF07" w:rsidR="005874E8" w:rsidRPr="003671D8" w:rsidRDefault="00F300D5" w:rsidP="003671D8">
            <w:pPr>
              <w:ind w:hanging="73"/>
              <w:jc w:val="right"/>
              <w:rPr>
                <w:rFonts w:cs="Arial"/>
                <w:color w:val="000000"/>
                <w:sz w:val="18"/>
                <w:szCs w:val="18"/>
              </w:rPr>
            </w:pPr>
            <w:r w:rsidRPr="003671D8">
              <w:rPr>
                <w:rFonts w:cs="Arial"/>
                <w:color w:val="000000"/>
                <w:sz w:val="18"/>
                <w:szCs w:val="18"/>
              </w:rPr>
              <w:t>8.440.200.853</w:t>
            </w:r>
          </w:p>
        </w:tc>
        <w:tc>
          <w:tcPr>
            <w:tcW w:w="708" w:type="dxa"/>
            <w:tcBorders>
              <w:left w:val="nil"/>
              <w:bottom w:val="single" w:sz="8" w:space="0" w:color="auto"/>
              <w:right w:val="single" w:sz="8" w:space="0" w:color="auto"/>
            </w:tcBorders>
            <w:shd w:val="clear" w:color="000000" w:fill="FFFFFF"/>
            <w:noWrap/>
            <w:vAlign w:val="center"/>
            <w:hideMark/>
          </w:tcPr>
          <w:p w14:paraId="3DDFEF39" w14:textId="77777777" w:rsidR="005874E8" w:rsidRPr="003671D8" w:rsidRDefault="005874E8" w:rsidP="005874E8">
            <w:pPr>
              <w:jc w:val="center"/>
              <w:rPr>
                <w:rFonts w:cs="Arial"/>
                <w:color w:val="000000"/>
                <w:sz w:val="18"/>
                <w:szCs w:val="18"/>
              </w:rPr>
            </w:pPr>
            <w:r w:rsidRPr="003671D8">
              <w:rPr>
                <w:rFonts w:cs="Arial"/>
                <w:sz w:val="18"/>
                <w:szCs w:val="18"/>
              </w:rPr>
              <w:t>0,13</w:t>
            </w:r>
          </w:p>
        </w:tc>
        <w:tc>
          <w:tcPr>
            <w:tcW w:w="1418" w:type="dxa"/>
            <w:tcBorders>
              <w:left w:val="nil"/>
              <w:bottom w:val="single" w:sz="8" w:space="0" w:color="auto"/>
              <w:right w:val="nil"/>
            </w:tcBorders>
            <w:shd w:val="clear" w:color="000000" w:fill="FFFFFF"/>
            <w:noWrap/>
            <w:vAlign w:val="center"/>
            <w:hideMark/>
          </w:tcPr>
          <w:p w14:paraId="52E93F43" w14:textId="77777777" w:rsidR="005874E8" w:rsidRPr="003671D8" w:rsidRDefault="005874E8" w:rsidP="003671D8">
            <w:pPr>
              <w:ind w:hanging="72"/>
              <w:jc w:val="right"/>
              <w:rPr>
                <w:rFonts w:cs="Arial"/>
                <w:color w:val="000000"/>
                <w:sz w:val="18"/>
                <w:szCs w:val="18"/>
              </w:rPr>
            </w:pPr>
            <w:r w:rsidRPr="003671D8">
              <w:rPr>
                <w:rFonts w:cs="Arial"/>
                <w:sz w:val="18"/>
                <w:szCs w:val="18"/>
              </w:rPr>
              <w:t>50.596.449,00</w:t>
            </w:r>
          </w:p>
        </w:tc>
      </w:tr>
    </w:tbl>
    <w:p w14:paraId="28BC2089" w14:textId="77777777" w:rsidR="00C467A0" w:rsidRPr="005D44CD" w:rsidRDefault="00C467A0" w:rsidP="00C467A0">
      <w:pPr>
        <w:pStyle w:val="1-FONTE8ESQ"/>
      </w:pPr>
      <w:r w:rsidRPr="005D44CD">
        <w:t>Fonte: RGF 3º quadrimestre de 2023</w:t>
      </w:r>
    </w:p>
    <w:p w14:paraId="5438F638" w14:textId="09809867" w:rsidR="00C467A0" w:rsidRDefault="00C467A0" w:rsidP="00C467A0">
      <w:pPr>
        <w:pStyle w:val="1-REL11"/>
      </w:pPr>
      <w:r w:rsidRPr="001C305A">
        <w:t>Portanto, observa-se que o Estado, com base nos parâmetros definidos nas resoluções do Senado Federal, cumpriu os limites estabelecidos para endividamento no exercício de 2023.</w:t>
      </w:r>
    </w:p>
    <w:p w14:paraId="25634DA2" w14:textId="77777777" w:rsidR="00DA3712" w:rsidRPr="001C305A" w:rsidRDefault="00DA3712" w:rsidP="00C467A0">
      <w:pPr>
        <w:pStyle w:val="1-REL11"/>
      </w:pPr>
    </w:p>
    <w:p w14:paraId="284AA301" w14:textId="77777777" w:rsidR="00C467A0" w:rsidRPr="001C305A" w:rsidRDefault="00C467A0" w:rsidP="00C467A0">
      <w:pPr>
        <w:pStyle w:val="Ttulo2"/>
        <w:spacing w:before="100" w:beforeAutospacing="1" w:after="100" w:afterAutospacing="1" w:line="276" w:lineRule="auto"/>
        <w:contextualSpacing/>
      </w:pPr>
      <w:bookmarkStart w:id="150" w:name="_Toc167871660"/>
      <w:r w:rsidRPr="001C305A">
        <w:lastRenderedPageBreak/>
        <w:t>Precatórios</w:t>
      </w:r>
      <w:bookmarkEnd w:id="150"/>
    </w:p>
    <w:p w14:paraId="525C1CFA" w14:textId="77777777" w:rsidR="00C467A0" w:rsidRPr="001C305A" w:rsidRDefault="00C467A0" w:rsidP="00C467A0">
      <w:pPr>
        <w:pStyle w:val="1-REL11"/>
      </w:pPr>
      <w:r w:rsidRPr="001C305A">
        <w:t>Precatórios são dívidas do governo com particulares reconhecidas por decisão judicial definitiva, ou seja, quando não há mais possibilidade de recursos. Essas dívidas surgem quando o Estado é condenado a pagar valores a particulares em processos judiciais, como indenizações por danos morais, previdência social, entre outros. Os precatórios posteriores 05/05/</w:t>
      </w:r>
      <w:r>
        <w:t>20</w:t>
      </w:r>
      <w:r w:rsidRPr="001C305A">
        <w:t>00 entram no cômputo da dívida consolidada do ente.</w:t>
      </w:r>
    </w:p>
    <w:p w14:paraId="32D084D4" w14:textId="77777777" w:rsidR="00C467A0" w:rsidRPr="001C305A" w:rsidRDefault="00C467A0" w:rsidP="00C467A0">
      <w:pPr>
        <w:pStyle w:val="1-REL11"/>
      </w:pPr>
      <w:r w:rsidRPr="001C305A">
        <w:t xml:space="preserve">Os precatórios são regulamentados pela </w:t>
      </w:r>
      <w:r>
        <w:t>CF/88</w:t>
      </w:r>
      <w:r w:rsidRPr="001C305A">
        <w:t xml:space="preserve"> e possuem um regime especial de pagamento, que deve ser feito pela ordem cronológica, ou seja, o governo deve pagar primeiro os precatórios mais antigos e, somente após o pagamento desses, é que pode iniciar o pagamento dos precatórios mais recentes.</w:t>
      </w:r>
    </w:p>
    <w:p w14:paraId="048482F9" w14:textId="77777777" w:rsidR="00C467A0" w:rsidRPr="001C305A" w:rsidRDefault="00C467A0" w:rsidP="00C467A0">
      <w:pPr>
        <w:pStyle w:val="1-REL11"/>
      </w:pPr>
      <w:r w:rsidRPr="001C305A">
        <w:t>O pagamento dos precatórios é um desafio para os governos, pois muitas vezes as dívidas são elevadas e podem comprometer as finanças públicas. Por isso, existem regras específicas para o pagamento dessas dívidas, como a obrigatoriedade de incluir os precatórios no orçamento anual do governo e a possibilidade de parcelar o pagamento.</w:t>
      </w:r>
    </w:p>
    <w:p w14:paraId="6AA148A5" w14:textId="77777777" w:rsidR="00C467A0" w:rsidRPr="00CE2C0B" w:rsidRDefault="00C467A0" w:rsidP="00C467A0">
      <w:pPr>
        <w:pStyle w:val="1-REL11"/>
      </w:pPr>
      <w:r w:rsidRPr="001C305A">
        <w:t xml:space="preserve">Desde 2016 foram efetuadas várias alterações legislativas para pagamento de precatórios remanescentes, ou seja, aqueles precatórios que não foram pagos no exercício financeiro subsequente à sua inscrição. Essas alterações foram sintetizadas </w:t>
      </w:r>
      <w:r w:rsidRPr="00CE2C0B">
        <w:t>por meio das Emendas Constitucionais nº 94/2016, 99/2017, 109/2021, 113/2021, 114/2021 e 126/2022. Ressalta-se, contudo, que o estado de Goiás aderiu ao regime especial para quitação de seus precatórios. A EC nº 94/2016 estabeleceu a quitação até 31/12/2020, posteriormente a EC nº 99/2017 estendeu a quitação até 31/12/2024 e, atualmente, a EC nº 109/2021 prorrogou novamente a quitação até 31/12/2029.</w:t>
      </w:r>
    </w:p>
    <w:p w14:paraId="486CD901" w14:textId="77777777" w:rsidR="00C467A0" w:rsidRPr="00CE2C0B" w:rsidRDefault="00C467A0" w:rsidP="00C467A0">
      <w:pPr>
        <w:pStyle w:val="1-REL11"/>
      </w:pPr>
      <w:r w:rsidRPr="00CE2C0B">
        <w:t>Quanto à prorrogação dos pagamentos de precatórios, a alteração constitucional promovida por meio da EC nº 109/2021 diz:</w:t>
      </w:r>
    </w:p>
    <w:p w14:paraId="12CDC6E5" w14:textId="77777777" w:rsidR="00C467A0" w:rsidRPr="0025563E" w:rsidRDefault="00C467A0" w:rsidP="00C467A0">
      <w:pPr>
        <w:pStyle w:val="1-CITAO"/>
        <w:rPr>
          <w:rFonts w:eastAsia="Rasa"/>
        </w:rPr>
      </w:pPr>
      <w:r w:rsidRPr="00CE2C0B">
        <w:rPr>
          <w:rFonts w:eastAsia="Rasa"/>
        </w:rPr>
        <w:t>Art. 101. Os Estados, o Distrito Federal e os Municípios que</w:t>
      </w:r>
      <w:r w:rsidRPr="0025563E">
        <w:rPr>
          <w:rFonts w:eastAsia="Rasa"/>
        </w:rPr>
        <w:t xml:space="preserve">, em 25 de março de 2015, se encontravam em mora no pagamento de seus precatórios </w:t>
      </w:r>
      <w:r w:rsidRPr="0025563E">
        <w:rPr>
          <w:rFonts w:eastAsia="Rasa"/>
          <w:u w:val="single"/>
        </w:rPr>
        <w:t>quitarão, até 31 de dezembro de 2029,</w:t>
      </w:r>
      <w:r w:rsidRPr="0025563E">
        <w:rPr>
          <w:rFonts w:eastAsia="Rasa"/>
        </w:rPr>
        <w:t xml:space="preserve"> seus débitos vencidos e os que vencerão dentro desse período, atualizados pelo Índice Nacional de Preços ao Consumidor Amplo Especial (IPCA-E), ou por outro índice que venha a substituí-lo, depositando mensalmente em conta especial do Tribunal de Justiça local, </w:t>
      </w:r>
      <w:r w:rsidRPr="0025563E">
        <w:rPr>
          <w:rFonts w:eastAsia="Rasa"/>
          <w:u w:val="single"/>
        </w:rPr>
        <w:t>sob única e exclusiva administração deste, 1/12 (um doze avos) do valor calculado percentualmente sobre suas receitas correntes líquidas apuradas no segundo mês anterior ao mês de pagamento</w:t>
      </w:r>
      <w:r w:rsidRPr="0025563E">
        <w:rPr>
          <w:rFonts w:eastAsia="Rasa"/>
        </w:rPr>
        <w:t>, em percentual suficiente para a quitação de seus débitos e, ainda que variável, nunca inferior, em cada exercício, ao percentual praticado na data da entrada em vigor do regime especial a que se refere este artigo, em conformidade com plano de pagamento a ser anualmente apresentado ao Tribunal de Justiça local.</w:t>
      </w:r>
      <w:r>
        <w:rPr>
          <w:rFonts w:eastAsia="Rasa"/>
        </w:rPr>
        <w:t xml:space="preserve"> </w:t>
      </w:r>
      <w:r w:rsidRPr="0025563E">
        <w:rPr>
          <w:rFonts w:eastAsia="Rasa"/>
        </w:rPr>
        <w:t>(Redação dada pela Emenda Constitucional nº 109, de 2021).</w:t>
      </w:r>
      <w:r w:rsidRPr="0025563E">
        <w:rPr>
          <w:shd w:val="clear" w:color="auto" w:fill="FFFFFF"/>
        </w:rPr>
        <w:t>(grifo nosso).</w:t>
      </w:r>
    </w:p>
    <w:p w14:paraId="7B53F643" w14:textId="77777777" w:rsidR="00C467A0" w:rsidRPr="001C305A" w:rsidRDefault="00C467A0" w:rsidP="00C467A0">
      <w:pPr>
        <w:pStyle w:val="1-REL11"/>
      </w:pPr>
      <w:r w:rsidRPr="001C305A">
        <w:lastRenderedPageBreak/>
        <w:t>Dentre as mudanças observadas, assevera-se que o percentual para pagamento dos precatórios tem como base a RCL e nunca será inferior ao que era vigente em 25/03/2015.</w:t>
      </w:r>
    </w:p>
    <w:p w14:paraId="5F1B5595" w14:textId="77777777" w:rsidR="00C467A0" w:rsidRPr="001C305A" w:rsidRDefault="00C467A0" w:rsidP="00A224E9">
      <w:pPr>
        <w:pStyle w:val="Ttulo3"/>
      </w:pPr>
      <w:bookmarkStart w:id="151" w:name="_Toc167871661"/>
      <w:r w:rsidRPr="001C305A">
        <w:t>Precatórios sob o Prisma da Lei de Responsabilidade Fiscal</w:t>
      </w:r>
      <w:bookmarkEnd w:id="151"/>
    </w:p>
    <w:p w14:paraId="36AF2F0A" w14:textId="77777777" w:rsidR="00C467A0" w:rsidRPr="001C305A" w:rsidRDefault="00C467A0" w:rsidP="00C467A0">
      <w:pPr>
        <w:pStyle w:val="1-REL11"/>
      </w:pPr>
      <w:r w:rsidRPr="001C305A">
        <w:t>A LRF, ao tratar sobre os precatórios em seu art. 10, estabelece que para observância da ordem cronológica de pagamentos determinada no art. 100 da CF/88, a execução orçamentária e financeira deve identificar os beneficiários por meio de sistema de contabilidade e administração financeira.</w:t>
      </w:r>
    </w:p>
    <w:p w14:paraId="79AC5A69" w14:textId="77777777" w:rsidR="00C467A0" w:rsidRPr="001C305A" w:rsidRDefault="00C467A0" w:rsidP="00C467A0">
      <w:pPr>
        <w:pStyle w:val="1-REL11"/>
      </w:pPr>
      <w:r w:rsidRPr="001C305A">
        <w:t>Atualmente não existe integração de sistemas entre a contabilidade e a gestão de precatórios, contudo, por meio da Nota Conjunta nº 001/24</w:t>
      </w:r>
      <w:r>
        <w:t>-</w:t>
      </w:r>
      <w:r w:rsidRPr="001C305A">
        <w:t xml:space="preserve">TJGO/Economia, consta a informação de que a previsão para integração </w:t>
      </w:r>
      <w:r>
        <w:t>é</w:t>
      </w:r>
      <w:r w:rsidRPr="001C305A">
        <w:t xml:space="preserve"> junho/2024.</w:t>
      </w:r>
    </w:p>
    <w:p w14:paraId="64156ECB" w14:textId="77777777" w:rsidR="00C467A0" w:rsidRPr="001C305A" w:rsidRDefault="00C467A0" w:rsidP="00C467A0">
      <w:pPr>
        <w:pStyle w:val="1-REL11"/>
      </w:pPr>
      <w:r w:rsidRPr="001C305A">
        <w:t>Ainda, o §</w:t>
      </w:r>
      <w:r>
        <w:t xml:space="preserve"> </w:t>
      </w:r>
      <w:r w:rsidRPr="001C305A">
        <w:t xml:space="preserve">7º do art. 30 da </w:t>
      </w:r>
      <w:r>
        <w:t>LRF</w:t>
      </w:r>
      <w:r w:rsidRPr="001C305A">
        <w:t xml:space="preserve"> prevê que “os precatórios judiciais não pagos durante a execução do orçamento em que houverem sido incluídos integram a dívida consolidada, para fins de aplicação dos limites”.</w:t>
      </w:r>
    </w:p>
    <w:p w14:paraId="25485D4E" w14:textId="77777777" w:rsidR="00C467A0" w:rsidRPr="001C305A" w:rsidRDefault="00C467A0" w:rsidP="00C467A0">
      <w:pPr>
        <w:pStyle w:val="1-REL11"/>
      </w:pPr>
      <w:r w:rsidRPr="001C305A">
        <w:t xml:space="preserve">Na tabela seguinte, demonstra-se a evolução da dívida com precatórios do Estado, identificada nos </w:t>
      </w:r>
      <w:r>
        <w:t>RGFs</w:t>
      </w:r>
      <w:r w:rsidRPr="001C305A">
        <w:t xml:space="preserve"> publicados no período de 2019 a 2023:</w:t>
      </w:r>
    </w:p>
    <w:p w14:paraId="643040F7" w14:textId="0C49D8BC" w:rsidR="00C467A0" w:rsidRPr="001C305A" w:rsidRDefault="00C467A0" w:rsidP="00ED3571">
      <w:pPr>
        <w:pStyle w:val="0-TABELA"/>
        <w:rPr>
          <w:b/>
        </w:rPr>
      </w:pPr>
      <w:bookmarkStart w:id="152" w:name="_Toc167871753"/>
      <w:r w:rsidRPr="001C305A">
        <w:t>Dívida Consolidada Precatórios</w:t>
      </w:r>
      <w:r w:rsidR="006918C7">
        <w:t xml:space="preserve"> </w:t>
      </w:r>
      <w:r w:rsidR="006918C7" w:rsidRPr="001C305A">
        <w:t>– 20</w:t>
      </w:r>
      <w:r w:rsidR="006918C7">
        <w:t>19 a 2023</w:t>
      </w:r>
      <w:bookmarkEnd w:id="152"/>
    </w:p>
    <w:p w14:paraId="2A393673" w14:textId="77777777" w:rsidR="00C467A0" w:rsidRPr="004A50B3" w:rsidRDefault="00C467A0" w:rsidP="00C467A0">
      <w:pPr>
        <w:pStyle w:val="1-emR1-8ptDIR"/>
      </w:pPr>
      <w:r w:rsidRPr="0025563E">
        <w:rPr>
          <w:rFonts w:cs="Arial"/>
        </w:rPr>
        <w:t>R$ 1</w:t>
      </w:r>
    </w:p>
    <w:tbl>
      <w:tblPr>
        <w:tblW w:w="5000" w:type="pct"/>
        <w:tblBorders>
          <w:top w:val="single" w:sz="8" w:space="0" w:color="auto"/>
          <w:bottom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2218"/>
        <w:gridCol w:w="1446"/>
        <w:gridCol w:w="1446"/>
        <w:gridCol w:w="1446"/>
        <w:gridCol w:w="1446"/>
        <w:gridCol w:w="1351"/>
      </w:tblGrid>
      <w:tr w:rsidR="00C467A0" w:rsidRPr="001C305A" w14:paraId="7AB4C238" w14:textId="77777777" w:rsidTr="00C467A0">
        <w:trPr>
          <w:trHeight w:val="315"/>
        </w:trPr>
        <w:tc>
          <w:tcPr>
            <w:tcW w:w="1185" w:type="pct"/>
            <w:shd w:val="clear" w:color="auto" w:fill="A2F2FD"/>
            <w:vAlign w:val="center"/>
            <w:hideMark/>
          </w:tcPr>
          <w:p w14:paraId="6FEA90C6" w14:textId="77777777" w:rsidR="00C467A0" w:rsidRPr="006918C7" w:rsidRDefault="00C467A0" w:rsidP="00C467A0">
            <w:pPr>
              <w:jc w:val="center"/>
              <w:rPr>
                <w:rFonts w:cs="Arial"/>
                <w:b/>
                <w:bCs/>
                <w:sz w:val="18"/>
                <w:szCs w:val="16"/>
              </w:rPr>
            </w:pPr>
            <w:r w:rsidRPr="006918C7">
              <w:rPr>
                <w:rFonts w:cs="Arial"/>
                <w:b/>
                <w:bCs/>
                <w:sz w:val="18"/>
                <w:szCs w:val="16"/>
              </w:rPr>
              <w:t>Especificação</w:t>
            </w:r>
          </w:p>
        </w:tc>
        <w:tc>
          <w:tcPr>
            <w:tcW w:w="773" w:type="pct"/>
            <w:shd w:val="clear" w:color="auto" w:fill="A2F2FD"/>
            <w:vAlign w:val="center"/>
            <w:hideMark/>
          </w:tcPr>
          <w:p w14:paraId="14C0E236" w14:textId="77777777" w:rsidR="00C467A0" w:rsidRPr="006918C7" w:rsidRDefault="00C467A0" w:rsidP="00C467A0">
            <w:pPr>
              <w:jc w:val="center"/>
              <w:rPr>
                <w:rFonts w:cs="Arial"/>
                <w:b/>
                <w:bCs/>
                <w:sz w:val="18"/>
                <w:szCs w:val="16"/>
              </w:rPr>
            </w:pPr>
            <w:r w:rsidRPr="006918C7">
              <w:rPr>
                <w:rFonts w:cs="Arial"/>
                <w:b/>
                <w:bCs/>
                <w:sz w:val="18"/>
                <w:szCs w:val="16"/>
              </w:rPr>
              <w:t>2019</w:t>
            </w:r>
          </w:p>
        </w:tc>
        <w:tc>
          <w:tcPr>
            <w:tcW w:w="773" w:type="pct"/>
            <w:shd w:val="clear" w:color="auto" w:fill="A2F2FD"/>
            <w:vAlign w:val="center"/>
            <w:hideMark/>
          </w:tcPr>
          <w:p w14:paraId="46B2E2D8" w14:textId="77777777" w:rsidR="00C467A0" w:rsidRPr="006918C7" w:rsidRDefault="00C467A0" w:rsidP="00C467A0">
            <w:pPr>
              <w:jc w:val="center"/>
              <w:rPr>
                <w:rFonts w:cs="Arial"/>
                <w:b/>
                <w:bCs/>
                <w:sz w:val="18"/>
                <w:szCs w:val="16"/>
              </w:rPr>
            </w:pPr>
            <w:r w:rsidRPr="006918C7">
              <w:rPr>
                <w:rFonts w:cs="Arial"/>
                <w:b/>
                <w:bCs/>
                <w:sz w:val="18"/>
                <w:szCs w:val="16"/>
              </w:rPr>
              <w:t>2020</w:t>
            </w:r>
          </w:p>
        </w:tc>
        <w:tc>
          <w:tcPr>
            <w:tcW w:w="773" w:type="pct"/>
            <w:shd w:val="clear" w:color="auto" w:fill="A2F2FD"/>
            <w:vAlign w:val="center"/>
            <w:hideMark/>
          </w:tcPr>
          <w:p w14:paraId="57B55F45" w14:textId="77777777" w:rsidR="00C467A0" w:rsidRPr="006918C7" w:rsidRDefault="00C467A0" w:rsidP="00C467A0">
            <w:pPr>
              <w:jc w:val="center"/>
              <w:rPr>
                <w:rFonts w:cs="Arial"/>
                <w:b/>
                <w:bCs/>
                <w:sz w:val="18"/>
                <w:szCs w:val="16"/>
              </w:rPr>
            </w:pPr>
            <w:r w:rsidRPr="006918C7">
              <w:rPr>
                <w:rFonts w:cs="Arial"/>
                <w:b/>
                <w:bCs/>
                <w:sz w:val="18"/>
                <w:szCs w:val="16"/>
              </w:rPr>
              <w:t>2021</w:t>
            </w:r>
          </w:p>
        </w:tc>
        <w:tc>
          <w:tcPr>
            <w:tcW w:w="773" w:type="pct"/>
            <w:shd w:val="clear" w:color="auto" w:fill="A2F2FD"/>
            <w:vAlign w:val="center"/>
            <w:hideMark/>
          </w:tcPr>
          <w:p w14:paraId="6414BBFF" w14:textId="77777777" w:rsidR="00C467A0" w:rsidRPr="006918C7" w:rsidRDefault="00C467A0" w:rsidP="00C467A0">
            <w:pPr>
              <w:jc w:val="center"/>
              <w:rPr>
                <w:rFonts w:cs="Arial"/>
                <w:b/>
                <w:bCs/>
                <w:sz w:val="18"/>
                <w:szCs w:val="16"/>
              </w:rPr>
            </w:pPr>
            <w:r w:rsidRPr="006918C7">
              <w:rPr>
                <w:rFonts w:cs="Arial"/>
                <w:b/>
                <w:bCs/>
                <w:sz w:val="18"/>
                <w:szCs w:val="16"/>
              </w:rPr>
              <w:t>2022</w:t>
            </w:r>
          </w:p>
        </w:tc>
        <w:tc>
          <w:tcPr>
            <w:tcW w:w="722" w:type="pct"/>
            <w:shd w:val="clear" w:color="auto" w:fill="A2F2FD"/>
            <w:vAlign w:val="center"/>
            <w:hideMark/>
          </w:tcPr>
          <w:p w14:paraId="0A7D0EFD" w14:textId="77777777" w:rsidR="00C467A0" w:rsidRPr="006918C7" w:rsidRDefault="00C467A0" w:rsidP="00C467A0">
            <w:pPr>
              <w:jc w:val="center"/>
              <w:rPr>
                <w:rFonts w:cs="Arial"/>
                <w:b/>
                <w:bCs/>
                <w:sz w:val="18"/>
                <w:szCs w:val="16"/>
              </w:rPr>
            </w:pPr>
            <w:r w:rsidRPr="006918C7">
              <w:rPr>
                <w:rFonts w:cs="Arial"/>
                <w:b/>
                <w:bCs/>
                <w:sz w:val="18"/>
                <w:szCs w:val="16"/>
              </w:rPr>
              <w:t>2023</w:t>
            </w:r>
          </w:p>
        </w:tc>
      </w:tr>
      <w:tr w:rsidR="00C467A0" w:rsidRPr="001C305A" w14:paraId="37049A31" w14:textId="77777777" w:rsidTr="00C467A0">
        <w:trPr>
          <w:trHeight w:val="510"/>
        </w:trPr>
        <w:tc>
          <w:tcPr>
            <w:tcW w:w="1185" w:type="pct"/>
            <w:shd w:val="clear" w:color="000000" w:fill="FFFFFF"/>
            <w:vAlign w:val="center"/>
            <w:hideMark/>
          </w:tcPr>
          <w:p w14:paraId="038BD509" w14:textId="77777777" w:rsidR="00C467A0" w:rsidRPr="00261FEB" w:rsidRDefault="00C467A0" w:rsidP="00C467A0">
            <w:pPr>
              <w:rPr>
                <w:rFonts w:cs="Arial"/>
                <w:sz w:val="18"/>
                <w:szCs w:val="16"/>
              </w:rPr>
            </w:pPr>
            <w:r w:rsidRPr="00261FEB">
              <w:rPr>
                <w:rFonts w:cs="Arial"/>
                <w:sz w:val="18"/>
                <w:szCs w:val="16"/>
              </w:rPr>
              <w:t>Precatórios posteriores a 5/5/2000 (inclusive)</w:t>
            </w:r>
          </w:p>
        </w:tc>
        <w:tc>
          <w:tcPr>
            <w:tcW w:w="773" w:type="pct"/>
            <w:shd w:val="solid" w:color="FFFFFF" w:fill="auto"/>
            <w:vAlign w:val="center"/>
            <w:hideMark/>
          </w:tcPr>
          <w:p w14:paraId="267862F5" w14:textId="77777777" w:rsidR="00C467A0" w:rsidRPr="001C305A" w:rsidRDefault="00C467A0" w:rsidP="00C467A0">
            <w:pPr>
              <w:jc w:val="right"/>
              <w:rPr>
                <w:rFonts w:cs="Arial"/>
                <w:sz w:val="16"/>
                <w:szCs w:val="16"/>
              </w:rPr>
            </w:pPr>
            <w:r w:rsidRPr="001C305A">
              <w:rPr>
                <w:rFonts w:cs="Arial"/>
                <w:color w:val="000000"/>
                <w:sz w:val="18"/>
                <w:szCs w:val="18"/>
              </w:rPr>
              <w:t>1.288.220.527</w:t>
            </w:r>
          </w:p>
        </w:tc>
        <w:tc>
          <w:tcPr>
            <w:tcW w:w="773" w:type="pct"/>
            <w:shd w:val="solid" w:color="FFFFFF" w:fill="auto"/>
            <w:vAlign w:val="center"/>
            <w:hideMark/>
          </w:tcPr>
          <w:p w14:paraId="73791CAE" w14:textId="77777777" w:rsidR="00C467A0" w:rsidRPr="001C305A" w:rsidRDefault="00C467A0" w:rsidP="00C467A0">
            <w:pPr>
              <w:jc w:val="right"/>
              <w:rPr>
                <w:rFonts w:cs="Arial"/>
                <w:sz w:val="16"/>
                <w:szCs w:val="16"/>
              </w:rPr>
            </w:pPr>
            <w:r w:rsidRPr="001C305A">
              <w:rPr>
                <w:rFonts w:cs="Arial"/>
                <w:color w:val="000000"/>
                <w:sz w:val="18"/>
                <w:szCs w:val="18"/>
              </w:rPr>
              <w:t>1.237.535.258</w:t>
            </w:r>
          </w:p>
        </w:tc>
        <w:tc>
          <w:tcPr>
            <w:tcW w:w="773" w:type="pct"/>
            <w:shd w:val="solid" w:color="FFFFFF" w:fill="auto"/>
            <w:vAlign w:val="center"/>
            <w:hideMark/>
          </w:tcPr>
          <w:p w14:paraId="084E2A96" w14:textId="77777777" w:rsidR="00C467A0" w:rsidRPr="001C305A" w:rsidRDefault="00C467A0" w:rsidP="00C467A0">
            <w:pPr>
              <w:jc w:val="right"/>
              <w:rPr>
                <w:rFonts w:cs="Arial"/>
                <w:sz w:val="16"/>
                <w:szCs w:val="16"/>
              </w:rPr>
            </w:pPr>
            <w:r w:rsidRPr="001C305A">
              <w:rPr>
                <w:rFonts w:cs="Arial"/>
                <w:color w:val="000000"/>
                <w:sz w:val="18"/>
                <w:szCs w:val="18"/>
              </w:rPr>
              <w:t>1.271.905.707</w:t>
            </w:r>
          </w:p>
        </w:tc>
        <w:tc>
          <w:tcPr>
            <w:tcW w:w="773" w:type="pct"/>
            <w:shd w:val="solid" w:color="FFFFFF" w:fill="auto"/>
            <w:vAlign w:val="center"/>
            <w:hideMark/>
          </w:tcPr>
          <w:p w14:paraId="39C47B35" w14:textId="77777777" w:rsidR="00C467A0" w:rsidRPr="001C305A" w:rsidRDefault="00C467A0" w:rsidP="00C467A0">
            <w:pPr>
              <w:jc w:val="right"/>
              <w:rPr>
                <w:rFonts w:cs="Arial"/>
                <w:sz w:val="16"/>
                <w:szCs w:val="16"/>
              </w:rPr>
            </w:pPr>
            <w:r w:rsidRPr="001C305A">
              <w:rPr>
                <w:rFonts w:cs="Arial"/>
                <w:color w:val="000000"/>
                <w:sz w:val="18"/>
                <w:szCs w:val="18"/>
              </w:rPr>
              <w:t>1.128.407.407</w:t>
            </w:r>
          </w:p>
        </w:tc>
        <w:tc>
          <w:tcPr>
            <w:tcW w:w="722" w:type="pct"/>
            <w:shd w:val="solid" w:color="FFFFFF" w:fill="auto"/>
            <w:vAlign w:val="center"/>
            <w:hideMark/>
          </w:tcPr>
          <w:p w14:paraId="41B77B5E" w14:textId="77777777" w:rsidR="00C467A0" w:rsidRPr="001C305A" w:rsidRDefault="00C467A0" w:rsidP="00C467A0">
            <w:pPr>
              <w:jc w:val="right"/>
              <w:rPr>
                <w:rFonts w:cs="Arial"/>
                <w:sz w:val="16"/>
                <w:szCs w:val="16"/>
              </w:rPr>
            </w:pPr>
            <w:r w:rsidRPr="001C305A">
              <w:rPr>
                <w:rFonts w:cs="Arial"/>
                <w:color w:val="000000"/>
                <w:sz w:val="18"/>
                <w:szCs w:val="18"/>
              </w:rPr>
              <w:t>996.912.243</w:t>
            </w:r>
          </w:p>
        </w:tc>
      </w:tr>
    </w:tbl>
    <w:p w14:paraId="469C29DC" w14:textId="77777777" w:rsidR="00C467A0" w:rsidRPr="005D44CD" w:rsidRDefault="00C467A0" w:rsidP="00C467A0">
      <w:pPr>
        <w:pStyle w:val="1-FONTE8ESQ"/>
      </w:pPr>
      <w:r w:rsidRPr="005D44CD">
        <w:t>Fonte: RGFs 2019</w:t>
      </w:r>
      <w:r>
        <w:t xml:space="preserve"> a </w:t>
      </w:r>
      <w:r w:rsidRPr="005D44CD">
        <w:t>2023</w:t>
      </w:r>
    </w:p>
    <w:p w14:paraId="6FFEB183" w14:textId="77777777" w:rsidR="00C467A0" w:rsidRPr="0025563E" w:rsidRDefault="00C467A0" w:rsidP="00C467A0">
      <w:pPr>
        <w:pStyle w:val="1-REL11"/>
      </w:pPr>
      <w:r w:rsidRPr="0025563E">
        <w:t xml:space="preserve">Segundo a </w:t>
      </w:r>
      <w:bookmarkStart w:id="153" w:name="_Hlk104986877"/>
      <w:r w:rsidRPr="0025563E">
        <w:t>Nota Explicativa Conjunta nº 001/24-TJGO/Economia, o repasse para o Tribunal de Justiça</w:t>
      </w:r>
      <w:r>
        <w:t xml:space="preserve"> do Estado de Goiás (TJ/GO)</w:t>
      </w:r>
      <w:r w:rsidRPr="0025563E">
        <w:t xml:space="preserve"> para pagamentos de precatórios em 2023 foi de R$ 558</w:t>
      </w:r>
      <w:r>
        <w:t>,</w:t>
      </w:r>
      <w:r w:rsidRPr="0025563E">
        <w:t xml:space="preserve">53 milhões. Em consulta ao </w:t>
      </w:r>
      <w:r>
        <w:t>Siofi-Net</w:t>
      </w:r>
      <w:r w:rsidRPr="0025563E">
        <w:t>,</w:t>
      </w:r>
      <w:bookmarkEnd w:id="153"/>
      <w:r w:rsidRPr="0025563E">
        <w:t xml:space="preserve"> constatou-se que foram repassados em janeiro/</w:t>
      </w:r>
      <w:r>
        <w:t>20</w:t>
      </w:r>
      <w:r w:rsidRPr="0025563E">
        <w:t>23 o valor de R$</w:t>
      </w:r>
      <w:r>
        <w:t> </w:t>
      </w:r>
      <w:r w:rsidRPr="0025563E">
        <w:t>537</w:t>
      </w:r>
      <w:r>
        <w:t>,</w:t>
      </w:r>
      <w:r w:rsidRPr="0025563E">
        <w:t>99</w:t>
      </w:r>
      <w:r>
        <w:t> </w:t>
      </w:r>
      <w:r w:rsidRPr="0025563E">
        <w:t>milhões e em novembro/</w:t>
      </w:r>
      <w:r>
        <w:t>20</w:t>
      </w:r>
      <w:r w:rsidRPr="0025563E">
        <w:t>23 o valor residual de R$ 20</w:t>
      </w:r>
      <w:r>
        <w:t>,</w:t>
      </w:r>
      <w:r w:rsidRPr="0025563E">
        <w:t>54 milhões. Os repasses são efetuados com base na RCL do estado de Goiás e nunca inferior à 1,50%. Em 2023, o cálculo da RCL de dezembro/</w:t>
      </w:r>
      <w:r>
        <w:t>20</w:t>
      </w:r>
      <w:r w:rsidRPr="0025563E">
        <w:t>21 a novembro/</w:t>
      </w:r>
      <w:r>
        <w:t>20</w:t>
      </w:r>
      <w:r w:rsidRPr="0025563E">
        <w:t xml:space="preserve">22 correspondeu à </w:t>
      </w:r>
      <w:r>
        <w:t>R$ </w:t>
      </w:r>
      <w:r w:rsidRPr="0025563E">
        <w:t>36</w:t>
      </w:r>
      <w:r>
        <w:t>,</w:t>
      </w:r>
      <w:r w:rsidRPr="0025563E">
        <w:t>97 bilhões.</w:t>
      </w:r>
    </w:p>
    <w:p w14:paraId="18ECF191" w14:textId="77777777" w:rsidR="00C467A0" w:rsidRPr="0025563E" w:rsidRDefault="00C467A0" w:rsidP="00C467A0">
      <w:pPr>
        <w:pStyle w:val="1-REL11"/>
      </w:pPr>
      <w:r w:rsidRPr="0025563E">
        <w:t>Ainda de acordo com a Nota Explicativa Conjunta nº 001/24-TJGO/Economia, houve antecipação no montante de R$ 365</w:t>
      </w:r>
      <w:r>
        <w:t>,</w:t>
      </w:r>
      <w:r w:rsidRPr="0025563E">
        <w:t>71 milhões contemplando os exercícios financeiro de 2024 e 2025 relacionados à superpreferência. Todavia, não foi esclarecido se esse valor se refere ao valor repassado de 2023 ou de diversos exercícios financeiros.</w:t>
      </w:r>
    </w:p>
    <w:p w14:paraId="54FC0EA2" w14:textId="77777777" w:rsidR="00C467A0" w:rsidRPr="0025563E" w:rsidRDefault="00C467A0" w:rsidP="00C467A0">
      <w:pPr>
        <w:pStyle w:val="1-REL11"/>
      </w:pPr>
      <w:r w:rsidRPr="0025563E">
        <w:t>A partir de dezembro/</w:t>
      </w:r>
      <w:r>
        <w:t>20</w:t>
      </w:r>
      <w:r w:rsidRPr="0025563E">
        <w:t>21, a atualização dos saldos devedores dos precatórios obedece o índice da taxa referencial do Sistema Especial de Liquidação e de Custódia (Selic) instituído pelo art. 3º da EC nº 113/2021.</w:t>
      </w:r>
    </w:p>
    <w:p w14:paraId="64CA3737" w14:textId="77777777" w:rsidR="00C467A0" w:rsidRPr="008D688C" w:rsidRDefault="00C467A0" w:rsidP="00C467A0">
      <w:pPr>
        <w:pStyle w:val="1-REL11"/>
      </w:pPr>
      <w:r w:rsidRPr="0025563E">
        <w:lastRenderedPageBreak/>
        <w:t>O saldo de precatórios em 31/12/</w:t>
      </w:r>
      <w:r>
        <w:t>20</w:t>
      </w:r>
      <w:r w:rsidRPr="0025563E">
        <w:t>23 (R$ 996</w:t>
      </w:r>
      <w:r>
        <w:t>,</w:t>
      </w:r>
      <w:r w:rsidRPr="0025563E">
        <w:t>91 milhões) teve uma redução de 11,65% em relação ao exercício financeiro anterior. Segundo informações constantes</w:t>
      </w:r>
      <w:r w:rsidRPr="001C305A">
        <w:t xml:space="preserve"> no BGE, R$</w:t>
      </w:r>
      <w:r>
        <w:t> </w:t>
      </w:r>
      <w:r w:rsidRPr="001C305A">
        <w:t>427,</w:t>
      </w:r>
      <w:r w:rsidRPr="008D688C">
        <w:t>90</w:t>
      </w:r>
      <w:r>
        <w:t> </w:t>
      </w:r>
      <w:r w:rsidRPr="008D688C">
        <w:t>milhões se referem a precatórios de natureza alimentar e R$ 569,00 milhões a precatórios de natureza comum.</w:t>
      </w:r>
    </w:p>
    <w:p w14:paraId="3CB51511" w14:textId="77777777" w:rsidR="00C467A0" w:rsidRPr="008D688C" w:rsidRDefault="00C467A0" w:rsidP="00ED3571">
      <w:pPr>
        <w:pStyle w:val="0-TABELA"/>
        <w:rPr>
          <w:b/>
        </w:rPr>
      </w:pPr>
      <w:bookmarkStart w:id="154" w:name="_Toc167871754"/>
      <w:r w:rsidRPr="008D688C">
        <w:t>Precatórios de Natureza Comum e Alimentar</w:t>
      </w:r>
      <w:bookmarkEnd w:id="154"/>
    </w:p>
    <w:p w14:paraId="09F61016" w14:textId="77777777" w:rsidR="00C467A0" w:rsidRPr="008D688C" w:rsidRDefault="00C467A0" w:rsidP="00C467A0">
      <w:pPr>
        <w:jc w:val="right"/>
        <w:rPr>
          <w:rFonts w:cs="Arial"/>
          <w:sz w:val="16"/>
          <w:szCs w:val="16"/>
        </w:rPr>
      </w:pPr>
      <w:r w:rsidRPr="008D688C">
        <w:rPr>
          <w:rFonts w:cs="Arial"/>
          <w:sz w:val="16"/>
          <w:szCs w:val="16"/>
        </w:rPr>
        <w:t>R$ mil</w:t>
      </w:r>
    </w:p>
    <w:tbl>
      <w:tblPr>
        <w:tblW w:w="499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966"/>
        <w:gridCol w:w="1590"/>
        <w:gridCol w:w="2009"/>
        <w:gridCol w:w="1777"/>
      </w:tblGrid>
      <w:tr w:rsidR="00C467A0" w:rsidRPr="00D4549C" w14:paraId="37B1B86E" w14:textId="77777777" w:rsidTr="005874E8">
        <w:trPr>
          <w:trHeight w:val="361"/>
          <w:tblHeader/>
          <w:jc w:val="center"/>
        </w:trPr>
        <w:tc>
          <w:tcPr>
            <w:tcW w:w="2123" w:type="pct"/>
            <w:tcBorders>
              <w:left w:val="nil"/>
              <w:bottom w:val="single" w:sz="4" w:space="0" w:color="auto"/>
            </w:tcBorders>
            <w:shd w:val="clear" w:color="auto" w:fill="A2F2FD"/>
            <w:vAlign w:val="center"/>
          </w:tcPr>
          <w:p w14:paraId="3FD3C67A" w14:textId="77777777" w:rsidR="00C467A0" w:rsidRPr="00D4549C" w:rsidRDefault="00C467A0" w:rsidP="00C467A0">
            <w:pPr>
              <w:widowControl w:val="0"/>
              <w:jc w:val="center"/>
              <w:rPr>
                <w:rFonts w:cs="Arial"/>
                <w:b/>
                <w:bCs/>
                <w:sz w:val="20"/>
                <w:szCs w:val="20"/>
              </w:rPr>
            </w:pPr>
            <w:r w:rsidRPr="00D4549C">
              <w:rPr>
                <w:rFonts w:cs="Arial"/>
                <w:b/>
                <w:bCs/>
                <w:sz w:val="20"/>
                <w:szCs w:val="20"/>
              </w:rPr>
              <w:t>Tipo</w:t>
            </w:r>
          </w:p>
        </w:tc>
        <w:tc>
          <w:tcPr>
            <w:tcW w:w="851" w:type="pct"/>
            <w:tcBorders>
              <w:bottom w:val="single" w:sz="4" w:space="0" w:color="auto"/>
            </w:tcBorders>
            <w:shd w:val="clear" w:color="auto" w:fill="A2F2FD"/>
            <w:vAlign w:val="center"/>
          </w:tcPr>
          <w:p w14:paraId="3A720FC9" w14:textId="77777777" w:rsidR="00C467A0" w:rsidRPr="00D4549C" w:rsidRDefault="00C467A0" w:rsidP="00C467A0">
            <w:pPr>
              <w:widowControl w:val="0"/>
              <w:jc w:val="center"/>
              <w:rPr>
                <w:rFonts w:cs="Arial"/>
                <w:b/>
                <w:bCs/>
                <w:sz w:val="20"/>
                <w:szCs w:val="20"/>
              </w:rPr>
            </w:pPr>
            <w:r w:rsidRPr="00D4549C">
              <w:rPr>
                <w:rFonts w:cs="Arial"/>
                <w:b/>
                <w:bCs/>
                <w:sz w:val="20"/>
                <w:szCs w:val="20"/>
              </w:rPr>
              <w:t>Passivo</w:t>
            </w:r>
          </w:p>
          <w:p w14:paraId="44D46737" w14:textId="77777777" w:rsidR="00C467A0" w:rsidRPr="00D4549C" w:rsidRDefault="00C467A0" w:rsidP="00C467A0">
            <w:pPr>
              <w:widowControl w:val="0"/>
              <w:jc w:val="center"/>
              <w:rPr>
                <w:rFonts w:cs="Arial"/>
                <w:b/>
                <w:bCs/>
                <w:sz w:val="20"/>
                <w:szCs w:val="20"/>
              </w:rPr>
            </w:pPr>
            <w:r w:rsidRPr="00D4549C">
              <w:rPr>
                <w:rFonts w:cs="Arial"/>
                <w:b/>
                <w:bCs/>
                <w:sz w:val="20"/>
                <w:szCs w:val="20"/>
              </w:rPr>
              <w:t>31/12/2022</w:t>
            </w:r>
          </w:p>
        </w:tc>
        <w:tc>
          <w:tcPr>
            <w:tcW w:w="1075" w:type="pct"/>
            <w:tcBorders>
              <w:bottom w:val="single" w:sz="4" w:space="0" w:color="auto"/>
            </w:tcBorders>
            <w:shd w:val="clear" w:color="auto" w:fill="A2F2FD"/>
            <w:vAlign w:val="center"/>
          </w:tcPr>
          <w:p w14:paraId="2388709D" w14:textId="77777777" w:rsidR="00C467A0" w:rsidRPr="00D4549C" w:rsidRDefault="00C467A0" w:rsidP="00C467A0">
            <w:pPr>
              <w:widowControl w:val="0"/>
              <w:jc w:val="center"/>
              <w:rPr>
                <w:rFonts w:cs="Arial"/>
                <w:b/>
                <w:bCs/>
                <w:sz w:val="20"/>
                <w:szCs w:val="20"/>
              </w:rPr>
            </w:pPr>
            <w:r w:rsidRPr="00D4549C">
              <w:rPr>
                <w:rFonts w:cs="Arial"/>
                <w:b/>
                <w:bCs/>
                <w:sz w:val="20"/>
                <w:szCs w:val="20"/>
              </w:rPr>
              <w:t>Acréscimo, Juros, Amortização</w:t>
            </w:r>
          </w:p>
        </w:tc>
        <w:tc>
          <w:tcPr>
            <w:tcW w:w="952" w:type="pct"/>
            <w:tcBorders>
              <w:bottom w:val="single" w:sz="4" w:space="0" w:color="auto"/>
              <w:right w:val="nil"/>
            </w:tcBorders>
            <w:shd w:val="clear" w:color="auto" w:fill="A2F2FD"/>
            <w:vAlign w:val="center"/>
          </w:tcPr>
          <w:p w14:paraId="44550363" w14:textId="77777777" w:rsidR="00C467A0" w:rsidRPr="00D4549C" w:rsidRDefault="00C467A0" w:rsidP="00C467A0">
            <w:pPr>
              <w:widowControl w:val="0"/>
              <w:jc w:val="center"/>
              <w:rPr>
                <w:rFonts w:cs="Arial"/>
                <w:b/>
                <w:bCs/>
                <w:sz w:val="20"/>
                <w:szCs w:val="20"/>
              </w:rPr>
            </w:pPr>
            <w:r w:rsidRPr="00D4549C">
              <w:rPr>
                <w:rFonts w:cs="Arial"/>
                <w:b/>
                <w:bCs/>
                <w:sz w:val="20"/>
                <w:szCs w:val="20"/>
              </w:rPr>
              <w:t>Passivo</w:t>
            </w:r>
          </w:p>
          <w:p w14:paraId="0C6FCA54" w14:textId="77777777" w:rsidR="00C467A0" w:rsidRPr="00D4549C" w:rsidRDefault="00C467A0" w:rsidP="00C467A0">
            <w:pPr>
              <w:widowControl w:val="0"/>
              <w:jc w:val="center"/>
              <w:rPr>
                <w:rFonts w:cs="Arial"/>
                <w:b/>
                <w:bCs/>
                <w:sz w:val="20"/>
                <w:szCs w:val="20"/>
              </w:rPr>
            </w:pPr>
            <w:r w:rsidRPr="00D4549C">
              <w:rPr>
                <w:rFonts w:cs="Arial"/>
                <w:b/>
                <w:bCs/>
                <w:sz w:val="20"/>
                <w:szCs w:val="20"/>
              </w:rPr>
              <w:t>31/12/2023</w:t>
            </w:r>
          </w:p>
        </w:tc>
      </w:tr>
      <w:tr w:rsidR="00C467A0" w:rsidRPr="00D4549C" w14:paraId="3E1A199F" w14:textId="77777777" w:rsidTr="005874E8">
        <w:trPr>
          <w:trHeight w:val="239"/>
          <w:jc w:val="center"/>
        </w:trPr>
        <w:tc>
          <w:tcPr>
            <w:tcW w:w="2123" w:type="pct"/>
            <w:tcBorders>
              <w:left w:val="nil"/>
              <w:bottom w:val="nil"/>
            </w:tcBorders>
            <w:shd w:val="clear" w:color="auto" w:fill="FFFFFF" w:themeFill="background1"/>
            <w:vAlign w:val="center"/>
          </w:tcPr>
          <w:p w14:paraId="37FD2B7A" w14:textId="77777777" w:rsidR="00C467A0" w:rsidRPr="00D4549C" w:rsidRDefault="00C467A0" w:rsidP="006918C7">
            <w:pPr>
              <w:widowControl w:val="0"/>
              <w:ind w:left="73"/>
              <w:rPr>
                <w:rFonts w:cs="Arial"/>
                <w:color w:val="000000" w:themeColor="text1"/>
                <w:sz w:val="20"/>
                <w:szCs w:val="20"/>
              </w:rPr>
            </w:pPr>
            <w:r w:rsidRPr="00D4549C">
              <w:rPr>
                <w:rFonts w:cs="Arial"/>
                <w:color w:val="000000" w:themeColor="text1"/>
                <w:sz w:val="20"/>
                <w:szCs w:val="20"/>
              </w:rPr>
              <w:t>Precatórios Natureza Alimentar</w:t>
            </w:r>
          </w:p>
        </w:tc>
        <w:tc>
          <w:tcPr>
            <w:tcW w:w="851" w:type="pct"/>
            <w:tcBorders>
              <w:bottom w:val="nil"/>
              <w:right w:val="nil"/>
            </w:tcBorders>
            <w:shd w:val="clear" w:color="auto" w:fill="FFFFFF" w:themeFill="background1"/>
            <w:vAlign w:val="center"/>
          </w:tcPr>
          <w:p w14:paraId="0679C728" w14:textId="77777777" w:rsidR="00C467A0" w:rsidRPr="00D4549C" w:rsidRDefault="00C467A0" w:rsidP="00C467A0">
            <w:pPr>
              <w:widowControl w:val="0"/>
              <w:spacing w:after="60"/>
              <w:jc w:val="right"/>
              <w:rPr>
                <w:rFonts w:cs="Arial"/>
                <w:bCs/>
                <w:iCs/>
                <w:color w:val="000000" w:themeColor="text1"/>
                <w:sz w:val="20"/>
                <w:szCs w:val="20"/>
              </w:rPr>
            </w:pPr>
            <w:r w:rsidRPr="00D4549C">
              <w:rPr>
                <w:rFonts w:cs="Arial"/>
                <w:bCs/>
                <w:iCs/>
                <w:color w:val="000000" w:themeColor="text1"/>
                <w:sz w:val="20"/>
                <w:szCs w:val="20"/>
              </w:rPr>
              <w:t>599.359</w:t>
            </w:r>
          </w:p>
        </w:tc>
        <w:tc>
          <w:tcPr>
            <w:tcW w:w="1075" w:type="pct"/>
            <w:tcBorders>
              <w:bottom w:val="nil"/>
            </w:tcBorders>
            <w:shd w:val="clear" w:color="auto" w:fill="FFFFFF" w:themeFill="background1"/>
            <w:vAlign w:val="center"/>
          </w:tcPr>
          <w:p w14:paraId="08DA0939" w14:textId="77777777" w:rsidR="00C467A0" w:rsidRPr="00D4549C" w:rsidRDefault="00C467A0" w:rsidP="00C467A0">
            <w:pPr>
              <w:jc w:val="right"/>
              <w:rPr>
                <w:rFonts w:cs="Arial"/>
                <w:color w:val="000000" w:themeColor="text1"/>
                <w:sz w:val="20"/>
                <w:szCs w:val="20"/>
              </w:rPr>
            </w:pPr>
            <w:r w:rsidRPr="00D4549C">
              <w:rPr>
                <w:rFonts w:cs="Arial"/>
                <w:color w:val="FF0000"/>
                <w:sz w:val="20"/>
                <w:szCs w:val="20"/>
              </w:rPr>
              <w:t>(171.451)</w:t>
            </w:r>
          </w:p>
        </w:tc>
        <w:tc>
          <w:tcPr>
            <w:tcW w:w="952" w:type="pct"/>
            <w:tcBorders>
              <w:bottom w:val="nil"/>
              <w:right w:val="nil"/>
            </w:tcBorders>
            <w:shd w:val="clear" w:color="auto" w:fill="FFFFFF" w:themeFill="background1"/>
            <w:vAlign w:val="center"/>
          </w:tcPr>
          <w:p w14:paraId="2FA09252" w14:textId="77777777" w:rsidR="00C467A0" w:rsidRPr="00D4549C" w:rsidRDefault="00C467A0" w:rsidP="00C467A0">
            <w:pPr>
              <w:widowControl w:val="0"/>
              <w:jc w:val="right"/>
              <w:rPr>
                <w:rFonts w:cs="Arial"/>
                <w:bCs/>
                <w:iCs/>
                <w:color w:val="000000" w:themeColor="text1"/>
                <w:sz w:val="20"/>
                <w:szCs w:val="20"/>
              </w:rPr>
            </w:pPr>
            <w:r w:rsidRPr="00D4549C">
              <w:rPr>
                <w:rFonts w:cs="Arial"/>
                <w:bCs/>
                <w:iCs/>
                <w:color w:val="000000" w:themeColor="text1"/>
                <w:sz w:val="20"/>
                <w:szCs w:val="20"/>
              </w:rPr>
              <w:t>427.908</w:t>
            </w:r>
          </w:p>
        </w:tc>
      </w:tr>
      <w:tr w:rsidR="00C467A0" w:rsidRPr="00D4549C" w14:paraId="76E0A708" w14:textId="77777777" w:rsidTr="005874E8">
        <w:trPr>
          <w:trHeight w:val="258"/>
          <w:jc w:val="center"/>
        </w:trPr>
        <w:tc>
          <w:tcPr>
            <w:tcW w:w="2123" w:type="pct"/>
            <w:tcBorders>
              <w:top w:val="nil"/>
              <w:left w:val="nil"/>
            </w:tcBorders>
            <w:shd w:val="clear" w:color="auto" w:fill="FFFFFF" w:themeFill="background1"/>
            <w:vAlign w:val="center"/>
          </w:tcPr>
          <w:p w14:paraId="0A55CDB2" w14:textId="77777777" w:rsidR="00C467A0" w:rsidRPr="00D4549C" w:rsidRDefault="00C467A0" w:rsidP="006918C7">
            <w:pPr>
              <w:widowControl w:val="0"/>
              <w:ind w:left="73"/>
              <w:rPr>
                <w:rFonts w:cs="Arial"/>
                <w:color w:val="000000" w:themeColor="text1"/>
                <w:sz w:val="20"/>
                <w:szCs w:val="20"/>
              </w:rPr>
            </w:pPr>
            <w:r w:rsidRPr="00D4549C">
              <w:rPr>
                <w:rFonts w:cs="Arial"/>
                <w:color w:val="000000" w:themeColor="text1"/>
                <w:sz w:val="20"/>
                <w:szCs w:val="20"/>
              </w:rPr>
              <w:t>Precatórios Natureza Comum</w:t>
            </w:r>
          </w:p>
        </w:tc>
        <w:tc>
          <w:tcPr>
            <w:tcW w:w="851" w:type="pct"/>
            <w:tcBorders>
              <w:top w:val="nil"/>
              <w:right w:val="nil"/>
            </w:tcBorders>
            <w:shd w:val="clear" w:color="auto" w:fill="FFFFFF" w:themeFill="background1"/>
            <w:vAlign w:val="center"/>
          </w:tcPr>
          <w:p w14:paraId="18C0CC7B" w14:textId="77777777" w:rsidR="00C467A0" w:rsidRPr="00D4549C" w:rsidRDefault="00C467A0" w:rsidP="00C467A0">
            <w:pPr>
              <w:widowControl w:val="0"/>
              <w:spacing w:after="60"/>
              <w:jc w:val="right"/>
              <w:rPr>
                <w:rFonts w:cs="Arial"/>
                <w:bCs/>
                <w:iCs/>
                <w:color w:val="000000" w:themeColor="text1"/>
                <w:sz w:val="20"/>
                <w:szCs w:val="20"/>
              </w:rPr>
            </w:pPr>
            <w:r w:rsidRPr="00D4549C">
              <w:rPr>
                <w:rFonts w:cs="Arial"/>
                <w:bCs/>
                <w:iCs/>
                <w:color w:val="000000" w:themeColor="text1"/>
                <w:sz w:val="20"/>
                <w:szCs w:val="20"/>
              </w:rPr>
              <w:t>529.048</w:t>
            </w:r>
          </w:p>
        </w:tc>
        <w:tc>
          <w:tcPr>
            <w:tcW w:w="1075" w:type="pct"/>
            <w:tcBorders>
              <w:top w:val="nil"/>
            </w:tcBorders>
            <w:shd w:val="clear" w:color="auto" w:fill="FFFFFF" w:themeFill="background1"/>
            <w:vAlign w:val="center"/>
          </w:tcPr>
          <w:p w14:paraId="3771419B" w14:textId="77777777" w:rsidR="00C467A0" w:rsidRPr="00D4549C" w:rsidRDefault="00C467A0" w:rsidP="00C467A0">
            <w:pPr>
              <w:widowControl w:val="0"/>
              <w:jc w:val="right"/>
              <w:rPr>
                <w:rFonts w:cs="Arial"/>
                <w:color w:val="000000" w:themeColor="text1"/>
                <w:sz w:val="20"/>
                <w:szCs w:val="20"/>
              </w:rPr>
            </w:pPr>
            <w:r w:rsidRPr="00D4549C">
              <w:rPr>
                <w:rFonts w:cs="Arial"/>
                <w:color w:val="000000" w:themeColor="text1"/>
                <w:sz w:val="20"/>
                <w:szCs w:val="20"/>
              </w:rPr>
              <w:t>39.955</w:t>
            </w:r>
          </w:p>
        </w:tc>
        <w:tc>
          <w:tcPr>
            <w:tcW w:w="952" w:type="pct"/>
            <w:tcBorders>
              <w:top w:val="nil"/>
              <w:right w:val="nil"/>
            </w:tcBorders>
            <w:shd w:val="clear" w:color="auto" w:fill="FFFFFF" w:themeFill="background1"/>
            <w:vAlign w:val="center"/>
          </w:tcPr>
          <w:p w14:paraId="0EEEB69F" w14:textId="77777777" w:rsidR="00C467A0" w:rsidRPr="00D4549C" w:rsidRDefault="00C467A0" w:rsidP="00C467A0">
            <w:pPr>
              <w:widowControl w:val="0"/>
              <w:jc w:val="right"/>
              <w:rPr>
                <w:rFonts w:cs="Arial"/>
                <w:bCs/>
                <w:iCs/>
                <w:color w:val="000000" w:themeColor="text1"/>
                <w:sz w:val="20"/>
                <w:szCs w:val="20"/>
              </w:rPr>
            </w:pPr>
            <w:r w:rsidRPr="00D4549C">
              <w:rPr>
                <w:rFonts w:cs="Arial"/>
                <w:bCs/>
                <w:iCs/>
                <w:color w:val="000000" w:themeColor="text1"/>
                <w:sz w:val="20"/>
                <w:szCs w:val="20"/>
              </w:rPr>
              <w:t>569.003</w:t>
            </w:r>
          </w:p>
        </w:tc>
      </w:tr>
      <w:tr w:rsidR="00C467A0" w:rsidRPr="00D4549C" w14:paraId="0152A0A4" w14:textId="77777777" w:rsidTr="00C467A0">
        <w:trPr>
          <w:trHeight w:val="275"/>
          <w:jc w:val="center"/>
        </w:trPr>
        <w:tc>
          <w:tcPr>
            <w:tcW w:w="2123" w:type="pct"/>
            <w:tcBorders>
              <w:left w:val="nil"/>
            </w:tcBorders>
            <w:shd w:val="clear" w:color="auto" w:fill="A2F2FD"/>
            <w:vAlign w:val="center"/>
          </w:tcPr>
          <w:p w14:paraId="2374E3BB" w14:textId="77777777" w:rsidR="00C467A0" w:rsidRPr="00D4549C" w:rsidRDefault="00C467A0" w:rsidP="00C467A0">
            <w:pPr>
              <w:widowControl w:val="0"/>
              <w:jc w:val="center"/>
              <w:rPr>
                <w:rFonts w:cs="Arial"/>
                <w:b/>
                <w:bCs/>
                <w:sz w:val="20"/>
                <w:szCs w:val="20"/>
              </w:rPr>
            </w:pPr>
            <w:r w:rsidRPr="00D4549C">
              <w:rPr>
                <w:rFonts w:cs="Arial"/>
                <w:b/>
                <w:bCs/>
                <w:sz w:val="20"/>
                <w:szCs w:val="20"/>
              </w:rPr>
              <w:t>Total</w:t>
            </w:r>
          </w:p>
        </w:tc>
        <w:tc>
          <w:tcPr>
            <w:tcW w:w="851" w:type="pct"/>
            <w:tcBorders>
              <w:right w:val="nil"/>
            </w:tcBorders>
            <w:shd w:val="clear" w:color="auto" w:fill="A2F2FD"/>
            <w:vAlign w:val="center"/>
          </w:tcPr>
          <w:p w14:paraId="5651404B" w14:textId="77777777" w:rsidR="00C467A0" w:rsidRPr="00D4549C" w:rsidRDefault="00C467A0" w:rsidP="00C467A0">
            <w:pPr>
              <w:widowControl w:val="0"/>
              <w:spacing w:after="60"/>
              <w:jc w:val="right"/>
              <w:rPr>
                <w:rFonts w:cs="Arial"/>
                <w:b/>
                <w:bCs/>
                <w:sz w:val="20"/>
                <w:szCs w:val="20"/>
              </w:rPr>
            </w:pPr>
            <w:r w:rsidRPr="00D4549C">
              <w:rPr>
                <w:rFonts w:cs="Arial"/>
                <w:b/>
                <w:bCs/>
                <w:iCs/>
                <w:sz w:val="20"/>
                <w:szCs w:val="20"/>
              </w:rPr>
              <w:t>1.128.407</w:t>
            </w:r>
          </w:p>
        </w:tc>
        <w:tc>
          <w:tcPr>
            <w:tcW w:w="1075" w:type="pct"/>
            <w:shd w:val="clear" w:color="auto" w:fill="A2F2FD"/>
            <w:vAlign w:val="center"/>
          </w:tcPr>
          <w:p w14:paraId="061C6267" w14:textId="77777777" w:rsidR="00C467A0" w:rsidRPr="00D4549C" w:rsidRDefault="00C467A0" w:rsidP="00C467A0">
            <w:pPr>
              <w:widowControl w:val="0"/>
              <w:jc w:val="right"/>
              <w:rPr>
                <w:rFonts w:cs="Arial"/>
                <w:b/>
                <w:sz w:val="20"/>
                <w:szCs w:val="20"/>
              </w:rPr>
            </w:pPr>
            <w:r w:rsidRPr="00D4549C">
              <w:rPr>
                <w:rFonts w:cs="Arial"/>
                <w:b/>
                <w:color w:val="FF0000"/>
                <w:sz w:val="20"/>
                <w:szCs w:val="20"/>
              </w:rPr>
              <w:t>(131.496)</w:t>
            </w:r>
          </w:p>
        </w:tc>
        <w:tc>
          <w:tcPr>
            <w:tcW w:w="952" w:type="pct"/>
            <w:tcBorders>
              <w:right w:val="nil"/>
            </w:tcBorders>
            <w:shd w:val="clear" w:color="auto" w:fill="A2F2FD"/>
            <w:vAlign w:val="center"/>
          </w:tcPr>
          <w:p w14:paraId="09F7C524" w14:textId="77777777" w:rsidR="00C467A0" w:rsidRPr="00D4549C" w:rsidRDefault="00C467A0" w:rsidP="00C467A0">
            <w:pPr>
              <w:widowControl w:val="0"/>
              <w:jc w:val="right"/>
              <w:rPr>
                <w:rFonts w:cs="Arial"/>
                <w:b/>
                <w:bCs/>
                <w:iCs/>
                <w:sz w:val="20"/>
                <w:szCs w:val="20"/>
              </w:rPr>
            </w:pPr>
            <w:r w:rsidRPr="00D4549C">
              <w:rPr>
                <w:rFonts w:cs="Arial"/>
                <w:b/>
                <w:bCs/>
                <w:iCs/>
                <w:sz w:val="20"/>
                <w:szCs w:val="20"/>
              </w:rPr>
              <w:t>996.911</w:t>
            </w:r>
          </w:p>
        </w:tc>
      </w:tr>
    </w:tbl>
    <w:p w14:paraId="59E96DA5" w14:textId="77777777" w:rsidR="00C467A0" w:rsidRPr="005D44CD" w:rsidRDefault="00C467A0" w:rsidP="00C467A0">
      <w:pPr>
        <w:pStyle w:val="1-FONTE8ESQ"/>
      </w:pPr>
      <w:r w:rsidRPr="005D44CD">
        <w:t>Fonte: Nota Explicativa Conjunta nº 001/2024 TJ/ECONOMIA</w:t>
      </w:r>
    </w:p>
    <w:p w14:paraId="6B204A60" w14:textId="77777777" w:rsidR="00C467A0" w:rsidRPr="008D688C" w:rsidRDefault="00C467A0" w:rsidP="00C467A0">
      <w:pPr>
        <w:pStyle w:val="1-REL11"/>
      </w:pPr>
      <w:r w:rsidRPr="008D688C">
        <w:t>Observou-se que o Tesouro Estadual transferiu R$ 558,53 milhões para pagamentos de precatórios e o saldo reduziu apenas R$ 131,49 milhões.</w:t>
      </w:r>
    </w:p>
    <w:p w14:paraId="50D23EB5" w14:textId="77777777" w:rsidR="00C467A0" w:rsidRPr="008D688C" w:rsidRDefault="00C467A0" w:rsidP="00C467A0">
      <w:pPr>
        <w:pStyle w:val="1-REL11"/>
      </w:pPr>
      <w:r w:rsidRPr="008D688C">
        <w:t>Destaca-se que o prazo para quitação dos precatórios foi prorrogado pela EC nº 109/2021 até 31/12/2029.</w:t>
      </w:r>
    </w:p>
    <w:p w14:paraId="2CBC8D15" w14:textId="6FE63156" w:rsidR="00C467A0" w:rsidRDefault="00C467A0" w:rsidP="00C467A0">
      <w:pPr>
        <w:pStyle w:val="1-REL11"/>
      </w:pPr>
      <w:r w:rsidRPr="008D688C">
        <w:t xml:space="preserve">Com base no demonstrativo de cálculo apresentado pelo </w:t>
      </w:r>
      <w:r>
        <w:t>TJ/GO</w:t>
      </w:r>
      <w:r w:rsidRPr="008D688C">
        <w:t>, o estoque de precatórios de natureza comum e alimentar compreendem o período de 2019</w:t>
      </w:r>
      <w:r>
        <w:t xml:space="preserve"> a </w:t>
      </w:r>
      <w:r w:rsidRPr="008D688C">
        <w:t>2023:</w:t>
      </w:r>
    </w:p>
    <w:p w14:paraId="2D8CBAAC" w14:textId="77777777" w:rsidR="005874E8" w:rsidRPr="00BF1A08" w:rsidRDefault="00C467A0" w:rsidP="00ED3571">
      <w:pPr>
        <w:pStyle w:val="0-TABELA"/>
      </w:pPr>
      <w:bookmarkStart w:id="155" w:name="_Toc167871755"/>
      <w:r w:rsidRPr="008D688C">
        <w:t>Precatórios de Natureza Comum e Alimentar por Exercício</w:t>
      </w:r>
      <w:r w:rsidR="005874E8">
        <w:t xml:space="preserve"> </w:t>
      </w:r>
      <w:r w:rsidR="005874E8" w:rsidRPr="001C305A">
        <w:t>– 20</w:t>
      </w:r>
      <w:r w:rsidR="005874E8">
        <w:t>19 a 2023</w:t>
      </w:r>
      <w:bookmarkEnd w:id="155"/>
    </w:p>
    <w:p w14:paraId="53F26789" w14:textId="77777777" w:rsidR="00C467A0" w:rsidRPr="001C305A" w:rsidRDefault="00C467A0" w:rsidP="00C467A0">
      <w:pPr>
        <w:pStyle w:val="PargrafodaLista"/>
        <w:ind w:left="7514"/>
        <w:jc w:val="right"/>
        <w:rPr>
          <w:rFonts w:cs="Arial"/>
          <w:sz w:val="16"/>
          <w:szCs w:val="16"/>
        </w:rPr>
      </w:pPr>
      <w:r w:rsidRPr="001C305A">
        <w:rPr>
          <w:rFonts w:cs="Arial"/>
          <w:sz w:val="16"/>
          <w:szCs w:val="16"/>
        </w:rPr>
        <w:t>R$</w:t>
      </w:r>
      <w:r>
        <w:rPr>
          <w:rFonts w:cs="Arial"/>
          <w:sz w:val="16"/>
          <w:szCs w:val="16"/>
        </w:rPr>
        <w:t xml:space="preserve"> 1</w:t>
      </w:r>
    </w:p>
    <w:tbl>
      <w:tblPr>
        <w:tblW w:w="5000" w:type="pct"/>
        <w:jc w:val="center"/>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05"/>
        <w:gridCol w:w="2233"/>
        <w:gridCol w:w="2215"/>
      </w:tblGrid>
      <w:tr w:rsidR="00C467A0" w:rsidRPr="00D4549C" w14:paraId="267619E5" w14:textId="77777777" w:rsidTr="005874E8">
        <w:trPr>
          <w:trHeight w:val="340"/>
          <w:tblHeader/>
          <w:jc w:val="center"/>
        </w:trPr>
        <w:tc>
          <w:tcPr>
            <w:tcW w:w="2622" w:type="pct"/>
            <w:shd w:val="clear" w:color="auto" w:fill="A2F2FD"/>
            <w:vAlign w:val="center"/>
          </w:tcPr>
          <w:p w14:paraId="157ADE12" w14:textId="36DD6209" w:rsidR="00C467A0" w:rsidRPr="00D4549C" w:rsidRDefault="006E6BFE" w:rsidP="00C467A0">
            <w:pPr>
              <w:widowControl w:val="0"/>
              <w:jc w:val="center"/>
              <w:rPr>
                <w:rFonts w:cs="Arial"/>
                <w:b/>
                <w:bCs/>
                <w:sz w:val="20"/>
              </w:rPr>
            </w:pPr>
            <w:r>
              <w:rPr>
                <w:rFonts w:cs="Arial"/>
                <w:b/>
                <w:bCs/>
                <w:sz w:val="20"/>
              </w:rPr>
              <w:t>Responsável</w:t>
            </w:r>
          </w:p>
        </w:tc>
        <w:tc>
          <w:tcPr>
            <w:tcW w:w="1194" w:type="pct"/>
            <w:tcBorders>
              <w:bottom w:val="single" w:sz="4" w:space="0" w:color="auto"/>
            </w:tcBorders>
            <w:shd w:val="clear" w:color="auto" w:fill="A2F2FD"/>
            <w:vAlign w:val="center"/>
          </w:tcPr>
          <w:p w14:paraId="25A61036" w14:textId="77777777" w:rsidR="00C467A0" w:rsidRPr="00D4549C" w:rsidRDefault="00C467A0" w:rsidP="00C467A0">
            <w:pPr>
              <w:widowControl w:val="0"/>
              <w:jc w:val="center"/>
              <w:rPr>
                <w:rFonts w:cs="Arial"/>
                <w:b/>
                <w:bCs/>
                <w:sz w:val="20"/>
              </w:rPr>
            </w:pPr>
            <w:r w:rsidRPr="00D4549C">
              <w:rPr>
                <w:rFonts w:cs="Arial"/>
                <w:b/>
                <w:bCs/>
                <w:sz w:val="20"/>
              </w:rPr>
              <w:t>Exercício</w:t>
            </w:r>
          </w:p>
        </w:tc>
        <w:tc>
          <w:tcPr>
            <w:tcW w:w="1184" w:type="pct"/>
            <w:tcBorders>
              <w:bottom w:val="single" w:sz="4" w:space="0" w:color="auto"/>
            </w:tcBorders>
            <w:shd w:val="clear" w:color="auto" w:fill="A2F2FD"/>
            <w:vAlign w:val="center"/>
          </w:tcPr>
          <w:p w14:paraId="6EC8BFE1" w14:textId="77777777" w:rsidR="00C467A0" w:rsidRPr="00D4549C" w:rsidRDefault="00C467A0" w:rsidP="00C467A0">
            <w:pPr>
              <w:widowControl w:val="0"/>
              <w:jc w:val="center"/>
              <w:rPr>
                <w:rFonts w:cs="Arial"/>
                <w:b/>
                <w:bCs/>
                <w:sz w:val="20"/>
              </w:rPr>
            </w:pPr>
            <w:r w:rsidRPr="00D4549C">
              <w:rPr>
                <w:rFonts w:cs="Arial"/>
                <w:b/>
                <w:bCs/>
                <w:sz w:val="20"/>
              </w:rPr>
              <w:t>Passivo</w:t>
            </w:r>
          </w:p>
        </w:tc>
      </w:tr>
      <w:tr w:rsidR="00C467A0" w:rsidRPr="00D4549C" w14:paraId="20B7CD7E" w14:textId="77777777" w:rsidTr="005874E8">
        <w:trPr>
          <w:trHeight w:val="340"/>
          <w:jc w:val="center"/>
        </w:trPr>
        <w:tc>
          <w:tcPr>
            <w:tcW w:w="2622" w:type="pct"/>
            <w:vMerge w:val="restart"/>
            <w:shd w:val="clear" w:color="auto" w:fill="FFFFFF" w:themeFill="background1"/>
            <w:vAlign w:val="center"/>
          </w:tcPr>
          <w:p w14:paraId="1BCC231C" w14:textId="77777777" w:rsidR="00C467A0" w:rsidRPr="00D4549C" w:rsidRDefault="00C467A0" w:rsidP="00C467A0">
            <w:pPr>
              <w:widowControl w:val="0"/>
              <w:jc w:val="center"/>
              <w:rPr>
                <w:rFonts w:cs="Arial"/>
                <w:color w:val="000000" w:themeColor="text1"/>
                <w:sz w:val="20"/>
              </w:rPr>
            </w:pPr>
            <w:r w:rsidRPr="00D4549C">
              <w:rPr>
                <w:rFonts w:cs="Arial"/>
                <w:color w:val="000000" w:themeColor="text1"/>
                <w:sz w:val="20"/>
              </w:rPr>
              <w:t>Passivo Estado/GO – Administração Direta e Indireta</w:t>
            </w:r>
          </w:p>
        </w:tc>
        <w:tc>
          <w:tcPr>
            <w:tcW w:w="1194" w:type="pct"/>
            <w:tcBorders>
              <w:bottom w:val="nil"/>
            </w:tcBorders>
            <w:shd w:val="clear" w:color="auto" w:fill="FFFFFF" w:themeFill="background1"/>
            <w:vAlign w:val="center"/>
          </w:tcPr>
          <w:p w14:paraId="016BB681" w14:textId="77777777" w:rsidR="00C467A0" w:rsidRPr="00D4549C" w:rsidRDefault="00C467A0" w:rsidP="00C467A0">
            <w:pPr>
              <w:widowControl w:val="0"/>
              <w:spacing w:after="60"/>
              <w:jc w:val="center"/>
              <w:rPr>
                <w:rFonts w:cs="Arial"/>
                <w:bCs/>
                <w:iCs/>
                <w:color w:val="000000" w:themeColor="text1"/>
                <w:sz w:val="20"/>
              </w:rPr>
            </w:pPr>
            <w:r w:rsidRPr="00D4549C">
              <w:rPr>
                <w:rFonts w:cs="Arial"/>
                <w:bCs/>
                <w:iCs/>
                <w:color w:val="000000" w:themeColor="text1"/>
                <w:sz w:val="20"/>
              </w:rPr>
              <w:t>2019</w:t>
            </w:r>
          </w:p>
        </w:tc>
        <w:tc>
          <w:tcPr>
            <w:tcW w:w="1184" w:type="pct"/>
            <w:tcBorders>
              <w:bottom w:val="nil"/>
            </w:tcBorders>
            <w:shd w:val="clear" w:color="auto" w:fill="FFFFFF" w:themeFill="background1"/>
            <w:vAlign w:val="center"/>
          </w:tcPr>
          <w:p w14:paraId="1C45115D" w14:textId="77777777" w:rsidR="00C467A0" w:rsidRPr="00D4549C" w:rsidRDefault="00C467A0" w:rsidP="00C467A0">
            <w:pPr>
              <w:jc w:val="right"/>
              <w:rPr>
                <w:rFonts w:cs="Arial"/>
                <w:color w:val="000000" w:themeColor="text1"/>
                <w:sz w:val="20"/>
              </w:rPr>
            </w:pPr>
            <w:r w:rsidRPr="00D4549C">
              <w:rPr>
                <w:rFonts w:cs="Arial"/>
                <w:sz w:val="20"/>
              </w:rPr>
              <w:t>94.632</w:t>
            </w:r>
          </w:p>
        </w:tc>
      </w:tr>
      <w:tr w:rsidR="00C467A0" w:rsidRPr="00D4549C" w14:paraId="0211D0F0" w14:textId="77777777" w:rsidTr="005874E8">
        <w:trPr>
          <w:trHeight w:val="340"/>
          <w:jc w:val="center"/>
        </w:trPr>
        <w:tc>
          <w:tcPr>
            <w:tcW w:w="2622" w:type="pct"/>
            <w:vMerge/>
            <w:shd w:val="clear" w:color="auto" w:fill="FFFFFF" w:themeFill="background1"/>
            <w:vAlign w:val="center"/>
          </w:tcPr>
          <w:p w14:paraId="46531C4C" w14:textId="77777777" w:rsidR="00C467A0" w:rsidRPr="00D4549C" w:rsidRDefault="00C467A0" w:rsidP="00C467A0">
            <w:pPr>
              <w:widowControl w:val="0"/>
              <w:jc w:val="center"/>
              <w:rPr>
                <w:rFonts w:cs="Arial"/>
                <w:color w:val="000000" w:themeColor="text1"/>
                <w:sz w:val="20"/>
              </w:rPr>
            </w:pPr>
          </w:p>
        </w:tc>
        <w:tc>
          <w:tcPr>
            <w:tcW w:w="1194" w:type="pct"/>
            <w:tcBorders>
              <w:top w:val="nil"/>
              <w:bottom w:val="nil"/>
            </w:tcBorders>
            <w:shd w:val="clear" w:color="auto" w:fill="FFFFFF" w:themeFill="background1"/>
            <w:vAlign w:val="center"/>
          </w:tcPr>
          <w:p w14:paraId="7D7176AB" w14:textId="77777777" w:rsidR="00C467A0" w:rsidRPr="00D4549C" w:rsidRDefault="00C467A0" w:rsidP="00C467A0">
            <w:pPr>
              <w:widowControl w:val="0"/>
              <w:spacing w:after="60"/>
              <w:jc w:val="center"/>
              <w:rPr>
                <w:rFonts w:cs="Arial"/>
                <w:bCs/>
                <w:iCs/>
                <w:color w:val="000000" w:themeColor="text1"/>
                <w:sz w:val="20"/>
              </w:rPr>
            </w:pPr>
            <w:r w:rsidRPr="00D4549C">
              <w:rPr>
                <w:rFonts w:cs="Arial"/>
                <w:bCs/>
                <w:iCs/>
                <w:color w:val="000000" w:themeColor="text1"/>
                <w:sz w:val="20"/>
              </w:rPr>
              <w:t>2020</w:t>
            </w:r>
          </w:p>
        </w:tc>
        <w:tc>
          <w:tcPr>
            <w:tcW w:w="1184" w:type="pct"/>
            <w:tcBorders>
              <w:top w:val="nil"/>
              <w:bottom w:val="nil"/>
            </w:tcBorders>
            <w:shd w:val="clear" w:color="auto" w:fill="FFFFFF" w:themeFill="background1"/>
            <w:vAlign w:val="center"/>
          </w:tcPr>
          <w:p w14:paraId="04E28B97" w14:textId="77777777" w:rsidR="00C467A0" w:rsidRPr="00D4549C" w:rsidRDefault="00C467A0" w:rsidP="00C467A0">
            <w:pPr>
              <w:widowControl w:val="0"/>
              <w:jc w:val="right"/>
              <w:rPr>
                <w:rFonts w:cs="Arial"/>
                <w:color w:val="000000" w:themeColor="text1"/>
                <w:sz w:val="20"/>
              </w:rPr>
            </w:pPr>
            <w:r w:rsidRPr="00D4549C">
              <w:rPr>
                <w:rFonts w:cs="Arial"/>
                <w:color w:val="000000" w:themeColor="text1"/>
                <w:sz w:val="20"/>
              </w:rPr>
              <w:t>239.414.942</w:t>
            </w:r>
          </w:p>
        </w:tc>
      </w:tr>
      <w:tr w:rsidR="00C467A0" w:rsidRPr="00D4549C" w14:paraId="39605D13" w14:textId="77777777" w:rsidTr="005874E8">
        <w:trPr>
          <w:trHeight w:val="340"/>
          <w:jc w:val="center"/>
        </w:trPr>
        <w:tc>
          <w:tcPr>
            <w:tcW w:w="2622" w:type="pct"/>
            <w:vMerge/>
            <w:shd w:val="clear" w:color="auto" w:fill="FFFFFF" w:themeFill="background1"/>
            <w:vAlign w:val="center"/>
          </w:tcPr>
          <w:p w14:paraId="008939B2" w14:textId="77777777" w:rsidR="00C467A0" w:rsidRPr="00D4549C" w:rsidRDefault="00C467A0" w:rsidP="00C467A0">
            <w:pPr>
              <w:widowControl w:val="0"/>
              <w:jc w:val="center"/>
              <w:rPr>
                <w:rFonts w:cs="Arial"/>
                <w:color w:val="000000" w:themeColor="text1"/>
                <w:sz w:val="20"/>
              </w:rPr>
            </w:pPr>
          </w:p>
        </w:tc>
        <w:tc>
          <w:tcPr>
            <w:tcW w:w="1194" w:type="pct"/>
            <w:tcBorders>
              <w:top w:val="nil"/>
              <w:bottom w:val="nil"/>
            </w:tcBorders>
            <w:shd w:val="clear" w:color="auto" w:fill="FFFFFF" w:themeFill="background1"/>
            <w:vAlign w:val="center"/>
          </w:tcPr>
          <w:p w14:paraId="2B76FF1D" w14:textId="77777777" w:rsidR="00C467A0" w:rsidRPr="00D4549C" w:rsidRDefault="00C467A0" w:rsidP="00C467A0">
            <w:pPr>
              <w:widowControl w:val="0"/>
              <w:spacing w:after="60"/>
              <w:jc w:val="center"/>
              <w:rPr>
                <w:rFonts w:cs="Arial"/>
                <w:bCs/>
                <w:iCs/>
                <w:color w:val="000000" w:themeColor="text1"/>
                <w:sz w:val="20"/>
              </w:rPr>
            </w:pPr>
            <w:r w:rsidRPr="00D4549C">
              <w:rPr>
                <w:rFonts w:cs="Arial"/>
                <w:bCs/>
                <w:iCs/>
                <w:color w:val="000000" w:themeColor="text1"/>
                <w:sz w:val="20"/>
              </w:rPr>
              <w:t>2021</w:t>
            </w:r>
          </w:p>
        </w:tc>
        <w:tc>
          <w:tcPr>
            <w:tcW w:w="1184" w:type="pct"/>
            <w:tcBorders>
              <w:top w:val="nil"/>
              <w:bottom w:val="nil"/>
            </w:tcBorders>
            <w:shd w:val="clear" w:color="auto" w:fill="FFFFFF" w:themeFill="background1"/>
            <w:vAlign w:val="center"/>
          </w:tcPr>
          <w:p w14:paraId="0F25D4C6" w14:textId="77777777" w:rsidR="00C467A0" w:rsidRPr="00D4549C" w:rsidRDefault="00C467A0" w:rsidP="00C467A0">
            <w:pPr>
              <w:widowControl w:val="0"/>
              <w:jc w:val="right"/>
              <w:rPr>
                <w:rFonts w:cs="Arial"/>
                <w:color w:val="000000" w:themeColor="text1"/>
                <w:sz w:val="20"/>
              </w:rPr>
            </w:pPr>
            <w:r w:rsidRPr="00D4549C">
              <w:rPr>
                <w:rFonts w:cs="Arial"/>
                <w:color w:val="000000" w:themeColor="text1"/>
                <w:sz w:val="20"/>
              </w:rPr>
              <w:t>282.311.685</w:t>
            </w:r>
          </w:p>
        </w:tc>
      </w:tr>
      <w:tr w:rsidR="00C467A0" w:rsidRPr="00D4549C" w14:paraId="39CA02FB" w14:textId="77777777" w:rsidTr="005874E8">
        <w:trPr>
          <w:trHeight w:val="340"/>
          <w:jc w:val="center"/>
        </w:trPr>
        <w:tc>
          <w:tcPr>
            <w:tcW w:w="2622" w:type="pct"/>
            <w:vMerge/>
            <w:shd w:val="clear" w:color="auto" w:fill="FFFFFF" w:themeFill="background1"/>
            <w:vAlign w:val="center"/>
          </w:tcPr>
          <w:p w14:paraId="40DF7962" w14:textId="77777777" w:rsidR="00C467A0" w:rsidRPr="00D4549C" w:rsidRDefault="00C467A0" w:rsidP="00C467A0">
            <w:pPr>
              <w:widowControl w:val="0"/>
              <w:jc w:val="center"/>
              <w:rPr>
                <w:rFonts w:cs="Arial"/>
                <w:color w:val="000000" w:themeColor="text1"/>
                <w:sz w:val="20"/>
              </w:rPr>
            </w:pPr>
          </w:p>
        </w:tc>
        <w:tc>
          <w:tcPr>
            <w:tcW w:w="1194" w:type="pct"/>
            <w:tcBorders>
              <w:top w:val="nil"/>
              <w:bottom w:val="nil"/>
            </w:tcBorders>
            <w:shd w:val="clear" w:color="auto" w:fill="FFFFFF" w:themeFill="background1"/>
            <w:vAlign w:val="center"/>
          </w:tcPr>
          <w:p w14:paraId="58406DBB" w14:textId="77777777" w:rsidR="00C467A0" w:rsidRPr="00D4549C" w:rsidRDefault="00C467A0" w:rsidP="00C467A0">
            <w:pPr>
              <w:widowControl w:val="0"/>
              <w:spacing w:after="60"/>
              <w:jc w:val="center"/>
              <w:rPr>
                <w:rFonts w:cs="Arial"/>
                <w:bCs/>
                <w:iCs/>
                <w:color w:val="000000" w:themeColor="text1"/>
                <w:sz w:val="20"/>
              </w:rPr>
            </w:pPr>
            <w:r w:rsidRPr="00D4549C">
              <w:rPr>
                <w:rFonts w:cs="Arial"/>
                <w:bCs/>
                <w:iCs/>
                <w:color w:val="000000" w:themeColor="text1"/>
                <w:sz w:val="20"/>
              </w:rPr>
              <w:t>2022</w:t>
            </w:r>
          </w:p>
        </w:tc>
        <w:tc>
          <w:tcPr>
            <w:tcW w:w="1184" w:type="pct"/>
            <w:tcBorders>
              <w:top w:val="nil"/>
              <w:bottom w:val="nil"/>
            </w:tcBorders>
            <w:shd w:val="clear" w:color="auto" w:fill="FFFFFF" w:themeFill="background1"/>
            <w:vAlign w:val="center"/>
          </w:tcPr>
          <w:p w14:paraId="3ABE8390" w14:textId="77777777" w:rsidR="00C467A0" w:rsidRPr="00D4549C" w:rsidRDefault="00C467A0" w:rsidP="00C467A0">
            <w:pPr>
              <w:widowControl w:val="0"/>
              <w:jc w:val="right"/>
              <w:rPr>
                <w:rFonts w:cs="Arial"/>
                <w:color w:val="000000" w:themeColor="text1"/>
                <w:sz w:val="20"/>
              </w:rPr>
            </w:pPr>
            <w:r w:rsidRPr="00D4549C">
              <w:rPr>
                <w:rFonts w:cs="Arial"/>
                <w:color w:val="000000" w:themeColor="text1"/>
                <w:sz w:val="20"/>
              </w:rPr>
              <w:t>300.425.515</w:t>
            </w:r>
          </w:p>
        </w:tc>
      </w:tr>
      <w:tr w:rsidR="00C467A0" w:rsidRPr="00D4549C" w14:paraId="367CCEEA" w14:textId="77777777" w:rsidTr="005874E8">
        <w:trPr>
          <w:trHeight w:val="340"/>
          <w:jc w:val="center"/>
        </w:trPr>
        <w:tc>
          <w:tcPr>
            <w:tcW w:w="2622" w:type="pct"/>
            <w:vMerge/>
            <w:shd w:val="clear" w:color="auto" w:fill="FFFFFF" w:themeFill="background1"/>
            <w:vAlign w:val="center"/>
          </w:tcPr>
          <w:p w14:paraId="15E11E98" w14:textId="77777777" w:rsidR="00C467A0" w:rsidRPr="00D4549C" w:rsidRDefault="00C467A0" w:rsidP="00C467A0">
            <w:pPr>
              <w:widowControl w:val="0"/>
              <w:jc w:val="center"/>
              <w:rPr>
                <w:rFonts w:cs="Arial"/>
                <w:color w:val="000000" w:themeColor="text1"/>
                <w:sz w:val="20"/>
              </w:rPr>
            </w:pPr>
          </w:p>
        </w:tc>
        <w:tc>
          <w:tcPr>
            <w:tcW w:w="1194" w:type="pct"/>
            <w:tcBorders>
              <w:top w:val="nil"/>
            </w:tcBorders>
            <w:shd w:val="clear" w:color="auto" w:fill="FFFFFF" w:themeFill="background1"/>
            <w:vAlign w:val="center"/>
          </w:tcPr>
          <w:p w14:paraId="785F64AA" w14:textId="77777777" w:rsidR="00C467A0" w:rsidRPr="00D4549C" w:rsidRDefault="00C467A0" w:rsidP="00C467A0">
            <w:pPr>
              <w:widowControl w:val="0"/>
              <w:spacing w:after="60"/>
              <w:jc w:val="center"/>
              <w:rPr>
                <w:rFonts w:cs="Arial"/>
                <w:bCs/>
                <w:iCs/>
                <w:color w:val="000000" w:themeColor="text1"/>
                <w:sz w:val="20"/>
              </w:rPr>
            </w:pPr>
            <w:r w:rsidRPr="00D4549C">
              <w:rPr>
                <w:rFonts w:cs="Arial"/>
                <w:bCs/>
                <w:iCs/>
                <w:color w:val="000000" w:themeColor="text1"/>
                <w:sz w:val="20"/>
              </w:rPr>
              <w:t>2023</w:t>
            </w:r>
          </w:p>
        </w:tc>
        <w:tc>
          <w:tcPr>
            <w:tcW w:w="1184" w:type="pct"/>
            <w:tcBorders>
              <w:top w:val="nil"/>
            </w:tcBorders>
            <w:shd w:val="clear" w:color="auto" w:fill="FFFFFF" w:themeFill="background1"/>
            <w:vAlign w:val="center"/>
          </w:tcPr>
          <w:p w14:paraId="7EA5B77A" w14:textId="77777777" w:rsidR="00C467A0" w:rsidRPr="00D4549C" w:rsidRDefault="00C467A0" w:rsidP="00C467A0">
            <w:pPr>
              <w:widowControl w:val="0"/>
              <w:jc w:val="right"/>
              <w:rPr>
                <w:rFonts w:cs="Arial"/>
                <w:color w:val="000000" w:themeColor="text1"/>
                <w:sz w:val="20"/>
              </w:rPr>
            </w:pPr>
            <w:r w:rsidRPr="00D4549C">
              <w:rPr>
                <w:rFonts w:cs="Arial"/>
                <w:color w:val="000000" w:themeColor="text1"/>
                <w:sz w:val="20"/>
              </w:rPr>
              <w:t>174.665.470</w:t>
            </w:r>
          </w:p>
        </w:tc>
      </w:tr>
      <w:tr w:rsidR="00C467A0" w:rsidRPr="00D4549C" w14:paraId="3265C614" w14:textId="77777777" w:rsidTr="005874E8">
        <w:trPr>
          <w:trHeight w:val="340"/>
          <w:jc w:val="center"/>
        </w:trPr>
        <w:tc>
          <w:tcPr>
            <w:tcW w:w="3816" w:type="pct"/>
            <w:gridSpan w:val="2"/>
            <w:shd w:val="clear" w:color="auto" w:fill="A2F2FD"/>
            <w:vAlign w:val="center"/>
          </w:tcPr>
          <w:p w14:paraId="6D1AA9C4" w14:textId="77777777" w:rsidR="00C467A0" w:rsidRPr="00D4549C" w:rsidRDefault="00C467A0" w:rsidP="00C467A0">
            <w:pPr>
              <w:widowControl w:val="0"/>
              <w:jc w:val="center"/>
              <w:rPr>
                <w:rFonts w:cs="Arial"/>
                <w:b/>
                <w:bCs/>
                <w:sz w:val="20"/>
              </w:rPr>
            </w:pPr>
            <w:r w:rsidRPr="00D4549C">
              <w:rPr>
                <w:rFonts w:cs="Arial"/>
                <w:b/>
                <w:bCs/>
                <w:sz w:val="20"/>
              </w:rPr>
              <w:t>Total</w:t>
            </w:r>
          </w:p>
        </w:tc>
        <w:tc>
          <w:tcPr>
            <w:tcW w:w="1184" w:type="pct"/>
            <w:shd w:val="clear" w:color="auto" w:fill="A2F2FD"/>
            <w:vAlign w:val="center"/>
          </w:tcPr>
          <w:p w14:paraId="32EFBE56" w14:textId="77777777" w:rsidR="00C467A0" w:rsidRPr="00D4549C" w:rsidRDefault="00C467A0" w:rsidP="00C467A0">
            <w:pPr>
              <w:widowControl w:val="0"/>
              <w:jc w:val="right"/>
              <w:rPr>
                <w:rFonts w:cs="Arial"/>
                <w:b/>
                <w:sz w:val="20"/>
              </w:rPr>
            </w:pPr>
            <w:r w:rsidRPr="00D4549C">
              <w:rPr>
                <w:rFonts w:cs="Arial"/>
                <w:b/>
                <w:sz w:val="20"/>
              </w:rPr>
              <w:t>996.912.243</w:t>
            </w:r>
          </w:p>
        </w:tc>
      </w:tr>
    </w:tbl>
    <w:p w14:paraId="056CC922" w14:textId="77777777" w:rsidR="00C467A0" w:rsidRPr="005D44CD" w:rsidRDefault="00C467A0" w:rsidP="00C467A0">
      <w:pPr>
        <w:pStyle w:val="1-FONTE8ESQ"/>
      </w:pPr>
      <w:r w:rsidRPr="005D44CD">
        <w:t>Fonte: Nota Explicativa Conjunta nº 001/2024 TJ/ECONOMIA</w:t>
      </w:r>
    </w:p>
    <w:p w14:paraId="396CC4FD" w14:textId="77777777" w:rsidR="00C467A0" w:rsidRPr="00E05A21" w:rsidRDefault="00C467A0" w:rsidP="00C467A0">
      <w:pPr>
        <w:pStyle w:val="1-REL11"/>
      </w:pPr>
      <w:r>
        <w:t>Constata-se</w:t>
      </w:r>
      <w:r w:rsidRPr="00E05A21">
        <w:t xml:space="preserve"> que as informações disponibilizadas no link: </w:t>
      </w:r>
      <w:r>
        <w:t>TJ/GO</w:t>
      </w:r>
      <w:r w:rsidRPr="00E05A21">
        <w:t xml:space="preserve"> - Precatórios (tjgo.jus.br) são esparsas e confusas, pois não contém relatórios sintéticos, não disponibiliza as informações em dados abertos, não sintetiza as inscrições ou débitos inseridas no orçamento e respectivos pagamentos. Portanto, visto que o uso dos recursos transferidos pelo Tesouro Estadual obedece a vários critérios, tais como deságio, preferência no recebimento dos recursos, entre outros critérios estabelecidos pela lei, recomenda-se que o </w:t>
      </w:r>
      <w:r>
        <w:t>TJ/GO</w:t>
      </w:r>
      <w:r w:rsidRPr="00E05A21">
        <w:t xml:space="preserve"> reformule o Portal de Transparência com as informações dos precatórios de modo que o beneficiário dos recursos e o cidadão tenha pleno conhecimento de como estes recursos são usados.</w:t>
      </w:r>
    </w:p>
    <w:p w14:paraId="1CCDFB20" w14:textId="343830A9" w:rsidR="00C467A0" w:rsidRPr="00EA084D" w:rsidRDefault="00C467A0" w:rsidP="00E460D5">
      <w:pPr>
        <w:pStyle w:val="0-ACH-TIT"/>
      </w:pPr>
      <w:r w:rsidRPr="00EA084D">
        <w:lastRenderedPageBreak/>
        <w:t xml:space="preserve">&gt;&gt; </w:t>
      </w:r>
      <w:r w:rsidR="00FB5AE9" w:rsidRPr="00FB5AE9">
        <w:t>Deficiência nas informações do Portal de Transparência dos Precatórios administrado pelo Tribunal de Justiça do Estado de Goiás</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C467A0" w:rsidRPr="009C6508" w14:paraId="056FAE22" w14:textId="77777777" w:rsidTr="00C467A0">
        <w:trPr>
          <w:trHeight w:val="629"/>
          <w:jc w:val="center"/>
        </w:trPr>
        <w:tc>
          <w:tcPr>
            <w:tcW w:w="6237" w:type="dxa"/>
            <w:vAlign w:val="center"/>
            <w:hideMark/>
          </w:tcPr>
          <w:tbl>
            <w:tblPr>
              <w:tblW w:w="0" w:type="auto"/>
              <w:tblBorders>
                <w:top w:val="nil"/>
                <w:left w:val="nil"/>
                <w:bottom w:val="nil"/>
                <w:right w:val="nil"/>
              </w:tblBorders>
              <w:tblLook w:val="0000" w:firstRow="0" w:lastRow="0" w:firstColumn="0" w:lastColumn="0" w:noHBand="0" w:noVBand="0"/>
            </w:tblPr>
            <w:tblGrid>
              <w:gridCol w:w="6097"/>
            </w:tblGrid>
            <w:tr w:rsidR="00C467A0" w:rsidRPr="009C6508" w14:paraId="7E156FB3" w14:textId="77777777" w:rsidTr="00C467A0">
              <w:trPr>
                <w:trHeight w:val="319"/>
              </w:trPr>
              <w:tc>
                <w:tcPr>
                  <w:tcW w:w="0" w:type="auto"/>
                  <w:tcBorders>
                    <w:bottom w:val="nil"/>
                  </w:tcBorders>
                </w:tcPr>
                <w:p w14:paraId="2527AC9B" w14:textId="394FCA7D" w:rsidR="00C467A0" w:rsidRPr="009C6508" w:rsidRDefault="00FB5AE9" w:rsidP="00C467A0">
                  <w:pPr>
                    <w:pStyle w:val="0-ACH-TXT"/>
                    <w:rPr>
                      <w:highlight w:val="yellow"/>
                      <w:u w:val="single"/>
                    </w:rPr>
                  </w:pPr>
                  <w:r w:rsidRPr="00FB5AE9">
                    <w:t>O Portal de Transparência do TJ/GO relacionado aos precatórios apresenta informações esparsas e confusas, ausência de relatórios sintéticos, informações em dados abertos, orçamento do ano, inscrições, recursos recebidos do Tesouro, pagamentos preferenciais, número de processos, ano de inscrição, deságio, entre outros critérios estabelecidos pela lei.</w:t>
                  </w:r>
                </w:p>
              </w:tc>
            </w:tr>
          </w:tbl>
          <w:p w14:paraId="176B2B7A" w14:textId="77777777" w:rsidR="00C467A0" w:rsidRPr="009C6508" w:rsidRDefault="00C467A0" w:rsidP="00C467A0">
            <w:pPr>
              <w:pStyle w:val="Default"/>
              <w:jc w:val="both"/>
              <w:rPr>
                <w:caps/>
                <w:highlight w:val="yellow"/>
              </w:rPr>
            </w:pPr>
          </w:p>
        </w:tc>
      </w:tr>
    </w:tbl>
    <w:p w14:paraId="2877F46B" w14:textId="44810F53" w:rsidR="00C467A0" w:rsidRDefault="00FB5AE9" w:rsidP="00C467A0">
      <w:pPr>
        <w:pStyle w:val="1-REL11"/>
      </w:pPr>
      <w:r>
        <w:t>Portanto,</w:t>
      </w:r>
      <w:r w:rsidR="00C467A0" w:rsidRPr="000B4507">
        <w:t xml:space="preserve"> </w:t>
      </w:r>
      <w:r>
        <w:t>s</w:t>
      </w:r>
      <w:r w:rsidRPr="00FB5AE9">
        <w:t>uger</w:t>
      </w:r>
      <w:r>
        <w:t>e-se</w:t>
      </w:r>
      <w:r w:rsidRPr="00FB5AE9">
        <w:t xml:space="preserve"> ao Tribunal de Contas do Estado de Goiás que determine ao Tribunal de Justiça do Estado de Goiás, que até o final do exercício financeiro de 2024, reformule o Portal de Transparência relacionado aos precatórios, disponibilizando relatórios sintéticos, informações em dados abertos, recursos recebidos do Tesouro, bem como orçamento do ano, inscrições, pagamentos preferenciais, pagamentos aos beneficiários, número de processos, ano de inscrição, deságio, além de outras informações necessárias a completa transparência do assunto.</w:t>
      </w:r>
    </w:p>
    <w:p w14:paraId="3261074D" w14:textId="77777777" w:rsidR="00D4549C" w:rsidRDefault="00D4549C" w:rsidP="00D4549C">
      <w:pPr>
        <w:pStyle w:val="1-REL11"/>
      </w:pPr>
    </w:p>
    <w:p w14:paraId="4F61E7FE" w14:textId="77777777" w:rsidR="00D4549C" w:rsidRPr="001C305A" w:rsidRDefault="00D4549C" w:rsidP="00D4549C">
      <w:pPr>
        <w:pStyle w:val="Ttulo2"/>
        <w:spacing w:before="100" w:beforeAutospacing="1" w:after="100" w:afterAutospacing="1" w:line="276" w:lineRule="auto"/>
        <w:contextualSpacing/>
      </w:pPr>
      <w:bookmarkStart w:id="156" w:name="_Toc167871662"/>
      <w:r w:rsidRPr="001C305A">
        <w:t>Metas Fiscais Estabelecidas na LDO</w:t>
      </w:r>
      <w:bookmarkEnd w:id="156"/>
    </w:p>
    <w:p w14:paraId="7A0DDF00" w14:textId="77777777" w:rsidR="00D4549C" w:rsidRPr="001C305A" w:rsidRDefault="00D4549C" w:rsidP="00D4549C">
      <w:pPr>
        <w:pStyle w:val="1-REL11"/>
      </w:pPr>
      <w:r w:rsidRPr="001C305A">
        <w:t>A LDO é um instrumento de planejamento que tem como objetivo estabelecer as diretrizes, prioridades e metas da administração pública para o exercício financeiro seguinte. Ela é elaborada anualmente pelo Poder Executivo e deve ser aprovada pelo Poder Legislativo antes da elaboração do Orçamento Anual.</w:t>
      </w:r>
    </w:p>
    <w:p w14:paraId="0130FA24" w14:textId="77777777" w:rsidR="00D4549C" w:rsidRPr="001C305A" w:rsidRDefault="00D4549C" w:rsidP="00D4549C">
      <w:pPr>
        <w:pStyle w:val="1-REL11"/>
      </w:pPr>
      <w:r w:rsidRPr="001C305A">
        <w:t xml:space="preserve">Funcionando como um tripé, a </w:t>
      </w:r>
      <w:r w:rsidRPr="002E427D">
        <w:t xml:space="preserve">LDO </w:t>
      </w:r>
      <w:r w:rsidRPr="00477AFD">
        <w:t>estabelece as metas fiscais,</w:t>
      </w:r>
      <w:r w:rsidRPr="002E427D">
        <w:t xml:space="preserve"> os </w:t>
      </w:r>
      <w:r w:rsidRPr="00477AFD">
        <w:t>limites para os gastos do governo</w:t>
      </w:r>
      <w:r w:rsidRPr="002E427D">
        <w:t xml:space="preserve">, além de </w:t>
      </w:r>
      <w:r w:rsidRPr="00477AFD">
        <w:t>orientar a elaboração do orçamento</w:t>
      </w:r>
      <w:r w:rsidRPr="001C305A">
        <w:t>. Por outro lado, a LDO também define as regras para a execução do orçamento e a fiscalização das contas públicas.</w:t>
      </w:r>
    </w:p>
    <w:p w14:paraId="4EF8E35C" w14:textId="77777777" w:rsidR="00D4549C" w:rsidRPr="001C305A" w:rsidRDefault="00D4549C" w:rsidP="00D4549C">
      <w:pPr>
        <w:pStyle w:val="1-REL11"/>
      </w:pPr>
      <w:r w:rsidRPr="001C305A">
        <w:t>Entre as principais diretrizes estabelecidas pela LDO estão: a política de investimentos e despesas prioritárias, a estimativa da receita e a fixação das despesas do governo, a política de pessoal, a política de transferência de recursos para os municípios, a política de endividamento público e a política fiscal.</w:t>
      </w:r>
    </w:p>
    <w:p w14:paraId="3D3727AD" w14:textId="77777777" w:rsidR="00D4549C" w:rsidRPr="001C305A" w:rsidRDefault="00D4549C" w:rsidP="00D4549C">
      <w:pPr>
        <w:pStyle w:val="1-REL11"/>
      </w:pPr>
      <w:r w:rsidRPr="001C305A">
        <w:t>A LDO é um instrumento importante para a gestão pública, pois ela estabelece as regras para a execução do orçamento e a fiscalização das contas públicas, contribuindo para a transparência e eficiência na gestão dos recursos públicos.</w:t>
      </w:r>
    </w:p>
    <w:p w14:paraId="07F9E255" w14:textId="77777777" w:rsidR="00D4549C" w:rsidRPr="001C305A" w:rsidRDefault="00D4549C" w:rsidP="00D4549C">
      <w:pPr>
        <w:pStyle w:val="1-REL11"/>
        <w:rPr>
          <w:u w:val="single"/>
        </w:rPr>
      </w:pPr>
      <w:r w:rsidRPr="001C305A">
        <w:t xml:space="preserve">Os resultado das análises referentes ao cumprimento das metas fiscais estabelecidas para </w:t>
      </w:r>
      <w:r w:rsidRPr="00A8557D">
        <w:t xml:space="preserve">o exercício de 2023, conforme Anexo de Metas Fiscais (AMF), instituídas pela Lei Estadual </w:t>
      </w:r>
      <w:r w:rsidRPr="00A8557D">
        <w:lastRenderedPageBreak/>
        <w:t>nº</w:t>
      </w:r>
      <w:r>
        <w:t> </w:t>
      </w:r>
      <w:r w:rsidRPr="00A8557D">
        <w:t>21.527</w:t>
      </w:r>
      <w:r>
        <w:t xml:space="preserve">, de 26 de julho de </w:t>
      </w:r>
      <w:r w:rsidRPr="00A8557D">
        <w:t>2022 (LDO para o exercício de 2023). Reforça-se que as metas fiscais são o elo entre o planejamento, a elaboração e a execução do orçamento.</w:t>
      </w:r>
    </w:p>
    <w:p w14:paraId="186C7920" w14:textId="77777777" w:rsidR="00D4549C" w:rsidRPr="001C305A" w:rsidRDefault="00D4549C" w:rsidP="00D4549C">
      <w:pPr>
        <w:pStyle w:val="1-REL11"/>
      </w:pPr>
      <w:r w:rsidRPr="001C305A">
        <w:t>A LRF ampliou as atribuições da LDO, conferindo-a também o papel de apresentar os resultados fiscais de médio prazo para a administração pública. No AMF são estabelecidas metas anuais, em valores correntes e constantes, relativas à receita total, despesa total, resultado nominal e primário e montante da dívida pública, para o exercício a que se referirem e para os dois seguintes (art. 4º, da LRF).</w:t>
      </w:r>
    </w:p>
    <w:p w14:paraId="146F747A" w14:textId="77777777" w:rsidR="00D4549C" w:rsidRPr="001C305A" w:rsidRDefault="00D4549C" w:rsidP="00D4549C">
      <w:pPr>
        <w:pStyle w:val="1-REL11"/>
      </w:pPr>
      <w:r w:rsidRPr="001C305A">
        <w:t>Consta</w:t>
      </w:r>
      <w:r>
        <w:t>m</w:t>
      </w:r>
      <w:r w:rsidRPr="001C305A">
        <w:t xml:space="preserve"> a seguir as metas fiscais estabelecidas para o resultado primário e nominal em 2023</w:t>
      </w:r>
      <w:r>
        <w:t>:</w:t>
      </w:r>
    </w:p>
    <w:p w14:paraId="12D43A79" w14:textId="6BD835CB" w:rsidR="00D4549C" w:rsidRDefault="00D4549C" w:rsidP="00ED3571">
      <w:pPr>
        <w:pStyle w:val="0-TABELA"/>
        <w:rPr>
          <w:b/>
        </w:rPr>
      </w:pPr>
      <w:bookmarkStart w:id="157" w:name="_Toc167871756"/>
      <w:r w:rsidRPr="001C305A">
        <w:t>Metas</w:t>
      </w:r>
      <w:r>
        <w:t xml:space="preserve"> Fiscais</w:t>
      </w:r>
      <w:r w:rsidRPr="001C305A">
        <w:t xml:space="preserve"> Previstas</w:t>
      </w:r>
      <w:bookmarkEnd w:id="157"/>
    </w:p>
    <w:p w14:paraId="72D3F8BD" w14:textId="77777777" w:rsidR="00D4549C" w:rsidRPr="005812A9" w:rsidRDefault="00D4549C" w:rsidP="00D4549C">
      <w:pPr>
        <w:pStyle w:val="1-REL11"/>
        <w:spacing w:before="0" w:after="0" w:line="240" w:lineRule="auto"/>
        <w:jc w:val="right"/>
      </w:pPr>
      <w:r w:rsidRPr="00D00F7D">
        <w:rPr>
          <w:sz w:val="16"/>
          <w:szCs w:val="16"/>
        </w:rPr>
        <w:t>R$ 1</w:t>
      </w:r>
    </w:p>
    <w:tbl>
      <w:tblPr>
        <w:tblW w:w="5000" w:type="pct"/>
        <w:tblCellMar>
          <w:left w:w="70" w:type="dxa"/>
          <w:right w:w="70" w:type="dxa"/>
        </w:tblCellMar>
        <w:tblLook w:val="04A0" w:firstRow="1" w:lastRow="0" w:firstColumn="1" w:lastColumn="0" w:noHBand="0" w:noVBand="1"/>
      </w:tblPr>
      <w:tblGrid>
        <w:gridCol w:w="4517"/>
        <w:gridCol w:w="4836"/>
      </w:tblGrid>
      <w:tr w:rsidR="00D4549C" w:rsidRPr="00DA3712" w14:paraId="0F7BB77B" w14:textId="77777777" w:rsidTr="008005E7">
        <w:trPr>
          <w:trHeight w:val="284"/>
          <w:tblHeader/>
        </w:trPr>
        <w:tc>
          <w:tcPr>
            <w:tcW w:w="2415" w:type="pct"/>
            <w:tcBorders>
              <w:top w:val="single" w:sz="4" w:space="0" w:color="auto"/>
              <w:left w:val="nil"/>
              <w:bottom w:val="single" w:sz="4" w:space="0" w:color="auto"/>
              <w:right w:val="single" w:sz="4" w:space="0" w:color="auto"/>
            </w:tcBorders>
            <w:shd w:val="clear" w:color="auto" w:fill="A1F2FD"/>
            <w:vAlign w:val="center"/>
            <w:hideMark/>
          </w:tcPr>
          <w:p w14:paraId="48FA611F" w14:textId="77777777" w:rsidR="00D4549C" w:rsidRPr="00DA3712" w:rsidRDefault="00D4549C" w:rsidP="00B67EB7">
            <w:pPr>
              <w:jc w:val="center"/>
              <w:rPr>
                <w:rFonts w:cs="Arial"/>
                <w:b/>
                <w:sz w:val="20"/>
              </w:rPr>
            </w:pPr>
            <w:r w:rsidRPr="00DA3712">
              <w:rPr>
                <w:rFonts w:cs="Arial"/>
                <w:b/>
                <w:sz w:val="20"/>
              </w:rPr>
              <w:t>Discriminação</w:t>
            </w:r>
          </w:p>
        </w:tc>
        <w:tc>
          <w:tcPr>
            <w:tcW w:w="2585" w:type="pct"/>
            <w:tcBorders>
              <w:top w:val="single" w:sz="4" w:space="0" w:color="auto"/>
              <w:left w:val="single" w:sz="4" w:space="0" w:color="auto"/>
              <w:bottom w:val="single" w:sz="4" w:space="0" w:color="auto"/>
            </w:tcBorders>
            <w:shd w:val="clear" w:color="auto" w:fill="A1F2FD"/>
            <w:vAlign w:val="center"/>
            <w:hideMark/>
          </w:tcPr>
          <w:p w14:paraId="486CC2D8" w14:textId="77777777" w:rsidR="00D4549C" w:rsidRPr="00DA3712" w:rsidRDefault="00D4549C" w:rsidP="00B67EB7">
            <w:pPr>
              <w:jc w:val="center"/>
              <w:rPr>
                <w:rFonts w:cs="Arial"/>
                <w:b/>
                <w:sz w:val="20"/>
              </w:rPr>
            </w:pPr>
            <w:r w:rsidRPr="00DA3712">
              <w:rPr>
                <w:rFonts w:cs="Arial"/>
                <w:b/>
                <w:sz w:val="20"/>
              </w:rPr>
              <w:t>Anexo das Metas Fiscais - Lei nº 21.527/2022</w:t>
            </w:r>
          </w:p>
        </w:tc>
      </w:tr>
      <w:tr w:rsidR="00D4549C" w:rsidRPr="00DA3712" w14:paraId="55940D22" w14:textId="77777777" w:rsidTr="008005E7">
        <w:trPr>
          <w:trHeight w:val="284"/>
        </w:trPr>
        <w:tc>
          <w:tcPr>
            <w:tcW w:w="2415" w:type="pct"/>
            <w:tcBorders>
              <w:top w:val="single" w:sz="4" w:space="0" w:color="auto"/>
              <w:left w:val="nil"/>
              <w:bottom w:val="nil"/>
              <w:right w:val="single" w:sz="4" w:space="0" w:color="auto"/>
            </w:tcBorders>
            <w:shd w:val="clear" w:color="auto" w:fill="auto"/>
            <w:noWrap/>
            <w:vAlign w:val="center"/>
            <w:hideMark/>
          </w:tcPr>
          <w:p w14:paraId="183AA973" w14:textId="77777777" w:rsidR="00D4549C" w:rsidRPr="00DA3712" w:rsidRDefault="00D4549C" w:rsidP="00DA3712">
            <w:pPr>
              <w:ind w:left="73"/>
              <w:rPr>
                <w:rFonts w:cs="Arial"/>
                <w:sz w:val="20"/>
              </w:rPr>
            </w:pPr>
            <w:r w:rsidRPr="00DA3712">
              <w:rPr>
                <w:rFonts w:cs="Arial"/>
                <w:sz w:val="20"/>
              </w:rPr>
              <w:t xml:space="preserve">Resultado Primário </w:t>
            </w:r>
          </w:p>
        </w:tc>
        <w:tc>
          <w:tcPr>
            <w:tcW w:w="2585" w:type="pct"/>
            <w:tcBorders>
              <w:top w:val="single" w:sz="4" w:space="0" w:color="auto"/>
              <w:left w:val="single" w:sz="4" w:space="0" w:color="auto"/>
              <w:bottom w:val="nil"/>
            </w:tcBorders>
            <w:shd w:val="clear" w:color="auto" w:fill="auto"/>
            <w:vAlign w:val="center"/>
            <w:hideMark/>
          </w:tcPr>
          <w:p w14:paraId="1D836A5C" w14:textId="77777777" w:rsidR="00D4549C" w:rsidRPr="00DA3712" w:rsidRDefault="00D4549C" w:rsidP="00B67EB7">
            <w:pPr>
              <w:jc w:val="right"/>
              <w:rPr>
                <w:rFonts w:cs="Arial"/>
                <w:sz w:val="20"/>
              </w:rPr>
            </w:pPr>
            <w:r w:rsidRPr="00DA3712">
              <w:rPr>
                <w:rFonts w:cs="Arial"/>
                <w:sz w:val="20"/>
              </w:rPr>
              <w:t>1.201.899.628</w:t>
            </w:r>
          </w:p>
        </w:tc>
      </w:tr>
      <w:tr w:rsidR="00D4549C" w:rsidRPr="00DA3712" w14:paraId="736A6C9D" w14:textId="77777777" w:rsidTr="008005E7">
        <w:trPr>
          <w:trHeight w:val="284"/>
        </w:trPr>
        <w:tc>
          <w:tcPr>
            <w:tcW w:w="2415" w:type="pct"/>
            <w:tcBorders>
              <w:top w:val="nil"/>
              <w:left w:val="nil"/>
              <w:right w:val="single" w:sz="4" w:space="0" w:color="auto"/>
            </w:tcBorders>
            <w:shd w:val="clear" w:color="auto" w:fill="auto"/>
            <w:noWrap/>
            <w:vAlign w:val="center"/>
            <w:hideMark/>
          </w:tcPr>
          <w:p w14:paraId="2BC8B6A8" w14:textId="77777777" w:rsidR="00D4549C" w:rsidRPr="00DA3712" w:rsidRDefault="00D4549C" w:rsidP="00DA3712">
            <w:pPr>
              <w:ind w:left="73"/>
              <w:rPr>
                <w:rFonts w:cs="Arial"/>
                <w:color w:val="FF0000"/>
                <w:sz w:val="20"/>
              </w:rPr>
            </w:pPr>
            <w:r w:rsidRPr="00DA3712">
              <w:rPr>
                <w:rFonts w:cs="Arial"/>
                <w:sz w:val="20"/>
              </w:rPr>
              <w:t>Resultado Nominal</w:t>
            </w:r>
          </w:p>
        </w:tc>
        <w:tc>
          <w:tcPr>
            <w:tcW w:w="2585" w:type="pct"/>
            <w:tcBorders>
              <w:top w:val="nil"/>
              <w:left w:val="single" w:sz="4" w:space="0" w:color="auto"/>
            </w:tcBorders>
            <w:shd w:val="clear" w:color="auto" w:fill="auto"/>
            <w:vAlign w:val="center"/>
            <w:hideMark/>
          </w:tcPr>
          <w:p w14:paraId="4E1414AF" w14:textId="77777777" w:rsidR="00D4549C" w:rsidRPr="00DA3712" w:rsidRDefault="00D4549C" w:rsidP="00B67EB7">
            <w:pPr>
              <w:jc w:val="right"/>
              <w:rPr>
                <w:rFonts w:cs="Arial"/>
                <w:color w:val="FF0000"/>
                <w:sz w:val="20"/>
              </w:rPr>
            </w:pPr>
            <w:r w:rsidRPr="00DA3712">
              <w:rPr>
                <w:rFonts w:cs="Arial"/>
                <w:sz w:val="20"/>
              </w:rPr>
              <w:t>572.888.406</w:t>
            </w:r>
          </w:p>
        </w:tc>
      </w:tr>
      <w:tr w:rsidR="00D4549C" w:rsidRPr="00DA3712" w14:paraId="554949EC" w14:textId="77777777" w:rsidTr="008005E7">
        <w:trPr>
          <w:trHeight w:val="284"/>
        </w:trPr>
        <w:tc>
          <w:tcPr>
            <w:tcW w:w="2415" w:type="pct"/>
            <w:tcBorders>
              <w:top w:val="nil"/>
              <w:left w:val="nil"/>
              <w:bottom w:val="single" w:sz="4" w:space="0" w:color="auto"/>
              <w:right w:val="single" w:sz="4" w:space="0" w:color="auto"/>
            </w:tcBorders>
            <w:shd w:val="clear" w:color="auto" w:fill="auto"/>
            <w:noWrap/>
            <w:vAlign w:val="center"/>
            <w:hideMark/>
          </w:tcPr>
          <w:p w14:paraId="54D5CA94" w14:textId="77777777" w:rsidR="00D4549C" w:rsidRPr="00DA3712" w:rsidRDefault="00D4549C" w:rsidP="00DA3712">
            <w:pPr>
              <w:ind w:left="73"/>
              <w:rPr>
                <w:rFonts w:cs="Arial"/>
                <w:sz w:val="20"/>
              </w:rPr>
            </w:pPr>
            <w:r w:rsidRPr="00DA3712">
              <w:rPr>
                <w:rFonts w:cs="Arial"/>
                <w:sz w:val="20"/>
              </w:rPr>
              <w:t>Dívida Consolidada</w:t>
            </w:r>
          </w:p>
        </w:tc>
        <w:tc>
          <w:tcPr>
            <w:tcW w:w="2585" w:type="pct"/>
            <w:tcBorders>
              <w:top w:val="nil"/>
              <w:left w:val="single" w:sz="4" w:space="0" w:color="auto"/>
              <w:bottom w:val="single" w:sz="4" w:space="0" w:color="auto"/>
            </w:tcBorders>
            <w:shd w:val="clear" w:color="auto" w:fill="auto"/>
            <w:vAlign w:val="center"/>
            <w:hideMark/>
          </w:tcPr>
          <w:p w14:paraId="28C9803C" w14:textId="77777777" w:rsidR="00D4549C" w:rsidRPr="00DA3712" w:rsidRDefault="00D4549C" w:rsidP="00B67EB7">
            <w:pPr>
              <w:jc w:val="right"/>
              <w:rPr>
                <w:rFonts w:cs="Arial"/>
                <w:sz w:val="20"/>
              </w:rPr>
            </w:pPr>
            <w:r w:rsidRPr="00DA3712">
              <w:rPr>
                <w:rFonts w:cs="Arial"/>
                <w:sz w:val="20"/>
              </w:rPr>
              <w:t>24.386.175.952</w:t>
            </w:r>
          </w:p>
        </w:tc>
      </w:tr>
    </w:tbl>
    <w:p w14:paraId="77A5D18D" w14:textId="77777777" w:rsidR="00D4549C" w:rsidRPr="00D00F7D" w:rsidRDefault="00D4549C" w:rsidP="00D4549C">
      <w:pPr>
        <w:pStyle w:val="1-FONTE8ESQ"/>
      </w:pPr>
      <w:r w:rsidRPr="00D00F7D">
        <w:t xml:space="preserve">Fonte: Lei </w:t>
      </w:r>
      <w:r>
        <w:t>Estadual</w:t>
      </w:r>
      <w:r w:rsidRPr="00D00F7D">
        <w:t xml:space="preserve"> nº 21.527/2022</w:t>
      </w:r>
    </w:p>
    <w:p w14:paraId="2F6500DD" w14:textId="77777777" w:rsidR="00D4549C" w:rsidRPr="001C305A" w:rsidRDefault="00D4549C" w:rsidP="00D4549C">
      <w:pPr>
        <w:pStyle w:val="1-REL11"/>
      </w:pPr>
      <w:r w:rsidRPr="001C305A">
        <w:t>Portanto, a LDO definiu estas metas fiscais para o cumprimento no exercício financeiro de 2023</w:t>
      </w:r>
      <w:r>
        <w:t>,</w:t>
      </w:r>
      <w:r w:rsidRPr="001C305A">
        <w:t xml:space="preserve"> visando a busca do equilibro fiscal do estado de Goiás. Ressalta-se que as metas foram estabelecidas com a metodologia acima da linha</w:t>
      </w:r>
      <w:r>
        <w:t>,</w:t>
      </w:r>
      <w:r w:rsidRPr="001C305A">
        <w:t xml:space="preserve"> com fundamento no MDF 12ª edição, visto que a lei foi publicada em 2022, mas com validade para o ano civil de 2023. A partir do exercício financeiro de 2024</w:t>
      </w:r>
      <w:r>
        <w:t>, o</w:t>
      </w:r>
      <w:r w:rsidRPr="001C305A">
        <w:t xml:space="preserve"> cálculo </w:t>
      </w:r>
      <w:r>
        <w:t>d</w:t>
      </w:r>
      <w:r w:rsidRPr="001C305A">
        <w:t>a meta do resultado primário obedecerá a metodologia abaixo da linha</w:t>
      </w:r>
      <w:r>
        <w:t xml:space="preserve">, conforme </w:t>
      </w:r>
      <w:r w:rsidRPr="001C305A">
        <w:t>MDF 14ª edição.</w:t>
      </w:r>
    </w:p>
    <w:p w14:paraId="50DEF4D4" w14:textId="77777777" w:rsidR="00D4549C" w:rsidRPr="001C305A" w:rsidRDefault="00D4549C" w:rsidP="00A224E9">
      <w:pPr>
        <w:pStyle w:val="Ttulo3"/>
      </w:pPr>
      <w:bookmarkStart w:id="158" w:name="_Toc167871663"/>
      <w:r w:rsidRPr="001C305A">
        <w:t>Resultado Primário</w:t>
      </w:r>
      <w:bookmarkEnd w:id="158"/>
    </w:p>
    <w:p w14:paraId="14633AFD" w14:textId="77777777" w:rsidR="00D4549C" w:rsidRPr="001C305A" w:rsidRDefault="00D4549C" w:rsidP="00D4549C">
      <w:pPr>
        <w:pStyle w:val="1-REL11"/>
      </w:pPr>
      <w:r w:rsidRPr="001C305A">
        <w:t>O resultado primário se resume à diferença do saldo das receitas e despesas primárias; portanto, representa a economia fiscal que o governo do estado de Goiás se disporá a alcançar com o objetivo de amortizar a dívida pública estadual.</w:t>
      </w:r>
    </w:p>
    <w:p w14:paraId="3DDACACF" w14:textId="77777777" w:rsidR="00D4549C" w:rsidRPr="001C305A" w:rsidRDefault="00D4549C" w:rsidP="00D4549C">
      <w:pPr>
        <w:pStyle w:val="1-REL11"/>
      </w:pPr>
      <w:r w:rsidRPr="001C305A">
        <w:t xml:space="preserve">Desde 2018, o MDF adotou o conceito acima da linha e abaixo da linha para apuração do resultado. Em 2023, o MDF 13ª </w:t>
      </w:r>
      <w:r>
        <w:t xml:space="preserve">edição </w:t>
      </w:r>
      <w:r w:rsidRPr="001C305A">
        <w:t>alterou a fórmula de cálculo do resultado primário e nominal, apresentando de maneira separada os valores do RPPS; assim, a nova metodologia considera as receitas e despesas intraorçamentárias, segregando as receitas e despesas orçamentárias com fontes do RPPS.</w:t>
      </w:r>
    </w:p>
    <w:p w14:paraId="0DA34B4F" w14:textId="77777777" w:rsidR="00D4549C" w:rsidRPr="001C305A" w:rsidRDefault="00D4549C" w:rsidP="00D4549C">
      <w:pPr>
        <w:pStyle w:val="1-REL11"/>
      </w:pPr>
      <w:r w:rsidRPr="001C305A">
        <w:t xml:space="preserve">O conceito acima da linha corresponde ao esforço fiscal realizado pelo Estado que poderá resultar na diminuição ou no aumento do estoque da dívida pública. Este resultado é obtido por meio da diferença entre as receitas não-financeiras arrecadadas e as despesas não-financeiras pagas em um exercício, e pode </w:t>
      </w:r>
      <w:r>
        <w:t>a</w:t>
      </w:r>
      <w:r w:rsidRPr="001C305A">
        <w:t>presentar um superávit ou déficit primário.</w:t>
      </w:r>
    </w:p>
    <w:p w14:paraId="4C8CBC96" w14:textId="77777777" w:rsidR="00D4549C" w:rsidRPr="001C305A" w:rsidRDefault="00D4549C" w:rsidP="00D4549C">
      <w:pPr>
        <w:pStyle w:val="1-REL11"/>
      </w:pPr>
      <w:r w:rsidRPr="001C305A">
        <w:lastRenderedPageBreak/>
        <w:t xml:space="preserve">Pelo conceito abaixo da linha, o resultado primário é obtido a partir da subtração dos juros nominais do resultado nominal ajustado. Conforme o MDF 13º </w:t>
      </w:r>
      <w:r>
        <w:t>e</w:t>
      </w:r>
      <w:r w:rsidRPr="001C305A">
        <w:t>dição, superávits primários representam esforço fiscal no sentido de diminuição da DCL e déficits primários têm como consequência o aumento da DCL.</w:t>
      </w:r>
    </w:p>
    <w:p w14:paraId="4E2BAABF" w14:textId="77777777" w:rsidR="00D4549C" w:rsidRPr="001C305A" w:rsidRDefault="00D4549C" w:rsidP="00D4549C">
      <w:pPr>
        <w:pStyle w:val="1-REL11"/>
      </w:pPr>
      <w:r w:rsidRPr="001C305A">
        <w:t>A LDO 2023 fixou como meta um superávit primário de R$ 1,20 bilhão. Na tabela a seguir, apresenta-se a meta prevista e o resultado alcançado nos demonstrativos fiscais do final do exercício de 2023:</w:t>
      </w:r>
    </w:p>
    <w:p w14:paraId="7C423C92" w14:textId="1561B8DE" w:rsidR="00D4549C" w:rsidRPr="001C305A" w:rsidRDefault="00D4549C" w:rsidP="00ED3571">
      <w:pPr>
        <w:pStyle w:val="0-TABELA"/>
        <w:rPr>
          <w:b/>
        </w:rPr>
      </w:pPr>
      <w:bookmarkStart w:id="159" w:name="_Toc167871757"/>
      <w:r w:rsidRPr="001C305A">
        <w:t>Resultado Primário</w:t>
      </w:r>
      <w:bookmarkEnd w:id="159"/>
    </w:p>
    <w:p w14:paraId="141AAF6B" w14:textId="77777777" w:rsidR="00D4549C" w:rsidRPr="001C305A" w:rsidRDefault="00D4549C" w:rsidP="00D4549C">
      <w:pPr>
        <w:pStyle w:val="0REALR1"/>
      </w:pPr>
      <w:r w:rsidRPr="001C305A">
        <w:t>R$ 1</w:t>
      </w:r>
    </w:p>
    <w:tbl>
      <w:tblPr>
        <w:tblW w:w="5000" w:type="pct"/>
        <w:jc w:val="center"/>
        <w:tblCellMar>
          <w:left w:w="70" w:type="dxa"/>
          <w:right w:w="70" w:type="dxa"/>
        </w:tblCellMar>
        <w:tblLook w:val="04A0" w:firstRow="1" w:lastRow="0" w:firstColumn="1" w:lastColumn="0" w:noHBand="0" w:noVBand="1"/>
      </w:tblPr>
      <w:tblGrid>
        <w:gridCol w:w="3491"/>
        <w:gridCol w:w="3361"/>
        <w:gridCol w:w="2501"/>
      </w:tblGrid>
      <w:tr w:rsidR="00D4549C" w:rsidRPr="00DA3712" w14:paraId="1CC81605" w14:textId="77777777" w:rsidTr="008005E7">
        <w:trPr>
          <w:trHeight w:val="340"/>
          <w:tblHeader/>
          <w:jc w:val="center"/>
        </w:trPr>
        <w:tc>
          <w:tcPr>
            <w:tcW w:w="1866" w:type="pct"/>
            <w:tcBorders>
              <w:top w:val="single" w:sz="6" w:space="0" w:color="auto"/>
              <w:left w:val="nil"/>
              <w:bottom w:val="single" w:sz="4" w:space="0" w:color="auto"/>
              <w:right w:val="single" w:sz="4" w:space="0" w:color="auto"/>
            </w:tcBorders>
            <w:shd w:val="clear" w:color="auto" w:fill="A1F2FD"/>
            <w:vAlign w:val="center"/>
            <w:hideMark/>
          </w:tcPr>
          <w:p w14:paraId="5EC85171" w14:textId="77777777" w:rsidR="00D4549C" w:rsidRPr="00DA3712" w:rsidRDefault="00D4549C" w:rsidP="00B67EB7">
            <w:pPr>
              <w:jc w:val="center"/>
              <w:rPr>
                <w:rFonts w:cs="Arial"/>
                <w:b/>
                <w:sz w:val="20"/>
                <w:szCs w:val="20"/>
              </w:rPr>
            </w:pPr>
            <w:r w:rsidRPr="00DA3712">
              <w:rPr>
                <w:rFonts w:cs="Arial"/>
                <w:b/>
                <w:sz w:val="20"/>
                <w:szCs w:val="20"/>
              </w:rPr>
              <w:t>Indicador Fiscal</w:t>
            </w:r>
          </w:p>
        </w:tc>
        <w:tc>
          <w:tcPr>
            <w:tcW w:w="1797" w:type="pct"/>
            <w:tcBorders>
              <w:top w:val="single" w:sz="6" w:space="0" w:color="auto"/>
              <w:left w:val="single" w:sz="4" w:space="0" w:color="auto"/>
              <w:bottom w:val="single" w:sz="4" w:space="0" w:color="auto"/>
              <w:right w:val="single" w:sz="4" w:space="0" w:color="auto"/>
            </w:tcBorders>
            <w:shd w:val="clear" w:color="auto" w:fill="A1F2FD"/>
            <w:vAlign w:val="center"/>
            <w:hideMark/>
          </w:tcPr>
          <w:p w14:paraId="45E95762" w14:textId="77777777" w:rsidR="00D4549C" w:rsidRPr="00DA3712" w:rsidRDefault="00D4549C" w:rsidP="00B67EB7">
            <w:pPr>
              <w:jc w:val="center"/>
              <w:rPr>
                <w:rFonts w:cs="Arial"/>
                <w:b/>
                <w:sz w:val="20"/>
                <w:szCs w:val="20"/>
              </w:rPr>
            </w:pPr>
            <w:r w:rsidRPr="00DA3712">
              <w:rPr>
                <w:rFonts w:cs="Arial"/>
                <w:b/>
                <w:sz w:val="20"/>
                <w:szCs w:val="20"/>
              </w:rPr>
              <w:t>Meta para 2023 (Valores Correntes)</w:t>
            </w:r>
          </w:p>
        </w:tc>
        <w:tc>
          <w:tcPr>
            <w:tcW w:w="1337" w:type="pct"/>
            <w:tcBorders>
              <w:top w:val="single" w:sz="6" w:space="0" w:color="auto"/>
              <w:left w:val="single" w:sz="4" w:space="0" w:color="auto"/>
              <w:bottom w:val="single" w:sz="4" w:space="0" w:color="auto"/>
            </w:tcBorders>
            <w:shd w:val="clear" w:color="auto" w:fill="A1F2FD"/>
            <w:vAlign w:val="center"/>
            <w:hideMark/>
          </w:tcPr>
          <w:p w14:paraId="23CA23B1" w14:textId="77777777" w:rsidR="00D4549C" w:rsidRPr="00DA3712" w:rsidRDefault="00D4549C" w:rsidP="00B67EB7">
            <w:pPr>
              <w:jc w:val="center"/>
              <w:rPr>
                <w:rFonts w:cs="Arial"/>
                <w:b/>
                <w:color w:val="FF0000"/>
                <w:sz w:val="20"/>
                <w:szCs w:val="20"/>
              </w:rPr>
            </w:pPr>
            <w:r w:rsidRPr="00DA3712">
              <w:rPr>
                <w:rFonts w:cs="Arial"/>
                <w:b/>
                <w:sz w:val="20"/>
                <w:szCs w:val="20"/>
              </w:rPr>
              <w:t>Resultado Acima da Linha (sem RPPS)</w:t>
            </w:r>
          </w:p>
        </w:tc>
      </w:tr>
      <w:tr w:rsidR="00D4549C" w:rsidRPr="00DA3712" w14:paraId="1412108E" w14:textId="77777777" w:rsidTr="008005E7">
        <w:trPr>
          <w:trHeight w:val="455"/>
          <w:jc w:val="center"/>
        </w:trPr>
        <w:tc>
          <w:tcPr>
            <w:tcW w:w="1866" w:type="pct"/>
            <w:tcBorders>
              <w:top w:val="single" w:sz="4" w:space="0" w:color="auto"/>
              <w:left w:val="nil"/>
              <w:bottom w:val="single" w:sz="4" w:space="0" w:color="auto"/>
              <w:right w:val="single" w:sz="4" w:space="0" w:color="auto"/>
            </w:tcBorders>
            <w:shd w:val="clear" w:color="auto" w:fill="auto"/>
            <w:noWrap/>
            <w:vAlign w:val="center"/>
            <w:hideMark/>
          </w:tcPr>
          <w:p w14:paraId="430173B1" w14:textId="77777777" w:rsidR="00D4549C" w:rsidRPr="00DA3712" w:rsidRDefault="00D4549C" w:rsidP="00B67EB7">
            <w:pPr>
              <w:rPr>
                <w:rFonts w:cs="Arial"/>
                <w:sz w:val="20"/>
                <w:szCs w:val="20"/>
              </w:rPr>
            </w:pPr>
            <w:r w:rsidRPr="00DA3712">
              <w:rPr>
                <w:rFonts w:cs="Arial"/>
                <w:sz w:val="20"/>
                <w:szCs w:val="20"/>
              </w:rPr>
              <w:t xml:space="preserve">Resultado Primário </w:t>
            </w:r>
          </w:p>
        </w:tc>
        <w:tc>
          <w:tcPr>
            <w:tcW w:w="179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C017C8" w14:textId="77777777" w:rsidR="00D4549C" w:rsidRPr="00DA3712" w:rsidRDefault="00D4549C" w:rsidP="00B67EB7">
            <w:pPr>
              <w:jc w:val="right"/>
              <w:rPr>
                <w:rFonts w:cs="Arial"/>
                <w:sz w:val="20"/>
                <w:szCs w:val="20"/>
              </w:rPr>
            </w:pPr>
            <w:r w:rsidRPr="00DA3712">
              <w:rPr>
                <w:rFonts w:cs="Arial"/>
                <w:sz w:val="20"/>
                <w:szCs w:val="20"/>
              </w:rPr>
              <w:t>1.201.899.628</w:t>
            </w:r>
          </w:p>
        </w:tc>
        <w:tc>
          <w:tcPr>
            <w:tcW w:w="1337" w:type="pct"/>
            <w:tcBorders>
              <w:top w:val="single" w:sz="4" w:space="0" w:color="auto"/>
              <w:left w:val="single" w:sz="4" w:space="0" w:color="auto"/>
              <w:bottom w:val="single" w:sz="4" w:space="0" w:color="auto"/>
            </w:tcBorders>
            <w:shd w:val="clear" w:color="auto" w:fill="auto"/>
            <w:vAlign w:val="center"/>
            <w:hideMark/>
          </w:tcPr>
          <w:p w14:paraId="495D1C43" w14:textId="77777777" w:rsidR="00D4549C" w:rsidRPr="00DA3712" w:rsidRDefault="00D4549C" w:rsidP="00B67EB7">
            <w:pPr>
              <w:jc w:val="right"/>
              <w:rPr>
                <w:rFonts w:cs="Arial"/>
                <w:color w:val="FF0000"/>
                <w:sz w:val="20"/>
                <w:szCs w:val="20"/>
              </w:rPr>
            </w:pPr>
            <w:r w:rsidRPr="00DA3712">
              <w:rPr>
                <w:rFonts w:cs="Arial"/>
                <w:sz w:val="20"/>
                <w:szCs w:val="20"/>
              </w:rPr>
              <w:t>1.529.829.983</w:t>
            </w:r>
          </w:p>
        </w:tc>
      </w:tr>
    </w:tbl>
    <w:p w14:paraId="1411E5BD" w14:textId="77777777" w:rsidR="00D4549C" w:rsidRPr="00D00F7D" w:rsidRDefault="00D4549C" w:rsidP="00D4549C">
      <w:pPr>
        <w:pStyle w:val="1-FONTE8ESQ"/>
      </w:pPr>
      <w:r w:rsidRPr="00D00F7D">
        <w:t xml:space="preserve">Fonte: Lei </w:t>
      </w:r>
      <w:r>
        <w:t>Estadual</w:t>
      </w:r>
      <w:r w:rsidRPr="00D00F7D">
        <w:t xml:space="preserve"> nº 21.527/2022</w:t>
      </w:r>
      <w:r>
        <w:t xml:space="preserve"> </w:t>
      </w:r>
      <w:r w:rsidRPr="00D00F7D">
        <w:t>e RREO 6º bimestre de 2023</w:t>
      </w:r>
    </w:p>
    <w:p w14:paraId="0DA74873" w14:textId="77777777" w:rsidR="00D4549C" w:rsidRPr="001C305A" w:rsidRDefault="00D4549C" w:rsidP="00D4549C">
      <w:pPr>
        <w:pStyle w:val="1-REL11"/>
      </w:pPr>
      <w:r w:rsidRPr="00260ADE">
        <w:t>Observou-se que a apuração do resultado evidenciado nos demonstrativos de resultado primário obedeceu a metodologia instituída pelo MDF 13ª edição, e o estado de Goiás cumpriu o resultado primário em 2023, com performance de R$ 1,53 bilhão, portanto, acima do valor estipulado pela L</w:t>
      </w:r>
      <w:r>
        <w:t>ei Estadual</w:t>
      </w:r>
      <w:r w:rsidRPr="00260ADE">
        <w:t xml:space="preserve"> nº 21.527/2022.</w:t>
      </w:r>
    </w:p>
    <w:p w14:paraId="65930D83" w14:textId="77777777" w:rsidR="00D4549C" w:rsidRPr="001C305A" w:rsidRDefault="00D4549C" w:rsidP="00D4549C">
      <w:pPr>
        <w:pStyle w:val="1-REL11"/>
      </w:pPr>
      <w:r w:rsidRPr="001C305A">
        <w:t>Consta</w:t>
      </w:r>
      <w:r>
        <w:t>m</w:t>
      </w:r>
      <w:r w:rsidRPr="001C305A">
        <w:t xml:space="preserve"> a seguir os valores do resultado primário apresentados no RREO e no BGE de 2019 a 2023:</w:t>
      </w:r>
    </w:p>
    <w:p w14:paraId="557A3B19" w14:textId="71E49058" w:rsidR="00D4549C" w:rsidRPr="001C305A" w:rsidRDefault="00D4549C" w:rsidP="00ED3571">
      <w:pPr>
        <w:pStyle w:val="0-TABELA"/>
        <w:rPr>
          <w:b/>
        </w:rPr>
      </w:pPr>
      <w:bookmarkStart w:id="160" w:name="_Toc167871758"/>
      <w:r w:rsidRPr="001C305A">
        <w:t xml:space="preserve">Resultado Primário </w:t>
      </w:r>
      <w:r w:rsidR="006E6BFE" w:rsidRPr="001C305A">
        <w:t>– 20</w:t>
      </w:r>
      <w:r w:rsidR="006E6BFE">
        <w:t>19 a 2023</w:t>
      </w:r>
      <w:bookmarkEnd w:id="160"/>
    </w:p>
    <w:p w14:paraId="4D3A061F" w14:textId="77777777" w:rsidR="00D4549C" w:rsidRPr="001C305A" w:rsidRDefault="00D4549C" w:rsidP="00D4549C">
      <w:pPr>
        <w:pStyle w:val="0REALR1"/>
      </w:pPr>
      <w:r w:rsidRPr="001C305A">
        <w:t>R$ 1</w:t>
      </w:r>
    </w:p>
    <w:tbl>
      <w:tblPr>
        <w:tblW w:w="5000" w:type="pct"/>
        <w:tblCellMar>
          <w:left w:w="70" w:type="dxa"/>
          <w:right w:w="70" w:type="dxa"/>
        </w:tblCellMar>
        <w:tblLook w:val="0000" w:firstRow="0" w:lastRow="0" w:firstColumn="0" w:lastColumn="0" w:noHBand="0" w:noVBand="0"/>
      </w:tblPr>
      <w:tblGrid>
        <w:gridCol w:w="2393"/>
        <w:gridCol w:w="1392"/>
        <w:gridCol w:w="1392"/>
        <w:gridCol w:w="1392"/>
        <w:gridCol w:w="1392"/>
        <w:gridCol w:w="1392"/>
      </w:tblGrid>
      <w:tr w:rsidR="00D4549C" w:rsidRPr="006E6BFE" w14:paraId="3EF5BB73" w14:textId="77777777" w:rsidTr="00E73548">
        <w:trPr>
          <w:trHeight w:val="397"/>
        </w:trPr>
        <w:tc>
          <w:tcPr>
            <w:tcW w:w="1279" w:type="pct"/>
            <w:tcBorders>
              <w:top w:val="single" w:sz="6" w:space="0" w:color="auto"/>
              <w:left w:val="nil"/>
              <w:bottom w:val="single" w:sz="6" w:space="0" w:color="auto"/>
              <w:right w:val="single" w:sz="6" w:space="0" w:color="auto"/>
            </w:tcBorders>
            <w:shd w:val="solid" w:color="A1F2FD" w:fill="auto"/>
            <w:tcMar>
              <w:top w:w="28" w:type="dxa"/>
              <w:bottom w:w="28" w:type="dxa"/>
            </w:tcMar>
            <w:vAlign w:val="center"/>
          </w:tcPr>
          <w:p w14:paraId="4609BD83" w14:textId="77777777" w:rsidR="00D4549C" w:rsidRPr="006E6BFE" w:rsidRDefault="00D4549C" w:rsidP="00B67EB7">
            <w:pPr>
              <w:autoSpaceDE w:val="0"/>
              <w:autoSpaceDN w:val="0"/>
              <w:adjustRightInd w:val="0"/>
              <w:jc w:val="center"/>
              <w:rPr>
                <w:rFonts w:cs="Arial"/>
                <w:b/>
                <w:color w:val="000000"/>
                <w:sz w:val="18"/>
                <w:szCs w:val="18"/>
              </w:rPr>
            </w:pPr>
            <w:r w:rsidRPr="006E6BFE">
              <w:rPr>
                <w:rFonts w:cs="Arial"/>
                <w:b/>
                <w:color w:val="000000"/>
                <w:sz w:val="18"/>
                <w:szCs w:val="18"/>
              </w:rPr>
              <w:t>Receitas Primárias</w:t>
            </w:r>
          </w:p>
        </w:tc>
        <w:tc>
          <w:tcPr>
            <w:tcW w:w="744" w:type="pct"/>
            <w:tcBorders>
              <w:top w:val="single" w:sz="6" w:space="0" w:color="auto"/>
              <w:left w:val="single" w:sz="6" w:space="0" w:color="auto"/>
              <w:bottom w:val="single" w:sz="6" w:space="0" w:color="auto"/>
              <w:right w:val="single" w:sz="6" w:space="0" w:color="auto"/>
            </w:tcBorders>
            <w:shd w:val="solid" w:color="A1F2FD" w:fill="auto"/>
            <w:tcMar>
              <w:top w:w="28" w:type="dxa"/>
              <w:bottom w:w="28" w:type="dxa"/>
            </w:tcMar>
            <w:vAlign w:val="center"/>
          </w:tcPr>
          <w:p w14:paraId="7EB813CB" w14:textId="77777777" w:rsidR="00D4549C" w:rsidRPr="006E6BFE" w:rsidRDefault="00D4549C" w:rsidP="00B67EB7">
            <w:pPr>
              <w:autoSpaceDE w:val="0"/>
              <w:autoSpaceDN w:val="0"/>
              <w:adjustRightInd w:val="0"/>
              <w:jc w:val="center"/>
              <w:rPr>
                <w:rFonts w:cs="Arial"/>
                <w:b/>
                <w:color w:val="000000"/>
                <w:sz w:val="18"/>
                <w:szCs w:val="18"/>
              </w:rPr>
            </w:pPr>
            <w:r w:rsidRPr="006E6BFE">
              <w:rPr>
                <w:rFonts w:cs="Arial"/>
                <w:b/>
                <w:color w:val="000000"/>
                <w:sz w:val="18"/>
                <w:szCs w:val="18"/>
              </w:rPr>
              <w:t>2019</w:t>
            </w:r>
          </w:p>
        </w:tc>
        <w:tc>
          <w:tcPr>
            <w:tcW w:w="744" w:type="pct"/>
            <w:tcBorders>
              <w:top w:val="single" w:sz="6" w:space="0" w:color="auto"/>
              <w:left w:val="single" w:sz="6" w:space="0" w:color="auto"/>
              <w:bottom w:val="single" w:sz="6" w:space="0" w:color="auto"/>
              <w:right w:val="single" w:sz="6" w:space="0" w:color="auto"/>
            </w:tcBorders>
            <w:shd w:val="solid" w:color="A1F2FD" w:fill="auto"/>
            <w:tcMar>
              <w:top w:w="28" w:type="dxa"/>
              <w:bottom w:w="28" w:type="dxa"/>
            </w:tcMar>
            <w:vAlign w:val="center"/>
          </w:tcPr>
          <w:p w14:paraId="76DC3E57" w14:textId="77777777" w:rsidR="00D4549C" w:rsidRPr="006E6BFE" w:rsidRDefault="00D4549C" w:rsidP="00B67EB7">
            <w:pPr>
              <w:autoSpaceDE w:val="0"/>
              <w:autoSpaceDN w:val="0"/>
              <w:adjustRightInd w:val="0"/>
              <w:jc w:val="center"/>
              <w:rPr>
                <w:rFonts w:cs="Arial"/>
                <w:b/>
                <w:color w:val="000000"/>
                <w:sz w:val="18"/>
                <w:szCs w:val="18"/>
              </w:rPr>
            </w:pPr>
            <w:r w:rsidRPr="006E6BFE">
              <w:rPr>
                <w:rFonts w:cs="Arial"/>
                <w:b/>
                <w:color w:val="000000"/>
                <w:sz w:val="18"/>
                <w:szCs w:val="18"/>
              </w:rPr>
              <w:t>2020</w:t>
            </w:r>
          </w:p>
        </w:tc>
        <w:tc>
          <w:tcPr>
            <w:tcW w:w="744" w:type="pct"/>
            <w:tcBorders>
              <w:top w:val="single" w:sz="6" w:space="0" w:color="auto"/>
              <w:left w:val="single" w:sz="6" w:space="0" w:color="auto"/>
              <w:bottom w:val="single" w:sz="6" w:space="0" w:color="auto"/>
              <w:right w:val="single" w:sz="6" w:space="0" w:color="auto"/>
            </w:tcBorders>
            <w:shd w:val="solid" w:color="A1F2FD" w:fill="auto"/>
            <w:tcMar>
              <w:top w:w="28" w:type="dxa"/>
              <w:bottom w:w="28" w:type="dxa"/>
            </w:tcMar>
            <w:vAlign w:val="center"/>
          </w:tcPr>
          <w:p w14:paraId="7A508983" w14:textId="77777777" w:rsidR="00D4549C" w:rsidRPr="006E6BFE" w:rsidRDefault="00D4549C" w:rsidP="00B67EB7">
            <w:pPr>
              <w:autoSpaceDE w:val="0"/>
              <w:autoSpaceDN w:val="0"/>
              <w:adjustRightInd w:val="0"/>
              <w:jc w:val="center"/>
              <w:rPr>
                <w:rFonts w:cs="Arial"/>
                <w:b/>
                <w:color w:val="000000"/>
                <w:sz w:val="18"/>
                <w:szCs w:val="18"/>
              </w:rPr>
            </w:pPr>
            <w:r w:rsidRPr="006E6BFE">
              <w:rPr>
                <w:rFonts w:cs="Arial"/>
                <w:b/>
                <w:color w:val="000000"/>
                <w:sz w:val="18"/>
                <w:szCs w:val="18"/>
              </w:rPr>
              <w:t>2021</w:t>
            </w:r>
          </w:p>
        </w:tc>
        <w:tc>
          <w:tcPr>
            <w:tcW w:w="744" w:type="pct"/>
            <w:tcBorders>
              <w:top w:val="single" w:sz="6" w:space="0" w:color="auto"/>
              <w:left w:val="single" w:sz="6" w:space="0" w:color="auto"/>
              <w:bottom w:val="single" w:sz="6" w:space="0" w:color="auto"/>
              <w:right w:val="single" w:sz="6" w:space="0" w:color="auto"/>
            </w:tcBorders>
            <w:shd w:val="solid" w:color="A1F2FD" w:fill="auto"/>
            <w:tcMar>
              <w:top w:w="28" w:type="dxa"/>
              <w:bottom w:w="28" w:type="dxa"/>
            </w:tcMar>
            <w:vAlign w:val="center"/>
          </w:tcPr>
          <w:p w14:paraId="7EB854CE" w14:textId="77777777" w:rsidR="00D4549C" w:rsidRPr="006E6BFE" w:rsidRDefault="00D4549C" w:rsidP="00B67EB7">
            <w:pPr>
              <w:autoSpaceDE w:val="0"/>
              <w:autoSpaceDN w:val="0"/>
              <w:adjustRightInd w:val="0"/>
              <w:jc w:val="center"/>
              <w:rPr>
                <w:rFonts w:cs="Arial"/>
                <w:b/>
                <w:color w:val="000000"/>
                <w:sz w:val="18"/>
                <w:szCs w:val="18"/>
              </w:rPr>
            </w:pPr>
            <w:r w:rsidRPr="006E6BFE">
              <w:rPr>
                <w:rFonts w:cs="Arial"/>
                <w:b/>
                <w:color w:val="000000"/>
                <w:sz w:val="18"/>
                <w:szCs w:val="18"/>
              </w:rPr>
              <w:t>2022</w:t>
            </w:r>
          </w:p>
        </w:tc>
        <w:tc>
          <w:tcPr>
            <w:tcW w:w="744" w:type="pct"/>
            <w:tcBorders>
              <w:top w:val="single" w:sz="6" w:space="0" w:color="auto"/>
              <w:left w:val="nil"/>
              <w:bottom w:val="single" w:sz="6" w:space="0" w:color="auto"/>
              <w:right w:val="nil"/>
            </w:tcBorders>
            <w:shd w:val="solid" w:color="A1F2FD" w:fill="auto"/>
            <w:tcMar>
              <w:top w:w="28" w:type="dxa"/>
              <w:bottom w:w="28" w:type="dxa"/>
            </w:tcMar>
            <w:vAlign w:val="center"/>
          </w:tcPr>
          <w:p w14:paraId="009A6A89" w14:textId="77777777" w:rsidR="00D4549C" w:rsidRPr="006E6BFE" w:rsidRDefault="00D4549C" w:rsidP="00B67EB7">
            <w:pPr>
              <w:autoSpaceDE w:val="0"/>
              <w:autoSpaceDN w:val="0"/>
              <w:adjustRightInd w:val="0"/>
              <w:jc w:val="center"/>
              <w:rPr>
                <w:rFonts w:cs="Arial"/>
                <w:b/>
                <w:color w:val="000000"/>
                <w:sz w:val="18"/>
                <w:szCs w:val="18"/>
              </w:rPr>
            </w:pPr>
            <w:r w:rsidRPr="006E6BFE">
              <w:rPr>
                <w:rFonts w:cs="Arial"/>
                <w:b/>
                <w:color w:val="000000"/>
                <w:sz w:val="18"/>
                <w:szCs w:val="18"/>
              </w:rPr>
              <w:t>2023¹</w:t>
            </w:r>
          </w:p>
        </w:tc>
      </w:tr>
      <w:tr w:rsidR="00D4549C" w:rsidRPr="006E6BFE" w14:paraId="21A8C36B" w14:textId="77777777" w:rsidTr="00E73548">
        <w:trPr>
          <w:trHeight w:val="397"/>
        </w:trPr>
        <w:tc>
          <w:tcPr>
            <w:tcW w:w="1279" w:type="pct"/>
            <w:tcBorders>
              <w:top w:val="nil"/>
              <w:left w:val="nil"/>
              <w:bottom w:val="nil"/>
              <w:right w:val="single" w:sz="6" w:space="0" w:color="auto"/>
            </w:tcBorders>
            <w:tcMar>
              <w:top w:w="28" w:type="dxa"/>
              <w:bottom w:w="28" w:type="dxa"/>
            </w:tcMar>
            <w:vAlign w:val="center"/>
          </w:tcPr>
          <w:p w14:paraId="7424EEA9" w14:textId="77777777" w:rsidR="00D4549C" w:rsidRPr="006E6BFE" w:rsidRDefault="00D4549C" w:rsidP="00B67EB7">
            <w:pPr>
              <w:autoSpaceDE w:val="0"/>
              <w:autoSpaceDN w:val="0"/>
              <w:adjustRightInd w:val="0"/>
              <w:rPr>
                <w:rFonts w:cs="Arial"/>
                <w:b/>
                <w:bCs/>
                <w:color w:val="000000"/>
                <w:sz w:val="18"/>
                <w:szCs w:val="18"/>
              </w:rPr>
            </w:pPr>
            <w:r w:rsidRPr="006E6BFE">
              <w:rPr>
                <w:rFonts w:cs="Arial"/>
                <w:b/>
                <w:bCs/>
                <w:color w:val="000000"/>
                <w:sz w:val="18"/>
                <w:szCs w:val="18"/>
              </w:rPr>
              <w:t>Receitas Correntes (I)</w:t>
            </w:r>
          </w:p>
        </w:tc>
        <w:tc>
          <w:tcPr>
            <w:tcW w:w="744" w:type="pct"/>
            <w:tcBorders>
              <w:top w:val="single" w:sz="6" w:space="0" w:color="auto"/>
              <w:left w:val="single" w:sz="6" w:space="0" w:color="auto"/>
              <w:bottom w:val="nil"/>
              <w:right w:val="single" w:sz="6" w:space="0" w:color="auto"/>
            </w:tcBorders>
            <w:tcMar>
              <w:top w:w="28" w:type="dxa"/>
              <w:bottom w:w="28" w:type="dxa"/>
            </w:tcMar>
            <w:vAlign w:val="center"/>
          </w:tcPr>
          <w:p w14:paraId="47E4C46D"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25.863.150.824</w:t>
            </w:r>
          </w:p>
        </w:tc>
        <w:tc>
          <w:tcPr>
            <w:tcW w:w="744" w:type="pct"/>
            <w:tcBorders>
              <w:top w:val="nil"/>
              <w:left w:val="single" w:sz="6" w:space="0" w:color="auto"/>
              <w:bottom w:val="nil"/>
              <w:right w:val="single" w:sz="6" w:space="0" w:color="auto"/>
            </w:tcBorders>
            <w:tcMar>
              <w:top w:w="28" w:type="dxa"/>
              <w:bottom w:w="28" w:type="dxa"/>
            </w:tcMar>
            <w:vAlign w:val="center"/>
          </w:tcPr>
          <w:p w14:paraId="2E506D54"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27.726.613.988</w:t>
            </w:r>
          </w:p>
        </w:tc>
        <w:tc>
          <w:tcPr>
            <w:tcW w:w="744" w:type="pct"/>
            <w:tcBorders>
              <w:top w:val="nil"/>
              <w:left w:val="single" w:sz="6" w:space="0" w:color="auto"/>
              <w:bottom w:val="nil"/>
              <w:right w:val="single" w:sz="6" w:space="0" w:color="auto"/>
            </w:tcBorders>
            <w:tcMar>
              <w:top w:w="28" w:type="dxa"/>
              <w:bottom w:w="28" w:type="dxa"/>
            </w:tcMar>
            <w:vAlign w:val="center"/>
          </w:tcPr>
          <w:p w14:paraId="5E7F0049"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33.134.714.480</w:t>
            </w:r>
          </w:p>
        </w:tc>
        <w:tc>
          <w:tcPr>
            <w:tcW w:w="744" w:type="pct"/>
            <w:tcBorders>
              <w:top w:val="nil"/>
              <w:left w:val="single" w:sz="6" w:space="0" w:color="auto"/>
              <w:bottom w:val="nil"/>
              <w:right w:val="single" w:sz="6" w:space="0" w:color="auto"/>
            </w:tcBorders>
            <w:tcMar>
              <w:top w:w="28" w:type="dxa"/>
              <w:bottom w:w="28" w:type="dxa"/>
            </w:tcMar>
            <w:vAlign w:val="center"/>
          </w:tcPr>
          <w:p w14:paraId="493AE961"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38.816.979.182</w:t>
            </w:r>
          </w:p>
        </w:tc>
        <w:tc>
          <w:tcPr>
            <w:tcW w:w="744" w:type="pct"/>
            <w:tcBorders>
              <w:top w:val="nil"/>
              <w:left w:val="nil"/>
              <w:bottom w:val="nil"/>
              <w:right w:val="nil"/>
            </w:tcBorders>
            <w:tcMar>
              <w:top w:w="28" w:type="dxa"/>
              <w:bottom w:w="28" w:type="dxa"/>
            </w:tcMar>
            <w:vAlign w:val="center"/>
          </w:tcPr>
          <w:p w14:paraId="7418078D"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38.823.327.527</w:t>
            </w:r>
          </w:p>
        </w:tc>
      </w:tr>
      <w:tr w:rsidR="00D4549C" w:rsidRPr="006E6BFE" w14:paraId="4E8F3C09" w14:textId="77777777" w:rsidTr="00E73548">
        <w:trPr>
          <w:trHeight w:val="397"/>
        </w:trPr>
        <w:tc>
          <w:tcPr>
            <w:tcW w:w="1279" w:type="pct"/>
            <w:tcBorders>
              <w:top w:val="nil"/>
              <w:left w:val="nil"/>
              <w:bottom w:val="nil"/>
              <w:right w:val="single" w:sz="6" w:space="0" w:color="auto"/>
            </w:tcBorders>
            <w:tcMar>
              <w:top w:w="28" w:type="dxa"/>
              <w:bottom w:w="28" w:type="dxa"/>
            </w:tcMar>
            <w:vAlign w:val="center"/>
          </w:tcPr>
          <w:p w14:paraId="625DB271" w14:textId="77777777" w:rsidR="00D4549C" w:rsidRPr="006E6BFE" w:rsidRDefault="00D4549C" w:rsidP="00B67EB7">
            <w:pPr>
              <w:autoSpaceDE w:val="0"/>
              <w:autoSpaceDN w:val="0"/>
              <w:adjustRightInd w:val="0"/>
              <w:rPr>
                <w:rFonts w:cs="Arial"/>
                <w:color w:val="000000"/>
                <w:sz w:val="18"/>
                <w:szCs w:val="18"/>
              </w:rPr>
            </w:pPr>
            <w:r w:rsidRPr="006E6BFE">
              <w:rPr>
                <w:rFonts w:cs="Arial"/>
                <w:color w:val="000000"/>
                <w:sz w:val="18"/>
                <w:szCs w:val="18"/>
              </w:rPr>
              <w:t>Aplicações Financeiras (II)</w:t>
            </w:r>
          </w:p>
        </w:tc>
        <w:tc>
          <w:tcPr>
            <w:tcW w:w="744" w:type="pct"/>
            <w:tcBorders>
              <w:top w:val="nil"/>
              <w:left w:val="single" w:sz="6" w:space="0" w:color="auto"/>
              <w:bottom w:val="nil"/>
              <w:right w:val="single" w:sz="6" w:space="0" w:color="auto"/>
            </w:tcBorders>
            <w:tcMar>
              <w:top w:w="28" w:type="dxa"/>
              <w:bottom w:w="28" w:type="dxa"/>
            </w:tcMar>
            <w:vAlign w:val="center"/>
          </w:tcPr>
          <w:p w14:paraId="3F937956" w14:textId="77777777" w:rsidR="00D4549C" w:rsidRPr="006E6BFE" w:rsidRDefault="00D4549C" w:rsidP="00B67EB7">
            <w:pPr>
              <w:autoSpaceDE w:val="0"/>
              <w:autoSpaceDN w:val="0"/>
              <w:adjustRightInd w:val="0"/>
              <w:jc w:val="right"/>
              <w:rPr>
                <w:rFonts w:cs="Arial"/>
                <w:color w:val="000000"/>
                <w:sz w:val="18"/>
                <w:szCs w:val="18"/>
              </w:rPr>
            </w:pPr>
            <w:r w:rsidRPr="006E6BFE">
              <w:rPr>
                <w:rFonts w:cs="Arial"/>
                <w:color w:val="000000"/>
                <w:sz w:val="18"/>
                <w:szCs w:val="18"/>
              </w:rPr>
              <w:t>111.356.689</w:t>
            </w:r>
          </w:p>
        </w:tc>
        <w:tc>
          <w:tcPr>
            <w:tcW w:w="744" w:type="pct"/>
            <w:tcBorders>
              <w:top w:val="nil"/>
              <w:left w:val="single" w:sz="6" w:space="0" w:color="auto"/>
              <w:bottom w:val="nil"/>
              <w:right w:val="single" w:sz="6" w:space="0" w:color="auto"/>
            </w:tcBorders>
            <w:tcMar>
              <w:top w:w="28" w:type="dxa"/>
              <w:bottom w:w="28" w:type="dxa"/>
            </w:tcMar>
            <w:vAlign w:val="center"/>
          </w:tcPr>
          <w:p w14:paraId="17A29B61" w14:textId="77777777" w:rsidR="00D4549C" w:rsidRPr="006E6BFE" w:rsidRDefault="00D4549C" w:rsidP="00B67EB7">
            <w:pPr>
              <w:autoSpaceDE w:val="0"/>
              <w:autoSpaceDN w:val="0"/>
              <w:adjustRightInd w:val="0"/>
              <w:jc w:val="right"/>
              <w:rPr>
                <w:rFonts w:cs="Arial"/>
                <w:color w:val="000000"/>
                <w:sz w:val="18"/>
                <w:szCs w:val="18"/>
              </w:rPr>
            </w:pPr>
            <w:r w:rsidRPr="006E6BFE">
              <w:rPr>
                <w:rFonts w:cs="Arial"/>
                <w:color w:val="000000"/>
                <w:sz w:val="18"/>
                <w:szCs w:val="18"/>
              </w:rPr>
              <w:t>81.195.042</w:t>
            </w:r>
          </w:p>
        </w:tc>
        <w:tc>
          <w:tcPr>
            <w:tcW w:w="744" w:type="pct"/>
            <w:tcBorders>
              <w:top w:val="nil"/>
              <w:left w:val="single" w:sz="6" w:space="0" w:color="auto"/>
              <w:bottom w:val="nil"/>
              <w:right w:val="single" w:sz="6" w:space="0" w:color="auto"/>
            </w:tcBorders>
            <w:tcMar>
              <w:top w:w="28" w:type="dxa"/>
              <w:bottom w:w="28" w:type="dxa"/>
            </w:tcMar>
            <w:vAlign w:val="center"/>
          </w:tcPr>
          <w:p w14:paraId="542FA87C" w14:textId="77777777" w:rsidR="00D4549C" w:rsidRPr="006E6BFE" w:rsidRDefault="00D4549C" w:rsidP="00B67EB7">
            <w:pPr>
              <w:autoSpaceDE w:val="0"/>
              <w:autoSpaceDN w:val="0"/>
              <w:adjustRightInd w:val="0"/>
              <w:jc w:val="right"/>
              <w:rPr>
                <w:rFonts w:cs="Arial"/>
                <w:color w:val="000000"/>
                <w:sz w:val="18"/>
                <w:szCs w:val="18"/>
              </w:rPr>
            </w:pPr>
            <w:r w:rsidRPr="006E6BFE">
              <w:rPr>
                <w:rFonts w:cs="Arial"/>
                <w:color w:val="000000"/>
                <w:sz w:val="18"/>
                <w:szCs w:val="18"/>
              </w:rPr>
              <w:t>345.814.173</w:t>
            </w:r>
          </w:p>
        </w:tc>
        <w:tc>
          <w:tcPr>
            <w:tcW w:w="744" w:type="pct"/>
            <w:tcBorders>
              <w:top w:val="nil"/>
              <w:left w:val="single" w:sz="6" w:space="0" w:color="auto"/>
              <w:bottom w:val="nil"/>
              <w:right w:val="single" w:sz="6" w:space="0" w:color="auto"/>
            </w:tcBorders>
            <w:tcMar>
              <w:top w:w="28" w:type="dxa"/>
              <w:bottom w:w="28" w:type="dxa"/>
            </w:tcMar>
            <w:vAlign w:val="center"/>
          </w:tcPr>
          <w:p w14:paraId="435F8B7E" w14:textId="77777777" w:rsidR="00D4549C" w:rsidRPr="006E6BFE" w:rsidRDefault="00D4549C" w:rsidP="00B67EB7">
            <w:pPr>
              <w:autoSpaceDE w:val="0"/>
              <w:autoSpaceDN w:val="0"/>
              <w:adjustRightInd w:val="0"/>
              <w:jc w:val="right"/>
              <w:rPr>
                <w:rFonts w:cs="Arial"/>
                <w:color w:val="000000"/>
                <w:sz w:val="18"/>
                <w:szCs w:val="18"/>
              </w:rPr>
            </w:pPr>
            <w:r w:rsidRPr="006E6BFE">
              <w:rPr>
                <w:rFonts w:cs="Arial"/>
                <w:color w:val="000000"/>
                <w:sz w:val="18"/>
                <w:szCs w:val="18"/>
              </w:rPr>
              <w:t>1.382.465.537</w:t>
            </w:r>
          </w:p>
        </w:tc>
        <w:tc>
          <w:tcPr>
            <w:tcW w:w="744" w:type="pct"/>
            <w:tcBorders>
              <w:top w:val="nil"/>
              <w:left w:val="nil"/>
              <w:bottom w:val="nil"/>
              <w:right w:val="nil"/>
            </w:tcBorders>
            <w:tcMar>
              <w:top w:w="28" w:type="dxa"/>
              <w:bottom w:w="28" w:type="dxa"/>
            </w:tcMar>
            <w:vAlign w:val="center"/>
          </w:tcPr>
          <w:p w14:paraId="43773092" w14:textId="77777777" w:rsidR="00D4549C" w:rsidRPr="006E6BFE" w:rsidRDefault="00D4549C" w:rsidP="00B67EB7">
            <w:pPr>
              <w:autoSpaceDE w:val="0"/>
              <w:autoSpaceDN w:val="0"/>
              <w:adjustRightInd w:val="0"/>
              <w:jc w:val="right"/>
              <w:rPr>
                <w:rFonts w:cs="Arial"/>
                <w:color w:val="000000"/>
                <w:sz w:val="18"/>
                <w:szCs w:val="18"/>
              </w:rPr>
            </w:pPr>
            <w:r w:rsidRPr="006E6BFE">
              <w:rPr>
                <w:rFonts w:cs="Arial"/>
                <w:color w:val="000000"/>
                <w:sz w:val="18"/>
                <w:szCs w:val="18"/>
              </w:rPr>
              <w:t>1.666.637.510</w:t>
            </w:r>
          </w:p>
        </w:tc>
      </w:tr>
      <w:tr w:rsidR="00D4549C" w:rsidRPr="006E6BFE" w14:paraId="186FD042" w14:textId="77777777" w:rsidTr="00E73548">
        <w:trPr>
          <w:trHeight w:val="397"/>
        </w:trPr>
        <w:tc>
          <w:tcPr>
            <w:tcW w:w="1279" w:type="pct"/>
            <w:tcBorders>
              <w:top w:val="nil"/>
              <w:left w:val="nil"/>
              <w:bottom w:val="nil"/>
              <w:right w:val="single" w:sz="6" w:space="0" w:color="auto"/>
            </w:tcBorders>
            <w:tcMar>
              <w:top w:w="28" w:type="dxa"/>
              <w:bottom w:w="28" w:type="dxa"/>
            </w:tcMar>
            <w:vAlign w:val="center"/>
          </w:tcPr>
          <w:p w14:paraId="67FF0DCB" w14:textId="77777777" w:rsidR="00D4549C" w:rsidRPr="006E6BFE" w:rsidRDefault="00D4549C" w:rsidP="00B67EB7">
            <w:pPr>
              <w:autoSpaceDE w:val="0"/>
              <w:autoSpaceDN w:val="0"/>
              <w:adjustRightInd w:val="0"/>
              <w:rPr>
                <w:rFonts w:cs="Arial"/>
                <w:color w:val="000000"/>
                <w:sz w:val="18"/>
                <w:szCs w:val="18"/>
              </w:rPr>
            </w:pPr>
            <w:r w:rsidRPr="006E6BFE">
              <w:rPr>
                <w:rFonts w:cs="Arial"/>
                <w:color w:val="000000"/>
                <w:sz w:val="18"/>
                <w:szCs w:val="18"/>
              </w:rPr>
              <w:t>Outras Receitas Financeiras (III)</w:t>
            </w:r>
          </w:p>
        </w:tc>
        <w:tc>
          <w:tcPr>
            <w:tcW w:w="744" w:type="pct"/>
            <w:tcBorders>
              <w:top w:val="nil"/>
              <w:left w:val="single" w:sz="6" w:space="0" w:color="auto"/>
              <w:bottom w:val="nil"/>
              <w:right w:val="single" w:sz="6" w:space="0" w:color="auto"/>
            </w:tcBorders>
            <w:tcMar>
              <w:top w:w="28" w:type="dxa"/>
              <w:bottom w:w="28" w:type="dxa"/>
            </w:tcMar>
            <w:vAlign w:val="center"/>
          </w:tcPr>
          <w:p w14:paraId="3EC10D7F" w14:textId="77777777" w:rsidR="00D4549C" w:rsidRPr="006E6BFE" w:rsidRDefault="00D4549C" w:rsidP="00B67EB7">
            <w:pPr>
              <w:autoSpaceDE w:val="0"/>
              <w:autoSpaceDN w:val="0"/>
              <w:adjustRightInd w:val="0"/>
              <w:jc w:val="right"/>
              <w:rPr>
                <w:rFonts w:cs="Arial"/>
                <w:color w:val="000000"/>
                <w:sz w:val="18"/>
                <w:szCs w:val="18"/>
              </w:rPr>
            </w:pPr>
            <w:r w:rsidRPr="006E6BFE">
              <w:rPr>
                <w:rFonts w:cs="Arial"/>
                <w:color w:val="000000"/>
                <w:sz w:val="18"/>
                <w:szCs w:val="18"/>
              </w:rPr>
              <w:t>48.219.961</w:t>
            </w:r>
          </w:p>
        </w:tc>
        <w:tc>
          <w:tcPr>
            <w:tcW w:w="744" w:type="pct"/>
            <w:tcBorders>
              <w:top w:val="nil"/>
              <w:left w:val="single" w:sz="6" w:space="0" w:color="auto"/>
              <w:bottom w:val="nil"/>
              <w:right w:val="single" w:sz="6" w:space="0" w:color="auto"/>
            </w:tcBorders>
            <w:tcMar>
              <w:top w:w="28" w:type="dxa"/>
              <w:bottom w:w="28" w:type="dxa"/>
            </w:tcMar>
            <w:vAlign w:val="center"/>
          </w:tcPr>
          <w:p w14:paraId="0F2F986E" w14:textId="77777777" w:rsidR="00D4549C" w:rsidRPr="006E6BFE" w:rsidRDefault="00D4549C" w:rsidP="00B67EB7">
            <w:pPr>
              <w:autoSpaceDE w:val="0"/>
              <w:autoSpaceDN w:val="0"/>
              <w:adjustRightInd w:val="0"/>
              <w:jc w:val="right"/>
              <w:rPr>
                <w:rFonts w:cs="Arial"/>
                <w:color w:val="000000"/>
                <w:sz w:val="18"/>
                <w:szCs w:val="18"/>
              </w:rPr>
            </w:pPr>
            <w:r w:rsidRPr="006E6BFE">
              <w:rPr>
                <w:rFonts w:cs="Arial"/>
                <w:color w:val="000000"/>
                <w:sz w:val="18"/>
                <w:szCs w:val="18"/>
              </w:rPr>
              <w:t>65.762.510</w:t>
            </w:r>
          </w:p>
        </w:tc>
        <w:tc>
          <w:tcPr>
            <w:tcW w:w="744" w:type="pct"/>
            <w:tcBorders>
              <w:top w:val="nil"/>
              <w:left w:val="single" w:sz="6" w:space="0" w:color="auto"/>
              <w:bottom w:val="nil"/>
              <w:right w:val="single" w:sz="6" w:space="0" w:color="auto"/>
            </w:tcBorders>
            <w:tcMar>
              <w:top w:w="28" w:type="dxa"/>
              <w:bottom w:w="28" w:type="dxa"/>
            </w:tcMar>
            <w:vAlign w:val="center"/>
          </w:tcPr>
          <w:p w14:paraId="2FF77EE4" w14:textId="77777777" w:rsidR="00D4549C" w:rsidRPr="006E6BFE" w:rsidRDefault="00D4549C" w:rsidP="00B67EB7">
            <w:pPr>
              <w:autoSpaceDE w:val="0"/>
              <w:autoSpaceDN w:val="0"/>
              <w:adjustRightInd w:val="0"/>
              <w:jc w:val="right"/>
              <w:rPr>
                <w:rFonts w:cs="Arial"/>
                <w:color w:val="000000"/>
                <w:sz w:val="18"/>
                <w:szCs w:val="18"/>
              </w:rPr>
            </w:pPr>
            <w:r w:rsidRPr="006E6BFE">
              <w:rPr>
                <w:rFonts w:cs="Arial"/>
                <w:color w:val="000000"/>
                <w:sz w:val="18"/>
                <w:szCs w:val="18"/>
              </w:rPr>
              <w:t>63.546.175</w:t>
            </w:r>
          </w:p>
        </w:tc>
        <w:tc>
          <w:tcPr>
            <w:tcW w:w="744" w:type="pct"/>
            <w:tcBorders>
              <w:top w:val="nil"/>
              <w:left w:val="single" w:sz="6" w:space="0" w:color="auto"/>
              <w:bottom w:val="nil"/>
              <w:right w:val="single" w:sz="6" w:space="0" w:color="auto"/>
            </w:tcBorders>
            <w:tcMar>
              <w:top w:w="28" w:type="dxa"/>
              <w:bottom w:w="28" w:type="dxa"/>
            </w:tcMar>
            <w:vAlign w:val="center"/>
          </w:tcPr>
          <w:p w14:paraId="44CBBCE1" w14:textId="77777777" w:rsidR="00D4549C" w:rsidRPr="006E6BFE" w:rsidRDefault="00D4549C" w:rsidP="00B67EB7">
            <w:pPr>
              <w:autoSpaceDE w:val="0"/>
              <w:autoSpaceDN w:val="0"/>
              <w:adjustRightInd w:val="0"/>
              <w:jc w:val="right"/>
              <w:rPr>
                <w:rFonts w:cs="Arial"/>
                <w:color w:val="000000"/>
                <w:sz w:val="18"/>
                <w:szCs w:val="18"/>
              </w:rPr>
            </w:pPr>
            <w:r w:rsidRPr="006E6BFE">
              <w:rPr>
                <w:rFonts w:cs="Arial"/>
                <w:color w:val="000000"/>
                <w:sz w:val="18"/>
                <w:szCs w:val="18"/>
              </w:rPr>
              <w:t>48.457.936</w:t>
            </w:r>
          </w:p>
        </w:tc>
        <w:tc>
          <w:tcPr>
            <w:tcW w:w="744" w:type="pct"/>
            <w:tcBorders>
              <w:top w:val="nil"/>
              <w:left w:val="nil"/>
              <w:bottom w:val="nil"/>
              <w:right w:val="nil"/>
            </w:tcBorders>
            <w:tcMar>
              <w:top w:w="28" w:type="dxa"/>
              <w:bottom w:w="28" w:type="dxa"/>
            </w:tcMar>
            <w:vAlign w:val="center"/>
          </w:tcPr>
          <w:p w14:paraId="5719EB96" w14:textId="77777777" w:rsidR="00D4549C" w:rsidRPr="006E6BFE" w:rsidRDefault="00D4549C" w:rsidP="00B67EB7">
            <w:pPr>
              <w:autoSpaceDE w:val="0"/>
              <w:autoSpaceDN w:val="0"/>
              <w:adjustRightInd w:val="0"/>
              <w:jc w:val="right"/>
              <w:rPr>
                <w:rFonts w:cs="Arial"/>
                <w:color w:val="000000"/>
                <w:sz w:val="18"/>
                <w:szCs w:val="18"/>
              </w:rPr>
            </w:pPr>
            <w:r w:rsidRPr="006E6BFE">
              <w:rPr>
                <w:rFonts w:cs="Arial"/>
                <w:color w:val="000000"/>
                <w:sz w:val="18"/>
                <w:szCs w:val="18"/>
              </w:rPr>
              <w:t>37.182.439</w:t>
            </w:r>
          </w:p>
        </w:tc>
      </w:tr>
      <w:tr w:rsidR="00D4549C" w:rsidRPr="006E6BFE" w14:paraId="4893DAB2" w14:textId="77777777" w:rsidTr="00E73548">
        <w:trPr>
          <w:trHeight w:val="397"/>
        </w:trPr>
        <w:tc>
          <w:tcPr>
            <w:tcW w:w="1279" w:type="pct"/>
            <w:tcBorders>
              <w:top w:val="nil"/>
              <w:left w:val="nil"/>
              <w:bottom w:val="nil"/>
              <w:right w:val="single" w:sz="6" w:space="0" w:color="auto"/>
            </w:tcBorders>
            <w:tcMar>
              <w:top w:w="28" w:type="dxa"/>
              <w:bottom w:w="28" w:type="dxa"/>
            </w:tcMar>
            <w:vAlign w:val="center"/>
          </w:tcPr>
          <w:p w14:paraId="149523A2" w14:textId="77777777" w:rsidR="00D4549C" w:rsidRPr="006E6BFE" w:rsidRDefault="00D4549C" w:rsidP="00083A7E">
            <w:pPr>
              <w:autoSpaceDE w:val="0"/>
              <w:autoSpaceDN w:val="0"/>
              <w:adjustRightInd w:val="0"/>
              <w:jc w:val="center"/>
              <w:rPr>
                <w:rFonts w:cs="Arial"/>
                <w:b/>
                <w:bCs/>
                <w:color w:val="000000"/>
                <w:sz w:val="18"/>
                <w:szCs w:val="18"/>
              </w:rPr>
            </w:pPr>
            <w:r w:rsidRPr="006E6BFE">
              <w:rPr>
                <w:rFonts w:cs="Arial"/>
                <w:b/>
                <w:bCs/>
                <w:color w:val="000000"/>
                <w:sz w:val="18"/>
                <w:szCs w:val="18"/>
              </w:rPr>
              <w:t>Receitas Primárias Correntes (IV)= (I-II-III)</w:t>
            </w:r>
          </w:p>
        </w:tc>
        <w:tc>
          <w:tcPr>
            <w:tcW w:w="744" w:type="pct"/>
            <w:tcBorders>
              <w:top w:val="nil"/>
              <w:left w:val="single" w:sz="6" w:space="0" w:color="auto"/>
              <w:bottom w:val="nil"/>
              <w:right w:val="single" w:sz="6" w:space="0" w:color="auto"/>
            </w:tcBorders>
            <w:tcMar>
              <w:top w:w="28" w:type="dxa"/>
              <w:bottom w:w="28" w:type="dxa"/>
            </w:tcMar>
            <w:vAlign w:val="center"/>
          </w:tcPr>
          <w:p w14:paraId="3884C569"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25.703.574.174</w:t>
            </w:r>
          </w:p>
        </w:tc>
        <w:tc>
          <w:tcPr>
            <w:tcW w:w="744" w:type="pct"/>
            <w:tcBorders>
              <w:top w:val="nil"/>
              <w:left w:val="single" w:sz="6" w:space="0" w:color="auto"/>
              <w:bottom w:val="nil"/>
              <w:right w:val="single" w:sz="6" w:space="0" w:color="auto"/>
            </w:tcBorders>
            <w:tcMar>
              <w:top w:w="28" w:type="dxa"/>
              <w:bottom w:w="28" w:type="dxa"/>
            </w:tcMar>
            <w:vAlign w:val="center"/>
          </w:tcPr>
          <w:p w14:paraId="58961287"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27.579.656.435</w:t>
            </w:r>
          </w:p>
        </w:tc>
        <w:tc>
          <w:tcPr>
            <w:tcW w:w="744" w:type="pct"/>
            <w:tcBorders>
              <w:top w:val="nil"/>
              <w:left w:val="single" w:sz="6" w:space="0" w:color="auto"/>
              <w:bottom w:val="nil"/>
              <w:right w:val="single" w:sz="6" w:space="0" w:color="auto"/>
            </w:tcBorders>
            <w:tcMar>
              <w:top w:w="28" w:type="dxa"/>
              <w:bottom w:w="28" w:type="dxa"/>
            </w:tcMar>
            <w:vAlign w:val="center"/>
          </w:tcPr>
          <w:p w14:paraId="1051A687"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32.725.354.131</w:t>
            </w:r>
          </w:p>
        </w:tc>
        <w:tc>
          <w:tcPr>
            <w:tcW w:w="744" w:type="pct"/>
            <w:tcBorders>
              <w:top w:val="nil"/>
              <w:left w:val="single" w:sz="6" w:space="0" w:color="auto"/>
              <w:bottom w:val="nil"/>
              <w:right w:val="single" w:sz="6" w:space="0" w:color="auto"/>
            </w:tcBorders>
            <w:tcMar>
              <w:top w:w="28" w:type="dxa"/>
              <w:bottom w:w="28" w:type="dxa"/>
            </w:tcMar>
            <w:vAlign w:val="center"/>
          </w:tcPr>
          <w:p w14:paraId="276E4896"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37.386.055.710</w:t>
            </w:r>
          </w:p>
        </w:tc>
        <w:tc>
          <w:tcPr>
            <w:tcW w:w="744" w:type="pct"/>
            <w:tcBorders>
              <w:top w:val="nil"/>
              <w:left w:val="nil"/>
              <w:bottom w:val="nil"/>
              <w:right w:val="nil"/>
            </w:tcBorders>
            <w:tcMar>
              <w:top w:w="28" w:type="dxa"/>
              <w:bottom w:w="28" w:type="dxa"/>
            </w:tcMar>
            <w:vAlign w:val="center"/>
          </w:tcPr>
          <w:p w14:paraId="4CE3572B"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37.119.507.578</w:t>
            </w:r>
          </w:p>
        </w:tc>
      </w:tr>
      <w:tr w:rsidR="00D4549C" w:rsidRPr="006E6BFE" w14:paraId="0A965208" w14:textId="77777777" w:rsidTr="00E73548">
        <w:trPr>
          <w:trHeight w:val="397"/>
        </w:trPr>
        <w:tc>
          <w:tcPr>
            <w:tcW w:w="1279" w:type="pct"/>
            <w:tcBorders>
              <w:top w:val="nil"/>
              <w:left w:val="nil"/>
              <w:bottom w:val="single" w:sz="6" w:space="0" w:color="auto"/>
              <w:right w:val="single" w:sz="6" w:space="0" w:color="auto"/>
            </w:tcBorders>
            <w:tcMar>
              <w:top w:w="28" w:type="dxa"/>
              <w:bottom w:w="28" w:type="dxa"/>
            </w:tcMar>
            <w:vAlign w:val="center"/>
          </w:tcPr>
          <w:p w14:paraId="6B39C2D7" w14:textId="77777777" w:rsidR="00D4549C" w:rsidRPr="006E6BFE" w:rsidRDefault="00D4549C" w:rsidP="00083A7E">
            <w:pPr>
              <w:autoSpaceDE w:val="0"/>
              <w:autoSpaceDN w:val="0"/>
              <w:adjustRightInd w:val="0"/>
              <w:jc w:val="center"/>
              <w:rPr>
                <w:rFonts w:cs="Arial"/>
                <w:b/>
                <w:bCs/>
                <w:color w:val="000000"/>
                <w:sz w:val="18"/>
                <w:szCs w:val="18"/>
              </w:rPr>
            </w:pPr>
            <w:r w:rsidRPr="006E6BFE">
              <w:rPr>
                <w:rFonts w:cs="Arial"/>
                <w:b/>
                <w:bCs/>
                <w:color w:val="000000"/>
                <w:sz w:val="18"/>
                <w:szCs w:val="18"/>
              </w:rPr>
              <w:t>Receitas Primárias de Capital (V)</w:t>
            </w:r>
          </w:p>
        </w:tc>
        <w:tc>
          <w:tcPr>
            <w:tcW w:w="744" w:type="pct"/>
            <w:tcBorders>
              <w:top w:val="nil"/>
              <w:left w:val="single" w:sz="6" w:space="0" w:color="auto"/>
              <w:bottom w:val="single" w:sz="6" w:space="0" w:color="auto"/>
              <w:right w:val="single" w:sz="6" w:space="0" w:color="auto"/>
            </w:tcBorders>
            <w:tcMar>
              <w:top w:w="28" w:type="dxa"/>
              <w:bottom w:w="28" w:type="dxa"/>
            </w:tcMar>
            <w:vAlign w:val="center"/>
          </w:tcPr>
          <w:p w14:paraId="21F4ACB1"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2.035.278.942</w:t>
            </w:r>
          </w:p>
        </w:tc>
        <w:tc>
          <w:tcPr>
            <w:tcW w:w="744" w:type="pct"/>
            <w:tcBorders>
              <w:top w:val="nil"/>
              <w:left w:val="single" w:sz="6" w:space="0" w:color="auto"/>
              <w:bottom w:val="single" w:sz="6" w:space="0" w:color="auto"/>
              <w:right w:val="single" w:sz="6" w:space="0" w:color="auto"/>
            </w:tcBorders>
            <w:tcMar>
              <w:top w:w="28" w:type="dxa"/>
              <w:bottom w:w="28" w:type="dxa"/>
            </w:tcMar>
            <w:vAlign w:val="center"/>
          </w:tcPr>
          <w:p w14:paraId="4291BC12"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191.054.869</w:t>
            </w:r>
          </w:p>
        </w:tc>
        <w:tc>
          <w:tcPr>
            <w:tcW w:w="744" w:type="pct"/>
            <w:tcBorders>
              <w:top w:val="nil"/>
              <w:left w:val="single" w:sz="6" w:space="0" w:color="auto"/>
              <w:bottom w:val="single" w:sz="6" w:space="0" w:color="auto"/>
              <w:right w:val="single" w:sz="6" w:space="0" w:color="auto"/>
            </w:tcBorders>
            <w:tcMar>
              <w:top w:w="28" w:type="dxa"/>
              <w:bottom w:w="28" w:type="dxa"/>
            </w:tcMar>
            <w:vAlign w:val="center"/>
          </w:tcPr>
          <w:p w14:paraId="6BE8DA19"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207.161.333</w:t>
            </w:r>
          </w:p>
        </w:tc>
        <w:tc>
          <w:tcPr>
            <w:tcW w:w="744" w:type="pct"/>
            <w:tcBorders>
              <w:top w:val="nil"/>
              <w:left w:val="single" w:sz="6" w:space="0" w:color="auto"/>
              <w:bottom w:val="single" w:sz="6" w:space="0" w:color="auto"/>
              <w:right w:val="single" w:sz="6" w:space="0" w:color="auto"/>
            </w:tcBorders>
            <w:tcMar>
              <w:top w:w="28" w:type="dxa"/>
              <w:bottom w:w="28" w:type="dxa"/>
            </w:tcMar>
            <w:vAlign w:val="center"/>
          </w:tcPr>
          <w:p w14:paraId="5F03EFEF"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159.906.797</w:t>
            </w:r>
          </w:p>
        </w:tc>
        <w:tc>
          <w:tcPr>
            <w:tcW w:w="744" w:type="pct"/>
            <w:tcBorders>
              <w:top w:val="nil"/>
              <w:left w:val="nil"/>
              <w:bottom w:val="single" w:sz="6" w:space="0" w:color="auto"/>
              <w:right w:val="nil"/>
            </w:tcBorders>
            <w:tcMar>
              <w:top w:w="28" w:type="dxa"/>
              <w:bottom w:w="28" w:type="dxa"/>
            </w:tcMar>
            <w:vAlign w:val="center"/>
          </w:tcPr>
          <w:p w14:paraId="35189198"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156.605.045</w:t>
            </w:r>
          </w:p>
        </w:tc>
      </w:tr>
      <w:tr w:rsidR="00D4549C" w:rsidRPr="006E6BFE" w14:paraId="166652C4" w14:textId="77777777" w:rsidTr="00E73548">
        <w:trPr>
          <w:trHeight w:val="397"/>
        </w:trPr>
        <w:tc>
          <w:tcPr>
            <w:tcW w:w="1279" w:type="pct"/>
            <w:tcBorders>
              <w:top w:val="single" w:sz="6" w:space="0" w:color="auto"/>
              <w:left w:val="nil"/>
              <w:bottom w:val="single" w:sz="6" w:space="0" w:color="auto"/>
              <w:right w:val="single" w:sz="6" w:space="0" w:color="auto"/>
            </w:tcBorders>
            <w:tcMar>
              <w:top w:w="28" w:type="dxa"/>
              <w:bottom w:w="28" w:type="dxa"/>
            </w:tcMar>
            <w:vAlign w:val="center"/>
          </w:tcPr>
          <w:p w14:paraId="5E3D2CB7" w14:textId="1AEEEC51" w:rsidR="00083A7E" w:rsidRDefault="00D4549C" w:rsidP="00083A7E">
            <w:pPr>
              <w:autoSpaceDE w:val="0"/>
              <w:autoSpaceDN w:val="0"/>
              <w:adjustRightInd w:val="0"/>
              <w:jc w:val="center"/>
              <w:rPr>
                <w:rFonts w:cs="Arial"/>
                <w:b/>
                <w:bCs/>
                <w:color w:val="000000"/>
                <w:sz w:val="18"/>
                <w:szCs w:val="18"/>
              </w:rPr>
            </w:pPr>
            <w:r w:rsidRPr="006E6BFE">
              <w:rPr>
                <w:rFonts w:cs="Arial"/>
                <w:b/>
                <w:bCs/>
                <w:color w:val="000000"/>
                <w:sz w:val="18"/>
                <w:szCs w:val="18"/>
              </w:rPr>
              <w:t>Receita Primária Total</w:t>
            </w:r>
          </w:p>
          <w:p w14:paraId="43D5C044" w14:textId="6654CCAE" w:rsidR="00D4549C" w:rsidRPr="006E6BFE" w:rsidRDefault="00D4549C" w:rsidP="00083A7E">
            <w:pPr>
              <w:autoSpaceDE w:val="0"/>
              <w:autoSpaceDN w:val="0"/>
              <w:adjustRightInd w:val="0"/>
              <w:jc w:val="center"/>
              <w:rPr>
                <w:rFonts w:cs="Arial"/>
                <w:b/>
                <w:bCs/>
                <w:color w:val="000000"/>
                <w:sz w:val="18"/>
                <w:szCs w:val="18"/>
              </w:rPr>
            </w:pPr>
            <w:r w:rsidRPr="006E6BFE">
              <w:rPr>
                <w:rFonts w:cs="Arial"/>
                <w:b/>
                <w:bCs/>
                <w:color w:val="000000"/>
                <w:sz w:val="18"/>
                <w:szCs w:val="18"/>
              </w:rPr>
              <w:t>(VI) = (IV+V)</w:t>
            </w:r>
          </w:p>
        </w:tc>
        <w:tc>
          <w:tcPr>
            <w:tcW w:w="74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14:paraId="7A3DD5DA"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27.738.853.117</w:t>
            </w:r>
          </w:p>
        </w:tc>
        <w:tc>
          <w:tcPr>
            <w:tcW w:w="74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14:paraId="314214A4"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27.770.711.305</w:t>
            </w:r>
          </w:p>
        </w:tc>
        <w:tc>
          <w:tcPr>
            <w:tcW w:w="74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14:paraId="4F1EA893"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32.932.515.465</w:t>
            </w:r>
          </w:p>
        </w:tc>
        <w:tc>
          <w:tcPr>
            <w:tcW w:w="74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14:paraId="6635F6CD"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37.545.962.507</w:t>
            </w:r>
          </w:p>
        </w:tc>
        <w:tc>
          <w:tcPr>
            <w:tcW w:w="744" w:type="pct"/>
            <w:tcBorders>
              <w:top w:val="single" w:sz="6" w:space="0" w:color="auto"/>
              <w:left w:val="nil"/>
              <w:bottom w:val="single" w:sz="6" w:space="0" w:color="auto"/>
              <w:right w:val="nil"/>
            </w:tcBorders>
            <w:tcMar>
              <w:top w:w="28" w:type="dxa"/>
              <w:bottom w:w="28" w:type="dxa"/>
            </w:tcMar>
            <w:vAlign w:val="center"/>
          </w:tcPr>
          <w:p w14:paraId="3F4A09CA"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37.276.112.623</w:t>
            </w:r>
          </w:p>
        </w:tc>
      </w:tr>
      <w:tr w:rsidR="00D4549C" w:rsidRPr="006E6BFE" w14:paraId="357F9A00" w14:textId="77777777" w:rsidTr="00E73548">
        <w:trPr>
          <w:trHeight w:val="397"/>
        </w:trPr>
        <w:tc>
          <w:tcPr>
            <w:tcW w:w="1279" w:type="pct"/>
            <w:tcBorders>
              <w:top w:val="single" w:sz="6" w:space="0" w:color="auto"/>
              <w:left w:val="nil"/>
              <w:right w:val="nil"/>
            </w:tcBorders>
            <w:shd w:val="solid" w:color="FFFFFF" w:fill="auto"/>
            <w:tcMar>
              <w:top w:w="28" w:type="dxa"/>
              <w:bottom w:w="28" w:type="dxa"/>
            </w:tcMar>
            <w:vAlign w:val="center"/>
          </w:tcPr>
          <w:p w14:paraId="6E81EE82" w14:textId="77777777" w:rsidR="00D4549C" w:rsidRPr="006E6BFE" w:rsidRDefault="00D4549C" w:rsidP="00B67EB7">
            <w:pPr>
              <w:autoSpaceDE w:val="0"/>
              <w:autoSpaceDN w:val="0"/>
              <w:adjustRightInd w:val="0"/>
              <w:contextualSpacing/>
              <w:rPr>
                <w:rFonts w:cs="Arial"/>
                <w:color w:val="000000"/>
                <w:sz w:val="18"/>
                <w:szCs w:val="18"/>
              </w:rPr>
            </w:pPr>
            <w:r w:rsidRPr="006E6BFE">
              <w:rPr>
                <w:rFonts w:cs="Arial"/>
                <w:color w:val="000000"/>
                <w:sz w:val="18"/>
                <w:szCs w:val="18"/>
              </w:rPr>
              <w:t>¹exceto RPPS</w:t>
            </w:r>
          </w:p>
        </w:tc>
        <w:tc>
          <w:tcPr>
            <w:tcW w:w="744" w:type="pct"/>
            <w:tcBorders>
              <w:top w:val="single" w:sz="6" w:space="0" w:color="auto"/>
              <w:left w:val="nil"/>
              <w:right w:val="nil"/>
            </w:tcBorders>
            <w:shd w:val="solid" w:color="FFFFFF" w:fill="auto"/>
            <w:tcMar>
              <w:top w:w="28" w:type="dxa"/>
              <w:bottom w:w="28" w:type="dxa"/>
            </w:tcMar>
            <w:vAlign w:val="center"/>
          </w:tcPr>
          <w:p w14:paraId="09A7F21B" w14:textId="77777777" w:rsidR="00D4549C" w:rsidRPr="006E6BFE" w:rsidRDefault="00D4549C" w:rsidP="00B67EB7">
            <w:pPr>
              <w:autoSpaceDE w:val="0"/>
              <w:autoSpaceDN w:val="0"/>
              <w:adjustRightInd w:val="0"/>
              <w:contextualSpacing/>
              <w:jc w:val="right"/>
              <w:rPr>
                <w:rFonts w:cs="Arial"/>
                <w:color w:val="000000"/>
                <w:sz w:val="18"/>
                <w:szCs w:val="18"/>
              </w:rPr>
            </w:pPr>
          </w:p>
        </w:tc>
        <w:tc>
          <w:tcPr>
            <w:tcW w:w="744" w:type="pct"/>
            <w:tcBorders>
              <w:top w:val="single" w:sz="6" w:space="0" w:color="auto"/>
              <w:left w:val="nil"/>
              <w:right w:val="nil"/>
            </w:tcBorders>
            <w:shd w:val="solid" w:color="FFFFFF" w:fill="auto"/>
            <w:tcMar>
              <w:top w:w="28" w:type="dxa"/>
              <w:bottom w:w="28" w:type="dxa"/>
            </w:tcMar>
            <w:vAlign w:val="center"/>
          </w:tcPr>
          <w:p w14:paraId="0AFFB979" w14:textId="77777777" w:rsidR="00D4549C" w:rsidRPr="006E6BFE" w:rsidRDefault="00D4549C" w:rsidP="00B67EB7">
            <w:pPr>
              <w:autoSpaceDE w:val="0"/>
              <w:autoSpaceDN w:val="0"/>
              <w:adjustRightInd w:val="0"/>
              <w:contextualSpacing/>
              <w:jc w:val="right"/>
              <w:rPr>
                <w:rFonts w:cs="Arial"/>
                <w:color w:val="000000"/>
                <w:sz w:val="18"/>
                <w:szCs w:val="18"/>
              </w:rPr>
            </w:pPr>
          </w:p>
        </w:tc>
        <w:tc>
          <w:tcPr>
            <w:tcW w:w="744" w:type="pct"/>
            <w:tcBorders>
              <w:top w:val="single" w:sz="6" w:space="0" w:color="auto"/>
              <w:left w:val="nil"/>
              <w:right w:val="nil"/>
            </w:tcBorders>
            <w:shd w:val="solid" w:color="FFFFFF" w:fill="auto"/>
            <w:tcMar>
              <w:top w:w="28" w:type="dxa"/>
              <w:bottom w:w="28" w:type="dxa"/>
            </w:tcMar>
            <w:vAlign w:val="center"/>
          </w:tcPr>
          <w:p w14:paraId="0F7B0B43" w14:textId="77777777" w:rsidR="00D4549C" w:rsidRPr="006E6BFE" w:rsidRDefault="00D4549C" w:rsidP="00B67EB7">
            <w:pPr>
              <w:autoSpaceDE w:val="0"/>
              <w:autoSpaceDN w:val="0"/>
              <w:adjustRightInd w:val="0"/>
              <w:contextualSpacing/>
              <w:jc w:val="right"/>
              <w:rPr>
                <w:rFonts w:cs="Arial"/>
                <w:color w:val="000000"/>
                <w:sz w:val="18"/>
                <w:szCs w:val="18"/>
              </w:rPr>
            </w:pPr>
          </w:p>
        </w:tc>
        <w:tc>
          <w:tcPr>
            <w:tcW w:w="744" w:type="pct"/>
            <w:tcBorders>
              <w:top w:val="single" w:sz="6" w:space="0" w:color="auto"/>
              <w:left w:val="nil"/>
              <w:right w:val="nil"/>
            </w:tcBorders>
            <w:shd w:val="solid" w:color="FFFFFF" w:fill="auto"/>
            <w:tcMar>
              <w:top w:w="28" w:type="dxa"/>
              <w:bottom w:w="28" w:type="dxa"/>
            </w:tcMar>
            <w:vAlign w:val="center"/>
          </w:tcPr>
          <w:p w14:paraId="7E6BB492" w14:textId="77777777" w:rsidR="00D4549C" w:rsidRPr="006E6BFE" w:rsidRDefault="00D4549C" w:rsidP="00B67EB7">
            <w:pPr>
              <w:autoSpaceDE w:val="0"/>
              <w:autoSpaceDN w:val="0"/>
              <w:adjustRightInd w:val="0"/>
              <w:contextualSpacing/>
              <w:jc w:val="right"/>
              <w:rPr>
                <w:rFonts w:cs="Arial"/>
                <w:color w:val="000000"/>
                <w:sz w:val="18"/>
                <w:szCs w:val="18"/>
              </w:rPr>
            </w:pPr>
          </w:p>
        </w:tc>
        <w:tc>
          <w:tcPr>
            <w:tcW w:w="744" w:type="pct"/>
            <w:tcBorders>
              <w:top w:val="single" w:sz="6" w:space="0" w:color="auto"/>
              <w:left w:val="nil"/>
              <w:right w:val="nil"/>
            </w:tcBorders>
            <w:shd w:val="solid" w:color="FFFFFF" w:fill="auto"/>
            <w:tcMar>
              <w:top w:w="28" w:type="dxa"/>
              <w:bottom w:w="28" w:type="dxa"/>
            </w:tcMar>
            <w:vAlign w:val="center"/>
          </w:tcPr>
          <w:p w14:paraId="04FB3DD4" w14:textId="77777777" w:rsidR="00D4549C" w:rsidRPr="006E6BFE" w:rsidRDefault="00D4549C" w:rsidP="00B67EB7">
            <w:pPr>
              <w:autoSpaceDE w:val="0"/>
              <w:autoSpaceDN w:val="0"/>
              <w:adjustRightInd w:val="0"/>
              <w:contextualSpacing/>
              <w:jc w:val="right"/>
              <w:rPr>
                <w:rFonts w:cs="Arial"/>
                <w:color w:val="000000"/>
                <w:sz w:val="18"/>
                <w:szCs w:val="18"/>
              </w:rPr>
            </w:pPr>
          </w:p>
        </w:tc>
      </w:tr>
    </w:tbl>
    <w:p w14:paraId="0C676461" w14:textId="77777777" w:rsidR="00E73548" w:rsidRDefault="00E73548"/>
    <w:tbl>
      <w:tblPr>
        <w:tblW w:w="5000" w:type="pct"/>
        <w:tblCellMar>
          <w:left w:w="70" w:type="dxa"/>
          <w:right w:w="70" w:type="dxa"/>
        </w:tblCellMar>
        <w:tblLook w:val="0000" w:firstRow="0" w:lastRow="0" w:firstColumn="0" w:lastColumn="0" w:noHBand="0" w:noVBand="0"/>
      </w:tblPr>
      <w:tblGrid>
        <w:gridCol w:w="2393"/>
        <w:gridCol w:w="1392"/>
        <w:gridCol w:w="1392"/>
        <w:gridCol w:w="1392"/>
        <w:gridCol w:w="1392"/>
        <w:gridCol w:w="1392"/>
      </w:tblGrid>
      <w:tr w:rsidR="00D4549C" w:rsidRPr="006E6BFE" w14:paraId="450BEA01" w14:textId="77777777" w:rsidTr="001D1CB0">
        <w:trPr>
          <w:trHeight w:val="397"/>
          <w:tblHeader/>
        </w:trPr>
        <w:tc>
          <w:tcPr>
            <w:tcW w:w="1279" w:type="pct"/>
            <w:tcBorders>
              <w:top w:val="single" w:sz="6" w:space="0" w:color="auto"/>
              <w:left w:val="nil"/>
              <w:bottom w:val="single" w:sz="6" w:space="0" w:color="auto"/>
              <w:right w:val="single" w:sz="6" w:space="0" w:color="auto"/>
            </w:tcBorders>
            <w:shd w:val="solid" w:color="A1F2FD" w:fill="auto"/>
            <w:tcMar>
              <w:top w:w="28" w:type="dxa"/>
              <w:bottom w:w="28" w:type="dxa"/>
            </w:tcMar>
            <w:vAlign w:val="center"/>
          </w:tcPr>
          <w:p w14:paraId="7B43BD60" w14:textId="77777777" w:rsidR="00D4549C" w:rsidRPr="006E6BFE" w:rsidRDefault="00D4549C" w:rsidP="00B67EB7">
            <w:pPr>
              <w:autoSpaceDE w:val="0"/>
              <w:autoSpaceDN w:val="0"/>
              <w:adjustRightInd w:val="0"/>
              <w:jc w:val="center"/>
              <w:rPr>
                <w:rFonts w:cs="Arial"/>
                <w:b/>
                <w:bCs/>
                <w:color w:val="000000"/>
                <w:sz w:val="18"/>
                <w:szCs w:val="18"/>
              </w:rPr>
            </w:pPr>
            <w:r w:rsidRPr="006E6BFE">
              <w:rPr>
                <w:rFonts w:cs="Arial"/>
                <w:b/>
                <w:bCs/>
                <w:color w:val="000000"/>
                <w:sz w:val="18"/>
                <w:szCs w:val="18"/>
              </w:rPr>
              <w:lastRenderedPageBreak/>
              <w:t>Despesas Primárias</w:t>
            </w:r>
          </w:p>
        </w:tc>
        <w:tc>
          <w:tcPr>
            <w:tcW w:w="744" w:type="pct"/>
            <w:tcBorders>
              <w:top w:val="single" w:sz="6" w:space="0" w:color="auto"/>
              <w:left w:val="single" w:sz="6" w:space="0" w:color="auto"/>
              <w:bottom w:val="single" w:sz="6" w:space="0" w:color="auto"/>
              <w:right w:val="single" w:sz="6" w:space="0" w:color="auto"/>
            </w:tcBorders>
            <w:shd w:val="solid" w:color="A1F2FD" w:fill="auto"/>
            <w:tcMar>
              <w:top w:w="28" w:type="dxa"/>
              <w:bottom w:w="28" w:type="dxa"/>
            </w:tcMar>
            <w:vAlign w:val="center"/>
          </w:tcPr>
          <w:p w14:paraId="70C501BC" w14:textId="77777777" w:rsidR="00D4549C" w:rsidRPr="006E6BFE" w:rsidRDefault="00D4549C" w:rsidP="00B67EB7">
            <w:pPr>
              <w:autoSpaceDE w:val="0"/>
              <w:autoSpaceDN w:val="0"/>
              <w:adjustRightInd w:val="0"/>
              <w:jc w:val="center"/>
              <w:rPr>
                <w:rFonts w:cs="Arial"/>
                <w:b/>
                <w:bCs/>
                <w:color w:val="000000"/>
                <w:sz w:val="18"/>
                <w:szCs w:val="18"/>
              </w:rPr>
            </w:pPr>
            <w:r w:rsidRPr="006E6BFE">
              <w:rPr>
                <w:rFonts w:cs="Arial"/>
                <w:b/>
                <w:bCs/>
                <w:color w:val="000000"/>
                <w:sz w:val="18"/>
                <w:szCs w:val="18"/>
              </w:rPr>
              <w:t>2019¹</w:t>
            </w:r>
          </w:p>
        </w:tc>
        <w:tc>
          <w:tcPr>
            <w:tcW w:w="744" w:type="pct"/>
            <w:tcBorders>
              <w:top w:val="single" w:sz="6" w:space="0" w:color="auto"/>
              <w:left w:val="single" w:sz="6" w:space="0" w:color="auto"/>
              <w:bottom w:val="single" w:sz="6" w:space="0" w:color="auto"/>
              <w:right w:val="single" w:sz="6" w:space="0" w:color="auto"/>
            </w:tcBorders>
            <w:shd w:val="solid" w:color="A1F2FD" w:fill="auto"/>
            <w:tcMar>
              <w:top w:w="28" w:type="dxa"/>
              <w:bottom w:w="28" w:type="dxa"/>
            </w:tcMar>
            <w:vAlign w:val="center"/>
          </w:tcPr>
          <w:p w14:paraId="50E07EDC" w14:textId="77777777" w:rsidR="00D4549C" w:rsidRPr="006E6BFE" w:rsidRDefault="00D4549C" w:rsidP="00B67EB7">
            <w:pPr>
              <w:autoSpaceDE w:val="0"/>
              <w:autoSpaceDN w:val="0"/>
              <w:adjustRightInd w:val="0"/>
              <w:jc w:val="center"/>
              <w:rPr>
                <w:rFonts w:cs="Arial"/>
                <w:b/>
                <w:bCs/>
                <w:color w:val="000000"/>
                <w:sz w:val="18"/>
                <w:szCs w:val="18"/>
              </w:rPr>
            </w:pPr>
            <w:r w:rsidRPr="006E6BFE">
              <w:rPr>
                <w:rFonts w:cs="Arial"/>
                <w:b/>
                <w:bCs/>
                <w:color w:val="000000"/>
                <w:sz w:val="18"/>
                <w:szCs w:val="18"/>
              </w:rPr>
              <w:t>2020¹</w:t>
            </w:r>
          </w:p>
        </w:tc>
        <w:tc>
          <w:tcPr>
            <w:tcW w:w="744" w:type="pct"/>
            <w:tcBorders>
              <w:top w:val="single" w:sz="6" w:space="0" w:color="auto"/>
              <w:left w:val="single" w:sz="6" w:space="0" w:color="auto"/>
              <w:bottom w:val="single" w:sz="6" w:space="0" w:color="auto"/>
              <w:right w:val="single" w:sz="6" w:space="0" w:color="auto"/>
            </w:tcBorders>
            <w:shd w:val="solid" w:color="A1F2FD" w:fill="auto"/>
            <w:tcMar>
              <w:top w:w="28" w:type="dxa"/>
              <w:bottom w:w="28" w:type="dxa"/>
            </w:tcMar>
            <w:vAlign w:val="center"/>
          </w:tcPr>
          <w:p w14:paraId="4F6F979C" w14:textId="77777777" w:rsidR="00D4549C" w:rsidRPr="006E6BFE" w:rsidRDefault="00D4549C" w:rsidP="00B67EB7">
            <w:pPr>
              <w:autoSpaceDE w:val="0"/>
              <w:autoSpaceDN w:val="0"/>
              <w:adjustRightInd w:val="0"/>
              <w:jc w:val="center"/>
              <w:rPr>
                <w:rFonts w:cs="Arial"/>
                <w:b/>
                <w:bCs/>
                <w:color w:val="000000"/>
                <w:sz w:val="18"/>
                <w:szCs w:val="18"/>
              </w:rPr>
            </w:pPr>
            <w:r w:rsidRPr="006E6BFE">
              <w:rPr>
                <w:rFonts w:cs="Arial"/>
                <w:b/>
                <w:bCs/>
                <w:color w:val="000000"/>
                <w:sz w:val="18"/>
                <w:szCs w:val="18"/>
              </w:rPr>
              <w:t>2021¹</w:t>
            </w:r>
          </w:p>
        </w:tc>
        <w:tc>
          <w:tcPr>
            <w:tcW w:w="744" w:type="pct"/>
            <w:tcBorders>
              <w:top w:val="single" w:sz="6" w:space="0" w:color="auto"/>
              <w:left w:val="single" w:sz="6" w:space="0" w:color="auto"/>
              <w:bottom w:val="single" w:sz="6" w:space="0" w:color="auto"/>
              <w:right w:val="single" w:sz="6" w:space="0" w:color="auto"/>
            </w:tcBorders>
            <w:shd w:val="solid" w:color="A1F2FD" w:fill="auto"/>
            <w:tcMar>
              <w:top w:w="28" w:type="dxa"/>
              <w:bottom w:w="28" w:type="dxa"/>
            </w:tcMar>
            <w:vAlign w:val="center"/>
          </w:tcPr>
          <w:p w14:paraId="071825C6" w14:textId="77777777" w:rsidR="00D4549C" w:rsidRPr="006E6BFE" w:rsidRDefault="00D4549C" w:rsidP="00B67EB7">
            <w:pPr>
              <w:autoSpaceDE w:val="0"/>
              <w:autoSpaceDN w:val="0"/>
              <w:adjustRightInd w:val="0"/>
              <w:jc w:val="center"/>
              <w:rPr>
                <w:rFonts w:cs="Arial"/>
                <w:b/>
                <w:bCs/>
                <w:color w:val="000000"/>
                <w:sz w:val="18"/>
                <w:szCs w:val="18"/>
              </w:rPr>
            </w:pPr>
            <w:r w:rsidRPr="006E6BFE">
              <w:rPr>
                <w:rFonts w:cs="Arial"/>
                <w:b/>
                <w:bCs/>
                <w:color w:val="000000"/>
                <w:sz w:val="18"/>
                <w:szCs w:val="18"/>
              </w:rPr>
              <w:t>2022¹</w:t>
            </w:r>
          </w:p>
        </w:tc>
        <w:tc>
          <w:tcPr>
            <w:tcW w:w="744" w:type="pct"/>
            <w:tcBorders>
              <w:top w:val="single" w:sz="6" w:space="0" w:color="auto"/>
              <w:left w:val="nil"/>
              <w:bottom w:val="single" w:sz="6" w:space="0" w:color="auto"/>
              <w:right w:val="nil"/>
            </w:tcBorders>
            <w:shd w:val="solid" w:color="A1F2FD" w:fill="auto"/>
            <w:tcMar>
              <w:top w:w="28" w:type="dxa"/>
              <w:bottom w:w="28" w:type="dxa"/>
            </w:tcMar>
            <w:vAlign w:val="center"/>
          </w:tcPr>
          <w:p w14:paraId="446DD833" w14:textId="17AA72A4" w:rsidR="00D4549C" w:rsidRPr="006E6BFE" w:rsidRDefault="00D4549C" w:rsidP="00B67EB7">
            <w:pPr>
              <w:autoSpaceDE w:val="0"/>
              <w:autoSpaceDN w:val="0"/>
              <w:adjustRightInd w:val="0"/>
              <w:jc w:val="center"/>
              <w:rPr>
                <w:rFonts w:cs="Arial"/>
                <w:b/>
                <w:bCs/>
                <w:color w:val="000000"/>
                <w:sz w:val="18"/>
                <w:szCs w:val="18"/>
              </w:rPr>
            </w:pPr>
            <w:r w:rsidRPr="006E6BFE">
              <w:rPr>
                <w:rFonts w:cs="Arial"/>
                <w:b/>
                <w:bCs/>
                <w:color w:val="000000"/>
                <w:sz w:val="18"/>
                <w:szCs w:val="18"/>
              </w:rPr>
              <w:t>2023</w:t>
            </w:r>
            <w:r w:rsidR="002B7061">
              <w:rPr>
                <w:rFonts w:cs="Arial"/>
                <w:b/>
                <w:bCs/>
                <w:color w:val="000000"/>
                <w:sz w:val="18"/>
                <w:szCs w:val="18"/>
              </w:rPr>
              <w:t>²</w:t>
            </w:r>
          </w:p>
        </w:tc>
      </w:tr>
      <w:tr w:rsidR="00D4549C" w:rsidRPr="006E6BFE" w14:paraId="14244103" w14:textId="77777777" w:rsidTr="00E73548">
        <w:trPr>
          <w:trHeight w:val="397"/>
        </w:trPr>
        <w:tc>
          <w:tcPr>
            <w:tcW w:w="1279" w:type="pct"/>
            <w:tcBorders>
              <w:top w:val="nil"/>
              <w:left w:val="nil"/>
              <w:bottom w:val="nil"/>
              <w:right w:val="single" w:sz="6" w:space="0" w:color="auto"/>
            </w:tcBorders>
            <w:tcMar>
              <w:top w:w="28" w:type="dxa"/>
              <w:bottom w:w="28" w:type="dxa"/>
            </w:tcMar>
            <w:vAlign w:val="center"/>
          </w:tcPr>
          <w:p w14:paraId="751CFB28" w14:textId="77777777" w:rsidR="00D4549C" w:rsidRPr="006E6BFE" w:rsidRDefault="00D4549C" w:rsidP="00083A7E">
            <w:pPr>
              <w:autoSpaceDE w:val="0"/>
              <w:autoSpaceDN w:val="0"/>
              <w:adjustRightInd w:val="0"/>
              <w:jc w:val="center"/>
              <w:rPr>
                <w:rFonts w:cs="Arial"/>
                <w:b/>
                <w:bCs/>
                <w:color w:val="000000"/>
                <w:sz w:val="18"/>
                <w:szCs w:val="18"/>
              </w:rPr>
            </w:pPr>
            <w:r w:rsidRPr="006E6BFE">
              <w:rPr>
                <w:rFonts w:cs="Arial"/>
                <w:b/>
                <w:bCs/>
                <w:color w:val="000000"/>
                <w:sz w:val="18"/>
                <w:szCs w:val="18"/>
              </w:rPr>
              <w:t>Despesas Correntes (VII)</w:t>
            </w:r>
          </w:p>
        </w:tc>
        <w:tc>
          <w:tcPr>
            <w:tcW w:w="744" w:type="pct"/>
            <w:tcBorders>
              <w:top w:val="nil"/>
              <w:left w:val="single" w:sz="6" w:space="0" w:color="auto"/>
              <w:bottom w:val="nil"/>
              <w:right w:val="single" w:sz="6" w:space="0" w:color="auto"/>
            </w:tcBorders>
            <w:shd w:val="solid" w:color="FFFFFF" w:fill="auto"/>
            <w:tcMar>
              <w:top w:w="28" w:type="dxa"/>
              <w:bottom w:w="28" w:type="dxa"/>
            </w:tcMar>
            <w:vAlign w:val="center"/>
          </w:tcPr>
          <w:p w14:paraId="73DC22B7"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25.476.145.216</w:t>
            </w:r>
          </w:p>
        </w:tc>
        <w:tc>
          <w:tcPr>
            <w:tcW w:w="744" w:type="pct"/>
            <w:tcBorders>
              <w:top w:val="nil"/>
              <w:left w:val="single" w:sz="6" w:space="0" w:color="auto"/>
              <w:bottom w:val="nil"/>
              <w:right w:val="single" w:sz="6" w:space="0" w:color="auto"/>
            </w:tcBorders>
            <w:shd w:val="solid" w:color="FFFFFF" w:fill="auto"/>
            <w:tcMar>
              <w:top w:w="28" w:type="dxa"/>
              <w:bottom w:w="28" w:type="dxa"/>
            </w:tcMar>
            <w:vAlign w:val="center"/>
          </w:tcPr>
          <w:p w14:paraId="5F2CC9FA"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24.263.058.395</w:t>
            </w:r>
          </w:p>
        </w:tc>
        <w:tc>
          <w:tcPr>
            <w:tcW w:w="744" w:type="pct"/>
            <w:tcBorders>
              <w:top w:val="nil"/>
              <w:left w:val="single" w:sz="6" w:space="0" w:color="auto"/>
              <w:bottom w:val="nil"/>
              <w:right w:val="single" w:sz="6" w:space="0" w:color="auto"/>
            </w:tcBorders>
            <w:shd w:val="solid" w:color="FFFFFF" w:fill="auto"/>
            <w:tcMar>
              <w:top w:w="28" w:type="dxa"/>
              <w:bottom w:w="28" w:type="dxa"/>
            </w:tcMar>
            <w:vAlign w:val="center"/>
          </w:tcPr>
          <w:p w14:paraId="544D73A1"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27.160.975.645</w:t>
            </w:r>
          </w:p>
        </w:tc>
        <w:tc>
          <w:tcPr>
            <w:tcW w:w="744" w:type="pct"/>
            <w:tcBorders>
              <w:top w:val="nil"/>
              <w:left w:val="single" w:sz="6" w:space="0" w:color="auto"/>
              <w:bottom w:val="nil"/>
              <w:right w:val="single" w:sz="6" w:space="0" w:color="auto"/>
            </w:tcBorders>
            <w:shd w:val="solid" w:color="FFFFFF" w:fill="auto"/>
            <w:tcMar>
              <w:top w:w="28" w:type="dxa"/>
              <w:bottom w:w="28" w:type="dxa"/>
            </w:tcMar>
            <w:vAlign w:val="center"/>
          </w:tcPr>
          <w:p w14:paraId="3A59D256"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32.210.210.492</w:t>
            </w:r>
          </w:p>
        </w:tc>
        <w:tc>
          <w:tcPr>
            <w:tcW w:w="744" w:type="pct"/>
            <w:tcBorders>
              <w:top w:val="nil"/>
              <w:left w:val="nil"/>
              <w:bottom w:val="nil"/>
              <w:right w:val="nil"/>
            </w:tcBorders>
            <w:shd w:val="solid" w:color="FFFFFF" w:fill="auto"/>
            <w:tcMar>
              <w:top w:w="28" w:type="dxa"/>
              <w:bottom w:w="28" w:type="dxa"/>
            </w:tcMar>
            <w:vAlign w:val="center"/>
          </w:tcPr>
          <w:p w14:paraId="22E707D5"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32.940.528.257</w:t>
            </w:r>
          </w:p>
        </w:tc>
      </w:tr>
      <w:tr w:rsidR="00D4549C" w:rsidRPr="006E6BFE" w14:paraId="478A3AD1" w14:textId="77777777" w:rsidTr="00E73548">
        <w:trPr>
          <w:trHeight w:val="397"/>
        </w:trPr>
        <w:tc>
          <w:tcPr>
            <w:tcW w:w="1279" w:type="pct"/>
            <w:tcBorders>
              <w:top w:val="nil"/>
              <w:left w:val="nil"/>
              <w:bottom w:val="nil"/>
              <w:right w:val="single" w:sz="6" w:space="0" w:color="auto"/>
            </w:tcBorders>
            <w:tcMar>
              <w:top w:w="28" w:type="dxa"/>
              <w:bottom w:w="28" w:type="dxa"/>
            </w:tcMar>
            <w:vAlign w:val="center"/>
          </w:tcPr>
          <w:p w14:paraId="4DDEC045" w14:textId="77777777" w:rsidR="00D4549C" w:rsidRPr="006E6BFE" w:rsidRDefault="00D4549C" w:rsidP="00B67EB7">
            <w:pPr>
              <w:autoSpaceDE w:val="0"/>
              <w:autoSpaceDN w:val="0"/>
              <w:adjustRightInd w:val="0"/>
              <w:rPr>
                <w:rFonts w:cs="Arial"/>
                <w:color w:val="000000"/>
                <w:sz w:val="18"/>
                <w:szCs w:val="18"/>
              </w:rPr>
            </w:pPr>
            <w:r w:rsidRPr="006E6BFE">
              <w:rPr>
                <w:rFonts w:cs="Arial"/>
                <w:color w:val="000000"/>
                <w:sz w:val="18"/>
                <w:szCs w:val="18"/>
              </w:rPr>
              <w:t>Juros e Encargos da Dívida (VIII)</w:t>
            </w:r>
          </w:p>
        </w:tc>
        <w:tc>
          <w:tcPr>
            <w:tcW w:w="744" w:type="pct"/>
            <w:tcBorders>
              <w:top w:val="nil"/>
              <w:left w:val="single" w:sz="6" w:space="0" w:color="auto"/>
              <w:bottom w:val="nil"/>
              <w:right w:val="single" w:sz="6" w:space="0" w:color="auto"/>
            </w:tcBorders>
            <w:shd w:val="solid" w:color="FFFFFF" w:fill="auto"/>
            <w:tcMar>
              <w:top w:w="28" w:type="dxa"/>
              <w:bottom w:w="28" w:type="dxa"/>
            </w:tcMar>
            <w:vAlign w:val="center"/>
          </w:tcPr>
          <w:p w14:paraId="7582E909" w14:textId="77777777" w:rsidR="00D4549C" w:rsidRPr="006E6BFE" w:rsidRDefault="00D4549C" w:rsidP="00B67EB7">
            <w:pPr>
              <w:autoSpaceDE w:val="0"/>
              <w:autoSpaceDN w:val="0"/>
              <w:adjustRightInd w:val="0"/>
              <w:jc w:val="right"/>
              <w:rPr>
                <w:rFonts w:cs="Arial"/>
                <w:color w:val="000000"/>
                <w:sz w:val="18"/>
                <w:szCs w:val="18"/>
              </w:rPr>
            </w:pPr>
            <w:r w:rsidRPr="006E6BFE">
              <w:rPr>
                <w:rFonts w:cs="Arial"/>
                <w:color w:val="000000"/>
                <w:sz w:val="18"/>
                <w:szCs w:val="18"/>
              </w:rPr>
              <w:t>651.979.850</w:t>
            </w:r>
          </w:p>
        </w:tc>
        <w:tc>
          <w:tcPr>
            <w:tcW w:w="744" w:type="pct"/>
            <w:tcBorders>
              <w:top w:val="nil"/>
              <w:left w:val="single" w:sz="6" w:space="0" w:color="auto"/>
              <w:bottom w:val="nil"/>
              <w:right w:val="single" w:sz="6" w:space="0" w:color="auto"/>
            </w:tcBorders>
            <w:shd w:val="solid" w:color="FFFFFF" w:fill="auto"/>
            <w:tcMar>
              <w:top w:w="28" w:type="dxa"/>
              <w:bottom w:w="28" w:type="dxa"/>
            </w:tcMar>
            <w:vAlign w:val="center"/>
          </w:tcPr>
          <w:p w14:paraId="3A32F388" w14:textId="77777777" w:rsidR="00D4549C" w:rsidRPr="006E6BFE" w:rsidRDefault="00D4549C" w:rsidP="00B67EB7">
            <w:pPr>
              <w:autoSpaceDE w:val="0"/>
              <w:autoSpaceDN w:val="0"/>
              <w:adjustRightInd w:val="0"/>
              <w:jc w:val="right"/>
              <w:rPr>
                <w:rFonts w:cs="Arial"/>
                <w:color w:val="000000"/>
                <w:sz w:val="18"/>
                <w:szCs w:val="18"/>
              </w:rPr>
            </w:pPr>
            <w:r w:rsidRPr="006E6BFE">
              <w:rPr>
                <w:rFonts w:cs="Arial"/>
                <w:color w:val="000000"/>
                <w:sz w:val="18"/>
                <w:szCs w:val="18"/>
              </w:rPr>
              <w:t>40.512.352</w:t>
            </w:r>
          </w:p>
        </w:tc>
        <w:tc>
          <w:tcPr>
            <w:tcW w:w="744" w:type="pct"/>
            <w:tcBorders>
              <w:top w:val="nil"/>
              <w:left w:val="single" w:sz="6" w:space="0" w:color="auto"/>
              <w:bottom w:val="nil"/>
              <w:right w:val="single" w:sz="6" w:space="0" w:color="auto"/>
            </w:tcBorders>
            <w:shd w:val="solid" w:color="FFFFFF" w:fill="auto"/>
            <w:tcMar>
              <w:top w:w="28" w:type="dxa"/>
              <w:bottom w:w="28" w:type="dxa"/>
            </w:tcMar>
            <w:vAlign w:val="center"/>
          </w:tcPr>
          <w:p w14:paraId="4FB58C96" w14:textId="77777777" w:rsidR="00D4549C" w:rsidRPr="006E6BFE" w:rsidRDefault="00D4549C" w:rsidP="00B67EB7">
            <w:pPr>
              <w:autoSpaceDE w:val="0"/>
              <w:autoSpaceDN w:val="0"/>
              <w:adjustRightInd w:val="0"/>
              <w:jc w:val="right"/>
              <w:rPr>
                <w:rFonts w:cs="Arial"/>
                <w:color w:val="000000"/>
                <w:sz w:val="18"/>
                <w:szCs w:val="18"/>
              </w:rPr>
            </w:pPr>
            <w:r w:rsidRPr="006E6BFE">
              <w:rPr>
                <w:rFonts w:cs="Arial"/>
                <w:color w:val="000000"/>
                <w:sz w:val="18"/>
                <w:szCs w:val="18"/>
              </w:rPr>
              <w:t>72.016.902</w:t>
            </w:r>
          </w:p>
        </w:tc>
        <w:tc>
          <w:tcPr>
            <w:tcW w:w="744" w:type="pct"/>
            <w:tcBorders>
              <w:top w:val="nil"/>
              <w:left w:val="single" w:sz="6" w:space="0" w:color="auto"/>
              <w:bottom w:val="nil"/>
              <w:right w:val="single" w:sz="6" w:space="0" w:color="auto"/>
            </w:tcBorders>
            <w:shd w:val="solid" w:color="FFFFFF" w:fill="auto"/>
            <w:tcMar>
              <w:top w:w="28" w:type="dxa"/>
              <w:bottom w:w="28" w:type="dxa"/>
            </w:tcMar>
            <w:vAlign w:val="center"/>
          </w:tcPr>
          <w:p w14:paraId="02DF2AB7" w14:textId="77777777" w:rsidR="00D4549C" w:rsidRPr="006E6BFE" w:rsidRDefault="00D4549C" w:rsidP="00B67EB7">
            <w:pPr>
              <w:autoSpaceDE w:val="0"/>
              <w:autoSpaceDN w:val="0"/>
              <w:adjustRightInd w:val="0"/>
              <w:jc w:val="right"/>
              <w:rPr>
                <w:rFonts w:cs="Arial"/>
                <w:color w:val="000000"/>
                <w:sz w:val="18"/>
                <w:szCs w:val="18"/>
              </w:rPr>
            </w:pPr>
            <w:r w:rsidRPr="006E6BFE">
              <w:rPr>
                <w:rFonts w:cs="Arial"/>
                <w:color w:val="000000"/>
                <w:sz w:val="18"/>
                <w:szCs w:val="18"/>
              </w:rPr>
              <w:t>358.134.053</w:t>
            </w:r>
          </w:p>
        </w:tc>
        <w:tc>
          <w:tcPr>
            <w:tcW w:w="744" w:type="pct"/>
            <w:tcBorders>
              <w:top w:val="nil"/>
              <w:left w:val="nil"/>
              <w:bottom w:val="nil"/>
              <w:right w:val="nil"/>
            </w:tcBorders>
            <w:shd w:val="solid" w:color="FFFFFF" w:fill="auto"/>
            <w:tcMar>
              <w:top w:w="28" w:type="dxa"/>
              <w:bottom w:w="28" w:type="dxa"/>
            </w:tcMar>
            <w:vAlign w:val="center"/>
          </w:tcPr>
          <w:p w14:paraId="46766840" w14:textId="77777777" w:rsidR="00D4549C" w:rsidRPr="006E6BFE" w:rsidRDefault="00D4549C" w:rsidP="00B67EB7">
            <w:pPr>
              <w:autoSpaceDE w:val="0"/>
              <w:autoSpaceDN w:val="0"/>
              <w:adjustRightInd w:val="0"/>
              <w:jc w:val="right"/>
              <w:rPr>
                <w:rFonts w:cs="Arial"/>
                <w:color w:val="000000"/>
                <w:sz w:val="18"/>
                <w:szCs w:val="18"/>
              </w:rPr>
            </w:pPr>
            <w:r w:rsidRPr="006E6BFE">
              <w:rPr>
                <w:rFonts w:cs="Arial"/>
                <w:color w:val="000000"/>
                <w:sz w:val="18"/>
                <w:szCs w:val="18"/>
              </w:rPr>
              <w:t>588.232.636</w:t>
            </w:r>
          </w:p>
        </w:tc>
      </w:tr>
      <w:tr w:rsidR="00D4549C" w:rsidRPr="006E6BFE" w14:paraId="72AFEDF1" w14:textId="77777777" w:rsidTr="00E73548">
        <w:trPr>
          <w:trHeight w:val="397"/>
        </w:trPr>
        <w:tc>
          <w:tcPr>
            <w:tcW w:w="1279" w:type="pct"/>
            <w:tcBorders>
              <w:top w:val="nil"/>
              <w:left w:val="nil"/>
              <w:bottom w:val="nil"/>
              <w:right w:val="single" w:sz="6" w:space="0" w:color="auto"/>
            </w:tcBorders>
            <w:tcMar>
              <w:top w:w="28" w:type="dxa"/>
              <w:bottom w:w="28" w:type="dxa"/>
            </w:tcMar>
            <w:vAlign w:val="center"/>
          </w:tcPr>
          <w:p w14:paraId="0B3478D9" w14:textId="77777777" w:rsidR="00083A7E" w:rsidRDefault="00D4549C" w:rsidP="00083A7E">
            <w:pPr>
              <w:autoSpaceDE w:val="0"/>
              <w:autoSpaceDN w:val="0"/>
              <w:adjustRightInd w:val="0"/>
              <w:jc w:val="center"/>
              <w:rPr>
                <w:rFonts w:cs="Arial"/>
                <w:b/>
                <w:bCs/>
                <w:color w:val="000000"/>
                <w:sz w:val="18"/>
                <w:szCs w:val="18"/>
              </w:rPr>
            </w:pPr>
            <w:r w:rsidRPr="006E6BFE">
              <w:rPr>
                <w:rFonts w:cs="Arial"/>
                <w:b/>
                <w:bCs/>
                <w:color w:val="000000"/>
                <w:sz w:val="18"/>
                <w:szCs w:val="18"/>
              </w:rPr>
              <w:t xml:space="preserve">Despesas Primárias Correntes </w:t>
            </w:r>
          </w:p>
          <w:p w14:paraId="1CFF2D0F" w14:textId="131E4472" w:rsidR="00D4549C" w:rsidRPr="006E6BFE" w:rsidRDefault="00D4549C" w:rsidP="00083A7E">
            <w:pPr>
              <w:autoSpaceDE w:val="0"/>
              <w:autoSpaceDN w:val="0"/>
              <w:adjustRightInd w:val="0"/>
              <w:jc w:val="center"/>
              <w:rPr>
                <w:rFonts w:cs="Arial"/>
                <w:b/>
                <w:bCs/>
                <w:color w:val="000000"/>
                <w:sz w:val="18"/>
                <w:szCs w:val="18"/>
              </w:rPr>
            </w:pPr>
            <w:r w:rsidRPr="006E6BFE">
              <w:rPr>
                <w:rFonts w:cs="Arial"/>
                <w:b/>
                <w:bCs/>
                <w:color w:val="000000"/>
                <w:sz w:val="18"/>
                <w:szCs w:val="18"/>
              </w:rPr>
              <w:t>(IX) = (VII- VIII)</w:t>
            </w:r>
          </w:p>
        </w:tc>
        <w:tc>
          <w:tcPr>
            <w:tcW w:w="744" w:type="pct"/>
            <w:tcBorders>
              <w:top w:val="nil"/>
              <w:left w:val="single" w:sz="6" w:space="0" w:color="auto"/>
              <w:bottom w:val="nil"/>
              <w:right w:val="single" w:sz="6" w:space="0" w:color="auto"/>
            </w:tcBorders>
            <w:shd w:val="solid" w:color="FFFFFF" w:fill="auto"/>
            <w:tcMar>
              <w:top w:w="28" w:type="dxa"/>
              <w:bottom w:w="28" w:type="dxa"/>
            </w:tcMar>
            <w:vAlign w:val="center"/>
          </w:tcPr>
          <w:p w14:paraId="047056B8"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24.824.165.367</w:t>
            </w:r>
          </w:p>
        </w:tc>
        <w:tc>
          <w:tcPr>
            <w:tcW w:w="744" w:type="pct"/>
            <w:tcBorders>
              <w:top w:val="nil"/>
              <w:left w:val="single" w:sz="6" w:space="0" w:color="auto"/>
              <w:bottom w:val="nil"/>
              <w:right w:val="single" w:sz="6" w:space="0" w:color="auto"/>
            </w:tcBorders>
            <w:shd w:val="solid" w:color="FFFFFF" w:fill="auto"/>
            <w:tcMar>
              <w:top w:w="28" w:type="dxa"/>
              <w:bottom w:w="28" w:type="dxa"/>
            </w:tcMar>
            <w:vAlign w:val="center"/>
          </w:tcPr>
          <w:p w14:paraId="64BB8225"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24.222.546.043</w:t>
            </w:r>
          </w:p>
        </w:tc>
        <w:tc>
          <w:tcPr>
            <w:tcW w:w="744" w:type="pct"/>
            <w:tcBorders>
              <w:top w:val="nil"/>
              <w:left w:val="single" w:sz="6" w:space="0" w:color="auto"/>
              <w:bottom w:val="nil"/>
              <w:right w:val="single" w:sz="6" w:space="0" w:color="auto"/>
            </w:tcBorders>
            <w:shd w:val="solid" w:color="FFFFFF" w:fill="auto"/>
            <w:tcMar>
              <w:top w:w="28" w:type="dxa"/>
              <w:bottom w:w="28" w:type="dxa"/>
            </w:tcMar>
            <w:vAlign w:val="center"/>
          </w:tcPr>
          <w:p w14:paraId="087CB337"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27.088.958.743</w:t>
            </w:r>
          </w:p>
        </w:tc>
        <w:tc>
          <w:tcPr>
            <w:tcW w:w="744" w:type="pct"/>
            <w:tcBorders>
              <w:top w:val="nil"/>
              <w:left w:val="single" w:sz="6" w:space="0" w:color="auto"/>
              <w:bottom w:val="nil"/>
              <w:right w:val="single" w:sz="6" w:space="0" w:color="auto"/>
            </w:tcBorders>
            <w:shd w:val="solid" w:color="FFFFFF" w:fill="auto"/>
            <w:tcMar>
              <w:top w:w="28" w:type="dxa"/>
              <w:bottom w:w="28" w:type="dxa"/>
            </w:tcMar>
            <w:vAlign w:val="center"/>
          </w:tcPr>
          <w:p w14:paraId="32F3FC6E"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31.852.076.439</w:t>
            </w:r>
          </w:p>
        </w:tc>
        <w:tc>
          <w:tcPr>
            <w:tcW w:w="744" w:type="pct"/>
            <w:tcBorders>
              <w:top w:val="nil"/>
              <w:left w:val="nil"/>
              <w:bottom w:val="nil"/>
              <w:right w:val="nil"/>
            </w:tcBorders>
            <w:shd w:val="solid" w:color="FFFFFF" w:fill="auto"/>
            <w:tcMar>
              <w:top w:w="28" w:type="dxa"/>
              <w:bottom w:w="28" w:type="dxa"/>
            </w:tcMar>
            <w:vAlign w:val="center"/>
          </w:tcPr>
          <w:p w14:paraId="5527CB52"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32.352.295.621</w:t>
            </w:r>
          </w:p>
        </w:tc>
      </w:tr>
      <w:tr w:rsidR="00D4549C" w:rsidRPr="006E6BFE" w14:paraId="6FE3B257" w14:textId="77777777" w:rsidTr="00E73548">
        <w:trPr>
          <w:trHeight w:val="397"/>
        </w:trPr>
        <w:tc>
          <w:tcPr>
            <w:tcW w:w="1279" w:type="pct"/>
            <w:tcBorders>
              <w:top w:val="nil"/>
              <w:left w:val="nil"/>
              <w:bottom w:val="nil"/>
              <w:right w:val="single" w:sz="6" w:space="0" w:color="auto"/>
            </w:tcBorders>
            <w:tcMar>
              <w:top w:w="28" w:type="dxa"/>
              <w:bottom w:w="28" w:type="dxa"/>
            </w:tcMar>
            <w:vAlign w:val="center"/>
          </w:tcPr>
          <w:p w14:paraId="624818A1" w14:textId="1258A8BC" w:rsidR="00D4549C" w:rsidRPr="006E6BFE" w:rsidRDefault="00D4549C" w:rsidP="00083A7E">
            <w:pPr>
              <w:autoSpaceDE w:val="0"/>
              <w:autoSpaceDN w:val="0"/>
              <w:adjustRightInd w:val="0"/>
              <w:jc w:val="center"/>
              <w:rPr>
                <w:rFonts w:cs="Arial"/>
                <w:b/>
                <w:bCs/>
                <w:color w:val="000000"/>
                <w:sz w:val="18"/>
                <w:szCs w:val="18"/>
              </w:rPr>
            </w:pPr>
            <w:r w:rsidRPr="006E6BFE">
              <w:rPr>
                <w:rFonts w:cs="Arial"/>
                <w:b/>
                <w:bCs/>
                <w:color w:val="000000"/>
                <w:sz w:val="18"/>
                <w:szCs w:val="18"/>
              </w:rPr>
              <w:t>Despesas Primárias de Capital (X)</w:t>
            </w:r>
          </w:p>
        </w:tc>
        <w:tc>
          <w:tcPr>
            <w:tcW w:w="744" w:type="pct"/>
            <w:tcBorders>
              <w:top w:val="nil"/>
              <w:left w:val="single" w:sz="6" w:space="0" w:color="auto"/>
              <w:bottom w:val="nil"/>
              <w:right w:val="single" w:sz="6" w:space="0" w:color="auto"/>
            </w:tcBorders>
            <w:tcMar>
              <w:top w:w="28" w:type="dxa"/>
              <w:bottom w:w="28" w:type="dxa"/>
            </w:tcMar>
            <w:vAlign w:val="center"/>
          </w:tcPr>
          <w:p w14:paraId="02E5CFDA"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590.846.020</w:t>
            </w:r>
          </w:p>
        </w:tc>
        <w:tc>
          <w:tcPr>
            <w:tcW w:w="744" w:type="pct"/>
            <w:tcBorders>
              <w:top w:val="nil"/>
              <w:left w:val="single" w:sz="6" w:space="0" w:color="auto"/>
              <w:bottom w:val="nil"/>
              <w:right w:val="single" w:sz="6" w:space="0" w:color="auto"/>
            </w:tcBorders>
            <w:tcMar>
              <w:top w:w="28" w:type="dxa"/>
              <w:bottom w:w="28" w:type="dxa"/>
            </w:tcMar>
            <w:vAlign w:val="center"/>
          </w:tcPr>
          <w:p w14:paraId="45639F3C"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844.898.330</w:t>
            </w:r>
          </w:p>
        </w:tc>
        <w:tc>
          <w:tcPr>
            <w:tcW w:w="744" w:type="pct"/>
            <w:tcBorders>
              <w:top w:val="nil"/>
              <w:left w:val="single" w:sz="6" w:space="0" w:color="auto"/>
              <w:bottom w:val="nil"/>
              <w:right w:val="single" w:sz="6" w:space="0" w:color="auto"/>
            </w:tcBorders>
            <w:tcMar>
              <w:top w:w="28" w:type="dxa"/>
              <w:bottom w:w="28" w:type="dxa"/>
            </w:tcMar>
            <w:vAlign w:val="center"/>
          </w:tcPr>
          <w:p w14:paraId="19E08DC1"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2.482.847.858</w:t>
            </w:r>
          </w:p>
        </w:tc>
        <w:tc>
          <w:tcPr>
            <w:tcW w:w="744" w:type="pct"/>
            <w:tcBorders>
              <w:top w:val="nil"/>
              <w:left w:val="single" w:sz="6" w:space="0" w:color="auto"/>
              <w:bottom w:val="nil"/>
              <w:right w:val="single" w:sz="6" w:space="0" w:color="auto"/>
            </w:tcBorders>
            <w:tcMar>
              <w:top w:w="28" w:type="dxa"/>
              <w:bottom w:w="28" w:type="dxa"/>
            </w:tcMar>
            <w:vAlign w:val="center"/>
          </w:tcPr>
          <w:p w14:paraId="56AADE22"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3.330.952.209</w:t>
            </w:r>
          </w:p>
        </w:tc>
        <w:tc>
          <w:tcPr>
            <w:tcW w:w="744" w:type="pct"/>
            <w:tcBorders>
              <w:top w:val="nil"/>
              <w:left w:val="nil"/>
              <w:bottom w:val="nil"/>
              <w:right w:val="nil"/>
            </w:tcBorders>
            <w:tcMar>
              <w:top w:w="28" w:type="dxa"/>
              <w:bottom w:w="28" w:type="dxa"/>
            </w:tcMar>
            <w:vAlign w:val="center"/>
          </w:tcPr>
          <w:p w14:paraId="7418A0F4"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3.393.987.019</w:t>
            </w:r>
          </w:p>
        </w:tc>
      </w:tr>
      <w:tr w:rsidR="00D4549C" w:rsidRPr="006E6BFE" w14:paraId="5E2B4689" w14:textId="77777777" w:rsidTr="00E73548">
        <w:trPr>
          <w:trHeight w:val="397"/>
        </w:trPr>
        <w:tc>
          <w:tcPr>
            <w:tcW w:w="1279" w:type="pct"/>
            <w:tcBorders>
              <w:top w:val="nil"/>
              <w:left w:val="nil"/>
              <w:bottom w:val="single" w:sz="6" w:space="0" w:color="auto"/>
              <w:right w:val="single" w:sz="6" w:space="0" w:color="auto"/>
            </w:tcBorders>
            <w:tcMar>
              <w:top w:w="28" w:type="dxa"/>
              <w:bottom w:w="28" w:type="dxa"/>
            </w:tcMar>
            <w:vAlign w:val="center"/>
          </w:tcPr>
          <w:p w14:paraId="0D3D9DA2" w14:textId="77777777" w:rsidR="00D4549C" w:rsidRPr="006E6BFE" w:rsidRDefault="00D4549C" w:rsidP="00083A7E">
            <w:pPr>
              <w:autoSpaceDE w:val="0"/>
              <w:autoSpaceDN w:val="0"/>
              <w:adjustRightInd w:val="0"/>
              <w:jc w:val="center"/>
              <w:rPr>
                <w:rFonts w:cs="Arial"/>
                <w:b/>
                <w:bCs/>
                <w:color w:val="000000"/>
                <w:sz w:val="18"/>
                <w:szCs w:val="18"/>
              </w:rPr>
            </w:pPr>
            <w:r w:rsidRPr="006E6BFE">
              <w:rPr>
                <w:rFonts w:cs="Arial"/>
                <w:b/>
                <w:bCs/>
                <w:color w:val="000000"/>
                <w:sz w:val="18"/>
                <w:szCs w:val="18"/>
              </w:rPr>
              <w:t>Despesa Primária Total (XI)= (IX+X)</w:t>
            </w:r>
          </w:p>
        </w:tc>
        <w:tc>
          <w:tcPr>
            <w:tcW w:w="744" w:type="pct"/>
            <w:tcBorders>
              <w:top w:val="nil"/>
              <w:left w:val="single" w:sz="6" w:space="0" w:color="auto"/>
              <w:bottom w:val="single" w:sz="6" w:space="0" w:color="auto"/>
              <w:right w:val="single" w:sz="6" w:space="0" w:color="auto"/>
            </w:tcBorders>
            <w:shd w:val="solid" w:color="FFFFFF" w:fill="auto"/>
            <w:tcMar>
              <w:top w:w="28" w:type="dxa"/>
              <w:bottom w:w="28" w:type="dxa"/>
            </w:tcMar>
            <w:vAlign w:val="center"/>
          </w:tcPr>
          <w:p w14:paraId="0FD5043B"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25.415.011.387</w:t>
            </w:r>
          </w:p>
        </w:tc>
        <w:tc>
          <w:tcPr>
            <w:tcW w:w="744" w:type="pct"/>
            <w:tcBorders>
              <w:top w:val="nil"/>
              <w:left w:val="single" w:sz="6" w:space="0" w:color="auto"/>
              <w:bottom w:val="single" w:sz="6" w:space="0" w:color="auto"/>
              <w:right w:val="single" w:sz="6" w:space="0" w:color="auto"/>
            </w:tcBorders>
            <w:shd w:val="solid" w:color="FFFFFF" w:fill="auto"/>
            <w:tcMar>
              <w:top w:w="28" w:type="dxa"/>
              <w:bottom w:w="28" w:type="dxa"/>
            </w:tcMar>
            <w:vAlign w:val="center"/>
          </w:tcPr>
          <w:p w14:paraId="7A0FFDA2"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25.067.444.374</w:t>
            </w:r>
          </w:p>
        </w:tc>
        <w:tc>
          <w:tcPr>
            <w:tcW w:w="744" w:type="pct"/>
            <w:tcBorders>
              <w:top w:val="nil"/>
              <w:left w:val="single" w:sz="6" w:space="0" w:color="auto"/>
              <w:bottom w:val="single" w:sz="6" w:space="0" w:color="auto"/>
              <w:right w:val="single" w:sz="6" w:space="0" w:color="auto"/>
            </w:tcBorders>
            <w:shd w:val="solid" w:color="FFFFFF" w:fill="auto"/>
            <w:tcMar>
              <w:top w:w="28" w:type="dxa"/>
              <w:bottom w:w="28" w:type="dxa"/>
            </w:tcMar>
            <w:vAlign w:val="center"/>
          </w:tcPr>
          <w:p w14:paraId="52822484"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29.571.806.601</w:t>
            </w:r>
          </w:p>
        </w:tc>
        <w:tc>
          <w:tcPr>
            <w:tcW w:w="744" w:type="pct"/>
            <w:tcBorders>
              <w:top w:val="nil"/>
              <w:left w:val="single" w:sz="6" w:space="0" w:color="auto"/>
              <w:bottom w:val="single" w:sz="6" w:space="0" w:color="auto"/>
              <w:right w:val="single" w:sz="6" w:space="0" w:color="auto"/>
            </w:tcBorders>
            <w:shd w:val="solid" w:color="FFFFFF" w:fill="auto"/>
            <w:tcMar>
              <w:top w:w="28" w:type="dxa"/>
              <w:bottom w:w="28" w:type="dxa"/>
            </w:tcMar>
            <w:vAlign w:val="center"/>
          </w:tcPr>
          <w:p w14:paraId="65BFAEBF"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35.183.028.648</w:t>
            </w:r>
          </w:p>
        </w:tc>
        <w:tc>
          <w:tcPr>
            <w:tcW w:w="744" w:type="pct"/>
            <w:tcBorders>
              <w:top w:val="nil"/>
              <w:left w:val="nil"/>
              <w:bottom w:val="single" w:sz="6" w:space="0" w:color="auto"/>
              <w:right w:val="nil"/>
            </w:tcBorders>
            <w:shd w:val="solid" w:color="FFFFFF" w:fill="auto"/>
            <w:tcMar>
              <w:top w:w="28" w:type="dxa"/>
              <w:bottom w:w="28" w:type="dxa"/>
            </w:tcMar>
            <w:vAlign w:val="center"/>
          </w:tcPr>
          <w:p w14:paraId="059FCA94"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35.746.282.640</w:t>
            </w:r>
          </w:p>
        </w:tc>
      </w:tr>
      <w:tr w:rsidR="00D4549C" w:rsidRPr="006E6BFE" w14:paraId="60EE8C1B" w14:textId="77777777" w:rsidTr="00E73548">
        <w:trPr>
          <w:trHeight w:val="397"/>
        </w:trPr>
        <w:tc>
          <w:tcPr>
            <w:tcW w:w="1279" w:type="pct"/>
            <w:tcBorders>
              <w:top w:val="single" w:sz="6" w:space="0" w:color="auto"/>
              <w:left w:val="nil"/>
              <w:bottom w:val="single" w:sz="6" w:space="0" w:color="auto"/>
              <w:right w:val="nil"/>
            </w:tcBorders>
            <w:tcMar>
              <w:top w:w="28" w:type="dxa"/>
              <w:bottom w:w="28" w:type="dxa"/>
            </w:tcMar>
            <w:vAlign w:val="center"/>
          </w:tcPr>
          <w:p w14:paraId="3D3DED81" w14:textId="77777777" w:rsidR="00D4549C" w:rsidRPr="006E6BFE" w:rsidRDefault="00D4549C" w:rsidP="00B67EB7">
            <w:pPr>
              <w:autoSpaceDE w:val="0"/>
              <w:autoSpaceDN w:val="0"/>
              <w:adjustRightInd w:val="0"/>
              <w:jc w:val="right"/>
              <w:rPr>
                <w:rFonts w:cs="Arial"/>
                <w:color w:val="000000"/>
                <w:sz w:val="18"/>
                <w:szCs w:val="18"/>
              </w:rPr>
            </w:pPr>
          </w:p>
        </w:tc>
        <w:tc>
          <w:tcPr>
            <w:tcW w:w="744" w:type="pct"/>
            <w:tcBorders>
              <w:top w:val="single" w:sz="6" w:space="0" w:color="auto"/>
              <w:left w:val="nil"/>
              <w:bottom w:val="single" w:sz="6" w:space="0" w:color="auto"/>
              <w:right w:val="nil"/>
            </w:tcBorders>
            <w:shd w:val="solid" w:color="FFFFFF" w:fill="auto"/>
            <w:tcMar>
              <w:top w:w="28" w:type="dxa"/>
              <w:bottom w:w="28" w:type="dxa"/>
            </w:tcMar>
            <w:vAlign w:val="center"/>
          </w:tcPr>
          <w:p w14:paraId="0BCD51BF" w14:textId="77777777" w:rsidR="00D4549C" w:rsidRPr="006E6BFE" w:rsidRDefault="00D4549C" w:rsidP="00B67EB7">
            <w:pPr>
              <w:autoSpaceDE w:val="0"/>
              <w:autoSpaceDN w:val="0"/>
              <w:adjustRightInd w:val="0"/>
              <w:jc w:val="right"/>
              <w:rPr>
                <w:rFonts w:cs="Arial"/>
                <w:color w:val="000000"/>
                <w:sz w:val="18"/>
                <w:szCs w:val="18"/>
              </w:rPr>
            </w:pPr>
          </w:p>
        </w:tc>
        <w:tc>
          <w:tcPr>
            <w:tcW w:w="744" w:type="pct"/>
            <w:tcBorders>
              <w:top w:val="single" w:sz="6" w:space="0" w:color="auto"/>
              <w:left w:val="nil"/>
              <w:bottom w:val="single" w:sz="6" w:space="0" w:color="auto"/>
              <w:right w:val="nil"/>
            </w:tcBorders>
            <w:shd w:val="solid" w:color="FFFFFF" w:fill="auto"/>
            <w:tcMar>
              <w:top w:w="28" w:type="dxa"/>
              <w:bottom w:w="28" w:type="dxa"/>
            </w:tcMar>
            <w:vAlign w:val="center"/>
          </w:tcPr>
          <w:p w14:paraId="5EC5C4BB" w14:textId="77777777" w:rsidR="00D4549C" w:rsidRPr="006E6BFE" w:rsidRDefault="00D4549C" w:rsidP="00B67EB7">
            <w:pPr>
              <w:autoSpaceDE w:val="0"/>
              <w:autoSpaceDN w:val="0"/>
              <w:adjustRightInd w:val="0"/>
              <w:jc w:val="right"/>
              <w:rPr>
                <w:rFonts w:cs="Arial"/>
                <w:color w:val="000000"/>
                <w:sz w:val="18"/>
                <w:szCs w:val="18"/>
              </w:rPr>
            </w:pPr>
          </w:p>
        </w:tc>
        <w:tc>
          <w:tcPr>
            <w:tcW w:w="744" w:type="pct"/>
            <w:tcBorders>
              <w:top w:val="single" w:sz="6" w:space="0" w:color="auto"/>
              <w:left w:val="nil"/>
              <w:bottom w:val="single" w:sz="6" w:space="0" w:color="auto"/>
              <w:right w:val="nil"/>
            </w:tcBorders>
            <w:shd w:val="solid" w:color="FFFFFF" w:fill="auto"/>
            <w:tcMar>
              <w:top w:w="28" w:type="dxa"/>
              <w:bottom w:w="28" w:type="dxa"/>
            </w:tcMar>
            <w:vAlign w:val="center"/>
          </w:tcPr>
          <w:p w14:paraId="64192A8D" w14:textId="77777777" w:rsidR="00D4549C" w:rsidRPr="006E6BFE" w:rsidRDefault="00D4549C" w:rsidP="00B67EB7">
            <w:pPr>
              <w:autoSpaceDE w:val="0"/>
              <w:autoSpaceDN w:val="0"/>
              <w:adjustRightInd w:val="0"/>
              <w:jc w:val="right"/>
              <w:rPr>
                <w:rFonts w:cs="Arial"/>
                <w:color w:val="000000"/>
                <w:sz w:val="18"/>
                <w:szCs w:val="18"/>
              </w:rPr>
            </w:pPr>
          </w:p>
        </w:tc>
        <w:tc>
          <w:tcPr>
            <w:tcW w:w="744" w:type="pct"/>
            <w:tcBorders>
              <w:top w:val="single" w:sz="6" w:space="0" w:color="auto"/>
              <w:left w:val="nil"/>
              <w:bottom w:val="single" w:sz="6" w:space="0" w:color="auto"/>
              <w:right w:val="nil"/>
            </w:tcBorders>
            <w:shd w:val="solid" w:color="FFFFFF" w:fill="auto"/>
            <w:tcMar>
              <w:top w:w="28" w:type="dxa"/>
              <w:bottom w:w="28" w:type="dxa"/>
            </w:tcMar>
            <w:vAlign w:val="center"/>
          </w:tcPr>
          <w:p w14:paraId="34823D4A" w14:textId="77777777" w:rsidR="00D4549C" w:rsidRPr="006E6BFE" w:rsidRDefault="00D4549C" w:rsidP="00B67EB7">
            <w:pPr>
              <w:autoSpaceDE w:val="0"/>
              <w:autoSpaceDN w:val="0"/>
              <w:adjustRightInd w:val="0"/>
              <w:jc w:val="right"/>
              <w:rPr>
                <w:rFonts w:cs="Arial"/>
                <w:color w:val="000000"/>
                <w:sz w:val="18"/>
                <w:szCs w:val="18"/>
              </w:rPr>
            </w:pPr>
          </w:p>
        </w:tc>
        <w:tc>
          <w:tcPr>
            <w:tcW w:w="744" w:type="pct"/>
            <w:tcBorders>
              <w:top w:val="single" w:sz="6" w:space="0" w:color="auto"/>
              <w:left w:val="nil"/>
              <w:bottom w:val="single" w:sz="6" w:space="0" w:color="auto"/>
              <w:right w:val="nil"/>
            </w:tcBorders>
            <w:shd w:val="solid" w:color="FFFFFF" w:fill="auto"/>
            <w:tcMar>
              <w:top w:w="28" w:type="dxa"/>
              <w:bottom w:w="28" w:type="dxa"/>
            </w:tcMar>
            <w:vAlign w:val="center"/>
          </w:tcPr>
          <w:p w14:paraId="0376001A" w14:textId="77777777" w:rsidR="00D4549C" w:rsidRPr="006E6BFE" w:rsidRDefault="00D4549C" w:rsidP="00B67EB7">
            <w:pPr>
              <w:autoSpaceDE w:val="0"/>
              <w:autoSpaceDN w:val="0"/>
              <w:adjustRightInd w:val="0"/>
              <w:jc w:val="right"/>
              <w:rPr>
                <w:rFonts w:cs="Arial"/>
                <w:color w:val="000000"/>
                <w:sz w:val="18"/>
                <w:szCs w:val="18"/>
              </w:rPr>
            </w:pPr>
          </w:p>
        </w:tc>
      </w:tr>
      <w:tr w:rsidR="00D4549C" w:rsidRPr="006E6BFE" w14:paraId="0D3B0AEB" w14:textId="77777777" w:rsidTr="00E73548">
        <w:trPr>
          <w:trHeight w:val="397"/>
        </w:trPr>
        <w:tc>
          <w:tcPr>
            <w:tcW w:w="1279" w:type="pct"/>
            <w:tcBorders>
              <w:top w:val="single" w:sz="6" w:space="0" w:color="auto"/>
              <w:left w:val="nil"/>
              <w:bottom w:val="single" w:sz="6" w:space="0" w:color="auto"/>
              <w:right w:val="single" w:sz="6" w:space="0" w:color="auto"/>
            </w:tcBorders>
            <w:tcMar>
              <w:top w:w="28" w:type="dxa"/>
              <w:bottom w:w="28" w:type="dxa"/>
            </w:tcMar>
            <w:vAlign w:val="center"/>
          </w:tcPr>
          <w:p w14:paraId="44A28D67" w14:textId="762270D6" w:rsidR="00083A7E" w:rsidRDefault="00D4549C" w:rsidP="00083A7E">
            <w:pPr>
              <w:autoSpaceDE w:val="0"/>
              <w:autoSpaceDN w:val="0"/>
              <w:adjustRightInd w:val="0"/>
              <w:jc w:val="center"/>
              <w:rPr>
                <w:rFonts w:cs="Arial"/>
                <w:b/>
                <w:bCs/>
                <w:color w:val="000000"/>
                <w:sz w:val="18"/>
                <w:szCs w:val="18"/>
              </w:rPr>
            </w:pPr>
            <w:r w:rsidRPr="006E6BFE">
              <w:rPr>
                <w:rFonts w:cs="Arial"/>
                <w:b/>
                <w:bCs/>
                <w:color w:val="000000"/>
                <w:sz w:val="18"/>
                <w:szCs w:val="18"/>
              </w:rPr>
              <w:t>Resultado Primário - Acima da Linha</w:t>
            </w:r>
          </w:p>
          <w:p w14:paraId="3A81DD86" w14:textId="3963CC54" w:rsidR="00D4549C" w:rsidRPr="006E6BFE" w:rsidRDefault="00D4549C" w:rsidP="00083A7E">
            <w:pPr>
              <w:autoSpaceDE w:val="0"/>
              <w:autoSpaceDN w:val="0"/>
              <w:adjustRightInd w:val="0"/>
              <w:jc w:val="center"/>
              <w:rPr>
                <w:rFonts w:cs="Arial"/>
                <w:b/>
                <w:bCs/>
                <w:color w:val="000000"/>
                <w:sz w:val="18"/>
                <w:szCs w:val="18"/>
              </w:rPr>
            </w:pPr>
            <w:r w:rsidRPr="006E6BFE">
              <w:rPr>
                <w:rFonts w:cs="Arial"/>
                <w:b/>
                <w:bCs/>
                <w:color w:val="000000"/>
                <w:sz w:val="18"/>
                <w:szCs w:val="18"/>
              </w:rPr>
              <w:t>(XII) = (VI-XI)</w:t>
            </w:r>
          </w:p>
        </w:tc>
        <w:tc>
          <w:tcPr>
            <w:tcW w:w="744" w:type="pct"/>
            <w:tcBorders>
              <w:top w:val="single" w:sz="6" w:space="0" w:color="auto"/>
              <w:left w:val="single" w:sz="6" w:space="0" w:color="auto"/>
              <w:bottom w:val="single" w:sz="6" w:space="0" w:color="auto"/>
              <w:right w:val="nil"/>
            </w:tcBorders>
            <w:shd w:val="solid" w:color="FFFFFF" w:fill="auto"/>
            <w:tcMar>
              <w:top w:w="28" w:type="dxa"/>
              <w:bottom w:w="28" w:type="dxa"/>
            </w:tcMar>
            <w:vAlign w:val="center"/>
          </w:tcPr>
          <w:p w14:paraId="231C1EDF"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2.323.841.730</w:t>
            </w:r>
          </w:p>
        </w:tc>
        <w:tc>
          <w:tcPr>
            <w:tcW w:w="744" w:type="pct"/>
            <w:tcBorders>
              <w:top w:val="single" w:sz="6" w:space="0" w:color="auto"/>
              <w:left w:val="single" w:sz="6" w:space="0" w:color="auto"/>
              <w:bottom w:val="single" w:sz="6" w:space="0" w:color="auto"/>
              <w:right w:val="nil"/>
            </w:tcBorders>
            <w:shd w:val="solid" w:color="FFFFFF" w:fill="auto"/>
            <w:tcMar>
              <w:top w:w="28" w:type="dxa"/>
              <w:bottom w:w="28" w:type="dxa"/>
            </w:tcMar>
            <w:vAlign w:val="center"/>
          </w:tcPr>
          <w:p w14:paraId="08D9058A"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2.703.266.931</w:t>
            </w:r>
          </w:p>
        </w:tc>
        <w:tc>
          <w:tcPr>
            <w:tcW w:w="744" w:type="pct"/>
            <w:tcBorders>
              <w:top w:val="single" w:sz="6" w:space="0" w:color="auto"/>
              <w:left w:val="single" w:sz="6" w:space="0" w:color="auto"/>
              <w:bottom w:val="single" w:sz="6" w:space="0" w:color="auto"/>
              <w:right w:val="nil"/>
            </w:tcBorders>
            <w:shd w:val="solid" w:color="FFFFFF" w:fill="auto"/>
            <w:tcMar>
              <w:top w:w="28" w:type="dxa"/>
              <w:bottom w:w="28" w:type="dxa"/>
            </w:tcMar>
            <w:vAlign w:val="center"/>
          </w:tcPr>
          <w:p w14:paraId="08B63F46"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3.360.708.864</w:t>
            </w:r>
          </w:p>
        </w:tc>
        <w:tc>
          <w:tcPr>
            <w:tcW w:w="744" w:type="pct"/>
            <w:tcBorders>
              <w:top w:val="single" w:sz="6" w:space="0" w:color="auto"/>
              <w:left w:val="single" w:sz="6" w:space="0" w:color="auto"/>
              <w:bottom w:val="single" w:sz="6" w:space="0" w:color="auto"/>
              <w:right w:val="single" w:sz="6" w:space="0" w:color="auto"/>
            </w:tcBorders>
            <w:shd w:val="solid" w:color="FFFFFF" w:fill="auto"/>
            <w:tcMar>
              <w:top w:w="28" w:type="dxa"/>
              <w:bottom w:w="28" w:type="dxa"/>
            </w:tcMar>
            <w:vAlign w:val="center"/>
          </w:tcPr>
          <w:p w14:paraId="52A6267D"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2.362.933.860</w:t>
            </w:r>
          </w:p>
        </w:tc>
        <w:tc>
          <w:tcPr>
            <w:tcW w:w="744" w:type="pct"/>
            <w:tcBorders>
              <w:top w:val="single" w:sz="6" w:space="0" w:color="auto"/>
              <w:left w:val="nil"/>
              <w:bottom w:val="single" w:sz="6" w:space="0" w:color="auto"/>
              <w:right w:val="nil"/>
            </w:tcBorders>
            <w:shd w:val="solid" w:color="FFFFFF" w:fill="auto"/>
            <w:tcMar>
              <w:top w:w="28" w:type="dxa"/>
              <w:bottom w:w="28" w:type="dxa"/>
            </w:tcMar>
            <w:vAlign w:val="center"/>
          </w:tcPr>
          <w:p w14:paraId="4B1F5CE1" w14:textId="77777777" w:rsidR="00D4549C" w:rsidRPr="006E6BFE" w:rsidRDefault="00D4549C" w:rsidP="00B67EB7">
            <w:pPr>
              <w:autoSpaceDE w:val="0"/>
              <w:autoSpaceDN w:val="0"/>
              <w:adjustRightInd w:val="0"/>
              <w:jc w:val="right"/>
              <w:rPr>
                <w:rFonts w:cs="Arial"/>
                <w:b/>
                <w:bCs/>
                <w:color w:val="000000"/>
                <w:sz w:val="18"/>
                <w:szCs w:val="18"/>
              </w:rPr>
            </w:pPr>
            <w:r w:rsidRPr="006E6BFE">
              <w:rPr>
                <w:rFonts w:cs="Arial"/>
                <w:b/>
                <w:bCs/>
                <w:color w:val="000000"/>
                <w:sz w:val="18"/>
                <w:szCs w:val="18"/>
              </w:rPr>
              <w:t>1.529.829.983</w:t>
            </w:r>
          </w:p>
        </w:tc>
      </w:tr>
    </w:tbl>
    <w:p w14:paraId="2D1E916B" w14:textId="4599691D" w:rsidR="00D4549C" w:rsidRPr="00D00F7D" w:rsidRDefault="00D4549C" w:rsidP="00D4549C">
      <w:pPr>
        <w:pStyle w:val="1-FONTE8ESQ"/>
      </w:pPr>
      <w:r w:rsidRPr="00D00F7D">
        <w:t>Fonte: RREO 6º bimestre de 2019</w:t>
      </w:r>
      <w:r w:rsidR="002B7061">
        <w:t xml:space="preserve"> a </w:t>
      </w:r>
      <w:r w:rsidRPr="00D00F7D">
        <w:t>2023</w:t>
      </w:r>
    </w:p>
    <w:p w14:paraId="08BD8A9E" w14:textId="3C3B56F9" w:rsidR="00D4549C" w:rsidRPr="001C305A" w:rsidRDefault="00D4549C" w:rsidP="00D4549C">
      <w:pPr>
        <w:pStyle w:val="1-FONTE8ESQ"/>
      </w:pPr>
      <w:r>
        <w:t xml:space="preserve">Notas: </w:t>
      </w:r>
      <w:r w:rsidRPr="001C305A">
        <w:t>¹No período de 201</w:t>
      </w:r>
      <w:r w:rsidR="002B7061">
        <w:t xml:space="preserve">9 a </w:t>
      </w:r>
      <w:r w:rsidRPr="001C305A">
        <w:t>2022, a metodologia utilizada foi o conceito "acima da linha" na qual compreende: soma das despesas pagas + restos a pagar processados pagos + restos a pagar não processados pagos.</w:t>
      </w:r>
    </w:p>
    <w:p w14:paraId="6A7B9395" w14:textId="77777777" w:rsidR="00D4549C" w:rsidRPr="00A26B46" w:rsidRDefault="00D4549C" w:rsidP="00D4549C">
      <w:pPr>
        <w:pStyle w:val="1-FONTE8ESQ"/>
      </w:pPr>
      <w:r w:rsidRPr="001C305A">
        <w:t xml:space="preserve">²Em 2023 foram incluídas na metodologia as receitas e despesas intraorçamentárias; e foram excluídas as receitas e despesas oriundas do </w:t>
      </w:r>
      <w:r w:rsidRPr="00A26B46">
        <w:t>RPPS</w:t>
      </w:r>
    </w:p>
    <w:p w14:paraId="21D9A036" w14:textId="77777777" w:rsidR="00D4549C" w:rsidRPr="00A26B46" w:rsidRDefault="00D4549C" w:rsidP="00D4549C">
      <w:pPr>
        <w:pStyle w:val="1-REL11"/>
      </w:pPr>
      <w:r w:rsidRPr="00A26B46">
        <w:t>O estado de Goiás obteve um superávit primário de R$ 1,53 bilhão em 2023, seguindo a tendência positiva nos últimos anos. O resultado primário demonstra os recursos que o governo economizou para cumprir obrigações relacionados aos juros de sua dívida. É o esforço fiscal tendo como objetivo a redução do estoque da dívida pública. Sob uma ótica isolada e considerando a metodologia acima da linha estabelecida pelo MDF</w:t>
      </w:r>
      <w:r>
        <w:t xml:space="preserve"> </w:t>
      </w:r>
      <w:r w:rsidRPr="00A26B46">
        <w:t>13ª edição, houve o cumprimento do superávit primário.</w:t>
      </w:r>
    </w:p>
    <w:p w14:paraId="34E3EC5E" w14:textId="77777777" w:rsidR="00D4549C" w:rsidRPr="001C305A" w:rsidRDefault="00D4549C" w:rsidP="00D4549C">
      <w:pPr>
        <w:pStyle w:val="1-REL11"/>
      </w:pPr>
      <w:r w:rsidRPr="00A26B46">
        <w:t>Ressalta-se que houve alteração na forma de cálculo do resultado primário em 2023. O superávit primário do ano em análise não contém os valores do RPPS. Por esta metodologia, considera-se as receitas e despesas intraorçamentárias,</w:t>
      </w:r>
      <w:r w:rsidRPr="001C305A">
        <w:t xml:space="preserve"> segregando as receitas e despesas orçamentárias com fontes do RPPS.</w:t>
      </w:r>
    </w:p>
    <w:p w14:paraId="26EFA732" w14:textId="77777777" w:rsidR="00D4549C" w:rsidRPr="001C305A" w:rsidRDefault="00D4549C" w:rsidP="00D4549C">
      <w:pPr>
        <w:pStyle w:val="1-REL11"/>
      </w:pPr>
      <w:r w:rsidRPr="001C305A">
        <w:t xml:space="preserve">Pontua-se que o superávit primário apurado evidencia os recursos na visão do fluxo de caixa recebido e pago. Por conseguinte, superávits primários representam aumento de disponibilidades de caixa e tal recurso é um dos indicadores utilizados para deduzir da dívida consolidada a fim de </w:t>
      </w:r>
      <w:r>
        <w:t>se calcular</w:t>
      </w:r>
      <w:r w:rsidRPr="001C305A">
        <w:t xml:space="preserve"> a DCL. Todavia, para ter efeito positivo no saldo da dívida consolidada, a disponibilidade de caixa deve ser superior ao montante de restos a pagar processados.</w:t>
      </w:r>
    </w:p>
    <w:p w14:paraId="52EDE2DC" w14:textId="77777777" w:rsidR="00D4549C" w:rsidRPr="001C305A" w:rsidRDefault="00D4549C" w:rsidP="00A224E9">
      <w:pPr>
        <w:pStyle w:val="Ttulo3"/>
      </w:pPr>
      <w:bookmarkStart w:id="161" w:name="_Toc167871664"/>
      <w:r w:rsidRPr="001C305A">
        <w:t>Resultado Nominal</w:t>
      </w:r>
      <w:bookmarkEnd w:id="161"/>
    </w:p>
    <w:p w14:paraId="0B24E685" w14:textId="77777777" w:rsidR="00D4549C" w:rsidRPr="001C305A" w:rsidRDefault="00D4549C" w:rsidP="00D4549C">
      <w:pPr>
        <w:pStyle w:val="1-REL11"/>
      </w:pPr>
      <w:r w:rsidRPr="001C305A">
        <w:t xml:space="preserve">Já o resultado nominal pelo conceito abaixo da linha representa a variação da DCL, ou seja, pode ser verificado por meio da simples comparação entre estoques da DCL em 31 de dezembro </w:t>
      </w:r>
      <w:r w:rsidRPr="001C305A">
        <w:lastRenderedPageBreak/>
        <w:t>do exercício anterior em relação ao saldo da DCL apurado em 31 de dezembro do exercício de referência.</w:t>
      </w:r>
    </w:p>
    <w:p w14:paraId="21AC3291" w14:textId="77777777" w:rsidR="00D4549C" w:rsidRPr="001C305A" w:rsidRDefault="00D4549C" w:rsidP="00D4549C">
      <w:pPr>
        <w:pStyle w:val="1-REL11"/>
      </w:pPr>
      <w:r>
        <w:t>O</w:t>
      </w:r>
      <w:r w:rsidRPr="001C305A">
        <w:t xml:space="preserve"> conceito acima da linha pode ser obtido a partir do resultado primário, somando</w:t>
      </w:r>
      <w:r>
        <w:t>-se</w:t>
      </w:r>
      <w:r w:rsidRPr="001C305A">
        <w:t xml:space="preserve"> a conta de juros (juros ativos menos juros passivos). Ressalte-se que a apuração do resultado nominal pela metodologia acima da linha não captura a variação da DCL decorrente das obrigações em atraso incluídas na DC no mesmo período em que ocorre essa inclusão. Logo, nessas situações, esse resultado nominal não corresponde de fato à variação da DCL ocorrida no período.</w:t>
      </w:r>
    </w:p>
    <w:p w14:paraId="661CABA2" w14:textId="77777777" w:rsidR="00D4549C" w:rsidRPr="001C305A" w:rsidRDefault="00D4549C" w:rsidP="00D4549C">
      <w:pPr>
        <w:pStyle w:val="1-REL11"/>
      </w:pPr>
      <w:r w:rsidRPr="001C305A">
        <w:t>Em 2023, o MDF</w:t>
      </w:r>
      <w:r>
        <w:t xml:space="preserve"> 13ª edição</w:t>
      </w:r>
      <w:r w:rsidRPr="001C305A">
        <w:t xml:space="preserve"> estipulou a utilização da metodologia abaixo da linha para avaliação do resultado nominal. Consta a seguir o resultado nominal de 2023</w:t>
      </w:r>
      <w:r>
        <w:t>:</w:t>
      </w:r>
    </w:p>
    <w:p w14:paraId="74F14036" w14:textId="48431F32" w:rsidR="00D4549C" w:rsidRDefault="00D4549C" w:rsidP="00ED3571">
      <w:pPr>
        <w:pStyle w:val="0-TABELA"/>
        <w:rPr>
          <w:b/>
        </w:rPr>
      </w:pPr>
      <w:bookmarkStart w:id="162" w:name="_Toc167871759"/>
      <w:r w:rsidRPr="001C305A">
        <w:t>Resultado Nominal</w:t>
      </w:r>
      <w:bookmarkEnd w:id="162"/>
    </w:p>
    <w:p w14:paraId="66395A11" w14:textId="77777777" w:rsidR="00D4549C" w:rsidRPr="001C305A" w:rsidRDefault="00D4549C" w:rsidP="00D4549C">
      <w:pPr>
        <w:pStyle w:val="0REALR1"/>
      </w:pPr>
      <w:r w:rsidRPr="001C305A">
        <w:t>R$ 1</w:t>
      </w:r>
    </w:p>
    <w:tbl>
      <w:tblPr>
        <w:tblW w:w="5000" w:type="pct"/>
        <w:tblBorders>
          <w:top w:val="single" w:sz="8" w:space="0" w:color="auto"/>
          <w:bottom w:val="single" w:sz="4"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3490"/>
        <w:gridCol w:w="3736"/>
        <w:gridCol w:w="2127"/>
      </w:tblGrid>
      <w:tr w:rsidR="00D4549C" w:rsidRPr="006275E6" w14:paraId="04E00C7F" w14:textId="77777777" w:rsidTr="008005E7">
        <w:trPr>
          <w:trHeight w:val="524"/>
          <w:tblHeader/>
        </w:trPr>
        <w:tc>
          <w:tcPr>
            <w:tcW w:w="1865" w:type="pct"/>
            <w:tcBorders>
              <w:top w:val="single" w:sz="4" w:space="0" w:color="auto"/>
              <w:bottom w:val="single" w:sz="4" w:space="0" w:color="auto"/>
              <w:right w:val="single" w:sz="4" w:space="0" w:color="auto"/>
            </w:tcBorders>
            <w:shd w:val="clear" w:color="auto" w:fill="A1F2FD"/>
            <w:vAlign w:val="center"/>
            <w:hideMark/>
          </w:tcPr>
          <w:p w14:paraId="41412128" w14:textId="77777777" w:rsidR="00D4549C" w:rsidRPr="006275E6" w:rsidRDefault="00D4549C" w:rsidP="00B67EB7">
            <w:pPr>
              <w:jc w:val="center"/>
              <w:rPr>
                <w:rFonts w:cs="Arial"/>
                <w:b/>
                <w:sz w:val="20"/>
              </w:rPr>
            </w:pPr>
            <w:r w:rsidRPr="006275E6">
              <w:rPr>
                <w:rFonts w:cs="Arial"/>
                <w:b/>
                <w:sz w:val="20"/>
              </w:rPr>
              <w:t>Discriminação</w:t>
            </w:r>
          </w:p>
        </w:tc>
        <w:tc>
          <w:tcPr>
            <w:tcW w:w="1997" w:type="pct"/>
            <w:tcBorders>
              <w:top w:val="single" w:sz="4" w:space="0" w:color="auto"/>
              <w:left w:val="single" w:sz="4" w:space="0" w:color="auto"/>
              <w:bottom w:val="single" w:sz="4" w:space="0" w:color="auto"/>
              <w:right w:val="single" w:sz="4" w:space="0" w:color="auto"/>
            </w:tcBorders>
            <w:shd w:val="clear" w:color="auto" w:fill="A1F2FD"/>
            <w:vAlign w:val="center"/>
            <w:hideMark/>
          </w:tcPr>
          <w:p w14:paraId="7AA1D358" w14:textId="77777777" w:rsidR="00D4549C" w:rsidRPr="006275E6" w:rsidRDefault="00D4549C" w:rsidP="00B67EB7">
            <w:pPr>
              <w:jc w:val="center"/>
              <w:rPr>
                <w:rFonts w:cs="Arial"/>
                <w:b/>
                <w:sz w:val="20"/>
              </w:rPr>
            </w:pPr>
            <w:r w:rsidRPr="006275E6">
              <w:rPr>
                <w:rFonts w:cs="Arial"/>
                <w:b/>
                <w:sz w:val="20"/>
              </w:rPr>
              <w:t>Anexo das Metas Fiscais - Lei nº 21.527/2022</w:t>
            </w:r>
          </w:p>
        </w:tc>
        <w:tc>
          <w:tcPr>
            <w:tcW w:w="1137" w:type="pct"/>
            <w:tcBorders>
              <w:top w:val="single" w:sz="4" w:space="0" w:color="auto"/>
              <w:left w:val="single" w:sz="4" w:space="0" w:color="auto"/>
              <w:bottom w:val="single" w:sz="4" w:space="0" w:color="auto"/>
            </w:tcBorders>
            <w:shd w:val="clear" w:color="auto" w:fill="A1F2FD"/>
            <w:vAlign w:val="center"/>
            <w:hideMark/>
          </w:tcPr>
          <w:p w14:paraId="2D35D2AD" w14:textId="77777777" w:rsidR="00D4549C" w:rsidRPr="006275E6" w:rsidRDefault="00D4549C" w:rsidP="00B67EB7">
            <w:pPr>
              <w:jc w:val="center"/>
              <w:rPr>
                <w:rFonts w:cs="Arial"/>
                <w:b/>
                <w:color w:val="FF0000"/>
                <w:sz w:val="20"/>
              </w:rPr>
            </w:pPr>
            <w:r w:rsidRPr="006275E6">
              <w:rPr>
                <w:rFonts w:cs="Arial"/>
                <w:b/>
                <w:sz w:val="20"/>
              </w:rPr>
              <w:t>Resultado 2023 Metodologia Abaixo da Linha</w:t>
            </w:r>
          </w:p>
        </w:tc>
      </w:tr>
      <w:tr w:rsidR="00D4549C" w:rsidRPr="006275E6" w14:paraId="3CC9A1B9" w14:textId="77777777" w:rsidTr="008005E7">
        <w:trPr>
          <w:trHeight w:val="375"/>
        </w:trPr>
        <w:tc>
          <w:tcPr>
            <w:tcW w:w="1865" w:type="pct"/>
            <w:tcBorders>
              <w:top w:val="single" w:sz="4" w:space="0" w:color="auto"/>
              <w:right w:val="single" w:sz="4" w:space="0" w:color="auto"/>
            </w:tcBorders>
            <w:shd w:val="clear" w:color="auto" w:fill="auto"/>
            <w:noWrap/>
            <w:vAlign w:val="center"/>
            <w:hideMark/>
          </w:tcPr>
          <w:p w14:paraId="224C08DB" w14:textId="77777777" w:rsidR="00D4549C" w:rsidRPr="006275E6" w:rsidRDefault="00D4549C" w:rsidP="00B67EB7">
            <w:pPr>
              <w:jc w:val="center"/>
              <w:rPr>
                <w:rFonts w:cs="Arial"/>
                <w:color w:val="FF0000"/>
                <w:sz w:val="20"/>
              </w:rPr>
            </w:pPr>
            <w:r w:rsidRPr="006275E6">
              <w:rPr>
                <w:rFonts w:cs="Arial"/>
                <w:sz w:val="20"/>
              </w:rPr>
              <w:t>Resultado Nominal</w:t>
            </w:r>
          </w:p>
        </w:tc>
        <w:tc>
          <w:tcPr>
            <w:tcW w:w="199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9FC6D2F" w14:textId="77777777" w:rsidR="00D4549C" w:rsidRPr="006275E6" w:rsidRDefault="00D4549C" w:rsidP="00B67EB7">
            <w:pPr>
              <w:jc w:val="right"/>
              <w:rPr>
                <w:rFonts w:cs="Arial"/>
                <w:color w:val="FF0000"/>
                <w:sz w:val="20"/>
              </w:rPr>
            </w:pPr>
            <w:r w:rsidRPr="006275E6">
              <w:rPr>
                <w:rFonts w:cs="Arial"/>
                <w:sz w:val="20"/>
              </w:rPr>
              <w:t>572.888.406</w:t>
            </w:r>
          </w:p>
        </w:tc>
        <w:tc>
          <w:tcPr>
            <w:tcW w:w="1137" w:type="pct"/>
            <w:tcBorders>
              <w:top w:val="single" w:sz="4" w:space="0" w:color="auto"/>
              <w:left w:val="single" w:sz="4" w:space="0" w:color="auto"/>
            </w:tcBorders>
            <w:shd w:val="clear" w:color="auto" w:fill="auto"/>
            <w:vAlign w:val="center"/>
            <w:hideMark/>
          </w:tcPr>
          <w:p w14:paraId="43F583AF" w14:textId="77777777" w:rsidR="00D4549C" w:rsidRPr="006275E6" w:rsidRDefault="00D4549C" w:rsidP="00B67EB7">
            <w:pPr>
              <w:jc w:val="right"/>
              <w:rPr>
                <w:rFonts w:cs="Arial"/>
                <w:sz w:val="20"/>
              </w:rPr>
            </w:pPr>
            <w:r w:rsidRPr="006275E6">
              <w:rPr>
                <w:rFonts w:cs="Arial"/>
                <w:sz w:val="20"/>
              </w:rPr>
              <w:t>768.917.275</w:t>
            </w:r>
          </w:p>
        </w:tc>
      </w:tr>
    </w:tbl>
    <w:p w14:paraId="1E4E052F" w14:textId="77777777" w:rsidR="00D4549C" w:rsidRPr="005F2906" w:rsidRDefault="00D4549C" w:rsidP="00D4549C">
      <w:pPr>
        <w:pStyle w:val="1-FONTE8ESQ"/>
      </w:pPr>
      <w:r w:rsidRPr="005F2906">
        <w:t>Fonte: Lei de Diretrizes Orçamentárias nº 21.527/2022, bem como RREO 6º bimestre de 2023</w:t>
      </w:r>
    </w:p>
    <w:p w14:paraId="3229A0C9" w14:textId="77777777" w:rsidR="00D4549C" w:rsidRPr="001C305A" w:rsidRDefault="00D4549C" w:rsidP="00D4549C">
      <w:pPr>
        <w:pStyle w:val="1-REL11"/>
      </w:pPr>
      <w:r w:rsidRPr="00CA488F">
        <w:t>Na metodologia abaixo da linha, o resultado nominal apurado foi superavitário em R$ 768,92</w:t>
      </w:r>
      <w:r>
        <w:t> </w:t>
      </w:r>
      <w:r w:rsidRPr="00CA488F">
        <w:t>milhões, portanto, dentro da meta estabelecida pela LDO, cujo a meta era um aumento de R$</w:t>
      </w:r>
      <w:r>
        <w:t> </w:t>
      </w:r>
      <w:r w:rsidRPr="00CA488F">
        <w:t>572,89 milhões da dívida pública no período.</w:t>
      </w:r>
    </w:p>
    <w:p w14:paraId="020A0827" w14:textId="77777777" w:rsidR="00D4549C" w:rsidRPr="001C305A" w:rsidRDefault="00D4549C" w:rsidP="00A224E9">
      <w:pPr>
        <w:pStyle w:val="Ttulo3"/>
      </w:pPr>
      <w:bookmarkStart w:id="163" w:name="_Toc167871665"/>
      <w:r w:rsidRPr="001C305A">
        <w:t>Resumo das Metas Fiscais</w:t>
      </w:r>
      <w:bookmarkEnd w:id="163"/>
    </w:p>
    <w:p w14:paraId="55E77E6F" w14:textId="77777777" w:rsidR="00D4549C" w:rsidRPr="001C305A" w:rsidRDefault="00D4549C" w:rsidP="00D4549C">
      <w:pPr>
        <w:pStyle w:val="1-REL11"/>
      </w:pPr>
      <w:r w:rsidRPr="001C305A">
        <w:t>Consta a seguir resumo das metas fiscais para o estado de Goiás estabelecidas por meio da LDO e o seu cumprimento.</w:t>
      </w:r>
    </w:p>
    <w:p w14:paraId="2CEA3FFF" w14:textId="77777777" w:rsidR="00D4549C" w:rsidRDefault="00D4549C" w:rsidP="00ED3571">
      <w:pPr>
        <w:pStyle w:val="0-TABELA"/>
        <w:rPr>
          <w:b/>
        </w:rPr>
      </w:pPr>
      <w:bookmarkStart w:id="164" w:name="_Toc167871760"/>
      <w:r w:rsidRPr="001C305A">
        <w:t>Resumo das Metais Fiscais para o Exercício 2023</w:t>
      </w:r>
      <w:bookmarkEnd w:id="164"/>
    </w:p>
    <w:p w14:paraId="31A5D1AF" w14:textId="77777777" w:rsidR="00D4549C" w:rsidRPr="001C305A" w:rsidRDefault="00D4549C" w:rsidP="00D4549C">
      <w:pPr>
        <w:pStyle w:val="0REALR1"/>
      </w:pPr>
      <w:r w:rsidRPr="001C305A">
        <w:t>R$ 1</w:t>
      </w:r>
    </w:p>
    <w:tbl>
      <w:tblPr>
        <w:tblW w:w="4986" w:type="pct"/>
        <w:tblCellMar>
          <w:left w:w="70" w:type="dxa"/>
          <w:right w:w="70" w:type="dxa"/>
        </w:tblCellMar>
        <w:tblLook w:val="04A0" w:firstRow="1" w:lastRow="0" w:firstColumn="1" w:lastColumn="0" w:noHBand="0" w:noVBand="1"/>
      </w:tblPr>
      <w:tblGrid>
        <w:gridCol w:w="3481"/>
        <w:gridCol w:w="3725"/>
        <w:gridCol w:w="2121"/>
      </w:tblGrid>
      <w:tr w:rsidR="00D4549C" w:rsidRPr="006275E6" w14:paraId="5CAABFE2" w14:textId="77777777" w:rsidTr="008005E7">
        <w:trPr>
          <w:trHeight w:val="497"/>
          <w:tblHeader/>
        </w:trPr>
        <w:tc>
          <w:tcPr>
            <w:tcW w:w="1866" w:type="pct"/>
            <w:tcBorders>
              <w:top w:val="single" w:sz="4" w:space="0" w:color="auto"/>
              <w:left w:val="nil"/>
              <w:bottom w:val="single" w:sz="4" w:space="0" w:color="auto"/>
              <w:right w:val="single" w:sz="4" w:space="0" w:color="auto"/>
            </w:tcBorders>
            <w:shd w:val="clear" w:color="auto" w:fill="A1F2FD"/>
            <w:vAlign w:val="center"/>
            <w:hideMark/>
          </w:tcPr>
          <w:p w14:paraId="4169FB51" w14:textId="77777777" w:rsidR="00D4549C" w:rsidRPr="006275E6" w:rsidRDefault="00D4549C" w:rsidP="00B67EB7">
            <w:pPr>
              <w:jc w:val="center"/>
              <w:rPr>
                <w:rFonts w:cs="Arial"/>
                <w:b/>
                <w:sz w:val="20"/>
              </w:rPr>
            </w:pPr>
            <w:r w:rsidRPr="006275E6">
              <w:rPr>
                <w:rFonts w:cs="Arial"/>
                <w:b/>
                <w:sz w:val="20"/>
              </w:rPr>
              <w:t>Discriminação</w:t>
            </w:r>
          </w:p>
        </w:tc>
        <w:tc>
          <w:tcPr>
            <w:tcW w:w="1997" w:type="pct"/>
            <w:tcBorders>
              <w:top w:val="single" w:sz="4" w:space="0" w:color="auto"/>
              <w:left w:val="single" w:sz="4" w:space="0" w:color="auto"/>
              <w:bottom w:val="single" w:sz="4" w:space="0" w:color="auto"/>
              <w:right w:val="single" w:sz="6" w:space="0" w:color="auto"/>
            </w:tcBorders>
            <w:shd w:val="clear" w:color="auto" w:fill="A1F2FD"/>
            <w:vAlign w:val="center"/>
            <w:hideMark/>
          </w:tcPr>
          <w:p w14:paraId="19DB3CFA" w14:textId="77777777" w:rsidR="00D4549C" w:rsidRPr="006275E6" w:rsidRDefault="00D4549C" w:rsidP="00B67EB7">
            <w:pPr>
              <w:jc w:val="center"/>
              <w:rPr>
                <w:rFonts w:cs="Arial"/>
                <w:b/>
                <w:sz w:val="20"/>
              </w:rPr>
            </w:pPr>
            <w:r w:rsidRPr="006275E6">
              <w:rPr>
                <w:rFonts w:cs="Arial"/>
                <w:b/>
                <w:sz w:val="20"/>
              </w:rPr>
              <w:t>Anexo das Metas Fiscais - Lei nº 21.527/2022</w:t>
            </w:r>
          </w:p>
        </w:tc>
        <w:tc>
          <w:tcPr>
            <w:tcW w:w="1137" w:type="pct"/>
            <w:tcBorders>
              <w:top w:val="single" w:sz="4" w:space="0" w:color="auto"/>
              <w:left w:val="single" w:sz="6" w:space="0" w:color="auto"/>
              <w:bottom w:val="single" w:sz="4" w:space="0" w:color="auto"/>
            </w:tcBorders>
            <w:shd w:val="clear" w:color="auto" w:fill="A1F2FD"/>
            <w:vAlign w:val="center"/>
            <w:hideMark/>
          </w:tcPr>
          <w:p w14:paraId="0ABF018A" w14:textId="77777777" w:rsidR="00D4549C" w:rsidRPr="006275E6" w:rsidRDefault="00D4549C" w:rsidP="00B67EB7">
            <w:pPr>
              <w:jc w:val="center"/>
              <w:rPr>
                <w:rFonts w:cs="Arial"/>
                <w:b/>
                <w:color w:val="FF0000"/>
                <w:sz w:val="20"/>
              </w:rPr>
            </w:pPr>
            <w:r w:rsidRPr="006275E6">
              <w:rPr>
                <w:rFonts w:cs="Arial"/>
                <w:b/>
                <w:sz w:val="20"/>
              </w:rPr>
              <w:t>Resultado 2023</w:t>
            </w:r>
          </w:p>
        </w:tc>
      </w:tr>
      <w:tr w:rsidR="00D4549C" w:rsidRPr="006275E6" w14:paraId="2C98FD55" w14:textId="77777777" w:rsidTr="008005E7">
        <w:trPr>
          <w:trHeight w:val="480"/>
        </w:trPr>
        <w:tc>
          <w:tcPr>
            <w:tcW w:w="1866" w:type="pct"/>
            <w:tcBorders>
              <w:top w:val="single" w:sz="4" w:space="0" w:color="auto"/>
              <w:left w:val="nil"/>
              <w:right w:val="single" w:sz="4" w:space="0" w:color="auto"/>
            </w:tcBorders>
            <w:shd w:val="clear" w:color="auto" w:fill="auto"/>
            <w:noWrap/>
            <w:vAlign w:val="center"/>
            <w:hideMark/>
          </w:tcPr>
          <w:p w14:paraId="1D901626" w14:textId="77777777" w:rsidR="00D4549C" w:rsidRPr="006275E6" w:rsidRDefault="00D4549C" w:rsidP="00B67EB7">
            <w:pPr>
              <w:rPr>
                <w:rFonts w:cs="Arial"/>
                <w:sz w:val="20"/>
              </w:rPr>
            </w:pPr>
            <w:r w:rsidRPr="006275E6">
              <w:rPr>
                <w:rFonts w:cs="Arial"/>
                <w:sz w:val="20"/>
              </w:rPr>
              <w:t xml:space="preserve">Resultado Primário </w:t>
            </w:r>
          </w:p>
        </w:tc>
        <w:tc>
          <w:tcPr>
            <w:tcW w:w="1997" w:type="pct"/>
            <w:tcBorders>
              <w:top w:val="single" w:sz="4" w:space="0" w:color="auto"/>
              <w:left w:val="single" w:sz="4" w:space="0" w:color="auto"/>
              <w:right w:val="single" w:sz="6" w:space="0" w:color="auto"/>
            </w:tcBorders>
            <w:shd w:val="clear" w:color="auto" w:fill="auto"/>
            <w:vAlign w:val="center"/>
            <w:hideMark/>
          </w:tcPr>
          <w:p w14:paraId="3BAE6980" w14:textId="77777777" w:rsidR="00D4549C" w:rsidRPr="006275E6" w:rsidRDefault="00D4549C" w:rsidP="00B67EB7">
            <w:pPr>
              <w:jc w:val="right"/>
              <w:rPr>
                <w:rFonts w:cs="Arial"/>
                <w:sz w:val="20"/>
              </w:rPr>
            </w:pPr>
            <w:r w:rsidRPr="006275E6">
              <w:rPr>
                <w:rFonts w:cs="Arial"/>
                <w:sz w:val="20"/>
              </w:rPr>
              <w:t>1.201.899.628</w:t>
            </w:r>
          </w:p>
        </w:tc>
        <w:tc>
          <w:tcPr>
            <w:tcW w:w="1137" w:type="pct"/>
            <w:tcBorders>
              <w:top w:val="single" w:sz="4" w:space="0" w:color="auto"/>
              <w:left w:val="single" w:sz="6" w:space="0" w:color="auto"/>
            </w:tcBorders>
            <w:shd w:val="clear" w:color="auto" w:fill="auto"/>
            <w:vAlign w:val="center"/>
            <w:hideMark/>
          </w:tcPr>
          <w:p w14:paraId="2D122818" w14:textId="77777777" w:rsidR="00D4549C" w:rsidRPr="006275E6" w:rsidRDefault="00D4549C" w:rsidP="00B67EB7">
            <w:pPr>
              <w:jc w:val="right"/>
              <w:rPr>
                <w:rFonts w:cs="Arial"/>
                <w:color w:val="FF0000"/>
                <w:sz w:val="20"/>
              </w:rPr>
            </w:pPr>
            <w:r w:rsidRPr="006275E6">
              <w:rPr>
                <w:rFonts w:cs="Arial"/>
                <w:sz w:val="20"/>
              </w:rPr>
              <w:t>1.529.829.983</w:t>
            </w:r>
          </w:p>
        </w:tc>
      </w:tr>
      <w:tr w:rsidR="00D4549C" w:rsidRPr="006275E6" w14:paraId="0CA7872D" w14:textId="77777777" w:rsidTr="008005E7">
        <w:trPr>
          <w:trHeight w:val="375"/>
        </w:trPr>
        <w:tc>
          <w:tcPr>
            <w:tcW w:w="1866" w:type="pct"/>
            <w:tcBorders>
              <w:left w:val="nil"/>
              <w:bottom w:val="single" w:sz="6" w:space="0" w:color="auto"/>
              <w:right w:val="single" w:sz="4" w:space="0" w:color="auto"/>
            </w:tcBorders>
            <w:shd w:val="clear" w:color="auto" w:fill="auto"/>
            <w:noWrap/>
            <w:vAlign w:val="center"/>
            <w:hideMark/>
          </w:tcPr>
          <w:p w14:paraId="043B6CD7" w14:textId="77777777" w:rsidR="00D4549C" w:rsidRPr="006275E6" w:rsidRDefault="00D4549C" w:rsidP="00B67EB7">
            <w:pPr>
              <w:rPr>
                <w:rFonts w:cs="Arial"/>
                <w:color w:val="FF0000"/>
                <w:sz w:val="20"/>
              </w:rPr>
            </w:pPr>
            <w:r w:rsidRPr="006275E6">
              <w:rPr>
                <w:rFonts w:cs="Arial"/>
                <w:sz w:val="20"/>
              </w:rPr>
              <w:t>Resultado Nominal</w:t>
            </w:r>
          </w:p>
        </w:tc>
        <w:tc>
          <w:tcPr>
            <w:tcW w:w="1997" w:type="pct"/>
            <w:tcBorders>
              <w:left w:val="single" w:sz="4" w:space="0" w:color="auto"/>
              <w:bottom w:val="single" w:sz="6" w:space="0" w:color="auto"/>
              <w:right w:val="single" w:sz="6" w:space="0" w:color="auto"/>
            </w:tcBorders>
            <w:shd w:val="clear" w:color="auto" w:fill="auto"/>
            <w:vAlign w:val="center"/>
            <w:hideMark/>
          </w:tcPr>
          <w:p w14:paraId="76CB281A" w14:textId="77777777" w:rsidR="00D4549C" w:rsidRPr="006275E6" w:rsidRDefault="00D4549C" w:rsidP="00B67EB7">
            <w:pPr>
              <w:jc w:val="right"/>
              <w:rPr>
                <w:rFonts w:cs="Arial"/>
                <w:color w:val="FF0000"/>
                <w:sz w:val="20"/>
              </w:rPr>
            </w:pPr>
            <w:r w:rsidRPr="006275E6">
              <w:rPr>
                <w:rFonts w:cs="Arial"/>
                <w:sz w:val="20"/>
              </w:rPr>
              <w:t>572.888.406</w:t>
            </w:r>
          </w:p>
        </w:tc>
        <w:tc>
          <w:tcPr>
            <w:tcW w:w="1137" w:type="pct"/>
            <w:tcBorders>
              <w:left w:val="single" w:sz="6" w:space="0" w:color="auto"/>
              <w:bottom w:val="single" w:sz="4" w:space="0" w:color="auto"/>
            </w:tcBorders>
            <w:shd w:val="clear" w:color="auto" w:fill="auto"/>
            <w:vAlign w:val="center"/>
            <w:hideMark/>
          </w:tcPr>
          <w:p w14:paraId="6ACE6FE5" w14:textId="77777777" w:rsidR="00D4549C" w:rsidRPr="006275E6" w:rsidRDefault="00D4549C" w:rsidP="00B67EB7">
            <w:pPr>
              <w:jc w:val="right"/>
              <w:rPr>
                <w:rFonts w:cs="Arial"/>
                <w:color w:val="FF0000"/>
                <w:sz w:val="20"/>
              </w:rPr>
            </w:pPr>
            <w:r w:rsidRPr="006275E6">
              <w:rPr>
                <w:rFonts w:cs="Arial"/>
                <w:sz w:val="20"/>
              </w:rPr>
              <w:t>768.917.275</w:t>
            </w:r>
          </w:p>
        </w:tc>
      </w:tr>
    </w:tbl>
    <w:p w14:paraId="11F97AE1" w14:textId="77777777" w:rsidR="00D4549C" w:rsidRPr="005F2906" w:rsidRDefault="00D4549C" w:rsidP="00D4549C">
      <w:pPr>
        <w:pStyle w:val="1-FONTE8ESQ"/>
      </w:pPr>
      <w:r w:rsidRPr="005F2906">
        <w:t xml:space="preserve">Fonte: Lei </w:t>
      </w:r>
      <w:r>
        <w:t>Estadual</w:t>
      </w:r>
      <w:r w:rsidRPr="005F2906">
        <w:t xml:space="preserve"> nº 21.527/2022 e RREO 6º bimestre de 2023</w:t>
      </w:r>
    </w:p>
    <w:p w14:paraId="2AEBBFB0" w14:textId="77777777" w:rsidR="00D4549C" w:rsidRPr="001C305A" w:rsidRDefault="00D4549C" w:rsidP="00D4549C">
      <w:pPr>
        <w:pStyle w:val="1-REL11"/>
      </w:pPr>
      <w:r w:rsidRPr="001C305A">
        <w:t>Observa-se que o estado de Goiás cumpriu todas as metas estabelecidas por meio da LDO para o exercício financeiro de 2023.</w:t>
      </w:r>
    </w:p>
    <w:p w14:paraId="31259463" w14:textId="77777777" w:rsidR="00D4549C" w:rsidRPr="001C305A" w:rsidRDefault="00D4549C" w:rsidP="00D4549C">
      <w:pPr>
        <w:pStyle w:val="Ttulo2"/>
        <w:spacing w:before="100" w:beforeAutospacing="1" w:after="100" w:afterAutospacing="1" w:line="276" w:lineRule="auto"/>
        <w:contextualSpacing/>
      </w:pPr>
      <w:bookmarkStart w:id="165" w:name="_Toc167871666"/>
      <w:r w:rsidRPr="001C305A">
        <w:lastRenderedPageBreak/>
        <w:t>Previdência dos Servidores Públicos Estaduais</w:t>
      </w:r>
      <w:bookmarkEnd w:id="165"/>
    </w:p>
    <w:p w14:paraId="09BA5E74" w14:textId="77777777" w:rsidR="00D4549C" w:rsidRPr="0067672D" w:rsidRDefault="00D4549C" w:rsidP="00D4549C">
      <w:pPr>
        <w:pStyle w:val="1-REL11"/>
      </w:pPr>
      <w:r w:rsidRPr="001C305A">
        <w:t>A previdência social é um assunto relevante e sensível e</w:t>
      </w:r>
      <w:r>
        <w:t>,</w:t>
      </w:r>
      <w:r w:rsidRPr="001C305A">
        <w:t xml:space="preserve"> por conta de sua relevância</w:t>
      </w:r>
      <w:r>
        <w:t>,</w:t>
      </w:r>
      <w:r w:rsidRPr="001C305A">
        <w:t xml:space="preserve"> cons</w:t>
      </w:r>
      <w:r>
        <w:t>o</w:t>
      </w:r>
      <w:r w:rsidRPr="001C305A">
        <w:t xml:space="preserve">me recursos públicos expressivos no contexto do orçamento público. As alterações legislativas aprovadas nos últimos 25 anos visam equilibrar o regime </w:t>
      </w:r>
      <w:r w:rsidRPr="0067672D">
        <w:t>previdenciário, evitando um colapso atuarial.</w:t>
      </w:r>
    </w:p>
    <w:p w14:paraId="4DC63C5D" w14:textId="77777777" w:rsidR="00D4549C" w:rsidRPr="0067672D" w:rsidRDefault="00D4549C" w:rsidP="00D4549C">
      <w:pPr>
        <w:pStyle w:val="1-REL11"/>
      </w:pPr>
      <w:r w:rsidRPr="0067672D">
        <w:t xml:space="preserve">Após as alterações na previdência estadual por meio da Emenda </w:t>
      </w:r>
      <w:r w:rsidRPr="00043419">
        <w:t>Constitucional Estadual nº</w:t>
      </w:r>
      <w:r>
        <w:t> </w:t>
      </w:r>
      <w:r w:rsidRPr="00043419">
        <w:t>65/</w:t>
      </w:r>
      <w:r w:rsidRPr="0067672D">
        <w:t>2019, o estado de Goiás promoveu outras mudanças por meio da L</w:t>
      </w:r>
      <w:r w:rsidRPr="00043419">
        <w:t>ei Estadual nº</w:t>
      </w:r>
      <w:r>
        <w:t> </w:t>
      </w:r>
      <w:r w:rsidRPr="00043419">
        <w:t>20.850</w:t>
      </w:r>
      <w:r>
        <w:t xml:space="preserve">, de 16 de setembro de </w:t>
      </w:r>
      <w:r w:rsidRPr="0067672D">
        <w:t>2020</w:t>
      </w:r>
      <w:r>
        <w:t>,</w:t>
      </w:r>
      <w:r w:rsidRPr="0067672D">
        <w:t xml:space="preserve"> segregando a massa de segurados do RPPS e constitui</w:t>
      </w:r>
      <w:r>
        <w:t>ndo</w:t>
      </w:r>
      <w:r w:rsidRPr="0067672D">
        <w:t xml:space="preserve"> três fundos: Fundo Financeiro do RPPS, Fundo Financeiro dos Militares e Fundo Previdenciário.</w:t>
      </w:r>
    </w:p>
    <w:p w14:paraId="4906ACC7" w14:textId="77777777" w:rsidR="00D4549C" w:rsidRPr="0067672D" w:rsidRDefault="00D4549C" w:rsidP="00D4549C">
      <w:pPr>
        <w:pStyle w:val="1-REL11"/>
      </w:pPr>
      <w:r w:rsidRPr="0067672D">
        <w:t>Ressalta-se que o fundo financeiro dos militares se adequou ao Sistema de Proteção Social dos Militares (SPSM) instituídos pela Lei Federal</w:t>
      </w:r>
      <w:r w:rsidRPr="00043419">
        <w:t xml:space="preserve"> nº 13.954</w:t>
      </w:r>
      <w:r>
        <w:t xml:space="preserve">, de 16 de dezembro de </w:t>
      </w:r>
      <w:r w:rsidRPr="0067672D">
        <w:t>2019</w:t>
      </w:r>
      <w:r>
        <w:t>,</w:t>
      </w:r>
      <w:r w:rsidRPr="0067672D">
        <w:t xml:space="preserve"> e não terá aportes de contribuição patronal. Além disso, os descontos previdenciários dos militares obedecerão ao art. 24 da lei já citada, e serão descontados 10,50% dos vencimentos a partir do exercício financeiro de 2021, sendo que eventual alteração ocorrerá somente a partir de 1º de janeiro de 2025, nos termos no art. 24-C, § 2º do Decreto-Lei nº 667</w:t>
      </w:r>
      <w:r>
        <w:t xml:space="preserve">, de 02 de julho de </w:t>
      </w:r>
      <w:r w:rsidRPr="0067672D">
        <w:t>1969.</w:t>
      </w:r>
    </w:p>
    <w:p w14:paraId="201F24D6" w14:textId="77777777" w:rsidR="00D4549C" w:rsidRPr="00043419" w:rsidRDefault="00D4549C" w:rsidP="00D4549C">
      <w:pPr>
        <w:pStyle w:val="1-REL11"/>
      </w:pPr>
      <w:r w:rsidRPr="0067672D">
        <w:t xml:space="preserve">A Lei </w:t>
      </w:r>
      <w:r w:rsidRPr="00043419">
        <w:t>Complementar Estadual nº 167</w:t>
      </w:r>
      <w:r>
        <w:t>, de 07 de dezembro de 20</w:t>
      </w:r>
      <w:r w:rsidRPr="0067672D">
        <w:t>21</w:t>
      </w:r>
      <w:r>
        <w:t>,</w:t>
      </w:r>
      <w:r w:rsidRPr="0067672D">
        <w:t xml:space="preserve"> readequou a unidade gestora única do RPPS e SPSM. Houve mudanças também na contribuição dos aposentados e </w:t>
      </w:r>
      <w:r w:rsidRPr="00043419">
        <w:t>pensionistas promovida pela EC Estadual nº 71/2021, que flexibilizou a norma estadual e criou a seguinte regra:</w:t>
      </w:r>
    </w:p>
    <w:p w14:paraId="65D4F7B6" w14:textId="77777777" w:rsidR="00D4549C" w:rsidRPr="00D04D0B" w:rsidRDefault="00D4549C" w:rsidP="00D4549C">
      <w:pPr>
        <w:pStyle w:val="1-CITAO"/>
      </w:pPr>
      <w:r w:rsidRPr="00D04D0B">
        <w:t>4º-A A contribuição ordinária dos aposentados e pensionistas do Estado e dos municípios poderá incidir sobre o valor dos proventos de aposentadoria e de pensões que superem o maior valor entre R$ 3.000,00 (três mil reais) e 1 (um) salário-mínimo quando houver d</w:t>
      </w:r>
      <w:r>
        <w:t>é</w:t>
      </w:r>
      <w:r w:rsidRPr="00D04D0B">
        <w:t>ficit atuarial no respectivo RPPS.</w:t>
      </w:r>
    </w:p>
    <w:p w14:paraId="362FF662" w14:textId="77777777" w:rsidR="00D4549C" w:rsidRDefault="00D4549C" w:rsidP="00D4549C">
      <w:pPr>
        <w:pStyle w:val="1-REL11"/>
      </w:pPr>
      <w:r w:rsidRPr="00043419">
        <w:t>Quanto ao Fundo Previdenciário, observou-se que o art. 10 da Lei Estadual nº 20.850/</w:t>
      </w:r>
      <w:r>
        <w:t>20</w:t>
      </w:r>
      <w:r w:rsidRPr="00043419">
        <w:t>20, equiparou a contribuição patronal ao desconto previdenciário aplicado aos servidores ativos. O art. 18, inciso III, alín</w:t>
      </w:r>
      <w:r>
        <w:t>e</w:t>
      </w:r>
      <w:r w:rsidRPr="00043419">
        <w:t>a b, da L</w:t>
      </w:r>
      <w:r>
        <w:t xml:space="preserve">ei </w:t>
      </w:r>
      <w:r w:rsidRPr="00043419">
        <w:t>C</w:t>
      </w:r>
      <w:r>
        <w:t>omplementar</w:t>
      </w:r>
      <w:r w:rsidRPr="00043419">
        <w:t xml:space="preserve"> Estadual nº 161</w:t>
      </w:r>
      <w:r>
        <w:t>, de 30 de dezembro de 20</w:t>
      </w:r>
      <w:r w:rsidRPr="00043419">
        <w:t>20, atribuiu alíquota de 14,25% sobre o cálculo da contribuição dos segurados.</w:t>
      </w:r>
    </w:p>
    <w:p w14:paraId="690BCB57" w14:textId="77777777" w:rsidR="00D4549C" w:rsidRPr="001C305A" w:rsidRDefault="00D4549C" w:rsidP="00A224E9">
      <w:pPr>
        <w:pStyle w:val="Ttulo3"/>
      </w:pPr>
      <w:bookmarkStart w:id="166" w:name="_Toc167871667"/>
      <w:r w:rsidRPr="001C305A">
        <w:t>Receitas e Despesas Previdenciárias</w:t>
      </w:r>
      <w:bookmarkEnd w:id="166"/>
    </w:p>
    <w:p w14:paraId="0484BC39" w14:textId="77777777" w:rsidR="00D4549C" w:rsidRPr="001C305A" w:rsidRDefault="00D4549C" w:rsidP="00D4549C">
      <w:pPr>
        <w:pStyle w:val="1-REL11"/>
      </w:pPr>
      <w:r w:rsidRPr="001C305A">
        <w:t xml:space="preserve">De acordo com o art. 40 da </w:t>
      </w:r>
      <w:r>
        <w:t>CF/88</w:t>
      </w:r>
      <w:r w:rsidRPr="001C305A">
        <w:t>, os regimes de previdência dos servidores titulares de cargos efetivos possuem caráter contributivo e deverão ser equilibrados financeira e atuarialmente.</w:t>
      </w:r>
    </w:p>
    <w:p w14:paraId="73359498" w14:textId="77777777" w:rsidR="00D4549C" w:rsidRPr="001C305A" w:rsidRDefault="00D4549C" w:rsidP="00D4549C">
      <w:pPr>
        <w:pStyle w:val="1-REL11"/>
      </w:pPr>
      <w:r w:rsidRPr="001C305A">
        <w:t>O art. 24 da LRF estabelece limite de despesas com a Seguridade Social, definindo que nenhum benefício ou serviço relativo à seguridade social poderá ser criado, majorado ou estendido sem a indicação da fonte de custeio total. Esta avaliação é realizada por meio da observação de contribuição dos segurados, ativos e inativos, da contribuição patronal do ente e outros aportes que devem garantir o equilíbrio financeiro e atuarial da previdência.</w:t>
      </w:r>
    </w:p>
    <w:p w14:paraId="69928CC4" w14:textId="77777777" w:rsidR="00D4549C" w:rsidRPr="001C305A" w:rsidRDefault="00D4549C" w:rsidP="00D4549C">
      <w:pPr>
        <w:pStyle w:val="1-REL11"/>
      </w:pPr>
      <w:r w:rsidRPr="001C305A">
        <w:lastRenderedPageBreak/>
        <w:t>Torna-se necessária também a avaliação da capacidade de pagamento dos benefícios previstos pelo plano de previdência, por meio da projeção atuarial, para a emissão de alertas por esta Corte de Contas. A análise deste tópico foi realizada com base nos dados apresentados no Anexo 4 - Demonstrativo das Receitas e Despesas Previdenciárias do Regime Próprio de Previdência dos Servidores</w:t>
      </w:r>
      <w:r>
        <w:t>, integrante do RREO</w:t>
      </w:r>
      <w:r w:rsidRPr="001C305A">
        <w:t>.</w:t>
      </w:r>
    </w:p>
    <w:p w14:paraId="362F3DA7" w14:textId="77777777" w:rsidR="00D4549C" w:rsidRPr="001C305A" w:rsidRDefault="00D4549C" w:rsidP="00D4549C">
      <w:pPr>
        <w:pStyle w:val="1-REL11"/>
      </w:pPr>
      <w:r w:rsidRPr="001C305A">
        <w:t>Os demonstrativos de previdência dos servidores estão subdivididos em 5 relatórios, a saber:</w:t>
      </w:r>
    </w:p>
    <w:p w14:paraId="4D5D1293" w14:textId="77777777" w:rsidR="00D4549C" w:rsidRPr="001C305A" w:rsidRDefault="00D4549C" w:rsidP="00736A8C">
      <w:pPr>
        <w:pStyle w:val="1-REL11"/>
        <w:numPr>
          <w:ilvl w:val="0"/>
          <w:numId w:val="52"/>
        </w:numPr>
      </w:pPr>
      <w:r w:rsidRPr="001C305A">
        <w:t>Fundo em Capitalização (Plano Previdenciário);</w:t>
      </w:r>
    </w:p>
    <w:p w14:paraId="069E6241" w14:textId="77777777" w:rsidR="00D4549C" w:rsidRPr="001C305A" w:rsidRDefault="00D4549C" w:rsidP="00736A8C">
      <w:pPr>
        <w:pStyle w:val="1-REL11"/>
        <w:numPr>
          <w:ilvl w:val="0"/>
          <w:numId w:val="52"/>
        </w:numPr>
      </w:pPr>
      <w:r w:rsidRPr="001C305A">
        <w:t>Fundo em Repartição (Plano Financeiro);</w:t>
      </w:r>
    </w:p>
    <w:p w14:paraId="052C0AB8" w14:textId="77777777" w:rsidR="00D4549C" w:rsidRPr="001C305A" w:rsidRDefault="00D4549C" w:rsidP="00736A8C">
      <w:pPr>
        <w:pStyle w:val="1-REL11"/>
        <w:numPr>
          <w:ilvl w:val="0"/>
          <w:numId w:val="52"/>
        </w:numPr>
      </w:pPr>
      <w:r w:rsidRPr="001C305A">
        <w:t>Administração do Regime Próprio de Previdência dos Servidores;</w:t>
      </w:r>
    </w:p>
    <w:p w14:paraId="05A3E3AE" w14:textId="77777777" w:rsidR="00D4549C" w:rsidRPr="001C305A" w:rsidRDefault="00D4549C" w:rsidP="00736A8C">
      <w:pPr>
        <w:pStyle w:val="1-REL11"/>
        <w:numPr>
          <w:ilvl w:val="0"/>
          <w:numId w:val="52"/>
        </w:numPr>
      </w:pPr>
      <w:r w:rsidRPr="001C305A">
        <w:t>Benefícios Previdenciário</w:t>
      </w:r>
      <w:r>
        <w:t>s</w:t>
      </w:r>
      <w:r w:rsidRPr="001C305A">
        <w:t xml:space="preserve"> Mantidos pelo Tesouro; e</w:t>
      </w:r>
    </w:p>
    <w:p w14:paraId="7B622B7A" w14:textId="77777777" w:rsidR="00D4549C" w:rsidRPr="001C305A" w:rsidRDefault="00D4549C" w:rsidP="00736A8C">
      <w:pPr>
        <w:pStyle w:val="1-REL11"/>
        <w:numPr>
          <w:ilvl w:val="0"/>
          <w:numId w:val="52"/>
        </w:numPr>
      </w:pPr>
      <w:r w:rsidRPr="001C305A">
        <w:t>Receitas e Despesas associadas às Pensões e aos Inativos Militares (SPSM).</w:t>
      </w:r>
    </w:p>
    <w:p w14:paraId="002ADA0A" w14:textId="77777777" w:rsidR="00D4549C" w:rsidRPr="00C93BB0" w:rsidRDefault="00D4549C" w:rsidP="00D4549C">
      <w:pPr>
        <w:pStyle w:val="1-REL11"/>
      </w:pPr>
      <w:r w:rsidRPr="001C305A">
        <w:t>Destaca-se que parte das despesas previdenciárias dos Órgãos Autônomos, como as despesas de exercícios anteriores, não estão centralizadas no órgão estadual (</w:t>
      </w:r>
      <w:r w:rsidRPr="00C93BB0">
        <w:t>Goiasprev), ocasionando distorções nas análises.</w:t>
      </w:r>
    </w:p>
    <w:p w14:paraId="06FB68B5" w14:textId="77777777" w:rsidR="00D4549C" w:rsidRPr="00C93BB0" w:rsidRDefault="00D4549C" w:rsidP="00D4549C">
      <w:pPr>
        <w:pStyle w:val="1-REL11"/>
      </w:pPr>
      <w:r w:rsidRPr="00C93BB0">
        <w:t>O sistema de previdência do estado de Goiás recebeu vultosos recursos para pagamentos dos benefícios previdenciários oriundos da venda da Celg T e Lei nº 13.885</w:t>
      </w:r>
      <w:r>
        <w:t xml:space="preserve">, de 17 de outubro de </w:t>
      </w:r>
      <w:r w:rsidRPr="00C93BB0">
        <w:t>2019 (valores arrecadados com leilões do blocos de Atapu e Sépia). Nos últimos dois anos o estado de Goiás utilizou R$ 2,01 bilhões desses recursos recebidos para pagamentos de benefícios previdenciários, sendo R$ 1.22 bilhão em 2022 e R$ 790</w:t>
      </w:r>
      <w:r>
        <w:t>,</w:t>
      </w:r>
      <w:r w:rsidRPr="00C93BB0">
        <w:t>61 milhões em 2023.</w:t>
      </w:r>
    </w:p>
    <w:p w14:paraId="75ECAEA2" w14:textId="77777777" w:rsidR="00D4549C" w:rsidRPr="00C93BB0" w:rsidRDefault="00D4549C" w:rsidP="00D4549C">
      <w:pPr>
        <w:pStyle w:val="1-REL11"/>
      </w:pPr>
      <w:r w:rsidRPr="00C93BB0">
        <w:t>Os recursos repassados em 2023 são essencialmente remanescentes da venda da Celg T</w:t>
      </w:r>
      <w:r>
        <w:t>,</w:t>
      </w:r>
      <w:r w:rsidRPr="00C93BB0">
        <w:t xml:space="preserve"> sendo que R$ 226</w:t>
      </w:r>
      <w:r>
        <w:t>,</w:t>
      </w:r>
      <w:r w:rsidRPr="00C93BB0">
        <w:t>50 milhões foram utilizados para pagamentos dos militares da reserva e seus pensionistas, e R$ 564</w:t>
      </w:r>
      <w:r>
        <w:t>,</w:t>
      </w:r>
      <w:r w:rsidRPr="00C93BB0">
        <w:t>10 milhões para pagamentos dos inativos e pensionistas civis.</w:t>
      </w:r>
    </w:p>
    <w:p w14:paraId="13F484FD" w14:textId="5D814F68" w:rsidR="00D4549C" w:rsidRPr="00C93BB0" w:rsidRDefault="00F52F5F" w:rsidP="00A224E9">
      <w:pPr>
        <w:pStyle w:val="Ttulo3"/>
      </w:pPr>
      <w:bookmarkStart w:id="167" w:name="_Toc167871668"/>
      <w:r>
        <w:t>Fundo</w:t>
      </w:r>
      <w:r w:rsidR="00D4549C" w:rsidRPr="00C93BB0">
        <w:t xml:space="preserve"> Previdenciário</w:t>
      </w:r>
      <w:bookmarkEnd w:id="167"/>
    </w:p>
    <w:p w14:paraId="269EAA1D" w14:textId="77777777" w:rsidR="00D4549C" w:rsidRPr="001C305A" w:rsidRDefault="00D4549C" w:rsidP="00D4549C">
      <w:pPr>
        <w:pStyle w:val="1-REL11"/>
      </w:pPr>
      <w:r w:rsidRPr="00C93BB0">
        <w:t xml:space="preserve">A Lei Estadual nº 20.850/2020 promoveu a segregação de massas dos segurados do RPPS. Assim, os servidores que ingressaram no serviço público a partir de </w:t>
      </w:r>
      <w:r>
        <w:t>0</w:t>
      </w:r>
      <w:r w:rsidRPr="00C93BB0">
        <w:t>7</w:t>
      </w:r>
      <w:r>
        <w:t>/07/</w:t>
      </w:r>
      <w:r w:rsidRPr="00C93BB0">
        <w:t>2017 e aqueles que optaram por limitar seus futuros</w:t>
      </w:r>
      <w:r w:rsidRPr="001C305A">
        <w:t xml:space="preserve"> benefícios previdenciários ao valor do teto do RGPS, nos termos do art. 4º,</w:t>
      </w:r>
      <w:r>
        <w:t xml:space="preserve"> inciso</w:t>
      </w:r>
      <w:r w:rsidRPr="001C305A">
        <w:t xml:space="preserve"> III, compõem o Plano Previdenciário.</w:t>
      </w:r>
    </w:p>
    <w:p w14:paraId="2FF0E9F6" w14:textId="6D66AB30" w:rsidR="00D4549C" w:rsidRDefault="00D4549C" w:rsidP="00D4549C">
      <w:pPr>
        <w:pStyle w:val="1-REL11"/>
      </w:pPr>
      <w:r w:rsidRPr="001C305A">
        <w:t xml:space="preserve">Evidencia-se a seguir o demonstrativo de receitas e despesas dos servidores que compõe o </w:t>
      </w:r>
      <w:r w:rsidR="00F52F5F">
        <w:t>Fundo</w:t>
      </w:r>
      <w:r w:rsidRPr="001C305A">
        <w:t xml:space="preserve"> Previdenciário (Fundo em Capitalização)</w:t>
      </w:r>
      <w:r>
        <w:t>:</w:t>
      </w:r>
    </w:p>
    <w:p w14:paraId="16C23F42" w14:textId="77777777" w:rsidR="00BE34DB" w:rsidRPr="001C305A" w:rsidRDefault="00BE34DB" w:rsidP="00D4549C">
      <w:pPr>
        <w:pStyle w:val="1-REL11"/>
      </w:pPr>
    </w:p>
    <w:p w14:paraId="484C4A86" w14:textId="2B56E295" w:rsidR="00D4549C" w:rsidRPr="001C305A" w:rsidRDefault="00F52F5F" w:rsidP="00ED3571">
      <w:pPr>
        <w:pStyle w:val="0-TABELA"/>
        <w:rPr>
          <w:b/>
        </w:rPr>
      </w:pPr>
      <w:bookmarkStart w:id="168" w:name="_Toc167871761"/>
      <w:r>
        <w:lastRenderedPageBreak/>
        <w:t>Fundo</w:t>
      </w:r>
      <w:r w:rsidR="00D4549C" w:rsidRPr="001C305A">
        <w:t xml:space="preserve"> Previdenciário</w:t>
      </w:r>
      <w:bookmarkEnd w:id="168"/>
    </w:p>
    <w:p w14:paraId="31D3CD73" w14:textId="77777777" w:rsidR="00D4549C" w:rsidRPr="004A50B3" w:rsidRDefault="00D4549C" w:rsidP="00D4549C">
      <w:pPr>
        <w:pStyle w:val="1-emR1-8ptDIR"/>
      </w:pPr>
      <w:r w:rsidRPr="006A5F76">
        <w:rPr>
          <w:rFonts w:cs="Arial"/>
        </w:rPr>
        <w:t>R$</w:t>
      </w:r>
      <w:r>
        <w:rPr>
          <w:rFonts w:cs="Arial"/>
        </w:rPr>
        <w:t xml:space="preserve"> 1</w:t>
      </w:r>
    </w:p>
    <w:tbl>
      <w:tblPr>
        <w:tblW w:w="5000" w:type="pct"/>
        <w:tblCellMar>
          <w:left w:w="70" w:type="dxa"/>
          <w:right w:w="70" w:type="dxa"/>
        </w:tblCellMar>
        <w:tblLook w:val="04A0" w:firstRow="1" w:lastRow="0" w:firstColumn="1" w:lastColumn="0" w:noHBand="0" w:noVBand="1"/>
      </w:tblPr>
      <w:tblGrid>
        <w:gridCol w:w="6069"/>
        <w:gridCol w:w="1455"/>
        <w:gridCol w:w="1829"/>
      </w:tblGrid>
      <w:tr w:rsidR="00D4549C" w:rsidRPr="00C90EC9" w14:paraId="42849027" w14:textId="77777777" w:rsidTr="008005E7">
        <w:trPr>
          <w:trHeight w:val="284"/>
        </w:trPr>
        <w:tc>
          <w:tcPr>
            <w:tcW w:w="3244" w:type="pct"/>
            <w:tcBorders>
              <w:top w:val="single" w:sz="6" w:space="0" w:color="auto"/>
              <w:left w:val="nil"/>
              <w:bottom w:val="single" w:sz="4" w:space="0" w:color="auto"/>
              <w:right w:val="single" w:sz="4" w:space="0" w:color="auto"/>
            </w:tcBorders>
            <w:shd w:val="clear" w:color="000000" w:fill="A1F2FD"/>
            <w:vAlign w:val="center"/>
            <w:hideMark/>
          </w:tcPr>
          <w:p w14:paraId="257D754B" w14:textId="7E2C1252" w:rsidR="00D4549C" w:rsidRPr="00C90EC9" w:rsidRDefault="00D4549C" w:rsidP="00010CF3">
            <w:pPr>
              <w:jc w:val="center"/>
              <w:rPr>
                <w:rFonts w:cs="Arial"/>
                <w:b/>
                <w:bCs/>
                <w:color w:val="000000"/>
                <w:sz w:val="20"/>
                <w:szCs w:val="20"/>
              </w:rPr>
            </w:pPr>
            <w:r w:rsidRPr="00C90EC9">
              <w:rPr>
                <w:rFonts w:cs="Arial"/>
                <w:b/>
                <w:bCs/>
                <w:color w:val="000000"/>
                <w:sz w:val="20"/>
                <w:szCs w:val="20"/>
              </w:rPr>
              <w:t xml:space="preserve">Receitas Previdenciárias </w:t>
            </w:r>
          </w:p>
        </w:tc>
        <w:tc>
          <w:tcPr>
            <w:tcW w:w="778" w:type="pct"/>
            <w:tcBorders>
              <w:top w:val="single" w:sz="6" w:space="0" w:color="auto"/>
              <w:left w:val="single" w:sz="4" w:space="0" w:color="auto"/>
              <w:bottom w:val="single" w:sz="4" w:space="0" w:color="auto"/>
              <w:right w:val="single" w:sz="4" w:space="0" w:color="auto"/>
            </w:tcBorders>
            <w:shd w:val="clear" w:color="000000" w:fill="A1F2FD"/>
            <w:vAlign w:val="center"/>
            <w:hideMark/>
          </w:tcPr>
          <w:p w14:paraId="590980C8" w14:textId="77777777" w:rsidR="00D4549C" w:rsidRPr="00C90EC9" w:rsidRDefault="00D4549C" w:rsidP="00B67EB7">
            <w:pPr>
              <w:jc w:val="center"/>
              <w:rPr>
                <w:rFonts w:cs="Arial"/>
                <w:b/>
                <w:bCs/>
                <w:color w:val="000000"/>
                <w:sz w:val="20"/>
                <w:szCs w:val="20"/>
              </w:rPr>
            </w:pPr>
            <w:r w:rsidRPr="00C90EC9">
              <w:rPr>
                <w:rFonts w:cs="Arial"/>
                <w:b/>
                <w:bCs/>
                <w:color w:val="000000"/>
                <w:sz w:val="20"/>
                <w:szCs w:val="20"/>
              </w:rPr>
              <w:t>Previsão Atualizada</w:t>
            </w:r>
          </w:p>
        </w:tc>
        <w:tc>
          <w:tcPr>
            <w:tcW w:w="978" w:type="pct"/>
            <w:tcBorders>
              <w:top w:val="single" w:sz="6" w:space="0" w:color="auto"/>
              <w:left w:val="single" w:sz="4" w:space="0" w:color="auto"/>
              <w:bottom w:val="single" w:sz="4" w:space="0" w:color="auto"/>
              <w:right w:val="nil"/>
            </w:tcBorders>
            <w:shd w:val="clear" w:color="000000" w:fill="A1F2FD"/>
            <w:vAlign w:val="center"/>
            <w:hideMark/>
          </w:tcPr>
          <w:p w14:paraId="5C9E5DE2" w14:textId="77777777" w:rsidR="00D4549C" w:rsidRPr="00C90EC9" w:rsidRDefault="00D4549C" w:rsidP="00B67EB7">
            <w:pPr>
              <w:jc w:val="center"/>
              <w:rPr>
                <w:rFonts w:cs="Arial"/>
                <w:b/>
                <w:bCs/>
                <w:color w:val="000000"/>
                <w:sz w:val="20"/>
                <w:szCs w:val="20"/>
              </w:rPr>
            </w:pPr>
            <w:r w:rsidRPr="00C90EC9">
              <w:rPr>
                <w:rFonts w:cs="Arial"/>
                <w:b/>
                <w:bCs/>
                <w:color w:val="000000"/>
                <w:sz w:val="20"/>
                <w:szCs w:val="20"/>
              </w:rPr>
              <w:t>Receitas Realizadas</w:t>
            </w:r>
          </w:p>
        </w:tc>
      </w:tr>
      <w:tr w:rsidR="00D4549C" w:rsidRPr="00C90EC9" w14:paraId="649E6D06" w14:textId="77777777" w:rsidTr="008005E7">
        <w:trPr>
          <w:trHeight w:val="284"/>
        </w:trPr>
        <w:tc>
          <w:tcPr>
            <w:tcW w:w="3244" w:type="pct"/>
            <w:tcBorders>
              <w:top w:val="single" w:sz="4" w:space="0" w:color="auto"/>
              <w:left w:val="nil"/>
              <w:bottom w:val="nil"/>
              <w:right w:val="single" w:sz="4" w:space="0" w:color="auto"/>
            </w:tcBorders>
            <w:shd w:val="clear" w:color="auto" w:fill="auto"/>
            <w:vAlign w:val="center"/>
            <w:hideMark/>
          </w:tcPr>
          <w:p w14:paraId="7E9D5E1F" w14:textId="555004C8" w:rsidR="00D4549C" w:rsidRPr="00C90EC9" w:rsidRDefault="00D4549C" w:rsidP="008005E7">
            <w:pPr>
              <w:ind w:firstLineChars="100" w:firstLine="200"/>
              <w:jc w:val="left"/>
              <w:rPr>
                <w:rFonts w:cs="Arial"/>
                <w:color w:val="000000"/>
                <w:sz w:val="20"/>
                <w:szCs w:val="20"/>
              </w:rPr>
            </w:pPr>
            <w:r w:rsidRPr="00C90EC9">
              <w:rPr>
                <w:rFonts w:cs="Arial"/>
                <w:color w:val="000000"/>
                <w:sz w:val="20"/>
                <w:szCs w:val="20"/>
              </w:rPr>
              <w:t>Receita de Contribuições dos Segurados</w:t>
            </w:r>
          </w:p>
        </w:tc>
        <w:tc>
          <w:tcPr>
            <w:tcW w:w="778" w:type="pct"/>
            <w:tcBorders>
              <w:top w:val="single" w:sz="4" w:space="0" w:color="auto"/>
              <w:left w:val="single" w:sz="4" w:space="0" w:color="auto"/>
              <w:bottom w:val="nil"/>
              <w:right w:val="single" w:sz="4" w:space="0" w:color="auto"/>
            </w:tcBorders>
            <w:shd w:val="clear" w:color="auto" w:fill="auto"/>
            <w:vAlign w:val="center"/>
            <w:hideMark/>
          </w:tcPr>
          <w:p w14:paraId="7630CF22" w14:textId="78F353FB" w:rsidR="00D4549C" w:rsidRPr="00C90EC9" w:rsidRDefault="00D4549C" w:rsidP="00B67EB7">
            <w:pPr>
              <w:jc w:val="right"/>
              <w:rPr>
                <w:rFonts w:cs="Arial"/>
                <w:color w:val="000000"/>
                <w:sz w:val="20"/>
                <w:szCs w:val="20"/>
              </w:rPr>
            </w:pPr>
            <w:r w:rsidRPr="00C90EC9">
              <w:rPr>
                <w:rFonts w:cs="Arial"/>
                <w:color w:val="000000"/>
                <w:sz w:val="20"/>
                <w:szCs w:val="20"/>
              </w:rPr>
              <w:t>31.336.000</w:t>
            </w:r>
          </w:p>
        </w:tc>
        <w:tc>
          <w:tcPr>
            <w:tcW w:w="978" w:type="pct"/>
            <w:tcBorders>
              <w:top w:val="single" w:sz="4" w:space="0" w:color="auto"/>
              <w:left w:val="single" w:sz="4" w:space="0" w:color="auto"/>
              <w:bottom w:val="nil"/>
              <w:right w:val="nil"/>
            </w:tcBorders>
            <w:shd w:val="clear" w:color="auto" w:fill="auto"/>
            <w:vAlign w:val="center"/>
            <w:hideMark/>
          </w:tcPr>
          <w:p w14:paraId="49873F91" w14:textId="2D9371C0" w:rsidR="00D4549C" w:rsidRPr="00C90EC9" w:rsidRDefault="00D4549C" w:rsidP="00B67EB7">
            <w:pPr>
              <w:jc w:val="right"/>
              <w:rPr>
                <w:rFonts w:cs="Arial"/>
                <w:color w:val="000000"/>
                <w:sz w:val="20"/>
                <w:szCs w:val="20"/>
              </w:rPr>
            </w:pPr>
            <w:r w:rsidRPr="00C90EC9">
              <w:rPr>
                <w:rFonts w:cs="Arial"/>
                <w:color w:val="000000"/>
                <w:sz w:val="20"/>
                <w:szCs w:val="20"/>
              </w:rPr>
              <w:t>50.583.647</w:t>
            </w:r>
          </w:p>
        </w:tc>
      </w:tr>
      <w:tr w:rsidR="00D4549C" w:rsidRPr="00C90EC9" w14:paraId="7A5435CD" w14:textId="77777777" w:rsidTr="008005E7">
        <w:trPr>
          <w:trHeight w:val="284"/>
        </w:trPr>
        <w:tc>
          <w:tcPr>
            <w:tcW w:w="3244" w:type="pct"/>
            <w:tcBorders>
              <w:top w:val="nil"/>
              <w:left w:val="nil"/>
              <w:bottom w:val="nil"/>
              <w:right w:val="single" w:sz="4" w:space="0" w:color="auto"/>
            </w:tcBorders>
            <w:shd w:val="clear" w:color="auto" w:fill="auto"/>
            <w:vAlign w:val="center"/>
            <w:hideMark/>
          </w:tcPr>
          <w:p w14:paraId="2CC966BB" w14:textId="79D4624A" w:rsidR="00D4549C" w:rsidRPr="00C90EC9" w:rsidRDefault="00D4549C" w:rsidP="008005E7">
            <w:pPr>
              <w:ind w:firstLineChars="100" w:firstLine="200"/>
              <w:jc w:val="left"/>
              <w:rPr>
                <w:rFonts w:cs="Arial"/>
                <w:color w:val="000000"/>
                <w:sz w:val="20"/>
                <w:szCs w:val="20"/>
              </w:rPr>
            </w:pPr>
            <w:r w:rsidRPr="00C90EC9">
              <w:rPr>
                <w:rFonts w:cs="Arial"/>
                <w:color w:val="000000"/>
                <w:sz w:val="20"/>
                <w:szCs w:val="20"/>
              </w:rPr>
              <w:t>Receita de Contribuição Patronal</w:t>
            </w:r>
          </w:p>
        </w:tc>
        <w:tc>
          <w:tcPr>
            <w:tcW w:w="778" w:type="pct"/>
            <w:tcBorders>
              <w:top w:val="nil"/>
              <w:left w:val="single" w:sz="4" w:space="0" w:color="auto"/>
              <w:bottom w:val="nil"/>
              <w:right w:val="single" w:sz="4" w:space="0" w:color="auto"/>
            </w:tcBorders>
            <w:shd w:val="clear" w:color="auto" w:fill="auto"/>
            <w:vAlign w:val="center"/>
            <w:hideMark/>
          </w:tcPr>
          <w:p w14:paraId="4576EED2" w14:textId="38D0F039" w:rsidR="00D4549C" w:rsidRPr="00C90EC9" w:rsidRDefault="00D4549C" w:rsidP="00B67EB7">
            <w:pPr>
              <w:jc w:val="right"/>
              <w:rPr>
                <w:rFonts w:cs="Arial"/>
                <w:color w:val="000000"/>
                <w:sz w:val="20"/>
                <w:szCs w:val="20"/>
              </w:rPr>
            </w:pPr>
            <w:r w:rsidRPr="00C90EC9">
              <w:rPr>
                <w:rFonts w:cs="Arial"/>
                <w:color w:val="000000"/>
                <w:sz w:val="20"/>
                <w:szCs w:val="20"/>
              </w:rPr>
              <w:t>45.916.000</w:t>
            </w:r>
          </w:p>
        </w:tc>
        <w:tc>
          <w:tcPr>
            <w:tcW w:w="978" w:type="pct"/>
            <w:tcBorders>
              <w:top w:val="nil"/>
              <w:left w:val="single" w:sz="4" w:space="0" w:color="auto"/>
              <w:bottom w:val="nil"/>
              <w:right w:val="nil"/>
            </w:tcBorders>
            <w:shd w:val="clear" w:color="auto" w:fill="auto"/>
            <w:vAlign w:val="center"/>
            <w:hideMark/>
          </w:tcPr>
          <w:p w14:paraId="7EB4D4CA" w14:textId="3467953C" w:rsidR="00D4549C" w:rsidRPr="00C90EC9" w:rsidRDefault="00D4549C" w:rsidP="00B67EB7">
            <w:pPr>
              <w:jc w:val="right"/>
              <w:rPr>
                <w:rFonts w:cs="Arial"/>
                <w:sz w:val="20"/>
                <w:szCs w:val="20"/>
              </w:rPr>
            </w:pPr>
            <w:r w:rsidRPr="00C90EC9">
              <w:rPr>
                <w:rFonts w:cs="Arial"/>
                <w:sz w:val="20"/>
                <w:szCs w:val="20"/>
              </w:rPr>
              <w:t>50.586.767</w:t>
            </w:r>
          </w:p>
        </w:tc>
      </w:tr>
      <w:tr w:rsidR="00D4549C" w:rsidRPr="00C90EC9" w14:paraId="12345CD7" w14:textId="77777777" w:rsidTr="008005E7">
        <w:trPr>
          <w:trHeight w:val="284"/>
        </w:trPr>
        <w:tc>
          <w:tcPr>
            <w:tcW w:w="3244" w:type="pct"/>
            <w:tcBorders>
              <w:top w:val="nil"/>
              <w:left w:val="nil"/>
              <w:bottom w:val="single" w:sz="6" w:space="0" w:color="auto"/>
              <w:right w:val="single" w:sz="4" w:space="0" w:color="auto"/>
            </w:tcBorders>
            <w:shd w:val="clear" w:color="auto" w:fill="auto"/>
            <w:vAlign w:val="center"/>
            <w:hideMark/>
          </w:tcPr>
          <w:p w14:paraId="0BA0F362" w14:textId="63CBB7D4" w:rsidR="00D4549C" w:rsidRPr="00C90EC9" w:rsidRDefault="00D4549C" w:rsidP="008005E7">
            <w:pPr>
              <w:ind w:firstLineChars="100" w:firstLine="200"/>
              <w:jc w:val="left"/>
              <w:rPr>
                <w:rFonts w:cs="Arial"/>
                <w:color w:val="000000"/>
                <w:sz w:val="20"/>
                <w:szCs w:val="20"/>
              </w:rPr>
            </w:pPr>
            <w:r w:rsidRPr="00C90EC9">
              <w:rPr>
                <w:rFonts w:cs="Arial"/>
                <w:color w:val="000000"/>
                <w:sz w:val="20"/>
                <w:szCs w:val="20"/>
              </w:rPr>
              <w:t>Receita Patrimonial</w:t>
            </w:r>
          </w:p>
        </w:tc>
        <w:tc>
          <w:tcPr>
            <w:tcW w:w="778" w:type="pct"/>
            <w:tcBorders>
              <w:top w:val="nil"/>
              <w:left w:val="single" w:sz="4" w:space="0" w:color="auto"/>
              <w:bottom w:val="single" w:sz="6" w:space="0" w:color="auto"/>
              <w:right w:val="single" w:sz="4" w:space="0" w:color="auto"/>
            </w:tcBorders>
            <w:shd w:val="clear" w:color="auto" w:fill="auto"/>
            <w:vAlign w:val="center"/>
            <w:hideMark/>
          </w:tcPr>
          <w:p w14:paraId="38A5BE75" w14:textId="552B6EA9" w:rsidR="00D4549C" w:rsidRPr="00C90EC9" w:rsidRDefault="00D4549C" w:rsidP="00B67EB7">
            <w:pPr>
              <w:jc w:val="right"/>
              <w:rPr>
                <w:rFonts w:cs="Arial"/>
                <w:color w:val="000000"/>
                <w:sz w:val="20"/>
                <w:szCs w:val="20"/>
              </w:rPr>
            </w:pPr>
            <w:r w:rsidRPr="00C90EC9">
              <w:rPr>
                <w:rFonts w:cs="Arial"/>
                <w:color w:val="000000"/>
                <w:sz w:val="20"/>
                <w:szCs w:val="20"/>
              </w:rPr>
              <w:t>3.698.000</w:t>
            </w:r>
          </w:p>
        </w:tc>
        <w:tc>
          <w:tcPr>
            <w:tcW w:w="978" w:type="pct"/>
            <w:tcBorders>
              <w:top w:val="nil"/>
              <w:left w:val="single" w:sz="4" w:space="0" w:color="auto"/>
              <w:bottom w:val="single" w:sz="6" w:space="0" w:color="auto"/>
              <w:right w:val="nil"/>
            </w:tcBorders>
            <w:shd w:val="clear" w:color="auto" w:fill="auto"/>
            <w:vAlign w:val="center"/>
            <w:hideMark/>
          </w:tcPr>
          <w:p w14:paraId="49886FC3" w14:textId="3CB16C61" w:rsidR="00D4549C" w:rsidRPr="00C90EC9" w:rsidRDefault="00D4549C" w:rsidP="00B67EB7">
            <w:pPr>
              <w:jc w:val="right"/>
              <w:rPr>
                <w:rFonts w:cs="Arial"/>
                <w:sz w:val="20"/>
                <w:szCs w:val="20"/>
              </w:rPr>
            </w:pPr>
            <w:r w:rsidRPr="00C90EC9">
              <w:rPr>
                <w:rFonts w:cs="Arial"/>
                <w:sz w:val="20"/>
                <w:szCs w:val="20"/>
              </w:rPr>
              <w:t>424.135</w:t>
            </w:r>
          </w:p>
        </w:tc>
      </w:tr>
      <w:tr w:rsidR="00D4549C" w:rsidRPr="00C90EC9" w14:paraId="60A3EE14" w14:textId="77777777" w:rsidTr="008005E7">
        <w:trPr>
          <w:trHeight w:val="284"/>
        </w:trPr>
        <w:tc>
          <w:tcPr>
            <w:tcW w:w="3244" w:type="pct"/>
            <w:tcBorders>
              <w:top w:val="single" w:sz="6" w:space="0" w:color="auto"/>
              <w:left w:val="nil"/>
              <w:bottom w:val="single" w:sz="4" w:space="0" w:color="auto"/>
              <w:right w:val="single" w:sz="4" w:space="0" w:color="auto"/>
            </w:tcBorders>
            <w:shd w:val="clear" w:color="auto" w:fill="auto"/>
            <w:vAlign w:val="center"/>
            <w:hideMark/>
          </w:tcPr>
          <w:p w14:paraId="7DDA6524" w14:textId="3718E05D" w:rsidR="00D4549C" w:rsidRPr="00C90EC9" w:rsidRDefault="00643B3E" w:rsidP="00B67EB7">
            <w:pPr>
              <w:jc w:val="center"/>
              <w:rPr>
                <w:rFonts w:cs="Arial"/>
                <w:b/>
                <w:bCs/>
                <w:color w:val="000000"/>
                <w:sz w:val="20"/>
                <w:szCs w:val="20"/>
              </w:rPr>
            </w:pPr>
            <w:r w:rsidRPr="00C90EC9">
              <w:rPr>
                <w:rFonts w:cs="Arial"/>
                <w:b/>
                <w:bCs/>
                <w:color w:val="000000"/>
                <w:sz w:val="20"/>
                <w:szCs w:val="20"/>
              </w:rPr>
              <w:t>Receitas Correntes</w:t>
            </w:r>
            <w:r>
              <w:rPr>
                <w:rFonts w:cs="Arial"/>
                <w:b/>
                <w:bCs/>
                <w:color w:val="000000"/>
                <w:sz w:val="20"/>
                <w:szCs w:val="20"/>
              </w:rPr>
              <w:t xml:space="preserve"> </w:t>
            </w:r>
            <w:r w:rsidRPr="00C90EC9">
              <w:rPr>
                <w:rFonts w:cs="Arial"/>
                <w:b/>
                <w:bCs/>
                <w:color w:val="000000"/>
                <w:sz w:val="20"/>
                <w:szCs w:val="20"/>
              </w:rPr>
              <w:t>(I)</w:t>
            </w:r>
          </w:p>
        </w:tc>
        <w:tc>
          <w:tcPr>
            <w:tcW w:w="778" w:type="pct"/>
            <w:tcBorders>
              <w:top w:val="single" w:sz="6" w:space="0" w:color="auto"/>
              <w:left w:val="single" w:sz="4" w:space="0" w:color="auto"/>
              <w:bottom w:val="single" w:sz="4" w:space="0" w:color="auto"/>
              <w:right w:val="single" w:sz="4" w:space="0" w:color="auto"/>
            </w:tcBorders>
            <w:shd w:val="clear" w:color="auto" w:fill="auto"/>
            <w:vAlign w:val="center"/>
            <w:hideMark/>
          </w:tcPr>
          <w:p w14:paraId="3E670965" w14:textId="75B6BDEB" w:rsidR="00D4549C" w:rsidRPr="00C90EC9" w:rsidRDefault="00D4549C" w:rsidP="00B67EB7">
            <w:pPr>
              <w:jc w:val="right"/>
              <w:rPr>
                <w:rFonts w:cs="Arial"/>
                <w:b/>
                <w:bCs/>
                <w:color w:val="000000"/>
                <w:sz w:val="20"/>
                <w:szCs w:val="20"/>
              </w:rPr>
            </w:pPr>
            <w:r w:rsidRPr="00C90EC9">
              <w:rPr>
                <w:rFonts w:cs="Arial"/>
                <w:b/>
                <w:bCs/>
                <w:color w:val="000000"/>
                <w:sz w:val="20"/>
                <w:szCs w:val="20"/>
              </w:rPr>
              <w:t>80.950.000</w:t>
            </w:r>
          </w:p>
        </w:tc>
        <w:tc>
          <w:tcPr>
            <w:tcW w:w="978" w:type="pct"/>
            <w:tcBorders>
              <w:top w:val="single" w:sz="6" w:space="0" w:color="auto"/>
              <w:left w:val="single" w:sz="4" w:space="0" w:color="auto"/>
              <w:bottom w:val="single" w:sz="4" w:space="0" w:color="auto"/>
              <w:right w:val="nil"/>
            </w:tcBorders>
            <w:shd w:val="clear" w:color="auto" w:fill="auto"/>
            <w:vAlign w:val="center"/>
            <w:hideMark/>
          </w:tcPr>
          <w:p w14:paraId="11E03026" w14:textId="505F68D8" w:rsidR="00D4549C" w:rsidRPr="00C90EC9" w:rsidRDefault="00D4549C" w:rsidP="00B67EB7">
            <w:pPr>
              <w:jc w:val="right"/>
              <w:rPr>
                <w:rFonts w:cs="Arial"/>
                <w:b/>
                <w:bCs/>
                <w:color w:val="000000"/>
                <w:sz w:val="20"/>
                <w:szCs w:val="20"/>
              </w:rPr>
            </w:pPr>
            <w:r w:rsidRPr="00C90EC9">
              <w:rPr>
                <w:rFonts w:cs="Arial"/>
                <w:b/>
                <w:bCs/>
                <w:color w:val="000000"/>
                <w:sz w:val="20"/>
                <w:szCs w:val="20"/>
              </w:rPr>
              <w:t>101.594.549</w:t>
            </w:r>
          </w:p>
        </w:tc>
      </w:tr>
      <w:tr w:rsidR="00D4549C" w:rsidRPr="00C90EC9" w14:paraId="0FDBDD9F" w14:textId="77777777" w:rsidTr="008005E7">
        <w:trPr>
          <w:trHeight w:val="284"/>
        </w:trPr>
        <w:tc>
          <w:tcPr>
            <w:tcW w:w="3244" w:type="pct"/>
            <w:tcBorders>
              <w:top w:val="single" w:sz="4" w:space="0" w:color="auto"/>
              <w:left w:val="nil"/>
              <w:bottom w:val="single" w:sz="4" w:space="0" w:color="auto"/>
              <w:right w:val="nil"/>
            </w:tcBorders>
            <w:shd w:val="clear" w:color="auto" w:fill="auto"/>
            <w:noWrap/>
            <w:vAlign w:val="center"/>
            <w:hideMark/>
          </w:tcPr>
          <w:p w14:paraId="0BF17206" w14:textId="77777777" w:rsidR="00D4549C" w:rsidRPr="00C90EC9" w:rsidRDefault="00D4549C" w:rsidP="00B67EB7">
            <w:pPr>
              <w:jc w:val="right"/>
              <w:rPr>
                <w:rFonts w:cs="Arial"/>
                <w:b/>
                <w:bCs/>
                <w:color w:val="000000"/>
                <w:sz w:val="20"/>
                <w:szCs w:val="20"/>
              </w:rPr>
            </w:pPr>
          </w:p>
        </w:tc>
        <w:tc>
          <w:tcPr>
            <w:tcW w:w="778" w:type="pct"/>
            <w:tcBorders>
              <w:top w:val="single" w:sz="4" w:space="0" w:color="auto"/>
              <w:left w:val="nil"/>
              <w:bottom w:val="single" w:sz="4" w:space="0" w:color="auto"/>
              <w:right w:val="nil"/>
            </w:tcBorders>
            <w:shd w:val="clear" w:color="auto" w:fill="auto"/>
            <w:noWrap/>
            <w:vAlign w:val="center"/>
            <w:hideMark/>
          </w:tcPr>
          <w:p w14:paraId="48B01437" w14:textId="77777777" w:rsidR="00D4549C" w:rsidRPr="00C90EC9" w:rsidRDefault="00D4549C" w:rsidP="00B67EB7">
            <w:pPr>
              <w:rPr>
                <w:rFonts w:cs="Arial"/>
                <w:sz w:val="20"/>
                <w:szCs w:val="20"/>
              </w:rPr>
            </w:pPr>
          </w:p>
        </w:tc>
        <w:tc>
          <w:tcPr>
            <w:tcW w:w="978" w:type="pct"/>
            <w:tcBorders>
              <w:top w:val="single" w:sz="4" w:space="0" w:color="auto"/>
              <w:left w:val="nil"/>
              <w:bottom w:val="single" w:sz="4" w:space="0" w:color="auto"/>
              <w:right w:val="nil"/>
            </w:tcBorders>
            <w:shd w:val="clear" w:color="auto" w:fill="auto"/>
            <w:noWrap/>
            <w:vAlign w:val="center"/>
            <w:hideMark/>
          </w:tcPr>
          <w:p w14:paraId="26045920" w14:textId="77777777" w:rsidR="00D4549C" w:rsidRPr="00C90EC9" w:rsidRDefault="00D4549C" w:rsidP="00B67EB7">
            <w:pPr>
              <w:rPr>
                <w:rFonts w:cs="Arial"/>
                <w:sz w:val="20"/>
                <w:szCs w:val="20"/>
              </w:rPr>
            </w:pPr>
          </w:p>
        </w:tc>
      </w:tr>
      <w:tr w:rsidR="00D4549C" w:rsidRPr="00C90EC9" w14:paraId="4F2DD14A" w14:textId="77777777" w:rsidTr="008005E7">
        <w:trPr>
          <w:trHeight w:val="284"/>
        </w:trPr>
        <w:tc>
          <w:tcPr>
            <w:tcW w:w="3244" w:type="pct"/>
            <w:tcBorders>
              <w:top w:val="single" w:sz="4" w:space="0" w:color="auto"/>
              <w:left w:val="nil"/>
              <w:bottom w:val="single" w:sz="4" w:space="0" w:color="auto"/>
              <w:right w:val="single" w:sz="4" w:space="0" w:color="auto"/>
            </w:tcBorders>
            <w:shd w:val="clear" w:color="000000" w:fill="A1F2FD"/>
            <w:vAlign w:val="center"/>
            <w:hideMark/>
          </w:tcPr>
          <w:p w14:paraId="00D1CAB2" w14:textId="0B612A57" w:rsidR="00D4549C" w:rsidRPr="00C90EC9" w:rsidRDefault="00D4549C" w:rsidP="00010CF3">
            <w:pPr>
              <w:jc w:val="center"/>
              <w:rPr>
                <w:rFonts w:cs="Arial"/>
                <w:b/>
                <w:bCs/>
                <w:color w:val="000000"/>
                <w:sz w:val="20"/>
                <w:szCs w:val="20"/>
              </w:rPr>
            </w:pPr>
            <w:r w:rsidRPr="00C90EC9">
              <w:rPr>
                <w:rFonts w:cs="Arial"/>
                <w:b/>
                <w:bCs/>
                <w:color w:val="000000"/>
                <w:sz w:val="20"/>
                <w:szCs w:val="20"/>
              </w:rPr>
              <w:t xml:space="preserve">Despesas Previdenciárias </w:t>
            </w:r>
          </w:p>
        </w:tc>
        <w:tc>
          <w:tcPr>
            <w:tcW w:w="778" w:type="pct"/>
            <w:tcBorders>
              <w:top w:val="single" w:sz="4" w:space="0" w:color="auto"/>
              <w:left w:val="single" w:sz="4" w:space="0" w:color="auto"/>
              <w:bottom w:val="single" w:sz="4" w:space="0" w:color="auto"/>
              <w:right w:val="single" w:sz="4" w:space="0" w:color="auto"/>
            </w:tcBorders>
            <w:shd w:val="clear" w:color="000000" w:fill="A1F2FD"/>
            <w:vAlign w:val="center"/>
            <w:hideMark/>
          </w:tcPr>
          <w:p w14:paraId="0B59CF68" w14:textId="77777777" w:rsidR="00D4549C" w:rsidRPr="00C90EC9" w:rsidRDefault="00D4549C" w:rsidP="00B67EB7">
            <w:pPr>
              <w:jc w:val="center"/>
              <w:rPr>
                <w:rFonts w:cs="Arial"/>
                <w:b/>
                <w:bCs/>
                <w:color w:val="000000"/>
                <w:sz w:val="20"/>
                <w:szCs w:val="20"/>
              </w:rPr>
            </w:pPr>
            <w:r w:rsidRPr="00C90EC9">
              <w:rPr>
                <w:rFonts w:cs="Arial"/>
                <w:b/>
                <w:bCs/>
                <w:color w:val="000000"/>
                <w:sz w:val="20"/>
                <w:szCs w:val="20"/>
              </w:rPr>
              <w:t>Dotação Atualizada</w:t>
            </w:r>
          </w:p>
        </w:tc>
        <w:tc>
          <w:tcPr>
            <w:tcW w:w="978" w:type="pct"/>
            <w:tcBorders>
              <w:top w:val="single" w:sz="4" w:space="0" w:color="auto"/>
              <w:left w:val="single" w:sz="4" w:space="0" w:color="auto"/>
              <w:bottom w:val="single" w:sz="4" w:space="0" w:color="auto"/>
              <w:right w:val="nil"/>
            </w:tcBorders>
            <w:shd w:val="clear" w:color="000000" w:fill="A1F2FD"/>
            <w:vAlign w:val="center"/>
            <w:hideMark/>
          </w:tcPr>
          <w:p w14:paraId="0F7679DD" w14:textId="77777777" w:rsidR="00D4549C" w:rsidRPr="00C90EC9" w:rsidRDefault="00D4549C" w:rsidP="00B67EB7">
            <w:pPr>
              <w:jc w:val="center"/>
              <w:rPr>
                <w:rFonts w:cs="Arial"/>
                <w:b/>
                <w:bCs/>
                <w:color w:val="000000"/>
                <w:sz w:val="20"/>
                <w:szCs w:val="20"/>
              </w:rPr>
            </w:pPr>
            <w:r w:rsidRPr="00C90EC9">
              <w:rPr>
                <w:rFonts w:cs="Arial"/>
                <w:b/>
                <w:bCs/>
                <w:color w:val="000000"/>
                <w:sz w:val="20"/>
                <w:szCs w:val="20"/>
              </w:rPr>
              <w:t>Despesas Empenhadas</w:t>
            </w:r>
          </w:p>
        </w:tc>
      </w:tr>
      <w:tr w:rsidR="00D4549C" w:rsidRPr="00C90EC9" w14:paraId="0BF57144" w14:textId="77777777" w:rsidTr="008005E7">
        <w:trPr>
          <w:trHeight w:val="284"/>
        </w:trPr>
        <w:tc>
          <w:tcPr>
            <w:tcW w:w="3244" w:type="pct"/>
            <w:tcBorders>
              <w:top w:val="single" w:sz="4" w:space="0" w:color="auto"/>
              <w:left w:val="nil"/>
              <w:right w:val="single" w:sz="4" w:space="0" w:color="auto"/>
            </w:tcBorders>
            <w:shd w:val="clear" w:color="auto" w:fill="auto"/>
            <w:vAlign w:val="center"/>
            <w:hideMark/>
          </w:tcPr>
          <w:p w14:paraId="2BC2D658" w14:textId="77777777" w:rsidR="00D4549C" w:rsidRPr="00C90EC9" w:rsidRDefault="00D4549C" w:rsidP="00B67EB7">
            <w:pPr>
              <w:rPr>
                <w:rFonts w:cs="Arial"/>
                <w:color w:val="000000"/>
                <w:sz w:val="20"/>
                <w:szCs w:val="20"/>
              </w:rPr>
            </w:pPr>
            <w:r w:rsidRPr="00C90EC9">
              <w:rPr>
                <w:rFonts w:cs="Arial"/>
                <w:color w:val="000000"/>
                <w:sz w:val="20"/>
                <w:szCs w:val="20"/>
              </w:rPr>
              <w:t>Benefícios</w:t>
            </w:r>
          </w:p>
        </w:tc>
        <w:tc>
          <w:tcPr>
            <w:tcW w:w="778" w:type="pct"/>
            <w:tcBorders>
              <w:top w:val="single" w:sz="4" w:space="0" w:color="auto"/>
              <w:left w:val="single" w:sz="4" w:space="0" w:color="auto"/>
              <w:right w:val="single" w:sz="4" w:space="0" w:color="auto"/>
            </w:tcBorders>
            <w:shd w:val="clear" w:color="auto" w:fill="auto"/>
            <w:vAlign w:val="center"/>
            <w:hideMark/>
          </w:tcPr>
          <w:p w14:paraId="6CA5B0A7" w14:textId="25CFB3F2" w:rsidR="00D4549C" w:rsidRPr="00C90EC9" w:rsidRDefault="00D4549C" w:rsidP="00B67EB7">
            <w:pPr>
              <w:jc w:val="right"/>
              <w:rPr>
                <w:rFonts w:cs="Arial"/>
                <w:color w:val="000000"/>
                <w:sz w:val="20"/>
                <w:szCs w:val="20"/>
              </w:rPr>
            </w:pPr>
            <w:r w:rsidRPr="00C90EC9">
              <w:rPr>
                <w:rFonts w:cs="Arial"/>
                <w:color w:val="000000"/>
                <w:sz w:val="20"/>
                <w:szCs w:val="20"/>
              </w:rPr>
              <w:t>510.000</w:t>
            </w:r>
          </w:p>
        </w:tc>
        <w:tc>
          <w:tcPr>
            <w:tcW w:w="978" w:type="pct"/>
            <w:tcBorders>
              <w:top w:val="single" w:sz="4" w:space="0" w:color="auto"/>
              <w:left w:val="single" w:sz="4" w:space="0" w:color="auto"/>
              <w:right w:val="nil"/>
            </w:tcBorders>
            <w:shd w:val="clear" w:color="auto" w:fill="auto"/>
            <w:vAlign w:val="center"/>
            <w:hideMark/>
          </w:tcPr>
          <w:p w14:paraId="2B76E9D6" w14:textId="77777777" w:rsidR="00D4549C" w:rsidRPr="00C90EC9" w:rsidRDefault="00D4549C" w:rsidP="00B67EB7">
            <w:pPr>
              <w:jc w:val="right"/>
              <w:rPr>
                <w:rFonts w:cs="Arial"/>
                <w:color w:val="000000"/>
                <w:sz w:val="20"/>
                <w:szCs w:val="20"/>
              </w:rPr>
            </w:pPr>
            <w:r w:rsidRPr="00C90EC9">
              <w:rPr>
                <w:rFonts w:cs="Arial"/>
                <w:color w:val="000000"/>
                <w:sz w:val="20"/>
                <w:szCs w:val="20"/>
              </w:rPr>
              <w:t>-</w:t>
            </w:r>
          </w:p>
        </w:tc>
      </w:tr>
      <w:tr w:rsidR="00D4549C" w:rsidRPr="00C90EC9" w14:paraId="337BA31A" w14:textId="77777777" w:rsidTr="008005E7">
        <w:trPr>
          <w:trHeight w:val="284"/>
        </w:trPr>
        <w:tc>
          <w:tcPr>
            <w:tcW w:w="3244" w:type="pct"/>
            <w:tcBorders>
              <w:top w:val="nil"/>
              <w:left w:val="nil"/>
              <w:bottom w:val="single" w:sz="4" w:space="0" w:color="auto"/>
              <w:right w:val="single" w:sz="4" w:space="0" w:color="auto"/>
            </w:tcBorders>
            <w:shd w:val="clear" w:color="auto" w:fill="auto"/>
            <w:vAlign w:val="center"/>
            <w:hideMark/>
          </w:tcPr>
          <w:p w14:paraId="6206EBDB" w14:textId="77777777" w:rsidR="00D4549C" w:rsidRPr="00C90EC9" w:rsidRDefault="00D4549C" w:rsidP="00B67EB7">
            <w:pPr>
              <w:ind w:firstLineChars="100" w:firstLine="200"/>
              <w:rPr>
                <w:rFonts w:cs="Arial"/>
                <w:color w:val="000000"/>
                <w:sz w:val="20"/>
                <w:szCs w:val="20"/>
              </w:rPr>
            </w:pPr>
            <w:r w:rsidRPr="00C90EC9">
              <w:rPr>
                <w:rFonts w:cs="Arial"/>
                <w:color w:val="000000"/>
                <w:sz w:val="20"/>
                <w:szCs w:val="20"/>
              </w:rPr>
              <w:t>Aposentadorias</w:t>
            </w:r>
          </w:p>
        </w:tc>
        <w:tc>
          <w:tcPr>
            <w:tcW w:w="778" w:type="pct"/>
            <w:tcBorders>
              <w:top w:val="nil"/>
              <w:left w:val="single" w:sz="4" w:space="0" w:color="auto"/>
              <w:bottom w:val="single" w:sz="4" w:space="0" w:color="auto"/>
              <w:right w:val="single" w:sz="4" w:space="0" w:color="auto"/>
            </w:tcBorders>
            <w:shd w:val="clear" w:color="auto" w:fill="auto"/>
            <w:vAlign w:val="center"/>
            <w:hideMark/>
          </w:tcPr>
          <w:p w14:paraId="3E932C91" w14:textId="15F84F4A" w:rsidR="00D4549C" w:rsidRPr="00C90EC9" w:rsidRDefault="00D4549C" w:rsidP="00B67EB7">
            <w:pPr>
              <w:jc w:val="right"/>
              <w:rPr>
                <w:rFonts w:cs="Arial"/>
                <w:color w:val="000000"/>
                <w:sz w:val="20"/>
                <w:szCs w:val="20"/>
              </w:rPr>
            </w:pPr>
            <w:r w:rsidRPr="00C90EC9">
              <w:rPr>
                <w:rFonts w:cs="Arial"/>
                <w:color w:val="000000"/>
                <w:sz w:val="20"/>
                <w:szCs w:val="20"/>
              </w:rPr>
              <w:t>510.000</w:t>
            </w:r>
          </w:p>
        </w:tc>
        <w:tc>
          <w:tcPr>
            <w:tcW w:w="978" w:type="pct"/>
            <w:tcBorders>
              <w:top w:val="nil"/>
              <w:left w:val="single" w:sz="4" w:space="0" w:color="auto"/>
              <w:bottom w:val="single" w:sz="4" w:space="0" w:color="auto"/>
              <w:right w:val="nil"/>
            </w:tcBorders>
            <w:shd w:val="clear" w:color="auto" w:fill="auto"/>
            <w:vAlign w:val="center"/>
            <w:hideMark/>
          </w:tcPr>
          <w:p w14:paraId="2F2181C1" w14:textId="77777777" w:rsidR="00D4549C" w:rsidRPr="00C90EC9" w:rsidRDefault="00D4549C" w:rsidP="00B67EB7">
            <w:pPr>
              <w:jc w:val="right"/>
              <w:rPr>
                <w:rFonts w:cs="Arial"/>
                <w:color w:val="000000"/>
                <w:sz w:val="20"/>
                <w:szCs w:val="20"/>
              </w:rPr>
            </w:pPr>
            <w:r w:rsidRPr="00C90EC9">
              <w:rPr>
                <w:rFonts w:cs="Arial"/>
                <w:color w:val="000000"/>
                <w:sz w:val="20"/>
                <w:szCs w:val="20"/>
              </w:rPr>
              <w:t>-</w:t>
            </w:r>
          </w:p>
        </w:tc>
      </w:tr>
      <w:tr w:rsidR="00D4549C" w:rsidRPr="00C90EC9" w14:paraId="2C9632A4" w14:textId="77777777" w:rsidTr="008005E7">
        <w:trPr>
          <w:trHeight w:val="284"/>
        </w:trPr>
        <w:tc>
          <w:tcPr>
            <w:tcW w:w="3244" w:type="pct"/>
            <w:tcBorders>
              <w:top w:val="single" w:sz="4" w:space="0" w:color="auto"/>
              <w:left w:val="nil"/>
              <w:bottom w:val="single" w:sz="4" w:space="0" w:color="auto"/>
              <w:right w:val="single" w:sz="4" w:space="0" w:color="auto"/>
            </w:tcBorders>
            <w:shd w:val="clear" w:color="auto" w:fill="auto"/>
            <w:vAlign w:val="center"/>
            <w:hideMark/>
          </w:tcPr>
          <w:p w14:paraId="292CFC0E" w14:textId="7E6B5F17" w:rsidR="00D4549C" w:rsidRPr="00C90EC9" w:rsidRDefault="00643B3E" w:rsidP="00B67EB7">
            <w:pPr>
              <w:jc w:val="center"/>
              <w:rPr>
                <w:rFonts w:cs="Arial"/>
                <w:b/>
                <w:bCs/>
                <w:sz w:val="20"/>
                <w:szCs w:val="20"/>
              </w:rPr>
            </w:pPr>
            <w:r>
              <w:rPr>
                <w:rFonts w:cs="Arial"/>
                <w:b/>
                <w:bCs/>
                <w:color w:val="000000"/>
                <w:sz w:val="20"/>
                <w:szCs w:val="20"/>
              </w:rPr>
              <w:t>Despesas</w:t>
            </w:r>
            <w:r w:rsidRPr="00C90EC9">
              <w:rPr>
                <w:rFonts w:cs="Arial"/>
                <w:b/>
                <w:bCs/>
                <w:color w:val="000000"/>
                <w:sz w:val="20"/>
                <w:szCs w:val="20"/>
              </w:rPr>
              <w:t xml:space="preserve"> Correntes</w:t>
            </w:r>
            <w:r>
              <w:rPr>
                <w:rFonts w:cs="Arial"/>
                <w:b/>
                <w:bCs/>
                <w:color w:val="000000"/>
                <w:sz w:val="20"/>
                <w:szCs w:val="20"/>
              </w:rPr>
              <w:t xml:space="preserve"> </w:t>
            </w:r>
            <w:r w:rsidRPr="00C90EC9">
              <w:rPr>
                <w:rFonts w:cs="Arial"/>
                <w:b/>
                <w:bCs/>
                <w:color w:val="000000"/>
                <w:sz w:val="20"/>
                <w:szCs w:val="20"/>
              </w:rPr>
              <w:t>(</w:t>
            </w:r>
            <w:r>
              <w:rPr>
                <w:rFonts w:cs="Arial"/>
                <w:b/>
                <w:bCs/>
                <w:color w:val="000000"/>
                <w:sz w:val="20"/>
                <w:szCs w:val="20"/>
              </w:rPr>
              <w:t>I</w:t>
            </w:r>
            <w:r w:rsidRPr="00C90EC9">
              <w:rPr>
                <w:rFonts w:cs="Arial"/>
                <w:b/>
                <w:bCs/>
                <w:color w:val="000000"/>
                <w:sz w:val="20"/>
                <w:szCs w:val="20"/>
              </w:rPr>
              <w:t>I)</w:t>
            </w:r>
          </w:p>
        </w:tc>
        <w:tc>
          <w:tcPr>
            <w:tcW w:w="77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CE763C" w14:textId="74B29FB2" w:rsidR="00D4549C" w:rsidRPr="00C90EC9" w:rsidRDefault="00D4549C" w:rsidP="00B67EB7">
            <w:pPr>
              <w:jc w:val="right"/>
              <w:rPr>
                <w:rFonts w:cs="Arial"/>
                <w:b/>
                <w:bCs/>
                <w:sz w:val="20"/>
                <w:szCs w:val="20"/>
              </w:rPr>
            </w:pPr>
            <w:r w:rsidRPr="00C90EC9">
              <w:rPr>
                <w:rFonts w:cs="Arial"/>
                <w:b/>
                <w:bCs/>
                <w:sz w:val="20"/>
                <w:szCs w:val="20"/>
              </w:rPr>
              <w:t>510.000</w:t>
            </w:r>
          </w:p>
        </w:tc>
        <w:tc>
          <w:tcPr>
            <w:tcW w:w="978" w:type="pct"/>
            <w:tcBorders>
              <w:top w:val="single" w:sz="4" w:space="0" w:color="auto"/>
              <w:left w:val="single" w:sz="4" w:space="0" w:color="auto"/>
              <w:bottom w:val="single" w:sz="4" w:space="0" w:color="auto"/>
              <w:right w:val="nil"/>
            </w:tcBorders>
            <w:shd w:val="clear" w:color="auto" w:fill="auto"/>
            <w:vAlign w:val="center"/>
            <w:hideMark/>
          </w:tcPr>
          <w:p w14:paraId="349AAAC6" w14:textId="77777777" w:rsidR="00D4549C" w:rsidRPr="00C90EC9" w:rsidRDefault="00D4549C" w:rsidP="00B67EB7">
            <w:pPr>
              <w:jc w:val="right"/>
              <w:rPr>
                <w:rFonts w:cs="Arial"/>
                <w:b/>
                <w:bCs/>
                <w:sz w:val="20"/>
                <w:szCs w:val="20"/>
              </w:rPr>
            </w:pPr>
            <w:r w:rsidRPr="00C90EC9">
              <w:rPr>
                <w:rFonts w:cs="Arial"/>
                <w:b/>
                <w:bCs/>
                <w:sz w:val="20"/>
                <w:szCs w:val="20"/>
              </w:rPr>
              <w:t>-</w:t>
            </w:r>
          </w:p>
        </w:tc>
      </w:tr>
      <w:tr w:rsidR="00D4549C" w:rsidRPr="00C90EC9" w14:paraId="03D7EB7A" w14:textId="77777777" w:rsidTr="008005E7">
        <w:trPr>
          <w:trHeight w:val="284"/>
        </w:trPr>
        <w:tc>
          <w:tcPr>
            <w:tcW w:w="3244" w:type="pct"/>
            <w:tcBorders>
              <w:top w:val="single" w:sz="4" w:space="0" w:color="auto"/>
              <w:left w:val="nil"/>
              <w:bottom w:val="single" w:sz="4" w:space="0" w:color="auto"/>
              <w:right w:val="single" w:sz="4" w:space="0" w:color="auto"/>
            </w:tcBorders>
            <w:shd w:val="clear" w:color="auto" w:fill="auto"/>
            <w:vAlign w:val="center"/>
            <w:hideMark/>
          </w:tcPr>
          <w:p w14:paraId="192186B6" w14:textId="77777777" w:rsidR="00D4549C" w:rsidRPr="00C90EC9" w:rsidRDefault="00D4549C" w:rsidP="00B67EB7">
            <w:pPr>
              <w:jc w:val="right"/>
              <w:rPr>
                <w:rFonts w:cs="Arial"/>
                <w:b/>
                <w:bCs/>
                <w:color w:val="002060"/>
                <w:sz w:val="20"/>
                <w:szCs w:val="20"/>
              </w:rPr>
            </w:pPr>
          </w:p>
        </w:tc>
        <w:tc>
          <w:tcPr>
            <w:tcW w:w="77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39B262" w14:textId="77777777" w:rsidR="00D4549C" w:rsidRPr="00C90EC9" w:rsidRDefault="00D4549C" w:rsidP="00B67EB7">
            <w:pPr>
              <w:rPr>
                <w:rFonts w:cs="Arial"/>
                <w:sz w:val="20"/>
                <w:szCs w:val="20"/>
              </w:rPr>
            </w:pPr>
          </w:p>
        </w:tc>
        <w:tc>
          <w:tcPr>
            <w:tcW w:w="978" w:type="pct"/>
            <w:tcBorders>
              <w:top w:val="single" w:sz="4" w:space="0" w:color="auto"/>
              <w:left w:val="single" w:sz="4" w:space="0" w:color="auto"/>
              <w:bottom w:val="single" w:sz="4" w:space="0" w:color="auto"/>
              <w:right w:val="nil"/>
            </w:tcBorders>
            <w:shd w:val="clear" w:color="auto" w:fill="auto"/>
            <w:vAlign w:val="center"/>
            <w:hideMark/>
          </w:tcPr>
          <w:p w14:paraId="5E7D3144" w14:textId="77777777" w:rsidR="00D4549C" w:rsidRPr="00C90EC9" w:rsidRDefault="00D4549C" w:rsidP="00B67EB7">
            <w:pPr>
              <w:rPr>
                <w:rFonts w:cs="Arial"/>
                <w:sz w:val="20"/>
                <w:szCs w:val="20"/>
              </w:rPr>
            </w:pPr>
          </w:p>
        </w:tc>
      </w:tr>
      <w:tr w:rsidR="00D4549C" w:rsidRPr="00C90EC9" w14:paraId="3D43FC55" w14:textId="77777777" w:rsidTr="008005E7">
        <w:trPr>
          <w:trHeight w:val="284"/>
        </w:trPr>
        <w:tc>
          <w:tcPr>
            <w:tcW w:w="3244" w:type="pct"/>
            <w:tcBorders>
              <w:top w:val="single" w:sz="4" w:space="0" w:color="auto"/>
              <w:left w:val="nil"/>
              <w:bottom w:val="single" w:sz="4" w:space="0" w:color="auto"/>
              <w:right w:val="single" w:sz="4" w:space="0" w:color="auto"/>
            </w:tcBorders>
            <w:shd w:val="clear" w:color="auto" w:fill="auto"/>
            <w:noWrap/>
            <w:vAlign w:val="center"/>
            <w:hideMark/>
          </w:tcPr>
          <w:p w14:paraId="0D715EC5" w14:textId="51641028" w:rsidR="00D4549C" w:rsidRPr="00C90EC9" w:rsidRDefault="00D4549C" w:rsidP="006028A0">
            <w:pPr>
              <w:jc w:val="center"/>
              <w:rPr>
                <w:rFonts w:cs="Arial"/>
                <w:b/>
                <w:bCs/>
                <w:color w:val="000000"/>
                <w:sz w:val="20"/>
                <w:szCs w:val="20"/>
              </w:rPr>
            </w:pPr>
            <w:r w:rsidRPr="00C90EC9">
              <w:rPr>
                <w:rFonts w:cs="Arial"/>
                <w:b/>
                <w:bCs/>
                <w:color w:val="000000"/>
                <w:sz w:val="20"/>
                <w:szCs w:val="20"/>
              </w:rPr>
              <w:t>Resultado Previdenciário (III) = (I - II)</w:t>
            </w:r>
          </w:p>
        </w:tc>
        <w:tc>
          <w:tcPr>
            <w:tcW w:w="77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4D6EED" w14:textId="2B98A5F7" w:rsidR="00D4549C" w:rsidRPr="00C90EC9" w:rsidRDefault="00D4549C" w:rsidP="00B67EB7">
            <w:pPr>
              <w:jc w:val="right"/>
              <w:rPr>
                <w:rFonts w:cs="Arial"/>
                <w:b/>
                <w:bCs/>
                <w:color w:val="000000"/>
                <w:sz w:val="20"/>
                <w:szCs w:val="20"/>
              </w:rPr>
            </w:pPr>
            <w:r w:rsidRPr="00C90EC9">
              <w:rPr>
                <w:rFonts w:cs="Arial"/>
                <w:b/>
                <w:bCs/>
                <w:color w:val="000000"/>
                <w:sz w:val="20"/>
                <w:szCs w:val="20"/>
              </w:rPr>
              <w:t>80.440.000</w:t>
            </w:r>
          </w:p>
        </w:tc>
        <w:tc>
          <w:tcPr>
            <w:tcW w:w="978" w:type="pct"/>
            <w:tcBorders>
              <w:top w:val="single" w:sz="4" w:space="0" w:color="auto"/>
              <w:left w:val="single" w:sz="4" w:space="0" w:color="auto"/>
              <w:bottom w:val="single" w:sz="4" w:space="0" w:color="auto"/>
              <w:right w:val="nil"/>
            </w:tcBorders>
            <w:shd w:val="clear" w:color="auto" w:fill="auto"/>
            <w:noWrap/>
            <w:vAlign w:val="center"/>
            <w:hideMark/>
          </w:tcPr>
          <w:p w14:paraId="22A55F41" w14:textId="1E0FD169" w:rsidR="00D4549C" w:rsidRPr="00C90EC9" w:rsidRDefault="00D4549C" w:rsidP="00B67EB7">
            <w:pPr>
              <w:jc w:val="right"/>
              <w:rPr>
                <w:rFonts w:cs="Arial"/>
                <w:b/>
                <w:bCs/>
                <w:color w:val="000000"/>
                <w:sz w:val="20"/>
                <w:szCs w:val="20"/>
              </w:rPr>
            </w:pPr>
            <w:r w:rsidRPr="00C90EC9">
              <w:rPr>
                <w:rFonts w:cs="Arial"/>
                <w:b/>
                <w:bCs/>
                <w:color w:val="000000"/>
                <w:sz w:val="20"/>
                <w:szCs w:val="20"/>
              </w:rPr>
              <w:t>101.594.549</w:t>
            </w:r>
          </w:p>
        </w:tc>
      </w:tr>
      <w:tr w:rsidR="00D4549C" w:rsidRPr="00C90EC9" w14:paraId="0B8340F0" w14:textId="77777777" w:rsidTr="008005E7">
        <w:trPr>
          <w:trHeight w:val="284"/>
        </w:trPr>
        <w:tc>
          <w:tcPr>
            <w:tcW w:w="3244" w:type="pct"/>
            <w:tcBorders>
              <w:top w:val="single" w:sz="4" w:space="0" w:color="auto"/>
              <w:left w:val="nil"/>
              <w:bottom w:val="single" w:sz="4" w:space="0" w:color="auto"/>
              <w:right w:val="single" w:sz="4" w:space="0" w:color="auto"/>
            </w:tcBorders>
            <w:shd w:val="clear" w:color="auto" w:fill="auto"/>
            <w:vAlign w:val="center"/>
            <w:hideMark/>
          </w:tcPr>
          <w:p w14:paraId="743419CC" w14:textId="77777777" w:rsidR="00D4549C" w:rsidRPr="00C90EC9" w:rsidRDefault="00D4549C" w:rsidP="00B67EB7">
            <w:pPr>
              <w:jc w:val="right"/>
              <w:rPr>
                <w:rFonts w:cs="Arial"/>
                <w:b/>
                <w:bCs/>
                <w:color w:val="000000"/>
                <w:sz w:val="20"/>
                <w:szCs w:val="20"/>
              </w:rPr>
            </w:pPr>
          </w:p>
        </w:tc>
        <w:tc>
          <w:tcPr>
            <w:tcW w:w="778" w:type="pct"/>
            <w:tcBorders>
              <w:top w:val="single" w:sz="4" w:space="0" w:color="auto"/>
              <w:left w:val="single" w:sz="4" w:space="0" w:color="auto"/>
              <w:bottom w:val="single" w:sz="4" w:space="0" w:color="auto"/>
              <w:right w:val="nil"/>
            </w:tcBorders>
            <w:shd w:val="clear" w:color="auto" w:fill="auto"/>
            <w:vAlign w:val="center"/>
            <w:hideMark/>
          </w:tcPr>
          <w:p w14:paraId="0DCEADE9" w14:textId="77777777" w:rsidR="00D4549C" w:rsidRPr="00C90EC9" w:rsidRDefault="00D4549C" w:rsidP="00B67EB7">
            <w:pPr>
              <w:rPr>
                <w:rFonts w:cs="Arial"/>
                <w:sz w:val="20"/>
                <w:szCs w:val="20"/>
              </w:rPr>
            </w:pPr>
          </w:p>
        </w:tc>
        <w:tc>
          <w:tcPr>
            <w:tcW w:w="978" w:type="pct"/>
            <w:tcBorders>
              <w:top w:val="single" w:sz="4" w:space="0" w:color="auto"/>
              <w:left w:val="nil"/>
              <w:bottom w:val="single" w:sz="4" w:space="0" w:color="auto"/>
              <w:right w:val="nil"/>
            </w:tcBorders>
            <w:shd w:val="clear" w:color="auto" w:fill="auto"/>
            <w:vAlign w:val="center"/>
            <w:hideMark/>
          </w:tcPr>
          <w:p w14:paraId="4CF26E6E" w14:textId="77777777" w:rsidR="00D4549C" w:rsidRPr="00C90EC9" w:rsidRDefault="00D4549C" w:rsidP="00B67EB7">
            <w:pPr>
              <w:rPr>
                <w:rFonts w:cs="Arial"/>
                <w:sz w:val="20"/>
                <w:szCs w:val="20"/>
              </w:rPr>
            </w:pPr>
          </w:p>
        </w:tc>
      </w:tr>
      <w:tr w:rsidR="00D4549C" w:rsidRPr="00C90EC9" w14:paraId="5AB37134" w14:textId="77777777" w:rsidTr="008005E7">
        <w:trPr>
          <w:trHeight w:val="284"/>
        </w:trPr>
        <w:tc>
          <w:tcPr>
            <w:tcW w:w="3244" w:type="pct"/>
            <w:tcBorders>
              <w:top w:val="single" w:sz="4" w:space="0" w:color="auto"/>
              <w:left w:val="nil"/>
              <w:bottom w:val="single" w:sz="4" w:space="0" w:color="auto"/>
              <w:right w:val="single" w:sz="4" w:space="0" w:color="auto"/>
            </w:tcBorders>
            <w:shd w:val="clear" w:color="000000" w:fill="A1F2FD"/>
            <w:vAlign w:val="center"/>
            <w:hideMark/>
          </w:tcPr>
          <w:p w14:paraId="455EFBE6" w14:textId="32A32287" w:rsidR="00D4549C" w:rsidRPr="00C90EC9" w:rsidRDefault="00D4549C" w:rsidP="00B67EB7">
            <w:pPr>
              <w:jc w:val="center"/>
              <w:rPr>
                <w:rFonts w:cs="Arial"/>
                <w:b/>
                <w:bCs/>
                <w:color w:val="000000"/>
                <w:sz w:val="20"/>
                <w:szCs w:val="20"/>
              </w:rPr>
            </w:pPr>
            <w:r w:rsidRPr="00C90EC9">
              <w:rPr>
                <w:rFonts w:cs="Arial"/>
                <w:b/>
                <w:bCs/>
                <w:color w:val="000000"/>
                <w:sz w:val="20"/>
                <w:szCs w:val="20"/>
              </w:rPr>
              <w:t>Aportes de Recursos (IV)</w:t>
            </w:r>
          </w:p>
        </w:tc>
        <w:tc>
          <w:tcPr>
            <w:tcW w:w="1756" w:type="pct"/>
            <w:gridSpan w:val="2"/>
            <w:tcBorders>
              <w:top w:val="single" w:sz="4" w:space="0" w:color="auto"/>
              <w:left w:val="single" w:sz="4" w:space="0" w:color="auto"/>
              <w:bottom w:val="single" w:sz="4" w:space="0" w:color="auto"/>
              <w:right w:val="nil"/>
            </w:tcBorders>
            <w:shd w:val="clear" w:color="000000" w:fill="A1F2FD"/>
            <w:vAlign w:val="center"/>
            <w:hideMark/>
          </w:tcPr>
          <w:p w14:paraId="67F26FAF" w14:textId="77777777" w:rsidR="00D4549C" w:rsidRPr="00C90EC9" w:rsidRDefault="00D4549C" w:rsidP="00B67EB7">
            <w:pPr>
              <w:jc w:val="right"/>
              <w:rPr>
                <w:rFonts w:cs="Arial"/>
                <w:b/>
                <w:bCs/>
                <w:color w:val="000000"/>
                <w:sz w:val="20"/>
                <w:szCs w:val="20"/>
              </w:rPr>
            </w:pPr>
            <w:r w:rsidRPr="00C90EC9">
              <w:rPr>
                <w:rFonts w:cs="Arial"/>
                <w:b/>
                <w:bCs/>
                <w:color w:val="000000"/>
                <w:sz w:val="20"/>
                <w:szCs w:val="20"/>
              </w:rPr>
              <w:t>-</w:t>
            </w:r>
          </w:p>
        </w:tc>
      </w:tr>
      <w:tr w:rsidR="00D4549C" w:rsidRPr="00C90EC9" w14:paraId="07B8B661" w14:textId="77777777" w:rsidTr="008005E7">
        <w:trPr>
          <w:trHeight w:val="284"/>
        </w:trPr>
        <w:tc>
          <w:tcPr>
            <w:tcW w:w="3244" w:type="pct"/>
            <w:tcBorders>
              <w:top w:val="single" w:sz="4" w:space="0" w:color="auto"/>
              <w:left w:val="nil"/>
              <w:bottom w:val="single" w:sz="4" w:space="0" w:color="auto"/>
              <w:right w:val="single" w:sz="4" w:space="0" w:color="auto"/>
            </w:tcBorders>
            <w:shd w:val="clear" w:color="auto" w:fill="auto"/>
            <w:vAlign w:val="center"/>
            <w:hideMark/>
          </w:tcPr>
          <w:p w14:paraId="310AAF8F" w14:textId="77777777" w:rsidR="00D4549C" w:rsidRPr="00C90EC9" w:rsidRDefault="00D4549C" w:rsidP="00B67EB7">
            <w:pPr>
              <w:jc w:val="right"/>
              <w:rPr>
                <w:rFonts w:cs="Arial"/>
                <w:b/>
                <w:bCs/>
                <w:color w:val="000000"/>
                <w:sz w:val="20"/>
                <w:szCs w:val="20"/>
              </w:rPr>
            </w:pPr>
          </w:p>
        </w:tc>
        <w:tc>
          <w:tcPr>
            <w:tcW w:w="778" w:type="pct"/>
            <w:tcBorders>
              <w:top w:val="single" w:sz="4" w:space="0" w:color="auto"/>
              <w:left w:val="single" w:sz="4" w:space="0" w:color="auto"/>
              <w:bottom w:val="single" w:sz="4" w:space="0" w:color="auto"/>
              <w:right w:val="nil"/>
            </w:tcBorders>
            <w:shd w:val="clear" w:color="auto" w:fill="auto"/>
            <w:vAlign w:val="center"/>
            <w:hideMark/>
          </w:tcPr>
          <w:p w14:paraId="01FDC85C" w14:textId="77777777" w:rsidR="00D4549C" w:rsidRPr="00C90EC9" w:rsidRDefault="00D4549C" w:rsidP="00B67EB7">
            <w:pPr>
              <w:rPr>
                <w:rFonts w:cs="Arial"/>
                <w:sz w:val="20"/>
                <w:szCs w:val="20"/>
              </w:rPr>
            </w:pPr>
          </w:p>
        </w:tc>
        <w:tc>
          <w:tcPr>
            <w:tcW w:w="978" w:type="pct"/>
            <w:tcBorders>
              <w:top w:val="single" w:sz="4" w:space="0" w:color="auto"/>
              <w:left w:val="nil"/>
              <w:bottom w:val="single" w:sz="4" w:space="0" w:color="auto"/>
              <w:right w:val="nil"/>
            </w:tcBorders>
            <w:shd w:val="clear" w:color="auto" w:fill="auto"/>
            <w:vAlign w:val="center"/>
            <w:hideMark/>
          </w:tcPr>
          <w:p w14:paraId="7FFC28DE" w14:textId="77777777" w:rsidR="00D4549C" w:rsidRPr="00C90EC9" w:rsidRDefault="00D4549C" w:rsidP="00B67EB7">
            <w:pPr>
              <w:rPr>
                <w:rFonts w:cs="Arial"/>
                <w:sz w:val="20"/>
                <w:szCs w:val="20"/>
              </w:rPr>
            </w:pPr>
          </w:p>
        </w:tc>
      </w:tr>
      <w:tr w:rsidR="00D4549C" w:rsidRPr="00C90EC9" w14:paraId="4D848B76" w14:textId="77777777" w:rsidTr="008005E7">
        <w:trPr>
          <w:trHeight w:val="284"/>
        </w:trPr>
        <w:tc>
          <w:tcPr>
            <w:tcW w:w="3244" w:type="pct"/>
            <w:tcBorders>
              <w:top w:val="single" w:sz="4" w:space="0" w:color="auto"/>
              <w:left w:val="nil"/>
              <w:bottom w:val="single" w:sz="4" w:space="0" w:color="auto"/>
              <w:right w:val="single" w:sz="4" w:space="0" w:color="auto"/>
            </w:tcBorders>
            <w:shd w:val="clear" w:color="auto" w:fill="auto"/>
            <w:vAlign w:val="center"/>
            <w:hideMark/>
          </w:tcPr>
          <w:p w14:paraId="543956AB" w14:textId="7C02B0E3" w:rsidR="00D4549C" w:rsidRPr="00C90EC9" w:rsidRDefault="00D4549C" w:rsidP="006028A0">
            <w:pPr>
              <w:jc w:val="center"/>
              <w:rPr>
                <w:rFonts w:cs="Arial"/>
                <w:b/>
                <w:bCs/>
                <w:color w:val="000000"/>
                <w:sz w:val="20"/>
                <w:szCs w:val="20"/>
              </w:rPr>
            </w:pPr>
            <w:r w:rsidRPr="00C90EC9">
              <w:rPr>
                <w:rFonts w:cs="Arial"/>
                <w:b/>
                <w:bCs/>
                <w:color w:val="000000"/>
                <w:sz w:val="20"/>
                <w:szCs w:val="20"/>
              </w:rPr>
              <w:t>Resultado Previdenciário Após Aportes (V) = (III+IV)</w:t>
            </w:r>
          </w:p>
        </w:tc>
        <w:tc>
          <w:tcPr>
            <w:tcW w:w="1756" w:type="pct"/>
            <w:gridSpan w:val="2"/>
            <w:tcBorders>
              <w:top w:val="single" w:sz="4" w:space="0" w:color="auto"/>
              <w:left w:val="single" w:sz="4" w:space="0" w:color="auto"/>
              <w:bottom w:val="single" w:sz="4" w:space="0" w:color="auto"/>
              <w:right w:val="nil"/>
            </w:tcBorders>
            <w:shd w:val="clear" w:color="auto" w:fill="auto"/>
            <w:vAlign w:val="center"/>
            <w:hideMark/>
          </w:tcPr>
          <w:p w14:paraId="36BEB723" w14:textId="5E457058" w:rsidR="00D4549C" w:rsidRPr="00C90EC9" w:rsidRDefault="00D4549C" w:rsidP="00B67EB7">
            <w:pPr>
              <w:jc w:val="right"/>
              <w:rPr>
                <w:rFonts w:cs="Arial"/>
                <w:b/>
                <w:bCs/>
                <w:color w:val="000000"/>
                <w:sz w:val="20"/>
                <w:szCs w:val="20"/>
              </w:rPr>
            </w:pPr>
            <w:r w:rsidRPr="00C90EC9">
              <w:rPr>
                <w:rFonts w:cs="Arial"/>
                <w:b/>
                <w:bCs/>
                <w:color w:val="000000"/>
                <w:sz w:val="20"/>
                <w:szCs w:val="20"/>
              </w:rPr>
              <w:t>101.594.549</w:t>
            </w:r>
          </w:p>
        </w:tc>
      </w:tr>
      <w:tr w:rsidR="00D4549C" w:rsidRPr="00C90EC9" w14:paraId="7DD6EBB8" w14:textId="77777777" w:rsidTr="008005E7">
        <w:trPr>
          <w:trHeight w:val="284"/>
        </w:trPr>
        <w:tc>
          <w:tcPr>
            <w:tcW w:w="3244" w:type="pct"/>
            <w:tcBorders>
              <w:top w:val="single" w:sz="4" w:space="0" w:color="auto"/>
              <w:left w:val="nil"/>
              <w:bottom w:val="single" w:sz="4" w:space="0" w:color="auto"/>
              <w:right w:val="single" w:sz="4" w:space="0" w:color="auto"/>
            </w:tcBorders>
            <w:shd w:val="clear" w:color="auto" w:fill="auto"/>
            <w:noWrap/>
            <w:vAlign w:val="center"/>
            <w:hideMark/>
          </w:tcPr>
          <w:p w14:paraId="70E70E39" w14:textId="77777777" w:rsidR="00D4549C" w:rsidRPr="00C90EC9" w:rsidRDefault="00D4549C" w:rsidP="00B67EB7">
            <w:pPr>
              <w:jc w:val="right"/>
              <w:rPr>
                <w:rFonts w:cs="Arial"/>
                <w:b/>
                <w:bCs/>
                <w:color w:val="000000"/>
                <w:sz w:val="20"/>
                <w:szCs w:val="20"/>
              </w:rPr>
            </w:pPr>
          </w:p>
        </w:tc>
        <w:tc>
          <w:tcPr>
            <w:tcW w:w="778" w:type="pct"/>
            <w:tcBorders>
              <w:top w:val="single" w:sz="4" w:space="0" w:color="auto"/>
              <w:left w:val="single" w:sz="4" w:space="0" w:color="auto"/>
              <w:bottom w:val="single" w:sz="4" w:space="0" w:color="auto"/>
              <w:right w:val="nil"/>
            </w:tcBorders>
            <w:shd w:val="clear" w:color="auto" w:fill="auto"/>
            <w:noWrap/>
            <w:vAlign w:val="center"/>
            <w:hideMark/>
          </w:tcPr>
          <w:p w14:paraId="6B19912C" w14:textId="77777777" w:rsidR="00D4549C" w:rsidRPr="00C90EC9" w:rsidRDefault="00D4549C" w:rsidP="00B67EB7">
            <w:pPr>
              <w:rPr>
                <w:rFonts w:cs="Arial"/>
                <w:sz w:val="20"/>
                <w:szCs w:val="20"/>
              </w:rPr>
            </w:pPr>
          </w:p>
        </w:tc>
        <w:tc>
          <w:tcPr>
            <w:tcW w:w="978" w:type="pct"/>
            <w:tcBorders>
              <w:top w:val="single" w:sz="4" w:space="0" w:color="auto"/>
              <w:left w:val="nil"/>
              <w:bottom w:val="single" w:sz="4" w:space="0" w:color="auto"/>
              <w:right w:val="nil"/>
            </w:tcBorders>
            <w:shd w:val="clear" w:color="auto" w:fill="auto"/>
            <w:noWrap/>
            <w:vAlign w:val="center"/>
            <w:hideMark/>
          </w:tcPr>
          <w:p w14:paraId="4EE3378D" w14:textId="77777777" w:rsidR="00D4549C" w:rsidRPr="00C90EC9" w:rsidRDefault="00D4549C" w:rsidP="00B67EB7">
            <w:pPr>
              <w:rPr>
                <w:rFonts w:cs="Arial"/>
                <w:sz w:val="20"/>
                <w:szCs w:val="20"/>
              </w:rPr>
            </w:pPr>
          </w:p>
        </w:tc>
      </w:tr>
      <w:tr w:rsidR="00D4549C" w:rsidRPr="00C90EC9" w14:paraId="03A94DEF" w14:textId="77777777" w:rsidTr="008005E7">
        <w:trPr>
          <w:trHeight w:val="284"/>
        </w:trPr>
        <w:tc>
          <w:tcPr>
            <w:tcW w:w="3244" w:type="pct"/>
            <w:tcBorders>
              <w:top w:val="single" w:sz="4" w:space="0" w:color="auto"/>
              <w:left w:val="nil"/>
              <w:bottom w:val="single" w:sz="4" w:space="0" w:color="auto"/>
              <w:right w:val="single" w:sz="4" w:space="0" w:color="auto"/>
            </w:tcBorders>
            <w:shd w:val="clear" w:color="000000" w:fill="A1F2FD"/>
            <w:vAlign w:val="center"/>
            <w:hideMark/>
          </w:tcPr>
          <w:p w14:paraId="391DE755" w14:textId="6A661850" w:rsidR="00D4549C" w:rsidRPr="00C90EC9" w:rsidRDefault="00D4549C" w:rsidP="00B67EB7">
            <w:pPr>
              <w:jc w:val="center"/>
              <w:rPr>
                <w:rFonts w:cs="Arial"/>
                <w:b/>
                <w:bCs/>
                <w:color w:val="000000"/>
                <w:sz w:val="20"/>
                <w:szCs w:val="20"/>
              </w:rPr>
            </w:pPr>
            <w:r w:rsidRPr="00C90EC9">
              <w:rPr>
                <w:rFonts w:cs="Arial"/>
                <w:b/>
                <w:bCs/>
                <w:color w:val="000000"/>
                <w:sz w:val="20"/>
                <w:szCs w:val="20"/>
              </w:rPr>
              <w:t>Bens e Direitos</w:t>
            </w:r>
          </w:p>
        </w:tc>
        <w:tc>
          <w:tcPr>
            <w:tcW w:w="1756" w:type="pct"/>
            <w:gridSpan w:val="2"/>
            <w:tcBorders>
              <w:top w:val="single" w:sz="4" w:space="0" w:color="auto"/>
              <w:left w:val="single" w:sz="4" w:space="0" w:color="auto"/>
              <w:bottom w:val="single" w:sz="4" w:space="0" w:color="auto"/>
              <w:right w:val="nil"/>
            </w:tcBorders>
            <w:shd w:val="clear" w:color="000000" w:fill="A1F2FD"/>
            <w:vAlign w:val="center"/>
            <w:hideMark/>
          </w:tcPr>
          <w:p w14:paraId="4B407A86" w14:textId="77777777" w:rsidR="00D4549C" w:rsidRPr="00C90EC9" w:rsidRDefault="00D4549C" w:rsidP="00B67EB7">
            <w:pPr>
              <w:jc w:val="center"/>
              <w:rPr>
                <w:rFonts w:cs="Arial"/>
                <w:b/>
                <w:bCs/>
                <w:color w:val="000000"/>
                <w:sz w:val="20"/>
                <w:szCs w:val="20"/>
              </w:rPr>
            </w:pPr>
            <w:r w:rsidRPr="00C90EC9">
              <w:rPr>
                <w:rFonts w:cs="Arial"/>
                <w:b/>
                <w:bCs/>
                <w:color w:val="000000"/>
                <w:sz w:val="20"/>
                <w:szCs w:val="20"/>
              </w:rPr>
              <w:t>Saldo Atual</w:t>
            </w:r>
          </w:p>
        </w:tc>
      </w:tr>
      <w:tr w:rsidR="00D4549C" w:rsidRPr="00C90EC9" w14:paraId="5ADE7A7E" w14:textId="77777777" w:rsidTr="008005E7">
        <w:trPr>
          <w:trHeight w:val="284"/>
        </w:trPr>
        <w:tc>
          <w:tcPr>
            <w:tcW w:w="3244" w:type="pct"/>
            <w:tcBorders>
              <w:top w:val="single" w:sz="4" w:space="0" w:color="auto"/>
              <w:left w:val="nil"/>
              <w:bottom w:val="nil"/>
              <w:right w:val="single" w:sz="4" w:space="0" w:color="auto"/>
            </w:tcBorders>
            <w:shd w:val="clear" w:color="auto" w:fill="auto"/>
            <w:vAlign w:val="center"/>
            <w:hideMark/>
          </w:tcPr>
          <w:p w14:paraId="111F88D8" w14:textId="77777777" w:rsidR="00D4549C" w:rsidRPr="00C90EC9" w:rsidRDefault="00D4549C" w:rsidP="00B67EB7">
            <w:pPr>
              <w:rPr>
                <w:rFonts w:cs="Arial"/>
                <w:color w:val="000000"/>
                <w:sz w:val="20"/>
                <w:szCs w:val="20"/>
              </w:rPr>
            </w:pPr>
            <w:r w:rsidRPr="00C90EC9">
              <w:rPr>
                <w:rFonts w:cs="Arial"/>
                <w:color w:val="000000"/>
                <w:sz w:val="20"/>
                <w:szCs w:val="20"/>
              </w:rPr>
              <w:t>Caixa e Equivalentes de Caixa</w:t>
            </w:r>
          </w:p>
        </w:tc>
        <w:tc>
          <w:tcPr>
            <w:tcW w:w="1756" w:type="pct"/>
            <w:gridSpan w:val="2"/>
            <w:tcBorders>
              <w:top w:val="single" w:sz="4" w:space="0" w:color="auto"/>
              <w:left w:val="single" w:sz="4" w:space="0" w:color="auto"/>
              <w:bottom w:val="nil"/>
              <w:right w:val="nil"/>
            </w:tcBorders>
            <w:shd w:val="clear" w:color="auto" w:fill="auto"/>
            <w:vAlign w:val="center"/>
            <w:hideMark/>
          </w:tcPr>
          <w:p w14:paraId="01D170BC" w14:textId="77777777" w:rsidR="00D4549C" w:rsidRPr="00C90EC9" w:rsidRDefault="00D4549C" w:rsidP="00B67EB7">
            <w:pPr>
              <w:jc w:val="right"/>
              <w:rPr>
                <w:rFonts w:cs="Arial"/>
                <w:color w:val="000000"/>
                <w:sz w:val="20"/>
                <w:szCs w:val="20"/>
              </w:rPr>
            </w:pPr>
            <w:r w:rsidRPr="00C90EC9">
              <w:rPr>
                <w:rFonts w:cs="Arial"/>
                <w:color w:val="000000"/>
                <w:sz w:val="20"/>
                <w:szCs w:val="20"/>
              </w:rPr>
              <w:t>-</w:t>
            </w:r>
          </w:p>
        </w:tc>
      </w:tr>
      <w:tr w:rsidR="00D4549C" w:rsidRPr="00C90EC9" w14:paraId="1FD4392E" w14:textId="77777777" w:rsidTr="008005E7">
        <w:trPr>
          <w:trHeight w:val="284"/>
        </w:trPr>
        <w:tc>
          <w:tcPr>
            <w:tcW w:w="3244" w:type="pct"/>
            <w:tcBorders>
              <w:top w:val="nil"/>
              <w:left w:val="nil"/>
              <w:right w:val="single" w:sz="4" w:space="0" w:color="auto"/>
            </w:tcBorders>
            <w:shd w:val="clear" w:color="auto" w:fill="auto"/>
            <w:vAlign w:val="center"/>
            <w:hideMark/>
          </w:tcPr>
          <w:p w14:paraId="240E1556" w14:textId="77777777" w:rsidR="00D4549C" w:rsidRPr="00C90EC9" w:rsidRDefault="00D4549C" w:rsidP="00B67EB7">
            <w:pPr>
              <w:rPr>
                <w:rFonts w:cs="Arial"/>
                <w:color w:val="000000"/>
                <w:sz w:val="20"/>
                <w:szCs w:val="20"/>
              </w:rPr>
            </w:pPr>
            <w:r w:rsidRPr="00C90EC9">
              <w:rPr>
                <w:rFonts w:cs="Arial"/>
                <w:color w:val="000000"/>
                <w:sz w:val="20"/>
                <w:szCs w:val="20"/>
              </w:rPr>
              <w:t>Investimentos e Aplicações</w:t>
            </w:r>
          </w:p>
        </w:tc>
        <w:tc>
          <w:tcPr>
            <w:tcW w:w="1756" w:type="pct"/>
            <w:gridSpan w:val="2"/>
            <w:tcBorders>
              <w:top w:val="nil"/>
              <w:left w:val="single" w:sz="4" w:space="0" w:color="auto"/>
              <w:right w:val="nil"/>
            </w:tcBorders>
            <w:shd w:val="clear" w:color="auto" w:fill="auto"/>
            <w:vAlign w:val="center"/>
            <w:hideMark/>
          </w:tcPr>
          <w:p w14:paraId="4B553B64" w14:textId="0D948646" w:rsidR="00D4549C" w:rsidRPr="00C90EC9" w:rsidRDefault="00D4549C" w:rsidP="00B67EB7">
            <w:pPr>
              <w:jc w:val="right"/>
              <w:rPr>
                <w:rFonts w:cs="Arial"/>
                <w:color w:val="000000"/>
                <w:sz w:val="20"/>
                <w:szCs w:val="20"/>
              </w:rPr>
            </w:pPr>
            <w:r w:rsidRPr="00C90EC9">
              <w:rPr>
                <w:rFonts w:cs="Arial"/>
                <w:color w:val="000000"/>
                <w:sz w:val="20"/>
                <w:szCs w:val="20"/>
              </w:rPr>
              <w:t>263.479.604</w:t>
            </w:r>
          </w:p>
        </w:tc>
      </w:tr>
      <w:tr w:rsidR="00D4549C" w:rsidRPr="00C90EC9" w14:paraId="421B0CFF" w14:textId="77777777" w:rsidTr="008005E7">
        <w:trPr>
          <w:trHeight w:val="284"/>
        </w:trPr>
        <w:tc>
          <w:tcPr>
            <w:tcW w:w="3244" w:type="pct"/>
            <w:tcBorders>
              <w:top w:val="nil"/>
              <w:left w:val="nil"/>
              <w:bottom w:val="single" w:sz="6" w:space="0" w:color="auto"/>
              <w:right w:val="single" w:sz="4" w:space="0" w:color="auto"/>
            </w:tcBorders>
            <w:shd w:val="clear" w:color="auto" w:fill="auto"/>
            <w:vAlign w:val="center"/>
            <w:hideMark/>
          </w:tcPr>
          <w:p w14:paraId="2BA268FD" w14:textId="77777777" w:rsidR="00D4549C" w:rsidRPr="00C90EC9" w:rsidRDefault="00D4549C" w:rsidP="00B67EB7">
            <w:pPr>
              <w:rPr>
                <w:rFonts w:cs="Arial"/>
                <w:color w:val="000000"/>
                <w:sz w:val="20"/>
                <w:szCs w:val="20"/>
              </w:rPr>
            </w:pPr>
            <w:r w:rsidRPr="00C90EC9">
              <w:rPr>
                <w:rFonts w:cs="Arial"/>
                <w:color w:val="000000"/>
                <w:sz w:val="20"/>
                <w:szCs w:val="20"/>
              </w:rPr>
              <w:t>Outros Bens e Direitos</w:t>
            </w:r>
          </w:p>
        </w:tc>
        <w:tc>
          <w:tcPr>
            <w:tcW w:w="1756" w:type="pct"/>
            <w:gridSpan w:val="2"/>
            <w:tcBorders>
              <w:top w:val="nil"/>
              <w:left w:val="single" w:sz="4" w:space="0" w:color="auto"/>
              <w:bottom w:val="single" w:sz="6" w:space="0" w:color="auto"/>
              <w:right w:val="nil"/>
            </w:tcBorders>
            <w:shd w:val="clear" w:color="auto" w:fill="auto"/>
            <w:vAlign w:val="center"/>
            <w:hideMark/>
          </w:tcPr>
          <w:p w14:paraId="10A26C22" w14:textId="74BB5BFA" w:rsidR="00D4549C" w:rsidRPr="00C90EC9" w:rsidRDefault="00D4549C" w:rsidP="00B67EB7">
            <w:pPr>
              <w:jc w:val="right"/>
              <w:rPr>
                <w:rFonts w:cs="Arial"/>
                <w:color w:val="000000"/>
                <w:sz w:val="20"/>
                <w:szCs w:val="20"/>
              </w:rPr>
            </w:pPr>
            <w:r w:rsidRPr="00C90EC9">
              <w:rPr>
                <w:rFonts w:cs="Arial"/>
                <w:color w:val="000000"/>
                <w:sz w:val="20"/>
                <w:szCs w:val="20"/>
              </w:rPr>
              <w:t>12.872.633.29</w:t>
            </w:r>
            <w:r w:rsidR="00B67EB7">
              <w:rPr>
                <w:rFonts w:cs="Arial"/>
                <w:color w:val="000000"/>
                <w:sz w:val="20"/>
                <w:szCs w:val="20"/>
              </w:rPr>
              <w:t>5</w:t>
            </w:r>
          </w:p>
        </w:tc>
      </w:tr>
    </w:tbl>
    <w:p w14:paraId="22CE78C4" w14:textId="77777777" w:rsidR="00D4549C" w:rsidRPr="00A7166A" w:rsidRDefault="00D4549C" w:rsidP="00D4549C">
      <w:pPr>
        <w:pStyle w:val="1-FONTE8ESQ"/>
      </w:pPr>
      <w:r w:rsidRPr="00A7166A">
        <w:t>Fonte: Anexo 4 - Demonstrativo das Receitas e Despesas Previdenciárias do Regime Próprio de Previdência dos Servidores</w:t>
      </w:r>
      <w:r>
        <w:t xml:space="preserve"> - RREO</w:t>
      </w:r>
      <w:r w:rsidRPr="00A7166A">
        <w:t xml:space="preserve"> 6º Bimestre de 2023</w:t>
      </w:r>
    </w:p>
    <w:p w14:paraId="65FBC0C8" w14:textId="77777777" w:rsidR="00D4549C" w:rsidRPr="00FD5265" w:rsidRDefault="00D4549C" w:rsidP="00D4549C">
      <w:pPr>
        <w:pStyle w:val="1-REL11"/>
      </w:pPr>
      <w:r w:rsidRPr="00FD5265">
        <w:t>O Fundo Previdenciário possui resultado positivo e não teve despesas empenhadas Informa-se que das receitas apuradas no valor total de R$ 101</w:t>
      </w:r>
      <w:r>
        <w:t>,</w:t>
      </w:r>
      <w:r w:rsidRPr="00FD5265">
        <w:t>59 milhões, o montante de R$</w:t>
      </w:r>
      <w:r>
        <w:t> </w:t>
      </w:r>
      <w:r w:rsidRPr="00FD5265">
        <w:t>22</w:t>
      </w:r>
      <w:r>
        <w:t>,</w:t>
      </w:r>
      <w:r w:rsidRPr="00FD5265">
        <w:t>67</w:t>
      </w:r>
      <w:r>
        <w:t> </w:t>
      </w:r>
      <w:r w:rsidRPr="00FD5265">
        <w:t>milhões refere-se a descontos previdenciários dos servidores dos outros Poderes e Órgãos Autônomos</w:t>
      </w:r>
      <w:r w:rsidRPr="00FD5265" w:rsidDel="00F507AB">
        <w:t xml:space="preserve"> </w:t>
      </w:r>
      <w:r w:rsidRPr="00FD5265">
        <w:t>, sendo R$ 11</w:t>
      </w:r>
      <w:r>
        <w:t>,</w:t>
      </w:r>
      <w:r w:rsidRPr="00FD5265">
        <w:t>33 milhões de descontos previdenciários dos servidores ativos, e R$ 11</w:t>
      </w:r>
      <w:r>
        <w:t>,</w:t>
      </w:r>
      <w:r w:rsidRPr="00FD5265">
        <w:t>33 milhões oriundos da contribuição patronal.</w:t>
      </w:r>
    </w:p>
    <w:p w14:paraId="061FA0BC" w14:textId="77777777" w:rsidR="00D4549C" w:rsidRDefault="00D4549C" w:rsidP="00D4549C">
      <w:pPr>
        <w:pStyle w:val="1-REL11"/>
      </w:pPr>
      <w:r w:rsidRPr="00FD5265">
        <w:t>Em relação à receita patrimonial, observou-se que não foram escriturados no grupo 6 - Controles da Execução do Planejamento e Orçamento o valor de R$ 24</w:t>
      </w:r>
      <w:r>
        <w:t>,</w:t>
      </w:r>
      <w:r w:rsidRPr="00FD5265">
        <w:t>38 milhões oriundos de rendimentos de investimentos e aplicações financeiras, deixando os relatórios fiscais de 2023 subavaliados em R$ 24,38 milhões.</w:t>
      </w:r>
    </w:p>
    <w:p w14:paraId="06660B3E" w14:textId="77777777" w:rsidR="00D4549C" w:rsidRDefault="00D4549C" w:rsidP="00D4549C">
      <w:pPr>
        <w:pStyle w:val="1-REL11"/>
      </w:pPr>
      <w:r w:rsidRPr="001C305A">
        <w:t>Com o objetivo de esclarecer a ausência desse lançamento, fo</w:t>
      </w:r>
      <w:r>
        <w:t>i</w:t>
      </w:r>
      <w:r w:rsidRPr="001C305A">
        <w:t xml:space="preserve"> solicitado por meio do Oficio nº 799/</w:t>
      </w:r>
      <w:r>
        <w:t>20</w:t>
      </w:r>
      <w:r w:rsidRPr="001C305A">
        <w:t xml:space="preserve">24 – SERV-PUBLICA deste Tribunal de Contas </w:t>
      </w:r>
      <w:r>
        <w:t>(</w:t>
      </w:r>
      <w:r w:rsidRPr="001C305A">
        <w:t>processo nº</w:t>
      </w:r>
      <w:r>
        <w:t> </w:t>
      </w:r>
      <w:r w:rsidRPr="001C305A">
        <w:t>202300047001912</w:t>
      </w:r>
      <w:r>
        <w:t>)</w:t>
      </w:r>
      <w:r w:rsidRPr="001C305A">
        <w:t>, o detalhamento sobre esses registros contábeis. Assim a ECONOMIA elaborou a Nota Técnica nº 5/2</w:t>
      </w:r>
      <w:r>
        <w:t>02</w:t>
      </w:r>
      <w:r w:rsidRPr="001C305A">
        <w:t xml:space="preserve">4 esclarecendo pontualmente o achado. As explicações ocorreram </w:t>
      </w:r>
      <w:r>
        <w:t>nos</w:t>
      </w:r>
      <w:r w:rsidRPr="001C305A">
        <w:t xml:space="preserve"> ite</w:t>
      </w:r>
      <w:r>
        <w:t>ns</w:t>
      </w:r>
      <w:r w:rsidRPr="001C305A">
        <w:t xml:space="preserve"> 2</w:t>
      </w:r>
      <w:r>
        <w:t xml:space="preserve"> a </w:t>
      </w:r>
      <w:r w:rsidRPr="001C305A">
        <w:t xml:space="preserve">9 e ficou </w:t>
      </w:r>
      <w:r w:rsidRPr="001C305A">
        <w:lastRenderedPageBreak/>
        <w:t>evidenciado a forma correta de contabilização com base nas orientações do IPC</w:t>
      </w:r>
      <w:r>
        <w:t xml:space="preserve"> </w:t>
      </w:r>
      <w:r w:rsidRPr="001C305A">
        <w:t>14, item 131. Entretanto, os dados e as informações trazidas pela Nota Técnica nº 5/2</w:t>
      </w:r>
      <w:r>
        <w:t>02</w:t>
      </w:r>
      <w:r w:rsidRPr="001C305A">
        <w:t>4</w:t>
      </w:r>
      <w:r>
        <w:t>-ECONOMIA/SCC-15698</w:t>
      </w:r>
      <w:r w:rsidRPr="001C305A">
        <w:t xml:space="preserve">, bem como o arquivo encaminhado (59664522) mostram que não foram contabilizadas a receita, ou ajuste positivo (valorização) ou ajuste negativo (desvalorização) dos investimentos </w:t>
      </w:r>
      <w:r>
        <w:t xml:space="preserve">e aplicações financeiras </w:t>
      </w:r>
      <w:r w:rsidRPr="001C305A">
        <w:t>do Fundo Previdenciário</w:t>
      </w:r>
      <w:r>
        <w:t>, resultando na seguinte irregularidade:</w:t>
      </w:r>
    </w:p>
    <w:p w14:paraId="13C9ECD1" w14:textId="39D2AD02" w:rsidR="00D4549C" w:rsidRPr="00EA084D" w:rsidRDefault="00D4549C" w:rsidP="00E460D5">
      <w:pPr>
        <w:pStyle w:val="0-ACH-TIT"/>
      </w:pPr>
      <w:r w:rsidRPr="00EA084D">
        <w:t xml:space="preserve">&gt;&gt; </w:t>
      </w:r>
      <w:r w:rsidR="00FB5AE9" w:rsidRPr="00FB5AE9">
        <w:t>Ausência de registro no sistema orçamentário das receitas patrimoniais oriundas da variação positiva ou negativa dos investimentos e aplicações financeiras na contabilidade do Fundo Previdenciário</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D4549C" w:rsidRPr="009C6508" w14:paraId="155123FF" w14:textId="77777777" w:rsidTr="00B67EB7">
        <w:trPr>
          <w:trHeight w:val="629"/>
          <w:jc w:val="center"/>
        </w:trPr>
        <w:tc>
          <w:tcPr>
            <w:tcW w:w="6237" w:type="dxa"/>
            <w:vAlign w:val="center"/>
            <w:hideMark/>
          </w:tcPr>
          <w:tbl>
            <w:tblPr>
              <w:tblW w:w="0" w:type="auto"/>
              <w:tblBorders>
                <w:top w:val="nil"/>
                <w:left w:val="nil"/>
                <w:bottom w:val="nil"/>
                <w:right w:val="nil"/>
              </w:tblBorders>
              <w:tblLook w:val="0000" w:firstRow="0" w:lastRow="0" w:firstColumn="0" w:lastColumn="0" w:noHBand="0" w:noVBand="0"/>
            </w:tblPr>
            <w:tblGrid>
              <w:gridCol w:w="6097"/>
            </w:tblGrid>
            <w:tr w:rsidR="00D4549C" w:rsidRPr="009C6508" w14:paraId="36CBD97E" w14:textId="77777777" w:rsidTr="00B67EB7">
              <w:trPr>
                <w:trHeight w:val="319"/>
              </w:trPr>
              <w:tc>
                <w:tcPr>
                  <w:tcW w:w="0" w:type="auto"/>
                  <w:tcBorders>
                    <w:bottom w:val="nil"/>
                  </w:tcBorders>
                </w:tcPr>
                <w:p w14:paraId="5BF408BC" w14:textId="77777777" w:rsidR="00D4549C" w:rsidRDefault="00FB5AE9" w:rsidP="00B67EB7">
                  <w:pPr>
                    <w:pStyle w:val="0-ACH-TXT"/>
                  </w:pPr>
                  <w:r w:rsidRPr="00FB5AE9">
                    <w:t>Ausência de registro contábil no sistema orçamentário do Fundo Previdenciário das receitas ou despesas patrimoniais advindas da variação positiva ou negativa dos investimentos e aplicações financeira, conforme IPC 14 e a Nota Técnica SEI nº 6675/23/ME da Secretaria do Tesouro Nacional.</w:t>
                  </w:r>
                </w:p>
                <w:p w14:paraId="448ED69B" w14:textId="11AAAE79" w:rsidR="00FB5AE9" w:rsidRPr="009C6508" w:rsidRDefault="00FB5AE9" w:rsidP="00B67EB7">
                  <w:pPr>
                    <w:pStyle w:val="0-ACH-TXT"/>
                    <w:rPr>
                      <w:highlight w:val="yellow"/>
                      <w:u w:val="single"/>
                    </w:rPr>
                  </w:pPr>
                </w:p>
              </w:tc>
            </w:tr>
          </w:tbl>
          <w:p w14:paraId="456380CD" w14:textId="77777777" w:rsidR="00D4549C" w:rsidRPr="009C6508" w:rsidRDefault="00D4549C" w:rsidP="00B67EB7">
            <w:pPr>
              <w:pStyle w:val="Default"/>
              <w:jc w:val="both"/>
              <w:rPr>
                <w:caps/>
                <w:highlight w:val="yellow"/>
              </w:rPr>
            </w:pPr>
          </w:p>
        </w:tc>
      </w:tr>
    </w:tbl>
    <w:p w14:paraId="64DEBA36" w14:textId="330D890A" w:rsidR="00D4549C" w:rsidRDefault="00D4549C" w:rsidP="00D4549C">
      <w:pPr>
        <w:pStyle w:val="1-REL11"/>
      </w:pPr>
      <w:r w:rsidRPr="00873393">
        <w:t xml:space="preserve">Portanto, sugere-se </w:t>
      </w:r>
      <w:r w:rsidR="00FB5AE9" w:rsidRPr="00FB5AE9">
        <w:t>ao Tribunal de Contas do Estado de Goiás, que determine ao Governo do estado de Goiás, por meio da Goiás Previdência, que adote, imediatamente, providências com vistas promover o registro contábil no sistema orçamentário do Fundo Previdenciário das receitas ou despesas patrimoniais advindas da variação positiva ou negativa dos investimentos e aplicações financeiras, utilizando as orientações contidas no IPC 14 e a Nota Técnica SEI nº 6675/23/ME elaborada pela STN.</w:t>
      </w:r>
    </w:p>
    <w:p w14:paraId="2DD8B4A8" w14:textId="77777777" w:rsidR="00B67EB7" w:rsidRPr="001C305A" w:rsidRDefault="00B67EB7" w:rsidP="00A224E9">
      <w:pPr>
        <w:pStyle w:val="Ttulo3"/>
      </w:pPr>
      <w:bookmarkStart w:id="169" w:name="_Toc167871669"/>
      <w:r w:rsidRPr="001C305A">
        <w:t>Fundo Financeiro</w:t>
      </w:r>
      <w:bookmarkEnd w:id="169"/>
    </w:p>
    <w:p w14:paraId="6D974B53" w14:textId="6EFE6930" w:rsidR="00B67EB7" w:rsidRPr="001C305A" w:rsidRDefault="00B67EB7" w:rsidP="00B67EB7">
      <w:pPr>
        <w:pStyle w:val="1-REL11"/>
      </w:pPr>
      <w:r w:rsidRPr="001C305A">
        <w:t xml:space="preserve">O </w:t>
      </w:r>
      <w:r w:rsidRPr="006D6F90">
        <w:t xml:space="preserve">Fundo Financeiro do RPPS é composto pelas receitas e despesas dos servidores que ingressaram no serviço público até </w:t>
      </w:r>
      <w:r>
        <w:t>0</w:t>
      </w:r>
      <w:r w:rsidRPr="006D6F90">
        <w:t>6</w:t>
      </w:r>
      <w:r>
        <w:t>/07/</w:t>
      </w:r>
      <w:r w:rsidRPr="006D6F90">
        <w:t>2017, nos termos do art. 4º, I, da Lei Estadual nº</w:t>
      </w:r>
      <w:r>
        <w:t> </w:t>
      </w:r>
      <w:r w:rsidRPr="006D6F90">
        <w:t>20.850/2020, e é apresentado</w:t>
      </w:r>
      <w:r w:rsidRPr="001C305A">
        <w:t xml:space="preserve"> na tabela seguinte o demonstrativo de receitas e despesas dos servidores que compõem o Fundo Financeiro </w:t>
      </w:r>
      <w:r w:rsidR="00F52F5F">
        <w:t>(</w:t>
      </w:r>
      <w:r w:rsidRPr="001C305A">
        <w:t>Fundo em Repartição</w:t>
      </w:r>
      <w:r w:rsidR="00F52F5F">
        <w:t>).</w:t>
      </w:r>
    </w:p>
    <w:p w14:paraId="60319521" w14:textId="143695D0" w:rsidR="00B67EB7" w:rsidRDefault="00F52F5F" w:rsidP="00ED3571">
      <w:pPr>
        <w:pStyle w:val="0-TABELA"/>
        <w:rPr>
          <w:b/>
        </w:rPr>
      </w:pPr>
      <w:bookmarkStart w:id="170" w:name="_Toc167871762"/>
      <w:r>
        <w:t>Fundo</w:t>
      </w:r>
      <w:r w:rsidR="00B67EB7" w:rsidRPr="001C305A">
        <w:t xml:space="preserve"> Financeiro</w:t>
      </w:r>
      <w:bookmarkEnd w:id="170"/>
    </w:p>
    <w:p w14:paraId="6932F511" w14:textId="77777777" w:rsidR="00B67EB7" w:rsidRPr="004A50B3" w:rsidRDefault="00B67EB7" w:rsidP="00B67EB7">
      <w:pPr>
        <w:pStyle w:val="1-emR1-8ptDIR"/>
      </w:pPr>
      <w:r w:rsidRPr="006A5F76">
        <w:rPr>
          <w:rFonts w:cs="Arial"/>
        </w:rPr>
        <w:t>R$</w:t>
      </w:r>
      <w:r>
        <w:rPr>
          <w:rFonts w:cs="Arial"/>
        </w:rPr>
        <w:t xml:space="preserve"> 1</w:t>
      </w:r>
    </w:p>
    <w:tbl>
      <w:tblPr>
        <w:tblW w:w="5000" w:type="pct"/>
        <w:tblCellMar>
          <w:left w:w="70" w:type="dxa"/>
          <w:right w:w="70" w:type="dxa"/>
        </w:tblCellMar>
        <w:tblLook w:val="04A0" w:firstRow="1" w:lastRow="0" w:firstColumn="1" w:lastColumn="0" w:noHBand="0" w:noVBand="1"/>
      </w:tblPr>
      <w:tblGrid>
        <w:gridCol w:w="5603"/>
        <w:gridCol w:w="1831"/>
        <w:gridCol w:w="1919"/>
      </w:tblGrid>
      <w:tr w:rsidR="00B67EB7" w:rsidRPr="00B67EB7" w14:paraId="3DCD7E5E" w14:textId="77777777" w:rsidTr="00680792">
        <w:trPr>
          <w:trHeight w:val="284"/>
          <w:tblHeader/>
        </w:trPr>
        <w:tc>
          <w:tcPr>
            <w:tcW w:w="2995" w:type="pct"/>
            <w:tcBorders>
              <w:top w:val="single" w:sz="4" w:space="0" w:color="auto"/>
              <w:left w:val="nil"/>
              <w:bottom w:val="single" w:sz="4" w:space="0" w:color="auto"/>
              <w:right w:val="single" w:sz="4" w:space="0" w:color="auto"/>
            </w:tcBorders>
            <w:shd w:val="clear" w:color="000000" w:fill="A1F2FD"/>
            <w:vAlign w:val="center"/>
            <w:hideMark/>
          </w:tcPr>
          <w:p w14:paraId="62F08476" w14:textId="79BA5153" w:rsidR="00B67EB7" w:rsidRPr="00BA4FD6" w:rsidRDefault="00B67EB7" w:rsidP="00B67EB7">
            <w:pPr>
              <w:jc w:val="center"/>
              <w:rPr>
                <w:rFonts w:cs="Arial"/>
                <w:b/>
                <w:bCs/>
                <w:color w:val="000000"/>
                <w:sz w:val="20"/>
                <w:szCs w:val="20"/>
              </w:rPr>
            </w:pPr>
            <w:r w:rsidRPr="00B67EB7">
              <w:rPr>
                <w:rFonts w:cs="Arial"/>
                <w:b/>
                <w:bCs/>
                <w:color w:val="000000"/>
                <w:sz w:val="20"/>
                <w:szCs w:val="20"/>
              </w:rPr>
              <w:t>Receitas Previdenciárias</w:t>
            </w:r>
          </w:p>
        </w:tc>
        <w:tc>
          <w:tcPr>
            <w:tcW w:w="979" w:type="pct"/>
            <w:tcBorders>
              <w:top w:val="single" w:sz="4" w:space="0" w:color="auto"/>
              <w:left w:val="single" w:sz="4" w:space="0" w:color="auto"/>
              <w:bottom w:val="single" w:sz="4" w:space="0" w:color="auto"/>
              <w:right w:val="single" w:sz="4" w:space="0" w:color="auto"/>
            </w:tcBorders>
            <w:shd w:val="clear" w:color="000000" w:fill="A1F2FD"/>
            <w:vAlign w:val="center"/>
            <w:hideMark/>
          </w:tcPr>
          <w:p w14:paraId="4016834D" w14:textId="77777777" w:rsidR="00B67EB7" w:rsidRPr="00B67EB7" w:rsidRDefault="00B67EB7" w:rsidP="00B67EB7">
            <w:pPr>
              <w:jc w:val="center"/>
              <w:rPr>
                <w:rFonts w:cs="Arial"/>
                <w:b/>
                <w:bCs/>
                <w:color w:val="000000"/>
                <w:sz w:val="20"/>
                <w:szCs w:val="20"/>
              </w:rPr>
            </w:pPr>
            <w:r w:rsidRPr="00B67EB7">
              <w:rPr>
                <w:rFonts w:cs="Arial"/>
                <w:b/>
                <w:bCs/>
                <w:color w:val="000000"/>
                <w:sz w:val="20"/>
                <w:szCs w:val="20"/>
              </w:rPr>
              <w:t>Previsão Atualizada</w:t>
            </w:r>
          </w:p>
        </w:tc>
        <w:tc>
          <w:tcPr>
            <w:tcW w:w="1026" w:type="pct"/>
            <w:tcBorders>
              <w:top w:val="single" w:sz="4" w:space="0" w:color="auto"/>
              <w:left w:val="single" w:sz="4" w:space="0" w:color="auto"/>
              <w:bottom w:val="single" w:sz="4" w:space="0" w:color="auto"/>
              <w:right w:val="nil"/>
            </w:tcBorders>
            <w:shd w:val="clear" w:color="000000" w:fill="A1F2FD"/>
            <w:vAlign w:val="center"/>
            <w:hideMark/>
          </w:tcPr>
          <w:p w14:paraId="3AB7F20C" w14:textId="77777777" w:rsidR="00B67EB7" w:rsidRPr="00B67EB7" w:rsidRDefault="00B67EB7" w:rsidP="00B67EB7">
            <w:pPr>
              <w:jc w:val="center"/>
              <w:rPr>
                <w:rFonts w:cs="Arial"/>
                <w:b/>
                <w:bCs/>
                <w:color w:val="000000"/>
                <w:sz w:val="20"/>
                <w:szCs w:val="20"/>
              </w:rPr>
            </w:pPr>
            <w:r w:rsidRPr="00B67EB7">
              <w:rPr>
                <w:rFonts w:cs="Arial"/>
                <w:b/>
                <w:bCs/>
                <w:color w:val="000000"/>
                <w:sz w:val="20"/>
                <w:szCs w:val="20"/>
              </w:rPr>
              <w:t>Receitas Realizadas</w:t>
            </w:r>
          </w:p>
        </w:tc>
      </w:tr>
      <w:tr w:rsidR="00B67EB7" w:rsidRPr="00B67EB7" w14:paraId="665AD89D" w14:textId="77777777" w:rsidTr="00680792">
        <w:trPr>
          <w:trHeight w:val="284"/>
        </w:trPr>
        <w:tc>
          <w:tcPr>
            <w:tcW w:w="2995" w:type="pct"/>
            <w:tcBorders>
              <w:top w:val="single" w:sz="4" w:space="0" w:color="auto"/>
              <w:left w:val="nil"/>
              <w:bottom w:val="nil"/>
              <w:right w:val="single" w:sz="4" w:space="0" w:color="auto"/>
            </w:tcBorders>
            <w:shd w:val="clear" w:color="auto" w:fill="auto"/>
            <w:vAlign w:val="center"/>
            <w:hideMark/>
          </w:tcPr>
          <w:p w14:paraId="3127B47D" w14:textId="76B8F916" w:rsidR="00B67EB7" w:rsidRPr="00B67EB7" w:rsidRDefault="00B67EB7" w:rsidP="00680792">
            <w:pPr>
              <w:jc w:val="left"/>
              <w:rPr>
                <w:rFonts w:cs="Arial"/>
                <w:color w:val="000000"/>
                <w:sz w:val="20"/>
                <w:szCs w:val="20"/>
              </w:rPr>
            </w:pPr>
            <w:r w:rsidRPr="00B67EB7">
              <w:rPr>
                <w:rFonts w:cs="Arial"/>
                <w:color w:val="000000"/>
                <w:sz w:val="20"/>
                <w:szCs w:val="20"/>
              </w:rPr>
              <w:t>Receita de Contribuições dos Segurados</w:t>
            </w:r>
          </w:p>
        </w:tc>
        <w:tc>
          <w:tcPr>
            <w:tcW w:w="979" w:type="pct"/>
            <w:tcBorders>
              <w:top w:val="single" w:sz="4" w:space="0" w:color="auto"/>
              <w:left w:val="single" w:sz="4" w:space="0" w:color="auto"/>
              <w:bottom w:val="nil"/>
              <w:right w:val="single" w:sz="4" w:space="0" w:color="auto"/>
            </w:tcBorders>
            <w:shd w:val="clear" w:color="auto" w:fill="auto"/>
            <w:vAlign w:val="center"/>
            <w:hideMark/>
          </w:tcPr>
          <w:p w14:paraId="5B43E877" w14:textId="27C8951F" w:rsidR="00B67EB7" w:rsidRPr="00B67EB7" w:rsidRDefault="00B67EB7" w:rsidP="00B67EB7">
            <w:pPr>
              <w:jc w:val="right"/>
              <w:rPr>
                <w:rFonts w:cs="Arial"/>
                <w:color w:val="000000"/>
                <w:sz w:val="20"/>
                <w:szCs w:val="20"/>
              </w:rPr>
            </w:pPr>
            <w:r>
              <w:rPr>
                <w:rFonts w:cs="Arial"/>
                <w:color w:val="000000"/>
                <w:sz w:val="20"/>
                <w:szCs w:val="20"/>
              </w:rPr>
              <w:t>1.082.317.000</w:t>
            </w:r>
          </w:p>
        </w:tc>
        <w:tc>
          <w:tcPr>
            <w:tcW w:w="1026" w:type="pct"/>
            <w:tcBorders>
              <w:top w:val="single" w:sz="4" w:space="0" w:color="auto"/>
              <w:left w:val="single" w:sz="4" w:space="0" w:color="auto"/>
              <w:bottom w:val="nil"/>
              <w:right w:val="nil"/>
            </w:tcBorders>
            <w:shd w:val="clear" w:color="auto" w:fill="auto"/>
            <w:vAlign w:val="center"/>
            <w:hideMark/>
          </w:tcPr>
          <w:p w14:paraId="5739FAE4" w14:textId="04278530" w:rsidR="00B67EB7" w:rsidRPr="00B67EB7" w:rsidRDefault="00B67EB7" w:rsidP="00B67EB7">
            <w:pPr>
              <w:jc w:val="right"/>
              <w:rPr>
                <w:rFonts w:cs="Arial"/>
                <w:color w:val="000000"/>
                <w:sz w:val="20"/>
                <w:szCs w:val="20"/>
              </w:rPr>
            </w:pPr>
            <w:r>
              <w:rPr>
                <w:rFonts w:cs="Arial"/>
                <w:color w:val="000000"/>
                <w:sz w:val="20"/>
                <w:szCs w:val="20"/>
              </w:rPr>
              <w:t>1.231.754.852</w:t>
            </w:r>
          </w:p>
        </w:tc>
      </w:tr>
      <w:tr w:rsidR="00B67EB7" w:rsidRPr="00B67EB7" w14:paraId="1C123D0D" w14:textId="77777777" w:rsidTr="00680792">
        <w:trPr>
          <w:trHeight w:val="284"/>
        </w:trPr>
        <w:tc>
          <w:tcPr>
            <w:tcW w:w="2995" w:type="pct"/>
            <w:tcBorders>
              <w:top w:val="nil"/>
              <w:left w:val="nil"/>
              <w:bottom w:val="nil"/>
              <w:right w:val="single" w:sz="4" w:space="0" w:color="auto"/>
            </w:tcBorders>
            <w:shd w:val="clear" w:color="auto" w:fill="auto"/>
            <w:vAlign w:val="center"/>
            <w:hideMark/>
          </w:tcPr>
          <w:p w14:paraId="4634EC6E" w14:textId="3138C325" w:rsidR="00B67EB7" w:rsidRPr="00B67EB7" w:rsidRDefault="00B67EB7" w:rsidP="00680792">
            <w:pPr>
              <w:jc w:val="left"/>
              <w:rPr>
                <w:rFonts w:cs="Arial"/>
                <w:color w:val="000000"/>
                <w:sz w:val="20"/>
                <w:szCs w:val="20"/>
              </w:rPr>
            </w:pPr>
            <w:r w:rsidRPr="00B67EB7">
              <w:rPr>
                <w:rFonts w:cs="Arial"/>
                <w:color w:val="000000"/>
                <w:sz w:val="20"/>
                <w:szCs w:val="20"/>
              </w:rPr>
              <w:t>Receita de Contribuições Patronais</w:t>
            </w:r>
          </w:p>
        </w:tc>
        <w:tc>
          <w:tcPr>
            <w:tcW w:w="979" w:type="pct"/>
            <w:tcBorders>
              <w:top w:val="nil"/>
              <w:left w:val="single" w:sz="4" w:space="0" w:color="auto"/>
              <w:bottom w:val="nil"/>
              <w:right w:val="single" w:sz="4" w:space="0" w:color="auto"/>
            </w:tcBorders>
            <w:shd w:val="clear" w:color="auto" w:fill="auto"/>
            <w:vAlign w:val="center"/>
            <w:hideMark/>
          </w:tcPr>
          <w:p w14:paraId="775F194A" w14:textId="13236508" w:rsidR="00B67EB7" w:rsidRPr="00B67EB7" w:rsidRDefault="00B67EB7" w:rsidP="00B67EB7">
            <w:pPr>
              <w:jc w:val="right"/>
              <w:rPr>
                <w:rFonts w:cs="Arial"/>
                <w:color w:val="000000"/>
                <w:sz w:val="20"/>
                <w:szCs w:val="20"/>
              </w:rPr>
            </w:pPr>
            <w:r>
              <w:rPr>
                <w:rFonts w:cs="Arial"/>
                <w:color w:val="000000"/>
                <w:sz w:val="20"/>
                <w:szCs w:val="20"/>
              </w:rPr>
              <w:t>1.455.260.000</w:t>
            </w:r>
          </w:p>
        </w:tc>
        <w:tc>
          <w:tcPr>
            <w:tcW w:w="1026" w:type="pct"/>
            <w:tcBorders>
              <w:top w:val="nil"/>
              <w:left w:val="single" w:sz="4" w:space="0" w:color="auto"/>
              <w:bottom w:val="nil"/>
              <w:right w:val="nil"/>
            </w:tcBorders>
            <w:shd w:val="clear" w:color="auto" w:fill="auto"/>
            <w:vAlign w:val="center"/>
            <w:hideMark/>
          </w:tcPr>
          <w:p w14:paraId="165A2A37" w14:textId="05B5391A" w:rsidR="00B67EB7" w:rsidRPr="00B67EB7" w:rsidRDefault="00B67EB7" w:rsidP="00B67EB7">
            <w:pPr>
              <w:jc w:val="right"/>
              <w:rPr>
                <w:rFonts w:cs="Arial"/>
                <w:color w:val="000000"/>
                <w:sz w:val="20"/>
                <w:szCs w:val="20"/>
              </w:rPr>
            </w:pPr>
            <w:r>
              <w:rPr>
                <w:rFonts w:cs="Arial"/>
                <w:color w:val="000000"/>
                <w:sz w:val="20"/>
                <w:szCs w:val="20"/>
              </w:rPr>
              <w:t>1.376.570.715</w:t>
            </w:r>
          </w:p>
        </w:tc>
      </w:tr>
      <w:tr w:rsidR="00B67EB7" w:rsidRPr="00B67EB7" w14:paraId="4F702A73" w14:textId="77777777" w:rsidTr="00680792">
        <w:trPr>
          <w:trHeight w:val="284"/>
        </w:trPr>
        <w:tc>
          <w:tcPr>
            <w:tcW w:w="2995" w:type="pct"/>
            <w:tcBorders>
              <w:top w:val="nil"/>
              <w:left w:val="nil"/>
              <w:bottom w:val="nil"/>
              <w:right w:val="single" w:sz="4" w:space="0" w:color="auto"/>
            </w:tcBorders>
            <w:shd w:val="clear" w:color="auto" w:fill="auto"/>
            <w:vAlign w:val="center"/>
            <w:hideMark/>
          </w:tcPr>
          <w:p w14:paraId="02BCD0A0" w14:textId="69A3298C" w:rsidR="00B67EB7" w:rsidRPr="00B67EB7" w:rsidRDefault="00B67EB7" w:rsidP="00680792">
            <w:pPr>
              <w:jc w:val="left"/>
              <w:rPr>
                <w:rFonts w:cs="Arial"/>
                <w:color w:val="000000"/>
                <w:sz w:val="20"/>
                <w:szCs w:val="20"/>
              </w:rPr>
            </w:pPr>
            <w:r w:rsidRPr="00B67EB7">
              <w:rPr>
                <w:rFonts w:cs="Arial"/>
                <w:color w:val="000000"/>
                <w:sz w:val="20"/>
                <w:szCs w:val="20"/>
              </w:rPr>
              <w:t>Receita Patrimonial</w:t>
            </w:r>
          </w:p>
        </w:tc>
        <w:tc>
          <w:tcPr>
            <w:tcW w:w="979" w:type="pct"/>
            <w:tcBorders>
              <w:top w:val="nil"/>
              <w:left w:val="single" w:sz="4" w:space="0" w:color="auto"/>
              <w:bottom w:val="nil"/>
              <w:right w:val="single" w:sz="4" w:space="0" w:color="auto"/>
            </w:tcBorders>
            <w:shd w:val="clear" w:color="auto" w:fill="auto"/>
            <w:vAlign w:val="center"/>
            <w:hideMark/>
          </w:tcPr>
          <w:p w14:paraId="209C46BF" w14:textId="32D2F7AB" w:rsidR="00B67EB7" w:rsidRPr="00B67EB7" w:rsidRDefault="00B67EB7" w:rsidP="00B67EB7">
            <w:pPr>
              <w:jc w:val="right"/>
              <w:rPr>
                <w:rFonts w:cs="Arial"/>
                <w:color w:val="000000"/>
                <w:sz w:val="20"/>
                <w:szCs w:val="20"/>
              </w:rPr>
            </w:pPr>
            <w:r>
              <w:rPr>
                <w:rFonts w:cs="Arial"/>
                <w:color w:val="000000"/>
                <w:sz w:val="20"/>
                <w:szCs w:val="20"/>
              </w:rPr>
              <w:t>5.484.000</w:t>
            </w:r>
          </w:p>
        </w:tc>
        <w:tc>
          <w:tcPr>
            <w:tcW w:w="1026" w:type="pct"/>
            <w:tcBorders>
              <w:top w:val="nil"/>
              <w:left w:val="single" w:sz="4" w:space="0" w:color="auto"/>
              <w:bottom w:val="nil"/>
              <w:right w:val="nil"/>
            </w:tcBorders>
            <w:shd w:val="clear" w:color="auto" w:fill="auto"/>
            <w:vAlign w:val="center"/>
            <w:hideMark/>
          </w:tcPr>
          <w:p w14:paraId="2652BED8" w14:textId="1D322949" w:rsidR="00B67EB7" w:rsidRPr="00B67EB7" w:rsidRDefault="00B67EB7" w:rsidP="00B67EB7">
            <w:pPr>
              <w:jc w:val="right"/>
              <w:rPr>
                <w:rFonts w:cs="Arial"/>
                <w:sz w:val="20"/>
                <w:szCs w:val="20"/>
              </w:rPr>
            </w:pPr>
            <w:r>
              <w:rPr>
                <w:rFonts w:cs="Arial"/>
                <w:color w:val="000000"/>
                <w:sz w:val="20"/>
                <w:szCs w:val="20"/>
              </w:rPr>
              <w:t>17.315.513</w:t>
            </w:r>
          </w:p>
        </w:tc>
      </w:tr>
      <w:tr w:rsidR="00B67EB7" w:rsidRPr="00B67EB7" w14:paraId="20EA057D" w14:textId="77777777" w:rsidTr="00680792">
        <w:trPr>
          <w:trHeight w:val="284"/>
        </w:trPr>
        <w:tc>
          <w:tcPr>
            <w:tcW w:w="2995" w:type="pct"/>
            <w:tcBorders>
              <w:top w:val="nil"/>
              <w:left w:val="nil"/>
              <w:bottom w:val="nil"/>
              <w:right w:val="single" w:sz="4" w:space="0" w:color="auto"/>
            </w:tcBorders>
            <w:shd w:val="clear" w:color="auto" w:fill="auto"/>
            <w:vAlign w:val="center"/>
            <w:hideMark/>
          </w:tcPr>
          <w:p w14:paraId="1D1970A5" w14:textId="337DC829" w:rsidR="00B67EB7" w:rsidRPr="00B67EB7" w:rsidRDefault="00B67EB7" w:rsidP="00680792">
            <w:pPr>
              <w:jc w:val="left"/>
              <w:rPr>
                <w:rFonts w:cs="Arial"/>
                <w:color w:val="000000"/>
                <w:sz w:val="20"/>
                <w:szCs w:val="20"/>
              </w:rPr>
            </w:pPr>
            <w:r w:rsidRPr="00B67EB7">
              <w:rPr>
                <w:rFonts w:cs="Arial"/>
                <w:color w:val="000000"/>
                <w:sz w:val="20"/>
                <w:szCs w:val="20"/>
              </w:rPr>
              <w:t>Outras Receitas Correntes</w:t>
            </w:r>
          </w:p>
        </w:tc>
        <w:tc>
          <w:tcPr>
            <w:tcW w:w="979" w:type="pct"/>
            <w:tcBorders>
              <w:top w:val="nil"/>
              <w:left w:val="single" w:sz="4" w:space="0" w:color="auto"/>
              <w:bottom w:val="nil"/>
              <w:right w:val="single" w:sz="4" w:space="0" w:color="auto"/>
            </w:tcBorders>
            <w:shd w:val="clear" w:color="000000" w:fill="FFFFFF"/>
            <w:vAlign w:val="center"/>
            <w:hideMark/>
          </w:tcPr>
          <w:p w14:paraId="74032EDF" w14:textId="034E9188" w:rsidR="00B67EB7" w:rsidRPr="00B67EB7" w:rsidRDefault="00B67EB7" w:rsidP="00B67EB7">
            <w:pPr>
              <w:jc w:val="right"/>
              <w:rPr>
                <w:rFonts w:cs="Arial"/>
                <w:color w:val="000000"/>
                <w:sz w:val="20"/>
                <w:szCs w:val="20"/>
              </w:rPr>
            </w:pPr>
            <w:r>
              <w:rPr>
                <w:rFonts w:cs="Arial"/>
                <w:color w:val="000000"/>
                <w:sz w:val="20"/>
                <w:szCs w:val="20"/>
              </w:rPr>
              <w:t>13.254.000</w:t>
            </w:r>
          </w:p>
        </w:tc>
        <w:tc>
          <w:tcPr>
            <w:tcW w:w="1026" w:type="pct"/>
            <w:tcBorders>
              <w:top w:val="nil"/>
              <w:left w:val="single" w:sz="4" w:space="0" w:color="auto"/>
              <w:bottom w:val="nil"/>
              <w:right w:val="nil"/>
            </w:tcBorders>
            <w:shd w:val="clear" w:color="auto" w:fill="auto"/>
            <w:vAlign w:val="center"/>
            <w:hideMark/>
          </w:tcPr>
          <w:p w14:paraId="392A2569" w14:textId="2A54B0D8" w:rsidR="00B67EB7" w:rsidRPr="00B67EB7" w:rsidRDefault="00B67EB7" w:rsidP="00B67EB7">
            <w:pPr>
              <w:jc w:val="right"/>
              <w:rPr>
                <w:rFonts w:cs="Arial"/>
                <w:sz w:val="20"/>
                <w:szCs w:val="20"/>
              </w:rPr>
            </w:pPr>
            <w:r>
              <w:rPr>
                <w:rFonts w:cs="Arial"/>
                <w:color w:val="000000"/>
                <w:sz w:val="20"/>
                <w:szCs w:val="20"/>
              </w:rPr>
              <w:t>147.115.094</w:t>
            </w:r>
          </w:p>
        </w:tc>
      </w:tr>
      <w:tr w:rsidR="00B67EB7" w:rsidRPr="00B67EB7" w14:paraId="2122930E" w14:textId="77777777" w:rsidTr="00680792">
        <w:trPr>
          <w:trHeight w:val="284"/>
        </w:trPr>
        <w:tc>
          <w:tcPr>
            <w:tcW w:w="2995" w:type="pct"/>
            <w:tcBorders>
              <w:top w:val="nil"/>
              <w:left w:val="nil"/>
              <w:bottom w:val="nil"/>
              <w:right w:val="single" w:sz="4" w:space="0" w:color="auto"/>
            </w:tcBorders>
            <w:shd w:val="clear" w:color="auto" w:fill="auto"/>
            <w:vAlign w:val="center"/>
            <w:hideMark/>
          </w:tcPr>
          <w:p w14:paraId="4CE145CE" w14:textId="130DA030" w:rsidR="00B67EB7" w:rsidRPr="00B67EB7" w:rsidRDefault="00B67EB7" w:rsidP="003949F3">
            <w:pPr>
              <w:ind w:firstLineChars="248" w:firstLine="496"/>
              <w:rPr>
                <w:rFonts w:cs="Arial"/>
                <w:color w:val="000000"/>
                <w:sz w:val="20"/>
                <w:szCs w:val="20"/>
              </w:rPr>
            </w:pPr>
            <w:r w:rsidRPr="00B67EB7">
              <w:rPr>
                <w:rFonts w:cs="Arial"/>
                <w:color w:val="000000"/>
                <w:sz w:val="20"/>
                <w:szCs w:val="20"/>
              </w:rPr>
              <w:t xml:space="preserve">Compensação Previd. entre RGPS e RPPS </w:t>
            </w:r>
          </w:p>
        </w:tc>
        <w:tc>
          <w:tcPr>
            <w:tcW w:w="979" w:type="pct"/>
            <w:tcBorders>
              <w:top w:val="nil"/>
              <w:left w:val="single" w:sz="4" w:space="0" w:color="auto"/>
              <w:bottom w:val="nil"/>
              <w:right w:val="single" w:sz="4" w:space="0" w:color="auto"/>
            </w:tcBorders>
            <w:shd w:val="clear" w:color="auto" w:fill="auto"/>
            <w:vAlign w:val="center"/>
            <w:hideMark/>
          </w:tcPr>
          <w:p w14:paraId="793FCEEB" w14:textId="3FBD98FB" w:rsidR="00B67EB7" w:rsidRPr="00B67EB7" w:rsidRDefault="00B67EB7" w:rsidP="00B67EB7">
            <w:pPr>
              <w:jc w:val="right"/>
              <w:rPr>
                <w:rFonts w:cs="Arial"/>
                <w:color w:val="000000"/>
                <w:sz w:val="20"/>
                <w:szCs w:val="20"/>
              </w:rPr>
            </w:pPr>
            <w:r>
              <w:rPr>
                <w:rFonts w:cs="Arial"/>
                <w:color w:val="000000"/>
                <w:sz w:val="20"/>
                <w:szCs w:val="20"/>
              </w:rPr>
              <w:t>13.169.000</w:t>
            </w:r>
          </w:p>
        </w:tc>
        <w:tc>
          <w:tcPr>
            <w:tcW w:w="1026" w:type="pct"/>
            <w:tcBorders>
              <w:top w:val="nil"/>
              <w:left w:val="single" w:sz="4" w:space="0" w:color="auto"/>
              <w:bottom w:val="nil"/>
              <w:right w:val="nil"/>
            </w:tcBorders>
            <w:shd w:val="clear" w:color="000000" w:fill="FFFFFF"/>
            <w:vAlign w:val="center"/>
            <w:hideMark/>
          </w:tcPr>
          <w:p w14:paraId="1FF1FA78" w14:textId="65835D79" w:rsidR="00B67EB7" w:rsidRPr="00B67EB7" w:rsidRDefault="00B67EB7" w:rsidP="00B67EB7">
            <w:pPr>
              <w:jc w:val="right"/>
              <w:rPr>
                <w:rFonts w:cs="Arial"/>
                <w:sz w:val="20"/>
                <w:szCs w:val="20"/>
              </w:rPr>
            </w:pPr>
            <w:r>
              <w:rPr>
                <w:rFonts w:cs="Arial"/>
                <w:color w:val="000000"/>
                <w:sz w:val="20"/>
                <w:szCs w:val="20"/>
              </w:rPr>
              <w:t>107.406.791</w:t>
            </w:r>
          </w:p>
        </w:tc>
      </w:tr>
      <w:tr w:rsidR="00B67EB7" w:rsidRPr="00B67EB7" w14:paraId="2177D4F4" w14:textId="77777777" w:rsidTr="00680792">
        <w:trPr>
          <w:trHeight w:val="284"/>
        </w:trPr>
        <w:tc>
          <w:tcPr>
            <w:tcW w:w="2995" w:type="pct"/>
            <w:tcBorders>
              <w:top w:val="nil"/>
              <w:left w:val="nil"/>
              <w:bottom w:val="single" w:sz="4" w:space="0" w:color="auto"/>
              <w:right w:val="single" w:sz="4" w:space="0" w:color="auto"/>
            </w:tcBorders>
            <w:shd w:val="clear" w:color="auto" w:fill="auto"/>
            <w:vAlign w:val="center"/>
            <w:hideMark/>
          </w:tcPr>
          <w:p w14:paraId="4670422C" w14:textId="77777777" w:rsidR="00B67EB7" w:rsidRPr="00B67EB7" w:rsidRDefault="00B67EB7" w:rsidP="003949F3">
            <w:pPr>
              <w:ind w:firstLineChars="248" w:firstLine="496"/>
              <w:rPr>
                <w:rFonts w:cs="Arial"/>
                <w:color w:val="000000"/>
                <w:sz w:val="20"/>
                <w:szCs w:val="20"/>
              </w:rPr>
            </w:pPr>
            <w:r w:rsidRPr="00B67EB7">
              <w:rPr>
                <w:rFonts w:cs="Arial"/>
                <w:color w:val="000000"/>
                <w:sz w:val="20"/>
                <w:szCs w:val="20"/>
              </w:rPr>
              <w:t>Demais Receitas Correntes</w:t>
            </w:r>
          </w:p>
        </w:tc>
        <w:tc>
          <w:tcPr>
            <w:tcW w:w="979" w:type="pct"/>
            <w:tcBorders>
              <w:top w:val="nil"/>
              <w:left w:val="single" w:sz="4" w:space="0" w:color="auto"/>
              <w:bottom w:val="single" w:sz="4" w:space="0" w:color="auto"/>
              <w:right w:val="single" w:sz="4" w:space="0" w:color="auto"/>
            </w:tcBorders>
            <w:shd w:val="clear" w:color="auto" w:fill="auto"/>
            <w:vAlign w:val="center"/>
            <w:hideMark/>
          </w:tcPr>
          <w:p w14:paraId="5BA773C4" w14:textId="241C3985" w:rsidR="00B67EB7" w:rsidRPr="00B67EB7" w:rsidRDefault="00B67EB7" w:rsidP="00B67EB7">
            <w:pPr>
              <w:jc w:val="right"/>
              <w:rPr>
                <w:rFonts w:cs="Arial"/>
                <w:color w:val="000000"/>
                <w:sz w:val="20"/>
                <w:szCs w:val="20"/>
              </w:rPr>
            </w:pPr>
            <w:r>
              <w:rPr>
                <w:rFonts w:cs="Arial"/>
                <w:color w:val="000000"/>
                <w:sz w:val="20"/>
                <w:szCs w:val="20"/>
              </w:rPr>
              <w:t>85.000</w:t>
            </w:r>
          </w:p>
        </w:tc>
        <w:tc>
          <w:tcPr>
            <w:tcW w:w="1026" w:type="pct"/>
            <w:tcBorders>
              <w:top w:val="nil"/>
              <w:left w:val="single" w:sz="4" w:space="0" w:color="auto"/>
              <w:bottom w:val="single" w:sz="4" w:space="0" w:color="auto"/>
              <w:right w:val="nil"/>
            </w:tcBorders>
            <w:shd w:val="clear" w:color="auto" w:fill="auto"/>
            <w:vAlign w:val="center"/>
            <w:hideMark/>
          </w:tcPr>
          <w:p w14:paraId="4211019E" w14:textId="0A0EC309" w:rsidR="00B67EB7" w:rsidRPr="00B67EB7" w:rsidRDefault="00B67EB7" w:rsidP="00B67EB7">
            <w:pPr>
              <w:jc w:val="right"/>
              <w:rPr>
                <w:rFonts w:cs="Arial"/>
                <w:sz w:val="20"/>
                <w:szCs w:val="20"/>
              </w:rPr>
            </w:pPr>
            <w:r>
              <w:rPr>
                <w:rFonts w:cs="Arial"/>
                <w:color w:val="000000"/>
                <w:sz w:val="20"/>
                <w:szCs w:val="20"/>
              </w:rPr>
              <w:t>39.708.303</w:t>
            </w:r>
          </w:p>
        </w:tc>
      </w:tr>
      <w:tr w:rsidR="00B67EB7" w:rsidRPr="00B67EB7" w14:paraId="45FE9039" w14:textId="77777777" w:rsidTr="00680792">
        <w:trPr>
          <w:trHeight w:val="284"/>
        </w:trPr>
        <w:tc>
          <w:tcPr>
            <w:tcW w:w="2995" w:type="pct"/>
            <w:tcBorders>
              <w:top w:val="single" w:sz="4" w:space="0" w:color="auto"/>
              <w:left w:val="nil"/>
              <w:bottom w:val="single" w:sz="4" w:space="0" w:color="auto"/>
              <w:right w:val="single" w:sz="4" w:space="0" w:color="auto"/>
            </w:tcBorders>
            <w:shd w:val="clear" w:color="auto" w:fill="auto"/>
            <w:vAlign w:val="center"/>
            <w:hideMark/>
          </w:tcPr>
          <w:p w14:paraId="0D316438" w14:textId="6F49D6FD" w:rsidR="00B67EB7" w:rsidRPr="00B67EB7" w:rsidRDefault="003949F3" w:rsidP="00B67EB7">
            <w:pPr>
              <w:jc w:val="center"/>
              <w:rPr>
                <w:rFonts w:cs="Arial"/>
                <w:b/>
                <w:bCs/>
                <w:color w:val="000000"/>
                <w:sz w:val="20"/>
                <w:szCs w:val="20"/>
              </w:rPr>
            </w:pPr>
            <w:r w:rsidRPr="00BA4FD6">
              <w:rPr>
                <w:rFonts w:cs="Arial"/>
                <w:b/>
                <w:bCs/>
                <w:color w:val="000000"/>
                <w:sz w:val="20"/>
                <w:szCs w:val="20"/>
              </w:rPr>
              <w:t>Receitas Correntes (I</w:t>
            </w:r>
            <w:r w:rsidRPr="00C90EC9">
              <w:rPr>
                <w:rFonts w:cs="Arial"/>
                <w:b/>
                <w:bCs/>
                <w:color w:val="000000"/>
                <w:sz w:val="20"/>
                <w:szCs w:val="20"/>
              </w:rPr>
              <w:t>)</w:t>
            </w:r>
          </w:p>
        </w:tc>
        <w:tc>
          <w:tcPr>
            <w:tcW w:w="97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DE6813" w14:textId="4E7A1DF8" w:rsidR="00B67EB7" w:rsidRPr="00B67EB7" w:rsidRDefault="00B67EB7" w:rsidP="00B67EB7">
            <w:pPr>
              <w:jc w:val="right"/>
              <w:rPr>
                <w:rFonts w:cs="Arial"/>
                <w:b/>
                <w:bCs/>
                <w:color w:val="000000"/>
                <w:sz w:val="20"/>
                <w:szCs w:val="20"/>
              </w:rPr>
            </w:pPr>
            <w:r>
              <w:rPr>
                <w:rFonts w:cs="Arial"/>
                <w:b/>
                <w:bCs/>
                <w:color w:val="000000"/>
                <w:sz w:val="20"/>
                <w:szCs w:val="20"/>
              </w:rPr>
              <w:t>2.556.315.000</w:t>
            </w:r>
          </w:p>
        </w:tc>
        <w:tc>
          <w:tcPr>
            <w:tcW w:w="1026" w:type="pct"/>
            <w:tcBorders>
              <w:top w:val="single" w:sz="4" w:space="0" w:color="auto"/>
              <w:left w:val="single" w:sz="4" w:space="0" w:color="auto"/>
              <w:bottom w:val="single" w:sz="4" w:space="0" w:color="auto"/>
              <w:right w:val="nil"/>
            </w:tcBorders>
            <w:shd w:val="clear" w:color="auto" w:fill="auto"/>
            <w:vAlign w:val="center"/>
            <w:hideMark/>
          </w:tcPr>
          <w:p w14:paraId="014B6F6E" w14:textId="54985625" w:rsidR="00B67EB7" w:rsidRPr="00B67EB7" w:rsidRDefault="00B67EB7" w:rsidP="00B67EB7">
            <w:pPr>
              <w:jc w:val="right"/>
              <w:rPr>
                <w:rFonts w:cs="Arial"/>
                <w:b/>
                <w:bCs/>
                <w:color w:val="000000"/>
                <w:sz w:val="20"/>
                <w:szCs w:val="20"/>
              </w:rPr>
            </w:pPr>
            <w:r>
              <w:rPr>
                <w:rFonts w:cs="Arial"/>
                <w:b/>
                <w:bCs/>
                <w:color w:val="000000"/>
                <w:sz w:val="20"/>
                <w:szCs w:val="20"/>
              </w:rPr>
              <w:t>2.772.756.174</w:t>
            </w:r>
          </w:p>
        </w:tc>
      </w:tr>
    </w:tbl>
    <w:p w14:paraId="06D38A6A" w14:textId="77777777" w:rsidR="00BE34DB" w:rsidRDefault="00BE34DB"/>
    <w:tbl>
      <w:tblPr>
        <w:tblW w:w="5000" w:type="pct"/>
        <w:tblCellMar>
          <w:left w:w="70" w:type="dxa"/>
          <w:right w:w="70" w:type="dxa"/>
        </w:tblCellMar>
        <w:tblLook w:val="04A0" w:firstRow="1" w:lastRow="0" w:firstColumn="1" w:lastColumn="0" w:noHBand="0" w:noVBand="1"/>
      </w:tblPr>
      <w:tblGrid>
        <w:gridCol w:w="5603"/>
        <w:gridCol w:w="1831"/>
        <w:gridCol w:w="1919"/>
      </w:tblGrid>
      <w:tr w:rsidR="00B67EB7" w:rsidRPr="00B67EB7" w14:paraId="32E626AA" w14:textId="77777777" w:rsidTr="00680792">
        <w:trPr>
          <w:trHeight w:val="284"/>
        </w:trPr>
        <w:tc>
          <w:tcPr>
            <w:tcW w:w="2995" w:type="pct"/>
            <w:tcBorders>
              <w:top w:val="single" w:sz="4" w:space="0" w:color="auto"/>
              <w:left w:val="nil"/>
              <w:bottom w:val="single" w:sz="4" w:space="0" w:color="auto"/>
              <w:right w:val="single" w:sz="4" w:space="0" w:color="auto"/>
            </w:tcBorders>
            <w:shd w:val="clear" w:color="000000" w:fill="A1F2FD"/>
            <w:vAlign w:val="center"/>
            <w:hideMark/>
          </w:tcPr>
          <w:p w14:paraId="2C03DC5F" w14:textId="5FB9F013" w:rsidR="00B67EB7" w:rsidRPr="00B67EB7" w:rsidRDefault="00B67EB7" w:rsidP="00B67EB7">
            <w:pPr>
              <w:jc w:val="center"/>
              <w:rPr>
                <w:rFonts w:cs="Arial"/>
                <w:b/>
                <w:bCs/>
                <w:color w:val="000000"/>
                <w:sz w:val="20"/>
                <w:szCs w:val="20"/>
              </w:rPr>
            </w:pPr>
            <w:r w:rsidRPr="00B67EB7">
              <w:rPr>
                <w:rFonts w:cs="Arial"/>
                <w:b/>
                <w:bCs/>
                <w:color w:val="000000"/>
                <w:sz w:val="20"/>
                <w:szCs w:val="20"/>
              </w:rPr>
              <w:lastRenderedPageBreak/>
              <w:t>Despesas Previdenciárias</w:t>
            </w:r>
          </w:p>
        </w:tc>
        <w:tc>
          <w:tcPr>
            <w:tcW w:w="979" w:type="pct"/>
            <w:tcBorders>
              <w:top w:val="single" w:sz="4" w:space="0" w:color="auto"/>
              <w:left w:val="single" w:sz="4" w:space="0" w:color="auto"/>
              <w:bottom w:val="single" w:sz="4" w:space="0" w:color="auto"/>
              <w:right w:val="single" w:sz="4" w:space="0" w:color="auto"/>
            </w:tcBorders>
            <w:shd w:val="clear" w:color="000000" w:fill="A1F2FD"/>
            <w:vAlign w:val="center"/>
            <w:hideMark/>
          </w:tcPr>
          <w:p w14:paraId="2B2A02F4" w14:textId="77777777" w:rsidR="00B67EB7" w:rsidRPr="00B67EB7" w:rsidRDefault="00B67EB7" w:rsidP="00B67EB7">
            <w:pPr>
              <w:jc w:val="center"/>
              <w:rPr>
                <w:rFonts w:cs="Arial"/>
                <w:b/>
                <w:bCs/>
                <w:color w:val="000000"/>
                <w:sz w:val="20"/>
                <w:szCs w:val="20"/>
              </w:rPr>
            </w:pPr>
            <w:r w:rsidRPr="00B67EB7">
              <w:rPr>
                <w:rFonts w:cs="Arial"/>
                <w:b/>
                <w:bCs/>
                <w:color w:val="000000"/>
                <w:sz w:val="20"/>
                <w:szCs w:val="20"/>
              </w:rPr>
              <w:t>Dotação Atualizada</w:t>
            </w:r>
          </w:p>
        </w:tc>
        <w:tc>
          <w:tcPr>
            <w:tcW w:w="1026" w:type="pct"/>
            <w:tcBorders>
              <w:top w:val="single" w:sz="4" w:space="0" w:color="auto"/>
              <w:left w:val="single" w:sz="4" w:space="0" w:color="auto"/>
              <w:bottom w:val="single" w:sz="4" w:space="0" w:color="auto"/>
              <w:right w:val="nil"/>
            </w:tcBorders>
            <w:shd w:val="clear" w:color="000000" w:fill="A1F2FD"/>
            <w:vAlign w:val="center"/>
            <w:hideMark/>
          </w:tcPr>
          <w:p w14:paraId="05C00756" w14:textId="77777777" w:rsidR="00B67EB7" w:rsidRPr="00B67EB7" w:rsidRDefault="00B67EB7" w:rsidP="00B67EB7">
            <w:pPr>
              <w:jc w:val="center"/>
              <w:rPr>
                <w:rFonts w:cs="Arial"/>
                <w:b/>
                <w:bCs/>
                <w:color w:val="000000"/>
                <w:sz w:val="20"/>
                <w:szCs w:val="20"/>
              </w:rPr>
            </w:pPr>
            <w:r w:rsidRPr="00B67EB7">
              <w:rPr>
                <w:rFonts w:cs="Arial"/>
                <w:b/>
                <w:bCs/>
                <w:color w:val="000000"/>
                <w:sz w:val="20"/>
                <w:szCs w:val="20"/>
              </w:rPr>
              <w:t>Despesas Empenhadas</w:t>
            </w:r>
          </w:p>
        </w:tc>
      </w:tr>
      <w:tr w:rsidR="00B67EB7" w:rsidRPr="00B67EB7" w14:paraId="4E3E6445" w14:textId="77777777" w:rsidTr="00680792">
        <w:trPr>
          <w:trHeight w:val="284"/>
        </w:trPr>
        <w:tc>
          <w:tcPr>
            <w:tcW w:w="2995" w:type="pct"/>
            <w:tcBorders>
              <w:top w:val="single" w:sz="4" w:space="0" w:color="auto"/>
              <w:left w:val="nil"/>
              <w:bottom w:val="nil"/>
              <w:right w:val="single" w:sz="4" w:space="0" w:color="auto"/>
            </w:tcBorders>
            <w:shd w:val="clear" w:color="auto" w:fill="auto"/>
            <w:vAlign w:val="center"/>
            <w:hideMark/>
          </w:tcPr>
          <w:p w14:paraId="426618FB" w14:textId="77777777" w:rsidR="00B67EB7" w:rsidRPr="00B67EB7" w:rsidRDefault="00B67EB7" w:rsidP="003949F3">
            <w:pPr>
              <w:ind w:firstLine="208"/>
              <w:rPr>
                <w:rFonts w:cs="Arial"/>
                <w:color w:val="000000"/>
                <w:sz w:val="20"/>
                <w:szCs w:val="20"/>
              </w:rPr>
            </w:pPr>
            <w:r w:rsidRPr="00B67EB7">
              <w:rPr>
                <w:rFonts w:cs="Arial"/>
                <w:color w:val="000000"/>
                <w:sz w:val="20"/>
                <w:szCs w:val="20"/>
              </w:rPr>
              <w:t>Benefícios</w:t>
            </w:r>
          </w:p>
        </w:tc>
        <w:tc>
          <w:tcPr>
            <w:tcW w:w="979" w:type="pct"/>
            <w:tcBorders>
              <w:top w:val="single" w:sz="4" w:space="0" w:color="auto"/>
              <w:left w:val="single" w:sz="4" w:space="0" w:color="auto"/>
              <w:bottom w:val="nil"/>
              <w:right w:val="single" w:sz="4" w:space="0" w:color="auto"/>
            </w:tcBorders>
            <w:shd w:val="clear" w:color="auto" w:fill="auto"/>
            <w:vAlign w:val="center"/>
            <w:hideMark/>
          </w:tcPr>
          <w:p w14:paraId="61D92B20" w14:textId="2B66048A" w:rsidR="00B67EB7" w:rsidRPr="00B67EB7" w:rsidRDefault="00B67EB7" w:rsidP="00B67EB7">
            <w:pPr>
              <w:jc w:val="right"/>
              <w:rPr>
                <w:rFonts w:cs="Arial"/>
                <w:color w:val="000000"/>
                <w:sz w:val="20"/>
                <w:szCs w:val="20"/>
              </w:rPr>
            </w:pPr>
            <w:r>
              <w:rPr>
                <w:rFonts w:cs="Arial"/>
                <w:color w:val="000000"/>
                <w:sz w:val="20"/>
                <w:szCs w:val="20"/>
              </w:rPr>
              <w:t>5.983.491.234</w:t>
            </w:r>
          </w:p>
        </w:tc>
        <w:tc>
          <w:tcPr>
            <w:tcW w:w="1026" w:type="pct"/>
            <w:tcBorders>
              <w:top w:val="single" w:sz="4" w:space="0" w:color="auto"/>
              <w:left w:val="single" w:sz="4" w:space="0" w:color="auto"/>
              <w:bottom w:val="nil"/>
              <w:right w:val="nil"/>
            </w:tcBorders>
            <w:shd w:val="clear" w:color="auto" w:fill="auto"/>
            <w:vAlign w:val="center"/>
            <w:hideMark/>
          </w:tcPr>
          <w:p w14:paraId="63585193" w14:textId="4E102CCE" w:rsidR="00B67EB7" w:rsidRPr="00B67EB7" w:rsidRDefault="00B67EB7" w:rsidP="00B67EB7">
            <w:pPr>
              <w:jc w:val="right"/>
              <w:rPr>
                <w:rFonts w:cs="Arial"/>
                <w:color w:val="000000"/>
                <w:sz w:val="20"/>
                <w:szCs w:val="20"/>
              </w:rPr>
            </w:pPr>
            <w:r>
              <w:rPr>
                <w:rFonts w:cs="Arial"/>
                <w:color w:val="000000"/>
                <w:sz w:val="20"/>
                <w:szCs w:val="20"/>
              </w:rPr>
              <w:t>5.851.496.778</w:t>
            </w:r>
          </w:p>
        </w:tc>
      </w:tr>
      <w:tr w:rsidR="00B67EB7" w:rsidRPr="00B67EB7" w14:paraId="662477F3" w14:textId="77777777" w:rsidTr="00680792">
        <w:trPr>
          <w:trHeight w:val="284"/>
        </w:trPr>
        <w:tc>
          <w:tcPr>
            <w:tcW w:w="2995" w:type="pct"/>
            <w:tcBorders>
              <w:top w:val="nil"/>
              <w:left w:val="nil"/>
              <w:bottom w:val="nil"/>
              <w:right w:val="single" w:sz="4" w:space="0" w:color="auto"/>
            </w:tcBorders>
            <w:shd w:val="clear" w:color="auto" w:fill="auto"/>
            <w:vAlign w:val="center"/>
            <w:hideMark/>
          </w:tcPr>
          <w:p w14:paraId="4A998C2C" w14:textId="77777777" w:rsidR="00B67EB7" w:rsidRPr="00B67EB7" w:rsidRDefault="00B67EB7" w:rsidP="003949F3">
            <w:pPr>
              <w:ind w:firstLineChars="245" w:firstLine="490"/>
              <w:rPr>
                <w:rFonts w:cs="Arial"/>
                <w:color w:val="000000"/>
                <w:sz w:val="20"/>
                <w:szCs w:val="20"/>
              </w:rPr>
            </w:pPr>
            <w:r w:rsidRPr="00B67EB7">
              <w:rPr>
                <w:rFonts w:cs="Arial"/>
                <w:color w:val="000000"/>
                <w:sz w:val="20"/>
                <w:szCs w:val="20"/>
              </w:rPr>
              <w:t>Aposentadorias</w:t>
            </w:r>
          </w:p>
        </w:tc>
        <w:tc>
          <w:tcPr>
            <w:tcW w:w="979" w:type="pct"/>
            <w:tcBorders>
              <w:top w:val="nil"/>
              <w:left w:val="single" w:sz="4" w:space="0" w:color="auto"/>
              <w:bottom w:val="nil"/>
              <w:right w:val="single" w:sz="4" w:space="0" w:color="auto"/>
            </w:tcBorders>
            <w:shd w:val="clear" w:color="auto" w:fill="auto"/>
            <w:vAlign w:val="center"/>
            <w:hideMark/>
          </w:tcPr>
          <w:p w14:paraId="7FA35D68" w14:textId="0664A413" w:rsidR="00B67EB7" w:rsidRPr="00B67EB7" w:rsidRDefault="00B67EB7" w:rsidP="00B67EB7">
            <w:pPr>
              <w:jc w:val="right"/>
              <w:rPr>
                <w:rFonts w:cs="Arial"/>
                <w:color w:val="000000"/>
                <w:sz w:val="20"/>
                <w:szCs w:val="20"/>
              </w:rPr>
            </w:pPr>
            <w:r>
              <w:rPr>
                <w:rFonts w:cs="Arial"/>
                <w:color w:val="000000"/>
                <w:sz w:val="20"/>
                <w:szCs w:val="20"/>
              </w:rPr>
              <w:t>4.893.852.485</w:t>
            </w:r>
          </w:p>
        </w:tc>
        <w:tc>
          <w:tcPr>
            <w:tcW w:w="1026" w:type="pct"/>
            <w:tcBorders>
              <w:top w:val="nil"/>
              <w:left w:val="single" w:sz="4" w:space="0" w:color="auto"/>
              <w:bottom w:val="nil"/>
              <w:right w:val="nil"/>
            </w:tcBorders>
            <w:shd w:val="clear" w:color="auto" w:fill="auto"/>
            <w:vAlign w:val="center"/>
            <w:hideMark/>
          </w:tcPr>
          <w:p w14:paraId="39434E6D" w14:textId="6E3A288B" w:rsidR="00B67EB7" w:rsidRPr="00B67EB7" w:rsidRDefault="00B67EB7" w:rsidP="00B67EB7">
            <w:pPr>
              <w:jc w:val="right"/>
              <w:rPr>
                <w:rFonts w:cs="Arial"/>
                <w:color w:val="000000"/>
                <w:sz w:val="20"/>
                <w:szCs w:val="20"/>
              </w:rPr>
            </w:pPr>
            <w:r>
              <w:rPr>
                <w:rFonts w:cs="Arial"/>
                <w:color w:val="000000"/>
                <w:sz w:val="20"/>
                <w:szCs w:val="20"/>
              </w:rPr>
              <w:t>4.798.378.481</w:t>
            </w:r>
          </w:p>
        </w:tc>
      </w:tr>
      <w:tr w:rsidR="00B67EB7" w:rsidRPr="00B67EB7" w14:paraId="72BDE0B7" w14:textId="77777777" w:rsidTr="00680792">
        <w:trPr>
          <w:trHeight w:val="284"/>
        </w:trPr>
        <w:tc>
          <w:tcPr>
            <w:tcW w:w="2995" w:type="pct"/>
            <w:tcBorders>
              <w:top w:val="nil"/>
              <w:left w:val="nil"/>
              <w:bottom w:val="nil"/>
              <w:right w:val="single" w:sz="4" w:space="0" w:color="auto"/>
            </w:tcBorders>
            <w:shd w:val="clear" w:color="auto" w:fill="auto"/>
            <w:vAlign w:val="center"/>
            <w:hideMark/>
          </w:tcPr>
          <w:p w14:paraId="201A82A4" w14:textId="77777777" w:rsidR="00B67EB7" w:rsidRPr="00B67EB7" w:rsidRDefault="00B67EB7" w:rsidP="003949F3">
            <w:pPr>
              <w:ind w:firstLineChars="245" w:firstLine="490"/>
              <w:rPr>
                <w:rFonts w:cs="Arial"/>
                <w:color w:val="000000"/>
                <w:sz w:val="20"/>
                <w:szCs w:val="20"/>
              </w:rPr>
            </w:pPr>
            <w:r w:rsidRPr="00B67EB7">
              <w:rPr>
                <w:rFonts w:cs="Arial"/>
                <w:color w:val="000000"/>
                <w:sz w:val="20"/>
                <w:szCs w:val="20"/>
              </w:rPr>
              <w:t>Pensão por Morte</w:t>
            </w:r>
          </w:p>
        </w:tc>
        <w:tc>
          <w:tcPr>
            <w:tcW w:w="979" w:type="pct"/>
            <w:tcBorders>
              <w:top w:val="nil"/>
              <w:left w:val="single" w:sz="4" w:space="0" w:color="auto"/>
              <w:bottom w:val="nil"/>
              <w:right w:val="single" w:sz="4" w:space="0" w:color="auto"/>
            </w:tcBorders>
            <w:shd w:val="clear" w:color="auto" w:fill="auto"/>
            <w:vAlign w:val="center"/>
            <w:hideMark/>
          </w:tcPr>
          <w:p w14:paraId="34128D7E" w14:textId="4D94225D" w:rsidR="00B67EB7" w:rsidRPr="00B67EB7" w:rsidRDefault="00B67EB7" w:rsidP="00B67EB7">
            <w:pPr>
              <w:jc w:val="right"/>
              <w:rPr>
                <w:rFonts w:cs="Arial"/>
                <w:color w:val="000000"/>
                <w:sz w:val="20"/>
                <w:szCs w:val="20"/>
              </w:rPr>
            </w:pPr>
            <w:r>
              <w:rPr>
                <w:rFonts w:cs="Arial"/>
                <w:color w:val="000000"/>
                <w:sz w:val="20"/>
                <w:szCs w:val="20"/>
              </w:rPr>
              <w:t>1.089.638.748</w:t>
            </w:r>
          </w:p>
        </w:tc>
        <w:tc>
          <w:tcPr>
            <w:tcW w:w="1026" w:type="pct"/>
            <w:tcBorders>
              <w:top w:val="nil"/>
              <w:left w:val="single" w:sz="4" w:space="0" w:color="auto"/>
              <w:bottom w:val="nil"/>
              <w:right w:val="nil"/>
            </w:tcBorders>
            <w:shd w:val="clear" w:color="auto" w:fill="auto"/>
            <w:vAlign w:val="center"/>
            <w:hideMark/>
          </w:tcPr>
          <w:p w14:paraId="46CAF24A" w14:textId="10D9B16A" w:rsidR="00B67EB7" w:rsidRPr="00B67EB7" w:rsidRDefault="00B67EB7" w:rsidP="00B67EB7">
            <w:pPr>
              <w:jc w:val="right"/>
              <w:rPr>
                <w:rFonts w:cs="Arial"/>
                <w:color w:val="000000"/>
                <w:sz w:val="20"/>
                <w:szCs w:val="20"/>
              </w:rPr>
            </w:pPr>
            <w:r>
              <w:rPr>
                <w:rFonts w:cs="Arial"/>
                <w:color w:val="000000"/>
                <w:sz w:val="20"/>
                <w:szCs w:val="20"/>
              </w:rPr>
              <w:t>1.053.118.297</w:t>
            </w:r>
          </w:p>
        </w:tc>
      </w:tr>
      <w:tr w:rsidR="00B67EB7" w:rsidRPr="00B67EB7" w14:paraId="2AC74FE8" w14:textId="77777777" w:rsidTr="00680792">
        <w:trPr>
          <w:trHeight w:val="284"/>
        </w:trPr>
        <w:tc>
          <w:tcPr>
            <w:tcW w:w="2995" w:type="pct"/>
            <w:tcBorders>
              <w:top w:val="nil"/>
              <w:left w:val="nil"/>
              <w:bottom w:val="nil"/>
              <w:right w:val="single" w:sz="4" w:space="0" w:color="auto"/>
            </w:tcBorders>
            <w:shd w:val="clear" w:color="auto" w:fill="auto"/>
            <w:vAlign w:val="center"/>
            <w:hideMark/>
          </w:tcPr>
          <w:p w14:paraId="7962B288" w14:textId="77777777" w:rsidR="00B67EB7" w:rsidRPr="00B67EB7" w:rsidRDefault="00B67EB7" w:rsidP="003949F3">
            <w:pPr>
              <w:ind w:firstLine="208"/>
              <w:rPr>
                <w:rFonts w:cs="Arial"/>
                <w:color w:val="000000"/>
                <w:sz w:val="20"/>
                <w:szCs w:val="20"/>
              </w:rPr>
            </w:pPr>
            <w:r w:rsidRPr="00B67EB7">
              <w:rPr>
                <w:rFonts w:cs="Arial"/>
                <w:color w:val="000000"/>
                <w:sz w:val="20"/>
                <w:szCs w:val="20"/>
              </w:rPr>
              <w:t>Outras Despesas Previdenciárias</w:t>
            </w:r>
          </w:p>
        </w:tc>
        <w:tc>
          <w:tcPr>
            <w:tcW w:w="979" w:type="pct"/>
            <w:tcBorders>
              <w:top w:val="nil"/>
              <w:left w:val="single" w:sz="4" w:space="0" w:color="auto"/>
              <w:bottom w:val="nil"/>
              <w:right w:val="single" w:sz="4" w:space="0" w:color="auto"/>
            </w:tcBorders>
            <w:shd w:val="clear" w:color="auto" w:fill="auto"/>
            <w:vAlign w:val="center"/>
            <w:hideMark/>
          </w:tcPr>
          <w:p w14:paraId="5A67F488" w14:textId="350686D0" w:rsidR="00B67EB7" w:rsidRPr="00B67EB7" w:rsidRDefault="00B67EB7" w:rsidP="00B67EB7">
            <w:pPr>
              <w:jc w:val="right"/>
              <w:rPr>
                <w:rFonts w:cs="Arial"/>
                <w:color w:val="000000"/>
                <w:sz w:val="20"/>
                <w:szCs w:val="20"/>
              </w:rPr>
            </w:pPr>
            <w:r>
              <w:rPr>
                <w:rFonts w:cs="Arial"/>
                <w:color w:val="000000"/>
                <w:sz w:val="20"/>
                <w:szCs w:val="20"/>
              </w:rPr>
              <w:t>7.821.213</w:t>
            </w:r>
          </w:p>
        </w:tc>
        <w:tc>
          <w:tcPr>
            <w:tcW w:w="1026" w:type="pct"/>
            <w:tcBorders>
              <w:top w:val="nil"/>
              <w:left w:val="single" w:sz="4" w:space="0" w:color="auto"/>
              <w:bottom w:val="nil"/>
              <w:right w:val="nil"/>
            </w:tcBorders>
            <w:shd w:val="clear" w:color="auto" w:fill="auto"/>
            <w:vAlign w:val="center"/>
            <w:hideMark/>
          </w:tcPr>
          <w:p w14:paraId="611CD940" w14:textId="6FEDE7B3" w:rsidR="00B67EB7" w:rsidRPr="00B67EB7" w:rsidRDefault="00B67EB7" w:rsidP="00B67EB7">
            <w:pPr>
              <w:jc w:val="right"/>
              <w:rPr>
                <w:rFonts w:cs="Arial"/>
                <w:color w:val="000000"/>
                <w:sz w:val="20"/>
                <w:szCs w:val="20"/>
              </w:rPr>
            </w:pPr>
            <w:r>
              <w:rPr>
                <w:rFonts w:cs="Arial"/>
                <w:color w:val="000000"/>
                <w:sz w:val="20"/>
                <w:szCs w:val="20"/>
              </w:rPr>
              <w:t>725.071</w:t>
            </w:r>
          </w:p>
        </w:tc>
      </w:tr>
      <w:tr w:rsidR="00B67EB7" w:rsidRPr="00B67EB7" w14:paraId="14E5FDD1" w14:textId="77777777" w:rsidTr="00680792">
        <w:trPr>
          <w:trHeight w:val="284"/>
        </w:trPr>
        <w:tc>
          <w:tcPr>
            <w:tcW w:w="2995" w:type="pct"/>
            <w:tcBorders>
              <w:top w:val="nil"/>
              <w:left w:val="nil"/>
              <w:bottom w:val="nil"/>
              <w:right w:val="single" w:sz="4" w:space="0" w:color="auto"/>
            </w:tcBorders>
            <w:shd w:val="clear" w:color="auto" w:fill="auto"/>
            <w:vAlign w:val="center"/>
            <w:hideMark/>
          </w:tcPr>
          <w:p w14:paraId="3B514116" w14:textId="77777777" w:rsidR="00B67EB7" w:rsidRPr="00B67EB7" w:rsidRDefault="00B67EB7" w:rsidP="003949F3">
            <w:pPr>
              <w:ind w:firstLineChars="245" w:firstLine="490"/>
              <w:rPr>
                <w:rFonts w:cs="Arial"/>
                <w:color w:val="000000"/>
                <w:sz w:val="20"/>
                <w:szCs w:val="20"/>
              </w:rPr>
            </w:pPr>
            <w:r w:rsidRPr="00B67EB7">
              <w:rPr>
                <w:rFonts w:cs="Arial"/>
                <w:color w:val="000000"/>
                <w:sz w:val="20"/>
                <w:szCs w:val="20"/>
              </w:rPr>
              <w:t>Compensação Financeira entre os regimes</w:t>
            </w:r>
          </w:p>
        </w:tc>
        <w:tc>
          <w:tcPr>
            <w:tcW w:w="979" w:type="pct"/>
            <w:tcBorders>
              <w:top w:val="nil"/>
              <w:left w:val="single" w:sz="4" w:space="0" w:color="auto"/>
              <w:bottom w:val="nil"/>
              <w:right w:val="single" w:sz="4" w:space="0" w:color="auto"/>
            </w:tcBorders>
            <w:shd w:val="clear" w:color="auto" w:fill="auto"/>
            <w:vAlign w:val="center"/>
            <w:hideMark/>
          </w:tcPr>
          <w:p w14:paraId="373ABF9C" w14:textId="3E492538" w:rsidR="00B67EB7" w:rsidRPr="00B67EB7" w:rsidRDefault="00B67EB7" w:rsidP="00B67EB7">
            <w:pPr>
              <w:jc w:val="right"/>
              <w:rPr>
                <w:rFonts w:cs="Arial"/>
                <w:color w:val="000000"/>
                <w:sz w:val="20"/>
                <w:szCs w:val="20"/>
              </w:rPr>
            </w:pPr>
            <w:r>
              <w:rPr>
                <w:rFonts w:cs="Arial"/>
                <w:color w:val="000000"/>
                <w:sz w:val="20"/>
                <w:szCs w:val="20"/>
              </w:rPr>
              <w:t>1.701.000</w:t>
            </w:r>
          </w:p>
        </w:tc>
        <w:tc>
          <w:tcPr>
            <w:tcW w:w="1026" w:type="pct"/>
            <w:tcBorders>
              <w:top w:val="nil"/>
              <w:left w:val="single" w:sz="4" w:space="0" w:color="auto"/>
              <w:bottom w:val="nil"/>
              <w:right w:val="nil"/>
            </w:tcBorders>
            <w:shd w:val="clear" w:color="auto" w:fill="auto"/>
            <w:vAlign w:val="center"/>
            <w:hideMark/>
          </w:tcPr>
          <w:p w14:paraId="63D59C9C" w14:textId="1DCC7815" w:rsidR="00B67EB7" w:rsidRPr="00B67EB7" w:rsidRDefault="00B67EB7" w:rsidP="00B67EB7">
            <w:pPr>
              <w:jc w:val="right"/>
              <w:rPr>
                <w:rFonts w:cs="Arial"/>
                <w:color w:val="000000"/>
                <w:sz w:val="20"/>
                <w:szCs w:val="20"/>
              </w:rPr>
            </w:pPr>
            <w:r>
              <w:rPr>
                <w:rFonts w:cs="Arial"/>
                <w:color w:val="000000"/>
                <w:sz w:val="20"/>
                <w:szCs w:val="20"/>
              </w:rPr>
              <w:t>724.859</w:t>
            </w:r>
          </w:p>
        </w:tc>
      </w:tr>
      <w:tr w:rsidR="00B67EB7" w:rsidRPr="00B67EB7" w14:paraId="1709D87C" w14:textId="77777777" w:rsidTr="00680792">
        <w:trPr>
          <w:trHeight w:val="284"/>
        </w:trPr>
        <w:tc>
          <w:tcPr>
            <w:tcW w:w="2995" w:type="pct"/>
            <w:tcBorders>
              <w:top w:val="nil"/>
              <w:left w:val="nil"/>
              <w:bottom w:val="single" w:sz="4" w:space="0" w:color="auto"/>
              <w:right w:val="single" w:sz="4" w:space="0" w:color="auto"/>
            </w:tcBorders>
            <w:shd w:val="clear" w:color="auto" w:fill="auto"/>
            <w:vAlign w:val="center"/>
            <w:hideMark/>
          </w:tcPr>
          <w:p w14:paraId="5646F90A" w14:textId="77777777" w:rsidR="00B67EB7" w:rsidRPr="00B67EB7" w:rsidRDefault="00B67EB7" w:rsidP="003949F3">
            <w:pPr>
              <w:ind w:firstLineChars="245" w:firstLine="490"/>
              <w:rPr>
                <w:rFonts w:cs="Arial"/>
                <w:color w:val="000000"/>
                <w:sz w:val="20"/>
                <w:szCs w:val="20"/>
              </w:rPr>
            </w:pPr>
            <w:r w:rsidRPr="00B67EB7">
              <w:rPr>
                <w:rFonts w:cs="Arial"/>
                <w:color w:val="000000"/>
                <w:sz w:val="20"/>
                <w:szCs w:val="20"/>
              </w:rPr>
              <w:t>Demais Despesas Previdenciárias</w:t>
            </w:r>
          </w:p>
        </w:tc>
        <w:tc>
          <w:tcPr>
            <w:tcW w:w="979" w:type="pct"/>
            <w:tcBorders>
              <w:top w:val="nil"/>
              <w:left w:val="single" w:sz="4" w:space="0" w:color="auto"/>
              <w:bottom w:val="single" w:sz="4" w:space="0" w:color="auto"/>
              <w:right w:val="single" w:sz="4" w:space="0" w:color="auto"/>
            </w:tcBorders>
            <w:shd w:val="clear" w:color="auto" w:fill="auto"/>
            <w:vAlign w:val="center"/>
            <w:hideMark/>
          </w:tcPr>
          <w:p w14:paraId="7BCCE4B9" w14:textId="2E10B4A0" w:rsidR="00B67EB7" w:rsidRPr="00B67EB7" w:rsidRDefault="00B67EB7" w:rsidP="00B67EB7">
            <w:pPr>
              <w:jc w:val="right"/>
              <w:rPr>
                <w:rFonts w:cs="Arial"/>
                <w:color w:val="000000"/>
                <w:sz w:val="20"/>
                <w:szCs w:val="20"/>
              </w:rPr>
            </w:pPr>
            <w:r>
              <w:rPr>
                <w:rFonts w:cs="Arial"/>
                <w:color w:val="000000"/>
                <w:sz w:val="20"/>
                <w:szCs w:val="20"/>
              </w:rPr>
              <w:t>6.120.213</w:t>
            </w:r>
          </w:p>
        </w:tc>
        <w:tc>
          <w:tcPr>
            <w:tcW w:w="1026" w:type="pct"/>
            <w:tcBorders>
              <w:top w:val="nil"/>
              <w:left w:val="single" w:sz="4" w:space="0" w:color="auto"/>
              <w:bottom w:val="single" w:sz="4" w:space="0" w:color="auto"/>
              <w:right w:val="nil"/>
            </w:tcBorders>
            <w:shd w:val="clear" w:color="auto" w:fill="auto"/>
            <w:vAlign w:val="center"/>
            <w:hideMark/>
          </w:tcPr>
          <w:p w14:paraId="7E6F8337" w14:textId="39F17B65" w:rsidR="00B67EB7" w:rsidRPr="00B67EB7" w:rsidRDefault="00B67EB7" w:rsidP="00B67EB7">
            <w:pPr>
              <w:jc w:val="right"/>
              <w:rPr>
                <w:rFonts w:cs="Arial"/>
                <w:color w:val="000000"/>
                <w:sz w:val="20"/>
                <w:szCs w:val="20"/>
              </w:rPr>
            </w:pPr>
            <w:r>
              <w:rPr>
                <w:rFonts w:cs="Arial"/>
                <w:color w:val="000000"/>
                <w:sz w:val="20"/>
                <w:szCs w:val="20"/>
              </w:rPr>
              <w:t>213</w:t>
            </w:r>
          </w:p>
        </w:tc>
      </w:tr>
      <w:tr w:rsidR="00B67EB7" w:rsidRPr="00B67EB7" w14:paraId="30785740" w14:textId="77777777" w:rsidTr="00680792">
        <w:trPr>
          <w:trHeight w:val="284"/>
        </w:trPr>
        <w:tc>
          <w:tcPr>
            <w:tcW w:w="2995" w:type="pct"/>
            <w:tcBorders>
              <w:top w:val="single" w:sz="4" w:space="0" w:color="auto"/>
              <w:left w:val="nil"/>
              <w:bottom w:val="single" w:sz="4" w:space="0" w:color="auto"/>
              <w:right w:val="single" w:sz="4" w:space="0" w:color="auto"/>
            </w:tcBorders>
            <w:shd w:val="clear" w:color="auto" w:fill="auto"/>
            <w:vAlign w:val="center"/>
            <w:hideMark/>
          </w:tcPr>
          <w:p w14:paraId="6FC2B821" w14:textId="11567944" w:rsidR="00B67EB7" w:rsidRPr="00B67EB7" w:rsidRDefault="003949F3" w:rsidP="00B67EB7">
            <w:pPr>
              <w:jc w:val="center"/>
              <w:rPr>
                <w:rFonts w:cs="Arial"/>
                <w:b/>
                <w:bCs/>
                <w:color w:val="000000"/>
                <w:sz w:val="20"/>
                <w:szCs w:val="20"/>
              </w:rPr>
            </w:pPr>
            <w:r>
              <w:rPr>
                <w:rFonts w:cs="Arial"/>
                <w:b/>
                <w:bCs/>
                <w:color w:val="000000"/>
                <w:sz w:val="20"/>
                <w:szCs w:val="20"/>
              </w:rPr>
              <w:t>Despesas</w:t>
            </w:r>
            <w:r w:rsidRPr="00C90EC9">
              <w:rPr>
                <w:rFonts w:cs="Arial"/>
                <w:b/>
                <w:bCs/>
                <w:color w:val="000000"/>
                <w:sz w:val="20"/>
                <w:szCs w:val="20"/>
              </w:rPr>
              <w:t xml:space="preserve"> Correntes</w:t>
            </w:r>
            <w:r>
              <w:rPr>
                <w:rFonts w:cs="Arial"/>
                <w:b/>
                <w:bCs/>
                <w:color w:val="000000"/>
                <w:sz w:val="20"/>
                <w:szCs w:val="20"/>
              </w:rPr>
              <w:t xml:space="preserve"> </w:t>
            </w:r>
            <w:r w:rsidRPr="00C90EC9">
              <w:rPr>
                <w:rFonts w:cs="Arial"/>
                <w:b/>
                <w:bCs/>
                <w:color w:val="000000"/>
                <w:sz w:val="20"/>
                <w:szCs w:val="20"/>
              </w:rPr>
              <w:t>(</w:t>
            </w:r>
            <w:r>
              <w:rPr>
                <w:rFonts w:cs="Arial"/>
                <w:b/>
                <w:bCs/>
                <w:color w:val="000000"/>
                <w:sz w:val="20"/>
                <w:szCs w:val="20"/>
              </w:rPr>
              <w:t>I</w:t>
            </w:r>
            <w:r w:rsidRPr="00C90EC9">
              <w:rPr>
                <w:rFonts w:cs="Arial"/>
                <w:b/>
                <w:bCs/>
                <w:color w:val="000000"/>
                <w:sz w:val="20"/>
                <w:szCs w:val="20"/>
              </w:rPr>
              <w:t>I)</w:t>
            </w:r>
          </w:p>
        </w:tc>
        <w:tc>
          <w:tcPr>
            <w:tcW w:w="97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1EB4D7" w14:textId="27CBAA31" w:rsidR="00B67EB7" w:rsidRPr="00B67EB7" w:rsidRDefault="00B67EB7" w:rsidP="00B67EB7">
            <w:pPr>
              <w:jc w:val="right"/>
              <w:rPr>
                <w:rFonts w:cs="Arial"/>
                <w:b/>
                <w:bCs/>
                <w:color w:val="000000"/>
                <w:sz w:val="20"/>
                <w:szCs w:val="20"/>
              </w:rPr>
            </w:pPr>
            <w:r>
              <w:rPr>
                <w:rFonts w:cs="Arial"/>
                <w:b/>
                <w:bCs/>
                <w:color w:val="000000"/>
                <w:sz w:val="20"/>
                <w:szCs w:val="20"/>
              </w:rPr>
              <w:t>5.991.312.446</w:t>
            </w:r>
          </w:p>
        </w:tc>
        <w:tc>
          <w:tcPr>
            <w:tcW w:w="1026" w:type="pct"/>
            <w:tcBorders>
              <w:top w:val="single" w:sz="4" w:space="0" w:color="auto"/>
              <w:left w:val="single" w:sz="4" w:space="0" w:color="auto"/>
              <w:bottom w:val="single" w:sz="4" w:space="0" w:color="auto"/>
              <w:right w:val="nil"/>
            </w:tcBorders>
            <w:shd w:val="clear" w:color="auto" w:fill="auto"/>
            <w:vAlign w:val="center"/>
            <w:hideMark/>
          </w:tcPr>
          <w:p w14:paraId="610C507B" w14:textId="5EECFF43" w:rsidR="00B67EB7" w:rsidRPr="00B67EB7" w:rsidRDefault="00B67EB7" w:rsidP="00B67EB7">
            <w:pPr>
              <w:jc w:val="right"/>
              <w:rPr>
                <w:rFonts w:cs="Arial"/>
                <w:b/>
                <w:bCs/>
                <w:color w:val="000000"/>
                <w:sz w:val="20"/>
                <w:szCs w:val="20"/>
              </w:rPr>
            </w:pPr>
            <w:r>
              <w:rPr>
                <w:rFonts w:cs="Arial"/>
                <w:b/>
                <w:bCs/>
                <w:color w:val="000000"/>
                <w:sz w:val="20"/>
                <w:szCs w:val="20"/>
              </w:rPr>
              <w:t>5.852.221.849</w:t>
            </w:r>
          </w:p>
        </w:tc>
      </w:tr>
      <w:tr w:rsidR="00B67EB7" w:rsidRPr="00B67EB7" w14:paraId="114430D4" w14:textId="77777777" w:rsidTr="00680792">
        <w:trPr>
          <w:trHeight w:val="284"/>
        </w:trPr>
        <w:tc>
          <w:tcPr>
            <w:tcW w:w="2995" w:type="pct"/>
            <w:tcBorders>
              <w:top w:val="single" w:sz="4" w:space="0" w:color="auto"/>
              <w:left w:val="nil"/>
              <w:bottom w:val="single" w:sz="4" w:space="0" w:color="auto"/>
              <w:right w:val="single" w:sz="4" w:space="0" w:color="auto"/>
            </w:tcBorders>
            <w:shd w:val="clear" w:color="auto" w:fill="auto"/>
            <w:vAlign w:val="center"/>
            <w:hideMark/>
          </w:tcPr>
          <w:p w14:paraId="13B8008E" w14:textId="77777777" w:rsidR="00B67EB7" w:rsidRPr="00B67EB7" w:rsidRDefault="00B67EB7" w:rsidP="00B67EB7">
            <w:pPr>
              <w:jc w:val="right"/>
              <w:rPr>
                <w:rFonts w:cs="Arial"/>
                <w:b/>
                <w:bCs/>
                <w:color w:val="000000"/>
                <w:sz w:val="20"/>
                <w:szCs w:val="20"/>
              </w:rPr>
            </w:pPr>
          </w:p>
        </w:tc>
        <w:tc>
          <w:tcPr>
            <w:tcW w:w="97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F9F3F2" w14:textId="77777777" w:rsidR="00B67EB7" w:rsidRPr="00B67EB7" w:rsidRDefault="00B67EB7" w:rsidP="00B67EB7">
            <w:pPr>
              <w:rPr>
                <w:rFonts w:cs="Arial"/>
                <w:sz w:val="20"/>
                <w:szCs w:val="20"/>
              </w:rPr>
            </w:pPr>
          </w:p>
        </w:tc>
        <w:tc>
          <w:tcPr>
            <w:tcW w:w="1026" w:type="pct"/>
            <w:tcBorders>
              <w:top w:val="single" w:sz="4" w:space="0" w:color="auto"/>
              <w:left w:val="single" w:sz="4" w:space="0" w:color="auto"/>
              <w:bottom w:val="single" w:sz="4" w:space="0" w:color="auto"/>
              <w:right w:val="nil"/>
            </w:tcBorders>
            <w:shd w:val="clear" w:color="auto" w:fill="auto"/>
            <w:vAlign w:val="center"/>
            <w:hideMark/>
          </w:tcPr>
          <w:p w14:paraId="541052C5" w14:textId="77777777" w:rsidR="00B67EB7" w:rsidRPr="00B67EB7" w:rsidRDefault="00B67EB7" w:rsidP="00B67EB7">
            <w:pPr>
              <w:rPr>
                <w:rFonts w:cs="Arial"/>
                <w:sz w:val="20"/>
                <w:szCs w:val="20"/>
              </w:rPr>
            </w:pPr>
          </w:p>
        </w:tc>
      </w:tr>
      <w:tr w:rsidR="003949F3" w:rsidRPr="00B67EB7" w14:paraId="56D64BC5" w14:textId="77777777" w:rsidTr="00680792">
        <w:trPr>
          <w:trHeight w:val="284"/>
        </w:trPr>
        <w:tc>
          <w:tcPr>
            <w:tcW w:w="2995" w:type="pct"/>
            <w:tcBorders>
              <w:top w:val="single" w:sz="4" w:space="0" w:color="auto"/>
              <w:left w:val="nil"/>
              <w:bottom w:val="single" w:sz="4" w:space="0" w:color="auto"/>
              <w:right w:val="single" w:sz="4" w:space="0" w:color="auto"/>
            </w:tcBorders>
            <w:shd w:val="clear" w:color="auto" w:fill="auto"/>
            <w:noWrap/>
            <w:vAlign w:val="center"/>
            <w:hideMark/>
          </w:tcPr>
          <w:p w14:paraId="0011DFA7" w14:textId="3D1067F6" w:rsidR="003949F3" w:rsidRPr="00B67EB7" w:rsidRDefault="003949F3" w:rsidP="00F52F5F">
            <w:pPr>
              <w:jc w:val="center"/>
              <w:rPr>
                <w:rFonts w:cs="Arial"/>
                <w:b/>
                <w:bCs/>
                <w:color w:val="000000"/>
                <w:sz w:val="20"/>
                <w:szCs w:val="20"/>
              </w:rPr>
            </w:pPr>
            <w:r w:rsidRPr="00C90EC9">
              <w:rPr>
                <w:rFonts w:cs="Arial"/>
                <w:b/>
                <w:bCs/>
                <w:color w:val="000000"/>
                <w:sz w:val="20"/>
                <w:szCs w:val="20"/>
              </w:rPr>
              <w:t>Resultado Previdenciário (III) = (I - II)</w:t>
            </w:r>
          </w:p>
        </w:tc>
        <w:tc>
          <w:tcPr>
            <w:tcW w:w="97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BDCAB5" w14:textId="65BBD3AB" w:rsidR="003949F3" w:rsidRPr="00B67EB7" w:rsidRDefault="003949F3" w:rsidP="003949F3">
            <w:pPr>
              <w:jc w:val="right"/>
              <w:rPr>
                <w:rFonts w:cs="Arial"/>
                <w:b/>
                <w:bCs/>
                <w:color w:val="FF0000"/>
                <w:sz w:val="20"/>
                <w:szCs w:val="20"/>
              </w:rPr>
            </w:pPr>
            <w:r>
              <w:rPr>
                <w:rFonts w:cs="Arial"/>
                <w:b/>
                <w:bCs/>
                <w:color w:val="FF0000"/>
                <w:sz w:val="20"/>
                <w:szCs w:val="20"/>
              </w:rPr>
              <w:t>(3.434.997.446)</w:t>
            </w:r>
          </w:p>
        </w:tc>
        <w:tc>
          <w:tcPr>
            <w:tcW w:w="1026" w:type="pct"/>
            <w:tcBorders>
              <w:top w:val="single" w:sz="4" w:space="0" w:color="auto"/>
              <w:left w:val="single" w:sz="4" w:space="0" w:color="auto"/>
              <w:bottom w:val="single" w:sz="4" w:space="0" w:color="auto"/>
              <w:right w:val="nil"/>
            </w:tcBorders>
            <w:shd w:val="clear" w:color="auto" w:fill="auto"/>
            <w:noWrap/>
            <w:vAlign w:val="center"/>
            <w:hideMark/>
          </w:tcPr>
          <w:p w14:paraId="34164EB5" w14:textId="0C21D4B5" w:rsidR="003949F3" w:rsidRPr="00B67EB7" w:rsidRDefault="003949F3" w:rsidP="003949F3">
            <w:pPr>
              <w:jc w:val="right"/>
              <w:rPr>
                <w:rFonts w:cs="Arial"/>
                <w:b/>
                <w:bCs/>
                <w:color w:val="FF0000"/>
                <w:sz w:val="20"/>
                <w:szCs w:val="20"/>
              </w:rPr>
            </w:pPr>
            <w:r>
              <w:rPr>
                <w:rFonts w:cs="Arial"/>
                <w:b/>
                <w:bCs/>
                <w:color w:val="FF0000"/>
                <w:sz w:val="20"/>
                <w:szCs w:val="20"/>
              </w:rPr>
              <w:t>(3.079.465.675)</w:t>
            </w:r>
          </w:p>
        </w:tc>
      </w:tr>
      <w:tr w:rsidR="003949F3" w:rsidRPr="00B67EB7" w14:paraId="6C4C49B6" w14:textId="77777777" w:rsidTr="00680792">
        <w:trPr>
          <w:trHeight w:val="284"/>
        </w:trPr>
        <w:tc>
          <w:tcPr>
            <w:tcW w:w="2995" w:type="pct"/>
            <w:tcBorders>
              <w:top w:val="single" w:sz="4" w:space="0" w:color="auto"/>
              <w:left w:val="nil"/>
              <w:bottom w:val="single" w:sz="4" w:space="0" w:color="auto"/>
              <w:right w:val="single" w:sz="4" w:space="0" w:color="auto"/>
            </w:tcBorders>
            <w:shd w:val="clear" w:color="auto" w:fill="auto"/>
            <w:vAlign w:val="center"/>
            <w:hideMark/>
          </w:tcPr>
          <w:p w14:paraId="7625B27C" w14:textId="77777777" w:rsidR="003949F3" w:rsidRPr="00B67EB7" w:rsidRDefault="003949F3" w:rsidP="003949F3">
            <w:pPr>
              <w:jc w:val="right"/>
              <w:rPr>
                <w:rFonts w:cs="Arial"/>
                <w:b/>
                <w:bCs/>
                <w:color w:val="000000"/>
                <w:sz w:val="20"/>
                <w:szCs w:val="20"/>
              </w:rPr>
            </w:pPr>
          </w:p>
        </w:tc>
        <w:tc>
          <w:tcPr>
            <w:tcW w:w="979" w:type="pct"/>
            <w:tcBorders>
              <w:top w:val="single" w:sz="4" w:space="0" w:color="auto"/>
              <w:left w:val="single" w:sz="4" w:space="0" w:color="auto"/>
              <w:bottom w:val="single" w:sz="4" w:space="0" w:color="auto"/>
              <w:right w:val="nil"/>
            </w:tcBorders>
            <w:shd w:val="clear" w:color="auto" w:fill="auto"/>
            <w:vAlign w:val="center"/>
            <w:hideMark/>
          </w:tcPr>
          <w:p w14:paraId="1F3D2ACC" w14:textId="77777777" w:rsidR="003949F3" w:rsidRPr="00B67EB7" w:rsidRDefault="003949F3" w:rsidP="003949F3">
            <w:pPr>
              <w:rPr>
                <w:rFonts w:cs="Arial"/>
                <w:sz w:val="20"/>
                <w:szCs w:val="20"/>
              </w:rPr>
            </w:pPr>
          </w:p>
        </w:tc>
        <w:tc>
          <w:tcPr>
            <w:tcW w:w="1026" w:type="pct"/>
            <w:tcBorders>
              <w:top w:val="single" w:sz="4" w:space="0" w:color="auto"/>
              <w:left w:val="nil"/>
              <w:bottom w:val="single" w:sz="4" w:space="0" w:color="auto"/>
              <w:right w:val="nil"/>
            </w:tcBorders>
            <w:shd w:val="clear" w:color="auto" w:fill="auto"/>
            <w:vAlign w:val="center"/>
            <w:hideMark/>
          </w:tcPr>
          <w:p w14:paraId="089F8F62" w14:textId="77777777" w:rsidR="003949F3" w:rsidRPr="00B67EB7" w:rsidRDefault="003949F3" w:rsidP="003949F3">
            <w:pPr>
              <w:rPr>
                <w:rFonts w:cs="Arial"/>
                <w:sz w:val="20"/>
                <w:szCs w:val="20"/>
              </w:rPr>
            </w:pPr>
          </w:p>
        </w:tc>
      </w:tr>
      <w:tr w:rsidR="003949F3" w:rsidRPr="00B67EB7" w14:paraId="5939B867" w14:textId="77777777" w:rsidTr="00680792">
        <w:trPr>
          <w:trHeight w:val="284"/>
        </w:trPr>
        <w:tc>
          <w:tcPr>
            <w:tcW w:w="2995" w:type="pct"/>
            <w:tcBorders>
              <w:top w:val="single" w:sz="4" w:space="0" w:color="auto"/>
              <w:left w:val="nil"/>
              <w:bottom w:val="single" w:sz="4" w:space="0" w:color="auto"/>
              <w:right w:val="single" w:sz="4" w:space="0" w:color="auto"/>
            </w:tcBorders>
            <w:shd w:val="clear" w:color="000000" w:fill="A1F2FD"/>
            <w:vAlign w:val="center"/>
            <w:hideMark/>
          </w:tcPr>
          <w:p w14:paraId="45B4C447" w14:textId="68144FD1" w:rsidR="003949F3" w:rsidRPr="00B67EB7" w:rsidRDefault="003949F3" w:rsidP="003949F3">
            <w:pPr>
              <w:jc w:val="center"/>
              <w:rPr>
                <w:rFonts w:cs="Arial"/>
                <w:b/>
                <w:bCs/>
                <w:color w:val="000000"/>
                <w:sz w:val="20"/>
                <w:szCs w:val="20"/>
              </w:rPr>
            </w:pPr>
            <w:r w:rsidRPr="00B67EB7">
              <w:rPr>
                <w:rFonts w:cs="Arial"/>
                <w:b/>
                <w:bCs/>
                <w:color w:val="000000"/>
                <w:sz w:val="20"/>
                <w:szCs w:val="20"/>
              </w:rPr>
              <w:t xml:space="preserve">Aportes de Recursos </w:t>
            </w:r>
          </w:p>
        </w:tc>
        <w:tc>
          <w:tcPr>
            <w:tcW w:w="2005" w:type="pct"/>
            <w:gridSpan w:val="2"/>
            <w:tcBorders>
              <w:top w:val="single" w:sz="4" w:space="0" w:color="auto"/>
              <w:left w:val="single" w:sz="4" w:space="0" w:color="auto"/>
              <w:bottom w:val="single" w:sz="4" w:space="0" w:color="auto"/>
              <w:right w:val="nil"/>
            </w:tcBorders>
            <w:shd w:val="clear" w:color="000000" w:fill="A1F2FD"/>
            <w:vAlign w:val="center"/>
            <w:hideMark/>
          </w:tcPr>
          <w:p w14:paraId="42DAA6B1" w14:textId="77777777" w:rsidR="003949F3" w:rsidRPr="00B67EB7" w:rsidRDefault="003949F3" w:rsidP="003949F3">
            <w:pPr>
              <w:jc w:val="center"/>
              <w:rPr>
                <w:rFonts w:cs="Arial"/>
                <w:b/>
                <w:bCs/>
                <w:color w:val="000000"/>
                <w:sz w:val="20"/>
                <w:szCs w:val="20"/>
              </w:rPr>
            </w:pPr>
            <w:r w:rsidRPr="00B67EB7">
              <w:rPr>
                <w:rFonts w:cs="Arial"/>
                <w:b/>
                <w:bCs/>
                <w:color w:val="000000"/>
                <w:sz w:val="20"/>
                <w:szCs w:val="20"/>
              </w:rPr>
              <w:t>Aportes</w:t>
            </w:r>
          </w:p>
        </w:tc>
      </w:tr>
      <w:tr w:rsidR="003949F3" w:rsidRPr="00B67EB7" w14:paraId="1FDCAE16" w14:textId="77777777" w:rsidTr="00680792">
        <w:trPr>
          <w:trHeight w:val="284"/>
        </w:trPr>
        <w:tc>
          <w:tcPr>
            <w:tcW w:w="2995" w:type="pct"/>
            <w:tcBorders>
              <w:top w:val="single" w:sz="4" w:space="0" w:color="auto"/>
              <w:left w:val="nil"/>
              <w:bottom w:val="nil"/>
              <w:right w:val="single" w:sz="4" w:space="0" w:color="auto"/>
            </w:tcBorders>
            <w:shd w:val="clear" w:color="auto" w:fill="auto"/>
            <w:vAlign w:val="center"/>
            <w:hideMark/>
          </w:tcPr>
          <w:p w14:paraId="16643B09" w14:textId="77777777" w:rsidR="003949F3" w:rsidRPr="00B67EB7" w:rsidRDefault="003949F3" w:rsidP="003949F3">
            <w:pPr>
              <w:rPr>
                <w:rFonts w:cs="Arial"/>
                <w:color w:val="000000"/>
                <w:sz w:val="20"/>
                <w:szCs w:val="20"/>
              </w:rPr>
            </w:pPr>
            <w:r w:rsidRPr="00B67EB7">
              <w:rPr>
                <w:rFonts w:cs="Arial"/>
                <w:color w:val="000000"/>
                <w:sz w:val="20"/>
                <w:szCs w:val="20"/>
              </w:rPr>
              <w:t xml:space="preserve">        Recursos para Cobertura de Insuficiências Financeiras</w:t>
            </w:r>
          </w:p>
        </w:tc>
        <w:tc>
          <w:tcPr>
            <w:tcW w:w="2005" w:type="pct"/>
            <w:gridSpan w:val="2"/>
            <w:tcBorders>
              <w:top w:val="single" w:sz="4" w:space="0" w:color="auto"/>
              <w:left w:val="single" w:sz="4" w:space="0" w:color="auto"/>
              <w:bottom w:val="nil"/>
              <w:right w:val="nil"/>
            </w:tcBorders>
            <w:shd w:val="clear" w:color="auto" w:fill="auto"/>
            <w:vAlign w:val="center"/>
          </w:tcPr>
          <w:p w14:paraId="1E39862A" w14:textId="122611E3" w:rsidR="003949F3" w:rsidRPr="00B67EB7" w:rsidRDefault="003949F3" w:rsidP="003949F3">
            <w:pPr>
              <w:jc w:val="right"/>
              <w:rPr>
                <w:rFonts w:cs="Arial"/>
                <w:color w:val="000000"/>
                <w:sz w:val="20"/>
                <w:szCs w:val="20"/>
              </w:rPr>
            </w:pPr>
            <w:r w:rsidRPr="001C305A">
              <w:rPr>
                <w:rFonts w:cs="Arial"/>
                <w:color w:val="000000"/>
                <w:sz w:val="18"/>
                <w:szCs w:val="18"/>
              </w:rPr>
              <w:t>3.304.766.138</w:t>
            </w:r>
          </w:p>
        </w:tc>
      </w:tr>
      <w:tr w:rsidR="003949F3" w:rsidRPr="00B67EB7" w14:paraId="46C11EFF" w14:textId="77777777" w:rsidTr="00680792">
        <w:trPr>
          <w:trHeight w:val="284"/>
        </w:trPr>
        <w:tc>
          <w:tcPr>
            <w:tcW w:w="2995" w:type="pct"/>
            <w:tcBorders>
              <w:top w:val="nil"/>
              <w:left w:val="nil"/>
              <w:bottom w:val="single" w:sz="4" w:space="0" w:color="auto"/>
              <w:right w:val="single" w:sz="4" w:space="0" w:color="auto"/>
            </w:tcBorders>
            <w:shd w:val="clear" w:color="auto" w:fill="auto"/>
            <w:vAlign w:val="center"/>
            <w:hideMark/>
          </w:tcPr>
          <w:p w14:paraId="700F37A3" w14:textId="77777777" w:rsidR="003949F3" w:rsidRPr="00B67EB7" w:rsidRDefault="003949F3" w:rsidP="003949F3">
            <w:pPr>
              <w:rPr>
                <w:rFonts w:cs="Arial"/>
                <w:color w:val="000000"/>
                <w:sz w:val="20"/>
                <w:szCs w:val="20"/>
              </w:rPr>
            </w:pPr>
            <w:r w:rsidRPr="00B67EB7">
              <w:rPr>
                <w:rFonts w:cs="Arial"/>
                <w:color w:val="000000"/>
                <w:sz w:val="20"/>
                <w:szCs w:val="20"/>
              </w:rPr>
              <w:t xml:space="preserve">        Recursos para Formação de Reserva</w:t>
            </w:r>
          </w:p>
        </w:tc>
        <w:tc>
          <w:tcPr>
            <w:tcW w:w="2005" w:type="pct"/>
            <w:gridSpan w:val="2"/>
            <w:tcBorders>
              <w:top w:val="nil"/>
              <w:left w:val="single" w:sz="4" w:space="0" w:color="auto"/>
              <w:bottom w:val="single" w:sz="4" w:space="0" w:color="auto"/>
              <w:right w:val="nil"/>
            </w:tcBorders>
            <w:shd w:val="clear" w:color="auto" w:fill="auto"/>
            <w:vAlign w:val="center"/>
            <w:hideMark/>
          </w:tcPr>
          <w:p w14:paraId="12D66A85" w14:textId="77777777" w:rsidR="003949F3" w:rsidRPr="00B67EB7" w:rsidRDefault="003949F3" w:rsidP="003949F3">
            <w:pPr>
              <w:jc w:val="right"/>
              <w:rPr>
                <w:rFonts w:cs="Arial"/>
                <w:color w:val="000000"/>
                <w:sz w:val="20"/>
                <w:szCs w:val="20"/>
              </w:rPr>
            </w:pPr>
            <w:r w:rsidRPr="00B67EB7">
              <w:rPr>
                <w:rFonts w:cs="Arial"/>
                <w:color w:val="000000"/>
                <w:sz w:val="20"/>
                <w:szCs w:val="20"/>
              </w:rPr>
              <w:t>-</w:t>
            </w:r>
          </w:p>
        </w:tc>
      </w:tr>
      <w:tr w:rsidR="003949F3" w:rsidRPr="00B67EB7" w14:paraId="4D2679AA" w14:textId="77777777" w:rsidTr="00680792">
        <w:trPr>
          <w:trHeight w:val="284"/>
        </w:trPr>
        <w:tc>
          <w:tcPr>
            <w:tcW w:w="2995" w:type="pct"/>
            <w:tcBorders>
              <w:top w:val="single" w:sz="4" w:space="0" w:color="auto"/>
              <w:left w:val="nil"/>
              <w:bottom w:val="single" w:sz="4" w:space="0" w:color="auto"/>
              <w:right w:val="single" w:sz="4" w:space="0" w:color="auto"/>
            </w:tcBorders>
            <w:shd w:val="clear" w:color="auto" w:fill="auto"/>
            <w:vAlign w:val="center"/>
            <w:hideMark/>
          </w:tcPr>
          <w:p w14:paraId="79CEFCB1" w14:textId="25D18395" w:rsidR="003949F3" w:rsidRPr="00B67EB7" w:rsidRDefault="003949F3" w:rsidP="003949F3">
            <w:pPr>
              <w:jc w:val="center"/>
              <w:rPr>
                <w:rFonts w:cs="Arial"/>
                <w:b/>
                <w:bCs/>
                <w:color w:val="000000"/>
                <w:sz w:val="20"/>
                <w:szCs w:val="20"/>
              </w:rPr>
            </w:pPr>
            <w:r w:rsidRPr="00C90EC9">
              <w:rPr>
                <w:rFonts w:cs="Arial"/>
                <w:b/>
                <w:bCs/>
                <w:color w:val="000000"/>
                <w:sz w:val="20"/>
                <w:szCs w:val="20"/>
              </w:rPr>
              <w:t>Aportes de Recursos (IV)</w:t>
            </w:r>
          </w:p>
        </w:tc>
        <w:tc>
          <w:tcPr>
            <w:tcW w:w="2005" w:type="pct"/>
            <w:gridSpan w:val="2"/>
            <w:tcBorders>
              <w:top w:val="single" w:sz="4" w:space="0" w:color="auto"/>
              <w:left w:val="single" w:sz="4" w:space="0" w:color="auto"/>
              <w:bottom w:val="single" w:sz="4" w:space="0" w:color="auto"/>
              <w:right w:val="nil"/>
            </w:tcBorders>
            <w:shd w:val="clear" w:color="auto" w:fill="auto"/>
            <w:vAlign w:val="center"/>
            <w:hideMark/>
          </w:tcPr>
          <w:p w14:paraId="14C10D43" w14:textId="5D10FF24" w:rsidR="003949F3" w:rsidRPr="00B67EB7" w:rsidRDefault="003949F3" w:rsidP="003949F3">
            <w:pPr>
              <w:jc w:val="right"/>
              <w:rPr>
                <w:rFonts w:cs="Arial"/>
                <w:b/>
                <w:bCs/>
                <w:color w:val="000000"/>
                <w:sz w:val="20"/>
                <w:szCs w:val="20"/>
              </w:rPr>
            </w:pPr>
            <w:r w:rsidRPr="00B67EB7">
              <w:rPr>
                <w:rFonts w:cs="Arial"/>
                <w:b/>
                <w:bCs/>
                <w:color w:val="000000"/>
                <w:sz w:val="20"/>
                <w:szCs w:val="20"/>
              </w:rPr>
              <w:t>3.304.766.138</w:t>
            </w:r>
          </w:p>
        </w:tc>
      </w:tr>
      <w:tr w:rsidR="003949F3" w:rsidRPr="00B67EB7" w14:paraId="6D095E59" w14:textId="77777777" w:rsidTr="00680792">
        <w:trPr>
          <w:trHeight w:val="284"/>
        </w:trPr>
        <w:tc>
          <w:tcPr>
            <w:tcW w:w="2995" w:type="pct"/>
            <w:tcBorders>
              <w:top w:val="single" w:sz="4" w:space="0" w:color="auto"/>
              <w:left w:val="nil"/>
              <w:bottom w:val="single" w:sz="4" w:space="0" w:color="auto"/>
              <w:right w:val="single" w:sz="4" w:space="0" w:color="auto"/>
            </w:tcBorders>
            <w:shd w:val="clear" w:color="auto" w:fill="auto"/>
            <w:vAlign w:val="center"/>
            <w:hideMark/>
          </w:tcPr>
          <w:p w14:paraId="58163CAF" w14:textId="77777777" w:rsidR="003949F3" w:rsidRPr="00B67EB7" w:rsidRDefault="003949F3" w:rsidP="003949F3">
            <w:pPr>
              <w:jc w:val="right"/>
              <w:rPr>
                <w:rFonts w:cs="Arial"/>
                <w:b/>
                <w:bCs/>
                <w:color w:val="000000"/>
                <w:sz w:val="20"/>
                <w:szCs w:val="20"/>
              </w:rPr>
            </w:pPr>
          </w:p>
        </w:tc>
        <w:tc>
          <w:tcPr>
            <w:tcW w:w="979" w:type="pct"/>
            <w:tcBorders>
              <w:top w:val="single" w:sz="4" w:space="0" w:color="auto"/>
              <w:left w:val="single" w:sz="4" w:space="0" w:color="auto"/>
              <w:bottom w:val="single" w:sz="4" w:space="0" w:color="auto"/>
              <w:right w:val="nil"/>
            </w:tcBorders>
            <w:shd w:val="clear" w:color="auto" w:fill="auto"/>
            <w:vAlign w:val="center"/>
            <w:hideMark/>
          </w:tcPr>
          <w:p w14:paraId="6822DBD1" w14:textId="77777777" w:rsidR="003949F3" w:rsidRPr="00B67EB7" w:rsidRDefault="003949F3" w:rsidP="003949F3">
            <w:pPr>
              <w:jc w:val="center"/>
              <w:rPr>
                <w:rFonts w:cs="Arial"/>
                <w:sz w:val="20"/>
                <w:szCs w:val="20"/>
              </w:rPr>
            </w:pPr>
          </w:p>
        </w:tc>
        <w:tc>
          <w:tcPr>
            <w:tcW w:w="1026" w:type="pct"/>
            <w:tcBorders>
              <w:top w:val="single" w:sz="4" w:space="0" w:color="auto"/>
              <w:left w:val="nil"/>
              <w:bottom w:val="single" w:sz="4" w:space="0" w:color="auto"/>
              <w:right w:val="nil"/>
            </w:tcBorders>
            <w:shd w:val="clear" w:color="auto" w:fill="auto"/>
            <w:vAlign w:val="center"/>
            <w:hideMark/>
          </w:tcPr>
          <w:p w14:paraId="1C57BD64" w14:textId="77777777" w:rsidR="003949F3" w:rsidRPr="00B67EB7" w:rsidRDefault="003949F3" w:rsidP="003949F3">
            <w:pPr>
              <w:jc w:val="right"/>
              <w:rPr>
                <w:rFonts w:cs="Arial"/>
                <w:sz w:val="20"/>
                <w:szCs w:val="20"/>
              </w:rPr>
            </w:pPr>
          </w:p>
        </w:tc>
      </w:tr>
      <w:tr w:rsidR="003949F3" w:rsidRPr="00B67EB7" w14:paraId="129616A2" w14:textId="77777777" w:rsidTr="00680792">
        <w:trPr>
          <w:trHeight w:val="284"/>
        </w:trPr>
        <w:tc>
          <w:tcPr>
            <w:tcW w:w="2995" w:type="pct"/>
            <w:tcBorders>
              <w:top w:val="single" w:sz="4" w:space="0" w:color="auto"/>
              <w:left w:val="nil"/>
              <w:bottom w:val="single" w:sz="4" w:space="0" w:color="auto"/>
              <w:right w:val="single" w:sz="4" w:space="0" w:color="auto"/>
            </w:tcBorders>
            <w:shd w:val="clear" w:color="auto" w:fill="auto"/>
            <w:vAlign w:val="center"/>
            <w:hideMark/>
          </w:tcPr>
          <w:p w14:paraId="1B755EF1" w14:textId="2C5B4855" w:rsidR="003949F3" w:rsidRPr="00B67EB7" w:rsidRDefault="003949F3" w:rsidP="00F52F5F">
            <w:pPr>
              <w:jc w:val="center"/>
              <w:rPr>
                <w:rFonts w:cs="Arial"/>
                <w:b/>
                <w:bCs/>
                <w:color w:val="000000"/>
                <w:sz w:val="20"/>
                <w:szCs w:val="20"/>
              </w:rPr>
            </w:pPr>
            <w:r w:rsidRPr="00C90EC9">
              <w:rPr>
                <w:rFonts w:cs="Arial"/>
                <w:b/>
                <w:bCs/>
                <w:color w:val="000000"/>
                <w:sz w:val="20"/>
                <w:szCs w:val="20"/>
              </w:rPr>
              <w:t>Resultado Previdenciário Após Aportes  (V) = (III+IV)</w:t>
            </w:r>
          </w:p>
        </w:tc>
        <w:tc>
          <w:tcPr>
            <w:tcW w:w="2005" w:type="pct"/>
            <w:gridSpan w:val="2"/>
            <w:tcBorders>
              <w:top w:val="single" w:sz="4" w:space="0" w:color="auto"/>
              <w:left w:val="single" w:sz="4" w:space="0" w:color="auto"/>
              <w:bottom w:val="single" w:sz="4" w:space="0" w:color="auto"/>
              <w:right w:val="nil"/>
            </w:tcBorders>
            <w:shd w:val="clear" w:color="auto" w:fill="auto"/>
            <w:vAlign w:val="center"/>
            <w:hideMark/>
          </w:tcPr>
          <w:p w14:paraId="00C7F887" w14:textId="16F28464" w:rsidR="003949F3" w:rsidRPr="00B67EB7" w:rsidRDefault="003949F3" w:rsidP="003949F3">
            <w:pPr>
              <w:jc w:val="right"/>
              <w:rPr>
                <w:rFonts w:cs="Arial"/>
                <w:b/>
                <w:bCs/>
                <w:sz w:val="20"/>
                <w:szCs w:val="20"/>
              </w:rPr>
            </w:pPr>
            <w:r w:rsidRPr="00B67EB7">
              <w:rPr>
                <w:rFonts w:cs="Arial"/>
                <w:b/>
                <w:bCs/>
                <w:sz w:val="20"/>
                <w:szCs w:val="20"/>
              </w:rPr>
              <w:t>225.300.463</w:t>
            </w:r>
          </w:p>
        </w:tc>
      </w:tr>
      <w:tr w:rsidR="003949F3" w:rsidRPr="00B67EB7" w14:paraId="64DC82DE" w14:textId="77777777" w:rsidTr="00680792">
        <w:trPr>
          <w:trHeight w:val="284"/>
        </w:trPr>
        <w:tc>
          <w:tcPr>
            <w:tcW w:w="2995" w:type="pct"/>
            <w:tcBorders>
              <w:top w:val="single" w:sz="4" w:space="0" w:color="auto"/>
              <w:left w:val="nil"/>
              <w:bottom w:val="single" w:sz="4" w:space="0" w:color="auto"/>
              <w:right w:val="single" w:sz="4" w:space="0" w:color="auto"/>
            </w:tcBorders>
            <w:shd w:val="clear" w:color="auto" w:fill="auto"/>
            <w:vAlign w:val="center"/>
            <w:hideMark/>
          </w:tcPr>
          <w:p w14:paraId="22EEF230" w14:textId="77777777" w:rsidR="003949F3" w:rsidRPr="00B67EB7" w:rsidRDefault="003949F3" w:rsidP="003949F3">
            <w:pPr>
              <w:jc w:val="right"/>
              <w:rPr>
                <w:rFonts w:cs="Arial"/>
                <w:b/>
                <w:bCs/>
                <w:sz w:val="20"/>
                <w:szCs w:val="20"/>
              </w:rPr>
            </w:pPr>
          </w:p>
        </w:tc>
        <w:tc>
          <w:tcPr>
            <w:tcW w:w="979" w:type="pct"/>
            <w:tcBorders>
              <w:top w:val="single" w:sz="4" w:space="0" w:color="auto"/>
              <w:left w:val="single" w:sz="4" w:space="0" w:color="auto"/>
              <w:bottom w:val="single" w:sz="4" w:space="0" w:color="auto"/>
              <w:right w:val="nil"/>
            </w:tcBorders>
            <w:shd w:val="clear" w:color="auto" w:fill="auto"/>
            <w:vAlign w:val="center"/>
            <w:hideMark/>
          </w:tcPr>
          <w:p w14:paraId="43CDD64B" w14:textId="77777777" w:rsidR="003949F3" w:rsidRPr="00B67EB7" w:rsidRDefault="003949F3" w:rsidP="003949F3">
            <w:pPr>
              <w:jc w:val="center"/>
              <w:rPr>
                <w:rFonts w:cs="Arial"/>
                <w:sz w:val="20"/>
                <w:szCs w:val="20"/>
              </w:rPr>
            </w:pPr>
          </w:p>
        </w:tc>
        <w:tc>
          <w:tcPr>
            <w:tcW w:w="1026" w:type="pct"/>
            <w:tcBorders>
              <w:top w:val="single" w:sz="4" w:space="0" w:color="auto"/>
              <w:left w:val="nil"/>
              <w:bottom w:val="single" w:sz="4" w:space="0" w:color="auto"/>
              <w:right w:val="nil"/>
            </w:tcBorders>
            <w:shd w:val="clear" w:color="auto" w:fill="auto"/>
            <w:vAlign w:val="center"/>
            <w:hideMark/>
          </w:tcPr>
          <w:p w14:paraId="4AA2DBF1" w14:textId="77777777" w:rsidR="003949F3" w:rsidRPr="00B67EB7" w:rsidRDefault="003949F3" w:rsidP="003949F3">
            <w:pPr>
              <w:jc w:val="right"/>
              <w:rPr>
                <w:rFonts w:cs="Arial"/>
                <w:sz w:val="20"/>
                <w:szCs w:val="20"/>
              </w:rPr>
            </w:pPr>
          </w:p>
        </w:tc>
      </w:tr>
      <w:tr w:rsidR="003949F3" w:rsidRPr="00B67EB7" w14:paraId="70E3422C" w14:textId="77777777" w:rsidTr="00680792">
        <w:trPr>
          <w:trHeight w:val="284"/>
        </w:trPr>
        <w:tc>
          <w:tcPr>
            <w:tcW w:w="2995" w:type="pct"/>
            <w:tcBorders>
              <w:top w:val="single" w:sz="4" w:space="0" w:color="auto"/>
              <w:left w:val="nil"/>
              <w:bottom w:val="single" w:sz="4" w:space="0" w:color="auto"/>
              <w:right w:val="single" w:sz="4" w:space="0" w:color="auto"/>
            </w:tcBorders>
            <w:shd w:val="clear" w:color="000000" w:fill="A1F2FD"/>
            <w:vAlign w:val="center"/>
            <w:hideMark/>
          </w:tcPr>
          <w:p w14:paraId="7A956213" w14:textId="0E2003B5" w:rsidR="003949F3" w:rsidRPr="00B67EB7" w:rsidRDefault="003949F3" w:rsidP="003949F3">
            <w:pPr>
              <w:jc w:val="center"/>
              <w:rPr>
                <w:rFonts w:cs="Arial"/>
                <w:b/>
                <w:bCs/>
                <w:color w:val="000000"/>
                <w:sz w:val="20"/>
                <w:szCs w:val="20"/>
              </w:rPr>
            </w:pPr>
            <w:r w:rsidRPr="00B67EB7">
              <w:rPr>
                <w:rFonts w:cs="Arial"/>
                <w:b/>
                <w:bCs/>
                <w:color w:val="000000"/>
                <w:sz w:val="20"/>
                <w:szCs w:val="20"/>
              </w:rPr>
              <w:t>Bens e Direitos</w:t>
            </w:r>
          </w:p>
        </w:tc>
        <w:tc>
          <w:tcPr>
            <w:tcW w:w="2005" w:type="pct"/>
            <w:gridSpan w:val="2"/>
            <w:tcBorders>
              <w:top w:val="single" w:sz="4" w:space="0" w:color="auto"/>
              <w:left w:val="single" w:sz="4" w:space="0" w:color="auto"/>
              <w:bottom w:val="single" w:sz="4" w:space="0" w:color="auto"/>
              <w:right w:val="nil"/>
            </w:tcBorders>
            <w:shd w:val="clear" w:color="000000" w:fill="A1F2FD"/>
            <w:vAlign w:val="center"/>
            <w:hideMark/>
          </w:tcPr>
          <w:p w14:paraId="4FE07487" w14:textId="77777777" w:rsidR="003949F3" w:rsidRPr="00B67EB7" w:rsidRDefault="003949F3" w:rsidP="003949F3">
            <w:pPr>
              <w:jc w:val="center"/>
              <w:rPr>
                <w:rFonts w:cs="Arial"/>
                <w:b/>
                <w:bCs/>
                <w:color w:val="000000"/>
                <w:sz w:val="20"/>
                <w:szCs w:val="20"/>
              </w:rPr>
            </w:pPr>
            <w:r w:rsidRPr="00B67EB7">
              <w:rPr>
                <w:rFonts w:cs="Arial"/>
                <w:b/>
                <w:bCs/>
                <w:color w:val="000000"/>
                <w:sz w:val="20"/>
                <w:szCs w:val="20"/>
              </w:rPr>
              <w:t>Saldo Atual</w:t>
            </w:r>
          </w:p>
        </w:tc>
      </w:tr>
      <w:tr w:rsidR="003949F3" w:rsidRPr="00B67EB7" w14:paraId="225080E7" w14:textId="77777777" w:rsidTr="00680792">
        <w:trPr>
          <w:trHeight w:val="284"/>
        </w:trPr>
        <w:tc>
          <w:tcPr>
            <w:tcW w:w="2995" w:type="pct"/>
            <w:tcBorders>
              <w:top w:val="single" w:sz="4" w:space="0" w:color="auto"/>
              <w:left w:val="nil"/>
              <w:bottom w:val="nil"/>
              <w:right w:val="single" w:sz="4" w:space="0" w:color="auto"/>
            </w:tcBorders>
            <w:shd w:val="clear" w:color="auto" w:fill="auto"/>
            <w:vAlign w:val="center"/>
            <w:hideMark/>
          </w:tcPr>
          <w:p w14:paraId="596E77BC" w14:textId="77777777" w:rsidR="003949F3" w:rsidRPr="00B67EB7" w:rsidRDefault="003949F3" w:rsidP="003949F3">
            <w:pPr>
              <w:rPr>
                <w:rFonts w:cs="Arial"/>
                <w:color w:val="000000"/>
                <w:sz w:val="20"/>
                <w:szCs w:val="20"/>
              </w:rPr>
            </w:pPr>
            <w:r w:rsidRPr="00B67EB7">
              <w:rPr>
                <w:rFonts w:cs="Arial"/>
                <w:color w:val="000000"/>
                <w:sz w:val="20"/>
                <w:szCs w:val="20"/>
              </w:rPr>
              <w:t>Caixa e Equivalentes de Caixa</w:t>
            </w:r>
          </w:p>
        </w:tc>
        <w:tc>
          <w:tcPr>
            <w:tcW w:w="2005" w:type="pct"/>
            <w:gridSpan w:val="2"/>
            <w:tcBorders>
              <w:top w:val="single" w:sz="4" w:space="0" w:color="auto"/>
              <w:left w:val="single" w:sz="4" w:space="0" w:color="auto"/>
              <w:bottom w:val="nil"/>
              <w:right w:val="nil"/>
            </w:tcBorders>
            <w:shd w:val="clear" w:color="auto" w:fill="auto"/>
            <w:vAlign w:val="center"/>
            <w:hideMark/>
          </w:tcPr>
          <w:p w14:paraId="7DF45AE8" w14:textId="1C56F56A" w:rsidR="003949F3" w:rsidRPr="00B67EB7" w:rsidRDefault="003949F3" w:rsidP="003949F3">
            <w:pPr>
              <w:jc w:val="right"/>
              <w:rPr>
                <w:rFonts w:cs="Arial"/>
                <w:color w:val="000000"/>
                <w:sz w:val="20"/>
                <w:szCs w:val="20"/>
              </w:rPr>
            </w:pPr>
            <w:r w:rsidRPr="00B67EB7">
              <w:rPr>
                <w:rFonts w:cs="Arial"/>
                <w:color w:val="000000"/>
                <w:sz w:val="20"/>
                <w:szCs w:val="20"/>
              </w:rPr>
              <w:t>155.590.35</w:t>
            </w:r>
            <w:r>
              <w:rPr>
                <w:rFonts w:cs="Arial"/>
                <w:color w:val="000000"/>
                <w:sz w:val="20"/>
                <w:szCs w:val="20"/>
              </w:rPr>
              <w:t>1</w:t>
            </w:r>
          </w:p>
        </w:tc>
      </w:tr>
      <w:tr w:rsidR="003949F3" w:rsidRPr="00B67EB7" w14:paraId="7D80CBFC" w14:textId="77777777" w:rsidTr="00680792">
        <w:trPr>
          <w:trHeight w:val="284"/>
        </w:trPr>
        <w:tc>
          <w:tcPr>
            <w:tcW w:w="2995" w:type="pct"/>
            <w:tcBorders>
              <w:top w:val="nil"/>
              <w:left w:val="nil"/>
              <w:right w:val="single" w:sz="4" w:space="0" w:color="auto"/>
            </w:tcBorders>
            <w:shd w:val="clear" w:color="auto" w:fill="auto"/>
            <w:vAlign w:val="center"/>
            <w:hideMark/>
          </w:tcPr>
          <w:p w14:paraId="056DD2E5" w14:textId="77777777" w:rsidR="003949F3" w:rsidRPr="00B67EB7" w:rsidRDefault="003949F3" w:rsidP="003949F3">
            <w:pPr>
              <w:rPr>
                <w:rFonts w:cs="Arial"/>
                <w:color w:val="000000"/>
                <w:sz w:val="20"/>
                <w:szCs w:val="20"/>
              </w:rPr>
            </w:pPr>
            <w:r w:rsidRPr="00B67EB7">
              <w:rPr>
                <w:rFonts w:cs="Arial"/>
                <w:color w:val="000000"/>
                <w:sz w:val="20"/>
                <w:szCs w:val="20"/>
              </w:rPr>
              <w:t>Investimentos e Aplicações</w:t>
            </w:r>
          </w:p>
        </w:tc>
        <w:tc>
          <w:tcPr>
            <w:tcW w:w="2005" w:type="pct"/>
            <w:gridSpan w:val="2"/>
            <w:tcBorders>
              <w:top w:val="nil"/>
              <w:left w:val="single" w:sz="4" w:space="0" w:color="auto"/>
              <w:right w:val="nil"/>
            </w:tcBorders>
            <w:shd w:val="clear" w:color="auto" w:fill="auto"/>
            <w:vAlign w:val="center"/>
            <w:hideMark/>
          </w:tcPr>
          <w:p w14:paraId="61405EC6" w14:textId="77777777" w:rsidR="003949F3" w:rsidRPr="00B67EB7" w:rsidRDefault="003949F3" w:rsidP="003949F3">
            <w:pPr>
              <w:jc w:val="right"/>
              <w:rPr>
                <w:rFonts w:cs="Arial"/>
                <w:color w:val="000000"/>
                <w:sz w:val="20"/>
                <w:szCs w:val="20"/>
              </w:rPr>
            </w:pPr>
            <w:r w:rsidRPr="00B67EB7">
              <w:rPr>
                <w:rFonts w:cs="Arial"/>
                <w:color w:val="000000"/>
                <w:sz w:val="20"/>
                <w:szCs w:val="20"/>
              </w:rPr>
              <w:t>-</w:t>
            </w:r>
          </w:p>
        </w:tc>
      </w:tr>
      <w:tr w:rsidR="003949F3" w:rsidRPr="00B67EB7" w14:paraId="297035A4" w14:textId="77777777" w:rsidTr="00680792">
        <w:trPr>
          <w:trHeight w:val="284"/>
        </w:trPr>
        <w:tc>
          <w:tcPr>
            <w:tcW w:w="2995" w:type="pct"/>
            <w:tcBorders>
              <w:top w:val="nil"/>
              <w:left w:val="nil"/>
              <w:bottom w:val="single" w:sz="4" w:space="0" w:color="auto"/>
              <w:right w:val="single" w:sz="4" w:space="0" w:color="auto"/>
            </w:tcBorders>
            <w:shd w:val="clear" w:color="auto" w:fill="auto"/>
            <w:vAlign w:val="center"/>
            <w:hideMark/>
          </w:tcPr>
          <w:p w14:paraId="511E7EA1" w14:textId="77777777" w:rsidR="003949F3" w:rsidRPr="00B67EB7" w:rsidRDefault="003949F3" w:rsidP="003949F3">
            <w:pPr>
              <w:rPr>
                <w:rFonts w:cs="Arial"/>
                <w:color w:val="000000"/>
                <w:sz w:val="20"/>
                <w:szCs w:val="20"/>
              </w:rPr>
            </w:pPr>
            <w:r w:rsidRPr="00B67EB7">
              <w:rPr>
                <w:rFonts w:cs="Arial"/>
                <w:color w:val="000000"/>
                <w:sz w:val="20"/>
                <w:szCs w:val="20"/>
              </w:rPr>
              <w:t>Outros Bens e Direitos</w:t>
            </w:r>
          </w:p>
        </w:tc>
        <w:tc>
          <w:tcPr>
            <w:tcW w:w="2005" w:type="pct"/>
            <w:gridSpan w:val="2"/>
            <w:tcBorders>
              <w:top w:val="nil"/>
              <w:left w:val="single" w:sz="4" w:space="0" w:color="auto"/>
              <w:bottom w:val="single" w:sz="4" w:space="0" w:color="auto"/>
              <w:right w:val="nil"/>
            </w:tcBorders>
            <w:shd w:val="clear" w:color="auto" w:fill="auto"/>
            <w:vAlign w:val="center"/>
            <w:hideMark/>
          </w:tcPr>
          <w:p w14:paraId="19ECB88A" w14:textId="6AF1AF7D" w:rsidR="003949F3" w:rsidRPr="00B67EB7" w:rsidRDefault="003949F3" w:rsidP="003949F3">
            <w:pPr>
              <w:jc w:val="right"/>
              <w:rPr>
                <w:rFonts w:cs="Arial"/>
                <w:color w:val="000000"/>
                <w:sz w:val="20"/>
                <w:szCs w:val="20"/>
              </w:rPr>
            </w:pPr>
            <w:r w:rsidRPr="00B67EB7">
              <w:rPr>
                <w:rFonts w:cs="Arial"/>
                <w:color w:val="000000"/>
                <w:sz w:val="20"/>
                <w:szCs w:val="20"/>
              </w:rPr>
              <w:t>114.950.748.73</w:t>
            </w:r>
            <w:r>
              <w:rPr>
                <w:rFonts w:cs="Arial"/>
                <w:color w:val="000000"/>
                <w:sz w:val="20"/>
                <w:szCs w:val="20"/>
              </w:rPr>
              <w:t>9</w:t>
            </w:r>
          </w:p>
        </w:tc>
      </w:tr>
    </w:tbl>
    <w:p w14:paraId="50C68E33" w14:textId="77777777" w:rsidR="00B67EB7" w:rsidRPr="00066BF7" w:rsidRDefault="00B67EB7" w:rsidP="00B67EB7">
      <w:pPr>
        <w:pStyle w:val="1-FONTE8ESQ"/>
      </w:pPr>
      <w:r w:rsidRPr="00066BF7">
        <w:t>Fonte: Anexo 4 - Demonstrativo das Receitas e Despesas Previdenciárias do Regime Próprio de Previdência dos Servidores</w:t>
      </w:r>
      <w:r>
        <w:t xml:space="preserve"> - RREO</w:t>
      </w:r>
      <w:r w:rsidRPr="00066BF7">
        <w:t xml:space="preserve"> 6º Bimestre de 2023</w:t>
      </w:r>
    </w:p>
    <w:p w14:paraId="6C4A0827" w14:textId="77777777" w:rsidR="00B67EB7" w:rsidRPr="0039338D" w:rsidRDefault="00B67EB7" w:rsidP="00B67EB7">
      <w:pPr>
        <w:pStyle w:val="1-REL11"/>
      </w:pPr>
      <w:r w:rsidRPr="001C305A">
        <w:t xml:space="preserve">O resultado apresentado mostra um desequilíbrio entre as receitas e despesas previdenciárias no estado de Goiás de aproximadamente R$ 3,07 bilhões. Após aportes do Tesouro Estadual, o resultado </w:t>
      </w:r>
      <w:r w:rsidRPr="0039338D">
        <w:t>previdenciário foi de R$ 225,30 milhões.</w:t>
      </w:r>
    </w:p>
    <w:p w14:paraId="6F27A0E6" w14:textId="77777777" w:rsidR="00B67EB7" w:rsidRPr="0039338D" w:rsidRDefault="00B67EB7" w:rsidP="00B67EB7">
      <w:pPr>
        <w:pStyle w:val="1-REL11"/>
      </w:pPr>
      <w:r w:rsidRPr="0039338D">
        <w:t>Destaca-se que dos aportes efetuados, R$ 323,06 milhões são oriundos dos outros Poderes e Órgãos Autônomos, e o saldo remanescente do Tesouro Estadual. Além disso, foram utilizados R$ 564,10 milhões dos recursos advindos da venda da Celg-T.</w:t>
      </w:r>
      <w:r>
        <w:t xml:space="preserve"> </w:t>
      </w:r>
      <w:r w:rsidRPr="0039338D">
        <w:t>É importante enfatizar que a partir do exercício financeiro de 2024 não haverá recursos extras desta fonte para pagamentos de servidores inativos e pensionistas. Em consulta ao Siofi-Net, observou-se que houveram aportes de R$ 1,13 bilhão efetuados pelo Tesouro Estadual nos três primeiros meses de 2024.</w:t>
      </w:r>
    </w:p>
    <w:p w14:paraId="5E548493" w14:textId="77777777" w:rsidR="00B67EB7" w:rsidRPr="001C305A" w:rsidRDefault="00B67EB7" w:rsidP="00B67EB7">
      <w:pPr>
        <w:pStyle w:val="1-REL11"/>
      </w:pPr>
      <w:r w:rsidRPr="0039338D">
        <w:t>Dentre os recursos para cobertura de insuficiências financeiras de R$ 3,30 bilhões, observa-se que R$ 15,85 milhões estão relacionados a acerto contábil</w:t>
      </w:r>
      <w:r w:rsidRPr="001C305A">
        <w:t xml:space="preserve"> da conta 4.5.1.1.2.01.00.00.00, UO 1780 – Fundo Financeiro.</w:t>
      </w:r>
    </w:p>
    <w:p w14:paraId="6B6EE054" w14:textId="77777777" w:rsidR="00B67EB7" w:rsidRPr="001C305A" w:rsidRDefault="00B67EB7" w:rsidP="00B67EB7">
      <w:pPr>
        <w:pStyle w:val="1-REL11"/>
      </w:pPr>
      <w:r w:rsidRPr="001C305A">
        <w:t xml:space="preserve">Com o objetivo de esclarecer a </w:t>
      </w:r>
      <w:r>
        <w:t>natureza</w:t>
      </w:r>
      <w:r w:rsidRPr="001C305A">
        <w:t xml:space="preserve"> desse lançamento, foram solicitados por meio do Oficio nº 799/24 – SERV-PUBLICA deste Tribunal de Contas </w:t>
      </w:r>
      <w:r>
        <w:t>(</w:t>
      </w:r>
      <w:r w:rsidRPr="001C305A">
        <w:t>processo nº</w:t>
      </w:r>
      <w:r>
        <w:t> </w:t>
      </w:r>
      <w:r w:rsidRPr="001C305A">
        <w:t>202300047001912</w:t>
      </w:r>
      <w:r>
        <w:t>)</w:t>
      </w:r>
      <w:r w:rsidRPr="001C305A">
        <w:t xml:space="preserve">, o </w:t>
      </w:r>
      <w:r w:rsidRPr="001C305A">
        <w:lastRenderedPageBreak/>
        <w:t>detalhamento sobre esses registros contábeis. Assim a ECONOMIA elaborou a Nota Técnica nº 5/2</w:t>
      </w:r>
      <w:r>
        <w:t>02</w:t>
      </w:r>
      <w:r w:rsidRPr="001C305A">
        <w:t>4</w:t>
      </w:r>
      <w:r>
        <w:t>-ECONOMIA/SCC-15698</w:t>
      </w:r>
      <w:r w:rsidRPr="001C305A">
        <w:t xml:space="preserve"> esclarecendo o funcionamento do registro contábil.</w:t>
      </w:r>
    </w:p>
    <w:p w14:paraId="17A0EA0F" w14:textId="77777777" w:rsidR="00B67EB7" w:rsidRPr="009B0125" w:rsidRDefault="00B67EB7" w:rsidP="00B67EB7">
      <w:pPr>
        <w:pStyle w:val="1-REL11"/>
      </w:pPr>
      <w:r w:rsidRPr="001C305A">
        <w:t>As explicações ocorreram entre os itens 11</w:t>
      </w:r>
      <w:r>
        <w:t xml:space="preserve"> a </w:t>
      </w:r>
      <w:r w:rsidRPr="001C305A">
        <w:t>16, e os dados, bem como as informações trazidas pela Nota Técnica nº 5/</w:t>
      </w:r>
      <w:r>
        <w:t>20</w:t>
      </w:r>
      <w:r w:rsidRPr="001C305A">
        <w:t>24</w:t>
      </w:r>
      <w:r>
        <w:t>-ECONOMIA/SCC-15698</w:t>
      </w:r>
      <w:r w:rsidRPr="001C305A">
        <w:t xml:space="preserve"> mostram que fo</w:t>
      </w:r>
      <w:r>
        <w:t>i</w:t>
      </w:r>
      <w:r w:rsidRPr="001C305A">
        <w:t xml:space="preserve"> utilizada a conta contábil 4.5.1.3.2.01.01.00.00 para registros da insuficiência financeiras oriundos dos </w:t>
      </w:r>
      <w:r>
        <w:t>O</w:t>
      </w:r>
      <w:r w:rsidRPr="001C305A">
        <w:t>utros Poderes e Órgãos</w:t>
      </w:r>
      <w:r>
        <w:t xml:space="preserve"> Autônomos</w:t>
      </w:r>
      <w:r w:rsidRPr="001C305A">
        <w:t xml:space="preserve">, bem como </w:t>
      </w:r>
      <w:r>
        <w:t>d</w:t>
      </w:r>
      <w:r w:rsidRPr="001C305A">
        <w:t xml:space="preserve">o Tesouro </w:t>
      </w:r>
      <w:r w:rsidRPr="009B0125">
        <w:t>Estadual. Quanto aos recursos repassados pelo Tesouro Estadual para pagamentos das demandas judiciais (RPVs), foi utilizada a conta contábil 4.5.1.1.2.01.00.00.00 (cota recebida)</w:t>
      </w:r>
      <w:r>
        <w:t>, deixando a informação menos transparente. O achado será tratado em conjunto no item do Sistema de Proteção dos Militares, por apresentarem exatamente do mesmo achado.</w:t>
      </w:r>
    </w:p>
    <w:p w14:paraId="133FF886" w14:textId="77777777" w:rsidR="00B67EB7" w:rsidRPr="0057029A" w:rsidRDefault="00B67EB7" w:rsidP="00A224E9">
      <w:pPr>
        <w:pStyle w:val="Ttulo3"/>
      </w:pPr>
      <w:bookmarkStart w:id="171" w:name="_Toc167871670"/>
      <w:r w:rsidRPr="009B0125">
        <w:t>Taxa de Administração</w:t>
      </w:r>
      <w:bookmarkEnd w:id="171"/>
    </w:p>
    <w:p w14:paraId="182DF391" w14:textId="77777777" w:rsidR="00B67EB7" w:rsidRPr="009B0125" w:rsidRDefault="00B67EB7" w:rsidP="00B67EB7">
      <w:pPr>
        <w:pStyle w:val="1-REL11"/>
      </w:pPr>
      <w:r w:rsidRPr="009B0125">
        <w:t>A taxa de administração no percentual de 1,50% incidente sobre o somatório da remuneração de contribuição de todos os servidores civis e militares ativos vinculados ao RPPS e ao SPSM é regulamentada pelo art. 20 da Lei Complementar Estadual nº 66</w:t>
      </w:r>
      <w:r>
        <w:t>, de 27 de janeiro de 20</w:t>
      </w:r>
      <w:r w:rsidRPr="009B0125">
        <w:t>09. Consta a seguir as receitas e despesas vinculadas à taxa de administração:</w:t>
      </w:r>
    </w:p>
    <w:p w14:paraId="35E5AEB5" w14:textId="523B11CC" w:rsidR="00B67EB7" w:rsidRPr="009B0125" w:rsidRDefault="00B67EB7" w:rsidP="00ED3571">
      <w:pPr>
        <w:pStyle w:val="0-TABELA"/>
        <w:rPr>
          <w:b/>
        </w:rPr>
      </w:pPr>
      <w:bookmarkStart w:id="172" w:name="_Toc167871763"/>
      <w:r w:rsidRPr="009B0125">
        <w:t>Taxa de Administração</w:t>
      </w:r>
      <w:bookmarkEnd w:id="172"/>
    </w:p>
    <w:p w14:paraId="476C35F6" w14:textId="77777777" w:rsidR="00B67EB7" w:rsidRPr="009B0125" w:rsidRDefault="00B67EB7" w:rsidP="00B67EB7">
      <w:pPr>
        <w:jc w:val="right"/>
        <w:rPr>
          <w:rFonts w:eastAsia="Arial" w:cs="Arial"/>
          <w:color w:val="000000"/>
          <w:sz w:val="16"/>
          <w:szCs w:val="16"/>
        </w:rPr>
      </w:pPr>
      <w:r w:rsidRPr="009B0125">
        <w:rPr>
          <w:rFonts w:eastAsia="Arial" w:cs="Arial"/>
          <w:color w:val="000000"/>
          <w:sz w:val="16"/>
          <w:szCs w:val="16"/>
        </w:rPr>
        <w:t>R$</w:t>
      </w:r>
      <w:r>
        <w:rPr>
          <w:rFonts w:eastAsia="Arial" w:cs="Arial"/>
          <w:color w:val="000000"/>
          <w:sz w:val="16"/>
          <w:szCs w:val="16"/>
        </w:rPr>
        <w:t xml:space="preserve"> 1</w:t>
      </w:r>
      <w:r w:rsidRPr="009B0125">
        <w:rPr>
          <w:rFonts w:eastAsia="Arial" w:cs="Arial"/>
          <w:color w:val="000000"/>
          <w:sz w:val="16"/>
          <w:szCs w:val="16"/>
        </w:rPr>
        <w:t xml:space="preserve"> </w:t>
      </w:r>
    </w:p>
    <w:tbl>
      <w:tblPr>
        <w:tblW w:w="5000" w:type="pct"/>
        <w:tblCellMar>
          <w:left w:w="70" w:type="dxa"/>
          <w:right w:w="70" w:type="dxa"/>
        </w:tblCellMar>
        <w:tblLook w:val="04A0" w:firstRow="1" w:lastRow="0" w:firstColumn="1" w:lastColumn="0" w:noHBand="0" w:noVBand="1"/>
      </w:tblPr>
      <w:tblGrid>
        <w:gridCol w:w="5524"/>
        <w:gridCol w:w="1743"/>
        <w:gridCol w:w="2086"/>
      </w:tblGrid>
      <w:tr w:rsidR="00B67EB7" w:rsidRPr="00010CF3" w14:paraId="2934D428" w14:textId="77777777" w:rsidTr="00680792">
        <w:trPr>
          <w:trHeight w:val="340"/>
        </w:trPr>
        <w:tc>
          <w:tcPr>
            <w:tcW w:w="2953" w:type="pct"/>
            <w:tcBorders>
              <w:top w:val="single" w:sz="4" w:space="0" w:color="auto"/>
              <w:left w:val="nil"/>
              <w:bottom w:val="single" w:sz="4" w:space="0" w:color="auto"/>
              <w:right w:val="single" w:sz="4" w:space="0" w:color="auto"/>
            </w:tcBorders>
            <w:shd w:val="clear" w:color="000000" w:fill="A1F2FD"/>
            <w:vAlign w:val="center"/>
            <w:hideMark/>
          </w:tcPr>
          <w:p w14:paraId="1D5F00E6" w14:textId="00D1BFB6" w:rsidR="00B67EB7" w:rsidRPr="00010CF3" w:rsidRDefault="00B67EB7" w:rsidP="00B67EB7">
            <w:pPr>
              <w:jc w:val="center"/>
              <w:rPr>
                <w:rFonts w:cs="Arial"/>
                <w:b/>
                <w:bCs/>
                <w:color w:val="000000"/>
                <w:sz w:val="20"/>
                <w:szCs w:val="20"/>
              </w:rPr>
            </w:pPr>
            <w:r w:rsidRPr="00010CF3">
              <w:rPr>
                <w:rFonts w:cs="Arial"/>
                <w:b/>
                <w:bCs/>
                <w:color w:val="000000"/>
                <w:sz w:val="20"/>
                <w:szCs w:val="20"/>
              </w:rPr>
              <w:t>Receitas de Administração</w:t>
            </w:r>
          </w:p>
        </w:tc>
        <w:tc>
          <w:tcPr>
            <w:tcW w:w="932" w:type="pct"/>
            <w:tcBorders>
              <w:top w:val="single" w:sz="4" w:space="0" w:color="auto"/>
              <w:left w:val="single" w:sz="4" w:space="0" w:color="auto"/>
              <w:bottom w:val="single" w:sz="4" w:space="0" w:color="auto"/>
              <w:right w:val="single" w:sz="4" w:space="0" w:color="auto"/>
            </w:tcBorders>
            <w:shd w:val="clear" w:color="000000" w:fill="A1F2FD"/>
            <w:vAlign w:val="center"/>
            <w:hideMark/>
          </w:tcPr>
          <w:p w14:paraId="60B24BEC" w14:textId="77777777" w:rsidR="00B67EB7" w:rsidRPr="00010CF3" w:rsidRDefault="00B67EB7" w:rsidP="00B67EB7">
            <w:pPr>
              <w:jc w:val="center"/>
              <w:rPr>
                <w:rFonts w:cs="Arial"/>
                <w:b/>
                <w:bCs/>
                <w:color w:val="000000"/>
                <w:sz w:val="20"/>
                <w:szCs w:val="20"/>
              </w:rPr>
            </w:pPr>
            <w:r w:rsidRPr="00010CF3">
              <w:rPr>
                <w:rFonts w:cs="Arial"/>
                <w:b/>
                <w:bCs/>
                <w:color w:val="000000"/>
                <w:sz w:val="20"/>
                <w:szCs w:val="20"/>
              </w:rPr>
              <w:t>Previsão Atualizada</w:t>
            </w:r>
          </w:p>
        </w:tc>
        <w:tc>
          <w:tcPr>
            <w:tcW w:w="1115" w:type="pct"/>
            <w:tcBorders>
              <w:top w:val="single" w:sz="4" w:space="0" w:color="auto"/>
              <w:left w:val="single" w:sz="4" w:space="0" w:color="auto"/>
              <w:bottom w:val="single" w:sz="4" w:space="0" w:color="auto"/>
              <w:right w:val="nil"/>
            </w:tcBorders>
            <w:shd w:val="clear" w:color="000000" w:fill="A1F2FD"/>
            <w:vAlign w:val="center"/>
            <w:hideMark/>
          </w:tcPr>
          <w:p w14:paraId="33178ACE" w14:textId="77777777" w:rsidR="00B67EB7" w:rsidRPr="00010CF3" w:rsidRDefault="00B67EB7" w:rsidP="00B67EB7">
            <w:pPr>
              <w:jc w:val="center"/>
              <w:rPr>
                <w:rFonts w:cs="Arial"/>
                <w:b/>
                <w:bCs/>
                <w:color w:val="000000"/>
                <w:sz w:val="20"/>
                <w:szCs w:val="20"/>
              </w:rPr>
            </w:pPr>
            <w:r w:rsidRPr="00010CF3">
              <w:rPr>
                <w:rFonts w:cs="Arial"/>
                <w:b/>
                <w:bCs/>
                <w:color w:val="000000"/>
                <w:sz w:val="20"/>
                <w:szCs w:val="20"/>
              </w:rPr>
              <w:t>Receitas Realizadas</w:t>
            </w:r>
          </w:p>
        </w:tc>
      </w:tr>
      <w:tr w:rsidR="00B67EB7" w:rsidRPr="00010CF3" w14:paraId="2BED3FD6" w14:textId="77777777" w:rsidTr="00680792">
        <w:trPr>
          <w:trHeight w:val="593"/>
        </w:trPr>
        <w:tc>
          <w:tcPr>
            <w:tcW w:w="2953" w:type="pct"/>
            <w:tcBorders>
              <w:top w:val="single" w:sz="4" w:space="0" w:color="auto"/>
              <w:left w:val="nil"/>
              <w:bottom w:val="single" w:sz="4" w:space="0" w:color="auto"/>
              <w:right w:val="single" w:sz="4" w:space="0" w:color="auto"/>
            </w:tcBorders>
            <w:shd w:val="clear" w:color="auto" w:fill="auto"/>
            <w:vAlign w:val="center"/>
            <w:hideMark/>
          </w:tcPr>
          <w:p w14:paraId="6ABBDBC5" w14:textId="77777777" w:rsidR="00B67EB7" w:rsidRPr="00010CF3" w:rsidRDefault="00B67EB7" w:rsidP="00B67EB7">
            <w:pPr>
              <w:rPr>
                <w:rFonts w:cs="Arial"/>
                <w:color w:val="000000"/>
                <w:sz w:val="20"/>
                <w:szCs w:val="20"/>
              </w:rPr>
            </w:pPr>
            <w:r w:rsidRPr="00010CF3">
              <w:rPr>
                <w:rFonts w:cs="Arial"/>
                <w:color w:val="000000"/>
                <w:sz w:val="20"/>
                <w:szCs w:val="20"/>
              </w:rPr>
              <w:t>Receitas Correntes</w:t>
            </w:r>
          </w:p>
        </w:tc>
        <w:tc>
          <w:tcPr>
            <w:tcW w:w="93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EAFB38" w14:textId="45D50156" w:rsidR="00B67EB7" w:rsidRPr="00010CF3" w:rsidRDefault="00B67EB7" w:rsidP="00B67EB7">
            <w:pPr>
              <w:jc w:val="right"/>
              <w:rPr>
                <w:rFonts w:cs="Arial"/>
                <w:color w:val="000000"/>
                <w:sz w:val="20"/>
                <w:szCs w:val="20"/>
              </w:rPr>
            </w:pPr>
            <w:r w:rsidRPr="00010CF3">
              <w:rPr>
                <w:rFonts w:cs="Arial"/>
                <w:color w:val="000000"/>
                <w:sz w:val="20"/>
                <w:szCs w:val="20"/>
              </w:rPr>
              <w:t>111.331.000</w:t>
            </w:r>
          </w:p>
        </w:tc>
        <w:tc>
          <w:tcPr>
            <w:tcW w:w="1115" w:type="pct"/>
            <w:tcBorders>
              <w:top w:val="single" w:sz="4" w:space="0" w:color="auto"/>
              <w:left w:val="single" w:sz="4" w:space="0" w:color="auto"/>
              <w:bottom w:val="single" w:sz="4" w:space="0" w:color="auto"/>
              <w:right w:val="nil"/>
            </w:tcBorders>
            <w:shd w:val="clear" w:color="auto" w:fill="auto"/>
            <w:vAlign w:val="center"/>
            <w:hideMark/>
          </w:tcPr>
          <w:p w14:paraId="28B46757" w14:textId="2D1F094C" w:rsidR="00B67EB7" w:rsidRPr="00010CF3" w:rsidRDefault="00B67EB7" w:rsidP="00B67EB7">
            <w:pPr>
              <w:jc w:val="right"/>
              <w:rPr>
                <w:rFonts w:cs="Arial"/>
                <w:color w:val="000000"/>
                <w:sz w:val="20"/>
                <w:szCs w:val="20"/>
              </w:rPr>
            </w:pPr>
            <w:r w:rsidRPr="00010CF3">
              <w:rPr>
                <w:rFonts w:cs="Arial"/>
                <w:color w:val="000000"/>
                <w:sz w:val="20"/>
                <w:szCs w:val="20"/>
              </w:rPr>
              <w:t>116.448.01</w:t>
            </w:r>
            <w:r w:rsidR="003949F3" w:rsidRPr="00010CF3">
              <w:rPr>
                <w:rFonts w:cs="Arial"/>
                <w:color w:val="000000"/>
                <w:sz w:val="20"/>
                <w:szCs w:val="20"/>
              </w:rPr>
              <w:t>7</w:t>
            </w:r>
          </w:p>
        </w:tc>
      </w:tr>
      <w:tr w:rsidR="003949F3" w:rsidRPr="00010CF3" w14:paraId="655D053D" w14:textId="77777777" w:rsidTr="00680792">
        <w:trPr>
          <w:trHeight w:val="340"/>
        </w:trPr>
        <w:tc>
          <w:tcPr>
            <w:tcW w:w="2953" w:type="pct"/>
            <w:tcBorders>
              <w:top w:val="single" w:sz="4" w:space="0" w:color="auto"/>
              <w:left w:val="nil"/>
              <w:bottom w:val="single" w:sz="4" w:space="0" w:color="auto"/>
              <w:right w:val="single" w:sz="4" w:space="0" w:color="auto"/>
            </w:tcBorders>
            <w:shd w:val="clear" w:color="auto" w:fill="auto"/>
            <w:vAlign w:val="center"/>
          </w:tcPr>
          <w:p w14:paraId="383C87AE" w14:textId="50E4E8F4" w:rsidR="003949F3" w:rsidRPr="00010CF3" w:rsidRDefault="003949F3" w:rsidP="009E1591">
            <w:pPr>
              <w:jc w:val="center"/>
              <w:rPr>
                <w:rFonts w:cs="Arial"/>
                <w:color w:val="000000"/>
                <w:sz w:val="20"/>
                <w:szCs w:val="20"/>
              </w:rPr>
            </w:pPr>
            <w:r w:rsidRPr="00010CF3">
              <w:rPr>
                <w:rFonts w:cs="Arial"/>
                <w:b/>
                <w:bCs/>
                <w:color w:val="000000"/>
                <w:sz w:val="20"/>
                <w:szCs w:val="20"/>
              </w:rPr>
              <w:t>Total das Receitas (I)</w:t>
            </w:r>
          </w:p>
        </w:tc>
        <w:tc>
          <w:tcPr>
            <w:tcW w:w="932" w:type="pct"/>
            <w:tcBorders>
              <w:top w:val="single" w:sz="4" w:space="0" w:color="auto"/>
              <w:left w:val="single" w:sz="4" w:space="0" w:color="auto"/>
              <w:bottom w:val="single" w:sz="4" w:space="0" w:color="auto"/>
              <w:right w:val="single" w:sz="4" w:space="0" w:color="auto"/>
            </w:tcBorders>
            <w:shd w:val="clear" w:color="auto" w:fill="auto"/>
            <w:vAlign w:val="center"/>
          </w:tcPr>
          <w:p w14:paraId="052DE2B3" w14:textId="693BE969" w:rsidR="003949F3" w:rsidRPr="00010CF3" w:rsidRDefault="003949F3" w:rsidP="003949F3">
            <w:pPr>
              <w:jc w:val="right"/>
              <w:rPr>
                <w:rFonts w:cs="Arial"/>
                <w:b/>
                <w:color w:val="000000"/>
                <w:sz w:val="20"/>
                <w:szCs w:val="20"/>
              </w:rPr>
            </w:pPr>
            <w:r w:rsidRPr="00010CF3">
              <w:rPr>
                <w:b/>
                <w:sz w:val="20"/>
                <w:szCs w:val="20"/>
              </w:rPr>
              <w:t>111.331.000</w:t>
            </w:r>
          </w:p>
        </w:tc>
        <w:tc>
          <w:tcPr>
            <w:tcW w:w="1115" w:type="pct"/>
            <w:tcBorders>
              <w:top w:val="single" w:sz="4" w:space="0" w:color="auto"/>
              <w:left w:val="single" w:sz="4" w:space="0" w:color="auto"/>
              <w:bottom w:val="single" w:sz="4" w:space="0" w:color="auto"/>
              <w:right w:val="nil"/>
            </w:tcBorders>
            <w:shd w:val="clear" w:color="auto" w:fill="auto"/>
            <w:vAlign w:val="center"/>
          </w:tcPr>
          <w:p w14:paraId="4C5EA140" w14:textId="3A3A9BA1" w:rsidR="003949F3" w:rsidRPr="00010CF3" w:rsidRDefault="003949F3" w:rsidP="003949F3">
            <w:pPr>
              <w:jc w:val="right"/>
              <w:rPr>
                <w:rFonts w:cs="Arial"/>
                <w:b/>
                <w:color w:val="000000"/>
                <w:sz w:val="20"/>
                <w:szCs w:val="20"/>
              </w:rPr>
            </w:pPr>
            <w:r w:rsidRPr="00010CF3">
              <w:rPr>
                <w:rFonts w:cs="Arial"/>
                <w:b/>
                <w:color w:val="000000"/>
                <w:sz w:val="20"/>
                <w:szCs w:val="20"/>
              </w:rPr>
              <w:t>116.448.017</w:t>
            </w:r>
          </w:p>
        </w:tc>
      </w:tr>
      <w:tr w:rsidR="003949F3" w:rsidRPr="00010CF3" w14:paraId="225D2AD1" w14:textId="77777777" w:rsidTr="00680792">
        <w:trPr>
          <w:trHeight w:val="340"/>
        </w:trPr>
        <w:tc>
          <w:tcPr>
            <w:tcW w:w="2953" w:type="pct"/>
            <w:tcBorders>
              <w:top w:val="single" w:sz="4" w:space="0" w:color="auto"/>
              <w:left w:val="nil"/>
              <w:bottom w:val="single" w:sz="4" w:space="0" w:color="auto"/>
              <w:right w:val="single" w:sz="4" w:space="0" w:color="auto"/>
            </w:tcBorders>
            <w:shd w:val="clear" w:color="000000" w:fill="A1F2FD"/>
            <w:vAlign w:val="center"/>
            <w:hideMark/>
          </w:tcPr>
          <w:p w14:paraId="47B6B64E" w14:textId="77777777" w:rsidR="003949F3" w:rsidRPr="00010CF3" w:rsidRDefault="003949F3" w:rsidP="003949F3">
            <w:pPr>
              <w:jc w:val="center"/>
              <w:rPr>
                <w:rFonts w:cs="Arial"/>
                <w:b/>
                <w:bCs/>
                <w:color w:val="000000"/>
                <w:sz w:val="20"/>
                <w:szCs w:val="20"/>
              </w:rPr>
            </w:pPr>
            <w:r w:rsidRPr="00010CF3">
              <w:rPr>
                <w:rFonts w:cs="Arial"/>
                <w:b/>
                <w:bCs/>
                <w:color w:val="000000"/>
                <w:sz w:val="20"/>
                <w:szCs w:val="20"/>
              </w:rPr>
              <w:t xml:space="preserve">Despesas de Administração </w:t>
            </w:r>
          </w:p>
        </w:tc>
        <w:tc>
          <w:tcPr>
            <w:tcW w:w="932" w:type="pct"/>
            <w:tcBorders>
              <w:top w:val="single" w:sz="4" w:space="0" w:color="auto"/>
              <w:left w:val="single" w:sz="4" w:space="0" w:color="auto"/>
              <w:bottom w:val="single" w:sz="4" w:space="0" w:color="auto"/>
              <w:right w:val="single" w:sz="4" w:space="0" w:color="auto"/>
            </w:tcBorders>
            <w:shd w:val="clear" w:color="000000" w:fill="A1F2FD"/>
            <w:vAlign w:val="center"/>
            <w:hideMark/>
          </w:tcPr>
          <w:p w14:paraId="477CA5B4" w14:textId="77777777" w:rsidR="003949F3" w:rsidRPr="00010CF3" w:rsidRDefault="003949F3" w:rsidP="003949F3">
            <w:pPr>
              <w:jc w:val="center"/>
              <w:rPr>
                <w:rFonts w:cs="Arial"/>
                <w:b/>
                <w:bCs/>
                <w:color w:val="000000"/>
                <w:sz w:val="20"/>
                <w:szCs w:val="20"/>
              </w:rPr>
            </w:pPr>
            <w:r w:rsidRPr="00010CF3">
              <w:rPr>
                <w:rFonts w:cs="Arial"/>
                <w:b/>
                <w:bCs/>
                <w:color w:val="000000"/>
                <w:sz w:val="20"/>
                <w:szCs w:val="20"/>
              </w:rPr>
              <w:t>Dotação Atualizada</w:t>
            </w:r>
          </w:p>
        </w:tc>
        <w:tc>
          <w:tcPr>
            <w:tcW w:w="1115" w:type="pct"/>
            <w:tcBorders>
              <w:top w:val="single" w:sz="4" w:space="0" w:color="auto"/>
              <w:left w:val="single" w:sz="4" w:space="0" w:color="auto"/>
              <w:bottom w:val="single" w:sz="4" w:space="0" w:color="auto"/>
              <w:right w:val="nil"/>
            </w:tcBorders>
            <w:shd w:val="clear" w:color="000000" w:fill="A1F2FD"/>
            <w:vAlign w:val="center"/>
            <w:hideMark/>
          </w:tcPr>
          <w:p w14:paraId="13EDBC4A" w14:textId="77777777" w:rsidR="003949F3" w:rsidRPr="00010CF3" w:rsidRDefault="003949F3" w:rsidP="003949F3">
            <w:pPr>
              <w:jc w:val="center"/>
              <w:rPr>
                <w:rFonts w:cs="Arial"/>
                <w:b/>
                <w:bCs/>
                <w:color w:val="000000"/>
                <w:sz w:val="20"/>
                <w:szCs w:val="20"/>
              </w:rPr>
            </w:pPr>
            <w:r w:rsidRPr="00010CF3">
              <w:rPr>
                <w:rFonts w:cs="Arial"/>
                <w:b/>
                <w:bCs/>
                <w:color w:val="000000"/>
                <w:sz w:val="20"/>
                <w:szCs w:val="20"/>
              </w:rPr>
              <w:t>Despesas Empenhadas</w:t>
            </w:r>
          </w:p>
        </w:tc>
      </w:tr>
      <w:tr w:rsidR="003949F3" w:rsidRPr="00010CF3" w14:paraId="4D5DFF49" w14:textId="77777777" w:rsidTr="00680792">
        <w:trPr>
          <w:trHeight w:val="340"/>
        </w:trPr>
        <w:tc>
          <w:tcPr>
            <w:tcW w:w="2953" w:type="pct"/>
            <w:tcBorders>
              <w:top w:val="single" w:sz="4" w:space="0" w:color="auto"/>
              <w:left w:val="nil"/>
              <w:bottom w:val="nil"/>
              <w:right w:val="single" w:sz="4" w:space="0" w:color="auto"/>
            </w:tcBorders>
            <w:shd w:val="clear" w:color="auto" w:fill="auto"/>
            <w:noWrap/>
            <w:vAlign w:val="center"/>
            <w:hideMark/>
          </w:tcPr>
          <w:p w14:paraId="6B4055C9" w14:textId="77777777" w:rsidR="003949F3" w:rsidRPr="00010CF3" w:rsidRDefault="003949F3" w:rsidP="003949F3">
            <w:pPr>
              <w:rPr>
                <w:rFonts w:cs="Arial"/>
                <w:color w:val="000000"/>
                <w:sz w:val="20"/>
                <w:szCs w:val="20"/>
              </w:rPr>
            </w:pPr>
            <w:r w:rsidRPr="00010CF3">
              <w:rPr>
                <w:rFonts w:cs="Arial"/>
                <w:color w:val="000000"/>
                <w:sz w:val="20"/>
                <w:szCs w:val="20"/>
              </w:rPr>
              <w:t xml:space="preserve">Despesas Correntes </w:t>
            </w:r>
          </w:p>
        </w:tc>
        <w:tc>
          <w:tcPr>
            <w:tcW w:w="932" w:type="pct"/>
            <w:tcBorders>
              <w:top w:val="single" w:sz="4" w:space="0" w:color="auto"/>
              <w:left w:val="single" w:sz="4" w:space="0" w:color="auto"/>
              <w:bottom w:val="nil"/>
              <w:right w:val="single" w:sz="4" w:space="0" w:color="auto"/>
            </w:tcBorders>
            <w:shd w:val="clear" w:color="auto" w:fill="auto"/>
            <w:noWrap/>
            <w:vAlign w:val="center"/>
            <w:hideMark/>
          </w:tcPr>
          <w:p w14:paraId="1E27F343" w14:textId="2D4BD9E3" w:rsidR="003949F3" w:rsidRPr="00010CF3" w:rsidRDefault="003949F3" w:rsidP="003949F3">
            <w:pPr>
              <w:jc w:val="right"/>
              <w:rPr>
                <w:rFonts w:cs="Arial"/>
                <w:color w:val="000000"/>
                <w:sz w:val="20"/>
                <w:szCs w:val="20"/>
              </w:rPr>
            </w:pPr>
            <w:r w:rsidRPr="00010CF3">
              <w:rPr>
                <w:rFonts w:cs="Arial"/>
                <w:color w:val="000000"/>
                <w:sz w:val="20"/>
                <w:szCs w:val="20"/>
              </w:rPr>
              <w:t xml:space="preserve">63.102.825 </w:t>
            </w:r>
          </w:p>
        </w:tc>
        <w:tc>
          <w:tcPr>
            <w:tcW w:w="1115" w:type="pct"/>
            <w:tcBorders>
              <w:top w:val="single" w:sz="4" w:space="0" w:color="auto"/>
              <w:left w:val="single" w:sz="4" w:space="0" w:color="auto"/>
              <w:bottom w:val="nil"/>
              <w:right w:val="nil"/>
            </w:tcBorders>
            <w:shd w:val="clear" w:color="auto" w:fill="auto"/>
            <w:noWrap/>
            <w:vAlign w:val="center"/>
            <w:hideMark/>
          </w:tcPr>
          <w:p w14:paraId="7DAC12E6" w14:textId="0D2542F8" w:rsidR="003949F3" w:rsidRPr="00010CF3" w:rsidRDefault="003949F3" w:rsidP="003949F3">
            <w:pPr>
              <w:jc w:val="right"/>
              <w:rPr>
                <w:rFonts w:cs="Arial"/>
                <w:color w:val="000000"/>
                <w:sz w:val="20"/>
                <w:szCs w:val="20"/>
              </w:rPr>
            </w:pPr>
            <w:r w:rsidRPr="00010CF3">
              <w:rPr>
                <w:rFonts w:cs="Arial"/>
                <w:color w:val="000000"/>
                <w:sz w:val="20"/>
                <w:szCs w:val="20"/>
              </w:rPr>
              <w:t>60.834.760</w:t>
            </w:r>
          </w:p>
        </w:tc>
      </w:tr>
      <w:tr w:rsidR="003949F3" w:rsidRPr="00010CF3" w14:paraId="11E5A950" w14:textId="77777777" w:rsidTr="00680792">
        <w:trPr>
          <w:trHeight w:val="497"/>
        </w:trPr>
        <w:tc>
          <w:tcPr>
            <w:tcW w:w="2953" w:type="pct"/>
            <w:tcBorders>
              <w:top w:val="nil"/>
              <w:left w:val="nil"/>
              <w:bottom w:val="single" w:sz="4" w:space="0" w:color="auto"/>
              <w:right w:val="single" w:sz="4" w:space="0" w:color="auto"/>
            </w:tcBorders>
            <w:shd w:val="clear" w:color="auto" w:fill="auto"/>
            <w:noWrap/>
            <w:vAlign w:val="center"/>
            <w:hideMark/>
          </w:tcPr>
          <w:p w14:paraId="2A176591" w14:textId="77777777" w:rsidR="003949F3" w:rsidRPr="00010CF3" w:rsidRDefault="003949F3" w:rsidP="003949F3">
            <w:pPr>
              <w:rPr>
                <w:rFonts w:cs="Arial"/>
                <w:color w:val="000000"/>
                <w:sz w:val="20"/>
                <w:szCs w:val="20"/>
              </w:rPr>
            </w:pPr>
            <w:r w:rsidRPr="00010CF3">
              <w:rPr>
                <w:rFonts w:cs="Arial"/>
                <w:color w:val="000000"/>
                <w:sz w:val="20"/>
                <w:szCs w:val="20"/>
              </w:rPr>
              <w:t>Despesas de Capital</w:t>
            </w:r>
          </w:p>
        </w:tc>
        <w:tc>
          <w:tcPr>
            <w:tcW w:w="932" w:type="pct"/>
            <w:tcBorders>
              <w:top w:val="nil"/>
              <w:left w:val="single" w:sz="4" w:space="0" w:color="auto"/>
              <w:bottom w:val="single" w:sz="4" w:space="0" w:color="auto"/>
              <w:right w:val="single" w:sz="4" w:space="0" w:color="auto"/>
            </w:tcBorders>
            <w:shd w:val="clear" w:color="auto" w:fill="auto"/>
            <w:noWrap/>
            <w:vAlign w:val="center"/>
            <w:hideMark/>
          </w:tcPr>
          <w:p w14:paraId="5EA0418B" w14:textId="6826F756" w:rsidR="003949F3" w:rsidRPr="00010CF3" w:rsidRDefault="003949F3" w:rsidP="003949F3">
            <w:pPr>
              <w:jc w:val="right"/>
              <w:rPr>
                <w:rFonts w:cs="Arial"/>
                <w:color w:val="000000"/>
                <w:sz w:val="20"/>
                <w:szCs w:val="20"/>
              </w:rPr>
            </w:pPr>
            <w:r w:rsidRPr="00010CF3">
              <w:rPr>
                <w:rFonts w:cs="Arial"/>
                <w:color w:val="000000"/>
                <w:sz w:val="20"/>
                <w:szCs w:val="20"/>
              </w:rPr>
              <w:t>3.724.634</w:t>
            </w:r>
          </w:p>
        </w:tc>
        <w:tc>
          <w:tcPr>
            <w:tcW w:w="1115" w:type="pct"/>
            <w:tcBorders>
              <w:top w:val="nil"/>
              <w:left w:val="single" w:sz="4" w:space="0" w:color="auto"/>
              <w:bottom w:val="single" w:sz="4" w:space="0" w:color="auto"/>
              <w:right w:val="nil"/>
            </w:tcBorders>
            <w:shd w:val="clear" w:color="auto" w:fill="auto"/>
            <w:noWrap/>
            <w:vAlign w:val="center"/>
            <w:hideMark/>
          </w:tcPr>
          <w:p w14:paraId="44FF517B" w14:textId="73E52AF6" w:rsidR="003949F3" w:rsidRPr="00010CF3" w:rsidRDefault="003949F3" w:rsidP="003949F3">
            <w:pPr>
              <w:jc w:val="right"/>
              <w:rPr>
                <w:rFonts w:cs="Arial"/>
                <w:color w:val="000000"/>
                <w:sz w:val="20"/>
                <w:szCs w:val="20"/>
              </w:rPr>
            </w:pPr>
            <w:r w:rsidRPr="00010CF3">
              <w:rPr>
                <w:rFonts w:cs="Arial"/>
                <w:color w:val="000000"/>
                <w:sz w:val="20"/>
                <w:szCs w:val="20"/>
              </w:rPr>
              <w:t>615.381</w:t>
            </w:r>
          </w:p>
        </w:tc>
      </w:tr>
      <w:tr w:rsidR="003949F3" w:rsidRPr="00010CF3" w14:paraId="743D49F2" w14:textId="77777777" w:rsidTr="00680792">
        <w:trPr>
          <w:trHeight w:val="340"/>
        </w:trPr>
        <w:tc>
          <w:tcPr>
            <w:tcW w:w="2953" w:type="pct"/>
            <w:tcBorders>
              <w:top w:val="single" w:sz="4" w:space="0" w:color="auto"/>
              <w:left w:val="nil"/>
              <w:bottom w:val="single" w:sz="4" w:space="0" w:color="auto"/>
              <w:right w:val="single" w:sz="4" w:space="0" w:color="auto"/>
            </w:tcBorders>
            <w:shd w:val="clear" w:color="auto" w:fill="auto"/>
            <w:noWrap/>
            <w:vAlign w:val="center"/>
            <w:hideMark/>
          </w:tcPr>
          <w:p w14:paraId="329D1C6F" w14:textId="4A8A9327" w:rsidR="003949F3" w:rsidRPr="00010CF3" w:rsidRDefault="003949F3" w:rsidP="009E1591">
            <w:pPr>
              <w:jc w:val="center"/>
              <w:rPr>
                <w:rFonts w:cs="Arial"/>
                <w:b/>
                <w:bCs/>
                <w:color w:val="000000"/>
                <w:sz w:val="20"/>
                <w:szCs w:val="20"/>
              </w:rPr>
            </w:pPr>
            <w:r w:rsidRPr="00010CF3">
              <w:rPr>
                <w:rFonts w:cs="Arial"/>
                <w:b/>
                <w:bCs/>
                <w:color w:val="000000"/>
                <w:sz w:val="20"/>
                <w:szCs w:val="20"/>
              </w:rPr>
              <w:t>Total das Despesas (II)</w:t>
            </w:r>
          </w:p>
        </w:tc>
        <w:tc>
          <w:tcPr>
            <w:tcW w:w="93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5894E8" w14:textId="1B86D7F8" w:rsidR="003949F3" w:rsidRPr="00010CF3" w:rsidRDefault="003949F3" w:rsidP="003949F3">
            <w:pPr>
              <w:jc w:val="right"/>
              <w:rPr>
                <w:rFonts w:cs="Arial"/>
                <w:b/>
                <w:bCs/>
                <w:color w:val="000000"/>
                <w:sz w:val="20"/>
                <w:szCs w:val="20"/>
              </w:rPr>
            </w:pPr>
            <w:r w:rsidRPr="00010CF3">
              <w:rPr>
                <w:rFonts w:cs="Arial"/>
                <w:b/>
                <w:bCs/>
                <w:color w:val="000000"/>
                <w:sz w:val="20"/>
                <w:szCs w:val="20"/>
              </w:rPr>
              <w:t>66.827.459</w:t>
            </w:r>
          </w:p>
        </w:tc>
        <w:tc>
          <w:tcPr>
            <w:tcW w:w="1115" w:type="pct"/>
            <w:tcBorders>
              <w:top w:val="single" w:sz="4" w:space="0" w:color="auto"/>
              <w:left w:val="single" w:sz="4" w:space="0" w:color="auto"/>
              <w:bottom w:val="single" w:sz="4" w:space="0" w:color="auto"/>
              <w:right w:val="nil"/>
            </w:tcBorders>
            <w:shd w:val="clear" w:color="auto" w:fill="auto"/>
            <w:noWrap/>
            <w:vAlign w:val="center"/>
            <w:hideMark/>
          </w:tcPr>
          <w:p w14:paraId="7155662A" w14:textId="66011C39" w:rsidR="003949F3" w:rsidRPr="00010CF3" w:rsidRDefault="003949F3" w:rsidP="003949F3">
            <w:pPr>
              <w:jc w:val="right"/>
              <w:rPr>
                <w:rFonts w:cs="Arial"/>
                <w:b/>
                <w:bCs/>
                <w:color w:val="000000"/>
                <w:sz w:val="20"/>
                <w:szCs w:val="20"/>
              </w:rPr>
            </w:pPr>
            <w:r w:rsidRPr="00010CF3">
              <w:rPr>
                <w:rFonts w:cs="Arial"/>
                <w:b/>
                <w:bCs/>
                <w:color w:val="000000"/>
                <w:sz w:val="20"/>
                <w:szCs w:val="20"/>
              </w:rPr>
              <w:t>61.450.141</w:t>
            </w:r>
          </w:p>
        </w:tc>
      </w:tr>
      <w:tr w:rsidR="003949F3" w:rsidRPr="00010CF3" w14:paraId="4163F66A" w14:textId="77777777" w:rsidTr="00680792">
        <w:trPr>
          <w:trHeight w:val="340"/>
        </w:trPr>
        <w:tc>
          <w:tcPr>
            <w:tcW w:w="2953" w:type="pct"/>
            <w:tcBorders>
              <w:top w:val="single" w:sz="4" w:space="0" w:color="auto"/>
              <w:left w:val="nil"/>
              <w:bottom w:val="single" w:sz="4" w:space="0" w:color="auto"/>
              <w:right w:val="single" w:sz="4" w:space="0" w:color="auto"/>
            </w:tcBorders>
            <w:shd w:val="clear" w:color="auto" w:fill="auto"/>
            <w:noWrap/>
            <w:vAlign w:val="center"/>
            <w:hideMark/>
          </w:tcPr>
          <w:p w14:paraId="6E4AD04F" w14:textId="77777777" w:rsidR="003949F3" w:rsidRPr="00010CF3" w:rsidRDefault="003949F3" w:rsidP="003949F3">
            <w:pPr>
              <w:rPr>
                <w:rFonts w:cs="Arial"/>
                <w:b/>
                <w:bCs/>
                <w:color w:val="000000"/>
                <w:sz w:val="20"/>
                <w:szCs w:val="20"/>
              </w:rPr>
            </w:pPr>
          </w:p>
        </w:tc>
        <w:tc>
          <w:tcPr>
            <w:tcW w:w="93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26493B" w14:textId="77777777" w:rsidR="003949F3" w:rsidRPr="00010CF3" w:rsidRDefault="003949F3" w:rsidP="003949F3">
            <w:pPr>
              <w:jc w:val="right"/>
              <w:rPr>
                <w:rFonts w:cs="Arial"/>
                <w:sz w:val="20"/>
                <w:szCs w:val="20"/>
              </w:rPr>
            </w:pPr>
          </w:p>
        </w:tc>
        <w:tc>
          <w:tcPr>
            <w:tcW w:w="1115" w:type="pct"/>
            <w:tcBorders>
              <w:top w:val="single" w:sz="4" w:space="0" w:color="auto"/>
              <w:left w:val="single" w:sz="4" w:space="0" w:color="auto"/>
              <w:bottom w:val="single" w:sz="4" w:space="0" w:color="auto"/>
              <w:right w:val="nil"/>
            </w:tcBorders>
            <w:shd w:val="clear" w:color="auto" w:fill="auto"/>
            <w:noWrap/>
            <w:vAlign w:val="center"/>
            <w:hideMark/>
          </w:tcPr>
          <w:p w14:paraId="22D430E1" w14:textId="77777777" w:rsidR="003949F3" w:rsidRPr="00010CF3" w:rsidRDefault="003949F3" w:rsidP="003949F3">
            <w:pPr>
              <w:jc w:val="right"/>
              <w:rPr>
                <w:rFonts w:cs="Arial"/>
                <w:sz w:val="20"/>
                <w:szCs w:val="20"/>
              </w:rPr>
            </w:pPr>
          </w:p>
        </w:tc>
      </w:tr>
      <w:tr w:rsidR="003949F3" w:rsidRPr="00010CF3" w14:paraId="407ECA8C" w14:textId="77777777" w:rsidTr="00680792">
        <w:trPr>
          <w:trHeight w:val="340"/>
        </w:trPr>
        <w:tc>
          <w:tcPr>
            <w:tcW w:w="2953" w:type="pct"/>
            <w:tcBorders>
              <w:top w:val="single" w:sz="4" w:space="0" w:color="auto"/>
              <w:left w:val="nil"/>
              <w:bottom w:val="single" w:sz="4" w:space="0" w:color="auto"/>
              <w:right w:val="single" w:sz="4" w:space="0" w:color="auto"/>
            </w:tcBorders>
            <w:shd w:val="clear" w:color="000000" w:fill="A1F2FD"/>
            <w:vAlign w:val="center"/>
            <w:hideMark/>
          </w:tcPr>
          <w:p w14:paraId="32F10FB5" w14:textId="74244A81" w:rsidR="003949F3" w:rsidRPr="00010CF3" w:rsidRDefault="003949F3" w:rsidP="003949F3">
            <w:pPr>
              <w:jc w:val="center"/>
              <w:rPr>
                <w:rFonts w:cs="Arial"/>
                <w:b/>
                <w:bCs/>
                <w:color w:val="000000"/>
                <w:sz w:val="20"/>
                <w:szCs w:val="20"/>
              </w:rPr>
            </w:pPr>
            <w:r w:rsidRPr="00010CF3">
              <w:rPr>
                <w:rFonts w:cs="Arial"/>
                <w:b/>
                <w:bCs/>
                <w:color w:val="000000"/>
                <w:sz w:val="20"/>
                <w:szCs w:val="20"/>
              </w:rPr>
              <w:t>Resultado (I-II)</w:t>
            </w:r>
          </w:p>
        </w:tc>
        <w:tc>
          <w:tcPr>
            <w:tcW w:w="932" w:type="pct"/>
            <w:tcBorders>
              <w:top w:val="single" w:sz="4" w:space="0" w:color="auto"/>
              <w:left w:val="single" w:sz="4" w:space="0" w:color="auto"/>
              <w:bottom w:val="single" w:sz="4" w:space="0" w:color="auto"/>
              <w:right w:val="single" w:sz="4" w:space="0" w:color="auto"/>
            </w:tcBorders>
            <w:shd w:val="clear" w:color="000000" w:fill="A1F2FD"/>
            <w:vAlign w:val="center"/>
            <w:hideMark/>
          </w:tcPr>
          <w:p w14:paraId="64F46C5E" w14:textId="7FB281EE" w:rsidR="003949F3" w:rsidRPr="00010CF3" w:rsidRDefault="003949F3" w:rsidP="003949F3">
            <w:pPr>
              <w:jc w:val="right"/>
              <w:rPr>
                <w:rFonts w:cs="Arial"/>
                <w:b/>
                <w:bCs/>
                <w:color w:val="000000"/>
                <w:sz w:val="20"/>
                <w:szCs w:val="20"/>
              </w:rPr>
            </w:pPr>
            <w:r w:rsidRPr="00010CF3">
              <w:rPr>
                <w:rFonts w:cs="Arial"/>
                <w:b/>
                <w:bCs/>
                <w:color w:val="000000"/>
                <w:sz w:val="20"/>
                <w:szCs w:val="20"/>
              </w:rPr>
              <w:t>44.503.541</w:t>
            </w:r>
          </w:p>
        </w:tc>
        <w:tc>
          <w:tcPr>
            <w:tcW w:w="1115" w:type="pct"/>
            <w:tcBorders>
              <w:top w:val="single" w:sz="4" w:space="0" w:color="auto"/>
              <w:left w:val="single" w:sz="4" w:space="0" w:color="auto"/>
              <w:bottom w:val="single" w:sz="4" w:space="0" w:color="auto"/>
              <w:right w:val="nil"/>
            </w:tcBorders>
            <w:shd w:val="clear" w:color="000000" w:fill="A1F2FD"/>
            <w:vAlign w:val="center"/>
            <w:hideMark/>
          </w:tcPr>
          <w:p w14:paraId="0FEE3548" w14:textId="0D227199" w:rsidR="003949F3" w:rsidRPr="00010CF3" w:rsidRDefault="003949F3" w:rsidP="003949F3">
            <w:pPr>
              <w:jc w:val="right"/>
              <w:rPr>
                <w:rFonts w:cs="Arial"/>
                <w:b/>
                <w:bCs/>
                <w:color w:val="000000"/>
                <w:sz w:val="20"/>
                <w:szCs w:val="20"/>
              </w:rPr>
            </w:pPr>
            <w:r w:rsidRPr="00010CF3">
              <w:rPr>
                <w:rFonts w:cs="Arial"/>
                <w:b/>
                <w:bCs/>
                <w:color w:val="000000"/>
                <w:sz w:val="20"/>
                <w:szCs w:val="20"/>
              </w:rPr>
              <w:t>54.997.876</w:t>
            </w:r>
          </w:p>
        </w:tc>
      </w:tr>
    </w:tbl>
    <w:p w14:paraId="0431FE76" w14:textId="77777777" w:rsidR="00E73548" w:rsidRDefault="00E73548"/>
    <w:tbl>
      <w:tblPr>
        <w:tblW w:w="5000" w:type="pct"/>
        <w:tblCellMar>
          <w:left w:w="70" w:type="dxa"/>
          <w:right w:w="70" w:type="dxa"/>
        </w:tblCellMar>
        <w:tblLook w:val="04A0" w:firstRow="1" w:lastRow="0" w:firstColumn="1" w:lastColumn="0" w:noHBand="0" w:noVBand="1"/>
      </w:tblPr>
      <w:tblGrid>
        <w:gridCol w:w="5524"/>
        <w:gridCol w:w="3829"/>
      </w:tblGrid>
      <w:tr w:rsidR="003949F3" w:rsidRPr="00010CF3" w14:paraId="263285AC" w14:textId="77777777" w:rsidTr="00680792">
        <w:trPr>
          <w:trHeight w:val="340"/>
        </w:trPr>
        <w:tc>
          <w:tcPr>
            <w:tcW w:w="2953" w:type="pct"/>
            <w:tcBorders>
              <w:top w:val="single" w:sz="4" w:space="0" w:color="auto"/>
              <w:left w:val="nil"/>
              <w:bottom w:val="single" w:sz="4" w:space="0" w:color="auto"/>
              <w:right w:val="single" w:sz="4" w:space="0" w:color="auto"/>
            </w:tcBorders>
            <w:shd w:val="clear" w:color="000000" w:fill="A1F2FD"/>
            <w:vAlign w:val="center"/>
            <w:hideMark/>
          </w:tcPr>
          <w:p w14:paraId="5253D6FA" w14:textId="2D045644" w:rsidR="003949F3" w:rsidRPr="00010CF3" w:rsidRDefault="003949F3" w:rsidP="003949F3">
            <w:pPr>
              <w:jc w:val="center"/>
              <w:rPr>
                <w:rFonts w:cs="Arial"/>
                <w:b/>
                <w:bCs/>
                <w:color w:val="000000"/>
                <w:sz w:val="20"/>
                <w:szCs w:val="20"/>
              </w:rPr>
            </w:pPr>
            <w:r w:rsidRPr="00010CF3">
              <w:rPr>
                <w:rFonts w:cs="Arial"/>
                <w:b/>
                <w:bCs/>
                <w:color w:val="000000"/>
                <w:sz w:val="20"/>
                <w:szCs w:val="20"/>
              </w:rPr>
              <w:t xml:space="preserve">Bens e Direitos </w:t>
            </w:r>
          </w:p>
        </w:tc>
        <w:tc>
          <w:tcPr>
            <w:tcW w:w="2047" w:type="pct"/>
            <w:tcBorders>
              <w:top w:val="single" w:sz="4" w:space="0" w:color="auto"/>
              <w:left w:val="single" w:sz="4" w:space="0" w:color="auto"/>
              <w:bottom w:val="single" w:sz="4" w:space="0" w:color="auto"/>
              <w:right w:val="nil"/>
            </w:tcBorders>
            <w:shd w:val="clear" w:color="000000" w:fill="A1F2FD"/>
            <w:vAlign w:val="center"/>
            <w:hideMark/>
          </w:tcPr>
          <w:p w14:paraId="756B0883" w14:textId="77777777" w:rsidR="003949F3" w:rsidRPr="00010CF3" w:rsidRDefault="003949F3" w:rsidP="003949F3">
            <w:pPr>
              <w:jc w:val="center"/>
              <w:rPr>
                <w:rFonts w:cs="Arial"/>
                <w:b/>
                <w:bCs/>
                <w:color w:val="000000"/>
                <w:sz w:val="20"/>
                <w:szCs w:val="20"/>
              </w:rPr>
            </w:pPr>
            <w:r w:rsidRPr="00010CF3">
              <w:rPr>
                <w:rFonts w:cs="Arial"/>
                <w:b/>
                <w:bCs/>
                <w:color w:val="000000"/>
                <w:sz w:val="20"/>
                <w:szCs w:val="20"/>
              </w:rPr>
              <w:t>Saldo Atual</w:t>
            </w:r>
          </w:p>
        </w:tc>
      </w:tr>
      <w:tr w:rsidR="003949F3" w:rsidRPr="00010CF3" w14:paraId="71BC498F" w14:textId="77777777" w:rsidTr="00680792">
        <w:trPr>
          <w:trHeight w:val="340"/>
        </w:trPr>
        <w:tc>
          <w:tcPr>
            <w:tcW w:w="2953" w:type="pct"/>
            <w:tcBorders>
              <w:top w:val="single" w:sz="4" w:space="0" w:color="auto"/>
              <w:left w:val="nil"/>
              <w:bottom w:val="nil"/>
              <w:right w:val="single" w:sz="4" w:space="0" w:color="auto"/>
            </w:tcBorders>
            <w:shd w:val="clear" w:color="auto" w:fill="auto"/>
            <w:vAlign w:val="center"/>
            <w:hideMark/>
          </w:tcPr>
          <w:p w14:paraId="7B3EE987" w14:textId="77777777" w:rsidR="003949F3" w:rsidRPr="00010CF3" w:rsidRDefault="003949F3" w:rsidP="003949F3">
            <w:pPr>
              <w:rPr>
                <w:rFonts w:cs="Arial"/>
                <w:color w:val="000000"/>
                <w:sz w:val="20"/>
                <w:szCs w:val="20"/>
              </w:rPr>
            </w:pPr>
            <w:r w:rsidRPr="00010CF3">
              <w:rPr>
                <w:rFonts w:cs="Arial"/>
                <w:color w:val="000000"/>
                <w:sz w:val="20"/>
                <w:szCs w:val="20"/>
              </w:rPr>
              <w:t>Caixa e Equivalentes de Caixa</w:t>
            </w:r>
          </w:p>
        </w:tc>
        <w:tc>
          <w:tcPr>
            <w:tcW w:w="2047" w:type="pct"/>
            <w:tcBorders>
              <w:top w:val="single" w:sz="4" w:space="0" w:color="auto"/>
              <w:left w:val="single" w:sz="4" w:space="0" w:color="auto"/>
              <w:bottom w:val="nil"/>
              <w:right w:val="nil"/>
            </w:tcBorders>
            <w:shd w:val="clear" w:color="auto" w:fill="auto"/>
            <w:vAlign w:val="center"/>
            <w:hideMark/>
          </w:tcPr>
          <w:p w14:paraId="3791DC46" w14:textId="31D252BE" w:rsidR="003949F3" w:rsidRPr="00010CF3" w:rsidRDefault="003949F3" w:rsidP="003949F3">
            <w:pPr>
              <w:jc w:val="right"/>
              <w:rPr>
                <w:rFonts w:cs="Arial"/>
                <w:color w:val="000000"/>
                <w:sz w:val="20"/>
                <w:szCs w:val="20"/>
              </w:rPr>
            </w:pPr>
            <w:r w:rsidRPr="00010CF3">
              <w:rPr>
                <w:rFonts w:cs="Arial"/>
                <w:color w:val="000000"/>
                <w:sz w:val="20"/>
                <w:szCs w:val="20"/>
              </w:rPr>
              <w:t>282.53</w:t>
            </w:r>
            <w:r w:rsidR="00D30A43">
              <w:rPr>
                <w:rFonts w:cs="Arial"/>
                <w:color w:val="000000"/>
                <w:sz w:val="20"/>
                <w:szCs w:val="20"/>
              </w:rPr>
              <w:t>9</w:t>
            </w:r>
          </w:p>
        </w:tc>
      </w:tr>
      <w:tr w:rsidR="003949F3" w:rsidRPr="00010CF3" w14:paraId="665784B8" w14:textId="77777777" w:rsidTr="00680792">
        <w:trPr>
          <w:trHeight w:val="340"/>
        </w:trPr>
        <w:tc>
          <w:tcPr>
            <w:tcW w:w="2953" w:type="pct"/>
            <w:tcBorders>
              <w:top w:val="nil"/>
              <w:left w:val="nil"/>
              <w:right w:val="single" w:sz="4" w:space="0" w:color="auto"/>
            </w:tcBorders>
            <w:shd w:val="clear" w:color="auto" w:fill="auto"/>
            <w:vAlign w:val="center"/>
            <w:hideMark/>
          </w:tcPr>
          <w:p w14:paraId="5F5EF4E0" w14:textId="77777777" w:rsidR="003949F3" w:rsidRPr="00010CF3" w:rsidRDefault="003949F3" w:rsidP="003949F3">
            <w:pPr>
              <w:rPr>
                <w:rFonts w:cs="Arial"/>
                <w:color w:val="000000"/>
                <w:sz w:val="20"/>
                <w:szCs w:val="20"/>
              </w:rPr>
            </w:pPr>
            <w:r w:rsidRPr="00010CF3">
              <w:rPr>
                <w:rFonts w:cs="Arial"/>
                <w:color w:val="000000"/>
                <w:sz w:val="20"/>
                <w:szCs w:val="20"/>
              </w:rPr>
              <w:t>Investimentos e Aplicações</w:t>
            </w:r>
          </w:p>
        </w:tc>
        <w:tc>
          <w:tcPr>
            <w:tcW w:w="2047" w:type="pct"/>
            <w:tcBorders>
              <w:top w:val="nil"/>
              <w:left w:val="single" w:sz="4" w:space="0" w:color="auto"/>
              <w:right w:val="nil"/>
            </w:tcBorders>
            <w:shd w:val="clear" w:color="auto" w:fill="auto"/>
            <w:vAlign w:val="center"/>
            <w:hideMark/>
          </w:tcPr>
          <w:p w14:paraId="58E50E04" w14:textId="345B6320" w:rsidR="003949F3" w:rsidRPr="00010CF3" w:rsidRDefault="003949F3" w:rsidP="003949F3">
            <w:pPr>
              <w:jc w:val="right"/>
              <w:rPr>
                <w:rFonts w:cs="Arial"/>
                <w:color w:val="000000"/>
                <w:sz w:val="20"/>
                <w:szCs w:val="20"/>
              </w:rPr>
            </w:pPr>
            <w:r w:rsidRPr="00010CF3">
              <w:rPr>
                <w:rFonts w:cs="Arial"/>
                <w:color w:val="000000"/>
                <w:sz w:val="20"/>
                <w:szCs w:val="20"/>
              </w:rPr>
              <w:t>337.811.60</w:t>
            </w:r>
            <w:r w:rsidR="00D30A43">
              <w:rPr>
                <w:rFonts w:cs="Arial"/>
                <w:color w:val="000000"/>
                <w:sz w:val="20"/>
                <w:szCs w:val="20"/>
              </w:rPr>
              <w:t>5</w:t>
            </w:r>
          </w:p>
        </w:tc>
      </w:tr>
      <w:tr w:rsidR="003949F3" w:rsidRPr="00010CF3" w14:paraId="1CC765B3" w14:textId="77777777" w:rsidTr="00680792">
        <w:trPr>
          <w:trHeight w:val="340"/>
        </w:trPr>
        <w:tc>
          <w:tcPr>
            <w:tcW w:w="2953" w:type="pct"/>
            <w:tcBorders>
              <w:top w:val="nil"/>
              <w:left w:val="nil"/>
              <w:bottom w:val="single" w:sz="4" w:space="0" w:color="auto"/>
              <w:right w:val="single" w:sz="4" w:space="0" w:color="auto"/>
            </w:tcBorders>
            <w:shd w:val="clear" w:color="auto" w:fill="auto"/>
            <w:vAlign w:val="center"/>
            <w:hideMark/>
          </w:tcPr>
          <w:p w14:paraId="468B7BCF" w14:textId="77777777" w:rsidR="003949F3" w:rsidRPr="00010CF3" w:rsidRDefault="003949F3" w:rsidP="003949F3">
            <w:pPr>
              <w:rPr>
                <w:rFonts w:cs="Arial"/>
                <w:color w:val="000000"/>
                <w:sz w:val="20"/>
                <w:szCs w:val="20"/>
              </w:rPr>
            </w:pPr>
            <w:r w:rsidRPr="00010CF3">
              <w:rPr>
                <w:rFonts w:cs="Arial"/>
                <w:color w:val="000000"/>
                <w:sz w:val="20"/>
                <w:szCs w:val="20"/>
              </w:rPr>
              <w:t>Outros Bens e Direitos</w:t>
            </w:r>
          </w:p>
        </w:tc>
        <w:tc>
          <w:tcPr>
            <w:tcW w:w="2047" w:type="pct"/>
            <w:tcBorders>
              <w:top w:val="nil"/>
              <w:left w:val="single" w:sz="4" w:space="0" w:color="auto"/>
              <w:bottom w:val="single" w:sz="4" w:space="0" w:color="auto"/>
              <w:right w:val="nil"/>
            </w:tcBorders>
            <w:shd w:val="clear" w:color="auto" w:fill="auto"/>
            <w:vAlign w:val="center"/>
            <w:hideMark/>
          </w:tcPr>
          <w:p w14:paraId="70197C6D" w14:textId="03104089" w:rsidR="003949F3" w:rsidRPr="00010CF3" w:rsidRDefault="003949F3" w:rsidP="003949F3">
            <w:pPr>
              <w:jc w:val="right"/>
              <w:rPr>
                <w:rFonts w:cs="Arial"/>
                <w:color w:val="000000"/>
                <w:sz w:val="20"/>
                <w:szCs w:val="20"/>
              </w:rPr>
            </w:pPr>
            <w:r w:rsidRPr="00010CF3">
              <w:rPr>
                <w:rFonts w:cs="Arial"/>
                <w:color w:val="000000"/>
                <w:sz w:val="20"/>
                <w:szCs w:val="20"/>
              </w:rPr>
              <w:t>1.039.066.97</w:t>
            </w:r>
            <w:r w:rsidR="00D30A43">
              <w:rPr>
                <w:rFonts w:cs="Arial"/>
                <w:color w:val="000000"/>
                <w:sz w:val="20"/>
                <w:szCs w:val="20"/>
              </w:rPr>
              <w:t>1</w:t>
            </w:r>
          </w:p>
        </w:tc>
      </w:tr>
    </w:tbl>
    <w:p w14:paraId="2895407F" w14:textId="77777777" w:rsidR="00B67EB7" w:rsidRPr="003911BD" w:rsidRDefault="00B67EB7" w:rsidP="00B67EB7">
      <w:pPr>
        <w:pStyle w:val="1-FONTE8ESQ"/>
      </w:pPr>
      <w:r w:rsidRPr="003911BD">
        <w:t xml:space="preserve">Fonte: Anexo 4 - Demonstrativo das Receitas e Despesas Previdenciárias do Regime Próprio de Previdência dos Servidores </w:t>
      </w:r>
      <w:r>
        <w:t xml:space="preserve">– RREO </w:t>
      </w:r>
      <w:r w:rsidRPr="003911BD">
        <w:t>6º Bimestre de 2023</w:t>
      </w:r>
    </w:p>
    <w:p w14:paraId="00D81205" w14:textId="77777777" w:rsidR="00B67EB7" w:rsidRDefault="00B67EB7" w:rsidP="00B67EB7">
      <w:pPr>
        <w:pStyle w:val="1-REL11"/>
      </w:pPr>
      <w:r w:rsidRPr="002D330C">
        <w:lastRenderedPageBreak/>
        <w:t>Quanto aos recursos recebidos pela Goiasprev oriundos de taxa de administração, observa-se que houve empenho de apenas 52% da receita realizada.</w:t>
      </w:r>
    </w:p>
    <w:p w14:paraId="7C380109" w14:textId="77777777" w:rsidR="00B67EB7" w:rsidRPr="001C305A" w:rsidRDefault="00B67EB7" w:rsidP="00A224E9">
      <w:pPr>
        <w:pStyle w:val="Ttulo3"/>
      </w:pPr>
      <w:bookmarkStart w:id="173" w:name="_Toc167871671"/>
      <w:r w:rsidRPr="001C305A">
        <w:t>Benefícios Previdenciários Mantidos pelo Tesouro</w:t>
      </w:r>
      <w:bookmarkEnd w:id="173"/>
    </w:p>
    <w:p w14:paraId="0B8CB175" w14:textId="77777777" w:rsidR="00B67EB7" w:rsidRPr="001C305A" w:rsidRDefault="00B67EB7" w:rsidP="00B67EB7">
      <w:pPr>
        <w:pStyle w:val="1-REL11"/>
      </w:pPr>
      <w:r w:rsidRPr="001C305A">
        <w:t>São benefícios previdenciários mantidos sob responsabilidade financeira direta do Tesouro Estadual e concedidos em atendimento a legislação específica e que não foram incorporados ao RPPS. Neste demonstrativo estão relacionadas as pensões especiais concedidas em razão da condição de servidor, as aposentadorias e pensões concedidas antes da criação do RPPS e que não foram incluídos nesse regime por estarem em extinção e outras situações semelhantes.</w:t>
      </w:r>
    </w:p>
    <w:p w14:paraId="2F8085D6" w14:textId="77777777" w:rsidR="00B67EB7" w:rsidRPr="001C305A" w:rsidRDefault="00B67EB7" w:rsidP="00ED3571">
      <w:pPr>
        <w:pStyle w:val="0-TABELA"/>
        <w:rPr>
          <w:b/>
        </w:rPr>
      </w:pPr>
      <w:bookmarkStart w:id="174" w:name="_Toc167871764"/>
      <w:r w:rsidRPr="001C305A">
        <w:t>Benefícios Mantidos pelo Tesouro</w:t>
      </w:r>
      <w:bookmarkEnd w:id="174"/>
    </w:p>
    <w:p w14:paraId="709B1C49" w14:textId="77777777" w:rsidR="00B67EB7" w:rsidRPr="002A6F4C" w:rsidRDefault="00B67EB7" w:rsidP="00B67EB7">
      <w:pPr>
        <w:pStyle w:val="PargrafodaLista"/>
        <w:ind w:left="7514"/>
        <w:jc w:val="right"/>
        <w:rPr>
          <w:rFonts w:eastAsia="Arial" w:cs="Arial"/>
          <w:color w:val="000000"/>
          <w:sz w:val="16"/>
          <w:szCs w:val="16"/>
        </w:rPr>
      </w:pPr>
      <w:r w:rsidRPr="002A6F4C">
        <w:rPr>
          <w:rFonts w:eastAsia="Arial" w:cs="Arial"/>
          <w:color w:val="000000"/>
          <w:sz w:val="16"/>
          <w:szCs w:val="16"/>
        </w:rPr>
        <w:t>R$</w:t>
      </w:r>
      <w:r>
        <w:rPr>
          <w:rFonts w:eastAsia="Arial" w:cs="Arial"/>
          <w:color w:val="000000"/>
          <w:sz w:val="16"/>
          <w:szCs w:val="16"/>
        </w:rPr>
        <w:t xml:space="preserve"> 1</w:t>
      </w:r>
      <w:r w:rsidRPr="002A6F4C">
        <w:rPr>
          <w:rFonts w:eastAsia="Arial" w:cs="Arial"/>
          <w:color w:val="000000"/>
          <w:sz w:val="16"/>
          <w:szCs w:val="16"/>
        </w:rPr>
        <w:t xml:space="preserve"> </w:t>
      </w:r>
    </w:p>
    <w:tbl>
      <w:tblPr>
        <w:tblW w:w="5000" w:type="pct"/>
        <w:tblCellMar>
          <w:left w:w="70" w:type="dxa"/>
          <w:right w:w="70" w:type="dxa"/>
        </w:tblCellMar>
        <w:tblLook w:val="04A0" w:firstRow="1" w:lastRow="0" w:firstColumn="1" w:lastColumn="0" w:noHBand="0" w:noVBand="1"/>
      </w:tblPr>
      <w:tblGrid>
        <w:gridCol w:w="5890"/>
        <w:gridCol w:w="1592"/>
        <w:gridCol w:w="1871"/>
      </w:tblGrid>
      <w:tr w:rsidR="00B67EB7" w:rsidRPr="00010CF3" w14:paraId="1F0C8933" w14:textId="77777777" w:rsidTr="00680792">
        <w:trPr>
          <w:trHeight w:val="284"/>
        </w:trPr>
        <w:tc>
          <w:tcPr>
            <w:tcW w:w="3149" w:type="pct"/>
            <w:tcBorders>
              <w:top w:val="single" w:sz="4" w:space="0" w:color="auto"/>
              <w:left w:val="nil"/>
              <w:bottom w:val="single" w:sz="4" w:space="0" w:color="auto"/>
              <w:right w:val="single" w:sz="4" w:space="0" w:color="auto"/>
            </w:tcBorders>
            <w:shd w:val="clear" w:color="000000" w:fill="A1F2FD"/>
            <w:vAlign w:val="center"/>
            <w:hideMark/>
          </w:tcPr>
          <w:p w14:paraId="0999098B" w14:textId="3B590009" w:rsidR="00B67EB7" w:rsidRPr="00010CF3" w:rsidRDefault="00B67EB7" w:rsidP="00010CF3">
            <w:pPr>
              <w:jc w:val="center"/>
              <w:rPr>
                <w:rFonts w:cs="Arial"/>
                <w:b/>
                <w:bCs/>
                <w:color w:val="000000"/>
                <w:sz w:val="20"/>
                <w:szCs w:val="20"/>
              </w:rPr>
            </w:pPr>
            <w:r w:rsidRPr="00010CF3">
              <w:rPr>
                <w:rFonts w:cs="Arial"/>
                <w:b/>
                <w:bCs/>
                <w:color w:val="000000"/>
                <w:sz w:val="20"/>
                <w:szCs w:val="20"/>
              </w:rPr>
              <w:t>Receitas Previdenciárias</w:t>
            </w:r>
          </w:p>
        </w:tc>
        <w:tc>
          <w:tcPr>
            <w:tcW w:w="851" w:type="pct"/>
            <w:tcBorders>
              <w:top w:val="single" w:sz="4" w:space="0" w:color="auto"/>
              <w:left w:val="single" w:sz="4" w:space="0" w:color="auto"/>
              <w:bottom w:val="single" w:sz="4" w:space="0" w:color="auto"/>
              <w:right w:val="single" w:sz="4" w:space="0" w:color="auto"/>
            </w:tcBorders>
            <w:shd w:val="clear" w:color="000000" w:fill="A1F2FD"/>
            <w:vAlign w:val="center"/>
            <w:hideMark/>
          </w:tcPr>
          <w:p w14:paraId="4F0FD810" w14:textId="77777777" w:rsidR="00B67EB7" w:rsidRPr="00010CF3" w:rsidRDefault="00B67EB7" w:rsidP="00B67EB7">
            <w:pPr>
              <w:jc w:val="center"/>
              <w:rPr>
                <w:rFonts w:cs="Arial"/>
                <w:b/>
                <w:bCs/>
                <w:color w:val="000000"/>
                <w:sz w:val="20"/>
                <w:szCs w:val="20"/>
              </w:rPr>
            </w:pPr>
            <w:r w:rsidRPr="00010CF3">
              <w:rPr>
                <w:rFonts w:cs="Arial"/>
                <w:b/>
                <w:bCs/>
                <w:color w:val="000000"/>
                <w:sz w:val="20"/>
                <w:szCs w:val="20"/>
              </w:rPr>
              <w:t>Previsão Atualizada</w:t>
            </w:r>
          </w:p>
        </w:tc>
        <w:tc>
          <w:tcPr>
            <w:tcW w:w="1000" w:type="pct"/>
            <w:tcBorders>
              <w:top w:val="single" w:sz="4" w:space="0" w:color="auto"/>
              <w:left w:val="single" w:sz="4" w:space="0" w:color="auto"/>
              <w:bottom w:val="single" w:sz="4" w:space="0" w:color="auto"/>
              <w:right w:val="nil"/>
            </w:tcBorders>
            <w:shd w:val="clear" w:color="000000" w:fill="A1F2FD"/>
            <w:vAlign w:val="center"/>
            <w:hideMark/>
          </w:tcPr>
          <w:p w14:paraId="2DE0AAFD" w14:textId="77777777" w:rsidR="00B67EB7" w:rsidRPr="00010CF3" w:rsidRDefault="00B67EB7" w:rsidP="00B67EB7">
            <w:pPr>
              <w:jc w:val="center"/>
              <w:rPr>
                <w:rFonts w:cs="Arial"/>
                <w:b/>
                <w:bCs/>
                <w:color w:val="000000"/>
                <w:sz w:val="20"/>
                <w:szCs w:val="20"/>
              </w:rPr>
            </w:pPr>
            <w:r w:rsidRPr="00010CF3">
              <w:rPr>
                <w:rFonts w:cs="Arial"/>
                <w:b/>
                <w:bCs/>
                <w:color w:val="000000"/>
                <w:sz w:val="20"/>
                <w:szCs w:val="20"/>
              </w:rPr>
              <w:t>Receitas Realizadas</w:t>
            </w:r>
          </w:p>
        </w:tc>
      </w:tr>
      <w:tr w:rsidR="00B67EB7" w:rsidRPr="00010CF3" w14:paraId="4C44736C" w14:textId="77777777" w:rsidTr="00680792">
        <w:trPr>
          <w:trHeight w:val="284"/>
        </w:trPr>
        <w:tc>
          <w:tcPr>
            <w:tcW w:w="3149" w:type="pct"/>
            <w:tcBorders>
              <w:top w:val="single" w:sz="4" w:space="0" w:color="auto"/>
              <w:left w:val="nil"/>
              <w:bottom w:val="single" w:sz="4" w:space="0" w:color="auto"/>
              <w:right w:val="single" w:sz="4" w:space="0" w:color="auto"/>
            </w:tcBorders>
            <w:shd w:val="clear" w:color="auto" w:fill="auto"/>
            <w:vAlign w:val="center"/>
            <w:hideMark/>
          </w:tcPr>
          <w:p w14:paraId="3EF82279" w14:textId="77777777" w:rsidR="00B67EB7" w:rsidRPr="00010CF3" w:rsidRDefault="00B67EB7" w:rsidP="00B67EB7">
            <w:pPr>
              <w:ind w:firstLineChars="100" w:firstLine="200"/>
              <w:rPr>
                <w:rFonts w:cs="Arial"/>
                <w:color w:val="000000"/>
                <w:sz w:val="20"/>
                <w:szCs w:val="20"/>
              </w:rPr>
            </w:pPr>
            <w:r w:rsidRPr="00010CF3">
              <w:rPr>
                <w:rFonts w:cs="Arial"/>
                <w:color w:val="000000"/>
                <w:sz w:val="20"/>
                <w:szCs w:val="20"/>
              </w:rPr>
              <w:t>Demais Receitas Previdenciárias</w:t>
            </w:r>
          </w:p>
        </w:tc>
        <w:tc>
          <w:tcPr>
            <w:tcW w:w="8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4F5798" w14:textId="35D40947" w:rsidR="00B67EB7" w:rsidRPr="00010CF3" w:rsidRDefault="00B67EB7" w:rsidP="00B67EB7">
            <w:pPr>
              <w:jc w:val="right"/>
              <w:rPr>
                <w:rFonts w:cs="Arial"/>
                <w:color w:val="000000"/>
                <w:sz w:val="20"/>
                <w:szCs w:val="20"/>
              </w:rPr>
            </w:pPr>
            <w:r w:rsidRPr="00010CF3">
              <w:rPr>
                <w:rFonts w:cs="Arial"/>
                <w:color w:val="000000"/>
                <w:sz w:val="20"/>
                <w:szCs w:val="20"/>
              </w:rPr>
              <w:t>6.542.000</w:t>
            </w:r>
          </w:p>
        </w:tc>
        <w:tc>
          <w:tcPr>
            <w:tcW w:w="1000" w:type="pct"/>
            <w:tcBorders>
              <w:top w:val="single" w:sz="4" w:space="0" w:color="auto"/>
              <w:left w:val="single" w:sz="4" w:space="0" w:color="auto"/>
              <w:bottom w:val="single" w:sz="4" w:space="0" w:color="auto"/>
              <w:right w:val="nil"/>
            </w:tcBorders>
            <w:shd w:val="clear" w:color="auto" w:fill="auto"/>
            <w:vAlign w:val="center"/>
            <w:hideMark/>
          </w:tcPr>
          <w:p w14:paraId="0EE041AE" w14:textId="78B0E6F0" w:rsidR="00B67EB7" w:rsidRPr="00010CF3" w:rsidRDefault="00B67EB7" w:rsidP="00B67EB7">
            <w:pPr>
              <w:jc w:val="right"/>
              <w:rPr>
                <w:rFonts w:cs="Arial"/>
                <w:color w:val="000000"/>
                <w:sz w:val="20"/>
                <w:szCs w:val="20"/>
              </w:rPr>
            </w:pPr>
            <w:r w:rsidRPr="00010CF3">
              <w:rPr>
                <w:rFonts w:cs="Arial"/>
                <w:color w:val="000000"/>
                <w:sz w:val="20"/>
                <w:szCs w:val="20"/>
              </w:rPr>
              <w:t>193.993</w:t>
            </w:r>
          </w:p>
        </w:tc>
      </w:tr>
      <w:tr w:rsidR="00B67EB7" w:rsidRPr="00010CF3" w14:paraId="26390CD2" w14:textId="77777777" w:rsidTr="00680792">
        <w:trPr>
          <w:trHeight w:val="284"/>
        </w:trPr>
        <w:tc>
          <w:tcPr>
            <w:tcW w:w="3149" w:type="pct"/>
            <w:tcBorders>
              <w:top w:val="single" w:sz="4" w:space="0" w:color="auto"/>
              <w:left w:val="nil"/>
              <w:bottom w:val="single" w:sz="4" w:space="0" w:color="auto"/>
              <w:right w:val="single" w:sz="4" w:space="0" w:color="auto"/>
            </w:tcBorders>
            <w:shd w:val="clear" w:color="auto" w:fill="auto"/>
            <w:vAlign w:val="center"/>
            <w:hideMark/>
          </w:tcPr>
          <w:p w14:paraId="790CCD73" w14:textId="5DB2372C" w:rsidR="00B67EB7" w:rsidRPr="00010CF3" w:rsidRDefault="00B67EB7" w:rsidP="006028A0">
            <w:pPr>
              <w:jc w:val="center"/>
              <w:rPr>
                <w:rFonts w:cs="Arial"/>
                <w:b/>
                <w:bCs/>
                <w:color w:val="000000"/>
                <w:sz w:val="20"/>
                <w:szCs w:val="20"/>
              </w:rPr>
            </w:pPr>
            <w:r w:rsidRPr="00010CF3">
              <w:rPr>
                <w:rFonts w:cs="Arial"/>
                <w:b/>
                <w:bCs/>
                <w:color w:val="000000"/>
                <w:sz w:val="20"/>
                <w:szCs w:val="20"/>
              </w:rPr>
              <w:t>Total das Receitas (I)</w:t>
            </w:r>
          </w:p>
        </w:tc>
        <w:tc>
          <w:tcPr>
            <w:tcW w:w="8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329F19" w14:textId="1EA54C48" w:rsidR="00B67EB7" w:rsidRPr="00010CF3" w:rsidRDefault="00B67EB7" w:rsidP="00B67EB7">
            <w:pPr>
              <w:jc w:val="right"/>
              <w:rPr>
                <w:rFonts w:cs="Arial"/>
                <w:b/>
                <w:bCs/>
                <w:color w:val="000000"/>
                <w:sz w:val="20"/>
                <w:szCs w:val="20"/>
              </w:rPr>
            </w:pPr>
            <w:r w:rsidRPr="00010CF3">
              <w:rPr>
                <w:rFonts w:cs="Arial"/>
                <w:b/>
                <w:bCs/>
                <w:color w:val="000000"/>
                <w:sz w:val="20"/>
                <w:szCs w:val="20"/>
              </w:rPr>
              <w:t>6.542.000</w:t>
            </w:r>
          </w:p>
        </w:tc>
        <w:tc>
          <w:tcPr>
            <w:tcW w:w="1000" w:type="pct"/>
            <w:tcBorders>
              <w:top w:val="single" w:sz="4" w:space="0" w:color="auto"/>
              <w:left w:val="single" w:sz="4" w:space="0" w:color="auto"/>
              <w:bottom w:val="single" w:sz="4" w:space="0" w:color="auto"/>
              <w:right w:val="nil"/>
            </w:tcBorders>
            <w:shd w:val="clear" w:color="auto" w:fill="auto"/>
            <w:vAlign w:val="center"/>
            <w:hideMark/>
          </w:tcPr>
          <w:p w14:paraId="600E78B1" w14:textId="062ACE73" w:rsidR="00B67EB7" w:rsidRPr="00010CF3" w:rsidRDefault="00B67EB7" w:rsidP="00B67EB7">
            <w:pPr>
              <w:jc w:val="right"/>
              <w:rPr>
                <w:rFonts w:cs="Arial"/>
                <w:b/>
                <w:bCs/>
                <w:color w:val="000000"/>
                <w:sz w:val="20"/>
                <w:szCs w:val="20"/>
              </w:rPr>
            </w:pPr>
            <w:r w:rsidRPr="00010CF3">
              <w:rPr>
                <w:rFonts w:cs="Arial"/>
                <w:b/>
                <w:bCs/>
                <w:color w:val="000000"/>
                <w:sz w:val="20"/>
                <w:szCs w:val="20"/>
              </w:rPr>
              <w:t>193.993</w:t>
            </w:r>
          </w:p>
        </w:tc>
      </w:tr>
    </w:tbl>
    <w:p w14:paraId="0D8F963C" w14:textId="77777777" w:rsidR="00010CF3" w:rsidRDefault="00010CF3"/>
    <w:tbl>
      <w:tblPr>
        <w:tblW w:w="5000" w:type="pct"/>
        <w:tblCellMar>
          <w:left w:w="70" w:type="dxa"/>
          <w:right w:w="70" w:type="dxa"/>
        </w:tblCellMar>
        <w:tblLook w:val="04A0" w:firstRow="1" w:lastRow="0" w:firstColumn="1" w:lastColumn="0" w:noHBand="0" w:noVBand="1"/>
      </w:tblPr>
      <w:tblGrid>
        <w:gridCol w:w="5890"/>
        <w:gridCol w:w="1592"/>
        <w:gridCol w:w="1871"/>
      </w:tblGrid>
      <w:tr w:rsidR="00B67EB7" w:rsidRPr="00010CF3" w14:paraId="5C9871CD" w14:textId="77777777" w:rsidTr="00680792">
        <w:trPr>
          <w:trHeight w:val="87"/>
        </w:trPr>
        <w:tc>
          <w:tcPr>
            <w:tcW w:w="3149" w:type="pct"/>
            <w:tcBorders>
              <w:top w:val="nil"/>
              <w:left w:val="nil"/>
              <w:bottom w:val="single" w:sz="4" w:space="0" w:color="auto"/>
              <w:right w:val="nil"/>
            </w:tcBorders>
            <w:shd w:val="clear" w:color="auto" w:fill="auto"/>
            <w:noWrap/>
            <w:vAlign w:val="bottom"/>
            <w:hideMark/>
          </w:tcPr>
          <w:p w14:paraId="75ADAB0E" w14:textId="77777777" w:rsidR="00B67EB7" w:rsidRPr="00010CF3" w:rsidRDefault="00B67EB7" w:rsidP="00E73548">
            <w:pPr>
              <w:rPr>
                <w:rFonts w:cs="Arial"/>
                <w:b/>
                <w:bCs/>
                <w:color w:val="000000"/>
                <w:sz w:val="20"/>
                <w:szCs w:val="20"/>
              </w:rPr>
            </w:pPr>
          </w:p>
        </w:tc>
        <w:tc>
          <w:tcPr>
            <w:tcW w:w="851" w:type="pct"/>
            <w:tcBorders>
              <w:top w:val="nil"/>
              <w:left w:val="nil"/>
              <w:bottom w:val="single" w:sz="4" w:space="0" w:color="auto"/>
              <w:right w:val="nil"/>
            </w:tcBorders>
            <w:shd w:val="clear" w:color="auto" w:fill="auto"/>
            <w:noWrap/>
            <w:vAlign w:val="bottom"/>
            <w:hideMark/>
          </w:tcPr>
          <w:p w14:paraId="22881EF7" w14:textId="77777777" w:rsidR="00B67EB7" w:rsidRPr="00010CF3" w:rsidRDefault="00B67EB7" w:rsidP="00B67EB7">
            <w:pPr>
              <w:rPr>
                <w:rFonts w:cs="Arial"/>
                <w:sz w:val="20"/>
                <w:szCs w:val="20"/>
              </w:rPr>
            </w:pPr>
          </w:p>
        </w:tc>
        <w:tc>
          <w:tcPr>
            <w:tcW w:w="1000" w:type="pct"/>
            <w:tcBorders>
              <w:top w:val="nil"/>
              <w:left w:val="nil"/>
              <w:bottom w:val="single" w:sz="4" w:space="0" w:color="auto"/>
              <w:right w:val="nil"/>
            </w:tcBorders>
            <w:shd w:val="clear" w:color="auto" w:fill="auto"/>
            <w:noWrap/>
            <w:vAlign w:val="bottom"/>
            <w:hideMark/>
          </w:tcPr>
          <w:p w14:paraId="5B18AC57" w14:textId="77777777" w:rsidR="00B67EB7" w:rsidRPr="00010CF3" w:rsidRDefault="00B67EB7" w:rsidP="00B67EB7">
            <w:pPr>
              <w:rPr>
                <w:rFonts w:cs="Arial"/>
                <w:sz w:val="20"/>
                <w:szCs w:val="20"/>
              </w:rPr>
            </w:pPr>
          </w:p>
        </w:tc>
      </w:tr>
      <w:tr w:rsidR="00B67EB7" w:rsidRPr="00010CF3" w14:paraId="364F362D" w14:textId="77777777" w:rsidTr="00680792">
        <w:trPr>
          <w:trHeight w:val="284"/>
        </w:trPr>
        <w:tc>
          <w:tcPr>
            <w:tcW w:w="3149" w:type="pct"/>
            <w:tcBorders>
              <w:top w:val="single" w:sz="4" w:space="0" w:color="auto"/>
              <w:left w:val="nil"/>
              <w:bottom w:val="single" w:sz="4" w:space="0" w:color="auto"/>
              <w:right w:val="single" w:sz="4" w:space="0" w:color="auto"/>
            </w:tcBorders>
            <w:shd w:val="clear" w:color="000000" w:fill="A1F2FD"/>
            <w:vAlign w:val="center"/>
            <w:hideMark/>
          </w:tcPr>
          <w:p w14:paraId="5F52AA66" w14:textId="5309855A" w:rsidR="00B67EB7" w:rsidRPr="00010CF3" w:rsidRDefault="00B67EB7" w:rsidP="006028A0">
            <w:pPr>
              <w:jc w:val="center"/>
              <w:rPr>
                <w:rFonts w:cs="Arial"/>
                <w:b/>
                <w:bCs/>
                <w:color w:val="000000"/>
                <w:sz w:val="20"/>
                <w:szCs w:val="20"/>
              </w:rPr>
            </w:pPr>
            <w:r w:rsidRPr="00010CF3">
              <w:rPr>
                <w:rFonts w:cs="Arial"/>
                <w:b/>
                <w:bCs/>
                <w:color w:val="000000"/>
                <w:sz w:val="20"/>
                <w:szCs w:val="20"/>
              </w:rPr>
              <w:t>Despesas Previdenciárias</w:t>
            </w:r>
          </w:p>
        </w:tc>
        <w:tc>
          <w:tcPr>
            <w:tcW w:w="851" w:type="pct"/>
            <w:tcBorders>
              <w:top w:val="single" w:sz="4" w:space="0" w:color="auto"/>
              <w:left w:val="single" w:sz="4" w:space="0" w:color="auto"/>
              <w:bottom w:val="single" w:sz="4" w:space="0" w:color="auto"/>
              <w:right w:val="single" w:sz="4" w:space="0" w:color="auto"/>
            </w:tcBorders>
            <w:shd w:val="clear" w:color="000000" w:fill="A1F2FD"/>
            <w:vAlign w:val="center"/>
            <w:hideMark/>
          </w:tcPr>
          <w:p w14:paraId="015FFE99" w14:textId="77777777" w:rsidR="00B67EB7" w:rsidRPr="00010CF3" w:rsidRDefault="00B67EB7" w:rsidP="00B67EB7">
            <w:pPr>
              <w:jc w:val="center"/>
              <w:rPr>
                <w:rFonts w:cs="Arial"/>
                <w:b/>
                <w:bCs/>
                <w:color w:val="000000"/>
                <w:sz w:val="20"/>
                <w:szCs w:val="20"/>
              </w:rPr>
            </w:pPr>
            <w:r w:rsidRPr="00010CF3">
              <w:rPr>
                <w:rFonts w:cs="Arial"/>
                <w:b/>
                <w:bCs/>
                <w:color w:val="000000"/>
                <w:sz w:val="20"/>
                <w:szCs w:val="20"/>
              </w:rPr>
              <w:t>Dotação Atualizada</w:t>
            </w:r>
          </w:p>
        </w:tc>
        <w:tc>
          <w:tcPr>
            <w:tcW w:w="1000" w:type="pct"/>
            <w:tcBorders>
              <w:top w:val="single" w:sz="4" w:space="0" w:color="auto"/>
              <w:left w:val="single" w:sz="4" w:space="0" w:color="auto"/>
              <w:bottom w:val="single" w:sz="4" w:space="0" w:color="auto"/>
              <w:right w:val="nil"/>
            </w:tcBorders>
            <w:shd w:val="clear" w:color="000000" w:fill="A1F2FD"/>
            <w:vAlign w:val="center"/>
            <w:hideMark/>
          </w:tcPr>
          <w:p w14:paraId="5AB6EA81" w14:textId="77777777" w:rsidR="00B67EB7" w:rsidRPr="00010CF3" w:rsidRDefault="00B67EB7" w:rsidP="00B67EB7">
            <w:pPr>
              <w:jc w:val="center"/>
              <w:rPr>
                <w:rFonts w:cs="Arial"/>
                <w:b/>
                <w:bCs/>
                <w:color w:val="000000"/>
                <w:sz w:val="20"/>
                <w:szCs w:val="20"/>
              </w:rPr>
            </w:pPr>
            <w:r w:rsidRPr="00010CF3">
              <w:rPr>
                <w:rFonts w:cs="Arial"/>
                <w:b/>
                <w:bCs/>
                <w:color w:val="000000"/>
                <w:sz w:val="20"/>
                <w:szCs w:val="20"/>
              </w:rPr>
              <w:t>Despesas Empenhadas</w:t>
            </w:r>
          </w:p>
        </w:tc>
      </w:tr>
      <w:tr w:rsidR="00B67EB7" w:rsidRPr="00010CF3" w14:paraId="008CD69D" w14:textId="77777777" w:rsidTr="00680792">
        <w:trPr>
          <w:trHeight w:val="284"/>
        </w:trPr>
        <w:tc>
          <w:tcPr>
            <w:tcW w:w="3149" w:type="pct"/>
            <w:tcBorders>
              <w:top w:val="single" w:sz="4" w:space="0" w:color="auto"/>
              <w:left w:val="nil"/>
              <w:bottom w:val="nil"/>
              <w:right w:val="single" w:sz="4" w:space="0" w:color="auto"/>
            </w:tcBorders>
            <w:shd w:val="clear" w:color="auto" w:fill="auto"/>
            <w:vAlign w:val="center"/>
            <w:hideMark/>
          </w:tcPr>
          <w:p w14:paraId="17DE1D17" w14:textId="77777777" w:rsidR="00B67EB7" w:rsidRPr="00010CF3" w:rsidRDefault="00B67EB7" w:rsidP="00B67EB7">
            <w:pPr>
              <w:rPr>
                <w:rFonts w:cs="Arial"/>
                <w:color w:val="000000"/>
                <w:sz w:val="20"/>
                <w:szCs w:val="20"/>
              </w:rPr>
            </w:pPr>
            <w:r w:rsidRPr="00010CF3">
              <w:rPr>
                <w:rFonts w:cs="Arial"/>
                <w:color w:val="000000"/>
                <w:sz w:val="20"/>
                <w:szCs w:val="20"/>
              </w:rPr>
              <w:t>Aposentadorias</w:t>
            </w:r>
          </w:p>
        </w:tc>
        <w:tc>
          <w:tcPr>
            <w:tcW w:w="851" w:type="pct"/>
            <w:tcBorders>
              <w:top w:val="single" w:sz="4" w:space="0" w:color="auto"/>
              <w:left w:val="single" w:sz="4" w:space="0" w:color="auto"/>
              <w:bottom w:val="nil"/>
              <w:right w:val="single" w:sz="4" w:space="0" w:color="auto"/>
            </w:tcBorders>
            <w:shd w:val="clear" w:color="auto" w:fill="auto"/>
            <w:vAlign w:val="center"/>
            <w:hideMark/>
          </w:tcPr>
          <w:p w14:paraId="3F0EAC6F" w14:textId="3E5819C5" w:rsidR="00B67EB7" w:rsidRPr="00010CF3" w:rsidRDefault="00B67EB7" w:rsidP="00B67EB7">
            <w:pPr>
              <w:jc w:val="right"/>
              <w:rPr>
                <w:rFonts w:cs="Arial"/>
                <w:color w:val="000000"/>
                <w:sz w:val="20"/>
                <w:szCs w:val="20"/>
              </w:rPr>
            </w:pPr>
            <w:r w:rsidRPr="00010CF3">
              <w:rPr>
                <w:rFonts w:cs="Arial"/>
                <w:color w:val="000000"/>
                <w:sz w:val="20"/>
                <w:szCs w:val="20"/>
              </w:rPr>
              <w:t>51.895.906</w:t>
            </w:r>
          </w:p>
        </w:tc>
        <w:tc>
          <w:tcPr>
            <w:tcW w:w="1000" w:type="pct"/>
            <w:tcBorders>
              <w:top w:val="single" w:sz="4" w:space="0" w:color="auto"/>
              <w:left w:val="single" w:sz="4" w:space="0" w:color="auto"/>
              <w:bottom w:val="nil"/>
              <w:right w:val="nil"/>
            </w:tcBorders>
            <w:shd w:val="clear" w:color="auto" w:fill="auto"/>
            <w:vAlign w:val="center"/>
            <w:hideMark/>
          </w:tcPr>
          <w:p w14:paraId="30F9F731" w14:textId="7E0EDF00" w:rsidR="00B67EB7" w:rsidRPr="00010CF3" w:rsidRDefault="00B67EB7" w:rsidP="00B67EB7">
            <w:pPr>
              <w:jc w:val="right"/>
              <w:rPr>
                <w:rFonts w:cs="Arial"/>
                <w:sz w:val="20"/>
                <w:szCs w:val="20"/>
              </w:rPr>
            </w:pPr>
            <w:r w:rsidRPr="00010CF3">
              <w:rPr>
                <w:rFonts w:cs="Arial"/>
                <w:sz w:val="20"/>
                <w:szCs w:val="20"/>
              </w:rPr>
              <w:t>51.526.433</w:t>
            </w:r>
          </w:p>
        </w:tc>
      </w:tr>
      <w:tr w:rsidR="00B67EB7" w:rsidRPr="00010CF3" w14:paraId="7217F264" w14:textId="77777777" w:rsidTr="00680792">
        <w:trPr>
          <w:trHeight w:val="284"/>
        </w:trPr>
        <w:tc>
          <w:tcPr>
            <w:tcW w:w="3149" w:type="pct"/>
            <w:tcBorders>
              <w:top w:val="nil"/>
              <w:left w:val="nil"/>
              <w:bottom w:val="nil"/>
              <w:right w:val="single" w:sz="4" w:space="0" w:color="auto"/>
            </w:tcBorders>
            <w:shd w:val="clear" w:color="auto" w:fill="auto"/>
            <w:vAlign w:val="center"/>
            <w:hideMark/>
          </w:tcPr>
          <w:p w14:paraId="36120746" w14:textId="77777777" w:rsidR="00B67EB7" w:rsidRPr="00010CF3" w:rsidRDefault="00B67EB7" w:rsidP="00B67EB7">
            <w:pPr>
              <w:rPr>
                <w:rFonts w:cs="Arial"/>
                <w:color w:val="000000"/>
                <w:sz w:val="20"/>
                <w:szCs w:val="20"/>
              </w:rPr>
            </w:pPr>
            <w:r w:rsidRPr="00010CF3">
              <w:rPr>
                <w:rFonts w:cs="Arial"/>
                <w:color w:val="000000"/>
                <w:sz w:val="20"/>
                <w:szCs w:val="20"/>
              </w:rPr>
              <w:t>Pensões</w:t>
            </w:r>
          </w:p>
        </w:tc>
        <w:tc>
          <w:tcPr>
            <w:tcW w:w="851" w:type="pct"/>
            <w:tcBorders>
              <w:top w:val="nil"/>
              <w:left w:val="single" w:sz="4" w:space="0" w:color="auto"/>
              <w:bottom w:val="nil"/>
              <w:right w:val="single" w:sz="4" w:space="0" w:color="auto"/>
            </w:tcBorders>
            <w:shd w:val="clear" w:color="auto" w:fill="auto"/>
            <w:vAlign w:val="center"/>
            <w:hideMark/>
          </w:tcPr>
          <w:p w14:paraId="6CADD1C9" w14:textId="44E5BCF3" w:rsidR="00B67EB7" w:rsidRPr="00010CF3" w:rsidRDefault="00B67EB7" w:rsidP="00B67EB7">
            <w:pPr>
              <w:jc w:val="right"/>
              <w:rPr>
                <w:rFonts w:cs="Arial"/>
                <w:color w:val="000000"/>
                <w:sz w:val="20"/>
                <w:szCs w:val="20"/>
              </w:rPr>
            </w:pPr>
            <w:r w:rsidRPr="00010CF3">
              <w:rPr>
                <w:rFonts w:cs="Arial"/>
                <w:color w:val="000000"/>
                <w:sz w:val="20"/>
                <w:szCs w:val="20"/>
              </w:rPr>
              <w:t>21.563.000</w:t>
            </w:r>
          </w:p>
        </w:tc>
        <w:tc>
          <w:tcPr>
            <w:tcW w:w="1000" w:type="pct"/>
            <w:tcBorders>
              <w:top w:val="nil"/>
              <w:left w:val="single" w:sz="4" w:space="0" w:color="auto"/>
              <w:bottom w:val="nil"/>
              <w:right w:val="nil"/>
            </w:tcBorders>
            <w:shd w:val="clear" w:color="auto" w:fill="auto"/>
            <w:vAlign w:val="center"/>
            <w:hideMark/>
          </w:tcPr>
          <w:p w14:paraId="6355EAA7" w14:textId="5CF7B45D" w:rsidR="00B67EB7" w:rsidRPr="00010CF3" w:rsidRDefault="00B67EB7" w:rsidP="00B67EB7">
            <w:pPr>
              <w:jc w:val="right"/>
              <w:rPr>
                <w:rFonts w:cs="Arial"/>
                <w:sz w:val="20"/>
                <w:szCs w:val="20"/>
              </w:rPr>
            </w:pPr>
            <w:r w:rsidRPr="00010CF3">
              <w:rPr>
                <w:rFonts w:cs="Arial"/>
                <w:sz w:val="20"/>
                <w:szCs w:val="20"/>
              </w:rPr>
              <w:t>16.757.370</w:t>
            </w:r>
          </w:p>
        </w:tc>
      </w:tr>
      <w:tr w:rsidR="00B67EB7" w:rsidRPr="00010CF3" w14:paraId="7CF5B6D6" w14:textId="77777777" w:rsidTr="00680792">
        <w:trPr>
          <w:trHeight w:val="284"/>
        </w:trPr>
        <w:tc>
          <w:tcPr>
            <w:tcW w:w="3149" w:type="pct"/>
            <w:tcBorders>
              <w:top w:val="nil"/>
              <w:left w:val="nil"/>
              <w:bottom w:val="single" w:sz="4" w:space="0" w:color="auto"/>
              <w:right w:val="single" w:sz="4" w:space="0" w:color="auto"/>
            </w:tcBorders>
            <w:shd w:val="clear" w:color="auto" w:fill="auto"/>
            <w:vAlign w:val="center"/>
            <w:hideMark/>
          </w:tcPr>
          <w:p w14:paraId="1BBACB7C" w14:textId="77777777" w:rsidR="00B67EB7" w:rsidRPr="00010CF3" w:rsidRDefault="00B67EB7" w:rsidP="00B67EB7">
            <w:pPr>
              <w:rPr>
                <w:rFonts w:cs="Arial"/>
                <w:color w:val="000000"/>
                <w:sz w:val="20"/>
                <w:szCs w:val="20"/>
              </w:rPr>
            </w:pPr>
            <w:r w:rsidRPr="00010CF3">
              <w:rPr>
                <w:rFonts w:cs="Arial"/>
                <w:color w:val="000000"/>
                <w:sz w:val="20"/>
                <w:szCs w:val="20"/>
              </w:rPr>
              <w:t>Outras Despesas Previdenciárias</w:t>
            </w:r>
          </w:p>
        </w:tc>
        <w:tc>
          <w:tcPr>
            <w:tcW w:w="851" w:type="pct"/>
            <w:tcBorders>
              <w:top w:val="nil"/>
              <w:left w:val="single" w:sz="4" w:space="0" w:color="auto"/>
              <w:bottom w:val="single" w:sz="4" w:space="0" w:color="auto"/>
              <w:right w:val="single" w:sz="4" w:space="0" w:color="auto"/>
            </w:tcBorders>
            <w:shd w:val="clear" w:color="auto" w:fill="auto"/>
            <w:vAlign w:val="center"/>
            <w:hideMark/>
          </w:tcPr>
          <w:p w14:paraId="681D0FEA" w14:textId="593B670B" w:rsidR="00B67EB7" w:rsidRPr="00010CF3" w:rsidRDefault="00B67EB7" w:rsidP="00B67EB7">
            <w:pPr>
              <w:jc w:val="right"/>
              <w:rPr>
                <w:rFonts w:cs="Arial"/>
                <w:color w:val="000000"/>
                <w:sz w:val="20"/>
                <w:szCs w:val="20"/>
              </w:rPr>
            </w:pPr>
            <w:r w:rsidRPr="00010CF3">
              <w:rPr>
                <w:rFonts w:cs="Arial"/>
                <w:color w:val="000000"/>
                <w:sz w:val="20"/>
                <w:szCs w:val="20"/>
              </w:rPr>
              <w:t>1.09</w:t>
            </w:r>
            <w:r w:rsidR="00010CF3">
              <w:rPr>
                <w:rFonts w:cs="Arial"/>
                <w:color w:val="000000"/>
                <w:sz w:val="20"/>
                <w:szCs w:val="20"/>
              </w:rPr>
              <w:t>4</w:t>
            </w:r>
          </w:p>
        </w:tc>
        <w:tc>
          <w:tcPr>
            <w:tcW w:w="1000" w:type="pct"/>
            <w:tcBorders>
              <w:top w:val="nil"/>
              <w:left w:val="single" w:sz="4" w:space="0" w:color="auto"/>
              <w:bottom w:val="single" w:sz="4" w:space="0" w:color="auto"/>
              <w:right w:val="nil"/>
            </w:tcBorders>
            <w:shd w:val="clear" w:color="auto" w:fill="auto"/>
            <w:vAlign w:val="center"/>
            <w:hideMark/>
          </w:tcPr>
          <w:p w14:paraId="3DF862DE" w14:textId="09B6C466" w:rsidR="00B67EB7" w:rsidRPr="00010CF3" w:rsidRDefault="00B67EB7" w:rsidP="00B67EB7">
            <w:pPr>
              <w:jc w:val="right"/>
              <w:rPr>
                <w:rFonts w:cs="Arial"/>
                <w:sz w:val="20"/>
                <w:szCs w:val="20"/>
              </w:rPr>
            </w:pPr>
            <w:r w:rsidRPr="00010CF3">
              <w:rPr>
                <w:rFonts w:cs="Arial"/>
                <w:sz w:val="20"/>
                <w:szCs w:val="20"/>
              </w:rPr>
              <w:t>9</w:t>
            </w:r>
            <w:r w:rsidR="00010CF3">
              <w:rPr>
                <w:rFonts w:cs="Arial"/>
                <w:sz w:val="20"/>
                <w:szCs w:val="20"/>
              </w:rPr>
              <w:t>4</w:t>
            </w:r>
          </w:p>
        </w:tc>
      </w:tr>
      <w:tr w:rsidR="00B67EB7" w:rsidRPr="00010CF3" w14:paraId="767A9593" w14:textId="77777777" w:rsidTr="00680792">
        <w:trPr>
          <w:trHeight w:val="284"/>
        </w:trPr>
        <w:tc>
          <w:tcPr>
            <w:tcW w:w="3149" w:type="pct"/>
            <w:tcBorders>
              <w:top w:val="single" w:sz="4" w:space="0" w:color="auto"/>
              <w:left w:val="nil"/>
              <w:bottom w:val="single" w:sz="4" w:space="0" w:color="auto"/>
              <w:right w:val="single" w:sz="4" w:space="0" w:color="auto"/>
            </w:tcBorders>
            <w:shd w:val="clear" w:color="auto" w:fill="auto"/>
            <w:vAlign w:val="center"/>
            <w:hideMark/>
          </w:tcPr>
          <w:p w14:paraId="797427ED" w14:textId="7050AAFB" w:rsidR="00B67EB7" w:rsidRPr="00010CF3" w:rsidRDefault="00B67EB7" w:rsidP="006028A0">
            <w:pPr>
              <w:jc w:val="center"/>
              <w:rPr>
                <w:rFonts w:cs="Arial"/>
                <w:b/>
                <w:bCs/>
                <w:sz w:val="20"/>
                <w:szCs w:val="20"/>
              </w:rPr>
            </w:pPr>
            <w:r w:rsidRPr="00010CF3">
              <w:rPr>
                <w:rFonts w:cs="Arial"/>
                <w:b/>
                <w:bCs/>
                <w:sz w:val="20"/>
                <w:szCs w:val="20"/>
              </w:rPr>
              <w:t>Total das Despesas (II)</w:t>
            </w:r>
          </w:p>
        </w:tc>
        <w:tc>
          <w:tcPr>
            <w:tcW w:w="8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2C966C" w14:textId="3B5D3873" w:rsidR="00B67EB7" w:rsidRPr="00010CF3" w:rsidRDefault="00B67EB7" w:rsidP="00B67EB7">
            <w:pPr>
              <w:jc w:val="right"/>
              <w:rPr>
                <w:rFonts w:cs="Arial"/>
                <w:b/>
                <w:bCs/>
                <w:sz w:val="20"/>
                <w:szCs w:val="20"/>
              </w:rPr>
            </w:pPr>
            <w:r w:rsidRPr="00010CF3">
              <w:rPr>
                <w:rFonts w:cs="Arial"/>
                <w:b/>
                <w:bCs/>
                <w:sz w:val="20"/>
                <w:szCs w:val="20"/>
              </w:rPr>
              <w:t>73.460.000</w:t>
            </w:r>
          </w:p>
        </w:tc>
        <w:tc>
          <w:tcPr>
            <w:tcW w:w="1000" w:type="pct"/>
            <w:tcBorders>
              <w:top w:val="single" w:sz="4" w:space="0" w:color="auto"/>
              <w:left w:val="single" w:sz="4" w:space="0" w:color="auto"/>
              <w:bottom w:val="single" w:sz="4" w:space="0" w:color="auto"/>
              <w:right w:val="nil"/>
            </w:tcBorders>
            <w:shd w:val="clear" w:color="auto" w:fill="auto"/>
            <w:vAlign w:val="center"/>
            <w:hideMark/>
          </w:tcPr>
          <w:p w14:paraId="619399A7" w14:textId="6878470E" w:rsidR="00B67EB7" w:rsidRPr="00010CF3" w:rsidRDefault="00B67EB7" w:rsidP="00B67EB7">
            <w:pPr>
              <w:jc w:val="right"/>
              <w:rPr>
                <w:rFonts w:cs="Arial"/>
                <w:b/>
                <w:bCs/>
                <w:sz w:val="20"/>
                <w:szCs w:val="20"/>
              </w:rPr>
            </w:pPr>
            <w:r w:rsidRPr="00010CF3">
              <w:rPr>
                <w:rFonts w:cs="Arial"/>
                <w:b/>
                <w:bCs/>
                <w:sz w:val="20"/>
                <w:szCs w:val="20"/>
              </w:rPr>
              <w:t>68.283.897</w:t>
            </w:r>
          </w:p>
        </w:tc>
      </w:tr>
      <w:tr w:rsidR="00B67EB7" w:rsidRPr="00010CF3" w14:paraId="324A718B" w14:textId="77777777" w:rsidTr="00680792">
        <w:trPr>
          <w:trHeight w:val="284"/>
        </w:trPr>
        <w:tc>
          <w:tcPr>
            <w:tcW w:w="3149" w:type="pct"/>
            <w:tcBorders>
              <w:top w:val="single" w:sz="4" w:space="0" w:color="auto"/>
              <w:left w:val="nil"/>
              <w:bottom w:val="single" w:sz="4" w:space="0" w:color="auto"/>
              <w:right w:val="single" w:sz="4" w:space="0" w:color="auto"/>
            </w:tcBorders>
            <w:shd w:val="clear" w:color="auto" w:fill="auto"/>
            <w:vAlign w:val="center"/>
            <w:hideMark/>
          </w:tcPr>
          <w:p w14:paraId="57C9168C" w14:textId="77777777" w:rsidR="00B67EB7" w:rsidRPr="00010CF3" w:rsidRDefault="00B67EB7" w:rsidP="00B67EB7">
            <w:pPr>
              <w:jc w:val="right"/>
              <w:rPr>
                <w:rFonts w:cs="Arial"/>
                <w:b/>
                <w:bCs/>
                <w:color w:val="002060"/>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872D34C" w14:textId="77777777" w:rsidR="00B67EB7" w:rsidRPr="00010CF3" w:rsidRDefault="00B67EB7" w:rsidP="00B67EB7">
            <w:pPr>
              <w:rPr>
                <w:rFonts w:cs="Arial"/>
                <w:sz w:val="20"/>
                <w:szCs w:val="20"/>
              </w:rPr>
            </w:pPr>
          </w:p>
        </w:tc>
        <w:tc>
          <w:tcPr>
            <w:tcW w:w="1000" w:type="pct"/>
            <w:tcBorders>
              <w:top w:val="single" w:sz="4" w:space="0" w:color="auto"/>
              <w:left w:val="single" w:sz="4" w:space="0" w:color="auto"/>
              <w:bottom w:val="single" w:sz="4" w:space="0" w:color="auto"/>
              <w:right w:val="nil"/>
            </w:tcBorders>
            <w:shd w:val="clear" w:color="auto" w:fill="auto"/>
            <w:vAlign w:val="center"/>
            <w:hideMark/>
          </w:tcPr>
          <w:p w14:paraId="4820EDAA" w14:textId="77777777" w:rsidR="00B67EB7" w:rsidRPr="00010CF3" w:rsidRDefault="00B67EB7" w:rsidP="00B67EB7">
            <w:pPr>
              <w:rPr>
                <w:rFonts w:cs="Arial"/>
                <w:sz w:val="20"/>
                <w:szCs w:val="20"/>
              </w:rPr>
            </w:pPr>
          </w:p>
        </w:tc>
      </w:tr>
      <w:tr w:rsidR="00B67EB7" w:rsidRPr="00010CF3" w14:paraId="0DE2ECD6" w14:textId="77777777" w:rsidTr="00680792">
        <w:trPr>
          <w:trHeight w:val="284"/>
        </w:trPr>
        <w:tc>
          <w:tcPr>
            <w:tcW w:w="3149" w:type="pct"/>
            <w:tcBorders>
              <w:top w:val="single" w:sz="4" w:space="0" w:color="auto"/>
              <w:left w:val="nil"/>
              <w:bottom w:val="single" w:sz="4" w:space="0" w:color="auto"/>
              <w:right w:val="single" w:sz="4" w:space="0" w:color="auto"/>
            </w:tcBorders>
            <w:shd w:val="clear" w:color="auto" w:fill="A1F2FD"/>
            <w:noWrap/>
            <w:vAlign w:val="center"/>
            <w:hideMark/>
          </w:tcPr>
          <w:p w14:paraId="6CF2B2B7" w14:textId="13494B7E" w:rsidR="00B67EB7" w:rsidRPr="00010CF3" w:rsidRDefault="00B67EB7" w:rsidP="006028A0">
            <w:pPr>
              <w:jc w:val="center"/>
              <w:rPr>
                <w:rFonts w:cs="Arial"/>
                <w:b/>
                <w:bCs/>
                <w:color w:val="000000"/>
                <w:sz w:val="20"/>
                <w:szCs w:val="20"/>
              </w:rPr>
            </w:pPr>
            <w:r w:rsidRPr="00010CF3">
              <w:rPr>
                <w:rFonts w:cs="Arial"/>
                <w:b/>
                <w:bCs/>
                <w:color w:val="000000"/>
                <w:sz w:val="20"/>
                <w:szCs w:val="20"/>
              </w:rPr>
              <w:t>Resultado (III) = (I - II)</w:t>
            </w:r>
          </w:p>
        </w:tc>
        <w:tc>
          <w:tcPr>
            <w:tcW w:w="851" w:type="pct"/>
            <w:tcBorders>
              <w:top w:val="single" w:sz="4" w:space="0" w:color="auto"/>
              <w:left w:val="single" w:sz="4" w:space="0" w:color="auto"/>
              <w:bottom w:val="single" w:sz="4" w:space="0" w:color="auto"/>
              <w:right w:val="single" w:sz="4" w:space="0" w:color="auto"/>
            </w:tcBorders>
            <w:shd w:val="clear" w:color="auto" w:fill="A1F2FD"/>
            <w:noWrap/>
            <w:vAlign w:val="center"/>
            <w:hideMark/>
          </w:tcPr>
          <w:p w14:paraId="35BF12CA" w14:textId="4A3A0BBD" w:rsidR="00B67EB7" w:rsidRPr="00010CF3" w:rsidRDefault="00B67EB7" w:rsidP="00B67EB7">
            <w:pPr>
              <w:jc w:val="right"/>
              <w:rPr>
                <w:rFonts w:cs="Arial"/>
                <w:b/>
                <w:bCs/>
                <w:color w:val="FF0000"/>
                <w:sz w:val="20"/>
                <w:szCs w:val="20"/>
              </w:rPr>
            </w:pPr>
            <w:r w:rsidRPr="00010CF3">
              <w:rPr>
                <w:rFonts w:cs="Arial"/>
                <w:b/>
                <w:bCs/>
                <w:color w:val="FF0000"/>
                <w:sz w:val="20"/>
                <w:szCs w:val="20"/>
              </w:rPr>
              <w:t>(66.279.793)</w:t>
            </w:r>
          </w:p>
        </w:tc>
        <w:tc>
          <w:tcPr>
            <w:tcW w:w="1000" w:type="pct"/>
            <w:tcBorders>
              <w:top w:val="single" w:sz="4" w:space="0" w:color="auto"/>
              <w:left w:val="single" w:sz="4" w:space="0" w:color="auto"/>
              <w:bottom w:val="single" w:sz="4" w:space="0" w:color="auto"/>
              <w:right w:val="nil"/>
            </w:tcBorders>
            <w:shd w:val="clear" w:color="auto" w:fill="A1F2FD"/>
            <w:noWrap/>
            <w:vAlign w:val="center"/>
            <w:hideMark/>
          </w:tcPr>
          <w:p w14:paraId="7E40900B" w14:textId="77665DAF" w:rsidR="00B67EB7" w:rsidRPr="00010CF3" w:rsidRDefault="00B67EB7" w:rsidP="00B67EB7">
            <w:pPr>
              <w:jc w:val="right"/>
              <w:rPr>
                <w:rFonts w:cs="Arial"/>
                <w:b/>
                <w:bCs/>
                <w:color w:val="FF0000"/>
                <w:sz w:val="20"/>
                <w:szCs w:val="20"/>
              </w:rPr>
            </w:pPr>
            <w:r w:rsidRPr="00010CF3">
              <w:rPr>
                <w:rFonts w:cs="Arial"/>
                <w:b/>
                <w:bCs/>
                <w:color w:val="FF0000"/>
                <w:sz w:val="20"/>
                <w:szCs w:val="20"/>
              </w:rPr>
              <w:t>(68.089.90</w:t>
            </w:r>
            <w:r w:rsidR="00010CF3">
              <w:rPr>
                <w:rFonts w:cs="Arial"/>
                <w:b/>
                <w:bCs/>
                <w:color w:val="FF0000"/>
                <w:sz w:val="20"/>
                <w:szCs w:val="20"/>
              </w:rPr>
              <w:t>4</w:t>
            </w:r>
            <w:r w:rsidRPr="00010CF3">
              <w:rPr>
                <w:rFonts w:cs="Arial"/>
                <w:b/>
                <w:bCs/>
                <w:color w:val="FF0000"/>
                <w:sz w:val="20"/>
                <w:szCs w:val="20"/>
              </w:rPr>
              <w:t>)</w:t>
            </w:r>
          </w:p>
        </w:tc>
      </w:tr>
      <w:tr w:rsidR="00B67EB7" w:rsidRPr="00010CF3" w14:paraId="399D4A9E" w14:textId="77777777" w:rsidTr="00680792">
        <w:trPr>
          <w:trHeight w:val="284"/>
        </w:trPr>
        <w:tc>
          <w:tcPr>
            <w:tcW w:w="3149" w:type="pct"/>
            <w:tcBorders>
              <w:top w:val="single" w:sz="4" w:space="0" w:color="auto"/>
              <w:left w:val="nil"/>
              <w:bottom w:val="nil"/>
              <w:right w:val="nil"/>
            </w:tcBorders>
            <w:shd w:val="clear" w:color="auto" w:fill="auto"/>
            <w:vAlign w:val="center"/>
            <w:hideMark/>
          </w:tcPr>
          <w:p w14:paraId="55A48484" w14:textId="77777777" w:rsidR="00B67EB7" w:rsidRPr="00010CF3" w:rsidRDefault="00B67EB7" w:rsidP="00B67EB7">
            <w:pPr>
              <w:rPr>
                <w:rFonts w:eastAsia="Arial" w:cs="Arial"/>
                <w:color w:val="000000"/>
                <w:sz w:val="20"/>
                <w:szCs w:val="20"/>
              </w:rPr>
            </w:pPr>
            <w:r w:rsidRPr="00010CF3">
              <w:rPr>
                <w:rFonts w:eastAsia="Arial" w:cs="Arial"/>
                <w:color w:val="000000"/>
                <w:sz w:val="20"/>
                <w:szCs w:val="20"/>
              </w:rPr>
              <w:t>Fonte: RREO 6º bimestre de 2023</w:t>
            </w:r>
          </w:p>
        </w:tc>
        <w:tc>
          <w:tcPr>
            <w:tcW w:w="851" w:type="pct"/>
            <w:tcBorders>
              <w:top w:val="single" w:sz="4" w:space="0" w:color="auto"/>
              <w:left w:val="nil"/>
              <w:bottom w:val="nil"/>
              <w:right w:val="nil"/>
            </w:tcBorders>
            <w:shd w:val="clear" w:color="auto" w:fill="auto"/>
            <w:vAlign w:val="center"/>
            <w:hideMark/>
          </w:tcPr>
          <w:p w14:paraId="237C8D54" w14:textId="77777777" w:rsidR="00B67EB7" w:rsidRPr="00010CF3" w:rsidRDefault="00B67EB7" w:rsidP="00B67EB7">
            <w:pPr>
              <w:rPr>
                <w:rFonts w:eastAsia="Arial" w:cs="Arial"/>
                <w:color w:val="000000"/>
                <w:sz w:val="20"/>
                <w:szCs w:val="20"/>
              </w:rPr>
            </w:pPr>
          </w:p>
        </w:tc>
        <w:tc>
          <w:tcPr>
            <w:tcW w:w="1000" w:type="pct"/>
            <w:tcBorders>
              <w:top w:val="single" w:sz="4" w:space="0" w:color="auto"/>
              <w:left w:val="nil"/>
              <w:bottom w:val="nil"/>
              <w:right w:val="nil"/>
            </w:tcBorders>
            <w:shd w:val="clear" w:color="auto" w:fill="auto"/>
            <w:vAlign w:val="center"/>
            <w:hideMark/>
          </w:tcPr>
          <w:p w14:paraId="7C468D07" w14:textId="77777777" w:rsidR="00B67EB7" w:rsidRPr="00010CF3" w:rsidRDefault="00B67EB7" w:rsidP="00B67EB7">
            <w:pPr>
              <w:rPr>
                <w:rFonts w:eastAsia="Arial" w:cs="Arial"/>
                <w:color w:val="000000"/>
                <w:sz w:val="20"/>
                <w:szCs w:val="20"/>
              </w:rPr>
            </w:pPr>
          </w:p>
        </w:tc>
      </w:tr>
    </w:tbl>
    <w:p w14:paraId="624459A7" w14:textId="65BC3D4C" w:rsidR="00B67EB7" w:rsidRDefault="00B67EB7" w:rsidP="00B67EB7">
      <w:pPr>
        <w:pStyle w:val="1-REL11"/>
      </w:pPr>
      <w:r w:rsidRPr="001C305A">
        <w:t>Trata-se, portanto</w:t>
      </w:r>
      <w:r>
        <w:t>,</w:t>
      </w:r>
      <w:r w:rsidRPr="001C305A">
        <w:t xml:space="preserve"> de pensões especiais pagos pelo Tesouro Estadual por meio da UO</w:t>
      </w:r>
      <w:r>
        <w:t> </w:t>
      </w:r>
      <w:r w:rsidRPr="001C305A">
        <w:t>1704 – Encargos Especiais.</w:t>
      </w:r>
      <w:r>
        <w:t xml:space="preserve"> E</w:t>
      </w:r>
      <w:r w:rsidRPr="001C305A">
        <w:t xml:space="preserve">sses pagamentos correspondem a pagamentos </w:t>
      </w:r>
      <w:r>
        <w:t>de</w:t>
      </w:r>
      <w:r w:rsidRPr="001C305A">
        <w:t xml:space="preserve"> natureza previdenciária</w:t>
      </w:r>
      <w:r>
        <w:t xml:space="preserve"> e que não foram incorporados ao RPPS</w:t>
      </w:r>
      <w:r w:rsidRPr="001C305A">
        <w:t>, ou seja, não são pagos pelo órgão previdenciário (Goiasprev e respectivos Fundos).</w:t>
      </w:r>
    </w:p>
    <w:p w14:paraId="0188737D" w14:textId="77777777" w:rsidR="00D434C0" w:rsidRDefault="00D434C0" w:rsidP="00B67EB7">
      <w:pPr>
        <w:pStyle w:val="1-REL11"/>
      </w:pPr>
    </w:p>
    <w:p w14:paraId="733035BB" w14:textId="77777777" w:rsidR="00B67EB7" w:rsidRPr="001C305A" w:rsidRDefault="00B67EB7" w:rsidP="00A224E9">
      <w:pPr>
        <w:pStyle w:val="Ttulo3"/>
      </w:pPr>
      <w:r w:rsidRPr="001C305A">
        <w:t xml:space="preserve"> </w:t>
      </w:r>
      <w:bookmarkStart w:id="175" w:name="_Toc167871672"/>
      <w:r w:rsidRPr="001C305A">
        <w:t>Sistema de Proteção dos Militares</w:t>
      </w:r>
      <w:bookmarkEnd w:id="175"/>
    </w:p>
    <w:p w14:paraId="1B8A2D83" w14:textId="720E3788" w:rsidR="00B67EB7" w:rsidRDefault="00B67EB7" w:rsidP="00B67EB7">
      <w:pPr>
        <w:pStyle w:val="1-REL11"/>
      </w:pPr>
      <w:r w:rsidRPr="001C305A">
        <w:t xml:space="preserve">Este </w:t>
      </w:r>
      <w:r w:rsidRPr="005B0041">
        <w:t>demonstrativo refere-se às receitas e despesas associadas às pensões e aos inativos militares, tendo em vista as alterações efetuadas no Decreto-Lei nº 667/1969 pela Lei nº</w:t>
      </w:r>
      <w:r>
        <w:t> </w:t>
      </w:r>
      <w:r w:rsidRPr="005B0041">
        <w:t>13.954/2019.</w:t>
      </w:r>
    </w:p>
    <w:p w14:paraId="267543BC" w14:textId="77777777" w:rsidR="00766681" w:rsidRPr="005B0041" w:rsidRDefault="00766681" w:rsidP="00B67EB7">
      <w:pPr>
        <w:pStyle w:val="1-REL11"/>
      </w:pPr>
    </w:p>
    <w:p w14:paraId="1F00C7B2" w14:textId="77777777" w:rsidR="00B67EB7" w:rsidRPr="001C305A" w:rsidRDefault="00B67EB7" w:rsidP="00ED3571">
      <w:pPr>
        <w:pStyle w:val="0-TABELA"/>
        <w:rPr>
          <w:b/>
        </w:rPr>
      </w:pPr>
      <w:bookmarkStart w:id="176" w:name="_Toc167871765"/>
      <w:r w:rsidRPr="005B0041">
        <w:t>Sistema de Proteção dos</w:t>
      </w:r>
      <w:r w:rsidRPr="001C305A">
        <w:t xml:space="preserve"> Militares</w:t>
      </w:r>
      <w:bookmarkEnd w:id="176"/>
    </w:p>
    <w:p w14:paraId="7BF9A79D" w14:textId="77777777" w:rsidR="00B67EB7" w:rsidRPr="002A6F4C" w:rsidRDefault="00B67EB7" w:rsidP="00B67EB7">
      <w:pPr>
        <w:pStyle w:val="PargrafodaLista"/>
        <w:ind w:left="7514"/>
        <w:jc w:val="right"/>
        <w:rPr>
          <w:rFonts w:eastAsia="Arial" w:cs="Arial"/>
          <w:color w:val="000000"/>
          <w:sz w:val="16"/>
          <w:szCs w:val="16"/>
        </w:rPr>
      </w:pPr>
      <w:r w:rsidRPr="002A6F4C">
        <w:rPr>
          <w:rFonts w:eastAsia="Arial" w:cs="Arial"/>
          <w:color w:val="000000"/>
          <w:sz w:val="16"/>
          <w:szCs w:val="16"/>
        </w:rPr>
        <w:lastRenderedPageBreak/>
        <w:t>R$</w:t>
      </w:r>
      <w:r>
        <w:rPr>
          <w:rFonts w:eastAsia="Arial" w:cs="Arial"/>
          <w:color w:val="000000"/>
          <w:sz w:val="16"/>
          <w:szCs w:val="16"/>
        </w:rPr>
        <w:t xml:space="preserve"> 1</w:t>
      </w:r>
    </w:p>
    <w:tbl>
      <w:tblPr>
        <w:tblW w:w="5000" w:type="pct"/>
        <w:tblCellMar>
          <w:left w:w="70" w:type="dxa"/>
          <w:right w:w="70" w:type="dxa"/>
        </w:tblCellMar>
        <w:tblLook w:val="04A0" w:firstRow="1" w:lastRow="0" w:firstColumn="1" w:lastColumn="0" w:noHBand="0" w:noVBand="1"/>
      </w:tblPr>
      <w:tblGrid>
        <w:gridCol w:w="5691"/>
        <w:gridCol w:w="1831"/>
        <w:gridCol w:w="1831"/>
      </w:tblGrid>
      <w:tr w:rsidR="00B67EB7" w:rsidRPr="00114B5B" w14:paraId="584362A3" w14:textId="77777777" w:rsidTr="00680792">
        <w:trPr>
          <w:trHeight w:val="284"/>
          <w:tblHeader/>
        </w:trPr>
        <w:tc>
          <w:tcPr>
            <w:tcW w:w="3042" w:type="pct"/>
            <w:tcBorders>
              <w:top w:val="single" w:sz="4" w:space="0" w:color="auto"/>
              <w:left w:val="nil"/>
              <w:bottom w:val="single" w:sz="4" w:space="0" w:color="auto"/>
              <w:right w:val="single" w:sz="4" w:space="0" w:color="auto"/>
            </w:tcBorders>
            <w:shd w:val="clear" w:color="000000" w:fill="A1F2FD"/>
            <w:vAlign w:val="center"/>
            <w:hideMark/>
          </w:tcPr>
          <w:p w14:paraId="33A03BD4" w14:textId="46355950" w:rsidR="00B67EB7" w:rsidRPr="00114B5B" w:rsidRDefault="00B67EB7" w:rsidP="00B67EB7">
            <w:pPr>
              <w:jc w:val="center"/>
              <w:rPr>
                <w:rFonts w:cs="Arial"/>
                <w:b/>
                <w:bCs/>
                <w:color w:val="000000"/>
                <w:sz w:val="20"/>
                <w:szCs w:val="20"/>
              </w:rPr>
            </w:pPr>
            <w:r w:rsidRPr="00114B5B">
              <w:rPr>
                <w:rFonts w:cs="Arial"/>
                <w:b/>
                <w:bCs/>
                <w:color w:val="000000"/>
                <w:sz w:val="20"/>
                <w:szCs w:val="20"/>
              </w:rPr>
              <w:t xml:space="preserve">Receitas </w:t>
            </w:r>
            <w:r w:rsidR="006028A0">
              <w:rPr>
                <w:rFonts w:cs="Arial"/>
                <w:b/>
                <w:bCs/>
                <w:color w:val="000000"/>
                <w:sz w:val="20"/>
                <w:szCs w:val="20"/>
              </w:rPr>
              <w:t>Previdenciárias</w:t>
            </w:r>
          </w:p>
        </w:tc>
        <w:tc>
          <w:tcPr>
            <w:tcW w:w="979" w:type="pct"/>
            <w:tcBorders>
              <w:top w:val="single" w:sz="4" w:space="0" w:color="auto"/>
              <w:left w:val="single" w:sz="4" w:space="0" w:color="auto"/>
              <w:bottom w:val="single" w:sz="4" w:space="0" w:color="auto"/>
              <w:right w:val="single" w:sz="4" w:space="0" w:color="auto"/>
            </w:tcBorders>
            <w:shd w:val="clear" w:color="000000" w:fill="A1F2FD"/>
            <w:vAlign w:val="center"/>
            <w:hideMark/>
          </w:tcPr>
          <w:p w14:paraId="25240F5B" w14:textId="77777777" w:rsidR="00B67EB7" w:rsidRPr="00114B5B" w:rsidRDefault="00B67EB7" w:rsidP="00B67EB7">
            <w:pPr>
              <w:jc w:val="center"/>
              <w:rPr>
                <w:rFonts w:cs="Arial"/>
                <w:b/>
                <w:bCs/>
                <w:color w:val="000000"/>
                <w:sz w:val="20"/>
                <w:szCs w:val="20"/>
              </w:rPr>
            </w:pPr>
            <w:r w:rsidRPr="00114B5B">
              <w:rPr>
                <w:rFonts w:cs="Arial"/>
                <w:b/>
                <w:bCs/>
                <w:color w:val="000000"/>
                <w:sz w:val="20"/>
                <w:szCs w:val="20"/>
              </w:rPr>
              <w:t>Previsão Atualizada</w:t>
            </w:r>
          </w:p>
        </w:tc>
        <w:tc>
          <w:tcPr>
            <w:tcW w:w="979" w:type="pct"/>
            <w:tcBorders>
              <w:top w:val="single" w:sz="4" w:space="0" w:color="auto"/>
              <w:left w:val="single" w:sz="4" w:space="0" w:color="auto"/>
              <w:bottom w:val="single" w:sz="4" w:space="0" w:color="auto"/>
              <w:right w:val="nil"/>
            </w:tcBorders>
            <w:shd w:val="clear" w:color="000000" w:fill="A1F2FD"/>
            <w:vAlign w:val="center"/>
            <w:hideMark/>
          </w:tcPr>
          <w:p w14:paraId="736DD9A4" w14:textId="77777777" w:rsidR="00B67EB7" w:rsidRPr="00114B5B" w:rsidRDefault="00B67EB7" w:rsidP="00B67EB7">
            <w:pPr>
              <w:jc w:val="center"/>
              <w:rPr>
                <w:rFonts w:cs="Arial"/>
                <w:b/>
                <w:bCs/>
                <w:color w:val="000000"/>
                <w:sz w:val="20"/>
                <w:szCs w:val="20"/>
              </w:rPr>
            </w:pPr>
            <w:r w:rsidRPr="00114B5B">
              <w:rPr>
                <w:rFonts w:cs="Arial"/>
                <w:b/>
                <w:bCs/>
                <w:color w:val="000000"/>
                <w:sz w:val="20"/>
                <w:szCs w:val="20"/>
              </w:rPr>
              <w:t>Receitas Realizadas</w:t>
            </w:r>
          </w:p>
        </w:tc>
      </w:tr>
      <w:tr w:rsidR="00E73548" w:rsidRPr="00114B5B" w14:paraId="6F4CA5EC" w14:textId="77777777" w:rsidTr="00680792">
        <w:trPr>
          <w:trHeight w:val="284"/>
        </w:trPr>
        <w:tc>
          <w:tcPr>
            <w:tcW w:w="3042" w:type="pct"/>
            <w:tcBorders>
              <w:top w:val="single" w:sz="4" w:space="0" w:color="auto"/>
              <w:left w:val="nil"/>
              <w:bottom w:val="nil"/>
              <w:right w:val="single" w:sz="4" w:space="0" w:color="auto"/>
            </w:tcBorders>
            <w:shd w:val="clear" w:color="auto" w:fill="auto"/>
            <w:vAlign w:val="center"/>
            <w:hideMark/>
          </w:tcPr>
          <w:p w14:paraId="2C2BDD02" w14:textId="77777777" w:rsidR="00E73548" w:rsidRPr="00114B5B" w:rsidRDefault="00E73548" w:rsidP="00E73548">
            <w:pPr>
              <w:ind w:firstLineChars="100" w:firstLine="200"/>
              <w:rPr>
                <w:rFonts w:cs="Arial"/>
                <w:color w:val="000000"/>
                <w:sz w:val="20"/>
                <w:szCs w:val="20"/>
              </w:rPr>
            </w:pPr>
            <w:r w:rsidRPr="00114B5B">
              <w:rPr>
                <w:rFonts w:cs="Arial"/>
                <w:color w:val="000000"/>
                <w:sz w:val="20"/>
                <w:szCs w:val="20"/>
              </w:rPr>
              <w:t>Contribuição sobre a remuneração dos militares ativos</w:t>
            </w:r>
          </w:p>
        </w:tc>
        <w:tc>
          <w:tcPr>
            <w:tcW w:w="979" w:type="pct"/>
            <w:tcBorders>
              <w:top w:val="single" w:sz="4" w:space="0" w:color="auto"/>
              <w:left w:val="single" w:sz="4" w:space="0" w:color="auto"/>
              <w:bottom w:val="nil"/>
              <w:right w:val="single" w:sz="4" w:space="0" w:color="auto"/>
            </w:tcBorders>
            <w:shd w:val="clear" w:color="auto" w:fill="auto"/>
            <w:vAlign w:val="center"/>
            <w:hideMark/>
          </w:tcPr>
          <w:p w14:paraId="29CA6EBE" w14:textId="145F93E7" w:rsidR="00E73548" w:rsidRPr="00114B5B" w:rsidRDefault="00E73548" w:rsidP="00E73548">
            <w:pPr>
              <w:jc w:val="right"/>
              <w:rPr>
                <w:rFonts w:cs="Arial"/>
                <w:color w:val="000000"/>
                <w:sz w:val="20"/>
                <w:szCs w:val="20"/>
              </w:rPr>
            </w:pPr>
            <w:r w:rsidRPr="00114B5B">
              <w:rPr>
                <w:rFonts w:cs="Arial"/>
                <w:color w:val="000000"/>
                <w:sz w:val="20"/>
                <w:szCs w:val="20"/>
              </w:rPr>
              <w:t>203.097.000</w:t>
            </w:r>
          </w:p>
        </w:tc>
        <w:tc>
          <w:tcPr>
            <w:tcW w:w="979" w:type="pct"/>
            <w:tcBorders>
              <w:top w:val="single" w:sz="4" w:space="0" w:color="auto"/>
              <w:left w:val="single" w:sz="4" w:space="0" w:color="auto"/>
              <w:bottom w:val="nil"/>
              <w:right w:val="nil"/>
            </w:tcBorders>
            <w:shd w:val="clear" w:color="auto" w:fill="auto"/>
            <w:vAlign w:val="center"/>
            <w:hideMark/>
          </w:tcPr>
          <w:p w14:paraId="560740C5" w14:textId="47B4FCAB" w:rsidR="00E73548" w:rsidRPr="00114B5B" w:rsidRDefault="00E73548" w:rsidP="00E73548">
            <w:pPr>
              <w:jc w:val="right"/>
              <w:rPr>
                <w:rFonts w:cs="Arial"/>
                <w:color w:val="000000"/>
                <w:sz w:val="20"/>
                <w:szCs w:val="20"/>
              </w:rPr>
            </w:pPr>
            <w:r>
              <w:rPr>
                <w:rFonts w:cs="Arial"/>
                <w:color w:val="000000"/>
                <w:sz w:val="20"/>
                <w:szCs w:val="20"/>
              </w:rPr>
              <w:t>212.718.943</w:t>
            </w:r>
          </w:p>
        </w:tc>
      </w:tr>
      <w:tr w:rsidR="00E73548" w:rsidRPr="00114B5B" w14:paraId="61F4E598" w14:textId="77777777" w:rsidTr="00680792">
        <w:trPr>
          <w:trHeight w:val="284"/>
        </w:trPr>
        <w:tc>
          <w:tcPr>
            <w:tcW w:w="3042" w:type="pct"/>
            <w:tcBorders>
              <w:top w:val="nil"/>
              <w:left w:val="nil"/>
              <w:bottom w:val="nil"/>
              <w:right w:val="single" w:sz="4" w:space="0" w:color="auto"/>
            </w:tcBorders>
            <w:shd w:val="clear" w:color="auto" w:fill="auto"/>
            <w:vAlign w:val="center"/>
            <w:hideMark/>
          </w:tcPr>
          <w:p w14:paraId="6A863F33" w14:textId="77777777" w:rsidR="00E73548" w:rsidRPr="00114B5B" w:rsidRDefault="00E73548" w:rsidP="00E73548">
            <w:pPr>
              <w:ind w:firstLineChars="100" w:firstLine="200"/>
              <w:rPr>
                <w:rFonts w:cs="Arial"/>
                <w:color w:val="000000"/>
                <w:sz w:val="20"/>
                <w:szCs w:val="20"/>
              </w:rPr>
            </w:pPr>
            <w:r w:rsidRPr="00114B5B">
              <w:rPr>
                <w:rFonts w:cs="Arial"/>
                <w:color w:val="000000"/>
                <w:sz w:val="20"/>
                <w:szCs w:val="20"/>
              </w:rPr>
              <w:t>Contribuição sobre a remuneração dos militares inativos</w:t>
            </w:r>
          </w:p>
        </w:tc>
        <w:tc>
          <w:tcPr>
            <w:tcW w:w="979" w:type="pct"/>
            <w:tcBorders>
              <w:top w:val="nil"/>
              <w:left w:val="single" w:sz="4" w:space="0" w:color="auto"/>
              <w:bottom w:val="nil"/>
              <w:right w:val="single" w:sz="4" w:space="0" w:color="auto"/>
            </w:tcBorders>
            <w:shd w:val="clear" w:color="auto" w:fill="auto"/>
            <w:vAlign w:val="center"/>
            <w:hideMark/>
          </w:tcPr>
          <w:p w14:paraId="3B337A18" w14:textId="29D21950" w:rsidR="00E73548" w:rsidRPr="00114B5B" w:rsidRDefault="00E73548" w:rsidP="00E73548">
            <w:pPr>
              <w:jc w:val="right"/>
              <w:rPr>
                <w:rFonts w:cs="Arial"/>
                <w:color w:val="000000"/>
                <w:sz w:val="20"/>
                <w:szCs w:val="20"/>
              </w:rPr>
            </w:pPr>
            <w:r w:rsidRPr="00114B5B">
              <w:rPr>
                <w:rFonts w:cs="Arial"/>
                <w:color w:val="000000"/>
                <w:sz w:val="20"/>
                <w:szCs w:val="20"/>
              </w:rPr>
              <w:t>186.467.000</w:t>
            </w:r>
          </w:p>
        </w:tc>
        <w:tc>
          <w:tcPr>
            <w:tcW w:w="979" w:type="pct"/>
            <w:tcBorders>
              <w:top w:val="nil"/>
              <w:left w:val="single" w:sz="4" w:space="0" w:color="auto"/>
              <w:bottom w:val="nil"/>
              <w:right w:val="nil"/>
            </w:tcBorders>
            <w:shd w:val="clear" w:color="auto" w:fill="auto"/>
            <w:vAlign w:val="center"/>
            <w:hideMark/>
          </w:tcPr>
          <w:p w14:paraId="40DFBA25" w14:textId="1BC6515F" w:rsidR="00E73548" w:rsidRPr="00114B5B" w:rsidRDefault="00E73548" w:rsidP="00E73548">
            <w:pPr>
              <w:jc w:val="right"/>
              <w:rPr>
                <w:rFonts w:cs="Arial"/>
                <w:color w:val="000000"/>
                <w:sz w:val="20"/>
                <w:szCs w:val="20"/>
              </w:rPr>
            </w:pPr>
            <w:r>
              <w:rPr>
                <w:rFonts w:cs="Arial"/>
                <w:color w:val="000000"/>
                <w:sz w:val="20"/>
                <w:szCs w:val="20"/>
              </w:rPr>
              <w:t>178.642.735</w:t>
            </w:r>
          </w:p>
        </w:tc>
      </w:tr>
      <w:tr w:rsidR="00E73548" w:rsidRPr="00114B5B" w14:paraId="59899D65" w14:textId="77777777" w:rsidTr="00680792">
        <w:trPr>
          <w:trHeight w:val="284"/>
        </w:trPr>
        <w:tc>
          <w:tcPr>
            <w:tcW w:w="3042" w:type="pct"/>
            <w:tcBorders>
              <w:top w:val="nil"/>
              <w:left w:val="nil"/>
              <w:bottom w:val="nil"/>
              <w:right w:val="single" w:sz="4" w:space="0" w:color="auto"/>
            </w:tcBorders>
            <w:shd w:val="clear" w:color="auto" w:fill="auto"/>
            <w:vAlign w:val="center"/>
            <w:hideMark/>
          </w:tcPr>
          <w:p w14:paraId="0B18F55A" w14:textId="77777777" w:rsidR="00E73548" w:rsidRPr="00114B5B" w:rsidRDefault="00E73548" w:rsidP="00E73548">
            <w:pPr>
              <w:ind w:firstLineChars="100" w:firstLine="200"/>
              <w:rPr>
                <w:rFonts w:cs="Arial"/>
                <w:color w:val="000000"/>
                <w:sz w:val="20"/>
                <w:szCs w:val="20"/>
              </w:rPr>
            </w:pPr>
            <w:r w:rsidRPr="00114B5B">
              <w:rPr>
                <w:rFonts w:cs="Arial"/>
                <w:color w:val="000000"/>
                <w:sz w:val="20"/>
                <w:szCs w:val="20"/>
              </w:rPr>
              <w:t>Contribuição sobre a remuneração dos pensionistas</w:t>
            </w:r>
          </w:p>
        </w:tc>
        <w:tc>
          <w:tcPr>
            <w:tcW w:w="979" w:type="pct"/>
            <w:tcBorders>
              <w:top w:val="nil"/>
              <w:left w:val="single" w:sz="4" w:space="0" w:color="auto"/>
              <w:bottom w:val="nil"/>
              <w:right w:val="single" w:sz="4" w:space="0" w:color="auto"/>
            </w:tcBorders>
            <w:shd w:val="clear" w:color="auto" w:fill="auto"/>
            <w:vAlign w:val="center"/>
            <w:hideMark/>
          </w:tcPr>
          <w:p w14:paraId="57893E35" w14:textId="6E2061DE" w:rsidR="00E73548" w:rsidRPr="00114B5B" w:rsidRDefault="00E73548" w:rsidP="00E73548">
            <w:pPr>
              <w:jc w:val="right"/>
              <w:rPr>
                <w:rFonts w:cs="Arial"/>
                <w:color w:val="000000"/>
                <w:sz w:val="20"/>
                <w:szCs w:val="20"/>
              </w:rPr>
            </w:pPr>
            <w:r w:rsidRPr="00114B5B">
              <w:rPr>
                <w:rFonts w:cs="Arial"/>
                <w:color w:val="000000"/>
                <w:sz w:val="20"/>
                <w:szCs w:val="20"/>
              </w:rPr>
              <w:t>34.295.000</w:t>
            </w:r>
          </w:p>
        </w:tc>
        <w:tc>
          <w:tcPr>
            <w:tcW w:w="979" w:type="pct"/>
            <w:tcBorders>
              <w:top w:val="nil"/>
              <w:left w:val="single" w:sz="4" w:space="0" w:color="auto"/>
              <w:bottom w:val="nil"/>
              <w:right w:val="nil"/>
            </w:tcBorders>
            <w:shd w:val="clear" w:color="auto" w:fill="auto"/>
            <w:vAlign w:val="center"/>
            <w:hideMark/>
          </w:tcPr>
          <w:p w14:paraId="47246027" w14:textId="1D2B8E3D" w:rsidR="00E73548" w:rsidRPr="00114B5B" w:rsidRDefault="00E73548" w:rsidP="00E73548">
            <w:pPr>
              <w:jc w:val="right"/>
              <w:rPr>
                <w:rFonts w:cs="Arial"/>
                <w:color w:val="000000"/>
                <w:sz w:val="20"/>
                <w:szCs w:val="20"/>
              </w:rPr>
            </w:pPr>
            <w:r>
              <w:rPr>
                <w:rFonts w:cs="Arial"/>
                <w:color w:val="000000"/>
                <w:sz w:val="20"/>
                <w:szCs w:val="20"/>
              </w:rPr>
              <w:t>37.033.772</w:t>
            </w:r>
          </w:p>
        </w:tc>
      </w:tr>
      <w:tr w:rsidR="00E73548" w:rsidRPr="00114B5B" w14:paraId="7423306A" w14:textId="77777777" w:rsidTr="00680792">
        <w:trPr>
          <w:trHeight w:val="284"/>
        </w:trPr>
        <w:tc>
          <w:tcPr>
            <w:tcW w:w="3042" w:type="pct"/>
            <w:tcBorders>
              <w:top w:val="nil"/>
              <w:left w:val="nil"/>
              <w:bottom w:val="single" w:sz="4" w:space="0" w:color="auto"/>
              <w:right w:val="single" w:sz="4" w:space="0" w:color="auto"/>
            </w:tcBorders>
            <w:shd w:val="clear" w:color="auto" w:fill="auto"/>
            <w:vAlign w:val="center"/>
            <w:hideMark/>
          </w:tcPr>
          <w:p w14:paraId="0F6814BF" w14:textId="77777777" w:rsidR="00E73548" w:rsidRPr="00114B5B" w:rsidRDefault="00E73548" w:rsidP="00E73548">
            <w:pPr>
              <w:ind w:firstLineChars="100" w:firstLine="200"/>
              <w:rPr>
                <w:rFonts w:cs="Arial"/>
                <w:color w:val="000000"/>
                <w:sz w:val="20"/>
                <w:szCs w:val="20"/>
              </w:rPr>
            </w:pPr>
            <w:r w:rsidRPr="00114B5B">
              <w:rPr>
                <w:rFonts w:cs="Arial"/>
                <w:color w:val="000000"/>
                <w:sz w:val="20"/>
                <w:szCs w:val="20"/>
              </w:rPr>
              <w:t>Outras contribuições</w:t>
            </w:r>
          </w:p>
        </w:tc>
        <w:tc>
          <w:tcPr>
            <w:tcW w:w="979" w:type="pct"/>
            <w:tcBorders>
              <w:top w:val="nil"/>
              <w:left w:val="single" w:sz="4" w:space="0" w:color="auto"/>
              <w:bottom w:val="single" w:sz="4" w:space="0" w:color="auto"/>
              <w:right w:val="single" w:sz="4" w:space="0" w:color="auto"/>
            </w:tcBorders>
            <w:shd w:val="clear" w:color="auto" w:fill="auto"/>
            <w:vAlign w:val="center"/>
            <w:hideMark/>
          </w:tcPr>
          <w:p w14:paraId="26F089D4" w14:textId="05DD96CB" w:rsidR="00E73548" w:rsidRPr="00114B5B" w:rsidRDefault="00E73548" w:rsidP="00E73548">
            <w:pPr>
              <w:jc w:val="right"/>
              <w:rPr>
                <w:rFonts w:cs="Arial"/>
                <w:color w:val="000000"/>
                <w:sz w:val="20"/>
                <w:szCs w:val="20"/>
              </w:rPr>
            </w:pPr>
            <w:r w:rsidRPr="00114B5B">
              <w:rPr>
                <w:rFonts w:cs="Arial"/>
                <w:color w:val="000000"/>
                <w:sz w:val="20"/>
                <w:szCs w:val="20"/>
              </w:rPr>
              <w:t>1.385.000</w:t>
            </w:r>
          </w:p>
        </w:tc>
        <w:tc>
          <w:tcPr>
            <w:tcW w:w="979" w:type="pct"/>
            <w:tcBorders>
              <w:top w:val="nil"/>
              <w:left w:val="single" w:sz="4" w:space="0" w:color="auto"/>
              <w:bottom w:val="single" w:sz="4" w:space="0" w:color="auto"/>
              <w:right w:val="nil"/>
            </w:tcBorders>
            <w:shd w:val="clear" w:color="auto" w:fill="auto"/>
            <w:vAlign w:val="center"/>
            <w:hideMark/>
          </w:tcPr>
          <w:p w14:paraId="74E44475" w14:textId="30A51C49" w:rsidR="00E73548" w:rsidRPr="00114B5B" w:rsidRDefault="00E73548" w:rsidP="00E73548">
            <w:pPr>
              <w:jc w:val="right"/>
              <w:rPr>
                <w:rFonts w:cs="Arial"/>
                <w:color w:val="000000"/>
                <w:sz w:val="20"/>
                <w:szCs w:val="20"/>
              </w:rPr>
            </w:pPr>
            <w:r>
              <w:rPr>
                <w:rFonts w:cs="Arial"/>
                <w:color w:val="000000"/>
                <w:sz w:val="20"/>
                <w:szCs w:val="20"/>
              </w:rPr>
              <w:t>3.702.138</w:t>
            </w:r>
          </w:p>
        </w:tc>
      </w:tr>
      <w:tr w:rsidR="00E73548" w:rsidRPr="00114B5B" w14:paraId="3A2E730C" w14:textId="77777777" w:rsidTr="00680792">
        <w:trPr>
          <w:trHeight w:val="284"/>
        </w:trPr>
        <w:tc>
          <w:tcPr>
            <w:tcW w:w="3042" w:type="pct"/>
            <w:tcBorders>
              <w:top w:val="single" w:sz="4" w:space="0" w:color="auto"/>
              <w:left w:val="nil"/>
              <w:bottom w:val="single" w:sz="4" w:space="0" w:color="auto"/>
              <w:right w:val="single" w:sz="4" w:space="0" w:color="auto"/>
            </w:tcBorders>
            <w:shd w:val="clear" w:color="auto" w:fill="auto"/>
            <w:vAlign w:val="center"/>
            <w:hideMark/>
          </w:tcPr>
          <w:p w14:paraId="050552B7" w14:textId="16BF4894" w:rsidR="00E73548" w:rsidRPr="00114B5B" w:rsidRDefault="00E73548" w:rsidP="00E73548">
            <w:pPr>
              <w:jc w:val="center"/>
              <w:rPr>
                <w:rFonts w:cs="Arial"/>
                <w:b/>
                <w:bCs/>
                <w:color w:val="000000"/>
                <w:sz w:val="20"/>
                <w:szCs w:val="20"/>
              </w:rPr>
            </w:pPr>
            <w:r w:rsidRPr="00114B5B">
              <w:rPr>
                <w:rFonts w:cs="Arial"/>
                <w:b/>
                <w:bCs/>
                <w:color w:val="000000"/>
                <w:sz w:val="20"/>
                <w:szCs w:val="20"/>
              </w:rPr>
              <w:t>Total das Receitas (I)</w:t>
            </w:r>
          </w:p>
        </w:tc>
        <w:tc>
          <w:tcPr>
            <w:tcW w:w="97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42E1DD" w14:textId="20197D20" w:rsidR="00E73548" w:rsidRPr="00114B5B" w:rsidRDefault="00E73548" w:rsidP="00E73548">
            <w:pPr>
              <w:jc w:val="right"/>
              <w:rPr>
                <w:rFonts w:cs="Arial"/>
                <w:b/>
                <w:bCs/>
                <w:color w:val="000000"/>
                <w:sz w:val="20"/>
                <w:szCs w:val="20"/>
              </w:rPr>
            </w:pPr>
            <w:r>
              <w:rPr>
                <w:rFonts w:cs="Arial"/>
                <w:b/>
                <w:bCs/>
                <w:color w:val="000000"/>
                <w:sz w:val="20"/>
                <w:szCs w:val="20"/>
              </w:rPr>
              <w:t>425.244.000</w:t>
            </w:r>
          </w:p>
        </w:tc>
        <w:tc>
          <w:tcPr>
            <w:tcW w:w="979" w:type="pct"/>
            <w:tcBorders>
              <w:top w:val="single" w:sz="4" w:space="0" w:color="auto"/>
              <w:left w:val="single" w:sz="4" w:space="0" w:color="auto"/>
              <w:bottom w:val="single" w:sz="4" w:space="0" w:color="auto"/>
              <w:right w:val="nil"/>
            </w:tcBorders>
            <w:shd w:val="clear" w:color="auto" w:fill="auto"/>
            <w:vAlign w:val="center"/>
            <w:hideMark/>
          </w:tcPr>
          <w:p w14:paraId="78DFBBA4" w14:textId="564948CD" w:rsidR="00E73548" w:rsidRPr="00114B5B" w:rsidRDefault="00E73548" w:rsidP="00E73548">
            <w:pPr>
              <w:jc w:val="right"/>
              <w:rPr>
                <w:rFonts w:cs="Arial"/>
                <w:b/>
                <w:bCs/>
                <w:color w:val="000000"/>
                <w:sz w:val="20"/>
                <w:szCs w:val="20"/>
              </w:rPr>
            </w:pPr>
            <w:r>
              <w:rPr>
                <w:rFonts w:cs="Arial"/>
                <w:b/>
                <w:bCs/>
                <w:color w:val="000000"/>
                <w:sz w:val="20"/>
                <w:szCs w:val="20"/>
              </w:rPr>
              <w:t>432.097.588</w:t>
            </w:r>
          </w:p>
        </w:tc>
      </w:tr>
      <w:tr w:rsidR="00B67EB7" w:rsidRPr="00114B5B" w14:paraId="674730B1" w14:textId="77777777" w:rsidTr="00680792">
        <w:trPr>
          <w:trHeight w:val="284"/>
        </w:trPr>
        <w:tc>
          <w:tcPr>
            <w:tcW w:w="3042" w:type="pct"/>
            <w:tcBorders>
              <w:top w:val="single" w:sz="4" w:space="0" w:color="auto"/>
              <w:left w:val="nil"/>
              <w:bottom w:val="single" w:sz="4" w:space="0" w:color="auto"/>
              <w:right w:val="nil"/>
            </w:tcBorders>
            <w:shd w:val="clear" w:color="auto" w:fill="auto"/>
            <w:noWrap/>
            <w:vAlign w:val="bottom"/>
            <w:hideMark/>
          </w:tcPr>
          <w:p w14:paraId="23005F90" w14:textId="77777777" w:rsidR="00B67EB7" w:rsidRPr="00114B5B" w:rsidRDefault="00B67EB7" w:rsidP="00B67EB7">
            <w:pPr>
              <w:jc w:val="right"/>
              <w:rPr>
                <w:rFonts w:cs="Arial"/>
                <w:b/>
                <w:bCs/>
                <w:color w:val="000000"/>
                <w:sz w:val="20"/>
                <w:szCs w:val="20"/>
              </w:rPr>
            </w:pPr>
          </w:p>
        </w:tc>
        <w:tc>
          <w:tcPr>
            <w:tcW w:w="979" w:type="pct"/>
            <w:tcBorders>
              <w:top w:val="single" w:sz="4" w:space="0" w:color="auto"/>
              <w:left w:val="nil"/>
              <w:bottom w:val="single" w:sz="4" w:space="0" w:color="auto"/>
              <w:right w:val="nil"/>
            </w:tcBorders>
            <w:shd w:val="clear" w:color="auto" w:fill="auto"/>
            <w:noWrap/>
            <w:vAlign w:val="bottom"/>
            <w:hideMark/>
          </w:tcPr>
          <w:p w14:paraId="605EE6BC" w14:textId="77777777" w:rsidR="00B67EB7" w:rsidRPr="00114B5B" w:rsidRDefault="00B67EB7" w:rsidP="00B67EB7">
            <w:pPr>
              <w:rPr>
                <w:rFonts w:cs="Arial"/>
                <w:sz w:val="20"/>
                <w:szCs w:val="20"/>
              </w:rPr>
            </w:pPr>
          </w:p>
        </w:tc>
        <w:tc>
          <w:tcPr>
            <w:tcW w:w="979" w:type="pct"/>
            <w:tcBorders>
              <w:top w:val="single" w:sz="4" w:space="0" w:color="auto"/>
              <w:left w:val="nil"/>
              <w:bottom w:val="single" w:sz="4" w:space="0" w:color="auto"/>
              <w:right w:val="nil"/>
            </w:tcBorders>
            <w:shd w:val="clear" w:color="auto" w:fill="auto"/>
            <w:noWrap/>
            <w:vAlign w:val="bottom"/>
            <w:hideMark/>
          </w:tcPr>
          <w:p w14:paraId="33C6A8D1" w14:textId="77777777" w:rsidR="00B67EB7" w:rsidRPr="00114B5B" w:rsidRDefault="00B67EB7" w:rsidP="00B67EB7">
            <w:pPr>
              <w:rPr>
                <w:rFonts w:cs="Arial"/>
                <w:sz w:val="20"/>
                <w:szCs w:val="20"/>
              </w:rPr>
            </w:pPr>
          </w:p>
        </w:tc>
      </w:tr>
      <w:tr w:rsidR="00B67EB7" w:rsidRPr="00114B5B" w14:paraId="4206EF96" w14:textId="77777777" w:rsidTr="00680792">
        <w:trPr>
          <w:trHeight w:val="284"/>
        </w:trPr>
        <w:tc>
          <w:tcPr>
            <w:tcW w:w="3042" w:type="pct"/>
            <w:tcBorders>
              <w:top w:val="single" w:sz="4" w:space="0" w:color="auto"/>
              <w:left w:val="nil"/>
              <w:bottom w:val="single" w:sz="4" w:space="0" w:color="auto"/>
              <w:right w:val="single" w:sz="4" w:space="0" w:color="auto"/>
            </w:tcBorders>
            <w:shd w:val="clear" w:color="000000" w:fill="A1F2FD"/>
            <w:vAlign w:val="center"/>
            <w:hideMark/>
          </w:tcPr>
          <w:p w14:paraId="3123DD2E" w14:textId="0CB28376" w:rsidR="00B67EB7" w:rsidRPr="00114B5B" w:rsidRDefault="00B67EB7" w:rsidP="00B67EB7">
            <w:pPr>
              <w:jc w:val="center"/>
              <w:rPr>
                <w:rFonts w:cs="Arial"/>
                <w:b/>
                <w:bCs/>
                <w:color w:val="000000"/>
                <w:sz w:val="20"/>
                <w:szCs w:val="20"/>
              </w:rPr>
            </w:pPr>
            <w:r w:rsidRPr="00114B5B">
              <w:rPr>
                <w:rFonts w:cs="Arial"/>
                <w:b/>
                <w:bCs/>
                <w:color w:val="000000"/>
                <w:sz w:val="20"/>
                <w:szCs w:val="20"/>
              </w:rPr>
              <w:t xml:space="preserve">Despesas </w:t>
            </w:r>
            <w:r w:rsidR="006028A0">
              <w:rPr>
                <w:rFonts w:cs="Arial"/>
                <w:b/>
                <w:bCs/>
                <w:color w:val="000000"/>
                <w:sz w:val="20"/>
                <w:szCs w:val="20"/>
              </w:rPr>
              <w:t>Previdenciárias</w:t>
            </w:r>
          </w:p>
        </w:tc>
        <w:tc>
          <w:tcPr>
            <w:tcW w:w="979" w:type="pct"/>
            <w:tcBorders>
              <w:top w:val="single" w:sz="4" w:space="0" w:color="auto"/>
              <w:left w:val="single" w:sz="4" w:space="0" w:color="auto"/>
              <w:bottom w:val="single" w:sz="4" w:space="0" w:color="auto"/>
              <w:right w:val="single" w:sz="4" w:space="0" w:color="auto"/>
            </w:tcBorders>
            <w:shd w:val="clear" w:color="000000" w:fill="A1F2FD"/>
            <w:vAlign w:val="center"/>
            <w:hideMark/>
          </w:tcPr>
          <w:p w14:paraId="47E8F03F" w14:textId="77777777" w:rsidR="00B67EB7" w:rsidRPr="00114B5B" w:rsidRDefault="00B67EB7" w:rsidP="00B67EB7">
            <w:pPr>
              <w:jc w:val="center"/>
              <w:rPr>
                <w:rFonts w:cs="Arial"/>
                <w:b/>
                <w:bCs/>
                <w:color w:val="000000"/>
                <w:sz w:val="20"/>
                <w:szCs w:val="20"/>
              </w:rPr>
            </w:pPr>
            <w:r w:rsidRPr="00114B5B">
              <w:rPr>
                <w:rFonts w:cs="Arial"/>
                <w:b/>
                <w:bCs/>
                <w:color w:val="000000"/>
                <w:sz w:val="20"/>
                <w:szCs w:val="20"/>
              </w:rPr>
              <w:t>Dotação Atualizada</w:t>
            </w:r>
          </w:p>
        </w:tc>
        <w:tc>
          <w:tcPr>
            <w:tcW w:w="979" w:type="pct"/>
            <w:tcBorders>
              <w:top w:val="single" w:sz="4" w:space="0" w:color="auto"/>
              <w:left w:val="single" w:sz="4" w:space="0" w:color="auto"/>
              <w:bottom w:val="single" w:sz="4" w:space="0" w:color="auto"/>
              <w:right w:val="nil"/>
            </w:tcBorders>
            <w:shd w:val="clear" w:color="000000" w:fill="A1F2FD"/>
            <w:vAlign w:val="center"/>
            <w:hideMark/>
          </w:tcPr>
          <w:p w14:paraId="4E55861D" w14:textId="77777777" w:rsidR="00B67EB7" w:rsidRPr="00114B5B" w:rsidRDefault="00B67EB7" w:rsidP="00B67EB7">
            <w:pPr>
              <w:jc w:val="center"/>
              <w:rPr>
                <w:rFonts w:cs="Arial"/>
                <w:b/>
                <w:bCs/>
                <w:color w:val="000000"/>
                <w:sz w:val="20"/>
                <w:szCs w:val="20"/>
              </w:rPr>
            </w:pPr>
            <w:r w:rsidRPr="00114B5B">
              <w:rPr>
                <w:rFonts w:cs="Arial"/>
                <w:b/>
                <w:bCs/>
                <w:color w:val="000000"/>
                <w:sz w:val="20"/>
                <w:szCs w:val="20"/>
              </w:rPr>
              <w:t>Despesas Empenhadas</w:t>
            </w:r>
          </w:p>
        </w:tc>
      </w:tr>
      <w:tr w:rsidR="00E73548" w:rsidRPr="00114B5B" w14:paraId="49C2E50E" w14:textId="77777777" w:rsidTr="00680792">
        <w:trPr>
          <w:trHeight w:val="284"/>
        </w:trPr>
        <w:tc>
          <w:tcPr>
            <w:tcW w:w="3042" w:type="pct"/>
            <w:tcBorders>
              <w:top w:val="single" w:sz="4" w:space="0" w:color="auto"/>
              <w:left w:val="nil"/>
              <w:bottom w:val="nil"/>
              <w:right w:val="single" w:sz="4" w:space="0" w:color="auto"/>
            </w:tcBorders>
            <w:shd w:val="clear" w:color="auto" w:fill="auto"/>
            <w:vAlign w:val="center"/>
            <w:hideMark/>
          </w:tcPr>
          <w:p w14:paraId="1F221A4C" w14:textId="77777777" w:rsidR="00E73548" w:rsidRPr="00114B5B" w:rsidRDefault="00E73548" w:rsidP="00E73548">
            <w:pPr>
              <w:rPr>
                <w:rFonts w:cs="Arial"/>
                <w:color w:val="000000"/>
                <w:sz w:val="20"/>
                <w:szCs w:val="20"/>
              </w:rPr>
            </w:pPr>
            <w:r w:rsidRPr="00114B5B">
              <w:rPr>
                <w:rFonts w:cs="Arial"/>
                <w:color w:val="000000"/>
                <w:sz w:val="20"/>
                <w:szCs w:val="20"/>
              </w:rPr>
              <w:t>Inatividade</w:t>
            </w:r>
          </w:p>
        </w:tc>
        <w:tc>
          <w:tcPr>
            <w:tcW w:w="979" w:type="pct"/>
            <w:tcBorders>
              <w:top w:val="single" w:sz="4" w:space="0" w:color="auto"/>
              <w:left w:val="single" w:sz="4" w:space="0" w:color="auto"/>
              <w:bottom w:val="nil"/>
              <w:right w:val="single" w:sz="4" w:space="0" w:color="auto"/>
            </w:tcBorders>
            <w:shd w:val="clear" w:color="auto" w:fill="auto"/>
            <w:vAlign w:val="center"/>
            <w:hideMark/>
          </w:tcPr>
          <w:p w14:paraId="7A57900D" w14:textId="752C6712" w:rsidR="00E73548" w:rsidRPr="00114B5B" w:rsidRDefault="00E73548" w:rsidP="00E73548">
            <w:pPr>
              <w:jc w:val="right"/>
              <w:rPr>
                <w:rFonts w:cs="Arial"/>
                <w:color w:val="000000"/>
                <w:sz w:val="20"/>
                <w:szCs w:val="20"/>
              </w:rPr>
            </w:pPr>
            <w:r>
              <w:rPr>
                <w:rFonts w:cs="Arial"/>
                <w:color w:val="000000"/>
                <w:sz w:val="20"/>
                <w:szCs w:val="20"/>
              </w:rPr>
              <w:t>1.888.903.588</w:t>
            </w:r>
          </w:p>
        </w:tc>
        <w:tc>
          <w:tcPr>
            <w:tcW w:w="979" w:type="pct"/>
            <w:tcBorders>
              <w:top w:val="single" w:sz="4" w:space="0" w:color="auto"/>
              <w:left w:val="single" w:sz="4" w:space="0" w:color="auto"/>
              <w:bottom w:val="nil"/>
              <w:right w:val="nil"/>
            </w:tcBorders>
            <w:shd w:val="clear" w:color="auto" w:fill="auto"/>
            <w:vAlign w:val="center"/>
            <w:hideMark/>
          </w:tcPr>
          <w:p w14:paraId="0C3E36A4" w14:textId="64A3FA2E" w:rsidR="00E73548" w:rsidRPr="00114B5B" w:rsidRDefault="00E73548" w:rsidP="00E73548">
            <w:pPr>
              <w:jc w:val="right"/>
              <w:rPr>
                <w:rFonts w:cs="Arial"/>
                <w:color w:val="000000"/>
                <w:sz w:val="20"/>
                <w:szCs w:val="20"/>
              </w:rPr>
            </w:pPr>
            <w:r>
              <w:rPr>
                <w:rFonts w:cs="Arial"/>
                <w:color w:val="000000"/>
                <w:sz w:val="20"/>
                <w:szCs w:val="20"/>
              </w:rPr>
              <w:t>1.660.595.279</w:t>
            </w:r>
          </w:p>
        </w:tc>
      </w:tr>
      <w:tr w:rsidR="00E73548" w:rsidRPr="00114B5B" w14:paraId="3B59F121" w14:textId="77777777" w:rsidTr="00680792">
        <w:trPr>
          <w:trHeight w:val="284"/>
        </w:trPr>
        <w:tc>
          <w:tcPr>
            <w:tcW w:w="3042" w:type="pct"/>
            <w:tcBorders>
              <w:top w:val="nil"/>
              <w:left w:val="nil"/>
              <w:bottom w:val="single" w:sz="4" w:space="0" w:color="auto"/>
              <w:right w:val="single" w:sz="4" w:space="0" w:color="auto"/>
            </w:tcBorders>
            <w:shd w:val="clear" w:color="auto" w:fill="auto"/>
            <w:vAlign w:val="center"/>
            <w:hideMark/>
          </w:tcPr>
          <w:p w14:paraId="54DA1BC2" w14:textId="77777777" w:rsidR="00E73548" w:rsidRPr="00114B5B" w:rsidRDefault="00E73548" w:rsidP="00E73548">
            <w:pPr>
              <w:rPr>
                <w:rFonts w:cs="Arial"/>
                <w:color w:val="000000"/>
                <w:sz w:val="20"/>
                <w:szCs w:val="20"/>
              </w:rPr>
            </w:pPr>
            <w:r w:rsidRPr="00114B5B">
              <w:rPr>
                <w:rFonts w:cs="Arial"/>
                <w:color w:val="000000"/>
                <w:sz w:val="20"/>
                <w:szCs w:val="20"/>
              </w:rPr>
              <w:t>Pensões</w:t>
            </w:r>
          </w:p>
        </w:tc>
        <w:tc>
          <w:tcPr>
            <w:tcW w:w="979" w:type="pct"/>
            <w:tcBorders>
              <w:top w:val="nil"/>
              <w:left w:val="single" w:sz="4" w:space="0" w:color="auto"/>
              <w:bottom w:val="single" w:sz="4" w:space="0" w:color="auto"/>
              <w:right w:val="single" w:sz="4" w:space="0" w:color="auto"/>
            </w:tcBorders>
            <w:shd w:val="clear" w:color="auto" w:fill="auto"/>
            <w:vAlign w:val="center"/>
            <w:hideMark/>
          </w:tcPr>
          <w:p w14:paraId="4E67BADE" w14:textId="7D5CBA27" w:rsidR="00E73548" w:rsidRPr="00114B5B" w:rsidRDefault="00E73548" w:rsidP="00E73548">
            <w:pPr>
              <w:jc w:val="right"/>
              <w:rPr>
                <w:rFonts w:cs="Arial"/>
                <w:color w:val="000000"/>
                <w:sz w:val="20"/>
                <w:szCs w:val="20"/>
              </w:rPr>
            </w:pPr>
            <w:r>
              <w:rPr>
                <w:rFonts w:cs="Arial"/>
                <w:color w:val="000000"/>
                <w:sz w:val="20"/>
                <w:szCs w:val="20"/>
              </w:rPr>
              <w:t>388.390.254</w:t>
            </w:r>
          </w:p>
        </w:tc>
        <w:tc>
          <w:tcPr>
            <w:tcW w:w="979" w:type="pct"/>
            <w:tcBorders>
              <w:top w:val="nil"/>
              <w:left w:val="single" w:sz="4" w:space="0" w:color="auto"/>
              <w:bottom w:val="single" w:sz="4" w:space="0" w:color="auto"/>
              <w:right w:val="nil"/>
            </w:tcBorders>
            <w:shd w:val="clear" w:color="auto" w:fill="auto"/>
            <w:vAlign w:val="center"/>
            <w:hideMark/>
          </w:tcPr>
          <w:p w14:paraId="7C78A4DF" w14:textId="6700FD4D" w:rsidR="00E73548" w:rsidRPr="00114B5B" w:rsidRDefault="00E73548" w:rsidP="00E73548">
            <w:pPr>
              <w:jc w:val="right"/>
              <w:rPr>
                <w:rFonts w:cs="Arial"/>
                <w:color w:val="000000"/>
                <w:sz w:val="20"/>
                <w:szCs w:val="20"/>
              </w:rPr>
            </w:pPr>
            <w:r>
              <w:rPr>
                <w:rFonts w:cs="Arial"/>
                <w:color w:val="000000"/>
                <w:sz w:val="20"/>
                <w:szCs w:val="20"/>
              </w:rPr>
              <w:t>353.026.411</w:t>
            </w:r>
          </w:p>
        </w:tc>
      </w:tr>
      <w:tr w:rsidR="00E73548" w:rsidRPr="00114B5B" w14:paraId="1A0AF26F" w14:textId="77777777" w:rsidTr="00680792">
        <w:trPr>
          <w:trHeight w:val="284"/>
        </w:trPr>
        <w:tc>
          <w:tcPr>
            <w:tcW w:w="3042" w:type="pct"/>
            <w:tcBorders>
              <w:top w:val="single" w:sz="4" w:space="0" w:color="auto"/>
              <w:left w:val="nil"/>
              <w:bottom w:val="single" w:sz="4" w:space="0" w:color="auto"/>
              <w:right w:val="single" w:sz="4" w:space="0" w:color="auto"/>
            </w:tcBorders>
            <w:shd w:val="clear" w:color="auto" w:fill="auto"/>
            <w:vAlign w:val="center"/>
            <w:hideMark/>
          </w:tcPr>
          <w:p w14:paraId="04844B0B" w14:textId="02B4646E" w:rsidR="00E73548" w:rsidRPr="00114B5B" w:rsidRDefault="00E73548" w:rsidP="00E73548">
            <w:pPr>
              <w:jc w:val="center"/>
              <w:rPr>
                <w:rFonts w:cs="Arial"/>
                <w:b/>
                <w:bCs/>
                <w:sz w:val="20"/>
                <w:szCs w:val="20"/>
              </w:rPr>
            </w:pPr>
            <w:r w:rsidRPr="00114B5B">
              <w:rPr>
                <w:rFonts w:cs="Arial"/>
                <w:b/>
                <w:bCs/>
                <w:sz w:val="20"/>
                <w:szCs w:val="20"/>
              </w:rPr>
              <w:t>Total das Despesas (II)</w:t>
            </w:r>
          </w:p>
        </w:tc>
        <w:tc>
          <w:tcPr>
            <w:tcW w:w="97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3FA67B" w14:textId="73180D64" w:rsidR="00E73548" w:rsidRPr="00114B5B" w:rsidRDefault="00E73548" w:rsidP="00E73548">
            <w:pPr>
              <w:jc w:val="right"/>
              <w:rPr>
                <w:rFonts w:cs="Arial"/>
                <w:b/>
                <w:bCs/>
                <w:sz w:val="20"/>
                <w:szCs w:val="20"/>
              </w:rPr>
            </w:pPr>
            <w:r>
              <w:rPr>
                <w:rFonts w:cs="Arial"/>
                <w:b/>
                <w:bCs/>
                <w:color w:val="000000"/>
                <w:sz w:val="20"/>
                <w:szCs w:val="20"/>
              </w:rPr>
              <w:t>2.277.293.841</w:t>
            </w:r>
          </w:p>
        </w:tc>
        <w:tc>
          <w:tcPr>
            <w:tcW w:w="979" w:type="pct"/>
            <w:tcBorders>
              <w:top w:val="single" w:sz="4" w:space="0" w:color="auto"/>
              <w:left w:val="single" w:sz="4" w:space="0" w:color="auto"/>
              <w:bottom w:val="single" w:sz="4" w:space="0" w:color="auto"/>
              <w:right w:val="nil"/>
            </w:tcBorders>
            <w:shd w:val="clear" w:color="auto" w:fill="auto"/>
            <w:vAlign w:val="center"/>
            <w:hideMark/>
          </w:tcPr>
          <w:p w14:paraId="3EE2B372" w14:textId="6BB97066" w:rsidR="00E73548" w:rsidRPr="00114B5B" w:rsidRDefault="00E73548" w:rsidP="00E73548">
            <w:pPr>
              <w:jc w:val="right"/>
              <w:rPr>
                <w:rFonts w:cs="Arial"/>
                <w:b/>
                <w:bCs/>
                <w:sz w:val="20"/>
                <w:szCs w:val="20"/>
              </w:rPr>
            </w:pPr>
            <w:r>
              <w:rPr>
                <w:rFonts w:cs="Arial"/>
                <w:b/>
                <w:bCs/>
                <w:color w:val="000000"/>
                <w:sz w:val="20"/>
                <w:szCs w:val="20"/>
              </w:rPr>
              <w:t>2.013.621.690</w:t>
            </w:r>
          </w:p>
        </w:tc>
      </w:tr>
      <w:tr w:rsidR="00B67EB7" w:rsidRPr="00114B5B" w14:paraId="7AF098F1" w14:textId="77777777" w:rsidTr="00680792">
        <w:trPr>
          <w:trHeight w:val="284"/>
        </w:trPr>
        <w:tc>
          <w:tcPr>
            <w:tcW w:w="3042" w:type="pct"/>
            <w:tcBorders>
              <w:top w:val="single" w:sz="4" w:space="0" w:color="auto"/>
              <w:left w:val="nil"/>
              <w:bottom w:val="single" w:sz="4" w:space="0" w:color="auto"/>
              <w:right w:val="nil"/>
            </w:tcBorders>
            <w:shd w:val="clear" w:color="auto" w:fill="auto"/>
            <w:vAlign w:val="center"/>
            <w:hideMark/>
          </w:tcPr>
          <w:p w14:paraId="310353E2" w14:textId="77777777" w:rsidR="00B67EB7" w:rsidRPr="00114B5B" w:rsidRDefault="00B67EB7" w:rsidP="00B67EB7">
            <w:pPr>
              <w:jc w:val="right"/>
              <w:rPr>
                <w:rFonts w:cs="Arial"/>
                <w:b/>
                <w:bCs/>
                <w:color w:val="002060"/>
                <w:sz w:val="20"/>
                <w:szCs w:val="20"/>
              </w:rPr>
            </w:pPr>
          </w:p>
        </w:tc>
        <w:tc>
          <w:tcPr>
            <w:tcW w:w="979" w:type="pct"/>
            <w:tcBorders>
              <w:top w:val="single" w:sz="4" w:space="0" w:color="auto"/>
              <w:left w:val="nil"/>
              <w:bottom w:val="single" w:sz="4" w:space="0" w:color="auto"/>
              <w:right w:val="nil"/>
            </w:tcBorders>
            <w:shd w:val="clear" w:color="auto" w:fill="auto"/>
            <w:vAlign w:val="center"/>
            <w:hideMark/>
          </w:tcPr>
          <w:p w14:paraId="67B5CA7C" w14:textId="77777777" w:rsidR="00B67EB7" w:rsidRPr="00114B5B" w:rsidRDefault="00B67EB7" w:rsidP="00B67EB7">
            <w:pPr>
              <w:rPr>
                <w:rFonts w:cs="Arial"/>
                <w:sz w:val="20"/>
                <w:szCs w:val="20"/>
              </w:rPr>
            </w:pPr>
          </w:p>
        </w:tc>
        <w:tc>
          <w:tcPr>
            <w:tcW w:w="979" w:type="pct"/>
            <w:tcBorders>
              <w:top w:val="single" w:sz="4" w:space="0" w:color="auto"/>
              <w:left w:val="nil"/>
              <w:bottom w:val="single" w:sz="4" w:space="0" w:color="auto"/>
              <w:right w:val="nil"/>
            </w:tcBorders>
            <w:shd w:val="clear" w:color="auto" w:fill="auto"/>
            <w:vAlign w:val="center"/>
            <w:hideMark/>
          </w:tcPr>
          <w:p w14:paraId="4425D887" w14:textId="77777777" w:rsidR="00B67EB7" w:rsidRPr="00114B5B" w:rsidRDefault="00B67EB7" w:rsidP="00B67EB7">
            <w:pPr>
              <w:rPr>
                <w:rFonts w:cs="Arial"/>
                <w:sz w:val="20"/>
                <w:szCs w:val="20"/>
              </w:rPr>
            </w:pPr>
          </w:p>
        </w:tc>
      </w:tr>
      <w:tr w:rsidR="00E73548" w:rsidRPr="00114B5B" w14:paraId="1E16FD61" w14:textId="77777777" w:rsidTr="00680792">
        <w:trPr>
          <w:trHeight w:val="284"/>
        </w:trPr>
        <w:tc>
          <w:tcPr>
            <w:tcW w:w="3042" w:type="pct"/>
            <w:tcBorders>
              <w:top w:val="single" w:sz="4" w:space="0" w:color="auto"/>
              <w:left w:val="nil"/>
              <w:bottom w:val="single" w:sz="4" w:space="0" w:color="auto"/>
              <w:right w:val="nil"/>
            </w:tcBorders>
            <w:shd w:val="clear" w:color="auto" w:fill="A1F2FD"/>
            <w:noWrap/>
            <w:vAlign w:val="center"/>
            <w:hideMark/>
          </w:tcPr>
          <w:p w14:paraId="7B2856F3" w14:textId="041170F8" w:rsidR="00E73548" w:rsidRPr="00114B5B" w:rsidRDefault="00E73548" w:rsidP="00E73548">
            <w:pPr>
              <w:jc w:val="center"/>
              <w:rPr>
                <w:rFonts w:cs="Arial"/>
                <w:b/>
                <w:bCs/>
                <w:color w:val="000000"/>
                <w:sz w:val="20"/>
                <w:szCs w:val="20"/>
              </w:rPr>
            </w:pPr>
            <w:r w:rsidRPr="00114B5B">
              <w:rPr>
                <w:rFonts w:cs="Arial"/>
                <w:b/>
                <w:bCs/>
                <w:color w:val="000000"/>
                <w:sz w:val="20"/>
                <w:szCs w:val="20"/>
              </w:rPr>
              <w:t xml:space="preserve">Resultado </w:t>
            </w:r>
            <w:r w:rsidRPr="00010CF3">
              <w:rPr>
                <w:rFonts w:cs="Arial"/>
                <w:b/>
                <w:bCs/>
                <w:color w:val="000000"/>
                <w:sz w:val="20"/>
                <w:szCs w:val="20"/>
              </w:rPr>
              <w:t>(III) = (I - II)</w:t>
            </w:r>
          </w:p>
        </w:tc>
        <w:tc>
          <w:tcPr>
            <w:tcW w:w="979" w:type="pct"/>
            <w:tcBorders>
              <w:top w:val="single" w:sz="4" w:space="0" w:color="auto"/>
              <w:left w:val="single" w:sz="8" w:space="0" w:color="auto"/>
              <w:bottom w:val="single" w:sz="4" w:space="0" w:color="auto"/>
              <w:right w:val="single" w:sz="8" w:space="0" w:color="auto"/>
            </w:tcBorders>
            <w:shd w:val="clear" w:color="auto" w:fill="A1F2FD"/>
            <w:noWrap/>
            <w:vAlign w:val="center"/>
            <w:hideMark/>
          </w:tcPr>
          <w:p w14:paraId="559C9CCA" w14:textId="619AC370" w:rsidR="00E73548" w:rsidRPr="00114B5B" w:rsidRDefault="00E73548" w:rsidP="00E73548">
            <w:pPr>
              <w:jc w:val="right"/>
              <w:rPr>
                <w:rFonts w:cs="Arial"/>
                <w:b/>
                <w:bCs/>
                <w:color w:val="FF0000"/>
                <w:sz w:val="20"/>
                <w:szCs w:val="20"/>
              </w:rPr>
            </w:pPr>
            <w:r>
              <w:rPr>
                <w:rFonts w:cs="Arial"/>
                <w:b/>
                <w:bCs/>
                <w:color w:val="FF0000"/>
                <w:sz w:val="20"/>
                <w:szCs w:val="20"/>
              </w:rPr>
              <w:t>(1.852.049.841)</w:t>
            </w:r>
          </w:p>
        </w:tc>
        <w:tc>
          <w:tcPr>
            <w:tcW w:w="979" w:type="pct"/>
            <w:tcBorders>
              <w:top w:val="single" w:sz="4" w:space="0" w:color="auto"/>
              <w:left w:val="nil"/>
              <w:bottom w:val="single" w:sz="4" w:space="0" w:color="auto"/>
              <w:right w:val="nil"/>
            </w:tcBorders>
            <w:shd w:val="clear" w:color="auto" w:fill="A1F2FD"/>
            <w:noWrap/>
            <w:vAlign w:val="center"/>
            <w:hideMark/>
          </w:tcPr>
          <w:p w14:paraId="7437DC9A" w14:textId="3E089315" w:rsidR="00E73548" w:rsidRPr="00114B5B" w:rsidRDefault="00E73548" w:rsidP="00E73548">
            <w:pPr>
              <w:jc w:val="right"/>
              <w:rPr>
                <w:rFonts w:cs="Arial"/>
                <w:b/>
                <w:bCs/>
                <w:color w:val="FF0000"/>
                <w:sz w:val="20"/>
                <w:szCs w:val="20"/>
              </w:rPr>
            </w:pPr>
            <w:r>
              <w:rPr>
                <w:rFonts w:cs="Arial"/>
                <w:b/>
                <w:bCs/>
                <w:color w:val="FF0000"/>
                <w:sz w:val="20"/>
                <w:szCs w:val="20"/>
              </w:rPr>
              <w:t>(1.581.524.103)</w:t>
            </w:r>
          </w:p>
        </w:tc>
      </w:tr>
    </w:tbl>
    <w:p w14:paraId="73032869" w14:textId="77777777" w:rsidR="00B67EB7" w:rsidRPr="00AE057A" w:rsidRDefault="00B67EB7" w:rsidP="00B67EB7">
      <w:pPr>
        <w:rPr>
          <w:rFonts w:eastAsia="Arial" w:cs="Arial"/>
          <w:color w:val="000000"/>
          <w:sz w:val="16"/>
          <w:szCs w:val="16"/>
        </w:rPr>
      </w:pPr>
      <w:r w:rsidRPr="00AE057A">
        <w:rPr>
          <w:rFonts w:eastAsia="Arial" w:cs="Arial"/>
          <w:color w:val="000000"/>
          <w:sz w:val="16"/>
          <w:szCs w:val="16"/>
        </w:rPr>
        <w:t>Fonte: RREO 6º Bimestre de 2023</w:t>
      </w:r>
    </w:p>
    <w:p w14:paraId="5B322A7F" w14:textId="77777777" w:rsidR="00B67EB7" w:rsidRPr="00DC7978" w:rsidRDefault="00B67EB7" w:rsidP="00B67EB7">
      <w:pPr>
        <w:pStyle w:val="1-REL11"/>
      </w:pPr>
      <w:r w:rsidRPr="001C305A">
        <w:t xml:space="preserve">O resultado apresentado </w:t>
      </w:r>
      <w:r w:rsidRPr="00DC7978">
        <w:t>mostra o desequilíbrio entre as receitas e despesas previdenciárias no estado de Goiás em relação aos militares, sendo que houve aporte do Tesouro Estadual no montante de R$ 1,59 bilh</w:t>
      </w:r>
      <w:r>
        <w:t>ão</w:t>
      </w:r>
      <w:r w:rsidRPr="00DC7978">
        <w:t xml:space="preserve"> para pagamento de inativos e pensionistas. Entre os recursos aportados pelo Tesouro, o valor de R$ 226,50 milhões foi oriundo dos recursos remanescentes da venda da Celg-GT; portanto, a partir do exercício financeiro de 2024, o Tesouro Estadual terá um custo maior dentro do orçamento convencional para cobrir o déficit do sistema de proteção social dos militares.</w:t>
      </w:r>
    </w:p>
    <w:p w14:paraId="2E9528C6" w14:textId="77777777" w:rsidR="00B67EB7" w:rsidRDefault="00B67EB7" w:rsidP="00B67EB7">
      <w:pPr>
        <w:pStyle w:val="1-REL11"/>
      </w:pPr>
      <w:r w:rsidRPr="00DC7978">
        <w:t xml:space="preserve">Dentro dos recursos de insuficiências financeiras de R$ 1,59 bilhão, observamos que R$ 7,74 milhões estão relacionados a acerto contábil da conta 4.5.1.5.2.01.01.00.00 na </w:t>
      </w:r>
      <w:r>
        <w:t>UO</w:t>
      </w:r>
      <w:r w:rsidRPr="00DC7978">
        <w:t xml:space="preserve"> 1781</w:t>
      </w:r>
      <w:r>
        <w:t xml:space="preserve"> – Fundo Financeiro Militar</w:t>
      </w:r>
      <w:r w:rsidRPr="00DC7978">
        <w:t>. Em relação a esse acerto contábil, trata-se de recursos repassados pelo Tesouro Estadual para pagamentos das demandas judiciais (RPVs) utilizando a conta contábil 4.5.1.1.2.01.00.00.00</w:t>
      </w:r>
      <w:r>
        <w:t xml:space="preserve"> (cota recebida), deixando a informação menos transparente e resultando na seguinte irregularidade:</w:t>
      </w:r>
    </w:p>
    <w:p w14:paraId="2B49F738" w14:textId="510E81D0" w:rsidR="00B67EB7" w:rsidRPr="00EA084D" w:rsidRDefault="00B67EB7" w:rsidP="00E460D5">
      <w:pPr>
        <w:pStyle w:val="0-ACH-TIT"/>
      </w:pPr>
      <w:r w:rsidRPr="00EA084D">
        <w:t xml:space="preserve">&gt;&gt; </w:t>
      </w:r>
      <w:r w:rsidR="000165E4" w:rsidRPr="000165E4">
        <w:t>Deficiência nos registros contábeis dos repasse do Tesouro Estadual para pagamentos das demandas judiciais (RPV)</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B67EB7" w:rsidRPr="009C6508" w14:paraId="0B56958A" w14:textId="77777777" w:rsidTr="00B67EB7">
        <w:trPr>
          <w:trHeight w:val="629"/>
          <w:jc w:val="center"/>
        </w:trPr>
        <w:tc>
          <w:tcPr>
            <w:tcW w:w="6237" w:type="dxa"/>
            <w:vAlign w:val="center"/>
            <w:hideMark/>
          </w:tcPr>
          <w:tbl>
            <w:tblPr>
              <w:tblW w:w="0" w:type="auto"/>
              <w:tblBorders>
                <w:top w:val="nil"/>
                <w:left w:val="nil"/>
                <w:bottom w:val="nil"/>
                <w:right w:val="nil"/>
              </w:tblBorders>
              <w:tblLook w:val="0000" w:firstRow="0" w:lastRow="0" w:firstColumn="0" w:lastColumn="0" w:noHBand="0" w:noVBand="0"/>
            </w:tblPr>
            <w:tblGrid>
              <w:gridCol w:w="6097"/>
            </w:tblGrid>
            <w:tr w:rsidR="00B67EB7" w:rsidRPr="009C6508" w14:paraId="75544C75" w14:textId="77777777" w:rsidTr="00B67EB7">
              <w:trPr>
                <w:trHeight w:val="319"/>
              </w:trPr>
              <w:tc>
                <w:tcPr>
                  <w:tcW w:w="0" w:type="auto"/>
                  <w:tcBorders>
                    <w:bottom w:val="nil"/>
                  </w:tcBorders>
                </w:tcPr>
                <w:p w14:paraId="4F9DD72A" w14:textId="1A5C9A26" w:rsidR="00B67EB7" w:rsidRPr="009C6508" w:rsidRDefault="00FF5540" w:rsidP="00B67EB7">
                  <w:pPr>
                    <w:pStyle w:val="0-ACH-TXT"/>
                    <w:rPr>
                      <w:highlight w:val="yellow"/>
                      <w:u w:val="single"/>
                    </w:rPr>
                  </w:pPr>
                  <w:r w:rsidRPr="00FF5540">
                    <w:t>Os repasses efetuados pelo Tesouro Estadual das insuficiências financeiras para as UOs 1780 – Fundo Financeiro e 1781 – Fundo Financeiro Militar relacionadas às demandas judiciais (RPV)  na conta contábil 4.5.1.1.2.01.00.00.00 (cota recebida) prejudica a transparência, uma vez que existe conta contábil específica para registro de insuficiências financeiras.</w:t>
                  </w:r>
                </w:p>
              </w:tc>
            </w:tr>
          </w:tbl>
          <w:p w14:paraId="3E061B6A" w14:textId="77777777" w:rsidR="00B67EB7" w:rsidRPr="009C6508" w:rsidRDefault="00B67EB7" w:rsidP="00B67EB7">
            <w:pPr>
              <w:pStyle w:val="Default"/>
              <w:jc w:val="both"/>
              <w:rPr>
                <w:caps/>
                <w:highlight w:val="yellow"/>
              </w:rPr>
            </w:pPr>
          </w:p>
        </w:tc>
      </w:tr>
    </w:tbl>
    <w:p w14:paraId="78280DB8" w14:textId="04A41CF4" w:rsidR="00FF5540" w:rsidRDefault="00B67EB7" w:rsidP="00B67EB7">
      <w:pPr>
        <w:pStyle w:val="1-REL11"/>
      </w:pPr>
      <w:r w:rsidRPr="00C2168A">
        <w:lastRenderedPageBreak/>
        <w:t xml:space="preserve">Portanto, sugere-se </w:t>
      </w:r>
      <w:r w:rsidR="00FF5540" w:rsidRPr="00FF5540">
        <w:t>ao Tribunal de Contas do Estado de Goiás que recomende ao Governo do estado de Goiás, por meio da Goiás Previdência,  que adote providências com vistas a concentrar o registro contábil das insuficiências financeiras da UO 1780 – Fundo Financeiro e 1781 – Fundo Financeiro Militar relacionadas às demandas judiciais (RPV) na conta contábil 4.5.1.3.2.01.01.00.00, com o objetivo de dar total transparência à insuficiência financeira repassada pelo Tesouro Estadual para cobertura do déficit previdenciário</w:t>
      </w:r>
      <w:r w:rsidR="00FF5540">
        <w:t>.</w:t>
      </w:r>
    </w:p>
    <w:p w14:paraId="30A1DDC0" w14:textId="7EAE19FD" w:rsidR="00B67EB7" w:rsidRPr="00DC7978" w:rsidRDefault="00B67EB7" w:rsidP="00B67EB7">
      <w:pPr>
        <w:pStyle w:val="1-REL11"/>
      </w:pPr>
      <w:r w:rsidRPr="00DC7978">
        <w:t>Ressalta-se que o desconto previdenciário dos militares no exercício financeiro de 2023 foi de 10,50% sobre a remuneração, em obediência ao art. 24 Lei nº 13.954/2019. Portanto, o percentual menor de desconto previdenciário exige maiores aportes do Tesouro Estadual, haja vista que a situação anterior era um desconto previdenciário de 14,25% sobre a remuneração.</w:t>
      </w:r>
    </w:p>
    <w:p w14:paraId="4CC4E8D0" w14:textId="77777777" w:rsidR="00B67EB7" w:rsidRPr="00DC7978" w:rsidRDefault="00B67EB7" w:rsidP="00B67EB7">
      <w:pPr>
        <w:pStyle w:val="1-REL11"/>
      </w:pPr>
      <w:r w:rsidRPr="00DC7978">
        <w:t>Observou-se que no exercício financeiro em análise o Poder Executivo passou a registrar em Notas Explicativas os aportes efetuados para o sistema de proteção social dos militares.</w:t>
      </w:r>
    </w:p>
    <w:p w14:paraId="39245A24" w14:textId="77777777" w:rsidR="00B67EB7" w:rsidRPr="00DC7978" w:rsidRDefault="00B67EB7" w:rsidP="00A224E9">
      <w:pPr>
        <w:pStyle w:val="Ttulo3"/>
      </w:pPr>
      <w:bookmarkStart w:id="177" w:name="_Toc167871673"/>
      <w:r w:rsidRPr="00DC7978">
        <w:t>Resumo Previdenciário</w:t>
      </w:r>
      <w:bookmarkEnd w:id="177"/>
    </w:p>
    <w:p w14:paraId="42A2E41B" w14:textId="77777777" w:rsidR="00B67EB7" w:rsidRPr="001C305A" w:rsidRDefault="00B67EB7" w:rsidP="00B67EB7">
      <w:pPr>
        <w:pStyle w:val="1-REL11"/>
      </w:pPr>
      <w:r w:rsidRPr="00DC7978">
        <w:t>Após a alteração previdenciária promovida na Constituição Estadual mediante Emenda Constitucional Estadual nº 65/2019, houve a divisão de relatórios previdenciários com o objetivo de mostrar a situação de cada massa de segurados</w:t>
      </w:r>
      <w:r w:rsidRPr="001C305A">
        <w:t>. Nas tabelas a seguir foram consolidadas as informações do sistema previdenciário do estado de Goiás</w:t>
      </w:r>
      <w:r>
        <w:t>:</w:t>
      </w:r>
    </w:p>
    <w:p w14:paraId="7E15AF27" w14:textId="630EDCF7" w:rsidR="00B67EB7" w:rsidRPr="001C305A" w:rsidRDefault="00B67EB7" w:rsidP="00ED3571">
      <w:pPr>
        <w:pStyle w:val="0-TABELA"/>
        <w:rPr>
          <w:b/>
          <w:color w:val="FF0000"/>
        </w:rPr>
      </w:pPr>
      <w:bookmarkStart w:id="178" w:name="_Toc167871766"/>
      <w:r w:rsidRPr="001C305A">
        <w:t>Receitas e Despesas Previdenciárias</w:t>
      </w:r>
      <w:r w:rsidR="00455504">
        <w:t xml:space="preserve"> – 2019 a 2023</w:t>
      </w:r>
      <w:bookmarkEnd w:id="178"/>
    </w:p>
    <w:p w14:paraId="20ED7916" w14:textId="77777777" w:rsidR="00B67EB7" w:rsidRPr="001C305A" w:rsidRDefault="00B67EB7" w:rsidP="00B67EB7">
      <w:pPr>
        <w:pStyle w:val="0REALR1"/>
      </w:pPr>
      <w:r w:rsidRPr="001C305A">
        <w:t>R$ 1</w:t>
      </w:r>
    </w:p>
    <w:tbl>
      <w:tblPr>
        <w:tblW w:w="5000" w:type="pct"/>
        <w:tblCellMar>
          <w:left w:w="70" w:type="dxa"/>
          <w:right w:w="70" w:type="dxa"/>
        </w:tblCellMar>
        <w:tblLook w:val="04A0" w:firstRow="1" w:lastRow="0" w:firstColumn="1" w:lastColumn="0" w:noHBand="0" w:noVBand="1"/>
      </w:tblPr>
      <w:tblGrid>
        <w:gridCol w:w="2292"/>
        <w:gridCol w:w="1413"/>
        <w:gridCol w:w="1410"/>
        <w:gridCol w:w="1410"/>
        <w:gridCol w:w="1410"/>
        <w:gridCol w:w="1418"/>
      </w:tblGrid>
      <w:tr w:rsidR="002056A7" w:rsidRPr="00455504" w14:paraId="1653E348" w14:textId="77777777" w:rsidTr="00680792">
        <w:trPr>
          <w:trHeight w:val="340"/>
          <w:tblHeader/>
        </w:trPr>
        <w:tc>
          <w:tcPr>
            <w:tcW w:w="1225" w:type="pct"/>
            <w:vMerge w:val="restart"/>
            <w:tcBorders>
              <w:top w:val="single" w:sz="4" w:space="0" w:color="auto"/>
              <w:left w:val="nil"/>
              <w:right w:val="single" w:sz="4" w:space="0" w:color="auto"/>
            </w:tcBorders>
            <w:shd w:val="clear" w:color="000000" w:fill="A2F2FD"/>
            <w:vAlign w:val="center"/>
            <w:hideMark/>
          </w:tcPr>
          <w:p w14:paraId="4B821205" w14:textId="77777777" w:rsidR="002056A7" w:rsidRPr="00455504" w:rsidRDefault="002056A7" w:rsidP="00B67EB7">
            <w:pPr>
              <w:jc w:val="center"/>
              <w:rPr>
                <w:rFonts w:cs="Arial"/>
                <w:b/>
                <w:bCs/>
                <w:color w:val="000000"/>
                <w:sz w:val="18"/>
                <w:szCs w:val="18"/>
              </w:rPr>
            </w:pPr>
            <w:r w:rsidRPr="00455504">
              <w:rPr>
                <w:rFonts w:cs="Arial"/>
                <w:b/>
                <w:bCs/>
                <w:color w:val="000000"/>
                <w:sz w:val="18"/>
                <w:szCs w:val="18"/>
              </w:rPr>
              <w:t>Receitas Previdenciárias</w:t>
            </w:r>
          </w:p>
        </w:tc>
        <w:tc>
          <w:tcPr>
            <w:tcW w:w="3775" w:type="pct"/>
            <w:gridSpan w:val="5"/>
            <w:tcBorders>
              <w:top w:val="single" w:sz="4" w:space="0" w:color="auto"/>
              <w:left w:val="single" w:sz="4" w:space="0" w:color="auto"/>
              <w:bottom w:val="single" w:sz="4" w:space="0" w:color="auto"/>
              <w:right w:val="nil"/>
            </w:tcBorders>
            <w:shd w:val="clear" w:color="000000" w:fill="A2F2FD"/>
            <w:vAlign w:val="center"/>
            <w:hideMark/>
          </w:tcPr>
          <w:p w14:paraId="17C25C19" w14:textId="7537AA4F" w:rsidR="002056A7" w:rsidRPr="00455504" w:rsidRDefault="002056A7" w:rsidP="002056A7">
            <w:pPr>
              <w:jc w:val="center"/>
              <w:rPr>
                <w:rFonts w:cs="Arial"/>
                <w:b/>
                <w:bCs/>
                <w:color w:val="000000"/>
                <w:sz w:val="18"/>
                <w:szCs w:val="18"/>
              </w:rPr>
            </w:pPr>
            <w:r w:rsidRPr="00455504">
              <w:rPr>
                <w:rFonts w:cs="Arial"/>
                <w:b/>
                <w:bCs/>
                <w:color w:val="000000"/>
                <w:sz w:val="18"/>
                <w:szCs w:val="18"/>
              </w:rPr>
              <w:t>Receitas Realizadas</w:t>
            </w:r>
          </w:p>
        </w:tc>
      </w:tr>
      <w:tr w:rsidR="002056A7" w:rsidRPr="00455504" w14:paraId="35B2AB28" w14:textId="77777777" w:rsidTr="00680792">
        <w:trPr>
          <w:trHeight w:val="340"/>
          <w:tblHeader/>
        </w:trPr>
        <w:tc>
          <w:tcPr>
            <w:tcW w:w="1225" w:type="pct"/>
            <w:vMerge/>
            <w:tcBorders>
              <w:left w:val="nil"/>
              <w:bottom w:val="single" w:sz="4" w:space="0" w:color="auto"/>
              <w:right w:val="single" w:sz="4" w:space="0" w:color="auto"/>
            </w:tcBorders>
            <w:shd w:val="clear" w:color="000000" w:fill="A2F2FD"/>
            <w:vAlign w:val="center"/>
          </w:tcPr>
          <w:p w14:paraId="13909D7D" w14:textId="77777777" w:rsidR="002056A7" w:rsidRPr="00455504" w:rsidRDefault="002056A7" w:rsidP="002056A7">
            <w:pPr>
              <w:jc w:val="center"/>
              <w:rPr>
                <w:rFonts w:cs="Arial"/>
                <w:b/>
                <w:bCs/>
                <w:color w:val="000000"/>
                <w:sz w:val="18"/>
                <w:szCs w:val="18"/>
              </w:rPr>
            </w:pPr>
          </w:p>
        </w:tc>
        <w:tc>
          <w:tcPr>
            <w:tcW w:w="755" w:type="pct"/>
            <w:tcBorders>
              <w:top w:val="single" w:sz="4" w:space="0" w:color="auto"/>
              <w:left w:val="single" w:sz="4" w:space="0" w:color="auto"/>
              <w:bottom w:val="single" w:sz="4" w:space="0" w:color="auto"/>
              <w:right w:val="single" w:sz="4" w:space="0" w:color="auto"/>
            </w:tcBorders>
            <w:shd w:val="clear" w:color="000000" w:fill="A2F2FD"/>
            <w:vAlign w:val="center"/>
          </w:tcPr>
          <w:p w14:paraId="2DF68F1D" w14:textId="2D712040" w:rsidR="002056A7" w:rsidRPr="00455504" w:rsidRDefault="002056A7" w:rsidP="002056A7">
            <w:pPr>
              <w:jc w:val="center"/>
              <w:rPr>
                <w:rFonts w:cs="Arial"/>
                <w:b/>
                <w:bCs/>
                <w:color w:val="000000"/>
                <w:sz w:val="18"/>
                <w:szCs w:val="18"/>
              </w:rPr>
            </w:pPr>
            <w:r w:rsidRPr="00455504">
              <w:rPr>
                <w:rFonts w:cs="Arial"/>
                <w:b/>
                <w:bCs/>
                <w:color w:val="000000"/>
                <w:sz w:val="18"/>
                <w:szCs w:val="18"/>
              </w:rPr>
              <w:t>2019</w:t>
            </w:r>
          </w:p>
        </w:tc>
        <w:tc>
          <w:tcPr>
            <w:tcW w:w="754" w:type="pct"/>
            <w:tcBorders>
              <w:top w:val="single" w:sz="4" w:space="0" w:color="auto"/>
              <w:left w:val="single" w:sz="4" w:space="0" w:color="auto"/>
              <w:bottom w:val="single" w:sz="4" w:space="0" w:color="auto"/>
              <w:right w:val="single" w:sz="4" w:space="0" w:color="auto"/>
            </w:tcBorders>
            <w:shd w:val="clear" w:color="000000" w:fill="A2F2FD"/>
            <w:vAlign w:val="center"/>
          </w:tcPr>
          <w:p w14:paraId="66DD290B" w14:textId="67EF0985" w:rsidR="002056A7" w:rsidRPr="00455504" w:rsidRDefault="002056A7" w:rsidP="002056A7">
            <w:pPr>
              <w:jc w:val="center"/>
              <w:rPr>
                <w:rFonts w:cs="Arial"/>
                <w:b/>
                <w:bCs/>
                <w:color w:val="000000"/>
                <w:sz w:val="18"/>
                <w:szCs w:val="18"/>
              </w:rPr>
            </w:pPr>
            <w:r w:rsidRPr="00455504">
              <w:rPr>
                <w:rFonts w:cs="Arial"/>
                <w:b/>
                <w:bCs/>
                <w:color w:val="000000"/>
                <w:sz w:val="18"/>
                <w:szCs w:val="18"/>
              </w:rPr>
              <w:t>2020</w:t>
            </w:r>
          </w:p>
        </w:tc>
        <w:tc>
          <w:tcPr>
            <w:tcW w:w="754" w:type="pct"/>
            <w:tcBorders>
              <w:top w:val="single" w:sz="4" w:space="0" w:color="auto"/>
              <w:left w:val="single" w:sz="4" w:space="0" w:color="auto"/>
              <w:bottom w:val="single" w:sz="4" w:space="0" w:color="auto"/>
              <w:right w:val="single" w:sz="4" w:space="0" w:color="auto"/>
            </w:tcBorders>
            <w:shd w:val="clear" w:color="000000" w:fill="A2F2FD"/>
            <w:vAlign w:val="center"/>
          </w:tcPr>
          <w:p w14:paraId="4D7C7F36" w14:textId="584D1E17" w:rsidR="002056A7" w:rsidRPr="00455504" w:rsidRDefault="002056A7" w:rsidP="002056A7">
            <w:pPr>
              <w:jc w:val="center"/>
              <w:rPr>
                <w:rFonts w:cs="Arial"/>
                <w:b/>
                <w:bCs/>
                <w:color w:val="000000"/>
                <w:sz w:val="18"/>
                <w:szCs w:val="18"/>
              </w:rPr>
            </w:pPr>
            <w:r w:rsidRPr="00455504">
              <w:rPr>
                <w:rFonts w:cs="Arial"/>
                <w:b/>
                <w:bCs/>
                <w:color w:val="000000"/>
                <w:sz w:val="18"/>
                <w:szCs w:val="18"/>
              </w:rPr>
              <w:t>2021</w:t>
            </w:r>
          </w:p>
        </w:tc>
        <w:tc>
          <w:tcPr>
            <w:tcW w:w="754" w:type="pct"/>
            <w:tcBorders>
              <w:top w:val="single" w:sz="4" w:space="0" w:color="auto"/>
              <w:left w:val="single" w:sz="4" w:space="0" w:color="auto"/>
              <w:bottom w:val="single" w:sz="4" w:space="0" w:color="auto"/>
              <w:right w:val="single" w:sz="4" w:space="0" w:color="auto"/>
            </w:tcBorders>
            <w:shd w:val="clear" w:color="000000" w:fill="A2F2FD"/>
            <w:vAlign w:val="center"/>
          </w:tcPr>
          <w:p w14:paraId="3C2909E4" w14:textId="21882BFA" w:rsidR="002056A7" w:rsidRPr="00455504" w:rsidRDefault="002056A7" w:rsidP="002056A7">
            <w:pPr>
              <w:jc w:val="center"/>
              <w:rPr>
                <w:rFonts w:cs="Arial"/>
                <w:b/>
                <w:bCs/>
                <w:color w:val="000000"/>
                <w:sz w:val="18"/>
                <w:szCs w:val="18"/>
              </w:rPr>
            </w:pPr>
            <w:r w:rsidRPr="00455504">
              <w:rPr>
                <w:rFonts w:cs="Arial"/>
                <w:b/>
                <w:bCs/>
                <w:color w:val="000000"/>
                <w:sz w:val="18"/>
                <w:szCs w:val="18"/>
              </w:rPr>
              <w:t>2022</w:t>
            </w:r>
          </w:p>
        </w:tc>
        <w:tc>
          <w:tcPr>
            <w:tcW w:w="757" w:type="pct"/>
            <w:tcBorders>
              <w:top w:val="single" w:sz="4" w:space="0" w:color="auto"/>
              <w:left w:val="single" w:sz="4" w:space="0" w:color="auto"/>
              <w:bottom w:val="single" w:sz="4" w:space="0" w:color="auto"/>
              <w:right w:val="nil"/>
            </w:tcBorders>
            <w:shd w:val="clear" w:color="000000" w:fill="A2F2FD"/>
            <w:vAlign w:val="center"/>
          </w:tcPr>
          <w:p w14:paraId="0D6D506A" w14:textId="000BE493" w:rsidR="002056A7" w:rsidRPr="00455504" w:rsidRDefault="002056A7" w:rsidP="002056A7">
            <w:pPr>
              <w:jc w:val="center"/>
              <w:rPr>
                <w:rFonts w:cs="Arial"/>
                <w:b/>
                <w:bCs/>
                <w:color w:val="000000"/>
                <w:sz w:val="18"/>
                <w:szCs w:val="18"/>
              </w:rPr>
            </w:pPr>
            <w:r w:rsidRPr="00455504">
              <w:rPr>
                <w:rFonts w:cs="Arial"/>
                <w:b/>
                <w:bCs/>
                <w:color w:val="000000"/>
                <w:sz w:val="18"/>
                <w:szCs w:val="18"/>
              </w:rPr>
              <w:t>2023</w:t>
            </w:r>
          </w:p>
        </w:tc>
      </w:tr>
      <w:tr w:rsidR="00B67EB7" w:rsidRPr="00455504" w14:paraId="37DB1E4B" w14:textId="77777777" w:rsidTr="00680792">
        <w:trPr>
          <w:trHeight w:val="340"/>
        </w:trPr>
        <w:tc>
          <w:tcPr>
            <w:tcW w:w="1225" w:type="pct"/>
            <w:tcBorders>
              <w:top w:val="single" w:sz="4" w:space="0" w:color="auto"/>
              <w:left w:val="nil"/>
              <w:bottom w:val="nil"/>
              <w:right w:val="single" w:sz="4" w:space="0" w:color="auto"/>
            </w:tcBorders>
            <w:shd w:val="clear" w:color="auto" w:fill="auto"/>
            <w:vAlign w:val="center"/>
            <w:hideMark/>
          </w:tcPr>
          <w:p w14:paraId="2B42FD7A" w14:textId="77777777" w:rsidR="00B67EB7" w:rsidRPr="00455504" w:rsidRDefault="00B67EB7" w:rsidP="00B67EB7">
            <w:pPr>
              <w:rPr>
                <w:rFonts w:cs="Arial"/>
                <w:b/>
                <w:bCs/>
                <w:color w:val="000000"/>
                <w:sz w:val="18"/>
                <w:szCs w:val="18"/>
              </w:rPr>
            </w:pPr>
            <w:r w:rsidRPr="00455504">
              <w:rPr>
                <w:rFonts w:cs="Arial"/>
                <w:b/>
                <w:bCs/>
                <w:color w:val="000000"/>
                <w:sz w:val="18"/>
                <w:szCs w:val="18"/>
              </w:rPr>
              <w:t xml:space="preserve">Receitas Correntes </w:t>
            </w:r>
          </w:p>
        </w:tc>
        <w:tc>
          <w:tcPr>
            <w:tcW w:w="755" w:type="pct"/>
            <w:tcBorders>
              <w:top w:val="single" w:sz="4" w:space="0" w:color="auto"/>
              <w:left w:val="single" w:sz="4" w:space="0" w:color="auto"/>
              <w:bottom w:val="nil"/>
              <w:right w:val="single" w:sz="4" w:space="0" w:color="auto"/>
            </w:tcBorders>
            <w:shd w:val="clear" w:color="auto" w:fill="auto"/>
            <w:vAlign w:val="center"/>
            <w:hideMark/>
          </w:tcPr>
          <w:p w14:paraId="4402ED43"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3.381.270.759</w:t>
            </w:r>
          </w:p>
        </w:tc>
        <w:tc>
          <w:tcPr>
            <w:tcW w:w="754" w:type="pct"/>
            <w:tcBorders>
              <w:top w:val="single" w:sz="4" w:space="0" w:color="auto"/>
              <w:left w:val="single" w:sz="4" w:space="0" w:color="auto"/>
              <w:bottom w:val="nil"/>
              <w:right w:val="single" w:sz="4" w:space="0" w:color="auto"/>
            </w:tcBorders>
            <w:shd w:val="clear" w:color="auto" w:fill="auto"/>
            <w:vAlign w:val="center"/>
            <w:hideMark/>
          </w:tcPr>
          <w:p w14:paraId="3F55092B"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2.790.083.106</w:t>
            </w:r>
          </w:p>
        </w:tc>
        <w:tc>
          <w:tcPr>
            <w:tcW w:w="754" w:type="pct"/>
            <w:tcBorders>
              <w:top w:val="single" w:sz="4" w:space="0" w:color="auto"/>
              <w:left w:val="single" w:sz="4" w:space="0" w:color="auto"/>
              <w:bottom w:val="nil"/>
              <w:right w:val="single" w:sz="4" w:space="0" w:color="auto"/>
            </w:tcBorders>
            <w:shd w:val="clear" w:color="auto" w:fill="auto"/>
            <w:vAlign w:val="center"/>
            <w:hideMark/>
          </w:tcPr>
          <w:p w14:paraId="3C4D8AB1"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2.879.996.125</w:t>
            </w:r>
          </w:p>
        </w:tc>
        <w:tc>
          <w:tcPr>
            <w:tcW w:w="754" w:type="pct"/>
            <w:tcBorders>
              <w:top w:val="single" w:sz="4" w:space="0" w:color="auto"/>
              <w:left w:val="single" w:sz="4" w:space="0" w:color="auto"/>
              <w:bottom w:val="nil"/>
              <w:right w:val="single" w:sz="4" w:space="0" w:color="auto"/>
            </w:tcBorders>
            <w:shd w:val="clear" w:color="auto" w:fill="auto"/>
            <w:vAlign w:val="center"/>
            <w:hideMark/>
          </w:tcPr>
          <w:p w14:paraId="05CE7A80"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2.956.737.162</w:t>
            </w:r>
          </w:p>
        </w:tc>
        <w:tc>
          <w:tcPr>
            <w:tcW w:w="757" w:type="pct"/>
            <w:tcBorders>
              <w:top w:val="single" w:sz="4" w:space="0" w:color="auto"/>
              <w:left w:val="single" w:sz="4" w:space="0" w:color="auto"/>
              <w:bottom w:val="nil"/>
              <w:right w:val="nil"/>
            </w:tcBorders>
            <w:shd w:val="clear" w:color="auto" w:fill="auto"/>
            <w:vAlign w:val="center"/>
            <w:hideMark/>
          </w:tcPr>
          <w:p w14:paraId="5D3E3DF1"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3.306.642.305</w:t>
            </w:r>
          </w:p>
        </w:tc>
      </w:tr>
      <w:tr w:rsidR="00B67EB7" w:rsidRPr="00455504" w14:paraId="14D29F22" w14:textId="77777777" w:rsidTr="00680792">
        <w:trPr>
          <w:trHeight w:val="340"/>
        </w:trPr>
        <w:tc>
          <w:tcPr>
            <w:tcW w:w="1225" w:type="pct"/>
            <w:tcBorders>
              <w:top w:val="nil"/>
              <w:left w:val="nil"/>
              <w:bottom w:val="nil"/>
              <w:right w:val="single" w:sz="4" w:space="0" w:color="auto"/>
            </w:tcBorders>
            <w:shd w:val="clear" w:color="auto" w:fill="auto"/>
            <w:vAlign w:val="center"/>
            <w:hideMark/>
          </w:tcPr>
          <w:p w14:paraId="6C25F19E" w14:textId="7E2A2358" w:rsidR="00B67EB7" w:rsidRPr="00083A7E" w:rsidRDefault="00B67EB7" w:rsidP="00455504">
            <w:pPr>
              <w:ind w:left="208"/>
              <w:rPr>
                <w:rFonts w:cs="Arial"/>
                <w:color w:val="000000"/>
                <w:sz w:val="16"/>
                <w:szCs w:val="18"/>
              </w:rPr>
            </w:pPr>
            <w:r w:rsidRPr="00083A7E">
              <w:rPr>
                <w:rFonts w:cs="Arial"/>
                <w:color w:val="000000"/>
                <w:sz w:val="16"/>
                <w:szCs w:val="18"/>
              </w:rPr>
              <w:t>Receita de Contribuições dos Segurados</w:t>
            </w:r>
          </w:p>
        </w:tc>
        <w:tc>
          <w:tcPr>
            <w:tcW w:w="755" w:type="pct"/>
            <w:tcBorders>
              <w:top w:val="nil"/>
              <w:left w:val="single" w:sz="4" w:space="0" w:color="auto"/>
              <w:bottom w:val="nil"/>
              <w:right w:val="single" w:sz="4" w:space="0" w:color="auto"/>
            </w:tcBorders>
            <w:shd w:val="clear" w:color="auto" w:fill="auto"/>
            <w:vAlign w:val="center"/>
            <w:hideMark/>
          </w:tcPr>
          <w:p w14:paraId="06B33A74" w14:textId="77777777" w:rsidR="00B67EB7" w:rsidRPr="00455504" w:rsidRDefault="00B67EB7" w:rsidP="00B67EB7">
            <w:pPr>
              <w:jc w:val="right"/>
              <w:rPr>
                <w:rFonts w:cs="Arial"/>
                <w:color w:val="000000"/>
                <w:sz w:val="18"/>
                <w:szCs w:val="18"/>
              </w:rPr>
            </w:pPr>
            <w:r w:rsidRPr="00455504">
              <w:rPr>
                <w:rFonts w:cs="Arial"/>
                <w:color w:val="000000"/>
                <w:sz w:val="18"/>
                <w:szCs w:val="18"/>
              </w:rPr>
              <w:t>1.309.301.017</w:t>
            </w:r>
          </w:p>
        </w:tc>
        <w:tc>
          <w:tcPr>
            <w:tcW w:w="754" w:type="pct"/>
            <w:tcBorders>
              <w:top w:val="nil"/>
              <w:left w:val="single" w:sz="4" w:space="0" w:color="auto"/>
              <w:bottom w:val="nil"/>
              <w:right w:val="single" w:sz="4" w:space="0" w:color="auto"/>
            </w:tcBorders>
            <w:shd w:val="clear" w:color="auto" w:fill="auto"/>
            <w:vAlign w:val="center"/>
            <w:hideMark/>
          </w:tcPr>
          <w:p w14:paraId="24D637F4" w14:textId="77777777" w:rsidR="00B67EB7" w:rsidRPr="00455504" w:rsidRDefault="00B67EB7" w:rsidP="00B67EB7">
            <w:pPr>
              <w:jc w:val="right"/>
              <w:rPr>
                <w:rFonts w:cs="Arial"/>
                <w:color w:val="000000"/>
                <w:sz w:val="18"/>
                <w:szCs w:val="18"/>
              </w:rPr>
            </w:pPr>
            <w:r w:rsidRPr="00455504">
              <w:rPr>
                <w:rFonts w:cs="Arial"/>
                <w:color w:val="000000"/>
                <w:sz w:val="18"/>
                <w:szCs w:val="18"/>
              </w:rPr>
              <w:t>1.383.229.448</w:t>
            </w:r>
          </w:p>
        </w:tc>
        <w:tc>
          <w:tcPr>
            <w:tcW w:w="754" w:type="pct"/>
            <w:tcBorders>
              <w:top w:val="nil"/>
              <w:left w:val="single" w:sz="4" w:space="0" w:color="auto"/>
              <w:bottom w:val="nil"/>
              <w:right w:val="single" w:sz="4" w:space="0" w:color="auto"/>
            </w:tcBorders>
            <w:shd w:val="clear" w:color="auto" w:fill="auto"/>
            <w:vAlign w:val="center"/>
            <w:hideMark/>
          </w:tcPr>
          <w:p w14:paraId="492D4DE1" w14:textId="77777777" w:rsidR="00B67EB7" w:rsidRPr="00455504" w:rsidRDefault="00B67EB7" w:rsidP="00B67EB7">
            <w:pPr>
              <w:jc w:val="right"/>
              <w:rPr>
                <w:rFonts w:cs="Arial"/>
                <w:color w:val="000000"/>
                <w:sz w:val="18"/>
                <w:szCs w:val="18"/>
              </w:rPr>
            </w:pPr>
            <w:r w:rsidRPr="00455504">
              <w:rPr>
                <w:rFonts w:cs="Arial"/>
                <w:color w:val="000000"/>
                <w:sz w:val="18"/>
                <w:szCs w:val="18"/>
              </w:rPr>
              <w:t>1.578.224.029</w:t>
            </w:r>
          </w:p>
        </w:tc>
        <w:tc>
          <w:tcPr>
            <w:tcW w:w="754" w:type="pct"/>
            <w:tcBorders>
              <w:top w:val="nil"/>
              <w:left w:val="single" w:sz="4" w:space="0" w:color="auto"/>
              <w:bottom w:val="nil"/>
              <w:right w:val="single" w:sz="4" w:space="0" w:color="auto"/>
            </w:tcBorders>
            <w:shd w:val="clear" w:color="auto" w:fill="auto"/>
            <w:vAlign w:val="center"/>
            <w:hideMark/>
          </w:tcPr>
          <w:p w14:paraId="6A117A17" w14:textId="77777777" w:rsidR="00B67EB7" w:rsidRPr="00455504" w:rsidRDefault="00B67EB7" w:rsidP="00B67EB7">
            <w:pPr>
              <w:jc w:val="right"/>
              <w:rPr>
                <w:rFonts w:cs="Arial"/>
                <w:color w:val="000000"/>
                <w:sz w:val="18"/>
                <w:szCs w:val="18"/>
              </w:rPr>
            </w:pPr>
            <w:r w:rsidRPr="00455504">
              <w:rPr>
                <w:rFonts w:cs="Arial"/>
                <w:color w:val="000000"/>
                <w:sz w:val="18"/>
                <w:szCs w:val="18"/>
              </w:rPr>
              <w:t>1.562.272.347</w:t>
            </w:r>
          </w:p>
        </w:tc>
        <w:tc>
          <w:tcPr>
            <w:tcW w:w="757" w:type="pct"/>
            <w:tcBorders>
              <w:top w:val="nil"/>
              <w:left w:val="single" w:sz="4" w:space="0" w:color="auto"/>
              <w:bottom w:val="nil"/>
              <w:right w:val="nil"/>
            </w:tcBorders>
            <w:shd w:val="clear" w:color="auto" w:fill="auto"/>
            <w:vAlign w:val="center"/>
            <w:hideMark/>
          </w:tcPr>
          <w:p w14:paraId="3B85BDE4" w14:textId="77777777" w:rsidR="00B67EB7" w:rsidRPr="00455504" w:rsidRDefault="00B67EB7" w:rsidP="00B67EB7">
            <w:pPr>
              <w:jc w:val="right"/>
              <w:rPr>
                <w:rFonts w:cs="Arial"/>
                <w:color w:val="000000"/>
                <w:sz w:val="18"/>
                <w:szCs w:val="18"/>
              </w:rPr>
            </w:pPr>
            <w:r w:rsidRPr="00455504">
              <w:rPr>
                <w:rFonts w:cs="Arial"/>
                <w:color w:val="000000"/>
                <w:sz w:val="18"/>
                <w:szCs w:val="18"/>
              </w:rPr>
              <w:t>1.714.630.080</w:t>
            </w:r>
          </w:p>
        </w:tc>
      </w:tr>
      <w:tr w:rsidR="00B67EB7" w:rsidRPr="00455504" w14:paraId="4C9FB15F" w14:textId="77777777" w:rsidTr="00680792">
        <w:trPr>
          <w:trHeight w:val="340"/>
        </w:trPr>
        <w:tc>
          <w:tcPr>
            <w:tcW w:w="1225" w:type="pct"/>
            <w:tcBorders>
              <w:top w:val="nil"/>
              <w:left w:val="nil"/>
              <w:bottom w:val="nil"/>
              <w:right w:val="single" w:sz="4" w:space="0" w:color="auto"/>
            </w:tcBorders>
            <w:shd w:val="clear" w:color="auto" w:fill="auto"/>
            <w:vAlign w:val="center"/>
            <w:hideMark/>
          </w:tcPr>
          <w:p w14:paraId="6F2FA3E1" w14:textId="77777777" w:rsidR="00B67EB7" w:rsidRPr="00083A7E" w:rsidRDefault="00B67EB7" w:rsidP="00455504">
            <w:pPr>
              <w:ind w:left="208"/>
              <w:rPr>
                <w:rFonts w:cs="Arial"/>
                <w:color w:val="000000"/>
                <w:sz w:val="16"/>
                <w:szCs w:val="18"/>
              </w:rPr>
            </w:pPr>
            <w:r w:rsidRPr="00083A7E">
              <w:rPr>
                <w:rFonts w:cs="Arial"/>
                <w:color w:val="000000"/>
                <w:sz w:val="16"/>
                <w:szCs w:val="18"/>
              </w:rPr>
              <w:t>Receita de Contribuições Patronais</w:t>
            </w:r>
          </w:p>
        </w:tc>
        <w:tc>
          <w:tcPr>
            <w:tcW w:w="755" w:type="pct"/>
            <w:tcBorders>
              <w:top w:val="nil"/>
              <w:left w:val="single" w:sz="4" w:space="0" w:color="auto"/>
              <w:bottom w:val="nil"/>
              <w:right w:val="single" w:sz="4" w:space="0" w:color="auto"/>
            </w:tcBorders>
            <w:shd w:val="clear" w:color="auto" w:fill="auto"/>
            <w:vAlign w:val="center"/>
            <w:hideMark/>
          </w:tcPr>
          <w:p w14:paraId="11AEE85A" w14:textId="77777777" w:rsidR="00B67EB7" w:rsidRPr="00455504" w:rsidRDefault="00B67EB7" w:rsidP="00B67EB7">
            <w:pPr>
              <w:jc w:val="right"/>
              <w:rPr>
                <w:rFonts w:cs="Arial"/>
                <w:color w:val="000000"/>
                <w:sz w:val="18"/>
                <w:szCs w:val="18"/>
              </w:rPr>
            </w:pPr>
            <w:r w:rsidRPr="00455504">
              <w:rPr>
                <w:rFonts w:cs="Arial"/>
                <w:color w:val="000000"/>
                <w:sz w:val="18"/>
                <w:szCs w:val="18"/>
              </w:rPr>
              <w:t>1.986.113.920</w:t>
            </w:r>
          </w:p>
        </w:tc>
        <w:tc>
          <w:tcPr>
            <w:tcW w:w="754" w:type="pct"/>
            <w:tcBorders>
              <w:top w:val="nil"/>
              <w:left w:val="single" w:sz="4" w:space="0" w:color="auto"/>
              <w:bottom w:val="nil"/>
              <w:right w:val="single" w:sz="4" w:space="0" w:color="auto"/>
            </w:tcBorders>
            <w:shd w:val="clear" w:color="auto" w:fill="auto"/>
            <w:vAlign w:val="center"/>
            <w:hideMark/>
          </w:tcPr>
          <w:p w14:paraId="7E1470AD" w14:textId="77777777" w:rsidR="00B67EB7" w:rsidRPr="00455504" w:rsidRDefault="00B67EB7" w:rsidP="00B67EB7">
            <w:pPr>
              <w:jc w:val="right"/>
              <w:rPr>
                <w:rFonts w:cs="Arial"/>
                <w:color w:val="000000"/>
                <w:sz w:val="18"/>
                <w:szCs w:val="18"/>
              </w:rPr>
            </w:pPr>
            <w:r w:rsidRPr="00455504">
              <w:rPr>
                <w:rFonts w:cs="Arial"/>
                <w:color w:val="000000"/>
                <w:sz w:val="18"/>
                <w:szCs w:val="18"/>
              </w:rPr>
              <w:t>1.389.735.381</w:t>
            </w:r>
          </w:p>
        </w:tc>
        <w:tc>
          <w:tcPr>
            <w:tcW w:w="754" w:type="pct"/>
            <w:tcBorders>
              <w:top w:val="nil"/>
              <w:left w:val="single" w:sz="4" w:space="0" w:color="auto"/>
              <w:bottom w:val="nil"/>
              <w:right w:val="single" w:sz="4" w:space="0" w:color="auto"/>
            </w:tcBorders>
            <w:shd w:val="clear" w:color="auto" w:fill="auto"/>
            <w:vAlign w:val="center"/>
            <w:hideMark/>
          </w:tcPr>
          <w:p w14:paraId="71338E96" w14:textId="77777777" w:rsidR="00B67EB7" w:rsidRPr="00455504" w:rsidRDefault="00B67EB7" w:rsidP="00B67EB7">
            <w:pPr>
              <w:jc w:val="right"/>
              <w:rPr>
                <w:rFonts w:cs="Arial"/>
                <w:color w:val="000000"/>
                <w:sz w:val="18"/>
                <w:szCs w:val="18"/>
              </w:rPr>
            </w:pPr>
            <w:r w:rsidRPr="00455504">
              <w:rPr>
                <w:rFonts w:cs="Arial"/>
                <w:color w:val="000000"/>
                <w:sz w:val="18"/>
                <w:szCs w:val="18"/>
              </w:rPr>
              <w:t>1.266.556.268</w:t>
            </w:r>
          </w:p>
        </w:tc>
        <w:tc>
          <w:tcPr>
            <w:tcW w:w="754" w:type="pct"/>
            <w:tcBorders>
              <w:top w:val="nil"/>
              <w:left w:val="single" w:sz="4" w:space="0" w:color="auto"/>
              <w:bottom w:val="nil"/>
              <w:right w:val="single" w:sz="4" w:space="0" w:color="auto"/>
            </w:tcBorders>
            <w:shd w:val="clear" w:color="auto" w:fill="auto"/>
            <w:vAlign w:val="center"/>
            <w:hideMark/>
          </w:tcPr>
          <w:p w14:paraId="61F20681" w14:textId="77777777" w:rsidR="00B67EB7" w:rsidRPr="00455504" w:rsidRDefault="00B67EB7" w:rsidP="00B67EB7">
            <w:pPr>
              <w:jc w:val="right"/>
              <w:rPr>
                <w:rFonts w:cs="Arial"/>
                <w:color w:val="000000"/>
                <w:sz w:val="18"/>
                <w:szCs w:val="18"/>
              </w:rPr>
            </w:pPr>
            <w:r w:rsidRPr="00455504">
              <w:rPr>
                <w:rFonts w:cs="Arial"/>
                <w:color w:val="000000"/>
                <w:sz w:val="18"/>
                <w:szCs w:val="18"/>
              </w:rPr>
              <w:t>1.350.247.787</w:t>
            </w:r>
          </w:p>
        </w:tc>
        <w:tc>
          <w:tcPr>
            <w:tcW w:w="757" w:type="pct"/>
            <w:tcBorders>
              <w:top w:val="nil"/>
              <w:left w:val="single" w:sz="4" w:space="0" w:color="auto"/>
              <w:bottom w:val="nil"/>
              <w:right w:val="nil"/>
            </w:tcBorders>
            <w:shd w:val="clear" w:color="auto" w:fill="auto"/>
            <w:vAlign w:val="center"/>
            <w:hideMark/>
          </w:tcPr>
          <w:p w14:paraId="1CF06000" w14:textId="77777777" w:rsidR="00B67EB7" w:rsidRPr="00455504" w:rsidRDefault="00B67EB7" w:rsidP="00B67EB7">
            <w:pPr>
              <w:jc w:val="right"/>
              <w:rPr>
                <w:rFonts w:cs="Arial"/>
                <w:color w:val="000000"/>
                <w:sz w:val="18"/>
                <w:szCs w:val="18"/>
              </w:rPr>
            </w:pPr>
            <w:r w:rsidRPr="00455504">
              <w:rPr>
                <w:rFonts w:cs="Arial"/>
                <w:color w:val="000000"/>
                <w:sz w:val="18"/>
                <w:szCs w:val="18"/>
              </w:rPr>
              <w:t>1.427.157.482</w:t>
            </w:r>
          </w:p>
        </w:tc>
      </w:tr>
      <w:tr w:rsidR="00B67EB7" w:rsidRPr="00455504" w14:paraId="25F870BC" w14:textId="77777777" w:rsidTr="00680792">
        <w:trPr>
          <w:trHeight w:val="340"/>
        </w:trPr>
        <w:tc>
          <w:tcPr>
            <w:tcW w:w="1225" w:type="pct"/>
            <w:tcBorders>
              <w:top w:val="nil"/>
              <w:left w:val="nil"/>
              <w:bottom w:val="nil"/>
              <w:right w:val="single" w:sz="4" w:space="0" w:color="auto"/>
            </w:tcBorders>
            <w:shd w:val="clear" w:color="auto" w:fill="auto"/>
            <w:vAlign w:val="center"/>
            <w:hideMark/>
          </w:tcPr>
          <w:p w14:paraId="25646D65" w14:textId="0F00E166" w:rsidR="00B67EB7" w:rsidRPr="00083A7E" w:rsidRDefault="00B67EB7" w:rsidP="00455504">
            <w:pPr>
              <w:ind w:left="208"/>
              <w:rPr>
                <w:rFonts w:cs="Arial"/>
                <w:color w:val="000000"/>
                <w:sz w:val="16"/>
                <w:szCs w:val="18"/>
              </w:rPr>
            </w:pPr>
            <w:r w:rsidRPr="00083A7E">
              <w:rPr>
                <w:rFonts w:cs="Arial"/>
                <w:color w:val="000000"/>
                <w:sz w:val="16"/>
                <w:szCs w:val="18"/>
              </w:rPr>
              <w:t>Receita Patrimonial</w:t>
            </w:r>
          </w:p>
        </w:tc>
        <w:tc>
          <w:tcPr>
            <w:tcW w:w="755" w:type="pct"/>
            <w:tcBorders>
              <w:top w:val="nil"/>
              <w:left w:val="single" w:sz="4" w:space="0" w:color="auto"/>
              <w:bottom w:val="nil"/>
              <w:right w:val="single" w:sz="4" w:space="0" w:color="auto"/>
            </w:tcBorders>
            <w:shd w:val="clear" w:color="auto" w:fill="auto"/>
            <w:vAlign w:val="center"/>
            <w:hideMark/>
          </w:tcPr>
          <w:p w14:paraId="18C5740A" w14:textId="77777777" w:rsidR="00B67EB7" w:rsidRPr="00455504" w:rsidRDefault="00B67EB7" w:rsidP="00B67EB7">
            <w:pPr>
              <w:jc w:val="right"/>
              <w:rPr>
                <w:rFonts w:cs="Arial"/>
                <w:color w:val="000000"/>
                <w:sz w:val="18"/>
                <w:szCs w:val="18"/>
              </w:rPr>
            </w:pPr>
            <w:r w:rsidRPr="00455504">
              <w:rPr>
                <w:rFonts w:cs="Arial"/>
                <w:color w:val="000000"/>
                <w:sz w:val="18"/>
                <w:szCs w:val="18"/>
              </w:rPr>
              <w:t>9.643.904</w:t>
            </w:r>
          </w:p>
        </w:tc>
        <w:tc>
          <w:tcPr>
            <w:tcW w:w="754" w:type="pct"/>
            <w:tcBorders>
              <w:top w:val="nil"/>
              <w:left w:val="single" w:sz="4" w:space="0" w:color="auto"/>
              <w:bottom w:val="nil"/>
              <w:right w:val="single" w:sz="4" w:space="0" w:color="auto"/>
            </w:tcBorders>
            <w:shd w:val="clear" w:color="auto" w:fill="auto"/>
            <w:vAlign w:val="center"/>
            <w:hideMark/>
          </w:tcPr>
          <w:p w14:paraId="6A016DE2" w14:textId="77777777" w:rsidR="00B67EB7" w:rsidRPr="00455504" w:rsidRDefault="00B67EB7" w:rsidP="00B67EB7">
            <w:pPr>
              <w:jc w:val="right"/>
              <w:rPr>
                <w:rFonts w:cs="Arial"/>
                <w:color w:val="000000"/>
                <w:sz w:val="18"/>
                <w:szCs w:val="18"/>
              </w:rPr>
            </w:pPr>
            <w:r w:rsidRPr="00455504">
              <w:rPr>
                <w:rFonts w:cs="Arial"/>
                <w:color w:val="000000"/>
                <w:sz w:val="18"/>
                <w:szCs w:val="18"/>
              </w:rPr>
              <w:t>5.197.983</w:t>
            </w:r>
          </w:p>
        </w:tc>
        <w:tc>
          <w:tcPr>
            <w:tcW w:w="754" w:type="pct"/>
            <w:tcBorders>
              <w:top w:val="nil"/>
              <w:left w:val="single" w:sz="4" w:space="0" w:color="auto"/>
              <w:bottom w:val="nil"/>
              <w:right w:val="single" w:sz="4" w:space="0" w:color="auto"/>
            </w:tcBorders>
            <w:shd w:val="clear" w:color="auto" w:fill="auto"/>
            <w:vAlign w:val="center"/>
            <w:hideMark/>
          </w:tcPr>
          <w:p w14:paraId="53E17787" w14:textId="77777777" w:rsidR="00B67EB7" w:rsidRPr="00455504" w:rsidRDefault="00B67EB7" w:rsidP="00B67EB7">
            <w:pPr>
              <w:jc w:val="right"/>
              <w:rPr>
                <w:rFonts w:cs="Arial"/>
                <w:color w:val="000000"/>
                <w:sz w:val="18"/>
                <w:szCs w:val="18"/>
              </w:rPr>
            </w:pPr>
            <w:r w:rsidRPr="00455504">
              <w:rPr>
                <w:rFonts w:cs="Arial"/>
                <w:color w:val="000000"/>
                <w:sz w:val="18"/>
                <w:szCs w:val="18"/>
              </w:rPr>
              <w:t>9.091.578</w:t>
            </w:r>
          </w:p>
        </w:tc>
        <w:tc>
          <w:tcPr>
            <w:tcW w:w="754" w:type="pct"/>
            <w:tcBorders>
              <w:top w:val="nil"/>
              <w:left w:val="single" w:sz="4" w:space="0" w:color="auto"/>
              <w:bottom w:val="nil"/>
              <w:right w:val="single" w:sz="4" w:space="0" w:color="auto"/>
            </w:tcBorders>
            <w:shd w:val="clear" w:color="auto" w:fill="auto"/>
            <w:vAlign w:val="center"/>
            <w:hideMark/>
          </w:tcPr>
          <w:p w14:paraId="0BB35CA0" w14:textId="77777777" w:rsidR="00B67EB7" w:rsidRPr="00455504" w:rsidRDefault="00B67EB7" w:rsidP="00B67EB7">
            <w:pPr>
              <w:jc w:val="right"/>
              <w:rPr>
                <w:rFonts w:cs="Arial"/>
                <w:color w:val="000000"/>
                <w:sz w:val="18"/>
                <w:szCs w:val="18"/>
              </w:rPr>
            </w:pPr>
            <w:r w:rsidRPr="00455504">
              <w:rPr>
                <w:rFonts w:cs="Arial"/>
                <w:color w:val="000000"/>
                <w:sz w:val="18"/>
                <w:szCs w:val="18"/>
              </w:rPr>
              <w:t>10.473.260</w:t>
            </w:r>
          </w:p>
        </w:tc>
        <w:tc>
          <w:tcPr>
            <w:tcW w:w="757" w:type="pct"/>
            <w:tcBorders>
              <w:top w:val="nil"/>
              <w:left w:val="single" w:sz="4" w:space="0" w:color="auto"/>
              <w:bottom w:val="nil"/>
              <w:right w:val="nil"/>
            </w:tcBorders>
            <w:shd w:val="clear" w:color="auto" w:fill="auto"/>
            <w:vAlign w:val="center"/>
            <w:hideMark/>
          </w:tcPr>
          <w:p w14:paraId="7AF50CC9" w14:textId="77777777" w:rsidR="00B67EB7" w:rsidRPr="00455504" w:rsidRDefault="00B67EB7" w:rsidP="00B67EB7">
            <w:pPr>
              <w:jc w:val="right"/>
              <w:rPr>
                <w:rFonts w:cs="Arial"/>
                <w:color w:val="000000"/>
                <w:sz w:val="18"/>
                <w:szCs w:val="18"/>
              </w:rPr>
            </w:pPr>
            <w:r w:rsidRPr="00455504">
              <w:rPr>
                <w:rFonts w:cs="Arial"/>
                <w:color w:val="000000"/>
                <w:sz w:val="18"/>
                <w:szCs w:val="18"/>
              </w:rPr>
              <w:t>17.739.649</w:t>
            </w:r>
          </w:p>
        </w:tc>
      </w:tr>
      <w:tr w:rsidR="00B67EB7" w:rsidRPr="00455504" w14:paraId="515B0F00" w14:textId="77777777" w:rsidTr="00680792">
        <w:trPr>
          <w:trHeight w:val="340"/>
        </w:trPr>
        <w:tc>
          <w:tcPr>
            <w:tcW w:w="1225" w:type="pct"/>
            <w:tcBorders>
              <w:top w:val="nil"/>
              <w:left w:val="nil"/>
              <w:bottom w:val="nil"/>
              <w:right w:val="single" w:sz="4" w:space="0" w:color="auto"/>
            </w:tcBorders>
            <w:shd w:val="clear" w:color="auto" w:fill="auto"/>
            <w:vAlign w:val="center"/>
            <w:hideMark/>
          </w:tcPr>
          <w:p w14:paraId="47099D8F" w14:textId="79177B69" w:rsidR="00B67EB7" w:rsidRPr="00083A7E" w:rsidRDefault="00B67EB7" w:rsidP="00455504">
            <w:pPr>
              <w:ind w:left="208"/>
              <w:rPr>
                <w:rFonts w:cs="Arial"/>
                <w:color w:val="000000"/>
                <w:sz w:val="16"/>
                <w:szCs w:val="18"/>
              </w:rPr>
            </w:pPr>
            <w:r w:rsidRPr="00083A7E">
              <w:rPr>
                <w:rFonts w:cs="Arial"/>
                <w:color w:val="000000"/>
                <w:sz w:val="16"/>
                <w:szCs w:val="18"/>
              </w:rPr>
              <w:t>Receita de Serviços</w:t>
            </w:r>
          </w:p>
        </w:tc>
        <w:tc>
          <w:tcPr>
            <w:tcW w:w="755" w:type="pct"/>
            <w:tcBorders>
              <w:top w:val="nil"/>
              <w:left w:val="single" w:sz="4" w:space="0" w:color="auto"/>
              <w:bottom w:val="nil"/>
              <w:right w:val="single" w:sz="4" w:space="0" w:color="auto"/>
            </w:tcBorders>
            <w:shd w:val="clear" w:color="auto" w:fill="auto"/>
            <w:vAlign w:val="center"/>
            <w:hideMark/>
          </w:tcPr>
          <w:p w14:paraId="56EE58CE" w14:textId="77777777" w:rsidR="00B67EB7" w:rsidRPr="00455504" w:rsidRDefault="00B67EB7" w:rsidP="00B67EB7">
            <w:pPr>
              <w:jc w:val="right"/>
              <w:rPr>
                <w:rFonts w:cs="Arial"/>
                <w:color w:val="000000"/>
                <w:sz w:val="18"/>
                <w:szCs w:val="18"/>
              </w:rPr>
            </w:pPr>
            <w:r w:rsidRPr="00455504">
              <w:rPr>
                <w:rFonts w:cs="Arial"/>
                <w:color w:val="000000"/>
                <w:sz w:val="18"/>
                <w:szCs w:val="18"/>
              </w:rPr>
              <w:t>60.763.585</w:t>
            </w:r>
          </w:p>
        </w:tc>
        <w:tc>
          <w:tcPr>
            <w:tcW w:w="754" w:type="pct"/>
            <w:tcBorders>
              <w:top w:val="nil"/>
              <w:left w:val="single" w:sz="4" w:space="0" w:color="auto"/>
              <w:bottom w:val="nil"/>
              <w:right w:val="single" w:sz="4" w:space="0" w:color="auto"/>
            </w:tcBorders>
            <w:shd w:val="clear" w:color="auto" w:fill="auto"/>
            <w:vAlign w:val="center"/>
            <w:hideMark/>
          </w:tcPr>
          <w:p w14:paraId="10D1B938" w14:textId="77777777" w:rsidR="00B67EB7" w:rsidRPr="00455504" w:rsidRDefault="00B67EB7" w:rsidP="00B67EB7">
            <w:pPr>
              <w:jc w:val="right"/>
              <w:rPr>
                <w:rFonts w:cs="Arial"/>
                <w:color w:val="000000"/>
                <w:sz w:val="18"/>
                <w:szCs w:val="18"/>
              </w:rPr>
            </w:pPr>
            <w:r w:rsidRPr="00455504">
              <w:rPr>
                <w:rFonts w:cs="Arial"/>
                <w:color w:val="000000"/>
                <w:sz w:val="18"/>
                <w:szCs w:val="18"/>
              </w:rPr>
              <w:t>-</w:t>
            </w:r>
          </w:p>
        </w:tc>
        <w:tc>
          <w:tcPr>
            <w:tcW w:w="754" w:type="pct"/>
            <w:tcBorders>
              <w:top w:val="nil"/>
              <w:left w:val="single" w:sz="4" w:space="0" w:color="auto"/>
              <w:bottom w:val="nil"/>
              <w:right w:val="single" w:sz="4" w:space="0" w:color="auto"/>
            </w:tcBorders>
            <w:shd w:val="clear" w:color="auto" w:fill="auto"/>
            <w:vAlign w:val="center"/>
            <w:hideMark/>
          </w:tcPr>
          <w:p w14:paraId="58BB5FC6" w14:textId="77777777" w:rsidR="00B67EB7" w:rsidRPr="00455504" w:rsidRDefault="00B67EB7" w:rsidP="00B67EB7">
            <w:pPr>
              <w:jc w:val="right"/>
              <w:rPr>
                <w:rFonts w:cs="Arial"/>
                <w:color w:val="000000"/>
                <w:sz w:val="18"/>
                <w:szCs w:val="18"/>
              </w:rPr>
            </w:pPr>
            <w:r w:rsidRPr="00455504">
              <w:rPr>
                <w:rFonts w:cs="Arial"/>
                <w:color w:val="000000"/>
                <w:sz w:val="18"/>
                <w:szCs w:val="18"/>
              </w:rPr>
              <w:t>-</w:t>
            </w:r>
          </w:p>
        </w:tc>
        <w:tc>
          <w:tcPr>
            <w:tcW w:w="754" w:type="pct"/>
            <w:tcBorders>
              <w:top w:val="nil"/>
              <w:left w:val="single" w:sz="4" w:space="0" w:color="auto"/>
              <w:bottom w:val="nil"/>
              <w:right w:val="single" w:sz="4" w:space="0" w:color="auto"/>
            </w:tcBorders>
            <w:shd w:val="clear" w:color="auto" w:fill="auto"/>
            <w:vAlign w:val="center"/>
            <w:hideMark/>
          </w:tcPr>
          <w:p w14:paraId="2756253E" w14:textId="77777777" w:rsidR="00B67EB7" w:rsidRPr="00455504" w:rsidRDefault="00B67EB7" w:rsidP="00B67EB7">
            <w:pPr>
              <w:jc w:val="right"/>
              <w:rPr>
                <w:rFonts w:cs="Arial"/>
                <w:color w:val="000000"/>
                <w:sz w:val="18"/>
                <w:szCs w:val="18"/>
              </w:rPr>
            </w:pPr>
            <w:r w:rsidRPr="00455504">
              <w:rPr>
                <w:rFonts w:cs="Arial"/>
                <w:color w:val="000000"/>
                <w:sz w:val="18"/>
                <w:szCs w:val="18"/>
              </w:rPr>
              <w:t>-</w:t>
            </w:r>
          </w:p>
        </w:tc>
        <w:tc>
          <w:tcPr>
            <w:tcW w:w="757" w:type="pct"/>
            <w:tcBorders>
              <w:top w:val="nil"/>
              <w:left w:val="single" w:sz="4" w:space="0" w:color="auto"/>
              <w:bottom w:val="nil"/>
              <w:right w:val="nil"/>
            </w:tcBorders>
            <w:shd w:val="clear" w:color="auto" w:fill="auto"/>
            <w:vAlign w:val="center"/>
            <w:hideMark/>
          </w:tcPr>
          <w:p w14:paraId="2EDF8E19" w14:textId="77777777" w:rsidR="00B67EB7" w:rsidRPr="00455504" w:rsidRDefault="00B67EB7" w:rsidP="00B67EB7">
            <w:pPr>
              <w:jc w:val="right"/>
              <w:rPr>
                <w:rFonts w:cs="Arial"/>
                <w:color w:val="000000"/>
                <w:sz w:val="18"/>
                <w:szCs w:val="18"/>
              </w:rPr>
            </w:pPr>
            <w:r w:rsidRPr="00455504">
              <w:rPr>
                <w:rFonts w:cs="Arial"/>
                <w:color w:val="000000"/>
                <w:sz w:val="18"/>
                <w:szCs w:val="18"/>
              </w:rPr>
              <w:t>-</w:t>
            </w:r>
          </w:p>
        </w:tc>
      </w:tr>
      <w:tr w:rsidR="00B67EB7" w:rsidRPr="00455504" w14:paraId="03D0199A" w14:textId="77777777" w:rsidTr="00680792">
        <w:trPr>
          <w:trHeight w:val="340"/>
        </w:trPr>
        <w:tc>
          <w:tcPr>
            <w:tcW w:w="1225" w:type="pct"/>
            <w:tcBorders>
              <w:top w:val="nil"/>
              <w:left w:val="nil"/>
              <w:bottom w:val="nil"/>
              <w:right w:val="single" w:sz="4" w:space="0" w:color="auto"/>
            </w:tcBorders>
            <w:shd w:val="clear" w:color="auto" w:fill="auto"/>
            <w:vAlign w:val="center"/>
            <w:hideMark/>
          </w:tcPr>
          <w:p w14:paraId="2D5B5C80" w14:textId="7C56AC52" w:rsidR="00B67EB7" w:rsidRPr="00083A7E" w:rsidRDefault="00B67EB7" w:rsidP="00455504">
            <w:pPr>
              <w:ind w:left="208"/>
              <w:rPr>
                <w:rFonts w:cs="Arial"/>
                <w:color w:val="000000"/>
                <w:sz w:val="16"/>
                <w:szCs w:val="18"/>
              </w:rPr>
            </w:pPr>
            <w:r w:rsidRPr="00083A7E">
              <w:rPr>
                <w:rFonts w:cs="Arial"/>
                <w:color w:val="000000"/>
                <w:sz w:val="16"/>
                <w:szCs w:val="18"/>
              </w:rPr>
              <w:t xml:space="preserve">Outras Receitas Correntes </w:t>
            </w:r>
          </w:p>
        </w:tc>
        <w:tc>
          <w:tcPr>
            <w:tcW w:w="755" w:type="pct"/>
            <w:tcBorders>
              <w:top w:val="nil"/>
              <w:left w:val="single" w:sz="4" w:space="0" w:color="auto"/>
              <w:bottom w:val="nil"/>
              <w:right w:val="single" w:sz="4" w:space="0" w:color="auto"/>
            </w:tcBorders>
            <w:shd w:val="clear" w:color="auto" w:fill="auto"/>
            <w:vAlign w:val="center"/>
            <w:hideMark/>
          </w:tcPr>
          <w:p w14:paraId="24F86AC0" w14:textId="77777777" w:rsidR="00B67EB7" w:rsidRPr="00455504" w:rsidRDefault="00B67EB7" w:rsidP="00B67EB7">
            <w:pPr>
              <w:jc w:val="right"/>
              <w:rPr>
                <w:rFonts w:cs="Arial"/>
                <w:color w:val="000000"/>
                <w:sz w:val="18"/>
                <w:szCs w:val="18"/>
              </w:rPr>
            </w:pPr>
            <w:r w:rsidRPr="00455504">
              <w:rPr>
                <w:rFonts w:cs="Arial"/>
                <w:color w:val="000000"/>
                <w:sz w:val="18"/>
                <w:szCs w:val="18"/>
              </w:rPr>
              <w:t>15.448.334</w:t>
            </w:r>
          </w:p>
        </w:tc>
        <w:tc>
          <w:tcPr>
            <w:tcW w:w="754" w:type="pct"/>
            <w:tcBorders>
              <w:top w:val="nil"/>
              <w:left w:val="single" w:sz="4" w:space="0" w:color="auto"/>
              <w:bottom w:val="nil"/>
              <w:right w:val="single" w:sz="4" w:space="0" w:color="auto"/>
            </w:tcBorders>
            <w:shd w:val="clear" w:color="auto" w:fill="auto"/>
            <w:vAlign w:val="center"/>
            <w:hideMark/>
          </w:tcPr>
          <w:p w14:paraId="69240FD4" w14:textId="77777777" w:rsidR="00B67EB7" w:rsidRPr="00455504" w:rsidRDefault="00B67EB7" w:rsidP="00B67EB7">
            <w:pPr>
              <w:jc w:val="right"/>
              <w:rPr>
                <w:rFonts w:cs="Arial"/>
                <w:color w:val="000000"/>
                <w:sz w:val="18"/>
                <w:szCs w:val="18"/>
              </w:rPr>
            </w:pPr>
            <w:r w:rsidRPr="00455504">
              <w:rPr>
                <w:rFonts w:cs="Arial"/>
                <w:color w:val="000000"/>
                <w:sz w:val="18"/>
                <w:szCs w:val="18"/>
              </w:rPr>
              <w:t>11.920.294</w:t>
            </w:r>
          </w:p>
        </w:tc>
        <w:tc>
          <w:tcPr>
            <w:tcW w:w="754" w:type="pct"/>
            <w:tcBorders>
              <w:top w:val="nil"/>
              <w:left w:val="single" w:sz="4" w:space="0" w:color="auto"/>
              <w:bottom w:val="nil"/>
              <w:right w:val="single" w:sz="4" w:space="0" w:color="auto"/>
            </w:tcBorders>
            <w:shd w:val="clear" w:color="auto" w:fill="auto"/>
            <w:vAlign w:val="center"/>
            <w:hideMark/>
          </w:tcPr>
          <w:p w14:paraId="27802E2E" w14:textId="77777777" w:rsidR="00B67EB7" w:rsidRPr="00455504" w:rsidRDefault="00B67EB7" w:rsidP="00B67EB7">
            <w:pPr>
              <w:jc w:val="right"/>
              <w:rPr>
                <w:rFonts w:cs="Arial"/>
                <w:color w:val="000000"/>
                <w:sz w:val="18"/>
                <w:szCs w:val="18"/>
              </w:rPr>
            </w:pPr>
            <w:r w:rsidRPr="00455504">
              <w:rPr>
                <w:rFonts w:cs="Arial"/>
                <w:color w:val="000000"/>
                <w:sz w:val="18"/>
                <w:szCs w:val="18"/>
              </w:rPr>
              <w:t>26.124.250</w:t>
            </w:r>
          </w:p>
        </w:tc>
        <w:tc>
          <w:tcPr>
            <w:tcW w:w="754" w:type="pct"/>
            <w:tcBorders>
              <w:top w:val="nil"/>
              <w:left w:val="single" w:sz="4" w:space="0" w:color="auto"/>
              <w:bottom w:val="nil"/>
              <w:right w:val="single" w:sz="4" w:space="0" w:color="auto"/>
            </w:tcBorders>
            <w:shd w:val="clear" w:color="auto" w:fill="auto"/>
            <w:vAlign w:val="center"/>
            <w:hideMark/>
          </w:tcPr>
          <w:p w14:paraId="7B785F58" w14:textId="77777777" w:rsidR="00B67EB7" w:rsidRPr="00455504" w:rsidRDefault="00B67EB7" w:rsidP="00B67EB7">
            <w:pPr>
              <w:jc w:val="right"/>
              <w:rPr>
                <w:rFonts w:cs="Arial"/>
                <w:color w:val="000000"/>
                <w:sz w:val="18"/>
                <w:szCs w:val="18"/>
              </w:rPr>
            </w:pPr>
            <w:r w:rsidRPr="00455504">
              <w:rPr>
                <w:rFonts w:cs="Arial"/>
                <w:color w:val="000000"/>
                <w:sz w:val="18"/>
                <w:szCs w:val="18"/>
              </w:rPr>
              <w:t>33.743.768</w:t>
            </w:r>
          </w:p>
        </w:tc>
        <w:tc>
          <w:tcPr>
            <w:tcW w:w="757" w:type="pct"/>
            <w:tcBorders>
              <w:top w:val="nil"/>
              <w:left w:val="single" w:sz="4" w:space="0" w:color="auto"/>
              <w:bottom w:val="nil"/>
              <w:right w:val="nil"/>
            </w:tcBorders>
            <w:shd w:val="clear" w:color="auto" w:fill="auto"/>
            <w:vAlign w:val="center"/>
            <w:hideMark/>
          </w:tcPr>
          <w:p w14:paraId="53EE9B7E" w14:textId="77777777" w:rsidR="00B67EB7" w:rsidRPr="00455504" w:rsidRDefault="00B67EB7" w:rsidP="00B67EB7">
            <w:pPr>
              <w:jc w:val="right"/>
              <w:rPr>
                <w:rFonts w:cs="Arial"/>
                <w:color w:val="000000"/>
                <w:sz w:val="18"/>
                <w:szCs w:val="18"/>
              </w:rPr>
            </w:pPr>
            <w:r w:rsidRPr="00455504">
              <w:rPr>
                <w:rFonts w:cs="Arial"/>
                <w:color w:val="000000"/>
                <w:sz w:val="18"/>
                <w:szCs w:val="18"/>
              </w:rPr>
              <w:t>147.115.094</w:t>
            </w:r>
          </w:p>
        </w:tc>
      </w:tr>
      <w:tr w:rsidR="00B67EB7" w:rsidRPr="00455504" w14:paraId="750C57A5" w14:textId="77777777" w:rsidTr="00680792">
        <w:trPr>
          <w:trHeight w:val="340"/>
        </w:trPr>
        <w:tc>
          <w:tcPr>
            <w:tcW w:w="1225" w:type="pct"/>
            <w:tcBorders>
              <w:top w:val="nil"/>
              <w:left w:val="nil"/>
              <w:bottom w:val="nil"/>
              <w:right w:val="single" w:sz="4" w:space="0" w:color="auto"/>
            </w:tcBorders>
            <w:shd w:val="clear" w:color="auto" w:fill="auto"/>
            <w:vAlign w:val="center"/>
            <w:hideMark/>
          </w:tcPr>
          <w:p w14:paraId="6172E0D7" w14:textId="33B3F8CE" w:rsidR="00B67EB7" w:rsidRPr="00083A7E" w:rsidRDefault="00B67EB7" w:rsidP="00455504">
            <w:pPr>
              <w:ind w:left="208"/>
              <w:rPr>
                <w:rFonts w:cs="Arial"/>
                <w:color w:val="000000"/>
                <w:sz w:val="16"/>
                <w:szCs w:val="18"/>
              </w:rPr>
            </w:pPr>
            <w:r w:rsidRPr="00083A7E">
              <w:rPr>
                <w:rFonts w:cs="Arial"/>
                <w:color w:val="000000"/>
                <w:sz w:val="16"/>
                <w:szCs w:val="18"/>
              </w:rPr>
              <w:t>Compensação Previd. entre RGPS e RPPS </w:t>
            </w:r>
          </w:p>
        </w:tc>
        <w:tc>
          <w:tcPr>
            <w:tcW w:w="755" w:type="pct"/>
            <w:tcBorders>
              <w:top w:val="nil"/>
              <w:left w:val="single" w:sz="4" w:space="0" w:color="auto"/>
              <w:bottom w:val="nil"/>
              <w:right w:val="single" w:sz="4" w:space="0" w:color="auto"/>
            </w:tcBorders>
            <w:shd w:val="clear" w:color="auto" w:fill="auto"/>
            <w:vAlign w:val="center"/>
            <w:hideMark/>
          </w:tcPr>
          <w:p w14:paraId="0F288547" w14:textId="77777777" w:rsidR="00B67EB7" w:rsidRPr="00455504" w:rsidRDefault="00B67EB7" w:rsidP="00B67EB7">
            <w:pPr>
              <w:jc w:val="right"/>
              <w:rPr>
                <w:rFonts w:cs="Arial"/>
                <w:color w:val="000000"/>
                <w:sz w:val="18"/>
                <w:szCs w:val="18"/>
              </w:rPr>
            </w:pPr>
            <w:r w:rsidRPr="00455504">
              <w:rPr>
                <w:rFonts w:cs="Arial"/>
                <w:color w:val="000000"/>
                <w:sz w:val="18"/>
                <w:szCs w:val="18"/>
              </w:rPr>
              <w:t>15.241.318</w:t>
            </w:r>
          </w:p>
        </w:tc>
        <w:tc>
          <w:tcPr>
            <w:tcW w:w="754" w:type="pct"/>
            <w:tcBorders>
              <w:top w:val="nil"/>
              <w:left w:val="single" w:sz="4" w:space="0" w:color="auto"/>
              <w:bottom w:val="nil"/>
              <w:right w:val="single" w:sz="4" w:space="0" w:color="auto"/>
            </w:tcBorders>
            <w:shd w:val="clear" w:color="auto" w:fill="auto"/>
            <w:vAlign w:val="center"/>
            <w:hideMark/>
          </w:tcPr>
          <w:p w14:paraId="208DC139" w14:textId="77777777" w:rsidR="00B67EB7" w:rsidRPr="00455504" w:rsidRDefault="00B67EB7" w:rsidP="00B67EB7">
            <w:pPr>
              <w:jc w:val="right"/>
              <w:rPr>
                <w:rFonts w:cs="Arial"/>
                <w:color w:val="000000"/>
                <w:sz w:val="18"/>
                <w:szCs w:val="18"/>
              </w:rPr>
            </w:pPr>
            <w:r w:rsidRPr="00455504">
              <w:rPr>
                <w:rFonts w:cs="Arial"/>
                <w:color w:val="000000"/>
                <w:sz w:val="18"/>
                <w:szCs w:val="18"/>
              </w:rPr>
              <w:t>11.693.961</w:t>
            </w:r>
          </w:p>
        </w:tc>
        <w:tc>
          <w:tcPr>
            <w:tcW w:w="754" w:type="pct"/>
            <w:tcBorders>
              <w:top w:val="nil"/>
              <w:left w:val="single" w:sz="4" w:space="0" w:color="auto"/>
              <w:bottom w:val="nil"/>
              <w:right w:val="single" w:sz="4" w:space="0" w:color="auto"/>
            </w:tcBorders>
            <w:shd w:val="clear" w:color="auto" w:fill="auto"/>
            <w:vAlign w:val="center"/>
            <w:hideMark/>
          </w:tcPr>
          <w:p w14:paraId="793A65AB" w14:textId="77777777" w:rsidR="00B67EB7" w:rsidRPr="00455504" w:rsidRDefault="00B67EB7" w:rsidP="00B67EB7">
            <w:pPr>
              <w:jc w:val="right"/>
              <w:rPr>
                <w:rFonts w:cs="Arial"/>
                <w:color w:val="000000"/>
                <w:sz w:val="18"/>
                <w:szCs w:val="18"/>
              </w:rPr>
            </w:pPr>
            <w:r w:rsidRPr="00455504">
              <w:rPr>
                <w:rFonts w:cs="Arial"/>
                <w:color w:val="000000"/>
                <w:sz w:val="18"/>
                <w:szCs w:val="18"/>
              </w:rPr>
              <w:t>9.632.506</w:t>
            </w:r>
          </w:p>
        </w:tc>
        <w:tc>
          <w:tcPr>
            <w:tcW w:w="754" w:type="pct"/>
            <w:tcBorders>
              <w:top w:val="nil"/>
              <w:left w:val="single" w:sz="4" w:space="0" w:color="auto"/>
              <w:bottom w:val="nil"/>
              <w:right w:val="single" w:sz="4" w:space="0" w:color="auto"/>
            </w:tcBorders>
            <w:shd w:val="clear" w:color="auto" w:fill="auto"/>
            <w:vAlign w:val="center"/>
            <w:hideMark/>
          </w:tcPr>
          <w:p w14:paraId="505B59A4" w14:textId="77777777" w:rsidR="00B67EB7" w:rsidRPr="00455504" w:rsidRDefault="00B67EB7" w:rsidP="00B67EB7">
            <w:pPr>
              <w:jc w:val="right"/>
              <w:rPr>
                <w:rFonts w:cs="Arial"/>
                <w:color w:val="000000"/>
                <w:sz w:val="18"/>
                <w:szCs w:val="18"/>
              </w:rPr>
            </w:pPr>
            <w:r w:rsidRPr="00455504">
              <w:rPr>
                <w:rFonts w:cs="Arial"/>
                <w:color w:val="000000"/>
                <w:sz w:val="18"/>
                <w:szCs w:val="18"/>
              </w:rPr>
              <w:t>33.329.183</w:t>
            </w:r>
          </w:p>
        </w:tc>
        <w:tc>
          <w:tcPr>
            <w:tcW w:w="757" w:type="pct"/>
            <w:tcBorders>
              <w:top w:val="nil"/>
              <w:left w:val="single" w:sz="4" w:space="0" w:color="auto"/>
              <w:bottom w:val="nil"/>
              <w:right w:val="nil"/>
            </w:tcBorders>
            <w:shd w:val="clear" w:color="auto" w:fill="auto"/>
            <w:vAlign w:val="center"/>
            <w:hideMark/>
          </w:tcPr>
          <w:p w14:paraId="5B8AC09E" w14:textId="77777777" w:rsidR="00B67EB7" w:rsidRPr="00455504" w:rsidRDefault="00B67EB7" w:rsidP="00B67EB7">
            <w:pPr>
              <w:jc w:val="right"/>
              <w:rPr>
                <w:rFonts w:cs="Arial"/>
                <w:color w:val="000000"/>
                <w:sz w:val="18"/>
                <w:szCs w:val="18"/>
              </w:rPr>
            </w:pPr>
            <w:r w:rsidRPr="00455504">
              <w:rPr>
                <w:rFonts w:cs="Arial"/>
                <w:color w:val="000000"/>
                <w:sz w:val="18"/>
                <w:szCs w:val="18"/>
              </w:rPr>
              <w:t>107.406.791</w:t>
            </w:r>
          </w:p>
        </w:tc>
      </w:tr>
      <w:tr w:rsidR="00B67EB7" w:rsidRPr="00455504" w14:paraId="2A2A310D" w14:textId="77777777" w:rsidTr="00680792">
        <w:trPr>
          <w:trHeight w:val="340"/>
        </w:trPr>
        <w:tc>
          <w:tcPr>
            <w:tcW w:w="1225" w:type="pct"/>
            <w:tcBorders>
              <w:top w:val="nil"/>
              <w:left w:val="nil"/>
              <w:bottom w:val="nil"/>
              <w:right w:val="single" w:sz="4" w:space="0" w:color="auto"/>
            </w:tcBorders>
            <w:shd w:val="clear" w:color="auto" w:fill="auto"/>
            <w:vAlign w:val="center"/>
            <w:hideMark/>
          </w:tcPr>
          <w:p w14:paraId="758B4482" w14:textId="38FC1104" w:rsidR="00B67EB7" w:rsidRPr="00083A7E" w:rsidRDefault="00B67EB7" w:rsidP="00455504">
            <w:pPr>
              <w:ind w:left="208"/>
              <w:rPr>
                <w:rFonts w:cs="Arial"/>
                <w:color w:val="000000"/>
                <w:sz w:val="16"/>
                <w:szCs w:val="18"/>
              </w:rPr>
            </w:pPr>
            <w:r w:rsidRPr="00083A7E">
              <w:rPr>
                <w:rFonts w:cs="Arial"/>
                <w:color w:val="000000"/>
                <w:sz w:val="16"/>
                <w:szCs w:val="18"/>
              </w:rPr>
              <w:t>Demais Receitas Correntes</w:t>
            </w:r>
          </w:p>
        </w:tc>
        <w:tc>
          <w:tcPr>
            <w:tcW w:w="755" w:type="pct"/>
            <w:tcBorders>
              <w:top w:val="nil"/>
              <w:left w:val="single" w:sz="4" w:space="0" w:color="auto"/>
              <w:bottom w:val="nil"/>
              <w:right w:val="single" w:sz="4" w:space="0" w:color="auto"/>
            </w:tcBorders>
            <w:shd w:val="clear" w:color="auto" w:fill="auto"/>
            <w:vAlign w:val="center"/>
            <w:hideMark/>
          </w:tcPr>
          <w:p w14:paraId="7AD01AE5" w14:textId="77777777" w:rsidR="00B67EB7" w:rsidRPr="00455504" w:rsidRDefault="00B67EB7" w:rsidP="00B67EB7">
            <w:pPr>
              <w:jc w:val="right"/>
              <w:rPr>
                <w:rFonts w:cs="Arial"/>
                <w:color w:val="000000"/>
                <w:sz w:val="18"/>
                <w:szCs w:val="18"/>
              </w:rPr>
            </w:pPr>
            <w:r w:rsidRPr="00455504">
              <w:rPr>
                <w:rFonts w:cs="Arial"/>
                <w:color w:val="000000"/>
                <w:sz w:val="18"/>
                <w:szCs w:val="18"/>
              </w:rPr>
              <w:t>207.016</w:t>
            </w:r>
          </w:p>
        </w:tc>
        <w:tc>
          <w:tcPr>
            <w:tcW w:w="754" w:type="pct"/>
            <w:tcBorders>
              <w:top w:val="nil"/>
              <w:left w:val="single" w:sz="4" w:space="0" w:color="auto"/>
              <w:bottom w:val="nil"/>
              <w:right w:val="single" w:sz="4" w:space="0" w:color="auto"/>
            </w:tcBorders>
            <w:shd w:val="clear" w:color="auto" w:fill="auto"/>
            <w:vAlign w:val="center"/>
            <w:hideMark/>
          </w:tcPr>
          <w:p w14:paraId="1CA4C425" w14:textId="77777777" w:rsidR="00B67EB7" w:rsidRPr="00455504" w:rsidRDefault="00B67EB7" w:rsidP="00B67EB7">
            <w:pPr>
              <w:jc w:val="right"/>
              <w:rPr>
                <w:rFonts w:cs="Arial"/>
                <w:color w:val="000000"/>
                <w:sz w:val="18"/>
                <w:szCs w:val="18"/>
              </w:rPr>
            </w:pPr>
            <w:r w:rsidRPr="00455504">
              <w:rPr>
                <w:rFonts w:cs="Arial"/>
                <w:color w:val="000000"/>
                <w:sz w:val="18"/>
                <w:szCs w:val="18"/>
              </w:rPr>
              <w:t>226.333</w:t>
            </w:r>
          </w:p>
        </w:tc>
        <w:tc>
          <w:tcPr>
            <w:tcW w:w="754" w:type="pct"/>
            <w:tcBorders>
              <w:top w:val="nil"/>
              <w:left w:val="single" w:sz="4" w:space="0" w:color="auto"/>
              <w:bottom w:val="nil"/>
              <w:right w:val="single" w:sz="4" w:space="0" w:color="auto"/>
            </w:tcBorders>
            <w:shd w:val="clear" w:color="auto" w:fill="auto"/>
            <w:vAlign w:val="center"/>
            <w:hideMark/>
          </w:tcPr>
          <w:p w14:paraId="78058A24" w14:textId="77777777" w:rsidR="00B67EB7" w:rsidRPr="00455504" w:rsidRDefault="00B67EB7" w:rsidP="00B67EB7">
            <w:pPr>
              <w:jc w:val="right"/>
              <w:rPr>
                <w:rFonts w:cs="Arial"/>
                <w:color w:val="000000"/>
                <w:sz w:val="18"/>
                <w:szCs w:val="18"/>
              </w:rPr>
            </w:pPr>
            <w:r w:rsidRPr="00455504">
              <w:rPr>
                <w:rFonts w:cs="Arial"/>
                <w:color w:val="000000"/>
                <w:sz w:val="18"/>
                <w:szCs w:val="18"/>
              </w:rPr>
              <w:t>1.600.142</w:t>
            </w:r>
          </w:p>
        </w:tc>
        <w:tc>
          <w:tcPr>
            <w:tcW w:w="754" w:type="pct"/>
            <w:tcBorders>
              <w:top w:val="nil"/>
              <w:left w:val="single" w:sz="4" w:space="0" w:color="auto"/>
              <w:bottom w:val="nil"/>
              <w:right w:val="single" w:sz="4" w:space="0" w:color="auto"/>
            </w:tcBorders>
            <w:shd w:val="clear" w:color="auto" w:fill="auto"/>
            <w:vAlign w:val="center"/>
            <w:hideMark/>
          </w:tcPr>
          <w:p w14:paraId="07918AF5" w14:textId="77777777" w:rsidR="00B67EB7" w:rsidRPr="00455504" w:rsidRDefault="00B67EB7" w:rsidP="00B67EB7">
            <w:pPr>
              <w:jc w:val="right"/>
              <w:rPr>
                <w:rFonts w:cs="Arial"/>
                <w:color w:val="000000"/>
                <w:sz w:val="18"/>
                <w:szCs w:val="18"/>
              </w:rPr>
            </w:pPr>
            <w:r w:rsidRPr="00455504">
              <w:rPr>
                <w:rFonts w:cs="Arial"/>
                <w:color w:val="000000"/>
                <w:sz w:val="18"/>
                <w:szCs w:val="18"/>
              </w:rPr>
              <w:t>317.110</w:t>
            </w:r>
          </w:p>
        </w:tc>
        <w:tc>
          <w:tcPr>
            <w:tcW w:w="757" w:type="pct"/>
            <w:tcBorders>
              <w:top w:val="nil"/>
              <w:left w:val="single" w:sz="4" w:space="0" w:color="auto"/>
              <w:bottom w:val="nil"/>
              <w:right w:val="nil"/>
            </w:tcBorders>
            <w:shd w:val="clear" w:color="auto" w:fill="auto"/>
            <w:vAlign w:val="center"/>
            <w:hideMark/>
          </w:tcPr>
          <w:p w14:paraId="758C807D" w14:textId="77777777" w:rsidR="00B67EB7" w:rsidRPr="00455504" w:rsidRDefault="00B67EB7" w:rsidP="00B67EB7">
            <w:pPr>
              <w:jc w:val="right"/>
              <w:rPr>
                <w:rFonts w:cs="Arial"/>
                <w:color w:val="000000"/>
                <w:sz w:val="18"/>
                <w:szCs w:val="18"/>
              </w:rPr>
            </w:pPr>
            <w:r w:rsidRPr="00455504">
              <w:rPr>
                <w:rFonts w:cs="Arial"/>
                <w:color w:val="000000"/>
                <w:sz w:val="18"/>
                <w:szCs w:val="18"/>
              </w:rPr>
              <w:t>39.708.303</w:t>
            </w:r>
          </w:p>
        </w:tc>
      </w:tr>
      <w:tr w:rsidR="00B67EB7" w:rsidRPr="00455504" w14:paraId="6D2016B6" w14:textId="77777777" w:rsidTr="00680792">
        <w:trPr>
          <w:trHeight w:val="340"/>
        </w:trPr>
        <w:tc>
          <w:tcPr>
            <w:tcW w:w="1225" w:type="pct"/>
            <w:tcBorders>
              <w:top w:val="nil"/>
              <w:left w:val="nil"/>
              <w:bottom w:val="single" w:sz="4" w:space="0" w:color="auto"/>
              <w:right w:val="single" w:sz="4" w:space="0" w:color="auto"/>
            </w:tcBorders>
            <w:shd w:val="clear" w:color="auto" w:fill="auto"/>
            <w:vAlign w:val="center"/>
            <w:hideMark/>
          </w:tcPr>
          <w:p w14:paraId="2FA87A18" w14:textId="4B21D474" w:rsidR="00B67EB7" w:rsidRPr="00083A7E" w:rsidRDefault="00B67EB7" w:rsidP="00455504">
            <w:pPr>
              <w:ind w:left="208"/>
              <w:rPr>
                <w:rFonts w:cs="Arial"/>
                <w:color w:val="000000"/>
                <w:sz w:val="16"/>
                <w:szCs w:val="18"/>
              </w:rPr>
            </w:pPr>
            <w:r w:rsidRPr="00083A7E">
              <w:rPr>
                <w:rFonts w:cs="Arial"/>
                <w:color w:val="000000"/>
                <w:sz w:val="16"/>
                <w:szCs w:val="18"/>
              </w:rPr>
              <w:t>Demais Receitas Previdenciárias</w:t>
            </w:r>
          </w:p>
        </w:tc>
        <w:tc>
          <w:tcPr>
            <w:tcW w:w="755" w:type="pct"/>
            <w:tcBorders>
              <w:top w:val="nil"/>
              <w:left w:val="single" w:sz="4" w:space="0" w:color="auto"/>
              <w:bottom w:val="single" w:sz="4" w:space="0" w:color="auto"/>
              <w:right w:val="single" w:sz="4" w:space="0" w:color="auto"/>
            </w:tcBorders>
            <w:shd w:val="clear" w:color="auto" w:fill="auto"/>
            <w:vAlign w:val="center"/>
            <w:hideMark/>
          </w:tcPr>
          <w:p w14:paraId="6D60B14C"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w:t>
            </w:r>
          </w:p>
        </w:tc>
        <w:tc>
          <w:tcPr>
            <w:tcW w:w="754" w:type="pct"/>
            <w:tcBorders>
              <w:top w:val="nil"/>
              <w:left w:val="single" w:sz="4" w:space="0" w:color="auto"/>
              <w:bottom w:val="single" w:sz="4" w:space="0" w:color="auto"/>
              <w:right w:val="single" w:sz="4" w:space="0" w:color="auto"/>
            </w:tcBorders>
            <w:shd w:val="clear" w:color="auto" w:fill="auto"/>
            <w:vAlign w:val="center"/>
            <w:hideMark/>
          </w:tcPr>
          <w:p w14:paraId="317EB4DC"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w:t>
            </w:r>
          </w:p>
        </w:tc>
        <w:tc>
          <w:tcPr>
            <w:tcW w:w="754" w:type="pct"/>
            <w:tcBorders>
              <w:top w:val="nil"/>
              <w:left w:val="single" w:sz="4" w:space="0" w:color="auto"/>
              <w:bottom w:val="single" w:sz="4" w:space="0" w:color="auto"/>
              <w:right w:val="single" w:sz="4" w:space="0" w:color="auto"/>
            </w:tcBorders>
            <w:shd w:val="clear" w:color="auto" w:fill="auto"/>
            <w:vAlign w:val="center"/>
            <w:hideMark/>
          </w:tcPr>
          <w:p w14:paraId="64ED2653" w14:textId="77777777" w:rsidR="00B67EB7" w:rsidRPr="00455504" w:rsidRDefault="00B67EB7" w:rsidP="00B67EB7">
            <w:pPr>
              <w:jc w:val="right"/>
              <w:rPr>
                <w:rFonts w:cs="Arial"/>
                <w:color w:val="000000"/>
                <w:sz w:val="18"/>
                <w:szCs w:val="18"/>
              </w:rPr>
            </w:pPr>
            <w:r w:rsidRPr="00455504">
              <w:rPr>
                <w:rFonts w:cs="Arial"/>
                <w:color w:val="000000"/>
                <w:sz w:val="18"/>
                <w:szCs w:val="18"/>
              </w:rPr>
              <w:t>14.891.602</w:t>
            </w:r>
          </w:p>
        </w:tc>
        <w:tc>
          <w:tcPr>
            <w:tcW w:w="754" w:type="pct"/>
            <w:tcBorders>
              <w:top w:val="nil"/>
              <w:left w:val="single" w:sz="4" w:space="0" w:color="auto"/>
              <w:bottom w:val="single" w:sz="4" w:space="0" w:color="auto"/>
              <w:right w:val="single" w:sz="4" w:space="0" w:color="auto"/>
            </w:tcBorders>
            <w:shd w:val="clear" w:color="auto" w:fill="auto"/>
            <w:vAlign w:val="center"/>
            <w:hideMark/>
          </w:tcPr>
          <w:p w14:paraId="78E42626" w14:textId="77777777" w:rsidR="00B67EB7" w:rsidRPr="00455504" w:rsidRDefault="00B67EB7" w:rsidP="00B67EB7">
            <w:pPr>
              <w:jc w:val="right"/>
              <w:rPr>
                <w:rFonts w:cs="Arial"/>
                <w:color w:val="000000"/>
                <w:sz w:val="18"/>
                <w:szCs w:val="18"/>
              </w:rPr>
            </w:pPr>
            <w:r w:rsidRPr="00455504">
              <w:rPr>
                <w:rFonts w:cs="Arial"/>
                <w:color w:val="000000"/>
                <w:sz w:val="18"/>
                <w:szCs w:val="18"/>
              </w:rPr>
              <w:t>97.475</w:t>
            </w:r>
          </w:p>
        </w:tc>
        <w:tc>
          <w:tcPr>
            <w:tcW w:w="757" w:type="pct"/>
            <w:tcBorders>
              <w:top w:val="nil"/>
              <w:left w:val="single" w:sz="4" w:space="0" w:color="auto"/>
              <w:bottom w:val="single" w:sz="4" w:space="0" w:color="auto"/>
              <w:right w:val="nil"/>
            </w:tcBorders>
            <w:shd w:val="clear" w:color="auto" w:fill="auto"/>
            <w:vAlign w:val="center"/>
            <w:hideMark/>
          </w:tcPr>
          <w:p w14:paraId="63988480" w14:textId="77777777" w:rsidR="00B67EB7" w:rsidRPr="00455504" w:rsidRDefault="00B67EB7" w:rsidP="00B67EB7">
            <w:pPr>
              <w:jc w:val="right"/>
              <w:rPr>
                <w:rFonts w:cs="Arial"/>
                <w:color w:val="000000"/>
                <w:sz w:val="18"/>
                <w:szCs w:val="18"/>
              </w:rPr>
            </w:pPr>
            <w:r w:rsidRPr="00455504">
              <w:rPr>
                <w:rFonts w:cs="Arial"/>
                <w:color w:val="000000"/>
                <w:sz w:val="18"/>
                <w:szCs w:val="18"/>
              </w:rPr>
              <w:t>-</w:t>
            </w:r>
          </w:p>
        </w:tc>
      </w:tr>
      <w:tr w:rsidR="00B67EB7" w:rsidRPr="00455504" w14:paraId="01D01269" w14:textId="77777777" w:rsidTr="00680792">
        <w:trPr>
          <w:trHeight w:val="340"/>
        </w:trPr>
        <w:tc>
          <w:tcPr>
            <w:tcW w:w="1225" w:type="pct"/>
            <w:tcBorders>
              <w:top w:val="single" w:sz="4" w:space="0" w:color="auto"/>
              <w:left w:val="nil"/>
              <w:bottom w:val="single" w:sz="4" w:space="0" w:color="auto"/>
              <w:right w:val="single" w:sz="4" w:space="0" w:color="auto"/>
            </w:tcBorders>
            <w:shd w:val="clear" w:color="auto" w:fill="auto"/>
            <w:vAlign w:val="center"/>
            <w:hideMark/>
          </w:tcPr>
          <w:p w14:paraId="031439C2" w14:textId="77777777" w:rsidR="00B67EB7" w:rsidRPr="00455504" w:rsidRDefault="00B67EB7" w:rsidP="00B67EB7">
            <w:pPr>
              <w:jc w:val="center"/>
              <w:rPr>
                <w:rFonts w:cs="Arial"/>
                <w:b/>
                <w:bCs/>
                <w:color w:val="000000"/>
                <w:sz w:val="18"/>
                <w:szCs w:val="18"/>
              </w:rPr>
            </w:pPr>
            <w:r w:rsidRPr="00455504">
              <w:rPr>
                <w:rFonts w:cs="Arial"/>
                <w:b/>
                <w:bCs/>
                <w:color w:val="000000"/>
                <w:sz w:val="18"/>
                <w:szCs w:val="18"/>
              </w:rPr>
              <w:t>Total das Receitas Previdenciárias (I)</w:t>
            </w:r>
          </w:p>
        </w:tc>
        <w:tc>
          <w:tcPr>
            <w:tcW w:w="75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F881D9"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3.381.270.759</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9A286C"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2.790.083.106</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0D5F65"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2.879.996.125</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118D52"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2.956.737.162</w:t>
            </w:r>
          </w:p>
        </w:tc>
        <w:tc>
          <w:tcPr>
            <w:tcW w:w="757" w:type="pct"/>
            <w:tcBorders>
              <w:top w:val="single" w:sz="4" w:space="0" w:color="auto"/>
              <w:left w:val="single" w:sz="4" w:space="0" w:color="auto"/>
              <w:bottom w:val="single" w:sz="4" w:space="0" w:color="auto"/>
              <w:right w:val="nil"/>
            </w:tcBorders>
            <w:shd w:val="clear" w:color="auto" w:fill="auto"/>
            <w:vAlign w:val="center"/>
            <w:hideMark/>
          </w:tcPr>
          <w:p w14:paraId="46673E5B"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3.306.642.305</w:t>
            </w:r>
          </w:p>
        </w:tc>
      </w:tr>
    </w:tbl>
    <w:p w14:paraId="2F83A96E" w14:textId="77777777" w:rsidR="002056A7" w:rsidRDefault="002056A7"/>
    <w:tbl>
      <w:tblPr>
        <w:tblW w:w="5000" w:type="pct"/>
        <w:tblCellMar>
          <w:left w:w="70" w:type="dxa"/>
          <w:right w:w="70" w:type="dxa"/>
        </w:tblCellMar>
        <w:tblLook w:val="04A0" w:firstRow="1" w:lastRow="0" w:firstColumn="1" w:lastColumn="0" w:noHBand="0" w:noVBand="1"/>
      </w:tblPr>
      <w:tblGrid>
        <w:gridCol w:w="2286"/>
        <w:gridCol w:w="1411"/>
        <w:gridCol w:w="1411"/>
        <w:gridCol w:w="1411"/>
        <w:gridCol w:w="1411"/>
        <w:gridCol w:w="1418"/>
      </w:tblGrid>
      <w:tr w:rsidR="002056A7" w:rsidRPr="00455504" w14:paraId="6D35A984" w14:textId="77777777" w:rsidTr="00680792">
        <w:trPr>
          <w:trHeight w:val="340"/>
          <w:tblHeader/>
        </w:trPr>
        <w:tc>
          <w:tcPr>
            <w:tcW w:w="1224" w:type="pct"/>
            <w:vMerge w:val="restart"/>
            <w:tcBorders>
              <w:top w:val="single" w:sz="4" w:space="0" w:color="auto"/>
              <w:left w:val="nil"/>
              <w:right w:val="single" w:sz="4" w:space="0" w:color="auto"/>
            </w:tcBorders>
            <w:shd w:val="clear" w:color="000000" w:fill="A2F2FD"/>
            <w:vAlign w:val="center"/>
            <w:hideMark/>
          </w:tcPr>
          <w:p w14:paraId="4AAD4F45" w14:textId="2196E653" w:rsidR="002056A7" w:rsidRPr="00455504" w:rsidRDefault="00463BEF" w:rsidP="002056A7">
            <w:pPr>
              <w:jc w:val="center"/>
              <w:rPr>
                <w:rFonts w:cs="Arial"/>
                <w:b/>
                <w:bCs/>
                <w:color w:val="000000"/>
                <w:sz w:val="18"/>
                <w:szCs w:val="18"/>
              </w:rPr>
            </w:pPr>
            <w:r w:rsidRPr="00455504">
              <w:rPr>
                <w:rFonts w:cs="Arial"/>
                <w:b/>
                <w:bCs/>
                <w:color w:val="000000"/>
                <w:sz w:val="18"/>
                <w:szCs w:val="18"/>
              </w:rPr>
              <w:lastRenderedPageBreak/>
              <w:t>Despesas Previdenciárias</w:t>
            </w:r>
          </w:p>
        </w:tc>
        <w:tc>
          <w:tcPr>
            <w:tcW w:w="3776" w:type="pct"/>
            <w:gridSpan w:val="5"/>
            <w:tcBorders>
              <w:top w:val="single" w:sz="4" w:space="0" w:color="auto"/>
              <w:left w:val="single" w:sz="4" w:space="0" w:color="auto"/>
              <w:bottom w:val="single" w:sz="4" w:space="0" w:color="auto"/>
              <w:right w:val="single" w:sz="4" w:space="0" w:color="auto"/>
            </w:tcBorders>
            <w:shd w:val="clear" w:color="000000" w:fill="A2F2FD"/>
            <w:vAlign w:val="center"/>
            <w:hideMark/>
          </w:tcPr>
          <w:p w14:paraId="75C6F86F" w14:textId="0C323945" w:rsidR="002056A7" w:rsidRPr="00455504" w:rsidRDefault="002056A7" w:rsidP="002056A7">
            <w:pPr>
              <w:jc w:val="center"/>
              <w:rPr>
                <w:rFonts w:cs="Arial"/>
                <w:b/>
                <w:bCs/>
                <w:color w:val="000000"/>
                <w:sz w:val="18"/>
                <w:szCs w:val="18"/>
              </w:rPr>
            </w:pPr>
            <w:r w:rsidRPr="00455504">
              <w:rPr>
                <w:rFonts w:cs="Arial"/>
                <w:b/>
                <w:bCs/>
                <w:color w:val="000000"/>
                <w:sz w:val="18"/>
                <w:szCs w:val="18"/>
              </w:rPr>
              <w:t>Despesas Liquidadas</w:t>
            </w:r>
          </w:p>
        </w:tc>
      </w:tr>
      <w:tr w:rsidR="002056A7" w:rsidRPr="00455504" w14:paraId="7FE810D7" w14:textId="77777777" w:rsidTr="00680792">
        <w:trPr>
          <w:trHeight w:val="340"/>
          <w:tblHeader/>
        </w:trPr>
        <w:tc>
          <w:tcPr>
            <w:tcW w:w="1224" w:type="pct"/>
            <w:vMerge/>
            <w:tcBorders>
              <w:left w:val="nil"/>
              <w:bottom w:val="single" w:sz="4" w:space="0" w:color="auto"/>
              <w:right w:val="single" w:sz="4" w:space="0" w:color="auto"/>
            </w:tcBorders>
            <w:shd w:val="clear" w:color="000000" w:fill="A2F2FD"/>
            <w:vAlign w:val="center"/>
          </w:tcPr>
          <w:p w14:paraId="3EB51C12" w14:textId="77777777" w:rsidR="002056A7" w:rsidRPr="00455504" w:rsidRDefault="002056A7" w:rsidP="002056A7">
            <w:pPr>
              <w:jc w:val="center"/>
              <w:rPr>
                <w:rFonts w:cs="Arial"/>
                <w:b/>
                <w:bCs/>
                <w:color w:val="000000"/>
                <w:sz w:val="18"/>
                <w:szCs w:val="18"/>
              </w:rPr>
            </w:pPr>
          </w:p>
        </w:tc>
        <w:tc>
          <w:tcPr>
            <w:tcW w:w="755" w:type="pct"/>
            <w:tcBorders>
              <w:top w:val="single" w:sz="4" w:space="0" w:color="auto"/>
              <w:left w:val="single" w:sz="4" w:space="0" w:color="auto"/>
              <w:bottom w:val="single" w:sz="4" w:space="0" w:color="auto"/>
              <w:right w:val="single" w:sz="4" w:space="0" w:color="auto"/>
            </w:tcBorders>
            <w:shd w:val="clear" w:color="000000" w:fill="A2F2FD"/>
            <w:vAlign w:val="center"/>
          </w:tcPr>
          <w:p w14:paraId="4502C6C4" w14:textId="77777777" w:rsidR="002056A7" w:rsidRPr="00455504" w:rsidRDefault="002056A7" w:rsidP="002056A7">
            <w:pPr>
              <w:jc w:val="center"/>
              <w:rPr>
                <w:rFonts w:cs="Arial"/>
                <w:b/>
                <w:bCs/>
                <w:color w:val="000000"/>
                <w:sz w:val="18"/>
                <w:szCs w:val="18"/>
              </w:rPr>
            </w:pPr>
            <w:r w:rsidRPr="00455504">
              <w:rPr>
                <w:rFonts w:cs="Arial"/>
                <w:b/>
                <w:bCs/>
                <w:color w:val="000000"/>
                <w:sz w:val="18"/>
                <w:szCs w:val="18"/>
              </w:rPr>
              <w:t>2019</w:t>
            </w:r>
          </w:p>
        </w:tc>
        <w:tc>
          <w:tcPr>
            <w:tcW w:w="754" w:type="pct"/>
            <w:tcBorders>
              <w:top w:val="single" w:sz="4" w:space="0" w:color="auto"/>
              <w:left w:val="single" w:sz="4" w:space="0" w:color="auto"/>
              <w:bottom w:val="single" w:sz="4" w:space="0" w:color="auto"/>
              <w:right w:val="single" w:sz="4" w:space="0" w:color="auto"/>
            </w:tcBorders>
            <w:shd w:val="clear" w:color="000000" w:fill="A2F2FD"/>
            <w:vAlign w:val="center"/>
          </w:tcPr>
          <w:p w14:paraId="16901A15" w14:textId="77777777" w:rsidR="002056A7" w:rsidRPr="00455504" w:rsidRDefault="002056A7" w:rsidP="002056A7">
            <w:pPr>
              <w:jc w:val="center"/>
              <w:rPr>
                <w:rFonts w:cs="Arial"/>
                <w:b/>
                <w:bCs/>
                <w:color w:val="000000"/>
                <w:sz w:val="18"/>
                <w:szCs w:val="18"/>
              </w:rPr>
            </w:pPr>
            <w:r w:rsidRPr="00455504">
              <w:rPr>
                <w:rFonts w:cs="Arial"/>
                <w:b/>
                <w:bCs/>
                <w:color w:val="000000"/>
                <w:sz w:val="18"/>
                <w:szCs w:val="18"/>
              </w:rPr>
              <w:t>2020</w:t>
            </w:r>
          </w:p>
        </w:tc>
        <w:tc>
          <w:tcPr>
            <w:tcW w:w="754" w:type="pct"/>
            <w:tcBorders>
              <w:top w:val="single" w:sz="4" w:space="0" w:color="auto"/>
              <w:left w:val="single" w:sz="4" w:space="0" w:color="auto"/>
              <w:bottom w:val="single" w:sz="4" w:space="0" w:color="auto"/>
              <w:right w:val="single" w:sz="4" w:space="0" w:color="auto"/>
            </w:tcBorders>
            <w:shd w:val="clear" w:color="000000" w:fill="A2F2FD"/>
            <w:vAlign w:val="center"/>
          </w:tcPr>
          <w:p w14:paraId="3145590B" w14:textId="77777777" w:rsidR="002056A7" w:rsidRPr="00455504" w:rsidRDefault="002056A7" w:rsidP="002056A7">
            <w:pPr>
              <w:jc w:val="center"/>
              <w:rPr>
                <w:rFonts w:cs="Arial"/>
                <w:b/>
                <w:bCs/>
                <w:color w:val="000000"/>
                <w:sz w:val="18"/>
                <w:szCs w:val="18"/>
              </w:rPr>
            </w:pPr>
            <w:r w:rsidRPr="00455504">
              <w:rPr>
                <w:rFonts w:cs="Arial"/>
                <w:b/>
                <w:bCs/>
                <w:color w:val="000000"/>
                <w:sz w:val="18"/>
                <w:szCs w:val="18"/>
              </w:rPr>
              <w:t>2021</w:t>
            </w:r>
          </w:p>
        </w:tc>
        <w:tc>
          <w:tcPr>
            <w:tcW w:w="754" w:type="pct"/>
            <w:tcBorders>
              <w:top w:val="single" w:sz="4" w:space="0" w:color="auto"/>
              <w:left w:val="single" w:sz="4" w:space="0" w:color="auto"/>
              <w:bottom w:val="single" w:sz="4" w:space="0" w:color="auto"/>
              <w:right w:val="single" w:sz="4" w:space="0" w:color="auto"/>
            </w:tcBorders>
            <w:shd w:val="clear" w:color="000000" w:fill="A2F2FD"/>
            <w:vAlign w:val="center"/>
          </w:tcPr>
          <w:p w14:paraId="4C75C46D" w14:textId="77777777" w:rsidR="002056A7" w:rsidRPr="00455504" w:rsidRDefault="002056A7" w:rsidP="002056A7">
            <w:pPr>
              <w:jc w:val="center"/>
              <w:rPr>
                <w:rFonts w:cs="Arial"/>
                <w:b/>
                <w:bCs/>
                <w:color w:val="000000"/>
                <w:sz w:val="18"/>
                <w:szCs w:val="18"/>
              </w:rPr>
            </w:pPr>
            <w:r w:rsidRPr="00455504">
              <w:rPr>
                <w:rFonts w:cs="Arial"/>
                <w:b/>
                <w:bCs/>
                <w:color w:val="000000"/>
                <w:sz w:val="18"/>
                <w:szCs w:val="18"/>
              </w:rPr>
              <w:t>2022</w:t>
            </w:r>
          </w:p>
        </w:tc>
        <w:tc>
          <w:tcPr>
            <w:tcW w:w="758" w:type="pct"/>
            <w:tcBorders>
              <w:top w:val="single" w:sz="4" w:space="0" w:color="auto"/>
              <w:left w:val="single" w:sz="4" w:space="0" w:color="auto"/>
              <w:bottom w:val="single" w:sz="4" w:space="0" w:color="auto"/>
              <w:right w:val="nil"/>
            </w:tcBorders>
            <w:shd w:val="clear" w:color="000000" w:fill="A2F2FD"/>
            <w:vAlign w:val="center"/>
          </w:tcPr>
          <w:p w14:paraId="5CFD63BC" w14:textId="77777777" w:rsidR="002056A7" w:rsidRPr="00455504" w:rsidRDefault="002056A7" w:rsidP="002056A7">
            <w:pPr>
              <w:jc w:val="center"/>
              <w:rPr>
                <w:rFonts w:cs="Arial"/>
                <w:b/>
                <w:bCs/>
                <w:color w:val="000000"/>
                <w:sz w:val="18"/>
                <w:szCs w:val="18"/>
              </w:rPr>
            </w:pPr>
            <w:r w:rsidRPr="00455504">
              <w:rPr>
                <w:rFonts w:cs="Arial"/>
                <w:b/>
                <w:bCs/>
                <w:color w:val="000000"/>
                <w:sz w:val="18"/>
                <w:szCs w:val="18"/>
              </w:rPr>
              <w:t>2023</w:t>
            </w:r>
          </w:p>
        </w:tc>
      </w:tr>
      <w:tr w:rsidR="00B67EB7" w:rsidRPr="00455504" w14:paraId="67520B63" w14:textId="77777777" w:rsidTr="00680792">
        <w:trPr>
          <w:trHeight w:val="284"/>
        </w:trPr>
        <w:tc>
          <w:tcPr>
            <w:tcW w:w="1224" w:type="pct"/>
            <w:tcBorders>
              <w:top w:val="single" w:sz="4" w:space="0" w:color="auto"/>
              <w:left w:val="nil"/>
              <w:bottom w:val="nil"/>
              <w:right w:val="single" w:sz="4" w:space="0" w:color="auto"/>
            </w:tcBorders>
            <w:shd w:val="clear" w:color="auto" w:fill="auto"/>
            <w:vAlign w:val="center"/>
            <w:hideMark/>
          </w:tcPr>
          <w:p w14:paraId="1D3B2BB9" w14:textId="77777777" w:rsidR="00B67EB7" w:rsidRPr="00455504" w:rsidRDefault="00B67EB7" w:rsidP="00B67EB7">
            <w:pPr>
              <w:rPr>
                <w:rFonts w:cs="Arial"/>
                <w:color w:val="000000"/>
                <w:sz w:val="18"/>
                <w:szCs w:val="18"/>
              </w:rPr>
            </w:pPr>
            <w:r w:rsidRPr="00455504">
              <w:rPr>
                <w:rFonts w:cs="Arial"/>
                <w:color w:val="000000"/>
                <w:sz w:val="18"/>
                <w:szCs w:val="18"/>
              </w:rPr>
              <w:t>Administração</w:t>
            </w:r>
          </w:p>
        </w:tc>
        <w:tc>
          <w:tcPr>
            <w:tcW w:w="755" w:type="pct"/>
            <w:tcBorders>
              <w:top w:val="single" w:sz="4" w:space="0" w:color="auto"/>
              <w:left w:val="single" w:sz="4" w:space="0" w:color="auto"/>
              <w:bottom w:val="nil"/>
              <w:right w:val="single" w:sz="4" w:space="0" w:color="auto"/>
            </w:tcBorders>
            <w:shd w:val="clear" w:color="auto" w:fill="auto"/>
            <w:vAlign w:val="center"/>
            <w:hideMark/>
          </w:tcPr>
          <w:p w14:paraId="02092490" w14:textId="77777777" w:rsidR="00B67EB7" w:rsidRPr="00455504" w:rsidRDefault="00B67EB7" w:rsidP="00B67EB7">
            <w:pPr>
              <w:jc w:val="right"/>
              <w:rPr>
                <w:rFonts w:cs="Arial"/>
                <w:color w:val="000000"/>
                <w:sz w:val="18"/>
                <w:szCs w:val="18"/>
              </w:rPr>
            </w:pPr>
            <w:r w:rsidRPr="00455504">
              <w:rPr>
                <w:rFonts w:cs="Arial"/>
                <w:color w:val="000000"/>
                <w:sz w:val="18"/>
                <w:szCs w:val="18"/>
              </w:rPr>
              <w:t>37.204.049</w:t>
            </w:r>
          </w:p>
        </w:tc>
        <w:tc>
          <w:tcPr>
            <w:tcW w:w="754" w:type="pct"/>
            <w:tcBorders>
              <w:top w:val="single" w:sz="4" w:space="0" w:color="auto"/>
              <w:left w:val="single" w:sz="4" w:space="0" w:color="auto"/>
              <w:bottom w:val="nil"/>
              <w:right w:val="single" w:sz="4" w:space="0" w:color="auto"/>
            </w:tcBorders>
            <w:shd w:val="clear" w:color="auto" w:fill="auto"/>
            <w:vAlign w:val="center"/>
            <w:hideMark/>
          </w:tcPr>
          <w:p w14:paraId="33CC5F50" w14:textId="77777777" w:rsidR="00B67EB7" w:rsidRPr="00455504" w:rsidRDefault="00B67EB7" w:rsidP="00B67EB7">
            <w:pPr>
              <w:jc w:val="right"/>
              <w:rPr>
                <w:rFonts w:cs="Arial"/>
                <w:color w:val="000000"/>
                <w:sz w:val="18"/>
                <w:szCs w:val="18"/>
              </w:rPr>
            </w:pPr>
            <w:r w:rsidRPr="00455504">
              <w:rPr>
                <w:rFonts w:cs="Arial"/>
                <w:color w:val="000000"/>
                <w:sz w:val="18"/>
                <w:szCs w:val="18"/>
              </w:rPr>
              <w:t>68.436.413</w:t>
            </w:r>
          </w:p>
        </w:tc>
        <w:tc>
          <w:tcPr>
            <w:tcW w:w="754" w:type="pct"/>
            <w:tcBorders>
              <w:top w:val="single" w:sz="4" w:space="0" w:color="auto"/>
              <w:left w:val="single" w:sz="4" w:space="0" w:color="auto"/>
              <w:bottom w:val="nil"/>
              <w:right w:val="single" w:sz="4" w:space="0" w:color="auto"/>
            </w:tcBorders>
            <w:shd w:val="clear" w:color="auto" w:fill="auto"/>
            <w:vAlign w:val="center"/>
            <w:hideMark/>
          </w:tcPr>
          <w:p w14:paraId="42713FFB" w14:textId="77777777" w:rsidR="00B67EB7" w:rsidRPr="00455504" w:rsidRDefault="00B67EB7" w:rsidP="00B67EB7">
            <w:pPr>
              <w:jc w:val="right"/>
              <w:rPr>
                <w:rFonts w:cs="Arial"/>
                <w:color w:val="000000"/>
                <w:sz w:val="18"/>
                <w:szCs w:val="18"/>
              </w:rPr>
            </w:pPr>
            <w:r w:rsidRPr="00455504">
              <w:rPr>
                <w:rFonts w:cs="Arial"/>
                <w:color w:val="000000"/>
                <w:sz w:val="18"/>
                <w:szCs w:val="18"/>
              </w:rPr>
              <w:t>44.868.527</w:t>
            </w:r>
          </w:p>
        </w:tc>
        <w:tc>
          <w:tcPr>
            <w:tcW w:w="754" w:type="pct"/>
            <w:tcBorders>
              <w:top w:val="single" w:sz="4" w:space="0" w:color="auto"/>
              <w:left w:val="single" w:sz="4" w:space="0" w:color="auto"/>
              <w:bottom w:val="nil"/>
              <w:right w:val="single" w:sz="4" w:space="0" w:color="auto"/>
            </w:tcBorders>
            <w:shd w:val="clear" w:color="auto" w:fill="auto"/>
            <w:vAlign w:val="center"/>
            <w:hideMark/>
          </w:tcPr>
          <w:p w14:paraId="0DB04858" w14:textId="77777777" w:rsidR="00B67EB7" w:rsidRPr="00455504" w:rsidRDefault="00B67EB7" w:rsidP="00B67EB7">
            <w:pPr>
              <w:jc w:val="right"/>
              <w:rPr>
                <w:rFonts w:cs="Arial"/>
                <w:color w:val="000000"/>
                <w:sz w:val="18"/>
                <w:szCs w:val="18"/>
              </w:rPr>
            </w:pPr>
            <w:r w:rsidRPr="00455504">
              <w:rPr>
                <w:rFonts w:cs="Arial"/>
                <w:color w:val="000000"/>
                <w:sz w:val="18"/>
                <w:szCs w:val="18"/>
              </w:rPr>
              <w:t>50.257.425</w:t>
            </w:r>
          </w:p>
        </w:tc>
        <w:tc>
          <w:tcPr>
            <w:tcW w:w="758" w:type="pct"/>
            <w:tcBorders>
              <w:top w:val="single" w:sz="4" w:space="0" w:color="auto"/>
              <w:left w:val="single" w:sz="4" w:space="0" w:color="auto"/>
              <w:bottom w:val="nil"/>
              <w:right w:val="nil"/>
            </w:tcBorders>
            <w:shd w:val="clear" w:color="auto" w:fill="auto"/>
            <w:vAlign w:val="center"/>
            <w:hideMark/>
          </w:tcPr>
          <w:p w14:paraId="3ED4085F" w14:textId="77777777" w:rsidR="00B67EB7" w:rsidRPr="00455504" w:rsidRDefault="00B67EB7" w:rsidP="00B67EB7">
            <w:pPr>
              <w:jc w:val="right"/>
              <w:rPr>
                <w:rFonts w:cs="Arial"/>
                <w:color w:val="000000"/>
                <w:sz w:val="18"/>
                <w:szCs w:val="18"/>
              </w:rPr>
            </w:pPr>
            <w:r w:rsidRPr="00455504">
              <w:rPr>
                <w:rFonts w:cs="Arial"/>
                <w:color w:val="000000"/>
                <w:sz w:val="18"/>
                <w:szCs w:val="18"/>
              </w:rPr>
              <w:t>-</w:t>
            </w:r>
          </w:p>
        </w:tc>
      </w:tr>
      <w:tr w:rsidR="00B67EB7" w:rsidRPr="00455504" w14:paraId="4367F9D0" w14:textId="77777777" w:rsidTr="00680792">
        <w:trPr>
          <w:trHeight w:val="284"/>
        </w:trPr>
        <w:tc>
          <w:tcPr>
            <w:tcW w:w="1224" w:type="pct"/>
            <w:tcBorders>
              <w:top w:val="nil"/>
              <w:left w:val="nil"/>
              <w:bottom w:val="single" w:sz="4" w:space="0" w:color="auto"/>
              <w:right w:val="single" w:sz="4" w:space="0" w:color="auto"/>
            </w:tcBorders>
            <w:shd w:val="clear" w:color="auto" w:fill="auto"/>
            <w:vAlign w:val="center"/>
            <w:hideMark/>
          </w:tcPr>
          <w:p w14:paraId="518BBDDD" w14:textId="77777777" w:rsidR="00B67EB7" w:rsidRPr="00455504" w:rsidRDefault="00B67EB7" w:rsidP="00B67EB7">
            <w:pPr>
              <w:rPr>
                <w:rFonts w:cs="Arial"/>
                <w:color w:val="000000"/>
                <w:sz w:val="18"/>
                <w:szCs w:val="18"/>
              </w:rPr>
            </w:pPr>
            <w:r w:rsidRPr="00455504">
              <w:rPr>
                <w:rFonts w:cs="Arial"/>
                <w:color w:val="000000"/>
                <w:sz w:val="18"/>
                <w:szCs w:val="18"/>
              </w:rPr>
              <w:t>Previdência Social</w:t>
            </w:r>
          </w:p>
        </w:tc>
        <w:tc>
          <w:tcPr>
            <w:tcW w:w="755" w:type="pct"/>
            <w:tcBorders>
              <w:top w:val="nil"/>
              <w:left w:val="single" w:sz="4" w:space="0" w:color="auto"/>
              <w:bottom w:val="single" w:sz="4" w:space="0" w:color="auto"/>
              <w:right w:val="single" w:sz="4" w:space="0" w:color="auto"/>
            </w:tcBorders>
            <w:shd w:val="clear" w:color="auto" w:fill="auto"/>
            <w:vAlign w:val="center"/>
            <w:hideMark/>
          </w:tcPr>
          <w:p w14:paraId="78FFAC83" w14:textId="77777777" w:rsidR="00B67EB7" w:rsidRPr="00455504" w:rsidRDefault="00B67EB7" w:rsidP="00B67EB7">
            <w:pPr>
              <w:jc w:val="right"/>
              <w:rPr>
                <w:rFonts w:cs="Arial"/>
                <w:color w:val="000000"/>
                <w:sz w:val="18"/>
                <w:szCs w:val="18"/>
              </w:rPr>
            </w:pPr>
            <w:r w:rsidRPr="00455504">
              <w:rPr>
                <w:rFonts w:cs="Arial"/>
                <w:color w:val="000000"/>
                <w:sz w:val="18"/>
                <w:szCs w:val="18"/>
              </w:rPr>
              <w:t>6.281.668.318</w:t>
            </w:r>
          </w:p>
        </w:tc>
        <w:tc>
          <w:tcPr>
            <w:tcW w:w="754" w:type="pct"/>
            <w:tcBorders>
              <w:top w:val="nil"/>
              <w:left w:val="single" w:sz="4" w:space="0" w:color="auto"/>
              <w:bottom w:val="single" w:sz="4" w:space="0" w:color="auto"/>
              <w:right w:val="single" w:sz="4" w:space="0" w:color="auto"/>
            </w:tcBorders>
            <w:shd w:val="clear" w:color="auto" w:fill="auto"/>
            <w:vAlign w:val="center"/>
            <w:hideMark/>
          </w:tcPr>
          <w:p w14:paraId="038A06A5" w14:textId="77777777" w:rsidR="00B67EB7" w:rsidRPr="00455504" w:rsidRDefault="00B67EB7" w:rsidP="00B67EB7">
            <w:pPr>
              <w:jc w:val="right"/>
              <w:rPr>
                <w:rFonts w:cs="Arial"/>
                <w:color w:val="000000"/>
                <w:sz w:val="18"/>
                <w:szCs w:val="18"/>
              </w:rPr>
            </w:pPr>
            <w:r w:rsidRPr="00455504">
              <w:rPr>
                <w:rFonts w:cs="Arial"/>
                <w:color w:val="000000"/>
                <w:sz w:val="18"/>
                <w:szCs w:val="18"/>
              </w:rPr>
              <w:t>6.292.878.448</w:t>
            </w:r>
          </w:p>
        </w:tc>
        <w:tc>
          <w:tcPr>
            <w:tcW w:w="754" w:type="pct"/>
            <w:tcBorders>
              <w:top w:val="nil"/>
              <w:left w:val="single" w:sz="4" w:space="0" w:color="auto"/>
              <w:bottom w:val="single" w:sz="4" w:space="0" w:color="auto"/>
              <w:right w:val="single" w:sz="4" w:space="0" w:color="auto"/>
            </w:tcBorders>
            <w:shd w:val="clear" w:color="auto" w:fill="auto"/>
            <w:vAlign w:val="center"/>
            <w:hideMark/>
          </w:tcPr>
          <w:p w14:paraId="612D8E87" w14:textId="77777777" w:rsidR="00B67EB7" w:rsidRPr="00455504" w:rsidRDefault="00B67EB7" w:rsidP="00B67EB7">
            <w:pPr>
              <w:jc w:val="right"/>
              <w:rPr>
                <w:rFonts w:cs="Arial"/>
                <w:color w:val="000000"/>
                <w:sz w:val="18"/>
                <w:szCs w:val="18"/>
              </w:rPr>
            </w:pPr>
            <w:r w:rsidRPr="00455504">
              <w:rPr>
                <w:rFonts w:cs="Arial"/>
                <w:color w:val="000000"/>
                <w:sz w:val="18"/>
                <w:szCs w:val="18"/>
              </w:rPr>
              <w:t>6.647.026.511</w:t>
            </w:r>
          </w:p>
        </w:tc>
        <w:tc>
          <w:tcPr>
            <w:tcW w:w="754" w:type="pct"/>
            <w:tcBorders>
              <w:top w:val="nil"/>
              <w:left w:val="single" w:sz="4" w:space="0" w:color="auto"/>
              <w:bottom w:val="single" w:sz="4" w:space="0" w:color="auto"/>
              <w:right w:val="single" w:sz="4" w:space="0" w:color="auto"/>
            </w:tcBorders>
            <w:shd w:val="clear" w:color="auto" w:fill="auto"/>
            <w:vAlign w:val="center"/>
            <w:hideMark/>
          </w:tcPr>
          <w:p w14:paraId="2BC1BFCA" w14:textId="77777777" w:rsidR="00B67EB7" w:rsidRPr="00455504" w:rsidRDefault="00B67EB7" w:rsidP="00B67EB7">
            <w:pPr>
              <w:jc w:val="right"/>
              <w:rPr>
                <w:rFonts w:cs="Arial"/>
                <w:color w:val="000000"/>
                <w:sz w:val="18"/>
                <w:szCs w:val="18"/>
              </w:rPr>
            </w:pPr>
            <w:r w:rsidRPr="00455504">
              <w:rPr>
                <w:rFonts w:cs="Arial"/>
                <w:color w:val="000000"/>
                <w:sz w:val="18"/>
                <w:szCs w:val="18"/>
              </w:rPr>
              <w:t>7.409.243.300</w:t>
            </w:r>
          </w:p>
        </w:tc>
        <w:tc>
          <w:tcPr>
            <w:tcW w:w="758" w:type="pct"/>
            <w:tcBorders>
              <w:top w:val="nil"/>
              <w:left w:val="single" w:sz="4" w:space="0" w:color="auto"/>
              <w:bottom w:val="single" w:sz="4" w:space="0" w:color="auto"/>
              <w:right w:val="nil"/>
            </w:tcBorders>
            <w:shd w:val="clear" w:color="auto" w:fill="auto"/>
            <w:vAlign w:val="center"/>
            <w:hideMark/>
          </w:tcPr>
          <w:p w14:paraId="42E76DB1" w14:textId="77777777" w:rsidR="00B67EB7" w:rsidRPr="00455504" w:rsidRDefault="00B67EB7" w:rsidP="00B67EB7">
            <w:pPr>
              <w:jc w:val="right"/>
              <w:rPr>
                <w:rFonts w:cs="Arial"/>
                <w:color w:val="000000"/>
                <w:sz w:val="18"/>
                <w:szCs w:val="18"/>
              </w:rPr>
            </w:pPr>
            <w:r w:rsidRPr="00455504">
              <w:rPr>
                <w:rFonts w:cs="Arial"/>
                <w:color w:val="000000"/>
                <w:sz w:val="18"/>
                <w:szCs w:val="18"/>
              </w:rPr>
              <w:t>7.934.127.437</w:t>
            </w:r>
          </w:p>
        </w:tc>
      </w:tr>
      <w:tr w:rsidR="00B67EB7" w:rsidRPr="00455504" w14:paraId="74331DDE" w14:textId="77777777" w:rsidTr="00680792">
        <w:trPr>
          <w:trHeight w:val="284"/>
        </w:trPr>
        <w:tc>
          <w:tcPr>
            <w:tcW w:w="1224" w:type="pct"/>
            <w:tcBorders>
              <w:top w:val="single" w:sz="4" w:space="0" w:color="auto"/>
              <w:left w:val="nil"/>
              <w:bottom w:val="single" w:sz="4" w:space="0" w:color="auto"/>
              <w:right w:val="single" w:sz="4" w:space="0" w:color="auto"/>
            </w:tcBorders>
            <w:shd w:val="clear" w:color="auto" w:fill="auto"/>
            <w:vAlign w:val="center"/>
            <w:hideMark/>
          </w:tcPr>
          <w:p w14:paraId="06E78A97" w14:textId="77777777" w:rsidR="00B67EB7" w:rsidRPr="00455504" w:rsidRDefault="00B67EB7" w:rsidP="00455504">
            <w:pPr>
              <w:jc w:val="center"/>
              <w:rPr>
                <w:rFonts w:cs="Arial"/>
                <w:b/>
                <w:bCs/>
                <w:color w:val="000000"/>
                <w:sz w:val="18"/>
                <w:szCs w:val="18"/>
              </w:rPr>
            </w:pPr>
            <w:r w:rsidRPr="00455504">
              <w:rPr>
                <w:rFonts w:cs="Arial"/>
                <w:b/>
                <w:bCs/>
                <w:color w:val="000000"/>
                <w:sz w:val="18"/>
                <w:szCs w:val="18"/>
              </w:rPr>
              <w:t>Total das Despesas Previdenciárias (II)</w:t>
            </w:r>
          </w:p>
        </w:tc>
        <w:tc>
          <w:tcPr>
            <w:tcW w:w="75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BC7727"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6.318.872.367</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8340B22"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6.361.314.860</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9BC37C"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6.691.895.038</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A7455D"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7.459.500.725</w:t>
            </w:r>
          </w:p>
        </w:tc>
        <w:tc>
          <w:tcPr>
            <w:tcW w:w="758" w:type="pct"/>
            <w:tcBorders>
              <w:top w:val="single" w:sz="4" w:space="0" w:color="auto"/>
              <w:left w:val="single" w:sz="4" w:space="0" w:color="auto"/>
              <w:bottom w:val="single" w:sz="4" w:space="0" w:color="auto"/>
              <w:right w:val="nil"/>
            </w:tcBorders>
            <w:shd w:val="clear" w:color="auto" w:fill="auto"/>
            <w:vAlign w:val="center"/>
            <w:hideMark/>
          </w:tcPr>
          <w:p w14:paraId="1D1CC80B"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7.934.127.437</w:t>
            </w:r>
          </w:p>
        </w:tc>
      </w:tr>
      <w:tr w:rsidR="00B67EB7" w:rsidRPr="00455504" w14:paraId="25AEE819" w14:textId="77777777" w:rsidTr="00680792">
        <w:trPr>
          <w:trHeight w:val="227"/>
        </w:trPr>
        <w:tc>
          <w:tcPr>
            <w:tcW w:w="1224" w:type="pct"/>
            <w:tcBorders>
              <w:top w:val="single" w:sz="4" w:space="0" w:color="auto"/>
              <w:left w:val="nil"/>
              <w:bottom w:val="single" w:sz="4" w:space="0" w:color="auto"/>
              <w:right w:val="nil"/>
            </w:tcBorders>
            <w:shd w:val="clear" w:color="000000" w:fill="FFFFFF"/>
            <w:vAlign w:val="center"/>
            <w:hideMark/>
          </w:tcPr>
          <w:p w14:paraId="680DBF9D" w14:textId="77777777" w:rsidR="00B67EB7" w:rsidRPr="00455504" w:rsidRDefault="00B67EB7" w:rsidP="00B67EB7">
            <w:pPr>
              <w:rPr>
                <w:rFonts w:cs="Arial"/>
                <w:color w:val="000000"/>
                <w:sz w:val="18"/>
                <w:szCs w:val="18"/>
              </w:rPr>
            </w:pPr>
            <w:r w:rsidRPr="00455504">
              <w:rPr>
                <w:rFonts w:cs="Arial"/>
                <w:color w:val="000000"/>
                <w:sz w:val="18"/>
                <w:szCs w:val="18"/>
              </w:rPr>
              <w:t> </w:t>
            </w:r>
          </w:p>
        </w:tc>
        <w:tc>
          <w:tcPr>
            <w:tcW w:w="755" w:type="pct"/>
            <w:tcBorders>
              <w:top w:val="single" w:sz="4" w:space="0" w:color="auto"/>
              <w:left w:val="nil"/>
              <w:bottom w:val="single" w:sz="4" w:space="0" w:color="auto"/>
              <w:right w:val="nil"/>
            </w:tcBorders>
            <w:shd w:val="clear" w:color="000000" w:fill="FFFFFF"/>
            <w:vAlign w:val="center"/>
            <w:hideMark/>
          </w:tcPr>
          <w:p w14:paraId="727CCE83" w14:textId="77777777" w:rsidR="00B67EB7" w:rsidRPr="00455504" w:rsidRDefault="00B67EB7" w:rsidP="00B67EB7">
            <w:pPr>
              <w:rPr>
                <w:rFonts w:cs="Arial"/>
                <w:color w:val="000000"/>
                <w:sz w:val="18"/>
                <w:szCs w:val="18"/>
              </w:rPr>
            </w:pPr>
            <w:r w:rsidRPr="00455504">
              <w:rPr>
                <w:rFonts w:cs="Arial"/>
                <w:color w:val="000000"/>
                <w:sz w:val="18"/>
                <w:szCs w:val="18"/>
              </w:rPr>
              <w:t> </w:t>
            </w:r>
          </w:p>
        </w:tc>
        <w:tc>
          <w:tcPr>
            <w:tcW w:w="754" w:type="pct"/>
            <w:tcBorders>
              <w:top w:val="single" w:sz="4" w:space="0" w:color="auto"/>
              <w:left w:val="nil"/>
              <w:bottom w:val="single" w:sz="4" w:space="0" w:color="auto"/>
              <w:right w:val="nil"/>
            </w:tcBorders>
            <w:shd w:val="clear" w:color="000000" w:fill="FFFFFF"/>
            <w:vAlign w:val="center"/>
            <w:hideMark/>
          </w:tcPr>
          <w:p w14:paraId="390B67AF" w14:textId="77777777" w:rsidR="00B67EB7" w:rsidRPr="00455504" w:rsidRDefault="00B67EB7" w:rsidP="00B67EB7">
            <w:pPr>
              <w:rPr>
                <w:rFonts w:cs="Arial"/>
                <w:color w:val="000000"/>
                <w:sz w:val="18"/>
                <w:szCs w:val="18"/>
              </w:rPr>
            </w:pPr>
            <w:r w:rsidRPr="00455504">
              <w:rPr>
                <w:rFonts w:cs="Arial"/>
                <w:color w:val="000000"/>
                <w:sz w:val="18"/>
                <w:szCs w:val="18"/>
              </w:rPr>
              <w:t> </w:t>
            </w:r>
          </w:p>
        </w:tc>
        <w:tc>
          <w:tcPr>
            <w:tcW w:w="754" w:type="pct"/>
            <w:tcBorders>
              <w:top w:val="single" w:sz="4" w:space="0" w:color="auto"/>
              <w:left w:val="nil"/>
              <w:bottom w:val="single" w:sz="4" w:space="0" w:color="auto"/>
              <w:right w:val="nil"/>
            </w:tcBorders>
            <w:shd w:val="clear" w:color="000000" w:fill="FFFFFF"/>
            <w:vAlign w:val="center"/>
            <w:hideMark/>
          </w:tcPr>
          <w:p w14:paraId="0595743A" w14:textId="77777777" w:rsidR="00B67EB7" w:rsidRPr="00455504" w:rsidRDefault="00B67EB7" w:rsidP="00B67EB7">
            <w:pPr>
              <w:rPr>
                <w:rFonts w:cs="Arial"/>
                <w:color w:val="000000"/>
                <w:sz w:val="18"/>
                <w:szCs w:val="18"/>
              </w:rPr>
            </w:pPr>
            <w:r w:rsidRPr="00455504">
              <w:rPr>
                <w:rFonts w:cs="Arial"/>
                <w:color w:val="000000"/>
                <w:sz w:val="18"/>
                <w:szCs w:val="18"/>
              </w:rPr>
              <w:t> </w:t>
            </w:r>
          </w:p>
        </w:tc>
        <w:tc>
          <w:tcPr>
            <w:tcW w:w="754" w:type="pct"/>
            <w:tcBorders>
              <w:top w:val="single" w:sz="4" w:space="0" w:color="auto"/>
              <w:left w:val="nil"/>
              <w:bottom w:val="single" w:sz="4" w:space="0" w:color="auto"/>
              <w:right w:val="nil"/>
            </w:tcBorders>
            <w:shd w:val="clear" w:color="000000" w:fill="FFFFFF"/>
            <w:vAlign w:val="center"/>
            <w:hideMark/>
          </w:tcPr>
          <w:p w14:paraId="51988BC4" w14:textId="77777777" w:rsidR="00B67EB7" w:rsidRPr="00455504" w:rsidRDefault="00B67EB7" w:rsidP="00B67EB7">
            <w:pPr>
              <w:rPr>
                <w:rFonts w:cs="Arial"/>
                <w:color w:val="000000"/>
                <w:sz w:val="18"/>
                <w:szCs w:val="18"/>
              </w:rPr>
            </w:pPr>
            <w:r w:rsidRPr="00455504">
              <w:rPr>
                <w:rFonts w:cs="Arial"/>
                <w:color w:val="000000"/>
                <w:sz w:val="18"/>
                <w:szCs w:val="18"/>
              </w:rPr>
              <w:t> </w:t>
            </w:r>
          </w:p>
        </w:tc>
        <w:tc>
          <w:tcPr>
            <w:tcW w:w="758" w:type="pct"/>
            <w:tcBorders>
              <w:top w:val="single" w:sz="4" w:space="0" w:color="auto"/>
              <w:left w:val="nil"/>
              <w:bottom w:val="single" w:sz="4" w:space="0" w:color="auto"/>
              <w:right w:val="nil"/>
            </w:tcBorders>
            <w:shd w:val="clear" w:color="000000" w:fill="FFFFFF"/>
            <w:vAlign w:val="center"/>
            <w:hideMark/>
          </w:tcPr>
          <w:p w14:paraId="6436CEF8" w14:textId="77777777" w:rsidR="00B67EB7" w:rsidRPr="00455504" w:rsidRDefault="00B67EB7" w:rsidP="00B67EB7">
            <w:pPr>
              <w:rPr>
                <w:rFonts w:cs="Arial"/>
                <w:color w:val="000000"/>
                <w:sz w:val="18"/>
                <w:szCs w:val="18"/>
              </w:rPr>
            </w:pPr>
            <w:r w:rsidRPr="00455504">
              <w:rPr>
                <w:rFonts w:cs="Arial"/>
                <w:color w:val="000000"/>
                <w:sz w:val="18"/>
                <w:szCs w:val="18"/>
              </w:rPr>
              <w:t> </w:t>
            </w:r>
          </w:p>
        </w:tc>
      </w:tr>
      <w:tr w:rsidR="00B67EB7" w:rsidRPr="00455504" w14:paraId="0F9B79A2" w14:textId="77777777" w:rsidTr="00680792">
        <w:trPr>
          <w:trHeight w:val="284"/>
        </w:trPr>
        <w:tc>
          <w:tcPr>
            <w:tcW w:w="1224" w:type="pct"/>
            <w:tcBorders>
              <w:top w:val="single" w:sz="4" w:space="0" w:color="auto"/>
              <w:left w:val="nil"/>
              <w:bottom w:val="single" w:sz="4" w:space="0" w:color="auto"/>
              <w:right w:val="single" w:sz="4" w:space="0" w:color="auto"/>
            </w:tcBorders>
            <w:shd w:val="clear" w:color="auto" w:fill="auto"/>
            <w:vAlign w:val="center"/>
            <w:hideMark/>
          </w:tcPr>
          <w:p w14:paraId="134D806F" w14:textId="0A4F7051" w:rsidR="00083A7E" w:rsidRDefault="00B67EB7" w:rsidP="00455504">
            <w:pPr>
              <w:jc w:val="center"/>
              <w:rPr>
                <w:rFonts w:cs="Arial"/>
                <w:b/>
                <w:bCs/>
                <w:color w:val="000000"/>
                <w:sz w:val="18"/>
                <w:szCs w:val="18"/>
              </w:rPr>
            </w:pPr>
            <w:r w:rsidRPr="00455504">
              <w:rPr>
                <w:rFonts w:cs="Arial"/>
                <w:b/>
                <w:bCs/>
                <w:color w:val="000000"/>
                <w:sz w:val="18"/>
                <w:szCs w:val="18"/>
              </w:rPr>
              <w:t xml:space="preserve">Resultado </w:t>
            </w:r>
          </w:p>
          <w:p w14:paraId="420ABF0E" w14:textId="1F12121C" w:rsidR="00B67EB7" w:rsidRPr="00455504" w:rsidRDefault="00B67EB7" w:rsidP="00455504">
            <w:pPr>
              <w:jc w:val="center"/>
              <w:rPr>
                <w:rFonts w:cs="Arial"/>
                <w:b/>
                <w:bCs/>
                <w:color w:val="000000"/>
                <w:sz w:val="18"/>
                <w:szCs w:val="18"/>
              </w:rPr>
            </w:pPr>
            <w:r w:rsidRPr="00455504">
              <w:rPr>
                <w:rFonts w:cs="Arial"/>
                <w:b/>
                <w:bCs/>
                <w:color w:val="000000"/>
                <w:sz w:val="18"/>
                <w:szCs w:val="18"/>
              </w:rPr>
              <w:t>(III) = (I – II)</w:t>
            </w:r>
          </w:p>
        </w:tc>
        <w:tc>
          <w:tcPr>
            <w:tcW w:w="75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5049DD" w14:textId="77777777" w:rsidR="00B67EB7" w:rsidRPr="00455504" w:rsidRDefault="00B67EB7" w:rsidP="00B67EB7">
            <w:pPr>
              <w:jc w:val="right"/>
              <w:rPr>
                <w:rFonts w:cs="Arial"/>
                <w:b/>
                <w:bCs/>
                <w:color w:val="FF0000"/>
                <w:sz w:val="18"/>
                <w:szCs w:val="18"/>
              </w:rPr>
            </w:pPr>
            <w:r w:rsidRPr="00455504">
              <w:rPr>
                <w:rFonts w:cs="Arial"/>
                <w:b/>
                <w:bCs/>
                <w:color w:val="FF0000"/>
                <w:sz w:val="18"/>
                <w:szCs w:val="18"/>
              </w:rPr>
              <w:t>(2.937.601.608)</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2E6B97" w14:textId="77777777" w:rsidR="00B67EB7" w:rsidRPr="00455504" w:rsidRDefault="00B67EB7" w:rsidP="00B67EB7">
            <w:pPr>
              <w:jc w:val="right"/>
              <w:rPr>
                <w:rFonts w:cs="Arial"/>
                <w:b/>
                <w:bCs/>
                <w:color w:val="FF0000"/>
                <w:sz w:val="18"/>
                <w:szCs w:val="18"/>
              </w:rPr>
            </w:pPr>
            <w:r w:rsidRPr="00455504">
              <w:rPr>
                <w:rFonts w:cs="Arial"/>
                <w:b/>
                <w:bCs/>
                <w:color w:val="FF0000"/>
                <w:sz w:val="18"/>
                <w:szCs w:val="18"/>
              </w:rPr>
              <w:t>(3.571.231.755)</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E2648F" w14:textId="77777777" w:rsidR="00B67EB7" w:rsidRPr="00455504" w:rsidRDefault="00B67EB7" w:rsidP="00B67EB7">
            <w:pPr>
              <w:jc w:val="right"/>
              <w:rPr>
                <w:rFonts w:cs="Arial"/>
                <w:b/>
                <w:bCs/>
                <w:color w:val="FF0000"/>
                <w:sz w:val="18"/>
                <w:szCs w:val="18"/>
              </w:rPr>
            </w:pPr>
            <w:r w:rsidRPr="00455504">
              <w:rPr>
                <w:rFonts w:cs="Arial"/>
                <w:b/>
                <w:bCs/>
                <w:color w:val="FF0000"/>
                <w:sz w:val="18"/>
                <w:szCs w:val="18"/>
              </w:rPr>
              <w:t>(3.811.898.914)</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38A095" w14:textId="77777777" w:rsidR="00B67EB7" w:rsidRPr="00455504" w:rsidRDefault="00B67EB7" w:rsidP="00B67EB7">
            <w:pPr>
              <w:jc w:val="right"/>
              <w:rPr>
                <w:rFonts w:cs="Arial"/>
                <w:b/>
                <w:bCs/>
                <w:color w:val="FF0000"/>
                <w:sz w:val="18"/>
                <w:szCs w:val="18"/>
              </w:rPr>
            </w:pPr>
            <w:r w:rsidRPr="00455504">
              <w:rPr>
                <w:rFonts w:cs="Arial"/>
                <w:b/>
                <w:bCs/>
                <w:color w:val="FF0000"/>
                <w:sz w:val="18"/>
                <w:szCs w:val="18"/>
              </w:rPr>
              <w:t>(4.502.763.563)</w:t>
            </w:r>
          </w:p>
        </w:tc>
        <w:tc>
          <w:tcPr>
            <w:tcW w:w="758" w:type="pct"/>
            <w:tcBorders>
              <w:top w:val="single" w:sz="4" w:space="0" w:color="auto"/>
              <w:left w:val="single" w:sz="4" w:space="0" w:color="auto"/>
              <w:bottom w:val="single" w:sz="4" w:space="0" w:color="auto"/>
              <w:right w:val="nil"/>
            </w:tcBorders>
            <w:shd w:val="clear" w:color="auto" w:fill="auto"/>
            <w:vAlign w:val="center"/>
            <w:hideMark/>
          </w:tcPr>
          <w:p w14:paraId="76755DC6" w14:textId="77777777" w:rsidR="00B67EB7" w:rsidRPr="00455504" w:rsidRDefault="00B67EB7" w:rsidP="00B67EB7">
            <w:pPr>
              <w:jc w:val="right"/>
              <w:rPr>
                <w:rFonts w:cs="Arial"/>
                <w:b/>
                <w:bCs/>
                <w:color w:val="FF0000"/>
                <w:sz w:val="18"/>
                <w:szCs w:val="18"/>
              </w:rPr>
            </w:pPr>
            <w:r w:rsidRPr="00455504">
              <w:rPr>
                <w:rFonts w:cs="Arial"/>
                <w:b/>
                <w:bCs/>
                <w:color w:val="FF0000"/>
                <w:sz w:val="18"/>
                <w:szCs w:val="18"/>
              </w:rPr>
              <w:t>(4.627.485.132)</w:t>
            </w:r>
          </w:p>
        </w:tc>
      </w:tr>
    </w:tbl>
    <w:p w14:paraId="6CC230AB" w14:textId="51262924" w:rsidR="00455504" w:rsidRDefault="00455504"/>
    <w:tbl>
      <w:tblPr>
        <w:tblW w:w="5000" w:type="pct"/>
        <w:tblCellMar>
          <w:left w:w="70" w:type="dxa"/>
          <w:right w:w="70" w:type="dxa"/>
        </w:tblCellMar>
        <w:tblLook w:val="04A0" w:firstRow="1" w:lastRow="0" w:firstColumn="1" w:lastColumn="0" w:noHBand="0" w:noVBand="1"/>
      </w:tblPr>
      <w:tblGrid>
        <w:gridCol w:w="2289"/>
        <w:gridCol w:w="6"/>
        <w:gridCol w:w="1410"/>
        <w:gridCol w:w="1410"/>
        <w:gridCol w:w="1410"/>
        <w:gridCol w:w="1410"/>
        <w:gridCol w:w="1413"/>
      </w:tblGrid>
      <w:tr w:rsidR="00463BEF" w:rsidRPr="00455504" w14:paraId="214744E6" w14:textId="77777777" w:rsidTr="00147893">
        <w:trPr>
          <w:trHeight w:val="340"/>
          <w:tblHeader/>
        </w:trPr>
        <w:tc>
          <w:tcPr>
            <w:tcW w:w="1225" w:type="pct"/>
            <w:vMerge w:val="restart"/>
            <w:tcBorders>
              <w:top w:val="single" w:sz="4" w:space="0" w:color="auto"/>
              <w:left w:val="nil"/>
              <w:bottom w:val="single" w:sz="8" w:space="0" w:color="auto"/>
              <w:right w:val="single" w:sz="4" w:space="0" w:color="auto"/>
            </w:tcBorders>
            <w:shd w:val="clear" w:color="000000" w:fill="A2F2FD"/>
            <w:vAlign w:val="center"/>
            <w:hideMark/>
          </w:tcPr>
          <w:p w14:paraId="21A4E6CA" w14:textId="15C73966" w:rsidR="00463BEF" w:rsidRPr="00455504" w:rsidRDefault="00463BEF" w:rsidP="00802443">
            <w:pPr>
              <w:jc w:val="center"/>
              <w:rPr>
                <w:rFonts w:cs="Arial"/>
                <w:b/>
                <w:bCs/>
                <w:color w:val="000000"/>
                <w:sz w:val="18"/>
                <w:szCs w:val="18"/>
              </w:rPr>
            </w:pPr>
            <w:r w:rsidRPr="00455504">
              <w:rPr>
                <w:rFonts w:cs="Arial"/>
                <w:b/>
                <w:bCs/>
                <w:color w:val="000000"/>
                <w:sz w:val="18"/>
                <w:szCs w:val="18"/>
              </w:rPr>
              <w:t>Aportes de Recursos para o Regime Próprio de Previdência do Servidor</w:t>
            </w:r>
          </w:p>
        </w:tc>
        <w:tc>
          <w:tcPr>
            <w:tcW w:w="3775" w:type="pct"/>
            <w:gridSpan w:val="6"/>
            <w:tcBorders>
              <w:top w:val="single" w:sz="4" w:space="0" w:color="auto"/>
              <w:left w:val="single" w:sz="4" w:space="0" w:color="auto"/>
              <w:bottom w:val="single" w:sz="4" w:space="0" w:color="auto"/>
              <w:right w:val="single" w:sz="4" w:space="0" w:color="auto"/>
            </w:tcBorders>
            <w:shd w:val="clear" w:color="000000" w:fill="A2F2FD"/>
            <w:vAlign w:val="center"/>
            <w:hideMark/>
          </w:tcPr>
          <w:p w14:paraId="4E36A43B" w14:textId="3B0465B2" w:rsidR="00463BEF" w:rsidRPr="00455504" w:rsidRDefault="00463BEF" w:rsidP="00802443">
            <w:pPr>
              <w:jc w:val="center"/>
              <w:rPr>
                <w:rFonts w:cs="Arial"/>
                <w:b/>
                <w:bCs/>
                <w:color w:val="000000"/>
                <w:sz w:val="18"/>
                <w:szCs w:val="18"/>
              </w:rPr>
            </w:pPr>
            <w:r w:rsidRPr="00455504">
              <w:rPr>
                <w:rFonts w:cs="Arial"/>
                <w:b/>
                <w:bCs/>
                <w:color w:val="000000"/>
                <w:sz w:val="18"/>
                <w:szCs w:val="18"/>
              </w:rPr>
              <w:t>Aportes Realizados</w:t>
            </w:r>
          </w:p>
        </w:tc>
      </w:tr>
      <w:tr w:rsidR="00463BEF" w:rsidRPr="00455504" w14:paraId="666DCFC6" w14:textId="77777777" w:rsidTr="00147893">
        <w:trPr>
          <w:trHeight w:val="340"/>
          <w:tblHeader/>
        </w:trPr>
        <w:tc>
          <w:tcPr>
            <w:tcW w:w="1225" w:type="pct"/>
            <w:vMerge/>
            <w:tcBorders>
              <w:top w:val="single" w:sz="4" w:space="0" w:color="auto"/>
              <w:left w:val="nil"/>
              <w:bottom w:val="single" w:sz="4" w:space="0" w:color="auto"/>
              <w:right w:val="single" w:sz="4" w:space="0" w:color="auto"/>
            </w:tcBorders>
            <w:shd w:val="clear" w:color="000000" w:fill="A2F2FD"/>
            <w:vAlign w:val="center"/>
          </w:tcPr>
          <w:p w14:paraId="462B00C0" w14:textId="77777777" w:rsidR="00463BEF" w:rsidRPr="00455504" w:rsidRDefault="00463BEF" w:rsidP="00802443">
            <w:pPr>
              <w:jc w:val="center"/>
              <w:rPr>
                <w:rFonts w:cs="Arial"/>
                <w:b/>
                <w:bCs/>
                <w:color w:val="000000"/>
                <w:sz w:val="18"/>
                <w:szCs w:val="18"/>
              </w:rPr>
            </w:pPr>
          </w:p>
        </w:tc>
        <w:tc>
          <w:tcPr>
            <w:tcW w:w="755" w:type="pct"/>
            <w:gridSpan w:val="2"/>
            <w:tcBorders>
              <w:top w:val="single" w:sz="4" w:space="0" w:color="auto"/>
              <w:left w:val="single" w:sz="4" w:space="0" w:color="auto"/>
              <w:bottom w:val="single" w:sz="4" w:space="0" w:color="auto"/>
              <w:right w:val="single" w:sz="4" w:space="0" w:color="auto"/>
            </w:tcBorders>
            <w:shd w:val="clear" w:color="000000" w:fill="A2F2FD"/>
            <w:vAlign w:val="center"/>
          </w:tcPr>
          <w:p w14:paraId="7AC88D61"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2019</w:t>
            </w:r>
          </w:p>
        </w:tc>
        <w:tc>
          <w:tcPr>
            <w:tcW w:w="754" w:type="pct"/>
            <w:tcBorders>
              <w:top w:val="single" w:sz="4" w:space="0" w:color="auto"/>
              <w:left w:val="single" w:sz="4" w:space="0" w:color="auto"/>
              <w:bottom w:val="single" w:sz="4" w:space="0" w:color="auto"/>
              <w:right w:val="single" w:sz="4" w:space="0" w:color="auto"/>
            </w:tcBorders>
            <w:shd w:val="clear" w:color="000000" w:fill="A2F2FD"/>
            <w:vAlign w:val="center"/>
          </w:tcPr>
          <w:p w14:paraId="7AE4B4F3"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2020</w:t>
            </w:r>
          </w:p>
        </w:tc>
        <w:tc>
          <w:tcPr>
            <w:tcW w:w="754" w:type="pct"/>
            <w:tcBorders>
              <w:top w:val="single" w:sz="4" w:space="0" w:color="auto"/>
              <w:left w:val="single" w:sz="4" w:space="0" w:color="auto"/>
              <w:bottom w:val="single" w:sz="4" w:space="0" w:color="auto"/>
              <w:right w:val="single" w:sz="4" w:space="0" w:color="auto"/>
            </w:tcBorders>
            <w:shd w:val="clear" w:color="000000" w:fill="A2F2FD"/>
            <w:vAlign w:val="center"/>
          </w:tcPr>
          <w:p w14:paraId="32FED214"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2021</w:t>
            </w:r>
          </w:p>
        </w:tc>
        <w:tc>
          <w:tcPr>
            <w:tcW w:w="754" w:type="pct"/>
            <w:tcBorders>
              <w:top w:val="single" w:sz="4" w:space="0" w:color="auto"/>
              <w:left w:val="single" w:sz="4" w:space="0" w:color="auto"/>
              <w:bottom w:val="single" w:sz="4" w:space="0" w:color="auto"/>
              <w:right w:val="single" w:sz="4" w:space="0" w:color="auto"/>
            </w:tcBorders>
            <w:shd w:val="clear" w:color="000000" w:fill="A2F2FD"/>
            <w:vAlign w:val="center"/>
          </w:tcPr>
          <w:p w14:paraId="74CE1038"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2022</w:t>
            </w:r>
          </w:p>
        </w:tc>
        <w:tc>
          <w:tcPr>
            <w:tcW w:w="759" w:type="pct"/>
            <w:tcBorders>
              <w:top w:val="single" w:sz="4" w:space="0" w:color="auto"/>
              <w:left w:val="single" w:sz="4" w:space="0" w:color="auto"/>
              <w:bottom w:val="single" w:sz="4" w:space="0" w:color="auto"/>
              <w:right w:val="nil"/>
            </w:tcBorders>
            <w:shd w:val="clear" w:color="000000" w:fill="A2F2FD"/>
            <w:vAlign w:val="center"/>
          </w:tcPr>
          <w:p w14:paraId="20513513"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2023</w:t>
            </w:r>
          </w:p>
        </w:tc>
      </w:tr>
      <w:tr w:rsidR="00B67EB7" w:rsidRPr="00455504" w14:paraId="26E99F36" w14:textId="77777777" w:rsidTr="00147893">
        <w:trPr>
          <w:trHeight w:val="284"/>
        </w:trPr>
        <w:tc>
          <w:tcPr>
            <w:tcW w:w="1228" w:type="pct"/>
            <w:gridSpan w:val="2"/>
            <w:tcBorders>
              <w:top w:val="single" w:sz="4" w:space="0" w:color="auto"/>
              <w:left w:val="nil"/>
              <w:right w:val="single" w:sz="4" w:space="0" w:color="auto"/>
            </w:tcBorders>
            <w:shd w:val="clear" w:color="auto" w:fill="auto"/>
            <w:tcMar>
              <w:top w:w="57" w:type="dxa"/>
              <w:bottom w:w="57" w:type="dxa"/>
            </w:tcMar>
            <w:vAlign w:val="center"/>
            <w:hideMark/>
          </w:tcPr>
          <w:p w14:paraId="4084DB65" w14:textId="338F5D31" w:rsidR="00B67EB7" w:rsidRPr="00083A7E" w:rsidRDefault="00B67EB7" w:rsidP="005E7D5F">
            <w:pPr>
              <w:ind w:left="75"/>
              <w:rPr>
                <w:rFonts w:cs="Arial"/>
                <w:color w:val="000000"/>
                <w:sz w:val="16"/>
                <w:szCs w:val="18"/>
              </w:rPr>
            </w:pPr>
            <w:r w:rsidRPr="00083A7E">
              <w:rPr>
                <w:rFonts w:cs="Arial"/>
                <w:color w:val="000000"/>
                <w:sz w:val="16"/>
                <w:szCs w:val="18"/>
              </w:rPr>
              <w:t>Recursos para Cobertura de Insuficiências Financeiras</w:t>
            </w:r>
          </w:p>
        </w:tc>
        <w:tc>
          <w:tcPr>
            <w:tcW w:w="754" w:type="pct"/>
            <w:tcBorders>
              <w:top w:val="single" w:sz="4" w:space="0" w:color="auto"/>
              <w:left w:val="single" w:sz="4" w:space="0" w:color="auto"/>
              <w:right w:val="single" w:sz="4" w:space="0" w:color="auto"/>
            </w:tcBorders>
            <w:shd w:val="clear" w:color="auto" w:fill="auto"/>
            <w:tcMar>
              <w:top w:w="57" w:type="dxa"/>
              <w:bottom w:w="57" w:type="dxa"/>
            </w:tcMar>
            <w:vAlign w:val="center"/>
            <w:hideMark/>
          </w:tcPr>
          <w:p w14:paraId="43E185B0" w14:textId="77777777" w:rsidR="00B67EB7" w:rsidRPr="00455504" w:rsidRDefault="00B67EB7" w:rsidP="00B67EB7">
            <w:pPr>
              <w:jc w:val="right"/>
              <w:rPr>
                <w:rFonts w:cs="Arial"/>
                <w:color w:val="000000"/>
                <w:sz w:val="18"/>
                <w:szCs w:val="18"/>
              </w:rPr>
            </w:pPr>
            <w:r w:rsidRPr="00455504">
              <w:rPr>
                <w:rFonts w:cs="Arial"/>
                <w:color w:val="000000"/>
                <w:sz w:val="18"/>
                <w:szCs w:val="18"/>
              </w:rPr>
              <w:t>3.708.599.533</w:t>
            </w:r>
          </w:p>
        </w:tc>
        <w:tc>
          <w:tcPr>
            <w:tcW w:w="754" w:type="pct"/>
            <w:tcBorders>
              <w:top w:val="single" w:sz="4" w:space="0" w:color="auto"/>
              <w:left w:val="single" w:sz="4" w:space="0" w:color="auto"/>
              <w:right w:val="single" w:sz="4" w:space="0" w:color="auto"/>
            </w:tcBorders>
            <w:shd w:val="clear" w:color="auto" w:fill="auto"/>
            <w:tcMar>
              <w:top w:w="57" w:type="dxa"/>
              <w:bottom w:w="57" w:type="dxa"/>
            </w:tcMar>
            <w:vAlign w:val="center"/>
            <w:hideMark/>
          </w:tcPr>
          <w:p w14:paraId="3DD27C2A" w14:textId="77777777" w:rsidR="00B67EB7" w:rsidRPr="00455504" w:rsidRDefault="00B67EB7" w:rsidP="00B67EB7">
            <w:pPr>
              <w:jc w:val="right"/>
              <w:rPr>
                <w:rFonts w:cs="Arial"/>
                <w:color w:val="000000"/>
                <w:sz w:val="18"/>
                <w:szCs w:val="18"/>
              </w:rPr>
            </w:pPr>
            <w:r w:rsidRPr="00455504">
              <w:rPr>
                <w:rFonts w:cs="Arial"/>
                <w:color w:val="000000"/>
                <w:sz w:val="18"/>
                <w:szCs w:val="18"/>
              </w:rPr>
              <w:t>3.918.469.667</w:t>
            </w:r>
          </w:p>
        </w:tc>
        <w:tc>
          <w:tcPr>
            <w:tcW w:w="754" w:type="pct"/>
            <w:tcBorders>
              <w:top w:val="single" w:sz="4" w:space="0" w:color="auto"/>
              <w:left w:val="single" w:sz="4" w:space="0" w:color="auto"/>
              <w:right w:val="single" w:sz="4" w:space="0" w:color="auto"/>
            </w:tcBorders>
            <w:shd w:val="clear" w:color="auto" w:fill="auto"/>
            <w:tcMar>
              <w:top w:w="57" w:type="dxa"/>
              <w:bottom w:w="57" w:type="dxa"/>
            </w:tcMar>
            <w:vAlign w:val="center"/>
            <w:hideMark/>
          </w:tcPr>
          <w:p w14:paraId="4EF23F2F" w14:textId="77777777" w:rsidR="00B67EB7" w:rsidRPr="00455504" w:rsidRDefault="00B67EB7" w:rsidP="00B67EB7">
            <w:pPr>
              <w:jc w:val="right"/>
              <w:rPr>
                <w:rFonts w:cs="Arial"/>
                <w:color w:val="000000"/>
                <w:sz w:val="18"/>
                <w:szCs w:val="18"/>
              </w:rPr>
            </w:pPr>
            <w:r w:rsidRPr="00455504">
              <w:rPr>
                <w:rFonts w:cs="Arial"/>
                <w:color w:val="000000"/>
                <w:sz w:val="18"/>
                <w:szCs w:val="18"/>
              </w:rPr>
              <w:t>2.519.456.318</w:t>
            </w:r>
          </w:p>
        </w:tc>
        <w:tc>
          <w:tcPr>
            <w:tcW w:w="754" w:type="pct"/>
            <w:tcBorders>
              <w:top w:val="single" w:sz="4" w:space="0" w:color="auto"/>
              <w:left w:val="single" w:sz="4" w:space="0" w:color="auto"/>
              <w:right w:val="single" w:sz="4" w:space="0" w:color="auto"/>
            </w:tcBorders>
            <w:shd w:val="clear" w:color="auto" w:fill="auto"/>
            <w:tcMar>
              <w:top w:w="57" w:type="dxa"/>
              <w:bottom w:w="57" w:type="dxa"/>
            </w:tcMar>
            <w:vAlign w:val="center"/>
            <w:hideMark/>
          </w:tcPr>
          <w:p w14:paraId="3E6EC571" w14:textId="77777777" w:rsidR="00B67EB7" w:rsidRPr="00455504" w:rsidRDefault="00B67EB7" w:rsidP="00B67EB7">
            <w:pPr>
              <w:jc w:val="right"/>
              <w:rPr>
                <w:rFonts w:cs="Arial"/>
                <w:color w:val="000000"/>
                <w:sz w:val="18"/>
                <w:szCs w:val="18"/>
              </w:rPr>
            </w:pPr>
            <w:r w:rsidRPr="00455504">
              <w:rPr>
                <w:rFonts w:cs="Arial"/>
                <w:color w:val="000000"/>
                <w:sz w:val="18"/>
                <w:szCs w:val="18"/>
              </w:rPr>
              <w:t>2.762.523.514</w:t>
            </w:r>
          </w:p>
        </w:tc>
        <w:tc>
          <w:tcPr>
            <w:tcW w:w="754" w:type="pct"/>
            <w:tcBorders>
              <w:top w:val="single" w:sz="4" w:space="0" w:color="auto"/>
              <w:left w:val="single" w:sz="4" w:space="0" w:color="auto"/>
              <w:right w:val="nil"/>
            </w:tcBorders>
            <w:shd w:val="clear" w:color="auto" w:fill="auto"/>
            <w:tcMar>
              <w:top w:w="57" w:type="dxa"/>
              <w:bottom w:w="57" w:type="dxa"/>
            </w:tcMar>
            <w:vAlign w:val="center"/>
            <w:hideMark/>
          </w:tcPr>
          <w:p w14:paraId="3A9951F3" w14:textId="77777777" w:rsidR="00B67EB7" w:rsidRPr="00455504" w:rsidRDefault="00B67EB7" w:rsidP="00B67EB7">
            <w:pPr>
              <w:jc w:val="right"/>
              <w:rPr>
                <w:rFonts w:cs="Arial"/>
                <w:color w:val="000000"/>
                <w:sz w:val="18"/>
                <w:szCs w:val="18"/>
              </w:rPr>
            </w:pPr>
            <w:r w:rsidRPr="00455504">
              <w:rPr>
                <w:rFonts w:cs="Arial"/>
                <w:color w:val="000000"/>
                <w:sz w:val="18"/>
                <w:szCs w:val="18"/>
              </w:rPr>
              <w:t>2.981.708.799</w:t>
            </w:r>
          </w:p>
        </w:tc>
      </w:tr>
      <w:tr w:rsidR="00B67EB7" w:rsidRPr="00455504" w14:paraId="5BF008C3" w14:textId="77777777" w:rsidTr="00147893">
        <w:trPr>
          <w:trHeight w:val="284"/>
        </w:trPr>
        <w:tc>
          <w:tcPr>
            <w:tcW w:w="1228" w:type="pct"/>
            <w:gridSpan w:val="2"/>
            <w:tcBorders>
              <w:top w:val="nil"/>
              <w:left w:val="nil"/>
              <w:right w:val="single" w:sz="4" w:space="0" w:color="auto"/>
            </w:tcBorders>
            <w:shd w:val="clear" w:color="auto" w:fill="auto"/>
            <w:tcMar>
              <w:top w:w="57" w:type="dxa"/>
              <w:bottom w:w="57" w:type="dxa"/>
            </w:tcMar>
            <w:vAlign w:val="center"/>
            <w:hideMark/>
          </w:tcPr>
          <w:p w14:paraId="6B8D9C7A" w14:textId="34808463" w:rsidR="00B67EB7" w:rsidRPr="00083A7E" w:rsidRDefault="00B67EB7" w:rsidP="005E7D5F">
            <w:pPr>
              <w:ind w:left="75"/>
              <w:rPr>
                <w:rFonts w:cs="Arial"/>
                <w:color w:val="000000"/>
                <w:sz w:val="16"/>
                <w:szCs w:val="18"/>
              </w:rPr>
            </w:pPr>
            <w:r w:rsidRPr="00083A7E">
              <w:rPr>
                <w:rFonts w:cs="Arial"/>
                <w:color w:val="000000"/>
                <w:sz w:val="16"/>
                <w:szCs w:val="18"/>
              </w:rPr>
              <w:t>Aportes para o Sistema de Proteção Militar</w:t>
            </w:r>
          </w:p>
        </w:tc>
        <w:tc>
          <w:tcPr>
            <w:tcW w:w="754" w:type="pct"/>
            <w:tcBorders>
              <w:top w:val="nil"/>
              <w:left w:val="single" w:sz="4" w:space="0" w:color="auto"/>
              <w:right w:val="single" w:sz="4" w:space="0" w:color="auto"/>
            </w:tcBorders>
            <w:shd w:val="clear" w:color="auto" w:fill="auto"/>
            <w:tcMar>
              <w:top w:w="57" w:type="dxa"/>
              <w:bottom w:w="57" w:type="dxa"/>
            </w:tcMar>
            <w:vAlign w:val="center"/>
            <w:hideMark/>
          </w:tcPr>
          <w:p w14:paraId="32B8E790" w14:textId="77777777" w:rsidR="00B67EB7" w:rsidRPr="00455504" w:rsidRDefault="00B67EB7" w:rsidP="00B67EB7">
            <w:pPr>
              <w:jc w:val="right"/>
              <w:rPr>
                <w:rFonts w:cs="Arial"/>
                <w:color w:val="000000"/>
                <w:sz w:val="18"/>
                <w:szCs w:val="18"/>
              </w:rPr>
            </w:pPr>
            <w:r w:rsidRPr="00455504">
              <w:rPr>
                <w:rFonts w:cs="Arial"/>
                <w:color w:val="000000"/>
                <w:sz w:val="18"/>
                <w:szCs w:val="18"/>
              </w:rPr>
              <w:t>-</w:t>
            </w:r>
          </w:p>
        </w:tc>
        <w:tc>
          <w:tcPr>
            <w:tcW w:w="754" w:type="pct"/>
            <w:tcBorders>
              <w:top w:val="nil"/>
              <w:left w:val="single" w:sz="4" w:space="0" w:color="auto"/>
              <w:right w:val="single" w:sz="4" w:space="0" w:color="auto"/>
            </w:tcBorders>
            <w:shd w:val="clear" w:color="auto" w:fill="auto"/>
            <w:tcMar>
              <w:top w:w="57" w:type="dxa"/>
              <w:bottom w:w="57" w:type="dxa"/>
            </w:tcMar>
            <w:vAlign w:val="center"/>
            <w:hideMark/>
          </w:tcPr>
          <w:p w14:paraId="7A9840DF" w14:textId="77777777" w:rsidR="00B67EB7" w:rsidRPr="00455504" w:rsidRDefault="00B67EB7" w:rsidP="00B67EB7">
            <w:pPr>
              <w:jc w:val="right"/>
              <w:rPr>
                <w:rFonts w:cs="Arial"/>
                <w:color w:val="000000"/>
                <w:sz w:val="18"/>
                <w:szCs w:val="18"/>
              </w:rPr>
            </w:pPr>
            <w:r w:rsidRPr="00455504">
              <w:rPr>
                <w:rFonts w:cs="Arial"/>
                <w:color w:val="000000"/>
                <w:sz w:val="18"/>
                <w:szCs w:val="18"/>
              </w:rPr>
              <w:t>-</w:t>
            </w:r>
          </w:p>
        </w:tc>
        <w:tc>
          <w:tcPr>
            <w:tcW w:w="754" w:type="pct"/>
            <w:tcBorders>
              <w:top w:val="nil"/>
              <w:left w:val="single" w:sz="4" w:space="0" w:color="auto"/>
              <w:right w:val="single" w:sz="4" w:space="0" w:color="auto"/>
            </w:tcBorders>
            <w:shd w:val="clear" w:color="auto" w:fill="auto"/>
            <w:tcMar>
              <w:top w:w="57" w:type="dxa"/>
              <w:bottom w:w="57" w:type="dxa"/>
            </w:tcMar>
            <w:vAlign w:val="center"/>
            <w:hideMark/>
          </w:tcPr>
          <w:p w14:paraId="3DFDA8BE" w14:textId="77777777" w:rsidR="00B67EB7" w:rsidRPr="00455504" w:rsidRDefault="00B67EB7" w:rsidP="00B67EB7">
            <w:pPr>
              <w:jc w:val="right"/>
              <w:rPr>
                <w:rFonts w:cs="Arial"/>
                <w:color w:val="000000"/>
                <w:sz w:val="18"/>
                <w:szCs w:val="18"/>
              </w:rPr>
            </w:pPr>
            <w:r w:rsidRPr="00455504">
              <w:rPr>
                <w:rFonts w:cs="Arial"/>
                <w:color w:val="000000"/>
                <w:sz w:val="18"/>
                <w:szCs w:val="18"/>
              </w:rPr>
              <w:t>-</w:t>
            </w:r>
          </w:p>
        </w:tc>
        <w:tc>
          <w:tcPr>
            <w:tcW w:w="754" w:type="pct"/>
            <w:tcBorders>
              <w:top w:val="nil"/>
              <w:left w:val="single" w:sz="4" w:space="0" w:color="auto"/>
              <w:right w:val="single" w:sz="4" w:space="0" w:color="auto"/>
            </w:tcBorders>
            <w:shd w:val="clear" w:color="auto" w:fill="auto"/>
            <w:tcMar>
              <w:top w:w="57" w:type="dxa"/>
              <w:bottom w:w="57" w:type="dxa"/>
            </w:tcMar>
            <w:vAlign w:val="center"/>
            <w:hideMark/>
          </w:tcPr>
          <w:p w14:paraId="473F5312" w14:textId="77777777" w:rsidR="00B67EB7" w:rsidRPr="00455504" w:rsidRDefault="00B67EB7" w:rsidP="00B67EB7">
            <w:pPr>
              <w:jc w:val="right"/>
              <w:rPr>
                <w:rFonts w:cs="Arial"/>
                <w:color w:val="000000"/>
                <w:sz w:val="18"/>
                <w:szCs w:val="18"/>
              </w:rPr>
            </w:pPr>
            <w:r w:rsidRPr="00455504">
              <w:rPr>
                <w:rFonts w:cs="Arial"/>
                <w:color w:val="000000"/>
                <w:sz w:val="18"/>
                <w:szCs w:val="18"/>
              </w:rPr>
              <w:t>1.537.601.078</w:t>
            </w:r>
          </w:p>
        </w:tc>
        <w:tc>
          <w:tcPr>
            <w:tcW w:w="754" w:type="pct"/>
            <w:tcBorders>
              <w:top w:val="nil"/>
              <w:left w:val="single" w:sz="4" w:space="0" w:color="auto"/>
              <w:right w:val="nil"/>
            </w:tcBorders>
            <w:shd w:val="clear" w:color="auto" w:fill="auto"/>
            <w:tcMar>
              <w:top w:w="57" w:type="dxa"/>
              <w:bottom w:w="57" w:type="dxa"/>
            </w:tcMar>
            <w:vAlign w:val="center"/>
            <w:hideMark/>
          </w:tcPr>
          <w:p w14:paraId="6362AF68" w14:textId="77777777" w:rsidR="00B67EB7" w:rsidRPr="00455504" w:rsidRDefault="00B67EB7" w:rsidP="00B67EB7">
            <w:pPr>
              <w:jc w:val="right"/>
              <w:rPr>
                <w:rFonts w:cs="Arial"/>
                <w:color w:val="000000"/>
                <w:sz w:val="18"/>
                <w:szCs w:val="18"/>
              </w:rPr>
            </w:pPr>
            <w:r w:rsidRPr="00455504">
              <w:rPr>
                <w:rFonts w:cs="Arial"/>
                <w:color w:val="000000"/>
                <w:sz w:val="18"/>
                <w:szCs w:val="18"/>
              </w:rPr>
              <w:t>1.590.588.528</w:t>
            </w:r>
          </w:p>
        </w:tc>
      </w:tr>
      <w:tr w:rsidR="00B67EB7" w:rsidRPr="00455504" w14:paraId="46F4D925" w14:textId="77777777" w:rsidTr="00147893">
        <w:trPr>
          <w:trHeight w:val="284"/>
        </w:trPr>
        <w:tc>
          <w:tcPr>
            <w:tcW w:w="1228" w:type="pct"/>
            <w:gridSpan w:val="2"/>
            <w:tcBorders>
              <w:top w:val="nil"/>
              <w:left w:val="nil"/>
              <w:bottom w:val="single" w:sz="4" w:space="0" w:color="auto"/>
              <w:right w:val="single" w:sz="4" w:space="0" w:color="auto"/>
            </w:tcBorders>
            <w:shd w:val="clear" w:color="auto" w:fill="auto"/>
            <w:tcMar>
              <w:top w:w="57" w:type="dxa"/>
              <w:bottom w:w="57" w:type="dxa"/>
            </w:tcMar>
            <w:vAlign w:val="center"/>
            <w:hideMark/>
          </w:tcPr>
          <w:p w14:paraId="228D14D5" w14:textId="3600A259" w:rsidR="00B67EB7" w:rsidRPr="00083A7E" w:rsidRDefault="00B67EB7" w:rsidP="005E7D5F">
            <w:pPr>
              <w:ind w:left="75"/>
              <w:rPr>
                <w:rFonts w:cs="Arial"/>
                <w:color w:val="000000"/>
                <w:sz w:val="16"/>
                <w:szCs w:val="18"/>
              </w:rPr>
            </w:pPr>
            <w:r w:rsidRPr="00083A7E">
              <w:rPr>
                <w:rFonts w:cs="Arial"/>
                <w:color w:val="000000"/>
                <w:sz w:val="16"/>
                <w:szCs w:val="18"/>
              </w:rPr>
              <w:t>Outros Aportes para o RPPS (Outros Poderes e Órgãos Autônomos</w:t>
            </w:r>
          </w:p>
        </w:tc>
        <w:tc>
          <w:tcPr>
            <w:tcW w:w="754" w:type="pct"/>
            <w:tcBorders>
              <w:top w:val="nil"/>
              <w:left w:val="single" w:sz="4" w:space="0" w:color="auto"/>
              <w:bottom w:val="single" w:sz="4" w:space="0" w:color="auto"/>
              <w:right w:val="single" w:sz="4" w:space="0" w:color="auto"/>
            </w:tcBorders>
            <w:shd w:val="clear" w:color="auto" w:fill="auto"/>
            <w:tcMar>
              <w:top w:w="57" w:type="dxa"/>
              <w:bottom w:w="57" w:type="dxa"/>
            </w:tcMar>
            <w:vAlign w:val="center"/>
            <w:hideMark/>
          </w:tcPr>
          <w:p w14:paraId="1964E9C0" w14:textId="77777777" w:rsidR="00B67EB7" w:rsidRPr="00455504" w:rsidRDefault="00B67EB7" w:rsidP="00B67EB7">
            <w:pPr>
              <w:jc w:val="right"/>
              <w:rPr>
                <w:rFonts w:cs="Arial"/>
                <w:color w:val="000000"/>
                <w:sz w:val="18"/>
                <w:szCs w:val="18"/>
              </w:rPr>
            </w:pPr>
            <w:r w:rsidRPr="00455504">
              <w:rPr>
                <w:rFonts w:cs="Arial"/>
                <w:color w:val="000000"/>
                <w:sz w:val="18"/>
                <w:szCs w:val="18"/>
              </w:rPr>
              <w:t>218.040.955</w:t>
            </w:r>
          </w:p>
        </w:tc>
        <w:tc>
          <w:tcPr>
            <w:tcW w:w="754" w:type="pct"/>
            <w:tcBorders>
              <w:top w:val="nil"/>
              <w:left w:val="single" w:sz="4" w:space="0" w:color="auto"/>
              <w:bottom w:val="single" w:sz="4" w:space="0" w:color="auto"/>
              <w:right w:val="single" w:sz="4" w:space="0" w:color="auto"/>
            </w:tcBorders>
            <w:shd w:val="clear" w:color="auto" w:fill="auto"/>
            <w:tcMar>
              <w:top w:w="57" w:type="dxa"/>
              <w:bottom w:w="57" w:type="dxa"/>
            </w:tcMar>
            <w:vAlign w:val="center"/>
            <w:hideMark/>
          </w:tcPr>
          <w:p w14:paraId="4F683155" w14:textId="77777777" w:rsidR="00B67EB7" w:rsidRPr="00455504" w:rsidRDefault="00B67EB7" w:rsidP="00B67EB7">
            <w:pPr>
              <w:jc w:val="right"/>
              <w:rPr>
                <w:rFonts w:cs="Arial"/>
                <w:color w:val="000000"/>
                <w:sz w:val="18"/>
                <w:szCs w:val="18"/>
              </w:rPr>
            </w:pPr>
            <w:r w:rsidRPr="00455504">
              <w:rPr>
                <w:rFonts w:cs="Arial"/>
                <w:color w:val="000000"/>
                <w:sz w:val="18"/>
                <w:szCs w:val="18"/>
              </w:rPr>
              <w:t>282.363.484</w:t>
            </w:r>
          </w:p>
        </w:tc>
        <w:tc>
          <w:tcPr>
            <w:tcW w:w="754" w:type="pct"/>
            <w:tcBorders>
              <w:top w:val="nil"/>
              <w:left w:val="single" w:sz="4" w:space="0" w:color="auto"/>
              <w:bottom w:val="single" w:sz="4" w:space="0" w:color="auto"/>
              <w:right w:val="single" w:sz="4" w:space="0" w:color="auto"/>
            </w:tcBorders>
            <w:shd w:val="clear" w:color="auto" w:fill="auto"/>
            <w:tcMar>
              <w:top w:w="57" w:type="dxa"/>
              <w:bottom w:w="57" w:type="dxa"/>
            </w:tcMar>
            <w:vAlign w:val="center"/>
            <w:hideMark/>
          </w:tcPr>
          <w:p w14:paraId="6B3967C3" w14:textId="77777777" w:rsidR="00B67EB7" w:rsidRPr="00455504" w:rsidRDefault="00B67EB7" w:rsidP="00B67EB7">
            <w:pPr>
              <w:jc w:val="right"/>
              <w:rPr>
                <w:rFonts w:cs="Arial"/>
                <w:color w:val="000000"/>
                <w:sz w:val="18"/>
                <w:szCs w:val="18"/>
              </w:rPr>
            </w:pPr>
            <w:r w:rsidRPr="00455504">
              <w:rPr>
                <w:rFonts w:cs="Arial"/>
                <w:color w:val="000000"/>
                <w:sz w:val="18"/>
                <w:szCs w:val="18"/>
              </w:rPr>
              <w:t>331.912.998</w:t>
            </w:r>
          </w:p>
        </w:tc>
        <w:tc>
          <w:tcPr>
            <w:tcW w:w="754" w:type="pct"/>
            <w:tcBorders>
              <w:top w:val="nil"/>
              <w:left w:val="single" w:sz="4" w:space="0" w:color="auto"/>
              <w:bottom w:val="single" w:sz="4" w:space="0" w:color="auto"/>
              <w:right w:val="single" w:sz="4" w:space="0" w:color="auto"/>
            </w:tcBorders>
            <w:shd w:val="clear" w:color="auto" w:fill="auto"/>
            <w:tcMar>
              <w:top w:w="57" w:type="dxa"/>
              <w:bottom w:w="57" w:type="dxa"/>
            </w:tcMar>
            <w:vAlign w:val="center"/>
            <w:hideMark/>
          </w:tcPr>
          <w:p w14:paraId="144E9489" w14:textId="77777777" w:rsidR="00B67EB7" w:rsidRPr="00455504" w:rsidRDefault="00B67EB7" w:rsidP="00B67EB7">
            <w:pPr>
              <w:jc w:val="right"/>
              <w:rPr>
                <w:rFonts w:cs="Arial"/>
                <w:color w:val="000000"/>
                <w:sz w:val="18"/>
                <w:szCs w:val="18"/>
              </w:rPr>
            </w:pPr>
            <w:r w:rsidRPr="00455504">
              <w:rPr>
                <w:rFonts w:cs="Arial"/>
                <w:color w:val="000000"/>
                <w:sz w:val="18"/>
                <w:szCs w:val="18"/>
              </w:rPr>
              <w:t>319.415.088</w:t>
            </w:r>
          </w:p>
        </w:tc>
        <w:tc>
          <w:tcPr>
            <w:tcW w:w="754" w:type="pct"/>
            <w:tcBorders>
              <w:top w:val="nil"/>
              <w:left w:val="single" w:sz="4" w:space="0" w:color="auto"/>
              <w:bottom w:val="single" w:sz="4" w:space="0" w:color="auto"/>
              <w:right w:val="nil"/>
            </w:tcBorders>
            <w:shd w:val="clear" w:color="auto" w:fill="auto"/>
            <w:tcMar>
              <w:top w:w="57" w:type="dxa"/>
              <w:bottom w:w="57" w:type="dxa"/>
            </w:tcMar>
            <w:vAlign w:val="center"/>
            <w:hideMark/>
          </w:tcPr>
          <w:p w14:paraId="25A50671" w14:textId="77777777" w:rsidR="00B67EB7" w:rsidRPr="00455504" w:rsidRDefault="00B67EB7" w:rsidP="00B67EB7">
            <w:pPr>
              <w:jc w:val="right"/>
              <w:rPr>
                <w:rFonts w:cs="Arial"/>
                <w:color w:val="000000"/>
                <w:sz w:val="18"/>
                <w:szCs w:val="18"/>
              </w:rPr>
            </w:pPr>
            <w:r w:rsidRPr="00455504">
              <w:rPr>
                <w:rFonts w:cs="Arial"/>
                <w:color w:val="000000"/>
                <w:sz w:val="18"/>
                <w:szCs w:val="18"/>
              </w:rPr>
              <w:t>323.057.339</w:t>
            </w:r>
          </w:p>
        </w:tc>
      </w:tr>
      <w:tr w:rsidR="00083A7E" w:rsidRPr="00455504" w14:paraId="04A83B82" w14:textId="77777777" w:rsidTr="00147893">
        <w:trPr>
          <w:trHeight w:val="284"/>
        </w:trPr>
        <w:tc>
          <w:tcPr>
            <w:tcW w:w="1228" w:type="pct"/>
            <w:gridSpan w:val="2"/>
            <w:tcBorders>
              <w:top w:val="single" w:sz="4" w:space="0" w:color="auto"/>
              <w:left w:val="nil"/>
              <w:bottom w:val="single" w:sz="4" w:space="0" w:color="auto"/>
              <w:right w:val="single" w:sz="4" w:space="0" w:color="auto"/>
            </w:tcBorders>
            <w:shd w:val="clear" w:color="auto" w:fill="auto"/>
            <w:vAlign w:val="center"/>
            <w:hideMark/>
          </w:tcPr>
          <w:p w14:paraId="7CE13CB7" w14:textId="6D90DE3D" w:rsidR="00083A7E" w:rsidRPr="00455504" w:rsidRDefault="00083A7E" w:rsidP="00083A7E">
            <w:pPr>
              <w:jc w:val="center"/>
              <w:rPr>
                <w:rFonts w:cs="Arial"/>
                <w:b/>
                <w:bCs/>
                <w:color w:val="000000"/>
                <w:sz w:val="18"/>
                <w:szCs w:val="18"/>
              </w:rPr>
            </w:pPr>
            <w:r w:rsidRPr="00455504">
              <w:rPr>
                <w:rFonts w:cs="Arial"/>
                <w:b/>
                <w:bCs/>
                <w:color w:val="000000"/>
                <w:sz w:val="18"/>
                <w:szCs w:val="18"/>
              </w:rPr>
              <w:t>Total dos Aportes para o RPPS</w:t>
            </w:r>
            <w:r>
              <w:rPr>
                <w:rFonts w:cs="Arial"/>
                <w:b/>
                <w:bCs/>
                <w:color w:val="000000"/>
                <w:sz w:val="18"/>
                <w:szCs w:val="18"/>
              </w:rPr>
              <w:t xml:space="preserve"> (IV)</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E344E5" w14:textId="77777777" w:rsidR="00083A7E" w:rsidRPr="00455504" w:rsidRDefault="00083A7E" w:rsidP="00F52F5F">
            <w:pPr>
              <w:jc w:val="right"/>
              <w:rPr>
                <w:rFonts w:cs="Arial"/>
                <w:b/>
                <w:bCs/>
                <w:color w:val="000000"/>
                <w:sz w:val="18"/>
                <w:szCs w:val="18"/>
              </w:rPr>
            </w:pPr>
            <w:r w:rsidRPr="00455504">
              <w:rPr>
                <w:rFonts w:cs="Arial"/>
                <w:b/>
                <w:bCs/>
                <w:color w:val="000000"/>
                <w:sz w:val="18"/>
                <w:szCs w:val="18"/>
              </w:rPr>
              <w:t>3.926.640.488</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D6EE52" w14:textId="77777777" w:rsidR="00083A7E" w:rsidRPr="00455504" w:rsidRDefault="00083A7E" w:rsidP="00F52F5F">
            <w:pPr>
              <w:jc w:val="right"/>
              <w:rPr>
                <w:rFonts w:cs="Arial"/>
                <w:b/>
                <w:bCs/>
                <w:color w:val="000000"/>
                <w:sz w:val="18"/>
                <w:szCs w:val="18"/>
              </w:rPr>
            </w:pPr>
            <w:r w:rsidRPr="00455504">
              <w:rPr>
                <w:rFonts w:cs="Arial"/>
                <w:b/>
                <w:bCs/>
                <w:color w:val="000000"/>
                <w:sz w:val="18"/>
                <w:szCs w:val="18"/>
              </w:rPr>
              <w:t>4.200.833.151</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816D33" w14:textId="77777777" w:rsidR="00083A7E" w:rsidRPr="00455504" w:rsidRDefault="00083A7E" w:rsidP="00F52F5F">
            <w:pPr>
              <w:jc w:val="right"/>
              <w:rPr>
                <w:rFonts w:cs="Arial"/>
                <w:b/>
                <w:bCs/>
                <w:color w:val="000000"/>
                <w:sz w:val="18"/>
                <w:szCs w:val="18"/>
              </w:rPr>
            </w:pPr>
            <w:r w:rsidRPr="00455504">
              <w:rPr>
                <w:rFonts w:cs="Arial"/>
                <w:b/>
                <w:bCs/>
                <w:color w:val="000000"/>
                <w:sz w:val="18"/>
                <w:szCs w:val="18"/>
              </w:rPr>
              <w:t>2.851.369.315</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46F3DA" w14:textId="77777777" w:rsidR="00083A7E" w:rsidRPr="00455504" w:rsidRDefault="00083A7E" w:rsidP="00F52F5F">
            <w:pPr>
              <w:jc w:val="right"/>
              <w:rPr>
                <w:rFonts w:cs="Arial"/>
                <w:b/>
                <w:bCs/>
                <w:color w:val="000000"/>
                <w:sz w:val="18"/>
                <w:szCs w:val="18"/>
              </w:rPr>
            </w:pPr>
            <w:r w:rsidRPr="00455504">
              <w:rPr>
                <w:rFonts w:cs="Arial"/>
                <w:b/>
                <w:bCs/>
                <w:color w:val="000000"/>
                <w:sz w:val="18"/>
                <w:szCs w:val="18"/>
              </w:rPr>
              <w:t>4.619.539.681</w:t>
            </w:r>
          </w:p>
        </w:tc>
        <w:tc>
          <w:tcPr>
            <w:tcW w:w="754" w:type="pct"/>
            <w:tcBorders>
              <w:top w:val="single" w:sz="4" w:space="0" w:color="auto"/>
              <w:left w:val="single" w:sz="4" w:space="0" w:color="auto"/>
              <w:bottom w:val="single" w:sz="4" w:space="0" w:color="auto"/>
              <w:right w:val="nil"/>
            </w:tcBorders>
            <w:shd w:val="clear" w:color="auto" w:fill="auto"/>
            <w:vAlign w:val="center"/>
            <w:hideMark/>
          </w:tcPr>
          <w:p w14:paraId="7105C01E" w14:textId="77777777" w:rsidR="00083A7E" w:rsidRPr="00455504" w:rsidRDefault="00083A7E" w:rsidP="00F52F5F">
            <w:pPr>
              <w:jc w:val="right"/>
              <w:rPr>
                <w:rFonts w:cs="Arial"/>
                <w:b/>
                <w:bCs/>
                <w:color w:val="000000"/>
                <w:sz w:val="18"/>
                <w:szCs w:val="18"/>
              </w:rPr>
            </w:pPr>
            <w:r w:rsidRPr="00455504">
              <w:rPr>
                <w:rFonts w:cs="Arial"/>
                <w:b/>
                <w:bCs/>
                <w:color w:val="000000"/>
                <w:sz w:val="18"/>
                <w:szCs w:val="18"/>
              </w:rPr>
              <w:t>4.895.354.666</w:t>
            </w:r>
          </w:p>
        </w:tc>
      </w:tr>
      <w:tr w:rsidR="00B67EB7" w:rsidRPr="00455504" w14:paraId="52E99FA3" w14:textId="77777777" w:rsidTr="00147893">
        <w:trPr>
          <w:trHeight w:val="284"/>
        </w:trPr>
        <w:tc>
          <w:tcPr>
            <w:tcW w:w="1228" w:type="pct"/>
            <w:gridSpan w:val="2"/>
            <w:tcBorders>
              <w:top w:val="single" w:sz="4" w:space="0" w:color="auto"/>
              <w:left w:val="nil"/>
              <w:bottom w:val="single" w:sz="4" w:space="0" w:color="auto"/>
              <w:right w:val="nil"/>
            </w:tcBorders>
            <w:shd w:val="clear" w:color="000000" w:fill="FFFFFF"/>
            <w:vAlign w:val="center"/>
            <w:hideMark/>
          </w:tcPr>
          <w:p w14:paraId="3A3B2DD8" w14:textId="77777777" w:rsidR="00B67EB7" w:rsidRPr="00455504" w:rsidRDefault="00B67EB7" w:rsidP="00B67EB7">
            <w:pPr>
              <w:rPr>
                <w:rFonts w:cs="Arial"/>
                <w:color w:val="000000"/>
                <w:sz w:val="18"/>
                <w:szCs w:val="18"/>
              </w:rPr>
            </w:pPr>
            <w:r w:rsidRPr="00455504">
              <w:rPr>
                <w:rFonts w:cs="Arial"/>
                <w:color w:val="000000"/>
                <w:sz w:val="18"/>
                <w:szCs w:val="18"/>
              </w:rPr>
              <w:t> </w:t>
            </w:r>
          </w:p>
        </w:tc>
        <w:tc>
          <w:tcPr>
            <w:tcW w:w="754" w:type="pct"/>
            <w:tcBorders>
              <w:top w:val="single" w:sz="4" w:space="0" w:color="auto"/>
              <w:left w:val="nil"/>
              <w:bottom w:val="single" w:sz="4" w:space="0" w:color="auto"/>
              <w:right w:val="nil"/>
            </w:tcBorders>
            <w:shd w:val="clear" w:color="000000" w:fill="FFFFFF"/>
            <w:vAlign w:val="center"/>
            <w:hideMark/>
          </w:tcPr>
          <w:p w14:paraId="0B5A834D" w14:textId="77777777" w:rsidR="00B67EB7" w:rsidRPr="00455504" w:rsidRDefault="00B67EB7" w:rsidP="00B67EB7">
            <w:pPr>
              <w:rPr>
                <w:rFonts w:cs="Arial"/>
                <w:color w:val="000000"/>
                <w:sz w:val="18"/>
                <w:szCs w:val="18"/>
              </w:rPr>
            </w:pPr>
            <w:r w:rsidRPr="00455504">
              <w:rPr>
                <w:rFonts w:cs="Arial"/>
                <w:color w:val="000000"/>
                <w:sz w:val="18"/>
                <w:szCs w:val="18"/>
              </w:rPr>
              <w:t> </w:t>
            </w:r>
          </w:p>
        </w:tc>
        <w:tc>
          <w:tcPr>
            <w:tcW w:w="754" w:type="pct"/>
            <w:tcBorders>
              <w:top w:val="single" w:sz="4" w:space="0" w:color="auto"/>
              <w:left w:val="nil"/>
              <w:bottom w:val="single" w:sz="4" w:space="0" w:color="auto"/>
              <w:right w:val="nil"/>
            </w:tcBorders>
            <w:shd w:val="clear" w:color="000000" w:fill="FFFFFF"/>
            <w:vAlign w:val="center"/>
            <w:hideMark/>
          </w:tcPr>
          <w:p w14:paraId="2A6BCD8E" w14:textId="77777777" w:rsidR="00B67EB7" w:rsidRPr="00455504" w:rsidRDefault="00B67EB7" w:rsidP="00B67EB7">
            <w:pPr>
              <w:rPr>
                <w:rFonts w:cs="Arial"/>
                <w:color w:val="000000"/>
                <w:sz w:val="18"/>
                <w:szCs w:val="18"/>
              </w:rPr>
            </w:pPr>
            <w:r w:rsidRPr="00455504">
              <w:rPr>
                <w:rFonts w:cs="Arial"/>
                <w:color w:val="000000"/>
                <w:sz w:val="18"/>
                <w:szCs w:val="18"/>
              </w:rPr>
              <w:t> </w:t>
            </w:r>
          </w:p>
        </w:tc>
        <w:tc>
          <w:tcPr>
            <w:tcW w:w="754" w:type="pct"/>
            <w:tcBorders>
              <w:top w:val="single" w:sz="4" w:space="0" w:color="auto"/>
              <w:left w:val="nil"/>
              <w:bottom w:val="single" w:sz="4" w:space="0" w:color="auto"/>
              <w:right w:val="nil"/>
            </w:tcBorders>
            <w:shd w:val="clear" w:color="000000" w:fill="FFFFFF"/>
            <w:vAlign w:val="center"/>
            <w:hideMark/>
          </w:tcPr>
          <w:p w14:paraId="04B99D5A" w14:textId="77777777" w:rsidR="00B67EB7" w:rsidRPr="00455504" w:rsidRDefault="00B67EB7" w:rsidP="00B67EB7">
            <w:pPr>
              <w:rPr>
                <w:rFonts w:cs="Arial"/>
                <w:color w:val="000000"/>
                <w:sz w:val="18"/>
                <w:szCs w:val="18"/>
              </w:rPr>
            </w:pPr>
            <w:r w:rsidRPr="00455504">
              <w:rPr>
                <w:rFonts w:cs="Arial"/>
                <w:color w:val="000000"/>
                <w:sz w:val="18"/>
                <w:szCs w:val="18"/>
              </w:rPr>
              <w:t> </w:t>
            </w:r>
          </w:p>
        </w:tc>
        <w:tc>
          <w:tcPr>
            <w:tcW w:w="754" w:type="pct"/>
            <w:tcBorders>
              <w:top w:val="single" w:sz="4" w:space="0" w:color="auto"/>
              <w:left w:val="nil"/>
              <w:bottom w:val="single" w:sz="4" w:space="0" w:color="auto"/>
              <w:right w:val="nil"/>
            </w:tcBorders>
            <w:shd w:val="clear" w:color="000000" w:fill="FFFFFF"/>
            <w:vAlign w:val="center"/>
            <w:hideMark/>
          </w:tcPr>
          <w:p w14:paraId="5FD63439" w14:textId="77777777" w:rsidR="00B67EB7" w:rsidRPr="00455504" w:rsidRDefault="00B67EB7" w:rsidP="00B67EB7">
            <w:pPr>
              <w:rPr>
                <w:rFonts w:cs="Arial"/>
                <w:color w:val="000000"/>
                <w:sz w:val="18"/>
                <w:szCs w:val="18"/>
              </w:rPr>
            </w:pPr>
            <w:r w:rsidRPr="00455504">
              <w:rPr>
                <w:rFonts w:cs="Arial"/>
                <w:color w:val="000000"/>
                <w:sz w:val="18"/>
                <w:szCs w:val="18"/>
              </w:rPr>
              <w:t> </w:t>
            </w:r>
          </w:p>
        </w:tc>
        <w:tc>
          <w:tcPr>
            <w:tcW w:w="754" w:type="pct"/>
            <w:tcBorders>
              <w:top w:val="single" w:sz="4" w:space="0" w:color="auto"/>
              <w:left w:val="nil"/>
              <w:bottom w:val="single" w:sz="4" w:space="0" w:color="auto"/>
              <w:right w:val="nil"/>
            </w:tcBorders>
            <w:shd w:val="clear" w:color="000000" w:fill="FFFFFF"/>
            <w:vAlign w:val="center"/>
            <w:hideMark/>
          </w:tcPr>
          <w:p w14:paraId="379E6731" w14:textId="77777777" w:rsidR="00B67EB7" w:rsidRPr="00455504" w:rsidRDefault="00B67EB7" w:rsidP="00B67EB7">
            <w:pPr>
              <w:rPr>
                <w:rFonts w:cs="Arial"/>
                <w:color w:val="000000"/>
                <w:sz w:val="18"/>
                <w:szCs w:val="18"/>
              </w:rPr>
            </w:pPr>
            <w:r w:rsidRPr="00455504">
              <w:rPr>
                <w:rFonts w:cs="Arial"/>
                <w:color w:val="000000"/>
                <w:sz w:val="18"/>
                <w:szCs w:val="18"/>
              </w:rPr>
              <w:t> </w:t>
            </w:r>
          </w:p>
        </w:tc>
      </w:tr>
      <w:tr w:rsidR="00B67EB7" w:rsidRPr="00455504" w14:paraId="0EE3A7C9" w14:textId="77777777" w:rsidTr="00147893">
        <w:trPr>
          <w:trHeight w:val="284"/>
        </w:trPr>
        <w:tc>
          <w:tcPr>
            <w:tcW w:w="1228" w:type="pct"/>
            <w:gridSpan w:val="2"/>
            <w:tcBorders>
              <w:top w:val="single" w:sz="4" w:space="0" w:color="auto"/>
              <w:left w:val="nil"/>
              <w:bottom w:val="single" w:sz="4" w:space="0" w:color="auto"/>
              <w:right w:val="single" w:sz="4" w:space="0" w:color="auto"/>
            </w:tcBorders>
            <w:shd w:val="clear" w:color="auto" w:fill="A1F2FD"/>
            <w:vAlign w:val="center"/>
            <w:hideMark/>
          </w:tcPr>
          <w:p w14:paraId="5640895A" w14:textId="2B0DBFCD" w:rsidR="00B67EB7" w:rsidRDefault="00B67EB7" w:rsidP="00867735">
            <w:pPr>
              <w:jc w:val="center"/>
              <w:rPr>
                <w:rFonts w:cs="Arial"/>
                <w:b/>
                <w:bCs/>
                <w:color w:val="000000"/>
                <w:sz w:val="18"/>
                <w:szCs w:val="18"/>
              </w:rPr>
            </w:pPr>
            <w:r w:rsidRPr="00455504">
              <w:rPr>
                <w:rFonts w:cs="Arial"/>
                <w:b/>
                <w:bCs/>
                <w:color w:val="000000"/>
                <w:sz w:val="18"/>
                <w:szCs w:val="18"/>
              </w:rPr>
              <w:t>Resultado Após Aporte do Tesouro</w:t>
            </w:r>
          </w:p>
          <w:p w14:paraId="679E0C13" w14:textId="5A55A95E" w:rsidR="00083A7E" w:rsidRPr="00455504" w:rsidRDefault="00083A7E" w:rsidP="00867735">
            <w:pPr>
              <w:jc w:val="center"/>
              <w:rPr>
                <w:rFonts w:cs="Arial"/>
                <w:b/>
                <w:bCs/>
                <w:color w:val="000000"/>
                <w:sz w:val="18"/>
                <w:szCs w:val="18"/>
              </w:rPr>
            </w:pPr>
            <w:r>
              <w:rPr>
                <w:rFonts w:cs="Arial"/>
                <w:b/>
                <w:bCs/>
                <w:color w:val="000000"/>
                <w:sz w:val="18"/>
                <w:szCs w:val="18"/>
              </w:rPr>
              <w:t>(VI) = (III + IV)</w:t>
            </w:r>
          </w:p>
        </w:tc>
        <w:tc>
          <w:tcPr>
            <w:tcW w:w="754" w:type="pct"/>
            <w:tcBorders>
              <w:top w:val="single" w:sz="4" w:space="0" w:color="auto"/>
              <w:left w:val="single" w:sz="4" w:space="0" w:color="auto"/>
              <w:bottom w:val="single" w:sz="4" w:space="0" w:color="auto"/>
              <w:right w:val="single" w:sz="4" w:space="0" w:color="auto"/>
            </w:tcBorders>
            <w:shd w:val="clear" w:color="auto" w:fill="A1F2FD"/>
            <w:vAlign w:val="center"/>
            <w:hideMark/>
          </w:tcPr>
          <w:p w14:paraId="35422944"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989.038.879</w:t>
            </w:r>
          </w:p>
        </w:tc>
        <w:tc>
          <w:tcPr>
            <w:tcW w:w="754" w:type="pct"/>
            <w:tcBorders>
              <w:top w:val="single" w:sz="4" w:space="0" w:color="auto"/>
              <w:left w:val="single" w:sz="4" w:space="0" w:color="auto"/>
              <w:bottom w:val="single" w:sz="4" w:space="0" w:color="auto"/>
              <w:right w:val="single" w:sz="4" w:space="0" w:color="auto"/>
            </w:tcBorders>
            <w:shd w:val="clear" w:color="auto" w:fill="A1F2FD"/>
            <w:vAlign w:val="center"/>
            <w:hideMark/>
          </w:tcPr>
          <w:p w14:paraId="4635F2EA"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629.601.396</w:t>
            </w:r>
          </w:p>
        </w:tc>
        <w:tc>
          <w:tcPr>
            <w:tcW w:w="754" w:type="pct"/>
            <w:tcBorders>
              <w:top w:val="single" w:sz="4" w:space="0" w:color="auto"/>
              <w:left w:val="single" w:sz="4" w:space="0" w:color="auto"/>
              <w:bottom w:val="single" w:sz="4" w:space="0" w:color="auto"/>
              <w:right w:val="single" w:sz="4" w:space="0" w:color="auto"/>
            </w:tcBorders>
            <w:shd w:val="clear" w:color="auto" w:fill="A1F2FD"/>
            <w:vAlign w:val="center"/>
            <w:hideMark/>
          </w:tcPr>
          <w:p w14:paraId="1EB4D35A" w14:textId="4D6D86F0" w:rsidR="00B67EB7" w:rsidRPr="00455504" w:rsidRDefault="00867735" w:rsidP="00B67EB7">
            <w:pPr>
              <w:jc w:val="right"/>
              <w:rPr>
                <w:rFonts w:cs="Arial"/>
                <w:b/>
                <w:bCs/>
                <w:color w:val="000000"/>
                <w:sz w:val="18"/>
                <w:szCs w:val="18"/>
              </w:rPr>
            </w:pPr>
            <w:r w:rsidRPr="00867735">
              <w:rPr>
                <w:rFonts w:cs="Arial"/>
                <w:b/>
                <w:bCs/>
                <w:color w:val="FF0000"/>
                <w:sz w:val="18"/>
                <w:szCs w:val="18"/>
              </w:rPr>
              <w:t>(</w:t>
            </w:r>
            <w:r w:rsidR="00B67EB7" w:rsidRPr="00867735">
              <w:rPr>
                <w:rFonts w:cs="Arial"/>
                <w:b/>
                <w:bCs/>
                <w:color w:val="FF0000"/>
                <w:sz w:val="18"/>
                <w:szCs w:val="18"/>
              </w:rPr>
              <w:t>960.529.598</w:t>
            </w:r>
            <w:r w:rsidRPr="00867735">
              <w:rPr>
                <w:rFonts w:cs="Arial"/>
                <w:b/>
                <w:bCs/>
                <w:color w:val="FF0000"/>
                <w:sz w:val="18"/>
                <w:szCs w:val="18"/>
              </w:rPr>
              <w:t>)</w:t>
            </w:r>
          </w:p>
        </w:tc>
        <w:tc>
          <w:tcPr>
            <w:tcW w:w="754" w:type="pct"/>
            <w:tcBorders>
              <w:top w:val="single" w:sz="4" w:space="0" w:color="auto"/>
              <w:left w:val="single" w:sz="4" w:space="0" w:color="auto"/>
              <w:bottom w:val="single" w:sz="4" w:space="0" w:color="auto"/>
              <w:right w:val="single" w:sz="4" w:space="0" w:color="auto"/>
            </w:tcBorders>
            <w:shd w:val="clear" w:color="auto" w:fill="A1F2FD"/>
            <w:vAlign w:val="center"/>
            <w:hideMark/>
          </w:tcPr>
          <w:p w14:paraId="1A1CDD18"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116.776.118</w:t>
            </w:r>
          </w:p>
        </w:tc>
        <w:tc>
          <w:tcPr>
            <w:tcW w:w="754" w:type="pct"/>
            <w:tcBorders>
              <w:top w:val="single" w:sz="4" w:space="0" w:color="auto"/>
              <w:left w:val="single" w:sz="4" w:space="0" w:color="auto"/>
              <w:bottom w:val="single" w:sz="4" w:space="0" w:color="auto"/>
              <w:right w:val="nil"/>
            </w:tcBorders>
            <w:shd w:val="clear" w:color="auto" w:fill="A1F2FD"/>
            <w:vAlign w:val="center"/>
            <w:hideMark/>
          </w:tcPr>
          <w:p w14:paraId="605A9A70" w14:textId="77777777" w:rsidR="00B67EB7" w:rsidRPr="00455504" w:rsidRDefault="00B67EB7" w:rsidP="00B67EB7">
            <w:pPr>
              <w:jc w:val="right"/>
              <w:rPr>
                <w:rFonts w:cs="Arial"/>
                <w:b/>
                <w:bCs/>
                <w:color w:val="000000"/>
                <w:sz w:val="18"/>
                <w:szCs w:val="18"/>
              </w:rPr>
            </w:pPr>
            <w:r w:rsidRPr="00455504">
              <w:rPr>
                <w:rFonts w:cs="Arial"/>
                <w:b/>
                <w:bCs/>
                <w:color w:val="000000"/>
                <w:sz w:val="18"/>
                <w:szCs w:val="18"/>
              </w:rPr>
              <w:t>267.869.534</w:t>
            </w:r>
          </w:p>
        </w:tc>
      </w:tr>
    </w:tbl>
    <w:p w14:paraId="4EA88F7A" w14:textId="77777777" w:rsidR="00B67EB7" w:rsidRPr="00AE057A" w:rsidRDefault="00B67EB7" w:rsidP="00B67EB7">
      <w:pPr>
        <w:rPr>
          <w:rFonts w:eastAsia="Arial" w:cs="Arial"/>
          <w:color w:val="000000"/>
          <w:sz w:val="16"/>
          <w:szCs w:val="16"/>
        </w:rPr>
      </w:pPr>
      <w:r w:rsidRPr="00AE057A">
        <w:rPr>
          <w:rFonts w:eastAsia="Arial" w:cs="Arial"/>
          <w:color w:val="000000"/>
          <w:sz w:val="16"/>
          <w:szCs w:val="16"/>
        </w:rPr>
        <w:t>Fonte: RREO 6º Bimestre de 2023</w:t>
      </w:r>
    </w:p>
    <w:p w14:paraId="47393EA4" w14:textId="77777777" w:rsidR="00C512BD" w:rsidRDefault="00C512BD" w:rsidP="00B67EB7">
      <w:pPr>
        <w:pStyle w:val="1-REL11"/>
      </w:pPr>
    </w:p>
    <w:p w14:paraId="339523C5" w14:textId="5144608F" w:rsidR="00B67EB7" w:rsidRPr="001C305A" w:rsidRDefault="00B67EB7" w:rsidP="00B67EB7">
      <w:pPr>
        <w:pStyle w:val="1-REL11"/>
      </w:pPr>
      <w:r w:rsidRPr="001C305A">
        <w:t>Observa-se que</w:t>
      </w:r>
      <w:r>
        <w:t>,</w:t>
      </w:r>
      <w:r w:rsidRPr="001C305A">
        <w:t xml:space="preserve"> de forma consolidada, o sistema previdenciário apresenta déficit de </w:t>
      </w:r>
      <w:r w:rsidRPr="002474F8">
        <w:t>R$ 4,63 bilhões, mantendo</w:t>
      </w:r>
      <w:r w:rsidRPr="001C305A">
        <w:t>, portanto, a tendência de desequilíbrio entre as receitas e despesas previdenciárias em Goiás. Em 2023, o déficit previdenciário aumentou R$ 124,72 milhões.</w:t>
      </w:r>
    </w:p>
    <w:p w14:paraId="7B8A1E58" w14:textId="77777777" w:rsidR="00B67EB7" w:rsidRPr="001C305A" w:rsidRDefault="00B67EB7" w:rsidP="00B67EB7">
      <w:pPr>
        <w:pStyle w:val="1-REL11"/>
      </w:pPr>
      <w:bookmarkStart w:id="179" w:name="_Hlk104988835"/>
      <w:r w:rsidRPr="001C305A">
        <w:t>De acordo com o relatório atuarial elaborado pela Goiasprev, o déficit previdenciário do Fundo Financeiro continuará crescendo até o exercício de 2032, quando atingirá a ordem anual de R$ 4,94 bilhões. Com relação à despesa, é possível observar que o valor máximo se dará em 2032, quando atingirá R$ 6,72 bilhões no ano.</w:t>
      </w:r>
    </w:p>
    <w:p w14:paraId="7CBB17BE" w14:textId="77777777" w:rsidR="00B67EB7" w:rsidRPr="001C305A" w:rsidRDefault="00B67EB7" w:rsidP="00B67EB7">
      <w:pPr>
        <w:pStyle w:val="1-REL11"/>
      </w:pPr>
      <w:r w:rsidRPr="001C305A">
        <w:t>Ainda de acordo com o relatório de avaliação atuarial do Fundo Financeiro do SPSM, a necessidade de financiamento continuará crescendo até o exercício de 2045, quando atingirá a ordem anual de R$ 3,13 bilhões. Com relação à despesa, é possível observar que o valor máximo também se dará em 2045, quando atingirá R$ 3,55 bilhões no ano.</w:t>
      </w:r>
    </w:p>
    <w:p w14:paraId="308AC4F1" w14:textId="77777777" w:rsidR="00B67EB7" w:rsidRPr="00E948B0" w:rsidRDefault="00B67EB7" w:rsidP="00B67EB7">
      <w:pPr>
        <w:pStyle w:val="1-REL11"/>
      </w:pPr>
      <w:r w:rsidRPr="001C305A">
        <w:t>De acordo com a avaliação atuarial do Fundo Previdenciário do RPPS, que teve início operacional a partir de novembro</w:t>
      </w:r>
      <w:r>
        <w:t>/</w:t>
      </w:r>
      <w:r w:rsidRPr="001C305A">
        <w:t xml:space="preserve">2020, </w:t>
      </w:r>
      <w:r>
        <w:t>este</w:t>
      </w:r>
      <w:r w:rsidRPr="001C305A">
        <w:t xml:space="preserve"> possui saldo de aplicações financeiras de R$</w:t>
      </w:r>
      <w:r>
        <w:t> </w:t>
      </w:r>
      <w:r w:rsidRPr="001C305A">
        <w:t xml:space="preserve">263,47 </w:t>
      </w:r>
      <w:r w:rsidRPr="001C305A">
        <w:lastRenderedPageBreak/>
        <w:t xml:space="preserve">milhões </w:t>
      </w:r>
      <w:r w:rsidRPr="00E948B0">
        <w:t>em 31/12/2023, composto pelas contribuições normais e dos respectivos rendimentos financeiros obtidos no período.</w:t>
      </w:r>
    </w:p>
    <w:p w14:paraId="56B22133" w14:textId="77777777" w:rsidR="00B67EB7" w:rsidRPr="00E948B0" w:rsidRDefault="00B67EB7" w:rsidP="00B67EB7">
      <w:pPr>
        <w:pStyle w:val="1-REL11"/>
      </w:pPr>
      <w:r w:rsidRPr="00E948B0">
        <w:t xml:space="preserve">Os relatórios atuariais elaborados pela Goiasprev abrangendo o Fundo Previdenciário, Fundo Financeiro e Sistema de Proteção dos Militares utilizaram a base cadastral apenas do Poder Executivo e da </w:t>
      </w:r>
      <w:r>
        <w:t>DPE/GO</w:t>
      </w:r>
      <w:r w:rsidRPr="00E948B0">
        <w:t xml:space="preserve">. </w:t>
      </w:r>
      <w:r>
        <w:t>Sugestão acerca deste achado será tratada no Capítulo 6 – Gestão Patrimonial.</w:t>
      </w:r>
    </w:p>
    <w:bookmarkEnd w:id="179"/>
    <w:p w14:paraId="0AB07E98" w14:textId="77777777" w:rsidR="00B67EB7" w:rsidRPr="001C305A" w:rsidRDefault="00B67EB7" w:rsidP="00B67EB7">
      <w:pPr>
        <w:pStyle w:val="1-REL11"/>
      </w:pPr>
      <w:r w:rsidRPr="00E948B0">
        <w:t>Conforme previsto no § 5º do art. 9º da EC nº 103/2019, não deve ser considerada como ausência de déficit atuarial no RPPS a implementação de</w:t>
      </w:r>
      <w:r w:rsidRPr="001C305A">
        <w:t xml:space="preserve"> segregação da massa de segurados ou a previsão em lei de plano de equacionamento.</w:t>
      </w:r>
    </w:p>
    <w:p w14:paraId="2FF53143" w14:textId="77777777" w:rsidR="00B67EB7" w:rsidRPr="001C305A" w:rsidRDefault="00B67EB7" w:rsidP="00B67EB7">
      <w:pPr>
        <w:pStyle w:val="1-REL11"/>
      </w:pPr>
      <w:r w:rsidRPr="001C305A">
        <w:t>A segregação de massa e o plano de amortização com contribuições suplementares são mecanismos que viabilizam o equilíbrio financeiro e atuarial, que só será devidamente verificado quando o Fundo em Repartição for extinto (no caso da segregação de massa) ou quando o último aporte previsto em lei for efetuado (no caso de utilização do plano de amortização).</w:t>
      </w:r>
    </w:p>
    <w:p w14:paraId="6C6F98FA" w14:textId="77777777" w:rsidR="00B67EB7" w:rsidRPr="001C305A" w:rsidRDefault="00B67EB7" w:rsidP="00B67EB7">
      <w:pPr>
        <w:pStyle w:val="1-REL11"/>
      </w:pPr>
      <w:r w:rsidRPr="001C305A">
        <w:t>Pontua-se que as receitas e despesas previdenciárias dos outros Poderes e Órgãos Autônomos estão consolidadas neste demonstrativo. No entanto, as despesas de exercícios anteriores de inativos e pensionistas</w:t>
      </w:r>
      <w:r>
        <w:t xml:space="preserve"> pagas em 2023</w:t>
      </w:r>
      <w:r w:rsidRPr="001C305A">
        <w:t xml:space="preserve"> do </w:t>
      </w:r>
      <w:r>
        <w:t>MP/GO</w:t>
      </w:r>
      <w:r w:rsidRPr="001C305A">
        <w:t xml:space="preserve">, </w:t>
      </w:r>
      <w:r>
        <w:t>Alego,</w:t>
      </w:r>
      <w:r w:rsidRPr="001C305A">
        <w:t xml:space="preserve"> </w:t>
      </w:r>
      <w:r>
        <w:t>TJ/GO e TCE/GO</w:t>
      </w:r>
      <w:r w:rsidRPr="001C305A">
        <w:t xml:space="preserve"> são executadas nas próprias unidades e não estão consideradas nas despesas previdenciárias consolidadas do Estado.</w:t>
      </w:r>
    </w:p>
    <w:p w14:paraId="104C8D29" w14:textId="77777777" w:rsidR="00B67EB7" w:rsidRPr="001C305A" w:rsidRDefault="00B67EB7" w:rsidP="00B67EB7">
      <w:pPr>
        <w:pStyle w:val="1-REL11"/>
      </w:pPr>
      <w:r w:rsidRPr="004873F9">
        <w:t>O fundo do Plano Previdenciário, constituído após publicação da Lei Estadual nº 20.850/2020, obteve receitas correntes de R$ 101,59 milhões.</w:t>
      </w:r>
    </w:p>
    <w:p w14:paraId="63D00561" w14:textId="77777777" w:rsidR="00B67EB7" w:rsidRPr="001C305A" w:rsidRDefault="00B67EB7" w:rsidP="00B67EB7">
      <w:pPr>
        <w:pStyle w:val="1-REL11"/>
      </w:pPr>
      <w:r w:rsidRPr="001C305A">
        <w:t>Evidencia-se, a seguir, os valores consolidados despendidos pelo órgão previdenciário no período de 2019 a 2023, abrangendo as despesas e receitas dos Poderes e Órgãos</w:t>
      </w:r>
      <w:r>
        <w:t xml:space="preserve"> Autônomos</w:t>
      </w:r>
      <w:r w:rsidRPr="001C305A">
        <w:t>, com exceção das já mencionadas despesas de exercícios anteriores dos outros Poderes e Órgãos</w:t>
      </w:r>
      <w:r>
        <w:t xml:space="preserve"> Autônomos:</w:t>
      </w:r>
    </w:p>
    <w:p w14:paraId="3E6B4FE0" w14:textId="77777777" w:rsidR="00B67EB7" w:rsidRPr="001C305A" w:rsidRDefault="00B67EB7" w:rsidP="00ED3571">
      <w:pPr>
        <w:pStyle w:val="0-TABELA"/>
        <w:rPr>
          <w:b/>
        </w:rPr>
      </w:pPr>
      <w:bookmarkStart w:id="180" w:name="_Toc167871767"/>
      <w:r w:rsidRPr="001C305A">
        <w:t>Despesas com Pessoal Inativos e Pensionistas e Demais Benefícios Previdenciários</w:t>
      </w:r>
      <w:bookmarkEnd w:id="180"/>
    </w:p>
    <w:p w14:paraId="35E424F5" w14:textId="2A3AF8BC" w:rsidR="00B67EB7" w:rsidRDefault="00B67EB7" w:rsidP="00B67EB7">
      <w:pPr>
        <w:pStyle w:val="1-emR1-8ptDIR"/>
      </w:pPr>
      <w:r w:rsidRPr="001C305A">
        <w:t>R$ 1</w:t>
      </w:r>
    </w:p>
    <w:tbl>
      <w:tblPr>
        <w:tblW w:w="5000" w:type="pct"/>
        <w:tblCellMar>
          <w:left w:w="70" w:type="dxa"/>
          <w:right w:w="70" w:type="dxa"/>
        </w:tblCellMar>
        <w:tblLook w:val="04A0" w:firstRow="1" w:lastRow="0" w:firstColumn="1" w:lastColumn="0" w:noHBand="0" w:noVBand="1"/>
      </w:tblPr>
      <w:tblGrid>
        <w:gridCol w:w="2294"/>
        <w:gridCol w:w="1413"/>
        <w:gridCol w:w="1410"/>
        <w:gridCol w:w="1410"/>
        <w:gridCol w:w="1410"/>
        <w:gridCol w:w="1416"/>
      </w:tblGrid>
      <w:tr w:rsidR="00463BEF" w:rsidRPr="00455504" w14:paraId="5CB3DF15" w14:textId="77777777" w:rsidTr="00147893">
        <w:trPr>
          <w:trHeight w:val="340"/>
          <w:tblHeader/>
        </w:trPr>
        <w:tc>
          <w:tcPr>
            <w:tcW w:w="1226" w:type="pct"/>
            <w:vMerge w:val="restart"/>
            <w:tcBorders>
              <w:top w:val="single" w:sz="4" w:space="0" w:color="auto"/>
              <w:left w:val="nil"/>
              <w:right w:val="single" w:sz="4" w:space="0" w:color="auto"/>
            </w:tcBorders>
            <w:shd w:val="clear" w:color="000000" w:fill="A2F2FD"/>
            <w:vAlign w:val="center"/>
            <w:hideMark/>
          </w:tcPr>
          <w:p w14:paraId="11C53DC7"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Receitas Previdenciárias</w:t>
            </w:r>
          </w:p>
        </w:tc>
        <w:tc>
          <w:tcPr>
            <w:tcW w:w="3774" w:type="pct"/>
            <w:gridSpan w:val="5"/>
            <w:tcBorders>
              <w:top w:val="single" w:sz="4" w:space="0" w:color="auto"/>
              <w:left w:val="single" w:sz="4" w:space="0" w:color="auto"/>
              <w:bottom w:val="single" w:sz="4" w:space="0" w:color="auto"/>
              <w:right w:val="nil"/>
            </w:tcBorders>
            <w:shd w:val="clear" w:color="000000" w:fill="A2F2FD"/>
            <w:vAlign w:val="center"/>
            <w:hideMark/>
          </w:tcPr>
          <w:p w14:paraId="56DFA46D"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Receitas Realizadas</w:t>
            </w:r>
          </w:p>
        </w:tc>
      </w:tr>
      <w:tr w:rsidR="00463BEF" w:rsidRPr="00455504" w14:paraId="54D8B4F5" w14:textId="77777777" w:rsidTr="00147893">
        <w:trPr>
          <w:trHeight w:val="340"/>
          <w:tblHeader/>
        </w:trPr>
        <w:tc>
          <w:tcPr>
            <w:tcW w:w="1226" w:type="pct"/>
            <w:vMerge/>
            <w:tcBorders>
              <w:left w:val="nil"/>
              <w:bottom w:val="single" w:sz="4" w:space="0" w:color="auto"/>
              <w:right w:val="single" w:sz="4" w:space="0" w:color="auto"/>
            </w:tcBorders>
            <w:shd w:val="clear" w:color="000000" w:fill="A2F2FD"/>
            <w:vAlign w:val="center"/>
          </w:tcPr>
          <w:p w14:paraId="7B8221A3" w14:textId="77777777" w:rsidR="00463BEF" w:rsidRPr="00455504" w:rsidRDefault="00463BEF" w:rsidP="00802443">
            <w:pPr>
              <w:jc w:val="center"/>
              <w:rPr>
                <w:rFonts w:cs="Arial"/>
                <w:b/>
                <w:bCs/>
                <w:color w:val="000000"/>
                <w:sz w:val="18"/>
                <w:szCs w:val="18"/>
              </w:rPr>
            </w:pPr>
          </w:p>
        </w:tc>
        <w:tc>
          <w:tcPr>
            <w:tcW w:w="755" w:type="pct"/>
            <w:tcBorders>
              <w:top w:val="single" w:sz="4" w:space="0" w:color="auto"/>
              <w:left w:val="single" w:sz="4" w:space="0" w:color="auto"/>
              <w:bottom w:val="single" w:sz="4" w:space="0" w:color="auto"/>
              <w:right w:val="single" w:sz="4" w:space="0" w:color="auto"/>
            </w:tcBorders>
            <w:shd w:val="clear" w:color="000000" w:fill="A2F2FD"/>
            <w:vAlign w:val="center"/>
          </w:tcPr>
          <w:p w14:paraId="4A515177"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2019</w:t>
            </w:r>
          </w:p>
        </w:tc>
        <w:tc>
          <w:tcPr>
            <w:tcW w:w="754" w:type="pct"/>
            <w:tcBorders>
              <w:top w:val="single" w:sz="4" w:space="0" w:color="auto"/>
              <w:left w:val="single" w:sz="4" w:space="0" w:color="auto"/>
              <w:bottom w:val="single" w:sz="4" w:space="0" w:color="auto"/>
              <w:right w:val="single" w:sz="4" w:space="0" w:color="auto"/>
            </w:tcBorders>
            <w:shd w:val="clear" w:color="000000" w:fill="A2F2FD"/>
            <w:vAlign w:val="center"/>
          </w:tcPr>
          <w:p w14:paraId="2CAF27C3"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2020</w:t>
            </w:r>
          </w:p>
        </w:tc>
        <w:tc>
          <w:tcPr>
            <w:tcW w:w="754" w:type="pct"/>
            <w:tcBorders>
              <w:top w:val="single" w:sz="4" w:space="0" w:color="auto"/>
              <w:left w:val="single" w:sz="4" w:space="0" w:color="auto"/>
              <w:bottom w:val="single" w:sz="4" w:space="0" w:color="auto"/>
              <w:right w:val="single" w:sz="4" w:space="0" w:color="auto"/>
            </w:tcBorders>
            <w:shd w:val="clear" w:color="000000" w:fill="A2F2FD"/>
            <w:vAlign w:val="center"/>
          </w:tcPr>
          <w:p w14:paraId="56951C09"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2021</w:t>
            </w:r>
          </w:p>
        </w:tc>
        <w:tc>
          <w:tcPr>
            <w:tcW w:w="754" w:type="pct"/>
            <w:tcBorders>
              <w:top w:val="single" w:sz="4" w:space="0" w:color="auto"/>
              <w:left w:val="single" w:sz="4" w:space="0" w:color="auto"/>
              <w:bottom w:val="single" w:sz="4" w:space="0" w:color="auto"/>
              <w:right w:val="single" w:sz="4" w:space="0" w:color="auto"/>
            </w:tcBorders>
            <w:shd w:val="clear" w:color="000000" w:fill="A2F2FD"/>
            <w:vAlign w:val="center"/>
          </w:tcPr>
          <w:p w14:paraId="316167F4"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2022</w:t>
            </w:r>
          </w:p>
        </w:tc>
        <w:tc>
          <w:tcPr>
            <w:tcW w:w="757" w:type="pct"/>
            <w:tcBorders>
              <w:top w:val="single" w:sz="4" w:space="0" w:color="auto"/>
              <w:left w:val="single" w:sz="4" w:space="0" w:color="auto"/>
              <w:bottom w:val="single" w:sz="4" w:space="0" w:color="auto"/>
              <w:right w:val="nil"/>
            </w:tcBorders>
            <w:shd w:val="clear" w:color="000000" w:fill="A2F2FD"/>
            <w:vAlign w:val="center"/>
          </w:tcPr>
          <w:p w14:paraId="00DDB796"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2023</w:t>
            </w:r>
          </w:p>
        </w:tc>
      </w:tr>
      <w:tr w:rsidR="00463BEF" w:rsidRPr="00455504" w14:paraId="0EC78201" w14:textId="77777777" w:rsidTr="00147893">
        <w:trPr>
          <w:trHeight w:val="284"/>
        </w:trPr>
        <w:tc>
          <w:tcPr>
            <w:tcW w:w="1226" w:type="pct"/>
            <w:tcBorders>
              <w:top w:val="single" w:sz="4" w:space="0" w:color="auto"/>
              <w:left w:val="nil"/>
              <w:bottom w:val="nil"/>
              <w:right w:val="single" w:sz="4" w:space="0" w:color="auto"/>
            </w:tcBorders>
            <w:shd w:val="clear" w:color="auto" w:fill="auto"/>
            <w:vAlign w:val="center"/>
            <w:hideMark/>
          </w:tcPr>
          <w:p w14:paraId="18A2EF14" w14:textId="77777777" w:rsidR="00463BEF" w:rsidRPr="00455504" w:rsidRDefault="00463BEF" w:rsidP="00802443">
            <w:pPr>
              <w:rPr>
                <w:rFonts w:cs="Arial"/>
                <w:b/>
                <w:bCs/>
                <w:color w:val="000000"/>
                <w:sz w:val="18"/>
                <w:szCs w:val="18"/>
              </w:rPr>
            </w:pPr>
            <w:r w:rsidRPr="00455504">
              <w:rPr>
                <w:rFonts w:cs="Arial"/>
                <w:b/>
                <w:bCs/>
                <w:color w:val="000000"/>
                <w:sz w:val="18"/>
                <w:szCs w:val="18"/>
              </w:rPr>
              <w:t xml:space="preserve">Receitas Correntes </w:t>
            </w:r>
          </w:p>
        </w:tc>
        <w:tc>
          <w:tcPr>
            <w:tcW w:w="755" w:type="pct"/>
            <w:tcBorders>
              <w:top w:val="single" w:sz="4" w:space="0" w:color="auto"/>
              <w:left w:val="single" w:sz="4" w:space="0" w:color="auto"/>
              <w:bottom w:val="nil"/>
              <w:right w:val="single" w:sz="4" w:space="0" w:color="auto"/>
            </w:tcBorders>
            <w:shd w:val="clear" w:color="auto" w:fill="auto"/>
            <w:vAlign w:val="center"/>
            <w:hideMark/>
          </w:tcPr>
          <w:p w14:paraId="3DBA8990" w14:textId="77777777" w:rsidR="00463BEF" w:rsidRPr="00455504" w:rsidRDefault="00463BEF" w:rsidP="00802443">
            <w:pPr>
              <w:jc w:val="right"/>
              <w:rPr>
                <w:rFonts w:cs="Arial"/>
                <w:b/>
                <w:bCs/>
                <w:color w:val="000000"/>
                <w:sz w:val="18"/>
                <w:szCs w:val="18"/>
              </w:rPr>
            </w:pPr>
            <w:r w:rsidRPr="00455504">
              <w:rPr>
                <w:rFonts w:cs="Arial"/>
                <w:b/>
                <w:bCs/>
                <w:color w:val="000000"/>
                <w:sz w:val="18"/>
                <w:szCs w:val="18"/>
              </w:rPr>
              <w:t>3.381.270.759</w:t>
            </w:r>
          </w:p>
        </w:tc>
        <w:tc>
          <w:tcPr>
            <w:tcW w:w="754" w:type="pct"/>
            <w:tcBorders>
              <w:top w:val="single" w:sz="4" w:space="0" w:color="auto"/>
              <w:left w:val="single" w:sz="4" w:space="0" w:color="auto"/>
              <w:bottom w:val="nil"/>
              <w:right w:val="single" w:sz="4" w:space="0" w:color="auto"/>
            </w:tcBorders>
            <w:shd w:val="clear" w:color="auto" w:fill="auto"/>
            <w:vAlign w:val="center"/>
            <w:hideMark/>
          </w:tcPr>
          <w:p w14:paraId="383C351A" w14:textId="77777777" w:rsidR="00463BEF" w:rsidRPr="00455504" w:rsidRDefault="00463BEF" w:rsidP="00802443">
            <w:pPr>
              <w:jc w:val="right"/>
              <w:rPr>
                <w:rFonts w:cs="Arial"/>
                <w:b/>
                <w:bCs/>
                <w:color w:val="000000"/>
                <w:sz w:val="18"/>
                <w:szCs w:val="18"/>
              </w:rPr>
            </w:pPr>
            <w:r w:rsidRPr="00455504">
              <w:rPr>
                <w:rFonts w:cs="Arial"/>
                <w:b/>
                <w:bCs/>
                <w:color w:val="000000"/>
                <w:sz w:val="18"/>
                <w:szCs w:val="18"/>
              </w:rPr>
              <w:t>2.790.083.106</w:t>
            </w:r>
          </w:p>
        </w:tc>
        <w:tc>
          <w:tcPr>
            <w:tcW w:w="754" w:type="pct"/>
            <w:tcBorders>
              <w:top w:val="single" w:sz="4" w:space="0" w:color="auto"/>
              <w:left w:val="single" w:sz="4" w:space="0" w:color="auto"/>
              <w:bottom w:val="nil"/>
              <w:right w:val="single" w:sz="4" w:space="0" w:color="auto"/>
            </w:tcBorders>
            <w:shd w:val="clear" w:color="auto" w:fill="auto"/>
            <w:vAlign w:val="center"/>
            <w:hideMark/>
          </w:tcPr>
          <w:p w14:paraId="78CDED79" w14:textId="77777777" w:rsidR="00463BEF" w:rsidRPr="00455504" w:rsidRDefault="00463BEF" w:rsidP="00802443">
            <w:pPr>
              <w:jc w:val="right"/>
              <w:rPr>
                <w:rFonts w:cs="Arial"/>
                <w:b/>
                <w:bCs/>
                <w:color w:val="000000"/>
                <w:sz w:val="18"/>
                <w:szCs w:val="18"/>
              </w:rPr>
            </w:pPr>
            <w:r w:rsidRPr="00455504">
              <w:rPr>
                <w:rFonts w:cs="Arial"/>
                <w:b/>
                <w:bCs/>
                <w:color w:val="000000"/>
                <w:sz w:val="18"/>
                <w:szCs w:val="18"/>
              </w:rPr>
              <w:t>2.879.996.125</w:t>
            </w:r>
          </w:p>
        </w:tc>
        <w:tc>
          <w:tcPr>
            <w:tcW w:w="754" w:type="pct"/>
            <w:tcBorders>
              <w:top w:val="single" w:sz="4" w:space="0" w:color="auto"/>
              <w:left w:val="single" w:sz="4" w:space="0" w:color="auto"/>
              <w:bottom w:val="nil"/>
              <w:right w:val="single" w:sz="4" w:space="0" w:color="auto"/>
            </w:tcBorders>
            <w:shd w:val="clear" w:color="auto" w:fill="auto"/>
            <w:vAlign w:val="center"/>
            <w:hideMark/>
          </w:tcPr>
          <w:p w14:paraId="0F1C42A8" w14:textId="77777777" w:rsidR="00463BEF" w:rsidRPr="00455504" w:rsidRDefault="00463BEF" w:rsidP="00802443">
            <w:pPr>
              <w:jc w:val="right"/>
              <w:rPr>
                <w:rFonts w:cs="Arial"/>
                <w:b/>
                <w:bCs/>
                <w:color w:val="000000"/>
                <w:sz w:val="18"/>
                <w:szCs w:val="18"/>
              </w:rPr>
            </w:pPr>
            <w:r w:rsidRPr="00455504">
              <w:rPr>
                <w:rFonts w:cs="Arial"/>
                <w:b/>
                <w:bCs/>
                <w:color w:val="000000"/>
                <w:sz w:val="18"/>
                <w:szCs w:val="18"/>
              </w:rPr>
              <w:t>2.956.737.162</w:t>
            </w:r>
          </w:p>
        </w:tc>
        <w:tc>
          <w:tcPr>
            <w:tcW w:w="757" w:type="pct"/>
            <w:tcBorders>
              <w:top w:val="single" w:sz="4" w:space="0" w:color="auto"/>
              <w:left w:val="single" w:sz="4" w:space="0" w:color="auto"/>
              <w:bottom w:val="nil"/>
              <w:right w:val="nil"/>
            </w:tcBorders>
            <w:shd w:val="clear" w:color="auto" w:fill="auto"/>
            <w:vAlign w:val="center"/>
            <w:hideMark/>
          </w:tcPr>
          <w:p w14:paraId="4A35D8B5" w14:textId="77777777" w:rsidR="00463BEF" w:rsidRPr="00455504" w:rsidRDefault="00463BEF" w:rsidP="00802443">
            <w:pPr>
              <w:jc w:val="right"/>
              <w:rPr>
                <w:rFonts w:cs="Arial"/>
                <w:b/>
                <w:bCs/>
                <w:color w:val="000000"/>
                <w:sz w:val="18"/>
                <w:szCs w:val="18"/>
              </w:rPr>
            </w:pPr>
            <w:r w:rsidRPr="00455504">
              <w:rPr>
                <w:rFonts w:cs="Arial"/>
                <w:b/>
                <w:bCs/>
                <w:color w:val="000000"/>
                <w:sz w:val="18"/>
                <w:szCs w:val="18"/>
              </w:rPr>
              <w:t>3.306.642.305</w:t>
            </w:r>
          </w:p>
        </w:tc>
      </w:tr>
      <w:tr w:rsidR="00463BEF" w:rsidRPr="00455504" w14:paraId="76C35508" w14:textId="77777777" w:rsidTr="00147893">
        <w:trPr>
          <w:trHeight w:val="284"/>
        </w:trPr>
        <w:tc>
          <w:tcPr>
            <w:tcW w:w="1226" w:type="pct"/>
            <w:tcBorders>
              <w:top w:val="nil"/>
              <w:left w:val="nil"/>
              <w:bottom w:val="nil"/>
              <w:right w:val="single" w:sz="4" w:space="0" w:color="auto"/>
            </w:tcBorders>
            <w:shd w:val="clear" w:color="auto" w:fill="auto"/>
            <w:tcMar>
              <w:top w:w="28" w:type="dxa"/>
              <w:bottom w:w="28" w:type="dxa"/>
            </w:tcMar>
            <w:vAlign w:val="center"/>
            <w:hideMark/>
          </w:tcPr>
          <w:p w14:paraId="16D32992" w14:textId="2CCC9E6D" w:rsidR="00463BEF" w:rsidRPr="00463BEF" w:rsidRDefault="00463BEF" w:rsidP="00463BEF">
            <w:pPr>
              <w:ind w:left="208"/>
              <w:rPr>
                <w:rFonts w:cs="Arial"/>
                <w:color w:val="000000"/>
                <w:sz w:val="18"/>
                <w:szCs w:val="18"/>
              </w:rPr>
            </w:pPr>
            <w:r w:rsidRPr="00463BEF">
              <w:rPr>
                <w:sz w:val="18"/>
              </w:rPr>
              <w:t>Receita de Contribuições e outras receitas correntes</w:t>
            </w:r>
          </w:p>
        </w:tc>
        <w:tc>
          <w:tcPr>
            <w:tcW w:w="755" w:type="pct"/>
            <w:tcBorders>
              <w:top w:val="nil"/>
              <w:left w:val="single" w:sz="4" w:space="0" w:color="auto"/>
              <w:bottom w:val="nil"/>
              <w:right w:val="single" w:sz="4" w:space="0" w:color="auto"/>
            </w:tcBorders>
            <w:shd w:val="clear" w:color="auto" w:fill="auto"/>
            <w:tcMar>
              <w:top w:w="28" w:type="dxa"/>
              <w:bottom w:w="28" w:type="dxa"/>
            </w:tcMar>
            <w:vAlign w:val="center"/>
            <w:hideMark/>
          </w:tcPr>
          <w:p w14:paraId="3DEE8B46" w14:textId="727F18F7" w:rsidR="00463BEF" w:rsidRPr="00455504" w:rsidRDefault="00463BEF" w:rsidP="00463BEF">
            <w:pPr>
              <w:jc w:val="right"/>
              <w:rPr>
                <w:rFonts w:cs="Arial"/>
                <w:color w:val="000000"/>
                <w:sz w:val="18"/>
                <w:szCs w:val="18"/>
              </w:rPr>
            </w:pPr>
            <w:r w:rsidRPr="00463BEF">
              <w:rPr>
                <w:rFonts w:cs="Arial"/>
                <w:color w:val="000000"/>
                <w:sz w:val="18"/>
                <w:szCs w:val="18"/>
              </w:rPr>
              <w:t>1.395.156.839</w:t>
            </w:r>
          </w:p>
        </w:tc>
        <w:tc>
          <w:tcPr>
            <w:tcW w:w="754" w:type="pct"/>
            <w:tcBorders>
              <w:top w:val="nil"/>
              <w:left w:val="single" w:sz="4" w:space="0" w:color="auto"/>
              <w:bottom w:val="nil"/>
              <w:right w:val="single" w:sz="4" w:space="0" w:color="auto"/>
            </w:tcBorders>
            <w:shd w:val="clear" w:color="auto" w:fill="auto"/>
            <w:tcMar>
              <w:top w:w="28" w:type="dxa"/>
              <w:bottom w:w="28" w:type="dxa"/>
            </w:tcMar>
            <w:vAlign w:val="center"/>
            <w:hideMark/>
          </w:tcPr>
          <w:p w14:paraId="0361CFFB" w14:textId="0A809AE3" w:rsidR="00463BEF" w:rsidRPr="00455504" w:rsidRDefault="00463BEF" w:rsidP="00463BEF">
            <w:pPr>
              <w:jc w:val="right"/>
              <w:rPr>
                <w:rFonts w:cs="Arial"/>
                <w:color w:val="000000"/>
                <w:sz w:val="18"/>
                <w:szCs w:val="18"/>
              </w:rPr>
            </w:pPr>
            <w:r w:rsidRPr="00463BEF">
              <w:rPr>
                <w:rFonts w:cs="Arial"/>
                <w:color w:val="000000"/>
                <w:sz w:val="18"/>
                <w:szCs w:val="18"/>
              </w:rPr>
              <w:t>1.400.347.725</w:t>
            </w:r>
          </w:p>
        </w:tc>
        <w:tc>
          <w:tcPr>
            <w:tcW w:w="754" w:type="pct"/>
            <w:tcBorders>
              <w:top w:val="nil"/>
              <w:left w:val="single" w:sz="4" w:space="0" w:color="auto"/>
              <w:bottom w:val="nil"/>
              <w:right w:val="single" w:sz="4" w:space="0" w:color="auto"/>
            </w:tcBorders>
            <w:shd w:val="clear" w:color="auto" w:fill="auto"/>
            <w:tcMar>
              <w:top w:w="28" w:type="dxa"/>
              <w:bottom w:w="28" w:type="dxa"/>
            </w:tcMar>
            <w:vAlign w:val="center"/>
            <w:hideMark/>
          </w:tcPr>
          <w:p w14:paraId="5A74719A" w14:textId="00717A90" w:rsidR="00463BEF" w:rsidRPr="00455504" w:rsidRDefault="00463BEF" w:rsidP="00463BEF">
            <w:pPr>
              <w:jc w:val="right"/>
              <w:rPr>
                <w:rFonts w:cs="Arial"/>
                <w:color w:val="000000"/>
                <w:sz w:val="18"/>
                <w:szCs w:val="18"/>
              </w:rPr>
            </w:pPr>
            <w:r w:rsidRPr="00463BEF">
              <w:rPr>
                <w:rFonts w:cs="Arial"/>
                <w:color w:val="000000"/>
                <w:sz w:val="18"/>
                <w:szCs w:val="18"/>
              </w:rPr>
              <w:t>1.613.439.857</w:t>
            </w:r>
          </w:p>
        </w:tc>
        <w:tc>
          <w:tcPr>
            <w:tcW w:w="754" w:type="pct"/>
            <w:tcBorders>
              <w:top w:val="nil"/>
              <w:left w:val="single" w:sz="4" w:space="0" w:color="auto"/>
              <w:bottom w:val="nil"/>
              <w:right w:val="single" w:sz="4" w:space="0" w:color="auto"/>
            </w:tcBorders>
            <w:shd w:val="clear" w:color="auto" w:fill="auto"/>
            <w:tcMar>
              <w:top w:w="28" w:type="dxa"/>
              <w:bottom w:w="28" w:type="dxa"/>
            </w:tcMar>
            <w:vAlign w:val="center"/>
            <w:hideMark/>
          </w:tcPr>
          <w:p w14:paraId="4036FB3C" w14:textId="34C6925F" w:rsidR="00463BEF" w:rsidRPr="00455504" w:rsidRDefault="00463BEF" w:rsidP="00463BEF">
            <w:pPr>
              <w:jc w:val="right"/>
              <w:rPr>
                <w:rFonts w:cs="Arial"/>
                <w:color w:val="000000"/>
                <w:sz w:val="18"/>
                <w:szCs w:val="18"/>
              </w:rPr>
            </w:pPr>
            <w:r w:rsidRPr="00463BEF">
              <w:rPr>
                <w:rFonts w:cs="Arial"/>
                <w:color w:val="000000"/>
                <w:sz w:val="18"/>
                <w:szCs w:val="18"/>
              </w:rPr>
              <w:t>1.606.489.375</w:t>
            </w:r>
          </w:p>
        </w:tc>
        <w:tc>
          <w:tcPr>
            <w:tcW w:w="757" w:type="pct"/>
            <w:tcBorders>
              <w:top w:val="nil"/>
              <w:left w:val="single" w:sz="4" w:space="0" w:color="auto"/>
              <w:bottom w:val="nil"/>
              <w:right w:val="nil"/>
            </w:tcBorders>
            <w:shd w:val="clear" w:color="auto" w:fill="auto"/>
            <w:tcMar>
              <w:top w:w="28" w:type="dxa"/>
              <w:bottom w:w="28" w:type="dxa"/>
            </w:tcMar>
            <w:vAlign w:val="center"/>
            <w:hideMark/>
          </w:tcPr>
          <w:p w14:paraId="185101EB" w14:textId="6D6E4664" w:rsidR="00463BEF" w:rsidRPr="00455504" w:rsidRDefault="00463BEF" w:rsidP="00463BEF">
            <w:pPr>
              <w:jc w:val="right"/>
              <w:rPr>
                <w:rFonts w:cs="Arial"/>
                <w:color w:val="000000"/>
                <w:sz w:val="18"/>
                <w:szCs w:val="18"/>
              </w:rPr>
            </w:pPr>
            <w:r w:rsidRPr="00463BEF">
              <w:rPr>
                <w:rFonts w:cs="Arial"/>
                <w:color w:val="000000"/>
                <w:sz w:val="18"/>
                <w:szCs w:val="18"/>
              </w:rPr>
              <w:t>1.879.484.823</w:t>
            </w:r>
          </w:p>
        </w:tc>
      </w:tr>
      <w:tr w:rsidR="00463BEF" w:rsidRPr="00455504" w14:paraId="34347190" w14:textId="77777777" w:rsidTr="00147893">
        <w:trPr>
          <w:trHeight w:val="374"/>
        </w:trPr>
        <w:tc>
          <w:tcPr>
            <w:tcW w:w="1226" w:type="pct"/>
            <w:tcBorders>
              <w:top w:val="nil"/>
              <w:left w:val="nil"/>
              <w:bottom w:val="single" w:sz="4" w:space="0" w:color="auto"/>
              <w:right w:val="single" w:sz="4" w:space="0" w:color="auto"/>
            </w:tcBorders>
            <w:shd w:val="clear" w:color="auto" w:fill="auto"/>
            <w:tcMar>
              <w:top w:w="28" w:type="dxa"/>
              <w:bottom w:w="28" w:type="dxa"/>
            </w:tcMar>
            <w:vAlign w:val="center"/>
            <w:hideMark/>
          </w:tcPr>
          <w:p w14:paraId="3EA20ABE" w14:textId="65C9A058" w:rsidR="00463BEF" w:rsidRPr="00463BEF" w:rsidRDefault="00463BEF" w:rsidP="00463BEF">
            <w:pPr>
              <w:ind w:left="208"/>
              <w:rPr>
                <w:rFonts w:cs="Arial"/>
                <w:color w:val="000000"/>
                <w:sz w:val="18"/>
                <w:szCs w:val="18"/>
              </w:rPr>
            </w:pPr>
            <w:r w:rsidRPr="00463BEF">
              <w:rPr>
                <w:sz w:val="18"/>
              </w:rPr>
              <w:t xml:space="preserve">Contribuição Patronal </w:t>
            </w:r>
          </w:p>
        </w:tc>
        <w:tc>
          <w:tcPr>
            <w:tcW w:w="755" w:type="pct"/>
            <w:tcBorders>
              <w:top w:val="nil"/>
              <w:left w:val="single" w:sz="4" w:space="0" w:color="auto"/>
              <w:bottom w:val="single" w:sz="4" w:space="0" w:color="auto"/>
              <w:right w:val="single" w:sz="4" w:space="0" w:color="auto"/>
            </w:tcBorders>
            <w:shd w:val="clear" w:color="auto" w:fill="auto"/>
            <w:tcMar>
              <w:top w:w="28" w:type="dxa"/>
              <w:bottom w:w="28" w:type="dxa"/>
            </w:tcMar>
            <w:vAlign w:val="center"/>
            <w:hideMark/>
          </w:tcPr>
          <w:p w14:paraId="6982F828" w14:textId="2972A68A" w:rsidR="00463BEF" w:rsidRPr="00455504" w:rsidRDefault="00463BEF" w:rsidP="00463BEF">
            <w:pPr>
              <w:jc w:val="right"/>
              <w:rPr>
                <w:rFonts w:cs="Arial"/>
                <w:color w:val="000000"/>
                <w:sz w:val="18"/>
                <w:szCs w:val="18"/>
              </w:rPr>
            </w:pPr>
            <w:r w:rsidRPr="00463BEF">
              <w:rPr>
                <w:rFonts w:cs="Arial"/>
                <w:color w:val="000000"/>
                <w:sz w:val="18"/>
                <w:szCs w:val="18"/>
              </w:rPr>
              <w:t>1.986.113.920</w:t>
            </w:r>
          </w:p>
        </w:tc>
        <w:tc>
          <w:tcPr>
            <w:tcW w:w="754" w:type="pct"/>
            <w:tcBorders>
              <w:top w:val="nil"/>
              <w:left w:val="single" w:sz="4" w:space="0" w:color="auto"/>
              <w:bottom w:val="single" w:sz="4" w:space="0" w:color="auto"/>
              <w:right w:val="single" w:sz="4" w:space="0" w:color="auto"/>
            </w:tcBorders>
            <w:shd w:val="clear" w:color="auto" w:fill="auto"/>
            <w:tcMar>
              <w:top w:w="28" w:type="dxa"/>
              <w:bottom w:w="28" w:type="dxa"/>
            </w:tcMar>
            <w:vAlign w:val="center"/>
            <w:hideMark/>
          </w:tcPr>
          <w:p w14:paraId="60770E44" w14:textId="770E44E1" w:rsidR="00463BEF" w:rsidRPr="00455504" w:rsidRDefault="00463BEF" w:rsidP="00463BEF">
            <w:pPr>
              <w:jc w:val="right"/>
              <w:rPr>
                <w:rFonts w:cs="Arial"/>
                <w:color w:val="000000"/>
                <w:sz w:val="18"/>
                <w:szCs w:val="18"/>
              </w:rPr>
            </w:pPr>
            <w:r w:rsidRPr="00463BEF">
              <w:rPr>
                <w:rFonts w:cs="Arial"/>
                <w:color w:val="000000"/>
                <w:sz w:val="18"/>
                <w:szCs w:val="18"/>
              </w:rPr>
              <w:t>1.389.735.381</w:t>
            </w:r>
          </w:p>
        </w:tc>
        <w:tc>
          <w:tcPr>
            <w:tcW w:w="754" w:type="pct"/>
            <w:tcBorders>
              <w:top w:val="nil"/>
              <w:left w:val="single" w:sz="4" w:space="0" w:color="auto"/>
              <w:bottom w:val="single" w:sz="4" w:space="0" w:color="auto"/>
              <w:right w:val="single" w:sz="4" w:space="0" w:color="auto"/>
            </w:tcBorders>
            <w:shd w:val="clear" w:color="auto" w:fill="auto"/>
            <w:tcMar>
              <w:top w:w="28" w:type="dxa"/>
              <w:bottom w:w="28" w:type="dxa"/>
            </w:tcMar>
            <w:vAlign w:val="center"/>
            <w:hideMark/>
          </w:tcPr>
          <w:p w14:paraId="526B2A95" w14:textId="28E02C8B" w:rsidR="00463BEF" w:rsidRPr="00455504" w:rsidRDefault="00463BEF" w:rsidP="00463BEF">
            <w:pPr>
              <w:jc w:val="right"/>
              <w:rPr>
                <w:rFonts w:cs="Arial"/>
                <w:color w:val="000000"/>
                <w:sz w:val="18"/>
                <w:szCs w:val="18"/>
              </w:rPr>
            </w:pPr>
            <w:r w:rsidRPr="00463BEF">
              <w:rPr>
                <w:rFonts w:cs="Arial"/>
                <w:color w:val="000000"/>
                <w:sz w:val="18"/>
                <w:szCs w:val="18"/>
              </w:rPr>
              <w:t>1.266.556.268</w:t>
            </w:r>
          </w:p>
        </w:tc>
        <w:tc>
          <w:tcPr>
            <w:tcW w:w="754" w:type="pct"/>
            <w:tcBorders>
              <w:top w:val="nil"/>
              <w:left w:val="single" w:sz="4" w:space="0" w:color="auto"/>
              <w:bottom w:val="single" w:sz="4" w:space="0" w:color="auto"/>
              <w:right w:val="single" w:sz="4" w:space="0" w:color="auto"/>
            </w:tcBorders>
            <w:shd w:val="clear" w:color="auto" w:fill="auto"/>
            <w:tcMar>
              <w:top w:w="28" w:type="dxa"/>
              <w:bottom w:w="28" w:type="dxa"/>
            </w:tcMar>
            <w:vAlign w:val="center"/>
            <w:hideMark/>
          </w:tcPr>
          <w:p w14:paraId="744D74D6" w14:textId="605291D0" w:rsidR="00463BEF" w:rsidRPr="00455504" w:rsidRDefault="00463BEF" w:rsidP="00463BEF">
            <w:pPr>
              <w:jc w:val="right"/>
              <w:rPr>
                <w:rFonts w:cs="Arial"/>
                <w:color w:val="000000"/>
                <w:sz w:val="18"/>
                <w:szCs w:val="18"/>
              </w:rPr>
            </w:pPr>
            <w:r w:rsidRPr="00463BEF">
              <w:rPr>
                <w:rFonts w:cs="Arial"/>
                <w:color w:val="000000"/>
                <w:sz w:val="18"/>
                <w:szCs w:val="18"/>
              </w:rPr>
              <w:t>1.350.247.787</w:t>
            </w:r>
          </w:p>
        </w:tc>
        <w:tc>
          <w:tcPr>
            <w:tcW w:w="757" w:type="pct"/>
            <w:tcBorders>
              <w:top w:val="nil"/>
              <w:left w:val="single" w:sz="4" w:space="0" w:color="auto"/>
              <w:bottom w:val="single" w:sz="4" w:space="0" w:color="auto"/>
              <w:right w:val="nil"/>
            </w:tcBorders>
            <w:shd w:val="clear" w:color="auto" w:fill="auto"/>
            <w:tcMar>
              <w:top w:w="28" w:type="dxa"/>
              <w:bottom w:w="28" w:type="dxa"/>
            </w:tcMar>
            <w:vAlign w:val="center"/>
            <w:hideMark/>
          </w:tcPr>
          <w:p w14:paraId="5A88265C" w14:textId="49A1951B" w:rsidR="00463BEF" w:rsidRPr="00455504" w:rsidRDefault="00463BEF" w:rsidP="00463BEF">
            <w:pPr>
              <w:jc w:val="right"/>
              <w:rPr>
                <w:rFonts w:cs="Arial"/>
                <w:color w:val="000000"/>
                <w:sz w:val="18"/>
                <w:szCs w:val="18"/>
              </w:rPr>
            </w:pPr>
            <w:r w:rsidRPr="00463BEF">
              <w:rPr>
                <w:rFonts w:cs="Arial"/>
                <w:color w:val="000000"/>
                <w:sz w:val="18"/>
                <w:szCs w:val="18"/>
              </w:rPr>
              <w:t>1.427.157.482</w:t>
            </w:r>
          </w:p>
        </w:tc>
      </w:tr>
      <w:tr w:rsidR="00463BEF" w:rsidRPr="00455504" w14:paraId="5E142258" w14:textId="77777777" w:rsidTr="00147893">
        <w:trPr>
          <w:trHeight w:val="523"/>
        </w:trPr>
        <w:tc>
          <w:tcPr>
            <w:tcW w:w="1226" w:type="pct"/>
            <w:tcBorders>
              <w:top w:val="single" w:sz="4" w:space="0" w:color="auto"/>
              <w:left w:val="nil"/>
              <w:bottom w:val="single" w:sz="4" w:space="0" w:color="auto"/>
              <w:right w:val="single" w:sz="4" w:space="0" w:color="auto"/>
            </w:tcBorders>
            <w:shd w:val="clear" w:color="auto" w:fill="auto"/>
            <w:vAlign w:val="center"/>
            <w:hideMark/>
          </w:tcPr>
          <w:p w14:paraId="148FF954"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Total das Receitas Previdenciárias (I)</w:t>
            </w:r>
          </w:p>
        </w:tc>
        <w:tc>
          <w:tcPr>
            <w:tcW w:w="75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5CC150" w14:textId="77777777" w:rsidR="00463BEF" w:rsidRPr="00455504" w:rsidRDefault="00463BEF" w:rsidP="00802443">
            <w:pPr>
              <w:jc w:val="right"/>
              <w:rPr>
                <w:rFonts w:cs="Arial"/>
                <w:b/>
                <w:bCs/>
                <w:color w:val="000000"/>
                <w:sz w:val="18"/>
                <w:szCs w:val="18"/>
              </w:rPr>
            </w:pPr>
            <w:r w:rsidRPr="00455504">
              <w:rPr>
                <w:rFonts w:cs="Arial"/>
                <w:b/>
                <w:bCs/>
                <w:color w:val="000000"/>
                <w:sz w:val="18"/>
                <w:szCs w:val="18"/>
              </w:rPr>
              <w:t>3.381.270.759</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7103EF" w14:textId="77777777" w:rsidR="00463BEF" w:rsidRPr="00455504" w:rsidRDefault="00463BEF" w:rsidP="00802443">
            <w:pPr>
              <w:jc w:val="right"/>
              <w:rPr>
                <w:rFonts w:cs="Arial"/>
                <w:b/>
                <w:bCs/>
                <w:color w:val="000000"/>
                <w:sz w:val="18"/>
                <w:szCs w:val="18"/>
              </w:rPr>
            </w:pPr>
            <w:r w:rsidRPr="00455504">
              <w:rPr>
                <w:rFonts w:cs="Arial"/>
                <w:b/>
                <w:bCs/>
                <w:color w:val="000000"/>
                <w:sz w:val="18"/>
                <w:szCs w:val="18"/>
              </w:rPr>
              <w:t>2.790.083.106</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B0DAFD" w14:textId="77777777" w:rsidR="00463BEF" w:rsidRPr="00455504" w:rsidRDefault="00463BEF" w:rsidP="00802443">
            <w:pPr>
              <w:jc w:val="right"/>
              <w:rPr>
                <w:rFonts w:cs="Arial"/>
                <w:b/>
                <w:bCs/>
                <w:color w:val="000000"/>
                <w:sz w:val="18"/>
                <w:szCs w:val="18"/>
              </w:rPr>
            </w:pPr>
            <w:r w:rsidRPr="00455504">
              <w:rPr>
                <w:rFonts w:cs="Arial"/>
                <w:b/>
                <w:bCs/>
                <w:color w:val="000000"/>
                <w:sz w:val="18"/>
                <w:szCs w:val="18"/>
              </w:rPr>
              <w:t>2.879.996.125</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CDFCCB" w14:textId="77777777" w:rsidR="00463BEF" w:rsidRPr="00455504" w:rsidRDefault="00463BEF" w:rsidP="00802443">
            <w:pPr>
              <w:jc w:val="right"/>
              <w:rPr>
                <w:rFonts w:cs="Arial"/>
                <w:b/>
                <w:bCs/>
                <w:color w:val="000000"/>
                <w:sz w:val="18"/>
                <w:szCs w:val="18"/>
              </w:rPr>
            </w:pPr>
            <w:r w:rsidRPr="00455504">
              <w:rPr>
                <w:rFonts w:cs="Arial"/>
                <w:b/>
                <w:bCs/>
                <w:color w:val="000000"/>
                <w:sz w:val="18"/>
                <w:szCs w:val="18"/>
              </w:rPr>
              <w:t>2.956.737.162</w:t>
            </w:r>
          </w:p>
        </w:tc>
        <w:tc>
          <w:tcPr>
            <w:tcW w:w="757" w:type="pct"/>
            <w:tcBorders>
              <w:top w:val="single" w:sz="4" w:space="0" w:color="auto"/>
              <w:left w:val="single" w:sz="4" w:space="0" w:color="auto"/>
              <w:bottom w:val="single" w:sz="4" w:space="0" w:color="auto"/>
              <w:right w:val="nil"/>
            </w:tcBorders>
            <w:shd w:val="clear" w:color="auto" w:fill="auto"/>
            <w:vAlign w:val="center"/>
            <w:hideMark/>
          </w:tcPr>
          <w:p w14:paraId="3967CC44" w14:textId="77777777" w:rsidR="00463BEF" w:rsidRPr="00455504" w:rsidRDefault="00463BEF" w:rsidP="00802443">
            <w:pPr>
              <w:jc w:val="right"/>
              <w:rPr>
                <w:rFonts w:cs="Arial"/>
                <w:b/>
                <w:bCs/>
                <w:color w:val="000000"/>
                <w:sz w:val="18"/>
                <w:szCs w:val="18"/>
              </w:rPr>
            </w:pPr>
            <w:r w:rsidRPr="00455504">
              <w:rPr>
                <w:rFonts w:cs="Arial"/>
                <w:b/>
                <w:bCs/>
                <w:color w:val="000000"/>
                <w:sz w:val="18"/>
                <w:szCs w:val="18"/>
              </w:rPr>
              <w:t>3.306.642.305</w:t>
            </w:r>
          </w:p>
        </w:tc>
      </w:tr>
    </w:tbl>
    <w:p w14:paraId="65DE0CE0" w14:textId="6E7B3F1A" w:rsidR="00463BEF" w:rsidRDefault="00463BEF" w:rsidP="00463BEF"/>
    <w:p w14:paraId="0930B253" w14:textId="2186F37F" w:rsidR="001D1CB0" w:rsidRDefault="001D1CB0" w:rsidP="00463BEF"/>
    <w:p w14:paraId="513817E4" w14:textId="033E0D8E" w:rsidR="001D1CB0" w:rsidRDefault="001D1CB0" w:rsidP="00463BEF"/>
    <w:p w14:paraId="7E9AA0E0" w14:textId="77777777" w:rsidR="001D1CB0" w:rsidRDefault="001D1CB0" w:rsidP="00463BEF"/>
    <w:tbl>
      <w:tblPr>
        <w:tblW w:w="5000" w:type="pct"/>
        <w:tblCellMar>
          <w:left w:w="70" w:type="dxa"/>
          <w:right w:w="70" w:type="dxa"/>
        </w:tblCellMar>
        <w:tblLook w:val="04A0" w:firstRow="1" w:lastRow="0" w:firstColumn="1" w:lastColumn="0" w:noHBand="0" w:noVBand="1"/>
      </w:tblPr>
      <w:tblGrid>
        <w:gridCol w:w="1852"/>
        <w:gridCol w:w="1411"/>
        <w:gridCol w:w="1487"/>
        <w:gridCol w:w="1530"/>
        <w:gridCol w:w="1530"/>
        <w:gridCol w:w="1543"/>
      </w:tblGrid>
      <w:tr w:rsidR="00463BEF" w:rsidRPr="00455504" w14:paraId="78ED280E" w14:textId="77777777" w:rsidTr="00147893">
        <w:trPr>
          <w:trHeight w:val="340"/>
          <w:tblHeader/>
        </w:trPr>
        <w:tc>
          <w:tcPr>
            <w:tcW w:w="990" w:type="pct"/>
            <w:vMerge w:val="restart"/>
            <w:tcBorders>
              <w:top w:val="single" w:sz="4" w:space="0" w:color="auto"/>
              <w:left w:val="nil"/>
              <w:right w:val="single" w:sz="4" w:space="0" w:color="auto"/>
            </w:tcBorders>
            <w:shd w:val="clear" w:color="000000" w:fill="A2F2FD"/>
            <w:vAlign w:val="center"/>
            <w:hideMark/>
          </w:tcPr>
          <w:p w14:paraId="12A0E81C"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Despesas Previdenciárias</w:t>
            </w:r>
          </w:p>
        </w:tc>
        <w:tc>
          <w:tcPr>
            <w:tcW w:w="4010" w:type="pct"/>
            <w:gridSpan w:val="5"/>
            <w:tcBorders>
              <w:top w:val="single" w:sz="4" w:space="0" w:color="auto"/>
              <w:left w:val="single" w:sz="4" w:space="0" w:color="auto"/>
              <w:bottom w:val="single" w:sz="4" w:space="0" w:color="auto"/>
              <w:right w:val="nil"/>
            </w:tcBorders>
            <w:shd w:val="clear" w:color="000000" w:fill="A2F2FD"/>
            <w:vAlign w:val="center"/>
            <w:hideMark/>
          </w:tcPr>
          <w:p w14:paraId="41F541E1"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Despesas Liquidadas</w:t>
            </w:r>
          </w:p>
        </w:tc>
      </w:tr>
      <w:tr w:rsidR="00463BEF" w:rsidRPr="00455504" w14:paraId="3AD72A25" w14:textId="77777777" w:rsidTr="00117967">
        <w:trPr>
          <w:trHeight w:val="340"/>
          <w:tblHeader/>
        </w:trPr>
        <w:tc>
          <w:tcPr>
            <w:tcW w:w="990" w:type="pct"/>
            <w:vMerge/>
            <w:tcBorders>
              <w:left w:val="nil"/>
              <w:bottom w:val="single" w:sz="4" w:space="0" w:color="auto"/>
              <w:right w:val="single" w:sz="4" w:space="0" w:color="auto"/>
            </w:tcBorders>
            <w:shd w:val="clear" w:color="000000" w:fill="A2F2FD"/>
            <w:vAlign w:val="center"/>
          </w:tcPr>
          <w:p w14:paraId="3D26A0B0" w14:textId="77777777" w:rsidR="00463BEF" w:rsidRPr="00455504" w:rsidRDefault="00463BEF" w:rsidP="00802443">
            <w:pPr>
              <w:jc w:val="center"/>
              <w:rPr>
                <w:rFonts w:cs="Arial"/>
                <w:b/>
                <w:bCs/>
                <w:color w:val="000000"/>
                <w:sz w:val="18"/>
                <w:szCs w:val="18"/>
              </w:rPr>
            </w:pPr>
          </w:p>
        </w:tc>
        <w:tc>
          <w:tcPr>
            <w:tcW w:w="754" w:type="pct"/>
            <w:tcBorders>
              <w:top w:val="single" w:sz="4" w:space="0" w:color="auto"/>
              <w:left w:val="single" w:sz="4" w:space="0" w:color="auto"/>
              <w:bottom w:val="single" w:sz="4" w:space="0" w:color="auto"/>
              <w:right w:val="single" w:sz="4" w:space="0" w:color="auto"/>
            </w:tcBorders>
            <w:shd w:val="clear" w:color="000000" w:fill="A2F2FD"/>
            <w:vAlign w:val="center"/>
          </w:tcPr>
          <w:p w14:paraId="0DEF66AB"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2019</w:t>
            </w:r>
          </w:p>
        </w:tc>
        <w:tc>
          <w:tcPr>
            <w:tcW w:w="795" w:type="pct"/>
            <w:tcBorders>
              <w:top w:val="single" w:sz="4" w:space="0" w:color="auto"/>
              <w:left w:val="single" w:sz="4" w:space="0" w:color="auto"/>
              <w:bottom w:val="single" w:sz="4" w:space="0" w:color="auto"/>
              <w:right w:val="single" w:sz="4" w:space="0" w:color="auto"/>
            </w:tcBorders>
            <w:shd w:val="clear" w:color="000000" w:fill="A2F2FD"/>
            <w:vAlign w:val="center"/>
          </w:tcPr>
          <w:p w14:paraId="344262B9"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2020</w:t>
            </w:r>
          </w:p>
        </w:tc>
        <w:tc>
          <w:tcPr>
            <w:tcW w:w="818" w:type="pct"/>
            <w:tcBorders>
              <w:top w:val="single" w:sz="4" w:space="0" w:color="auto"/>
              <w:left w:val="single" w:sz="4" w:space="0" w:color="auto"/>
              <w:bottom w:val="single" w:sz="4" w:space="0" w:color="auto"/>
              <w:right w:val="single" w:sz="4" w:space="0" w:color="auto"/>
            </w:tcBorders>
            <w:shd w:val="clear" w:color="000000" w:fill="A2F2FD"/>
            <w:vAlign w:val="center"/>
          </w:tcPr>
          <w:p w14:paraId="71D21A50"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2021</w:t>
            </w:r>
          </w:p>
        </w:tc>
        <w:tc>
          <w:tcPr>
            <w:tcW w:w="818" w:type="pct"/>
            <w:tcBorders>
              <w:top w:val="single" w:sz="4" w:space="0" w:color="auto"/>
              <w:left w:val="single" w:sz="4" w:space="0" w:color="auto"/>
              <w:bottom w:val="single" w:sz="4" w:space="0" w:color="auto"/>
              <w:right w:val="single" w:sz="4" w:space="0" w:color="auto"/>
            </w:tcBorders>
            <w:shd w:val="clear" w:color="000000" w:fill="A2F2FD"/>
            <w:vAlign w:val="center"/>
          </w:tcPr>
          <w:p w14:paraId="2448575D"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2022</w:t>
            </w:r>
          </w:p>
        </w:tc>
        <w:tc>
          <w:tcPr>
            <w:tcW w:w="825" w:type="pct"/>
            <w:tcBorders>
              <w:top w:val="single" w:sz="4" w:space="0" w:color="auto"/>
              <w:left w:val="single" w:sz="4" w:space="0" w:color="auto"/>
              <w:bottom w:val="single" w:sz="4" w:space="0" w:color="auto"/>
              <w:right w:val="nil"/>
            </w:tcBorders>
            <w:shd w:val="clear" w:color="000000" w:fill="A2F2FD"/>
            <w:vAlign w:val="center"/>
          </w:tcPr>
          <w:p w14:paraId="064C5EA2"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2023</w:t>
            </w:r>
          </w:p>
        </w:tc>
      </w:tr>
      <w:tr w:rsidR="00463BEF" w:rsidRPr="00455504" w14:paraId="17953D3A" w14:textId="77777777" w:rsidTr="00117967">
        <w:trPr>
          <w:trHeight w:val="284"/>
        </w:trPr>
        <w:tc>
          <w:tcPr>
            <w:tcW w:w="990" w:type="pct"/>
            <w:tcBorders>
              <w:top w:val="single" w:sz="4" w:space="0" w:color="auto"/>
              <w:left w:val="nil"/>
              <w:bottom w:val="nil"/>
              <w:right w:val="single" w:sz="4" w:space="0" w:color="auto"/>
            </w:tcBorders>
            <w:shd w:val="clear" w:color="auto" w:fill="auto"/>
            <w:tcMar>
              <w:top w:w="28" w:type="dxa"/>
              <w:bottom w:w="28" w:type="dxa"/>
            </w:tcMar>
            <w:vAlign w:val="center"/>
            <w:hideMark/>
          </w:tcPr>
          <w:p w14:paraId="6B78973E" w14:textId="77777777" w:rsidR="00463BEF" w:rsidRPr="00455504" w:rsidRDefault="00463BEF" w:rsidP="00802443">
            <w:pPr>
              <w:rPr>
                <w:rFonts w:cs="Arial"/>
                <w:color w:val="000000"/>
                <w:sz w:val="18"/>
                <w:szCs w:val="18"/>
              </w:rPr>
            </w:pPr>
            <w:r w:rsidRPr="00455504">
              <w:rPr>
                <w:rFonts w:cs="Arial"/>
                <w:color w:val="000000"/>
                <w:sz w:val="18"/>
                <w:szCs w:val="18"/>
              </w:rPr>
              <w:t>Administração</w:t>
            </w:r>
          </w:p>
        </w:tc>
        <w:tc>
          <w:tcPr>
            <w:tcW w:w="754" w:type="pct"/>
            <w:tcBorders>
              <w:top w:val="single" w:sz="4" w:space="0" w:color="auto"/>
              <w:left w:val="single" w:sz="4" w:space="0" w:color="auto"/>
              <w:bottom w:val="nil"/>
              <w:right w:val="single" w:sz="4" w:space="0" w:color="auto"/>
            </w:tcBorders>
            <w:shd w:val="clear" w:color="auto" w:fill="auto"/>
            <w:tcMar>
              <w:top w:w="28" w:type="dxa"/>
              <w:bottom w:w="28" w:type="dxa"/>
            </w:tcMar>
            <w:vAlign w:val="center"/>
            <w:hideMark/>
          </w:tcPr>
          <w:p w14:paraId="0C4F2282" w14:textId="77777777" w:rsidR="00463BEF" w:rsidRPr="00455504" w:rsidRDefault="00463BEF" w:rsidP="00802443">
            <w:pPr>
              <w:jc w:val="right"/>
              <w:rPr>
                <w:rFonts w:cs="Arial"/>
                <w:color w:val="000000"/>
                <w:sz w:val="18"/>
                <w:szCs w:val="18"/>
              </w:rPr>
            </w:pPr>
            <w:r w:rsidRPr="00455504">
              <w:rPr>
                <w:rFonts w:cs="Arial"/>
                <w:color w:val="000000"/>
                <w:sz w:val="18"/>
                <w:szCs w:val="18"/>
              </w:rPr>
              <w:t>37.204.049</w:t>
            </w:r>
          </w:p>
        </w:tc>
        <w:tc>
          <w:tcPr>
            <w:tcW w:w="795" w:type="pct"/>
            <w:tcBorders>
              <w:top w:val="single" w:sz="4" w:space="0" w:color="auto"/>
              <w:left w:val="single" w:sz="4" w:space="0" w:color="auto"/>
              <w:bottom w:val="nil"/>
              <w:right w:val="single" w:sz="4" w:space="0" w:color="auto"/>
            </w:tcBorders>
            <w:shd w:val="clear" w:color="auto" w:fill="auto"/>
            <w:tcMar>
              <w:top w:w="28" w:type="dxa"/>
              <w:bottom w:w="28" w:type="dxa"/>
            </w:tcMar>
            <w:vAlign w:val="center"/>
            <w:hideMark/>
          </w:tcPr>
          <w:p w14:paraId="52EB87CD" w14:textId="77777777" w:rsidR="00463BEF" w:rsidRPr="00455504" w:rsidRDefault="00463BEF" w:rsidP="00802443">
            <w:pPr>
              <w:jc w:val="right"/>
              <w:rPr>
                <w:rFonts w:cs="Arial"/>
                <w:color w:val="000000"/>
                <w:sz w:val="18"/>
                <w:szCs w:val="18"/>
              </w:rPr>
            </w:pPr>
            <w:r w:rsidRPr="00455504">
              <w:rPr>
                <w:rFonts w:cs="Arial"/>
                <w:color w:val="000000"/>
                <w:sz w:val="18"/>
                <w:szCs w:val="18"/>
              </w:rPr>
              <w:t>68.436.413</w:t>
            </w:r>
          </w:p>
        </w:tc>
        <w:tc>
          <w:tcPr>
            <w:tcW w:w="818" w:type="pct"/>
            <w:tcBorders>
              <w:top w:val="single" w:sz="4" w:space="0" w:color="auto"/>
              <w:left w:val="single" w:sz="4" w:space="0" w:color="auto"/>
              <w:bottom w:val="nil"/>
              <w:right w:val="single" w:sz="4" w:space="0" w:color="auto"/>
            </w:tcBorders>
            <w:shd w:val="clear" w:color="auto" w:fill="auto"/>
            <w:tcMar>
              <w:top w:w="28" w:type="dxa"/>
              <w:bottom w:w="28" w:type="dxa"/>
            </w:tcMar>
            <w:vAlign w:val="center"/>
            <w:hideMark/>
          </w:tcPr>
          <w:p w14:paraId="30C5B49E" w14:textId="77777777" w:rsidR="00463BEF" w:rsidRPr="00455504" w:rsidRDefault="00463BEF" w:rsidP="00802443">
            <w:pPr>
              <w:jc w:val="right"/>
              <w:rPr>
                <w:rFonts w:cs="Arial"/>
                <w:color w:val="000000"/>
                <w:sz w:val="18"/>
                <w:szCs w:val="18"/>
              </w:rPr>
            </w:pPr>
            <w:r w:rsidRPr="00455504">
              <w:rPr>
                <w:rFonts w:cs="Arial"/>
                <w:color w:val="000000"/>
                <w:sz w:val="18"/>
                <w:szCs w:val="18"/>
              </w:rPr>
              <w:t>44.868.527</w:t>
            </w:r>
          </w:p>
        </w:tc>
        <w:tc>
          <w:tcPr>
            <w:tcW w:w="818" w:type="pct"/>
            <w:tcBorders>
              <w:top w:val="single" w:sz="4" w:space="0" w:color="auto"/>
              <w:left w:val="single" w:sz="4" w:space="0" w:color="auto"/>
              <w:bottom w:val="nil"/>
              <w:right w:val="single" w:sz="4" w:space="0" w:color="auto"/>
            </w:tcBorders>
            <w:shd w:val="clear" w:color="auto" w:fill="auto"/>
            <w:tcMar>
              <w:top w:w="28" w:type="dxa"/>
              <w:bottom w:w="28" w:type="dxa"/>
            </w:tcMar>
            <w:vAlign w:val="center"/>
            <w:hideMark/>
          </w:tcPr>
          <w:p w14:paraId="2BAECF84" w14:textId="77777777" w:rsidR="00463BEF" w:rsidRPr="00455504" w:rsidRDefault="00463BEF" w:rsidP="00802443">
            <w:pPr>
              <w:jc w:val="right"/>
              <w:rPr>
                <w:rFonts w:cs="Arial"/>
                <w:color w:val="000000"/>
                <w:sz w:val="18"/>
                <w:szCs w:val="18"/>
              </w:rPr>
            </w:pPr>
            <w:r w:rsidRPr="00455504">
              <w:rPr>
                <w:rFonts w:cs="Arial"/>
                <w:color w:val="000000"/>
                <w:sz w:val="18"/>
                <w:szCs w:val="18"/>
              </w:rPr>
              <w:t>50.257.425</w:t>
            </w:r>
          </w:p>
        </w:tc>
        <w:tc>
          <w:tcPr>
            <w:tcW w:w="825" w:type="pct"/>
            <w:tcBorders>
              <w:top w:val="single" w:sz="4" w:space="0" w:color="auto"/>
              <w:left w:val="single" w:sz="4" w:space="0" w:color="auto"/>
              <w:bottom w:val="nil"/>
              <w:right w:val="nil"/>
            </w:tcBorders>
            <w:shd w:val="clear" w:color="auto" w:fill="auto"/>
            <w:tcMar>
              <w:top w:w="28" w:type="dxa"/>
              <w:bottom w:w="28" w:type="dxa"/>
            </w:tcMar>
            <w:vAlign w:val="center"/>
            <w:hideMark/>
          </w:tcPr>
          <w:p w14:paraId="6C5BC4AE" w14:textId="77777777" w:rsidR="00463BEF" w:rsidRPr="00455504" w:rsidRDefault="00463BEF" w:rsidP="00802443">
            <w:pPr>
              <w:jc w:val="right"/>
              <w:rPr>
                <w:rFonts w:cs="Arial"/>
                <w:color w:val="000000"/>
                <w:sz w:val="18"/>
                <w:szCs w:val="18"/>
              </w:rPr>
            </w:pPr>
            <w:r w:rsidRPr="00455504">
              <w:rPr>
                <w:rFonts w:cs="Arial"/>
                <w:color w:val="000000"/>
                <w:sz w:val="18"/>
                <w:szCs w:val="18"/>
              </w:rPr>
              <w:t>-</w:t>
            </w:r>
          </w:p>
        </w:tc>
      </w:tr>
      <w:tr w:rsidR="00463BEF" w:rsidRPr="00455504" w14:paraId="23F9AD2E" w14:textId="77777777" w:rsidTr="00117967">
        <w:trPr>
          <w:trHeight w:val="284"/>
        </w:trPr>
        <w:tc>
          <w:tcPr>
            <w:tcW w:w="990" w:type="pct"/>
            <w:tcBorders>
              <w:top w:val="nil"/>
              <w:left w:val="nil"/>
              <w:bottom w:val="single" w:sz="4" w:space="0" w:color="auto"/>
              <w:right w:val="single" w:sz="4" w:space="0" w:color="auto"/>
            </w:tcBorders>
            <w:shd w:val="clear" w:color="auto" w:fill="auto"/>
            <w:tcMar>
              <w:top w:w="28" w:type="dxa"/>
              <w:bottom w:w="28" w:type="dxa"/>
            </w:tcMar>
            <w:vAlign w:val="center"/>
            <w:hideMark/>
          </w:tcPr>
          <w:p w14:paraId="535A90D8" w14:textId="77777777" w:rsidR="00463BEF" w:rsidRPr="00455504" w:rsidRDefault="00463BEF" w:rsidP="00802443">
            <w:pPr>
              <w:rPr>
                <w:rFonts w:cs="Arial"/>
                <w:color w:val="000000"/>
                <w:sz w:val="18"/>
                <w:szCs w:val="18"/>
              </w:rPr>
            </w:pPr>
            <w:r w:rsidRPr="00455504">
              <w:rPr>
                <w:rFonts w:cs="Arial"/>
                <w:color w:val="000000"/>
                <w:sz w:val="18"/>
                <w:szCs w:val="18"/>
              </w:rPr>
              <w:t>Previdência Social</w:t>
            </w:r>
          </w:p>
        </w:tc>
        <w:tc>
          <w:tcPr>
            <w:tcW w:w="754" w:type="pct"/>
            <w:tcBorders>
              <w:top w:val="nil"/>
              <w:left w:val="single" w:sz="4" w:space="0" w:color="auto"/>
              <w:bottom w:val="single" w:sz="4" w:space="0" w:color="auto"/>
              <w:right w:val="single" w:sz="4" w:space="0" w:color="auto"/>
            </w:tcBorders>
            <w:shd w:val="clear" w:color="auto" w:fill="auto"/>
            <w:tcMar>
              <w:top w:w="28" w:type="dxa"/>
              <w:bottom w:w="28" w:type="dxa"/>
            </w:tcMar>
            <w:vAlign w:val="center"/>
            <w:hideMark/>
          </w:tcPr>
          <w:p w14:paraId="54737FD7" w14:textId="77777777" w:rsidR="00463BEF" w:rsidRPr="00455504" w:rsidRDefault="00463BEF" w:rsidP="00802443">
            <w:pPr>
              <w:jc w:val="right"/>
              <w:rPr>
                <w:rFonts w:cs="Arial"/>
                <w:color w:val="000000"/>
                <w:sz w:val="18"/>
                <w:szCs w:val="18"/>
              </w:rPr>
            </w:pPr>
            <w:r w:rsidRPr="00455504">
              <w:rPr>
                <w:rFonts w:cs="Arial"/>
                <w:color w:val="000000"/>
                <w:sz w:val="18"/>
                <w:szCs w:val="18"/>
              </w:rPr>
              <w:t>6.281.668.318</w:t>
            </w:r>
          </w:p>
        </w:tc>
        <w:tc>
          <w:tcPr>
            <w:tcW w:w="795" w:type="pct"/>
            <w:tcBorders>
              <w:top w:val="nil"/>
              <w:left w:val="single" w:sz="4" w:space="0" w:color="auto"/>
              <w:bottom w:val="single" w:sz="4" w:space="0" w:color="auto"/>
              <w:right w:val="single" w:sz="4" w:space="0" w:color="auto"/>
            </w:tcBorders>
            <w:shd w:val="clear" w:color="auto" w:fill="auto"/>
            <w:tcMar>
              <w:top w:w="28" w:type="dxa"/>
              <w:bottom w:w="28" w:type="dxa"/>
            </w:tcMar>
            <w:vAlign w:val="center"/>
            <w:hideMark/>
          </w:tcPr>
          <w:p w14:paraId="6DFC3EFB" w14:textId="77777777" w:rsidR="00463BEF" w:rsidRPr="00455504" w:rsidRDefault="00463BEF" w:rsidP="00802443">
            <w:pPr>
              <w:jc w:val="right"/>
              <w:rPr>
                <w:rFonts w:cs="Arial"/>
                <w:color w:val="000000"/>
                <w:sz w:val="18"/>
                <w:szCs w:val="18"/>
              </w:rPr>
            </w:pPr>
            <w:r w:rsidRPr="00455504">
              <w:rPr>
                <w:rFonts w:cs="Arial"/>
                <w:color w:val="000000"/>
                <w:sz w:val="18"/>
                <w:szCs w:val="18"/>
              </w:rPr>
              <w:t>6.292.878.448</w:t>
            </w:r>
          </w:p>
        </w:tc>
        <w:tc>
          <w:tcPr>
            <w:tcW w:w="818" w:type="pct"/>
            <w:tcBorders>
              <w:top w:val="nil"/>
              <w:left w:val="single" w:sz="4" w:space="0" w:color="auto"/>
              <w:bottom w:val="single" w:sz="4" w:space="0" w:color="auto"/>
              <w:right w:val="single" w:sz="4" w:space="0" w:color="auto"/>
            </w:tcBorders>
            <w:shd w:val="clear" w:color="auto" w:fill="auto"/>
            <w:tcMar>
              <w:top w:w="28" w:type="dxa"/>
              <w:bottom w:w="28" w:type="dxa"/>
            </w:tcMar>
            <w:vAlign w:val="center"/>
            <w:hideMark/>
          </w:tcPr>
          <w:p w14:paraId="01092843" w14:textId="77777777" w:rsidR="00463BEF" w:rsidRPr="00455504" w:rsidRDefault="00463BEF" w:rsidP="00802443">
            <w:pPr>
              <w:jc w:val="right"/>
              <w:rPr>
                <w:rFonts w:cs="Arial"/>
                <w:color w:val="000000"/>
                <w:sz w:val="18"/>
                <w:szCs w:val="18"/>
              </w:rPr>
            </w:pPr>
            <w:r w:rsidRPr="00455504">
              <w:rPr>
                <w:rFonts w:cs="Arial"/>
                <w:color w:val="000000"/>
                <w:sz w:val="18"/>
                <w:szCs w:val="18"/>
              </w:rPr>
              <w:t>6.647.026.511</w:t>
            </w:r>
          </w:p>
        </w:tc>
        <w:tc>
          <w:tcPr>
            <w:tcW w:w="818" w:type="pct"/>
            <w:tcBorders>
              <w:top w:val="nil"/>
              <w:left w:val="single" w:sz="4" w:space="0" w:color="auto"/>
              <w:bottom w:val="single" w:sz="4" w:space="0" w:color="auto"/>
              <w:right w:val="single" w:sz="4" w:space="0" w:color="auto"/>
            </w:tcBorders>
            <w:shd w:val="clear" w:color="auto" w:fill="auto"/>
            <w:tcMar>
              <w:top w:w="28" w:type="dxa"/>
              <w:bottom w:w="28" w:type="dxa"/>
            </w:tcMar>
            <w:vAlign w:val="center"/>
            <w:hideMark/>
          </w:tcPr>
          <w:p w14:paraId="575A363B" w14:textId="77777777" w:rsidR="00463BEF" w:rsidRPr="00455504" w:rsidRDefault="00463BEF" w:rsidP="00802443">
            <w:pPr>
              <w:jc w:val="right"/>
              <w:rPr>
                <w:rFonts w:cs="Arial"/>
                <w:color w:val="000000"/>
                <w:sz w:val="18"/>
                <w:szCs w:val="18"/>
              </w:rPr>
            </w:pPr>
            <w:r w:rsidRPr="00455504">
              <w:rPr>
                <w:rFonts w:cs="Arial"/>
                <w:color w:val="000000"/>
                <w:sz w:val="18"/>
                <w:szCs w:val="18"/>
              </w:rPr>
              <w:t>7.409.243.300</w:t>
            </w:r>
          </w:p>
        </w:tc>
        <w:tc>
          <w:tcPr>
            <w:tcW w:w="825" w:type="pct"/>
            <w:tcBorders>
              <w:top w:val="nil"/>
              <w:left w:val="single" w:sz="4" w:space="0" w:color="auto"/>
              <w:bottom w:val="single" w:sz="4" w:space="0" w:color="auto"/>
              <w:right w:val="nil"/>
            </w:tcBorders>
            <w:shd w:val="clear" w:color="auto" w:fill="auto"/>
            <w:tcMar>
              <w:top w:w="28" w:type="dxa"/>
              <w:bottom w:w="28" w:type="dxa"/>
            </w:tcMar>
            <w:vAlign w:val="center"/>
            <w:hideMark/>
          </w:tcPr>
          <w:p w14:paraId="3ADF4F80" w14:textId="77777777" w:rsidR="00463BEF" w:rsidRPr="00455504" w:rsidRDefault="00463BEF" w:rsidP="00802443">
            <w:pPr>
              <w:jc w:val="right"/>
              <w:rPr>
                <w:rFonts w:cs="Arial"/>
                <w:color w:val="000000"/>
                <w:sz w:val="18"/>
                <w:szCs w:val="18"/>
              </w:rPr>
            </w:pPr>
            <w:r w:rsidRPr="00455504">
              <w:rPr>
                <w:rFonts w:cs="Arial"/>
                <w:color w:val="000000"/>
                <w:sz w:val="18"/>
                <w:szCs w:val="18"/>
              </w:rPr>
              <w:t>7.934.127.437</w:t>
            </w:r>
          </w:p>
        </w:tc>
      </w:tr>
      <w:tr w:rsidR="00463BEF" w:rsidRPr="00455504" w14:paraId="4C9AB682" w14:textId="77777777" w:rsidTr="00117967">
        <w:trPr>
          <w:trHeight w:val="284"/>
        </w:trPr>
        <w:tc>
          <w:tcPr>
            <w:tcW w:w="990" w:type="pct"/>
            <w:tcBorders>
              <w:top w:val="single" w:sz="4" w:space="0" w:color="auto"/>
              <w:left w:val="nil"/>
              <w:bottom w:val="single" w:sz="4" w:space="0" w:color="auto"/>
              <w:right w:val="single" w:sz="4" w:space="0" w:color="auto"/>
            </w:tcBorders>
            <w:shd w:val="clear" w:color="auto" w:fill="auto"/>
            <w:tcMar>
              <w:top w:w="28" w:type="dxa"/>
              <w:bottom w:w="28" w:type="dxa"/>
            </w:tcMar>
            <w:vAlign w:val="center"/>
            <w:hideMark/>
          </w:tcPr>
          <w:p w14:paraId="3C7582B8"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Total das Despesas Previdenciárias (II)</w:t>
            </w:r>
          </w:p>
        </w:tc>
        <w:tc>
          <w:tcPr>
            <w:tcW w:w="75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hideMark/>
          </w:tcPr>
          <w:p w14:paraId="0324B1DA" w14:textId="77777777" w:rsidR="00463BEF" w:rsidRPr="00455504" w:rsidRDefault="00463BEF" w:rsidP="00802443">
            <w:pPr>
              <w:jc w:val="right"/>
              <w:rPr>
                <w:rFonts w:cs="Arial"/>
                <w:b/>
                <w:bCs/>
                <w:color w:val="000000"/>
                <w:sz w:val="18"/>
                <w:szCs w:val="18"/>
              </w:rPr>
            </w:pPr>
            <w:r w:rsidRPr="00455504">
              <w:rPr>
                <w:rFonts w:cs="Arial"/>
                <w:b/>
                <w:bCs/>
                <w:color w:val="000000"/>
                <w:sz w:val="18"/>
                <w:szCs w:val="18"/>
              </w:rPr>
              <w:t>6.318.872.367</w:t>
            </w:r>
          </w:p>
        </w:tc>
        <w:tc>
          <w:tcPr>
            <w:tcW w:w="79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hideMark/>
          </w:tcPr>
          <w:p w14:paraId="31C7A5FA" w14:textId="77777777" w:rsidR="00463BEF" w:rsidRPr="00455504" w:rsidRDefault="00463BEF" w:rsidP="00802443">
            <w:pPr>
              <w:jc w:val="right"/>
              <w:rPr>
                <w:rFonts w:cs="Arial"/>
                <w:b/>
                <w:bCs/>
                <w:color w:val="000000"/>
                <w:sz w:val="18"/>
                <w:szCs w:val="18"/>
              </w:rPr>
            </w:pPr>
            <w:r w:rsidRPr="00455504">
              <w:rPr>
                <w:rFonts w:cs="Arial"/>
                <w:b/>
                <w:bCs/>
                <w:color w:val="000000"/>
                <w:sz w:val="18"/>
                <w:szCs w:val="18"/>
              </w:rPr>
              <w:t>6.361.314.860</w:t>
            </w:r>
          </w:p>
        </w:tc>
        <w:tc>
          <w:tcPr>
            <w:tcW w:w="818"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hideMark/>
          </w:tcPr>
          <w:p w14:paraId="533740FD" w14:textId="77777777" w:rsidR="00463BEF" w:rsidRPr="00455504" w:rsidRDefault="00463BEF" w:rsidP="00802443">
            <w:pPr>
              <w:jc w:val="right"/>
              <w:rPr>
                <w:rFonts w:cs="Arial"/>
                <w:b/>
                <w:bCs/>
                <w:color w:val="000000"/>
                <w:sz w:val="18"/>
                <w:szCs w:val="18"/>
              </w:rPr>
            </w:pPr>
            <w:r w:rsidRPr="00455504">
              <w:rPr>
                <w:rFonts w:cs="Arial"/>
                <w:b/>
                <w:bCs/>
                <w:color w:val="000000"/>
                <w:sz w:val="18"/>
                <w:szCs w:val="18"/>
              </w:rPr>
              <w:t>6.691.895.038</w:t>
            </w:r>
          </w:p>
        </w:tc>
        <w:tc>
          <w:tcPr>
            <w:tcW w:w="818"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hideMark/>
          </w:tcPr>
          <w:p w14:paraId="09C4FA3D" w14:textId="77777777" w:rsidR="00463BEF" w:rsidRPr="00455504" w:rsidRDefault="00463BEF" w:rsidP="00802443">
            <w:pPr>
              <w:jc w:val="right"/>
              <w:rPr>
                <w:rFonts w:cs="Arial"/>
                <w:b/>
                <w:bCs/>
                <w:color w:val="000000"/>
                <w:sz w:val="18"/>
                <w:szCs w:val="18"/>
              </w:rPr>
            </w:pPr>
            <w:r w:rsidRPr="00455504">
              <w:rPr>
                <w:rFonts w:cs="Arial"/>
                <w:b/>
                <w:bCs/>
                <w:color w:val="000000"/>
                <w:sz w:val="18"/>
                <w:szCs w:val="18"/>
              </w:rPr>
              <w:t>7.459.500.725</w:t>
            </w:r>
          </w:p>
        </w:tc>
        <w:tc>
          <w:tcPr>
            <w:tcW w:w="825" w:type="pct"/>
            <w:tcBorders>
              <w:top w:val="single" w:sz="4" w:space="0" w:color="auto"/>
              <w:left w:val="single" w:sz="4" w:space="0" w:color="auto"/>
              <w:bottom w:val="single" w:sz="4" w:space="0" w:color="auto"/>
              <w:right w:val="nil"/>
            </w:tcBorders>
            <w:shd w:val="clear" w:color="auto" w:fill="auto"/>
            <w:tcMar>
              <w:top w:w="28" w:type="dxa"/>
              <w:bottom w:w="28" w:type="dxa"/>
            </w:tcMar>
            <w:vAlign w:val="center"/>
            <w:hideMark/>
          </w:tcPr>
          <w:p w14:paraId="64C09ED8" w14:textId="77777777" w:rsidR="00463BEF" w:rsidRPr="00455504" w:rsidRDefault="00463BEF" w:rsidP="00802443">
            <w:pPr>
              <w:jc w:val="right"/>
              <w:rPr>
                <w:rFonts w:cs="Arial"/>
                <w:b/>
                <w:bCs/>
                <w:color w:val="000000"/>
                <w:sz w:val="18"/>
                <w:szCs w:val="18"/>
              </w:rPr>
            </w:pPr>
            <w:r w:rsidRPr="00455504">
              <w:rPr>
                <w:rFonts w:cs="Arial"/>
                <w:b/>
                <w:bCs/>
                <w:color w:val="000000"/>
                <w:sz w:val="18"/>
                <w:szCs w:val="18"/>
              </w:rPr>
              <w:t>7.934.127.437</w:t>
            </w:r>
          </w:p>
        </w:tc>
      </w:tr>
      <w:tr w:rsidR="00463BEF" w:rsidRPr="00455504" w14:paraId="4E537324" w14:textId="77777777" w:rsidTr="00117967">
        <w:trPr>
          <w:trHeight w:val="227"/>
        </w:trPr>
        <w:tc>
          <w:tcPr>
            <w:tcW w:w="990" w:type="pct"/>
            <w:tcBorders>
              <w:top w:val="single" w:sz="4" w:space="0" w:color="auto"/>
              <w:left w:val="nil"/>
              <w:bottom w:val="single" w:sz="4" w:space="0" w:color="auto"/>
              <w:right w:val="nil"/>
            </w:tcBorders>
            <w:shd w:val="clear" w:color="000000" w:fill="FFFFFF"/>
            <w:vAlign w:val="center"/>
            <w:hideMark/>
          </w:tcPr>
          <w:p w14:paraId="66588499" w14:textId="77777777" w:rsidR="00463BEF" w:rsidRPr="00455504" w:rsidRDefault="00463BEF" w:rsidP="00802443">
            <w:pPr>
              <w:rPr>
                <w:rFonts w:cs="Arial"/>
                <w:color w:val="000000"/>
                <w:sz w:val="18"/>
                <w:szCs w:val="18"/>
              </w:rPr>
            </w:pPr>
            <w:r w:rsidRPr="00455504">
              <w:rPr>
                <w:rFonts w:cs="Arial"/>
                <w:color w:val="000000"/>
                <w:sz w:val="18"/>
                <w:szCs w:val="18"/>
              </w:rPr>
              <w:t> </w:t>
            </w:r>
          </w:p>
        </w:tc>
        <w:tc>
          <w:tcPr>
            <w:tcW w:w="754" w:type="pct"/>
            <w:tcBorders>
              <w:top w:val="single" w:sz="4" w:space="0" w:color="auto"/>
              <w:left w:val="nil"/>
              <w:bottom w:val="single" w:sz="4" w:space="0" w:color="auto"/>
              <w:right w:val="nil"/>
            </w:tcBorders>
            <w:shd w:val="clear" w:color="000000" w:fill="FFFFFF"/>
            <w:vAlign w:val="center"/>
            <w:hideMark/>
          </w:tcPr>
          <w:p w14:paraId="6CE3C695" w14:textId="77777777" w:rsidR="00463BEF" w:rsidRPr="00455504" w:rsidRDefault="00463BEF" w:rsidP="00802443">
            <w:pPr>
              <w:rPr>
                <w:rFonts w:cs="Arial"/>
                <w:color w:val="000000"/>
                <w:sz w:val="18"/>
                <w:szCs w:val="18"/>
              </w:rPr>
            </w:pPr>
            <w:r w:rsidRPr="00455504">
              <w:rPr>
                <w:rFonts w:cs="Arial"/>
                <w:color w:val="000000"/>
                <w:sz w:val="18"/>
                <w:szCs w:val="18"/>
              </w:rPr>
              <w:t> </w:t>
            </w:r>
          </w:p>
        </w:tc>
        <w:tc>
          <w:tcPr>
            <w:tcW w:w="795" w:type="pct"/>
            <w:tcBorders>
              <w:top w:val="single" w:sz="4" w:space="0" w:color="auto"/>
              <w:left w:val="nil"/>
              <w:bottom w:val="single" w:sz="4" w:space="0" w:color="auto"/>
              <w:right w:val="nil"/>
            </w:tcBorders>
            <w:shd w:val="clear" w:color="000000" w:fill="FFFFFF"/>
            <w:vAlign w:val="center"/>
            <w:hideMark/>
          </w:tcPr>
          <w:p w14:paraId="79463CA2" w14:textId="77777777" w:rsidR="00463BEF" w:rsidRPr="00455504" w:rsidRDefault="00463BEF" w:rsidP="00802443">
            <w:pPr>
              <w:rPr>
                <w:rFonts w:cs="Arial"/>
                <w:color w:val="000000"/>
                <w:sz w:val="18"/>
                <w:szCs w:val="18"/>
              </w:rPr>
            </w:pPr>
            <w:r w:rsidRPr="00455504">
              <w:rPr>
                <w:rFonts w:cs="Arial"/>
                <w:color w:val="000000"/>
                <w:sz w:val="18"/>
                <w:szCs w:val="18"/>
              </w:rPr>
              <w:t> </w:t>
            </w:r>
          </w:p>
        </w:tc>
        <w:tc>
          <w:tcPr>
            <w:tcW w:w="818" w:type="pct"/>
            <w:tcBorders>
              <w:top w:val="single" w:sz="4" w:space="0" w:color="auto"/>
              <w:left w:val="nil"/>
              <w:bottom w:val="single" w:sz="4" w:space="0" w:color="auto"/>
              <w:right w:val="nil"/>
            </w:tcBorders>
            <w:shd w:val="clear" w:color="000000" w:fill="FFFFFF"/>
            <w:vAlign w:val="center"/>
            <w:hideMark/>
          </w:tcPr>
          <w:p w14:paraId="16911275" w14:textId="77777777" w:rsidR="00463BEF" w:rsidRPr="00455504" w:rsidRDefault="00463BEF" w:rsidP="00802443">
            <w:pPr>
              <w:rPr>
                <w:rFonts w:cs="Arial"/>
                <w:color w:val="000000"/>
                <w:sz w:val="18"/>
                <w:szCs w:val="18"/>
              </w:rPr>
            </w:pPr>
            <w:r w:rsidRPr="00455504">
              <w:rPr>
                <w:rFonts w:cs="Arial"/>
                <w:color w:val="000000"/>
                <w:sz w:val="18"/>
                <w:szCs w:val="18"/>
              </w:rPr>
              <w:t> </w:t>
            </w:r>
          </w:p>
        </w:tc>
        <w:tc>
          <w:tcPr>
            <w:tcW w:w="818" w:type="pct"/>
            <w:tcBorders>
              <w:top w:val="single" w:sz="4" w:space="0" w:color="auto"/>
              <w:left w:val="nil"/>
              <w:bottom w:val="single" w:sz="4" w:space="0" w:color="auto"/>
              <w:right w:val="nil"/>
            </w:tcBorders>
            <w:shd w:val="clear" w:color="000000" w:fill="FFFFFF"/>
            <w:vAlign w:val="center"/>
            <w:hideMark/>
          </w:tcPr>
          <w:p w14:paraId="567DD2DE" w14:textId="77777777" w:rsidR="00463BEF" w:rsidRPr="00455504" w:rsidRDefault="00463BEF" w:rsidP="00802443">
            <w:pPr>
              <w:rPr>
                <w:rFonts w:cs="Arial"/>
                <w:color w:val="000000"/>
                <w:sz w:val="18"/>
                <w:szCs w:val="18"/>
              </w:rPr>
            </w:pPr>
            <w:r w:rsidRPr="00455504">
              <w:rPr>
                <w:rFonts w:cs="Arial"/>
                <w:color w:val="000000"/>
                <w:sz w:val="18"/>
                <w:szCs w:val="18"/>
              </w:rPr>
              <w:t> </w:t>
            </w:r>
          </w:p>
        </w:tc>
        <w:tc>
          <w:tcPr>
            <w:tcW w:w="825" w:type="pct"/>
            <w:tcBorders>
              <w:top w:val="single" w:sz="4" w:space="0" w:color="auto"/>
              <w:left w:val="nil"/>
              <w:bottom w:val="single" w:sz="4" w:space="0" w:color="auto"/>
              <w:right w:val="nil"/>
            </w:tcBorders>
            <w:shd w:val="clear" w:color="000000" w:fill="FFFFFF"/>
            <w:vAlign w:val="center"/>
            <w:hideMark/>
          </w:tcPr>
          <w:p w14:paraId="340F699D" w14:textId="77777777" w:rsidR="00463BEF" w:rsidRPr="00455504" w:rsidRDefault="00463BEF" w:rsidP="00802443">
            <w:pPr>
              <w:rPr>
                <w:rFonts w:cs="Arial"/>
                <w:color w:val="000000"/>
                <w:sz w:val="18"/>
                <w:szCs w:val="18"/>
              </w:rPr>
            </w:pPr>
            <w:r w:rsidRPr="00455504">
              <w:rPr>
                <w:rFonts w:cs="Arial"/>
                <w:color w:val="000000"/>
                <w:sz w:val="18"/>
                <w:szCs w:val="18"/>
              </w:rPr>
              <w:t> </w:t>
            </w:r>
          </w:p>
        </w:tc>
      </w:tr>
      <w:tr w:rsidR="00463BEF" w:rsidRPr="00455504" w14:paraId="5214CFBF" w14:textId="77777777" w:rsidTr="00117967">
        <w:trPr>
          <w:trHeight w:val="284"/>
        </w:trPr>
        <w:tc>
          <w:tcPr>
            <w:tcW w:w="990" w:type="pct"/>
            <w:tcBorders>
              <w:top w:val="single" w:sz="4" w:space="0" w:color="auto"/>
              <w:left w:val="nil"/>
              <w:bottom w:val="single" w:sz="4" w:space="0" w:color="auto"/>
              <w:right w:val="single" w:sz="4" w:space="0" w:color="auto"/>
            </w:tcBorders>
            <w:shd w:val="clear" w:color="auto" w:fill="auto"/>
            <w:vAlign w:val="center"/>
            <w:hideMark/>
          </w:tcPr>
          <w:p w14:paraId="72751460" w14:textId="77777777" w:rsidR="00463BEF" w:rsidRDefault="00463BEF" w:rsidP="00802443">
            <w:pPr>
              <w:jc w:val="center"/>
              <w:rPr>
                <w:rFonts w:cs="Arial"/>
                <w:b/>
                <w:bCs/>
                <w:color w:val="000000"/>
                <w:sz w:val="18"/>
                <w:szCs w:val="18"/>
              </w:rPr>
            </w:pPr>
            <w:r w:rsidRPr="00455504">
              <w:rPr>
                <w:rFonts w:cs="Arial"/>
                <w:b/>
                <w:bCs/>
                <w:color w:val="000000"/>
                <w:sz w:val="18"/>
                <w:szCs w:val="18"/>
              </w:rPr>
              <w:t xml:space="preserve">Resultado </w:t>
            </w:r>
          </w:p>
          <w:p w14:paraId="109BA116"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(III) = (I – II)</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7F865C" w14:textId="77777777" w:rsidR="00463BEF" w:rsidRPr="00455504" w:rsidRDefault="00463BEF" w:rsidP="00802443">
            <w:pPr>
              <w:jc w:val="right"/>
              <w:rPr>
                <w:rFonts w:cs="Arial"/>
                <w:b/>
                <w:bCs/>
                <w:color w:val="FF0000"/>
                <w:sz w:val="18"/>
                <w:szCs w:val="18"/>
              </w:rPr>
            </w:pPr>
            <w:r w:rsidRPr="00455504">
              <w:rPr>
                <w:rFonts w:cs="Arial"/>
                <w:b/>
                <w:bCs/>
                <w:color w:val="FF0000"/>
                <w:sz w:val="18"/>
                <w:szCs w:val="18"/>
              </w:rPr>
              <w:t>(2.937.601.608)</w:t>
            </w:r>
          </w:p>
        </w:tc>
        <w:tc>
          <w:tcPr>
            <w:tcW w:w="7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0524831" w14:textId="77777777" w:rsidR="00463BEF" w:rsidRPr="00455504" w:rsidRDefault="00463BEF" w:rsidP="00802443">
            <w:pPr>
              <w:jc w:val="right"/>
              <w:rPr>
                <w:rFonts w:cs="Arial"/>
                <w:b/>
                <w:bCs/>
                <w:color w:val="FF0000"/>
                <w:sz w:val="18"/>
                <w:szCs w:val="18"/>
              </w:rPr>
            </w:pPr>
            <w:r w:rsidRPr="00455504">
              <w:rPr>
                <w:rFonts w:cs="Arial"/>
                <w:b/>
                <w:bCs/>
                <w:color w:val="FF0000"/>
                <w:sz w:val="18"/>
                <w:szCs w:val="18"/>
              </w:rPr>
              <w:t>(3.571.231.755)</w:t>
            </w:r>
          </w:p>
        </w:tc>
        <w:tc>
          <w:tcPr>
            <w:tcW w:w="8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A878A9" w14:textId="77777777" w:rsidR="00463BEF" w:rsidRPr="00455504" w:rsidRDefault="00463BEF" w:rsidP="00802443">
            <w:pPr>
              <w:jc w:val="right"/>
              <w:rPr>
                <w:rFonts w:cs="Arial"/>
                <w:b/>
                <w:bCs/>
                <w:color w:val="FF0000"/>
                <w:sz w:val="18"/>
                <w:szCs w:val="18"/>
              </w:rPr>
            </w:pPr>
            <w:r w:rsidRPr="00455504">
              <w:rPr>
                <w:rFonts w:cs="Arial"/>
                <w:b/>
                <w:bCs/>
                <w:color w:val="FF0000"/>
                <w:sz w:val="18"/>
                <w:szCs w:val="18"/>
              </w:rPr>
              <w:t>(3.811.898.914)</w:t>
            </w:r>
          </w:p>
        </w:tc>
        <w:tc>
          <w:tcPr>
            <w:tcW w:w="8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29C4B6" w14:textId="77777777" w:rsidR="00463BEF" w:rsidRPr="00455504" w:rsidRDefault="00463BEF" w:rsidP="00802443">
            <w:pPr>
              <w:jc w:val="right"/>
              <w:rPr>
                <w:rFonts w:cs="Arial"/>
                <w:b/>
                <w:bCs/>
                <w:color w:val="FF0000"/>
                <w:sz w:val="18"/>
                <w:szCs w:val="18"/>
              </w:rPr>
            </w:pPr>
            <w:r w:rsidRPr="00455504">
              <w:rPr>
                <w:rFonts w:cs="Arial"/>
                <w:b/>
                <w:bCs/>
                <w:color w:val="FF0000"/>
                <w:sz w:val="18"/>
                <w:szCs w:val="18"/>
              </w:rPr>
              <w:t>(4.502.763.563)</w:t>
            </w:r>
          </w:p>
        </w:tc>
        <w:tc>
          <w:tcPr>
            <w:tcW w:w="825" w:type="pct"/>
            <w:tcBorders>
              <w:top w:val="single" w:sz="4" w:space="0" w:color="auto"/>
              <w:left w:val="single" w:sz="4" w:space="0" w:color="auto"/>
              <w:bottom w:val="single" w:sz="4" w:space="0" w:color="auto"/>
              <w:right w:val="nil"/>
            </w:tcBorders>
            <w:shd w:val="clear" w:color="auto" w:fill="auto"/>
            <w:vAlign w:val="center"/>
            <w:hideMark/>
          </w:tcPr>
          <w:p w14:paraId="166C4160" w14:textId="77777777" w:rsidR="00463BEF" w:rsidRPr="00455504" w:rsidRDefault="00463BEF" w:rsidP="00802443">
            <w:pPr>
              <w:jc w:val="right"/>
              <w:rPr>
                <w:rFonts w:cs="Arial"/>
                <w:b/>
                <w:bCs/>
                <w:color w:val="FF0000"/>
                <w:sz w:val="18"/>
                <w:szCs w:val="18"/>
              </w:rPr>
            </w:pPr>
            <w:r w:rsidRPr="00455504">
              <w:rPr>
                <w:rFonts w:cs="Arial"/>
                <w:b/>
                <w:bCs/>
                <w:color w:val="FF0000"/>
                <w:sz w:val="18"/>
                <w:szCs w:val="18"/>
              </w:rPr>
              <w:t>(4.627.485.132)</w:t>
            </w:r>
          </w:p>
        </w:tc>
      </w:tr>
    </w:tbl>
    <w:p w14:paraId="0A7B9945" w14:textId="34661A16" w:rsidR="00463BEF" w:rsidRDefault="00463BEF"/>
    <w:p w14:paraId="4C038C5E" w14:textId="6AE3BCE9" w:rsidR="00463BEF" w:rsidRDefault="00463BEF"/>
    <w:tbl>
      <w:tblPr>
        <w:tblW w:w="5000" w:type="pct"/>
        <w:tblCellMar>
          <w:left w:w="70" w:type="dxa"/>
          <w:right w:w="70" w:type="dxa"/>
        </w:tblCellMar>
        <w:tblLook w:val="04A0" w:firstRow="1" w:lastRow="0" w:firstColumn="1" w:lastColumn="0" w:noHBand="0" w:noVBand="1"/>
      </w:tblPr>
      <w:tblGrid>
        <w:gridCol w:w="1855"/>
        <w:gridCol w:w="1410"/>
        <w:gridCol w:w="1487"/>
        <w:gridCol w:w="1530"/>
        <w:gridCol w:w="1530"/>
        <w:gridCol w:w="1541"/>
      </w:tblGrid>
      <w:tr w:rsidR="00463BEF" w:rsidRPr="00455504" w14:paraId="5829B3D2" w14:textId="77777777" w:rsidTr="00117967">
        <w:trPr>
          <w:trHeight w:val="340"/>
          <w:tblHeader/>
        </w:trPr>
        <w:tc>
          <w:tcPr>
            <w:tcW w:w="991" w:type="pct"/>
            <w:vMerge w:val="restart"/>
            <w:tcBorders>
              <w:top w:val="single" w:sz="4" w:space="0" w:color="auto"/>
              <w:left w:val="nil"/>
              <w:bottom w:val="single" w:sz="4" w:space="0" w:color="auto"/>
              <w:right w:val="single" w:sz="4" w:space="0" w:color="auto"/>
            </w:tcBorders>
            <w:shd w:val="clear" w:color="000000" w:fill="A2F2FD"/>
            <w:vAlign w:val="center"/>
            <w:hideMark/>
          </w:tcPr>
          <w:p w14:paraId="61D5517B"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Despesas Previdenciárias</w:t>
            </w:r>
          </w:p>
        </w:tc>
        <w:tc>
          <w:tcPr>
            <w:tcW w:w="4009" w:type="pct"/>
            <w:gridSpan w:val="5"/>
            <w:tcBorders>
              <w:top w:val="single" w:sz="4" w:space="0" w:color="auto"/>
              <w:left w:val="single" w:sz="4" w:space="0" w:color="auto"/>
              <w:bottom w:val="single" w:sz="4" w:space="0" w:color="auto"/>
              <w:right w:val="nil"/>
            </w:tcBorders>
            <w:shd w:val="clear" w:color="000000" w:fill="A2F2FD"/>
            <w:vAlign w:val="center"/>
            <w:hideMark/>
          </w:tcPr>
          <w:p w14:paraId="4FA3C0D6" w14:textId="76039B2B" w:rsidR="00463BEF" w:rsidRPr="00455504" w:rsidRDefault="001B4487" w:rsidP="00802443">
            <w:pPr>
              <w:jc w:val="center"/>
              <w:rPr>
                <w:rFonts w:cs="Arial"/>
                <w:b/>
                <w:bCs/>
                <w:color w:val="000000"/>
                <w:sz w:val="18"/>
                <w:szCs w:val="18"/>
              </w:rPr>
            </w:pPr>
            <w:r>
              <w:rPr>
                <w:rFonts w:cs="Arial"/>
                <w:b/>
                <w:bCs/>
                <w:color w:val="000000"/>
                <w:sz w:val="18"/>
                <w:szCs w:val="18"/>
              </w:rPr>
              <w:t>Análise d</w:t>
            </w:r>
            <w:r w:rsidR="002F5B38">
              <w:rPr>
                <w:rFonts w:cs="Arial"/>
                <w:b/>
                <w:bCs/>
                <w:color w:val="000000"/>
                <w:sz w:val="18"/>
                <w:szCs w:val="18"/>
              </w:rPr>
              <w:t>a</w:t>
            </w:r>
            <w:r>
              <w:rPr>
                <w:rFonts w:cs="Arial"/>
                <w:b/>
                <w:bCs/>
                <w:color w:val="000000"/>
                <w:sz w:val="18"/>
                <w:szCs w:val="18"/>
              </w:rPr>
              <w:t xml:space="preserve"> </w:t>
            </w:r>
            <w:r w:rsidR="00463BEF" w:rsidRPr="00463BEF">
              <w:rPr>
                <w:rFonts w:cs="Arial"/>
                <w:b/>
                <w:bCs/>
                <w:color w:val="000000"/>
                <w:sz w:val="18"/>
                <w:szCs w:val="18"/>
              </w:rPr>
              <w:t>RCL</w:t>
            </w:r>
          </w:p>
        </w:tc>
      </w:tr>
      <w:tr w:rsidR="00463BEF" w:rsidRPr="00455504" w14:paraId="47D3D2EE" w14:textId="77777777" w:rsidTr="00117967">
        <w:trPr>
          <w:trHeight w:val="340"/>
          <w:tblHeader/>
        </w:trPr>
        <w:tc>
          <w:tcPr>
            <w:tcW w:w="991" w:type="pct"/>
            <w:vMerge/>
            <w:tcBorders>
              <w:top w:val="single" w:sz="4" w:space="0" w:color="auto"/>
              <w:left w:val="nil"/>
              <w:bottom w:val="single" w:sz="4" w:space="0" w:color="auto"/>
              <w:right w:val="single" w:sz="4" w:space="0" w:color="auto"/>
            </w:tcBorders>
            <w:shd w:val="clear" w:color="000000" w:fill="A2F2FD"/>
            <w:vAlign w:val="center"/>
          </w:tcPr>
          <w:p w14:paraId="52E47693" w14:textId="77777777" w:rsidR="00463BEF" w:rsidRPr="00455504" w:rsidRDefault="00463BEF" w:rsidP="00802443">
            <w:pPr>
              <w:jc w:val="center"/>
              <w:rPr>
                <w:rFonts w:cs="Arial"/>
                <w:b/>
                <w:bCs/>
                <w:color w:val="000000"/>
                <w:sz w:val="18"/>
                <w:szCs w:val="18"/>
              </w:rPr>
            </w:pPr>
          </w:p>
        </w:tc>
        <w:tc>
          <w:tcPr>
            <w:tcW w:w="754" w:type="pct"/>
            <w:tcBorders>
              <w:top w:val="single" w:sz="4" w:space="0" w:color="auto"/>
              <w:left w:val="single" w:sz="4" w:space="0" w:color="auto"/>
              <w:bottom w:val="single" w:sz="4" w:space="0" w:color="auto"/>
              <w:right w:val="single" w:sz="4" w:space="0" w:color="auto"/>
            </w:tcBorders>
            <w:shd w:val="clear" w:color="000000" w:fill="A2F2FD"/>
            <w:vAlign w:val="center"/>
          </w:tcPr>
          <w:p w14:paraId="21A5C5D6"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2019</w:t>
            </w:r>
          </w:p>
        </w:tc>
        <w:tc>
          <w:tcPr>
            <w:tcW w:w="795" w:type="pct"/>
            <w:tcBorders>
              <w:top w:val="single" w:sz="4" w:space="0" w:color="auto"/>
              <w:left w:val="single" w:sz="4" w:space="0" w:color="auto"/>
              <w:bottom w:val="single" w:sz="4" w:space="0" w:color="auto"/>
              <w:right w:val="single" w:sz="4" w:space="0" w:color="auto"/>
            </w:tcBorders>
            <w:shd w:val="clear" w:color="000000" w:fill="A2F2FD"/>
            <w:vAlign w:val="center"/>
          </w:tcPr>
          <w:p w14:paraId="6FA373D0"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2020</w:t>
            </w:r>
          </w:p>
        </w:tc>
        <w:tc>
          <w:tcPr>
            <w:tcW w:w="818" w:type="pct"/>
            <w:tcBorders>
              <w:top w:val="single" w:sz="4" w:space="0" w:color="auto"/>
              <w:left w:val="single" w:sz="4" w:space="0" w:color="auto"/>
              <w:bottom w:val="single" w:sz="4" w:space="0" w:color="auto"/>
              <w:right w:val="single" w:sz="4" w:space="0" w:color="auto"/>
            </w:tcBorders>
            <w:shd w:val="clear" w:color="000000" w:fill="A2F2FD"/>
            <w:vAlign w:val="center"/>
          </w:tcPr>
          <w:p w14:paraId="6C9EE0EE"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2021</w:t>
            </w:r>
          </w:p>
        </w:tc>
        <w:tc>
          <w:tcPr>
            <w:tcW w:w="818" w:type="pct"/>
            <w:tcBorders>
              <w:top w:val="single" w:sz="4" w:space="0" w:color="auto"/>
              <w:left w:val="single" w:sz="4" w:space="0" w:color="auto"/>
              <w:bottom w:val="single" w:sz="4" w:space="0" w:color="auto"/>
              <w:right w:val="single" w:sz="4" w:space="0" w:color="auto"/>
            </w:tcBorders>
            <w:shd w:val="clear" w:color="000000" w:fill="A2F2FD"/>
            <w:vAlign w:val="center"/>
          </w:tcPr>
          <w:p w14:paraId="2627F9BB"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2022</w:t>
            </w:r>
          </w:p>
        </w:tc>
        <w:tc>
          <w:tcPr>
            <w:tcW w:w="825" w:type="pct"/>
            <w:tcBorders>
              <w:top w:val="single" w:sz="4" w:space="0" w:color="auto"/>
              <w:left w:val="single" w:sz="4" w:space="0" w:color="auto"/>
              <w:bottom w:val="single" w:sz="4" w:space="0" w:color="auto"/>
              <w:right w:val="nil"/>
            </w:tcBorders>
            <w:shd w:val="clear" w:color="000000" w:fill="A2F2FD"/>
            <w:vAlign w:val="center"/>
          </w:tcPr>
          <w:p w14:paraId="66A44ABB" w14:textId="77777777" w:rsidR="00463BEF" w:rsidRPr="00455504" w:rsidRDefault="00463BEF" w:rsidP="00802443">
            <w:pPr>
              <w:jc w:val="center"/>
              <w:rPr>
                <w:rFonts w:cs="Arial"/>
                <w:b/>
                <w:bCs/>
                <w:color w:val="000000"/>
                <w:sz w:val="18"/>
                <w:szCs w:val="18"/>
              </w:rPr>
            </w:pPr>
            <w:r w:rsidRPr="00455504">
              <w:rPr>
                <w:rFonts w:cs="Arial"/>
                <w:b/>
                <w:bCs/>
                <w:color w:val="000000"/>
                <w:sz w:val="18"/>
                <w:szCs w:val="18"/>
              </w:rPr>
              <w:t>2023</w:t>
            </w:r>
          </w:p>
        </w:tc>
      </w:tr>
      <w:tr w:rsidR="001B4487" w:rsidRPr="00455504" w14:paraId="5520DC0A" w14:textId="77777777" w:rsidTr="00117967">
        <w:trPr>
          <w:trHeight w:val="527"/>
        </w:trPr>
        <w:tc>
          <w:tcPr>
            <w:tcW w:w="991" w:type="pct"/>
            <w:tcBorders>
              <w:top w:val="single" w:sz="4" w:space="0" w:color="auto"/>
              <w:left w:val="nil"/>
              <w:bottom w:val="single" w:sz="4" w:space="0" w:color="auto"/>
              <w:right w:val="single" w:sz="4" w:space="0" w:color="auto"/>
            </w:tcBorders>
            <w:shd w:val="clear" w:color="auto" w:fill="auto"/>
            <w:vAlign w:val="center"/>
            <w:hideMark/>
          </w:tcPr>
          <w:p w14:paraId="244FDCFD" w14:textId="6169088A" w:rsidR="001B4487" w:rsidRPr="00455504" w:rsidRDefault="001B4487" w:rsidP="001B4487">
            <w:pPr>
              <w:jc w:val="center"/>
              <w:rPr>
                <w:rFonts w:cs="Arial"/>
                <w:color w:val="000000"/>
                <w:sz w:val="18"/>
                <w:szCs w:val="18"/>
              </w:rPr>
            </w:pPr>
            <w:r w:rsidRPr="00463BEF">
              <w:rPr>
                <w:rFonts w:cs="Arial"/>
                <w:b/>
                <w:bCs/>
                <w:color w:val="000000"/>
                <w:sz w:val="18"/>
                <w:szCs w:val="18"/>
              </w:rPr>
              <w:t>RCL</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DD984C" w14:textId="6FD7A8F8" w:rsidR="001B4487" w:rsidRPr="00455504" w:rsidRDefault="001B4487" w:rsidP="001B4487">
            <w:pPr>
              <w:jc w:val="right"/>
              <w:rPr>
                <w:rFonts w:cs="Arial"/>
                <w:color w:val="000000"/>
                <w:sz w:val="18"/>
                <w:szCs w:val="18"/>
              </w:rPr>
            </w:pPr>
            <w:r w:rsidRPr="00463BEF">
              <w:rPr>
                <w:rFonts w:cs="Arial"/>
                <w:b/>
                <w:bCs/>
                <w:color w:val="000000"/>
                <w:sz w:val="18"/>
                <w:szCs w:val="18"/>
              </w:rPr>
              <w:t>24.528.200.543</w:t>
            </w:r>
          </w:p>
        </w:tc>
        <w:tc>
          <w:tcPr>
            <w:tcW w:w="7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2872E7" w14:textId="4D476699" w:rsidR="001B4487" w:rsidRPr="00455504" w:rsidRDefault="001B4487" w:rsidP="001B4487">
            <w:pPr>
              <w:jc w:val="right"/>
              <w:rPr>
                <w:rFonts w:cs="Arial"/>
                <w:color w:val="000000"/>
                <w:sz w:val="18"/>
                <w:szCs w:val="18"/>
              </w:rPr>
            </w:pPr>
            <w:r w:rsidRPr="00463BEF">
              <w:rPr>
                <w:rFonts w:cs="Arial"/>
                <w:b/>
                <w:bCs/>
                <w:color w:val="000000"/>
                <w:sz w:val="18"/>
                <w:szCs w:val="18"/>
              </w:rPr>
              <w:t>26.290.021.366</w:t>
            </w:r>
          </w:p>
        </w:tc>
        <w:tc>
          <w:tcPr>
            <w:tcW w:w="8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CCD2D9" w14:textId="4514759F" w:rsidR="001B4487" w:rsidRPr="00455504" w:rsidRDefault="001B4487" w:rsidP="001B4487">
            <w:pPr>
              <w:jc w:val="right"/>
              <w:rPr>
                <w:rFonts w:cs="Arial"/>
                <w:color w:val="000000"/>
                <w:sz w:val="18"/>
                <w:szCs w:val="18"/>
              </w:rPr>
            </w:pPr>
            <w:r w:rsidRPr="00463BEF">
              <w:rPr>
                <w:rFonts w:cs="Arial"/>
                <w:b/>
                <w:bCs/>
                <w:color w:val="000000"/>
                <w:sz w:val="18"/>
                <w:szCs w:val="18"/>
              </w:rPr>
              <w:t>31.539.191.642</w:t>
            </w:r>
          </w:p>
        </w:tc>
        <w:tc>
          <w:tcPr>
            <w:tcW w:w="8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C19AE3" w14:textId="0A5689FA" w:rsidR="001B4487" w:rsidRPr="00455504" w:rsidRDefault="001B4487" w:rsidP="001B4487">
            <w:pPr>
              <w:jc w:val="right"/>
              <w:rPr>
                <w:rFonts w:cs="Arial"/>
                <w:color w:val="000000"/>
                <w:sz w:val="18"/>
                <w:szCs w:val="18"/>
              </w:rPr>
            </w:pPr>
            <w:r w:rsidRPr="00463BEF">
              <w:rPr>
                <w:rFonts w:cs="Arial"/>
                <w:b/>
                <w:bCs/>
                <w:color w:val="000000"/>
                <w:sz w:val="18"/>
                <w:szCs w:val="18"/>
              </w:rPr>
              <w:t>37.199.050.718</w:t>
            </w:r>
          </w:p>
        </w:tc>
        <w:tc>
          <w:tcPr>
            <w:tcW w:w="825" w:type="pct"/>
            <w:tcBorders>
              <w:top w:val="single" w:sz="4" w:space="0" w:color="auto"/>
              <w:left w:val="single" w:sz="4" w:space="0" w:color="auto"/>
              <w:bottom w:val="single" w:sz="4" w:space="0" w:color="auto"/>
              <w:right w:val="nil"/>
            </w:tcBorders>
            <w:shd w:val="clear" w:color="auto" w:fill="auto"/>
            <w:vAlign w:val="center"/>
            <w:hideMark/>
          </w:tcPr>
          <w:p w14:paraId="4A5FB7F4" w14:textId="2622AE1A" w:rsidR="001B4487" w:rsidRPr="00455504" w:rsidRDefault="001B4487" w:rsidP="001B4487">
            <w:pPr>
              <w:jc w:val="right"/>
              <w:rPr>
                <w:rFonts w:cs="Arial"/>
                <w:color w:val="000000"/>
                <w:sz w:val="18"/>
                <w:szCs w:val="18"/>
              </w:rPr>
            </w:pPr>
            <w:r w:rsidRPr="00463BEF">
              <w:rPr>
                <w:rFonts w:cs="Arial"/>
                <w:b/>
                <w:bCs/>
                <w:color w:val="000000"/>
                <w:sz w:val="18"/>
                <w:szCs w:val="18"/>
              </w:rPr>
              <w:t>38.364.025.885</w:t>
            </w:r>
          </w:p>
        </w:tc>
      </w:tr>
      <w:tr w:rsidR="001B4487" w:rsidRPr="00455504" w14:paraId="46F58942" w14:textId="77777777" w:rsidTr="00117967">
        <w:trPr>
          <w:trHeight w:val="1053"/>
        </w:trPr>
        <w:tc>
          <w:tcPr>
            <w:tcW w:w="991" w:type="pct"/>
            <w:tcBorders>
              <w:top w:val="single" w:sz="4" w:space="0" w:color="auto"/>
              <w:left w:val="nil"/>
              <w:bottom w:val="single" w:sz="4" w:space="0" w:color="auto"/>
              <w:right w:val="single" w:sz="4" w:space="0" w:color="auto"/>
            </w:tcBorders>
            <w:shd w:val="clear" w:color="auto" w:fill="auto"/>
            <w:vAlign w:val="center"/>
            <w:hideMark/>
          </w:tcPr>
          <w:p w14:paraId="6BB11474" w14:textId="4221F36C" w:rsidR="001B4487" w:rsidRPr="00455504" w:rsidRDefault="001B4487" w:rsidP="001B4487">
            <w:pPr>
              <w:jc w:val="center"/>
              <w:rPr>
                <w:rFonts w:cs="Arial"/>
                <w:b/>
                <w:bCs/>
                <w:color w:val="000000"/>
                <w:sz w:val="18"/>
                <w:szCs w:val="18"/>
              </w:rPr>
            </w:pPr>
            <w:r w:rsidRPr="00463BEF">
              <w:rPr>
                <w:rFonts w:cs="Arial"/>
                <w:color w:val="000000"/>
                <w:sz w:val="18"/>
                <w:szCs w:val="18"/>
              </w:rPr>
              <w:t xml:space="preserve">Percentual RCL </w:t>
            </w:r>
            <w:r w:rsidRPr="00463BEF">
              <w:rPr>
                <w:rFonts w:cs="Arial"/>
                <w:i/>
                <w:iCs/>
                <w:color w:val="000000"/>
                <w:sz w:val="18"/>
                <w:szCs w:val="18"/>
              </w:rPr>
              <w:t>versus</w:t>
            </w:r>
            <w:r w:rsidRPr="00463BEF">
              <w:rPr>
                <w:rFonts w:cs="Arial"/>
                <w:color w:val="000000"/>
                <w:sz w:val="18"/>
                <w:szCs w:val="18"/>
              </w:rPr>
              <w:t xml:space="preserve"> Despesas Previdenciárias - Bruto</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6A9D35" w14:textId="0B013D1C" w:rsidR="001B4487" w:rsidRPr="00455504" w:rsidRDefault="001B4487" w:rsidP="001B4487">
            <w:pPr>
              <w:jc w:val="center"/>
              <w:rPr>
                <w:rFonts w:cs="Arial"/>
                <w:b/>
                <w:bCs/>
                <w:color w:val="000000"/>
                <w:sz w:val="18"/>
                <w:szCs w:val="18"/>
              </w:rPr>
            </w:pPr>
            <w:r w:rsidRPr="00463BEF">
              <w:rPr>
                <w:rFonts w:cs="Arial"/>
                <w:b/>
                <w:bCs/>
                <w:color w:val="000000"/>
                <w:sz w:val="18"/>
                <w:szCs w:val="18"/>
              </w:rPr>
              <w:t>25,76</w:t>
            </w:r>
          </w:p>
        </w:tc>
        <w:tc>
          <w:tcPr>
            <w:tcW w:w="7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1D9F7F" w14:textId="0162FDD6" w:rsidR="001B4487" w:rsidRPr="00455504" w:rsidRDefault="001B4487" w:rsidP="001B4487">
            <w:pPr>
              <w:jc w:val="center"/>
              <w:rPr>
                <w:rFonts w:cs="Arial"/>
                <w:b/>
                <w:bCs/>
                <w:color w:val="000000"/>
                <w:sz w:val="18"/>
                <w:szCs w:val="18"/>
              </w:rPr>
            </w:pPr>
            <w:r w:rsidRPr="00463BEF">
              <w:rPr>
                <w:rFonts w:cs="Arial"/>
                <w:b/>
                <w:bCs/>
                <w:color w:val="000000"/>
                <w:sz w:val="18"/>
                <w:szCs w:val="18"/>
              </w:rPr>
              <w:t>24,20</w:t>
            </w:r>
          </w:p>
        </w:tc>
        <w:tc>
          <w:tcPr>
            <w:tcW w:w="8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7C892E" w14:textId="0EEA4294" w:rsidR="001B4487" w:rsidRPr="00455504" w:rsidRDefault="001B4487" w:rsidP="001B4487">
            <w:pPr>
              <w:jc w:val="center"/>
              <w:rPr>
                <w:rFonts w:cs="Arial"/>
                <w:b/>
                <w:bCs/>
                <w:color w:val="000000"/>
                <w:sz w:val="18"/>
                <w:szCs w:val="18"/>
              </w:rPr>
            </w:pPr>
            <w:r w:rsidRPr="00463BEF">
              <w:rPr>
                <w:rFonts w:cs="Arial"/>
                <w:b/>
                <w:bCs/>
                <w:color w:val="000000"/>
                <w:sz w:val="18"/>
                <w:szCs w:val="18"/>
              </w:rPr>
              <w:t>21,22</w:t>
            </w:r>
          </w:p>
        </w:tc>
        <w:tc>
          <w:tcPr>
            <w:tcW w:w="8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A76C79" w14:textId="0D5F0DB6" w:rsidR="001B4487" w:rsidRPr="00455504" w:rsidRDefault="001B4487" w:rsidP="001B4487">
            <w:pPr>
              <w:jc w:val="center"/>
              <w:rPr>
                <w:rFonts w:cs="Arial"/>
                <w:b/>
                <w:bCs/>
                <w:color w:val="000000"/>
                <w:sz w:val="18"/>
                <w:szCs w:val="18"/>
              </w:rPr>
            </w:pPr>
            <w:r w:rsidRPr="00463BEF">
              <w:rPr>
                <w:rFonts w:cs="Arial"/>
                <w:b/>
                <w:bCs/>
                <w:color w:val="000000"/>
                <w:sz w:val="18"/>
                <w:szCs w:val="18"/>
              </w:rPr>
              <w:t>20,05</w:t>
            </w:r>
          </w:p>
        </w:tc>
        <w:tc>
          <w:tcPr>
            <w:tcW w:w="825" w:type="pct"/>
            <w:tcBorders>
              <w:top w:val="single" w:sz="4" w:space="0" w:color="auto"/>
              <w:left w:val="single" w:sz="4" w:space="0" w:color="auto"/>
              <w:bottom w:val="single" w:sz="4" w:space="0" w:color="auto"/>
              <w:right w:val="nil"/>
            </w:tcBorders>
            <w:shd w:val="clear" w:color="auto" w:fill="auto"/>
            <w:vAlign w:val="center"/>
            <w:hideMark/>
          </w:tcPr>
          <w:p w14:paraId="64F931BA" w14:textId="49B3620B" w:rsidR="001B4487" w:rsidRPr="00455504" w:rsidRDefault="001B4487" w:rsidP="001B4487">
            <w:pPr>
              <w:jc w:val="center"/>
              <w:rPr>
                <w:rFonts w:cs="Arial"/>
                <w:b/>
                <w:bCs/>
                <w:color w:val="000000"/>
                <w:sz w:val="18"/>
                <w:szCs w:val="18"/>
              </w:rPr>
            </w:pPr>
            <w:r w:rsidRPr="00463BEF">
              <w:rPr>
                <w:rFonts w:cs="Arial"/>
                <w:b/>
                <w:bCs/>
                <w:color w:val="000000"/>
                <w:sz w:val="18"/>
                <w:szCs w:val="18"/>
              </w:rPr>
              <w:t>20,68</w:t>
            </w:r>
          </w:p>
        </w:tc>
      </w:tr>
      <w:tr w:rsidR="001B4487" w:rsidRPr="00455504" w14:paraId="41562F12" w14:textId="77777777" w:rsidTr="00117967">
        <w:trPr>
          <w:trHeight w:val="826"/>
        </w:trPr>
        <w:tc>
          <w:tcPr>
            <w:tcW w:w="991" w:type="pct"/>
            <w:tcBorders>
              <w:top w:val="single" w:sz="4" w:space="0" w:color="auto"/>
              <w:left w:val="nil"/>
              <w:bottom w:val="single" w:sz="4" w:space="0" w:color="auto"/>
              <w:right w:val="single" w:sz="4" w:space="0" w:color="auto"/>
            </w:tcBorders>
            <w:shd w:val="clear" w:color="auto" w:fill="auto"/>
            <w:vAlign w:val="center"/>
            <w:hideMark/>
          </w:tcPr>
          <w:p w14:paraId="64B2A802" w14:textId="7FC80C11" w:rsidR="001B4487" w:rsidRPr="00455504" w:rsidRDefault="001B4487" w:rsidP="001B4487">
            <w:pPr>
              <w:jc w:val="center"/>
              <w:rPr>
                <w:rFonts w:cs="Arial"/>
                <w:b/>
                <w:bCs/>
                <w:color w:val="000000"/>
                <w:sz w:val="18"/>
                <w:szCs w:val="18"/>
              </w:rPr>
            </w:pPr>
            <w:r w:rsidRPr="00463BEF">
              <w:rPr>
                <w:rFonts w:cs="Arial"/>
                <w:color w:val="000000"/>
                <w:sz w:val="18"/>
                <w:szCs w:val="18"/>
              </w:rPr>
              <w:t xml:space="preserve">Percentual RCL </w:t>
            </w:r>
            <w:r w:rsidRPr="00463BEF">
              <w:rPr>
                <w:rFonts w:cs="Arial"/>
                <w:i/>
                <w:iCs/>
                <w:color w:val="000000"/>
                <w:sz w:val="18"/>
                <w:szCs w:val="18"/>
              </w:rPr>
              <w:t>versus</w:t>
            </w:r>
            <w:r w:rsidRPr="00463BEF">
              <w:rPr>
                <w:rFonts w:cs="Arial"/>
                <w:color w:val="000000"/>
                <w:sz w:val="18"/>
                <w:szCs w:val="18"/>
              </w:rPr>
              <w:t xml:space="preserve"> Deficit Previdenciário</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E44D23" w14:textId="394864F7" w:rsidR="001B4487" w:rsidRPr="00455504" w:rsidRDefault="001B4487" w:rsidP="001B4487">
            <w:pPr>
              <w:jc w:val="center"/>
              <w:rPr>
                <w:rFonts w:cs="Arial"/>
                <w:b/>
                <w:bCs/>
                <w:color w:val="FF0000"/>
                <w:sz w:val="18"/>
                <w:szCs w:val="18"/>
              </w:rPr>
            </w:pPr>
            <w:r w:rsidRPr="00463BEF">
              <w:rPr>
                <w:rFonts w:cs="Arial"/>
                <w:b/>
                <w:bCs/>
                <w:color w:val="000000"/>
                <w:sz w:val="18"/>
                <w:szCs w:val="18"/>
              </w:rPr>
              <w:t>11,98</w:t>
            </w:r>
          </w:p>
        </w:tc>
        <w:tc>
          <w:tcPr>
            <w:tcW w:w="7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700D95" w14:textId="66FB4AC6" w:rsidR="001B4487" w:rsidRPr="00455504" w:rsidRDefault="001B4487" w:rsidP="001B4487">
            <w:pPr>
              <w:jc w:val="center"/>
              <w:rPr>
                <w:rFonts w:cs="Arial"/>
                <w:b/>
                <w:bCs/>
                <w:color w:val="FF0000"/>
                <w:sz w:val="18"/>
                <w:szCs w:val="18"/>
              </w:rPr>
            </w:pPr>
            <w:r w:rsidRPr="00463BEF">
              <w:rPr>
                <w:rFonts w:cs="Arial"/>
                <w:b/>
                <w:bCs/>
                <w:color w:val="000000"/>
                <w:sz w:val="18"/>
                <w:szCs w:val="18"/>
              </w:rPr>
              <w:t>13,58</w:t>
            </w:r>
          </w:p>
        </w:tc>
        <w:tc>
          <w:tcPr>
            <w:tcW w:w="8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C5ED1D" w14:textId="64A7EFEE" w:rsidR="001B4487" w:rsidRPr="00455504" w:rsidRDefault="001B4487" w:rsidP="001B4487">
            <w:pPr>
              <w:jc w:val="center"/>
              <w:rPr>
                <w:rFonts w:cs="Arial"/>
                <w:b/>
                <w:bCs/>
                <w:color w:val="FF0000"/>
                <w:sz w:val="18"/>
                <w:szCs w:val="18"/>
              </w:rPr>
            </w:pPr>
            <w:r w:rsidRPr="00463BEF">
              <w:rPr>
                <w:rFonts w:cs="Arial"/>
                <w:b/>
                <w:bCs/>
                <w:color w:val="000000"/>
                <w:sz w:val="18"/>
                <w:szCs w:val="18"/>
              </w:rPr>
              <w:t>12,09</w:t>
            </w:r>
          </w:p>
        </w:tc>
        <w:tc>
          <w:tcPr>
            <w:tcW w:w="8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263F2A" w14:textId="04C60954" w:rsidR="001B4487" w:rsidRPr="00455504" w:rsidRDefault="001B4487" w:rsidP="001B4487">
            <w:pPr>
              <w:jc w:val="center"/>
              <w:rPr>
                <w:rFonts w:cs="Arial"/>
                <w:b/>
                <w:bCs/>
                <w:color w:val="FF0000"/>
                <w:sz w:val="18"/>
                <w:szCs w:val="18"/>
              </w:rPr>
            </w:pPr>
            <w:r w:rsidRPr="00463BEF">
              <w:rPr>
                <w:rFonts w:cs="Arial"/>
                <w:b/>
                <w:bCs/>
                <w:color w:val="000000"/>
                <w:sz w:val="18"/>
                <w:szCs w:val="18"/>
              </w:rPr>
              <w:t>12,10</w:t>
            </w:r>
          </w:p>
        </w:tc>
        <w:tc>
          <w:tcPr>
            <w:tcW w:w="825" w:type="pct"/>
            <w:tcBorders>
              <w:top w:val="single" w:sz="4" w:space="0" w:color="auto"/>
              <w:left w:val="single" w:sz="4" w:space="0" w:color="auto"/>
              <w:bottom w:val="single" w:sz="4" w:space="0" w:color="auto"/>
              <w:right w:val="nil"/>
            </w:tcBorders>
            <w:shd w:val="clear" w:color="auto" w:fill="auto"/>
            <w:vAlign w:val="center"/>
            <w:hideMark/>
          </w:tcPr>
          <w:p w14:paraId="6051E8A0" w14:textId="5EEA5CFD" w:rsidR="001B4487" w:rsidRPr="00455504" w:rsidRDefault="001B4487" w:rsidP="001B4487">
            <w:pPr>
              <w:jc w:val="center"/>
              <w:rPr>
                <w:rFonts w:cs="Arial"/>
                <w:b/>
                <w:bCs/>
                <w:color w:val="FF0000"/>
                <w:sz w:val="18"/>
                <w:szCs w:val="18"/>
              </w:rPr>
            </w:pPr>
            <w:r w:rsidRPr="00463BEF">
              <w:rPr>
                <w:rFonts w:cs="Arial"/>
                <w:b/>
                <w:bCs/>
                <w:color w:val="000000"/>
                <w:sz w:val="18"/>
                <w:szCs w:val="18"/>
              </w:rPr>
              <w:t>12,06</w:t>
            </w:r>
          </w:p>
        </w:tc>
      </w:tr>
    </w:tbl>
    <w:p w14:paraId="7BC4FA03" w14:textId="77777777" w:rsidR="00B67EB7" w:rsidRPr="001C305A" w:rsidRDefault="00B67EB7" w:rsidP="00B67EB7">
      <w:pPr>
        <w:pStyle w:val="1-FONTE8ESQ"/>
      </w:pPr>
      <w:r w:rsidRPr="001C305A">
        <w:t>Fonte: Relatórios de Gestão Fiscal do 3º quadrimestre de 2019-2023</w:t>
      </w:r>
    </w:p>
    <w:p w14:paraId="4EB83183" w14:textId="77777777" w:rsidR="00B67EB7" w:rsidRPr="001C305A" w:rsidRDefault="00B67EB7" w:rsidP="00B67EB7">
      <w:pPr>
        <w:pStyle w:val="1-REL11"/>
      </w:pPr>
      <w:r w:rsidRPr="001C305A">
        <w:t>Observa-se que as despesas previdenciárias em relação à RCL mantém-se estável nos últimos 3 anos.</w:t>
      </w:r>
    </w:p>
    <w:p w14:paraId="0B504223" w14:textId="77777777" w:rsidR="00B67EB7" w:rsidRPr="001C305A" w:rsidRDefault="00B67EB7" w:rsidP="00A224E9">
      <w:pPr>
        <w:pStyle w:val="Ttulo3"/>
      </w:pPr>
      <w:bookmarkStart w:id="181" w:name="_Toc167871674"/>
      <w:r w:rsidRPr="001C305A">
        <w:t>Aportes Efetuados pelo Tesouro Estadual</w:t>
      </w:r>
      <w:bookmarkEnd w:id="181"/>
    </w:p>
    <w:p w14:paraId="21060080" w14:textId="77777777" w:rsidR="00B67EB7" w:rsidRPr="001C305A" w:rsidRDefault="00B67EB7" w:rsidP="001D1CB0">
      <w:pPr>
        <w:pStyle w:val="1-REL11"/>
        <w:spacing w:before="240" w:after="240" w:line="300" w:lineRule="auto"/>
      </w:pPr>
      <w:bookmarkStart w:id="182" w:name="_Hlk104988938"/>
      <w:r w:rsidRPr="001C305A">
        <w:t xml:space="preserve">Para manter o equilíbrio entre as receitas e despesas previdenciárias, o Tesouro Estadual </w:t>
      </w:r>
      <w:r w:rsidRPr="004873F9">
        <w:t xml:space="preserve">aportou cerca de R$ 4,89 bilhões no exercício de 2023. Dos valores aportados, R$ 323,06 milhões referem-se aos </w:t>
      </w:r>
      <w:r>
        <w:t>TJ/GO</w:t>
      </w:r>
      <w:r w:rsidRPr="004873F9">
        <w:t xml:space="preserve"> e </w:t>
      </w:r>
      <w:r>
        <w:t>Alego</w:t>
      </w:r>
      <w:r w:rsidRPr="004873F9">
        <w:t>, bem como o MP</w:t>
      </w:r>
      <w:r>
        <w:t xml:space="preserve">/GO, TCM/GO </w:t>
      </w:r>
      <w:r w:rsidRPr="004873F9">
        <w:t>e T</w:t>
      </w:r>
      <w:r w:rsidRPr="001C305A">
        <w:t>C</w:t>
      </w:r>
      <w:r>
        <w:t>E/GO</w:t>
      </w:r>
      <w:r w:rsidRPr="001C305A">
        <w:t>.</w:t>
      </w:r>
    </w:p>
    <w:p w14:paraId="7E4DE26C" w14:textId="77777777" w:rsidR="00B67EB7" w:rsidRPr="001C305A" w:rsidRDefault="00B67EB7" w:rsidP="001D1CB0">
      <w:pPr>
        <w:pStyle w:val="1-REL11"/>
        <w:spacing w:before="240" w:after="240" w:line="300" w:lineRule="auto"/>
      </w:pPr>
      <w:bookmarkStart w:id="183" w:name="_Hlk134705351"/>
      <w:r w:rsidRPr="001C305A">
        <w:t>O Tesouro Estadual utilizou R$ 790,60 milhões de recursos provenientes da alienação da Celg Transmissão para os pagamentos de benefícios previdenciários dos servidores ativos, inativos e pensionistas no exercício financeiro em análise.</w:t>
      </w:r>
    </w:p>
    <w:bookmarkEnd w:id="182"/>
    <w:bookmarkEnd w:id="183"/>
    <w:p w14:paraId="0CF444B8" w14:textId="77777777" w:rsidR="00B67EB7" w:rsidRPr="001C305A" w:rsidRDefault="00B67EB7" w:rsidP="001D1CB0">
      <w:pPr>
        <w:pStyle w:val="1-REL11"/>
        <w:spacing w:before="240" w:after="240" w:line="300" w:lineRule="auto"/>
      </w:pPr>
      <w:r w:rsidRPr="001C305A">
        <w:t>Apresenta-se, a seguir, os aportes efetuados pelo Tesouro Estadual desde o exercício financeiro de 2017</w:t>
      </w:r>
      <w:r w:rsidRPr="00CF26A3">
        <w:t>:</w:t>
      </w:r>
    </w:p>
    <w:p w14:paraId="11FD0783" w14:textId="69E9078C" w:rsidR="00B67EB7" w:rsidRDefault="00B67EB7" w:rsidP="00B000B6">
      <w:pPr>
        <w:pStyle w:val="0-GRFICO"/>
        <w:numPr>
          <w:ilvl w:val="0"/>
          <w:numId w:val="38"/>
        </w:numPr>
        <w:tabs>
          <w:tab w:val="clear" w:pos="1418"/>
          <w:tab w:val="left" w:pos="1134"/>
        </w:tabs>
        <w:ind w:left="568" w:hanging="284"/>
      </w:pPr>
      <w:bookmarkStart w:id="184" w:name="_Toc167825105"/>
      <w:r w:rsidRPr="001C305A">
        <w:lastRenderedPageBreak/>
        <w:t>Aportes efetuado</w:t>
      </w:r>
      <w:r w:rsidR="00241DC1">
        <w:t>s</w:t>
      </w:r>
      <w:r w:rsidRPr="001C305A">
        <w:t xml:space="preserve"> pelo Tesouro Estadual para Pagamentos de Benefícios Previdenciários</w:t>
      </w:r>
      <w:bookmarkEnd w:id="184"/>
    </w:p>
    <w:p w14:paraId="177E26B7" w14:textId="77777777" w:rsidR="00823605" w:rsidRPr="00823605" w:rsidRDefault="00823605" w:rsidP="00823605">
      <w:pPr>
        <w:pStyle w:val="0-TXT11"/>
      </w:pPr>
    </w:p>
    <w:p w14:paraId="3315D6B3" w14:textId="77777777" w:rsidR="00B67EB7" w:rsidRPr="00A7469C" w:rsidRDefault="00B67EB7" w:rsidP="00B67EB7">
      <w:pPr>
        <w:spacing w:line="276" w:lineRule="auto"/>
        <w:rPr>
          <w:rFonts w:cs="Arial"/>
          <w:noProof/>
        </w:rPr>
      </w:pPr>
      <w:r w:rsidRPr="00A7469C">
        <w:rPr>
          <w:rFonts w:cs="Arial"/>
          <w:noProof/>
        </w:rPr>
        <mc:AlternateContent>
          <mc:Choice Requires="cx1">
            <w:drawing>
              <wp:inline distT="0" distB="0" distL="0" distR="0" wp14:anchorId="5E8E51C0" wp14:editId="2A140711">
                <wp:extent cx="5800725" cy="3774559"/>
                <wp:effectExtent l="0" t="0" r="9525" b="16510"/>
                <wp:docPr id="1" name="Gráfico 1">
                  <a:extLst xmlns:a="http://schemas.openxmlformats.org/drawingml/2006/main">
                    <a:ext uri="{FF2B5EF4-FFF2-40B4-BE49-F238E27FC236}">
                      <a16:creationId xmlns:a16="http://schemas.microsoft.com/office/drawing/2014/main" id="{00000000-0008-0000-0800-000003000000}"/>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40"/>
                  </a:graphicData>
                </a:graphic>
              </wp:inline>
            </w:drawing>
          </mc:Choice>
          <mc:Fallback>
            <w:drawing>
              <wp:inline distT="0" distB="0" distL="0" distR="0" wp14:anchorId="5E8E51C0" wp14:editId="2A140711">
                <wp:extent cx="5800725" cy="3774559"/>
                <wp:effectExtent l="0" t="0" r="9525" b="16510"/>
                <wp:docPr id="1" name="Gráfico 1">
                  <a:extLst xmlns:a="http://schemas.openxmlformats.org/drawingml/2006/main">
                    <a:ext uri="{FF2B5EF4-FFF2-40B4-BE49-F238E27FC236}">
                      <a16:creationId xmlns:a16="http://schemas.microsoft.com/office/drawing/2014/main" id="{00000000-0008-0000-0800-000003000000}"/>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 name="Gráfico 1">
                          <a:extLst>
                            <a:ext uri="{FF2B5EF4-FFF2-40B4-BE49-F238E27FC236}">
                              <a16:creationId xmlns:a16="http://schemas.microsoft.com/office/drawing/2014/main" id="{00000000-0008-0000-0800-000003000000}"/>
                            </a:ext>
                          </a:extLst>
                        </pic:cNvPr>
                        <pic:cNvPicPr>
                          <a:picLocks noGrp="1" noRot="1" noChangeAspect="1" noMove="1" noResize="1" noEditPoints="1" noAdjustHandles="1" noChangeArrowheads="1" noChangeShapeType="1"/>
                        </pic:cNvPicPr>
                      </pic:nvPicPr>
                      <pic:blipFill>
                        <a:blip r:embed="rId41"/>
                        <a:stretch>
                          <a:fillRect/>
                        </a:stretch>
                      </pic:blipFill>
                      <pic:spPr>
                        <a:xfrm>
                          <a:off x="0" y="0"/>
                          <a:ext cx="5800725" cy="3774440"/>
                        </a:xfrm>
                        <a:prstGeom prst="rect">
                          <a:avLst/>
                        </a:prstGeom>
                      </pic:spPr>
                    </pic:pic>
                  </a:graphicData>
                </a:graphic>
              </wp:inline>
            </w:drawing>
          </mc:Fallback>
        </mc:AlternateContent>
      </w:r>
    </w:p>
    <w:p w14:paraId="67DA6E03" w14:textId="77777777" w:rsidR="00B67EB7" w:rsidRPr="001C305A" w:rsidRDefault="00B67EB7" w:rsidP="00B67EB7">
      <w:pPr>
        <w:spacing w:line="276" w:lineRule="auto"/>
        <w:rPr>
          <w:rFonts w:cs="Arial"/>
          <w:sz w:val="16"/>
          <w:szCs w:val="16"/>
        </w:rPr>
      </w:pPr>
      <w:r w:rsidRPr="001C305A">
        <w:rPr>
          <w:rFonts w:cs="Arial"/>
          <w:sz w:val="16"/>
          <w:szCs w:val="16"/>
        </w:rPr>
        <w:t>Fonte</w:t>
      </w:r>
      <w:r w:rsidRPr="001C305A">
        <w:rPr>
          <w:rFonts w:cs="Arial"/>
          <w:i/>
          <w:sz w:val="16"/>
          <w:szCs w:val="16"/>
        </w:rPr>
        <w:t>: SIOFI</w:t>
      </w:r>
      <w:r w:rsidRPr="001C305A">
        <w:rPr>
          <w:rFonts w:cs="Arial"/>
          <w:sz w:val="16"/>
          <w:szCs w:val="16"/>
        </w:rPr>
        <w:t>.</w:t>
      </w:r>
    </w:p>
    <w:p w14:paraId="41BB52E4" w14:textId="77777777" w:rsidR="00B67EB7" w:rsidRPr="001C305A" w:rsidRDefault="00B67EB7" w:rsidP="00B67EB7">
      <w:pPr>
        <w:spacing w:line="276" w:lineRule="auto"/>
        <w:rPr>
          <w:rFonts w:cs="Arial"/>
          <w:sz w:val="16"/>
          <w:szCs w:val="16"/>
        </w:rPr>
      </w:pPr>
      <w:r w:rsidRPr="001C305A">
        <w:rPr>
          <w:rFonts w:cs="Arial"/>
          <w:sz w:val="16"/>
          <w:szCs w:val="16"/>
        </w:rPr>
        <w:t>¹</w:t>
      </w:r>
      <w:r w:rsidRPr="00A7469C">
        <w:rPr>
          <w:rFonts w:cs="Arial"/>
        </w:rPr>
        <w:t xml:space="preserve"> </w:t>
      </w:r>
      <w:r w:rsidRPr="001C305A">
        <w:rPr>
          <w:rFonts w:cs="Arial"/>
          <w:sz w:val="16"/>
          <w:szCs w:val="16"/>
        </w:rPr>
        <w:t>A partir de 2019, esses aportes contemplam os beneficiários de outros Poderes e Órgãos Autônomos</w:t>
      </w:r>
    </w:p>
    <w:p w14:paraId="4A67BA96" w14:textId="77777777" w:rsidR="00B67EB7" w:rsidRPr="001C305A" w:rsidRDefault="00B67EB7" w:rsidP="00823605">
      <w:pPr>
        <w:pStyle w:val="1-REL11"/>
        <w:spacing w:before="280" w:after="280" w:line="324" w:lineRule="auto"/>
      </w:pPr>
      <w:r w:rsidRPr="001C305A">
        <w:t>Desde 2017, os aportes efetuados pelo Tesouro Estadual atingiram R$ 25,03 bilhões. Os custos previdenciários para cobrir o déficit previdenciário são extremamente dispendiosos para os governos. No estado de Goiás esse gasto corresponde a 12,06% de sua RCL, bem superior aos investimentos aportados no mesmo ano, que corresponde a 8,56% da RCL.</w:t>
      </w:r>
    </w:p>
    <w:p w14:paraId="086DEA75" w14:textId="18FA6A57" w:rsidR="00B67EB7" w:rsidRDefault="00B67EB7" w:rsidP="00823605">
      <w:pPr>
        <w:pStyle w:val="1-REL11"/>
        <w:spacing w:before="280" w:after="280" w:line="324" w:lineRule="auto"/>
      </w:pPr>
      <w:r w:rsidRPr="001C305A">
        <w:t>Se o regime previdenciário estadual estivesse equilibrado atuarialmente, estes recursos poderiam ser investidos em outras áreas governamentais.</w:t>
      </w:r>
    </w:p>
    <w:p w14:paraId="59CE5A47" w14:textId="77777777" w:rsidR="00823605" w:rsidRPr="00823605" w:rsidRDefault="00823605" w:rsidP="00823605">
      <w:pPr>
        <w:pStyle w:val="1-REL11"/>
        <w:spacing w:before="280" w:after="280" w:line="324" w:lineRule="auto"/>
        <w:rPr>
          <w:sz w:val="6"/>
          <w:szCs w:val="6"/>
        </w:rPr>
      </w:pPr>
    </w:p>
    <w:p w14:paraId="7BC8356F" w14:textId="77777777" w:rsidR="00B67EB7" w:rsidRPr="001C305A" w:rsidRDefault="00B67EB7" w:rsidP="00A224E9">
      <w:pPr>
        <w:pStyle w:val="Ttulo3"/>
      </w:pPr>
      <w:bookmarkStart w:id="185" w:name="_Toc167871675"/>
      <w:r w:rsidRPr="001C305A">
        <w:t>Déficit Previdenciário dos Outros Poderes e Órgãos Autônomos</w:t>
      </w:r>
      <w:bookmarkEnd w:id="185"/>
    </w:p>
    <w:p w14:paraId="4AB6E699" w14:textId="77777777" w:rsidR="00B67EB7" w:rsidRPr="001C305A" w:rsidRDefault="00B67EB7" w:rsidP="00823605">
      <w:pPr>
        <w:pStyle w:val="1-REL11"/>
        <w:spacing w:before="240" w:after="240" w:line="324" w:lineRule="auto"/>
      </w:pPr>
      <w:r w:rsidRPr="001C305A">
        <w:t xml:space="preserve">Consta, a seguir, o retrato previdenciário apurado em 2023 do </w:t>
      </w:r>
      <w:r>
        <w:t>TJ/GO</w:t>
      </w:r>
      <w:r w:rsidRPr="001C305A">
        <w:t xml:space="preserve">, Alego, </w:t>
      </w:r>
      <w:r>
        <w:t>MP/GO</w:t>
      </w:r>
      <w:r w:rsidRPr="001C305A">
        <w:t xml:space="preserve">, </w:t>
      </w:r>
      <w:r>
        <w:t>DPE/GO,</w:t>
      </w:r>
      <w:r w:rsidRPr="001C305A">
        <w:t xml:space="preserve"> </w:t>
      </w:r>
      <w:r>
        <w:t>TCE/GO e  TCM/GO</w:t>
      </w:r>
      <w:r w:rsidRPr="001C305A">
        <w:t>.</w:t>
      </w:r>
    </w:p>
    <w:p w14:paraId="65B95E69" w14:textId="77777777" w:rsidR="00B67EB7" w:rsidRPr="001C305A" w:rsidRDefault="00B67EB7" w:rsidP="00ED3571">
      <w:pPr>
        <w:pStyle w:val="0-TABELA"/>
        <w:rPr>
          <w:b/>
        </w:rPr>
      </w:pPr>
      <w:bookmarkStart w:id="186" w:name="_Toc167871768"/>
      <w:r w:rsidRPr="001C305A">
        <w:lastRenderedPageBreak/>
        <w:t>Déficit Previdenciário dos Outros Poderes e Órgãos Autônomos</w:t>
      </w:r>
      <w:bookmarkEnd w:id="186"/>
    </w:p>
    <w:p w14:paraId="1367D264" w14:textId="77777777" w:rsidR="00B67EB7" w:rsidRPr="001712A5" w:rsidRDefault="00B67EB7" w:rsidP="00B67EB7">
      <w:pPr>
        <w:pStyle w:val="PargrafodaLista"/>
        <w:spacing w:line="276" w:lineRule="auto"/>
        <w:ind w:left="7514"/>
        <w:jc w:val="right"/>
        <w:rPr>
          <w:rFonts w:cs="Arial"/>
          <w:sz w:val="18"/>
          <w:szCs w:val="18"/>
        </w:rPr>
      </w:pPr>
      <w:r w:rsidRPr="00471045">
        <w:rPr>
          <w:rFonts w:cs="Arial"/>
          <w:sz w:val="16"/>
          <w:szCs w:val="16"/>
        </w:rPr>
        <w:t>R$ 1</w:t>
      </w:r>
    </w:p>
    <w:tbl>
      <w:tblPr>
        <w:tblW w:w="5000" w:type="pct"/>
        <w:tblLayout w:type="fixed"/>
        <w:tblCellMar>
          <w:left w:w="70" w:type="dxa"/>
          <w:right w:w="70" w:type="dxa"/>
        </w:tblCellMar>
        <w:tblLook w:val="04A0" w:firstRow="1" w:lastRow="0" w:firstColumn="1" w:lastColumn="0" w:noHBand="0" w:noVBand="1"/>
      </w:tblPr>
      <w:tblGrid>
        <w:gridCol w:w="1419"/>
        <w:gridCol w:w="1587"/>
        <w:gridCol w:w="1587"/>
        <w:gridCol w:w="1586"/>
        <w:gridCol w:w="1586"/>
        <w:gridCol w:w="1588"/>
      </w:tblGrid>
      <w:tr w:rsidR="00B67EB7" w:rsidRPr="00D30A43" w14:paraId="79C45515" w14:textId="77777777" w:rsidTr="00117967">
        <w:trPr>
          <w:trHeight w:val="284"/>
          <w:tblHeader/>
        </w:trPr>
        <w:tc>
          <w:tcPr>
            <w:tcW w:w="758" w:type="pct"/>
            <w:tcBorders>
              <w:top w:val="single" w:sz="4" w:space="0" w:color="auto"/>
              <w:bottom w:val="single" w:sz="4" w:space="0" w:color="auto"/>
              <w:right w:val="single" w:sz="4" w:space="0" w:color="auto"/>
            </w:tcBorders>
            <w:shd w:val="clear" w:color="000000" w:fill="A1F2FD"/>
            <w:noWrap/>
            <w:vAlign w:val="center"/>
            <w:hideMark/>
          </w:tcPr>
          <w:p w14:paraId="10FEFD8E" w14:textId="77777777" w:rsidR="00B67EB7" w:rsidRPr="00D30A43" w:rsidRDefault="00B67EB7" w:rsidP="00B67EB7">
            <w:pPr>
              <w:jc w:val="center"/>
              <w:rPr>
                <w:rFonts w:cs="Arial"/>
                <w:b/>
                <w:color w:val="000000"/>
                <w:sz w:val="18"/>
                <w:szCs w:val="18"/>
              </w:rPr>
            </w:pPr>
            <w:r w:rsidRPr="00D30A43">
              <w:rPr>
                <w:rFonts w:cs="Arial"/>
                <w:b/>
                <w:color w:val="000000"/>
                <w:sz w:val="18"/>
                <w:szCs w:val="18"/>
              </w:rPr>
              <w:t>Poder/Órgão Autônomo</w:t>
            </w:r>
          </w:p>
        </w:tc>
        <w:tc>
          <w:tcPr>
            <w:tcW w:w="848" w:type="pct"/>
            <w:tcBorders>
              <w:top w:val="single" w:sz="4" w:space="0" w:color="auto"/>
              <w:left w:val="single" w:sz="4" w:space="0" w:color="auto"/>
              <w:bottom w:val="single" w:sz="4" w:space="0" w:color="auto"/>
              <w:right w:val="single" w:sz="4" w:space="0" w:color="auto"/>
            </w:tcBorders>
            <w:shd w:val="clear" w:color="000000" w:fill="A1F2FD"/>
            <w:vAlign w:val="center"/>
            <w:hideMark/>
          </w:tcPr>
          <w:p w14:paraId="2151DF0B" w14:textId="77777777" w:rsidR="00B67EB7" w:rsidRPr="00D30A43" w:rsidRDefault="00B67EB7" w:rsidP="00B67EB7">
            <w:pPr>
              <w:jc w:val="center"/>
              <w:rPr>
                <w:rFonts w:cs="Arial"/>
                <w:b/>
                <w:bCs/>
                <w:color w:val="000000"/>
                <w:sz w:val="18"/>
                <w:szCs w:val="18"/>
              </w:rPr>
            </w:pPr>
            <w:r w:rsidRPr="00D30A43">
              <w:rPr>
                <w:rFonts w:cs="Arial"/>
                <w:b/>
                <w:bCs/>
                <w:color w:val="000000"/>
                <w:sz w:val="18"/>
                <w:szCs w:val="18"/>
              </w:rPr>
              <w:t>Receitas Previdenciárias</w:t>
            </w:r>
          </w:p>
        </w:tc>
        <w:tc>
          <w:tcPr>
            <w:tcW w:w="848" w:type="pct"/>
            <w:tcBorders>
              <w:top w:val="single" w:sz="4" w:space="0" w:color="auto"/>
              <w:left w:val="single" w:sz="4" w:space="0" w:color="auto"/>
              <w:bottom w:val="single" w:sz="4" w:space="0" w:color="auto"/>
              <w:right w:val="single" w:sz="4" w:space="0" w:color="auto"/>
            </w:tcBorders>
            <w:shd w:val="clear" w:color="000000" w:fill="A1F2FD"/>
            <w:vAlign w:val="center"/>
            <w:hideMark/>
          </w:tcPr>
          <w:p w14:paraId="5CE67426" w14:textId="77777777" w:rsidR="00B67EB7" w:rsidRPr="00D30A43" w:rsidRDefault="00B67EB7" w:rsidP="00B67EB7">
            <w:pPr>
              <w:jc w:val="center"/>
              <w:rPr>
                <w:rFonts w:cs="Arial"/>
                <w:b/>
                <w:bCs/>
                <w:color w:val="000000"/>
                <w:sz w:val="18"/>
                <w:szCs w:val="18"/>
              </w:rPr>
            </w:pPr>
            <w:r w:rsidRPr="00D30A43">
              <w:rPr>
                <w:rFonts w:cs="Arial"/>
                <w:b/>
                <w:bCs/>
                <w:color w:val="000000"/>
                <w:sz w:val="18"/>
                <w:szCs w:val="18"/>
              </w:rPr>
              <w:t>Despesas Previdenciárias</w:t>
            </w:r>
          </w:p>
        </w:tc>
        <w:tc>
          <w:tcPr>
            <w:tcW w:w="848" w:type="pct"/>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1002B6C4" w14:textId="77777777" w:rsidR="00B67EB7" w:rsidRPr="00D30A43" w:rsidRDefault="00B67EB7" w:rsidP="00B67EB7">
            <w:pPr>
              <w:jc w:val="center"/>
              <w:rPr>
                <w:rFonts w:cs="Arial"/>
                <w:b/>
                <w:bCs/>
                <w:color w:val="000000"/>
                <w:sz w:val="18"/>
                <w:szCs w:val="18"/>
              </w:rPr>
            </w:pPr>
            <w:r w:rsidRPr="00D30A43">
              <w:rPr>
                <w:rFonts w:cs="Arial"/>
                <w:b/>
                <w:bCs/>
                <w:color w:val="000000"/>
                <w:sz w:val="18"/>
                <w:szCs w:val="18"/>
              </w:rPr>
              <w:t>Déficit/Superávit</w:t>
            </w:r>
          </w:p>
        </w:tc>
        <w:tc>
          <w:tcPr>
            <w:tcW w:w="848" w:type="pct"/>
            <w:tcBorders>
              <w:top w:val="single" w:sz="4" w:space="0" w:color="auto"/>
              <w:left w:val="single" w:sz="4" w:space="0" w:color="auto"/>
              <w:bottom w:val="single" w:sz="4" w:space="0" w:color="auto"/>
              <w:right w:val="single" w:sz="4" w:space="0" w:color="auto"/>
            </w:tcBorders>
            <w:shd w:val="clear" w:color="000000" w:fill="A1F2FD"/>
            <w:vAlign w:val="center"/>
            <w:hideMark/>
          </w:tcPr>
          <w:p w14:paraId="532A3254" w14:textId="77777777" w:rsidR="00B67EB7" w:rsidRPr="00D30A43" w:rsidRDefault="00B67EB7" w:rsidP="00B67EB7">
            <w:pPr>
              <w:jc w:val="center"/>
              <w:rPr>
                <w:rFonts w:cs="Arial"/>
                <w:b/>
                <w:bCs/>
                <w:color w:val="000000"/>
                <w:sz w:val="18"/>
                <w:szCs w:val="18"/>
              </w:rPr>
            </w:pPr>
            <w:r w:rsidRPr="00D30A43">
              <w:rPr>
                <w:rFonts w:cs="Arial"/>
                <w:b/>
                <w:bCs/>
                <w:color w:val="000000"/>
                <w:sz w:val="18"/>
                <w:szCs w:val="18"/>
              </w:rPr>
              <w:t>Despesas Executada no Órgão Autônomo</w:t>
            </w:r>
          </w:p>
        </w:tc>
        <w:tc>
          <w:tcPr>
            <w:tcW w:w="849" w:type="pct"/>
            <w:tcBorders>
              <w:top w:val="single" w:sz="4" w:space="0" w:color="auto"/>
              <w:left w:val="single" w:sz="4" w:space="0" w:color="auto"/>
              <w:bottom w:val="single" w:sz="4" w:space="0" w:color="auto"/>
            </w:tcBorders>
            <w:shd w:val="clear" w:color="000000" w:fill="A1F2FD"/>
            <w:vAlign w:val="center"/>
            <w:hideMark/>
          </w:tcPr>
          <w:p w14:paraId="14D9920A" w14:textId="77777777" w:rsidR="00B67EB7" w:rsidRPr="00D30A43" w:rsidRDefault="00B67EB7" w:rsidP="00B67EB7">
            <w:pPr>
              <w:jc w:val="center"/>
              <w:rPr>
                <w:rFonts w:cs="Arial"/>
                <w:b/>
                <w:bCs/>
                <w:color w:val="000000"/>
                <w:sz w:val="18"/>
                <w:szCs w:val="18"/>
              </w:rPr>
            </w:pPr>
            <w:r w:rsidRPr="00D30A43">
              <w:rPr>
                <w:rFonts w:cs="Arial"/>
                <w:b/>
                <w:bCs/>
                <w:color w:val="000000"/>
                <w:sz w:val="18"/>
                <w:szCs w:val="18"/>
              </w:rPr>
              <w:t>Déficit/Superávit com Despesa Executada no Órgão Autônomo</w:t>
            </w:r>
          </w:p>
        </w:tc>
      </w:tr>
      <w:tr w:rsidR="00B67EB7" w:rsidRPr="00D30A43" w14:paraId="5AED3926" w14:textId="77777777" w:rsidTr="00117967">
        <w:trPr>
          <w:trHeight w:val="284"/>
        </w:trPr>
        <w:tc>
          <w:tcPr>
            <w:tcW w:w="758" w:type="pct"/>
            <w:tcBorders>
              <w:top w:val="single" w:sz="4" w:space="0" w:color="auto"/>
              <w:right w:val="single" w:sz="4" w:space="0" w:color="auto"/>
            </w:tcBorders>
            <w:shd w:val="clear" w:color="auto" w:fill="auto"/>
            <w:noWrap/>
            <w:vAlign w:val="center"/>
            <w:hideMark/>
          </w:tcPr>
          <w:p w14:paraId="7C010375" w14:textId="77777777" w:rsidR="00B67EB7" w:rsidRPr="00D30A43" w:rsidRDefault="00B67EB7" w:rsidP="00D30A43">
            <w:pPr>
              <w:ind w:left="75"/>
              <w:rPr>
                <w:rFonts w:cs="Arial"/>
                <w:color w:val="000000"/>
                <w:sz w:val="18"/>
                <w:szCs w:val="18"/>
              </w:rPr>
            </w:pPr>
            <w:r w:rsidRPr="00D30A43">
              <w:rPr>
                <w:rFonts w:cs="Arial"/>
                <w:color w:val="000000"/>
                <w:sz w:val="18"/>
                <w:szCs w:val="18"/>
              </w:rPr>
              <w:t>Alego</w:t>
            </w:r>
          </w:p>
        </w:tc>
        <w:tc>
          <w:tcPr>
            <w:tcW w:w="848" w:type="pct"/>
            <w:tcBorders>
              <w:top w:val="single" w:sz="4" w:space="0" w:color="auto"/>
              <w:left w:val="single" w:sz="4" w:space="0" w:color="auto"/>
              <w:right w:val="single" w:sz="4" w:space="0" w:color="auto"/>
            </w:tcBorders>
            <w:shd w:val="clear" w:color="auto" w:fill="auto"/>
            <w:noWrap/>
            <w:vAlign w:val="center"/>
            <w:hideMark/>
          </w:tcPr>
          <w:p w14:paraId="4DEE9105" w14:textId="77777777" w:rsidR="00B67EB7" w:rsidRPr="00D30A43" w:rsidRDefault="00B67EB7" w:rsidP="00B67EB7">
            <w:pPr>
              <w:jc w:val="right"/>
              <w:rPr>
                <w:rFonts w:cs="Arial"/>
                <w:color w:val="000000"/>
                <w:sz w:val="18"/>
                <w:szCs w:val="18"/>
              </w:rPr>
            </w:pPr>
            <w:r w:rsidRPr="00D30A43">
              <w:rPr>
                <w:rFonts w:cs="Arial"/>
                <w:sz w:val="18"/>
                <w:szCs w:val="18"/>
              </w:rPr>
              <w:t>36.442.223,59</w:t>
            </w:r>
          </w:p>
        </w:tc>
        <w:tc>
          <w:tcPr>
            <w:tcW w:w="848" w:type="pct"/>
            <w:tcBorders>
              <w:top w:val="single" w:sz="4" w:space="0" w:color="auto"/>
              <w:left w:val="single" w:sz="4" w:space="0" w:color="auto"/>
              <w:right w:val="single" w:sz="4" w:space="0" w:color="auto"/>
            </w:tcBorders>
            <w:shd w:val="clear" w:color="auto" w:fill="auto"/>
            <w:noWrap/>
            <w:vAlign w:val="center"/>
            <w:hideMark/>
          </w:tcPr>
          <w:p w14:paraId="543E4DD9" w14:textId="77777777" w:rsidR="00B67EB7" w:rsidRPr="00D30A43" w:rsidRDefault="00B67EB7" w:rsidP="00B67EB7">
            <w:pPr>
              <w:jc w:val="right"/>
              <w:rPr>
                <w:rFonts w:cs="Arial"/>
                <w:color w:val="000000"/>
                <w:sz w:val="18"/>
                <w:szCs w:val="18"/>
              </w:rPr>
            </w:pPr>
            <w:r w:rsidRPr="00D30A43">
              <w:rPr>
                <w:rFonts w:cs="Arial"/>
                <w:sz w:val="18"/>
                <w:szCs w:val="18"/>
              </w:rPr>
              <w:t>114.058.134,26</w:t>
            </w:r>
          </w:p>
        </w:tc>
        <w:tc>
          <w:tcPr>
            <w:tcW w:w="848" w:type="pct"/>
            <w:tcBorders>
              <w:top w:val="single" w:sz="4" w:space="0" w:color="auto"/>
              <w:left w:val="single" w:sz="4" w:space="0" w:color="auto"/>
              <w:right w:val="single" w:sz="4" w:space="0" w:color="auto"/>
            </w:tcBorders>
            <w:shd w:val="clear" w:color="auto" w:fill="auto"/>
            <w:noWrap/>
            <w:vAlign w:val="center"/>
            <w:hideMark/>
          </w:tcPr>
          <w:p w14:paraId="753D6049" w14:textId="77777777" w:rsidR="00B67EB7" w:rsidRPr="00D30A43" w:rsidRDefault="00B67EB7" w:rsidP="00B67EB7">
            <w:pPr>
              <w:jc w:val="right"/>
              <w:rPr>
                <w:rFonts w:cs="Arial"/>
                <w:color w:val="FF0000"/>
                <w:sz w:val="18"/>
                <w:szCs w:val="18"/>
              </w:rPr>
            </w:pPr>
            <w:r w:rsidRPr="00D30A43">
              <w:rPr>
                <w:rFonts w:cs="Arial"/>
                <w:color w:val="FF0000"/>
                <w:sz w:val="18"/>
                <w:szCs w:val="18"/>
              </w:rPr>
              <w:t>(77.615.910,67)</w:t>
            </w:r>
          </w:p>
        </w:tc>
        <w:tc>
          <w:tcPr>
            <w:tcW w:w="848" w:type="pct"/>
            <w:tcBorders>
              <w:top w:val="single" w:sz="4" w:space="0" w:color="auto"/>
              <w:left w:val="single" w:sz="4" w:space="0" w:color="auto"/>
              <w:right w:val="single" w:sz="4" w:space="0" w:color="auto"/>
            </w:tcBorders>
            <w:shd w:val="clear" w:color="auto" w:fill="auto"/>
            <w:noWrap/>
            <w:vAlign w:val="center"/>
            <w:hideMark/>
          </w:tcPr>
          <w:p w14:paraId="4EA3C448" w14:textId="77777777" w:rsidR="00B67EB7" w:rsidRPr="00D30A43" w:rsidRDefault="00B67EB7" w:rsidP="00B67EB7">
            <w:pPr>
              <w:jc w:val="right"/>
              <w:rPr>
                <w:rFonts w:cs="Arial"/>
                <w:sz w:val="18"/>
                <w:szCs w:val="18"/>
              </w:rPr>
            </w:pPr>
            <w:r w:rsidRPr="00D30A43">
              <w:rPr>
                <w:rFonts w:cs="Arial"/>
                <w:sz w:val="18"/>
                <w:szCs w:val="18"/>
              </w:rPr>
              <w:t>194.247.763,78</w:t>
            </w:r>
          </w:p>
        </w:tc>
        <w:tc>
          <w:tcPr>
            <w:tcW w:w="849" w:type="pct"/>
            <w:tcBorders>
              <w:top w:val="single" w:sz="4" w:space="0" w:color="auto"/>
              <w:left w:val="single" w:sz="4" w:space="0" w:color="auto"/>
            </w:tcBorders>
            <w:shd w:val="clear" w:color="auto" w:fill="auto"/>
            <w:noWrap/>
            <w:vAlign w:val="center"/>
            <w:hideMark/>
          </w:tcPr>
          <w:p w14:paraId="7BADF06B" w14:textId="77777777" w:rsidR="00B67EB7" w:rsidRPr="00D30A43" w:rsidRDefault="00B67EB7" w:rsidP="00B67EB7">
            <w:pPr>
              <w:jc w:val="right"/>
              <w:rPr>
                <w:rFonts w:cs="Arial"/>
                <w:color w:val="FF0000"/>
                <w:sz w:val="18"/>
                <w:szCs w:val="18"/>
              </w:rPr>
            </w:pPr>
            <w:r w:rsidRPr="00D30A43">
              <w:rPr>
                <w:rFonts w:cs="Arial"/>
                <w:color w:val="FF0000"/>
                <w:sz w:val="18"/>
                <w:szCs w:val="18"/>
              </w:rPr>
              <w:t>(271.863.674,45)</w:t>
            </w:r>
          </w:p>
        </w:tc>
      </w:tr>
      <w:tr w:rsidR="00B67EB7" w:rsidRPr="00D30A43" w14:paraId="639265E3" w14:textId="77777777" w:rsidTr="00117967">
        <w:trPr>
          <w:trHeight w:val="284"/>
        </w:trPr>
        <w:tc>
          <w:tcPr>
            <w:tcW w:w="758" w:type="pct"/>
            <w:tcBorders>
              <w:right w:val="single" w:sz="4" w:space="0" w:color="auto"/>
            </w:tcBorders>
            <w:shd w:val="clear" w:color="auto" w:fill="auto"/>
            <w:noWrap/>
            <w:vAlign w:val="center"/>
            <w:hideMark/>
          </w:tcPr>
          <w:p w14:paraId="59B63F72" w14:textId="77777777" w:rsidR="00B67EB7" w:rsidRPr="00D30A43" w:rsidRDefault="00B67EB7" w:rsidP="00D30A43">
            <w:pPr>
              <w:ind w:left="75"/>
              <w:rPr>
                <w:rFonts w:cs="Arial"/>
                <w:color w:val="000000"/>
                <w:sz w:val="18"/>
                <w:szCs w:val="18"/>
              </w:rPr>
            </w:pPr>
            <w:r w:rsidRPr="00D30A43">
              <w:rPr>
                <w:rFonts w:cs="Arial"/>
                <w:color w:val="000000"/>
                <w:sz w:val="18"/>
                <w:szCs w:val="18"/>
              </w:rPr>
              <w:t>TCE/GO</w:t>
            </w:r>
          </w:p>
        </w:tc>
        <w:tc>
          <w:tcPr>
            <w:tcW w:w="848" w:type="pct"/>
            <w:tcBorders>
              <w:left w:val="single" w:sz="4" w:space="0" w:color="auto"/>
              <w:right w:val="single" w:sz="4" w:space="0" w:color="auto"/>
            </w:tcBorders>
            <w:shd w:val="clear" w:color="auto" w:fill="auto"/>
            <w:noWrap/>
            <w:vAlign w:val="center"/>
            <w:hideMark/>
          </w:tcPr>
          <w:p w14:paraId="3FACCDAF" w14:textId="77777777" w:rsidR="00B67EB7" w:rsidRPr="00D30A43" w:rsidRDefault="00B67EB7" w:rsidP="00B67EB7">
            <w:pPr>
              <w:jc w:val="right"/>
              <w:rPr>
                <w:rFonts w:cs="Arial"/>
                <w:color w:val="000000"/>
                <w:sz w:val="18"/>
                <w:szCs w:val="18"/>
              </w:rPr>
            </w:pPr>
            <w:r w:rsidRPr="00D30A43">
              <w:rPr>
                <w:rFonts w:cs="Arial"/>
                <w:sz w:val="18"/>
                <w:szCs w:val="18"/>
              </w:rPr>
              <w:t>55.002.324,37</w:t>
            </w:r>
          </w:p>
        </w:tc>
        <w:tc>
          <w:tcPr>
            <w:tcW w:w="848" w:type="pct"/>
            <w:tcBorders>
              <w:left w:val="single" w:sz="4" w:space="0" w:color="auto"/>
              <w:right w:val="single" w:sz="4" w:space="0" w:color="auto"/>
            </w:tcBorders>
            <w:shd w:val="clear" w:color="auto" w:fill="auto"/>
            <w:noWrap/>
            <w:vAlign w:val="center"/>
            <w:hideMark/>
          </w:tcPr>
          <w:p w14:paraId="635B812C" w14:textId="77777777" w:rsidR="00B67EB7" w:rsidRPr="00D30A43" w:rsidRDefault="00B67EB7" w:rsidP="00B67EB7">
            <w:pPr>
              <w:jc w:val="right"/>
              <w:rPr>
                <w:rFonts w:cs="Arial"/>
                <w:sz w:val="18"/>
                <w:szCs w:val="18"/>
              </w:rPr>
            </w:pPr>
            <w:r w:rsidRPr="00D30A43">
              <w:rPr>
                <w:rFonts w:cs="Arial"/>
                <w:sz w:val="18"/>
                <w:szCs w:val="18"/>
              </w:rPr>
              <w:t>168.987.333,71</w:t>
            </w:r>
          </w:p>
        </w:tc>
        <w:tc>
          <w:tcPr>
            <w:tcW w:w="848" w:type="pct"/>
            <w:tcBorders>
              <w:left w:val="single" w:sz="4" w:space="0" w:color="auto"/>
              <w:right w:val="single" w:sz="4" w:space="0" w:color="auto"/>
            </w:tcBorders>
            <w:shd w:val="clear" w:color="auto" w:fill="auto"/>
            <w:noWrap/>
            <w:vAlign w:val="center"/>
            <w:hideMark/>
          </w:tcPr>
          <w:p w14:paraId="48776394" w14:textId="77777777" w:rsidR="00B67EB7" w:rsidRPr="00D30A43" w:rsidRDefault="00B67EB7" w:rsidP="00B67EB7">
            <w:pPr>
              <w:jc w:val="right"/>
              <w:rPr>
                <w:rFonts w:cs="Arial"/>
                <w:color w:val="FF0000"/>
                <w:sz w:val="18"/>
                <w:szCs w:val="18"/>
              </w:rPr>
            </w:pPr>
            <w:r w:rsidRPr="00D30A43">
              <w:rPr>
                <w:rFonts w:cs="Arial"/>
                <w:color w:val="FF0000"/>
                <w:sz w:val="18"/>
                <w:szCs w:val="18"/>
              </w:rPr>
              <w:t>(113.985.009,34)</w:t>
            </w:r>
          </w:p>
        </w:tc>
        <w:tc>
          <w:tcPr>
            <w:tcW w:w="848" w:type="pct"/>
            <w:tcBorders>
              <w:left w:val="single" w:sz="4" w:space="0" w:color="auto"/>
              <w:right w:val="single" w:sz="4" w:space="0" w:color="auto"/>
            </w:tcBorders>
            <w:shd w:val="clear" w:color="auto" w:fill="auto"/>
            <w:noWrap/>
            <w:vAlign w:val="center"/>
            <w:hideMark/>
          </w:tcPr>
          <w:p w14:paraId="27340281" w14:textId="77777777" w:rsidR="00B67EB7" w:rsidRPr="00D30A43" w:rsidRDefault="00B67EB7" w:rsidP="00B67EB7">
            <w:pPr>
              <w:jc w:val="right"/>
              <w:rPr>
                <w:rFonts w:cs="Arial"/>
                <w:sz w:val="18"/>
                <w:szCs w:val="18"/>
              </w:rPr>
            </w:pPr>
            <w:r w:rsidRPr="00D30A43">
              <w:rPr>
                <w:rFonts w:cs="Arial"/>
                <w:sz w:val="18"/>
                <w:szCs w:val="18"/>
              </w:rPr>
              <w:t>66.500.633,35</w:t>
            </w:r>
          </w:p>
        </w:tc>
        <w:tc>
          <w:tcPr>
            <w:tcW w:w="849" w:type="pct"/>
            <w:tcBorders>
              <w:left w:val="single" w:sz="4" w:space="0" w:color="auto"/>
            </w:tcBorders>
            <w:shd w:val="clear" w:color="auto" w:fill="auto"/>
            <w:noWrap/>
            <w:vAlign w:val="center"/>
            <w:hideMark/>
          </w:tcPr>
          <w:p w14:paraId="1150CB42" w14:textId="77777777" w:rsidR="00B67EB7" w:rsidRPr="00D30A43" w:rsidRDefault="00B67EB7" w:rsidP="00B67EB7">
            <w:pPr>
              <w:jc w:val="right"/>
              <w:rPr>
                <w:rFonts w:cs="Arial"/>
                <w:color w:val="FF0000"/>
                <w:sz w:val="18"/>
                <w:szCs w:val="18"/>
              </w:rPr>
            </w:pPr>
            <w:r w:rsidRPr="00D30A43">
              <w:rPr>
                <w:rFonts w:cs="Arial"/>
                <w:color w:val="FF0000"/>
                <w:sz w:val="18"/>
                <w:szCs w:val="18"/>
              </w:rPr>
              <w:t>(180.485.642,69)</w:t>
            </w:r>
          </w:p>
        </w:tc>
      </w:tr>
      <w:tr w:rsidR="00B67EB7" w:rsidRPr="00D30A43" w14:paraId="56C0657B" w14:textId="77777777" w:rsidTr="00117967">
        <w:trPr>
          <w:trHeight w:val="284"/>
        </w:trPr>
        <w:tc>
          <w:tcPr>
            <w:tcW w:w="758" w:type="pct"/>
            <w:tcBorders>
              <w:right w:val="single" w:sz="4" w:space="0" w:color="auto"/>
            </w:tcBorders>
            <w:shd w:val="clear" w:color="auto" w:fill="auto"/>
            <w:noWrap/>
            <w:vAlign w:val="center"/>
            <w:hideMark/>
          </w:tcPr>
          <w:p w14:paraId="025B972D" w14:textId="77777777" w:rsidR="00B67EB7" w:rsidRPr="00D30A43" w:rsidRDefault="00B67EB7" w:rsidP="00D30A43">
            <w:pPr>
              <w:ind w:left="75"/>
              <w:rPr>
                <w:rFonts w:cs="Arial"/>
                <w:color w:val="000000"/>
                <w:sz w:val="18"/>
                <w:szCs w:val="18"/>
              </w:rPr>
            </w:pPr>
            <w:r w:rsidRPr="00D30A43">
              <w:rPr>
                <w:rFonts w:cs="Arial"/>
                <w:color w:val="000000"/>
                <w:sz w:val="18"/>
                <w:szCs w:val="18"/>
              </w:rPr>
              <w:t>TCM/GO</w:t>
            </w:r>
          </w:p>
        </w:tc>
        <w:tc>
          <w:tcPr>
            <w:tcW w:w="848" w:type="pct"/>
            <w:tcBorders>
              <w:left w:val="single" w:sz="4" w:space="0" w:color="auto"/>
              <w:right w:val="single" w:sz="4" w:space="0" w:color="auto"/>
            </w:tcBorders>
            <w:shd w:val="clear" w:color="auto" w:fill="auto"/>
            <w:noWrap/>
            <w:vAlign w:val="center"/>
            <w:hideMark/>
          </w:tcPr>
          <w:p w14:paraId="0EC3476F" w14:textId="77777777" w:rsidR="00B67EB7" w:rsidRPr="00D30A43" w:rsidRDefault="00B67EB7" w:rsidP="00B67EB7">
            <w:pPr>
              <w:jc w:val="right"/>
              <w:rPr>
                <w:rFonts w:cs="Arial"/>
                <w:color w:val="000000"/>
                <w:sz w:val="18"/>
                <w:szCs w:val="18"/>
              </w:rPr>
            </w:pPr>
            <w:r w:rsidRPr="00D30A43">
              <w:rPr>
                <w:rFonts w:cs="Arial"/>
                <w:sz w:val="18"/>
                <w:szCs w:val="18"/>
              </w:rPr>
              <w:t>35.791.753,03</w:t>
            </w:r>
          </w:p>
        </w:tc>
        <w:tc>
          <w:tcPr>
            <w:tcW w:w="848" w:type="pct"/>
            <w:tcBorders>
              <w:left w:val="single" w:sz="4" w:space="0" w:color="auto"/>
              <w:right w:val="single" w:sz="4" w:space="0" w:color="auto"/>
            </w:tcBorders>
            <w:shd w:val="clear" w:color="auto" w:fill="auto"/>
            <w:noWrap/>
            <w:vAlign w:val="center"/>
            <w:hideMark/>
          </w:tcPr>
          <w:p w14:paraId="749815A3" w14:textId="77777777" w:rsidR="00B67EB7" w:rsidRPr="00D30A43" w:rsidRDefault="00B67EB7" w:rsidP="00B67EB7">
            <w:pPr>
              <w:jc w:val="right"/>
              <w:rPr>
                <w:rFonts w:cs="Arial"/>
                <w:sz w:val="18"/>
                <w:szCs w:val="18"/>
              </w:rPr>
            </w:pPr>
            <w:r w:rsidRPr="00D30A43">
              <w:rPr>
                <w:rFonts w:cs="Arial"/>
                <w:sz w:val="18"/>
                <w:szCs w:val="18"/>
              </w:rPr>
              <w:t>75.920.555,18</w:t>
            </w:r>
          </w:p>
        </w:tc>
        <w:tc>
          <w:tcPr>
            <w:tcW w:w="848" w:type="pct"/>
            <w:tcBorders>
              <w:left w:val="single" w:sz="4" w:space="0" w:color="auto"/>
              <w:right w:val="single" w:sz="4" w:space="0" w:color="auto"/>
            </w:tcBorders>
            <w:shd w:val="clear" w:color="auto" w:fill="auto"/>
            <w:noWrap/>
            <w:vAlign w:val="center"/>
            <w:hideMark/>
          </w:tcPr>
          <w:p w14:paraId="0982F46C" w14:textId="77777777" w:rsidR="00B67EB7" w:rsidRPr="00D30A43" w:rsidRDefault="00B67EB7" w:rsidP="00B67EB7">
            <w:pPr>
              <w:jc w:val="right"/>
              <w:rPr>
                <w:rFonts w:cs="Arial"/>
                <w:color w:val="FF0000"/>
                <w:sz w:val="18"/>
                <w:szCs w:val="18"/>
              </w:rPr>
            </w:pPr>
            <w:r w:rsidRPr="00D30A43">
              <w:rPr>
                <w:rFonts w:cs="Arial"/>
                <w:color w:val="FF0000"/>
                <w:sz w:val="18"/>
                <w:szCs w:val="18"/>
              </w:rPr>
              <w:t>(40.128.802,15)</w:t>
            </w:r>
          </w:p>
        </w:tc>
        <w:tc>
          <w:tcPr>
            <w:tcW w:w="848" w:type="pct"/>
            <w:tcBorders>
              <w:left w:val="single" w:sz="4" w:space="0" w:color="auto"/>
              <w:right w:val="single" w:sz="4" w:space="0" w:color="auto"/>
            </w:tcBorders>
            <w:shd w:val="clear" w:color="auto" w:fill="auto"/>
            <w:noWrap/>
            <w:vAlign w:val="center"/>
            <w:hideMark/>
          </w:tcPr>
          <w:p w14:paraId="7FE77D6A" w14:textId="77777777" w:rsidR="00B67EB7" w:rsidRPr="00D30A43" w:rsidRDefault="00B67EB7" w:rsidP="00B67EB7">
            <w:pPr>
              <w:jc w:val="right"/>
              <w:rPr>
                <w:rFonts w:cs="Arial"/>
                <w:color w:val="FF0000"/>
                <w:sz w:val="18"/>
                <w:szCs w:val="18"/>
              </w:rPr>
            </w:pPr>
            <w:r w:rsidRPr="00D30A43">
              <w:rPr>
                <w:rFonts w:cs="Arial"/>
                <w:sz w:val="18"/>
                <w:szCs w:val="18"/>
              </w:rPr>
              <w:t>0,00</w:t>
            </w:r>
          </w:p>
        </w:tc>
        <w:tc>
          <w:tcPr>
            <w:tcW w:w="849" w:type="pct"/>
            <w:tcBorders>
              <w:left w:val="single" w:sz="4" w:space="0" w:color="auto"/>
            </w:tcBorders>
            <w:shd w:val="clear" w:color="auto" w:fill="auto"/>
            <w:noWrap/>
            <w:vAlign w:val="center"/>
            <w:hideMark/>
          </w:tcPr>
          <w:p w14:paraId="6EC355D3" w14:textId="77777777" w:rsidR="00B67EB7" w:rsidRPr="00D30A43" w:rsidRDefault="00B67EB7" w:rsidP="00B67EB7">
            <w:pPr>
              <w:jc w:val="right"/>
              <w:rPr>
                <w:rFonts w:cs="Arial"/>
                <w:color w:val="FF0000"/>
                <w:sz w:val="18"/>
                <w:szCs w:val="18"/>
              </w:rPr>
            </w:pPr>
            <w:r w:rsidRPr="00D30A43">
              <w:rPr>
                <w:rFonts w:cs="Arial"/>
                <w:color w:val="FF0000"/>
                <w:sz w:val="18"/>
                <w:szCs w:val="18"/>
              </w:rPr>
              <w:t>(40.128.802,15)</w:t>
            </w:r>
          </w:p>
        </w:tc>
      </w:tr>
      <w:tr w:rsidR="00B67EB7" w:rsidRPr="00D30A43" w14:paraId="25363A98" w14:textId="77777777" w:rsidTr="00117967">
        <w:trPr>
          <w:trHeight w:val="284"/>
        </w:trPr>
        <w:tc>
          <w:tcPr>
            <w:tcW w:w="758" w:type="pct"/>
            <w:tcBorders>
              <w:right w:val="single" w:sz="4" w:space="0" w:color="auto"/>
            </w:tcBorders>
            <w:shd w:val="clear" w:color="auto" w:fill="auto"/>
            <w:noWrap/>
            <w:vAlign w:val="center"/>
            <w:hideMark/>
          </w:tcPr>
          <w:p w14:paraId="2E01F3D4" w14:textId="77777777" w:rsidR="00B67EB7" w:rsidRPr="00D30A43" w:rsidRDefault="00B67EB7" w:rsidP="00D30A43">
            <w:pPr>
              <w:ind w:left="75"/>
              <w:rPr>
                <w:rFonts w:cs="Arial"/>
                <w:color w:val="000000"/>
                <w:sz w:val="18"/>
                <w:szCs w:val="18"/>
              </w:rPr>
            </w:pPr>
            <w:r w:rsidRPr="00D30A43">
              <w:rPr>
                <w:rFonts w:cs="Arial"/>
                <w:color w:val="000000"/>
                <w:sz w:val="18"/>
                <w:szCs w:val="18"/>
              </w:rPr>
              <w:t>TJ/GO</w:t>
            </w:r>
          </w:p>
        </w:tc>
        <w:tc>
          <w:tcPr>
            <w:tcW w:w="848" w:type="pct"/>
            <w:tcBorders>
              <w:left w:val="single" w:sz="4" w:space="0" w:color="auto"/>
              <w:right w:val="single" w:sz="4" w:space="0" w:color="auto"/>
            </w:tcBorders>
            <w:shd w:val="clear" w:color="auto" w:fill="auto"/>
            <w:noWrap/>
            <w:vAlign w:val="center"/>
            <w:hideMark/>
          </w:tcPr>
          <w:p w14:paraId="1BF3E52F" w14:textId="77777777" w:rsidR="00B67EB7" w:rsidRPr="00D30A43" w:rsidRDefault="00B67EB7" w:rsidP="00B67EB7">
            <w:pPr>
              <w:jc w:val="right"/>
              <w:rPr>
                <w:rFonts w:cs="Arial"/>
                <w:color w:val="000000"/>
                <w:sz w:val="18"/>
                <w:szCs w:val="18"/>
              </w:rPr>
            </w:pPr>
            <w:r w:rsidRPr="00D30A43">
              <w:rPr>
                <w:rFonts w:cs="Arial"/>
                <w:sz w:val="18"/>
                <w:szCs w:val="18"/>
              </w:rPr>
              <w:t>374.742.115,84</w:t>
            </w:r>
          </w:p>
        </w:tc>
        <w:tc>
          <w:tcPr>
            <w:tcW w:w="848" w:type="pct"/>
            <w:tcBorders>
              <w:left w:val="single" w:sz="4" w:space="0" w:color="auto"/>
              <w:right w:val="single" w:sz="4" w:space="0" w:color="auto"/>
            </w:tcBorders>
            <w:shd w:val="clear" w:color="auto" w:fill="auto"/>
            <w:noWrap/>
            <w:vAlign w:val="center"/>
            <w:hideMark/>
          </w:tcPr>
          <w:p w14:paraId="76ABF564" w14:textId="77777777" w:rsidR="00B67EB7" w:rsidRPr="00D30A43" w:rsidRDefault="00B67EB7" w:rsidP="00B67EB7">
            <w:pPr>
              <w:jc w:val="right"/>
              <w:rPr>
                <w:rFonts w:cs="Arial"/>
                <w:sz w:val="18"/>
                <w:szCs w:val="18"/>
              </w:rPr>
            </w:pPr>
            <w:r w:rsidRPr="00D30A43">
              <w:rPr>
                <w:rFonts w:cs="Arial"/>
                <w:sz w:val="18"/>
                <w:szCs w:val="18"/>
              </w:rPr>
              <w:t>450.940.977,41</w:t>
            </w:r>
          </w:p>
        </w:tc>
        <w:tc>
          <w:tcPr>
            <w:tcW w:w="848" w:type="pct"/>
            <w:tcBorders>
              <w:left w:val="single" w:sz="4" w:space="0" w:color="auto"/>
              <w:right w:val="single" w:sz="4" w:space="0" w:color="auto"/>
            </w:tcBorders>
            <w:shd w:val="clear" w:color="auto" w:fill="auto"/>
            <w:noWrap/>
            <w:vAlign w:val="center"/>
            <w:hideMark/>
          </w:tcPr>
          <w:p w14:paraId="3DF1FBCF" w14:textId="77777777" w:rsidR="00B67EB7" w:rsidRPr="00D30A43" w:rsidRDefault="00B67EB7" w:rsidP="00B67EB7">
            <w:pPr>
              <w:jc w:val="right"/>
              <w:rPr>
                <w:rFonts w:cs="Arial"/>
                <w:color w:val="FF0000"/>
                <w:sz w:val="18"/>
                <w:szCs w:val="18"/>
              </w:rPr>
            </w:pPr>
            <w:r w:rsidRPr="00D30A43">
              <w:rPr>
                <w:rFonts w:cs="Arial"/>
                <w:color w:val="FF0000"/>
                <w:sz w:val="18"/>
                <w:szCs w:val="18"/>
              </w:rPr>
              <w:t>(76.198.861,57)</w:t>
            </w:r>
          </w:p>
        </w:tc>
        <w:tc>
          <w:tcPr>
            <w:tcW w:w="848" w:type="pct"/>
            <w:tcBorders>
              <w:left w:val="single" w:sz="4" w:space="0" w:color="auto"/>
              <w:right w:val="single" w:sz="4" w:space="0" w:color="auto"/>
            </w:tcBorders>
            <w:shd w:val="clear" w:color="auto" w:fill="auto"/>
            <w:noWrap/>
            <w:vAlign w:val="center"/>
            <w:hideMark/>
          </w:tcPr>
          <w:p w14:paraId="0755FF0E" w14:textId="77777777" w:rsidR="00B67EB7" w:rsidRPr="00D30A43" w:rsidRDefault="00B67EB7" w:rsidP="00B67EB7">
            <w:pPr>
              <w:jc w:val="right"/>
              <w:rPr>
                <w:rFonts w:cs="Arial"/>
                <w:sz w:val="18"/>
                <w:szCs w:val="18"/>
              </w:rPr>
            </w:pPr>
            <w:r w:rsidRPr="00D30A43">
              <w:rPr>
                <w:rFonts w:cs="Arial"/>
                <w:sz w:val="18"/>
                <w:szCs w:val="18"/>
              </w:rPr>
              <w:t>120.255.590,25</w:t>
            </w:r>
          </w:p>
        </w:tc>
        <w:tc>
          <w:tcPr>
            <w:tcW w:w="849" w:type="pct"/>
            <w:tcBorders>
              <w:left w:val="single" w:sz="4" w:space="0" w:color="auto"/>
            </w:tcBorders>
            <w:shd w:val="clear" w:color="auto" w:fill="auto"/>
            <w:noWrap/>
            <w:vAlign w:val="center"/>
            <w:hideMark/>
          </w:tcPr>
          <w:p w14:paraId="0926812C" w14:textId="77777777" w:rsidR="00B67EB7" w:rsidRPr="00D30A43" w:rsidRDefault="00B67EB7" w:rsidP="00B67EB7">
            <w:pPr>
              <w:jc w:val="right"/>
              <w:rPr>
                <w:rFonts w:cs="Arial"/>
                <w:color w:val="FF0000"/>
                <w:sz w:val="18"/>
                <w:szCs w:val="18"/>
              </w:rPr>
            </w:pPr>
            <w:r w:rsidRPr="00D30A43">
              <w:rPr>
                <w:rFonts w:cs="Arial"/>
                <w:color w:val="FF0000"/>
                <w:sz w:val="18"/>
                <w:szCs w:val="18"/>
              </w:rPr>
              <w:t>(196.454.451,82)</w:t>
            </w:r>
          </w:p>
        </w:tc>
      </w:tr>
      <w:tr w:rsidR="00B67EB7" w:rsidRPr="00D30A43" w14:paraId="33AF608D" w14:textId="77777777" w:rsidTr="00117967">
        <w:trPr>
          <w:trHeight w:val="284"/>
        </w:trPr>
        <w:tc>
          <w:tcPr>
            <w:tcW w:w="758" w:type="pct"/>
            <w:tcBorders>
              <w:right w:val="single" w:sz="4" w:space="0" w:color="auto"/>
            </w:tcBorders>
            <w:shd w:val="clear" w:color="auto" w:fill="auto"/>
            <w:noWrap/>
            <w:vAlign w:val="center"/>
            <w:hideMark/>
          </w:tcPr>
          <w:p w14:paraId="2C72A93E" w14:textId="77777777" w:rsidR="00B67EB7" w:rsidRPr="00D30A43" w:rsidRDefault="00B67EB7" w:rsidP="00D30A43">
            <w:pPr>
              <w:ind w:left="75"/>
              <w:rPr>
                <w:rFonts w:cs="Arial"/>
                <w:color w:val="000000"/>
                <w:sz w:val="18"/>
                <w:szCs w:val="18"/>
              </w:rPr>
            </w:pPr>
            <w:r w:rsidRPr="00D30A43">
              <w:rPr>
                <w:rFonts w:cs="Arial"/>
                <w:color w:val="000000"/>
                <w:sz w:val="18"/>
                <w:szCs w:val="18"/>
              </w:rPr>
              <w:t>MP/GO</w:t>
            </w:r>
          </w:p>
        </w:tc>
        <w:tc>
          <w:tcPr>
            <w:tcW w:w="848" w:type="pct"/>
            <w:tcBorders>
              <w:left w:val="single" w:sz="4" w:space="0" w:color="auto"/>
              <w:right w:val="single" w:sz="4" w:space="0" w:color="auto"/>
            </w:tcBorders>
            <w:shd w:val="clear" w:color="auto" w:fill="auto"/>
            <w:noWrap/>
            <w:vAlign w:val="center"/>
            <w:hideMark/>
          </w:tcPr>
          <w:p w14:paraId="45D38910" w14:textId="77777777" w:rsidR="00B67EB7" w:rsidRPr="00D30A43" w:rsidRDefault="00B67EB7" w:rsidP="00B67EB7">
            <w:pPr>
              <w:jc w:val="right"/>
              <w:rPr>
                <w:rFonts w:cs="Arial"/>
                <w:color w:val="000000"/>
                <w:sz w:val="18"/>
                <w:szCs w:val="18"/>
              </w:rPr>
            </w:pPr>
            <w:r w:rsidRPr="00D30A43">
              <w:rPr>
                <w:rFonts w:cs="Arial"/>
                <w:sz w:val="18"/>
                <w:szCs w:val="18"/>
              </w:rPr>
              <w:t>127.577.353,93</w:t>
            </w:r>
          </w:p>
        </w:tc>
        <w:tc>
          <w:tcPr>
            <w:tcW w:w="848" w:type="pct"/>
            <w:tcBorders>
              <w:left w:val="single" w:sz="4" w:space="0" w:color="auto"/>
              <w:right w:val="single" w:sz="4" w:space="0" w:color="auto"/>
            </w:tcBorders>
            <w:shd w:val="clear" w:color="auto" w:fill="auto"/>
            <w:noWrap/>
            <w:vAlign w:val="center"/>
            <w:hideMark/>
          </w:tcPr>
          <w:p w14:paraId="5F3E06F9" w14:textId="77777777" w:rsidR="00B67EB7" w:rsidRPr="00D30A43" w:rsidRDefault="00B67EB7" w:rsidP="00B67EB7">
            <w:pPr>
              <w:jc w:val="right"/>
              <w:rPr>
                <w:rFonts w:cs="Arial"/>
                <w:sz w:val="18"/>
                <w:szCs w:val="18"/>
              </w:rPr>
            </w:pPr>
            <w:r w:rsidRPr="00D30A43">
              <w:rPr>
                <w:rFonts w:cs="Arial"/>
                <w:sz w:val="18"/>
                <w:szCs w:val="18"/>
              </w:rPr>
              <w:t>106.954.553,41</w:t>
            </w:r>
          </w:p>
        </w:tc>
        <w:tc>
          <w:tcPr>
            <w:tcW w:w="848" w:type="pct"/>
            <w:tcBorders>
              <w:left w:val="single" w:sz="4" w:space="0" w:color="auto"/>
              <w:right w:val="single" w:sz="4" w:space="0" w:color="auto"/>
            </w:tcBorders>
            <w:shd w:val="clear" w:color="auto" w:fill="auto"/>
            <w:noWrap/>
            <w:vAlign w:val="center"/>
            <w:hideMark/>
          </w:tcPr>
          <w:p w14:paraId="699E6854" w14:textId="77777777" w:rsidR="00B67EB7" w:rsidRPr="00D30A43" w:rsidRDefault="00B67EB7" w:rsidP="00B67EB7">
            <w:pPr>
              <w:jc w:val="right"/>
              <w:rPr>
                <w:rFonts w:cs="Arial"/>
                <w:color w:val="000000"/>
                <w:sz w:val="18"/>
                <w:szCs w:val="18"/>
              </w:rPr>
            </w:pPr>
            <w:r w:rsidRPr="00D30A43">
              <w:rPr>
                <w:rFonts w:cs="Arial"/>
                <w:sz w:val="18"/>
                <w:szCs w:val="18"/>
              </w:rPr>
              <w:t>20.622.800,52</w:t>
            </w:r>
          </w:p>
        </w:tc>
        <w:tc>
          <w:tcPr>
            <w:tcW w:w="848" w:type="pct"/>
            <w:tcBorders>
              <w:left w:val="single" w:sz="4" w:space="0" w:color="auto"/>
              <w:right w:val="single" w:sz="4" w:space="0" w:color="auto"/>
            </w:tcBorders>
            <w:shd w:val="clear" w:color="auto" w:fill="auto"/>
            <w:noWrap/>
            <w:vAlign w:val="center"/>
            <w:hideMark/>
          </w:tcPr>
          <w:p w14:paraId="7D15519A" w14:textId="77777777" w:rsidR="00B67EB7" w:rsidRPr="00D30A43" w:rsidRDefault="00B67EB7" w:rsidP="00B67EB7">
            <w:pPr>
              <w:jc w:val="right"/>
              <w:rPr>
                <w:rFonts w:cs="Arial"/>
                <w:sz w:val="18"/>
                <w:szCs w:val="18"/>
              </w:rPr>
            </w:pPr>
            <w:r w:rsidRPr="00D30A43">
              <w:rPr>
                <w:rFonts w:cs="Arial"/>
                <w:sz w:val="18"/>
                <w:szCs w:val="18"/>
              </w:rPr>
              <w:t>31.167.232,04</w:t>
            </w:r>
          </w:p>
        </w:tc>
        <w:tc>
          <w:tcPr>
            <w:tcW w:w="849" w:type="pct"/>
            <w:tcBorders>
              <w:left w:val="single" w:sz="4" w:space="0" w:color="auto"/>
            </w:tcBorders>
            <w:shd w:val="clear" w:color="auto" w:fill="auto"/>
            <w:noWrap/>
            <w:vAlign w:val="center"/>
            <w:hideMark/>
          </w:tcPr>
          <w:p w14:paraId="35E88126" w14:textId="77777777" w:rsidR="00B67EB7" w:rsidRPr="00D30A43" w:rsidRDefault="00B67EB7" w:rsidP="00B67EB7">
            <w:pPr>
              <w:jc w:val="right"/>
              <w:rPr>
                <w:rFonts w:cs="Arial"/>
                <w:color w:val="FF0000"/>
                <w:sz w:val="18"/>
                <w:szCs w:val="18"/>
              </w:rPr>
            </w:pPr>
            <w:r w:rsidRPr="00D30A43">
              <w:rPr>
                <w:rFonts w:cs="Arial"/>
                <w:color w:val="FF0000"/>
                <w:sz w:val="18"/>
                <w:szCs w:val="18"/>
              </w:rPr>
              <w:t>(10.544.431,52)</w:t>
            </w:r>
          </w:p>
        </w:tc>
      </w:tr>
      <w:tr w:rsidR="00B67EB7" w:rsidRPr="00D30A43" w14:paraId="3BCB0402" w14:textId="77777777" w:rsidTr="00117967">
        <w:trPr>
          <w:trHeight w:val="284"/>
        </w:trPr>
        <w:tc>
          <w:tcPr>
            <w:tcW w:w="758" w:type="pct"/>
            <w:tcBorders>
              <w:bottom w:val="single" w:sz="4" w:space="0" w:color="auto"/>
              <w:right w:val="single" w:sz="4" w:space="0" w:color="auto"/>
            </w:tcBorders>
            <w:shd w:val="clear" w:color="auto" w:fill="auto"/>
            <w:noWrap/>
            <w:vAlign w:val="center"/>
            <w:hideMark/>
          </w:tcPr>
          <w:p w14:paraId="6A17E194" w14:textId="77777777" w:rsidR="00B67EB7" w:rsidRPr="00D30A43" w:rsidRDefault="00B67EB7" w:rsidP="00D30A43">
            <w:pPr>
              <w:ind w:left="75"/>
              <w:rPr>
                <w:rFonts w:cs="Arial"/>
                <w:color w:val="000000"/>
                <w:sz w:val="18"/>
                <w:szCs w:val="18"/>
              </w:rPr>
            </w:pPr>
            <w:r w:rsidRPr="00D30A43">
              <w:rPr>
                <w:rFonts w:cs="Arial"/>
                <w:color w:val="000000"/>
                <w:sz w:val="18"/>
                <w:szCs w:val="18"/>
              </w:rPr>
              <w:t>DPE/GO</w:t>
            </w:r>
          </w:p>
        </w:tc>
        <w:tc>
          <w:tcPr>
            <w:tcW w:w="848" w:type="pct"/>
            <w:tcBorders>
              <w:left w:val="single" w:sz="4" w:space="0" w:color="auto"/>
              <w:bottom w:val="single" w:sz="4" w:space="0" w:color="auto"/>
              <w:right w:val="single" w:sz="4" w:space="0" w:color="auto"/>
            </w:tcBorders>
            <w:shd w:val="clear" w:color="auto" w:fill="auto"/>
            <w:noWrap/>
            <w:vAlign w:val="center"/>
            <w:hideMark/>
          </w:tcPr>
          <w:p w14:paraId="3135DB3C" w14:textId="77777777" w:rsidR="00B67EB7" w:rsidRPr="00D30A43" w:rsidRDefault="00B67EB7" w:rsidP="00B67EB7">
            <w:pPr>
              <w:jc w:val="right"/>
              <w:rPr>
                <w:rFonts w:cs="Arial"/>
                <w:color w:val="000000"/>
                <w:sz w:val="18"/>
                <w:szCs w:val="18"/>
              </w:rPr>
            </w:pPr>
            <w:r w:rsidRPr="00D30A43">
              <w:rPr>
                <w:rFonts w:cs="Arial"/>
                <w:sz w:val="18"/>
                <w:szCs w:val="18"/>
              </w:rPr>
              <w:t>12.490.930,20</w:t>
            </w:r>
          </w:p>
        </w:tc>
        <w:tc>
          <w:tcPr>
            <w:tcW w:w="848" w:type="pct"/>
            <w:tcBorders>
              <w:left w:val="single" w:sz="4" w:space="0" w:color="auto"/>
              <w:bottom w:val="single" w:sz="4" w:space="0" w:color="auto"/>
              <w:right w:val="single" w:sz="4" w:space="0" w:color="auto"/>
            </w:tcBorders>
            <w:shd w:val="clear" w:color="auto" w:fill="auto"/>
            <w:noWrap/>
            <w:vAlign w:val="center"/>
            <w:hideMark/>
          </w:tcPr>
          <w:p w14:paraId="7A2858EC" w14:textId="77777777" w:rsidR="00B67EB7" w:rsidRPr="00D30A43" w:rsidRDefault="00B67EB7" w:rsidP="00B67EB7">
            <w:pPr>
              <w:jc w:val="right"/>
              <w:rPr>
                <w:rFonts w:cs="Arial"/>
                <w:sz w:val="18"/>
                <w:szCs w:val="18"/>
              </w:rPr>
            </w:pPr>
            <w:r w:rsidRPr="00D30A43">
              <w:rPr>
                <w:rFonts w:cs="Arial"/>
                <w:sz w:val="18"/>
                <w:szCs w:val="18"/>
              </w:rPr>
              <w:t>9.655.993,27</w:t>
            </w:r>
          </w:p>
        </w:tc>
        <w:tc>
          <w:tcPr>
            <w:tcW w:w="848" w:type="pct"/>
            <w:tcBorders>
              <w:left w:val="single" w:sz="4" w:space="0" w:color="auto"/>
              <w:bottom w:val="single" w:sz="4" w:space="0" w:color="auto"/>
              <w:right w:val="single" w:sz="4" w:space="0" w:color="auto"/>
            </w:tcBorders>
            <w:shd w:val="clear" w:color="auto" w:fill="auto"/>
            <w:noWrap/>
            <w:vAlign w:val="center"/>
            <w:hideMark/>
          </w:tcPr>
          <w:p w14:paraId="78E8448D" w14:textId="77777777" w:rsidR="00B67EB7" w:rsidRPr="00D30A43" w:rsidRDefault="00B67EB7" w:rsidP="00B67EB7">
            <w:pPr>
              <w:jc w:val="right"/>
              <w:rPr>
                <w:rFonts w:cs="Arial"/>
                <w:color w:val="000000"/>
                <w:sz w:val="18"/>
                <w:szCs w:val="18"/>
              </w:rPr>
            </w:pPr>
            <w:r w:rsidRPr="00D30A43">
              <w:rPr>
                <w:rFonts w:cs="Arial"/>
                <w:sz w:val="18"/>
                <w:szCs w:val="18"/>
              </w:rPr>
              <w:t>2.834.936,93</w:t>
            </w:r>
          </w:p>
        </w:tc>
        <w:tc>
          <w:tcPr>
            <w:tcW w:w="848" w:type="pct"/>
            <w:tcBorders>
              <w:left w:val="single" w:sz="4" w:space="0" w:color="auto"/>
              <w:bottom w:val="single" w:sz="4" w:space="0" w:color="auto"/>
              <w:right w:val="single" w:sz="4" w:space="0" w:color="auto"/>
            </w:tcBorders>
            <w:shd w:val="clear" w:color="auto" w:fill="auto"/>
            <w:noWrap/>
            <w:vAlign w:val="center"/>
            <w:hideMark/>
          </w:tcPr>
          <w:p w14:paraId="019AC7F1" w14:textId="77777777" w:rsidR="00B67EB7" w:rsidRPr="00D30A43" w:rsidRDefault="00B67EB7" w:rsidP="00B67EB7">
            <w:pPr>
              <w:jc w:val="right"/>
              <w:rPr>
                <w:rFonts w:cs="Arial"/>
                <w:color w:val="FF0000"/>
                <w:sz w:val="18"/>
                <w:szCs w:val="18"/>
              </w:rPr>
            </w:pPr>
            <w:r w:rsidRPr="00D30A43">
              <w:rPr>
                <w:rFonts w:cs="Arial"/>
                <w:sz w:val="18"/>
                <w:szCs w:val="18"/>
              </w:rPr>
              <w:t>0,00</w:t>
            </w:r>
          </w:p>
        </w:tc>
        <w:tc>
          <w:tcPr>
            <w:tcW w:w="849" w:type="pct"/>
            <w:tcBorders>
              <w:left w:val="single" w:sz="4" w:space="0" w:color="auto"/>
              <w:bottom w:val="single" w:sz="4" w:space="0" w:color="auto"/>
            </w:tcBorders>
            <w:shd w:val="clear" w:color="auto" w:fill="auto"/>
            <w:noWrap/>
            <w:vAlign w:val="center"/>
            <w:hideMark/>
          </w:tcPr>
          <w:p w14:paraId="29F51FA0" w14:textId="77777777" w:rsidR="00B67EB7" w:rsidRPr="00D30A43" w:rsidRDefault="00B67EB7" w:rsidP="00B67EB7">
            <w:pPr>
              <w:jc w:val="right"/>
              <w:rPr>
                <w:rFonts w:cs="Arial"/>
                <w:color w:val="000000"/>
                <w:sz w:val="18"/>
                <w:szCs w:val="18"/>
              </w:rPr>
            </w:pPr>
            <w:r w:rsidRPr="00D30A43">
              <w:rPr>
                <w:rFonts w:cs="Arial"/>
                <w:sz w:val="18"/>
                <w:szCs w:val="18"/>
              </w:rPr>
              <w:t>2.834.936,93</w:t>
            </w:r>
          </w:p>
        </w:tc>
      </w:tr>
      <w:tr w:rsidR="00B67EB7" w:rsidRPr="00D30A43" w14:paraId="3AD5BC49" w14:textId="77777777" w:rsidTr="00117967">
        <w:trPr>
          <w:trHeight w:val="284"/>
        </w:trPr>
        <w:tc>
          <w:tcPr>
            <w:tcW w:w="758" w:type="pct"/>
            <w:tcBorders>
              <w:top w:val="single" w:sz="4" w:space="0" w:color="auto"/>
              <w:bottom w:val="single" w:sz="4" w:space="0" w:color="auto"/>
              <w:right w:val="single" w:sz="4" w:space="0" w:color="auto"/>
            </w:tcBorders>
            <w:shd w:val="clear" w:color="000000" w:fill="FFFFFF"/>
            <w:noWrap/>
            <w:vAlign w:val="center"/>
            <w:hideMark/>
          </w:tcPr>
          <w:p w14:paraId="76659F9F" w14:textId="77777777" w:rsidR="00B67EB7" w:rsidRPr="00D30A43" w:rsidRDefault="00B67EB7" w:rsidP="00B67EB7">
            <w:pPr>
              <w:jc w:val="center"/>
              <w:rPr>
                <w:rFonts w:cs="Arial"/>
                <w:b/>
                <w:color w:val="000000"/>
                <w:sz w:val="18"/>
                <w:szCs w:val="18"/>
              </w:rPr>
            </w:pPr>
            <w:r w:rsidRPr="00D30A43">
              <w:rPr>
                <w:rFonts w:cs="Arial"/>
                <w:b/>
                <w:color w:val="000000"/>
                <w:sz w:val="18"/>
                <w:szCs w:val="18"/>
              </w:rPr>
              <w:t>TOTAL</w:t>
            </w:r>
          </w:p>
        </w:tc>
        <w:tc>
          <w:tcPr>
            <w:tcW w:w="8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A985A8" w14:textId="77777777" w:rsidR="00B67EB7" w:rsidRPr="00D30A43" w:rsidRDefault="00B67EB7" w:rsidP="00B67EB7">
            <w:pPr>
              <w:jc w:val="right"/>
              <w:rPr>
                <w:rFonts w:cs="Arial"/>
                <w:b/>
                <w:color w:val="000000"/>
                <w:sz w:val="18"/>
                <w:szCs w:val="18"/>
              </w:rPr>
            </w:pPr>
            <w:r w:rsidRPr="00D30A43">
              <w:rPr>
                <w:rFonts w:cs="Arial"/>
                <w:b/>
                <w:sz w:val="18"/>
                <w:szCs w:val="18"/>
              </w:rPr>
              <w:t>642.046.700,96</w:t>
            </w:r>
          </w:p>
        </w:tc>
        <w:tc>
          <w:tcPr>
            <w:tcW w:w="8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795148" w14:textId="77777777" w:rsidR="00B67EB7" w:rsidRPr="00D30A43" w:rsidRDefault="00B67EB7" w:rsidP="00B67EB7">
            <w:pPr>
              <w:jc w:val="right"/>
              <w:rPr>
                <w:rFonts w:cs="Arial"/>
                <w:b/>
                <w:color w:val="000000"/>
                <w:sz w:val="18"/>
                <w:szCs w:val="18"/>
              </w:rPr>
            </w:pPr>
            <w:r w:rsidRPr="00D30A43">
              <w:rPr>
                <w:rFonts w:cs="Arial"/>
                <w:b/>
                <w:sz w:val="18"/>
                <w:szCs w:val="18"/>
              </w:rPr>
              <w:t>926.517.547,24</w:t>
            </w:r>
          </w:p>
        </w:tc>
        <w:tc>
          <w:tcPr>
            <w:tcW w:w="848"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E2FE311" w14:textId="77777777" w:rsidR="00B67EB7" w:rsidRPr="00D30A43" w:rsidRDefault="00B67EB7" w:rsidP="00B67EB7">
            <w:pPr>
              <w:jc w:val="right"/>
              <w:rPr>
                <w:rFonts w:cs="Arial"/>
                <w:b/>
                <w:color w:val="C00000"/>
                <w:sz w:val="18"/>
                <w:szCs w:val="18"/>
              </w:rPr>
            </w:pPr>
            <w:r w:rsidRPr="00D30A43">
              <w:rPr>
                <w:rFonts w:cs="Arial"/>
                <w:b/>
                <w:color w:val="FF0000"/>
                <w:sz w:val="18"/>
                <w:szCs w:val="18"/>
              </w:rPr>
              <w:t>(284.470.846,28)</w:t>
            </w:r>
          </w:p>
        </w:tc>
        <w:tc>
          <w:tcPr>
            <w:tcW w:w="8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26C795" w14:textId="77777777" w:rsidR="00B67EB7" w:rsidRPr="00D30A43" w:rsidRDefault="00B67EB7" w:rsidP="00B67EB7">
            <w:pPr>
              <w:jc w:val="right"/>
              <w:rPr>
                <w:rFonts w:cs="Arial"/>
                <w:b/>
                <w:color w:val="000000"/>
                <w:sz w:val="18"/>
                <w:szCs w:val="18"/>
              </w:rPr>
            </w:pPr>
            <w:r w:rsidRPr="00D30A43">
              <w:rPr>
                <w:rFonts w:cs="Arial"/>
                <w:b/>
                <w:sz w:val="18"/>
                <w:szCs w:val="18"/>
              </w:rPr>
              <w:t>412.171.219,42</w:t>
            </w:r>
          </w:p>
        </w:tc>
        <w:tc>
          <w:tcPr>
            <w:tcW w:w="849" w:type="pct"/>
            <w:tcBorders>
              <w:top w:val="single" w:sz="4" w:space="0" w:color="auto"/>
              <w:left w:val="single" w:sz="4" w:space="0" w:color="auto"/>
              <w:bottom w:val="single" w:sz="4" w:space="0" w:color="auto"/>
            </w:tcBorders>
            <w:shd w:val="clear" w:color="auto" w:fill="auto"/>
            <w:noWrap/>
            <w:vAlign w:val="center"/>
            <w:hideMark/>
          </w:tcPr>
          <w:p w14:paraId="10C3991E" w14:textId="77777777" w:rsidR="00B67EB7" w:rsidRPr="00D30A43" w:rsidRDefault="00B67EB7" w:rsidP="00B67EB7">
            <w:pPr>
              <w:jc w:val="right"/>
              <w:rPr>
                <w:rFonts w:cs="Arial"/>
                <w:b/>
                <w:bCs/>
                <w:color w:val="C00000"/>
                <w:sz w:val="18"/>
                <w:szCs w:val="18"/>
              </w:rPr>
            </w:pPr>
            <w:r w:rsidRPr="00D30A43">
              <w:rPr>
                <w:rFonts w:cs="Arial"/>
                <w:b/>
                <w:color w:val="FF0000"/>
                <w:sz w:val="18"/>
                <w:szCs w:val="18"/>
              </w:rPr>
              <w:t>(696.642.065,700</w:t>
            </w:r>
          </w:p>
        </w:tc>
      </w:tr>
    </w:tbl>
    <w:p w14:paraId="34A512B0" w14:textId="77777777" w:rsidR="00B67EB7" w:rsidRPr="00471045" w:rsidRDefault="00B67EB7" w:rsidP="00B67EB7">
      <w:pPr>
        <w:pStyle w:val="1-FONTE8ESQ"/>
      </w:pPr>
      <w:r w:rsidRPr="00471045">
        <w:t>Fonte: SIOFI e SCG</w:t>
      </w:r>
    </w:p>
    <w:p w14:paraId="3BCABF6E" w14:textId="77777777" w:rsidR="00B67EB7" w:rsidRPr="00471045" w:rsidRDefault="00B67EB7" w:rsidP="00B67EB7">
      <w:pPr>
        <w:pStyle w:val="1-REL11"/>
        <w:spacing w:before="0" w:after="0" w:line="240" w:lineRule="auto"/>
        <w:rPr>
          <w:sz w:val="18"/>
          <w:szCs w:val="18"/>
        </w:rPr>
      </w:pPr>
      <w:r w:rsidRPr="00471045">
        <w:rPr>
          <w:sz w:val="18"/>
          <w:szCs w:val="18"/>
        </w:rPr>
        <w:t>¹Despesas de exercícios anteriores de inativos e pensionistas não executadas pelo órgão previdenciário</w:t>
      </w:r>
    </w:p>
    <w:p w14:paraId="6C1EC277" w14:textId="77777777" w:rsidR="00B67EB7" w:rsidRPr="00471045" w:rsidRDefault="00B67EB7" w:rsidP="00B67EB7">
      <w:pPr>
        <w:pStyle w:val="1-REL11"/>
        <w:spacing w:before="0" w:after="0" w:line="240" w:lineRule="auto"/>
        <w:rPr>
          <w:sz w:val="18"/>
          <w:szCs w:val="18"/>
        </w:rPr>
      </w:pPr>
      <w:r w:rsidRPr="00471045">
        <w:rPr>
          <w:sz w:val="18"/>
          <w:szCs w:val="18"/>
        </w:rPr>
        <w:t>²Despesa Liquidada</w:t>
      </w:r>
    </w:p>
    <w:p w14:paraId="73173175" w14:textId="77777777" w:rsidR="00B67EB7" w:rsidRDefault="00B67EB7" w:rsidP="00B67EB7">
      <w:pPr>
        <w:pStyle w:val="1-REL11"/>
      </w:pPr>
      <w:r w:rsidRPr="001C305A">
        <w:t xml:space="preserve">No exercício financeiro em análise, o montante de R$ 412,17 milhões deixaram de ser registrados no órgão previdenciário, </w:t>
      </w:r>
      <w:r>
        <w:t xml:space="preserve">por </w:t>
      </w:r>
      <w:r w:rsidRPr="001C305A">
        <w:t>trata</w:t>
      </w:r>
      <w:r>
        <w:t>rem</w:t>
      </w:r>
      <w:r w:rsidRPr="001C305A">
        <w:t>-se de despesas com inativos e pensionistas dos Poderes e Órgãos Autônomos relacionados à processos administrativos e/ou judiciais pagos por eles.</w:t>
      </w:r>
    </w:p>
    <w:p w14:paraId="5BD15ACD" w14:textId="77777777" w:rsidR="00B67EB7" w:rsidRDefault="00B67EB7" w:rsidP="00A224E9">
      <w:pPr>
        <w:pStyle w:val="Ttulo3"/>
      </w:pPr>
      <w:bookmarkStart w:id="187" w:name="_Toc167871676"/>
      <w:r w:rsidRPr="001C305A">
        <w:t>Centralização para Pagamentos dos Benefícios Previdenciários</w:t>
      </w:r>
      <w:bookmarkEnd w:id="187"/>
    </w:p>
    <w:p w14:paraId="099549B6" w14:textId="77777777" w:rsidR="00B67EB7" w:rsidRPr="001C305A" w:rsidRDefault="00B67EB7" w:rsidP="00B67EB7">
      <w:pPr>
        <w:pStyle w:val="1-REL11"/>
      </w:pPr>
      <w:r w:rsidRPr="001C305A">
        <w:t xml:space="preserve">O § 20 do art. 40 da </w:t>
      </w:r>
      <w:r>
        <w:t>CF/88</w:t>
      </w:r>
      <w:r w:rsidRPr="001C305A">
        <w:t xml:space="preserve"> veda a existência de mais de um regime próprio de previdência social para os servidores titulares de cargos efetivos e proíbe também a existência de mais de uma unidade gestora do respectivo regime em cada ente estatal, com exceção dos militares.</w:t>
      </w:r>
    </w:p>
    <w:p w14:paraId="3F39796C" w14:textId="77777777" w:rsidR="00B67EB7" w:rsidRPr="003C342C" w:rsidRDefault="00B67EB7" w:rsidP="00B67EB7">
      <w:pPr>
        <w:pStyle w:val="1-REL11"/>
      </w:pPr>
      <w:r w:rsidRPr="003C342C">
        <w:t>Em obediência ao mandamento constitucional, o art. 2º da LC Estadual nº 66/2009 outorgou à Goiasprev a atribuição de administrar, operacionalizar e gerenciar os regimes de previdência (RPPS e SPSM), bem como analisar, arrecadar, gerir, conceder, pagar e manter os benefícios assegurados pelo regime. Portanto, a lei consigna à Goiasprev toda a gestão do regime previdenciário em Goiás e isso contempla todos os servidores públicos estaduais.</w:t>
      </w:r>
    </w:p>
    <w:p w14:paraId="1AF407D1" w14:textId="77777777" w:rsidR="00B67EB7" w:rsidRPr="003C342C" w:rsidRDefault="00B67EB7" w:rsidP="00B67EB7">
      <w:pPr>
        <w:pStyle w:val="1-REL11"/>
      </w:pPr>
      <w:r w:rsidRPr="003C342C">
        <w:t>O art. 104 da LC Estadual nº 161</w:t>
      </w:r>
      <w:r w:rsidRPr="008109BC">
        <w:t>/</w:t>
      </w:r>
      <w:r w:rsidRPr="003C342C">
        <w:t>2020, especifica que o pagamento e a manutenção dos benefícios previdenciários obedecerão às normas previstas nesta lei complementar, na LC</w:t>
      </w:r>
      <w:r>
        <w:t> </w:t>
      </w:r>
      <w:r w:rsidRPr="003C342C">
        <w:t>Estadual nº 66/2009, bem como nas Constituições Estadual e Federal.</w:t>
      </w:r>
    </w:p>
    <w:p w14:paraId="1EDC9FC4" w14:textId="77777777" w:rsidR="00B67EB7" w:rsidRDefault="00B67EB7" w:rsidP="00B67EB7">
      <w:pPr>
        <w:pStyle w:val="1-REL11"/>
      </w:pPr>
      <w:r>
        <w:t>A</w:t>
      </w:r>
      <w:r w:rsidRPr="003C342C">
        <w:t xml:space="preserve"> Lei Complementar Estadual nº 167/2021 adequa a unidade gestora única do</w:t>
      </w:r>
      <w:r w:rsidRPr="001C305A">
        <w:t xml:space="preserve"> RPPS do estado de Goiás e contemplou toda a operacionalização relacionada ao planejamento, execução e operacionalização dos pagamentos dos benefícios previdenciários de todos os Poderes e Órgãos Autônomos.</w:t>
      </w:r>
    </w:p>
    <w:p w14:paraId="10E9D695" w14:textId="5C4CD5AC" w:rsidR="00B67EB7" w:rsidRDefault="00B67EB7" w:rsidP="00117967">
      <w:pPr>
        <w:pStyle w:val="Ttulo4"/>
        <w:jc w:val="left"/>
      </w:pPr>
      <w:r w:rsidRPr="001C305A">
        <w:lastRenderedPageBreak/>
        <w:t>Benefícios Previdenciários Reconhecidos por Decisão Judicial ou Administrativa</w:t>
      </w:r>
    </w:p>
    <w:p w14:paraId="75D9C454" w14:textId="77777777" w:rsidR="00B67EB7" w:rsidRPr="007F6A9F" w:rsidRDefault="00B67EB7" w:rsidP="00B67EB7">
      <w:pPr>
        <w:pStyle w:val="1-REL11"/>
      </w:pPr>
      <w:r w:rsidRPr="001C305A">
        <w:t xml:space="preserve">Os Poderes e Órgãos </w:t>
      </w:r>
      <w:r w:rsidRPr="007F6A9F">
        <w:t>Autônomos estavam efetuando os pagamentos dos benefícios previdenciários reconhecidos por decisão judicial ou administrativa nos termos da Cláusula Quarta do Termo de Cooperação Técnica nº 3/2016, até a instituição da LC Estadual nº</w:t>
      </w:r>
      <w:r>
        <w:t> </w:t>
      </w:r>
      <w:r w:rsidRPr="007F6A9F">
        <w:t>167/2021.</w:t>
      </w:r>
    </w:p>
    <w:p w14:paraId="3E4DBF2E" w14:textId="77777777" w:rsidR="00B67EB7" w:rsidRPr="007F6A9F" w:rsidRDefault="00B67EB7" w:rsidP="00B67EB7">
      <w:pPr>
        <w:pStyle w:val="1-REL11"/>
      </w:pPr>
      <w:r w:rsidRPr="007F6A9F">
        <w:t>A LC Estadual nº 167/2021 reiterou que os pagamentos de passivos aos inativos e pensionistas reconhecidos por decisão judicial ou administrativa devem ser suportados pelos orçamentos dos respectivos Poderes e Órgãos Autônomos. Esse raciocínio foi encampado pelo art. 2º, § 10º, da LC Estadual nº 66/2009, que diz:</w:t>
      </w:r>
    </w:p>
    <w:p w14:paraId="3081BC0D" w14:textId="77777777" w:rsidR="00B67EB7" w:rsidRPr="00471045" w:rsidRDefault="00B67EB7" w:rsidP="00B67EB7">
      <w:pPr>
        <w:pStyle w:val="1-CITAO"/>
      </w:pPr>
      <w:r w:rsidRPr="00471045">
        <w:rPr>
          <w:shd w:val="clear" w:color="auto" w:fill="FFFFFF"/>
        </w:rPr>
        <w:t>§ 10.  A concessão de eventuais outros benefícios por cada Poder ou órgão autônomo decorrentes de direitos adquiridos por membro ou servidor não se confunde com a concessão de benefício de natureza previdenciária e deve, assim, correr à conta de dotação não previdenciária e específica para tal fim.</w:t>
      </w:r>
      <w:r w:rsidRPr="00471045">
        <w:rPr>
          <w:shd w:val="clear" w:color="auto" w:fill="FFFFFF"/>
        </w:rPr>
        <w:br/>
      </w:r>
      <w:r w:rsidRPr="00471045">
        <w:rPr>
          <w:rStyle w:val="Hyperlink"/>
          <w:color w:val="auto"/>
          <w:u w:val="none"/>
          <w:shd w:val="clear" w:color="auto" w:fill="FFFFFF"/>
        </w:rPr>
        <w:t>- Acrescido pela Lei Complementar nº 167, de 07-12-2021.</w:t>
      </w:r>
    </w:p>
    <w:p w14:paraId="7C181BDB" w14:textId="77777777" w:rsidR="00B67EB7" w:rsidRPr="001C305A" w:rsidRDefault="00B67EB7" w:rsidP="00B67EB7">
      <w:pPr>
        <w:pStyle w:val="1-REL11"/>
      </w:pPr>
      <w:r w:rsidRPr="001C305A">
        <w:t>Em 2023, foram pagos R$ 412,17 milhões aos inativos e pensionistas dos outros Poderes e Órgãos Autônomos reconhecidos por decisão judicial ou administrativa. Portanto essas despesas não estão sendo efetuadas pelo órgão previdenciário estadual, resultando em subavaliação do déficit previdenciário em Goiás.</w:t>
      </w:r>
    </w:p>
    <w:p w14:paraId="43F1984B" w14:textId="77777777" w:rsidR="00B67EB7" w:rsidRPr="001C305A" w:rsidRDefault="00B67EB7" w:rsidP="00A224E9">
      <w:pPr>
        <w:pStyle w:val="Ttulo3"/>
      </w:pPr>
      <w:bookmarkStart w:id="188" w:name="_Toc167871677"/>
      <w:r w:rsidRPr="001C305A">
        <w:t>Regime de Previdência Complementar</w:t>
      </w:r>
      <w:bookmarkEnd w:id="188"/>
    </w:p>
    <w:p w14:paraId="266C5947" w14:textId="77777777" w:rsidR="00B67EB7" w:rsidRPr="00FD658A" w:rsidRDefault="00B67EB7" w:rsidP="00B67EB7">
      <w:pPr>
        <w:pStyle w:val="1-REL11"/>
      </w:pPr>
      <w:r w:rsidRPr="00FD658A">
        <w:t>O regime de previdência complementar, instituído por meio das Emendas Constitucionais nº 41/2005, e nº 47/2005, tem como objetivo buscar a recomposição do equilíbrio da previdência, sua solvência e isonomia de tratamento entre os trabalhadores do setor público e privado.</w:t>
      </w:r>
    </w:p>
    <w:p w14:paraId="25A9BF14" w14:textId="77777777" w:rsidR="00B67EB7" w:rsidRPr="00FD658A" w:rsidRDefault="00B67EB7" w:rsidP="00B67EB7">
      <w:pPr>
        <w:pStyle w:val="1-REL11"/>
        <w:rPr>
          <w:shd w:val="clear" w:color="auto" w:fill="FFFFFF"/>
        </w:rPr>
      </w:pPr>
      <w:r w:rsidRPr="00FD658A">
        <w:t>Nesse sentido, observa-se que o estado de Goiás institui a previdência complementar 10 anos após regulamentação federal. A Lei Estadual nº 19.179</w:t>
      </w:r>
      <w:r>
        <w:t xml:space="preserve">, de 29 de dezembro de </w:t>
      </w:r>
      <w:r w:rsidRPr="00FD658A">
        <w:t>2015, que i</w:t>
      </w:r>
      <w:r w:rsidRPr="00FD658A">
        <w:rPr>
          <w:shd w:val="clear" w:color="auto" w:fill="FFFFFF"/>
        </w:rPr>
        <w:t xml:space="preserve">nstituiu o regime de previdência complementar em Goiás, fixa o limite máximo para a concessão de aposentadorias e pensões de que trata o art. 40 da </w:t>
      </w:r>
      <w:r w:rsidRPr="00FD658A">
        <w:t>CF/88</w:t>
      </w:r>
      <w:r w:rsidRPr="00FD658A">
        <w:rPr>
          <w:shd w:val="clear" w:color="auto" w:fill="FFFFFF"/>
        </w:rPr>
        <w:t xml:space="preserve"> e autoriza a criação de entidade fechada de previdência complementar na forma de fundação.</w:t>
      </w:r>
      <w:r w:rsidRPr="00FD658A">
        <w:t xml:space="preserve"> A referida lei traz as diretrizes gerais que devem ser aplicadas aos servidores que ingressarão no serviço público estadual, sendo que a </w:t>
      </w:r>
      <w:r w:rsidRPr="00FD658A">
        <w:rPr>
          <w:shd w:val="clear" w:color="auto" w:fill="FFFFFF"/>
        </w:rPr>
        <w:t>denominada Fundação de Previdência Complementar do Estado de Goiás (Prevcom-BrC), organiza-se sob a forma de fundação sem fins lucrativos, dotada de autonomia administrativa, financeira, patrimonial e de gestão de recursos humanos.</w:t>
      </w:r>
    </w:p>
    <w:p w14:paraId="7C142446" w14:textId="77777777" w:rsidR="00B67EB7" w:rsidRPr="001C305A" w:rsidRDefault="00B67EB7" w:rsidP="00B67EB7">
      <w:pPr>
        <w:pStyle w:val="1-REL11"/>
        <w:rPr>
          <w:shd w:val="clear" w:color="auto" w:fill="FFFFFF"/>
        </w:rPr>
      </w:pPr>
      <w:r w:rsidRPr="00FD658A">
        <w:rPr>
          <w:shd w:val="clear" w:color="auto" w:fill="FFFFFF"/>
        </w:rPr>
        <w:t xml:space="preserve">O art. 30 da Lei Estadual nº 19.179/2015 estabelece que o valor da contribuição do patrocinador será igual à do participante, observado o disposto no regulamento do plano de benefícios previdenciários complementares, não podendo exceder o percentual de 8,50% sobre a sua remuneração, como definido no § 2º do art. 29, idêntica aos 8,50% fixado para servidores </w:t>
      </w:r>
      <w:r w:rsidRPr="00FD658A">
        <w:rPr>
          <w:shd w:val="clear" w:color="auto" w:fill="FFFFFF"/>
        </w:rPr>
        <w:lastRenderedPageBreak/>
        <w:t>federais (L</w:t>
      </w:r>
      <w:r w:rsidRPr="00FD658A">
        <w:t>ei nº 12.618</w:t>
      </w:r>
      <w:r>
        <w:t xml:space="preserve">, de 30 de abril de </w:t>
      </w:r>
      <w:r w:rsidRPr="00FD658A">
        <w:t xml:space="preserve">2012), sendo que a </w:t>
      </w:r>
      <w:r w:rsidRPr="00FD658A">
        <w:rPr>
          <w:shd w:val="clear" w:color="auto" w:fill="FFFFFF"/>
        </w:rPr>
        <w:t>Prevcom-BrC recebeu autorização por meio da Portaria Previc nº 689/</w:t>
      </w:r>
      <w:r>
        <w:rPr>
          <w:shd w:val="clear" w:color="auto" w:fill="FFFFFF"/>
        </w:rPr>
        <w:t>20</w:t>
      </w:r>
      <w:r w:rsidRPr="00FD658A">
        <w:rPr>
          <w:shd w:val="clear" w:color="auto" w:fill="FFFFFF"/>
        </w:rPr>
        <w:t>17 para iniciar</w:t>
      </w:r>
      <w:r w:rsidRPr="001C305A">
        <w:rPr>
          <w:shd w:val="clear" w:color="auto" w:fill="FFFFFF"/>
        </w:rPr>
        <w:t xml:space="preserve"> suas atividades.</w:t>
      </w:r>
    </w:p>
    <w:p w14:paraId="2BC0929C" w14:textId="77777777" w:rsidR="00B67EB7" w:rsidRPr="001C305A" w:rsidRDefault="00B67EB7" w:rsidP="00B67EB7">
      <w:pPr>
        <w:pStyle w:val="1-REL11"/>
        <w:rPr>
          <w:shd w:val="clear" w:color="auto" w:fill="FFFFFF"/>
        </w:rPr>
      </w:pPr>
      <w:r w:rsidRPr="001C305A">
        <w:rPr>
          <w:shd w:val="clear" w:color="auto" w:fill="FFFFFF"/>
        </w:rPr>
        <w:t>A Prevcom-BrC vem aumentado suas adesões e em 2023 haviam 1.280 participantes. Contudo, os recursos recebidos dos participantes e patrocinadores relacionados à taxa de administração ainda é insuficiente para manter toda a estrutura.</w:t>
      </w:r>
    </w:p>
    <w:p w14:paraId="15C523D8" w14:textId="77777777" w:rsidR="00B67EB7" w:rsidRPr="00653CF3" w:rsidRDefault="00B67EB7" w:rsidP="00B67EB7">
      <w:pPr>
        <w:pStyle w:val="1-REL11"/>
        <w:rPr>
          <w:shd w:val="clear" w:color="auto" w:fill="FFFFFF"/>
        </w:rPr>
      </w:pPr>
      <w:r w:rsidRPr="001C305A">
        <w:rPr>
          <w:shd w:val="clear" w:color="auto" w:fill="FFFFFF"/>
        </w:rPr>
        <w:t xml:space="preserve">Por conta desse descompasso entre o número mínimo de participantes e a </w:t>
      </w:r>
      <w:r w:rsidRPr="00653CF3">
        <w:rPr>
          <w:shd w:val="clear" w:color="auto" w:fill="FFFFFF"/>
        </w:rPr>
        <w:t>necessidade de aportes do patrocinador, em 2023 o Tesouro Estadual desembolsou R$ 2,16 milhões para pagamentos de despesas administrativas da instituição, idêntico ao valor desembolsado em 2022.</w:t>
      </w:r>
    </w:p>
    <w:p w14:paraId="46FCDFA6" w14:textId="77777777" w:rsidR="00B67EB7" w:rsidRPr="00653CF3" w:rsidRDefault="00B67EB7" w:rsidP="00B67EB7">
      <w:pPr>
        <w:pStyle w:val="1-REL11"/>
        <w:rPr>
          <w:shd w:val="clear" w:color="auto" w:fill="FFFFFF"/>
        </w:rPr>
      </w:pPr>
      <w:r w:rsidRPr="00653CF3">
        <w:rPr>
          <w:shd w:val="clear" w:color="auto" w:fill="FFFFFF"/>
        </w:rPr>
        <w:t xml:space="preserve">Com base nas informações contidas nas Notas Explicativas, a adesão de novos servidores, o incentivo à migração de regime previdenciário pelos servidores efetivos do estado de Goiás, denominado Beneficio Especial, regulamentado pela Lei </w:t>
      </w:r>
      <w:r w:rsidRPr="00C06AF7">
        <w:rPr>
          <w:shd w:val="clear" w:color="auto" w:fill="FFFFFF"/>
        </w:rPr>
        <w:t>Complementar Estadual nº</w:t>
      </w:r>
      <w:r>
        <w:rPr>
          <w:shd w:val="clear" w:color="auto" w:fill="FFFFFF"/>
        </w:rPr>
        <w:t> </w:t>
      </w:r>
      <w:r w:rsidRPr="00C06AF7">
        <w:rPr>
          <w:shd w:val="clear" w:color="auto" w:fill="FFFFFF"/>
        </w:rPr>
        <w:t>192</w:t>
      </w:r>
      <w:r>
        <w:rPr>
          <w:shd w:val="clear" w:color="auto" w:fill="FFFFFF"/>
        </w:rPr>
        <w:t xml:space="preserve">, de 21 de maio de </w:t>
      </w:r>
      <w:r w:rsidRPr="00653CF3">
        <w:rPr>
          <w:shd w:val="clear" w:color="auto" w:fill="FFFFFF"/>
        </w:rPr>
        <w:t>2024, permitirá que a Prevcom-BrC seja autossuficiente e sem a dependência de repasses do Tesouro Estadual.</w:t>
      </w:r>
    </w:p>
    <w:p w14:paraId="6E1CB666" w14:textId="77777777" w:rsidR="00B67EB7" w:rsidRPr="00653CF3" w:rsidRDefault="00B67EB7" w:rsidP="00B67EB7">
      <w:pPr>
        <w:pStyle w:val="1-REL11"/>
        <w:rPr>
          <w:shd w:val="clear" w:color="auto" w:fill="FFFFFF"/>
        </w:rPr>
      </w:pPr>
      <w:r w:rsidRPr="00653CF3">
        <w:rPr>
          <w:shd w:val="clear" w:color="auto" w:fill="FFFFFF"/>
        </w:rPr>
        <w:t>O Parecer Atuarial da previdência complementar do Plano Goiás Seguro informa que existe equilíbrio técnico econômico, atingindo patrimônio de cobertura no montante de R$ 34,21 milhões com variação positiva de 79,36% em relação ao exercício financeiro de 2022, cuja provisões matemáticas era</w:t>
      </w:r>
      <w:r>
        <w:rPr>
          <w:shd w:val="clear" w:color="auto" w:fill="FFFFFF"/>
        </w:rPr>
        <w:t>m</w:t>
      </w:r>
      <w:r w:rsidRPr="00653CF3">
        <w:rPr>
          <w:shd w:val="clear" w:color="auto" w:fill="FFFFFF"/>
        </w:rPr>
        <w:t xml:space="preserve"> de R$ 19,07 milhões.</w:t>
      </w:r>
    </w:p>
    <w:p w14:paraId="30D8E381" w14:textId="77777777" w:rsidR="00122699" w:rsidRPr="00653CF3" w:rsidRDefault="00122699" w:rsidP="00122699">
      <w:pPr>
        <w:pStyle w:val="1-REL11"/>
        <w:rPr>
          <w:shd w:val="clear" w:color="auto" w:fill="FFFFFF"/>
        </w:rPr>
      </w:pPr>
    </w:p>
    <w:p w14:paraId="0B9C870F" w14:textId="77777777" w:rsidR="00122699" w:rsidRPr="00653CF3" w:rsidRDefault="00122699" w:rsidP="00122699">
      <w:pPr>
        <w:pStyle w:val="Ttulo2"/>
        <w:spacing w:before="100" w:beforeAutospacing="1" w:after="100" w:afterAutospacing="1" w:line="276" w:lineRule="auto"/>
        <w:contextualSpacing/>
      </w:pPr>
      <w:bookmarkStart w:id="189" w:name="_Toc167871678"/>
      <w:r w:rsidRPr="00653CF3">
        <w:t>Transparência na Gestão Fiscal</w:t>
      </w:r>
      <w:bookmarkEnd w:id="189"/>
    </w:p>
    <w:p w14:paraId="0EF610F6" w14:textId="77777777" w:rsidR="00122699" w:rsidRPr="00547C72" w:rsidRDefault="00122699" w:rsidP="00122699">
      <w:pPr>
        <w:pStyle w:val="1-REL11"/>
      </w:pPr>
      <w:r w:rsidRPr="00547C72">
        <w:t>A CF/88, no art. 37, prevê que a administração pública “obedecerá aos princípios de legalidade, impessoalidade, moralidade, publicidade e eficiência” e a transparência está implicitamente contida no princípio da publicidade.</w:t>
      </w:r>
    </w:p>
    <w:p w14:paraId="10F55DED" w14:textId="77777777" w:rsidR="00122699" w:rsidRPr="00547C72" w:rsidRDefault="00122699" w:rsidP="00122699">
      <w:pPr>
        <w:pStyle w:val="1-REL11"/>
      </w:pPr>
      <w:r w:rsidRPr="00547C72">
        <w:t>Além disso, a Carta Magna discorre, no inciso XXXIII do art. 5º, que é assegurado “a todos o direito de receber dos órgãos públicos informações de seu interesse particular ou de interesse coletivo ou geral.”. Em sintonia com a CF/88, a LRF, em seu art. 1º, § 1º, define que a responsabilidade na gestão fiscal pressupõe ação planejada e transparente.</w:t>
      </w:r>
    </w:p>
    <w:p w14:paraId="3020F530" w14:textId="77777777" w:rsidR="00122699" w:rsidRPr="00547C72" w:rsidRDefault="00122699" w:rsidP="00122699">
      <w:pPr>
        <w:pStyle w:val="1-REL11"/>
      </w:pPr>
      <w:r w:rsidRPr="00547C72">
        <w:t>O acesso à informação possibilita à sociedade conhecer as ações realizadas pelos seus governantes e, ao mesmo tempo, visualizar a destinação dos recursos públicos. De fato, o cidadão comum poderá realizar um acompanhamento e controle das atuações governamentais em várias esferas de governos.</w:t>
      </w:r>
    </w:p>
    <w:p w14:paraId="7B6AECBA" w14:textId="77777777" w:rsidR="00122699" w:rsidRPr="00547C72" w:rsidRDefault="00122699" w:rsidP="00122699">
      <w:pPr>
        <w:pStyle w:val="1-REL11"/>
      </w:pPr>
      <w:r w:rsidRPr="00547C72">
        <w:t>Desse modo, torna-se evidente que a transparência é fundamental para o agente público atingir a responsabilidade na gestão fiscal.</w:t>
      </w:r>
    </w:p>
    <w:p w14:paraId="5008A7E9" w14:textId="77777777" w:rsidR="00122699" w:rsidRPr="00547C72" w:rsidRDefault="00122699" w:rsidP="00122699">
      <w:pPr>
        <w:pStyle w:val="1-REL11"/>
      </w:pPr>
      <w:r w:rsidRPr="00547C72">
        <w:lastRenderedPageBreak/>
        <w:t>O art. 48 da LRF obriga que o gestor divulgue para a sociedade os atos de sua gestão. A transparência é cobrada pela sociedade por meio do controle social e, desse modo, entende-se que devem ser divulgados os planos, orçamentos, leis de diretrizes orçamentárias, as prestações de contas e o respectivo Parecer Prévio, o RREO, o RGF, bem como as versões simplificadas destes documentos.</w:t>
      </w:r>
    </w:p>
    <w:p w14:paraId="771E77B9" w14:textId="77777777" w:rsidR="00122699" w:rsidRPr="00547C72" w:rsidRDefault="00122699" w:rsidP="00122699">
      <w:pPr>
        <w:pStyle w:val="1-REL11"/>
      </w:pPr>
      <w:r w:rsidRPr="00547C72">
        <w:t>Altera</w:t>
      </w:r>
      <w:r>
        <w:t>ções</w:t>
      </w:r>
      <w:r w:rsidRPr="00547C72">
        <w:t xml:space="preserve"> </w:t>
      </w:r>
      <w:r>
        <w:t>n</w:t>
      </w:r>
      <w:r w:rsidRPr="00547C72">
        <w:t>a LRF trouxe</w:t>
      </w:r>
      <w:r>
        <w:t>ram</w:t>
      </w:r>
      <w:r w:rsidRPr="00547C72">
        <w:t xml:space="preserve"> dispositivos adicionais ao art. 48, ampliando a transparência na gestão pública. Essa</w:t>
      </w:r>
      <w:r>
        <w:t>s</w:t>
      </w:r>
      <w:r w:rsidRPr="00547C72">
        <w:t xml:space="preserve"> </w:t>
      </w:r>
      <w:r>
        <w:t>alterações</w:t>
      </w:r>
      <w:r w:rsidRPr="00547C72">
        <w:t xml:space="preserve"> inova</w:t>
      </w:r>
      <w:r>
        <w:t>m</w:t>
      </w:r>
      <w:r w:rsidRPr="00547C72">
        <w:t xml:space="preserve"> ao determinar aos gestores que disponibilizem, em tempo real, as informações pormenorizadas sobre a execução orçamentária e financeira da União, dos estados, do Distrito Federal e dos municípios.</w:t>
      </w:r>
    </w:p>
    <w:p w14:paraId="66E3EB7E" w14:textId="77777777" w:rsidR="00122699" w:rsidRPr="00547C72" w:rsidRDefault="00122699" w:rsidP="00122699">
      <w:pPr>
        <w:pStyle w:val="1-REL11"/>
      </w:pPr>
      <w:r w:rsidRPr="00547C72">
        <w:t>No âmbito federal, a Lei</w:t>
      </w:r>
      <w:r>
        <w:t xml:space="preserve"> </w:t>
      </w:r>
      <w:r w:rsidRPr="00547C72">
        <w:t>nº 12.527, de 18 de novembro de 2011, que regula o acesso à informação, amplia a transparência que deve ser dada aos atos públicos, além de vincular à mencionada lei todos os órgãos públicos integrantes da administração direta dos Poderes Executivo, Legislativo, incluindo as Cortes de Contas, Judiciário e o Ministério Público, incluindo as autarquias, fundações públicas, empresas públicas, sociedades de economia mista e demais entidades controladas direta ou indiretamente pela União, estados, Distrito Federal e municípios.</w:t>
      </w:r>
    </w:p>
    <w:p w14:paraId="50CE2135" w14:textId="77777777" w:rsidR="00122699" w:rsidRPr="00547C72" w:rsidRDefault="00122699" w:rsidP="00122699">
      <w:pPr>
        <w:pStyle w:val="1-REL11"/>
      </w:pPr>
      <w:r w:rsidRPr="00547C72">
        <w:t xml:space="preserve">Em Goiás, a Lei Estadual nº 18.025, de 22 de maio de 2013, propiciou avanços importantes para que os gastos públicos sejam divulgados a toda sociedade de maneira inteligível e completa. Portanto, para que cada artigo da lei seja cumprido, cabe aos respectivos Poderes e Órgãos da administração pública estadual aprimorarem constantemente a qualidade das informações disponibilizadas </w:t>
      </w:r>
      <w:hyperlink r:id="rId42" w:history="1">
        <w:r w:rsidRPr="00471045">
          <w:t>em</w:t>
        </w:r>
      </w:hyperlink>
      <w:r w:rsidRPr="00547C72">
        <w:t xml:space="preserve"> seus Portais de Transparência, de modo que o cidadão consiga discernir onde e como os recursos públicos estão sendo gastos.</w:t>
      </w:r>
    </w:p>
    <w:p w14:paraId="0EDCBF54" w14:textId="77777777" w:rsidR="00122699" w:rsidRPr="001C305A" w:rsidRDefault="00122699" w:rsidP="00122699">
      <w:pPr>
        <w:pStyle w:val="1-REL11"/>
      </w:pPr>
      <w:r w:rsidRPr="00547C72">
        <w:t xml:space="preserve">Ainda no contexto estadual, o TCE/GO vem fomentando a melhoria continua da transparência pública, usando a metodologia estabelecida na Resolução nº 9/2018 da Atricon, </w:t>
      </w:r>
      <w:r>
        <w:t>que</w:t>
      </w:r>
      <w:r w:rsidRPr="00547C72">
        <w:t xml:space="preserve"> tem um Programa Nacional de Transparência Pública que inclui o levantamento das informações disponibilizadas por sites dos Poderes Executivo, Legislativo e Judiciário, das Cortes de Contas, do Ministério Público e das Defensorias Públicas das três esferas de governo, além dos portais da Administração Indireta federal</w:t>
      </w:r>
      <w:r w:rsidRPr="001C305A">
        <w:t>.</w:t>
      </w:r>
    </w:p>
    <w:p w14:paraId="45A4C186" w14:textId="77777777" w:rsidR="00122699" w:rsidRPr="001C305A" w:rsidRDefault="00122699" w:rsidP="00122699">
      <w:pPr>
        <w:pStyle w:val="1-REL11"/>
      </w:pPr>
      <w:r w:rsidRPr="001C305A">
        <w:t xml:space="preserve">Quanto ao aspecto fiscal, o TCE/GO acompanha, por meio dos </w:t>
      </w:r>
      <w:r>
        <w:t>RGFs</w:t>
      </w:r>
      <w:r w:rsidRPr="001C305A">
        <w:t xml:space="preserve"> publicados quadrimestralmente, o cumprimento da transparência na gestão fiscal.</w:t>
      </w:r>
    </w:p>
    <w:p w14:paraId="17C9360B" w14:textId="77777777" w:rsidR="005B71F1" w:rsidRPr="00B215AC" w:rsidRDefault="005B71F1" w:rsidP="00B215AC">
      <w:pPr>
        <w:pStyle w:val="Ttulo2"/>
      </w:pPr>
      <w:bookmarkStart w:id="190" w:name="_Toc167871679"/>
      <w:r w:rsidRPr="00B215AC">
        <w:t>Acompanhamento de Outros Aspectos da LRF</w:t>
      </w:r>
      <w:bookmarkEnd w:id="190"/>
    </w:p>
    <w:p w14:paraId="561833D3" w14:textId="2F8F778C" w:rsidR="0025610F" w:rsidRDefault="0025610F" w:rsidP="0025610F">
      <w:pPr>
        <w:pStyle w:val="1-REL11"/>
      </w:pPr>
      <w:bookmarkStart w:id="191" w:name="_Hlk42335050"/>
      <w:r>
        <w:t>Nesta seção avalia-se os Restos a Pagar (RP) do estado de Goiás no exercício de 2023, bem como a Conta Única do Tesouro Estadual (CUTE), com foco nos saldos financeiros.</w:t>
      </w:r>
    </w:p>
    <w:p w14:paraId="79890063" w14:textId="77777777" w:rsidR="0025610F" w:rsidRDefault="0025610F" w:rsidP="00B000B6">
      <w:pPr>
        <w:pStyle w:val="Ttulo3"/>
        <w:numPr>
          <w:ilvl w:val="2"/>
          <w:numId w:val="37"/>
        </w:numPr>
      </w:pPr>
      <w:bookmarkStart w:id="192" w:name="_Toc105661506"/>
      <w:bookmarkStart w:id="193" w:name="_Toc167871680"/>
      <w:r>
        <w:lastRenderedPageBreak/>
        <w:t>Restos a Pagar</w:t>
      </w:r>
      <w:bookmarkEnd w:id="192"/>
      <w:bookmarkEnd w:id="193"/>
    </w:p>
    <w:p w14:paraId="17E0D4E5" w14:textId="5BFDACEA" w:rsidR="0025610F" w:rsidRDefault="0025610F" w:rsidP="0025610F">
      <w:pPr>
        <w:pStyle w:val="1-REL11"/>
      </w:pPr>
      <w:r>
        <w:t>Nos termos do art. 36 da Lei nº</w:t>
      </w:r>
      <w:r w:rsidR="00F974CC">
        <w:t> </w:t>
      </w:r>
      <w:r>
        <w:t>4.320, de 17 de março de 1964, consideram-se RP as despesas empenhadas, mas não pagas até o dia 31 de dezembro do exercício de referência, distinguindo-se as processadas das não processadas.</w:t>
      </w:r>
    </w:p>
    <w:p w14:paraId="275423A5" w14:textId="77777777" w:rsidR="0025610F" w:rsidRDefault="0025610F" w:rsidP="0025610F">
      <w:pPr>
        <w:pStyle w:val="1-REL11"/>
      </w:pPr>
      <w:r>
        <w:t>São inscritas como Restos a Pagar Processados (RPP) as despesas empenhadas que já passaram pela etapa de liquidação, que consiste na verificação do direito adquirido pelo credor tendo por base os títulos e documentos comprobatórios do respectivo crédito, ou seja, aquelas despesas para as quais o fornecedor já cumpriu a sua obrigação, restando pendente apenas o pagamento.</w:t>
      </w:r>
    </w:p>
    <w:p w14:paraId="61E82B3C" w14:textId="77777777" w:rsidR="0025610F" w:rsidRDefault="0025610F" w:rsidP="0025610F">
      <w:pPr>
        <w:pStyle w:val="1-REL11"/>
      </w:pPr>
      <w:r>
        <w:t>Já nos Restos a Pagar Não Processados (RPNP) são inscritas as despesas que foram legalmente empenhadas, porém não foram liquidadas até 31 de dezembro do mesmo exercício.</w:t>
      </w:r>
    </w:p>
    <w:p w14:paraId="22CF82C7" w14:textId="77777777" w:rsidR="0025610F" w:rsidRDefault="0025610F" w:rsidP="0025610F">
      <w:pPr>
        <w:pStyle w:val="1-REL11"/>
      </w:pPr>
      <w:r>
        <w:t>De modo geral, os RP constituem-se, de fato, em dívidas de curto prazo e, como tais, precisam de cobertura de caixa. Portanto, em atenção ao princípio do equilíbrio e, ainda, da gestão fiscal responsável, no final de cada exercício as despesas inscritas em RP deverão estar cobertas pelo saldo financeiro constante nas contas de caixa e bancos.</w:t>
      </w:r>
    </w:p>
    <w:p w14:paraId="0DD8C7F0" w14:textId="77777777" w:rsidR="0025610F" w:rsidRDefault="0025610F" w:rsidP="0025610F">
      <w:pPr>
        <w:pStyle w:val="1-REL11"/>
      </w:pPr>
      <w:r>
        <w:t>Para fins de análise, inicialmente são apresentados os valores de RP relativos ao exercício de 2022 e anteriores, com suas movimentações (anulações de liquidação, pagamentos e cancelamentos) durante o exercício de 2023:</w:t>
      </w:r>
    </w:p>
    <w:p w14:paraId="507B0C24" w14:textId="719C3B65" w:rsidR="0025610F" w:rsidRDefault="0025610F" w:rsidP="00ED3571">
      <w:pPr>
        <w:pStyle w:val="0-TABELA"/>
      </w:pPr>
      <w:bookmarkStart w:id="194" w:name="_Toc105601621"/>
      <w:bookmarkStart w:id="195" w:name="_Toc167871769"/>
      <w:r>
        <w:t>R</w:t>
      </w:r>
      <w:r w:rsidR="00461248">
        <w:t xml:space="preserve">estos a </w:t>
      </w:r>
      <w:r>
        <w:t>P</w:t>
      </w:r>
      <w:r w:rsidR="00461248">
        <w:t>agar</w:t>
      </w:r>
      <w:r>
        <w:t xml:space="preserve"> de Exercícios Anteriores com Movimentações em 202</w:t>
      </w:r>
      <w:bookmarkEnd w:id="194"/>
      <w:r>
        <w:t>3</w:t>
      </w:r>
      <w:bookmarkEnd w:id="195"/>
      <w:r>
        <w:fldChar w:fldCharType="begin"/>
      </w:r>
      <w:r>
        <w:instrText xml:space="preserve"> LINK Excel.Sheet.12 "D:\\DOCUMENTOS\\ANDRÉ\\ANDRÉ - TCE\\CONTAS DE GOVERNO\\PAPEIS TRABALHO\\BO-DISP CAIXA BD_2019.xlsx" R-WORD!L5C1:L15C9 \a \f 4 \h  \* MERGEFORMAT </w:instrText>
      </w:r>
      <w:r>
        <w:fldChar w:fldCharType="separate"/>
      </w:r>
    </w:p>
    <w:p w14:paraId="1B8DA5A2" w14:textId="77777777" w:rsidR="0025610F" w:rsidRDefault="0025610F" w:rsidP="0025610F">
      <w:pPr>
        <w:pStyle w:val="1-emR1-8ptDIR"/>
      </w:pPr>
      <w:r>
        <w:fldChar w:fldCharType="end"/>
      </w:r>
      <w:r>
        <w:t>R$ mil</w:t>
      </w:r>
    </w:p>
    <w:tbl>
      <w:tblPr>
        <w:tblW w:w="5000" w:type="pct"/>
        <w:tblLayout w:type="fixed"/>
        <w:tblCellMar>
          <w:left w:w="70" w:type="dxa"/>
          <w:right w:w="70" w:type="dxa"/>
        </w:tblCellMar>
        <w:tblLook w:val="04A0" w:firstRow="1" w:lastRow="0" w:firstColumn="1" w:lastColumn="0" w:noHBand="0" w:noVBand="1"/>
      </w:tblPr>
      <w:tblGrid>
        <w:gridCol w:w="1368"/>
        <w:gridCol w:w="866"/>
        <w:gridCol w:w="866"/>
        <w:gridCol w:w="868"/>
        <w:gridCol w:w="1033"/>
        <w:gridCol w:w="718"/>
        <w:gridCol w:w="802"/>
        <w:gridCol w:w="769"/>
        <w:gridCol w:w="630"/>
        <w:gridCol w:w="718"/>
        <w:gridCol w:w="715"/>
      </w:tblGrid>
      <w:tr w:rsidR="00E12808" w:rsidRPr="009074B0" w14:paraId="559DFFB0" w14:textId="77777777" w:rsidTr="001B4487">
        <w:trPr>
          <w:trHeight w:val="227"/>
          <w:tblHeader/>
        </w:trPr>
        <w:tc>
          <w:tcPr>
            <w:tcW w:w="731" w:type="pct"/>
            <w:vMerge w:val="restart"/>
            <w:tcBorders>
              <w:top w:val="single" w:sz="4" w:space="0" w:color="auto"/>
              <w:left w:val="nil"/>
              <w:bottom w:val="nil"/>
              <w:right w:val="single" w:sz="4" w:space="0" w:color="auto"/>
            </w:tcBorders>
            <w:shd w:val="clear" w:color="auto" w:fill="A1F2FD"/>
            <w:vAlign w:val="center"/>
            <w:hideMark/>
          </w:tcPr>
          <w:p w14:paraId="2418088D" w14:textId="77777777" w:rsidR="00E12808" w:rsidRPr="009074B0" w:rsidRDefault="00E12808">
            <w:pPr>
              <w:jc w:val="center"/>
              <w:rPr>
                <w:rFonts w:cs="Arial"/>
                <w:b/>
                <w:bCs/>
                <w:color w:val="000000"/>
                <w:sz w:val="16"/>
                <w:szCs w:val="16"/>
              </w:rPr>
            </w:pPr>
            <w:r w:rsidRPr="009074B0">
              <w:rPr>
                <w:rFonts w:cs="Arial"/>
                <w:b/>
                <w:bCs/>
                <w:color w:val="000000"/>
                <w:sz w:val="16"/>
                <w:szCs w:val="16"/>
              </w:rPr>
              <w:t>Poder/ Órgão</w:t>
            </w:r>
          </w:p>
        </w:tc>
        <w:tc>
          <w:tcPr>
            <w:tcW w:w="1390" w:type="pct"/>
            <w:gridSpan w:val="3"/>
            <w:tcBorders>
              <w:top w:val="single" w:sz="4" w:space="0" w:color="auto"/>
              <w:left w:val="single" w:sz="4" w:space="0" w:color="auto"/>
              <w:bottom w:val="single" w:sz="4" w:space="0" w:color="auto"/>
              <w:right w:val="single" w:sz="4" w:space="0" w:color="auto"/>
            </w:tcBorders>
            <w:shd w:val="clear" w:color="auto" w:fill="A1F2FD"/>
            <w:vAlign w:val="center"/>
            <w:hideMark/>
          </w:tcPr>
          <w:p w14:paraId="490CD4C0" w14:textId="77777777" w:rsidR="00E12808" w:rsidRPr="009074B0" w:rsidRDefault="00E12808">
            <w:pPr>
              <w:jc w:val="center"/>
              <w:rPr>
                <w:rFonts w:cs="Arial"/>
                <w:b/>
                <w:bCs/>
                <w:color w:val="000000"/>
                <w:sz w:val="16"/>
                <w:szCs w:val="16"/>
              </w:rPr>
            </w:pPr>
            <w:r w:rsidRPr="009074B0">
              <w:rPr>
                <w:rFonts w:cs="Arial"/>
                <w:b/>
                <w:bCs/>
                <w:color w:val="000000"/>
                <w:sz w:val="16"/>
                <w:szCs w:val="16"/>
              </w:rPr>
              <w:t>Estoque de RP de Ex. Anteriores em 31/12/2022</w:t>
            </w:r>
          </w:p>
        </w:tc>
        <w:tc>
          <w:tcPr>
            <w:tcW w:w="1365" w:type="pct"/>
            <w:gridSpan w:val="3"/>
            <w:tcBorders>
              <w:top w:val="single" w:sz="4" w:space="0" w:color="auto"/>
              <w:left w:val="single" w:sz="4" w:space="0" w:color="auto"/>
              <w:bottom w:val="single" w:sz="4" w:space="0" w:color="auto"/>
              <w:right w:val="single" w:sz="4" w:space="0" w:color="auto"/>
            </w:tcBorders>
            <w:shd w:val="clear" w:color="auto" w:fill="A1F2FD"/>
            <w:vAlign w:val="center"/>
            <w:hideMark/>
          </w:tcPr>
          <w:p w14:paraId="0C4AA730" w14:textId="77777777" w:rsidR="00E12808" w:rsidRPr="009074B0" w:rsidRDefault="00E12808">
            <w:pPr>
              <w:jc w:val="center"/>
              <w:rPr>
                <w:rFonts w:cs="Arial"/>
                <w:b/>
                <w:bCs/>
                <w:color w:val="000000"/>
                <w:sz w:val="16"/>
                <w:szCs w:val="16"/>
              </w:rPr>
            </w:pPr>
            <w:r w:rsidRPr="009074B0">
              <w:rPr>
                <w:rFonts w:cs="Arial"/>
                <w:b/>
                <w:bCs/>
                <w:color w:val="000000"/>
                <w:sz w:val="16"/>
                <w:szCs w:val="16"/>
              </w:rPr>
              <w:t>Cancelamentos em 2023</w:t>
            </w:r>
          </w:p>
        </w:tc>
        <w:tc>
          <w:tcPr>
            <w:tcW w:w="411"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4512542F" w14:textId="55A57790" w:rsidR="00E12808" w:rsidRPr="009074B0" w:rsidRDefault="00E12808" w:rsidP="0043009E">
            <w:pPr>
              <w:jc w:val="center"/>
              <w:rPr>
                <w:rFonts w:cs="Arial"/>
                <w:b/>
                <w:bCs/>
                <w:color w:val="000000"/>
                <w:sz w:val="16"/>
                <w:szCs w:val="16"/>
              </w:rPr>
            </w:pPr>
            <w:r w:rsidRPr="009074B0">
              <w:rPr>
                <w:rFonts w:cs="Arial"/>
                <w:b/>
                <w:bCs/>
                <w:color w:val="000000"/>
                <w:sz w:val="16"/>
                <w:szCs w:val="16"/>
              </w:rPr>
              <w:t>Pagos em 2023</w:t>
            </w:r>
          </w:p>
        </w:tc>
        <w:tc>
          <w:tcPr>
            <w:tcW w:w="1103" w:type="pct"/>
            <w:gridSpan w:val="3"/>
            <w:tcBorders>
              <w:top w:val="single" w:sz="4" w:space="0" w:color="auto"/>
              <w:left w:val="single" w:sz="4" w:space="0" w:color="auto"/>
              <w:bottom w:val="single" w:sz="4" w:space="0" w:color="auto"/>
              <w:right w:val="nil"/>
            </w:tcBorders>
            <w:shd w:val="clear" w:color="auto" w:fill="A1F2FD"/>
            <w:vAlign w:val="center"/>
            <w:hideMark/>
          </w:tcPr>
          <w:p w14:paraId="6B346F48" w14:textId="77777777" w:rsidR="00E12808" w:rsidRPr="009074B0" w:rsidRDefault="00E12808">
            <w:pPr>
              <w:jc w:val="center"/>
              <w:rPr>
                <w:rFonts w:cs="Arial"/>
                <w:b/>
                <w:bCs/>
                <w:color w:val="000000"/>
                <w:sz w:val="16"/>
                <w:szCs w:val="16"/>
              </w:rPr>
            </w:pPr>
            <w:r w:rsidRPr="009074B0">
              <w:rPr>
                <w:rFonts w:cs="Arial"/>
                <w:b/>
                <w:bCs/>
                <w:color w:val="000000"/>
                <w:sz w:val="16"/>
                <w:szCs w:val="16"/>
              </w:rPr>
              <w:t>Estoque de RP de Ex. Anteriores em 31/12/2023</w:t>
            </w:r>
          </w:p>
        </w:tc>
      </w:tr>
      <w:tr w:rsidR="00E12808" w:rsidRPr="009074B0" w14:paraId="3B958A0E" w14:textId="77777777" w:rsidTr="001B4487">
        <w:trPr>
          <w:trHeight w:val="227"/>
          <w:tblHeader/>
        </w:trPr>
        <w:tc>
          <w:tcPr>
            <w:tcW w:w="731" w:type="pct"/>
            <w:vMerge/>
            <w:tcBorders>
              <w:top w:val="single" w:sz="4" w:space="0" w:color="auto"/>
              <w:left w:val="nil"/>
              <w:bottom w:val="nil"/>
              <w:right w:val="single" w:sz="4" w:space="0" w:color="auto"/>
            </w:tcBorders>
            <w:vAlign w:val="center"/>
          </w:tcPr>
          <w:p w14:paraId="188AD936" w14:textId="77777777" w:rsidR="00E12808" w:rsidRPr="009074B0" w:rsidRDefault="00E12808">
            <w:pPr>
              <w:jc w:val="left"/>
              <w:rPr>
                <w:rFonts w:cs="Arial"/>
                <w:b/>
                <w:bCs/>
                <w:color w:val="000000"/>
                <w:sz w:val="16"/>
                <w:szCs w:val="16"/>
              </w:rPr>
            </w:pPr>
          </w:p>
        </w:tc>
        <w:tc>
          <w:tcPr>
            <w:tcW w:w="463" w:type="pct"/>
            <w:tcBorders>
              <w:top w:val="single" w:sz="4" w:space="0" w:color="auto"/>
              <w:left w:val="single" w:sz="4" w:space="0" w:color="auto"/>
              <w:right w:val="single" w:sz="4" w:space="0" w:color="auto"/>
            </w:tcBorders>
            <w:shd w:val="clear" w:color="auto" w:fill="A1F2FD"/>
            <w:vAlign w:val="center"/>
          </w:tcPr>
          <w:p w14:paraId="21BBA20B" w14:textId="6764F6BB" w:rsidR="00E12808" w:rsidRPr="009074B0" w:rsidRDefault="00E12808" w:rsidP="0043009E">
            <w:pPr>
              <w:jc w:val="center"/>
              <w:rPr>
                <w:rFonts w:cs="Arial"/>
                <w:b/>
                <w:bCs/>
                <w:color w:val="000000"/>
                <w:sz w:val="16"/>
                <w:szCs w:val="16"/>
              </w:rPr>
            </w:pPr>
            <w:r w:rsidRPr="009074B0">
              <w:rPr>
                <w:rFonts w:cs="Arial"/>
                <w:b/>
                <w:bCs/>
                <w:color w:val="000000"/>
                <w:sz w:val="16"/>
                <w:szCs w:val="16"/>
              </w:rPr>
              <w:t>RPP</w:t>
            </w:r>
          </w:p>
        </w:tc>
        <w:tc>
          <w:tcPr>
            <w:tcW w:w="463" w:type="pct"/>
            <w:tcBorders>
              <w:top w:val="single" w:sz="4" w:space="0" w:color="auto"/>
              <w:left w:val="single" w:sz="4" w:space="0" w:color="auto"/>
              <w:right w:val="single" w:sz="4" w:space="0" w:color="auto"/>
            </w:tcBorders>
            <w:shd w:val="clear" w:color="auto" w:fill="A1F2FD"/>
            <w:vAlign w:val="center"/>
          </w:tcPr>
          <w:p w14:paraId="36444707" w14:textId="41C8A97E" w:rsidR="00E12808" w:rsidRPr="009074B0" w:rsidRDefault="00E12808" w:rsidP="0043009E">
            <w:pPr>
              <w:jc w:val="center"/>
              <w:rPr>
                <w:rFonts w:cs="Arial"/>
                <w:b/>
                <w:bCs/>
                <w:color w:val="000000"/>
                <w:sz w:val="16"/>
                <w:szCs w:val="16"/>
              </w:rPr>
            </w:pPr>
            <w:r w:rsidRPr="009074B0">
              <w:rPr>
                <w:rFonts w:cs="Arial"/>
                <w:b/>
                <w:bCs/>
                <w:color w:val="000000"/>
                <w:sz w:val="16"/>
                <w:szCs w:val="16"/>
              </w:rPr>
              <w:t>RPNP</w:t>
            </w:r>
          </w:p>
        </w:tc>
        <w:tc>
          <w:tcPr>
            <w:tcW w:w="464" w:type="pct"/>
            <w:tcBorders>
              <w:top w:val="single" w:sz="4" w:space="0" w:color="auto"/>
              <w:left w:val="single" w:sz="4" w:space="0" w:color="auto"/>
              <w:right w:val="single" w:sz="4" w:space="0" w:color="auto"/>
            </w:tcBorders>
            <w:shd w:val="clear" w:color="auto" w:fill="A1F2FD"/>
            <w:vAlign w:val="center"/>
          </w:tcPr>
          <w:p w14:paraId="7465B8DF" w14:textId="13B5A992" w:rsidR="00E12808" w:rsidRPr="009074B0" w:rsidRDefault="00E12808" w:rsidP="0043009E">
            <w:pPr>
              <w:jc w:val="center"/>
              <w:rPr>
                <w:rFonts w:cs="Arial"/>
                <w:b/>
                <w:bCs/>
                <w:color w:val="000000"/>
                <w:sz w:val="16"/>
                <w:szCs w:val="16"/>
              </w:rPr>
            </w:pPr>
            <w:r w:rsidRPr="009074B0">
              <w:rPr>
                <w:rFonts w:cs="Arial"/>
                <w:b/>
                <w:bCs/>
                <w:color w:val="000000"/>
                <w:sz w:val="16"/>
                <w:szCs w:val="16"/>
              </w:rPr>
              <w:t>Total</w:t>
            </w:r>
          </w:p>
        </w:tc>
        <w:tc>
          <w:tcPr>
            <w:tcW w:w="552" w:type="pct"/>
            <w:tcBorders>
              <w:top w:val="single" w:sz="4" w:space="0" w:color="auto"/>
              <w:left w:val="single" w:sz="4" w:space="0" w:color="auto"/>
              <w:right w:val="single" w:sz="4" w:space="0" w:color="auto"/>
            </w:tcBorders>
            <w:shd w:val="clear" w:color="auto" w:fill="A1F2FD"/>
            <w:vAlign w:val="center"/>
          </w:tcPr>
          <w:p w14:paraId="7D724156" w14:textId="6540F114" w:rsidR="00E12808" w:rsidRPr="009074B0" w:rsidRDefault="00E12808" w:rsidP="00E813D5">
            <w:pPr>
              <w:ind w:left="-75" w:right="-30"/>
              <w:jc w:val="center"/>
              <w:rPr>
                <w:rFonts w:cs="Arial"/>
                <w:b/>
                <w:bCs/>
                <w:color w:val="000000"/>
                <w:sz w:val="16"/>
                <w:szCs w:val="16"/>
              </w:rPr>
            </w:pPr>
            <w:r w:rsidRPr="009074B0">
              <w:rPr>
                <w:rFonts w:cs="Arial"/>
                <w:b/>
                <w:bCs/>
                <w:color w:val="000000"/>
                <w:sz w:val="16"/>
                <w:szCs w:val="16"/>
              </w:rPr>
              <w:t>RPP (</w:t>
            </w:r>
            <w:r w:rsidRPr="009074B0">
              <w:rPr>
                <w:rFonts w:cs="Arial"/>
                <w:b/>
                <w:bCs/>
                <w:i/>
                <w:iCs/>
                <w:color w:val="000000"/>
                <w:sz w:val="16"/>
                <w:szCs w:val="16"/>
              </w:rPr>
              <w:t>Liquidações Anuladas</w:t>
            </w:r>
            <w:r w:rsidRPr="009074B0">
              <w:rPr>
                <w:rFonts w:cs="Arial"/>
                <w:b/>
                <w:bCs/>
                <w:color w:val="000000"/>
                <w:sz w:val="16"/>
                <w:szCs w:val="16"/>
              </w:rPr>
              <w:t>)</w:t>
            </w:r>
          </w:p>
        </w:tc>
        <w:tc>
          <w:tcPr>
            <w:tcW w:w="384" w:type="pct"/>
            <w:tcBorders>
              <w:top w:val="single" w:sz="4" w:space="0" w:color="auto"/>
              <w:left w:val="single" w:sz="4" w:space="0" w:color="auto"/>
              <w:right w:val="single" w:sz="4" w:space="0" w:color="auto"/>
            </w:tcBorders>
            <w:shd w:val="clear" w:color="auto" w:fill="A1F2FD"/>
            <w:vAlign w:val="center"/>
          </w:tcPr>
          <w:p w14:paraId="23418A0A" w14:textId="34B290F4" w:rsidR="00E12808" w:rsidRPr="009074B0" w:rsidRDefault="00E12808" w:rsidP="0043009E">
            <w:pPr>
              <w:jc w:val="center"/>
              <w:rPr>
                <w:rFonts w:cs="Arial"/>
                <w:b/>
                <w:bCs/>
                <w:color w:val="000000"/>
                <w:sz w:val="16"/>
                <w:szCs w:val="16"/>
              </w:rPr>
            </w:pPr>
            <w:r w:rsidRPr="009074B0">
              <w:rPr>
                <w:rFonts w:cs="Arial"/>
                <w:b/>
                <w:bCs/>
                <w:color w:val="000000"/>
                <w:sz w:val="16"/>
                <w:szCs w:val="16"/>
              </w:rPr>
              <w:t>RPNP</w:t>
            </w:r>
          </w:p>
        </w:tc>
        <w:tc>
          <w:tcPr>
            <w:tcW w:w="429" w:type="pct"/>
            <w:tcBorders>
              <w:top w:val="single" w:sz="4" w:space="0" w:color="auto"/>
              <w:left w:val="single" w:sz="4" w:space="0" w:color="auto"/>
              <w:right w:val="single" w:sz="4" w:space="0" w:color="auto"/>
            </w:tcBorders>
            <w:shd w:val="clear" w:color="auto" w:fill="A1F2FD"/>
            <w:vAlign w:val="center"/>
          </w:tcPr>
          <w:p w14:paraId="2459569C" w14:textId="4908CFA6" w:rsidR="00E12808" w:rsidRPr="009074B0" w:rsidRDefault="00E12808" w:rsidP="0043009E">
            <w:pPr>
              <w:ind w:left="-133" w:right="-103"/>
              <w:jc w:val="center"/>
              <w:rPr>
                <w:rFonts w:cs="Arial"/>
                <w:b/>
                <w:bCs/>
                <w:color w:val="000000"/>
                <w:sz w:val="16"/>
                <w:szCs w:val="16"/>
              </w:rPr>
            </w:pPr>
            <w:r w:rsidRPr="009074B0">
              <w:rPr>
                <w:rFonts w:cs="Arial"/>
                <w:b/>
                <w:bCs/>
                <w:color w:val="000000"/>
                <w:sz w:val="16"/>
                <w:szCs w:val="16"/>
              </w:rPr>
              <w:t>Total</w:t>
            </w:r>
          </w:p>
        </w:tc>
        <w:tc>
          <w:tcPr>
            <w:tcW w:w="411" w:type="pct"/>
            <w:vMerge/>
            <w:tcBorders>
              <w:left w:val="single" w:sz="4" w:space="0" w:color="auto"/>
              <w:right w:val="single" w:sz="4" w:space="0" w:color="auto"/>
            </w:tcBorders>
            <w:shd w:val="clear" w:color="auto" w:fill="A1F2FD"/>
            <w:vAlign w:val="center"/>
          </w:tcPr>
          <w:p w14:paraId="125C6243" w14:textId="77777777" w:rsidR="00E12808" w:rsidRPr="009074B0" w:rsidRDefault="00E12808">
            <w:pPr>
              <w:jc w:val="left"/>
              <w:rPr>
                <w:rFonts w:cs="Arial"/>
                <w:b/>
                <w:bCs/>
                <w:color w:val="000000"/>
                <w:sz w:val="16"/>
                <w:szCs w:val="16"/>
              </w:rPr>
            </w:pPr>
          </w:p>
        </w:tc>
        <w:tc>
          <w:tcPr>
            <w:tcW w:w="337" w:type="pct"/>
            <w:tcBorders>
              <w:top w:val="single" w:sz="4" w:space="0" w:color="auto"/>
              <w:left w:val="single" w:sz="4" w:space="0" w:color="auto"/>
              <w:right w:val="single" w:sz="4" w:space="0" w:color="auto"/>
            </w:tcBorders>
            <w:shd w:val="clear" w:color="auto" w:fill="A1F2FD"/>
            <w:vAlign w:val="center"/>
          </w:tcPr>
          <w:p w14:paraId="7D3251AB" w14:textId="1B4845B9" w:rsidR="00E12808" w:rsidRPr="009074B0" w:rsidRDefault="00E12808" w:rsidP="0043009E">
            <w:pPr>
              <w:jc w:val="center"/>
              <w:rPr>
                <w:rFonts w:cs="Arial"/>
                <w:b/>
                <w:bCs/>
                <w:color w:val="000000"/>
                <w:sz w:val="16"/>
                <w:szCs w:val="16"/>
              </w:rPr>
            </w:pPr>
            <w:r w:rsidRPr="009074B0">
              <w:rPr>
                <w:rFonts w:cs="Arial"/>
                <w:b/>
                <w:bCs/>
                <w:color w:val="000000"/>
                <w:sz w:val="16"/>
                <w:szCs w:val="16"/>
              </w:rPr>
              <w:t>RPP</w:t>
            </w:r>
          </w:p>
        </w:tc>
        <w:tc>
          <w:tcPr>
            <w:tcW w:w="384" w:type="pct"/>
            <w:tcBorders>
              <w:top w:val="single" w:sz="4" w:space="0" w:color="auto"/>
              <w:left w:val="single" w:sz="4" w:space="0" w:color="auto"/>
              <w:right w:val="single" w:sz="4" w:space="0" w:color="auto"/>
            </w:tcBorders>
            <w:shd w:val="clear" w:color="auto" w:fill="A1F2FD"/>
            <w:vAlign w:val="center"/>
          </w:tcPr>
          <w:p w14:paraId="0E740935" w14:textId="157804DC" w:rsidR="00E12808" w:rsidRPr="009074B0" w:rsidRDefault="00E12808" w:rsidP="0043009E">
            <w:pPr>
              <w:jc w:val="center"/>
              <w:rPr>
                <w:rFonts w:cs="Arial"/>
                <w:b/>
                <w:bCs/>
                <w:color w:val="000000"/>
                <w:sz w:val="16"/>
                <w:szCs w:val="16"/>
              </w:rPr>
            </w:pPr>
            <w:r w:rsidRPr="009074B0">
              <w:rPr>
                <w:rFonts w:cs="Arial"/>
                <w:b/>
                <w:bCs/>
                <w:color w:val="000000"/>
                <w:sz w:val="16"/>
                <w:szCs w:val="16"/>
              </w:rPr>
              <w:t>RPNP</w:t>
            </w:r>
          </w:p>
        </w:tc>
        <w:tc>
          <w:tcPr>
            <w:tcW w:w="382" w:type="pct"/>
            <w:tcBorders>
              <w:top w:val="single" w:sz="4" w:space="0" w:color="auto"/>
              <w:left w:val="single" w:sz="4" w:space="0" w:color="auto"/>
              <w:right w:val="nil"/>
            </w:tcBorders>
            <w:shd w:val="clear" w:color="auto" w:fill="A1F2FD"/>
            <w:vAlign w:val="center"/>
          </w:tcPr>
          <w:p w14:paraId="1491E1F1" w14:textId="7B06BD5C" w:rsidR="00E12808" w:rsidRPr="009074B0" w:rsidRDefault="00E12808" w:rsidP="0043009E">
            <w:pPr>
              <w:jc w:val="center"/>
              <w:rPr>
                <w:rFonts w:cs="Arial"/>
                <w:b/>
                <w:bCs/>
                <w:color w:val="000000"/>
                <w:sz w:val="16"/>
                <w:szCs w:val="16"/>
              </w:rPr>
            </w:pPr>
            <w:r w:rsidRPr="009074B0">
              <w:rPr>
                <w:rFonts w:cs="Arial"/>
                <w:b/>
                <w:bCs/>
                <w:color w:val="000000"/>
                <w:sz w:val="16"/>
                <w:szCs w:val="16"/>
              </w:rPr>
              <w:t>Total</w:t>
            </w:r>
          </w:p>
        </w:tc>
      </w:tr>
      <w:tr w:rsidR="00E12808" w:rsidRPr="009074B0" w14:paraId="1C04A73F" w14:textId="77777777" w:rsidTr="001B4487">
        <w:trPr>
          <w:trHeight w:val="227"/>
          <w:tblHeader/>
        </w:trPr>
        <w:tc>
          <w:tcPr>
            <w:tcW w:w="731" w:type="pct"/>
            <w:vMerge/>
            <w:tcBorders>
              <w:top w:val="single" w:sz="4" w:space="0" w:color="auto"/>
              <w:left w:val="nil"/>
              <w:bottom w:val="nil"/>
              <w:right w:val="single" w:sz="4" w:space="0" w:color="auto"/>
            </w:tcBorders>
            <w:vAlign w:val="center"/>
            <w:hideMark/>
          </w:tcPr>
          <w:p w14:paraId="2966D762" w14:textId="77777777" w:rsidR="00E12808" w:rsidRPr="009074B0" w:rsidRDefault="00E12808">
            <w:pPr>
              <w:jc w:val="left"/>
              <w:rPr>
                <w:rFonts w:cs="Arial"/>
                <w:b/>
                <w:bCs/>
                <w:color w:val="000000"/>
                <w:sz w:val="16"/>
                <w:szCs w:val="16"/>
              </w:rPr>
            </w:pPr>
          </w:p>
        </w:tc>
        <w:tc>
          <w:tcPr>
            <w:tcW w:w="463" w:type="pct"/>
            <w:tcBorders>
              <w:left w:val="single" w:sz="4" w:space="0" w:color="auto"/>
              <w:bottom w:val="single" w:sz="4" w:space="0" w:color="auto"/>
              <w:right w:val="single" w:sz="4" w:space="0" w:color="auto"/>
            </w:tcBorders>
            <w:shd w:val="clear" w:color="auto" w:fill="A1F2FD"/>
            <w:vAlign w:val="center"/>
            <w:hideMark/>
          </w:tcPr>
          <w:p w14:paraId="604207FE" w14:textId="4335CF8B" w:rsidR="00E12808" w:rsidRPr="009074B0" w:rsidRDefault="00E12808">
            <w:pPr>
              <w:jc w:val="center"/>
              <w:rPr>
                <w:rFonts w:cs="Arial"/>
                <w:b/>
                <w:bCs/>
                <w:color w:val="000000"/>
                <w:sz w:val="16"/>
                <w:szCs w:val="16"/>
              </w:rPr>
            </w:pPr>
            <w:r w:rsidRPr="009074B0">
              <w:rPr>
                <w:rFonts w:cs="Arial"/>
                <w:b/>
                <w:bCs/>
                <w:color w:val="000000"/>
                <w:sz w:val="16"/>
                <w:szCs w:val="16"/>
              </w:rPr>
              <w:t>(a)</w:t>
            </w:r>
          </w:p>
        </w:tc>
        <w:tc>
          <w:tcPr>
            <w:tcW w:w="463" w:type="pct"/>
            <w:tcBorders>
              <w:left w:val="single" w:sz="4" w:space="0" w:color="auto"/>
              <w:bottom w:val="single" w:sz="4" w:space="0" w:color="auto"/>
              <w:right w:val="single" w:sz="4" w:space="0" w:color="auto"/>
            </w:tcBorders>
            <w:shd w:val="clear" w:color="auto" w:fill="A1F2FD"/>
            <w:vAlign w:val="center"/>
            <w:hideMark/>
          </w:tcPr>
          <w:p w14:paraId="17460B99" w14:textId="1E4BFBCA" w:rsidR="00E12808" w:rsidRPr="009074B0" w:rsidRDefault="00E12808">
            <w:pPr>
              <w:jc w:val="center"/>
              <w:rPr>
                <w:rFonts w:cs="Arial"/>
                <w:b/>
                <w:bCs/>
                <w:color w:val="000000"/>
                <w:sz w:val="16"/>
                <w:szCs w:val="16"/>
              </w:rPr>
            </w:pPr>
            <w:r w:rsidRPr="009074B0">
              <w:rPr>
                <w:rFonts w:cs="Arial"/>
                <w:b/>
                <w:bCs/>
                <w:color w:val="000000"/>
                <w:sz w:val="16"/>
                <w:szCs w:val="16"/>
              </w:rPr>
              <w:t>(b)</w:t>
            </w:r>
          </w:p>
        </w:tc>
        <w:tc>
          <w:tcPr>
            <w:tcW w:w="464" w:type="pct"/>
            <w:tcBorders>
              <w:left w:val="single" w:sz="4" w:space="0" w:color="auto"/>
              <w:bottom w:val="single" w:sz="4" w:space="0" w:color="auto"/>
              <w:right w:val="single" w:sz="4" w:space="0" w:color="auto"/>
            </w:tcBorders>
            <w:shd w:val="clear" w:color="auto" w:fill="A1F2FD"/>
            <w:vAlign w:val="center"/>
            <w:hideMark/>
          </w:tcPr>
          <w:p w14:paraId="73CD3C8E" w14:textId="38F63EFA" w:rsidR="00E12808" w:rsidRPr="009074B0" w:rsidRDefault="00E12808" w:rsidP="009074B0">
            <w:pPr>
              <w:ind w:left="-106" w:right="-34" w:firstLine="86"/>
              <w:jc w:val="center"/>
              <w:rPr>
                <w:rFonts w:cs="Arial"/>
                <w:b/>
                <w:bCs/>
                <w:color w:val="000000"/>
                <w:sz w:val="16"/>
                <w:szCs w:val="16"/>
              </w:rPr>
            </w:pPr>
            <w:r w:rsidRPr="009074B0">
              <w:rPr>
                <w:rFonts w:cs="Arial"/>
                <w:b/>
                <w:bCs/>
                <w:color w:val="000000"/>
                <w:sz w:val="16"/>
                <w:szCs w:val="16"/>
              </w:rPr>
              <w:t>(c)</w:t>
            </w:r>
            <w:r w:rsidR="00CD48FB">
              <w:rPr>
                <w:rFonts w:cs="Arial"/>
                <w:b/>
                <w:bCs/>
                <w:color w:val="000000"/>
                <w:sz w:val="16"/>
                <w:szCs w:val="16"/>
              </w:rPr>
              <w:t xml:space="preserve"> </w:t>
            </w:r>
            <w:r w:rsidRPr="009074B0">
              <w:rPr>
                <w:rFonts w:cs="Arial"/>
                <w:b/>
                <w:bCs/>
                <w:color w:val="000000"/>
                <w:sz w:val="16"/>
                <w:szCs w:val="16"/>
              </w:rPr>
              <w:t>=</w:t>
            </w:r>
            <w:r w:rsidR="00CD48FB">
              <w:rPr>
                <w:rFonts w:cs="Arial"/>
                <w:b/>
                <w:bCs/>
                <w:color w:val="000000"/>
                <w:sz w:val="16"/>
                <w:szCs w:val="16"/>
              </w:rPr>
              <w:t xml:space="preserve"> </w:t>
            </w:r>
            <w:r w:rsidRPr="009074B0">
              <w:rPr>
                <w:rFonts w:cs="Arial"/>
                <w:b/>
                <w:bCs/>
                <w:color w:val="000000"/>
                <w:sz w:val="16"/>
                <w:szCs w:val="16"/>
              </w:rPr>
              <w:t>(a+b)</w:t>
            </w:r>
          </w:p>
        </w:tc>
        <w:tc>
          <w:tcPr>
            <w:tcW w:w="552" w:type="pct"/>
            <w:tcBorders>
              <w:left w:val="single" w:sz="4" w:space="0" w:color="auto"/>
              <w:bottom w:val="single" w:sz="4" w:space="0" w:color="auto"/>
              <w:right w:val="single" w:sz="4" w:space="0" w:color="auto"/>
            </w:tcBorders>
            <w:shd w:val="clear" w:color="auto" w:fill="A1F2FD"/>
            <w:vAlign w:val="center"/>
            <w:hideMark/>
          </w:tcPr>
          <w:p w14:paraId="4214C414" w14:textId="33338172" w:rsidR="00E12808" w:rsidRPr="009074B0" w:rsidRDefault="00E12808">
            <w:pPr>
              <w:jc w:val="center"/>
              <w:rPr>
                <w:rFonts w:cs="Arial"/>
                <w:b/>
                <w:bCs/>
                <w:color w:val="000000"/>
                <w:sz w:val="16"/>
                <w:szCs w:val="16"/>
              </w:rPr>
            </w:pPr>
            <w:r w:rsidRPr="009074B0">
              <w:rPr>
                <w:rFonts w:cs="Arial"/>
                <w:b/>
                <w:bCs/>
                <w:color w:val="000000"/>
                <w:sz w:val="16"/>
                <w:szCs w:val="16"/>
              </w:rPr>
              <w:t>(d)</w:t>
            </w:r>
          </w:p>
        </w:tc>
        <w:tc>
          <w:tcPr>
            <w:tcW w:w="384" w:type="pct"/>
            <w:tcBorders>
              <w:left w:val="single" w:sz="4" w:space="0" w:color="auto"/>
              <w:bottom w:val="single" w:sz="4" w:space="0" w:color="auto"/>
              <w:right w:val="single" w:sz="4" w:space="0" w:color="auto"/>
            </w:tcBorders>
            <w:shd w:val="clear" w:color="auto" w:fill="A1F2FD"/>
            <w:vAlign w:val="center"/>
            <w:hideMark/>
          </w:tcPr>
          <w:p w14:paraId="3DAE6F1C" w14:textId="591C9FEF" w:rsidR="00E12808" w:rsidRPr="009074B0" w:rsidRDefault="00E12808">
            <w:pPr>
              <w:jc w:val="center"/>
              <w:rPr>
                <w:rFonts w:cs="Arial"/>
                <w:b/>
                <w:bCs/>
                <w:color w:val="000000"/>
                <w:sz w:val="16"/>
                <w:szCs w:val="16"/>
              </w:rPr>
            </w:pPr>
            <w:r w:rsidRPr="009074B0">
              <w:rPr>
                <w:rFonts w:cs="Arial"/>
                <w:b/>
                <w:bCs/>
                <w:color w:val="000000"/>
                <w:sz w:val="16"/>
                <w:szCs w:val="16"/>
              </w:rPr>
              <w:t>(e)</w:t>
            </w:r>
          </w:p>
        </w:tc>
        <w:tc>
          <w:tcPr>
            <w:tcW w:w="429" w:type="pct"/>
            <w:tcBorders>
              <w:left w:val="single" w:sz="4" w:space="0" w:color="auto"/>
              <w:bottom w:val="single" w:sz="4" w:space="0" w:color="auto"/>
              <w:right w:val="single" w:sz="4" w:space="0" w:color="auto"/>
            </w:tcBorders>
            <w:shd w:val="clear" w:color="auto" w:fill="A1F2FD"/>
            <w:vAlign w:val="center"/>
            <w:hideMark/>
          </w:tcPr>
          <w:p w14:paraId="7E2870AF" w14:textId="7FE8B072" w:rsidR="00E12808" w:rsidRPr="009074B0" w:rsidRDefault="00E12808" w:rsidP="0043009E">
            <w:pPr>
              <w:ind w:left="-133" w:right="-103"/>
              <w:jc w:val="center"/>
              <w:rPr>
                <w:rFonts w:cs="Arial"/>
                <w:b/>
                <w:bCs/>
                <w:color w:val="000000"/>
                <w:sz w:val="16"/>
                <w:szCs w:val="16"/>
              </w:rPr>
            </w:pPr>
            <w:r w:rsidRPr="009074B0">
              <w:rPr>
                <w:rFonts w:cs="Arial"/>
                <w:b/>
                <w:bCs/>
                <w:color w:val="000000"/>
                <w:sz w:val="16"/>
                <w:szCs w:val="16"/>
              </w:rPr>
              <w:t>(f)</w:t>
            </w:r>
            <w:r w:rsidR="00CD48FB">
              <w:rPr>
                <w:rFonts w:cs="Arial"/>
                <w:b/>
                <w:bCs/>
                <w:color w:val="000000"/>
                <w:sz w:val="16"/>
                <w:szCs w:val="16"/>
              </w:rPr>
              <w:t xml:space="preserve"> </w:t>
            </w:r>
            <w:r w:rsidRPr="009074B0">
              <w:rPr>
                <w:rFonts w:cs="Arial"/>
                <w:b/>
                <w:bCs/>
                <w:color w:val="000000"/>
                <w:sz w:val="16"/>
                <w:szCs w:val="16"/>
              </w:rPr>
              <w:t>=</w:t>
            </w:r>
            <w:r w:rsidR="00CD48FB">
              <w:rPr>
                <w:rFonts w:cs="Arial"/>
                <w:b/>
                <w:bCs/>
                <w:color w:val="000000"/>
                <w:sz w:val="16"/>
                <w:szCs w:val="16"/>
              </w:rPr>
              <w:t xml:space="preserve"> </w:t>
            </w:r>
            <w:r w:rsidRPr="009074B0">
              <w:rPr>
                <w:rFonts w:cs="Arial"/>
                <w:b/>
                <w:bCs/>
                <w:color w:val="000000"/>
                <w:sz w:val="16"/>
                <w:szCs w:val="16"/>
              </w:rPr>
              <w:t>(d+e)</w:t>
            </w:r>
          </w:p>
        </w:tc>
        <w:tc>
          <w:tcPr>
            <w:tcW w:w="411" w:type="pct"/>
            <w:tcBorders>
              <w:left w:val="single" w:sz="4" w:space="0" w:color="auto"/>
              <w:bottom w:val="single" w:sz="4" w:space="0" w:color="auto"/>
              <w:right w:val="single" w:sz="4" w:space="0" w:color="auto"/>
            </w:tcBorders>
            <w:shd w:val="clear" w:color="auto" w:fill="A1F2FD"/>
            <w:vAlign w:val="center"/>
            <w:hideMark/>
          </w:tcPr>
          <w:p w14:paraId="7077D2C5" w14:textId="0D155DAE" w:rsidR="00E12808" w:rsidRPr="009074B0" w:rsidRDefault="00E12808" w:rsidP="0043009E">
            <w:pPr>
              <w:jc w:val="center"/>
              <w:rPr>
                <w:rFonts w:cs="Arial"/>
                <w:b/>
                <w:bCs/>
                <w:color w:val="000000"/>
                <w:sz w:val="16"/>
                <w:szCs w:val="16"/>
              </w:rPr>
            </w:pPr>
            <w:r w:rsidRPr="009074B0">
              <w:rPr>
                <w:rFonts w:cs="Arial"/>
                <w:b/>
                <w:bCs/>
                <w:color w:val="000000"/>
                <w:sz w:val="16"/>
                <w:szCs w:val="16"/>
              </w:rPr>
              <w:t>(g)</w:t>
            </w:r>
          </w:p>
        </w:tc>
        <w:tc>
          <w:tcPr>
            <w:tcW w:w="337" w:type="pct"/>
            <w:tcBorders>
              <w:left w:val="single" w:sz="4" w:space="0" w:color="auto"/>
              <w:bottom w:val="single" w:sz="4" w:space="0" w:color="auto"/>
              <w:right w:val="single" w:sz="4" w:space="0" w:color="auto"/>
            </w:tcBorders>
            <w:shd w:val="clear" w:color="auto" w:fill="A1F2FD"/>
            <w:vAlign w:val="center"/>
            <w:hideMark/>
          </w:tcPr>
          <w:p w14:paraId="3B9B08C3" w14:textId="3338CB3E" w:rsidR="00E12808" w:rsidRPr="009074B0" w:rsidRDefault="00E12808">
            <w:pPr>
              <w:jc w:val="center"/>
              <w:rPr>
                <w:rFonts w:cs="Arial"/>
                <w:b/>
                <w:bCs/>
                <w:color w:val="000000"/>
                <w:sz w:val="16"/>
                <w:szCs w:val="16"/>
              </w:rPr>
            </w:pPr>
            <w:r w:rsidRPr="009074B0">
              <w:rPr>
                <w:rFonts w:cs="Arial"/>
                <w:b/>
                <w:bCs/>
                <w:color w:val="000000"/>
                <w:sz w:val="16"/>
                <w:szCs w:val="16"/>
              </w:rPr>
              <w:t>(h)</w:t>
            </w:r>
          </w:p>
        </w:tc>
        <w:tc>
          <w:tcPr>
            <w:tcW w:w="384" w:type="pct"/>
            <w:tcBorders>
              <w:left w:val="single" w:sz="4" w:space="0" w:color="auto"/>
              <w:bottom w:val="single" w:sz="4" w:space="0" w:color="auto"/>
              <w:right w:val="single" w:sz="4" w:space="0" w:color="auto"/>
            </w:tcBorders>
            <w:shd w:val="clear" w:color="auto" w:fill="A1F2FD"/>
            <w:vAlign w:val="center"/>
            <w:hideMark/>
          </w:tcPr>
          <w:p w14:paraId="710D5EC5" w14:textId="7E23AF39" w:rsidR="00E12808" w:rsidRPr="009074B0" w:rsidRDefault="00E12808">
            <w:pPr>
              <w:jc w:val="center"/>
              <w:rPr>
                <w:rFonts w:cs="Arial"/>
                <w:b/>
                <w:bCs/>
                <w:color w:val="000000"/>
                <w:sz w:val="16"/>
                <w:szCs w:val="16"/>
              </w:rPr>
            </w:pPr>
            <w:r w:rsidRPr="009074B0">
              <w:rPr>
                <w:rFonts w:cs="Arial"/>
                <w:b/>
                <w:bCs/>
                <w:color w:val="000000"/>
                <w:sz w:val="16"/>
                <w:szCs w:val="16"/>
              </w:rPr>
              <w:t>(i)</w:t>
            </w:r>
          </w:p>
        </w:tc>
        <w:tc>
          <w:tcPr>
            <w:tcW w:w="382" w:type="pct"/>
            <w:tcBorders>
              <w:left w:val="single" w:sz="4" w:space="0" w:color="auto"/>
              <w:bottom w:val="single" w:sz="4" w:space="0" w:color="auto"/>
              <w:right w:val="nil"/>
            </w:tcBorders>
            <w:shd w:val="clear" w:color="auto" w:fill="A1F2FD"/>
            <w:vAlign w:val="center"/>
            <w:hideMark/>
          </w:tcPr>
          <w:p w14:paraId="0A9BF4A2" w14:textId="27D567D9" w:rsidR="00E12808" w:rsidRPr="009074B0" w:rsidRDefault="00E12808" w:rsidP="009074B0">
            <w:pPr>
              <w:ind w:left="-56" w:right="-71" w:firstLine="14"/>
              <w:jc w:val="center"/>
              <w:rPr>
                <w:rFonts w:cs="Arial"/>
                <w:b/>
                <w:bCs/>
                <w:color w:val="000000"/>
                <w:sz w:val="16"/>
                <w:szCs w:val="16"/>
              </w:rPr>
            </w:pPr>
            <w:r w:rsidRPr="009074B0">
              <w:rPr>
                <w:rFonts w:cs="Arial"/>
                <w:b/>
                <w:bCs/>
                <w:color w:val="000000"/>
                <w:sz w:val="16"/>
                <w:szCs w:val="16"/>
              </w:rPr>
              <w:t>(j)</w:t>
            </w:r>
            <w:r w:rsidR="00CD48FB">
              <w:rPr>
                <w:rFonts w:cs="Arial"/>
                <w:b/>
                <w:bCs/>
                <w:color w:val="000000"/>
                <w:sz w:val="16"/>
                <w:szCs w:val="16"/>
              </w:rPr>
              <w:t xml:space="preserve"> </w:t>
            </w:r>
            <w:r w:rsidRPr="009074B0">
              <w:rPr>
                <w:rFonts w:cs="Arial"/>
                <w:b/>
                <w:bCs/>
                <w:color w:val="000000"/>
                <w:sz w:val="16"/>
                <w:szCs w:val="16"/>
              </w:rPr>
              <w:t>=</w:t>
            </w:r>
            <w:r w:rsidR="00CD48FB">
              <w:rPr>
                <w:rFonts w:cs="Arial"/>
                <w:b/>
                <w:bCs/>
                <w:color w:val="000000"/>
                <w:sz w:val="16"/>
                <w:szCs w:val="16"/>
              </w:rPr>
              <w:t xml:space="preserve"> </w:t>
            </w:r>
            <w:r w:rsidRPr="009074B0">
              <w:rPr>
                <w:rFonts w:cs="Arial"/>
                <w:b/>
                <w:bCs/>
                <w:color w:val="000000"/>
                <w:sz w:val="16"/>
                <w:szCs w:val="16"/>
              </w:rPr>
              <w:t>(h+i)</w:t>
            </w:r>
          </w:p>
        </w:tc>
      </w:tr>
      <w:tr w:rsidR="0025610F" w:rsidRPr="009074B0" w14:paraId="50EB2BFF" w14:textId="77777777" w:rsidTr="001B4487">
        <w:trPr>
          <w:trHeight w:val="227"/>
        </w:trPr>
        <w:tc>
          <w:tcPr>
            <w:tcW w:w="731" w:type="pct"/>
            <w:tcBorders>
              <w:top w:val="single" w:sz="4" w:space="0" w:color="auto"/>
              <w:left w:val="nil"/>
              <w:bottom w:val="nil"/>
              <w:right w:val="single" w:sz="4" w:space="0" w:color="auto"/>
            </w:tcBorders>
            <w:noWrap/>
            <w:vAlign w:val="center"/>
            <w:hideMark/>
          </w:tcPr>
          <w:p w14:paraId="7990DECB" w14:textId="77777777" w:rsidR="0025610F" w:rsidRPr="009074B0" w:rsidRDefault="0025610F">
            <w:pPr>
              <w:rPr>
                <w:rFonts w:cs="Arial"/>
                <w:color w:val="000000"/>
                <w:sz w:val="16"/>
                <w:szCs w:val="16"/>
              </w:rPr>
            </w:pPr>
            <w:r w:rsidRPr="009074B0">
              <w:rPr>
                <w:rFonts w:cs="Arial"/>
                <w:color w:val="000000"/>
                <w:sz w:val="16"/>
                <w:szCs w:val="16"/>
              </w:rPr>
              <w:t>Defensoria</w:t>
            </w:r>
          </w:p>
        </w:tc>
        <w:tc>
          <w:tcPr>
            <w:tcW w:w="463" w:type="pct"/>
            <w:tcBorders>
              <w:top w:val="single" w:sz="4" w:space="0" w:color="auto"/>
              <w:left w:val="single" w:sz="4" w:space="0" w:color="auto"/>
              <w:bottom w:val="nil"/>
              <w:right w:val="single" w:sz="4" w:space="0" w:color="auto"/>
            </w:tcBorders>
            <w:noWrap/>
            <w:vAlign w:val="center"/>
            <w:hideMark/>
          </w:tcPr>
          <w:p w14:paraId="45C019D1" w14:textId="77777777" w:rsidR="0025610F" w:rsidRPr="009074B0" w:rsidRDefault="0025610F">
            <w:pPr>
              <w:jc w:val="right"/>
              <w:rPr>
                <w:rFonts w:cs="Arial"/>
                <w:color w:val="333333"/>
                <w:sz w:val="16"/>
                <w:szCs w:val="16"/>
              </w:rPr>
            </w:pPr>
            <w:r w:rsidRPr="009074B0">
              <w:rPr>
                <w:rFonts w:cs="Arial"/>
                <w:color w:val="333333"/>
                <w:sz w:val="16"/>
                <w:szCs w:val="16"/>
              </w:rPr>
              <w:t>56</w:t>
            </w:r>
          </w:p>
        </w:tc>
        <w:tc>
          <w:tcPr>
            <w:tcW w:w="463" w:type="pct"/>
            <w:tcBorders>
              <w:top w:val="single" w:sz="4" w:space="0" w:color="auto"/>
              <w:left w:val="single" w:sz="4" w:space="0" w:color="auto"/>
              <w:bottom w:val="nil"/>
              <w:right w:val="single" w:sz="4" w:space="0" w:color="auto"/>
            </w:tcBorders>
            <w:noWrap/>
            <w:vAlign w:val="center"/>
            <w:hideMark/>
          </w:tcPr>
          <w:p w14:paraId="75AB3B5E" w14:textId="77777777" w:rsidR="0025610F" w:rsidRPr="009074B0" w:rsidRDefault="0025610F">
            <w:pPr>
              <w:jc w:val="right"/>
              <w:rPr>
                <w:rFonts w:cs="Arial"/>
                <w:color w:val="333333"/>
                <w:sz w:val="16"/>
                <w:szCs w:val="16"/>
              </w:rPr>
            </w:pPr>
            <w:r w:rsidRPr="009074B0">
              <w:rPr>
                <w:rFonts w:cs="Arial"/>
                <w:color w:val="333333"/>
                <w:sz w:val="16"/>
                <w:szCs w:val="16"/>
              </w:rPr>
              <w:t>6.742</w:t>
            </w:r>
          </w:p>
        </w:tc>
        <w:tc>
          <w:tcPr>
            <w:tcW w:w="464" w:type="pct"/>
            <w:tcBorders>
              <w:top w:val="single" w:sz="4" w:space="0" w:color="auto"/>
              <w:left w:val="single" w:sz="4" w:space="0" w:color="auto"/>
              <w:bottom w:val="nil"/>
              <w:right w:val="single" w:sz="4" w:space="0" w:color="auto"/>
            </w:tcBorders>
            <w:noWrap/>
            <w:vAlign w:val="center"/>
            <w:hideMark/>
          </w:tcPr>
          <w:p w14:paraId="45117A30" w14:textId="77777777" w:rsidR="0025610F" w:rsidRPr="009074B0" w:rsidRDefault="0025610F">
            <w:pPr>
              <w:jc w:val="right"/>
              <w:rPr>
                <w:rFonts w:cs="Arial"/>
                <w:color w:val="333333"/>
                <w:sz w:val="16"/>
                <w:szCs w:val="16"/>
              </w:rPr>
            </w:pPr>
            <w:r w:rsidRPr="009074B0">
              <w:rPr>
                <w:rFonts w:cs="Arial"/>
                <w:color w:val="333333"/>
                <w:sz w:val="16"/>
                <w:szCs w:val="16"/>
              </w:rPr>
              <w:t>6.798</w:t>
            </w:r>
          </w:p>
        </w:tc>
        <w:tc>
          <w:tcPr>
            <w:tcW w:w="552" w:type="pct"/>
            <w:tcBorders>
              <w:top w:val="single" w:sz="4" w:space="0" w:color="auto"/>
              <w:left w:val="single" w:sz="4" w:space="0" w:color="auto"/>
              <w:bottom w:val="nil"/>
              <w:right w:val="single" w:sz="4" w:space="0" w:color="auto"/>
            </w:tcBorders>
            <w:noWrap/>
            <w:vAlign w:val="center"/>
            <w:hideMark/>
          </w:tcPr>
          <w:p w14:paraId="4A8952C9" w14:textId="77777777" w:rsidR="0025610F" w:rsidRPr="009074B0" w:rsidRDefault="0025610F">
            <w:pPr>
              <w:jc w:val="right"/>
              <w:rPr>
                <w:rFonts w:cs="Arial"/>
                <w:color w:val="333333"/>
                <w:sz w:val="16"/>
                <w:szCs w:val="16"/>
              </w:rPr>
            </w:pPr>
            <w:r w:rsidRPr="009074B0">
              <w:rPr>
                <w:rFonts w:cs="Arial"/>
                <w:color w:val="333333"/>
                <w:sz w:val="16"/>
                <w:szCs w:val="16"/>
              </w:rPr>
              <w:t>-</w:t>
            </w:r>
          </w:p>
        </w:tc>
        <w:tc>
          <w:tcPr>
            <w:tcW w:w="384" w:type="pct"/>
            <w:tcBorders>
              <w:top w:val="single" w:sz="4" w:space="0" w:color="auto"/>
              <w:left w:val="single" w:sz="4" w:space="0" w:color="auto"/>
              <w:bottom w:val="nil"/>
              <w:right w:val="single" w:sz="4" w:space="0" w:color="auto"/>
            </w:tcBorders>
            <w:noWrap/>
            <w:vAlign w:val="center"/>
            <w:hideMark/>
          </w:tcPr>
          <w:p w14:paraId="1139D093" w14:textId="77777777" w:rsidR="0025610F" w:rsidRPr="009074B0" w:rsidRDefault="0025610F">
            <w:pPr>
              <w:jc w:val="right"/>
              <w:rPr>
                <w:rFonts w:cs="Arial"/>
                <w:color w:val="333333"/>
                <w:sz w:val="16"/>
                <w:szCs w:val="16"/>
              </w:rPr>
            </w:pPr>
            <w:r w:rsidRPr="009074B0">
              <w:rPr>
                <w:rFonts w:cs="Arial"/>
                <w:color w:val="333333"/>
                <w:sz w:val="16"/>
                <w:szCs w:val="16"/>
              </w:rPr>
              <w:t>333</w:t>
            </w:r>
          </w:p>
        </w:tc>
        <w:tc>
          <w:tcPr>
            <w:tcW w:w="429" w:type="pct"/>
            <w:tcBorders>
              <w:top w:val="single" w:sz="4" w:space="0" w:color="auto"/>
              <w:left w:val="single" w:sz="4" w:space="0" w:color="auto"/>
              <w:bottom w:val="nil"/>
              <w:right w:val="single" w:sz="4" w:space="0" w:color="auto"/>
            </w:tcBorders>
            <w:noWrap/>
            <w:vAlign w:val="center"/>
            <w:hideMark/>
          </w:tcPr>
          <w:p w14:paraId="72034BED" w14:textId="77777777" w:rsidR="0025610F" w:rsidRPr="009074B0" w:rsidRDefault="0025610F">
            <w:pPr>
              <w:jc w:val="right"/>
              <w:rPr>
                <w:rFonts w:cs="Arial"/>
                <w:color w:val="333333"/>
                <w:sz w:val="16"/>
                <w:szCs w:val="16"/>
              </w:rPr>
            </w:pPr>
            <w:r w:rsidRPr="009074B0">
              <w:rPr>
                <w:rFonts w:cs="Arial"/>
                <w:color w:val="333333"/>
                <w:sz w:val="16"/>
                <w:szCs w:val="16"/>
              </w:rPr>
              <w:t>333</w:t>
            </w:r>
          </w:p>
        </w:tc>
        <w:tc>
          <w:tcPr>
            <w:tcW w:w="411" w:type="pct"/>
            <w:tcBorders>
              <w:top w:val="single" w:sz="4" w:space="0" w:color="auto"/>
              <w:left w:val="single" w:sz="4" w:space="0" w:color="auto"/>
              <w:bottom w:val="nil"/>
              <w:right w:val="single" w:sz="4" w:space="0" w:color="auto"/>
            </w:tcBorders>
            <w:noWrap/>
            <w:vAlign w:val="center"/>
            <w:hideMark/>
          </w:tcPr>
          <w:p w14:paraId="0384A99B" w14:textId="77777777" w:rsidR="0025610F" w:rsidRPr="009074B0" w:rsidRDefault="0025610F">
            <w:pPr>
              <w:jc w:val="right"/>
              <w:rPr>
                <w:rFonts w:cs="Arial"/>
                <w:color w:val="333333"/>
                <w:sz w:val="16"/>
                <w:szCs w:val="16"/>
              </w:rPr>
            </w:pPr>
            <w:r w:rsidRPr="009074B0">
              <w:rPr>
                <w:rFonts w:cs="Arial"/>
                <w:color w:val="333333"/>
                <w:sz w:val="16"/>
                <w:szCs w:val="16"/>
              </w:rPr>
              <w:t>6.465</w:t>
            </w:r>
          </w:p>
        </w:tc>
        <w:tc>
          <w:tcPr>
            <w:tcW w:w="337" w:type="pct"/>
            <w:tcBorders>
              <w:top w:val="single" w:sz="4" w:space="0" w:color="auto"/>
              <w:left w:val="single" w:sz="4" w:space="0" w:color="auto"/>
              <w:bottom w:val="nil"/>
              <w:right w:val="single" w:sz="4" w:space="0" w:color="auto"/>
            </w:tcBorders>
            <w:noWrap/>
            <w:vAlign w:val="center"/>
            <w:hideMark/>
          </w:tcPr>
          <w:p w14:paraId="136B3F02" w14:textId="77777777" w:rsidR="0025610F" w:rsidRPr="009074B0" w:rsidRDefault="0025610F">
            <w:pPr>
              <w:jc w:val="right"/>
              <w:rPr>
                <w:rFonts w:cs="Arial"/>
                <w:color w:val="333333"/>
                <w:sz w:val="16"/>
                <w:szCs w:val="16"/>
              </w:rPr>
            </w:pPr>
            <w:r w:rsidRPr="009074B0">
              <w:rPr>
                <w:rFonts w:cs="Arial"/>
                <w:color w:val="333333"/>
                <w:sz w:val="16"/>
                <w:szCs w:val="16"/>
              </w:rPr>
              <w:t>-</w:t>
            </w:r>
          </w:p>
        </w:tc>
        <w:tc>
          <w:tcPr>
            <w:tcW w:w="384" w:type="pct"/>
            <w:tcBorders>
              <w:top w:val="single" w:sz="4" w:space="0" w:color="auto"/>
              <w:left w:val="single" w:sz="4" w:space="0" w:color="auto"/>
              <w:bottom w:val="nil"/>
              <w:right w:val="single" w:sz="4" w:space="0" w:color="auto"/>
            </w:tcBorders>
            <w:noWrap/>
            <w:vAlign w:val="center"/>
            <w:hideMark/>
          </w:tcPr>
          <w:p w14:paraId="145CDCD6" w14:textId="77777777" w:rsidR="0025610F" w:rsidRPr="009074B0" w:rsidRDefault="0025610F">
            <w:pPr>
              <w:jc w:val="right"/>
              <w:rPr>
                <w:rFonts w:cs="Arial"/>
                <w:color w:val="333333"/>
                <w:sz w:val="16"/>
                <w:szCs w:val="16"/>
              </w:rPr>
            </w:pPr>
            <w:r w:rsidRPr="009074B0">
              <w:rPr>
                <w:rFonts w:cs="Arial"/>
                <w:color w:val="333333"/>
                <w:sz w:val="16"/>
                <w:szCs w:val="16"/>
              </w:rPr>
              <w:t>-</w:t>
            </w:r>
          </w:p>
        </w:tc>
        <w:tc>
          <w:tcPr>
            <w:tcW w:w="382" w:type="pct"/>
            <w:tcBorders>
              <w:top w:val="single" w:sz="4" w:space="0" w:color="auto"/>
              <w:left w:val="single" w:sz="4" w:space="0" w:color="auto"/>
              <w:bottom w:val="nil"/>
              <w:right w:val="nil"/>
            </w:tcBorders>
            <w:noWrap/>
            <w:vAlign w:val="center"/>
            <w:hideMark/>
          </w:tcPr>
          <w:p w14:paraId="4990BE8E" w14:textId="77777777" w:rsidR="0025610F" w:rsidRPr="009074B0" w:rsidRDefault="0025610F">
            <w:pPr>
              <w:jc w:val="right"/>
              <w:rPr>
                <w:rFonts w:cs="Arial"/>
                <w:color w:val="333333"/>
                <w:sz w:val="16"/>
                <w:szCs w:val="16"/>
              </w:rPr>
            </w:pPr>
            <w:r w:rsidRPr="009074B0">
              <w:rPr>
                <w:rFonts w:cs="Arial"/>
                <w:color w:val="333333"/>
                <w:sz w:val="16"/>
                <w:szCs w:val="16"/>
              </w:rPr>
              <w:t>-</w:t>
            </w:r>
          </w:p>
        </w:tc>
      </w:tr>
      <w:tr w:rsidR="0025610F" w:rsidRPr="009074B0" w14:paraId="1A516E74" w14:textId="77777777" w:rsidTr="001B4487">
        <w:trPr>
          <w:trHeight w:val="227"/>
        </w:trPr>
        <w:tc>
          <w:tcPr>
            <w:tcW w:w="731" w:type="pct"/>
            <w:tcBorders>
              <w:top w:val="nil"/>
              <w:left w:val="nil"/>
              <w:bottom w:val="nil"/>
              <w:right w:val="single" w:sz="4" w:space="0" w:color="auto"/>
            </w:tcBorders>
            <w:noWrap/>
            <w:vAlign w:val="center"/>
            <w:hideMark/>
          </w:tcPr>
          <w:p w14:paraId="6903AA61" w14:textId="77777777" w:rsidR="0025610F" w:rsidRPr="009074B0" w:rsidRDefault="0025610F">
            <w:pPr>
              <w:rPr>
                <w:rFonts w:cs="Arial"/>
                <w:color w:val="000000"/>
                <w:sz w:val="16"/>
                <w:szCs w:val="16"/>
              </w:rPr>
            </w:pPr>
            <w:r w:rsidRPr="009074B0">
              <w:rPr>
                <w:rFonts w:cs="Arial"/>
                <w:color w:val="000000"/>
                <w:sz w:val="16"/>
                <w:szCs w:val="16"/>
              </w:rPr>
              <w:t>Poder Executivo</w:t>
            </w:r>
          </w:p>
        </w:tc>
        <w:tc>
          <w:tcPr>
            <w:tcW w:w="463" w:type="pct"/>
            <w:tcBorders>
              <w:top w:val="nil"/>
              <w:left w:val="single" w:sz="4" w:space="0" w:color="auto"/>
              <w:bottom w:val="nil"/>
              <w:right w:val="single" w:sz="4" w:space="0" w:color="auto"/>
            </w:tcBorders>
            <w:noWrap/>
            <w:vAlign w:val="center"/>
            <w:hideMark/>
          </w:tcPr>
          <w:p w14:paraId="4CAC35C9" w14:textId="77777777" w:rsidR="0025610F" w:rsidRPr="009074B0" w:rsidRDefault="0025610F">
            <w:pPr>
              <w:jc w:val="right"/>
              <w:rPr>
                <w:rFonts w:cs="Arial"/>
                <w:color w:val="333333"/>
                <w:sz w:val="16"/>
                <w:szCs w:val="16"/>
              </w:rPr>
            </w:pPr>
            <w:r w:rsidRPr="009074B0">
              <w:rPr>
                <w:rFonts w:cs="Arial"/>
                <w:color w:val="333333"/>
                <w:sz w:val="16"/>
                <w:szCs w:val="16"/>
              </w:rPr>
              <w:t>242.921</w:t>
            </w:r>
          </w:p>
        </w:tc>
        <w:tc>
          <w:tcPr>
            <w:tcW w:w="463" w:type="pct"/>
            <w:tcBorders>
              <w:top w:val="nil"/>
              <w:left w:val="single" w:sz="4" w:space="0" w:color="auto"/>
              <w:bottom w:val="nil"/>
              <w:right w:val="single" w:sz="4" w:space="0" w:color="auto"/>
            </w:tcBorders>
            <w:noWrap/>
            <w:vAlign w:val="center"/>
            <w:hideMark/>
          </w:tcPr>
          <w:p w14:paraId="0598451A" w14:textId="77777777" w:rsidR="0025610F" w:rsidRPr="009074B0" w:rsidRDefault="0025610F">
            <w:pPr>
              <w:jc w:val="right"/>
              <w:rPr>
                <w:rFonts w:cs="Arial"/>
                <w:color w:val="333333"/>
                <w:sz w:val="16"/>
                <w:szCs w:val="16"/>
              </w:rPr>
            </w:pPr>
            <w:r w:rsidRPr="009074B0">
              <w:rPr>
                <w:rFonts w:cs="Arial"/>
                <w:color w:val="333333"/>
                <w:sz w:val="16"/>
                <w:szCs w:val="16"/>
              </w:rPr>
              <w:t>1.800.607</w:t>
            </w:r>
          </w:p>
        </w:tc>
        <w:tc>
          <w:tcPr>
            <w:tcW w:w="464" w:type="pct"/>
            <w:tcBorders>
              <w:top w:val="nil"/>
              <w:left w:val="single" w:sz="4" w:space="0" w:color="auto"/>
              <w:bottom w:val="nil"/>
              <w:right w:val="single" w:sz="4" w:space="0" w:color="auto"/>
            </w:tcBorders>
            <w:noWrap/>
            <w:vAlign w:val="center"/>
            <w:hideMark/>
          </w:tcPr>
          <w:p w14:paraId="3D9FAB32" w14:textId="77777777" w:rsidR="0025610F" w:rsidRPr="009074B0" w:rsidRDefault="0025610F" w:rsidP="009074B0">
            <w:pPr>
              <w:ind w:hanging="106"/>
              <w:jc w:val="right"/>
              <w:rPr>
                <w:rFonts w:cs="Arial"/>
                <w:color w:val="333333"/>
                <w:sz w:val="16"/>
                <w:szCs w:val="16"/>
              </w:rPr>
            </w:pPr>
            <w:r w:rsidRPr="009074B0">
              <w:rPr>
                <w:rFonts w:cs="Arial"/>
                <w:color w:val="333333"/>
                <w:sz w:val="16"/>
                <w:szCs w:val="16"/>
              </w:rPr>
              <w:t>2.043.529</w:t>
            </w:r>
          </w:p>
        </w:tc>
        <w:tc>
          <w:tcPr>
            <w:tcW w:w="552" w:type="pct"/>
            <w:tcBorders>
              <w:top w:val="nil"/>
              <w:left w:val="single" w:sz="4" w:space="0" w:color="auto"/>
              <w:bottom w:val="nil"/>
              <w:right w:val="single" w:sz="4" w:space="0" w:color="auto"/>
            </w:tcBorders>
            <w:noWrap/>
            <w:vAlign w:val="center"/>
            <w:hideMark/>
          </w:tcPr>
          <w:p w14:paraId="31777235" w14:textId="77777777" w:rsidR="0025610F" w:rsidRPr="009074B0" w:rsidRDefault="0025610F">
            <w:pPr>
              <w:jc w:val="right"/>
              <w:rPr>
                <w:rFonts w:cs="Arial"/>
                <w:color w:val="333333"/>
                <w:sz w:val="16"/>
                <w:szCs w:val="16"/>
              </w:rPr>
            </w:pPr>
            <w:r w:rsidRPr="009074B0">
              <w:rPr>
                <w:rFonts w:cs="Arial"/>
                <w:color w:val="333333"/>
                <w:sz w:val="16"/>
                <w:szCs w:val="16"/>
              </w:rPr>
              <w:t>28.400</w:t>
            </w:r>
          </w:p>
        </w:tc>
        <w:tc>
          <w:tcPr>
            <w:tcW w:w="384" w:type="pct"/>
            <w:tcBorders>
              <w:top w:val="nil"/>
              <w:left w:val="single" w:sz="4" w:space="0" w:color="auto"/>
              <w:bottom w:val="nil"/>
              <w:right w:val="single" w:sz="4" w:space="0" w:color="auto"/>
            </w:tcBorders>
            <w:noWrap/>
            <w:vAlign w:val="center"/>
            <w:hideMark/>
          </w:tcPr>
          <w:p w14:paraId="4E653B50" w14:textId="77777777" w:rsidR="0025610F" w:rsidRPr="009074B0" w:rsidRDefault="0025610F" w:rsidP="009074B0">
            <w:pPr>
              <w:ind w:hanging="98"/>
              <w:jc w:val="right"/>
              <w:rPr>
                <w:rFonts w:cs="Arial"/>
                <w:color w:val="333333"/>
                <w:sz w:val="16"/>
                <w:szCs w:val="16"/>
              </w:rPr>
            </w:pPr>
            <w:r w:rsidRPr="009074B0">
              <w:rPr>
                <w:rFonts w:cs="Arial"/>
                <w:color w:val="333333"/>
                <w:sz w:val="16"/>
                <w:szCs w:val="16"/>
              </w:rPr>
              <w:t>191.356</w:t>
            </w:r>
          </w:p>
        </w:tc>
        <w:tc>
          <w:tcPr>
            <w:tcW w:w="429" w:type="pct"/>
            <w:tcBorders>
              <w:top w:val="nil"/>
              <w:left w:val="single" w:sz="4" w:space="0" w:color="auto"/>
              <w:bottom w:val="nil"/>
              <w:right w:val="single" w:sz="4" w:space="0" w:color="auto"/>
            </w:tcBorders>
            <w:noWrap/>
            <w:vAlign w:val="center"/>
            <w:hideMark/>
          </w:tcPr>
          <w:p w14:paraId="1CA140A9" w14:textId="77777777" w:rsidR="0025610F" w:rsidRPr="009074B0" w:rsidRDefault="0025610F">
            <w:pPr>
              <w:jc w:val="right"/>
              <w:rPr>
                <w:rFonts w:cs="Arial"/>
                <w:color w:val="333333"/>
                <w:sz w:val="16"/>
                <w:szCs w:val="16"/>
              </w:rPr>
            </w:pPr>
            <w:r w:rsidRPr="009074B0">
              <w:rPr>
                <w:rFonts w:cs="Arial"/>
                <w:color w:val="333333"/>
                <w:sz w:val="16"/>
                <w:szCs w:val="16"/>
              </w:rPr>
              <w:t>219.756</w:t>
            </w:r>
          </w:p>
        </w:tc>
        <w:tc>
          <w:tcPr>
            <w:tcW w:w="411" w:type="pct"/>
            <w:tcBorders>
              <w:top w:val="nil"/>
              <w:left w:val="single" w:sz="4" w:space="0" w:color="auto"/>
              <w:bottom w:val="nil"/>
              <w:right w:val="single" w:sz="4" w:space="0" w:color="auto"/>
            </w:tcBorders>
            <w:noWrap/>
            <w:vAlign w:val="center"/>
            <w:hideMark/>
          </w:tcPr>
          <w:p w14:paraId="713A49A4" w14:textId="77777777" w:rsidR="0025610F" w:rsidRPr="009074B0" w:rsidRDefault="0025610F" w:rsidP="009074B0">
            <w:pPr>
              <w:ind w:left="-65" w:right="-21" w:hanging="9"/>
              <w:jc w:val="right"/>
              <w:rPr>
                <w:rFonts w:cs="Arial"/>
                <w:color w:val="333333"/>
                <w:sz w:val="16"/>
                <w:szCs w:val="16"/>
              </w:rPr>
            </w:pPr>
            <w:r w:rsidRPr="009074B0">
              <w:rPr>
                <w:rFonts w:cs="Arial"/>
                <w:color w:val="333333"/>
                <w:sz w:val="16"/>
                <w:szCs w:val="16"/>
              </w:rPr>
              <w:t>1.183.002</w:t>
            </w:r>
          </w:p>
        </w:tc>
        <w:tc>
          <w:tcPr>
            <w:tcW w:w="337" w:type="pct"/>
            <w:tcBorders>
              <w:top w:val="nil"/>
              <w:left w:val="single" w:sz="4" w:space="0" w:color="auto"/>
              <w:bottom w:val="nil"/>
              <w:right w:val="single" w:sz="4" w:space="0" w:color="auto"/>
            </w:tcBorders>
            <w:noWrap/>
            <w:vAlign w:val="center"/>
            <w:hideMark/>
          </w:tcPr>
          <w:p w14:paraId="642805E6" w14:textId="77777777" w:rsidR="0025610F" w:rsidRPr="009074B0" w:rsidRDefault="0025610F">
            <w:pPr>
              <w:jc w:val="right"/>
              <w:rPr>
                <w:rFonts w:cs="Arial"/>
                <w:color w:val="333333"/>
                <w:sz w:val="16"/>
                <w:szCs w:val="16"/>
              </w:rPr>
            </w:pPr>
            <w:r w:rsidRPr="009074B0">
              <w:rPr>
                <w:rFonts w:cs="Arial"/>
                <w:color w:val="333333"/>
                <w:sz w:val="16"/>
                <w:szCs w:val="16"/>
              </w:rPr>
              <w:t>92.176</w:t>
            </w:r>
          </w:p>
        </w:tc>
        <w:tc>
          <w:tcPr>
            <w:tcW w:w="384" w:type="pct"/>
            <w:tcBorders>
              <w:top w:val="nil"/>
              <w:left w:val="single" w:sz="4" w:space="0" w:color="auto"/>
              <w:bottom w:val="nil"/>
              <w:right w:val="single" w:sz="4" w:space="0" w:color="auto"/>
            </w:tcBorders>
            <w:noWrap/>
            <w:vAlign w:val="center"/>
            <w:hideMark/>
          </w:tcPr>
          <w:p w14:paraId="6E7722FE" w14:textId="77777777" w:rsidR="0025610F" w:rsidRPr="009074B0" w:rsidRDefault="0025610F" w:rsidP="009074B0">
            <w:pPr>
              <w:ind w:hanging="45"/>
              <w:jc w:val="right"/>
              <w:rPr>
                <w:rFonts w:cs="Arial"/>
                <w:color w:val="333333"/>
                <w:sz w:val="16"/>
                <w:szCs w:val="16"/>
              </w:rPr>
            </w:pPr>
            <w:r w:rsidRPr="009074B0">
              <w:rPr>
                <w:rFonts w:cs="Arial"/>
                <w:color w:val="333333"/>
                <w:sz w:val="16"/>
                <w:szCs w:val="16"/>
              </w:rPr>
              <w:t>548.594</w:t>
            </w:r>
          </w:p>
        </w:tc>
        <w:tc>
          <w:tcPr>
            <w:tcW w:w="382" w:type="pct"/>
            <w:tcBorders>
              <w:top w:val="nil"/>
              <w:left w:val="single" w:sz="4" w:space="0" w:color="auto"/>
              <w:bottom w:val="nil"/>
              <w:right w:val="nil"/>
            </w:tcBorders>
            <w:noWrap/>
            <w:vAlign w:val="center"/>
            <w:hideMark/>
          </w:tcPr>
          <w:p w14:paraId="6B864D54" w14:textId="77777777" w:rsidR="0025610F" w:rsidRPr="009074B0" w:rsidRDefault="0025610F" w:rsidP="00E813D5">
            <w:pPr>
              <w:ind w:left="-62"/>
              <w:jc w:val="right"/>
              <w:rPr>
                <w:rFonts w:cs="Arial"/>
                <w:color w:val="333333"/>
                <w:sz w:val="16"/>
                <w:szCs w:val="16"/>
              </w:rPr>
            </w:pPr>
            <w:r w:rsidRPr="009074B0">
              <w:rPr>
                <w:rFonts w:cs="Arial"/>
                <w:color w:val="333333"/>
                <w:sz w:val="16"/>
                <w:szCs w:val="16"/>
              </w:rPr>
              <w:t>640.770</w:t>
            </w:r>
          </w:p>
        </w:tc>
      </w:tr>
      <w:tr w:rsidR="0025610F" w:rsidRPr="009074B0" w14:paraId="319BBFD8" w14:textId="77777777" w:rsidTr="001B4487">
        <w:trPr>
          <w:trHeight w:val="227"/>
        </w:trPr>
        <w:tc>
          <w:tcPr>
            <w:tcW w:w="731" w:type="pct"/>
            <w:tcBorders>
              <w:top w:val="nil"/>
              <w:left w:val="nil"/>
              <w:bottom w:val="nil"/>
              <w:right w:val="single" w:sz="4" w:space="0" w:color="auto"/>
            </w:tcBorders>
            <w:noWrap/>
            <w:vAlign w:val="center"/>
            <w:hideMark/>
          </w:tcPr>
          <w:p w14:paraId="41071103" w14:textId="77777777" w:rsidR="0025610F" w:rsidRPr="009074B0" w:rsidRDefault="0025610F">
            <w:pPr>
              <w:rPr>
                <w:rFonts w:cs="Arial"/>
                <w:color w:val="000000"/>
                <w:sz w:val="16"/>
                <w:szCs w:val="16"/>
              </w:rPr>
            </w:pPr>
            <w:r w:rsidRPr="009074B0">
              <w:rPr>
                <w:rFonts w:cs="Arial"/>
                <w:color w:val="000000"/>
                <w:sz w:val="16"/>
                <w:szCs w:val="16"/>
              </w:rPr>
              <w:t>Poder Judiciário</w:t>
            </w:r>
          </w:p>
        </w:tc>
        <w:tc>
          <w:tcPr>
            <w:tcW w:w="463" w:type="pct"/>
            <w:tcBorders>
              <w:top w:val="nil"/>
              <w:left w:val="single" w:sz="4" w:space="0" w:color="auto"/>
              <w:bottom w:val="nil"/>
              <w:right w:val="single" w:sz="4" w:space="0" w:color="auto"/>
            </w:tcBorders>
            <w:noWrap/>
            <w:vAlign w:val="center"/>
            <w:hideMark/>
          </w:tcPr>
          <w:p w14:paraId="472474C2" w14:textId="77777777" w:rsidR="0025610F" w:rsidRPr="009074B0" w:rsidRDefault="0025610F">
            <w:pPr>
              <w:jc w:val="right"/>
              <w:rPr>
                <w:rFonts w:cs="Arial"/>
                <w:color w:val="333333"/>
                <w:sz w:val="16"/>
                <w:szCs w:val="16"/>
              </w:rPr>
            </w:pPr>
            <w:r w:rsidRPr="009074B0">
              <w:rPr>
                <w:rFonts w:cs="Arial"/>
                <w:color w:val="333333"/>
                <w:sz w:val="16"/>
                <w:szCs w:val="16"/>
              </w:rPr>
              <w:t>10.923</w:t>
            </w:r>
          </w:p>
        </w:tc>
        <w:tc>
          <w:tcPr>
            <w:tcW w:w="463" w:type="pct"/>
            <w:tcBorders>
              <w:top w:val="nil"/>
              <w:left w:val="single" w:sz="4" w:space="0" w:color="auto"/>
              <w:bottom w:val="nil"/>
              <w:right w:val="single" w:sz="4" w:space="0" w:color="auto"/>
            </w:tcBorders>
            <w:noWrap/>
            <w:vAlign w:val="center"/>
            <w:hideMark/>
          </w:tcPr>
          <w:p w14:paraId="5CA01A0E" w14:textId="77777777" w:rsidR="0025610F" w:rsidRPr="009074B0" w:rsidRDefault="0025610F">
            <w:pPr>
              <w:jc w:val="right"/>
              <w:rPr>
                <w:rFonts w:cs="Arial"/>
                <w:color w:val="333333"/>
                <w:sz w:val="16"/>
                <w:szCs w:val="16"/>
              </w:rPr>
            </w:pPr>
            <w:r w:rsidRPr="009074B0">
              <w:rPr>
                <w:rFonts w:cs="Arial"/>
                <w:color w:val="333333"/>
                <w:sz w:val="16"/>
                <w:szCs w:val="16"/>
              </w:rPr>
              <w:t>173.853</w:t>
            </w:r>
          </w:p>
        </w:tc>
        <w:tc>
          <w:tcPr>
            <w:tcW w:w="464" w:type="pct"/>
            <w:tcBorders>
              <w:top w:val="nil"/>
              <w:left w:val="single" w:sz="4" w:space="0" w:color="auto"/>
              <w:bottom w:val="nil"/>
              <w:right w:val="single" w:sz="4" w:space="0" w:color="auto"/>
            </w:tcBorders>
            <w:noWrap/>
            <w:vAlign w:val="center"/>
            <w:hideMark/>
          </w:tcPr>
          <w:p w14:paraId="0514744A" w14:textId="40D03233" w:rsidR="0025610F" w:rsidRPr="009074B0" w:rsidRDefault="0025610F">
            <w:pPr>
              <w:jc w:val="right"/>
              <w:rPr>
                <w:rFonts w:cs="Arial"/>
                <w:color w:val="333333"/>
                <w:sz w:val="16"/>
                <w:szCs w:val="16"/>
              </w:rPr>
            </w:pPr>
            <w:r w:rsidRPr="009074B0">
              <w:rPr>
                <w:rFonts w:cs="Arial"/>
                <w:color w:val="333333"/>
                <w:sz w:val="16"/>
                <w:szCs w:val="16"/>
              </w:rPr>
              <w:t xml:space="preserve"> 184.776</w:t>
            </w:r>
          </w:p>
        </w:tc>
        <w:tc>
          <w:tcPr>
            <w:tcW w:w="552" w:type="pct"/>
            <w:tcBorders>
              <w:top w:val="nil"/>
              <w:left w:val="single" w:sz="4" w:space="0" w:color="auto"/>
              <w:bottom w:val="nil"/>
              <w:right w:val="single" w:sz="4" w:space="0" w:color="auto"/>
            </w:tcBorders>
            <w:noWrap/>
            <w:vAlign w:val="center"/>
            <w:hideMark/>
          </w:tcPr>
          <w:p w14:paraId="7CBDEF41" w14:textId="77777777" w:rsidR="0025610F" w:rsidRPr="009074B0" w:rsidRDefault="0025610F">
            <w:pPr>
              <w:jc w:val="right"/>
              <w:rPr>
                <w:rFonts w:cs="Arial"/>
                <w:color w:val="333333"/>
                <w:sz w:val="16"/>
                <w:szCs w:val="16"/>
              </w:rPr>
            </w:pPr>
            <w:r w:rsidRPr="009074B0">
              <w:rPr>
                <w:rFonts w:cs="Arial"/>
                <w:color w:val="333333"/>
                <w:sz w:val="16"/>
                <w:szCs w:val="16"/>
              </w:rPr>
              <w:t>1.825</w:t>
            </w:r>
          </w:p>
        </w:tc>
        <w:tc>
          <w:tcPr>
            <w:tcW w:w="384" w:type="pct"/>
            <w:tcBorders>
              <w:top w:val="nil"/>
              <w:left w:val="single" w:sz="4" w:space="0" w:color="auto"/>
              <w:bottom w:val="nil"/>
              <w:right w:val="single" w:sz="4" w:space="0" w:color="auto"/>
            </w:tcBorders>
            <w:noWrap/>
            <w:vAlign w:val="center"/>
            <w:hideMark/>
          </w:tcPr>
          <w:p w14:paraId="1D908F8B" w14:textId="77777777" w:rsidR="0025610F" w:rsidRPr="009074B0" w:rsidRDefault="0025610F">
            <w:pPr>
              <w:jc w:val="right"/>
              <w:rPr>
                <w:rFonts w:cs="Arial"/>
                <w:color w:val="333333"/>
                <w:sz w:val="16"/>
                <w:szCs w:val="16"/>
              </w:rPr>
            </w:pPr>
            <w:r w:rsidRPr="009074B0">
              <w:rPr>
                <w:rFonts w:cs="Arial"/>
                <w:color w:val="333333"/>
                <w:sz w:val="16"/>
                <w:szCs w:val="16"/>
              </w:rPr>
              <w:t>19.551</w:t>
            </w:r>
          </w:p>
        </w:tc>
        <w:tc>
          <w:tcPr>
            <w:tcW w:w="429" w:type="pct"/>
            <w:tcBorders>
              <w:top w:val="nil"/>
              <w:left w:val="single" w:sz="4" w:space="0" w:color="auto"/>
              <w:bottom w:val="nil"/>
              <w:right w:val="single" w:sz="4" w:space="0" w:color="auto"/>
            </w:tcBorders>
            <w:noWrap/>
            <w:vAlign w:val="center"/>
            <w:hideMark/>
          </w:tcPr>
          <w:p w14:paraId="4DDF95F2" w14:textId="77777777" w:rsidR="0025610F" w:rsidRPr="009074B0" w:rsidRDefault="0025610F">
            <w:pPr>
              <w:jc w:val="right"/>
              <w:rPr>
                <w:rFonts w:cs="Arial"/>
                <w:color w:val="333333"/>
                <w:sz w:val="16"/>
                <w:szCs w:val="16"/>
              </w:rPr>
            </w:pPr>
            <w:r w:rsidRPr="009074B0">
              <w:rPr>
                <w:rFonts w:cs="Arial"/>
                <w:color w:val="333333"/>
                <w:sz w:val="16"/>
                <w:szCs w:val="16"/>
              </w:rPr>
              <w:t>21.376</w:t>
            </w:r>
          </w:p>
        </w:tc>
        <w:tc>
          <w:tcPr>
            <w:tcW w:w="411" w:type="pct"/>
            <w:tcBorders>
              <w:top w:val="nil"/>
              <w:left w:val="single" w:sz="4" w:space="0" w:color="auto"/>
              <w:bottom w:val="nil"/>
              <w:right w:val="single" w:sz="4" w:space="0" w:color="auto"/>
            </w:tcBorders>
            <w:noWrap/>
            <w:vAlign w:val="center"/>
            <w:hideMark/>
          </w:tcPr>
          <w:p w14:paraId="15884593" w14:textId="77777777" w:rsidR="0025610F" w:rsidRPr="009074B0" w:rsidRDefault="0025610F">
            <w:pPr>
              <w:jc w:val="right"/>
              <w:rPr>
                <w:rFonts w:cs="Arial"/>
                <w:color w:val="333333"/>
                <w:sz w:val="16"/>
                <w:szCs w:val="16"/>
              </w:rPr>
            </w:pPr>
            <w:r w:rsidRPr="009074B0">
              <w:rPr>
                <w:rFonts w:cs="Arial"/>
                <w:color w:val="333333"/>
                <w:sz w:val="16"/>
                <w:szCs w:val="16"/>
              </w:rPr>
              <w:t>107.473</w:t>
            </w:r>
          </w:p>
        </w:tc>
        <w:tc>
          <w:tcPr>
            <w:tcW w:w="337" w:type="pct"/>
            <w:tcBorders>
              <w:top w:val="nil"/>
              <w:left w:val="single" w:sz="4" w:space="0" w:color="auto"/>
              <w:bottom w:val="nil"/>
              <w:right w:val="single" w:sz="4" w:space="0" w:color="auto"/>
            </w:tcBorders>
            <w:noWrap/>
            <w:vAlign w:val="center"/>
            <w:hideMark/>
          </w:tcPr>
          <w:p w14:paraId="27E1D805" w14:textId="77777777" w:rsidR="0025610F" w:rsidRPr="009074B0" w:rsidRDefault="0025610F">
            <w:pPr>
              <w:jc w:val="right"/>
              <w:rPr>
                <w:rFonts w:cs="Arial"/>
                <w:color w:val="333333"/>
                <w:sz w:val="16"/>
                <w:szCs w:val="16"/>
              </w:rPr>
            </w:pPr>
            <w:r w:rsidRPr="009074B0">
              <w:rPr>
                <w:rFonts w:cs="Arial"/>
                <w:color w:val="333333"/>
                <w:sz w:val="16"/>
                <w:szCs w:val="16"/>
              </w:rPr>
              <w:t>-</w:t>
            </w:r>
          </w:p>
        </w:tc>
        <w:tc>
          <w:tcPr>
            <w:tcW w:w="384" w:type="pct"/>
            <w:tcBorders>
              <w:top w:val="nil"/>
              <w:left w:val="single" w:sz="4" w:space="0" w:color="auto"/>
              <w:bottom w:val="nil"/>
              <w:right w:val="single" w:sz="4" w:space="0" w:color="auto"/>
            </w:tcBorders>
            <w:noWrap/>
            <w:vAlign w:val="center"/>
            <w:hideMark/>
          </w:tcPr>
          <w:p w14:paraId="1E28F376" w14:textId="77777777" w:rsidR="0025610F" w:rsidRPr="009074B0" w:rsidRDefault="0025610F">
            <w:pPr>
              <w:jc w:val="right"/>
              <w:rPr>
                <w:rFonts w:cs="Arial"/>
                <w:color w:val="333333"/>
                <w:sz w:val="16"/>
                <w:szCs w:val="16"/>
              </w:rPr>
            </w:pPr>
            <w:r w:rsidRPr="009074B0">
              <w:rPr>
                <w:rFonts w:cs="Arial"/>
                <w:color w:val="333333"/>
                <w:sz w:val="16"/>
                <w:szCs w:val="16"/>
              </w:rPr>
              <w:t>55.927</w:t>
            </w:r>
          </w:p>
        </w:tc>
        <w:tc>
          <w:tcPr>
            <w:tcW w:w="382" w:type="pct"/>
            <w:tcBorders>
              <w:top w:val="nil"/>
              <w:left w:val="single" w:sz="4" w:space="0" w:color="auto"/>
              <w:bottom w:val="nil"/>
              <w:right w:val="nil"/>
            </w:tcBorders>
            <w:noWrap/>
            <w:vAlign w:val="center"/>
            <w:hideMark/>
          </w:tcPr>
          <w:p w14:paraId="2410BFD3" w14:textId="77777777" w:rsidR="0025610F" w:rsidRPr="009074B0" w:rsidRDefault="0025610F">
            <w:pPr>
              <w:jc w:val="right"/>
              <w:rPr>
                <w:rFonts w:cs="Arial"/>
                <w:color w:val="333333"/>
                <w:sz w:val="16"/>
                <w:szCs w:val="16"/>
              </w:rPr>
            </w:pPr>
            <w:r w:rsidRPr="009074B0">
              <w:rPr>
                <w:rFonts w:cs="Arial"/>
                <w:color w:val="333333"/>
                <w:sz w:val="16"/>
                <w:szCs w:val="16"/>
              </w:rPr>
              <w:t>55.927</w:t>
            </w:r>
          </w:p>
        </w:tc>
      </w:tr>
      <w:tr w:rsidR="0025610F" w:rsidRPr="009074B0" w14:paraId="26A0F210" w14:textId="77777777" w:rsidTr="001B4487">
        <w:trPr>
          <w:trHeight w:val="227"/>
        </w:trPr>
        <w:tc>
          <w:tcPr>
            <w:tcW w:w="731" w:type="pct"/>
            <w:tcBorders>
              <w:top w:val="nil"/>
              <w:left w:val="nil"/>
              <w:bottom w:val="nil"/>
              <w:right w:val="single" w:sz="4" w:space="0" w:color="auto"/>
            </w:tcBorders>
            <w:noWrap/>
            <w:vAlign w:val="center"/>
            <w:hideMark/>
          </w:tcPr>
          <w:p w14:paraId="3F1B922B" w14:textId="77777777" w:rsidR="0025610F" w:rsidRPr="009074B0" w:rsidRDefault="0025610F">
            <w:pPr>
              <w:rPr>
                <w:rFonts w:cs="Arial"/>
                <w:color w:val="000000"/>
                <w:sz w:val="16"/>
                <w:szCs w:val="16"/>
              </w:rPr>
            </w:pPr>
            <w:r w:rsidRPr="009074B0">
              <w:rPr>
                <w:rFonts w:cs="Arial"/>
                <w:color w:val="000000"/>
                <w:sz w:val="16"/>
                <w:szCs w:val="16"/>
              </w:rPr>
              <w:t>Poder Legislativo</w:t>
            </w:r>
          </w:p>
        </w:tc>
        <w:tc>
          <w:tcPr>
            <w:tcW w:w="463" w:type="pct"/>
            <w:tcBorders>
              <w:top w:val="nil"/>
              <w:left w:val="single" w:sz="4" w:space="0" w:color="auto"/>
              <w:bottom w:val="nil"/>
              <w:right w:val="single" w:sz="4" w:space="0" w:color="auto"/>
            </w:tcBorders>
            <w:noWrap/>
            <w:vAlign w:val="center"/>
            <w:hideMark/>
          </w:tcPr>
          <w:p w14:paraId="1FC34727" w14:textId="77777777" w:rsidR="0025610F" w:rsidRPr="009074B0" w:rsidRDefault="0025610F">
            <w:pPr>
              <w:jc w:val="right"/>
              <w:rPr>
                <w:rFonts w:cs="Arial"/>
                <w:color w:val="333333"/>
                <w:sz w:val="16"/>
                <w:szCs w:val="16"/>
              </w:rPr>
            </w:pPr>
            <w:r w:rsidRPr="009074B0">
              <w:rPr>
                <w:rFonts w:cs="Arial"/>
                <w:color w:val="333333"/>
                <w:sz w:val="16"/>
                <w:szCs w:val="16"/>
              </w:rPr>
              <w:t>1.116</w:t>
            </w:r>
          </w:p>
        </w:tc>
        <w:tc>
          <w:tcPr>
            <w:tcW w:w="463" w:type="pct"/>
            <w:tcBorders>
              <w:top w:val="nil"/>
              <w:left w:val="single" w:sz="4" w:space="0" w:color="auto"/>
              <w:bottom w:val="nil"/>
              <w:right w:val="single" w:sz="4" w:space="0" w:color="auto"/>
            </w:tcBorders>
            <w:noWrap/>
            <w:vAlign w:val="center"/>
            <w:hideMark/>
          </w:tcPr>
          <w:p w14:paraId="218D5A3E" w14:textId="77777777" w:rsidR="0025610F" w:rsidRPr="009074B0" w:rsidRDefault="0025610F">
            <w:pPr>
              <w:jc w:val="right"/>
              <w:rPr>
                <w:rFonts w:cs="Arial"/>
                <w:color w:val="333333"/>
                <w:sz w:val="16"/>
                <w:szCs w:val="16"/>
              </w:rPr>
            </w:pPr>
            <w:r w:rsidRPr="009074B0">
              <w:rPr>
                <w:rFonts w:cs="Arial"/>
                <w:color w:val="333333"/>
                <w:sz w:val="16"/>
                <w:szCs w:val="16"/>
              </w:rPr>
              <w:t>31.981</w:t>
            </w:r>
          </w:p>
        </w:tc>
        <w:tc>
          <w:tcPr>
            <w:tcW w:w="464" w:type="pct"/>
            <w:tcBorders>
              <w:top w:val="nil"/>
              <w:left w:val="single" w:sz="4" w:space="0" w:color="auto"/>
              <w:bottom w:val="nil"/>
              <w:right w:val="single" w:sz="4" w:space="0" w:color="auto"/>
            </w:tcBorders>
            <w:noWrap/>
            <w:vAlign w:val="center"/>
            <w:hideMark/>
          </w:tcPr>
          <w:p w14:paraId="46CBC368" w14:textId="77777777" w:rsidR="0025610F" w:rsidRPr="009074B0" w:rsidRDefault="0025610F">
            <w:pPr>
              <w:jc w:val="right"/>
              <w:rPr>
                <w:rFonts w:cs="Arial"/>
                <w:color w:val="333333"/>
                <w:sz w:val="16"/>
                <w:szCs w:val="16"/>
              </w:rPr>
            </w:pPr>
            <w:r w:rsidRPr="009074B0">
              <w:rPr>
                <w:rFonts w:cs="Arial"/>
                <w:color w:val="333333"/>
                <w:sz w:val="16"/>
                <w:szCs w:val="16"/>
              </w:rPr>
              <w:t>33.097</w:t>
            </w:r>
          </w:p>
        </w:tc>
        <w:tc>
          <w:tcPr>
            <w:tcW w:w="552" w:type="pct"/>
            <w:tcBorders>
              <w:top w:val="nil"/>
              <w:left w:val="single" w:sz="4" w:space="0" w:color="auto"/>
              <w:bottom w:val="nil"/>
              <w:right w:val="single" w:sz="4" w:space="0" w:color="auto"/>
            </w:tcBorders>
            <w:noWrap/>
            <w:vAlign w:val="center"/>
            <w:hideMark/>
          </w:tcPr>
          <w:p w14:paraId="1214402E" w14:textId="77777777" w:rsidR="0025610F" w:rsidRPr="009074B0" w:rsidRDefault="0025610F">
            <w:pPr>
              <w:jc w:val="right"/>
              <w:rPr>
                <w:rFonts w:cs="Arial"/>
                <w:color w:val="333333"/>
                <w:sz w:val="16"/>
                <w:szCs w:val="16"/>
              </w:rPr>
            </w:pPr>
            <w:r w:rsidRPr="009074B0">
              <w:rPr>
                <w:rFonts w:cs="Arial"/>
                <w:color w:val="333333"/>
                <w:sz w:val="16"/>
                <w:szCs w:val="16"/>
              </w:rPr>
              <w:t>16</w:t>
            </w:r>
          </w:p>
        </w:tc>
        <w:tc>
          <w:tcPr>
            <w:tcW w:w="384" w:type="pct"/>
            <w:tcBorders>
              <w:top w:val="nil"/>
              <w:left w:val="single" w:sz="4" w:space="0" w:color="auto"/>
              <w:bottom w:val="nil"/>
              <w:right w:val="single" w:sz="4" w:space="0" w:color="auto"/>
            </w:tcBorders>
            <w:noWrap/>
            <w:vAlign w:val="center"/>
            <w:hideMark/>
          </w:tcPr>
          <w:p w14:paraId="2DEEDE8F" w14:textId="77777777" w:rsidR="0025610F" w:rsidRPr="009074B0" w:rsidRDefault="0025610F">
            <w:pPr>
              <w:jc w:val="right"/>
              <w:rPr>
                <w:rFonts w:cs="Arial"/>
                <w:color w:val="333333"/>
                <w:sz w:val="16"/>
                <w:szCs w:val="16"/>
              </w:rPr>
            </w:pPr>
            <w:r w:rsidRPr="009074B0">
              <w:rPr>
                <w:rFonts w:cs="Arial"/>
                <w:color w:val="333333"/>
                <w:sz w:val="16"/>
                <w:szCs w:val="16"/>
              </w:rPr>
              <w:t>13.614</w:t>
            </w:r>
          </w:p>
        </w:tc>
        <w:tc>
          <w:tcPr>
            <w:tcW w:w="429" w:type="pct"/>
            <w:tcBorders>
              <w:top w:val="nil"/>
              <w:left w:val="single" w:sz="4" w:space="0" w:color="auto"/>
              <w:bottom w:val="nil"/>
              <w:right w:val="single" w:sz="4" w:space="0" w:color="auto"/>
            </w:tcBorders>
            <w:noWrap/>
            <w:vAlign w:val="center"/>
            <w:hideMark/>
          </w:tcPr>
          <w:p w14:paraId="3FDCD01E" w14:textId="77777777" w:rsidR="0025610F" w:rsidRPr="009074B0" w:rsidRDefault="0025610F">
            <w:pPr>
              <w:jc w:val="right"/>
              <w:rPr>
                <w:rFonts w:cs="Arial"/>
                <w:color w:val="333333"/>
                <w:sz w:val="16"/>
                <w:szCs w:val="16"/>
              </w:rPr>
            </w:pPr>
            <w:r w:rsidRPr="009074B0">
              <w:rPr>
                <w:rFonts w:cs="Arial"/>
                <w:color w:val="333333"/>
                <w:sz w:val="16"/>
                <w:szCs w:val="16"/>
              </w:rPr>
              <w:t>13.630</w:t>
            </w:r>
          </w:p>
        </w:tc>
        <w:tc>
          <w:tcPr>
            <w:tcW w:w="411" w:type="pct"/>
            <w:tcBorders>
              <w:top w:val="nil"/>
              <w:left w:val="single" w:sz="4" w:space="0" w:color="auto"/>
              <w:bottom w:val="nil"/>
              <w:right w:val="single" w:sz="4" w:space="0" w:color="auto"/>
            </w:tcBorders>
            <w:noWrap/>
            <w:vAlign w:val="center"/>
            <w:hideMark/>
          </w:tcPr>
          <w:p w14:paraId="1528E345" w14:textId="77777777" w:rsidR="0025610F" w:rsidRPr="009074B0" w:rsidRDefault="0025610F">
            <w:pPr>
              <w:jc w:val="right"/>
              <w:rPr>
                <w:rFonts w:cs="Arial"/>
                <w:color w:val="333333"/>
                <w:sz w:val="16"/>
                <w:szCs w:val="16"/>
              </w:rPr>
            </w:pPr>
            <w:r w:rsidRPr="009074B0">
              <w:rPr>
                <w:rFonts w:cs="Arial"/>
                <w:color w:val="333333"/>
                <w:sz w:val="16"/>
                <w:szCs w:val="16"/>
              </w:rPr>
              <w:t>13.945</w:t>
            </w:r>
          </w:p>
        </w:tc>
        <w:tc>
          <w:tcPr>
            <w:tcW w:w="337" w:type="pct"/>
            <w:tcBorders>
              <w:top w:val="nil"/>
              <w:left w:val="single" w:sz="4" w:space="0" w:color="auto"/>
              <w:bottom w:val="nil"/>
              <w:right w:val="single" w:sz="4" w:space="0" w:color="auto"/>
            </w:tcBorders>
            <w:noWrap/>
            <w:vAlign w:val="center"/>
            <w:hideMark/>
          </w:tcPr>
          <w:p w14:paraId="5CA395C5" w14:textId="77777777" w:rsidR="0025610F" w:rsidRPr="009074B0" w:rsidRDefault="0025610F">
            <w:pPr>
              <w:jc w:val="right"/>
              <w:rPr>
                <w:rFonts w:cs="Arial"/>
                <w:color w:val="333333"/>
                <w:sz w:val="16"/>
                <w:szCs w:val="16"/>
              </w:rPr>
            </w:pPr>
            <w:r w:rsidRPr="009074B0">
              <w:rPr>
                <w:rFonts w:cs="Arial"/>
                <w:color w:val="333333"/>
                <w:sz w:val="16"/>
                <w:szCs w:val="16"/>
              </w:rPr>
              <w:t>208</w:t>
            </w:r>
          </w:p>
        </w:tc>
        <w:tc>
          <w:tcPr>
            <w:tcW w:w="384" w:type="pct"/>
            <w:tcBorders>
              <w:top w:val="nil"/>
              <w:left w:val="single" w:sz="4" w:space="0" w:color="auto"/>
              <w:bottom w:val="nil"/>
              <w:right w:val="single" w:sz="4" w:space="0" w:color="auto"/>
            </w:tcBorders>
            <w:noWrap/>
            <w:vAlign w:val="center"/>
            <w:hideMark/>
          </w:tcPr>
          <w:p w14:paraId="0AB5A041" w14:textId="77777777" w:rsidR="0025610F" w:rsidRPr="009074B0" w:rsidRDefault="0025610F">
            <w:pPr>
              <w:jc w:val="right"/>
              <w:rPr>
                <w:rFonts w:cs="Arial"/>
                <w:color w:val="333333"/>
                <w:sz w:val="16"/>
                <w:szCs w:val="16"/>
              </w:rPr>
            </w:pPr>
            <w:r w:rsidRPr="009074B0">
              <w:rPr>
                <w:rFonts w:cs="Arial"/>
                <w:color w:val="333333"/>
                <w:sz w:val="16"/>
                <w:szCs w:val="16"/>
              </w:rPr>
              <w:t>5.315</w:t>
            </w:r>
          </w:p>
        </w:tc>
        <w:tc>
          <w:tcPr>
            <w:tcW w:w="382" w:type="pct"/>
            <w:tcBorders>
              <w:top w:val="nil"/>
              <w:left w:val="single" w:sz="4" w:space="0" w:color="auto"/>
              <w:bottom w:val="nil"/>
              <w:right w:val="nil"/>
            </w:tcBorders>
            <w:noWrap/>
            <w:vAlign w:val="center"/>
            <w:hideMark/>
          </w:tcPr>
          <w:p w14:paraId="74D1907D" w14:textId="77777777" w:rsidR="0025610F" w:rsidRPr="009074B0" w:rsidRDefault="0025610F">
            <w:pPr>
              <w:jc w:val="right"/>
              <w:rPr>
                <w:rFonts w:cs="Arial"/>
                <w:color w:val="333333"/>
                <w:sz w:val="16"/>
                <w:szCs w:val="16"/>
              </w:rPr>
            </w:pPr>
            <w:r w:rsidRPr="009074B0">
              <w:rPr>
                <w:rFonts w:cs="Arial"/>
                <w:color w:val="333333"/>
                <w:sz w:val="16"/>
                <w:szCs w:val="16"/>
              </w:rPr>
              <w:t>5.523</w:t>
            </w:r>
          </w:p>
        </w:tc>
      </w:tr>
      <w:tr w:rsidR="0025610F" w:rsidRPr="009074B0" w14:paraId="5AF3A960" w14:textId="77777777" w:rsidTr="001B4487">
        <w:trPr>
          <w:trHeight w:val="227"/>
        </w:trPr>
        <w:tc>
          <w:tcPr>
            <w:tcW w:w="731" w:type="pct"/>
            <w:tcBorders>
              <w:top w:val="nil"/>
              <w:left w:val="nil"/>
              <w:bottom w:val="nil"/>
              <w:right w:val="single" w:sz="4" w:space="0" w:color="auto"/>
            </w:tcBorders>
            <w:noWrap/>
            <w:vAlign w:val="center"/>
            <w:hideMark/>
          </w:tcPr>
          <w:p w14:paraId="077323F6" w14:textId="77777777" w:rsidR="0025610F" w:rsidRPr="009074B0" w:rsidRDefault="0025610F">
            <w:pPr>
              <w:rPr>
                <w:rFonts w:cs="Arial"/>
                <w:color w:val="000000"/>
                <w:sz w:val="16"/>
                <w:szCs w:val="16"/>
              </w:rPr>
            </w:pPr>
            <w:r w:rsidRPr="009074B0">
              <w:rPr>
                <w:rFonts w:cs="Arial"/>
                <w:color w:val="000000"/>
                <w:sz w:val="16"/>
                <w:szCs w:val="16"/>
              </w:rPr>
              <w:t>MP</w:t>
            </w:r>
          </w:p>
        </w:tc>
        <w:tc>
          <w:tcPr>
            <w:tcW w:w="463" w:type="pct"/>
            <w:tcBorders>
              <w:top w:val="nil"/>
              <w:left w:val="single" w:sz="4" w:space="0" w:color="auto"/>
              <w:bottom w:val="nil"/>
              <w:right w:val="single" w:sz="4" w:space="0" w:color="auto"/>
            </w:tcBorders>
            <w:noWrap/>
            <w:vAlign w:val="center"/>
            <w:hideMark/>
          </w:tcPr>
          <w:p w14:paraId="6737472B" w14:textId="77777777" w:rsidR="0025610F" w:rsidRPr="009074B0" w:rsidRDefault="0025610F">
            <w:pPr>
              <w:jc w:val="right"/>
              <w:rPr>
                <w:rFonts w:cs="Arial"/>
                <w:color w:val="333333"/>
                <w:sz w:val="16"/>
                <w:szCs w:val="16"/>
              </w:rPr>
            </w:pPr>
            <w:r w:rsidRPr="009074B0">
              <w:rPr>
                <w:rFonts w:cs="Arial"/>
                <w:color w:val="333333"/>
                <w:sz w:val="16"/>
                <w:szCs w:val="16"/>
              </w:rPr>
              <w:t>347</w:t>
            </w:r>
          </w:p>
        </w:tc>
        <w:tc>
          <w:tcPr>
            <w:tcW w:w="463" w:type="pct"/>
            <w:tcBorders>
              <w:top w:val="nil"/>
              <w:left w:val="single" w:sz="4" w:space="0" w:color="auto"/>
              <w:bottom w:val="nil"/>
              <w:right w:val="single" w:sz="4" w:space="0" w:color="auto"/>
            </w:tcBorders>
            <w:noWrap/>
            <w:vAlign w:val="center"/>
            <w:hideMark/>
          </w:tcPr>
          <w:p w14:paraId="4EB21C4E" w14:textId="77777777" w:rsidR="0025610F" w:rsidRPr="009074B0" w:rsidRDefault="0025610F">
            <w:pPr>
              <w:jc w:val="right"/>
              <w:rPr>
                <w:rFonts w:cs="Arial"/>
                <w:color w:val="333333"/>
                <w:sz w:val="16"/>
                <w:szCs w:val="16"/>
              </w:rPr>
            </w:pPr>
            <w:r w:rsidRPr="009074B0">
              <w:rPr>
                <w:rFonts w:cs="Arial"/>
                <w:color w:val="333333"/>
                <w:sz w:val="16"/>
                <w:szCs w:val="16"/>
              </w:rPr>
              <w:t>50.392</w:t>
            </w:r>
          </w:p>
        </w:tc>
        <w:tc>
          <w:tcPr>
            <w:tcW w:w="464" w:type="pct"/>
            <w:tcBorders>
              <w:top w:val="nil"/>
              <w:left w:val="single" w:sz="4" w:space="0" w:color="auto"/>
              <w:bottom w:val="nil"/>
              <w:right w:val="single" w:sz="4" w:space="0" w:color="auto"/>
            </w:tcBorders>
            <w:noWrap/>
            <w:vAlign w:val="center"/>
            <w:hideMark/>
          </w:tcPr>
          <w:p w14:paraId="21F4B474" w14:textId="77777777" w:rsidR="0025610F" w:rsidRPr="009074B0" w:rsidRDefault="0025610F">
            <w:pPr>
              <w:jc w:val="right"/>
              <w:rPr>
                <w:rFonts w:cs="Arial"/>
                <w:color w:val="333333"/>
                <w:sz w:val="16"/>
                <w:szCs w:val="16"/>
              </w:rPr>
            </w:pPr>
            <w:r w:rsidRPr="009074B0">
              <w:rPr>
                <w:rFonts w:cs="Arial"/>
                <w:color w:val="333333"/>
                <w:sz w:val="16"/>
                <w:szCs w:val="16"/>
              </w:rPr>
              <w:t>50.739</w:t>
            </w:r>
          </w:p>
        </w:tc>
        <w:tc>
          <w:tcPr>
            <w:tcW w:w="552" w:type="pct"/>
            <w:tcBorders>
              <w:top w:val="nil"/>
              <w:left w:val="single" w:sz="4" w:space="0" w:color="auto"/>
              <w:bottom w:val="nil"/>
              <w:right w:val="single" w:sz="4" w:space="0" w:color="auto"/>
            </w:tcBorders>
            <w:noWrap/>
            <w:vAlign w:val="center"/>
            <w:hideMark/>
          </w:tcPr>
          <w:p w14:paraId="43BB90FE" w14:textId="77777777" w:rsidR="0025610F" w:rsidRPr="009074B0" w:rsidRDefault="0025610F">
            <w:pPr>
              <w:jc w:val="right"/>
              <w:rPr>
                <w:rFonts w:cs="Arial"/>
                <w:color w:val="333333"/>
                <w:sz w:val="16"/>
                <w:szCs w:val="16"/>
              </w:rPr>
            </w:pPr>
            <w:r w:rsidRPr="009074B0">
              <w:rPr>
                <w:rFonts w:cs="Arial"/>
                <w:color w:val="333333"/>
                <w:sz w:val="16"/>
                <w:szCs w:val="16"/>
              </w:rPr>
              <w:t>73</w:t>
            </w:r>
          </w:p>
        </w:tc>
        <w:tc>
          <w:tcPr>
            <w:tcW w:w="384" w:type="pct"/>
            <w:tcBorders>
              <w:top w:val="nil"/>
              <w:left w:val="single" w:sz="4" w:space="0" w:color="auto"/>
              <w:bottom w:val="nil"/>
              <w:right w:val="single" w:sz="4" w:space="0" w:color="auto"/>
            </w:tcBorders>
            <w:noWrap/>
            <w:vAlign w:val="center"/>
            <w:hideMark/>
          </w:tcPr>
          <w:p w14:paraId="0DB64BB9" w14:textId="77777777" w:rsidR="0025610F" w:rsidRPr="009074B0" w:rsidRDefault="0025610F">
            <w:pPr>
              <w:jc w:val="right"/>
              <w:rPr>
                <w:rFonts w:cs="Arial"/>
                <w:color w:val="333333"/>
                <w:sz w:val="16"/>
                <w:szCs w:val="16"/>
              </w:rPr>
            </w:pPr>
            <w:r w:rsidRPr="009074B0">
              <w:rPr>
                <w:rFonts w:cs="Arial"/>
                <w:color w:val="333333"/>
                <w:sz w:val="16"/>
                <w:szCs w:val="16"/>
              </w:rPr>
              <w:t>10.019</w:t>
            </w:r>
          </w:p>
        </w:tc>
        <w:tc>
          <w:tcPr>
            <w:tcW w:w="429" w:type="pct"/>
            <w:tcBorders>
              <w:top w:val="nil"/>
              <w:left w:val="single" w:sz="4" w:space="0" w:color="auto"/>
              <w:bottom w:val="nil"/>
              <w:right w:val="single" w:sz="4" w:space="0" w:color="auto"/>
            </w:tcBorders>
            <w:noWrap/>
            <w:vAlign w:val="center"/>
            <w:hideMark/>
          </w:tcPr>
          <w:p w14:paraId="2583BDD1" w14:textId="77777777" w:rsidR="0025610F" w:rsidRPr="009074B0" w:rsidRDefault="0025610F">
            <w:pPr>
              <w:jc w:val="right"/>
              <w:rPr>
                <w:rFonts w:cs="Arial"/>
                <w:color w:val="333333"/>
                <w:sz w:val="16"/>
                <w:szCs w:val="16"/>
              </w:rPr>
            </w:pPr>
            <w:r w:rsidRPr="009074B0">
              <w:rPr>
                <w:rFonts w:cs="Arial"/>
                <w:color w:val="333333"/>
                <w:sz w:val="16"/>
                <w:szCs w:val="16"/>
              </w:rPr>
              <w:t>10.092</w:t>
            </w:r>
          </w:p>
        </w:tc>
        <w:tc>
          <w:tcPr>
            <w:tcW w:w="411" w:type="pct"/>
            <w:tcBorders>
              <w:top w:val="nil"/>
              <w:left w:val="single" w:sz="4" w:space="0" w:color="auto"/>
              <w:bottom w:val="nil"/>
              <w:right w:val="single" w:sz="4" w:space="0" w:color="auto"/>
            </w:tcBorders>
            <w:noWrap/>
            <w:vAlign w:val="center"/>
            <w:hideMark/>
          </w:tcPr>
          <w:p w14:paraId="4A15CAF3" w14:textId="77777777" w:rsidR="0025610F" w:rsidRPr="009074B0" w:rsidRDefault="0025610F">
            <w:pPr>
              <w:jc w:val="right"/>
              <w:rPr>
                <w:rFonts w:cs="Arial"/>
                <w:color w:val="333333"/>
                <w:sz w:val="16"/>
                <w:szCs w:val="16"/>
              </w:rPr>
            </w:pPr>
            <w:r w:rsidRPr="009074B0">
              <w:rPr>
                <w:rFonts w:cs="Arial"/>
                <w:color w:val="333333"/>
                <w:sz w:val="16"/>
                <w:szCs w:val="16"/>
              </w:rPr>
              <w:t>29.264</w:t>
            </w:r>
          </w:p>
        </w:tc>
        <w:tc>
          <w:tcPr>
            <w:tcW w:w="337" w:type="pct"/>
            <w:tcBorders>
              <w:top w:val="nil"/>
              <w:left w:val="single" w:sz="4" w:space="0" w:color="auto"/>
              <w:bottom w:val="nil"/>
              <w:right w:val="single" w:sz="4" w:space="0" w:color="auto"/>
            </w:tcBorders>
            <w:noWrap/>
            <w:vAlign w:val="center"/>
            <w:hideMark/>
          </w:tcPr>
          <w:p w14:paraId="4117A5D1" w14:textId="77777777" w:rsidR="0025610F" w:rsidRPr="009074B0" w:rsidRDefault="0025610F">
            <w:pPr>
              <w:jc w:val="right"/>
              <w:rPr>
                <w:rFonts w:cs="Arial"/>
                <w:color w:val="333333"/>
                <w:sz w:val="16"/>
                <w:szCs w:val="16"/>
              </w:rPr>
            </w:pPr>
            <w:r w:rsidRPr="009074B0">
              <w:rPr>
                <w:rFonts w:cs="Arial"/>
                <w:color w:val="333333"/>
                <w:sz w:val="16"/>
                <w:szCs w:val="16"/>
              </w:rPr>
              <w:t>2</w:t>
            </w:r>
          </w:p>
        </w:tc>
        <w:tc>
          <w:tcPr>
            <w:tcW w:w="384" w:type="pct"/>
            <w:tcBorders>
              <w:top w:val="nil"/>
              <w:left w:val="single" w:sz="4" w:space="0" w:color="auto"/>
              <w:bottom w:val="nil"/>
              <w:right w:val="single" w:sz="4" w:space="0" w:color="auto"/>
            </w:tcBorders>
            <w:noWrap/>
            <w:vAlign w:val="center"/>
            <w:hideMark/>
          </w:tcPr>
          <w:p w14:paraId="43411F16" w14:textId="77777777" w:rsidR="0025610F" w:rsidRPr="009074B0" w:rsidRDefault="0025610F">
            <w:pPr>
              <w:jc w:val="right"/>
              <w:rPr>
                <w:rFonts w:cs="Arial"/>
                <w:color w:val="333333"/>
                <w:sz w:val="16"/>
                <w:szCs w:val="16"/>
              </w:rPr>
            </w:pPr>
            <w:r w:rsidRPr="009074B0">
              <w:rPr>
                <w:rFonts w:cs="Arial"/>
                <w:color w:val="333333"/>
                <w:sz w:val="16"/>
                <w:szCs w:val="16"/>
              </w:rPr>
              <w:t>11.381</w:t>
            </w:r>
          </w:p>
        </w:tc>
        <w:tc>
          <w:tcPr>
            <w:tcW w:w="382" w:type="pct"/>
            <w:tcBorders>
              <w:top w:val="nil"/>
              <w:left w:val="single" w:sz="4" w:space="0" w:color="auto"/>
              <w:bottom w:val="nil"/>
              <w:right w:val="nil"/>
            </w:tcBorders>
            <w:noWrap/>
            <w:vAlign w:val="center"/>
            <w:hideMark/>
          </w:tcPr>
          <w:p w14:paraId="345278DE" w14:textId="77777777" w:rsidR="0025610F" w:rsidRPr="009074B0" w:rsidRDefault="0025610F">
            <w:pPr>
              <w:jc w:val="right"/>
              <w:rPr>
                <w:rFonts w:cs="Arial"/>
                <w:color w:val="333333"/>
                <w:sz w:val="16"/>
                <w:szCs w:val="16"/>
              </w:rPr>
            </w:pPr>
            <w:r w:rsidRPr="009074B0">
              <w:rPr>
                <w:rFonts w:cs="Arial"/>
                <w:color w:val="333333"/>
                <w:sz w:val="16"/>
                <w:szCs w:val="16"/>
              </w:rPr>
              <w:t>11.383</w:t>
            </w:r>
          </w:p>
        </w:tc>
      </w:tr>
      <w:tr w:rsidR="0025610F" w:rsidRPr="009074B0" w14:paraId="25DE57CD" w14:textId="77777777" w:rsidTr="001B4487">
        <w:trPr>
          <w:trHeight w:val="227"/>
        </w:trPr>
        <w:tc>
          <w:tcPr>
            <w:tcW w:w="731" w:type="pct"/>
            <w:tcBorders>
              <w:top w:val="nil"/>
              <w:left w:val="nil"/>
              <w:bottom w:val="nil"/>
              <w:right w:val="single" w:sz="4" w:space="0" w:color="auto"/>
            </w:tcBorders>
            <w:noWrap/>
            <w:vAlign w:val="center"/>
            <w:hideMark/>
          </w:tcPr>
          <w:p w14:paraId="50B5A1B7" w14:textId="77777777" w:rsidR="0025610F" w:rsidRPr="009074B0" w:rsidRDefault="0025610F">
            <w:pPr>
              <w:rPr>
                <w:rFonts w:cs="Arial"/>
                <w:color w:val="000000"/>
                <w:sz w:val="16"/>
                <w:szCs w:val="16"/>
              </w:rPr>
            </w:pPr>
            <w:r w:rsidRPr="009074B0">
              <w:rPr>
                <w:rFonts w:cs="Arial"/>
                <w:color w:val="000000"/>
                <w:sz w:val="16"/>
                <w:szCs w:val="16"/>
              </w:rPr>
              <w:t>TCE</w:t>
            </w:r>
          </w:p>
        </w:tc>
        <w:tc>
          <w:tcPr>
            <w:tcW w:w="463" w:type="pct"/>
            <w:tcBorders>
              <w:top w:val="nil"/>
              <w:left w:val="single" w:sz="4" w:space="0" w:color="auto"/>
              <w:bottom w:val="nil"/>
              <w:right w:val="single" w:sz="4" w:space="0" w:color="auto"/>
            </w:tcBorders>
            <w:noWrap/>
            <w:vAlign w:val="center"/>
            <w:hideMark/>
          </w:tcPr>
          <w:p w14:paraId="6309BB27" w14:textId="77777777" w:rsidR="0025610F" w:rsidRPr="009074B0" w:rsidRDefault="0025610F">
            <w:pPr>
              <w:jc w:val="right"/>
              <w:rPr>
                <w:rFonts w:cs="Arial"/>
                <w:color w:val="333333"/>
                <w:sz w:val="16"/>
                <w:szCs w:val="16"/>
              </w:rPr>
            </w:pPr>
            <w:r w:rsidRPr="009074B0">
              <w:rPr>
                <w:rFonts w:cs="Arial"/>
                <w:color w:val="333333"/>
                <w:sz w:val="16"/>
                <w:szCs w:val="16"/>
              </w:rPr>
              <w:t>280</w:t>
            </w:r>
          </w:p>
        </w:tc>
        <w:tc>
          <w:tcPr>
            <w:tcW w:w="463" w:type="pct"/>
            <w:tcBorders>
              <w:top w:val="nil"/>
              <w:left w:val="single" w:sz="4" w:space="0" w:color="auto"/>
              <w:bottom w:val="nil"/>
              <w:right w:val="single" w:sz="4" w:space="0" w:color="auto"/>
            </w:tcBorders>
            <w:noWrap/>
            <w:vAlign w:val="center"/>
            <w:hideMark/>
          </w:tcPr>
          <w:p w14:paraId="075DA090" w14:textId="77777777" w:rsidR="0025610F" w:rsidRPr="009074B0" w:rsidRDefault="0025610F">
            <w:pPr>
              <w:jc w:val="right"/>
              <w:rPr>
                <w:rFonts w:cs="Arial"/>
                <w:color w:val="333333"/>
                <w:sz w:val="16"/>
                <w:szCs w:val="16"/>
              </w:rPr>
            </w:pPr>
            <w:r w:rsidRPr="009074B0">
              <w:rPr>
                <w:rFonts w:cs="Arial"/>
                <w:color w:val="333333"/>
                <w:sz w:val="16"/>
                <w:szCs w:val="16"/>
              </w:rPr>
              <w:t>2.193</w:t>
            </w:r>
          </w:p>
        </w:tc>
        <w:tc>
          <w:tcPr>
            <w:tcW w:w="464" w:type="pct"/>
            <w:tcBorders>
              <w:top w:val="nil"/>
              <w:left w:val="single" w:sz="4" w:space="0" w:color="auto"/>
              <w:bottom w:val="nil"/>
              <w:right w:val="single" w:sz="4" w:space="0" w:color="auto"/>
            </w:tcBorders>
            <w:noWrap/>
            <w:vAlign w:val="center"/>
            <w:hideMark/>
          </w:tcPr>
          <w:p w14:paraId="2DE55C2D" w14:textId="77777777" w:rsidR="0025610F" w:rsidRPr="009074B0" w:rsidRDefault="0025610F">
            <w:pPr>
              <w:jc w:val="right"/>
              <w:rPr>
                <w:rFonts w:cs="Arial"/>
                <w:color w:val="333333"/>
                <w:sz w:val="16"/>
                <w:szCs w:val="16"/>
              </w:rPr>
            </w:pPr>
            <w:r w:rsidRPr="009074B0">
              <w:rPr>
                <w:rFonts w:cs="Arial"/>
                <w:color w:val="333333"/>
                <w:sz w:val="16"/>
                <w:szCs w:val="16"/>
              </w:rPr>
              <w:t>2.473</w:t>
            </w:r>
          </w:p>
        </w:tc>
        <w:tc>
          <w:tcPr>
            <w:tcW w:w="552" w:type="pct"/>
            <w:tcBorders>
              <w:top w:val="nil"/>
              <w:left w:val="single" w:sz="4" w:space="0" w:color="auto"/>
              <w:bottom w:val="nil"/>
              <w:right w:val="single" w:sz="4" w:space="0" w:color="auto"/>
            </w:tcBorders>
            <w:noWrap/>
            <w:vAlign w:val="center"/>
            <w:hideMark/>
          </w:tcPr>
          <w:p w14:paraId="530DF619" w14:textId="77777777" w:rsidR="0025610F" w:rsidRPr="009074B0" w:rsidRDefault="0025610F">
            <w:pPr>
              <w:jc w:val="right"/>
              <w:rPr>
                <w:rFonts w:cs="Arial"/>
                <w:color w:val="333333"/>
                <w:sz w:val="16"/>
                <w:szCs w:val="16"/>
              </w:rPr>
            </w:pPr>
            <w:r w:rsidRPr="009074B0">
              <w:rPr>
                <w:rFonts w:cs="Arial"/>
                <w:color w:val="333333"/>
                <w:sz w:val="16"/>
                <w:szCs w:val="16"/>
              </w:rPr>
              <w:t>-</w:t>
            </w:r>
          </w:p>
        </w:tc>
        <w:tc>
          <w:tcPr>
            <w:tcW w:w="384" w:type="pct"/>
            <w:tcBorders>
              <w:top w:val="nil"/>
              <w:left w:val="single" w:sz="4" w:space="0" w:color="auto"/>
              <w:bottom w:val="nil"/>
              <w:right w:val="single" w:sz="4" w:space="0" w:color="auto"/>
            </w:tcBorders>
            <w:noWrap/>
            <w:vAlign w:val="center"/>
            <w:hideMark/>
          </w:tcPr>
          <w:p w14:paraId="59A70F6C" w14:textId="77777777" w:rsidR="0025610F" w:rsidRPr="009074B0" w:rsidRDefault="0025610F">
            <w:pPr>
              <w:jc w:val="right"/>
              <w:rPr>
                <w:rFonts w:cs="Arial"/>
                <w:color w:val="333333"/>
                <w:sz w:val="16"/>
                <w:szCs w:val="16"/>
              </w:rPr>
            </w:pPr>
            <w:r w:rsidRPr="009074B0">
              <w:rPr>
                <w:rFonts w:cs="Arial"/>
                <w:color w:val="333333"/>
                <w:sz w:val="16"/>
                <w:szCs w:val="16"/>
              </w:rPr>
              <w:t>400</w:t>
            </w:r>
          </w:p>
        </w:tc>
        <w:tc>
          <w:tcPr>
            <w:tcW w:w="429" w:type="pct"/>
            <w:tcBorders>
              <w:top w:val="nil"/>
              <w:left w:val="single" w:sz="4" w:space="0" w:color="auto"/>
              <w:bottom w:val="nil"/>
              <w:right w:val="single" w:sz="4" w:space="0" w:color="auto"/>
            </w:tcBorders>
            <w:noWrap/>
            <w:vAlign w:val="center"/>
            <w:hideMark/>
          </w:tcPr>
          <w:p w14:paraId="7907831D" w14:textId="77777777" w:rsidR="0025610F" w:rsidRPr="009074B0" w:rsidRDefault="0025610F">
            <w:pPr>
              <w:jc w:val="right"/>
              <w:rPr>
                <w:rFonts w:cs="Arial"/>
                <w:color w:val="333333"/>
                <w:sz w:val="16"/>
                <w:szCs w:val="16"/>
              </w:rPr>
            </w:pPr>
            <w:r w:rsidRPr="009074B0">
              <w:rPr>
                <w:rFonts w:cs="Arial"/>
                <w:color w:val="333333"/>
                <w:sz w:val="16"/>
                <w:szCs w:val="16"/>
              </w:rPr>
              <w:t>400</w:t>
            </w:r>
          </w:p>
        </w:tc>
        <w:tc>
          <w:tcPr>
            <w:tcW w:w="411" w:type="pct"/>
            <w:tcBorders>
              <w:top w:val="nil"/>
              <w:left w:val="single" w:sz="4" w:space="0" w:color="auto"/>
              <w:bottom w:val="nil"/>
              <w:right w:val="single" w:sz="4" w:space="0" w:color="auto"/>
            </w:tcBorders>
            <w:noWrap/>
            <w:vAlign w:val="center"/>
            <w:hideMark/>
          </w:tcPr>
          <w:p w14:paraId="303DEA6B" w14:textId="77777777" w:rsidR="0025610F" w:rsidRPr="009074B0" w:rsidRDefault="0025610F">
            <w:pPr>
              <w:jc w:val="right"/>
              <w:rPr>
                <w:rFonts w:cs="Arial"/>
                <w:color w:val="333333"/>
                <w:sz w:val="16"/>
                <w:szCs w:val="16"/>
              </w:rPr>
            </w:pPr>
            <w:r w:rsidRPr="009074B0">
              <w:rPr>
                <w:rFonts w:cs="Arial"/>
                <w:color w:val="333333"/>
                <w:sz w:val="16"/>
                <w:szCs w:val="16"/>
              </w:rPr>
              <w:t>2.073</w:t>
            </w:r>
          </w:p>
        </w:tc>
        <w:tc>
          <w:tcPr>
            <w:tcW w:w="337" w:type="pct"/>
            <w:tcBorders>
              <w:top w:val="nil"/>
              <w:left w:val="single" w:sz="4" w:space="0" w:color="auto"/>
              <w:bottom w:val="nil"/>
              <w:right w:val="single" w:sz="4" w:space="0" w:color="auto"/>
            </w:tcBorders>
            <w:noWrap/>
            <w:vAlign w:val="center"/>
            <w:hideMark/>
          </w:tcPr>
          <w:p w14:paraId="5256E083" w14:textId="77777777" w:rsidR="0025610F" w:rsidRPr="009074B0" w:rsidRDefault="0025610F">
            <w:pPr>
              <w:jc w:val="right"/>
              <w:rPr>
                <w:rFonts w:cs="Arial"/>
                <w:color w:val="333333"/>
                <w:sz w:val="16"/>
                <w:szCs w:val="16"/>
              </w:rPr>
            </w:pPr>
            <w:r w:rsidRPr="009074B0">
              <w:rPr>
                <w:rFonts w:cs="Arial"/>
                <w:color w:val="333333"/>
                <w:sz w:val="16"/>
                <w:szCs w:val="16"/>
              </w:rPr>
              <w:t>-</w:t>
            </w:r>
          </w:p>
        </w:tc>
        <w:tc>
          <w:tcPr>
            <w:tcW w:w="384" w:type="pct"/>
            <w:tcBorders>
              <w:top w:val="nil"/>
              <w:left w:val="single" w:sz="4" w:space="0" w:color="auto"/>
              <w:bottom w:val="nil"/>
              <w:right w:val="single" w:sz="4" w:space="0" w:color="auto"/>
            </w:tcBorders>
            <w:noWrap/>
            <w:vAlign w:val="center"/>
            <w:hideMark/>
          </w:tcPr>
          <w:p w14:paraId="69EFF307" w14:textId="77777777" w:rsidR="0025610F" w:rsidRPr="009074B0" w:rsidRDefault="0025610F">
            <w:pPr>
              <w:jc w:val="right"/>
              <w:rPr>
                <w:rFonts w:cs="Arial"/>
                <w:color w:val="333333"/>
                <w:sz w:val="16"/>
                <w:szCs w:val="16"/>
              </w:rPr>
            </w:pPr>
            <w:r w:rsidRPr="009074B0">
              <w:rPr>
                <w:rFonts w:cs="Arial"/>
                <w:color w:val="333333"/>
                <w:sz w:val="16"/>
                <w:szCs w:val="16"/>
              </w:rPr>
              <w:t>-</w:t>
            </w:r>
          </w:p>
        </w:tc>
        <w:tc>
          <w:tcPr>
            <w:tcW w:w="382" w:type="pct"/>
            <w:tcBorders>
              <w:top w:val="nil"/>
              <w:left w:val="single" w:sz="4" w:space="0" w:color="auto"/>
              <w:bottom w:val="nil"/>
              <w:right w:val="nil"/>
            </w:tcBorders>
            <w:noWrap/>
            <w:vAlign w:val="center"/>
            <w:hideMark/>
          </w:tcPr>
          <w:p w14:paraId="354B53E5" w14:textId="77777777" w:rsidR="0025610F" w:rsidRPr="009074B0" w:rsidRDefault="0025610F">
            <w:pPr>
              <w:jc w:val="right"/>
              <w:rPr>
                <w:rFonts w:cs="Arial"/>
                <w:color w:val="333333"/>
                <w:sz w:val="16"/>
                <w:szCs w:val="16"/>
              </w:rPr>
            </w:pPr>
            <w:r w:rsidRPr="009074B0">
              <w:rPr>
                <w:rFonts w:cs="Arial"/>
                <w:color w:val="333333"/>
                <w:sz w:val="16"/>
                <w:szCs w:val="16"/>
              </w:rPr>
              <w:t>-</w:t>
            </w:r>
          </w:p>
        </w:tc>
      </w:tr>
      <w:tr w:rsidR="0025610F" w:rsidRPr="009074B0" w14:paraId="3754C400" w14:textId="77777777" w:rsidTr="001B4487">
        <w:trPr>
          <w:trHeight w:val="227"/>
        </w:trPr>
        <w:tc>
          <w:tcPr>
            <w:tcW w:w="731" w:type="pct"/>
            <w:tcBorders>
              <w:top w:val="nil"/>
              <w:left w:val="nil"/>
              <w:bottom w:val="single" w:sz="4" w:space="0" w:color="auto"/>
              <w:right w:val="single" w:sz="4" w:space="0" w:color="auto"/>
            </w:tcBorders>
            <w:noWrap/>
            <w:vAlign w:val="center"/>
            <w:hideMark/>
          </w:tcPr>
          <w:p w14:paraId="5DDB249E" w14:textId="77777777" w:rsidR="0025610F" w:rsidRPr="009074B0" w:rsidRDefault="0025610F">
            <w:pPr>
              <w:rPr>
                <w:rFonts w:cs="Arial"/>
                <w:color w:val="000000"/>
                <w:sz w:val="16"/>
                <w:szCs w:val="16"/>
              </w:rPr>
            </w:pPr>
            <w:r w:rsidRPr="009074B0">
              <w:rPr>
                <w:rFonts w:cs="Arial"/>
                <w:color w:val="000000"/>
                <w:sz w:val="16"/>
                <w:szCs w:val="16"/>
              </w:rPr>
              <w:t>TCM</w:t>
            </w:r>
          </w:p>
        </w:tc>
        <w:tc>
          <w:tcPr>
            <w:tcW w:w="463" w:type="pct"/>
            <w:tcBorders>
              <w:top w:val="nil"/>
              <w:left w:val="single" w:sz="4" w:space="0" w:color="auto"/>
              <w:bottom w:val="single" w:sz="4" w:space="0" w:color="auto"/>
              <w:right w:val="single" w:sz="4" w:space="0" w:color="auto"/>
            </w:tcBorders>
            <w:noWrap/>
            <w:vAlign w:val="center"/>
            <w:hideMark/>
          </w:tcPr>
          <w:p w14:paraId="3B18B6BD" w14:textId="77777777" w:rsidR="0025610F" w:rsidRPr="009074B0" w:rsidRDefault="0025610F">
            <w:pPr>
              <w:jc w:val="right"/>
              <w:rPr>
                <w:rFonts w:cs="Arial"/>
                <w:color w:val="333333"/>
                <w:sz w:val="16"/>
                <w:szCs w:val="16"/>
              </w:rPr>
            </w:pPr>
            <w:r w:rsidRPr="009074B0">
              <w:rPr>
                <w:rFonts w:cs="Arial"/>
                <w:color w:val="333333"/>
                <w:sz w:val="16"/>
                <w:szCs w:val="16"/>
              </w:rPr>
              <w:t>507</w:t>
            </w:r>
          </w:p>
        </w:tc>
        <w:tc>
          <w:tcPr>
            <w:tcW w:w="463" w:type="pct"/>
            <w:tcBorders>
              <w:top w:val="nil"/>
              <w:left w:val="single" w:sz="4" w:space="0" w:color="auto"/>
              <w:bottom w:val="single" w:sz="4" w:space="0" w:color="auto"/>
              <w:right w:val="single" w:sz="4" w:space="0" w:color="auto"/>
            </w:tcBorders>
            <w:noWrap/>
            <w:vAlign w:val="center"/>
            <w:hideMark/>
          </w:tcPr>
          <w:p w14:paraId="3E27355F" w14:textId="77777777" w:rsidR="0025610F" w:rsidRPr="009074B0" w:rsidRDefault="0025610F">
            <w:pPr>
              <w:jc w:val="right"/>
              <w:rPr>
                <w:rFonts w:cs="Arial"/>
                <w:color w:val="333333"/>
                <w:sz w:val="16"/>
                <w:szCs w:val="16"/>
              </w:rPr>
            </w:pPr>
            <w:r w:rsidRPr="009074B0">
              <w:rPr>
                <w:rFonts w:cs="Arial"/>
                <w:color w:val="333333"/>
                <w:sz w:val="16"/>
                <w:szCs w:val="16"/>
              </w:rPr>
              <w:t>9.626</w:t>
            </w:r>
          </w:p>
        </w:tc>
        <w:tc>
          <w:tcPr>
            <w:tcW w:w="464" w:type="pct"/>
            <w:tcBorders>
              <w:top w:val="nil"/>
              <w:left w:val="single" w:sz="4" w:space="0" w:color="auto"/>
              <w:bottom w:val="single" w:sz="4" w:space="0" w:color="auto"/>
              <w:right w:val="single" w:sz="4" w:space="0" w:color="auto"/>
            </w:tcBorders>
            <w:noWrap/>
            <w:vAlign w:val="center"/>
            <w:hideMark/>
          </w:tcPr>
          <w:p w14:paraId="013746A5" w14:textId="77777777" w:rsidR="0025610F" w:rsidRPr="009074B0" w:rsidRDefault="0025610F">
            <w:pPr>
              <w:jc w:val="right"/>
              <w:rPr>
                <w:rFonts w:cs="Arial"/>
                <w:color w:val="333333"/>
                <w:sz w:val="16"/>
                <w:szCs w:val="16"/>
              </w:rPr>
            </w:pPr>
            <w:r w:rsidRPr="009074B0">
              <w:rPr>
                <w:rFonts w:cs="Arial"/>
                <w:color w:val="333333"/>
                <w:sz w:val="16"/>
                <w:szCs w:val="16"/>
              </w:rPr>
              <w:t>10.133</w:t>
            </w:r>
          </w:p>
        </w:tc>
        <w:tc>
          <w:tcPr>
            <w:tcW w:w="552" w:type="pct"/>
            <w:tcBorders>
              <w:top w:val="nil"/>
              <w:left w:val="single" w:sz="4" w:space="0" w:color="auto"/>
              <w:bottom w:val="single" w:sz="4" w:space="0" w:color="auto"/>
              <w:right w:val="single" w:sz="4" w:space="0" w:color="auto"/>
            </w:tcBorders>
            <w:noWrap/>
            <w:vAlign w:val="center"/>
            <w:hideMark/>
          </w:tcPr>
          <w:p w14:paraId="409DE635" w14:textId="77777777" w:rsidR="0025610F" w:rsidRPr="009074B0" w:rsidRDefault="0025610F">
            <w:pPr>
              <w:jc w:val="right"/>
              <w:rPr>
                <w:rFonts w:cs="Arial"/>
                <w:color w:val="333333"/>
                <w:sz w:val="16"/>
                <w:szCs w:val="16"/>
              </w:rPr>
            </w:pPr>
            <w:r w:rsidRPr="009074B0">
              <w:rPr>
                <w:rFonts w:cs="Arial"/>
                <w:color w:val="333333"/>
                <w:sz w:val="16"/>
                <w:szCs w:val="16"/>
              </w:rPr>
              <w:t>-</w:t>
            </w:r>
          </w:p>
        </w:tc>
        <w:tc>
          <w:tcPr>
            <w:tcW w:w="384" w:type="pct"/>
            <w:tcBorders>
              <w:top w:val="nil"/>
              <w:left w:val="single" w:sz="4" w:space="0" w:color="auto"/>
              <w:bottom w:val="single" w:sz="4" w:space="0" w:color="auto"/>
              <w:right w:val="single" w:sz="4" w:space="0" w:color="auto"/>
            </w:tcBorders>
            <w:noWrap/>
            <w:vAlign w:val="center"/>
            <w:hideMark/>
          </w:tcPr>
          <w:p w14:paraId="049556ED" w14:textId="77777777" w:rsidR="0025610F" w:rsidRPr="009074B0" w:rsidRDefault="0025610F">
            <w:pPr>
              <w:jc w:val="right"/>
              <w:rPr>
                <w:rFonts w:cs="Arial"/>
                <w:color w:val="333333"/>
                <w:sz w:val="16"/>
                <w:szCs w:val="16"/>
              </w:rPr>
            </w:pPr>
            <w:r w:rsidRPr="009074B0">
              <w:rPr>
                <w:rFonts w:cs="Arial"/>
                <w:color w:val="333333"/>
                <w:sz w:val="16"/>
                <w:szCs w:val="16"/>
              </w:rPr>
              <w:t>1.110</w:t>
            </w:r>
          </w:p>
        </w:tc>
        <w:tc>
          <w:tcPr>
            <w:tcW w:w="429" w:type="pct"/>
            <w:tcBorders>
              <w:top w:val="nil"/>
              <w:left w:val="single" w:sz="4" w:space="0" w:color="auto"/>
              <w:bottom w:val="single" w:sz="4" w:space="0" w:color="auto"/>
              <w:right w:val="single" w:sz="4" w:space="0" w:color="auto"/>
            </w:tcBorders>
            <w:noWrap/>
            <w:vAlign w:val="center"/>
            <w:hideMark/>
          </w:tcPr>
          <w:p w14:paraId="70346E9A" w14:textId="77777777" w:rsidR="0025610F" w:rsidRPr="009074B0" w:rsidRDefault="0025610F">
            <w:pPr>
              <w:jc w:val="right"/>
              <w:rPr>
                <w:rFonts w:cs="Arial"/>
                <w:color w:val="333333"/>
                <w:sz w:val="16"/>
                <w:szCs w:val="16"/>
              </w:rPr>
            </w:pPr>
            <w:r w:rsidRPr="009074B0">
              <w:rPr>
                <w:rFonts w:cs="Arial"/>
                <w:color w:val="333333"/>
                <w:sz w:val="16"/>
                <w:szCs w:val="16"/>
              </w:rPr>
              <w:t>1.110</w:t>
            </w:r>
          </w:p>
        </w:tc>
        <w:tc>
          <w:tcPr>
            <w:tcW w:w="411" w:type="pct"/>
            <w:tcBorders>
              <w:top w:val="nil"/>
              <w:left w:val="single" w:sz="4" w:space="0" w:color="auto"/>
              <w:bottom w:val="single" w:sz="4" w:space="0" w:color="auto"/>
              <w:right w:val="single" w:sz="4" w:space="0" w:color="auto"/>
            </w:tcBorders>
            <w:noWrap/>
            <w:vAlign w:val="center"/>
            <w:hideMark/>
          </w:tcPr>
          <w:p w14:paraId="2684061A" w14:textId="77777777" w:rsidR="0025610F" w:rsidRPr="009074B0" w:rsidRDefault="0025610F">
            <w:pPr>
              <w:jc w:val="right"/>
              <w:rPr>
                <w:rFonts w:cs="Arial"/>
                <w:color w:val="333333"/>
                <w:sz w:val="16"/>
                <w:szCs w:val="16"/>
              </w:rPr>
            </w:pPr>
            <w:r w:rsidRPr="009074B0">
              <w:rPr>
                <w:rFonts w:cs="Arial"/>
                <w:color w:val="333333"/>
                <w:sz w:val="16"/>
                <w:szCs w:val="16"/>
              </w:rPr>
              <w:t>6.125</w:t>
            </w:r>
          </w:p>
        </w:tc>
        <w:tc>
          <w:tcPr>
            <w:tcW w:w="337" w:type="pct"/>
            <w:tcBorders>
              <w:top w:val="nil"/>
              <w:left w:val="single" w:sz="4" w:space="0" w:color="auto"/>
              <w:bottom w:val="single" w:sz="4" w:space="0" w:color="auto"/>
              <w:right w:val="single" w:sz="4" w:space="0" w:color="auto"/>
            </w:tcBorders>
            <w:noWrap/>
            <w:vAlign w:val="center"/>
            <w:hideMark/>
          </w:tcPr>
          <w:p w14:paraId="31EAEC89" w14:textId="77777777" w:rsidR="0025610F" w:rsidRPr="009074B0" w:rsidRDefault="0025610F">
            <w:pPr>
              <w:jc w:val="right"/>
              <w:rPr>
                <w:rFonts w:cs="Arial"/>
                <w:color w:val="333333"/>
                <w:sz w:val="16"/>
                <w:szCs w:val="16"/>
              </w:rPr>
            </w:pPr>
            <w:r w:rsidRPr="009074B0">
              <w:rPr>
                <w:rFonts w:cs="Arial"/>
                <w:color w:val="333333"/>
                <w:sz w:val="16"/>
                <w:szCs w:val="16"/>
              </w:rPr>
              <w:t>-</w:t>
            </w:r>
          </w:p>
        </w:tc>
        <w:tc>
          <w:tcPr>
            <w:tcW w:w="384" w:type="pct"/>
            <w:tcBorders>
              <w:top w:val="nil"/>
              <w:left w:val="single" w:sz="4" w:space="0" w:color="auto"/>
              <w:bottom w:val="single" w:sz="4" w:space="0" w:color="auto"/>
              <w:right w:val="single" w:sz="4" w:space="0" w:color="auto"/>
            </w:tcBorders>
            <w:noWrap/>
            <w:vAlign w:val="center"/>
            <w:hideMark/>
          </w:tcPr>
          <w:p w14:paraId="1C811C7D" w14:textId="77777777" w:rsidR="0025610F" w:rsidRPr="009074B0" w:rsidRDefault="0025610F">
            <w:pPr>
              <w:jc w:val="right"/>
              <w:rPr>
                <w:rFonts w:cs="Arial"/>
                <w:color w:val="333333"/>
                <w:sz w:val="16"/>
                <w:szCs w:val="16"/>
              </w:rPr>
            </w:pPr>
            <w:r w:rsidRPr="009074B0">
              <w:rPr>
                <w:rFonts w:cs="Arial"/>
                <w:color w:val="333333"/>
                <w:sz w:val="16"/>
                <w:szCs w:val="16"/>
              </w:rPr>
              <w:t>2.898</w:t>
            </w:r>
          </w:p>
        </w:tc>
        <w:tc>
          <w:tcPr>
            <w:tcW w:w="382" w:type="pct"/>
            <w:tcBorders>
              <w:top w:val="nil"/>
              <w:left w:val="single" w:sz="4" w:space="0" w:color="auto"/>
              <w:bottom w:val="single" w:sz="4" w:space="0" w:color="auto"/>
              <w:right w:val="nil"/>
            </w:tcBorders>
            <w:noWrap/>
            <w:vAlign w:val="center"/>
            <w:hideMark/>
          </w:tcPr>
          <w:p w14:paraId="202E9D49" w14:textId="77777777" w:rsidR="0025610F" w:rsidRPr="009074B0" w:rsidRDefault="0025610F">
            <w:pPr>
              <w:jc w:val="right"/>
              <w:rPr>
                <w:rFonts w:cs="Arial"/>
                <w:color w:val="333333"/>
                <w:sz w:val="16"/>
                <w:szCs w:val="16"/>
              </w:rPr>
            </w:pPr>
            <w:r w:rsidRPr="009074B0">
              <w:rPr>
                <w:rFonts w:cs="Arial"/>
                <w:color w:val="333333"/>
                <w:sz w:val="16"/>
                <w:szCs w:val="16"/>
              </w:rPr>
              <w:t>2.898</w:t>
            </w:r>
          </w:p>
        </w:tc>
      </w:tr>
      <w:tr w:rsidR="0025610F" w:rsidRPr="009074B0" w14:paraId="59C3C987" w14:textId="77777777" w:rsidTr="001B4487">
        <w:trPr>
          <w:trHeight w:val="227"/>
        </w:trPr>
        <w:tc>
          <w:tcPr>
            <w:tcW w:w="731" w:type="pct"/>
            <w:tcBorders>
              <w:top w:val="single" w:sz="4" w:space="0" w:color="auto"/>
              <w:left w:val="nil"/>
              <w:bottom w:val="single" w:sz="4" w:space="0" w:color="auto"/>
              <w:right w:val="single" w:sz="4" w:space="0" w:color="auto"/>
            </w:tcBorders>
            <w:noWrap/>
            <w:vAlign w:val="center"/>
            <w:hideMark/>
          </w:tcPr>
          <w:p w14:paraId="49EFFC9B" w14:textId="77777777" w:rsidR="0025610F" w:rsidRPr="009074B0" w:rsidRDefault="0025610F">
            <w:pPr>
              <w:jc w:val="center"/>
              <w:rPr>
                <w:rFonts w:cs="Arial"/>
                <w:b/>
                <w:bCs/>
                <w:color w:val="000000"/>
                <w:sz w:val="16"/>
                <w:szCs w:val="16"/>
              </w:rPr>
            </w:pPr>
            <w:r w:rsidRPr="009074B0">
              <w:rPr>
                <w:rFonts w:cs="Arial"/>
                <w:b/>
                <w:bCs/>
                <w:color w:val="000000"/>
                <w:sz w:val="16"/>
                <w:szCs w:val="16"/>
              </w:rPr>
              <w:t>TOTAL</w:t>
            </w:r>
          </w:p>
        </w:tc>
        <w:tc>
          <w:tcPr>
            <w:tcW w:w="463" w:type="pct"/>
            <w:tcBorders>
              <w:top w:val="single" w:sz="4" w:space="0" w:color="auto"/>
              <w:left w:val="single" w:sz="4" w:space="0" w:color="auto"/>
              <w:bottom w:val="single" w:sz="4" w:space="0" w:color="auto"/>
              <w:right w:val="single" w:sz="4" w:space="0" w:color="auto"/>
            </w:tcBorders>
            <w:noWrap/>
            <w:vAlign w:val="center"/>
            <w:hideMark/>
          </w:tcPr>
          <w:p w14:paraId="16BAA086" w14:textId="77777777" w:rsidR="0025610F" w:rsidRPr="009074B0" w:rsidRDefault="0025610F">
            <w:pPr>
              <w:jc w:val="right"/>
              <w:rPr>
                <w:rFonts w:cs="Arial"/>
                <w:b/>
                <w:bCs/>
                <w:color w:val="000000"/>
                <w:sz w:val="16"/>
                <w:szCs w:val="16"/>
              </w:rPr>
            </w:pPr>
            <w:r w:rsidRPr="009074B0">
              <w:rPr>
                <w:rFonts w:cs="Arial"/>
                <w:b/>
                <w:bCs/>
                <w:color w:val="000000"/>
                <w:sz w:val="16"/>
                <w:szCs w:val="16"/>
              </w:rPr>
              <w:t>256.150</w:t>
            </w:r>
          </w:p>
        </w:tc>
        <w:tc>
          <w:tcPr>
            <w:tcW w:w="463" w:type="pct"/>
            <w:tcBorders>
              <w:top w:val="single" w:sz="4" w:space="0" w:color="auto"/>
              <w:left w:val="single" w:sz="4" w:space="0" w:color="auto"/>
              <w:bottom w:val="single" w:sz="4" w:space="0" w:color="auto"/>
              <w:right w:val="single" w:sz="4" w:space="0" w:color="auto"/>
            </w:tcBorders>
            <w:noWrap/>
            <w:vAlign w:val="center"/>
            <w:hideMark/>
          </w:tcPr>
          <w:p w14:paraId="10AD02D5" w14:textId="77777777" w:rsidR="0025610F" w:rsidRPr="009074B0" w:rsidRDefault="0025610F">
            <w:pPr>
              <w:ind w:hanging="10"/>
              <w:jc w:val="right"/>
              <w:rPr>
                <w:rFonts w:cs="Arial"/>
                <w:b/>
                <w:bCs/>
                <w:color w:val="000000"/>
                <w:sz w:val="16"/>
                <w:szCs w:val="16"/>
              </w:rPr>
            </w:pPr>
            <w:r w:rsidRPr="009074B0">
              <w:rPr>
                <w:rFonts w:cs="Arial"/>
                <w:b/>
                <w:bCs/>
                <w:color w:val="000000"/>
                <w:sz w:val="16"/>
                <w:szCs w:val="16"/>
              </w:rPr>
              <w:t>2.075.394</w:t>
            </w:r>
          </w:p>
        </w:tc>
        <w:tc>
          <w:tcPr>
            <w:tcW w:w="464" w:type="pct"/>
            <w:tcBorders>
              <w:top w:val="single" w:sz="4" w:space="0" w:color="auto"/>
              <w:left w:val="single" w:sz="4" w:space="0" w:color="auto"/>
              <w:bottom w:val="single" w:sz="4" w:space="0" w:color="auto"/>
              <w:right w:val="single" w:sz="4" w:space="0" w:color="auto"/>
            </w:tcBorders>
            <w:noWrap/>
            <w:vAlign w:val="center"/>
            <w:hideMark/>
          </w:tcPr>
          <w:p w14:paraId="58526A29" w14:textId="77777777" w:rsidR="0025610F" w:rsidRPr="009074B0" w:rsidRDefault="0025610F">
            <w:pPr>
              <w:jc w:val="right"/>
              <w:rPr>
                <w:rFonts w:cs="Arial"/>
                <w:b/>
                <w:bCs/>
                <w:color w:val="000000"/>
                <w:sz w:val="16"/>
                <w:szCs w:val="16"/>
              </w:rPr>
            </w:pPr>
            <w:r w:rsidRPr="009074B0">
              <w:rPr>
                <w:rFonts w:cs="Arial"/>
                <w:b/>
                <w:bCs/>
                <w:color w:val="000000"/>
                <w:sz w:val="16"/>
                <w:szCs w:val="16"/>
              </w:rPr>
              <w:t>2.331.545</w:t>
            </w:r>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6CBF9D5B" w14:textId="77777777" w:rsidR="0025610F" w:rsidRPr="009074B0" w:rsidRDefault="0025610F">
            <w:pPr>
              <w:jc w:val="right"/>
              <w:rPr>
                <w:rFonts w:cs="Arial"/>
                <w:b/>
                <w:bCs/>
                <w:color w:val="000000"/>
                <w:sz w:val="16"/>
                <w:szCs w:val="16"/>
              </w:rPr>
            </w:pPr>
            <w:r w:rsidRPr="009074B0">
              <w:rPr>
                <w:rFonts w:cs="Arial"/>
                <w:b/>
                <w:bCs/>
                <w:color w:val="000000"/>
                <w:sz w:val="16"/>
                <w:szCs w:val="16"/>
              </w:rPr>
              <w:t>30.314</w:t>
            </w:r>
          </w:p>
        </w:tc>
        <w:tc>
          <w:tcPr>
            <w:tcW w:w="384" w:type="pct"/>
            <w:tcBorders>
              <w:top w:val="single" w:sz="4" w:space="0" w:color="auto"/>
              <w:left w:val="single" w:sz="4" w:space="0" w:color="auto"/>
              <w:bottom w:val="single" w:sz="4" w:space="0" w:color="auto"/>
              <w:right w:val="single" w:sz="4" w:space="0" w:color="auto"/>
            </w:tcBorders>
            <w:noWrap/>
            <w:vAlign w:val="center"/>
            <w:hideMark/>
          </w:tcPr>
          <w:p w14:paraId="0E048C92" w14:textId="77777777" w:rsidR="0025610F" w:rsidRPr="009074B0" w:rsidRDefault="0025610F" w:rsidP="009074B0">
            <w:pPr>
              <w:ind w:hanging="109"/>
              <w:jc w:val="right"/>
              <w:rPr>
                <w:rFonts w:cs="Arial"/>
                <w:b/>
                <w:bCs/>
                <w:color w:val="000000"/>
                <w:sz w:val="16"/>
                <w:szCs w:val="16"/>
              </w:rPr>
            </w:pPr>
            <w:r w:rsidRPr="009074B0">
              <w:rPr>
                <w:rFonts w:cs="Arial"/>
                <w:b/>
                <w:bCs/>
                <w:color w:val="000000"/>
                <w:sz w:val="16"/>
                <w:szCs w:val="16"/>
              </w:rPr>
              <w:t>236.383</w:t>
            </w:r>
          </w:p>
        </w:tc>
        <w:tc>
          <w:tcPr>
            <w:tcW w:w="429" w:type="pct"/>
            <w:tcBorders>
              <w:top w:val="single" w:sz="4" w:space="0" w:color="auto"/>
              <w:left w:val="single" w:sz="4" w:space="0" w:color="auto"/>
              <w:bottom w:val="single" w:sz="4" w:space="0" w:color="auto"/>
              <w:right w:val="single" w:sz="4" w:space="0" w:color="auto"/>
            </w:tcBorders>
            <w:noWrap/>
            <w:vAlign w:val="center"/>
            <w:hideMark/>
          </w:tcPr>
          <w:p w14:paraId="5F916EB7" w14:textId="77777777" w:rsidR="0025610F" w:rsidRPr="009074B0" w:rsidRDefault="0025610F">
            <w:pPr>
              <w:jc w:val="right"/>
              <w:rPr>
                <w:rFonts w:cs="Arial"/>
                <w:b/>
                <w:bCs/>
                <w:color w:val="000000"/>
                <w:sz w:val="16"/>
                <w:szCs w:val="16"/>
              </w:rPr>
            </w:pPr>
            <w:r w:rsidRPr="009074B0">
              <w:rPr>
                <w:rFonts w:cs="Arial"/>
                <w:b/>
                <w:bCs/>
                <w:color w:val="000000"/>
                <w:sz w:val="16"/>
                <w:szCs w:val="16"/>
              </w:rPr>
              <w:t>266.696</w:t>
            </w:r>
          </w:p>
        </w:tc>
        <w:tc>
          <w:tcPr>
            <w:tcW w:w="411" w:type="pct"/>
            <w:tcBorders>
              <w:top w:val="single" w:sz="4" w:space="0" w:color="auto"/>
              <w:left w:val="single" w:sz="4" w:space="0" w:color="auto"/>
              <w:bottom w:val="single" w:sz="4" w:space="0" w:color="auto"/>
              <w:right w:val="single" w:sz="4" w:space="0" w:color="auto"/>
            </w:tcBorders>
            <w:noWrap/>
            <w:vAlign w:val="center"/>
            <w:hideMark/>
          </w:tcPr>
          <w:p w14:paraId="69514CBA" w14:textId="77777777" w:rsidR="0025610F" w:rsidRPr="009074B0" w:rsidRDefault="0025610F" w:rsidP="009074B0">
            <w:pPr>
              <w:ind w:left="-218" w:right="-9"/>
              <w:jc w:val="right"/>
              <w:rPr>
                <w:rFonts w:cs="Arial"/>
                <w:b/>
                <w:bCs/>
                <w:color w:val="000000"/>
                <w:sz w:val="16"/>
                <w:szCs w:val="16"/>
              </w:rPr>
            </w:pPr>
            <w:r w:rsidRPr="009074B0">
              <w:rPr>
                <w:rFonts w:cs="Arial"/>
                <w:b/>
                <w:bCs/>
                <w:color w:val="000000"/>
                <w:sz w:val="16"/>
                <w:szCs w:val="16"/>
              </w:rPr>
              <w:t>1.348.348</w:t>
            </w:r>
          </w:p>
        </w:tc>
        <w:tc>
          <w:tcPr>
            <w:tcW w:w="337" w:type="pct"/>
            <w:tcBorders>
              <w:top w:val="single" w:sz="4" w:space="0" w:color="auto"/>
              <w:left w:val="single" w:sz="4" w:space="0" w:color="auto"/>
              <w:bottom w:val="single" w:sz="4" w:space="0" w:color="auto"/>
              <w:right w:val="single" w:sz="4" w:space="0" w:color="auto"/>
            </w:tcBorders>
            <w:noWrap/>
            <w:vAlign w:val="center"/>
            <w:hideMark/>
          </w:tcPr>
          <w:p w14:paraId="6EF96B23" w14:textId="77777777" w:rsidR="0025610F" w:rsidRPr="009074B0" w:rsidRDefault="0025610F">
            <w:pPr>
              <w:jc w:val="right"/>
              <w:rPr>
                <w:rFonts w:cs="Arial"/>
                <w:b/>
                <w:bCs/>
                <w:color w:val="000000"/>
                <w:sz w:val="16"/>
                <w:szCs w:val="16"/>
              </w:rPr>
            </w:pPr>
            <w:r w:rsidRPr="009074B0">
              <w:rPr>
                <w:rFonts w:cs="Arial"/>
                <w:b/>
                <w:bCs/>
                <w:color w:val="000000"/>
                <w:sz w:val="16"/>
                <w:szCs w:val="16"/>
              </w:rPr>
              <w:t>92.386</w:t>
            </w:r>
          </w:p>
        </w:tc>
        <w:tc>
          <w:tcPr>
            <w:tcW w:w="384" w:type="pct"/>
            <w:tcBorders>
              <w:top w:val="single" w:sz="4" w:space="0" w:color="auto"/>
              <w:left w:val="single" w:sz="4" w:space="0" w:color="auto"/>
              <w:bottom w:val="single" w:sz="4" w:space="0" w:color="auto"/>
              <w:right w:val="single" w:sz="4" w:space="0" w:color="auto"/>
            </w:tcBorders>
            <w:noWrap/>
            <w:vAlign w:val="center"/>
            <w:hideMark/>
          </w:tcPr>
          <w:p w14:paraId="7190094F" w14:textId="77777777" w:rsidR="0025610F" w:rsidRPr="009074B0" w:rsidRDefault="0025610F" w:rsidP="009074B0">
            <w:pPr>
              <w:ind w:hanging="45"/>
              <w:jc w:val="right"/>
              <w:rPr>
                <w:rFonts w:cs="Arial"/>
                <w:b/>
                <w:bCs/>
                <w:color w:val="000000"/>
                <w:sz w:val="16"/>
                <w:szCs w:val="16"/>
              </w:rPr>
            </w:pPr>
            <w:r w:rsidRPr="009074B0">
              <w:rPr>
                <w:rFonts w:cs="Arial"/>
                <w:b/>
                <w:bCs/>
                <w:color w:val="000000"/>
                <w:sz w:val="16"/>
                <w:szCs w:val="16"/>
              </w:rPr>
              <w:t>624.115</w:t>
            </w:r>
          </w:p>
        </w:tc>
        <w:tc>
          <w:tcPr>
            <w:tcW w:w="382" w:type="pct"/>
            <w:tcBorders>
              <w:top w:val="single" w:sz="4" w:space="0" w:color="auto"/>
              <w:left w:val="single" w:sz="4" w:space="0" w:color="auto"/>
              <w:bottom w:val="single" w:sz="4" w:space="0" w:color="auto"/>
              <w:right w:val="nil"/>
            </w:tcBorders>
            <w:noWrap/>
            <w:vAlign w:val="center"/>
            <w:hideMark/>
          </w:tcPr>
          <w:p w14:paraId="3DC2159C" w14:textId="77777777" w:rsidR="0025610F" w:rsidRPr="009074B0" w:rsidRDefault="0025610F" w:rsidP="009074B0">
            <w:pPr>
              <w:ind w:hanging="56"/>
              <w:jc w:val="right"/>
              <w:rPr>
                <w:rFonts w:cs="Arial"/>
                <w:b/>
                <w:bCs/>
                <w:color w:val="000000"/>
                <w:sz w:val="16"/>
                <w:szCs w:val="16"/>
              </w:rPr>
            </w:pPr>
            <w:r w:rsidRPr="009074B0">
              <w:rPr>
                <w:rFonts w:cs="Arial"/>
                <w:b/>
                <w:bCs/>
                <w:color w:val="000000"/>
                <w:sz w:val="16"/>
                <w:szCs w:val="16"/>
              </w:rPr>
              <w:t>716.500</w:t>
            </w:r>
          </w:p>
        </w:tc>
      </w:tr>
    </w:tbl>
    <w:p w14:paraId="4717214D" w14:textId="574B070F" w:rsidR="0025610F" w:rsidRDefault="00050D4C" w:rsidP="00EF01A1">
      <w:pPr>
        <w:pStyle w:val="1-FONTE8ESQ"/>
        <w:rPr>
          <w:lang w:eastAsia="en-US"/>
        </w:rPr>
      </w:pPr>
      <w:r w:rsidRPr="00EC7AD7">
        <w:rPr>
          <w:lang w:eastAsia="en-US"/>
        </w:rPr>
        <w:t xml:space="preserve">Fonte: </w:t>
      </w:r>
      <w:r w:rsidRPr="00314D60">
        <w:rPr>
          <w:i/>
          <w:lang w:eastAsia="en-US"/>
        </w:rPr>
        <w:t>Business Objects</w:t>
      </w:r>
      <w:r w:rsidRPr="00EC7AD7">
        <w:rPr>
          <w:lang w:eastAsia="en-US"/>
        </w:rPr>
        <w:t xml:space="preserve"> </w:t>
      </w:r>
      <w:r w:rsidR="0025610F">
        <w:t xml:space="preserve">e </w:t>
      </w:r>
      <w:r w:rsidRPr="00050D4C">
        <w:t>Demonstrativo dos Restos a Pagar por Poder e Órgão</w:t>
      </w:r>
      <w:r>
        <w:t xml:space="preserve"> - </w:t>
      </w:r>
      <w:r w:rsidR="0025610F">
        <w:t>Anexo 7 do RREO do 6º bimestre/2023</w:t>
      </w:r>
    </w:p>
    <w:p w14:paraId="17A3D196" w14:textId="5EAEE71B" w:rsidR="0025610F" w:rsidRDefault="0025610F" w:rsidP="00E949C4">
      <w:pPr>
        <w:pStyle w:val="1-REL11"/>
        <w:spacing w:line="288" w:lineRule="auto"/>
      </w:pPr>
      <w:r>
        <w:t>A partir das informações constantes na tabela acima, observa-se que o total de RP de exercícios anteriores totalizava R$</w:t>
      </w:r>
      <w:r w:rsidR="00F974CC">
        <w:t> </w:t>
      </w:r>
      <w:r>
        <w:t>2,33</w:t>
      </w:r>
      <w:r w:rsidR="00755658">
        <w:t> </w:t>
      </w:r>
      <w:r>
        <w:t>bilhões (c), sendo que no decorrer do exercício de 2023 houve o pagamento de R$</w:t>
      </w:r>
      <w:r w:rsidR="00F974CC">
        <w:t> </w:t>
      </w:r>
      <w:r>
        <w:t>1,35</w:t>
      </w:r>
      <w:r w:rsidR="00755658">
        <w:t> </w:t>
      </w:r>
      <w:r>
        <w:t>bilhões (g) e cancelamento de R$</w:t>
      </w:r>
      <w:r w:rsidR="00F974CC">
        <w:t> </w:t>
      </w:r>
      <w:r>
        <w:t>266,70</w:t>
      </w:r>
      <w:r w:rsidR="00755658">
        <w:t> milhões</w:t>
      </w:r>
      <w:r>
        <w:t xml:space="preserve"> (f). Deste montante cancelado, R$</w:t>
      </w:r>
      <w:r w:rsidR="00F974CC">
        <w:t> </w:t>
      </w:r>
      <w:r>
        <w:t>30,31</w:t>
      </w:r>
      <w:r w:rsidR="00755658">
        <w:t> milhões</w:t>
      </w:r>
      <w:r>
        <w:t xml:space="preserve"> (d) se referem a RPP, ou seja, despesas que já haviam passado pela fase de liquidação, isto é, a respectiva verificação do direito adquirido pelo credor tendo por </w:t>
      </w:r>
      <w:r>
        <w:lastRenderedPageBreak/>
        <w:t>base os títulos e documentos comprobatórios do crédito , sendo que 93,69% dos cancelamentos ocorreram no Poder Executivo.</w:t>
      </w:r>
    </w:p>
    <w:p w14:paraId="02AC2756" w14:textId="47326414" w:rsidR="0025610F" w:rsidRDefault="0025610F" w:rsidP="0025610F">
      <w:pPr>
        <w:pStyle w:val="1-REL11"/>
      </w:pPr>
      <w:r>
        <w:t>Comparando-se os RPP cancelados em 2023 (R$</w:t>
      </w:r>
      <w:r w:rsidR="00755658">
        <w:t> </w:t>
      </w:r>
      <w:r>
        <w:t>30,31</w:t>
      </w:r>
      <w:r w:rsidR="00755658">
        <w:t> milhões</w:t>
      </w:r>
      <w:r>
        <w:t>) com os valores cancelados no exercício anterior (R$</w:t>
      </w:r>
      <w:r w:rsidR="00F974CC">
        <w:t> </w:t>
      </w:r>
      <w:r>
        <w:t>105,43</w:t>
      </w:r>
      <w:r w:rsidR="00755658">
        <w:t> milhões</w:t>
      </w:r>
      <w:r>
        <w:t>) verifica-se redução dos cancelamentos em 71,25%.</w:t>
      </w:r>
    </w:p>
    <w:p w14:paraId="216DB86E" w14:textId="5D66159E" w:rsidR="0025610F" w:rsidRDefault="0025610F" w:rsidP="0025610F">
      <w:pPr>
        <w:pStyle w:val="1-REL11"/>
      </w:pPr>
      <w:r>
        <w:t>A Nota Explicativa (NE) 3.1.5 - Execução de Restos a Pagar de Exercícios Anteriores (processo nº</w:t>
      </w:r>
      <w:r w:rsidR="00F974CC">
        <w:t> </w:t>
      </w:r>
      <w:r>
        <w:t>202300047001912, evento 21, fl. 82) informa que o cancelamento de RP se refere a despesas não certificadas ou glosadas nos termos da Lei Complementar Estadual nº 133, de 01 de novembro de 2017.</w:t>
      </w:r>
    </w:p>
    <w:p w14:paraId="0949118F" w14:textId="74F74B52" w:rsidR="0025610F" w:rsidRDefault="0025610F" w:rsidP="0025610F">
      <w:pPr>
        <w:pStyle w:val="1-REL11"/>
      </w:pPr>
      <w:r>
        <w:t>Conforme gráfico abaixo, o estoque de RP de exercícios anteriores atingiu R$ 716,50</w:t>
      </w:r>
      <w:r w:rsidR="00755658">
        <w:t xml:space="preserve"> milhões</w:t>
      </w:r>
      <w:r>
        <w:t>, antes das inscrições do exercício de 2023. Este estoque aumentou em R$ 22,83</w:t>
      </w:r>
      <w:r w:rsidR="00755658">
        <w:t> milhões</w:t>
      </w:r>
      <w:r>
        <w:t xml:space="preserve"> (3,29%) em relação ao estoque de RP de exercício anteriores apresentado em 2022 (R$ 693,67</w:t>
      </w:r>
      <w:r w:rsidR="00755658">
        <w:t> milhões</w:t>
      </w:r>
      <w:r>
        <w:t>). No estoque de 2023, destaca-se o saldo de RP inscritos no exercício de 2022 (R$</w:t>
      </w:r>
      <w:r w:rsidR="00F974CC">
        <w:t> </w:t>
      </w:r>
      <w:r>
        <w:t>343,9</w:t>
      </w:r>
      <w:r w:rsidR="00755658">
        <w:t> milhões</w:t>
      </w:r>
      <w:r>
        <w:t>).</w:t>
      </w:r>
    </w:p>
    <w:p w14:paraId="53334AE7" w14:textId="058408F2" w:rsidR="0025610F" w:rsidRDefault="0025610F" w:rsidP="00C45CAE">
      <w:pPr>
        <w:pStyle w:val="0-GRFICO"/>
      </w:pPr>
      <w:bookmarkStart w:id="196" w:name="_Toc106810425"/>
      <w:bookmarkStart w:id="197" w:name="_Toc167825106"/>
      <w:r>
        <w:t>R</w:t>
      </w:r>
      <w:r w:rsidR="00461248">
        <w:t>estos a Pagar</w:t>
      </w:r>
      <w:r>
        <w:t xml:space="preserve"> de Exercícios Anteriores</w:t>
      </w:r>
      <w:bookmarkEnd w:id="196"/>
      <w:bookmarkEnd w:id="197"/>
    </w:p>
    <w:p w14:paraId="71CD6358" w14:textId="7311F0AA" w:rsidR="0025610F" w:rsidRDefault="0025610F" w:rsidP="0025610F">
      <w:pPr>
        <w:pStyle w:val="0-EmR"/>
      </w:pPr>
    </w:p>
    <w:p w14:paraId="6F692898" w14:textId="00047BBA" w:rsidR="0025610F" w:rsidRDefault="0025610F" w:rsidP="00653B38">
      <w:pPr>
        <w:pStyle w:val="1-FONTEcentralizado"/>
      </w:pPr>
      <w:r>
        <w:rPr>
          <w:noProof/>
        </w:rPr>
        <w:drawing>
          <wp:inline distT="0" distB="0" distL="0" distR="0" wp14:anchorId="7AA4F1E3" wp14:editId="5418C07A">
            <wp:extent cx="5868670" cy="2819400"/>
            <wp:effectExtent l="0" t="0" r="151130" b="152400"/>
            <wp:docPr id="26" name="Gráfico 26">
              <a:extLst xmlns:a="http://schemas.openxmlformats.org/drawingml/2006/main">
                <a:ext uri="{FF2B5EF4-FFF2-40B4-BE49-F238E27FC236}">
                  <a16:creationId xmlns:a16="http://schemas.microsoft.com/office/drawing/2014/main" id="{7D7DCF66-D584-42B6-939B-E9CDB8B076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r>
        <w:t xml:space="preserve">Fonte: </w:t>
      </w:r>
      <w:r w:rsidR="00B677DB" w:rsidRPr="00EC7AD7">
        <w:t>Business Objects</w:t>
      </w:r>
    </w:p>
    <w:p w14:paraId="3047325A" w14:textId="30095A88" w:rsidR="0025610F" w:rsidRDefault="0025610F" w:rsidP="0025610F">
      <w:pPr>
        <w:pStyle w:val="1-REL11"/>
      </w:pPr>
      <w:r>
        <w:t>Já no exercício de 2023, a inscrição em RP foi de R$</w:t>
      </w:r>
      <w:r w:rsidR="00F974CC">
        <w:t> </w:t>
      </w:r>
      <w:r>
        <w:t>1,47</w:t>
      </w:r>
      <w:r w:rsidR="00BE7998">
        <w:t> </w:t>
      </w:r>
      <w:r>
        <w:t>bilhão que, somado com a reinscrição dos saldos de RP de exercícios anteriores (R$</w:t>
      </w:r>
      <w:r w:rsidR="00B677DB">
        <w:t> </w:t>
      </w:r>
      <w:r>
        <w:t>716,50</w:t>
      </w:r>
      <w:r w:rsidR="00BE7998">
        <w:t> </w:t>
      </w:r>
      <w:r w:rsidR="00755658">
        <w:t>milhões</w:t>
      </w:r>
      <w:r>
        <w:t>), totaliza R$</w:t>
      </w:r>
      <w:r w:rsidR="00F974CC">
        <w:t> </w:t>
      </w:r>
      <w:r>
        <w:t>2,19</w:t>
      </w:r>
      <w:r w:rsidR="00F763BE">
        <w:t> </w:t>
      </w:r>
      <w:r>
        <w:t>bilhões (g):</w:t>
      </w:r>
    </w:p>
    <w:p w14:paraId="71E2DF15" w14:textId="77777777" w:rsidR="00841A88" w:rsidRDefault="00841A88" w:rsidP="0025610F">
      <w:pPr>
        <w:pStyle w:val="1-REL11"/>
      </w:pPr>
    </w:p>
    <w:p w14:paraId="36636629" w14:textId="1891B6AA" w:rsidR="0025610F" w:rsidRDefault="0025610F" w:rsidP="00ED3571">
      <w:pPr>
        <w:pStyle w:val="0-TABELA"/>
      </w:pPr>
      <w:bookmarkStart w:id="198" w:name="_Toc105601622"/>
      <w:bookmarkStart w:id="199" w:name="_Toc167871770"/>
      <w:r>
        <w:lastRenderedPageBreak/>
        <w:t>Saldo de R</w:t>
      </w:r>
      <w:bookmarkEnd w:id="198"/>
      <w:r w:rsidR="001B4487">
        <w:t>estos a Pagar</w:t>
      </w:r>
      <w:bookmarkEnd w:id="199"/>
    </w:p>
    <w:p w14:paraId="1E5306F7" w14:textId="77777777" w:rsidR="0025610F" w:rsidRDefault="0025610F" w:rsidP="0025610F">
      <w:pPr>
        <w:pStyle w:val="1-REL11"/>
        <w:spacing w:after="0"/>
        <w:jc w:val="right"/>
        <w:rPr>
          <w:sz w:val="16"/>
          <w:szCs w:val="16"/>
          <w:lang w:eastAsia="en-US"/>
        </w:rPr>
      </w:pPr>
      <w:r>
        <w:rPr>
          <w:sz w:val="16"/>
          <w:szCs w:val="16"/>
          <w:lang w:eastAsia="en-US"/>
        </w:rPr>
        <w:t>R$ 1</w:t>
      </w:r>
    </w:p>
    <w:tbl>
      <w:tblPr>
        <w:tblW w:w="5000" w:type="pct"/>
        <w:tblLayout w:type="fixed"/>
        <w:tblCellMar>
          <w:left w:w="0" w:type="dxa"/>
          <w:right w:w="0" w:type="dxa"/>
        </w:tblCellMar>
        <w:tblLook w:val="04A0" w:firstRow="1" w:lastRow="0" w:firstColumn="1" w:lastColumn="0" w:noHBand="0" w:noVBand="1"/>
      </w:tblPr>
      <w:tblGrid>
        <w:gridCol w:w="755"/>
        <w:gridCol w:w="900"/>
        <w:gridCol w:w="896"/>
        <w:gridCol w:w="991"/>
        <w:gridCol w:w="900"/>
        <w:gridCol w:w="990"/>
        <w:gridCol w:w="991"/>
        <w:gridCol w:w="950"/>
        <w:gridCol w:w="990"/>
        <w:gridCol w:w="990"/>
      </w:tblGrid>
      <w:tr w:rsidR="0025610F" w14:paraId="0AA18F21" w14:textId="77777777" w:rsidTr="00841A88">
        <w:trPr>
          <w:trHeight w:val="397"/>
          <w:tblHeader/>
        </w:trPr>
        <w:tc>
          <w:tcPr>
            <w:tcW w:w="404" w:type="pct"/>
            <w:vMerge w:val="restart"/>
            <w:tcBorders>
              <w:top w:val="single" w:sz="4" w:space="0" w:color="auto"/>
              <w:left w:val="nil"/>
              <w:bottom w:val="single" w:sz="4" w:space="0" w:color="auto"/>
              <w:right w:val="single" w:sz="4" w:space="0" w:color="auto"/>
            </w:tcBorders>
            <w:shd w:val="clear" w:color="auto" w:fill="A1F2FD"/>
            <w:tcMar>
              <w:top w:w="15" w:type="dxa"/>
              <w:left w:w="15" w:type="dxa"/>
              <w:bottom w:w="0" w:type="dxa"/>
              <w:right w:w="15" w:type="dxa"/>
            </w:tcMar>
            <w:vAlign w:val="center"/>
            <w:hideMark/>
          </w:tcPr>
          <w:p w14:paraId="723F03ED" w14:textId="77777777" w:rsidR="0025610F" w:rsidRDefault="0025610F">
            <w:pPr>
              <w:jc w:val="center"/>
              <w:rPr>
                <w:rFonts w:cs="Arial"/>
                <w:b/>
                <w:bCs/>
                <w:color w:val="000000"/>
                <w:sz w:val="16"/>
                <w:szCs w:val="16"/>
              </w:rPr>
            </w:pPr>
            <w:r>
              <w:rPr>
                <w:rFonts w:cs="Arial"/>
                <w:b/>
                <w:bCs/>
                <w:color w:val="000000"/>
                <w:sz w:val="16"/>
                <w:szCs w:val="16"/>
              </w:rPr>
              <w:t>Poder/ Órgão</w:t>
            </w:r>
          </w:p>
        </w:tc>
        <w:tc>
          <w:tcPr>
            <w:tcW w:w="1490" w:type="pct"/>
            <w:gridSpan w:val="3"/>
            <w:tcBorders>
              <w:top w:val="single" w:sz="4" w:space="0" w:color="auto"/>
              <w:left w:val="single" w:sz="4" w:space="0" w:color="auto"/>
              <w:bottom w:val="single" w:sz="4" w:space="0" w:color="auto"/>
              <w:right w:val="single" w:sz="4" w:space="0" w:color="auto"/>
            </w:tcBorders>
            <w:shd w:val="clear" w:color="auto" w:fill="A1F2FD"/>
            <w:tcMar>
              <w:top w:w="15" w:type="dxa"/>
              <w:left w:w="15" w:type="dxa"/>
              <w:bottom w:w="0" w:type="dxa"/>
              <w:right w:w="15" w:type="dxa"/>
            </w:tcMar>
            <w:vAlign w:val="center"/>
            <w:hideMark/>
          </w:tcPr>
          <w:p w14:paraId="76867EE6" w14:textId="77777777" w:rsidR="0025610F" w:rsidRDefault="0025610F">
            <w:pPr>
              <w:jc w:val="center"/>
              <w:rPr>
                <w:rFonts w:cs="Arial"/>
                <w:b/>
                <w:bCs/>
                <w:color w:val="000000"/>
                <w:sz w:val="16"/>
                <w:szCs w:val="16"/>
              </w:rPr>
            </w:pPr>
            <w:r>
              <w:rPr>
                <w:rFonts w:cs="Arial"/>
                <w:b/>
                <w:bCs/>
                <w:color w:val="000000"/>
                <w:sz w:val="16"/>
                <w:szCs w:val="16"/>
              </w:rPr>
              <w:t>Saldo Anterior</w:t>
            </w:r>
          </w:p>
        </w:tc>
        <w:tc>
          <w:tcPr>
            <w:tcW w:w="1540" w:type="pct"/>
            <w:gridSpan w:val="3"/>
            <w:tcBorders>
              <w:top w:val="single" w:sz="4" w:space="0" w:color="auto"/>
              <w:left w:val="single" w:sz="4" w:space="0" w:color="auto"/>
              <w:bottom w:val="single" w:sz="4" w:space="0" w:color="auto"/>
              <w:right w:val="single" w:sz="4" w:space="0" w:color="auto"/>
            </w:tcBorders>
            <w:shd w:val="clear" w:color="auto" w:fill="A1F2FD"/>
            <w:tcMar>
              <w:top w:w="15" w:type="dxa"/>
              <w:left w:w="15" w:type="dxa"/>
              <w:bottom w:w="0" w:type="dxa"/>
              <w:right w:w="15" w:type="dxa"/>
            </w:tcMar>
            <w:vAlign w:val="center"/>
            <w:hideMark/>
          </w:tcPr>
          <w:p w14:paraId="20BF3BA9" w14:textId="77777777" w:rsidR="0025610F" w:rsidRDefault="0025610F">
            <w:pPr>
              <w:jc w:val="center"/>
              <w:rPr>
                <w:rFonts w:cs="Arial"/>
                <w:b/>
                <w:bCs/>
                <w:color w:val="000000"/>
                <w:sz w:val="16"/>
                <w:szCs w:val="16"/>
              </w:rPr>
            </w:pPr>
            <w:r>
              <w:rPr>
                <w:rFonts w:cs="Arial"/>
                <w:b/>
                <w:bCs/>
                <w:color w:val="000000"/>
                <w:sz w:val="16"/>
                <w:szCs w:val="16"/>
              </w:rPr>
              <w:t>Inscrição 2023</w:t>
            </w:r>
          </w:p>
        </w:tc>
        <w:tc>
          <w:tcPr>
            <w:tcW w:w="1566" w:type="pct"/>
            <w:gridSpan w:val="3"/>
            <w:tcBorders>
              <w:top w:val="single" w:sz="4" w:space="0" w:color="auto"/>
              <w:left w:val="single" w:sz="4" w:space="0" w:color="auto"/>
              <w:bottom w:val="single" w:sz="4" w:space="0" w:color="auto"/>
              <w:right w:val="nil"/>
            </w:tcBorders>
            <w:shd w:val="clear" w:color="auto" w:fill="A1F2FD"/>
            <w:tcMar>
              <w:top w:w="15" w:type="dxa"/>
              <w:left w:w="15" w:type="dxa"/>
              <w:bottom w:w="0" w:type="dxa"/>
              <w:right w:w="15" w:type="dxa"/>
            </w:tcMar>
            <w:vAlign w:val="center"/>
            <w:hideMark/>
          </w:tcPr>
          <w:p w14:paraId="636090D8" w14:textId="77777777" w:rsidR="0025610F" w:rsidRDefault="0025610F">
            <w:pPr>
              <w:jc w:val="center"/>
              <w:rPr>
                <w:rFonts w:cs="Arial"/>
                <w:b/>
                <w:bCs/>
                <w:color w:val="000000"/>
                <w:sz w:val="16"/>
                <w:szCs w:val="16"/>
              </w:rPr>
            </w:pPr>
            <w:r>
              <w:rPr>
                <w:rFonts w:cs="Arial"/>
                <w:b/>
                <w:bCs/>
                <w:color w:val="000000"/>
                <w:sz w:val="16"/>
                <w:szCs w:val="16"/>
              </w:rPr>
              <w:t>Saldo Final em 2023</w:t>
            </w:r>
          </w:p>
        </w:tc>
      </w:tr>
      <w:tr w:rsidR="0025610F" w14:paraId="18D9560C" w14:textId="77777777" w:rsidTr="00841A88">
        <w:trPr>
          <w:trHeight w:val="397"/>
        </w:trPr>
        <w:tc>
          <w:tcPr>
            <w:tcW w:w="404" w:type="pct"/>
            <w:vMerge/>
            <w:tcBorders>
              <w:top w:val="single" w:sz="8" w:space="0" w:color="000000"/>
              <w:left w:val="nil"/>
              <w:bottom w:val="single" w:sz="4" w:space="0" w:color="auto"/>
              <w:right w:val="single" w:sz="4" w:space="0" w:color="auto"/>
            </w:tcBorders>
            <w:vAlign w:val="center"/>
            <w:hideMark/>
          </w:tcPr>
          <w:p w14:paraId="72FCA49A" w14:textId="77777777" w:rsidR="0025610F" w:rsidRDefault="0025610F">
            <w:pPr>
              <w:jc w:val="left"/>
              <w:rPr>
                <w:rFonts w:cs="Arial"/>
                <w:b/>
                <w:bCs/>
                <w:color w:val="000000"/>
                <w:sz w:val="16"/>
                <w:szCs w:val="16"/>
              </w:rPr>
            </w:pPr>
          </w:p>
        </w:tc>
        <w:tc>
          <w:tcPr>
            <w:tcW w:w="481" w:type="pct"/>
            <w:tcBorders>
              <w:top w:val="single" w:sz="4" w:space="0" w:color="auto"/>
              <w:left w:val="single" w:sz="4" w:space="0" w:color="auto"/>
              <w:right w:val="single" w:sz="4" w:space="0" w:color="auto"/>
            </w:tcBorders>
            <w:shd w:val="clear" w:color="auto" w:fill="A1F2FD"/>
            <w:tcMar>
              <w:top w:w="15" w:type="dxa"/>
              <w:left w:w="15" w:type="dxa"/>
              <w:bottom w:w="0" w:type="dxa"/>
              <w:right w:w="15" w:type="dxa"/>
            </w:tcMar>
            <w:vAlign w:val="center"/>
            <w:hideMark/>
          </w:tcPr>
          <w:p w14:paraId="614389F3" w14:textId="77777777" w:rsidR="0025610F" w:rsidRDefault="0025610F">
            <w:pPr>
              <w:jc w:val="center"/>
              <w:rPr>
                <w:rFonts w:cs="Arial"/>
                <w:b/>
                <w:bCs/>
                <w:color w:val="000000"/>
                <w:sz w:val="16"/>
                <w:szCs w:val="16"/>
              </w:rPr>
            </w:pPr>
            <w:r>
              <w:rPr>
                <w:rFonts w:cs="Arial"/>
                <w:b/>
                <w:bCs/>
                <w:color w:val="000000"/>
                <w:sz w:val="16"/>
                <w:szCs w:val="16"/>
              </w:rPr>
              <w:t>RPP</w:t>
            </w:r>
          </w:p>
        </w:tc>
        <w:tc>
          <w:tcPr>
            <w:tcW w:w="479" w:type="pct"/>
            <w:tcBorders>
              <w:top w:val="single" w:sz="4" w:space="0" w:color="auto"/>
              <w:left w:val="single" w:sz="4" w:space="0" w:color="auto"/>
              <w:right w:val="single" w:sz="4" w:space="0" w:color="auto"/>
            </w:tcBorders>
            <w:shd w:val="clear" w:color="auto" w:fill="A1F2FD"/>
            <w:tcMar>
              <w:top w:w="15" w:type="dxa"/>
              <w:left w:w="15" w:type="dxa"/>
              <w:bottom w:w="0" w:type="dxa"/>
              <w:right w:w="15" w:type="dxa"/>
            </w:tcMar>
            <w:vAlign w:val="center"/>
            <w:hideMark/>
          </w:tcPr>
          <w:p w14:paraId="77101F98" w14:textId="77777777" w:rsidR="0025610F" w:rsidRDefault="0025610F">
            <w:pPr>
              <w:jc w:val="center"/>
              <w:rPr>
                <w:rFonts w:cs="Arial"/>
                <w:b/>
                <w:bCs/>
                <w:color w:val="000000"/>
                <w:sz w:val="16"/>
                <w:szCs w:val="16"/>
              </w:rPr>
            </w:pPr>
            <w:r>
              <w:rPr>
                <w:rFonts w:cs="Arial"/>
                <w:b/>
                <w:bCs/>
                <w:color w:val="000000"/>
                <w:sz w:val="16"/>
                <w:szCs w:val="16"/>
              </w:rPr>
              <w:t>RPPN</w:t>
            </w:r>
          </w:p>
        </w:tc>
        <w:tc>
          <w:tcPr>
            <w:tcW w:w="530" w:type="pct"/>
            <w:tcBorders>
              <w:top w:val="single" w:sz="4" w:space="0" w:color="auto"/>
              <w:left w:val="single" w:sz="4" w:space="0" w:color="auto"/>
              <w:right w:val="single" w:sz="4" w:space="0" w:color="auto"/>
            </w:tcBorders>
            <w:shd w:val="clear" w:color="auto" w:fill="A1F2FD"/>
            <w:tcMar>
              <w:top w:w="15" w:type="dxa"/>
              <w:left w:w="15" w:type="dxa"/>
              <w:bottom w:w="0" w:type="dxa"/>
              <w:right w:w="15" w:type="dxa"/>
            </w:tcMar>
            <w:vAlign w:val="center"/>
            <w:hideMark/>
          </w:tcPr>
          <w:p w14:paraId="4098EEC6" w14:textId="77777777" w:rsidR="0025610F" w:rsidRDefault="0025610F">
            <w:pPr>
              <w:jc w:val="center"/>
              <w:rPr>
                <w:rFonts w:cs="Arial"/>
                <w:b/>
                <w:bCs/>
                <w:color w:val="000000"/>
                <w:sz w:val="16"/>
                <w:szCs w:val="16"/>
              </w:rPr>
            </w:pPr>
            <w:r>
              <w:rPr>
                <w:rFonts w:cs="Arial"/>
                <w:b/>
                <w:bCs/>
                <w:color w:val="000000"/>
                <w:sz w:val="16"/>
                <w:szCs w:val="16"/>
              </w:rPr>
              <w:t>Total</w:t>
            </w:r>
          </w:p>
        </w:tc>
        <w:tc>
          <w:tcPr>
            <w:tcW w:w="481" w:type="pct"/>
            <w:tcBorders>
              <w:top w:val="single" w:sz="4" w:space="0" w:color="auto"/>
              <w:left w:val="single" w:sz="4" w:space="0" w:color="auto"/>
              <w:right w:val="single" w:sz="4" w:space="0" w:color="auto"/>
            </w:tcBorders>
            <w:shd w:val="clear" w:color="auto" w:fill="A1F2FD"/>
            <w:tcMar>
              <w:top w:w="15" w:type="dxa"/>
              <w:left w:w="15" w:type="dxa"/>
              <w:bottom w:w="0" w:type="dxa"/>
              <w:right w:w="15" w:type="dxa"/>
            </w:tcMar>
            <w:vAlign w:val="center"/>
            <w:hideMark/>
          </w:tcPr>
          <w:p w14:paraId="460CF2C7" w14:textId="77777777" w:rsidR="0025610F" w:rsidRDefault="0025610F">
            <w:pPr>
              <w:jc w:val="center"/>
              <w:rPr>
                <w:rFonts w:cs="Arial"/>
                <w:b/>
                <w:bCs/>
                <w:color w:val="000000"/>
                <w:sz w:val="16"/>
                <w:szCs w:val="16"/>
              </w:rPr>
            </w:pPr>
            <w:r>
              <w:rPr>
                <w:rFonts w:cs="Arial"/>
                <w:b/>
                <w:bCs/>
                <w:color w:val="000000"/>
                <w:sz w:val="16"/>
                <w:szCs w:val="16"/>
              </w:rPr>
              <w:t>RPP</w:t>
            </w:r>
          </w:p>
        </w:tc>
        <w:tc>
          <w:tcPr>
            <w:tcW w:w="529" w:type="pct"/>
            <w:tcBorders>
              <w:top w:val="single" w:sz="4" w:space="0" w:color="auto"/>
              <w:left w:val="single" w:sz="4" w:space="0" w:color="auto"/>
              <w:right w:val="single" w:sz="4" w:space="0" w:color="auto"/>
            </w:tcBorders>
            <w:shd w:val="clear" w:color="auto" w:fill="A1F2FD"/>
            <w:tcMar>
              <w:top w:w="15" w:type="dxa"/>
              <w:left w:w="15" w:type="dxa"/>
              <w:bottom w:w="0" w:type="dxa"/>
              <w:right w:w="15" w:type="dxa"/>
            </w:tcMar>
            <w:vAlign w:val="center"/>
            <w:hideMark/>
          </w:tcPr>
          <w:p w14:paraId="79CA95C1" w14:textId="77777777" w:rsidR="0025610F" w:rsidRDefault="0025610F">
            <w:pPr>
              <w:jc w:val="center"/>
              <w:rPr>
                <w:rFonts w:cs="Arial"/>
                <w:b/>
                <w:bCs/>
                <w:color w:val="000000"/>
                <w:sz w:val="16"/>
                <w:szCs w:val="16"/>
              </w:rPr>
            </w:pPr>
            <w:r>
              <w:rPr>
                <w:rFonts w:cs="Arial"/>
                <w:b/>
                <w:bCs/>
                <w:color w:val="000000"/>
                <w:sz w:val="16"/>
                <w:szCs w:val="16"/>
              </w:rPr>
              <w:t>RPNP</w:t>
            </w:r>
          </w:p>
        </w:tc>
        <w:tc>
          <w:tcPr>
            <w:tcW w:w="530" w:type="pct"/>
            <w:tcBorders>
              <w:top w:val="single" w:sz="4" w:space="0" w:color="auto"/>
              <w:left w:val="single" w:sz="4" w:space="0" w:color="auto"/>
              <w:right w:val="single" w:sz="4" w:space="0" w:color="auto"/>
            </w:tcBorders>
            <w:shd w:val="clear" w:color="auto" w:fill="A1F2FD"/>
            <w:tcMar>
              <w:top w:w="15" w:type="dxa"/>
              <w:left w:w="15" w:type="dxa"/>
              <w:bottom w:w="0" w:type="dxa"/>
              <w:right w:w="15" w:type="dxa"/>
            </w:tcMar>
            <w:vAlign w:val="center"/>
            <w:hideMark/>
          </w:tcPr>
          <w:p w14:paraId="6BE008AB" w14:textId="77777777" w:rsidR="0025610F" w:rsidRDefault="0025610F">
            <w:pPr>
              <w:jc w:val="center"/>
              <w:rPr>
                <w:rFonts w:cs="Arial"/>
                <w:b/>
                <w:bCs/>
                <w:color w:val="000000"/>
                <w:sz w:val="16"/>
                <w:szCs w:val="16"/>
              </w:rPr>
            </w:pPr>
            <w:r>
              <w:rPr>
                <w:rFonts w:cs="Arial"/>
                <w:b/>
                <w:bCs/>
                <w:color w:val="000000"/>
                <w:sz w:val="16"/>
                <w:szCs w:val="16"/>
              </w:rPr>
              <w:t>Total</w:t>
            </w:r>
          </w:p>
        </w:tc>
        <w:tc>
          <w:tcPr>
            <w:tcW w:w="508" w:type="pct"/>
            <w:tcBorders>
              <w:top w:val="single" w:sz="4" w:space="0" w:color="auto"/>
              <w:left w:val="single" w:sz="4" w:space="0" w:color="auto"/>
              <w:right w:val="single" w:sz="4" w:space="0" w:color="auto"/>
            </w:tcBorders>
            <w:shd w:val="clear" w:color="auto" w:fill="A1F2FD"/>
            <w:tcMar>
              <w:top w:w="15" w:type="dxa"/>
              <w:left w:w="15" w:type="dxa"/>
              <w:bottom w:w="0" w:type="dxa"/>
              <w:right w:w="15" w:type="dxa"/>
            </w:tcMar>
            <w:vAlign w:val="center"/>
            <w:hideMark/>
          </w:tcPr>
          <w:p w14:paraId="0CB97632" w14:textId="77777777" w:rsidR="0025610F" w:rsidRDefault="0025610F">
            <w:pPr>
              <w:jc w:val="center"/>
              <w:rPr>
                <w:rFonts w:cs="Arial"/>
                <w:b/>
                <w:bCs/>
                <w:color w:val="000000"/>
                <w:sz w:val="16"/>
                <w:szCs w:val="16"/>
              </w:rPr>
            </w:pPr>
            <w:r>
              <w:rPr>
                <w:rFonts w:cs="Arial"/>
                <w:b/>
                <w:bCs/>
                <w:color w:val="000000"/>
                <w:sz w:val="16"/>
                <w:szCs w:val="16"/>
              </w:rPr>
              <w:t>RPP</w:t>
            </w:r>
          </w:p>
        </w:tc>
        <w:tc>
          <w:tcPr>
            <w:tcW w:w="529" w:type="pct"/>
            <w:tcBorders>
              <w:top w:val="single" w:sz="4" w:space="0" w:color="auto"/>
              <w:left w:val="single" w:sz="4" w:space="0" w:color="auto"/>
              <w:right w:val="single" w:sz="4" w:space="0" w:color="auto"/>
            </w:tcBorders>
            <w:shd w:val="clear" w:color="auto" w:fill="A1F2FD"/>
            <w:tcMar>
              <w:top w:w="15" w:type="dxa"/>
              <w:left w:w="15" w:type="dxa"/>
              <w:bottom w:w="0" w:type="dxa"/>
              <w:right w:w="15" w:type="dxa"/>
            </w:tcMar>
            <w:vAlign w:val="center"/>
            <w:hideMark/>
          </w:tcPr>
          <w:p w14:paraId="41F80932" w14:textId="77777777" w:rsidR="0025610F" w:rsidRDefault="0025610F">
            <w:pPr>
              <w:jc w:val="center"/>
              <w:rPr>
                <w:rFonts w:cs="Arial"/>
                <w:b/>
                <w:bCs/>
                <w:color w:val="000000"/>
                <w:sz w:val="16"/>
                <w:szCs w:val="16"/>
              </w:rPr>
            </w:pPr>
            <w:r>
              <w:rPr>
                <w:rFonts w:cs="Arial"/>
                <w:b/>
                <w:bCs/>
                <w:color w:val="000000"/>
                <w:sz w:val="16"/>
                <w:szCs w:val="16"/>
              </w:rPr>
              <w:t>RPNP</w:t>
            </w:r>
          </w:p>
        </w:tc>
        <w:tc>
          <w:tcPr>
            <w:tcW w:w="529" w:type="pct"/>
            <w:tcBorders>
              <w:top w:val="single" w:sz="4" w:space="0" w:color="auto"/>
              <w:left w:val="single" w:sz="4" w:space="0" w:color="auto"/>
              <w:right w:val="nil"/>
            </w:tcBorders>
            <w:shd w:val="clear" w:color="auto" w:fill="A1F2FD"/>
            <w:tcMar>
              <w:top w:w="15" w:type="dxa"/>
              <w:left w:w="15" w:type="dxa"/>
              <w:bottom w:w="0" w:type="dxa"/>
              <w:right w:w="15" w:type="dxa"/>
            </w:tcMar>
            <w:vAlign w:val="center"/>
            <w:hideMark/>
          </w:tcPr>
          <w:p w14:paraId="6385A35F" w14:textId="77777777" w:rsidR="0025610F" w:rsidRDefault="0025610F">
            <w:pPr>
              <w:jc w:val="center"/>
              <w:rPr>
                <w:rFonts w:cs="Arial"/>
                <w:b/>
                <w:bCs/>
                <w:color w:val="000000"/>
                <w:sz w:val="16"/>
                <w:szCs w:val="16"/>
              </w:rPr>
            </w:pPr>
            <w:r>
              <w:rPr>
                <w:rFonts w:cs="Arial"/>
                <w:b/>
                <w:bCs/>
                <w:color w:val="000000"/>
                <w:sz w:val="16"/>
                <w:szCs w:val="16"/>
              </w:rPr>
              <w:t>Total</w:t>
            </w:r>
          </w:p>
        </w:tc>
      </w:tr>
      <w:tr w:rsidR="0025610F" w14:paraId="5BC4E83C" w14:textId="77777777" w:rsidTr="00841A88">
        <w:trPr>
          <w:trHeight w:val="397"/>
        </w:trPr>
        <w:tc>
          <w:tcPr>
            <w:tcW w:w="404" w:type="pct"/>
            <w:vMerge/>
            <w:tcBorders>
              <w:top w:val="single" w:sz="8" w:space="0" w:color="000000"/>
              <w:left w:val="nil"/>
              <w:bottom w:val="single" w:sz="4" w:space="0" w:color="auto"/>
              <w:right w:val="single" w:sz="4" w:space="0" w:color="auto"/>
            </w:tcBorders>
            <w:vAlign w:val="center"/>
            <w:hideMark/>
          </w:tcPr>
          <w:p w14:paraId="64C6B85D" w14:textId="77777777" w:rsidR="0025610F" w:rsidRDefault="0025610F">
            <w:pPr>
              <w:jc w:val="left"/>
              <w:rPr>
                <w:rFonts w:cs="Arial"/>
                <w:b/>
                <w:bCs/>
                <w:color w:val="000000"/>
                <w:sz w:val="16"/>
                <w:szCs w:val="16"/>
              </w:rPr>
            </w:pPr>
          </w:p>
        </w:tc>
        <w:tc>
          <w:tcPr>
            <w:tcW w:w="481" w:type="pct"/>
            <w:tcBorders>
              <w:top w:val="nil"/>
              <w:left w:val="single" w:sz="4" w:space="0" w:color="auto"/>
              <w:bottom w:val="single" w:sz="4" w:space="0" w:color="auto"/>
              <w:right w:val="single" w:sz="4" w:space="0" w:color="auto"/>
            </w:tcBorders>
            <w:shd w:val="clear" w:color="auto" w:fill="A1F2FD"/>
            <w:tcMar>
              <w:top w:w="15" w:type="dxa"/>
              <w:left w:w="15" w:type="dxa"/>
              <w:bottom w:w="0" w:type="dxa"/>
              <w:right w:w="15" w:type="dxa"/>
            </w:tcMar>
            <w:vAlign w:val="center"/>
            <w:hideMark/>
          </w:tcPr>
          <w:p w14:paraId="369BB5DB" w14:textId="77777777" w:rsidR="0025610F" w:rsidRDefault="0025610F">
            <w:pPr>
              <w:jc w:val="center"/>
              <w:rPr>
                <w:rFonts w:cs="Arial"/>
                <w:b/>
                <w:bCs/>
                <w:color w:val="000000"/>
                <w:sz w:val="16"/>
                <w:szCs w:val="16"/>
              </w:rPr>
            </w:pPr>
            <w:r>
              <w:rPr>
                <w:rFonts w:cs="Arial"/>
                <w:b/>
                <w:bCs/>
                <w:color w:val="000000"/>
                <w:sz w:val="16"/>
                <w:szCs w:val="16"/>
              </w:rPr>
              <w:t>(a)</w:t>
            </w:r>
          </w:p>
        </w:tc>
        <w:tc>
          <w:tcPr>
            <w:tcW w:w="479" w:type="pct"/>
            <w:tcBorders>
              <w:top w:val="nil"/>
              <w:left w:val="single" w:sz="4" w:space="0" w:color="auto"/>
              <w:bottom w:val="single" w:sz="4" w:space="0" w:color="auto"/>
              <w:right w:val="single" w:sz="4" w:space="0" w:color="auto"/>
            </w:tcBorders>
            <w:shd w:val="clear" w:color="auto" w:fill="A1F2FD"/>
            <w:tcMar>
              <w:top w:w="15" w:type="dxa"/>
              <w:left w:w="15" w:type="dxa"/>
              <w:bottom w:w="0" w:type="dxa"/>
              <w:right w:w="15" w:type="dxa"/>
            </w:tcMar>
            <w:vAlign w:val="center"/>
            <w:hideMark/>
          </w:tcPr>
          <w:p w14:paraId="0E9C65E2" w14:textId="77777777" w:rsidR="0025610F" w:rsidRDefault="0025610F">
            <w:pPr>
              <w:jc w:val="center"/>
              <w:rPr>
                <w:rFonts w:cs="Arial"/>
                <w:b/>
                <w:bCs/>
                <w:color w:val="000000"/>
                <w:sz w:val="16"/>
                <w:szCs w:val="16"/>
              </w:rPr>
            </w:pPr>
            <w:r>
              <w:rPr>
                <w:rFonts w:cs="Arial"/>
                <w:b/>
                <w:bCs/>
                <w:color w:val="000000"/>
                <w:sz w:val="16"/>
                <w:szCs w:val="16"/>
              </w:rPr>
              <w:t>(b)</w:t>
            </w:r>
          </w:p>
        </w:tc>
        <w:tc>
          <w:tcPr>
            <w:tcW w:w="530" w:type="pct"/>
            <w:tcBorders>
              <w:top w:val="nil"/>
              <w:left w:val="single" w:sz="4" w:space="0" w:color="auto"/>
              <w:bottom w:val="single" w:sz="4" w:space="0" w:color="auto"/>
              <w:right w:val="single" w:sz="4" w:space="0" w:color="auto"/>
            </w:tcBorders>
            <w:shd w:val="clear" w:color="auto" w:fill="A1F2FD"/>
            <w:tcMar>
              <w:top w:w="15" w:type="dxa"/>
              <w:left w:w="15" w:type="dxa"/>
              <w:bottom w:w="0" w:type="dxa"/>
              <w:right w:w="15" w:type="dxa"/>
            </w:tcMar>
            <w:vAlign w:val="center"/>
            <w:hideMark/>
          </w:tcPr>
          <w:p w14:paraId="20FD41FB" w14:textId="4DA73D46" w:rsidR="0025610F" w:rsidRDefault="0025610F">
            <w:pPr>
              <w:jc w:val="center"/>
              <w:rPr>
                <w:rFonts w:cs="Arial"/>
                <w:b/>
                <w:bCs/>
                <w:color w:val="000000"/>
                <w:sz w:val="16"/>
                <w:szCs w:val="16"/>
              </w:rPr>
            </w:pPr>
            <w:r>
              <w:rPr>
                <w:rFonts w:cs="Arial"/>
                <w:b/>
                <w:bCs/>
                <w:color w:val="000000"/>
                <w:sz w:val="16"/>
                <w:szCs w:val="16"/>
              </w:rPr>
              <w:t>(c)</w:t>
            </w:r>
            <w:r w:rsidR="00DC4A1A">
              <w:rPr>
                <w:rFonts w:cs="Arial"/>
                <w:b/>
                <w:bCs/>
                <w:color w:val="000000"/>
                <w:sz w:val="16"/>
                <w:szCs w:val="16"/>
              </w:rPr>
              <w:t xml:space="preserve"> </w:t>
            </w:r>
            <w:r>
              <w:rPr>
                <w:rFonts w:cs="Arial"/>
                <w:b/>
                <w:bCs/>
                <w:color w:val="000000"/>
                <w:sz w:val="16"/>
                <w:szCs w:val="16"/>
              </w:rPr>
              <w:t>=</w:t>
            </w:r>
            <w:r w:rsidR="00DC4A1A">
              <w:rPr>
                <w:rFonts w:cs="Arial"/>
                <w:b/>
                <w:bCs/>
                <w:color w:val="000000"/>
                <w:sz w:val="16"/>
                <w:szCs w:val="16"/>
              </w:rPr>
              <w:t xml:space="preserve"> </w:t>
            </w:r>
            <w:r>
              <w:rPr>
                <w:rFonts w:cs="Arial"/>
                <w:b/>
                <w:bCs/>
                <w:color w:val="000000"/>
                <w:sz w:val="16"/>
                <w:szCs w:val="16"/>
              </w:rPr>
              <w:t>(a+b)</w:t>
            </w:r>
          </w:p>
        </w:tc>
        <w:tc>
          <w:tcPr>
            <w:tcW w:w="481" w:type="pct"/>
            <w:tcBorders>
              <w:top w:val="nil"/>
              <w:left w:val="single" w:sz="4" w:space="0" w:color="auto"/>
              <w:bottom w:val="single" w:sz="4" w:space="0" w:color="auto"/>
              <w:right w:val="single" w:sz="4" w:space="0" w:color="auto"/>
            </w:tcBorders>
            <w:shd w:val="clear" w:color="auto" w:fill="A1F2FD"/>
            <w:tcMar>
              <w:top w:w="15" w:type="dxa"/>
              <w:left w:w="15" w:type="dxa"/>
              <w:bottom w:w="0" w:type="dxa"/>
              <w:right w:w="15" w:type="dxa"/>
            </w:tcMar>
            <w:vAlign w:val="center"/>
            <w:hideMark/>
          </w:tcPr>
          <w:p w14:paraId="2ED8FA79" w14:textId="77777777" w:rsidR="0025610F" w:rsidRDefault="0025610F">
            <w:pPr>
              <w:jc w:val="center"/>
              <w:rPr>
                <w:rFonts w:cs="Arial"/>
                <w:b/>
                <w:bCs/>
                <w:color w:val="000000"/>
                <w:sz w:val="16"/>
                <w:szCs w:val="16"/>
              </w:rPr>
            </w:pPr>
            <w:r>
              <w:rPr>
                <w:rFonts w:cs="Arial"/>
                <w:b/>
                <w:bCs/>
                <w:color w:val="000000"/>
                <w:sz w:val="16"/>
                <w:szCs w:val="16"/>
              </w:rPr>
              <w:t>(d)</w:t>
            </w:r>
          </w:p>
        </w:tc>
        <w:tc>
          <w:tcPr>
            <w:tcW w:w="529" w:type="pct"/>
            <w:tcBorders>
              <w:top w:val="nil"/>
              <w:left w:val="single" w:sz="4" w:space="0" w:color="auto"/>
              <w:bottom w:val="single" w:sz="4" w:space="0" w:color="auto"/>
              <w:right w:val="single" w:sz="4" w:space="0" w:color="auto"/>
            </w:tcBorders>
            <w:shd w:val="clear" w:color="auto" w:fill="A1F2FD"/>
            <w:tcMar>
              <w:top w:w="15" w:type="dxa"/>
              <w:left w:w="15" w:type="dxa"/>
              <w:bottom w:w="0" w:type="dxa"/>
              <w:right w:w="15" w:type="dxa"/>
            </w:tcMar>
            <w:vAlign w:val="center"/>
            <w:hideMark/>
          </w:tcPr>
          <w:p w14:paraId="550DC7F3" w14:textId="77777777" w:rsidR="0025610F" w:rsidRDefault="0025610F">
            <w:pPr>
              <w:jc w:val="center"/>
              <w:rPr>
                <w:rFonts w:cs="Arial"/>
                <w:b/>
                <w:bCs/>
                <w:color w:val="000000"/>
                <w:sz w:val="16"/>
                <w:szCs w:val="16"/>
              </w:rPr>
            </w:pPr>
            <w:r>
              <w:rPr>
                <w:rFonts w:cs="Arial"/>
                <w:b/>
                <w:bCs/>
                <w:color w:val="000000"/>
                <w:sz w:val="16"/>
                <w:szCs w:val="16"/>
              </w:rPr>
              <w:t>(e)</w:t>
            </w:r>
          </w:p>
        </w:tc>
        <w:tc>
          <w:tcPr>
            <w:tcW w:w="530" w:type="pct"/>
            <w:tcBorders>
              <w:top w:val="nil"/>
              <w:left w:val="single" w:sz="4" w:space="0" w:color="auto"/>
              <w:bottom w:val="single" w:sz="4" w:space="0" w:color="auto"/>
              <w:right w:val="single" w:sz="4" w:space="0" w:color="auto"/>
            </w:tcBorders>
            <w:shd w:val="clear" w:color="auto" w:fill="A1F2FD"/>
            <w:tcMar>
              <w:top w:w="15" w:type="dxa"/>
              <w:left w:w="15" w:type="dxa"/>
              <w:bottom w:w="0" w:type="dxa"/>
              <w:right w:w="15" w:type="dxa"/>
            </w:tcMar>
            <w:vAlign w:val="center"/>
            <w:hideMark/>
          </w:tcPr>
          <w:p w14:paraId="0CBCA6DF" w14:textId="777DAC8C" w:rsidR="0025610F" w:rsidRDefault="0025610F">
            <w:pPr>
              <w:jc w:val="center"/>
              <w:rPr>
                <w:rFonts w:cs="Arial"/>
                <w:b/>
                <w:bCs/>
                <w:color w:val="000000"/>
                <w:sz w:val="16"/>
                <w:szCs w:val="16"/>
              </w:rPr>
            </w:pPr>
            <w:r>
              <w:rPr>
                <w:rFonts w:cs="Arial"/>
                <w:b/>
                <w:bCs/>
                <w:color w:val="000000"/>
                <w:sz w:val="16"/>
                <w:szCs w:val="16"/>
              </w:rPr>
              <w:t>(f)</w:t>
            </w:r>
            <w:r w:rsidR="00DC4A1A">
              <w:rPr>
                <w:rFonts w:cs="Arial"/>
                <w:b/>
                <w:bCs/>
                <w:color w:val="000000"/>
                <w:sz w:val="16"/>
                <w:szCs w:val="16"/>
              </w:rPr>
              <w:t xml:space="preserve"> </w:t>
            </w:r>
            <w:r>
              <w:rPr>
                <w:rFonts w:cs="Arial"/>
                <w:b/>
                <w:bCs/>
                <w:color w:val="000000"/>
                <w:sz w:val="16"/>
                <w:szCs w:val="16"/>
              </w:rPr>
              <w:t>=</w:t>
            </w:r>
            <w:r w:rsidR="003202F7">
              <w:rPr>
                <w:rFonts w:cs="Arial"/>
                <w:b/>
                <w:bCs/>
                <w:color w:val="000000"/>
                <w:sz w:val="16"/>
                <w:szCs w:val="16"/>
              </w:rPr>
              <w:t xml:space="preserve"> </w:t>
            </w:r>
            <w:r>
              <w:rPr>
                <w:rFonts w:cs="Arial"/>
                <w:b/>
                <w:bCs/>
                <w:color w:val="000000"/>
                <w:sz w:val="16"/>
                <w:szCs w:val="16"/>
              </w:rPr>
              <w:t>(d+e)</w:t>
            </w:r>
          </w:p>
        </w:tc>
        <w:tc>
          <w:tcPr>
            <w:tcW w:w="508" w:type="pct"/>
            <w:tcBorders>
              <w:top w:val="nil"/>
              <w:left w:val="single" w:sz="4" w:space="0" w:color="auto"/>
              <w:bottom w:val="single" w:sz="4" w:space="0" w:color="auto"/>
              <w:right w:val="single" w:sz="4" w:space="0" w:color="auto"/>
            </w:tcBorders>
            <w:shd w:val="clear" w:color="auto" w:fill="A1F2FD"/>
            <w:tcMar>
              <w:top w:w="15" w:type="dxa"/>
              <w:left w:w="15" w:type="dxa"/>
              <w:bottom w:w="0" w:type="dxa"/>
              <w:right w:w="15" w:type="dxa"/>
            </w:tcMar>
            <w:vAlign w:val="center"/>
            <w:hideMark/>
          </w:tcPr>
          <w:p w14:paraId="3C5A7A93" w14:textId="5CFEE637" w:rsidR="0025610F" w:rsidRDefault="0025610F">
            <w:pPr>
              <w:jc w:val="center"/>
              <w:rPr>
                <w:rFonts w:cs="Arial"/>
                <w:b/>
                <w:bCs/>
                <w:color w:val="000000"/>
                <w:sz w:val="16"/>
                <w:szCs w:val="16"/>
              </w:rPr>
            </w:pPr>
            <w:r>
              <w:rPr>
                <w:rFonts w:cs="Arial"/>
                <w:b/>
                <w:bCs/>
                <w:color w:val="000000"/>
                <w:sz w:val="16"/>
                <w:szCs w:val="16"/>
              </w:rPr>
              <w:t>(g)</w:t>
            </w:r>
            <w:r w:rsidR="00781DD8">
              <w:rPr>
                <w:rFonts w:cs="Arial"/>
                <w:b/>
                <w:bCs/>
                <w:color w:val="000000"/>
                <w:sz w:val="16"/>
                <w:szCs w:val="16"/>
              </w:rPr>
              <w:t xml:space="preserve"> </w:t>
            </w:r>
            <w:r>
              <w:rPr>
                <w:rFonts w:cs="Arial"/>
                <w:b/>
                <w:bCs/>
                <w:color w:val="000000"/>
                <w:sz w:val="16"/>
                <w:szCs w:val="16"/>
              </w:rPr>
              <w:t>=</w:t>
            </w:r>
            <w:r w:rsidR="003202F7">
              <w:rPr>
                <w:rFonts w:cs="Arial"/>
                <w:b/>
                <w:bCs/>
                <w:color w:val="000000"/>
                <w:sz w:val="16"/>
                <w:szCs w:val="16"/>
              </w:rPr>
              <w:t xml:space="preserve"> </w:t>
            </w:r>
            <w:r>
              <w:rPr>
                <w:rFonts w:cs="Arial"/>
                <w:b/>
                <w:bCs/>
                <w:color w:val="000000"/>
                <w:sz w:val="16"/>
                <w:szCs w:val="16"/>
              </w:rPr>
              <w:t>(a+d)</w:t>
            </w:r>
          </w:p>
        </w:tc>
        <w:tc>
          <w:tcPr>
            <w:tcW w:w="529" w:type="pct"/>
            <w:tcBorders>
              <w:top w:val="nil"/>
              <w:left w:val="single" w:sz="4" w:space="0" w:color="auto"/>
              <w:bottom w:val="single" w:sz="4" w:space="0" w:color="auto"/>
              <w:right w:val="single" w:sz="4" w:space="0" w:color="auto"/>
            </w:tcBorders>
            <w:shd w:val="clear" w:color="auto" w:fill="A1F2FD"/>
            <w:tcMar>
              <w:top w:w="15" w:type="dxa"/>
              <w:left w:w="15" w:type="dxa"/>
              <w:bottom w:w="0" w:type="dxa"/>
              <w:right w:w="15" w:type="dxa"/>
            </w:tcMar>
            <w:vAlign w:val="center"/>
            <w:hideMark/>
          </w:tcPr>
          <w:p w14:paraId="761D30C4" w14:textId="65853FEF" w:rsidR="0025610F" w:rsidRDefault="0025610F">
            <w:pPr>
              <w:jc w:val="center"/>
              <w:rPr>
                <w:rFonts w:cs="Arial"/>
                <w:b/>
                <w:bCs/>
                <w:color w:val="000000"/>
                <w:sz w:val="16"/>
                <w:szCs w:val="16"/>
              </w:rPr>
            </w:pPr>
            <w:r>
              <w:rPr>
                <w:rFonts w:cs="Arial"/>
                <w:b/>
                <w:bCs/>
                <w:color w:val="000000"/>
                <w:sz w:val="16"/>
                <w:szCs w:val="16"/>
              </w:rPr>
              <w:t>(h)</w:t>
            </w:r>
            <w:r w:rsidR="00781DD8">
              <w:rPr>
                <w:rFonts w:cs="Arial"/>
                <w:b/>
                <w:bCs/>
                <w:color w:val="000000"/>
                <w:sz w:val="16"/>
                <w:szCs w:val="16"/>
              </w:rPr>
              <w:t xml:space="preserve"> </w:t>
            </w:r>
            <w:r>
              <w:rPr>
                <w:rFonts w:cs="Arial"/>
                <w:b/>
                <w:bCs/>
                <w:color w:val="000000"/>
                <w:sz w:val="16"/>
                <w:szCs w:val="16"/>
              </w:rPr>
              <w:t>=</w:t>
            </w:r>
            <w:r w:rsidR="003202F7">
              <w:rPr>
                <w:rFonts w:cs="Arial"/>
                <w:b/>
                <w:bCs/>
                <w:color w:val="000000"/>
                <w:sz w:val="16"/>
                <w:szCs w:val="16"/>
              </w:rPr>
              <w:t xml:space="preserve"> </w:t>
            </w:r>
            <w:r>
              <w:rPr>
                <w:rFonts w:cs="Arial"/>
                <w:b/>
                <w:bCs/>
                <w:color w:val="000000"/>
                <w:sz w:val="16"/>
                <w:szCs w:val="16"/>
              </w:rPr>
              <w:t>(b+e)</w:t>
            </w:r>
          </w:p>
        </w:tc>
        <w:tc>
          <w:tcPr>
            <w:tcW w:w="529" w:type="pct"/>
            <w:tcBorders>
              <w:top w:val="nil"/>
              <w:left w:val="single" w:sz="4" w:space="0" w:color="auto"/>
              <w:bottom w:val="single" w:sz="4" w:space="0" w:color="auto"/>
              <w:right w:val="nil"/>
            </w:tcBorders>
            <w:shd w:val="clear" w:color="auto" w:fill="A1F2FD"/>
            <w:tcMar>
              <w:top w:w="15" w:type="dxa"/>
              <w:left w:w="15" w:type="dxa"/>
              <w:bottom w:w="0" w:type="dxa"/>
              <w:right w:w="15" w:type="dxa"/>
            </w:tcMar>
            <w:vAlign w:val="center"/>
            <w:hideMark/>
          </w:tcPr>
          <w:p w14:paraId="58E4C776" w14:textId="098CFBC2" w:rsidR="0025610F" w:rsidRDefault="0025610F">
            <w:pPr>
              <w:jc w:val="center"/>
              <w:rPr>
                <w:rFonts w:cs="Arial"/>
                <w:b/>
                <w:bCs/>
                <w:color w:val="000000"/>
                <w:sz w:val="16"/>
                <w:szCs w:val="16"/>
              </w:rPr>
            </w:pPr>
            <w:r>
              <w:rPr>
                <w:rFonts w:cs="Arial"/>
                <w:b/>
                <w:bCs/>
                <w:color w:val="000000"/>
                <w:sz w:val="16"/>
                <w:szCs w:val="16"/>
              </w:rPr>
              <w:t>(i)</w:t>
            </w:r>
            <w:r w:rsidR="00781DD8">
              <w:rPr>
                <w:rFonts w:cs="Arial"/>
                <w:b/>
                <w:bCs/>
                <w:color w:val="000000"/>
                <w:sz w:val="16"/>
                <w:szCs w:val="16"/>
              </w:rPr>
              <w:t xml:space="preserve"> </w:t>
            </w:r>
            <w:r>
              <w:rPr>
                <w:rFonts w:cs="Arial"/>
                <w:b/>
                <w:bCs/>
                <w:color w:val="000000"/>
                <w:sz w:val="16"/>
                <w:szCs w:val="16"/>
              </w:rPr>
              <w:t>=</w:t>
            </w:r>
            <w:r w:rsidR="003202F7">
              <w:rPr>
                <w:rFonts w:cs="Arial"/>
                <w:b/>
                <w:bCs/>
                <w:color w:val="000000"/>
                <w:sz w:val="16"/>
                <w:szCs w:val="16"/>
              </w:rPr>
              <w:t xml:space="preserve"> </w:t>
            </w:r>
            <w:r>
              <w:rPr>
                <w:rFonts w:cs="Arial"/>
                <w:b/>
                <w:bCs/>
                <w:color w:val="000000"/>
                <w:sz w:val="16"/>
                <w:szCs w:val="16"/>
              </w:rPr>
              <w:t>(g+h)</w:t>
            </w:r>
          </w:p>
        </w:tc>
      </w:tr>
      <w:tr w:rsidR="0025610F" w14:paraId="06D910E1" w14:textId="77777777" w:rsidTr="00841A88">
        <w:trPr>
          <w:trHeight w:val="397"/>
        </w:trPr>
        <w:tc>
          <w:tcPr>
            <w:tcW w:w="404" w:type="pct"/>
            <w:tcBorders>
              <w:top w:val="single" w:sz="4" w:space="0" w:color="auto"/>
              <w:left w:val="nil"/>
              <w:bottom w:val="nil"/>
              <w:right w:val="single" w:sz="4" w:space="0" w:color="auto"/>
            </w:tcBorders>
            <w:tcMar>
              <w:top w:w="15" w:type="dxa"/>
              <w:left w:w="15" w:type="dxa"/>
              <w:bottom w:w="0" w:type="dxa"/>
              <w:right w:w="15" w:type="dxa"/>
            </w:tcMar>
            <w:vAlign w:val="center"/>
            <w:hideMark/>
          </w:tcPr>
          <w:p w14:paraId="2C0E34FE" w14:textId="77777777" w:rsidR="0025610F" w:rsidRDefault="0025610F" w:rsidP="00E949C4">
            <w:pPr>
              <w:ind w:hanging="33"/>
              <w:jc w:val="center"/>
              <w:rPr>
                <w:rFonts w:cs="Arial"/>
                <w:color w:val="000000"/>
                <w:sz w:val="15"/>
                <w:szCs w:val="15"/>
              </w:rPr>
            </w:pPr>
            <w:r>
              <w:rPr>
                <w:rFonts w:cs="Arial"/>
                <w:color w:val="000000"/>
                <w:sz w:val="15"/>
                <w:szCs w:val="15"/>
              </w:rPr>
              <w:t>Defensoria</w:t>
            </w:r>
          </w:p>
        </w:tc>
        <w:tc>
          <w:tcPr>
            <w:tcW w:w="481" w:type="pct"/>
            <w:tcBorders>
              <w:top w:val="single" w:sz="4" w:space="0" w:color="auto"/>
              <w:left w:val="single" w:sz="4" w:space="0" w:color="auto"/>
              <w:bottom w:val="nil"/>
              <w:right w:val="single" w:sz="4" w:space="0" w:color="auto"/>
            </w:tcBorders>
            <w:tcMar>
              <w:top w:w="15" w:type="dxa"/>
              <w:left w:w="15" w:type="dxa"/>
              <w:bottom w:w="0" w:type="dxa"/>
              <w:right w:w="15" w:type="dxa"/>
            </w:tcMar>
            <w:vAlign w:val="center"/>
            <w:hideMark/>
          </w:tcPr>
          <w:p w14:paraId="3813BD08" w14:textId="77777777" w:rsidR="0025610F" w:rsidRPr="00E5642A" w:rsidRDefault="0025610F" w:rsidP="004E785E">
            <w:pPr>
              <w:ind w:right="52"/>
              <w:jc w:val="right"/>
              <w:rPr>
                <w:rFonts w:cs="Arial"/>
                <w:color w:val="000000"/>
                <w:sz w:val="15"/>
                <w:szCs w:val="15"/>
              </w:rPr>
            </w:pPr>
          </w:p>
        </w:tc>
        <w:tc>
          <w:tcPr>
            <w:tcW w:w="479" w:type="pct"/>
            <w:tcBorders>
              <w:top w:val="single" w:sz="4" w:space="0" w:color="auto"/>
              <w:left w:val="single" w:sz="4" w:space="0" w:color="auto"/>
              <w:bottom w:val="nil"/>
              <w:right w:val="single" w:sz="4" w:space="0" w:color="auto"/>
            </w:tcBorders>
            <w:tcMar>
              <w:top w:w="15" w:type="dxa"/>
              <w:left w:w="15" w:type="dxa"/>
              <w:bottom w:w="0" w:type="dxa"/>
              <w:right w:w="15" w:type="dxa"/>
            </w:tcMar>
            <w:vAlign w:val="center"/>
            <w:hideMark/>
          </w:tcPr>
          <w:p w14:paraId="68479DB1" w14:textId="77777777" w:rsidR="0025610F" w:rsidRPr="00E5642A" w:rsidRDefault="0025610F" w:rsidP="00E5642A">
            <w:pPr>
              <w:jc w:val="right"/>
              <w:rPr>
                <w:rFonts w:cs="Arial"/>
                <w:sz w:val="15"/>
                <w:szCs w:val="15"/>
              </w:rPr>
            </w:pPr>
          </w:p>
        </w:tc>
        <w:tc>
          <w:tcPr>
            <w:tcW w:w="530" w:type="pct"/>
            <w:tcBorders>
              <w:top w:val="single" w:sz="4" w:space="0" w:color="auto"/>
              <w:left w:val="single" w:sz="4" w:space="0" w:color="auto"/>
              <w:bottom w:val="nil"/>
              <w:right w:val="single" w:sz="4" w:space="0" w:color="auto"/>
            </w:tcBorders>
            <w:tcMar>
              <w:top w:w="15" w:type="dxa"/>
              <w:left w:w="15" w:type="dxa"/>
              <w:bottom w:w="0" w:type="dxa"/>
              <w:right w:w="15" w:type="dxa"/>
            </w:tcMar>
            <w:vAlign w:val="center"/>
            <w:hideMark/>
          </w:tcPr>
          <w:p w14:paraId="1E797B93" w14:textId="77777777" w:rsidR="0025610F" w:rsidRPr="00E5642A" w:rsidRDefault="0025610F" w:rsidP="004E785E">
            <w:pPr>
              <w:jc w:val="right"/>
              <w:rPr>
                <w:rFonts w:cs="Arial"/>
                <w:color w:val="000000"/>
                <w:sz w:val="15"/>
                <w:szCs w:val="15"/>
              </w:rPr>
            </w:pPr>
            <w:r w:rsidRPr="00E5642A">
              <w:rPr>
                <w:rFonts w:cs="Arial"/>
                <w:color w:val="000000"/>
                <w:sz w:val="15"/>
                <w:szCs w:val="15"/>
              </w:rPr>
              <w:t>-</w:t>
            </w:r>
          </w:p>
        </w:tc>
        <w:tc>
          <w:tcPr>
            <w:tcW w:w="481" w:type="pct"/>
            <w:tcBorders>
              <w:top w:val="single" w:sz="4" w:space="0" w:color="auto"/>
              <w:left w:val="single" w:sz="4" w:space="0" w:color="auto"/>
              <w:bottom w:val="nil"/>
              <w:right w:val="single" w:sz="4" w:space="0" w:color="auto"/>
            </w:tcBorders>
            <w:tcMar>
              <w:top w:w="15" w:type="dxa"/>
              <w:left w:w="15" w:type="dxa"/>
              <w:bottom w:w="0" w:type="dxa"/>
              <w:right w:w="15" w:type="dxa"/>
            </w:tcMar>
            <w:vAlign w:val="center"/>
            <w:hideMark/>
          </w:tcPr>
          <w:p w14:paraId="35867BF0" w14:textId="77777777" w:rsidR="0025610F" w:rsidRPr="00E5642A" w:rsidRDefault="0025610F" w:rsidP="00E5642A">
            <w:pPr>
              <w:jc w:val="right"/>
              <w:rPr>
                <w:rFonts w:cs="Arial"/>
                <w:color w:val="000000"/>
                <w:sz w:val="15"/>
                <w:szCs w:val="15"/>
              </w:rPr>
            </w:pPr>
            <w:r w:rsidRPr="00E5642A">
              <w:rPr>
                <w:rFonts w:cs="Arial"/>
                <w:color w:val="000000"/>
                <w:sz w:val="15"/>
                <w:szCs w:val="15"/>
              </w:rPr>
              <w:t>202.081</w:t>
            </w:r>
          </w:p>
        </w:tc>
        <w:tc>
          <w:tcPr>
            <w:tcW w:w="529" w:type="pct"/>
            <w:tcBorders>
              <w:top w:val="single" w:sz="4" w:space="0" w:color="auto"/>
              <w:left w:val="single" w:sz="4" w:space="0" w:color="auto"/>
              <w:bottom w:val="nil"/>
              <w:right w:val="single" w:sz="4" w:space="0" w:color="auto"/>
            </w:tcBorders>
            <w:tcMar>
              <w:top w:w="15" w:type="dxa"/>
              <w:left w:w="15" w:type="dxa"/>
              <w:bottom w:w="0" w:type="dxa"/>
              <w:right w:w="15" w:type="dxa"/>
            </w:tcMar>
            <w:vAlign w:val="center"/>
            <w:hideMark/>
          </w:tcPr>
          <w:p w14:paraId="034D6F3F" w14:textId="77777777" w:rsidR="0025610F" w:rsidRPr="00E5642A" w:rsidRDefault="0025610F" w:rsidP="00E5642A">
            <w:pPr>
              <w:jc w:val="right"/>
              <w:rPr>
                <w:rFonts w:cs="Arial"/>
                <w:color w:val="000000"/>
                <w:sz w:val="15"/>
                <w:szCs w:val="15"/>
              </w:rPr>
            </w:pPr>
            <w:r w:rsidRPr="00E5642A">
              <w:rPr>
                <w:rFonts w:cs="Arial"/>
                <w:color w:val="000000"/>
                <w:sz w:val="15"/>
                <w:szCs w:val="15"/>
              </w:rPr>
              <w:t>3.617.928</w:t>
            </w:r>
          </w:p>
        </w:tc>
        <w:tc>
          <w:tcPr>
            <w:tcW w:w="530" w:type="pct"/>
            <w:tcBorders>
              <w:top w:val="single" w:sz="4" w:space="0" w:color="auto"/>
              <w:left w:val="single" w:sz="4" w:space="0" w:color="auto"/>
              <w:bottom w:val="nil"/>
              <w:right w:val="single" w:sz="4" w:space="0" w:color="auto"/>
            </w:tcBorders>
            <w:tcMar>
              <w:top w:w="15" w:type="dxa"/>
              <w:left w:w="15" w:type="dxa"/>
              <w:bottom w:w="0" w:type="dxa"/>
              <w:right w:w="15" w:type="dxa"/>
            </w:tcMar>
            <w:vAlign w:val="center"/>
            <w:hideMark/>
          </w:tcPr>
          <w:p w14:paraId="4CB17B2F" w14:textId="77777777" w:rsidR="0025610F" w:rsidRPr="00E5642A" w:rsidRDefault="0025610F" w:rsidP="00E5642A">
            <w:pPr>
              <w:jc w:val="right"/>
              <w:rPr>
                <w:rFonts w:cs="Arial"/>
                <w:color w:val="000000"/>
                <w:sz w:val="15"/>
                <w:szCs w:val="15"/>
              </w:rPr>
            </w:pPr>
            <w:r w:rsidRPr="00E5642A">
              <w:rPr>
                <w:rFonts w:cs="Arial"/>
                <w:color w:val="000000"/>
                <w:sz w:val="15"/>
                <w:szCs w:val="15"/>
              </w:rPr>
              <w:t>3.820.009</w:t>
            </w:r>
          </w:p>
        </w:tc>
        <w:tc>
          <w:tcPr>
            <w:tcW w:w="508" w:type="pct"/>
            <w:tcBorders>
              <w:top w:val="single" w:sz="4" w:space="0" w:color="auto"/>
              <w:left w:val="single" w:sz="4" w:space="0" w:color="auto"/>
              <w:bottom w:val="nil"/>
              <w:right w:val="single" w:sz="4" w:space="0" w:color="auto"/>
            </w:tcBorders>
            <w:tcMar>
              <w:top w:w="15" w:type="dxa"/>
              <w:left w:w="15" w:type="dxa"/>
              <w:bottom w:w="0" w:type="dxa"/>
              <w:right w:w="15" w:type="dxa"/>
            </w:tcMar>
            <w:vAlign w:val="center"/>
            <w:hideMark/>
          </w:tcPr>
          <w:p w14:paraId="4FCF95DD" w14:textId="77777777" w:rsidR="0025610F" w:rsidRPr="00E5642A" w:rsidRDefault="0025610F" w:rsidP="00E5642A">
            <w:pPr>
              <w:jc w:val="right"/>
              <w:rPr>
                <w:rFonts w:cs="Arial"/>
                <w:color w:val="000000"/>
                <w:sz w:val="15"/>
                <w:szCs w:val="15"/>
              </w:rPr>
            </w:pPr>
            <w:r w:rsidRPr="00E5642A">
              <w:rPr>
                <w:rFonts w:cs="Arial"/>
                <w:color w:val="000000"/>
                <w:sz w:val="15"/>
                <w:szCs w:val="15"/>
              </w:rPr>
              <w:t>202.081</w:t>
            </w:r>
          </w:p>
        </w:tc>
        <w:tc>
          <w:tcPr>
            <w:tcW w:w="529" w:type="pct"/>
            <w:tcBorders>
              <w:top w:val="single" w:sz="4" w:space="0" w:color="auto"/>
              <w:left w:val="single" w:sz="4" w:space="0" w:color="auto"/>
              <w:bottom w:val="nil"/>
              <w:right w:val="single" w:sz="4" w:space="0" w:color="auto"/>
            </w:tcBorders>
            <w:tcMar>
              <w:top w:w="15" w:type="dxa"/>
              <w:left w:w="15" w:type="dxa"/>
              <w:bottom w:w="0" w:type="dxa"/>
              <w:right w:w="15" w:type="dxa"/>
            </w:tcMar>
            <w:vAlign w:val="center"/>
            <w:hideMark/>
          </w:tcPr>
          <w:p w14:paraId="69B51D51" w14:textId="77777777" w:rsidR="0025610F" w:rsidRPr="00E5642A" w:rsidRDefault="0025610F" w:rsidP="00E5642A">
            <w:pPr>
              <w:jc w:val="right"/>
              <w:rPr>
                <w:rFonts w:cs="Arial"/>
                <w:color w:val="000000"/>
                <w:sz w:val="15"/>
                <w:szCs w:val="15"/>
              </w:rPr>
            </w:pPr>
            <w:r w:rsidRPr="00E5642A">
              <w:rPr>
                <w:rFonts w:cs="Arial"/>
                <w:color w:val="000000"/>
                <w:sz w:val="15"/>
                <w:szCs w:val="15"/>
              </w:rPr>
              <w:t>3.617.928</w:t>
            </w:r>
          </w:p>
        </w:tc>
        <w:tc>
          <w:tcPr>
            <w:tcW w:w="529" w:type="pct"/>
            <w:tcBorders>
              <w:top w:val="single" w:sz="4" w:space="0" w:color="auto"/>
              <w:left w:val="single" w:sz="4" w:space="0" w:color="auto"/>
            </w:tcBorders>
            <w:tcMar>
              <w:top w:w="15" w:type="dxa"/>
              <w:left w:w="15" w:type="dxa"/>
              <w:bottom w:w="0" w:type="dxa"/>
              <w:right w:w="15" w:type="dxa"/>
            </w:tcMar>
            <w:vAlign w:val="center"/>
            <w:hideMark/>
          </w:tcPr>
          <w:p w14:paraId="6432AB0D" w14:textId="77777777" w:rsidR="0025610F" w:rsidRPr="00E5642A" w:rsidRDefault="0025610F" w:rsidP="00E5642A">
            <w:pPr>
              <w:jc w:val="right"/>
              <w:rPr>
                <w:rFonts w:cs="Arial"/>
                <w:color w:val="000000"/>
                <w:sz w:val="15"/>
                <w:szCs w:val="15"/>
              </w:rPr>
            </w:pPr>
            <w:r w:rsidRPr="00E5642A">
              <w:rPr>
                <w:rFonts w:cs="Arial"/>
                <w:color w:val="000000"/>
                <w:sz w:val="15"/>
                <w:szCs w:val="15"/>
              </w:rPr>
              <w:t>3.820.009</w:t>
            </w:r>
          </w:p>
        </w:tc>
      </w:tr>
      <w:tr w:rsidR="0025610F" w14:paraId="2D4C9572" w14:textId="77777777" w:rsidTr="00841A88">
        <w:trPr>
          <w:trHeight w:val="397"/>
        </w:trPr>
        <w:tc>
          <w:tcPr>
            <w:tcW w:w="404" w:type="pct"/>
            <w:tcBorders>
              <w:top w:val="nil"/>
              <w:left w:val="nil"/>
              <w:bottom w:val="nil"/>
              <w:right w:val="single" w:sz="4" w:space="0" w:color="auto"/>
            </w:tcBorders>
            <w:tcMar>
              <w:top w:w="15" w:type="dxa"/>
              <w:left w:w="15" w:type="dxa"/>
              <w:bottom w:w="0" w:type="dxa"/>
              <w:right w:w="15" w:type="dxa"/>
            </w:tcMar>
            <w:vAlign w:val="center"/>
            <w:hideMark/>
          </w:tcPr>
          <w:p w14:paraId="50694494" w14:textId="77777777" w:rsidR="0025610F" w:rsidRDefault="0025610F">
            <w:pPr>
              <w:jc w:val="center"/>
              <w:rPr>
                <w:rFonts w:cs="Arial"/>
                <w:color w:val="000000"/>
                <w:sz w:val="15"/>
                <w:szCs w:val="15"/>
              </w:rPr>
            </w:pPr>
            <w:r>
              <w:rPr>
                <w:rFonts w:cs="Arial"/>
                <w:color w:val="000000"/>
                <w:sz w:val="15"/>
                <w:szCs w:val="15"/>
              </w:rPr>
              <w:t>Poder Executivo</w:t>
            </w:r>
          </w:p>
        </w:tc>
        <w:tc>
          <w:tcPr>
            <w:tcW w:w="481"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7178CE7C" w14:textId="77777777" w:rsidR="0025610F" w:rsidRPr="00E5642A" w:rsidRDefault="0025610F" w:rsidP="004E785E">
            <w:pPr>
              <w:ind w:right="52" w:hanging="63"/>
              <w:jc w:val="right"/>
              <w:rPr>
                <w:rFonts w:cs="Arial"/>
                <w:color w:val="000000"/>
                <w:sz w:val="15"/>
                <w:szCs w:val="15"/>
              </w:rPr>
            </w:pPr>
            <w:r w:rsidRPr="00E5642A">
              <w:rPr>
                <w:rFonts w:cs="Arial"/>
                <w:color w:val="000000"/>
                <w:sz w:val="15"/>
                <w:szCs w:val="15"/>
              </w:rPr>
              <w:t>92.176.177</w:t>
            </w:r>
          </w:p>
        </w:tc>
        <w:tc>
          <w:tcPr>
            <w:tcW w:w="479"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42965A64" w14:textId="77777777" w:rsidR="0025610F" w:rsidRPr="00E5642A" w:rsidRDefault="0025610F" w:rsidP="00E5642A">
            <w:pPr>
              <w:ind w:hanging="105"/>
              <w:jc w:val="right"/>
              <w:rPr>
                <w:rFonts w:cs="Arial"/>
                <w:color w:val="000000"/>
                <w:sz w:val="15"/>
                <w:szCs w:val="15"/>
              </w:rPr>
            </w:pPr>
            <w:r w:rsidRPr="00E5642A">
              <w:rPr>
                <w:rFonts w:cs="Arial"/>
                <w:color w:val="000000"/>
                <w:sz w:val="15"/>
                <w:szCs w:val="15"/>
              </w:rPr>
              <w:t>548.593.527</w:t>
            </w:r>
          </w:p>
        </w:tc>
        <w:tc>
          <w:tcPr>
            <w:tcW w:w="530"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1D16852C" w14:textId="77777777" w:rsidR="0025610F" w:rsidRPr="00E5642A" w:rsidRDefault="0025610F" w:rsidP="004E785E">
            <w:pPr>
              <w:ind w:hanging="126"/>
              <w:jc w:val="right"/>
              <w:rPr>
                <w:rFonts w:cs="Arial"/>
                <w:color w:val="000000"/>
                <w:sz w:val="15"/>
                <w:szCs w:val="15"/>
              </w:rPr>
            </w:pPr>
            <w:r w:rsidRPr="00E5642A">
              <w:rPr>
                <w:rFonts w:cs="Arial"/>
                <w:color w:val="000000"/>
                <w:sz w:val="15"/>
                <w:szCs w:val="15"/>
              </w:rPr>
              <w:t>640.769.705</w:t>
            </w:r>
          </w:p>
        </w:tc>
        <w:tc>
          <w:tcPr>
            <w:tcW w:w="481"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03FFB078" w14:textId="77777777" w:rsidR="0025610F" w:rsidRPr="00E5642A" w:rsidRDefault="0025610F" w:rsidP="00E5642A">
            <w:pPr>
              <w:jc w:val="right"/>
              <w:rPr>
                <w:rFonts w:cs="Arial"/>
                <w:color w:val="000000"/>
                <w:sz w:val="15"/>
                <w:szCs w:val="15"/>
              </w:rPr>
            </w:pPr>
            <w:r w:rsidRPr="00E5642A">
              <w:rPr>
                <w:rFonts w:cs="Arial"/>
                <w:color w:val="000000"/>
                <w:sz w:val="15"/>
                <w:szCs w:val="15"/>
              </w:rPr>
              <w:t>123.691.578</w:t>
            </w:r>
          </w:p>
        </w:tc>
        <w:tc>
          <w:tcPr>
            <w:tcW w:w="529"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0321AA03" w14:textId="77777777" w:rsidR="0025610F" w:rsidRPr="00E5642A" w:rsidRDefault="0025610F" w:rsidP="00E5642A">
            <w:pPr>
              <w:jc w:val="right"/>
              <w:rPr>
                <w:rFonts w:cs="Arial"/>
                <w:color w:val="000000"/>
                <w:sz w:val="15"/>
                <w:szCs w:val="15"/>
              </w:rPr>
            </w:pPr>
            <w:r w:rsidRPr="00E5642A">
              <w:rPr>
                <w:rFonts w:cs="Arial"/>
                <w:color w:val="000000"/>
                <w:sz w:val="15"/>
                <w:szCs w:val="15"/>
              </w:rPr>
              <w:t>1.140.501.213</w:t>
            </w:r>
          </w:p>
        </w:tc>
        <w:tc>
          <w:tcPr>
            <w:tcW w:w="530"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3D83F454" w14:textId="77777777" w:rsidR="0025610F" w:rsidRPr="00E5642A" w:rsidRDefault="0025610F" w:rsidP="00E5642A">
            <w:pPr>
              <w:jc w:val="right"/>
              <w:rPr>
                <w:rFonts w:cs="Arial"/>
                <w:color w:val="000000"/>
                <w:sz w:val="15"/>
                <w:szCs w:val="15"/>
              </w:rPr>
            </w:pPr>
            <w:r w:rsidRPr="00E5642A">
              <w:rPr>
                <w:rFonts w:cs="Arial"/>
                <w:color w:val="000000"/>
                <w:sz w:val="15"/>
                <w:szCs w:val="15"/>
              </w:rPr>
              <w:t>1.264.192.790</w:t>
            </w:r>
          </w:p>
        </w:tc>
        <w:tc>
          <w:tcPr>
            <w:tcW w:w="508"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0A41200D" w14:textId="77777777" w:rsidR="0025610F" w:rsidRPr="00E5642A" w:rsidRDefault="0025610F" w:rsidP="00E5642A">
            <w:pPr>
              <w:jc w:val="right"/>
              <w:rPr>
                <w:rFonts w:cs="Arial"/>
                <w:color w:val="000000"/>
                <w:sz w:val="15"/>
                <w:szCs w:val="15"/>
              </w:rPr>
            </w:pPr>
            <w:r w:rsidRPr="00E5642A">
              <w:rPr>
                <w:rFonts w:cs="Arial"/>
                <w:color w:val="000000"/>
                <w:sz w:val="15"/>
                <w:szCs w:val="15"/>
              </w:rPr>
              <w:t>215.867.755</w:t>
            </w:r>
          </w:p>
        </w:tc>
        <w:tc>
          <w:tcPr>
            <w:tcW w:w="529"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7F773B8E" w14:textId="77777777" w:rsidR="0025610F" w:rsidRPr="00E5642A" w:rsidRDefault="0025610F" w:rsidP="00E5642A">
            <w:pPr>
              <w:jc w:val="right"/>
              <w:rPr>
                <w:rFonts w:cs="Arial"/>
                <w:color w:val="000000"/>
                <w:sz w:val="15"/>
                <w:szCs w:val="15"/>
              </w:rPr>
            </w:pPr>
            <w:r w:rsidRPr="00E5642A">
              <w:rPr>
                <w:rFonts w:cs="Arial"/>
                <w:color w:val="000000"/>
                <w:sz w:val="15"/>
                <w:szCs w:val="15"/>
              </w:rPr>
              <w:t>1.689.094.740</w:t>
            </w:r>
          </w:p>
        </w:tc>
        <w:tc>
          <w:tcPr>
            <w:tcW w:w="529" w:type="pct"/>
            <w:tcBorders>
              <w:left w:val="single" w:sz="4" w:space="0" w:color="auto"/>
            </w:tcBorders>
            <w:tcMar>
              <w:top w:w="15" w:type="dxa"/>
              <w:left w:w="15" w:type="dxa"/>
              <w:bottom w:w="0" w:type="dxa"/>
              <w:right w:w="15" w:type="dxa"/>
            </w:tcMar>
            <w:vAlign w:val="center"/>
            <w:hideMark/>
          </w:tcPr>
          <w:p w14:paraId="1C34B691" w14:textId="77777777" w:rsidR="0025610F" w:rsidRPr="00E5642A" w:rsidRDefault="0025610F" w:rsidP="00E5642A">
            <w:pPr>
              <w:jc w:val="right"/>
              <w:rPr>
                <w:rFonts w:cs="Arial"/>
                <w:color w:val="000000"/>
                <w:sz w:val="15"/>
                <w:szCs w:val="15"/>
              </w:rPr>
            </w:pPr>
            <w:r w:rsidRPr="00E5642A">
              <w:rPr>
                <w:rFonts w:cs="Arial"/>
                <w:color w:val="000000"/>
                <w:sz w:val="15"/>
                <w:szCs w:val="15"/>
              </w:rPr>
              <w:t>1.904.962.495</w:t>
            </w:r>
          </w:p>
        </w:tc>
      </w:tr>
      <w:tr w:rsidR="0025610F" w14:paraId="01FCD348" w14:textId="77777777" w:rsidTr="00841A88">
        <w:trPr>
          <w:trHeight w:val="397"/>
        </w:trPr>
        <w:tc>
          <w:tcPr>
            <w:tcW w:w="404" w:type="pct"/>
            <w:tcBorders>
              <w:top w:val="nil"/>
              <w:left w:val="nil"/>
              <w:bottom w:val="nil"/>
              <w:right w:val="single" w:sz="4" w:space="0" w:color="auto"/>
            </w:tcBorders>
            <w:tcMar>
              <w:top w:w="15" w:type="dxa"/>
              <w:left w:w="15" w:type="dxa"/>
              <w:bottom w:w="0" w:type="dxa"/>
              <w:right w:w="15" w:type="dxa"/>
            </w:tcMar>
            <w:vAlign w:val="center"/>
            <w:hideMark/>
          </w:tcPr>
          <w:p w14:paraId="6E0DF5CD" w14:textId="77777777" w:rsidR="0025610F" w:rsidRDefault="0025610F">
            <w:pPr>
              <w:jc w:val="center"/>
              <w:rPr>
                <w:rFonts w:cs="Arial"/>
                <w:color w:val="000000"/>
                <w:sz w:val="15"/>
                <w:szCs w:val="15"/>
              </w:rPr>
            </w:pPr>
            <w:r>
              <w:rPr>
                <w:rFonts w:cs="Arial"/>
                <w:color w:val="000000"/>
                <w:sz w:val="15"/>
                <w:szCs w:val="15"/>
              </w:rPr>
              <w:t>Poder Judiciário</w:t>
            </w:r>
          </w:p>
        </w:tc>
        <w:tc>
          <w:tcPr>
            <w:tcW w:w="481"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289BACF0" w14:textId="77777777" w:rsidR="0025610F" w:rsidRPr="00E5642A" w:rsidRDefault="0025610F" w:rsidP="004E785E">
            <w:pPr>
              <w:ind w:right="52"/>
              <w:jc w:val="right"/>
              <w:rPr>
                <w:rFonts w:cs="Arial"/>
                <w:color w:val="000000"/>
                <w:sz w:val="15"/>
                <w:szCs w:val="15"/>
              </w:rPr>
            </w:pPr>
            <w:r w:rsidRPr="00E5642A">
              <w:rPr>
                <w:rFonts w:cs="Arial"/>
                <w:color w:val="000000"/>
                <w:sz w:val="15"/>
                <w:szCs w:val="15"/>
              </w:rPr>
              <w:t>-</w:t>
            </w:r>
          </w:p>
        </w:tc>
        <w:tc>
          <w:tcPr>
            <w:tcW w:w="479"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77464994" w14:textId="77777777" w:rsidR="0025610F" w:rsidRPr="00E5642A" w:rsidRDefault="0025610F" w:rsidP="00E5642A">
            <w:pPr>
              <w:jc w:val="right"/>
              <w:rPr>
                <w:rFonts w:cs="Arial"/>
                <w:color w:val="000000"/>
                <w:sz w:val="15"/>
                <w:szCs w:val="15"/>
              </w:rPr>
            </w:pPr>
            <w:r w:rsidRPr="00E5642A">
              <w:rPr>
                <w:rFonts w:cs="Arial"/>
                <w:color w:val="000000"/>
                <w:sz w:val="15"/>
                <w:szCs w:val="15"/>
              </w:rPr>
              <w:t>55.927.197</w:t>
            </w:r>
          </w:p>
        </w:tc>
        <w:tc>
          <w:tcPr>
            <w:tcW w:w="530"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5E819D2A" w14:textId="77777777" w:rsidR="0025610F" w:rsidRPr="00E5642A" w:rsidRDefault="0025610F" w:rsidP="004E785E">
            <w:pPr>
              <w:jc w:val="right"/>
              <w:rPr>
                <w:rFonts w:cs="Arial"/>
                <w:color w:val="000000"/>
                <w:sz w:val="15"/>
                <w:szCs w:val="15"/>
              </w:rPr>
            </w:pPr>
            <w:r w:rsidRPr="00E5642A">
              <w:rPr>
                <w:rFonts w:cs="Arial"/>
                <w:color w:val="000000"/>
                <w:sz w:val="15"/>
                <w:szCs w:val="15"/>
              </w:rPr>
              <w:t>55.927.197</w:t>
            </w:r>
          </w:p>
        </w:tc>
        <w:tc>
          <w:tcPr>
            <w:tcW w:w="481"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2D772B67" w14:textId="77777777" w:rsidR="0025610F" w:rsidRPr="00E5642A" w:rsidRDefault="0025610F" w:rsidP="00E5642A">
            <w:pPr>
              <w:jc w:val="right"/>
              <w:rPr>
                <w:rFonts w:cs="Arial"/>
                <w:color w:val="000000"/>
                <w:sz w:val="15"/>
                <w:szCs w:val="15"/>
              </w:rPr>
            </w:pPr>
            <w:r w:rsidRPr="00E5642A">
              <w:rPr>
                <w:rFonts w:cs="Arial"/>
                <w:color w:val="000000"/>
                <w:sz w:val="15"/>
                <w:szCs w:val="15"/>
              </w:rPr>
              <w:t>12.172.990</w:t>
            </w:r>
          </w:p>
        </w:tc>
        <w:tc>
          <w:tcPr>
            <w:tcW w:w="529"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4FC8CB69" w14:textId="77777777" w:rsidR="0025610F" w:rsidRPr="00E5642A" w:rsidRDefault="0025610F" w:rsidP="00E5642A">
            <w:pPr>
              <w:jc w:val="right"/>
              <w:rPr>
                <w:rFonts w:cs="Arial"/>
                <w:color w:val="000000"/>
                <w:sz w:val="15"/>
                <w:szCs w:val="15"/>
              </w:rPr>
            </w:pPr>
            <w:r w:rsidRPr="00E5642A">
              <w:rPr>
                <w:rFonts w:cs="Arial"/>
                <w:color w:val="000000"/>
                <w:sz w:val="15"/>
                <w:szCs w:val="15"/>
              </w:rPr>
              <w:t>117.572.359</w:t>
            </w:r>
          </w:p>
        </w:tc>
        <w:tc>
          <w:tcPr>
            <w:tcW w:w="530"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65304F70" w14:textId="77777777" w:rsidR="0025610F" w:rsidRPr="00E5642A" w:rsidRDefault="0025610F" w:rsidP="00E5642A">
            <w:pPr>
              <w:jc w:val="right"/>
              <w:rPr>
                <w:rFonts w:cs="Arial"/>
                <w:color w:val="000000"/>
                <w:sz w:val="15"/>
                <w:szCs w:val="15"/>
              </w:rPr>
            </w:pPr>
            <w:r w:rsidRPr="00E5642A">
              <w:rPr>
                <w:rFonts w:cs="Arial"/>
                <w:color w:val="000000"/>
                <w:sz w:val="15"/>
                <w:szCs w:val="15"/>
              </w:rPr>
              <w:t>129.745.349</w:t>
            </w:r>
          </w:p>
        </w:tc>
        <w:tc>
          <w:tcPr>
            <w:tcW w:w="508"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096462CB" w14:textId="77777777" w:rsidR="0025610F" w:rsidRPr="00E5642A" w:rsidRDefault="0025610F" w:rsidP="00E5642A">
            <w:pPr>
              <w:jc w:val="right"/>
              <w:rPr>
                <w:rFonts w:cs="Arial"/>
                <w:color w:val="000000"/>
                <w:sz w:val="15"/>
                <w:szCs w:val="15"/>
              </w:rPr>
            </w:pPr>
            <w:r w:rsidRPr="00E5642A">
              <w:rPr>
                <w:rFonts w:cs="Arial"/>
                <w:color w:val="000000"/>
                <w:sz w:val="15"/>
                <w:szCs w:val="15"/>
              </w:rPr>
              <w:t>12.172.990</w:t>
            </w:r>
          </w:p>
        </w:tc>
        <w:tc>
          <w:tcPr>
            <w:tcW w:w="529"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6B2EB6D2" w14:textId="77777777" w:rsidR="0025610F" w:rsidRPr="00E5642A" w:rsidRDefault="0025610F" w:rsidP="00E5642A">
            <w:pPr>
              <w:jc w:val="right"/>
              <w:rPr>
                <w:rFonts w:cs="Arial"/>
                <w:color w:val="000000"/>
                <w:sz w:val="15"/>
                <w:szCs w:val="15"/>
              </w:rPr>
            </w:pPr>
            <w:r w:rsidRPr="00E5642A">
              <w:rPr>
                <w:rFonts w:cs="Arial"/>
                <w:color w:val="000000"/>
                <w:sz w:val="15"/>
                <w:szCs w:val="15"/>
              </w:rPr>
              <w:t>173.499.556</w:t>
            </w:r>
          </w:p>
        </w:tc>
        <w:tc>
          <w:tcPr>
            <w:tcW w:w="529" w:type="pct"/>
            <w:tcBorders>
              <w:left w:val="single" w:sz="4" w:space="0" w:color="auto"/>
            </w:tcBorders>
            <w:tcMar>
              <w:top w:w="15" w:type="dxa"/>
              <w:left w:w="15" w:type="dxa"/>
              <w:bottom w:w="0" w:type="dxa"/>
              <w:right w:w="15" w:type="dxa"/>
            </w:tcMar>
            <w:vAlign w:val="center"/>
            <w:hideMark/>
          </w:tcPr>
          <w:p w14:paraId="7A289584" w14:textId="77777777" w:rsidR="0025610F" w:rsidRPr="00E5642A" w:rsidRDefault="0025610F" w:rsidP="00E5642A">
            <w:pPr>
              <w:jc w:val="right"/>
              <w:rPr>
                <w:rFonts w:cs="Arial"/>
                <w:color w:val="000000"/>
                <w:sz w:val="15"/>
                <w:szCs w:val="15"/>
              </w:rPr>
            </w:pPr>
            <w:r w:rsidRPr="00E5642A">
              <w:rPr>
                <w:rFonts w:cs="Arial"/>
                <w:color w:val="000000"/>
                <w:sz w:val="15"/>
                <w:szCs w:val="15"/>
              </w:rPr>
              <w:t>185.672.546</w:t>
            </w:r>
          </w:p>
        </w:tc>
      </w:tr>
      <w:tr w:rsidR="0025610F" w14:paraId="5041B051" w14:textId="77777777" w:rsidTr="00841A88">
        <w:trPr>
          <w:trHeight w:val="397"/>
        </w:trPr>
        <w:tc>
          <w:tcPr>
            <w:tcW w:w="404" w:type="pct"/>
            <w:tcBorders>
              <w:top w:val="nil"/>
              <w:left w:val="nil"/>
              <w:bottom w:val="nil"/>
              <w:right w:val="single" w:sz="4" w:space="0" w:color="auto"/>
            </w:tcBorders>
            <w:tcMar>
              <w:top w:w="15" w:type="dxa"/>
              <w:left w:w="15" w:type="dxa"/>
              <w:bottom w:w="0" w:type="dxa"/>
              <w:right w:w="15" w:type="dxa"/>
            </w:tcMar>
            <w:vAlign w:val="center"/>
            <w:hideMark/>
          </w:tcPr>
          <w:p w14:paraId="5B421B0A" w14:textId="77777777" w:rsidR="0025610F" w:rsidRDefault="0025610F">
            <w:pPr>
              <w:jc w:val="center"/>
              <w:rPr>
                <w:rFonts w:cs="Arial"/>
                <w:color w:val="000000"/>
                <w:sz w:val="15"/>
                <w:szCs w:val="15"/>
              </w:rPr>
            </w:pPr>
            <w:r>
              <w:rPr>
                <w:rFonts w:cs="Arial"/>
                <w:color w:val="000000"/>
                <w:sz w:val="15"/>
                <w:szCs w:val="15"/>
              </w:rPr>
              <w:t>Poder Legislativo</w:t>
            </w:r>
          </w:p>
        </w:tc>
        <w:tc>
          <w:tcPr>
            <w:tcW w:w="481"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12143D15" w14:textId="77777777" w:rsidR="0025610F" w:rsidRPr="00E5642A" w:rsidRDefault="0025610F" w:rsidP="004E785E">
            <w:pPr>
              <w:ind w:right="52"/>
              <w:jc w:val="right"/>
              <w:rPr>
                <w:rFonts w:cs="Arial"/>
                <w:color w:val="000000"/>
                <w:sz w:val="15"/>
                <w:szCs w:val="15"/>
              </w:rPr>
            </w:pPr>
            <w:r w:rsidRPr="00E5642A">
              <w:rPr>
                <w:rFonts w:cs="Arial"/>
                <w:color w:val="000000"/>
                <w:sz w:val="15"/>
                <w:szCs w:val="15"/>
              </w:rPr>
              <w:t>207.847</w:t>
            </w:r>
          </w:p>
        </w:tc>
        <w:tc>
          <w:tcPr>
            <w:tcW w:w="479"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2D780F12" w14:textId="77777777" w:rsidR="0025610F" w:rsidRPr="00E5642A" w:rsidRDefault="0025610F" w:rsidP="00E5642A">
            <w:pPr>
              <w:jc w:val="right"/>
              <w:rPr>
                <w:rFonts w:cs="Arial"/>
                <w:color w:val="000000"/>
                <w:sz w:val="15"/>
                <w:szCs w:val="15"/>
              </w:rPr>
            </w:pPr>
            <w:r w:rsidRPr="00E5642A">
              <w:rPr>
                <w:rFonts w:cs="Arial"/>
                <w:color w:val="000000"/>
                <w:sz w:val="15"/>
                <w:szCs w:val="15"/>
              </w:rPr>
              <w:t>5.315.016</w:t>
            </w:r>
          </w:p>
        </w:tc>
        <w:tc>
          <w:tcPr>
            <w:tcW w:w="530"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71E6E11B" w14:textId="77777777" w:rsidR="0025610F" w:rsidRPr="00E5642A" w:rsidRDefault="0025610F" w:rsidP="004E785E">
            <w:pPr>
              <w:jc w:val="right"/>
              <w:rPr>
                <w:rFonts w:cs="Arial"/>
                <w:color w:val="000000"/>
                <w:sz w:val="15"/>
                <w:szCs w:val="15"/>
              </w:rPr>
            </w:pPr>
            <w:r w:rsidRPr="00E5642A">
              <w:rPr>
                <w:rFonts w:cs="Arial"/>
                <w:color w:val="000000"/>
                <w:sz w:val="15"/>
                <w:szCs w:val="15"/>
              </w:rPr>
              <w:t>5.522.864</w:t>
            </w:r>
          </w:p>
        </w:tc>
        <w:tc>
          <w:tcPr>
            <w:tcW w:w="481"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4156B228" w14:textId="77777777" w:rsidR="0025610F" w:rsidRPr="00E5642A" w:rsidRDefault="0025610F" w:rsidP="00E5642A">
            <w:pPr>
              <w:jc w:val="right"/>
              <w:rPr>
                <w:rFonts w:cs="Arial"/>
                <w:color w:val="000000"/>
                <w:sz w:val="15"/>
                <w:szCs w:val="15"/>
              </w:rPr>
            </w:pPr>
            <w:r w:rsidRPr="00E5642A">
              <w:rPr>
                <w:rFonts w:cs="Arial"/>
                <w:color w:val="000000"/>
                <w:sz w:val="15"/>
                <w:szCs w:val="15"/>
              </w:rPr>
              <w:t>245</w:t>
            </w:r>
          </w:p>
        </w:tc>
        <w:tc>
          <w:tcPr>
            <w:tcW w:w="529"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35FD915B" w14:textId="77777777" w:rsidR="0025610F" w:rsidRPr="00E5642A" w:rsidRDefault="0025610F" w:rsidP="00E5642A">
            <w:pPr>
              <w:jc w:val="right"/>
              <w:rPr>
                <w:rFonts w:cs="Arial"/>
                <w:color w:val="000000"/>
                <w:sz w:val="15"/>
                <w:szCs w:val="15"/>
              </w:rPr>
            </w:pPr>
            <w:r w:rsidRPr="00E5642A">
              <w:rPr>
                <w:rFonts w:cs="Arial"/>
                <w:color w:val="000000"/>
                <w:sz w:val="15"/>
                <w:szCs w:val="15"/>
              </w:rPr>
              <w:t>15.064.259</w:t>
            </w:r>
          </w:p>
        </w:tc>
        <w:tc>
          <w:tcPr>
            <w:tcW w:w="530"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5BBE2E51" w14:textId="77777777" w:rsidR="0025610F" w:rsidRPr="00E5642A" w:rsidRDefault="0025610F" w:rsidP="00E5642A">
            <w:pPr>
              <w:jc w:val="right"/>
              <w:rPr>
                <w:rFonts w:cs="Arial"/>
                <w:color w:val="000000"/>
                <w:sz w:val="15"/>
                <w:szCs w:val="15"/>
              </w:rPr>
            </w:pPr>
            <w:r w:rsidRPr="00E5642A">
              <w:rPr>
                <w:rFonts w:cs="Arial"/>
                <w:color w:val="000000"/>
                <w:sz w:val="15"/>
                <w:szCs w:val="15"/>
              </w:rPr>
              <w:t>15.064.505</w:t>
            </w:r>
          </w:p>
        </w:tc>
        <w:tc>
          <w:tcPr>
            <w:tcW w:w="508"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2A03C699" w14:textId="77777777" w:rsidR="0025610F" w:rsidRPr="00E5642A" w:rsidRDefault="0025610F" w:rsidP="00E5642A">
            <w:pPr>
              <w:jc w:val="right"/>
              <w:rPr>
                <w:rFonts w:cs="Arial"/>
                <w:color w:val="000000"/>
                <w:sz w:val="15"/>
                <w:szCs w:val="15"/>
              </w:rPr>
            </w:pPr>
            <w:r w:rsidRPr="00E5642A">
              <w:rPr>
                <w:rFonts w:cs="Arial"/>
                <w:color w:val="000000"/>
                <w:sz w:val="15"/>
                <w:szCs w:val="15"/>
              </w:rPr>
              <w:t>208.093</w:t>
            </w:r>
          </w:p>
        </w:tc>
        <w:tc>
          <w:tcPr>
            <w:tcW w:w="529"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6DE6A802" w14:textId="77777777" w:rsidR="0025610F" w:rsidRPr="00E5642A" w:rsidRDefault="0025610F" w:rsidP="00E5642A">
            <w:pPr>
              <w:jc w:val="right"/>
              <w:rPr>
                <w:rFonts w:cs="Arial"/>
                <w:color w:val="000000"/>
                <w:sz w:val="15"/>
                <w:szCs w:val="15"/>
              </w:rPr>
            </w:pPr>
            <w:r w:rsidRPr="00E5642A">
              <w:rPr>
                <w:rFonts w:cs="Arial"/>
                <w:color w:val="000000"/>
                <w:sz w:val="15"/>
                <w:szCs w:val="15"/>
              </w:rPr>
              <w:t>20.379.275</w:t>
            </w:r>
          </w:p>
        </w:tc>
        <w:tc>
          <w:tcPr>
            <w:tcW w:w="529" w:type="pct"/>
            <w:tcBorders>
              <w:left w:val="single" w:sz="4" w:space="0" w:color="auto"/>
            </w:tcBorders>
            <w:tcMar>
              <w:top w:w="15" w:type="dxa"/>
              <w:left w:w="15" w:type="dxa"/>
              <w:bottom w:w="0" w:type="dxa"/>
              <w:right w:w="15" w:type="dxa"/>
            </w:tcMar>
            <w:vAlign w:val="center"/>
            <w:hideMark/>
          </w:tcPr>
          <w:p w14:paraId="44C8390E" w14:textId="77777777" w:rsidR="0025610F" w:rsidRPr="00E5642A" w:rsidRDefault="0025610F" w:rsidP="00E5642A">
            <w:pPr>
              <w:jc w:val="right"/>
              <w:rPr>
                <w:rFonts w:cs="Arial"/>
                <w:color w:val="000000"/>
                <w:sz w:val="15"/>
                <w:szCs w:val="15"/>
              </w:rPr>
            </w:pPr>
            <w:r w:rsidRPr="00E5642A">
              <w:rPr>
                <w:rFonts w:cs="Arial"/>
                <w:color w:val="000000"/>
                <w:sz w:val="15"/>
                <w:szCs w:val="15"/>
              </w:rPr>
              <w:t>20.587.368</w:t>
            </w:r>
          </w:p>
        </w:tc>
      </w:tr>
      <w:tr w:rsidR="0025610F" w14:paraId="6CCBE958" w14:textId="77777777" w:rsidTr="00841A88">
        <w:trPr>
          <w:trHeight w:val="397"/>
        </w:trPr>
        <w:tc>
          <w:tcPr>
            <w:tcW w:w="404" w:type="pct"/>
            <w:tcBorders>
              <w:top w:val="nil"/>
              <w:left w:val="nil"/>
              <w:bottom w:val="nil"/>
              <w:right w:val="single" w:sz="4" w:space="0" w:color="auto"/>
            </w:tcBorders>
            <w:tcMar>
              <w:top w:w="15" w:type="dxa"/>
              <w:left w:w="15" w:type="dxa"/>
              <w:bottom w:w="0" w:type="dxa"/>
              <w:right w:w="15" w:type="dxa"/>
            </w:tcMar>
            <w:vAlign w:val="center"/>
            <w:hideMark/>
          </w:tcPr>
          <w:p w14:paraId="0315F24A" w14:textId="77777777" w:rsidR="0025610F" w:rsidRDefault="0025610F">
            <w:pPr>
              <w:jc w:val="center"/>
              <w:rPr>
                <w:rFonts w:cs="Arial"/>
                <w:color w:val="000000"/>
                <w:sz w:val="15"/>
                <w:szCs w:val="15"/>
              </w:rPr>
            </w:pPr>
            <w:r>
              <w:rPr>
                <w:rFonts w:cs="Arial"/>
                <w:color w:val="000000"/>
                <w:sz w:val="15"/>
                <w:szCs w:val="15"/>
              </w:rPr>
              <w:t>MP</w:t>
            </w:r>
          </w:p>
        </w:tc>
        <w:tc>
          <w:tcPr>
            <w:tcW w:w="481"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7BFCB2B5" w14:textId="77777777" w:rsidR="0025610F" w:rsidRPr="00E5642A" w:rsidRDefault="0025610F" w:rsidP="004E785E">
            <w:pPr>
              <w:ind w:right="52"/>
              <w:jc w:val="right"/>
              <w:rPr>
                <w:rFonts w:cs="Arial"/>
                <w:color w:val="000000"/>
                <w:sz w:val="15"/>
                <w:szCs w:val="15"/>
              </w:rPr>
            </w:pPr>
            <w:r w:rsidRPr="00E5642A">
              <w:rPr>
                <w:rFonts w:cs="Arial"/>
                <w:color w:val="000000"/>
                <w:sz w:val="15"/>
                <w:szCs w:val="15"/>
              </w:rPr>
              <w:t>1.765</w:t>
            </w:r>
          </w:p>
        </w:tc>
        <w:tc>
          <w:tcPr>
            <w:tcW w:w="479"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2860C1F1" w14:textId="77777777" w:rsidR="0025610F" w:rsidRPr="00E5642A" w:rsidRDefault="0025610F" w:rsidP="00E5642A">
            <w:pPr>
              <w:jc w:val="right"/>
              <w:rPr>
                <w:rFonts w:cs="Arial"/>
                <w:color w:val="000000"/>
                <w:sz w:val="15"/>
                <w:szCs w:val="15"/>
              </w:rPr>
            </w:pPr>
            <w:r w:rsidRPr="00E5642A">
              <w:rPr>
                <w:rFonts w:cs="Arial"/>
                <w:color w:val="000000"/>
                <w:sz w:val="15"/>
                <w:szCs w:val="15"/>
              </w:rPr>
              <w:t>11.381.116</w:t>
            </w:r>
          </w:p>
        </w:tc>
        <w:tc>
          <w:tcPr>
            <w:tcW w:w="530"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22FD1298" w14:textId="77777777" w:rsidR="0025610F" w:rsidRPr="00E5642A" w:rsidRDefault="0025610F" w:rsidP="004E785E">
            <w:pPr>
              <w:jc w:val="right"/>
              <w:rPr>
                <w:rFonts w:cs="Arial"/>
                <w:color w:val="000000"/>
                <w:sz w:val="15"/>
                <w:szCs w:val="15"/>
              </w:rPr>
            </w:pPr>
            <w:r w:rsidRPr="00E5642A">
              <w:rPr>
                <w:rFonts w:cs="Arial"/>
                <w:color w:val="000000"/>
                <w:sz w:val="15"/>
                <w:szCs w:val="15"/>
              </w:rPr>
              <w:t>11.382.881</w:t>
            </w:r>
          </w:p>
        </w:tc>
        <w:tc>
          <w:tcPr>
            <w:tcW w:w="481"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61BF151A" w14:textId="77777777" w:rsidR="0025610F" w:rsidRPr="00E5642A" w:rsidRDefault="0025610F" w:rsidP="00E5642A">
            <w:pPr>
              <w:jc w:val="right"/>
              <w:rPr>
                <w:rFonts w:cs="Arial"/>
                <w:color w:val="000000"/>
                <w:sz w:val="15"/>
                <w:szCs w:val="15"/>
              </w:rPr>
            </w:pPr>
            <w:r w:rsidRPr="00E5642A">
              <w:rPr>
                <w:rFonts w:cs="Arial"/>
                <w:color w:val="000000"/>
                <w:sz w:val="15"/>
                <w:szCs w:val="15"/>
              </w:rPr>
              <w:t>3.779.674</w:t>
            </w:r>
          </w:p>
        </w:tc>
        <w:tc>
          <w:tcPr>
            <w:tcW w:w="529"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7A997603" w14:textId="77777777" w:rsidR="0025610F" w:rsidRPr="00E5642A" w:rsidRDefault="0025610F" w:rsidP="00E5642A">
            <w:pPr>
              <w:jc w:val="right"/>
              <w:rPr>
                <w:rFonts w:cs="Arial"/>
                <w:color w:val="000000"/>
                <w:sz w:val="15"/>
                <w:szCs w:val="15"/>
              </w:rPr>
            </w:pPr>
            <w:r w:rsidRPr="00E5642A">
              <w:rPr>
                <w:rFonts w:cs="Arial"/>
                <w:color w:val="000000"/>
                <w:sz w:val="15"/>
                <w:szCs w:val="15"/>
              </w:rPr>
              <w:t>46.147.445</w:t>
            </w:r>
          </w:p>
        </w:tc>
        <w:tc>
          <w:tcPr>
            <w:tcW w:w="530"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6C513CAF" w14:textId="77777777" w:rsidR="0025610F" w:rsidRPr="00E5642A" w:rsidRDefault="0025610F" w:rsidP="00E5642A">
            <w:pPr>
              <w:jc w:val="right"/>
              <w:rPr>
                <w:rFonts w:cs="Arial"/>
                <w:color w:val="000000"/>
                <w:sz w:val="15"/>
                <w:szCs w:val="15"/>
              </w:rPr>
            </w:pPr>
            <w:r w:rsidRPr="00E5642A">
              <w:rPr>
                <w:rFonts w:cs="Arial"/>
                <w:color w:val="000000"/>
                <w:sz w:val="15"/>
                <w:szCs w:val="15"/>
              </w:rPr>
              <w:t>49.927.119</w:t>
            </w:r>
          </w:p>
        </w:tc>
        <w:tc>
          <w:tcPr>
            <w:tcW w:w="508"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0391FF7D" w14:textId="77777777" w:rsidR="0025610F" w:rsidRPr="00E5642A" w:rsidRDefault="0025610F" w:rsidP="00E5642A">
            <w:pPr>
              <w:jc w:val="right"/>
              <w:rPr>
                <w:rFonts w:cs="Arial"/>
                <w:color w:val="000000"/>
                <w:sz w:val="15"/>
                <w:szCs w:val="15"/>
              </w:rPr>
            </w:pPr>
            <w:r w:rsidRPr="00E5642A">
              <w:rPr>
                <w:rFonts w:cs="Arial"/>
                <w:color w:val="000000"/>
                <w:sz w:val="15"/>
                <w:szCs w:val="15"/>
              </w:rPr>
              <w:t>3.781.439</w:t>
            </w:r>
          </w:p>
        </w:tc>
        <w:tc>
          <w:tcPr>
            <w:tcW w:w="529"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1302FFE8" w14:textId="77777777" w:rsidR="0025610F" w:rsidRPr="00E5642A" w:rsidRDefault="0025610F" w:rsidP="00E5642A">
            <w:pPr>
              <w:jc w:val="right"/>
              <w:rPr>
                <w:rFonts w:cs="Arial"/>
                <w:color w:val="000000"/>
                <w:sz w:val="15"/>
                <w:szCs w:val="15"/>
              </w:rPr>
            </w:pPr>
            <w:r w:rsidRPr="00E5642A">
              <w:rPr>
                <w:rFonts w:cs="Arial"/>
                <w:color w:val="000000"/>
                <w:sz w:val="15"/>
                <w:szCs w:val="15"/>
              </w:rPr>
              <w:t>57.528.561</w:t>
            </w:r>
          </w:p>
        </w:tc>
        <w:tc>
          <w:tcPr>
            <w:tcW w:w="529" w:type="pct"/>
            <w:tcBorders>
              <w:left w:val="single" w:sz="4" w:space="0" w:color="auto"/>
            </w:tcBorders>
            <w:tcMar>
              <w:top w:w="15" w:type="dxa"/>
              <w:left w:w="15" w:type="dxa"/>
              <w:bottom w:w="0" w:type="dxa"/>
              <w:right w:w="15" w:type="dxa"/>
            </w:tcMar>
            <w:vAlign w:val="center"/>
            <w:hideMark/>
          </w:tcPr>
          <w:p w14:paraId="7520222C" w14:textId="77777777" w:rsidR="0025610F" w:rsidRPr="00E5642A" w:rsidRDefault="0025610F" w:rsidP="00E5642A">
            <w:pPr>
              <w:jc w:val="right"/>
              <w:rPr>
                <w:rFonts w:cs="Arial"/>
                <w:color w:val="000000"/>
                <w:sz w:val="15"/>
                <w:szCs w:val="15"/>
              </w:rPr>
            </w:pPr>
            <w:r w:rsidRPr="00E5642A">
              <w:rPr>
                <w:rFonts w:cs="Arial"/>
                <w:color w:val="000000"/>
                <w:sz w:val="15"/>
                <w:szCs w:val="15"/>
              </w:rPr>
              <w:t>61.310.000</w:t>
            </w:r>
          </w:p>
        </w:tc>
      </w:tr>
      <w:tr w:rsidR="0025610F" w14:paraId="1F1F4E27" w14:textId="77777777" w:rsidTr="00841A88">
        <w:trPr>
          <w:trHeight w:val="397"/>
        </w:trPr>
        <w:tc>
          <w:tcPr>
            <w:tcW w:w="404" w:type="pct"/>
            <w:tcBorders>
              <w:top w:val="nil"/>
              <w:left w:val="nil"/>
              <w:bottom w:val="nil"/>
              <w:right w:val="single" w:sz="4" w:space="0" w:color="auto"/>
            </w:tcBorders>
            <w:tcMar>
              <w:top w:w="15" w:type="dxa"/>
              <w:left w:w="15" w:type="dxa"/>
              <w:bottom w:w="0" w:type="dxa"/>
              <w:right w:w="15" w:type="dxa"/>
            </w:tcMar>
            <w:vAlign w:val="center"/>
            <w:hideMark/>
          </w:tcPr>
          <w:p w14:paraId="65C3BC71" w14:textId="77777777" w:rsidR="0025610F" w:rsidRDefault="0025610F">
            <w:pPr>
              <w:jc w:val="center"/>
              <w:rPr>
                <w:rFonts w:cs="Arial"/>
                <w:color w:val="000000"/>
                <w:sz w:val="15"/>
                <w:szCs w:val="15"/>
              </w:rPr>
            </w:pPr>
            <w:r>
              <w:rPr>
                <w:rFonts w:cs="Arial"/>
                <w:color w:val="000000"/>
                <w:sz w:val="15"/>
                <w:szCs w:val="15"/>
              </w:rPr>
              <w:t>TCE</w:t>
            </w:r>
          </w:p>
        </w:tc>
        <w:tc>
          <w:tcPr>
            <w:tcW w:w="481"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21213569" w14:textId="77777777" w:rsidR="0025610F" w:rsidRPr="00E5642A" w:rsidRDefault="0025610F" w:rsidP="004E785E">
            <w:pPr>
              <w:ind w:right="52"/>
              <w:jc w:val="right"/>
              <w:rPr>
                <w:rFonts w:cs="Arial"/>
                <w:color w:val="000000"/>
                <w:sz w:val="15"/>
                <w:szCs w:val="15"/>
              </w:rPr>
            </w:pPr>
          </w:p>
        </w:tc>
        <w:tc>
          <w:tcPr>
            <w:tcW w:w="479"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120AC860" w14:textId="77777777" w:rsidR="0025610F" w:rsidRPr="00E5642A" w:rsidRDefault="0025610F" w:rsidP="00E5642A">
            <w:pPr>
              <w:jc w:val="right"/>
              <w:rPr>
                <w:rFonts w:cs="Arial"/>
                <w:sz w:val="15"/>
                <w:szCs w:val="15"/>
              </w:rPr>
            </w:pPr>
          </w:p>
        </w:tc>
        <w:tc>
          <w:tcPr>
            <w:tcW w:w="530"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42B5CC70" w14:textId="77777777" w:rsidR="0025610F" w:rsidRPr="00E5642A" w:rsidRDefault="0025610F" w:rsidP="004E785E">
            <w:pPr>
              <w:jc w:val="right"/>
              <w:rPr>
                <w:rFonts w:cs="Arial"/>
                <w:color w:val="000000"/>
                <w:sz w:val="15"/>
                <w:szCs w:val="15"/>
              </w:rPr>
            </w:pPr>
            <w:r w:rsidRPr="00E5642A">
              <w:rPr>
                <w:rFonts w:cs="Arial"/>
                <w:color w:val="000000"/>
                <w:sz w:val="15"/>
                <w:szCs w:val="15"/>
              </w:rPr>
              <w:t>-</w:t>
            </w:r>
          </w:p>
        </w:tc>
        <w:tc>
          <w:tcPr>
            <w:tcW w:w="481"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5370BC0E" w14:textId="77777777" w:rsidR="0025610F" w:rsidRPr="00E5642A" w:rsidRDefault="0025610F" w:rsidP="00E5642A">
            <w:pPr>
              <w:jc w:val="right"/>
              <w:rPr>
                <w:rFonts w:cs="Arial"/>
                <w:color w:val="000000"/>
                <w:sz w:val="15"/>
                <w:szCs w:val="15"/>
              </w:rPr>
            </w:pPr>
            <w:r w:rsidRPr="00E5642A">
              <w:rPr>
                <w:rFonts w:cs="Arial"/>
                <w:color w:val="000000"/>
                <w:sz w:val="15"/>
                <w:szCs w:val="15"/>
              </w:rPr>
              <w:t>899</w:t>
            </w:r>
          </w:p>
        </w:tc>
        <w:tc>
          <w:tcPr>
            <w:tcW w:w="529"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26EB36FC" w14:textId="77777777" w:rsidR="0025610F" w:rsidRPr="00E5642A" w:rsidRDefault="0025610F" w:rsidP="00E5642A">
            <w:pPr>
              <w:jc w:val="right"/>
              <w:rPr>
                <w:rFonts w:cs="Arial"/>
                <w:color w:val="000000"/>
                <w:sz w:val="15"/>
                <w:szCs w:val="15"/>
              </w:rPr>
            </w:pPr>
            <w:r w:rsidRPr="00E5642A">
              <w:rPr>
                <w:rFonts w:cs="Arial"/>
                <w:color w:val="000000"/>
                <w:sz w:val="15"/>
                <w:szCs w:val="15"/>
              </w:rPr>
              <w:t>3.771.474</w:t>
            </w:r>
          </w:p>
        </w:tc>
        <w:tc>
          <w:tcPr>
            <w:tcW w:w="530"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28A9297B" w14:textId="77777777" w:rsidR="0025610F" w:rsidRPr="00E5642A" w:rsidRDefault="0025610F" w:rsidP="00E5642A">
            <w:pPr>
              <w:jc w:val="right"/>
              <w:rPr>
                <w:rFonts w:cs="Arial"/>
                <w:color w:val="000000"/>
                <w:sz w:val="15"/>
                <w:szCs w:val="15"/>
              </w:rPr>
            </w:pPr>
            <w:r w:rsidRPr="00E5642A">
              <w:rPr>
                <w:rFonts w:cs="Arial"/>
                <w:color w:val="000000"/>
                <w:sz w:val="15"/>
                <w:szCs w:val="15"/>
              </w:rPr>
              <w:t>3.772.373</w:t>
            </w:r>
          </w:p>
        </w:tc>
        <w:tc>
          <w:tcPr>
            <w:tcW w:w="508"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7CA9158B" w14:textId="77777777" w:rsidR="0025610F" w:rsidRPr="00E5642A" w:rsidRDefault="0025610F" w:rsidP="00E5642A">
            <w:pPr>
              <w:jc w:val="right"/>
              <w:rPr>
                <w:rFonts w:cs="Arial"/>
                <w:color w:val="000000"/>
                <w:sz w:val="15"/>
                <w:szCs w:val="15"/>
              </w:rPr>
            </w:pPr>
            <w:r w:rsidRPr="00E5642A">
              <w:rPr>
                <w:rFonts w:cs="Arial"/>
                <w:color w:val="000000"/>
                <w:sz w:val="15"/>
                <w:szCs w:val="15"/>
              </w:rPr>
              <w:t>899</w:t>
            </w:r>
          </w:p>
        </w:tc>
        <w:tc>
          <w:tcPr>
            <w:tcW w:w="529" w:type="pct"/>
            <w:tcBorders>
              <w:top w:val="nil"/>
              <w:left w:val="single" w:sz="4" w:space="0" w:color="auto"/>
              <w:bottom w:val="nil"/>
              <w:right w:val="single" w:sz="4" w:space="0" w:color="auto"/>
            </w:tcBorders>
            <w:tcMar>
              <w:top w:w="15" w:type="dxa"/>
              <w:left w:w="15" w:type="dxa"/>
              <w:bottom w:w="0" w:type="dxa"/>
              <w:right w:w="15" w:type="dxa"/>
            </w:tcMar>
            <w:vAlign w:val="center"/>
            <w:hideMark/>
          </w:tcPr>
          <w:p w14:paraId="7DAC68BB" w14:textId="77777777" w:rsidR="0025610F" w:rsidRPr="00E5642A" w:rsidRDefault="0025610F" w:rsidP="00E5642A">
            <w:pPr>
              <w:jc w:val="right"/>
              <w:rPr>
                <w:rFonts w:cs="Arial"/>
                <w:color w:val="000000"/>
                <w:sz w:val="15"/>
                <w:szCs w:val="15"/>
              </w:rPr>
            </w:pPr>
            <w:r w:rsidRPr="00E5642A">
              <w:rPr>
                <w:rFonts w:cs="Arial"/>
                <w:color w:val="000000"/>
                <w:sz w:val="15"/>
                <w:szCs w:val="15"/>
              </w:rPr>
              <w:t>3.771.474</w:t>
            </w:r>
          </w:p>
        </w:tc>
        <w:tc>
          <w:tcPr>
            <w:tcW w:w="529" w:type="pct"/>
            <w:tcBorders>
              <w:left w:val="single" w:sz="4" w:space="0" w:color="auto"/>
            </w:tcBorders>
            <w:tcMar>
              <w:top w:w="15" w:type="dxa"/>
              <w:left w:w="15" w:type="dxa"/>
              <w:bottom w:w="0" w:type="dxa"/>
              <w:right w:w="15" w:type="dxa"/>
            </w:tcMar>
            <w:vAlign w:val="center"/>
            <w:hideMark/>
          </w:tcPr>
          <w:p w14:paraId="5A3ADC39" w14:textId="77777777" w:rsidR="0025610F" w:rsidRPr="00E5642A" w:rsidRDefault="0025610F" w:rsidP="00E5642A">
            <w:pPr>
              <w:jc w:val="right"/>
              <w:rPr>
                <w:rFonts w:cs="Arial"/>
                <w:color w:val="000000"/>
                <w:sz w:val="15"/>
                <w:szCs w:val="15"/>
              </w:rPr>
            </w:pPr>
            <w:r w:rsidRPr="00E5642A">
              <w:rPr>
                <w:rFonts w:cs="Arial"/>
                <w:color w:val="000000"/>
                <w:sz w:val="15"/>
                <w:szCs w:val="15"/>
              </w:rPr>
              <w:t>3.772.373</w:t>
            </w:r>
          </w:p>
        </w:tc>
      </w:tr>
      <w:tr w:rsidR="0025610F" w14:paraId="12EF6054" w14:textId="77777777" w:rsidTr="00841A88">
        <w:trPr>
          <w:trHeight w:val="397"/>
        </w:trPr>
        <w:tc>
          <w:tcPr>
            <w:tcW w:w="404" w:type="pct"/>
            <w:tcBorders>
              <w:top w:val="nil"/>
              <w:left w:val="nil"/>
              <w:bottom w:val="single" w:sz="4" w:space="0" w:color="auto"/>
              <w:right w:val="single" w:sz="4" w:space="0" w:color="auto"/>
            </w:tcBorders>
            <w:tcMar>
              <w:top w:w="15" w:type="dxa"/>
              <w:left w:w="15" w:type="dxa"/>
              <w:bottom w:w="0" w:type="dxa"/>
              <w:right w:w="15" w:type="dxa"/>
            </w:tcMar>
            <w:vAlign w:val="center"/>
            <w:hideMark/>
          </w:tcPr>
          <w:p w14:paraId="0F05E0AC" w14:textId="77777777" w:rsidR="0025610F" w:rsidRDefault="0025610F">
            <w:pPr>
              <w:jc w:val="center"/>
              <w:rPr>
                <w:rFonts w:cs="Arial"/>
                <w:color w:val="000000"/>
                <w:sz w:val="15"/>
                <w:szCs w:val="15"/>
              </w:rPr>
            </w:pPr>
            <w:r>
              <w:rPr>
                <w:rFonts w:cs="Arial"/>
                <w:color w:val="000000"/>
                <w:sz w:val="15"/>
                <w:szCs w:val="15"/>
              </w:rPr>
              <w:t>TCM</w:t>
            </w:r>
          </w:p>
        </w:tc>
        <w:tc>
          <w:tcPr>
            <w:tcW w:w="481" w:type="pct"/>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6F88EA4B" w14:textId="77777777" w:rsidR="0025610F" w:rsidRPr="00E5642A" w:rsidRDefault="0025610F" w:rsidP="004E785E">
            <w:pPr>
              <w:ind w:right="52"/>
              <w:jc w:val="right"/>
              <w:rPr>
                <w:rFonts w:cs="Arial"/>
                <w:color w:val="000000"/>
                <w:sz w:val="15"/>
                <w:szCs w:val="15"/>
              </w:rPr>
            </w:pPr>
            <w:r w:rsidRPr="00E5642A">
              <w:rPr>
                <w:rFonts w:cs="Arial"/>
                <w:color w:val="000000"/>
                <w:sz w:val="15"/>
                <w:szCs w:val="15"/>
              </w:rPr>
              <w:t>-</w:t>
            </w:r>
          </w:p>
        </w:tc>
        <w:tc>
          <w:tcPr>
            <w:tcW w:w="479" w:type="pct"/>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729127D8" w14:textId="77777777" w:rsidR="0025610F" w:rsidRPr="00E5642A" w:rsidRDefault="0025610F" w:rsidP="00E5642A">
            <w:pPr>
              <w:jc w:val="right"/>
              <w:rPr>
                <w:rFonts w:cs="Arial"/>
                <w:color w:val="000000"/>
                <w:sz w:val="15"/>
                <w:szCs w:val="15"/>
              </w:rPr>
            </w:pPr>
            <w:r w:rsidRPr="00E5642A">
              <w:rPr>
                <w:rFonts w:cs="Arial"/>
                <w:color w:val="000000"/>
                <w:sz w:val="15"/>
                <w:szCs w:val="15"/>
              </w:rPr>
              <w:t>2.897.806</w:t>
            </w:r>
          </w:p>
        </w:tc>
        <w:tc>
          <w:tcPr>
            <w:tcW w:w="530" w:type="pct"/>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45B27930" w14:textId="77777777" w:rsidR="0025610F" w:rsidRPr="00E5642A" w:rsidRDefault="0025610F" w:rsidP="004E785E">
            <w:pPr>
              <w:jc w:val="right"/>
              <w:rPr>
                <w:rFonts w:cs="Arial"/>
                <w:color w:val="000000"/>
                <w:sz w:val="15"/>
                <w:szCs w:val="15"/>
              </w:rPr>
            </w:pPr>
            <w:r w:rsidRPr="00E5642A">
              <w:rPr>
                <w:rFonts w:cs="Arial"/>
                <w:color w:val="000000"/>
                <w:sz w:val="15"/>
                <w:szCs w:val="15"/>
              </w:rPr>
              <w:t>2.897.806</w:t>
            </w:r>
          </w:p>
        </w:tc>
        <w:tc>
          <w:tcPr>
            <w:tcW w:w="481" w:type="pct"/>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6ADFF9AE" w14:textId="77777777" w:rsidR="0025610F" w:rsidRPr="00E5642A" w:rsidRDefault="0025610F" w:rsidP="00E5642A">
            <w:pPr>
              <w:jc w:val="right"/>
              <w:rPr>
                <w:rFonts w:cs="Arial"/>
                <w:color w:val="000000"/>
                <w:sz w:val="15"/>
                <w:szCs w:val="15"/>
              </w:rPr>
            </w:pPr>
            <w:r w:rsidRPr="00E5642A">
              <w:rPr>
                <w:rFonts w:cs="Arial"/>
                <w:color w:val="000000"/>
                <w:sz w:val="15"/>
                <w:szCs w:val="15"/>
              </w:rPr>
              <w:t>659.355</w:t>
            </w:r>
          </w:p>
        </w:tc>
        <w:tc>
          <w:tcPr>
            <w:tcW w:w="529" w:type="pct"/>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2D7A80D9" w14:textId="77777777" w:rsidR="0025610F" w:rsidRPr="00E5642A" w:rsidRDefault="0025610F" w:rsidP="00E5642A">
            <w:pPr>
              <w:jc w:val="right"/>
              <w:rPr>
                <w:rFonts w:cs="Arial"/>
                <w:color w:val="000000"/>
                <w:sz w:val="15"/>
                <w:szCs w:val="15"/>
              </w:rPr>
            </w:pPr>
            <w:r w:rsidRPr="00E5642A">
              <w:rPr>
                <w:rFonts w:cs="Arial"/>
                <w:color w:val="000000"/>
                <w:sz w:val="15"/>
                <w:szCs w:val="15"/>
              </w:rPr>
              <w:t>7.869.829</w:t>
            </w:r>
          </w:p>
        </w:tc>
        <w:tc>
          <w:tcPr>
            <w:tcW w:w="530" w:type="pct"/>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4FADC964" w14:textId="77777777" w:rsidR="0025610F" w:rsidRPr="00E5642A" w:rsidRDefault="0025610F" w:rsidP="00E5642A">
            <w:pPr>
              <w:jc w:val="right"/>
              <w:rPr>
                <w:rFonts w:cs="Arial"/>
                <w:color w:val="000000"/>
                <w:sz w:val="15"/>
                <w:szCs w:val="15"/>
              </w:rPr>
            </w:pPr>
            <w:r w:rsidRPr="00E5642A">
              <w:rPr>
                <w:rFonts w:cs="Arial"/>
                <w:color w:val="000000"/>
                <w:sz w:val="15"/>
                <w:szCs w:val="15"/>
              </w:rPr>
              <w:t>8.529.184</w:t>
            </w:r>
          </w:p>
        </w:tc>
        <w:tc>
          <w:tcPr>
            <w:tcW w:w="508" w:type="pct"/>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5913E2E2" w14:textId="77777777" w:rsidR="0025610F" w:rsidRPr="00E5642A" w:rsidRDefault="0025610F" w:rsidP="00E5642A">
            <w:pPr>
              <w:jc w:val="right"/>
              <w:rPr>
                <w:rFonts w:cs="Arial"/>
                <w:color w:val="000000"/>
                <w:sz w:val="15"/>
                <w:szCs w:val="15"/>
              </w:rPr>
            </w:pPr>
            <w:r w:rsidRPr="00E5642A">
              <w:rPr>
                <w:rFonts w:cs="Arial"/>
                <w:color w:val="000000"/>
                <w:sz w:val="15"/>
                <w:szCs w:val="15"/>
              </w:rPr>
              <w:t>659.355</w:t>
            </w:r>
          </w:p>
        </w:tc>
        <w:tc>
          <w:tcPr>
            <w:tcW w:w="529" w:type="pct"/>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6AF3E4F8" w14:textId="77777777" w:rsidR="0025610F" w:rsidRPr="00E5642A" w:rsidRDefault="0025610F" w:rsidP="00E5642A">
            <w:pPr>
              <w:jc w:val="right"/>
              <w:rPr>
                <w:rFonts w:cs="Arial"/>
                <w:color w:val="000000"/>
                <w:sz w:val="15"/>
                <w:szCs w:val="15"/>
              </w:rPr>
            </w:pPr>
            <w:r w:rsidRPr="00E5642A">
              <w:rPr>
                <w:rFonts w:cs="Arial"/>
                <w:color w:val="000000"/>
                <w:sz w:val="15"/>
                <w:szCs w:val="15"/>
              </w:rPr>
              <w:t>10.767.635</w:t>
            </w:r>
          </w:p>
        </w:tc>
        <w:tc>
          <w:tcPr>
            <w:tcW w:w="529" w:type="pct"/>
            <w:tcBorders>
              <w:top w:val="nil"/>
              <w:left w:val="single" w:sz="4" w:space="0" w:color="auto"/>
              <w:bottom w:val="single" w:sz="4" w:space="0" w:color="auto"/>
              <w:right w:val="nil"/>
            </w:tcBorders>
            <w:tcMar>
              <w:top w:w="15" w:type="dxa"/>
              <w:left w:w="15" w:type="dxa"/>
              <w:bottom w:w="0" w:type="dxa"/>
              <w:right w:w="15" w:type="dxa"/>
            </w:tcMar>
            <w:vAlign w:val="center"/>
            <w:hideMark/>
          </w:tcPr>
          <w:p w14:paraId="29A3FB60" w14:textId="77777777" w:rsidR="0025610F" w:rsidRPr="00E5642A" w:rsidRDefault="0025610F" w:rsidP="00E5642A">
            <w:pPr>
              <w:jc w:val="right"/>
              <w:rPr>
                <w:rFonts w:cs="Arial"/>
                <w:color w:val="000000"/>
                <w:sz w:val="15"/>
                <w:szCs w:val="15"/>
              </w:rPr>
            </w:pPr>
            <w:r w:rsidRPr="00E5642A">
              <w:rPr>
                <w:rFonts w:cs="Arial"/>
                <w:color w:val="000000"/>
                <w:sz w:val="15"/>
                <w:szCs w:val="15"/>
              </w:rPr>
              <w:t>11.426.990</w:t>
            </w:r>
          </w:p>
        </w:tc>
      </w:tr>
      <w:tr w:rsidR="0025610F" w14:paraId="46D4C776" w14:textId="77777777" w:rsidTr="00841A88">
        <w:trPr>
          <w:trHeight w:val="591"/>
        </w:trPr>
        <w:tc>
          <w:tcPr>
            <w:tcW w:w="404" w:type="pct"/>
            <w:tcBorders>
              <w:top w:val="single" w:sz="4" w:space="0" w:color="auto"/>
              <w:left w:val="nil"/>
              <w:bottom w:val="single" w:sz="4" w:space="0" w:color="auto"/>
              <w:right w:val="single" w:sz="4" w:space="0" w:color="auto"/>
            </w:tcBorders>
            <w:tcMar>
              <w:top w:w="15" w:type="dxa"/>
              <w:left w:w="15" w:type="dxa"/>
              <w:bottom w:w="0" w:type="dxa"/>
              <w:right w:w="15" w:type="dxa"/>
            </w:tcMar>
            <w:vAlign w:val="center"/>
            <w:hideMark/>
          </w:tcPr>
          <w:p w14:paraId="044F30D0" w14:textId="77777777" w:rsidR="0025610F" w:rsidRDefault="0025610F">
            <w:pPr>
              <w:jc w:val="center"/>
              <w:rPr>
                <w:rFonts w:cs="Arial"/>
                <w:b/>
                <w:bCs/>
                <w:color w:val="000000"/>
                <w:sz w:val="15"/>
                <w:szCs w:val="15"/>
              </w:rPr>
            </w:pPr>
            <w:r>
              <w:rPr>
                <w:rFonts w:cs="Arial"/>
                <w:b/>
                <w:bCs/>
                <w:color w:val="000000"/>
                <w:sz w:val="15"/>
                <w:szCs w:val="15"/>
              </w:rPr>
              <w:t>TOTAL</w:t>
            </w:r>
          </w:p>
        </w:tc>
        <w:tc>
          <w:tcPr>
            <w:tcW w:w="48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6D105B2D" w14:textId="77777777" w:rsidR="0025610F" w:rsidRPr="00E5642A" w:rsidRDefault="0025610F" w:rsidP="004E785E">
            <w:pPr>
              <w:ind w:right="52"/>
              <w:jc w:val="center"/>
              <w:rPr>
                <w:rFonts w:cs="Arial"/>
                <w:b/>
                <w:bCs/>
                <w:color w:val="000000"/>
                <w:sz w:val="15"/>
                <w:szCs w:val="15"/>
              </w:rPr>
            </w:pPr>
            <w:r w:rsidRPr="00E5642A">
              <w:rPr>
                <w:rFonts w:cs="Arial"/>
                <w:b/>
                <w:bCs/>
                <w:color w:val="000000"/>
                <w:sz w:val="15"/>
                <w:szCs w:val="15"/>
              </w:rPr>
              <w:t>92.385.790</w:t>
            </w:r>
          </w:p>
        </w:tc>
        <w:tc>
          <w:tcPr>
            <w:tcW w:w="47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2786AF5B" w14:textId="77777777" w:rsidR="0025610F" w:rsidRPr="00E5642A" w:rsidRDefault="0025610F" w:rsidP="00E5642A">
            <w:pPr>
              <w:jc w:val="center"/>
              <w:rPr>
                <w:rFonts w:cs="Arial"/>
                <w:b/>
                <w:bCs/>
                <w:color w:val="000000"/>
                <w:sz w:val="15"/>
                <w:szCs w:val="15"/>
              </w:rPr>
            </w:pPr>
            <w:r w:rsidRPr="00E5642A">
              <w:rPr>
                <w:rFonts w:cs="Arial"/>
                <w:b/>
                <w:bCs/>
                <w:color w:val="000000"/>
                <w:sz w:val="15"/>
                <w:szCs w:val="15"/>
              </w:rPr>
              <w:t>624.114.663</w:t>
            </w:r>
          </w:p>
        </w:tc>
        <w:tc>
          <w:tcPr>
            <w:tcW w:w="530"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75020003" w14:textId="77777777" w:rsidR="0025610F" w:rsidRPr="00E5642A" w:rsidRDefault="0025610F">
            <w:pPr>
              <w:jc w:val="center"/>
              <w:rPr>
                <w:rFonts w:cs="Arial"/>
                <w:b/>
                <w:bCs/>
                <w:color w:val="000000"/>
                <w:sz w:val="15"/>
                <w:szCs w:val="15"/>
              </w:rPr>
            </w:pPr>
            <w:r w:rsidRPr="00E5642A">
              <w:rPr>
                <w:rFonts w:cs="Arial"/>
                <w:b/>
                <w:bCs/>
                <w:color w:val="000000"/>
                <w:sz w:val="15"/>
                <w:szCs w:val="15"/>
              </w:rPr>
              <w:t>716.500.452</w:t>
            </w:r>
          </w:p>
        </w:tc>
        <w:tc>
          <w:tcPr>
            <w:tcW w:w="48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68C757A4" w14:textId="77777777" w:rsidR="0025610F" w:rsidRPr="00E5642A" w:rsidRDefault="0025610F">
            <w:pPr>
              <w:jc w:val="center"/>
              <w:rPr>
                <w:rFonts w:cs="Arial"/>
                <w:b/>
                <w:bCs/>
                <w:color w:val="000000"/>
                <w:sz w:val="15"/>
                <w:szCs w:val="15"/>
              </w:rPr>
            </w:pPr>
            <w:r w:rsidRPr="00E5642A">
              <w:rPr>
                <w:rFonts w:cs="Arial"/>
                <w:b/>
                <w:bCs/>
                <w:color w:val="000000"/>
                <w:sz w:val="15"/>
                <w:szCs w:val="15"/>
              </w:rPr>
              <w:t>140.506.822</w:t>
            </w:r>
          </w:p>
        </w:tc>
        <w:tc>
          <w:tcPr>
            <w:tcW w:w="52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427A25CA" w14:textId="77777777" w:rsidR="0025610F" w:rsidRPr="00E5642A" w:rsidRDefault="0025610F">
            <w:pPr>
              <w:jc w:val="center"/>
              <w:rPr>
                <w:rFonts w:cs="Arial"/>
                <w:b/>
                <w:bCs/>
                <w:color w:val="000000"/>
                <w:sz w:val="15"/>
                <w:szCs w:val="15"/>
              </w:rPr>
            </w:pPr>
            <w:r w:rsidRPr="00E5642A">
              <w:rPr>
                <w:rFonts w:cs="Arial"/>
                <w:b/>
                <w:bCs/>
                <w:color w:val="000000"/>
                <w:sz w:val="15"/>
                <w:szCs w:val="15"/>
              </w:rPr>
              <w:t>1.334.544.508</w:t>
            </w:r>
          </w:p>
        </w:tc>
        <w:tc>
          <w:tcPr>
            <w:tcW w:w="530"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63088FD8" w14:textId="77777777" w:rsidR="0025610F" w:rsidRPr="00E5642A" w:rsidRDefault="0025610F">
            <w:pPr>
              <w:jc w:val="center"/>
              <w:rPr>
                <w:rFonts w:cs="Arial"/>
                <w:b/>
                <w:bCs/>
                <w:color w:val="000000"/>
                <w:sz w:val="15"/>
                <w:szCs w:val="15"/>
              </w:rPr>
            </w:pPr>
            <w:r w:rsidRPr="00E5642A">
              <w:rPr>
                <w:rFonts w:cs="Arial"/>
                <w:b/>
                <w:bCs/>
                <w:color w:val="000000"/>
                <w:sz w:val="15"/>
                <w:szCs w:val="15"/>
              </w:rPr>
              <w:t>1.475.051.330</w:t>
            </w:r>
          </w:p>
        </w:tc>
        <w:tc>
          <w:tcPr>
            <w:tcW w:w="508"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5A834D06" w14:textId="77777777" w:rsidR="0025610F" w:rsidRPr="00E5642A" w:rsidRDefault="0025610F">
            <w:pPr>
              <w:jc w:val="center"/>
              <w:rPr>
                <w:rFonts w:cs="Arial"/>
                <w:b/>
                <w:bCs/>
                <w:color w:val="000000"/>
                <w:sz w:val="15"/>
                <w:szCs w:val="15"/>
              </w:rPr>
            </w:pPr>
            <w:r w:rsidRPr="00E5642A">
              <w:rPr>
                <w:rFonts w:cs="Arial"/>
                <w:b/>
                <w:bCs/>
                <w:color w:val="000000"/>
                <w:sz w:val="15"/>
                <w:szCs w:val="15"/>
              </w:rPr>
              <w:t>232.892.612</w:t>
            </w:r>
          </w:p>
        </w:tc>
        <w:tc>
          <w:tcPr>
            <w:tcW w:w="52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7A2ECD2C" w14:textId="77777777" w:rsidR="0025610F" w:rsidRPr="00E5642A" w:rsidRDefault="0025610F">
            <w:pPr>
              <w:jc w:val="center"/>
              <w:rPr>
                <w:rFonts w:cs="Arial"/>
                <w:b/>
                <w:bCs/>
                <w:color w:val="000000"/>
                <w:sz w:val="15"/>
                <w:szCs w:val="15"/>
              </w:rPr>
            </w:pPr>
            <w:r w:rsidRPr="00E5642A">
              <w:rPr>
                <w:rFonts w:cs="Arial"/>
                <w:b/>
                <w:bCs/>
                <w:color w:val="000000"/>
                <w:sz w:val="15"/>
                <w:szCs w:val="15"/>
              </w:rPr>
              <w:t>1.958.659.170</w:t>
            </w:r>
          </w:p>
        </w:tc>
        <w:tc>
          <w:tcPr>
            <w:tcW w:w="529" w:type="pct"/>
            <w:tcBorders>
              <w:top w:val="single" w:sz="4" w:space="0" w:color="auto"/>
              <w:left w:val="single" w:sz="4" w:space="0" w:color="auto"/>
              <w:bottom w:val="single" w:sz="4" w:space="0" w:color="auto"/>
              <w:right w:val="nil"/>
            </w:tcBorders>
            <w:tcMar>
              <w:top w:w="15" w:type="dxa"/>
              <w:left w:w="15" w:type="dxa"/>
              <w:bottom w:w="0" w:type="dxa"/>
              <w:right w:w="15" w:type="dxa"/>
            </w:tcMar>
            <w:vAlign w:val="center"/>
            <w:hideMark/>
          </w:tcPr>
          <w:p w14:paraId="708203B2" w14:textId="77777777" w:rsidR="0025610F" w:rsidRPr="00E5642A" w:rsidRDefault="0025610F">
            <w:pPr>
              <w:jc w:val="center"/>
              <w:rPr>
                <w:rFonts w:cs="Arial"/>
                <w:b/>
                <w:bCs/>
                <w:color w:val="000000"/>
                <w:sz w:val="15"/>
                <w:szCs w:val="15"/>
              </w:rPr>
            </w:pPr>
            <w:r w:rsidRPr="00E5642A">
              <w:rPr>
                <w:rFonts w:cs="Arial"/>
                <w:b/>
                <w:bCs/>
                <w:color w:val="000000"/>
                <w:sz w:val="15"/>
                <w:szCs w:val="15"/>
              </w:rPr>
              <w:t>2.191.551.782</w:t>
            </w:r>
          </w:p>
        </w:tc>
      </w:tr>
    </w:tbl>
    <w:p w14:paraId="3DA27646" w14:textId="2529F3C8" w:rsidR="00EC7AD7" w:rsidRDefault="00EC7AD7" w:rsidP="00EF01A1">
      <w:pPr>
        <w:pStyle w:val="1-FONTE8ESQ"/>
        <w:rPr>
          <w:lang w:eastAsia="en-US"/>
        </w:rPr>
      </w:pPr>
      <w:r w:rsidRPr="00EC7AD7">
        <w:rPr>
          <w:lang w:eastAsia="en-US"/>
        </w:rPr>
        <w:t xml:space="preserve">Fonte: </w:t>
      </w:r>
      <w:r w:rsidRPr="00841A88">
        <w:rPr>
          <w:i/>
          <w:lang w:eastAsia="en-US"/>
        </w:rPr>
        <w:t>Business Objects</w:t>
      </w:r>
    </w:p>
    <w:p w14:paraId="2D55F6CD" w14:textId="397DD2A1" w:rsidR="0025610F" w:rsidRDefault="0025610F" w:rsidP="00D434C0">
      <w:pPr>
        <w:pStyle w:val="1-REL11"/>
        <w:spacing w:line="264" w:lineRule="auto"/>
      </w:pPr>
      <w:r>
        <w:t>Segundo a NE 3.6.4 - Ajuste de Restos a Pagar (processo nº 202300047001912, evento 21, fl. 172) ao analisar as informações de inscrição de restos a pagar, foi identificada diferença na Unidade Orçamentária 2850, empenho 2023.2850.098.00092, que geraram divergências entre o montante de inscrição de RPNP e RPP quando comparadas as informações do Siofi-Net e as informações extraídas pelo BO (universo FP – Restos a Pagar). O RPP apresentou valor negativo em R$</w:t>
      </w:r>
      <w:r w:rsidR="00C6321E">
        <w:t> </w:t>
      </w:r>
      <w:r>
        <w:t>130.633,65 e RPNP positivo em R$</w:t>
      </w:r>
      <w:r w:rsidR="00C6321E">
        <w:t> </w:t>
      </w:r>
      <w:r>
        <w:t xml:space="preserve">130.633,65, o que não afetou o total de inscrições, todavia o ajuste somente poderá ser realizado no exercício seguinte. </w:t>
      </w:r>
    </w:p>
    <w:p w14:paraId="2D18EC46" w14:textId="05DA9951" w:rsidR="00802443" w:rsidRDefault="00802443" w:rsidP="00D434C0">
      <w:pPr>
        <w:pStyle w:val="1-REL11"/>
        <w:spacing w:line="264" w:lineRule="auto"/>
      </w:pPr>
      <w:r>
        <w:t>Nos últimos três exercícios (2021 a 2023), observa-se uma variação a menor de 20,70% em inscrição de RPP e um decréscimo de 59,86% em inscrição de RPNP.</w:t>
      </w:r>
    </w:p>
    <w:p w14:paraId="451DC7A1" w14:textId="77777777" w:rsidR="00040508" w:rsidRDefault="00040508" w:rsidP="00ED3571">
      <w:pPr>
        <w:pStyle w:val="0-TABELA"/>
      </w:pPr>
      <w:bookmarkStart w:id="200" w:name="_Toc167871771"/>
      <w:r>
        <w:t>Inscrição de Restos a Pagar – 2021 a 2023</w:t>
      </w:r>
      <w:bookmarkEnd w:id="200"/>
    </w:p>
    <w:p w14:paraId="6990FBC2" w14:textId="77777777" w:rsidR="00D30A43" w:rsidRPr="00D30A43" w:rsidRDefault="00D30A43" w:rsidP="00D30A43">
      <w:pPr>
        <w:pStyle w:val="0-EmR1"/>
      </w:pPr>
      <w:r w:rsidRPr="00D30A43">
        <w:t>R$ 1</w:t>
      </w:r>
    </w:p>
    <w:tbl>
      <w:tblPr>
        <w:tblW w:w="5000" w:type="pct"/>
        <w:tblCellMar>
          <w:left w:w="70" w:type="dxa"/>
          <w:right w:w="70" w:type="dxa"/>
        </w:tblCellMar>
        <w:tblLook w:val="04A0" w:firstRow="1" w:lastRow="0" w:firstColumn="1" w:lastColumn="0" w:noHBand="0" w:noVBand="1"/>
      </w:tblPr>
      <w:tblGrid>
        <w:gridCol w:w="1870"/>
        <w:gridCol w:w="1870"/>
        <w:gridCol w:w="1871"/>
        <w:gridCol w:w="1871"/>
        <w:gridCol w:w="1871"/>
      </w:tblGrid>
      <w:tr w:rsidR="00802443" w:rsidRPr="000A6309" w14:paraId="2D15B3F9" w14:textId="77777777" w:rsidTr="00841A88">
        <w:trPr>
          <w:trHeight w:val="284"/>
          <w:tblHeader/>
        </w:trPr>
        <w:tc>
          <w:tcPr>
            <w:tcW w:w="1000" w:type="pct"/>
            <w:vMerge w:val="restart"/>
            <w:tcBorders>
              <w:top w:val="single" w:sz="4" w:space="0" w:color="auto"/>
              <w:left w:val="nil"/>
              <w:bottom w:val="single" w:sz="8" w:space="0" w:color="000000"/>
              <w:right w:val="single" w:sz="4" w:space="0" w:color="auto"/>
            </w:tcBorders>
            <w:shd w:val="clear" w:color="000000" w:fill="A1F2FD"/>
            <w:vAlign w:val="center"/>
            <w:hideMark/>
          </w:tcPr>
          <w:p w14:paraId="738C6EB8" w14:textId="77777777" w:rsidR="00802443" w:rsidRPr="000A6309" w:rsidRDefault="00802443" w:rsidP="00802443">
            <w:pPr>
              <w:jc w:val="center"/>
              <w:rPr>
                <w:rFonts w:cs="Arial"/>
                <w:b/>
                <w:bCs/>
                <w:color w:val="000000"/>
                <w:sz w:val="20"/>
                <w:szCs w:val="20"/>
              </w:rPr>
            </w:pPr>
            <w:bookmarkStart w:id="201" w:name="_Toc106810426"/>
            <w:r w:rsidRPr="000A6309">
              <w:rPr>
                <w:rFonts w:cs="Arial"/>
                <w:b/>
                <w:bCs/>
                <w:color w:val="000000"/>
                <w:sz w:val="20"/>
                <w:szCs w:val="20"/>
              </w:rPr>
              <w:t>Exercício</w:t>
            </w:r>
          </w:p>
        </w:tc>
        <w:tc>
          <w:tcPr>
            <w:tcW w:w="1000" w:type="pct"/>
            <w:vMerge w:val="restart"/>
            <w:tcBorders>
              <w:top w:val="single" w:sz="4" w:space="0" w:color="auto"/>
              <w:left w:val="single" w:sz="4" w:space="0" w:color="auto"/>
              <w:bottom w:val="single" w:sz="8" w:space="0" w:color="000000"/>
              <w:right w:val="single" w:sz="4" w:space="0" w:color="auto"/>
            </w:tcBorders>
            <w:shd w:val="clear" w:color="000000" w:fill="A1F2FD"/>
            <w:vAlign w:val="center"/>
            <w:hideMark/>
          </w:tcPr>
          <w:p w14:paraId="6D807856" w14:textId="77777777" w:rsidR="00802443" w:rsidRPr="000A6309" w:rsidRDefault="00802443" w:rsidP="00802443">
            <w:pPr>
              <w:jc w:val="center"/>
              <w:rPr>
                <w:rFonts w:cs="Arial"/>
                <w:b/>
                <w:bCs/>
                <w:color w:val="000000"/>
                <w:sz w:val="20"/>
                <w:szCs w:val="20"/>
              </w:rPr>
            </w:pPr>
            <w:r w:rsidRPr="000A6309">
              <w:rPr>
                <w:rFonts w:cs="Arial"/>
                <w:b/>
                <w:bCs/>
                <w:color w:val="000000"/>
                <w:sz w:val="20"/>
                <w:szCs w:val="20"/>
              </w:rPr>
              <w:t>RPNP</w:t>
            </w:r>
          </w:p>
        </w:tc>
        <w:tc>
          <w:tcPr>
            <w:tcW w:w="1000" w:type="pct"/>
            <w:tcBorders>
              <w:top w:val="single" w:sz="4" w:space="0" w:color="auto"/>
              <w:left w:val="single" w:sz="4" w:space="0" w:color="auto"/>
              <w:bottom w:val="nil"/>
              <w:right w:val="single" w:sz="4" w:space="0" w:color="auto"/>
            </w:tcBorders>
            <w:shd w:val="clear" w:color="000000" w:fill="A1F2FD"/>
            <w:vAlign w:val="center"/>
            <w:hideMark/>
          </w:tcPr>
          <w:p w14:paraId="74955FDE" w14:textId="3F3567F5" w:rsidR="00802443" w:rsidRPr="000A6309" w:rsidRDefault="00ED3571" w:rsidP="00802443">
            <w:pPr>
              <w:jc w:val="center"/>
              <w:rPr>
                <w:rFonts w:cs="Arial"/>
                <w:b/>
                <w:bCs/>
                <w:color w:val="000000"/>
                <w:sz w:val="20"/>
                <w:szCs w:val="20"/>
              </w:rPr>
            </w:pPr>
            <w:r w:rsidRPr="000A6309">
              <w:rPr>
                <w:rFonts w:cs="Arial"/>
                <w:b/>
                <w:bCs/>
                <w:color w:val="000000"/>
                <w:sz w:val="20"/>
                <w:szCs w:val="20"/>
              </w:rPr>
              <w:t xml:space="preserve">AV </w:t>
            </w:r>
            <w:r w:rsidR="00802443" w:rsidRPr="000A6309">
              <w:rPr>
                <w:rFonts w:cs="Arial"/>
                <w:b/>
                <w:bCs/>
                <w:color w:val="000000"/>
                <w:sz w:val="20"/>
                <w:szCs w:val="20"/>
              </w:rPr>
              <w:t>Ano Base 2021</w:t>
            </w:r>
          </w:p>
        </w:tc>
        <w:tc>
          <w:tcPr>
            <w:tcW w:w="1000" w:type="pct"/>
            <w:vMerge w:val="restart"/>
            <w:tcBorders>
              <w:top w:val="single" w:sz="4" w:space="0" w:color="auto"/>
              <w:left w:val="single" w:sz="4" w:space="0" w:color="auto"/>
              <w:bottom w:val="single" w:sz="8" w:space="0" w:color="000000"/>
              <w:right w:val="single" w:sz="4" w:space="0" w:color="auto"/>
            </w:tcBorders>
            <w:shd w:val="clear" w:color="000000" w:fill="A1F2FD"/>
            <w:vAlign w:val="center"/>
            <w:hideMark/>
          </w:tcPr>
          <w:p w14:paraId="218BC5C1" w14:textId="77777777" w:rsidR="00802443" w:rsidRPr="000A6309" w:rsidRDefault="00802443" w:rsidP="00802443">
            <w:pPr>
              <w:jc w:val="center"/>
              <w:rPr>
                <w:rFonts w:cs="Arial"/>
                <w:b/>
                <w:bCs/>
                <w:color w:val="000000"/>
                <w:sz w:val="20"/>
                <w:szCs w:val="20"/>
              </w:rPr>
            </w:pPr>
            <w:r w:rsidRPr="000A6309">
              <w:rPr>
                <w:rFonts w:cs="Arial"/>
                <w:b/>
                <w:bCs/>
                <w:color w:val="000000"/>
                <w:sz w:val="20"/>
                <w:szCs w:val="20"/>
              </w:rPr>
              <w:t>RPP</w:t>
            </w:r>
          </w:p>
        </w:tc>
        <w:tc>
          <w:tcPr>
            <w:tcW w:w="1000" w:type="pct"/>
            <w:tcBorders>
              <w:top w:val="single" w:sz="4" w:space="0" w:color="auto"/>
              <w:left w:val="single" w:sz="4" w:space="0" w:color="auto"/>
              <w:bottom w:val="nil"/>
              <w:right w:val="nil"/>
            </w:tcBorders>
            <w:shd w:val="clear" w:color="000000" w:fill="A1F2FD"/>
            <w:vAlign w:val="center"/>
            <w:hideMark/>
          </w:tcPr>
          <w:p w14:paraId="0A2E4B91" w14:textId="24028615" w:rsidR="00802443" w:rsidRPr="000A6309" w:rsidRDefault="00ED3571" w:rsidP="00802443">
            <w:pPr>
              <w:jc w:val="center"/>
              <w:rPr>
                <w:rFonts w:cs="Arial"/>
                <w:b/>
                <w:bCs/>
                <w:color w:val="000000"/>
                <w:sz w:val="20"/>
                <w:szCs w:val="20"/>
              </w:rPr>
            </w:pPr>
            <w:r w:rsidRPr="000A6309">
              <w:rPr>
                <w:rFonts w:cs="Arial"/>
                <w:b/>
                <w:bCs/>
                <w:color w:val="000000"/>
                <w:sz w:val="20"/>
                <w:szCs w:val="20"/>
              </w:rPr>
              <w:t xml:space="preserve">AV </w:t>
            </w:r>
            <w:r w:rsidR="00802443" w:rsidRPr="000A6309">
              <w:rPr>
                <w:rFonts w:cs="Arial"/>
                <w:b/>
                <w:bCs/>
                <w:color w:val="000000"/>
                <w:sz w:val="20"/>
                <w:szCs w:val="20"/>
              </w:rPr>
              <w:t>Ano Base 2021</w:t>
            </w:r>
          </w:p>
        </w:tc>
      </w:tr>
      <w:tr w:rsidR="00802443" w:rsidRPr="000A6309" w14:paraId="7943EF1B" w14:textId="77777777" w:rsidTr="00841A88">
        <w:trPr>
          <w:trHeight w:val="220"/>
          <w:tblHeader/>
        </w:trPr>
        <w:tc>
          <w:tcPr>
            <w:tcW w:w="1000" w:type="pct"/>
            <w:vMerge/>
            <w:tcBorders>
              <w:top w:val="single" w:sz="8" w:space="0" w:color="auto"/>
              <w:left w:val="nil"/>
              <w:bottom w:val="single" w:sz="4" w:space="0" w:color="auto"/>
              <w:right w:val="single" w:sz="4" w:space="0" w:color="auto"/>
            </w:tcBorders>
            <w:vAlign w:val="center"/>
            <w:hideMark/>
          </w:tcPr>
          <w:p w14:paraId="34A61712" w14:textId="77777777" w:rsidR="00802443" w:rsidRPr="000A6309" w:rsidRDefault="00802443" w:rsidP="00802443">
            <w:pPr>
              <w:jc w:val="left"/>
              <w:rPr>
                <w:rFonts w:cs="Arial"/>
                <w:b/>
                <w:bCs/>
                <w:color w:val="000000"/>
                <w:sz w:val="20"/>
                <w:szCs w:val="20"/>
              </w:rPr>
            </w:pPr>
          </w:p>
        </w:tc>
        <w:tc>
          <w:tcPr>
            <w:tcW w:w="1000" w:type="pct"/>
            <w:vMerge/>
            <w:tcBorders>
              <w:top w:val="single" w:sz="8" w:space="0" w:color="auto"/>
              <w:left w:val="single" w:sz="4" w:space="0" w:color="auto"/>
              <w:bottom w:val="single" w:sz="4" w:space="0" w:color="auto"/>
              <w:right w:val="single" w:sz="4" w:space="0" w:color="auto"/>
            </w:tcBorders>
            <w:vAlign w:val="center"/>
            <w:hideMark/>
          </w:tcPr>
          <w:p w14:paraId="62CFEF8B" w14:textId="77777777" w:rsidR="00802443" w:rsidRPr="000A6309" w:rsidRDefault="00802443" w:rsidP="00802443">
            <w:pPr>
              <w:jc w:val="left"/>
              <w:rPr>
                <w:rFonts w:cs="Arial"/>
                <w:b/>
                <w:bCs/>
                <w:color w:val="000000"/>
                <w:sz w:val="20"/>
                <w:szCs w:val="20"/>
              </w:rPr>
            </w:pPr>
          </w:p>
        </w:tc>
        <w:tc>
          <w:tcPr>
            <w:tcW w:w="1000" w:type="pct"/>
            <w:tcBorders>
              <w:top w:val="nil"/>
              <w:left w:val="single" w:sz="4" w:space="0" w:color="auto"/>
              <w:bottom w:val="single" w:sz="4" w:space="0" w:color="auto"/>
              <w:right w:val="single" w:sz="4" w:space="0" w:color="auto"/>
            </w:tcBorders>
            <w:shd w:val="clear" w:color="000000" w:fill="A1F2FD"/>
            <w:vAlign w:val="center"/>
            <w:hideMark/>
          </w:tcPr>
          <w:p w14:paraId="5E2597D0" w14:textId="77777777" w:rsidR="00802443" w:rsidRPr="000A6309" w:rsidRDefault="00802443" w:rsidP="00802443">
            <w:pPr>
              <w:jc w:val="center"/>
              <w:rPr>
                <w:rFonts w:cs="Arial"/>
                <w:b/>
                <w:bCs/>
                <w:color w:val="000000"/>
                <w:sz w:val="20"/>
                <w:szCs w:val="20"/>
              </w:rPr>
            </w:pPr>
            <w:r w:rsidRPr="000A6309">
              <w:rPr>
                <w:rFonts w:cs="Arial"/>
                <w:b/>
                <w:bCs/>
                <w:color w:val="000000"/>
                <w:sz w:val="20"/>
                <w:szCs w:val="20"/>
              </w:rPr>
              <w:t>%</w:t>
            </w:r>
          </w:p>
        </w:tc>
        <w:tc>
          <w:tcPr>
            <w:tcW w:w="1000" w:type="pct"/>
            <w:vMerge/>
            <w:tcBorders>
              <w:top w:val="single" w:sz="8" w:space="0" w:color="auto"/>
              <w:left w:val="single" w:sz="4" w:space="0" w:color="auto"/>
              <w:bottom w:val="single" w:sz="4" w:space="0" w:color="auto"/>
              <w:right w:val="single" w:sz="4" w:space="0" w:color="auto"/>
            </w:tcBorders>
            <w:vAlign w:val="center"/>
            <w:hideMark/>
          </w:tcPr>
          <w:p w14:paraId="633DEB1D" w14:textId="77777777" w:rsidR="00802443" w:rsidRPr="000A6309" w:rsidRDefault="00802443" w:rsidP="00802443">
            <w:pPr>
              <w:jc w:val="left"/>
              <w:rPr>
                <w:rFonts w:cs="Arial"/>
                <w:b/>
                <w:bCs/>
                <w:color w:val="000000"/>
                <w:sz w:val="20"/>
                <w:szCs w:val="20"/>
              </w:rPr>
            </w:pPr>
          </w:p>
        </w:tc>
        <w:tc>
          <w:tcPr>
            <w:tcW w:w="1000" w:type="pct"/>
            <w:tcBorders>
              <w:top w:val="nil"/>
              <w:left w:val="single" w:sz="4" w:space="0" w:color="auto"/>
              <w:bottom w:val="single" w:sz="4" w:space="0" w:color="auto"/>
              <w:right w:val="nil"/>
            </w:tcBorders>
            <w:shd w:val="clear" w:color="000000" w:fill="A1F2FD"/>
            <w:vAlign w:val="center"/>
            <w:hideMark/>
          </w:tcPr>
          <w:p w14:paraId="5971AE98" w14:textId="77777777" w:rsidR="00802443" w:rsidRPr="000A6309" w:rsidRDefault="00802443" w:rsidP="00802443">
            <w:pPr>
              <w:jc w:val="center"/>
              <w:rPr>
                <w:rFonts w:cs="Arial"/>
                <w:b/>
                <w:bCs/>
                <w:color w:val="000000"/>
                <w:sz w:val="20"/>
                <w:szCs w:val="20"/>
              </w:rPr>
            </w:pPr>
            <w:r w:rsidRPr="000A6309">
              <w:rPr>
                <w:rFonts w:cs="Arial"/>
                <w:b/>
                <w:bCs/>
                <w:color w:val="000000"/>
                <w:sz w:val="20"/>
                <w:szCs w:val="20"/>
              </w:rPr>
              <w:t>%</w:t>
            </w:r>
          </w:p>
        </w:tc>
      </w:tr>
      <w:tr w:rsidR="00802443" w:rsidRPr="000A6309" w14:paraId="2CA001A9" w14:textId="77777777" w:rsidTr="00841A88">
        <w:trPr>
          <w:trHeight w:val="284"/>
        </w:trPr>
        <w:tc>
          <w:tcPr>
            <w:tcW w:w="1000" w:type="pct"/>
            <w:tcBorders>
              <w:top w:val="single" w:sz="4" w:space="0" w:color="auto"/>
              <w:left w:val="nil"/>
              <w:bottom w:val="nil"/>
              <w:right w:val="single" w:sz="4" w:space="0" w:color="auto"/>
            </w:tcBorders>
            <w:shd w:val="clear" w:color="auto" w:fill="auto"/>
            <w:noWrap/>
            <w:vAlign w:val="center"/>
            <w:hideMark/>
          </w:tcPr>
          <w:p w14:paraId="3E38E29C" w14:textId="77777777" w:rsidR="00802443" w:rsidRPr="000A6309" w:rsidRDefault="00802443" w:rsidP="00802443">
            <w:pPr>
              <w:jc w:val="center"/>
              <w:rPr>
                <w:rFonts w:cs="Arial"/>
                <w:color w:val="000000"/>
                <w:sz w:val="20"/>
                <w:szCs w:val="20"/>
              </w:rPr>
            </w:pPr>
            <w:r w:rsidRPr="000A6309">
              <w:rPr>
                <w:rFonts w:cs="Arial"/>
                <w:color w:val="000000"/>
                <w:sz w:val="20"/>
                <w:szCs w:val="20"/>
              </w:rPr>
              <w:t>2021 (Ano Base)</w:t>
            </w:r>
          </w:p>
        </w:tc>
        <w:tc>
          <w:tcPr>
            <w:tcW w:w="1000" w:type="pct"/>
            <w:tcBorders>
              <w:top w:val="single" w:sz="4" w:space="0" w:color="auto"/>
              <w:left w:val="single" w:sz="4" w:space="0" w:color="auto"/>
              <w:bottom w:val="nil"/>
              <w:right w:val="single" w:sz="4" w:space="0" w:color="auto"/>
            </w:tcBorders>
            <w:shd w:val="clear" w:color="auto" w:fill="auto"/>
            <w:noWrap/>
            <w:vAlign w:val="center"/>
            <w:hideMark/>
          </w:tcPr>
          <w:p w14:paraId="275A41A1" w14:textId="77777777" w:rsidR="00802443" w:rsidRPr="000A6309" w:rsidRDefault="00802443" w:rsidP="00802443">
            <w:pPr>
              <w:jc w:val="right"/>
              <w:rPr>
                <w:rFonts w:cs="Arial"/>
                <w:color w:val="000000"/>
                <w:sz w:val="20"/>
                <w:szCs w:val="20"/>
              </w:rPr>
            </w:pPr>
            <w:r w:rsidRPr="000A6309">
              <w:rPr>
                <w:rFonts w:cs="Arial"/>
                <w:color w:val="000000"/>
                <w:sz w:val="20"/>
                <w:szCs w:val="20"/>
              </w:rPr>
              <w:t>3.324.806.308</w:t>
            </w:r>
          </w:p>
        </w:tc>
        <w:tc>
          <w:tcPr>
            <w:tcW w:w="1000" w:type="pct"/>
            <w:tcBorders>
              <w:top w:val="single" w:sz="4" w:space="0" w:color="auto"/>
              <w:left w:val="single" w:sz="4" w:space="0" w:color="auto"/>
              <w:bottom w:val="nil"/>
              <w:right w:val="single" w:sz="4" w:space="0" w:color="auto"/>
            </w:tcBorders>
            <w:shd w:val="clear" w:color="000000" w:fill="FFFFFF"/>
            <w:noWrap/>
            <w:vAlign w:val="center"/>
            <w:hideMark/>
          </w:tcPr>
          <w:p w14:paraId="4C9497DA" w14:textId="77777777" w:rsidR="00802443" w:rsidRPr="000A6309" w:rsidRDefault="00802443" w:rsidP="00802443">
            <w:pPr>
              <w:jc w:val="center"/>
              <w:rPr>
                <w:rFonts w:cs="Arial"/>
                <w:color w:val="000000"/>
                <w:sz w:val="20"/>
                <w:szCs w:val="20"/>
              </w:rPr>
            </w:pPr>
            <w:r w:rsidRPr="000A6309">
              <w:rPr>
                <w:rFonts w:cs="Arial"/>
                <w:color w:val="000000"/>
                <w:sz w:val="20"/>
                <w:szCs w:val="20"/>
              </w:rPr>
              <w:t>-</w:t>
            </w:r>
          </w:p>
        </w:tc>
        <w:tc>
          <w:tcPr>
            <w:tcW w:w="1000" w:type="pct"/>
            <w:tcBorders>
              <w:top w:val="single" w:sz="4" w:space="0" w:color="auto"/>
              <w:left w:val="single" w:sz="4" w:space="0" w:color="auto"/>
              <w:bottom w:val="nil"/>
              <w:right w:val="single" w:sz="4" w:space="0" w:color="auto"/>
            </w:tcBorders>
            <w:shd w:val="clear" w:color="auto" w:fill="auto"/>
            <w:noWrap/>
            <w:vAlign w:val="center"/>
            <w:hideMark/>
          </w:tcPr>
          <w:p w14:paraId="7B926247" w14:textId="77777777" w:rsidR="00802443" w:rsidRPr="000A6309" w:rsidRDefault="00802443" w:rsidP="00802443">
            <w:pPr>
              <w:jc w:val="right"/>
              <w:rPr>
                <w:rFonts w:cs="Arial"/>
                <w:color w:val="000000"/>
                <w:sz w:val="20"/>
                <w:szCs w:val="20"/>
              </w:rPr>
            </w:pPr>
            <w:r w:rsidRPr="000A6309">
              <w:rPr>
                <w:rFonts w:cs="Arial"/>
                <w:color w:val="000000"/>
                <w:sz w:val="20"/>
                <w:szCs w:val="20"/>
              </w:rPr>
              <w:t>177.170.272</w:t>
            </w:r>
          </w:p>
        </w:tc>
        <w:tc>
          <w:tcPr>
            <w:tcW w:w="1000" w:type="pct"/>
            <w:tcBorders>
              <w:top w:val="single" w:sz="4" w:space="0" w:color="auto"/>
              <w:left w:val="single" w:sz="4" w:space="0" w:color="auto"/>
              <w:bottom w:val="nil"/>
              <w:right w:val="nil"/>
            </w:tcBorders>
            <w:shd w:val="clear" w:color="000000" w:fill="FFFFFF"/>
            <w:noWrap/>
            <w:vAlign w:val="center"/>
            <w:hideMark/>
          </w:tcPr>
          <w:p w14:paraId="39D14710" w14:textId="77777777" w:rsidR="00802443" w:rsidRPr="000A6309" w:rsidRDefault="00802443" w:rsidP="00802443">
            <w:pPr>
              <w:jc w:val="center"/>
              <w:rPr>
                <w:rFonts w:cs="Arial"/>
                <w:color w:val="000000"/>
                <w:sz w:val="20"/>
                <w:szCs w:val="20"/>
              </w:rPr>
            </w:pPr>
            <w:r w:rsidRPr="000A6309">
              <w:rPr>
                <w:rFonts w:cs="Arial"/>
                <w:color w:val="000000"/>
                <w:sz w:val="20"/>
                <w:szCs w:val="20"/>
              </w:rPr>
              <w:t>-</w:t>
            </w:r>
          </w:p>
        </w:tc>
      </w:tr>
      <w:tr w:rsidR="00802443" w:rsidRPr="000A6309" w14:paraId="7B24B004" w14:textId="77777777" w:rsidTr="00841A88">
        <w:trPr>
          <w:trHeight w:val="284"/>
        </w:trPr>
        <w:tc>
          <w:tcPr>
            <w:tcW w:w="1000" w:type="pct"/>
            <w:tcBorders>
              <w:top w:val="nil"/>
              <w:left w:val="nil"/>
              <w:right w:val="single" w:sz="4" w:space="0" w:color="auto"/>
            </w:tcBorders>
            <w:shd w:val="clear" w:color="auto" w:fill="auto"/>
            <w:noWrap/>
            <w:vAlign w:val="center"/>
            <w:hideMark/>
          </w:tcPr>
          <w:p w14:paraId="116C89DD" w14:textId="77777777" w:rsidR="00802443" w:rsidRPr="000A6309" w:rsidRDefault="00802443" w:rsidP="00802443">
            <w:pPr>
              <w:jc w:val="center"/>
              <w:rPr>
                <w:rFonts w:cs="Arial"/>
                <w:color w:val="000000"/>
                <w:sz w:val="20"/>
                <w:szCs w:val="20"/>
              </w:rPr>
            </w:pPr>
            <w:r w:rsidRPr="000A6309">
              <w:rPr>
                <w:rFonts w:cs="Arial"/>
                <w:color w:val="000000"/>
                <w:sz w:val="20"/>
                <w:szCs w:val="20"/>
              </w:rPr>
              <w:t>2022</w:t>
            </w:r>
          </w:p>
        </w:tc>
        <w:tc>
          <w:tcPr>
            <w:tcW w:w="1000" w:type="pct"/>
            <w:tcBorders>
              <w:top w:val="nil"/>
              <w:left w:val="single" w:sz="4" w:space="0" w:color="auto"/>
              <w:right w:val="single" w:sz="4" w:space="0" w:color="auto"/>
            </w:tcBorders>
            <w:shd w:val="clear" w:color="auto" w:fill="auto"/>
            <w:noWrap/>
            <w:vAlign w:val="center"/>
            <w:hideMark/>
          </w:tcPr>
          <w:p w14:paraId="0BF1921E" w14:textId="77777777" w:rsidR="00802443" w:rsidRPr="000A6309" w:rsidRDefault="00802443" w:rsidP="00802443">
            <w:pPr>
              <w:jc w:val="right"/>
              <w:rPr>
                <w:rFonts w:cs="Arial"/>
                <w:color w:val="000000"/>
                <w:sz w:val="20"/>
                <w:szCs w:val="20"/>
              </w:rPr>
            </w:pPr>
            <w:r w:rsidRPr="000A6309">
              <w:rPr>
                <w:rFonts w:cs="Arial"/>
                <w:color w:val="000000"/>
                <w:sz w:val="20"/>
                <w:szCs w:val="20"/>
              </w:rPr>
              <w:t>1.512.856.846</w:t>
            </w:r>
          </w:p>
        </w:tc>
        <w:tc>
          <w:tcPr>
            <w:tcW w:w="1000" w:type="pct"/>
            <w:tcBorders>
              <w:top w:val="nil"/>
              <w:left w:val="single" w:sz="4" w:space="0" w:color="auto"/>
              <w:right w:val="single" w:sz="4" w:space="0" w:color="auto"/>
            </w:tcBorders>
            <w:shd w:val="clear" w:color="000000" w:fill="FFFFFF"/>
            <w:noWrap/>
            <w:vAlign w:val="center"/>
            <w:hideMark/>
          </w:tcPr>
          <w:p w14:paraId="4D7F5088" w14:textId="77777777" w:rsidR="00802443" w:rsidRPr="000A6309" w:rsidRDefault="00802443" w:rsidP="00802443">
            <w:pPr>
              <w:jc w:val="center"/>
              <w:rPr>
                <w:rFonts w:cs="Arial"/>
                <w:color w:val="FF0000"/>
                <w:sz w:val="20"/>
                <w:szCs w:val="20"/>
              </w:rPr>
            </w:pPr>
            <w:r w:rsidRPr="000A6309">
              <w:rPr>
                <w:rFonts w:cs="Arial"/>
                <w:color w:val="FF0000"/>
                <w:sz w:val="20"/>
                <w:szCs w:val="20"/>
              </w:rPr>
              <w:t>-54,50</w:t>
            </w:r>
          </w:p>
        </w:tc>
        <w:tc>
          <w:tcPr>
            <w:tcW w:w="1000" w:type="pct"/>
            <w:tcBorders>
              <w:top w:val="nil"/>
              <w:left w:val="single" w:sz="4" w:space="0" w:color="auto"/>
              <w:right w:val="single" w:sz="4" w:space="0" w:color="auto"/>
            </w:tcBorders>
            <w:shd w:val="clear" w:color="auto" w:fill="auto"/>
            <w:noWrap/>
            <w:vAlign w:val="center"/>
            <w:hideMark/>
          </w:tcPr>
          <w:p w14:paraId="28413DC3" w14:textId="77777777" w:rsidR="00802443" w:rsidRPr="000A6309" w:rsidRDefault="00802443" w:rsidP="00802443">
            <w:pPr>
              <w:jc w:val="right"/>
              <w:rPr>
                <w:rFonts w:cs="Arial"/>
                <w:color w:val="000000"/>
                <w:sz w:val="20"/>
                <w:szCs w:val="20"/>
              </w:rPr>
            </w:pPr>
            <w:r w:rsidRPr="000A6309">
              <w:rPr>
                <w:rFonts w:cs="Arial"/>
                <w:color w:val="000000"/>
                <w:sz w:val="20"/>
                <w:szCs w:val="20"/>
              </w:rPr>
              <w:t>125.017.681</w:t>
            </w:r>
          </w:p>
        </w:tc>
        <w:tc>
          <w:tcPr>
            <w:tcW w:w="1000" w:type="pct"/>
            <w:tcBorders>
              <w:top w:val="nil"/>
              <w:left w:val="single" w:sz="4" w:space="0" w:color="auto"/>
              <w:right w:val="nil"/>
            </w:tcBorders>
            <w:shd w:val="clear" w:color="000000" w:fill="FFFFFF"/>
            <w:noWrap/>
            <w:vAlign w:val="center"/>
            <w:hideMark/>
          </w:tcPr>
          <w:p w14:paraId="69EB18D6" w14:textId="77777777" w:rsidR="00802443" w:rsidRPr="000A6309" w:rsidRDefault="00802443" w:rsidP="00802443">
            <w:pPr>
              <w:jc w:val="center"/>
              <w:rPr>
                <w:rFonts w:cs="Arial"/>
                <w:color w:val="FF0000"/>
                <w:sz w:val="20"/>
                <w:szCs w:val="20"/>
              </w:rPr>
            </w:pPr>
            <w:r w:rsidRPr="000A6309">
              <w:rPr>
                <w:rFonts w:cs="Arial"/>
                <w:color w:val="FF0000"/>
                <w:sz w:val="20"/>
                <w:szCs w:val="20"/>
              </w:rPr>
              <w:t>-29,44</w:t>
            </w:r>
          </w:p>
        </w:tc>
      </w:tr>
      <w:tr w:rsidR="00802443" w:rsidRPr="000A6309" w14:paraId="7F2DAB6F" w14:textId="77777777" w:rsidTr="00841A88">
        <w:trPr>
          <w:trHeight w:val="284"/>
        </w:trPr>
        <w:tc>
          <w:tcPr>
            <w:tcW w:w="1000" w:type="pct"/>
            <w:tcBorders>
              <w:top w:val="nil"/>
              <w:left w:val="nil"/>
              <w:bottom w:val="single" w:sz="4" w:space="0" w:color="auto"/>
              <w:right w:val="single" w:sz="4" w:space="0" w:color="auto"/>
            </w:tcBorders>
            <w:shd w:val="clear" w:color="auto" w:fill="auto"/>
            <w:noWrap/>
            <w:vAlign w:val="center"/>
            <w:hideMark/>
          </w:tcPr>
          <w:p w14:paraId="49818755" w14:textId="77777777" w:rsidR="00802443" w:rsidRPr="000A6309" w:rsidRDefault="00802443" w:rsidP="00802443">
            <w:pPr>
              <w:jc w:val="center"/>
              <w:rPr>
                <w:rFonts w:cs="Arial"/>
                <w:color w:val="000000"/>
                <w:sz w:val="20"/>
                <w:szCs w:val="20"/>
              </w:rPr>
            </w:pPr>
            <w:r w:rsidRPr="000A6309">
              <w:rPr>
                <w:rFonts w:cs="Arial"/>
                <w:color w:val="000000"/>
                <w:sz w:val="20"/>
                <w:szCs w:val="20"/>
              </w:rPr>
              <w:t>2023</w:t>
            </w:r>
          </w:p>
        </w:tc>
        <w:tc>
          <w:tcPr>
            <w:tcW w:w="1000" w:type="pct"/>
            <w:tcBorders>
              <w:top w:val="nil"/>
              <w:left w:val="single" w:sz="4" w:space="0" w:color="auto"/>
              <w:bottom w:val="single" w:sz="4" w:space="0" w:color="auto"/>
              <w:right w:val="single" w:sz="4" w:space="0" w:color="auto"/>
            </w:tcBorders>
            <w:shd w:val="clear" w:color="auto" w:fill="auto"/>
            <w:noWrap/>
            <w:vAlign w:val="center"/>
            <w:hideMark/>
          </w:tcPr>
          <w:p w14:paraId="0931A7B7" w14:textId="77777777" w:rsidR="00802443" w:rsidRPr="000A6309" w:rsidRDefault="00802443" w:rsidP="00802443">
            <w:pPr>
              <w:jc w:val="right"/>
              <w:rPr>
                <w:rFonts w:cs="Arial"/>
                <w:color w:val="000000"/>
                <w:sz w:val="20"/>
                <w:szCs w:val="20"/>
              </w:rPr>
            </w:pPr>
            <w:r w:rsidRPr="000A6309">
              <w:rPr>
                <w:rFonts w:cs="Arial"/>
                <w:color w:val="000000"/>
                <w:sz w:val="20"/>
                <w:szCs w:val="20"/>
              </w:rPr>
              <w:t>1.334.544.508</w:t>
            </w:r>
          </w:p>
        </w:tc>
        <w:tc>
          <w:tcPr>
            <w:tcW w:w="1000" w:type="pct"/>
            <w:tcBorders>
              <w:top w:val="nil"/>
              <w:left w:val="single" w:sz="4" w:space="0" w:color="auto"/>
              <w:bottom w:val="single" w:sz="4" w:space="0" w:color="auto"/>
              <w:right w:val="single" w:sz="4" w:space="0" w:color="auto"/>
            </w:tcBorders>
            <w:shd w:val="clear" w:color="000000" w:fill="FFFFFF"/>
            <w:noWrap/>
            <w:vAlign w:val="center"/>
            <w:hideMark/>
          </w:tcPr>
          <w:p w14:paraId="50FBD72B" w14:textId="77777777" w:rsidR="00802443" w:rsidRPr="000A6309" w:rsidRDefault="00802443" w:rsidP="00802443">
            <w:pPr>
              <w:jc w:val="center"/>
              <w:rPr>
                <w:rFonts w:cs="Arial"/>
                <w:color w:val="FF0000"/>
                <w:sz w:val="20"/>
                <w:szCs w:val="20"/>
              </w:rPr>
            </w:pPr>
            <w:r w:rsidRPr="000A6309">
              <w:rPr>
                <w:rFonts w:cs="Arial"/>
                <w:color w:val="FF0000"/>
                <w:sz w:val="20"/>
                <w:szCs w:val="20"/>
              </w:rPr>
              <w:t>-59,86</w:t>
            </w:r>
          </w:p>
        </w:tc>
        <w:tc>
          <w:tcPr>
            <w:tcW w:w="1000" w:type="pct"/>
            <w:tcBorders>
              <w:top w:val="nil"/>
              <w:left w:val="single" w:sz="4" w:space="0" w:color="auto"/>
              <w:bottom w:val="single" w:sz="4" w:space="0" w:color="auto"/>
              <w:right w:val="single" w:sz="4" w:space="0" w:color="auto"/>
            </w:tcBorders>
            <w:shd w:val="clear" w:color="auto" w:fill="auto"/>
            <w:noWrap/>
            <w:vAlign w:val="center"/>
            <w:hideMark/>
          </w:tcPr>
          <w:p w14:paraId="687A7598" w14:textId="77777777" w:rsidR="00802443" w:rsidRPr="000A6309" w:rsidRDefault="00802443" w:rsidP="00802443">
            <w:pPr>
              <w:jc w:val="right"/>
              <w:rPr>
                <w:rFonts w:cs="Arial"/>
                <w:color w:val="000000"/>
                <w:sz w:val="20"/>
                <w:szCs w:val="20"/>
              </w:rPr>
            </w:pPr>
            <w:r w:rsidRPr="000A6309">
              <w:rPr>
                <w:rFonts w:cs="Arial"/>
                <w:color w:val="000000"/>
                <w:sz w:val="20"/>
                <w:szCs w:val="20"/>
              </w:rPr>
              <w:t>140.506.822</w:t>
            </w:r>
          </w:p>
        </w:tc>
        <w:tc>
          <w:tcPr>
            <w:tcW w:w="1000" w:type="pct"/>
            <w:tcBorders>
              <w:top w:val="nil"/>
              <w:left w:val="single" w:sz="4" w:space="0" w:color="auto"/>
              <w:bottom w:val="single" w:sz="4" w:space="0" w:color="auto"/>
              <w:right w:val="nil"/>
            </w:tcBorders>
            <w:shd w:val="clear" w:color="000000" w:fill="FFFFFF"/>
            <w:noWrap/>
            <w:vAlign w:val="center"/>
            <w:hideMark/>
          </w:tcPr>
          <w:p w14:paraId="3CFE346A" w14:textId="77777777" w:rsidR="00802443" w:rsidRPr="000A6309" w:rsidRDefault="00802443" w:rsidP="00802443">
            <w:pPr>
              <w:jc w:val="center"/>
              <w:rPr>
                <w:rFonts w:cs="Arial"/>
                <w:color w:val="FF0000"/>
                <w:sz w:val="20"/>
                <w:szCs w:val="20"/>
              </w:rPr>
            </w:pPr>
            <w:r w:rsidRPr="000A6309">
              <w:rPr>
                <w:rFonts w:cs="Arial"/>
                <w:color w:val="FF0000"/>
                <w:sz w:val="20"/>
                <w:szCs w:val="20"/>
              </w:rPr>
              <w:t>-20,69</w:t>
            </w:r>
          </w:p>
        </w:tc>
      </w:tr>
    </w:tbl>
    <w:p w14:paraId="11811BDD" w14:textId="39F40117" w:rsidR="00040508" w:rsidRDefault="00040508" w:rsidP="00040508">
      <w:pPr>
        <w:pStyle w:val="1-FONTE8ESQ"/>
        <w:rPr>
          <w:i/>
          <w:lang w:eastAsia="en-US"/>
        </w:rPr>
      </w:pPr>
      <w:r w:rsidRPr="00EC7AD7">
        <w:rPr>
          <w:lang w:eastAsia="en-US"/>
        </w:rPr>
        <w:t xml:space="preserve">Fonte: </w:t>
      </w:r>
      <w:r w:rsidRPr="00040508">
        <w:rPr>
          <w:i/>
          <w:lang w:eastAsia="en-US"/>
        </w:rPr>
        <w:t>Business Objects</w:t>
      </w:r>
    </w:p>
    <w:p w14:paraId="60DAB52E" w14:textId="1B33A678" w:rsidR="00841A88" w:rsidRDefault="00841A88" w:rsidP="00040508">
      <w:pPr>
        <w:pStyle w:val="1-FONTE8ESQ"/>
      </w:pPr>
    </w:p>
    <w:p w14:paraId="2785FCEC" w14:textId="77777777" w:rsidR="00841A88" w:rsidRDefault="00841A88" w:rsidP="00040508">
      <w:pPr>
        <w:pStyle w:val="1-FONTE8ESQ"/>
      </w:pPr>
    </w:p>
    <w:p w14:paraId="0B10FA99" w14:textId="41FFE857" w:rsidR="0025610F" w:rsidRDefault="0025610F" w:rsidP="004E7FCF">
      <w:pPr>
        <w:pStyle w:val="0-GRFICO"/>
      </w:pPr>
      <w:bookmarkStart w:id="202" w:name="_Toc167825107"/>
      <w:r>
        <w:lastRenderedPageBreak/>
        <w:t>Inscrição de R</w:t>
      </w:r>
      <w:r w:rsidR="001B4487">
        <w:t>estos a Pagar</w:t>
      </w:r>
      <w:r>
        <w:t xml:space="preserve"> – 2021 a 202</w:t>
      </w:r>
      <w:bookmarkEnd w:id="201"/>
      <w:r>
        <w:t>3</w:t>
      </w:r>
      <w:bookmarkEnd w:id="202"/>
    </w:p>
    <w:p w14:paraId="6C3C9DF9" w14:textId="6C854966" w:rsidR="00314D60" w:rsidRDefault="0025610F" w:rsidP="00EF01A1">
      <w:pPr>
        <w:pStyle w:val="1-FNT-GRAFICO"/>
        <w:rPr>
          <w:lang w:eastAsia="en-US"/>
        </w:rPr>
      </w:pPr>
      <w:r>
        <w:rPr>
          <w:noProof/>
        </w:rPr>
        <w:drawing>
          <wp:inline distT="0" distB="0" distL="0" distR="0" wp14:anchorId="24E09E2F" wp14:editId="7EEBEE2B">
            <wp:extent cx="5950585" cy="2340610"/>
            <wp:effectExtent l="95250" t="95250" r="221615" b="78740"/>
            <wp:docPr id="20" name="Imagem 20" descr="Inserted picture RelID:1">
              <a:extLst xmlns:a="http://schemas.openxmlformats.org/drawingml/2006/main">
                <a:ext uri="{FF2B5EF4-FFF2-40B4-BE49-F238E27FC236}">
                  <a16:creationId xmlns:a16="http://schemas.microsoft.com/office/drawing/2014/main" id="{00000000-0008-0000-1000-000004000000}"/>
                </a:ext>
              </a:extLst>
            </wp:docPr>
            <wp:cNvGraphicFramePr/>
            <a:graphic xmlns:a="http://schemas.openxmlformats.org/drawingml/2006/main">
              <a:graphicData uri="http://schemas.openxmlformats.org/drawingml/2006/picture">
                <pic:pic xmlns:pic="http://schemas.openxmlformats.org/drawingml/2006/picture">
                  <pic:nvPicPr>
                    <pic:cNvPr id="6" name="Picture 4" descr="Inserted picture RelID:1">
                      <a:extLst>
                        <a:ext uri="{FF2B5EF4-FFF2-40B4-BE49-F238E27FC236}">
                          <a16:creationId xmlns:a16="http://schemas.microsoft.com/office/drawing/2014/main" id="{00000000-0008-0000-1000-000004000000}"/>
                        </a:ext>
                      </a:extLst>
                    </pic:cNvPr>
                    <pic:cNvPicPr/>
                  </pic:nvPicPr>
                  <pic:blipFill>
                    <a:blip r:embed="rId44"/>
                    <a:stretch>
                      <a:fillRect/>
                    </a:stretch>
                  </pic:blipFill>
                  <pic:spPr>
                    <a:xfrm>
                      <a:off x="0" y="0"/>
                      <a:ext cx="5701030" cy="2098040"/>
                    </a:xfrm>
                    <a:prstGeom prst="rect">
                      <a:avLst/>
                    </a:prstGeom>
                    <a:solidFill>
                      <a:srgbClr val="FFFFFF">
                        <a:shade val="85000"/>
                      </a:srgbClr>
                    </a:solidFill>
                    <a:ln w="88900" cap="rnd">
                      <a:solidFill>
                        <a:srgbClr val="FFFFFF"/>
                      </a:solidFill>
                      <a:round/>
                    </a:ln>
                    <a:effectLst>
                      <a:outerShdw blurRad="50800" dist="127000" dir="2700000" algn="tl" rotWithShape="0">
                        <a:prstClr val="black">
                          <a:alpha val="40000"/>
                        </a:prst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314D60" w:rsidRPr="00314D60">
        <w:rPr>
          <w:lang w:eastAsia="en-US"/>
        </w:rPr>
        <w:t xml:space="preserve"> </w:t>
      </w:r>
      <w:r w:rsidR="00314D60" w:rsidRPr="00EC7AD7">
        <w:rPr>
          <w:lang w:eastAsia="en-US"/>
        </w:rPr>
        <w:t xml:space="preserve">Fonte: </w:t>
      </w:r>
      <w:r w:rsidR="00314D60" w:rsidRPr="00314D60">
        <w:rPr>
          <w:lang w:eastAsia="en-US"/>
        </w:rPr>
        <w:t>Business Objects</w:t>
      </w:r>
      <w:r w:rsidR="00314D60" w:rsidRPr="00EC7AD7">
        <w:rPr>
          <w:lang w:eastAsia="en-US"/>
        </w:rPr>
        <w:t xml:space="preserve"> </w:t>
      </w:r>
    </w:p>
    <w:p w14:paraId="02F773A8" w14:textId="401AA3B9" w:rsidR="0025610F" w:rsidRDefault="0025610F" w:rsidP="0025610F">
      <w:pPr>
        <w:pStyle w:val="1-REL11"/>
      </w:pPr>
      <w:r>
        <w:t>Analisando a variação por Grupo de Despesas, no exercício de 2023 o grupo Investimento foi o mais relevante, R$</w:t>
      </w:r>
      <w:r w:rsidR="00314D60">
        <w:t> </w:t>
      </w:r>
      <w:r>
        <w:t>1,35</w:t>
      </w:r>
      <w:r w:rsidR="00BE7998">
        <w:t> </w:t>
      </w:r>
      <w:r>
        <w:t>bilhão (61,74%), seguido por Outras Despesas Correntes, R$</w:t>
      </w:r>
      <w:r w:rsidR="00314D60">
        <w:t> </w:t>
      </w:r>
      <w:r>
        <w:t>814,10</w:t>
      </w:r>
      <w:r w:rsidR="00BE7998">
        <w:t> </w:t>
      </w:r>
      <w:r w:rsidR="00755658">
        <w:t>milhões</w:t>
      </w:r>
      <w:r>
        <w:t xml:space="preserve"> (37,15%), conforme gráfico a seguir:</w:t>
      </w:r>
    </w:p>
    <w:p w14:paraId="6A1C9BD1" w14:textId="77777777" w:rsidR="0025610F" w:rsidRDefault="0025610F" w:rsidP="00C45CAE">
      <w:pPr>
        <w:pStyle w:val="0-GRFICO"/>
      </w:pPr>
      <w:r>
        <w:t xml:space="preserve"> </w:t>
      </w:r>
      <w:bookmarkStart w:id="203" w:name="_Toc106810427"/>
      <w:bookmarkStart w:id="204" w:name="_Toc167825108"/>
      <w:r>
        <w:t>Saldo de RP por Grupo de Despesa – 2021 a 202</w:t>
      </w:r>
      <w:bookmarkEnd w:id="203"/>
      <w:r>
        <w:t>3</w:t>
      </w:r>
      <w:bookmarkEnd w:id="204"/>
    </w:p>
    <w:p w14:paraId="66928C13" w14:textId="46168454" w:rsidR="0025610F" w:rsidRDefault="0025610F" w:rsidP="00EF01A1">
      <w:pPr>
        <w:pStyle w:val="1-FNT-GRAFICO"/>
      </w:pPr>
      <w:r>
        <w:rPr>
          <w:noProof/>
        </w:rPr>
        <w:drawing>
          <wp:inline distT="0" distB="0" distL="0" distR="0" wp14:anchorId="58212958" wp14:editId="7FDE7C13">
            <wp:extent cx="5950585" cy="2786070"/>
            <wp:effectExtent l="95250" t="95250" r="221615" b="205105"/>
            <wp:docPr id="13" name="Imagem 13" descr="Inserted picture RelID:1">
              <a:extLst xmlns:a="http://schemas.openxmlformats.org/drawingml/2006/main">
                <a:ext uri="{FF2B5EF4-FFF2-40B4-BE49-F238E27FC236}">
                  <a16:creationId xmlns:a16="http://schemas.microsoft.com/office/drawing/2014/main" id="{00000000-0008-0000-1300-000007000000}"/>
                </a:ext>
              </a:extLst>
            </wp:docPr>
            <wp:cNvGraphicFramePr/>
            <a:graphic xmlns:a="http://schemas.openxmlformats.org/drawingml/2006/main">
              <a:graphicData uri="http://schemas.openxmlformats.org/drawingml/2006/picture">
                <pic:pic xmlns:pic="http://schemas.openxmlformats.org/drawingml/2006/picture">
                  <pic:nvPicPr>
                    <pic:cNvPr id="8" name="Picture 7" descr="Inserted picture RelID:1">
                      <a:extLst>
                        <a:ext uri="{FF2B5EF4-FFF2-40B4-BE49-F238E27FC236}">
                          <a16:creationId xmlns:a16="http://schemas.microsoft.com/office/drawing/2014/main" id="{00000000-0008-0000-1300-000007000000}"/>
                        </a:ext>
                      </a:extLst>
                    </pic:cNvPr>
                    <pic:cNvPicPr/>
                  </pic:nvPicPr>
                  <pic:blipFill>
                    <a:blip r:embed="rId45"/>
                    <a:stretch>
                      <a:fillRect/>
                    </a:stretch>
                  </pic:blipFill>
                  <pic:spPr>
                    <a:xfrm>
                      <a:off x="0" y="0"/>
                      <a:ext cx="5709073" cy="2672994"/>
                    </a:xfrm>
                    <a:prstGeom prst="rect">
                      <a:avLst/>
                    </a:prstGeom>
                    <a:solidFill>
                      <a:srgbClr val="FFFFFF">
                        <a:shade val="85000"/>
                      </a:srgbClr>
                    </a:solidFill>
                    <a:ln w="88900" cap="sq">
                      <a:solidFill>
                        <a:srgbClr val="FFFFFF"/>
                      </a:solidFill>
                      <a:miter lim="800000"/>
                    </a:ln>
                    <a:effectLst>
                      <a:outerShdw blurRad="50800" dist="127000" dir="2700000" algn="tl" rotWithShape="0">
                        <a:prstClr val="black">
                          <a:alpha val="40000"/>
                        </a:prst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199FDB98" w14:textId="42A1ACDE" w:rsidR="001368B8" w:rsidRPr="001368B8" w:rsidRDefault="001368B8" w:rsidP="00EF01A1">
      <w:pPr>
        <w:pStyle w:val="1-FNT-GRAFICO"/>
      </w:pPr>
      <w:r w:rsidRPr="001368B8">
        <w:t xml:space="preserve">Fonte: </w:t>
      </w:r>
      <w:r w:rsidRPr="00841A88">
        <w:rPr>
          <w:i/>
        </w:rPr>
        <w:t>Business Objects</w:t>
      </w:r>
    </w:p>
    <w:p w14:paraId="74B1A9CD" w14:textId="77777777" w:rsidR="0025610F" w:rsidRDefault="0025610F" w:rsidP="00B000B6">
      <w:pPr>
        <w:pStyle w:val="Ttulo3"/>
        <w:numPr>
          <w:ilvl w:val="2"/>
          <w:numId w:val="37"/>
        </w:numPr>
      </w:pPr>
      <w:bookmarkStart w:id="205" w:name="_Toc167871681"/>
      <w:r>
        <w:lastRenderedPageBreak/>
        <w:t>Demais Obrigações Financeiras</w:t>
      </w:r>
      <w:bookmarkEnd w:id="205"/>
    </w:p>
    <w:p w14:paraId="5ECC1CB3" w14:textId="77777777" w:rsidR="0025610F" w:rsidRDefault="0025610F" w:rsidP="0025610F">
      <w:pPr>
        <w:pStyle w:val="1-REL11"/>
      </w:pPr>
      <w:r>
        <w:t>Segundo o Manual dos Demonstrativos Fiscais (MDF), as Demais Obrigações Financeiras são obrigações financeiras que não transitaram pela execução orçamentária e, consequentemente, não foram inscritas em RP.</w:t>
      </w:r>
    </w:p>
    <w:p w14:paraId="5775E959" w14:textId="77777777" w:rsidR="0025610F" w:rsidRDefault="0025610F" w:rsidP="0025610F">
      <w:pPr>
        <w:pStyle w:val="1-REL11"/>
      </w:pPr>
      <w:r>
        <w:t>Desta forma, são dívidas de curto prazo que necessitam de disponibilidade de caixa para seu imediato pagamento, por exemplo, os depósitos e as consignações sem o valor correspondente nas contas de ativos e as obrigações incorridas que não foram registradas orçamentariamente ou que tiveram o empenho cancelado.</w:t>
      </w:r>
    </w:p>
    <w:p w14:paraId="6185F1DE" w14:textId="526B9D1F" w:rsidR="0025610F" w:rsidRDefault="0025610F" w:rsidP="0025610F">
      <w:pPr>
        <w:pStyle w:val="1-REL11"/>
      </w:pPr>
      <w:r>
        <w:t>Quanto aos depósitos e consignações, foi apresentado déficit de R$</w:t>
      </w:r>
      <w:r w:rsidR="00BE7998">
        <w:t> </w:t>
      </w:r>
      <w:r>
        <w:t>56,57</w:t>
      </w:r>
      <w:r w:rsidR="00BE7998">
        <w:t> </w:t>
      </w:r>
      <w:r w:rsidR="00755658">
        <w:t>milhões</w:t>
      </w:r>
      <w:r>
        <w:t xml:space="preserve"> no exercício de 2023 ao comparar os valores inscritos no Ativo e Passivo, conforme segue:</w:t>
      </w:r>
    </w:p>
    <w:p w14:paraId="6A9CB91F" w14:textId="77777777" w:rsidR="0025610F" w:rsidRDefault="0025610F" w:rsidP="00ED3571">
      <w:pPr>
        <w:pStyle w:val="0-TABELA"/>
      </w:pPr>
      <w:bookmarkStart w:id="206" w:name="_Toc105601623"/>
      <w:bookmarkStart w:id="207" w:name="_Toc167871772"/>
      <w:r>
        <w:t>Demais Obrigações Financeiras - Depósitos e Consignações</w:t>
      </w:r>
      <w:bookmarkEnd w:id="206"/>
      <w:bookmarkEnd w:id="207"/>
      <w:r>
        <w:t xml:space="preserve"> </w:t>
      </w:r>
      <w:r>
        <w:fldChar w:fldCharType="begin"/>
      </w:r>
      <w:r>
        <w:instrText xml:space="preserve"> LINK Excel.Sheet.12 "C:\\Users\\apinheiro\\Documents\\ANDRÉ\\CONTAS DE GOVERNO\\PAPEIS TRABALHO\\PAPEL TRABALHO 2019.xlsx" TABELAS-WORD!L36C10:L49C12 \a \f 4 \h  \* MERGEFORMAT </w:instrText>
      </w:r>
      <w:r>
        <w:fldChar w:fldCharType="separate"/>
      </w:r>
    </w:p>
    <w:p w14:paraId="1976D48C" w14:textId="77777777" w:rsidR="0025610F" w:rsidRDefault="0025610F" w:rsidP="0025610F">
      <w:pPr>
        <w:pStyle w:val="0-EmR"/>
      </w:pPr>
      <w:r>
        <w:fldChar w:fldCharType="end"/>
      </w:r>
      <w:r>
        <w:t>R$ 1</w:t>
      </w:r>
    </w:p>
    <w:tbl>
      <w:tblPr>
        <w:tblW w:w="5000" w:type="pct"/>
        <w:tblCellMar>
          <w:left w:w="70" w:type="dxa"/>
          <w:right w:w="70" w:type="dxa"/>
        </w:tblCellMar>
        <w:tblLook w:val="04A0" w:firstRow="1" w:lastRow="0" w:firstColumn="1" w:lastColumn="0" w:noHBand="0" w:noVBand="1"/>
      </w:tblPr>
      <w:tblGrid>
        <w:gridCol w:w="2213"/>
        <w:gridCol w:w="5180"/>
        <w:gridCol w:w="1960"/>
      </w:tblGrid>
      <w:tr w:rsidR="0025610F" w14:paraId="6305D470" w14:textId="77777777" w:rsidTr="00841A88">
        <w:trPr>
          <w:trHeight w:val="397"/>
          <w:tblHeader/>
        </w:trPr>
        <w:tc>
          <w:tcPr>
            <w:tcW w:w="1183" w:type="pct"/>
            <w:tcBorders>
              <w:top w:val="single" w:sz="4" w:space="0" w:color="auto"/>
              <w:left w:val="nil"/>
              <w:bottom w:val="single" w:sz="4" w:space="0" w:color="auto"/>
              <w:right w:val="single" w:sz="4" w:space="0" w:color="auto"/>
            </w:tcBorders>
            <w:shd w:val="clear" w:color="auto" w:fill="A1F2FD"/>
            <w:noWrap/>
            <w:vAlign w:val="center"/>
            <w:hideMark/>
          </w:tcPr>
          <w:p w14:paraId="7EC4C31E" w14:textId="77777777" w:rsidR="0025610F" w:rsidRDefault="0025610F">
            <w:pPr>
              <w:jc w:val="center"/>
              <w:rPr>
                <w:rFonts w:cs="Arial"/>
                <w:b/>
                <w:bCs/>
                <w:sz w:val="18"/>
                <w:szCs w:val="18"/>
              </w:rPr>
            </w:pPr>
            <w:r>
              <w:rPr>
                <w:rFonts w:cs="Arial"/>
                <w:b/>
                <w:bCs/>
                <w:sz w:val="18"/>
                <w:szCs w:val="18"/>
              </w:rPr>
              <w:t>Conta Contábil</w:t>
            </w:r>
          </w:p>
        </w:tc>
        <w:tc>
          <w:tcPr>
            <w:tcW w:w="2769" w:type="pct"/>
            <w:tcBorders>
              <w:top w:val="single" w:sz="4" w:space="0" w:color="auto"/>
              <w:left w:val="single" w:sz="4" w:space="0" w:color="auto"/>
              <w:bottom w:val="single" w:sz="4" w:space="0" w:color="auto"/>
              <w:right w:val="single" w:sz="4" w:space="0" w:color="auto"/>
            </w:tcBorders>
            <w:shd w:val="clear" w:color="auto" w:fill="A1F2FD"/>
            <w:vAlign w:val="center"/>
            <w:hideMark/>
          </w:tcPr>
          <w:p w14:paraId="5D7E41F2" w14:textId="77777777" w:rsidR="0025610F" w:rsidRDefault="0025610F">
            <w:pPr>
              <w:jc w:val="center"/>
              <w:rPr>
                <w:rFonts w:cs="Arial"/>
                <w:b/>
                <w:bCs/>
                <w:sz w:val="18"/>
                <w:szCs w:val="18"/>
              </w:rPr>
            </w:pPr>
            <w:r>
              <w:rPr>
                <w:rFonts w:cs="Arial"/>
                <w:b/>
                <w:bCs/>
                <w:sz w:val="18"/>
                <w:szCs w:val="18"/>
              </w:rPr>
              <w:t>Conta Contábil (Nome)</w:t>
            </w:r>
          </w:p>
        </w:tc>
        <w:tc>
          <w:tcPr>
            <w:tcW w:w="1048" w:type="pct"/>
            <w:tcBorders>
              <w:top w:val="single" w:sz="4" w:space="0" w:color="auto"/>
              <w:left w:val="single" w:sz="4" w:space="0" w:color="auto"/>
              <w:bottom w:val="single" w:sz="4" w:space="0" w:color="auto"/>
              <w:right w:val="nil"/>
            </w:tcBorders>
            <w:shd w:val="clear" w:color="auto" w:fill="A1F2FD"/>
            <w:noWrap/>
            <w:vAlign w:val="center"/>
            <w:hideMark/>
          </w:tcPr>
          <w:p w14:paraId="4FB4B80E" w14:textId="77777777" w:rsidR="0025610F" w:rsidRDefault="0025610F">
            <w:pPr>
              <w:jc w:val="center"/>
              <w:rPr>
                <w:rFonts w:cs="Arial"/>
                <w:b/>
                <w:bCs/>
                <w:sz w:val="18"/>
                <w:szCs w:val="18"/>
              </w:rPr>
            </w:pPr>
            <w:r>
              <w:rPr>
                <w:rFonts w:cs="Arial"/>
                <w:b/>
                <w:bCs/>
                <w:sz w:val="18"/>
                <w:szCs w:val="18"/>
              </w:rPr>
              <w:t>Saldo Encerramento</w:t>
            </w:r>
          </w:p>
        </w:tc>
      </w:tr>
      <w:tr w:rsidR="0025610F" w14:paraId="4C0623FB" w14:textId="77777777" w:rsidTr="00841A88">
        <w:trPr>
          <w:trHeight w:val="397"/>
        </w:trPr>
        <w:tc>
          <w:tcPr>
            <w:tcW w:w="3952" w:type="pct"/>
            <w:gridSpan w:val="2"/>
            <w:tcBorders>
              <w:top w:val="single" w:sz="4" w:space="0" w:color="auto"/>
              <w:bottom w:val="single" w:sz="4" w:space="0" w:color="auto"/>
              <w:right w:val="single" w:sz="4" w:space="0" w:color="auto"/>
            </w:tcBorders>
            <w:noWrap/>
            <w:vAlign w:val="center"/>
            <w:hideMark/>
          </w:tcPr>
          <w:p w14:paraId="71B3C758" w14:textId="77777777" w:rsidR="0025610F" w:rsidRDefault="0025610F" w:rsidP="00122699">
            <w:pPr>
              <w:rPr>
                <w:rFonts w:cs="Arial"/>
                <w:b/>
                <w:bCs/>
                <w:sz w:val="18"/>
                <w:szCs w:val="18"/>
              </w:rPr>
            </w:pPr>
            <w:r>
              <w:rPr>
                <w:b/>
                <w:sz w:val="18"/>
                <w:szCs w:val="18"/>
              </w:rPr>
              <w:t>Ativo - Depósitos Restituíveis e Valores Vinculados – Disponibilidade Bruta de Caixa</w:t>
            </w:r>
          </w:p>
        </w:tc>
        <w:tc>
          <w:tcPr>
            <w:tcW w:w="1048" w:type="pct"/>
            <w:tcBorders>
              <w:top w:val="single" w:sz="4" w:space="0" w:color="auto"/>
              <w:left w:val="single" w:sz="4" w:space="0" w:color="auto"/>
              <w:bottom w:val="single" w:sz="4" w:space="0" w:color="auto"/>
              <w:right w:val="nil"/>
            </w:tcBorders>
            <w:noWrap/>
            <w:vAlign w:val="center"/>
            <w:hideMark/>
          </w:tcPr>
          <w:p w14:paraId="18F36213" w14:textId="77777777" w:rsidR="0025610F" w:rsidRDefault="0025610F">
            <w:pPr>
              <w:jc w:val="right"/>
              <w:rPr>
                <w:rFonts w:cs="Arial"/>
                <w:b/>
                <w:bCs/>
                <w:sz w:val="18"/>
                <w:szCs w:val="18"/>
              </w:rPr>
            </w:pPr>
            <w:r>
              <w:rPr>
                <w:b/>
                <w:sz w:val="18"/>
                <w:szCs w:val="18"/>
              </w:rPr>
              <w:t>1.682.961.819</w:t>
            </w:r>
          </w:p>
        </w:tc>
      </w:tr>
      <w:tr w:rsidR="0025610F" w14:paraId="6B4FBF14" w14:textId="77777777" w:rsidTr="00841A88">
        <w:trPr>
          <w:trHeight w:val="397"/>
        </w:trPr>
        <w:tc>
          <w:tcPr>
            <w:tcW w:w="1183" w:type="pct"/>
            <w:tcBorders>
              <w:top w:val="single" w:sz="4" w:space="0" w:color="auto"/>
              <w:left w:val="nil"/>
              <w:bottom w:val="nil"/>
              <w:right w:val="single" w:sz="4" w:space="0" w:color="auto"/>
            </w:tcBorders>
            <w:noWrap/>
            <w:vAlign w:val="center"/>
            <w:hideMark/>
          </w:tcPr>
          <w:p w14:paraId="229F2D0D" w14:textId="77777777" w:rsidR="0025610F" w:rsidRDefault="0025610F">
            <w:pPr>
              <w:rPr>
                <w:rFonts w:cs="Arial"/>
                <w:sz w:val="18"/>
                <w:szCs w:val="18"/>
              </w:rPr>
            </w:pPr>
            <w:r>
              <w:rPr>
                <w:sz w:val="18"/>
                <w:szCs w:val="18"/>
              </w:rPr>
              <w:t>1.1.1.1.1.XX.XX.XX</w:t>
            </w:r>
          </w:p>
        </w:tc>
        <w:tc>
          <w:tcPr>
            <w:tcW w:w="2769" w:type="pct"/>
            <w:tcBorders>
              <w:top w:val="single" w:sz="4" w:space="0" w:color="auto"/>
              <w:left w:val="single" w:sz="4" w:space="0" w:color="auto"/>
              <w:bottom w:val="nil"/>
              <w:right w:val="single" w:sz="4" w:space="0" w:color="auto"/>
            </w:tcBorders>
            <w:vAlign w:val="center"/>
            <w:hideMark/>
          </w:tcPr>
          <w:p w14:paraId="4F900F88" w14:textId="77777777" w:rsidR="0025610F" w:rsidRDefault="0025610F">
            <w:pPr>
              <w:rPr>
                <w:rFonts w:cs="Arial"/>
                <w:sz w:val="18"/>
                <w:szCs w:val="18"/>
              </w:rPr>
            </w:pPr>
            <w:r>
              <w:rPr>
                <w:sz w:val="18"/>
                <w:szCs w:val="18"/>
              </w:rPr>
              <w:t>Caixa e Equivalentes de Caixa em Moeda Nacional (fonte 886)</w:t>
            </w:r>
          </w:p>
        </w:tc>
        <w:tc>
          <w:tcPr>
            <w:tcW w:w="1048" w:type="pct"/>
            <w:tcBorders>
              <w:top w:val="single" w:sz="4" w:space="0" w:color="auto"/>
              <w:left w:val="single" w:sz="4" w:space="0" w:color="auto"/>
            </w:tcBorders>
            <w:noWrap/>
            <w:vAlign w:val="center"/>
            <w:hideMark/>
          </w:tcPr>
          <w:p w14:paraId="64B0BD01" w14:textId="77777777" w:rsidR="0025610F" w:rsidRDefault="0025610F">
            <w:pPr>
              <w:jc w:val="right"/>
              <w:rPr>
                <w:rFonts w:cs="Arial"/>
                <w:sz w:val="18"/>
                <w:szCs w:val="18"/>
              </w:rPr>
            </w:pPr>
            <w:r>
              <w:rPr>
                <w:sz w:val="18"/>
                <w:szCs w:val="18"/>
              </w:rPr>
              <w:t>203.831.177</w:t>
            </w:r>
          </w:p>
        </w:tc>
      </w:tr>
      <w:tr w:rsidR="0025610F" w14:paraId="55F6B9A0" w14:textId="77777777" w:rsidTr="00841A88">
        <w:trPr>
          <w:trHeight w:val="397"/>
        </w:trPr>
        <w:tc>
          <w:tcPr>
            <w:tcW w:w="1183" w:type="pct"/>
            <w:tcBorders>
              <w:top w:val="nil"/>
              <w:left w:val="nil"/>
              <w:bottom w:val="nil"/>
              <w:right w:val="single" w:sz="4" w:space="0" w:color="auto"/>
            </w:tcBorders>
            <w:noWrap/>
            <w:vAlign w:val="center"/>
            <w:hideMark/>
          </w:tcPr>
          <w:p w14:paraId="6D625BCC" w14:textId="77777777" w:rsidR="0025610F" w:rsidRDefault="0025610F">
            <w:pPr>
              <w:rPr>
                <w:rFonts w:cs="Arial"/>
                <w:sz w:val="18"/>
                <w:szCs w:val="18"/>
              </w:rPr>
            </w:pPr>
            <w:r>
              <w:rPr>
                <w:sz w:val="18"/>
                <w:szCs w:val="18"/>
              </w:rPr>
              <w:t>1.1.1.3.1.02.XX.XX.XX</w:t>
            </w:r>
          </w:p>
        </w:tc>
        <w:tc>
          <w:tcPr>
            <w:tcW w:w="2769" w:type="pct"/>
            <w:tcBorders>
              <w:top w:val="nil"/>
              <w:left w:val="single" w:sz="4" w:space="0" w:color="auto"/>
              <w:bottom w:val="nil"/>
              <w:right w:val="single" w:sz="4" w:space="0" w:color="auto"/>
            </w:tcBorders>
            <w:vAlign w:val="center"/>
            <w:hideMark/>
          </w:tcPr>
          <w:p w14:paraId="716892EC" w14:textId="77777777" w:rsidR="0025610F" w:rsidRDefault="0025610F">
            <w:pPr>
              <w:rPr>
                <w:rFonts w:cs="Arial"/>
                <w:sz w:val="18"/>
                <w:szCs w:val="18"/>
              </w:rPr>
            </w:pPr>
            <w:r>
              <w:rPr>
                <w:sz w:val="18"/>
                <w:szCs w:val="18"/>
              </w:rPr>
              <w:t>Depósitos Restituíveis e Valores Vinculados - Consolidação</w:t>
            </w:r>
          </w:p>
        </w:tc>
        <w:tc>
          <w:tcPr>
            <w:tcW w:w="1048" w:type="pct"/>
            <w:tcBorders>
              <w:left w:val="single" w:sz="4" w:space="0" w:color="auto"/>
            </w:tcBorders>
            <w:noWrap/>
            <w:vAlign w:val="center"/>
            <w:hideMark/>
          </w:tcPr>
          <w:p w14:paraId="53D964A4" w14:textId="77777777" w:rsidR="0025610F" w:rsidRDefault="0025610F">
            <w:pPr>
              <w:jc w:val="right"/>
              <w:rPr>
                <w:rFonts w:cs="Arial"/>
                <w:sz w:val="18"/>
                <w:szCs w:val="18"/>
              </w:rPr>
            </w:pPr>
            <w:r>
              <w:rPr>
                <w:sz w:val="18"/>
                <w:szCs w:val="18"/>
              </w:rPr>
              <w:t>1.473.004.177</w:t>
            </w:r>
          </w:p>
        </w:tc>
      </w:tr>
      <w:tr w:rsidR="0025610F" w14:paraId="5025A58C" w14:textId="77777777" w:rsidTr="00841A88">
        <w:trPr>
          <w:trHeight w:val="397"/>
        </w:trPr>
        <w:tc>
          <w:tcPr>
            <w:tcW w:w="1183" w:type="pct"/>
            <w:tcBorders>
              <w:top w:val="nil"/>
              <w:left w:val="nil"/>
              <w:bottom w:val="single" w:sz="4" w:space="0" w:color="auto"/>
              <w:right w:val="single" w:sz="4" w:space="0" w:color="auto"/>
            </w:tcBorders>
            <w:noWrap/>
            <w:vAlign w:val="center"/>
            <w:hideMark/>
          </w:tcPr>
          <w:p w14:paraId="753C04FD" w14:textId="77777777" w:rsidR="0025610F" w:rsidRDefault="0025610F">
            <w:pPr>
              <w:rPr>
                <w:rFonts w:cs="Arial"/>
                <w:sz w:val="18"/>
                <w:szCs w:val="18"/>
              </w:rPr>
            </w:pPr>
            <w:r>
              <w:rPr>
                <w:sz w:val="18"/>
                <w:szCs w:val="18"/>
              </w:rPr>
              <w:t>1.2.1.2.1.06.XX.XX.XX</w:t>
            </w:r>
          </w:p>
        </w:tc>
        <w:tc>
          <w:tcPr>
            <w:tcW w:w="2769" w:type="pct"/>
            <w:tcBorders>
              <w:top w:val="nil"/>
              <w:left w:val="single" w:sz="4" w:space="0" w:color="auto"/>
              <w:bottom w:val="single" w:sz="4" w:space="0" w:color="auto"/>
              <w:right w:val="single" w:sz="4" w:space="0" w:color="auto"/>
            </w:tcBorders>
            <w:vAlign w:val="center"/>
            <w:hideMark/>
          </w:tcPr>
          <w:p w14:paraId="1A986442" w14:textId="77777777" w:rsidR="0025610F" w:rsidRDefault="0025610F">
            <w:pPr>
              <w:rPr>
                <w:rFonts w:cs="Arial"/>
                <w:sz w:val="18"/>
                <w:szCs w:val="18"/>
              </w:rPr>
            </w:pPr>
            <w:r>
              <w:rPr>
                <w:sz w:val="18"/>
                <w:szCs w:val="18"/>
              </w:rPr>
              <w:t>Depósitos Restituíveis e Valores Vinculados</w:t>
            </w:r>
          </w:p>
        </w:tc>
        <w:tc>
          <w:tcPr>
            <w:tcW w:w="1048" w:type="pct"/>
            <w:tcBorders>
              <w:left w:val="single" w:sz="4" w:space="0" w:color="auto"/>
              <w:bottom w:val="single" w:sz="4" w:space="0" w:color="auto"/>
            </w:tcBorders>
            <w:noWrap/>
            <w:vAlign w:val="center"/>
            <w:hideMark/>
          </w:tcPr>
          <w:p w14:paraId="634B05AD" w14:textId="77777777" w:rsidR="0025610F" w:rsidRDefault="0025610F">
            <w:pPr>
              <w:jc w:val="right"/>
              <w:rPr>
                <w:rFonts w:cs="Arial"/>
                <w:sz w:val="18"/>
                <w:szCs w:val="18"/>
              </w:rPr>
            </w:pPr>
            <w:r>
              <w:rPr>
                <w:sz w:val="18"/>
                <w:szCs w:val="18"/>
              </w:rPr>
              <w:t xml:space="preserve">6.126.465 </w:t>
            </w:r>
          </w:p>
        </w:tc>
      </w:tr>
      <w:tr w:rsidR="0025610F" w14:paraId="6DA0A78C" w14:textId="77777777" w:rsidTr="00841A88">
        <w:trPr>
          <w:trHeight w:val="397"/>
        </w:trPr>
        <w:tc>
          <w:tcPr>
            <w:tcW w:w="3952" w:type="pct"/>
            <w:gridSpan w:val="2"/>
            <w:tcBorders>
              <w:top w:val="single" w:sz="4" w:space="0" w:color="auto"/>
              <w:bottom w:val="single" w:sz="4" w:space="0" w:color="auto"/>
              <w:right w:val="single" w:sz="4" w:space="0" w:color="auto"/>
            </w:tcBorders>
            <w:noWrap/>
            <w:vAlign w:val="center"/>
            <w:hideMark/>
          </w:tcPr>
          <w:p w14:paraId="4F4CD4AF" w14:textId="77777777" w:rsidR="0025610F" w:rsidRDefault="0025610F" w:rsidP="00122699">
            <w:pPr>
              <w:jc w:val="center"/>
              <w:rPr>
                <w:rFonts w:cs="Arial"/>
                <w:b/>
                <w:bCs/>
                <w:sz w:val="18"/>
                <w:szCs w:val="18"/>
              </w:rPr>
            </w:pPr>
            <w:r>
              <w:rPr>
                <w:b/>
                <w:sz w:val="18"/>
                <w:szCs w:val="18"/>
              </w:rPr>
              <w:t>Passivo - Valores Restituíveis – Demais Obrigações Financeiras</w:t>
            </w:r>
          </w:p>
        </w:tc>
        <w:tc>
          <w:tcPr>
            <w:tcW w:w="1048" w:type="pct"/>
            <w:tcBorders>
              <w:top w:val="single" w:sz="4" w:space="0" w:color="auto"/>
              <w:left w:val="single" w:sz="4" w:space="0" w:color="auto"/>
              <w:bottom w:val="single" w:sz="4" w:space="0" w:color="auto"/>
              <w:right w:val="nil"/>
            </w:tcBorders>
            <w:noWrap/>
            <w:vAlign w:val="center"/>
            <w:hideMark/>
          </w:tcPr>
          <w:p w14:paraId="51881BD5" w14:textId="77777777" w:rsidR="0025610F" w:rsidRDefault="0025610F">
            <w:pPr>
              <w:jc w:val="right"/>
              <w:rPr>
                <w:rFonts w:cs="Arial"/>
                <w:b/>
                <w:bCs/>
                <w:color w:val="FF0000"/>
                <w:sz w:val="18"/>
                <w:szCs w:val="18"/>
              </w:rPr>
            </w:pPr>
            <w:r>
              <w:rPr>
                <w:b/>
                <w:color w:val="FF0000"/>
                <w:sz w:val="18"/>
                <w:szCs w:val="18"/>
              </w:rPr>
              <w:t>(1.739.535.650)</w:t>
            </w:r>
          </w:p>
        </w:tc>
      </w:tr>
      <w:tr w:rsidR="0025610F" w14:paraId="4D28E59E" w14:textId="77777777" w:rsidTr="00841A88">
        <w:trPr>
          <w:trHeight w:val="397"/>
        </w:trPr>
        <w:tc>
          <w:tcPr>
            <w:tcW w:w="1183" w:type="pct"/>
            <w:tcBorders>
              <w:top w:val="single" w:sz="4" w:space="0" w:color="auto"/>
              <w:left w:val="nil"/>
              <w:bottom w:val="nil"/>
              <w:right w:val="single" w:sz="4" w:space="0" w:color="auto"/>
            </w:tcBorders>
            <w:noWrap/>
            <w:vAlign w:val="center"/>
            <w:hideMark/>
          </w:tcPr>
          <w:p w14:paraId="474898A6" w14:textId="77777777" w:rsidR="0025610F" w:rsidRDefault="0025610F">
            <w:pPr>
              <w:rPr>
                <w:rFonts w:cs="Arial"/>
                <w:sz w:val="18"/>
                <w:szCs w:val="18"/>
              </w:rPr>
            </w:pPr>
            <w:r>
              <w:rPr>
                <w:sz w:val="18"/>
                <w:szCs w:val="18"/>
              </w:rPr>
              <w:t>2.1.8.8.1.00.00.00.00</w:t>
            </w:r>
          </w:p>
        </w:tc>
        <w:tc>
          <w:tcPr>
            <w:tcW w:w="2769" w:type="pct"/>
            <w:tcBorders>
              <w:top w:val="single" w:sz="4" w:space="0" w:color="auto"/>
              <w:left w:val="single" w:sz="4" w:space="0" w:color="auto"/>
              <w:bottom w:val="nil"/>
              <w:right w:val="single" w:sz="4" w:space="0" w:color="auto"/>
            </w:tcBorders>
            <w:vAlign w:val="center"/>
            <w:hideMark/>
          </w:tcPr>
          <w:p w14:paraId="4714FCA2" w14:textId="77777777" w:rsidR="0025610F" w:rsidRDefault="0025610F">
            <w:pPr>
              <w:rPr>
                <w:rFonts w:cs="Arial"/>
                <w:sz w:val="18"/>
                <w:szCs w:val="18"/>
              </w:rPr>
            </w:pPr>
            <w:r>
              <w:rPr>
                <w:sz w:val="18"/>
                <w:szCs w:val="18"/>
              </w:rPr>
              <w:t>Valores Restituíveis - Consolidação</w:t>
            </w:r>
          </w:p>
        </w:tc>
        <w:tc>
          <w:tcPr>
            <w:tcW w:w="1048" w:type="pct"/>
            <w:tcBorders>
              <w:top w:val="single" w:sz="4" w:space="0" w:color="auto"/>
              <w:left w:val="single" w:sz="4" w:space="0" w:color="auto"/>
            </w:tcBorders>
            <w:noWrap/>
            <w:vAlign w:val="center"/>
            <w:hideMark/>
          </w:tcPr>
          <w:p w14:paraId="0B2CB503" w14:textId="77777777" w:rsidR="0025610F" w:rsidRDefault="0025610F">
            <w:pPr>
              <w:jc w:val="right"/>
              <w:rPr>
                <w:rFonts w:cs="Arial"/>
                <w:color w:val="FF0000"/>
                <w:sz w:val="18"/>
                <w:szCs w:val="18"/>
              </w:rPr>
            </w:pPr>
            <w:r>
              <w:rPr>
                <w:color w:val="FF0000"/>
                <w:sz w:val="18"/>
                <w:szCs w:val="18"/>
              </w:rPr>
              <w:t>(466.534.019)</w:t>
            </w:r>
          </w:p>
        </w:tc>
      </w:tr>
      <w:tr w:rsidR="0025610F" w14:paraId="3A2ED37C" w14:textId="77777777" w:rsidTr="00841A88">
        <w:trPr>
          <w:trHeight w:val="397"/>
        </w:trPr>
        <w:tc>
          <w:tcPr>
            <w:tcW w:w="1183" w:type="pct"/>
            <w:tcBorders>
              <w:top w:val="nil"/>
              <w:left w:val="nil"/>
              <w:bottom w:val="nil"/>
              <w:right w:val="single" w:sz="4" w:space="0" w:color="auto"/>
            </w:tcBorders>
            <w:noWrap/>
            <w:vAlign w:val="center"/>
            <w:hideMark/>
          </w:tcPr>
          <w:p w14:paraId="34FDBAB6" w14:textId="77777777" w:rsidR="0025610F" w:rsidRDefault="0025610F">
            <w:pPr>
              <w:rPr>
                <w:sz w:val="18"/>
                <w:szCs w:val="18"/>
              </w:rPr>
            </w:pPr>
            <w:r>
              <w:rPr>
                <w:sz w:val="18"/>
                <w:szCs w:val="18"/>
              </w:rPr>
              <w:t>2.1.8.9.1.01.06.00.00</w:t>
            </w:r>
          </w:p>
        </w:tc>
        <w:tc>
          <w:tcPr>
            <w:tcW w:w="2769" w:type="pct"/>
            <w:tcBorders>
              <w:top w:val="nil"/>
              <w:left w:val="single" w:sz="4" w:space="0" w:color="auto"/>
              <w:bottom w:val="nil"/>
              <w:right w:val="single" w:sz="4" w:space="0" w:color="auto"/>
            </w:tcBorders>
            <w:vAlign w:val="center"/>
            <w:hideMark/>
          </w:tcPr>
          <w:p w14:paraId="04F0A991" w14:textId="77777777" w:rsidR="0025610F" w:rsidRDefault="0025610F">
            <w:pPr>
              <w:rPr>
                <w:sz w:val="18"/>
                <w:szCs w:val="18"/>
              </w:rPr>
            </w:pPr>
            <w:r>
              <w:rPr>
                <w:sz w:val="18"/>
                <w:szCs w:val="18"/>
              </w:rPr>
              <w:t>Depósitos de Terceiros a Restituir</w:t>
            </w:r>
          </w:p>
        </w:tc>
        <w:tc>
          <w:tcPr>
            <w:tcW w:w="1048" w:type="pct"/>
            <w:tcBorders>
              <w:left w:val="single" w:sz="4" w:space="0" w:color="auto"/>
            </w:tcBorders>
            <w:noWrap/>
            <w:vAlign w:val="center"/>
            <w:hideMark/>
          </w:tcPr>
          <w:p w14:paraId="1FA5E42A" w14:textId="77777777" w:rsidR="0025610F" w:rsidRDefault="0025610F">
            <w:pPr>
              <w:jc w:val="right"/>
              <w:rPr>
                <w:color w:val="FF0000"/>
                <w:sz w:val="18"/>
                <w:szCs w:val="18"/>
              </w:rPr>
            </w:pPr>
            <w:r>
              <w:rPr>
                <w:color w:val="FF0000"/>
                <w:sz w:val="18"/>
                <w:szCs w:val="18"/>
              </w:rPr>
              <w:t>(1.072.337.111)</w:t>
            </w:r>
          </w:p>
        </w:tc>
      </w:tr>
      <w:tr w:rsidR="0025610F" w14:paraId="0F2067E0" w14:textId="77777777" w:rsidTr="00841A88">
        <w:trPr>
          <w:trHeight w:val="397"/>
        </w:trPr>
        <w:tc>
          <w:tcPr>
            <w:tcW w:w="1183" w:type="pct"/>
            <w:tcBorders>
              <w:top w:val="nil"/>
              <w:left w:val="nil"/>
              <w:bottom w:val="single" w:sz="4" w:space="0" w:color="auto"/>
              <w:right w:val="single" w:sz="4" w:space="0" w:color="auto"/>
            </w:tcBorders>
            <w:noWrap/>
            <w:vAlign w:val="center"/>
            <w:hideMark/>
          </w:tcPr>
          <w:p w14:paraId="317406AD" w14:textId="77777777" w:rsidR="0025610F" w:rsidRDefault="0025610F">
            <w:pPr>
              <w:rPr>
                <w:rFonts w:cs="Arial"/>
                <w:sz w:val="18"/>
                <w:szCs w:val="18"/>
              </w:rPr>
            </w:pPr>
            <w:r>
              <w:rPr>
                <w:sz w:val="18"/>
                <w:szCs w:val="18"/>
              </w:rPr>
              <w:t>2.2.8.8.1.00.00.00.00</w:t>
            </w:r>
          </w:p>
        </w:tc>
        <w:tc>
          <w:tcPr>
            <w:tcW w:w="2769" w:type="pct"/>
            <w:tcBorders>
              <w:top w:val="nil"/>
              <w:left w:val="single" w:sz="4" w:space="0" w:color="auto"/>
              <w:bottom w:val="single" w:sz="4" w:space="0" w:color="auto"/>
              <w:right w:val="single" w:sz="4" w:space="0" w:color="auto"/>
            </w:tcBorders>
            <w:vAlign w:val="center"/>
            <w:hideMark/>
          </w:tcPr>
          <w:p w14:paraId="4B30F164" w14:textId="77777777" w:rsidR="0025610F" w:rsidRDefault="0025610F">
            <w:pPr>
              <w:rPr>
                <w:rFonts w:cs="Arial"/>
                <w:sz w:val="18"/>
                <w:szCs w:val="18"/>
              </w:rPr>
            </w:pPr>
            <w:r>
              <w:rPr>
                <w:sz w:val="18"/>
                <w:szCs w:val="18"/>
              </w:rPr>
              <w:t>Valores Restituíveis - Consolidação</w:t>
            </w:r>
          </w:p>
        </w:tc>
        <w:tc>
          <w:tcPr>
            <w:tcW w:w="1048" w:type="pct"/>
            <w:tcBorders>
              <w:top w:val="nil"/>
              <w:left w:val="single" w:sz="4" w:space="0" w:color="auto"/>
              <w:bottom w:val="single" w:sz="4" w:space="0" w:color="auto"/>
              <w:right w:val="nil"/>
            </w:tcBorders>
            <w:noWrap/>
            <w:vAlign w:val="center"/>
            <w:hideMark/>
          </w:tcPr>
          <w:p w14:paraId="2FA95B4D" w14:textId="77777777" w:rsidR="0025610F" w:rsidRDefault="0025610F">
            <w:pPr>
              <w:jc w:val="right"/>
              <w:rPr>
                <w:rFonts w:cs="Arial"/>
                <w:color w:val="FF0000"/>
                <w:sz w:val="18"/>
                <w:szCs w:val="18"/>
              </w:rPr>
            </w:pPr>
            <w:r>
              <w:rPr>
                <w:color w:val="FF0000"/>
                <w:sz w:val="18"/>
                <w:szCs w:val="18"/>
              </w:rPr>
              <w:t>(200.664.520)</w:t>
            </w:r>
          </w:p>
        </w:tc>
      </w:tr>
      <w:tr w:rsidR="0025610F" w14:paraId="7B6C3C0E" w14:textId="77777777" w:rsidTr="00841A88">
        <w:trPr>
          <w:trHeight w:val="397"/>
        </w:trPr>
        <w:tc>
          <w:tcPr>
            <w:tcW w:w="3952" w:type="pct"/>
            <w:gridSpan w:val="2"/>
            <w:tcBorders>
              <w:top w:val="single" w:sz="4" w:space="0" w:color="auto"/>
              <w:bottom w:val="single" w:sz="4" w:space="0" w:color="auto"/>
              <w:right w:val="single" w:sz="4" w:space="0" w:color="auto"/>
            </w:tcBorders>
            <w:noWrap/>
            <w:vAlign w:val="center"/>
            <w:hideMark/>
          </w:tcPr>
          <w:p w14:paraId="693DBA1D" w14:textId="77777777" w:rsidR="0025610F" w:rsidRDefault="0025610F" w:rsidP="00122699">
            <w:pPr>
              <w:jc w:val="center"/>
              <w:rPr>
                <w:rFonts w:cs="Arial"/>
                <w:b/>
                <w:bCs/>
                <w:sz w:val="18"/>
                <w:szCs w:val="18"/>
              </w:rPr>
            </w:pPr>
            <w:r>
              <w:rPr>
                <w:b/>
                <w:sz w:val="18"/>
                <w:szCs w:val="18"/>
              </w:rPr>
              <w:t>Total (Ativo – Passivo)</w:t>
            </w:r>
          </w:p>
        </w:tc>
        <w:tc>
          <w:tcPr>
            <w:tcW w:w="1048" w:type="pct"/>
            <w:tcBorders>
              <w:top w:val="single" w:sz="4" w:space="0" w:color="auto"/>
              <w:left w:val="single" w:sz="4" w:space="0" w:color="auto"/>
              <w:bottom w:val="single" w:sz="4" w:space="0" w:color="auto"/>
              <w:right w:val="nil"/>
            </w:tcBorders>
            <w:noWrap/>
            <w:vAlign w:val="center"/>
            <w:hideMark/>
          </w:tcPr>
          <w:p w14:paraId="0019DE27" w14:textId="77777777" w:rsidR="0025610F" w:rsidRDefault="0025610F">
            <w:pPr>
              <w:jc w:val="right"/>
              <w:rPr>
                <w:rFonts w:cs="Arial"/>
                <w:b/>
                <w:bCs/>
                <w:sz w:val="18"/>
                <w:szCs w:val="18"/>
              </w:rPr>
            </w:pPr>
            <w:r>
              <w:rPr>
                <w:b/>
                <w:color w:val="FF0000"/>
                <w:sz w:val="18"/>
                <w:szCs w:val="18"/>
              </w:rPr>
              <w:t>(56.573.831)</w:t>
            </w:r>
          </w:p>
        </w:tc>
      </w:tr>
    </w:tbl>
    <w:p w14:paraId="26F7A9B2" w14:textId="77777777" w:rsidR="001368B8" w:rsidRDefault="001368B8" w:rsidP="00EF01A1">
      <w:pPr>
        <w:pStyle w:val="1-FONTE8ESQ"/>
        <w:rPr>
          <w:lang w:eastAsia="en-US"/>
        </w:rPr>
      </w:pPr>
      <w:r w:rsidRPr="00EC7AD7">
        <w:rPr>
          <w:lang w:eastAsia="en-US"/>
        </w:rPr>
        <w:t xml:space="preserve">Fonte: </w:t>
      </w:r>
      <w:r w:rsidRPr="00314D60">
        <w:rPr>
          <w:lang w:eastAsia="en-US"/>
        </w:rPr>
        <w:t>Business Objects</w:t>
      </w:r>
      <w:r w:rsidRPr="00EC7AD7">
        <w:rPr>
          <w:lang w:eastAsia="en-US"/>
        </w:rPr>
        <w:t xml:space="preserve"> </w:t>
      </w:r>
    </w:p>
    <w:p w14:paraId="41C4E4F0" w14:textId="5301A5B5" w:rsidR="0025610F" w:rsidRDefault="0025610F" w:rsidP="0025610F">
      <w:pPr>
        <w:pStyle w:val="1-REL11"/>
      </w:pPr>
      <w:r>
        <w:t xml:space="preserve">Comparando o referido déficit (Ativo - Passivo), verifica-se uma pequena redução em relação ao exercício de 2022, </w:t>
      </w:r>
      <w:r w:rsidR="00ED3571">
        <w:t>como segue:</w:t>
      </w:r>
    </w:p>
    <w:p w14:paraId="4A04A953" w14:textId="49AAA5DA" w:rsidR="00ED3571" w:rsidRDefault="00ED3571" w:rsidP="00ED3571">
      <w:pPr>
        <w:pStyle w:val="0-TABELA"/>
      </w:pPr>
      <w:bookmarkStart w:id="208" w:name="_Toc167871773"/>
      <w:r w:rsidRPr="00ED3571">
        <w:t>Resultado de Depósitos e Consignações (Ativo - Passivo)</w:t>
      </w:r>
      <w:bookmarkEnd w:id="208"/>
    </w:p>
    <w:p w14:paraId="57D297F7" w14:textId="77777777" w:rsidR="00D30A43" w:rsidRPr="00D30A43" w:rsidRDefault="00D30A43" w:rsidP="00D30A43">
      <w:pPr>
        <w:pStyle w:val="0-EmR1"/>
      </w:pPr>
      <w:r w:rsidRPr="00D30A43">
        <w:t>R$ 1</w:t>
      </w:r>
    </w:p>
    <w:p w14:paraId="460EEE51" w14:textId="37C0C7E9" w:rsidR="00D30A43" w:rsidRDefault="00D30A43" w:rsidP="00D30A43">
      <w:pPr>
        <w:pStyle w:val="1-FONTE8ESQ"/>
      </w:pPr>
    </w:p>
    <w:tbl>
      <w:tblPr>
        <w:tblW w:w="5000" w:type="pct"/>
        <w:tblCellMar>
          <w:left w:w="70" w:type="dxa"/>
          <w:right w:w="70" w:type="dxa"/>
        </w:tblCellMar>
        <w:tblLook w:val="04A0" w:firstRow="1" w:lastRow="0" w:firstColumn="1" w:lastColumn="0" w:noHBand="0" w:noVBand="1"/>
      </w:tblPr>
      <w:tblGrid>
        <w:gridCol w:w="3117"/>
        <w:gridCol w:w="3118"/>
        <w:gridCol w:w="3118"/>
      </w:tblGrid>
      <w:tr w:rsidR="00ED3571" w:rsidRPr="00ED3571" w14:paraId="40379DB0" w14:textId="1BC52830" w:rsidTr="00B06C61">
        <w:trPr>
          <w:trHeight w:val="340"/>
          <w:tblHeader/>
        </w:trPr>
        <w:tc>
          <w:tcPr>
            <w:tcW w:w="1666" w:type="pct"/>
            <w:tcBorders>
              <w:top w:val="single" w:sz="4" w:space="0" w:color="auto"/>
              <w:left w:val="nil"/>
              <w:bottom w:val="single" w:sz="4" w:space="0" w:color="auto"/>
              <w:right w:val="single" w:sz="4" w:space="0" w:color="auto"/>
            </w:tcBorders>
            <w:shd w:val="clear" w:color="auto" w:fill="A1F2FD"/>
            <w:vAlign w:val="center"/>
            <w:hideMark/>
          </w:tcPr>
          <w:p w14:paraId="27478EC0" w14:textId="3935730A" w:rsidR="00ED3571" w:rsidRPr="00ED3571" w:rsidRDefault="00ED3571" w:rsidP="00ED3571">
            <w:pPr>
              <w:jc w:val="center"/>
              <w:rPr>
                <w:rFonts w:cs="Arial"/>
                <w:b/>
                <w:sz w:val="20"/>
                <w:szCs w:val="20"/>
              </w:rPr>
            </w:pPr>
            <w:r w:rsidRPr="00ED3571">
              <w:rPr>
                <w:rFonts w:cs="Arial"/>
                <w:b/>
                <w:sz w:val="20"/>
                <w:szCs w:val="20"/>
              </w:rPr>
              <w:t>Exercício</w:t>
            </w:r>
          </w:p>
        </w:tc>
        <w:tc>
          <w:tcPr>
            <w:tcW w:w="1667" w:type="pct"/>
            <w:tcBorders>
              <w:top w:val="single" w:sz="4" w:space="0" w:color="auto"/>
              <w:left w:val="single" w:sz="4" w:space="0" w:color="auto"/>
              <w:bottom w:val="single" w:sz="4" w:space="0" w:color="auto"/>
              <w:right w:val="single" w:sz="4" w:space="0" w:color="auto"/>
            </w:tcBorders>
            <w:shd w:val="clear" w:color="auto" w:fill="A1F2FD"/>
            <w:vAlign w:val="center"/>
            <w:hideMark/>
          </w:tcPr>
          <w:p w14:paraId="7F3C1D29" w14:textId="277B3B32" w:rsidR="00ED3571" w:rsidRPr="00ED3571" w:rsidRDefault="00ED3571" w:rsidP="00ED3571">
            <w:pPr>
              <w:jc w:val="center"/>
              <w:rPr>
                <w:rFonts w:cs="Arial"/>
                <w:b/>
                <w:sz w:val="20"/>
                <w:szCs w:val="20"/>
              </w:rPr>
            </w:pPr>
            <w:r w:rsidRPr="00ED3571">
              <w:rPr>
                <w:rFonts w:cs="Arial"/>
                <w:b/>
                <w:sz w:val="20"/>
                <w:szCs w:val="20"/>
              </w:rPr>
              <w:t>R$</w:t>
            </w:r>
          </w:p>
        </w:tc>
        <w:tc>
          <w:tcPr>
            <w:tcW w:w="1667" w:type="pct"/>
            <w:tcBorders>
              <w:top w:val="single" w:sz="4" w:space="0" w:color="auto"/>
              <w:left w:val="single" w:sz="4" w:space="0" w:color="auto"/>
              <w:bottom w:val="single" w:sz="4" w:space="0" w:color="auto"/>
            </w:tcBorders>
            <w:shd w:val="clear" w:color="auto" w:fill="A1F2FD"/>
            <w:vAlign w:val="center"/>
          </w:tcPr>
          <w:p w14:paraId="75A37F0B" w14:textId="6C97013C" w:rsidR="00ED3571" w:rsidRPr="00ED3571" w:rsidRDefault="00ED3571" w:rsidP="00ED3571">
            <w:pPr>
              <w:jc w:val="center"/>
              <w:rPr>
                <w:rFonts w:cs="Arial"/>
                <w:b/>
                <w:sz w:val="20"/>
                <w:szCs w:val="20"/>
              </w:rPr>
            </w:pPr>
            <w:r w:rsidRPr="00ED3571">
              <w:rPr>
                <w:rFonts w:cs="Arial"/>
                <w:b/>
                <w:bCs/>
                <w:color w:val="000000"/>
                <w:sz w:val="20"/>
                <w:szCs w:val="20"/>
              </w:rPr>
              <w:t xml:space="preserve">AV </w:t>
            </w:r>
            <w:r w:rsidR="00495250">
              <w:rPr>
                <w:rFonts w:cs="Arial"/>
                <w:b/>
                <w:bCs/>
                <w:color w:val="000000"/>
                <w:sz w:val="20"/>
                <w:szCs w:val="20"/>
              </w:rPr>
              <w:t xml:space="preserve">Base </w:t>
            </w:r>
            <w:r w:rsidR="00D54751">
              <w:rPr>
                <w:rFonts w:cs="Arial"/>
                <w:b/>
                <w:bCs/>
                <w:color w:val="000000"/>
                <w:sz w:val="20"/>
                <w:szCs w:val="20"/>
              </w:rPr>
              <w:t>Móvel</w:t>
            </w:r>
          </w:p>
        </w:tc>
      </w:tr>
      <w:tr w:rsidR="00ED3571" w:rsidRPr="00ED3571" w14:paraId="6F998DAE" w14:textId="1C4DBF63" w:rsidTr="00B06C61">
        <w:trPr>
          <w:trHeight w:val="340"/>
        </w:trPr>
        <w:tc>
          <w:tcPr>
            <w:tcW w:w="1666" w:type="pct"/>
            <w:tcBorders>
              <w:top w:val="single" w:sz="4" w:space="0" w:color="auto"/>
              <w:left w:val="nil"/>
              <w:bottom w:val="nil"/>
              <w:right w:val="single" w:sz="4" w:space="0" w:color="auto"/>
            </w:tcBorders>
            <w:shd w:val="clear" w:color="auto" w:fill="auto"/>
            <w:noWrap/>
            <w:vAlign w:val="center"/>
            <w:hideMark/>
          </w:tcPr>
          <w:p w14:paraId="30A94314" w14:textId="11C6DD1F" w:rsidR="00ED3571" w:rsidRPr="00ED3571" w:rsidRDefault="00ED3571" w:rsidP="00ED3571">
            <w:pPr>
              <w:ind w:left="73"/>
              <w:jc w:val="center"/>
              <w:rPr>
                <w:rFonts w:cs="Arial"/>
                <w:sz w:val="20"/>
                <w:szCs w:val="20"/>
              </w:rPr>
            </w:pPr>
            <w:r w:rsidRPr="00ED3571">
              <w:rPr>
                <w:rFonts w:cs="Arial"/>
                <w:color w:val="000000"/>
                <w:sz w:val="20"/>
                <w:szCs w:val="20"/>
              </w:rPr>
              <w:t xml:space="preserve">2021 </w:t>
            </w:r>
          </w:p>
        </w:tc>
        <w:tc>
          <w:tcPr>
            <w:tcW w:w="1667" w:type="pct"/>
            <w:tcBorders>
              <w:top w:val="single" w:sz="4" w:space="0" w:color="auto"/>
              <w:left w:val="single" w:sz="4" w:space="0" w:color="auto"/>
              <w:bottom w:val="nil"/>
              <w:right w:val="single" w:sz="4" w:space="0" w:color="auto"/>
            </w:tcBorders>
            <w:shd w:val="clear" w:color="auto" w:fill="auto"/>
            <w:vAlign w:val="center"/>
            <w:hideMark/>
          </w:tcPr>
          <w:p w14:paraId="687F1D72" w14:textId="76A6FF44" w:rsidR="00ED3571" w:rsidRPr="00ED3571" w:rsidRDefault="00ED3571" w:rsidP="00ED3571">
            <w:pPr>
              <w:jc w:val="right"/>
              <w:rPr>
                <w:rFonts w:cs="Arial"/>
                <w:color w:val="FF0000"/>
                <w:sz w:val="20"/>
                <w:szCs w:val="20"/>
              </w:rPr>
            </w:pPr>
            <w:r w:rsidRPr="00ED3571">
              <w:rPr>
                <w:rFonts w:cs="Arial"/>
                <w:color w:val="FF0000"/>
                <w:sz w:val="20"/>
                <w:szCs w:val="20"/>
              </w:rPr>
              <w:t>(91.735.554)</w:t>
            </w:r>
          </w:p>
        </w:tc>
        <w:tc>
          <w:tcPr>
            <w:tcW w:w="1667" w:type="pct"/>
            <w:tcBorders>
              <w:top w:val="single" w:sz="4" w:space="0" w:color="auto"/>
              <w:left w:val="single" w:sz="4" w:space="0" w:color="auto"/>
              <w:bottom w:val="nil"/>
            </w:tcBorders>
            <w:vAlign w:val="center"/>
          </w:tcPr>
          <w:p w14:paraId="6DB3EC23" w14:textId="5DB88022" w:rsidR="00ED3571" w:rsidRPr="00ED3571" w:rsidRDefault="00ED3571" w:rsidP="00ED3571">
            <w:pPr>
              <w:jc w:val="right"/>
              <w:rPr>
                <w:rFonts w:cs="Arial"/>
                <w:color w:val="FF0000"/>
                <w:sz w:val="20"/>
                <w:szCs w:val="20"/>
              </w:rPr>
            </w:pPr>
            <w:r w:rsidRPr="00ED3571">
              <w:rPr>
                <w:rFonts w:cs="Arial"/>
                <w:color w:val="FF0000"/>
                <w:sz w:val="20"/>
                <w:szCs w:val="20"/>
              </w:rPr>
              <w:t>-</w:t>
            </w:r>
          </w:p>
        </w:tc>
      </w:tr>
      <w:tr w:rsidR="00ED3571" w:rsidRPr="00ED3571" w14:paraId="42F3F6F0" w14:textId="2A76FD3E" w:rsidTr="00B06C61">
        <w:trPr>
          <w:trHeight w:val="340"/>
        </w:trPr>
        <w:tc>
          <w:tcPr>
            <w:tcW w:w="1666" w:type="pct"/>
            <w:tcBorders>
              <w:top w:val="nil"/>
              <w:left w:val="nil"/>
              <w:right w:val="single" w:sz="4" w:space="0" w:color="auto"/>
            </w:tcBorders>
            <w:shd w:val="clear" w:color="auto" w:fill="auto"/>
            <w:noWrap/>
            <w:vAlign w:val="center"/>
            <w:hideMark/>
          </w:tcPr>
          <w:p w14:paraId="70DD424C" w14:textId="46D48C76" w:rsidR="00ED3571" w:rsidRPr="00ED3571" w:rsidRDefault="00ED3571" w:rsidP="00ED3571">
            <w:pPr>
              <w:ind w:left="73"/>
              <w:jc w:val="center"/>
              <w:rPr>
                <w:rFonts w:cs="Arial"/>
                <w:color w:val="FF0000"/>
                <w:sz w:val="20"/>
                <w:szCs w:val="20"/>
              </w:rPr>
            </w:pPr>
            <w:r w:rsidRPr="00ED3571">
              <w:rPr>
                <w:rFonts w:cs="Arial"/>
                <w:color w:val="000000"/>
                <w:sz w:val="20"/>
                <w:szCs w:val="20"/>
              </w:rPr>
              <w:t>2022</w:t>
            </w:r>
          </w:p>
        </w:tc>
        <w:tc>
          <w:tcPr>
            <w:tcW w:w="1667" w:type="pct"/>
            <w:tcBorders>
              <w:top w:val="nil"/>
              <w:left w:val="single" w:sz="4" w:space="0" w:color="auto"/>
              <w:right w:val="single" w:sz="4" w:space="0" w:color="auto"/>
            </w:tcBorders>
            <w:shd w:val="clear" w:color="auto" w:fill="auto"/>
            <w:vAlign w:val="center"/>
            <w:hideMark/>
          </w:tcPr>
          <w:p w14:paraId="734541A3" w14:textId="1BF4D07C" w:rsidR="00ED3571" w:rsidRPr="00ED3571" w:rsidRDefault="00ED3571" w:rsidP="00ED3571">
            <w:pPr>
              <w:jc w:val="right"/>
              <w:rPr>
                <w:rFonts w:cs="Arial"/>
                <w:color w:val="FF0000"/>
                <w:sz w:val="20"/>
                <w:szCs w:val="20"/>
              </w:rPr>
            </w:pPr>
            <w:r w:rsidRPr="00ED3571">
              <w:rPr>
                <w:rFonts w:cs="Arial"/>
                <w:color w:val="FF0000"/>
                <w:sz w:val="20"/>
                <w:szCs w:val="20"/>
              </w:rPr>
              <w:t>(58.280.313)</w:t>
            </w:r>
          </w:p>
        </w:tc>
        <w:tc>
          <w:tcPr>
            <w:tcW w:w="1667" w:type="pct"/>
            <w:tcBorders>
              <w:top w:val="nil"/>
              <w:left w:val="single" w:sz="4" w:space="0" w:color="auto"/>
            </w:tcBorders>
            <w:vAlign w:val="center"/>
          </w:tcPr>
          <w:p w14:paraId="31DDF72F" w14:textId="0A188141" w:rsidR="00ED3571" w:rsidRPr="00ED3571" w:rsidRDefault="00ED3571" w:rsidP="00ED3571">
            <w:pPr>
              <w:jc w:val="right"/>
              <w:rPr>
                <w:rFonts w:cs="Arial"/>
                <w:color w:val="FF0000"/>
                <w:sz w:val="20"/>
                <w:szCs w:val="20"/>
              </w:rPr>
            </w:pPr>
            <w:r w:rsidRPr="00ED3571">
              <w:rPr>
                <w:rFonts w:cs="Arial"/>
                <w:color w:val="FF0000"/>
                <w:sz w:val="20"/>
                <w:szCs w:val="20"/>
              </w:rPr>
              <w:t>-36,47</w:t>
            </w:r>
          </w:p>
        </w:tc>
      </w:tr>
      <w:tr w:rsidR="00ED3571" w:rsidRPr="00ED3571" w14:paraId="7C0AFCDC" w14:textId="2B60A0BD" w:rsidTr="00B06C61">
        <w:trPr>
          <w:trHeight w:val="340"/>
        </w:trPr>
        <w:tc>
          <w:tcPr>
            <w:tcW w:w="1666" w:type="pct"/>
            <w:tcBorders>
              <w:top w:val="nil"/>
              <w:left w:val="nil"/>
              <w:bottom w:val="single" w:sz="4" w:space="0" w:color="auto"/>
              <w:right w:val="single" w:sz="4" w:space="0" w:color="auto"/>
            </w:tcBorders>
            <w:shd w:val="clear" w:color="auto" w:fill="auto"/>
            <w:noWrap/>
            <w:vAlign w:val="center"/>
            <w:hideMark/>
          </w:tcPr>
          <w:p w14:paraId="24551E3F" w14:textId="7BFD6AC8" w:rsidR="00ED3571" w:rsidRPr="00ED3571" w:rsidRDefault="00ED3571" w:rsidP="00ED3571">
            <w:pPr>
              <w:ind w:left="73"/>
              <w:jc w:val="center"/>
              <w:rPr>
                <w:rFonts w:cs="Arial"/>
                <w:sz w:val="20"/>
                <w:szCs w:val="20"/>
              </w:rPr>
            </w:pPr>
            <w:r w:rsidRPr="00ED3571">
              <w:rPr>
                <w:rFonts w:cs="Arial"/>
                <w:color w:val="000000"/>
                <w:sz w:val="20"/>
                <w:szCs w:val="20"/>
              </w:rPr>
              <w:t>2023</w:t>
            </w:r>
          </w:p>
        </w:tc>
        <w:tc>
          <w:tcPr>
            <w:tcW w:w="1667" w:type="pct"/>
            <w:tcBorders>
              <w:top w:val="nil"/>
              <w:left w:val="single" w:sz="4" w:space="0" w:color="auto"/>
              <w:bottom w:val="single" w:sz="4" w:space="0" w:color="auto"/>
              <w:right w:val="single" w:sz="4" w:space="0" w:color="auto"/>
            </w:tcBorders>
            <w:shd w:val="clear" w:color="auto" w:fill="auto"/>
            <w:vAlign w:val="center"/>
            <w:hideMark/>
          </w:tcPr>
          <w:p w14:paraId="70760E2E" w14:textId="3042595A" w:rsidR="00ED3571" w:rsidRPr="00ED3571" w:rsidRDefault="00ED3571" w:rsidP="00ED3571">
            <w:pPr>
              <w:jc w:val="right"/>
              <w:rPr>
                <w:rFonts w:cs="Arial"/>
                <w:color w:val="FF0000"/>
                <w:sz w:val="20"/>
                <w:szCs w:val="20"/>
              </w:rPr>
            </w:pPr>
            <w:r w:rsidRPr="00ED3571">
              <w:rPr>
                <w:rFonts w:cs="Arial"/>
                <w:color w:val="FF0000"/>
                <w:sz w:val="20"/>
                <w:szCs w:val="20"/>
              </w:rPr>
              <w:t>(56.573.831)</w:t>
            </w:r>
          </w:p>
        </w:tc>
        <w:tc>
          <w:tcPr>
            <w:tcW w:w="1667" w:type="pct"/>
            <w:tcBorders>
              <w:top w:val="nil"/>
              <w:left w:val="single" w:sz="4" w:space="0" w:color="auto"/>
              <w:bottom w:val="single" w:sz="4" w:space="0" w:color="auto"/>
            </w:tcBorders>
            <w:vAlign w:val="center"/>
          </w:tcPr>
          <w:p w14:paraId="35034442" w14:textId="6923597A" w:rsidR="00ED3571" w:rsidRPr="00ED3571" w:rsidRDefault="00ED3571" w:rsidP="00ED3571">
            <w:pPr>
              <w:jc w:val="right"/>
              <w:rPr>
                <w:rFonts w:cs="Arial"/>
                <w:color w:val="FF0000"/>
                <w:sz w:val="20"/>
                <w:szCs w:val="20"/>
              </w:rPr>
            </w:pPr>
            <w:r w:rsidRPr="00ED3571">
              <w:rPr>
                <w:rFonts w:cs="Arial"/>
                <w:color w:val="FF0000"/>
                <w:sz w:val="20"/>
                <w:szCs w:val="20"/>
              </w:rPr>
              <w:t>-2,93</w:t>
            </w:r>
          </w:p>
        </w:tc>
      </w:tr>
    </w:tbl>
    <w:p w14:paraId="290F948E" w14:textId="6DC75CFA" w:rsidR="00D30A43" w:rsidRDefault="00D30A43" w:rsidP="00D30A43">
      <w:pPr>
        <w:pStyle w:val="1-FONTE8ESQ"/>
      </w:pPr>
      <w:r w:rsidRPr="00EC7AD7">
        <w:rPr>
          <w:lang w:eastAsia="en-US"/>
        </w:rPr>
        <w:t xml:space="preserve">Fonte: </w:t>
      </w:r>
      <w:r w:rsidRPr="00040508">
        <w:rPr>
          <w:lang w:eastAsia="en-US"/>
        </w:rPr>
        <w:t>Business Objects</w:t>
      </w:r>
    </w:p>
    <w:p w14:paraId="398FB058" w14:textId="77777777" w:rsidR="0025610F" w:rsidRDefault="0025610F" w:rsidP="00C45CAE">
      <w:pPr>
        <w:pStyle w:val="0-GRFICO"/>
      </w:pPr>
      <w:bookmarkStart w:id="209" w:name="_Toc106810428"/>
      <w:bookmarkStart w:id="210" w:name="_Toc167825109"/>
      <w:r>
        <w:lastRenderedPageBreak/>
        <w:t>Resultado de Depósitos e Consignações (Ativo - Passivo)</w:t>
      </w:r>
      <w:bookmarkEnd w:id="209"/>
      <w:bookmarkEnd w:id="210"/>
    </w:p>
    <w:p w14:paraId="586CF2B0" w14:textId="1032D568" w:rsidR="0025610F" w:rsidRDefault="0025610F" w:rsidP="0025610F">
      <w:pPr>
        <w:pStyle w:val="1-REL11"/>
        <w:spacing w:after="0"/>
        <w:jc w:val="center"/>
      </w:pPr>
      <w:r>
        <w:rPr>
          <w:noProof/>
        </w:rPr>
        <w:drawing>
          <wp:inline distT="0" distB="0" distL="0" distR="0" wp14:anchorId="0B3BFE9F" wp14:editId="061C2301">
            <wp:extent cx="6087110" cy="2594344"/>
            <wp:effectExtent l="0" t="0" r="161290" b="149225"/>
            <wp:docPr id="5" name="Gráfico 5">
              <a:extLst xmlns:a="http://schemas.openxmlformats.org/drawingml/2006/main">
                <a:ext uri="{FF2B5EF4-FFF2-40B4-BE49-F238E27FC236}">
                  <a16:creationId xmlns:a16="http://schemas.microsoft.com/office/drawing/2014/main" id="{91B00AB2-BFB3-407A-961D-072C2F48C80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1F965D79" w14:textId="29067D9C" w:rsidR="001368B8" w:rsidRDefault="001368B8" w:rsidP="00EF01A1">
      <w:pPr>
        <w:pStyle w:val="1-FNT-GRAFICO"/>
        <w:rPr>
          <w:lang w:eastAsia="en-US"/>
        </w:rPr>
      </w:pPr>
      <w:r w:rsidRPr="00EC7AD7">
        <w:rPr>
          <w:lang w:eastAsia="en-US"/>
        </w:rPr>
        <w:t xml:space="preserve">Fonte: </w:t>
      </w:r>
      <w:r w:rsidRPr="00B06C61">
        <w:rPr>
          <w:i/>
          <w:lang w:eastAsia="en-US"/>
        </w:rPr>
        <w:t>Business Objects</w:t>
      </w:r>
    </w:p>
    <w:p w14:paraId="382237CA" w14:textId="77777777" w:rsidR="0025610F" w:rsidRDefault="0025610F" w:rsidP="00B000B6">
      <w:pPr>
        <w:pStyle w:val="Ttulo3"/>
        <w:numPr>
          <w:ilvl w:val="2"/>
          <w:numId w:val="37"/>
        </w:numPr>
      </w:pPr>
      <w:bookmarkStart w:id="211" w:name="_Toc167871682"/>
      <w:r>
        <w:t>Disponibilidade de Caixa e Restos a Pagar</w:t>
      </w:r>
      <w:bookmarkEnd w:id="211"/>
    </w:p>
    <w:p w14:paraId="13C31162" w14:textId="77777777" w:rsidR="0025610F" w:rsidRDefault="0025610F" w:rsidP="0025610F">
      <w:pPr>
        <w:pStyle w:val="1-REL11"/>
      </w:pPr>
      <w:r>
        <w:t>O Demonstrativo da Disponibilidade de Caixa e dos Restos a Pagar (Anexo 5 do Relatório de Gestão Fiscal), visa dar transparência ao montante financeiro disponível para fins da inscrição em RP, indicando se o ente possui liquidez para arcar com seus compromissos.</w:t>
      </w:r>
    </w:p>
    <w:p w14:paraId="3D7E9DA4" w14:textId="77777777" w:rsidR="0025610F" w:rsidRDefault="0025610F" w:rsidP="0025610F">
      <w:pPr>
        <w:pStyle w:val="1-REL11"/>
      </w:pPr>
      <w:r>
        <w:t>A forma de evidenciar o demonstrativo em pauta é por meio da segregação das diversas fontes de recursos, o que impede que eventual sobra de recursos em fontes de convênios ou fundos, por exemplo, seja utilizada para cobertura de RP de finalidade diversa.</w:t>
      </w:r>
    </w:p>
    <w:p w14:paraId="3D726988" w14:textId="77777777" w:rsidR="0025610F" w:rsidRDefault="0025610F" w:rsidP="0025610F">
      <w:pPr>
        <w:pStyle w:val="1-REL11"/>
      </w:pPr>
      <w:r>
        <w:t>Quanto à publicação do Demonstrativo da Disponibilidade de Caixa e dos Restos a Pagar de forma consolidada, esta foi realizada pelo Poder Executivo em atendimento ao disposto ao item 04.05.00 do MDF, 13ª edição.</w:t>
      </w:r>
    </w:p>
    <w:p w14:paraId="69474EC9" w14:textId="77777777" w:rsidR="0025610F" w:rsidRDefault="0025610F" w:rsidP="0025610F">
      <w:pPr>
        <w:pStyle w:val="1-REL11"/>
      </w:pPr>
      <w:r>
        <w:t>Segundo o MDF, além de constar a disponibilidade de caixa e RP, também devem ser consideradas as demais obrigações, despesas que não tenham passado pela execução orçamentária na apuração da Disponibilidade de Caixa Bruta.</w:t>
      </w:r>
    </w:p>
    <w:p w14:paraId="6FA660B0" w14:textId="041E48EF" w:rsidR="0025610F" w:rsidRDefault="0025610F" w:rsidP="00B7099A">
      <w:pPr>
        <w:pStyle w:val="1-REL11"/>
        <w:widowControl w:val="0"/>
      </w:pPr>
      <w:r>
        <w:t>Desta forma, as demais obrigações financeiras contemplam as Obrigações por Competência, R$ 124,45</w:t>
      </w:r>
      <w:r w:rsidR="00BE7998">
        <w:t> </w:t>
      </w:r>
      <w:r w:rsidR="00755658">
        <w:t>milhões</w:t>
      </w:r>
      <w:r>
        <w:t xml:space="preserve"> e Outras Obrigações (Depósitos Restituíveis e Valores Vinculados, sem respectivo valor no Ativo) no valor de R$</w:t>
      </w:r>
      <w:r w:rsidR="00E949C4">
        <w:t> </w:t>
      </w:r>
      <w:r>
        <w:t>1,74</w:t>
      </w:r>
      <w:r w:rsidR="00BE7998">
        <w:t> </w:t>
      </w:r>
      <w:r>
        <w:t>bilhão, totalizando R$</w:t>
      </w:r>
      <w:r w:rsidR="00E949C4">
        <w:t> </w:t>
      </w:r>
      <w:r>
        <w:t>1,86</w:t>
      </w:r>
      <w:r w:rsidR="00BE7998">
        <w:t> </w:t>
      </w:r>
      <w:r>
        <w:t>bilhão.</w:t>
      </w:r>
    </w:p>
    <w:p w14:paraId="5CD840D0" w14:textId="3CB2C637" w:rsidR="0025610F" w:rsidRDefault="0025610F" w:rsidP="00B7099A">
      <w:pPr>
        <w:pStyle w:val="1-REL11"/>
        <w:widowControl w:val="0"/>
      </w:pPr>
      <w:r>
        <w:t>A partir do exercício de 2022, conforme Instrução Normativa nº</w:t>
      </w:r>
      <w:r w:rsidR="00E949C4">
        <w:t> </w:t>
      </w:r>
      <w:r>
        <w:t xml:space="preserve">1513/2022 - ECONOMIA, foi instituído o novo ementário da Fonte ou Destinação de Recursos (FR), assim, as FRs passaram </w:t>
      </w:r>
      <w:r>
        <w:lastRenderedPageBreak/>
        <w:t>a ser estruturadas em três níveis de classificação contendo 8 dígitos (E.PPP.DDDD), onde:</w:t>
      </w:r>
    </w:p>
    <w:p w14:paraId="6F3B5595" w14:textId="77777777" w:rsidR="0025610F" w:rsidRDefault="0025610F" w:rsidP="0025610F">
      <w:pPr>
        <w:pStyle w:val="1-REL11"/>
      </w:pPr>
      <w:r>
        <w:t>I. 1º dígito (E) identifica o exercício da arrecadação do recurso;</w:t>
      </w:r>
    </w:p>
    <w:p w14:paraId="524F3628" w14:textId="77777777" w:rsidR="0025610F" w:rsidRDefault="0025610F" w:rsidP="0025610F">
      <w:pPr>
        <w:pStyle w:val="1-REL11"/>
      </w:pPr>
      <w:r>
        <w:t>II. 2º ao 4º dígito (PPP) identificam o código principal da FR padronizada para a Federação; e</w:t>
      </w:r>
    </w:p>
    <w:p w14:paraId="43DD6E47" w14:textId="77777777" w:rsidR="0025610F" w:rsidRDefault="0025610F" w:rsidP="0025610F">
      <w:pPr>
        <w:pStyle w:val="1-REL11"/>
      </w:pPr>
      <w:r>
        <w:t>III. 5º ao 8º digito (DDDD) identificam o detalhamento da FR utilizada para a especificação das fontes principais em atendimento à legislação estadual.</w:t>
      </w:r>
    </w:p>
    <w:p w14:paraId="20DC7A27" w14:textId="77777777" w:rsidR="0025610F" w:rsidRDefault="0025610F" w:rsidP="0025610F">
      <w:pPr>
        <w:pStyle w:val="1-REL11"/>
      </w:pPr>
      <w:r>
        <w:t>Para fins de análise, as FRs foram agrupadas pelo seu código principal (PPP), conforme próxima tabela:</w:t>
      </w:r>
    </w:p>
    <w:p w14:paraId="4546F446" w14:textId="77777777" w:rsidR="0025610F" w:rsidRDefault="0025610F" w:rsidP="00ED3571">
      <w:pPr>
        <w:pStyle w:val="0-TABELA"/>
      </w:pPr>
      <w:bookmarkStart w:id="212" w:name="_Toc105601624"/>
      <w:bookmarkStart w:id="213" w:name="_Toc167871774"/>
      <w:r>
        <w:t>Disponibilidade de Caixa e RP por Código Principal da Fonte</w:t>
      </w:r>
      <w:bookmarkEnd w:id="212"/>
      <w:bookmarkEnd w:id="213"/>
    </w:p>
    <w:p w14:paraId="4E15ED8E" w14:textId="77777777" w:rsidR="0025610F" w:rsidRDefault="0025610F" w:rsidP="0025610F">
      <w:pPr>
        <w:pStyle w:val="1-REL11"/>
        <w:spacing w:after="0"/>
        <w:jc w:val="right"/>
        <w:rPr>
          <w:sz w:val="16"/>
          <w:szCs w:val="16"/>
          <w:lang w:eastAsia="en-US"/>
        </w:rPr>
      </w:pPr>
      <w:r>
        <w:rPr>
          <w:sz w:val="16"/>
          <w:szCs w:val="16"/>
          <w:lang w:eastAsia="en-US"/>
        </w:rPr>
        <w:t>R$ mil</w:t>
      </w:r>
    </w:p>
    <w:tbl>
      <w:tblPr>
        <w:tblW w:w="5000" w:type="pct"/>
        <w:tblLayout w:type="fixed"/>
        <w:tblCellMar>
          <w:left w:w="70" w:type="dxa"/>
          <w:right w:w="70" w:type="dxa"/>
        </w:tblCellMar>
        <w:tblLook w:val="04A0" w:firstRow="1" w:lastRow="0" w:firstColumn="1" w:lastColumn="0" w:noHBand="0" w:noVBand="1"/>
      </w:tblPr>
      <w:tblGrid>
        <w:gridCol w:w="2028"/>
        <w:gridCol w:w="958"/>
        <w:gridCol w:w="849"/>
        <w:gridCol w:w="834"/>
        <w:gridCol w:w="864"/>
        <w:gridCol w:w="892"/>
        <w:gridCol w:w="947"/>
        <w:gridCol w:w="993"/>
        <w:gridCol w:w="988"/>
      </w:tblGrid>
      <w:tr w:rsidR="0025610F" w14:paraId="1505F070" w14:textId="77777777" w:rsidTr="00133FA6">
        <w:trPr>
          <w:trHeight w:val="340"/>
          <w:tblHeader/>
        </w:trPr>
        <w:tc>
          <w:tcPr>
            <w:tcW w:w="1084" w:type="pct"/>
            <w:vMerge w:val="restart"/>
            <w:tcBorders>
              <w:top w:val="single" w:sz="4" w:space="0" w:color="auto"/>
              <w:left w:val="nil"/>
              <w:bottom w:val="single" w:sz="4" w:space="0" w:color="000000"/>
              <w:right w:val="single" w:sz="4" w:space="0" w:color="auto"/>
            </w:tcBorders>
            <w:shd w:val="clear" w:color="auto" w:fill="A1F2FD"/>
            <w:vAlign w:val="center"/>
            <w:hideMark/>
          </w:tcPr>
          <w:p w14:paraId="3A474F68" w14:textId="77777777" w:rsidR="0025610F" w:rsidRDefault="0025610F">
            <w:pPr>
              <w:jc w:val="center"/>
              <w:rPr>
                <w:rFonts w:cs="Arial"/>
                <w:b/>
                <w:bCs/>
                <w:color w:val="000000"/>
                <w:sz w:val="16"/>
                <w:szCs w:val="16"/>
              </w:rPr>
            </w:pPr>
            <w:r>
              <w:rPr>
                <w:rFonts w:cs="Arial"/>
                <w:b/>
                <w:bCs/>
                <w:color w:val="000000"/>
                <w:sz w:val="16"/>
                <w:szCs w:val="16"/>
              </w:rPr>
              <w:t xml:space="preserve">Código Principal da Fonte (PPP) </w:t>
            </w:r>
          </w:p>
        </w:tc>
        <w:tc>
          <w:tcPr>
            <w:tcW w:w="512" w:type="pct"/>
            <w:vMerge w:val="restart"/>
            <w:tcBorders>
              <w:top w:val="single" w:sz="4" w:space="0" w:color="auto"/>
              <w:left w:val="single" w:sz="4" w:space="0" w:color="auto"/>
              <w:bottom w:val="nil"/>
              <w:right w:val="single" w:sz="4" w:space="0" w:color="auto"/>
            </w:tcBorders>
            <w:shd w:val="clear" w:color="auto" w:fill="A1F2FD"/>
            <w:vAlign w:val="center"/>
            <w:hideMark/>
          </w:tcPr>
          <w:p w14:paraId="5CBE150F" w14:textId="77777777" w:rsidR="0025610F" w:rsidRDefault="0025610F">
            <w:pPr>
              <w:jc w:val="center"/>
              <w:rPr>
                <w:rFonts w:cs="Arial"/>
                <w:b/>
                <w:bCs/>
                <w:color w:val="000000"/>
                <w:sz w:val="16"/>
                <w:szCs w:val="16"/>
              </w:rPr>
            </w:pPr>
            <w:r>
              <w:rPr>
                <w:rFonts w:cs="Arial"/>
                <w:b/>
                <w:bCs/>
                <w:color w:val="000000"/>
                <w:sz w:val="16"/>
                <w:szCs w:val="16"/>
              </w:rPr>
              <w:t>Disponibilidade Bruta de Caixa</w:t>
            </w:r>
          </w:p>
        </w:tc>
        <w:tc>
          <w:tcPr>
            <w:tcW w:w="1838" w:type="pct"/>
            <w:gridSpan w:val="4"/>
            <w:tcBorders>
              <w:top w:val="single" w:sz="4" w:space="0" w:color="auto"/>
              <w:left w:val="nil"/>
              <w:bottom w:val="nil"/>
              <w:right w:val="nil"/>
            </w:tcBorders>
            <w:shd w:val="clear" w:color="auto" w:fill="A1F2FD"/>
            <w:vAlign w:val="center"/>
            <w:hideMark/>
          </w:tcPr>
          <w:p w14:paraId="033AB6D8" w14:textId="77777777" w:rsidR="0025610F" w:rsidRDefault="0025610F">
            <w:pPr>
              <w:jc w:val="center"/>
              <w:rPr>
                <w:rFonts w:cs="Arial"/>
                <w:b/>
                <w:bCs/>
                <w:color w:val="000000"/>
                <w:sz w:val="16"/>
                <w:szCs w:val="16"/>
              </w:rPr>
            </w:pPr>
            <w:r>
              <w:rPr>
                <w:rFonts w:cs="Arial"/>
                <w:b/>
                <w:bCs/>
                <w:color w:val="000000"/>
                <w:sz w:val="16"/>
                <w:szCs w:val="16"/>
              </w:rPr>
              <w:t>Obrigações Financeiras</w:t>
            </w:r>
          </w:p>
        </w:tc>
        <w:tc>
          <w:tcPr>
            <w:tcW w:w="506" w:type="pct"/>
            <w:vMerge w:val="restart"/>
            <w:tcBorders>
              <w:top w:val="single" w:sz="4" w:space="0" w:color="auto"/>
              <w:left w:val="single" w:sz="4" w:space="0" w:color="auto"/>
              <w:bottom w:val="nil"/>
              <w:right w:val="single" w:sz="4" w:space="0" w:color="auto"/>
            </w:tcBorders>
            <w:shd w:val="clear" w:color="auto" w:fill="A1F2FD"/>
            <w:vAlign w:val="center"/>
            <w:hideMark/>
          </w:tcPr>
          <w:p w14:paraId="7E854080" w14:textId="77777777" w:rsidR="0025610F" w:rsidRDefault="0025610F">
            <w:pPr>
              <w:jc w:val="center"/>
              <w:rPr>
                <w:rFonts w:cs="Arial"/>
                <w:b/>
                <w:bCs/>
                <w:color w:val="000000"/>
                <w:sz w:val="16"/>
                <w:szCs w:val="16"/>
              </w:rPr>
            </w:pPr>
            <w:r>
              <w:rPr>
                <w:rFonts w:cs="Arial"/>
                <w:b/>
                <w:bCs/>
                <w:color w:val="000000"/>
                <w:sz w:val="16"/>
                <w:szCs w:val="16"/>
              </w:rPr>
              <w:t>Disponibilidade de Caixa Líquida (antes da Inscrição de RPNP de 2023)</w:t>
            </w:r>
          </w:p>
        </w:tc>
        <w:tc>
          <w:tcPr>
            <w:tcW w:w="531" w:type="pct"/>
            <w:vMerge w:val="restart"/>
            <w:tcBorders>
              <w:top w:val="single" w:sz="4" w:space="0" w:color="auto"/>
              <w:left w:val="single" w:sz="4" w:space="0" w:color="auto"/>
              <w:bottom w:val="nil"/>
              <w:right w:val="single" w:sz="4" w:space="0" w:color="auto"/>
            </w:tcBorders>
            <w:shd w:val="clear" w:color="auto" w:fill="A1F2FD"/>
            <w:vAlign w:val="center"/>
            <w:hideMark/>
          </w:tcPr>
          <w:p w14:paraId="59086C02" w14:textId="77777777" w:rsidR="0025610F" w:rsidRDefault="0025610F">
            <w:pPr>
              <w:jc w:val="center"/>
              <w:rPr>
                <w:rFonts w:cs="Arial"/>
                <w:b/>
                <w:bCs/>
                <w:color w:val="000000"/>
                <w:sz w:val="16"/>
                <w:szCs w:val="16"/>
              </w:rPr>
            </w:pPr>
            <w:r>
              <w:rPr>
                <w:rFonts w:cs="Arial"/>
                <w:b/>
                <w:bCs/>
                <w:color w:val="000000"/>
                <w:sz w:val="16"/>
                <w:szCs w:val="16"/>
              </w:rPr>
              <w:t>RPNP de 2023</w:t>
            </w:r>
          </w:p>
        </w:tc>
        <w:tc>
          <w:tcPr>
            <w:tcW w:w="528" w:type="pct"/>
            <w:vMerge w:val="restart"/>
            <w:tcBorders>
              <w:top w:val="single" w:sz="4" w:space="0" w:color="auto"/>
              <w:left w:val="single" w:sz="4" w:space="0" w:color="auto"/>
              <w:bottom w:val="nil"/>
              <w:right w:val="nil"/>
            </w:tcBorders>
            <w:shd w:val="clear" w:color="auto" w:fill="A1F2FD"/>
            <w:vAlign w:val="center"/>
            <w:hideMark/>
          </w:tcPr>
          <w:p w14:paraId="33245CB9" w14:textId="77777777" w:rsidR="0025610F" w:rsidRDefault="0025610F">
            <w:pPr>
              <w:jc w:val="center"/>
              <w:rPr>
                <w:rFonts w:cs="Arial"/>
                <w:b/>
                <w:bCs/>
                <w:color w:val="000000"/>
                <w:sz w:val="16"/>
                <w:szCs w:val="16"/>
              </w:rPr>
            </w:pPr>
            <w:r>
              <w:rPr>
                <w:rFonts w:cs="Arial"/>
                <w:b/>
                <w:bCs/>
                <w:color w:val="000000"/>
                <w:sz w:val="16"/>
                <w:szCs w:val="16"/>
              </w:rPr>
              <w:t>Disponibilidade de Caixa Líquida</w:t>
            </w:r>
          </w:p>
        </w:tc>
      </w:tr>
      <w:tr w:rsidR="0025610F" w14:paraId="781F109C" w14:textId="77777777" w:rsidTr="00133FA6">
        <w:trPr>
          <w:trHeight w:val="340"/>
        </w:trPr>
        <w:tc>
          <w:tcPr>
            <w:tcW w:w="1438" w:type="dxa"/>
            <w:vMerge/>
            <w:tcBorders>
              <w:top w:val="single" w:sz="4" w:space="0" w:color="auto"/>
              <w:left w:val="nil"/>
              <w:bottom w:val="single" w:sz="4" w:space="0" w:color="000000"/>
              <w:right w:val="single" w:sz="4" w:space="0" w:color="auto"/>
            </w:tcBorders>
            <w:vAlign w:val="center"/>
            <w:hideMark/>
          </w:tcPr>
          <w:p w14:paraId="1FE5BA41" w14:textId="77777777" w:rsidR="0025610F" w:rsidRDefault="0025610F">
            <w:pPr>
              <w:jc w:val="left"/>
              <w:rPr>
                <w:rFonts w:cs="Arial"/>
                <w:b/>
                <w:bCs/>
                <w:color w:val="000000"/>
                <w:sz w:val="16"/>
                <w:szCs w:val="16"/>
              </w:rPr>
            </w:pPr>
          </w:p>
        </w:tc>
        <w:tc>
          <w:tcPr>
            <w:tcW w:w="1254" w:type="dxa"/>
            <w:vMerge/>
            <w:tcBorders>
              <w:top w:val="single" w:sz="4" w:space="0" w:color="auto"/>
              <w:left w:val="single" w:sz="4" w:space="0" w:color="auto"/>
              <w:bottom w:val="nil"/>
              <w:right w:val="single" w:sz="4" w:space="0" w:color="auto"/>
            </w:tcBorders>
            <w:vAlign w:val="center"/>
            <w:hideMark/>
          </w:tcPr>
          <w:p w14:paraId="4B27009E" w14:textId="77777777" w:rsidR="0025610F" w:rsidRDefault="0025610F">
            <w:pPr>
              <w:jc w:val="left"/>
              <w:rPr>
                <w:rFonts w:cs="Arial"/>
                <w:b/>
                <w:bCs/>
                <w:color w:val="000000"/>
                <w:sz w:val="16"/>
                <w:szCs w:val="16"/>
              </w:rPr>
            </w:pPr>
          </w:p>
        </w:tc>
        <w:tc>
          <w:tcPr>
            <w:tcW w:w="454" w:type="pct"/>
            <w:vMerge w:val="restart"/>
            <w:tcBorders>
              <w:top w:val="single" w:sz="4" w:space="0" w:color="auto"/>
              <w:left w:val="single" w:sz="4" w:space="0" w:color="auto"/>
              <w:bottom w:val="nil"/>
              <w:right w:val="single" w:sz="4" w:space="0" w:color="auto"/>
            </w:tcBorders>
            <w:shd w:val="clear" w:color="auto" w:fill="A1F2FD"/>
            <w:vAlign w:val="center"/>
            <w:hideMark/>
          </w:tcPr>
          <w:p w14:paraId="324F7F4C" w14:textId="77777777" w:rsidR="0025610F" w:rsidRDefault="0025610F">
            <w:pPr>
              <w:jc w:val="center"/>
              <w:rPr>
                <w:rFonts w:cs="Arial"/>
                <w:b/>
                <w:bCs/>
                <w:color w:val="000000"/>
                <w:sz w:val="16"/>
                <w:szCs w:val="16"/>
              </w:rPr>
            </w:pPr>
            <w:r>
              <w:rPr>
                <w:rFonts w:cs="Arial"/>
                <w:b/>
                <w:bCs/>
                <w:color w:val="000000"/>
                <w:sz w:val="16"/>
                <w:szCs w:val="16"/>
              </w:rPr>
              <w:t>RPP</w:t>
            </w:r>
          </w:p>
        </w:tc>
        <w:tc>
          <w:tcPr>
            <w:tcW w:w="446" w:type="pct"/>
            <w:vMerge w:val="restart"/>
            <w:tcBorders>
              <w:top w:val="single" w:sz="4" w:space="0" w:color="auto"/>
              <w:left w:val="single" w:sz="4" w:space="0" w:color="auto"/>
              <w:bottom w:val="nil"/>
              <w:right w:val="single" w:sz="4" w:space="0" w:color="auto"/>
            </w:tcBorders>
            <w:shd w:val="clear" w:color="auto" w:fill="A1F2FD"/>
            <w:vAlign w:val="center"/>
            <w:hideMark/>
          </w:tcPr>
          <w:p w14:paraId="2ED34E8B" w14:textId="77777777" w:rsidR="0025610F" w:rsidRDefault="0025610F" w:rsidP="00E55412">
            <w:pPr>
              <w:ind w:left="-72" w:right="-79" w:hanging="39"/>
              <w:jc w:val="center"/>
              <w:rPr>
                <w:rFonts w:cs="Arial"/>
                <w:b/>
                <w:bCs/>
                <w:color w:val="000000"/>
                <w:sz w:val="16"/>
                <w:szCs w:val="16"/>
              </w:rPr>
            </w:pPr>
            <w:r>
              <w:rPr>
                <w:rFonts w:cs="Arial"/>
                <w:b/>
                <w:bCs/>
                <w:color w:val="000000"/>
                <w:sz w:val="16"/>
                <w:szCs w:val="16"/>
              </w:rPr>
              <w:t>RPNP Exercícios anteriores a 2023</w:t>
            </w:r>
          </w:p>
        </w:tc>
        <w:tc>
          <w:tcPr>
            <w:tcW w:w="939" w:type="pct"/>
            <w:gridSpan w:val="2"/>
            <w:tcBorders>
              <w:top w:val="single" w:sz="4" w:space="0" w:color="auto"/>
              <w:left w:val="nil"/>
              <w:bottom w:val="single" w:sz="4" w:space="0" w:color="auto"/>
              <w:right w:val="nil"/>
            </w:tcBorders>
            <w:shd w:val="clear" w:color="auto" w:fill="A1F2FD"/>
            <w:vAlign w:val="center"/>
            <w:hideMark/>
          </w:tcPr>
          <w:p w14:paraId="7B78EC5B" w14:textId="77777777" w:rsidR="0025610F" w:rsidRDefault="0025610F">
            <w:pPr>
              <w:jc w:val="center"/>
              <w:rPr>
                <w:rFonts w:cs="Arial"/>
                <w:b/>
                <w:bCs/>
                <w:color w:val="000000"/>
                <w:sz w:val="16"/>
                <w:szCs w:val="16"/>
              </w:rPr>
            </w:pPr>
            <w:r>
              <w:rPr>
                <w:rFonts w:cs="Arial"/>
                <w:b/>
                <w:bCs/>
                <w:color w:val="000000"/>
                <w:sz w:val="16"/>
                <w:szCs w:val="16"/>
              </w:rPr>
              <w:t>Demais Obrigações Financeiras</w:t>
            </w:r>
          </w:p>
        </w:tc>
        <w:tc>
          <w:tcPr>
            <w:tcW w:w="1254" w:type="dxa"/>
            <w:vMerge/>
            <w:tcBorders>
              <w:top w:val="single" w:sz="4" w:space="0" w:color="auto"/>
              <w:left w:val="single" w:sz="4" w:space="0" w:color="auto"/>
              <w:bottom w:val="nil"/>
              <w:right w:val="single" w:sz="4" w:space="0" w:color="auto"/>
            </w:tcBorders>
            <w:vAlign w:val="center"/>
            <w:hideMark/>
          </w:tcPr>
          <w:p w14:paraId="6910524C" w14:textId="77777777" w:rsidR="0025610F" w:rsidRDefault="0025610F">
            <w:pPr>
              <w:jc w:val="left"/>
              <w:rPr>
                <w:rFonts w:cs="Arial"/>
                <w:b/>
                <w:bCs/>
                <w:color w:val="000000"/>
                <w:sz w:val="16"/>
                <w:szCs w:val="16"/>
              </w:rPr>
            </w:pPr>
          </w:p>
        </w:tc>
        <w:tc>
          <w:tcPr>
            <w:tcW w:w="805" w:type="dxa"/>
            <w:vMerge/>
            <w:tcBorders>
              <w:top w:val="single" w:sz="4" w:space="0" w:color="auto"/>
              <w:left w:val="single" w:sz="4" w:space="0" w:color="auto"/>
              <w:bottom w:val="nil"/>
              <w:right w:val="single" w:sz="4" w:space="0" w:color="auto"/>
            </w:tcBorders>
            <w:vAlign w:val="center"/>
            <w:hideMark/>
          </w:tcPr>
          <w:p w14:paraId="32321589" w14:textId="77777777" w:rsidR="0025610F" w:rsidRDefault="0025610F">
            <w:pPr>
              <w:jc w:val="left"/>
              <w:rPr>
                <w:rFonts w:cs="Arial"/>
                <w:b/>
                <w:bCs/>
                <w:color w:val="000000"/>
                <w:sz w:val="16"/>
                <w:szCs w:val="16"/>
              </w:rPr>
            </w:pPr>
          </w:p>
        </w:tc>
        <w:tc>
          <w:tcPr>
            <w:tcW w:w="1254" w:type="dxa"/>
            <w:vMerge/>
            <w:tcBorders>
              <w:top w:val="single" w:sz="4" w:space="0" w:color="auto"/>
              <w:left w:val="single" w:sz="4" w:space="0" w:color="auto"/>
              <w:bottom w:val="nil"/>
              <w:right w:val="nil"/>
            </w:tcBorders>
            <w:vAlign w:val="center"/>
            <w:hideMark/>
          </w:tcPr>
          <w:p w14:paraId="46710023" w14:textId="77777777" w:rsidR="0025610F" w:rsidRDefault="0025610F">
            <w:pPr>
              <w:jc w:val="left"/>
              <w:rPr>
                <w:rFonts w:cs="Arial"/>
                <w:b/>
                <w:bCs/>
                <w:color w:val="000000"/>
                <w:sz w:val="16"/>
                <w:szCs w:val="16"/>
              </w:rPr>
            </w:pPr>
          </w:p>
        </w:tc>
      </w:tr>
      <w:tr w:rsidR="0025610F" w14:paraId="7A32DF80" w14:textId="77777777" w:rsidTr="00B7099A">
        <w:trPr>
          <w:trHeight w:val="1256"/>
        </w:trPr>
        <w:tc>
          <w:tcPr>
            <w:tcW w:w="1438" w:type="dxa"/>
            <w:vMerge/>
            <w:tcBorders>
              <w:top w:val="single" w:sz="4" w:space="0" w:color="auto"/>
              <w:left w:val="nil"/>
              <w:bottom w:val="single" w:sz="4" w:space="0" w:color="000000"/>
              <w:right w:val="single" w:sz="4" w:space="0" w:color="auto"/>
            </w:tcBorders>
            <w:vAlign w:val="center"/>
            <w:hideMark/>
          </w:tcPr>
          <w:p w14:paraId="5ACD1EF7" w14:textId="77777777" w:rsidR="0025610F" w:rsidRDefault="0025610F">
            <w:pPr>
              <w:jc w:val="left"/>
              <w:rPr>
                <w:rFonts w:cs="Arial"/>
                <w:b/>
                <w:bCs/>
                <w:color w:val="000000"/>
                <w:sz w:val="16"/>
                <w:szCs w:val="16"/>
              </w:rPr>
            </w:pPr>
          </w:p>
        </w:tc>
        <w:tc>
          <w:tcPr>
            <w:tcW w:w="1254" w:type="dxa"/>
            <w:vMerge/>
            <w:tcBorders>
              <w:top w:val="single" w:sz="4" w:space="0" w:color="auto"/>
              <w:left w:val="single" w:sz="4" w:space="0" w:color="auto"/>
              <w:bottom w:val="nil"/>
              <w:right w:val="single" w:sz="4" w:space="0" w:color="auto"/>
            </w:tcBorders>
            <w:vAlign w:val="center"/>
            <w:hideMark/>
          </w:tcPr>
          <w:p w14:paraId="0A29D1F6" w14:textId="77777777" w:rsidR="0025610F" w:rsidRDefault="0025610F">
            <w:pPr>
              <w:jc w:val="left"/>
              <w:rPr>
                <w:rFonts w:cs="Arial"/>
                <w:b/>
                <w:bCs/>
                <w:color w:val="000000"/>
                <w:sz w:val="16"/>
                <w:szCs w:val="16"/>
              </w:rPr>
            </w:pPr>
          </w:p>
        </w:tc>
        <w:tc>
          <w:tcPr>
            <w:tcW w:w="748" w:type="dxa"/>
            <w:vMerge/>
            <w:tcBorders>
              <w:top w:val="single" w:sz="4" w:space="0" w:color="auto"/>
              <w:left w:val="single" w:sz="4" w:space="0" w:color="auto"/>
              <w:bottom w:val="nil"/>
              <w:right w:val="single" w:sz="4" w:space="0" w:color="auto"/>
            </w:tcBorders>
            <w:vAlign w:val="center"/>
            <w:hideMark/>
          </w:tcPr>
          <w:p w14:paraId="016870E2" w14:textId="77777777" w:rsidR="0025610F" w:rsidRDefault="0025610F">
            <w:pPr>
              <w:jc w:val="left"/>
              <w:rPr>
                <w:rFonts w:cs="Arial"/>
                <w:b/>
                <w:bCs/>
                <w:color w:val="000000"/>
                <w:sz w:val="16"/>
                <w:szCs w:val="16"/>
              </w:rPr>
            </w:pPr>
          </w:p>
        </w:tc>
        <w:tc>
          <w:tcPr>
            <w:tcW w:w="889" w:type="dxa"/>
            <w:vMerge/>
            <w:tcBorders>
              <w:top w:val="single" w:sz="4" w:space="0" w:color="auto"/>
              <w:left w:val="single" w:sz="4" w:space="0" w:color="auto"/>
              <w:bottom w:val="nil"/>
              <w:right w:val="single" w:sz="4" w:space="0" w:color="auto"/>
            </w:tcBorders>
            <w:vAlign w:val="center"/>
            <w:hideMark/>
          </w:tcPr>
          <w:p w14:paraId="1EBF4F84" w14:textId="77777777" w:rsidR="0025610F" w:rsidRDefault="0025610F">
            <w:pPr>
              <w:jc w:val="left"/>
              <w:rPr>
                <w:rFonts w:cs="Arial"/>
                <w:b/>
                <w:bCs/>
                <w:color w:val="000000"/>
                <w:sz w:val="16"/>
                <w:szCs w:val="16"/>
              </w:rPr>
            </w:pPr>
          </w:p>
        </w:tc>
        <w:tc>
          <w:tcPr>
            <w:tcW w:w="462" w:type="pct"/>
            <w:tcBorders>
              <w:top w:val="nil"/>
              <w:left w:val="nil"/>
              <w:bottom w:val="nil"/>
              <w:right w:val="single" w:sz="4" w:space="0" w:color="auto"/>
            </w:tcBorders>
            <w:shd w:val="clear" w:color="auto" w:fill="A1F2FD"/>
            <w:textDirection w:val="btLr"/>
            <w:vAlign w:val="center"/>
            <w:hideMark/>
          </w:tcPr>
          <w:p w14:paraId="2C5A4463" w14:textId="77777777" w:rsidR="0025610F" w:rsidRDefault="0025610F">
            <w:pPr>
              <w:jc w:val="center"/>
              <w:rPr>
                <w:rFonts w:cs="Arial"/>
                <w:b/>
                <w:bCs/>
                <w:color w:val="000000"/>
                <w:sz w:val="14"/>
                <w:szCs w:val="14"/>
              </w:rPr>
            </w:pPr>
            <w:r>
              <w:rPr>
                <w:rFonts w:cs="Arial"/>
                <w:b/>
                <w:bCs/>
                <w:color w:val="000000"/>
                <w:sz w:val="14"/>
                <w:szCs w:val="14"/>
              </w:rPr>
              <w:t>Obrigações por Competência</w:t>
            </w:r>
          </w:p>
        </w:tc>
        <w:tc>
          <w:tcPr>
            <w:tcW w:w="477" w:type="pct"/>
            <w:tcBorders>
              <w:top w:val="nil"/>
              <w:left w:val="nil"/>
              <w:bottom w:val="nil"/>
              <w:right w:val="single" w:sz="4" w:space="0" w:color="auto"/>
            </w:tcBorders>
            <w:shd w:val="clear" w:color="auto" w:fill="A1F2FD"/>
            <w:vAlign w:val="center"/>
            <w:hideMark/>
          </w:tcPr>
          <w:p w14:paraId="1DFE493F" w14:textId="77777777" w:rsidR="0025610F" w:rsidRDefault="0025610F" w:rsidP="00E55412">
            <w:pPr>
              <w:ind w:left="-69" w:right="-27"/>
              <w:jc w:val="center"/>
              <w:rPr>
                <w:rFonts w:cs="Arial"/>
                <w:b/>
                <w:bCs/>
                <w:color w:val="000000"/>
                <w:sz w:val="16"/>
                <w:szCs w:val="16"/>
              </w:rPr>
            </w:pPr>
            <w:r w:rsidRPr="00E55412">
              <w:rPr>
                <w:rFonts w:cs="Arial"/>
                <w:b/>
                <w:bCs/>
                <w:color w:val="000000"/>
                <w:sz w:val="15"/>
                <w:szCs w:val="15"/>
              </w:rPr>
              <w:t>Outras Obrigações</w:t>
            </w:r>
            <w:r>
              <w:rPr>
                <w:rFonts w:cs="Arial"/>
                <w:b/>
                <w:bCs/>
                <w:color w:val="000000"/>
                <w:sz w:val="16"/>
                <w:szCs w:val="16"/>
              </w:rPr>
              <w:t xml:space="preserve"> (</w:t>
            </w:r>
            <w:r>
              <w:rPr>
                <w:rFonts w:cs="Arial"/>
                <w:b/>
                <w:bCs/>
                <w:color w:val="000000"/>
                <w:sz w:val="14"/>
                <w:szCs w:val="14"/>
              </w:rPr>
              <w:t>Depósitos Restituíveis e Valores Vinculados</w:t>
            </w:r>
            <w:r>
              <w:rPr>
                <w:rFonts w:cs="Arial"/>
                <w:b/>
                <w:bCs/>
                <w:color w:val="000000"/>
                <w:sz w:val="16"/>
                <w:szCs w:val="16"/>
              </w:rPr>
              <w:t>)</w:t>
            </w:r>
          </w:p>
        </w:tc>
        <w:tc>
          <w:tcPr>
            <w:tcW w:w="1254" w:type="dxa"/>
            <w:vMerge/>
            <w:tcBorders>
              <w:top w:val="single" w:sz="4" w:space="0" w:color="auto"/>
              <w:left w:val="single" w:sz="4" w:space="0" w:color="auto"/>
              <w:bottom w:val="nil"/>
              <w:right w:val="single" w:sz="4" w:space="0" w:color="auto"/>
            </w:tcBorders>
            <w:vAlign w:val="center"/>
            <w:hideMark/>
          </w:tcPr>
          <w:p w14:paraId="3F4CA55B" w14:textId="77777777" w:rsidR="0025610F" w:rsidRDefault="0025610F">
            <w:pPr>
              <w:jc w:val="left"/>
              <w:rPr>
                <w:rFonts w:cs="Arial"/>
                <w:b/>
                <w:bCs/>
                <w:color w:val="000000"/>
                <w:sz w:val="16"/>
                <w:szCs w:val="16"/>
              </w:rPr>
            </w:pPr>
          </w:p>
        </w:tc>
        <w:tc>
          <w:tcPr>
            <w:tcW w:w="805" w:type="dxa"/>
            <w:vMerge/>
            <w:tcBorders>
              <w:top w:val="single" w:sz="4" w:space="0" w:color="auto"/>
              <w:left w:val="single" w:sz="4" w:space="0" w:color="auto"/>
              <w:bottom w:val="nil"/>
              <w:right w:val="single" w:sz="4" w:space="0" w:color="auto"/>
            </w:tcBorders>
            <w:vAlign w:val="center"/>
            <w:hideMark/>
          </w:tcPr>
          <w:p w14:paraId="7A705D5F" w14:textId="77777777" w:rsidR="0025610F" w:rsidRDefault="0025610F">
            <w:pPr>
              <w:jc w:val="left"/>
              <w:rPr>
                <w:rFonts w:cs="Arial"/>
                <w:b/>
                <w:bCs/>
                <w:color w:val="000000"/>
                <w:sz w:val="16"/>
                <w:szCs w:val="16"/>
              </w:rPr>
            </w:pPr>
          </w:p>
        </w:tc>
        <w:tc>
          <w:tcPr>
            <w:tcW w:w="1254" w:type="dxa"/>
            <w:vMerge/>
            <w:tcBorders>
              <w:top w:val="single" w:sz="4" w:space="0" w:color="auto"/>
              <w:left w:val="single" w:sz="4" w:space="0" w:color="auto"/>
              <w:bottom w:val="nil"/>
              <w:right w:val="nil"/>
            </w:tcBorders>
            <w:vAlign w:val="center"/>
            <w:hideMark/>
          </w:tcPr>
          <w:p w14:paraId="43BB0EC8" w14:textId="77777777" w:rsidR="0025610F" w:rsidRDefault="0025610F">
            <w:pPr>
              <w:jc w:val="left"/>
              <w:rPr>
                <w:rFonts w:cs="Arial"/>
                <w:b/>
                <w:bCs/>
                <w:color w:val="000000"/>
                <w:sz w:val="16"/>
                <w:szCs w:val="16"/>
              </w:rPr>
            </w:pPr>
          </w:p>
        </w:tc>
      </w:tr>
      <w:tr w:rsidR="0025610F" w14:paraId="734546C8" w14:textId="77777777" w:rsidTr="00133FA6">
        <w:trPr>
          <w:trHeight w:val="340"/>
        </w:trPr>
        <w:tc>
          <w:tcPr>
            <w:tcW w:w="1438" w:type="dxa"/>
            <w:vMerge/>
            <w:tcBorders>
              <w:top w:val="single" w:sz="4" w:space="0" w:color="auto"/>
              <w:left w:val="nil"/>
              <w:bottom w:val="single" w:sz="4" w:space="0" w:color="000000"/>
              <w:right w:val="single" w:sz="4" w:space="0" w:color="auto"/>
            </w:tcBorders>
            <w:vAlign w:val="center"/>
            <w:hideMark/>
          </w:tcPr>
          <w:p w14:paraId="0CB53155" w14:textId="77777777" w:rsidR="0025610F" w:rsidRDefault="0025610F">
            <w:pPr>
              <w:jc w:val="left"/>
              <w:rPr>
                <w:rFonts w:cs="Arial"/>
                <w:b/>
                <w:bCs/>
                <w:color w:val="000000"/>
                <w:sz w:val="16"/>
                <w:szCs w:val="16"/>
              </w:rPr>
            </w:pPr>
          </w:p>
        </w:tc>
        <w:tc>
          <w:tcPr>
            <w:tcW w:w="512" w:type="pct"/>
            <w:tcBorders>
              <w:top w:val="nil"/>
              <w:left w:val="nil"/>
              <w:bottom w:val="single" w:sz="4" w:space="0" w:color="auto"/>
              <w:right w:val="single" w:sz="4" w:space="0" w:color="auto"/>
            </w:tcBorders>
            <w:shd w:val="clear" w:color="auto" w:fill="A1F2FD"/>
            <w:vAlign w:val="center"/>
            <w:hideMark/>
          </w:tcPr>
          <w:p w14:paraId="1E3238DD" w14:textId="77777777" w:rsidR="0025610F" w:rsidRDefault="0025610F">
            <w:pPr>
              <w:jc w:val="center"/>
              <w:rPr>
                <w:rFonts w:cs="Arial"/>
                <w:b/>
                <w:bCs/>
                <w:color w:val="000000"/>
                <w:sz w:val="16"/>
                <w:szCs w:val="16"/>
              </w:rPr>
            </w:pPr>
            <w:r>
              <w:rPr>
                <w:rFonts w:cs="Arial"/>
                <w:b/>
                <w:bCs/>
                <w:color w:val="000000"/>
                <w:sz w:val="16"/>
                <w:szCs w:val="16"/>
              </w:rPr>
              <w:t>(a)</w:t>
            </w:r>
          </w:p>
        </w:tc>
        <w:tc>
          <w:tcPr>
            <w:tcW w:w="454" w:type="pct"/>
            <w:tcBorders>
              <w:top w:val="nil"/>
              <w:left w:val="nil"/>
              <w:bottom w:val="single" w:sz="4" w:space="0" w:color="auto"/>
              <w:right w:val="single" w:sz="4" w:space="0" w:color="auto"/>
            </w:tcBorders>
            <w:shd w:val="clear" w:color="auto" w:fill="A1F2FD"/>
            <w:vAlign w:val="center"/>
            <w:hideMark/>
          </w:tcPr>
          <w:p w14:paraId="07BC257E" w14:textId="77777777" w:rsidR="0025610F" w:rsidRDefault="0025610F">
            <w:pPr>
              <w:jc w:val="center"/>
              <w:rPr>
                <w:rFonts w:cs="Arial"/>
                <w:b/>
                <w:bCs/>
                <w:color w:val="000000"/>
                <w:sz w:val="16"/>
                <w:szCs w:val="16"/>
              </w:rPr>
            </w:pPr>
            <w:r>
              <w:rPr>
                <w:rFonts w:cs="Arial"/>
                <w:b/>
                <w:bCs/>
                <w:color w:val="000000"/>
                <w:sz w:val="16"/>
                <w:szCs w:val="16"/>
              </w:rPr>
              <w:t>(b)</w:t>
            </w:r>
          </w:p>
        </w:tc>
        <w:tc>
          <w:tcPr>
            <w:tcW w:w="446" w:type="pct"/>
            <w:tcBorders>
              <w:top w:val="nil"/>
              <w:left w:val="nil"/>
              <w:bottom w:val="single" w:sz="4" w:space="0" w:color="auto"/>
              <w:right w:val="single" w:sz="4" w:space="0" w:color="auto"/>
            </w:tcBorders>
            <w:shd w:val="clear" w:color="auto" w:fill="A1F2FD"/>
            <w:vAlign w:val="center"/>
            <w:hideMark/>
          </w:tcPr>
          <w:p w14:paraId="57F716E2" w14:textId="77777777" w:rsidR="0025610F" w:rsidRDefault="0025610F">
            <w:pPr>
              <w:jc w:val="center"/>
              <w:rPr>
                <w:rFonts w:cs="Arial"/>
                <w:b/>
                <w:bCs/>
                <w:color w:val="000000"/>
                <w:sz w:val="16"/>
                <w:szCs w:val="16"/>
              </w:rPr>
            </w:pPr>
            <w:r>
              <w:rPr>
                <w:rFonts w:cs="Arial"/>
                <w:b/>
                <w:bCs/>
                <w:color w:val="000000"/>
                <w:sz w:val="16"/>
                <w:szCs w:val="16"/>
              </w:rPr>
              <w:t>(c)</w:t>
            </w:r>
          </w:p>
        </w:tc>
        <w:tc>
          <w:tcPr>
            <w:tcW w:w="462" w:type="pct"/>
            <w:tcBorders>
              <w:top w:val="nil"/>
              <w:left w:val="nil"/>
              <w:bottom w:val="single" w:sz="4" w:space="0" w:color="auto"/>
              <w:right w:val="single" w:sz="4" w:space="0" w:color="auto"/>
            </w:tcBorders>
            <w:shd w:val="clear" w:color="auto" w:fill="A1F2FD"/>
            <w:vAlign w:val="center"/>
            <w:hideMark/>
          </w:tcPr>
          <w:p w14:paraId="3D35BA36" w14:textId="77777777" w:rsidR="0025610F" w:rsidRDefault="0025610F">
            <w:pPr>
              <w:jc w:val="center"/>
              <w:rPr>
                <w:rFonts w:cs="Arial"/>
                <w:b/>
                <w:bCs/>
                <w:color w:val="000000"/>
                <w:sz w:val="16"/>
                <w:szCs w:val="16"/>
              </w:rPr>
            </w:pPr>
            <w:r>
              <w:rPr>
                <w:rFonts w:cs="Arial"/>
                <w:b/>
                <w:bCs/>
                <w:color w:val="000000"/>
                <w:sz w:val="16"/>
                <w:szCs w:val="16"/>
              </w:rPr>
              <w:t>(d)</w:t>
            </w:r>
          </w:p>
        </w:tc>
        <w:tc>
          <w:tcPr>
            <w:tcW w:w="477" w:type="pct"/>
            <w:tcBorders>
              <w:top w:val="nil"/>
              <w:left w:val="nil"/>
              <w:bottom w:val="single" w:sz="4" w:space="0" w:color="auto"/>
              <w:right w:val="single" w:sz="4" w:space="0" w:color="auto"/>
            </w:tcBorders>
            <w:shd w:val="clear" w:color="auto" w:fill="A1F2FD"/>
            <w:vAlign w:val="center"/>
            <w:hideMark/>
          </w:tcPr>
          <w:p w14:paraId="513588DA" w14:textId="77777777" w:rsidR="0025610F" w:rsidRDefault="0025610F">
            <w:pPr>
              <w:jc w:val="center"/>
              <w:rPr>
                <w:rFonts w:cs="Arial"/>
                <w:b/>
                <w:bCs/>
                <w:color w:val="000000"/>
                <w:sz w:val="16"/>
                <w:szCs w:val="16"/>
              </w:rPr>
            </w:pPr>
            <w:r>
              <w:rPr>
                <w:rFonts w:cs="Arial"/>
                <w:b/>
                <w:bCs/>
                <w:color w:val="000000"/>
                <w:sz w:val="16"/>
                <w:szCs w:val="16"/>
              </w:rPr>
              <w:t>(e)</w:t>
            </w:r>
          </w:p>
        </w:tc>
        <w:tc>
          <w:tcPr>
            <w:tcW w:w="506" w:type="pct"/>
            <w:tcBorders>
              <w:top w:val="nil"/>
              <w:left w:val="nil"/>
              <w:bottom w:val="single" w:sz="4" w:space="0" w:color="auto"/>
              <w:right w:val="single" w:sz="4" w:space="0" w:color="auto"/>
            </w:tcBorders>
            <w:shd w:val="clear" w:color="auto" w:fill="A1F2FD"/>
            <w:vAlign w:val="center"/>
            <w:hideMark/>
          </w:tcPr>
          <w:p w14:paraId="0DCFE7DE" w14:textId="7454746A" w:rsidR="0025610F" w:rsidRPr="001368B8" w:rsidRDefault="0025610F" w:rsidP="001368B8">
            <w:pPr>
              <w:ind w:left="-111" w:right="-74"/>
              <w:jc w:val="center"/>
              <w:rPr>
                <w:rFonts w:cs="Arial"/>
                <w:b/>
                <w:bCs/>
                <w:color w:val="000000"/>
                <w:sz w:val="15"/>
                <w:szCs w:val="15"/>
              </w:rPr>
            </w:pPr>
            <w:r w:rsidRPr="001368B8">
              <w:rPr>
                <w:rFonts w:cs="Arial"/>
                <w:b/>
                <w:bCs/>
                <w:color w:val="000000"/>
                <w:sz w:val="15"/>
                <w:szCs w:val="15"/>
              </w:rPr>
              <w:t>(f)</w:t>
            </w:r>
            <w:r w:rsidR="00E55412" w:rsidRPr="001368B8">
              <w:rPr>
                <w:rFonts w:cs="Arial"/>
                <w:b/>
                <w:bCs/>
                <w:color w:val="000000"/>
                <w:sz w:val="15"/>
                <w:szCs w:val="15"/>
              </w:rPr>
              <w:t xml:space="preserve"> </w:t>
            </w:r>
            <w:r w:rsidRPr="001368B8">
              <w:rPr>
                <w:rFonts w:cs="Arial"/>
                <w:b/>
                <w:bCs/>
                <w:color w:val="000000"/>
                <w:sz w:val="15"/>
                <w:szCs w:val="15"/>
              </w:rPr>
              <w:t>=</w:t>
            </w:r>
            <w:r w:rsidR="00E55412" w:rsidRPr="001368B8">
              <w:rPr>
                <w:rFonts w:cs="Arial"/>
                <w:b/>
                <w:bCs/>
                <w:color w:val="000000"/>
                <w:sz w:val="15"/>
                <w:szCs w:val="15"/>
              </w:rPr>
              <w:t xml:space="preserve"> </w:t>
            </w:r>
            <w:r w:rsidR="00E55412" w:rsidRPr="001368B8">
              <w:rPr>
                <w:rFonts w:cs="Arial"/>
                <w:b/>
                <w:bCs/>
                <w:color w:val="000000"/>
                <w:sz w:val="15"/>
                <w:szCs w:val="15"/>
              </w:rPr>
              <w:br/>
            </w:r>
            <w:r w:rsidRPr="001368B8">
              <w:rPr>
                <w:rFonts w:cs="Arial"/>
                <w:b/>
                <w:bCs/>
                <w:color w:val="000000"/>
                <w:sz w:val="15"/>
                <w:szCs w:val="15"/>
              </w:rPr>
              <w:t>(a-(b+c+d+e)</w:t>
            </w:r>
            <w:r w:rsidR="00314D60" w:rsidRPr="001368B8">
              <w:rPr>
                <w:rFonts w:cs="Arial"/>
                <w:b/>
                <w:bCs/>
                <w:color w:val="000000"/>
                <w:sz w:val="15"/>
                <w:szCs w:val="15"/>
              </w:rPr>
              <w:t>)</w:t>
            </w:r>
          </w:p>
        </w:tc>
        <w:tc>
          <w:tcPr>
            <w:tcW w:w="531" w:type="pct"/>
            <w:tcBorders>
              <w:top w:val="nil"/>
              <w:left w:val="nil"/>
              <w:bottom w:val="single" w:sz="4" w:space="0" w:color="auto"/>
              <w:right w:val="single" w:sz="4" w:space="0" w:color="auto"/>
            </w:tcBorders>
            <w:shd w:val="clear" w:color="auto" w:fill="A1F2FD"/>
            <w:vAlign w:val="center"/>
            <w:hideMark/>
          </w:tcPr>
          <w:p w14:paraId="7BFEECDD" w14:textId="77777777" w:rsidR="0025610F" w:rsidRDefault="0025610F">
            <w:pPr>
              <w:jc w:val="center"/>
              <w:rPr>
                <w:rFonts w:cs="Arial"/>
                <w:b/>
                <w:bCs/>
                <w:color w:val="000000"/>
                <w:sz w:val="16"/>
                <w:szCs w:val="16"/>
              </w:rPr>
            </w:pPr>
            <w:r>
              <w:rPr>
                <w:rFonts w:cs="Arial"/>
                <w:b/>
                <w:bCs/>
                <w:color w:val="000000"/>
                <w:sz w:val="16"/>
                <w:szCs w:val="16"/>
              </w:rPr>
              <w:t>(g)</w:t>
            </w:r>
          </w:p>
        </w:tc>
        <w:tc>
          <w:tcPr>
            <w:tcW w:w="528" w:type="pct"/>
            <w:tcBorders>
              <w:top w:val="nil"/>
              <w:left w:val="nil"/>
              <w:bottom w:val="single" w:sz="4" w:space="0" w:color="auto"/>
              <w:right w:val="nil"/>
            </w:tcBorders>
            <w:shd w:val="clear" w:color="auto" w:fill="A1F2FD"/>
            <w:vAlign w:val="center"/>
            <w:hideMark/>
          </w:tcPr>
          <w:p w14:paraId="7DD1C37B" w14:textId="31F1CC67" w:rsidR="0025610F" w:rsidRDefault="0025610F">
            <w:pPr>
              <w:jc w:val="center"/>
              <w:rPr>
                <w:rFonts w:cs="Arial"/>
                <w:b/>
                <w:bCs/>
                <w:color w:val="000000"/>
                <w:sz w:val="16"/>
                <w:szCs w:val="16"/>
              </w:rPr>
            </w:pPr>
            <w:r>
              <w:rPr>
                <w:rFonts w:cs="Arial"/>
                <w:b/>
                <w:bCs/>
                <w:color w:val="000000"/>
                <w:sz w:val="16"/>
                <w:szCs w:val="16"/>
              </w:rPr>
              <w:t>(h)</w:t>
            </w:r>
            <w:r w:rsidR="00167E98">
              <w:rPr>
                <w:rFonts w:cs="Arial"/>
                <w:b/>
                <w:bCs/>
                <w:color w:val="000000"/>
                <w:sz w:val="16"/>
                <w:szCs w:val="16"/>
              </w:rPr>
              <w:t xml:space="preserve"> </w:t>
            </w:r>
            <w:r>
              <w:rPr>
                <w:rFonts w:cs="Arial"/>
                <w:b/>
                <w:bCs/>
                <w:color w:val="000000"/>
                <w:sz w:val="16"/>
                <w:szCs w:val="16"/>
              </w:rPr>
              <w:t>=</w:t>
            </w:r>
            <w:r w:rsidR="00167E98">
              <w:rPr>
                <w:rFonts w:cs="Arial"/>
                <w:b/>
                <w:bCs/>
                <w:color w:val="000000"/>
                <w:sz w:val="16"/>
                <w:szCs w:val="16"/>
              </w:rPr>
              <w:t xml:space="preserve"> </w:t>
            </w:r>
            <w:r>
              <w:rPr>
                <w:rFonts w:cs="Arial"/>
                <w:b/>
                <w:bCs/>
                <w:color w:val="000000"/>
                <w:sz w:val="16"/>
                <w:szCs w:val="16"/>
              </w:rPr>
              <w:t>(f-g)</w:t>
            </w:r>
          </w:p>
        </w:tc>
      </w:tr>
      <w:tr w:rsidR="0025610F" w14:paraId="18592013" w14:textId="77777777" w:rsidTr="00B7099A">
        <w:trPr>
          <w:trHeight w:val="340"/>
        </w:trPr>
        <w:tc>
          <w:tcPr>
            <w:tcW w:w="1084" w:type="pct"/>
            <w:tcBorders>
              <w:top w:val="nil"/>
              <w:left w:val="nil"/>
              <w:bottom w:val="nil"/>
              <w:right w:val="single" w:sz="4" w:space="0" w:color="auto"/>
            </w:tcBorders>
            <w:tcMar>
              <w:top w:w="28" w:type="dxa"/>
              <w:bottom w:w="28" w:type="dxa"/>
            </w:tcMar>
            <w:vAlign w:val="center"/>
            <w:hideMark/>
          </w:tcPr>
          <w:p w14:paraId="43B965A9" w14:textId="77777777" w:rsidR="0025610F" w:rsidRDefault="0025610F" w:rsidP="00B7099A">
            <w:pPr>
              <w:rPr>
                <w:rFonts w:cs="Arial"/>
                <w:color w:val="333333"/>
                <w:sz w:val="16"/>
                <w:szCs w:val="16"/>
              </w:rPr>
            </w:pPr>
            <w:r>
              <w:rPr>
                <w:rFonts w:cs="Arial"/>
                <w:color w:val="333333"/>
                <w:sz w:val="16"/>
                <w:szCs w:val="16"/>
              </w:rPr>
              <w:t>500 a 502 Recursos não Vinculados</w:t>
            </w:r>
          </w:p>
        </w:tc>
        <w:tc>
          <w:tcPr>
            <w:tcW w:w="512" w:type="pct"/>
            <w:tcBorders>
              <w:top w:val="single" w:sz="4" w:space="0" w:color="auto"/>
              <w:left w:val="single" w:sz="4" w:space="0" w:color="auto"/>
              <w:bottom w:val="nil"/>
              <w:right w:val="single" w:sz="4" w:space="0" w:color="auto"/>
            </w:tcBorders>
            <w:shd w:val="clear" w:color="auto" w:fill="FFFFFF"/>
            <w:noWrap/>
            <w:tcMar>
              <w:top w:w="28" w:type="dxa"/>
              <w:bottom w:w="28" w:type="dxa"/>
            </w:tcMar>
            <w:vAlign w:val="center"/>
            <w:hideMark/>
          </w:tcPr>
          <w:p w14:paraId="3A7DD9BD" w14:textId="77777777" w:rsidR="0025610F" w:rsidRDefault="0025610F">
            <w:pPr>
              <w:jc w:val="right"/>
              <w:rPr>
                <w:rFonts w:cs="Arial"/>
                <w:color w:val="333333"/>
                <w:sz w:val="18"/>
                <w:szCs w:val="18"/>
              </w:rPr>
            </w:pPr>
            <w:r>
              <w:rPr>
                <w:rFonts w:cs="Arial"/>
                <w:color w:val="333333"/>
                <w:sz w:val="18"/>
                <w:szCs w:val="18"/>
              </w:rPr>
              <w:t>8.009.828</w:t>
            </w:r>
          </w:p>
        </w:tc>
        <w:tc>
          <w:tcPr>
            <w:tcW w:w="454"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0916FD3B" w14:textId="77777777" w:rsidR="0025610F" w:rsidRDefault="0025610F">
            <w:pPr>
              <w:jc w:val="right"/>
              <w:rPr>
                <w:rFonts w:cs="Arial"/>
                <w:color w:val="333333"/>
                <w:sz w:val="18"/>
                <w:szCs w:val="18"/>
              </w:rPr>
            </w:pPr>
            <w:r>
              <w:rPr>
                <w:rFonts w:cs="Arial"/>
                <w:color w:val="333333"/>
                <w:sz w:val="18"/>
                <w:szCs w:val="18"/>
              </w:rPr>
              <w:t>121.077</w:t>
            </w:r>
          </w:p>
        </w:tc>
        <w:tc>
          <w:tcPr>
            <w:tcW w:w="446" w:type="pct"/>
            <w:tcBorders>
              <w:top w:val="single" w:sz="4" w:space="0" w:color="auto"/>
              <w:left w:val="single" w:sz="4" w:space="0" w:color="auto"/>
              <w:bottom w:val="nil"/>
              <w:right w:val="single" w:sz="4" w:space="0" w:color="auto"/>
            </w:tcBorders>
            <w:shd w:val="clear" w:color="auto" w:fill="FFFFFF"/>
            <w:noWrap/>
            <w:tcMar>
              <w:top w:w="28" w:type="dxa"/>
              <w:bottom w:w="28" w:type="dxa"/>
            </w:tcMar>
            <w:vAlign w:val="center"/>
            <w:hideMark/>
          </w:tcPr>
          <w:p w14:paraId="51FD848B" w14:textId="77777777" w:rsidR="0025610F" w:rsidRDefault="0025610F">
            <w:pPr>
              <w:jc w:val="right"/>
              <w:rPr>
                <w:rFonts w:cs="Arial"/>
                <w:color w:val="333333"/>
                <w:sz w:val="18"/>
                <w:szCs w:val="18"/>
              </w:rPr>
            </w:pPr>
            <w:r>
              <w:rPr>
                <w:rFonts w:cs="Arial"/>
                <w:color w:val="333333"/>
                <w:sz w:val="18"/>
                <w:szCs w:val="18"/>
              </w:rPr>
              <w:t>303.237</w:t>
            </w:r>
          </w:p>
        </w:tc>
        <w:tc>
          <w:tcPr>
            <w:tcW w:w="46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05D2A69C" w14:textId="77777777" w:rsidR="0025610F" w:rsidRDefault="0025610F">
            <w:pPr>
              <w:jc w:val="right"/>
              <w:rPr>
                <w:rFonts w:cs="Arial"/>
                <w:color w:val="333333"/>
                <w:sz w:val="18"/>
                <w:szCs w:val="18"/>
              </w:rPr>
            </w:pPr>
            <w:r>
              <w:rPr>
                <w:rFonts w:cs="Arial"/>
                <w:color w:val="333333"/>
                <w:sz w:val="18"/>
                <w:szCs w:val="18"/>
              </w:rPr>
              <w:t>116.846</w:t>
            </w:r>
          </w:p>
        </w:tc>
        <w:tc>
          <w:tcPr>
            <w:tcW w:w="477" w:type="pct"/>
            <w:tcBorders>
              <w:top w:val="single" w:sz="4" w:space="0" w:color="auto"/>
              <w:left w:val="single" w:sz="4" w:space="0" w:color="auto"/>
              <w:bottom w:val="nil"/>
              <w:right w:val="single" w:sz="4" w:space="0" w:color="auto"/>
            </w:tcBorders>
            <w:shd w:val="clear" w:color="auto" w:fill="FFFFFF"/>
            <w:noWrap/>
            <w:tcMar>
              <w:top w:w="28" w:type="dxa"/>
              <w:bottom w:w="28" w:type="dxa"/>
            </w:tcMar>
            <w:vAlign w:val="center"/>
            <w:hideMark/>
          </w:tcPr>
          <w:p w14:paraId="7D4E678A" w14:textId="77777777" w:rsidR="0025610F" w:rsidRDefault="0025610F">
            <w:pPr>
              <w:jc w:val="right"/>
              <w:rPr>
                <w:rFonts w:cs="Arial"/>
                <w:color w:val="333333"/>
                <w:sz w:val="18"/>
                <w:szCs w:val="18"/>
              </w:rPr>
            </w:pPr>
            <w:r>
              <w:rPr>
                <w:rFonts w:cs="Arial"/>
                <w:color w:val="333333"/>
                <w:sz w:val="18"/>
                <w:szCs w:val="18"/>
              </w:rPr>
              <w:t>-</w:t>
            </w:r>
          </w:p>
        </w:tc>
        <w:tc>
          <w:tcPr>
            <w:tcW w:w="50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43E7142A" w14:textId="77777777" w:rsidR="0025610F" w:rsidRDefault="0025610F">
            <w:pPr>
              <w:jc w:val="right"/>
              <w:rPr>
                <w:rFonts w:cs="Arial"/>
                <w:color w:val="333333"/>
                <w:sz w:val="18"/>
                <w:szCs w:val="18"/>
              </w:rPr>
            </w:pPr>
            <w:r>
              <w:rPr>
                <w:rFonts w:cs="Arial"/>
                <w:color w:val="333333"/>
                <w:sz w:val="18"/>
                <w:szCs w:val="18"/>
              </w:rPr>
              <w:t>7.468.669</w:t>
            </w:r>
          </w:p>
        </w:tc>
        <w:tc>
          <w:tcPr>
            <w:tcW w:w="531" w:type="pct"/>
            <w:tcBorders>
              <w:top w:val="single" w:sz="4" w:space="0" w:color="auto"/>
              <w:left w:val="single" w:sz="4" w:space="0" w:color="auto"/>
              <w:bottom w:val="nil"/>
              <w:right w:val="single" w:sz="4" w:space="0" w:color="auto"/>
            </w:tcBorders>
            <w:shd w:val="clear" w:color="auto" w:fill="FFFFFF"/>
            <w:noWrap/>
            <w:tcMar>
              <w:top w:w="28" w:type="dxa"/>
              <w:bottom w:w="28" w:type="dxa"/>
            </w:tcMar>
            <w:vAlign w:val="center"/>
            <w:hideMark/>
          </w:tcPr>
          <w:p w14:paraId="12FD72FE" w14:textId="77777777" w:rsidR="0025610F" w:rsidRDefault="0025610F">
            <w:pPr>
              <w:jc w:val="right"/>
              <w:rPr>
                <w:rFonts w:cs="Arial"/>
                <w:color w:val="333333"/>
                <w:sz w:val="18"/>
                <w:szCs w:val="18"/>
              </w:rPr>
            </w:pPr>
            <w:r>
              <w:rPr>
                <w:rFonts w:cs="Arial"/>
                <w:color w:val="333333"/>
                <w:sz w:val="18"/>
                <w:szCs w:val="18"/>
              </w:rPr>
              <w:t>727.177</w:t>
            </w:r>
          </w:p>
        </w:tc>
        <w:tc>
          <w:tcPr>
            <w:tcW w:w="528" w:type="pct"/>
            <w:tcBorders>
              <w:top w:val="nil"/>
              <w:left w:val="single" w:sz="4" w:space="0" w:color="auto"/>
              <w:bottom w:val="nil"/>
              <w:right w:val="nil"/>
            </w:tcBorders>
            <w:shd w:val="clear" w:color="auto" w:fill="FFFFFF"/>
            <w:noWrap/>
            <w:tcMar>
              <w:top w:w="28" w:type="dxa"/>
              <w:bottom w:w="28" w:type="dxa"/>
            </w:tcMar>
            <w:vAlign w:val="center"/>
            <w:hideMark/>
          </w:tcPr>
          <w:p w14:paraId="203124AF" w14:textId="77777777" w:rsidR="0025610F" w:rsidRDefault="0025610F">
            <w:pPr>
              <w:jc w:val="right"/>
              <w:rPr>
                <w:rFonts w:cs="Arial"/>
                <w:color w:val="333333"/>
                <w:sz w:val="18"/>
                <w:szCs w:val="18"/>
              </w:rPr>
            </w:pPr>
            <w:r>
              <w:rPr>
                <w:rFonts w:cs="Arial"/>
                <w:color w:val="333333"/>
                <w:sz w:val="18"/>
                <w:szCs w:val="18"/>
              </w:rPr>
              <w:t>6.741.491</w:t>
            </w:r>
          </w:p>
        </w:tc>
      </w:tr>
      <w:tr w:rsidR="0025610F" w14:paraId="24E600B7" w14:textId="77777777" w:rsidTr="00B7099A">
        <w:trPr>
          <w:trHeight w:val="340"/>
        </w:trPr>
        <w:tc>
          <w:tcPr>
            <w:tcW w:w="1084" w:type="pct"/>
            <w:tcBorders>
              <w:top w:val="nil"/>
              <w:left w:val="nil"/>
              <w:bottom w:val="nil"/>
              <w:right w:val="single" w:sz="4" w:space="0" w:color="auto"/>
            </w:tcBorders>
            <w:tcMar>
              <w:top w:w="28" w:type="dxa"/>
              <w:bottom w:w="28" w:type="dxa"/>
            </w:tcMar>
            <w:vAlign w:val="center"/>
            <w:hideMark/>
          </w:tcPr>
          <w:p w14:paraId="2E302BDB" w14:textId="77777777" w:rsidR="0025610F" w:rsidRDefault="0025610F" w:rsidP="00B7099A">
            <w:pPr>
              <w:rPr>
                <w:rFonts w:cs="Arial"/>
                <w:color w:val="333333"/>
                <w:sz w:val="16"/>
                <w:szCs w:val="16"/>
              </w:rPr>
            </w:pPr>
            <w:r>
              <w:rPr>
                <w:rFonts w:cs="Arial"/>
                <w:color w:val="333333"/>
                <w:sz w:val="16"/>
                <w:szCs w:val="16"/>
              </w:rPr>
              <w:t>540 a 599 Recursos Vinculados à Educação</w:t>
            </w:r>
          </w:p>
        </w:tc>
        <w:tc>
          <w:tcPr>
            <w:tcW w:w="51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090F37D2" w14:textId="77777777" w:rsidR="0025610F" w:rsidRDefault="0025610F">
            <w:pPr>
              <w:jc w:val="right"/>
              <w:rPr>
                <w:rFonts w:cs="Arial"/>
                <w:color w:val="333333"/>
                <w:sz w:val="18"/>
                <w:szCs w:val="18"/>
              </w:rPr>
            </w:pPr>
            <w:r>
              <w:rPr>
                <w:rFonts w:cs="Arial"/>
                <w:color w:val="333333"/>
                <w:sz w:val="18"/>
                <w:szCs w:val="18"/>
              </w:rPr>
              <w:t>562.678</w:t>
            </w:r>
          </w:p>
        </w:tc>
        <w:tc>
          <w:tcPr>
            <w:tcW w:w="454"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27DD1CCD" w14:textId="77777777" w:rsidR="0025610F" w:rsidRDefault="0025610F">
            <w:pPr>
              <w:jc w:val="right"/>
              <w:rPr>
                <w:rFonts w:cs="Arial"/>
                <w:color w:val="333333"/>
                <w:sz w:val="18"/>
                <w:szCs w:val="18"/>
              </w:rPr>
            </w:pPr>
            <w:r>
              <w:rPr>
                <w:rFonts w:cs="Arial"/>
                <w:color w:val="333333"/>
                <w:sz w:val="18"/>
                <w:szCs w:val="18"/>
              </w:rPr>
              <w:t>15.418</w:t>
            </w:r>
          </w:p>
        </w:tc>
        <w:tc>
          <w:tcPr>
            <w:tcW w:w="44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68A6B013" w14:textId="77777777" w:rsidR="0025610F" w:rsidRDefault="0025610F">
            <w:pPr>
              <w:jc w:val="right"/>
              <w:rPr>
                <w:rFonts w:cs="Arial"/>
                <w:color w:val="333333"/>
                <w:sz w:val="18"/>
                <w:szCs w:val="18"/>
              </w:rPr>
            </w:pPr>
            <w:r>
              <w:rPr>
                <w:rFonts w:cs="Arial"/>
                <w:color w:val="333333"/>
                <w:sz w:val="18"/>
                <w:szCs w:val="18"/>
              </w:rPr>
              <w:t>1.161</w:t>
            </w:r>
          </w:p>
        </w:tc>
        <w:tc>
          <w:tcPr>
            <w:tcW w:w="46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5DBDAD4E" w14:textId="77777777" w:rsidR="0025610F" w:rsidRDefault="0025610F">
            <w:pPr>
              <w:jc w:val="right"/>
              <w:rPr>
                <w:rFonts w:cs="Arial"/>
                <w:color w:val="333333"/>
                <w:sz w:val="18"/>
                <w:szCs w:val="18"/>
              </w:rPr>
            </w:pPr>
            <w:r>
              <w:rPr>
                <w:rFonts w:cs="Arial"/>
                <w:color w:val="333333"/>
                <w:sz w:val="18"/>
                <w:szCs w:val="18"/>
              </w:rPr>
              <w:t>51</w:t>
            </w:r>
          </w:p>
        </w:tc>
        <w:tc>
          <w:tcPr>
            <w:tcW w:w="477"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50AE7276" w14:textId="77777777" w:rsidR="0025610F" w:rsidRDefault="0025610F">
            <w:pPr>
              <w:jc w:val="right"/>
              <w:rPr>
                <w:rFonts w:cs="Arial"/>
                <w:color w:val="333333"/>
                <w:sz w:val="18"/>
                <w:szCs w:val="18"/>
              </w:rPr>
            </w:pPr>
            <w:r>
              <w:rPr>
                <w:rFonts w:cs="Arial"/>
                <w:color w:val="333333"/>
                <w:sz w:val="18"/>
                <w:szCs w:val="18"/>
              </w:rPr>
              <w:t>-</w:t>
            </w:r>
          </w:p>
        </w:tc>
        <w:tc>
          <w:tcPr>
            <w:tcW w:w="50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4F69ECA3" w14:textId="77777777" w:rsidR="0025610F" w:rsidRDefault="0025610F">
            <w:pPr>
              <w:jc w:val="right"/>
              <w:rPr>
                <w:rFonts w:cs="Arial"/>
                <w:color w:val="333333"/>
                <w:sz w:val="18"/>
                <w:szCs w:val="18"/>
              </w:rPr>
            </w:pPr>
            <w:r>
              <w:rPr>
                <w:rFonts w:cs="Arial"/>
                <w:color w:val="333333"/>
                <w:sz w:val="18"/>
                <w:szCs w:val="18"/>
              </w:rPr>
              <w:t>546.048</w:t>
            </w:r>
          </w:p>
        </w:tc>
        <w:tc>
          <w:tcPr>
            <w:tcW w:w="531"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2DA805E7" w14:textId="77777777" w:rsidR="0025610F" w:rsidRDefault="0025610F">
            <w:pPr>
              <w:jc w:val="right"/>
              <w:rPr>
                <w:rFonts w:cs="Arial"/>
                <w:color w:val="333333"/>
                <w:sz w:val="18"/>
                <w:szCs w:val="18"/>
              </w:rPr>
            </w:pPr>
            <w:r>
              <w:rPr>
                <w:rFonts w:cs="Arial"/>
                <w:color w:val="333333"/>
                <w:sz w:val="18"/>
                <w:szCs w:val="18"/>
              </w:rPr>
              <w:t>56.418</w:t>
            </w:r>
          </w:p>
        </w:tc>
        <w:tc>
          <w:tcPr>
            <w:tcW w:w="528" w:type="pct"/>
            <w:tcBorders>
              <w:top w:val="nil"/>
              <w:left w:val="single" w:sz="4" w:space="0" w:color="auto"/>
              <w:bottom w:val="nil"/>
              <w:right w:val="nil"/>
            </w:tcBorders>
            <w:shd w:val="clear" w:color="auto" w:fill="FFFFFF"/>
            <w:noWrap/>
            <w:tcMar>
              <w:top w:w="28" w:type="dxa"/>
              <w:bottom w:w="28" w:type="dxa"/>
            </w:tcMar>
            <w:vAlign w:val="center"/>
            <w:hideMark/>
          </w:tcPr>
          <w:p w14:paraId="21F73CD8" w14:textId="77777777" w:rsidR="0025610F" w:rsidRDefault="0025610F">
            <w:pPr>
              <w:jc w:val="right"/>
              <w:rPr>
                <w:rFonts w:cs="Arial"/>
                <w:color w:val="333333"/>
                <w:sz w:val="18"/>
                <w:szCs w:val="18"/>
              </w:rPr>
            </w:pPr>
            <w:r>
              <w:rPr>
                <w:rFonts w:cs="Arial"/>
                <w:color w:val="333333"/>
                <w:sz w:val="18"/>
                <w:szCs w:val="18"/>
              </w:rPr>
              <w:t>489.630</w:t>
            </w:r>
          </w:p>
        </w:tc>
      </w:tr>
      <w:tr w:rsidR="0025610F" w14:paraId="03595BF3" w14:textId="77777777" w:rsidTr="00B7099A">
        <w:trPr>
          <w:trHeight w:val="340"/>
        </w:trPr>
        <w:tc>
          <w:tcPr>
            <w:tcW w:w="1084" w:type="pct"/>
            <w:tcBorders>
              <w:top w:val="nil"/>
              <w:left w:val="nil"/>
              <w:bottom w:val="nil"/>
              <w:right w:val="single" w:sz="4" w:space="0" w:color="auto"/>
            </w:tcBorders>
            <w:tcMar>
              <w:top w:w="28" w:type="dxa"/>
              <w:bottom w:w="28" w:type="dxa"/>
            </w:tcMar>
            <w:vAlign w:val="center"/>
            <w:hideMark/>
          </w:tcPr>
          <w:p w14:paraId="26B62295" w14:textId="77777777" w:rsidR="0025610F" w:rsidRDefault="0025610F" w:rsidP="00B7099A">
            <w:pPr>
              <w:rPr>
                <w:rFonts w:cs="Arial"/>
                <w:color w:val="333333"/>
                <w:sz w:val="16"/>
                <w:szCs w:val="16"/>
              </w:rPr>
            </w:pPr>
            <w:r>
              <w:rPr>
                <w:rFonts w:cs="Arial"/>
                <w:color w:val="333333"/>
                <w:sz w:val="16"/>
                <w:szCs w:val="16"/>
              </w:rPr>
              <w:t>600 a 659 Recursos Vinculados à Saúde</w:t>
            </w:r>
          </w:p>
        </w:tc>
        <w:tc>
          <w:tcPr>
            <w:tcW w:w="51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34596726" w14:textId="77777777" w:rsidR="0025610F" w:rsidRDefault="0025610F">
            <w:pPr>
              <w:jc w:val="right"/>
              <w:rPr>
                <w:rFonts w:cs="Arial"/>
                <w:color w:val="333333"/>
                <w:sz w:val="18"/>
                <w:szCs w:val="18"/>
              </w:rPr>
            </w:pPr>
            <w:r>
              <w:rPr>
                <w:rFonts w:cs="Arial"/>
                <w:color w:val="333333"/>
                <w:sz w:val="18"/>
                <w:szCs w:val="18"/>
              </w:rPr>
              <w:t>439.131</w:t>
            </w:r>
          </w:p>
        </w:tc>
        <w:tc>
          <w:tcPr>
            <w:tcW w:w="454"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64D6FF69" w14:textId="77777777" w:rsidR="0025610F" w:rsidRDefault="0025610F">
            <w:pPr>
              <w:jc w:val="right"/>
              <w:rPr>
                <w:rFonts w:cs="Arial"/>
                <w:color w:val="333333"/>
                <w:sz w:val="18"/>
                <w:szCs w:val="18"/>
              </w:rPr>
            </w:pPr>
            <w:r>
              <w:rPr>
                <w:rFonts w:cs="Arial"/>
                <w:color w:val="333333"/>
                <w:sz w:val="18"/>
                <w:szCs w:val="18"/>
              </w:rPr>
              <w:t>8.516</w:t>
            </w:r>
          </w:p>
        </w:tc>
        <w:tc>
          <w:tcPr>
            <w:tcW w:w="44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27113A7C" w14:textId="77777777" w:rsidR="0025610F" w:rsidRDefault="0025610F">
            <w:pPr>
              <w:jc w:val="right"/>
              <w:rPr>
                <w:rFonts w:cs="Arial"/>
                <w:color w:val="333333"/>
                <w:sz w:val="18"/>
                <w:szCs w:val="18"/>
              </w:rPr>
            </w:pPr>
            <w:r>
              <w:rPr>
                <w:rFonts w:cs="Arial"/>
                <w:color w:val="333333"/>
                <w:sz w:val="18"/>
                <w:szCs w:val="18"/>
              </w:rPr>
              <w:t>1.046</w:t>
            </w:r>
          </w:p>
        </w:tc>
        <w:tc>
          <w:tcPr>
            <w:tcW w:w="46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5AFD6AA2" w14:textId="77777777" w:rsidR="0025610F" w:rsidRDefault="0025610F">
            <w:pPr>
              <w:jc w:val="right"/>
              <w:rPr>
                <w:rFonts w:cs="Arial"/>
                <w:color w:val="333333"/>
                <w:sz w:val="18"/>
                <w:szCs w:val="18"/>
              </w:rPr>
            </w:pPr>
            <w:r>
              <w:rPr>
                <w:rFonts w:cs="Arial"/>
                <w:color w:val="333333"/>
                <w:sz w:val="18"/>
                <w:szCs w:val="18"/>
              </w:rPr>
              <w:t>-</w:t>
            </w:r>
          </w:p>
        </w:tc>
        <w:tc>
          <w:tcPr>
            <w:tcW w:w="477"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46F09C8C" w14:textId="77777777" w:rsidR="0025610F" w:rsidRDefault="0025610F">
            <w:pPr>
              <w:jc w:val="right"/>
              <w:rPr>
                <w:rFonts w:cs="Arial"/>
                <w:color w:val="333333"/>
                <w:sz w:val="18"/>
                <w:szCs w:val="18"/>
              </w:rPr>
            </w:pPr>
            <w:r>
              <w:rPr>
                <w:rFonts w:cs="Arial"/>
                <w:color w:val="333333"/>
                <w:sz w:val="18"/>
                <w:szCs w:val="18"/>
              </w:rPr>
              <w:t>-</w:t>
            </w:r>
          </w:p>
        </w:tc>
        <w:tc>
          <w:tcPr>
            <w:tcW w:w="50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17B27C95" w14:textId="77777777" w:rsidR="0025610F" w:rsidRDefault="0025610F">
            <w:pPr>
              <w:jc w:val="right"/>
              <w:rPr>
                <w:rFonts w:cs="Arial"/>
                <w:color w:val="333333"/>
                <w:sz w:val="18"/>
                <w:szCs w:val="18"/>
              </w:rPr>
            </w:pPr>
            <w:r>
              <w:rPr>
                <w:rFonts w:cs="Arial"/>
                <w:color w:val="333333"/>
                <w:sz w:val="18"/>
                <w:szCs w:val="18"/>
              </w:rPr>
              <w:t>429.569</w:t>
            </w:r>
          </w:p>
        </w:tc>
        <w:tc>
          <w:tcPr>
            <w:tcW w:w="531"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35620BD0" w14:textId="77777777" w:rsidR="0025610F" w:rsidRDefault="0025610F">
            <w:pPr>
              <w:jc w:val="right"/>
              <w:rPr>
                <w:rFonts w:cs="Arial"/>
                <w:color w:val="333333"/>
                <w:sz w:val="18"/>
                <w:szCs w:val="18"/>
              </w:rPr>
            </w:pPr>
            <w:r>
              <w:rPr>
                <w:rFonts w:cs="Arial"/>
                <w:color w:val="333333"/>
                <w:sz w:val="18"/>
                <w:szCs w:val="18"/>
              </w:rPr>
              <w:t>91.815</w:t>
            </w:r>
          </w:p>
        </w:tc>
        <w:tc>
          <w:tcPr>
            <w:tcW w:w="528" w:type="pct"/>
            <w:tcBorders>
              <w:top w:val="nil"/>
              <w:left w:val="single" w:sz="4" w:space="0" w:color="auto"/>
              <w:bottom w:val="nil"/>
              <w:right w:val="nil"/>
            </w:tcBorders>
            <w:shd w:val="clear" w:color="auto" w:fill="FFFFFF"/>
            <w:noWrap/>
            <w:tcMar>
              <w:top w:w="28" w:type="dxa"/>
              <w:bottom w:w="28" w:type="dxa"/>
            </w:tcMar>
            <w:vAlign w:val="center"/>
            <w:hideMark/>
          </w:tcPr>
          <w:p w14:paraId="0D6C006F" w14:textId="77777777" w:rsidR="0025610F" w:rsidRDefault="0025610F">
            <w:pPr>
              <w:jc w:val="right"/>
              <w:rPr>
                <w:rFonts w:cs="Arial"/>
                <w:color w:val="333333"/>
                <w:sz w:val="18"/>
                <w:szCs w:val="18"/>
              </w:rPr>
            </w:pPr>
            <w:r>
              <w:rPr>
                <w:rFonts w:cs="Arial"/>
                <w:color w:val="333333"/>
                <w:sz w:val="18"/>
                <w:szCs w:val="18"/>
              </w:rPr>
              <w:t>337.754</w:t>
            </w:r>
          </w:p>
        </w:tc>
      </w:tr>
      <w:tr w:rsidR="0025610F" w14:paraId="70734912" w14:textId="77777777" w:rsidTr="00B7099A">
        <w:trPr>
          <w:trHeight w:val="340"/>
        </w:trPr>
        <w:tc>
          <w:tcPr>
            <w:tcW w:w="1084" w:type="pct"/>
            <w:tcBorders>
              <w:top w:val="nil"/>
              <w:left w:val="nil"/>
              <w:bottom w:val="nil"/>
              <w:right w:val="single" w:sz="4" w:space="0" w:color="auto"/>
            </w:tcBorders>
            <w:tcMar>
              <w:top w:w="28" w:type="dxa"/>
              <w:bottom w:w="28" w:type="dxa"/>
            </w:tcMar>
            <w:vAlign w:val="center"/>
            <w:hideMark/>
          </w:tcPr>
          <w:p w14:paraId="1629208B" w14:textId="77777777" w:rsidR="0025610F" w:rsidRDefault="0025610F" w:rsidP="00B7099A">
            <w:pPr>
              <w:rPr>
                <w:rFonts w:cs="Arial"/>
                <w:color w:val="333333"/>
                <w:sz w:val="16"/>
                <w:szCs w:val="16"/>
              </w:rPr>
            </w:pPr>
            <w:r>
              <w:rPr>
                <w:rFonts w:cs="Arial"/>
                <w:color w:val="333333"/>
                <w:sz w:val="16"/>
                <w:szCs w:val="16"/>
              </w:rPr>
              <w:t>660 a 669 Recursos Vinculados à Assistência Social</w:t>
            </w:r>
          </w:p>
        </w:tc>
        <w:tc>
          <w:tcPr>
            <w:tcW w:w="51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42D22EDE" w14:textId="77777777" w:rsidR="0025610F" w:rsidRDefault="0025610F">
            <w:pPr>
              <w:jc w:val="right"/>
              <w:rPr>
                <w:rFonts w:cs="Arial"/>
                <w:color w:val="333333"/>
                <w:sz w:val="18"/>
                <w:szCs w:val="18"/>
              </w:rPr>
            </w:pPr>
            <w:r>
              <w:rPr>
                <w:rFonts w:cs="Arial"/>
                <w:color w:val="333333"/>
                <w:sz w:val="18"/>
                <w:szCs w:val="18"/>
              </w:rPr>
              <w:t>11.816</w:t>
            </w:r>
          </w:p>
        </w:tc>
        <w:tc>
          <w:tcPr>
            <w:tcW w:w="454"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145CC13C" w14:textId="77777777" w:rsidR="0025610F" w:rsidRDefault="0025610F">
            <w:pPr>
              <w:jc w:val="right"/>
              <w:rPr>
                <w:rFonts w:cs="Arial"/>
                <w:color w:val="333333"/>
                <w:sz w:val="18"/>
                <w:szCs w:val="18"/>
              </w:rPr>
            </w:pPr>
            <w:r>
              <w:rPr>
                <w:rFonts w:cs="Arial"/>
                <w:color w:val="333333"/>
                <w:sz w:val="18"/>
                <w:szCs w:val="18"/>
              </w:rPr>
              <w:t>185</w:t>
            </w:r>
          </w:p>
        </w:tc>
        <w:tc>
          <w:tcPr>
            <w:tcW w:w="44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456DD252" w14:textId="77777777" w:rsidR="0025610F" w:rsidRDefault="0025610F">
            <w:pPr>
              <w:jc w:val="right"/>
              <w:rPr>
                <w:rFonts w:cs="Arial"/>
                <w:color w:val="333333"/>
                <w:sz w:val="18"/>
                <w:szCs w:val="18"/>
              </w:rPr>
            </w:pPr>
            <w:r>
              <w:rPr>
                <w:rFonts w:cs="Arial"/>
                <w:color w:val="333333"/>
                <w:sz w:val="18"/>
                <w:szCs w:val="18"/>
              </w:rPr>
              <w:t>-</w:t>
            </w:r>
          </w:p>
        </w:tc>
        <w:tc>
          <w:tcPr>
            <w:tcW w:w="46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212A5E1F" w14:textId="77777777" w:rsidR="0025610F" w:rsidRDefault="0025610F">
            <w:pPr>
              <w:jc w:val="right"/>
              <w:rPr>
                <w:rFonts w:cs="Arial"/>
                <w:color w:val="333333"/>
                <w:sz w:val="18"/>
                <w:szCs w:val="18"/>
              </w:rPr>
            </w:pPr>
            <w:r>
              <w:rPr>
                <w:rFonts w:cs="Arial"/>
                <w:color w:val="333333"/>
                <w:sz w:val="18"/>
                <w:szCs w:val="18"/>
              </w:rPr>
              <w:t>9</w:t>
            </w:r>
          </w:p>
        </w:tc>
        <w:tc>
          <w:tcPr>
            <w:tcW w:w="477"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716985EE" w14:textId="77777777" w:rsidR="0025610F" w:rsidRDefault="0025610F">
            <w:pPr>
              <w:jc w:val="right"/>
              <w:rPr>
                <w:rFonts w:cs="Arial"/>
                <w:color w:val="333333"/>
                <w:sz w:val="18"/>
                <w:szCs w:val="18"/>
              </w:rPr>
            </w:pPr>
            <w:r>
              <w:rPr>
                <w:rFonts w:cs="Arial"/>
                <w:color w:val="333333"/>
                <w:sz w:val="18"/>
                <w:szCs w:val="18"/>
              </w:rPr>
              <w:t>-</w:t>
            </w:r>
          </w:p>
        </w:tc>
        <w:tc>
          <w:tcPr>
            <w:tcW w:w="50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7843DDEA" w14:textId="77777777" w:rsidR="0025610F" w:rsidRDefault="0025610F">
            <w:pPr>
              <w:jc w:val="right"/>
              <w:rPr>
                <w:rFonts w:cs="Arial"/>
                <w:color w:val="333333"/>
                <w:sz w:val="18"/>
                <w:szCs w:val="18"/>
              </w:rPr>
            </w:pPr>
            <w:r>
              <w:rPr>
                <w:rFonts w:cs="Arial"/>
                <w:color w:val="333333"/>
                <w:sz w:val="18"/>
                <w:szCs w:val="18"/>
              </w:rPr>
              <w:t>11.622</w:t>
            </w:r>
          </w:p>
        </w:tc>
        <w:tc>
          <w:tcPr>
            <w:tcW w:w="531"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5EA54DEC" w14:textId="77777777" w:rsidR="0025610F" w:rsidRDefault="0025610F">
            <w:pPr>
              <w:jc w:val="right"/>
              <w:rPr>
                <w:rFonts w:cs="Arial"/>
                <w:color w:val="333333"/>
                <w:sz w:val="18"/>
                <w:szCs w:val="18"/>
              </w:rPr>
            </w:pPr>
            <w:r>
              <w:rPr>
                <w:rFonts w:cs="Arial"/>
                <w:color w:val="333333"/>
                <w:sz w:val="18"/>
                <w:szCs w:val="18"/>
              </w:rPr>
              <w:t>910</w:t>
            </w:r>
          </w:p>
        </w:tc>
        <w:tc>
          <w:tcPr>
            <w:tcW w:w="528" w:type="pct"/>
            <w:tcBorders>
              <w:top w:val="nil"/>
              <w:left w:val="single" w:sz="4" w:space="0" w:color="auto"/>
              <w:bottom w:val="nil"/>
              <w:right w:val="nil"/>
            </w:tcBorders>
            <w:shd w:val="clear" w:color="auto" w:fill="FFFFFF"/>
            <w:noWrap/>
            <w:tcMar>
              <w:top w:w="28" w:type="dxa"/>
              <w:bottom w:w="28" w:type="dxa"/>
            </w:tcMar>
            <w:vAlign w:val="center"/>
            <w:hideMark/>
          </w:tcPr>
          <w:p w14:paraId="06AB3094" w14:textId="77777777" w:rsidR="0025610F" w:rsidRDefault="0025610F">
            <w:pPr>
              <w:jc w:val="right"/>
              <w:rPr>
                <w:rFonts w:cs="Arial"/>
                <w:color w:val="333333"/>
                <w:sz w:val="18"/>
                <w:szCs w:val="18"/>
              </w:rPr>
            </w:pPr>
            <w:r>
              <w:rPr>
                <w:rFonts w:cs="Arial"/>
                <w:color w:val="333333"/>
                <w:sz w:val="18"/>
                <w:szCs w:val="18"/>
              </w:rPr>
              <w:t>10.711</w:t>
            </w:r>
          </w:p>
        </w:tc>
      </w:tr>
      <w:tr w:rsidR="0025610F" w14:paraId="685D7764" w14:textId="77777777" w:rsidTr="00B7099A">
        <w:trPr>
          <w:trHeight w:val="340"/>
        </w:trPr>
        <w:tc>
          <w:tcPr>
            <w:tcW w:w="1084" w:type="pct"/>
            <w:tcBorders>
              <w:top w:val="nil"/>
              <w:left w:val="nil"/>
              <w:bottom w:val="nil"/>
              <w:right w:val="single" w:sz="4" w:space="0" w:color="auto"/>
            </w:tcBorders>
            <w:tcMar>
              <w:top w:w="28" w:type="dxa"/>
              <w:bottom w:w="28" w:type="dxa"/>
            </w:tcMar>
            <w:vAlign w:val="center"/>
            <w:hideMark/>
          </w:tcPr>
          <w:p w14:paraId="11C7374C" w14:textId="77777777" w:rsidR="0025610F" w:rsidRDefault="0025610F" w:rsidP="00B7099A">
            <w:pPr>
              <w:rPr>
                <w:rFonts w:cs="Arial"/>
                <w:color w:val="333333"/>
                <w:sz w:val="16"/>
                <w:szCs w:val="16"/>
              </w:rPr>
            </w:pPr>
            <w:r>
              <w:rPr>
                <w:rFonts w:cs="Arial"/>
                <w:color w:val="333333"/>
                <w:sz w:val="16"/>
                <w:szCs w:val="16"/>
              </w:rPr>
              <w:t>700 a 749 Recursos das Demais Vinculações Decorrentes de Transferências</w:t>
            </w:r>
          </w:p>
        </w:tc>
        <w:tc>
          <w:tcPr>
            <w:tcW w:w="51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22A1068C" w14:textId="77777777" w:rsidR="0025610F" w:rsidRDefault="0025610F">
            <w:pPr>
              <w:jc w:val="right"/>
              <w:rPr>
                <w:rFonts w:cs="Arial"/>
                <w:color w:val="333333"/>
                <w:sz w:val="18"/>
                <w:szCs w:val="18"/>
              </w:rPr>
            </w:pPr>
            <w:r>
              <w:rPr>
                <w:rFonts w:cs="Arial"/>
                <w:color w:val="333333"/>
                <w:sz w:val="18"/>
                <w:szCs w:val="18"/>
              </w:rPr>
              <w:t>581.946</w:t>
            </w:r>
          </w:p>
        </w:tc>
        <w:tc>
          <w:tcPr>
            <w:tcW w:w="454"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1684FB95" w14:textId="77777777" w:rsidR="0025610F" w:rsidRDefault="0025610F">
            <w:pPr>
              <w:jc w:val="right"/>
              <w:rPr>
                <w:rFonts w:cs="Arial"/>
                <w:color w:val="333333"/>
                <w:sz w:val="18"/>
                <w:szCs w:val="18"/>
              </w:rPr>
            </w:pPr>
            <w:r>
              <w:rPr>
                <w:rFonts w:cs="Arial"/>
                <w:color w:val="333333"/>
                <w:sz w:val="18"/>
                <w:szCs w:val="18"/>
              </w:rPr>
              <w:t>65.890</w:t>
            </w:r>
          </w:p>
        </w:tc>
        <w:tc>
          <w:tcPr>
            <w:tcW w:w="44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06B44AFD" w14:textId="77777777" w:rsidR="0025610F" w:rsidRDefault="0025610F">
            <w:pPr>
              <w:jc w:val="right"/>
              <w:rPr>
                <w:rFonts w:cs="Arial"/>
                <w:color w:val="333333"/>
                <w:sz w:val="18"/>
                <w:szCs w:val="18"/>
              </w:rPr>
            </w:pPr>
            <w:r>
              <w:rPr>
                <w:rFonts w:cs="Arial"/>
                <w:color w:val="333333"/>
                <w:sz w:val="18"/>
                <w:szCs w:val="18"/>
              </w:rPr>
              <w:t>7.460</w:t>
            </w:r>
          </w:p>
        </w:tc>
        <w:tc>
          <w:tcPr>
            <w:tcW w:w="46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4DAD86CE" w14:textId="77777777" w:rsidR="0025610F" w:rsidRDefault="0025610F">
            <w:pPr>
              <w:jc w:val="right"/>
              <w:rPr>
                <w:rFonts w:cs="Arial"/>
                <w:color w:val="333333"/>
                <w:sz w:val="18"/>
                <w:szCs w:val="18"/>
              </w:rPr>
            </w:pPr>
            <w:r>
              <w:rPr>
                <w:rFonts w:cs="Arial"/>
                <w:color w:val="333333"/>
                <w:sz w:val="18"/>
                <w:szCs w:val="18"/>
              </w:rPr>
              <w:t>290</w:t>
            </w:r>
          </w:p>
        </w:tc>
        <w:tc>
          <w:tcPr>
            <w:tcW w:w="477"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15195DD6" w14:textId="77777777" w:rsidR="0025610F" w:rsidRDefault="0025610F">
            <w:pPr>
              <w:jc w:val="right"/>
              <w:rPr>
                <w:rFonts w:cs="Arial"/>
                <w:color w:val="333333"/>
                <w:sz w:val="18"/>
                <w:szCs w:val="18"/>
              </w:rPr>
            </w:pPr>
            <w:r>
              <w:rPr>
                <w:rFonts w:cs="Arial"/>
                <w:color w:val="333333"/>
                <w:sz w:val="18"/>
                <w:szCs w:val="18"/>
              </w:rPr>
              <w:t>-</w:t>
            </w:r>
          </w:p>
        </w:tc>
        <w:tc>
          <w:tcPr>
            <w:tcW w:w="50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09319BC9" w14:textId="77777777" w:rsidR="0025610F" w:rsidRDefault="0025610F">
            <w:pPr>
              <w:jc w:val="right"/>
              <w:rPr>
                <w:rFonts w:cs="Arial"/>
                <w:color w:val="333333"/>
                <w:sz w:val="18"/>
                <w:szCs w:val="18"/>
              </w:rPr>
            </w:pPr>
            <w:r>
              <w:rPr>
                <w:rFonts w:cs="Arial"/>
                <w:color w:val="333333"/>
                <w:sz w:val="18"/>
                <w:szCs w:val="18"/>
              </w:rPr>
              <w:t>508.307</w:t>
            </w:r>
          </w:p>
        </w:tc>
        <w:tc>
          <w:tcPr>
            <w:tcW w:w="531"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4F32149B" w14:textId="77777777" w:rsidR="0025610F" w:rsidRDefault="0025610F">
            <w:pPr>
              <w:jc w:val="right"/>
              <w:rPr>
                <w:rFonts w:cs="Arial"/>
                <w:color w:val="333333"/>
                <w:sz w:val="18"/>
                <w:szCs w:val="18"/>
              </w:rPr>
            </w:pPr>
            <w:r>
              <w:rPr>
                <w:rFonts w:cs="Arial"/>
                <w:color w:val="333333"/>
                <w:sz w:val="18"/>
                <w:szCs w:val="18"/>
              </w:rPr>
              <w:t>77.837</w:t>
            </w:r>
          </w:p>
        </w:tc>
        <w:tc>
          <w:tcPr>
            <w:tcW w:w="528" w:type="pct"/>
            <w:tcBorders>
              <w:top w:val="nil"/>
              <w:left w:val="single" w:sz="4" w:space="0" w:color="auto"/>
              <w:bottom w:val="nil"/>
              <w:right w:val="nil"/>
            </w:tcBorders>
            <w:shd w:val="clear" w:color="auto" w:fill="FFFFFF"/>
            <w:noWrap/>
            <w:tcMar>
              <w:top w:w="28" w:type="dxa"/>
              <w:bottom w:w="28" w:type="dxa"/>
            </w:tcMar>
            <w:vAlign w:val="center"/>
            <w:hideMark/>
          </w:tcPr>
          <w:p w14:paraId="4F4D6D0D" w14:textId="77777777" w:rsidR="0025610F" w:rsidRDefault="0025610F">
            <w:pPr>
              <w:jc w:val="right"/>
              <w:rPr>
                <w:rFonts w:cs="Arial"/>
                <w:color w:val="333333"/>
                <w:sz w:val="18"/>
                <w:szCs w:val="18"/>
              </w:rPr>
            </w:pPr>
            <w:r>
              <w:rPr>
                <w:rFonts w:cs="Arial"/>
                <w:color w:val="333333"/>
                <w:sz w:val="18"/>
                <w:szCs w:val="18"/>
              </w:rPr>
              <w:t>430.470</w:t>
            </w:r>
          </w:p>
        </w:tc>
      </w:tr>
      <w:tr w:rsidR="0025610F" w14:paraId="04E2B291" w14:textId="77777777" w:rsidTr="00B7099A">
        <w:trPr>
          <w:trHeight w:val="340"/>
        </w:trPr>
        <w:tc>
          <w:tcPr>
            <w:tcW w:w="1084" w:type="pct"/>
            <w:tcBorders>
              <w:top w:val="nil"/>
              <w:left w:val="nil"/>
              <w:bottom w:val="nil"/>
              <w:right w:val="single" w:sz="4" w:space="0" w:color="auto"/>
            </w:tcBorders>
            <w:tcMar>
              <w:top w:w="28" w:type="dxa"/>
              <w:bottom w:w="28" w:type="dxa"/>
            </w:tcMar>
            <w:vAlign w:val="center"/>
            <w:hideMark/>
          </w:tcPr>
          <w:p w14:paraId="64BA3834" w14:textId="77777777" w:rsidR="0025610F" w:rsidRDefault="0025610F" w:rsidP="00B7099A">
            <w:pPr>
              <w:rPr>
                <w:rFonts w:cs="Arial"/>
                <w:color w:val="333333"/>
                <w:sz w:val="16"/>
                <w:szCs w:val="16"/>
              </w:rPr>
            </w:pPr>
            <w:r>
              <w:rPr>
                <w:rFonts w:cs="Arial"/>
                <w:color w:val="333333"/>
                <w:sz w:val="16"/>
                <w:szCs w:val="16"/>
              </w:rPr>
              <w:t>750 a 799 Recursos das Demais Vinculações Legais Social</w:t>
            </w:r>
          </w:p>
        </w:tc>
        <w:tc>
          <w:tcPr>
            <w:tcW w:w="51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570B0CEA" w14:textId="77777777" w:rsidR="0025610F" w:rsidRDefault="0025610F">
            <w:pPr>
              <w:jc w:val="right"/>
              <w:rPr>
                <w:rFonts w:cs="Arial"/>
                <w:color w:val="333333"/>
                <w:sz w:val="18"/>
                <w:szCs w:val="18"/>
              </w:rPr>
            </w:pPr>
            <w:r>
              <w:rPr>
                <w:rFonts w:cs="Arial"/>
                <w:color w:val="333333"/>
                <w:sz w:val="18"/>
                <w:szCs w:val="18"/>
              </w:rPr>
              <w:t>5.004.326</w:t>
            </w:r>
          </w:p>
        </w:tc>
        <w:tc>
          <w:tcPr>
            <w:tcW w:w="454"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5DFB47AB" w14:textId="77777777" w:rsidR="0025610F" w:rsidRDefault="0025610F">
            <w:pPr>
              <w:jc w:val="right"/>
              <w:rPr>
                <w:rFonts w:cs="Arial"/>
                <w:color w:val="333333"/>
                <w:sz w:val="18"/>
                <w:szCs w:val="18"/>
              </w:rPr>
            </w:pPr>
            <w:r>
              <w:rPr>
                <w:rFonts w:cs="Arial"/>
                <w:color w:val="333333"/>
                <w:sz w:val="18"/>
                <w:szCs w:val="18"/>
              </w:rPr>
              <w:t>21.727</w:t>
            </w:r>
          </w:p>
        </w:tc>
        <w:tc>
          <w:tcPr>
            <w:tcW w:w="44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0BF96316" w14:textId="77777777" w:rsidR="0025610F" w:rsidRDefault="0025610F">
            <w:pPr>
              <w:jc w:val="right"/>
              <w:rPr>
                <w:rFonts w:cs="Arial"/>
                <w:color w:val="333333"/>
                <w:sz w:val="18"/>
                <w:szCs w:val="18"/>
              </w:rPr>
            </w:pPr>
            <w:r>
              <w:rPr>
                <w:rFonts w:cs="Arial"/>
                <w:color w:val="333333"/>
                <w:sz w:val="18"/>
                <w:szCs w:val="18"/>
              </w:rPr>
              <w:t>311.211</w:t>
            </w:r>
          </w:p>
        </w:tc>
        <w:tc>
          <w:tcPr>
            <w:tcW w:w="46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795AEF0C" w14:textId="77777777" w:rsidR="0025610F" w:rsidRDefault="0025610F">
            <w:pPr>
              <w:jc w:val="right"/>
              <w:rPr>
                <w:rFonts w:cs="Arial"/>
                <w:color w:val="333333"/>
                <w:sz w:val="18"/>
                <w:szCs w:val="18"/>
              </w:rPr>
            </w:pPr>
            <w:r>
              <w:rPr>
                <w:rFonts w:cs="Arial"/>
                <w:color w:val="333333"/>
                <w:sz w:val="18"/>
                <w:szCs w:val="18"/>
              </w:rPr>
              <w:t>7.254</w:t>
            </w:r>
          </w:p>
        </w:tc>
        <w:tc>
          <w:tcPr>
            <w:tcW w:w="477"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30919812" w14:textId="77777777" w:rsidR="0025610F" w:rsidRDefault="0025610F">
            <w:pPr>
              <w:jc w:val="right"/>
              <w:rPr>
                <w:rFonts w:cs="Arial"/>
                <w:color w:val="333333"/>
                <w:sz w:val="18"/>
                <w:szCs w:val="18"/>
              </w:rPr>
            </w:pPr>
            <w:r>
              <w:rPr>
                <w:rFonts w:cs="Arial"/>
                <w:color w:val="333333"/>
                <w:sz w:val="18"/>
                <w:szCs w:val="18"/>
              </w:rPr>
              <w:t>-</w:t>
            </w:r>
          </w:p>
        </w:tc>
        <w:tc>
          <w:tcPr>
            <w:tcW w:w="50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5C83B5FE" w14:textId="77777777" w:rsidR="0025610F" w:rsidRDefault="0025610F">
            <w:pPr>
              <w:jc w:val="right"/>
              <w:rPr>
                <w:rFonts w:cs="Arial"/>
                <w:color w:val="333333"/>
                <w:sz w:val="18"/>
                <w:szCs w:val="18"/>
              </w:rPr>
            </w:pPr>
            <w:r>
              <w:rPr>
                <w:rFonts w:cs="Arial"/>
                <w:color w:val="333333"/>
                <w:sz w:val="18"/>
                <w:szCs w:val="18"/>
              </w:rPr>
              <w:t>4.664.134</w:t>
            </w:r>
          </w:p>
        </w:tc>
        <w:tc>
          <w:tcPr>
            <w:tcW w:w="531"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43E9A7BE" w14:textId="77777777" w:rsidR="0025610F" w:rsidRDefault="0025610F">
            <w:pPr>
              <w:jc w:val="right"/>
              <w:rPr>
                <w:rFonts w:cs="Arial"/>
                <w:color w:val="333333"/>
                <w:sz w:val="18"/>
                <w:szCs w:val="18"/>
              </w:rPr>
            </w:pPr>
            <w:r>
              <w:rPr>
                <w:rFonts w:cs="Arial"/>
                <w:color w:val="333333"/>
                <w:sz w:val="18"/>
                <w:szCs w:val="18"/>
              </w:rPr>
              <w:t>375.656</w:t>
            </w:r>
          </w:p>
        </w:tc>
        <w:tc>
          <w:tcPr>
            <w:tcW w:w="528" w:type="pct"/>
            <w:tcBorders>
              <w:top w:val="nil"/>
              <w:left w:val="single" w:sz="4" w:space="0" w:color="auto"/>
              <w:bottom w:val="nil"/>
              <w:right w:val="nil"/>
            </w:tcBorders>
            <w:shd w:val="clear" w:color="auto" w:fill="FFFFFF"/>
            <w:noWrap/>
            <w:tcMar>
              <w:top w:w="28" w:type="dxa"/>
              <w:bottom w:w="28" w:type="dxa"/>
            </w:tcMar>
            <w:vAlign w:val="center"/>
            <w:hideMark/>
          </w:tcPr>
          <w:p w14:paraId="75D4EF06" w14:textId="77777777" w:rsidR="0025610F" w:rsidRDefault="0025610F">
            <w:pPr>
              <w:jc w:val="right"/>
              <w:rPr>
                <w:rFonts w:cs="Arial"/>
                <w:color w:val="333333"/>
                <w:sz w:val="18"/>
                <w:szCs w:val="18"/>
              </w:rPr>
            </w:pPr>
            <w:r>
              <w:rPr>
                <w:rFonts w:cs="Arial"/>
                <w:color w:val="333333"/>
                <w:sz w:val="18"/>
                <w:szCs w:val="18"/>
              </w:rPr>
              <w:t>4.288.478</w:t>
            </w:r>
          </w:p>
        </w:tc>
      </w:tr>
      <w:tr w:rsidR="0025610F" w14:paraId="4488B68C" w14:textId="77777777" w:rsidTr="00B7099A">
        <w:trPr>
          <w:trHeight w:val="340"/>
        </w:trPr>
        <w:tc>
          <w:tcPr>
            <w:tcW w:w="1084" w:type="pct"/>
            <w:tcBorders>
              <w:top w:val="nil"/>
              <w:left w:val="nil"/>
              <w:bottom w:val="nil"/>
              <w:right w:val="single" w:sz="4" w:space="0" w:color="auto"/>
            </w:tcBorders>
            <w:tcMar>
              <w:top w:w="28" w:type="dxa"/>
              <w:bottom w:w="28" w:type="dxa"/>
            </w:tcMar>
            <w:vAlign w:val="center"/>
            <w:hideMark/>
          </w:tcPr>
          <w:p w14:paraId="07E9220C" w14:textId="77777777" w:rsidR="0025610F" w:rsidRDefault="0025610F" w:rsidP="00B7099A">
            <w:pPr>
              <w:rPr>
                <w:rFonts w:cs="Arial"/>
                <w:color w:val="333333"/>
                <w:sz w:val="16"/>
                <w:szCs w:val="16"/>
              </w:rPr>
            </w:pPr>
            <w:r>
              <w:rPr>
                <w:rFonts w:cs="Arial"/>
                <w:color w:val="333333"/>
                <w:sz w:val="16"/>
                <w:szCs w:val="16"/>
              </w:rPr>
              <w:t>800 a 803 Recursos Vinculados à Previdência Social</w:t>
            </w:r>
          </w:p>
        </w:tc>
        <w:tc>
          <w:tcPr>
            <w:tcW w:w="51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15CBD0C6" w14:textId="77777777" w:rsidR="0025610F" w:rsidRDefault="0025610F">
            <w:pPr>
              <w:jc w:val="right"/>
              <w:rPr>
                <w:rFonts w:cs="Arial"/>
                <w:color w:val="333333"/>
                <w:sz w:val="18"/>
                <w:szCs w:val="18"/>
              </w:rPr>
            </w:pPr>
            <w:r>
              <w:rPr>
                <w:rFonts w:cs="Arial"/>
                <w:color w:val="333333"/>
                <w:sz w:val="18"/>
                <w:szCs w:val="18"/>
              </w:rPr>
              <w:t>193.149</w:t>
            </w:r>
          </w:p>
        </w:tc>
        <w:tc>
          <w:tcPr>
            <w:tcW w:w="454"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4714E810" w14:textId="77777777" w:rsidR="0025610F" w:rsidRDefault="0025610F">
            <w:pPr>
              <w:jc w:val="right"/>
              <w:rPr>
                <w:rFonts w:cs="Arial"/>
                <w:color w:val="333333"/>
                <w:sz w:val="18"/>
                <w:szCs w:val="18"/>
              </w:rPr>
            </w:pPr>
            <w:r>
              <w:rPr>
                <w:rFonts w:cs="Arial"/>
                <w:color w:val="333333"/>
                <w:sz w:val="18"/>
                <w:szCs w:val="18"/>
              </w:rPr>
              <w:t>80</w:t>
            </w:r>
          </w:p>
        </w:tc>
        <w:tc>
          <w:tcPr>
            <w:tcW w:w="44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08178721" w14:textId="77777777" w:rsidR="0025610F" w:rsidRDefault="0025610F">
            <w:pPr>
              <w:jc w:val="right"/>
              <w:rPr>
                <w:rFonts w:cs="Arial"/>
                <w:color w:val="333333"/>
                <w:sz w:val="18"/>
                <w:szCs w:val="18"/>
              </w:rPr>
            </w:pPr>
            <w:r>
              <w:rPr>
                <w:rFonts w:cs="Arial"/>
                <w:color w:val="333333"/>
                <w:sz w:val="18"/>
                <w:szCs w:val="18"/>
              </w:rPr>
              <w:t>-</w:t>
            </w:r>
          </w:p>
        </w:tc>
        <w:tc>
          <w:tcPr>
            <w:tcW w:w="46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09A7C440" w14:textId="77777777" w:rsidR="0025610F" w:rsidRDefault="0025610F">
            <w:pPr>
              <w:jc w:val="right"/>
              <w:rPr>
                <w:rFonts w:cs="Arial"/>
                <w:color w:val="333333"/>
                <w:sz w:val="18"/>
                <w:szCs w:val="18"/>
              </w:rPr>
            </w:pPr>
            <w:r>
              <w:rPr>
                <w:rFonts w:cs="Arial"/>
                <w:color w:val="333333"/>
                <w:sz w:val="18"/>
                <w:szCs w:val="18"/>
              </w:rPr>
              <w:t>-</w:t>
            </w:r>
          </w:p>
        </w:tc>
        <w:tc>
          <w:tcPr>
            <w:tcW w:w="477"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042074C4" w14:textId="77777777" w:rsidR="0025610F" w:rsidRDefault="0025610F">
            <w:pPr>
              <w:jc w:val="right"/>
              <w:rPr>
                <w:rFonts w:cs="Arial"/>
                <w:color w:val="333333"/>
                <w:sz w:val="18"/>
                <w:szCs w:val="18"/>
              </w:rPr>
            </w:pPr>
            <w:r>
              <w:rPr>
                <w:rFonts w:cs="Arial"/>
                <w:color w:val="333333"/>
                <w:sz w:val="18"/>
                <w:szCs w:val="18"/>
              </w:rPr>
              <w:t>-</w:t>
            </w:r>
          </w:p>
        </w:tc>
        <w:tc>
          <w:tcPr>
            <w:tcW w:w="50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6C2C2871" w14:textId="77777777" w:rsidR="0025610F" w:rsidRDefault="0025610F">
            <w:pPr>
              <w:jc w:val="right"/>
              <w:rPr>
                <w:rFonts w:cs="Arial"/>
                <w:color w:val="333333"/>
                <w:sz w:val="18"/>
                <w:szCs w:val="18"/>
              </w:rPr>
            </w:pPr>
            <w:r>
              <w:rPr>
                <w:rFonts w:cs="Arial"/>
                <w:color w:val="333333"/>
                <w:sz w:val="18"/>
                <w:szCs w:val="18"/>
              </w:rPr>
              <w:t>193.068</w:t>
            </w:r>
          </w:p>
        </w:tc>
        <w:tc>
          <w:tcPr>
            <w:tcW w:w="531"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75185B74" w14:textId="77777777" w:rsidR="0025610F" w:rsidRDefault="0025610F">
            <w:pPr>
              <w:jc w:val="right"/>
              <w:rPr>
                <w:rFonts w:cs="Arial"/>
                <w:color w:val="333333"/>
                <w:sz w:val="18"/>
                <w:szCs w:val="18"/>
              </w:rPr>
            </w:pPr>
            <w:r>
              <w:rPr>
                <w:rFonts w:cs="Arial"/>
                <w:color w:val="333333"/>
                <w:sz w:val="18"/>
                <w:szCs w:val="18"/>
              </w:rPr>
              <w:t>4.731</w:t>
            </w:r>
          </w:p>
        </w:tc>
        <w:tc>
          <w:tcPr>
            <w:tcW w:w="528" w:type="pct"/>
            <w:tcBorders>
              <w:top w:val="nil"/>
              <w:left w:val="single" w:sz="4" w:space="0" w:color="auto"/>
              <w:bottom w:val="nil"/>
              <w:right w:val="nil"/>
            </w:tcBorders>
            <w:shd w:val="clear" w:color="auto" w:fill="FFFFFF"/>
            <w:noWrap/>
            <w:tcMar>
              <w:top w:w="28" w:type="dxa"/>
              <w:bottom w:w="28" w:type="dxa"/>
            </w:tcMar>
            <w:vAlign w:val="center"/>
            <w:hideMark/>
          </w:tcPr>
          <w:p w14:paraId="42795A44" w14:textId="77777777" w:rsidR="0025610F" w:rsidRDefault="0025610F">
            <w:pPr>
              <w:jc w:val="right"/>
              <w:rPr>
                <w:rFonts w:cs="Arial"/>
                <w:color w:val="333333"/>
                <w:sz w:val="18"/>
                <w:szCs w:val="18"/>
              </w:rPr>
            </w:pPr>
            <w:r>
              <w:rPr>
                <w:rFonts w:cs="Arial"/>
                <w:color w:val="333333"/>
                <w:sz w:val="18"/>
                <w:szCs w:val="18"/>
              </w:rPr>
              <w:t>188.337</w:t>
            </w:r>
          </w:p>
        </w:tc>
      </w:tr>
      <w:tr w:rsidR="0025610F" w14:paraId="532CC05B" w14:textId="77777777" w:rsidTr="00B7099A">
        <w:trPr>
          <w:trHeight w:val="340"/>
        </w:trPr>
        <w:tc>
          <w:tcPr>
            <w:tcW w:w="1084" w:type="pct"/>
            <w:tcBorders>
              <w:top w:val="nil"/>
              <w:left w:val="nil"/>
              <w:bottom w:val="nil"/>
              <w:right w:val="single" w:sz="4" w:space="0" w:color="auto"/>
            </w:tcBorders>
            <w:tcMar>
              <w:top w:w="28" w:type="dxa"/>
              <w:bottom w:w="28" w:type="dxa"/>
            </w:tcMar>
            <w:vAlign w:val="center"/>
            <w:hideMark/>
          </w:tcPr>
          <w:p w14:paraId="4BCFFC83" w14:textId="77777777" w:rsidR="0025610F" w:rsidRDefault="0025610F" w:rsidP="00B7099A">
            <w:pPr>
              <w:rPr>
                <w:rFonts w:cs="Arial"/>
                <w:color w:val="333333"/>
                <w:sz w:val="16"/>
                <w:szCs w:val="16"/>
              </w:rPr>
            </w:pPr>
            <w:r>
              <w:rPr>
                <w:rFonts w:cs="Arial"/>
                <w:color w:val="333333"/>
                <w:sz w:val="16"/>
                <w:szCs w:val="16"/>
              </w:rPr>
              <w:t>860 a 869 Recursos Extraorçamentários</w:t>
            </w:r>
          </w:p>
        </w:tc>
        <w:tc>
          <w:tcPr>
            <w:tcW w:w="51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05171DC3" w14:textId="77777777" w:rsidR="0025610F" w:rsidRDefault="0025610F">
            <w:pPr>
              <w:jc w:val="right"/>
              <w:rPr>
                <w:rFonts w:cs="Arial"/>
                <w:color w:val="333333"/>
                <w:sz w:val="18"/>
                <w:szCs w:val="18"/>
              </w:rPr>
            </w:pPr>
            <w:r>
              <w:rPr>
                <w:rFonts w:cs="Arial"/>
                <w:color w:val="333333"/>
                <w:sz w:val="18"/>
                <w:szCs w:val="18"/>
              </w:rPr>
              <w:t>1.742.702</w:t>
            </w:r>
          </w:p>
        </w:tc>
        <w:tc>
          <w:tcPr>
            <w:tcW w:w="454"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62DD7218" w14:textId="77777777" w:rsidR="0025610F" w:rsidRDefault="0025610F">
            <w:pPr>
              <w:jc w:val="right"/>
              <w:rPr>
                <w:rFonts w:cs="Arial"/>
                <w:color w:val="333333"/>
                <w:sz w:val="18"/>
                <w:szCs w:val="18"/>
              </w:rPr>
            </w:pPr>
            <w:r>
              <w:rPr>
                <w:rFonts w:cs="Arial"/>
                <w:color w:val="333333"/>
                <w:sz w:val="18"/>
                <w:szCs w:val="18"/>
              </w:rPr>
              <w:t>-</w:t>
            </w:r>
          </w:p>
        </w:tc>
        <w:tc>
          <w:tcPr>
            <w:tcW w:w="44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646EDBA8" w14:textId="77777777" w:rsidR="0025610F" w:rsidRDefault="0025610F">
            <w:pPr>
              <w:jc w:val="right"/>
              <w:rPr>
                <w:rFonts w:cs="Arial"/>
                <w:color w:val="333333"/>
                <w:sz w:val="18"/>
                <w:szCs w:val="18"/>
              </w:rPr>
            </w:pPr>
            <w:r>
              <w:rPr>
                <w:rFonts w:cs="Arial"/>
                <w:color w:val="333333"/>
                <w:sz w:val="18"/>
                <w:szCs w:val="18"/>
              </w:rPr>
              <w:t>-</w:t>
            </w:r>
          </w:p>
        </w:tc>
        <w:tc>
          <w:tcPr>
            <w:tcW w:w="46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0BEDAD2D" w14:textId="77777777" w:rsidR="0025610F" w:rsidRDefault="0025610F">
            <w:pPr>
              <w:jc w:val="right"/>
              <w:rPr>
                <w:rFonts w:cs="Arial"/>
                <w:color w:val="333333"/>
                <w:sz w:val="18"/>
                <w:szCs w:val="18"/>
              </w:rPr>
            </w:pPr>
            <w:r>
              <w:rPr>
                <w:rFonts w:cs="Arial"/>
                <w:color w:val="333333"/>
                <w:sz w:val="18"/>
                <w:szCs w:val="18"/>
              </w:rPr>
              <w:t>-</w:t>
            </w:r>
          </w:p>
        </w:tc>
        <w:tc>
          <w:tcPr>
            <w:tcW w:w="477"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38195577" w14:textId="77777777" w:rsidR="0025610F" w:rsidRDefault="0025610F">
            <w:pPr>
              <w:jc w:val="right"/>
              <w:rPr>
                <w:rFonts w:cs="Arial"/>
                <w:color w:val="333333"/>
                <w:sz w:val="16"/>
                <w:szCs w:val="16"/>
              </w:rPr>
            </w:pPr>
            <w:r>
              <w:rPr>
                <w:rFonts w:cs="Arial"/>
                <w:color w:val="333333"/>
                <w:sz w:val="16"/>
                <w:szCs w:val="16"/>
              </w:rPr>
              <w:t>1.739.536</w:t>
            </w:r>
          </w:p>
        </w:tc>
        <w:tc>
          <w:tcPr>
            <w:tcW w:w="50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3EF07FF6" w14:textId="77777777" w:rsidR="0025610F" w:rsidRDefault="0025610F">
            <w:pPr>
              <w:jc w:val="right"/>
              <w:rPr>
                <w:rFonts w:cs="Arial"/>
                <w:color w:val="333333"/>
                <w:sz w:val="18"/>
                <w:szCs w:val="18"/>
              </w:rPr>
            </w:pPr>
            <w:r>
              <w:rPr>
                <w:rFonts w:cs="Arial"/>
                <w:color w:val="333333"/>
                <w:sz w:val="18"/>
                <w:szCs w:val="18"/>
              </w:rPr>
              <w:t>3.167</w:t>
            </w:r>
          </w:p>
        </w:tc>
        <w:tc>
          <w:tcPr>
            <w:tcW w:w="531"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2B69D004" w14:textId="77777777" w:rsidR="0025610F" w:rsidRDefault="0025610F">
            <w:pPr>
              <w:jc w:val="right"/>
              <w:rPr>
                <w:rFonts w:cs="Arial"/>
                <w:color w:val="333333"/>
                <w:sz w:val="18"/>
                <w:szCs w:val="18"/>
              </w:rPr>
            </w:pPr>
            <w:r>
              <w:rPr>
                <w:rFonts w:cs="Arial"/>
                <w:color w:val="333333"/>
                <w:sz w:val="18"/>
                <w:szCs w:val="18"/>
              </w:rPr>
              <w:t>-</w:t>
            </w:r>
          </w:p>
        </w:tc>
        <w:tc>
          <w:tcPr>
            <w:tcW w:w="528" w:type="pct"/>
            <w:tcBorders>
              <w:top w:val="nil"/>
              <w:left w:val="single" w:sz="4" w:space="0" w:color="auto"/>
              <w:bottom w:val="nil"/>
              <w:right w:val="nil"/>
            </w:tcBorders>
            <w:shd w:val="clear" w:color="auto" w:fill="FFFFFF"/>
            <w:noWrap/>
            <w:tcMar>
              <w:top w:w="28" w:type="dxa"/>
              <w:bottom w:w="28" w:type="dxa"/>
            </w:tcMar>
            <w:vAlign w:val="center"/>
            <w:hideMark/>
          </w:tcPr>
          <w:p w14:paraId="155E0684" w14:textId="77777777" w:rsidR="0025610F" w:rsidRDefault="0025610F">
            <w:pPr>
              <w:jc w:val="right"/>
              <w:rPr>
                <w:rFonts w:cs="Arial"/>
                <w:color w:val="333333"/>
                <w:sz w:val="18"/>
                <w:szCs w:val="18"/>
              </w:rPr>
            </w:pPr>
            <w:r>
              <w:rPr>
                <w:rFonts w:cs="Arial"/>
                <w:color w:val="333333"/>
                <w:sz w:val="18"/>
                <w:szCs w:val="18"/>
              </w:rPr>
              <w:t>3.167</w:t>
            </w:r>
          </w:p>
        </w:tc>
      </w:tr>
      <w:tr w:rsidR="0025610F" w14:paraId="3B9D03E9" w14:textId="77777777" w:rsidTr="00B7099A">
        <w:trPr>
          <w:trHeight w:val="340"/>
        </w:trPr>
        <w:tc>
          <w:tcPr>
            <w:tcW w:w="1084" w:type="pct"/>
            <w:tcBorders>
              <w:top w:val="nil"/>
              <w:left w:val="nil"/>
              <w:bottom w:val="nil"/>
              <w:right w:val="single" w:sz="4" w:space="0" w:color="auto"/>
            </w:tcBorders>
            <w:tcMar>
              <w:top w:w="28" w:type="dxa"/>
              <w:bottom w:w="28" w:type="dxa"/>
            </w:tcMar>
            <w:vAlign w:val="center"/>
            <w:hideMark/>
          </w:tcPr>
          <w:p w14:paraId="76DC4B0E" w14:textId="77777777" w:rsidR="0025610F" w:rsidRDefault="0025610F" w:rsidP="00B7099A">
            <w:pPr>
              <w:rPr>
                <w:rFonts w:cs="Arial"/>
                <w:color w:val="333333"/>
                <w:sz w:val="16"/>
                <w:szCs w:val="16"/>
              </w:rPr>
            </w:pPr>
            <w:r>
              <w:rPr>
                <w:rFonts w:cs="Arial"/>
                <w:color w:val="333333"/>
                <w:sz w:val="16"/>
                <w:szCs w:val="16"/>
              </w:rPr>
              <w:t>880 a 899 Outras Vinculações</w:t>
            </w:r>
          </w:p>
        </w:tc>
        <w:tc>
          <w:tcPr>
            <w:tcW w:w="512" w:type="pct"/>
            <w:tcBorders>
              <w:top w:val="nil"/>
              <w:left w:val="single" w:sz="4" w:space="0" w:color="auto"/>
              <w:bottom w:val="single" w:sz="4" w:space="0" w:color="auto"/>
              <w:right w:val="single" w:sz="4" w:space="0" w:color="auto"/>
            </w:tcBorders>
            <w:shd w:val="clear" w:color="auto" w:fill="FFFFFF"/>
            <w:noWrap/>
            <w:tcMar>
              <w:top w:w="28" w:type="dxa"/>
              <w:bottom w:w="28" w:type="dxa"/>
            </w:tcMar>
            <w:vAlign w:val="center"/>
            <w:hideMark/>
          </w:tcPr>
          <w:p w14:paraId="7C385CC8" w14:textId="77777777" w:rsidR="0025610F" w:rsidRDefault="0025610F">
            <w:pPr>
              <w:jc w:val="right"/>
              <w:rPr>
                <w:rFonts w:cs="Arial"/>
                <w:color w:val="333333"/>
                <w:sz w:val="18"/>
                <w:szCs w:val="18"/>
              </w:rPr>
            </w:pPr>
            <w:r>
              <w:rPr>
                <w:rFonts w:cs="Arial"/>
                <w:color w:val="333333"/>
                <w:sz w:val="18"/>
                <w:szCs w:val="18"/>
              </w:rPr>
              <w:t>238</w:t>
            </w:r>
          </w:p>
        </w:tc>
        <w:tc>
          <w:tcPr>
            <w:tcW w:w="454"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194C58DF" w14:textId="77777777" w:rsidR="0025610F" w:rsidRDefault="0025610F">
            <w:pPr>
              <w:jc w:val="right"/>
              <w:rPr>
                <w:rFonts w:cs="Arial"/>
                <w:color w:val="333333"/>
                <w:sz w:val="18"/>
                <w:szCs w:val="18"/>
              </w:rPr>
            </w:pPr>
            <w:r>
              <w:rPr>
                <w:rFonts w:cs="Arial"/>
                <w:color w:val="333333"/>
                <w:sz w:val="18"/>
                <w:szCs w:val="18"/>
              </w:rPr>
              <w:t>-</w:t>
            </w:r>
          </w:p>
        </w:tc>
        <w:tc>
          <w:tcPr>
            <w:tcW w:w="446" w:type="pct"/>
            <w:tcBorders>
              <w:top w:val="nil"/>
              <w:left w:val="single" w:sz="4" w:space="0" w:color="auto"/>
              <w:bottom w:val="single" w:sz="4" w:space="0" w:color="auto"/>
              <w:right w:val="single" w:sz="4" w:space="0" w:color="auto"/>
            </w:tcBorders>
            <w:shd w:val="clear" w:color="auto" w:fill="FFFFFF"/>
            <w:noWrap/>
            <w:tcMar>
              <w:top w:w="28" w:type="dxa"/>
              <w:bottom w:w="28" w:type="dxa"/>
            </w:tcMar>
            <w:vAlign w:val="center"/>
            <w:hideMark/>
          </w:tcPr>
          <w:p w14:paraId="20FA325D" w14:textId="77777777" w:rsidR="0025610F" w:rsidRDefault="0025610F">
            <w:pPr>
              <w:jc w:val="right"/>
              <w:rPr>
                <w:rFonts w:cs="Arial"/>
                <w:color w:val="333333"/>
                <w:sz w:val="18"/>
                <w:szCs w:val="18"/>
              </w:rPr>
            </w:pPr>
            <w:r>
              <w:rPr>
                <w:rFonts w:cs="Arial"/>
                <w:color w:val="333333"/>
                <w:sz w:val="18"/>
                <w:szCs w:val="18"/>
              </w:rPr>
              <w:t>-</w:t>
            </w:r>
          </w:p>
        </w:tc>
        <w:tc>
          <w:tcPr>
            <w:tcW w:w="462"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396ADAF9" w14:textId="77777777" w:rsidR="0025610F" w:rsidRDefault="0025610F">
            <w:pPr>
              <w:jc w:val="right"/>
              <w:rPr>
                <w:rFonts w:cs="Arial"/>
                <w:color w:val="333333"/>
                <w:sz w:val="18"/>
                <w:szCs w:val="18"/>
              </w:rPr>
            </w:pPr>
            <w:r>
              <w:rPr>
                <w:rFonts w:cs="Arial"/>
                <w:color w:val="333333"/>
                <w:sz w:val="18"/>
                <w:szCs w:val="18"/>
              </w:rPr>
              <w:t>-</w:t>
            </w:r>
          </w:p>
        </w:tc>
        <w:tc>
          <w:tcPr>
            <w:tcW w:w="477" w:type="pct"/>
            <w:tcBorders>
              <w:top w:val="nil"/>
              <w:left w:val="single" w:sz="4" w:space="0" w:color="auto"/>
              <w:bottom w:val="single" w:sz="4" w:space="0" w:color="auto"/>
              <w:right w:val="single" w:sz="4" w:space="0" w:color="auto"/>
            </w:tcBorders>
            <w:shd w:val="clear" w:color="auto" w:fill="FFFFFF"/>
            <w:noWrap/>
            <w:tcMar>
              <w:top w:w="28" w:type="dxa"/>
              <w:bottom w:w="28" w:type="dxa"/>
            </w:tcMar>
            <w:vAlign w:val="center"/>
            <w:hideMark/>
          </w:tcPr>
          <w:p w14:paraId="535F5D58" w14:textId="77777777" w:rsidR="0025610F" w:rsidRDefault="0025610F">
            <w:pPr>
              <w:jc w:val="right"/>
              <w:rPr>
                <w:rFonts w:cs="Arial"/>
                <w:color w:val="333333"/>
                <w:sz w:val="18"/>
                <w:szCs w:val="18"/>
              </w:rPr>
            </w:pPr>
            <w:r>
              <w:rPr>
                <w:rFonts w:cs="Arial"/>
                <w:color w:val="333333"/>
                <w:sz w:val="18"/>
                <w:szCs w:val="18"/>
              </w:rPr>
              <w:t>-</w:t>
            </w:r>
          </w:p>
        </w:tc>
        <w:tc>
          <w:tcPr>
            <w:tcW w:w="506" w:type="pct"/>
            <w:tcBorders>
              <w:top w:val="nil"/>
              <w:left w:val="single" w:sz="4" w:space="0" w:color="auto"/>
              <w:bottom w:val="nil"/>
              <w:right w:val="single" w:sz="4" w:space="0" w:color="auto"/>
            </w:tcBorders>
            <w:shd w:val="clear" w:color="auto" w:fill="FFFFFF"/>
            <w:noWrap/>
            <w:tcMar>
              <w:top w:w="28" w:type="dxa"/>
              <w:bottom w:w="28" w:type="dxa"/>
            </w:tcMar>
            <w:vAlign w:val="center"/>
            <w:hideMark/>
          </w:tcPr>
          <w:p w14:paraId="0C8CDF79" w14:textId="77777777" w:rsidR="0025610F" w:rsidRDefault="0025610F">
            <w:pPr>
              <w:jc w:val="right"/>
              <w:rPr>
                <w:rFonts w:cs="Arial"/>
                <w:color w:val="333333"/>
                <w:sz w:val="18"/>
                <w:szCs w:val="18"/>
              </w:rPr>
            </w:pPr>
            <w:r>
              <w:rPr>
                <w:rFonts w:cs="Arial"/>
                <w:color w:val="333333"/>
                <w:sz w:val="18"/>
                <w:szCs w:val="18"/>
              </w:rPr>
              <w:t>238</w:t>
            </w:r>
          </w:p>
        </w:tc>
        <w:tc>
          <w:tcPr>
            <w:tcW w:w="531" w:type="pct"/>
            <w:tcBorders>
              <w:top w:val="nil"/>
              <w:left w:val="single" w:sz="4" w:space="0" w:color="auto"/>
              <w:bottom w:val="single" w:sz="4" w:space="0" w:color="auto"/>
              <w:right w:val="single" w:sz="4" w:space="0" w:color="auto"/>
            </w:tcBorders>
            <w:shd w:val="clear" w:color="auto" w:fill="FFFFFF"/>
            <w:noWrap/>
            <w:tcMar>
              <w:top w:w="28" w:type="dxa"/>
              <w:bottom w:w="28" w:type="dxa"/>
            </w:tcMar>
            <w:vAlign w:val="center"/>
            <w:hideMark/>
          </w:tcPr>
          <w:p w14:paraId="1365EB05" w14:textId="77777777" w:rsidR="0025610F" w:rsidRDefault="0025610F">
            <w:pPr>
              <w:jc w:val="right"/>
              <w:rPr>
                <w:rFonts w:cs="Arial"/>
                <w:color w:val="333333"/>
                <w:sz w:val="18"/>
                <w:szCs w:val="18"/>
              </w:rPr>
            </w:pPr>
            <w:r>
              <w:rPr>
                <w:rFonts w:cs="Arial"/>
                <w:color w:val="333333"/>
                <w:sz w:val="18"/>
                <w:szCs w:val="18"/>
              </w:rPr>
              <w:t>-</w:t>
            </w:r>
          </w:p>
        </w:tc>
        <w:tc>
          <w:tcPr>
            <w:tcW w:w="528" w:type="pct"/>
            <w:tcBorders>
              <w:top w:val="nil"/>
              <w:left w:val="single" w:sz="4" w:space="0" w:color="auto"/>
              <w:bottom w:val="nil"/>
              <w:right w:val="nil"/>
            </w:tcBorders>
            <w:shd w:val="clear" w:color="auto" w:fill="FFFFFF"/>
            <w:noWrap/>
            <w:tcMar>
              <w:top w:w="28" w:type="dxa"/>
              <w:bottom w:w="28" w:type="dxa"/>
            </w:tcMar>
            <w:vAlign w:val="center"/>
            <w:hideMark/>
          </w:tcPr>
          <w:p w14:paraId="47F5CBEC" w14:textId="77777777" w:rsidR="0025610F" w:rsidRDefault="0025610F">
            <w:pPr>
              <w:jc w:val="right"/>
              <w:rPr>
                <w:rFonts w:cs="Arial"/>
                <w:color w:val="333333"/>
                <w:sz w:val="18"/>
                <w:szCs w:val="18"/>
              </w:rPr>
            </w:pPr>
            <w:r>
              <w:rPr>
                <w:rFonts w:cs="Arial"/>
                <w:color w:val="333333"/>
                <w:sz w:val="18"/>
                <w:szCs w:val="18"/>
              </w:rPr>
              <w:t>238</w:t>
            </w:r>
          </w:p>
        </w:tc>
      </w:tr>
      <w:tr w:rsidR="0025610F" w:rsidRPr="00044088" w14:paraId="0C0DD93A" w14:textId="77777777" w:rsidTr="00133FA6">
        <w:trPr>
          <w:trHeight w:val="340"/>
        </w:trPr>
        <w:tc>
          <w:tcPr>
            <w:tcW w:w="1084" w:type="pct"/>
            <w:tcBorders>
              <w:top w:val="single" w:sz="4" w:space="0" w:color="auto"/>
              <w:left w:val="nil"/>
              <w:bottom w:val="single" w:sz="4" w:space="0" w:color="auto"/>
              <w:right w:val="nil"/>
            </w:tcBorders>
            <w:vAlign w:val="center"/>
            <w:hideMark/>
          </w:tcPr>
          <w:p w14:paraId="11ABE00F" w14:textId="77777777" w:rsidR="0025610F" w:rsidRPr="00044088" w:rsidRDefault="0025610F">
            <w:pPr>
              <w:jc w:val="center"/>
              <w:rPr>
                <w:rFonts w:cs="Arial"/>
                <w:b/>
                <w:bCs/>
                <w:color w:val="333333"/>
                <w:sz w:val="18"/>
                <w:szCs w:val="16"/>
              </w:rPr>
            </w:pPr>
            <w:r w:rsidRPr="00044088">
              <w:rPr>
                <w:rFonts w:cs="Arial"/>
                <w:b/>
                <w:bCs/>
                <w:color w:val="333333"/>
                <w:sz w:val="18"/>
                <w:szCs w:val="16"/>
              </w:rPr>
              <w:t>TOTAL</w:t>
            </w:r>
          </w:p>
        </w:tc>
        <w:tc>
          <w:tcPr>
            <w:tcW w:w="512" w:type="pct"/>
            <w:tcBorders>
              <w:top w:val="single" w:sz="4" w:space="0" w:color="auto"/>
              <w:left w:val="single" w:sz="4" w:space="0" w:color="auto"/>
              <w:bottom w:val="single" w:sz="4" w:space="0" w:color="auto"/>
              <w:right w:val="single" w:sz="4" w:space="0" w:color="auto"/>
            </w:tcBorders>
            <w:noWrap/>
            <w:vAlign w:val="center"/>
            <w:hideMark/>
          </w:tcPr>
          <w:p w14:paraId="09BF4DD5" w14:textId="77777777" w:rsidR="0025610F" w:rsidRPr="00044088" w:rsidRDefault="0025610F">
            <w:pPr>
              <w:jc w:val="right"/>
              <w:rPr>
                <w:rFonts w:cs="Arial"/>
                <w:b/>
                <w:bCs/>
                <w:color w:val="000000"/>
                <w:sz w:val="16"/>
                <w:szCs w:val="16"/>
              </w:rPr>
            </w:pPr>
            <w:r w:rsidRPr="00044088">
              <w:rPr>
                <w:rFonts w:cs="Arial"/>
                <w:b/>
                <w:bCs/>
                <w:color w:val="000000"/>
                <w:sz w:val="16"/>
                <w:szCs w:val="16"/>
              </w:rPr>
              <w:t>16.545.814</w:t>
            </w:r>
          </w:p>
        </w:tc>
        <w:tc>
          <w:tcPr>
            <w:tcW w:w="454" w:type="pct"/>
            <w:tcBorders>
              <w:top w:val="single" w:sz="4" w:space="0" w:color="auto"/>
              <w:left w:val="nil"/>
              <w:bottom w:val="single" w:sz="4" w:space="0" w:color="auto"/>
              <w:right w:val="single" w:sz="4" w:space="0" w:color="auto"/>
            </w:tcBorders>
            <w:noWrap/>
            <w:vAlign w:val="center"/>
            <w:hideMark/>
          </w:tcPr>
          <w:p w14:paraId="0B19A891" w14:textId="77777777" w:rsidR="0025610F" w:rsidRPr="00044088" w:rsidRDefault="0025610F">
            <w:pPr>
              <w:jc w:val="right"/>
              <w:rPr>
                <w:rFonts w:cs="Arial"/>
                <w:b/>
                <w:bCs/>
                <w:color w:val="000000"/>
                <w:sz w:val="16"/>
                <w:szCs w:val="16"/>
              </w:rPr>
            </w:pPr>
            <w:r w:rsidRPr="00044088">
              <w:rPr>
                <w:rFonts w:cs="Arial"/>
                <w:b/>
                <w:bCs/>
                <w:color w:val="000000"/>
                <w:sz w:val="16"/>
                <w:szCs w:val="16"/>
              </w:rPr>
              <w:t>232.893</w:t>
            </w:r>
          </w:p>
        </w:tc>
        <w:tc>
          <w:tcPr>
            <w:tcW w:w="446" w:type="pct"/>
            <w:tcBorders>
              <w:top w:val="single" w:sz="4" w:space="0" w:color="auto"/>
              <w:left w:val="nil"/>
              <w:bottom w:val="single" w:sz="4" w:space="0" w:color="auto"/>
              <w:right w:val="single" w:sz="4" w:space="0" w:color="auto"/>
            </w:tcBorders>
            <w:noWrap/>
            <w:vAlign w:val="center"/>
            <w:hideMark/>
          </w:tcPr>
          <w:p w14:paraId="72648163" w14:textId="77777777" w:rsidR="0025610F" w:rsidRPr="00044088" w:rsidRDefault="0025610F">
            <w:pPr>
              <w:jc w:val="right"/>
              <w:rPr>
                <w:rFonts w:cs="Arial"/>
                <w:b/>
                <w:bCs/>
                <w:color w:val="000000"/>
                <w:sz w:val="16"/>
                <w:szCs w:val="16"/>
              </w:rPr>
            </w:pPr>
            <w:r w:rsidRPr="00044088">
              <w:rPr>
                <w:rFonts w:cs="Arial"/>
                <w:b/>
                <w:bCs/>
                <w:color w:val="000000"/>
                <w:sz w:val="16"/>
                <w:szCs w:val="16"/>
              </w:rPr>
              <w:t>624.115</w:t>
            </w:r>
          </w:p>
        </w:tc>
        <w:tc>
          <w:tcPr>
            <w:tcW w:w="462" w:type="pct"/>
            <w:tcBorders>
              <w:top w:val="single" w:sz="4" w:space="0" w:color="auto"/>
              <w:left w:val="nil"/>
              <w:bottom w:val="single" w:sz="4" w:space="0" w:color="auto"/>
              <w:right w:val="single" w:sz="4" w:space="0" w:color="auto"/>
            </w:tcBorders>
            <w:noWrap/>
            <w:vAlign w:val="center"/>
            <w:hideMark/>
          </w:tcPr>
          <w:p w14:paraId="14C4B472" w14:textId="77777777" w:rsidR="0025610F" w:rsidRPr="00044088" w:rsidRDefault="0025610F">
            <w:pPr>
              <w:jc w:val="right"/>
              <w:rPr>
                <w:rFonts w:cs="Arial"/>
                <w:b/>
                <w:bCs/>
                <w:color w:val="000000"/>
                <w:sz w:val="16"/>
                <w:szCs w:val="16"/>
              </w:rPr>
            </w:pPr>
            <w:r w:rsidRPr="00044088">
              <w:rPr>
                <w:rFonts w:cs="Arial"/>
                <w:b/>
                <w:bCs/>
                <w:color w:val="000000"/>
                <w:sz w:val="16"/>
                <w:szCs w:val="16"/>
              </w:rPr>
              <w:t>124.450</w:t>
            </w:r>
          </w:p>
        </w:tc>
        <w:tc>
          <w:tcPr>
            <w:tcW w:w="477" w:type="pct"/>
            <w:tcBorders>
              <w:top w:val="single" w:sz="4" w:space="0" w:color="auto"/>
              <w:left w:val="nil"/>
              <w:bottom w:val="single" w:sz="4" w:space="0" w:color="auto"/>
              <w:right w:val="single" w:sz="4" w:space="0" w:color="auto"/>
            </w:tcBorders>
            <w:noWrap/>
            <w:vAlign w:val="center"/>
            <w:hideMark/>
          </w:tcPr>
          <w:p w14:paraId="594B2818" w14:textId="77777777" w:rsidR="0025610F" w:rsidRPr="00044088" w:rsidRDefault="0025610F">
            <w:pPr>
              <w:jc w:val="right"/>
              <w:rPr>
                <w:rFonts w:cs="Arial"/>
                <w:b/>
                <w:bCs/>
                <w:color w:val="000000"/>
                <w:sz w:val="16"/>
                <w:szCs w:val="16"/>
              </w:rPr>
            </w:pPr>
            <w:r w:rsidRPr="00044088">
              <w:rPr>
                <w:rFonts w:cs="Arial"/>
                <w:b/>
                <w:bCs/>
                <w:color w:val="000000"/>
                <w:sz w:val="16"/>
                <w:szCs w:val="16"/>
              </w:rPr>
              <w:t>1.739.536</w:t>
            </w:r>
          </w:p>
        </w:tc>
        <w:tc>
          <w:tcPr>
            <w:tcW w:w="506" w:type="pct"/>
            <w:tcBorders>
              <w:top w:val="single" w:sz="4" w:space="0" w:color="auto"/>
              <w:left w:val="nil"/>
              <w:bottom w:val="single" w:sz="4" w:space="0" w:color="auto"/>
              <w:right w:val="single" w:sz="4" w:space="0" w:color="auto"/>
            </w:tcBorders>
            <w:noWrap/>
            <w:vAlign w:val="center"/>
            <w:hideMark/>
          </w:tcPr>
          <w:p w14:paraId="334E00C7" w14:textId="77777777" w:rsidR="0025610F" w:rsidRPr="00044088" w:rsidRDefault="0025610F">
            <w:pPr>
              <w:jc w:val="right"/>
              <w:rPr>
                <w:rFonts w:cs="Arial"/>
                <w:b/>
                <w:bCs/>
                <w:color w:val="000000"/>
                <w:sz w:val="16"/>
                <w:szCs w:val="16"/>
              </w:rPr>
            </w:pPr>
            <w:r w:rsidRPr="00044088">
              <w:rPr>
                <w:rFonts w:cs="Arial"/>
                <w:b/>
                <w:bCs/>
                <w:color w:val="000000"/>
                <w:sz w:val="16"/>
                <w:szCs w:val="16"/>
              </w:rPr>
              <w:t>13.824.821</w:t>
            </w:r>
          </w:p>
        </w:tc>
        <w:tc>
          <w:tcPr>
            <w:tcW w:w="531" w:type="pct"/>
            <w:tcBorders>
              <w:top w:val="single" w:sz="4" w:space="0" w:color="auto"/>
              <w:left w:val="nil"/>
              <w:bottom w:val="single" w:sz="4" w:space="0" w:color="auto"/>
              <w:right w:val="single" w:sz="4" w:space="0" w:color="auto"/>
            </w:tcBorders>
            <w:noWrap/>
            <w:vAlign w:val="center"/>
            <w:hideMark/>
          </w:tcPr>
          <w:p w14:paraId="5280A6E3" w14:textId="77777777" w:rsidR="0025610F" w:rsidRPr="00044088" w:rsidRDefault="0025610F">
            <w:pPr>
              <w:jc w:val="right"/>
              <w:rPr>
                <w:rFonts w:cs="Arial"/>
                <w:b/>
                <w:bCs/>
                <w:color w:val="000000"/>
                <w:sz w:val="16"/>
                <w:szCs w:val="16"/>
              </w:rPr>
            </w:pPr>
            <w:r w:rsidRPr="00044088">
              <w:rPr>
                <w:rFonts w:cs="Arial"/>
                <w:b/>
                <w:bCs/>
                <w:color w:val="000000"/>
                <w:sz w:val="16"/>
                <w:szCs w:val="16"/>
              </w:rPr>
              <w:t>1.334.545</w:t>
            </w:r>
          </w:p>
        </w:tc>
        <w:tc>
          <w:tcPr>
            <w:tcW w:w="528" w:type="pct"/>
            <w:tcBorders>
              <w:top w:val="single" w:sz="4" w:space="0" w:color="auto"/>
              <w:left w:val="nil"/>
              <w:bottom w:val="single" w:sz="4" w:space="0" w:color="auto"/>
              <w:right w:val="nil"/>
            </w:tcBorders>
            <w:noWrap/>
            <w:vAlign w:val="center"/>
            <w:hideMark/>
          </w:tcPr>
          <w:p w14:paraId="2C8F2F14" w14:textId="77777777" w:rsidR="0025610F" w:rsidRPr="00044088" w:rsidRDefault="0025610F">
            <w:pPr>
              <w:jc w:val="right"/>
              <w:rPr>
                <w:rFonts w:cs="Arial"/>
                <w:b/>
                <w:bCs/>
                <w:color w:val="000000"/>
                <w:sz w:val="16"/>
                <w:szCs w:val="16"/>
              </w:rPr>
            </w:pPr>
            <w:r w:rsidRPr="00044088">
              <w:rPr>
                <w:rFonts w:cs="Arial"/>
                <w:b/>
                <w:bCs/>
                <w:color w:val="000000"/>
                <w:sz w:val="16"/>
                <w:szCs w:val="16"/>
              </w:rPr>
              <w:t>12.490.277</w:t>
            </w:r>
          </w:p>
        </w:tc>
      </w:tr>
    </w:tbl>
    <w:p w14:paraId="0A533A13" w14:textId="77777777" w:rsidR="0025610F" w:rsidRDefault="0025610F" w:rsidP="0025610F">
      <w:pPr>
        <w:pStyle w:val="1-REL11"/>
        <w:spacing w:before="0"/>
        <w:rPr>
          <w:sz w:val="16"/>
          <w:szCs w:val="16"/>
        </w:rPr>
      </w:pPr>
      <w:r>
        <w:rPr>
          <w:sz w:val="16"/>
          <w:szCs w:val="16"/>
        </w:rPr>
        <w:t>Fonte: 1 – Disponibilidade Bruta de Caixa (BO – Saldos Conta Corrente, 1.1.1.1.1 e 1.3.5.1 Restos a Pagar (BO – Restos a Pagar); Obrigações por competência (8.6.3.2.1) e Demais Obrigações (Saldos Contábeis 2.1.8.8.1, 2.2.8.8.1 e 2.8.9.1.01.06)</w:t>
      </w:r>
    </w:p>
    <w:p w14:paraId="35E7A0A0" w14:textId="77777777" w:rsidR="0025610F" w:rsidRDefault="0025610F" w:rsidP="0025610F">
      <w:pPr>
        <w:pStyle w:val="1-REL11"/>
      </w:pPr>
      <w:bookmarkStart w:id="214" w:name="_Hlk105503531"/>
      <w:r>
        <w:lastRenderedPageBreak/>
        <w:t>Da análise das fontes pelos seus códigos principais, não é possível identificar a existência de fontes negativas. Todavia, analisando as fontes por sua codificação completa, desconsiderando apenas o exercício financeiro da fonte (E), verifica-se a existência de fontes negativas no Poder Executivo e Judiciário, ressaltando-se que a Fonte 0100 (DDDD) foi consolidada no Poder Executivo, vez que tal rubrica é de responsabilidade do Tesouro Estadual, conforme demonstrado na tabela abaixo:</w:t>
      </w:r>
      <w:bookmarkEnd w:id="214"/>
    </w:p>
    <w:p w14:paraId="1209FD09" w14:textId="77777777" w:rsidR="0025610F" w:rsidRDefault="0025610F" w:rsidP="00ED3571">
      <w:pPr>
        <w:pStyle w:val="0-TABELA"/>
      </w:pPr>
      <w:bookmarkStart w:id="215" w:name="_Toc105601625"/>
      <w:bookmarkStart w:id="216" w:name="_Toc167871775"/>
      <w:r>
        <w:t>Insuficiência Total de Caixa por Poder e por Fonte</w:t>
      </w:r>
      <w:bookmarkEnd w:id="215"/>
      <w:bookmarkEnd w:id="216"/>
    </w:p>
    <w:p w14:paraId="243CECC2" w14:textId="77777777" w:rsidR="0025610F" w:rsidRDefault="0025610F" w:rsidP="0025610F">
      <w:pPr>
        <w:pStyle w:val="0-EmR1"/>
      </w:pPr>
      <w:r>
        <w:t>R$ 1</w:t>
      </w:r>
    </w:p>
    <w:tbl>
      <w:tblPr>
        <w:tblW w:w="5000" w:type="pct"/>
        <w:tblCellMar>
          <w:left w:w="70" w:type="dxa"/>
          <w:right w:w="70" w:type="dxa"/>
        </w:tblCellMar>
        <w:tblLook w:val="04A0" w:firstRow="1" w:lastRow="0" w:firstColumn="1" w:lastColumn="0" w:noHBand="0" w:noVBand="1"/>
      </w:tblPr>
      <w:tblGrid>
        <w:gridCol w:w="2181"/>
        <w:gridCol w:w="5616"/>
        <w:gridCol w:w="1556"/>
      </w:tblGrid>
      <w:tr w:rsidR="0025610F" w:rsidRPr="007769BD" w14:paraId="20F3D45B" w14:textId="77777777" w:rsidTr="00C6321E">
        <w:trPr>
          <w:trHeight w:val="300"/>
          <w:tblHeader/>
        </w:trPr>
        <w:tc>
          <w:tcPr>
            <w:tcW w:w="1166" w:type="pct"/>
            <w:tcBorders>
              <w:top w:val="single" w:sz="4" w:space="0" w:color="auto"/>
              <w:left w:val="nil"/>
              <w:bottom w:val="single" w:sz="4" w:space="0" w:color="auto"/>
              <w:right w:val="nil"/>
            </w:tcBorders>
            <w:shd w:val="clear" w:color="auto" w:fill="A1F2FD"/>
            <w:vAlign w:val="center"/>
            <w:hideMark/>
          </w:tcPr>
          <w:p w14:paraId="50538194" w14:textId="77777777" w:rsidR="0025610F" w:rsidRPr="007769BD" w:rsidRDefault="0025610F">
            <w:pPr>
              <w:jc w:val="center"/>
              <w:rPr>
                <w:rFonts w:cs="Arial"/>
                <w:b/>
                <w:bCs/>
                <w:color w:val="000000" w:themeColor="text1"/>
                <w:sz w:val="18"/>
                <w:szCs w:val="18"/>
              </w:rPr>
            </w:pPr>
            <w:r w:rsidRPr="007769BD">
              <w:rPr>
                <w:rFonts w:cs="Arial"/>
                <w:b/>
                <w:bCs/>
                <w:color w:val="000000" w:themeColor="text1"/>
                <w:sz w:val="18"/>
                <w:szCs w:val="18"/>
              </w:rPr>
              <w:t>Poder</w:t>
            </w:r>
          </w:p>
        </w:tc>
        <w:tc>
          <w:tcPr>
            <w:tcW w:w="3002" w:type="pct"/>
            <w:tcBorders>
              <w:top w:val="single" w:sz="4" w:space="0" w:color="auto"/>
              <w:left w:val="single" w:sz="4" w:space="0" w:color="auto"/>
              <w:bottom w:val="single" w:sz="4" w:space="0" w:color="auto"/>
              <w:right w:val="single" w:sz="4" w:space="0" w:color="000000"/>
            </w:tcBorders>
            <w:shd w:val="clear" w:color="auto" w:fill="A1F2FD"/>
            <w:vAlign w:val="center"/>
            <w:hideMark/>
          </w:tcPr>
          <w:p w14:paraId="2E9EDFF6" w14:textId="77777777" w:rsidR="0025610F" w:rsidRPr="007769BD" w:rsidRDefault="0025610F">
            <w:pPr>
              <w:jc w:val="center"/>
              <w:rPr>
                <w:rFonts w:cs="Arial"/>
                <w:b/>
                <w:bCs/>
                <w:color w:val="000000" w:themeColor="text1"/>
                <w:sz w:val="18"/>
                <w:szCs w:val="18"/>
              </w:rPr>
            </w:pPr>
            <w:r w:rsidRPr="007769BD">
              <w:rPr>
                <w:rFonts w:cs="Arial"/>
                <w:b/>
                <w:bCs/>
                <w:color w:val="000000" w:themeColor="text1"/>
                <w:sz w:val="18"/>
                <w:szCs w:val="18"/>
              </w:rPr>
              <w:t>Fonte de Recursos</w:t>
            </w:r>
          </w:p>
        </w:tc>
        <w:tc>
          <w:tcPr>
            <w:tcW w:w="832" w:type="pct"/>
            <w:tcBorders>
              <w:top w:val="single" w:sz="4" w:space="0" w:color="auto"/>
              <w:left w:val="nil"/>
              <w:bottom w:val="single" w:sz="4" w:space="0" w:color="auto"/>
              <w:right w:val="nil"/>
            </w:tcBorders>
            <w:shd w:val="clear" w:color="auto" w:fill="A1F2FD"/>
            <w:vAlign w:val="center"/>
            <w:hideMark/>
          </w:tcPr>
          <w:p w14:paraId="2002A800" w14:textId="77777777" w:rsidR="0025610F" w:rsidRPr="007769BD" w:rsidRDefault="0025610F">
            <w:pPr>
              <w:jc w:val="center"/>
              <w:rPr>
                <w:rFonts w:cs="Arial"/>
                <w:b/>
                <w:bCs/>
                <w:color w:val="000000" w:themeColor="text1"/>
                <w:sz w:val="18"/>
                <w:szCs w:val="18"/>
              </w:rPr>
            </w:pPr>
            <w:r w:rsidRPr="007769BD">
              <w:rPr>
                <w:rFonts w:cs="Arial"/>
                <w:b/>
                <w:bCs/>
                <w:color w:val="000000" w:themeColor="text1"/>
                <w:sz w:val="18"/>
                <w:szCs w:val="18"/>
              </w:rPr>
              <w:t>Saldo</w:t>
            </w:r>
          </w:p>
        </w:tc>
      </w:tr>
      <w:tr w:rsidR="0025610F" w:rsidRPr="007769BD" w14:paraId="4C95C1CE" w14:textId="77777777" w:rsidTr="0025610F">
        <w:trPr>
          <w:trHeight w:val="300"/>
        </w:trPr>
        <w:tc>
          <w:tcPr>
            <w:tcW w:w="1166" w:type="pct"/>
            <w:vMerge w:val="restart"/>
            <w:tcBorders>
              <w:top w:val="nil"/>
              <w:left w:val="nil"/>
              <w:bottom w:val="single" w:sz="4" w:space="0" w:color="auto"/>
              <w:right w:val="nil"/>
            </w:tcBorders>
            <w:noWrap/>
            <w:vAlign w:val="center"/>
            <w:hideMark/>
          </w:tcPr>
          <w:p w14:paraId="45265E0E" w14:textId="77777777" w:rsidR="0025610F" w:rsidRPr="007769BD" w:rsidRDefault="0025610F">
            <w:pPr>
              <w:jc w:val="center"/>
              <w:rPr>
                <w:rFonts w:cs="Arial"/>
                <w:b/>
                <w:bCs/>
                <w:color w:val="000000" w:themeColor="text1"/>
                <w:sz w:val="18"/>
                <w:szCs w:val="18"/>
              </w:rPr>
            </w:pPr>
            <w:r w:rsidRPr="007769BD">
              <w:rPr>
                <w:rFonts w:cs="Arial"/>
                <w:b/>
                <w:bCs/>
                <w:color w:val="000000" w:themeColor="text1"/>
                <w:sz w:val="18"/>
                <w:szCs w:val="18"/>
              </w:rPr>
              <w:t>EXECUTIVO</w:t>
            </w:r>
          </w:p>
        </w:tc>
        <w:tc>
          <w:tcPr>
            <w:tcW w:w="3002" w:type="pct"/>
            <w:tcBorders>
              <w:top w:val="nil"/>
              <w:left w:val="single" w:sz="4" w:space="0" w:color="auto"/>
              <w:bottom w:val="nil"/>
              <w:right w:val="single" w:sz="4" w:space="0" w:color="000000"/>
            </w:tcBorders>
            <w:shd w:val="clear" w:color="auto" w:fill="FFFFFF"/>
            <w:vAlign w:val="center"/>
            <w:hideMark/>
          </w:tcPr>
          <w:p w14:paraId="6BF3255C" w14:textId="77777777" w:rsidR="0025610F" w:rsidRPr="007769BD" w:rsidRDefault="0025610F">
            <w:pPr>
              <w:rPr>
                <w:rFonts w:cs="Arial"/>
                <w:color w:val="000000" w:themeColor="text1"/>
                <w:sz w:val="18"/>
                <w:szCs w:val="18"/>
              </w:rPr>
            </w:pPr>
            <w:r w:rsidRPr="007769BD">
              <w:rPr>
                <w:rFonts w:cs="Arial"/>
                <w:color w:val="000000" w:themeColor="text1"/>
                <w:sz w:val="18"/>
                <w:szCs w:val="18"/>
              </w:rPr>
              <w:t>1.501.0136 – Outros Recursos não vinculados - Amortizações</w:t>
            </w:r>
          </w:p>
        </w:tc>
        <w:tc>
          <w:tcPr>
            <w:tcW w:w="832" w:type="pct"/>
            <w:noWrap/>
            <w:vAlign w:val="center"/>
            <w:hideMark/>
          </w:tcPr>
          <w:p w14:paraId="69ED384D" w14:textId="77777777" w:rsidR="0025610F" w:rsidRPr="007769BD" w:rsidRDefault="0025610F">
            <w:pPr>
              <w:jc w:val="right"/>
              <w:rPr>
                <w:rFonts w:cs="Arial"/>
                <w:color w:val="FF0000"/>
                <w:sz w:val="18"/>
                <w:szCs w:val="18"/>
              </w:rPr>
            </w:pPr>
            <w:r w:rsidRPr="007769BD">
              <w:rPr>
                <w:rFonts w:cs="Arial"/>
                <w:color w:val="FF0000"/>
                <w:sz w:val="18"/>
                <w:szCs w:val="18"/>
              </w:rPr>
              <w:t>(5.534)</w:t>
            </w:r>
          </w:p>
        </w:tc>
      </w:tr>
      <w:tr w:rsidR="0025610F" w:rsidRPr="007769BD" w14:paraId="5966A107" w14:textId="77777777" w:rsidTr="0025610F">
        <w:trPr>
          <w:trHeight w:val="300"/>
        </w:trPr>
        <w:tc>
          <w:tcPr>
            <w:tcW w:w="0" w:type="auto"/>
            <w:vMerge/>
            <w:tcBorders>
              <w:top w:val="nil"/>
              <w:left w:val="nil"/>
              <w:bottom w:val="single" w:sz="4" w:space="0" w:color="auto"/>
              <w:right w:val="nil"/>
            </w:tcBorders>
            <w:vAlign w:val="center"/>
            <w:hideMark/>
          </w:tcPr>
          <w:p w14:paraId="2838E1E4" w14:textId="77777777" w:rsidR="0025610F" w:rsidRPr="007769BD" w:rsidRDefault="0025610F">
            <w:pPr>
              <w:jc w:val="left"/>
              <w:rPr>
                <w:rFonts w:cs="Arial"/>
                <w:b/>
                <w:bCs/>
                <w:color w:val="000000" w:themeColor="text1"/>
                <w:sz w:val="18"/>
                <w:szCs w:val="18"/>
              </w:rPr>
            </w:pPr>
          </w:p>
        </w:tc>
        <w:tc>
          <w:tcPr>
            <w:tcW w:w="3002" w:type="pct"/>
            <w:tcBorders>
              <w:top w:val="nil"/>
              <w:left w:val="single" w:sz="4" w:space="0" w:color="auto"/>
              <w:bottom w:val="nil"/>
              <w:right w:val="single" w:sz="4" w:space="0" w:color="000000"/>
            </w:tcBorders>
            <w:shd w:val="clear" w:color="auto" w:fill="FFFFFF"/>
            <w:vAlign w:val="center"/>
            <w:hideMark/>
          </w:tcPr>
          <w:p w14:paraId="293EAA71" w14:textId="77777777" w:rsidR="0025610F" w:rsidRPr="007769BD" w:rsidRDefault="0025610F">
            <w:pPr>
              <w:rPr>
                <w:rFonts w:cs="Arial"/>
                <w:color w:val="000000" w:themeColor="text1"/>
                <w:sz w:val="18"/>
                <w:szCs w:val="18"/>
              </w:rPr>
            </w:pPr>
            <w:r w:rsidRPr="007769BD">
              <w:rPr>
                <w:rFonts w:cs="Arial"/>
                <w:color w:val="000000" w:themeColor="text1"/>
                <w:sz w:val="18"/>
                <w:szCs w:val="18"/>
              </w:rPr>
              <w:t>1.802.0330 - Recursos Vinculados ao RPPS - Taxa de Administração</w:t>
            </w:r>
          </w:p>
        </w:tc>
        <w:tc>
          <w:tcPr>
            <w:tcW w:w="832" w:type="pct"/>
            <w:noWrap/>
            <w:vAlign w:val="center"/>
            <w:hideMark/>
          </w:tcPr>
          <w:p w14:paraId="641D76E2" w14:textId="77777777" w:rsidR="0025610F" w:rsidRPr="007769BD" w:rsidRDefault="0025610F">
            <w:pPr>
              <w:jc w:val="right"/>
              <w:rPr>
                <w:rFonts w:cs="Arial"/>
                <w:color w:val="FF0000"/>
                <w:sz w:val="18"/>
                <w:szCs w:val="18"/>
              </w:rPr>
            </w:pPr>
            <w:r w:rsidRPr="007769BD">
              <w:rPr>
                <w:rFonts w:cs="Arial"/>
                <w:color w:val="FF0000"/>
                <w:sz w:val="18"/>
                <w:szCs w:val="18"/>
              </w:rPr>
              <w:t>(4.525.392)</w:t>
            </w:r>
          </w:p>
        </w:tc>
      </w:tr>
      <w:tr w:rsidR="00E949C4" w:rsidRPr="007769BD" w14:paraId="6D5E6F45" w14:textId="77777777" w:rsidTr="00E949C4">
        <w:trPr>
          <w:trHeight w:val="300"/>
        </w:trPr>
        <w:tc>
          <w:tcPr>
            <w:tcW w:w="0" w:type="auto"/>
            <w:vMerge/>
            <w:tcBorders>
              <w:top w:val="nil"/>
              <w:left w:val="nil"/>
              <w:bottom w:val="single" w:sz="4" w:space="0" w:color="auto"/>
              <w:right w:val="nil"/>
            </w:tcBorders>
            <w:vAlign w:val="center"/>
            <w:hideMark/>
          </w:tcPr>
          <w:p w14:paraId="513C7D15" w14:textId="77777777" w:rsidR="00E949C4" w:rsidRPr="007769BD" w:rsidRDefault="00E949C4">
            <w:pPr>
              <w:jc w:val="left"/>
              <w:rPr>
                <w:rFonts w:cs="Arial"/>
                <w:b/>
                <w:bCs/>
                <w:color w:val="000000" w:themeColor="text1"/>
                <w:sz w:val="18"/>
                <w:szCs w:val="18"/>
              </w:rPr>
            </w:pPr>
          </w:p>
        </w:tc>
        <w:tc>
          <w:tcPr>
            <w:tcW w:w="3002" w:type="pct"/>
            <w:tcBorders>
              <w:top w:val="single" w:sz="4" w:space="0" w:color="auto"/>
              <w:left w:val="single" w:sz="4" w:space="0" w:color="auto"/>
              <w:bottom w:val="single" w:sz="4" w:space="0" w:color="auto"/>
              <w:right w:val="single" w:sz="4" w:space="0" w:color="auto"/>
            </w:tcBorders>
            <w:vAlign w:val="center"/>
            <w:hideMark/>
          </w:tcPr>
          <w:p w14:paraId="0413CF52" w14:textId="7FD5983A" w:rsidR="00E949C4" w:rsidRPr="007769BD" w:rsidRDefault="00E949C4" w:rsidP="00E949C4">
            <w:pPr>
              <w:jc w:val="center"/>
              <w:rPr>
                <w:rFonts w:cs="Arial"/>
                <w:b/>
                <w:bCs/>
                <w:color w:val="000000" w:themeColor="text1"/>
                <w:sz w:val="18"/>
                <w:szCs w:val="18"/>
              </w:rPr>
            </w:pPr>
            <w:r w:rsidRPr="007769BD">
              <w:rPr>
                <w:rFonts w:cs="Arial"/>
                <w:b/>
                <w:bCs/>
                <w:color w:val="000000" w:themeColor="text1"/>
                <w:sz w:val="18"/>
                <w:szCs w:val="18"/>
              </w:rPr>
              <w:t>Subtotal</w:t>
            </w:r>
          </w:p>
        </w:tc>
        <w:tc>
          <w:tcPr>
            <w:tcW w:w="832" w:type="pct"/>
            <w:tcBorders>
              <w:top w:val="single" w:sz="4" w:space="0" w:color="auto"/>
              <w:left w:val="nil"/>
              <w:bottom w:val="single" w:sz="4" w:space="0" w:color="auto"/>
              <w:right w:val="nil"/>
            </w:tcBorders>
            <w:noWrap/>
            <w:vAlign w:val="center"/>
            <w:hideMark/>
          </w:tcPr>
          <w:p w14:paraId="07053211" w14:textId="77777777" w:rsidR="00E949C4" w:rsidRPr="007769BD" w:rsidRDefault="00E949C4">
            <w:pPr>
              <w:jc w:val="right"/>
              <w:rPr>
                <w:rFonts w:cs="Arial"/>
                <w:color w:val="FF0000"/>
                <w:sz w:val="18"/>
                <w:szCs w:val="18"/>
              </w:rPr>
            </w:pPr>
            <w:r w:rsidRPr="007769BD">
              <w:rPr>
                <w:rFonts w:cs="Arial"/>
                <w:color w:val="FF0000"/>
                <w:sz w:val="18"/>
                <w:szCs w:val="18"/>
              </w:rPr>
              <w:t>(4.530.926)</w:t>
            </w:r>
          </w:p>
        </w:tc>
      </w:tr>
      <w:tr w:rsidR="0025610F" w:rsidRPr="007769BD" w14:paraId="76B0439A" w14:textId="77777777" w:rsidTr="0025610F">
        <w:trPr>
          <w:trHeight w:val="300"/>
        </w:trPr>
        <w:tc>
          <w:tcPr>
            <w:tcW w:w="1166" w:type="pct"/>
            <w:tcBorders>
              <w:top w:val="nil"/>
              <w:left w:val="single" w:sz="4" w:space="0" w:color="EBEBEB"/>
              <w:bottom w:val="single" w:sz="4" w:space="0" w:color="auto"/>
              <w:right w:val="nil"/>
            </w:tcBorders>
            <w:shd w:val="clear" w:color="auto" w:fill="FFFFFF"/>
            <w:noWrap/>
            <w:vAlign w:val="center"/>
            <w:hideMark/>
          </w:tcPr>
          <w:p w14:paraId="5ADF93A4" w14:textId="77777777" w:rsidR="0025610F" w:rsidRPr="007769BD" w:rsidRDefault="0025610F">
            <w:pPr>
              <w:jc w:val="center"/>
              <w:rPr>
                <w:rFonts w:cs="Arial"/>
                <w:b/>
                <w:bCs/>
                <w:color w:val="000000" w:themeColor="text1"/>
                <w:sz w:val="18"/>
                <w:szCs w:val="18"/>
              </w:rPr>
            </w:pPr>
            <w:r w:rsidRPr="007769BD">
              <w:rPr>
                <w:rFonts w:cs="Arial"/>
                <w:b/>
                <w:bCs/>
                <w:color w:val="000000" w:themeColor="text1"/>
                <w:sz w:val="18"/>
                <w:szCs w:val="18"/>
              </w:rPr>
              <w:t>JUDICIARIO</w:t>
            </w:r>
          </w:p>
        </w:tc>
        <w:tc>
          <w:tcPr>
            <w:tcW w:w="3002" w:type="pct"/>
            <w:tcBorders>
              <w:top w:val="single" w:sz="4" w:space="0" w:color="auto"/>
              <w:left w:val="single" w:sz="4" w:space="0" w:color="auto"/>
              <w:bottom w:val="single" w:sz="4" w:space="0" w:color="auto"/>
              <w:right w:val="single" w:sz="4" w:space="0" w:color="000000"/>
            </w:tcBorders>
            <w:shd w:val="clear" w:color="auto" w:fill="FFFFFF"/>
            <w:vAlign w:val="center"/>
            <w:hideMark/>
          </w:tcPr>
          <w:p w14:paraId="4E2FD1DE" w14:textId="77777777" w:rsidR="0025610F" w:rsidRPr="007769BD" w:rsidRDefault="0025610F">
            <w:pPr>
              <w:rPr>
                <w:rFonts w:cs="Arial"/>
                <w:color w:val="000000" w:themeColor="text1"/>
                <w:sz w:val="18"/>
                <w:szCs w:val="18"/>
              </w:rPr>
            </w:pPr>
            <w:bookmarkStart w:id="217" w:name="_Hlk162949073"/>
            <w:r w:rsidRPr="007769BD">
              <w:rPr>
                <w:rFonts w:cs="Arial"/>
                <w:color w:val="000000" w:themeColor="text1"/>
                <w:sz w:val="18"/>
                <w:szCs w:val="18"/>
              </w:rPr>
              <w:t xml:space="preserve">2.501.0220 </w:t>
            </w:r>
            <w:bookmarkEnd w:id="217"/>
            <w:r w:rsidRPr="007769BD">
              <w:rPr>
                <w:rFonts w:cs="Arial"/>
                <w:color w:val="000000" w:themeColor="text1"/>
                <w:sz w:val="18"/>
                <w:szCs w:val="18"/>
              </w:rPr>
              <w:t>- Recursos Diretamente Arrecadados</w:t>
            </w:r>
          </w:p>
        </w:tc>
        <w:tc>
          <w:tcPr>
            <w:tcW w:w="832" w:type="pct"/>
            <w:tcBorders>
              <w:top w:val="nil"/>
              <w:left w:val="nil"/>
              <w:bottom w:val="single" w:sz="4" w:space="0" w:color="auto"/>
              <w:right w:val="nil"/>
            </w:tcBorders>
            <w:noWrap/>
            <w:vAlign w:val="center"/>
            <w:hideMark/>
          </w:tcPr>
          <w:p w14:paraId="1B9322F1" w14:textId="77777777" w:rsidR="0025610F" w:rsidRPr="007769BD" w:rsidRDefault="0025610F">
            <w:pPr>
              <w:jc w:val="right"/>
              <w:rPr>
                <w:rFonts w:cs="Arial"/>
                <w:color w:val="FF0000"/>
                <w:sz w:val="18"/>
                <w:szCs w:val="18"/>
              </w:rPr>
            </w:pPr>
            <w:r w:rsidRPr="007769BD">
              <w:rPr>
                <w:rFonts w:cs="Arial"/>
                <w:color w:val="FF0000"/>
                <w:sz w:val="18"/>
                <w:szCs w:val="18"/>
              </w:rPr>
              <w:t>(1.091.153)</w:t>
            </w:r>
          </w:p>
        </w:tc>
      </w:tr>
      <w:tr w:rsidR="0025610F" w:rsidRPr="007769BD" w14:paraId="4DCD0CFC" w14:textId="77777777" w:rsidTr="0025610F">
        <w:trPr>
          <w:trHeight w:val="300"/>
        </w:trPr>
        <w:tc>
          <w:tcPr>
            <w:tcW w:w="4168" w:type="pct"/>
            <w:gridSpan w:val="2"/>
            <w:tcBorders>
              <w:top w:val="single" w:sz="4" w:space="0" w:color="auto"/>
              <w:left w:val="nil"/>
              <w:bottom w:val="single" w:sz="4" w:space="0" w:color="auto"/>
              <w:right w:val="single" w:sz="4" w:space="0" w:color="auto"/>
            </w:tcBorders>
            <w:noWrap/>
            <w:vAlign w:val="center"/>
            <w:hideMark/>
          </w:tcPr>
          <w:p w14:paraId="631E52CB" w14:textId="77777777" w:rsidR="0025610F" w:rsidRPr="007769BD" w:rsidRDefault="0025610F" w:rsidP="007769BD">
            <w:pPr>
              <w:ind w:firstLine="2335"/>
              <w:jc w:val="center"/>
              <w:rPr>
                <w:rFonts w:cs="Arial"/>
                <w:b/>
                <w:bCs/>
                <w:color w:val="000000" w:themeColor="text1"/>
                <w:sz w:val="18"/>
                <w:szCs w:val="18"/>
              </w:rPr>
            </w:pPr>
            <w:r w:rsidRPr="007769BD">
              <w:rPr>
                <w:rFonts w:cs="Arial"/>
                <w:b/>
                <w:bCs/>
                <w:color w:val="000000" w:themeColor="text1"/>
                <w:sz w:val="18"/>
                <w:szCs w:val="18"/>
              </w:rPr>
              <w:t>Total</w:t>
            </w:r>
          </w:p>
        </w:tc>
        <w:tc>
          <w:tcPr>
            <w:tcW w:w="832" w:type="pct"/>
            <w:tcBorders>
              <w:top w:val="nil"/>
              <w:left w:val="single" w:sz="4" w:space="0" w:color="auto"/>
              <w:bottom w:val="single" w:sz="4" w:space="0" w:color="auto"/>
              <w:right w:val="nil"/>
            </w:tcBorders>
            <w:noWrap/>
            <w:vAlign w:val="center"/>
            <w:hideMark/>
          </w:tcPr>
          <w:p w14:paraId="1D5B2CA9" w14:textId="77777777" w:rsidR="0025610F" w:rsidRPr="007769BD" w:rsidRDefault="0025610F">
            <w:pPr>
              <w:jc w:val="right"/>
              <w:rPr>
                <w:rFonts w:cs="Arial"/>
                <w:b/>
                <w:bCs/>
                <w:color w:val="FF0000"/>
                <w:sz w:val="18"/>
                <w:szCs w:val="18"/>
              </w:rPr>
            </w:pPr>
            <w:r w:rsidRPr="007769BD">
              <w:rPr>
                <w:rFonts w:cs="Arial"/>
                <w:b/>
                <w:bCs/>
                <w:color w:val="FF0000"/>
                <w:sz w:val="18"/>
                <w:szCs w:val="18"/>
              </w:rPr>
              <w:t>(5.622.079)</w:t>
            </w:r>
          </w:p>
        </w:tc>
      </w:tr>
    </w:tbl>
    <w:p w14:paraId="4E780539" w14:textId="77777777" w:rsidR="0025610F" w:rsidRDefault="0025610F" w:rsidP="0025610F">
      <w:pPr>
        <w:pStyle w:val="1-REL11"/>
        <w:spacing w:before="0"/>
        <w:rPr>
          <w:sz w:val="16"/>
          <w:szCs w:val="16"/>
        </w:rPr>
      </w:pPr>
      <w:r>
        <w:rPr>
          <w:sz w:val="16"/>
          <w:szCs w:val="16"/>
        </w:rPr>
        <w:t>Fonte: Dados extraídos do SCG por meio da ferramenta BO</w:t>
      </w:r>
    </w:p>
    <w:p w14:paraId="6D6D4833" w14:textId="16B80719" w:rsidR="0025610F" w:rsidRDefault="0025610F" w:rsidP="00731DBE">
      <w:pPr>
        <w:pStyle w:val="1-REL11"/>
        <w:spacing w:line="300" w:lineRule="auto"/>
      </w:pPr>
      <w:r>
        <w:t>Assim, ao final do exercício de 2023, o estado de Goiás apresenta insuficiência de R$</w:t>
      </w:r>
      <w:r w:rsidR="00044088">
        <w:t> </w:t>
      </w:r>
      <w:r>
        <w:t>5,62</w:t>
      </w:r>
      <w:r w:rsidR="00BE7998">
        <w:t> </w:t>
      </w:r>
      <w:r w:rsidR="00755658">
        <w:t>milhões</w:t>
      </w:r>
      <w:r>
        <w:t xml:space="preserve"> nas fontes supracitadas, contra R$</w:t>
      </w:r>
      <w:r w:rsidR="00BE7998">
        <w:t> </w:t>
      </w:r>
      <w:r>
        <w:t>180,65</w:t>
      </w:r>
      <w:r w:rsidR="00BE7998">
        <w:t> </w:t>
      </w:r>
      <w:r w:rsidR="00755658">
        <w:t>milhões</w:t>
      </w:r>
      <w:r>
        <w:t xml:space="preserve"> no exercício anterior. Desta maneira, 80,49% das fontes negativas estão concentradas no Poder Executivo, destas, 99,88% (R$</w:t>
      </w:r>
      <w:r w:rsidR="00755658">
        <w:t> </w:t>
      </w:r>
      <w:r>
        <w:t>4,52</w:t>
      </w:r>
      <w:r w:rsidR="00755658">
        <w:t> milhões</w:t>
      </w:r>
      <w:r>
        <w:t xml:space="preserve">) na fonte 1.802.0330 (Recursos Vinculados ao RPPS - Taxa de Administração). </w:t>
      </w:r>
    </w:p>
    <w:p w14:paraId="1477CD55" w14:textId="07CDFACF" w:rsidR="0025610F" w:rsidRDefault="0025610F" w:rsidP="00731DBE">
      <w:pPr>
        <w:pStyle w:val="1-REL11"/>
        <w:spacing w:line="300" w:lineRule="auto"/>
      </w:pPr>
      <w:r>
        <w:t>Todavia, considerando o saldo de R$</w:t>
      </w:r>
      <w:r w:rsidR="00044088">
        <w:t> </w:t>
      </w:r>
      <w:r>
        <w:t>11,13</w:t>
      </w:r>
      <w:r w:rsidR="00BE7998">
        <w:t> </w:t>
      </w:r>
      <w:r>
        <w:t>bilhões na CUTE em 31/12/2023, o déficit de R$</w:t>
      </w:r>
      <w:r w:rsidR="00044088">
        <w:t> </w:t>
      </w:r>
      <w:r>
        <w:t>5,62</w:t>
      </w:r>
      <w:r w:rsidR="00BE7998">
        <w:t> </w:t>
      </w:r>
      <w:r w:rsidR="00755658">
        <w:t>milhões</w:t>
      </w:r>
      <w:r>
        <w:t xml:space="preserve">, no momento, possui baixa materialidade, vez que representa menos de 0,01% do valor disponível na CUTE. </w:t>
      </w:r>
    </w:p>
    <w:p w14:paraId="530CF2A5" w14:textId="77777777" w:rsidR="0025610F" w:rsidRDefault="0025610F" w:rsidP="00731DBE">
      <w:pPr>
        <w:pStyle w:val="1-REL11"/>
        <w:spacing w:line="300" w:lineRule="auto"/>
      </w:pPr>
      <w:r>
        <w:t>É sabido que a Superintendência Central de Contabilidade vem adotando várias medidas com o objetivo de equalizar a existência de fontes negativas por meio de instruções/reuniões com os Órgãos Setoriais de Contabilidade dos demais Poderes e Órgãos Autônomos.</w:t>
      </w:r>
    </w:p>
    <w:p w14:paraId="32C589B2" w14:textId="7DAB6A2B" w:rsidR="0025610F" w:rsidRDefault="0025610F" w:rsidP="00731DBE">
      <w:pPr>
        <w:pStyle w:val="1-REL11"/>
        <w:spacing w:line="300" w:lineRule="auto"/>
      </w:pPr>
      <w:r>
        <w:t>Em que pese o fato de que os maiores valores de fontes negativas estejam concentradas no Poder Executivo, segundo o inciso III, art. 6º do Decreto nº</w:t>
      </w:r>
      <w:r w:rsidR="00044088">
        <w:t> </w:t>
      </w:r>
      <w:r>
        <w:t>10.279, de 30 de junho de 2023, compete aos órgãos setoriais de contabilidade prover a conformidade contábil dos atos e fatos da gestão orçamentária, financeira e patrimonial praticados nos órgãos e entidades. Assim, trata-se de uma responsabilidade que deve ser observada por todos os Poderes e Órgãos Autônomos.</w:t>
      </w:r>
    </w:p>
    <w:p w14:paraId="5F403EC4" w14:textId="4E5BA456" w:rsidR="0025610F" w:rsidRDefault="0025610F" w:rsidP="00731DBE">
      <w:pPr>
        <w:pStyle w:val="1-REL11"/>
        <w:spacing w:line="300" w:lineRule="auto"/>
      </w:pPr>
      <w:r>
        <w:t>Cabe mencionar que o saldo insuficiente encontrado sob gestão do Poder Judiciário, na fonte 2.501.0220 (R$</w:t>
      </w:r>
      <w:r w:rsidR="00BE7998">
        <w:t> </w:t>
      </w:r>
      <w:r>
        <w:t>1,09</w:t>
      </w:r>
      <w:r w:rsidR="00BE7998">
        <w:t> </w:t>
      </w:r>
      <w:r>
        <w:t>milhão), já foi objeto de recomendação no Relatório sobre a Prestação de Contas do Governador referente ao exercício de 2022 (pág. 124/125) e que tal valor encontra-se inalterado, ou seja, nenhuma medida fora adotada acerca desse apontamento.</w:t>
      </w:r>
    </w:p>
    <w:p w14:paraId="517DE74E" w14:textId="77777777" w:rsidR="00731DBE" w:rsidRDefault="00731DBE" w:rsidP="00731DBE">
      <w:pPr>
        <w:pStyle w:val="0-ACH-TIT"/>
      </w:pPr>
      <w:r>
        <w:lastRenderedPageBreak/>
        <w:t xml:space="preserve">&gt;&gt; Fontes de Recursos com Saldo Negativo </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731DBE" w14:paraId="6026EDC9" w14:textId="77777777" w:rsidTr="00BE34DB">
        <w:trPr>
          <w:trHeight w:val="629"/>
          <w:jc w:val="center"/>
        </w:trPr>
        <w:tc>
          <w:tcPr>
            <w:tcW w:w="6237" w:type="dxa"/>
            <w:tcBorders>
              <w:top w:val="single" w:sz="4" w:space="0" w:color="auto"/>
              <w:left w:val="nil"/>
              <w:bottom w:val="single" w:sz="4" w:space="0" w:color="auto"/>
              <w:right w:val="nil"/>
            </w:tcBorders>
            <w:vAlign w:val="center"/>
            <w:hideMark/>
          </w:tcPr>
          <w:p w14:paraId="661F770C" w14:textId="77777777" w:rsidR="00731DBE" w:rsidRPr="00044088" w:rsidRDefault="00731DBE" w:rsidP="00BE34DB">
            <w:pPr>
              <w:pStyle w:val="0-ACH-TXT"/>
            </w:pPr>
            <w:r w:rsidRPr="00965DB0">
              <w:t>Existência de fontes de recursos com saldo negativo.</w:t>
            </w:r>
          </w:p>
        </w:tc>
      </w:tr>
    </w:tbl>
    <w:p w14:paraId="3EB4BB85" w14:textId="17CEDBD1" w:rsidR="0025610F" w:rsidRDefault="0025610F" w:rsidP="0025610F">
      <w:pPr>
        <w:pStyle w:val="1-REL11"/>
      </w:pPr>
      <w:r>
        <w:t xml:space="preserve">Portanto, considerando as obrigações dos Órgãos Setoriais de Contabilidade, os quais, conforme análise das determinações e recomendações do Parecer Prévio de 2022, estão sendo orientados pela Superintendência Central de Contabilidade da Secretaria da Economia de Goiás, sugere-se </w:t>
      </w:r>
      <w:r w:rsidR="00731DBE" w:rsidRPr="00731DBE">
        <w:t>ao Tribunal de Contas do Estado de Goiás que determine ao Tribunal de Justiça do Estado de Goiás que adote providências imediatas de forma a regularizar a existência de fontes de recursos com saldos negativos.</w:t>
      </w:r>
    </w:p>
    <w:p w14:paraId="1FFBD90A" w14:textId="3262E53F" w:rsidR="005010D2" w:rsidRPr="00B215AC" w:rsidRDefault="005010D2" w:rsidP="00B000B6">
      <w:pPr>
        <w:pStyle w:val="Ttulo2"/>
        <w:numPr>
          <w:ilvl w:val="1"/>
          <w:numId w:val="37"/>
        </w:numPr>
      </w:pPr>
      <w:bookmarkStart w:id="218" w:name="_Toc167871683"/>
      <w:bookmarkEnd w:id="191"/>
      <w:r w:rsidRPr="00B215AC">
        <w:t>Conta Única do Tesouro Estadual</w:t>
      </w:r>
      <w:bookmarkEnd w:id="218"/>
    </w:p>
    <w:p w14:paraId="1C430EC7" w14:textId="3CAD60D0" w:rsidR="002C7CFD" w:rsidRPr="00860C88" w:rsidRDefault="002C7CFD" w:rsidP="002C7CFD">
      <w:pPr>
        <w:pStyle w:val="1-REL11"/>
      </w:pPr>
      <w:r w:rsidRPr="00860C88">
        <w:t>A Lei nº</w:t>
      </w:r>
      <w:r w:rsidR="00044088">
        <w:t> </w:t>
      </w:r>
      <w:r w:rsidRPr="00860C88">
        <w:t xml:space="preserve">4.320, de 17 de março de 1964, que estatui normas gerais de Direito Financeiro para elaboração e controle dos orçamentos e balanços da União, dos </w:t>
      </w:r>
      <w:r>
        <w:t>e</w:t>
      </w:r>
      <w:r w:rsidRPr="00860C88">
        <w:t xml:space="preserve">stados, dos </w:t>
      </w:r>
      <w:r>
        <w:t>m</w:t>
      </w:r>
      <w:r w:rsidRPr="00860C88">
        <w:t>unicípios e do Distrito Federal, recepcionada pela Constituição Federal de 1988</w:t>
      </w:r>
      <w:r>
        <w:t xml:space="preserve"> (CF/88)</w:t>
      </w:r>
      <w:r w:rsidRPr="00860C88">
        <w:t xml:space="preserve"> com </w:t>
      </w:r>
      <w:r w:rsidRPr="00860C88">
        <w:rPr>
          <w:i/>
        </w:rPr>
        <w:t>status</w:t>
      </w:r>
      <w:r w:rsidRPr="00860C88">
        <w:t xml:space="preserve"> de lei complementar, estabelece em seu art. 56 que:</w:t>
      </w:r>
    </w:p>
    <w:p w14:paraId="539AA954" w14:textId="77777777" w:rsidR="002C7CFD" w:rsidRPr="00860C88" w:rsidRDefault="002C7CFD" w:rsidP="002C7CFD">
      <w:pPr>
        <w:pStyle w:val="1-CITAO"/>
        <w:rPr>
          <w:rFonts w:cs="Arial"/>
          <w:szCs w:val="18"/>
        </w:rPr>
      </w:pPr>
      <w:r w:rsidRPr="00860C88">
        <w:rPr>
          <w:rFonts w:cs="Arial"/>
          <w:szCs w:val="18"/>
        </w:rPr>
        <w:t>Art. 56. O recolhimento de todas as receitas far-se-á em estrita observância ao princípio de unidade de tesouraria, vedada qualquer fragmentação para criação de caixas especiais.</w:t>
      </w:r>
    </w:p>
    <w:p w14:paraId="6F5EEED4" w14:textId="77777777" w:rsidR="002C7CFD" w:rsidRPr="00860C88" w:rsidRDefault="002C7CFD" w:rsidP="00965DB0">
      <w:pPr>
        <w:pStyle w:val="1-REL11"/>
        <w:spacing w:line="300" w:lineRule="auto"/>
        <w:rPr>
          <w:rFonts w:cs="Arial"/>
        </w:rPr>
      </w:pPr>
      <w:r w:rsidRPr="00860C88">
        <w:t>Referido artigo, juntamente com o que dispõe o art</w:t>
      </w:r>
      <w:r>
        <w:t>.</w:t>
      </w:r>
      <w:r w:rsidRPr="00860C88">
        <w:t xml:space="preserve"> 164, § 3º da </w:t>
      </w:r>
      <w:r>
        <w:t>CF/88</w:t>
      </w:r>
      <w:r w:rsidRPr="00860C88">
        <w:t>, embasa o chamado princípio da unidade de caixa ou unidade de tesouraria e, de acordo com o mesmo, os entes públicos devem recolher o produto de sua arrecadação em uma conta única, com a finalidade de racionalizar a administração dos recursos financeiros.</w:t>
      </w:r>
    </w:p>
    <w:p w14:paraId="27FD29C3" w14:textId="3D5479EE" w:rsidR="002C7CFD" w:rsidRPr="00860C88" w:rsidRDefault="002C7CFD" w:rsidP="00965DB0">
      <w:pPr>
        <w:pStyle w:val="1-REL11"/>
        <w:spacing w:line="300" w:lineRule="auto"/>
      </w:pPr>
      <w:r w:rsidRPr="00860C88">
        <w:t xml:space="preserve">No </w:t>
      </w:r>
      <w:r>
        <w:t>e</w:t>
      </w:r>
      <w:r w:rsidRPr="00860C88">
        <w:t>stado de Goiás, em atendimento ao princípio retro mencionado, foi instituída, por meio do Decreto Estadual nº</w:t>
      </w:r>
      <w:r w:rsidR="00044088">
        <w:t> </w:t>
      </w:r>
      <w:r w:rsidRPr="00860C88">
        <w:t>5.525, de 21 de dezembro de 2001, a Conta Centralizadora Estadual, administrada pela Superintendência do Tesouro Estadual da então Secretaria de Estado da Fazenda</w:t>
      </w:r>
      <w:r>
        <w:t>,</w:t>
      </w:r>
      <w:r w:rsidRPr="00860C88">
        <w:t xml:space="preserve"> atual Secretaria de Estado da Economia</w:t>
      </w:r>
      <w:r>
        <w:t>. Em 2015, foi criado o Sistema da Conta Única (CUTE) por meio da Lei Complementar Estadual nº 121,de 21 de dezembro de 2015</w:t>
      </w:r>
      <w:r w:rsidRPr="00860C88">
        <w:t>.</w:t>
      </w:r>
    </w:p>
    <w:p w14:paraId="3637E34D" w14:textId="4B917789" w:rsidR="002C7CFD" w:rsidRPr="00841AF2" w:rsidRDefault="002C7CFD" w:rsidP="00965DB0">
      <w:pPr>
        <w:pStyle w:val="1-REL11"/>
        <w:spacing w:line="300" w:lineRule="auto"/>
      </w:pPr>
      <w:r w:rsidRPr="00860C88">
        <w:t xml:space="preserve">Em consulta ao </w:t>
      </w:r>
      <w:r>
        <w:t>Sistema de Contabilidade Geral do Estado (</w:t>
      </w:r>
      <w:r w:rsidRPr="00860C88">
        <w:t>SCG</w:t>
      </w:r>
      <w:r>
        <w:t>)</w:t>
      </w:r>
      <w:r w:rsidRPr="00860C88">
        <w:t>,</w:t>
      </w:r>
      <w:r>
        <w:t xml:space="preserve"> por meio do </w:t>
      </w:r>
      <w:r w:rsidRPr="00CE512E">
        <w:rPr>
          <w:rFonts w:cs="Arial"/>
        </w:rPr>
        <w:t xml:space="preserve">Sistema </w:t>
      </w:r>
      <w:r w:rsidRPr="00CE512E">
        <w:rPr>
          <w:rFonts w:cs="Arial"/>
          <w:i/>
          <w:iCs/>
        </w:rPr>
        <w:t>Business Objects</w:t>
      </w:r>
      <w:r>
        <w:rPr>
          <w:rFonts w:cs="Arial"/>
          <w:i/>
          <w:iCs/>
        </w:rPr>
        <w:t xml:space="preserve"> </w:t>
      </w:r>
      <w:r>
        <w:rPr>
          <w:rFonts w:cs="Arial"/>
          <w:iCs/>
        </w:rPr>
        <w:t>(BO),</w:t>
      </w:r>
      <w:r w:rsidRPr="00860C88">
        <w:t xml:space="preserve"> verifica-se que do total de Caixa e Equivalentes de Caixa R$</w:t>
      </w:r>
      <w:r>
        <w:t> </w:t>
      </w:r>
      <w:r w:rsidRPr="00860C88">
        <w:t>15</w:t>
      </w:r>
      <w:r>
        <w:t>,47</w:t>
      </w:r>
      <w:r w:rsidR="005E7047">
        <w:t> </w:t>
      </w:r>
      <w:r>
        <w:t>bilhões</w:t>
      </w:r>
      <w:r w:rsidRPr="00841AF2">
        <w:t>, R$</w:t>
      </w:r>
      <w:r>
        <w:t> </w:t>
      </w:r>
      <w:r w:rsidRPr="00841AF2">
        <w:t>11,</w:t>
      </w:r>
      <w:r>
        <w:t>13</w:t>
      </w:r>
      <w:r w:rsidR="005E7047">
        <w:t> </w:t>
      </w:r>
      <w:r w:rsidRPr="00841AF2">
        <w:t>bilhões (7</w:t>
      </w:r>
      <w:r>
        <w:t>1,90</w:t>
      </w:r>
      <w:r w:rsidRPr="00841AF2">
        <w:t>%) estão na CUTE</w:t>
      </w:r>
      <w:r>
        <w:t>; destes, R$ 138,08</w:t>
      </w:r>
      <w:r w:rsidR="005E7047">
        <w:t> </w:t>
      </w:r>
      <w:r w:rsidR="00755658">
        <w:t>milhões</w:t>
      </w:r>
      <w:r>
        <w:t xml:space="preserve"> em conta corrente e </w:t>
      </w:r>
      <w:r w:rsidRPr="00841AF2">
        <w:t>R$</w:t>
      </w:r>
      <w:r>
        <w:t> 10,99</w:t>
      </w:r>
      <w:r w:rsidR="005E7047">
        <w:t> </w:t>
      </w:r>
      <w:r w:rsidRPr="00841AF2">
        <w:t>bilhões em aplicações financeiras.</w:t>
      </w:r>
    </w:p>
    <w:p w14:paraId="526988DC" w14:textId="5121DC13" w:rsidR="005010D2" w:rsidRPr="00DF0700" w:rsidRDefault="005010D2" w:rsidP="00B000B6">
      <w:pPr>
        <w:pStyle w:val="Ttulo3"/>
        <w:numPr>
          <w:ilvl w:val="2"/>
          <w:numId w:val="37"/>
        </w:numPr>
      </w:pPr>
      <w:bookmarkStart w:id="219" w:name="_Toc167871684"/>
      <w:r w:rsidRPr="00DF0700">
        <w:lastRenderedPageBreak/>
        <w:t>Verificação do Saldo da Conta Única</w:t>
      </w:r>
      <w:r w:rsidR="00830C77" w:rsidRPr="00DF0700">
        <w:t xml:space="preserve"> – </w:t>
      </w:r>
      <w:r w:rsidRPr="00DF0700">
        <w:t>CUTE</w:t>
      </w:r>
      <w:bookmarkEnd w:id="219"/>
    </w:p>
    <w:p w14:paraId="0789B09D" w14:textId="6BCA9058" w:rsidR="00D07E8E" w:rsidRPr="00841AF2" w:rsidRDefault="00D07E8E" w:rsidP="00D07E8E">
      <w:pPr>
        <w:pStyle w:val="1-REL11"/>
      </w:pPr>
      <w:bookmarkStart w:id="220" w:name="_Toc511380187"/>
      <w:r w:rsidRPr="00934DD3">
        <w:t>Realizad</w:t>
      </w:r>
      <w:r>
        <w:t>o</w:t>
      </w:r>
      <w:r w:rsidRPr="00934DD3">
        <w:t xml:space="preserve"> o exame dos saldos da </w:t>
      </w:r>
      <w:r>
        <w:t xml:space="preserve">CUTE </w:t>
      </w:r>
      <w:r w:rsidRPr="00934DD3">
        <w:t>(Conta Corrente 104.4204.06000100004) no encerramento do exercício de 2023,</w:t>
      </w:r>
      <w:r>
        <w:t xml:space="preserve"> </w:t>
      </w:r>
      <w:r w:rsidRPr="00934DD3">
        <w:t xml:space="preserve">verificou-se </w:t>
      </w:r>
      <w:r>
        <w:t xml:space="preserve">que o </w:t>
      </w:r>
      <w:r w:rsidRPr="00934DD3">
        <w:t>saldo de R$</w:t>
      </w:r>
      <w:r w:rsidR="00044088">
        <w:t> </w:t>
      </w:r>
      <w:r w:rsidRPr="00934DD3">
        <w:t>11,13</w:t>
      </w:r>
      <w:r w:rsidR="005E7047">
        <w:t> </w:t>
      </w:r>
      <w:r w:rsidRPr="00934DD3">
        <w:t xml:space="preserve">bilhões </w:t>
      </w:r>
      <w:r>
        <w:t>está registrado nas seguintes Unidades Orçamentárias</w:t>
      </w:r>
      <w:r w:rsidRPr="00934DD3">
        <w:t>:</w:t>
      </w:r>
    </w:p>
    <w:p w14:paraId="041E6AE7" w14:textId="3105D037" w:rsidR="00DF0700" w:rsidRDefault="00DF0700" w:rsidP="00ED3571">
      <w:pPr>
        <w:pStyle w:val="0-TABELA"/>
      </w:pPr>
      <w:bookmarkStart w:id="221" w:name="_Toc167871776"/>
      <w:r>
        <w:t>Composição da CUTE – 31/12/202</w:t>
      </w:r>
      <w:bookmarkEnd w:id="220"/>
      <w:r w:rsidR="00E57AB7">
        <w:t>3</w:t>
      </w:r>
      <w:bookmarkEnd w:id="221"/>
      <w:r>
        <w:t xml:space="preserve"> </w:t>
      </w:r>
    </w:p>
    <w:p w14:paraId="1DF7DF03" w14:textId="4DDF0CDB" w:rsidR="00DF0700" w:rsidRDefault="00DF0700" w:rsidP="001E36FF">
      <w:pPr>
        <w:pStyle w:val="0-EmR1"/>
      </w:pPr>
      <w:r>
        <w:t xml:space="preserve"> </w:t>
      </w:r>
      <w:r w:rsidR="00EE2E8E">
        <w:t>R$ 1</w:t>
      </w:r>
    </w:p>
    <w:tbl>
      <w:tblPr>
        <w:tblW w:w="5000" w:type="pct"/>
        <w:tblCellMar>
          <w:left w:w="70" w:type="dxa"/>
          <w:right w:w="70" w:type="dxa"/>
        </w:tblCellMar>
        <w:tblLook w:val="04A0" w:firstRow="1" w:lastRow="0" w:firstColumn="1" w:lastColumn="0" w:noHBand="0" w:noVBand="1"/>
      </w:tblPr>
      <w:tblGrid>
        <w:gridCol w:w="6828"/>
        <w:gridCol w:w="2525"/>
      </w:tblGrid>
      <w:tr w:rsidR="00E57AB7" w:rsidRPr="00B7099A" w14:paraId="5444DCFF" w14:textId="77777777" w:rsidTr="00B06C61">
        <w:trPr>
          <w:trHeight w:val="303"/>
          <w:tblHeader/>
        </w:trPr>
        <w:tc>
          <w:tcPr>
            <w:tcW w:w="3650" w:type="pct"/>
            <w:tcBorders>
              <w:top w:val="single" w:sz="4" w:space="0" w:color="auto"/>
              <w:left w:val="nil"/>
              <w:bottom w:val="single" w:sz="4" w:space="0" w:color="auto"/>
              <w:right w:val="single" w:sz="4" w:space="0" w:color="auto"/>
            </w:tcBorders>
            <w:shd w:val="clear" w:color="000000" w:fill="A1F2FD"/>
            <w:vAlign w:val="center"/>
            <w:hideMark/>
          </w:tcPr>
          <w:p w14:paraId="5342BB3B" w14:textId="5E7177B3" w:rsidR="00E57AB7" w:rsidRPr="00B7099A" w:rsidRDefault="00363801" w:rsidP="00280D6E">
            <w:pPr>
              <w:jc w:val="center"/>
              <w:rPr>
                <w:rFonts w:cs="Arial"/>
                <w:b/>
                <w:bCs/>
                <w:color w:val="000000"/>
                <w:sz w:val="20"/>
                <w:szCs w:val="20"/>
              </w:rPr>
            </w:pPr>
            <w:r w:rsidRPr="00B7099A">
              <w:rPr>
                <w:rFonts w:cs="Arial"/>
                <w:b/>
                <w:bCs/>
                <w:color w:val="000000"/>
                <w:sz w:val="20"/>
                <w:szCs w:val="20"/>
              </w:rPr>
              <w:t>Unidade Orçamentária</w:t>
            </w:r>
          </w:p>
        </w:tc>
        <w:tc>
          <w:tcPr>
            <w:tcW w:w="1350" w:type="pct"/>
            <w:tcBorders>
              <w:top w:val="single" w:sz="4" w:space="0" w:color="auto"/>
              <w:left w:val="single" w:sz="4" w:space="0" w:color="auto"/>
              <w:bottom w:val="single" w:sz="4" w:space="0" w:color="auto"/>
              <w:right w:val="nil"/>
            </w:tcBorders>
            <w:shd w:val="clear" w:color="000000" w:fill="A1F2FD"/>
            <w:vAlign w:val="center"/>
            <w:hideMark/>
          </w:tcPr>
          <w:p w14:paraId="4215AAC3" w14:textId="77777777" w:rsidR="00E57AB7" w:rsidRPr="00B7099A" w:rsidRDefault="00E57AB7" w:rsidP="00280D6E">
            <w:pPr>
              <w:jc w:val="center"/>
              <w:rPr>
                <w:rFonts w:cs="Arial"/>
                <w:b/>
                <w:bCs/>
                <w:color w:val="000000"/>
                <w:sz w:val="20"/>
                <w:szCs w:val="20"/>
              </w:rPr>
            </w:pPr>
            <w:r w:rsidRPr="00B7099A">
              <w:rPr>
                <w:rFonts w:cs="Arial"/>
                <w:b/>
                <w:bCs/>
                <w:color w:val="000000"/>
                <w:sz w:val="20"/>
                <w:szCs w:val="20"/>
              </w:rPr>
              <w:t>Saldo</w:t>
            </w:r>
          </w:p>
        </w:tc>
      </w:tr>
      <w:tr w:rsidR="00E57AB7" w:rsidRPr="00B7099A" w14:paraId="232E1982" w14:textId="77777777" w:rsidTr="00B06C61">
        <w:trPr>
          <w:trHeight w:val="303"/>
        </w:trPr>
        <w:tc>
          <w:tcPr>
            <w:tcW w:w="3650" w:type="pct"/>
            <w:tcBorders>
              <w:top w:val="single" w:sz="4" w:space="0" w:color="auto"/>
              <w:left w:val="nil"/>
              <w:bottom w:val="nil"/>
              <w:right w:val="single" w:sz="4" w:space="0" w:color="auto"/>
            </w:tcBorders>
            <w:shd w:val="clear" w:color="auto" w:fill="auto"/>
            <w:noWrap/>
            <w:vAlign w:val="center"/>
            <w:hideMark/>
          </w:tcPr>
          <w:p w14:paraId="70DEFA86" w14:textId="77777777" w:rsidR="00E57AB7" w:rsidRPr="00B7099A" w:rsidRDefault="00E57AB7" w:rsidP="00280D6E">
            <w:pPr>
              <w:jc w:val="left"/>
              <w:rPr>
                <w:rFonts w:cs="Arial"/>
                <w:color w:val="000000"/>
                <w:sz w:val="20"/>
                <w:szCs w:val="20"/>
              </w:rPr>
            </w:pPr>
            <w:r w:rsidRPr="00B7099A">
              <w:rPr>
                <w:rFonts w:cs="Arial"/>
                <w:color w:val="000000"/>
                <w:sz w:val="20"/>
                <w:szCs w:val="20"/>
              </w:rPr>
              <w:t>9995 - Estado De Goiás - Tesouro Estadual</w:t>
            </w:r>
          </w:p>
        </w:tc>
        <w:tc>
          <w:tcPr>
            <w:tcW w:w="1350" w:type="pct"/>
            <w:tcBorders>
              <w:top w:val="single" w:sz="4" w:space="0" w:color="auto"/>
              <w:left w:val="single" w:sz="4" w:space="0" w:color="auto"/>
              <w:bottom w:val="nil"/>
              <w:right w:val="nil"/>
            </w:tcBorders>
            <w:shd w:val="clear" w:color="auto" w:fill="auto"/>
            <w:noWrap/>
            <w:vAlign w:val="center"/>
            <w:hideMark/>
          </w:tcPr>
          <w:p w14:paraId="353DE95B" w14:textId="77777777" w:rsidR="00E57AB7" w:rsidRPr="00B7099A" w:rsidRDefault="00E57AB7" w:rsidP="00280D6E">
            <w:pPr>
              <w:jc w:val="right"/>
              <w:rPr>
                <w:rFonts w:cs="Arial"/>
                <w:color w:val="000000"/>
                <w:sz w:val="20"/>
                <w:szCs w:val="20"/>
              </w:rPr>
            </w:pPr>
            <w:r w:rsidRPr="00B7099A">
              <w:rPr>
                <w:rFonts w:cs="Arial"/>
                <w:color w:val="000000"/>
                <w:sz w:val="20"/>
                <w:szCs w:val="20"/>
              </w:rPr>
              <w:t>6.579.217.665</w:t>
            </w:r>
          </w:p>
        </w:tc>
      </w:tr>
      <w:tr w:rsidR="00E57AB7" w:rsidRPr="00B7099A" w14:paraId="57BE7E62"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3A9554B6" w14:textId="77777777" w:rsidR="00E57AB7" w:rsidRPr="00B7099A" w:rsidRDefault="00E57AB7" w:rsidP="00280D6E">
            <w:pPr>
              <w:jc w:val="left"/>
              <w:rPr>
                <w:rFonts w:cs="Arial"/>
                <w:color w:val="000000"/>
                <w:sz w:val="20"/>
                <w:szCs w:val="20"/>
              </w:rPr>
            </w:pPr>
            <w:r w:rsidRPr="00B7099A">
              <w:rPr>
                <w:rFonts w:cs="Arial"/>
                <w:color w:val="000000"/>
                <w:sz w:val="20"/>
                <w:szCs w:val="20"/>
              </w:rPr>
              <w:t>1750 - Protege Goiás</w:t>
            </w:r>
          </w:p>
        </w:tc>
        <w:tc>
          <w:tcPr>
            <w:tcW w:w="1350" w:type="pct"/>
            <w:tcBorders>
              <w:top w:val="nil"/>
              <w:left w:val="single" w:sz="4" w:space="0" w:color="auto"/>
              <w:bottom w:val="nil"/>
              <w:right w:val="nil"/>
            </w:tcBorders>
            <w:shd w:val="clear" w:color="auto" w:fill="auto"/>
            <w:noWrap/>
            <w:vAlign w:val="center"/>
            <w:hideMark/>
          </w:tcPr>
          <w:p w14:paraId="0DDFA4B5" w14:textId="77777777" w:rsidR="00E57AB7" w:rsidRPr="00B7099A" w:rsidRDefault="00E57AB7" w:rsidP="00280D6E">
            <w:pPr>
              <w:jc w:val="right"/>
              <w:rPr>
                <w:rFonts w:cs="Arial"/>
                <w:color w:val="000000"/>
                <w:sz w:val="20"/>
                <w:szCs w:val="20"/>
              </w:rPr>
            </w:pPr>
            <w:r w:rsidRPr="00B7099A">
              <w:rPr>
                <w:rFonts w:cs="Arial"/>
                <w:color w:val="000000"/>
                <w:sz w:val="20"/>
                <w:szCs w:val="20"/>
              </w:rPr>
              <w:t>1.325.739.799</w:t>
            </w:r>
          </w:p>
        </w:tc>
      </w:tr>
      <w:tr w:rsidR="00E57AB7" w:rsidRPr="00B7099A" w14:paraId="22492669"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42034C25" w14:textId="1E2A4617" w:rsidR="00E57AB7" w:rsidRPr="00B7099A" w:rsidRDefault="00E57AB7" w:rsidP="00280D6E">
            <w:pPr>
              <w:jc w:val="left"/>
              <w:rPr>
                <w:rFonts w:cs="Arial"/>
                <w:color w:val="000000"/>
                <w:sz w:val="20"/>
                <w:szCs w:val="20"/>
              </w:rPr>
            </w:pPr>
            <w:r w:rsidRPr="00B7099A">
              <w:rPr>
                <w:rFonts w:cs="Arial"/>
                <w:color w:val="000000"/>
                <w:sz w:val="20"/>
                <w:szCs w:val="20"/>
              </w:rPr>
              <w:t xml:space="preserve">4350 - </w:t>
            </w:r>
            <w:r w:rsidR="002E0BC9" w:rsidRPr="00B7099A">
              <w:rPr>
                <w:sz w:val="20"/>
                <w:szCs w:val="20"/>
              </w:rPr>
              <w:t>Fundeinfra</w:t>
            </w:r>
          </w:p>
        </w:tc>
        <w:tc>
          <w:tcPr>
            <w:tcW w:w="1350" w:type="pct"/>
            <w:tcBorders>
              <w:top w:val="nil"/>
              <w:left w:val="single" w:sz="4" w:space="0" w:color="auto"/>
              <w:bottom w:val="nil"/>
              <w:right w:val="nil"/>
            </w:tcBorders>
            <w:shd w:val="clear" w:color="auto" w:fill="auto"/>
            <w:noWrap/>
            <w:vAlign w:val="center"/>
            <w:hideMark/>
          </w:tcPr>
          <w:p w14:paraId="138CF96A" w14:textId="77777777" w:rsidR="00E57AB7" w:rsidRPr="00B7099A" w:rsidRDefault="00E57AB7" w:rsidP="00280D6E">
            <w:pPr>
              <w:jc w:val="right"/>
              <w:rPr>
                <w:rFonts w:cs="Arial"/>
                <w:color w:val="000000"/>
                <w:sz w:val="20"/>
                <w:szCs w:val="20"/>
              </w:rPr>
            </w:pPr>
            <w:r w:rsidRPr="00B7099A">
              <w:rPr>
                <w:rFonts w:cs="Arial"/>
                <w:color w:val="000000"/>
                <w:sz w:val="20"/>
                <w:szCs w:val="20"/>
              </w:rPr>
              <w:t>920.233.526</w:t>
            </w:r>
          </w:p>
        </w:tc>
      </w:tr>
      <w:tr w:rsidR="00E57AB7" w:rsidRPr="00B7099A" w14:paraId="26FDFCD0"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6B5347E2" w14:textId="0D7A94A3" w:rsidR="00E57AB7" w:rsidRPr="00B7099A" w:rsidRDefault="00E57AB7" w:rsidP="00280D6E">
            <w:pPr>
              <w:jc w:val="left"/>
              <w:rPr>
                <w:rFonts w:cs="Arial"/>
                <w:color w:val="000000"/>
                <w:sz w:val="20"/>
                <w:szCs w:val="20"/>
              </w:rPr>
            </w:pPr>
            <w:r w:rsidRPr="00B7099A">
              <w:rPr>
                <w:rFonts w:cs="Arial"/>
                <w:color w:val="000000"/>
                <w:sz w:val="20"/>
                <w:szCs w:val="20"/>
              </w:rPr>
              <w:t xml:space="preserve">4361 - </w:t>
            </w:r>
            <w:r w:rsidR="002E0BC9" w:rsidRPr="00B7099A">
              <w:rPr>
                <w:rFonts w:cs="Arial"/>
                <w:sz w:val="20"/>
                <w:szCs w:val="20"/>
              </w:rPr>
              <w:t>Goinfra</w:t>
            </w:r>
          </w:p>
        </w:tc>
        <w:tc>
          <w:tcPr>
            <w:tcW w:w="1350" w:type="pct"/>
            <w:tcBorders>
              <w:top w:val="nil"/>
              <w:left w:val="single" w:sz="4" w:space="0" w:color="auto"/>
              <w:bottom w:val="nil"/>
              <w:right w:val="nil"/>
            </w:tcBorders>
            <w:shd w:val="clear" w:color="auto" w:fill="auto"/>
            <w:noWrap/>
            <w:vAlign w:val="center"/>
            <w:hideMark/>
          </w:tcPr>
          <w:p w14:paraId="74F99CB7" w14:textId="77777777" w:rsidR="00E57AB7" w:rsidRPr="00B7099A" w:rsidRDefault="00E57AB7" w:rsidP="00280D6E">
            <w:pPr>
              <w:jc w:val="right"/>
              <w:rPr>
                <w:rFonts w:cs="Arial"/>
                <w:color w:val="000000"/>
                <w:sz w:val="20"/>
                <w:szCs w:val="20"/>
              </w:rPr>
            </w:pPr>
            <w:r w:rsidRPr="00B7099A">
              <w:rPr>
                <w:rFonts w:cs="Arial"/>
                <w:color w:val="000000"/>
                <w:sz w:val="20"/>
                <w:szCs w:val="20"/>
              </w:rPr>
              <w:t>553.490.757</w:t>
            </w:r>
          </w:p>
        </w:tc>
      </w:tr>
      <w:tr w:rsidR="00E57AB7" w:rsidRPr="00B7099A" w14:paraId="4C0B4DA1"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78D8736D" w14:textId="77777777" w:rsidR="00E57AB7" w:rsidRPr="00B7099A" w:rsidRDefault="00E57AB7" w:rsidP="00280D6E">
            <w:pPr>
              <w:jc w:val="left"/>
              <w:rPr>
                <w:rFonts w:cs="Arial"/>
                <w:color w:val="000000"/>
                <w:sz w:val="20"/>
                <w:szCs w:val="20"/>
              </w:rPr>
            </w:pPr>
            <w:r w:rsidRPr="00B7099A">
              <w:rPr>
                <w:rFonts w:cs="Arial"/>
                <w:color w:val="000000"/>
                <w:sz w:val="20"/>
                <w:szCs w:val="20"/>
              </w:rPr>
              <w:t>2850 - Fundo Estadual de Saúde - FES</w:t>
            </w:r>
          </w:p>
        </w:tc>
        <w:tc>
          <w:tcPr>
            <w:tcW w:w="1350" w:type="pct"/>
            <w:tcBorders>
              <w:top w:val="nil"/>
              <w:left w:val="single" w:sz="4" w:space="0" w:color="auto"/>
              <w:bottom w:val="nil"/>
              <w:right w:val="nil"/>
            </w:tcBorders>
            <w:shd w:val="clear" w:color="auto" w:fill="auto"/>
            <w:noWrap/>
            <w:vAlign w:val="center"/>
            <w:hideMark/>
          </w:tcPr>
          <w:p w14:paraId="22D121D3" w14:textId="77777777" w:rsidR="00E57AB7" w:rsidRPr="00B7099A" w:rsidRDefault="00E57AB7" w:rsidP="00280D6E">
            <w:pPr>
              <w:jc w:val="right"/>
              <w:rPr>
                <w:rFonts w:cs="Arial"/>
                <w:color w:val="000000"/>
                <w:sz w:val="20"/>
                <w:szCs w:val="20"/>
              </w:rPr>
            </w:pPr>
            <w:r w:rsidRPr="00B7099A">
              <w:rPr>
                <w:rFonts w:cs="Arial"/>
                <w:color w:val="000000"/>
                <w:sz w:val="20"/>
                <w:szCs w:val="20"/>
              </w:rPr>
              <w:t>302.055.932</w:t>
            </w:r>
          </w:p>
        </w:tc>
      </w:tr>
      <w:tr w:rsidR="00E57AB7" w:rsidRPr="00B7099A" w14:paraId="2A744B31"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68ADF93F" w14:textId="688DC636" w:rsidR="00E57AB7" w:rsidRPr="00B7099A" w:rsidRDefault="00E57AB7" w:rsidP="00280D6E">
            <w:pPr>
              <w:jc w:val="left"/>
              <w:rPr>
                <w:rFonts w:cs="Arial"/>
                <w:color w:val="000000"/>
                <w:sz w:val="20"/>
                <w:szCs w:val="20"/>
              </w:rPr>
            </w:pPr>
            <w:r w:rsidRPr="00B7099A">
              <w:rPr>
                <w:rFonts w:cs="Arial"/>
                <w:color w:val="000000"/>
                <w:sz w:val="20"/>
                <w:szCs w:val="20"/>
              </w:rPr>
              <w:t>4362 - A</w:t>
            </w:r>
            <w:r w:rsidR="002E0BC9" w:rsidRPr="00B7099A">
              <w:rPr>
                <w:rFonts w:cs="Arial"/>
                <w:color w:val="000000"/>
                <w:sz w:val="20"/>
                <w:szCs w:val="20"/>
              </w:rPr>
              <w:t>gehab</w:t>
            </w:r>
          </w:p>
        </w:tc>
        <w:tc>
          <w:tcPr>
            <w:tcW w:w="1350" w:type="pct"/>
            <w:tcBorders>
              <w:top w:val="nil"/>
              <w:left w:val="single" w:sz="4" w:space="0" w:color="auto"/>
              <w:bottom w:val="nil"/>
              <w:right w:val="nil"/>
            </w:tcBorders>
            <w:shd w:val="clear" w:color="auto" w:fill="auto"/>
            <w:noWrap/>
            <w:vAlign w:val="center"/>
            <w:hideMark/>
          </w:tcPr>
          <w:p w14:paraId="753FC4F8" w14:textId="77777777" w:rsidR="00E57AB7" w:rsidRPr="00B7099A" w:rsidRDefault="00E57AB7" w:rsidP="00280D6E">
            <w:pPr>
              <w:jc w:val="right"/>
              <w:rPr>
                <w:rFonts w:cs="Arial"/>
                <w:color w:val="000000"/>
                <w:sz w:val="20"/>
                <w:szCs w:val="20"/>
              </w:rPr>
            </w:pPr>
            <w:r w:rsidRPr="00B7099A">
              <w:rPr>
                <w:rFonts w:cs="Arial"/>
                <w:color w:val="000000"/>
                <w:sz w:val="20"/>
                <w:szCs w:val="20"/>
              </w:rPr>
              <w:t>295.674.165</w:t>
            </w:r>
          </w:p>
        </w:tc>
      </w:tr>
      <w:tr w:rsidR="00E57AB7" w:rsidRPr="00B7099A" w14:paraId="13BE8F62"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4A755C42" w14:textId="1EADB9E3" w:rsidR="00E57AB7" w:rsidRPr="00B7099A" w:rsidRDefault="00E57AB7" w:rsidP="00280D6E">
            <w:pPr>
              <w:jc w:val="left"/>
              <w:rPr>
                <w:rFonts w:cs="Arial"/>
                <w:color w:val="000000"/>
                <w:sz w:val="20"/>
                <w:szCs w:val="20"/>
              </w:rPr>
            </w:pPr>
            <w:r w:rsidRPr="00B7099A">
              <w:rPr>
                <w:rFonts w:cs="Arial"/>
                <w:color w:val="000000"/>
                <w:sz w:val="20"/>
                <w:szCs w:val="20"/>
              </w:rPr>
              <w:t>2961 - D</w:t>
            </w:r>
            <w:r w:rsidR="002E0BC9" w:rsidRPr="00B7099A">
              <w:rPr>
                <w:rFonts w:cs="Arial"/>
                <w:color w:val="000000"/>
                <w:sz w:val="20"/>
                <w:szCs w:val="20"/>
              </w:rPr>
              <w:t>etran</w:t>
            </w:r>
          </w:p>
        </w:tc>
        <w:tc>
          <w:tcPr>
            <w:tcW w:w="1350" w:type="pct"/>
            <w:tcBorders>
              <w:top w:val="nil"/>
              <w:left w:val="single" w:sz="4" w:space="0" w:color="auto"/>
              <w:bottom w:val="nil"/>
              <w:right w:val="nil"/>
            </w:tcBorders>
            <w:shd w:val="clear" w:color="auto" w:fill="auto"/>
            <w:noWrap/>
            <w:vAlign w:val="center"/>
            <w:hideMark/>
          </w:tcPr>
          <w:p w14:paraId="1361386E" w14:textId="77777777" w:rsidR="00E57AB7" w:rsidRPr="00B7099A" w:rsidRDefault="00E57AB7" w:rsidP="00280D6E">
            <w:pPr>
              <w:jc w:val="right"/>
              <w:rPr>
                <w:rFonts w:cs="Arial"/>
                <w:color w:val="000000"/>
                <w:sz w:val="20"/>
                <w:szCs w:val="20"/>
              </w:rPr>
            </w:pPr>
            <w:r w:rsidRPr="00B7099A">
              <w:rPr>
                <w:rFonts w:cs="Arial"/>
                <w:color w:val="000000"/>
                <w:sz w:val="20"/>
                <w:szCs w:val="20"/>
              </w:rPr>
              <w:t>207.600.336</w:t>
            </w:r>
          </w:p>
        </w:tc>
      </w:tr>
      <w:tr w:rsidR="00E57AB7" w:rsidRPr="00B7099A" w14:paraId="519E9648"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108F57A7" w14:textId="2ADDE1FF" w:rsidR="00E57AB7" w:rsidRPr="00B7099A" w:rsidRDefault="00E57AB7" w:rsidP="00280D6E">
            <w:pPr>
              <w:jc w:val="left"/>
              <w:rPr>
                <w:rFonts w:cs="Arial"/>
                <w:color w:val="000000"/>
                <w:sz w:val="20"/>
                <w:szCs w:val="20"/>
              </w:rPr>
            </w:pPr>
            <w:r w:rsidRPr="00B7099A">
              <w:rPr>
                <w:rFonts w:cs="Arial"/>
                <w:color w:val="000000"/>
                <w:sz w:val="20"/>
                <w:szCs w:val="20"/>
              </w:rPr>
              <w:t xml:space="preserve">2153 - Fundo Estadual do Meio Ambiente - </w:t>
            </w:r>
            <w:r w:rsidR="00AD1F89" w:rsidRPr="00B7099A">
              <w:rPr>
                <w:rFonts w:cs="Arial"/>
                <w:color w:val="000000"/>
                <w:sz w:val="20"/>
                <w:szCs w:val="20"/>
              </w:rPr>
              <w:t>Fema</w:t>
            </w:r>
          </w:p>
        </w:tc>
        <w:tc>
          <w:tcPr>
            <w:tcW w:w="1350" w:type="pct"/>
            <w:tcBorders>
              <w:top w:val="nil"/>
              <w:left w:val="single" w:sz="4" w:space="0" w:color="auto"/>
              <w:bottom w:val="nil"/>
              <w:right w:val="nil"/>
            </w:tcBorders>
            <w:shd w:val="clear" w:color="auto" w:fill="auto"/>
            <w:noWrap/>
            <w:vAlign w:val="center"/>
            <w:hideMark/>
          </w:tcPr>
          <w:p w14:paraId="66226C38" w14:textId="77777777" w:rsidR="00E57AB7" w:rsidRPr="00B7099A" w:rsidRDefault="00E57AB7" w:rsidP="00280D6E">
            <w:pPr>
              <w:jc w:val="right"/>
              <w:rPr>
                <w:rFonts w:cs="Arial"/>
                <w:color w:val="000000"/>
                <w:sz w:val="20"/>
                <w:szCs w:val="20"/>
              </w:rPr>
            </w:pPr>
            <w:r w:rsidRPr="00B7099A">
              <w:rPr>
                <w:rFonts w:cs="Arial"/>
                <w:color w:val="000000"/>
                <w:sz w:val="20"/>
                <w:szCs w:val="20"/>
              </w:rPr>
              <w:t>159.340.265</w:t>
            </w:r>
          </w:p>
        </w:tc>
      </w:tr>
      <w:tr w:rsidR="00E57AB7" w:rsidRPr="00B7099A" w14:paraId="7B40D28D"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4BF81E40" w14:textId="0AA867CD" w:rsidR="00E57AB7" w:rsidRPr="00B7099A" w:rsidRDefault="00E57AB7" w:rsidP="00280D6E">
            <w:pPr>
              <w:jc w:val="left"/>
              <w:rPr>
                <w:rFonts w:cs="Arial"/>
                <w:color w:val="000000"/>
                <w:sz w:val="20"/>
                <w:szCs w:val="20"/>
              </w:rPr>
            </w:pPr>
            <w:r w:rsidRPr="00B7099A">
              <w:rPr>
                <w:rFonts w:cs="Arial"/>
                <w:color w:val="000000"/>
                <w:sz w:val="20"/>
                <w:szCs w:val="20"/>
              </w:rPr>
              <w:t>1451 - F</w:t>
            </w:r>
            <w:r w:rsidR="002E0BC9" w:rsidRPr="00B7099A">
              <w:rPr>
                <w:rFonts w:cs="Arial"/>
                <w:color w:val="000000"/>
                <w:sz w:val="20"/>
                <w:szCs w:val="20"/>
              </w:rPr>
              <w:t>unproge</w:t>
            </w:r>
          </w:p>
        </w:tc>
        <w:tc>
          <w:tcPr>
            <w:tcW w:w="1350" w:type="pct"/>
            <w:tcBorders>
              <w:top w:val="nil"/>
              <w:left w:val="single" w:sz="4" w:space="0" w:color="auto"/>
              <w:bottom w:val="nil"/>
              <w:right w:val="nil"/>
            </w:tcBorders>
            <w:shd w:val="clear" w:color="auto" w:fill="auto"/>
            <w:noWrap/>
            <w:vAlign w:val="center"/>
            <w:hideMark/>
          </w:tcPr>
          <w:p w14:paraId="08AD4BC7" w14:textId="77777777" w:rsidR="00E57AB7" w:rsidRPr="00B7099A" w:rsidRDefault="00E57AB7" w:rsidP="00280D6E">
            <w:pPr>
              <w:jc w:val="right"/>
              <w:rPr>
                <w:rFonts w:cs="Arial"/>
                <w:color w:val="000000"/>
                <w:sz w:val="20"/>
                <w:szCs w:val="20"/>
              </w:rPr>
            </w:pPr>
            <w:r w:rsidRPr="00B7099A">
              <w:rPr>
                <w:rFonts w:cs="Arial"/>
                <w:color w:val="000000"/>
                <w:sz w:val="20"/>
                <w:szCs w:val="20"/>
              </w:rPr>
              <w:t>112.650.875</w:t>
            </w:r>
          </w:p>
        </w:tc>
      </w:tr>
      <w:tr w:rsidR="00E57AB7" w:rsidRPr="00B7099A" w14:paraId="21696080"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00DA7372" w14:textId="27DC9FAE" w:rsidR="00E57AB7" w:rsidRPr="00B7099A" w:rsidRDefault="00E57AB7" w:rsidP="00280D6E">
            <w:pPr>
              <w:jc w:val="left"/>
              <w:rPr>
                <w:rFonts w:cs="Arial"/>
                <w:color w:val="000000"/>
                <w:sz w:val="20"/>
                <w:szCs w:val="20"/>
              </w:rPr>
            </w:pPr>
            <w:r w:rsidRPr="00B7099A">
              <w:rPr>
                <w:rFonts w:cs="Arial"/>
                <w:color w:val="000000"/>
                <w:sz w:val="20"/>
                <w:szCs w:val="20"/>
              </w:rPr>
              <w:t>0850 - Fundo Manut. e Reapar. Defens. - F</w:t>
            </w:r>
            <w:r w:rsidR="002E0BC9" w:rsidRPr="00B7099A">
              <w:rPr>
                <w:rFonts w:cs="Arial"/>
                <w:color w:val="000000"/>
                <w:sz w:val="20"/>
                <w:szCs w:val="20"/>
              </w:rPr>
              <w:t>undepeg</w:t>
            </w:r>
          </w:p>
        </w:tc>
        <w:tc>
          <w:tcPr>
            <w:tcW w:w="1350" w:type="pct"/>
            <w:tcBorders>
              <w:top w:val="nil"/>
              <w:left w:val="single" w:sz="4" w:space="0" w:color="auto"/>
              <w:bottom w:val="nil"/>
              <w:right w:val="nil"/>
            </w:tcBorders>
            <w:shd w:val="clear" w:color="auto" w:fill="auto"/>
            <w:noWrap/>
            <w:vAlign w:val="center"/>
            <w:hideMark/>
          </w:tcPr>
          <w:p w14:paraId="578B9895" w14:textId="77777777" w:rsidR="00E57AB7" w:rsidRPr="00B7099A" w:rsidRDefault="00E57AB7" w:rsidP="00280D6E">
            <w:pPr>
              <w:jc w:val="right"/>
              <w:rPr>
                <w:rFonts w:cs="Arial"/>
                <w:color w:val="000000"/>
                <w:sz w:val="20"/>
                <w:szCs w:val="20"/>
              </w:rPr>
            </w:pPr>
            <w:r w:rsidRPr="00B7099A">
              <w:rPr>
                <w:rFonts w:cs="Arial"/>
                <w:color w:val="000000"/>
                <w:sz w:val="20"/>
                <w:szCs w:val="20"/>
              </w:rPr>
              <w:t>65.466.800</w:t>
            </w:r>
          </w:p>
        </w:tc>
      </w:tr>
      <w:tr w:rsidR="00E57AB7" w:rsidRPr="00B7099A" w14:paraId="77A063E9"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62A7E1AB" w14:textId="2CF28F5B" w:rsidR="00E57AB7" w:rsidRPr="00B7099A" w:rsidRDefault="00E57AB7" w:rsidP="00280D6E">
            <w:pPr>
              <w:jc w:val="left"/>
              <w:rPr>
                <w:rFonts w:cs="Arial"/>
                <w:color w:val="000000"/>
                <w:sz w:val="20"/>
                <w:szCs w:val="20"/>
              </w:rPr>
            </w:pPr>
            <w:r w:rsidRPr="00B7099A">
              <w:rPr>
                <w:rFonts w:cs="Arial"/>
                <w:color w:val="000000"/>
                <w:sz w:val="20"/>
                <w:szCs w:val="20"/>
              </w:rPr>
              <w:t xml:space="preserve">2952 - Fundo Est. Prot. Defesa Consumidor - </w:t>
            </w:r>
            <w:r w:rsidR="00EE3568" w:rsidRPr="00B7099A">
              <w:rPr>
                <w:rFonts w:cs="Arial"/>
                <w:color w:val="000000"/>
                <w:sz w:val="20"/>
                <w:szCs w:val="20"/>
              </w:rPr>
              <w:t>Fedc</w:t>
            </w:r>
          </w:p>
        </w:tc>
        <w:tc>
          <w:tcPr>
            <w:tcW w:w="1350" w:type="pct"/>
            <w:tcBorders>
              <w:top w:val="nil"/>
              <w:left w:val="single" w:sz="4" w:space="0" w:color="auto"/>
              <w:bottom w:val="nil"/>
              <w:right w:val="nil"/>
            </w:tcBorders>
            <w:shd w:val="clear" w:color="auto" w:fill="auto"/>
            <w:noWrap/>
            <w:vAlign w:val="center"/>
            <w:hideMark/>
          </w:tcPr>
          <w:p w14:paraId="5D894EC9" w14:textId="77777777" w:rsidR="00E57AB7" w:rsidRPr="00B7099A" w:rsidRDefault="00E57AB7" w:rsidP="00280D6E">
            <w:pPr>
              <w:jc w:val="right"/>
              <w:rPr>
                <w:rFonts w:cs="Arial"/>
                <w:color w:val="000000"/>
                <w:sz w:val="20"/>
                <w:szCs w:val="20"/>
              </w:rPr>
            </w:pPr>
            <w:r w:rsidRPr="00B7099A">
              <w:rPr>
                <w:rFonts w:cs="Arial"/>
                <w:color w:val="000000"/>
                <w:sz w:val="20"/>
                <w:szCs w:val="20"/>
              </w:rPr>
              <w:t>63.995.500</w:t>
            </w:r>
          </w:p>
        </w:tc>
      </w:tr>
      <w:tr w:rsidR="00E57AB7" w:rsidRPr="00B7099A" w14:paraId="58058EBE"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5F25DB40" w14:textId="77777777" w:rsidR="00E57AB7" w:rsidRPr="00B7099A" w:rsidRDefault="00E57AB7" w:rsidP="00280D6E">
            <w:pPr>
              <w:jc w:val="left"/>
              <w:rPr>
                <w:rFonts w:cs="Arial"/>
                <w:color w:val="000000"/>
                <w:sz w:val="20"/>
                <w:szCs w:val="20"/>
              </w:rPr>
            </w:pPr>
            <w:r w:rsidRPr="00B7099A">
              <w:rPr>
                <w:rFonts w:cs="Arial"/>
                <w:color w:val="000000"/>
                <w:sz w:val="20"/>
                <w:szCs w:val="20"/>
              </w:rPr>
              <w:t>2906 - Diretoria-Geral de Adm. Penitenciária</w:t>
            </w:r>
          </w:p>
        </w:tc>
        <w:tc>
          <w:tcPr>
            <w:tcW w:w="1350" w:type="pct"/>
            <w:tcBorders>
              <w:top w:val="nil"/>
              <w:left w:val="single" w:sz="4" w:space="0" w:color="auto"/>
              <w:bottom w:val="nil"/>
              <w:right w:val="nil"/>
            </w:tcBorders>
            <w:shd w:val="clear" w:color="auto" w:fill="auto"/>
            <w:noWrap/>
            <w:vAlign w:val="center"/>
            <w:hideMark/>
          </w:tcPr>
          <w:p w14:paraId="4A591EF6" w14:textId="77777777" w:rsidR="00E57AB7" w:rsidRPr="00B7099A" w:rsidRDefault="00E57AB7" w:rsidP="00280D6E">
            <w:pPr>
              <w:jc w:val="right"/>
              <w:rPr>
                <w:rFonts w:cs="Arial"/>
                <w:color w:val="000000"/>
                <w:sz w:val="20"/>
                <w:szCs w:val="20"/>
              </w:rPr>
            </w:pPr>
            <w:r w:rsidRPr="00B7099A">
              <w:rPr>
                <w:rFonts w:cs="Arial"/>
                <w:color w:val="000000"/>
                <w:sz w:val="20"/>
                <w:szCs w:val="20"/>
              </w:rPr>
              <w:t>62.509.575</w:t>
            </w:r>
          </w:p>
        </w:tc>
      </w:tr>
      <w:tr w:rsidR="00E57AB7" w:rsidRPr="00B7099A" w14:paraId="03413E81"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684204E2" w14:textId="77777777" w:rsidR="00E57AB7" w:rsidRPr="00B7099A" w:rsidRDefault="00E57AB7" w:rsidP="00280D6E">
            <w:pPr>
              <w:jc w:val="left"/>
              <w:rPr>
                <w:rFonts w:cs="Arial"/>
                <w:color w:val="000000"/>
                <w:sz w:val="20"/>
                <w:szCs w:val="20"/>
              </w:rPr>
            </w:pPr>
            <w:r w:rsidRPr="00B7099A">
              <w:rPr>
                <w:rFonts w:cs="Arial"/>
                <w:color w:val="000000"/>
                <w:sz w:val="20"/>
                <w:szCs w:val="20"/>
              </w:rPr>
              <w:t>4380 - Fundo Constitucional de Transportes</w:t>
            </w:r>
          </w:p>
        </w:tc>
        <w:tc>
          <w:tcPr>
            <w:tcW w:w="1350" w:type="pct"/>
            <w:tcBorders>
              <w:top w:val="nil"/>
              <w:left w:val="single" w:sz="4" w:space="0" w:color="auto"/>
              <w:bottom w:val="nil"/>
              <w:right w:val="nil"/>
            </w:tcBorders>
            <w:shd w:val="clear" w:color="auto" w:fill="auto"/>
            <w:noWrap/>
            <w:vAlign w:val="center"/>
            <w:hideMark/>
          </w:tcPr>
          <w:p w14:paraId="47C24797" w14:textId="77777777" w:rsidR="00E57AB7" w:rsidRPr="00B7099A" w:rsidRDefault="00E57AB7" w:rsidP="00280D6E">
            <w:pPr>
              <w:jc w:val="right"/>
              <w:rPr>
                <w:rFonts w:cs="Arial"/>
                <w:color w:val="000000"/>
                <w:sz w:val="20"/>
                <w:szCs w:val="20"/>
              </w:rPr>
            </w:pPr>
            <w:r w:rsidRPr="00B7099A">
              <w:rPr>
                <w:rFonts w:cs="Arial"/>
                <w:color w:val="000000"/>
                <w:sz w:val="20"/>
                <w:szCs w:val="20"/>
              </w:rPr>
              <w:t>46.107.484</w:t>
            </w:r>
          </w:p>
        </w:tc>
      </w:tr>
      <w:tr w:rsidR="00E57AB7" w:rsidRPr="00B7099A" w14:paraId="71FEAB9D"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79079BBF" w14:textId="77777777" w:rsidR="00E57AB7" w:rsidRPr="00B7099A" w:rsidRDefault="00E57AB7" w:rsidP="00280D6E">
            <w:pPr>
              <w:jc w:val="left"/>
              <w:rPr>
                <w:rFonts w:cs="Arial"/>
                <w:color w:val="000000"/>
                <w:sz w:val="20"/>
                <w:szCs w:val="20"/>
              </w:rPr>
            </w:pPr>
            <w:r w:rsidRPr="00B7099A">
              <w:rPr>
                <w:rFonts w:cs="Arial"/>
                <w:color w:val="000000"/>
                <w:sz w:val="20"/>
                <w:szCs w:val="20"/>
              </w:rPr>
              <w:t>1950 - Fundo Esp. Pag. Advog. Dativos/S. A. J.</w:t>
            </w:r>
          </w:p>
        </w:tc>
        <w:tc>
          <w:tcPr>
            <w:tcW w:w="1350" w:type="pct"/>
            <w:tcBorders>
              <w:top w:val="nil"/>
              <w:left w:val="single" w:sz="4" w:space="0" w:color="auto"/>
              <w:bottom w:val="nil"/>
              <w:right w:val="nil"/>
            </w:tcBorders>
            <w:shd w:val="clear" w:color="auto" w:fill="auto"/>
            <w:noWrap/>
            <w:vAlign w:val="center"/>
            <w:hideMark/>
          </w:tcPr>
          <w:p w14:paraId="33EEFA22" w14:textId="77777777" w:rsidR="00E57AB7" w:rsidRPr="00B7099A" w:rsidRDefault="00E57AB7" w:rsidP="00280D6E">
            <w:pPr>
              <w:jc w:val="right"/>
              <w:rPr>
                <w:rFonts w:cs="Arial"/>
                <w:color w:val="000000"/>
                <w:sz w:val="20"/>
                <w:szCs w:val="20"/>
              </w:rPr>
            </w:pPr>
            <w:r w:rsidRPr="00B7099A">
              <w:rPr>
                <w:rFonts w:cs="Arial"/>
                <w:color w:val="000000"/>
                <w:sz w:val="20"/>
                <w:szCs w:val="20"/>
              </w:rPr>
              <w:t>43.923.110</w:t>
            </w:r>
          </w:p>
        </w:tc>
      </w:tr>
      <w:tr w:rsidR="00E57AB7" w:rsidRPr="00B7099A" w14:paraId="600F55CA"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520A87E4" w14:textId="77777777" w:rsidR="00E57AB7" w:rsidRPr="00B7099A" w:rsidRDefault="00E57AB7" w:rsidP="00280D6E">
            <w:pPr>
              <w:jc w:val="left"/>
              <w:rPr>
                <w:rFonts w:cs="Arial"/>
                <w:color w:val="000000"/>
                <w:sz w:val="20"/>
                <w:szCs w:val="20"/>
              </w:rPr>
            </w:pPr>
            <w:r w:rsidRPr="00B7099A">
              <w:rPr>
                <w:rFonts w:cs="Arial"/>
                <w:color w:val="000000"/>
                <w:sz w:val="20"/>
                <w:szCs w:val="20"/>
              </w:rPr>
              <w:t>1901 - Gab. do Secretário de Governo</w:t>
            </w:r>
          </w:p>
        </w:tc>
        <w:tc>
          <w:tcPr>
            <w:tcW w:w="1350" w:type="pct"/>
            <w:tcBorders>
              <w:top w:val="nil"/>
              <w:left w:val="single" w:sz="4" w:space="0" w:color="auto"/>
              <w:bottom w:val="nil"/>
              <w:right w:val="nil"/>
            </w:tcBorders>
            <w:shd w:val="clear" w:color="auto" w:fill="auto"/>
            <w:noWrap/>
            <w:vAlign w:val="center"/>
            <w:hideMark/>
          </w:tcPr>
          <w:p w14:paraId="790C185B" w14:textId="77777777" w:rsidR="00E57AB7" w:rsidRPr="00B7099A" w:rsidRDefault="00E57AB7" w:rsidP="00280D6E">
            <w:pPr>
              <w:jc w:val="right"/>
              <w:rPr>
                <w:rFonts w:cs="Arial"/>
                <w:color w:val="000000"/>
                <w:sz w:val="20"/>
                <w:szCs w:val="20"/>
              </w:rPr>
            </w:pPr>
            <w:r w:rsidRPr="00B7099A">
              <w:rPr>
                <w:rFonts w:cs="Arial"/>
                <w:color w:val="000000"/>
                <w:sz w:val="20"/>
                <w:szCs w:val="20"/>
              </w:rPr>
              <w:t>42.738.677</w:t>
            </w:r>
          </w:p>
        </w:tc>
      </w:tr>
      <w:tr w:rsidR="00E57AB7" w:rsidRPr="00B7099A" w14:paraId="7DC950E2"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475B149A" w14:textId="77777777" w:rsidR="00E57AB7" w:rsidRPr="00B7099A" w:rsidRDefault="00E57AB7" w:rsidP="00280D6E">
            <w:pPr>
              <w:jc w:val="left"/>
              <w:rPr>
                <w:rFonts w:cs="Arial"/>
                <w:color w:val="000000"/>
                <w:sz w:val="20"/>
                <w:szCs w:val="20"/>
              </w:rPr>
            </w:pPr>
            <w:r w:rsidRPr="00B7099A">
              <w:rPr>
                <w:rFonts w:cs="Arial"/>
                <w:color w:val="000000"/>
                <w:sz w:val="20"/>
                <w:szCs w:val="20"/>
              </w:rPr>
              <w:t>0801 - Gab. do Defensor Público do Estado</w:t>
            </w:r>
          </w:p>
        </w:tc>
        <w:tc>
          <w:tcPr>
            <w:tcW w:w="1350" w:type="pct"/>
            <w:tcBorders>
              <w:top w:val="nil"/>
              <w:left w:val="single" w:sz="4" w:space="0" w:color="auto"/>
              <w:bottom w:val="nil"/>
              <w:right w:val="nil"/>
            </w:tcBorders>
            <w:shd w:val="clear" w:color="auto" w:fill="auto"/>
            <w:noWrap/>
            <w:vAlign w:val="center"/>
            <w:hideMark/>
          </w:tcPr>
          <w:p w14:paraId="0C323935" w14:textId="77777777" w:rsidR="00E57AB7" w:rsidRPr="00B7099A" w:rsidRDefault="00E57AB7" w:rsidP="00280D6E">
            <w:pPr>
              <w:jc w:val="right"/>
              <w:rPr>
                <w:rFonts w:cs="Arial"/>
                <w:color w:val="000000"/>
                <w:sz w:val="20"/>
                <w:szCs w:val="20"/>
              </w:rPr>
            </w:pPr>
            <w:r w:rsidRPr="00B7099A">
              <w:rPr>
                <w:rFonts w:cs="Arial"/>
                <w:color w:val="000000"/>
                <w:sz w:val="20"/>
                <w:szCs w:val="20"/>
              </w:rPr>
              <w:t>33.918.640</w:t>
            </w:r>
          </w:p>
        </w:tc>
      </w:tr>
      <w:tr w:rsidR="00E57AB7" w:rsidRPr="00B7099A" w14:paraId="4D2A1C53"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2F30FBDE" w14:textId="77777777" w:rsidR="00E57AB7" w:rsidRPr="00B7099A" w:rsidRDefault="00E57AB7" w:rsidP="00280D6E">
            <w:pPr>
              <w:jc w:val="left"/>
              <w:rPr>
                <w:rFonts w:cs="Arial"/>
                <w:color w:val="000000"/>
                <w:sz w:val="20"/>
                <w:szCs w:val="20"/>
              </w:rPr>
            </w:pPr>
            <w:r w:rsidRPr="00B7099A">
              <w:rPr>
                <w:rFonts w:cs="Arial"/>
                <w:color w:val="000000"/>
                <w:sz w:val="20"/>
                <w:szCs w:val="20"/>
              </w:rPr>
              <w:t>2401 - Gab. Secretário de Estado da Educação</w:t>
            </w:r>
          </w:p>
        </w:tc>
        <w:tc>
          <w:tcPr>
            <w:tcW w:w="1350" w:type="pct"/>
            <w:tcBorders>
              <w:top w:val="nil"/>
              <w:left w:val="single" w:sz="4" w:space="0" w:color="auto"/>
              <w:bottom w:val="nil"/>
              <w:right w:val="nil"/>
            </w:tcBorders>
            <w:shd w:val="clear" w:color="auto" w:fill="auto"/>
            <w:noWrap/>
            <w:vAlign w:val="center"/>
            <w:hideMark/>
          </w:tcPr>
          <w:p w14:paraId="053B409B" w14:textId="77777777" w:rsidR="00E57AB7" w:rsidRPr="00B7099A" w:rsidRDefault="00E57AB7" w:rsidP="00280D6E">
            <w:pPr>
              <w:jc w:val="right"/>
              <w:rPr>
                <w:rFonts w:cs="Arial"/>
                <w:color w:val="000000"/>
                <w:sz w:val="20"/>
                <w:szCs w:val="20"/>
              </w:rPr>
            </w:pPr>
            <w:r w:rsidRPr="00B7099A">
              <w:rPr>
                <w:rFonts w:cs="Arial"/>
                <w:color w:val="000000"/>
                <w:sz w:val="20"/>
                <w:szCs w:val="20"/>
              </w:rPr>
              <w:t>33.061.663</w:t>
            </w:r>
          </w:p>
        </w:tc>
      </w:tr>
      <w:tr w:rsidR="00E57AB7" w:rsidRPr="00B7099A" w14:paraId="73FB2947"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638D87D3" w14:textId="1D1C5FA6" w:rsidR="00E57AB7" w:rsidRPr="00B7099A" w:rsidRDefault="00E57AB7" w:rsidP="00280D6E">
            <w:pPr>
              <w:jc w:val="left"/>
              <w:rPr>
                <w:rFonts w:cs="Arial"/>
                <w:color w:val="000000"/>
                <w:sz w:val="20"/>
                <w:szCs w:val="20"/>
              </w:rPr>
            </w:pPr>
            <w:r w:rsidRPr="00B7099A">
              <w:rPr>
                <w:rFonts w:cs="Arial"/>
                <w:color w:val="000000"/>
                <w:sz w:val="20"/>
                <w:szCs w:val="20"/>
              </w:rPr>
              <w:t xml:space="preserve">1752 - Fundo de Aporte à Celg D. S.A - </w:t>
            </w:r>
            <w:r w:rsidR="00EE3568" w:rsidRPr="00B7099A">
              <w:rPr>
                <w:rFonts w:cs="Arial"/>
                <w:color w:val="000000"/>
                <w:sz w:val="20"/>
                <w:szCs w:val="20"/>
              </w:rPr>
              <w:t>Funac</w:t>
            </w:r>
          </w:p>
        </w:tc>
        <w:tc>
          <w:tcPr>
            <w:tcW w:w="1350" w:type="pct"/>
            <w:tcBorders>
              <w:top w:val="nil"/>
              <w:left w:val="single" w:sz="4" w:space="0" w:color="auto"/>
              <w:bottom w:val="nil"/>
              <w:right w:val="nil"/>
            </w:tcBorders>
            <w:shd w:val="clear" w:color="auto" w:fill="auto"/>
            <w:noWrap/>
            <w:vAlign w:val="center"/>
            <w:hideMark/>
          </w:tcPr>
          <w:p w14:paraId="47A0842A" w14:textId="77777777" w:rsidR="00E57AB7" w:rsidRPr="00B7099A" w:rsidRDefault="00E57AB7" w:rsidP="00280D6E">
            <w:pPr>
              <w:jc w:val="right"/>
              <w:rPr>
                <w:rFonts w:cs="Arial"/>
                <w:color w:val="000000"/>
                <w:sz w:val="20"/>
                <w:szCs w:val="20"/>
              </w:rPr>
            </w:pPr>
            <w:r w:rsidRPr="00B7099A">
              <w:rPr>
                <w:rFonts w:cs="Arial"/>
                <w:color w:val="000000"/>
                <w:sz w:val="20"/>
                <w:szCs w:val="20"/>
              </w:rPr>
              <w:t>29.677.898</w:t>
            </w:r>
          </w:p>
        </w:tc>
      </w:tr>
      <w:tr w:rsidR="00E57AB7" w:rsidRPr="00B7099A" w14:paraId="69B4ACA0"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056B89D3" w14:textId="77777777" w:rsidR="00E57AB7" w:rsidRPr="00B7099A" w:rsidRDefault="00E57AB7" w:rsidP="00280D6E">
            <w:pPr>
              <w:jc w:val="left"/>
              <w:rPr>
                <w:rFonts w:cs="Arial"/>
                <w:color w:val="000000"/>
                <w:sz w:val="20"/>
                <w:szCs w:val="20"/>
              </w:rPr>
            </w:pPr>
            <w:r w:rsidRPr="00B7099A">
              <w:rPr>
                <w:rFonts w:cs="Arial"/>
                <w:color w:val="000000"/>
                <w:sz w:val="20"/>
                <w:szCs w:val="20"/>
              </w:rPr>
              <w:t>2902 - Polícia Militar</w:t>
            </w:r>
          </w:p>
        </w:tc>
        <w:tc>
          <w:tcPr>
            <w:tcW w:w="1350" w:type="pct"/>
            <w:tcBorders>
              <w:top w:val="nil"/>
              <w:left w:val="single" w:sz="4" w:space="0" w:color="auto"/>
              <w:bottom w:val="nil"/>
              <w:right w:val="nil"/>
            </w:tcBorders>
            <w:shd w:val="clear" w:color="auto" w:fill="auto"/>
            <w:noWrap/>
            <w:vAlign w:val="center"/>
            <w:hideMark/>
          </w:tcPr>
          <w:p w14:paraId="09930F0A" w14:textId="77777777" w:rsidR="00E57AB7" w:rsidRPr="00B7099A" w:rsidRDefault="00E57AB7" w:rsidP="00280D6E">
            <w:pPr>
              <w:jc w:val="right"/>
              <w:rPr>
                <w:rFonts w:cs="Arial"/>
                <w:color w:val="000000"/>
                <w:sz w:val="20"/>
                <w:szCs w:val="20"/>
              </w:rPr>
            </w:pPr>
            <w:r w:rsidRPr="00B7099A">
              <w:rPr>
                <w:rFonts w:cs="Arial"/>
                <w:color w:val="000000"/>
                <w:sz w:val="20"/>
                <w:szCs w:val="20"/>
              </w:rPr>
              <w:t>27.489.074</w:t>
            </w:r>
          </w:p>
        </w:tc>
      </w:tr>
      <w:tr w:rsidR="00E57AB7" w:rsidRPr="00B7099A" w14:paraId="607D9BC9"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534F6697" w14:textId="77777777" w:rsidR="00E57AB7" w:rsidRPr="00B7099A" w:rsidRDefault="00E57AB7" w:rsidP="00280D6E">
            <w:pPr>
              <w:jc w:val="left"/>
              <w:rPr>
                <w:rFonts w:cs="Arial"/>
                <w:color w:val="000000"/>
                <w:sz w:val="20"/>
                <w:szCs w:val="20"/>
              </w:rPr>
            </w:pPr>
            <w:r w:rsidRPr="00B7099A">
              <w:rPr>
                <w:rFonts w:cs="Arial"/>
                <w:color w:val="000000"/>
                <w:sz w:val="20"/>
                <w:szCs w:val="20"/>
              </w:rPr>
              <w:t>1701 - Gab. Secretário de Estado da Economia</w:t>
            </w:r>
          </w:p>
        </w:tc>
        <w:tc>
          <w:tcPr>
            <w:tcW w:w="1350" w:type="pct"/>
            <w:tcBorders>
              <w:top w:val="nil"/>
              <w:left w:val="single" w:sz="4" w:space="0" w:color="auto"/>
              <w:bottom w:val="nil"/>
              <w:right w:val="nil"/>
            </w:tcBorders>
            <w:shd w:val="clear" w:color="auto" w:fill="auto"/>
            <w:noWrap/>
            <w:vAlign w:val="center"/>
            <w:hideMark/>
          </w:tcPr>
          <w:p w14:paraId="281FA159" w14:textId="77777777" w:rsidR="00E57AB7" w:rsidRPr="00B7099A" w:rsidRDefault="00E57AB7" w:rsidP="00280D6E">
            <w:pPr>
              <w:jc w:val="right"/>
              <w:rPr>
                <w:rFonts w:cs="Arial"/>
                <w:color w:val="000000"/>
                <w:sz w:val="20"/>
                <w:szCs w:val="20"/>
              </w:rPr>
            </w:pPr>
            <w:r w:rsidRPr="00B7099A">
              <w:rPr>
                <w:rFonts w:cs="Arial"/>
                <w:color w:val="000000"/>
                <w:sz w:val="20"/>
                <w:szCs w:val="20"/>
              </w:rPr>
              <w:t>22.767.205</w:t>
            </w:r>
          </w:p>
        </w:tc>
      </w:tr>
      <w:tr w:rsidR="00E57AB7" w:rsidRPr="00B7099A" w14:paraId="36074E6B"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4DCE60A9" w14:textId="77777777" w:rsidR="00E57AB7" w:rsidRPr="00B7099A" w:rsidRDefault="00E57AB7" w:rsidP="00280D6E">
            <w:pPr>
              <w:jc w:val="left"/>
              <w:rPr>
                <w:rFonts w:cs="Arial"/>
                <w:color w:val="000000"/>
                <w:sz w:val="20"/>
                <w:szCs w:val="20"/>
              </w:rPr>
            </w:pPr>
            <w:r w:rsidRPr="00B7099A">
              <w:rPr>
                <w:rFonts w:cs="Arial"/>
                <w:color w:val="000000"/>
                <w:sz w:val="20"/>
                <w:szCs w:val="20"/>
              </w:rPr>
              <w:t>1801 - Gab. Sec. Estado da Administração</w:t>
            </w:r>
          </w:p>
        </w:tc>
        <w:tc>
          <w:tcPr>
            <w:tcW w:w="1350" w:type="pct"/>
            <w:tcBorders>
              <w:top w:val="nil"/>
              <w:left w:val="single" w:sz="4" w:space="0" w:color="auto"/>
              <w:bottom w:val="nil"/>
              <w:right w:val="nil"/>
            </w:tcBorders>
            <w:shd w:val="clear" w:color="auto" w:fill="auto"/>
            <w:noWrap/>
            <w:vAlign w:val="center"/>
            <w:hideMark/>
          </w:tcPr>
          <w:p w14:paraId="015F09CA" w14:textId="77777777" w:rsidR="00E57AB7" w:rsidRPr="00B7099A" w:rsidRDefault="00E57AB7" w:rsidP="00280D6E">
            <w:pPr>
              <w:jc w:val="right"/>
              <w:rPr>
                <w:rFonts w:cs="Arial"/>
                <w:color w:val="000000"/>
                <w:sz w:val="20"/>
                <w:szCs w:val="20"/>
              </w:rPr>
            </w:pPr>
            <w:r w:rsidRPr="00B7099A">
              <w:rPr>
                <w:rFonts w:cs="Arial"/>
                <w:color w:val="000000"/>
                <w:sz w:val="20"/>
                <w:szCs w:val="20"/>
              </w:rPr>
              <w:t>21.850.306</w:t>
            </w:r>
          </w:p>
        </w:tc>
      </w:tr>
      <w:tr w:rsidR="00E57AB7" w:rsidRPr="00B7099A" w14:paraId="339259EC"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51583603" w14:textId="77777777" w:rsidR="00E57AB7" w:rsidRPr="00B7099A" w:rsidRDefault="00E57AB7" w:rsidP="00280D6E">
            <w:pPr>
              <w:jc w:val="left"/>
              <w:rPr>
                <w:rFonts w:cs="Arial"/>
                <w:color w:val="000000"/>
                <w:sz w:val="20"/>
                <w:szCs w:val="20"/>
              </w:rPr>
            </w:pPr>
            <w:r w:rsidRPr="00B7099A">
              <w:rPr>
                <w:rFonts w:cs="Arial"/>
                <w:color w:val="000000"/>
                <w:sz w:val="20"/>
                <w:szCs w:val="20"/>
              </w:rPr>
              <w:t>4001 - Gab. do Chefe da Secretaria - Geral da Governadoria</w:t>
            </w:r>
          </w:p>
        </w:tc>
        <w:tc>
          <w:tcPr>
            <w:tcW w:w="1350" w:type="pct"/>
            <w:tcBorders>
              <w:top w:val="nil"/>
              <w:left w:val="single" w:sz="4" w:space="0" w:color="auto"/>
              <w:bottom w:val="nil"/>
              <w:right w:val="nil"/>
            </w:tcBorders>
            <w:shd w:val="clear" w:color="auto" w:fill="auto"/>
            <w:noWrap/>
            <w:vAlign w:val="center"/>
            <w:hideMark/>
          </w:tcPr>
          <w:p w14:paraId="401CFFE9" w14:textId="77777777" w:rsidR="00E57AB7" w:rsidRPr="00B7099A" w:rsidRDefault="00E57AB7" w:rsidP="00280D6E">
            <w:pPr>
              <w:jc w:val="right"/>
              <w:rPr>
                <w:rFonts w:cs="Arial"/>
                <w:color w:val="000000"/>
                <w:sz w:val="20"/>
                <w:szCs w:val="20"/>
              </w:rPr>
            </w:pPr>
            <w:r w:rsidRPr="00B7099A">
              <w:rPr>
                <w:rFonts w:cs="Arial"/>
                <w:color w:val="000000"/>
                <w:sz w:val="20"/>
                <w:szCs w:val="20"/>
              </w:rPr>
              <w:t>15.438.954</w:t>
            </w:r>
          </w:p>
        </w:tc>
      </w:tr>
      <w:tr w:rsidR="00E57AB7" w:rsidRPr="00B7099A" w14:paraId="7F216C51"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10908921" w14:textId="5B5D58F0" w:rsidR="00E57AB7" w:rsidRPr="00B7099A" w:rsidRDefault="00E57AB7" w:rsidP="00280D6E">
            <w:pPr>
              <w:jc w:val="left"/>
              <w:rPr>
                <w:rFonts w:cs="Arial"/>
                <w:color w:val="000000"/>
                <w:sz w:val="20"/>
                <w:szCs w:val="20"/>
              </w:rPr>
            </w:pPr>
            <w:r w:rsidRPr="00B7099A">
              <w:rPr>
                <w:rFonts w:cs="Arial"/>
                <w:color w:val="000000"/>
                <w:sz w:val="20"/>
                <w:szCs w:val="20"/>
              </w:rPr>
              <w:t>3351 - F</w:t>
            </w:r>
            <w:r w:rsidR="006F0ACC" w:rsidRPr="00B7099A">
              <w:rPr>
                <w:rFonts w:cs="Arial"/>
                <w:color w:val="000000"/>
                <w:sz w:val="20"/>
                <w:szCs w:val="20"/>
              </w:rPr>
              <w:t>unproduzir</w:t>
            </w:r>
          </w:p>
        </w:tc>
        <w:tc>
          <w:tcPr>
            <w:tcW w:w="1350" w:type="pct"/>
            <w:tcBorders>
              <w:top w:val="nil"/>
              <w:left w:val="single" w:sz="4" w:space="0" w:color="auto"/>
              <w:bottom w:val="nil"/>
              <w:right w:val="nil"/>
            </w:tcBorders>
            <w:shd w:val="clear" w:color="auto" w:fill="auto"/>
            <w:noWrap/>
            <w:vAlign w:val="center"/>
            <w:hideMark/>
          </w:tcPr>
          <w:p w14:paraId="13E97B07" w14:textId="77777777" w:rsidR="00E57AB7" w:rsidRPr="00B7099A" w:rsidRDefault="00E57AB7" w:rsidP="00280D6E">
            <w:pPr>
              <w:jc w:val="right"/>
              <w:rPr>
                <w:rFonts w:cs="Arial"/>
                <w:color w:val="000000"/>
                <w:sz w:val="20"/>
                <w:szCs w:val="20"/>
              </w:rPr>
            </w:pPr>
            <w:r w:rsidRPr="00B7099A">
              <w:rPr>
                <w:rFonts w:cs="Arial"/>
                <w:color w:val="000000"/>
                <w:sz w:val="20"/>
                <w:szCs w:val="20"/>
              </w:rPr>
              <w:t>14.970.080</w:t>
            </w:r>
          </w:p>
        </w:tc>
      </w:tr>
      <w:tr w:rsidR="00E57AB7" w:rsidRPr="00B7099A" w14:paraId="36F9C724"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40456925" w14:textId="77777777" w:rsidR="00E57AB7" w:rsidRPr="00B7099A" w:rsidRDefault="00E57AB7" w:rsidP="00280D6E">
            <w:pPr>
              <w:jc w:val="left"/>
              <w:rPr>
                <w:rFonts w:cs="Arial"/>
                <w:color w:val="000000"/>
                <w:sz w:val="20"/>
                <w:szCs w:val="20"/>
              </w:rPr>
            </w:pPr>
            <w:r w:rsidRPr="00B7099A">
              <w:rPr>
                <w:rFonts w:cs="Arial"/>
                <w:color w:val="000000"/>
                <w:sz w:val="20"/>
                <w:szCs w:val="20"/>
              </w:rPr>
              <w:t>1704 - Encargos Especiais</w:t>
            </w:r>
          </w:p>
        </w:tc>
        <w:tc>
          <w:tcPr>
            <w:tcW w:w="1350" w:type="pct"/>
            <w:tcBorders>
              <w:top w:val="nil"/>
              <w:left w:val="single" w:sz="4" w:space="0" w:color="auto"/>
              <w:bottom w:val="nil"/>
              <w:right w:val="nil"/>
            </w:tcBorders>
            <w:shd w:val="clear" w:color="auto" w:fill="auto"/>
            <w:noWrap/>
            <w:vAlign w:val="center"/>
            <w:hideMark/>
          </w:tcPr>
          <w:p w14:paraId="41DF84E3" w14:textId="77777777" w:rsidR="00E57AB7" w:rsidRPr="00B7099A" w:rsidRDefault="00E57AB7" w:rsidP="00280D6E">
            <w:pPr>
              <w:jc w:val="right"/>
              <w:rPr>
                <w:rFonts w:cs="Arial"/>
                <w:color w:val="000000"/>
                <w:sz w:val="20"/>
                <w:szCs w:val="20"/>
              </w:rPr>
            </w:pPr>
            <w:r w:rsidRPr="00B7099A">
              <w:rPr>
                <w:rFonts w:cs="Arial"/>
                <w:color w:val="000000"/>
                <w:sz w:val="20"/>
                <w:szCs w:val="20"/>
              </w:rPr>
              <w:t>12.825.791</w:t>
            </w:r>
          </w:p>
        </w:tc>
      </w:tr>
      <w:tr w:rsidR="00E57AB7" w:rsidRPr="00B7099A" w14:paraId="283A98EA"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27597F47" w14:textId="77777777" w:rsidR="00E57AB7" w:rsidRPr="00B7099A" w:rsidRDefault="00E57AB7" w:rsidP="00280D6E">
            <w:pPr>
              <w:jc w:val="left"/>
              <w:rPr>
                <w:rFonts w:cs="Arial"/>
                <w:color w:val="000000"/>
                <w:sz w:val="20"/>
                <w:szCs w:val="20"/>
              </w:rPr>
            </w:pPr>
            <w:r w:rsidRPr="00B7099A">
              <w:rPr>
                <w:rFonts w:cs="Arial"/>
                <w:color w:val="000000"/>
                <w:sz w:val="20"/>
                <w:szCs w:val="20"/>
              </w:rPr>
              <w:t>4301 - Gab. da Sec. de Estado da Infraestrutura</w:t>
            </w:r>
          </w:p>
        </w:tc>
        <w:tc>
          <w:tcPr>
            <w:tcW w:w="1350" w:type="pct"/>
            <w:tcBorders>
              <w:top w:val="nil"/>
              <w:left w:val="single" w:sz="4" w:space="0" w:color="auto"/>
              <w:bottom w:val="nil"/>
              <w:right w:val="nil"/>
            </w:tcBorders>
            <w:shd w:val="clear" w:color="auto" w:fill="auto"/>
            <w:noWrap/>
            <w:vAlign w:val="center"/>
            <w:hideMark/>
          </w:tcPr>
          <w:p w14:paraId="2F74A069" w14:textId="77777777" w:rsidR="00E57AB7" w:rsidRPr="00B7099A" w:rsidRDefault="00E57AB7" w:rsidP="00280D6E">
            <w:pPr>
              <w:jc w:val="right"/>
              <w:rPr>
                <w:rFonts w:cs="Arial"/>
                <w:color w:val="000000"/>
                <w:sz w:val="20"/>
                <w:szCs w:val="20"/>
              </w:rPr>
            </w:pPr>
            <w:r w:rsidRPr="00B7099A">
              <w:rPr>
                <w:rFonts w:cs="Arial"/>
                <w:color w:val="000000"/>
                <w:sz w:val="20"/>
                <w:szCs w:val="20"/>
              </w:rPr>
              <w:t>11.299.652</w:t>
            </w:r>
          </w:p>
        </w:tc>
      </w:tr>
      <w:tr w:rsidR="00E57AB7" w:rsidRPr="00B7099A" w14:paraId="4C8A1AEC"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6B090865" w14:textId="77777777" w:rsidR="00E57AB7" w:rsidRPr="00B7099A" w:rsidRDefault="00E57AB7" w:rsidP="00280D6E">
            <w:pPr>
              <w:jc w:val="left"/>
              <w:rPr>
                <w:rFonts w:cs="Arial"/>
                <w:color w:val="000000"/>
                <w:sz w:val="20"/>
                <w:szCs w:val="20"/>
              </w:rPr>
            </w:pPr>
            <w:r w:rsidRPr="00B7099A">
              <w:rPr>
                <w:rFonts w:cs="Arial"/>
                <w:color w:val="000000"/>
                <w:sz w:val="20"/>
                <w:szCs w:val="20"/>
              </w:rPr>
              <w:t>1201 - Gab. Secretaria de Estado de Comunicação</w:t>
            </w:r>
          </w:p>
        </w:tc>
        <w:tc>
          <w:tcPr>
            <w:tcW w:w="1350" w:type="pct"/>
            <w:tcBorders>
              <w:top w:val="nil"/>
              <w:left w:val="single" w:sz="4" w:space="0" w:color="auto"/>
              <w:bottom w:val="nil"/>
              <w:right w:val="nil"/>
            </w:tcBorders>
            <w:shd w:val="clear" w:color="auto" w:fill="auto"/>
            <w:noWrap/>
            <w:vAlign w:val="center"/>
            <w:hideMark/>
          </w:tcPr>
          <w:p w14:paraId="5493FE28" w14:textId="77777777" w:rsidR="00E57AB7" w:rsidRPr="00B7099A" w:rsidRDefault="00E57AB7" w:rsidP="00280D6E">
            <w:pPr>
              <w:jc w:val="right"/>
              <w:rPr>
                <w:rFonts w:cs="Arial"/>
                <w:color w:val="000000"/>
                <w:sz w:val="20"/>
                <w:szCs w:val="20"/>
              </w:rPr>
            </w:pPr>
            <w:r w:rsidRPr="00B7099A">
              <w:rPr>
                <w:rFonts w:cs="Arial"/>
                <w:color w:val="000000"/>
                <w:sz w:val="20"/>
                <w:szCs w:val="20"/>
              </w:rPr>
              <w:t>11.277.249</w:t>
            </w:r>
          </w:p>
        </w:tc>
      </w:tr>
      <w:tr w:rsidR="00E57AB7" w:rsidRPr="00B7099A" w14:paraId="2130A221"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6937BA21" w14:textId="00D3A8C0" w:rsidR="00E57AB7" w:rsidRPr="00B7099A" w:rsidRDefault="00E57AB7" w:rsidP="00280D6E">
            <w:pPr>
              <w:jc w:val="left"/>
              <w:rPr>
                <w:rFonts w:cs="Arial"/>
                <w:color w:val="000000"/>
                <w:sz w:val="20"/>
                <w:szCs w:val="20"/>
              </w:rPr>
            </w:pPr>
            <w:r w:rsidRPr="00B7099A">
              <w:rPr>
                <w:rFonts w:cs="Arial"/>
                <w:color w:val="000000"/>
                <w:sz w:val="20"/>
                <w:szCs w:val="20"/>
              </w:rPr>
              <w:t>3052 - F</w:t>
            </w:r>
            <w:r w:rsidR="006F0ACC" w:rsidRPr="00B7099A">
              <w:rPr>
                <w:rFonts w:cs="Arial"/>
                <w:color w:val="000000"/>
                <w:sz w:val="20"/>
                <w:szCs w:val="20"/>
              </w:rPr>
              <w:t>ecad</w:t>
            </w:r>
          </w:p>
        </w:tc>
        <w:tc>
          <w:tcPr>
            <w:tcW w:w="1350" w:type="pct"/>
            <w:tcBorders>
              <w:top w:val="nil"/>
              <w:left w:val="single" w:sz="4" w:space="0" w:color="auto"/>
              <w:bottom w:val="nil"/>
              <w:right w:val="nil"/>
            </w:tcBorders>
            <w:shd w:val="clear" w:color="auto" w:fill="auto"/>
            <w:noWrap/>
            <w:vAlign w:val="center"/>
            <w:hideMark/>
          </w:tcPr>
          <w:p w14:paraId="19EC817F" w14:textId="77777777" w:rsidR="00E57AB7" w:rsidRPr="00B7099A" w:rsidRDefault="00E57AB7" w:rsidP="00280D6E">
            <w:pPr>
              <w:jc w:val="right"/>
              <w:rPr>
                <w:rFonts w:cs="Arial"/>
                <w:color w:val="000000"/>
                <w:sz w:val="20"/>
                <w:szCs w:val="20"/>
              </w:rPr>
            </w:pPr>
            <w:r w:rsidRPr="00B7099A">
              <w:rPr>
                <w:rFonts w:cs="Arial"/>
                <w:color w:val="000000"/>
                <w:sz w:val="20"/>
                <w:szCs w:val="20"/>
              </w:rPr>
              <w:t>9.766.482</w:t>
            </w:r>
          </w:p>
        </w:tc>
      </w:tr>
      <w:tr w:rsidR="00E57AB7" w:rsidRPr="00B7099A" w14:paraId="3B9DA86B"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61C8A048" w14:textId="77777777" w:rsidR="00E57AB7" w:rsidRPr="00B7099A" w:rsidRDefault="00E57AB7" w:rsidP="00280D6E">
            <w:pPr>
              <w:jc w:val="left"/>
              <w:rPr>
                <w:rFonts w:cs="Arial"/>
                <w:color w:val="000000"/>
                <w:sz w:val="20"/>
                <w:szCs w:val="20"/>
              </w:rPr>
            </w:pPr>
            <w:r w:rsidRPr="00B7099A">
              <w:rPr>
                <w:rFonts w:cs="Arial"/>
                <w:color w:val="000000"/>
                <w:sz w:val="20"/>
                <w:szCs w:val="20"/>
              </w:rPr>
              <w:t>2901 - Gab. Sec. Segurança Pública</w:t>
            </w:r>
          </w:p>
        </w:tc>
        <w:tc>
          <w:tcPr>
            <w:tcW w:w="1350" w:type="pct"/>
            <w:tcBorders>
              <w:top w:val="nil"/>
              <w:left w:val="single" w:sz="4" w:space="0" w:color="auto"/>
              <w:bottom w:val="nil"/>
              <w:right w:val="nil"/>
            </w:tcBorders>
            <w:shd w:val="clear" w:color="auto" w:fill="auto"/>
            <w:noWrap/>
            <w:vAlign w:val="center"/>
            <w:hideMark/>
          </w:tcPr>
          <w:p w14:paraId="68B9D141" w14:textId="77777777" w:rsidR="00E57AB7" w:rsidRPr="00B7099A" w:rsidRDefault="00E57AB7" w:rsidP="00280D6E">
            <w:pPr>
              <w:jc w:val="right"/>
              <w:rPr>
                <w:rFonts w:cs="Arial"/>
                <w:color w:val="000000"/>
                <w:sz w:val="20"/>
                <w:szCs w:val="20"/>
              </w:rPr>
            </w:pPr>
            <w:r w:rsidRPr="00B7099A">
              <w:rPr>
                <w:rFonts w:cs="Arial"/>
                <w:color w:val="000000"/>
                <w:sz w:val="20"/>
                <w:szCs w:val="20"/>
              </w:rPr>
              <w:t>6.799.030</w:t>
            </w:r>
          </w:p>
        </w:tc>
      </w:tr>
      <w:tr w:rsidR="00E57AB7" w:rsidRPr="00B7099A" w14:paraId="5A6DD331"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2A52E9BD" w14:textId="77777777" w:rsidR="00E57AB7" w:rsidRPr="00B7099A" w:rsidRDefault="00E57AB7" w:rsidP="00280D6E">
            <w:pPr>
              <w:jc w:val="left"/>
              <w:rPr>
                <w:rFonts w:cs="Arial"/>
                <w:color w:val="000000"/>
                <w:sz w:val="20"/>
                <w:szCs w:val="20"/>
              </w:rPr>
            </w:pPr>
            <w:r w:rsidRPr="00B7099A">
              <w:rPr>
                <w:rFonts w:cs="Arial"/>
                <w:color w:val="000000"/>
                <w:sz w:val="20"/>
                <w:szCs w:val="20"/>
              </w:rPr>
              <w:t>4062 - UEG</w:t>
            </w:r>
          </w:p>
        </w:tc>
        <w:tc>
          <w:tcPr>
            <w:tcW w:w="1350" w:type="pct"/>
            <w:tcBorders>
              <w:top w:val="nil"/>
              <w:left w:val="single" w:sz="4" w:space="0" w:color="auto"/>
              <w:bottom w:val="nil"/>
              <w:right w:val="nil"/>
            </w:tcBorders>
            <w:shd w:val="clear" w:color="auto" w:fill="auto"/>
            <w:noWrap/>
            <w:vAlign w:val="center"/>
            <w:hideMark/>
          </w:tcPr>
          <w:p w14:paraId="49DDBB78" w14:textId="77777777" w:rsidR="00E57AB7" w:rsidRPr="00B7099A" w:rsidRDefault="00E57AB7" w:rsidP="00280D6E">
            <w:pPr>
              <w:jc w:val="right"/>
              <w:rPr>
                <w:rFonts w:cs="Arial"/>
                <w:color w:val="000000"/>
                <w:sz w:val="20"/>
                <w:szCs w:val="20"/>
              </w:rPr>
            </w:pPr>
            <w:r w:rsidRPr="00B7099A">
              <w:rPr>
                <w:rFonts w:cs="Arial"/>
                <w:color w:val="000000"/>
                <w:sz w:val="20"/>
                <w:szCs w:val="20"/>
              </w:rPr>
              <w:t>6.540.285</w:t>
            </w:r>
          </w:p>
        </w:tc>
      </w:tr>
      <w:tr w:rsidR="00E57AB7" w:rsidRPr="00B7099A" w14:paraId="00FF81B8"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424BEE85" w14:textId="414FB7EB" w:rsidR="00E57AB7" w:rsidRPr="00B7099A" w:rsidRDefault="00E57AB7" w:rsidP="00280D6E">
            <w:pPr>
              <w:jc w:val="left"/>
              <w:rPr>
                <w:rFonts w:cs="Arial"/>
                <w:color w:val="000000"/>
                <w:sz w:val="20"/>
                <w:szCs w:val="20"/>
              </w:rPr>
            </w:pPr>
            <w:r w:rsidRPr="00B7099A">
              <w:rPr>
                <w:rFonts w:cs="Arial"/>
                <w:color w:val="000000"/>
                <w:sz w:val="20"/>
                <w:szCs w:val="20"/>
              </w:rPr>
              <w:t>3051 - F</w:t>
            </w:r>
            <w:r w:rsidR="006F0ACC" w:rsidRPr="00B7099A">
              <w:rPr>
                <w:rFonts w:cs="Arial"/>
                <w:color w:val="000000"/>
                <w:sz w:val="20"/>
                <w:szCs w:val="20"/>
              </w:rPr>
              <w:t>eas</w:t>
            </w:r>
          </w:p>
        </w:tc>
        <w:tc>
          <w:tcPr>
            <w:tcW w:w="1350" w:type="pct"/>
            <w:tcBorders>
              <w:top w:val="nil"/>
              <w:left w:val="single" w:sz="4" w:space="0" w:color="auto"/>
              <w:bottom w:val="nil"/>
              <w:right w:val="nil"/>
            </w:tcBorders>
            <w:shd w:val="clear" w:color="auto" w:fill="auto"/>
            <w:noWrap/>
            <w:vAlign w:val="center"/>
            <w:hideMark/>
          </w:tcPr>
          <w:p w14:paraId="760A377C" w14:textId="77777777" w:rsidR="00E57AB7" w:rsidRPr="00B7099A" w:rsidRDefault="00E57AB7" w:rsidP="00280D6E">
            <w:pPr>
              <w:jc w:val="right"/>
              <w:rPr>
                <w:rFonts w:cs="Arial"/>
                <w:color w:val="000000"/>
                <w:sz w:val="20"/>
                <w:szCs w:val="20"/>
              </w:rPr>
            </w:pPr>
            <w:r w:rsidRPr="00B7099A">
              <w:rPr>
                <w:rFonts w:cs="Arial"/>
                <w:color w:val="000000"/>
                <w:sz w:val="20"/>
                <w:szCs w:val="20"/>
              </w:rPr>
              <w:t>6.500.699</w:t>
            </w:r>
          </w:p>
        </w:tc>
      </w:tr>
      <w:tr w:rsidR="00E57AB7" w:rsidRPr="00B7099A" w14:paraId="570EBADE"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65201216" w14:textId="77777777" w:rsidR="00E57AB7" w:rsidRPr="00B7099A" w:rsidRDefault="00E57AB7" w:rsidP="00280D6E">
            <w:pPr>
              <w:jc w:val="left"/>
              <w:rPr>
                <w:rFonts w:cs="Arial"/>
                <w:color w:val="000000"/>
                <w:sz w:val="20"/>
                <w:szCs w:val="20"/>
              </w:rPr>
            </w:pPr>
            <w:r w:rsidRPr="00B7099A">
              <w:rPr>
                <w:rFonts w:cs="Arial"/>
                <w:color w:val="000000"/>
                <w:sz w:val="20"/>
                <w:szCs w:val="20"/>
              </w:rPr>
              <w:t>2903 - Corpo Bombeiros Militar</w:t>
            </w:r>
          </w:p>
        </w:tc>
        <w:tc>
          <w:tcPr>
            <w:tcW w:w="1350" w:type="pct"/>
            <w:tcBorders>
              <w:top w:val="nil"/>
              <w:left w:val="single" w:sz="4" w:space="0" w:color="auto"/>
              <w:bottom w:val="nil"/>
              <w:right w:val="nil"/>
            </w:tcBorders>
            <w:shd w:val="clear" w:color="auto" w:fill="auto"/>
            <w:noWrap/>
            <w:vAlign w:val="center"/>
            <w:hideMark/>
          </w:tcPr>
          <w:p w14:paraId="1A62B036" w14:textId="77777777" w:rsidR="00E57AB7" w:rsidRPr="00B7099A" w:rsidRDefault="00E57AB7" w:rsidP="00280D6E">
            <w:pPr>
              <w:jc w:val="right"/>
              <w:rPr>
                <w:rFonts w:cs="Arial"/>
                <w:color w:val="000000"/>
                <w:sz w:val="20"/>
                <w:szCs w:val="20"/>
              </w:rPr>
            </w:pPr>
            <w:r w:rsidRPr="00B7099A">
              <w:rPr>
                <w:rFonts w:cs="Arial"/>
                <w:color w:val="000000"/>
                <w:sz w:val="20"/>
                <w:szCs w:val="20"/>
              </w:rPr>
              <w:t>6.225.406</w:t>
            </w:r>
          </w:p>
        </w:tc>
      </w:tr>
      <w:tr w:rsidR="00E57AB7" w:rsidRPr="00B7099A" w14:paraId="5684B29C"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6B23B9C7" w14:textId="09AD1CC9" w:rsidR="00E57AB7" w:rsidRPr="00B7099A" w:rsidRDefault="00E57AB7" w:rsidP="00280D6E">
            <w:pPr>
              <w:jc w:val="left"/>
              <w:rPr>
                <w:rFonts w:cs="Arial"/>
                <w:color w:val="000000"/>
                <w:sz w:val="20"/>
                <w:szCs w:val="20"/>
              </w:rPr>
            </w:pPr>
            <w:r w:rsidRPr="00B7099A">
              <w:rPr>
                <w:rFonts w:cs="Arial"/>
                <w:color w:val="000000"/>
                <w:sz w:val="20"/>
                <w:szCs w:val="20"/>
              </w:rPr>
              <w:lastRenderedPageBreak/>
              <w:t>2950 - Fundo Est. de Segurança Pública - F</w:t>
            </w:r>
            <w:r w:rsidR="003337E8" w:rsidRPr="00B7099A">
              <w:rPr>
                <w:rFonts w:cs="Arial"/>
                <w:color w:val="000000"/>
                <w:sz w:val="20"/>
                <w:szCs w:val="20"/>
              </w:rPr>
              <w:t>unesp</w:t>
            </w:r>
          </w:p>
        </w:tc>
        <w:tc>
          <w:tcPr>
            <w:tcW w:w="1350" w:type="pct"/>
            <w:tcBorders>
              <w:top w:val="nil"/>
              <w:left w:val="single" w:sz="4" w:space="0" w:color="auto"/>
              <w:bottom w:val="nil"/>
              <w:right w:val="nil"/>
            </w:tcBorders>
            <w:shd w:val="clear" w:color="auto" w:fill="auto"/>
            <w:noWrap/>
            <w:vAlign w:val="center"/>
            <w:hideMark/>
          </w:tcPr>
          <w:p w14:paraId="549AED0B" w14:textId="77777777" w:rsidR="00E57AB7" w:rsidRPr="00B7099A" w:rsidRDefault="00E57AB7" w:rsidP="00280D6E">
            <w:pPr>
              <w:jc w:val="right"/>
              <w:rPr>
                <w:rFonts w:cs="Arial"/>
                <w:color w:val="000000"/>
                <w:sz w:val="20"/>
                <w:szCs w:val="20"/>
              </w:rPr>
            </w:pPr>
            <w:r w:rsidRPr="00B7099A">
              <w:rPr>
                <w:rFonts w:cs="Arial"/>
                <w:color w:val="000000"/>
                <w:sz w:val="20"/>
                <w:szCs w:val="20"/>
              </w:rPr>
              <w:t>5.873.906</w:t>
            </w:r>
          </w:p>
        </w:tc>
      </w:tr>
      <w:tr w:rsidR="00E57AB7" w:rsidRPr="00B7099A" w14:paraId="0D192D89"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3BC4EEED" w14:textId="77777777" w:rsidR="00E57AB7" w:rsidRPr="00B7099A" w:rsidRDefault="00E57AB7" w:rsidP="00280D6E">
            <w:pPr>
              <w:jc w:val="left"/>
              <w:rPr>
                <w:rFonts w:cs="Arial"/>
                <w:color w:val="000000"/>
                <w:sz w:val="20"/>
                <w:szCs w:val="20"/>
              </w:rPr>
            </w:pPr>
            <w:r w:rsidRPr="00B7099A">
              <w:rPr>
                <w:rFonts w:cs="Arial"/>
                <w:color w:val="000000"/>
                <w:sz w:val="20"/>
                <w:szCs w:val="20"/>
              </w:rPr>
              <w:t>1702 - Encargos Financeiros do Estado</w:t>
            </w:r>
          </w:p>
        </w:tc>
        <w:tc>
          <w:tcPr>
            <w:tcW w:w="1350" w:type="pct"/>
            <w:tcBorders>
              <w:top w:val="nil"/>
              <w:left w:val="single" w:sz="4" w:space="0" w:color="auto"/>
              <w:bottom w:val="nil"/>
              <w:right w:val="nil"/>
            </w:tcBorders>
            <w:shd w:val="clear" w:color="auto" w:fill="auto"/>
            <w:noWrap/>
            <w:vAlign w:val="center"/>
            <w:hideMark/>
          </w:tcPr>
          <w:p w14:paraId="0D0ED54A" w14:textId="77777777" w:rsidR="00E57AB7" w:rsidRPr="00B7099A" w:rsidRDefault="00E57AB7" w:rsidP="00280D6E">
            <w:pPr>
              <w:jc w:val="right"/>
              <w:rPr>
                <w:rFonts w:cs="Arial"/>
                <w:color w:val="000000"/>
                <w:sz w:val="20"/>
                <w:szCs w:val="20"/>
              </w:rPr>
            </w:pPr>
            <w:r w:rsidRPr="00B7099A">
              <w:rPr>
                <w:rFonts w:cs="Arial"/>
                <w:color w:val="000000"/>
                <w:sz w:val="20"/>
                <w:szCs w:val="20"/>
              </w:rPr>
              <w:t>5.440.087</w:t>
            </w:r>
          </w:p>
        </w:tc>
      </w:tr>
      <w:tr w:rsidR="00E57AB7" w:rsidRPr="00B7099A" w14:paraId="2E040A47"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19F49659" w14:textId="77777777" w:rsidR="00E57AB7" w:rsidRPr="00B7099A" w:rsidRDefault="00E57AB7" w:rsidP="00280D6E">
            <w:pPr>
              <w:jc w:val="left"/>
              <w:rPr>
                <w:rFonts w:cs="Arial"/>
                <w:color w:val="000000"/>
                <w:sz w:val="20"/>
                <w:szCs w:val="20"/>
              </w:rPr>
            </w:pPr>
            <w:r w:rsidRPr="00B7099A">
              <w:rPr>
                <w:rFonts w:cs="Arial"/>
                <w:color w:val="000000"/>
                <w:sz w:val="20"/>
                <w:szCs w:val="20"/>
              </w:rPr>
              <w:t>3001 - Gab. Sec. Estado Desenvolvimento Social</w:t>
            </w:r>
          </w:p>
        </w:tc>
        <w:tc>
          <w:tcPr>
            <w:tcW w:w="1350" w:type="pct"/>
            <w:tcBorders>
              <w:top w:val="nil"/>
              <w:left w:val="single" w:sz="4" w:space="0" w:color="auto"/>
              <w:bottom w:val="nil"/>
              <w:right w:val="nil"/>
            </w:tcBorders>
            <w:shd w:val="clear" w:color="auto" w:fill="auto"/>
            <w:noWrap/>
            <w:vAlign w:val="center"/>
            <w:hideMark/>
          </w:tcPr>
          <w:p w14:paraId="573882F0" w14:textId="77777777" w:rsidR="00E57AB7" w:rsidRPr="00B7099A" w:rsidRDefault="00E57AB7" w:rsidP="00280D6E">
            <w:pPr>
              <w:jc w:val="right"/>
              <w:rPr>
                <w:rFonts w:cs="Arial"/>
                <w:color w:val="000000"/>
                <w:sz w:val="20"/>
                <w:szCs w:val="20"/>
              </w:rPr>
            </w:pPr>
            <w:r w:rsidRPr="00B7099A">
              <w:rPr>
                <w:rFonts w:cs="Arial"/>
                <w:color w:val="000000"/>
                <w:sz w:val="20"/>
                <w:szCs w:val="20"/>
              </w:rPr>
              <w:t>5.385.311</w:t>
            </w:r>
          </w:p>
        </w:tc>
      </w:tr>
      <w:tr w:rsidR="00E57AB7" w:rsidRPr="00B7099A" w14:paraId="2EA8C8C9"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6C0B1E81" w14:textId="77777777" w:rsidR="00E57AB7" w:rsidRPr="00B7099A" w:rsidRDefault="00E57AB7" w:rsidP="00280D6E">
            <w:pPr>
              <w:jc w:val="left"/>
              <w:rPr>
                <w:rFonts w:cs="Arial"/>
                <w:color w:val="000000"/>
                <w:sz w:val="20"/>
                <w:szCs w:val="20"/>
              </w:rPr>
            </w:pPr>
            <w:r w:rsidRPr="00B7099A">
              <w:rPr>
                <w:rFonts w:cs="Arial"/>
                <w:color w:val="000000"/>
                <w:sz w:val="20"/>
                <w:szCs w:val="20"/>
              </w:rPr>
              <w:t>3261 - Agência Goiana de Defesa Agropecuária</w:t>
            </w:r>
          </w:p>
        </w:tc>
        <w:tc>
          <w:tcPr>
            <w:tcW w:w="1350" w:type="pct"/>
            <w:tcBorders>
              <w:top w:val="nil"/>
              <w:left w:val="single" w:sz="4" w:space="0" w:color="auto"/>
              <w:bottom w:val="nil"/>
              <w:right w:val="nil"/>
            </w:tcBorders>
            <w:shd w:val="clear" w:color="auto" w:fill="auto"/>
            <w:noWrap/>
            <w:vAlign w:val="center"/>
            <w:hideMark/>
          </w:tcPr>
          <w:p w14:paraId="019E3D78" w14:textId="77777777" w:rsidR="00E57AB7" w:rsidRPr="00B7099A" w:rsidRDefault="00E57AB7" w:rsidP="00280D6E">
            <w:pPr>
              <w:jc w:val="right"/>
              <w:rPr>
                <w:rFonts w:cs="Arial"/>
                <w:color w:val="000000"/>
                <w:sz w:val="20"/>
                <w:szCs w:val="20"/>
              </w:rPr>
            </w:pPr>
            <w:r w:rsidRPr="00B7099A">
              <w:rPr>
                <w:rFonts w:cs="Arial"/>
                <w:color w:val="000000"/>
                <w:sz w:val="20"/>
                <w:szCs w:val="20"/>
              </w:rPr>
              <w:t>5.082.024</w:t>
            </w:r>
          </w:p>
        </w:tc>
      </w:tr>
      <w:tr w:rsidR="00E57AB7" w:rsidRPr="00B7099A" w14:paraId="7806D6BC"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1C2B9699" w14:textId="77777777" w:rsidR="00E57AB7" w:rsidRPr="00B7099A" w:rsidRDefault="00E57AB7" w:rsidP="00280D6E">
            <w:pPr>
              <w:jc w:val="left"/>
              <w:rPr>
                <w:rFonts w:cs="Arial"/>
                <w:color w:val="000000"/>
                <w:sz w:val="20"/>
                <w:szCs w:val="20"/>
              </w:rPr>
            </w:pPr>
            <w:r w:rsidRPr="00B7099A">
              <w:rPr>
                <w:rFonts w:cs="Arial"/>
                <w:color w:val="000000"/>
                <w:sz w:val="20"/>
                <w:szCs w:val="20"/>
              </w:rPr>
              <w:t>4261 - Agência Estadual de Turismo</w:t>
            </w:r>
          </w:p>
        </w:tc>
        <w:tc>
          <w:tcPr>
            <w:tcW w:w="1350" w:type="pct"/>
            <w:tcBorders>
              <w:top w:val="nil"/>
              <w:left w:val="single" w:sz="4" w:space="0" w:color="auto"/>
              <w:bottom w:val="nil"/>
              <w:right w:val="nil"/>
            </w:tcBorders>
            <w:shd w:val="clear" w:color="auto" w:fill="auto"/>
            <w:noWrap/>
            <w:vAlign w:val="center"/>
            <w:hideMark/>
          </w:tcPr>
          <w:p w14:paraId="4F3D26D0" w14:textId="77777777" w:rsidR="00E57AB7" w:rsidRPr="00B7099A" w:rsidRDefault="00E57AB7" w:rsidP="00280D6E">
            <w:pPr>
              <w:jc w:val="right"/>
              <w:rPr>
                <w:rFonts w:cs="Arial"/>
                <w:color w:val="000000"/>
                <w:sz w:val="20"/>
                <w:szCs w:val="20"/>
              </w:rPr>
            </w:pPr>
            <w:r w:rsidRPr="00B7099A">
              <w:rPr>
                <w:rFonts w:cs="Arial"/>
                <w:color w:val="000000"/>
                <w:sz w:val="20"/>
                <w:szCs w:val="20"/>
              </w:rPr>
              <w:t>5.043.724</w:t>
            </w:r>
          </w:p>
        </w:tc>
      </w:tr>
      <w:tr w:rsidR="00E57AB7" w:rsidRPr="00B7099A" w14:paraId="30FD90B1"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3968D24C" w14:textId="77777777" w:rsidR="00E57AB7" w:rsidRPr="00B7099A" w:rsidRDefault="00E57AB7" w:rsidP="00280D6E">
            <w:pPr>
              <w:jc w:val="left"/>
              <w:rPr>
                <w:rFonts w:cs="Arial"/>
                <w:color w:val="000000"/>
                <w:sz w:val="20"/>
                <w:szCs w:val="20"/>
              </w:rPr>
            </w:pPr>
            <w:r w:rsidRPr="00B7099A">
              <w:rPr>
                <w:rFonts w:cs="Arial"/>
                <w:color w:val="000000"/>
                <w:sz w:val="20"/>
                <w:szCs w:val="20"/>
              </w:rPr>
              <w:t>2550 - Fundo de Arte e Cultura de Goiás</w:t>
            </w:r>
          </w:p>
        </w:tc>
        <w:tc>
          <w:tcPr>
            <w:tcW w:w="1350" w:type="pct"/>
            <w:tcBorders>
              <w:top w:val="nil"/>
              <w:left w:val="single" w:sz="4" w:space="0" w:color="auto"/>
              <w:bottom w:val="nil"/>
              <w:right w:val="nil"/>
            </w:tcBorders>
            <w:shd w:val="clear" w:color="auto" w:fill="auto"/>
            <w:noWrap/>
            <w:vAlign w:val="center"/>
            <w:hideMark/>
          </w:tcPr>
          <w:p w14:paraId="05588BF3" w14:textId="77777777" w:rsidR="00E57AB7" w:rsidRPr="00B7099A" w:rsidRDefault="00E57AB7" w:rsidP="00280D6E">
            <w:pPr>
              <w:jc w:val="right"/>
              <w:rPr>
                <w:rFonts w:cs="Arial"/>
                <w:color w:val="000000"/>
                <w:sz w:val="20"/>
                <w:szCs w:val="20"/>
              </w:rPr>
            </w:pPr>
            <w:r w:rsidRPr="00B7099A">
              <w:rPr>
                <w:rFonts w:cs="Arial"/>
                <w:color w:val="000000"/>
                <w:sz w:val="20"/>
                <w:szCs w:val="20"/>
              </w:rPr>
              <w:t>4.813.660</w:t>
            </w:r>
          </w:p>
        </w:tc>
      </w:tr>
      <w:tr w:rsidR="00E57AB7" w:rsidRPr="00B7099A" w14:paraId="19ACA2BA"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0AA49E9C" w14:textId="77777777" w:rsidR="00E57AB7" w:rsidRPr="00B7099A" w:rsidRDefault="00E57AB7" w:rsidP="00280D6E">
            <w:pPr>
              <w:jc w:val="left"/>
              <w:rPr>
                <w:rFonts w:cs="Arial"/>
                <w:color w:val="000000"/>
                <w:sz w:val="20"/>
                <w:szCs w:val="20"/>
              </w:rPr>
            </w:pPr>
            <w:r w:rsidRPr="00B7099A">
              <w:rPr>
                <w:rFonts w:cs="Arial"/>
                <w:color w:val="000000"/>
                <w:sz w:val="20"/>
                <w:szCs w:val="20"/>
              </w:rPr>
              <w:t>3055 - Fundo Est. da Pessoa Idosa</w:t>
            </w:r>
          </w:p>
        </w:tc>
        <w:tc>
          <w:tcPr>
            <w:tcW w:w="1350" w:type="pct"/>
            <w:tcBorders>
              <w:top w:val="nil"/>
              <w:left w:val="single" w:sz="4" w:space="0" w:color="auto"/>
              <w:bottom w:val="nil"/>
              <w:right w:val="nil"/>
            </w:tcBorders>
            <w:shd w:val="clear" w:color="auto" w:fill="auto"/>
            <w:noWrap/>
            <w:vAlign w:val="center"/>
            <w:hideMark/>
          </w:tcPr>
          <w:p w14:paraId="68658503" w14:textId="77777777" w:rsidR="00E57AB7" w:rsidRPr="00B7099A" w:rsidRDefault="00E57AB7" w:rsidP="00280D6E">
            <w:pPr>
              <w:jc w:val="right"/>
              <w:rPr>
                <w:rFonts w:cs="Arial"/>
                <w:color w:val="000000"/>
                <w:sz w:val="20"/>
                <w:szCs w:val="20"/>
              </w:rPr>
            </w:pPr>
            <w:r w:rsidRPr="00B7099A">
              <w:rPr>
                <w:rFonts w:cs="Arial"/>
                <w:color w:val="000000"/>
                <w:sz w:val="20"/>
                <w:szCs w:val="20"/>
              </w:rPr>
              <w:t>4.695.847</w:t>
            </w:r>
          </w:p>
        </w:tc>
      </w:tr>
      <w:tr w:rsidR="00E57AB7" w:rsidRPr="00B7099A" w14:paraId="582C4E39"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0EEB7CDC" w14:textId="77777777" w:rsidR="00E57AB7" w:rsidRPr="00B7099A" w:rsidRDefault="00E57AB7" w:rsidP="00280D6E">
            <w:pPr>
              <w:jc w:val="left"/>
              <w:rPr>
                <w:rFonts w:cs="Arial"/>
                <w:color w:val="000000"/>
                <w:sz w:val="20"/>
                <w:szCs w:val="20"/>
              </w:rPr>
            </w:pPr>
            <w:r w:rsidRPr="00B7099A">
              <w:rPr>
                <w:rFonts w:cs="Arial"/>
                <w:color w:val="000000"/>
                <w:sz w:val="20"/>
                <w:szCs w:val="20"/>
              </w:rPr>
              <w:t>3101 - Gab. Sec. Es. de Desenvolvimento e Inov.</w:t>
            </w:r>
          </w:p>
        </w:tc>
        <w:tc>
          <w:tcPr>
            <w:tcW w:w="1350" w:type="pct"/>
            <w:tcBorders>
              <w:top w:val="nil"/>
              <w:left w:val="single" w:sz="4" w:space="0" w:color="auto"/>
              <w:bottom w:val="nil"/>
              <w:right w:val="nil"/>
            </w:tcBorders>
            <w:shd w:val="clear" w:color="auto" w:fill="auto"/>
            <w:noWrap/>
            <w:vAlign w:val="center"/>
            <w:hideMark/>
          </w:tcPr>
          <w:p w14:paraId="7B21BBBD" w14:textId="77777777" w:rsidR="00E57AB7" w:rsidRPr="00B7099A" w:rsidRDefault="00E57AB7" w:rsidP="00280D6E">
            <w:pPr>
              <w:jc w:val="right"/>
              <w:rPr>
                <w:rFonts w:cs="Arial"/>
                <w:color w:val="000000"/>
                <w:sz w:val="20"/>
                <w:szCs w:val="20"/>
              </w:rPr>
            </w:pPr>
            <w:r w:rsidRPr="00B7099A">
              <w:rPr>
                <w:rFonts w:cs="Arial"/>
                <w:color w:val="000000"/>
                <w:sz w:val="20"/>
                <w:szCs w:val="20"/>
              </w:rPr>
              <w:t>4.169.105</w:t>
            </w:r>
          </w:p>
        </w:tc>
      </w:tr>
      <w:tr w:rsidR="00E57AB7" w:rsidRPr="00B7099A" w14:paraId="67D5DE5F"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36C1D79E" w14:textId="77777777" w:rsidR="00E57AB7" w:rsidRPr="00B7099A" w:rsidRDefault="00E57AB7" w:rsidP="00280D6E">
            <w:pPr>
              <w:jc w:val="left"/>
              <w:rPr>
                <w:rFonts w:cs="Arial"/>
                <w:color w:val="000000"/>
                <w:sz w:val="20"/>
                <w:szCs w:val="20"/>
                <w:lang w:val="en-US"/>
              </w:rPr>
            </w:pPr>
            <w:r w:rsidRPr="00B7099A">
              <w:rPr>
                <w:rFonts w:cs="Arial"/>
                <w:color w:val="000000"/>
                <w:sz w:val="20"/>
                <w:szCs w:val="20"/>
                <w:lang w:val="en-US"/>
              </w:rPr>
              <w:t>3201 - Gab. Sec. Est. Agric., Pecu., Abastec.</w:t>
            </w:r>
          </w:p>
        </w:tc>
        <w:tc>
          <w:tcPr>
            <w:tcW w:w="1350" w:type="pct"/>
            <w:tcBorders>
              <w:top w:val="nil"/>
              <w:left w:val="single" w:sz="4" w:space="0" w:color="auto"/>
              <w:bottom w:val="nil"/>
              <w:right w:val="nil"/>
            </w:tcBorders>
            <w:shd w:val="clear" w:color="auto" w:fill="auto"/>
            <w:noWrap/>
            <w:vAlign w:val="center"/>
            <w:hideMark/>
          </w:tcPr>
          <w:p w14:paraId="4579AC5A" w14:textId="77777777" w:rsidR="00E57AB7" w:rsidRPr="00B7099A" w:rsidRDefault="00E57AB7" w:rsidP="00280D6E">
            <w:pPr>
              <w:jc w:val="right"/>
              <w:rPr>
                <w:rFonts w:cs="Arial"/>
                <w:color w:val="000000"/>
                <w:sz w:val="20"/>
                <w:szCs w:val="20"/>
              </w:rPr>
            </w:pPr>
            <w:r w:rsidRPr="00B7099A">
              <w:rPr>
                <w:rFonts w:cs="Arial"/>
                <w:color w:val="000000"/>
                <w:sz w:val="20"/>
                <w:szCs w:val="20"/>
              </w:rPr>
              <w:t>3.901.820</w:t>
            </w:r>
          </w:p>
        </w:tc>
      </w:tr>
      <w:tr w:rsidR="00E57AB7" w:rsidRPr="00B7099A" w14:paraId="65D9E050"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12C0CF03" w14:textId="77777777" w:rsidR="00E57AB7" w:rsidRPr="00B7099A" w:rsidRDefault="00E57AB7" w:rsidP="00280D6E">
            <w:pPr>
              <w:jc w:val="left"/>
              <w:rPr>
                <w:rFonts w:cs="Arial"/>
                <w:color w:val="000000"/>
                <w:sz w:val="20"/>
                <w:szCs w:val="20"/>
              </w:rPr>
            </w:pPr>
            <w:r w:rsidRPr="00B7099A">
              <w:rPr>
                <w:rFonts w:cs="Arial"/>
                <w:color w:val="000000"/>
                <w:sz w:val="20"/>
                <w:szCs w:val="20"/>
              </w:rPr>
              <w:t>2955 - Fundo de Comb. Lavag. e Cap.e Org Crimin</w:t>
            </w:r>
          </w:p>
        </w:tc>
        <w:tc>
          <w:tcPr>
            <w:tcW w:w="1350" w:type="pct"/>
            <w:tcBorders>
              <w:top w:val="nil"/>
              <w:left w:val="single" w:sz="4" w:space="0" w:color="auto"/>
              <w:bottom w:val="nil"/>
              <w:right w:val="nil"/>
            </w:tcBorders>
            <w:shd w:val="clear" w:color="auto" w:fill="auto"/>
            <w:noWrap/>
            <w:vAlign w:val="center"/>
            <w:hideMark/>
          </w:tcPr>
          <w:p w14:paraId="09D25A2B" w14:textId="77777777" w:rsidR="00E57AB7" w:rsidRPr="00B7099A" w:rsidRDefault="00E57AB7" w:rsidP="00280D6E">
            <w:pPr>
              <w:jc w:val="right"/>
              <w:rPr>
                <w:rFonts w:cs="Arial"/>
                <w:color w:val="000000"/>
                <w:sz w:val="20"/>
                <w:szCs w:val="20"/>
              </w:rPr>
            </w:pPr>
            <w:r w:rsidRPr="00B7099A">
              <w:rPr>
                <w:rFonts w:cs="Arial"/>
                <w:color w:val="000000"/>
                <w:sz w:val="20"/>
                <w:szCs w:val="20"/>
              </w:rPr>
              <w:t>3.655.487</w:t>
            </w:r>
          </w:p>
        </w:tc>
      </w:tr>
      <w:tr w:rsidR="00E57AB7" w:rsidRPr="00B7099A" w14:paraId="0EBF8008"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727F3BD8" w14:textId="64625C7C" w:rsidR="00E57AB7" w:rsidRPr="00B7099A" w:rsidRDefault="00E57AB7" w:rsidP="00280D6E">
            <w:pPr>
              <w:jc w:val="left"/>
              <w:rPr>
                <w:rFonts w:cs="Arial"/>
                <w:color w:val="000000"/>
                <w:sz w:val="20"/>
                <w:szCs w:val="20"/>
              </w:rPr>
            </w:pPr>
            <w:r w:rsidRPr="00B7099A">
              <w:rPr>
                <w:rFonts w:cs="Arial"/>
                <w:color w:val="000000"/>
                <w:sz w:val="20"/>
                <w:szCs w:val="20"/>
              </w:rPr>
              <w:t>2951 - Fundo Penitenciário Estadual - F</w:t>
            </w:r>
            <w:r w:rsidR="006F0ACC" w:rsidRPr="00B7099A">
              <w:rPr>
                <w:rFonts w:cs="Arial"/>
                <w:color w:val="000000"/>
                <w:sz w:val="20"/>
                <w:szCs w:val="20"/>
              </w:rPr>
              <w:t>unpes</w:t>
            </w:r>
          </w:p>
        </w:tc>
        <w:tc>
          <w:tcPr>
            <w:tcW w:w="1350" w:type="pct"/>
            <w:tcBorders>
              <w:top w:val="nil"/>
              <w:left w:val="single" w:sz="4" w:space="0" w:color="auto"/>
              <w:bottom w:val="nil"/>
              <w:right w:val="nil"/>
            </w:tcBorders>
            <w:shd w:val="clear" w:color="auto" w:fill="auto"/>
            <w:noWrap/>
            <w:vAlign w:val="center"/>
            <w:hideMark/>
          </w:tcPr>
          <w:p w14:paraId="1627C50F" w14:textId="77777777" w:rsidR="00E57AB7" w:rsidRPr="00B7099A" w:rsidRDefault="00E57AB7" w:rsidP="00280D6E">
            <w:pPr>
              <w:jc w:val="right"/>
              <w:rPr>
                <w:rFonts w:cs="Arial"/>
                <w:color w:val="000000"/>
                <w:sz w:val="20"/>
                <w:szCs w:val="20"/>
              </w:rPr>
            </w:pPr>
            <w:r w:rsidRPr="00B7099A">
              <w:rPr>
                <w:rFonts w:cs="Arial"/>
                <w:color w:val="000000"/>
                <w:sz w:val="20"/>
                <w:szCs w:val="20"/>
              </w:rPr>
              <w:t>3.251.025</w:t>
            </w:r>
          </w:p>
        </w:tc>
      </w:tr>
      <w:tr w:rsidR="00E57AB7" w:rsidRPr="00B7099A" w14:paraId="6BD2ACAF"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639F737E" w14:textId="77777777" w:rsidR="00E57AB7" w:rsidRPr="00B7099A" w:rsidRDefault="00E57AB7" w:rsidP="00280D6E">
            <w:pPr>
              <w:jc w:val="left"/>
              <w:rPr>
                <w:rFonts w:cs="Arial"/>
                <w:color w:val="000000"/>
                <w:sz w:val="20"/>
                <w:szCs w:val="20"/>
              </w:rPr>
            </w:pPr>
            <w:r w:rsidRPr="00B7099A">
              <w:rPr>
                <w:rFonts w:cs="Arial"/>
                <w:color w:val="000000"/>
                <w:sz w:val="20"/>
                <w:szCs w:val="20"/>
              </w:rPr>
              <w:t>1601 - Gab. do Secret. Chefe da Casa Militar</w:t>
            </w:r>
          </w:p>
        </w:tc>
        <w:tc>
          <w:tcPr>
            <w:tcW w:w="1350" w:type="pct"/>
            <w:tcBorders>
              <w:top w:val="nil"/>
              <w:left w:val="single" w:sz="4" w:space="0" w:color="auto"/>
              <w:bottom w:val="nil"/>
              <w:right w:val="nil"/>
            </w:tcBorders>
            <w:shd w:val="clear" w:color="auto" w:fill="auto"/>
            <w:noWrap/>
            <w:vAlign w:val="center"/>
            <w:hideMark/>
          </w:tcPr>
          <w:p w14:paraId="771E98A3" w14:textId="77777777" w:rsidR="00E57AB7" w:rsidRPr="00B7099A" w:rsidRDefault="00E57AB7" w:rsidP="00280D6E">
            <w:pPr>
              <w:jc w:val="right"/>
              <w:rPr>
                <w:rFonts w:cs="Arial"/>
                <w:color w:val="000000"/>
                <w:sz w:val="20"/>
                <w:szCs w:val="20"/>
              </w:rPr>
            </w:pPr>
            <w:r w:rsidRPr="00B7099A">
              <w:rPr>
                <w:rFonts w:cs="Arial"/>
                <w:color w:val="000000"/>
                <w:sz w:val="20"/>
                <w:szCs w:val="20"/>
              </w:rPr>
              <w:t>3.165.339</w:t>
            </w:r>
          </w:p>
        </w:tc>
      </w:tr>
      <w:tr w:rsidR="00E57AB7" w:rsidRPr="00B7099A" w14:paraId="1DA4523B"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0C379F00" w14:textId="77777777" w:rsidR="00E57AB7" w:rsidRPr="00B7099A" w:rsidRDefault="00E57AB7" w:rsidP="00280D6E">
            <w:pPr>
              <w:jc w:val="left"/>
              <w:rPr>
                <w:rFonts w:cs="Arial"/>
                <w:color w:val="000000"/>
                <w:sz w:val="20"/>
                <w:szCs w:val="20"/>
              </w:rPr>
            </w:pPr>
            <w:r w:rsidRPr="00B7099A">
              <w:rPr>
                <w:rFonts w:cs="Arial"/>
                <w:color w:val="000000"/>
                <w:sz w:val="20"/>
                <w:szCs w:val="20"/>
              </w:rPr>
              <w:t>2601 - Gab. Sec. Estado de Esporte e Lazer</w:t>
            </w:r>
          </w:p>
        </w:tc>
        <w:tc>
          <w:tcPr>
            <w:tcW w:w="1350" w:type="pct"/>
            <w:tcBorders>
              <w:top w:val="nil"/>
              <w:left w:val="single" w:sz="4" w:space="0" w:color="auto"/>
              <w:bottom w:val="nil"/>
              <w:right w:val="nil"/>
            </w:tcBorders>
            <w:shd w:val="clear" w:color="auto" w:fill="auto"/>
            <w:noWrap/>
            <w:vAlign w:val="center"/>
            <w:hideMark/>
          </w:tcPr>
          <w:p w14:paraId="4CDB8C5B" w14:textId="77777777" w:rsidR="00E57AB7" w:rsidRPr="00B7099A" w:rsidRDefault="00E57AB7" w:rsidP="00280D6E">
            <w:pPr>
              <w:jc w:val="right"/>
              <w:rPr>
                <w:rFonts w:cs="Arial"/>
                <w:color w:val="000000"/>
                <w:sz w:val="20"/>
                <w:szCs w:val="20"/>
              </w:rPr>
            </w:pPr>
            <w:r w:rsidRPr="00B7099A">
              <w:rPr>
                <w:rFonts w:cs="Arial"/>
                <w:color w:val="000000"/>
                <w:sz w:val="20"/>
                <w:szCs w:val="20"/>
              </w:rPr>
              <w:t>2.537.230</w:t>
            </w:r>
          </w:p>
        </w:tc>
      </w:tr>
      <w:tr w:rsidR="00E57AB7" w:rsidRPr="00B7099A" w14:paraId="37E0C60C"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43F36CBD" w14:textId="77777777" w:rsidR="00E57AB7" w:rsidRPr="00B7099A" w:rsidRDefault="00E57AB7" w:rsidP="00280D6E">
            <w:pPr>
              <w:jc w:val="left"/>
              <w:rPr>
                <w:rFonts w:cs="Arial"/>
                <w:color w:val="000000"/>
                <w:sz w:val="20"/>
                <w:szCs w:val="20"/>
              </w:rPr>
            </w:pPr>
            <w:r w:rsidRPr="00B7099A">
              <w:rPr>
                <w:rFonts w:cs="Arial"/>
                <w:color w:val="000000"/>
                <w:sz w:val="20"/>
                <w:szCs w:val="20"/>
              </w:rPr>
              <w:t>2904 - Polícia Civil</w:t>
            </w:r>
          </w:p>
        </w:tc>
        <w:tc>
          <w:tcPr>
            <w:tcW w:w="1350" w:type="pct"/>
            <w:tcBorders>
              <w:top w:val="nil"/>
              <w:left w:val="single" w:sz="4" w:space="0" w:color="auto"/>
              <w:bottom w:val="nil"/>
              <w:right w:val="nil"/>
            </w:tcBorders>
            <w:shd w:val="clear" w:color="auto" w:fill="auto"/>
            <w:noWrap/>
            <w:vAlign w:val="center"/>
            <w:hideMark/>
          </w:tcPr>
          <w:p w14:paraId="6C9F5730" w14:textId="77777777" w:rsidR="00E57AB7" w:rsidRPr="00B7099A" w:rsidRDefault="00E57AB7" w:rsidP="00280D6E">
            <w:pPr>
              <w:jc w:val="right"/>
              <w:rPr>
                <w:rFonts w:cs="Arial"/>
                <w:color w:val="000000"/>
                <w:sz w:val="20"/>
                <w:szCs w:val="20"/>
              </w:rPr>
            </w:pPr>
            <w:r w:rsidRPr="00B7099A">
              <w:rPr>
                <w:rFonts w:cs="Arial"/>
                <w:color w:val="000000"/>
                <w:sz w:val="20"/>
                <w:szCs w:val="20"/>
              </w:rPr>
              <w:t>2.499.565</w:t>
            </w:r>
          </w:p>
        </w:tc>
      </w:tr>
      <w:tr w:rsidR="00E57AB7" w:rsidRPr="00B7099A" w14:paraId="34A832DA"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451A8CB5" w14:textId="77777777" w:rsidR="00E57AB7" w:rsidRPr="00B7099A" w:rsidRDefault="00E57AB7" w:rsidP="00280D6E">
            <w:pPr>
              <w:jc w:val="left"/>
              <w:rPr>
                <w:rFonts w:cs="Arial"/>
                <w:color w:val="000000"/>
                <w:sz w:val="20"/>
                <w:szCs w:val="20"/>
              </w:rPr>
            </w:pPr>
            <w:r w:rsidRPr="00B7099A">
              <w:rPr>
                <w:rFonts w:cs="Arial"/>
                <w:color w:val="000000"/>
                <w:sz w:val="20"/>
                <w:szCs w:val="20"/>
              </w:rPr>
              <w:t>4201 - Gab. Sec. de Estado da Retomada</w:t>
            </w:r>
          </w:p>
        </w:tc>
        <w:tc>
          <w:tcPr>
            <w:tcW w:w="1350" w:type="pct"/>
            <w:tcBorders>
              <w:top w:val="nil"/>
              <w:left w:val="single" w:sz="4" w:space="0" w:color="auto"/>
              <w:bottom w:val="nil"/>
              <w:right w:val="nil"/>
            </w:tcBorders>
            <w:shd w:val="clear" w:color="auto" w:fill="auto"/>
            <w:noWrap/>
            <w:vAlign w:val="center"/>
            <w:hideMark/>
          </w:tcPr>
          <w:p w14:paraId="2694C722" w14:textId="77777777" w:rsidR="00E57AB7" w:rsidRPr="00B7099A" w:rsidRDefault="00E57AB7" w:rsidP="00280D6E">
            <w:pPr>
              <w:jc w:val="right"/>
              <w:rPr>
                <w:rFonts w:cs="Arial"/>
                <w:color w:val="000000"/>
                <w:sz w:val="20"/>
                <w:szCs w:val="20"/>
              </w:rPr>
            </w:pPr>
            <w:r w:rsidRPr="00B7099A">
              <w:rPr>
                <w:rFonts w:cs="Arial"/>
                <w:color w:val="000000"/>
                <w:sz w:val="20"/>
                <w:szCs w:val="20"/>
              </w:rPr>
              <w:t>2.432.376</w:t>
            </w:r>
          </w:p>
        </w:tc>
      </w:tr>
      <w:tr w:rsidR="00E57AB7" w:rsidRPr="00B7099A" w14:paraId="41847993"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33B3A452" w14:textId="77777777" w:rsidR="00E57AB7" w:rsidRPr="00B7099A" w:rsidRDefault="00E57AB7" w:rsidP="00280D6E">
            <w:pPr>
              <w:jc w:val="left"/>
              <w:rPr>
                <w:rFonts w:cs="Arial"/>
                <w:color w:val="000000"/>
                <w:sz w:val="20"/>
                <w:szCs w:val="20"/>
              </w:rPr>
            </w:pPr>
            <w:r w:rsidRPr="00B7099A">
              <w:rPr>
                <w:rFonts w:cs="Arial"/>
                <w:color w:val="000000"/>
                <w:sz w:val="20"/>
                <w:szCs w:val="20"/>
              </w:rPr>
              <w:t>3301 - Gab. Sec. de  Indus, Comércio e Serviços</w:t>
            </w:r>
          </w:p>
        </w:tc>
        <w:tc>
          <w:tcPr>
            <w:tcW w:w="1350" w:type="pct"/>
            <w:tcBorders>
              <w:top w:val="nil"/>
              <w:left w:val="single" w:sz="4" w:space="0" w:color="auto"/>
              <w:bottom w:val="nil"/>
              <w:right w:val="nil"/>
            </w:tcBorders>
            <w:shd w:val="clear" w:color="auto" w:fill="auto"/>
            <w:noWrap/>
            <w:vAlign w:val="center"/>
            <w:hideMark/>
          </w:tcPr>
          <w:p w14:paraId="0DB3B070" w14:textId="77777777" w:rsidR="00E57AB7" w:rsidRPr="00B7099A" w:rsidRDefault="00E57AB7" w:rsidP="00280D6E">
            <w:pPr>
              <w:jc w:val="right"/>
              <w:rPr>
                <w:rFonts w:cs="Arial"/>
                <w:color w:val="000000"/>
                <w:sz w:val="20"/>
                <w:szCs w:val="20"/>
              </w:rPr>
            </w:pPr>
            <w:r w:rsidRPr="00B7099A">
              <w:rPr>
                <w:rFonts w:cs="Arial"/>
                <w:color w:val="000000"/>
                <w:sz w:val="20"/>
                <w:szCs w:val="20"/>
              </w:rPr>
              <w:t>2.303.946</w:t>
            </w:r>
          </w:p>
        </w:tc>
      </w:tr>
      <w:tr w:rsidR="00E57AB7" w:rsidRPr="00B7099A" w14:paraId="7F3E3CB6"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1238E1C9" w14:textId="13336F1B" w:rsidR="00E57AB7" w:rsidRPr="00B7099A" w:rsidRDefault="00E57AB7" w:rsidP="00280D6E">
            <w:pPr>
              <w:jc w:val="left"/>
              <w:rPr>
                <w:rFonts w:cs="Arial"/>
                <w:color w:val="000000"/>
                <w:sz w:val="20"/>
                <w:szCs w:val="20"/>
              </w:rPr>
            </w:pPr>
            <w:r w:rsidRPr="00B7099A">
              <w:rPr>
                <w:rFonts w:cs="Arial"/>
                <w:color w:val="000000"/>
                <w:sz w:val="20"/>
                <w:szCs w:val="20"/>
              </w:rPr>
              <w:t>3190 - I</w:t>
            </w:r>
            <w:r w:rsidR="006F0ACC" w:rsidRPr="00B7099A">
              <w:rPr>
                <w:rFonts w:cs="Arial"/>
                <w:color w:val="000000"/>
                <w:sz w:val="20"/>
                <w:szCs w:val="20"/>
              </w:rPr>
              <w:t>quego</w:t>
            </w:r>
          </w:p>
        </w:tc>
        <w:tc>
          <w:tcPr>
            <w:tcW w:w="1350" w:type="pct"/>
            <w:tcBorders>
              <w:top w:val="nil"/>
              <w:left w:val="single" w:sz="4" w:space="0" w:color="auto"/>
              <w:bottom w:val="nil"/>
              <w:right w:val="nil"/>
            </w:tcBorders>
            <w:shd w:val="clear" w:color="auto" w:fill="auto"/>
            <w:noWrap/>
            <w:vAlign w:val="center"/>
            <w:hideMark/>
          </w:tcPr>
          <w:p w14:paraId="2B3A8648" w14:textId="77777777" w:rsidR="00E57AB7" w:rsidRPr="00B7099A" w:rsidRDefault="00E57AB7" w:rsidP="00280D6E">
            <w:pPr>
              <w:jc w:val="right"/>
              <w:rPr>
                <w:rFonts w:cs="Arial"/>
                <w:color w:val="000000"/>
                <w:sz w:val="20"/>
                <w:szCs w:val="20"/>
              </w:rPr>
            </w:pPr>
            <w:r w:rsidRPr="00B7099A">
              <w:rPr>
                <w:rFonts w:cs="Arial"/>
                <w:color w:val="000000"/>
                <w:sz w:val="20"/>
                <w:szCs w:val="20"/>
              </w:rPr>
              <w:t>2.272.083</w:t>
            </w:r>
          </w:p>
        </w:tc>
      </w:tr>
      <w:tr w:rsidR="00E57AB7" w:rsidRPr="00B7099A" w14:paraId="62FDD3BC"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11AC1A0A" w14:textId="77777777" w:rsidR="00E57AB7" w:rsidRPr="00B7099A" w:rsidRDefault="00E57AB7" w:rsidP="00280D6E">
            <w:pPr>
              <w:jc w:val="left"/>
              <w:rPr>
                <w:rFonts w:cs="Arial"/>
                <w:color w:val="000000"/>
                <w:sz w:val="20"/>
                <w:szCs w:val="20"/>
              </w:rPr>
            </w:pPr>
            <w:r w:rsidRPr="00B7099A">
              <w:rPr>
                <w:rFonts w:cs="Arial"/>
                <w:color w:val="000000"/>
                <w:sz w:val="20"/>
                <w:szCs w:val="20"/>
              </w:rPr>
              <w:t>1261 - Agência Brasil Central - ABC</w:t>
            </w:r>
          </w:p>
        </w:tc>
        <w:tc>
          <w:tcPr>
            <w:tcW w:w="1350" w:type="pct"/>
            <w:tcBorders>
              <w:top w:val="nil"/>
              <w:left w:val="single" w:sz="4" w:space="0" w:color="auto"/>
              <w:bottom w:val="nil"/>
              <w:right w:val="nil"/>
            </w:tcBorders>
            <w:shd w:val="clear" w:color="auto" w:fill="auto"/>
            <w:noWrap/>
            <w:vAlign w:val="center"/>
            <w:hideMark/>
          </w:tcPr>
          <w:p w14:paraId="126FB84B" w14:textId="77777777" w:rsidR="00E57AB7" w:rsidRPr="00B7099A" w:rsidRDefault="00E57AB7" w:rsidP="00280D6E">
            <w:pPr>
              <w:jc w:val="right"/>
              <w:rPr>
                <w:rFonts w:cs="Arial"/>
                <w:color w:val="000000"/>
                <w:sz w:val="20"/>
                <w:szCs w:val="20"/>
              </w:rPr>
            </w:pPr>
            <w:r w:rsidRPr="00B7099A">
              <w:rPr>
                <w:rFonts w:cs="Arial"/>
                <w:color w:val="000000"/>
                <w:sz w:val="20"/>
                <w:szCs w:val="20"/>
              </w:rPr>
              <w:t>1.635.143</w:t>
            </w:r>
          </w:p>
        </w:tc>
      </w:tr>
      <w:tr w:rsidR="00E57AB7" w:rsidRPr="00B7099A" w14:paraId="0B3FBD06"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3EB0BFDE" w14:textId="77777777" w:rsidR="00E57AB7" w:rsidRPr="00B7099A" w:rsidRDefault="00E57AB7" w:rsidP="00280D6E">
            <w:pPr>
              <w:jc w:val="left"/>
              <w:rPr>
                <w:rFonts w:cs="Arial"/>
                <w:color w:val="000000"/>
                <w:sz w:val="20"/>
                <w:szCs w:val="20"/>
              </w:rPr>
            </w:pPr>
            <w:r w:rsidRPr="00B7099A">
              <w:rPr>
                <w:rFonts w:cs="Arial"/>
                <w:color w:val="000000"/>
                <w:sz w:val="20"/>
                <w:szCs w:val="20"/>
              </w:rPr>
              <w:t>2101 - Gab. Sec. Est. Meio Amb. e Desenv. Sust.</w:t>
            </w:r>
          </w:p>
        </w:tc>
        <w:tc>
          <w:tcPr>
            <w:tcW w:w="1350" w:type="pct"/>
            <w:tcBorders>
              <w:top w:val="nil"/>
              <w:left w:val="single" w:sz="4" w:space="0" w:color="auto"/>
              <w:bottom w:val="nil"/>
              <w:right w:val="nil"/>
            </w:tcBorders>
            <w:shd w:val="clear" w:color="auto" w:fill="auto"/>
            <w:noWrap/>
            <w:vAlign w:val="center"/>
            <w:hideMark/>
          </w:tcPr>
          <w:p w14:paraId="1DBD890F" w14:textId="77777777" w:rsidR="00E57AB7" w:rsidRPr="00B7099A" w:rsidRDefault="00E57AB7" w:rsidP="00280D6E">
            <w:pPr>
              <w:jc w:val="right"/>
              <w:rPr>
                <w:rFonts w:cs="Arial"/>
                <w:color w:val="000000"/>
                <w:sz w:val="20"/>
                <w:szCs w:val="20"/>
              </w:rPr>
            </w:pPr>
            <w:r w:rsidRPr="00B7099A">
              <w:rPr>
                <w:rFonts w:cs="Arial"/>
                <w:color w:val="000000"/>
                <w:sz w:val="20"/>
                <w:szCs w:val="20"/>
              </w:rPr>
              <w:t>1.383.493</w:t>
            </w:r>
          </w:p>
        </w:tc>
      </w:tr>
      <w:tr w:rsidR="00E57AB7" w:rsidRPr="00B7099A" w14:paraId="6AB94904"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274347FA" w14:textId="29A82B3A" w:rsidR="00E57AB7" w:rsidRPr="00B7099A" w:rsidRDefault="00E57AB7" w:rsidP="00280D6E">
            <w:pPr>
              <w:jc w:val="left"/>
              <w:rPr>
                <w:rFonts w:cs="Arial"/>
                <w:color w:val="000000"/>
                <w:sz w:val="20"/>
                <w:szCs w:val="20"/>
              </w:rPr>
            </w:pPr>
            <w:r w:rsidRPr="00B7099A">
              <w:rPr>
                <w:rFonts w:cs="Arial"/>
                <w:color w:val="000000"/>
                <w:sz w:val="20"/>
                <w:szCs w:val="20"/>
              </w:rPr>
              <w:t>4093 - M</w:t>
            </w:r>
            <w:r w:rsidR="006F0ACC" w:rsidRPr="00B7099A">
              <w:rPr>
                <w:rFonts w:cs="Arial"/>
                <w:color w:val="000000"/>
                <w:sz w:val="20"/>
                <w:szCs w:val="20"/>
              </w:rPr>
              <w:t>etrobus</w:t>
            </w:r>
          </w:p>
        </w:tc>
        <w:tc>
          <w:tcPr>
            <w:tcW w:w="1350" w:type="pct"/>
            <w:tcBorders>
              <w:top w:val="nil"/>
              <w:left w:val="single" w:sz="4" w:space="0" w:color="auto"/>
              <w:bottom w:val="nil"/>
              <w:right w:val="nil"/>
            </w:tcBorders>
            <w:shd w:val="clear" w:color="auto" w:fill="auto"/>
            <w:noWrap/>
            <w:vAlign w:val="center"/>
            <w:hideMark/>
          </w:tcPr>
          <w:p w14:paraId="5B2D0F85" w14:textId="77777777" w:rsidR="00E57AB7" w:rsidRPr="00B7099A" w:rsidRDefault="00E57AB7" w:rsidP="00280D6E">
            <w:pPr>
              <w:jc w:val="right"/>
              <w:rPr>
                <w:rFonts w:cs="Arial"/>
                <w:color w:val="000000"/>
                <w:sz w:val="20"/>
                <w:szCs w:val="20"/>
              </w:rPr>
            </w:pPr>
            <w:r w:rsidRPr="00B7099A">
              <w:rPr>
                <w:rFonts w:cs="Arial"/>
                <w:color w:val="000000"/>
                <w:sz w:val="20"/>
                <w:szCs w:val="20"/>
              </w:rPr>
              <w:t>822.427</w:t>
            </w:r>
          </w:p>
        </w:tc>
      </w:tr>
      <w:tr w:rsidR="00E57AB7" w:rsidRPr="00B7099A" w14:paraId="262098E5"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61330747" w14:textId="21FF8442" w:rsidR="00E57AB7" w:rsidRPr="00B7099A" w:rsidRDefault="00E57AB7" w:rsidP="00280D6E">
            <w:pPr>
              <w:jc w:val="left"/>
              <w:rPr>
                <w:rFonts w:cs="Arial"/>
                <w:color w:val="000000"/>
                <w:sz w:val="20"/>
                <w:szCs w:val="20"/>
              </w:rPr>
            </w:pPr>
            <w:r w:rsidRPr="00B7099A">
              <w:rPr>
                <w:rFonts w:cs="Arial"/>
                <w:color w:val="000000"/>
                <w:sz w:val="20"/>
                <w:szCs w:val="20"/>
              </w:rPr>
              <w:t>2953 - F</w:t>
            </w:r>
            <w:r w:rsidR="006F0ACC" w:rsidRPr="00B7099A">
              <w:rPr>
                <w:rFonts w:cs="Arial"/>
                <w:color w:val="000000"/>
                <w:sz w:val="20"/>
                <w:szCs w:val="20"/>
              </w:rPr>
              <w:t>unebom</w:t>
            </w:r>
          </w:p>
        </w:tc>
        <w:tc>
          <w:tcPr>
            <w:tcW w:w="1350" w:type="pct"/>
            <w:tcBorders>
              <w:top w:val="nil"/>
              <w:left w:val="single" w:sz="4" w:space="0" w:color="auto"/>
              <w:bottom w:val="nil"/>
              <w:right w:val="nil"/>
            </w:tcBorders>
            <w:shd w:val="clear" w:color="auto" w:fill="auto"/>
            <w:noWrap/>
            <w:vAlign w:val="center"/>
            <w:hideMark/>
          </w:tcPr>
          <w:p w14:paraId="7DAB0D0D" w14:textId="77777777" w:rsidR="00E57AB7" w:rsidRPr="00B7099A" w:rsidRDefault="00E57AB7" w:rsidP="00280D6E">
            <w:pPr>
              <w:jc w:val="right"/>
              <w:rPr>
                <w:rFonts w:cs="Arial"/>
                <w:color w:val="000000"/>
                <w:sz w:val="20"/>
                <w:szCs w:val="20"/>
              </w:rPr>
            </w:pPr>
            <w:r w:rsidRPr="00B7099A">
              <w:rPr>
                <w:rFonts w:cs="Arial"/>
                <w:color w:val="000000"/>
                <w:sz w:val="20"/>
                <w:szCs w:val="20"/>
              </w:rPr>
              <w:t>744.653</w:t>
            </w:r>
          </w:p>
        </w:tc>
      </w:tr>
      <w:tr w:rsidR="00E57AB7" w:rsidRPr="00B7099A" w14:paraId="1407959F"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4B9655B1" w14:textId="1CFAFE09" w:rsidR="00E57AB7" w:rsidRPr="00B7099A" w:rsidRDefault="00E57AB7" w:rsidP="00280D6E">
            <w:pPr>
              <w:jc w:val="left"/>
              <w:rPr>
                <w:rFonts w:cs="Arial"/>
                <w:color w:val="000000"/>
                <w:sz w:val="20"/>
                <w:szCs w:val="20"/>
              </w:rPr>
            </w:pPr>
            <w:r w:rsidRPr="00B7099A">
              <w:rPr>
                <w:rFonts w:cs="Arial"/>
                <w:color w:val="000000"/>
                <w:sz w:val="20"/>
                <w:szCs w:val="20"/>
              </w:rPr>
              <w:t>3350 - Fundo Part. à Industrialização - F</w:t>
            </w:r>
            <w:r w:rsidR="006F0ACC" w:rsidRPr="00B7099A">
              <w:rPr>
                <w:rFonts w:cs="Arial"/>
                <w:color w:val="000000"/>
                <w:sz w:val="20"/>
                <w:szCs w:val="20"/>
              </w:rPr>
              <w:t>omentar</w:t>
            </w:r>
          </w:p>
        </w:tc>
        <w:tc>
          <w:tcPr>
            <w:tcW w:w="1350" w:type="pct"/>
            <w:tcBorders>
              <w:top w:val="nil"/>
              <w:left w:val="single" w:sz="4" w:space="0" w:color="auto"/>
              <w:bottom w:val="nil"/>
              <w:right w:val="nil"/>
            </w:tcBorders>
            <w:shd w:val="clear" w:color="auto" w:fill="auto"/>
            <w:noWrap/>
            <w:vAlign w:val="center"/>
            <w:hideMark/>
          </w:tcPr>
          <w:p w14:paraId="61625299" w14:textId="77777777" w:rsidR="00E57AB7" w:rsidRPr="00B7099A" w:rsidRDefault="00E57AB7" w:rsidP="00280D6E">
            <w:pPr>
              <w:jc w:val="right"/>
              <w:rPr>
                <w:rFonts w:cs="Arial"/>
                <w:color w:val="000000"/>
                <w:sz w:val="20"/>
                <w:szCs w:val="20"/>
              </w:rPr>
            </w:pPr>
            <w:r w:rsidRPr="00B7099A">
              <w:rPr>
                <w:rFonts w:cs="Arial"/>
                <w:color w:val="000000"/>
                <w:sz w:val="20"/>
                <w:szCs w:val="20"/>
              </w:rPr>
              <w:t>670.437</w:t>
            </w:r>
          </w:p>
        </w:tc>
      </w:tr>
      <w:tr w:rsidR="00E57AB7" w:rsidRPr="00B7099A" w14:paraId="48A4FE11"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0203A6AB" w14:textId="77777777" w:rsidR="00E57AB7" w:rsidRPr="00B7099A" w:rsidRDefault="00E57AB7" w:rsidP="00280D6E">
            <w:pPr>
              <w:jc w:val="left"/>
              <w:rPr>
                <w:rFonts w:cs="Arial"/>
                <w:color w:val="000000"/>
                <w:sz w:val="20"/>
                <w:szCs w:val="20"/>
              </w:rPr>
            </w:pPr>
            <w:r w:rsidRPr="00B7099A">
              <w:rPr>
                <w:rFonts w:cs="Arial"/>
                <w:color w:val="000000"/>
                <w:sz w:val="20"/>
                <w:szCs w:val="20"/>
              </w:rPr>
              <w:t>1863 - Ag. Goiana de Reg. Cont. e Fisc. S.Publ</w:t>
            </w:r>
          </w:p>
        </w:tc>
        <w:tc>
          <w:tcPr>
            <w:tcW w:w="1350" w:type="pct"/>
            <w:tcBorders>
              <w:top w:val="nil"/>
              <w:left w:val="single" w:sz="4" w:space="0" w:color="auto"/>
              <w:bottom w:val="nil"/>
              <w:right w:val="nil"/>
            </w:tcBorders>
            <w:shd w:val="clear" w:color="auto" w:fill="auto"/>
            <w:noWrap/>
            <w:vAlign w:val="center"/>
            <w:hideMark/>
          </w:tcPr>
          <w:p w14:paraId="611DA08C" w14:textId="77777777" w:rsidR="00E57AB7" w:rsidRPr="00B7099A" w:rsidRDefault="00E57AB7" w:rsidP="00280D6E">
            <w:pPr>
              <w:jc w:val="right"/>
              <w:rPr>
                <w:rFonts w:cs="Arial"/>
                <w:color w:val="000000"/>
                <w:sz w:val="20"/>
                <w:szCs w:val="20"/>
              </w:rPr>
            </w:pPr>
            <w:r w:rsidRPr="00B7099A">
              <w:rPr>
                <w:rFonts w:cs="Arial"/>
                <w:color w:val="000000"/>
                <w:sz w:val="20"/>
                <w:szCs w:val="20"/>
              </w:rPr>
              <w:t>659.889</w:t>
            </w:r>
          </w:p>
        </w:tc>
      </w:tr>
      <w:tr w:rsidR="00E57AB7" w:rsidRPr="00B7099A" w14:paraId="0ECF00F4"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7CB3AF88" w14:textId="77777777" w:rsidR="00E57AB7" w:rsidRPr="00B7099A" w:rsidRDefault="00E57AB7" w:rsidP="00280D6E">
            <w:pPr>
              <w:jc w:val="left"/>
              <w:rPr>
                <w:rFonts w:cs="Arial"/>
                <w:color w:val="000000"/>
                <w:sz w:val="20"/>
                <w:szCs w:val="20"/>
              </w:rPr>
            </w:pPr>
            <w:r w:rsidRPr="00B7099A">
              <w:rPr>
                <w:rFonts w:cs="Arial"/>
                <w:color w:val="000000"/>
                <w:sz w:val="20"/>
                <w:szCs w:val="20"/>
              </w:rPr>
              <w:t>1101 - Gabinete do Secretário da Casa Civil</w:t>
            </w:r>
          </w:p>
        </w:tc>
        <w:tc>
          <w:tcPr>
            <w:tcW w:w="1350" w:type="pct"/>
            <w:tcBorders>
              <w:top w:val="nil"/>
              <w:left w:val="single" w:sz="4" w:space="0" w:color="auto"/>
              <w:bottom w:val="nil"/>
              <w:right w:val="nil"/>
            </w:tcBorders>
            <w:shd w:val="clear" w:color="auto" w:fill="auto"/>
            <w:noWrap/>
            <w:vAlign w:val="center"/>
            <w:hideMark/>
          </w:tcPr>
          <w:p w14:paraId="1462010D" w14:textId="77777777" w:rsidR="00E57AB7" w:rsidRPr="00B7099A" w:rsidRDefault="00E57AB7" w:rsidP="00280D6E">
            <w:pPr>
              <w:jc w:val="right"/>
              <w:rPr>
                <w:rFonts w:cs="Arial"/>
                <w:color w:val="000000"/>
                <w:sz w:val="20"/>
                <w:szCs w:val="20"/>
              </w:rPr>
            </w:pPr>
            <w:r w:rsidRPr="00B7099A">
              <w:rPr>
                <w:rFonts w:cs="Arial"/>
                <w:color w:val="000000"/>
                <w:sz w:val="20"/>
                <w:szCs w:val="20"/>
              </w:rPr>
              <w:t>408.514</w:t>
            </w:r>
          </w:p>
        </w:tc>
      </w:tr>
      <w:tr w:rsidR="00E57AB7" w:rsidRPr="00B7099A" w14:paraId="7ECFBD82"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36645114" w14:textId="77777777" w:rsidR="00E57AB7" w:rsidRPr="00B7099A" w:rsidRDefault="00E57AB7" w:rsidP="00280D6E">
            <w:pPr>
              <w:jc w:val="left"/>
              <w:rPr>
                <w:rFonts w:cs="Arial"/>
                <w:color w:val="000000"/>
                <w:sz w:val="20"/>
                <w:szCs w:val="20"/>
              </w:rPr>
            </w:pPr>
            <w:r w:rsidRPr="00B7099A">
              <w:rPr>
                <w:rFonts w:cs="Arial"/>
                <w:color w:val="000000"/>
                <w:sz w:val="20"/>
                <w:szCs w:val="20"/>
              </w:rPr>
              <w:t>2501 - Gab. Secretário de Estado de Cultura</w:t>
            </w:r>
          </w:p>
        </w:tc>
        <w:tc>
          <w:tcPr>
            <w:tcW w:w="1350" w:type="pct"/>
            <w:tcBorders>
              <w:top w:val="nil"/>
              <w:left w:val="single" w:sz="4" w:space="0" w:color="auto"/>
              <w:bottom w:val="nil"/>
              <w:right w:val="nil"/>
            </w:tcBorders>
            <w:shd w:val="clear" w:color="auto" w:fill="auto"/>
            <w:noWrap/>
            <w:vAlign w:val="center"/>
            <w:hideMark/>
          </w:tcPr>
          <w:p w14:paraId="41874E32" w14:textId="77777777" w:rsidR="00E57AB7" w:rsidRPr="00B7099A" w:rsidRDefault="00E57AB7" w:rsidP="00280D6E">
            <w:pPr>
              <w:jc w:val="right"/>
              <w:rPr>
                <w:rFonts w:cs="Arial"/>
                <w:color w:val="000000"/>
                <w:sz w:val="20"/>
                <w:szCs w:val="20"/>
              </w:rPr>
            </w:pPr>
            <w:r w:rsidRPr="00B7099A">
              <w:rPr>
                <w:rFonts w:cs="Arial"/>
                <w:color w:val="000000"/>
                <w:sz w:val="20"/>
                <w:szCs w:val="20"/>
              </w:rPr>
              <w:t>384.470</w:t>
            </w:r>
          </w:p>
        </w:tc>
      </w:tr>
      <w:tr w:rsidR="00E57AB7" w:rsidRPr="00B7099A" w14:paraId="31B72377"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02A63345" w14:textId="62483B20" w:rsidR="00E57AB7" w:rsidRPr="00B7099A" w:rsidRDefault="00E57AB7" w:rsidP="00280D6E">
            <w:pPr>
              <w:jc w:val="left"/>
              <w:rPr>
                <w:rFonts w:cs="Arial"/>
                <w:color w:val="000000"/>
                <w:sz w:val="20"/>
                <w:szCs w:val="20"/>
              </w:rPr>
            </w:pPr>
            <w:r w:rsidRPr="00B7099A">
              <w:rPr>
                <w:rFonts w:cs="Arial"/>
                <w:color w:val="000000"/>
                <w:sz w:val="20"/>
                <w:szCs w:val="20"/>
              </w:rPr>
              <w:t>3362 - Junta Comercial do Est. de Goiás - J</w:t>
            </w:r>
            <w:r w:rsidR="006F0ACC" w:rsidRPr="00B7099A">
              <w:rPr>
                <w:rFonts w:cs="Arial"/>
                <w:color w:val="000000"/>
                <w:sz w:val="20"/>
                <w:szCs w:val="20"/>
              </w:rPr>
              <w:t>uceg</w:t>
            </w:r>
          </w:p>
        </w:tc>
        <w:tc>
          <w:tcPr>
            <w:tcW w:w="1350" w:type="pct"/>
            <w:tcBorders>
              <w:top w:val="nil"/>
              <w:left w:val="single" w:sz="4" w:space="0" w:color="auto"/>
              <w:bottom w:val="nil"/>
              <w:right w:val="nil"/>
            </w:tcBorders>
            <w:shd w:val="clear" w:color="auto" w:fill="auto"/>
            <w:noWrap/>
            <w:vAlign w:val="center"/>
            <w:hideMark/>
          </w:tcPr>
          <w:p w14:paraId="3D09881A" w14:textId="77777777" w:rsidR="00E57AB7" w:rsidRPr="00B7099A" w:rsidRDefault="00E57AB7" w:rsidP="00280D6E">
            <w:pPr>
              <w:jc w:val="right"/>
              <w:rPr>
                <w:rFonts w:cs="Arial"/>
                <w:color w:val="000000"/>
                <w:sz w:val="20"/>
                <w:szCs w:val="20"/>
              </w:rPr>
            </w:pPr>
            <w:r w:rsidRPr="00B7099A">
              <w:rPr>
                <w:rFonts w:cs="Arial"/>
                <w:color w:val="000000"/>
                <w:sz w:val="20"/>
                <w:szCs w:val="20"/>
              </w:rPr>
              <w:t>318.477</w:t>
            </w:r>
          </w:p>
        </w:tc>
      </w:tr>
      <w:tr w:rsidR="00E57AB7" w:rsidRPr="00B7099A" w14:paraId="48DA0A1E"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59D86ACA" w14:textId="463DCB5F" w:rsidR="00E57AB7" w:rsidRPr="00B7099A" w:rsidRDefault="00E57AB7" w:rsidP="00280D6E">
            <w:pPr>
              <w:jc w:val="left"/>
              <w:rPr>
                <w:rFonts w:cs="Arial"/>
                <w:color w:val="000000"/>
                <w:sz w:val="20"/>
                <w:szCs w:val="20"/>
              </w:rPr>
            </w:pPr>
            <w:r w:rsidRPr="00B7099A">
              <w:rPr>
                <w:rFonts w:cs="Arial"/>
                <w:color w:val="000000"/>
                <w:sz w:val="20"/>
                <w:szCs w:val="20"/>
              </w:rPr>
              <w:t>3161 - F</w:t>
            </w:r>
            <w:r w:rsidR="006F0ACC" w:rsidRPr="00B7099A">
              <w:rPr>
                <w:rFonts w:cs="Arial"/>
                <w:color w:val="000000"/>
                <w:sz w:val="20"/>
                <w:szCs w:val="20"/>
              </w:rPr>
              <w:t>apeg</w:t>
            </w:r>
          </w:p>
        </w:tc>
        <w:tc>
          <w:tcPr>
            <w:tcW w:w="1350" w:type="pct"/>
            <w:tcBorders>
              <w:top w:val="nil"/>
              <w:left w:val="single" w:sz="4" w:space="0" w:color="auto"/>
              <w:bottom w:val="nil"/>
              <w:right w:val="nil"/>
            </w:tcBorders>
            <w:shd w:val="clear" w:color="auto" w:fill="auto"/>
            <w:noWrap/>
            <w:vAlign w:val="center"/>
            <w:hideMark/>
          </w:tcPr>
          <w:p w14:paraId="5E85AA10" w14:textId="77777777" w:rsidR="00E57AB7" w:rsidRPr="00B7099A" w:rsidRDefault="00E57AB7" w:rsidP="00280D6E">
            <w:pPr>
              <w:jc w:val="right"/>
              <w:rPr>
                <w:rFonts w:cs="Arial"/>
                <w:color w:val="000000"/>
                <w:sz w:val="20"/>
                <w:szCs w:val="20"/>
              </w:rPr>
            </w:pPr>
            <w:r w:rsidRPr="00B7099A">
              <w:rPr>
                <w:rFonts w:cs="Arial"/>
                <w:color w:val="000000"/>
                <w:sz w:val="20"/>
                <w:szCs w:val="20"/>
              </w:rPr>
              <w:t>277.996</w:t>
            </w:r>
          </w:p>
        </w:tc>
      </w:tr>
      <w:tr w:rsidR="00E57AB7" w:rsidRPr="00B7099A" w14:paraId="390E22ED"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6FC306B9" w14:textId="0C47CC61" w:rsidR="00E57AB7" w:rsidRPr="00B7099A" w:rsidRDefault="00E57AB7" w:rsidP="00280D6E">
            <w:pPr>
              <w:jc w:val="left"/>
              <w:rPr>
                <w:rFonts w:cs="Arial"/>
                <w:color w:val="000000"/>
                <w:sz w:val="20"/>
                <w:szCs w:val="20"/>
              </w:rPr>
            </w:pPr>
            <w:r w:rsidRPr="00B7099A">
              <w:rPr>
                <w:rFonts w:cs="Arial"/>
                <w:color w:val="000000"/>
                <w:sz w:val="20"/>
                <w:szCs w:val="20"/>
              </w:rPr>
              <w:t>3262 - E</w:t>
            </w:r>
            <w:r w:rsidR="006F0ACC" w:rsidRPr="00B7099A">
              <w:rPr>
                <w:rFonts w:cs="Arial"/>
                <w:color w:val="000000"/>
                <w:sz w:val="20"/>
                <w:szCs w:val="20"/>
              </w:rPr>
              <w:t>mater</w:t>
            </w:r>
          </w:p>
        </w:tc>
        <w:tc>
          <w:tcPr>
            <w:tcW w:w="1350" w:type="pct"/>
            <w:tcBorders>
              <w:top w:val="nil"/>
              <w:left w:val="single" w:sz="4" w:space="0" w:color="auto"/>
              <w:bottom w:val="nil"/>
              <w:right w:val="nil"/>
            </w:tcBorders>
            <w:shd w:val="clear" w:color="auto" w:fill="auto"/>
            <w:noWrap/>
            <w:vAlign w:val="center"/>
            <w:hideMark/>
          </w:tcPr>
          <w:p w14:paraId="27E5E1A4" w14:textId="77777777" w:rsidR="00E57AB7" w:rsidRPr="00B7099A" w:rsidRDefault="00E57AB7" w:rsidP="00280D6E">
            <w:pPr>
              <w:jc w:val="right"/>
              <w:rPr>
                <w:rFonts w:cs="Arial"/>
                <w:color w:val="000000"/>
                <w:sz w:val="20"/>
                <w:szCs w:val="20"/>
              </w:rPr>
            </w:pPr>
            <w:r w:rsidRPr="00B7099A">
              <w:rPr>
                <w:rFonts w:cs="Arial"/>
                <w:color w:val="000000"/>
                <w:sz w:val="20"/>
                <w:szCs w:val="20"/>
              </w:rPr>
              <w:t>186.018</w:t>
            </w:r>
          </w:p>
        </w:tc>
      </w:tr>
      <w:tr w:rsidR="00E57AB7" w:rsidRPr="00B7099A" w14:paraId="34F9537D"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6E5EA979" w14:textId="77777777" w:rsidR="00E57AB7" w:rsidRPr="00B7099A" w:rsidRDefault="00E57AB7" w:rsidP="00280D6E">
            <w:pPr>
              <w:jc w:val="left"/>
              <w:rPr>
                <w:rFonts w:cs="Arial"/>
                <w:color w:val="000000"/>
                <w:sz w:val="20"/>
                <w:szCs w:val="20"/>
              </w:rPr>
            </w:pPr>
            <w:r w:rsidRPr="00B7099A">
              <w:rPr>
                <w:rFonts w:cs="Arial"/>
                <w:color w:val="000000"/>
                <w:sz w:val="20"/>
                <w:szCs w:val="20"/>
              </w:rPr>
              <w:t>1501 - Gab. do Secret. Chefe da CGE</w:t>
            </w:r>
          </w:p>
        </w:tc>
        <w:tc>
          <w:tcPr>
            <w:tcW w:w="1350" w:type="pct"/>
            <w:tcBorders>
              <w:top w:val="nil"/>
              <w:left w:val="single" w:sz="4" w:space="0" w:color="auto"/>
              <w:bottom w:val="nil"/>
              <w:right w:val="nil"/>
            </w:tcBorders>
            <w:shd w:val="clear" w:color="auto" w:fill="auto"/>
            <w:noWrap/>
            <w:vAlign w:val="center"/>
            <w:hideMark/>
          </w:tcPr>
          <w:p w14:paraId="40987CD2" w14:textId="77777777" w:rsidR="00E57AB7" w:rsidRPr="00B7099A" w:rsidRDefault="00E57AB7" w:rsidP="00280D6E">
            <w:pPr>
              <w:jc w:val="right"/>
              <w:rPr>
                <w:rFonts w:cs="Arial"/>
                <w:color w:val="000000"/>
                <w:sz w:val="20"/>
                <w:szCs w:val="20"/>
              </w:rPr>
            </w:pPr>
            <w:r w:rsidRPr="00B7099A">
              <w:rPr>
                <w:rFonts w:cs="Arial"/>
                <w:color w:val="000000"/>
                <w:sz w:val="20"/>
                <w:szCs w:val="20"/>
              </w:rPr>
              <w:t>172.187</w:t>
            </w:r>
          </w:p>
        </w:tc>
      </w:tr>
      <w:tr w:rsidR="00E57AB7" w:rsidRPr="00B7099A" w14:paraId="7D745D73"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5C04BC06" w14:textId="77777777" w:rsidR="00E57AB7" w:rsidRPr="00B7099A" w:rsidRDefault="00E57AB7" w:rsidP="00280D6E">
            <w:pPr>
              <w:jc w:val="left"/>
              <w:rPr>
                <w:rFonts w:cs="Arial"/>
                <w:color w:val="000000"/>
                <w:sz w:val="20"/>
                <w:szCs w:val="20"/>
              </w:rPr>
            </w:pPr>
            <w:r w:rsidRPr="00B7099A">
              <w:rPr>
                <w:rFonts w:cs="Arial"/>
                <w:color w:val="000000"/>
                <w:sz w:val="20"/>
                <w:szCs w:val="20"/>
              </w:rPr>
              <w:t>4401 - Gab Sec. Do Entorno do Distrito Federal</w:t>
            </w:r>
          </w:p>
        </w:tc>
        <w:tc>
          <w:tcPr>
            <w:tcW w:w="1350" w:type="pct"/>
            <w:tcBorders>
              <w:top w:val="nil"/>
              <w:left w:val="single" w:sz="4" w:space="0" w:color="auto"/>
              <w:bottom w:val="nil"/>
              <w:right w:val="nil"/>
            </w:tcBorders>
            <w:shd w:val="clear" w:color="auto" w:fill="auto"/>
            <w:noWrap/>
            <w:vAlign w:val="center"/>
            <w:hideMark/>
          </w:tcPr>
          <w:p w14:paraId="3CAE154F" w14:textId="77777777" w:rsidR="00E57AB7" w:rsidRPr="00B7099A" w:rsidRDefault="00E57AB7" w:rsidP="00280D6E">
            <w:pPr>
              <w:jc w:val="right"/>
              <w:rPr>
                <w:rFonts w:cs="Arial"/>
                <w:color w:val="000000"/>
                <w:sz w:val="20"/>
                <w:szCs w:val="20"/>
              </w:rPr>
            </w:pPr>
            <w:r w:rsidRPr="00B7099A">
              <w:rPr>
                <w:rFonts w:cs="Arial"/>
                <w:color w:val="000000"/>
                <w:sz w:val="20"/>
                <w:szCs w:val="20"/>
              </w:rPr>
              <w:t>148.985</w:t>
            </w:r>
          </w:p>
        </w:tc>
      </w:tr>
      <w:tr w:rsidR="00E57AB7" w:rsidRPr="00B7099A" w14:paraId="624D537B"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7431F83D" w14:textId="77777777" w:rsidR="00E57AB7" w:rsidRPr="00B7099A" w:rsidRDefault="00E57AB7" w:rsidP="00280D6E">
            <w:pPr>
              <w:jc w:val="left"/>
              <w:rPr>
                <w:rFonts w:cs="Arial"/>
                <w:color w:val="000000"/>
                <w:sz w:val="20"/>
                <w:szCs w:val="20"/>
              </w:rPr>
            </w:pPr>
            <w:r w:rsidRPr="00B7099A">
              <w:rPr>
                <w:rFonts w:cs="Arial"/>
                <w:color w:val="000000"/>
                <w:sz w:val="20"/>
                <w:szCs w:val="20"/>
              </w:rPr>
              <w:t>1401 - Gab. do Proc. Geral do Estado</w:t>
            </w:r>
          </w:p>
        </w:tc>
        <w:tc>
          <w:tcPr>
            <w:tcW w:w="1350" w:type="pct"/>
            <w:tcBorders>
              <w:top w:val="nil"/>
              <w:left w:val="single" w:sz="4" w:space="0" w:color="auto"/>
              <w:bottom w:val="nil"/>
              <w:right w:val="nil"/>
            </w:tcBorders>
            <w:shd w:val="clear" w:color="auto" w:fill="auto"/>
            <w:noWrap/>
            <w:vAlign w:val="center"/>
            <w:hideMark/>
          </w:tcPr>
          <w:p w14:paraId="3C0D38EB" w14:textId="77777777" w:rsidR="00E57AB7" w:rsidRPr="00B7099A" w:rsidRDefault="00E57AB7" w:rsidP="00280D6E">
            <w:pPr>
              <w:jc w:val="right"/>
              <w:rPr>
                <w:rFonts w:cs="Arial"/>
                <w:color w:val="000000"/>
                <w:sz w:val="20"/>
                <w:szCs w:val="20"/>
              </w:rPr>
            </w:pPr>
            <w:r w:rsidRPr="00B7099A">
              <w:rPr>
                <w:rFonts w:cs="Arial"/>
                <w:color w:val="000000"/>
                <w:sz w:val="20"/>
                <w:szCs w:val="20"/>
              </w:rPr>
              <w:t>135.765</w:t>
            </w:r>
          </w:p>
        </w:tc>
      </w:tr>
      <w:tr w:rsidR="00E57AB7" w:rsidRPr="00B7099A" w14:paraId="3EF19EDA"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4B8873CB" w14:textId="77777777" w:rsidR="00E57AB7" w:rsidRPr="00B7099A" w:rsidRDefault="00E57AB7" w:rsidP="00280D6E">
            <w:pPr>
              <w:jc w:val="left"/>
              <w:rPr>
                <w:rFonts w:cs="Arial"/>
                <w:color w:val="000000"/>
                <w:sz w:val="20"/>
                <w:szCs w:val="20"/>
              </w:rPr>
            </w:pPr>
            <w:r w:rsidRPr="00B7099A">
              <w:rPr>
                <w:rFonts w:cs="Arial"/>
                <w:color w:val="000000"/>
                <w:sz w:val="20"/>
                <w:szCs w:val="20"/>
              </w:rPr>
              <w:t>1301 - Gabinete do Vice-Governador</w:t>
            </w:r>
          </w:p>
        </w:tc>
        <w:tc>
          <w:tcPr>
            <w:tcW w:w="1350" w:type="pct"/>
            <w:tcBorders>
              <w:top w:val="nil"/>
              <w:left w:val="single" w:sz="4" w:space="0" w:color="auto"/>
              <w:bottom w:val="nil"/>
              <w:right w:val="nil"/>
            </w:tcBorders>
            <w:shd w:val="clear" w:color="auto" w:fill="auto"/>
            <w:noWrap/>
            <w:vAlign w:val="center"/>
            <w:hideMark/>
          </w:tcPr>
          <w:p w14:paraId="4CCF11FB" w14:textId="77777777" w:rsidR="00E57AB7" w:rsidRPr="00B7099A" w:rsidRDefault="00E57AB7" w:rsidP="00280D6E">
            <w:pPr>
              <w:jc w:val="right"/>
              <w:rPr>
                <w:rFonts w:cs="Arial"/>
                <w:color w:val="000000"/>
                <w:sz w:val="20"/>
                <w:szCs w:val="20"/>
              </w:rPr>
            </w:pPr>
            <w:r w:rsidRPr="00B7099A">
              <w:rPr>
                <w:rFonts w:cs="Arial"/>
                <w:color w:val="000000"/>
                <w:sz w:val="20"/>
                <w:szCs w:val="20"/>
              </w:rPr>
              <w:t>62.995</w:t>
            </w:r>
          </w:p>
        </w:tc>
      </w:tr>
      <w:tr w:rsidR="00E57AB7" w:rsidRPr="00B7099A" w14:paraId="6E6A81B9"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5667F4C6" w14:textId="77777777" w:rsidR="00E57AB7" w:rsidRPr="00B7099A" w:rsidRDefault="00E57AB7" w:rsidP="00280D6E">
            <w:pPr>
              <w:jc w:val="left"/>
              <w:rPr>
                <w:rFonts w:cs="Arial"/>
                <w:color w:val="000000"/>
                <w:sz w:val="20"/>
                <w:szCs w:val="20"/>
              </w:rPr>
            </w:pPr>
            <w:r w:rsidRPr="00B7099A">
              <w:rPr>
                <w:rFonts w:cs="Arial"/>
                <w:color w:val="000000"/>
                <w:sz w:val="20"/>
                <w:szCs w:val="20"/>
              </w:rPr>
              <w:t>2801 - Gabinete do Secretário da Saúde</w:t>
            </w:r>
          </w:p>
        </w:tc>
        <w:tc>
          <w:tcPr>
            <w:tcW w:w="1350" w:type="pct"/>
            <w:tcBorders>
              <w:top w:val="nil"/>
              <w:left w:val="single" w:sz="4" w:space="0" w:color="auto"/>
              <w:bottom w:val="nil"/>
              <w:right w:val="nil"/>
            </w:tcBorders>
            <w:shd w:val="clear" w:color="auto" w:fill="auto"/>
            <w:noWrap/>
            <w:vAlign w:val="center"/>
            <w:hideMark/>
          </w:tcPr>
          <w:p w14:paraId="6D263920" w14:textId="77777777" w:rsidR="00E57AB7" w:rsidRPr="00B7099A" w:rsidRDefault="00E57AB7" w:rsidP="00280D6E">
            <w:pPr>
              <w:jc w:val="right"/>
              <w:rPr>
                <w:rFonts w:cs="Arial"/>
                <w:color w:val="000000"/>
                <w:sz w:val="20"/>
                <w:szCs w:val="20"/>
              </w:rPr>
            </w:pPr>
            <w:r w:rsidRPr="00B7099A">
              <w:rPr>
                <w:rFonts w:cs="Arial"/>
                <w:color w:val="000000"/>
                <w:sz w:val="20"/>
                <w:szCs w:val="20"/>
              </w:rPr>
              <w:t>36.780</w:t>
            </w:r>
          </w:p>
        </w:tc>
      </w:tr>
      <w:tr w:rsidR="00E57AB7" w:rsidRPr="00B7099A" w14:paraId="67806BEF" w14:textId="77777777" w:rsidTr="00B06C61">
        <w:trPr>
          <w:trHeight w:val="303"/>
        </w:trPr>
        <w:tc>
          <w:tcPr>
            <w:tcW w:w="3650" w:type="pct"/>
            <w:tcBorders>
              <w:top w:val="nil"/>
              <w:left w:val="nil"/>
              <w:bottom w:val="nil"/>
              <w:right w:val="single" w:sz="4" w:space="0" w:color="auto"/>
            </w:tcBorders>
            <w:shd w:val="clear" w:color="auto" w:fill="auto"/>
            <w:noWrap/>
            <w:vAlign w:val="center"/>
            <w:hideMark/>
          </w:tcPr>
          <w:p w14:paraId="06FF9537" w14:textId="2E2EFDE1" w:rsidR="00E57AB7" w:rsidRPr="00B7099A" w:rsidRDefault="00E57AB7" w:rsidP="00280D6E">
            <w:pPr>
              <w:jc w:val="left"/>
              <w:rPr>
                <w:rFonts w:cs="Arial"/>
                <w:color w:val="000000"/>
                <w:sz w:val="20"/>
                <w:szCs w:val="20"/>
              </w:rPr>
            </w:pPr>
            <w:r w:rsidRPr="00B7099A">
              <w:rPr>
                <w:rFonts w:cs="Arial"/>
                <w:color w:val="000000"/>
                <w:sz w:val="20"/>
                <w:szCs w:val="20"/>
              </w:rPr>
              <w:t>2954 - Fundo de Reap. e Aperf. da PM</w:t>
            </w:r>
          </w:p>
        </w:tc>
        <w:tc>
          <w:tcPr>
            <w:tcW w:w="1350" w:type="pct"/>
            <w:tcBorders>
              <w:top w:val="nil"/>
              <w:left w:val="single" w:sz="4" w:space="0" w:color="auto"/>
              <w:bottom w:val="nil"/>
              <w:right w:val="nil"/>
            </w:tcBorders>
            <w:shd w:val="clear" w:color="auto" w:fill="auto"/>
            <w:noWrap/>
            <w:vAlign w:val="center"/>
            <w:hideMark/>
          </w:tcPr>
          <w:p w14:paraId="160C0DF7" w14:textId="77777777" w:rsidR="00E57AB7" w:rsidRPr="00B7099A" w:rsidRDefault="00E57AB7" w:rsidP="00280D6E">
            <w:pPr>
              <w:jc w:val="right"/>
              <w:rPr>
                <w:rFonts w:cs="Arial"/>
                <w:color w:val="000000"/>
                <w:sz w:val="20"/>
                <w:szCs w:val="20"/>
              </w:rPr>
            </w:pPr>
            <w:r w:rsidRPr="00B7099A">
              <w:rPr>
                <w:rFonts w:cs="Arial"/>
                <w:color w:val="000000"/>
                <w:sz w:val="20"/>
                <w:szCs w:val="20"/>
              </w:rPr>
              <w:t>16.325</w:t>
            </w:r>
          </w:p>
        </w:tc>
      </w:tr>
      <w:tr w:rsidR="00E57AB7" w:rsidRPr="00B7099A" w14:paraId="6F09F913" w14:textId="77777777" w:rsidTr="00B06C61">
        <w:trPr>
          <w:trHeight w:val="303"/>
        </w:trPr>
        <w:tc>
          <w:tcPr>
            <w:tcW w:w="3650" w:type="pct"/>
            <w:tcBorders>
              <w:top w:val="nil"/>
              <w:left w:val="nil"/>
              <w:bottom w:val="single" w:sz="4" w:space="0" w:color="auto"/>
              <w:right w:val="single" w:sz="4" w:space="0" w:color="auto"/>
            </w:tcBorders>
            <w:shd w:val="clear" w:color="auto" w:fill="auto"/>
            <w:noWrap/>
            <w:vAlign w:val="center"/>
            <w:hideMark/>
          </w:tcPr>
          <w:p w14:paraId="44B99A4C" w14:textId="77777777" w:rsidR="00E57AB7" w:rsidRPr="00B7099A" w:rsidRDefault="00E57AB7" w:rsidP="00280D6E">
            <w:pPr>
              <w:jc w:val="left"/>
              <w:rPr>
                <w:rFonts w:cs="Arial"/>
                <w:color w:val="000000"/>
                <w:sz w:val="20"/>
                <w:szCs w:val="20"/>
              </w:rPr>
            </w:pPr>
            <w:r w:rsidRPr="00B7099A">
              <w:rPr>
                <w:rFonts w:cs="Arial"/>
                <w:color w:val="000000"/>
                <w:sz w:val="20"/>
                <w:szCs w:val="20"/>
              </w:rPr>
              <w:t>4250 - Fundo Estadual do Trabalho</w:t>
            </w:r>
          </w:p>
        </w:tc>
        <w:tc>
          <w:tcPr>
            <w:tcW w:w="1350" w:type="pct"/>
            <w:tcBorders>
              <w:top w:val="nil"/>
              <w:left w:val="single" w:sz="4" w:space="0" w:color="auto"/>
              <w:bottom w:val="single" w:sz="4" w:space="0" w:color="auto"/>
              <w:right w:val="nil"/>
            </w:tcBorders>
            <w:shd w:val="clear" w:color="auto" w:fill="auto"/>
            <w:noWrap/>
            <w:vAlign w:val="center"/>
            <w:hideMark/>
          </w:tcPr>
          <w:p w14:paraId="1F6133B9" w14:textId="77777777" w:rsidR="00E57AB7" w:rsidRPr="00B7099A" w:rsidRDefault="00E57AB7" w:rsidP="00280D6E">
            <w:pPr>
              <w:jc w:val="right"/>
              <w:rPr>
                <w:rFonts w:cs="Arial"/>
                <w:color w:val="000000"/>
                <w:sz w:val="20"/>
                <w:szCs w:val="20"/>
              </w:rPr>
            </w:pPr>
            <w:r w:rsidRPr="00B7099A">
              <w:rPr>
                <w:rFonts w:cs="Arial"/>
                <w:color w:val="000000"/>
                <w:sz w:val="20"/>
                <w:szCs w:val="20"/>
              </w:rPr>
              <w:t>912</w:t>
            </w:r>
          </w:p>
        </w:tc>
      </w:tr>
      <w:tr w:rsidR="00E57AB7" w:rsidRPr="00B7099A" w14:paraId="4279046F" w14:textId="77777777" w:rsidTr="00B06C61">
        <w:trPr>
          <w:trHeight w:val="303"/>
        </w:trPr>
        <w:tc>
          <w:tcPr>
            <w:tcW w:w="3650" w:type="pct"/>
            <w:tcBorders>
              <w:top w:val="single" w:sz="4" w:space="0" w:color="auto"/>
              <w:left w:val="nil"/>
              <w:bottom w:val="single" w:sz="4" w:space="0" w:color="auto"/>
              <w:right w:val="single" w:sz="4" w:space="0" w:color="auto"/>
            </w:tcBorders>
            <w:shd w:val="clear" w:color="auto" w:fill="auto"/>
            <w:noWrap/>
            <w:vAlign w:val="center"/>
            <w:hideMark/>
          </w:tcPr>
          <w:p w14:paraId="6CA548EF" w14:textId="77777777" w:rsidR="00E57AB7" w:rsidRPr="00B7099A" w:rsidRDefault="00E57AB7" w:rsidP="00280D6E">
            <w:pPr>
              <w:jc w:val="center"/>
              <w:rPr>
                <w:rFonts w:cs="Arial"/>
                <w:b/>
                <w:bCs/>
                <w:color w:val="000000"/>
                <w:sz w:val="20"/>
                <w:szCs w:val="20"/>
              </w:rPr>
            </w:pPr>
            <w:r w:rsidRPr="00B7099A">
              <w:rPr>
                <w:rFonts w:cs="Arial"/>
                <w:b/>
                <w:bCs/>
                <w:color w:val="000000"/>
                <w:sz w:val="20"/>
                <w:szCs w:val="20"/>
              </w:rPr>
              <w:t>Total</w:t>
            </w:r>
          </w:p>
        </w:tc>
        <w:tc>
          <w:tcPr>
            <w:tcW w:w="1350" w:type="pct"/>
            <w:tcBorders>
              <w:top w:val="single" w:sz="4" w:space="0" w:color="auto"/>
              <w:left w:val="single" w:sz="4" w:space="0" w:color="auto"/>
              <w:bottom w:val="single" w:sz="4" w:space="0" w:color="auto"/>
              <w:right w:val="nil"/>
            </w:tcBorders>
            <w:shd w:val="clear" w:color="auto" w:fill="auto"/>
            <w:noWrap/>
            <w:vAlign w:val="center"/>
            <w:hideMark/>
          </w:tcPr>
          <w:p w14:paraId="1BEBDC8E" w14:textId="77777777" w:rsidR="00E57AB7" w:rsidRPr="00B7099A" w:rsidRDefault="00E57AB7" w:rsidP="00280D6E">
            <w:pPr>
              <w:jc w:val="right"/>
              <w:rPr>
                <w:rFonts w:cs="Arial"/>
                <w:b/>
                <w:bCs/>
                <w:color w:val="000000"/>
                <w:sz w:val="20"/>
                <w:szCs w:val="20"/>
              </w:rPr>
            </w:pPr>
            <w:r w:rsidRPr="00B7099A">
              <w:rPr>
                <w:rFonts w:cs="Arial"/>
                <w:b/>
                <w:bCs/>
                <w:color w:val="000000"/>
                <w:sz w:val="20"/>
                <w:szCs w:val="20"/>
              </w:rPr>
              <w:t>11.125.740.880</w:t>
            </w:r>
          </w:p>
        </w:tc>
      </w:tr>
    </w:tbl>
    <w:p w14:paraId="44B65D01" w14:textId="6DF50118" w:rsidR="00F14DCB" w:rsidRPr="00F14DCB" w:rsidRDefault="00F14DCB" w:rsidP="00F14DCB">
      <w:pPr>
        <w:pStyle w:val="1-TEXTORELATORIO"/>
        <w:rPr>
          <w:rStyle w:val="1-FONTE8ESQChar"/>
        </w:rPr>
      </w:pPr>
      <w:r w:rsidRPr="00F14DCB">
        <w:rPr>
          <w:sz w:val="16"/>
          <w:szCs w:val="16"/>
        </w:rPr>
        <w:t>Fonte: Business Objects</w:t>
      </w:r>
    </w:p>
    <w:p w14:paraId="4C27ABD8" w14:textId="1D360FF5" w:rsidR="00E57AB7" w:rsidRDefault="00E57AB7" w:rsidP="00E57AB7">
      <w:pPr>
        <w:pStyle w:val="1-REL11"/>
      </w:pPr>
      <w:bookmarkStart w:id="222" w:name="_Hlk105504629"/>
      <w:r>
        <w:lastRenderedPageBreak/>
        <w:t>Do total apresentado,</w:t>
      </w:r>
      <w:r w:rsidR="00E70798">
        <w:t xml:space="preserve"> </w:t>
      </w:r>
      <w:r>
        <w:t>R$</w:t>
      </w:r>
      <w:r w:rsidR="00E70798">
        <w:t> </w:t>
      </w:r>
      <w:r>
        <w:t>8,52</w:t>
      </w:r>
      <w:r w:rsidR="00F763BE">
        <w:t> </w:t>
      </w:r>
      <w:r>
        <w:t>bilhões (76,56%) está aplicado em CDB/RDB (processo nº 202300047001912, evento 71), sendo o saldo compatível com os extratos bancários apresentados.</w:t>
      </w:r>
    </w:p>
    <w:p w14:paraId="6BF8BA4E" w14:textId="75F9A9D5" w:rsidR="00DF0700" w:rsidRDefault="00E57AB7" w:rsidP="00E57AB7">
      <w:pPr>
        <w:pStyle w:val="1-REL11"/>
      </w:pPr>
      <w:r>
        <w:t>Por fim, consultado o razão contábil da conta 1.1.1.1.1.02.01.01.02 - Disponibilidade em Aplicação Financeira no SCG, os rendimentos das aplicações provenientes dos recursos da CUTE totalizaram R$</w:t>
      </w:r>
      <w:r w:rsidR="00F763BE">
        <w:t> </w:t>
      </w:r>
      <w:r>
        <w:t>1,21</w:t>
      </w:r>
      <w:r w:rsidR="00F763BE">
        <w:t> </w:t>
      </w:r>
      <w:r>
        <w:t>bilhão no exercício de 2023.</w:t>
      </w:r>
    </w:p>
    <w:p w14:paraId="4010338E" w14:textId="77777777" w:rsidR="00DF0700" w:rsidRDefault="00DF0700" w:rsidP="00A224E9">
      <w:pPr>
        <w:pStyle w:val="Ttulo3"/>
      </w:pPr>
      <w:bookmarkStart w:id="223" w:name="_Toc129787691"/>
      <w:bookmarkStart w:id="224" w:name="_Toc132270221"/>
      <w:bookmarkStart w:id="225" w:name="_Toc167871685"/>
      <w:bookmarkEnd w:id="222"/>
      <w:r>
        <w:t>Reversão de Saldos Financeiros ao Tesouro Estadual</w:t>
      </w:r>
      <w:bookmarkEnd w:id="223"/>
      <w:bookmarkEnd w:id="224"/>
      <w:bookmarkEnd w:id="225"/>
    </w:p>
    <w:p w14:paraId="332C7AE1" w14:textId="16E12775" w:rsidR="00E57AB7" w:rsidRPr="00412E1B" w:rsidRDefault="00E57AB7" w:rsidP="00E57AB7">
      <w:pPr>
        <w:pStyle w:val="1-REL11"/>
      </w:pPr>
      <w:r w:rsidRPr="001550C7">
        <w:t>A Lei Estadual nº</w:t>
      </w:r>
      <w:bookmarkStart w:id="226" w:name="_Hlk32212289"/>
      <w:r w:rsidR="00F763BE">
        <w:t> </w:t>
      </w:r>
      <w:r w:rsidRPr="001550C7">
        <w:t>19.505, de 21 de novembro de 2016</w:t>
      </w:r>
      <w:r>
        <w:t>,</w:t>
      </w:r>
      <w:r w:rsidRPr="001550C7">
        <w:t xml:space="preserve"> </w:t>
      </w:r>
      <w:r>
        <w:t xml:space="preserve">trouxe modificações </w:t>
      </w:r>
      <w:bookmarkEnd w:id="226"/>
      <w:r w:rsidRPr="001550C7">
        <w:t>em diversos Fundos Estaduais, dispondo que</w:t>
      </w:r>
      <w:r w:rsidRPr="001550C7">
        <w:rPr>
          <w:i/>
        </w:rPr>
        <w:t xml:space="preserve"> </w:t>
      </w:r>
      <w:r w:rsidRPr="00412E1B">
        <w:t>“as receitas ordinárias classificadas como Fonte 100 serão registradas contabilmente no Tesouro Estadual”.</w:t>
      </w:r>
    </w:p>
    <w:p w14:paraId="4C72D5A4" w14:textId="21736C14" w:rsidR="00E57AB7" w:rsidRDefault="00E57AB7" w:rsidP="00E57AB7">
      <w:pPr>
        <w:pStyle w:val="1-REL11"/>
      </w:pPr>
      <w:r w:rsidRPr="00002DF3">
        <w:t>Em 31/12/202</w:t>
      </w:r>
      <w:r>
        <w:t>3</w:t>
      </w:r>
      <w:r w:rsidRPr="00002DF3">
        <w:t xml:space="preserve"> houve o registro de reversão de</w:t>
      </w:r>
      <w:r>
        <w:t>sses</w:t>
      </w:r>
      <w:r w:rsidRPr="00002DF3">
        <w:t xml:space="preserve"> saldos financeiros de diversos fundos ao Tesouro Estadual. Ocorreu ainda reversão de valores de </w:t>
      </w:r>
      <w:r>
        <w:t>a</w:t>
      </w:r>
      <w:r w:rsidRPr="00002DF3">
        <w:t>gências/</w:t>
      </w:r>
      <w:r>
        <w:t>a</w:t>
      </w:r>
      <w:r w:rsidRPr="00002DF3">
        <w:t>utarquias que, teoricamente, deveriam possuir autonomia orçamentária e financeira, conforme a seguir:</w:t>
      </w:r>
    </w:p>
    <w:p w14:paraId="6C7ACE7D" w14:textId="77777777" w:rsidR="00E57AB7" w:rsidRPr="00002DF3" w:rsidRDefault="00E57AB7" w:rsidP="00ED3571">
      <w:pPr>
        <w:pStyle w:val="0-TABELA"/>
      </w:pPr>
      <w:bookmarkStart w:id="227" w:name="_Toc105601627"/>
      <w:bookmarkStart w:id="228" w:name="_Toc167871777"/>
      <w:r w:rsidRPr="00002DF3">
        <w:t>Reversão de Saldos Financeiros ao Tesouro Estadual</w:t>
      </w:r>
      <w:bookmarkEnd w:id="227"/>
      <w:bookmarkEnd w:id="228"/>
    </w:p>
    <w:p w14:paraId="3E50906A" w14:textId="77777777" w:rsidR="00E57AB7" w:rsidRPr="00002DF3" w:rsidRDefault="00E57AB7" w:rsidP="00E57AB7">
      <w:pPr>
        <w:pStyle w:val="0-EmR"/>
      </w:pPr>
      <w:r w:rsidRPr="00002DF3">
        <w:t>R$1</w:t>
      </w:r>
    </w:p>
    <w:tbl>
      <w:tblPr>
        <w:tblW w:w="5000" w:type="pct"/>
        <w:tblCellMar>
          <w:left w:w="70" w:type="dxa"/>
          <w:right w:w="70" w:type="dxa"/>
        </w:tblCellMar>
        <w:tblLook w:val="04A0" w:firstRow="1" w:lastRow="0" w:firstColumn="1" w:lastColumn="0" w:noHBand="0" w:noVBand="1"/>
      </w:tblPr>
      <w:tblGrid>
        <w:gridCol w:w="7555"/>
        <w:gridCol w:w="1798"/>
      </w:tblGrid>
      <w:tr w:rsidR="00E57AB7" w:rsidRPr="00B7099A" w14:paraId="2CA9814A" w14:textId="77777777" w:rsidTr="00B06C61">
        <w:trPr>
          <w:trHeight w:val="340"/>
          <w:tblHeader/>
        </w:trPr>
        <w:tc>
          <w:tcPr>
            <w:tcW w:w="4039" w:type="pct"/>
            <w:tcBorders>
              <w:top w:val="single" w:sz="4" w:space="0" w:color="auto"/>
              <w:left w:val="nil"/>
              <w:bottom w:val="single" w:sz="4" w:space="0" w:color="auto"/>
              <w:right w:val="single" w:sz="4" w:space="0" w:color="auto"/>
            </w:tcBorders>
            <w:shd w:val="clear" w:color="000000" w:fill="A1F2FD"/>
            <w:vAlign w:val="center"/>
            <w:hideMark/>
          </w:tcPr>
          <w:p w14:paraId="13930336" w14:textId="6780736D" w:rsidR="00E57AB7" w:rsidRPr="00B7099A" w:rsidRDefault="00976F75" w:rsidP="00280D6E">
            <w:pPr>
              <w:jc w:val="center"/>
              <w:rPr>
                <w:rFonts w:cs="Arial"/>
                <w:b/>
                <w:bCs/>
                <w:color w:val="000000"/>
                <w:sz w:val="20"/>
                <w:szCs w:val="20"/>
              </w:rPr>
            </w:pPr>
            <w:r w:rsidRPr="00B7099A">
              <w:rPr>
                <w:rFonts w:cs="Arial"/>
                <w:b/>
                <w:bCs/>
                <w:color w:val="000000"/>
                <w:sz w:val="20"/>
                <w:szCs w:val="20"/>
              </w:rPr>
              <w:t>Unidade Orçamentária</w:t>
            </w:r>
          </w:p>
        </w:tc>
        <w:tc>
          <w:tcPr>
            <w:tcW w:w="961" w:type="pct"/>
            <w:tcBorders>
              <w:top w:val="single" w:sz="4" w:space="0" w:color="auto"/>
              <w:left w:val="single" w:sz="4" w:space="0" w:color="auto"/>
              <w:bottom w:val="single" w:sz="4" w:space="0" w:color="auto"/>
              <w:right w:val="nil"/>
            </w:tcBorders>
            <w:shd w:val="clear" w:color="000000" w:fill="A1F2FD"/>
            <w:vAlign w:val="center"/>
            <w:hideMark/>
          </w:tcPr>
          <w:p w14:paraId="09EEE3E5" w14:textId="77777777" w:rsidR="00E57AB7" w:rsidRPr="00B7099A" w:rsidRDefault="00E57AB7" w:rsidP="00280D6E">
            <w:pPr>
              <w:jc w:val="center"/>
              <w:rPr>
                <w:rFonts w:cs="Arial"/>
                <w:b/>
                <w:bCs/>
                <w:color w:val="000000"/>
                <w:sz w:val="20"/>
                <w:szCs w:val="20"/>
              </w:rPr>
            </w:pPr>
            <w:r w:rsidRPr="00B7099A">
              <w:rPr>
                <w:rFonts w:cs="Arial"/>
                <w:b/>
                <w:bCs/>
                <w:color w:val="000000"/>
                <w:sz w:val="20"/>
                <w:szCs w:val="20"/>
              </w:rPr>
              <w:t>Valor Revertido</w:t>
            </w:r>
          </w:p>
        </w:tc>
      </w:tr>
      <w:tr w:rsidR="00E57AB7" w:rsidRPr="00B7099A" w14:paraId="0766BD27" w14:textId="77777777" w:rsidTr="00B06C61">
        <w:trPr>
          <w:trHeight w:val="340"/>
        </w:trPr>
        <w:tc>
          <w:tcPr>
            <w:tcW w:w="4039" w:type="pct"/>
            <w:tcBorders>
              <w:top w:val="single" w:sz="4" w:space="0" w:color="auto"/>
              <w:left w:val="nil"/>
              <w:bottom w:val="nil"/>
              <w:right w:val="single" w:sz="4" w:space="0" w:color="auto"/>
            </w:tcBorders>
            <w:shd w:val="clear" w:color="auto" w:fill="auto"/>
            <w:noWrap/>
            <w:vAlign w:val="center"/>
            <w:hideMark/>
          </w:tcPr>
          <w:p w14:paraId="7DD1B717" w14:textId="4170DD73" w:rsidR="00E57AB7" w:rsidRPr="00B7099A" w:rsidRDefault="00E57AB7" w:rsidP="006871BF">
            <w:pPr>
              <w:ind w:left="72"/>
              <w:jc w:val="left"/>
              <w:rPr>
                <w:rFonts w:cs="Arial"/>
                <w:color w:val="000000"/>
                <w:sz w:val="20"/>
                <w:szCs w:val="20"/>
              </w:rPr>
            </w:pPr>
            <w:r w:rsidRPr="00B7099A">
              <w:rPr>
                <w:rFonts w:cs="Arial"/>
                <w:color w:val="000000"/>
                <w:sz w:val="20"/>
                <w:szCs w:val="20"/>
              </w:rPr>
              <w:t>2961 - D</w:t>
            </w:r>
            <w:r w:rsidR="00D97CA7" w:rsidRPr="00B7099A">
              <w:rPr>
                <w:rFonts w:cs="Arial"/>
                <w:color w:val="000000"/>
                <w:sz w:val="20"/>
                <w:szCs w:val="20"/>
              </w:rPr>
              <w:t>etran</w:t>
            </w:r>
          </w:p>
        </w:tc>
        <w:tc>
          <w:tcPr>
            <w:tcW w:w="961" w:type="pct"/>
            <w:tcBorders>
              <w:top w:val="single" w:sz="4" w:space="0" w:color="auto"/>
              <w:left w:val="single" w:sz="4" w:space="0" w:color="auto"/>
              <w:bottom w:val="nil"/>
              <w:right w:val="nil"/>
            </w:tcBorders>
            <w:shd w:val="clear" w:color="auto" w:fill="auto"/>
            <w:noWrap/>
            <w:vAlign w:val="center"/>
            <w:hideMark/>
          </w:tcPr>
          <w:p w14:paraId="7169EAEF" w14:textId="77777777" w:rsidR="00E57AB7" w:rsidRPr="00B7099A" w:rsidRDefault="00E57AB7" w:rsidP="00280D6E">
            <w:pPr>
              <w:jc w:val="right"/>
              <w:rPr>
                <w:rFonts w:cs="Arial"/>
                <w:color w:val="000000"/>
                <w:sz w:val="20"/>
                <w:szCs w:val="20"/>
              </w:rPr>
            </w:pPr>
            <w:r w:rsidRPr="00B7099A">
              <w:rPr>
                <w:rFonts w:cs="Arial"/>
                <w:color w:val="000000"/>
                <w:sz w:val="20"/>
                <w:szCs w:val="20"/>
              </w:rPr>
              <w:t>601.019.401</w:t>
            </w:r>
          </w:p>
        </w:tc>
      </w:tr>
      <w:tr w:rsidR="00E57AB7" w:rsidRPr="00B7099A" w14:paraId="3E0CC16C"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0B732B0E" w14:textId="37EBA6FA" w:rsidR="00E57AB7" w:rsidRPr="00B7099A" w:rsidRDefault="00E57AB7" w:rsidP="006871BF">
            <w:pPr>
              <w:ind w:left="72"/>
              <w:jc w:val="left"/>
              <w:rPr>
                <w:rFonts w:cs="Arial"/>
                <w:color w:val="000000"/>
                <w:sz w:val="20"/>
                <w:szCs w:val="20"/>
              </w:rPr>
            </w:pPr>
            <w:r w:rsidRPr="00B7099A">
              <w:rPr>
                <w:rFonts w:cs="Arial"/>
                <w:color w:val="000000"/>
                <w:sz w:val="20"/>
                <w:szCs w:val="20"/>
              </w:rPr>
              <w:t xml:space="preserve">3351 - </w:t>
            </w:r>
            <w:r w:rsidR="00D97CA7" w:rsidRPr="00B7099A">
              <w:rPr>
                <w:rFonts w:cs="Arial"/>
                <w:color w:val="000000"/>
                <w:sz w:val="20"/>
                <w:szCs w:val="20"/>
              </w:rPr>
              <w:t>Funproduzir</w:t>
            </w:r>
          </w:p>
        </w:tc>
        <w:tc>
          <w:tcPr>
            <w:tcW w:w="961" w:type="pct"/>
            <w:tcBorders>
              <w:top w:val="nil"/>
              <w:left w:val="single" w:sz="4" w:space="0" w:color="auto"/>
              <w:bottom w:val="nil"/>
              <w:right w:val="nil"/>
            </w:tcBorders>
            <w:shd w:val="clear" w:color="auto" w:fill="auto"/>
            <w:noWrap/>
            <w:vAlign w:val="center"/>
            <w:hideMark/>
          </w:tcPr>
          <w:p w14:paraId="5C47802A" w14:textId="77777777" w:rsidR="00E57AB7" w:rsidRPr="00B7099A" w:rsidRDefault="00E57AB7" w:rsidP="00280D6E">
            <w:pPr>
              <w:jc w:val="right"/>
              <w:rPr>
                <w:rFonts w:cs="Arial"/>
                <w:color w:val="000000"/>
                <w:sz w:val="20"/>
                <w:szCs w:val="20"/>
              </w:rPr>
            </w:pPr>
            <w:r w:rsidRPr="00B7099A">
              <w:rPr>
                <w:rFonts w:cs="Arial"/>
                <w:color w:val="000000"/>
                <w:sz w:val="20"/>
                <w:szCs w:val="20"/>
              </w:rPr>
              <w:t>162.455.540</w:t>
            </w:r>
          </w:p>
        </w:tc>
      </w:tr>
      <w:tr w:rsidR="00E57AB7" w:rsidRPr="00B7099A" w14:paraId="0BB169BD"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0A6510DF" w14:textId="77777777" w:rsidR="00E57AB7" w:rsidRPr="00B7099A" w:rsidRDefault="00E57AB7" w:rsidP="006871BF">
            <w:pPr>
              <w:ind w:left="72"/>
              <w:jc w:val="left"/>
              <w:rPr>
                <w:rFonts w:cs="Arial"/>
                <w:color w:val="000000"/>
                <w:sz w:val="20"/>
                <w:szCs w:val="20"/>
              </w:rPr>
            </w:pPr>
            <w:r w:rsidRPr="00B7099A">
              <w:rPr>
                <w:rFonts w:cs="Arial"/>
                <w:color w:val="000000"/>
                <w:sz w:val="20"/>
                <w:szCs w:val="20"/>
              </w:rPr>
              <w:t>2850 - Fundo Estadual de Saúde - FES</w:t>
            </w:r>
          </w:p>
        </w:tc>
        <w:tc>
          <w:tcPr>
            <w:tcW w:w="961" w:type="pct"/>
            <w:tcBorders>
              <w:top w:val="nil"/>
              <w:left w:val="single" w:sz="4" w:space="0" w:color="auto"/>
              <w:bottom w:val="nil"/>
              <w:right w:val="nil"/>
            </w:tcBorders>
            <w:shd w:val="clear" w:color="auto" w:fill="auto"/>
            <w:noWrap/>
            <w:vAlign w:val="center"/>
            <w:hideMark/>
          </w:tcPr>
          <w:p w14:paraId="6244FD2C" w14:textId="77777777" w:rsidR="00E57AB7" w:rsidRPr="00B7099A" w:rsidRDefault="00E57AB7" w:rsidP="00280D6E">
            <w:pPr>
              <w:jc w:val="right"/>
              <w:rPr>
                <w:rFonts w:cs="Arial"/>
                <w:color w:val="000000"/>
                <w:sz w:val="20"/>
                <w:szCs w:val="20"/>
              </w:rPr>
            </w:pPr>
            <w:r w:rsidRPr="00B7099A">
              <w:rPr>
                <w:rFonts w:cs="Arial"/>
                <w:color w:val="000000"/>
                <w:sz w:val="20"/>
                <w:szCs w:val="20"/>
              </w:rPr>
              <w:t>53.929.617</w:t>
            </w:r>
          </w:p>
        </w:tc>
      </w:tr>
      <w:tr w:rsidR="00E57AB7" w:rsidRPr="00B7099A" w14:paraId="6FD43212"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30322897" w14:textId="21C0B64E" w:rsidR="00E57AB7" w:rsidRPr="00B7099A" w:rsidRDefault="00E57AB7" w:rsidP="006871BF">
            <w:pPr>
              <w:ind w:left="72"/>
              <w:jc w:val="left"/>
              <w:rPr>
                <w:rFonts w:cs="Arial"/>
                <w:color w:val="000000"/>
                <w:sz w:val="20"/>
                <w:szCs w:val="20"/>
              </w:rPr>
            </w:pPr>
            <w:r w:rsidRPr="00B7099A">
              <w:rPr>
                <w:rFonts w:cs="Arial"/>
                <w:color w:val="000000"/>
                <w:sz w:val="20"/>
                <w:szCs w:val="20"/>
              </w:rPr>
              <w:t xml:space="preserve">2950 - Fundo Est. de Segurança Pública - </w:t>
            </w:r>
            <w:r w:rsidR="00D97CA7" w:rsidRPr="00B7099A">
              <w:rPr>
                <w:rFonts w:cs="Arial"/>
                <w:color w:val="000000"/>
                <w:sz w:val="20"/>
                <w:szCs w:val="20"/>
              </w:rPr>
              <w:t>Funesp</w:t>
            </w:r>
          </w:p>
        </w:tc>
        <w:tc>
          <w:tcPr>
            <w:tcW w:w="961" w:type="pct"/>
            <w:tcBorders>
              <w:top w:val="nil"/>
              <w:left w:val="single" w:sz="4" w:space="0" w:color="auto"/>
              <w:bottom w:val="nil"/>
              <w:right w:val="nil"/>
            </w:tcBorders>
            <w:shd w:val="clear" w:color="auto" w:fill="auto"/>
            <w:noWrap/>
            <w:vAlign w:val="center"/>
            <w:hideMark/>
          </w:tcPr>
          <w:p w14:paraId="0F4BF3C9" w14:textId="77777777" w:rsidR="00E57AB7" w:rsidRPr="00B7099A" w:rsidRDefault="00E57AB7" w:rsidP="00280D6E">
            <w:pPr>
              <w:jc w:val="right"/>
              <w:rPr>
                <w:rFonts w:cs="Arial"/>
                <w:color w:val="000000"/>
                <w:sz w:val="20"/>
                <w:szCs w:val="20"/>
              </w:rPr>
            </w:pPr>
            <w:r w:rsidRPr="00B7099A">
              <w:rPr>
                <w:rFonts w:cs="Arial"/>
                <w:color w:val="000000"/>
                <w:sz w:val="20"/>
                <w:szCs w:val="20"/>
              </w:rPr>
              <w:t>53.694.351</w:t>
            </w:r>
          </w:p>
        </w:tc>
      </w:tr>
      <w:tr w:rsidR="00E57AB7" w:rsidRPr="00B7099A" w14:paraId="6AB67554"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3A91C464" w14:textId="77777777" w:rsidR="00E57AB7" w:rsidRPr="00B7099A" w:rsidRDefault="00E57AB7" w:rsidP="006871BF">
            <w:pPr>
              <w:ind w:left="72"/>
              <w:jc w:val="left"/>
              <w:rPr>
                <w:rFonts w:cs="Arial"/>
                <w:color w:val="000000"/>
                <w:sz w:val="20"/>
                <w:szCs w:val="20"/>
              </w:rPr>
            </w:pPr>
            <w:r w:rsidRPr="00B7099A">
              <w:rPr>
                <w:rFonts w:cs="Arial"/>
                <w:color w:val="000000"/>
                <w:sz w:val="20"/>
                <w:szCs w:val="20"/>
              </w:rPr>
              <w:t>3261 - Agência Goiana de Defesa Agropecuária</w:t>
            </w:r>
          </w:p>
        </w:tc>
        <w:tc>
          <w:tcPr>
            <w:tcW w:w="961" w:type="pct"/>
            <w:tcBorders>
              <w:top w:val="nil"/>
              <w:left w:val="single" w:sz="4" w:space="0" w:color="auto"/>
              <w:bottom w:val="nil"/>
              <w:right w:val="nil"/>
            </w:tcBorders>
            <w:shd w:val="clear" w:color="auto" w:fill="auto"/>
            <w:noWrap/>
            <w:vAlign w:val="center"/>
            <w:hideMark/>
          </w:tcPr>
          <w:p w14:paraId="052800E1" w14:textId="77777777" w:rsidR="00E57AB7" w:rsidRPr="00B7099A" w:rsidRDefault="00E57AB7" w:rsidP="00280D6E">
            <w:pPr>
              <w:jc w:val="right"/>
              <w:rPr>
                <w:rFonts w:cs="Arial"/>
                <w:color w:val="000000"/>
                <w:sz w:val="20"/>
                <w:szCs w:val="20"/>
              </w:rPr>
            </w:pPr>
            <w:r w:rsidRPr="00B7099A">
              <w:rPr>
                <w:rFonts w:cs="Arial"/>
                <w:color w:val="000000"/>
                <w:sz w:val="20"/>
                <w:szCs w:val="20"/>
              </w:rPr>
              <w:t>20.676.268</w:t>
            </w:r>
          </w:p>
        </w:tc>
      </w:tr>
      <w:tr w:rsidR="00E57AB7" w:rsidRPr="00B7099A" w14:paraId="1F13970D"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74BFFD31" w14:textId="7E71F764" w:rsidR="00E57AB7" w:rsidRPr="00B7099A" w:rsidRDefault="00E57AB7" w:rsidP="006871BF">
            <w:pPr>
              <w:ind w:left="72"/>
              <w:jc w:val="left"/>
              <w:rPr>
                <w:rFonts w:cs="Arial"/>
                <w:color w:val="000000"/>
                <w:sz w:val="20"/>
                <w:szCs w:val="20"/>
              </w:rPr>
            </w:pPr>
            <w:r w:rsidRPr="00B7099A">
              <w:rPr>
                <w:rFonts w:cs="Arial"/>
                <w:color w:val="000000"/>
                <w:sz w:val="20"/>
                <w:szCs w:val="20"/>
              </w:rPr>
              <w:t xml:space="preserve">4093 - </w:t>
            </w:r>
            <w:r w:rsidR="00D97CA7" w:rsidRPr="00B7099A">
              <w:rPr>
                <w:rFonts w:cs="Arial"/>
                <w:color w:val="000000"/>
                <w:sz w:val="20"/>
                <w:szCs w:val="20"/>
              </w:rPr>
              <w:t>Metrobus</w:t>
            </w:r>
          </w:p>
        </w:tc>
        <w:tc>
          <w:tcPr>
            <w:tcW w:w="961" w:type="pct"/>
            <w:tcBorders>
              <w:top w:val="nil"/>
              <w:left w:val="single" w:sz="4" w:space="0" w:color="auto"/>
              <w:bottom w:val="nil"/>
              <w:right w:val="nil"/>
            </w:tcBorders>
            <w:shd w:val="clear" w:color="auto" w:fill="auto"/>
            <w:noWrap/>
            <w:vAlign w:val="center"/>
            <w:hideMark/>
          </w:tcPr>
          <w:p w14:paraId="04612D4D" w14:textId="77777777" w:rsidR="00E57AB7" w:rsidRPr="00B7099A" w:rsidRDefault="00E57AB7" w:rsidP="00280D6E">
            <w:pPr>
              <w:jc w:val="right"/>
              <w:rPr>
                <w:rFonts w:cs="Arial"/>
                <w:color w:val="000000"/>
                <w:sz w:val="20"/>
                <w:szCs w:val="20"/>
              </w:rPr>
            </w:pPr>
            <w:r w:rsidRPr="00B7099A">
              <w:rPr>
                <w:rFonts w:cs="Arial"/>
                <w:color w:val="000000"/>
                <w:sz w:val="20"/>
                <w:szCs w:val="20"/>
              </w:rPr>
              <w:t>17.364.000</w:t>
            </w:r>
          </w:p>
        </w:tc>
      </w:tr>
      <w:tr w:rsidR="00E57AB7" w:rsidRPr="00B7099A" w14:paraId="3E448578"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4D968A6A" w14:textId="4AF3CCA0" w:rsidR="00E57AB7" w:rsidRPr="00B7099A" w:rsidRDefault="00E57AB7" w:rsidP="006871BF">
            <w:pPr>
              <w:ind w:left="72"/>
              <w:jc w:val="left"/>
              <w:rPr>
                <w:rFonts w:cs="Arial"/>
                <w:color w:val="000000"/>
                <w:sz w:val="20"/>
                <w:szCs w:val="20"/>
              </w:rPr>
            </w:pPr>
            <w:r w:rsidRPr="00B7099A">
              <w:rPr>
                <w:rFonts w:cs="Arial"/>
                <w:color w:val="000000"/>
                <w:sz w:val="20"/>
                <w:szCs w:val="20"/>
              </w:rPr>
              <w:t xml:space="preserve">3362 - Junta Comercial do Est. de Goiás - </w:t>
            </w:r>
            <w:r w:rsidR="00D97CA7" w:rsidRPr="00B7099A">
              <w:rPr>
                <w:rFonts w:cs="Arial"/>
                <w:color w:val="000000"/>
                <w:sz w:val="20"/>
                <w:szCs w:val="20"/>
              </w:rPr>
              <w:t>Juceg</w:t>
            </w:r>
          </w:p>
        </w:tc>
        <w:tc>
          <w:tcPr>
            <w:tcW w:w="961" w:type="pct"/>
            <w:tcBorders>
              <w:top w:val="nil"/>
              <w:left w:val="single" w:sz="4" w:space="0" w:color="auto"/>
              <w:bottom w:val="nil"/>
              <w:right w:val="nil"/>
            </w:tcBorders>
            <w:shd w:val="clear" w:color="auto" w:fill="auto"/>
            <w:noWrap/>
            <w:vAlign w:val="center"/>
            <w:hideMark/>
          </w:tcPr>
          <w:p w14:paraId="2348E34B" w14:textId="77777777" w:rsidR="00E57AB7" w:rsidRPr="00B7099A" w:rsidRDefault="00E57AB7" w:rsidP="00280D6E">
            <w:pPr>
              <w:jc w:val="right"/>
              <w:rPr>
                <w:rFonts w:cs="Arial"/>
                <w:color w:val="000000"/>
                <w:sz w:val="20"/>
                <w:szCs w:val="20"/>
              </w:rPr>
            </w:pPr>
            <w:r w:rsidRPr="00B7099A">
              <w:rPr>
                <w:rFonts w:cs="Arial"/>
                <w:color w:val="000000"/>
                <w:sz w:val="20"/>
                <w:szCs w:val="20"/>
              </w:rPr>
              <w:t>14.193.457</w:t>
            </w:r>
          </w:p>
        </w:tc>
      </w:tr>
      <w:tr w:rsidR="00E57AB7" w:rsidRPr="00B7099A" w14:paraId="455F2AB6"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65C12289" w14:textId="77777777" w:rsidR="00E57AB7" w:rsidRPr="00B7099A" w:rsidRDefault="00E57AB7" w:rsidP="006871BF">
            <w:pPr>
              <w:ind w:left="72"/>
              <w:jc w:val="left"/>
              <w:rPr>
                <w:rFonts w:cs="Arial"/>
                <w:color w:val="000000"/>
                <w:sz w:val="20"/>
                <w:szCs w:val="20"/>
              </w:rPr>
            </w:pPr>
            <w:r w:rsidRPr="00B7099A">
              <w:rPr>
                <w:rFonts w:cs="Arial"/>
                <w:color w:val="000000"/>
                <w:sz w:val="20"/>
                <w:szCs w:val="20"/>
              </w:rPr>
              <w:t>1761 - Ag. Goiana de Reg. Cont. e Fisc. S.Publ.</w:t>
            </w:r>
          </w:p>
        </w:tc>
        <w:tc>
          <w:tcPr>
            <w:tcW w:w="961" w:type="pct"/>
            <w:tcBorders>
              <w:top w:val="nil"/>
              <w:left w:val="single" w:sz="4" w:space="0" w:color="auto"/>
              <w:bottom w:val="nil"/>
              <w:right w:val="nil"/>
            </w:tcBorders>
            <w:shd w:val="clear" w:color="auto" w:fill="auto"/>
            <w:noWrap/>
            <w:vAlign w:val="center"/>
            <w:hideMark/>
          </w:tcPr>
          <w:p w14:paraId="3D56C8B9" w14:textId="77777777" w:rsidR="00E57AB7" w:rsidRPr="00B7099A" w:rsidRDefault="00E57AB7" w:rsidP="00280D6E">
            <w:pPr>
              <w:jc w:val="right"/>
              <w:rPr>
                <w:rFonts w:cs="Arial"/>
                <w:color w:val="000000"/>
                <w:sz w:val="20"/>
                <w:szCs w:val="20"/>
              </w:rPr>
            </w:pPr>
            <w:r w:rsidRPr="00B7099A">
              <w:rPr>
                <w:rFonts w:cs="Arial"/>
                <w:color w:val="000000"/>
                <w:sz w:val="20"/>
                <w:szCs w:val="20"/>
              </w:rPr>
              <w:t>13.191.984</w:t>
            </w:r>
          </w:p>
        </w:tc>
      </w:tr>
      <w:tr w:rsidR="00E57AB7" w:rsidRPr="00B7099A" w14:paraId="031276B6"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6EF66939" w14:textId="77777777" w:rsidR="00E57AB7" w:rsidRPr="00B7099A" w:rsidRDefault="00E57AB7" w:rsidP="006871BF">
            <w:pPr>
              <w:ind w:left="72"/>
              <w:jc w:val="left"/>
              <w:rPr>
                <w:rFonts w:cs="Arial"/>
                <w:color w:val="000000"/>
                <w:sz w:val="20"/>
                <w:szCs w:val="20"/>
              </w:rPr>
            </w:pPr>
            <w:r w:rsidRPr="00B7099A">
              <w:rPr>
                <w:rFonts w:cs="Arial"/>
                <w:color w:val="000000"/>
                <w:sz w:val="20"/>
                <w:szCs w:val="20"/>
              </w:rPr>
              <w:t>2550 - Fundo de Arte e Cultura de Goiás</w:t>
            </w:r>
          </w:p>
        </w:tc>
        <w:tc>
          <w:tcPr>
            <w:tcW w:w="961" w:type="pct"/>
            <w:tcBorders>
              <w:top w:val="nil"/>
              <w:left w:val="single" w:sz="4" w:space="0" w:color="auto"/>
              <w:bottom w:val="nil"/>
              <w:right w:val="nil"/>
            </w:tcBorders>
            <w:shd w:val="clear" w:color="auto" w:fill="auto"/>
            <w:noWrap/>
            <w:vAlign w:val="center"/>
            <w:hideMark/>
          </w:tcPr>
          <w:p w14:paraId="7E2F9921" w14:textId="77777777" w:rsidR="00E57AB7" w:rsidRPr="00B7099A" w:rsidRDefault="00E57AB7" w:rsidP="00280D6E">
            <w:pPr>
              <w:jc w:val="right"/>
              <w:rPr>
                <w:rFonts w:cs="Arial"/>
                <w:color w:val="000000"/>
                <w:sz w:val="20"/>
                <w:szCs w:val="20"/>
              </w:rPr>
            </w:pPr>
            <w:r w:rsidRPr="00B7099A">
              <w:rPr>
                <w:rFonts w:cs="Arial"/>
                <w:color w:val="000000"/>
                <w:sz w:val="20"/>
                <w:szCs w:val="20"/>
              </w:rPr>
              <w:t>11.171.154</w:t>
            </w:r>
          </w:p>
        </w:tc>
      </w:tr>
      <w:tr w:rsidR="00E57AB7" w:rsidRPr="00B7099A" w14:paraId="313CBBEB"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7660D0FF" w14:textId="77777777" w:rsidR="00E57AB7" w:rsidRPr="00B7099A" w:rsidRDefault="00E57AB7" w:rsidP="006871BF">
            <w:pPr>
              <w:ind w:left="72"/>
              <w:jc w:val="left"/>
              <w:rPr>
                <w:rFonts w:cs="Arial"/>
                <w:color w:val="000000"/>
                <w:sz w:val="20"/>
                <w:szCs w:val="20"/>
              </w:rPr>
            </w:pPr>
            <w:r w:rsidRPr="00B7099A">
              <w:rPr>
                <w:rFonts w:cs="Arial"/>
                <w:color w:val="000000"/>
                <w:sz w:val="20"/>
                <w:szCs w:val="20"/>
              </w:rPr>
              <w:t>2953 - FUNEBOM</w:t>
            </w:r>
          </w:p>
        </w:tc>
        <w:tc>
          <w:tcPr>
            <w:tcW w:w="961" w:type="pct"/>
            <w:tcBorders>
              <w:top w:val="nil"/>
              <w:left w:val="single" w:sz="4" w:space="0" w:color="auto"/>
              <w:bottom w:val="nil"/>
              <w:right w:val="nil"/>
            </w:tcBorders>
            <w:shd w:val="clear" w:color="auto" w:fill="auto"/>
            <w:noWrap/>
            <w:vAlign w:val="center"/>
            <w:hideMark/>
          </w:tcPr>
          <w:p w14:paraId="7B3EBF45" w14:textId="77777777" w:rsidR="00E57AB7" w:rsidRPr="00B7099A" w:rsidRDefault="00E57AB7" w:rsidP="00280D6E">
            <w:pPr>
              <w:jc w:val="right"/>
              <w:rPr>
                <w:rFonts w:cs="Arial"/>
                <w:color w:val="000000"/>
                <w:sz w:val="20"/>
                <w:szCs w:val="20"/>
              </w:rPr>
            </w:pPr>
            <w:r w:rsidRPr="00B7099A">
              <w:rPr>
                <w:rFonts w:cs="Arial"/>
                <w:color w:val="000000"/>
                <w:sz w:val="20"/>
                <w:szCs w:val="20"/>
              </w:rPr>
              <w:t>10.609.411</w:t>
            </w:r>
          </w:p>
        </w:tc>
      </w:tr>
      <w:tr w:rsidR="00E57AB7" w:rsidRPr="00B7099A" w14:paraId="3797154D"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0201F7F9" w14:textId="3D88A00E" w:rsidR="00E57AB7" w:rsidRPr="00B7099A" w:rsidRDefault="00E57AB7" w:rsidP="006871BF">
            <w:pPr>
              <w:ind w:left="72"/>
              <w:jc w:val="left"/>
              <w:rPr>
                <w:rFonts w:cs="Arial"/>
                <w:color w:val="000000"/>
                <w:sz w:val="20"/>
                <w:szCs w:val="20"/>
              </w:rPr>
            </w:pPr>
            <w:r w:rsidRPr="00B7099A">
              <w:rPr>
                <w:rFonts w:cs="Arial"/>
                <w:color w:val="000000"/>
                <w:sz w:val="20"/>
                <w:szCs w:val="20"/>
              </w:rPr>
              <w:t xml:space="preserve">3350 - Fundo Part. à Industrialização - </w:t>
            </w:r>
            <w:r w:rsidR="00EE3568" w:rsidRPr="00B7099A">
              <w:rPr>
                <w:rFonts w:cs="Arial"/>
                <w:color w:val="000000"/>
                <w:sz w:val="20"/>
                <w:szCs w:val="20"/>
              </w:rPr>
              <w:t>Fomentar</w:t>
            </w:r>
          </w:p>
        </w:tc>
        <w:tc>
          <w:tcPr>
            <w:tcW w:w="961" w:type="pct"/>
            <w:tcBorders>
              <w:top w:val="nil"/>
              <w:left w:val="single" w:sz="4" w:space="0" w:color="auto"/>
              <w:bottom w:val="nil"/>
              <w:right w:val="nil"/>
            </w:tcBorders>
            <w:shd w:val="clear" w:color="auto" w:fill="auto"/>
            <w:noWrap/>
            <w:vAlign w:val="center"/>
            <w:hideMark/>
          </w:tcPr>
          <w:p w14:paraId="2092B784" w14:textId="77777777" w:rsidR="00E57AB7" w:rsidRPr="00B7099A" w:rsidRDefault="00E57AB7" w:rsidP="00280D6E">
            <w:pPr>
              <w:jc w:val="right"/>
              <w:rPr>
                <w:rFonts w:cs="Arial"/>
                <w:color w:val="000000"/>
                <w:sz w:val="20"/>
                <w:szCs w:val="20"/>
              </w:rPr>
            </w:pPr>
            <w:r w:rsidRPr="00B7099A">
              <w:rPr>
                <w:rFonts w:cs="Arial"/>
                <w:color w:val="000000"/>
                <w:sz w:val="20"/>
                <w:szCs w:val="20"/>
              </w:rPr>
              <w:t>9.919.147</w:t>
            </w:r>
          </w:p>
        </w:tc>
      </w:tr>
      <w:tr w:rsidR="00E57AB7" w:rsidRPr="00B7099A" w14:paraId="2E920BB9"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3A190D5B" w14:textId="77777777" w:rsidR="00E57AB7" w:rsidRPr="00B7099A" w:rsidRDefault="00E57AB7" w:rsidP="006871BF">
            <w:pPr>
              <w:ind w:left="72"/>
              <w:jc w:val="left"/>
              <w:rPr>
                <w:rFonts w:cs="Arial"/>
                <w:color w:val="000000"/>
                <w:sz w:val="20"/>
                <w:szCs w:val="20"/>
              </w:rPr>
            </w:pPr>
            <w:r w:rsidRPr="00B7099A">
              <w:rPr>
                <w:rFonts w:cs="Arial"/>
                <w:color w:val="000000"/>
                <w:sz w:val="20"/>
                <w:szCs w:val="20"/>
              </w:rPr>
              <w:t>3162 - UEG</w:t>
            </w:r>
          </w:p>
        </w:tc>
        <w:tc>
          <w:tcPr>
            <w:tcW w:w="961" w:type="pct"/>
            <w:tcBorders>
              <w:top w:val="nil"/>
              <w:left w:val="single" w:sz="4" w:space="0" w:color="auto"/>
              <w:bottom w:val="nil"/>
              <w:right w:val="nil"/>
            </w:tcBorders>
            <w:shd w:val="clear" w:color="auto" w:fill="auto"/>
            <w:noWrap/>
            <w:vAlign w:val="center"/>
            <w:hideMark/>
          </w:tcPr>
          <w:p w14:paraId="6E22227D" w14:textId="77777777" w:rsidR="00E57AB7" w:rsidRPr="00B7099A" w:rsidRDefault="00E57AB7" w:rsidP="00280D6E">
            <w:pPr>
              <w:jc w:val="right"/>
              <w:rPr>
                <w:rFonts w:cs="Arial"/>
                <w:color w:val="000000"/>
                <w:sz w:val="20"/>
                <w:szCs w:val="20"/>
              </w:rPr>
            </w:pPr>
            <w:r w:rsidRPr="00B7099A">
              <w:rPr>
                <w:rFonts w:cs="Arial"/>
                <w:color w:val="000000"/>
                <w:sz w:val="20"/>
                <w:szCs w:val="20"/>
              </w:rPr>
              <w:t>7.189.149</w:t>
            </w:r>
          </w:p>
        </w:tc>
      </w:tr>
      <w:tr w:rsidR="00E57AB7" w:rsidRPr="00B7099A" w14:paraId="473E5ECB"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33D88ADB" w14:textId="76927197" w:rsidR="00EE3568" w:rsidRPr="00B7099A" w:rsidRDefault="00E57AB7" w:rsidP="003337E8">
            <w:pPr>
              <w:ind w:left="72"/>
              <w:jc w:val="left"/>
              <w:rPr>
                <w:rFonts w:cs="Arial"/>
                <w:color w:val="000000"/>
                <w:sz w:val="20"/>
                <w:szCs w:val="20"/>
              </w:rPr>
            </w:pPr>
            <w:r w:rsidRPr="00B7099A">
              <w:rPr>
                <w:rFonts w:cs="Arial"/>
                <w:color w:val="000000"/>
                <w:sz w:val="20"/>
                <w:szCs w:val="20"/>
              </w:rPr>
              <w:t xml:space="preserve">3161 </w:t>
            </w:r>
            <w:r w:rsidR="00EE3568" w:rsidRPr="00B7099A">
              <w:rPr>
                <w:rFonts w:cs="Arial"/>
                <w:color w:val="000000"/>
                <w:sz w:val="20"/>
                <w:szCs w:val="20"/>
              </w:rPr>
              <w:t>–</w:t>
            </w:r>
            <w:r w:rsidRPr="00B7099A">
              <w:rPr>
                <w:rFonts w:cs="Arial"/>
                <w:color w:val="000000"/>
                <w:sz w:val="20"/>
                <w:szCs w:val="20"/>
              </w:rPr>
              <w:t xml:space="preserve"> F</w:t>
            </w:r>
            <w:r w:rsidR="00EE3568" w:rsidRPr="00B7099A">
              <w:rPr>
                <w:rFonts w:cs="Arial"/>
                <w:color w:val="000000"/>
                <w:sz w:val="20"/>
                <w:szCs w:val="20"/>
              </w:rPr>
              <w:t>apeg</w:t>
            </w:r>
          </w:p>
        </w:tc>
        <w:tc>
          <w:tcPr>
            <w:tcW w:w="961" w:type="pct"/>
            <w:tcBorders>
              <w:top w:val="nil"/>
              <w:left w:val="single" w:sz="4" w:space="0" w:color="auto"/>
              <w:bottom w:val="nil"/>
              <w:right w:val="nil"/>
            </w:tcBorders>
            <w:shd w:val="clear" w:color="auto" w:fill="auto"/>
            <w:noWrap/>
            <w:vAlign w:val="center"/>
            <w:hideMark/>
          </w:tcPr>
          <w:p w14:paraId="1553B473" w14:textId="77777777" w:rsidR="00E57AB7" w:rsidRPr="00B7099A" w:rsidRDefault="00E57AB7" w:rsidP="00280D6E">
            <w:pPr>
              <w:jc w:val="right"/>
              <w:rPr>
                <w:rFonts w:cs="Arial"/>
                <w:color w:val="000000"/>
                <w:sz w:val="20"/>
                <w:szCs w:val="20"/>
              </w:rPr>
            </w:pPr>
            <w:r w:rsidRPr="00B7099A">
              <w:rPr>
                <w:rFonts w:cs="Arial"/>
                <w:color w:val="000000"/>
                <w:sz w:val="20"/>
                <w:szCs w:val="20"/>
              </w:rPr>
              <w:t>6.298.978</w:t>
            </w:r>
          </w:p>
        </w:tc>
      </w:tr>
      <w:tr w:rsidR="00E57AB7" w:rsidRPr="00B7099A" w14:paraId="11EAE319"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3EC7625F" w14:textId="30180CC0" w:rsidR="00E57AB7" w:rsidRPr="00B7099A" w:rsidRDefault="00E57AB7" w:rsidP="006871BF">
            <w:pPr>
              <w:ind w:left="72"/>
              <w:jc w:val="left"/>
              <w:rPr>
                <w:rFonts w:cs="Arial"/>
                <w:color w:val="000000"/>
                <w:sz w:val="20"/>
                <w:szCs w:val="20"/>
              </w:rPr>
            </w:pPr>
            <w:r w:rsidRPr="00B7099A">
              <w:rPr>
                <w:rFonts w:cs="Arial"/>
                <w:color w:val="000000"/>
                <w:sz w:val="20"/>
                <w:szCs w:val="20"/>
              </w:rPr>
              <w:t xml:space="preserve">1752 - Fundo de Aporte à </w:t>
            </w:r>
            <w:r w:rsidR="00EE3568" w:rsidRPr="00B7099A">
              <w:rPr>
                <w:rFonts w:cs="Arial"/>
                <w:color w:val="000000"/>
                <w:sz w:val="20"/>
                <w:szCs w:val="20"/>
              </w:rPr>
              <w:t>Celg</w:t>
            </w:r>
            <w:r w:rsidRPr="00B7099A">
              <w:rPr>
                <w:rFonts w:cs="Arial"/>
                <w:color w:val="000000"/>
                <w:sz w:val="20"/>
                <w:szCs w:val="20"/>
              </w:rPr>
              <w:t xml:space="preserve"> D. S.A - </w:t>
            </w:r>
            <w:r w:rsidR="00EE3568" w:rsidRPr="00B7099A">
              <w:rPr>
                <w:rFonts w:cs="Arial"/>
                <w:color w:val="000000"/>
                <w:sz w:val="20"/>
                <w:szCs w:val="20"/>
              </w:rPr>
              <w:t>Funac</w:t>
            </w:r>
          </w:p>
        </w:tc>
        <w:tc>
          <w:tcPr>
            <w:tcW w:w="961" w:type="pct"/>
            <w:tcBorders>
              <w:top w:val="nil"/>
              <w:left w:val="single" w:sz="4" w:space="0" w:color="auto"/>
              <w:bottom w:val="nil"/>
              <w:right w:val="nil"/>
            </w:tcBorders>
            <w:shd w:val="clear" w:color="auto" w:fill="auto"/>
            <w:noWrap/>
            <w:vAlign w:val="center"/>
            <w:hideMark/>
          </w:tcPr>
          <w:p w14:paraId="02159B13" w14:textId="77777777" w:rsidR="00E57AB7" w:rsidRPr="00B7099A" w:rsidRDefault="00E57AB7" w:rsidP="00280D6E">
            <w:pPr>
              <w:jc w:val="right"/>
              <w:rPr>
                <w:rFonts w:cs="Arial"/>
                <w:color w:val="000000"/>
                <w:sz w:val="20"/>
                <w:szCs w:val="20"/>
              </w:rPr>
            </w:pPr>
            <w:r w:rsidRPr="00B7099A">
              <w:rPr>
                <w:rFonts w:cs="Arial"/>
                <w:color w:val="000000"/>
                <w:sz w:val="20"/>
                <w:szCs w:val="20"/>
              </w:rPr>
              <w:t>5.755.573</w:t>
            </w:r>
          </w:p>
        </w:tc>
      </w:tr>
      <w:tr w:rsidR="00E57AB7" w:rsidRPr="00B7099A" w14:paraId="5F4109C0"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7B16FC97" w14:textId="43FACB05" w:rsidR="00E57AB7" w:rsidRPr="00B7099A" w:rsidRDefault="00E57AB7" w:rsidP="006871BF">
            <w:pPr>
              <w:ind w:left="72"/>
              <w:jc w:val="left"/>
              <w:rPr>
                <w:rFonts w:cs="Arial"/>
                <w:color w:val="000000"/>
                <w:sz w:val="20"/>
                <w:szCs w:val="20"/>
              </w:rPr>
            </w:pPr>
            <w:r w:rsidRPr="00B7099A">
              <w:rPr>
                <w:rFonts w:cs="Arial"/>
                <w:color w:val="000000"/>
                <w:sz w:val="20"/>
                <w:szCs w:val="20"/>
              </w:rPr>
              <w:t xml:space="preserve">4063 - </w:t>
            </w:r>
            <w:r w:rsidR="00EE3568" w:rsidRPr="00B7099A">
              <w:rPr>
                <w:rFonts w:cs="Arial"/>
                <w:color w:val="000000"/>
                <w:sz w:val="20"/>
                <w:szCs w:val="20"/>
              </w:rPr>
              <w:t>Goinfra</w:t>
            </w:r>
          </w:p>
        </w:tc>
        <w:tc>
          <w:tcPr>
            <w:tcW w:w="961" w:type="pct"/>
            <w:tcBorders>
              <w:top w:val="nil"/>
              <w:left w:val="single" w:sz="4" w:space="0" w:color="auto"/>
              <w:bottom w:val="nil"/>
              <w:right w:val="nil"/>
            </w:tcBorders>
            <w:shd w:val="clear" w:color="auto" w:fill="auto"/>
            <w:noWrap/>
            <w:vAlign w:val="center"/>
            <w:hideMark/>
          </w:tcPr>
          <w:p w14:paraId="3BE51AC7" w14:textId="77777777" w:rsidR="00E57AB7" w:rsidRPr="00B7099A" w:rsidRDefault="00E57AB7" w:rsidP="00280D6E">
            <w:pPr>
              <w:jc w:val="right"/>
              <w:rPr>
                <w:rFonts w:cs="Arial"/>
                <w:color w:val="000000"/>
                <w:sz w:val="20"/>
                <w:szCs w:val="20"/>
              </w:rPr>
            </w:pPr>
            <w:r w:rsidRPr="00B7099A">
              <w:rPr>
                <w:rFonts w:cs="Arial"/>
                <w:color w:val="000000"/>
                <w:sz w:val="20"/>
                <w:szCs w:val="20"/>
              </w:rPr>
              <w:t>5.309.998</w:t>
            </w:r>
          </w:p>
        </w:tc>
      </w:tr>
      <w:tr w:rsidR="00E57AB7" w:rsidRPr="00B7099A" w14:paraId="7EEE2B1C"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5D1FF333" w14:textId="5AF36E5C" w:rsidR="00E57AB7" w:rsidRPr="00B7099A" w:rsidRDefault="00E57AB7" w:rsidP="006871BF">
            <w:pPr>
              <w:ind w:left="72"/>
              <w:jc w:val="left"/>
              <w:rPr>
                <w:rFonts w:cs="Arial"/>
                <w:color w:val="000000"/>
                <w:sz w:val="20"/>
                <w:szCs w:val="20"/>
              </w:rPr>
            </w:pPr>
            <w:r w:rsidRPr="00B7099A">
              <w:rPr>
                <w:rFonts w:cs="Arial"/>
                <w:color w:val="000000"/>
                <w:sz w:val="20"/>
                <w:szCs w:val="20"/>
              </w:rPr>
              <w:t xml:space="preserve">4094 - </w:t>
            </w:r>
            <w:r w:rsidR="00EE3568" w:rsidRPr="00B7099A">
              <w:rPr>
                <w:rFonts w:cs="Arial"/>
                <w:color w:val="000000"/>
                <w:sz w:val="20"/>
                <w:szCs w:val="20"/>
              </w:rPr>
              <w:t>Agehab</w:t>
            </w:r>
          </w:p>
        </w:tc>
        <w:tc>
          <w:tcPr>
            <w:tcW w:w="961" w:type="pct"/>
            <w:tcBorders>
              <w:top w:val="nil"/>
              <w:left w:val="single" w:sz="4" w:space="0" w:color="auto"/>
              <w:bottom w:val="nil"/>
              <w:right w:val="nil"/>
            </w:tcBorders>
            <w:shd w:val="clear" w:color="auto" w:fill="auto"/>
            <w:noWrap/>
            <w:vAlign w:val="center"/>
            <w:hideMark/>
          </w:tcPr>
          <w:p w14:paraId="2DC1CD4F" w14:textId="77777777" w:rsidR="00E57AB7" w:rsidRPr="00B7099A" w:rsidRDefault="00E57AB7" w:rsidP="00280D6E">
            <w:pPr>
              <w:jc w:val="right"/>
              <w:rPr>
                <w:rFonts w:cs="Arial"/>
                <w:color w:val="000000"/>
                <w:sz w:val="20"/>
                <w:szCs w:val="20"/>
              </w:rPr>
            </w:pPr>
            <w:r w:rsidRPr="00B7099A">
              <w:rPr>
                <w:rFonts w:cs="Arial"/>
                <w:color w:val="000000"/>
                <w:sz w:val="20"/>
                <w:szCs w:val="20"/>
              </w:rPr>
              <w:t>3.638.293</w:t>
            </w:r>
          </w:p>
        </w:tc>
      </w:tr>
      <w:tr w:rsidR="00E57AB7" w:rsidRPr="00B7099A" w14:paraId="5B4B4F6C"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11F8C218" w14:textId="77777777" w:rsidR="00E57AB7" w:rsidRPr="00B7099A" w:rsidRDefault="00E57AB7" w:rsidP="006871BF">
            <w:pPr>
              <w:ind w:left="72"/>
              <w:jc w:val="left"/>
              <w:rPr>
                <w:rFonts w:cs="Arial"/>
                <w:color w:val="000000"/>
                <w:sz w:val="20"/>
                <w:szCs w:val="20"/>
              </w:rPr>
            </w:pPr>
            <w:r w:rsidRPr="00B7099A">
              <w:rPr>
                <w:rFonts w:cs="Arial"/>
                <w:color w:val="000000"/>
                <w:sz w:val="20"/>
                <w:szCs w:val="20"/>
              </w:rPr>
              <w:t>4080 - Fundo Constitucional de Transportes</w:t>
            </w:r>
          </w:p>
        </w:tc>
        <w:tc>
          <w:tcPr>
            <w:tcW w:w="961" w:type="pct"/>
            <w:tcBorders>
              <w:top w:val="nil"/>
              <w:left w:val="single" w:sz="4" w:space="0" w:color="auto"/>
              <w:bottom w:val="nil"/>
              <w:right w:val="nil"/>
            </w:tcBorders>
            <w:shd w:val="clear" w:color="auto" w:fill="auto"/>
            <w:noWrap/>
            <w:vAlign w:val="center"/>
            <w:hideMark/>
          </w:tcPr>
          <w:p w14:paraId="0F3ABC02" w14:textId="77777777" w:rsidR="00E57AB7" w:rsidRPr="00B7099A" w:rsidRDefault="00E57AB7" w:rsidP="00280D6E">
            <w:pPr>
              <w:jc w:val="right"/>
              <w:rPr>
                <w:rFonts w:cs="Arial"/>
                <w:color w:val="000000"/>
                <w:sz w:val="20"/>
                <w:szCs w:val="20"/>
              </w:rPr>
            </w:pPr>
            <w:r w:rsidRPr="00B7099A">
              <w:rPr>
                <w:rFonts w:cs="Arial"/>
                <w:color w:val="000000"/>
                <w:sz w:val="20"/>
                <w:szCs w:val="20"/>
              </w:rPr>
              <w:t>2.975.160</w:t>
            </w:r>
          </w:p>
        </w:tc>
      </w:tr>
      <w:tr w:rsidR="00E57AB7" w:rsidRPr="00B7099A" w14:paraId="3EDBD156"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7332D300" w14:textId="77777777" w:rsidR="00E57AB7" w:rsidRPr="00B7099A" w:rsidRDefault="00E57AB7" w:rsidP="006871BF">
            <w:pPr>
              <w:ind w:left="72"/>
              <w:jc w:val="left"/>
              <w:rPr>
                <w:rFonts w:cs="Arial"/>
                <w:color w:val="000000"/>
                <w:sz w:val="20"/>
                <w:szCs w:val="20"/>
              </w:rPr>
            </w:pPr>
            <w:r w:rsidRPr="00B7099A">
              <w:rPr>
                <w:rFonts w:cs="Arial"/>
                <w:color w:val="000000"/>
                <w:sz w:val="20"/>
                <w:szCs w:val="20"/>
              </w:rPr>
              <w:t>3361 - Agência Estadual de Turismo</w:t>
            </w:r>
          </w:p>
        </w:tc>
        <w:tc>
          <w:tcPr>
            <w:tcW w:w="961" w:type="pct"/>
            <w:tcBorders>
              <w:top w:val="nil"/>
              <w:left w:val="single" w:sz="4" w:space="0" w:color="auto"/>
              <w:bottom w:val="nil"/>
              <w:right w:val="nil"/>
            </w:tcBorders>
            <w:shd w:val="clear" w:color="auto" w:fill="auto"/>
            <w:noWrap/>
            <w:vAlign w:val="center"/>
            <w:hideMark/>
          </w:tcPr>
          <w:p w14:paraId="7FD58EFF" w14:textId="77777777" w:rsidR="00E57AB7" w:rsidRPr="00B7099A" w:rsidRDefault="00E57AB7" w:rsidP="00280D6E">
            <w:pPr>
              <w:jc w:val="right"/>
              <w:rPr>
                <w:rFonts w:cs="Arial"/>
                <w:color w:val="000000"/>
                <w:sz w:val="20"/>
                <w:szCs w:val="20"/>
              </w:rPr>
            </w:pPr>
            <w:r w:rsidRPr="00B7099A">
              <w:rPr>
                <w:rFonts w:cs="Arial"/>
                <w:color w:val="000000"/>
                <w:sz w:val="20"/>
                <w:szCs w:val="20"/>
              </w:rPr>
              <w:t>1.673.501</w:t>
            </w:r>
          </w:p>
        </w:tc>
      </w:tr>
      <w:tr w:rsidR="00E57AB7" w:rsidRPr="00B7099A" w14:paraId="65DE69DB"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11FA9E19" w14:textId="77777777" w:rsidR="00E57AB7" w:rsidRPr="00B7099A" w:rsidRDefault="00E57AB7" w:rsidP="006871BF">
            <w:pPr>
              <w:ind w:left="72"/>
              <w:jc w:val="left"/>
              <w:rPr>
                <w:rFonts w:cs="Arial"/>
                <w:color w:val="000000"/>
                <w:sz w:val="20"/>
                <w:szCs w:val="20"/>
              </w:rPr>
            </w:pPr>
            <w:r w:rsidRPr="00B7099A">
              <w:rPr>
                <w:rFonts w:cs="Arial"/>
                <w:color w:val="000000"/>
                <w:sz w:val="20"/>
                <w:szCs w:val="20"/>
              </w:rPr>
              <w:lastRenderedPageBreak/>
              <w:t>1261 - Agência Brasil Central – ABC</w:t>
            </w:r>
          </w:p>
        </w:tc>
        <w:tc>
          <w:tcPr>
            <w:tcW w:w="961" w:type="pct"/>
            <w:tcBorders>
              <w:top w:val="nil"/>
              <w:left w:val="single" w:sz="4" w:space="0" w:color="auto"/>
              <w:bottom w:val="nil"/>
              <w:right w:val="nil"/>
            </w:tcBorders>
            <w:shd w:val="clear" w:color="auto" w:fill="auto"/>
            <w:noWrap/>
            <w:vAlign w:val="center"/>
            <w:hideMark/>
          </w:tcPr>
          <w:p w14:paraId="568FCDFE" w14:textId="77777777" w:rsidR="00E57AB7" w:rsidRPr="00B7099A" w:rsidRDefault="00E57AB7" w:rsidP="00280D6E">
            <w:pPr>
              <w:jc w:val="right"/>
              <w:rPr>
                <w:rFonts w:cs="Arial"/>
                <w:color w:val="000000"/>
                <w:sz w:val="20"/>
                <w:szCs w:val="20"/>
              </w:rPr>
            </w:pPr>
            <w:r w:rsidRPr="00B7099A">
              <w:rPr>
                <w:rFonts w:cs="Arial"/>
                <w:color w:val="000000"/>
                <w:sz w:val="20"/>
                <w:szCs w:val="20"/>
              </w:rPr>
              <w:t>568.166</w:t>
            </w:r>
          </w:p>
        </w:tc>
      </w:tr>
      <w:tr w:rsidR="00E57AB7" w:rsidRPr="00B7099A" w14:paraId="46AF056A"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208FD592" w14:textId="012791BB" w:rsidR="00E57AB7" w:rsidRPr="00B7099A" w:rsidRDefault="00E57AB7" w:rsidP="006871BF">
            <w:pPr>
              <w:ind w:left="72"/>
              <w:jc w:val="left"/>
              <w:rPr>
                <w:rFonts w:cs="Arial"/>
                <w:color w:val="000000"/>
                <w:sz w:val="20"/>
                <w:szCs w:val="20"/>
              </w:rPr>
            </w:pPr>
            <w:r w:rsidRPr="00B7099A">
              <w:rPr>
                <w:rFonts w:cs="Arial"/>
                <w:color w:val="000000"/>
                <w:sz w:val="20"/>
                <w:szCs w:val="20"/>
              </w:rPr>
              <w:t xml:space="preserve">3262 - </w:t>
            </w:r>
            <w:r w:rsidR="00EE3568" w:rsidRPr="00B7099A">
              <w:rPr>
                <w:rFonts w:cs="Arial"/>
                <w:color w:val="000000"/>
                <w:sz w:val="20"/>
                <w:szCs w:val="20"/>
              </w:rPr>
              <w:t>Emater</w:t>
            </w:r>
          </w:p>
        </w:tc>
        <w:tc>
          <w:tcPr>
            <w:tcW w:w="961" w:type="pct"/>
            <w:tcBorders>
              <w:top w:val="nil"/>
              <w:left w:val="single" w:sz="4" w:space="0" w:color="auto"/>
              <w:bottom w:val="nil"/>
              <w:right w:val="nil"/>
            </w:tcBorders>
            <w:shd w:val="clear" w:color="auto" w:fill="auto"/>
            <w:noWrap/>
            <w:vAlign w:val="center"/>
            <w:hideMark/>
          </w:tcPr>
          <w:p w14:paraId="490101CE" w14:textId="77777777" w:rsidR="00E57AB7" w:rsidRPr="00B7099A" w:rsidRDefault="00E57AB7" w:rsidP="00280D6E">
            <w:pPr>
              <w:jc w:val="right"/>
              <w:rPr>
                <w:rFonts w:cs="Arial"/>
                <w:color w:val="000000"/>
                <w:sz w:val="20"/>
                <w:szCs w:val="20"/>
              </w:rPr>
            </w:pPr>
            <w:r w:rsidRPr="00B7099A">
              <w:rPr>
                <w:rFonts w:cs="Arial"/>
                <w:color w:val="000000"/>
                <w:sz w:val="20"/>
                <w:szCs w:val="20"/>
              </w:rPr>
              <w:t>356.190</w:t>
            </w:r>
          </w:p>
        </w:tc>
      </w:tr>
      <w:tr w:rsidR="00E57AB7" w:rsidRPr="00B7099A" w14:paraId="2E6ED3FB"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436F9B95" w14:textId="77777777" w:rsidR="00E57AB7" w:rsidRPr="00B7099A" w:rsidRDefault="00E57AB7" w:rsidP="006871BF">
            <w:pPr>
              <w:ind w:left="72"/>
              <w:jc w:val="left"/>
              <w:rPr>
                <w:rFonts w:cs="Arial"/>
                <w:color w:val="000000"/>
                <w:sz w:val="20"/>
                <w:szCs w:val="20"/>
              </w:rPr>
            </w:pPr>
            <w:r w:rsidRPr="00B7099A">
              <w:rPr>
                <w:rFonts w:cs="Arial"/>
                <w:color w:val="000000"/>
                <w:sz w:val="20"/>
                <w:szCs w:val="20"/>
              </w:rPr>
              <w:t>2954 - Fundo de Reap. e Aperf. da PM</w:t>
            </w:r>
          </w:p>
        </w:tc>
        <w:tc>
          <w:tcPr>
            <w:tcW w:w="961" w:type="pct"/>
            <w:tcBorders>
              <w:top w:val="nil"/>
              <w:left w:val="single" w:sz="4" w:space="0" w:color="auto"/>
              <w:bottom w:val="nil"/>
              <w:right w:val="nil"/>
            </w:tcBorders>
            <w:shd w:val="clear" w:color="auto" w:fill="auto"/>
            <w:noWrap/>
            <w:vAlign w:val="center"/>
            <w:hideMark/>
          </w:tcPr>
          <w:p w14:paraId="2BB0886F" w14:textId="77777777" w:rsidR="00E57AB7" w:rsidRPr="00B7099A" w:rsidRDefault="00E57AB7" w:rsidP="00280D6E">
            <w:pPr>
              <w:jc w:val="right"/>
              <w:rPr>
                <w:rFonts w:cs="Arial"/>
                <w:color w:val="000000"/>
                <w:sz w:val="20"/>
                <w:szCs w:val="20"/>
              </w:rPr>
            </w:pPr>
            <w:r w:rsidRPr="00B7099A">
              <w:rPr>
                <w:rFonts w:cs="Arial"/>
                <w:color w:val="000000"/>
                <w:sz w:val="20"/>
                <w:szCs w:val="20"/>
              </w:rPr>
              <w:t>248.038</w:t>
            </w:r>
          </w:p>
        </w:tc>
      </w:tr>
      <w:tr w:rsidR="00E57AB7" w:rsidRPr="00B7099A" w14:paraId="1ED2D4B3"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6CC70CDD" w14:textId="671A72F7" w:rsidR="00E57AB7" w:rsidRPr="00B7099A" w:rsidRDefault="00E57AB7" w:rsidP="006871BF">
            <w:pPr>
              <w:ind w:left="72"/>
              <w:jc w:val="left"/>
              <w:rPr>
                <w:rFonts w:cs="Arial"/>
                <w:color w:val="000000"/>
                <w:sz w:val="20"/>
                <w:szCs w:val="20"/>
              </w:rPr>
            </w:pPr>
            <w:r w:rsidRPr="00B7099A">
              <w:rPr>
                <w:rFonts w:cs="Arial"/>
                <w:color w:val="000000"/>
                <w:sz w:val="20"/>
                <w:szCs w:val="20"/>
              </w:rPr>
              <w:t xml:space="preserve">2951 - Fundo Penitenciário Estadual - </w:t>
            </w:r>
            <w:r w:rsidR="00EE3568" w:rsidRPr="00B7099A">
              <w:rPr>
                <w:rFonts w:cs="Arial"/>
                <w:color w:val="000000"/>
                <w:sz w:val="20"/>
                <w:szCs w:val="20"/>
              </w:rPr>
              <w:t>Funpes</w:t>
            </w:r>
          </w:p>
        </w:tc>
        <w:tc>
          <w:tcPr>
            <w:tcW w:w="961" w:type="pct"/>
            <w:tcBorders>
              <w:top w:val="nil"/>
              <w:left w:val="single" w:sz="4" w:space="0" w:color="auto"/>
              <w:bottom w:val="nil"/>
              <w:right w:val="nil"/>
            </w:tcBorders>
            <w:shd w:val="clear" w:color="auto" w:fill="auto"/>
            <w:noWrap/>
            <w:vAlign w:val="center"/>
            <w:hideMark/>
          </w:tcPr>
          <w:p w14:paraId="2B455B78" w14:textId="77777777" w:rsidR="00E57AB7" w:rsidRPr="00B7099A" w:rsidRDefault="00E57AB7" w:rsidP="00280D6E">
            <w:pPr>
              <w:jc w:val="right"/>
              <w:rPr>
                <w:rFonts w:cs="Arial"/>
                <w:color w:val="000000"/>
                <w:sz w:val="20"/>
                <w:szCs w:val="20"/>
              </w:rPr>
            </w:pPr>
            <w:r w:rsidRPr="00B7099A">
              <w:rPr>
                <w:rFonts w:cs="Arial"/>
                <w:color w:val="000000"/>
                <w:sz w:val="20"/>
                <w:szCs w:val="20"/>
              </w:rPr>
              <w:t>180.135</w:t>
            </w:r>
          </w:p>
        </w:tc>
      </w:tr>
      <w:tr w:rsidR="00E57AB7" w:rsidRPr="00B7099A" w14:paraId="79A59F2F" w14:textId="77777777" w:rsidTr="00B06C61">
        <w:trPr>
          <w:trHeight w:val="340"/>
        </w:trPr>
        <w:tc>
          <w:tcPr>
            <w:tcW w:w="4039" w:type="pct"/>
            <w:tcBorders>
              <w:top w:val="nil"/>
              <w:left w:val="nil"/>
              <w:bottom w:val="nil"/>
              <w:right w:val="single" w:sz="4" w:space="0" w:color="auto"/>
            </w:tcBorders>
            <w:shd w:val="clear" w:color="auto" w:fill="auto"/>
            <w:noWrap/>
            <w:vAlign w:val="center"/>
            <w:hideMark/>
          </w:tcPr>
          <w:p w14:paraId="1936A328" w14:textId="77777777" w:rsidR="00E57AB7" w:rsidRPr="00B7099A" w:rsidRDefault="00E57AB7" w:rsidP="006871BF">
            <w:pPr>
              <w:ind w:left="72"/>
              <w:jc w:val="left"/>
              <w:rPr>
                <w:rFonts w:cs="Arial"/>
                <w:color w:val="000000"/>
                <w:sz w:val="20"/>
                <w:szCs w:val="20"/>
              </w:rPr>
            </w:pPr>
            <w:r w:rsidRPr="00B7099A">
              <w:rPr>
                <w:rFonts w:cs="Arial"/>
                <w:color w:val="000000"/>
                <w:sz w:val="20"/>
                <w:szCs w:val="20"/>
              </w:rPr>
              <w:t>4250 - Fundo Estadual do Trabalho</w:t>
            </w:r>
          </w:p>
        </w:tc>
        <w:tc>
          <w:tcPr>
            <w:tcW w:w="961" w:type="pct"/>
            <w:tcBorders>
              <w:top w:val="nil"/>
              <w:left w:val="single" w:sz="4" w:space="0" w:color="auto"/>
              <w:bottom w:val="nil"/>
              <w:right w:val="nil"/>
            </w:tcBorders>
            <w:shd w:val="clear" w:color="auto" w:fill="auto"/>
            <w:noWrap/>
            <w:vAlign w:val="center"/>
            <w:hideMark/>
          </w:tcPr>
          <w:p w14:paraId="601DFDFC" w14:textId="77777777" w:rsidR="00E57AB7" w:rsidRPr="00B7099A" w:rsidRDefault="00E57AB7" w:rsidP="00280D6E">
            <w:pPr>
              <w:jc w:val="right"/>
              <w:rPr>
                <w:rFonts w:cs="Arial"/>
                <w:color w:val="000000"/>
                <w:sz w:val="20"/>
                <w:szCs w:val="20"/>
              </w:rPr>
            </w:pPr>
            <w:r w:rsidRPr="00B7099A">
              <w:rPr>
                <w:rFonts w:cs="Arial"/>
                <w:color w:val="000000"/>
                <w:sz w:val="20"/>
                <w:szCs w:val="20"/>
              </w:rPr>
              <w:t>4.936</w:t>
            </w:r>
          </w:p>
        </w:tc>
      </w:tr>
      <w:tr w:rsidR="00E57AB7" w:rsidRPr="00B7099A" w14:paraId="32ADC685" w14:textId="77777777" w:rsidTr="00B06C61">
        <w:trPr>
          <w:trHeight w:val="340"/>
        </w:trPr>
        <w:tc>
          <w:tcPr>
            <w:tcW w:w="4039" w:type="pct"/>
            <w:tcBorders>
              <w:top w:val="nil"/>
              <w:left w:val="nil"/>
              <w:bottom w:val="single" w:sz="4" w:space="0" w:color="auto"/>
              <w:right w:val="single" w:sz="4" w:space="0" w:color="auto"/>
            </w:tcBorders>
            <w:shd w:val="clear" w:color="auto" w:fill="auto"/>
            <w:noWrap/>
            <w:vAlign w:val="center"/>
            <w:hideMark/>
          </w:tcPr>
          <w:p w14:paraId="61D8CAD4" w14:textId="61CA8ACD" w:rsidR="00E57AB7" w:rsidRPr="00B7099A" w:rsidRDefault="00E57AB7" w:rsidP="006871BF">
            <w:pPr>
              <w:ind w:left="72"/>
              <w:jc w:val="left"/>
              <w:rPr>
                <w:rFonts w:cs="Arial"/>
                <w:color w:val="000000"/>
                <w:sz w:val="20"/>
                <w:szCs w:val="20"/>
              </w:rPr>
            </w:pPr>
            <w:r w:rsidRPr="00B7099A">
              <w:rPr>
                <w:rFonts w:cs="Arial"/>
                <w:color w:val="000000"/>
                <w:sz w:val="20"/>
                <w:szCs w:val="20"/>
              </w:rPr>
              <w:t xml:space="preserve">2952 - Fundo Est. Prot. Defesa Consumidor - </w:t>
            </w:r>
            <w:r w:rsidR="00EE3568" w:rsidRPr="00B7099A">
              <w:rPr>
                <w:rFonts w:cs="Arial"/>
                <w:color w:val="000000"/>
                <w:sz w:val="20"/>
                <w:szCs w:val="20"/>
              </w:rPr>
              <w:t>Fedc</w:t>
            </w:r>
          </w:p>
        </w:tc>
        <w:tc>
          <w:tcPr>
            <w:tcW w:w="961" w:type="pct"/>
            <w:tcBorders>
              <w:top w:val="nil"/>
              <w:left w:val="single" w:sz="4" w:space="0" w:color="auto"/>
              <w:bottom w:val="single" w:sz="4" w:space="0" w:color="auto"/>
              <w:right w:val="nil"/>
            </w:tcBorders>
            <w:shd w:val="clear" w:color="auto" w:fill="auto"/>
            <w:noWrap/>
            <w:vAlign w:val="center"/>
            <w:hideMark/>
          </w:tcPr>
          <w:p w14:paraId="54EA117D" w14:textId="77777777" w:rsidR="00E57AB7" w:rsidRPr="00B7099A" w:rsidRDefault="00E57AB7" w:rsidP="00280D6E">
            <w:pPr>
              <w:jc w:val="right"/>
              <w:rPr>
                <w:rFonts w:cs="Arial"/>
                <w:color w:val="000000"/>
                <w:sz w:val="20"/>
                <w:szCs w:val="20"/>
              </w:rPr>
            </w:pPr>
            <w:r w:rsidRPr="00B7099A">
              <w:rPr>
                <w:rFonts w:cs="Arial"/>
                <w:color w:val="000000"/>
                <w:sz w:val="20"/>
                <w:szCs w:val="20"/>
              </w:rPr>
              <w:t>5</w:t>
            </w:r>
          </w:p>
        </w:tc>
      </w:tr>
      <w:tr w:rsidR="00E57AB7" w:rsidRPr="00B7099A" w14:paraId="6A11E268" w14:textId="77777777" w:rsidTr="00B06C61">
        <w:trPr>
          <w:trHeight w:val="340"/>
        </w:trPr>
        <w:tc>
          <w:tcPr>
            <w:tcW w:w="4039" w:type="pct"/>
            <w:tcBorders>
              <w:top w:val="single" w:sz="4" w:space="0" w:color="auto"/>
              <w:left w:val="nil"/>
              <w:bottom w:val="single" w:sz="4" w:space="0" w:color="auto"/>
              <w:right w:val="single" w:sz="4" w:space="0" w:color="auto"/>
            </w:tcBorders>
            <w:shd w:val="clear" w:color="auto" w:fill="auto"/>
            <w:noWrap/>
            <w:vAlign w:val="center"/>
            <w:hideMark/>
          </w:tcPr>
          <w:p w14:paraId="4FA5BB8D" w14:textId="77777777" w:rsidR="00E57AB7" w:rsidRPr="00B7099A" w:rsidRDefault="00E57AB7" w:rsidP="00280D6E">
            <w:pPr>
              <w:jc w:val="center"/>
              <w:rPr>
                <w:rFonts w:cs="Arial"/>
                <w:b/>
                <w:bCs/>
                <w:color w:val="000000"/>
                <w:sz w:val="20"/>
                <w:szCs w:val="20"/>
              </w:rPr>
            </w:pPr>
            <w:r w:rsidRPr="00B7099A">
              <w:rPr>
                <w:rFonts w:cs="Arial"/>
                <w:b/>
                <w:bCs/>
                <w:color w:val="000000"/>
                <w:sz w:val="20"/>
                <w:szCs w:val="20"/>
              </w:rPr>
              <w:t>Total</w:t>
            </w:r>
          </w:p>
        </w:tc>
        <w:tc>
          <w:tcPr>
            <w:tcW w:w="961" w:type="pct"/>
            <w:tcBorders>
              <w:top w:val="single" w:sz="4" w:space="0" w:color="auto"/>
              <w:left w:val="single" w:sz="4" w:space="0" w:color="auto"/>
              <w:bottom w:val="single" w:sz="4" w:space="0" w:color="auto"/>
              <w:right w:val="nil"/>
            </w:tcBorders>
            <w:shd w:val="clear" w:color="auto" w:fill="auto"/>
            <w:noWrap/>
            <w:vAlign w:val="center"/>
            <w:hideMark/>
          </w:tcPr>
          <w:p w14:paraId="2418E4E5" w14:textId="77777777" w:rsidR="00E57AB7" w:rsidRPr="00B7099A" w:rsidRDefault="00E57AB7" w:rsidP="00280D6E">
            <w:pPr>
              <w:jc w:val="right"/>
              <w:rPr>
                <w:rFonts w:cs="Arial"/>
                <w:b/>
                <w:bCs/>
                <w:color w:val="000000"/>
                <w:sz w:val="20"/>
                <w:szCs w:val="20"/>
              </w:rPr>
            </w:pPr>
            <w:r w:rsidRPr="00B7099A">
              <w:rPr>
                <w:rFonts w:cs="Arial"/>
                <w:b/>
                <w:bCs/>
                <w:color w:val="000000"/>
                <w:sz w:val="20"/>
                <w:szCs w:val="20"/>
              </w:rPr>
              <w:t>1.002.422.452</w:t>
            </w:r>
          </w:p>
        </w:tc>
      </w:tr>
    </w:tbl>
    <w:p w14:paraId="2BD65A04" w14:textId="77777777" w:rsidR="00E57AB7" w:rsidRPr="002F32DA" w:rsidRDefault="00E57AB7" w:rsidP="00E57AB7">
      <w:pPr>
        <w:pStyle w:val="1-REL11"/>
        <w:spacing w:before="0"/>
        <w:rPr>
          <w:sz w:val="16"/>
          <w:szCs w:val="16"/>
        </w:rPr>
      </w:pPr>
      <w:r w:rsidRPr="002F32DA">
        <w:rPr>
          <w:sz w:val="16"/>
          <w:szCs w:val="16"/>
        </w:rPr>
        <w:t>Fonte: BO, Documento nº 10005, OP-Extraorçamentária</w:t>
      </w:r>
      <w:r>
        <w:rPr>
          <w:sz w:val="16"/>
          <w:szCs w:val="16"/>
        </w:rPr>
        <w:t>, deduzidas da</w:t>
      </w:r>
      <w:r w:rsidRPr="002F32DA">
        <w:rPr>
          <w:sz w:val="16"/>
          <w:szCs w:val="16"/>
        </w:rPr>
        <w:t xml:space="preserve"> Finalidade 64</w:t>
      </w:r>
      <w:r>
        <w:rPr>
          <w:sz w:val="16"/>
          <w:szCs w:val="16"/>
        </w:rPr>
        <w:t xml:space="preserve"> (transferência de numerário entre conta bancária do órgão central e órgão setorial)</w:t>
      </w:r>
      <w:r w:rsidRPr="002F32DA">
        <w:rPr>
          <w:sz w:val="16"/>
          <w:szCs w:val="16"/>
        </w:rPr>
        <w:t xml:space="preserve"> onde histórico contém informação de anulação de reversão</w:t>
      </w:r>
    </w:p>
    <w:p w14:paraId="41584540" w14:textId="6A70369C" w:rsidR="00E57AB7" w:rsidRDefault="00E57AB7" w:rsidP="00E57AB7">
      <w:pPr>
        <w:pStyle w:val="1-REL11"/>
      </w:pPr>
      <w:r w:rsidRPr="00AE617E">
        <w:t>As reversões realizadas totalizaram R$</w:t>
      </w:r>
      <w:r w:rsidR="005B560C">
        <w:t> </w:t>
      </w:r>
      <w:r>
        <w:t>1</w:t>
      </w:r>
      <w:r w:rsidR="00F763BE">
        <w:t> </w:t>
      </w:r>
      <w:r w:rsidRPr="00AE617E">
        <w:t>bilh</w:t>
      </w:r>
      <w:r>
        <w:t>ão</w:t>
      </w:r>
      <w:r w:rsidRPr="00AE617E">
        <w:t xml:space="preserve"> e não foram identificadas no exercício de 2023 reversões que comprometessem o pagamento de </w:t>
      </w:r>
      <w:r>
        <w:t>restos a pagar</w:t>
      </w:r>
      <w:r w:rsidRPr="00AE617E">
        <w:t>.</w:t>
      </w:r>
    </w:p>
    <w:p w14:paraId="6E937DEF" w14:textId="77777777" w:rsidR="00C5245D" w:rsidRPr="00B215AC" w:rsidRDefault="00C5245D" w:rsidP="00C5245D">
      <w:pPr>
        <w:pStyle w:val="Ttulo2"/>
      </w:pPr>
      <w:bookmarkStart w:id="229" w:name="_Toc135332706"/>
      <w:bookmarkStart w:id="230" w:name="_Toc167871686"/>
      <w:r>
        <w:t>Teto de Gastos</w:t>
      </w:r>
      <w:bookmarkEnd w:id="229"/>
      <w:bookmarkEnd w:id="230"/>
    </w:p>
    <w:p w14:paraId="2B532ECA" w14:textId="77777777" w:rsidR="00C5245D" w:rsidRDefault="00C5245D" w:rsidP="00C5245D">
      <w:pPr>
        <w:pStyle w:val="1-REL11"/>
      </w:pPr>
      <w:r>
        <w:t xml:space="preserve">Atualmente, o estado de Goiás está sujeito a dois tetos de gastos que limitam o crescimento das despesas. O </w:t>
      </w:r>
      <w:r w:rsidRPr="003A2AB7">
        <w:t>primeiro, previsto na Lei Complementar Federal nº 156, de 28 de dezembro de 2016, estabeleceu o Plano de Auxílio aos Estados e ao Distrito Federal e medidas de estímulo ao reequilíbrio fiscal (PAF), e tem como objet</w:t>
      </w:r>
      <w:r>
        <w:t>ivo</w:t>
      </w:r>
      <w:r w:rsidRPr="003A2AB7">
        <w:t xml:space="preserve"> limit</w:t>
      </w:r>
      <w:r>
        <w:t>ar</w:t>
      </w:r>
      <w:r w:rsidRPr="003A2AB7">
        <w:t xml:space="preserve"> </w:t>
      </w:r>
      <w:r>
        <w:t>o</w:t>
      </w:r>
      <w:r w:rsidRPr="003A2AB7">
        <w:t xml:space="preserve"> crescimento das despesas primárias correntes durante o período de</w:t>
      </w:r>
      <w:r>
        <w:t xml:space="preserve"> 2021 a 2023.</w:t>
      </w:r>
    </w:p>
    <w:p w14:paraId="3136C3B1" w14:textId="77777777" w:rsidR="00C5245D" w:rsidRDefault="00C5245D" w:rsidP="00C5245D">
      <w:pPr>
        <w:pStyle w:val="1-REL11"/>
      </w:pPr>
      <w:r>
        <w:t xml:space="preserve">Já o segundo, previsto pela Lei Complementar Federal nº 159, de 19 de maio de 2017, instituiu o </w:t>
      </w:r>
      <w:r w:rsidRPr="003A2AB7">
        <w:t>Regime de Recuperação Fiscal dos Estados e do Distrito Federal (RRF), e tem</w:t>
      </w:r>
      <w:r>
        <w:t xml:space="preserve"> como objetivo limitar o crescimento das despesas primárias e como período de vigência os exercícios de 2022 a 2030.</w:t>
      </w:r>
    </w:p>
    <w:p w14:paraId="1CFE1BA5" w14:textId="77777777" w:rsidR="00C5245D" w:rsidRPr="00D445EE" w:rsidRDefault="00C5245D" w:rsidP="00C5245D">
      <w:pPr>
        <w:pStyle w:val="1-REL11"/>
      </w:pPr>
      <w:r>
        <w:t xml:space="preserve">Em ambos os casos, o índice de referência utilizado para aferição do crescimento das despesas é a variação anual da inflação medida </w:t>
      </w:r>
      <w:r w:rsidRPr="003A2AB7">
        <w:t>pelo Índice Nacional de Preços ao Consumidor Amplo (IPCA), calculado pelo Instituto Brasileiro de Geografia e Estatística (IBGE).</w:t>
      </w:r>
    </w:p>
    <w:p w14:paraId="5B774136" w14:textId="77777777" w:rsidR="00C5245D" w:rsidRPr="00E317C0" w:rsidRDefault="00C5245D" w:rsidP="00A224E9">
      <w:pPr>
        <w:pStyle w:val="Ttulo3"/>
      </w:pPr>
      <w:bookmarkStart w:id="231" w:name="_Toc167871687"/>
      <w:r w:rsidRPr="00E317C0">
        <w:t>Lei Complementar Federal nº 156/2016</w:t>
      </w:r>
      <w:bookmarkEnd w:id="231"/>
    </w:p>
    <w:p w14:paraId="090D9E45" w14:textId="6D575AAF" w:rsidR="00C5245D" w:rsidRDefault="00C5245D" w:rsidP="00461248">
      <w:pPr>
        <w:pStyle w:val="1-REL11"/>
        <w:spacing w:line="300" w:lineRule="auto"/>
      </w:pPr>
      <w:r w:rsidRPr="005805A0">
        <w:t>Devido ao descumprimento, em 2018, do teto de gastos estabelecido no art. 4º da</w:t>
      </w:r>
      <w:r>
        <w:t xml:space="preserve"> LC nº 156/2016</w:t>
      </w:r>
      <w:r w:rsidRPr="005805A0">
        <w:t>, o estado de Goiás recebeu do Governo Federal multa de</w:t>
      </w:r>
      <w:r>
        <w:t>, aproximadamente,</w:t>
      </w:r>
      <w:r w:rsidRPr="005805A0">
        <w:t xml:space="preserve"> </w:t>
      </w:r>
      <w:r w:rsidRPr="00961790">
        <w:t>R$ 1,10</w:t>
      </w:r>
      <w:r w:rsidR="00F763BE">
        <w:t> </w:t>
      </w:r>
      <w:r w:rsidRPr="00961790">
        <w:t>bilhão. Porém</w:t>
      </w:r>
      <w:r w:rsidRPr="005805A0">
        <w:t xml:space="preserve">, em decorrência de alterações </w:t>
      </w:r>
      <w:r>
        <w:t xml:space="preserve">ocorridas </w:t>
      </w:r>
      <w:r w:rsidRPr="005805A0">
        <w:t>na</w:t>
      </w:r>
      <w:r>
        <w:t xml:space="preserve"> lei em comento</w:t>
      </w:r>
      <w:r w:rsidRPr="005805A0">
        <w:t xml:space="preserve">, foi firmado </w:t>
      </w:r>
      <w:r>
        <w:t xml:space="preserve">o </w:t>
      </w:r>
      <w:r w:rsidRPr="005805A0">
        <w:t>termo aditivo previsto no art.</w:t>
      </w:r>
      <w:r>
        <w:t> </w:t>
      </w:r>
      <w:r w:rsidRPr="005805A0">
        <w:t>4</w:t>
      </w:r>
      <w:r>
        <w:t>º</w:t>
      </w:r>
      <w:r w:rsidRPr="005805A0">
        <w:t>-A</w:t>
      </w:r>
      <w:r>
        <w:t>,</w:t>
      </w:r>
      <w:r w:rsidRPr="005805A0">
        <w:t xml:space="preserve"> em que a penalidade foi substituída pelo compromisso de prolongar o período de limitação do crescimento anual das despesas primárias correntes para os exercícios de 2021 a 2023</w:t>
      </w:r>
      <w:r>
        <w:t>,</w:t>
      </w:r>
      <w:r w:rsidRPr="005805A0">
        <w:t xml:space="preserve"> frente a mesma base (2020)</w:t>
      </w:r>
      <w:r>
        <w:t>.</w:t>
      </w:r>
    </w:p>
    <w:p w14:paraId="6A7D74E3" w14:textId="77777777" w:rsidR="00C5245D" w:rsidRPr="00B00E77" w:rsidRDefault="00C5245D" w:rsidP="00461248">
      <w:pPr>
        <w:pStyle w:val="1-REL11"/>
        <w:spacing w:line="300" w:lineRule="auto"/>
      </w:pPr>
      <w:r>
        <w:lastRenderedPageBreak/>
        <w:t xml:space="preserve">Em 2024 será avaliado, </w:t>
      </w:r>
      <w:r w:rsidRPr="00326FEA">
        <w:t>pela Secretaria do Tesouro Nacional (STN), se o teto</w:t>
      </w:r>
      <w:r>
        <w:t xml:space="preserve"> de gastos regulamentado pela LC nº 156/2016 foi respeitado e, em caso de descumprimento das medidas previstas, haverá a revogação do prazo adicional de 240 meses utilizado para pagamento das dívidas refinanciadas, bem como o Estado deverá restituir à União os valores diferidos no refinanciamento à proporção de 1/12 avos por mês, aplicados ainda os encargos contratuais (§§ 1º e 2º, do art. 4º da LC nº 156/2016).</w:t>
      </w:r>
    </w:p>
    <w:p w14:paraId="69FA0EAA" w14:textId="77777777" w:rsidR="00C5245D" w:rsidRDefault="00C5245D" w:rsidP="000A6309">
      <w:pPr>
        <w:pStyle w:val="1-REL11"/>
        <w:spacing w:line="324" w:lineRule="auto"/>
      </w:pPr>
      <w:r w:rsidRPr="00E317C0">
        <w:t>Todavia, em setembro de 2023, foi veiculado em jornal de circulação</w:t>
      </w:r>
      <w:r w:rsidRPr="00E317C0">
        <w:rPr>
          <w:rStyle w:val="Refdenotaderodap"/>
        </w:rPr>
        <w:footnoteReference w:id="8"/>
      </w:r>
      <w:r w:rsidRPr="00E317C0">
        <w:t xml:space="preserve"> e mídias locais que o</w:t>
      </w:r>
      <w:r>
        <w:t xml:space="preserve"> Governo do Estado estaria promovendo contingenciamento de despesas no exercício frente a possibilidade de que o teto de gastos previsto na LC nº 156/2016 viria a ser descumprido, inclusive </w:t>
      </w:r>
      <w:r w:rsidRPr="00E902F3">
        <w:t>que a Procuradoria-Geral do Estado (PGE) havia protocolado Ação Cível Ordinária (ACO) junto ao Supremo Tribunal Federal (STF).</w:t>
      </w:r>
    </w:p>
    <w:p w14:paraId="391186AB" w14:textId="77777777" w:rsidR="00C5245D" w:rsidRPr="005805A0" w:rsidRDefault="00C5245D" w:rsidP="000A6309">
      <w:pPr>
        <w:pStyle w:val="1-REL11"/>
        <w:spacing w:line="324" w:lineRule="auto"/>
        <w:rPr>
          <w:highlight w:val="yellow"/>
        </w:rPr>
      </w:pPr>
      <w:r>
        <w:t>Em consulta ao site do STF à época, verificou-se que o estado de Goiás ingressou com a ACO nº 3.651</w:t>
      </w:r>
      <w:r>
        <w:rPr>
          <w:rStyle w:val="Refdenotaderodap"/>
        </w:rPr>
        <w:footnoteReference w:id="9"/>
      </w:r>
      <w:r>
        <w:t xml:space="preserve"> com pedido de tutela de urgência objetivando, liminarmente, que:</w:t>
      </w:r>
    </w:p>
    <w:p w14:paraId="70683213" w14:textId="77777777" w:rsidR="00C5245D" w:rsidRDefault="00C5245D" w:rsidP="00C5245D">
      <w:pPr>
        <w:pStyle w:val="1-CITAO"/>
      </w:pPr>
      <w:r>
        <w:t>1) seja determinado à União que se abstenha de aplicar penalidades legais e contratuais, notadamente as previstas no art. 4º, §1º, da LC n.º 156/16, e/ou exigir a restituição prevista no art. 4º, §2º, da LC n.º 156/16, em razão do descumprimento, pelo Estado de Goiás, da limitação de despesas previstas nos art. 4º, caput, e 4º-A, desta Lei Complementar;</w:t>
      </w:r>
    </w:p>
    <w:p w14:paraId="6855E894" w14:textId="77777777" w:rsidR="00C5245D" w:rsidRDefault="00C5245D" w:rsidP="00C5245D">
      <w:pPr>
        <w:pStyle w:val="1-CITAO"/>
      </w:pPr>
    </w:p>
    <w:p w14:paraId="42C86256" w14:textId="77777777" w:rsidR="00C5245D" w:rsidRDefault="00C5245D" w:rsidP="00C5245D">
      <w:pPr>
        <w:pStyle w:val="1-CITAO"/>
      </w:pPr>
      <w:r>
        <w:t>2) subsidiariamente, seja determinado à União que, no cálculo da limitação de despesas prevista no art. 4º, caput, e 4ºA, da LC n.º 156/16:</w:t>
      </w:r>
    </w:p>
    <w:p w14:paraId="1C715EA7" w14:textId="77777777" w:rsidR="00C5245D" w:rsidRDefault="00C5245D" w:rsidP="00C5245D">
      <w:pPr>
        <w:pStyle w:val="1-CITAO"/>
      </w:pPr>
    </w:p>
    <w:p w14:paraId="4448E53D" w14:textId="77777777" w:rsidR="00C5245D" w:rsidRDefault="00C5245D" w:rsidP="00C5245D">
      <w:pPr>
        <w:pStyle w:val="1-CITAO"/>
      </w:pPr>
      <w:r>
        <w:t>2.1) desconsidere, nos exercícios financeiros de 2021 a 2023, as despesas executadas com recursos afetados ao Fundo de Proteção Social do Estado de Goiás-PROTEGE;</w:t>
      </w:r>
    </w:p>
    <w:p w14:paraId="3B8F3452" w14:textId="77777777" w:rsidR="00C5245D" w:rsidRDefault="00C5245D" w:rsidP="00C5245D">
      <w:pPr>
        <w:pStyle w:val="1-CITAO"/>
      </w:pPr>
    </w:p>
    <w:p w14:paraId="7FD6FB7C" w14:textId="77777777" w:rsidR="00C5245D" w:rsidRDefault="00C5245D" w:rsidP="00C5245D">
      <w:pPr>
        <w:pStyle w:val="1-CITAO"/>
        <w:rPr>
          <w:highlight w:val="yellow"/>
        </w:rPr>
      </w:pPr>
      <w:r>
        <w:t>2.2) deduza, nos exercícios financeiros de 2022 e 2023, as despesas empenhadas acima dos mínimos constitucionais de saúde e educação, mantida, ainda, a dedução já existente, com base na Receita Líquida de Impostos e transferências, tendo em vista que essas despesas não puderam ser reduzidas após a queda de arrecadação de ICMS, permanecendo acima dos mínimos constitucionais”. (eDOC 1, p. 35)</w:t>
      </w:r>
    </w:p>
    <w:p w14:paraId="757AD21C" w14:textId="77777777" w:rsidR="00C5245D" w:rsidRDefault="00C5245D" w:rsidP="000A6309">
      <w:pPr>
        <w:pStyle w:val="1-REL11"/>
        <w:spacing w:line="324" w:lineRule="auto"/>
      </w:pPr>
      <w:r>
        <w:t xml:space="preserve">Inicialmente, o pedido de liminar fora indeferido por decisão monocrática do Ministro Relator Gilmar Mendes, determinando a citação da União, intimação do estado de Goiás e abertura de </w:t>
      </w:r>
      <w:r w:rsidRPr="00E902F3">
        <w:t>vistas à Procuradoria-Geral da República (PGR).</w:t>
      </w:r>
    </w:p>
    <w:p w14:paraId="15D2C1B5" w14:textId="260E128D" w:rsidR="004C43A3" w:rsidRDefault="004C43A3" w:rsidP="000A6309">
      <w:pPr>
        <w:pStyle w:val="1-REL11"/>
        <w:spacing w:line="324" w:lineRule="auto"/>
      </w:pPr>
      <w:r w:rsidRPr="004C43A3">
        <w:lastRenderedPageBreak/>
        <w:t>Assim, a apuração do teto de gastos regulamentado pela LC nº 156/2016, que avalia o crescimento anual das despesas primárias correntes para os exercícios de 2021 a 2023 frente ao exercício 2020 (base), demonstrou que houve descumprimento do teto na ordem de R$</w:t>
      </w:r>
      <w:r>
        <w:t> </w:t>
      </w:r>
      <w:r w:rsidRPr="004C43A3">
        <w:t>399,02</w:t>
      </w:r>
      <w:r w:rsidR="005E7047">
        <w:t> </w:t>
      </w:r>
      <w:r w:rsidR="00755658">
        <w:t>milhões</w:t>
      </w:r>
      <w:r w:rsidRPr="004C43A3">
        <w:t>, conforme abaixo:</w:t>
      </w:r>
    </w:p>
    <w:p w14:paraId="695DA3A4" w14:textId="68AF63A8" w:rsidR="00C5245D" w:rsidRPr="00D9077B" w:rsidRDefault="00C5245D" w:rsidP="00ED3571">
      <w:pPr>
        <w:pStyle w:val="0-TABELA"/>
      </w:pPr>
      <w:bookmarkStart w:id="232" w:name="_Toc167871778"/>
      <w:r w:rsidRPr="00D9077B">
        <w:t>Tetos de Gastos – LC nº 156/2016</w:t>
      </w:r>
      <w:bookmarkEnd w:id="232"/>
    </w:p>
    <w:p w14:paraId="485BB3DA" w14:textId="77777777" w:rsidR="00C5245D" w:rsidRDefault="00C5245D" w:rsidP="00C5245D">
      <w:pPr>
        <w:pStyle w:val="0-EmR1"/>
        <w:rPr>
          <w:rStyle w:val="Forte"/>
          <w:b w:val="0"/>
        </w:rPr>
      </w:pPr>
      <w:r w:rsidRPr="00D512F5">
        <w:t xml:space="preserve">R$ </w:t>
      </w:r>
      <w:r>
        <w:t>mil</w:t>
      </w:r>
    </w:p>
    <w:tbl>
      <w:tblPr>
        <w:tblW w:w="5000" w:type="pct"/>
        <w:tblCellMar>
          <w:left w:w="70" w:type="dxa"/>
          <w:right w:w="70" w:type="dxa"/>
        </w:tblCellMar>
        <w:tblLook w:val="04A0" w:firstRow="1" w:lastRow="0" w:firstColumn="1" w:lastColumn="0" w:noHBand="0" w:noVBand="1"/>
      </w:tblPr>
      <w:tblGrid>
        <w:gridCol w:w="4789"/>
        <w:gridCol w:w="1141"/>
        <w:gridCol w:w="1141"/>
        <w:gridCol w:w="1141"/>
        <w:gridCol w:w="1141"/>
      </w:tblGrid>
      <w:tr w:rsidR="00C5245D" w:rsidRPr="00425370" w14:paraId="54BBEFC9" w14:textId="77777777" w:rsidTr="000A6309">
        <w:trPr>
          <w:trHeight w:val="312"/>
          <w:tblHeader/>
        </w:trPr>
        <w:tc>
          <w:tcPr>
            <w:tcW w:w="2773" w:type="pct"/>
            <w:tcBorders>
              <w:top w:val="single" w:sz="4" w:space="0" w:color="auto"/>
              <w:left w:val="nil"/>
              <w:bottom w:val="single" w:sz="4" w:space="0" w:color="auto"/>
              <w:right w:val="single" w:sz="4" w:space="0" w:color="auto"/>
            </w:tcBorders>
            <w:shd w:val="clear" w:color="000000" w:fill="A1F2FD"/>
            <w:vAlign w:val="center"/>
            <w:hideMark/>
          </w:tcPr>
          <w:p w14:paraId="010F93E8" w14:textId="77777777" w:rsidR="00C5245D" w:rsidRPr="00425370" w:rsidRDefault="00C5245D" w:rsidP="003A6FB5">
            <w:pPr>
              <w:jc w:val="center"/>
              <w:rPr>
                <w:rFonts w:cs="Arial"/>
                <w:b/>
                <w:bCs/>
                <w:sz w:val="20"/>
                <w:szCs w:val="20"/>
              </w:rPr>
            </w:pPr>
            <w:r w:rsidRPr="00425370">
              <w:rPr>
                <w:rFonts w:cs="Arial"/>
                <w:b/>
                <w:bCs/>
                <w:sz w:val="20"/>
                <w:szCs w:val="20"/>
              </w:rPr>
              <w:t>Despesas Primárias Correntes</w:t>
            </w:r>
          </w:p>
        </w:tc>
        <w:tc>
          <w:tcPr>
            <w:tcW w:w="557" w:type="pct"/>
            <w:tcBorders>
              <w:top w:val="single" w:sz="4" w:space="0" w:color="auto"/>
              <w:left w:val="nil"/>
              <w:bottom w:val="single" w:sz="4" w:space="0" w:color="auto"/>
              <w:right w:val="single" w:sz="4" w:space="0" w:color="auto"/>
            </w:tcBorders>
            <w:shd w:val="clear" w:color="000000" w:fill="A1F2FD"/>
            <w:vAlign w:val="center"/>
            <w:hideMark/>
          </w:tcPr>
          <w:p w14:paraId="4DA9D95D" w14:textId="77777777" w:rsidR="00C5245D" w:rsidRPr="00425370" w:rsidRDefault="00C5245D" w:rsidP="003A6FB5">
            <w:pPr>
              <w:jc w:val="center"/>
              <w:rPr>
                <w:rFonts w:cs="Arial"/>
                <w:b/>
                <w:bCs/>
                <w:color w:val="000000"/>
                <w:sz w:val="20"/>
                <w:szCs w:val="20"/>
              </w:rPr>
            </w:pPr>
            <w:r w:rsidRPr="00425370">
              <w:rPr>
                <w:rFonts w:cs="Arial"/>
                <w:b/>
                <w:bCs/>
                <w:color w:val="000000"/>
                <w:sz w:val="20"/>
                <w:szCs w:val="20"/>
              </w:rPr>
              <w:t>2020</w:t>
            </w:r>
            <w:r w:rsidRPr="00425370">
              <w:rPr>
                <w:rFonts w:cs="Arial"/>
                <w:b/>
                <w:bCs/>
                <w:color w:val="000000"/>
                <w:sz w:val="20"/>
                <w:szCs w:val="20"/>
              </w:rPr>
              <w:br/>
              <w:t>Ano-base</w:t>
            </w:r>
          </w:p>
        </w:tc>
        <w:tc>
          <w:tcPr>
            <w:tcW w:w="557" w:type="pct"/>
            <w:tcBorders>
              <w:top w:val="single" w:sz="4" w:space="0" w:color="auto"/>
              <w:left w:val="nil"/>
              <w:bottom w:val="single" w:sz="4" w:space="0" w:color="auto"/>
              <w:right w:val="single" w:sz="4" w:space="0" w:color="auto"/>
            </w:tcBorders>
            <w:shd w:val="clear" w:color="000000" w:fill="A1F2FD"/>
            <w:vAlign w:val="center"/>
            <w:hideMark/>
          </w:tcPr>
          <w:p w14:paraId="08049377" w14:textId="77777777" w:rsidR="00C5245D" w:rsidRPr="00425370" w:rsidRDefault="00C5245D" w:rsidP="003A6FB5">
            <w:pPr>
              <w:jc w:val="center"/>
              <w:rPr>
                <w:rFonts w:cs="Arial"/>
                <w:b/>
                <w:bCs/>
                <w:color w:val="000000"/>
                <w:sz w:val="20"/>
                <w:szCs w:val="20"/>
              </w:rPr>
            </w:pPr>
            <w:r w:rsidRPr="00425370">
              <w:rPr>
                <w:rFonts w:cs="Arial"/>
                <w:b/>
                <w:bCs/>
                <w:color w:val="000000"/>
                <w:sz w:val="20"/>
                <w:szCs w:val="20"/>
              </w:rPr>
              <w:t>2021</w:t>
            </w:r>
          </w:p>
        </w:tc>
        <w:tc>
          <w:tcPr>
            <w:tcW w:w="557" w:type="pct"/>
            <w:tcBorders>
              <w:top w:val="single" w:sz="4" w:space="0" w:color="auto"/>
              <w:left w:val="nil"/>
              <w:bottom w:val="single" w:sz="4" w:space="0" w:color="auto"/>
              <w:right w:val="single" w:sz="4" w:space="0" w:color="auto"/>
            </w:tcBorders>
            <w:shd w:val="clear" w:color="000000" w:fill="A1F2FD"/>
            <w:vAlign w:val="center"/>
            <w:hideMark/>
          </w:tcPr>
          <w:p w14:paraId="3299F088" w14:textId="77777777" w:rsidR="00C5245D" w:rsidRPr="00425370" w:rsidRDefault="00C5245D" w:rsidP="003A6FB5">
            <w:pPr>
              <w:jc w:val="center"/>
              <w:rPr>
                <w:rFonts w:cs="Arial"/>
                <w:b/>
                <w:bCs/>
                <w:color w:val="000000"/>
                <w:sz w:val="20"/>
                <w:szCs w:val="20"/>
              </w:rPr>
            </w:pPr>
            <w:r w:rsidRPr="00425370">
              <w:rPr>
                <w:rFonts w:cs="Arial"/>
                <w:b/>
                <w:bCs/>
                <w:color w:val="000000"/>
                <w:sz w:val="20"/>
                <w:szCs w:val="20"/>
              </w:rPr>
              <w:t>2022</w:t>
            </w:r>
          </w:p>
        </w:tc>
        <w:tc>
          <w:tcPr>
            <w:tcW w:w="557" w:type="pct"/>
            <w:tcBorders>
              <w:top w:val="single" w:sz="4" w:space="0" w:color="auto"/>
              <w:left w:val="nil"/>
              <w:bottom w:val="single" w:sz="4" w:space="0" w:color="auto"/>
              <w:right w:val="nil"/>
            </w:tcBorders>
            <w:shd w:val="clear" w:color="000000" w:fill="A1F2FD"/>
            <w:vAlign w:val="center"/>
            <w:hideMark/>
          </w:tcPr>
          <w:p w14:paraId="56AD6301" w14:textId="77777777" w:rsidR="00C5245D" w:rsidRPr="00425370" w:rsidRDefault="00C5245D" w:rsidP="003A6FB5">
            <w:pPr>
              <w:jc w:val="center"/>
              <w:rPr>
                <w:rFonts w:cs="Arial"/>
                <w:b/>
                <w:bCs/>
                <w:color w:val="000000"/>
                <w:sz w:val="20"/>
                <w:szCs w:val="20"/>
              </w:rPr>
            </w:pPr>
            <w:r w:rsidRPr="00425370">
              <w:rPr>
                <w:rFonts w:cs="Arial"/>
                <w:b/>
                <w:bCs/>
                <w:color w:val="000000"/>
                <w:sz w:val="20"/>
                <w:szCs w:val="20"/>
              </w:rPr>
              <w:t>2023</w:t>
            </w:r>
          </w:p>
        </w:tc>
      </w:tr>
      <w:tr w:rsidR="00EE2589" w:rsidRPr="00425370" w14:paraId="5E4C86EC" w14:textId="77777777" w:rsidTr="000A6309">
        <w:trPr>
          <w:trHeight w:val="312"/>
        </w:trPr>
        <w:tc>
          <w:tcPr>
            <w:tcW w:w="2773" w:type="pct"/>
            <w:tcBorders>
              <w:top w:val="nil"/>
              <w:left w:val="nil"/>
              <w:bottom w:val="nil"/>
              <w:right w:val="single" w:sz="4" w:space="0" w:color="auto"/>
            </w:tcBorders>
            <w:shd w:val="clear" w:color="auto" w:fill="auto"/>
            <w:vAlign w:val="center"/>
            <w:hideMark/>
          </w:tcPr>
          <w:p w14:paraId="48EAC45E" w14:textId="77777777" w:rsidR="00EE2589" w:rsidRPr="00425370" w:rsidRDefault="00EE2589" w:rsidP="00EE2589">
            <w:pPr>
              <w:jc w:val="left"/>
              <w:rPr>
                <w:rFonts w:cs="Arial"/>
                <w:b/>
                <w:bCs/>
                <w:color w:val="000000"/>
                <w:sz w:val="20"/>
                <w:szCs w:val="20"/>
              </w:rPr>
            </w:pPr>
            <w:r w:rsidRPr="00425370">
              <w:rPr>
                <w:rFonts w:cs="Arial"/>
                <w:b/>
                <w:bCs/>
                <w:color w:val="000000"/>
                <w:sz w:val="20"/>
                <w:szCs w:val="20"/>
              </w:rPr>
              <w:t>Despesas Primárias (I)</w:t>
            </w:r>
          </w:p>
        </w:tc>
        <w:tc>
          <w:tcPr>
            <w:tcW w:w="557" w:type="pct"/>
            <w:tcBorders>
              <w:top w:val="nil"/>
              <w:left w:val="nil"/>
              <w:bottom w:val="nil"/>
              <w:right w:val="single" w:sz="4" w:space="0" w:color="auto"/>
            </w:tcBorders>
            <w:shd w:val="clear" w:color="auto" w:fill="auto"/>
            <w:vAlign w:val="center"/>
            <w:hideMark/>
          </w:tcPr>
          <w:p w14:paraId="717C1586" w14:textId="2081DD53" w:rsidR="00EE2589" w:rsidRPr="00425370" w:rsidRDefault="00EE2589" w:rsidP="00EE2589">
            <w:pPr>
              <w:jc w:val="right"/>
              <w:rPr>
                <w:rFonts w:cs="Arial"/>
                <w:b/>
                <w:bCs/>
                <w:color w:val="000000"/>
                <w:sz w:val="20"/>
                <w:szCs w:val="20"/>
              </w:rPr>
            </w:pPr>
            <w:r w:rsidRPr="00425370">
              <w:rPr>
                <w:rFonts w:cs="Arial"/>
                <w:b/>
                <w:bCs/>
                <w:color w:val="000000"/>
                <w:sz w:val="20"/>
                <w:szCs w:val="20"/>
              </w:rPr>
              <w:t>23.173.686</w:t>
            </w:r>
          </w:p>
        </w:tc>
        <w:tc>
          <w:tcPr>
            <w:tcW w:w="557" w:type="pct"/>
            <w:tcBorders>
              <w:top w:val="nil"/>
              <w:left w:val="nil"/>
              <w:bottom w:val="nil"/>
              <w:right w:val="single" w:sz="4" w:space="0" w:color="auto"/>
            </w:tcBorders>
            <w:shd w:val="clear" w:color="auto" w:fill="auto"/>
            <w:vAlign w:val="center"/>
            <w:hideMark/>
          </w:tcPr>
          <w:p w14:paraId="4052AB8B" w14:textId="77D48B71" w:rsidR="00EE2589" w:rsidRPr="00425370" w:rsidRDefault="00EE2589" w:rsidP="00EE2589">
            <w:pPr>
              <w:jc w:val="right"/>
              <w:rPr>
                <w:rFonts w:cs="Arial"/>
                <w:b/>
                <w:bCs/>
                <w:color w:val="000000"/>
                <w:sz w:val="20"/>
                <w:szCs w:val="20"/>
              </w:rPr>
            </w:pPr>
            <w:r w:rsidRPr="00425370">
              <w:rPr>
                <w:rFonts w:cs="Arial"/>
                <w:b/>
                <w:bCs/>
                <w:color w:val="000000"/>
                <w:sz w:val="20"/>
                <w:szCs w:val="20"/>
              </w:rPr>
              <w:t>26.134.366</w:t>
            </w:r>
          </w:p>
        </w:tc>
        <w:tc>
          <w:tcPr>
            <w:tcW w:w="557" w:type="pct"/>
            <w:tcBorders>
              <w:top w:val="nil"/>
              <w:left w:val="nil"/>
              <w:bottom w:val="nil"/>
              <w:right w:val="single" w:sz="4" w:space="0" w:color="auto"/>
            </w:tcBorders>
            <w:shd w:val="clear" w:color="auto" w:fill="auto"/>
            <w:vAlign w:val="center"/>
            <w:hideMark/>
          </w:tcPr>
          <w:p w14:paraId="3E8BC2B2" w14:textId="1A66B728" w:rsidR="00EE2589" w:rsidRPr="00425370" w:rsidRDefault="00EE2589" w:rsidP="00EE2589">
            <w:pPr>
              <w:jc w:val="right"/>
              <w:rPr>
                <w:rFonts w:cs="Arial"/>
                <w:b/>
                <w:bCs/>
                <w:color w:val="000000"/>
                <w:sz w:val="20"/>
                <w:szCs w:val="20"/>
              </w:rPr>
            </w:pPr>
            <w:r w:rsidRPr="00425370">
              <w:rPr>
                <w:rFonts w:cs="Arial"/>
                <w:b/>
                <w:bCs/>
                <w:color w:val="000000"/>
                <w:sz w:val="20"/>
                <w:szCs w:val="20"/>
              </w:rPr>
              <w:t>29.864.598</w:t>
            </w:r>
          </w:p>
        </w:tc>
        <w:tc>
          <w:tcPr>
            <w:tcW w:w="557" w:type="pct"/>
            <w:tcBorders>
              <w:top w:val="nil"/>
              <w:left w:val="nil"/>
              <w:bottom w:val="nil"/>
              <w:right w:val="nil"/>
            </w:tcBorders>
            <w:shd w:val="clear" w:color="auto" w:fill="auto"/>
            <w:vAlign w:val="center"/>
            <w:hideMark/>
          </w:tcPr>
          <w:p w14:paraId="12B90048" w14:textId="506912DF" w:rsidR="00EE2589" w:rsidRPr="00425370" w:rsidRDefault="00EE2589" w:rsidP="00EE2589">
            <w:pPr>
              <w:jc w:val="right"/>
              <w:rPr>
                <w:rFonts w:cs="Arial"/>
                <w:b/>
                <w:bCs/>
                <w:color w:val="000000"/>
                <w:sz w:val="20"/>
                <w:szCs w:val="20"/>
              </w:rPr>
            </w:pPr>
            <w:r w:rsidRPr="00425370">
              <w:rPr>
                <w:rFonts w:cs="Arial"/>
                <w:b/>
                <w:bCs/>
                <w:color w:val="000000"/>
                <w:sz w:val="20"/>
                <w:szCs w:val="20"/>
              </w:rPr>
              <w:t>31.235.946</w:t>
            </w:r>
          </w:p>
        </w:tc>
      </w:tr>
      <w:tr w:rsidR="00EE2589" w:rsidRPr="00425370" w14:paraId="02960039" w14:textId="77777777" w:rsidTr="000A6309">
        <w:trPr>
          <w:trHeight w:val="312"/>
        </w:trPr>
        <w:tc>
          <w:tcPr>
            <w:tcW w:w="2773" w:type="pct"/>
            <w:tcBorders>
              <w:top w:val="nil"/>
              <w:left w:val="nil"/>
              <w:bottom w:val="nil"/>
              <w:right w:val="single" w:sz="4" w:space="0" w:color="auto"/>
            </w:tcBorders>
            <w:shd w:val="clear" w:color="FFFFFF" w:fill="FFFFFF"/>
            <w:vAlign w:val="center"/>
            <w:hideMark/>
          </w:tcPr>
          <w:p w14:paraId="38E0F17D" w14:textId="77777777" w:rsidR="00EE2589" w:rsidRPr="00425370" w:rsidRDefault="00EE2589" w:rsidP="00EE2589">
            <w:pPr>
              <w:ind w:left="214"/>
              <w:jc w:val="left"/>
              <w:rPr>
                <w:rFonts w:cs="Arial"/>
                <w:color w:val="333333"/>
                <w:sz w:val="20"/>
                <w:szCs w:val="20"/>
              </w:rPr>
            </w:pPr>
            <w:r w:rsidRPr="00425370">
              <w:rPr>
                <w:rFonts w:cs="Arial"/>
                <w:color w:val="333333"/>
                <w:sz w:val="20"/>
                <w:szCs w:val="20"/>
              </w:rPr>
              <w:t>Pessoal e Encargos Sociais</w:t>
            </w:r>
          </w:p>
        </w:tc>
        <w:tc>
          <w:tcPr>
            <w:tcW w:w="557" w:type="pct"/>
            <w:tcBorders>
              <w:top w:val="nil"/>
              <w:left w:val="nil"/>
              <w:bottom w:val="nil"/>
              <w:right w:val="single" w:sz="4" w:space="0" w:color="auto"/>
            </w:tcBorders>
            <w:shd w:val="clear" w:color="FFFFFF" w:fill="FFFFFF"/>
            <w:noWrap/>
            <w:vAlign w:val="center"/>
            <w:hideMark/>
          </w:tcPr>
          <w:p w14:paraId="289D1583" w14:textId="7D30839A" w:rsidR="00EE2589" w:rsidRPr="00425370" w:rsidRDefault="00EE2589" w:rsidP="00EE2589">
            <w:pPr>
              <w:jc w:val="right"/>
              <w:rPr>
                <w:rFonts w:cs="Arial"/>
                <w:color w:val="333333"/>
                <w:sz w:val="20"/>
                <w:szCs w:val="20"/>
              </w:rPr>
            </w:pPr>
            <w:r w:rsidRPr="00425370">
              <w:rPr>
                <w:rFonts w:cs="Arial"/>
                <w:color w:val="333333"/>
                <w:sz w:val="20"/>
                <w:szCs w:val="20"/>
              </w:rPr>
              <w:t>17.826.180</w:t>
            </w:r>
          </w:p>
        </w:tc>
        <w:tc>
          <w:tcPr>
            <w:tcW w:w="557" w:type="pct"/>
            <w:tcBorders>
              <w:top w:val="nil"/>
              <w:left w:val="nil"/>
              <w:bottom w:val="nil"/>
              <w:right w:val="single" w:sz="4" w:space="0" w:color="auto"/>
            </w:tcBorders>
            <w:shd w:val="clear" w:color="FFFFFF" w:fill="FFFFFF"/>
            <w:noWrap/>
            <w:vAlign w:val="center"/>
            <w:hideMark/>
          </w:tcPr>
          <w:p w14:paraId="2D4F18E9" w14:textId="2CBF8DDC" w:rsidR="00EE2589" w:rsidRPr="00425370" w:rsidRDefault="00EE2589" w:rsidP="00EE2589">
            <w:pPr>
              <w:jc w:val="right"/>
              <w:rPr>
                <w:rFonts w:cs="Arial"/>
                <w:color w:val="333333"/>
                <w:sz w:val="20"/>
                <w:szCs w:val="20"/>
              </w:rPr>
            </w:pPr>
            <w:r w:rsidRPr="00425370">
              <w:rPr>
                <w:rFonts w:cs="Arial"/>
                <w:color w:val="333333"/>
                <w:sz w:val="20"/>
                <w:szCs w:val="20"/>
              </w:rPr>
              <w:t>18.771.050</w:t>
            </w:r>
          </w:p>
        </w:tc>
        <w:tc>
          <w:tcPr>
            <w:tcW w:w="557" w:type="pct"/>
            <w:tcBorders>
              <w:top w:val="nil"/>
              <w:left w:val="nil"/>
              <w:bottom w:val="nil"/>
              <w:right w:val="single" w:sz="4" w:space="0" w:color="auto"/>
            </w:tcBorders>
            <w:shd w:val="clear" w:color="FFFFFF" w:fill="FFFFFF"/>
            <w:noWrap/>
            <w:vAlign w:val="center"/>
            <w:hideMark/>
          </w:tcPr>
          <w:p w14:paraId="4E7B5FB6" w14:textId="0839CDAE" w:rsidR="00EE2589" w:rsidRPr="00425370" w:rsidRDefault="00EE2589" w:rsidP="00EE2589">
            <w:pPr>
              <w:jc w:val="right"/>
              <w:rPr>
                <w:rFonts w:cs="Arial"/>
                <w:color w:val="333333"/>
                <w:sz w:val="20"/>
                <w:szCs w:val="20"/>
              </w:rPr>
            </w:pPr>
            <w:r w:rsidRPr="00425370">
              <w:rPr>
                <w:rFonts w:cs="Arial"/>
                <w:color w:val="333333"/>
                <w:sz w:val="20"/>
                <w:szCs w:val="20"/>
              </w:rPr>
              <w:t>21.033.709</w:t>
            </w:r>
          </w:p>
        </w:tc>
        <w:tc>
          <w:tcPr>
            <w:tcW w:w="557" w:type="pct"/>
            <w:tcBorders>
              <w:top w:val="nil"/>
              <w:left w:val="nil"/>
              <w:bottom w:val="nil"/>
              <w:right w:val="nil"/>
            </w:tcBorders>
            <w:shd w:val="clear" w:color="FFFFFF" w:fill="FFFFFF"/>
            <w:noWrap/>
            <w:vAlign w:val="center"/>
            <w:hideMark/>
          </w:tcPr>
          <w:p w14:paraId="6E13A461" w14:textId="4E19F795" w:rsidR="00EE2589" w:rsidRPr="00425370" w:rsidRDefault="00EE2589" w:rsidP="00EE2589">
            <w:pPr>
              <w:jc w:val="right"/>
              <w:rPr>
                <w:rFonts w:cs="Arial"/>
                <w:color w:val="333333"/>
                <w:sz w:val="20"/>
                <w:szCs w:val="20"/>
              </w:rPr>
            </w:pPr>
            <w:r w:rsidRPr="00425370">
              <w:rPr>
                <w:rFonts w:cs="Arial"/>
                <w:color w:val="333333"/>
                <w:sz w:val="20"/>
                <w:szCs w:val="20"/>
              </w:rPr>
              <w:t>23.046.538</w:t>
            </w:r>
          </w:p>
        </w:tc>
      </w:tr>
      <w:tr w:rsidR="00EE2589" w:rsidRPr="00425370" w14:paraId="776A6D32" w14:textId="77777777" w:rsidTr="000A6309">
        <w:trPr>
          <w:trHeight w:val="312"/>
        </w:trPr>
        <w:tc>
          <w:tcPr>
            <w:tcW w:w="2773" w:type="pct"/>
            <w:tcBorders>
              <w:top w:val="nil"/>
              <w:left w:val="nil"/>
              <w:bottom w:val="nil"/>
              <w:right w:val="single" w:sz="4" w:space="0" w:color="auto"/>
            </w:tcBorders>
            <w:shd w:val="clear" w:color="FFFFFF" w:fill="FFFFFF"/>
            <w:vAlign w:val="center"/>
            <w:hideMark/>
          </w:tcPr>
          <w:p w14:paraId="4F933C3C" w14:textId="77777777" w:rsidR="00EE2589" w:rsidRPr="00425370" w:rsidRDefault="00EE2589" w:rsidP="00EE2589">
            <w:pPr>
              <w:ind w:left="214"/>
              <w:jc w:val="left"/>
              <w:rPr>
                <w:rFonts w:cs="Arial"/>
                <w:color w:val="333333"/>
                <w:sz w:val="20"/>
                <w:szCs w:val="20"/>
              </w:rPr>
            </w:pPr>
            <w:r w:rsidRPr="00425370">
              <w:rPr>
                <w:rFonts w:cs="Arial"/>
                <w:color w:val="333333"/>
                <w:sz w:val="20"/>
                <w:szCs w:val="20"/>
              </w:rPr>
              <w:t>Outras Despesas Correntes</w:t>
            </w:r>
          </w:p>
        </w:tc>
        <w:tc>
          <w:tcPr>
            <w:tcW w:w="557" w:type="pct"/>
            <w:tcBorders>
              <w:top w:val="nil"/>
              <w:left w:val="nil"/>
              <w:bottom w:val="nil"/>
              <w:right w:val="single" w:sz="4" w:space="0" w:color="auto"/>
            </w:tcBorders>
            <w:shd w:val="clear" w:color="FFFFFF" w:fill="FFFFFF"/>
            <w:noWrap/>
            <w:vAlign w:val="center"/>
            <w:hideMark/>
          </w:tcPr>
          <w:p w14:paraId="5E7AA61C" w14:textId="7908C55F" w:rsidR="00EE2589" w:rsidRPr="00425370" w:rsidRDefault="00EE2589" w:rsidP="00EE2589">
            <w:pPr>
              <w:jc w:val="right"/>
              <w:rPr>
                <w:rFonts w:cs="Arial"/>
                <w:color w:val="333333"/>
                <w:sz w:val="20"/>
                <w:szCs w:val="20"/>
              </w:rPr>
            </w:pPr>
            <w:r w:rsidRPr="00425370">
              <w:rPr>
                <w:rFonts w:cs="Arial"/>
                <w:color w:val="333333"/>
                <w:sz w:val="20"/>
                <w:szCs w:val="20"/>
              </w:rPr>
              <w:t>7.926.061</w:t>
            </w:r>
          </w:p>
        </w:tc>
        <w:tc>
          <w:tcPr>
            <w:tcW w:w="557" w:type="pct"/>
            <w:tcBorders>
              <w:top w:val="nil"/>
              <w:left w:val="nil"/>
              <w:bottom w:val="nil"/>
              <w:right w:val="single" w:sz="4" w:space="0" w:color="auto"/>
            </w:tcBorders>
            <w:shd w:val="clear" w:color="FFFFFF" w:fill="FFFFFF"/>
            <w:noWrap/>
            <w:vAlign w:val="center"/>
            <w:hideMark/>
          </w:tcPr>
          <w:p w14:paraId="224368A0" w14:textId="79D02817" w:rsidR="00EE2589" w:rsidRPr="00425370" w:rsidRDefault="00EE2589" w:rsidP="00EE2589">
            <w:pPr>
              <w:jc w:val="right"/>
              <w:rPr>
                <w:rFonts w:cs="Arial"/>
                <w:color w:val="333333"/>
                <w:sz w:val="20"/>
                <w:szCs w:val="20"/>
              </w:rPr>
            </w:pPr>
            <w:r w:rsidRPr="00425370">
              <w:rPr>
                <w:rFonts w:cs="Arial"/>
                <w:color w:val="333333"/>
                <w:sz w:val="20"/>
                <w:szCs w:val="20"/>
              </w:rPr>
              <w:t>10.349.822</w:t>
            </w:r>
          </w:p>
        </w:tc>
        <w:tc>
          <w:tcPr>
            <w:tcW w:w="557" w:type="pct"/>
            <w:tcBorders>
              <w:top w:val="nil"/>
              <w:left w:val="nil"/>
              <w:bottom w:val="nil"/>
              <w:right w:val="single" w:sz="4" w:space="0" w:color="auto"/>
            </w:tcBorders>
            <w:shd w:val="clear" w:color="FFFFFF" w:fill="FFFFFF"/>
            <w:noWrap/>
            <w:vAlign w:val="center"/>
            <w:hideMark/>
          </w:tcPr>
          <w:p w14:paraId="0F117D8C" w14:textId="0B582DC4" w:rsidR="00EE2589" w:rsidRPr="00425370" w:rsidRDefault="00EE2589" w:rsidP="00EE2589">
            <w:pPr>
              <w:jc w:val="right"/>
              <w:rPr>
                <w:rFonts w:cs="Arial"/>
                <w:color w:val="333333"/>
                <w:sz w:val="20"/>
                <w:szCs w:val="20"/>
              </w:rPr>
            </w:pPr>
            <w:r w:rsidRPr="00425370">
              <w:rPr>
                <w:rFonts w:cs="Arial"/>
                <w:color w:val="333333"/>
                <w:sz w:val="20"/>
                <w:szCs w:val="20"/>
              </w:rPr>
              <w:t>12.137.426</w:t>
            </w:r>
          </w:p>
        </w:tc>
        <w:tc>
          <w:tcPr>
            <w:tcW w:w="557" w:type="pct"/>
            <w:tcBorders>
              <w:top w:val="nil"/>
              <w:left w:val="nil"/>
              <w:bottom w:val="nil"/>
              <w:right w:val="nil"/>
            </w:tcBorders>
            <w:shd w:val="clear" w:color="FFFFFF" w:fill="FFFFFF"/>
            <w:noWrap/>
            <w:vAlign w:val="center"/>
            <w:hideMark/>
          </w:tcPr>
          <w:p w14:paraId="2D0A18E9" w14:textId="4CAF6276" w:rsidR="00EE2589" w:rsidRPr="00425370" w:rsidRDefault="00EE2589" w:rsidP="00EE2589">
            <w:pPr>
              <w:jc w:val="right"/>
              <w:rPr>
                <w:rFonts w:cs="Arial"/>
                <w:color w:val="333333"/>
                <w:sz w:val="20"/>
                <w:szCs w:val="20"/>
              </w:rPr>
            </w:pPr>
            <w:r w:rsidRPr="00425370">
              <w:rPr>
                <w:rFonts w:cs="Arial"/>
                <w:color w:val="333333"/>
                <w:sz w:val="20"/>
                <w:szCs w:val="20"/>
              </w:rPr>
              <w:t>12.161.795</w:t>
            </w:r>
          </w:p>
        </w:tc>
      </w:tr>
      <w:tr w:rsidR="00EE2589" w:rsidRPr="00425370" w14:paraId="4F827F95" w14:textId="77777777" w:rsidTr="000A6309">
        <w:trPr>
          <w:trHeight w:val="312"/>
        </w:trPr>
        <w:tc>
          <w:tcPr>
            <w:tcW w:w="2773" w:type="pct"/>
            <w:tcBorders>
              <w:top w:val="nil"/>
              <w:left w:val="nil"/>
              <w:bottom w:val="nil"/>
              <w:right w:val="single" w:sz="4" w:space="0" w:color="auto"/>
            </w:tcBorders>
            <w:shd w:val="clear" w:color="FFFFFF" w:fill="FFFFFF"/>
            <w:vAlign w:val="center"/>
            <w:hideMark/>
          </w:tcPr>
          <w:p w14:paraId="48EC0D1A" w14:textId="77777777" w:rsidR="00EE2589" w:rsidRPr="00425370" w:rsidRDefault="00EE2589" w:rsidP="00EE2589">
            <w:pPr>
              <w:ind w:left="214"/>
              <w:jc w:val="left"/>
              <w:rPr>
                <w:rFonts w:cs="Arial"/>
                <w:color w:val="333333"/>
                <w:sz w:val="20"/>
                <w:szCs w:val="20"/>
              </w:rPr>
            </w:pPr>
            <w:r w:rsidRPr="00425370">
              <w:rPr>
                <w:rFonts w:cs="Arial"/>
                <w:color w:val="333333"/>
                <w:sz w:val="20"/>
                <w:szCs w:val="20"/>
              </w:rPr>
              <w:t>(-) Despesas Correntes Intraorçamentárias</w:t>
            </w:r>
          </w:p>
        </w:tc>
        <w:tc>
          <w:tcPr>
            <w:tcW w:w="557" w:type="pct"/>
            <w:tcBorders>
              <w:top w:val="nil"/>
              <w:left w:val="nil"/>
              <w:bottom w:val="nil"/>
              <w:right w:val="single" w:sz="4" w:space="0" w:color="auto"/>
            </w:tcBorders>
            <w:shd w:val="clear" w:color="FFFFFF" w:fill="FFFFFF"/>
            <w:noWrap/>
            <w:vAlign w:val="center"/>
            <w:hideMark/>
          </w:tcPr>
          <w:p w14:paraId="22BF74B1" w14:textId="4B60B83B" w:rsidR="00EE2589" w:rsidRPr="00425370" w:rsidRDefault="00EE2589" w:rsidP="00EE2589">
            <w:pPr>
              <w:jc w:val="right"/>
              <w:rPr>
                <w:rFonts w:cs="Arial"/>
                <w:color w:val="333333"/>
                <w:sz w:val="20"/>
                <w:szCs w:val="20"/>
              </w:rPr>
            </w:pPr>
            <w:r w:rsidRPr="00425370">
              <w:rPr>
                <w:rFonts w:cs="Arial"/>
                <w:color w:val="333333"/>
                <w:sz w:val="20"/>
                <w:szCs w:val="20"/>
              </w:rPr>
              <w:t>1.498.698</w:t>
            </w:r>
          </w:p>
        </w:tc>
        <w:tc>
          <w:tcPr>
            <w:tcW w:w="557" w:type="pct"/>
            <w:tcBorders>
              <w:top w:val="nil"/>
              <w:left w:val="nil"/>
              <w:bottom w:val="nil"/>
              <w:right w:val="single" w:sz="4" w:space="0" w:color="auto"/>
            </w:tcBorders>
            <w:shd w:val="clear" w:color="FFFFFF" w:fill="FFFFFF"/>
            <w:noWrap/>
            <w:vAlign w:val="center"/>
            <w:hideMark/>
          </w:tcPr>
          <w:p w14:paraId="25EC6067" w14:textId="06DF2CF0" w:rsidR="00EE2589" w:rsidRPr="00425370" w:rsidRDefault="00EE2589" w:rsidP="00EE2589">
            <w:pPr>
              <w:jc w:val="right"/>
              <w:rPr>
                <w:rFonts w:cs="Arial"/>
                <w:color w:val="333333"/>
                <w:sz w:val="20"/>
                <w:szCs w:val="20"/>
              </w:rPr>
            </w:pPr>
            <w:r w:rsidRPr="00425370">
              <w:rPr>
                <w:rFonts w:cs="Arial"/>
                <w:color w:val="333333"/>
                <w:sz w:val="20"/>
                <w:szCs w:val="20"/>
              </w:rPr>
              <w:t>1.370.454</w:t>
            </w:r>
          </w:p>
        </w:tc>
        <w:tc>
          <w:tcPr>
            <w:tcW w:w="557" w:type="pct"/>
            <w:tcBorders>
              <w:top w:val="nil"/>
              <w:left w:val="nil"/>
              <w:bottom w:val="nil"/>
              <w:right w:val="single" w:sz="4" w:space="0" w:color="auto"/>
            </w:tcBorders>
            <w:shd w:val="clear" w:color="FFFFFF" w:fill="FFFFFF"/>
            <w:noWrap/>
            <w:vAlign w:val="center"/>
            <w:hideMark/>
          </w:tcPr>
          <w:p w14:paraId="783B086F" w14:textId="2F8C730A" w:rsidR="00EE2589" w:rsidRPr="00425370" w:rsidRDefault="00EE2589" w:rsidP="00EE2589">
            <w:pPr>
              <w:jc w:val="right"/>
              <w:rPr>
                <w:rFonts w:cs="Arial"/>
                <w:color w:val="333333"/>
                <w:sz w:val="20"/>
                <w:szCs w:val="20"/>
              </w:rPr>
            </w:pPr>
            <w:r w:rsidRPr="00425370">
              <w:rPr>
                <w:rFonts w:cs="Arial"/>
                <w:color w:val="333333"/>
                <w:sz w:val="20"/>
                <w:szCs w:val="20"/>
              </w:rPr>
              <w:t>1.525.840</w:t>
            </w:r>
          </w:p>
        </w:tc>
        <w:tc>
          <w:tcPr>
            <w:tcW w:w="557" w:type="pct"/>
            <w:tcBorders>
              <w:top w:val="nil"/>
              <w:left w:val="nil"/>
              <w:bottom w:val="nil"/>
              <w:right w:val="nil"/>
            </w:tcBorders>
            <w:shd w:val="clear" w:color="FFFFFF" w:fill="FFFFFF"/>
            <w:noWrap/>
            <w:vAlign w:val="center"/>
            <w:hideMark/>
          </w:tcPr>
          <w:p w14:paraId="0BBF934C" w14:textId="5F7444C5" w:rsidR="00EE2589" w:rsidRPr="00425370" w:rsidRDefault="00EE2589" w:rsidP="00EE2589">
            <w:pPr>
              <w:jc w:val="right"/>
              <w:rPr>
                <w:rFonts w:cs="Arial"/>
                <w:color w:val="333333"/>
                <w:sz w:val="20"/>
                <w:szCs w:val="20"/>
              </w:rPr>
            </w:pPr>
            <w:r w:rsidRPr="00425370">
              <w:rPr>
                <w:rFonts w:cs="Arial"/>
                <w:color w:val="333333"/>
                <w:sz w:val="20"/>
                <w:szCs w:val="20"/>
              </w:rPr>
              <w:t>1.632.240</w:t>
            </w:r>
          </w:p>
        </w:tc>
      </w:tr>
      <w:tr w:rsidR="00EE2589" w:rsidRPr="00425370" w14:paraId="1D103BA3" w14:textId="77777777" w:rsidTr="000A6309">
        <w:trPr>
          <w:trHeight w:val="312"/>
        </w:trPr>
        <w:tc>
          <w:tcPr>
            <w:tcW w:w="2773" w:type="pct"/>
            <w:tcBorders>
              <w:top w:val="nil"/>
              <w:left w:val="nil"/>
              <w:bottom w:val="nil"/>
              <w:right w:val="single" w:sz="4" w:space="0" w:color="auto"/>
            </w:tcBorders>
            <w:shd w:val="clear" w:color="FFFFFF" w:fill="FFFFFF"/>
            <w:vAlign w:val="center"/>
            <w:hideMark/>
          </w:tcPr>
          <w:p w14:paraId="5C656113" w14:textId="77777777" w:rsidR="00EE2589" w:rsidRPr="00425370" w:rsidRDefault="00EE2589" w:rsidP="00EE2589">
            <w:pPr>
              <w:ind w:left="214"/>
              <w:jc w:val="left"/>
              <w:rPr>
                <w:rFonts w:cs="Arial"/>
                <w:color w:val="333333"/>
                <w:sz w:val="20"/>
                <w:szCs w:val="20"/>
              </w:rPr>
            </w:pPr>
            <w:r w:rsidRPr="00425370">
              <w:rPr>
                <w:rFonts w:cs="Arial"/>
                <w:color w:val="333333"/>
                <w:sz w:val="20"/>
                <w:szCs w:val="20"/>
              </w:rPr>
              <w:t>(-) Despesas correntes primárias custeadas por empresas estatais consideradas não dependentes no ano base</w:t>
            </w:r>
          </w:p>
        </w:tc>
        <w:tc>
          <w:tcPr>
            <w:tcW w:w="557" w:type="pct"/>
            <w:tcBorders>
              <w:top w:val="nil"/>
              <w:left w:val="nil"/>
              <w:bottom w:val="nil"/>
              <w:right w:val="single" w:sz="4" w:space="0" w:color="auto"/>
            </w:tcBorders>
            <w:shd w:val="clear" w:color="FFFFFF" w:fill="FFFFFF"/>
            <w:noWrap/>
            <w:vAlign w:val="center"/>
            <w:hideMark/>
          </w:tcPr>
          <w:p w14:paraId="384A0FF6" w14:textId="4CBE58E9" w:rsidR="00EE2589" w:rsidRPr="00425370" w:rsidRDefault="00EE2589" w:rsidP="00EE2589">
            <w:pPr>
              <w:jc w:val="right"/>
              <w:rPr>
                <w:rFonts w:cs="Arial"/>
                <w:color w:val="333333"/>
                <w:sz w:val="20"/>
                <w:szCs w:val="20"/>
              </w:rPr>
            </w:pPr>
            <w:r w:rsidRPr="00425370">
              <w:rPr>
                <w:rFonts w:cs="Arial"/>
                <w:color w:val="333333"/>
                <w:sz w:val="20"/>
                <w:szCs w:val="20"/>
              </w:rPr>
              <w:t>-</w:t>
            </w:r>
          </w:p>
        </w:tc>
        <w:tc>
          <w:tcPr>
            <w:tcW w:w="557" w:type="pct"/>
            <w:tcBorders>
              <w:top w:val="nil"/>
              <w:left w:val="nil"/>
              <w:bottom w:val="nil"/>
              <w:right w:val="single" w:sz="4" w:space="0" w:color="auto"/>
            </w:tcBorders>
            <w:shd w:val="clear" w:color="FFFFFF" w:fill="FFFFFF"/>
            <w:noWrap/>
            <w:vAlign w:val="center"/>
            <w:hideMark/>
          </w:tcPr>
          <w:p w14:paraId="0C532617" w14:textId="05F39095" w:rsidR="00EE2589" w:rsidRPr="00425370" w:rsidRDefault="00EE2589" w:rsidP="00EE2589">
            <w:pPr>
              <w:jc w:val="right"/>
              <w:rPr>
                <w:rFonts w:cs="Arial"/>
                <w:color w:val="333333"/>
                <w:sz w:val="20"/>
                <w:szCs w:val="20"/>
              </w:rPr>
            </w:pPr>
            <w:r w:rsidRPr="00425370">
              <w:rPr>
                <w:rFonts w:cs="Arial"/>
                <w:color w:val="333333"/>
                <w:sz w:val="20"/>
                <w:szCs w:val="20"/>
              </w:rPr>
              <w:t>187.767</w:t>
            </w:r>
          </w:p>
        </w:tc>
        <w:tc>
          <w:tcPr>
            <w:tcW w:w="557" w:type="pct"/>
            <w:tcBorders>
              <w:top w:val="nil"/>
              <w:left w:val="nil"/>
              <w:bottom w:val="nil"/>
              <w:right w:val="single" w:sz="4" w:space="0" w:color="auto"/>
            </w:tcBorders>
            <w:shd w:val="clear" w:color="FFFFFF" w:fill="FFFFFF"/>
            <w:noWrap/>
            <w:vAlign w:val="center"/>
            <w:hideMark/>
          </w:tcPr>
          <w:p w14:paraId="6CE8EC09" w14:textId="15517F8E" w:rsidR="00EE2589" w:rsidRPr="00425370" w:rsidRDefault="00EE2589" w:rsidP="00EE2589">
            <w:pPr>
              <w:jc w:val="right"/>
              <w:rPr>
                <w:rFonts w:cs="Arial"/>
                <w:color w:val="333333"/>
                <w:sz w:val="20"/>
                <w:szCs w:val="20"/>
              </w:rPr>
            </w:pPr>
            <w:r w:rsidRPr="00425370">
              <w:rPr>
                <w:rFonts w:cs="Arial"/>
                <w:color w:val="333333"/>
                <w:sz w:val="20"/>
                <w:szCs w:val="20"/>
              </w:rPr>
              <w:t>294.642</w:t>
            </w:r>
          </w:p>
        </w:tc>
        <w:tc>
          <w:tcPr>
            <w:tcW w:w="557" w:type="pct"/>
            <w:tcBorders>
              <w:top w:val="nil"/>
              <w:left w:val="nil"/>
              <w:bottom w:val="nil"/>
              <w:right w:val="nil"/>
            </w:tcBorders>
            <w:shd w:val="clear" w:color="FFFFFF" w:fill="FFFFFF"/>
            <w:noWrap/>
            <w:vAlign w:val="center"/>
            <w:hideMark/>
          </w:tcPr>
          <w:p w14:paraId="3EB41180" w14:textId="2CB3831A" w:rsidR="00EE2589" w:rsidRPr="00425370" w:rsidRDefault="00EE2589" w:rsidP="00EE2589">
            <w:pPr>
              <w:jc w:val="right"/>
              <w:rPr>
                <w:rFonts w:cs="Arial"/>
                <w:color w:val="333333"/>
                <w:sz w:val="20"/>
                <w:szCs w:val="20"/>
              </w:rPr>
            </w:pPr>
            <w:r w:rsidRPr="00425370">
              <w:rPr>
                <w:rFonts w:cs="Arial"/>
                <w:color w:val="333333"/>
                <w:sz w:val="20"/>
                <w:szCs w:val="20"/>
              </w:rPr>
              <w:t>362.988</w:t>
            </w:r>
          </w:p>
        </w:tc>
      </w:tr>
      <w:tr w:rsidR="00EE2589" w:rsidRPr="00425370" w14:paraId="1AC0FAB8" w14:textId="77777777" w:rsidTr="000A6309">
        <w:trPr>
          <w:trHeight w:val="312"/>
        </w:trPr>
        <w:tc>
          <w:tcPr>
            <w:tcW w:w="2773" w:type="pct"/>
            <w:tcBorders>
              <w:top w:val="nil"/>
              <w:left w:val="nil"/>
              <w:bottom w:val="nil"/>
              <w:right w:val="single" w:sz="4" w:space="0" w:color="auto"/>
            </w:tcBorders>
            <w:shd w:val="clear" w:color="FFFFFF" w:fill="FFFFFF"/>
            <w:vAlign w:val="center"/>
            <w:hideMark/>
          </w:tcPr>
          <w:p w14:paraId="12CC916B" w14:textId="77777777" w:rsidR="00EE2589" w:rsidRPr="00425370" w:rsidRDefault="00EE2589" w:rsidP="00EE2589">
            <w:pPr>
              <w:ind w:left="214"/>
              <w:jc w:val="left"/>
              <w:rPr>
                <w:rFonts w:cs="Arial"/>
                <w:color w:val="333333"/>
                <w:sz w:val="20"/>
                <w:szCs w:val="20"/>
              </w:rPr>
            </w:pPr>
            <w:r w:rsidRPr="00425370">
              <w:rPr>
                <w:rFonts w:cs="Arial"/>
                <w:color w:val="333333"/>
                <w:sz w:val="20"/>
                <w:szCs w:val="20"/>
              </w:rPr>
              <w:t>(-) Despesas decorrentes de decisão judicial</w:t>
            </w:r>
          </w:p>
        </w:tc>
        <w:tc>
          <w:tcPr>
            <w:tcW w:w="557" w:type="pct"/>
            <w:tcBorders>
              <w:top w:val="nil"/>
              <w:left w:val="nil"/>
              <w:bottom w:val="nil"/>
              <w:right w:val="single" w:sz="4" w:space="0" w:color="auto"/>
            </w:tcBorders>
            <w:shd w:val="clear" w:color="FFFFFF" w:fill="FFFFFF"/>
            <w:noWrap/>
            <w:vAlign w:val="center"/>
            <w:hideMark/>
          </w:tcPr>
          <w:p w14:paraId="4CF367FF" w14:textId="4AA2FB05" w:rsidR="00EE2589" w:rsidRPr="00425370" w:rsidRDefault="00EE2589" w:rsidP="00EE2589">
            <w:pPr>
              <w:jc w:val="right"/>
              <w:rPr>
                <w:rFonts w:cs="Arial"/>
                <w:color w:val="333333"/>
                <w:sz w:val="20"/>
                <w:szCs w:val="20"/>
              </w:rPr>
            </w:pPr>
            <w:r w:rsidRPr="00425370">
              <w:rPr>
                <w:rFonts w:cs="Arial"/>
                <w:color w:val="333333"/>
                <w:sz w:val="20"/>
                <w:szCs w:val="20"/>
              </w:rPr>
              <w:t>1.079.857</w:t>
            </w:r>
          </w:p>
        </w:tc>
        <w:tc>
          <w:tcPr>
            <w:tcW w:w="557" w:type="pct"/>
            <w:tcBorders>
              <w:top w:val="nil"/>
              <w:left w:val="nil"/>
              <w:bottom w:val="nil"/>
              <w:right w:val="single" w:sz="4" w:space="0" w:color="auto"/>
            </w:tcBorders>
            <w:shd w:val="clear" w:color="FFFFFF" w:fill="FFFFFF"/>
            <w:noWrap/>
            <w:vAlign w:val="center"/>
            <w:hideMark/>
          </w:tcPr>
          <w:p w14:paraId="30E98F55" w14:textId="24523AE1" w:rsidR="00EE2589" w:rsidRPr="00425370" w:rsidRDefault="00EE2589" w:rsidP="00EE2589">
            <w:pPr>
              <w:jc w:val="right"/>
              <w:rPr>
                <w:rFonts w:cs="Arial"/>
                <w:color w:val="333333"/>
                <w:sz w:val="20"/>
                <w:szCs w:val="20"/>
              </w:rPr>
            </w:pPr>
            <w:r w:rsidRPr="00425370">
              <w:rPr>
                <w:rFonts w:cs="Arial"/>
                <w:color w:val="333333"/>
                <w:sz w:val="20"/>
                <w:szCs w:val="20"/>
              </w:rPr>
              <w:t>1.428.285</w:t>
            </w:r>
          </w:p>
        </w:tc>
        <w:tc>
          <w:tcPr>
            <w:tcW w:w="557" w:type="pct"/>
            <w:tcBorders>
              <w:top w:val="nil"/>
              <w:left w:val="nil"/>
              <w:bottom w:val="nil"/>
              <w:right w:val="single" w:sz="4" w:space="0" w:color="auto"/>
            </w:tcBorders>
            <w:shd w:val="clear" w:color="FFFFFF" w:fill="FFFFFF"/>
            <w:noWrap/>
            <w:vAlign w:val="center"/>
            <w:hideMark/>
          </w:tcPr>
          <w:p w14:paraId="0B2C86B9" w14:textId="627F8740" w:rsidR="00EE2589" w:rsidRPr="00425370" w:rsidRDefault="00EE2589" w:rsidP="00EE2589">
            <w:pPr>
              <w:jc w:val="right"/>
              <w:rPr>
                <w:rFonts w:cs="Arial"/>
                <w:color w:val="333333"/>
                <w:sz w:val="20"/>
                <w:szCs w:val="20"/>
              </w:rPr>
            </w:pPr>
            <w:r w:rsidRPr="00425370">
              <w:rPr>
                <w:rFonts w:cs="Arial"/>
                <w:color w:val="333333"/>
                <w:sz w:val="20"/>
                <w:szCs w:val="20"/>
              </w:rPr>
              <w:t>1.486.055</w:t>
            </w:r>
          </w:p>
        </w:tc>
        <w:tc>
          <w:tcPr>
            <w:tcW w:w="557" w:type="pct"/>
            <w:tcBorders>
              <w:top w:val="nil"/>
              <w:left w:val="nil"/>
              <w:bottom w:val="nil"/>
              <w:right w:val="nil"/>
            </w:tcBorders>
            <w:shd w:val="clear" w:color="FFFFFF" w:fill="FFFFFF"/>
            <w:noWrap/>
            <w:vAlign w:val="center"/>
            <w:hideMark/>
          </w:tcPr>
          <w:p w14:paraId="46392EB0" w14:textId="7C845E97" w:rsidR="00EE2589" w:rsidRPr="00425370" w:rsidRDefault="00EE2589" w:rsidP="00EE2589">
            <w:pPr>
              <w:jc w:val="right"/>
              <w:rPr>
                <w:rFonts w:cs="Arial"/>
                <w:color w:val="333333"/>
                <w:sz w:val="20"/>
                <w:szCs w:val="20"/>
              </w:rPr>
            </w:pPr>
            <w:r w:rsidRPr="00425370">
              <w:rPr>
                <w:rFonts w:cs="Arial"/>
                <w:color w:val="333333"/>
                <w:sz w:val="20"/>
                <w:szCs w:val="20"/>
              </w:rPr>
              <w:t>1.977.160</w:t>
            </w:r>
          </w:p>
        </w:tc>
      </w:tr>
      <w:tr w:rsidR="00EE2589" w:rsidRPr="00425370" w14:paraId="554A5331" w14:textId="77777777" w:rsidTr="000A6309">
        <w:trPr>
          <w:trHeight w:val="312"/>
        </w:trPr>
        <w:tc>
          <w:tcPr>
            <w:tcW w:w="2773" w:type="pct"/>
            <w:tcBorders>
              <w:top w:val="nil"/>
              <w:left w:val="nil"/>
              <w:bottom w:val="nil"/>
              <w:right w:val="single" w:sz="4" w:space="0" w:color="auto"/>
            </w:tcBorders>
            <w:shd w:val="clear" w:color="auto" w:fill="auto"/>
            <w:vAlign w:val="center"/>
            <w:hideMark/>
          </w:tcPr>
          <w:p w14:paraId="785F2415" w14:textId="77777777" w:rsidR="00EE2589" w:rsidRPr="00425370" w:rsidRDefault="00EE2589" w:rsidP="00EE2589">
            <w:pPr>
              <w:jc w:val="left"/>
              <w:rPr>
                <w:rFonts w:cs="Arial"/>
                <w:b/>
                <w:bCs/>
                <w:color w:val="000000"/>
                <w:sz w:val="20"/>
                <w:szCs w:val="20"/>
              </w:rPr>
            </w:pPr>
            <w:r w:rsidRPr="00425370">
              <w:rPr>
                <w:rFonts w:cs="Arial"/>
                <w:b/>
                <w:bCs/>
                <w:color w:val="000000"/>
                <w:sz w:val="20"/>
                <w:szCs w:val="20"/>
              </w:rPr>
              <w:t>Deduções da Despesa (II)</w:t>
            </w:r>
          </w:p>
        </w:tc>
        <w:tc>
          <w:tcPr>
            <w:tcW w:w="557" w:type="pct"/>
            <w:tcBorders>
              <w:top w:val="nil"/>
              <w:left w:val="nil"/>
              <w:bottom w:val="nil"/>
              <w:right w:val="single" w:sz="4" w:space="0" w:color="auto"/>
            </w:tcBorders>
            <w:shd w:val="clear" w:color="auto" w:fill="auto"/>
            <w:vAlign w:val="center"/>
            <w:hideMark/>
          </w:tcPr>
          <w:p w14:paraId="74F81F27" w14:textId="6248649A" w:rsidR="00EE2589" w:rsidRPr="00425370" w:rsidRDefault="00EE2589" w:rsidP="00EE2589">
            <w:pPr>
              <w:jc w:val="right"/>
              <w:rPr>
                <w:rFonts w:cs="Arial"/>
                <w:b/>
                <w:bCs/>
                <w:color w:val="000000"/>
                <w:sz w:val="20"/>
                <w:szCs w:val="20"/>
              </w:rPr>
            </w:pPr>
            <w:r w:rsidRPr="00425370">
              <w:rPr>
                <w:rFonts w:cs="Arial"/>
                <w:b/>
                <w:bCs/>
                <w:color w:val="000000"/>
                <w:sz w:val="20"/>
                <w:szCs w:val="20"/>
              </w:rPr>
              <w:t>959.664</w:t>
            </w:r>
          </w:p>
        </w:tc>
        <w:tc>
          <w:tcPr>
            <w:tcW w:w="557" w:type="pct"/>
            <w:tcBorders>
              <w:top w:val="nil"/>
              <w:left w:val="nil"/>
              <w:bottom w:val="nil"/>
              <w:right w:val="single" w:sz="4" w:space="0" w:color="auto"/>
            </w:tcBorders>
            <w:shd w:val="clear" w:color="auto" w:fill="auto"/>
            <w:vAlign w:val="center"/>
            <w:hideMark/>
          </w:tcPr>
          <w:p w14:paraId="6DD0202A" w14:textId="090FDFA8" w:rsidR="00EE2589" w:rsidRPr="00425370" w:rsidRDefault="00EE2589" w:rsidP="00EE2589">
            <w:pPr>
              <w:jc w:val="right"/>
              <w:rPr>
                <w:rFonts w:cs="Arial"/>
                <w:b/>
                <w:bCs/>
                <w:color w:val="000000"/>
                <w:sz w:val="20"/>
                <w:szCs w:val="20"/>
              </w:rPr>
            </w:pPr>
            <w:r w:rsidRPr="00425370">
              <w:rPr>
                <w:rFonts w:cs="Arial"/>
                <w:b/>
                <w:bCs/>
                <w:color w:val="000000"/>
                <w:sz w:val="20"/>
                <w:szCs w:val="20"/>
              </w:rPr>
              <w:t>2.587.836</w:t>
            </w:r>
          </w:p>
        </w:tc>
        <w:tc>
          <w:tcPr>
            <w:tcW w:w="557" w:type="pct"/>
            <w:tcBorders>
              <w:top w:val="nil"/>
              <w:left w:val="nil"/>
              <w:bottom w:val="nil"/>
              <w:right w:val="single" w:sz="4" w:space="0" w:color="auto"/>
            </w:tcBorders>
            <w:shd w:val="clear" w:color="auto" w:fill="auto"/>
            <w:vAlign w:val="center"/>
            <w:hideMark/>
          </w:tcPr>
          <w:p w14:paraId="646ED4FB" w14:textId="4BC614B6" w:rsidR="00EE2589" w:rsidRPr="00425370" w:rsidRDefault="00EE2589" w:rsidP="00EE2589">
            <w:pPr>
              <w:jc w:val="right"/>
              <w:rPr>
                <w:rFonts w:cs="Arial"/>
                <w:b/>
                <w:bCs/>
                <w:color w:val="000000"/>
                <w:sz w:val="20"/>
                <w:szCs w:val="20"/>
              </w:rPr>
            </w:pPr>
            <w:r w:rsidRPr="00425370">
              <w:rPr>
                <w:rFonts w:cs="Arial"/>
                <w:b/>
                <w:bCs/>
                <w:color w:val="000000"/>
                <w:sz w:val="20"/>
                <w:szCs w:val="20"/>
              </w:rPr>
              <w:t>2.947.250</w:t>
            </w:r>
          </w:p>
        </w:tc>
        <w:tc>
          <w:tcPr>
            <w:tcW w:w="557" w:type="pct"/>
            <w:tcBorders>
              <w:top w:val="nil"/>
              <w:left w:val="nil"/>
              <w:bottom w:val="nil"/>
              <w:right w:val="nil"/>
            </w:tcBorders>
            <w:shd w:val="clear" w:color="auto" w:fill="auto"/>
            <w:vAlign w:val="center"/>
            <w:hideMark/>
          </w:tcPr>
          <w:p w14:paraId="0AED866A" w14:textId="146382C8" w:rsidR="00EE2589" w:rsidRPr="00425370" w:rsidRDefault="00EE2589" w:rsidP="00EE2589">
            <w:pPr>
              <w:jc w:val="right"/>
              <w:rPr>
                <w:rFonts w:cs="Arial"/>
                <w:b/>
                <w:bCs/>
                <w:color w:val="000000"/>
                <w:sz w:val="20"/>
                <w:szCs w:val="20"/>
              </w:rPr>
            </w:pPr>
            <w:r w:rsidRPr="00425370">
              <w:rPr>
                <w:rFonts w:cs="Arial"/>
                <w:b/>
                <w:bCs/>
                <w:color w:val="000000"/>
                <w:sz w:val="20"/>
                <w:szCs w:val="20"/>
              </w:rPr>
              <w:t>3.795.579</w:t>
            </w:r>
          </w:p>
        </w:tc>
      </w:tr>
      <w:tr w:rsidR="00EE2589" w:rsidRPr="00425370" w14:paraId="12B68AF5" w14:textId="77777777" w:rsidTr="000A6309">
        <w:trPr>
          <w:trHeight w:val="312"/>
        </w:trPr>
        <w:tc>
          <w:tcPr>
            <w:tcW w:w="2773" w:type="pct"/>
            <w:tcBorders>
              <w:top w:val="nil"/>
              <w:left w:val="nil"/>
              <w:bottom w:val="nil"/>
              <w:right w:val="single" w:sz="4" w:space="0" w:color="auto"/>
            </w:tcBorders>
            <w:shd w:val="clear" w:color="FFFFFF" w:fill="FFFFFF"/>
            <w:vAlign w:val="center"/>
            <w:hideMark/>
          </w:tcPr>
          <w:p w14:paraId="1F6671F8" w14:textId="77777777" w:rsidR="00EE2589" w:rsidRPr="00425370" w:rsidRDefault="00EE2589" w:rsidP="00EE2589">
            <w:pPr>
              <w:ind w:left="214"/>
              <w:jc w:val="left"/>
              <w:rPr>
                <w:rFonts w:cs="Arial"/>
                <w:color w:val="333333"/>
                <w:sz w:val="20"/>
                <w:szCs w:val="20"/>
              </w:rPr>
            </w:pPr>
            <w:r w:rsidRPr="00425370">
              <w:rPr>
                <w:rFonts w:cs="Arial"/>
                <w:color w:val="333333"/>
                <w:sz w:val="20"/>
                <w:szCs w:val="20"/>
              </w:rPr>
              <w:t>Contribuições para o PIS/PASEP</w:t>
            </w:r>
          </w:p>
        </w:tc>
        <w:tc>
          <w:tcPr>
            <w:tcW w:w="557" w:type="pct"/>
            <w:tcBorders>
              <w:top w:val="nil"/>
              <w:left w:val="nil"/>
              <w:bottom w:val="nil"/>
              <w:right w:val="single" w:sz="4" w:space="0" w:color="auto"/>
            </w:tcBorders>
            <w:shd w:val="clear" w:color="FFFFFF" w:fill="FFFFFF"/>
            <w:noWrap/>
            <w:vAlign w:val="center"/>
            <w:hideMark/>
          </w:tcPr>
          <w:p w14:paraId="382EF18A" w14:textId="49771285" w:rsidR="00EE2589" w:rsidRPr="00425370" w:rsidRDefault="00EE2589" w:rsidP="00EE2589">
            <w:pPr>
              <w:jc w:val="right"/>
              <w:rPr>
                <w:rFonts w:cs="Arial"/>
                <w:color w:val="333333"/>
                <w:sz w:val="20"/>
                <w:szCs w:val="20"/>
              </w:rPr>
            </w:pPr>
            <w:r w:rsidRPr="00425370">
              <w:rPr>
                <w:rFonts w:cs="Arial"/>
                <w:color w:val="333333"/>
                <w:sz w:val="20"/>
                <w:szCs w:val="20"/>
              </w:rPr>
              <w:t>308.142</w:t>
            </w:r>
          </w:p>
        </w:tc>
        <w:tc>
          <w:tcPr>
            <w:tcW w:w="557" w:type="pct"/>
            <w:tcBorders>
              <w:top w:val="nil"/>
              <w:left w:val="nil"/>
              <w:bottom w:val="nil"/>
              <w:right w:val="single" w:sz="4" w:space="0" w:color="auto"/>
            </w:tcBorders>
            <w:shd w:val="clear" w:color="FFFFFF" w:fill="FFFFFF"/>
            <w:noWrap/>
            <w:vAlign w:val="center"/>
            <w:hideMark/>
          </w:tcPr>
          <w:p w14:paraId="7BF508AE" w14:textId="57812511" w:rsidR="00EE2589" w:rsidRPr="00425370" w:rsidRDefault="00EE2589" w:rsidP="00EE2589">
            <w:pPr>
              <w:jc w:val="right"/>
              <w:rPr>
                <w:rFonts w:cs="Arial"/>
                <w:color w:val="333333"/>
                <w:sz w:val="20"/>
                <w:szCs w:val="20"/>
              </w:rPr>
            </w:pPr>
            <w:r w:rsidRPr="00425370">
              <w:rPr>
                <w:rFonts w:cs="Arial"/>
                <w:color w:val="333333"/>
                <w:sz w:val="20"/>
                <w:szCs w:val="20"/>
              </w:rPr>
              <w:t>368.521</w:t>
            </w:r>
          </w:p>
        </w:tc>
        <w:tc>
          <w:tcPr>
            <w:tcW w:w="557" w:type="pct"/>
            <w:tcBorders>
              <w:top w:val="nil"/>
              <w:left w:val="nil"/>
              <w:bottom w:val="nil"/>
              <w:right w:val="single" w:sz="4" w:space="0" w:color="auto"/>
            </w:tcBorders>
            <w:shd w:val="clear" w:color="FFFFFF" w:fill="FFFFFF"/>
            <w:noWrap/>
            <w:vAlign w:val="center"/>
            <w:hideMark/>
          </w:tcPr>
          <w:p w14:paraId="025AFB58" w14:textId="60978517" w:rsidR="00EE2589" w:rsidRPr="00425370" w:rsidRDefault="00EE2589" w:rsidP="00EE2589">
            <w:pPr>
              <w:jc w:val="right"/>
              <w:rPr>
                <w:rFonts w:cs="Arial"/>
                <w:color w:val="333333"/>
                <w:sz w:val="20"/>
                <w:szCs w:val="20"/>
              </w:rPr>
            </w:pPr>
            <w:r w:rsidRPr="00425370">
              <w:rPr>
                <w:rFonts w:cs="Arial"/>
                <w:color w:val="333333"/>
                <w:sz w:val="20"/>
                <w:szCs w:val="20"/>
              </w:rPr>
              <w:t>383.869</w:t>
            </w:r>
          </w:p>
        </w:tc>
        <w:tc>
          <w:tcPr>
            <w:tcW w:w="557" w:type="pct"/>
            <w:tcBorders>
              <w:top w:val="nil"/>
              <w:left w:val="nil"/>
              <w:bottom w:val="nil"/>
              <w:right w:val="nil"/>
            </w:tcBorders>
            <w:shd w:val="clear" w:color="FFFFFF" w:fill="FFFFFF"/>
            <w:noWrap/>
            <w:vAlign w:val="center"/>
            <w:hideMark/>
          </w:tcPr>
          <w:p w14:paraId="77690375" w14:textId="4B2E104D" w:rsidR="00EE2589" w:rsidRPr="00425370" w:rsidRDefault="00EE2589" w:rsidP="00EE2589">
            <w:pPr>
              <w:jc w:val="right"/>
              <w:rPr>
                <w:rFonts w:cs="Arial"/>
                <w:color w:val="333333"/>
                <w:sz w:val="20"/>
                <w:szCs w:val="20"/>
              </w:rPr>
            </w:pPr>
            <w:r w:rsidRPr="00425370">
              <w:rPr>
                <w:rFonts w:cs="Arial"/>
                <w:color w:val="333333"/>
                <w:sz w:val="20"/>
                <w:szCs w:val="20"/>
              </w:rPr>
              <w:t>427.238</w:t>
            </w:r>
          </w:p>
        </w:tc>
      </w:tr>
      <w:tr w:rsidR="00EE2589" w:rsidRPr="00425370" w14:paraId="04094566" w14:textId="77777777" w:rsidTr="000A6309">
        <w:trPr>
          <w:trHeight w:val="312"/>
        </w:trPr>
        <w:tc>
          <w:tcPr>
            <w:tcW w:w="2773" w:type="pct"/>
            <w:tcBorders>
              <w:top w:val="nil"/>
              <w:left w:val="nil"/>
              <w:bottom w:val="nil"/>
              <w:right w:val="single" w:sz="4" w:space="0" w:color="auto"/>
            </w:tcBorders>
            <w:shd w:val="clear" w:color="FFFFFF" w:fill="FFFFFF"/>
            <w:vAlign w:val="center"/>
            <w:hideMark/>
          </w:tcPr>
          <w:p w14:paraId="7FFD8F53" w14:textId="77777777" w:rsidR="00EE2589" w:rsidRPr="00425370" w:rsidRDefault="00EE2589" w:rsidP="00EE2589">
            <w:pPr>
              <w:ind w:left="214"/>
              <w:jc w:val="left"/>
              <w:rPr>
                <w:rFonts w:cs="Arial"/>
                <w:color w:val="333333"/>
                <w:sz w:val="20"/>
                <w:szCs w:val="20"/>
              </w:rPr>
            </w:pPr>
            <w:r w:rsidRPr="00425370">
              <w:rPr>
                <w:rFonts w:cs="Arial"/>
                <w:color w:val="333333"/>
                <w:sz w:val="20"/>
                <w:szCs w:val="20"/>
              </w:rPr>
              <w:t>Custeadas com as transferências da União com aplicações vinculadas</w:t>
            </w:r>
          </w:p>
        </w:tc>
        <w:tc>
          <w:tcPr>
            <w:tcW w:w="557" w:type="pct"/>
            <w:tcBorders>
              <w:top w:val="nil"/>
              <w:left w:val="nil"/>
              <w:bottom w:val="nil"/>
              <w:right w:val="single" w:sz="4" w:space="0" w:color="auto"/>
            </w:tcBorders>
            <w:shd w:val="clear" w:color="FFFFFF" w:fill="FFFFFF"/>
            <w:noWrap/>
            <w:vAlign w:val="center"/>
            <w:hideMark/>
          </w:tcPr>
          <w:p w14:paraId="3D705771" w14:textId="0A1F0AF7" w:rsidR="00EE2589" w:rsidRPr="00425370" w:rsidRDefault="00EE2589" w:rsidP="00EE2589">
            <w:pPr>
              <w:jc w:val="right"/>
              <w:rPr>
                <w:rFonts w:cs="Arial"/>
                <w:color w:val="333333"/>
                <w:sz w:val="20"/>
                <w:szCs w:val="20"/>
              </w:rPr>
            </w:pPr>
            <w:r w:rsidRPr="00425370">
              <w:rPr>
                <w:rFonts w:cs="Arial"/>
                <w:color w:val="333333"/>
                <w:sz w:val="20"/>
                <w:szCs w:val="20"/>
              </w:rPr>
              <w:t>651.522</w:t>
            </w:r>
          </w:p>
        </w:tc>
        <w:tc>
          <w:tcPr>
            <w:tcW w:w="557" w:type="pct"/>
            <w:tcBorders>
              <w:top w:val="nil"/>
              <w:left w:val="nil"/>
              <w:bottom w:val="nil"/>
              <w:right w:val="single" w:sz="4" w:space="0" w:color="auto"/>
            </w:tcBorders>
            <w:shd w:val="clear" w:color="FFFFFF" w:fill="FFFFFF"/>
            <w:noWrap/>
            <w:vAlign w:val="center"/>
            <w:hideMark/>
          </w:tcPr>
          <w:p w14:paraId="19D7604C" w14:textId="2D9C741F" w:rsidR="00EE2589" w:rsidRPr="00425370" w:rsidRDefault="00EE2589" w:rsidP="00EE2589">
            <w:pPr>
              <w:jc w:val="right"/>
              <w:rPr>
                <w:rFonts w:cs="Arial"/>
                <w:color w:val="333333"/>
                <w:sz w:val="20"/>
                <w:szCs w:val="20"/>
              </w:rPr>
            </w:pPr>
            <w:r w:rsidRPr="00425370">
              <w:rPr>
                <w:rFonts w:cs="Arial"/>
                <w:color w:val="333333"/>
                <w:sz w:val="20"/>
                <w:szCs w:val="20"/>
              </w:rPr>
              <w:t>851.697</w:t>
            </w:r>
          </w:p>
        </w:tc>
        <w:tc>
          <w:tcPr>
            <w:tcW w:w="557" w:type="pct"/>
            <w:tcBorders>
              <w:top w:val="nil"/>
              <w:left w:val="nil"/>
              <w:bottom w:val="nil"/>
              <w:right w:val="single" w:sz="4" w:space="0" w:color="auto"/>
            </w:tcBorders>
            <w:shd w:val="clear" w:color="FFFFFF" w:fill="FFFFFF"/>
            <w:noWrap/>
            <w:vAlign w:val="center"/>
            <w:hideMark/>
          </w:tcPr>
          <w:p w14:paraId="7695F9B4" w14:textId="6357156E" w:rsidR="00EE2589" w:rsidRPr="00425370" w:rsidRDefault="00EE2589" w:rsidP="00EE2589">
            <w:pPr>
              <w:jc w:val="right"/>
              <w:rPr>
                <w:rFonts w:cs="Arial"/>
                <w:color w:val="333333"/>
                <w:sz w:val="20"/>
                <w:szCs w:val="20"/>
              </w:rPr>
            </w:pPr>
            <w:r w:rsidRPr="00425370">
              <w:rPr>
                <w:rFonts w:cs="Arial"/>
                <w:color w:val="333333"/>
                <w:sz w:val="20"/>
                <w:szCs w:val="20"/>
              </w:rPr>
              <w:t>683.316</w:t>
            </w:r>
          </w:p>
        </w:tc>
        <w:tc>
          <w:tcPr>
            <w:tcW w:w="557" w:type="pct"/>
            <w:tcBorders>
              <w:top w:val="nil"/>
              <w:left w:val="nil"/>
              <w:bottom w:val="nil"/>
              <w:right w:val="nil"/>
            </w:tcBorders>
            <w:shd w:val="clear" w:color="FFFFFF" w:fill="FFFFFF"/>
            <w:noWrap/>
            <w:vAlign w:val="center"/>
            <w:hideMark/>
          </w:tcPr>
          <w:p w14:paraId="72997423" w14:textId="48067D77" w:rsidR="00EE2589" w:rsidRPr="00425370" w:rsidRDefault="00EE2589" w:rsidP="00EE2589">
            <w:pPr>
              <w:jc w:val="right"/>
              <w:rPr>
                <w:rFonts w:cs="Arial"/>
                <w:color w:val="333333"/>
                <w:sz w:val="20"/>
                <w:szCs w:val="20"/>
              </w:rPr>
            </w:pPr>
            <w:r w:rsidRPr="00425370">
              <w:rPr>
                <w:rFonts w:cs="Arial"/>
                <w:color w:val="333333"/>
                <w:sz w:val="20"/>
                <w:szCs w:val="20"/>
              </w:rPr>
              <w:t>1.164.274</w:t>
            </w:r>
          </w:p>
        </w:tc>
      </w:tr>
      <w:tr w:rsidR="00EE2589" w:rsidRPr="00425370" w14:paraId="33AA273F" w14:textId="77777777" w:rsidTr="000A6309">
        <w:trPr>
          <w:trHeight w:val="312"/>
        </w:trPr>
        <w:tc>
          <w:tcPr>
            <w:tcW w:w="2773" w:type="pct"/>
            <w:tcBorders>
              <w:top w:val="nil"/>
              <w:left w:val="nil"/>
              <w:bottom w:val="single" w:sz="4" w:space="0" w:color="auto"/>
              <w:right w:val="single" w:sz="4" w:space="0" w:color="auto"/>
            </w:tcBorders>
            <w:shd w:val="clear" w:color="FFFFFF" w:fill="FFFFFF"/>
            <w:vAlign w:val="center"/>
            <w:hideMark/>
          </w:tcPr>
          <w:p w14:paraId="72B81612" w14:textId="77777777" w:rsidR="00EE2589" w:rsidRPr="00425370" w:rsidRDefault="00EE2589" w:rsidP="00EE2589">
            <w:pPr>
              <w:ind w:left="214"/>
              <w:rPr>
                <w:rFonts w:cs="Arial"/>
                <w:color w:val="333333"/>
                <w:sz w:val="20"/>
                <w:szCs w:val="20"/>
              </w:rPr>
            </w:pPr>
            <w:r w:rsidRPr="00425370">
              <w:rPr>
                <w:rFonts w:cs="Arial"/>
                <w:color w:val="333333"/>
                <w:sz w:val="20"/>
                <w:szCs w:val="20"/>
              </w:rPr>
              <w:t>Realizadas pelo ente em razão de diferença positiva entre a variação anual das bases de cálculo das aplicações mínimas em saúde e educação e a variação do IPCA no mesmo período</w:t>
            </w:r>
          </w:p>
        </w:tc>
        <w:tc>
          <w:tcPr>
            <w:tcW w:w="557" w:type="pct"/>
            <w:tcBorders>
              <w:top w:val="nil"/>
              <w:left w:val="nil"/>
              <w:bottom w:val="single" w:sz="4" w:space="0" w:color="auto"/>
              <w:right w:val="single" w:sz="4" w:space="0" w:color="auto"/>
            </w:tcBorders>
            <w:shd w:val="clear" w:color="FFFFFF" w:fill="FFFFFF"/>
            <w:noWrap/>
            <w:vAlign w:val="center"/>
            <w:hideMark/>
          </w:tcPr>
          <w:p w14:paraId="1B339D56" w14:textId="20A99885" w:rsidR="00EE2589" w:rsidRPr="00425370" w:rsidRDefault="00EE2589" w:rsidP="00EE2589">
            <w:pPr>
              <w:jc w:val="right"/>
              <w:rPr>
                <w:rFonts w:cs="Arial"/>
                <w:color w:val="333333"/>
                <w:sz w:val="20"/>
                <w:szCs w:val="20"/>
              </w:rPr>
            </w:pPr>
            <w:r w:rsidRPr="00425370">
              <w:rPr>
                <w:rFonts w:cs="Arial"/>
                <w:color w:val="333333"/>
                <w:sz w:val="20"/>
                <w:szCs w:val="20"/>
              </w:rPr>
              <w:t>-</w:t>
            </w:r>
          </w:p>
        </w:tc>
        <w:tc>
          <w:tcPr>
            <w:tcW w:w="557" w:type="pct"/>
            <w:tcBorders>
              <w:top w:val="nil"/>
              <w:left w:val="nil"/>
              <w:bottom w:val="single" w:sz="4" w:space="0" w:color="auto"/>
              <w:right w:val="single" w:sz="4" w:space="0" w:color="auto"/>
            </w:tcBorders>
            <w:shd w:val="clear" w:color="FFFFFF" w:fill="FFFFFF"/>
            <w:noWrap/>
            <w:vAlign w:val="center"/>
            <w:hideMark/>
          </w:tcPr>
          <w:p w14:paraId="2627BC31" w14:textId="12403BEB" w:rsidR="00EE2589" w:rsidRPr="00425370" w:rsidRDefault="00EE2589" w:rsidP="00EE2589">
            <w:pPr>
              <w:jc w:val="right"/>
              <w:rPr>
                <w:rFonts w:cs="Arial"/>
                <w:color w:val="333333"/>
                <w:sz w:val="20"/>
                <w:szCs w:val="20"/>
              </w:rPr>
            </w:pPr>
            <w:r w:rsidRPr="00425370">
              <w:rPr>
                <w:rFonts w:cs="Arial"/>
                <w:color w:val="333333"/>
                <w:sz w:val="20"/>
                <w:szCs w:val="20"/>
              </w:rPr>
              <w:t>1.367.618</w:t>
            </w:r>
          </w:p>
        </w:tc>
        <w:tc>
          <w:tcPr>
            <w:tcW w:w="557" w:type="pct"/>
            <w:tcBorders>
              <w:top w:val="nil"/>
              <w:left w:val="nil"/>
              <w:bottom w:val="single" w:sz="4" w:space="0" w:color="auto"/>
              <w:right w:val="single" w:sz="4" w:space="0" w:color="auto"/>
            </w:tcBorders>
            <w:shd w:val="clear" w:color="FFFFFF" w:fill="FFFFFF"/>
            <w:noWrap/>
            <w:vAlign w:val="center"/>
            <w:hideMark/>
          </w:tcPr>
          <w:p w14:paraId="5D6B765F" w14:textId="5F0397D8" w:rsidR="00EE2589" w:rsidRPr="00425370" w:rsidRDefault="00EE2589" w:rsidP="00EE2589">
            <w:pPr>
              <w:jc w:val="right"/>
              <w:rPr>
                <w:rFonts w:cs="Arial"/>
                <w:color w:val="333333"/>
                <w:sz w:val="20"/>
                <w:szCs w:val="20"/>
              </w:rPr>
            </w:pPr>
            <w:r w:rsidRPr="00425370">
              <w:rPr>
                <w:rFonts w:cs="Arial"/>
                <w:color w:val="333333"/>
                <w:sz w:val="20"/>
                <w:szCs w:val="20"/>
              </w:rPr>
              <w:t>1.880.065</w:t>
            </w:r>
          </w:p>
        </w:tc>
        <w:tc>
          <w:tcPr>
            <w:tcW w:w="557" w:type="pct"/>
            <w:tcBorders>
              <w:top w:val="nil"/>
              <w:left w:val="nil"/>
              <w:bottom w:val="single" w:sz="4" w:space="0" w:color="auto"/>
              <w:right w:val="nil"/>
            </w:tcBorders>
            <w:shd w:val="clear" w:color="FFFFFF" w:fill="FFFFFF"/>
            <w:noWrap/>
            <w:vAlign w:val="center"/>
            <w:hideMark/>
          </w:tcPr>
          <w:p w14:paraId="7EA8FACB" w14:textId="1DEE23A9" w:rsidR="00EE2589" w:rsidRPr="00425370" w:rsidRDefault="00EE2589" w:rsidP="00EE2589">
            <w:pPr>
              <w:jc w:val="right"/>
              <w:rPr>
                <w:rFonts w:cs="Arial"/>
                <w:color w:val="333333"/>
                <w:sz w:val="20"/>
                <w:szCs w:val="20"/>
              </w:rPr>
            </w:pPr>
            <w:r w:rsidRPr="00425370">
              <w:rPr>
                <w:rFonts w:cs="Arial"/>
                <w:color w:val="333333"/>
                <w:sz w:val="20"/>
                <w:szCs w:val="20"/>
              </w:rPr>
              <w:t>2.204.068</w:t>
            </w:r>
          </w:p>
        </w:tc>
      </w:tr>
      <w:tr w:rsidR="00EE2589" w:rsidRPr="00425370" w14:paraId="2F781640" w14:textId="77777777" w:rsidTr="000A6309">
        <w:trPr>
          <w:trHeight w:val="312"/>
        </w:trPr>
        <w:tc>
          <w:tcPr>
            <w:tcW w:w="2773" w:type="pct"/>
            <w:tcBorders>
              <w:top w:val="nil"/>
              <w:left w:val="nil"/>
              <w:bottom w:val="single" w:sz="4" w:space="0" w:color="auto"/>
              <w:right w:val="single" w:sz="4" w:space="0" w:color="auto"/>
            </w:tcBorders>
            <w:shd w:val="clear" w:color="000000" w:fill="A1F2FD"/>
            <w:vAlign w:val="center"/>
            <w:hideMark/>
          </w:tcPr>
          <w:p w14:paraId="21B06C23" w14:textId="77777777" w:rsidR="00EE2589" w:rsidRPr="00425370" w:rsidRDefault="00EE2589" w:rsidP="00EE2589">
            <w:pPr>
              <w:jc w:val="left"/>
              <w:rPr>
                <w:rFonts w:cs="Arial"/>
                <w:b/>
                <w:bCs/>
                <w:color w:val="000000"/>
                <w:sz w:val="20"/>
                <w:szCs w:val="20"/>
              </w:rPr>
            </w:pPr>
            <w:r w:rsidRPr="00425370">
              <w:rPr>
                <w:rFonts w:cs="Arial"/>
                <w:b/>
                <w:bCs/>
                <w:color w:val="000000"/>
                <w:sz w:val="20"/>
                <w:szCs w:val="20"/>
              </w:rPr>
              <w:t>Despesas Primárias (III) = (I) - (II)</w:t>
            </w:r>
          </w:p>
        </w:tc>
        <w:tc>
          <w:tcPr>
            <w:tcW w:w="557" w:type="pct"/>
            <w:tcBorders>
              <w:top w:val="nil"/>
              <w:left w:val="nil"/>
              <w:bottom w:val="single" w:sz="4" w:space="0" w:color="auto"/>
              <w:right w:val="single" w:sz="4" w:space="0" w:color="auto"/>
            </w:tcBorders>
            <w:shd w:val="clear" w:color="000000" w:fill="A1F2FD"/>
            <w:vAlign w:val="center"/>
            <w:hideMark/>
          </w:tcPr>
          <w:p w14:paraId="083142CD" w14:textId="4E16291C" w:rsidR="00EE2589" w:rsidRPr="00425370" w:rsidRDefault="00EE2589" w:rsidP="00EE2589">
            <w:pPr>
              <w:jc w:val="right"/>
              <w:rPr>
                <w:rFonts w:cs="Arial"/>
                <w:b/>
                <w:bCs/>
                <w:color w:val="000000"/>
                <w:sz w:val="20"/>
                <w:szCs w:val="20"/>
              </w:rPr>
            </w:pPr>
            <w:r w:rsidRPr="00425370">
              <w:rPr>
                <w:rFonts w:cs="Arial"/>
                <w:b/>
                <w:bCs/>
                <w:color w:val="000000"/>
                <w:sz w:val="20"/>
                <w:szCs w:val="20"/>
              </w:rPr>
              <w:t>22.214.022</w:t>
            </w:r>
          </w:p>
        </w:tc>
        <w:tc>
          <w:tcPr>
            <w:tcW w:w="557" w:type="pct"/>
            <w:tcBorders>
              <w:top w:val="nil"/>
              <w:left w:val="nil"/>
              <w:bottom w:val="single" w:sz="4" w:space="0" w:color="auto"/>
              <w:right w:val="single" w:sz="4" w:space="0" w:color="auto"/>
            </w:tcBorders>
            <w:shd w:val="clear" w:color="000000" w:fill="A1F2FD"/>
            <w:vAlign w:val="center"/>
            <w:hideMark/>
          </w:tcPr>
          <w:p w14:paraId="64DC5BE8" w14:textId="3B38EBAF" w:rsidR="00EE2589" w:rsidRPr="00425370" w:rsidRDefault="00EE2589" w:rsidP="00EE2589">
            <w:pPr>
              <w:jc w:val="right"/>
              <w:rPr>
                <w:rFonts w:cs="Arial"/>
                <w:b/>
                <w:bCs/>
                <w:color w:val="000000"/>
                <w:sz w:val="20"/>
                <w:szCs w:val="20"/>
              </w:rPr>
            </w:pPr>
            <w:r w:rsidRPr="00425370">
              <w:rPr>
                <w:rFonts w:cs="Arial"/>
                <w:b/>
                <w:bCs/>
                <w:color w:val="000000"/>
                <w:sz w:val="20"/>
                <w:szCs w:val="20"/>
              </w:rPr>
              <w:t>23.546.530</w:t>
            </w:r>
          </w:p>
        </w:tc>
        <w:tc>
          <w:tcPr>
            <w:tcW w:w="557" w:type="pct"/>
            <w:tcBorders>
              <w:top w:val="nil"/>
              <w:left w:val="nil"/>
              <w:bottom w:val="single" w:sz="4" w:space="0" w:color="auto"/>
              <w:right w:val="single" w:sz="4" w:space="0" w:color="auto"/>
            </w:tcBorders>
            <w:shd w:val="clear" w:color="000000" w:fill="A1F2FD"/>
            <w:vAlign w:val="center"/>
            <w:hideMark/>
          </w:tcPr>
          <w:p w14:paraId="74BEBE47" w14:textId="1EF70231" w:rsidR="00EE2589" w:rsidRPr="00425370" w:rsidRDefault="00EE2589" w:rsidP="00EE2589">
            <w:pPr>
              <w:jc w:val="right"/>
              <w:rPr>
                <w:rFonts w:cs="Arial"/>
                <w:b/>
                <w:bCs/>
                <w:color w:val="000000"/>
                <w:sz w:val="20"/>
                <w:szCs w:val="20"/>
              </w:rPr>
            </w:pPr>
            <w:r w:rsidRPr="00425370">
              <w:rPr>
                <w:rFonts w:cs="Arial"/>
                <w:b/>
                <w:bCs/>
                <w:color w:val="000000"/>
                <w:sz w:val="20"/>
                <w:szCs w:val="20"/>
              </w:rPr>
              <w:t>26.917.348</w:t>
            </w:r>
          </w:p>
        </w:tc>
        <w:tc>
          <w:tcPr>
            <w:tcW w:w="557" w:type="pct"/>
            <w:tcBorders>
              <w:top w:val="nil"/>
              <w:left w:val="nil"/>
              <w:bottom w:val="single" w:sz="4" w:space="0" w:color="auto"/>
              <w:right w:val="nil"/>
            </w:tcBorders>
            <w:shd w:val="clear" w:color="000000" w:fill="A1F2FD"/>
            <w:vAlign w:val="center"/>
            <w:hideMark/>
          </w:tcPr>
          <w:p w14:paraId="54969251" w14:textId="17409163" w:rsidR="00EE2589" w:rsidRPr="00425370" w:rsidRDefault="00EE2589" w:rsidP="00EE2589">
            <w:pPr>
              <w:jc w:val="right"/>
              <w:rPr>
                <w:rFonts w:cs="Arial"/>
                <w:b/>
                <w:bCs/>
                <w:color w:val="000000"/>
                <w:sz w:val="20"/>
                <w:szCs w:val="20"/>
              </w:rPr>
            </w:pPr>
            <w:r w:rsidRPr="00425370">
              <w:rPr>
                <w:rFonts w:cs="Arial"/>
                <w:b/>
                <w:bCs/>
                <w:color w:val="000000"/>
                <w:sz w:val="20"/>
                <w:szCs w:val="20"/>
              </w:rPr>
              <w:t>27.440.366</w:t>
            </w:r>
          </w:p>
        </w:tc>
      </w:tr>
      <w:tr w:rsidR="00EE2589" w:rsidRPr="00425370" w14:paraId="72FD1CC6" w14:textId="77777777" w:rsidTr="000A6309">
        <w:trPr>
          <w:trHeight w:val="312"/>
        </w:trPr>
        <w:tc>
          <w:tcPr>
            <w:tcW w:w="2773" w:type="pct"/>
            <w:tcBorders>
              <w:top w:val="nil"/>
              <w:left w:val="nil"/>
              <w:bottom w:val="single" w:sz="4" w:space="0" w:color="auto"/>
              <w:right w:val="single" w:sz="4" w:space="0" w:color="auto"/>
            </w:tcBorders>
            <w:shd w:val="clear" w:color="000000" w:fill="A1F2FD"/>
            <w:vAlign w:val="center"/>
            <w:hideMark/>
          </w:tcPr>
          <w:p w14:paraId="2CFA7383" w14:textId="77777777" w:rsidR="00EE2589" w:rsidRPr="00425370" w:rsidRDefault="00EE2589" w:rsidP="00EE2589">
            <w:pPr>
              <w:jc w:val="left"/>
              <w:rPr>
                <w:rFonts w:cs="Arial"/>
                <w:b/>
                <w:bCs/>
                <w:color w:val="000000"/>
                <w:sz w:val="20"/>
                <w:szCs w:val="20"/>
              </w:rPr>
            </w:pPr>
            <w:r w:rsidRPr="00425370">
              <w:rPr>
                <w:rFonts w:cs="Arial"/>
                <w:b/>
                <w:bCs/>
                <w:color w:val="000000"/>
                <w:sz w:val="20"/>
                <w:szCs w:val="20"/>
              </w:rPr>
              <w:t>Despesas Primárias Correntes a Preços de 2020 (IV)</w:t>
            </w:r>
          </w:p>
        </w:tc>
        <w:tc>
          <w:tcPr>
            <w:tcW w:w="557" w:type="pct"/>
            <w:tcBorders>
              <w:top w:val="nil"/>
              <w:left w:val="nil"/>
              <w:bottom w:val="single" w:sz="4" w:space="0" w:color="auto"/>
              <w:right w:val="single" w:sz="4" w:space="0" w:color="auto"/>
            </w:tcBorders>
            <w:shd w:val="clear" w:color="auto" w:fill="auto"/>
            <w:vAlign w:val="center"/>
            <w:hideMark/>
          </w:tcPr>
          <w:p w14:paraId="1F2E2F66" w14:textId="28F39F0A" w:rsidR="00EE2589" w:rsidRPr="00425370" w:rsidRDefault="00EE2589" w:rsidP="00EE2589">
            <w:pPr>
              <w:jc w:val="center"/>
              <w:rPr>
                <w:rFonts w:cs="Arial"/>
                <w:b/>
                <w:bCs/>
                <w:color w:val="000000"/>
                <w:sz w:val="20"/>
                <w:szCs w:val="20"/>
              </w:rPr>
            </w:pPr>
            <w:r w:rsidRPr="00425370">
              <w:rPr>
                <w:rFonts w:cs="Arial"/>
                <w:b/>
                <w:bCs/>
                <w:color w:val="000000"/>
                <w:sz w:val="20"/>
                <w:szCs w:val="20"/>
              </w:rPr>
              <w:t>-</w:t>
            </w:r>
          </w:p>
        </w:tc>
        <w:tc>
          <w:tcPr>
            <w:tcW w:w="557" w:type="pct"/>
            <w:tcBorders>
              <w:top w:val="nil"/>
              <w:left w:val="nil"/>
              <w:bottom w:val="single" w:sz="4" w:space="0" w:color="auto"/>
              <w:right w:val="single" w:sz="4" w:space="0" w:color="auto"/>
            </w:tcBorders>
            <w:shd w:val="clear" w:color="000000" w:fill="A1F2FD"/>
            <w:vAlign w:val="center"/>
            <w:hideMark/>
          </w:tcPr>
          <w:p w14:paraId="49DD287B" w14:textId="3350557C" w:rsidR="00EE2589" w:rsidRPr="00425370" w:rsidRDefault="00EE2589" w:rsidP="00EE2589">
            <w:pPr>
              <w:jc w:val="right"/>
              <w:rPr>
                <w:rFonts w:cs="Arial"/>
                <w:b/>
                <w:bCs/>
                <w:color w:val="000000"/>
                <w:sz w:val="20"/>
                <w:szCs w:val="20"/>
              </w:rPr>
            </w:pPr>
            <w:r w:rsidRPr="00425370">
              <w:rPr>
                <w:rFonts w:cs="Arial"/>
                <w:b/>
                <w:bCs/>
                <w:color w:val="000000"/>
                <w:sz w:val="20"/>
                <w:szCs w:val="20"/>
              </w:rPr>
              <w:t>21.394.076</w:t>
            </w:r>
          </w:p>
        </w:tc>
        <w:tc>
          <w:tcPr>
            <w:tcW w:w="557" w:type="pct"/>
            <w:tcBorders>
              <w:top w:val="nil"/>
              <w:left w:val="nil"/>
              <w:bottom w:val="single" w:sz="4" w:space="0" w:color="auto"/>
              <w:right w:val="single" w:sz="4" w:space="0" w:color="auto"/>
            </w:tcBorders>
            <w:shd w:val="clear" w:color="000000" w:fill="A1F2FD"/>
            <w:vAlign w:val="center"/>
            <w:hideMark/>
          </w:tcPr>
          <w:p w14:paraId="4466DB03" w14:textId="24935FB3" w:rsidR="00EE2589" w:rsidRPr="00425370" w:rsidRDefault="00EE2589" w:rsidP="00EE2589">
            <w:pPr>
              <w:jc w:val="right"/>
              <w:rPr>
                <w:rFonts w:cs="Arial"/>
                <w:b/>
                <w:bCs/>
                <w:color w:val="000000"/>
                <w:sz w:val="20"/>
                <w:szCs w:val="20"/>
              </w:rPr>
            </w:pPr>
            <w:r w:rsidRPr="00425370">
              <w:rPr>
                <w:rFonts w:cs="Arial"/>
                <w:b/>
                <w:bCs/>
                <w:color w:val="000000"/>
                <w:sz w:val="20"/>
                <w:szCs w:val="20"/>
              </w:rPr>
              <w:t>23.119.286</w:t>
            </w:r>
          </w:p>
        </w:tc>
        <w:tc>
          <w:tcPr>
            <w:tcW w:w="557" w:type="pct"/>
            <w:tcBorders>
              <w:top w:val="nil"/>
              <w:left w:val="nil"/>
              <w:bottom w:val="single" w:sz="4" w:space="0" w:color="auto"/>
              <w:right w:val="nil"/>
            </w:tcBorders>
            <w:shd w:val="clear" w:color="000000" w:fill="A1F2FD"/>
            <w:vAlign w:val="center"/>
            <w:hideMark/>
          </w:tcPr>
          <w:p w14:paraId="38ECE43F" w14:textId="3D1001D6" w:rsidR="00EE2589" w:rsidRPr="00425370" w:rsidRDefault="00EE2589" w:rsidP="00EE2589">
            <w:pPr>
              <w:jc w:val="right"/>
              <w:rPr>
                <w:rFonts w:cs="Arial"/>
                <w:b/>
                <w:bCs/>
                <w:color w:val="000000"/>
                <w:sz w:val="20"/>
                <w:szCs w:val="20"/>
              </w:rPr>
            </w:pPr>
            <w:r w:rsidRPr="00425370">
              <w:rPr>
                <w:rFonts w:cs="Arial"/>
                <w:b/>
                <w:bCs/>
                <w:color w:val="000000"/>
                <w:sz w:val="20"/>
                <w:szCs w:val="20"/>
              </w:rPr>
              <w:t>22.527.725</w:t>
            </w:r>
          </w:p>
        </w:tc>
      </w:tr>
      <w:tr w:rsidR="00EE2589" w:rsidRPr="00425370" w14:paraId="64919D85" w14:textId="77777777" w:rsidTr="000A6309">
        <w:trPr>
          <w:trHeight w:val="312"/>
        </w:trPr>
        <w:tc>
          <w:tcPr>
            <w:tcW w:w="2773" w:type="pct"/>
            <w:tcBorders>
              <w:top w:val="nil"/>
              <w:left w:val="nil"/>
              <w:bottom w:val="single" w:sz="4" w:space="0" w:color="auto"/>
              <w:right w:val="single" w:sz="4" w:space="0" w:color="auto"/>
            </w:tcBorders>
            <w:shd w:val="clear" w:color="000000" w:fill="A1F2FD"/>
            <w:vAlign w:val="center"/>
            <w:hideMark/>
          </w:tcPr>
          <w:p w14:paraId="7345DA9A" w14:textId="77777777" w:rsidR="00EE2589" w:rsidRPr="00425370" w:rsidRDefault="00EE2589" w:rsidP="00EE2589">
            <w:pPr>
              <w:jc w:val="left"/>
              <w:rPr>
                <w:rFonts w:cs="Arial"/>
                <w:b/>
                <w:bCs/>
                <w:color w:val="000000"/>
                <w:sz w:val="20"/>
                <w:szCs w:val="20"/>
              </w:rPr>
            </w:pPr>
            <w:r w:rsidRPr="00425370">
              <w:rPr>
                <w:rFonts w:cs="Arial"/>
                <w:b/>
                <w:bCs/>
                <w:color w:val="000000"/>
                <w:sz w:val="20"/>
                <w:szCs w:val="20"/>
              </w:rPr>
              <w:t xml:space="preserve">Somatório das Despesas Primárias de 2021 a 2023 a Preços de 2020 </w:t>
            </w:r>
          </w:p>
          <w:p w14:paraId="59E03DC1" w14:textId="77777777" w:rsidR="00EE2589" w:rsidRPr="00425370" w:rsidRDefault="00EE2589" w:rsidP="00EE2589">
            <w:pPr>
              <w:jc w:val="left"/>
              <w:rPr>
                <w:rFonts w:cs="Arial"/>
                <w:b/>
                <w:bCs/>
                <w:color w:val="000000"/>
                <w:sz w:val="20"/>
                <w:szCs w:val="20"/>
              </w:rPr>
            </w:pPr>
            <w:r w:rsidRPr="00425370">
              <w:rPr>
                <w:rFonts w:cs="Arial"/>
                <w:b/>
                <w:bCs/>
                <w:color w:val="000000"/>
                <w:sz w:val="20"/>
                <w:szCs w:val="20"/>
              </w:rPr>
              <w:t>(V) = Soma (IV)</w:t>
            </w:r>
          </w:p>
        </w:tc>
        <w:tc>
          <w:tcPr>
            <w:tcW w:w="557" w:type="pct"/>
            <w:tcBorders>
              <w:top w:val="nil"/>
              <w:left w:val="nil"/>
              <w:bottom w:val="single" w:sz="4" w:space="0" w:color="auto"/>
              <w:right w:val="single" w:sz="4" w:space="0" w:color="auto"/>
            </w:tcBorders>
            <w:shd w:val="clear" w:color="auto" w:fill="auto"/>
            <w:vAlign w:val="center"/>
            <w:hideMark/>
          </w:tcPr>
          <w:p w14:paraId="0AAE000A" w14:textId="263FB254" w:rsidR="00EE2589" w:rsidRPr="00425370" w:rsidRDefault="00EE2589" w:rsidP="00EE2589">
            <w:pPr>
              <w:jc w:val="center"/>
              <w:rPr>
                <w:rFonts w:cs="Arial"/>
                <w:b/>
                <w:bCs/>
                <w:color w:val="000000"/>
                <w:sz w:val="20"/>
                <w:szCs w:val="20"/>
              </w:rPr>
            </w:pPr>
            <w:r w:rsidRPr="00425370">
              <w:rPr>
                <w:rFonts w:cs="Arial"/>
                <w:b/>
                <w:bCs/>
                <w:color w:val="000000"/>
                <w:sz w:val="20"/>
                <w:szCs w:val="20"/>
              </w:rPr>
              <w:t>-</w:t>
            </w:r>
          </w:p>
        </w:tc>
        <w:tc>
          <w:tcPr>
            <w:tcW w:w="1670" w:type="pct"/>
            <w:gridSpan w:val="3"/>
            <w:tcBorders>
              <w:top w:val="single" w:sz="4" w:space="0" w:color="auto"/>
              <w:left w:val="nil"/>
              <w:bottom w:val="single" w:sz="4" w:space="0" w:color="auto"/>
            </w:tcBorders>
            <w:shd w:val="clear" w:color="000000" w:fill="A1F2FD"/>
            <w:vAlign w:val="center"/>
            <w:hideMark/>
          </w:tcPr>
          <w:p w14:paraId="50443AD3" w14:textId="14F2176B" w:rsidR="00EE2589" w:rsidRPr="00425370" w:rsidRDefault="00EE2589" w:rsidP="00EE2589">
            <w:pPr>
              <w:jc w:val="center"/>
              <w:rPr>
                <w:rFonts w:cs="Arial"/>
                <w:b/>
                <w:bCs/>
                <w:color w:val="000000"/>
                <w:sz w:val="20"/>
                <w:szCs w:val="20"/>
              </w:rPr>
            </w:pPr>
            <w:r w:rsidRPr="00425370">
              <w:rPr>
                <w:rFonts w:cs="Arial"/>
                <w:b/>
                <w:bCs/>
                <w:color w:val="000000"/>
                <w:sz w:val="20"/>
                <w:szCs w:val="20"/>
              </w:rPr>
              <w:t>67.041.086</w:t>
            </w:r>
          </w:p>
        </w:tc>
      </w:tr>
      <w:tr w:rsidR="00EE2589" w:rsidRPr="00425370" w14:paraId="3C34C171" w14:textId="77777777" w:rsidTr="000A6309">
        <w:trPr>
          <w:trHeight w:val="312"/>
        </w:trPr>
        <w:tc>
          <w:tcPr>
            <w:tcW w:w="2773" w:type="pct"/>
            <w:tcBorders>
              <w:top w:val="nil"/>
              <w:left w:val="nil"/>
              <w:bottom w:val="single" w:sz="4" w:space="0" w:color="auto"/>
              <w:right w:val="single" w:sz="4" w:space="0" w:color="auto"/>
            </w:tcBorders>
            <w:shd w:val="clear" w:color="000000" w:fill="A1F2FD"/>
            <w:vAlign w:val="center"/>
            <w:hideMark/>
          </w:tcPr>
          <w:p w14:paraId="4154F499" w14:textId="77777777" w:rsidR="00EE2589" w:rsidRPr="00425370" w:rsidRDefault="00EE2589" w:rsidP="00EE2589">
            <w:pPr>
              <w:jc w:val="left"/>
              <w:rPr>
                <w:rFonts w:cs="Arial"/>
                <w:b/>
                <w:bCs/>
                <w:color w:val="000000"/>
                <w:sz w:val="20"/>
                <w:szCs w:val="20"/>
              </w:rPr>
            </w:pPr>
            <w:r w:rsidRPr="00425370">
              <w:rPr>
                <w:rFonts w:cs="Arial"/>
                <w:b/>
                <w:bCs/>
                <w:color w:val="000000"/>
                <w:sz w:val="20"/>
                <w:szCs w:val="20"/>
              </w:rPr>
              <w:t>Três Vezes Valor da Base de Cálculo (VI) = 3 * (III)</w:t>
            </w:r>
          </w:p>
        </w:tc>
        <w:tc>
          <w:tcPr>
            <w:tcW w:w="557" w:type="pct"/>
            <w:tcBorders>
              <w:top w:val="nil"/>
              <w:left w:val="nil"/>
              <w:bottom w:val="single" w:sz="4" w:space="0" w:color="auto"/>
              <w:right w:val="single" w:sz="4" w:space="0" w:color="auto"/>
            </w:tcBorders>
            <w:shd w:val="clear" w:color="auto" w:fill="auto"/>
            <w:vAlign w:val="center"/>
            <w:hideMark/>
          </w:tcPr>
          <w:p w14:paraId="73386007" w14:textId="0DA14D18" w:rsidR="00EE2589" w:rsidRPr="00425370" w:rsidRDefault="00EE2589" w:rsidP="00EE2589">
            <w:pPr>
              <w:jc w:val="center"/>
              <w:rPr>
                <w:rFonts w:cs="Arial"/>
                <w:b/>
                <w:bCs/>
                <w:color w:val="000000"/>
                <w:sz w:val="20"/>
                <w:szCs w:val="20"/>
              </w:rPr>
            </w:pPr>
            <w:r w:rsidRPr="00425370">
              <w:rPr>
                <w:rFonts w:cs="Arial"/>
                <w:b/>
                <w:bCs/>
                <w:color w:val="000000"/>
                <w:sz w:val="20"/>
                <w:szCs w:val="20"/>
              </w:rPr>
              <w:t>-</w:t>
            </w:r>
          </w:p>
        </w:tc>
        <w:tc>
          <w:tcPr>
            <w:tcW w:w="1670" w:type="pct"/>
            <w:gridSpan w:val="3"/>
            <w:tcBorders>
              <w:top w:val="single" w:sz="4" w:space="0" w:color="auto"/>
              <w:left w:val="nil"/>
              <w:bottom w:val="single" w:sz="4" w:space="0" w:color="auto"/>
            </w:tcBorders>
            <w:shd w:val="clear" w:color="000000" w:fill="A1F2FD"/>
            <w:vAlign w:val="center"/>
            <w:hideMark/>
          </w:tcPr>
          <w:p w14:paraId="54C8F390" w14:textId="19E2C886" w:rsidR="00EE2589" w:rsidRPr="00425370" w:rsidRDefault="00EE2589" w:rsidP="00EE2589">
            <w:pPr>
              <w:jc w:val="center"/>
              <w:rPr>
                <w:rFonts w:cs="Arial"/>
                <w:b/>
                <w:bCs/>
                <w:color w:val="000000"/>
                <w:sz w:val="20"/>
                <w:szCs w:val="20"/>
              </w:rPr>
            </w:pPr>
            <w:r w:rsidRPr="00425370">
              <w:rPr>
                <w:rFonts w:cs="Arial"/>
                <w:b/>
                <w:bCs/>
                <w:color w:val="000000"/>
                <w:sz w:val="20"/>
                <w:szCs w:val="20"/>
              </w:rPr>
              <w:t>66.642.066</w:t>
            </w:r>
          </w:p>
        </w:tc>
      </w:tr>
      <w:tr w:rsidR="00EE2589" w:rsidRPr="00425370" w14:paraId="1BA8DD0E" w14:textId="77777777" w:rsidTr="000A6309">
        <w:trPr>
          <w:trHeight w:val="312"/>
        </w:trPr>
        <w:tc>
          <w:tcPr>
            <w:tcW w:w="2773" w:type="pct"/>
            <w:tcBorders>
              <w:top w:val="nil"/>
              <w:left w:val="nil"/>
              <w:bottom w:val="single" w:sz="4" w:space="0" w:color="auto"/>
              <w:right w:val="single" w:sz="4" w:space="0" w:color="auto"/>
            </w:tcBorders>
            <w:shd w:val="clear" w:color="000000" w:fill="A1F2FD"/>
            <w:vAlign w:val="center"/>
            <w:hideMark/>
          </w:tcPr>
          <w:p w14:paraId="4EEDD5A1" w14:textId="77777777" w:rsidR="00EE2589" w:rsidRPr="00425370" w:rsidRDefault="00EE2589" w:rsidP="00EE2589">
            <w:pPr>
              <w:jc w:val="left"/>
              <w:rPr>
                <w:rFonts w:cs="Arial"/>
                <w:b/>
                <w:bCs/>
                <w:color w:val="000000"/>
                <w:sz w:val="20"/>
                <w:szCs w:val="20"/>
              </w:rPr>
            </w:pPr>
            <w:r w:rsidRPr="00425370">
              <w:rPr>
                <w:rFonts w:cs="Arial"/>
                <w:b/>
                <w:bCs/>
                <w:color w:val="000000"/>
                <w:sz w:val="20"/>
                <w:szCs w:val="20"/>
              </w:rPr>
              <w:t>Resultado (V) = (III) - (IV)</w:t>
            </w:r>
          </w:p>
        </w:tc>
        <w:tc>
          <w:tcPr>
            <w:tcW w:w="557" w:type="pct"/>
            <w:tcBorders>
              <w:top w:val="nil"/>
              <w:left w:val="nil"/>
              <w:bottom w:val="single" w:sz="4" w:space="0" w:color="auto"/>
              <w:right w:val="single" w:sz="4" w:space="0" w:color="auto"/>
            </w:tcBorders>
            <w:shd w:val="clear" w:color="auto" w:fill="auto"/>
            <w:vAlign w:val="center"/>
            <w:hideMark/>
          </w:tcPr>
          <w:p w14:paraId="15296991" w14:textId="50F1995A" w:rsidR="00EE2589" w:rsidRPr="00425370" w:rsidRDefault="00EE2589" w:rsidP="00EE2589">
            <w:pPr>
              <w:jc w:val="center"/>
              <w:rPr>
                <w:rFonts w:cs="Arial"/>
                <w:b/>
                <w:bCs/>
                <w:color w:val="000000"/>
                <w:sz w:val="20"/>
                <w:szCs w:val="20"/>
              </w:rPr>
            </w:pPr>
            <w:r w:rsidRPr="00425370">
              <w:rPr>
                <w:rFonts w:cs="Arial"/>
                <w:b/>
                <w:bCs/>
                <w:color w:val="000000"/>
                <w:sz w:val="20"/>
                <w:szCs w:val="20"/>
              </w:rPr>
              <w:t>-</w:t>
            </w:r>
          </w:p>
        </w:tc>
        <w:tc>
          <w:tcPr>
            <w:tcW w:w="1670" w:type="pct"/>
            <w:gridSpan w:val="3"/>
            <w:tcBorders>
              <w:top w:val="single" w:sz="4" w:space="0" w:color="auto"/>
              <w:left w:val="nil"/>
              <w:bottom w:val="single" w:sz="4" w:space="0" w:color="auto"/>
            </w:tcBorders>
            <w:shd w:val="clear" w:color="000000" w:fill="A1F2FD"/>
            <w:vAlign w:val="center"/>
            <w:hideMark/>
          </w:tcPr>
          <w:p w14:paraId="70C39E9D" w14:textId="706D094F" w:rsidR="00EE2589" w:rsidRPr="00425370" w:rsidRDefault="00EE2589" w:rsidP="00EE2589">
            <w:pPr>
              <w:jc w:val="center"/>
              <w:rPr>
                <w:rFonts w:cs="Arial"/>
                <w:b/>
                <w:bCs/>
                <w:color w:val="000000"/>
                <w:sz w:val="20"/>
                <w:szCs w:val="20"/>
              </w:rPr>
            </w:pPr>
            <w:r w:rsidRPr="00425370">
              <w:rPr>
                <w:rFonts w:cs="Arial"/>
                <w:b/>
                <w:bCs/>
                <w:color w:val="FF0000"/>
                <w:sz w:val="20"/>
                <w:szCs w:val="20"/>
              </w:rPr>
              <w:t>399.020</w:t>
            </w:r>
          </w:p>
        </w:tc>
      </w:tr>
    </w:tbl>
    <w:p w14:paraId="38352AD8" w14:textId="77777777" w:rsidR="00C5245D" w:rsidRDefault="00C5245D" w:rsidP="00EF01A1">
      <w:pPr>
        <w:pStyle w:val="1-FONTE8ESQ"/>
        <w:rPr>
          <w:rStyle w:val="Forte"/>
          <w:b w:val="0"/>
        </w:rPr>
      </w:pPr>
      <w:r w:rsidRPr="000B1356">
        <w:rPr>
          <w:rStyle w:val="Forte"/>
          <w:b w:val="0"/>
        </w:rPr>
        <w:t xml:space="preserve">Fonte: </w:t>
      </w:r>
      <w:r>
        <w:rPr>
          <w:rStyle w:val="Forte"/>
          <w:b w:val="0"/>
        </w:rPr>
        <w:t>Nota Técnica nº 2/2024 – ECONOMIA/GPFIN-14606 (Processo SEI nº 202300004041160)</w:t>
      </w:r>
    </w:p>
    <w:p w14:paraId="6AB96241" w14:textId="77777777" w:rsidR="00C5245D" w:rsidRPr="000B1356" w:rsidRDefault="00C5245D" w:rsidP="00EF01A1">
      <w:pPr>
        <w:pStyle w:val="1-FONTE8ESQ"/>
        <w:rPr>
          <w:rStyle w:val="Forte"/>
          <w:b w:val="0"/>
        </w:rPr>
      </w:pPr>
      <w:r>
        <w:rPr>
          <w:rStyle w:val="Forte"/>
          <w:b w:val="0"/>
        </w:rPr>
        <w:t>Legenda: vermelho = acima do limite</w:t>
      </w:r>
    </w:p>
    <w:p w14:paraId="56F59223" w14:textId="2117BFEE" w:rsidR="00D51ED4" w:rsidRDefault="00D51ED4" w:rsidP="00C5245D">
      <w:pPr>
        <w:pStyle w:val="1-REL11"/>
      </w:pPr>
      <w:r w:rsidRPr="00D51ED4">
        <w:t>Por Poder e Órgão Autônomo, a composição do teto de gastos foi a seguinte:</w:t>
      </w:r>
    </w:p>
    <w:p w14:paraId="1C827CA7" w14:textId="1BC40CEC" w:rsidR="00C5245D" w:rsidRPr="00D9077B" w:rsidRDefault="005025CD" w:rsidP="00ED3571">
      <w:pPr>
        <w:pStyle w:val="0-TABELA"/>
      </w:pPr>
      <w:bookmarkStart w:id="233" w:name="_Toc167871779"/>
      <w:r w:rsidRPr="005025CD">
        <w:t>Teto de Gastos LC nº 156/2016 por Poder/Órgão Autônomo</w:t>
      </w:r>
      <w:bookmarkEnd w:id="233"/>
    </w:p>
    <w:p w14:paraId="1B9046D4" w14:textId="77777777" w:rsidR="00EE2589" w:rsidRDefault="00EE2589" w:rsidP="00EE2589">
      <w:pPr>
        <w:pStyle w:val="0-EmR1"/>
      </w:pPr>
      <w:r w:rsidRPr="00D512F5">
        <w:t>R$ 1</w:t>
      </w:r>
    </w:p>
    <w:tbl>
      <w:tblPr>
        <w:tblW w:w="5000" w:type="pct"/>
        <w:tblLayout w:type="fixed"/>
        <w:tblCellMar>
          <w:left w:w="70" w:type="dxa"/>
          <w:right w:w="70" w:type="dxa"/>
        </w:tblCellMar>
        <w:tblLook w:val="04A0" w:firstRow="1" w:lastRow="0" w:firstColumn="1" w:lastColumn="0" w:noHBand="0" w:noVBand="1"/>
      </w:tblPr>
      <w:tblGrid>
        <w:gridCol w:w="4963"/>
        <w:gridCol w:w="2918"/>
        <w:gridCol w:w="1472"/>
      </w:tblGrid>
      <w:tr w:rsidR="00EE2589" w:rsidRPr="00425370" w14:paraId="65724FD2" w14:textId="77777777" w:rsidTr="000A6309">
        <w:trPr>
          <w:trHeight w:val="255"/>
          <w:tblHeader/>
        </w:trPr>
        <w:tc>
          <w:tcPr>
            <w:tcW w:w="2653" w:type="pct"/>
            <w:tcBorders>
              <w:top w:val="single" w:sz="4" w:space="0" w:color="auto"/>
              <w:left w:val="nil"/>
              <w:bottom w:val="single" w:sz="4" w:space="0" w:color="auto"/>
              <w:right w:val="single" w:sz="4" w:space="0" w:color="auto"/>
            </w:tcBorders>
            <w:shd w:val="clear" w:color="000000" w:fill="A1F2FD"/>
            <w:vAlign w:val="center"/>
            <w:hideMark/>
          </w:tcPr>
          <w:p w14:paraId="08F9F3AF" w14:textId="77777777" w:rsidR="00EE2589" w:rsidRPr="00425370" w:rsidRDefault="00EE2589" w:rsidP="003A6FB5">
            <w:pPr>
              <w:jc w:val="center"/>
              <w:rPr>
                <w:rFonts w:cs="Arial"/>
                <w:b/>
                <w:bCs/>
                <w:sz w:val="20"/>
                <w:szCs w:val="20"/>
              </w:rPr>
            </w:pPr>
            <w:r w:rsidRPr="00425370">
              <w:rPr>
                <w:rFonts w:cs="Arial"/>
                <w:b/>
                <w:bCs/>
                <w:sz w:val="20"/>
                <w:szCs w:val="20"/>
              </w:rPr>
              <w:t>Poder/Órgão Autônomo</w:t>
            </w:r>
          </w:p>
        </w:tc>
        <w:tc>
          <w:tcPr>
            <w:tcW w:w="1560" w:type="pct"/>
            <w:tcBorders>
              <w:top w:val="single" w:sz="4" w:space="0" w:color="auto"/>
              <w:left w:val="nil"/>
              <w:bottom w:val="single" w:sz="4" w:space="0" w:color="auto"/>
              <w:right w:val="single" w:sz="4" w:space="0" w:color="auto"/>
            </w:tcBorders>
            <w:shd w:val="clear" w:color="000000" w:fill="A1F2FD"/>
            <w:vAlign w:val="center"/>
            <w:hideMark/>
          </w:tcPr>
          <w:p w14:paraId="78062AAE" w14:textId="77777777" w:rsidR="00EE2589" w:rsidRPr="00425370" w:rsidRDefault="00EE2589" w:rsidP="003A6FB5">
            <w:pPr>
              <w:jc w:val="center"/>
              <w:rPr>
                <w:rFonts w:cs="Arial"/>
                <w:b/>
                <w:bCs/>
                <w:sz w:val="20"/>
                <w:szCs w:val="20"/>
              </w:rPr>
            </w:pPr>
            <w:r w:rsidRPr="00425370">
              <w:rPr>
                <w:rFonts w:cs="Arial"/>
                <w:b/>
                <w:bCs/>
                <w:sz w:val="20"/>
                <w:szCs w:val="20"/>
              </w:rPr>
              <w:t>Resultado</w:t>
            </w:r>
          </w:p>
        </w:tc>
        <w:tc>
          <w:tcPr>
            <w:tcW w:w="787" w:type="pct"/>
            <w:tcBorders>
              <w:top w:val="single" w:sz="4" w:space="0" w:color="auto"/>
              <w:left w:val="nil"/>
              <w:bottom w:val="single" w:sz="4" w:space="0" w:color="auto"/>
              <w:right w:val="nil"/>
            </w:tcBorders>
            <w:shd w:val="clear" w:color="000000" w:fill="A1F2FD"/>
            <w:vAlign w:val="center"/>
            <w:hideMark/>
          </w:tcPr>
          <w:p w14:paraId="1FA05890" w14:textId="7B9A117D" w:rsidR="00EE2589" w:rsidRPr="00425370" w:rsidRDefault="00600F4B" w:rsidP="003A6FB5">
            <w:pPr>
              <w:jc w:val="center"/>
              <w:rPr>
                <w:rFonts w:cs="Arial"/>
                <w:b/>
                <w:bCs/>
                <w:sz w:val="20"/>
                <w:szCs w:val="20"/>
              </w:rPr>
            </w:pPr>
            <w:r w:rsidRPr="00425370">
              <w:rPr>
                <w:rFonts w:cs="Arial"/>
                <w:b/>
                <w:bCs/>
                <w:sz w:val="20"/>
                <w:szCs w:val="20"/>
              </w:rPr>
              <w:t xml:space="preserve">AV </w:t>
            </w:r>
            <w:r w:rsidR="00EE2589" w:rsidRPr="00425370">
              <w:rPr>
                <w:rFonts w:cs="Arial"/>
                <w:b/>
                <w:bCs/>
                <w:sz w:val="20"/>
                <w:szCs w:val="20"/>
              </w:rPr>
              <w:t xml:space="preserve">% </w:t>
            </w:r>
          </w:p>
        </w:tc>
      </w:tr>
      <w:tr w:rsidR="00EE2589" w:rsidRPr="00425370" w14:paraId="42FB9173" w14:textId="77777777" w:rsidTr="000A6309">
        <w:trPr>
          <w:trHeight w:val="255"/>
        </w:trPr>
        <w:tc>
          <w:tcPr>
            <w:tcW w:w="2653" w:type="pct"/>
            <w:tcBorders>
              <w:top w:val="nil"/>
              <w:left w:val="nil"/>
              <w:bottom w:val="nil"/>
              <w:right w:val="single" w:sz="4" w:space="0" w:color="auto"/>
            </w:tcBorders>
            <w:shd w:val="clear" w:color="auto" w:fill="auto"/>
            <w:noWrap/>
            <w:vAlign w:val="center"/>
            <w:hideMark/>
          </w:tcPr>
          <w:p w14:paraId="6D6D1E60" w14:textId="77777777" w:rsidR="00EE2589" w:rsidRPr="00425370" w:rsidRDefault="00EE2589" w:rsidP="003A6FB5">
            <w:pPr>
              <w:ind w:left="72"/>
              <w:jc w:val="left"/>
              <w:rPr>
                <w:rFonts w:cs="Arial"/>
                <w:sz w:val="20"/>
                <w:szCs w:val="20"/>
              </w:rPr>
            </w:pPr>
            <w:r w:rsidRPr="00425370">
              <w:rPr>
                <w:rFonts w:cs="Arial"/>
                <w:sz w:val="20"/>
                <w:szCs w:val="20"/>
              </w:rPr>
              <w:t>Tribunal de Justiça</w:t>
            </w:r>
          </w:p>
        </w:tc>
        <w:tc>
          <w:tcPr>
            <w:tcW w:w="1560" w:type="pct"/>
            <w:tcBorders>
              <w:top w:val="nil"/>
              <w:left w:val="nil"/>
              <w:bottom w:val="nil"/>
              <w:right w:val="single" w:sz="4" w:space="0" w:color="auto"/>
            </w:tcBorders>
            <w:shd w:val="clear" w:color="auto" w:fill="auto"/>
            <w:noWrap/>
            <w:vAlign w:val="center"/>
            <w:hideMark/>
          </w:tcPr>
          <w:p w14:paraId="0E334915" w14:textId="77777777" w:rsidR="00EE2589" w:rsidRPr="00425370" w:rsidRDefault="00EE2589" w:rsidP="003A6FB5">
            <w:pPr>
              <w:jc w:val="right"/>
              <w:rPr>
                <w:rFonts w:cs="Arial"/>
                <w:color w:val="FF0000"/>
                <w:sz w:val="20"/>
                <w:szCs w:val="20"/>
              </w:rPr>
            </w:pPr>
            <w:r w:rsidRPr="00425370">
              <w:rPr>
                <w:rFonts w:cs="Arial"/>
                <w:color w:val="FF0000"/>
                <w:sz w:val="20"/>
                <w:szCs w:val="20"/>
              </w:rPr>
              <w:t>603.042.879</w:t>
            </w:r>
          </w:p>
        </w:tc>
        <w:tc>
          <w:tcPr>
            <w:tcW w:w="787" w:type="pct"/>
            <w:tcBorders>
              <w:top w:val="nil"/>
              <w:left w:val="nil"/>
              <w:bottom w:val="nil"/>
              <w:right w:val="nil"/>
            </w:tcBorders>
            <w:shd w:val="clear" w:color="FFFFFF" w:fill="FFFFFF"/>
            <w:noWrap/>
            <w:vAlign w:val="center"/>
            <w:hideMark/>
          </w:tcPr>
          <w:p w14:paraId="60875603" w14:textId="77777777" w:rsidR="00EE2589" w:rsidRPr="00425370" w:rsidRDefault="00EE2589" w:rsidP="003A6FB5">
            <w:pPr>
              <w:jc w:val="center"/>
              <w:rPr>
                <w:rFonts w:cs="Arial"/>
                <w:color w:val="FF0000"/>
                <w:sz w:val="20"/>
                <w:szCs w:val="20"/>
              </w:rPr>
            </w:pPr>
            <w:r w:rsidRPr="00425370">
              <w:rPr>
                <w:rFonts w:cs="Arial"/>
                <w:color w:val="FF0000"/>
                <w:sz w:val="20"/>
                <w:szCs w:val="20"/>
              </w:rPr>
              <w:t>151,13</w:t>
            </w:r>
          </w:p>
        </w:tc>
      </w:tr>
      <w:tr w:rsidR="00EE2589" w:rsidRPr="00425370" w14:paraId="69FFAE1A" w14:textId="77777777" w:rsidTr="000A6309">
        <w:trPr>
          <w:trHeight w:val="255"/>
        </w:trPr>
        <w:tc>
          <w:tcPr>
            <w:tcW w:w="2653" w:type="pct"/>
            <w:tcBorders>
              <w:top w:val="nil"/>
              <w:left w:val="nil"/>
              <w:bottom w:val="nil"/>
              <w:right w:val="single" w:sz="4" w:space="0" w:color="auto"/>
            </w:tcBorders>
            <w:shd w:val="clear" w:color="auto" w:fill="auto"/>
            <w:noWrap/>
            <w:vAlign w:val="center"/>
            <w:hideMark/>
          </w:tcPr>
          <w:p w14:paraId="4807B2E2" w14:textId="77777777" w:rsidR="00EE2589" w:rsidRPr="00425370" w:rsidRDefault="00EE2589" w:rsidP="003A6FB5">
            <w:pPr>
              <w:ind w:left="72"/>
              <w:jc w:val="left"/>
              <w:rPr>
                <w:rFonts w:cs="Arial"/>
                <w:sz w:val="20"/>
                <w:szCs w:val="20"/>
              </w:rPr>
            </w:pPr>
            <w:r w:rsidRPr="00425370">
              <w:rPr>
                <w:rFonts w:cs="Arial"/>
                <w:sz w:val="20"/>
                <w:szCs w:val="20"/>
              </w:rPr>
              <w:t>Assembleia Legislativa</w:t>
            </w:r>
          </w:p>
        </w:tc>
        <w:tc>
          <w:tcPr>
            <w:tcW w:w="1560" w:type="pct"/>
            <w:tcBorders>
              <w:top w:val="nil"/>
              <w:left w:val="nil"/>
              <w:bottom w:val="nil"/>
              <w:right w:val="single" w:sz="4" w:space="0" w:color="auto"/>
            </w:tcBorders>
            <w:shd w:val="clear" w:color="auto" w:fill="auto"/>
            <w:noWrap/>
            <w:vAlign w:val="center"/>
            <w:hideMark/>
          </w:tcPr>
          <w:p w14:paraId="6A66543A" w14:textId="77777777" w:rsidR="00EE2589" w:rsidRPr="00425370" w:rsidRDefault="00EE2589" w:rsidP="003A6FB5">
            <w:pPr>
              <w:jc w:val="right"/>
              <w:rPr>
                <w:rFonts w:cs="Arial"/>
                <w:color w:val="FF0000"/>
                <w:sz w:val="20"/>
                <w:szCs w:val="20"/>
              </w:rPr>
            </w:pPr>
            <w:r w:rsidRPr="00425370">
              <w:rPr>
                <w:rFonts w:cs="Arial"/>
                <w:color w:val="FF0000"/>
                <w:sz w:val="20"/>
                <w:szCs w:val="20"/>
              </w:rPr>
              <w:t>214.130.986</w:t>
            </w:r>
          </w:p>
        </w:tc>
        <w:tc>
          <w:tcPr>
            <w:tcW w:w="787" w:type="pct"/>
            <w:tcBorders>
              <w:top w:val="nil"/>
              <w:left w:val="nil"/>
              <w:bottom w:val="nil"/>
              <w:right w:val="nil"/>
            </w:tcBorders>
            <w:shd w:val="clear" w:color="FFFFFF" w:fill="FFFFFF"/>
            <w:noWrap/>
            <w:vAlign w:val="center"/>
            <w:hideMark/>
          </w:tcPr>
          <w:p w14:paraId="72BA23E3" w14:textId="77777777" w:rsidR="00EE2589" w:rsidRPr="00425370" w:rsidRDefault="00EE2589" w:rsidP="003A6FB5">
            <w:pPr>
              <w:jc w:val="center"/>
              <w:rPr>
                <w:rFonts w:cs="Arial"/>
                <w:color w:val="FF0000"/>
                <w:sz w:val="20"/>
                <w:szCs w:val="20"/>
              </w:rPr>
            </w:pPr>
            <w:r w:rsidRPr="00425370">
              <w:rPr>
                <w:rFonts w:cs="Arial"/>
                <w:color w:val="FF0000"/>
                <w:sz w:val="20"/>
                <w:szCs w:val="20"/>
              </w:rPr>
              <w:t>53,66</w:t>
            </w:r>
          </w:p>
        </w:tc>
      </w:tr>
      <w:tr w:rsidR="00EE2589" w:rsidRPr="00425370" w14:paraId="385EACEC" w14:textId="77777777" w:rsidTr="000A6309">
        <w:trPr>
          <w:trHeight w:val="255"/>
        </w:trPr>
        <w:tc>
          <w:tcPr>
            <w:tcW w:w="2653" w:type="pct"/>
            <w:tcBorders>
              <w:top w:val="nil"/>
              <w:left w:val="nil"/>
              <w:bottom w:val="nil"/>
              <w:right w:val="single" w:sz="4" w:space="0" w:color="auto"/>
            </w:tcBorders>
            <w:shd w:val="clear" w:color="auto" w:fill="auto"/>
            <w:noWrap/>
            <w:vAlign w:val="center"/>
            <w:hideMark/>
          </w:tcPr>
          <w:p w14:paraId="10C7185B" w14:textId="77777777" w:rsidR="00EE2589" w:rsidRPr="00425370" w:rsidRDefault="00EE2589" w:rsidP="003A6FB5">
            <w:pPr>
              <w:ind w:left="72"/>
              <w:jc w:val="left"/>
              <w:rPr>
                <w:rFonts w:cs="Arial"/>
                <w:sz w:val="20"/>
                <w:szCs w:val="20"/>
              </w:rPr>
            </w:pPr>
            <w:r w:rsidRPr="00425370">
              <w:rPr>
                <w:rFonts w:cs="Arial"/>
                <w:sz w:val="20"/>
                <w:szCs w:val="20"/>
              </w:rPr>
              <w:t>Tribunal de Contas do Estado</w:t>
            </w:r>
          </w:p>
        </w:tc>
        <w:tc>
          <w:tcPr>
            <w:tcW w:w="1560" w:type="pct"/>
            <w:tcBorders>
              <w:top w:val="nil"/>
              <w:left w:val="nil"/>
              <w:bottom w:val="nil"/>
              <w:right w:val="single" w:sz="4" w:space="0" w:color="auto"/>
            </w:tcBorders>
            <w:shd w:val="clear" w:color="auto" w:fill="auto"/>
            <w:noWrap/>
            <w:vAlign w:val="center"/>
            <w:hideMark/>
          </w:tcPr>
          <w:p w14:paraId="40FE06AB" w14:textId="77777777" w:rsidR="00EE2589" w:rsidRPr="00425370" w:rsidRDefault="00EE2589" w:rsidP="003A6FB5">
            <w:pPr>
              <w:jc w:val="right"/>
              <w:rPr>
                <w:rFonts w:cs="Arial"/>
                <w:color w:val="FF0000"/>
                <w:sz w:val="20"/>
                <w:szCs w:val="20"/>
              </w:rPr>
            </w:pPr>
            <w:r w:rsidRPr="00425370">
              <w:rPr>
                <w:rFonts w:cs="Arial"/>
                <w:color w:val="FF0000"/>
                <w:sz w:val="20"/>
                <w:szCs w:val="20"/>
              </w:rPr>
              <w:t>204.797.104</w:t>
            </w:r>
          </w:p>
        </w:tc>
        <w:tc>
          <w:tcPr>
            <w:tcW w:w="787" w:type="pct"/>
            <w:tcBorders>
              <w:top w:val="nil"/>
              <w:left w:val="nil"/>
              <w:bottom w:val="nil"/>
              <w:right w:val="nil"/>
            </w:tcBorders>
            <w:shd w:val="clear" w:color="FFFFFF" w:fill="FFFFFF"/>
            <w:noWrap/>
            <w:vAlign w:val="center"/>
            <w:hideMark/>
          </w:tcPr>
          <w:p w14:paraId="6C529D05" w14:textId="77777777" w:rsidR="00EE2589" w:rsidRPr="00425370" w:rsidRDefault="00EE2589" w:rsidP="003A6FB5">
            <w:pPr>
              <w:jc w:val="center"/>
              <w:rPr>
                <w:rFonts w:cs="Arial"/>
                <w:color w:val="FF0000"/>
                <w:sz w:val="20"/>
                <w:szCs w:val="20"/>
              </w:rPr>
            </w:pPr>
            <w:r w:rsidRPr="00425370">
              <w:rPr>
                <w:rFonts w:cs="Arial"/>
                <w:color w:val="FF0000"/>
                <w:sz w:val="20"/>
                <w:szCs w:val="20"/>
              </w:rPr>
              <w:t>51,33</w:t>
            </w:r>
          </w:p>
        </w:tc>
      </w:tr>
      <w:tr w:rsidR="00EE2589" w:rsidRPr="00425370" w14:paraId="2E1BF368" w14:textId="77777777" w:rsidTr="000A6309">
        <w:trPr>
          <w:trHeight w:val="255"/>
        </w:trPr>
        <w:tc>
          <w:tcPr>
            <w:tcW w:w="2653" w:type="pct"/>
            <w:tcBorders>
              <w:top w:val="nil"/>
              <w:left w:val="nil"/>
              <w:bottom w:val="nil"/>
              <w:right w:val="single" w:sz="4" w:space="0" w:color="auto"/>
            </w:tcBorders>
            <w:shd w:val="clear" w:color="auto" w:fill="auto"/>
            <w:noWrap/>
            <w:vAlign w:val="center"/>
            <w:hideMark/>
          </w:tcPr>
          <w:p w14:paraId="231CA6FD" w14:textId="77777777" w:rsidR="00EE2589" w:rsidRPr="00425370" w:rsidRDefault="00EE2589" w:rsidP="003A6FB5">
            <w:pPr>
              <w:ind w:left="72"/>
              <w:jc w:val="left"/>
              <w:rPr>
                <w:rFonts w:cs="Arial"/>
                <w:sz w:val="20"/>
                <w:szCs w:val="20"/>
              </w:rPr>
            </w:pPr>
            <w:r w:rsidRPr="00425370">
              <w:rPr>
                <w:rFonts w:cs="Arial"/>
                <w:sz w:val="20"/>
                <w:szCs w:val="20"/>
              </w:rPr>
              <w:lastRenderedPageBreak/>
              <w:t>Defensoria Pública</w:t>
            </w:r>
          </w:p>
        </w:tc>
        <w:tc>
          <w:tcPr>
            <w:tcW w:w="1560" w:type="pct"/>
            <w:tcBorders>
              <w:top w:val="nil"/>
              <w:left w:val="nil"/>
              <w:bottom w:val="nil"/>
              <w:right w:val="single" w:sz="4" w:space="0" w:color="auto"/>
            </w:tcBorders>
            <w:shd w:val="clear" w:color="auto" w:fill="auto"/>
            <w:noWrap/>
            <w:vAlign w:val="center"/>
            <w:hideMark/>
          </w:tcPr>
          <w:p w14:paraId="1D3EF5CE" w14:textId="77777777" w:rsidR="00EE2589" w:rsidRPr="00425370" w:rsidRDefault="00EE2589" w:rsidP="003A6FB5">
            <w:pPr>
              <w:jc w:val="right"/>
              <w:rPr>
                <w:rFonts w:cs="Arial"/>
                <w:color w:val="FF0000"/>
                <w:sz w:val="20"/>
                <w:szCs w:val="20"/>
              </w:rPr>
            </w:pPr>
            <w:r w:rsidRPr="00425370">
              <w:rPr>
                <w:rFonts w:cs="Arial"/>
                <w:color w:val="FF0000"/>
                <w:sz w:val="20"/>
                <w:szCs w:val="20"/>
              </w:rPr>
              <w:t>89.461.317</w:t>
            </w:r>
          </w:p>
        </w:tc>
        <w:tc>
          <w:tcPr>
            <w:tcW w:w="787" w:type="pct"/>
            <w:tcBorders>
              <w:top w:val="nil"/>
              <w:left w:val="nil"/>
              <w:bottom w:val="nil"/>
              <w:right w:val="nil"/>
            </w:tcBorders>
            <w:shd w:val="clear" w:color="FFFFFF" w:fill="FFFFFF"/>
            <w:noWrap/>
            <w:vAlign w:val="center"/>
            <w:hideMark/>
          </w:tcPr>
          <w:p w14:paraId="136894AA" w14:textId="77777777" w:rsidR="00EE2589" w:rsidRPr="00425370" w:rsidRDefault="00EE2589" w:rsidP="003A6FB5">
            <w:pPr>
              <w:jc w:val="center"/>
              <w:rPr>
                <w:rFonts w:cs="Arial"/>
                <w:color w:val="FF0000"/>
                <w:sz w:val="20"/>
                <w:szCs w:val="20"/>
              </w:rPr>
            </w:pPr>
            <w:r w:rsidRPr="00425370">
              <w:rPr>
                <w:rFonts w:cs="Arial"/>
                <w:color w:val="FF0000"/>
                <w:sz w:val="20"/>
                <w:szCs w:val="20"/>
              </w:rPr>
              <w:t>22,42</w:t>
            </w:r>
          </w:p>
        </w:tc>
      </w:tr>
      <w:tr w:rsidR="00EE2589" w:rsidRPr="00425370" w14:paraId="28EBD5D9" w14:textId="77777777" w:rsidTr="000A6309">
        <w:trPr>
          <w:trHeight w:val="255"/>
        </w:trPr>
        <w:tc>
          <w:tcPr>
            <w:tcW w:w="2653" w:type="pct"/>
            <w:tcBorders>
              <w:top w:val="nil"/>
              <w:left w:val="nil"/>
              <w:bottom w:val="nil"/>
              <w:right w:val="single" w:sz="4" w:space="0" w:color="auto"/>
            </w:tcBorders>
            <w:shd w:val="clear" w:color="auto" w:fill="auto"/>
            <w:noWrap/>
            <w:vAlign w:val="center"/>
            <w:hideMark/>
          </w:tcPr>
          <w:p w14:paraId="0155B8B9" w14:textId="77777777" w:rsidR="00EE2589" w:rsidRPr="00425370" w:rsidRDefault="00EE2589" w:rsidP="003A6FB5">
            <w:pPr>
              <w:ind w:left="72"/>
              <w:jc w:val="left"/>
              <w:rPr>
                <w:rFonts w:cs="Arial"/>
                <w:sz w:val="20"/>
                <w:szCs w:val="20"/>
              </w:rPr>
            </w:pPr>
            <w:r w:rsidRPr="00425370">
              <w:rPr>
                <w:rFonts w:cs="Arial"/>
                <w:sz w:val="20"/>
                <w:szCs w:val="20"/>
              </w:rPr>
              <w:t>Ministério Público</w:t>
            </w:r>
          </w:p>
        </w:tc>
        <w:tc>
          <w:tcPr>
            <w:tcW w:w="1560" w:type="pct"/>
            <w:tcBorders>
              <w:top w:val="nil"/>
              <w:left w:val="nil"/>
              <w:bottom w:val="nil"/>
              <w:right w:val="single" w:sz="4" w:space="0" w:color="auto"/>
            </w:tcBorders>
            <w:shd w:val="clear" w:color="auto" w:fill="auto"/>
            <w:noWrap/>
            <w:vAlign w:val="center"/>
            <w:hideMark/>
          </w:tcPr>
          <w:p w14:paraId="509C3FD0" w14:textId="77777777" w:rsidR="00EE2589" w:rsidRPr="00425370" w:rsidRDefault="00EE2589" w:rsidP="003A6FB5">
            <w:pPr>
              <w:jc w:val="right"/>
              <w:rPr>
                <w:rFonts w:cs="Arial"/>
                <w:color w:val="FF0000"/>
                <w:sz w:val="20"/>
                <w:szCs w:val="20"/>
              </w:rPr>
            </w:pPr>
            <w:r w:rsidRPr="00425370">
              <w:rPr>
                <w:rFonts w:cs="Arial"/>
                <w:color w:val="FF0000"/>
                <w:sz w:val="20"/>
                <w:szCs w:val="20"/>
              </w:rPr>
              <w:t>39.818.974</w:t>
            </w:r>
          </w:p>
        </w:tc>
        <w:tc>
          <w:tcPr>
            <w:tcW w:w="787" w:type="pct"/>
            <w:tcBorders>
              <w:top w:val="nil"/>
              <w:left w:val="nil"/>
              <w:bottom w:val="nil"/>
              <w:right w:val="nil"/>
            </w:tcBorders>
            <w:shd w:val="clear" w:color="FFFFFF" w:fill="FFFFFF"/>
            <w:noWrap/>
            <w:vAlign w:val="center"/>
            <w:hideMark/>
          </w:tcPr>
          <w:p w14:paraId="1548E7A8" w14:textId="77777777" w:rsidR="00EE2589" w:rsidRPr="00425370" w:rsidRDefault="00EE2589" w:rsidP="003A6FB5">
            <w:pPr>
              <w:jc w:val="center"/>
              <w:rPr>
                <w:rFonts w:cs="Arial"/>
                <w:color w:val="FF0000"/>
                <w:sz w:val="20"/>
                <w:szCs w:val="20"/>
              </w:rPr>
            </w:pPr>
            <w:r w:rsidRPr="00425370">
              <w:rPr>
                <w:rFonts w:cs="Arial"/>
                <w:color w:val="FF0000"/>
                <w:sz w:val="20"/>
                <w:szCs w:val="20"/>
              </w:rPr>
              <w:t>9,98</w:t>
            </w:r>
          </w:p>
        </w:tc>
      </w:tr>
      <w:tr w:rsidR="00EE2589" w:rsidRPr="00425370" w14:paraId="5BADBA9F" w14:textId="77777777" w:rsidTr="000A6309">
        <w:trPr>
          <w:trHeight w:val="255"/>
        </w:trPr>
        <w:tc>
          <w:tcPr>
            <w:tcW w:w="2653" w:type="pct"/>
            <w:tcBorders>
              <w:top w:val="nil"/>
              <w:left w:val="nil"/>
              <w:bottom w:val="nil"/>
              <w:right w:val="single" w:sz="4" w:space="0" w:color="auto"/>
            </w:tcBorders>
            <w:shd w:val="clear" w:color="auto" w:fill="auto"/>
            <w:noWrap/>
            <w:vAlign w:val="center"/>
            <w:hideMark/>
          </w:tcPr>
          <w:p w14:paraId="7A77BA0C" w14:textId="77777777" w:rsidR="00EE2589" w:rsidRPr="00425370" w:rsidRDefault="00EE2589" w:rsidP="003A6FB5">
            <w:pPr>
              <w:ind w:left="72"/>
              <w:jc w:val="left"/>
              <w:rPr>
                <w:rFonts w:cs="Arial"/>
                <w:sz w:val="20"/>
                <w:szCs w:val="20"/>
              </w:rPr>
            </w:pPr>
            <w:r w:rsidRPr="00425370">
              <w:rPr>
                <w:rFonts w:cs="Arial"/>
                <w:sz w:val="20"/>
                <w:szCs w:val="20"/>
              </w:rPr>
              <w:t>Tribunal de Contas dos Municípios</w:t>
            </w:r>
          </w:p>
        </w:tc>
        <w:tc>
          <w:tcPr>
            <w:tcW w:w="1560" w:type="pct"/>
            <w:tcBorders>
              <w:top w:val="nil"/>
              <w:left w:val="nil"/>
              <w:bottom w:val="nil"/>
              <w:right w:val="single" w:sz="4" w:space="0" w:color="auto"/>
            </w:tcBorders>
            <w:shd w:val="clear" w:color="auto" w:fill="auto"/>
            <w:noWrap/>
            <w:vAlign w:val="center"/>
            <w:hideMark/>
          </w:tcPr>
          <w:p w14:paraId="5E2964DB" w14:textId="77777777" w:rsidR="00EE2589" w:rsidRPr="00425370" w:rsidRDefault="00EE2589" w:rsidP="003A6FB5">
            <w:pPr>
              <w:jc w:val="right"/>
              <w:rPr>
                <w:rFonts w:cs="Arial"/>
                <w:color w:val="FF0000"/>
                <w:sz w:val="20"/>
                <w:szCs w:val="20"/>
              </w:rPr>
            </w:pPr>
            <w:r w:rsidRPr="00425370">
              <w:rPr>
                <w:rFonts w:cs="Arial"/>
                <w:color w:val="FF0000"/>
                <w:sz w:val="20"/>
                <w:szCs w:val="20"/>
              </w:rPr>
              <w:t>15.162.081</w:t>
            </w:r>
          </w:p>
        </w:tc>
        <w:tc>
          <w:tcPr>
            <w:tcW w:w="787" w:type="pct"/>
            <w:tcBorders>
              <w:top w:val="nil"/>
              <w:left w:val="nil"/>
              <w:bottom w:val="nil"/>
              <w:right w:val="nil"/>
            </w:tcBorders>
            <w:shd w:val="clear" w:color="FFFFFF" w:fill="FFFFFF"/>
            <w:noWrap/>
            <w:vAlign w:val="center"/>
            <w:hideMark/>
          </w:tcPr>
          <w:p w14:paraId="750F0131" w14:textId="77777777" w:rsidR="00EE2589" w:rsidRPr="00425370" w:rsidRDefault="00EE2589" w:rsidP="003A6FB5">
            <w:pPr>
              <w:jc w:val="center"/>
              <w:rPr>
                <w:rFonts w:cs="Arial"/>
                <w:color w:val="FF0000"/>
                <w:sz w:val="20"/>
                <w:szCs w:val="20"/>
              </w:rPr>
            </w:pPr>
            <w:r w:rsidRPr="00425370">
              <w:rPr>
                <w:rFonts w:cs="Arial"/>
                <w:color w:val="FF0000"/>
                <w:sz w:val="20"/>
                <w:szCs w:val="20"/>
              </w:rPr>
              <w:t>3,80</w:t>
            </w:r>
          </w:p>
        </w:tc>
      </w:tr>
      <w:tr w:rsidR="00EE2589" w:rsidRPr="00425370" w14:paraId="0D5034AC" w14:textId="77777777" w:rsidTr="000A6309">
        <w:trPr>
          <w:trHeight w:val="255"/>
        </w:trPr>
        <w:tc>
          <w:tcPr>
            <w:tcW w:w="2653" w:type="pct"/>
            <w:tcBorders>
              <w:top w:val="nil"/>
              <w:left w:val="nil"/>
              <w:bottom w:val="single" w:sz="4" w:space="0" w:color="auto"/>
              <w:right w:val="single" w:sz="4" w:space="0" w:color="auto"/>
            </w:tcBorders>
            <w:shd w:val="clear" w:color="auto" w:fill="auto"/>
            <w:noWrap/>
            <w:vAlign w:val="center"/>
            <w:hideMark/>
          </w:tcPr>
          <w:p w14:paraId="32DD4F7D" w14:textId="77777777" w:rsidR="00EE2589" w:rsidRPr="00425370" w:rsidRDefault="00EE2589" w:rsidP="003A6FB5">
            <w:pPr>
              <w:ind w:left="72"/>
              <w:jc w:val="left"/>
              <w:rPr>
                <w:rFonts w:cs="Arial"/>
                <w:sz w:val="20"/>
                <w:szCs w:val="20"/>
              </w:rPr>
            </w:pPr>
            <w:r w:rsidRPr="00425370">
              <w:rPr>
                <w:rFonts w:cs="Arial"/>
                <w:sz w:val="20"/>
                <w:szCs w:val="20"/>
              </w:rPr>
              <w:t xml:space="preserve">Executivo </w:t>
            </w:r>
          </w:p>
        </w:tc>
        <w:tc>
          <w:tcPr>
            <w:tcW w:w="1560" w:type="pct"/>
            <w:tcBorders>
              <w:top w:val="nil"/>
              <w:left w:val="nil"/>
              <w:bottom w:val="single" w:sz="4" w:space="0" w:color="auto"/>
              <w:right w:val="single" w:sz="4" w:space="0" w:color="auto"/>
            </w:tcBorders>
            <w:shd w:val="clear" w:color="auto" w:fill="auto"/>
            <w:noWrap/>
            <w:vAlign w:val="center"/>
            <w:hideMark/>
          </w:tcPr>
          <w:p w14:paraId="6F3F2D33" w14:textId="77777777" w:rsidR="00EE2589" w:rsidRPr="00425370" w:rsidRDefault="00EE2589" w:rsidP="003A6FB5">
            <w:pPr>
              <w:jc w:val="right"/>
              <w:rPr>
                <w:rFonts w:cs="Arial"/>
                <w:color w:val="0000CC"/>
                <w:sz w:val="20"/>
                <w:szCs w:val="20"/>
              </w:rPr>
            </w:pPr>
            <w:r w:rsidRPr="00425370">
              <w:rPr>
                <w:rFonts w:cs="Arial"/>
                <w:color w:val="0000CC"/>
                <w:sz w:val="20"/>
                <w:szCs w:val="20"/>
              </w:rPr>
              <w:t>(767.393.326)</w:t>
            </w:r>
          </w:p>
        </w:tc>
        <w:tc>
          <w:tcPr>
            <w:tcW w:w="787" w:type="pct"/>
            <w:tcBorders>
              <w:top w:val="nil"/>
              <w:left w:val="nil"/>
              <w:bottom w:val="single" w:sz="4" w:space="0" w:color="auto"/>
              <w:right w:val="nil"/>
            </w:tcBorders>
            <w:shd w:val="clear" w:color="FFFFFF" w:fill="FFFFFF"/>
            <w:noWrap/>
            <w:vAlign w:val="center"/>
            <w:hideMark/>
          </w:tcPr>
          <w:p w14:paraId="65B5DF9B" w14:textId="77777777" w:rsidR="00EE2589" w:rsidRPr="00425370" w:rsidRDefault="00EE2589" w:rsidP="003A6FB5">
            <w:pPr>
              <w:jc w:val="center"/>
              <w:rPr>
                <w:rFonts w:cs="Arial"/>
                <w:color w:val="0000CC"/>
                <w:sz w:val="20"/>
                <w:szCs w:val="20"/>
              </w:rPr>
            </w:pPr>
            <w:r w:rsidRPr="00425370">
              <w:rPr>
                <w:rFonts w:cs="Arial"/>
                <w:color w:val="0000CC"/>
                <w:sz w:val="20"/>
                <w:szCs w:val="20"/>
              </w:rPr>
              <w:t>(192,32)</w:t>
            </w:r>
          </w:p>
        </w:tc>
      </w:tr>
      <w:tr w:rsidR="00EE2589" w:rsidRPr="00425370" w14:paraId="7352F61A" w14:textId="77777777" w:rsidTr="000A6309">
        <w:trPr>
          <w:trHeight w:val="255"/>
        </w:trPr>
        <w:tc>
          <w:tcPr>
            <w:tcW w:w="2653" w:type="pct"/>
            <w:tcBorders>
              <w:top w:val="nil"/>
              <w:left w:val="nil"/>
              <w:bottom w:val="single" w:sz="4" w:space="0" w:color="auto"/>
              <w:right w:val="single" w:sz="4" w:space="0" w:color="auto"/>
            </w:tcBorders>
            <w:shd w:val="clear" w:color="FFFFFF" w:fill="FFFFFF"/>
            <w:noWrap/>
            <w:vAlign w:val="center"/>
            <w:hideMark/>
          </w:tcPr>
          <w:p w14:paraId="59016B85" w14:textId="77777777" w:rsidR="00EE2589" w:rsidRPr="00425370" w:rsidRDefault="00EE2589" w:rsidP="003A6FB5">
            <w:pPr>
              <w:jc w:val="center"/>
              <w:rPr>
                <w:rFonts w:cs="Arial"/>
                <w:b/>
                <w:bCs/>
                <w:sz w:val="20"/>
                <w:szCs w:val="20"/>
              </w:rPr>
            </w:pPr>
            <w:r w:rsidRPr="00425370">
              <w:rPr>
                <w:rFonts w:cs="Arial"/>
                <w:b/>
                <w:bCs/>
                <w:sz w:val="20"/>
                <w:szCs w:val="20"/>
              </w:rPr>
              <w:t>Total</w:t>
            </w:r>
          </w:p>
        </w:tc>
        <w:tc>
          <w:tcPr>
            <w:tcW w:w="1560" w:type="pct"/>
            <w:tcBorders>
              <w:top w:val="nil"/>
              <w:left w:val="nil"/>
              <w:bottom w:val="single" w:sz="4" w:space="0" w:color="auto"/>
              <w:right w:val="single" w:sz="4" w:space="0" w:color="auto"/>
            </w:tcBorders>
            <w:shd w:val="clear" w:color="FFFFFF" w:fill="FFFFFF"/>
            <w:noWrap/>
            <w:vAlign w:val="center"/>
            <w:hideMark/>
          </w:tcPr>
          <w:p w14:paraId="2686C0A2" w14:textId="77777777" w:rsidR="00EE2589" w:rsidRPr="00425370" w:rsidRDefault="00EE2589" w:rsidP="003A6FB5">
            <w:pPr>
              <w:jc w:val="right"/>
              <w:rPr>
                <w:rFonts w:cs="Arial"/>
                <w:b/>
                <w:bCs/>
                <w:color w:val="FF0000"/>
                <w:sz w:val="20"/>
                <w:szCs w:val="20"/>
              </w:rPr>
            </w:pPr>
            <w:r w:rsidRPr="00425370">
              <w:rPr>
                <w:rFonts w:cs="Arial"/>
                <w:b/>
                <w:bCs/>
                <w:color w:val="FF0000"/>
                <w:sz w:val="20"/>
                <w:szCs w:val="20"/>
              </w:rPr>
              <w:t xml:space="preserve">399.020.015 </w:t>
            </w:r>
          </w:p>
        </w:tc>
        <w:tc>
          <w:tcPr>
            <w:tcW w:w="787" w:type="pct"/>
            <w:tcBorders>
              <w:top w:val="nil"/>
              <w:left w:val="nil"/>
              <w:bottom w:val="single" w:sz="4" w:space="0" w:color="auto"/>
              <w:right w:val="nil"/>
            </w:tcBorders>
            <w:shd w:val="clear" w:color="FFFFFF" w:fill="FFFFFF"/>
            <w:noWrap/>
            <w:vAlign w:val="center"/>
            <w:hideMark/>
          </w:tcPr>
          <w:p w14:paraId="1A98CF3C" w14:textId="77777777" w:rsidR="00EE2589" w:rsidRPr="00425370" w:rsidRDefault="00EE2589" w:rsidP="003A6FB5">
            <w:pPr>
              <w:jc w:val="center"/>
              <w:rPr>
                <w:rFonts w:cs="Arial"/>
                <w:b/>
                <w:bCs/>
                <w:color w:val="FF0000"/>
                <w:sz w:val="20"/>
                <w:szCs w:val="20"/>
              </w:rPr>
            </w:pPr>
            <w:r w:rsidRPr="00425370">
              <w:rPr>
                <w:rFonts w:cs="Arial"/>
                <w:b/>
                <w:bCs/>
                <w:color w:val="FF0000"/>
                <w:sz w:val="20"/>
                <w:szCs w:val="20"/>
              </w:rPr>
              <w:t>100,00</w:t>
            </w:r>
          </w:p>
        </w:tc>
      </w:tr>
    </w:tbl>
    <w:p w14:paraId="50B84452" w14:textId="77777777" w:rsidR="00EE2589" w:rsidRDefault="00EE2589" w:rsidP="00EF01A1">
      <w:pPr>
        <w:pStyle w:val="1-FONTE8ESQ"/>
        <w:rPr>
          <w:rStyle w:val="Forte"/>
          <w:b w:val="0"/>
        </w:rPr>
      </w:pPr>
      <w:r w:rsidRPr="000B1356">
        <w:rPr>
          <w:rStyle w:val="Forte"/>
          <w:b w:val="0"/>
        </w:rPr>
        <w:t xml:space="preserve">Fonte: </w:t>
      </w:r>
      <w:r>
        <w:rPr>
          <w:rStyle w:val="Forte"/>
          <w:b w:val="0"/>
        </w:rPr>
        <w:t>Nota Técnica nº 2/2024 – ECONOMIA/GPFIN-14606 (Processo SEI nº 202300004041160)</w:t>
      </w:r>
    </w:p>
    <w:p w14:paraId="4821E7D0" w14:textId="77777777" w:rsidR="00EE2589" w:rsidRPr="000B1356" w:rsidRDefault="00EE2589" w:rsidP="00EF01A1">
      <w:pPr>
        <w:pStyle w:val="1-FONTE8ESQ"/>
        <w:rPr>
          <w:rStyle w:val="Forte"/>
          <w:b w:val="0"/>
        </w:rPr>
      </w:pPr>
      <w:r>
        <w:rPr>
          <w:rStyle w:val="Forte"/>
          <w:b w:val="0"/>
        </w:rPr>
        <w:t>Legenda: (azul) = abaixo do limite; vermelho = acima do limite</w:t>
      </w:r>
    </w:p>
    <w:p w14:paraId="5207D239" w14:textId="2EA783F9" w:rsidR="00C5245D" w:rsidRDefault="00C5245D" w:rsidP="00C5245D">
      <w:pPr>
        <w:pStyle w:val="1-REL11"/>
      </w:pPr>
      <w:r>
        <w:t>Observa-se pelos dados da tabela acima que apenas o Poder Executivo cumpriu o limite de crescimento anual das despesas primárias correntes. Todavia, é importante destacar que a apuração do cumprimento do limite da LC nº 156/2016 é realizado tão somente pelo resultado global obtido pelo Estado, e não por Poder e Órgão Autônomo.</w:t>
      </w:r>
    </w:p>
    <w:p w14:paraId="1118B511" w14:textId="77777777" w:rsidR="00C5245D" w:rsidRDefault="00C5245D" w:rsidP="00C5245D">
      <w:pPr>
        <w:pStyle w:val="1-REL11"/>
      </w:pPr>
      <w:r>
        <w:t>Posteriormente, em 26/03/2024, o Ministro Relator emitiu a seguinte decisão sobre a ACO nº 3.651</w:t>
      </w:r>
      <w:r>
        <w:rPr>
          <w:rStyle w:val="Refdenotaderodap"/>
        </w:rPr>
        <w:footnoteReference w:id="10"/>
      </w:r>
      <w:r>
        <w:t>:</w:t>
      </w:r>
    </w:p>
    <w:p w14:paraId="7BE71747" w14:textId="77777777" w:rsidR="00C5245D" w:rsidRDefault="00C5245D" w:rsidP="00C5245D">
      <w:pPr>
        <w:pStyle w:val="1-CITAO"/>
      </w:pPr>
      <w:r>
        <w:t xml:space="preserve">Ante o exposto, julgo </w:t>
      </w:r>
      <w:r w:rsidRPr="00BA1DFE">
        <w:rPr>
          <w:b/>
        </w:rPr>
        <w:t>procedentes, em parte</w:t>
      </w:r>
      <w:r>
        <w:t xml:space="preserve">, os pedidos para o fim de declarar que devem ser considerados, </w:t>
      </w:r>
      <w:r w:rsidRPr="00BA1DFE">
        <w:rPr>
          <w:b/>
          <w:u w:val="single"/>
        </w:rPr>
        <w:t>imediatamente</w:t>
      </w:r>
      <w:r>
        <w:t>, como excluídas das despesas previstas no art. 4º-A, III, da Lei Complementar 156/2016, em relação ao Estado de Goiás:</w:t>
      </w:r>
    </w:p>
    <w:p w14:paraId="6B74F148" w14:textId="77777777" w:rsidR="00C5245D" w:rsidRDefault="00C5245D" w:rsidP="00C5245D">
      <w:pPr>
        <w:pStyle w:val="1-CITAO"/>
      </w:pPr>
    </w:p>
    <w:p w14:paraId="005945FB" w14:textId="77777777" w:rsidR="00C5245D" w:rsidRDefault="00C5245D" w:rsidP="00C5245D">
      <w:pPr>
        <w:pStyle w:val="1-CITAO"/>
      </w:pPr>
      <w:r>
        <w:t>a) apenas em 2022, as despesas tidas como mínimas para saúde e educação, de acordo com as estimativas orçamentárias previstas antes do advento das Leis Complementares 192 e 194/2022, considerando-as no seu valor nominal, com a mesma consequência jurídica para os fins do art. 4º-A, III, “b”, da Lei Complementar 156/2016, ainda que tenham sobejado o mínimo constitucional após a queda de arrecadação imposta por força daquelas leis complementares; e</w:t>
      </w:r>
    </w:p>
    <w:p w14:paraId="7BDE542B" w14:textId="77777777" w:rsidR="00C5245D" w:rsidRDefault="00C5245D" w:rsidP="00C5245D">
      <w:pPr>
        <w:pStyle w:val="1-CITAO"/>
      </w:pPr>
    </w:p>
    <w:p w14:paraId="1B4FF959" w14:textId="77777777" w:rsidR="00C5245D" w:rsidRDefault="00C5245D" w:rsidP="00C5245D">
      <w:pPr>
        <w:pStyle w:val="1-CITAO"/>
      </w:pPr>
      <w:r>
        <w:t xml:space="preserve">b) o montante repassado/compensado/abatido pela União por força da Lei Complementar 201/2023 seja considerado para fins do disposto no art. 4º-A, III, alínea “a”, da Lei Complementar 156/2016, com a redação conferida pela LC 189/2022, exatamente por força do acordo firmado nesta Corte na ADPF 984 e ADI 7191, como uma compensação financeira pela diminuição da arrecadação dos governos estaduais, distrital e municipais. </w:t>
      </w:r>
    </w:p>
    <w:p w14:paraId="661D99A1" w14:textId="77777777" w:rsidR="00C5245D" w:rsidRDefault="00C5245D" w:rsidP="00C5245D">
      <w:pPr>
        <w:pStyle w:val="1-CITAO"/>
      </w:pPr>
    </w:p>
    <w:p w14:paraId="189BAE93" w14:textId="77777777" w:rsidR="00C5245D" w:rsidRDefault="00C5245D" w:rsidP="00C5245D">
      <w:pPr>
        <w:pStyle w:val="1-CITAO"/>
      </w:pPr>
      <w:r>
        <w:t>Determino, ainda, que a forma de cálculo das despesas na forma do art. 4º-A da Lei Complementar 156/2016 seja efetuado de acordo com a Portaria 10.464/2022 da própria STN. (grifos originais)</w:t>
      </w:r>
    </w:p>
    <w:p w14:paraId="27850543" w14:textId="77777777" w:rsidR="00C5245D" w:rsidRDefault="00C5245D" w:rsidP="00C5245D">
      <w:pPr>
        <w:pStyle w:val="1-REL11"/>
      </w:pPr>
      <w:r>
        <w:t xml:space="preserve">Ressalta-se que a referida ACO ainda não transitou em julgado, não se permitindo, neste momento, emissão de opinião conclusiva sobre o fato. Confirmada a decisão, e levando em consideração que o pleito estadual foi julgado procedente, em partes, o Governo de Goiás deverá recalcular os dados divulgados após o final de 2023, nos termos da decisão proferida, e apresentá-los à STN, que se manifestará de acordo com procedimentos e prazos próprios, </w:t>
      </w:r>
      <w:r>
        <w:lastRenderedPageBreak/>
        <w:t xml:space="preserve">mediante manifestação técnica (parecer), e poderá haver interposição de recurso por </w:t>
      </w:r>
      <w:r w:rsidRPr="00AE5725">
        <w:t>parte do Estado para futura análise, caso necessário.</w:t>
      </w:r>
    </w:p>
    <w:p w14:paraId="3527963C" w14:textId="77777777" w:rsidR="00C5245D" w:rsidRDefault="00C5245D" w:rsidP="00C5245D">
      <w:pPr>
        <w:pStyle w:val="1-REL11"/>
      </w:pPr>
      <w:r>
        <w:t>Portanto, somente após a conclusão do rito acima descrito será possível constatar se o teto de gastos foi ou não cumprido. Caso o Estado não consiga parecer favorável da STN, já que o pleito estadual não foi deferido em sua totalidade pelo STF, as principais consequências pelo não cumprimento do teto de gastos regulamentado pela LC nº 156/2016 seriam:</w:t>
      </w:r>
    </w:p>
    <w:p w14:paraId="4ABB4CCB" w14:textId="77777777" w:rsidR="00C5245D" w:rsidRDefault="00C5245D" w:rsidP="00FC0C22">
      <w:pPr>
        <w:pStyle w:val="1-REL11"/>
        <w:ind w:left="284"/>
      </w:pPr>
      <w:r>
        <w:t>- Caso não haja a celebração do novo termo aditivo (situação que será avaliada pela STN antes da avaliação do cumprimento do teto de gastos), a penalização por descumprir a limitação de despesas será:</w:t>
      </w:r>
    </w:p>
    <w:p w14:paraId="0E7DEF27" w14:textId="4C032B2B" w:rsidR="00C5245D" w:rsidRDefault="00C5245D" w:rsidP="00C5245D">
      <w:pPr>
        <w:pStyle w:val="0-itemELENCADO"/>
      </w:pPr>
      <w:r>
        <w:t>Na ordem de R$</w:t>
      </w:r>
      <w:r w:rsidR="005E7047">
        <w:t> </w:t>
      </w:r>
      <w:r>
        <w:t>2,38</w:t>
      </w:r>
      <w:r w:rsidR="005E7047">
        <w:t> </w:t>
      </w:r>
      <w:r>
        <w:t>bilhões, estimada para o mês de junho de 2024, que deverá ser restituída em 12 parcelas consecutivas, estimadas em valores acima de R$</w:t>
      </w:r>
      <w:r w:rsidR="005E7047">
        <w:t> </w:t>
      </w:r>
      <w:r>
        <w:t>198</w:t>
      </w:r>
      <w:r w:rsidR="005E7047">
        <w:t> </w:t>
      </w:r>
      <w:r w:rsidR="00755658">
        <w:t>milhões</w:t>
      </w:r>
      <w:r>
        <w:t xml:space="preserve"> ao mês. Este valor é abatido do saldo devedor do contrato;</w:t>
      </w:r>
    </w:p>
    <w:p w14:paraId="104C51C2" w14:textId="172554C6" w:rsidR="00C5245D" w:rsidRDefault="00C5245D" w:rsidP="00C5245D">
      <w:pPr>
        <w:pStyle w:val="0-itemELENCADO"/>
      </w:pPr>
      <w:r>
        <w:t>A perda do alongamento de prazo de 240 meses, restabelecendo o financiamento com seu prazo original. Tal redução de prazo impactará na elevação das prestações de R$</w:t>
      </w:r>
      <w:r w:rsidR="005E7047">
        <w:t> </w:t>
      </w:r>
      <w:r>
        <w:t>21,40</w:t>
      </w:r>
      <w:r w:rsidR="005E7047">
        <w:t> </w:t>
      </w:r>
      <w:r w:rsidR="00755658">
        <w:t>milhões</w:t>
      </w:r>
      <w:r>
        <w:t xml:space="preserve"> para R$</w:t>
      </w:r>
      <w:r w:rsidR="005E7047">
        <w:t> </w:t>
      </w:r>
      <w:r>
        <w:t>38,30</w:t>
      </w:r>
      <w:r w:rsidR="005E7047">
        <w:t> </w:t>
      </w:r>
      <w:r w:rsidR="00755658">
        <w:t>milhões</w:t>
      </w:r>
      <w:r>
        <w:t xml:space="preserve"> no 2º semestre de 2024, ensejando significativo custo adicional mensal ao Tesouro Estadual.</w:t>
      </w:r>
    </w:p>
    <w:p w14:paraId="5AE947DB" w14:textId="3BA07B8A" w:rsidR="00C5245D" w:rsidRDefault="00C5245D" w:rsidP="00FC0C22">
      <w:pPr>
        <w:pStyle w:val="1-REL11"/>
        <w:ind w:left="284"/>
      </w:pPr>
      <w:r>
        <w:t>- Caso haja a celebração de termo aditivo, o Estado assumirá um aumento de saldo devedor no contrato da ordem de R$</w:t>
      </w:r>
      <w:r w:rsidR="00755658">
        <w:t> </w:t>
      </w:r>
      <w:r>
        <w:t>240</w:t>
      </w:r>
      <w:r w:rsidR="005E7047">
        <w:t> </w:t>
      </w:r>
      <w:r w:rsidR="00755658">
        <w:t>milhões</w:t>
      </w:r>
      <w:r>
        <w:t>, preservando o prazo alongado do financiamento e gerando um aumento de prestação mensal bem menos significativo, da ordem de R$</w:t>
      </w:r>
      <w:r w:rsidR="00755658">
        <w:t> </w:t>
      </w:r>
      <w:r>
        <w:t>1,09</w:t>
      </w:r>
      <w:r w:rsidR="00755658">
        <w:t> </w:t>
      </w:r>
      <w:r>
        <w:t>milhão ao mês, sem a necessidade da devolução de R$</w:t>
      </w:r>
      <w:r w:rsidR="00755658">
        <w:t> </w:t>
      </w:r>
      <w:r>
        <w:t>2,38</w:t>
      </w:r>
      <w:r w:rsidR="00755658">
        <w:t> </w:t>
      </w:r>
      <w:r>
        <w:t>bilhões.</w:t>
      </w:r>
    </w:p>
    <w:p w14:paraId="4276883B" w14:textId="79D8ED77" w:rsidR="00C5245D" w:rsidRDefault="00C5245D" w:rsidP="00C5245D">
      <w:pPr>
        <w:pStyle w:val="1-REL11"/>
      </w:pPr>
      <w:r>
        <w:t>Registra-se que, em consulta ao processo SEI nº 202300004041160, foi possível constatar que a Secretaria de Estado da Economia (ECONOMIA) encaminhou documentações à STN, por meio do Ofício nº 6946/2024/ECONOMIA, de 03 de abril de 2024, dentre as quais contém a informação de que na apuração da limitação de crescimento da despesas primárias correntes estabelecida pela LC nº 156/2016, considerou-se a decisão proferida em 26/03/2024 no âmbito da ACO nº 3.651, e assim, com os no</w:t>
      </w:r>
      <w:r>
        <w:tab/>
        <w:t xml:space="preserve">vos cálculos efetuados, conforme </w:t>
      </w:r>
      <w:r w:rsidRPr="00B7582E">
        <w:t>Nota Técnica nº</w:t>
      </w:r>
      <w:r w:rsidR="00755658">
        <w:t> </w:t>
      </w:r>
      <w:r w:rsidRPr="00B7582E">
        <w:t>5/2024 - ECONOMIA/STE-15953</w:t>
      </w:r>
      <w:r>
        <w:rPr>
          <w:rStyle w:val="Refdenotaderodap"/>
        </w:rPr>
        <w:footnoteReference w:id="11"/>
      </w:r>
      <w:r>
        <w:t>o estado de Goiás teria cumprido o limite do teto de gastos, apresentando uma folga de R$</w:t>
      </w:r>
      <w:r w:rsidR="00755658">
        <w:t> </w:t>
      </w:r>
      <w:r>
        <w:t>981,10</w:t>
      </w:r>
      <w:r w:rsidR="005E7047">
        <w:t> </w:t>
      </w:r>
      <w:r w:rsidR="00755658">
        <w:t>milhões</w:t>
      </w:r>
      <w:r>
        <w:t>, salientando tratar-se, ainda, de decisão monocrática não transitada em julgado, portanto, sujeita a alteração.</w:t>
      </w:r>
    </w:p>
    <w:p w14:paraId="585519F2" w14:textId="77777777" w:rsidR="00C5245D" w:rsidRPr="00EB5852" w:rsidRDefault="00C5245D" w:rsidP="00A224E9">
      <w:pPr>
        <w:pStyle w:val="Ttulo3"/>
      </w:pPr>
      <w:bookmarkStart w:id="234" w:name="_Toc167871688"/>
      <w:r w:rsidRPr="00EB5852">
        <w:lastRenderedPageBreak/>
        <w:t>Lei Complementar Federal nº 159/2017</w:t>
      </w:r>
      <w:bookmarkEnd w:id="234"/>
    </w:p>
    <w:p w14:paraId="53D142F0" w14:textId="5E43359D" w:rsidR="00C5245D" w:rsidRPr="00833009" w:rsidRDefault="00C5245D" w:rsidP="00C5245D">
      <w:pPr>
        <w:pStyle w:val="1-REL11"/>
      </w:pPr>
      <w:r w:rsidRPr="005C5920">
        <w:t>A LC nº</w:t>
      </w:r>
      <w:r w:rsidR="0006690F">
        <w:t> </w:t>
      </w:r>
      <w:r w:rsidRPr="005C5920">
        <w:t>159/2017 instituiu o RRF com o objetivo de propiciar</w:t>
      </w:r>
      <w:r>
        <w:t>,</w:t>
      </w:r>
      <w:r w:rsidRPr="005C5920">
        <w:t xml:space="preserve"> aos estados que estive</w:t>
      </w:r>
      <w:r>
        <w:t>r</w:t>
      </w:r>
      <w:r w:rsidRPr="005C5920">
        <w:t>em em situação de grave desequilíbrio financeiro</w:t>
      </w:r>
      <w:r>
        <w:t>,</w:t>
      </w:r>
      <w:r w:rsidRPr="005C5920">
        <w:t xml:space="preserve"> instrumentos </w:t>
      </w:r>
      <w:r w:rsidRPr="00833009">
        <w:t xml:space="preserve">para buscar o equilíbrio das suas contas. </w:t>
      </w:r>
      <w:r w:rsidRPr="00E13BA9">
        <w:t>Para sua adesão, o estado de Goiás teve que elaborar o Plano de Recuperação Fiscal (PRF)</w:t>
      </w:r>
      <w:r w:rsidRPr="00833009">
        <w:t xml:space="preserve"> previsto no art. 2º da referida lei, </w:t>
      </w:r>
      <w:r>
        <w:t xml:space="preserve">que </w:t>
      </w:r>
      <w:r w:rsidRPr="00833009">
        <w:t>foi homologado pelo Presidente da República em 24 de dezembro de 2021.</w:t>
      </w:r>
    </w:p>
    <w:p w14:paraId="1E01CBDA" w14:textId="77777777" w:rsidR="00C5245D" w:rsidRPr="002272D9" w:rsidRDefault="00C5245D" w:rsidP="00C5245D">
      <w:pPr>
        <w:pStyle w:val="1-REL11"/>
      </w:pPr>
      <w:r>
        <w:t xml:space="preserve">Com isso, durante sua vigência (2022 a 2030), a União concederá redução extraordinária das prestações relativas aos contratos de dívidas administradas pela STN, bem como poderá pagar, em nome do Estado, as prestações de operações de crédito com o sistema financeiro e instituições multilaterais garantidas pela União sem executar as contragarantias correspondentes, desde que essas estejam contempladas no pedido e contratadas em data </w:t>
      </w:r>
      <w:r w:rsidRPr="002272D9">
        <w:t>anterior ao protocolo d</w:t>
      </w:r>
      <w:r>
        <w:t>a</w:t>
      </w:r>
      <w:r w:rsidRPr="002272D9">
        <w:t xml:space="preserve"> referida adesão.</w:t>
      </w:r>
    </w:p>
    <w:p w14:paraId="45F63BCB" w14:textId="7059285F" w:rsidR="00C5245D" w:rsidRPr="00585568" w:rsidRDefault="00C5245D" w:rsidP="00C5245D">
      <w:pPr>
        <w:pStyle w:val="1-REL11"/>
      </w:pPr>
      <w:r>
        <w:t>A respeito do assunto, r</w:t>
      </w:r>
      <w:r w:rsidRPr="002272D9">
        <w:t>egistra-se que foi realizado</w:t>
      </w:r>
      <w:r>
        <w:t xml:space="preserve"> </w:t>
      </w:r>
      <w:r w:rsidRPr="002272D9">
        <w:t>por esta Corte de Contas trabalho específico de fiscalização em 2022</w:t>
      </w:r>
      <w:r>
        <w:t xml:space="preserve"> </w:t>
      </w:r>
      <w:r w:rsidRPr="002272D9">
        <w:t>cujo escopo consistiu em avaliar a execução e o monitoramento do PRF gerido pela ECONOMIA, no qual detalhes do RRF e os resultados alcançados encontram-se dispostos no Processo e</w:t>
      </w:r>
      <w:r>
        <w:t>-</w:t>
      </w:r>
      <w:r w:rsidRPr="002272D9">
        <w:t>TCE nº</w:t>
      </w:r>
      <w:r w:rsidR="003E74F2">
        <w:t> </w:t>
      </w:r>
      <w:r w:rsidRPr="002272D9">
        <w:t xml:space="preserve">202200047000474, evento 15. </w:t>
      </w:r>
      <w:r>
        <w:t xml:space="preserve">Adicionalmente, a referida Secretaria também disponibiliza portal para dar publicidade aos atos relacionados aos desdobramentos do RRF </w:t>
      </w:r>
      <w:r w:rsidRPr="00E13BA9">
        <w:t>(</w:t>
      </w:r>
      <w:hyperlink r:id="rId47" w:history="1">
        <w:r w:rsidRPr="00E13BA9">
          <w:rPr>
            <w:rStyle w:val="Hyperlink"/>
            <w:color w:val="auto"/>
            <w:u w:val="none"/>
          </w:rPr>
          <w:t>https://goias.gov.br/economia/rrf/</w:t>
        </w:r>
      </w:hyperlink>
      <w:r w:rsidRPr="00585568">
        <w:t>).</w:t>
      </w:r>
    </w:p>
    <w:p w14:paraId="1260AD2C" w14:textId="77777777" w:rsidR="00C5245D" w:rsidRDefault="00C5245D" w:rsidP="00C5245D">
      <w:pPr>
        <w:pStyle w:val="1-REL11"/>
      </w:pPr>
      <w:r>
        <w:t>Em relação à apuração do teto de gastos regulamentado pela LC nº 159/2017, que avalia o crescimento anual das despesas primárias para os exercícios de 2022 a 2030 frente ao exercício 2021 (base), e com o trânsito em julgado da ADI 6930</w:t>
      </w:r>
      <w:r>
        <w:rPr>
          <w:rStyle w:val="Refdenotaderodap"/>
        </w:rPr>
        <w:footnoteReference w:id="12"/>
      </w:r>
      <w:r>
        <w:t xml:space="preserve"> (STF), movida pela Associação dos Magistrados Brasileiros (AMB) e pela Associação Nacional dos  Membros do Ministério Público (CONAMP), em que todas as despesas pagas com recursos afetados aos fundos públicos especiais instituídos pelo Poder Judiciário, pelos Tribunais de Contas, pelo Ministério Público, pelas Defensorias Públicas e pelas Procuradorias-Gerais dos Estados e do Distrito Federal para a consecução das atividades aos quais estão vinculados, incluindo tanto investimentos quanto despesas de custeio, passaram a ser excluídas do teto de gastos, a ECONOMIA publicou a </w:t>
      </w:r>
      <w:r w:rsidRPr="00970DBE">
        <w:t>Nota Técnica nº 5/2024 - ECONOMIA/STE-15953</w:t>
      </w:r>
      <w:r>
        <w:rPr>
          <w:rStyle w:val="Refdenotaderodap"/>
        </w:rPr>
        <w:footnoteReference w:id="13"/>
      </w:r>
      <w:r>
        <w:t>, que demonstra o cumprimento do teto de gastos, conforme demonstrado na tabela abaixo:</w:t>
      </w:r>
    </w:p>
    <w:p w14:paraId="21E01CF8" w14:textId="4393811F" w:rsidR="00C5245D" w:rsidRPr="00C17412" w:rsidRDefault="00C5245D" w:rsidP="00ED3571">
      <w:pPr>
        <w:pStyle w:val="0-TABELA"/>
      </w:pPr>
      <w:bookmarkStart w:id="235" w:name="_Toc167871780"/>
      <w:r>
        <w:t>Teto de Gastos – LC nº 159/2017</w:t>
      </w:r>
      <w:bookmarkEnd w:id="235"/>
    </w:p>
    <w:p w14:paraId="2DC42179" w14:textId="77777777" w:rsidR="00C5245D" w:rsidRDefault="00C5245D" w:rsidP="00C5245D">
      <w:pPr>
        <w:pStyle w:val="0-EmR1"/>
      </w:pPr>
      <w:r w:rsidRPr="00D512F5">
        <w:t>R$ 1</w:t>
      </w:r>
    </w:p>
    <w:tbl>
      <w:tblPr>
        <w:tblW w:w="5000" w:type="pct"/>
        <w:tblCellMar>
          <w:left w:w="70" w:type="dxa"/>
          <w:right w:w="70" w:type="dxa"/>
        </w:tblCellMar>
        <w:tblLook w:val="04A0" w:firstRow="1" w:lastRow="0" w:firstColumn="1" w:lastColumn="0" w:noHBand="0" w:noVBand="1"/>
      </w:tblPr>
      <w:tblGrid>
        <w:gridCol w:w="5177"/>
        <w:gridCol w:w="1392"/>
        <w:gridCol w:w="1392"/>
        <w:gridCol w:w="1392"/>
      </w:tblGrid>
      <w:tr w:rsidR="00C5245D" w:rsidRPr="00425370" w14:paraId="7D896852" w14:textId="77777777" w:rsidTr="00461248">
        <w:trPr>
          <w:trHeight w:val="340"/>
          <w:tblHeader/>
        </w:trPr>
        <w:tc>
          <w:tcPr>
            <w:tcW w:w="2825" w:type="pct"/>
            <w:tcBorders>
              <w:top w:val="single" w:sz="4" w:space="0" w:color="auto"/>
              <w:left w:val="nil"/>
              <w:bottom w:val="single" w:sz="4" w:space="0" w:color="auto"/>
              <w:right w:val="single" w:sz="4" w:space="0" w:color="auto"/>
            </w:tcBorders>
            <w:shd w:val="clear" w:color="000000" w:fill="A1F2FD"/>
            <w:vAlign w:val="center"/>
            <w:hideMark/>
          </w:tcPr>
          <w:p w14:paraId="5844EE74" w14:textId="77777777" w:rsidR="00C5245D" w:rsidRPr="00425370" w:rsidRDefault="00C5245D" w:rsidP="003A6FB5">
            <w:pPr>
              <w:jc w:val="center"/>
              <w:rPr>
                <w:rFonts w:cs="Arial"/>
                <w:b/>
                <w:bCs/>
                <w:color w:val="000000"/>
                <w:sz w:val="18"/>
                <w:szCs w:val="18"/>
              </w:rPr>
            </w:pPr>
            <w:r w:rsidRPr="00425370">
              <w:rPr>
                <w:rFonts w:cs="Arial"/>
                <w:b/>
                <w:bCs/>
                <w:color w:val="000000"/>
                <w:sz w:val="18"/>
                <w:szCs w:val="18"/>
              </w:rPr>
              <w:t>Despesas Primárias Apuradas</w:t>
            </w:r>
          </w:p>
        </w:tc>
        <w:tc>
          <w:tcPr>
            <w:tcW w:w="722" w:type="pct"/>
            <w:tcBorders>
              <w:top w:val="single" w:sz="4" w:space="0" w:color="auto"/>
              <w:left w:val="nil"/>
              <w:bottom w:val="single" w:sz="4" w:space="0" w:color="auto"/>
              <w:right w:val="single" w:sz="4" w:space="0" w:color="auto"/>
            </w:tcBorders>
            <w:shd w:val="clear" w:color="000000" w:fill="A1F2FD"/>
            <w:vAlign w:val="center"/>
            <w:hideMark/>
          </w:tcPr>
          <w:p w14:paraId="677CCDA0" w14:textId="77777777" w:rsidR="00C5245D" w:rsidRPr="00425370" w:rsidRDefault="00C5245D" w:rsidP="003A6FB5">
            <w:pPr>
              <w:jc w:val="center"/>
              <w:rPr>
                <w:rFonts w:cs="Arial"/>
                <w:b/>
                <w:bCs/>
                <w:color w:val="000000"/>
                <w:sz w:val="18"/>
                <w:szCs w:val="18"/>
              </w:rPr>
            </w:pPr>
            <w:r w:rsidRPr="00425370">
              <w:rPr>
                <w:rFonts w:cs="Arial"/>
                <w:b/>
                <w:bCs/>
                <w:color w:val="000000"/>
                <w:sz w:val="18"/>
                <w:szCs w:val="18"/>
              </w:rPr>
              <w:t>2021</w:t>
            </w:r>
            <w:r w:rsidRPr="00425370">
              <w:rPr>
                <w:rFonts w:cs="Arial"/>
                <w:b/>
                <w:bCs/>
                <w:color w:val="000000"/>
                <w:sz w:val="18"/>
                <w:szCs w:val="18"/>
              </w:rPr>
              <w:br/>
              <w:t>Ano-base</w:t>
            </w:r>
          </w:p>
        </w:tc>
        <w:tc>
          <w:tcPr>
            <w:tcW w:w="727" w:type="pct"/>
            <w:tcBorders>
              <w:top w:val="single" w:sz="4" w:space="0" w:color="auto"/>
              <w:left w:val="nil"/>
              <w:bottom w:val="single" w:sz="4" w:space="0" w:color="auto"/>
              <w:right w:val="single" w:sz="4" w:space="0" w:color="auto"/>
            </w:tcBorders>
            <w:shd w:val="clear" w:color="000000" w:fill="A1F2FD"/>
            <w:vAlign w:val="center"/>
            <w:hideMark/>
          </w:tcPr>
          <w:p w14:paraId="39E96C23" w14:textId="77777777" w:rsidR="00C5245D" w:rsidRPr="00425370" w:rsidRDefault="00C5245D" w:rsidP="003A6FB5">
            <w:pPr>
              <w:jc w:val="center"/>
              <w:rPr>
                <w:rFonts w:cs="Arial"/>
                <w:b/>
                <w:bCs/>
                <w:color w:val="000000"/>
                <w:sz w:val="18"/>
                <w:szCs w:val="18"/>
              </w:rPr>
            </w:pPr>
            <w:r w:rsidRPr="00425370">
              <w:rPr>
                <w:rFonts w:cs="Arial"/>
                <w:b/>
                <w:bCs/>
                <w:color w:val="000000"/>
                <w:sz w:val="18"/>
                <w:szCs w:val="18"/>
              </w:rPr>
              <w:t>2022</w:t>
            </w:r>
          </w:p>
        </w:tc>
        <w:tc>
          <w:tcPr>
            <w:tcW w:w="727" w:type="pct"/>
            <w:tcBorders>
              <w:top w:val="single" w:sz="4" w:space="0" w:color="auto"/>
              <w:left w:val="nil"/>
              <w:bottom w:val="single" w:sz="4" w:space="0" w:color="auto"/>
              <w:right w:val="nil"/>
            </w:tcBorders>
            <w:shd w:val="clear" w:color="000000" w:fill="A1F2FD"/>
            <w:vAlign w:val="center"/>
            <w:hideMark/>
          </w:tcPr>
          <w:p w14:paraId="4AE63B9A" w14:textId="77777777" w:rsidR="00C5245D" w:rsidRPr="00425370" w:rsidRDefault="00C5245D" w:rsidP="003A6FB5">
            <w:pPr>
              <w:jc w:val="center"/>
              <w:rPr>
                <w:rFonts w:cs="Arial"/>
                <w:b/>
                <w:bCs/>
                <w:color w:val="000000"/>
                <w:sz w:val="18"/>
                <w:szCs w:val="18"/>
              </w:rPr>
            </w:pPr>
            <w:r w:rsidRPr="00425370">
              <w:rPr>
                <w:rFonts w:cs="Arial"/>
                <w:b/>
                <w:bCs/>
                <w:color w:val="000000"/>
                <w:sz w:val="18"/>
                <w:szCs w:val="18"/>
              </w:rPr>
              <w:t>2023</w:t>
            </w:r>
          </w:p>
        </w:tc>
      </w:tr>
      <w:tr w:rsidR="00C5245D" w:rsidRPr="00425370" w14:paraId="1CCCB6C2" w14:textId="77777777" w:rsidTr="00461248">
        <w:trPr>
          <w:trHeight w:val="340"/>
        </w:trPr>
        <w:tc>
          <w:tcPr>
            <w:tcW w:w="2825" w:type="pct"/>
            <w:tcBorders>
              <w:top w:val="nil"/>
              <w:left w:val="nil"/>
              <w:bottom w:val="nil"/>
              <w:right w:val="single" w:sz="4" w:space="0" w:color="auto"/>
            </w:tcBorders>
            <w:shd w:val="clear" w:color="auto" w:fill="auto"/>
            <w:vAlign w:val="center"/>
            <w:hideMark/>
          </w:tcPr>
          <w:p w14:paraId="1B7408C7" w14:textId="77777777" w:rsidR="00C5245D" w:rsidRPr="00425370" w:rsidRDefault="00C5245D" w:rsidP="003A6FB5">
            <w:pPr>
              <w:jc w:val="left"/>
              <w:rPr>
                <w:rFonts w:cs="Arial"/>
                <w:b/>
                <w:bCs/>
                <w:color w:val="000000"/>
                <w:sz w:val="18"/>
                <w:szCs w:val="18"/>
              </w:rPr>
            </w:pPr>
            <w:r w:rsidRPr="00425370">
              <w:rPr>
                <w:rFonts w:cs="Arial"/>
                <w:b/>
                <w:bCs/>
                <w:color w:val="000000"/>
                <w:sz w:val="18"/>
                <w:szCs w:val="18"/>
              </w:rPr>
              <w:t>Despesas Primárias (I)</w:t>
            </w:r>
          </w:p>
        </w:tc>
        <w:tc>
          <w:tcPr>
            <w:tcW w:w="722" w:type="pct"/>
            <w:tcBorders>
              <w:top w:val="nil"/>
              <w:left w:val="nil"/>
              <w:bottom w:val="nil"/>
              <w:right w:val="single" w:sz="4" w:space="0" w:color="auto"/>
            </w:tcBorders>
            <w:shd w:val="clear" w:color="auto" w:fill="auto"/>
            <w:vAlign w:val="center"/>
            <w:hideMark/>
          </w:tcPr>
          <w:p w14:paraId="4D817EDA" w14:textId="77777777" w:rsidR="00C5245D" w:rsidRPr="00425370" w:rsidRDefault="00C5245D" w:rsidP="003A6FB5">
            <w:pPr>
              <w:jc w:val="right"/>
              <w:rPr>
                <w:rFonts w:cs="Arial"/>
                <w:b/>
                <w:bCs/>
                <w:color w:val="000000"/>
                <w:sz w:val="18"/>
                <w:szCs w:val="18"/>
              </w:rPr>
            </w:pPr>
            <w:r w:rsidRPr="00425370">
              <w:rPr>
                <w:rFonts w:cs="Arial"/>
                <w:b/>
                <w:bCs/>
                <w:color w:val="000000"/>
                <w:sz w:val="18"/>
                <w:szCs w:val="18"/>
              </w:rPr>
              <w:t>30.955.693.342</w:t>
            </w:r>
          </w:p>
        </w:tc>
        <w:tc>
          <w:tcPr>
            <w:tcW w:w="727" w:type="pct"/>
            <w:tcBorders>
              <w:top w:val="nil"/>
              <w:left w:val="nil"/>
              <w:bottom w:val="nil"/>
              <w:right w:val="single" w:sz="4" w:space="0" w:color="auto"/>
            </w:tcBorders>
            <w:shd w:val="clear" w:color="auto" w:fill="auto"/>
            <w:vAlign w:val="center"/>
            <w:hideMark/>
          </w:tcPr>
          <w:p w14:paraId="7BEC52C0" w14:textId="77777777" w:rsidR="00C5245D" w:rsidRPr="00425370" w:rsidRDefault="00C5245D" w:rsidP="003A6FB5">
            <w:pPr>
              <w:jc w:val="right"/>
              <w:rPr>
                <w:rFonts w:cs="Arial"/>
                <w:b/>
                <w:bCs/>
                <w:color w:val="000000"/>
                <w:sz w:val="18"/>
                <w:szCs w:val="18"/>
              </w:rPr>
            </w:pPr>
            <w:r w:rsidRPr="00425370">
              <w:rPr>
                <w:rFonts w:cs="Arial"/>
                <w:b/>
                <w:bCs/>
                <w:color w:val="000000"/>
                <w:sz w:val="18"/>
                <w:szCs w:val="18"/>
              </w:rPr>
              <w:t>32.784.790.387</w:t>
            </w:r>
          </w:p>
        </w:tc>
        <w:tc>
          <w:tcPr>
            <w:tcW w:w="727" w:type="pct"/>
            <w:tcBorders>
              <w:top w:val="nil"/>
              <w:left w:val="nil"/>
              <w:bottom w:val="nil"/>
              <w:right w:val="nil"/>
            </w:tcBorders>
            <w:shd w:val="clear" w:color="auto" w:fill="auto"/>
            <w:vAlign w:val="center"/>
            <w:hideMark/>
          </w:tcPr>
          <w:p w14:paraId="342F7C9F" w14:textId="77777777" w:rsidR="00C5245D" w:rsidRPr="00425370" w:rsidRDefault="00C5245D" w:rsidP="003A6FB5">
            <w:pPr>
              <w:jc w:val="right"/>
              <w:rPr>
                <w:rFonts w:cs="Arial"/>
                <w:b/>
                <w:bCs/>
                <w:color w:val="000000"/>
                <w:sz w:val="18"/>
                <w:szCs w:val="18"/>
              </w:rPr>
            </w:pPr>
            <w:r w:rsidRPr="00425370">
              <w:rPr>
                <w:rFonts w:cs="Arial"/>
                <w:b/>
                <w:bCs/>
                <w:color w:val="000000"/>
                <w:sz w:val="18"/>
                <w:szCs w:val="18"/>
              </w:rPr>
              <w:t>34.893.423.139</w:t>
            </w:r>
          </w:p>
        </w:tc>
      </w:tr>
      <w:tr w:rsidR="00C5245D" w:rsidRPr="00425370" w14:paraId="4EF55C05" w14:textId="77777777" w:rsidTr="00461248">
        <w:trPr>
          <w:trHeight w:val="340"/>
        </w:trPr>
        <w:tc>
          <w:tcPr>
            <w:tcW w:w="2825" w:type="pct"/>
            <w:tcBorders>
              <w:top w:val="nil"/>
              <w:left w:val="nil"/>
              <w:bottom w:val="nil"/>
              <w:right w:val="single" w:sz="4" w:space="0" w:color="auto"/>
            </w:tcBorders>
            <w:shd w:val="clear" w:color="FFFFFF" w:fill="FFFFFF"/>
            <w:vAlign w:val="center"/>
            <w:hideMark/>
          </w:tcPr>
          <w:p w14:paraId="748BDF87" w14:textId="77777777" w:rsidR="00C5245D" w:rsidRPr="00425370" w:rsidRDefault="00C5245D" w:rsidP="003A6FB5">
            <w:pPr>
              <w:jc w:val="left"/>
              <w:rPr>
                <w:rFonts w:cs="Arial"/>
                <w:color w:val="333333"/>
                <w:sz w:val="18"/>
                <w:szCs w:val="18"/>
              </w:rPr>
            </w:pPr>
            <w:r w:rsidRPr="00425370">
              <w:rPr>
                <w:rFonts w:cs="Arial"/>
                <w:color w:val="333333"/>
                <w:sz w:val="18"/>
                <w:szCs w:val="18"/>
              </w:rPr>
              <w:lastRenderedPageBreak/>
              <w:t>Pessoal e Encargos Sociais</w:t>
            </w:r>
          </w:p>
        </w:tc>
        <w:tc>
          <w:tcPr>
            <w:tcW w:w="722" w:type="pct"/>
            <w:tcBorders>
              <w:top w:val="nil"/>
              <w:left w:val="nil"/>
              <w:bottom w:val="nil"/>
              <w:right w:val="single" w:sz="4" w:space="0" w:color="auto"/>
            </w:tcBorders>
            <w:shd w:val="clear" w:color="FFFFFF" w:fill="FFFFFF"/>
            <w:noWrap/>
            <w:vAlign w:val="center"/>
            <w:hideMark/>
          </w:tcPr>
          <w:p w14:paraId="350B40F2" w14:textId="77777777" w:rsidR="00C5245D" w:rsidRPr="00425370" w:rsidRDefault="00C5245D" w:rsidP="003A6FB5">
            <w:pPr>
              <w:jc w:val="right"/>
              <w:rPr>
                <w:rFonts w:cs="Arial"/>
                <w:color w:val="333333"/>
                <w:sz w:val="18"/>
                <w:szCs w:val="18"/>
              </w:rPr>
            </w:pPr>
            <w:r w:rsidRPr="00425370">
              <w:rPr>
                <w:rFonts w:cs="Arial"/>
                <w:color w:val="333333"/>
                <w:sz w:val="18"/>
                <w:szCs w:val="18"/>
              </w:rPr>
              <w:t>18.771.050.197</w:t>
            </w:r>
          </w:p>
        </w:tc>
        <w:tc>
          <w:tcPr>
            <w:tcW w:w="727" w:type="pct"/>
            <w:tcBorders>
              <w:top w:val="nil"/>
              <w:left w:val="nil"/>
              <w:bottom w:val="nil"/>
              <w:right w:val="single" w:sz="4" w:space="0" w:color="auto"/>
            </w:tcBorders>
            <w:shd w:val="clear" w:color="FFFFFF" w:fill="FFFFFF"/>
            <w:noWrap/>
            <w:vAlign w:val="center"/>
            <w:hideMark/>
          </w:tcPr>
          <w:p w14:paraId="0BC743FB" w14:textId="77777777" w:rsidR="00C5245D" w:rsidRPr="00425370" w:rsidRDefault="00C5245D" w:rsidP="003A6FB5">
            <w:pPr>
              <w:jc w:val="right"/>
              <w:rPr>
                <w:rFonts w:cs="Arial"/>
                <w:color w:val="333333"/>
                <w:sz w:val="18"/>
                <w:szCs w:val="18"/>
              </w:rPr>
            </w:pPr>
            <w:r w:rsidRPr="00425370">
              <w:rPr>
                <w:rFonts w:cs="Arial"/>
                <w:color w:val="333333"/>
                <w:sz w:val="18"/>
                <w:szCs w:val="18"/>
              </w:rPr>
              <w:t>21.033.708.770</w:t>
            </w:r>
          </w:p>
        </w:tc>
        <w:tc>
          <w:tcPr>
            <w:tcW w:w="727" w:type="pct"/>
            <w:tcBorders>
              <w:top w:val="nil"/>
              <w:left w:val="nil"/>
              <w:bottom w:val="nil"/>
              <w:right w:val="nil"/>
            </w:tcBorders>
            <w:shd w:val="clear" w:color="FFFFFF" w:fill="FFFFFF"/>
            <w:noWrap/>
            <w:vAlign w:val="center"/>
            <w:hideMark/>
          </w:tcPr>
          <w:p w14:paraId="7687B345" w14:textId="77777777" w:rsidR="00C5245D" w:rsidRPr="00425370" w:rsidRDefault="00C5245D" w:rsidP="003A6FB5">
            <w:pPr>
              <w:jc w:val="right"/>
              <w:rPr>
                <w:rFonts w:cs="Arial"/>
                <w:color w:val="333333"/>
                <w:sz w:val="18"/>
                <w:szCs w:val="18"/>
              </w:rPr>
            </w:pPr>
            <w:r w:rsidRPr="00425370">
              <w:rPr>
                <w:rFonts w:cs="Arial"/>
                <w:color w:val="333333"/>
                <w:sz w:val="18"/>
                <w:szCs w:val="18"/>
              </w:rPr>
              <w:t>23.046.538.143</w:t>
            </w:r>
          </w:p>
        </w:tc>
      </w:tr>
      <w:tr w:rsidR="00C5245D" w:rsidRPr="00425370" w14:paraId="4A49E70F" w14:textId="77777777" w:rsidTr="00461248">
        <w:trPr>
          <w:trHeight w:val="340"/>
        </w:trPr>
        <w:tc>
          <w:tcPr>
            <w:tcW w:w="2825" w:type="pct"/>
            <w:tcBorders>
              <w:top w:val="nil"/>
              <w:left w:val="nil"/>
              <w:bottom w:val="nil"/>
              <w:right w:val="single" w:sz="4" w:space="0" w:color="auto"/>
            </w:tcBorders>
            <w:shd w:val="clear" w:color="FFFFFF" w:fill="FFFFFF"/>
            <w:vAlign w:val="center"/>
            <w:hideMark/>
          </w:tcPr>
          <w:p w14:paraId="35D812B2" w14:textId="77777777" w:rsidR="00C5245D" w:rsidRPr="00425370" w:rsidRDefault="00C5245D" w:rsidP="003A6FB5">
            <w:pPr>
              <w:jc w:val="left"/>
              <w:rPr>
                <w:rFonts w:cs="Arial"/>
                <w:color w:val="333333"/>
                <w:sz w:val="18"/>
                <w:szCs w:val="18"/>
              </w:rPr>
            </w:pPr>
            <w:r w:rsidRPr="00425370">
              <w:rPr>
                <w:rFonts w:cs="Arial"/>
                <w:color w:val="333333"/>
                <w:sz w:val="18"/>
                <w:szCs w:val="18"/>
              </w:rPr>
              <w:t>Outras Despesas Correntes</w:t>
            </w:r>
          </w:p>
        </w:tc>
        <w:tc>
          <w:tcPr>
            <w:tcW w:w="722" w:type="pct"/>
            <w:tcBorders>
              <w:top w:val="nil"/>
              <w:left w:val="nil"/>
              <w:bottom w:val="nil"/>
              <w:right w:val="single" w:sz="4" w:space="0" w:color="auto"/>
            </w:tcBorders>
            <w:shd w:val="clear" w:color="FFFFFF" w:fill="FFFFFF"/>
            <w:noWrap/>
            <w:vAlign w:val="center"/>
            <w:hideMark/>
          </w:tcPr>
          <w:p w14:paraId="3D51F933" w14:textId="77777777" w:rsidR="00C5245D" w:rsidRPr="00425370" w:rsidRDefault="00C5245D" w:rsidP="003A6FB5">
            <w:pPr>
              <w:jc w:val="right"/>
              <w:rPr>
                <w:rFonts w:cs="Arial"/>
                <w:color w:val="333333"/>
                <w:sz w:val="18"/>
                <w:szCs w:val="18"/>
              </w:rPr>
            </w:pPr>
            <w:r w:rsidRPr="00425370">
              <w:rPr>
                <w:rFonts w:cs="Arial"/>
                <w:color w:val="333333"/>
                <w:sz w:val="18"/>
                <w:szCs w:val="18"/>
              </w:rPr>
              <w:t>10.349.821.645</w:t>
            </w:r>
          </w:p>
        </w:tc>
        <w:tc>
          <w:tcPr>
            <w:tcW w:w="727" w:type="pct"/>
            <w:tcBorders>
              <w:top w:val="nil"/>
              <w:left w:val="nil"/>
              <w:bottom w:val="nil"/>
              <w:right w:val="single" w:sz="4" w:space="0" w:color="auto"/>
            </w:tcBorders>
            <w:shd w:val="clear" w:color="FFFFFF" w:fill="FFFFFF"/>
            <w:noWrap/>
            <w:vAlign w:val="center"/>
            <w:hideMark/>
          </w:tcPr>
          <w:p w14:paraId="0CD1FEC2" w14:textId="77777777" w:rsidR="00C5245D" w:rsidRPr="00425370" w:rsidRDefault="00C5245D" w:rsidP="003A6FB5">
            <w:pPr>
              <w:jc w:val="right"/>
              <w:rPr>
                <w:rFonts w:cs="Arial"/>
                <w:color w:val="333333"/>
                <w:sz w:val="18"/>
                <w:szCs w:val="18"/>
              </w:rPr>
            </w:pPr>
            <w:r w:rsidRPr="00425370">
              <w:rPr>
                <w:rFonts w:cs="Arial"/>
                <w:color w:val="333333"/>
                <w:sz w:val="18"/>
                <w:szCs w:val="18"/>
              </w:rPr>
              <w:t>12.137.425.818</w:t>
            </w:r>
          </w:p>
        </w:tc>
        <w:tc>
          <w:tcPr>
            <w:tcW w:w="727" w:type="pct"/>
            <w:tcBorders>
              <w:top w:val="nil"/>
              <w:left w:val="nil"/>
              <w:bottom w:val="nil"/>
              <w:right w:val="nil"/>
            </w:tcBorders>
            <w:shd w:val="clear" w:color="FFFFFF" w:fill="FFFFFF"/>
            <w:noWrap/>
            <w:vAlign w:val="center"/>
            <w:hideMark/>
          </w:tcPr>
          <w:p w14:paraId="6F271B29" w14:textId="77777777" w:rsidR="00C5245D" w:rsidRPr="00425370" w:rsidRDefault="00C5245D" w:rsidP="003A6FB5">
            <w:pPr>
              <w:jc w:val="right"/>
              <w:rPr>
                <w:rFonts w:cs="Arial"/>
                <w:color w:val="333333"/>
                <w:sz w:val="18"/>
                <w:szCs w:val="18"/>
              </w:rPr>
            </w:pPr>
            <w:r w:rsidRPr="00425370">
              <w:rPr>
                <w:rFonts w:cs="Arial"/>
                <w:color w:val="333333"/>
                <w:sz w:val="18"/>
                <w:szCs w:val="18"/>
              </w:rPr>
              <w:t>12.161.794.655</w:t>
            </w:r>
          </w:p>
        </w:tc>
      </w:tr>
      <w:tr w:rsidR="00C5245D" w:rsidRPr="00425370" w14:paraId="063589AC" w14:textId="77777777" w:rsidTr="00461248">
        <w:trPr>
          <w:trHeight w:val="340"/>
        </w:trPr>
        <w:tc>
          <w:tcPr>
            <w:tcW w:w="2825" w:type="pct"/>
            <w:tcBorders>
              <w:top w:val="nil"/>
              <w:left w:val="nil"/>
              <w:bottom w:val="nil"/>
              <w:right w:val="single" w:sz="4" w:space="0" w:color="auto"/>
            </w:tcBorders>
            <w:shd w:val="clear" w:color="FFFFFF" w:fill="FFFFFF"/>
            <w:vAlign w:val="center"/>
            <w:hideMark/>
          </w:tcPr>
          <w:p w14:paraId="10320B56" w14:textId="77777777" w:rsidR="00C5245D" w:rsidRPr="00425370" w:rsidRDefault="00C5245D" w:rsidP="003A6FB5">
            <w:pPr>
              <w:jc w:val="left"/>
              <w:rPr>
                <w:rFonts w:cs="Arial"/>
                <w:color w:val="333333"/>
                <w:sz w:val="18"/>
                <w:szCs w:val="18"/>
              </w:rPr>
            </w:pPr>
            <w:r w:rsidRPr="00425370">
              <w:rPr>
                <w:rFonts w:cs="Arial"/>
                <w:color w:val="333333"/>
                <w:sz w:val="18"/>
                <w:szCs w:val="18"/>
              </w:rPr>
              <w:t>Investimentos</w:t>
            </w:r>
          </w:p>
        </w:tc>
        <w:tc>
          <w:tcPr>
            <w:tcW w:w="722" w:type="pct"/>
            <w:tcBorders>
              <w:top w:val="nil"/>
              <w:left w:val="nil"/>
              <w:bottom w:val="nil"/>
              <w:right w:val="single" w:sz="4" w:space="0" w:color="auto"/>
            </w:tcBorders>
            <w:shd w:val="clear" w:color="FFFFFF" w:fill="FFFFFF"/>
            <w:noWrap/>
            <w:vAlign w:val="center"/>
            <w:hideMark/>
          </w:tcPr>
          <w:p w14:paraId="6AE99065" w14:textId="77777777" w:rsidR="00C5245D" w:rsidRPr="00425370" w:rsidRDefault="00C5245D" w:rsidP="003A6FB5">
            <w:pPr>
              <w:jc w:val="right"/>
              <w:rPr>
                <w:rFonts w:cs="Arial"/>
                <w:color w:val="333333"/>
                <w:sz w:val="18"/>
                <w:szCs w:val="18"/>
              </w:rPr>
            </w:pPr>
            <w:r w:rsidRPr="00425370">
              <w:rPr>
                <w:rFonts w:cs="Arial"/>
                <w:color w:val="333333"/>
                <w:sz w:val="18"/>
                <w:szCs w:val="18"/>
              </w:rPr>
              <w:t>4.586.833.614</w:t>
            </w:r>
          </w:p>
        </w:tc>
        <w:tc>
          <w:tcPr>
            <w:tcW w:w="727" w:type="pct"/>
            <w:tcBorders>
              <w:top w:val="nil"/>
              <w:left w:val="nil"/>
              <w:bottom w:val="nil"/>
              <w:right w:val="single" w:sz="4" w:space="0" w:color="auto"/>
            </w:tcBorders>
            <w:shd w:val="clear" w:color="FFFFFF" w:fill="FFFFFF"/>
            <w:noWrap/>
            <w:vAlign w:val="center"/>
            <w:hideMark/>
          </w:tcPr>
          <w:p w14:paraId="1D556EB3" w14:textId="77777777" w:rsidR="00C5245D" w:rsidRPr="00425370" w:rsidRDefault="00C5245D" w:rsidP="003A6FB5">
            <w:pPr>
              <w:jc w:val="right"/>
              <w:rPr>
                <w:rFonts w:cs="Arial"/>
                <w:color w:val="333333"/>
                <w:sz w:val="18"/>
                <w:szCs w:val="18"/>
              </w:rPr>
            </w:pPr>
            <w:r w:rsidRPr="00425370">
              <w:rPr>
                <w:rFonts w:cs="Arial"/>
                <w:color w:val="333333"/>
                <w:sz w:val="18"/>
                <w:szCs w:val="18"/>
              </w:rPr>
              <w:t>2.608.758.450</w:t>
            </w:r>
          </w:p>
        </w:tc>
        <w:tc>
          <w:tcPr>
            <w:tcW w:w="727" w:type="pct"/>
            <w:tcBorders>
              <w:top w:val="nil"/>
              <w:left w:val="nil"/>
              <w:bottom w:val="nil"/>
              <w:right w:val="nil"/>
            </w:tcBorders>
            <w:shd w:val="clear" w:color="FFFFFF" w:fill="FFFFFF"/>
            <w:noWrap/>
            <w:vAlign w:val="center"/>
            <w:hideMark/>
          </w:tcPr>
          <w:p w14:paraId="7184942D" w14:textId="77777777" w:rsidR="00C5245D" w:rsidRPr="00425370" w:rsidRDefault="00C5245D" w:rsidP="003A6FB5">
            <w:pPr>
              <w:jc w:val="right"/>
              <w:rPr>
                <w:rFonts w:cs="Arial"/>
                <w:color w:val="333333"/>
                <w:sz w:val="18"/>
                <w:szCs w:val="18"/>
              </w:rPr>
            </w:pPr>
            <w:r w:rsidRPr="00425370">
              <w:rPr>
                <w:rFonts w:cs="Arial"/>
                <w:color w:val="333333"/>
                <w:sz w:val="18"/>
                <w:szCs w:val="18"/>
              </w:rPr>
              <w:t>3.283.874.086</w:t>
            </w:r>
          </w:p>
        </w:tc>
      </w:tr>
      <w:tr w:rsidR="00C5245D" w:rsidRPr="00425370" w14:paraId="5CCFE063" w14:textId="77777777" w:rsidTr="00461248">
        <w:trPr>
          <w:trHeight w:val="340"/>
        </w:trPr>
        <w:tc>
          <w:tcPr>
            <w:tcW w:w="2825" w:type="pct"/>
            <w:tcBorders>
              <w:top w:val="nil"/>
              <w:left w:val="nil"/>
              <w:bottom w:val="nil"/>
              <w:right w:val="single" w:sz="4" w:space="0" w:color="auto"/>
            </w:tcBorders>
            <w:shd w:val="clear" w:color="FFFFFF" w:fill="FFFFFF"/>
            <w:vAlign w:val="center"/>
            <w:hideMark/>
          </w:tcPr>
          <w:p w14:paraId="4EEF40C2" w14:textId="77777777" w:rsidR="00C5245D" w:rsidRPr="00425370" w:rsidRDefault="00C5245D" w:rsidP="003A6FB5">
            <w:pPr>
              <w:jc w:val="left"/>
              <w:rPr>
                <w:rFonts w:cs="Arial"/>
                <w:color w:val="333333"/>
                <w:sz w:val="18"/>
                <w:szCs w:val="18"/>
              </w:rPr>
            </w:pPr>
            <w:r w:rsidRPr="00425370">
              <w:rPr>
                <w:rFonts w:cs="Arial"/>
                <w:color w:val="333333"/>
                <w:sz w:val="18"/>
                <w:szCs w:val="18"/>
              </w:rPr>
              <w:t>Inversões Financeiras (primárias)</w:t>
            </w:r>
          </w:p>
        </w:tc>
        <w:tc>
          <w:tcPr>
            <w:tcW w:w="722" w:type="pct"/>
            <w:tcBorders>
              <w:top w:val="nil"/>
              <w:left w:val="nil"/>
              <w:bottom w:val="nil"/>
              <w:right w:val="single" w:sz="4" w:space="0" w:color="auto"/>
            </w:tcBorders>
            <w:shd w:val="clear" w:color="FFFFFF" w:fill="FFFFFF"/>
            <w:noWrap/>
            <w:vAlign w:val="center"/>
            <w:hideMark/>
          </w:tcPr>
          <w:p w14:paraId="4B9431EF" w14:textId="77777777" w:rsidR="00C5245D" w:rsidRPr="00425370" w:rsidRDefault="00C5245D" w:rsidP="003A6FB5">
            <w:pPr>
              <w:jc w:val="right"/>
              <w:rPr>
                <w:rFonts w:cs="Arial"/>
                <w:color w:val="333333"/>
                <w:sz w:val="18"/>
                <w:szCs w:val="18"/>
              </w:rPr>
            </w:pPr>
            <w:r w:rsidRPr="00425370">
              <w:rPr>
                <w:rFonts w:cs="Arial"/>
                <w:color w:val="333333"/>
                <w:sz w:val="18"/>
                <w:szCs w:val="18"/>
              </w:rPr>
              <w:t>184.080.636</w:t>
            </w:r>
          </w:p>
        </w:tc>
        <w:tc>
          <w:tcPr>
            <w:tcW w:w="727" w:type="pct"/>
            <w:tcBorders>
              <w:top w:val="nil"/>
              <w:left w:val="nil"/>
              <w:bottom w:val="nil"/>
              <w:right w:val="single" w:sz="4" w:space="0" w:color="auto"/>
            </w:tcBorders>
            <w:shd w:val="clear" w:color="FFFFFF" w:fill="FFFFFF"/>
            <w:noWrap/>
            <w:vAlign w:val="center"/>
            <w:hideMark/>
          </w:tcPr>
          <w:p w14:paraId="0F4C8767" w14:textId="77777777" w:rsidR="00C5245D" w:rsidRPr="00425370" w:rsidRDefault="00C5245D" w:rsidP="003A6FB5">
            <w:pPr>
              <w:jc w:val="right"/>
              <w:rPr>
                <w:rFonts w:cs="Arial"/>
                <w:color w:val="333333"/>
                <w:sz w:val="18"/>
                <w:szCs w:val="18"/>
              </w:rPr>
            </w:pPr>
            <w:r w:rsidRPr="00425370">
              <w:rPr>
                <w:rFonts w:cs="Arial"/>
                <w:color w:val="333333"/>
                <w:sz w:val="18"/>
                <w:szCs w:val="18"/>
              </w:rPr>
              <w:t>25.315.514</w:t>
            </w:r>
          </w:p>
        </w:tc>
        <w:tc>
          <w:tcPr>
            <w:tcW w:w="727" w:type="pct"/>
            <w:tcBorders>
              <w:top w:val="nil"/>
              <w:left w:val="nil"/>
              <w:bottom w:val="nil"/>
              <w:right w:val="nil"/>
            </w:tcBorders>
            <w:shd w:val="clear" w:color="FFFFFF" w:fill="FFFFFF"/>
            <w:noWrap/>
            <w:vAlign w:val="center"/>
            <w:hideMark/>
          </w:tcPr>
          <w:p w14:paraId="05F32B46" w14:textId="77777777" w:rsidR="00C5245D" w:rsidRPr="00425370" w:rsidRDefault="00C5245D" w:rsidP="003A6FB5">
            <w:pPr>
              <w:jc w:val="right"/>
              <w:rPr>
                <w:rFonts w:cs="Arial"/>
                <w:color w:val="333333"/>
                <w:sz w:val="18"/>
                <w:szCs w:val="18"/>
              </w:rPr>
            </w:pPr>
            <w:r w:rsidRPr="00425370">
              <w:rPr>
                <w:rFonts w:cs="Arial"/>
                <w:color w:val="333333"/>
                <w:sz w:val="18"/>
                <w:szCs w:val="18"/>
              </w:rPr>
              <w:t>29.804.846</w:t>
            </w:r>
          </w:p>
        </w:tc>
      </w:tr>
      <w:tr w:rsidR="00C5245D" w:rsidRPr="00425370" w14:paraId="55FF4E34" w14:textId="77777777" w:rsidTr="00461248">
        <w:trPr>
          <w:trHeight w:val="340"/>
        </w:trPr>
        <w:tc>
          <w:tcPr>
            <w:tcW w:w="2825" w:type="pct"/>
            <w:tcBorders>
              <w:top w:val="nil"/>
              <w:left w:val="nil"/>
              <w:bottom w:val="nil"/>
              <w:right w:val="single" w:sz="4" w:space="0" w:color="auto"/>
            </w:tcBorders>
            <w:shd w:val="clear" w:color="FFFFFF" w:fill="FFFFFF"/>
            <w:vAlign w:val="center"/>
            <w:hideMark/>
          </w:tcPr>
          <w:p w14:paraId="2DE02C81" w14:textId="77777777" w:rsidR="00C5245D" w:rsidRPr="00425370" w:rsidRDefault="00C5245D" w:rsidP="003A6FB5">
            <w:pPr>
              <w:jc w:val="left"/>
              <w:rPr>
                <w:rFonts w:cs="Arial"/>
                <w:color w:val="333333"/>
                <w:sz w:val="18"/>
                <w:szCs w:val="18"/>
              </w:rPr>
            </w:pPr>
            <w:r w:rsidRPr="00425370">
              <w:rPr>
                <w:rFonts w:cs="Arial"/>
                <w:color w:val="333333"/>
                <w:sz w:val="18"/>
                <w:szCs w:val="18"/>
              </w:rPr>
              <w:t>(-) Despesas Correntes Intraorçamentárias</w:t>
            </w:r>
          </w:p>
        </w:tc>
        <w:tc>
          <w:tcPr>
            <w:tcW w:w="722" w:type="pct"/>
            <w:tcBorders>
              <w:top w:val="nil"/>
              <w:left w:val="nil"/>
              <w:bottom w:val="nil"/>
              <w:right w:val="single" w:sz="4" w:space="0" w:color="auto"/>
            </w:tcBorders>
            <w:shd w:val="clear" w:color="FFFFFF" w:fill="FFFFFF"/>
            <w:noWrap/>
            <w:vAlign w:val="center"/>
            <w:hideMark/>
          </w:tcPr>
          <w:p w14:paraId="0C1811FB" w14:textId="77777777" w:rsidR="00C5245D" w:rsidRPr="00425370" w:rsidRDefault="00C5245D" w:rsidP="003A6FB5">
            <w:pPr>
              <w:jc w:val="right"/>
              <w:rPr>
                <w:rFonts w:cs="Arial"/>
                <w:color w:val="333333"/>
                <w:sz w:val="18"/>
                <w:szCs w:val="18"/>
              </w:rPr>
            </w:pPr>
            <w:r w:rsidRPr="00425370">
              <w:rPr>
                <w:rFonts w:cs="Arial"/>
                <w:color w:val="333333"/>
                <w:sz w:val="18"/>
                <w:szCs w:val="18"/>
              </w:rPr>
              <w:t>1.499.468.466</w:t>
            </w:r>
          </w:p>
        </w:tc>
        <w:tc>
          <w:tcPr>
            <w:tcW w:w="727" w:type="pct"/>
            <w:tcBorders>
              <w:top w:val="nil"/>
              <w:left w:val="nil"/>
              <w:bottom w:val="nil"/>
              <w:right w:val="single" w:sz="4" w:space="0" w:color="auto"/>
            </w:tcBorders>
            <w:shd w:val="clear" w:color="FFFFFF" w:fill="FFFFFF"/>
            <w:noWrap/>
            <w:vAlign w:val="center"/>
            <w:hideMark/>
          </w:tcPr>
          <w:p w14:paraId="127677BE" w14:textId="77777777" w:rsidR="00C5245D" w:rsidRPr="00425370" w:rsidRDefault="00C5245D" w:rsidP="003A6FB5">
            <w:pPr>
              <w:jc w:val="right"/>
              <w:rPr>
                <w:rFonts w:cs="Arial"/>
                <w:color w:val="333333"/>
                <w:sz w:val="18"/>
                <w:szCs w:val="18"/>
              </w:rPr>
            </w:pPr>
            <w:r w:rsidRPr="00425370">
              <w:rPr>
                <w:rFonts w:cs="Arial"/>
                <w:color w:val="333333"/>
                <w:sz w:val="18"/>
                <w:szCs w:val="18"/>
              </w:rPr>
              <w:t>1.528.213.450</w:t>
            </w:r>
          </w:p>
        </w:tc>
        <w:tc>
          <w:tcPr>
            <w:tcW w:w="727" w:type="pct"/>
            <w:tcBorders>
              <w:top w:val="nil"/>
              <w:left w:val="nil"/>
              <w:bottom w:val="nil"/>
              <w:right w:val="nil"/>
            </w:tcBorders>
            <w:shd w:val="clear" w:color="FFFFFF" w:fill="FFFFFF"/>
            <w:noWrap/>
            <w:vAlign w:val="center"/>
            <w:hideMark/>
          </w:tcPr>
          <w:p w14:paraId="65DC7848" w14:textId="77777777" w:rsidR="00C5245D" w:rsidRPr="00425370" w:rsidRDefault="00C5245D" w:rsidP="003A6FB5">
            <w:pPr>
              <w:jc w:val="right"/>
              <w:rPr>
                <w:rFonts w:cs="Arial"/>
                <w:color w:val="333333"/>
                <w:sz w:val="18"/>
                <w:szCs w:val="18"/>
              </w:rPr>
            </w:pPr>
            <w:r w:rsidRPr="00425370">
              <w:rPr>
                <w:rFonts w:cs="Arial"/>
                <w:color w:val="333333"/>
                <w:sz w:val="18"/>
                <w:szCs w:val="18"/>
              </w:rPr>
              <w:t>1.634.559.728</w:t>
            </w:r>
          </w:p>
        </w:tc>
      </w:tr>
      <w:tr w:rsidR="00C5245D" w:rsidRPr="00425370" w14:paraId="2A19467F" w14:textId="77777777" w:rsidTr="00461248">
        <w:trPr>
          <w:trHeight w:val="340"/>
        </w:trPr>
        <w:tc>
          <w:tcPr>
            <w:tcW w:w="2825" w:type="pct"/>
            <w:tcBorders>
              <w:top w:val="nil"/>
              <w:left w:val="nil"/>
              <w:bottom w:val="nil"/>
              <w:right w:val="single" w:sz="4" w:space="0" w:color="auto"/>
            </w:tcBorders>
            <w:shd w:val="clear" w:color="FFFFFF" w:fill="FFFFFF"/>
            <w:vAlign w:val="center"/>
            <w:hideMark/>
          </w:tcPr>
          <w:p w14:paraId="3E67F7E2" w14:textId="77777777" w:rsidR="00C5245D" w:rsidRPr="00425370" w:rsidRDefault="00C5245D" w:rsidP="003A6FB5">
            <w:pPr>
              <w:jc w:val="left"/>
              <w:rPr>
                <w:rFonts w:cs="Arial"/>
                <w:color w:val="333333"/>
                <w:sz w:val="18"/>
                <w:szCs w:val="18"/>
              </w:rPr>
            </w:pPr>
            <w:r w:rsidRPr="00425370">
              <w:rPr>
                <w:rFonts w:cs="Arial"/>
                <w:color w:val="333333"/>
                <w:sz w:val="18"/>
                <w:szCs w:val="18"/>
              </w:rPr>
              <w:t>(-) Despesas decorrentes de decisão judicial</w:t>
            </w:r>
          </w:p>
        </w:tc>
        <w:tc>
          <w:tcPr>
            <w:tcW w:w="722" w:type="pct"/>
            <w:tcBorders>
              <w:top w:val="nil"/>
              <w:left w:val="nil"/>
              <w:bottom w:val="nil"/>
              <w:right w:val="single" w:sz="4" w:space="0" w:color="auto"/>
            </w:tcBorders>
            <w:shd w:val="clear" w:color="FFFFFF" w:fill="FFFFFF"/>
            <w:noWrap/>
            <w:vAlign w:val="center"/>
            <w:hideMark/>
          </w:tcPr>
          <w:p w14:paraId="359D6E85" w14:textId="77777777" w:rsidR="00C5245D" w:rsidRPr="00425370" w:rsidRDefault="00C5245D" w:rsidP="003A6FB5">
            <w:pPr>
              <w:jc w:val="right"/>
              <w:rPr>
                <w:rFonts w:cs="Arial"/>
                <w:color w:val="333333"/>
                <w:sz w:val="18"/>
                <w:szCs w:val="18"/>
              </w:rPr>
            </w:pPr>
            <w:r w:rsidRPr="00425370">
              <w:rPr>
                <w:rFonts w:cs="Arial"/>
                <w:color w:val="333333"/>
                <w:sz w:val="18"/>
                <w:szCs w:val="18"/>
              </w:rPr>
              <w:t>1.436.624.284</w:t>
            </w:r>
          </w:p>
        </w:tc>
        <w:tc>
          <w:tcPr>
            <w:tcW w:w="727" w:type="pct"/>
            <w:tcBorders>
              <w:top w:val="nil"/>
              <w:left w:val="nil"/>
              <w:bottom w:val="nil"/>
              <w:right w:val="single" w:sz="4" w:space="0" w:color="auto"/>
            </w:tcBorders>
            <w:shd w:val="clear" w:color="FFFFFF" w:fill="FFFFFF"/>
            <w:noWrap/>
            <w:vAlign w:val="center"/>
            <w:hideMark/>
          </w:tcPr>
          <w:p w14:paraId="73A5C0DA" w14:textId="77777777" w:rsidR="00C5245D" w:rsidRPr="00425370" w:rsidRDefault="00C5245D" w:rsidP="003A6FB5">
            <w:pPr>
              <w:jc w:val="right"/>
              <w:rPr>
                <w:rFonts w:cs="Arial"/>
                <w:color w:val="333333"/>
                <w:sz w:val="18"/>
                <w:szCs w:val="18"/>
              </w:rPr>
            </w:pPr>
            <w:r w:rsidRPr="00425370">
              <w:rPr>
                <w:rFonts w:cs="Arial"/>
                <w:color w:val="333333"/>
                <w:sz w:val="18"/>
                <w:szCs w:val="18"/>
              </w:rPr>
              <w:t>1.492.204.716</w:t>
            </w:r>
          </w:p>
        </w:tc>
        <w:tc>
          <w:tcPr>
            <w:tcW w:w="727" w:type="pct"/>
            <w:tcBorders>
              <w:top w:val="nil"/>
              <w:left w:val="nil"/>
              <w:bottom w:val="nil"/>
              <w:right w:val="nil"/>
            </w:tcBorders>
            <w:shd w:val="clear" w:color="FFFFFF" w:fill="FFFFFF"/>
            <w:noWrap/>
            <w:vAlign w:val="center"/>
            <w:hideMark/>
          </w:tcPr>
          <w:p w14:paraId="38E4518C" w14:textId="77777777" w:rsidR="00C5245D" w:rsidRPr="00425370" w:rsidRDefault="00C5245D" w:rsidP="003A6FB5">
            <w:pPr>
              <w:jc w:val="right"/>
              <w:rPr>
                <w:rFonts w:cs="Arial"/>
                <w:color w:val="333333"/>
                <w:sz w:val="18"/>
                <w:szCs w:val="18"/>
              </w:rPr>
            </w:pPr>
            <w:r w:rsidRPr="00425370">
              <w:rPr>
                <w:rFonts w:cs="Arial"/>
                <w:color w:val="333333"/>
                <w:sz w:val="18"/>
                <w:szCs w:val="18"/>
              </w:rPr>
              <w:t>1.994.028.864</w:t>
            </w:r>
          </w:p>
        </w:tc>
      </w:tr>
      <w:tr w:rsidR="00C5245D" w:rsidRPr="00425370" w14:paraId="1737F5BC" w14:textId="77777777" w:rsidTr="00461248">
        <w:trPr>
          <w:trHeight w:val="340"/>
        </w:trPr>
        <w:tc>
          <w:tcPr>
            <w:tcW w:w="2825" w:type="pct"/>
            <w:tcBorders>
              <w:top w:val="nil"/>
              <w:left w:val="nil"/>
              <w:bottom w:val="nil"/>
              <w:right w:val="single" w:sz="4" w:space="0" w:color="auto"/>
            </w:tcBorders>
            <w:shd w:val="clear" w:color="FFFFFF" w:fill="FFFFFF"/>
            <w:vAlign w:val="center"/>
            <w:hideMark/>
          </w:tcPr>
          <w:p w14:paraId="26B2396D" w14:textId="77777777" w:rsidR="00C5245D" w:rsidRPr="00425370" w:rsidRDefault="00C5245D" w:rsidP="003A6FB5">
            <w:pPr>
              <w:jc w:val="left"/>
              <w:rPr>
                <w:rFonts w:cs="Arial"/>
                <w:b/>
                <w:bCs/>
                <w:color w:val="333333"/>
                <w:sz w:val="18"/>
                <w:szCs w:val="18"/>
              </w:rPr>
            </w:pPr>
            <w:r w:rsidRPr="00425370">
              <w:rPr>
                <w:rFonts w:cs="Arial"/>
                <w:b/>
                <w:bCs/>
                <w:color w:val="333333"/>
                <w:sz w:val="18"/>
                <w:szCs w:val="18"/>
              </w:rPr>
              <w:t>Deduções da Despesa (II)</w:t>
            </w:r>
          </w:p>
        </w:tc>
        <w:tc>
          <w:tcPr>
            <w:tcW w:w="722" w:type="pct"/>
            <w:tcBorders>
              <w:top w:val="nil"/>
              <w:left w:val="nil"/>
              <w:bottom w:val="nil"/>
              <w:right w:val="single" w:sz="4" w:space="0" w:color="auto"/>
            </w:tcBorders>
            <w:shd w:val="clear" w:color="FFFFFF" w:fill="FFFFFF"/>
            <w:noWrap/>
            <w:vAlign w:val="center"/>
            <w:hideMark/>
          </w:tcPr>
          <w:p w14:paraId="1E51C26C" w14:textId="77777777" w:rsidR="00C5245D" w:rsidRPr="00425370" w:rsidRDefault="00C5245D" w:rsidP="003A6FB5">
            <w:pPr>
              <w:jc w:val="right"/>
              <w:rPr>
                <w:rFonts w:cs="Arial"/>
                <w:b/>
                <w:bCs/>
                <w:color w:val="333333"/>
                <w:sz w:val="18"/>
                <w:szCs w:val="18"/>
              </w:rPr>
            </w:pPr>
            <w:r w:rsidRPr="00425370">
              <w:rPr>
                <w:rFonts w:cs="Arial"/>
                <w:b/>
                <w:bCs/>
                <w:color w:val="333333"/>
                <w:sz w:val="18"/>
                <w:szCs w:val="18"/>
              </w:rPr>
              <w:t>1.868.857.61</w:t>
            </w:r>
          </w:p>
        </w:tc>
        <w:tc>
          <w:tcPr>
            <w:tcW w:w="727" w:type="pct"/>
            <w:tcBorders>
              <w:top w:val="nil"/>
              <w:left w:val="nil"/>
              <w:bottom w:val="nil"/>
              <w:right w:val="single" w:sz="4" w:space="0" w:color="auto"/>
            </w:tcBorders>
            <w:shd w:val="clear" w:color="FFFFFF" w:fill="FFFFFF"/>
            <w:noWrap/>
            <w:vAlign w:val="center"/>
            <w:hideMark/>
          </w:tcPr>
          <w:p w14:paraId="419C6913" w14:textId="77777777" w:rsidR="00C5245D" w:rsidRPr="00425370" w:rsidRDefault="00C5245D" w:rsidP="003A6FB5">
            <w:pPr>
              <w:jc w:val="right"/>
              <w:rPr>
                <w:rFonts w:cs="Arial"/>
                <w:b/>
                <w:bCs/>
                <w:color w:val="333333"/>
                <w:sz w:val="18"/>
                <w:szCs w:val="18"/>
              </w:rPr>
            </w:pPr>
            <w:r w:rsidRPr="00425370">
              <w:rPr>
                <w:rFonts w:cs="Arial"/>
                <w:b/>
                <w:bCs/>
                <w:color w:val="333333"/>
                <w:sz w:val="18"/>
                <w:szCs w:val="18"/>
              </w:rPr>
              <w:t>2.176.245.672</w:t>
            </w:r>
          </w:p>
        </w:tc>
        <w:tc>
          <w:tcPr>
            <w:tcW w:w="727" w:type="pct"/>
            <w:tcBorders>
              <w:top w:val="nil"/>
              <w:left w:val="nil"/>
              <w:bottom w:val="nil"/>
              <w:right w:val="nil"/>
            </w:tcBorders>
            <w:shd w:val="clear" w:color="FFFFFF" w:fill="FFFFFF"/>
            <w:noWrap/>
            <w:vAlign w:val="center"/>
            <w:hideMark/>
          </w:tcPr>
          <w:p w14:paraId="2877CE74" w14:textId="77777777" w:rsidR="00C5245D" w:rsidRPr="00425370" w:rsidRDefault="00C5245D" w:rsidP="003A6FB5">
            <w:pPr>
              <w:jc w:val="right"/>
              <w:rPr>
                <w:rFonts w:cs="Arial"/>
                <w:b/>
                <w:bCs/>
                <w:color w:val="333333"/>
                <w:sz w:val="18"/>
                <w:szCs w:val="18"/>
              </w:rPr>
            </w:pPr>
            <w:r w:rsidRPr="00425370">
              <w:rPr>
                <w:rFonts w:cs="Arial"/>
                <w:b/>
                <w:bCs/>
                <w:color w:val="333333"/>
                <w:sz w:val="18"/>
                <w:szCs w:val="18"/>
              </w:rPr>
              <w:t>3.148.614.192</w:t>
            </w:r>
          </w:p>
        </w:tc>
      </w:tr>
      <w:tr w:rsidR="00C5245D" w:rsidRPr="00425370" w14:paraId="5E7A66A5" w14:textId="77777777" w:rsidTr="00461248">
        <w:trPr>
          <w:trHeight w:val="340"/>
        </w:trPr>
        <w:tc>
          <w:tcPr>
            <w:tcW w:w="2825" w:type="pct"/>
            <w:tcBorders>
              <w:top w:val="nil"/>
              <w:left w:val="nil"/>
              <w:bottom w:val="nil"/>
              <w:right w:val="single" w:sz="4" w:space="0" w:color="auto"/>
            </w:tcBorders>
            <w:shd w:val="clear" w:color="FFFFFF" w:fill="FFFFFF"/>
            <w:vAlign w:val="center"/>
            <w:hideMark/>
          </w:tcPr>
          <w:p w14:paraId="58DAEC9C" w14:textId="77777777" w:rsidR="00C5245D" w:rsidRPr="00425370" w:rsidRDefault="00C5245D" w:rsidP="003A6FB5">
            <w:pPr>
              <w:rPr>
                <w:rFonts w:cs="Arial"/>
                <w:color w:val="333333"/>
                <w:sz w:val="18"/>
                <w:szCs w:val="18"/>
              </w:rPr>
            </w:pPr>
            <w:r w:rsidRPr="00425370">
              <w:rPr>
                <w:rFonts w:cs="Arial"/>
                <w:color w:val="333333"/>
                <w:sz w:val="18"/>
                <w:szCs w:val="18"/>
              </w:rPr>
              <w:t>Custeadas com as transferências da União com aplicações vinculadas</w:t>
            </w:r>
          </w:p>
        </w:tc>
        <w:tc>
          <w:tcPr>
            <w:tcW w:w="722" w:type="pct"/>
            <w:tcBorders>
              <w:top w:val="nil"/>
              <w:left w:val="nil"/>
              <w:bottom w:val="nil"/>
              <w:right w:val="single" w:sz="4" w:space="0" w:color="auto"/>
            </w:tcBorders>
            <w:shd w:val="clear" w:color="FFFFFF" w:fill="FFFFFF"/>
            <w:noWrap/>
            <w:vAlign w:val="center"/>
            <w:hideMark/>
          </w:tcPr>
          <w:p w14:paraId="61B4092B" w14:textId="77777777" w:rsidR="00C5245D" w:rsidRPr="00425370" w:rsidRDefault="00C5245D" w:rsidP="003A6FB5">
            <w:pPr>
              <w:jc w:val="right"/>
              <w:rPr>
                <w:rFonts w:cs="Arial"/>
                <w:color w:val="333333"/>
                <w:sz w:val="18"/>
                <w:szCs w:val="18"/>
              </w:rPr>
            </w:pPr>
            <w:r w:rsidRPr="00425370">
              <w:rPr>
                <w:rFonts w:cs="Arial"/>
                <w:color w:val="333333"/>
                <w:sz w:val="18"/>
                <w:szCs w:val="18"/>
              </w:rPr>
              <w:t>1.189.115.918</w:t>
            </w:r>
          </w:p>
        </w:tc>
        <w:tc>
          <w:tcPr>
            <w:tcW w:w="727" w:type="pct"/>
            <w:tcBorders>
              <w:top w:val="nil"/>
              <w:left w:val="nil"/>
              <w:bottom w:val="nil"/>
              <w:right w:val="single" w:sz="4" w:space="0" w:color="auto"/>
            </w:tcBorders>
            <w:shd w:val="clear" w:color="FFFFFF" w:fill="FFFFFF"/>
            <w:noWrap/>
            <w:vAlign w:val="center"/>
            <w:hideMark/>
          </w:tcPr>
          <w:p w14:paraId="52D0910F" w14:textId="77777777" w:rsidR="00C5245D" w:rsidRPr="00425370" w:rsidRDefault="00C5245D" w:rsidP="003A6FB5">
            <w:pPr>
              <w:jc w:val="right"/>
              <w:rPr>
                <w:rFonts w:cs="Arial"/>
                <w:color w:val="333333"/>
                <w:sz w:val="18"/>
                <w:szCs w:val="18"/>
              </w:rPr>
            </w:pPr>
            <w:r w:rsidRPr="00425370">
              <w:rPr>
                <w:rFonts w:cs="Arial"/>
                <w:color w:val="333333"/>
                <w:sz w:val="18"/>
                <w:szCs w:val="18"/>
              </w:rPr>
              <w:t>1.020.757.860</w:t>
            </w:r>
          </w:p>
        </w:tc>
        <w:tc>
          <w:tcPr>
            <w:tcW w:w="727" w:type="pct"/>
            <w:tcBorders>
              <w:top w:val="nil"/>
              <w:left w:val="nil"/>
              <w:bottom w:val="nil"/>
              <w:right w:val="nil"/>
            </w:tcBorders>
            <w:shd w:val="clear" w:color="FFFFFF" w:fill="FFFFFF"/>
            <w:noWrap/>
            <w:vAlign w:val="center"/>
            <w:hideMark/>
          </w:tcPr>
          <w:p w14:paraId="2659CF82" w14:textId="77777777" w:rsidR="00C5245D" w:rsidRPr="00425370" w:rsidRDefault="00C5245D" w:rsidP="003A6FB5">
            <w:pPr>
              <w:jc w:val="right"/>
              <w:rPr>
                <w:rFonts w:cs="Arial"/>
                <w:color w:val="333333"/>
                <w:sz w:val="18"/>
                <w:szCs w:val="18"/>
              </w:rPr>
            </w:pPr>
            <w:r w:rsidRPr="00425370">
              <w:rPr>
                <w:rFonts w:cs="Arial"/>
                <w:color w:val="333333"/>
                <w:sz w:val="18"/>
                <w:szCs w:val="18"/>
              </w:rPr>
              <w:t>1.479.743.272</w:t>
            </w:r>
          </w:p>
        </w:tc>
      </w:tr>
      <w:tr w:rsidR="00C5245D" w:rsidRPr="00425370" w14:paraId="7B1DD878" w14:textId="77777777" w:rsidTr="00461248">
        <w:trPr>
          <w:trHeight w:val="340"/>
        </w:trPr>
        <w:tc>
          <w:tcPr>
            <w:tcW w:w="2825" w:type="pct"/>
            <w:tcBorders>
              <w:top w:val="nil"/>
              <w:left w:val="nil"/>
              <w:bottom w:val="nil"/>
              <w:right w:val="single" w:sz="4" w:space="0" w:color="auto"/>
            </w:tcBorders>
            <w:shd w:val="clear" w:color="FFFFFF" w:fill="FFFFFF"/>
            <w:vAlign w:val="center"/>
            <w:hideMark/>
          </w:tcPr>
          <w:p w14:paraId="18C0BF88" w14:textId="77777777" w:rsidR="00C5245D" w:rsidRPr="00425370" w:rsidRDefault="00C5245D" w:rsidP="003A6FB5">
            <w:pPr>
              <w:rPr>
                <w:rFonts w:cs="Arial"/>
                <w:color w:val="333333"/>
                <w:sz w:val="18"/>
                <w:szCs w:val="18"/>
              </w:rPr>
            </w:pPr>
            <w:r w:rsidRPr="00425370">
              <w:rPr>
                <w:rFonts w:cs="Arial"/>
                <w:color w:val="333333"/>
                <w:sz w:val="18"/>
                <w:szCs w:val="18"/>
              </w:rPr>
              <w:t>Realizadas pelo ente em razão de diferença positiva entre a variação anual das bases de cálculo das aplicações mínimas em saúde e educação e a variação do IPCA no mesmo período</w:t>
            </w:r>
          </w:p>
        </w:tc>
        <w:tc>
          <w:tcPr>
            <w:tcW w:w="722" w:type="pct"/>
            <w:tcBorders>
              <w:top w:val="nil"/>
              <w:left w:val="nil"/>
              <w:bottom w:val="nil"/>
              <w:right w:val="single" w:sz="4" w:space="0" w:color="auto"/>
            </w:tcBorders>
            <w:shd w:val="clear" w:color="FFFFFF" w:fill="FFFFFF"/>
            <w:noWrap/>
            <w:vAlign w:val="center"/>
            <w:hideMark/>
          </w:tcPr>
          <w:p w14:paraId="358073FD" w14:textId="77777777" w:rsidR="00C5245D" w:rsidRPr="00425370" w:rsidRDefault="00C5245D" w:rsidP="003A6FB5">
            <w:pPr>
              <w:jc w:val="center"/>
              <w:rPr>
                <w:rFonts w:cs="Arial"/>
                <w:color w:val="333333"/>
                <w:sz w:val="18"/>
                <w:szCs w:val="18"/>
              </w:rPr>
            </w:pPr>
            <w:r w:rsidRPr="00425370">
              <w:rPr>
                <w:rFonts w:cs="Arial"/>
                <w:color w:val="333333"/>
                <w:sz w:val="18"/>
                <w:szCs w:val="18"/>
              </w:rPr>
              <w:t>-</w:t>
            </w:r>
          </w:p>
        </w:tc>
        <w:tc>
          <w:tcPr>
            <w:tcW w:w="727" w:type="pct"/>
            <w:tcBorders>
              <w:top w:val="nil"/>
              <w:left w:val="nil"/>
              <w:bottom w:val="nil"/>
              <w:right w:val="single" w:sz="4" w:space="0" w:color="auto"/>
            </w:tcBorders>
            <w:shd w:val="clear" w:color="FFFFFF" w:fill="FFFFFF"/>
            <w:noWrap/>
            <w:vAlign w:val="center"/>
            <w:hideMark/>
          </w:tcPr>
          <w:p w14:paraId="1BEE7180" w14:textId="77777777" w:rsidR="00C5245D" w:rsidRPr="00425370" w:rsidRDefault="00C5245D" w:rsidP="003A6FB5">
            <w:pPr>
              <w:jc w:val="right"/>
              <w:rPr>
                <w:rFonts w:cs="Arial"/>
                <w:color w:val="333333"/>
                <w:sz w:val="18"/>
                <w:szCs w:val="18"/>
              </w:rPr>
            </w:pPr>
            <w:r w:rsidRPr="00425370">
              <w:rPr>
                <w:rFonts w:cs="Arial"/>
                <w:color w:val="333333"/>
                <w:sz w:val="18"/>
                <w:szCs w:val="18"/>
              </w:rPr>
              <w:t>433.328.736</w:t>
            </w:r>
          </w:p>
        </w:tc>
        <w:tc>
          <w:tcPr>
            <w:tcW w:w="727" w:type="pct"/>
            <w:tcBorders>
              <w:top w:val="nil"/>
              <w:left w:val="nil"/>
              <w:bottom w:val="nil"/>
              <w:right w:val="nil"/>
            </w:tcBorders>
            <w:shd w:val="clear" w:color="FFFFFF" w:fill="FFFFFF"/>
            <w:noWrap/>
            <w:vAlign w:val="center"/>
            <w:hideMark/>
          </w:tcPr>
          <w:p w14:paraId="25850502" w14:textId="77777777" w:rsidR="00C5245D" w:rsidRPr="00425370" w:rsidRDefault="00C5245D" w:rsidP="003A6FB5">
            <w:pPr>
              <w:jc w:val="right"/>
              <w:rPr>
                <w:rFonts w:cs="Arial"/>
                <w:color w:val="333333"/>
                <w:sz w:val="18"/>
                <w:szCs w:val="18"/>
              </w:rPr>
            </w:pPr>
            <w:r w:rsidRPr="00425370">
              <w:rPr>
                <w:rFonts w:cs="Arial"/>
                <w:color w:val="333333"/>
                <w:sz w:val="18"/>
                <w:szCs w:val="18"/>
              </w:rPr>
              <w:t>690.375.754</w:t>
            </w:r>
          </w:p>
        </w:tc>
      </w:tr>
      <w:tr w:rsidR="00C5245D" w:rsidRPr="00425370" w14:paraId="14FC7C47" w14:textId="77777777" w:rsidTr="00461248">
        <w:trPr>
          <w:trHeight w:val="340"/>
        </w:trPr>
        <w:tc>
          <w:tcPr>
            <w:tcW w:w="2825" w:type="pct"/>
            <w:tcBorders>
              <w:top w:val="nil"/>
              <w:left w:val="nil"/>
              <w:bottom w:val="nil"/>
              <w:right w:val="single" w:sz="4" w:space="0" w:color="auto"/>
            </w:tcBorders>
            <w:shd w:val="clear" w:color="FFFFFF" w:fill="FFFFFF"/>
            <w:vAlign w:val="center"/>
            <w:hideMark/>
          </w:tcPr>
          <w:p w14:paraId="43065D05" w14:textId="77777777" w:rsidR="00C5245D" w:rsidRPr="00425370" w:rsidRDefault="00C5245D" w:rsidP="003A6FB5">
            <w:pPr>
              <w:rPr>
                <w:rFonts w:cs="Arial"/>
                <w:color w:val="333333"/>
                <w:sz w:val="18"/>
                <w:szCs w:val="18"/>
              </w:rPr>
            </w:pPr>
            <w:r w:rsidRPr="00425370">
              <w:rPr>
                <w:rFonts w:cs="Arial"/>
                <w:color w:val="333333"/>
                <w:sz w:val="18"/>
                <w:szCs w:val="18"/>
              </w:rPr>
              <w:t>Investimentos dos Fundos Públicos Especiais instituídos pelo Poder Judiciário, TCE, TCM, MP, DPE e PGE (ADI 6930)</w:t>
            </w:r>
          </w:p>
        </w:tc>
        <w:tc>
          <w:tcPr>
            <w:tcW w:w="722" w:type="pct"/>
            <w:tcBorders>
              <w:top w:val="nil"/>
              <w:left w:val="nil"/>
              <w:bottom w:val="nil"/>
              <w:right w:val="single" w:sz="4" w:space="0" w:color="auto"/>
            </w:tcBorders>
            <w:shd w:val="clear" w:color="FFFFFF" w:fill="FFFFFF"/>
            <w:noWrap/>
            <w:vAlign w:val="center"/>
            <w:hideMark/>
          </w:tcPr>
          <w:p w14:paraId="662B522B" w14:textId="77777777" w:rsidR="00C5245D" w:rsidRPr="00425370" w:rsidRDefault="00C5245D" w:rsidP="003A6FB5">
            <w:pPr>
              <w:jc w:val="right"/>
              <w:rPr>
                <w:rFonts w:cs="Arial"/>
                <w:color w:val="333333"/>
                <w:sz w:val="18"/>
                <w:szCs w:val="18"/>
              </w:rPr>
            </w:pPr>
            <w:r w:rsidRPr="00425370">
              <w:rPr>
                <w:rFonts w:cs="Arial"/>
                <w:color w:val="333333"/>
                <w:sz w:val="18"/>
                <w:szCs w:val="18"/>
              </w:rPr>
              <w:t>679.741.701</w:t>
            </w:r>
          </w:p>
        </w:tc>
        <w:tc>
          <w:tcPr>
            <w:tcW w:w="727" w:type="pct"/>
            <w:tcBorders>
              <w:top w:val="nil"/>
              <w:left w:val="nil"/>
              <w:bottom w:val="nil"/>
              <w:right w:val="single" w:sz="4" w:space="0" w:color="auto"/>
            </w:tcBorders>
            <w:shd w:val="clear" w:color="FFFFFF" w:fill="FFFFFF"/>
            <w:noWrap/>
            <w:vAlign w:val="center"/>
            <w:hideMark/>
          </w:tcPr>
          <w:p w14:paraId="26FC3528" w14:textId="77777777" w:rsidR="00C5245D" w:rsidRPr="00425370" w:rsidRDefault="00C5245D" w:rsidP="003A6FB5">
            <w:pPr>
              <w:jc w:val="right"/>
              <w:rPr>
                <w:rFonts w:cs="Arial"/>
                <w:color w:val="333333"/>
                <w:sz w:val="18"/>
                <w:szCs w:val="18"/>
              </w:rPr>
            </w:pPr>
            <w:r w:rsidRPr="00425370">
              <w:rPr>
                <w:rFonts w:cs="Arial"/>
                <w:color w:val="333333"/>
                <w:sz w:val="18"/>
                <w:szCs w:val="18"/>
              </w:rPr>
              <w:t>722.159.075</w:t>
            </w:r>
          </w:p>
        </w:tc>
        <w:tc>
          <w:tcPr>
            <w:tcW w:w="727" w:type="pct"/>
            <w:tcBorders>
              <w:top w:val="nil"/>
              <w:left w:val="nil"/>
              <w:bottom w:val="nil"/>
              <w:right w:val="nil"/>
            </w:tcBorders>
            <w:shd w:val="clear" w:color="FFFFFF" w:fill="FFFFFF"/>
            <w:noWrap/>
            <w:vAlign w:val="center"/>
            <w:hideMark/>
          </w:tcPr>
          <w:p w14:paraId="34900AD6" w14:textId="77777777" w:rsidR="00C5245D" w:rsidRPr="00425370" w:rsidRDefault="00C5245D" w:rsidP="003A6FB5">
            <w:pPr>
              <w:jc w:val="right"/>
              <w:rPr>
                <w:rFonts w:cs="Arial"/>
                <w:color w:val="333333"/>
                <w:sz w:val="18"/>
                <w:szCs w:val="18"/>
              </w:rPr>
            </w:pPr>
            <w:r w:rsidRPr="00425370">
              <w:rPr>
                <w:rFonts w:cs="Arial"/>
                <w:color w:val="333333"/>
                <w:sz w:val="18"/>
                <w:szCs w:val="18"/>
              </w:rPr>
              <w:t>978.495.165</w:t>
            </w:r>
          </w:p>
        </w:tc>
      </w:tr>
      <w:tr w:rsidR="00C5245D" w:rsidRPr="00425370" w14:paraId="7F24148E" w14:textId="77777777" w:rsidTr="00461248">
        <w:trPr>
          <w:trHeight w:val="340"/>
        </w:trPr>
        <w:tc>
          <w:tcPr>
            <w:tcW w:w="2825" w:type="pct"/>
            <w:tcBorders>
              <w:top w:val="single" w:sz="4" w:space="0" w:color="auto"/>
              <w:left w:val="nil"/>
              <w:bottom w:val="single" w:sz="4" w:space="0" w:color="auto"/>
              <w:right w:val="single" w:sz="4" w:space="0" w:color="auto"/>
            </w:tcBorders>
            <w:shd w:val="clear" w:color="000000" w:fill="A1F2FD"/>
            <w:vAlign w:val="center"/>
            <w:hideMark/>
          </w:tcPr>
          <w:p w14:paraId="35385CAD" w14:textId="77777777" w:rsidR="00C5245D" w:rsidRPr="00425370" w:rsidRDefault="00C5245D" w:rsidP="003A6FB5">
            <w:pPr>
              <w:jc w:val="left"/>
              <w:rPr>
                <w:rFonts w:cs="Arial"/>
                <w:b/>
                <w:bCs/>
                <w:color w:val="000000"/>
                <w:sz w:val="18"/>
                <w:szCs w:val="18"/>
              </w:rPr>
            </w:pPr>
            <w:r w:rsidRPr="00425370">
              <w:rPr>
                <w:rFonts w:cs="Arial"/>
                <w:b/>
                <w:bCs/>
                <w:color w:val="000000"/>
                <w:sz w:val="18"/>
                <w:szCs w:val="18"/>
              </w:rPr>
              <w:t>Despesas Primárias Apuradas (III) = (I) - (II)</w:t>
            </w:r>
          </w:p>
        </w:tc>
        <w:tc>
          <w:tcPr>
            <w:tcW w:w="722" w:type="pct"/>
            <w:tcBorders>
              <w:top w:val="single" w:sz="4" w:space="0" w:color="auto"/>
              <w:left w:val="nil"/>
              <w:bottom w:val="single" w:sz="4" w:space="0" w:color="auto"/>
              <w:right w:val="single" w:sz="4" w:space="0" w:color="auto"/>
            </w:tcBorders>
            <w:shd w:val="clear" w:color="000000" w:fill="A1F2FD"/>
            <w:noWrap/>
            <w:vAlign w:val="center"/>
            <w:hideMark/>
          </w:tcPr>
          <w:p w14:paraId="4E482B1E" w14:textId="77777777" w:rsidR="00C5245D" w:rsidRPr="00425370" w:rsidRDefault="00C5245D" w:rsidP="003A6FB5">
            <w:pPr>
              <w:jc w:val="right"/>
              <w:rPr>
                <w:rFonts w:cs="Arial"/>
                <w:b/>
                <w:bCs/>
                <w:color w:val="000000"/>
                <w:sz w:val="18"/>
                <w:szCs w:val="18"/>
              </w:rPr>
            </w:pPr>
            <w:r w:rsidRPr="00425370">
              <w:rPr>
                <w:rFonts w:cs="Arial"/>
                <w:b/>
                <w:bCs/>
                <w:color w:val="000000"/>
                <w:sz w:val="18"/>
                <w:szCs w:val="18"/>
              </w:rPr>
              <w:t>29.086.835.724</w:t>
            </w:r>
          </w:p>
        </w:tc>
        <w:tc>
          <w:tcPr>
            <w:tcW w:w="727" w:type="pct"/>
            <w:tcBorders>
              <w:top w:val="single" w:sz="4" w:space="0" w:color="auto"/>
              <w:left w:val="nil"/>
              <w:bottom w:val="single" w:sz="4" w:space="0" w:color="auto"/>
              <w:right w:val="single" w:sz="4" w:space="0" w:color="auto"/>
            </w:tcBorders>
            <w:shd w:val="clear" w:color="000000" w:fill="A1F2FD"/>
            <w:noWrap/>
            <w:vAlign w:val="center"/>
            <w:hideMark/>
          </w:tcPr>
          <w:p w14:paraId="41AB08AC" w14:textId="77777777" w:rsidR="00C5245D" w:rsidRPr="00425370" w:rsidRDefault="00C5245D" w:rsidP="003A6FB5">
            <w:pPr>
              <w:jc w:val="right"/>
              <w:rPr>
                <w:rFonts w:cs="Arial"/>
                <w:b/>
                <w:bCs/>
                <w:color w:val="000000"/>
                <w:sz w:val="18"/>
                <w:szCs w:val="18"/>
              </w:rPr>
            </w:pPr>
            <w:r w:rsidRPr="00425370">
              <w:rPr>
                <w:rFonts w:cs="Arial"/>
                <w:b/>
                <w:bCs/>
                <w:color w:val="000000"/>
                <w:sz w:val="18"/>
                <w:szCs w:val="18"/>
              </w:rPr>
              <w:t>30.608.544.715</w:t>
            </w:r>
          </w:p>
        </w:tc>
        <w:tc>
          <w:tcPr>
            <w:tcW w:w="727" w:type="pct"/>
            <w:tcBorders>
              <w:top w:val="single" w:sz="4" w:space="0" w:color="auto"/>
              <w:left w:val="nil"/>
              <w:bottom w:val="single" w:sz="4" w:space="0" w:color="auto"/>
              <w:right w:val="nil"/>
            </w:tcBorders>
            <w:shd w:val="clear" w:color="000000" w:fill="A1F2FD"/>
            <w:noWrap/>
            <w:vAlign w:val="center"/>
            <w:hideMark/>
          </w:tcPr>
          <w:p w14:paraId="5978821A" w14:textId="77777777" w:rsidR="00C5245D" w:rsidRPr="00425370" w:rsidRDefault="00C5245D" w:rsidP="003A6FB5">
            <w:pPr>
              <w:jc w:val="right"/>
              <w:rPr>
                <w:rFonts w:cs="Arial"/>
                <w:b/>
                <w:bCs/>
                <w:color w:val="000000"/>
                <w:sz w:val="18"/>
                <w:szCs w:val="18"/>
              </w:rPr>
            </w:pPr>
            <w:r w:rsidRPr="00425370">
              <w:rPr>
                <w:rFonts w:cs="Arial"/>
                <w:b/>
                <w:bCs/>
                <w:color w:val="000000"/>
                <w:sz w:val="18"/>
                <w:szCs w:val="18"/>
              </w:rPr>
              <w:t>31.744.808.847</w:t>
            </w:r>
          </w:p>
        </w:tc>
      </w:tr>
      <w:tr w:rsidR="00C5245D" w:rsidRPr="00425370" w14:paraId="6D5EDBAD" w14:textId="77777777" w:rsidTr="00461248">
        <w:trPr>
          <w:trHeight w:val="340"/>
        </w:trPr>
        <w:tc>
          <w:tcPr>
            <w:tcW w:w="2825" w:type="pct"/>
            <w:tcBorders>
              <w:top w:val="nil"/>
              <w:left w:val="nil"/>
              <w:bottom w:val="single" w:sz="4" w:space="0" w:color="auto"/>
              <w:right w:val="single" w:sz="4" w:space="0" w:color="auto"/>
            </w:tcBorders>
            <w:shd w:val="clear" w:color="000000" w:fill="A1F2FD"/>
            <w:vAlign w:val="center"/>
            <w:hideMark/>
          </w:tcPr>
          <w:p w14:paraId="2635881E" w14:textId="77777777" w:rsidR="00C5245D" w:rsidRPr="00425370" w:rsidRDefault="00C5245D" w:rsidP="003A6FB5">
            <w:pPr>
              <w:jc w:val="left"/>
              <w:rPr>
                <w:rFonts w:cs="Arial"/>
                <w:b/>
                <w:bCs/>
                <w:color w:val="000000"/>
                <w:sz w:val="18"/>
                <w:szCs w:val="18"/>
              </w:rPr>
            </w:pPr>
            <w:r w:rsidRPr="00425370">
              <w:rPr>
                <w:rFonts w:cs="Arial"/>
                <w:b/>
                <w:bCs/>
                <w:color w:val="000000"/>
                <w:sz w:val="18"/>
                <w:szCs w:val="18"/>
              </w:rPr>
              <w:t>Despesas Primárias a Preço de 2021 (IV)</w:t>
            </w:r>
          </w:p>
        </w:tc>
        <w:tc>
          <w:tcPr>
            <w:tcW w:w="722" w:type="pct"/>
            <w:tcBorders>
              <w:top w:val="nil"/>
              <w:left w:val="nil"/>
              <w:bottom w:val="single" w:sz="4" w:space="0" w:color="auto"/>
              <w:right w:val="single" w:sz="4" w:space="0" w:color="auto"/>
            </w:tcBorders>
            <w:shd w:val="clear" w:color="auto" w:fill="auto"/>
            <w:noWrap/>
            <w:vAlign w:val="center"/>
            <w:hideMark/>
          </w:tcPr>
          <w:p w14:paraId="6EB3BC8A" w14:textId="77777777" w:rsidR="00C5245D" w:rsidRPr="00425370" w:rsidRDefault="00C5245D" w:rsidP="003A6FB5">
            <w:pPr>
              <w:jc w:val="center"/>
              <w:rPr>
                <w:rFonts w:cs="Arial"/>
                <w:b/>
                <w:bCs/>
                <w:color w:val="000000"/>
                <w:sz w:val="18"/>
                <w:szCs w:val="18"/>
              </w:rPr>
            </w:pPr>
            <w:r w:rsidRPr="00425370">
              <w:rPr>
                <w:rFonts w:cs="Arial"/>
                <w:b/>
                <w:bCs/>
                <w:color w:val="000000"/>
                <w:sz w:val="18"/>
                <w:szCs w:val="18"/>
              </w:rPr>
              <w:t>-</w:t>
            </w:r>
          </w:p>
        </w:tc>
        <w:tc>
          <w:tcPr>
            <w:tcW w:w="727" w:type="pct"/>
            <w:tcBorders>
              <w:top w:val="nil"/>
              <w:left w:val="nil"/>
              <w:bottom w:val="single" w:sz="4" w:space="0" w:color="auto"/>
              <w:right w:val="single" w:sz="4" w:space="0" w:color="auto"/>
            </w:tcBorders>
            <w:shd w:val="clear" w:color="000000" w:fill="A1F2FD"/>
            <w:noWrap/>
            <w:vAlign w:val="center"/>
            <w:hideMark/>
          </w:tcPr>
          <w:p w14:paraId="0054EB94" w14:textId="77777777" w:rsidR="00C5245D" w:rsidRPr="00425370" w:rsidRDefault="00C5245D" w:rsidP="003A6FB5">
            <w:pPr>
              <w:jc w:val="right"/>
              <w:rPr>
                <w:rFonts w:cs="Arial"/>
                <w:b/>
                <w:bCs/>
                <w:color w:val="000000"/>
                <w:sz w:val="18"/>
                <w:szCs w:val="18"/>
              </w:rPr>
            </w:pPr>
            <w:r w:rsidRPr="00425370">
              <w:rPr>
                <w:rFonts w:cs="Arial"/>
                <w:b/>
                <w:bCs/>
                <w:color w:val="000000"/>
                <w:sz w:val="18"/>
                <w:szCs w:val="18"/>
              </w:rPr>
              <w:t>28.934.648.422</w:t>
            </w:r>
          </w:p>
        </w:tc>
        <w:tc>
          <w:tcPr>
            <w:tcW w:w="727" w:type="pct"/>
            <w:tcBorders>
              <w:top w:val="nil"/>
              <w:left w:val="nil"/>
              <w:bottom w:val="single" w:sz="4" w:space="0" w:color="auto"/>
              <w:right w:val="nil"/>
            </w:tcBorders>
            <w:shd w:val="clear" w:color="000000" w:fill="A1F2FD"/>
            <w:noWrap/>
            <w:vAlign w:val="center"/>
            <w:hideMark/>
          </w:tcPr>
          <w:p w14:paraId="54DE408A" w14:textId="77777777" w:rsidR="00C5245D" w:rsidRPr="00425370" w:rsidRDefault="00C5245D" w:rsidP="003A6FB5">
            <w:pPr>
              <w:jc w:val="right"/>
              <w:rPr>
                <w:rFonts w:cs="Arial"/>
                <w:b/>
                <w:bCs/>
                <w:color w:val="000000"/>
                <w:sz w:val="18"/>
                <w:szCs w:val="18"/>
              </w:rPr>
            </w:pPr>
            <w:r w:rsidRPr="00425370">
              <w:rPr>
                <w:rFonts w:cs="Arial"/>
                <w:b/>
                <w:bCs/>
                <w:color w:val="000000"/>
                <w:sz w:val="18"/>
                <w:szCs w:val="18"/>
              </w:rPr>
              <w:t>28.683.265.328</w:t>
            </w:r>
          </w:p>
        </w:tc>
      </w:tr>
      <w:tr w:rsidR="00C5245D" w:rsidRPr="00425370" w14:paraId="2876EFDC" w14:textId="77777777" w:rsidTr="00461248">
        <w:trPr>
          <w:trHeight w:val="340"/>
        </w:trPr>
        <w:tc>
          <w:tcPr>
            <w:tcW w:w="2825" w:type="pct"/>
            <w:tcBorders>
              <w:top w:val="nil"/>
              <w:left w:val="nil"/>
              <w:bottom w:val="single" w:sz="4" w:space="0" w:color="auto"/>
              <w:right w:val="single" w:sz="4" w:space="0" w:color="auto"/>
            </w:tcBorders>
            <w:shd w:val="clear" w:color="000000" w:fill="A1F2FD"/>
            <w:vAlign w:val="center"/>
            <w:hideMark/>
          </w:tcPr>
          <w:p w14:paraId="6B1E7980" w14:textId="77777777" w:rsidR="00C5245D" w:rsidRPr="00425370" w:rsidRDefault="00C5245D" w:rsidP="003A6FB5">
            <w:pPr>
              <w:jc w:val="left"/>
              <w:rPr>
                <w:rFonts w:cs="Arial"/>
                <w:b/>
                <w:bCs/>
                <w:color w:val="000000"/>
                <w:sz w:val="18"/>
                <w:szCs w:val="18"/>
              </w:rPr>
            </w:pPr>
            <w:r w:rsidRPr="00425370">
              <w:rPr>
                <w:rFonts w:cs="Arial"/>
                <w:b/>
                <w:bCs/>
                <w:color w:val="000000"/>
                <w:sz w:val="18"/>
                <w:szCs w:val="18"/>
              </w:rPr>
              <w:t>Resultado (V) = (III) - (IV)</w:t>
            </w:r>
          </w:p>
        </w:tc>
        <w:tc>
          <w:tcPr>
            <w:tcW w:w="722" w:type="pct"/>
            <w:tcBorders>
              <w:top w:val="nil"/>
              <w:left w:val="nil"/>
              <w:bottom w:val="single" w:sz="4" w:space="0" w:color="auto"/>
              <w:right w:val="single" w:sz="4" w:space="0" w:color="auto"/>
            </w:tcBorders>
            <w:shd w:val="clear" w:color="auto" w:fill="auto"/>
            <w:noWrap/>
            <w:vAlign w:val="center"/>
            <w:hideMark/>
          </w:tcPr>
          <w:p w14:paraId="0B2814DF" w14:textId="77777777" w:rsidR="00C5245D" w:rsidRPr="00425370" w:rsidRDefault="00C5245D" w:rsidP="003A6FB5">
            <w:pPr>
              <w:jc w:val="center"/>
              <w:rPr>
                <w:rFonts w:cs="Arial"/>
                <w:b/>
                <w:bCs/>
                <w:color w:val="000000"/>
                <w:sz w:val="18"/>
                <w:szCs w:val="18"/>
              </w:rPr>
            </w:pPr>
            <w:r w:rsidRPr="00425370">
              <w:rPr>
                <w:rFonts w:cs="Arial"/>
                <w:b/>
                <w:bCs/>
                <w:color w:val="000000"/>
                <w:sz w:val="18"/>
                <w:szCs w:val="18"/>
              </w:rPr>
              <w:t>-</w:t>
            </w:r>
          </w:p>
        </w:tc>
        <w:tc>
          <w:tcPr>
            <w:tcW w:w="727" w:type="pct"/>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1BB55BBF" w14:textId="77777777" w:rsidR="00C5245D" w:rsidRPr="00425370" w:rsidRDefault="00C5245D" w:rsidP="003A6FB5">
            <w:pPr>
              <w:jc w:val="right"/>
              <w:rPr>
                <w:rFonts w:cs="Arial"/>
                <w:b/>
                <w:bCs/>
                <w:color w:val="0000CC"/>
                <w:sz w:val="18"/>
                <w:szCs w:val="18"/>
              </w:rPr>
            </w:pPr>
            <w:r w:rsidRPr="00425370">
              <w:rPr>
                <w:rFonts w:cs="Arial"/>
                <w:b/>
                <w:bCs/>
                <w:color w:val="0000CC"/>
                <w:sz w:val="18"/>
                <w:szCs w:val="18"/>
              </w:rPr>
              <w:t>(152.187.302)</w:t>
            </w:r>
          </w:p>
        </w:tc>
        <w:tc>
          <w:tcPr>
            <w:tcW w:w="727" w:type="pct"/>
            <w:tcBorders>
              <w:top w:val="single" w:sz="4" w:space="0" w:color="auto"/>
              <w:left w:val="single" w:sz="4" w:space="0" w:color="auto"/>
              <w:bottom w:val="single" w:sz="4" w:space="0" w:color="auto"/>
              <w:right w:val="nil"/>
            </w:tcBorders>
            <w:shd w:val="clear" w:color="000000" w:fill="A1F2FD"/>
            <w:noWrap/>
            <w:vAlign w:val="center"/>
            <w:hideMark/>
          </w:tcPr>
          <w:p w14:paraId="178D72B9" w14:textId="77777777" w:rsidR="00C5245D" w:rsidRPr="00425370" w:rsidRDefault="00C5245D" w:rsidP="003A6FB5">
            <w:pPr>
              <w:jc w:val="right"/>
              <w:rPr>
                <w:rFonts w:cs="Arial"/>
                <w:b/>
                <w:bCs/>
                <w:color w:val="0000CC"/>
                <w:sz w:val="18"/>
                <w:szCs w:val="18"/>
              </w:rPr>
            </w:pPr>
            <w:r w:rsidRPr="00425370">
              <w:rPr>
                <w:rFonts w:cs="Arial"/>
                <w:b/>
                <w:bCs/>
                <w:color w:val="0000CC"/>
                <w:sz w:val="18"/>
                <w:szCs w:val="18"/>
              </w:rPr>
              <w:t>(403.570.396)</w:t>
            </w:r>
          </w:p>
        </w:tc>
      </w:tr>
    </w:tbl>
    <w:p w14:paraId="75DC9DCA" w14:textId="77777777" w:rsidR="00C5245D" w:rsidRDefault="00C5245D" w:rsidP="00EF01A1">
      <w:pPr>
        <w:pStyle w:val="1-FONTE8ESQ"/>
        <w:rPr>
          <w:rStyle w:val="Forte"/>
          <w:b w:val="0"/>
        </w:rPr>
      </w:pPr>
      <w:r w:rsidRPr="000B1356">
        <w:rPr>
          <w:rStyle w:val="Forte"/>
          <w:b w:val="0"/>
        </w:rPr>
        <w:t xml:space="preserve">Fonte: </w:t>
      </w:r>
      <w:r>
        <w:rPr>
          <w:rStyle w:val="Forte"/>
          <w:b w:val="0"/>
        </w:rPr>
        <w:t>Nota Técnica nº 5/2024 – ECONOMIA/STE-15953 (Processo SEI nº 202300004041160)</w:t>
      </w:r>
    </w:p>
    <w:p w14:paraId="2B9E4A8A" w14:textId="77777777" w:rsidR="00C5245D" w:rsidRPr="000B1356" w:rsidRDefault="00C5245D" w:rsidP="00EF01A1">
      <w:pPr>
        <w:pStyle w:val="1-FONTE8ESQ"/>
        <w:rPr>
          <w:rStyle w:val="Forte"/>
          <w:b w:val="0"/>
        </w:rPr>
      </w:pPr>
      <w:r>
        <w:rPr>
          <w:rStyle w:val="Forte"/>
          <w:b w:val="0"/>
        </w:rPr>
        <w:t>Legenda: (azul) = abaixo do limite; vermelho = acima do limite</w:t>
      </w:r>
    </w:p>
    <w:p w14:paraId="729E6938" w14:textId="77777777" w:rsidR="00C5245D" w:rsidRDefault="00C5245D" w:rsidP="00C5245D">
      <w:pPr>
        <w:pStyle w:val="1-REL11"/>
      </w:pPr>
      <w:r>
        <w:t>Observa-se que o Estado vem cumprimento o limite de gastos nos exercícios de 2022 e 2023. Por Poder e Órgão Autônomo, o resultado é apresentado na tabela a seguir:</w:t>
      </w:r>
    </w:p>
    <w:p w14:paraId="4237886C" w14:textId="77777777" w:rsidR="00C5245D" w:rsidRPr="00C17412" w:rsidRDefault="00C5245D" w:rsidP="00ED3571">
      <w:pPr>
        <w:pStyle w:val="0-TABELA"/>
      </w:pPr>
      <w:bookmarkStart w:id="236" w:name="_Toc167871781"/>
      <w:r>
        <w:t>Teto de Gastos LC nº 159/2017</w:t>
      </w:r>
      <w:r w:rsidRPr="00C17412">
        <w:t xml:space="preserve"> </w:t>
      </w:r>
      <w:r>
        <w:t>por Poder/Órgão Autônomo</w:t>
      </w:r>
      <w:bookmarkEnd w:id="236"/>
    </w:p>
    <w:p w14:paraId="67797378" w14:textId="77777777" w:rsidR="00C5245D" w:rsidRPr="00E542EA" w:rsidRDefault="00C5245D" w:rsidP="00C5245D">
      <w:pPr>
        <w:pStyle w:val="0-EmR1"/>
      </w:pPr>
      <w:r w:rsidRPr="00D512F5">
        <w:t>R$ 1</w:t>
      </w:r>
    </w:p>
    <w:tbl>
      <w:tblPr>
        <w:tblW w:w="5000" w:type="pct"/>
        <w:tblLayout w:type="fixed"/>
        <w:tblCellMar>
          <w:left w:w="70" w:type="dxa"/>
          <w:right w:w="70" w:type="dxa"/>
        </w:tblCellMar>
        <w:tblLook w:val="04A0" w:firstRow="1" w:lastRow="0" w:firstColumn="1" w:lastColumn="0" w:noHBand="0" w:noVBand="1"/>
      </w:tblPr>
      <w:tblGrid>
        <w:gridCol w:w="4983"/>
        <w:gridCol w:w="2185"/>
        <w:gridCol w:w="2185"/>
      </w:tblGrid>
      <w:tr w:rsidR="00C5245D" w:rsidRPr="00425370" w14:paraId="3EF33005" w14:textId="77777777" w:rsidTr="003A6FB5">
        <w:trPr>
          <w:trHeight w:val="416"/>
          <w:tblHeader/>
        </w:trPr>
        <w:tc>
          <w:tcPr>
            <w:tcW w:w="2664" w:type="pct"/>
            <w:tcBorders>
              <w:top w:val="single" w:sz="4" w:space="0" w:color="auto"/>
              <w:left w:val="nil"/>
              <w:bottom w:val="single" w:sz="4" w:space="0" w:color="auto"/>
              <w:right w:val="single" w:sz="4" w:space="0" w:color="auto"/>
            </w:tcBorders>
            <w:shd w:val="clear" w:color="000000" w:fill="A1F2FD"/>
            <w:vAlign w:val="center"/>
            <w:hideMark/>
          </w:tcPr>
          <w:p w14:paraId="394FB370" w14:textId="77777777" w:rsidR="00C5245D" w:rsidRPr="00425370" w:rsidRDefault="00C5245D" w:rsidP="003A6FB5">
            <w:pPr>
              <w:jc w:val="center"/>
              <w:rPr>
                <w:rFonts w:cs="Arial"/>
                <w:b/>
                <w:bCs/>
                <w:color w:val="000000"/>
                <w:sz w:val="20"/>
                <w:szCs w:val="20"/>
              </w:rPr>
            </w:pPr>
            <w:r w:rsidRPr="00425370">
              <w:rPr>
                <w:rFonts w:cs="Arial"/>
                <w:b/>
                <w:bCs/>
                <w:color w:val="000000"/>
                <w:sz w:val="20"/>
                <w:szCs w:val="20"/>
              </w:rPr>
              <w:t>Poder/Órgão Autônomo</w:t>
            </w:r>
          </w:p>
        </w:tc>
        <w:tc>
          <w:tcPr>
            <w:tcW w:w="1168" w:type="pct"/>
            <w:tcBorders>
              <w:top w:val="single" w:sz="4" w:space="0" w:color="auto"/>
              <w:left w:val="nil"/>
              <w:bottom w:val="single" w:sz="4" w:space="0" w:color="auto"/>
              <w:right w:val="single" w:sz="4" w:space="0" w:color="auto"/>
            </w:tcBorders>
            <w:shd w:val="clear" w:color="000000" w:fill="A1F2FD"/>
            <w:vAlign w:val="center"/>
            <w:hideMark/>
          </w:tcPr>
          <w:p w14:paraId="41A3984B" w14:textId="77777777" w:rsidR="00C5245D" w:rsidRPr="00425370" w:rsidRDefault="00C5245D" w:rsidP="003A6FB5">
            <w:pPr>
              <w:jc w:val="center"/>
              <w:rPr>
                <w:rFonts w:cs="Arial"/>
                <w:b/>
                <w:bCs/>
                <w:color w:val="000000"/>
                <w:sz w:val="20"/>
                <w:szCs w:val="20"/>
              </w:rPr>
            </w:pPr>
            <w:r w:rsidRPr="00425370">
              <w:rPr>
                <w:rFonts w:cs="Arial"/>
                <w:b/>
                <w:bCs/>
                <w:color w:val="000000"/>
                <w:sz w:val="20"/>
                <w:szCs w:val="20"/>
              </w:rPr>
              <w:t>2022</w:t>
            </w:r>
          </w:p>
        </w:tc>
        <w:tc>
          <w:tcPr>
            <w:tcW w:w="1168" w:type="pct"/>
            <w:tcBorders>
              <w:top w:val="single" w:sz="4" w:space="0" w:color="auto"/>
              <w:left w:val="nil"/>
              <w:bottom w:val="single" w:sz="4" w:space="0" w:color="auto"/>
              <w:right w:val="nil"/>
            </w:tcBorders>
            <w:shd w:val="clear" w:color="000000" w:fill="A1F2FD"/>
            <w:vAlign w:val="center"/>
            <w:hideMark/>
          </w:tcPr>
          <w:p w14:paraId="3C164F76" w14:textId="77777777" w:rsidR="00C5245D" w:rsidRPr="00425370" w:rsidRDefault="00C5245D" w:rsidP="003A6FB5">
            <w:pPr>
              <w:jc w:val="center"/>
              <w:rPr>
                <w:rFonts w:cs="Arial"/>
                <w:b/>
                <w:bCs/>
                <w:color w:val="000000"/>
                <w:sz w:val="20"/>
                <w:szCs w:val="20"/>
              </w:rPr>
            </w:pPr>
            <w:r w:rsidRPr="00425370">
              <w:rPr>
                <w:rFonts w:cs="Arial"/>
                <w:b/>
                <w:bCs/>
                <w:color w:val="000000"/>
                <w:sz w:val="20"/>
                <w:szCs w:val="20"/>
              </w:rPr>
              <w:t>2023</w:t>
            </w:r>
          </w:p>
        </w:tc>
      </w:tr>
      <w:tr w:rsidR="00C5245D" w:rsidRPr="00425370" w14:paraId="210AA2E8" w14:textId="77777777" w:rsidTr="003A6FB5">
        <w:trPr>
          <w:trHeight w:val="255"/>
        </w:trPr>
        <w:tc>
          <w:tcPr>
            <w:tcW w:w="2664" w:type="pct"/>
            <w:tcBorders>
              <w:top w:val="nil"/>
              <w:left w:val="nil"/>
              <w:bottom w:val="nil"/>
              <w:right w:val="single" w:sz="4" w:space="0" w:color="auto"/>
            </w:tcBorders>
            <w:shd w:val="clear" w:color="auto" w:fill="auto"/>
            <w:noWrap/>
            <w:vAlign w:val="center"/>
            <w:hideMark/>
          </w:tcPr>
          <w:p w14:paraId="1285F49B" w14:textId="77777777" w:rsidR="00C5245D" w:rsidRPr="00425370" w:rsidRDefault="00C5245D" w:rsidP="003A6FB5">
            <w:pPr>
              <w:jc w:val="left"/>
              <w:rPr>
                <w:rFonts w:cs="Arial"/>
                <w:color w:val="000000"/>
                <w:sz w:val="20"/>
                <w:szCs w:val="20"/>
              </w:rPr>
            </w:pPr>
            <w:r w:rsidRPr="00425370">
              <w:rPr>
                <w:rFonts w:cs="Arial"/>
                <w:color w:val="000000"/>
                <w:sz w:val="20"/>
                <w:szCs w:val="20"/>
              </w:rPr>
              <w:t>Executivo</w:t>
            </w:r>
          </w:p>
        </w:tc>
        <w:tc>
          <w:tcPr>
            <w:tcW w:w="1168" w:type="pct"/>
            <w:tcBorders>
              <w:top w:val="single" w:sz="4" w:space="0" w:color="auto"/>
              <w:left w:val="single" w:sz="4" w:space="0" w:color="auto"/>
              <w:bottom w:val="nil"/>
              <w:right w:val="single" w:sz="4" w:space="0" w:color="auto"/>
            </w:tcBorders>
            <w:shd w:val="clear" w:color="auto" w:fill="auto"/>
            <w:noWrap/>
            <w:vAlign w:val="center"/>
            <w:hideMark/>
          </w:tcPr>
          <w:p w14:paraId="3805880B" w14:textId="77777777" w:rsidR="00C5245D" w:rsidRPr="00425370" w:rsidRDefault="00C5245D" w:rsidP="003A6FB5">
            <w:pPr>
              <w:jc w:val="right"/>
              <w:rPr>
                <w:rFonts w:cs="Arial"/>
                <w:color w:val="0000CC"/>
                <w:sz w:val="20"/>
                <w:szCs w:val="20"/>
              </w:rPr>
            </w:pPr>
            <w:r w:rsidRPr="00425370">
              <w:rPr>
                <w:rFonts w:cs="Arial"/>
                <w:color w:val="0000CC"/>
                <w:sz w:val="20"/>
                <w:szCs w:val="20"/>
              </w:rPr>
              <w:t>(155.916.956)</w:t>
            </w:r>
          </w:p>
        </w:tc>
        <w:tc>
          <w:tcPr>
            <w:tcW w:w="1168" w:type="pct"/>
            <w:tcBorders>
              <w:top w:val="single" w:sz="4" w:space="0" w:color="auto"/>
              <w:left w:val="single" w:sz="4" w:space="0" w:color="auto"/>
              <w:bottom w:val="nil"/>
              <w:right w:val="nil"/>
            </w:tcBorders>
            <w:shd w:val="clear" w:color="auto" w:fill="auto"/>
            <w:noWrap/>
            <w:vAlign w:val="center"/>
            <w:hideMark/>
          </w:tcPr>
          <w:p w14:paraId="4740EE81" w14:textId="77777777" w:rsidR="00C5245D" w:rsidRPr="00425370" w:rsidRDefault="00C5245D" w:rsidP="003A6FB5">
            <w:pPr>
              <w:jc w:val="right"/>
              <w:rPr>
                <w:rFonts w:cs="Arial"/>
                <w:color w:val="0000CC"/>
                <w:sz w:val="20"/>
                <w:szCs w:val="20"/>
              </w:rPr>
            </w:pPr>
            <w:r w:rsidRPr="00425370">
              <w:rPr>
                <w:rFonts w:cs="Arial"/>
                <w:color w:val="0000CC"/>
                <w:sz w:val="20"/>
                <w:szCs w:val="20"/>
              </w:rPr>
              <w:t>(601.960.056)</w:t>
            </w:r>
          </w:p>
        </w:tc>
      </w:tr>
      <w:tr w:rsidR="00C5245D" w:rsidRPr="00425370" w14:paraId="13B500CC" w14:textId="77777777" w:rsidTr="003A6FB5">
        <w:trPr>
          <w:trHeight w:val="255"/>
        </w:trPr>
        <w:tc>
          <w:tcPr>
            <w:tcW w:w="2664" w:type="pct"/>
            <w:tcBorders>
              <w:top w:val="nil"/>
              <w:left w:val="nil"/>
              <w:bottom w:val="nil"/>
              <w:right w:val="single" w:sz="4" w:space="0" w:color="auto"/>
            </w:tcBorders>
            <w:shd w:val="clear" w:color="auto" w:fill="auto"/>
            <w:noWrap/>
            <w:vAlign w:val="center"/>
            <w:hideMark/>
          </w:tcPr>
          <w:p w14:paraId="3018622B" w14:textId="77777777" w:rsidR="00C5245D" w:rsidRPr="00425370" w:rsidRDefault="00C5245D" w:rsidP="003A6FB5">
            <w:pPr>
              <w:jc w:val="left"/>
              <w:rPr>
                <w:rFonts w:cs="Arial"/>
                <w:color w:val="000000"/>
                <w:sz w:val="20"/>
                <w:szCs w:val="20"/>
              </w:rPr>
            </w:pPr>
            <w:r w:rsidRPr="00425370">
              <w:rPr>
                <w:rFonts w:cs="Arial"/>
                <w:color w:val="000000"/>
                <w:sz w:val="20"/>
                <w:szCs w:val="20"/>
              </w:rPr>
              <w:t>Tribunal de Contas do Estado</w:t>
            </w:r>
          </w:p>
        </w:tc>
        <w:tc>
          <w:tcPr>
            <w:tcW w:w="1168" w:type="pct"/>
            <w:tcBorders>
              <w:top w:val="nil"/>
              <w:left w:val="single" w:sz="4" w:space="0" w:color="auto"/>
              <w:bottom w:val="nil"/>
              <w:right w:val="single" w:sz="4" w:space="0" w:color="auto"/>
            </w:tcBorders>
            <w:shd w:val="clear" w:color="auto" w:fill="auto"/>
            <w:noWrap/>
            <w:vAlign w:val="center"/>
            <w:hideMark/>
          </w:tcPr>
          <w:p w14:paraId="327AD4D4" w14:textId="77777777" w:rsidR="00C5245D" w:rsidRPr="00425370" w:rsidRDefault="00C5245D" w:rsidP="003A6FB5">
            <w:pPr>
              <w:jc w:val="right"/>
              <w:rPr>
                <w:rFonts w:cs="Arial"/>
                <w:color w:val="0000CC"/>
                <w:sz w:val="20"/>
                <w:szCs w:val="20"/>
              </w:rPr>
            </w:pPr>
            <w:r w:rsidRPr="00425370">
              <w:rPr>
                <w:rFonts w:cs="Arial"/>
                <w:color w:val="0000CC"/>
                <w:sz w:val="20"/>
                <w:szCs w:val="20"/>
              </w:rPr>
              <w:t>(7.230.639)</w:t>
            </w:r>
          </w:p>
        </w:tc>
        <w:tc>
          <w:tcPr>
            <w:tcW w:w="1168" w:type="pct"/>
            <w:tcBorders>
              <w:top w:val="nil"/>
              <w:left w:val="single" w:sz="4" w:space="0" w:color="auto"/>
              <w:bottom w:val="nil"/>
              <w:right w:val="nil"/>
            </w:tcBorders>
            <w:shd w:val="clear" w:color="auto" w:fill="auto"/>
            <w:noWrap/>
            <w:vAlign w:val="center"/>
            <w:hideMark/>
          </w:tcPr>
          <w:p w14:paraId="2D438E40" w14:textId="77777777" w:rsidR="00C5245D" w:rsidRPr="00425370" w:rsidRDefault="00C5245D" w:rsidP="003A6FB5">
            <w:pPr>
              <w:jc w:val="right"/>
              <w:rPr>
                <w:rFonts w:cs="Arial"/>
                <w:color w:val="0000CC"/>
                <w:sz w:val="20"/>
                <w:szCs w:val="20"/>
              </w:rPr>
            </w:pPr>
            <w:r w:rsidRPr="00425370">
              <w:rPr>
                <w:rFonts w:cs="Arial"/>
                <w:color w:val="0000CC"/>
                <w:sz w:val="20"/>
                <w:szCs w:val="20"/>
              </w:rPr>
              <w:t>(8.301.882)</w:t>
            </w:r>
          </w:p>
        </w:tc>
      </w:tr>
      <w:tr w:rsidR="00C5245D" w:rsidRPr="00425370" w14:paraId="7692AE7B" w14:textId="77777777" w:rsidTr="003A6FB5">
        <w:trPr>
          <w:trHeight w:val="255"/>
        </w:trPr>
        <w:tc>
          <w:tcPr>
            <w:tcW w:w="2664" w:type="pct"/>
            <w:tcBorders>
              <w:top w:val="nil"/>
              <w:left w:val="nil"/>
              <w:bottom w:val="nil"/>
              <w:right w:val="single" w:sz="4" w:space="0" w:color="auto"/>
            </w:tcBorders>
            <w:shd w:val="clear" w:color="auto" w:fill="auto"/>
            <w:noWrap/>
            <w:vAlign w:val="center"/>
            <w:hideMark/>
          </w:tcPr>
          <w:p w14:paraId="21EC59E5" w14:textId="77777777" w:rsidR="00C5245D" w:rsidRPr="00425370" w:rsidRDefault="00C5245D" w:rsidP="003A6FB5">
            <w:pPr>
              <w:jc w:val="left"/>
              <w:rPr>
                <w:rFonts w:cs="Arial"/>
                <w:color w:val="000000"/>
                <w:sz w:val="20"/>
                <w:szCs w:val="20"/>
              </w:rPr>
            </w:pPr>
            <w:r w:rsidRPr="00425370">
              <w:rPr>
                <w:rFonts w:cs="Arial"/>
                <w:color w:val="000000"/>
                <w:sz w:val="20"/>
                <w:szCs w:val="20"/>
              </w:rPr>
              <w:t>Ministério Público</w:t>
            </w:r>
          </w:p>
        </w:tc>
        <w:tc>
          <w:tcPr>
            <w:tcW w:w="1168" w:type="pct"/>
            <w:tcBorders>
              <w:top w:val="nil"/>
              <w:left w:val="single" w:sz="4" w:space="0" w:color="auto"/>
              <w:bottom w:val="nil"/>
              <w:right w:val="single" w:sz="4" w:space="0" w:color="auto"/>
            </w:tcBorders>
            <w:shd w:val="clear" w:color="auto" w:fill="auto"/>
            <w:noWrap/>
            <w:vAlign w:val="center"/>
            <w:hideMark/>
          </w:tcPr>
          <w:p w14:paraId="03415A1F" w14:textId="77777777" w:rsidR="00C5245D" w:rsidRPr="00425370" w:rsidRDefault="00C5245D" w:rsidP="003A6FB5">
            <w:pPr>
              <w:jc w:val="right"/>
              <w:rPr>
                <w:rFonts w:cs="Arial"/>
                <w:color w:val="0000CC"/>
                <w:sz w:val="20"/>
                <w:szCs w:val="20"/>
              </w:rPr>
            </w:pPr>
            <w:r w:rsidRPr="00425370">
              <w:rPr>
                <w:rFonts w:cs="Arial"/>
                <w:color w:val="0000CC"/>
                <w:sz w:val="20"/>
                <w:szCs w:val="20"/>
              </w:rPr>
              <w:t>(14.792.799)</w:t>
            </w:r>
          </w:p>
        </w:tc>
        <w:tc>
          <w:tcPr>
            <w:tcW w:w="1168" w:type="pct"/>
            <w:tcBorders>
              <w:top w:val="nil"/>
              <w:left w:val="single" w:sz="4" w:space="0" w:color="auto"/>
              <w:bottom w:val="nil"/>
              <w:right w:val="nil"/>
            </w:tcBorders>
            <w:shd w:val="clear" w:color="auto" w:fill="auto"/>
            <w:noWrap/>
            <w:vAlign w:val="center"/>
            <w:hideMark/>
          </w:tcPr>
          <w:p w14:paraId="7D2B0603" w14:textId="77777777" w:rsidR="00C5245D" w:rsidRPr="00425370" w:rsidRDefault="00C5245D" w:rsidP="003A6FB5">
            <w:pPr>
              <w:jc w:val="right"/>
              <w:rPr>
                <w:rFonts w:cs="Arial"/>
                <w:color w:val="0000CC"/>
                <w:sz w:val="20"/>
                <w:szCs w:val="20"/>
              </w:rPr>
            </w:pPr>
            <w:r w:rsidRPr="00425370">
              <w:rPr>
                <w:rFonts w:cs="Arial"/>
                <w:color w:val="0000CC"/>
                <w:sz w:val="20"/>
                <w:szCs w:val="20"/>
              </w:rPr>
              <w:t>(2.613.416)</w:t>
            </w:r>
          </w:p>
        </w:tc>
      </w:tr>
      <w:tr w:rsidR="00C5245D" w:rsidRPr="00425370" w14:paraId="3530B2E2" w14:textId="77777777" w:rsidTr="003A6FB5">
        <w:trPr>
          <w:trHeight w:val="255"/>
        </w:trPr>
        <w:tc>
          <w:tcPr>
            <w:tcW w:w="2664" w:type="pct"/>
            <w:tcBorders>
              <w:top w:val="nil"/>
              <w:left w:val="nil"/>
              <w:bottom w:val="nil"/>
              <w:right w:val="single" w:sz="4" w:space="0" w:color="auto"/>
            </w:tcBorders>
            <w:shd w:val="clear" w:color="auto" w:fill="auto"/>
            <w:noWrap/>
            <w:vAlign w:val="center"/>
            <w:hideMark/>
          </w:tcPr>
          <w:p w14:paraId="743C8C28" w14:textId="77777777" w:rsidR="00C5245D" w:rsidRPr="00425370" w:rsidRDefault="00C5245D" w:rsidP="003A6FB5">
            <w:pPr>
              <w:jc w:val="left"/>
              <w:rPr>
                <w:rFonts w:cs="Arial"/>
                <w:color w:val="000000"/>
                <w:sz w:val="20"/>
                <w:szCs w:val="20"/>
              </w:rPr>
            </w:pPr>
            <w:r w:rsidRPr="00425370">
              <w:rPr>
                <w:rFonts w:cs="Arial"/>
                <w:color w:val="000000"/>
                <w:sz w:val="20"/>
                <w:szCs w:val="20"/>
              </w:rPr>
              <w:t>Tribunal de Contas dos Municípios</w:t>
            </w:r>
          </w:p>
        </w:tc>
        <w:tc>
          <w:tcPr>
            <w:tcW w:w="1168" w:type="pct"/>
            <w:tcBorders>
              <w:top w:val="nil"/>
              <w:left w:val="single" w:sz="4" w:space="0" w:color="auto"/>
              <w:bottom w:val="nil"/>
              <w:right w:val="single" w:sz="4" w:space="0" w:color="auto"/>
            </w:tcBorders>
            <w:shd w:val="clear" w:color="auto" w:fill="auto"/>
            <w:noWrap/>
            <w:vAlign w:val="center"/>
            <w:hideMark/>
          </w:tcPr>
          <w:p w14:paraId="51D9D4E3" w14:textId="77777777" w:rsidR="00C5245D" w:rsidRPr="00425370" w:rsidRDefault="00C5245D" w:rsidP="003A6FB5">
            <w:pPr>
              <w:jc w:val="right"/>
              <w:rPr>
                <w:rFonts w:cs="Arial"/>
                <w:color w:val="0000CC"/>
                <w:sz w:val="20"/>
                <w:szCs w:val="20"/>
              </w:rPr>
            </w:pPr>
            <w:r w:rsidRPr="00425370">
              <w:rPr>
                <w:rFonts w:cs="Arial"/>
                <w:color w:val="0000CC"/>
                <w:sz w:val="20"/>
                <w:szCs w:val="20"/>
              </w:rPr>
              <w:t>(1.537.907)</w:t>
            </w:r>
          </w:p>
        </w:tc>
        <w:tc>
          <w:tcPr>
            <w:tcW w:w="1168" w:type="pct"/>
            <w:tcBorders>
              <w:top w:val="nil"/>
              <w:left w:val="single" w:sz="4" w:space="0" w:color="auto"/>
              <w:bottom w:val="nil"/>
              <w:right w:val="nil"/>
            </w:tcBorders>
            <w:shd w:val="clear" w:color="auto" w:fill="auto"/>
            <w:noWrap/>
            <w:vAlign w:val="center"/>
            <w:hideMark/>
          </w:tcPr>
          <w:p w14:paraId="2CC8FA22" w14:textId="77777777" w:rsidR="00C5245D" w:rsidRPr="00425370" w:rsidRDefault="00C5245D" w:rsidP="003A6FB5">
            <w:pPr>
              <w:jc w:val="right"/>
              <w:rPr>
                <w:rFonts w:cs="Arial"/>
                <w:color w:val="FF0000"/>
                <w:sz w:val="20"/>
                <w:szCs w:val="20"/>
              </w:rPr>
            </w:pPr>
            <w:r w:rsidRPr="00425370">
              <w:rPr>
                <w:rFonts w:cs="Arial"/>
                <w:color w:val="FF0000"/>
                <w:sz w:val="20"/>
                <w:szCs w:val="20"/>
              </w:rPr>
              <w:t>1.487.586</w:t>
            </w:r>
          </w:p>
        </w:tc>
      </w:tr>
      <w:tr w:rsidR="00C5245D" w:rsidRPr="00425370" w14:paraId="6791DB89" w14:textId="77777777" w:rsidTr="003A6FB5">
        <w:trPr>
          <w:trHeight w:val="255"/>
        </w:trPr>
        <w:tc>
          <w:tcPr>
            <w:tcW w:w="2664" w:type="pct"/>
            <w:tcBorders>
              <w:top w:val="nil"/>
              <w:left w:val="nil"/>
              <w:bottom w:val="nil"/>
              <w:right w:val="single" w:sz="4" w:space="0" w:color="auto"/>
            </w:tcBorders>
            <w:shd w:val="clear" w:color="auto" w:fill="auto"/>
            <w:noWrap/>
            <w:vAlign w:val="center"/>
            <w:hideMark/>
          </w:tcPr>
          <w:p w14:paraId="284B5B59" w14:textId="77777777" w:rsidR="00C5245D" w:rsidRPr="00425370" w:rsidRDefault="00C5245D" w:rsidP="003A6FB5">
            <w:pPr>
              <w:jc w:val="left"/>
              <w:rPr>
                <w:rFonts w:cs="Arial"/>
                <w:color w:val="000000"/>
                <w:sz w:val="20"/>
                <w:szCs w:val="20"/>
              </w:rPr>
            </w:pPr>
            <w:r w:rsidRPr="00425370">
              <w:rPr>
                <w:rFonts w:cs="Arial"/>
                <w:color w:val="000000"/>
                <w:sz w:val="20"/>
                <w:szCs w:val="20"/>
              </w:rPr>
              <w:t>Assembleia Legislativa</w:t>
            </w:r>
          </w:p>
        </w:tc>
        <w:tc>
          <w:tcPr>
            <w:tcW w:w="1168" w:type="pct"/>
            <w:tcBorders>
              <w:top w:val="nil"/>
              <w:left w:val="single" w:sz="4" w:space="0" w:color="auto"/>
              <w:bottom w:val="nil"/>
              <w:right w:val="single" w:sz="4" w:space="0" w:color="auto"/>
            </w:tcBorders>
            <w:shd w:val="clear" w:color="auto" w:fill="auto"/>
            <w:noWrap/>
            <w:vAlign w:val="center"/>
            <w:hideMark/>
          </w:tcPr>
          <w:p w14:paraId="6DFC379A" w14:textId="77777777" w:rsidR="00C5245D" w:rsidRPr="00425370" w:rsidRDefault="00C5245D" w:rsidP="003A6FB5">
            <w:pPr>
              <w:jc w:val="right"/>
              <w:rPr>
                <w:rFonts w:cs="Arial"/>
                <w:color w:val="0000CC"/>
                <w:sz w:val="20"/>
                <w:szCs w:val="20"/>
              </w:rPr>
            </w:pPr>
            <w:r w:rsidRPr="00425370">
              <w:rPr>
                <w:rFonts w:cs="Arial"/>
                <w:color w:val="0000CC"/>
                <w:sz w:val="20"/>
                <w:szCs w:val="20"/>
              </w:rPr>
              <w:t>(74.947.947)</w:t>
            </w:r>
          </w:p>
        </w:tc>
        <w:tc>
          <w:tcPr>
            <w:tcW w:w="1168" w:type="pct"/>
            <w:tcBorders>
              <w:top w:val="nil"/>
              <w:left w:val="single" w:sz="4" w:space="0" w:color="auto"/>
              <w:bottom w:val="nil"/>
              <w:right w:val="nil"/>
            </w:tcBorders>
            <w:shd w:val="clear" w:color="auto" w:fill="auto"/>
            <w:noWrap/>
            <w:vAlign w:val="center"/>
            <w:hideMark/>
          </w:tcPr>
          <w:p w14:paraId="7FEDF9B7" w14:textId="77777777" w:rsidR="00C5245D" w:rsidRPr="00425370" w:rsidRDefault="00C5245D" w:rsidP="003A6FB5">
            <w:pPr>
              <w:jc w:val="right"/>
              <w:rPr>
                <w:rFonts w:cs="Arial"/>
                <w:color w:val="FF0000"/>
                <w:sz w:val="20"/>
                <w:szCs w:val="20"/>
              </w:rPr>
            </w:pPr>
            <w:r w:rsidRPr="00425370">
              <w:rPr>
                <w:rFonts w:cs="Arial"/>
                <w:color w:val="FF0000"/>
                <w:sz w:val="20"/>
                <w:szCs w:val="20"/>
              </w:rPr>
              <w:t>6.095.008</w:t>
            </w:r>
          </w:p>
        </w:tc>
      </w:tr>
      <w:tr w:rsidR="00C5245D" w:rsidRPr="00425370" w14:paraId="39624B84" w14:textId="77777777" w:rsidTr="003A6FB5">
        <w:trPr>
          <w:trHeight w:val="255"/>
        </w:trPr>
        <w:tc>
          <w:tcPr>
            <w:tcW w:w="2664" w:type="pct"/>
            <w:tcBorders>
              <w:top w:val="nil"/>
              <w:left w:val="nil"/>
              <w:bottom w:val="nil"/>
              <w:right w:val="single" w:sz="4" w:space="0" w:color="auto"/>
            </w:tcBorders>
            <w:shd w:val="clear" w:color="auto" w:fill="auto"/>
            <w:noWrap/>
            <w:vAlign w:val="center"/>
            <w:hideMark/>
          </w:tcPr>
          <w:p w14:paraId="61A012ED" w14:textId="77777777" w:rsidR="00C5245D" w:rsidRPr="00425370" w:rsidRDefault="00C5245D" w:rsidP="003A6FB5">
            <w:pPr>
              <w:jc w:val="left"/>
              <w:rPr>
                <w:rFonts w:cs="Arial"/>
                <w:color w:val="000000"/>
                <w:sz w:val="20"/>
                <w:szCs w:val="20"/>
              </w:rPr>
            </w:pPr>
            <w:r w:rsidRPr="00425370">
              <w:rPr>
                <w:rFonts w:cs="Arial"/>
                <w:color w:val="000000"/>
                <w:sz w:val="20"/>
                <w:szCs w:val="20"/>
              </w:rPr>
              <w:t>Defensoria Pública</w:t>
            </w:r>
          </w:p>
        </w:tc>
        <w:tc>
          <w:tcPr>
            <w:tcW w:w="1168" w:type="pct"/>
            <w:tcBorders>
              <w:top w:val="nil"/>
              <w:left w:val="single" w:sz="4" w:space="0" w:color="auto"/>
              <w:bottom w:val="nil"/>
              <w:right w:val="single" w:sz="4" w:space="0" w:color="auto"/>
            </w:tcBorders>
            <w:shd w:val="clear" w:color="auto" w:fill="auto"/>
            <w:noWrap/>
            <w:vAlign w:val="center"/>
            <w:hideMark/>
          </w:tcPr>
          <w:p w14:paraId="5502E71D" w14:textId="77777777" w:rsidR="00C5245D" w:rsidRPr="00425370" w:rsidRDefault="00C5245D" w:rsidP="003A6FB5">
            <w:pPr>
              <w:jc w:val="right"/>
              <w:rPr>
                <w:rFonts w:cs="Arial"/>
                <w:color w:val="FF0000"/>
                <w:sz w:val="20"/>
                <w:szCs w:val="20"/>
              </w:rPr>
            </w:pPr>
            <w:r w:rsidRPr="00425370">
              <w:rPr>
                <w:rFonts w:cs="Arial"/>
                <w:color w:val="FF0000"/>
                <w:sz w:val="20"/>
                <w:szCs w:val="20"/>
              </w:rPr>
              <w:t>28.035.400</w:t>
            </w:r>
          </w:p>
        </w:tc>
        <w:tc>
          <w:tcPr>
            <w:tcW w:w="1168" w:type="pct"/>
            <w:tcBorders>
              <w:top w:val="nil"/>
              <w:left w:val="single" w:sz="4" w:space="0" w:color="auto"/>
              <w:bottom w:val="nil"/>
              <w:right w:val="nil"/>
            </w:tcBorders>
            <w:shd w:val="clear" w:color="auto" w:fill="auto"/>
            <w:noWrap/>
            <w:vAlign w:val="center"/>
            <w:hideMark/>
          </w:tcPr>
          <w:p w14:paraId="6B691548" w14:textId="77777777" w:rsidR="00C5245D" w:rsidRPr="00425370" w:rsidRDefault="00C5245D" w:rsidP="003A6FB5">
            <w:pPr>
              <w:jc w:val="right"/>
              <w:rPr>
                <w:rFonts w:cs="Arial"/>
                <w:color w:val="FF0000"/>
                <w:sz w:val="20"/>
                <w:szCs w:val="20"/>
              </w:rPr>
            </w:pPr>
            <w:r w:rsidRPr="00425370">
              <w:rPr>
                <w:rFonts w:cs="Arial"/>
                <w:color w:val="FF0000"/>
                <w:sz w:val="20"/>
                <w:szCs w:val="20"/>
              </w:rPr>
              <w:t>51.435.379</w:t>
            </w:r>
          </w:p>
        </w:tc>
      </w:tr>
      <w:tr w:rsidR="00C5245D" w:rsidRPr="00425370" w14:paraId="51F30D64" w14:textId="77777777" w:rsidTr="003A6FB5">
        <w:trPr>
          <w:trHeight w:val="255"/>
        </w:trPr>
        <w:tc>
          <w:tcPr>
            <w:tcW w:w="2664" w:type="pct"/>
            <w:tcBorders>
              <w:top w:val="nil"/>
              <w:left w:val="nil"/>
              <w:bottom w:val="single" w:sz="4" w:space="0" w:color="auto"/>
              <w:right w:val="single" w:sz="4" w:space="0" w:color="auto"/>
            </w:tcBorders>
            <w:shd w:val="clear" w:color="auto" w:fill="auto"/>
            <w:noWrap/>
            <w:vAlign w:val="center"/>
            <w:hideMark/>
          </w:tcPr>
          <w:p w14:paraId="0AF7D136" w14:textId="77777777" w:rsidR="00C5245D" w:rsidRPr="00425370" w:rsidRDefault="00C5245D" w:rsidP="003A6FB5">
            <w:pPr>
              <w:jc w:val="left"/>
              <w:rPr>
                <w:rFonts w:cs="Arial"/>
                <w:color w:val="000000"/>
                <w:sz w:val="20"/>
                <w:szCs w:val="20"/>
              </w:rPr>
            </w:pPr>
            <w:r w:rsidRPr="00425370">
              <w:rPr>
                <w:rFonts w:cs="Arial"/>
                <w:color w:val="000000"/>
                <w:sz w:val="20"/>
                <w:szCs w:val="20"/>
              </w:rPr>
              <w:t>Tribunal de Justiça</w:t>
            </w:r>
          </w:p>
        </w:tc>
        <w:tc>
          <w:tcPr>
            <w:tcW w:w="1168" w:type="pct"/>
            <w:tcBorders>
              <w:top w:val="nil"/>
              <w:left w:val="single" w:sz="4" w:space="0" w:color="auto"/>
              <w:bottom w:val="single" w:sz="4" w:space="0" w:color="auto"/>
              <w:right w:val="single" w:sz="4" w:space="0" w:color="auto"/>
            </w:tcBorders>
            <w:shd w:val="clear" w:color="auto" w:fill="auto"/>
            <w:noWrap/>
            <w:vAlign w:val="center"/>
            <w:hideMark/>
          </w:tcPr>
          <w:p w14:paraId="6021B851" w14:textId="77777777" w:rsidR="00C5245D" w:rsidRPr="00425370" w:rsidRDefault="00C5245D" w:rsidP="003A6FB5">
            <w:pPr>
              <w:jc w:val="right"/>
              <w:rPr>
                <w:rFonts w:cs="Arial"/>
                <w:color w:val="FF0000"/>
                <w:sz w:val="20"/>
                <w:szCs w:val="20"/>
              </w:rPr>
            </w:pPr>
            <w:r w:rsidRPr="00425370">
              <w:rPr>
                <w:rFonts w:cs="Arial"/>
                <w:color w:val="FF0000"/>
                <w:sz w:val="20"/>
                <w:szCs w:val="20"/>
              </w:rPr>
              <w:t>74.203.545</w:t>
            </w:r>
          </w:p>
        </w:tc>
        <w:tc>
          <w:tcPr>
            <w:tcW w:w="1168" w:type="pct"/>
            <w:tcBorders>
              <w:top w:val="nil"/>
              <w:left w:val="single" w:sz="4" w:space="0" w:color="auto"/>
              <w:bottom w:val="single" w:sz="4" w:space="0" w:color="auto"/>
              <w:right w:val="nil"/>
            </w:tcBorders>
            <w:shd w:val="clear" w:color="auto" w:fill="auto"/>
            <w:noWrap/>
            <w:vAlign w:val="center"/>
            <w:hideMark/>
          </w:tcPr>
          <w:p w14:paraId="08A8E202" w14:textId="77777777" w:rsidR="00C5245D" w:rsidRPr="00425370" w:rsidRDefault="00C5245D" w:rsidP="003A6FB5">
            <w:pPr>
              <w:jc w:val="right"/>
              <w:rPr>
                <w:rFonts w:cs="Arial"/>
                <w:color w:val="FF0000"/>
                <w:sz w:val="20"/>
                <w:szCs w:val="20"/>
              </w:rPr>
            </w:pPr>
            <w:r w:rsidRPr="00425370">
              <w:rPr>
                <w:rFonts w:cs="Arial"/>
                <w:color w:val="FF0000"/>
                <w:sz w:val="20"/>
                <w:szCs w:val="20"/>
              </w:rPr>
              <w:t>150.286.985</w:t>
            </w:r>
          </w:p>
        </w:tc>
      </w:tr>
      <w:tr w:rsidR="00C5245D" w:rsidRPr="00425370" w14:paraId="2A6D82CC" w14:textId="77777777" w:rsidTr="003A6FB5">
        <w:trPr>
          <w:trHeight w:val="333"/>
        </w:trPr>
        <w:tc>
          <w:tcPr>
            <w:tcW w:w="2664" w:type="pct"/>
            <w:tcBorders>
              <w:top w:val="nil"/>
              <w:left w:val="nil"/>
              <w:bottom w:val="single" w:sz="4" w:space="0" w:color="auto"/>
              <w:right w:val="single" w:sz="4" w:space="0" w:color="auto"/>
            </w:tcBorders>
            <w:shd w:val="clear" w:color="000000" w:fill="FFFFFF"/>
            <w:noWrap/>
            <w:vAlign w:val="center"/>
            <w:hideMark/>
          </w:tcPr>
          <w:p w14:paraId="745584AD" w14:textId="77777777" w:rsidR="00C5245D" w:rsidRPr="00425370" w:rsidRDefault="00C5245D" w:rsidP="003A6FB5">
            <w:pPr>
              <w:jc w:val="center"/>
              <w:rPr>
                <w:rFonts w:cs="Arial"/>
                <w:b/>
                <w:bCs/>
                <w:color w:val="333333"/>
                <w:sz w:val="20"/>
                <w:szCs w:val="20"/>
              </w:rPr>
            </w:pPr>
            <w:r w:rsidRPr="00425370">
              <w:rPr>
                <w:rFonts w:cs="Arial"/>
                <w:b/>
                <w:bCs/>
                <w:color w:val="333333"/>
                <w:sz w:val="20"/>
                <w:szCs w:val="20"/>
              </w:rPr>
              <w:t>Total</w:t>
            </w:r>
          </w:p>
        </w:tc>
        <w:tc>
          <w:tcPr>
            <w:tcW w:w="116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CFC867" w14:textId="77777777" w:rsidR="00C5245D" w:rsidRPr="00425370" w:rsidRDefault="00C5245D" w:rsidP="003A6FB5">
            <w:pPr>
              <w:jc w:val="right"/>
              <w:rPr>
                <w:rFonts w:cs="Arial"/>
                <w:b/>
                <w:bCs/>
                <w:color w:val="0000CC"/>
                <w:sz w:val="20"/>
                <w:szCs w:val="20"/>
              </w:rPr>
            </w:pPr>
            <w:r w:rsidRPr="00425370">
              <w:rPr>
                <w:rFonts w:cs="Arial"/>
                <w:b/>
                <w:bCs/>
                <w:color w:val="0000CC"/>
                <w:sz w:val="20"/>
                <w:szCs w:val="20"/>
              </w:rPr>
              <w:t>(152.187.302)</w:t>
            </w:r>
          </w:p>
        </w:tc>
        <w:tc>
          <w:tcPr>
            <w:tcW w:w="1168" w:type="pct"/>
            <w:tcBorders>
              <w:top w:val="single" w:sz="4" w:space="0" w:color="auto"/>
              <w:left w:val="single" w:sz="4" w:space="0" w:color="auto"/>
              <w:bottom w:val="single" w:sz="4" w:space="0" w:color="auto"/>
              <w:right w:val="nil"/>
            </w:tcBorders>
            <w:shd w:val="clear" w:color="auto" w:fill="auto"/>
            <w:noWrap/>
            <w:vAlign w:val="center"/>
            <w:hideMark/>
          </w:tcPr>
          <w:p w14:paraId="3147CC18" w14:textId="77777777" w:rsidR="00C5245D" w:rsidRPr="00425370" w:rsidRDefault="00C5245D" w:rsidP="003A6FB5">
            <w:pPr>
              <w:jc w:val="right"/>
              <w:rPr>
                <w:rFonts w:cs="Arial"/>
                <w:b/>
                <w:bCs/>
                <w:color w:val="0000CC"/>
                <w:sz w:val="20"/>
                <w:szCs w:val="20"/>
              </w:rPr>
            </w:pPr>
            <w:r w:rsidRPr="00425370">
              <w:rPr>
                <w:rFonts w:cs="Arial"/>
                <w:b/>
                <w:bCs/>
                <w:color w:val="0000CC"/>
                <w:sz w:val="20"/>
                <w:szCs w:val="20"/>
              </w:rPr>
              <w:t>(403.570.396)</w:t>
            </w:r>
          </w:p>
        </w:tc>
      </w:tr>
    </w:tbl>
    <w:p w14:paraId="463F89ED" w14:textId="77777777" w:rsidR="00C5245D" w:rsidRDefault="00C5245D" w:rsidP="00EF01A1">
      <w:pPr>
        <w:pStyle w:val="1-FONTE8ESQ"/>
        <w:rPr>
          <w:rStyle w:val="Forte"/>
          <w:b w:val="0"/>
        </w:rPr>
      </w:pPr>
      <w:r w:rsidRPr="000B1356">
        <w:rPr>
          <w:rStyle w:val="Forte"/>
          <w:b w:val="0"/>
        </w:rPr>
        <w:t xml:space="preserve">Fonte: </w:t>
      </w:r>
      <w:r>
        <w:rPr>
          <w:rStyle w:val="Forte"/>
          <w:b w:val="0"/>
        </w:rPr>
        <w:t>Nota Técnica nº 5/2024 – ECONOMIA/STE-15953 (Processo SEI nº 202300004041160)</w:t>
      </w:r>
    </w:p>
    <w:p w14:paraId="0E9B1D52" w14:textId="77777777" w:rsidR="00C5245D" w:rsidRPr="000B1356" w:rsidRDefault="00C5245D" w:rsidP="00EF01A1">
      <w:pPr>
        <w:pStyle w:val="1-FONTE8ESQ"/>
        <w:rPr>
          <w:rStyle w:val="Forte"/>
          <w:b w:val="0"/>
        </w:rPr>
      </w:pPr>
      <w:r>
        <w:rPr>
          <w:rStyle w:val="Forte"/>
          <w:b w:val="0"/>
        </w:rPr>
        <w:t>Legenda: (azul) = abaixo do limite; vermelho = acima do limite</w:t>
      </w:r>
    </w:p>
    <w:p w14:paraId="6FC08C8E" w14:textId="77777777" w:rsidR="00C5245D" w:rsidRDefault="00C5245D" w:rsidP="00C5245D">
      <w:pPr>
        <w:pStyle w:val="1-REL11"/>
        <w:rPr>
          <w:rStyle w:val="Forte"/>
          <w:b w:val="0"/>
          <w:bCs w:val="0"/>
        </w:rPr>
      </w:pPr>
      <w:r w:rsidRPr="0018404F">
        <w:rPr>
          <w:rStyle w:val="Forte"/>
          <w:b w:val="0"/>
          <w:bCs w:val="0"/>
        </w:rPr>
        <w:t xml:space="preserve">A tabela acima demonstra que, apesar do Estado estar cumprindo o limite de gastos, </w:t>
      </w:r>
      <w:r>
        <w:rPr>
          <w:rStyle w:val="Forte"/>
          <w:b w:val="0"/>
          <w:bCs w:val="0"/>
        </w:rPr>
        <w:t xml:space="preserve">apenas o Poder Executivo, o Tribunal de Contas do Estado e o Ministério Público cumpriram com o teto de gastos. Contudo, </w:t>
      </w:r>
      <w:r>
        <w:t>é importante destacar que a apuração do cumprimento do limite do teto de gastos da LC nº 159/2017 é realizado tão somente pelo resultado global obtido pelo Estado, e não por Poder e Órgão Autônomo.</w:t>
      </w:r>
    </w:p>
    <w:p w14:paraId="48DD2583" w14:textId="77777777" w:rsidR="00C5245D" w:rsidRPr="005654FA" w:rsidRDefault="00C5245D" w:rsidP="00C5245D">
      <w:pPr>
        <w:pStyle w:val="1-REL11"/>
        <w:rPr>
          <w:rStyle w:val="Forte"/>
          <w:b w:val="0"/>
          <w:bCs w:val="0"/>
        </w:rPr>
      </w:pPr>
      <w:r>
        <w:rPr>
          <w:rStyle w:val="Forte"/>
          <w:b w:val="0"/>
          <w:bCs w:val="0"/>
        </w:rPr>
        <w:lastRenderedPageBreak/>
        <w:t>Além disso, com a Emenda Constitucional Estadual nº 79, de 21 de fevereiro de 2024, que incluiu o § 8º ao art. 41 do Ato das Disposições Constitucionais Transitórias, a</w:t>
      </w:r>
      <w:r w:rsidRPr="00CF7317">
        <w:rPr>
          <w:rStyle w:val="Forte"/>
          <w:b w:val="0"/>
          <w:bCs w:val="0"/>
        </w:rPr>
        <w:t xml:space="preserve"> responsabilidade de cada Poder ou </w:t>
      </w:r>
      <w:r>
        <w:rPr>
          <w:rStyle w:val="Forte"/>
          <w:b w:val="0"/>
          <w:bCs w:val="0"/>
        </w:rPr>
        <w:t>Ó</w:t>
      </w:r>
      <w:r w:rsidRPr="00CF7317">
        <w:rPr>
          <w:rStyle w:val="Forte"/>
          <w:b w:val="0"/>
          <w:bCs w:val="0"/>
        </w:rPr>
        <w:t xml:space="preserve">rgão </w:t>
      </w:r>
      <w:r>
        <w:rPr>
          <w:rStyle w:val="Forte"/>
          <w:b w:val="0"/>
          <w:bCs w:val="0"/>
        </w:rPr>
        <w:t>A</w:t>
      </w:r>
      <w:r w:rsidRPr="00CF7317">
        <w:rPr>
          <w:rStyle w:val="Forte"/>
          <w:b w:val="0"/>
          <w:bCs w:val="0"/>
        </w:rPr>
        <w:t xml:space="preserve">utônomo será apurada apenas em caso de descumprimento do limite global </w:t>
      </w:r>
      <w:r>
        <w:rPr>
          <w:rStyle w:val="Forte"/>
          <w:b w:val="0"/>
          <w:bCs w:val="0"/>
        </w:rPr>
        <w:t>do Estado, o que não ocorreu.</w:t>
      </w:r>
    </w:p>
    <w:p w14:paraId="66F4EB3A" w14:textId="77777777" w:rsidR="00C5245D" w:rsidRPr="00513D39" w:rsidRDefault="00C5245D" w:rsidP="00C5245D">
      <w:pPr>
        <w:pStyle w:val="1-REL11"/>
        <w:rPr>
          <w:rStyle w:val="Forte"/>
          <w:b w:val="0"/>
          <w:bCs w:val="0"/>
        </w:rPr>
      </w:pPr>
      <w:r>
        <w:rPr>
          <w:rStyle w:val="Forte"/>
          <w:b w:val="0"/>
          <w:bCs w:val="0"/>
        </w:rPr>
        <w:t>R</w:t>
      </w:r>
      <w:r w:rsidRPr="005654FA">
        <w:rPr>
          <w:rStyle w:val="Forte"/>
          <w:b w:val="0"/>
          <w:bCs w:val="0"/>
        </w:rPr>
        <w:t>essalta-se</w:t>
      </w:r>
      <w:r>
        <w:rPr>
          <w:rStyle w:val="Forte"/>
          <w:b w:val="0"/>
          <w:bCs w:val="0"/>
        </w:rPr>
        <w:t>, entretanto,</w:t>
      </w:r>
      <w:r w:rsidRPr="005654FA">
        <w:rPr>
          <w:rStyle w:val="Forte"/>
          <w:b w:val="0"/>
          <w:bCs w:val="0"/>
        </w:rPr>
        <w:t xml:space="preserve"> que a situação merece atenção quanto ao rigor no acompanhamento e moderação na gestão dos gastos por parte de todos os Poderes e Órgãos Autônomos estaduais pois, caso persista, poder</w:t>
      </w:r>
      <w:r>
        <w:rPr>
          <w:rStyle w:val="Forte"/>
          <w:b w:val="0"/>
          <w:bCs w:val="0"/>
        </w:rPr>
        <w:t>á</w:t>
      </w:r>
      <w:r w:rsidRPr="0018404F">
        <w:rPr>
          <w:rStyle w:val="Forte"/>
          <w:b w:val="0"/>
          <w:bCs w:val="0"/>
        </w:rPr>
        <w:t xml:space="preserve"> comprometer os resultados c</w:t>
      </w:r>
      <w:r w:rsidRPr="00513D39">
        <w:rPr>
          <w:rStyle w:val="Forte"/>
          <w:b w:val="0"/>
          <w:bCs w:val="0"/>
        </w:rPr>
        <w:t>onsolidados dos próximos exercícios e, como consequência, importar</w:t>
      </w:r>
      <w:r>
        <w:rPr>
          <w:rStyle w:val="Forte"/>
          <w:b w:val="0"/>
          <w:bCs w:val="0"/>
        </w:rPr>
        <w:t xml:space="preserve">á em </w:t>
      </w:r>
      <w:r w:rsidRPr="00513D39">
        <w:rPr>
          <w:rStyle w:val="Forte"/>
          <w:b w:val="0"/>
          <w:bCs w:val="0"/>
        </w:rPr>
        <w:t xml:space="preserve">uma possível extinção do RRF, nos termos do inciso II e </w:t>
      </w:r>
      <w:r>
        <w:rPr>
          <w:rStyle w:val="Forte"/>
          <w:b w:val="0"/>
          <w:bCs w:val="0"/>
        </w:rPr>
        <w:t>P</w:t>
      </w:r>
      <w:r w:rsidRPr="00513D39">
        <w:rPr>
          <w:rStyle w:val="Forte"/>
          <w:b w:val="0"/>
          <w:bCs w:val="0"/>
        </w:rPr>
        <w:t xml:space="preserve">arágrafo </w:t>
      </w:r>
      <w:r>
        <w:rPr>
          <w:rStyle w:val="Forte"/>
          <w:b w:val="0"/>
          <w:bCs w:val="0"/>
        </w:rPr>
        <w:t>Ú</w:t>
      </w:r>
      <w:r w:rsidRPr="00513D39">
        <w:rPr>
          <w:rStyle w:val="Forte"/>
          <w:b w:val="0"/>
          <w:bCs w:val="0"/>
        </w:rPr>
        <w:t xml:space="preserve">nico do art. 13, da LC nº 159/2017, bem como </w:t>
      </w:r>
      <w:r>
        <w:rPr>
          <w:rStyle w:val="Forte"/>
          <w:b w:val="0"/>
          <w:bCs w:val="0"/>
        </w:rPr>
        <w:t>nas</w:t>
      </w:r>
      <w:r w:rsidRPr="00513D39">
        <w:rPr>
          <w:rStyle w:val="Forte"/>
          <w:b w:val="0"/>
          <w:bCs w:val="0"/>
        </w:rPr>
        <w:t xml:space="preserve"> punições previstas no art.</w:t>
      </w:r>
      <w:r>
        <w:rPr>
          <w:rStyle w:val="Forte"/>
          <w:b w:val="0"/>
          <w:bCs w:val="0"/>
        </w:rPr>
        <w:t> </w:t>
      </w:r>
      <w:r w:rsidRPr="00513D39">
        <w:rPr>
          <w:rStyle w:val="Forte"/>
          <w:b w:val="0"/>
          <w:bCs w:val="0"/>
        </w:rPr>
        <w:t>17-A.</w:t>
      </w:r>
    </w:p>
    <w:p w14:paraId="5CF10BB3" w14:textId="77777777" w:rsidR="00C5245D" w:rsidRPr="005654FA" w:rsidRDefault="00C5245D" w:rsidP="00C5245D">
      <w:pPr>
        <w:pStyle w:val="1-REL11"/>
        <w:rPr>
          <w:rStyle w:val="Forte"/>
          <w:b w:val="0"/>
          <w:bCs w:val="0"/>
        </w:rPr>
      </w:pPr>
      <w:r w:rsidRPr="005654FA">
        <w:t>S</w:t>
      </w:r>
      <w:r w:rsidRPr="0018404F">
        <w:t>abe-se que a STN e o Conselho de Supervisão do RRF aprovaram uma revisão do PRF, proposta pelo estado de Goiás, em que as principais alterações foram a antecipação de seu encerramento para</w:t>
      </w:r>
      <w:r>
        <w:t xml:space="preserve"> o exercício de</w:t>
      </w:r>
      <w:r w:rsidRPr="00513D39">
        <w:t xml:space="preserve"> 2027, a exclusão da venda de ações da Saneago, e ainda prevê duas operações de crédito e alienação da Companhia Celg de Participações S/A (Celgpar). </w:t>
      </w:r>
      <w:r w:rsidRPr="0018404F">
        <w:t>No entanto, resta-se pendente a aprovação do Ministro da Fazenda.</w:t>
      </w:r>
    </w:p>
    <w:p w14:paraId="265AC6FE" w14:textId="77777777" w:rsidR="00C5245D" w:rsidRPr="00513D39" w:rsidRDefault="00C5245D" w:rsidP="00C5245D">
      <w:pPr>
        <w:pStyle w:val="1-REL11"/>
      </w:pPr>
      <w:r w:rsidRPr="005654FA">
        <w:rPr>
          <w:rStyle w:val="Forte"/>
          <w:b w:val="0"/>
          <w:bCs w:val="0"/>
        </w:rPr>
        <w:t>Ademais, no Parecer Prévio das Contas Anuais do Governador de 2022</w:t>
      </w:r>
      <w:r w:rsidRPr="00513D39">
        <w:rPr>
          <w:rStyle w:val="Refdenotaderodap"/>
          <w:bCs/>
        </w:rPr>
        <w:footnoteReference w:id="14"/>
      </w:r>
      <w:r w:rsidRPr="0018404F">
        <w:rPr>
          <w:rStyle w:val="Forte"/>
          <w:b w:val="0"/>
          <w:bCs w:val="0"/>
        </w:rPr>
        <w:t xml:space="preserve">, emitiu-se </w:t>
      </w:r>
      <w:r w:rsidRPr="00513D39">
        <w:rPr>
          <w:rStyle w:val="Forte"/>
          <w:b w:val="0"/>
          <w:bCs w:val="0"/>
        </w:rPr>
        <w:t xml:space="preserve">recomendação aos Poderes e Órgãos Autônomos (Recomendação nº 11) para que encaminhassem previamente à </w:t>
      </w:r>
      <w:r w:rsidRPr="00513D39">
        <w:t>Assessoria Especial de Monitoramento Fiscal e Planejamento Financeiro (AEMFPF), junto à ECONOMIA, todos os projetos ou atos administrativos que poderiam impactar orçamentária e financeiramente as contas estaduais, para que fossem analisados à luz das vedações previstas no art. 8º da LC nº 159/2017.</w:t>
      </w:r>
    </w:p>
    <w:p w14:paraId="0390C682" w14:textId="10BB3453" w:rsidR="00C5245D" w:rsidRDefault="00C5245D" w:rsidP="00C5245D">
      <w:pPr>
        <w:pStyle w:val="1-REL11"/>
      </w:pPr>
      <w:r w:rsidRPr="0018404F">
        <w:t>Assim, solicitou-se informações à AEMFPF que, por meio do Despacho nº 121/2024/ECONOMIA/AEMFPF-20177 (</w:t>
      </w:r>
      <w:r>
        <w:t>p</w:t>
      </w:r>
      <w:r w:rsidRPr="0018404F">
        <w:t xml:space="preserve">rocesso nº 202300047001912, evento 270), relatou que a maioria dos projetos dessa natureza foi previamente por ela conhecido, porém, no anexo que detalha todos </w:t>
      </w:r>
      <w:r>
        <w:t xml:space="preserve">os </w:t>
      </w:r>
      <w:r w:rsidRPr="00513D39">
        <w:t>projetos e atos administrativos do exercício de 2023 (</w:t>
      </w:r>
      <w:r>
        <w:t>p</w:t>
      </w:r>
      <w:r w:rsidRPr="00513D39">
        <w:t>rocesso nº 202300047001912, evento 272)</w:t>
      </w:r>
      <w:r w:rsidRPr="0018404F">
        <w:t>, na coluna “MOMENTO”, identificou-se situações que possuem a informação “Projeto enviado para a CSRRF sem conhecimento da Assessoria”, ou seja, nem todos os projetos e atos administrativos que impactam as contas públicas foram previamente comunicados à AEMFPF.</w:t>
      </w:r>
    </w:p>
    <w:p w14:paraId="73531DFC" w14:textId="77777777" w:rsidR="006C6C7A" w:rsidRPr="00EA084D" w:rsidRDefault="006C6C7A" w:rsidP="006C6C7A">
      <w:pPr>
        <w:pStyle w:val="0-ACH-TIT"/>
      </w:pPr>
      <w:r w:rsidRPr="00EA084D">
        <w:t xml:space="preserve">&gt;&gt; </w:t>
      </w:r>
      <w:r w:rsidRPr="006C6C7A">
        <w:t>Deficiência no encaminhamento à AEMFPF todos os projetos e atos administrativos que possam impactar orçamentária e financeiramente as contas públicas estaduais</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6C6C7A" w:rsidRPr="009C6508" w14:paraId="0DE73994" w14:textId="77777777" w:rsidTr="00BE34DB">
        <w:trPr>
          <w:trHeight w:val="629"/>
          <w:jc w:val="center"/>
        </w:trPr>
        <w:tc>
          <w:tcPr>
            <w:tcW w:w="6237" w:type="dxa"/>
            <w:vAlign w:val="center"/>
            <w:hideMark/>
          </w:tcPr>
          <w:p w14:paraId="56B236A5" w14:textId="77777777" w:rsidR="006C6C7A" w:rsidRPr="005A18D2" w:rsidRDefault="006C6C7A" w:rsidP="00BE34DB">
            <w:pPr>
              <w:pStyle w:val="0-ACH-TXT"/>
              <w:rPr>
                <w:highlight w:val="yellow"/>
                <w:u w:val="single"/>
              </w:rPr>
            </w:pPr>
            <w:r w:rsidRPr="006C6C7A">
              <w:t xml:space="preserve">Ausência de encaminhamento prévio à Assessoria de Monitoramento Fiscal e Planejamento Financeiro da Secretaria de Estado da Economia da totalidade dos projetos e atos administrativos que tragam potencial impacto orçamentário e financeiro nas contas </w:t>
            </w:r>
            <w:r w:rsidRPr="006C6C7A">
              <w:lastRenderedPageBreak/>
              <w:t>públicas estaduais, para fins de análise e mitigação dos riscos de descumprimento das vedações do art. 8º da LC nº 159/2017 (RRF).</w:t>
            </w:r>
          </w:p>
        </w:tc>
      </w:tr>
    </w:tbl>
    <w:p w14:paraId="22E5D460" w14:textId="0E2191DB" w:rsidR="006C6C7A" w:rsidRPr="0018404F" w:rsidRDefault="006C6C7A" w:rsidP="00C5245D">
      <w:pPr>
        <w:pStyle w:val="1-REL11"/>
      </w:pPr>
      <w:r>
        <w:lastRenderedPageBreak/>
        <w:t xml:space="preserve">Portanto, sugere-se </w:t>
      </w:r>
      <w:r w:rsidRPr="006C6C7A">
        <w:t>ao Tribunal de Contas do Estado de Goiás que determine a todos os Poderes e Órgãos Autônomos que encaminhem, de forma prévia, todos os projetos que possam impactar orçamentária e financeiramente as contas públicas estaduais à AEMFPF junto à ECONOMIA, para serem analisados e mitigados os riscos inerentes às vedações previstas no art. 8º da LC nº 159/2017, e assim evitar, consequentemente, uma possível extinção do RRF.</w:t>
      </w:r>
    </w:p>
    <w:p w14:paraId="1389CEF8" w14:textId="77777777" w:rsidR="005B71F1" w:rsidRPr="00B215AC" w:rsidRDefault="005B71F1" w:rsidP="00B000B6">
      <w:pPr>
        <w:pStyle w:val="Ttulo2"/>
        <w:numPr>
          <w:ilvl w:val="1"/>
          <w:numId w:val="37"/>
        </w:numPr>
      </w:pPr>
      <w:bookmarkStart w:id="237" w:name="_Toc167871689"/>
      <w:r w:rsidRPr="00B215AC">
        <w:t>Renúncia de Receitas</w:t>
      </w:r>
      <w:bookmarkEnd w:id="237"/>
    </w:p>
    <w:p w14:paraId="26CFEAD4" w14:textId="77777777" w:rsidR="008B144A" w:rsidRPr="00655FF7" w:rsidRDefault="008B144A" w:rsidP="008B144A">
      <w:pPr>
        <w:pStyle w:val="1-REL11"/>
      </w:pPr>
      <w:r w:rsidRPr="008314D2">
        <w:t xml:space="preserve">Esta seção </w:t>
      </w:r>
      <w:r>
        <w:t>destina-se a avaliar aspectos relacionados à r</w:t>
      </w:r>
      <w:r w:rsidRPr="008314D2">
        <w:t xml:space="preserve">enúncia de </w:t>
      </w:r>
      <w:r>
        <w:t>r</w:t>
      </w:r>
      <w:r w:rsidRPr="008314D2">
        <w:t xml:space="preserve">eceita </w:t>
      </w:r>
      <w:r>
        <w:t>no estado</w:t>
      </w:r>
      <w:r w:rsidRPr="008314D2">
        <w:t xml:space="preserve"> </w:t>
      </w:r>
      <w:r>
        <w:t>de Goiás e consiste na análise d</w:t>
      </w:r>
      <w:r w:rsidRPr="008314D2">
        <w:t xml:space="preserve">os valores </w:t>
      </w:r>
      <w:r>
        <w:t>estimados e benefícios concedidos no exercício, em observância às normas constitucionais, legais e regulamentares pertinentes, em especial ao que estabelece a Lei</w:t>
      </w:r>
      <w:r w:rsidRPr="008314D2">
        <w:t xml:space="preserve"> Complementar nº 101, de 04 de maio de 2000 - Lei de Responsabilidade Fiscal (LRF)</w:t>
      </w:r>
      <w:r>
        <w:t xml:space="preserve">, a </w:t>
      </w:r>
      <w:r w:rsidRPr="00655FF7">
        <w:t>Lei de Diretrizes Orçamentárias (LDO)</w:t>
      </w:r>
      <w:r>
        <w:t xml:space="preserve">, </w:t>
      </w:r>
      <w:r w:rsidRPr="00655FF7">
        <w:t>a Lei Orçamentária Anual (LOA)</w:t>
      </w:r>
      <w:r>
        <w:t xml:space="preserve"> e o Manual de Contabilidade Aplicada ao Setor Público (MCASP)</w:t>
      </w:r>
      <w:r w:rsidRPr="00655FF7">
        <w:t>.</w:t>
      </w:r>
    </w:p>
    <w:p w14:paraId="117080B7" w14:textId="77777777" w:rsidR="008B144A" w:rsidRPr="004C79A3" w:rsidRDefault="008B144A" w:rsidP="008B144A">
      <w:pPr>
        <w:pStyle w:val="1-REL11"/>
      </w:pPr>
      <w:r w:rsidRPr="000B7A3A">
        <w:t xml:space="preserve">Assim, esclarece-se que </w:t>
      </w:r>
      <w:r>
        <w:t xml:space="preserve">nas análises a seguir </w:t>
      </w:r>
      <w:r w:rsidRPr="000B7A3A">
        <w:t xml:space="preserve">não </w:t>
      </w:r>
      <w:r>
        <w:t>será</w:t>
      </w:r>
      <w:r w:rsidRPr="000B7A3A">
        <w:t xml:space="preserve"> feito juízo d</w:t>
      </w:r>
      <w:r>
        <w:t xml:space="preserve">e valor sobre a metodologia adotada e os possíveis resultados alcançados em razão das estratégias de desenvolvimento regional implementadas pelo governo para atrair investimentos e impulsionar a economia local por meio de incentivos fiscais. O objetivo é avaliar se os requisitos mínimos exigidos para concessão de benefícios fiscais estão sendo observados pelo ente concessor, apresentando os dados relativos ao exercício em análises e seus respectivos </w:t>
      </w:r>
      <w:r w:rsidRPr="004C79A3">
        <w:t>registros.</w:t>
      </w:r>
    </w:p>
    <w:p w14:paraId="24069AB7" w14:textId="77777777" w:rsidR="008B144A" w:rsidRPr="004C79A3" w:rsidRDefault="008B144A" w:rsidP="008B144A">
      <w:pPr>
        <w:pStyle w:val="1-REL11"/>
      </w:pPr>
      <w:r w:rsidRPr="004C79A3">
        <w:t>Conforme § 1º, art. 14, da LRF, a renúncia compreende a anistia, remissão, subsídio, crédito presumido, concessão de isenção em caráter não geral, alteração de alíquota ou modificação de base de cálculo que implique redução discriminada de tributos ou contribuições, e outros benefícios que correspondam a tratamento diferenciado.</w:t>
      </w:r>
    </w:p>
    <w:p w14:paraId="2C6A14BB" w14:textId="77777777" w:rsidR="008B144A" w:rsidRDefault="008B144A" w:rsidP="008B144A">
      <w:pPr>
        <w:pStyle w:val="1-REL11"/>
      </w:pPr>
      <w:r>
        <w:t>Em Goiás, os principais benefícios fiscais concedidos são os decorrentes dos programas Produzir – Lei Estadual nº 13.591, de 18 de janeiro de 2000; Fomentar – Lei Estadual nº 3.822, de 10 de julho de 1992; e ProGoiás – Lei Estadual nº 20.787, de 03 de junho de 2020. Os demais encontram-se sistematizados no Anexo IX, do Decreto Estadual nº 4.852, de 29 de dezembro de 1997 (Regulamento do Código Tributário Estadual), que dentre outras disposições regulamenta os artigos 41 e 42 da Lei Estadual nº 11.651, de 26 de dezembro de 1991 (Código Tributário Estadual).</w:t>
      </w:r>
    </w:p>
    <w:p w14:paraId="7CAA10E3" w14:textId="77777777" w:rsidR="008B144A" w:rsidRPr="00A846A3" w:rsidRDefault="008B144A" w:rsidP="00A224E9">
      <w:pPr>
        <w:pStyle w:val="Ttulo3"/>
      </w:pPr>
      <w:bookmarkStart w:id="238" w:name="_Toc167871690"/>
      <w:r w:rsidRPr="00A846A3">
        <w:t>Estimativa da Renúncia de Receita</w:t>
      </w:r>
      <w:bookmarkEnd w:id="238"/>
    </w:p>
    <w:p w14:paraId="2356D532" w14:textId="77777777" w:rsidR="008B144A" w:rsidRDefault="008B144A" w:rsidP="008B144A">
      <w:pPr>
        <w:pStyle w:val="1-REL11"/>
      </w:pPr>
      <w:r w:rsidRPr="00FD0C02">
        <w:t xml:space="preserve">O art. 14 da LRF destaca que qualquer ato que importe renúncia de receita deve ser precedido de estudo e planejamento para que seja possível identificar as consequências imediatas e futuras </w:t>
      </w:r>
      <w:r w:rsidRPr="00FD0C02">
        <w:lastRenderedPageBreak/>
        <w:t>sobre a arrecadação e as metas de resultados fiscais</w:t>
      </w:r>
      <w:r>
        <w:t>, e que deverá atender a pelo menos uma das seguintes condições: demonstração de que a renúncia foi considerada na estimativa de receitas e de que não afetará as metas de resultados fiscais prevista no Anexo de Metas Fiscais da LDO (inciso I); ou estar acompanhada de medidas de compensação em virtude de sua concessão ou ampliação (inciso II).</w:t>
      </w:r>
    </w:p>
    <w:p w14:paraId="553D9509" w14:textId="52037A61" w:rsidR="008B144A" w:rsidRDefault="008B144A" w:rsidP="008B144A">
      <w:pPr>
        <w:pStyle w:val="1-REL11"/>
      </w:pPr>
      <w:r>
        <w:t>Examinando a LDO 2023</w:t>
      </w:r>
      <w:r>
        <w:rPr>
          <w:rStyle w:val="Refdenotaderodap"/>
        </w:rPr>
        <w:footnoteReference w:id="15"/>
      </w:r>
      <w:r>
        <w:t>, em especial o Anexo I – Metas Fiscais, extrai-se as seguintes informações relativas à estimativa da renúncia de receita e às metais anuais de previsão da receita tributária:</w:t>
      </w:r>
    </w:p>
    <w:p w14:paraId="0B63E2CC" w14:textId="77777777" w:rsidR="00A21ECA" w:rsidRPr="00E8185E" w:rsidRDefault="00A21ECA" w:rsidP="00ED3571">
      <w:pPr>
        <w:pStyle w:val="0-TABELA"/>
      </w:pPr>
      <w:bookmarkStart w:id="239" w:name="_Toc167871782"/>
      <w:r w:rsidRPr="00E8185E">
        <w:t>Estimativa da Renúncia de Receita x Previsão da Receita Tributária</w:t>
      </w:r>
      <w:bookmarkEnd w:id="239"/>
    </w:p>
    <w:p w14:paraId="1200711F" w14:textId="77777777" w:rsidR="00A21ECA" w:rsidRDefault="00A21ECA" w:rsidP="00A21ECA">
      <w:pPr>
        <w:pStyle w:val="0-EmR1"/>
      </w:pPr>
      <w:r w:rsidRPr="00E8185E">
        <w:t>R$ 1</w:t>
      </w:r>
    </w:p>
    <w:tbl>
      <w:tblPr>
        <w:tblW w:w="5000" w:type="pct"/>
        <w:tblLayout w:type="fixed"/>
        <w:tblCellMar>
          <w:left w:w="70" w:type="dxa"/>
          <w:right w:w="70" w:type="dxa"/>
        </w:tblCellMar>
        <w:tblLook w:val="04A0" w:firstRow="1" w:lastRow="0" w:firstColumn="1" w:lastColumn="0" w:noHBand="0" w:noVBand="1"/>
      </w:tblPr>
      <w:tblGrid>
        <w:gridCol w:w="4254"/>
        <w:gridCol w:w="1700"/>
        <w:gridCol w:w="1700"/>
        <w:gridCol w:w="1699"/>
      </w:tblGrid>
      <w:tr w:rsidR="00A21ECA" w:rsidRPr="00425370" w14:paraId="4F3F98FA" w14:textId="77777777" w:rsidTr="00443EFE">
        <w:trPr>
          <w:trHeight w:val="340"/>
          <w:tblHeader/>
        </w:trPr>
        <w:tc>
          <w:tcPr>
            <w:tcW w:w="2274" w:type="pct"/>
            <w:vMerge w:val="restart"/>
            <w:tcBorders>
              <w:top w:val="single" w:sz="4" w:space="0" w:color="auto"/>
              <w:left w:val="nil"/>
              <w:bottom w:val="single" w:sz="4" w:space="0" w:color="auto"/>
              <w:right w:val="single" w:sz="4" w:space="0" w:color="auto"/>
            </w:tcBorders>
            <w:shd w:val="clear" w:color="000000" w:fill="A1F2FD"/>
            <w:vAlign w:val="center"/>
            <w:hideMark/>
          </w:tcPr>
          <w:p w14:paraId="360070E7" w14:textId="77777777" w:rsidR="00A21ECA" w:rsidRPr="00425370" w:rsidRDefault="00A21ECA" w:rsidP="009D596B">
            <w:pPr>
              <w:jc w:val="center"/>
              <w:rPr>
                <w:rFonts w:cs="Arial"/>
                <w:b/>
                <w:bCs/>
                <w:color w:val="000000"/>
                <w:sz w:val="20"/>
                <w:szCs w:val="20"/>
              </w:rPr>
            </w:pPr>
            <w:r w:rsidRPr="00425370">
              <w:rPr>
                <w:rFonts w:cs="Arial"/>
                <w:b/>
                <w:bCs/>
                <w:color w:val="000000"/>
                <w:sz w:val="20"/>
                <w:szCs w:val="20"/>
              </w:rPr>
              <w:t>Descrição</w:t>
            </w:r>
          </w:p>
        </w:tc>
        <w:tc>
          <w:tcPr>
            <w:tcW w:w="2726" w:type="pct"/>
            <w:gridSpan w:val="3"/>
            <w:tcBorders>
              <w:top w:val="single" w:sz="4" w:space="0" w:color="auto"/>
              <w:left w:val="nil"/>
              <w:bottom w:val="single" w:sz="4" w:space="0" w:color="auto"/>
            </w:tcBorders>
            <w:shd w:val="clear" w:color="000000" w:fill="A1F2FD"/>
            <w:vAlign w:val="center"/>
            <w:hideMark/>
          </w:tcPr>
          <w:p w14:paraId="49F82210" w14:textId="77777777" w:rsidR="00A21ECA" w:rsidRPr="00425370" w:rsidRDefault="00A21ECA" w:rsidP="009D596B">
            <w:pPr>
              <w:jc w:val="center"/>
              <w:rPr>
                <w:rFonts w:cs="Arial"/>
                <w:b/>
                <w:bCs/>
                <w:color w:val="000000"/>
                <w:sz w:val="20"/>
                <w:szCs w:val="20"/>
              </w:rPr>
            </w:pPr>
            <w:r w:rsidRPr="00425370">
              <w:rPr>
                <w:rFonts w:cs="Arial"/>
                <w:b/>
                <w:bCs/>
                <w:color w:val="000000"/>
                <w:sz w:val="20"/>
                <w:szCs w:val="20"/>
              </w:rPr>
              <w:t>LDO 2023</w:t>
            </w:r>
          </w:p>
        </w:tc>
      </w:tr>
      <w:tr w:rsidR="00A21ECA" w:rsidRPr="00425370" w14:paraId="3AFD7E9A" w14:textId="77777777" w:rsidTr="00443EFE">
        <w:trPr>
          <w:trHeight w:val="340"/>
          <w:tblHeader/>
        </w:trPr>
        <w:tc>
          <w:tcPr>
            <w:tcW w:w="2274" w:type="pct"/>
            <w:vMerge/>
            <w:tcBorders>
              <w:top w:val="single" w:sz="4" w:space="0" w:color="auto"/>
              <w:left w:val="nil"/>
              <w:bottom w:val="single" w:sz="4" w:space="0" w:color="auto"/>
              <w:right w:val="single" w:sz="4" w:space="0" w:color="auto"/>
            </w:tcBorders>
            <w:vAlign w:val="center"/>
            <w:hideMark/>
          </w:tcPr>
          <w:p w14:paraId="55DC8E81" w14:textId="77777777" w:rsidR="00A21ECA" w:rsidRPr="00425370" w:rsidRDefault="00A21ECA" w:rsidP="009D596B">
            <w:pPr>
              <w:jc w:val="left"/>
              <w:rPr>
                <w:rFonts w:cs="Arial"/>
                <w:b/>
                <w:bCs/>
                <w:color w:val="000000"/>
                <w:sz w:val="20"/>
                <w:szCs w:val="20"/>
              </w:rPr>
            </w:pPr>
          </w:p>
        </w:tc>
        <w:tc>
          <w:tcPr>
            <w:tcW w:w="909" w:type="pct"/>
            <w:tcBorders>
              <w:top w:val="nil"/>
              <w:left w:val="nil"/>
              <w:bottom w:val="single" w:sz="4" w:space="0" w:color="auto"/>
              <w:right w:val="single" w:sz="4" w:space="0" w:color="auto"/>
            </w:tcBorders>
            <w:shd w:val="clear" w:color="000000" w:fill="A1F2FD"/>
            <w:vAlign w:val="center"/>
            <w:hideMark/>
          </w:tcPr>
          <w:p w14:paraId="0953C2FC" w14:textId="77777777" w:rsidR="00A21ECA" w:rsidRPr="00425370" w:rsidRDefault="00A21ECA" w:rsidP="009D596B">
            <w:pPr>
              <w:jc w:val="center"/>
              <w:rPr>
                <w:rFonts w:cs="Arial"/>
                <w:b/>
                <w:bCs/>
                <w:color w:val="000000"/>
                <w:sz w:val="20"/>
                <w:szCs w:val="20"/>
              </w:rPr>
            </w:pPr>
            <w:r w:rsidRPr="00425370">
              <w:rPr>
                <w:rFonts w:cs="Arial"/>
                <w:b/>
                <w:bCs/>
                <w:color w:val="000000"/>
                <w:sz w:val="20"/>
                <w:szCs w:val="20"/>
              </w:rPr>
              <w:t>2023</w:t>
            </w:r>
          </w:p>
        </w:tc>
        <w:tc>
          <w:tcPr>
            <w:tcW w:w="909" w:type="pct"/>
            <w:tcBorders>
              <w:top w:val="nil"/>
              <w:left w:val="nil"/>
              <w:bottom w:val="single" w:sz="4" w:space="0" w:color="auto"/>
              <w:right w:val="single" w:sz="4" w:space="0" w:color="auto"/>
            </w:tcBorders>
            <w:shd w:val="clear" w:color="000000" w:fill="A1F2FD"/>
            <w:vAlign w:val="center"/>
            <w:hideMark/>
          </w:tcPr>
          <w:p w14:paraId="6D6BE209" w14:textId="77777777" w:rsidR="00A21ECA" w:rsidRPr="00425370" w:rsidRDefault="00A21ECA" w:rsidP="009D596B">
            <w:pPr>
              <w:jc w:val="center"/>
              <w:rPr>
                <w:rFonts w:cs="Arial"/>
                <w:b/>
                <w:bCs/>
                <w:color w:val="000000"/>
                <w:sz w:val="20"/>
                <w:szCs w:val="20"/>
              </w:rPr>
            </w:pPr>
            <w:r w:rsidRPr="00425370">
              <w:rPr>
                <w:rFonts w:cs="Arial"/>
                <w:b/>
                <w:bCs/>
                <w:color w:val="000000"/>
                <w:sz w:val="20"/>
                <w:szCs w:val="20"/>
              </w:rPr>
              <w:t>2024</w:t>
            </w:r>
          </w:p>
        </w:tc>
        <w:tc>
          <w:tcPr>
            <w:tcW w:w="908" w:type="pct"/>
            <w:tcBorders>
              <w:top w:val="nil"/>
              <w:left w:val="nil"/>
              <w:bottom w:val="single" w:sz="4" w:space="0" w:color="auto"/>
              <w:right w:val="nil"/>
            </w:tcBorders>
            <w:shd w:val="clear" w:color="000000" w:fill="A1F2FD"/>
            <w:vAlign w:val="center"/>
            <w:hideMark/>
          </w:tcPr>
          <w:p w14:paraId="5ECB5EB7" w14:textId="77777777" w:rsidR="00A21ECA" w:rsidRPr="00425370" w:rsidRDefault="00A21ECA" w:rsidP="009D596B">
            <w:pPr>
              <w:jc w:val="center"/>
              <w:rPr>
                <w:rFonts w:cs="Arial"/>
                <w:b/>
                <w:bCs/>
                <w:color w:val="000000"/>
                <w:sz w:val="20"/>
                <w:szCs w:val="20"/>
              </w:rPr>
            </w:pPr>
            <w:r w:rsidRPr="00425370">
              <w:rPr>
                <w:rFonts w:cs="Arial"/>
                <w:b/>
                <w:bCs/>
                <w:color w:val="000000"/>
                <w:sz w:val="20"/>
                <w:szCs w:val="20"/>
              </w:rPr>
              <w:t>2025</w:t>
            </w:r>
          </w:p>
        </w:tc>
      </w:tr>
      <w:tr w:rsidR="00A21ECA" w:rsidRPr="00425370" w14:paraId="08B93A18" w14:textId="77777777" w:rsidTr="00443EFE">
        <w:trPr>
          <w:trHeight w:val="340"/>
        </w:trPr>
        <w:tc>
          <w:tcPr>
            <w:tcW w:w="2274" w:type="pct"/>
            <w:tcBorders>
              <w:top w:val="nil"/>
              <w:left w:val="nil"/>
              <w:right w:val="single" w:sz="4" w:space="0" w:color="auto"/>
            </w:tcBorders>
            <w:shd w:val="clear" w:color="auto" w:fill="auto"/>
            <w:noWrap/>
            <w:vAlign w:val="center"/>
            <w:hideMark/>
          </w:tcPr>
          <w:p w14:paraId="29EEB7E8" w14:textId="77777777" w:rsidR="00A21ECA" w:rsidRPr="00425370" w:rsidRDefault="00A21ECA" w:rsidP="00C26926">
            <w:pPr>
              <w:ind w:left="72"/>
              <w:jc w:val="left"/>
              <w:rPr>
                <w:rFonts w:cs="Arial"/>
                <w:color w:val="000000"/>
                <w:sz w:val="20"/>
                <w:szCs w:val="20"/>
              </w:rPr>
            </w:pPr>
            <w:r w:rsidRPr="00425370">
              <w:rPr>
                <w:rFonts w:cs="Arial"/>
                <w:color w:val="000000"/>
                <w:sz w:val="20"/>
                <w:szCs w:val="20"/>
              </w:rPr>
              <w:t>Receita Tributária Prevista</w:t>
            </w:r>
          </w:p>
        </w:tc>
        <w:tc>
          <w:tcPr>
            <w:tcW w:w="909" w:type="pct"/>
            <w:tcBorders>
              <w:top w:val="nil"/>
              <w:left w:val="nil"/>
              <w:right w:val="single" w:sz="4" w:space="0" w:color="auto"/>
            </w:tcBorders>
            <w:shd w:val="clear" w:color="auto" w:fill="auto"/>
            <w:noWrap/>
            <w:vAlign w:val="center"/>
            <w:hideMark/>
          </w:tcPr>
          <w:p w14:paraId="46121094" w14:textId="77777777" w:rsidR="00A21ECA" w:rsidRPr="00425370" w:rsidRDefault="00A21ECA" w:rsidP="009D596B">
            <w:pPr>
              <w:jc w:val="right"/>
              <w:rPr>
                <w:rFonts w:cs="Arial"/>
                <w:color w:val="000000"/>
                <w:sz w:val="20"/>
                <w:szCs w:val="20"/>
              </w:rPr>
            </w:pPr>
            <w:r w:rsidRPr="00425370">
              <w:rPr>
                <w:rFonts w:cs="Arial"/>
                <w:color w:val="000000"/>
                <w:sz w:val="20"/>
                <w:szCs w:val="20"/>
              </w:rPr>
              <w:t>22.465.996.070</w:t>
            </w:r>
          </w:p>
        </w:tc>
        <w:tc>
          <w:tcPr>
            <w:tcW w:w="909" w:type="pct"/>
            <w:tcBorders>
              <w:top w:val="nil"/>
              <w:left w:val="nil"/>
              <w:right w:val="single" w:sz="4" w:space="0" w:color="auto"/>
            </w:tcBorders>
            <w:shd w:val="clear" w:color="auto" w:fill="auto"/>
            <w:noWrap/>
            <w:vAlign w:val="center"/>
            <w:hideMark/>
          </w:tcPr>
          <w:p w14:paraId="3E12DAAD" w14:textId="77777777" w:rsidR="00A21ECA" w:rsidRPr="00425370" w:rsidRDefault="00A21ECA" w:rsidP="009D596B">
            <w:pPr>
              <w:jc w:val="right"/>
              <w:rPr>
                <w:rFonts w:cs="Arial"/>
                <w:color w:val="000000"/>
                <w:sz w:val="20"/>
                <w:szCs w:val="20"/>
              </w:rPr>
            </w:pPr>
            <w:r w:rsidRPr="00425370">
              <w:rPr>
                <w:rFonts w:cs="Arial"/>
                <w:color w:val="000000"/>
                <w:sz w:val="20"/>
                <w:szCs w:val="20"/>
              </w:rPr>
              <w:t>23.579.462.652</w:t>
            </w:r>
          </w:p>
        </w:tc>
        <w:tc>
          <w:tcPr>
            <w:tcW w:w="908" w:type="pct"/>
            <w:tcBorders>
              <w:top w:val="nil"/>
              <w:left w:val="nil"/>
              <w:right w:val="nil"/>
            </w:tcBorders>
            <w:shd w:val="clear" w:color="auto" w:fill="auto"/>
            <w:noWrap/>
            <w:vAlign w:val="center"/>
            <w:hideMark/>
          </w:tcPr>
          <w:p w14:paraId="745C01AD" w14:textId="77777777" w:rsidR="00A21ECA" w:rsidRPr="00425370" w:rsidRDefault="00A21ECA" w:rsidP="009D596B">
            <w:pPr>
              <w:jc w:val="right"/>
              <w:rPr>
                <w:rFonts w:cs="Arial"/>
                <w:color w:val="000000"/>
                <w:sz w:val="20"/>
                <w:szCs w:val="20"/>
              </w:rPr>
            </w:pPr>
            <w:r w:rsidRPr="00425370">
              <w:rPr>
                <w:rFonts w:cs="Arial"/>
                <w:color w:val="000000"/>
                <w:sz w:val="20"/>
                <w:szCs w:val="20"/>
              </w:rPr>
              <w:t>24.759.694.946</w:t>
            </w:r>
          </w:p>
        </w:tc>
      </w:tr>
      <w:tr w:rsidR="00A21ECA" w:rsidRPr="00425370" w14:paraId="754912B4" w14:textId="77777777" w:rsidTr="00F55811">
        <w:trPr>
          <w:trHeight w:val="340"/>
        </w:trPr>
        <w:tc>
          <w:tcPr>
            <w:tcW w:w="2274" w:type="pct"/>
            <w:tcBorders>
              <w:top w:val="nil"/>
              <w:left w:val="nil"/>
              <w:bottom w:val="single" w:sz="4" w:space="0" w:color="auto"/>
              <w:right w:val="single" w:sz="4" w:space="0" w:color="auto"/>
            </w:tcBorders>
            <w:shd w:val="clear" w:color="auto" w:fill="auto"/>
            <w:noWrap/>
            <w:vAlign w:val="center"/>
            <w:hideMark/>
          </w:tcPr>
          <w:p w14:paraId="44F66217" w14:textId="77777777" w:rsidR="00A21ECA" w:rsidRPr="00425370" w:rsidRDefault="00A21ECA" w:rsidP="00C26926">
            <w:pPr>
              <w:ind w:left="72"/>
              <w:jc w:val="left"/>
              <w:rPr>
                <w:rFonts w:cs="Arial"/>
                <w:color w:val="000000"/>
                <w:sz w:val="20"/>
                <w:szCs w:val="20"/>
              </w:rPr>
            </w:pPr>
            <w:r w:rsidRPr="00425370">
              <w:rPr>
                <w:rFonts w:cs="Arial"/>
                <w:color w:val="000000"/>
                <w:sz w:val="20"/>
                <w:szCs w:val="20"/>
              </w:rPr>
              <w:t>Renúncia de Receita Estimada</w:t>
            </w:r>
          </w:p>
        </w:tc>
        <w:tc>
          <w:tcPr>
            <w:tcW w:w="909" w:type="pct"/>
            <w:tcBorders>
              <w:top w:val="nil"/>
              <w:left w:val="nil"/>
              <w:bottom w:val="single" w:sz="4" w:space="0" w:color="auto"/>
              <w:right w:val="single" w:sz="4" w:space="0" w:color="auto"/>
            </w:tcBorders>
            <w:shd w:val="clear" w:color="auto" w:fill="auto"/>
            <w:noWrap/>
            <w:vAlign w:val="center"/>
            <w:hideMark/>
          </w:tcPr>
          <w:p w14:paraId="3B1DEF1D" w14:textId="77777777" w:rsidR="00A21ECA" w:rsidRPr="00425370" w:rsidRDefault="00A21ECA" w:rsidP="009D596B">
            <w:pPr>
              <w:jc w:val="right"/>
              <w:rPr>
                <w:rFonts w:cs="Arial"/>
                <w:color w:val="000000"/>
                <w:sz w:val="20"/>
                <w:szCs w:val="20"/>
              </w:rPr>
            </w:pPr>
            <w:r w:rsidRPr="00425370">
              <w:rPr>
                <w:rFonts w:cs="Arial"/>
                <w:color w:val="000000"/>
                <w:sz w:val="20"/>
                <w:szCs w:val="20"/>
              </w:rPr>
              <w:t>13.747.103.391</w:t>
            </w:r>
          </w:p>
        </w:tc>
        <w:tc>
          <w:tcPr>
            <w:tcW w:w="909" w:type="pct"/>
            <w:tcBorders>
              <w:top w:val="nil"/>
              <w:left w:val="nil"/>
              <w:bottom w:val="single" w:sz="4" w:space="0" w:color="auto"/>
              <w:right w:val="single" w:sz="4" w:space="0" w:color="auto"/>
            </w:tcBorders>
            <w:shd w:val="clear" w:color="auto" w:fill="auto"/>
            <w:noWrap/>
            <w:vAlign w:val="center"/>
            <w:hideMark/>
          </w:tcPr>
          <w:p w14:paraId="066AEE73" w14:textId="77777777" w:rsidR="00A21ECA" w:rsidRPr="00425370" w:rsidRDefault="00A21ECA" w:rsidP="009D596B">
            <w:pPr>
              <w:jc w:val="right"/>
              <w:rPr>
                <w:rFonts w:cs="Arial"/>
                <w:color w:val="000000"/>
                <w:sz w:val="20"/>
                <w:szCs w:val="20"/>
              </w:rPr>
            </w:pPr>
            <w:r w:rsidRPr="00425370">
              <w:rPr>
                <w:rFonts w:cs="Arial"/>
                <w:color w:val="000000"/>
                <w:sz w:val="20"/>
                <w:szCs w:val="20"/>
              </w:rPr>
              <w:t>14.213.998.130</w:t>
            </w:r>
          </w:p>
        </w:tc>
        <w:tc>
          <w:tcPr>
            <w:tcW w:w="908" w:type="pct"/>
            <w:tcBorders>
              <w:top w:val="nil"/>
              <w:left w:val="nil"/>
              <w:bottom w:val="single" w:sz="4" w:space="0" w:color="auto"/>
              <w:right w:val="nil"/>
            </w:tcBorders>
            <w:shd w:val="clear" w:color="auto" w:fill="auto"/>
            <w:noWrap/>
            <w:vAlign w:val="center"/>
            <w:hideMark/>
          </w:tcPr>
          <w:p w14:paraId="4F4A6D1F" w14:textId="77777777" w:rsidR="00A21ECA" w:rsidRPr="00425370" w:rsidRDefault="00A21ECA" w:rsidP="009D596B">
            <w:pPr>
              <w:jc w:val="right"/>
              <w:rPr>
                <w:rFonts w:cs="Arial"/>
                <w:color w:val="000000"/>
                <w:sz w:val="20"/>
                <w:szCs w:val="20"/>
              </w:rPr>
            </w:pPr>
            <w:r w:rsidRPr="00425370">
              <w:rPr>
                <w:rFonts w:cs="Arial"/>
                <w:color w:val="000000"/>
                <w:sz w:val="20"/>
                <w:szCs w:val="20"/>
              </w:rPr>
              <w:t>14.905.599.443</w:t>
            </w:r>
          </w:p>
        </w:tc>
      </w:tr>
      <w:tr w:rsidR="00A21ECA" w:rsidRPr="00425370" w14:paraId="453C2C37" w14:textId="77777777" w:rsidTr="00F55811">
        <w:trPr>
          <w:trHeight w:val="340"/>
        </w:trPr>
        <w:tc>
          <w:tcPr>
            <w:tcW w:w="2274" w:type="pct"/>
            <w:tcBorders>
              <w:top w:val="single" w:sz="4" w:space="0" w:color="auto"/>
              <w:left w:val="nil"/>
              <w:bottom w:val="single" w:sz="4" w:space="0" w:color="auto"/>
              <w:right w:val="single" w:sz="4" w:space="0" w:color="auto"/>
            </w:tcBorders>
            <w:shd w:val="clear" w:color="auto" w:fill="auto"/>
            <w:noWrap/>
            <w:vAlign w:val="center"/>
            <w:hideMark/>
          </w:tcPr>
          <w:p w14:paraId="0F5F786F" w14:textId="77777777" w:rsidR="00A21ECA" w:rsidRPr="00425370" w:rsidRDefault="00A21ECA" w:rsidP="00C26926">
            <w:pPr>
              <w:ind w:left="72"/>
              <w:jc w:val="center"/>
              <w:rPr>
                <w:rFonts w:cs="Arial"/>
                <w:color w:val="000000"/>
                <w:sz w:val="20"/>
                <w:szCs w:val="20"/>
              </w:rPr>
            </w:pPr>
            <w:r w:rsidRPr="00425370">
              <w:rPr>
                <w:rFonts w:cs="Arial"/>
                <w:color w:val="000000"/>
                <w:sz w:val="20"/>
                <w:szCs w:val="20"/>
              </w:rPr>
              <w:t>% Renúncia s/ Receita</w:t>
            </w:r>
          </w:p>
        </w:tc>
        <w:tc>
          <w:tcPr>
            <w:tcW w:w="909" w:type="pct"/>
            <w:tcBorders>
              <w:top w:val="single" w:sz="4" w:space="0" w:color="auto"/>
              <w:left w:val="nil"/>
              <w:bottom w:val="single" w:sz="4" w:space="0" w:color="auto"/>
              <w:right w:val="single" w:sz="4" w:space="0" w:color="auto"/>
            </w:tcBorders>
            <w:shd w:val="clear" w:color="auto" w:fill="auto"/>
            <w:noWrap/>
            <w:vAlign w:val="center"/>
            <w:hideMark/>
          </w:tcPr>
          <w:p w14:paraId="5C9BE34F" w14:textId="77777777" w:rsidR="00A21ECA" w:rsidRPr="00425370" w:rsidRDefault="00A21ECA" w:rsidP="009D596B">
            <w:pPr>
              <w:jc w:val="center"/>
              <w:rPr>
                <w:rFonts w:cs="Arial"/>
                <w:color w:val="000000"/>
                <w:sz w:val="20"/>
                <w:szCs w:val="20"/>
              </w:rPr>
            </w:pPr>
            <w:r w:rsidRPr="00425370">
              <w:rPr>
                <w:rFonts w:cs="Arial"/>
                <w:color w:val="000000"/>
                <w:sz w:val="20"/>
                <w:szCs w:val="20"/>
              </w:rPr>
              <w:t>61,19</w:t>
            </w:r>
          </w:p>
        </w:tc>
        <w:tc>
          <w:tcPr>
            <w:tcW w:w="909" w:type="pct"/>
            <w:tcBorders>
              <w:top w:val="single" w:sz="4" w:space="0" w:color="auto"/>
              <w:left w:val="nil"/>
              <w:bottom w:val="single" w:sz="4" w:space="0" w:color="auto"/>
              <w:right w:val="single" w:sz="4" w:space="0" w:color="auto"/>
            </w:tcBorders>
            <w:shd w:val="clear" w:color="auto" w:fill="auto"/>
            <w:noWrap/>
            <w:vAlign w:val="center"/>
            <w:hideMark/>
          </w:tcPr>
          <w:p w14:paraId="636C3540" w14:textId="77777777" w:rsidR="00A21ECA" w:rsidRPr="00425370" w:rsidRDefault="00A21ECA" w:rsidP="009D596B">
            <w:pPr>
              <w:jc w:val="center"/>
              <w:rPr>
                <w:rFonts w:cs="Arial"/>
                <w:color w:val="000000"/>
                <w:sz w:val="20"/>
                <w:szCs w:val="20"/>
              </w:rPr>
            </w:pPr>
            <w:r w:rsidRPr="00425370">
              <w:rPr>
                <w:rFonts w:cs="Arial"/>
                <w:color w:val="000000"/>
                <w:sz w:val="20"/>
                <w:szCs w:val="20"/>
              </w:rPr>
              <w:t>60,28</w:t>
            </w:r>
          </w:p>
        </w:tc>
        <w:tc>
          <w:tcPr>
            <w:tcW w:w="908" w:type="pct"/>
            <w:tcBorders>
              <w:top w:val="single" w:sz="4" w:space="0" w:color="auto"/>
              <w:left w:val="single" w:sz="4" w:space="0" w:color="auto"/>
              <w:bottom w:val="single" w:sz="4" w:space="0" w:color="auto"/>
              <w:right w:val="nil"/>
            </w:tcBorders>
            <w:shd w:val="clear" w:color="auto" w:fill="auto"/>
            <w:noWrap/>
            <w:vAlign w:val="center"/>
            <w:hideMark/>
          </w:tcPr>
          <w:p w14:paraId="4943B323" w14:textId="77777777" w:rsidR="00A21ECA" w:rsidRPr="00425370" w:rsidRDefault="00A21ECA" w:rsidP="009D596B">
            <w:pPr>
              <w:jc w:val="center"/>
              <w:rPr>
                <w:rFonts w:cs="Arial"/>
                <w:color w:val="000000"/>
                <w:sz w:val="20"/>
                <w:szCs w:val="20"/>
              </w:rPr>
            </w:pPr>
            <w:r w:rsidRPr="00425370">
              <w:rPr>
                <w:rFonts w:cs="Arial"/>
                <w:color w:val="000000"/>
                <w:sz w:val="20"/>
                <w:szCs w:val="20"/>
              </w:rPr>
              <w:t>60,20</w:t>
            </w:r>
          </w:p>
        </w:tc>
      </w:tr>
    </w:tbl>
    <w:p w14:paraId="30792667" w14:textId="77777777" w:rsidR="00A21ECA" w:rsidRPr="001C46F9" w:rsidRDefault="00A21ECA" w:rsidP="00EF01A1">
      <w:pPr>
        <w:pStyle w:val="1-FONTE8ESQ"/>
        <w:rPr>
          <w:u w:val="double"/>
        </w:rPr>
      </w:pPr>
      <w:r>
        <w:t>Fonte: Demonstrativo 1 – Metas Anuais e Demonstrativo 7 – Estimativa e Compensação da Renúncia de Receita</w:t>
      </w:r>
      <w:r w:rsidRPr="00B2007F">
        <w:t xml:space="preserve"> </w:t>
      </w:r>
      <w:r>
        <w:t>do Anexo I – Metas Fiscais LDO 2023 (alterado pela Lei Estadual nº 21.633/2022)</w:t>
      </w:r>
    </w:p>
    <w:p w14:paraId="32C310E4" w14:textId="77777777" w:rsidR="00A21ECA" w:rsidRDefault="00A21ECA" w:rsidP="00A21ECA">
      <w:pPr>
        <w:pStyle w:val="1-REL11"/>
      </w:pPr>
      <w:r>
        <w:t>Observa-se que os valores estimados a título de renúncia de receita apresentam um volume que representa aproximadamente 60% da receita tributária prevista para as metas fiscais anuais. Ressalta-se que no valor da rubrica Receita Tributária Prevista estão sendo consideradas as deduções legais pertinentes, pois não foi encontrada informação de sua estimativa na forma bruta para fins de comparação. Também, informa-se que as estimativas da receita e sua consequente renúncia tiveram como base as séries históricas da arrecadação.</w:t>
      </w:r>
    </w:p>
    <w:p w14:paraId="006BBBA5" w14:textId="77777777" w:rsidR="00A21ECA" w:rsidRPr="00A05B73" w:rsidRDefault="00A21ECA" w:rsidP="00A21ECA">
      <w:pPr>
        <w:pStyle w:val="1-REL11"/>
      </w:pPr>
      <w:r>
        <w:t>Conforme descrito no Anexo I – Metas Fiscais</w:t>
      </w:r>
      <w:r>
        <w:rPr>
          <w:rStyle w:val="Refdenotaderodap"/>
        </w:rPr>
        <w:footnoteReference w:id="16"/>
      </w:r>
      <w:r>
        <w:t xml:space="preserve">, na composição da Receita Tributária Prevista foram deduzidos os montantes estimados com renúncia de receita, visando atendimento ao inciso I, art. 14, da LRF. Ponderou-se também que não é exigência da LRF que se compense necessariamente a renúncia, mas tão somente a que vier a ser realizada e não </w:t>
      </w:r>
      <w:r w:rsidRPr="00A05B73">
        <w:t>prevista</w:t>
      </w:r>
      <w:r w:rsidRPr="00A05B73">
        <w:rPr>
          <w:rStyle w:val="Refdenotaderodap"/>
        </w:rPr>
        <w:footnoteReference w:id="17"/>
      </w:r>
      <w:r w:rsidRPr="00A05B73">
        <w:t>.</w:t>
      </w:r>
    </w:p>
    <w:p w14:paraId="400A60FD" w14:textId="77777777" w:rsidR="00A21ECA" w:rsidRDefault="00A21ECA" w:rsidP="00A21ECA">
      <w:pPr>
        <w:pStyle w:val="1-REL11"/>
      </w:pPr>
      <w:r w:rsidRPr="00A05B73">
        <w:t xml:space="preserve">Em relação a esses aspectos, em que pese a informação publicada de que a estimativa da renúncia foi considerada na previsão da receita, é factível considerar que melhorias quanto à transparência podem ser implementadas para o atendimento do inciso I, já que o próprio comando legal </w:t>
      </w:r>
      <w:r>
        <w:t xml:space="preserve">prescreve </w:t>
      </w:r>
      <w:r w:rsidRPr="00A05B73">
        <w:t>que os atos sejam demonstrados, e não apenas informadas as premissas consideradas</w:t>
      </w:r>
      <w:r>
        <w:t xml:space="preserve"> para sua elaboração</w:t>
      </w:r>
      <w:r w:rsidRPr="00A05B73">
        <w:t>.</w:t>
      </w:r>
    </w:p>
    <w:p w14:paraId="69379EA7" w14:textId="77777777" w:rsidR="00A21ECA" w:rsidRDefault="00A21ECA" w:rsidP="00A21ECA">
      <w:pPr>
        <w:pStyle w:val="1-REL11"/>
      </w:pPr>
      <w:r w:rsidRPr="00A05B73">
        <w:t>Assim, seria relevante</w:t>
      </w:r>
      <w:r>
        <w:t xml:space="preserve"> a criação de </w:t>
      </w:r>
      <w:r w:rsidRPr="00A05B73">
        <w:t>quadros demonstra</w:t>
      </w:r>
      <w:r>
        <w:t>ndo</w:t>
      </w:r>
      <w:r w:rsidRPr="00A05B73">
        <w:t xml:space="preserve"> o</w:t>
      </w:r>
      <w:r>
        <w:t xml:space="preserve"> possível </w:t>
      </w:r>
      <w:r w:rsidRPr="00A05B73">
        <w:t xml:space="preserve">impacto da renúncia na previsão da receita e de como ela não afetará as metas dos resultados fiscais, principalmente </w:t>
      </w:r>
      <w:r>
        <w:lastRenderedPageBreak/>
        <w:t>por</w:t>
      </w:r>
      <w:r w:rsidRPr="00A05B73">
        <w:t xml:space="preserve"> considerar a</w:t>
      </w:r>
      <w:r>
        <w:t xml:space="preserve"> dinâmica das</w:t>
      </w:r>
      <w:r w:rsidRPr="00A05B73">
        <w:t xml:space="preserve"> </w:t>
      </w:r>
      <w:r>
        <w:t xml:space="preserve">variáveis </w:t>
      </w:r>
      <w:r w:rsidRPr="00A05B73">
        <w:t xml:space="preserve">macro </w:t>
      </w:r>
      <w:r>
        <w:t xml:space="preserve">e micro </w:t>
      </w:r>
      <w:r w:rsidRPr="00A05B73">
        <w:t>econômica</w:t>
      </w:r>
      <w:r>
        <w:t xml:space="preserve">s inerentes ao nosso país, além das constantes alterações legislativas, </w:t>
      </w:r>
      <w:r w:rsidRPr="00A05B73">
        <w:t>a</w:t>
      </w:r>
      <w:r>
        <w:t>s</w:t>
      </w:r>
      <w:r w:rsidRPr="00A05B73">
        <w:t xml:space="preserve"> qua</w:t>
      </w:r>
      <w:r>
        <w:t>is</w:t>
      </w:r>
      <w:r w:rsidRPr="00A05B73">
        <w:t xml:space="preserve"> exige</w:t>
      </w:r>
      <w:r>
        <w:t>m</w:t>
      </w:r>
      <w:r w:rsidRPr="00A05B73">
        <w:t xml:space="preserve"> </w:t>
      </w:r>
      <w:r>
        <w:t>contínua</w:t>
      </w:r>
      <w:r w:rsidRPr="00A05B73">
        <w:t xml:space="preserve"> </w:t>
      </w:r>
      <w:r>
        <w:t xml:space="preserve">revisão </w:t>
      </w:r>
      <w:r w:rsidRPr="00A05B73">
        <w:t>das premissas de projeções orçamentárias</w:t>
      </w:r>
      <w:r>
        <w:t xml:space="preserve"> e financeiras</w:t>
      </w:r>
      <w:r w:rsidRPr="00A05B73">
        <w:t xml:space="preserve"> </w:t>
      </w:r>
      <w:r>
        <w:t xml:space="preserve">e seus possíveis impactos </w:t>
      </w:r>
      <w:r w:rsidRPr="00A05B73">
        <w:t>para o exercício</w:t>
      </w:r>
      <w:r>
        <w:t xml:space="preserve"> em curso e para os</w:t>
      </w:r>
      <w:r w:rsidRPr="00A05B73">
        <w:t xml:space="preserve"> seguintes em todos as aspectos, seja da receita, sua renúncia, das despesas e das metas fiscais.</w:t>
      </w:r>
    </w:p>
    <w:p w14:paraId="15CE62AF" w14:textId="77777777" w:rsidR="00A21ECA" w:rsidRDefault="00A21ECA" w:rsidP="00A21ECA">
      <w:pPr>
        <w:pStyle w:val="1-REL11"/>
      </w:pPr>
      <w:r>
        <w:t>Já o art. 5º, inciso II, da LRF faz menção ao § 6º, do art. 165 da Constituição Federal de 1988 (CF/88), que estabelece que o projeto de LOA deverá ser acompanhado de demonstrativo regionalizado do efeito, sobre as receitas e despesas, das renúncias de receita concedidas pelo ente. Em consulta à LOA de 2023</w:t>
      </w:r>
      <w:r>
        <w:rPr>
          <w:rStyle w:val="Refdenotaderodap"/>
        </w:rPr>
        <w:footnoteReference w:id="18"/>
      </w:r>
      <w:r>
        <w:t>, verificou-se que o anexo Orçamento Geral 2023 contém o Demonstrativo da Renúncia da Receita elaborado nos mesmo moldes do demonstrativo contido no Anexo I – Metas Fiscais da LDO (Demonstrativo 7 - Estimativa e Compensação da Renúncia de Receita), contudo não apresenta os efeitos regionalizados da renúncia sobre as receitas e despesas.</w:t>
      </w:r>
    </w:p>
    <w:p w14:paraId="29AC8A46" w14:textId="012EFB1F" w:rsidR="00A21ECA" w:rsidRPr="00EA084D" w:rsidRDefault="00A21ECA" w:rsidP="00E460D5">
      <w:pPr>
        <w:pStyle w:val="0-ACH-TIT"/>
      </w:pPr>
      <w:r w:rsidRPr="00EA084D">
        <w:t xml:space="preserve">&gt;&gt; </w:t>
      </w:r>
      <w:r w:rsidR="00725875" w:rsidRPr="00725875">
        <w:t>Deficiência  na transparência da concessão ou ampliação de benefícios fiscais</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A21ECA" w:rsidRPr="009C6508" w14:paraId="4DA8F841" w14:textId="77777777" w:rsidTr="00443EFE">
        <w:trPr>
          <w:trHeight w:val="1749"/>
          <w:jc w:val="center"/>
        </w:trPr>
        <w:tc>
          <w:tcPr>
            <w:tcW w:w="6237" w:type="dxa"/>
            <w:vAlign w:val="center"/>
            <w:hideMark/>
          </w:tcPr>
          <w:p w14:paraId="69967F92" w14:textId="25691AAF" w:rsidR="00A21ECA" w:rsidRPr="00A21ECA" w:rsidRDefault="00725875" w:rsidP="00D546D5">
            <w:pPr>
              <w:pStyle w:val="0-ACH-TXT"/>
              <w:rPr>
                <w:highlight w:val="yellow"/>
                <w:u w:val="single"/>
              </w:rPr>
            </w:pPr>
            <w:r w:rsidRPr="00725875">
              <w:t>Não foi identificado, no Anexo de Metas Fiscais da LDO, quadro demonstrando o impacto orçamentário e financeiro da renúncia na previsão da receita e nas metas de resultados fiscais, nos termos do inciso I, art. 14, da LRF; e no projeto de LOA, também não foi identificado quadro demonstrativo regionalizado do efeito, sobre as receitas e despesas, das renúncias a serem concedidas, nos termos do § 6º, do art. 165 da CF/88.</w:t>
            </w:r>
          </w:p>
        </w:tc>
      </w:tr>
    </w:tbl>
    <w:p w14:paraId="5E988DC9" w14:textId="77777777" w:rsidR="00443EFE" w:rsidRDefault="00A21ECA" w:rsidP="00725875">
      <w:pPr>
        <w:pStyle w:val="1-REL11"/>
      </w:pPr>
      <w:r w:rsidRPr="00A846A3">
        <w:t xml:space="preserve">Portanto, sugere-se </w:t>
      </w:r>
      <w:r w:rsidR="00725875" w:rsidRPr="00725875">
        <w:t>ao Tribunal de Contas do Estado de Goiás que determine ao Governo do estado de Goiás, por meio da Secretaria de Estado da Economia,  que adote, na elaboração do Anexo I – Anexo de Metas Fiscais da LDO de 2026, providências com vistas a apresentar quadros demonstrando o impacto orçamentário e financeiro da renúncia na previsão da receita e nas metas dos resultados fiscais, no exercício que iniciar sua vigência e nos dois seguintes, nos termos do inciso I, art. 14, da LRF; e na elaboração do projeto de LOA de 2026, apresentar quadro demonstrativo regionalizado do efeito, sobre as receitas e despesas, das renúncias a serem concedidas, nos termos do § 6º, do art. 165 da CF/88.</w:t>
      </w:r>
    </w:p>
    <w:p w14:paraId="58EC218D" w14:textId="2F5B5A00" w:rsidR="00A21ECA" w:rsidRPr="008F6629" w:rsidRDefault="00A21ECA" w:rsidP="00443EFE">
      <w:pPr>
        <w:pStyle w:val="Ttulo3"/>
      </w:pPr>
      <w:bookmarkStart w:id="240" w:name="_Toc167871691"/>
      <w:r w:rsidRPr="008F6629">
        <w:t>Renúncia de Receita Concedida</w:t>
      </w:r>
      <w:bookmarkEnd w:id="240"/>
    </w:p>
    <w:p w14:paraId="75CFFDAE" w14:textId="3F497949" w:rsidR="00A21ECA" w:rsidRDefault="00A21ECA" w:rsidP="00A21ECA">
      <w:pPr>
        <w:pStyle w:val="1-REL11"/>
      </w:pPr>
      <w:r w:rsidRPr="00710155">
        <w:t>A seguir, apresenta-se tabela comparativa entre a renúncia de receita concedida e a receita tributária arrecadada dos últimos 3 exercícios:</w:t>
      </w:r>
    </w:p>
    <w:p w14:paraId="00BEBA58" w14:textId="77777777" w:rsidR="00F55811" w:rsidRDefault="00F55811" w:rsidP="00A21ECA">
      <w:pPr>
        <w:pStyle w:val="1-REL11"/>
      </w:pPr>
    </w:p>
    <w:p w14:paraId="4743E5C9" w14:textId="77777777" w:rsidR="00A21ECA" w:rsidRPr="00E8185E" w:rsidRDefault="00A21ECA" w:rsidP="00ED3571">
      <w:pPr>
        <w:pStyle w:val="0-TABELA"/>
      </w:pPr>
      <w:bookmarkStart w:id="241" w:name="_Toc167871783"/>
      <w:r w:rsidRPr="00E8185E">
        <w:lastRenderedPageBreak/>
        <w:t xml:space="preserve">Renúncia de Receita </w:t>
      </w:r>
      <w:r>
        <w:t xml:space="preserve">Concedida </w:t>
      </w:r>
      <w:r w:rsidRPr="00E8185E">
        <w:t>x Receita Tributária</w:t>
      </w:r>
      <w:r>
        <w:t xml:space="preserve"> Arrecadada</w:t>
      </w:r>
      <w:bookmarkEnd w:id="241"/>
    </w:p>
    <w:p w14:paraId="12D32750" w14:textId="77777777" w:rsidR="00A21ECA" w:rsidRDefault="00A21ECA" w:rsidP="00A21ECA">
      <w:pPr>
        <w:pStyle w:val="0-EmR1"/>
        <w:rPr>
          <w:highlight w:val="yellow"/>
        </w:rPr>
      </w:pPr>
      <w:r w:rsidRPr="00E8185E">
        <w:t>R$ 1</w:t>
      </w:r>
    </w:p>
    <w:tbl>
      <w:tblPr>
        <w:tblW w:w="5000" w:type="pct"/>
        <w:tblLayout w:type="fixed"/>
        <w:tblCellMar>
          <w:left w:w="70" w:type="dxa"/>
          <w:right w:w="70" w:type="dxa"/>
        </w:tblCellMar>
        <w:tblLook w:val="04A0" w:firstRow="1" w:lastRow="0" w:firstColumn="1" w:lastColumn="0" w:noHBand="0" w:noVBand="1"/>
      </w:tblPr>
      <w:tblGrid>
        <w:gridCol w:w="2410"/>
        <w:gridCol w:w="1559"/>
        <w:gridCol w:w="1560"/>
        <w:gridCol w:w="1558"/>
        <w:gridCol w:w="1134"/>
        <w:gridCol w:w="1132"/>
      </w:tblGrid>
      <w:tr w:rsidR="00167E98" w:rsidRPr="00425370" w14:paraId="0F8A62DC" w14:textId="32600882" w:rsidTr="00167E98">
        <w:trPr>
          <w:trHeight w:val="375"/>
          <w:tblHeader/>
        </w:trPr>
        <w:tc>
          <w:tcPr>
            <w:tcW w:w="1288" w:type="pct"/>
            <w:vMerge w:val="restart"/>
            <w:tcBorders>
              <w:top w:val="single" w:sz="4" w:space="0" w:color="auto"/>
              <w:left w:val="nil"/>
              <w:bottom w:val="single" w:sz="4" w:space="0" w:color="auto"/>
              <w:right w:val="single" w:sz="4" w:space="0" w:color="auto"/>
            </w:tcBorders>
            <w:shd w:val="clear" w:color="000000" w:fill="A1F2FD"/>
            <w:vAlign w:val="center"/>
            <w:hideMark/>
          </w:tcPr>
          <w:p w14:paraId="4997F2FE" w14:textId="77777777" w:rsidR="00167E98" w:rsidRPr="00425370" w:rsidRDefault="00167E98" w:rsidP="009D596B">
            <w:pPr>
              <w:jc w:val="center"/>
              <w:rPr>
                <w:rFonts w:cs="Arial"/>
                <w:b/>
                <w:bCs/>
                <w:color w:val="000000"/>
                <w:sz w:val="20"/>
                <w:szCs w:val="20"/>
              </w:rPr>
            </w:pPr>
            <w:r w:rsidRPr="00425370">
              <w:rPr>
                <w:rFonts w:cs="Arial"/>
                <w:b/>
                <w:bCs/>
                <w:color w:val="000000"/>
                <w:sz w:val="20"/>
                <w:szCs w:val="20"/>
              </w:rPr>
              <w:t>Exercício</w:t>
            </w:r>
          </w:p>
        </w:tc>
        <w:tc>
          <w:tcPr>
            <w:tcW w:w="1667" w:type="pct"/>
            <w:gridSpan w:val="2"/>
            <w:tcBorders>
              <w:top w:val="single" w:sz="4" w:space="0" w:color="auto"/>
              <w:left w:val="nil"/>
              <w:bottom w:val="single" w:sz="4" w:space="0" w:color="auto"/>
              <w:right w:val="nil"/>
            </w:tcBorders>
            <w:shd w:val="clear" w:color="000000" w:fill="A1F2FD"/>
            <w:vAlign w:val="center"/>
            <w:hideMark/>
          </w:tcPr>
          <w:p w14:paraId="6551C653" w14:textId="77777777" w:rsidR="00167E98" w:rsidRPr="00425370" w:rsidRDefault="00167E98" w:rsidP="009D596B">
            <w:pPr>
              <w:jc w:val="center"/>
              <w:rPr>
                <w:rFonts w:cs="Arial"/>
                <w:b/>
                <w:bCs/>
                <w:color w:val="000000"/>
                <w:sz w:val="20"/>
                <w:szCs w:val="20"/>
              </w:rPr>
            </w:pPr>
            <w:r w:rsidRPr="00425370">
              <w:rPr>
                <w:rFonts w:cs="Arial"/>
                <w:b/>
                <w:bCs/>
                <w:color w:val="000000"/>
                <w:sz w:val="20"/>
                <w:szCs w:val="20"/>
              </w:rPr>
              <w:t>Receita Tributária Arrecadada</w:t>
            </w:r>
          </w:p>
        </w:tc>
        <w:tc>
          <w:tcPr>
            <w:tcW w:w="833" w:type="pct"/>
            <w:vMerge w:val="restart"/>
            <w:tcBorders>
              <w:top w:val="single" w:sz="4" w:space="0" w:color="auto"/>
              <w:left w:val="single" w:sz="4" w:space="0" w:color="auto"/>
              <w:right w:val="single" w:sz="4" w:space="0" w:color="auto"/>
            </w:tcBorders>
            <w:shd w:val="clear" w:color="000000" w:fill="A1F2FD"/>
            <w:vAlign w:val="center"/>
            <w:hideMark/>
          </w:tcPr>
          <w:p w14:paraId="0D324602" w14:textId="4A36BFD7" w:rsidR="00167E98" w:rsidRPr="00425370" w:rsidRDefault="00167E98" w:rsidP="009D596B">
            <w:pPr>
              <w:jc w:val="center"/>
              <w:rPr>
                <w:rFonts w:cs="Arial"/>
                <w:b/>
                <w:bCs/>
                <w:color w:val="000000"/>
                <w:sz w:val="20"/>
                <w:szCs w:val="20"/>
              </w:rPr>
            </w:pPr>
            <w:r w:rsidRPr="00425370">
              <w:rPr>
                <w:rFonts w:cs="Arial"/>
                <w:b/>
                <w:bCs/>
                <w:color w:val="000000"/>
                <w:sz w:val="20"/>
                <w:szCs w:val="20"/>
              </w:rPr>
              <w:t xml:space="preserve">Renúncia de Receita Concedida </w:t>
            </w:r>
          </w:p>
        </w:tc>
        <w:tc>
          <w:tcPr>
            <w:tcW w:w="606" w:type="pct"/>
            <w:vMerge w:val="restart"/>
            <w:tcBorders>
              <w:top w:val="single" w:sz="4" w:space="0" w:color="auto"/>
              <w:left w:val="nil"/>
              <w:right w:val="single" w:sz="4" w:space="0" w:color="auto"/>
            </w:tcBorders>
            <w:shd w:val="clear" w:color="000000" w:fill="A1F2FD"/>
            <w:vAlign w:val="center"/>
            <w:hideMark/>
          </w:tcPr>
          <w:p w14:paraId="5CB464C3" w14:textId="62B54D43" w:rsidR="00167E98" w:rsidRPr="00425370" w:rsidRDefault="00167E98" w:rsidP="009D596B">
            <w:pPr>
              <w:jc w:val="center"/>
              <w:rPr>
                <w:rFonts w:cs="Arial"/>
                <w:b/>
                <w:bCs/>
                <w:color w:val="000000"/>
                <w:sz w:val="20"/>
                <w:szCs w:val="20"/>
              </w:rPr>
            </w:pPr>
            <w:r w:rsidRPr="00425370">
              <w:rPr>
                <w:rFonts w:cs="Arial"/>
                <w:b/>
                <w:bCs/>
                <w:color w:val="000000"/>
                <w:sz w:val="20"/>
                <w:szCs w:val="20"/>
              </w:rPr>
              <w:t>% Renúncia s/ Receita Bruta</w:t>
            </w:r>
          </w:p>
        </w:tc>
        <w:tc>
          <w:tcPr>
            <w:tcW w:w="605" w:type="pct"/>
            <w:vMerge w:val="restart"/>
            <w:tcBorders>
              <w:top w:val="single" w:sz="4" w:space="0" w:color="auto"/>
              <w:left w:val="single" w:sz="4" w:space="0" w:color="auto"/>
              <w:right w:val="nil"/>
            </w:tcBorders>
            <w:shd w:val="clear" w:color="000000" w:fill="A1F2FD"/>
            <w:vAlign w:val="center"/>
          </w:tcPr>
          <w:p w14:paraId="293336A0" w14:textId="3D6C9181" w:rsidR="00167E98" w:rsidRPr="00425370" w:rsidRDefault="00167E98" w:rsidP="009D596B">
            <w:pPr>
              <w:jc w:val="center"/>
              <w:rPr>
                <w:rFonts w:cs="Arial"/>
                <w:b/>
                <w:bCs/>
                <w:color w:val="000000"/>
                <w:sz w:val="20"/>
                <w:szCs w:val="20"/>
              </w:rPr>
            </w:pPr>
            <w:r w:rsidRPr="00425370">
              <w:rPr>
                <w:rFonts w:cs="Arial"/>
                <w:b/>
                <w:bCs/>
                <w:color w:val="000000"/>
                <w:sz w:val="20"/>
                <w:szCs w:val="20"/>
              </w:rPr>
              <w:t>% Renúncia s/ Receita liquida</w:t>
            </w:r>
          </w:p>
        </w:tc>
      </w:tr>
      <w:tr w:rsidR="00167E98" w:rsidRPr="00425370" w14:paraId="6DCC4965" w14:textId="632FE870" w:rsidTr="00167E98">
        <w:trPr>
          <w:trHeight w:val="375"/>
          <w:tblHeader/>
        </w:trPr>
        <w:tc>
          <w:tcPr>
            <w:tcW w:w="1288" w:type="pct"/>
            <w:vMerge/>
            <w:tcBorders>
              <w:top w:val="single" w:sz="4" w:space="0" w:color="auto"/>
              <w:left w:val="nil"/>
              <w:bottom w:val="single" w:sz="4" w:space="0" w:color="auto"/>
              <w:right w:val="single" w:sz="4" w:space="0" w:color="auto"/>
            </w:tcBorders>
            <w:vAlign w:val="center"/>
          </w:tcPr>
          <w:p w14:paraId="6BA7DF98" w14:textId="77777777" w:rsidR="00167E98" w:rsidRPr="00425370" w:rsidRDefault="00167E98" w:rsidP="009D596B">
            <w:pPr>
              <w:jc w:val="left"/>
              <w:rPr>
                <w:rFonts w:cs="Arial"/>
                <w:b/>
                <w:bCs/>
                <w:color w:val="000000"/>
                <w:sz w:val="20"/>
                <w:szCs w:val="20"/>
              </w:rPr>
            </w:pPr>
          </w:p>
        </w:tc>
        <w:tc>
          <w:tcPr>
            <w:tcW w:w="833" w:type="pct"/>
            <w:tcBorders>
              <w:top w:val="nil"/>
              <w:left w:val="nil"/>
              <w:right w:val="single" w:sz="4" w:space="0" w:color="auto"/>
            </w:tcBorders>
            <w:shd w:val="clear" w:color="000000" w:fill="A1F2FD"/>
            <w:vAlign w:val="center"/>
          </w:tcPr>
          <w:p w14:paraId="2239A7F5" w14:textId="31CD06C1" w:rsidR="00167E98" w:rsidRPr="00425370" w:rsidRDefault="00167E98" w:rsidP="009D596B">
            <w:pPr>
              <w:jc w:val="center"/>
              <w:rPr>
                <w:rFonts w:cs="Arial"/>
                <w:b/>
                <w:bCs/>
                <w:color w:val="000000"/>
                <w:sz w:val="20"/>
                <w:szCs w:val="20"/>
              </w:rPr>
            </w:pPr>
            <w:r w:rsidRPr="00425370">
              <w:rPr>
                <w:rFonts w:cs="Arial"/>
                <w:b/>
                <w:bCs/>
                <w:color w:val="000000"/>
                <w:sz w:val="20"/>
                <w:szCs w:val="20"/>
              </w:rPr>
              <w:t>Bruta</w:t>
            </w:r>
          </w:p>
        </w:tc>
        <w:tc>
          <w:tcPr>
            <w:tcW w:w="834" w:type="pct"/>
            <w:tcBorders>
              <w:top w:val="nil"/>
              <w:left w:val="nil"/>
              <w:right w:val="single" w:sz="4" w:space="0" w:color="auto"/>
            </w:tcBorders>
            <w:shd w:val="clear" w:color="000000" w:fill="A1F2FD"/>
            <w:vAlign w:val="center"/>
          </w:tcPr>
          <w:p w14:paraId="18ED1E79" w14:textId="4F062FBD" w:rsidR="00167E98" w:rsidRPr="00425370" w:rsidRDefault="00167E98" w:rsidP="009D596B">
            <w:pPr>
              <w:jc w:val="center"/>
              <w:rPr>
                <w:rFonts w:cs="Arial"/>
                <w:b/>
                <w:bCs/>
                <w:color w:val="000000"/>
                <w:sz w:val="20"/>
                <w:szCs w:val="20"/>
              </w:rPr>
            </w:pPr>
            <w:r w:rsidRPr="00425370">
              <w:rPr>
                <w:rFonts w:cs="Arial"/>
                <w:b/>
                <w:bCs/>
                <w:color w:val="000000"/>
                <w:sz w:val="20"/>
                <w:szCs w:val="20"/>
              </w:rPr>
              <w:t>Líquida</w:t>
            </w:r>
          </w:p>
        </w:tc>
        <w:tc>
          <w:tcPr>
            <w:tcW w:w="833" w:type="pct"/>
            <w:vMerge/>
            <w:tcBorders>
              <w:left w:val="single" w:sz="4" w:space="0" w:color="auto"/>
              <w:right w:val="single" w:sz="4" w:space="0" w:color="auto"/>
            </w:tcBorders>
            <w:shd w:val="clear" w:color="000000" w:fill="A1F2FD"/>
            <w:vAlign w:val="center"/>
          </w:tcPr>
          <w:p w14:paraId="5BB6D1D6" w14:textId="77777777" w:rsidR="00167E98" w:rsidRPr="00425370" w:rsidRDefault="00167E98" w:rsidP="009D596B">
            <w:pPr>
              <w:jc w:val="left"/>
              <w:rPr>
                <w:rFonts w:cs="Arial"/>
                <w:b/>
                <w:bCs/>
                <w:color w:val="000000"/>
                <w:sz w:val="20"/>
                <w:szCs w:val="20"/>
              </w:rPr>
            </w:pPr>
          </w:p>
        </w:tc>
        <w:tc>
          <w:tcPr>
            <w:tcW w:w="606" w:type="pct"/>
            <w:vMerge/>
            <w:tcBorders>
              <w:left w:val="nil"/>
              <w:right w:val="single" w:sz="4" w:space="0" w:color="auto"/>
            </w:tcBorders>
            <w:shd w:val="clear" w:color="000000" w:fill="A1F2FD"/>
            <w:vAlign w:val="center"/>
          </w:tcPr>
          <w:p w14:paraId="0FBD5756" w14:textId="77777777" w:rsidR="00167E98" w:rsidRPr="00425370" w:rsidRDefault="00167E98" w:rsidP="009D596B">
            <w:pPr>
              <w:jc w:val="center"/>
              <w:rPr>
                <w:rFonts w:cs="Arial"/>
                <w:b/>
                <w:bCs/>
                <w:color w:val="000000"/>
                <w:sz w:val="20"/>
                <w:szCs w:val="20"/>
              </w:rPr>
            </w:pPr>
          </w:p>
        </w:tc>
        <w:tc>
          <w:tcPr>
            <w:tcW w:w="605" w:type="pct"/>
            <w:vMerge/>
            <w:tcBorders>
              <w:left w:val="nil"/>
              <w:right w:val="single" w:sz="4" w:space="0" w:color="auto"/>
            </w:tcBorders>
            <w:shd w:val="clear" w:color="000000" w:fill="A1F2FD"/>
            <w:vAlign w:val="center"/>
          </w:tcPr>
          <w:p w14:paraId="3FF4EE20" w14:textId="77777777" w:rsidR="00167E98" w:rsidRPr="00425370" w:rsidRDefault="00167E98" w:rsidP="009D596B">
            <w:pPr>
              <w:jc w:val="center"/>
              <w:rPr>
                <w:rFonts w:cs="Arial"/>
                <w:b/>
                <w:bCs/>
                <w:color w:val="000000"/>
                <w:sz w:val="20"/>
                <w:szCs w:val="20"/>
              </w:rPr>
            </w:pPr>
          </w:p>
        </w:tc>
      </w:tr>
      <w:tr w:rsidR="00A21ECA" w:rsidRPr="00425370" w14:paraId="16DAD8C1" w14:textId="77777777" w:rsidTr="00A21ECA">
        <w:trPr>
          <w:trHeight w:val="162"/>
          <w:tblHeader/>
        </w:trPr>
        <w:tc>
          <w:tcPr>
            <w:tcW w:w="1288" w:type="pct"/>
            <w:vMerge/>
            <w:tcBorders>
              <w:top w:val="single" w:sz="4" w:space="0" w:color="auto"/>
              <w:left w:val="nil"/>
              <w:bottom w:val="single" w:sz="4" w:space="0" w:color="auto"/>
              <w:right w:val="single" w:sz="4" w:space="0" w:color="auto"/>
            </w:tcBorders>
            <w:vAlign w:val="center"/>
            <w:hideMark/>
          </w:tcPr>
          <w:p w14:paraId="4AFF597A" w14:textId="77777777" w:rsidR="00A21ECA" w:rsidRPr="00425370" w:rsidRDefault="00A21ECA" w:rsidP="009D596B">
            <w:pPr>
              <w:jc w:val="left"/>
              <w:rPr>
                <w:rFonts w:cs="Arial"/>
                <w:b/>
                <w:bCs/>
                <w:color w:val="000000"/>
                <w:sz w:val="20"/>
                <w:szCs w:val="20"/>
              </w:rPr>
            </w:pPr>
          </w:p>
        </w:tc>
        <w:tc>
          <w:tcPr>
            <w:tcW w:w="833" w:type="pct"/>
            <w:tcBorders>
              <w:left w:val="nil"/>
              <w:bottom w:val="single" w:sz="4" w:space="0" w:color="auto"/>
              <w:right w:val="single" w:sz="4" w:space="0" w:color="auto"/>
            </w:tcBorders>
            <w:shd w:val="clear" w:color="000000" w:fill="A1F2FD"/>
            <w:vAlign w:val="center"/>
            <w:hideMark/>
          </w:tcPr>
          <w:p w14:paraId="41188911" w14:textId="0D753B52" w:rsidR="00A21ECA" w:rsidRPr="00425370" w:rsidRDefault="00A21ECA" w:rsidP="00A21ECA">
            <w:pPr>
              <w:jc w:val="center"/>
              <w:rPr>
                <w:rFonts w:cs="Arial"/>
                <w:b/>
                <w:bCs/>
                <w:color w:val="000000"/>
                <w:sz w:val="20"/>
                <w:szCs w:val="20"/>
              </w:rPr>
            </w:pPr>
            <w:r w:rsidRPr="00425370">
              <w:rPr>
                <w:rFonts w:cs="Arial"/>
                <w:b/>
                <w:bCs/>
                <w:color w:val="000000"/>
                <w:sz w:val="20"/>
                <w:szCs w:val="20"/>
              </w:rPr>
              <w:t>(a)</w:t>
            </w:r>
          </w:p>
        </w:tc>
        <w:tc>
          <w:tcPr>
            <w:tcW w:w="834" w:type="pct"/>
            <w:tcBorders>
              <w:left w:val="nil"/>
              <w:bottom w:val="single" w:sz="4" w:space="0" w:color="auto"/>
              <w:right w:val="single" w:sz="4" w:space="0" w:color="auto"/>
            </w:tcBorders>
            <w:shd w:val="clear" w:color="000000" w:fill="A1F2FD"/>
            <w:vAlign w:val="center"/>
            <w:hideMark/>
          </w:tcPr>
          <w:p w14:paraId="654F32A8" w14:textId="1C785D3A" w:rsidR="00A21ECA" w:rsidRPr="00425370" w:rsidRDefault="00A21ECA" w:rsidP="00A21ECA">
            <w:pPr>
              <w:jc w:val="center"/>
              <w:rPr>
                <w:rFonts w:cs="Arial"/>
                <w:b/>
                <w:bCs/>
                <w:color w:val="000000"/>
                <w:sz w:val="20"/>
                <w:szCs w:val="20"/>
              </w:rPr>
            </w:pPr>
            <w:r w:rsidRPr="00425370">
              <w:rPr>
                <w:rFonts w:cs="Arial"/>
                <w:b/>
                <w:bCs/>
                <w:color w:val="000000"/>
                <w:sz w:val="20"/>
                <w:szCs w:val="20"/>
              </w:rPr>
              <w:t>(b)</w:t>
            </w:r>
          </w:p>
        </w:tc>
        <w:tc>
          <w:tcPr>
            <w:tcW w:w="833" w:type="pct"/>
            <w:tcBorders>
              <w:left w:val="single" w:sz="4" w:space="0" w:color="auto"/>
              <w:bottom w:val="single" w:sz="4" w:space="0" w:color="000000"/>
              <w:right w:val="single" w:sz="4" w:space="0" w:color="auto"/>
            </w:tcBorders>
            <w:shd w:val="clear" w:color="000000" w:fill="A1F2FD"/>
            <w:vAlign w:val="center"/>
            <w:hideMark/>
          </w:tcPr>
          <w:p w14:paraId="2A573CEF" w14:textId="02DAE6F5" w:rsidR="00A21ECA" w:rsidRPr="00425370" w:rsidRDefault="00A21ECA" w:rsidP="00A21ECA">
            <w:pPr>
              <w:jc w:val="center"/>
              <w:rPr>
                <w:rFonts w:cs="Arial"/>
                <w:b/>
                <w:bCs/>
                <w:color w:val="000000"/>
                <w:sz w:val="20"/>
                <w:szCs w:val="20"/>
              </w:rPr>
            </w:pPr>
            <w:r w:rsidRPr="00425370">
              <w:rPr>
                <w:rFonts w:cs="Arial"/>
                <w:b/>
                <w:bCs/>
                <w:color w:val="000000"/>
                <w:sz w:val="20"/>
                <w:szCs w:val="20"/>
              </w:rPr>
              <w:t>(c)</w:t>
            </w:r>
          </w:p>
        </w:tc>
        <w:tc>
          <w:tcPr>
            <w:tcW w:w="606" w:type="pct"/>
            <w:tcBorders>
              <w:left w:val="nil"/>
              <w:bottom w:val="single" w:sz="4" w:space="0" w:color="auto"/>
              <w:right w:val="single" w:sz="4" w:space="0" w:color="auto"/>
            </w:tcBorders>
            <w:shd w:val="clear" w:color="000000" w:fill="A1F2FD"/>
            <w:vAlign w:val="center"/>
            <w:hideMark/>
          </w:tcPr>
          <w:p w14:paraId="6FC977DC" w14:textId="2D9F30D5" w:rsidR="00A21ECA" w:rsidRPr="00425370" w:rsidRDefault="00A21ECA" w:rsidP="00A21ECA">
            <w:pPr>
              <w:jc w:val="center"/>
              <w:rPr>
                <w:rFonts w:cs="Arial"/>
                <w:b/>
                <w:bCs/>
                <w:color w:val="000000"/>
                <w:sz w:val="20"/>
                <w:szCs w:val="20"/>
              </w:rPr>
            </w:pPr>
            <w:r w:rsidRPr="00425370">
              <w:rPr>
                <w:rFonts w:cs="Arial"/>
                <w:b/>
                <w:bCs/>
                <w:color w:val="000000"/>
                <w:sz w:val="20"/>
                <w:szCs w:val="20"/>
              </w:rPr>
              <w:t>(d) = (c/a)</w:t>
            </w:r>
          </w:p>
        </w:tc>
        <w:tc>
          <w:tcPr>
            <w:tcW w:w="605" w:type="pct"/>
            <w:tcBorders>
              <w:left w:val="nil"/>
              <w:bottom w:val="single" w:sz="4" w:space="0" w:color="auto"/>
              <w:right w:val="nil"/>
            </w:tcBorders>
            <w:shd w:val="clear" w:color="000000" w:fill="A1F2FD"/>
            <w:vAlign w:val="center"/>
            <w:hideMark/>
          </w:tcPr>
          <w:p w14:paraId="1F08275D" w14:textId="42AF99DD" w:rsidR="00A21ECA" w:rsidRPr="00425370" w:rsidRDefault="00A21ECA" w:rsidP="00A21ECA">
            <w:pPr>
              <w:jc w:val="center"/>
              <w:rPr>
                <w:rFonts w:cs="Arial"/>
                <w:b/>
                <w:bCs/>
                <w:color w:val="000000"/>
                <w:sz w:val="20"/>
                <w:szCs w:val="20"/>
              </w:rPr>
            </w:pPr>
            <w:r w:rsidRPr="00425370">
              <w:rPr>
                <w:rFonts w:cs="Arial"/>
                <w:b/>
                <w:bCs/>
                <w:color w:val="000000"/>
                <w:sz w:val="20"/>
                <w:szCs w:val="20"/>
              </w:rPr>
              <w:t>(e) = (c/b)</w:t>
            </w:r>
          </w:p>
        </w:tc>
      </w:tr>
      <w:tr w:rsidR="00A21ECA" w:rsidRPr="00425370" w14:paraId="289C5724" w14:textId="77777777" w:rsidTr="00A21ECA">
        <w:trPr>
          <w:trHeight w:val="255"/>
        </w:trPr>
        <w:tc>
          <w:tcPr>
            <w:tcW w:w="1288" w:type="pct"/>
            <w:tcBorders>
              <w:top w:val="nil"/>
              <w:left w:val="nil"/>
              <w:bottom w:val="nil"/>
              <w:right w:val="nil"/>
            </w:tcBorders>
            <w:shd w:val="clear" w:color="auto" w:fill="auto"/>
            <w:noWrap/>
            <w:vAlign w:val="center"/>
            <w:hideMark/>
          </w:tcPr>
          <w:p w14:paraId="64BA1FE7" w14:textId="77777777" w:rsidR="00A21ECA" w:rsidRPr="00425370" w:rsidRDefault="00A21ECA" w:rsidP="009D596B">
            <w:pPr>
              <w:jc w:val="center"/>
              <w:rPr>
                <w:rFonts w:cs="Arial"/>
                <w:color w:val="000000"/>
                <w:sz w:val="20"/>
                <w:szCs w:val="20"/>
              </w:rPr>
            </w:pPr>
            <w:r w:rsidRPr="00425370">
              <w:rPr>
                <w:rFonts w:cs="Arial"/>
                <w:color w:val="000000"/>
                <w:sz w:val="20"/>
                <w:szCs w:val="20"/>
              </w:rPr>
              <w:t>2023</w:t>
            </w:r>
          </w:p>
        </w:tc>
        <w:tc>
          <w:tcPr>
            <w:tcW w:w="833" w:type="pct"/>
            <w:tcBorders>
              <w:top w:val="nil"/>
              <w:left w:val="single" w:sz="4" w:space="0" w:color="auto"/>
              <w:bottom w:val="nil"/>
              <w:right w:val="nil"/>
            </w:tcBorders>
            <w:shd w:val="clear" w:color="auto" w:fill="auto"/>
            <w:noWrap/>
            <w:vAlign w:val="center"/>
            <w:hideMark/>
          </w:tcPr>
          <w:p w14:paraId="5366DF2C" w14:textId="77777777" w:rsidR="00A21ECA" w:rsidRPr="00425370" w:rsidRDefault="00A21ECA" w:rsidP="009D596B">
            <w:pPr>
              <w:jc w:val="right"/>
              <w:rPr>
                <w:rFonts w:cs="Arial"/>
                <w:color w:val="000000"/>
                <w:sz w:val="20"/>
                <w:szCs w:val="20"/>
              </w:rPr>
            </w:pPr>
            <w:r w:rsidRPr="00425370">
              <w:rPr>
                <w:rFonts w:cs="Arial"/>
                <w:color w:val="000000"/>
                <w:sz w:val="20"/>
                <w:szCs w:val="20"/>
              </w:rPr>
              <w:t>35.213.936.694</w:t>
            </w:r>
          </w:p>
        </w:tc>
        <w:tc>
          <w:tcPr>
            <w:tcW w:w="834" w:type="pct"/>
            <w:tcBorders>
              <w:top w:val="nil"/>
              <w:left w:val="single" w:sz="4" w:space="0" w:color="auto"/>
              <w:bottom w:val="nil"/>
              <w:right w:val="single" w:sz="4" w:space="0" w:color="auto"/>
            </w:tcBorders>
            <w:shd w:val="clear" w:color="auto" w:fill="auto"/>
            <w:noWrap/>
            <w:vAlign w:val="center"/>
            <w:hideMark/>
          </w:tcPr>
          <w:p w14:paraId="2C8C774C" w14:textId="77777777" w:rsidR="00A21ECA" w:rsidRPr="00425370" w:rsidRDefault="00A21ECA" w:rsidP="009D596B">
            <w:pPr>
              <w:jc w:val="right"/>
              <w:rPr>
                <w:rFonts w:cs="Arial"/>
                <w:color w:val="000000"/>
                <w:sz w:val="20"/>
                <w:szCs w:val="20"/>
              </w:rPr>
            </w:pPr>
            <w:r w:rsidRPr="00425370">
              <w:rPr>
                <w:rFonts w:cs="Arial"/>
                <w:color w:val="000000"/>
                <w:sz w:val="20"/>
                <w:szCs w:val="20"/>
              </w:rPr>
              <w:t>22.212.155.353</w:t>
            </w:r>
          </w:p>
        </w:tc>
        <w:tc>
          <w:tcPr>
            <w:tcW w:w="833" w:type="pct"/>
            <w:tcBorders>
              <w:top w:val="nil"/>
              <w:left w:val="nil"/>
              <w:bottom w:val="nil"/>
              <w:right w:val="single" w:sz="4" w:space="0" w:color="auto"/>
            </w:tcBorders>
            <w:shd w:val="clear" w:color="auto" w:fill="auto"/>
            <w:noWrap/>
            <w:vAlign w:val="center"/>
            <w:hideMark/>
          </w:tcPr>
          <w:p w14:paraId="23C9700F" w14:textId="77777777" w:rsidR="00A21ECA" w:rsidRPr="00425370" w:rsidRDefault="00A21ECA" w:rsidP="009D596B">
            <w:pPr>
              <w:jc w:val="right"/>
              <w:rPr>
                <w:rFonts w:cs="Arial"/>
                <w:color w:val="000000"/>
                <w:sz w:val="20"/>
                <w:szCs w:val="20"/>
              </w:rPr>
            </w:pPr>
            <w:r w:rsidRPr="00425370">
              <w:rPr>
                <w:rFonts w:cs="Arial"/>
                <w:color w:val="000000"/>
                <w:sz w:val="20"/>
                <w:szCs w:val="20"/>
              </w:rPr>
              <w:t>13.494.273.619</w:t>
            </w:r>
          </w:p>
        </w:tc>
        <w:tc>
          <w:tcPr>
            <w:tcW w:w="606" w:type="pct"/>
            <w:tcBorders>
              <w:top w:val="nil"/>
              <w:left w:val="nil"/>
              <w:bottom w:val="nil"/>
              <w:right w:val="single" w:sz="4" w:space="0" w:color="auto"/>
            </w:tcBorders>
            <w:shd w:val="clear" w:color="auto" w:fill="auto"/>
            <w:noWrap/>
            <w:vAlign w:val="center"/>
            <w:hideMark/>
          </w:tcPr>
          <w:p w14:paraId="01DCB3F0" w14:textId="77777777" w:rsidR="00A21ECA" w:rsidRPr="00425370" w:rsidRDefault="00A21ECA" w:rsidP="009D596B">
            <w:pPr>
              <w:jc w:val="center"/>
              <w:rPr>
                <w:rFonts w:cs="Arial"/>
                <w:color w:val="000000"/>
                <w:sz w:val="20"/>
                <w:szCs w:val="20"/>
              </w:rPr>
            </w:pPr>
            <w:r w:rsidRPr="00425370">
              <w:rPr>
                <w:rFonts w:cs="Arial"/>
                <w:color w:val="000000"/>
                <w:sz w:val="20"/>
                <w:szCs w:val="20"/>
              </w:rPr>
              <w:t>38,32</w:t>
            </w:r>
          </w:p>
        </w:tc>
        <w:tc>
          <w:tcPr>
            <w:tcW w:w="605" w:type="pct"/>
            <w:tcBorders>
              <w:top w:val="nil"/>
              <w:left w:val="nil"/>
              <w:bottom w:val="nil"/>
              <w:right w:val="nil"/>
            </w:tcBorders>
            <w:shd w:val="clear" w:color="auto" w:fill="auto"/>
            <w:noWrap/>
            <w:vAlign w:val="center"/>
            <w:hideMark/>
          </w:tcPr>
          <w:p w14:paraId="0AEFB26B" w14:textId="77777777" w:rsidR="00A21ECA" w:rsidRPr="00425370" w:rsidRDefault="00A21ECA" w:rsidP="009D596B">
            <w:pPr>
              <w:jc w:val="center"/>
              <w:rPr>
                <w:rFonts w:cs="Arial"/>
                <w:color w:val="000000"/>
                <w:sz w:val="20"/>
                <w:szCs w:val="20"/>
              </w:rPr>
            </w:pPr>
            <w:r w:rsidRPr="00425370">
              <w:rPr>
                <w:rFonts w:cs="Arial"/>
                <w:color w:val="000000"/>
                <w:sz w:val="20"/>
                <w:szCs w:val="20"/>
              </w:rPr>
              <w:t>60,75</w:t>
            </w:r>
          </w:p>
        </w:tc>
      </w:tr>
      <w:tr w:rsidR="00A21ECA" w:rsidRPr="00425370" w14:paraId="0FA19221" w14:textId="77777777" w:rsidTr="00A21ECA">
        <w:trPr>
          <w:trHeight w:val="255"/>
        </w:trPr>
        <w:tc>
          <w:tcPr>
            <w:tcW w:w="1288" w:type="pct"/>
            <w:tcBorders>
              <w:top w:val="nil"/>
              <w:left w:val="nil"/>
              <w:bottom w:val="nil"/>
              <w:right w:val="nil"/>
            </w:tcBorders>
            <w:shd w:val="clear" w:color="auto" w:fill="auto"/>
            <w:noWrap/>
            <w:vAlign w:val="center"/>
            <w:hideMark/>
          </w:tcPr>
          <w:p w14:paraId="10C7C741" w14:textId="77777777" w:rsidR="00A21ECA" w:rsidRPr="00425370" w:rsidRDefault="00A21ECA" w:rsidP="009D596B">
            <w:pPr>
              <w:jc w:val="center"/>
              <w:rPr>
                <w:rFonts w:cs="Arial"/>
                <w:color w:val="000000"/>
                <w:sz w:val="20"/>
                <w:szCs w:val="20"/>
              </w:rPr>
            </w:pPr>
            <w:r w:rsidRPr="00425370">
              <w:rPr>
                <w:rFonts w:cs="Arial"/>
                <w:color w:val="000000"/>
                <w:sz w:val="20"/>
                <w:szCs w:val="20"/>
              </w:rPr>
              <w:t>2022</w:t>
            </w:r>
          </w:p>
        </w:tc>
        <w:tc>
          <w:tcPr>
            <w:tcW w:w="833" w:type="pct"/>
            <w:tcBorders>
              <w:top w:val="nil"/>
              <w:left w:val="single" w:sz="4" w:space="0" w:color="auto"/>
              <w:bottom w:val="nil"/>
              <w:right w:val="nil"/>
            </w:tcBorders>
            <w:shd w:val="clear" w:color="auto" w:fill="auto"/>
            <w:noWrap/>
            <w:vAlign w:val="center"/>
            <w:hideMark/>
          </w:tcPr>
          <w:p w14:paraId="5B33C245" w14:textId="77777777" w:rsidR="00A21ECA" w:rsidRPr="00425370" w:rsidRDefault="00A21ECA" w:rsidP="009D596B">
            <w:pPr>
              <w:jc w:val="right"/>
              <w:rPr>
                <w:rFonts w:cs="Arial"/>
                <w:color w:val="000000"/>
                <w:sz w:val="20"/>
                <w:szCs w:val="20"/>
              </w:rPr>
            </w:pPr>
            <w:r w:rsidRPr="00425370">
              <w:rPr>
                <w:rFonts w:cs="Arial"/>
                <w:color w:val="000000"/>
                <w:sz w:val="20"/>
                <w:szCs w:val="20"/>
              </w:rPr>
              <w:t>33.615.706.033</w:t>
            </w:r>
          </w:p>
        </w:tc>
        <w:tc>
          <w:tcPr>
            <w:tcW w:w="834" w:type="pct"/>
            <w:tcBorders>
              <w:top w:val="nil"/>
              <w:left w:val="single" w:sz="4" w:space="0" w:color="auto"/>
              <w:bottom w:val="nil"/>
              <w:right w:val="single" w:sz="4" w:space="0" w:color="auto"/>
            </w:tcBorders>
            <w:shd w:val="clear" w:color="auto" w:fill="auto"/>
            <w:noWrap/>
            <w:vAlign w:val="center"/>
            <w:hideMark/>
          </w:tcPr>
          <w:p w14:paraId="6BB0B55B" w14:textId="77777777" w:rsidR="00A21ECA" w:rsidRPr="00425370" w:rsidRDefault="00A21ECA" w:rsidP="009D596B">
            <w:pPr>
              <w:jc w:val="right"/>
              <w:rPr>
                <w:rFonts w:cs="Arial"/>
                <w:color w:val="000000"/>
                <w:sz w:val="20"/>
                <w:szCs w:val="20"/>
              </w:rPr>
            </w:pPr>
            <w:r w:rsidRPr="00425370">
              <w:rPr>
                <w:rFonts w:cs="Arial"/>
                <w:color w:val="000000"/>
                <w:sz w:val="20"/>
                <w:szCs w:val="20"/>
              </w:rPr>
              <w:t>21.267.567.311</w:t>
            </w:r>
          </w:p>
        </w:tc>
        <w:tc>
          <w:tcPr>
            <w:tcW w:w="833" w:type="pct"/>
            <w:tcBorders>
              <w:top w:val="nil"/>
              <w:left w:val="nil"/>
              <w:bottom w:val="nil"/>
              <w:right w:val="single" w:sz="4" w:space="0" w:color="auto"/>
            </w:tcBorders>
            <w:shd w:val="clear" w:color="auto" w:fill="auto"/>
            <w:noWrap/>
            <w:vAlign w:val="center"/>
            <w:hideMark/>
          </w:tcPr>
          <w:p w14:paraId="752A55F2" w14:textId="77777777" w:rsidR="00A21ECA" w:rsidRPr="00425370" w:rsidRDefault="00A21ECA" w:rsidP="009D596B">
            <w:pPr>
              <w:jc w:val="right"/>
              <w:rPr>
                <w:rFonts w:cs="Arial"/>
                <w:color w:val="000000"/>
                <w:sz w:val="20"/>
                <w:szCs w:val="20"/>
              </w:rPr>
            </w:pPr>
            <w:r w:rsidRPr="00425370">
              <w:rPr>
                <w:rFonts w:cs="Arial"/>
                <w:color w:val="000000"/>
                <w:sz w:val="20"/>
                <w:szCs w:val="20"/>
              </w:rPr>
              <w:t>12.826.183.659</w:t>
            </w:r>
          </w:p>
        </w:tc>
        <w:tc>
          <w:tcPr>
            <w:tcW w:w="606" w:type="pct"/>
            <w:tcBorders>
              <w:top w:val="nil"/>
              <w:left w:val="nil"/>
              <w:bottom w:val="nil"/>
              <w:right w:val="single" w:sz="4" w:space="0" w:color="auto"/>
            </w:tcBorders>
            <w:shd w:val="clear" w:color="auto" w:fill="auto"/>
            <w:noWrap/>
            <w:vAlign w:val="center"/>
            <w:hideMark/>
          </w:tcPr>
          <w:p w14:paraId="743028B6" w14:textId="77777777" w:rsidR="00A21ECA" w:rsidRPr="00425370" w:rsidRDefault="00A21ECA" w:rsidP="009D596B">
            <w:pPr>
              <w:jc w:val="center"/>
              <w:rPr>
                <w:rFonts w:cs="Arial"/>
                <w:color w:val="000000"/>
                <w:sz w:val="20"/>
                <w:szCs w:val="20"/>
              </w:rPr>
            </w:pPr>
            <w:r w:rsidRPr="00425370">
              <w:rPr>
                <w:rFonts w:cs="Arial"/>
                <w:color w:val="000000"/>
                <w:sz w:val="20"/>
                <w:szCs w:val="20"/>
              </w:rPr>
              <w:t>38,16</w:t>
            </w:r>
          </w:p>
        </w:tc>
        <w:tc>
          <w:tcPr>
            <w:tcW w:w="605" w:type="pct"/>
            <w:tcBorders>
              <w:top w:val="nil"/>
              <w:left w:val="nil"/>
              <w:bottom w:val="nil"/>
              <w:right w:val="nil"/>
            </w:tcBorders>
            <w:shd w:val="clear" w:color="auto" w:fill="auto"/>
            <w:noWrap/>
            <w:vAlign w:val="center"/>
            <w:hideMark/>
          </w:tcPr>
          <w:p w14:paraId="7696BB6F" w14:textId="77777777" w:rsidR="00A21ECA" w:rsidRPr="00425370" w:rsidRDefault="00A21ECA" w:rsidP="009D596B">
            <w:pPr>
              <w:jc w:val="center"/>
              <w:rPr>
                <w:rFonts w:cs="Arial"/>
                <w:color w:val="000000"/>
                <w:sz w:val="20"/>
                <w:szCs w:val="20"/>
              </w:rPr>
            </w:pPr>
            <w:r w:rsidRPr="00425370">
              <w:rPr>
                <w:rFonts w:cs="Arial"/>
                <w:color w:val="000000"/>
                <w:sz w:val="20"/>
                <w:szCs w:val="20"/>
              </w:rPr>
              <w:t>60,31</w:t>
            </w:r>
          </w:p>
        </w:tc>
      </w:tr>
      <w:tr w:rsidR="00A21ECA" w:rsidRPr="00425370" w14:paraId="342BEE2C" w14:textId="77777777" w:rsidTr="00A21ECA">
        <w:trPr>
          <w:trHeight w:val="255"/>
        </w:trPr>
        <w:tc>
          <w:tcPr>
            <w:tcW w:w="1288" w:type="pct"/>
            <w:tcBorders>
              <w:top w:val="nil"/>
              <w:left w:val="nil"/>
              <w:bottom w:val="single" w:sz="4" w:space="0" w:color="auto"/>
              <w:right w:val="nil"/>
            </w:tcBorders>
            <w:shd w:val="clear" w:color="auto" w:fill="auto"/>
            <w:noWrap/>
            <w:vAlign w:val="center"/>
            <w:hideMark/>
          </w:tcPr>
          <w:p w14:paraId="446FB8C1" w14:textId="77777777" w:rsidR="00A21ECA" w:rsidRPr="00425370" w:rsidRDefault="00A21ECA" w:rsidP="009D596B">
            <w:pPr>
              <w:jc w:val="center"/>
              <w:rPr>
                <w:rFonts w:cs="Arial"/>
                <w:color w:val="000000"/>
                <w:sz w:val="20"/>
                <w:szCs w:val="20"/>
              </w:rPr>
            </w:pPr>
            <w:r w:rsidRPr="00425370">
              <w:rPr>
                <w:rFonts w:cs="Arial"/>
                <w:color w:val="000000"/>
                <w:sz w:val="20"/>
                <w:szCs w:val="20"/>
              </w:rPr>
              <w:t>2021</w:t>
            </w:r>
          </w:p>
        </w:tc>
        <w:tc>
          <w:tcPr>
            <w:tcW w:w="833" w:type="pct"/>
            <w:tcBorders>
              <w:top w:val="nil"/>
              <w:left w:val="single" w:sz="4" w:space="0" w:color="auto"/>
              <w:bottom w:val="single" w:sz="4" w:space="0" w:color="auto"/>
              <w:right w:val="nil"/>
            </w:tcBorders>
            <w:shd w:val="clear" w:color="auto" w:fill="auto"/>
            <w:noWrap/>
            <w:vAlign w:val="center"/>
            <w:hideMark/>
          </w:tcPr>
          <w:p w14:paraId="0D0FA9DF" w14:textId="77777777" w:rsidR="00A21ECA" w:rsidRPr="00425370" w:rsidRDefault="00A21ECA" w:rsidP="009D596B">
            <w:pPr>
              <w:jc w:val="right"/>
              <w:rPr>
                <w:rFonts w:cs="Arial"/>
                <w:color w:val="000000"/>
                <w:sz w:val="20"/>
                <w:szCs w:val="20"/>
              </w:rPr>
            </w:pPr>
            <w:r w:rsidRPr="00425370">
              <w:rPr>
                <w:rFonts w:cs="Arial"/>
                <w:color w:val="000000"/>
                <w:sz w:val="20"/>
                <w:szCs w:val="20"/>
              </w:rPr>
              <w:t>31.892.775.145</w:t>
            </w:r>
          </w:p>
        </w:tc>
        <w:tc>
          <w:tcPr>
            <w:tcW w:w="834" w:type="pct"/>
            <w:tcBorders>
              <w:top w:val="nil"/>
              <w:left w:val="single" w:sz="4" w:space="0" w:color="auto"/>
              <w:bottom w:val="single" w:sz="4" w:space="0" w:color="auto"/>
              <w:right w:val="nil"/>
            </w:tcBorders>
            <w:shd w:val="clear" w:color="auto" w:fill="auto"/>
            <w:noWrap/>
            <w:vAlign w:val="center"/>
            <w:hideMark/>
          </w:tcPr>
          <w:p w14:paraId="2CF476C0" w14:textId="77777777" w:rsidR="00A21ECA" w:rsidRPr="00425370" w:rsidRDefault="00A21ECA" w:rsidP="009D596B">
            <w:pPr>
              <w:jc w:val="right"/>
              <w:rPr>
                <w:rFonts w:cs="Arial"/>
                <w:color w:val="000000"/>
                <w:sz w:val="20"/>
                <w:szCs w:val="20"/>
              </w:rPr>
            </w:pPr>
            <w:r w:rsidRPr="00425370">
              <w:rPr>
                <w:rFonts w:cs="Arial"/>
                <w:color w:val="000000"/>
                <w:sz w:val="20"/>
                <w:szCs w:val="20"/>
              </w:rPr>
              <w:t>19.854.383.718</w:t>
            </w:r>
          </w:p>
        </w:tc>
        <w:tc>
          <w:tcPr>
            <w:tcW w:w="833" w:type="pct"/>
            <w:tcBorders>
              <w:top w:val="nil"/>
              <w:left w:val="single" w:sz="4" w:space="0" w:color="auto"/>
              <w:bottom w:val="single" w:sz="4" w:space="0" w:color="auto"/>
              <w:right w:val="single" w:sz="4" w:space="0" w:color="auto"/>
            </w:tcBorders>
            <w:shd w:val="clear" w:color="auto" w:fill="auto"/>
            <w:noWrap/>
            <w:vAlign w:val="center"/>
            <w:hideMark/>
          </w:tcPr>
          <w:p w14:paraId="397C7A11" w14:textId="77777777" w:rsidR="00A21ECA" w:rsidRPr="00425370" w:rsidRDefault="00A21ECA" w:rsidP="009D596B">
            <w:pPr>
              <w:jc w:val="right"/>
              <w:rPr>
                <w:rFonts w:cs="Arial"/>
                <w:sz w:val="20"/>
                <w:szCs w:val="20"/>
              </w:rPr>
            </w:pPr>
            <w:r w:rsidRPr="00425370">
              <w:rPr>
                <w:rFonts w:cs="Arial"/>
                <w:sz w:val="20"/>
                <w:szCs w:val="20"/>
              </w:rPr>
              <w:t>12.495.834.704</w:t>
            </w:r>
          </w:p>
        </w:tc>
        <w:tc>
          <w:tcPr>
            <w:tcW w:w="606" w:type="pct"/>
            <w:tcBorders>
              <w:top w:val="nil"/>
              <w:left w:val="nil"/>
              <w:bottom w:val="single" w:sz="4" w:space="0" w:color="auto"/>
              <w:right w:val="single" w:sz="4" w:space="0" w:color="auto"/>
            </w:tcBorders>
            <w:shd w:val="clear" w:color="auto" w:fill="auto"/>
            <w:noWrap/>
            <w:vAlign w:val="center"/>
            <w:hideMark/>
          </w:tcPr>
          <w:p w14:paraId="7763C19A" w14:textId="77777777" w:rsidR="00A21ECA" w:rsidRPr="00425370" w:rsidRDefault="00A21ECA" w:rsidP="009D596B">
            <w:pPr>
              <w:jc w:val="center"/>
              <w:rPr>
                <w:rFonts w:cs="Arial"/>
                <w:color w:val="000000"/>
                <w:sz w:val="20"/>
                <w:szCs w:val="20"/>
              </w:rPr>
            </w:pPr>
            <w:r w:rsidRPr="00425370">
              <w:rPr>
                <w:rFonts w:cs="Arial"/>
                <w:color w:val="000000"/>
                <w:sz w:val="20"/>
                <w:szCs w:val="20"/>
              </w:rPr>
              <w:t>39,18</w:t>
            </w:r>
          </w:p>
        </w:tc>
        <w:tc>
          <w:tcPr>
            <w:tcW w:w="605" w:type="pct"/>
            <w:tcBorders>
              <w:top w:val="nil"/>
              <w:left w:val="nil"/>
              <w:bottom w:val="single" w:sz="4" w:space="0" w:color="auto"/>
              <w:right w:val="nil"/>
            </w:tcBorders>
            <w:shd w:val="clear" w:color="auto" w:fill="auto"/>
            <w:noWrap/>
            <w:vAlign w:val="center"/>
            <w:hideMark/>
          </w:tcPr>
          <w:p w14:paraId="49073292" w14:textId="77777777" w:rsidR="00A21ECA" w:rsidRPr="00425370" w:rsidRDefault="00A21ECA" w:rsidP="009D596B">
            <w:pPr>
              <w:jc w:val="center"/>
              <w:rPr>
                <w:rFonts w:cs="Arial"/>
                <w:color w:val="000000"/>
                <w:sz w:val="20"/>
                <w:szCs w:val="20"/>
              </w:rPr>
            </w:pPr>
            <w:r w:rsidRPr="00425370">
              <w:rPr>
                <w:rFonts w:cs="Arial"/>
                <w:color w:val="000000"/>
                <w:sz w:val="20"/>
                <w:szCs w:val="20"/>
              </w:rPr>
              <w:t>62,94</w:t>
            </w:r>
          </w:p>
        </w:tc>
      </w:tr>
    </w:tbl>
    <w:p w14:paraId="145CCD60" w14:textId="77777777" w:rsidR="00A21ECA" w:rsidRPr="001C46F9" w:rsidRDefault="00A21ECA" w:rsidP="00EF01A1">
      <w:pPr>
        <w:pStyle w:val="1-FONTE8ESQ"/>
        <w:rPr>
          <w:u w:val="double"/>
        </w:rPr>
      </w:pPr>
      <w:r>
        <w:t>Fonte: Balanço Geral do Estado – 2021 a 2023</w:t>
      </w:r>
    </w:p>
    <w:p w14:paraId="473FA8FA" w14:textId="77777777" w:rsidR="00A21ECA" w:rsidRDefault="00A21ECA" w:rsidP="00A21ECA">
      <w:pPr>
        <w:pStyle w:val="1-REL11"/>
      </w:pPr>
      <w:r w:rsidRPr="00AE392A">
        <w:t xml:space="preserve">Extrai-se </w:t>
      </w:r>
      <w:r>
        <w:t>da tabela acima que, em média, a renúncia concedida equivale a 38,55% da receita tributária bruta e 61,33% da receita tributária líquida, sendo que este último indicador apresenta consonância com os dados referentes às estimativas para os próximos exercícios, tratados no item anterior.</w:t>
      </w:r>
    </w:p>
    <w:p w14:paraId="70425523" w14:textId="77777777" w:rsidR="00A21ECA" w:rsidRDefault="00A21ECA" w:rsidP="00A21ECA">
      <w:pPr>
        <w:pStyle w:val="1-REL11"/>
      </w:pPr>
      <w:r>
        <w:t>A seguir, baseando-se nas informações encaminhadas pela Superintendência de Informações Fiscais (evento 31) junto à Secretaria de Estado da Economia (ECONOMIA), apresenta-se uma série de gráficos contendo dados relativos à renúncia de receita no estado de Goiás em 2023.</w:t>
      </w:r>
    </w:p>
    <w:p w14:paraId="38B6AC4C" w14:textId="57DB123C" w:rsidR="00C26926" w:rsidRDefault="00A21ECA" w:rsidP="00C26926">
      <w:pPr>
        <w:pStyle w:val="1-REL11"/>
      </w:pPr>
      <w:r>
        <w:t>Inicialmente, apresenta-se gráfico demonstrando a renúncia por tipo de impostos:</w:t>
      </w:r>
    </w:p>
    <w:p w14:paraId="52FCA704" w14:textId="77777777" w:rsidR="00C26926" w:rsidRDefault="00C26926" w:rsidP="00C45CAE">
      <w:pPr>
        <w:pStyle w:val="0-GRFICO"/>
      </w:pPr>
      <w:bookmarkStart w:id="242" w:name="_Toc167825110"/>
      <w:r>
        <w:t>Renúncia de Receita por Tipo de Impostos</w:t>
      </w:r>
      <w:bookmarkEnd w:id="242"/>
    </w:p>
    <w:p w14:paraId="41A02243" w14:textId="77777777" w:rsidR="00C26926" w:rsidRDefault="00C26926" w:rsidP="00EF01A1">
      <w:pPr>
        <w:pStyle w:val="1-FONTE8ESQ"/>
        <w:rPr>
          <w:noProof/>
        </w:rPr>
      </w:pPr>
    </w:p>
    <w:p w14:paraId="374F4E11" w14:textId="77777777" w:rsidR="00C26926" w:rsidRDefault="00C26926" w:rsidP="00EF01A1">
      <w:pPr>
        <w:pStyle w:val="1-FONTE8ESQ"/>
      </w:pPr>
      <w:r>
        <w:rPr>
          <w:noProof/>
        </w:rPr>
        <w:drawing>
          <wp:inline distT="0" distB="0" distL="0" distR="0" wp14:anchorId="530ED7EE" wp14:editId="115C895C">
            <wp:extent cx="5852160" cy="3105150"/>
            <wp:effectExtent l="0" t="0" r="148590" b="152400"/>
            <wp:docPr id="3" name="Gráfico 3">
              <a:extLst xmlns:a="http://schemas.openxmlformats.org/drawingml/2006/main">
                <a:ext uri="{FF2B5EF4-FFF2-40B4-BE49-F238E27FC236}">
                  <a16:creationId xmlns:a16="http://schemas.microsoft.com/office/drawing/2014/main" id="{D8DF7423-4D23-4975-99A3-57E3247EEAA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7872A0F6" w14:textId="77777777" w:rsidR="00C26926" w:rsidRDefault="00C26926" w:rsidP="00653B38">
      <w:pPr>
        <w:pStyle w:val="1-FONTEcentralizado"/>
      </w:pPr>
      <w:r>
        <w:t>Fonte: Relatório – Renúncia Fiscal (evento 31)</w:t>
      </w:r>
    </w:p>
    <w:p w14:paraId="7669CD8F" w14:textId="14E35791" w:rsidR="00C26926" w:rsidRDefault="00C26926" w:rsidP="00C26926">
      <w:pPr>
        <w:pStyle w:val="1-REL11"/>
        <w:rPr>
          <w:u w:val="double"/>
        </w:rPr>
      </w:pPr>
      <w:r>
        <w:lastRenderedPageBreak/>
        <w:t>A seguir, demonstra-se gráfico por modalidade de renúncia:</w:t>
      </w:r>
    </w:p>
    <w:p w14:paraId="53FFCE59" w14:textId="77777777" w:rsidR="00C26926" w:rsidRDefault="00C26926" w:rsidP="00B000B6">
      <w:pPr>
        <w:pStyle w:val="0-GRFICO"/>
        <w:numPr>
          <w:ilvl w:val="0"/>
          <w:numId w:val="38"/>
        </w:numPr>
        <w:tabs>
          <w:tab w:val="clear" w:pos="1418"/>
          <w:tab w:val="left" w:pos="993"/>
        </w:tabs>
        <w:ind w:left="360" w:hanging="360"/>
      </w:pPr>
      <w:bookmarkStart w:id="243" w:name="_Toc167825111"/>
      <w:r>
        <w:t>Renúncia de Receita por Modalidade</w:t>
      </w:r>
      <w:bookmarkEnd w:id="243"/>
    </w:p>
    <w:p w14:paraId="179C1FA6" w14:textId="77777777" w:rsidR="00C26926" w:rsidRDefault="00C26926" w:rsidP="00EF01A1">
      <w:pPr>
        <w:pStyle w:val="1-FONTE8ESQ"/>
        <w:rPr>
          <w:u w:val="double"/>
        </w:rPr>
      </w:pPr>
      <w:r>
        <w:rPr>
          <w:noProof/>
        </w:rPr>
        <w:drawing>
          <wp:inline distT="0" distB="0" distL="0" distR="0" wp14:anchorId="427BAC9D" wp14:editId="1F19A3A1">
            <wp:extent cx="5883910" cy="2609850"/>
            <wp:effectExtent l="38100" t="0" r="154940" b="152400"/>
            <wp:docPr id="39" name="Gráfico 39">
              <a:extLst xmlns:a="http://schemas.openxmlformats.org/drawingml/2006/main">
                <a:ext uri="{FF2B5EF4-FFF2-40B4-BE49-F238E27FC236}">
                  <a16:creationId xmlns:a16="http://schemas.microsoft.com/office/drawing/2014/main" id="{69EC3108-88FF-40C0-B161-37924EF84DD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5B76EBAF" w14:textId="77777777" w:rsidR="00C26926" w:rsidRDefault="00C26926" w:rsidP="00653B38">
      <w:pPr>
        <w:pStyle w:val="1-FONTEcentralizado"/>
      </w:pPr>
      <w:r>
        <w:t>Fonte: Relatório – Renúncia Fiscal (evento 31)</w:t>
      </w:r>
    </w:p>
    <w:p w14:paraId="7C3C843E" w14:textId="77777777" w:rsidR="00C26926" w:rsidRDefault="00C26926" w:rsidP="00EF01A1">
      <w:pPr>
        <w:pStyle w:val="1-FONTE8ESQ"/>
      </w:pPr>
    </w:p>
    <w:p w14:paraId="05979453" w14:textId="5D6FE32B" w:rsidR="00C26926" w:rsidRDefault="00C26926" w:rsidP="00425370">
      <w:pPr>
        <w:pStyle w:val="1-REL11"/>
        <w:spacing w:after="120"/>
        <w:jc w:val="left"/>
        <w:rPr>
          <w:u w:val="double"/>
        </w:rPr>
      </w:pPr>
      <w:r>
        <w:t>Já o gráfico abaixo apresenta a renúncia de receita por atividade econômica, considerando os dados relativos ao ICMS:</w:t>
      </w:r>
    </w:p>
    <w:p w14:paraId="2321D9D8" w14:textId="77777777" w:rsidR="00C26926" w:rsidRDefault="00C26926" w:rsidP="00B000B6">
      <w:pPr>
        <w:pStyle w:val="0-GRFICO"/>
        <w:numPr>
          <w:ilvl w:val="0"/>
          <w:numId w:val="38"/>
        </w:numPr>
        <w:tabs>
          <w:tab w:val="clear" w:pos="1418"/>
          <w:tab w:val="left" w:pos="1134"/>
        </w:tabs>
        <w:ind w:left="360" w:hanging="360"/>
      </w:pPr>
      <w:bookmarkStart w:id="244" w:name="_Toc167825112"/>
      <w:r w:rsidRPr="00E8185E">
        <w:t xml:space="preserve">Renúncia de Receita </w:t>
      </w:r>
      <w:r>
        <w:t>por Atividade Econômica (ICMS – Crédito Outorgado, Redução de Base de Cálculo e Isenção)</w:t>
      </w:r>
      <w:bookmarkEnd w:id="244"/>
    </w:p>
    <w:p w14:paraId="64AEF4F4" w14:textId="77777777" w:rsidR="00C26926" w:rsidRDefault="00C26926" w:rsidP="00C26926">
      <w:pPr>
        <w:pStyle w:val="0-EmR1"/>
      </w:pPr>
    </w:p>
    <w:p w14:paraId="0C39643F" w14:textId="77777777" w:rsidR="00C26926" w:rsidRDefault="00C26926" w:rsidP="00C26926">
      <w:pPr>
        <w:pStyle w:val="0-EmR1"/>
      </w:pPr>
      <w:r>
        <w:rPr>
          <w:noProof/>
        </w:rPr>
        <w:drawing>
          <wp:inline distT="0" distB="0" distL="0" distR="0" wp14:anchorId="06487C90" wp14:editId="1CD6276D">
            <wp:extent cx="5774690" cy="2266950"/>
            <wp:effectExtent l="38100" t="0" r="149860" b="152400"/>
            <wp:docPr id="44" name="Gráfico 44">
              <a:extLst xmlns:a="http://schemas.openxmlformats.org/drawingml/2006/main">
                <a:ext uri="{FF2B5EF4-FFF2-40B4-BE49-F238E27FC236}">
                  <a16:creationId xmlns:a16="http://schemas.microsoft.com/office/drawing/2014/main" id="{AB3B166F-8880-48A6-8377-43EB333785F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10C78A46" w14:textId="77777777" w:rsidR="00C26926" w:rsidRDefault="00C26926" w:rsidP="00653B38">
      <w:pPr>
        <w:pStyle w:val="1-FONTEcentralizado"/>
      </w:pPr>
      <w:r>
        <w:t>Fonte: Relatório – Renúncia Fiscal (evento 31)</w:t>
      </w:r>
    </w:p>
    <w:p w14:paraId="586E92C3" w14:textId="77777777" w:rsidR="00C26926" w:rsidRDefault="00C26926" w:rsidP="00425370">
      <w:pPr>
        <w:pStyle w:val="1-REL11"/>
        <w:spacing w:after="120"/>
      </w:pPr>
      <w:r>
        <w:lastRenderedPageBreak/>
        <w:t>Abaixo, apresenta-se gráfico da renúncia de receita concedida por região do Estado:</w:t>
      </w:r>
    </w:p>
    <w:p w14:paraId="25011DE1" w14:textId="77777777" w:rsidR="00C26926" w:rsidRDefault="00C26926" w:rsidP="00B000B6">
      <w:pPr>
        <w:pStyle w:val="0-GRFICO"/>
        <w:numPr>
          <w:ilvl w:val="0"/>
          <w:numId w:val="38"/>
        </w:numPr>
        <w:tabs>
          <w:tab w:val="clear" w:pos="1418"/>
          <w:tab w:val="left" w:pos="1134"/>
        </w:tabs>
        <w:ind w:left="568" w:hanging="284"/>
      </w:pPr>
      <w:bookmarkStart w:id="245" w:name="_Toc167825113"/>
      <w:r w:rsidRPr="00E8185E">
        <w:t xml:space="preserve">Renúncia de Receita </w:t>
      </w:r>
      <w:r>
        <w:t>por Região (ICMS – Crédito Outorgado)</w:t>
      </w:r>
      <w:bookmarkEnd w:id="245"/>
    </w:p>
    <w:p w14:paraId="36E40ED0" w14:textId="77777777" w:rsidR="00C26926" w:rsidRDefault="00C26926" w:rsidP="00653B38">
      <w:pPr>
        <w:pStyle w:val="1-FONTEcentralizado"/>
      </w:pPr>
      <w:r>
        <w:rPr>
          <w:noProof/>
        </w:rPr>
        <w:drawing>
          <wp:inline distT="0" distB="0" distL="0" distR="0" wp14:anchorId="05252C78" wp14:editId="30095FDE">
            <wp:extent cx="5843905" cy="2668772"/>
            <wp:effectExtent l="38100" t="0" r="156845" b="151130"/>
            <wp:docPr id="45" name="Gráfico 45">
              <a:extLst xmlns:a="http://schemas.openxmlformats.org/drawingml/2006/main">
                <a:ext uri="{FF2B5EF4-FFF2-40B4-BE49-F238E27FC236}">
                  <a16:creationId xmlns:a16="http://schemas.microsoft.com/office/drawing/2014/main" id="{860535FD-84BF-4AF7-9DCA-26CC23B458E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r>
        <w:t>Fonte: Relatório – Renúncia Fiscal (evento 31)</w:t>
      </w:r>
    </w:p>
    <w:p w14:paraId="661925BD" w14:textId="77777777" w:rsidR="00C26926" w:rsidRDefault="00C26926" w:rsidP="00C26926">
      <w:pPr>
        <w:pStyle w:val="1-REL11"/>
      </w:pPr>
      <w:r>
        <w:t>Por último, demonstra-se os 10 maiores munícipios favorecidos por benefícios fiscais concedidos pelo Estado relativos ao ICMS:</w:t>
      </w:r>
    </w:p>
    <w:p w14:paraId="6DC9BE3E" w14:textId="77777777" w:rsidR="00C26926" w:rsidRDefault="00C26926" w:rsidP="00B000B6">
      <w:pPr>
        <w:pStyle w:val="0-GRFICO"/>
        <w:numPr>
          <w:ilvl w:val="0"/>
          <w:numId w:val="38"/>
        </w:numPr>
        <w:tabs>
          <w:tab w:val="clear" w:pos="1418"/>
          <w:tab w:val="left" w:pos="1134"/>
        </w:tabs>
        <w:ind w:left="360" w:hanging="360"/>
      </w:pPr>
      <w:bookmarkStart w:id="246" w:name="_Toc167825114"/>
      <w:r w:rsidRPr="00E8185E">
        <w:t xml:space="preserve">Renúncia de Receita </w:t>
      </w:r>
      <w:r>
        <w:t>– 10 Maiores Municípios (ICMS – Crédito Outorgado, Fomentar e Produzir)</w:t>
      </w:r>
      <w:bookmarkEnd w:id="246"/>
    </w:p>
    <w:p w14:paraId="6F9430A7" w14:textId="77777777" w:rsidR="00C26926" w:rsidRDefault="00C26926" w:rsidP="00653B38">
      <w:pPr>
        <w:pStyle w:val="1-FONTEcentralizado"/>
      </w:pPr>
      <w:r>
        <w:rPr>
          <w:noProof/>
        </w:rPr>
        <w:drawing>
          <wp:inline distT="0" distB="0" distL="0" distR="0" wp14:anchorId="55084A1F" wp14:editId="2A97E7DF">
            <wp:extent cx="5796280" cy="2423795"/>
            <wp:effectExtent l="0" t="0" r="147320" b="147955"/>
            <wp:docPr id="46" name="Gráfico 46">
              <a:extLst xmlns:a="http://schemas.openxmlformats.org/drawingml/2006/main">
                <a:ext uri="{FF2B5EF4-FFF2-40B4-BE49-F238E27FC236}">
                  <a16:creationId xmlns:a16="http://schemas.microsoft.com/office/drawing/2014/main" id="{6B81D6A1-4A15-46C2-AEC3-22B5ED34FAC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r>
        <w:t>Fonte: Relatório – Renúncia Fiscal (evento 31)</w:t>
      </w:r>
    </w:p>
    <w:p w14:paraId="231B78AC" w14:textId="77777777" w:rsidR="00C26926" w:rsidRDefault="00C26926" w:rsidP="00C26926">
      <w:pPr>
        <w:pStyle w:val="1-REL11"/>
      </w:pPr>
      <w:r w:rsidRPr="00CE7639">
        <w:lastRenderedPageBreak/>
        <w:t>Por fim, considerando que em 2023 a meta fiscal de resultado primário e nominal foi atendida (Capítulo 4 – Gestão Fiscal) e que houve excesso de arrecadação e superávit orçamentário (Capítulo 3 – Gestão Orçamentária e Financeira), a renúncia de receita concedida não comprometeu os resultados fiscais da LDO.</w:t>
      </w:r>
    </w:p>
    <w:p w14:paraId="6FF117A7" w14:textId="77777777" w:rsidR="00C26926" w:rsidRPr="00854AD2" w:rsidRDefault="00C26926" w:rsidP="00A224E9">
      <w:pPr>
        <w:pStyle w:val="Ttulo3"/>
      </w:pPr>
      <w:bookmarkStart w:id="247" w:name="_Toc167871692"/>
      <w:r w:rsidRPr="00854AD2">
        <w:t>Evidenciação e Registro da Renúncia de Receita</w:t>
      </w:r>
      <w:bookmarkEnd w:id="247"/>
    </w:p>
    <w:p w14:paraId="0F255237" w14:textId="7D038950" w:rsidR="00C26926" w:rsidRDefault="00C26926" w:rsidP="00C26926">
      <w:pPr>
        <w:pStyle w:val="1-REL11"/>
      </w:pPr>
      <w:r>
        <w:t>Conforme o MCASP (9ª</w:t>
      </w:r>
      <w:r w:rsidR="00CE7639">
        <w:t> </w:t>
      </w:r>
      <w:r>
        <w:t xml:space="preserve">edição, </w:t>
      </w:r>
      <w:r w:rsidRPr="00CE7639">
        <w:t>pág</w:t>
      </w:r>
      <w:r w:rsidR="00CE7639">
        <w:t> </w:t>
      </w:r>
      <w:r w:rsidRPr="00CE7639">
        <w:t>66</w:t>
      </w:r>
      <w:r>
        <w:t>), a evidenciação da renúncia de receitas poderá ser efetuada de diversas maneiras, sendo contabilizada somente nos casos em que seja possível mensurar um valor confiável, devendo-se utilizar metodologia de dedução da receita orçamentária através de uma conta redutora da receita original. Já sob o ponto de vista patrimonial, deve-se proceder a respectiva baixa pelos valores renunciados após o registro do ativo pelo regime de competência.</w:t>
      </w:r>
    </w:p>
    <w:p w14:paraId="25CFB4DD" w14:textId="77777777" w:rsidR="00C26926" w:rsidRDefault="00C26926" w:rsidP="00C26926">
      <w:pPr>
        <w:pStyle w:val="1-REL11"/>
      </w:pPr>
      <w:r>
        <w:t>Já a Instrução de Procedimentos Contábeis (IPC) 16 – Benefícios Fiscais</w:t>
      </w:r>
      <w:r>
        <w:rPr>
          <w:rStyle w:val="Refdenotaderodap"/>
        </w:rPr>
        <w:footnoteReference w:id="19"/>
      </w:r>
      <w:r>
        <w:t xml:space="preserve"> aborda o registro contábil da renúncia de receitas apenas sob o aspecto de controle, devendo ser respeitado o princípio da competência, não tratando do assunto sobre o prisma dos registros orçamentário e patrimonial. </w:t>
      </w:r>
    </w:p>
    <w:p w14:paraId="2C5A548F" w14:textId="4C27B13C" w:rsidR="00C26926" w:rsidRDefault="00C26926" w:rsidP="00C26926">
      <w:pPr>
        <w:pStyle w:val="1-REL11"/>
      </w:pPr>
      <w:r>
        <w:t xml:space="preserve">Em consulta ao Sistema de Contabilidade Geral do Estado de Goiás (SCG), </w:t>
      </w:r>
      <w:r w:rsidRPr="00854AD2">
        <w:t>não foram encontrados registros da renúncia de receita em contas contábeis de natureza orçamentária e patrimonial, porém</w:t>
      </w:r>
      <w:r>
        <w:t>,</w:t>
      </w:r>
      <w:r w:rsidRPr="00854AD2">
        <w:t xml:space="preserve"> foram encontrados lançamentos em contas contábeis </w:t>
      </w:r>
      <w:r>
        <w:t>de</w:t>
      </w:r>
      <w:r w:rsidRPr="00854AD2">
        <w:t xml:space="preserve"> natureza</w:t>
      </w:r>
      <w:r>
        <w:t xml:space="preserve"> de controle, no montante de </w:t>
      </w:r>
      <w:r w:rsidRPr="00981E59">
        <w:t>R$</w:t>
      </w:r>
      <w:r w:rsidR="00F763BE">
        <w:t> </w:t>
      </w:r>
      <w:r w:rsidRPr="00981E59">
        <w:t>10,89</w:t>
      </w:r>
      <w:r w:rsidR="00F763BE">
        <w:t> </w:t>
      </w:r>
      <w:r w:rsidRPr="00981E59">
        <w:t>bilhões,</w:t>
      </w:r>
      <w:r>
        <w:t xml:space="preserve"> </w:t>
      </w:r>
      <w:r w:rsidRPr="00981E59">
        <w:t>e obedecido</w:t>
      </w:r>
      <w:r>
        <w:t xml:space="preserve"> o princípio da competência. Sobre os valores registrados, o Balanço Geral do Estado (BGE) de 2023 (evento 21), </w:t>
      </w:r>
      <w:r w:rsidR="000B6FBE">
        <w:t xml:space="preserve">em seu </w:t>
      </w:r>
      <w:r>
        <w:t>item 4.5 RENÚNCIA DA RECEITA, apresenta as seguintes ponderações:</w:t>
      </w:r>
    </w:p>
    <w:p w14:paraId="206AB65C" w14:textId="77777777" w:rsidR="00C26926" w:rsidRDefault="00C26926" w:rsidP="00C26926">
      <w:pPr>
        <w:pStyle w:val="1-CITAO"/>
      </w:pPr>
      <w:r>
        <w:t>[...]</w:t>
      </w:r>
    </w:p>
    <w:p w14:paraId="38E2BB0B" w14:textId="77777777" w:rsidR="00C26926" w:rsidRDefault="00C26926" w:rsidP="00C26926">
      <w:pPr>
        <w:pStyle w:val="1-CITAO"/>
      </w:pPr>
    </w:p>
    <w:p w14:paraId="6D2E63BE" w14:textId="747BEFBA" w:rsidR="00C26926" w:rsidRDefault="00C26926" w:rsidP="00C26926">
      <w:pPr>
        <w:pStyle w:val="1-CITAO"/>
      </w:pPr>
      <w:r w:rsidRPr="005A50FC">
        <w:rPr>
          <w:u w:val="single"/>
        </w:rPr>
        <w:t>O valor contabilizado</w:t>
      </w:r>
      <w:r>
        <w:t xml:space="preserve"> na conta contábil 8.6.1.1.2.00 - Benefícios Tributários - Concedidos, </w:t>
      </w:r>
      <w:r w:rsidRPr="005A50FC">
        <w:rPr>
          <w:u w:val="single"/>
        </w:rPr>
        <w:t>referente à Renúncia Fiscal de 2023</w:t>
      </w:r>
      <w:r>
        <w:t xml:space="preserve">, corresponde ao valor de </w:t>
      </w:r>
      <w:r w:rsidRPr="005A50FC">
        <w:rPr>
          <w:u w:val="single"/>
        </w:rPr>
        <w:t>R$ 10,894</w:t>
      </w:r>
      <w:r w:rsidR="00F763BE">
        <w:rPr>
          <w:u w:val="single"/>
        </w:rPr>
        <w:t> </w:t>
      </w:r>
      <w:r w:rsidRPr="005A50FC">
        <w:rPr>
          <w:u w:val="single"/>
        </w:rPr>
        <w:t>bilhões</w:t>
      </w:r>
      <w:r>
        <w:t xml:space="preserve">. </w:t>
      </w:r>
    </w:p>
    <w:p w14:paraId="27B56C8E" w14:textId="77777777" w:rsidR="00C26926" w:rsidRDefault="00C26926" w:rsidP="00C26926">
      <w:pPr>
        <w:pStyle w:val="1-CITAO"/>
      </w:pPr>
    </w:p>
    <w:p w14:paraId="7612593A" w14:textId="45C298AC" w:rsidR="00C26926" w:rsidRDefault="00C26926" w:rsidP="00C26926">
      <w:pPr>
        <w:pStyle w:val="1-CITAO"/>
      </w:pPr>
      <w:r>
        <w:t xml:space="preserve">Ocorre que, </w:t>
      </w:r>
      <w:r w:rsidRPr="005A50FC">
        <w:rPr>
          <w:u w:val="single"/>
        </w:rPr>
        <w:t>após o encerramento do exercício</w:t>
      </w:r>
      <w:r>
        <w:t xml:space="preserve"> correspondente, a Gerência de Integração e Análise de Dados, encaminhou a planilha atualizada com </w:t>
      </w:r>
      <w:r w:rsidRPr="005A50FC">
        <w:rPr>
          <w:u w:val="single"/>
        </w:rPr>
        <w:t>os valores apurados correspondentes à renúncia fiscal</w:t>
      </w:r>
      <w:r>
        <w:t xml:space="preserve"> num valor total de renúncia de </w:t>
      </w:r>
      <w:r w:rsidRPr="000C52ED">
        <w:rPr>
          <w:u w:val="single"/>
        </w:rPr>
        <w:t>R$ 13,494</w:t>
      </w:r>
      <w:r w:rsidR="00F763BE">
        <w:rPr>
          <w:u w:val="single"/>
        </w:rPr>
        <w:t> </w:t>
      </w:r>
      <w:r w:rsidRPr="000C52ED">
        <w:rPr>
          <w:u w:val="single"/>
        </w:rPr>
        <w:t>bilhões</w:t>
      </w:r>
      <w:r>
        <w:t xml:space="preserve">, referente aos Créditos Outorgados, Outros Créditos, Deduções de Imposto a Pagar referentes aos programas Fomentar/Produzir, dentre outras deduções, somado aos demais levantamentos de renúncia (anistias e remissões) </w:t>
      </w:r>
      <w:r w:rsidRPr="00A065FE">
        <w:rPr>
          <w:u w:val="single"/>
        </w:rPr>
        <w:t>obtidos através das informações disponíveis</w:t>
      </w:r>
      <w:r>
        <w:t xml:space="preserve"> nos bancos de dados da Secretaria da Economia </w:t>
      </w:r>
      <w:r w:rsidRPr="00A065FE">
        <w:rPr>
          <w:u w:val="single"/>
        </w:rPr>
        <w:t>em 26/02/2024</w:t>
      </w:r>
      <w:r>
        <w:t>, alcançaram, referentes ao ICMS, IPVA e ao ITCD, conforme Tabela 143. (grifos nossos)</w:t>
      </w:r>
    </w:p>
    <w:p w14:paraId="38F5F783" w14:textId="77777777" w:rsidR="00C26926" w:rsidRDefault="00C26926" w:rsidP="00317620">
      <w:pPr>
        <w:pStyle w:val="1-REL11"/>
      </w:pPr>
      <w:r>
        <w:lastRenderedPageBreak/>
        <w:t xml:space="preserve">No mesmo item acima referenciado, informou-se também que três motivos são responsáveis por comprometer os valores registrados, pois podem sofrer alterações significativas tanto nos registros mensais como após o fechamento do exercício: i) omissões ou atraso na entrega, retificações fora do prazo, ou entregas sem movimentações das operações fiscais por meio da </w:t>
      </w:r>
      <w:r w:rsidRPr="00321194">
        <w:t>Escrituração Fiscal Digital (EFD)</w:t>
      </w:r>
      <w:r>
        <w:t xml:space="preserve"> elaborada pelos contribuintes</w:t>
      </w:r>
      <w:r w:rsidRPr="00321194">
        <w:t>; (ii) a base de dados para as projeções da Redução de Base</w:t>
      </w:r>
      <w:r>
        <w:t xml:space="preserve"> de Cálculo e Isenções é de estudos realizados em 2017 e que são projetados para os exercícios seguintes; e (iii) prováveis divergências em relação aos valores referentes à anistias e remissões, que foram processados fora do prazo nos meses de agosto e setembro.</w:t>
      </w:r>
    </w:p>
    <w:p w14:paraId="4F2536BA" w14:textId="77777777" w:rsidR="00C26926" w:rsidRDefault="00C26926" w:rsidP="00317620">
      <w:pPr>
        <w:pStyle w:val="1-REL11"/>
      </w:pPr>
      <w:r>
        <w:t>Pontuou-se também que os benefícios fiscais apurados e registrados ainda não contemplam todas as exigências da IPC 16 – Benefícios Fiscais, estando adstritos apenas às renúncias de natureza tributária, ou seja, ainda não existem registros referentes aos benefícios fiscais de natureza financeira e creditícia.</w:t>
      </w:r>
    </w:p>
    <w:p w14:paraId="61B16B1D" w14:textId="2602F0D0" w:rsidR="00C26926" w:rsidRDefault="00C26926" w:rsidP="00317620">
      <w:pPr>
        <w:pStyle w:val="1-REL11"/>
      </w:pPr>
      <w:r>
        <w:t>Ademais, o Portal de Transparência</w:t>
      </w:r>
      <w:r>
        <w:rPr>
          <w:rStyle w:val="Refdenotaderodap"/>
        </w:rPr>
        <w:footnoteReference w:id="20"/>
      </w:r>
      <w:r>
        <w:t xml:space="preserve"> estadual apresenta que em 2023 o montante de renúncias atingiu o montante de R$</w:t>
      </w:r>
      <w:r w:rsidR="00F763BE">
        <w:t> </w:t>
      </w:r>
      <w:r>
        <w:t>12,22</w:t>
      </w:r>
      <w:r w:rsidR="00F763BE">
        <w:t> </w:t>
      </w:r>
      <w:r>
        <w:t xml:space="preserve">bilhões. Pelas informações disponíveis, é possível inferir que nos valores divulgados no portal estão sendo contemplados somente os benefícios fiscais relativos ao crédito outorgado e aos programas Fomentar, Produzir e ProGoiás, pois não foram identificados os valores </w:t>
      </w:r>
      <w:r w:rsidRPr="00B10F38">
        <w:t xml:space="preserve">referentes aos benefícios de isenção e redução de base de cálculo, </w:t>
      </w:r>
      <w:r>
        <w:t>tampouco</w:t>
      </w:r>
      <w:r w:rsidRPr="00B10F38">
        <w:t xml:space="preserve"> as renúncias inerentes ao Imposto sobre a Propriedade de Veículos Automotores (IPVA) e ao Imposto sobre Transmissão Causa Mortis e Doação de Bens e Direitos (ITCD).</w:t>
      </w:r>
    </w:p>
    <w:p w14:paraId="65A80613" w14:textId="375FA008" w:rsidR="00C26926" w:rsidRPr="00477290" w:rsidRDefault="00C26926" w:rsidP="00317620">
      <w:pPr>
        <w:pStyle w:val="1-REL11"/>
      </w:pPr>
      <w:r w:rsidRPr="00E033E8">
        <w:t xml:space="preserve">Desta forma, em que pese a evolução das informações e registros inerentes </w:t>
      </w:r>
      <w:r>
        <w:t>aos benefícios fiscais apurados nos últimos anos</w:t>
      </w:r>
      <w:r w:rsidRPr="00E033E8">
        <w:t>, melhorias ainda precisam ser implementadas para a adequada</w:t>
      </w:r>
      <w:r>
        <w:t xml:space="preserve"> evidenciação e registro da renúncia de receita estadual. São compreensíveis as justificativas a respeito da problemática referente às informações encaminhadas pelo contribuinte através da EFD, que prejudicam a contabilização do montante renunciado ainda no próprio exercício. Porém, não é razoável que o portal de transparência apresente informações divergentes e não contenha dados sobre todas as modalidades de benefícios fiscais, já que é </w:t>
      </w:r>
      <w:r w:rsidRPr="00477290">
        <w:t>possível</w:t>
      </w:r>
      <w:r>
        <w:t xml:space="preserve"> que o portal</w:t>
      </w:r>
      <w:r w:rsidRPr="00477290">
        <w:t xml:space="preserve"> se</w:t>
      </w:r>
      <w:r>
        <w:t>ja</w:t>
      </w:r>
      <w:r w:rsidRPr="00477290">
        <w:t xml:space="preserve"> atualiza</w:t>
      </w:r>
      <w:r>
        <w:t>do</w:t>
      </w:r>
      <w:r w:rsidRPr="00477290">
        <w:t xml:space="preserve"> </w:t>
      </w:r>
      <w:r>
        <w:t>pelos</w:t>
      </w:r>
      <w:r w:rsidRPr="00477290">
        <w:t xml:space="preserve"> dados oficialmente apurados após o fechamento de cada exercício.</w:t>
      </w:r>
    </w:p>
    <w:p w14:paraId="79FDF08C" w14:textId="06F29BC6" w:rsidR="00C26926" w:rsidRPr="00477290" w:rsidRDefault="00C26926" w:rsidP="00E460D5">
      <w:pPr>
        <w:pStyle w:val="0-ACH-TIT"/>
      </w:pPr>
      <w:r w:rsidRPr="00477290">
        <w:t xml:space="preserve">&gt;&gt; </w:t>
      </w:r>
      <w:r w:rsidR="004D1A02" w:rsidRPr="004D1A02">
        <w:t>Deficiência na transparência e fidedignidade na divulgação e registro dos dados oficiais referentes aos benefícios fiscais concedidos</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C26926" w:rsidRPr="009C6508" w14:paraId="099D2891" w14:textId="77777777" w:rsidTr="009D596B">
        <w:trPr>
          <w:trHeight w:val="629"/>
          <w:jc w:val="center"/>
        </w:trPr>
        <w:tc>
          <w:tcPr>
            <w:tcW w:w="6237" w:type="dxa"/>
            <w:vAlign w:val="center"/>
            <w:hideMark/>
          </w:tcPr>
          <w:p w14:paraId="6C3A09F7" w14:textId="47CAD72D" w:rsidR="00C26926" w:rsidRPr="00477290" w:rsidRDefault="004D1A02" w:rsidP="009D596B">
            <w:pPr>
              <w:pStyle w:val="Default"/>
              <w:jc w:val="both"/>
              <w:rPr>
                <w:caps/>
              </w:rPr>
            </w:pPr>
            <w:r w:rsidRPr="004D1A02">
              <w:t xml:space="preserve">As informações publicadas no Portal de Transparência divergem dos valores oficialmente apurados após o fechamento de cada exercício. Também se faz necessário apresentar estudos sobre a viabilidade de efetuar os registros </w:t>
            </w:r>
            <w:r w:rsidRPr="004D1A02">
              <w:lastRenderedPageBreak/>
              <w:t>contábeis contemplando todas instruções previstas no MCAPS e na IPC 16 – Benefícios Fiscais.</w:t>
            </w:r>
          </w:p>
        </w:tc>
      </w:tr>
    </w:tbl>
    <w:p w14:paraId="32E3A141" w14:textId="07515467" w:rsidR="00C26926" w:rsidRPr="00477290" w:rsidRDefault="00C26926" w:rsidP="00317620">
      <w:pPr>
        <w:pStyle w:val="1-REL11"/>
      </w:pPr>
      <w:r w:rsidRPr="00477290">
        <w:lastRenderedPageBreak/>
        <w:t xml:space="preserve">Portanto, </w:t>
      </w:r>
      <w:r w:rsidR="00336865">
        <w:t xml:space="preserve">sugere-se </w:t>
      </w:r>
      <w:r w:rsidR="00336865" w:rsidRPr="00336865">
        <w:t>ao Tribunal de Contas do Estado de Goiás que recomende ao Governo do estado de Goiás, por meio da Secretaria de Estado da Economia,  que adote providências com vistas a, na divulgação dos benefícios fiscais concedidos através do Portal de Transparência, atualizar tempestivamente as informações publicadas com os valores oficialmente apurados após o fechamento de cada exercício, incluindo os dados de todos os tributos e modalidades de benefícios fiscais concedidos, efetuando a contabilização, no exercício seguinte, das eventuais diferenças apuradas e detalhando os procedimentos adotados em Notas Explicativas. Adicionalmente, que apresente, na Prestação de Contas Anual do Governador de 2024, estudos sobre a viabilidade de efetuar os registros contábeis contemplando todas as instruções previstas no MCAPS e na IPC 16 – Benefícios Fiscais.</w:t>
      </w:r>
    </w:p>
    <w:p w14:paraId="7C518B90" w14:textId="03AD198F" w:rsidR="00A21ECA" w:rsidRDefault="00A21ECA" w:rsidP="008B144A">
      <w:pPr>
        <w:pStyle w:val="1-REL11"/>
      </w:pPr>
    </w:p>
    <w:p w14:paraId="00923C89" w14:textId="77777777" w:rsidR="008859D8" w:rsidRPr="00B215AC" w:rsidRDefault="008859D8" w:rsidP="00B523B9">
      <w:pPr>
        <w:pStyle w:val="1-REL11"/>
        <w:rPr>
          <w:color w:val="FF0000"/>
          <w:lang w:eastAsia="en-US"/>
        </w:rPr>
        <w:sectPr w:rsidR="008859D8" w:rsidRPr="00B215AC" w:rsidSect="00ED54AF">
          <w:footerReference w:type="default" r:id="rId53"/>
          <w:footnotePr>
            <w:numRestart w:val="eachSect"/>
          </w:footnotePr>
          <w:pgSz w:w="11905" w:h="16837" w:code="9"/>
          <w:pgMar w:top="1134" w:right="851" w:bottom="1134" w:left="1701" w:header="720" w:footer="970" w:gutter="0"/>
          <w:cols w:space="720"/>
          <w:noEndnote/>
        </w:sectPr>
      </w:pPr>
    </w:p>
    <w:p w14:paraId="0528FFD5" w14:textId="77777777" w:rsidR="008859D8" w:rsidRPr="00B215AC" w:rsidRDefault="008859D8" w:rsidP="008859D8">
      <w:pPr>
        <w:pStyle w:val="0-TXT11"/>
        <w:rPr>
          <w:rFonts w:cs="Times New Roman"/>
          <w:color w:val="FF0000"/>
        </w:rPr>
      </w:pPr>
    </w:p>
    <w:p w14:paraId="10EB3A5E" w14:textId="77777777" w:rsidR="008859D8" w:rsidRPr="00B215AC" w:rsidRDefault="008859D8" w:rsidP="008859D8">
      <w:pPr>
        <w:pStyle w:val="0-TXT11"/>
        <w:rPr>
          <w:rFonts w:cs="Times New Roman"/>
          <w:color w:val="FF0000"/>
        </w:rPr>
      </w:pPr>
    </w:p>
    <w:p w14:paraId="2B2AD8A9" w14:textId="77777777" w:rsidR="008859D8" w:rsidRPr="00B215AC" w:rsidRDefault="008859D8" w:rsidP="008859D8">
      <w:pPr>
        <w:pStyle w:val="0-TXT11"/>
        <w:rPr>
          <w:rFonts w:cs="Times New Roman"/>
          <w:color w:val="FF0000"/>
        </w:rPr>
      </w:pPr>
    </w:p>
    <w:p w14:paraId="25C6A1EB" w14:textId="77777777" w:rsidR="008859D8" w:rsidRPr="00B215AC" w:rsidRDefault="008859D8" w:rsidP="008859D8">
      <w:pPr>
        <w:pStyle w:val="0-TXT11"/>
        <w:rPr>
          <w:rFonts w:cs="Times New Roman"/>
          <w:color w:val="FF0000"/>
        </w:rPr>
      </w:pPr>
    </w:p>
    <w:p w14:paraId="503E8E36" w14:textId="77777777" w:rsidR="008859D8" w:rsidRPr="00B215AC" w:rsidRDefault="008859D8" w:rsidP="008859D8">
      <w:pPr>
        <w:pStyle w:val="0-TXT11"/>
        <w:rPr>
          <w:rFonts w:cs="Times New Roman"/>
          <w:color w:val="FF0000"/>
        </w:rPr>
      </w:pPr>
    </w:p>
    <w:p w14:paraId="0AE27F4B" w14:textId="77777777" w:rsidR="008859D8" w:rsidRPr="00B215AC" w:rsidRDefault="008859D8" w:rsidP="008859D8">
      <w:pPr>
        <w:pStyle w:val="0-TXT11"/>
        <w:rPr>
          <w:rFonts w:cs="Times New Roman"/>
          <w:color w:val="FF0000"/>
        </w:rPr>
      </w:pPr>
    </w:p>
    <w:p w14:paraId="2E3A1346" w14:textId="77777777" w:rsidR="008859D8" w:rsidRPr="00B215AC" w:rsidRDefault="008859D8" w:rsidP="008859D8">
      <w:pPr>
        <w:pStyle w:val="0-TXT11"/>
        <w:rPr>
          <w:rFonts w:cs="Times New Roman"/>
          <w:color w:val="FF0000"/>
        </w:rPr>
      </w:pPr>
    </w:p>
    <w:p w14:paraId="050232A9" w14:textId="77777777" w:rsidR="008859D8" w:rsidRPr="00B215AC" w:rsidRDefault="008859D8" w:rsidP="008859D8">
      <w:pPr>
        <w:pStyle w:val="0-TXT11"/>
        <w:rPr>
          <w:rFonts w:cs="Times New Roman"/>
          <w:color w:val="FF0000"/>
        </w:rPr>
      </w:pPr>
    </w:p>
    <w:p w14:paraId="405E22C9" w14:textId="77777777" w:rsidR="008859D8" w:rsidRPr="00B215AC" w:rsidRDefault="008859D8" w:rsidP="008859D8">
      <w:pPr>
        <w:pStyle w:val="0-TXT11"/>
        <w:rPr>
          <w:rFonts w:cs="Times New Roman"/>
          <w:color w:val="FF0000"/>
        </w:rPr>
      </w:pPr>
    </w:p>
    <w:p w14:paraId="766944FE" w14:textId="77777777" w:rsidR="008859D8" w:rsidRPr="00B215AC" w:rsidRDefault="008859D8" w:rsidP="008859D8">
      <w:pPr>
        <w:pStyle w:val="0-TXT11"/>
        <w:rPr>
          <w:rFonts w:cs="Times New Roman"/>
          <w:color w:val="FF0000"/>
        </w:rPr>
      </w:pPr>
    </w:p>
    <w:p w14:paraId="3F88CB85" w14:textId="77777777" w:rsidR="008859D8" w:rsidRPr="00B215AC" w:rsidRDefault="008859D8" w:rsidP="008859D8">
      <w:pPr>
        <w:pStyle w:val="0-TXT11"/>
        <w:rPr>
          <w:rFonts w:cs="Times New Roman"/>
          <w:color w:val="FF0000"/>
        </w:rPr>
      </w:pPr>
    </w:p>
    <w:p w14:paraId="7DF481E8" w14:textId="77777777" w:rsidR="008859D8" w:rsidRPr="00B215AC" w:rsidRDefault="008859D8" w:rsidP="008859D8">
      <w:pPr>
        <w:pStyle w:val="0-TXT11"/>
        <w:rPr>
          <w:rFonts w:cs="Times New Roman"/>
          <w:color w:val="FF0000"/>
        </w:rPr>
      </w:pPr>
    </w:p>
    <w:p w14:paraId="2828A442" w14:textId="77777777" w:rsidR="008859D8" w:rsidRPr="00B215AC" w:rsidRDefault="008859D8" w:rsidP="008859D8">
      <w:pPr>
        <w:pStyle w:val="0-TXT11"/>
        <w:rPr>
          <w:rFonts w:cs="Times New Roman"/>
          <w:color w:val="FF0000"/>
        </w:rPr>
      </w:pPr>
    </w:p>
    <w:p w14:paraId="3A323EEF" w14:textId="77777777" w:rsidR="008859D8" w:rsidRPr="00B215AC" w:rsidRDefault="008859D8" w:rsidP="008859D8">
      <w:pPr>
        <w:pStyle w:val="0-TXT11"/>
        <w:rPr>
          <w:rFonts w:cs="Times New Roman"/>
          <w:color w:val="FF0000"/>
        </w:rPr>
      </w:pPr>
    </w:p>
    <w:p w14:paraId="34A53130" w14:textId="77777777" w:rsidR="008859D8" w:rsidRPr="00B215AC" w:rsidRDefault="008859D8" w:rsidP="008859D8">
      <w:pPr>
        <w:pStyle w:val="0-TXT11"/>
        <w:rPr>
          <w:rFonts w:cs="Times New Roman"/>
          <w:color w:val="FF0000"/>
        </w:rPr>
      </w:pPr>
    </w:p>
    <w:p w14:paraId="405CDA86" w14:textId="77777777" w:rsidR="008859D8" w:rsidRPr="00B215AC" w:rsidRDefault="008859D8" w:rsidP="008859D8">
      <w:pPr>
        <w:pStyle w:val="0-TXT11"/>
        <w:rPr>
          <w:rFonts w:cs="Times New Roman"/>
          <w:color w:val="FF0000"/>
        </w:rPr>
      </w:pPr>
    </w:p>
    <w:p w14:paraId="45382996" w14:textId="77777777" w:rsidR="008859D8" w:rsidRPr="00B215AC" w:rsidRDefault="008859D8" w:rsidP="008859D8">
      <w:pPr>
        <w:pStyle w:val="0-TXT11"/>
        <w:rPr>
          <w:rFonts w:cs="Times New Roman"/>
          <w:color w:val="FF0000"/>
        </w:rPr>
      </w:pPr>
    </w:p>
    <w:p w14:paraId="16A03058" w14:textId="77777777" w:rsidR="008859D8" w:rsidRPr="00B215AC" w:rsidRDefault="008859D8" w:rsidP="008859D8">
      <w:pPr>
        <w:pStyle w:val="0-TXT11"/>
        <w:rPr>
          <w:rFonts w:cs="Times New Roman"/>
          <w:color w:val="FF0000"/>
        </w:rPr>
      </w:pPr>
    </w:p>
    <w:p w14:paraId="1A6B5313" w14:textId="77777777" w:rsidR="008859D8" w:rsidRPr="00B215AC" w:rsidRDefault="008859D8" w:rsidP="008859D8">
      <w:pPr>
        <w:pStyle w:val="0-TXT11"/>
        <w:rPr>
          <w:rFonts w:cs="Times New Roman"/>
          <w:color w:val="FF0000"/>
        </w:rPr>
      </w:pPr>
    </w:p>
    <w:p w14:paraId="225EAEBC" w14:textId="77777777" w:rsidR="008859D8" w:rsidRPr="00B215AC" w:rsidRDefault="008859D8" w:rsidP="008859D8">
      <w:pPr>
        <w:pStyle w:val="0-TXT11"/>
        <w:rPr>
          <w:rFonts w:cs="Times New Roman"/>
          <w:color w:val="FF0000"/>
        </w:rPr>
      </w:pPr>
    </w:p>
    <w:p w14:paraId="256229EE" w14:textId="77777777" w:rsidR="008859D8" w:rsidRPr="00B215AC" w:rsidRDefault="008859D8" w:rsidP="008859D8">
      <w:pPr>
        <w:pStyle w:val="0-TXT11"/>
        <w:rPr>
          <w:rFonts w:cs="Times New Roman"/>
          <w:color w:val="FF0000"/>
        </w:rPr>
      </w:pPr>
    </w:p>
    <w:p w14:paraId="41EF5BD0" w14:textId="77777777" w:rsidR="008859D8" w:rsidRPr="00B215AC" w:rsidRDefault="008859D8" w:rsidP="008859D8">
      <w:pPr>
        <w:pStyle w:val="0-TXT11"/>
        <w:rPr>
          <w:rFonts w:cs="Times New Roman"/>
          <w:color w:val="FF0000"/>
        </w:rPr>
      </w:pPr>
    </w:p>
    <w:p w14:paraId="16A217ED" w14:textId="77777777" w:rsidR="008859D8" w:rsidRPr="00B215AC" w:rsidRDefault="008859D8" w:rsidP="008859D8">
      <w:pPr>
        <w:pStyle w:val="0-TXT11"/>
        <w:rPr>
          <w:rFonts w:cs="Times New Roman"/>
          <w:color w:val="FF0000"/>
        </w:rPr>
      </w:pPr>
    </w:p>
    <w:p w14:paraId="2A27F747" w14:textId="77777777" w:rsidR="001204B3" w:rsidRPr="00B215AC" w:rsidRDefault="001204B3" w:rsidP="001204B3">
      <w:pPr>
        <w:pStyle w:val="0-TXT11"/>
        <w:rPr>
          <w:rFonts w:cs="Times New Roman"/>
          <w:color w:val="FF0000"/>
        </w:rPr>
      </w:pPr>
    </w:p>
    <w:p w14:paraId="5A462214" w14:textId="77777777" w:rsidR="001204B3" w:rsidRPr="009A2084" w:rsidRDefault="001204B3" w:rsidP="001204B3">
      <w:pPr>
        <w:pStyle w:val="Ttulo"/>
        <w:rPr>
          <w:color w:val="auto"/>
        </w:rPr>
      </w:pPr>
    </w:p>
    <w:p w14:paraId="4F963773" w14:textId="1AAC9CDE" w:rsidR="001204B3" w:rsidRPr="009A2084" w:rsidRDefault="001204B3" w:rsidP="001204B3">
      <w:pPr>
        <w:pStyle w:val="1-REL11"/>
        <w:jc w:val="right"/>
        <w:rPr>
          <w:sz w:val="96"/>
          <w:szCs w:val="96"/>
        </w:rPr>
      </w:pPr>
      <w:r w:rsidRPr="009A2084">
        <w:rPr>
          <w:sz w:val="96"/>
          <w:szCs w:val="96"/>
        </w:rPr>
        <w:t>5</w:t>
      </w:r>
    </w:p>
    <w:p w14:paraId="50DA1CFB" w14:textId="29283769" w:rsidR="001204B3" w:rsidRPr="009A2084" w:rsidRDefault="001204B3" w:rsidP="001204B3">
      <w:pPr>
        <w:pStyle w:val="0-TXT11"/>
        <w:ind w:right="-2"/>
        <w:jc w:val="right"/>
        <w:rPr>
          <w:rFonts w:cs="Times New Roman"/>
          <w:sz w:val="48"/>
          <w:szCs w:val="48"/>
        </w:rPr>
      </w:pPr>
      <w:r w:rsidRPr="009A2084">
        <w:rPr>
          <w:rFonts w:cs="Times New Roman"/>
          <w:sz w:val="48"/>
          <w:szCs w:val="48"/>
        </w:rPr>
        <w:t>Vinculações Constitucionais</w:t>
      </w:r>
    </w:p>
    <w:p w14:paraId="5A9699BB" w14:textId="77777777" w:rsidR="001204B3" w:rsidRPr="009A2084" w:rsidRDefault="001204B3" w:rsidP="001204B3">
      <w:pPr>
        <w:pStyle w:val="0-TXT11"/>
        <w:ind w:right="-2"/>
        <w:rPr>
          <w:rFonts w:cs="Times New Roman"/>
        </w:rPr>
      </w:pPr>
    </w:p>
    <w:p w14:paraId="5E947EE3" w14:textId="77777777" w:rsidR="001204B3" w:rsidRPr="009A2084" w:rsidRDefault="001204B3" w:rsidP="001204B3">
      <w:pPr>
        <w:pStyle w:val="0-TXT11"/>
        <w:ind w:right="-2"/>
        <w:rPr>
          <w:rFonts w:cs="Times New Roman"/>
        </w:rPr>
      </w:pPr>
    </w:p>
    <w:p w14:paraId="33EB421D" w14:textId="77777777" w:rsidR="008859D8" w:rsidRPr="009A2084" w:rsidRDefault="008859D8" w:rsidP="008859D8">
      <w:pPr>
        <w:pStyle w:val="0-TXT11"/>
        <w:ind w:right="-2"/>
        <w:rPr>
          <w:rFonts w:cs="Times New Roman"/>
        </w:rPr>
      </w:pPr>
    </w:p>
    <w:p w14:paraId="63541B97" w14:textId="77777777" w:rsidR="008859D8" w:rsidRPr="009A2084" w:rsidRDefault="008859D8" w:rsidP="008859D8">
      <w:pPr>
        <w:pStyle w:val="0-TXT11"/>
        <w:ind w:right="-2"/>
        <w:rPr>
          <w:rFonts w:cs="Times New Roman"/>
        </w:rPr>
      </w:pPr>
    </w:p>
    <w:p w14:paraId="2CB34D84" w14:textId="77777777" w:rsidR="008859D8" w:rsidRPr="009A2084" w:rsidRDefault="008859D8" w:rsidP="008859D8">
      <w:pPr>
        <w:pStyle w:val="0-TXT11"/>
        <w:ind w:right="-2"/>
        <w:rPr>
          <w:rFonts w:cs="Times New Roman"/>
        </w:rPr>
      </w:pPr>
    </w:p>
    <w:p w14:paraId="75B19CBD" w14:textId="77777777" w:rsidR="008859D8" w:rsidRPr="009A2084" w:rsidRDefault="008859D8" w:rsidP="008859D8">
      <w:pPr>
        <w:pStyle w:val="0-TXT11"/>
        <w:ind w:right="-2"/>
        <w:rPr>
          <w:rFonts w:cs="Times New Roman"/>
        </w:rPr>
        <w:sectPr w:rsidR="008859D8" w:rsidRPr="009A2084" w:rsidSect="00C57A3A">
          <w:footerReference w:type="default" r:id="rId54"/>
          <w:footnotePr>
            <w:numRestart w:val="eachSect"/>
          </w:footnotePr>
          <w:pgSz w:w="11905" w:h="16837"/>
          <w:pgMar w:top="1134" w:right="851" w:bottom="1134" w:left="1701" w:header="720" w:footer="720" w:gutter="0"/>
          <w:cols w:space="720"/>
          <w:noEndnote/>
        </w:sectPr>
      </w:pPr>
    </w:p>
    <w:p w14:paraId="39D6EC0E" w14:textId="0ECC1B76" w:rsidR="00620162" w:rsidRPr="00B215AC" w:rsidRDefault="00620162" w:rsidP="00E175C4">
      <w:pPr>
        <w:pStyle w:val="Ttulo1"/>
      </w:pPr>
      <w:bookmarkStart w:id="248" w:name="_Toc511305538"/>
      <w:bookmarkStart w:id="249" w:name="_Toc511381612"/>
      <w:bookmarkStart w:id="250" w:name="_Ref504648397"/>
      <w:bookmarkStart w:id="251" w:name="_Ref504648531"/>
      <w:bookmarkStart w:id="252" w:name="_Toc167871693"/>
      <w:r w:rsidRPr="00B215AC">
        <w:lastRenderedPageBreak/>
        <w:t>Vinculações Constitucionais</w:t>
      </w:r>
      <w:bookmarkEnd w:id="248"/>
      <w:bookmarkEnd w:id="249"/>
      <w:bookmarkEnd w:id="252"/>
      <w:r w:rsidRPr="00B215AC">
        <w:t xml:space="preserve"> </w:t>
      </w:r>
    </w:p>
    <w:bookmarkEnd w:id="250"/>
    <w:bookmarkEnd w:id="251"/>
    <w:p w14:paraId="2A1D5346" w14:textId="77777777" w:rsidR="006837EA" w:rsidRPr="004B55B9" w:rsidRDefault="006837EA" w:rsidP="006837EA">
      <w:pPr>
        <w:pStyle w:val="1-REL11"/>
      </w:pPr>
      <w:r w:rsidRPr="004B55B9">
        <w:t xml:space="preserve">Esta seção objetiva verificar o cumprimento constitucional, pelo </w:t>
      </w:r>
      <w:r>
        <w:t>e</w:t>
      </w:r>
      <w:r w:rsidRPr="004B55B9">
        <w:t xml:space="preserve">stado de Goiás, da repartição tributária aos </w:t>
      </w:r>
      <w:r>
        <w:t>m</w:t>
      </w:r>
      <w:r w:rsidRPr="004B55B9">
        <w:t>unicípios e das vinculações de gastos com determinadas funções de governo, como Ações e Serviços Públicos de Saúde (ASPS) e Manutenção e Desenvolvimento de Ensino (MDE).</w:t>
      </w:r>
    </w:p>
    <w:p w14:paraId="421072CE" w14:textId="77777777" w:rsidR="006837EA" w:rsidRPr="004B55B9" w:rsidRDefault="006837EA" w:rsidP="006837EA">
      <w:pPr>
        <w:pStyle w:val="1-REL11"/>
      </w:pPr>
      <w:r w:rsidRPr="004B55B9">
        <w:t xml:space="preserve">As estratégias metodológicas adotadas na presente análise compreenderam pesquisas bibliográficas, verificação da legislação pertinente e análise documental da Prestação de Contas do Governador, utilizando-se de consulta aos sistemas </w:t>
      </w:r>
      <w:r w:rsidRPr="004B55B9">
        <w:rPr>
          <w:i/>
        </w:rPr>
        <w:t xml:space="preserve">Business Objects </w:t>
      </w:r>
      <w:r w:rsidRPr="004B55B9">
        <w:t>(BO)</w:t>
      </w:r>
      <w:r w:rsidRPr="004B55B9">
        <w:rPr>
          <w:i/>
        </w:rPr>
        <w:t xml:space="preserve">, </w:t>
      </w:r>
      <w:r w:rsidRPr="004B55B9">
        <w:t>Sistema de Programação e Execução Orçamentária e Financeira (Siofi-Net) e o Sistema de Contabilidade Pública do Estado de Goiás (SCG).</w:t>
      </w:r>
    </w:p>
    <w:p w14:paraId="0C112287" w14:textId="77777777" w:rsidR="006837EA" w:rsidRPr="004B55B9" w:rsidRDefault="006837EA" w:rsidP="006837EA">
      <w:pPr>
        <w:pStyle w:val="1-REL11"/>
      </w:pPr>
      <w:r w:rsidRPr="004B55B9">
        <w:t>Nesse sentido, seguem as análises realizadas por esta Unidade Técnica.</w:t>
      </w:r>
    </w:p>
    <w:p w14:paraId="3553D50C" w14:textId="77777777" w:rsidR="006837EA" w:rsidRPr="00CE619E" w:rsidRDefault="006837EA" w:rsidP="00B000B6">
      <w:pPr>
        <w:pStyle w:val="Ttulo2"/>
        <w:numPr>
          <w:ilvl w:val="1"/>
          <w:numId w:val="34"/>
        </w:numPr>
      </w:pPr>
      <w:bookmarkStart w:id="253" w:name="_Toc129142159"/>
      <w:bookmarkStart w:id="254" w:name="_Toc129149296"/>
      <w:bookmarkStart w:id="255" w:name="_Toc129236721"/>
      <w:bookmarkStart w:id="256" w:name="_Toc130294931"/>
      <w:bookmarkStart w:id="257" w:name="_Toc130346079"/>
      <w:bookmarkStart w:id="258" w:name="_Toc130378846"/>
      <w:bookmarkStart w:id="259" w:name="_Toc167611786"/>
      <w:bookmarkStart w:id="260" w:name="_Toc208893309"/>
      <w:bookmarkStart w:id="261" w:name="_Toc231964030"/>
      <w:bookmarkStart w:id="262" w:name="_Toc232225089"/>
      <w:bookmarkStart w:id="263" w:name="_Toc232225277"/>
      <w:bookmarkStart w:id="264" w:name="_Toc232228770"/>
      <w:bookmarkStart w:id="265" w:name="_Toc293398798"/>
      <w:bookmarkStart w:id="266" w:name="_Toc326231949"/>
      <w:bookmarkStart w:id="267" w:name="_Toc511305540"/>
      <w:bookmarkStart w:id="268" w:name="_Toc511381614"/>
      <w:bookmarkStart w:id="269" w:name="_Hlk43471302"/>
      <w:bookmarkStart w:id="270" w:name="_Toc167871694"/>
      <w:r>
        <w:t>Destinação de Receita aos Municípios</w:t>
      </w:r>
      <w:bookmarkEnd w:id="270"/>
    </w:p>
    <w:p w14:paraId="53493E3B" w14:textId="77777777" w:rsidR="006837EA" w:rsidRPr="008921BC" w:rsidRDefault="006837EA" w:rsidP="006837EA">
      <w:pPr>
        <w:pStyle w:val="1-REL11"/>
      </w:pPr>
      <w:r w:rsidRPr="008921BC">
        <w:t xml:space="preserve">A repartição de receitas tributárias </w:t>
      </w:r>
      <w:r>
        <w:t>objetiva</w:t>
      </w:r>
      <w:r w:rsidRPr="008921BC">
        <w:t xml:space="preserve"> levar os recursos tributários do maior ao menor dos entes, do mais distante do problema ao mais próximo, visando resolver com mais efetividade os problemas sociais do </w:t>
      </w:r>
      <w:r>
        <w:t xml:space="preserve">Destinação </w:t>
      </w:r>
      <w:r w:rsidRPr="008921BC">
        <w:t>país. Dessa forma, as Transferências Constitucionais consistem na distribuição de recursos provenientes da arrecadação de tributos federais ou estaduais, aos estados, Distrito Federal e municípios, com base em dispositivos constitucionais.</w:t>
      </w:r>
    </w:p>
    <w:p w14:paraId="3BE5509A" w14:textId="77777777" w:rsidR="006837EA" w:rsidRPr="00747E9D" w:rsidRDefault="006837EA" w:rsidP="006837EA">
      <w:pPr>
        <w:pStyle w:val="1-REL11"/>
      </w:pPr>
      <w:r w:rsidRPr="00747E9D">
        <w:t>Na Constituição Estadual está prevista a destinação de parcela da receita de ICMS, IPVA e IPI aos municípios, a saber:</w:t>
      </w:r>
    </w:p>
    <w:p w14:paraId="6751F564" w14:textId="77777777" w:rsidR="006837EA" w:rsidRPr="00747E9D" w:rsidRDefault="006837EA" w:rsidP="006837EA">
      <w:pPr>
        <w:pStyle w:val="1-CITAO"/>
      </w:pPr>
      <w:r w:rsidRPr="00747E9D">
        <w:t>Art. 107. Pertencem aos Municípios:</w:t>
      </w:r>
    </w:p>
    <w:p w14:paraId="4E3FE82D" w14:textId="77777777" w:rsidR="006837EA" w:rsidRPr="00747E9D" w:rsidRDefault="006837EA" w:rsidP="006837EA">
      <w:pPr>
        <w:pStyle w:val="1-CITAO"/>
      </w:pPr>
    </w:p>
    <w:p w14:paraId="04BAE0F1" w14:textId="77777777" w:rsidR="006837EA" w:rsidRPr="00747E9D" w:rsidRDefault="006837EA" w:rsidP="006837EA">
      <w:pPr>
        <w:pStyle w:val="1-CITAO"/>
      </w:pPr>
      <w:r w:rsidRPr="00747E9D">
        <w:t>[...]</w:t>
      </w:r>
    </w:p>
    <w:p w14:paraId="105421D2" w14:textId="77777777" w:rsidR="006837EA" w:rsidRPr="00747E9D" w:rsidRDefault="006837EA" w:rsidP="006837EA">
      <w:pPr>
        <w:pStyle w:val="1-CITAO"/>
      </w:pPr>
    </w:p>
    <w:p w14:paraId="06A22579" w14:textId="77777777" w:rsidR="006837EA" w:rsidRPr="00747E9D" w:rsidRDefault="006837EA" w:rsidP="006837EA">
      <w:pPr>
        <w:pStyle w:val="1-CITAO"/>
      </w:pPr>
      <w:r w:rsidRPr="00747E9D">
        <w:t>III – cinquenta por cento do produto da arrecadação do imposto estadual sobre a propriedade de veículos automotores licenciados no território de cada um deles;</w:t>
      </w:r>
    </w:p>
    <w:p w14:paraId="15843E91" w14:textId="77777777" w:rsidR="006837EA" w:rsidRPr="00747E9D" w:rsidRDefault="006837EA" w:rsidP="006837EA">
      <w:pPr>
        <w:pStyle w:val="1-CITAO"/>
      </w:pPr>
    </w:p>
    <w:p w14:paraId="0D610F94" w14:textId="77777777" w:rsidR="006837EA" w:rsidRPr="00747E9D" w:rsidRDefault="006837EA" w:rsidP="006837EA">
      <w:pPr>
        <w:pStyle w:val="1-CITAO"/>
      </w:pPr>
      <w:r w:rsidRPr="00747E9D">
        <w:t>IV – vinte e cinco por cento do produto da arrecadação do imposto do Estado sobre operações relativas à circulação de mercadorias e sobre prestação de serviços de transporte interestadual e intermunicipal e de comunicação;</w:t>
      </w:r>
    </w:p>
    <w:p w14:paraId="5F9F5E81" w14:textId="77777777" w:rsidR="006837EA" w:rsidRPr="00747E9D" w:rsidRDefault="006837EA" w:rsidP="006837EA">
      <w:pPr>
        <w:pStyle w:val="1-CITAO"/>
      </w:pPr>
    </w:p>
    <w:p w14:paraId="7FF96E79" w14:textId="77777777" w:rsidR="006837EA" w:rsidRPr="00747E9D" w:rsidRDefault="006837EA" w:rsidP="006837EA">
      <w:pPr>
        <w:pStyle w:val="1-CITAO"/>
      </w:pPr>
      <w:r w:rsidRPr="00747E9D">
        <w:t>[...]</w:t>
      </w:r>
    </w:p>
    <w:p w14:paraId="1F102294" w14:textId="77777777" w:rsidR="006837EA" w:rsidRPr="00747E9D" w:rsidRDefault="006837EA" w:rsidP="006837EA">
      <w:pPr>
        <w:pStyle w:val="1-CITAO"/>
      </w:pPr>
    </w:p>
    <w:p w14:paraId="490B3CBD" w14:textId="77777777" w:rsidR="006837EA" w:rsidRPr="00747E9D" w:rsidRDefault="006837EA" w:rsidP="006837EA">
      <w:pPr>
        <w:pStyle w:val="1-CITAO"/>
      </w:pPr>
      <w:r w:rsidRPr="00747E9D">
        <w:t>VI - 25% (vinte e cinco por cento) dos recursos que o Estado receber, nos termos do §3º do art. 159 da Constituição da República;</w:t>
      </w:r>
    </w:p>
    <w:p w14:paraId="4F26089C" w14:textId="77777777" w:rsidR="006837EA" w:rsidRPr="00747E9D" w:rsidRDefault="006837EA" w:rsidP="006837EA">
      <w:pPr>
        <w:pStyle w:val="1-CITAO"/>
      </w:pPr>
    </w:p>
    <w:p w14:paraId="01251C5F" w14:textId="77777777" w:rsidR="006837EA" w:rsidRPr="00747E9D" w:rsidRDefault="006837EA" w:rsidP="006837EA">
      <w:pPr>
        <w:pStyle w:val="1-REL11"/>
      </w:pPr>
      <w:r w:rsidRPr="00747E9D">
        <w:lastRenderedPageBreak/>
        <w:t>Adicionalmente, a Lei Complementar nº 63, de 11 de janeiro de 1990, que dispõe sobre critérios e prazos de crédito das parcelas do produto da arrecadação de impostos de competência dos Estados e de transferências por estes recebidos, pertencentes aos municípios, estabelece em seu art. 1º, Parágrafo Único, que estão compreendidos nas parcelas a serem entregues aos municípios os juros, a multa moratória e a correção monetária, quando arrecadados como acréscimos aos referidos impostos.</w:t>
      </w:r>
    </w:p>
    <w:p w14:paraId="07BE17DF" w14:textId="77777777" w:rsidR="006837EA" w:rsidRPr="00747E9D" w:rsidRDefault="006837EA" w:rsidP="006837EA">
      <w:pPr>
        <w:pStyle w:val="1-REL11"/>
      </w:pPr>
      <w:r w:rsidRPr="00747E9D">
        <w:t>Em consulta ao Anexo 10A – Receita Arrecadada Mensalmente (processo nº 202300047001912, evento 22, fls. 98-149), verificou-se que o Estado obteve em 2023 arrecadação de ICMS (exceto adicional CF/88, ADCT, art. 82, § 1º), IPVA e IPI de R$ 28,28 bilhões.</w:t>
      </w:r>
    </w:p>
    <w:p w14:paraId="22A671B3" w14:textId="77777777" w:rsidR="006837EA" w:rsidRPr="00747E9D" w:rsidRDefault="006837EA" w:rsidP="006837EA">
      <w:pPr>
        <w:pStyle w:val="1-REL11"/>
      </w:pPr>
      <w:bookmarkStart w:id="271" w:name="_Hlk167798743"/>
      <w:r w:rsidRPr="00747E9D">
        <w:t>Conforme os percentuais previstos na legislação, do montante arrecadado, R$ 7,63 bilhões devem ser destinados aos municípios goianos, tendo sido efetivamente repassado, conforme Anexo 10A, o montante de R$ 7,90 bilhões, R$ 34,26 milhões (0,55%) a mais</w:t>
      </w:r>
      <w:bookmarkEnd w:id="271"/>
      <w:r w:rsidRPr="00747E9D">
        <w:t>, conforme tabela seguinte:</w:t>
      </w:r>
    </w:p>
    <w:p w14:paraId="55353B53" w14:textId="77777777" w:rsidR="008D0491" w:rsidRPr="00747E9D" w:rsidRDefault="008D0491" w:rsidP="00736A8C">
      <w:pPr>
        <w:pStyle w:val="0-TABELA"/>
        <w:numPr>
          <w:ilvl w:val="0"/>
          <w:numId w:val="53"/>
        </w:numPr>
        <w:tabs>
          <w:tab w:val="clear" w:pos="1560"/>
          <w:tab w:val="left" w:pos="1134"/>
        </w:tabs>
        <w:spacing w:before="0" w:after="0"/>
        <w:ind w:left="0" w:firstLine="0"/>
      </w:pPr>
      <w:bookmarkStart w:id="272" w:name="_Toc167871784"/>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r w:rsidRPr="00747E9D">
        <w:t>Arrecadação e Repasse aos Municípios de ICMS, IPVA e IPI</w:t>
      </w:r>
      <w:bookmarkEnd w:id="272"/>
    </w:p>
    <w:p w14:paraId="7631BDA2" w14:textId="77777777" w:rsidR="008D0491" w:rsidRPr="00747E9D" w:rsidRDefault="008D0491" w:rsidP="008D0491">
      <w:pPr>
        <w:pStyle w:val="0-EmR1"/>
        <w:rPr>
          <w:lang w:eastAsia="en-US"/>
        </w:rPr>
      </w:pPr>
      <w:r w:rsidRPr="00747E9D">
        <w:rPr>
          <w:lang w:eastAsia="en-US"/>
        </w:rPr>
        <w:t>R$ 1</w:t>
      </w:r>
    </w:p>
    <w:tbl>
      <w:tblPr>
        <w:tblW w:w="5000" w:type="pct"/>
        <w:tblLayout w:type="fixed"/>
        <w:tblCellMar>
          <w:left w:w="70" w:type="dxa"/>
          <w:right w:w="70" w:type="dxa"/>
        </w:tblCellMar>
        <w:tblLook w:val="04A0" w:firstRow="1" w:lastRow="0" w:firstColumn="1" w:lastColumn="0" w:noHBand="0" w:noVBand="1"/>
      </w:tblPr>
      <w:tblGrid>
        <w:gridCol w:w="1842"/>
        <w:gridCol w:w="1595"/>
        <w:gridCol w:w="1596"/>
        <w:gridCol w:w="1596"/>
        <w:gridCol w:w="1596"/>
        <w:gridCol w:w="1128"/>
      </w:tblGrid>
      <w:tr w:rsidR="000A6309" w:rsidRPr="00A224E9" w14:paraId="458774D8" w14:textId="77777777" w:rsidTr="000A6309">
        <w:trPr>
          <w:trHeight w:val="340"/>
          <w:tblHeader/>
        </w:trPr>
        <w:tc>
          <w:tcPr>
            <w:tcW w:w="985" w:type="pct"/>
            <w:vMerge w:val="restart"/>
            <w:tcBorders>
              <w:top w:val="single" w:sz="4" w:space="0" w:color="auto"/>
              <w:left w:val="nil"/>
              <w:right w:val="single" w:sz="4" w:space="0" w:color="auto"/>
            </w:tcBorders>
            <w:shd w:val="clear" w:color="000000" w:fill="A1F2FD"/>
            <w:vAlign w:val="center"/>
            <w:hideMark/>
          </w:tcPr>
          <w:p w14:paraId="6D44F1ED" w14:textId="77777777" w:rsidR="000A6309" w:rsidRPr="00A224E9" w:rsidRDefault="000A6309" w:rsidP="008D0491">
            <w:pPr>
              <w:jc w:val="center"/>
              <w:rPr>
                <w:rFonts w:cs="Arial"/>
                <w:b/>
                <w:bCs/>
                <w:color w:val="000000"/>
                <w:sz w:val="20"/>
                <w:szCs w:val="20"/>
              </w:rPr>
            </w:pPr>
            <w:r w:rsidRPr="00A224E9">
              <w:rPr>
                <w:rFonts w:cs="Arial"/>
                <w:b/>
                <w:bCs/>
                <w:color w:val="000000"/>
                <w:sz w:val="20"/>
                <w:szCs w:val="20"/>
              </w:rPr>
              <w:t>Receitas Resultantes de Impostos</w:t>
            </w:r>
          </w:p>
        </w:tc>
        <w:tc>
          <w:tcPr>
            <w:tcW w:w="853" w:type="pct"/>
            <w:tcBorders>
              <w:top w:val="single" w:sz="4" w:space="0" w:color="auto"/>
              <w:left w:val="nil"/>
              <w:bottom w:val="nil"/>
              <w:right w:val="single" w:sz="4" w:space="0" w:color="auto"/>
            </w:tcBorders>
            <w:shd w:val="clear" w:color="000000" w:fill="A1F2FD"/>
            <w:vAlign w:val="center"/>
            <w:hideMark/>
          </w:tcPr>
          <w:p w14:paraId="0901F787" w14:textId="77777777" w:rsidR="000A6309" w:rsidRPr="00A224E9" w:rsidRDefault="000A6309" w:rsidP="008D0491">
            <w:pPr>
              <w:jc w:val="center"/>
              <w:rPr>
                <w:rFonts w:cs="Arial"/>
                <w:b/>
                <w:bCs/>
                <w:color w:val="000000"/>
                <w:sz w:val="20"/>
                <w:szCs w:val="20"/>
              </w:rPr>
            </w:pPr>
            <w:r w:rsidRPr="00A224E9">
              <w:rPr>
                <w:rFonts w:cs="Arial"/>
                <w:b/>
                <w:bCs/>
                <w:color w:val="000000"/>
                <w:sz w:val="20"/>
                <w:szCs w:val="20"/>
              </w:rPr>
              <w:t>Valor</w:t>
            </w:r>
          </w:p>
        </w:tc>
        <w:tc>
          <w:tcPr>
            <w:tcW w:w="853" w:type="pct"/>
            <w:tcBorders>
              <w:top w:val="single" w:sz="4" w:space="0" w:color="auto"/>
              <w:left w:val="nil"/>
              <w:bottom w:val="nil"/>
              <w:right w:val="single" w:sz="4" w:space="0" w:color="auto"/>
            </w:tcBorders>
            <w:shd w:val="clear" w:color="000000" w:fill="A1F2FD"/>
            <w:vAlign w:val="center"/>
            <w:hideMark/>
          </w:tcPr>
          <w:p w14:paraId="2B81B536" w14:textId="77777777" w:rsidR="000A6309" w:rsidRPr="00A224E9" w:rsidRDefault="000A6309" w:rsidP="008D0491">
            <w:pPr>
              <w:jc w:val="center"/>
              <w:rPr>
                <w:rFonts w:cs="Arial"/>
                <w:b/>
                <w:bCs/>
                <w:color w:val="000000"/>
                <w:sz w:val="20"/>
                <w:szCs w:val="20"/>
              </w:rPr>
            </w:pPr>
            <w:r w:rsidRPr="00A224E9">
              <w:rPr>
                <w:rFonts w:cs="Arial"/>
                <w:b/>
                <w:bCs/>
                <w:color w:val="000000"/>
                <w:sz w:val="20"/>
                <w:szCs w:val="20"/>
              </w:rPr>
              <w:t>Valor a ser Destinado aos Municípios (Legislação)</w:t>
            </w:r>
          </w:p>
        </w:tc>
        <w:tc>
          <w:tcPr>
            <w:tcW w:w="853" w:type="pct"/>
            <w:tcBorders>
              <w:top w:val="single" w:sz="4" w:space="0" w:color="auto"/>
              <w:left w:val="nil"/>
              <w:bottom w:val="nil"/>
              <w:right w:val="single" w:sz="4" w:space="0" w:color="auto"/>
            </w:tcBorders>
            <w:shd w:val="clear" w:color="000000" w:fill="A1F2FD"/>
            <w:vAlign w:val="center"/>
            <w:hideMark/>
          </w:tcPr>
          <w:p w14:paraId="2A1190D1" w14:textId="77777777" w:rsidR="000A6309" w:rsidRPr="00A224E9" w:rsidRDefault="000A6309" w:rsidP="008D0491">
            <w:pPr>
              <w:jc w:val="center"/>
              <w:rPr>
                <w:rFonts w:cs="Arial"/>
                <w:b/>
                <w:bCs/>
                <w:color w:val="000000"/>
                <w:sz w:val="20"/>
                <w:szCs w:val="20"/>
              </w:rPr>
            </w:pPr>
            <w:r w:rsidRPr="00A224E9">
              <w:rPr>
                <w:rFonts w:cs="Arial"/>
                <w:b/>
                <w:bCs/>
                <w:color w:val="000000"/>
                <w:sz w:val="20"/>
                <w:szCs w:val="20"/>
              </w:rPr>
              <w:t>Valor Efetivamente Transferido</w:t>
            </w:r>
          </w:p>
        </w:tc>
        <w:tc>
          <w:tcPr>
            <w:tcW w:w="853" w:type="pct"/>
            <w:tcBorders>
              <w:top w:val="single" w:sz="4" w:space="0" w:color="auto"/>
              <w:left w:val="nil"/>
              <w:bottom w:val="nil"/>
              <w:right w:val="single" w:sz="4" w:space="0" w:color="auto"/>
            </w:tcBorders>
            <w:shd w:val="clear" w:color="000000" w:fill="A1F2FD"/>
            <w:vAlign w:val="center"/>
            <w:hideMark/>
          </w:tcPr>
          <w:p w14:paraId="7EED5E3D" w14:textId="77777777" w:rsidR="000A6309" w:rsidRPr="00A224E9" w:rsidRDefault="000A6309" w:rsidP="008D0491">
            <w:pPr>
              <w:jc w:val="center"/>
              <w:rPr>
                <w:rFonts w:cs="Arial"/>
                <w:b/>
                <w:bCs/>
                <w:color w:val="000000"/>
                <w:sz w:val="20"/>
                <w:szCs w:val="20"/>
              </w:rPr>
            </w:pPr>
            <w:r w:rsidRPr="00A224E9">
              <w:rPr>
                <w:rFonts w:cs="Arial"/>
                <w:b/>
                <w:bCs/>
                <w:color w:val="000000"/>
                <w:sz w:val="20"/>
                <w:szCs w:val="20"/>
              </w:rPr>
              <w:t>Diferença</w:t>
            </w:r>
          </w:p>
        </w:tc>
        <w:tc>
          <w:tcPr>
            <w:tcW w:w="603" w:type="pct"/>
            <w:tcBorders>
              <w:top w:val="single" w:sz="4" w:space="0" w:color="auto"/>
              <w:left w:val="nil"/>
              <w:bottom w:val="nil"/>
              <w:right w:val="nil"/>
            </w:tcBorders>
            <w:shd w:val="clear" w:color="000000" w:fill="A1F2FD"/>
            <w:vAlign w:val="center"/>
            <w:hideMark/>
          </w:tcPr>
          <w:p w14:paraId="734552D4" w14:textId="77777777" w:rsidR="000A6309" w:rsidRPr="00A224E9" w:rsidRDefault="000A6309" w:rsidP="008D0491">
            <w:pPr>
              <w:jc w:val="center"/>
              <w:rPr>
                <w:rFonts w:cs="Arial"/>
                <w:b/>
                <w:bCs/>
                <w:color w:val="000000"/>
                <w:sz w:val="20"/>
                <w:szCs w:val="20"/>
              </w:rPr>
            </w:pPr>
            <w:r w:rsidRPr="00A224E9">
              <w:rPr>
                <w:rFonts w:cs="Arial"/>
                <w:b/>
                <w:bCs/>
                <w:color w:val="000000"/>
                <w:sz w:val="20"/>
                <w:szCs w:val="20"/>
              </w:rPr>
              <w:t>∆%</w:t>
            </w:r>
          </w:p>
        </w:tc>
      </w:tr>
      <w:tr w:rsidR="000A6309" w:rsidRPr="00A224E9" w14:paraId="4A09DEF6" w14:textId="77777777" w:rsidTr="000A6309">
        <w:trPr>
          <w:trHeight w:val="340"/>
          <w:tblHeader/>
        </w:trPr>
        <w:tc>
          <w:tcPr>
            <w:tcW w:w="985" w:type="pct"/>
            <w:vMerge/>
            <w:tcBorders>
              <w:left w:val="nil"/>
              <w:bottom w:val="single" w:sz="4" w:space="0" w:color="auto"/>
              <w:right w:val="single" w:sz="4" w:space="0" w:color="auto"/>
            </w:tcBorders>
            <w:shd w:val="clear" w:color="000000" w:fill="A1F2FD"/>
            <w:vAlign w:val="center"/>
            <w:hideMark/>
          </w:tcPr>
          <w:p w14:paraId="789A569C" w14:textId="77777777" w:rsidR="000A6309" w:rsidRPr="00A224E9" w:rsidRDefault="000A6309" w:rsidP="008D0491">
            <w:pPr>
              <w:rPr>
                <w:rFonts w:cs="Arial"/>
                <w:b/>
                <w:bCs/>
                <w:color w:val="000000"/>
                <w:sz w:val="20"/>
                <w:szCs w:val="20"/>
              </w:rPr>
            </w:pPr>
          </w:p>
        </w:tc>
        <w:tc>
          <w:tcPr>
            <w:tcW w:w="853" w:type="pct"/>
            <w:tcBorders>
              <w:top w:val="nil"/>
              <w:left w:val="nil"/>
              <w:bottom w:val="single" w:sz="4" w:space="0" w:color="auto"/>
              <w:right w:val="single" w:sz="4" w:space="0" w:color="auto"/>
            </w:tcBorders>
            <w:shd w:val="clear" w:color="000000" w:fill="A1F2FD"/>
            <w:vAlign w:val="center"/>
            <w:hideMark/>
          </w:tcPr>
          <w:p w14:paraId="53F99E33" w14:textId="77777777" w:rsidR="000A6309" w:rsidRPr="00A224E9" w:rsidRDefault="000A6309" w:rsidP="008D0491">
            <w:pPr>
              <w:jc w:val="center"/>
              <w:rPr>
                <w:rFonts w:cs="Arial"/>
                <w:b/>
                <w:bCs/>
                <w:color w:val="000000"/>
                <w:sz w:val="20"/>
                <w:szCs w:val="20"/>
              </w:rPr>
            </w:pPr>
            <w:r w:rsidRPr="00A224E9">
              <w:rPr>
                <w:rFonts w:cs="Arial"/>
                <w:b/>
                <w:bCs/>
                <w:color w:val="000000"/>
                <w:sz w:val="20"/>
                <w:szCs w:val="20"/>
              </w:rPr>
              <w:t>(a)</w:t>
            </w:r>
          </w:p>
        </w:tc>
        <w:tc>
          <w:tcPr>
            <w:tcW w:w="853" w:type="pct"/>
            <w:tcBorders>
              <w:top w:val="nil"/>
              <w:left w:val="nil"/>
              <w:bottom w:val="single" w:sz="4" w:space="0" w:color="auto"/>
              <w:right w:val="single" w:sz="4" w:space="0" w:color="auto"/>
            </w:tcBorders>
            <w:shd w:val="clear" w:color="000000" w:fill="A1F2FD"/>
            <w:vAlign w:val="center"/>
            <w:hideMark/>
          </w:tcPr>
          <w:p w14:paraId="2A36EA5D" w14:textId="77777777" w:rsidR="000A6309" w:rsidRPr="00A224E9" w:rsidRDefault="000A6309" w:rsidP="008D0491">
            <w:pPr>
              <w:jc w:val="center"/>
              <w:rPr>
                <w:rFonts w:cs="Arial"/>
                <w:b/>
                <w:bCs/>
                <w:color w:val="000000"/>
                <w:sz w:val="20"/>
                <w:szCs w:val="20"/>
              </w:rPr>
            </w:pPr>
            <w:r w:rsidRPr="00A224E9">
              <w:rPr>
                <w:rFonts w:cs="Arial"/>
                <w:b/>
                <w:bCs/>
                <w:color w:val="000000"/>
                <w:sz w:val="20"/>
                <w:szCs w:val="20"/>
              </w:rPr>
              <w:t>(b)</w:t>
            </w:r>
          </w:p>
        </w:tc>
        <w:tc>
          <w:tcPr>
            <w:tcW w:w="853" w:type="pct"/>
            <w:tcBorders>
              <w:top w:val="nil"/>
              <w:left w:val="nil"/>
              <w:bottom w:val="single" w:sz="4" w:space="0" w:color="auto"/>
              <w:right w:val="single" w:sz="4" w:space="0" w:color="auto"/>
            </w:tcBorders>
            <w:shd w:val="clear" w:color="000000" w:fill="A1F2FD"/>
            <w:vAlign w:val="center"/>
            <w:hideMark/>
          </w:tcPr>
          <w:p w14:paraId="17C9B17A" w14:textId="77777777" w:rsidR="000A6309" w:rsidRPr="00A224E9" w:rsidRDefault="000A6309" w:rsidP="008D0491">
            <w:pPr>
              <w:jc w:val="center"/>
              <w:rPr>
                <w:rFonts w:cs="Arial"/>
                <w:b/>
                <w:bCs/>
                <w:color w:val="000000"/>
                <w:sz w:val="20"/>
                <w:szCs w:val="20"/>
              </w:rPr>
            </w:pPr>
            <w:r w:rsidRPr="00A224E9">
              <w:rPr>
                <w:rFonts w:cs="Arial"/>
                <w:b/>
                <w:bCs/>
                <w:color w:val="000000"/>
                <w:sz w:val="20"/>
                <w:szCs w:val="20"/>
              </w:rPr>
              <w:t>(c)</w:t>
            </w:r>
          </w:p>
        </w:tc>
        <w:tc>
          <w:tcPr>
            <w:tcW w:w="853" w:type="pct"/>
            <w:tcBorders>
              <w:top w:val="nil"/>
              <w:left w:val="nil"/>
              <w:bottom w:val="single" w:sz="4" w:space="0" w:color="auto"/>
              <w:right w:val="single" w:sz="4" w:space="0" w:color="auto"/>
            </w:tcBorders>
            <w:shd w:val="clear" w:color="000000" w:fill="A1F2FD"/>
            <w:vAlign w:val="center"/>
            <w:hideMark/>
          </w:tcPr>
          <w:p w14:paraId="2FAA57EF" w14:textId="77777777" w:rsidR="000A6309" w:rsidRPr="00A224E9" w:rsidRDefault="000A6309" w:rsidP="008D0491">
            <w:pPr>
              <w:jc w:val="center"/>
              <w:rPr>
                <w:rFonts w:cs="Arial"/>
                <w:b/>
                <w:bCs/>
                <w:color w:val="000000"/>
                <w:sz w:val="20"/>
                <w:szCs w:val="20"/>
              </w:rPr>
            </w:pPr>
            <w:r w:rsidRPr="00A224E9">
              <w:rPr>
                <w:rFonts w:cs="Arial"/>
                <w:b/>
                <w:bCs/>
                <w:color w:val="000000"/>
                <w:sz w:val="20"/>
                <w:szCs w:val="20"/>
              </w:rPr>
              <w:t>(d) = (c-b)</w:t>
            </w:r>
          </w:p>
        </w:tc>
        <w:tc>
          <w:tcPr>
            <w:tcW w:w="603" w:type="pct"/>
            <w:tcBorders>
              <w:top w:val="nil"/>
              <w:left w:val="nil"/>
              <w:bottom w:val="single" w:sz="4" w:space="0" w:color="auto"/>
              <w:right w:val="nil"/>
            </w:tcBorders>
            <w:shd w:val="clear" w:color="000000" w:fill="A1F2FD"/>
            <w:vAlign w:val="center"/>
            <w:hideMark/>
          </w:tcPr>
          <w:p w14:paraId="34FC31A9" w14:textId="77777777" w:rsidR="000A6309" w:rsidRPr="00A224E9" w:rsidRDefault="000A6309" w:rsidP="008D0491">
            <w:pPr>
              <w:jc w:val="center"/>
              <w:rPr>
                <w:rFonts w:cs="Arial"/>
                <w:b/>
                <w:bCs/>
                <w:color w:val="000000"/>
                <w:sz w:val="20"/>
                <w:szCs w:val="20"/>
              </w:rPr>
            </w:pPr>
            <w:r w:rsidRPr="00A224E9">
              <w:rPr>
                <w:rFonts w:cs="Arial"/>
                <w:b/>
                <w:bCs/>
                <w:color w:val="000000"/>
                <w:sz w:val="20"/>
                <w:szCs w:val="20"/>
              </w:rPr>
              <w:t>(e) = (d/b)</w:t>
            </w:r>
          </w:p>
        </w:tc>
      </w:tr>
      <w:tr w:rsidR="008D0491" w:rsidRPr="00A224E9" w14:paraId="07512FB1" w14:textId="77777777" w:rsidTr="000A6309">
        <w:trPr>
          <w:trHeight w:val="340"/>
        </w:trPr>
        <w:tc>
          <w:tcPr>
            <w:tcW w:w="985" w:type="pct"/>
            <w:tcBorders>
              <w:top w:val="nil"/>
              <w:left w:val="nil"/>
              <w:bottom w:val="nil"/>
              <w:right w:val="single" w:sz="4" w:space="0" w:color="auto"/>
            </w:tcBorders>
            <w:shd w:val="clear" w:color="000000" w:fill="FFFFFF"/>
            <w:vAlign w:val="center"/>
            <w:hideMark/>
          </w:tcPr>
          <w:p w14:paraId="77BB508A" w14:textId="77777777" w:rsidR="008D0491" w:rsidRPr="00A224E9" w:rsidRDefault="008D0491" w:rsidP="000A6309">
            <w:pPr>
              <w:ind w:left="75"/>
              <w:jc w:val="left"/>
              <w:rPr>
                <w:rFonts w:cs="Arial"/>
                <w:color w:val="000000"/>
                <w:sz w:val="20"/>
                <w:szCs w:val="20"/>
              </w:rPr>
            </w:pPr>
            <w:bookmarkStart w:id="273" w:name="RANGE!B5"/>
            <w:r w:rsidRPr="00A224E9">
              <w:rPr>
                <w:rFonts w:cs="Arial"/>
                <w:color w:val="000000"/>
                <w:sz w:val="20"/>
                <w:szCs w:val="20"/>
              </w:rPr>
              <w:t>ICMS</w:t>
            </w:r>
            <w:bookmarkEnd w:id="273"/>
          </w:p>
        </w:tc>
        <w:tc>
          <w:tcPr>
            <w:tcW w:w="853" w:type="pct"/>
            <w:tcBorders>
              <w:top w:val="nil"/>
              <w:left w:val="nil"/>
              <w:bottom w:val="nil"/>
              <w:right w:val="single" w:sz="4" w:space="0" w:color="auto"/>
            </w:tcBorders>
            <w:shd w:val="clear" w:color="000000" w:fill="FFFFFF"/>
            <w:vAlign w:val="center"/>
            <w:hideMark/>
          </w:tcPr>
          <w:p w14:paraId="680DC1C8" w14:textId="77777777" w:rsidR="008D0491" w:rsidRPr="00A224E9" w:rsidRDefault="008D0491" w:rsidP="008D0491">
            <w:pPr>
              <w:jc w:val="right"/>
              <w:rPr>
                <w:rFonts w:cs="Arial"/>
                <w:color w:val="000000"/>
                <w:sz w:val="20"/>
                <w:szCs w:val="20"/>
              </w:rPr>
            </w:pPr>
            <w:r w:rsidRPr="00A224E9">
              <w:rPr>
                <w:rFonts w:cs="Arial"/>
                <w:color w:val="000000"/>
                <w:sz w:val="20"/>
                <w:szCs w:val="20"/>
              </w:rPr>
              <w:t>24.955.756.329</w:t>
            </w:r>
          </w:p>
        </w:tc>
        <w:tc>
          <w:tcPr>
            <w:tcW w:w="853" w:type="pct"/>
            <w:tcBorders>
              <w:top w:val="nil"/>
              <w:left w:val="nil"/>
              <w:bottom w:val="nil"/>
              <w:right w:val="single" w:sz="4" w:space="0" w:color="auto"/>
            </w:tcBorders>
            <w:shd w:val="clear" w:color="auto" w:fill="auto"/>
            <w:noWrap/>
            <w:vAlign w:val="center"/>
            <w:hideMark/>
          </w:tcPr>
          <w:p w14:paraId="72CFF50A" w14:textId="77777777" w:rsidR="008D0491" w:rsidRPr="00A224E9" w:rsidRDefault="008D0491" w:rsidP="008D0491">
            <w:pPr>
              <w:jc w:val="right"/>
              <w:rPr>
                <w:rFonts w:cs="Arial"/>
                <w:color w:val="000000"/>
                <w:sz w:val="20"/>
                <w:szCs w:val="20"/>
              </w:rPr>
            </w:pPr>
            <w:r w:rsidRPr="00A224E9">
              <w:rPr>
                <w:rFonts w:cs="Arial"/>
                <w:color w:val="000000"/>
                <w:sz w:val="20"/>
                <w:szCs w:val="20"/>
              </w:rPr>
              <w:t>6.238.939.082</w:t>
            </w:r>
          </w:p>
        </w:tc>
        <w:tc>
          <w:tcPr>
            <w:tcW w:w="853" w:type="pct"/>
            <w:tcBorders>
              <w:top w:val="nil"/>
              <w:left w:val="nil"/>
              <w:bottom w:val="nil"/>
              <w:right w:val="single" w:sz="4" w:space="0" w:color="auto"/>
            </w:tcBorders>
            <w:shd w:val="clear" w:color="000000" w:fill="FFFFFF"/>
            <w:vAlign w:val="center"/>
            <w:hideMark/>
          </w:tcPr>
          <w:p w14:paraId="2EF8633D" w14:textId="77777777" w:rsidR="008D0491" w:rsidRPr="00A224E9" w:rsidRDefault="008D0491" w:rsidP="008D0491">
            <w:pPr>
              <w:jc w:val="right"/>
              <w:rPr>
                <w:rFonts w:cs="Arial"/>
                <w:color w:val="000000"/>
                <w:sz w:val="20"/>
                <w:szCs w:val="20"/>
              </w:rPr>
            </w:pPr>
            <w:r w:rsidRPr="00A224E9">
              <w:rPr>
                <w:rFonts w:cs="Arial"/>
                <w:color w:val="000000"/>
                <w:sz w:val="20"/>
                <w:szCs w:val="20"/>
              </w:rPr>
              <w:t>6.273.141.552</w:t>
            </w:r>
          </w:p>
        </w:tc>
        <w:tc>
          <w:tcPr>
            <w:tcW w:w="853" w:type="pct"/>
            <w:tcBorders>
              <w:top w:val="nil"/>
              <w:left w:val="nil"/>
              <w:bottom w:val="nil"/>
              <w:right w:val="single" w:sz="4" w:space="0" w:color="auto"/>
            </w:tcBorders>
            <w:shd w:val="clear" w:color="auto" w:fill="auto"/>
            <w:noWrap/>
            <w:vAlign w:val="center"/>
            <w:hideMark/>
          </w:tcPr>
          <w:p w14:paraId="0A03F680" w14:textId="77777777" w:rsidR="008D0491" w:rsidRPr="00A224E9" w:rsidRDefault="008D0491" w:rsidP="008D0491">
            <w:pPr>
              <w:jc w:val="right"/>
              <w:rPr>
                <w:rFonts w:cs="Arial"/>
                <w:color w:val="000000"/>
                <w:sz w:val="20"/>
                <w:szCs w:val="20"/>
              </w:rPr>
            </w:pPr>
            <w:r w:rsidRPr="00A224E9">
              <w:rPr>
                <w:rFonts w:cs="Arial"/>
                <w:color w:val="000000"/>
                <w:sz w:val="20"/>
                <w:szCs w:val="20"/>
              </w:rPr>
              <w:t>34.202.470</w:t>
            </w:r>
          </w:p>
        </w:tc>
        <w:tc>
          <w:tcPr>
            <w:tcW w:w="603" w:type="pct"/>
            <w:tcBorders>
              <w:top w:val="nil"/>
              <w:left w:val="nil"/>
              <w:bottom w:val="nil"/>
              <w:right w:val="nil"/>
            </w:tcBorders>
            <w:shd w:val="clear" w:color="auto" w:fill="auto"/>
            <w:noWrap/>
            <w:vAlign w:val="center"/>
            <w:hideMark/>
          </w:tcPr>
          <w:p w14:paraId="55145016" w14:textId="77777777" w:rsidR="008D0491" w:rsidRPr="00A224E9" w:rsidRDefault="008D0491" w:rsidP="008D0491">
            <w:pPr>
              <w:jc w:val="center"/>
              <w:rPr>
                <w:rFonts w:cs="Arial"/>
                <w:color w:val="000000"/>
                <w:sz w:val="20"/>
                <w:szCs w:val="20"/>
              </w:rPr>
            </w:pPr>
            <w:r w:rsidRPr="00A224E9">
              <w:rPr>
                <w:rFonts w:cs="Arial"/>
                <w:color w:val="000000"/>
                <w:sz w:val="20"/>
                <w:szCs w:val="20"/>
              </w:rPr>
              <w:t>0,55</w:t>
            </w:r>
          </w:p>
        </w:tc>
      </w:tr>
      <w:tr w:rsidR="008D0491" w:rsidRPr="00A224E9" w14:paraId="7FB0EF2E" w14:textId="77777777" w:rsidTr="000A6309">
        <w:trPr>
          <w:trHeight w:val="340"/>
        </w:trPr>
        <w:tc>
          <w:tcPr>
            <w:tcW w:w="985" w:type="pct"/>
            <w:tcBorders>
              <w:top w:val="nil"/>
              <w:left w:val="nil"/>
              <w:bottom w:val="nil"/>
              <w:right w:val="single" w:sz="4" w:space="0" w:color="auto"/>
            </w:tcBorders>
            <w:shd w:val="clear" w:color="000000" w:fill="FFFFFF"/>
            <w:vAlign w:val="center"/>
            <w:hideMark/>
          </w:tcPr>
          <w:p w14:paraId="509F48A8" w14:textId="77777777" w:rsidR="008D0491" w:rsidRPr="00A224E9" w:rsidRDefault="008D0491" w:rsidP="000A6309">
            <w:pPr>
              <w:ind w:left="75"/>
              <w:jc w:val="left"/>
              <w:rPr>
                <w:rFonts w:cs="Arial"/>
                <w:color w:val="000000"/>
                <w:sz w:val="20"/>
                <w:szCs w:val="20"/>
              </w:rPr>
            </w:pPr>
            <w:r w:rsidRPr="00A224E9">
              <w:rPr>
                <w:rFonts w:cs="Arial"/>
                <w:color w:val="000000"/>
                <w:sz w:val="20"/>
                <w:szCs w:val="20"/>
              </w:rPr>
              <w:t>IPVA</w:t>
            </w:r>
          </w:p>
        </w:tc>
        <w:tc>
          <w:tcPr>
            <w:tcW w:w="853" w:type="pct"/>
            <w:tcBorders>
              <w:top w:val="nil"/>
              <w:left w:val="nil"/>
              <w:bottom w:val="nil"/>
              <w:right w:val="single" w:sz="4" w:space="0" w:color="auto"/>
            </w:tcBorders>
            <w:shd w:val="clear" w:color="000000" w:fill="FFFFFF"/>
            <w:noWrap/>
            <w:vAlign w:val="center"/>
            <w:hideMark/>
          </w:tcPr>
          <w:p w14:paraId="09B32715" w14:textId="77777777" w:rsidR="008D0491" w:rsidRPr="00A224E9" w:rsidRDefault="008D0491" w:rsidP="008D0491">
            <w:pPr>
              <w:jc w:val="right"/>
              <w:rPr>
                <w:rFonts w:cs="Arial"/>
                <w:color w:val="000000"/>
                <w:sz w:val="20"/>
                <w:szCs w:val="20"/>
              </w:rPr>
            </w:pPr>
            <w:r w:rsidRPr="00A224E9">
              <w:rPr>
                <w:rFonts w:cs="Arial"/>
                <w:color w:val="000000"/>
                <w:sz w:val="20"/>
                <w:szCs w:val="20"/>
              </w:rPr>
              <w:t>3.187.942.528</w:t>
            </w:r>
          </w:p>
        </w:tc>
        <w:tc>
          <w:tcPr>
            <w:tcW w:w="853" w:type="pct"/>
            <w:tcBorders>
              <w:top w:val="nil"/>
              <w:left w:val="nil"/>
              <w:bottom w:val="nil"/>
              <w:right w:val="single" w:sz="4" w:space="0" w:color="auto"/>
            </w:tcBorders>
            <w:shd w:val="clear" w:color="auto" w:fill="auto"/>
            <w:noWrap/>
            <w:vAlign w:val="center"/>
            <w:hideMark/>
          </w:tcPr>
          <w:p w14:paraId="38EF0022" w14:textId="77777777" w:rsidR="008D0491" w:rsidRPr="00A224E9" w:rsidRDefault="008D0491" w:rsidP="008D0491">
            <w:pPr>
              <w:jc w:val="right"/>
              <w:rPr>
                <w:rFonts w:cs="Arial"/>
                <w:color w:val="000000"/>
                <w:sz w:val="20"/>
                <w:szCs w:val="20"/>
              </w:rPr>
            </w:pPr>
            <w:r w:rsidRPr="00A224E9">
              <w:rPr>
                <w:rFonts w:cs="Arial"/>
                <w:color w:val="000000"/>
                <w:sz w:val="20"/>
                <w:szCs w:val="20"/>
              </w:rPr>
              <w:t>1.593.971.264</w:t>
            </w:r>
          </w:p>
        </w:tc>
        <w:tc>
          <w:tcPr>
            <w:tcW w:w="853" w:type="pct"/>
            <w:tcBorders>
              <w:top w:val="nil"/>
              <w:left w:val="nil"/>
              <w:bottom w:val="nil"/>
              <w:right w:val="single" w:sz="4" w:space="0" w:color="auto"/>
            </w:tcBorders>
            <w:shd w:val="clear" w:color="000000" w:fill="FFFFFF"/>
            <w:vAlign w:val="center"/>
            <w:hideMark/>
          </w:tcPr>
          <w:p w14:paraId="43E4F856" w14:textId="77777777" w:rsidR="008D0491" w:rsidRPr="00A224E9" w:rsidRDefault="008D0491" w:rsidP="008D0491">
            <w:pPr>
              <w:jc w:val="right"/>
              <w:rPr>
                <w:rFonts w:cs="Arial"/>
                <w:color w:val="000000"/>
                <w:sz w:val="20"/>
                <w:szCs w:val="20"/>
              </w:rPr>
            </w:pPr>
            <w:r w:rsidRPr="00A224E9">
              <w:rPr>
                <w:rFonts w:cs="Arial"/>
                <w:color w:val="000000"/>
                <w:sz w:val="20"/>
                <w:szCs w:val="20"/>
              </w:rPr>
              <w:t>1.594.028.798</w:t>
            </w:r>
          </w:p>
        </w:tc>
        <w:tc>
          <w:tcPr>
            <w:tcW w:w="853" w:type="pct"/>
            <w:tcBorders>
              <w:top w:val="nil"/>
              <w:left w:val="nil"/>
              <w:bottom w:val="nil"/>
              <w:right w:val="single" w:sz="4" w:space="0" w:color="auto"/>
            </w:tcBorders>
            <w:shd w:val="clear" w:color="auto" w:fill="auto"/>
            <w:noWrap/>
            <w:vAlign w:val="center"/>
            <w:hideMark/>
          </w:tcPr>
          <w:p w14:paraId="4217C8DE" w14:textId="77777777" w:rsidR="008D0491" w:rsidRPr="00A224E9" w:rsidRDefault="008D0491" w:rsidP="008D0491">
            <w:pPr>
              <w:jc w:val="right"/>
              <w:rPr>
                <w:rFonts w:cs="Arial"/>
                <w:color w:val="000000"/>
                <w:sz w:val="20"/>
                <w:szCs w:val="20"/>
              </w:rPr>
            </w:pPr>
            <w:r w:rsidRPr="00A224E9">
              <w:rPr>
                <w:rFonts w:cs="Arial"/>
                <w:color w:val="000000"/>
                <w:sz w:val="20"/>
                <w:szCs w:val="20"/>
              </w:rPr>
              <w:t>57.535</w:t>
            </w:r>
          </w:p>
        </w:tc>
        <w:tc>
          <w:tcPr>
            <w:tcW w:w="603" w:type="pct"/>
            <w:tcBorders>
              <w:top w:val="nil"/>
              <w:left w:val="nil"/>
              <w:bottom w:val="nil"/>
              <w:right w:val="nil"/>
            </w:tcBorders>
            <w:shd w:val="clear" w:color="auto" w:fill="auto"/>
            <w:noWrap/>
            <w:vAlign w:val="center"/>
            <w:hideMark/>
          </w:tcPr>
          <w:p w14:paraId="2581CD62" w14:textId="77777777" w:rsidR="008D0491" w:rsidRPr="00A224E9" w:rsidRDefault="008D0491" w:rsidP="008D0491">
            <w:pPr>
              <w:jc w:val="center"/>
              <w:rPr>
                <w:rFonts w:cs="Arial"/>
                <w:color w:val="000000"/>
                <w:sz w:val="20"/>
                <w:szCs w:val="20"/>
              </w:rPr>
            </w:pPr>
            <w:r w:rsidRPr="00A224E9">
              <w:rPr>
                <w:rFonts w:cs="Arial"/>
                <w:color w:val="000000"/>
                <w:sz w:val="20"/>
                <w:szCs w:val="20"/>
              </w:rPr>
              <w:t>0,00</w:t>
            </w:r>
          </w:p>
        </w:tc>
      </w:tr>
      <w:tr w:rsidR="008D0491" w:rsidRPr="00A224E9" w14:paraId="3265A916" w14:textId="77777777" w:rsidTr="000A6309">
        <w:trPr>
          <w:trHeight w:val="340"/>
        </w:trPr>
        <w:tc>
          <w:tcPr>
            <w:tcW w:w="985" w:type="pct"/>
            <w:tcBorders>
              <w:top w:val="nil"/>
              <w:left w:val="nil"/>
              <w:bottom w:val="nil"/>
              <w:right w:val="single" w:sz="4" w:space="0" w:color="auto"/>
            </w:tcBorders>
            <w:shd w:val="clear" w:color="000000" w:fill="FFFFFF"/>
            <w:vAlign w:val="center"/>
            <w:hideMark/>
          </w:tcPr>
          <w:p w14:paraId="41D4BBF6" w14:textId="77777777" w:rsidR="008D0491" w:rsidRPr="00A224E9" w:rsidRDefault="008D0491" w:rsidP="000A6309">
            <w:pPr>
              <w:ind w:left="75"/>
              <w:jc w:val="left"/>
              <w:rPr>
                <w:rFonts w:cs="Arial"/>
                <w:color w:val="000000"/>
                <w:sz w:val="20"/>
                <w:szCs w:val="20"/>
              </w:rPr>
            </w:pPr>
            <w:r w:rsidRPr="00A224E9">
              <w:rPr>
                <w:rFonts w:cs="Arial"/>
                <w:color w:val="000000"/>
                <w:sz w:val="20"/>
                <w:szCs w:val="20"/>
              </w:rPr>
              <w:t>IPI-Exportação</w:t>
            </w:r>
          </w:p>
        </w:tc>
        <w:tc>
          <w:tcPr>
            <w:tcW w:w="853" w:type="pct"/>
            <w:tcBorders>
              <w:top w:val="nil"/>
              <w:left w:val="nil"/>
              <w:bottom w:val="nil"/>
              <w:right w:val="single" w:sz="4" w:space="0" w:color="auto"/>
            </w:tcBorders>
            <w:shd w:val="clear" w:color="000000" w:fill="FFFFFF"/>
            <w:noWrap/>
            <w:vAlign w:val="center"/>
            <w:hideMark/>
          </w:tcPr>
          <w:p w14:paraId="193B96C6" w14:textId="77777777" w:rsidR="008D0491" w:rsidRPr="00A224E9" w:rsidRDefault="008D0491" w:rsidP="008D0491">
            <w:pPr>
              <w:jc w:val="right"/>
              <w:rPr>
                <w:rFonts w:cs="Arial"/>
                <w:color w:val="000000"/>
                <w:sz w:val="20"/>
                <w:szCs w:val="20"/>
              </w:rPr>
            </w:pPr>
            <w:r w:rsidRPr="00A224E9">
              <w:rPr>
                <w:rFonts w:cs="Arial"/>
                <w:color w:val="000000"/>
                <w:sz w:val="20"/>
                <w:szCs w:val="20"/>
              </w:rPr>
              <w:t>142.246.816</w:t>
            </w:r>
          </w:p>
        </w:tc>
        <w:tc>
          <w:tcPr>
            <w:tcW w:w="853" w:type="pct"/>
            <w:tcBorders>
              <w:top w:val="nil"/>
              <w:left w:val="nil"/>
              <w:bottom w:val="nil"/>
              <w:right w:val="single" w:sz="4" w:space="0" w:color="auto"/>
            </w:tcBorders>
            <w:shd w:val="clear" w:color="auto" w:fill="auto"/>
            <w:noWrap/>
            <w:vAlign w:val="center"/>
            <w:hideMark/>
          </w:tcPr>
          <w:p w14:paraId="1E13EB92" w14:textId="77777777" w:rsidR="008D0491" w:rsidRPr="00A224E9" w:rsidRDefault="008D0491" w:rsidP="008D0491">
            <w:pPr>
              <w:jc w:val="right"/>
              <w:rPr>
                <w:rFonts w:cs="Arial"/>
                <w:color w:val="000000"/>
                <w:sz w:val="20"/>
                <w:szCs w:val="20"/>
              </w:rPr>
            </w:pPr>
            <w:r w:rsidRPr="00A224E9">
              <w:rPr>
                <w:rFonts w:cs="Arial"/>
                <w:color w:val="000000"/>
                <w:sz w:val="20"/>
                <w:szCs w:val="20"/>
              </w:rPr>
              <w:t>35.561.704</w:t>
            </w:r>
          </w:p>
        </w:tc>
        <w:tc>
          <w:tcPr>
            <w:tcW w:w="853" w:type="pct"/>
            <w:tcBorders>
              <w:top w:val="nil"/>
              <w:left w:val="nil"/>
              <w:bottom w:val="nil"/>
              <w:right w:val="single" w:sz="4" w:space="0" w:color="auto"/>
            </w:tcBorders>
            <w:shd w:val="clear" w:color="000000" w:fill="FFFFFF"/>
            <w:vAlign w:val="center"/>
            <w:hideMark/>
          </w:tcPr>
          <w:p w14:paraId="7D40F802" w14:textId="77777777" w:rsidR="008D0491" w:rsidRPr="00A224E9" w:rsidRDefault="008D0491" w:rsidP="008D0491">
            <w:pPr>
              <w:jc w:val="right"/>
              <w:rPr>
                <w:rFonts w:cs="Arial"/>
                <w:color w:val="000000"/>
                <w:sz w:val="20"/>
                <w:szCs w:val="20"/>
              </w:rPr>
            </w:pPr>
            <w:r w:rsidRPr="00A224E9">
              <w:rPr>
                <w:rFonts w:cs="Arial"/>
                <w:color w:val="000000"/>
                <w:sz w:val="20"/>
                <w:szCs w:val="20"/>
              </w:rPr>
              <w:t>35.561.704</w:t>
            </w:r>
          </w:p>
        </w:tc>
        <w:tc>
          <w:tcPr>
            <w:tcW w:w="853" w:type="pct"/>
            <w:tcBorders>
              <w:top w:val="nil"/>
              <w:left w:val="nil"/>
              <w:bottom w:val="nil"/>
              <w:right w:val="single" w:sz="4" w:space="0" w:color="auto"/>
            </w:tcBorders>
            <w:shd w:val="clear" w:color="auto" w:fill="auto"/>
            <w:noWrap/>
            <w:vAlign w:val="center"/>
            <w:hideMark/>
          </w:tcPr>
          <w:p w14:paraId="407758DE" w14:textId="77777777" w:rsidR="008D0491" w:rsidRPr="00A224E9" w:rsidRDefault="008D0491" w:rsidP="008D0491">
            <w:pPr>
              <w:jc w:val="right"/>
              <w:rPr>
                <w:rFonts w:cs="Arial"/>
                <w:color w:val="000000"/>
                <w:sz w:val="20"/>
                <w:szCs w:val="20"/>
              </w:rPr>
            </w:pPr>
            <w:r w:rsidRPr="00A224E9">
              <w:rPr>
                <w:rFonts w:cs="Arial"/>
                <w:color w:val="000000"/>
                <w:sz w:val="20"/>
                <w:szCs w:val="20"/>
              </w:rPr>
              <w:t>-</w:t>
            </w:r>
          </w:p>
        </w:tc>
        <w:tc>
          <w:tcPr>
            <w:tcW w:w="603" w:type="pct"/>
            <w:tcBorders>
              <w:top w:val="nil"/>
              <w:left w:val="nil"/>
              <w:bottom w:val="nil"/>
              <w:right w:val="nil"/>
            </w:tcBorders>
            <w:shd w:val="clear" w:color="auto" w:fill="auto"/>
            <w:noWrap/>
            <w:vAlign w:val="center"/>
            <w:hideMark/>
          </w:tcPr>
          <w:p w14:paraId="3D99051B" w14:textId="77777777" w:rsidR="008D0491" w:rsidRPr="00A224E9" w:rsidRDefault="008D0491" w:rsidP="008D0491">
            <w:pPr>
              <w:jc w:val="center"/>
              <w:rPr>
                <w:rFonts w:cs="Arial"/>
                <w:color w:val="000000"/>
                <w:sz w:val="20"/>
                <w:szCs w:val="20"/>
              </w:rPr>
            </w:pPr>
            <w:r w:rsidRPr="00A224E9">
              <w:rPr>
                <w:rFonts w:cs="Arial"/>
                <w:color w:val="000000"/>
                <w:sz w:val="20"/>
                <w:szCs w:val="20"/>
              </w:rPr>
              <w:t>-</w:t>
            </w:r>
          </w:p>
        </w:tc>
      </w:tr>
      <w:tr w:rsidR="008D0491" w:rsidRPr="00A224E9" w14:paraId="39AF021F" w14:textId="77777777" w:rsidTr="000A6309">
        <w:trPr>
          <w:trHeight w:val="340"/>
        </w:trPr>
        <w:tc>
          <w:tcPr>
            <w:tcW w:w="985" w:type="pct"/>
            <w:tcBorders>
              <w:top w:val="single" w:sz="4" w:space="0" w:color="auto"/>
              <w:left w:val="nil"/>
              <w:bottom w:val="single" w:sz="4" w:space="0" w:color="auto"/>
              <w:right w:val="single" w:sz="4" w:space="0" w:color="auto"/>
            </w:tcBorders>
            <w:shd w:val="clear" w:color="auto" w:fill="auto"/>
            <w:vAlign w:val="center"/>
            <w:hideMark/>
          </w:tcPr>
          <w:p w14:paraId="01148764" w14:textId="77777777" w:rsidR="008D0491" w:rsidRPr="00A224E9" w:rsidRDefault="008D0491" w:rsidP="008D0491">
            <w:pPr>
              <w:jc w:val="center"/>
              <w:rPr>
                <w:rFonts w:cs="Arial"/>
                <w:b/>
                <w:bCs/>
                <w:color w:val="000000"/>
                <w:sz w:val="20"/>
                <w:szCs w:val="20"/>
              </w:rPr>
            </w:pPr>
            <w:r w:rsidRPr="00A224E9">
              <w:rPr>
                <w:rFonts w:cs="Arial"/>
                <w:b/>
                <w:bCs/>
                <w:color w:val="000000"/>
                <w:sz w:val="20"/>
                <w:szCs w:val="20"/>
              </w:rPr>
              <w:t>Total</w:t>
            </w:r>
          </w:p>
        </w:tc>
        <w:tc>
          <w:tcPr>
            <w:tcW w:w="853" w:type="pct"/>
            <w:tcBorders>
              <w:top w:val="single" w:sz="4" w:space="0" w:color="auto"/>
              <w:left w:val="nil"/>
              <w:bottom w:val="single" w:sz="4" w:space="0" w:color="auto"/>
              <w:right w:val="single" w:sz="4" w:space="0" w:color="auto"/>
            </w:tcBorders>
            <w:shd w:val="clear" w:color="auto" w:fill="auto"/>
            <w:noWrap/>
            <w:vAlign w:val="center"/>
            <w:hideMark/>
          </w:tcPr>
          <w:p w14:paraId="0B9AA501" w14:textId="77777777" w:rsidR="008D0491" w:rsidRPr="00A224E9" w:rsidRDefault="008D0491" w:rsidP="008D0491">
            <w:pPr>
              <w:jc w:val="right"/>
              <w:rPr>
                <w:rFonts w:cs="Arial"/>
                <w:b/>
                <w:bCs/>
                <w:color w:val="000000"/>
                <w:sz w:val="20"/>
                <w:szCs w:val="20"/>
              </w:rPr>
            </w:pPr>
            <w:r w:rsidRPr="00A224E9">
              <w:rPr>
                <w:rFonts w:cs="Arial"/>
                <w:b/>
                <w:bCs/>
                <w:color w:val="000000"/>
                <w:sz w:val="20"/>
                <w:szCs w:val="20"/>
              </w:rPr>
              <w:t>28.285.945.672</w:t>
            </w:r>
          </w:p>
        </w:tc>
        <w:tc>
          <w:tcPr>
            <w:tcW w:w="853" w:type="pct"/>
            <w:tcBorders>
              <w:top w:val="single" w:sz="4" w:space="0" w:color="auto"/>
              <w:left w:val="nil"/>
              <w:bottom w:val="single" w:sz="4" w:space="0" w:color="auto"/>
              <w:right w:val="single" w:sz="4" w:space="0" w:color="auto"/>
            </w:tcBorders>
            <w:shd w:val="clear" w:color="auto" w:fill="auto"/>
            <w:noWrap/>
            <w:vAlign w:val="center"/>
            <w:hideMark/>
          </w:tcPr>
          <w:p w14:paraId="46B8C825" w14:textId="77777777" w:rsidR="008D0491" w:rsidRPr="00A224E9" w:rsidRDefault="008D0491" w:rsidP="008D0491">
            <w:pPr>
              <w:jc w:val="right"/>
              <w:rPr>
                <w:rFonts w:cs="Arial"/>
                <w:b/>
                <w:bCs/>
                <w:color w:val="000000"/>
                <w:sz w:val="20"/>
                <w:szCs w:val="20"/>
              </w:rPr>
            </w:pPr>
            <w:r w:rsidRPr="00A224E9">
              <w:rPr>
                <w:rFonts w:cs="Arial"/>
                <w:b/>
                <w:bCs/>
                <w:color w:val="000000"/>
                <w:sz w:val="20"/>
                <w:szCs w:val="20"/>
              </w:rPr>
              <w:t>7.868.472.050</w:t>
            </w:r>
          </w:p>
        </w:tc>
        <w:tc>
          <w:tcPr>
            <w:tcW w:w="853" w:type="pct"/>
            <w:tcBorders>
              <w:top w:val="single" w:sz="4" w:space="0" w:color="auto"/>
              <w:left w:val="nil"/>
              <w:bottom w:val="single" w:sz="4" w:space="0" w:color="auto"/>
              <w:right w:val="single" w:sz="4" w:space="0" w:color="auto"/>
            </w:tcBorders>
            <w:shd w:val="clear" w:color="auto" w:fill="auto"/>
            <w:noWrap/>
            <w:vAlign w:val="center"/>
            <w:hideMark/>
          </w:tcPr>
          <w:p w14:paraId="39E2FBEF" w14:textId="77777777" w:rsidR="008D0491" w:rsidRPr="00A224E9" w:rsidRDefault="008D0491" w:rsidP="008D0491">
            <w:pPr>
              <w:jc w:val="right"/>
              <w:rPr>
                <w:rFonts w:cs="Arial"/>
                <w:b/>
                <w:bCs/>
                <w:color w:val="000000"/>
                <w:sz w:val="20"/>
                <w:szCs w:val="20"/>
              </w:rPr>
            </w:pPr>
            <w:r w:rsidRPr="00A224E9">
              <w:rPr>
                <w:rFonts w:cs="Arial"/>
                <w:b/>
                <w:bCs/>
                <w:color w:val="000000"/>
                <w:sz w:val="20"/>
                <w:szCs w:val="20"/>
              </w:rPr>
              <w:t>7.902.732.054</w:t>
            </w:r>
          </w:p>
        </w:tc>
        <w:tc>
          <w:tcPr>
            <w:tcW w:w="853" w:type="pct"/>
            <w:tcBorders>
              <w:top w:val="single" w:sz="4" w:space="0" w:color="auto"/>
              <w:left w:val="nil"/>
              <w:bottom w:val="single" w:sz="4" w:space="0" w:color="auto"/>
              <w:right w:val="single" w:sz="4" w:space="0" w:color="auto"/>
            </w:tcBorders>
            <w:shd w:val="clear" w:color="auto" w:fill="auto"/>
            <w:noWrap/>
            <w:vAlign w:val="center"/>
            <w:hideMark/>
          </w:tcPr>
          <w:p w14:paraId="53E7E2BB" w14:textId="77777777" w:rsidR="008D0491" w:rsidRPr="00A224E9" w:rsidRDefault="008D0491" w:rsidP="008D0491">
            <w:pPr>
              <w:jc w:val="right"/>
              <w:rPr>
                <w:rFonts w:cs="Arial"/>
                <w:b/>
                <w:bCs/>
                <w:sz w:val="20"/>
                <w:szCs w:val="20"/>
              </w:rPr>
            </w:pPr>
            <w:r w:rsidRPr="00A224E9">
              <w:rPr>
                <w:rFonts w:cs="Arial"/>
                <w:b/>
                <w:bCs/>
                <w:sz w:val="20"/>
                <w:szCs w:val="20"/>
              </w:rPr>
              <w:t>34.260.004</w:t>
            </w:r>
          </w:p>
        </w:tc>
        <w:tc>
          <w:tcPr>
            <w:tcW w:w="603" w:type="pct"/>
            <w:tcBorders>
              <w:top w:val="single" w:sz="4" w:space="0" w:color="auto"/>
              <w:left w:val="nil"/>
              <w:bottom w:val="single" w:sz="4" w:space="0" w:color="auto"/>
              <w:right w:val="nil"/>
            </w:tcBorders>
            <w:shd w:val="clear" w:color="auto" w:fill="auto"/>
            <w:noWrap/>
            <w:vAlign w:val="center"/>
            <w:hideMark/>
          </w:tcPr>
          <w:p w14:paraId="01F1F0C9" w14:textId="77777777" w:rsidR="008D0491" w:rsidRPr="00A224E9" w:rsidRDefault="008D0491" w:rsidP="008D0491">
            <w:pPr>
              <w:jc w:val="center"/>
              <w:rPr>
                <w:rFonts w:cs="Arial"/>
                <w:b/>
                <w:bCs/>
                <w:sz w:val="20"/>
                <w:szCs w:val="20"/>
              </w:rPr>
            </w:pPr>
            <w:r w:rsidRPr="00A224E9">
              <w:rPr>
                <w:rFonts w:cs="Arial"/>
                <w:b/>
                <w:bCs/>
                <w:sz w:val="20"/>
                <w:szCs w:val="20"/>
              </w:rPr>
              <w:t>0,44</w:t>
            </w:r>
          </w:p>
        </w:tc>
      </w:tr>
    </w:tbl>
    <w:p w14:paraId="09F13476" w14:textId="77777777" w:rsidR="008D0491" w:rsidRPr="00747E9D" w:rsidRDefault="008D0491" w:rsidP="008D0491">
      <w:pPr>
        <w:pStyle w:val="0-FONTEBALANO"/>
        <w:spacing w:after="240"/>
      </w:pPr>
      <w:r w:rsidRPr="00747E9D">
        <w:t>Fonte: Anexos 10 e 10A – 2023 (202300047001912, evento 22, fls. 47-149)</w:t>
      </w:r>
    </w:p>
    <w:p w14:paraId="05764B24" w14:textId="77777777" w:rsidR="008D0491" w:rsidRPr="00747E9D" w:rsidRDefault="008D0491" w:rsidP="008D0491">
      <w:pPr>
        <w:pStyle w:val="1-REL11"/>
      </w:pPr>
      <w:r w:rsidRPr="00747E9D">
        <w:t xml:space="preserve">O art. </w:t>
      </w:r>
      <w:bookmarkStart w:id="274" w:name="art8"/>
      <w:bookmarkEnd w:id="274"/>
      <w:r w:rsidRPr="00747E9D">
        <w:t>8º da LC nº 63/1990 determina que os estados</w:t>
      </w:r>
      <w:r>
        <w:t xml:space="preserve"> </w:t>
      </w:r>
      <w:r w:rsidRPr="00747E9D">
        <w:t>devem publicar mensalmente a arrecadação (ICMS/IPVA) e as transferência recebidas (IPI-Exportação) dos impostos a serem repartidos, assim como discriminar as parcelas entregues a cada município sob pena de presunção de falta de entrega dos recursos, salvo erro devidamente justificado e publicado até 15 dias após a data de publicação incorreta.</w:t>
      </w:r>
    </w:p>
    <w:p w14:paraId="262D675E" w14:textId="77777777" w:rsidR="008D0491" w:rsidRPr="00747E9D" w:rsidRDefault="008D0491" w:rsidP="008D0491">
      <w:pPr>
        <w:pStyle w:val="1-REL11"/>
        <w:spacing w:after="0"/>
      </w:pPr>
      <w:r w:rsidRPr="00747E9D">
        <w:t xml:space="preserve">A publicação mensal pelos </w:t>
      </w:r>
      <w:r>
        <w:t>e</w:t>
      </w:r>
      <w:r w:rsidRPr="00747E9D">
        <w:t>stados da arrecadação e das transferências recebidas dos impostos envolvidos tem, obviamente, o objetivo de dar transparência à base de cálculo utilizada para as transferências, permitindo assim a verificação da regularidade dos valores repassados.</w:t>
      </w:r>
    </w:p>
    <w:p w14:paraId="36E338F9" w14:textId="77777777" w:rsidR="008D0491" w:rsidRPr="000A127C" w:rsidRDefault="008D0491" w:rsidP="008D0491">
      <w:pPr>
        <w:pStyle w:val="1-REL11"/>
      </w:pPr>
      <w:r w:rsidRPr="000A127C">
        <w:t>Por meio do Ofício nº 799/2024 – SERV-PUBLICA (processo nº 202300047001912, evento 265), foi solicitado à Secretaria de Estado da Economia (ECONOMIA), além de outras informações:</w:t>
      </w:r>
    </w:p>
    <w:p w14:paraId="460D684C" w14:textId="77777777" w:rsidR="008D0491" w:rsidRPr="000A127C" w:rsidRDefault="008D0491" w:rsidP="008D0491">
      <w:pPr>
        <w:pStyle w:val="1-CITAO"/>
      </w:pPr>
      <w:r w:rsidRPr="000A127C">
        <w:t xml:space="preserve">c) </w:t>
      </w:r>
      <w:bookmarkStart w:id="275" w:name="_Hlk167798954"/>
      <w:r w:rsidRPr="000A127C">
        <w:t>conciliação entre o Demonstrativo de Repasses aos Municípios e de Repasses ao Fundeb (disponível em https://goias.gov.br/economia/repasse-aos-municipios/); (2) as naturezas de receita constantes no Anexo 10 do SCG</w:t>
      </w:r>
      <w:bookmarkEnd w:id="275"/>
      <w:r w:rsidRPr="000A127C">
        <w:t xml:space="preserve">; (3) as </w:t>
      </w:r>
      <w:r w:rsidRPr="000A127C">
        <w:lastRenderedPageBreak/>
        <w:t>contas contábeis analíticas do plano de contas do SCG; e (4) os percentuais estipulados para a transferências aos municípios nas legislações de cada tributo;</w:t>
      </w:r>
    </w:p>
    <w:p w14:paraId="0B66FC29" w14:textId="77777777" w:rsidR="008D0491" w:rsidRPr="00747E9D" w:rsidRDefault="008D0491" w:rsidP="008D0491">
      <w:pPr>
        <w:pStyle w:val="1-REL11"/>
      </w:pPr>
      <w:r w:rsidRPr="00747E9D">
        <w:t xml:space="preserve">Em atenção ao supracitado ofício, por meio da Nota Técnica nº 1/2024 – ECONOMIA/GPFIN-05561 (processo nº 202300047001912, evento 274), a Gerência de Administração Financeira informou, em síntese, que na apuração dos valores, da distribuição realizada pelo Banco Centralizador (Caixa Econômica Federal) aos municípios, em confronto com o registro da receita orçamentária no sistema de contabilidade (Anexo 10A), deve ser considerado o </w:t>
      </w:r>
      <w:r w:rsidRPr="00747E9D">
        <w:rPr>
          <w:i/>
        </w:rPr>
        <w:t>ﬂoat</w:t>
      </w:r>
      <w:r w:rsidRPr="00747E9D">
        <w:t xml:space="preserve"> bancário.</w:t>
      </w:r>
    </w:p>
    <w:p w14:paraId="08E46E7D" w14:textId="77777777" w:rsidR="008D0491" w:rsidRPr="00747E9D" w:rsidRDefault="008D0491" w:rsidP="008D0491">
      <w:pPr>
        <w:pStyle w:val="1-REL11"/>
      </w:pPr>
      <w:r w:rsidRPr="00747E9D">
        <w:t xml:space="preserve">Esclarece, ainda, que se entende por </w:t>
      </w:r>
      <w:r w:rsidRPr="00747E9D">
        <w:rPr>
          <w:i/>
        </w:rPr>
        <w:t xml:space="preserve">ﬂoat </w:t>
      </w:r>
      <w:r w:rsidRPr="00747E9D">
        <w:t xml:space="preserve">bancário, o número de dias úteis que o agente ou banco arrecadador retém os valores recebidos até a disponibilização em conta, e que o </w:t>
      </w:r>
      <w:r w:rsidRPr="00747E9D">
        <w:rPr>
          <w:i/>
        </w:rPr>
        <w:t>float</w:t>
      </w:r>
      <w:r w:rsidRPr="00747E9D">
        <w:t xml:space="preserve"> para o estado de Goiás é de D+1.</w:t>
      </w:r>
    </w:p>
    <w:p w14:paraId="3E6F70BA" w14:textId="77777777" w:rsidR="008D0491" w:rsidRPr="00747E9D" w:rsidRDefault="008D0491" w:rsidP="008D0491">
      <w:pPr>
        <w:pStyle w:val="1-REL11"/>
      </w:pPr>
      <w:r w:rsidRPr="00747E9D">
        <w:t>Analisando a conciliação apresentada, verifica-se que a base da conciliação se fundamenta nas naturezas de repasse (dedução), ou seja, nos valores efetivamente repassados aos municípios, e não na demonstração da apuração e conciliação com a base de cálculo sobre a qual devem incidir os percentuais constitucionais.</w:t>
      </w:r>
    </w:p>
    <w:p w14:paraId="544455B4" w14:textId="77777777" w:rsidR="008D0491" w:rsidRPr="00747E9D" w:rsidRDefault="008D0491" w:rsidP="008D0491">
      <w:pPr>
        <w:pStyle w:val="1-REL11"/>
      </w:pPr>
      <w:r w:rsidRPr="00747E9D">
        <w:t>Em contato com a Superintendência Financeira da ECONOMIA para obter esclarecimentos adicionais, fomos informados que seria emitida uma nota técnica complementar à Nota Técnica nº 1/2024 – ECONOMIA/GPFIN-05561. No entanto, até a conclusão dos trabalhos, essa nota complementar não foi emitida, portanto, prevalecem as informações fornecidas, conforme demonstrado na tabela abaixo</w:t>
      </w:r>
      <w:r>
        <w:t>:</w:t>
      </w:r>
    </w:p>
    <w:p w14:paraId="5C98B4D4" w14:textId="77777777" w:rsidR="008D0491" w:rsidRPr="00747E9D" w:rsidRDefault="008D0491" w:rsidP="00736A8C">
      <w:pPr>
        <w:pStyle w:val="0-TABELA"/>
        <w:numPr>
          <w:ilvl w:val="0"/>
          <w:numId w:val="53"/>
        </w:numPr>
        <w:tabs>
          <w:tab w:val="clear" w:pos="1560"/>
          <w:tab w:val="left" w:pos="1134"/>
        </w:tabs>
        <w:spacing w:before="0" w:after="0"/>
        <w:ind w:left="0" w:firstLine="0"/>
      </w:pPr>
      <w:bookmarkStart w:id="276" w:name="_Toc167871785"/>
      <w:r w:rsidRPr="00747E9D">
        <w:t>Natureza de Receitas de Dedução da Receita por Repasse</w:t>
      </w:r>
      <w:bookmarkEnd w:id="276"/>
    </w:p>
    <w:p w14:paraId="695E0C12" w14:textId="77777777" w:rsidR="008D0491" w:rsidRPr="00747E9D" w:rsidRDefault="008D0491" w:rsidP="008D0491">
      <w:pPr>
        <w:pStyle w:val="0-EmR1"/>
        <w:rPr>
          <w:lang w:eastAsia="en-US"/>
        </w:rPr>
      </w:pPr>
      <w:r w:rsidRPr="00747E9D">
        <w:rPr>
          <w:lang w:eastAsia="en-US"/>
        </w:rPr>
        <w:t>R$ 1</w:t>
      </w:r>
    </w:p>
    <w:tbl>
      <w:tblPr>
        <w:tblW w:w="5000" w:type="pct"/>
        <w:tblCellMar>
          <w:left w:w="70" w:type="dxa"/>
          <w:right w:w="70" w:type="dxa"/>
        </w:tblCellMar>
        <w:tblLook w:val="04A0" w:firstRow="1" w:lastRow="0" w:firstColumn="1" w:lastColumn="0" w:noHBand="0" w:noVBand="1"/>
      </w:tblPr>
      <w:tblGrid>
        <w:gridCol w:w="1864"/>
        <w:gridCol w:w="5825"/>
        <w:gridCol w:w="1664"/>
      </w:tblGrid>
      <w:tr w:rsidR="008D0491" w:rsidRPr="008D0491" w14:paraId="79623AE0" w14:textId="77777777" w:rsidTr="008D0491">
        <w:trPr>
          <w:trHeight w:val="397"/>
        </w:trPr>
        <w:tc>
          <w:tcPr>
            <w:tcW w:w="944" w:type="pct"/>
            <w:tcBorders>
              <w:top w:val="single" w:sz="4" w:space="0" w:color="auto"/>
              <w:left w:val="nil"/>
              <w:bottom w:val="single" w:sz="4" w:space="0" w:color="auto"/>
              <w:right w:val="single" w:sz="4" w:space="0" w:color="auto"/>
            </w:tcBorders>
            <w:shd w:val="clear" w:color="000000" w:fill="A1F2FD"/>
            <w:vAlign w:val="center"/>
            <w:hideMark/>
          </w:tcPr>
          <w:p w14:paraId="5801ED52" w14:textId="77777777" w:rsidR="008D0491" w:rsidRPr="008D0491" w:rsidRDefault="008D0491" w:rsidP="008D0491">
            <w:pPr>
              <w:jc w:val="center"/>
              <w:rPr>
                <w:rFonts w:cs="Arial"/>
                <w:b/>
                <w:bCs/>
                <w:color w:val="000000"/>
                <w:sz w:val="20"/>
                <w:szCs w:val="20"/>
              </w:rPr>
            </w:pPr>
            <w:r w:rsidRPr="008D0491">
              <w:rPr>
                <w:rFonts w:cs="Arial"/>
                <w:b/>
                <w:bCs/>
                <w:color w:val="000000"/>
                <w:sz w:val="20"/>
                <w:szCs w:val="20"/>
              </w:rPr>
              <w:t>Natureza de Receita</w:t>
            </w:r>
          </w:p>
        </w:tc>
        <w:tc>
          <w:tcPr>
            <w:tcW w:w="3248" w:type="pct"/>
            <w:tcBorders>
              <w:top w:val="single" w:sz="4" w:space="0" w:color="auto"/>
              <w:left w:val="nil"/>
              <w:bottom w:val="single" w:sz="4" w:space="0" w:color="auto"/>
              <w:right w:val="nil"/>
            </w:tcBorders>
            <w:shd w:val="clear" w:color="000000" w:fill="A1F2FD"/>
            <w:vAlign w:val="center"/>
            <w:hideMark/>
          </w:tcPr>
          <w:p w14:paraId="5CFA5A60" w14:textId="77777777" w:rsidR="008D0491" w:rsidRPr="008D0491" w:rsidRDefault="008D0491" w:rsidP="008D0491">
            <w:pPr>
              <w:jc w:val="center"/>
              <w:rPr>
                <w:rFonts w:cs="Arial"/>
                <w:b/>
                <w:bCs/>
                <w:color w:val="000000"/>
                <w:sz w:val="20"/>
                <w:szCs w:val="20"/>
              </w:rPr>
            </w:pPr>
            <w:r w:rsidRPr="008D0491">
              <w:rPr>
                <w:rFonts w:cs="Arial"/>
                <w:b/>
                <w:bCs/>
                <w:color w:val="000000"/>
                <w:sz w:val="20"/>
                <w:szCs w:val="20"/>
              </w:rPr>
              <w:t>Especificação</w:t>
            </w:r>
          </w:p>
        </w:tc>
        <w:tc>
          <w:tcPr>
            <w:tcW w:w="808" w:type="pct"/>
            <w:tcBorders>
              <w:top w:val="single" w:sz="4" w:space="0" w:color="auto"/>
              <w:left w:val="single" w:sz="4" w:space="0" w:color="auto"/>
              <w:bottom w:val="single" w:sz="4" w:space="0" w:color="auto"/>
              <w:right w:val="nil"/>
            </w:tcBorders>
            <w:shd w:val="clear" w:color="000000" w:fill="A1F2FD"/>
            <w:vAlign w:val="center"/>
            <w:hideMark/>
          </w:tcPr>
          <w:p w14:paraId="0B69EAD2" w14:textId="77777777" w:rsidR="008D0491" w:rsidRPr="008D0491" w:rsidRDefault="008D0491" w:rsidP="008D0491">
            <w:pPr>
              <w:jc w:val="center"/>
              <w:rPr>
                <w:rFonts w:cs="Arial"/>
                <w:b/>
                <w:bCs/>
                <w:color w:val="000000"/>
                <w:sz w:val="20"/>
                <w:szCs w:val="20"/>
              </w:rPr>
            </w:pPr>
            <w:r w:rsidRPr="008D0491">
              <w:rPr>
                <w:rFonts w:cs="Arial"/>
                <w:b/>
                <w:bCs/>
                <w:color w:val="000000"/>
                <w:sz w:val="20"/>
                <w:szCs w:val="20"/>
              </w:rPr>
              <w:t>Total</w:t>
            </w:r>
          </w:p>
        </w:tc>
      </w:tr>
      <w:tr w:rsidR="008D0491" w:rsidRPr="008D0491" w14:paraId="2A9F2B2E" w14:textId="77777777" w:rsidTr="008D0491">
        <w:trPr>
          <w:trHeight w:val="397"/>
        </w:trPr>
        <w:tc>
          <w:tcPr>
            <w:tcW w:w="944" w:type="pct"/>
            <w:tcBorders>
              <w:top w:val="single" w:sz="4" w:space="0" w:color="auto"/>
              <w:left w:val="nil"/>
              <w:right w:val="single" w:sz="4" w:space="0" w:color="auto"/>
            </w:tcBorders>
            <w:shd w:val="clear" w:color="000000" w:fill="FFFFFF"/>
            <w:vAlign w:val="center"/>
            <w:hideMark/>
          </w:tcPr>
          <w:p w14:paraId="4879933E" w14:textId="77777777" w:rsidR="008D0491" w:rsidRPr="008D0491" w:rsidRDefault="008D0491" w:rsidP="008D0491">
            <w:pPr>
              <w:jc w:val="left"/>
              <w:rPr>
                <w:rFonts w:cs="Arial"/>
                <w:color w:val="000000"/>
                <w:sz w:val="20"/>
                <w:szCs w:val="20"/>
              </w:rPr>
            </w:pPr>
            <w:r w:rsidRPr="008D0491">
              <w:rPr>
                <w:rFonts w:cs="Arial"/>
                <w:color w:val="000000"/>
                <w:sz w:val="20"/>
                <w:szCs w:val="20"/>
              </w:rPr>
              <w:t>1.1.1.2.51.0.1.9103</w:t>
            </w:r>
          </w:p>
        </w:tc>
        <w:tc>
          <w:tcPr>
            <w:tcW w:w="3248" w:type="pct"/>
            <w:tcBorders>
              <w:top w:val="single" w:sz="4" w:space="0" w:color="auto"/>
              <w:left w:val="nil"/>
              <w:right w:val="nil"/>
            </w:tcBorders>
            <w:shd w:val="clear" w:color="000000" w:fill="FFFFFF"/>
            <w:vAlign w:val="center"/>
            <w:hideMark/>
          </w:tcPr>
          <w:p w14:paraId="7B1292B4" w14:textId="77777777" w:rsidR="008D0491" w:rsidRPr="008D0491" w:rsidRDefault="008D0491" w:rsidP="008D0491">
            <w:pPr>
              <w:jc w:val="left"/>
              <w:rPr>
                <w:rFonts w:cs="Arial"/>
                <w:color w:val="000000"/>
                <w:sz w:val="20"/>
                <w:szCs w:val="20"/>
              </w:rPr>
            </w:pPr>
            <w:r w:rsidRPr="008D0491">
              <w:rPr>
                <w:rFonts w:cs="Arial"/>
                <w:color w:val="000000"/>
                <w:sz w:val="20"/>
                <w:szCs w:val="20"/>
              </w:rPr>
              <w:t>Dedução das Receitas de Transferências Constitucionais aos Municípios IPVA 40%</w:t>
            </w:r>
          </w:p>
        </w:tc>
        <w:tc>
          <w:tcPr>
            <w:tcW w:w="808" w:type="pct"/>
            <w:tcBorders>
              <w:top w:val="single" w:sz="4" w:space="0" w:color="auto"/>
              <w:left w:val="single" w:sz="4" w:space="0" w:color="auto"/>
              <w:right w:val="nil"/>
            </w:tcBorders>
            <w:shd w:val="clear" w:color="000000" w:fill="FFFFFF"/>
            <w:vAlign w:val="center"/>
            <w:hideMark/>
          </w:tcPr>
          <w:p w14:paraId="1292F3C9" w14:textId="77777777" w:rsidR="008D0491" w:rsidRPr="008D0491" w:rsidRDefault="008D0491" w:rsidP="008D0491">
            <w:pPr>
              <w:jc w:val="right"/>
              <w:rPr>
                <w:rFonts w:cs="Arial"/>
                <w:b/>
                <w:bCs/>
                <w:color w:val="000000"/>
                <w:sz w:val="20"/>
                <w:szCs w:val="20"/>
              </w:rPr>
            </w:pPr>
            <w:r w:rsidRPr="008D0491">
              <w:rPr>
                <w:rFonts w:cs="Arial"/>
                <w:b/>
                <w:bCs/>
                <w:color w:val="FF0000"/>
                <w:sz w:val="20"/>
                <w:szCs w:val="20"/>
              </w:rPr>
              <w:t>(1.275.223.038)</w:t>
            </w:r>
          </w:p>
        </w:tc>
      </w:tr>
      <w:tr w:rsidR="008D0491" w:rsidRPr="008D0491" w14:paraId="6320C376" w14:textId="77777777" w:rsidTr="008D0491">
        <w:trPr>
          <w:trHeight w:val="397"/>
        </w:trPr>
        <w:tc>
          <w:tcPr>
            <w:tcW w:w="944" w:type="pct"/>
            <w:tcBorders>
              <w:left w:val="nil"/>
              <w:bottom w:val="single" w:sz="4" w:space="0" w:color="FFFFFF"/>
              <w:right w:val="single" w:sz="4" w:space="0" w:color="auto"/>
            </w:tcBorders>
            <w:shd w:val="clear" w:color="000000" w:fill="FFFFFF"/>
            <w:vAlign w:val="center"/>
            <w:hideMark/>
          </w:tcPr>
          <w:p w14:paraId="3748504A" w14:textId="77777777" w:rsidR="008D0491" w:rsidRPr="008D0491" w:rsidRDefault="008D0491" w:rsidP="008D0491">
            <w:pPr>
              <w:jc w:val="left"/>
              <w:rPr>
                <w:rFonts w:cs="Arial"/>
                <w:color w:val="000000"/>
                <w:sz w:val="20"/>
                <w:szCs w:val="20"/>
              </w:rPr>
            </w:pPr>
            <w:r w:rsidRPr="008D0491">
              <w:rPr>
                <w:rFonts w:cs="Arial"/>
                <w:color w:val="000000"/>
                <w:sz w:val="20"/>
                <w:szCs w:val="20"/>
              </w:rPr>
              <w:t>1.1.1.4.50.1.1.9103</w:t>
            </w:r>
          </w:p>
        </w:tc>
        <w:tc>
          <w:tcPr>
            <w:tcW w:w="3248" w:type="pct"/>
            <w:tcBorders>
              <w:left w:val="nil"/>
              <w:bottom w:val="single" w:sz="4" w:space="0" w:color="FFFFFF"/>
              <w:right w:val="nil"/>
            </w:tcBorders>
            <w:shd w:val="clear" w:color="auto" w:fill="auto"/>
            <w:vAlign w:val="center"/>
            <w:hideMark/>
          </w:tcPr>
          <w:p w14:paraId="6C3CF2C8" w14:textId="77777777" w:rsidR="008D0491" w:rsidRPr="008D0491" w:rsidRDefault="008D0491" w:rsidP="008D0491">
            <w:pPr>
              <w:jc w:val="left"/>
              <w:rPr>
                <w:rFonts w:cs="Arial"/>
                <w:color w:val="000000"/>
                <w:sz w:val="20"/>
                <w:szCs w:val="20"/>
              </w:rPr>
            </w:pPr>
            <w:r w:rsidRPr="008D0491">
              <w:rPr>
                <w:rFonts w:cs="Arial"/>
                <w:color w:val="000000"/>
                <w:sz w:val="20"/>
                <w:szCs w:val="20"/>
              </w:rPr>
              <w:t>Dedução - Receita de Transferências Constitucionais aos Municípios - ICMS 20%</w:t>
            </w:r>
          </w:p>
        </w:tc>
        <w:tc>
          <w:tcPr>
            <w:tcW w:w="808" w:type="pct"/>
            <w:tcBorders>
              <w:left w:val="single" w:sz="4" w:space="0" w:color="auto"/>
              <w:bottom w:val="nil"/>
              <w:right w:val="nil"/>
            </w:tcBorders>
            <w:shd w:val="clear" w:color="auto" w:fill="auto"/>
            <w:vAlign w:val="center"/>
            <w:hideMark/>
          </w:tcPr>
          <w:p w14:paraId="793AE2EE" w14:textId="77777777" w:rsidR="008D0491" w:rsidRPr="008D0491" w:rsidRDefault="008D0491" w:rsidP="008D0491">
            <w:pPr>
              <w:jc w:val="right"/>
              <w:rPr>
                <w:rFonts w:cs="Arial"/>
                <w:color w:val="000000"/>
                <w:sz w:val="20"/>
                <w:szCs w:val="20"/>
              </w:rPr>
            </w:pPr>
            <w:r w:rsidRPr="008D0491">
              <w:rPr>
                <w:rFonts w:cs="Arial"/>
                <w:color w:val="FF0000"/>
                <w:sz w:val="20"/>
                <w:szCs w:val="20"/>
              </w:rPr>
              <w:t>(4.868.713.934)</w:t>
            </w:r>
          </w:p>
        </w:tc>
      </w:tr>
      <w:tr w:rsidR="008D0491" w:rsidRPr="008D0491" w14:paraId="30B9DD87" w14:textId="77777777" w:rsidTr="008D0491">
        <w:trPr>
          <w:trHeight w:val="397"/>
        </w:trPr>
        <w:tc>
          <w:tcPr>
            <w:tcW w:w="944" w:type="pct"/>
            <w:tcBorders>
              <w:top w:val="nil"/>
              <w:left w:val="nil"/>
              <w:bottom w:val="nil"/>
              <w:right w:val="single" w:sz="4" w:space="0" w:color="auto"/>
            </w:tcBorders>
            <w:shd w:val="clear" w:color="000000" w:fill="FFFFFF"/>
            <w:vAlign w:val="center"/>
            <w:hideMark/>
          </w:tcPr>
          <w:p w14:paraId="7AF78192" w14:textId="77777777" w:rsidR="008D0491" w:rsidRPr="008D0491" w:rsidRDefault="008D0491" w:rsidP="008D0491">
            <w:pPr>
              <w:jc w:val="left"/>
              <w:rPr>
                <w:rFonts w:cs="Arial"/>
                <w:color w:val="000000"/>
                <w:sz w:val="20"/>
                <w:szCs w:val="20"/>
              </w:rPr>
            </w:pPr>
            <w:r w:rsidRPr="008D0491">
              <w:rPr>
                <w:rFonts w:cs="Arial"/>
                <w:color w:val="000000"/>
                <w:sz w:val="20"/>
                <w:szCs w:val="20"/>
              </w:rPr>
              <w:t>1.1.1.4.50.1.1.9111</w:t>
            </w:r>
          </w:p>
        </w:tc>
        <w:tc>
          <w:tcPr>
            <w:tcW w:w="3248" w:type="pct"/>
            <w:tcBorders>
              <w:top w:val="nil"/>
              <w:left w:val="nil"/>
              <w:bottom w:val="nil"/>
              <w:right w:val="nil"/>
            </w:tcBorders>
            <w:shd w:val="clear" w:color="auto" w:fill="auto"/>
            <w:vAlign w:val="center"/>
            <w:hideMark/>
          </w:tcPr>
          <w:p w14:paraId="0432B9F9" w14:textId="77777777" w:rsidR="008D0491" w:rsidRPr="008D0491" w:rsidRDefault="008D0491" w:rsidP="008D0491">
            <w:pPr>
              <w:jc w:val="left"/>
              <w:rPr>
                <w:rFonts w:cs="Arial"/>
                <w:color w:val="000000"/>
                <w:sz w:val="20"/>
                <w:szCs w:val="20"/>
              </w:rPr>
            </w:pPr>
            <w:r w:rsidRPr="008D0491">
              <w:rPr>
                <w:rFonts w:cs="Arial"/>
                <w:color w:val="000000"/>
                <w:sz w:val="20"/>
                <w:szCs w:val="20"/>
              </w:rPr>
              <w:t>Dedução - Transferência Financeira das Perdas com Arrecadação de ICMS - Art. 3°, § 4°, LC n° 194/2022 - Transferências Constitucionais aos Municípios</w:t>
            </w:r>
          </w:p>
        </w:tc>
        <w:tc>
          <w:tcPr>
            <w:tcW w:w="808" w:type="pct"/>
            <w:tcBorders>
              <w:top w:val="nil"/>
              <w:left w:val="single" w:sz="4" w:space="0" w:color="auto"/>
              <w:bottom w:val="nil"/>
              <w:right w:val="nil"/>
            </w:tcBorders>
            <w:shd w:val="clear" w:color="auto" w:fill="auto"/>
            <w:vAlign w:val="center"/>
            <w:hideMark/>
          </w:tcPr>
          <w:p w14:paraId="291549B8" w14:textId="77777777" w:rsidR="008D0491" w:rsidRPr="008D0491" w:rsidRDefault="008D0491" w:rsidP="008D0491">
            <w:pPr>
              <w:jc w:val="right"/>
              <w:rPr>
                <w:rFonts w:cs="Arial"/>
                <w:color w:val="000000"/>
                <w:sz w:val="20"/>
                <w:szCs w:val="20"/>
              </w:rPr>
            </w:pPr>
            <w:r w:rsidRPr="008D0491">
              <w:rPr>
                <w:rFonts w:cs="Arial"/>
                <w:color w:val="FF0000"/>
                <w:sz w:val="20"/>
                <w:szCs w:val="20"/>
              </w:rPr>
              <w:t>(19.022.329)</w:t>
            </w:r>
          </w:p>
        </w:tc>
      </w:tr>
      <w:tr w:rsidR="008D0491" w:rsidRPr="008D0491" w14:paraId="36BDB94F" w14:textId="77777777" w:rsidTr="008D0491">
        <w:trPr>
          <w:trHeight w:val="397"/>
        </w:trPr>
        <w:tc>
          <w:tcPr>
            <w:tcW w:w="944" w:type="pct"/>
            <w:tcBorders>
              <w:top w:val="nil"/>
              <w:left w:val="nil"/>
              <w:bottom w:val="single" w:sz="4" w:space="0" w:color="auto"/>
              <w:right w:val="single" w:sz="4" w:space="0" w:color="auto"/>
            </w:tcBorders>
            <w:shd w:val="clear" w:color="000000" w:fill="FFFFFF"/>
            <w:vAlign w:val="center"/>
            <w:hideMark/>
          </w:tcPr>
          <w:p w14:paraId="65745B08" w14:textId="77777777" w:rsidR="008D0491" w:rsidRPr="008D0491" w:rsidRDefault="008D0491" w:rsidP="008D0491">
            <w:pPr>
              <w:jc w:val="left"/>
              <w:rPr>
                <w:rFonts w:cs="Arial"/>
                <w:color w:val="000000"/>
                <w:sz w:val="20"/>
                <w:szCs w:val="20"/>
              </w:rPr>
            </w:pPr>
            <w:r w:rsidRPr="008D0491">
              <w:rPr>
                <w:rFonts w:cs="Arial"/>
                <w:color w:val="000000"/>
                <w:sz w:val="20"/>
                <w:szCs w:val="20"/>
              </w:rPr>
              <w:t>1.7.1.1.53.0.1.9102</w:t>
            </w:r>
          </w:p>
        </w:tc>
        <w:tc>
          <w:tcPr>
            <w:tcW w:w="3248" w:type="pct"/>
            <w:tcBorders>
              <w:top w:val="nil"/>
              <w:left w:val="nil"/>
              <w:bottom w:val="nil"/>
              <w:right w:val="nil"/>
            </w:tcBorders>
            <w:shd w:val="clear" w:color="000000" w:fill="FFFFFF"/>
            <w:vAlign w:val="center"/>
            <w:hideMark/>
          </w:tcPr>
          <w:p w14:paraId="3BD53DB0" w14:textId="77777777" w:rsidR="008D0491" w:rsidRPr="008D0491" w:rsidRDefault="008D0491" w:rsidP="008D0491">
            <w:pPr>
              <w:jc w:val="left"/>
              <w:rPr>
                <w:rFonts w:cs="Arial"/>
                <w:color w:val="000000"/>
                <w:sz w:val="20"/>
                <w:szCs w:val="20"/>
              </w:rPr>
            </w:pPr>
            <w:r w:rsidRPr="008D0491">
              <w:rPr>
                <w:rFonts w:cs="Arial"/>
                <w:color w:val="000000"/>
                <w:sz w:val="20"/>
                <w:szCs w:val="20"/>
              </w:rPr>
              <w:t>Dedução - Receita de Transferências Constitucionais aos Municípios - IPI</w:t>
            </w:r>
          </w:p>
        </w:tc>
        <w:tc>
          <w:tcPr>
            <w:tcW w:w="808" w:type="pct"/>
            <w:tcBorders>
              <w:top w:val="nil"/>
              <w:left w:val="single" w:sz="4" w:space="0" w:color="auto"/>
              <w:bottom w:val="single" w:sz="4" w:space="0" w:color="auto"/>
              <w:right w:val="nil"/>
            </w:tcBorders>
            <w:shd w:val="clear" w:color="000000" w:fill="FFFFFF"/>
            <w:vAlign w:val="center"/>
            <w:hideMark/>
          </w:tcPr>
          <w:p w14:paraId="7EAC6578" w14:textId="77777777" w:rsidR="008D0491" w:rsidRPr="008D0491" w:rsidRDefault="008D0491" w:rsidP="008D0491">
            <w:pPr>
              <w:jc w:val="right"/>
              <w:rPr>
                <w:rFonts w:cs="Arial"/>
                <w:b/>
                <w:bCs/>
                <w:color w:val="000000"/>
                <w:sz w:val="20"/>
                <w:szCs w:val="20"/>
              </w:rPr>
            </w:pPr>
            <w:r w:rsidRPr="008D0491">
              <w:rPr>
                <w:rFonts w:cs="Arial"/>
                <w:b/>
                <w:bCs/>
                <w:color w:val="FF0000"/>
                <w:sz w:val="20"/>
                <w:szCs w:val="20"/>
              </w:rPr>
              <w:t>(35.561.704)</w:t>
            </w:r>
          </w:p>
        </w:tc>
      </w:tr>
      <w:tr w:rsidR="008D0491" w:rsidRPr="008D0491" w14:paraId="165A213B" w14:textId="77777777" w:rsidTr="00317620">
        <w:trPr>
          <w:trHeight w:val="397"/>
        </w:trPr>
        <w:tc>
          <w:tcPr>
            <w:tcW w:w="4192" w:type="pct"/>
            <w:gridSpan w:val="2"/>
            <w:tcBorders>
              <w:top w:val="single" w:sz="4" w:space="0" w:color="auto"/>
              <w:left w:val="nil"/>
              <w:bottom w:val="single" w:sz="4" w:space="0" w:color="auto"/>
              <w:right w:val="single" w:sz="4" w:space="0" w:color="000000"/>
            </w:tcBorders>
            <w:shd w:val="clear" w:color="auto" w:fill="auto"/>
            <w:vAlign w:val="center"/>
            <w:hideMark/>
          </w:tcPr>
          <w:p w14:paraId="277AEA56" w14:textId="77777777" w:rsidR="008D0491" w:rsidRPr="008D0491" w:rsidRDefault="008D0491" w:rsidP="008D0491">
            <w:pPr>
              <w:jc w:val="center"/>
              <w:rPr>
                <w:rFonts w:cs="Arial"/>
                <w:b/>
                <w:color w:val="000000"/>
                <w:sz w:val="20"/>
                <w:szCs w:val="20"/>
              </w:rPr>
            </w:pPr>
            <w:r w:rsidRPr="008D0491">
              <w:rPr>
                <w:rFonts w:cs="Arial"/>
                <w:b/>
                <w:color w:val="000000"/>
                <w:sz w:val="20"/>
                <w:szCs w:val="20"/>
              </w:rPr>
              <w:t>Total</w:t>
            </w:r>
          </w:p>
        </w:tc>
        <w:tc>
          <w:tcPr>
            <w:tcW w:w="808" w:type="pct"/>
            <w:tcBorders>
              <w:top w:val="nil"/>
              <w:left w:val="nil"/>
              <w:bottom w:val="single" w:sz="4" w:space="0" w:color="auto"/>
              <w:right w:val="nil"/>
            </w:tcBorders>
            <w:shd w:val="clear" w:color="auto" w:fill="auto"/>
            <w:vAlign w:val="center"/>
            <w:hideMark/>
          </w:tcPr>
          <w:p w14:paraId="317CA887" w14:textId="77777777" w:rsidR="008D0491" w:rsidRPr="008D0491" w:rsidRDefault="008D0491" w:rsidP="008D0491">
            <w:pPr>
              <w:jc w:val="right"/>
              <w:rPr>
                <w:rFonts w:cs="Arial"/>
                <w:b/>
                <w:bCs/>
                <w:color w:val="000000"/>
                <w:sz w:val="20"/>
                <w:szCs w:val="20"/>
              </w:rPr>
            </w:pPr>
            <w:r w:rsidRPr="008D0491">
              <w:rPr>
                <w:rFonts w:cs="Arial"/>
                <w:b/>
                <w:bCs/>
                <w:color w:val="FF0000"/>
                <w:sz w:val="20"/>
                <w:szCs w:val="20"/>
              </w:rPr>
              <w:t>(11.086.257.268)</w:t>
            </w:r>
          </w:p>
        </w:tc>
      </w:tr>
    </w:tbl>
    <w:p w14:paraId="1AB99446" w14:textId="77777777" w:rsidR="008D0491" w:rsidRPr="00747E9D" w:rsidRDefault="008D0491" w:rsidP="008D0491">
      <w:pPr>
        <w:pStyle w:val="0-FONTEBALANO"/>
        <w:rPr>
          <w:sz w:val="14"/>
        </w:rPr>
      </w:pPr>
      <w:r w:rsidRPr="00747E9D">
        <w:rPr>
          <w:sz w:val="14"/>
        </w:rPr>
        <w:t>Fonte: Nota Técnica nº 1/2024 – ECONOMIA/GPFIN</w:t>
      </w:r>
    </w:p>
    <w:p w14:paraId="5C7A11FA" w14:textId="77777777" w:rsidR="008D0491" w:rsidRPr="00747E9D" w:rsidRDefault="008D0491" w:rsidP="008D0491">
      <w:pPr>
        <w:pStyle w:val="1-REL11"/>
      </w:pPr>
      <w:r w:rsidRPr="00747E9D">
        <w:t xml:space="preserve">Assim, além da </w:t>
      </w:r>
      <w:bookmarkStart w:id="277" w:name="_Hlk167798941"/>
      <w:r w:rsidRPr="00747E9D">
        <w:t xml:space="preserve">conciliação apresentada não demonstrar a base de cálculo dos tributos, com base nas naturezas de receitas do Anexo 10A, também não considera todas as naturezas de receitas dos repasses aos municípios (dedução) no caso do ICMS, ou seja, segundo o Anexo 10A, foram repassados R$ 6,27 bilhões aos municípios, enquanto a nota técnica informa </w:t>
      </w:r>
      <w:r w:rsidRPr="00747E9D">
        <w:lastRenderedPageBreak/>
        <w:t>repasse de R$ 4,89 bilhões, o que também diverge das informações divulgadas</w:t>
      </w:r>
      <w:r w:rsidRPr="00747E9D">
        <w:rPr>
          <w:rStyle w:val="Refdenotaderodap"/>
        </w:rPr>
        <w:footnoteReference w:id="21"/>
      </w:r>
      <w:r w:rsidRPr="00747E9D">
        <w:t xml:space="preserve"> de R$ 6,31 bilhões, não sendo possível identificar a causa das supostas divergências.</w:t>
      </w:r>
      <w:bookmarkEnd w:id="277"/>
    </w:p>
    <w:p w14:paraId="2EBFB51D" w14:textId="77777777" w:rsidR="008D0491" w:rsidRPr="00B000B6" w:rsidRDefault="008D0491" w:rsidP="00B000B6"/>
    <w:p w14:paraId="521087C6" w14:textId="2225873A" w:rsidR="008D0491" w:rsidRPr="00747E9D" w:rsidRDefault="008D0491" w:rsidP="00E460D5">
      <w:pPr>
        <w:pStyle w:val="0-ACH-TIT"/>
      </w:pPr>
      <w:r w:rsidRPr="00747E9D">
        <w:t xml:space="preserve">&gt;&gt; </w:t>
      </w:r>
      <w:r w:rsidR="00812218" w:rsidRPr="00812218">
        <w:t>Deficiência na transparência da apuração da base de cálculo da destinação constitucional de recursos aos municípios</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8D0491" w:rsidRPr="00747E9D" w14:paraId="22CB777D" w14:textId="77777777" w:rsidTr="008D0491">
        <w:trPr>
          <w:trHeight w:val="629"/>
          <w:jc w:val="center"/>
        </w:trPr>
        <w:tc>
          <w:tcPr>
            <w:tcW w:w="6237" w:type="dxa"/>
            <w:vAlign w:val="center"/>
            <w:hideMark/>
          </w:tcPr>
          <w:tbl>
            <w:tblPr>
              <w:tblW w:w="0" w:type="auto"/>
              <w:tblBorders>
                <w:top w:val="nil"/>
                <w:left w:val="nil"/>
                <w:bottom w:val="nil"/>
                <w:right w:val="nil"/>
              </w:tblBorders>
              <w:tblLook w:val="0000" w:firstRow="0" w:lastRow="0" w:firstColumn="0" w:lastColumn="0" w:noHBand="0" w:noVBand="0"/>
            </w:tblPr>
            <w:tblGrid>
              <w:gridCol w:w="6097"/>
            </w:tblGrid>
            <w:tr w:rsidR="008D0491" w:rsidRPr="00747E9D" w14:paraId="26C5D2CE" w14:textId="77777777" w:rsidTr="008D0491">
              <w:trPr>
                <w:trHeight w:val="319"/>
              </w:trPr>
              <w:tc>
                <w:tcPr>
                  <w:tcW w:w="0" w:type="auto"/>
                  <w:tcBorders>
                    <w:bottom w:val="nil"/>
                  </w:tcBorders>
                </w:tcPr>
                <w:p w14:paraId="5F359C9B" w14:textId="51B5AE4C" w:rsidR="008D0491" w:rsidRPr="00747E9D" w:rsidRDefault="00812218" w:rsidP="008D0491">
                  <w:pPr>
                    <w:pStyle w:val="0-ACH-TXT"/>
                    <w:rPr>
                      <w:u w:val="single"/>
                    </w:rPr>
                  </w:pPr>
                  <w:r w:rsidRPr="00812218">
                    <w:t>Ausência de transparência quanto a publicação disposta no art. 8º da LC nº 63/1990, quanto a base de cálculo das transferência aos municípios estabelecida pelo art. 107 da Constituição Estadual, o que impossibilita a conciliação entre os recursos efetivamente repassados e os que deveriam ter sido repassados tomando por base o Anexo 10A.</w:t>
                  </w:r>
                </w:p>
              </w:tc>
            </w:tr>
          </w:tbl>
          <w:p w14:paraId="0E350347" w14:textId="77777777" w:rsidR="008D0491" w:rsidRPr="00747E9D" w:rsidRDefault="008D0491" w:rsidP="008D0491">
            <w:pPr>
              <w:pStyle w:val="Default"/>
              <w:jc w:val="both"/>
              <w:rPr>
                <w:caps/>
              </w:rPr>
            </w:pPr>
          </w:p>
        </w:tc>
      </w:tr>
    </w:tbl>
    <w:p w14:paraId="16679F38" w14:textId="77777777" w:rsidR="008D0491" w:rsidRDefault="008D0491" w:rsidP="008D0491">
      <w:pPr>
        <w:pStyle w:val="1-REL11"/>
      </w:pPr>
    </w:p>
    <w:p w14:paraId="72B3AED4" w14:textId="67DDFC45" w:rsidR="008D0491" w:rsidRDefault="008D0491" w:rsidP="008D0491">
      <w:pPr>
        <w:pStyle w:val="1-REL11"/>
        <w:spacing w:line="300" w:lineRule="auto"/>
      </w:pPr>
      <w:r w:rsidRPr="00747E9D">
        <w:t xml:space="preserve">Portanto, sugere-se </w:t>
      </w:r>
      <w:r w:rsidR="00812218" w:rsidRPr="00812218">
        <w:t>ao Tribunal de Contas do Estado de Goiás que determine ao Governo do estado de Goiás, por meio da Secretaria de Estado da Economia que, em até 40 dias após a publicação do Parecer Prévio relativo à Prestação de Contas do Governador do exercício de 2023, passe a publicar em seu site, com fulcro nas naturezas de receitas dispostas no Anexo 10A, a base de cálculo utilizada para as transferências mencionadas no art. 107 da Constituição Estadual de modo a atender integralmente o disposto no art. 8º da LC nº 63/1990.</w:t>
      </w:r>
    </w:p>
    <w:p w14:paraId="6875704A" w14:textId="77777777" w:rsidR="008D0491" w:rsidRPr="00530F55" w:rsidRDefault="008D0491" w:rsidP="00B000B6">
      <w:pPr>
        <w:pStyle w:val="Ttulo2"/>
        <w:numPr>
          <w:ilvl w:val="1"/>
          <w:numId w:val="34"/>
        </w:numPr>
      </w:pPr>
      <w:bookmarkStart w:id="278" w:name="_Toc511381616"/>
      <w:bookmarkStart w:id="279" w:name="_Toc511305542"/>
      <w:bookmarkStart w:id="280" w:name="_Toc135332717"/>
      <w:bookmarkStart w:id="281" w:name="_Toc167871695"/>
      <w:r w:rsidRPr="00530F55">
        <w:t>Aplicação de Receita na Educação</w:t>
      </w:r>
      <w:bookmarkEnd w:id="278"/>
      <w:bookmarkEnd w:id="279"/>
      <w:bookmarkEnd w:id="280"/>
      <w:bookmarkEnd w:id="281"/>
    </w:p>
    <w:p w14:paraId="7C61A79D" w14:textId="77777777" w:rsidR="008D0491" w:rsidRDefault="008D0491" w:rsidP="00A224E9">
      <w:pPr>
        <w:pStyle w:val="1-REL11"/>
        <w:spacing w:before="240" w:after="240" w:line="300" w:lineRule="auto"/>
      </w:pPr>
      <w:r w:rsidRPr="004B55B9">
        <w:t xml:space="preserve">O acompanhamento da execução de gastos em </w:t>
      </w:r>
      <w:r>
        <w:t>educação</w:t>
      </w:r>
      <w:r w:rsidRPr="004B55B9">
        <w:t xml:space="preserve"> durante o exercício financeiro ocorre por meio da divulgação do Anexo 8 – Demonstrativo das Receitas e Despesas com Manutenção e Desenvolvimento do Ensino, integrante </w:t>
      </w:r>
      <w:r>
        <w:t>d</w:t>
      </w:r>
      <w:r w:rsidRPr="004B55B9">
        <w:t xml:space="preserve">o Relatório Resumido da Execução Orçamentária (RREO). </w:t>
      </w:r>
      <w:bookmarkStart w:id="282" w:name="_Hlk132908896"/>
      <w:r w:rsidRPr="004B55B9">
        <w:t>Os procedimentos para a elaboração do demonstrativo foram definidos por meio do Manual de Demonstrativos Fiscais (MDF), 13ª edição, válido para o exercício em análise</w:t>
      </w:r>
      <w:bookmarkEnd w:id="282"/>
      <w:r w:rsidRPr="004B55B9">
        <w:t>.</w:t>
      </w:r>
    </w:p>
    <w:p w14:paraId="49681EFB" w14:textId="0FBC64F9" w:rsidR="008D0491" w:rsidRDefault="008D0491" w:rsidP="00A224E9">
      <w:pPr>
        <w:pStyle w:val="1-REL11"/>
        <w:spacing w:before="240" w:after="240" w:line="300" w:lineRule="auto"/>
      </w:pPr>
      <w:r>
        <w:t xml:space="preserve">Nos tópicos a seguir serão analisadas as despesas executadas na Função Educação, independentemente de serem computadas ou não para o cálculo da aplicação mínima de recursos em MDE, conforme </w:t>
      </w:r>
      <w:r w:rsidRPr="004B55B9">
        <w:t xml:space="preserve">art. 212 da </w:t>
      </w:r>
      <w:r w:rsidRPr="00712B62">
        <w:t>Constituição da República Federativa do Brasil de 1988</w:t>
      </w:r>
      <w:r w:rsidRPr="004B55B9">
        <w:t xml:space="preserve"> (CF/88)</w:t>
      </w:r>
      <w:r>
        <w:t>, e, também, as receitas e despesas utilizadas para o cálculo do índice constitucional de aplicação mínima de recursos em MDE.</w:t>
      </w:r>
    </w:p>
    <w:p w14:paraId="3A796138" w14:textId="77777777" w:rsidR="008D0491" w:rsidRPr="00821CD2" w:rsidRDefault="008D0491" w:rsidP="00A224E9">
      <w:pPr>
        <w:pStyle w:val="Ttulo3"/>
      </w:pPr>
      <w:bookmarkStart w:id="283" w:name="_Toc167871696"/>
      <w:r w:rsidRPr="00821CD2">
        <w:lastRenderedPageBreak/>
        <w:t>Despesa na Função Educação</w:t>
      </w:r>
      <w:bookmarkEnd w:id="283"/>
    </w:p>
    <w:p w14:paraId="5D93799C" w14:textId="77777777" w:rsidR="008D0491" w:rsidRPr="00530F55" w:rsidRDefault="008D0491" w:rsidP="008D0491">
      <w:pPr>
        <w:pStyle w:val="1-REL11"/>
      </w:pPr>
      <w:r w:rsidRPr="00530F55">
        <w:t>A despesa executada na Função Educação ao longo dos últimos 5 exercícios financeiros está apresentada no gráfico abaixo:</w:t>
      </w:r>
    </w:p>
    <w:p w14:paraId="7DAD2E75" w14:textId="4F2D29EC" w:rsidR="008D0491" w:rsidRDefault="008D0491" w:rsidP="00B000B6">
      <w:pPr>
        <w:pStyle w:val="0-GRFICO"/>
        <w:numPr>
          <w:ilvl w:val="0"/>
          <w:numId w:val="38"/>
        </w:numPr>
      </w:pPr>
      <w:bookmarkStart w:id="284" w:name="_Toc167825115"/>
      <w:r w:rsidRPr="00530F55">
        <w:t>Histórico de Execução de Despesa na Função Educação</w:t>
      </w:r>
      <w:bookmarkEnd w:id="284"/>
    </w:p>
    <w:p w14:paraId="7DCF796B" w14:textId="77777777" w:rsidR="00305672" w:rsidRPr="002E7DC0" w:rsidRDefault="00305672" w:rsidP="00305672">
      <w:pPr>
        <w:pStyle w:val="0-EmR1"/>
      </w:pPr>
      <w:r w:rsidRPr="002E7DC0">
        <w:t>R$ 1</w:t>
      </w:r>
    </w:p>
    <w:p w14:paraId="12AE3321" w14:textId="77777777" w:rsidR="00305672" w:rsidRPr="00305672" w:rsidRDefault="00305672" w:rsidP="00305672">
      <w:pPr>
        <w:pStyle w:val="0-TXT11"/>
      </w:pPr>
    </w:p>
    <w:p w14:paraId="77DC4812" w14:textId="77777777" w:rsidR="008D0491" w:rsidRDefault="008D0491" w:rsidP="008D0491">
      <w:pPr>
        <w:pStyle w:val="1-FONTEcentralizado"/>
      </w:pPr>
      <w:r>
        <w:rPr>
          <w:noProof/>
        </w:rPr>
        <w:drawing>
          <wp:inline distT="0" distB="0" distL="0" distR="0" wp14:anchorId="68B24052" wp14:editId="195A8007">
            <wp:extent cx="5836920" cy="2956560"/>
            <wp:effectExtent l="0" t="0" r="144780" b="148590"/>
            <wp:docPr id="4" name="Gráfico 4">
              <a:extLst xmlns:a="http://schemas.openxmlformats.org/drawingml/2006/main">
                <a:ext uri="{FF2B5EF4-FFF2-40B4-BE49-F238E27FC236}">
                  <a16:creationId xmlns:a16="http://schemas.microsoft.com/office/drawing/2014/main" id="{E4014CAC-1192-4A7F-A7F9-BE58A17E068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58C5C742" w14:textId="77777777" w:rsidR="008D0491" w:rsidRPr="00530F55" w:rsidRDefault="008D0491" w:rsidP="008D0491">
      <w:pPr>
        <w:pStyle w:val="1-FONTEcentralizado"/>
        <w:rPr>
          <w:highlight w:val="cyan"/>
        </w:rPr>
      </w:pPr>
      <w:r w:rsidRPr="002E7DC0">
        <w:t>Fonte:</w:t>
      </w:r>
      <w:r>
        <w:t xml:space="preserve"> </w:t>
      </w:r>
      <w:r w:rsidRPr="005E406D">
        <w:rPr>
          <w:i/>
        </w:rPr>
        <w:t>Business Objects</w:t>
      </w:r>
    </w:p>
    <w:p w14:paraId="367A1E65" w14:textId="77777777" w:rsidR="008D0491" w:rsidRPr="005633E5" w:rsidRDefault="008D0491" w:rsidP="008D0491">
      <w:pPr>
        <w:pStyle w:val="1-REL11"/>
      </w:pPr>
      <w:r w:rsidRPr="005633E5">
        <w:t>De acordo com o RREO do 6º bimestre de 2023, Anexo 8 – Demonstrativo das Receitas e Despesas com MDE, e em consulta executada no BO, o total da despesa executada no exercício de 2023 na Função Educação (12), por subfunção, está demonstrada na tabela abaixo:</w:t>
      </w:r>
    </w:p>
    <w:p w14:paraId="05ECE65B" w14:textId="77777777" w:rsidR="008D0491" w:rsidRPr="002E7DC0" w:rsidRDefault="008D0491" w:rsidP="00736A8C">
      <w:pPr>
        <w:pStyle w:val="0-TABELA"/>
        <w:numPr>
          <w:ilvl w:val="0"/>
          <w:numId w:val="53"/>
        </w:numPr>
        <w:tabs>
          <w:tab w:val="clear" w:pos="1560"/>
          <w:tab w:val="left" w:pos="1134"/>
        </w:tabs>
        <w:spacing w:before="0" w:after="0"/>
        <w:ind w:left="0" w:firstLine="0"/>
      </w:pPr>
      <w:bookmarkStart w:id="285" w:name="_Toc167871786"/>
      <w:r w:rsidRPr="002E7DC0">
        <w:t>Despesa na Função Educação por Subfunção</w:t>
      </w:r>
      <w:bookmarkEnd w:id="285"/>
    </w:p>
    <w:p w14:paraId="6C4DE67B" w14:textId="77777777" w:rsidR="008D0491" w:rsidRPr="002E7DC0" w:rsidRDefault="008D0491" w:rsidP="008D0491">
      <w:pPr>
        <w:pStyle w:val="0-EmR1"/>
      </w:pPr>
      <w:r w:rsidRPr="002E7DC0">
        <w:t>R$ 1</w:t>
      </w:r>
    </w:p>
    <w:tbl>
      <w:tblPr>
        <w:tblW w:w="5000" w:type="pct"/>
        <w:tblLayout w:type="fixed"/>
        <w:tblCellMar>
          <w:left w:w="70" w:type="dxa"/>
          <w:right w:w="70" w:type="dxa"/>
        </w:tblCellMar>
        <w:tblLook w:val="04A0" w:firstRow="1" w:lastRow="0" w:firstColumn="1" w:lastColumn="0" w:noHBand="0" w:noVBand="1"/>
      </w:tblPr>
      <w:tblGrid>
        <w:gridCol w:w="3828"/>
        <w:gridCol w:w="1559"/>
        <w:gridCol w:w="885"/>
        <w:gridCol w:w="1525"/>
        <w:gridCol w:w="1556"/>
      </w:tblGrid>
      <w:tr w:rsidR="008D0491" w:rsidRPr="000A6309" w14:paraId="70690D82" w14:textId="77777777" w:rsidTr="000A6309">
        <w:trPr>
          <w:trHeight w:val="340"/>
          <w:tblHeader/>
        </w:trPr>
        <w:tc>
          <w:tcPr>
            <w:tcW w:w="2046" w:type="pct"/>
            <w:tcBorders>
              <w:top w:val="single" w:sz="4" w:space="0" w:color="auto"/>
              <w:left w:val="nil"/>
              <w:bottom w:val="single" w:sz="4" w:space="0" w:color="auto"/>
              <w:right w:val="nil"/>
            </w:tcBorders>
            <w:shd w:val="clear" w:color="000000" w:fill="A1F2FD"/>
            <w:noWrap/>
            <w:vAlign w:val="center"/>
            <w:hideMark/>
          </w:tcPr>
          <w:p w14:paraId="038FEA15" w14:textId="77777777" w:rsidR="008D0491" w:rsidRPr="000A6309" w:rsidRDefault="008D0491" w:rsidP="008D0491">
            <w:pPr>
              <w:jc w:val="center"/>
              <w:rPr>
                <w:rFonts w:cs="Arial"/>
                <w:b/>
                <w:bCs/>
                <w:color w:val="000000"/>
                <w:sz w:val="20"/>
                <w:szCs w:val="20"/>
              </w:rPr>
            </w:pPr>
            <w:r w:rsidRPr="000A6309">
              <w:rPr>
                <w:rFonts w:cs="Arial"/>
                <w:b/>
                <w:bCs/>
                <w:color w:val="000000"/>
                <w:sz w:val="20"/>
                <w:szCs w:val="20"/>
              </w:rPr>
              <w:t>Subfunção</w:t>
            </w:r>
          </w:p>
        </w:tc>
        <w:tc>
          <w:tcPr>
            <w:tcW w:w="833" w:type="pct"/>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4313E299" w14:textId="77777777" w:rsidR="008D0491" w:rsidRPr="000A6309" w:rsidRDefault="008D0491" w:rsidP="008D0491">
            <w:pPr>
              <w:jc w:val="center"/>
              <w:rPr>
                <w:rFonts w:cs="Arial"/>
                <w:b/>
                <w:bCs/>
                <w:color w:val="000000"/>
                <w:sz w:val="20"/>
                <w:szCs w:val="20"/>
              </w:rPr>
            </w:pPr>
            <w:r w:rsidRPr="000A6309">
              <w:rPr>
                <w:rFonts w:cs="Arial"/>
                <w:b/>
                <w:bCs/>
                <w:color w:val="000000"/>
                <w:sz w:val="20"/>
                <w:szCs w:val="20"/>
              </w:rPr>
              <w:t>Empenhado</w:t>
            </w:r>
          </w:p>
        </w:tc>
        <w:tc>
          <w:tcPr>
            <w:tcW w:w="473" w:type="pct"/>
            <w:tcBorders>
              <w:top w:val="single" w:sz="4" w:space="0" w:color="auto"/>
              <w:left w:val="nil"/>
              <w:bottom w:val="single" w:sz="4" w:space="0" w:color="auto"/>
              <w:right w:val="nil"/>
            </w:tcBorders>
            <w:shd w:val="clear" w:color="000000" w:fill="A1F2FD"/>
            <w:noWrap/>
            <w:vAlign w:val="center"/>
            <w:hideMark/>
          </w:tcPr>
          <w:p w14:paraId="6CE8DF8C" w14:textId="77777777" w:rsidR="008D0491" w:rsidRPr="000A6309" w:rsidRDefault="008D0491" w:rsidP="008D0491">
            <w:pPr>
              <w:jc w:val="center"/>
              <w:rPr>
                <w:rFonts w:cs="Arial"/>
                <w:b/>
                <w:bCs/>
                <w:color w:val="000000"/>
                <w:sz w:val="20"/>
                <w:szCs w:val="20"/>
              </w:rPr>
            </w:pPr>
            <w:r w:rsidRPr="000A6309">
              <w:rPr>
                <w:rFonts w:cs="Arial"/>
                <w:b/>
                <w:bCs/>
                <w:color w:val="000000"/>
                <w:sz w:val="20"/>
                <w:szCs w:val="20"/>
              </w:rPr>
              <w:t>AV %</w:t>
            </w:r>
          </w:p>
        </w:tc>
        <w:tc>
          <w:tcPr>
            <w:tcW w:w="815" w:type="pct"/>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3CD4E124" w14:textId="77777777" w:rsidR="008D0491" w:rsidRPr="000A6309" w:rsidRDefault="008D0491" w:rsidP="008D0491">
            <w:pPr>
              <w:jc w:val="center"/>
              <w:rPr>
                <w:rFonts w:cs="Arial"/>
                <w:b/>
                <w:bCs/>
                <w:color w:val="000000"/>
                <w:sz w:val="20"/>
                <w:szCs w:val="20"/>
              </w:rPr>
            </w:pPr>
            <w:r w:rsidRPr="000A6309">
              <w:rPr>
                <w:rFonts w:cs="Arial"/>
                <w:b/>
                <w:bCs/>
                <w:color w:val="000000"/>
                <w:sz w:val="20"/>
                <w:szCs w:val="20"/>
              </w:rPr>
              <w:t>Liquidado</w:t>
            </w:r>
          </w:p>
        </w:tc>
        <w:tc>
          <w:tcPr>
            <w:tcW w:w="832" w:type="pct"/>
            <w:tcBorders>
              <w:top w:val="single" w:sz="4" w:space="0" w:color="auto"/>
              <w:left w:val="nil"/>
              <w:bottom w:val="single" w:sz="4" w:space="0" w:color="auto"/>
              <w:right w:val="nil"/>
            </w:tcBorders>
            <w:shd w:val="clear" w:color="000000" w:fill="A1F2FD"/>
            <w:noWrap/>
            <w:vAlign w:val="center"/>
            <w:hideMark/>
          </w:tcPr>
          <w:p w14:paraId="4DCDEF7B" w14:textId="77777777" w:rsidR="008D0491" w:rsidRPr="000A6309" w:rsidRDefault="008D0491" w:rsidP="008D0491">
            <w:pPr>
              <w:jc w:val="center"/>
              <w:rPr>
                <w:rFonts w:cs="Arial"/>
                <w:b/>
                <w:bCs/>
                <w:color w:val="000000"/>
                <w:sz w:val="20"/>
                <w:szCs w:val="20"/>
              </w:rPr>
            </w:pPr>
            <w:r w:rsidRPr="000A6309">
              <w:rPr>
                <w:rFonts w:cs="Arial"/>
                <w:b/>
                <w:bCs/>
                <w:color w:val="000000"/>
                <w:sz w:val="20"/>
                <w:szCs w:val="20"/>
              </w:rPr>
              <w:t>Pago</w:t>
            </w:r>
          </w:p>
        </w:tc>
      </w:tr>
      <w:tr w:rsidR="008D0491" w:rsidRPr="000A6309" w14:paraId="3F8A12D1" w14:textId="77777777" w:rsidTr="000A6309">
        <w:trPr>
          <w:trHeight w:val="340"/>
        </w:trPr>
        <w:tc>
          <w:tcPr>
            <w:tcW w:w="2046" w:type="pct"/>
            <w:tcBorders>
              <w:top w:val="nil"/>
              <w:left w:val="nil"/>
              <w:bottom w:val="nil"/>
              <w:right w:val="nil"/>
            </w:tcBorders>
            <w:shd w:val="clear" w:color="auto" w:fill="auto"/>
            <w:noWrap/>
            <w:vAlign w:val="center"/>
            <w:hideMark/>
          </w:tcPr>
          <w:p w14:paraId="09382D8A" w14:textId="77777777" w:rsidR="008D0491" w:rsidRPr="000A6309" w:rsidRDefault="008D0491" w:rsidP="008D0491">
            <w:pPr>
              <w:jc w:val="left"/>
              <w:rPr>
                <w:rFonts w:cs="Arial"/>
                <w:color w:val="000000"/>
                <w:sz w:val="20"/>
                <w:szCs w:val="20"/>
              </w:rPr>
            </w:pPr>
            <w:r w:rsidRPr="000A6309">
              <w:rPr>
                <w:rFonts w:cs="Arial"/>
                <w:color w:val="000000"/>
                <w:sz w:val="20"/>
                <w:szCs w:val="20"/>
              </w:rPr>
              <w:t>Educação Básica</w:t>
            </w:r>
          </w:p>
        </w:tc>
        <w:tc>
          <w:tcPr>
            <w:tcW w:w="833" w:type="pct"/>
            <w:tcBorders>
              <w:top w:val="nil"/>
              <w:left w:val="single" w:sz="4" w:space="0" w:color="auto"/>
              <w:bottom w:val="nil"/>
              <w:right w:val="single" w:sz="4" w:space="0" w:color="auto"/>
            </w:tcBorders>
            <w:shd w:val="clear" w:color="auto" w:fill="auto"/>
            <w:noWrap/>
            <w:vAlign w:val="center"/>
            <w:hideMark/>
          </w:tcPr>
          <w:p w14:paraId="4B37BD9B" w14:textId="77777777" w:rsidR="008D0491" w:rsidRPr="000A6309" w:rsidRDefault="008D0491" w:rsidP="008D0491">
            <w:pPr>
              <w:jc w:val="right"/>
              <w:rPr>
                <w:rFonts w:cs="Arial"/>
                <w:color w:val="000000"/>
                <w:sz w:val="20"/>
                <w:szCs w:val="20"/>
              </w:rPr>
            </w:pPr>
            <w:r w:rsidRPr="000A6309">
              <w:rPr>
                <w:rFonts w:cs="Arial"/>
                <w:color w:val="000000"/>
                <w:sz w:val="20"/>
                <w:szCs w:val="20"/>
              </w:rPr>
              <w:t>4.359.752.444</w:t>
            </w:r>
          </w:p>
        </w:tc>
        <w:tc>
          <w:tcPr>
            <w:tcW w:w="473" w:type="pct"/>
            <w:tcBorders>
              <w:top w:val="nil"/>
              <w:left w:val="nil"/>
              <w:bottom w:val="nil"/>
              <w:right w:val="nil"/>
            </w:tcBorders>
            <w:shd w:val="clear" w:color="auto" w:fill="auto"/>
            <w:noWrap/>
            <w:vAlign w:val="center"/>
            <w:hideMark/>
          </w:tcPr>
          <w:p w14:paraId="3471BF2C" w14:textId="77777777" w:rsidR="008D0491" w:rsidRPr="000A6309" w:rsidRDefault="008D0491" w:rsidP="008D0491">
            <w:pPr>
              <w:jc w:val="center"/>
              <w:rPr>
                <w:rFonts w:cs="Arial"/>
                <w:color w:val="000000"/>
                <w:sz w:val="20"/>
                <w:szCs w:val="20"/>
              </w:rPr>
            </w:pPr>
            <w:r w:rsidRPr="000A6309">
              <w:rPr>
                <w:rFonts w:cs="Arial"/>
                <w:color w:val="000000"/>
                <w:sz w:val="20"/>
                <w:szCs w:val="20"/>
              </w:rPr>
              <w:t>68,02</w:t>
            </w:r>
          </w:p>
        </w:tc>
        <w:tc>
          <w:tcPr>
            <w:tcW w:w="815" w:type="pct"/>
            <w:tcBorders>
              <w:top w:val="nil"/>
              <w:left w:val="single" w:sz="4" w:space="0" w:color="auto"/>
              <w:bottom w:val="nil"/>
              <w:right w:val="single" w:sz="4" w:space="0" w:color="auto"/>
            </w:tcBorders>
            <w:shd w:val="clear" w:color="auto" w:fill="auto"/>
            <w:noWrap/>
            <w:vAlign w:val="center"/>
            <w:hideMark/>
          </w:tcPr>
          <w:p w14:paraId="0ABFC8FD" w14:textId="77777777" w:rsidR="008D0491" w:rsidRPr="000A6309" w:rsidRDefault="008D0491" w:rsidP="008D0491">
            <w:pPr>
              <w:jc w:val="right"/>
              <w:rPr>
                <w:rFonts w:cs="Arial"/>
                <w:color w:val="000000"/>
                <w:sz w:val="20"/>
                <w:szCs w:val="20"/>
              </w:rPr>
            </w:pPr>
            <w:r w:rsidRPr="000A6309">
              <w:rPr>
                <w:rFonts w:cs="Arial"/>
                <w:color w:val="000000"/>
                <w:sz w:val="20"/>
                <w:szCs w:val="20"/>
              </w:rPr>
              <w:t>4.315.493.880</w:t>
            </w:r>
          </w:p>
        </w:tc>
        <w:tc>
          <w:tcPr>
            <w:tcW w:w="832" w:type="pct"/>
            <w:tcBorders>
              <w:top w:val="nil"/>
              <w:left w:val="nil"/>
              <w:bottom w:val="nil"/>
              <w:right w:val="nil"/>
            </w:tcBorders>
            <w:shd w:val="clear" w:color="auto" w:fill="auto"/>
            <w:noWrap/>
            <w:vAlign w:val="center"/>
            <w:hideMark/>
          </w:tcPr>
          <w:p w14:paraId="7A8E48C1" w14:textId="77777777" w:rsidR="008D0491" w:rsidRPr="000A6309" w:rsidRDefault="008D0491" w:rsidP="008D0491">
            <w:pPr>
              <w:jc w:val="right"/>
              <w:rPr>
                <w:rFonts w:cs="Arial"/>
                <w:color w:val="000000"/>
                <w:sz w:val="20"/>
                <w:szCs w:val="20"/>
              </w:rPr>
            </w:pPr>
            <w:r w:rsidRPr="000A6309">
              <w:rPr>
                <w:rFonts w:cs="Arial"/>
                <w:color w:val="000000"/>
                <w:sz w:val="20"/>
                <w:szCs w:val="20"/>
              </w:rPr>
              <w:t>4.309.436.469</w:t>
            </w:r>
          </w:p>
        </w:tc>
      </w:tr>
      <w:tr w:rsidR="008D0491" w:rsidRPr="000A6309" w14:paraId="55AD13F9" w14:textId="77777777" w:rsidTr="000A6309">
        <w:trPr>
          <w:trHeight w:val="340"/>
        </w:trPr>
        <w:tc>
          <w:tcPr>
            <w:tcW w:w="2046" w:type="pct"/>
            <w:tcBorders>
              <w:top w:val="nil"/>
              <w:left w:val="nil"/>
              <w:bottom w:val="nil"/>
              <w:right w:val="nil"/>
            </w:tcBorders>
            <w:shd w:val="clear" w:color="auto" w:fill="auto"/>
            <w:noWrap/>
            <w:vAlign w:val="center"/>
            <w:hideMark/>
          </w:tcPr>
          <w:p w14:paraId="2F00BBC3" w14:textId="77777777" w:rsidR="008D0491" w:rsidRPr="000A6309" w:rsidRDefault="008D0491" w:rsidP="008D0491">
            <w:pPr>
              <w:jc w:val="left"/>
              <w:rPr>
                <w:rFonts w:cs="Arial"/>
                <w:color w:val="000000"/>
                <w:sz w:val="20"/>
                <w:szCs w:val="20"/>
              </w:rPr>
            </w:pPr>
            <w:r w:rsidRPr="000A6309">
              <w:rPr>
                <w:rFonts w:cs="Arial"/>
                <w:color w:val="000000"/>
                <w:sz w:val="20"/>
                <w:szCs w:val="20"/>
              </w:rPr>
              <w:t>Administração Geral</w:t>
            </w:r>
          </w:p>
        </w:tc>
        <w:tc>
          <w:tcPr>
            <w:tcW w:w="833" w:type="pct"/>
            <w:tcBorders>
              <w:top w:val="nil"/>
              <w:left w:val="single" w:sz="4" w:space="0" w:color="auto"/>
              <w:bottom w:val="nil"/>
              <w:right w:val="single" w:sz="4" w:space="0" w:color="auto"/>
            </w:tcBorders>
            <w:shd w:val="clear" w:color="auto" w:fill="auto"/>
            <w:noWrap/>
            <w:vAlign w:val="center"/>
            <w:hideMark/>
          </w:tcPr>
          <w:p w14:paraId="4A2FE787" w14:textId="77777777" w:rsidR="008D0491" w:rsidRPr="000A6309" w:rsidRDefault="008D0491" w:rsidP="008D0491">
            <w:pPr>
              <w:jc w:val="right"/>
              <w:rPr>
                <w:rFonts w:cs="Arial"/>
                <w:color w:val="000000"/>
                <w:sz w:val="20"/>
                <w:szCs w:val="20"/>
              </w:rPr>
            </w:pPr>
            <w:r w:rsidRPr="000A6309">
              <w:rPr>
                <w:rFonts w:cs="Arial"/>
                <w:color w:val="000000"/>
                <w:sz w:val="20"/>
                <w:szCs w:val="20"/>
              </w:rPr>
              <w:t>940.763.796</w:t>
            </w:r>
          </w:p>
        </w:tc>
        <w:tc>
          <w:tcPr>
            <w:tcW w:w="473" w:type="pct"/>
            <w:tcBorders>
              <w:top w:val="nil"/>
              <w:left w:val="nil"/>
              <w:bottom w:val="nil"/>
              <w:right w:val="nil"/>
            </w:tcBorders>
            <w:shd w:val="clear" w:color="auto" w:fill="auto"/>
            <w:noWrap/>
            <w:vAlign w:val="center"/>
            <w:hideMark/>
          </w:tcPr>
          <w:p w14:paraId="2AD20F05" w14:textId="77777777" w:rsidR="008D0491" w:rsidRPr="000A6309" w:rsidRDefault="008D0491" w:rsidP="008D0491">
            <w:pPr>
              <w:jc w:val="center"/>
              <w:rPr>
                <w:rFonts w:cs="Arial"/>
                <w:color w:val="000000"/>
                <w:sz w:val="20"/>
                <w:szCs w:val="20"/>
              </w:rPr>
            </w:pPr>
            <w:r w:rsidRPr="000A6309">
              <w:rPr>
                <w:rFonts w:cs="Arial"/>
                <w:color w:val="000000"/>
                <w:sz w:val="20"/>
                <w:szCs w:val="20"/>
              </w:rPr>
              <w:t>14,68</w:t>
            </w:r>
          </w:p>
        </w:tc>
        <w:tc>
          <w:tcPr>
            <w:tcW w:w="815" w:type="pct"/>
            <w:tcBorders>
              <w:top w:val="nil"/>
              <w:left w:val="single" w:sz="4" w:space="0" w:color="auto"/>
              <w:bottom w:val="nil"/>
              <w:right w:val="single" w:sz="4" w:space="0" w:color="auto"/>
            </w:tcBorders>
            <w:shd w:val="clear" w:color="auto" w:fill="auto"/>
            <w:noWrap/>
            <w:vAlign w:val="center"/>
            <w:hideMark/>
          </w:tcPr>
          <w:p w14:paraId="5796F8A6" w14:textId="77777777" w:rsidR="008D0491" w:rsidRPr="000A6309" w:rsidRDefault="008D0491" w:rsidP="008D0491">
            <w:pPr>
              <w:jc w:val="right"/>
              <w:rPr>
                <w:rFonts w:cs="Arial"/>
                <w:color w:val="000000"/>
                <w:sz w:val="20"/>
                <w:szCs w:val="20"/>
              </w:rPr>
            </w:pPr>
            <w:r w:rsidRPr="000A6309">
              <w:rPr>
                <w:rFonts w:cs="Arial"/>
                <w:color w:val="000000"/>
                <w:sz w:val="20"/>
                <w:szCs w:val="20"/>
              </w:rPr>
              <w:t>931.905.908</w:t>
            </w:r>
          </w:p>
        </w:tc>
        <w:tc>
          <w:tcPr>
            <w:tcW w:w="832" w:type="pct"/>
            <w:tcBorders>
              <w:top w:val="nil"/>
              <w:left w:val="nil"/>
              <w:bottom w:val="nil"/>
              <w:right w:val="nil"/>
            </w:tcBorders>
            <w:shd w:val="clear" w:color="auto" w:fill="auto"/>
            <w:noWrap/>
            <w:vAlign w:val="center"/>
            <w:hideMark/>
          </w:tcPr>
          <w:p w14:paraId="55CDDD3B" w14:textId="77777777" w:rsidR="008D0491" w:rsidRPr="000A6309" w:rsidRDefault="008D0491" w:rsidP="008D0491">
            <w:pPr>
              <w:jc w:val="right"/>
              <w:rPr>
                <w:rFonts w:cs="Arial"/>
                <w:color w:val="000000"/>
                <w:sz w:val="20"/>
                <w:szCs w:val="20"/>
              </w:rPr>
            </w:pPr>
            <w:r w:rsidRPr="000A6309">
              <w:rPr>
                <w:rFonts w:cs="Arial"/>
                <w:color w:val="000000"/>
                <w:sz w:val="20"/>
                <w:szCs w:val="20"/>
              </w:rPr>
              <w:t>928.931.539</w:t>
            </w:r>
          </w:p>
        </w:tc>
      </w:tr>
      <w:tr w:rsidR="008D0491" w:rsidRPr="000A6309" w14:paraId="4C3BCE0F" w14:textId="77777777" w:rsidTr="000A6309">
        <w:trPr>
          <w:trHeight w:val="340"/>
        </w:trPr>
        <w:tc>
          <w:tcPr>
            <w:tcW w:w="2046" w:type="pct"/>
            <w:tcBorders>
              <w:top w:val="nil"/>
              <w:left w:val="nil"/>
              <w:bottom w:val="nil"/>
              <w:right w:val="nil"/>
            </w:tcBorders>
            <w:shd w:val="clear" w:color="auto" w:fill="auto"/>
            <w:noWrap/>
            <w:vAlign w:val="center"/>
            <w:hideMark/>
          </w:tcPr>
          <w:p w14:paraId="6BE414BE" w14:textId="77777777" w:rsidR="008D0491" w:rsidRPr="000A6309" w:rsidRDefault="008D0491" w:rsidP="008D0491">
            <w:pPr>
              <w:jc w:val="left"/>
              <w:rPr>
                <w:rFonts w:cs="Arial"/>
                <w:color w:val="000000"/>
                <w:sz w:val="20"/>
                <w:szCs w:val="20"/>
              </w:rPr>
            </w:pPr>
            <w:r w:rsidRPr="000A6309">
              <w:rPr>
                <w:rFonts w:cs="Arial"/>
                <w:color w:val="000000"/>
                <w:sz w:val="20"/>
                <w:szCs w:val="20"/>
              </w:rPr>
              <w:t>Ensino Médio</w:t>
            </w:r>
          </w:p>
        </w:tc>
        <w:tc>
          <w:tcPr>
            <w:tcW w:w="833" w:type="pct"/>
            <w:tcBorders>
              <w:top w:val="nil"/>
              <w:left w:val="single" w:sz="4" w:space="0" w:color="auto"/>
              <w:bottom w:val="nil"/>
              <w:right w:val="single" w:sz="4" w:space="0" w:color="auto"/>
            </w:tcBorders>
            <w:shd w:val="clear" w:color="auto" w:fill="auto"/>
            <w:noWrap/>
            <w:vAlign w:val="center"/>
            <w:hideMark/>
          </w:tcPr>
          <w:p w14:paraId="27FC9C56" w14:textId="77777777" w:rsidR="008D0491" w:rsidRPr="000A6309" w:rsidRDefault="008D0491" w:rsidP="008D0491">
            <w:pPr>
              <w:jc w:val="right"/>
              <w:rPr>
                <w:rFonts w:cs="Arial"/>
                <w:color w:val="000000"/>
                <w:sz w:val="20"/>
                <w:szCs w:val="20"/>
              </w:rPr>
            </w:pPr>
            <w:r w:rsidRPr="000A6309">
              <w:rPr>
                <w:rFonts w:cs="Arial"/>
                <w:color w:val="000000"/>
                <w:sz w:val="20"/>
                <w:szCs w:val="20"/>
              </w:rPr>
              <w:t>386.309.931</w:t>
            </w:r>
          </w:p>
        </w:tc>
        <w:tc>
          <w:tcPr>
            <w:tcW w:w="473" w:type="pct"/>
            <w:tcBorders>
              <w:top w:val="nil"/>
              <w:left w:val="nil"/>
              <w:bottom w:val="nil"/>
              <w:right w:val="nil"/>
            </w:tcBorders>
            <w:shd w:val="clear" w:color="auto" w:fill="auto"/>
            <w:noWrap/>
            <w:vAlign w:val="center"/>
            <w:hideMark/>
          </w:tcPr>
          <w:p w14:paraId="21064485" w14:textId="77777777" w:rsidR="008D0491" w:rsidRPr="000A6309" w:rsidRDefault="008D0491" w:rsidP="008D0491">
            <w:pPr>
              <w:jc w:val="center"/>
              <w:rPr>
                <w:rFonts w:cs="Arial"/>
                <w:color w:val="000000"/>
                <w:sz w:val="20"/>
                <w:szCs w:val="20"/>
              </w:rPr>
            </w:pPr>
            <w:r w:rsidRPr="000A6309">
              <w:rPr>
                <w:rFonts w:cs="Arial"/>
                <w:color w:val="000000"/>
                <w:sz w:val="20"/>
                <w:szCs w:val="20"/>
              </w:rPr>
              <w:t>6,03</w:t>
            </w:r>
          </w:p>
        </w:tc>
        <w:tc>
          <w:tcPr>
            <w:tcW w:w="815" w:type="pct"/>
            <w:tcBorders>
              <w:top w:val="nil"/>
              <w:left w:val="single" w:sz="4" w:space="0" w:color="auto"/>
              <w:bottom w:val="nil"/>
              <w:right w:val="single" w:sz="4" w:space="0" w:color="auto"/>
            </w:tcBorders>
            <w:shd w:val="clear" w:color="auto" w:fill="auto"/>
            <w:noWrap/>
            <w:vAlign w:val="center"/>
            <w:hideMark/>
          </w:tcPr>
          <w:p w14:paraId="087F5B6A" w14:textId="77777777" w:rsidR="008D0491" w:rsidRPr="000A6309" w:rsidRDefault="008D0491" w:rsidP="008D0491">
            <w:pPr>
              <w:jc w:val="right"/>
              <w:rPr>
                <w:rFonts w:cs="Arial"/>
                <w:color w:val="000000"/>
                <w:sz w:val="20"/>
                <w:szCs w:val="20"/>
              </w:rPr>
            </w:pPr>
            <w:r w:rsidRPr="000A6309">
              <w:rPr>
                <w:rFonts w:cs="Arial"/>
                <w:color w:val="000000"/>
                <w:sz w:val="20"/>
                <w:szCs w:val="20"/>
              </w:rPr>
              <w:t>375.891.316</w:t>
            </w:r>
          </w:p>
        </w:tc>
        <w:tc>
          <w:tcPr>
            <w:tcW w:w="832" w:type="pct"/>
            <w:tcBorders>
              <w:top w:val="nil"/>
              <w:left w:val="nil"/>
              <w:bottom w:val="nil"/>
              <w:right w:val="nil"/>
            </w:tcBorders>
            <w:shd w:val="clear" w:color="auto" w:fill="auto"/>
            <w:noWrap/>
            <w:vAlign w:val="center"/>
            <w:hideMark/>
          </w:tcPr>
          <w:p w14:paraId="18E2B4B9" w14:textId="77777777" w:rsidR="008D0491" w:rsidRPr="000A6309" w:rsidRDefault="008D0491" w:rsidP="008D0491">
            <w:pPr>
              <w:jc w:val="right"/>
              <w:rPr>
                <w:rFonts w:cs="Arial"/>
                <w:color w:val="000000"/>
                <w:sz w:val="20"/>
                <w:szCs w:val="20"/>
              </w:rPr>
            </w:pPr>
            <w:r w:rsidRPr="000A6309">
              <w:rPr>
                <w:rFonts w:cs="Arial"/>
                <w:color w:val="000000"/>
                <w:sz w:val="20"/>
                <w:szCs w:val="20"/>
              </w:rPr>
              <w:t>375.821.559</w:t>
            </w:r>
          </w:p>
        </w:tc>
      </w:tr>
      <w:tr w:rsidR="008D0491" w:rsidRPr="000A6309" w14:paraId="424D53EE" w14:textId="77777777" w:rsidTr="000A6309">
        <w:trPr>
          <w:trHeight w:val="340"/>
        </w:trPr>
        <w:tc>
          <w:tcPr>
            <w:tcW w:w="2046" w:type="pct"/>
            <w:tcBorders>
              <w:top w:val="nil"/>
              <w:left w:val="nil"/>
              <w:bottom w:val="nil"/>
              <w:right w:val="nil"/>
            </w:tcBorders>
            <w:shd w:val="clear" w:color="auto" w:fill="auto"/>
            <w:noWrap/>
            <w:vAlign w:val="center"/>
            <w:hideMark/>
          </w:tcPr>
          <w:p w14:paraId="2D5CFFC6" w14:textId="77777777" w:rsidR="008D0491" w:rsidRPr="000A6309" w:rsidRDefault="008D0491" w:rsidP="008D0491">
            <w:pPr>
              <w:jc w:val="left"/>
              <w:rPr>
                <w:rFonts w:cs="Arial"/>
                <w:color w:val="000000"/>
                <w:sz w:val="20"/>
                <w:szCs w:val="20"/>
              </w:rPr>
            </w:pPr>
            <w:r w:rsidRPr="000A6309">
              <w:rPr>
                <w:rFonts w:cs="Arial"/>
                <w:color w:val="000000"/>
                <w:sz w:val="20"/>
                <w:szCs w:val="20"/>
              </w:rPr>
              <w:t>Ensino Superior</w:t>
            </w:r>
          </w:p>
        </w:tc>
        <w:tc>
          <w:tcPr>
            <w:tcW w:w="833" w:type="pct"/>
            <w:tcBorders>
              <w:top w:val="nil"/>
              <w:left w:val="single" w:sz="4" w:space="0" w:color="auto"/>
              <w:bottom w:val="nil"/>
              <w:right w:val="single" w:sz="4" w:space="0" w:color="auto"/>
            </w:tcBorders>
            <w:shd w:val="clear" w:color="auto" w:fill="auto"/>
            <w:noWrap/>
            <w:vAlign w:val="center"/>
            <w:hideMark/>
          </w:tcPr>
          <w:p w14:paraId="63CD1F1A" w14:textId="77777777" w:rsidR="008D0491" w:rsidRPr="000A6309" w:rsidRDefault="008D0491" w:rsidP="008D0491">
            <w:pPr>
              <w:jc w:val="right"/>
              <w:rPr>
                <w:rFonts w:cs="Arial"/>
                <w:color w:val="000000"/>
                <w:sz w:val="20"/>
                <w:szCs w:val="20"/>
              </w:rPr>
            </w:pPr>
            <w:r w:rsidRPr="000A6309">
              <w:rPr>
                <w:rFonts w:cs="Arial"/>
                <w:color w:val="000000"/>
                <w:sz w:val="20"/>
                <w:szCs w:val="20"/>
              </w:rPr>
              <w:t>174.508.004</w:t>
            </w:r>
          </w:p>
        </w:tc>
        <w:tc>
          <w:tcPr>
            <w:tcW w:w="473" w:type="pct"/>
            <w:tcBorders>
              <w:top w:val="nil"/>
              <w:left w:val="nil"/>
              <w:bottom w:val="nil"/>
              <w:right w:val="nil"/>
            </w:tcBorders>
            <w:shd w:val="clear" w:color="auto" w:fill="auto"/>
            <w:noWrap/>
            <w:vAlign w:val="center"/>
            <w:hideMark/>
          </w:tcPr>
          <w:p w14:paraId="4F2F0FEC" w14:textId="77777777" w:rsidR="008D0491" w:rsidRPr="000A6309" w:rsidRDefault="008D0491" w:rsidP="008D0491">
            <w:pPr>
              <w:jc w:val="center"/>
              <w:rPr>
                <w:rFonts w:cs="Arial"/>
                <w:color w:val="000000"/>
                <w:sz w:val="20"/>
                <w:szCs w:val="20"/>
              </w:rPr>
            </w:pPr>
            <w:r w:rsidRPr="000A6309">
              <w:rPr>
                <w:rFonts w:cs="Arial"/>
                <w:color w:val="000000"/>
                <w:sz w:val="20"/>
                <w:szCs w:val="20"/>
              </w:rPr>
              <w:t>2,72</w:t>
            </w:r>
          </w:p>
        </w:tc>
        <w:tc>
          <w:tcPr>
            <w:tcW w:w="815" w:type="pct"/>
            <w:tcBorders>
              <w:top w:val="nil"/>
              <w:left w:val="single" w:sz="4" w:space="0" w:color="auto"/>
              <w:bottom w:val="nil"/>
              <w:right w:val="single" w:sz="4" w:space="0" w:color="auto"/>
            </w:tcBorders>
            <w:shd w:val="clear" w:color="auto" w:fill="auto"/>
            <w:noWrap/>
            <w:vAlign w:val="center"/>
            <w:hideMark/>
          </w:tcPr>
          <w:p w14:paraId="5B82A4A7" w14:textId="77777777" w:rsidR="008D0491" w:rsidRPr="000A6309" w:rsidRDefault="008D0491" w:rsidP="008D0491">
            <w:pPr>
              <w:jc w:val="right"/>
              <w:rPr>
                <w:rFonts w:cs="Arial"/>
                <w:color w:val="000000"/>
                <w:sz w:val="20"/>
                <w:szCs w:val="20"/>
              </w:rPr>
            </w:pPr>
            <w:r w:rsidRPr="000A6309">
              <w:rPr>
                <w:rFonts w:cs="Arial"/>
                <w:color w:val="000000"/>
                <w:sz w:val="20"/>
                <w:szCs w:val="20"/>
              </w:rPr>
              <w:t>169.697.966</w:t>
            </w:r>
          </w:p>
        </w:tc>
        <w:tc>
          <w:tcPr>
            <w:tcW w:w="832" w:type="pct"/>
            <w:tcBorders>
              <w:top w:val="nil"/>
              <w:left w:val="nil"/>
              <w:bottom w:val="nil"/>
              <w:right w:val="nil"/>
            </w:tcBorders>
            <w:shd w:val="clear" w:color="auto" w:fill="auto"/>
            <w:noWrap/>
            <w:vAlign w:val="center"/>
            <w:hideMark/>
          </w:tcPr>
          <w:p w14:paraId="3DF3854B" w14:textId="77777777" w:rsidR="008D0491" w:rsidRPr="000A6309" w:rsidRDefault="008D0491" w:rsidP="008D0491">
            <w:pPr>
              <w:jc w:val="right"/>
              <w:rPr>
                <w:rFonts w:cs="Arial"/>
                <w:color w:val="000000"/>
                <w:sz w:val="20"/>
                <w:szCs w:val="20"/>
              </w:rPr>
            </w:pPr>
            <w:r w:rsidRPr="000A6309">
              <w:rPr>
                <w:rFonts w:cs="Arial"/>
                <w:color w:val="000000"/>
                <w:sz w:val="20"/>
                <w:szCs w:val="20"/>
              </w:rPr>
              <w:t>169.596.829</w:t>
            </w:r>
          </w:p>
        </w:tc>
      </w:tr>
      <w:tr w:rsidR="008D0491" w:rsidRPr="000A6309" w14:paraId="5099E896" w14:textId="77777777" w:rsidTr="000A6309">
        <w:trPr>
          <w:trHeight w:val="340"/>
        </w:trPr>
        <w:tc>
          <w:tcPr>
            <w:tcW w:w="2046" w:type="pct"/>
            <w:tcBorders>
              <w:top w:val="nil"/>
              <w:left w:val="nil"/>
              <w:bottom w:val="nil"/>
              <w:right w:val="nil"/>
            </w:tcBorders>
            <w:shd w:val="clear" w:color="auto" w:fill="auto"/>
            <w:noWrap/>
            <w:vAlign w:val="center"/>
            <w:hideMark/>
          </w:tcPr>
          <w:p w14:paraId="2B99A874" w14:textId="77777777" w:rsidR="008D0491" w:rsidRPr="000A6309" w:rsidRDefault="008D0491" w:rsidP="008D0491">
            <w:pPr>
              <w:jc w:val="left"/>
              <w:rPr>
                <w:rFonts w:cs="Arial"/>
                <w:color w:val="000000"/>
                <w:sz w:val="20"/>
                <w:szCs w:val="20"/>
              </w:rPr>
            </w:pPr>
            <w:r w:rsidRPr="000A6309">
              <w:rPr>
                <w:rFonts w:cs="Arial"/>
                <w:color w:val="000000"/>
                <w:sz w:val="20"/>
                <w:szCs w:val="20"/>
              </w:rPr>
              <w:t>Tecnologia da Informação</w:t>
            </w:r>
          </w:p>
        </w:tc>
        <w:tc>
          <w:tcPr>
            <w:tcW w:w="833" w:type="pct"/>
            <w:tcBorders>
              <w:top w:val="nil"/>
              <w:left w:val="single" w:sz="4" w:space="0" w:color="auto"/>
              <w:bottom w:val="nil"/>
              <w:right w:val="single" w:sz="4" w:space="0" w:color="auto"/>
            </w:tcBorders>
            <w:shd w:val="clear" w:color="auto" w:fill="auto"/>
            <w:noWrap/>
            <w:vAlign w:val="center"/>
            <w:hideMark/>
          </w:tcPr>
          <w:p w14:paraId="40E03F8F" w14:textId="77777777" w:rsidR="008D0491" w:rsidRPr="000A6309" w:rsidRDefault="008D0491" w:rsidP="008D0491">
            <w:pPr>
              <w:jc w:val="right"/>
              <w:rPr>
                <w:rFonts w:cs="Arial"/>
                <w:color w:val="000000"/>
                <w:sz w:val="20"/>
                <w:szCs w:val="20"/>
              </w:rPr>
            </w:pPr>
            <w:r w:rsidRPr="000A6309">
              <w:rPr>
                <w:rFonts w:cs="Arial"/>
                <w:color w:val="000000"/>
                <w:sz w:val="20"/>
                <w:szCs w:val="20"/>
              </w:rPr>
              <w:t>134.646.907</w:t>
            </w:r>
          </w:p>
        </w:tc>
        <w:tc>
          <w:tcPr>
            <w:tcW w:w="473" w:type="pct"/>
            <w:tcBorders>
              <w:top w:val="nil"/>
              <w:left w:val="nil"/>
              <w:bottom w:val="nil"/>
              <w:right w:val="nil"/>
            </w:tcBorders>
            <w:shd w:val="clear" w:color="auto" w:fill="auto"/>
            <w:noWrap/>
            <w:vAlign w:val="center"/>
            <w:hideMark/>
          </w:tcPr>
          <w:p w14:paraId="75F32D7C" w14:textId="77777777" w:rsidR="008D0491" w:rsidRPr="000A6309" w:rsidRDefault="008D0491" w:rsidP="008D0491">
            <w:pPr>
              <w:jc w:val="center"/>
              <w:rPr>
                <w:rFonts w:cs="Arial"/>
                <w:color w:val="000000"/>
                <w:sz w:val="20"/>
                <w:szCs w:val="20"/>
              </w:rPr>
            </w:pPr>
            <w:r w:rsidRPr="000A6309">
              <w:rPr>
                <w:rFonts w:cs="Arial"/>
                <w:color w:val="000000"/>
                <w:sz w:val="20"/>
                <w:szCs w:val="20"/>
              </w:rPr>
              <w:t>2,10</w:t>
            </w:r>
          </w:p>
        </w:tc>
        <w:tc>
          <w:tcPr>
            <w:tcW w:w="815" w:type="pct"/>
            <w:tcBorders>
              <w:top w:val="nil"/>
              <w:left w:val="single" w:sz="4" w:space="0" w:color="auto"/>
              <w:bottom w:val="nil"/>
              <w:right w:val="single" w:sz="4" w:space="0" w:color="auto"/>
            </w:tcBorders>
            <w:shd w:val="clear" w:color="auto" w:fill="auto"/>
            <w:noWrap/>
            <w:vAlign w:val="center"/>
            <w:hideMark/>
          </w:tcPr>
          <w:p w14:paraId="0D24D467" w14:textId="77777777" w:rsidR="008D0491" w:rsidRPr="000A6309" w:rsidRDefault="008D0491" w:rsidP="008D0491">
            <w:pPr>
              <w:jc w:val="right"/>
              <w:rPr>
                <w:rFonts w:cs="Arial"/>
                <w:color w:val="000000"/>
                <w:sz w:val="20"/>
                <w:szCs w:val="20"/>
              </w:rPr>
            </w:pPr>
            <w:r w:rsidRPr="000A6309">
              <w:rPr>
                <w:rFonts w:cs="Arial"/>
                <w:color w:val="000000"/>
                <w:sz w:val="20"/>
                <w:szCs w:val="20"/>
              </w:rPr>
              <w:t>120.827.132</w:t>
            </w:r>
          </w:p>
        </w:tc>
        <w:tc>
          <w:tcPr>
            <w:tcW w:w="832" w:type="pct"/>
            <w:tcBorders>
              <w:top w:val="nil"/>
              <w:left w:val="nil"/>
              <w:bottom w:val="nil"/>
              <w:right w:val="nil"/>
            </w:tcBorders>
            <w:shd w:val="clear" w:color="auto" w:fill="auto"/>
            <w:noWrap/>
            <w:vAlign w:val="center"/>
            <w:hideMark/>
          </w:tcPr>
          <w:p w14:paraId="58F52BB0" w14:textId="77777777" w:rsidR="008D0491" w:rsidRPr="000A6309" w:rsidRDefault="008D0491" w:rsidP="008D0491">
            <w:pPr>
              <w:jc w:val="right"/>
              <w:rPr>
                <w:rFonts w:cs="Arial"/>
                <w:color w:val="000000"/>
                <w:sz w:val="20"/>
                <w:szCs w:val="20"/>
              </w:rPr>
            </w:pPr>
            <w:r w:rsidRPr="000A6309">
              <w:rPr>
                <w:rFonts w:cs="Arial"/>
                <w:color w:val="000000"/>
                <w:sz w:val="20"/>
                <w:szCs w:val="20"/>
              </w:rPr>
              <w:t>120.765.517</w:t>
            </w:r>
          </w:p>
        </w:tc>
      </w:tr>
      <w:tr w:rsidR="008D0491" w:rsidRPr="000A6309" w14:paraId="30784459" w14:textId="77777777" w:rsidTr="000A6309">
        <w:trPr>
          <w:trHeight w:val="340"/>
        </w:trPr>
        <w:tc>
          <w:tcPr>
            <w:tcW w:w="2046" w:type="pct"/>
            <w:tcBorders>
              <w:top w:val="nil"/>
              <w:left w:val="nil"/>
              <w:bottom w:val="nil"/>
              <w:right w:val="nil"/>
            </w:tcBorders>
            <w:shd w:val="clear" w:color="auto" w:fill="auto"/>
            <w:noWrap/>
            <w:vAlign w:val="center"/>
            <w:hideMark/>
          </w:tcPr>
          <w:p w14:paraId="3B7CA0AD" w14:textId="77777777" w:rsidR="008D0491" w:rsidRPr="000A6309" w:rsidRDefault="008D0491" w:rsidP="008D0491">
            <w:pPr>
              <w:jc w:val="left"/>
              <w:rPr>
                <w:rFonts w:cs="Arial"/>
                <w:color w:val="000000"/>
                <w:sz w:val="20"/>
                <w:szCs w:val="20"/>
              </w:rPr>
            </w:pPr>
            <w:r w:rsidRPr="000A6309">
              <w:rPr>
                <w:rFonts w:cs="Arial"/>
                <w:color w:val="000000"/>
                <w:sz w:val="20"/>
                <w:szCs w:val="20"/>
              </w:rPr>
              <w:t>Alimentação e Nutrição</w:t>
            </w:r>
          </w:p>
        </w:tc>
        <w:tc>
          <w:tcPr>
            <w:tcW w:w="833" w:type="pct"/>
            <w:tcBorders>
              <w:top w:val="nil"/>
              <w:left w:val="single" w:sz="4" w:space="0" w:color="auto"/>
              <w:bottom w:val="nil"/>
              <w:right w:val="single" w:sz="4" w:space="0" w:color="auto"/>
            </w:tcBorders>
            <w:shd w:val="clear" w:color="auto" w:fill="auto"/>
            <w:noWrap/>
            <w:vAlign w:val="center"/>
            <w:hideMark/>
          </w:tcPr>
          <w:p w14:paraId="372CF30D" w14:textId="77777777" w:rsidR="008D0491" w:rsidRPr="000A6309" w:rsidRDefault="008D0491" w:rsidP="008D0491">
            <w:pPr>
              <w:jc w:val="right"/>
              <w:rPr>
                <w:rFonts w:cs="Arial"/>
                <w:color w:val="000000"/>
                <w:sz w:val="20"/>
                <w:szCs w:val="20"/>
              </w:rPr>
            </w:pPr>
            <w:r w:rsidRPr="000A6309">
              <w:rPr>
                <w:rFonts w:cs="Arial"/>
                <w:color w:val="000000"/>
                <w:sz w:val="20"/>
                <w:szCs w:val="20"/>
              </w:rPr>
              <w:t>125.862.130</w:t>
            </w:r>
          </w:p>
        </w:tc>
        <w:tc>
          <w:tcPr>
            <w:tcW w:w="473" w:type="pct"/>
            <w:tcBorders>
              <w:top w:val="nil"/>
              <w:left w:val="nil"/>
              <w:bottom w:val="nil"/>
              <w:right w:val="nil"/>
            </w:tcBorders>
            <w:shd w:val="clear" w:color="auto" w:fill="auto"/>
            <w:noWrap/>
            <w:vAlign w:val="center"/>
            <w:hideMark/>
          </w:tcPr>
          <w:p w14:paraId="52750A45" w14:textId="77777777" w:rsidR="008D0491" w:rsidRPr="000A6309" w:rsidRDefault="008D0491" w:rsidP="008D0491">
            <w:pPr>
              <w:jc w:val="center"/>
              <w:rPr>
                <w:rFonts w:cs="Arial"/>
                <w:color w:val="000000"/>
                <w:sz w:val="20"/>
                <w:szCs w:val="20"/>
              </w:rPr>
            </w:pPr>
            <w:r w:rsidRPr="000A6309">
              <w:rPr>
                <w:rFonts w:cs="Arial"/>
                <w:color w:val="000000"/>
                <w:sz w:val="20"/>
                <w:szCs w:val="20"/>
              </w:rPr>
              <w:t>1,96</w:t>
            </w:r>
          </w:p>
        </w:tc>
        <w:tc>
          <w:tcPr>
            <w:tcW w:w="815" w:type="pct"/>
            <w:tcBorders>
              <w:top w:val="nil"/>
              <w:left w:val="single" w:sz="4" w:space="0" w:color="auto"/>
              <w:bottom w:val="nil"/>
              <w:right w:val="single" w:sz="4" w:space="0" w:color="auto"/>
            </w:tcBorders>
            <w:shd w:val="clear" w:color="auto" w:fill="auto"/>
            <w:noWrap/>
            <w:vAlign w:val="center"/>
            <w:hideMark/>
          </w:tcPr>
          <w:p w14:paraId="6F17DD05" w14:textId="77777777" w:rsidR="008D0491" w:rsidRPr="000A6309" w:rsidRDefault="008D0491" w:rsidP="008D0491">
            <w:pPr>
              <w:jc w:val="right"/>
              <w:rPr>
                <w:rFonts w:cs="Arial"/>
                <w:color w:val="000000"/>
                <w:sz w:val="20"/>
                <w:szCs w:val="20"/>
              </w:rPr>
            </w:pPr>
            <w:r w:rsidRPr="000A6309">
              <w:rPr>
                <w:rFonts w:cs="Arial"/>
                <w:color w:val="000000"/>
                <w:sz w:val="20"/>
                <w:szCs w:val="20"/>
              </w:rPr>
              <w:t>125.862.130</w:t>
            </w:r>
          </w:p>
        </w:tc>
        <w:tc>
          <w:tcPr>
            <w:tcW w:w="832" w:type="pct"/>
            <w:tcBorders>
              <w:top w:val="nil"/>
              <w:left w:val="nil"/>
              <w:bottom w:val="nil"/>
              <w:right w:val="nil"/>
            </w:tcBorders>
            <w:shd w:val="clear" w:color="auto" w:fill="auto"/>
            <w:noWrap/>
            <w:vAlign w:val="center"/>
            <w:hideMark/>
          </w:tcPr>
          <w:p w14:paraId="0186EE80" w14:textId="77777777" w:rsidR="008D0491" w:rsidRPr="000A6309" w:rsidRDefault="008D0491" w:rsidP="008D0491">
            <w:pPr>
              <w:jc w:val="right"/>
              <w:rPr>
                <w:rFonts w:cs="Arial"/>
                <w:color w:val="000000"/>
                <w:sz w:val="20"/>
                <w:szCs w:val="20"/>
              </w:rPr>
            </w:pPr>
            <w:r w:rsidRPr="000A6309">
              <w:rPr>
                <w:rFonts w:cs="Arial"/>
                <w:color w:val="000000"/>
                <w:sz w:val="20"/>
                <w:szCs w:val="20"/>
              </w:rPr>
              <w:t>125.862.130</w:t>
            </w:r>
          </w:p>
        </w:tc>
      </w:tr>
      <w:tr w:rsidR="008D0491" w:rsidRPr="000A6309" w14:paraId="67020563" w14:textId="77777777" w:rsidTr="000A6309">
        <w:trPr>
          <w:trHeight w:val="340"/>
        </w:trPr>
        <w:tc>
          <w:tcPr>
            <w:tcW w:w="2046" w:type="pct"/>
            <w:tcBorders>
              <w:top w:val="nil"/>
              <w:left w:val="nil"/>
              <w:bottom w:val="nil"/>
              <w:right w:val="nil"/>
            </w:tcBorders>
            <w:shd w:val="clear" w:color="auto" w:fill="auto"/>
            <w:noWrap/>
            <w:vAlign w:val="center"/>
            <w:hideMark/>
          </w:tcPr>
          <w:p w14:paraId="10E2C561" w14:textId="77777777" w:rsidR="008D0491" w:rsidRPr="000A6309" w:rsidRDefault="008D0491" w:rsidP="008D0491">
            <w:pPr>
              <w:jc w:val="left"/>
              <w:rPr>
                <w:rFonts w:cs="Arial"/>
                <w:color w:val="000000"/>
                <w:sz w:val="20"/>
                <w:szCs w:val="20"/>
              </w:rPr>
            </w:pPr>
            <w:r w:rsidRPr="000A6309">
              <w:rPr>
                <w:rFonts w:cs="Arial"/>
                <w:color w:val="000000"/>
                <w:sz w:val="20"/>
                <w:szCs w:val="20"/>
              </w:rPr>
              <w:t>Ensino Fundamental</w:t>
            </w:r>
          </w:p>
        </w:tc>
        <w:tc>
          <w:tcPr>
            <w:tcW w:w="833" w:type="pct"/>
            <w:tcBorders>
              <w:top w:val="nil"/>
              <w:left w:val="single" w:sz="4" w:space="0" w:color="auto"/>
              <w:bottom w:val="nil"/>
              <w:right w:val="single" w:sz="4" w:space="0" w:color="auto"/>
            </w:tcBorders>
            <w:shd w:val="clear" w:color="auto" w:fill="auto"/>
            <w:noWrap/>
            <w:vAlign w:val="center"/>
            <w:hideMark/>
          </w:tcPr>
          <w:p w14:paraId="66BADE4F" w14:textId="77777777" w:rsidR="008D0491" w:rsidRPr="000A6309" w:rsidRDefault="008D0491" w:rsidP="008D0491">
            <w:pPr>
              <w:jc w:val="right"/>
              <w:rPr>
                <w:rFonts w:cs="Arial"/>
                <w:color w:val="000000"/>
                <w:sz w:val="20"/>
                <w:szCs w:val="20"/>
              </w:rPr>
            </w:pPr>
            <w:r w:rsidRPr="000A6309">
              <w:rPr>
                <w:rFonts w:cs="Arial"/>
                <w:color w:val="000000"/>
                <w:sz w:val="20"/>
                <w:szCs w:val="20"/>
              </w:rPr>
              <w:t>114.170.821</w:t>
            </w:r>
          </w:p>
        </w:tc>
        <w:tc>
          <w:tcPr>
            <w:tcW w:w="473" w:type="pct"/>
            <w:tcBorders>
              <w:top w:val="nil"/>
              <w:left w:val="nil"/>
              <w:bottom w:val="nil"/>
              <w:right w:val="nil"/>
            </w:tcBorders>
            <w:shd w:val="clear" w:color="auto" w:fill="auto"/>
            <w:noWrap/>
            <w:vAlign w:val="center"/>
            <w:hideMark/>
          </w:tcPr>
          <w:p w14:paraId="29EF6A82" w14:textId="77777777" w:rsidR="008D0491" w:rsidRPr="000A6309" w:rsidRDefault="008D0491" w:rsidP="008D0491">
            <w:pPr>
              <w:jc w:val="center"/>
              <w:rPr>
                <w:rFonts w:cs="Arial"/>
                <w:color w:val="000000"/>
                <w:sz w:val="20"/>
                <w:szCs w:val="20"/>
              </w:rPr>
            </w:pPr>
            <w:r w:rsidRPr="000A6309">
              <w:rPr>
                <w:rFonts w:cs="Arial"/>
                <w:color w:val="000000"/>
                <w:sz w:val="20"/>
                <w:szCs w:val="20"/>
              </w:rPr>
              <w:t>1,78</w:t>
            </w:r>
          </w:p>
        </w:tc>
        <w:tc>
          <w:tcPr>
            <w:tcW w:w="815" w:type="pct"/>
            <w:tcBorders>
              <w:top w:val="nil"/>
              <w:left w:val="single" w:sz="4" w:space="0" w:color="auto"/>
              <w:bottom w:val="nil"/>
              <w:right w:val="single" w:sz="4" w:space="0" w:color="auto"/>
            </w:tcBorders>
            <w:shd w:val="clear" w:color="auto" w:fill="auto"/>
            <w:noWrap/>
            <w:vAlign w:val="center"/>
            <w:hideMark/>
          </w:tcPr>
          <w:p w14:paraId="60D5CB4D" w14:textId="77777777" w:rsidR="008D0491" w:rsidRPr="000A6309" w:rsidRDefault="008D0491" w:rsidP="008D0491">
            <w:pPr>
              <w:jc w:val="right"/>
              <w:rPr>
                <w:rFonts w:cs="Arial"/>
                <w:color w:val="000000"/>
                <w:sz w:val="20"/>
                <w:szCs w:val="20"/>
              </w:rPr>
            </w:pPr>
            <w:r w:rsidRPr="000A6309">
              <w:rPr>
                <w:rFonts w:cs="Arial"/>
                <w:color w:val="000000"/>
                <w:sz w:val="20"/>
                <w:szCs w:val="20"/>
              </w:rPr>
              <w:t>110.360.241</w:t>
            </w:r>
          </w:p>
        </w:tc>
        <w:tc>
          <w:tcPr>
            <w:tcW w:w="832" w:type="pct"/>
            <w:tcBorders>
              <w:top w:val="nil"/>
              <w:left w:val="nil"/>
              <w:bottom w:val="nil"/>
              <w:right w:val="nil"/>
            </w:tcBorders>
            <w:shd w:val="clear" w:color="auto" w:fill="auto"/>
            <w:noWrap/>
            <w:vAlign w:val="center"/>
            <w:hideMark/>
          </w:tcPr>
          <w:p w14:paraId="04E52D28" w14:textId="77777777" w:rsidR="008D0491" w:rsidRPr="000A6309" w:rsidRDefault="008D0491" w:rsidP="008D0491">
            <w:pPr>
              <w:jc w:val="right"/>
              <w:rPr>
                <w:rFonts w:cs="Arial"/>
                <w:color w:val="000000"/>
                <w:sz w:val="20"/>
                <w:szCs w:val="20"/>
              </w:rPr>
            </w:pPr>
            <w:r w:rsidRPr="000A6309">
              <w:rPr>
                <w:rFonts w:cs="Arial"/>
                <w:color w:val="000000"/>
                <w:sz w:val="20"/>
                <w:szCs w:val="20"/>
              </w:rPr>
              <w:t>110.324.785</w:t>
            </w:r>
          </w:p>
        </w:tc>
      </w:tr>
      <w:tr w:rsidR="008D0491" w:rsidRPr="000A6309" w14:paraId="24ED6FDC" w14:textId="77777777" w:rsidTr="000A6309">
        <w:trPr>
          <w:trHeight w:val="340"/>
        </w:trPr>
        <w:tc>
          <w:tcPr>
            <w:tcW w:w="2046" w:type="pct"/>
            <w:tcBorders>
              <w:top w:val="nil"/>
              <w:left w:val="nil"/>
              <w:bottom w:val="nil"/>
              <w:right w:val="nil"/>
            </w:tcBorders>
            <w:shd w:val="clear" w:color="auto" w:fill="auto"/>
            <w:noWrap/>
            <w:vAlign w:val="center"/>
            <w:hideMark/>
          </w:tcPr>
          <w:p w14:paraId="53958719" w14:textId="77777777" w:rsidR="008D0491" w:rsidRPr="000A6309" w:rsidRDefault="008D0491" w:rsidP="008D0491">
            <w:pPr>
              <w:jc w:val="left"/>
              <w:rPr>
                <w:rFonts w:cs="Arial"/>
                <w:color w:val="000000"/>
                <w:sz w:val="20"/>
                <w:szCs w:val="20"/>
              </w:rPr>
            </w:pPr>
            <w:r w:rsidRPr="000A6309">
              <w:rPr>
                <w:rFonts w:cs="Arial"/>
                <w:color w:val="000000"/>
                <w:sz w:val="20"/>
                <w:szCs w:val="20"/>
              </w:rPr>
              <w:lastRenderedPageBreak/>
              <w:t>Difusão do Conhecimento Científico e Tecnológico</w:t>
            </w:r>
          </w:p>
        </w:tc>
        <w:tc>
          <w:tcPr>
            <w:tcW w:w="833" w:type="pct"/>
            <w:tcBorders>
              <w:top w:val="nil"/>
              <w:left w:val="single" w:sz="4" w:space="0" w:color="auto"/>
              <w:bottom w:val="nil"/>
              <w:right w:val="single" w:sz="4" w:space="0" w:color="auto"/>
            </w:tcBorders>
            <w:shd w:val="clear" w:color="auto" w:fill="auto"/>
            <w:noWrap/>
            <w:vAlign w:val="center"/>
            <w:hideMark/>
          </w:tcPr>
          <w:p w14:paraId="2A6CA5A5" w14:textId="77777777" w:rsidR="008D0491" w:rsidRPr="000A6309" w:rsidRDefault="008D0491" w:rsidP="008D0491">
            <w:pPr>
              <w:jc w:val="right"/>
              <w:rPr>
                <w:rFonts w:cs="Arial"/>
                <w:color w:val="000000"/>
                <w:sz w:val="20"/>
                <w:szCs w:val="20"/>
              </w:rPr>
            </w:pPr>
            <w:r w:rsidRPr="000A6309">
              <w:rPr>
                <w:rFonts w:cs="Arial"/>
                <w:color w:val="000000"/>
                <w:sz w:val="20"/>
                <w:szCs w:val="20"/>
              </w:rPr>
              <w:t>69.704.289</w:t>
            </w:r>
          </w:p>
        </w:tc>
        <w:tc>
          <w:tcPr>
            <w:tcW w:w="473" w:type="pct"/>
            <w:tcBorders>
              <w:top w:val="nil"/>
              <w:left w:val="nil"/>
              <w:bottom w:val="nil"/>
              <w:right w:val="nil"/>
            </w:tcBorders>
            <w:shd w:val="clear" w:color="auto" w:fill="auto"/>
            <w:noWrap/>
            <w:vAlign w:val="center"/>
            <w:hideMark/>
          </w:tcPr>
          <w:p w14:paraId="251B836F" w14:textId="77777777" w:rsidR="008D0491" w:rsidRPr="000A6309" w:rsidRDefault="008D0491" w:rsidP="008D0491">
            <w:pPr>
              <w:jc w:val="center"/>
              <w:rPr>
                <w:rFonts w:cs="Arial"/>
                <w:color w:val="000000"/>
                <w:sz w:val="20"/>
                <w:szCs w:val="20"/>
              </w:rPr>
            </w:pPr>
            <w:r w:rsidRPr="000A6309">
              <w:rPr>
                <w:rFonts w:cs="Arial"/>
                <w:color w:val="000000"/>
                <w:sz w:val="20"/>
                <w:szCs w:val="20"/>
              </w:rPr>
              <w:t>1,09</w:t>
            </w:r>
          </w:p>
        </w:tc>
        <w:tc>
          <w:tcPr>
            <w:tcW w:w="815" w:type="pct"/>
            <w:tcBorders>
              <w:top w:val="nil"/>
              <w:left w:val="single" w:sz="4" w:space="0" w:color="auto"/>
              <w:bottom w:val="nil"/>
              <w:right w:val="single" w:sz="4" w:space="0" w:color="auto"/>
            </w:tcBorders>
            <w:shd w:val="clear" w:color="auto" w:fill="auto"/>
            <w:noWrap/>
            <w:vAlign w:val="center"/>
            <w:hideMark/>
          </w:tcPr>
          <w:p w14:paraId="2B8E00A8" w14:textId="77777777" w:rsidR="008D0491" w:rsidRPr="000A6309" w:rsidRDefault="008D0491" w:rsidP="008D0491">
            <w:pPr>
              <w:jc w:val="right"/>
              <w:rPr>
                <w:rFonts w:cs="Arial"/>
                <w:color w:val="000000"/>
                <w:sz w:val="20"/>
                <w:szCs w:val="20"/>
              </w:rPr>
            </w:pPr>
            <w:r w:rsidRPr="000A6309">
              <w:rPr>
                <w:rFonts w:cs="Arial"/>
                <w:color w:val="000000"/>
                <w:sz w:val="20"/>
                <w:szCs w:val="20"/>
              </w:rPr>
              <w:t>67.594.655</w:t>
            </w:r>
          </w:p>
        </w:tc>
        <w:tc>
          <w:tcPr>
            <w:tcW w:w="832" w:type="pct"/>
            <w:tcBorders>
              <w:top w:val="nil"/>
              <w:left w:val="nil"/>
              <w:bottom w:val="nil"/>
              <w:right w:val="nil"/>
            </w:tcBorders>
            <w:shd w:val="clear" w:color="auto" w:fill="auto"/>
            <w:noWrap/>
            <w:vAlign w:val="center"/>
            <w:hideMark/>
          </w:tcPr>
          <w:p w14:paraId="01BC03E1" w14:textId="77777777" w:rsidR="008D0491" w:rsidRPr="000A6309" w:rsidRDefault="008D0491" w:rsidP="008D0491">
            <w:pPr>
              <w:jc w:val="right"/>
              <w:rPr>
                <w:rFonts w:cs="Arial"/>
                <w:color w:val="000000"/>
                <w:sz w:val="20"/>
                <w:szCs w:val="20"/>
              </w:rPr>
            </w:pPr>
            <w:r w:rsidRPr="000A6309">
              <w:rPr>
                <w:rFonts w:cs="Arial"/>
                <w:color w:val="000000"/>
                <w:sz w:val="20"/>
                <w:szCs w:val="20"/>
              </w:rPr>
              <w:t>67.594.655</w:t>
            </w:r>
          </w:p>
        </w:tc>
      </w:tr>
      <w:tr w:rsidR="008D0491" w:rsidRPr="000A6309" w14:paraId="636AD00E" w14:textId="77777777" w:rsidTr="000A6309">
        <w:trPr>
          <w:trHeight w:val="340"/>
        </w:trPr>
        <w:tc>
          <w:tcPr>
            <w:tcW w:w="2046" w:type="pct"/>
            <w:tcBorders>
              <w:top w:val="nil"/>
              <w:left w:val="nil"/>
              <w:bottom w:val="nil"/>
              <w:right w:val="nil"/>
            </w:tcBorders>
            <w:shd w:val="clear" w:color="auto" w:fill="auto"/>
            <w:noWrap/>
            <w:vAlign w:val="center"/>
            <w:hideMark/>
          </w:tcPr>
          <w:p w14:paraId="43E90957" w14:textId="77777777" w:rsidR="008D0491" w:rsidRPr="000A6309" w:rsidRDefault="008D0491" w:rsidP="008D0491">
            <w:pPr>
              <w:jc w:val="left"/>
              <w:rPr>
                <w:rFonts w:cs="Arial"/>
                <w:color w:val="000000"/>
                <w:sz w:val="20"/>
                <w:szCs w:val="20"/>
              </w:rPr>
            </w:pPr>
            <w:r w:rsidRPr="000A6309">
              <w:rPr>
                <w:rFonts w:cs="Arial"/>
                <w:color w:val="000000"/>
                <w:sz w:val="20"/>
                <w:szCs w:val="20"/>
              </w:rPr>
              <w:t>Ensino Profissional</w:t>
            </w:r>
          </w:p>
        </w:tc>
        <w:tc>
          <w:tcPr>
            <w:tcW w:w="833" w:type="pct"/>
            <w:tcBorders>
              <w:top w:val="nil"/>
              <w:left w:val="single" w:sz="4" w:space="0" w:color="auto"/>
              <w:bottom w:val="nil"/>
              <w:right w:val="single" w:sz="4" w:space="0" w:color="auto"/>
            </w:tcBorders>
            <w:shd w:val="clear" w:color="auto" w:fill="auto"/>
            <w:noWrap/>
            <w:vAlign w:val="center"/>
            <w:hideMark/>
          </w:tcPr>
          <w:p w14:paraId="5E1824D9" w14:textId="77777777" w:rsidR="008D0491" w:rsidRPr="000A6309" w:rsidRDefault="008D0491" w:rsidP="008D0491">
            <w:pPr>
              <w:jc w:val="right"/>
              <w:rPr>
                <w:rFonts w:cs="Arial"/>
                <w:color w:val="000000"/>
                <w:sz w:val="20"/>
                <w:szCs w:val="20"/>
              </w:rPr>
            </w:pPr>
            <w:r w:rsidRPr="000A6309">
              <w:rPr>
                <w:rFonts w:cs="Arial"/>
                <w:color w:val="000000"/>
                <w:sz w:val="20"/>
                <w:szCs w:val="20"/>
              </w:rPr>
              <w:t>59.318.676</w:t>
            </w:r>
          </w:p>
        </w:tc>
        <w:tc>
          <w:tcPr>
            <w:tcW w:w="473" w:type="pct"/>
            <w:tcBorders>
              <w:top w:val="nil"/>
              <w:left w:val="nil"/>
              <w:bottom w:val="nil"/>
              <w:right w:val="nil"/>
            </w:tcBorders>
            <w:shd w:val="clear" w:color="auto" w:fill="auto"/>
            <w:noWrap/>
            <w:vAlign w:val="center"/>
            <w:hideMark/>
          </w:tcPr>
          <w:p w14:paraId="5F4A754B" w14:textId="77777777" w:rsidR="008D0491" w:rsidRPr="000A6309" w:rsidRDefault="008D0491" w:rsidP="008D0491">
            <w:pPr>
              <w:jc w:val="center"/>
              <w:rPr>
                <w:rFonts w:cs="Arial"/>
                <w:color w:val="000000"/>
                <w:sz w:val="20"/>
                <w:szCs w:val="20"/>
              </w:rPr>
            </w:pPr>
            <w:r w:rsidRPr="000A6309">
              <w:rPr>
                <w:rFonts w:cs="Arial"/>
                <w:color w:val="000000"/>
                <w:sz w:val="20"/>
                <w:szCs w:val="20"/>
              </w:rPr>
              <w:t>0,93</w:t>
            </w:r>
          </w:p>
        </w:tc>
        <w:tc>
          <w:tcPr>
            <w:tcW w:w="815" w:type="pct"/>
            <w:tcBorders>
              <w:top w:val="nil"/>
              <w:left w:val="single" w:sz="4" w:space="0" w:color="auto"/>
              <w:bottom w:val="nil"/>
              <w:right w:val="single" w:sz="4" w:space="0" w:color="auto"/>
            </w:tcBorders>
            <w:shd w:val="clear" w:color="auto" w:fill="auto"/>
            <w:noWrap/>
            <w:vAlign w:val="center"/>
            <w:hideMark/>
          </w:tcPr>
          <w:p w14:paraId="46829DA1" w14:textId="77777777" w:rsidR="008D0491" w:rsidRPr="000A6309" w:rsidRDefault="008D0491" w:rsidP="008D0491">
            <w:pPr>
              <w:jc w:val="right"/>
              <w:rPr>
                <w:rFonts w:cs="Arial"/>
                <w:color w:val="000000"/>
                <w:sz w:val="20"/>
                <w:szCs w:val="20"/>
              </w:rPr>
            </w:pPr>
            <w:r w:rsidRPr="000A6309">
              <w:rPr>
                <w:rFonts w:cs="Arial"/>
                <w:color w:val="000000"/>
                <w:sz w:val="20"/>
                <w:szCs w:val="20"/>
              </w:rPr>
              <w:t>57.962.863</w:t>
            </w:r>
          </w:p>
        </w:tc>
        <w:tc>
          <w:tcPr>
            <w:tcW w:w="832" w:type="pct"/>
            <w:tcBorders>
              <w:top w:val="nil"/>
              <w:left w:val="nil"/>
              <w:bottom w:val="nil"/>
              <w:right w:val="nil"/>
            </w:tcBorders>
            <w:shd w:val="clear" w:color="auto" w:fill="auto"/>
            <w:noWrap/>
            <w:vAlign w:val="center"/>
            <w:hideMark/>
          </w:tcPr>
          <w:p w14:paraId="1BE60C19" w14:textId="77777777" w:rsidR="008D0491" w:rsidRPr="000A6309" w:rsidRDefault="008D0491" w:rsidP="008D0491">
            <w:pPr>
              <w:jc w:val="right"/>
              <w:rPr>
                <w:rFonts w:cs="Arial"/>
                <w:color w:val="000000"/>
                <w:sz w:val="20"/>
                <w:szCs w:val="20"/>
              </w:rPr>
            </w:pPr>
            <w:r w:rsidRPr="000A6309">
              <w:rPr>
                <w:rFonts w:cs="Arial"/>
                <w:color w:val="000000"/>
                <w:sz w:val="20"/>
                <w:szCs w:val="20"/>
              </w:rPr>
              <w:t>57.946.902</w:t>
            </w:r>
          </w:p>
        </w:tc>
      </w:tr>
      <w:tr w:rsidR="008D0491" w:rsidRPr="000A6309" w14:paraId="0B02472C" w14:textId="77777777" w:rsidTr="000A6309">
        <w:trPr>
          <w:trHeight w:val="340"/>
        </w:trPr>
        <w:tc>
          <w:tcPr>
            <w:tcW w:w="2046" w:type="pct"/>
            <w:tcBorders>
              <w:top w:val="nil"/>
              <w:left w:val="nil"/>
              <w:bottom w:val="nil"/>
              <w:right w:val="nil"/>
            </w:tcBorders>
            <w:shd w:val="clear" w:color="auto" w:fill="auto"/>
            <w:noWrap/>
            <w:vAlign w:val="center"/>
            <w:hideMark/>
          </w:tcPr>
          <w:p w14:paraId="13BC930A" w14:textId="77777777" w:rsidR="008D0491" w:rsidRPr="000A6309" w:rsidRDefault="008D0491" w:rsidP="008D0491">
            <w:pPr>
              <w:jc w:val="left"/>
              <w:rPr>
                <w:rFonts w:cs="Arial"/>
                <w:color w:val="000000"/>
                <w:sz w:val="20"/>
                <w:szCs w:val="20"/>
              </w:rPr>
            </w:pPr>
            <w:r w:rsidRPr="000A6309">
              <w:rPr>
                <w:rFonts w:cs="Arial"/>
                <w:color w:val="000000"/>
                <w:sz w:val="20"/>
                <w:szCs w:val="20"/>
              </w:rPr>
              <w:t>Educação de Jovens e Adultos</w:t>
            </w:r>
          </w:p>
        </w:tc>
        <w:tc>
          <w:tcPr>
            <w:tcW w:w="833" w:type="pct"/>
            <w:tcBorders>
              <w:top w:val="nil"/>
              <w:left w:val="single" w:sz="4" w:space="0" w:color="auto"/>
              <w:bottom w:val="nil"/>
              <w:right w:val="single" w:sz="4" w:space="0" w:color="auto"/>
            </w:tcBorders>
            <w:shd w:val="clear" w:color="auto" w:fill="auto"/>
            <w:noWrap/>
            <w:vAlign w:val="center"/>
            <w:hideMark/>
          </w:tcPr>
          <w:p w14:paraId="446193F7" w14:textId="77777777" w:rsidR="008D0491" w:rsidRPr="000A6309" w:rsidRDefault="008D0491" w:rsidP="008D0491">
            <w:pPr>
              <w:jc w:val="right"/>
              <w:rPr>
                <w:rFonts w:cs="Arial"/>
                <w:color w:val="000000"/>
                <w:sz w:val="20"/>
                <w:szCs w:val="20"/>
              </w:rPr>
            </w:pPr>
            <w:r w:rsidRPr="000A6309">
              <w:rPr>
                <w:rFonts w:cs="Arial"/>
                <w:color w:val="000000"/>
                <w:sz w:val="20"/>
                <w:szCs w:val="20"/>
              </w:rPr>
              <w:t>17.119.851</w:t>
            </w:r>
          </w:p>
        </w:tc>
        <w:tc>
          <w:tcPr>
            <w:tcW w:w="473" w:type="pct"/>
            <w:tcBorders>
              <w:top w:val="nil"/>
              <w:left w:val="nil"/>
              <w:bottom w:val="nil"/>
              <w:right w:val="nil"/>
            </w:tcBorders>
            <w:shd w:val="clear" w:color="auto" w:fill="auto"/>
            <w:noWrap/>
            <w:vAlign w:val="center"/>
            <w:hideMark/>
          </w:tcPr>
          <w:p w14:paraId="6E764072" w14:textId="77777777" w:rsidR="008D0491" w:rsidRPr="000A6309" w:rsidRDefault="008D0491" w:rsidP="008D0491">
            <w:pPr>
              <w:jc w:val="center"/>
              <w:rPr>
                <w:rFonts w:cs="Arial"/>
                <w:color w:val="000000"/>
                <w:sz w:val="20"/>
                <w:szCs w:val="20"/>
              </w:rPr>
            </w:pPr>
            <w:r w:rsidRPr="000A6309">
              <w:rPr>
                <w:rFonts w:cs="Arial"/>
                <w:color w:val="000000"/>
                <w:sz w:val="20"/>
                <w:szCs w:val="20"/>
              </w:rPr>
              <w:t>0,27</w:t>
            </w:r>
          </w:p>
        </w:tc>
        <w:tc>
          <w:tcPr>
            <w:tcW w:w="815" w:type="pct"/>
            <w:tcBorders>
              <w:top w:val="nil"/>
              <w:left w:val="single" w:sz="4" w:space="0" w:color="auto"/>
              <w:bottom w:val="nil"/>
              <w:right w:val="single" w:sz="4" w:space="0" w:color="auto"/>
            </w:tcBorders>
            <w:shd w:val="clear" w:color="auto" w:fill="auto"/>
            <w:noWrap/>
            <w:vAlign w:val="center"/>
            <w:hideMark/>
          </w:tcPr>
          <w:p w14:paraId="49934DD3" w14:textId="77777777" w:rsidR="008D0491" w:rsidRPr="000A6309" w:rsidRDefault="008D0491" w:rsidP="008D0491">
            <w:pPr>
              <w:jc w:val="right"/>
              <w:rPr>
                <w:rFonts w:cs="Arial"/>
                <w:color w:val="000000"/>
                <w:sz w:val="20"/>
                <w:szCs w:val="20"/>
              </w:rPr>
            </w:pPr>
            <w:r w:rsidRPr="000A6309">
              <w:rPr>
                <w:rFonts w:cs="Arial"/>
                <w:color w:val="000000"/>
                <w:sz w:val="20"/>
                <w:szCs w:val="20"/>
              </w:rPr>
              <w:t>16.791.160</w:t>
            </w:r>
          </w:p>
        </w:tc>
        <w:tc>
          <w:tcPr>
            <w:tcW w:w="832" w:type="pct"/>
            <w:tcBorders>
              <w:top w:val="nil"/>
              <w:left w:val="nil"/>
              <w:bottom w:val="nil"/>
              <w:right w:val="nil"/>
            </w:tcBorders>
            <w:shd w:val="clear" w:color="auto" w:fill="auto"/>
            <w:noWrap/>
            <w:vAlign w:val="center"/>
            <w:hideMark/>
          </w:tcPr>
          <w:p w14:paraId="331D6D99" w14:textId="77777777" w:rsidR="008D0491" w:rsidRPr="000A6309" w:rsidRDefault="008D0491" w:rsidP="008D0491">
            <w:pPr>
              <w:jc w:val="right"/>
              <w:rPr>
                <w:rFonts w:cs="Arial"/>
                <w:color w:val="000000"/>
                <w:sz w:val="20"/>
                <w:szCs w:val="20"/>
              </w:rPr>
            </w:pPr>
            <w:r w:rsidRPr="000A6309">
              <w:rPr>
                <w:rFonts w:cs="Arial"/>
                <w:color w:val="000000"/>
                <w:sz w:val="20"/>
                <w:szCs w:val="20"/>
              </w:rPr>
              <w:t>16.790.786</w:t>
            </w:r>
          </w:p>
        </w:tc>
      </w:tr>
      <w:tr w:rsidR="008D0491" w:rsidRPr="000A6309" w14:paraId="4F313EBD" w14:textId="77777777" w:rsidTr="000A6309">
        <w:trPr>
          <w:trHeight w:val="340"/>
        </w:trPr>
        <w:tc>
          <w:tcPr>
            <w:tcW w:w="2046" w:type="pct"/>
            <w:tcBorders>
              <w:top w:val="nil"/>
              <w:left w:val="nil"/>
              <w:bottom w:val="nil"/>
              <w:right w:val="nil"/>
            </w:tcBorders>
            <w:shd w:val="clear" w:color="auto" w:fill="auto"/>
            <w:noWrap/>
            <w:vAlign w:val="center"/>
            <w:hideMark/>
          </w:tcPr>
          <w:p w14:paraId="71712C7D" w14:textId="77777777" w:rsidR="008D0491" w:rsidRPr="000A6309" w:rsidRDefault="008D0491" w:rsidP="008D0491">
            <w:pPr>
              <w:jc w:val="left"/>
              <w:rPr>
                <w:rFonts w:cs="Arial"/>
                <w:color w:val="000000"/>
                <w:sz w:val="20"/>
                <w:szCs w:val="20"/>
              </w:rPr>
            </w:pPr>
            <w:r w:rsidRPr="000A6309">
              <w:rPr>
                <w:rFonts w:cs="Arial"/>
                <w:color w:val="000000"/>
                <w:sz w:val="20"/>
                <w:szCs w:val="20"/>
              </w:rPr>
              <w:t>Educação Infantil</w:t>
            </w:r>
          </w:p>
        </w:tc>
        <w:tc>
          <w:tcPr>
            <w:tcW w:w="833" w:type="pct"/>
            <w:tcBorders>
              <w:top w:val="nil"/>
              <w:left w:val="single" w:sz="4" w:space="0" w:color="auto"/>
              <w:bottom w:val="nil"/>
              <w:right w:val="single" w:sz="4" w:space="0" w:color="auto"/>
            </w:tcBorders>
            <w:shd w:val="clear" w:color="auto" w:fill="auto"/>
            <w:noWrap/>
            <w:vAlign w:val="center"/>
            <w:hideMark/>
          </w:tcPr>
          <w:p w14:paraId="1DC49885" w14:textId="77777777" w:rsidR="008D0491" w:rsidRPr="000A6309" w:rsidRDefault="008D0491" w:rsidP="008D0491">
            <w:pPr>
              <w:jc w:val="right"/>
              <w:rPr>
                <w:rFonts w:cs="Arial"/>
                <w:color w:val="000000"/>
                <w:sz w:val="20"/>
                <w:szCs w:val="20"/>
              </w:rPr>
            </w:pPr>
            <w:r w:rsidRPr="000A6309">
              <w:rPr>
                <w:rFonts w:cs="Arial"/>
                <w:color w:val="000000"/>
                <w:sz w:val="20"/>
                <w:szCs w:val="20"/>
              </w:rPr>
              <w:t>11.651.656</w:t>
            </w:r>
          </w:p>
        </w:tc>
        <w:tc>
          <w:tcPr>
            <w:tcW w:w="473" w:type="pct"/>
            <w:tcBorders>
              <w:top w:val="nil"/>
              <w:left w:val="nil"/>
              <w:bottom w:val="nil"/>
              <w:right w:val="nil"/>
            </w:tcBorders>
            <w:shd w:val="clear" w:color="auto" w:fill="auto"/>
            <w:noWrap/>
            <w:vAlign w:val="center"/>
            <w:hideMark/>
          </w:tcPr>
          <w:p w14:paraId="1A1BE961" w14:textId="77777777" w:rsidR="008D0491" w:rsidRPr="000A6309" w:rsidRDefault="008D0491" w:rsidP="008D0491">
            <w:pPr>
              <w:jc w:val="center"/>
              <w:rPr>
                <w:rFonts w:cs="Arial"/>
                <w:color w:val="000000"/>
                <w:sz w:val="20"/>
                <w:szCs w:val="20"/>
              </w:rPr>
            </w:pPr>
            <w:r w:rsidRPr="000A6309">
              <w:rPr>
                <w:rFonts w:cs="Arial"/>
                <w:color w:val="000000"/>
                <w:sz w:val="20"/>
                <w:szCs w:val="20"/>
              </w:rPr>
              <w:t>0,18</w:t>
            </w:r>
          </w:p>
        </w:tc>
        <w:tc>
          <w:tcPr>
            <w:tcW w:w="815" w:type="pct"/>
            <w:tcBorders>
              <w:top w:val="nil"/>
              <w:left w:val="single" w:sz="4" w:space="0" w:color="auto"/>
              <w:bottom w:val="nil"/>
              <w:right w:val="single" w:sz="4" w:space="0" w:color="auto"/>
            </w:tcBorders>
            <w:shd w:val="clear" w:color="auto" w:fill="auto"/>
            <w:noWrap/>
            <w:vAlign w:val="center"/>
            <w:hideMark/>
          </w:tcPr>
          <w:p w14:paraId="3BD4F785" w14:textId="77777777" w:rsidR="008D0491" w:rsidRPr="000A6309" w:rsidRDefault="008D0491" w:rsidP="008D0491">
            <w:pPr>
              <w:jc w:val="right"/>
              <w:rPr>
                <w:rFonts w:cs="Arial"/>
                <w:color w:val="000000"/>
                <w:sz w:val="20"/>
                <w:szCs w:val="20"/>
              </w:rPr>
            </w:pPr>
            <w:r w:rsidRPr="000A6309">
              <w:rPr>
                <w:rFonts w:cs="Arial"/>
                <w:color w:val="000000"/>
                <w:sz w:val="20"/>
                <w:szCs w:val="20"/>
              </w:rPr>
              <w:t>10.546.656</w:t>
            </w:r>
          </w:p>
        </w:tc>
        <w:tc>
          <w:tcPr>
            <w:tcW w:w="832" w:type="pct"/>
            <w:tcBorders>
              <w:top w:val="nil"/>
              <w:left w:val="nil"/>
              <w:bottom w:val="nil"/>
              <w:right w:val="nil"/>
            </w:tcBorders>
            <w:shd w:val="clear" w:color="auto" w:fill="auto"/>
            <w:noWrap/>
            <w:vAlign w:val="center"/>
            <w:hideMark/>
          </w:tcPr>
          <w:p w14:paraId="74287584" w14:textId="77777777" w:rsidR="008D0491" w:rsidRPr="000A6309" w:rsidRDefault="008D0491" w:rsidP="008D0491">
            <w:pPr>
              <w:jc w:val="right"/>
              <w:rPr>
                <w:rFonts w:cs="Arial"/>
                <w:color w:val="000000"/>
                <w:sz w:val="20"/>
                <w:szCs w:val="20"/>
              </w:rPr>
            </w:pPr>
            <w:r w:rsidRPr="000A6309">
              <w:rPr>
                <w:rFonts w:cs="Arial"/>
                <w:color w:val="000000"/>
                <w:sz w:val="20"/>
                <w:szCs w:val="20"/>
              </w:rPr>
              <w:t>10.546.656</w:t>
            </w:r>
          </w:p>
        </w:tc>
      </w:tr>
      <w:tr w:rsidR="008D0491" w:rsidRPr="000A6309" w14:paraId="009757C3" w14:textId="77777777" w:rsidTr="000A6309">
        <w:trPr>
          <w:trHeight w:val="340"/>
        </w:trPr>
        <w:tc>
          <w:tcPr>
            <w:tcW w:w="2046" w:type="pct"/>
            <w:tcBorders>
              <w:top w:val="nil"/>
              <w:left w:val="nil"/>
              <w:bottom w:val="nil"/>
              <w:right w:val="nil"/>
            </w:tcBorders>
            <w:shd w:val="clear" w:color="auto" w:fill="auto"/>
            <w:noWrap/>
            <w:vAlign w:val="center"/>
            <w:hideMark/>
          </w:tcPr>
          <w:p w14:paraId="2F40C72E" w14:textId="77777777" w:rsidR="008D0491" w:rsidRPr="000A6309" w:rsidRDefault="008D0491" w:rsidP="008D0491">
            <w:pPr>
              <w:jc w:val="left"/>
              <w:rPr>
                <w:rFonts w:cs="Arial"/>
                <w:color w:val="000000"/>
                <w:sz w:val="20"/>
                <w:szCs w:val="20"/>
              </w:rPr>
            </w:pPr>
            <w:r w:rsidRPr="000A6309">
              <w:rPr>
                <w:rFonts w:cs="Arial"/>
                <w:color w:val="000000"/>
                <w:sz w:val="20"/>
                <w:szCs w:val="20"/>
              </w:rPr>
              <w:t>Formação de Recursos Humanos</w:t>
            </w:r>
          </w:p>
        </w:tc>
        <w:tc>
          <w:tcPr>
            <w:tcW w:w="833" w:type="pct"/>
            <w:tcBorders>
              <w:top w:val="nil"/>
              <w:left w:val="single" w:sz="4" w:space="0" w:color="auto"/>
              <w:bottom w:val="nil"/>
              <w:right w:val="single" w:sz="4" w:space="0" w:color="auto"/>
            </w:tcBorders>
            <w:shd w:val="clear" w:color="auto" w:fill="auto"/>
            <w:noWrap/>
            <w:vAlign w:val="center"/>
            <w:hideMark/>
          </w:tcPr>
          <w:p w14:paraId="6326067A" w14:textId="77777777" w:rsidR="008D0491" w:rsidRPr="000A6309" w:rsidRDefault="008D0491" w:rsidP="008D0491">
            <w:pPr>
              <w:jc w:val="right"/>
              <w:rPr>
                <w:rFonts w:cs="Arial"/>
                <w:color w:val="000000"/>
                <w:sz w:val="20"/>
                <w:szCs w:val="20"/>
              </w:rPr>
            </w:pPr>
            <w:r w:rsidRPr="000A6309">
              <w:rPr>
                <w:rFonts w:cs="Arial"/>
                <w:color w:val="000000"/>
                <w:sz w:val="20"/>
                <w:szCs w:val="20"/>
              </w:rPr>
              <w:t>7.289.889</w:t>
            </w:r>
          </w:p>
        </w:tc>
        <w:tc>
          <w:tcPr>
            <w:tcW w:w="473" w:type="pct"/>
            <w:tcBorders>
              <w:top w:val="nil"/>
              <w:left w:val="nil"/>
              <w:bottom w:val="nil"/>
              <w:right w:val="nil"/>
            </w:tcBorders>
            <w:shd w:val="clear" w:color="auto" w:fill="auto"/>
            <w:noWrap/>
            <w:vAlign w:val="center"/>
            <w:hideMark/>
          </w:tcPr>
          <w:p w14:paraId="44D35D32" w14:textId="77777777" w:rsidR="008D0491" w:rsidRPr="000A6309" w:rsidRDefault="008D0491" w:rsidP="008D0491">
            <w:pPr>
              <w:jc w:val="center"/>
              <w:rPr>
                <w:rFonts w:cs="Arial"/>
                <w:color w:val="000000"/>
                <w:sz w:val="20"/>
                <w:szCs w:val="20"/>
              </w:rPr>
            </w:pPr>
            <w:r w:rsidRPr="000A6309">
              <w:rPr>
                <w:rFonts w:cs="Arial"/>
                <w:color w:val="000000"/>
                <w:sz w:val="20"/>
                <w:szCs w:val="20"/>
              </w:rPr>
              <w:t>0,11</w:t>
            </w:r>
          </w:p>
        </w:tc>
        <w:tc>
          <w:tcPr>
            <w:tcW w:w="815" w:type="pct"/>
            <w:tcBorders>
              <w:top w:val="nil"/>
              <w:left w:val="single" w:sz="4" w:space="0" w:color="auto"/>
              <w:bottom w:val="nil"/>
              <w:right w:val="single" w:sz="4" w:space="0" w:color="auto"/>
            </w:tcBorders>
            <w:shd w:val="clear" w:color="auto" w:fill="auto"/>
            <w:noWrap/>
            <w:vAlign w:val="center"/>
            <w:hideMark/>
          </w:tcPr>
          <w:p w14:paraId="7BAB300F" w14:textId="77777777" w:rsidR="008D0491" w:rsidRPr="000A6309" w:rsidRDefault="008D0491" w:rsidP="008D0491">
            <w:pPr>
              <w:jc w:val="right"/>
              <w:rPr>
                <w:rFonts w:cs="Arial"/>
                <w:color w:val="000000"/>
                <w:sz w:val="20"/>
                <w:szCs w:val="20"/>
              </w:rPr>
            </w:pPr>
            <w:r w:rsidRPr="000A6309">
              <w:rPr>
                <w:rFonts w:cs="Arial"/>
                <w:color w:val="000000"/>
                <w:sz w:val="20"/>
                <w:szCs w:val="20"/>
              </w:rPr>
              <w:t>5.141.450</w:t>
            </w:r>
          </w:p>
        </w:tc>
        <w:tc>
          <w:tcPr>
            <w:tcW w:w="832" w:type="pct"/>
            <w:tcBorders>
              <w:top w:val="nil"/>
              <w:left w:val="nil"/>
              <w:bottom w:val="nil"/>
              <w:right w:val="nil"/>
            </w:tcBorders>
            <w:shd w:val="clear" w:color="auto" w:fill="auto"/>
            <w:noWrap/>
            <w:vAlign w:val="center"/>
            <w:hideMark/>
          </w:tcPr>
          <w:p w14:paraId="715FBB0A" w14:textId="77777777" w:rsidR="008D0491" w:rsidRPr="000A6309" w:rsidRDefault="008D0491" w:rsidP="008D0491">
            <w:pPr>
              <w:jc w:val="right"/>
              <w:rPr>
                <w:rFonts w:cs="Arial"/>
                <w:color w:val="000000"/>
                <w:sz w:val="20"/>
                <w:szCs w:val="20"/>
              </w:rPr>
            </w:pPr>
            <w:r w:rsidRPr="000A6309">
              <w:rPr>
                <w:rFonts w:cs="Arial"/>
                <w:color w:val="000000"/>
                <w:sz w:val="20"/>
                <w:szCs w:val="20"/>
              </w:rPr>
              <w:t>5.140.589</w:t>
            </w:r>
          </w:p>
        </w:tc>
      </w:tr>
      <w:tr w:rsidR="008D0491" w:rsidRPr="000A6309" w14:paraId="0DE3C90B" w14:textId="77777777" w:rsidTr="000A6309">
        <w:trPr>
          <w:trHeight w:val="340"/>
        </w:trPr>
        <w:tc>
          <w:tcPr>
            <w:tcW w:w="2046" w:type="pct"/>
            <w:tcBorders>
              <w:top w:val="nil"/>
              <w:left w:val="nil"/>
              <w:bottom w:val="nil"/>
              <w:right w:val="nil"/>
            </w:tcBorders>
            <w:shd w:val="clear" w:color="auto" w:fill="auto"/>
            <w:noWrap/>
            <w:vAlign w:val="center"/>
            <w:hideMark/>
          </w:tcPr>
          <w:p w14:paraId="490E8152" w14:textId="77777777" w:rsidR="008D0491" w:rsidRPr="000A6309" w:rsidRDefault="008D0491" w:rsidP="008D0491">
            <w:pPr>
              <w:jc w:val="left"/>
              <w:rPr>
                <w:rFonts w:cs="Arial"/>
                <w:color w:val="000000"/>
                <w:sz w:val="20"/>
                <w:szCs w:val="20"/>
              </w:rPr>
            </w:pPr>
            <w:r w:rsidRPr="000A6309">
              <w:rPr>
                <w:rFonts w:cs="Arial"/>
                <w:color w:val="000000"/>
                <w:sz w:val="20"/>
                <w:szCs w:val="20"/>
              </w:rPr>
              <w:t>Assistência Comunitária</w:t>
            </w:r>
          </w:p>
        </w:tc>
        <w:tc>
          <w:tcPr>
            <w:tcW w:w="833" w:type="pct"/>
            <w:tcBorders>
              <w:top w:val="nil"/>
              <w:left w:val="single" w:sz="4" w:space="0" w:color="auto"/>
              <w:bottom w:val="nil"/>
              <w:right w:val="single" w:sz="4" w:space="0" w:color="auto"/>
            </w:tcBorders>
            <w:shd w:val="clear" w:color="auto" w:fill="auto"/>
            <w:noWrap/>
            <w:vAlign w:val="center"/>
            <w:hideMark/>
          </w:tcPr>
          <w:p w14:paraId="4C840A72" w14:textId="77777777" w:rsidR="008D0491" w:rsidRPr="000A6309" w:rsidRDefault="008D0491" w:rsidP="008D0491">
            <w:pPr>
              <w:jc w:val="right"/>
              <w:rPr>
                <w:rFonts w:cs="Arial"/>
                <w:color w:val="000000"/>
                <w:sz w:val="20"/>
                <w:szCs w:val="20"/>
              </w:rPr>
            </w:pPr>
            <w:r w:rsidRPr="000A6309">
              <w:rPr>
                <w:rFonts w:cs="Arial"/>
                <w:color w:val="000000"/>
                <w:sz w:val="20"/>
                <w:szCs w:val="20"/>
              </w:rPr>
              <w:t>3.077.840</w:t>
            </w:r>
          </w:p>
        </w:tc>
        <w:tc>
          <w:tcPr>
            <w:tcW w:w="473" w:type="pct"/>
            <w:tcBorders>
              <w:top w:val="nil"/>
              <w:left w:val="nil"/>
              <w:bottom w:val="nil"/>
              <w:right w:val="nil"/>
            </w:tcBorders>
            <w:shd w:val="clear" w:color="auto" w:fill="auto"/>
            <w:noWrap/>
            <w:vAlign w:val="center"/>
            <w:hideMark/>
          </w:tcPr>
          <w:p w14:paraId="00918CB0" w14:textId="77777777" w:rsidR="008D0491" w:rsidRPr="000A6309" w:rsidRDefault="008D0491" w:rsidP="008D0491">
            <w:pPr>
              <w:jc w:val="center"/>
              <w:rPr>
                <w:rFonts w:cs="Arial"/>
                <w:color w:val="000000"/>
                <w:sz w:val="20"/>
                <w:szCs w:val="20"/>
              </w:rPr>
            </w:pPr>
            <w:r w:rsidRPr="000A6309">
              <w:rPr>
                <w:rFonts w:cs="Arial"/>
                <w:color w:val="000000"/>
                <w:sz w:val="20"/>
                <w:szCs w:val="20"/>
              </w:rPr>
              <w:t>0,05</w:t>
            </w:r>
          </w:p>
        </w:tc>
        <w:tc>
          <w:tcPr>
            <w:tcW w:w="815" w:type="pct"/>
            <w:tcBorders>
              <w:top w:val="nil"/>
              <w:left w:val="single" w:sz="4" w:space="0" w:color="auto"/>
              <w:bottom w:val="nil"/>
              <w:right w:val="single" w:sz="4" w:space="0" w:color="auto"/>
            </w:tcBorders>
            <w:shd w:val="clear" w:color="auto" w:fill="auto"/>
            <w:noWrap/>
            <w:vAlign w:val="center"/>
            <w:hideMark/>
          </w:tcPr>
          <w:p w14:paraId="6ACEE42C" w14:textId="77777777" w:rsidR="008D0491" w:rsidRPr="000A6309" w:rsidRDefault="008D0491" w:rsidP="008D0491">
            <w:pPr>
              <w:jc w:val="right"/>
              <w:rPr>
                <w:rFonts w:cs="Arial"/>
                <w:color w:val="000000"/>
                <w:sz w:val="20"/>
                <w:szCs w:val="20"/>
              </w:rPr>
            </w:pPr>
            <w:r w:rsidRPr="000A6309">
              <w:rPr>
                <w:rFonts w:cs="Arial"/>
                <w:color w:val="000000"/>
                <w:sz w:val="20"/>
                <w:szCs w:val="20"/>
              </w:rPr>
              <w:t>2.437.722</w:t>
            </w:r>
          </w:p>
        </w:tc>
        <w:tc>
          <w:tcPr>
            <w:tcW w:w="832" w:type="pct"/>
            <w:tcBorders>
              <w:top w:val="nil"/>
              <w:left w:val="nil"/>
              <w:bottom w:val="nil"/>
              <w:right w:val="nil"/>
            </w:tcBorders>
            <w:shd w:val="clear" w:color="auto" w:fill="auto"/>
            <w:noWrap/>
            <w:vAlign w:val="center"/>
            <w:hideMark/>
          </w:tcPr>
          <w:p w14:paraId="1E145A95" w14:textId="77777777" w:rsidR="008D0491" w:rsidRPr="000A6309" w:rsidRDefault="008D0491" w:rsidP="008D0491">
            <w:pPr>
              <w:jc w:val="right"/>
              <w:rPr>
                <w:rFonts w:cs="Arial"/>
                <w:color w:val="000000"/>
                <w:sz w:val="20"/>
                <w:szCs w:val="20"/>
              </w:rPr>
            </w:pPr>
            <w:r w:rsidRPr="000A6309">
              <w:rPr>
                <w:rFonts w:cs="Arial"/>
                <w:color w:val="000000"/>
                <w:sz w:val="20"/>
                <w:szCs w:val="20"/>
              </w:rPr>
              <w:t>2.437.722</w:t>
            </w:r>
          </w:p>
        </w:tc>
      </w:tr>
      <w:tr w:rsidR="008D0491" w:rsidRPr="000A6309" w14:paraId="0D69C839" w14:textId="77777777" w:rsidTr="000A6309">
        <w:trPr>
          <w:trHeight w:val="340"/>
        </w:trPr>
        <w:tc>
          <w:tcPr>
            <w:tcW w:w="2046" w:type="pct"/>
            <w:tcBorders>
              <w:top w:val="nil"/>
              <w:left w:val="nil"/>
              <w:bottom w:val="nil"/>
              <w:right w:val="nil"/>
            </w:tcBorders>
            <w:shd w:val="clear" w:color="auto" w:fill="auto"/>
            <w:noWrap/>
            <w:vAlign w:val="center"/>
            <w:hideMark/>
          </w:tcPr>
          <w:p w14:paraId="76A46656" w14:textId="77777777" w:rsidR="008D0491" w:rsidRPr="000A6309" w:rsidRDefault="008D0491" w:rsidP="008D0491">
            <w:pPr>
              <w:jc w:val="left"/>
              <w:rPr>
                <w:rFonts w:cs="Arial"/>
                <w:color w:val="000000"/>
                <w:sz w:val="20"/>
                <w:szCs w:val="20"/>
              </w:rPr>
            </w:pPr>
            <w:r w:rsidRPr="000A6309">
              <w:rPr>
                <w:rFonts w:cs="Arial"/>
                <w:color w:val="000000"/>
                <w:sz w:val="20"/>
                <w:szCs w:val="20"/>
              </w:rPr>
              <w:t>Atenção Básica</w:t>
            </w:r>
          </w:p>
        </w:tc>
        <w:tc>
          <w:tcPr>
            <w:tcW w:w="833" w:type="pct"/>
            <w:tcBorders>
              <w:top w:val="nil"/>
              <w:left w:val="single" w:sz="4" w:space="0" w:color="auto"/>
              <w:bottom w:val="nil"/>
              <w:right w:val="single" w:sz="4" w:space="0" w:color="auto"/>
            </w:tcBorders>
            <w:shd w:val="clear" w:color="auto" w:fill="auto"/>
            <w:noWrap/>
            <w:vAlign w:val="center"/>
            <w:hideMark/>
          </w:tcPr>
          <w:p w14:paraId="1BF6EC0D" w14:textId="77777777" w:rsidR="008D0491" w:rsidRPr="000A6309" w:rsidRDefault="008D0491" w:rsidP="008D0491">
            <w:pPr>
              <w:jc w:val="right"/>
              <w:rPr>
                <w:rFonts w:cs="Arial"/>
                <w:color w:val="000000"/>
                <w:sz w:val="20"/>
                <w:szCs w:val="20"/>
              </w:rPr>
            </w:pPr>
            <w:r w:rsidRPr="000A6309">
              <w:rPr>
                <w:rFonts w:cs="Arial"/>
                <w:color w:val="000000"/>
                <w:sz w:val="20"/>
                <w:szCs w:val="20"/>
              </w:rPr>
              <w:t>3.036.312</w:t>
            </w:r>
          </w:p>
        </w:tc>
        <w:tc>
          <w:tcPr>
            <w:tcW w:w="473" w:type="pct"/>
            <w:tcBorders>
              <w:top w:val="nil"/>
              <w:left w:val="nil"/>
              <w:bottom w:val="nil"/>
              <w:right w:val="nil"/>
            </w:tcBorders>
            <w:shd w:val="clear" w:color="auto" w:fill="auto"/>
            <w:noWrap/>
            <w:vAlign w:val="center"/>
            <w:hideMark/>
          </w:tcPr>
          <w:p w14:paraId="6ACA7D78" w14:textId="77777777" w:rsidR="008D0491" w:rsidRPr="000A6309" w:rsidRDefault="008D0491" w:rsidP="008D0491">
            <w:pPr>
              <w:jc w:val="center"/>
              <w:rPr>
                <w:rFonts w:cs="Arial"/>
                <w:color w:val="000000"/>
                <w:sz w:val="20"/>
                <w:szCs w:val="20"/>
              </w:rPr>
            </w:pPr>
            <w:r w:rsidRPr="000A6309">
              <w:rPr>
                <w:rFonts w:cs="Arial"/>
                <w:color w:val="000000"/>
                <w:sz w:val="20"/>
                <w:szCs w:val="20"/>
              </w:rPr>
              <w:t>0,05</w:t>
            </w:r>
          </w:p>
        </w:tc>
        <w:tc>
          <w:tcPr>
            <w:tcW w:w="815" w:type="pct"/>
            <w:tcBorders>
              <w:top w:val="nil"/>
              <w:left w:val="single" w:sz="4" w:space="0" w:color="auto"/>
              <w:bottom w:val="nil"/>
              <w:right w:val="single" w:sz="4" w:space="0" w:color="auto"/>
            </w:tcBorders>
            <w:shd w:val="clear" w:color="auto" w:fill="auto"/>
            <w:noWrap/>
            <w:vAlign w:val="center"/>
            <w:hideMark/>
          </w:tcPr>
          <w:p w14:paraId="753C611F" w14:textId="77777777" w:rsidR="008D0491" w:rsidRPr="000A6309" w:rsidRDefault="008D0491" w:rsidP="008D0491">
            <w:pPr>
              <w:jc w:val="right"/>
              <w:rPr>
                <w:rFonts w:cs="Arial"/>
                <w:color w:val="000000"/>
                <w:sz w:val="20"/>
                <w:szCs w:val="20"/>
              </w:rPr>
            </w:pPr>
            <w:r w:rsidRPr="000A6309">
              <w:rPr>
                <w:rFonts w:cs="Arial"/>
                <w:color w:val="000000"/>
                <w:sz w:val="20"/>
                <w:szCs w:val="20"/>
              </w:rPr>
              <w:t>2.909.832</w:t>
            </w:r>
          </w:p>
        </w:tc>
        <w:tc>
          <w:tcPr>
            <w:tcW w:w="832" w:type="pct"/>
            <w:tcBorders>
              <w:top w:val="nil"/>
              <w:left w:val="nil"/>
              <w:bottom w:val="nil"/>
              <w:right w:val="nil"/>
            </w:tcBorders>
            <w:shd w:val="clear" w:color="auto" w:fill="auto"/>
            <w:noWrap/>
            <w:vAlign w:val="center"/>
            <w:hideMark/>
          </w:tcPr>
          <w:p w14:paraId="2866DE45" w14:textId="77777777" w:rsidR="008D0491" w:rsidRPr="000A6309" w:rsidRDefault="008D0491" w:rsidP="008D0491">
            <w:pPr>
              <w:jc w:val="right"/>
              <w:rPr>
                <w:rFonts w:cs="Arial"/>
                <w:color w:val="000000"/>
                <w:sz w:val="20"/>
                <w:szCs w:val="20"/>
              </w:rPr>
            </w:pPr>
            <w:r w:rsidRPr="000A6309">
              <w:rPr>
                <w:rFonts w:cs="Arial"/>
                <w:color w:val="000000"/>
                <w:sz w:val="20"/>
                <w:szCs w:val="20"/>
              </w:rPr>
              <w:t>2.909.832</w:t>
            </w:r>
          </w:p>
        </w:tc>
      </w:tr>
      <w:tr w:rsidR="008D0491" w:rsidRPr="000A6309" w14:paraId="446A66A1" w14:textId="77777777" w:rsidTr="000A6309">
        <w:trPr>
          <w:trHeight w:val="340"/>
        </w:trPr>
        <w:tc>
          <w:tcPr>
            <w:tcW w:w="2046" w:type="pct"/>
            <w:tcBorders>
              <w:top w:val="nil"/>
              <w:left w:val="nil"/>
              <w:bottom w:val="nil"/>
              <w:right w:val="nil"/>
            </w:tcBorders>
            <w:shd w:val="clear" w:color="auto" w:fill="auto"/>
            <w:noWrap/>
            <w:vAlign w:val="center"/>
            <w:hideMark/>
          </w:tcPr>
          <w:p w14:paraId="2E32ED4D" w14:textId="77777777" w:rsidR="008D0491" w:rsidRPr="000A6309" w:rsidRDefault="008D0491" w:rsidP="008D0491">
            <w:pPr>
              <w:jc w:val="left"/>
              <w:rPr>
                <w:rFonts w:cs="Arial"/>
                <w:color w:val="000000"/>
                <w:sz w:val="20"/>
                <w:szCs w:val="20"/>
              </w:rPr>
            </w:pPr>
            <w:r w:rsidRPr="000A6309">
              <w:rPr>
                <w:rFonts w:cs="Arial"/>
                <w:color w:val="000000"/>
                <w:sz w:val="20"/>
                <w:szCs w:val="20"/>
              </w:rPr>
              <w:t>Educação Especial</w:t>
            </w:r>
          </w:p>
        </w:tc>
        <w:tc>
          <w:tcPr>
            <w:tcW w:w="833" w:type="pct"/>
            <w:tcBorders>
              <w:top w:val="nil"/>
              <w:left w:val="single" w:sz="4" w:space="0" w:color="auto"/>
              <w:bottom w:val="nil"/>
              <w:right w:val="single" w:sz="4" w:space="0" w:color="auto"/>
            </w:tcBorders>
            <w:shd w:val="clear" w:color="auto" w:fill="auto"/>
            <w:noWrap/>
            <w:vAlign w:val="center"/>
            <w:hideMark/>
          </w:tcPr>
          <w:p w14:paraId="72C67E75" w14:textId="77777777" w:rsidR="008D0491" w:rsidRPr="000A6309" w:rsidRDefault="008D0491" w:rsidP="008D0491">
            <w:pPr>
              <w:jc w:val="right"/>
              <w:rPr>
                <w:rFonts w:cs="Arial"/>
                <w:color w:val="000000"/>
                <w:sz w:val="20"/>
                <w:szCs w:val="20"/>
              </w:rPr>
            </w:pPr>
            <w:r w:rsidRPr="000A6309">
              <w:rPr>
                <w:rFonts w:cs="Arial"/>
                <w:color w:val="000000"/>
                <w:sz w:val="20"/>
                <w:szCs w:val="20"/>
              </w:rPr>
              <w:t>2.644.813</w:t>
            </w:r>
          </w:p>
        </w:tc>
        <w:tc>
          <w:tcPr>
            <w:tcW w:w="473" w:type="pct"/>
            <w:tcBorders>
              <w:top w:val="nil"/>
              <w:left w:val="nil"/>
              <w:bottom w:val="nil"/>
              <w:right w:val="nil"/>
            </w:tcBorders>
            <w:shd w:val="clear" w:color="auto" w:fill="auto"/>
            <w:noWrap/>
            <w:vAlign w:val="center"/>
            <w:hideMark/>
          </w:tcPr>
          <w:p w14:paraId="43EE4664" w14:textId="77777777" w:rsidR="008D0491" w:rsidRPr="000A6309" w:rsidRDefault="008D0491" w:rsidP="008D0491">
            <w:pPr>
              <w:jc w:val="center"/>
              <w:rPr>
                <w:rFonts w:cs="Arial"/>
                <w:color w:val="000000"/>
                <w:sz w:val="20"/>
                <w:szCs w:val="20"/>
              </w:rPr>
            </w:pPr>
            <w:r w:rsidRPr="000A6309">
              <w:rPr>
                <w:rFonts w:cs="Arial"/>
                <w:color w:val="000000"/>
                <w:sz w:val="20"/>
                <w:szCs w:val="20"/>
              </w:rPr>
              <w:t>0,04</w:t>
            </w:r>
          </w:p>
        </w:tc>
        <w:tc>
          <w:tcPr>
            <w:tcW w:w="815" w:type="pct"/>
            <w:tcBorders>
              <w:top w:val="nil"/>
              <w:left w:val="single" w:sz="4" w:space="0" w:color="auto"/>
              <w:bottom w:val="nil"/>
              <w:right w:val="single" w:sz="4" w:space="0" w:color="auto"/>
            </w:tcBorders>
            <w:shd w:val="clear" w:color="auto" w:fill="auto"/>
            <w:noWrap/>
            <w:vAlign w:val="center"/>
            <w:hideMark/>
          </w:tcPr>
          <w:p w14:paraId="270F35C8" w14:textId="77777777" w:rsidR="008D0491" w:rsidRPr="000A6309" w:rsidRDefault="008D0491" w:rsidP="008D0491">
            <w:pPr>
              <w:jc w:val="right"/>
              <w:rPr>
                <w:rFonts w:cs="Arial"/>
                <w:color w:val="000000"/>
                <w:sz w:val="20"/>
                <w:szCs w:val="20"/>
              </w:rPr>
            </w:pPr>
            <w:r w:rsidRPr="000A6309">
              <w:rPr>
                <w:rFonts w:cs="Arial"/>
                <w:color w:val="000000"/>
                <w:sz w:val="20"/>
                <w:szCs w:val="20"/>
              </w:rPr>
              <w:t>2.644.813</w:t>
            </w:r>
          </w:p>
        </w:tc>
        <w:tc>
          <w:tcPr>
            <w:tcW w:w="832" w:type="pct"/>
            <w:tcBorders>
              <w:top w:val="nil"/>
              <w:left w:val="nil"/>
              <w:bottom w:val="nil"/>
              <w:right w:val="nil"/>
            </w:tcBorders>
            <w:shd w:val="clear" w:color="auto" w:fill="auto"/>
            <w:noWrap/>
            <w:vAlign w:val="center"/>
            <w:hideMark/>
          </w:tcPr>
          <w:p w14:paraId="0D8F1020" w14:textId="77777777" w:rsidR="008D0491" w:rsidRPr="000A6309" w:rsidRDefault="008D0491" w:rsidP="008D0491">
            <w:pPr>
              <w:jc w:val="right"/>
              <w:rPr>
                <w:rFonts w:cs="Arial"/>
                <w:color w:val="000000"/>
                <w:sz w:val="20"/>
                <w:szCs w:val="20"/>
              </w:rPr>
            </w:pPr>
            <w:r w:rsidRPr="000A6309">
              <w:rPr>
                <w:rFonts w:cs="Arial"/>
                <w:color w:val="000000"/>
                <w:sz w:val="20"/>
                <w:szCs w:val="20"/>
              </w:rPr>
              <w:t>2.644.813</w:t>
            </w:r>
          </w:p>
        </w:tc>
      </w:tr>
      <w:tr w:rsidR="008D0491" w:rsidRPr="000A6309" w14:paraId="026F924A" w14:textId="77777777" w:rsidTr="000A6309">
        <w:trPr>
          <w:trHeight w:val="340"/>
        </w:trPr>
        <w:tc>
          <w:tcPr>
            <w:tcW w:w="2046" w:type="pct"/>
            <w:tcBorders>
              <w:top w:val="single" w:sz="4" w:space="0" w:color="auto"/>
              <w:left w:val="nil"/>
              <w:bottom w:val="single" w:sz="4" w:space="0" w:color="auto"/>
              <w:right w:val="nil"/>
            </w:tcBorders>
            <w:shd w:val="clear" w:color="auto" w:fill="auto"/>
            <w:noWrap/>
            <w:vAlign w:val="center"/>
            <w:hideMark/>
          </w:tcPr>
          <w:p w14:paraId="40F00182" w14:textId="77777777" w:rsidR="008D0491" w:rsidRPr="000A6309" w:rsidRDefault="008D0491" w:rsidP="008D0491">
            <w:pPr>
              <w:jc w:val="center"/>
              <w:rPr>
                <w:rFonts w:cs="Arial"/>
                <w:b/>
                <w:bCs/>
                <w:color w:val="000000"/>
                <w:sz w:val="20"/>
                <w:szCs w:val="20"/>
              </w:rPr>
            </w:pPr>
            <w:r w:rsidRPr="000A6309">
              <w:rPr>
                <w:rFonts w:cs="Arial"/>
                <w:b/>
                <w:bCs/>
                <w:color w:val="000000"/>
                <w:sz w:val="20"/>
                <w:szCs w:val="20"/>
              </w:rPr>
              <w:t>Total</w:t>
            </w:r>
          </w:p>
        </w:tc>
        <w:tc>
          <w:tcPr>
            <w:tcW w:w="83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76BBF5" w14:textId="77777777" w:rsidR="008D0491" w:rsidRPr="000A6309" w:rsidRDefault="008D0491" w:rsidP="008D0491">
            <w:pPr>
              <w:jc w:val="right"/>
              <w:rPr>
                <w:rFonts w:cs="Arial"/>
                <w:b/>
                <w:bCs/>
                <w:color w:val="000000"/>
                <w:sz w:val="20"/>
                <w:szCs w:val="20"/>
              </w:rPr>
            </w:pPr>
            <w:r w:rsidRPr="000A6309">
              <w:rPr>
                <w:rFonts w:cs="Arial"/>
                <w:b/>
                <w:bCs/>
                <w:color w:val="000000"/>
                <w:sz w:val="20"/>
                <w:szCs w:val="20"/>
              </w:rPr>
              <w:t>6.409.857.358</w:t>
            </w:r>
          </w:p>
        </w:tc>
        <w:tc>
          <w:tcPr>
            <w:tcW w:w="473" w:type="pct"/>
            <w:tcBorders>
              <w:top w:val="single" w:sz="4" w:space="0" w:color="auto"/>
              <w:left w:val="nil"/>
              <w:bottom w:val="single" w:sz="4" w:space="0" w:color="auto"/>
              <w:right w:val="nil"/>
            </w:tcBorders>
            <w:shd w:val="clear" w:color="auto" w:fill="auto"/>
            <w:noWrap/>
            <w:vAlign w:val="center"/>
            <w:hideMark/>
          </w:tcPr>
          <w:p w14:paraId="301576C7" w14:textId="77777777" w:rsidR="008D0491" w:rsidRPr="000A6309" w:rsidRDefault="008D0491" w:rsidP="008D0491">
            <w:pPr>
              <w:jc w:val="center"/>
              <w:rPr>
                <w:rFonts w:cs="Arial"/>
                <w:b/>
                <w:bCs/>
                <w:color w:val="000000"/>
                <w:sz w:val="20"/>
                <w:szCs w:val="20"/>
              </w:rPr>
            </w:pPr>
            <w:r w:rsidRPr="000A6309">
              <w:rPr>
                <w:rFonts w:cs="Arial"/>
                <w:b/>
                <w:bCs/>
                <w:color w:val="000000"/>
                <w:sz w:val="20"/>
                <w:szCs w:val="20"/>
              </w:rPr>
              <w:t>100,00</w:t>
            </w:r>
          </w:p>
        </w:tc>
        <w:tc>
          <w:tcPr>
            <w:tcW w:w="81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7A82CA" w14:textId="77777777" w:rsidR="008D0491" w:rsidRPr="000A6309" w:rsidRDefault="008D0491" w:rsidP="008D0491">
            <w:pPr>
              <w:jc w:val="right"/>
              <w:rPr>
                <w:rFonts w:cs="Arial"/>
                <w:b/>
                <w:bCs/>
                <w:color w:val="000000"/>
                <w:sz w:val="20"/>
                <w:szCs w:val="20"/>
              </w:rPr>
            </w:pPr>
            <w:r w:rsidRPr="000A6309">
              <w:rPr>
                <w:rFonts w:cs="Arial"/>
                <w:b/>
                <w:bCs/>
                <w:color w:val="000000"/>
                <w:sz w:val="20"/>
                <w:szCs w:val="20"/>
              </w:rPr>
              <w:t>6.316.067.725</w:t>
            </w:r>
          </w:p>
        </w:tc>
        <w:tc>
          <w:tcPr>
            <w:tcW w:w="832" w:type="pct"/>
            <w:tcBorders>
              <w:top w:val="single" w:sz="4" w:space="0" w:color="auto"/>
              <w:left w:val="nil"/>
              <w:bottom w:val="single" w:sz="4" w:space="0" w:color="auto"/>
              <w:right w:val="nil"/>
            </w:tcBorders>
            <w:shd w:val="clear" w:color="auto" w:fill="auto"/>
            <w:noWrap/>
            <w:vAlign w:val="center"/>
            <w:hideMark/>
          </w:tcPr>
          <w:p w14:paraId="70F858B2" w14:textId="77777777" w:rsidR="008D0491" w:rsidRPr="000A6309" w:rsidRDefault="008D0491" w:rsidP="008D0491">
            <w:pPr>
              <w:jc w:val="right"/>
              <w:rPr>
                <w:rFonts w:cs="Arial"/>
                <w:b/>
                <w:bCs/>
                <w:color w:val="000000"/>
                <w:sz w:val="20"/>
                <w:szCs w:val="20"/>
              </w:rPr>
            </w:pPr>
            <w:r w:rsidRPr="000A6309">
              <w:rPr>
                <w:rFonts w:cs="Arial"/>
                <w:b/>
                <w:bCs/>
                <w:color w:val="000000"/>
                <w:sz w:val="20"/>
                <w:szCs w:val="20"/>
              </w:rPr>
              <w:t>6.306.750.783</w:t>
            </w:r>
          </w:p>
        </w:tc>
      </w:tr>
    </w:tbl>
    <w:p w14:paraId="0D4BCA79" w14:textId="77777777" w:rsidR="008D0491" w:rsidRPr="005633E5" w:rsidRDefault="008D0491" w:rsidP="008D0491">
      <w:pPr>
        <w:pStyle w:val="1-FONTE8ESQ"/>
      </w:pPr>
      <w:r w:rsidRPr="005633E5">
        <w:t xml:space="preserve">Fonte: </w:t>
      </w:r>
      <w:r w:rsidRPr="003A1527">
        <w:rPr>
          <w:i/>
        </w:rPr>
        <w:t>Business Objects</w:t>
      </w:r>
      <w:r w:rsidRPr="005633E5">
        <w:t xml:space="preserve"> e RREO 6º bimestre/2023</w:t>
      </w:r>
    </w:p>
    <w:p w14:paraId="2FA3302B" w14:textId="77777777" w:rsidR="008D0491" w:rsidRDefault="008D0491" w:rsidP="008D0491">
      <w:pPr>
        <w:pStyle w:val="1-REL11"/>
      </w:pPr>
      <w:r w:rsidRPr="007D2FF0">
        <w:t xml:space="preserve">A subfunção Educação Básica, responsável por 68,02% das despesas empenhadas na Função Educação em 2023, compreende </w:t>
      </w:r>
      <w:r>
        <w:t>valores</w:t>
      </w:r>
      <w:r w:rsidRPr="007D2FF0">
        <w:t xml:space="preserve"> destinad</w:t>
      </w:r>
      <w:r>
        <w:t>o</w:t>
      </w:r>
      <w:r w:rsidRPr="007D2FF0">
        <w:t xml:space="preserve">s </w:t>
      </w:r>
      <w:r>
        <w:t>a</w:t>
      </w:r>
      <w:r w:rsidRPr="007D2FF0">
        <w:t xml:space="preserve"> </w:t>
      </w:r>
      <w:r>
        <w:t>programas que contemplam, simultaneamente, mais de uma etapa da educação básica.</w:t>
      </w:r>
    </w:p>
    <w:p w14:paraId="227BB289" w14:textId="77777777" w:rsidR="008D0491" w:rsidRDefault="008D0491" w:rsidP="008D0491">
      <w:pPr>
        <w:pStyle w:val="1-REL11"/>
      </w:pPr>
      <w:r w:rsidRPr="00A6083A">
        <w:t>Esse mesmo montante de despesa executada na Função Educação, por programa de governo, está dividido conforme tabela abaixo:</w:t>
      </w:r>
    </w:p>
    <w:p w14:paraId="7E7D02F3" w14:textId="77777777" w:rsidR="008D0491" w:rsidRPr="00A6083A" w:rsidRDefault="008D0491" w:rsidP="00736A8C">
      <w:pPr>
        <w:pStyle w:val="0-TABELA"/>
        <w:numPr>
          <w:ilvl w:val="0"/>
          <w:numId w:val="53"/>
        </w:numPr>
        <w:tabs>
          <w:tab w:val="clear" w:pos="1560"/>
          <w:tab w:val="left" w:pos="1134"/>
        </w:tabs>
        <w:spacing w:before="0" w:after="0"/>
        <w:ind w:left="0" w:firstLine="0"/>
      </w:pPr>
      <w:bookmarkStart w:id="286" w:name="_Toc167871787"/>
      <w:r w:rsidRPr="00A6083A">
        <w:t>Despesa na Função Educação por Programa</w:t>
      </w:r>
      <w:bookmarkEnd w:id="286"/>
    </w:p>
    <w:p w14:paraId="1CE73049" w14:textId="77777777" w:rsidR="008D0491" w:rsidRPr="00A6083A" w:rsidRDefault="008D0491" w:rsidP="008D0491">
      <w:pPr>
        <w:pStyle w:val="0-EmR1"/>
        <w:rPr>
          <w:lang w:eastAsia="en-US"/>
        </w:rPr>
      </w:pPr>
      <w:r w:rsidRPr="00A6083A">
        <w:rPr>
          <w:lang w:eastAsia="en-US"/>
        </w:rPr>
        <w:t>R$ 1</w:t>
      </w:r>
    </w:p>
    <w:tbl>
      <w:tblPr>
        <w:tblW w:w="5000" w:type="pct"/>
        <w:tblLayout w:type="fixed"/>
        <w:tblCellMar>
          <w:left w:w="70" w:type="dxa"/>
          <w:right w:w="70" w:type="dxa"/>
        </w:tblCellMar>
        <w:tblLook w:val="04A0" w:firstRow="1" w:lastRow="0" w:firstColumn="1" w:lastColumn="0" w:noHBand="0" w:noVBand="1"/>
      </w:tblPr>
      <w:tblGrid>
        <w:gridCol w:w="3970"/>
        <w:gridCol w:w="1420"/>
        <w:gridCol w:w="847"/>
        <w:gridCol w:w="1560"/>
        <w:gridCol w:w="1556"/>
      </w:tblGrid>
      <w:tr w:rsidR="008D0491" w:rsidRPr="000A6309" w14:paraId="7066C559" w14:textId="77777777" w:rsidTr="00886404">
        <w:trPr>
          <w:trHeight w:val="340"/>
          <w:tblHeader/>
        </w:trPr>
        <w:tc>
          <w:tcPr>
            <w:tcW w:w="2122" w:type="pct"/>
            <w:tcBorders>
              <w:top w:val="single" w:sz="4" w:space="0" w:color="auto"/>
              <w:left w:val="nil"/>
              <w:bottom w:val="single" w:sz="4" w:space="0" w:color="auto"/>
              <w:right w:val="nil"/>
            </w:tcBorders>
            <w:shd w:val="clear" w:color="000000" w:fill="A1F2FD"/>
            <w:noWrap/>
            <w:tcMar>
              <w:top w:w="28" w:type="dxa"/>
              <w:bottom w:w="28" w:type="dxa"/>
            </w:tcMar>
            <w:vAlign w:val="center"/>
            <w:hideMark/>
          </w:tcPr>
          <w:p w14:paraId="6C341019" w14:textId="77777777" w:rsidR="008D0491" w:rsidRPr="000A6309" w:rsidRDefault="008D0491" w:rsidP="008D0491">
            <w:pPr>
              <w:jc w:val="center"/>
              <w:rPr>
                <w:rFonts w:cs="Arial"/>
                <w:b/>
                <w:bCs/>
                <w:color w:val="000000"/>
                <w:sz w:val="20"/>
                <w:szCs w:val="20"/>
              </w:rPr>
            </w:pPr>
            <w:r w:rsidRPr="000A6309">
              <w:rPr>
                <w:rFonts w:cs="Arial"/>
                <w:b/>
                <w:bCs/>
                <w:color w:val="000000"/>
                <w:sz w:val="20"/>
                <w:szCs w:val="20"/>
              </w:rPr>
              <w:t>Programa</w:t>
            </w:r>
          </w:p>
        </w:tc>
        <w:tc>
          <w:tcPr>
            <w:tcW w:w="759" w:type="pct"/>
            <w:tcBorders>
              <w:top w:val="single" w:sz="4" w:space="0" w:color="auto"/>
              <w:left w:val="single" w:sz="4" w:space="0" w:color="auto"/>
              <w:bottom w:val="single" w:sz="4" w:space="0" w:color="auto"/>
              <w:right w:val="single" w:sz="4" w:space="0" w:color="auto"/>
            </w:tcBorders>
            <w:shd w:val="clear" w:color="000000" w:fill="A1F2FD"/>
            <w:noWrap/>
            <w:tcMar>
              <w:top w:w="28" w:type="dxa"/>
              <w:bottom w:w="28" w:type="dxa"/>
            </w:tcMar>
            <w:vAlign w:val="center"/>
            <w:hideMark/>
          </w:tcPr>
          <w:p w14:paraId="245A7609" w14:textId="77777777" w:rsidR="008D0491" w:rsidRPr="000A6309" w:rsidRDefault="008D0491" w:rsidP="008D0491">
            <w:pPr>
              <w:jc w:val="center"/>
              <w:rPr>
                <w:rFonts w:cs="Arial"/>
                <w:b/>
                <w:bCs/>
                <w:color w:val="000000"/>
                <w:sz w:val="20"/>
                <w:szCs w:val="20"/>
              </w:rPr>
            </w:pPr>
            <w:r w:rsidRPr="000A6309">
              <w:rPr>
                <w:rFonts w:cs="Arial"/>
                <w:b/>
                <w:bCs/>
                <w:color w:val="000000"/>
                <w:sz w:val="20"/>
                <w:szCs w:val="20"/>
              </w:rPr>
              <w:t>Empenhado</w:t>
            </w:r>
          </w:p>
        </w:tc>
        <w:tc>
          <w:tcPr>
            <w:tcW w:w="453" w:type="pct"/>
            <w:tcBorders>
              <w:top w:val="single" w:sz="4" w:space="0" w:color="auto"/>
              <w:left w:val="nil"/>
              <w:bottom w:val="single" w:sz="4" w:space="0" w:color="auto"/>
              <w:right w:val="nil"/>
            </w:tcBorders>
            <w:shd w:val="clear" w:color="000000" w:fill="A1F2FD"/>
            <w:noWrap/>
            <w:tcMar>
              <w:top w:w="28" w:type="dxa"/>
              <w:bottom w:w="28" w:type="dxa"/>
            </w:tcMar>
            <w:vAlign w:val="center"/>
            <w:hideMark/>
          </w:tcPr>
          <w:p w14:paraId="3D6F00ED" w14:textId="77777777" w:rsidR="008D0491" w:rsidRPr="000A6309" w:rsidRDefault="008D0491" w:rsidP="008D0491">
            <w:pPr>
              <w:jc w:val="center"/>
              <w:rPr>
                <w:rFonts w:cs="Arial"/>
                <w:b/>
                <w:bCs/>
                <w:color w:val="000000"/>
                <w:sz w:val="20"/>
                <w:szCs w:val="20"/>
              </w:rPr>
            </w:pPr>
            <w:r w:rsidRPr="000A6309">
              <w:rPr>
                <w:rFonts w:cs="Arial"/>
                <w:b/>
                <w:bCs/>
                <w:color w:val="000000"/>
                <w:sz w:val="20"/>
                <w:szCs w:val="20"/>
              </w:rPr>
              <w:t>AV %</w:t>
            </w:r>
          </w:p>
        </w:tc>
        <w:tc>
          <w:tcPr>
            <w:tcW w:w="834" w:type="pct"/>
            <w:tcBorders>
              <w:top w:val="single" w:sz="4" w:space="0" w:color="auto"/>
              <w:left w:val="single" w:sz="4" w:space="0" w:color="auto"/>
              <w:bottom w:val="single" w:sz="4" w:space="0" w:color="auto"/>
              <w:right w:val="single" w:sz="4" w:space="0" w:color="auto"/>
            </w:tcBorders>
            <w:shd w:val="clear" w:color="000000" w:fill="A1F2FD"/>
            <w:noWrap/>
            <w:tcMar>
              <w:top w:w="28" w:type="dxa"/>
              <w:bottom w:w="28" w:type="dxa"/>
            </w:tcMar>
            <w:vAlign w:val="center"/>
            <w:hideMark/>
          </w:tcPr>
          <w:p w14:paraId="66834CC7" w14:textId="77777777" w:rsidR="008D0491" w:rsidRPr="000A6309" w:rsidRDefault="008D0491" w:rsidP="008D0491">
            <w:pPr>
              <w:jc w:val="center"/>
              <w:rPr>
                <w:rFonts w:cs="Arial"/>
                <w:b/>
                <w:bCs/>
                <w:color w:val="000000"/>
                <w:sz w:val="20"/>
                <w:szCs w:val="20"/>
              </w:rPr>
            </w:pPr>
            <w:r w:rsidRPr="000A6309">
              <w:rPr>
                <w:rFonts w:cs="Arial"/>
                <w:b/>
                <w:bCs/>
                <w:color w:val="000000"/>
                <w:sz w:val="20"/>
                <w:szCs w:val="20"/>
              </w:rPr>
              <w:t>Liquidado</w:t>
            </w:r>
          </w:p>
        </w:tc>
        <w:tc>
          <w:tcPr>
            <w:tcW w:w="832" w:type="pct"/>
            <w:tcBorders>
              <w:top w:val="single" w:sz="4" w:space="0" w:color="auto"/>
              <w:left w:val="nil"/>
              <w:bottom w:val="single" w:sz="4" w:space="0" w:color="auto"/>
              <w:right w:val="nil"/>
            </w:tcBorders>
            <w:shd w:val="clear" w:color="000000" w:fill="A1F2FD"/>
            <w:noWrap/>
            <w:tcMar>
              <w:top w:w="28" w:type="dxa"/>
              <w:bottom w:w="28" w:type="dxa"/>
            </w:tcMar>
            <w:vAlign w:val="center"/>
            <w:hideMark/>
          </w:tcPr>
          <w:p w14:paraId="56254F79" w14:textId="77777777" w:rsidR="008D0491" w:rsidRPr="000A6309" w:rsidRDefault="008D0491" w:rsidP="008D0491">
            <w:pPr>
              <w:jc w:val="center"/>
              <w:rPr>
                <w:rFonts w:cs="Arial"/>
                <w:b/>
                <w:bCs/>
                <w:color w:val="000000"/>
                <w:sz w:val="20"/>
                <w:szCs w:val="20"/>
              </w:rPr>
            </w:pPr>
            <w:r w:rsidRPr="000A6309">
              <w:rPr>
                <w:rFonts w:cs="Arial"/>
                <w:b/>
                <w:bCs/>
                <w:color w:val="000000"/>
                <w:sz w:val="20"/>
                <w:szCs w:val="20"/>
              </w:rPr>
              <w:t>Pago</w:t>
            </w:r>
          </w:p>
        </w:tc>
      </w:tr>
      <w:tr w:rsidR="008D0491" w:rsidRPr="000A6309" w14:paraId="0E6F73D0" w14:textId="77777777" w:rsidTr="00886404">
        <w:trPr>
          <w:trHeight w:val="340"/>
        </w:trPr>
        <w:tc>
          <w:tcPr>
            <w:tcW w:w="2122" w:type="pct"/>
            <w:tcBorders>
              <w:top w:val="nil"/>
              <w:left w:val="nil"/>
              <w:bottom w:val="nil"/>
              <w:right w:val="nil"/>
            </w:tcBorders>
            <w:shd w:val="clear" w:color="auto" w:fill="auto"/>
            <w:noWrap/>
            <w:tcMar>
              <w:top w:w="28" w:type="dxa"/>
              <w:bottom w:w="28" w:type="dxa"/>
            </w:tcMar>
            <w:vAlign w:val="center"/>
            <w:hideMark/>
          </w:tcPr>
          <w:p w14:paraId="31ADD2DB" w14:textId="77777777" w:rsidR="008D0491" w:rsidRPr="000A6309" w:rsidRDefault="008D0491" w:rsidP="008D0491">
            <w:pPr>
              <w:jc w:val="left"/>
              <w:rPr>
                <w:rFonts w:cs="Arial"/>
                <w:color w:val="000000"/>
                <w:sz w:val="20"/>
                <w:szCs w:val="20"/>
              </w:rPr>
            </w:pPr>
            <w:r w:rsidRPr="000A6309">
              <w:rPr>
                <w:rFonts w:cs="Arial"/>
                <w:color w:val="000000"/>
                <w:sz w:val="20"/>
                <w:szCs w:val="20"/>
              </w:rPr>
              <w:t>Encargos da Folha de Pagamento dos Servidores Públicos [4100]</w:t>
            </w:r>
          </w:p>
        </w:tc>
        <w:tc>
          <w:tcPr>
            <w:tcW w:w="759"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747EE835" w14:textId="77777777" w:rsidR="008D0491" w:rsidRPr="000A6309" w:rsidRDefault="008D0491" w:rsidP="008D0491">
            <w:pPr>
              <w:jc w:val="right"/>
              <w:rPr>
                <w:rFonts w:cs="Arial"/>
                <w:color w:val="000000"/>
                <w:sz w:val="20"/>
                <w:szCs w:val="20"/>
              </w:rPr>
            </w:pPr>
            <w:r w:rsidRPr="000A6309">
              <w:rPr>
                <w:sz w:val="20"/>
                <w:szCs w:val="20"/>
              </w:rPr>
              <w:t>4.393.382.707</w:t>
            </w:r>
          </w:p>
        </w:tc>
        <w:tc>
          <w:tcPr>
            <w:tcW w:w="453" w:type="pct"/>
            <w:tcBorders>
              <w:top w:val="nil"/>
              <w:left w:val="nil"/>
              <w:bottom w:val="nil"/>
              <w:right w:val="nil"/>
            </w:tcBorders>
            <w:shd w:val="clear" w:color="auto" w:fill="auto"/>
            <w:noWrap/>
            <w:tcMar>
              <w:top w:w="28" w:type="dxa"/>
              <w:bottom w:w="28" w:type="dxa"/>
            </w:tcMar>
            <w:vAlign w:val="center"/>
            <w:hideMark/>
          </w:tcPr>
          <w:p w14:paraId="439F327D" w14:textId="77777777" w:rsidR="008D0491" w:rsidRPr="000A6309" w:rsidRDefault="008D0491" w:rsidP="008D0491">
            <w:pPr>
              <w:jc w:val="center"/>
              <w:rPr>
                <w:rFonts w:cs="Arial"/>
                <w:color w:val="000000"/>
                <w:sz w:val="20"/>
                <w:szCs w:val="20"/>
              </w:rPr>
            </w:pPr>
            <w:r w:rsidRPr="000A6309">
              <w:rPr>
                <w:sz w:val="20"/>
                <w:szCs w:val="20"/>
              </w:rPr>
              <w:t>68,54</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4D60BB5A" w14:textId="77777777" w:rsidR="008D0491" w:rsidRPr="000A6309" w:rsidRDefault="008D0491" w:rsidP="008D0491">
            <w:pPr>
              <w:jc w:val="right"/>
              <w:rPr>
                <w:rFonts w:cs="Arial"/>
                <w:color w:val="000000"/>
                <w:sz w:val="20"/>
                <w:szCs w:val="20"/>
              </w:rPr>
            </w:pPr>
            <w:r w:rsidRPr="000A6309">
              <w:rPr>
                <w:sz w:val="20"/>
                <w:szCs w:val="20"/>
              </w:rPr>
              <w:t>4.393.382.707</w:t>
            </w:r>
          </w:p>
        </w:tc>
        <w:tc>
          <w:tcPr>
            <w:tcW w:w="832" w:type="pct"/>
            <w:tcBorders>
              <w:top w:val="nil"/>
              <w:left w:val="nil"/>
              <w:bottom w:val="nil"/>
              <w:right w:val="nil"/>
            </w:tcBorders>
            <w:shd w:val="clear" w:color="auto" w:fill="auto"/>
            <w:noWrap/>
            <w:tcMar>
              <w:top w:w="28" w:type="dxa"/>
              <w:bottom w:w="28" w:type="dxa"/>
            </w:tcMar>
            <w:vAlign w:val="center"/>
            <w:hideMark/>
          </w:tcPr>
          <w:p w14:paraId="130052A6" w14:textId="77777777" w:rsidR="008D0491" w:rsidRPr="000A6309" w:rsidRDefault="008D0491" w:rsidP="008D0491">
            <w:pPr>
              <w:jc w:val="right"/>
              <w:rPr>
                <w:rFonts w:cs="Arial"/>
                <w:color w:val="000000"/>
                <w:sz w:val="20"/>
                <w:szCs w:val="20"/>
              </w:rPr>
            </w:pPr>
            <w:r w:rsidRPr="000A6309">
              <w:rPr>
                <w:sz w:val="20"/>
                <w:szCs w:val="20"/>
              </w:rPr>
              <w:t>4.392.985.236</w:t>
            </w:r>
          </w:p>
        </w:tc>
      </w:tr>
      <w:tr w:rsidR="008D0491" w:rsidRPr="000A6309" w14:paraId="03A25E31" w14:textId="77777777" w:rsidTr="00886404">
        <w:trPr>
          <w:trHeight w:val="340"/>
        </w:trPr>
        <w:tc>
          <w:tcPr>
            <w:tcW w:w="2122" w:type="pct"/>
            <w:tcBorders>
              <w:top w:val="nil"/>
              <w:left w:val="nil"/>
              <w:bottom w:val="nil"/>
              <w:right w:val="nil"/>
            </w:tcBorders>
            <w:shd w:val="clear" w:color="auto" w:fill="auto"/>
            <w:noWrap/>
            <w:tcMar>
              <w:top w:w="28" w:type="dxa"/>
              <w:bottom w:w="28" w:type="dxa"/>
            </w:tcMar>
            <w:vAlign w:val="center"/>
            <w:hideMark/>
          </w:tcPr>
          <w:p w14:paraId="64BAAD4E" w14:textId="77777777" w:rsidR="008D0491" w:rsidRPr="000A6309" w:rsidRDefault="008D0491" w:rsidP="008D0491">
            <w:pPr>
              <w:jc w:val="left"/>
              <w:rPr>
                <w:rFonts w:cs="Arial"/>
                <w:color w:val="000000"/>
                <w:sz w:val="20"/>
                <w:szCs w:val="20"/>
              </w:rPr>
            </w:pPr>
            <w:r w:rsidRPr="000A6309">
              <w:rPr>
                <w:rFonts w:cs="Arial"/>
                <w:color w:val="000000"/>
                <w:sz w:val="20"/>
                <w:szCs w:val="20"/>
              </w:rPr>
              <w:t>Educação que Queremos [1008]</w:t>
            </w:r>
          </w:p>
        </w:tc>
        <w:tc>
          <w:tcPr>
            <w:tcW w:w="759"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689772C2" w14:textId="77777777" w:rsidR="008D0491" w:rsidRPr="000A6309" w:rsidRDefault="008D0491" w:rsidP="008D0491">
            <w:pPr>
              <w:jc w:val="right"/>
              <w:rPr>
                <w:rFonts w:cs="Arial"/>
                <w:color w:val="000000"/>
                <w:sz w:val="20"/>
                <w:szCs w:val="20"/>
              </w:rPr>
            </w:pPr>
            <w:r w:rsidRPr="000A6309">
              <w:rPr>
                <w:sz w:val="20"/>
                <w:szCs w:val="20"/>
              </w:rPr>
              <w:t>1.749.880.916</w:t>
            </w:r>
          </w:p>
        </w:tc>
        <w:tc>
          <w:tcPr>
            <w:tcW w:w="453" w:type="pct"/>
            <w:tcBorders>
              <w:top w:val="nil"/>
              <w:left w:val="nil"/>
              <w:bottom w:val="nil"/>
              <w:right w:val="nil"/>
            </w:tcBorders>
            <w:shd w:val="clear" w:color="auto" w:fill="auto"/>
            <w:noWrap/>
            <w:tcMar>
              <w:top w:w="28" w:type="dxa"/>
              <w:bottom w:w="28" w:type="dxa"/>
            </w:tcMar>
            <w:vAlign w:val="center"/>
            <w:hideMark/>
          </w:tcPr>
          <w:p w14:paraId="151A6C1F" w14:textId="77777777" w:rsidR="008D0491" w:rsidRPr="000A6309" w:rsidRDefault="008D0491" w:rsidP="008D0491">
            <w:pPr>
              <w:jc w:val="center"/>
              <w:rPr>
                <w:rFonts w:cs="Arial"/>
                <w:color w:val="000000"/>
                <w:sz w:val="20"/>
                <w:szCs w:val="20"/>
              </w:rPr>
            </w:pPr>
            <w:r w:rsidRPr="000A6309">
              <w:rPr>
                <w:sz w:val="20"/>
                <w:szCs w:val="20"/>
              </w:rPr>
              <w:t>27,30</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31B2AD77" w14:textId="77777777" w:rsidR="008D0491" w:rsidRPr="000A6309" w:rsidRDefault="008D0491" w:rsidP="008D0491">
            <w:pPr>
              <w:jc w:val="right"/>
              <w:rPr>
                <w:rFonts w:cs="Arial"/>
                <w:color w:val="000000"/>
                <w:sz w:val="20"/>
                <w:szCs w:val="20"/>
              </w:rPr>
            </w:pPr>
            <w:r w:rsidRPr="000A6309">
              <w:rPr>
                <w:sz w:val="20"/>
                <w:szCs w:val="20"/>
              </w:rPr>
              <w:t>1.671.985.237</w:t>
            </w:r>
          </w:p>
        </w:tc>
        <w:tc>
          <w:tcPr>
            <w:tcW w:w="832" w:type="pct"/>
            <w:tcBorders>
              <w:top w:val="nil"/>
              <w:left w:val="nil"/>
              <w:bottom w:val="nil"/>
              <w:right w:val="nil"/>
            </w:tcBorders>
            <w:shd w:val="clear" w:color="auto" w:fill="auto"/>
            <w:noWrap/>
            <w:tcMar>
              <w:top w:w="28" w:type="dxa"/>
              <w:bottom w:w="28" w:type="dxa"/>
            </w:tcMar>
            <w:vAlign w:val="center"/>
            <w:hideMark/>
          </w:tcPr>
          <w:p w14:paraId="2EB57DA8" w14:textId="77777777" w:rsidR="008D0491" w:rsidRPr="000A6309" w:rsidRDefault="008D0491" w:rsidP="008D0491">
            <w:pPr>
              <w:jc w:val="right"/>
              <w:rPr>
                <w:rFonts w:cs="Arial"/>
                <w:color w:val="000000"/>
                <w:sz w:val="20"/>
                <w:szCs w:val="20"/>
              </w:rPr>
            </w:pPr>
            <w:r w:rsidRPr="000A6309">
              <w:rPr>
                <w:sz w:val="20"/>
                <w:szCs w:val="20"/>
              </w:rPr>
              <w:t>1.663.551.802</w:t>
            </w:r>
          </w:p>
        </w:tc>
      </w:tr>
      <w:tr w:rsidR="008D0491" w:rsidRPr="000A6309" w14:paraId="5D51E071" w14:textId="77777777" w:rsidTr="00886404">
        <w:trPr>
          <w:trHeight w:val="340"/>
        </w:trPr>
        <w:tc>
          <w:tcPr>
            <w:tcW w:w="2122" w:type="pct"/>
            <w:tcBorders>
              <w:top w:val="nil"/>
              <w:left w:val="nil"/>
              <w:bottom w:val="nil"/>
              <w:right w:val="nil"/>
            </w:tcBorders>
            <w:shd w:val="clear" w:color="auto" w:fill="auto"/>
            <w:noWrap/>
            <w:tcMar>
              <w:top w:w="28" w:type="dxa"/>
              <w:bottom w:w="28" w:type="dxa"/>
            </w:tcMar>
            <w:vAlign w:val="center"/>
            <w:hideMark/>
          </w:tcPr>
          <w:p w14:paraId="07042E35" w14:textId="77777777" w:rsidR="008D0491" w:rsidRPr="000A6309" w:rsidRDefault="008D0491" w:rsidP="008D0491">
            <w:pPr>
              <w:jc w:val="left"/>
              <w:rPr>
                <w:rFonts w:cs="Arial"/>
                <w:color w:val="000000"/>
                <w:sz w:val="20"/>
                <w:szCs w:val="20"/>
              </w:rPr>
            </w:pPr>
            <w:r w:rsidRPr="000A6309">
              <w:rPr>
                <w:rFonts w:cs="Arial"/>
                <w:color w:val="000000"/>
                <w:sz w:val="20"/>
                <w:szCs w:val="20"/>
              </w:rPr>
              <w:t>Profissionais Transformando Goiás [1038]</w:t>
            </w:r>
          </w:p>
        </w:tc>
        <w:tc>
          <w:tcPr>
            <w:tcW w:w="759"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466D67C4" w14:textId="77777777" w:rsidR="008D0491" w:rsidRPr="000A6309" w:rsidRDefault="008D0491" w:rsidP="008D0491">
            <w:pPr>
              <w:jc w:val="right"/>
              <w:rPr>
                <w:rFonts w:cs="Arial"/>
                <w:color w:val="000000"/>
                <w:sz w:val="20"/>
                <w:szCs w:val="20"/>
              </w:rPr>
            </w:pPr>
            <w:r w:rsidRPr="000A6309">
              <w:rPr>
                <w:sz w:val="20"/>
                <w:szCs w:val="20"/>
              </w:rPr>
              <w:t>112.143.942</w:t>
            </w:r>
          </w:p>
        </w:tc>
        <w:tc>
          <w:tcPr>
            <w:tcW w:w="453" w:type="pct"/>
            <w:tcBorders>
              <w:top w:val="nil"/>
              <w:left w:val="nil"/>
              <w:bottom w:val="nil"/>
              <w:right w:val="nil"/>
            </w:tcBorders>
            <w:shd w:val="clear" w:color="auto" w:fill="auto"/>
            <w:noWrap/>
            <w:tcMar>
              <w:top w:w="28" w:type="dxa"/>
              <w:bottom w:w="28" w:type="dxa"/>
            </w:tcMar>
            <w:vAlign w:val="center"/>
            <w:hideMark/>
          </w:tcPr>
          <w:p w14:paraId="6E32B31A" w14:textId="77777777" w:rsidR="008D0491" w:rsidRPr="000A6309" w:rsidRDefault="008D0491" w:rsidP="008D0491">
            <w:pPr>
              <w:jc w:val="center"/>
              <w:rPr>
                <w:rFonts w:cs="Arial"/>
                <w:color w:val="000000"/>
                <w:sz w:val="20"/>
                <w:szCs w:val="20"/>
              </w:rPr>
            </w:pPr>
            <w:r w:rsidRPr="000A6309">
              <w:rPr>
                <w:sz w:val="20"/>
                <w:szCs w:val="20"/>
              </w:rPr>
              <w:t>1,75</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2A0DD1AD" w14:textId="77777777" w:rsidR="008D0491" w:rsidRPr="000A6309" w:rsidRDefault="008D0491" w:rsidP="008D0491">
            <w:pPr>
              <w:jc w:val="right"/>
              <w:rPr>
                <w:rFonts w:cs="Arial"/>
                <w:color w:val="000000"/>
                <w:sz w:val="20"/>
                <w:szCs w:val="20"/>
              </w:rPr>
            </w:pPr>
            <w:r w:rsidRPr="000A6309">
              <w:rPr>
                <w:sz w:val="20"/>
                <w:szCs w:val="20"/>
              </w:rPr>
              <w:t>103.862.074</w:t>
            </w:r>
          </w:p>
        </w:tc>
        <w:tc>
          <w:tcPr>
            <w:tcW w:w="832" w:type="pct"/>
            <w:tcBorders>
              <w:top w:val="nil"/>
              <w:left w:val="nil"/>
              <w:bottom w:val="nil"/>
              <w:right w:val="nil"/>
            </w:tcBorders>
            <w:shd w:val="clear" w:color="auto" w:fill="auto"/>
            <w:noWrap/>
            <w:tcMar>
              <w:top w:w="28" w:type="dxa"/>
              <w:bottom w:w="28" w:type="dxa"/>
            </w:tcMar>
            <w:vAlign w:val="center"/>
            <w:hideMark/>
          </w:tcPr>
          <w:p w14:paraId="6F319C9B" w14:textId="77777777" w:rsidR="008D0491" w:rsidRPr="000A6309" w:rsidRDefault="008D0491" w:rsidP="008D0491">
            <w:pPr>
              <w:jc w:val="right"/>
              <w:rPr>
                <w:rFonts w:cs="Arial"/>
                <w:color w:val="000000"/>
                <w:sz w:val="20"/>
                <w:szCs w:val="20"/>
              </w:rPr>
            </w:pPr>
            <w:r w:rsidRPr="000A6309">
              <w:rPr>
                <w:sz w:val="20"/>
                <w:szCs w:val="20"/>
              </w:rPr>
              <w:t>103.742.162</w:t>
            </w:r>
          </w:p>
        </w:tc>
      </w:tr>
      <w:tr w:rsidR="008D0491" w:rsidRPr="000A6309" w14:paraId="1967B458" w14:textId="77777777" w:rsidTr="00886404">
        <w:trPr>
          <w:trHeight w:val="340"/>
        </w:trPr>
        <w:tc>
          <w:tcPr>
            <w:tcW w:w="2122" w:type="pct"/>
            <w:tcBorders>
              <w:top w:val="nil"/>
              <w:left w:val="nil"/>
              <w:bottom w:val="nil"/>
              <w:right w:val="nil"/>
            </w:tcBorders>
            <w:shd w:val="clear" w:color="auto" w:fill="auto"/>
            <w:noWrap/>
            <w:tcMar>
              <w:top w:w="28" w:type="dxa"/>
              <w:bottom w:w="28" w:type="dxa"/>
            </w:tcMar>
            <w:vAlign w:val="center"/>
            <w:hideMark/>
          </w:tcPr>
          <w:p w14:paraId="291C2BE3" w14:textId="77777777" w:rsidR="008D0491" w:rsidRPr="000A6309" w:rsidRDefault="008D0491" w:rsidP="008D0491">
            <w:pPr>
              <w:jc w:val="left"/>
              <w:rPr>
                <w:rFonts w:cs="Arial"/>
                <w:color w:val="000000"/>
                <w:sz w:val="20"/>
                <w:szCs w:val="20"/>
              </w:rPr>
            </w:pPr>
            <w:r w:rsidRPr="000A6309">
              <w:rPr>
                <w:rFonts w:cs="Arial"/>
                <w:color w:val="000000"/>
                <w:sz w:val="20"/>
                <w:szCs w:val="20"/>
              </w:rPr>
              <w:t>Gestão e Manutenção [4200]</w:t>
            </w:r>
          </w:p>
        </w:tc>
        <w:tc>
          <w:tcPr>
            <w:tcW w:w="759"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38CC7F54" w14:textId="77777777" w:rsidR="008D0491" w:rsidRPr="000A6309" w:rsidRDefault="008D0491" w:rsidP="008D0491">
            <w:pPr>
              <w:jc w:val="right"/>
              <w:rPr>
                <w:rFonts w:cs="Arial"/>
                <w:color w:val="000000"/>
                <w:sz w:val="20"/>
                <w:szCs w:val="20"/>
              </w:rPr>
            </w:pPr>
            <w:r w:rsidRPr="000A6309">
              <w:rPr>
                <w:sz w:val="20"/>
                <w:szCs w:val="20"/>
              </w:rPr>
              <w:t>97.089.270</w:t>
            </w:r>
          </w:p>
        </w:tc>
        <w:tc>
          <w:tcPr>
            <w:tcW w:w="453" w:type="pct"/>
            <w:tcBorders>
              <w:top w:val="nil"/>
              <w:left w:val="nil"/>
              <w:bottom w:val="nil"/>
              <w:right w:val="nil"/>
            </w:tcBorders>
            <w:shd w:val="clear" w:color="auto" w:fill="auto"/>
            <w:noWrap/>
            <w:tcMar>
              <w:top w:w="28" w:type="dxa"/>
              <w:bottom w:w="28" w:type="dxa"/>
            </w:tcMar>
            <w:vAlign w:val="center"/>
            <w:hideMark/>
          </w:tcPr>
          <w:p w14:paraId="183D8785" w14:textId="77777777" w:rsidR="008D0491" w:rsidRPr="000A6309" w:rsidRDefault="008D0491" w:rsidP="008D0491">
            <w:pPr>
              <w:jc w:val="center"/>
              <w:rPr>
                <w:rFonts w:cs="Arial"/>
                <w:color w:val="000000"/>
                <w:sz w:val="20"/>
                <w:szCs w:val="20"/>
              </w:rPr>
            </w:pPr>
            <w:r w:rsidRPr="000A6309">
              <w:rPr>
                <w:sz w:val="20"/>
                <w:szCs w:val="20"/>
              </w:rPr>
              <w:t>1,51</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0B84B02B" w14:textId="77777777" w:rsidR="008D0491" w:rsidRPr="000A6309" w:rsidRDefault="008D0491" w:rsidP="008D0491">
            <w:pPr>
              <w:jc w:val="right"/>
              <w:rPr>
                <w:rFonts w:cs="Arial"/>
                <w:color w:val="000000"/>
                <w:sz w:val="20"/>
                <w:szCs w:val="20"/>
              </w:rPr>
            </w:pPr>
            <w:r w:rsidRPr="000A6309">
              <w:rPr>
                <w:sz w:val="20"/>
                <w:szCs w:val="20"/>
              </w:rPr>
              <w:t>90.117.302</w:t>
            </w:r>
          </w:p>
        </w:tc>
        <w:tc>
          <w:tcPr>
            <w:tcW w:w="832" w:type="pct"/>
            <w:tcBorders>
              <w:top w:val="nil"/>
              <w:left w:val="nil"/>
              <w:bottom w:val="nil"/>
              <w:right w:val="nil"/>
            </w:tcBorders>
            <w:shd w:val="clear" w:color="auto" w:fill="auto"/>
            <w:noWrap/>
            <w:tcMar>
              <w:top w:w="28" w:type="dxa"/>
              <w:bottom w:w="28" w:type="dxa"/>
            </w:tcMar>
            <w:vAlign w:val="center"/>
            <w:hideMark/>
          </w:tcPr>
          <w:p w14:paraId="7C671398" w14:textId="77777777" w:rsidR="008D0491" w:rsidRPr="000A6309" w:rsidRDefault="008D0491" w:rsidP="008D0491">
            <w:pPr>
              <w:jc w:val="right"/>
              <w:rPr>
                <w:rFonts w:cs="Arial"/>
                <w:color w:val="000000"/>
                <w:sz w:val="20"/>
                <w:szCs w:val="20"/>
              </w:rPr>
            </w:pPr>
            <w:r w:rsidRPr="000A6309">
              <w:rPr>
                <w:sz w:val="20"/>
                <w:szCs w:val="20"/>
              </w:rPr>
              <w:t>89.751.179</w:t>
            </w:r>
          </w:p>
        </w:tc>
      </w:tr>
      <w:tr w:rsidR="008D0491" w:rsidRPr="000A6309" w14:paraId="1EFAA2CF" w14:textId="77777777" w:rsidTr="00886404">
        <w:trPr>
          <w:trHeight w:val="340"/>
        </w:trPr>
        <w:tc>
          <w:tcPr>
            <w:tcW w:w="2122" w:type="pct"/>
            <w:tcBorders>
              <w:top w:val="nil"/>
              <w:left w:val="nil"/>
              <w:bottom w:val="nil"/>
              <w:right w:val="nil"/>
            </w:tcBorders>
            <w:shd w:val="clear" w:color="auto" w:fill="auto"/>
            <w:noWrap/>
            <w:tcMar>
              <w:top w:w="28" w:type="dxa"/>
              <w:bottom w:w="28" w:type="dxa"/>
            </w:tcMar>
            <w:vAlign w:val="center"/>
            <w:hideMark/>
          </w:tcPr>
          <w:p w14:paraId="3A7E4CD7" w14:textId="77777777" w:rsidR="008D0491" w:rsidRPr="000A6309" w:rsidRDefault="008D0491" w:rsidP="008D0491">
            <w:pPr>
              <w:jc w:val="left"/>
              <w:rPr>
                <w:rFonts w:cs="Arial"/>
                <w:color w:val="000000"/>
                <w:sz w:val="20"/>
                <w:szCs w:val="20"/>
              </w:rPr>
            </w:pPr>
            <w:r w:rsidRPr="000A6309">
              <w:rPr>
                <w:rFonts w:cs="Arial"/>
                <w:color w:val="000000"/>
                <w:sz w:val="20"/>
                <w:szCs w:val="20"/>
              </w:rPr>
              <w:t>Goiás Empreendedor [1015]</w:t>
            </w:r>
          </w:p>
        </w:tc>
        <w:tc>
          <w:tcPr>
            <w:tcW w:w="759"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1A56A8C7" w14:textId="77777777" w:rsidR="008D0491" w:rsidRPr="000A6309" w:rsidRDefault="008D0491" w:rsidP="008D0491">
            <w:pPr>
              <w:jc w:val="right"/>
              <w:rPr>
                <w:rFonts w:cs="Arial"/>
                <w:color w:val="000000"/>
                <w:sz w:val="20"/>
                <w:szCs w:val="20"/>
              </w:rPr>
            </w:pPr>
            <w:r w:rsidRPr="000A6309">
              <w:rPr>
                <w:sz w:val="20"/>
                <w:szCs w:val="20"/>
              </w:rPr>
              <w:t>54.282.683</w:t>
            </w:r>
          </w:p>
        </w:tc>
        <w:tc>
          <w:tcPr>
            <w:tcW w:w="453" w:type="pct"/>
            <w:tcBorders>
              <w:top w:val="nil"/>
              <w:left w:val="nil"/>
              <w:bottom w:val="nil"/>
              <w:right w:val="nil"/>
            </w:tcBorders>
            <w:shd w:val="clear" w:color="auto" w:fill="auto"/>
            <w:noWrap/>
            <w:tcMar>
              <w:top w:w="28" w:type="dxa"/>
              <w:bottom w:w="28" w:type="dxa"/>
            </w:tcMar>
            <w:vAlign w:val="center"/>
            <w:hideMark/>
          </w:tcPr>
          <w:p w14:paraId="09959783" w14:textId="77777777" w:rsidR="008D0491" w:rsidRPr="000A6309" w:rsidRDefault="008D0491" w:rsidP="008D0491">
            <w:pPr>
              <w:jc w:val="center"/>
              <w:rPr>
                <w:rFonts w:cs="Arial"/>
                <w:color w:val="000000"/>
                <w:sz w:val="20"/>
                <w:szCs w:val="20"/>
              </w:rPr>
            </w:pPr>
            <w:r w:rsidRPr="000A6309">
              <w:rPr>
                <w:sz w:val="20"/>
                <w:szCs w:val="20"/>
              </w:rPr>
              <w:t>0,85</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4AE23F6D" w14:textId="77777777" w:rsidR="008D0491" w:rsidRPr="000A6309" w:rsidRDefault="008D0491" w:rsidP="008D0491">
            <w:pPr>
              <w:jc w:val="right"/>
              <w:rPr>
                <w:rFonts w:cs="Arial"/>
                <w:color w:val="000000"/>
                <w:sz w:val="20"/>
                <w:szCs w:val="20"/>
              </w:rPr>
            </w:pPr>
            <w:r w:rsidRPr="000A6309">
              <w:rPr>
                <w:sz w:val="20"/>
                <w:szCs w:val="20"/>
              </w:rPr>
              <w:t>54.282.683</w:t>
            </w:r>
          </w:p>
        </w:tc>
        <w:tc>
          <w:tcPr>
            <w:tcW w:w="832" w:type="pct"/>
            <w:tcBorders>
              <w:top w:val="nil"/>
              <w:left w:val="nil"/>
              <w:bottom w:val="nil"/>
              <w:right w:val="nil"/>
            </w:tcBorders>
            <w:shd w:val="clear" w:color="auto" w:fill="auto"/>
            <w:noWrap/>
            <w:tcMar>
              <w:top w:w="28" w:type="dxa"/>
              <w:bottom w:w="28" w:type="dxa"/>
            </w:tcMar>
            <w:vAlign w:val="center"/>
            <w:hideMark/>
          </w:tcPr>
          <w:p w14:paraId="64A81355" w14:textId="77777777" w:rsidR="008D0491" w:rsidRPr="000A6309" w:rsidRDefault="008D0491" w:rsidP="008D0491">
            <w:pPr>
              <w:jc w:val="right"/>
              <w:rPr>
                <w:rFonts w:cs="Arial"/>
                <w:color w:val="000000"/>
                <w:sz w:val="20"/>
                <w:szCs w:val="20"/>
              </w:rPr>
            </w:pPr>
            <w:r w:rsidRPr="000A6309">
              <w:rPr>
                <w:sz w:val="20"/>
                <w:szCs w:val="20"/>
              </w:rPr>
              <w:t>54.282.683</w:t>
            </w:r>
          </w:p>
        </w:tc>
      </w:tr>
      <w:tr w:rsidR="008D0491" w:rsidRPr="000A6309" w14:paraId="26265BAC" w14:textId="77777777" w:rsidTr="00886404">
        <w:trPr>
          <w:trHeight w:val="340"/>
        </w:trPr>
        <w:tc>
          <w:tcPr>
            <w:tcW w:w="2122" w:type="pct"/>
            <w:tcBorders>
              <w:top w:val="nil"/>
              <w:left w:val="nil"/>
              <w:bottom w:val="nil"/>
              <w:right w:val="nil"/>
            </w:tcBorders>
            <w:shd w:val="clear" w:color="auto" w:fill="auto"/>
            <w:noWrap/>
            <w:tcMar>
              <w:top w:w="28" w:type="dxa"/>
              <w:bottom w:w="28" w:type="dxa"/>
            </w:tcMar>
            <w:vAlign w:val="center"/>
            <w:hideMark/>
          </w:tcPr>
          <w:p w14:paraId="1044AD81" w14:textId="77777777" w:rsidR="008D0491" w:rsidRPr="000A6309" w:rsidRDefault="008D0491" w:rsidP="008D0491">
            <w:pPr>
              <w:jc w:val="left"/>
              <w:rPr>
                <w:rFonts w:cs="Arial"/>
                <w:color w:val="000000"/>
                <w:sz w:val="20"/>
                <w:szCs w:val="20"/>
              </w:rPr>
            </w:pPr>
            <w:r w:rsidRPr="000A6309">
              <w:rPr>
                <w:rFonts w:cs="Arial"/>
                <w:color w:val="000000"/>
                <w:sz w:val="20"/>
                <w:szCs w:val="20"/>
              </w:rPr>
              <w:t>Assistência Social e Promoção da Cidadania [1040]</w:t>
            </w:r>
          </w:p>
        </w:tc>
        <w:tc>
          <w:tcPr>
            <w:tcW w:w="759"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35C0DA39" w14:textId="77777777" w:rsidR="008D0491" w:rsidRPr="000A6309" w:rsidRDefault="008D0491" w:rsidP="008D0491">
            <w:pPr>
              <w:jc w:val="right"/>
              <w:rPr>
                <w:rFonts w:cs="Arial"/>
                <w:color w:val="000000"/>
                <w:sz w:val="20"/>
                <w:szCs w:val="20"/>
              </w:rPr>
            </w:pPr>
            <w:r w:rsidRPr="000A6309">
              <w:rPr>
                <w:sz w:val="20"/>
                <w:szCs w:val="20"/>
              </w:rPr>
              <w:t>3.077.840</w:t>
            </w:r>
          </w:p>
        </w:tc>
        <w:tc>
          <w:tcPr>
            <w:tcW w:w="453" w:type="pct"/>
            <w:tcBorders>
              <w:top w:val="nil"/>
              <w:left w:val="nil"/>
              <w:bottom w:val="nil"/>
              <w:right w:val="nil"/>
            </w:tcBorders>
            <w:shd w:val="clear" w:color="auto" w:fill="auto"/>
            <w:noWrap/>
            <w:tcMar>
              <w:top w:w="28" w:type="dxa"/>
              <w:bottom w:w="28" w:type="dxa"/>
            </w:tcMar>
            <w:vAlign w:val="center"/>
            <w:hideMark/>
          </w:tcPr>
          <w:p w14:paraId="42808490" w14:textId="77777777" w:rsidR="008D0491" w:rsidRPr="000A6309" w:rsidRDefault="008D0491" w:rsidP="008D0491">
            <w:pPr>
              <w:jc w:val="center"/>
              <w:rPr>
                <w:rFonts w:cs="Arial"/>
                <w:color w:val="000000"/>
                <w:sz w:val="20"/>
                <w:szCs w:val="20"/>
              </w:rPr>
            </w:pPr>
            <w:r w:rsidRPr="000A6309">
              <w:rPr>
                <w:sz w:val="20"/>
                <w:szCs w:val="20"/>
              </w:rPr>
              <w:t>0,05</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576A6991" w14:textId="77777777" w:rsidR="008D0491" w:rsidRPr="000A6309" w:rsidRDefault="008D0491" w:rsidP="008D0491">
            <w:pPr>
              <w:jc w:val="right"/>
              <w:rPr>
                <w:rFonts w:cs="Arial"/>
                <w:color w:val="000000"/>
                <w:sz w:val="20"/>
                <w:szCs w:val="20"/>
              </w:rPr>
            </w:pPr>
            <w:r w:rsidRPr="000A6309">
              <w:rPr>
                <w:sz w:val="20"/>
                <w:szCs w:val="20"/>
              </w:rPr>
              <w:t>2.437.722</w:t>
            </w:r>
          </w:p>
        </w:tc>
        <w:tc>
          <w:tcPr>
            <w:tcW w:w="832" w:type="pct"/>
            <w:tcBorders>
              <w:top w:val="nil"/>
              <w:left w:val="nil"/>
              <w:bottom w:val="nil"/>
              <w:right w:val="nil"/>
            </w:tcBorders>
            <w:shd w:val="clear" w:color="auto" w:fill="auto"/>
            <w:noWrap/>
            <w:tcMar>
              <w:top w:w="28" w:type="dxa"/>
              <w:bottom w:w="28" w:type="dxa"/>
            </w:tcMar>
            <w:vAlign w:val="center"/>
            <w:hideMark/>
          </w:tcPr>
          <w:p w14:paraId="2860D70A" w14:textId="77777777" w:rsidR="008D0491" w:rsidRPr="000A6309" w:rsidRDefault="008D0491" w:rsidP="008D0491">
            <w:pPr>
              <w:jc w:val="right"/>
              <w:rPr>
                <w:rFonts w:cs="Arial"/>
                <w:color w:val="000000"/>
                <w:sz w:val="20"/>
                <w:szCs w:val="20"/>
              </w:rPr>
            </w:pPr>
            <w:r w:rsidRPr="000A6309">
              <w:rPr>
                <w:sz w:val="20"/>
                <w:szCs w:val="20"/>
              </w:rPr>
              <w:t>2.437.722</w:t>
            </w:r>
          </w:p>
        </w:tc>
      </w:tr>
      <w:tr w:rsidR="008D0491" w:rsidRPr="000A6309" w14:paraId="6F3F44EF" w14:textId="77777777" w:rsidTr="00886404">
        <w:trPr>
          <w:trHeight w:val="340"/>
        </w:trPr>
        <w:tc>
          <w:tcPr>
            <w:tcW w:w="2122" w:type="pct"/>
            <w:tcBorders>
              <w:top w:val="single" w:sz="4" w:space="0" w:color="auto"/>
              <w:left w:val="nil"/>
              <w:bottom w:val="single" w:sz="4" w:space="0" w:color="auto"/>
              <w:right w:val="nil"/>
            </w:tcBorders>
            <w:shd w:val="clear" w:color="auto" w:fill="auto"/>
            <w:noWrap/>
            <w:tcMar>
              <w:top w:w="28" w:type="dxa"/>
              <w:bottom w:w="28" w:type="dxa"/>
            </w:tcMar>
            <w:vAlign w:val="center"/>
            <w:hideMark/>
          </w:tcPr>
          <w:p w14:paraId="2897A270" w14:textId="77777777" w:rsidR="008D0491" w:rsidRPr="000A6309" w:rsidRDefault="008D0491" w:rsidP="008D0491">
            <w:pPr>
              <w:jc w:val="center"/>
              <w:rPr>
                <w:rFonts w:cs="Arial"/>
                <w:b/>
                <w:bCs/>
                <w:color w:val="000000"/>
                <w:sz w:val="20"/>
                <w:szCs w:val="20"/>
              </w:rPr>
            </w:pPr>
            <w:r w:rsidRPr="000A6309">
              <w:rPr>
                <w:rFonts w:cs="Arial"/>
                <w:b/>
                <w:bCs/>
                <w:color w:val="000000"/>
                <w:sz w:val="20"/>
                <w:szCs w:val="20"/>
              </w:rPr>
              <w:t>Total</w:t>
            </w:r>
          </w:p>
        </w:tc>
        <w:tc>
          <w:tcPr>
            <w:tcW w:w="75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hideMark/>
          </w:tcPr>
          <w:p w14:paraId="5C3F6B11" w14:textId="77777777" w:rsidR="008D0491" w:rsidRPr="000A6309" w:rsidRDefault="008D0491" w:rsidP="008D0491">
            <w:pPr>
              <w:jc w:val="right"/>
              <w:rPr>
                <w:rFonts w:cs="Arial"/>
                <w:b/>
                <w:bCs/>
                <w:color w:val="000000"/>
                <w:sz w:val="20"/>
                <w:szCs w:val="20"/>
              </w:rPr>
            </w:pPr>
            <w:r w:rsidRPr="000A6309">
              <w:rPr>
                <w:b/>
                <w:sz w:val="20"/>
                <w:szCs w:val="20"/>
              </w:rPr>
              <w:t>6.409.857.358</w:t>
            </w:r>
          </w:p>
        </w:tc>
        <w:tc>
          <w:tcPr>
            <w:tcW w:w="453" w:type="pct"/>
            <w:tcBorders>
              <w:top w:val="single" w:sz="4" w:space="0" w:color="auto"/>
              <w:left w:val="nil"/>
              <w:bottom w:val="single" w:sz="4" w:space="0" w:color="auto"/>
              <w:right w:val="nil"/>
            </w:tcBorders>
            <w:shd w:val="clear" w:color="auto" w:fill="auto"/>
            <w:noWrap/>
            <w:tcMar>
              <w:top w:w="28" w:type="dxa"/>
              <w:bottom w:w="28" w:type="dxa"/>
            </w:tcMar>
            <w:vAlign w:val="center"/>
            <w:hideMark/>
          </w:tcPr>
          <w:p w14:paraId="07FB56DA" w14:textId="77777777" w:rsidR="008D0491" w:rsidRPr="000A6309" w:rsidRDefault="008D0491" w:rsidP="008D0491">
            <w:pPr>
              <w:jc w:val="center"/>
              <w:rPr>
                <w:rFonts w:cs="Arial"/>
                <w:b/>
                <w:bCs/>
                <w:color w:val="000000"/>
                <w:sz w:val="20"/>
                <w:szCs w:val="20"/>
              </w:rPr>
            </w:pPr>
            <w:r w:rsidRPr="000A6309">
              <w:rPr>
                <w:b/>
                <w:sz w:val="20"/>
                <w:szCs w:val="20"/>
              </w:rPr>
              <w:t>100,00</w:t>
            </w:r>
          </w:p>
        </w:tc>
        <w:tc>
          <w:tcPr>
            <w:tcW w:w="834"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hideMark/>
          </w:tcPr>
          <w:p w14:paraId="503F9D58" w14:textId="77777777" w:rsidR="008D0491" w:rsidRPr="000A6309" w:rsidRDefault="008D0491" w:rsidP="008D0491">
            <w:pPr>
              <w:jc w:val="right"/>
              <w:rPr>
                <w:rFonts w:cs="Arial"/>
                <w:b/>
                <w:bCs/>
                <w:color w:val="000000"/>
                <w:sz w:val="20"/>
                <w:szCs w:val="20"/>
              </w:rPr>
            </w:pPr>
            <w:r w:rsidRPr="000A6309">
              <w:rPr>
                <w:b/>
                <w:sz w:val="20"/>
                <w:szCs w:val="20"/>
              </w:rPr>
              <w:t>6.316.067.725</w:t>
            </w:r>
          </w:p>
        </w:tc>
        <w:tc>
          <w:tcPr>
            <w:tcW w:w="832" w:type="pct"/>
            <w:tcBorders>
              <w:top w:val="single" w:sz="4" w:space="0" w:color="auto"/>
              <w:left w:val="nil"/>
              <w:bottom w:val="single" w:sz="4" w:space="0" w:color="auto"/>
              <w:right w:val="nil"/>
            </w:tcBorders>
            <w:shd w:val="clear" w:color="auto" w:fill="auto"/>
            <w:noWrap/>
            <w:tcMar>
              <w:top w:w="28" w:type="dxa"/>
              <w:bottom w:w="28" w:type="dxa"/>
            </w:tcMar>
            <w:vAlign w:val="center"/>
            <w:hideMark/>
          </w:tcPr>
          <w:p w14:paraId="338422FE" w14:textId="77777777" w:rsidR="008D0491" w:rsidRPr="000A6309" w:rsidRDefault="008D0491" w:rsidP="008D0491">
            <w:pPr>
              <w:jc w:val="right"/>
              <w:rPr>
                <w:rFonts w:cs="Arial"/>
                <w:b/>
                <w:bCs/>
                <w:color w:val="000000"/>
                <w:sz w:val="20"/>
                <w:szCs w:val="20"/>
              </w:rPr>
            </w:pPr>
            <w:r w:rsidRPr="000A6309">
              <w:rPr>
                <w:b/>
                <w:sz w:val="20"/>
                <w:szCs w:val="20"/>
              </w:rPr>
              <w:t>6.306.750.783</w:t>
            </w:r>
          </w:p>
        </w:tc>
      </w:tr>
    </w:tbl>
    <w:p w14:paraId="69447CC8" w14:textId="77777777" w:rsidR="008D0491" w:rsidRPr="00A6083A" w:rsidRDefault="008D0491" w:rsidP="008D0491">
      <w:pPr>
        <w:pStyle w:val="1-FONTE8ESQ"/>
      </w:pPr>
      <w:r w:rsidRPr="00A6083A">
        <w:t xml:space="preserve">Fonte: </w:t>
      </w:r>
      <w:r w:rsidRPr="00A6083A">
        <w:rPr>
          <w:i/>
        </w:rPr>
        <w:t>Business Objects</w:t>
      </w:r>
      <w:r w:rsidRPr="00A6083A">
        <w:t xml:space="preserve"> e RREO 6º bimestre/2023</w:t>
      </w:r>
    </w:p>
    <w:p w14:paraId="0373FD85" w14:textId="77777777" w:rsidR="008D0491" w:rsidRPr="00530F55" w:rsidRDefault="008D0491" w:rsidP="008D0491">
      <w:pPr>
        <w:pStyle w:val="1-REL11"/>
        <w:rPr>
          <w:highlight w:val="cyan"/>
        </w:rPr>
      </w:pPr>
      <w:r w:rsidRPr="00B21B95">
        <w:t xml:space="preserve">O programa de governo 4100 – </w:t>
      </w:r>
      <w:r w:rsidRPr="00B21B95">
        <w:rPr>
          <w:rFonts w:cs="Arial"/>
          <w:color w:val="000000"/>
        </w:rPr>
        <w:t>Encargos da Folha de Pagamento dos Servidores Públicos</w:t>
      </w:r>
      <w:r w:rsidRPr="00B21B95">
        <w:t>, responsável por 68,54% das despesas executadas na Função Educação em 2023, tem por objetivo</w:t>
      </w:r>
      <w:r>
        <w:t xml:space="preserve"> r</w:t>
      </w:r>
      <w:r w:rsidRPr="003828C2">
        <w:t>egistr</w:t>
      </w:r>
      <w:r>
        <w:t>ar</w:t>
      </w:r>
      <w:r w:rsidRPr="003828C2">
        <w:t xml:space="preserve"> as despesas com folha de pagamento dos </w:t>
      </w:r>
      <w:r>
        <w:t xml:space="preserve">professores e demais </w:t>
      </w:r>
      <w:r w:rsidRPr="003828C2">
        <w:t>servidores públicos estaduais</w:t>
      </w:r>
      <w:r>
        <w:t xml:space="preserve"> ligados à função educação. Já o programa de governo </w:t>
      </w:r>
      <w:r w:rsidRPr="00A6083A">
        <w:rPr>
          <w:rFonts w:cs="Arial"/>
          <w:color w:val="000000"/>
        </w:rPr>
        <w:t>1008</w:t>
      </w:r>
      <w:r>
        <w:rPr>
          <w:rFonts w:cs="Arial"/>
          <w:color w:val="000000"/>
        </w:rPr>
        <w:t xml:space="preserve"> - </w:t>
      </w:r>
      <w:r w:rsidRPr="00A6083A">
        <w:rPr>
          <w:rFonts w:cs="Arial"/>
          <w:color w:val="000000"/>
        </w:rPr>
        <w:t xml:space="preserve">Educação </w:t>
      </w:r>
      <w:r>
        <w:rPr>
          <w:rFonts w:cs="Arial"/>
          <w:color w:val="000000"/>
        </w:rPr>
        <w:t>q</w:t>
      </w:r>
      <w:r w:rsidRPr="00A6083A">
        <w:rPr>
          <w:rFonts w:cs="Arial"/>
          <w:color w:val="000000"/>
        </w:rPr>
        <w:t>ue Queremos</w:t>
      </w:r>
      <w:r>
        <w:rPr>
          <w:rFonts w:cs="Arial"/>
          <w:color w:val="000000"/>
        </w:rPr>
        <w:t>, responsável por 27,30% das despesas empenhados em 2023,</w:t>
      </w:r>
      <w:r w:rsidRPr="00A6083A">
        <w:rPr>
          <w:rFonts w:cs="Arial"/>
          <w:color w:val="000000"/>
        </w:rPr>
        <w:t xml:space="preserve"> </w:t>
      </w:r>
      <w:r>
        <w:rPr>
          <w:rFonts w:cs="Arial"/>
          <w:color w:val="000000"/>
        </w:rPr>
        <w:t>objetiva g</w:t>
      </w:r>
      <w:r w:rsidRPr="00012DA8">
        <w:t>aranti</w:t>
      </w:r>
      <w:r>
        <w:t>r</w:t>
      </w:r>
      <w:r w:rsidRPr="00012DA8">
        <w:t xml:space="preserve"> acesso e melhoria da qualidade do ensino e da aprendizagem em todos os níveis da educação básica</w:t>
      </w:r>
      <w:r>
        <w:t>.</w:t>
      </w:r>
    </w:p>
    <w:p w14:paraId="13D18A45" w14:textId="77777777" w:rsidR="008D0491" w:rsidRPr="00CB4A74" w:rsidRDefault="008D0491" w:rsidP="008D0491">
      <w:pPr>
        <w:pStyle w:val="1-REL11"/>
      </w:pPr>
      <w:r w:rsidRPr="00CB4A74">
        <w:lastRenderedPageBreak/>
        <w:t>A despesa executada por ação, aglutinadas em “Demais Ações” aquelas menores em participação que somam menos de 10%, estão apresentadas abaixo:</w:t>
      </w:r>
    </w:p>
    <w:p w14:paraId="72295D33" w14:textId="77777777" w:rsidR="00886404" w:rsidRPr="00CB4A74" w:rsidRDefault="00886404" w:rsidP="00886404">
      <w:pPr>
        <w:pStyle w:val="1-REL11"/>
      </w:pPr>
    </w:p>
    <w:p w14:paraId="37E95C92" w14:textId="77777777" w:rsidR="00886404" w:rsidRPr="00CB4A74" w:rsidRDefault="00886404" w:rsidP="00736A8C">
      <w:pPr>
        <w:pStyle w:val="0-TABELA"/>
        <w:numPr>
          <w:ilvl w:val="0"/>
          <w:numId w:val="53"/>
        </w:numPr>
        <w:tabs>
          <w:tab w:val="clear" w:pos="1560"/>
          <w:tab w:val="left" w:pos="1134"/>
        </w:tabs>
        <w:spacing w:before="0" w:after="0"/>
        <w:ind w:left="0" w:firstLine="0"/>
      </w:pPr>
      <w:bookmarkStart w:id="287" w:name="_Toc167871788"/>
      <w:r w:rsidRPr="00CB4A74">
        <w:t>Despesa na Função Educação por Ação</w:t>
      </w:r>
      <w:bookmarkEnd w:id="287"/>
    </w:p>
    <w:p w14:paraId="0E912E60" w14:textId="77777777" w:rsidR="00886404" w:rsidRPr="00CB4A74" w:rsidRDefault="00886404" w:rsidP="00886404">
      <w:pPr>
        <w:pStyle w:val="0-EmR"/>
        <w:rPr>
          <w:lang w:eastAsia="en-US"/>
        </w:rPr>
      </w:pPr>
      <w:r w:rsidRPr="00CB4A74">
        <w:rPr>
          <w:lang w:eastAsia="en-US"/>
        </w:rPr>
        <w:t>R$ 1</w:t>
      </w:r>
    </w:p>
    <w:tbl>
      <w:tblPr>
        <w:tblW w:w="5000" w:type="pct"/>
        <w:tblBorders>
          <w:top w:val="single" w:sz="4" w:space="0" w:color="auto"/>
          <w:bottom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970"/>
        <w:gridCol w:w="1560"/>
        <w:gridCol w:w="847"/>
        <w:gridCol w:w="1420"/>
        <w:gridCol w:w="1556"/>
      </w:tblGrid>
      <w:tr w:rsidR="00886404" w:rsidRPr="00B000B6" w14:paraId="1DE303DE" w14:textId="77777777" w:rsidTr="00886404">
        <w:trPr>
          <w:trHeight w:val="340"/>
        </w:trPr>
        <w:tc>
          <w:tcPr>
            <w:tcW w:w="2122" w:type="pct"/>
            <w:tcBorders>
              <w:top w:val="single" w:sz="4" w:space="0" w:color="auto"/>
              <w:bottom w:val="single" w:sz="4" w:space="0" w:color="auto"/>
            </w:tcBorders>
            <w:shd w:val="clear" w:color="000000" w:fill="A1F2FD"/>
            <w:noWrap/>
            <w:tcMar>
              <w:top w:w="28" w:type="dxa"/>
              <w:bottom w:w="28" w:type="dxa"/>
            </w:tcMar>
            <w:vAlign w:val="center"/>
            <w:hideMark/>
          </w:tcPr>
          <w:p w14:paraId="72ACCA7A" w14:textId="77777777" w:rsidR="00886404" w:rsidRPr="00B000B6" w:rsidRDefault="00886404" w:rsidP="00BF715B">
            <w:pPr>
              <w:jc w:val="center"/>
              <w:rPr>
                <w:rFonts w:cs="Arial"/>
                <w:b/>
                <w:bCs/>
                <w:color w:val="000000"/>
                <w:sz w:val="20"/>
                <w:szCs w:val="20"/>
              </w:rPr>
            </w:pPr>
            <w:r w:rsidRPr="00B000B6">
              <w:rPr>
                <w:rFonts w:cs="Arial"/>
                <w:b/>
                <w:bCs/>
                <w:color w:val="000000"/>
                <w:sz w:val="20"/>
                <w:szCs w:val="20"/>
              </w:rPr>
              <w:t>Ação</w:t>
            </w:r>
          </w:p>
        </w:tc>
        <w:tc>
          <w:tcPr>
            <w:tcW w:w="834" w:type="pct"/>
            <w:tcBorders>
              <w:top w:val="single" w:sz="4" w:space="0" w:color="auto"/>
              <w:bottom w:val="single" w:sz="4" w:space="0" w:color="auto"/>
            </w:tcBorders>
            <w:shd w:val="clear" w:color="000000" w:fill="A1F2FD"/>
            <w:noWrap/>
            <w:tcMar>
              <w:top w:w="28" w:type="dxa"/>
              <w:bottom w:w="28" w:type="dxa"/>
            </w:tcMar>
            <w:vAlign w:val="center"/>
            <w:hideMark/>
          </w:tcPr>
          <w:p w14:paraId="69E08D99" w14:textId="77777777" w:rsidR="00886404" w:rsidRPr="00B000B6" w:rsidRDefault="00886404" w:rsidP="00BF715B">
            <w:pPr>
              <w:jc w:val="center"/>
              <w:rPr>
                <w:rFonts w:cs="Arial"/>
                <w:b/>
                <w:bCs/>
                <w:color w:val="000000"/>
                <w:sz w:val="20"/>
                <w:szCs w:val="20"/>
              </w:rPr>
            </w:pPr>
            <w:r w:rsidRPr="00B000B6">
              <w:rPr>
                <w:rFonts w:cs="Arial"/>
                <w:b/>
                <w:bCs/>
                <w:color w:val="000000"/>
                <w:sz w:val="20"/>
                <w:szCs w:val="20"/>
              </w:rPr>
              <w:t>Empenhado</w:t>
            </w:r>
          </w:p>
        </w:tc>
        <w:tc>
          <w:tcPr>
            <w:tcW w:w="453" w:type="pct"/>
            <w:tcBorders>
              <w:top w:val="single" w:sz="4" w:space="0" w:color="auto"/>
              <w:bottom w:val="single" w:sz="4" w:space="0" w:color="auto"/>
            </w:tcBorders>
            <w:shd w:val="clear" w:color="000000" w:fill="A1F2FD"/>
            <w:noWrap/>
            <w:tcMar>
              <w:top w:w="28" w:type="dxa"/>
              <w:bottom w:w="28" w:type="dxa"/>
            </w:tcMar>
            <w:vAlign w:val="center"/>
            <w:hideMark/>
          </w:tcPr>
          <w:p w14:paraId="66A51A58" w14:textId="77777777" w:rsidR="00886404" w:rsidRPr="00B000B6" w:rsidRDefault="00886404" w:rsidP="00BF715B">
            <w:pPr>
              <w:jc w:val="center"/>
              <w:rPr>
                <w:rFonts w:cs="Arial"/>
                <w:b/>
                <w:bCs/>
                <w:color w:val="000000"/>
                <w:sz w:val="20"/>
                <w:szCs w:val="20"/>
              </w:rPr>
            </w:pPr>
            <w:r w:rsidRPr="00B000B6">
              <w:rPr>
                <w:rFonts w:cs="Arial"/>
                <w:b/>
                <w:bCs/>
                <w:color w:val="000000"/>
                <w:sz w:val="20"/>
                <w:szCs w:val="20"/>
              </w:rPr>
              <w:t>AV %</w:t>
            </w:r>
          </w:p>
        </w:tc>
        <w:tc>
          <w:tcPr>
            <w:tcW w:w="759" w:type="pct"/>
            <w:tcBorders>
              <w:top w:val="single" w:sz="4" w:space="0" w:color="auto"/>
              <w:bottom w:val="single" w:sz="4" w:space="0" w:color="auto"/>
            </w:tcBorders>
            <w:shd w:val="clear" w:color="000000" w:fill="A1F2FD"/>
            <w:noWrap/>
            <w:tcMar>
              <w:top w:w="28" w:type="dxa"/>
              <w:bottom w:w="28" w:type="dxa"/>
            </w:tcMar>
            <w:vAlign w:val="center"/>
            <w:hideMark/>
          </w:tcPr>
          <w:p w14:paraId="66F09428" w14:textId="77777777" w:rsidR="00886404" w:rsidRPr="00B000B6" w:rsidRDefault="00886404" w:rsidP="00BF715B">
            <w:pPr>
              <w:jc w:val="center"/>
              <w:rPr>
                <w:rFonts w:cs="Arial"/>
                <w:b/>
                <w:bCs/>
                <w:color w:val="000000"/>
                <w:sz w:val="20"/>
                <w:szCs w:val="20"/>
              </w:rPr>
            </w:pPr>
            <w:r w:rsidRPr="00B000B6">
              <w:rPr>
                <w:rFonts w:cs="Arial"/>
                <w:b/>
                <w:bCs/>
                <w:color w:val="000000"/>
                <w:sz w:val="20"/>
                <w:szCs w:val="20"/>
              </w:rPr>
              <w:t>Liquidado</w:t>
            </w:r>
          </w:p>
        </w:tc>
        <w:tc>
          <w:tcPr>
            <w:tcW w:w="832" w:type="pct"/>
            <w:tcBorders>
              <w:top w:val="single" w:sz="4" w:space="0" w:color="auto"/>
              <w:bottom w:val="single" w:sz="4" w:space="0" w:color="auto"/>
            </w:tcBorders>
            <w:shd w:val="clear" w:color="000000" w:fill="A1F2FD"/>
            <w:noWrap/>
            <w:tcMar>
              <w:top w:w="28" w:type="dxa"/>
              <w:bottom w:w="28" w:type="dxa"/>
            </w:tcMar>
            <w:vAlign w:val="center"/>
            <w:hideMark/>
          </w:tcPr>
          <w:p w14:paraId="3670BBD7" w14:textId="77777777" w:rsidR="00886404" w:rsidRPr="00B000B6" w:rsidRDefault="00886404" w:rsidP="00BF715B">
            <w:pPr>
              <w:jc w:val="center"/>
              <w:rPr>
                <w:rFonts w:cs="Arial"/>
                <w:b/>
                <w:bCs/>
                <w:color w:val="000000"/>
                <w:sz w:val="20"/>
                <w:szCs w:val="20"/>
              </w:rPr>
            </w:pPr>
            <w:r w:rsidRPr="00B000B6">
              <w:rPr>
                <w:rFonts w:cs="Arial"/>
                <w:b/>
                <w:bCs/>
                <w:color w:val="000000"/>
                <w:sz w:val="20"/>
                <w:szCs w:val="20"/>
              </w:rPr>
              <w:t>Pago</w:t>
            </w:r>
          </w:p>
        </w:tc>
      </w:tr>
      <w:tr w:rsidR="00886404" w:rsidRPr="00B000B6" w14:paraId="1DA605E8" w14:textId="77777777" w:rsidTr="00886404">
        <w:trPr>
          <w:trHeight w:val="340"/>
        </w:trPr>
        <w:tc>
          <w:tcPr>
            <w:tcW w:w="2122" w:type="pct"/>
            <w:tcBorders>
              <w:top w:val="single" w:sz="4" w:space="0" w:color="auto"/>
            </w:tcBorders>
            <w:shd w:val="clear" w:color="FFFFFF" w:fill="FFFFFF"/>
            <w:noWrap/>
            <w:tcMar>
              <w:top w:w="28" w:type="dxa"/>
              <w:bottom w:w="28" w:type="dxa"/>
            </w:tcMar>
            <w:vAlign w:val="center"/>
            <w:hideMark/>
          </w:tcPr>
          <w:p w14:paraId="2918308B" w14:textId="77777777" w:rsidR="00886404" w:rsidRPr="00B000B6" w:rsidRDefault="00886404" w:rsidP="00BF715B">
            <w:pPr>
              <w:jc w:val="left"/>
              <w:rPr>
                <w:rFonts w:cs="Arial"/>
                <w:color w:val="333333"/>
                <w:sz w:val="20"/>
                <w:szCs w:val="20"/>
              </w:rPr>
            </w:pPr>
            <w:r w:rsidRPr="00B000B6">
              <w:rPr>
                <w:rFonts w:cs="Arial"/>
                <w:color w:val="333333"/>
                <w:sz w:val="20"/>
                <w:szCs w:val="20"/>
              </w:rPr>
              <w:t>Folha de Pagamento de Profissionais da Educação [4147]</w:t>
            </w:r>
          </w:p>
        </w:tc>
        <w:tc>
          <w:tcPr>
            <w:tcW w:w="834" w:type="pct"/>
            <w:tcBorders>
              <w:top w:val="single" w:sz="4" w:space="0" w:color="auto"/>
            </w:tcBorders>
            <w:shd w:val="clear" w:color="auto" w:fill="auto"/>
            <w:noWrap/>
            <w:tcMar>
              <w:top w:w="28" w:type="dxa"/>
              <w:bottom w:w="28" w:type="dxa"/>
            </w:tcMar>
            <w:vAlign w:val="center"/>
            <w:hideMark/>
          </w:tcPr>
          <w:p w14:paraId="200B169F" w14:textId="77777777" w:rsidR="00886404" w:rsidRPr="00B000B6" w:rsidRDefault="00886404" w:rsidP="00BF715B">
            <w:pPr>
              <w:jc w:val="right"/>
              <w:rPr>
                <w:rFonts w:cs="Arial"/>
                <w:color w:val="000000"/>
                <w:sz w:val="20"/>
                <w:szCs w:val="20"/>
              </w:rPr>
            </w:pPr>
            <w:r w:rsidRPr="00B000B6">
              <w:rPr>
                <w:rFonts w:cs="Arial"/>
                <w:color w:val="000000"/>
                <w:sz w:val="20"/>
                <w:szCs w:val="20"/>
              </w:rPr>
              <w:t>3.199.513.810</w:t>
            </w:r>
          </w:p>
        </w:tc>
        <w:tc>
          <w:tcPr>
            <w:tcW w:w="453" w:type="pct"/>
            <w:tcBorders>
              <w:top w:val="single" w:sz="4" w:space="0" w:color="auto"/>
            </w:tcBorders>
            <w:shd w:val="clear" w:color="auto" w:fill="auto"/>
            <w:noWrap/>
            <w:tcMar>
              <w:top w:w="28" w:type="dxa"/>
              <w:bottom w:w="28" w:type="dxa"/>
            </w:tcMar>
            <w:vAlign w:val="center"/>
            <w:hideMark/>
          </w:tcPr>
          <w:p w14:paraId="646F883C" w14:textId="77777777" w:rsidR="00886404" w:rsidRPr="00B000B6" w:rsidRDefault="00886404" w:rsidP="00BF715B">
            <w:pPr>
              <w:jc w:val="center"/>
              <w:rPr>
                <w:rFonts w:cs="Arial"/>
                <w:color w:val="000000"/>
                <w:sz w:val="20"/>
                <w:szCs w:val="20"/>
              </w:rPr>
            </w:pPr>
            <w:r w:rsidRPr="00B000B6">
              <w:rPr>
                <w:rFonts w:cs="Arial"/>
                <w:color w:val="000000"/>
                <w:sz w:val="20"/>
                <w:szCs w:val="20"/>
              </w:rPr>
              <w:t>49,92</w:t>
            </w:r>
          </w:p>
        </w:tc>
        <w:tc>
          <w:tcPr>
            <w:tcW w:w="759" w:type="pct"/>
            <w:tcBorders>
              <w:top w:val="single" w:sz="4" w:space="0" w:color="auto"/>
            </w:tcBorders>
            <w:shd w:val="clear" w:color="auto" w:fill="auto"/>
            <w:noWrap/>
            <w:tcMar>
              <w:top w:w="28" w:type="dxa"/>
              <w:bottom w:w="28" w:type="dxa"/>
            </w:tcMar>
            <w:vAlign w:val="center"/>
            <w:hideMark/>
          </w:tcPr>
          <w:p w14:paraId="25CA41A9" w14:textId="77777777" w:rsidR="00886404" w:rsidRPr="00B000B6" w:rsidRDefault="00886404" w:rsidP="00BF715B">
            <w:pPr>
              <w:jc w:val="right"/>
              <w:rPr>
                <w:rFonts w:cs="Arial"/>
                <w:color w:val="000000"/>
                <w:sz w:val="20"/>
                <w:szCs w:val="20"/>
              </w:rPr>
            </w:pPr>
            <w:r w:rsidRPr="00B000B6">
              <w:rPr>
                <w:rFonts w:cs="Arial"/>
                <w:color w:val="000000"/>
                <w:sz w:val="20"/>
                <w:szCs w:val="20"/>
              </w:rPr>
              <w:t>3.199.513.810</w:t>
            </w:r>
          </w:p>
        </w:tc>
        <w:tc>
          <w:tcPr>
            <w:tcW w:w="832" w:type="pct"/>
            <w:tcBorders>
              <w:top w:val="single" w:sz="4" w:space="0" w:color="auto"/>
            </w:tcBorders>
            <w:shd w:val="clear" w:color="auto" w:fill="auto"/>
            <w:noWrap/>
            <w:tcMar>
              <w:top w:w="28" w:type="dxa"/>
              <w:bottom w:w="28" w:type="dxa"/>
            </w:tcMar>
            <w:vAlign w:val="center"/>
            <w:hideMark/>
          </w:tcPr>
          <w:p w14:paraId="5B45BE65" w14:textId="77777777" w:rsidR="00886404" w:rsidRPr="00B000B6" w:rsidRDefault="00886404" w:rsidP="00BF715B">
            <w:pPr>
              <w:jc w:val="right"/>
              <w:rPr>
                <w:rFonts w:cs="Arial"/>
                <w:color w:val="000000"/>
                <w:sz w:val="20"/>
                <w:szCs w:val="20"/>
              </w:rPr>
            </w:pPr>
            <w:r w:rsidRPr="00B000B6">
              <w:rPr>
                <w:rFonts w:cs="Arial"/>
                <w:color w:val="000000"/>
                <w:sz w:val="20"/>
                <w:szCs w:val="20"/>
              </w:rPr>
              <w:t>3.199.513.510</w:t>
            </w:r>
          </w:p>
        </w:tc>
      </w:tr>
      <w:tr w:rsidR="00886404" w:rsidRPr="00B000B6" w14:paraId="46658E7A" w14:textId="77777777" w:rsidTr="00886404">
        <w:trPr>
          <w:trHeight w:val="340"/>
        </w:trPr>
        <w:tc>
          <w:tcPr>
            <w:tcW w:w="2122" w:type="pct"/>
            <w:shd w:val="clear" w:color="FFFFFF" w:fill="FFFFFF"/>
            <w:noWrap/>
            <w:tcMar>
              <w:top w:w="28" w:type="dxa"/>
              <w:bottom w:w="28" w:type="dxa"/>
            </w:tcMar>
            <w:vAlign w:val="center"/>
            <w:hideMark/>
          </w:tcPr>
          <w:p w14:paraId="053D4743" w14:textId="77777777" w:rsidR="00886404" w:rsidRPr="00B000B6" w:rsidRDefault="00886404" w:rsidP="00BF715B">
            <w:pPr>
              <w:jc w:val="left"/>
              <w:rPr>
                <w:rFonts w:cs="Arial"/>
                <w:color w:val="333333"/>
                <w:sz w:val="20"/>
                <w:szCs w:val="20"/>
              </w:rPr>
            </w:pPr>
            <w:r w:rsidRPr="00B000B6">
              <w:rPr>
                <w:rFonts w:cs="Arial"/>
                <w:color w:val="333333"/>
                <w:sz w:val="20"/>
                <w:szCs w:val="20"/>
              </w:rPr>
              <w:t>Folha de Pagamento de Servidores Públicos [4144]</w:t>
            </w:r>
          </w:p>
        </w:tc>
        <w:tc>
          <w:tcPr>
            <w:tcW w:w="834" w:type="pct"/>
            <w:shd w:val="clear" w:color="auto" w:fill="auto"/>
            <w:noWrap/>
            <w:tcMar>
              <w:top w:w="28" w:type="dxa"/>
              <w:bottom w:w="28" w:type="dxa"/>
            </w:tcMar>
            <w:vAlign w:val="center"/>
            <w:hideMark/>
          </w:tcPr>
          <w:p w14:paraId="1AE38EBD" w14:textId="77777777" w:rsidR="00886404" w:rsidRPr="00B000B6" w:rsidRDefault="00886404" w:rsidP="00BF715B">
            <w:pPr>
              <w:jc w:val="right"/>
              <w:rPr>
                <w:rFonts w:cs="Arial"/>
                <w:color w:val="000000"/>
                <w:sz w:val="20"/>
                <w:szCs w:val="20"/>
              </w:rPr>
            </w:pPr>
            <w:r w:rsidRPr="00B000B6">
              <w:rPr>
                <w:rFonts w:cs="Arial"/>
                <w:color w:val="000000"/>
                <w:sz w:val="20"/>
                <w:szCs w:val="20"/>
              </w:rPr>
              <w:t>694.184.493</w:t>
            </w:r>
          </w:p>
        </w:tc>
        <w:tc>
          <w:tcPr>
            <w:tcW w:w="453" w:type="pct"/>
            <w:shd w:val="clear" w:color="auto" w:fill="auto"/>
            <w:noWrap/>
            <w:tcMar>
              <w:top w:w="28" w:type="dxa"/>
              <w:bottom w:w="28" w:type="dxa"/>
            </w:tcMar>
            <w:vAlign w:val="center"/>
            <w:hideMark/>
          </w:tcPr>
          <w:p w14:paraId="26E7A162" w14:textId="77777777" w:rsidR="00886404" w:rsidRPr="00B000B6" w:rsidRDefault="00886404" w:rsidP="00BF715B">
            <w:pPr>
              <w:jc w:val="center"/>
              <w:rPr>
                <w:rFonts w:cs="Arial"/>
                <w:color w:val="000000"/>
                <w:sz w:val="20"/>
                <w:szCs w:val="20"/>
              </w:rPr>
            </w:pPr>
            <w:r w:rsidRPr="00B000B6">
              <w:rPr>
                <w:rFonts w:cs="Arial"/>
                <w:color w:val="000000"/>
                <w:sz w:val="20"/>
                <w:szCs w:val="20"/>
              </w:rPr>
              <w:t>10,83</w:t>
            </w:r>
          </w:p>
        </w:tc>
        <w:tc>
          <w:tcPr>
            <w:tcW w:w="759" w:type="pct"/>
            <w:shd w:val="clear" w:color="auto" w:fill="auto"/>
            <w:noWrap/>
            <w:tcMar>
              <w:top w:w="28" w:type="dxa"/>
              <w:bottom w:w="28" w:type="dxa"/>
            </w:tcMar>
            <w:vAlign w:val="center"/>
            <w:hideMark/>
          </w:tcPr>
          <w:p w14:paraId="1F26F356" w14:textId="77777777" w:rsidR="00886404" w:rsidRPr="00B000B6" w:rsidRDefault="00886404" w:rsidP="00BF715B">
            <w:pPr>
              <w:jc w:val="right"/>
              <w:rPr>
                <w:rFonts w:cs="Arial"/>
                <w:color w:val="000000"/>
                <w:sz w:val="20"/>
                <w:szCs w:val="20"/>
              </w:rPr>
            </w:pPr>
            <w:r w:rsidRPr="00B000B6">
              <w:rPr>
                <w:rFonts w:cs="Arial"/>
                <w:color w:val="000000"/>
                <w:sz w:val="20"/>
                <w:szCs w:val="20"/>
              </w:rPr>
              <w:t>694.184.493</w:t>
            </w:r>
          </w:p>
        </w:tc>
        <w:tc>
          <w:tcPr>
            <w:tcW w:w="832" w:type="pct"/>
            <w:shd w:val="clear" w:color="auto" w:fill="auto"/>
            <w:noWrap/>
            <w:tcMar>
              <w:top w:w="28" w:type="dxa"/>
              <w:bottom w:w="28" w:type="dxa"/>
            </w:tcMar>
            <w:vAlign w:val="center"/>
            <w:hideMark/>
          </w:tcPr>
          <w:p w14:paraId="3451EFB4" w14:textId="77777777" w:rsidR="00886404" w:rsidRPr="00B000B6" w:rsidRDefault="00886404" w:rsidP="00BF715B">
            <w:pPr>
              <w:jc w:val="right"/>
              <w:rPr>
                <w:rFonts w:cs="Arial"/>
                <w:color w:val="000000"/>
                <w:sz w:val="20"/>
                <w:szCs w:val="20"/>
              </w:rPr>
            </w:pPr>
            <w:r w:rsidRPr="00B000B6">
              <w:rPr>
                <w:rFonts w:cs="Arial"/>
                <w:color w:val="000000"/>
                <w:sz w:val="20"/>
                <w:szCs w:val="20"/>
              </w:rPr>
              <w:t>693.788.946</w:t>
            </w:r>
          </w:p>
        </w:tc>
      </w:tr>
      <w:tr w:rsidR="00886404" w:rsidRPr="00B000B6" w14:paraId="1AC5430C" w14:textId="77777777" w:rsidTr="00886404">
        <w:trPr>
          <w:trHeight w:val="340"/>
        </w:trPr>
        <w:tc>
          <w:tcPr>
            <w:tcW w:w="2122" w:type="pct"/>
            <w:shd w:val="clear" w:color="FFFFFF" w:fill="FFFFFF"/>
            <w:noWrap/>
            <w:tcMar>
              <w:top w:w="28" w:type="dxa"/>
              <w:bottom w:w="28" w:type="dxa"/>
            </w:tcMar>
            <w:vAlign w:val="center"/>
            <w:hideMark/>
          </w:tcPr>
          <w:p w14:paraId="4117C01A" w14:textId="77777777" w:rsidR="00886404" w:rsidRPr="00B000B6" w:rsidRDefault="00886404" w:rsidP="00BF715B">
            <w:pPr>
              <w:jc w:val="left"/>
              <w:rPr>
                <w:rFonts w:cs="Arial"/>
                <w:color w:val="333333"/>
                <w:sz w:val="20"/>
                <w:szCs w:val="20"/>
              </w:rPr>
            </w:pPr>
            <w:r w:rsidRPr="00B000B6">
              <w:rPr>
                <w:rFonts w:cs="Arial"/>
                <w:color w:val="333333"/>
                <w:sz w:val="20"/>
                <w:szCs w:val="20"/>
              </w:rPr>
              <w:t>Folha de Pagamento de Profissionais da Educação - Benefícios, Auxílios e Despesas de Caráter Indenizatório [4148]</w:t>
            </w:r>
          </w:p>
        </w:tc>
        <w:tc>
          <w:tcPr>
            <w:tcW w:w="834" w:type="pct"/>
            <w:shd w:val="clear" w:color="auto" w:fill="auto"/>
            <w:noWrap/>
            <w:tcMar>
              <w:top w:w="28" w:type="dxa"/>
              <w:bottom w:w="28" w:type="dxa"/>
            </w:tcMar>
            <w:vAlign w:val="center"/>
            <w:hideMark/>
          </w:tcPr>
          <w:p w14:paraId="473180DC" w14:textId="77777777" w:rsidR="00886404" w:rsidRPr="00B000B6" w:rsidRDefault="00886404" w:rsidP="00BF715B">
            <w:pPr>
              <w:jc w:val="right"/>
              <w:rPr>
                <w:rFonts w:cs="Arial"/>
                <w:color w:val="000000"/>
                <w:sz w:val="20"/>
                <w:szCs w:val="20"/>
              </w:rPr>
            </w:pPr>
            <w:r w:rsidRPr="00B000B6">
              <w:rPr>
                <w:rFonts w:cs="Arial"/>
                <w:color w:val="000000"/>
                <w:sz w:val="20"/>
                <w:szCs w:val="20"/>
              </w:rPr>
              <w:t>446.314.844</w:t>
            </w:r>
          </w:p>
        </w:tc>
        <w:tc>
          <w:tcPr>
            <w:tcW w:w="453" w:type="pct"/>
            <w:shd w:val="clear" w:color="auto" w:fill="auto"/>
            <w:noWrap/>
            <w:tcMar>
              <w:top w:w="28" w:type="dxa"/>
              <w:bottom w:w="28" w:type="dxa"/>
            </w:tcMar>
            <w:vAlign w:val="center"/>
            <w:hideMark/>
          </w:tcPr>
          <w:p w14:paraId="5129427A" w14:textId="77777777" w:rsidR="00886404" w:rsidRPr="00B000B6" w:rsidRDefault="00886404" w:rsidP="00BF715B">
            <w:pPr>
              <w:jc w:val="center"/>
              <w:rPr>
                <w:rFonts w:cs="Arial"/>
                <w:color w:val="000000"/>
                <w:sz w:val="20"/>
                <w:szCs w:val="20"/>
              </w:rPr>
            </w:pPr>
            <w:r w:rsidRPr="00B000B6">
              <w:rPr>
                <w:rFonts w:cs="Arial"/>
                <w:color w:val="000000"/>
                <w:sz w:val="20"/>
                <w:szCs w:val="20"/>
              </w:rPr>
              <w:t>6,96</w:t>
            </w:r>
          </w:p>
        </w:tc>
        <w:tc>
          <w:tcPr>
            <w:tcW w:w="759" w:type="pct"/>
            <w:shd w:val="clear" w:color="auto" w:fill="auto"/>
            <w:noWrap/>
            <w:tcMar>
              <w:top w:w="28" w:type="dxa"/>
              <w:bottom w:w="28" w:type="dxa"/>
            </w:tcMar>
            <w:vAlign w:val="center"/>
            <w:hideMark/>
          </w:tcPr>
          <w:p w14:paraId="36E811E5" w14:textId="77777777" w:rsidR="00886404" w:rsidRPr="00B000B6" w:rsidRDefault="00886404" w:rsidP="00BF715B">
            <w:pPr>
              <w:jc w:val="right"/>
              <w:rPr>
                <w:rFonts w:cs="Arial"/>
                <w:color w:val="000000"/>
                <w:sz w:val="20"/>
                <w:szCs w:val="20"/>
              </w:rPr>
            </w:pPr>
            <w:r w:rsidRPr="00B000B6">
              <w:rPr>
                <w:rFonts w:cs="Arial"/>
                <w:color w:val="000000"/>
                <w:sz w:val="20"/>
                <w:szCs w:val="20"/>
              </w:rPr>
              <w:t>446.314.844</w:t>
            </w:r>
          </w:p>
        </w:tc>
        <w:tc>
          <w:tcPr>
            <w:tcW w:w="832" w:type="pct"/>
            <w:shd w:val="clear" w:color="auto" w:fill="auto"/>
            <w:noWrap/>
            <w:tcMar>
              <w:top w:w="28" w:type="dxa"/>
              <w:bottom w:w="28" w:type="dxa"/>
            </w:tcMar>
            <w:vAlign w:val="center"/>
            <w:hideMark/>
          </w:tcPr>
          <w:p w14:paraId="0003544A" w14:textId="77777777" w:rsidR="00886404" w:rsidRPr="00B000B6" w:rsidRDefault="00886404" w:rsidP="00BF715B">
            <w:pPr>
              <w:jc w:val="right"/>
              <w:rPr>
                <w:rFonts w:cs="Arial"/>
                <w:color w:val="000000"/>
                <w:sz w:val="20"/>
                <w:szCs w:val="20"/>
              </w:rPr>
            </w:pPr>
            <w:r w:rsidRPr="00B000B6">
              <w:rPr>
                <w:rFonts w:cs="Arial"/>
                <w:color w:val="000000"/>
                <w:sz w:val="20"/>
                <w:szCs w:val="20"/>
              </w:rPr>
              <w:t>446.314.844</w:t>
            </w:r>
          </w:p>
        </w:tc>
      </w:tr>
      <w:tr w:rsidR="00886404" w:rsidRPr="00B000B6" w14:paraId="15191A8B" w14:textId="77777777" w:rsidTr="00886404">
        <w:trPr>
          <w:trHeight w:val="340"/>
        </w:trPr>
        <w:tc>
          <w:tcPr>
            <w:tcW w:w="2122" w:type="pct"/>
            <w:shd w:val="clear" w:color="FFFFFF" w:fill="FFFFFF"/>
            <w:noWrap/>
            <w:tcMar>
              <w:top w:w="28" w:type="dxa"/>
              <w:bottom w:w="28" w:type="dxa"/>
            </w:tcMar>
            <w:vAlign w:val="center"/>
            <w:hideMark/>
          </w:tcPr>
          <w:p w14:paraId="1CA9E4A0" w14:textId="77777777" w:rsidR="00886404" w:rsidRPr="00B000B6" w:rsidRDefault="00886404" w:rsidP="00BF715B">
            <w:pPr>
              <w:jc w:val="left"/>
              <w:rPr>
                <w:rFonts w:cs="Arial"/>
                <w:color w:val="333333"/>
                <w:sz w:val="20"/>
                <w:szCs w:val="20"/>
              </w:rPr>
            </w:pPr>
            <w:r w:rsidRPr="00B000B6">
              <w:rPr>
                <w:rFonts w:cs="Arial"/>
                <w:color w:val="333333"/>
                <w:sz w:val="20"/>
                <w:szCs w:val="20"/>
              </w:rPr>
              <w:t>Transporte Escolar [2027]</w:t>
            </w:r>
          </w:p>
        </w:tc>
        <w:tc>
          <w:tcPr>
            <w:tcW w:w="834" w:type="pct"/>
            <w:shd w:val="clear" w:color="auto" w:fill="auto"/>
            <w:noWrap/>
            <w:tcMar>
              <w:top w:w="28" w:type="dxa"/>
              <w:bottom w:w="28" w:type="dxa"/>
            </w:tcMar>
            <w:vAlign w:val="center"/>
            <w:hideMark/>
          </w:tcPr>
          <w:p w14:paraId="3CB49771" w14:textId="77777777" w:rsidR="00886404" w:rsidRPr="00B000B6" w:rsidRDefault="00886404" w:rsidP="00BF715B">
            <w:pPr>
              <w:jc w:val="right"/>
              <w:rPr>
                <w:rFonts w:cs="Arial"/>
                <w:color w:val="000000"/>
                <w:sz w:val="20"/>
                <w:szCs w:val="20"/>
              </w:rPr>
            </w:pPr>
            <w:r w:rsidRPr="00B000B6">
              <w:rPr>
                <w:rFonts w:cs="Arial"/>
                <w:color w:val="000000"/>
                <w:sz w:val="20"/>
                <w:szCs w:val="20"/>
              </w:rPr>
              <w:t>252.514.852</w:t>
            </w:r>
          </w:p>
        </w:tc>
        <w:tc>
          <w:tcPr>
            <w:tcW w:w="453" w:type="pct"/>
            <w:shd w:val="clear" w:color="auto" w:fill="auto"/>
            <w:noWrap/>
            <w:tcMar>
              <w:top w:w="28" w:type="dxa"/>
              <w:bottom w:w="28" w:type="dxa"/>
            </w:tcMar>
            <w:vAlign w:val="center"/>
            <w:hideMark/>
          </w:tcPr>
          <w:p w14:paraId="7722ACEA" w14:textId="77777777" w:rsidR="00886404" w:rsidRPr="00B000B6" w:rsidRDefault="00886404" w:rsidP="00BF715B">
            <w:pPr>
              <w:jc w:val="center"/>
              <w:rPr>
                <w:rFonts w:cs="Arial"/>
                <w:color w:val="000000"/>
                <w:sz w:val="20"/>
                <w:szCs w:val="20"/>
              </w:rPr>
            </w:pPr>
            <w:r w:rsidRPr="00B000B6">
              <w:rPr>
                <w:rFonts w:cs="Arial"/>
                <w:color w:val="000000"/>
                <w:sz w:val="20"/>
                <w:szCs w:val="20"/>
              </w:rPr>
              <w:t>3,94</w:t>
            </w:r>
          </w:p>
        </w:tc>
        <w:tc>
          <w:tcPr>
            <w:tcW w:w="759" w:type="pct"/>
            <w:shd w:val="clear" w:color="auto" w:fill="auto"/>
            <w:noWrap/>
            <w:tcMar>
              <w:top w:w="28" w:type="dxa"/>
              <w:bottom w:w="28" w:type="dxa"/>
            </w:tcMar>
            <w:vAlign w:val="center"/>
            <w:hideMark/>
          </w:tcPr>
          <w:p w14:paraId="085093E2" w14:textId="77777777" w:rsidR="00886404" w:rsidRPr="00B000B6" w:rsidRDefault="00886404" w:rsidP="00BF715B">
            <w:pPr>
              <w:jc w:val="right"/>
              <w:rPr>
                <w:rFonts w:cs="Arial"/>
                <w:color w:val="000000"/>
                <w:sz w:val="20"/>
                <w:szCs w:val="20"/>
              </w:rPr>
            </w:pPr>
            <w:r w:rsidRPr="00B000B6">
              <w:rPr>
                <w:rFonts w:cs="Arial"/>
                <w:color w:val="000000"/>
                <w:sz w:val="20"/>
                <w:szCs w:val="20"/>
              </w:rPr>
              <w:t>249.648.451</w:t>
            </w:r>
          </w:p>
        </w:tc>
        <w:tc>
          <w:tcPr>
            <w:tcW w:w="832" w:type="pct"/>
            <w:shd w:val="clear" w:color="auto" w:fill="auto"/>
            <w:noWrap/>
            <w:tcMar>
              <w:top w:w="28" w:type="dxa"/>
              <w:bottom w:w="28" w:type="dxa"/>
            </w:tcMar>
            <w:vAlign w:val="center"/>
            <w:hideMark/>
          </w:tcPr>
          <w:p w14:paraId="1645F6C8" w14:textId="77777777" w:rsidR="00886404" w:rsidRPr="00B000B6" w:rsidRDefault="00886404" w:rsidP="00BF715B">
            <w:pPr>
              <w:jc w:val="right"/>
              <w:rPr>
                <w:rFonts w:cs="Arial"/>
                <w:color w:val="000000"/>
                <w:sz w:val="20"/>
                <w:szCs w:val="20"/>
              </w:rPr>
            </w:pPr>
            <w:r w:rsidRPr="00B000B6">
              <w:rPr>
                <w:rFonts w:cs="Arial"/>
                <w:color w:val="000000"/>
                <w:sz w:val="20"/>
                <w:szCs w:val="20"/>
              </w:rPr>
              <w:t>249.405.187</w:t>
            </w:r>
          </w:p>
        </w:tc>
      </w:tr>
      <w:tr w:rsidR="00886404" w:rsidRPr="00B000B6" w14:paraId="28317149" w14:textId="77777777" w:rsidTr="00886404">
        <w:trPr>
          <w:trHeight w:val="340"/>
        </w:trPr>
        <w:tc>
          <w:tcPr>
            <w:tcW w:w="2122" w:type="pct"/>
            <w:shd w:val="clear" w:color="FFFFFF" w:fill="FFFFFF"/>
            <w:noWrap/>
            <w:tcMar>
              <w:top w:w="28" w:type="dxa"/>
              <w:bottom w:w="28" w:type="dxa"/>
            </w:tcMar>
            <w:vAlign w:val="center"/>
            <w:hideMark/>
          </w:tcPr>
          <w:p w14:paraId="7F1C0FB3" w14:textId="77777777" w:rsidR="00886404" w:rsidRPr="00B000B6" w:rsidRDefault="00886404" w:rsidP="00BF715B">
            <w:pPr>
              <w:jc w:val="left"/>
              <w:rPr>
                <w:rFonts w:cs="Arial"/>
                <w:color w:val="333333"/>
                <w:sz w:val="20"/>
                <w:szCs w:val="20"/>
              </w:rPr>
            </w:pPr>
            <w:r w:rsidRPr="00B000B6">
              <w:rPr>
                <w:rFonts w:cs="Arial"/>
                <w:color w:val="333333"/>
                <w:sz w:val="20"/>
                <w:szCs w:val="20"/>
              </w:rPr>
              <w:t>Bolsa Estudo [2251]</w:t>
            </w:r>
          </w:p>
        </w:tc>
        <w:tc>
          <w:tcPr>
            <w:tcW w:w="834" w:type="pct"/>
            <w:shd w:val="clear" w:color="auto" w:fill="auto"/>
            <w:noWrap/>
            <w:tcMar>
              <w:top w:w="28" w:type="dxa"/>
              <w:bottom w:w="28" w:type="dxa"/>
            </w:tcMar>
            <w:vAlign w:val="center"/>
            <w:hideMark/>
          </w:tcPr>
          <w:p w14:paraId="7293319F" w14:textId="77777777" w:rsidR="00886404" w:rsidRPr="00B000B6" w:rsidRDefault="00886404" w:rsidP="00BF715B">
            <w:pPr>
              <w:jc w:val="right"/>
              <w:rPr>
                <w:rFonts w:cs="Arial"/>
                <w:color w:val="000000"/>
                <w:sz w:val="20"/>
                <w:szCs w:val="20"/>
              </w:rPr>
            </w:pPr>
            <w:r w:rsidRPr="00B000B6">
              <w:rPr>
                <w:rFonts w:cs="Arial"/>
                <w:color w:val="000000"/>
                <w:sz w:val="20"/>
                <w:szCs w:val="20"/>
              </w:rPr>
              <w:t>205.235.666</w:t>
            </w:r>
          </w:p>
        </w:tc>
        <w:tc>
          <w:tcPr>
            <w:tcW w:w="453" w:type="pct"/>
            <w:shd w:val="clear" w:color="auto" w:fill="auto"/>
            <w:noWrap/>
            <w:tcMar>
              <w:top w:w="28" w:type="dxa"/>
              <w:bottom w:w="28" w:type="dxa"/>
            </w:tcMar>
            <w:vAlign w:val="center"/>
            <w:hideMark/>
          </w:tcPr>
          <w:p w14:paraId="13E39AAC" w14:textId="77777777" w:rsidR="00886404" w:rsidRPr="00B000B6" w:rsidRDefault="00886404" w:rsidP="00BF715B">
            <w:pPr>
              <w:jc w:val="center"/>
              <w:rPr>
                <w:rFonts w:cs="Arial"/>
                <w:color w:val="000000"/>
                <w:sz w:val="20"/>
                <w:szCs w:val="20"/>
              </w:rPr>
            </w:pPr>
            <w:r w:rsidRPr="00B000B6">
              <w:rPr>
                <w:rFonts w:cs="Arial"/>
                <w:color w:val="000000"/>
                <w:sz w:val="20"/>
                <w:szCs w:val="20"/>
              </w:rPr>
              <w:t>3,20</w:t>
            </w:r>
          </w:p>
        </w:tc>
        <w:tc>
          <w:tcPr>
            <w:tcW w:w="759" w:type="pct"/>
            <w:shd w:val="clear" w:color="auto" w:fill="auto"/>
            <w:noWrap/>
            <w:tcMar>
              <w:top w:w="28" w:type="dxa"/>
              <w:bottom w:w="28" w:type="dxa"/>
            </w:tcMar>
            <w:vAlign w:val="center"/>
            <w:hideMark/>
          </w:tcPr>
          <w:p w14:paraId="1DB18058" w14:textId="77777777" w:rsidR="00886404" w:rsidRPr="00B000B6" w:rsidRDefault="00886404" w:rsidP="00BF715B">
            <w:pPr>
              <w:jc w:val="right"/>
              <w:rPr>
                <w:rFonts w:cs="Arial"/>
                <w:color w:val="000000"/>
                <w:sz w:val="20"/>
                <w:szCs w:val="20"/>
              </w:rPr>
            </w:pPr>
            <w:r w:rsidRPr="00B000B6">
              <w:rPr>
                <w:rFonts w:cs="Arial"/>
                <w:color w:val="000000"/>
                <w:sz w:val="20"/>
                <w:szCs w:val="20"/>
              </w:rPr>
              <w:t>205.235.666</w:t>
            </w:r>
          </w:p>
        </w:tc>
        <w:tc>
          <w:tcPr>
            <w:tcW w:w="832" w:type="pct"/>
            <w:shd w:val="clear" w:color="auto" w:fill="auto"/>
            <w:noWrap/>
            <w:tcMar>
              <w:top w:w="28" w:type="dxa"/>
              <w:bottom w:w="28" w:type="dxa"/>
            </w:tcMar>
            <w:vAlign w:val="center"/>
            <w:hideMark/>
          </w:tcPr>
          <w:p w14:paraId="3D956ADD" w14:textId="77777777" w:rsidR="00886404" w:rsidRPr="00B000B6" w:rsidRDefault="00886404" w:rsidP="00BF715B">
            <w:pPr>
              <w:jc w:val="right"/>
              <w:rPr>
                <w:rFonts w:cs="Arial"/>
                <w:color w:val="000000"/>
                <w:sz w:val="20"/>
                <w:szCs w:val="20"/>
              </w:rPr>
            </w:pPr>
            <w:r w:rsidRPr="00B000B6">
              <w:rPr>
                <w:rFonts w:cs="Arial"/>
                <w:color w:val="000000"/>
                <w:sz w:val="20"/>
                <w:szCs w:val="20"/>
              </w:rPr>
              <w:t>205.235.666</w:t>
            </w:r>
          </w:p>
        </w:tc>
      </w:tr>
      <w:tr w:rsidR="00886404" w:rsidRPr="00B000B6" w14:paraId="02F16326" w14:textId="77777777" w:rsidTr="00886404">
        <w:trPr>
          <w:trHeight w:val="340"/>
        </w:trPr>
        <w:tc>
          <w:tcPr>
            <w:tcW w:w="2122" w:type="pct"/>
            <w:shd w:val="clear" w:color="FFFFFF" w:fill="FFFFFF"/>
            <w:noWrap/>
            <w:tcMar>
              <w:top w:w="28" w:type="dxa"/>
              <w:bottom w:w="28" w:type="dxa"/>
            </w:tcMar>
            <w:vAlign w:val="center"/>
            <w:hideMark/>
          </w:tcPr>
          <w:p w14:paraId="0BD3BE90" w14:textId="77777777" w:rsidR="00886404" w:rsidRPr="00B000B6" w:rsidRDefault="00886404" w:rsidP="00BF715B">
            <w:pPr>
              <w:jc w:val="left"/>
              <w:rPr>
                <w:rFonts w:cs="Arial"/>
                <w:color w:val="333333"/>
                <w:sz w:val="20"/>
                <w:szCs w:val="20"/>
              </w:rPr>
            </w:pPr>
            <w:r w:rsidRPr="00B000B6">
              <w:rPr>
                <w:rFonts w:cs="Arial"/>
                <w:color w:val="333333"/>
                <w:sz w:val="20"/>
                <w:szCs w:val="20"/>
              </w:rPr>
              <w:t>Gestão da Tecnologia da Informação e Comunicação [2020]</w:t>
            </w:r>
          </w:p>
        </w:tc>
        <w:tc>
          <w:tcPr>
            <w:tcW w:w="834" w:type="pct"/>
            <w:shd w:val="clear" w:color="auto" w:fill="auto"/>
            <w:noWrap/>
            <w:tcMar>
              <w:top w:w="28" w:type="dxa"/>
              <w:bottom w:w="28" w:type="dxa"/>
            </w:tcMar>
            <w:vAlign w:val="center"/>
            <w:hideMark/>
          </w:tcPr>
          <w:p w14:paraId="554240E6" w14:textId="77777777" w:rsidR="00886404" w:rsidRPr="00B000B6" w:rsidRDefault="00886404" w:rsidP="00BF715B">
            <w:pPr>
              <w:jc w:val="right"/>
              <w:rPr>
                <w:rFonts w:cs="Arial"/>
                <w:color w:val="000000"/>
                <w:sz w:val="20"/>
                <w:szCs w:val="20"/>
              </w:rPr>
            </w:pPr>
            <w:r w:rsidRPr="00B000B6">
              <w:rPr>
                <w:rFonts w:cs="Arial"/>
                <w:color w:val="000000"/>
                <w:sz w:val="20"/>
                <w:szCs w:val="20"/>
              </w:rPr>
              <w:t>134.646.907</w:t>
            </w:r>
          </w:p>
        </w:tc>
        <w:tc>
          <w:tcPr>
            <w:tcW w:w="453" w:type="pct"/>
            <w:shd w:val="clear" w:color="auto" w:fill="auto"/>
            <w:noWrap/>
            <w:tcMar>
              <w:top w:w="28" w:type="dxa"/>
              <w:bottom w:w="28" w:type="dxa"/>
            </w:tcMar>
            <w:vAlign w:val="center"/>
            <w:hideMark/>
          </w:tcPr>
          <w:p w14:paraId="69C0A64C" w14:textId="77777777" w:rsidR="00886404" w:rsidRPr="00B000B6" w:rsidRDefault="00886404" w:rsidP="00BF715B">
            <w:pPr>
              <w:jc w:val="center"/>
              <w:rPr>
                <w:rFonts w:cs="Arial"/>
                <w:color w:val="000000"/>
                <w:sz w:val="20"/>
                <w:szCs w:val="20"/>
              </w:rPr>
            </w:pPr>
            <w:r w:rsidRPr="00B000B6">
              <w:rPr>
                <w:rFonts w:cs="Arial"/>
                <w:color w:val="000000"/>
                <w:sz w:val="20"/>
                <w:szCs w:val="20"/>
              </w:rPr>
              <w:t>2,10</w:t>
            </w:r>
          </w:p>
        </w:tc>
        <w:tc>
          <w:tcPr>
            <w:tcW w:w="759" w:type="pct"/>
            <w:shd w:val="clear" w:color="auto" w:fill="auto"/>
            <w:noWrap/>
            <w:tcMar>
              <w:top w:w="28" w:type="dxa"/>
              <w:bottom w:w="28" w:type="dxa"/>
            </w:tcMar>
            <w:vAlign w:val="center"/>
            <w:hideMark/>
          </w:tcPr>
          <w:p w14:paraId="1EB89D49" w14:textId="77777777" w:rsidR="00886404" w:rsidRPr="00B000B6" w:rsidRDefault="00886404" w:rsidP="00BF715B">
            <w:pPr>
              <w:jc w:val="right"/>
              <w:rPr>
                <w:rFonts w:cs="Arial"/>
                <w:color w:val="000000"/>
                <w:sz w:val="20"/>
                <w:szCs w:val="20"/>
              </w:rPr>
            </w:pPr>
            <w:r w:rsidRPr="00B000B6">
              <w:rPr>
                <w:rFonts w:cs="Arial"/>
                <w:color w:val="000000"/>
                <w:sz w:val="20"/>
                <w:szCs w:val="20"/>
              </w:rPr>
              <w:t>120.827.132</w:t>
            </w:r>
          </w:p>
        </w:tc>
        <w:tc>
          <w:tcPr>
            <w:tcW w:w="832" w:type="pct"/>
            <w:shd w:val="clear" w:color="auto" w:fill="auto"/>
            <w:noWrap/>
            <w:tcMar>
              <w:top w:w="28" w:type="dxa"/>
              <w:bottom w:w="28" w:type="dxa"/>
            </w:tcMar>
            <w:vAlign w:val="center"/>
            <w:hideMark/>
          </w:tcPr>
          <w:p w14:paraId="2B76ADAC" w14:textId="77777777" w:rsidR="00886404" w:rsidRPr="00B000B6" w:rsidRDefault="00886404" w:rsidP="00BF715B">
            <w:pPr>
              <w:jc w:val="right"/>
              <w:rPr>
                <w:rFonts w:cs="Arial"/>
                <w:color w:val="000000"/>
                <w:sz w:val="20"/>
                <w:szCs w:val="20"/>
              </w:rPr>
            </w:pPr>
            <w:r w:rsidRPr="00B000B6">
              <w:rPr>
                <w:rFonts w:cs="Arial"/>
                <w:color w:val="000000"/>
                <w:sz w:val="20"/>
                <w:szCs w:val="20"/>
              </w:rPr>
              <w:t>120.765.517</w:t>
            </w:r>
          </w:p>
        </w:tc>
      </w:tr>
      <w:tr w:rsidR="00886404" w:rsidRPr="00B000B6" w14:paraId="78182D3C" w14:textId="77777777" w:rsidTr="00886404">
        <w:trPr>
          <w:trHeight w:val="340"/>
        </w:trPr>
        <w:tc>
          <w:tcPr>
            <w:tcW w:w="2122" w:type="pct"/>
            <w:shd w:val="clear" w:color="FFFFFF" w:fill="FFFFFF"/>
            <w:noWrap/>
            <w:tcMar>
              <w:top w:w="28" w:type="dxa"/>
              <w:bottom w:w="28" w:type="dxa"/>
            </w:tcMar>
            <w:vAlign w:val="center"/>
            <w:hideMark/>
          </w:tcPr>
          <w:p w14:paraId="01755D1C" w14:textId="77777777" w:rsidR="00886404" w:rsidRPr="00B000B6" w:rsidRDefault="00886404" w:rsidP="00BF715B">
            <w:pPr>
              <w:jc w:val="left"/>
              <w:rPr>
                <w:rFonts w:cs="Arial"/>
                <w:color w:val="333333"/>
                <w:sz w:val="20"/>
                <w:szCs w:val="20"/>
              </w:rPr>
            </w:pPr>
            <w:r w:rsidRPr="00B000B6">
              <w:rPr>
                <w:rFonts w:cs="Arial"/>
                <w:color w:val="333333"/>
                <w:sz w:val="20"/>
                <w:szCs w:val="20"/>
              </w:rPr>
              <w:t>Proescola - Repasse de Recursos Financeiros às Unidades Jurisdicionadas [2024]</w:t>
            </w:r>
          </w:p>
        </w:tc>
        <w:tc>
          <w:tcPr>
            <w:tcW w:w="834" w:type="pct"/>
            <w:shd w:val="clear" w:color="auto" w:fill="auto"/>
            <w:noWrap/>
            <w:tcMar>
              <w:top w:w="28" w:type="dxa"/>
              <w:bottom w:w="28" w:type="dxa"/>
            </w:tcMar>
            <w:vAlign w:val="center"/>
            <w:hideMark/>
          </w:tcPr>
          <w:p w14:paraId="0E81A669" w14:textId="77777777" w:rsidR="00886404" w:rsidRPr="00B000B6" w:rsidRDefault="00886404" w:rsidP="00BF715B">
            <w:pPr>
              <w:jc w:val="right"/>
              <w:rPr>
                <w:rFonts w:cs="Arial"/>
                <w:color w:val="000000"/>
                <w:sz w:val="20"/>
                <w:szCs w:val="20"/>
              </w:rPr>
            </w:pPr>
            <w:r w:rsidRPr="00B000B6">
              <w:rPr>
                <w:rFonts w:cs="Arial"/>
                <w:color w:val="000000"/>
                <w:sz w:val="20"/>
                <w:szCs w:val="20"/>
              </w:rPr>
              <w:t>128.484.103</w:t>
            </w:r>
          </w:p>
        </w:tc>
        <w:tc>
          <w:tcPr>
            <w:tcW w:w="453" w:type="pct"/>
            <w:shd w:val="clear" w:color="auto" w:fill="auto"/>
            <w:noWrap/>
            <w:tcMar>
              <w:top w:w="28" w:type="dxa"/>
              <w:bottom w:w="28" w:type="dxa"/>
            </w:tcMar>
            <w:vAlign w:val="center"/>
            <w:hideMark/>
          </w:tcPr>
          <w:p w14:paraId="1ED9CD34" w14:textId="77777777" w:rsidR="00886404" w:rsidRPr="00B000B6" w:rsidRDefault="00886404" w:rsidP="00BF715B">
            <w:pPr>
              <w:jc w:val="center"/>
              <w:rPr>
                <w:rFonts w:cs="Arial"/>
                <w:color w:val="000000"/>
                <w:sz w:val="20"/>
                <w:szCs w:val="20"/>
              </w:rPr>
            </w:pPr>
            <w:r w:rsidRPr="00B000B6">
              <w:rPr>
                <w:rFonts w:cs="Arial"/>
                <w:color w:val="000000"/>
                <w:sz w:val="20"/>
                <w:szCs w:val="20"/>
              </w:rPr>
              <w:t>2,00</w:t>
            </w:r>
          </w:p>
        </w:tc>
        <w:tc>
          <w:tcPr>
            <w:tcW w:w="759" w:type="pct"/>
            <w:shd w:val="clear" w:color="auto" w:fill="auto"/>
            <w:noWrap/>
            <w:tcMar>
              <w:top w:w="28" w:type="dxa"/>
              <w:bottom w:w="28" w:type="dxa"/>
            </w:tcMar>
            <w:vAlign w:val="center"/>
            <w:hideMark/>
          </w:tcPr>
          <w:p w14:paraId="24A1FA0C" w14:textId="77777777" w:rsidR="00886404" w:rsidRPr="00B000B6" w:rsidRDefault="00886404" w:rsidP="00BF715B">
            <w:pPr>
              <w:jc w:val="right"/>
              <w:rPr>
                <w:rFonts w:cs="Arial"/>
                <w:color w:val="000000"/>
                <w:sz w:val="20"/>
                <w:szCs w:val="20"/>
              </w:rPr>
            </w:pPr>
            <w:r w:rsidRPr="00B000B6">
              <w:rPr>
                <w:rFonts w:cs="Arial"/>
                <w:color w:val="000000"/>
                <w:sz w:val="20"/>
                <w:szCs w:val="20"/>
              </w:rPr>
              <w:t>128.484.103</w:t>
            </w:r>
          </w:p>
        </w:tc>
        <w:tc>
          <w:tcPr>
            <w:tcW w:w="832" w:type="pct"/>
            <w:shd w:val="clear" w:color="auto" w:fill="auto"/>
            <w:noWrap/>
            <w:tcMar>
              <w:top w:w="28" w:type="dxa"/>
              <w:bottom w:w="28" w:type="dxa"/>
            </w:tcMar>
            <w:vAlign w:val="center"/>
            <w:hideMark/>
          </w:tcPr>
          <w:p w14:paraId="75026636" w14:textId="77777777" w:rsidR="00886404" w:rsidRPr="00B000B6" w:rsidRDefault="00886404" w:rsidP="00BF715B">
            <w:pPr>
              <w:jc w:val="right"/>
              <w:rPr>
                <w:rFonts w:cs="Arial"/>
                <w:color w:val="000000"/>
                <w:sz w:val="20"/>
                <w:szCs w:val="20"/>
              </w:rPr>
            </w:pPr>
            <w:r w:rsidRPr="00B000B6">
              <w:rPr>
                <w:rFonts w:cs="Arial"/>
                <w:color w:val="000000"/>
                <w:sz w:val="20"/>
                <w:szCs w:val="20"/>
              </w:rPr>
              <w:t>123.031.822</w:t>
            </w:r>
          </w:p>
        </w:tc>
      </w:tr>
      <w:tr w:rsidR="00886404" w:rsidRPr="00B000B6" w14:paraId="1003DA03" w14:textId="77777777" w:rsidTr="00886404">
        <w:trPr>
          <w:trHeight w:val="340"/>
        </w:trPr>
        <w:tc>
          <w:tcPr>
            <w:tcW w:w="2122" w:type="pct"/>
            <w:shd w:val="clear" w:color="FFFFFF" w:fill="FFFFFF"/>
            <w:noWrap/>
            <w:tcMar>
              <w:top w:w="28" w:type="dxa"/>
              <w:bottom w:w="28" w:type="dxa"/>
            </w:tcMar>
            <w:vAlign w:val="center"/>
            <w:hideMark/>
          </w:tcPr>
          <w:p w14:paraId="528C4E4F" w14:textId="77777777" w:rsidR="00886404" w:rsidRPr="00B000B6" w:rsidRDefault="00886404" w:rsidP="00BF715B">
            <w:pPr>
              <w:jc w:val="left"/>
              <w:rPr>
                <w:rFonts w:cs="Arial"/>
                <w:color w:val="333333"/>
                <w:sz w:val="20"/>
                <w:szCs w:val="20"/>
              </w:rPr>
            </w:pPr>
            <w:r w:rsidRPr="00B000B6">
              <w:rPr>
                <w:rFonts w:cs="Arial"/>
                <w:color w:val="333333"/>
                <w:sz w:val="20"/>
                <w:szCs w:val="20"/>
              </w:rPr>
              <w:t>Fornecimento de Alimentação Escolar [2019]</w:t>
            </w:r>
          </w:p>
        </w:tc>
        <w:tc>
          <w:tcPr>
            <w:tcW w:w="834" w:type="pct"/>
            <w:shd w:val="clear" w:color="auto" w:fill="auto"/>
            <w:noWrap/>
            <w:tcMar>
              <w:top w:w="28" w:type="dxa"/>
              <w:bottom w:w="28" w:type="dxa"/>
            </w:tcMar>
            <w:vAlign w:val="center"/>
            <w:hideMark/>
          </w:tcPr>
          <w:p w14:paraId="6BA4FBBF" w14:textId="77777777" w:rsidR="00886404" w:rsidRPr="00B000B6" w:rsidRDefault="00886404" w:rsidP="00BF715B">
            <w:pPr>
              <w:jc w:val="right"/>
              <w:rPr>
                <w:rFonts w:cs="Arial"/>
                <w:color w:val="000000"/>
                <w:sz w:val="20"/>
                <w:szCs w:val="20"/>
              </w:rPr>
            </w:pPr>
            <w:r w:rsidRPr="00B000B6">
              <w:rPr>
                <w:rFonts w:cs="Arial"/>
                <w:color w:val="000000"/>
                <w:sz w:val="20"/>
                <w:szCs w:val="20"/>
              </w:rPr>
              <w:t>125.862.130</w:t>
            </w:r>
          </w:p>
        </w:tc>
        <w:tc>
          <w:tcPr>
            <w:tcW w:w="453" w:type="pct"/>
            <w:shd w:val="clear" w:color="auto" w:fill="auto"/>
            <w:noWrap/>
            <w:tcMar>
              <w:top w:w="28" w:type="dxa"/>
              <w:bottom w:w="28" w:type="dxa"/>
            </w:tcMar>
            <w:vAlign w:val="center"/>
            <w:hideMark/>
          </w:tcPr>
          <w:p w14:paraId="335AC06E" w14:textId="77777777" w:rsidR="00886404" w:rsidRPr="00B000B6" w:rsidRDefault="00886404" w:rsidP="00BF715B">
            <w:pPr>
              <w:jc w:val="center"/>
              <w:rPr>
                <w:rFonts w:cs="Arial"/>
                <w:color w:val="000000"/>
                <w:sz w:val="20"/>
                <w:szCs w:val="20"/>
              </w:rPr>
            </w:pPr>
            <w:r w:rsidRPr="00B000B6">
              <w:rPr>
                <w:rFonts w:cs="Arial"/>
                <w:color w:val="000000"/>
                <w:sz w:val="20"/>
                <w:szCs w:val="20"/>
              </w:rPr>
              <w:t>1,96</w:t>
            </w:r>
          </w:p>
        </w:tc>
        <w:tc>
          <w:tcPr>
            <w:tcW w:w="759" w:type="pct"/>
            <w:shd w:val="clear" w:color="auto" w:fill="auto"/>
            <w:noWrap/>
            <w:tcMar>
              <w:top w:w="28" w:type="dxa"/>
              <w:bottom w:w="28" w:type="dxa"/>
            </w:tcMar>
            <w:vAlign w:val="center"/>
            <w:hideMark/>
          </w:tcPr>
          <w:p w14:paraId="3B95011F" w14:textId="77777777" w:rsidR="00886404" w:rsidRPr="00B000B6" w:rsidRDefault="00886404" w:rsidP="00BF715B">
            <w:pPr>
              <w:jc w:val="right"/>
              <w:rPr>
                <w:rFonts w:cs="Arial"/>
                <w:color w:val="000000"/>
                <w:sz w:val="20"/>
                <w:szCs w:val="20"/>
              </w:rPr>
            </w:pPr>
            <w:r w:rsidRPr="00B000B6">
              <w:rPr>
                <w:rFonts w:cs="Arial"/>
                <w:color w:val="000000"/>
                <w:sz w:val="20"/>
                <w:szCs w:val="20"/>
              </w:rPr>
              <w:t>125.862.130</w:t>
            </w:r>
          </w:p>
        </w:tc>
        <w:tc>
          <w:tcPr>
            <w:tcW w:w="832" w:type="pct"/>
            <w:shd w:val="clear" w:color="auto" w:fill="auto"/>
            <w:noWrap/>
            <w:tcMar>
              <w:top w:w="28" w:type="dxa"/>
              <w:bottom w:w="28" w:type="dxa"/>
            </w:tcMar>
            <w:vAlign w:val="center"/>
            <w:hideMark/>
          </w:tcPr>
          <w:p w14:paraId="5E58CED6" w14:textId="77777777" w:rsidR="00886404" w:rsidRPr="00B000B6" w:rsidRDefault="00886404" w:rsidP="00BF715B">
            <w:pPr>
              <w:jc w:val="right"/>
              <w:rPr>
                <w:rFonts w:cs="Arial"/>
                <w:color w:val="000000"/>
                <w:sz w:val="20"/>
                <w:szCs w:val="20"/>
              </w:rPr>
            </w:pPr>
            <w:r w:rsidRPr="00B000B6">
              <w:rPr>
                <w:rFonts w:cs="Arial"/>
                <w:color w:val="000000"/>
                <w:sz w:val="20"/>
                <w:szCs w:val="20"/>
              </w:rPr>
              <w:t>125.862.130</w:t>
            </w:r>
          </w:p>
        </w:tc>
      </w:tr>
      <w:tr w:rsidR="00886404" w:rsidRPr="00B000B6" w14:paraId="45E26C3E" w14:textId="77777777" w:rsidTr="00886404">
        <w:trPr>
          <w:trHeight w:val="340"/>
        </w:trPr>
        <w:tc>
          <w:tcPr>
            <w:tcW w:w="2122" w:type="pct"/>
            <w:shd w:val="clear" w:color="FFFFFF" w:fill="FFFFFF"/>
            <w:noWrap/>
            <w:tcMar>
              <w:top w:w="28" w:type="dxa"/>
              <w:bottom w:w="28" w:type="dxa"/>
            </w:tcMar>
            <w:vAlign w:val="center"/>
            <w:hideMark/>
          </w:tcPr>
          <w:p w14:paraId="7ECF58A3" w14:textId="77777777" w:rsidR="00886404" w:rsidRPr="00B000B6" w:rsidRDefault="00886404" w:rsidP="00BF715B">
            <w:pPr>
              <w:jc w:val="left"/>
              <w:rPr>
                <w:rFonts w:cs="Arial"/>
                <w:color w:val="333333"/>
                <w:sz w:val="20"/>
                <w:szCs w:val="20"/>
              </w:rPr>
            </w:pPr>
            <w:r w:rsidRPr="00B000B6">
              <w:rPr>
                <w:rFonts w:cs="Arial"/>
                <w:color w:val="333333"/>
                <w:sz w:val="20"/>
                <w:szCs w:val="20"/>
              </w:rPr>
              <w:t>Universitário do Bem [2186]</w:t>
            </w:r>
          </w:p>
        </w:tc>
        <w:tc>
          <w:tcPr>
            <w:tcW w:w="834" w:type="pct"/>
            <w:shd w:val="clear" w:color="auto" w:fill="auto"/>
            <w:noWrap/>
            <w:tcMar>
              <w:top w:w="28" w:type="dxa"/>
              <w:bottom w:w="28" w:type="dxa"/>
            </w:tcMar>
            <w:vAlign w:val="center"/>
            <w:hideMark/>
          </w:tcPr>
          <w:p w14:paraId="73886437" w14:textId="77777777" w:rsidR="00886404" w:rsidRPr="00B000B6" w:rsidRDefault="00886404" w:rsidP="00BF715B">
            <w:pPr>
              <w:jc w:val="right"/>
              <w:rPr>
                <w:rFonts w:cs="Arial"/>
                <w:color w:val="000000"/>
                <w:sz w:val="20"/>
                <w:szCs w:val="20"/>
              </w:rPr>
            </w:pPr>
            <w:r w:rsidRPr="00B000B6">
              <w:rPr>
                <w:rFonts w:cs="Arial"/>
                <w:color w:val="000000"/>
                <w:sz w:val="20"/>
                <w:szCs w:val="20"/>
              </w:rPr>
              <w:t>120.700.766</w:t>
            </w:r>
          </w:p>
        </w:tc>
        <w:tc>
          <w:tcPr>
            <w:tcW w:w="453" w:type="pct"/>
            <w:shd w:val="clear" w:color="auto" w:fill="auto"/>
            <w:noWrap/>
            <w:tcMar>
              <w:top w:w="28" w:type="dxa"/>
              <w:bottom w:w="28" w:type="dxa"/>
            </w:tcMar>
            <w:vAlign w:val="center"/>
            <w:hideMark/>
          </w:tcPr>
          <w:p w14:paraId="52798DB0" w14:textId="77777777" w:rsidR="00886404" w:rsidRPr="00B000B6" w:rsidRDefault="00886404" w:rsidP="00BF715B">
            <w:pPr>
              <w:jc w:val="center"/>
              <w:rPr>
                <w:rFonts w:cs="Arial"/>
                <w:color w:val="000000"/>
                <w:sz w:val="20"/>
                <w:szCs w:val="20"/>
              </w:rPr>
            </w:pPr>
            <w:r w:rsidRPr="00B000B6">
              <w:rPr>
                <w:rFonts w:cs="Arial"/>
                <w:color w:val="000000"/>
                <w:sz w:val="20"/>
                <w:szCs w:val="20"/>
              </w:rPr>
              <w:t>1,88</w:t>
            </w:r>
          </w:p>
        </w:tc>
        <w:tc>
          <w:tcPr>
            <w:tcW w:w="759" w:type="pct"/>
            <w:shd w:val="clear" w:color="auto" w:fill="auto"/>
            <w:noWrap/>
            <w:tcMar>
              <w:top w:w="28" w:type="dxa"/>
              <w:bottom w:w="28" w:type="dxa"/>
            </w:tcMar>
            <w:vAlign w:val="center"/>
            <w:hideMark/>
          </w:tcPr>
          <w:p w14:paraId="1C3D6E95" w14:textId="77777777" w:rsidR="00886404" w:rsidRPr="00B000B6" w:rsidRDefault="00886404" w:rsidP="00BF715B">
            <w:pPr>
              <w:jc w:val="right"/>
              <w:rPr>
                <w:rFonts w:cs="Arial"/>
                <w:color w:val="000000"/>
                <w:sz w:val="20"/>
                <w:szCs w:val="20"/>
              </w:rPr>
            </w:pPr>
            <w:r w:rsidRPr="00B000B6">
              <w:rPr>
                <w:rFonts w:cs="Arial"/>
                <w:color w:val="000000"/>
                <w:sz w:val="20"/>
                <w:szCs w:val="20"/>
              </w:rPr>
              <w:t>120.700.766</w:t>
            </w:r>
          </w:p>
        </w:tc>
        <w:tc>
          <w:tcPr>
            <w:tcW w:w="832" w:type="pct"/>
            <w:shd w:val="clear" w:color="auto" w:fill="auto"/>
            <w:noWrap/>
            <w:tcMar>
              <w:top w:w="28" w:type="dxa"/>
              <w:bottom w:w="28" w:type="dxa"/>
            </w:tcMar>
            <w:vAlign w:val="center"/>
            <w:hideMark/>
          </w:tcPr>
          <w:p w14:paraId="7BC81534" w14:textId="77777777" w:rsidR="00886404" w:rsidRPr="00B000B6" w:rsidRDefault="00886404" w:rsidP="00BF715B">
            <w:pPr>
              <w:jc w:val="right"/>
              <w:rPr>
                <w:rFonts w:cs="Arial"/>
                <w:color w:val="000000"/>
                <w:sz w:val="20"/>
                <w:szCs w:val="20"/>
              </w:rPr>
            </w:pPr>
            <w:r w:rsidRPr="00B000B6">
              <w:rPr>
                <w:rFonts w:cs="Arial"/>
                <w:color w:val="000000"/>
                <w:sz w:val="20"/>
                <w:szCs w:val="20"/>
              </w:rPr>
              <w:t>120.700.766</w:t>
            </w:r>
          </w:p>
        </w:tc>
      </w:tr>
      <w:tr w:rsidR="00886404" w:rsidRPr="00B000B6" w14:paraId="7DCAD9CD" w14:textId="77777777" w:rsidTr="00886404">
        <w:trPr>
          <w:trHeight w:val="340"/>
        </w:trPr>
        <w:tc>
          <w:tcPr>
            <w:tcW w:w="2122" w:type="pct"/>
            <w:shd w:val="clear" w:color="FFFFFF" w:fill="FFFFFF"/>
            <w:noWrap/>
            <w:tcMar>
              <w:top w:w="28" w:type="dxa"/>
              <w:bottom w:w="28" w:type="dxa"/>
            </w:tcMar>
            <w:vAlign w:val="center"/>
            <w:hideMark/>
          </w:tcPr>
          <w:p w14:paraId="1A5F6636" w14:textId="77777777" w:rsidR="00886404" w:rsidRPr="00B000B6" w:rsidRDefault="00886404" w:rsidP="00BF715B">
            <w:pPr>
              <w:jc w:val="left"/>
              <w:rPr>
                <w:rFonts w:cs="Arial"/>
                <w:color w:val="333333"/>
                <w:sz w:val="20"/>
                <w:szCs w:val="20"/>
              </w:rPr>
            </w:pPr>
            <w:r w:rsidRPr="00B000B6">
              <w:rPr>
                <w:rFonts w:cs="Arial"/>
                <w:color w:val="333333"/>
                <w:sz w:val="20"/>
                <w:szCs w:val="20"/>
              </w:rPr>
              <w:t>Fornecimento de Uniforme Escolar para Alunos do Ensino Médio [2295]</w:t>
            </w:r>
          </w:p>
        </w:tc>
        <w:tc>
          <w:tcPr>
            <w:tcW w:w="834" w:type="pct"/>
            <w:shd w:val="clear" w:color="auto" w:fill="auto"/>
            <w:noWrap/>
            <w:tcMar>
              <w:top w:w="28" w:type="dxa"/>
              <w:bottom w:w="28" w:type="dxa"/>
            </w:tcMar>
            <w:vAlign w:val="center"/>
            <w:hideMark/>
          </w:tcPr>
          <w:p w14:paraId="58E0D75E" w14:textId="77777777" w:rsidR="00886404" w:rsidRPr="00B000B6" w:rsidRDefault="00886404" w:rsidP="00BF715B">
            <w:pPr>
              <w:jc w:val="right"/>
              <w:rPr>
                <w:rFonts w:cs="Arial"/>
                <w:color w:val="000000"/>
                <w:sz w:val="20"/>
                <w:szCs w:val="20"/>
              </w:rPr>
            </w:pPr>
            <w:r w:rsidRPr="00B000B6">
              <w:rPr>
                <w:rFonts w:cs="Arial"/>
                <w:color w:val="000000"/>
                <w:sz w:val="20"/>
                <w:szCs w:val="20"/>
              </w:rPr>
              <w:t>112.984.747</w:t>
            </w:r>
          </w:p>
        </w:tc>
        <w:tc>
          <w:tcPr>
            <w:tcW w:w="453" w:type="pct"/>
            <w:shd w:val="clear" w:color="auto" w:fill="auto"/>
            <w:noWrap/>
            <w:tcMar>
              <w:top w:w="28" w:type="dxa"/>
              <w:bottom w:w="28" w:type="dxa"/>
            </w:tcMar>
            <w:vAlign w:val="center"/>
            <w:hideMark/>
          </w:tcPr>
          <w:p w14:paraId="44B3225D" w14:textId="77777777" w:rsidR="00886404" w:rsidRPr="00B000B6" w:rsidRDefault="00886404" w:rsidP="00BF715B">
            <w:pPr>
              <w:jc w:val="center"/>
              <w:rPr>
                <w:rFonts w:cs="Arial"/>
                <w:color w:val="000000"/>
                <w:sz w:val="20"/>
                <w:szCs w:val="20"/>
              </w:rPr>
            </w:pPr>
            <w:r w:rsidRPr="00B000B6">
              <w:rPr>
                <w:rFonts w:cs="Arial"/>
                <w:color w:val="000000"/>
                <w:sz w:val="20"/>
                <w:szCs w:val="20"/>
              </w:rPr>
              <w:t>1,76</w:t>
            </w:r>
          </w:p>
        </w:tc>
        <w:tc>
          <w:tcPr>
            <w:tcW w:w="759" w:type="pct"/>
            <w:shd w:val="clear" w:color="auto" w:fill="auto"/>
            <w:noWrap/>
            <w:tcMar>
              <w:top w:w="28" w:type="dxa"/>
              <w:bottom w:w="28" w:type="dxa"/>
            </w:tcMar>
            <w:vAlign w:val="center"/>
            <w:hideMark/>
          </w:tcPr>
          <w:p w14:paraId="273A353C" w14:textId="77777777" w:rsidR="00886404" w:rsidRPr="00B000B6" w:rsidRDefault="00886404" w:rsidP="00BF715B">
            <w:pPr>
              <w:jc w:val="right"/>
              <w:rPr>
                <w:rFonts w:cs="Arial"/>
                <w:color w:val="000000"/>
                <w:sz w:val="20"/>
                <w:szCs w:val="20"/>
              </w:rPr>
            </w:pPr>
            <w:r w:rsidRPr="00B000B6">
              <w:rPr>
                <w:rFonts w:cs="Arial"/>
                <w:color w:val="000000"/>
                <w:sz w:val="20"/>
                <w:szCs w:val="20"/>
              </w:rPr>
              <w:t>111.142.465</w:t>
            </w:r>
          </w:p>
        </w:tc>
        <w:tc>
          <w:tcPr>
            <w:tcW w:w="832" w:type="pct"/>
            <w:shd w:val="clear" w:color="auto" w:fill="auto"/>
            <w:noWrap/>
            <w:tcMar>
              <w:top w:w="28" w:type="dxa"/>
              <w:bottom w:w="28" w:type="dxa"/>
            </w:tcMar>
            <w:vAlign w:val="center"/>
            <w:hideMark/>
          </w:tcPr>
          <w:p w14:paraId="7F190467" w14:textId="77777777" w:rsidR="00886404" w:rsidRPr="00B000B6" w:rsidRDefault="00886404" w:rsidP="00BF715B">
            <w:pPr>
              <w:jc w:val="right"/>
              <w:rPr>
                <w:rFonts w:cs="Arial"/>
                <w:color w:val="000000"/>
                <w:sz w:val="20"/>
                <w:szCs w:val="20"/>
              </w:rPr>
            </w:pPr>
            <w:r w:rsidRPr="00B000B6">
              <w:rPr>
                <w:rFonts w:cs="Arial"/>
                <w:color w:val="000000"/>
                <w:sz w:val="20"/>
                <w:szCs w:val="20"/>
              </w:rPr>
              <w:t>111.142.055</w:t>
            </w:r>
          </w:p>
        </w:tc>
      </w:tr>
      <w:tr w:rsidR="00886404" w:rsidRPr="00B000B6" w14:paraId="4E31F5E8" w14:textId="77777777" w:rsidTr="00886404">
        <w:trPr>
          <w:trHeight w:val="340"/>
        </w:trPr>
        <w:tc>
          <w:tcPr>
            <w:tcW w:w="2122" w:type="pct"/>
            <w:shd w:val="clear" w:color="FFFFFF" w:fill="FFFFFF"/>
            <w:noWrap/>
            <w:tcMar>
              <w:top w:w="28" w:type="dxa"/>
              <w:bottom w:w="28" w:type="dxa"/>
            </w:tcMar>
            <w:vAlign w:val="center"/>
            <w:hideMark/>
          </w:tcPr>
          <w:p w14:paraId="6A128D5F" w14:textId="77777777" w:rsidR="00886404" w:rsidRPr="00B000B6" w:rsidRDefault="00886404" w:rsidP="00BF715B">
            <w:pPr>
              <w:jc w:val="left"/>
              <w:rPr>
                <w:rFonts w:cs="Arial"/>
                <w:color w:val="333333"/>
                <w:sz w:val="20"/>
                <w:szCs w:val="20"/>
              </w:rPr>
            </w:pPr>
            <w:r w:rsidRPr="00B000B6">
              <w:rPr>
                <w:rFonts w:cs="Arial"/>
                <w:color w:val="333333"/>
                <w:sz w:val="20"/>
                <w:szCs w:val="20"/>
              </w:rPr>
              <w:t>Gestão e Manutenção das Atividades [4243]</w:t>
            </w:r>
          </w:p>
        </w:tc>
        <w:tc>
          <w:tcPr>
            <w:tcW w:w="834" w:type="pct"/>
            <w:shd w:val="clear" w:color="auto" w:fill="auto"/>
            <w:noWrap/>
            <w:tcMar>
              <w:top w:w="28" w:type="dxa"/>
              <w:bottom w:w="28" w:type="dxa"/>
            </w:tcMar>
            <w:vAlign w:val="center"/>
            <w:hideMark/>
          </w:tcPr>
          <w:p w14:paraId="64C6781C" w14:textId="77777777" w:rsidR="00886404" w:rsidRPr="00B000B6" w:rsidRDefault="00886404" w:rsidP="00BF715B">
            <w:pPr>
              <w:jc w:val="right"/>
              <w:rPr>
                <w:rFonts w:cs="Arial"/>
                <w:color w:val="000000"/>
                <w:sz w:val="20"/>
                <w:szCs w:val="20"/>
              </w:rPr>
            </w:pPr>
            <w:r w:rsidRPr="00B000B6">
              <w:rPr>
                <w:rFonts w:cs="Arial"/>
                <w:color w:val="000000"/>
                <w:sz w:val="20"/>
                <w:szCs w:val="20"/>
              </w:rPr>
              <w:t>97.089.270</w:t>
            </w:r>
          </w:p>
        </w:tc>
        <w:tc>
          <w:tcPr>
            <w:tcW w:w="453" w:type="pct"/>
            <w:shd w:val="clear" w:color="auto" w:fill="auto"/>
            <w:noWrap/>
            <w:tcMar>
              <w:top w:w="28" w:type="dxa"/>
              <w:bottom w:w="28" w:type="dxa"/>
            </w:tcMar>
            <w:vAlign w:val="center"/>
            <w:hideMark/>
          </w:tcPr>
          <w:p w14:paraId="2CFABB04" w14:textId="77777777" w:rsidR="00886404" w:rsidRPr="00B000B6" w:rsidRDefault="00886404" w:rsidP="00BF715B">
            <w:pPr>
              <w:jc w:val="center"/>
              <w:rPr>
                <w:rFonts w:cs="Arial"/>
                <w:color w:val="000000"/>
                <w:sz w:val="20"/>
                <w:szCs w:val="20"/>
              </w:rPr>
            </w:pPr>
            <w:r w:rsidRPr="00B000B6">
              <w:rPr>
                <w:rFonts w:cs="Arial"/>
                <w:color w:val="000000"/>
                <w:sz w:val="20"/>
                <w:szCs w:val="20"/>
              </w:rPr>
              <w:t>1,51</w:t>
            </w:r>
          </w:p>
        </w:tc>
        <w:tc>
          <w:tcPr>
            <w:tcW w:w="759" w:type="pct"/>
            <w:shd w:val="clear" w:color="auto" w:fill="auto"/>
            <w:noWrap/>
            <w:tcMar>
              <w:top w:w="28" w:type="dxa"/>
              <w:bottom w:w="28" w:type="dxa"/>
            </w:tcMar>
            <w:vAlign w:val="center"/>
            <w:hideMark/>
          </w:tcPr>
          <w:p w14:paraId="29E5510F" w14:textId="77777777" w:rsidR="00886404" w:rsidRPr="00B000B6" w:rsidRDefault="00886404" w:rsidP="00BF715B">
            <w:pPr>
              <w:jc w:val="right"/>
              <w:rPr>
                <w:rFonts w:cs="Arial"/>
                <w:color w:val="000000"/>
                <w:sz w:val="20"/>
                <w:szCs w:val="20"/>
              </w:rPr>
            </w:pPr>
            <w:r w:rsidRPr="00B000B6">
              <w:rPr>
                <w:rFonts w:cs="Arial"/>
                <w:color w:val="000000"/>
                <w:sz w:val="20"/>
                <w:szCs w:val="20"/>
              </w:rPr>
              <w:t>90.117.302</w:t>
            </w:r>
          </w:p>
        </w:tc>
        <w:tc>
          <w:tcPr>
            <w:tcW w:w="832" w:type="pct"/>
            <w:shd w:val="clear" w:color="auto" w:fill="auto"/>
            <w:noWrap/>
            <w:tcMar>
              <w:top w:w="28" w:type="dxa"/>
              <w:bottom w:w="28" w:type="dxa"/>
            </w:tcMar>
            <w:vAlign w:val="center"/>
            <w:hideMark/>
          </w:tcPr>
          <w:p w14:paraId="5D6386A9" w14:textId="77777777" w:rsidR="00886404" w:rsidRPr="00B000B6" w:rsidRDefault="00886404" w:rsidP="00BF715B">
            <w:pPr>
              <w:jc w:val="right"/>
              <w:rPr>
                <w:rFonts w:cs="Arial"/>
                <w:color w:val="000000"/>
                <w:sz w:val="20"/>
                <w:szCs w:val="20"/>
              </w:rPr>
            </w:pPr>
            <w:r w:rsidRPr="00B000B6">
              <w:rPr>
                <w:rFonts w:cs="Arial"/>
                <w:color w:val="000000"/>
                <w:sz w:val="20"/>
                <w:szCs w:val="20"/>
              </w:rPr>
              <w:t>89.751.179</w:t>
            </w:r>
          </w:p>
        </w:tc>
      </w:tr>
      <w:tr w:rsidR="00886404" w:rsidRPr="00B000B6" w14:paraId="3325B84C" w14:textId="77777777" w:rsidTr="00886404">
        <w:trPr>
          <w:trHeight w:val="340"/>
        </w:trPr>
        <w:tc>
          <w:tcPr>
            <w:tcW w:w="2122" w:type="pct"/>
            <w:shd w:val="clear" w:color="FFFFFF" w:fill="FFFFFF"/>
            <w:noWrap/>
            <w:tcMar>
              <w:top w:w="28" w:type="dxa"/>
              <w:bottom w:w="28" w:type="dxa"/>
            </w:tcMar>
            <w:vAlign w:val="center"/>
            <w:hideMark/>
          </w:tcPr>
          <w:p w14:paraId="6DB3B06D" w14:textId="77777777" w:rsidR="00886404" w:rsidRPr="00B000B6" w:rsidRDefault="00886404" w:rsidP="00BF715B">
            <w:pPr>
              <w:jc w:val="left"/>
              <w:rPr>
                <w:rFonts w:cs="Arial"/>
                <w:color w:val="333333"/>
                <w:sz w:val="20"/>
                <w:szCs w:val="20"/>
              </w:rPr>
            </w:pPr>
            <w:r w:rsidRPr="00B000B6">
              <w:rPr>
                <w:rFonts w:cs="Arial"/>
                <w:color w:val="333333"/>
                <w:sz w:val="20"/>
                <w:szCs w:val="20"/>
              </w:rPr>
              <w:t>Projetos e Atividades na Área da Educação, decorrentes de Emendas Parlamentares Impositivas - LOA 2023 [3139]</w:t>
            </w:r>
          </w:p>
        </w:tc>
        <w:tc>
          <w:tcPr>
            <w:tcW w:w="834" w:type="pct"/>
            <w:shd w:val="clear" w:color="auto" w:fill="auto"/>
            <w:noWrap/>
            <w:tcMar>
              <w:top w:w="28" w:type="dxa"/>
              <w:bottom w:w="28" w:type="dxa"/>
            </w:tcMar>
            <w:vAlign w:val="center"/>
            <w:hideMark/>
          </w:tcPr>
          <w:p w14:paraId="21843C10" w14:textId="77777777" w:rsidR="00886404" w:rsidRPr="00B000B6" w:rsidRDefault="00886404" w:rsidP="00BF715B">
            <w:pPr>
              <w:jc w:val="right"/>
              <w:rPr>
                <w:rFonts w:cs="Arial"/>
                <w:color w:val="000000"/>
                <w:sz w:val="20"/>
                <w:szCs w:val="20"/>
              </w:rPr>
            </w:pPr>
            <w:r w:rsidRPr="00B000B6">
              <w:rPr>
                <w:rFonts w:cs="Arial"/>
                <w:color w:val="000000"/>
                <w:sz w:val="20"/>
                <w:szCs w:val="20"/>
              </w:rPr>
              <w:t>86.650.662</w:t>
            </w:r>
          </w:p>
        </w:tc>
        <w:tc>
          <w:tcPr>
            <w:tcW w:w="453" w:type="pct"/>
            <w:shd w:val="clear" w:color="auto" w:fill="auto"/>
            <w:noWrap/>
            <w:tcMar>
              <w:top w:w="28" w:type="dxa"/>
              <w:bottom w:w="28" w:type="dxa"/>
            </w:tcMar>
            <w:vAlign w:val="center"/>
            <w:hideMark/>
          </w:tcPr>
          <w:p w14:paraId="6900EC08" w14:textId="77777777" w:rsidR="00886404" w:rsidRPr="00B000B6" w:rsidRDefault="00886404" w:rsidP="00BF715B">
            <w:pPr>
              <w:jc w:val="center"/>
              <w:rPr>
                <w:rFonts w:cs="Arial"/>
                <w:color w:val="000000"/>
                <w:sz w:val="20"/>
                <w:szCs w:val="20"/>
              </w:rPr>
            </w:pPr>
            <w:r w:rsidRPr="00B000B6">
              <w:rPr>
                <w:rFonts w:cs="Arial"/>
                <w:color w:val="000000"/>
                <w:sz w:val="20"/>
                <w:szCs w:val="20"/>
              </w:rPr>
              <w:t>1,35</w:t>
            </w:r>
          </w:p>
        </w:tc>
        <w:tc>
          <w:tcPr>
            <w:tcW w:w="759" w:type="pct"/>
            <w:shd w:val="clear" w:color="auto" w:fill="auto"/>
            <w:noWrap/>
            <w:tcMar>
              <w:top w:w="28" w:type="dxa"/>
              <w:bottom w:w="28" w:type="dxa"/>
            </w:tcMar>
            <w:vAlign w:val="center"/>
            <w:hideMark/>
          </w:tcPr>
          <w:p w14:paraId="636BCDEA" w14:textId="77777777" w:rsidR="00886404" w:rsidRPr="00B000B6" w:rsidRDefault="00886404" w:rsidP="00BF715B">
            <w:pPr>
              <w:jc w:val="right"/>
              <w:rPr>
                <w:rFonts w:cs="Arial"/>
                <w:color w:val="000000"/>
                <w:sz w:val="20"/>
                <w:szCs w:val="20"/>
              </w:rPr>
            </w:pPr>
            <w:r w:rsidRPr="00B000B6">
              <w:rPr>
                <w:rFonts w:cs="Arial"/>
                <w:color w:val="000000"/>
                <w:sz w:val="20"/>
                <w:szCs w:val="20"/>
              </w:rPr>
              <w:t>86.650.662</w:t>
            </w:r>
          </w:p>
        </w:tc>
        <w:tc>
          <w:tcPr>
            <w:tcW w:w="832" w:type="pct"/>
            <w:shd w:val="clear" w:color="auto" w:fill="auto"/>
            <w:noWrap/>
            <w:tcMar>
              <w:top w:w="28" w:type="dxa"/>
              <w:bottom w:w="28" w:type="dxa"/>
            </w:tcMar>
            <w:vAlign w:val="center"/>
            <w:hideMark/>
          </w:tcPr>
          <w:p w14:paraId="39C77023" w14:textId="77777777" w:rsidR="00886404" w:rsidRPr="00B000B6" w:rsidRDefault="00886404" w:rsidP="00BF715B">
            <w:pPr>
              <w:jc w:val="right"/>
              <w:rPr>
                <w:rFonts w:cs="Arial"/>
                <w:color w:val="000000"/>
                <w:sz w:val="20"/>
                <w:szCs w:val="20"/>
              </w:rPr>
            </w:pPr>
            <w:r w:rsidRPr="00B000B6">
              <w:rPr>
                <w:rFonts w:cs="Arial"/>
                <w:color w:val="000000"/>
                <w:sz w:val="20"/>
                <w:szCs w:val="20"/>
              </w:rPr>
              <w:t>84.550.662</w:t>
            </w:r>
          </w:p>
        </w:tc>
      </w:tr>
      <w:tr w:rsidR="00886404" w:rsidRPr="00B000B6" w14:paraId="62A61C98" w14:textId="77777777" w:rsidTr="00886404">
        <w:trPr>
          <w:trHeight w:val="340"/>
        </w:trPr>
        <w:tc>
          <w:tcPr>
            <w:tcW w:w="2122" w:type="pct"/>
            <w:shd w:val="clear" w:color="FFFFFF" w:fill="FFFFFF"/>
            <w:noWrap/>
            <w:tcMar>
              <w:top w:w="28" w:type="dxa"/>
              <w:bottom w:w="28" w:type="dxa"/>
            </w:tcMar>
            <w:vAlign w:val="center"/>
            <w:hideMark/>
          </w:tcPr>
          <w:p w14:paraId="491BFD52" w14:textId="77777777" w:rsidR="00886404" w:rsidRPr="00B000B6" w:rsidRDefault="00886404" w:rsidP="00BF715B">
            <w:pPr>
              <w:jc w:val="left"/>
              <w:rPr>
                <w:rFonts w:cs="Arial"/>
                <w:color w:val="333333"/>
                <w:sz w:val="20"/>
                <w:szCs w:val="20"/>
              </w:rPr>
            </w:pPr>
            <w:r w:rsidRPr="00B000B6">
              <w:rPr>
                <w:rFonts w:cs="Arial"/>
                <w:color w:val="333333"/>
                <w:sz w:val="20"/>
                <w:szCs w:val="20"/>
              </w:rPr>
              <w:t>Modernização das Unidades Jurisdicionadas da Educação [2022]</w:t>
            </w:r>
          </w:p>
        </w:tc>
        <w:tc>
          <w:tcPr>
            <w:tcW w:w="834" w:type="pct"/>
            <w:shd w:val="clear" w:color="auto" w:fill="auto"/>
            <w:noWrap/>
            <w:tcMar>
              <w:top w:w="28" w:type="dxa"/>
              <w:bottom w:w="28" w:type="dxa"/>
            </w:tcMar>
            <w:vAlign w:val="center"/>
            <w:hideMark/>
          </w:tcPr>
          <w:p w14:paraId="51D21817" w14:textId="77777777" w:rsidR="00886404" w:rsidRPr="00B000B6" w:rsidRDefault="00886404" w:rsidP="00BF715B">
            <w:pPr>
              <w:jc w:val="right"/>
              <w:rPr>
                <w:rFonts w:cs="Arial"/>
                <w:color w:val="000000"/>
                <w:sz w:val="20"/>
                <w:szCs w:val="20"/>
              </w:rPr>
            </w:pPr>
            <w:r w:rsidRPr="00B000B6">
              <w:rPr>
                <w:rFonts w:cs="Arial"/>
                <w:color w:val="000000"/>
                <w:sz w:val="20"/>
                <w:szCs w:val="20"/>
              </w:rPr>
              <w:t>83.080.060</w:t>
            </w:r>
          </w:p>
        </w:tc>
        <w:tc>
          <w:tcPr>
            <w:tcW w:w="453" w:type="pct"/>
            <w:shd w:val="clear" w:color="auto" w:fill="auto"/>
            <w:noWrap/>
            <w:tcMar>
              <w:top w:w="28" w:type="dxa"/>
              <w:bottom w:w="28" w:type="dxa"/>
            </w:tcMar>
            <w:vAlign w:val="center"/>
            <w:hideMark/>
          </w:tcPr>
          <w:p w14:paraId="03F31A61" w14:textId="77777777" w:rsidR="00886404" w:rsidRPr="00B000B6" w:rsidRDefault="00886404" w:rsidP="00BF715B">
            <w:pPr>
              <w:jc w:val="center"/>
              <w:rPr>
                <w:rFonts w:cs="Arial"/>
                <w:color w:val="000000"/>
                <w:sz w:val="20"/>
                <w:szCs w:val="20"/>
              </w:rPr>
            </w:pPr>
            <w:r w:rsidRPr="00B000B6">
              <w:rPr>
                <w:rFonts w:cs="Arial"/>
                <w:color w:val="000000"/>
                <w:sz w:val="20"/>
                <w:szCs w:val="20"/>
              </w:rPr>
              <w:t>1,30</w:t>
            </w:r>
          </w:p>
        </w:tc>
        <w:tc>
          <w:tcPr>
            <w:tcW w:w="759" w:type="pct"/>
            <w:shd w:val="clear" w:color="auto" w:fill="auto"/>
            <w:noWrap/>
            <w:tcMar>
              <w:top w:w="28" w:type="dxa"/>
              <w:bottom w:w="28" w:type="dxa"/>
            </w:tcMar>
            <w:vAlign w:val="center"/>
            <w:hideMark/>
          </w:tcPr>
          <w:p w14:paraId="20479D8F" w14:textId="77777777" w:rsidR="00886404" w:rsidRPr="00B000B6" w:rsidRDefault="00886404" w:rsidP="00BF715B">
            <w:pPr>
              <w:jc w:val="right"/>
              <w:rPr>
                <w:rFonts w:cs="Arial"/>
                <w:color w:val="000000"/>
                <w:sz w:val="20"/>
                <w:szCs w:val="20"/>
              </w:rPr>
            </w:pPr>
            <w:r w:rsidRPr="00B000B6">
              <w:rPr>
                <w:rFonts w:cs="Arial"/>
                <w:color w:val="000000"/>
                <w:sz w:val="20"/>
                <w:szCs w:val="20"/>
              </w:rPr>
              <w:t>59.771.375</w:t>
            </w:r>
          </w:p>
        </w:tc>
        <w:tc>
          <w:tcPr>
            <w:tcW w:w="832" w:type="pct"/>
            <w:shd w:val="clear" w:color="auto" w:fill="auto"/>
            <w:noWrap/>
            <w:tcMar>
              <w:top w:w="28" w:type="dxa"/>
              <w:bottom w:w="28" w:type="dxa"/>
            </w:tcMar>
            <w:vAlign w:val="center"/>
            <w:hideMark/>
          </w:tcPr>
          <w:p w14:paraId="767431C4" w14:textId="77777777" w:rsidR="00886404" w:rsidRPr="00B000B6" w:rsidRDefault="00886404" w:rsidP="00BF715B">
            <w:pPr>
              <w:jc w:val="right"/>
              <w:rPr>
                <w:rFonts w:cs="Arial"/>
                <w:color w:val="000000"/>
                <w:sz w:val="20"/>
                <w:szCs w:val="20"/>
              </w:rPr>
            </w:pPr>
            <w:r w:rsidRPr="00B000B6">
              <w:rPr>
                <w:rFonts w:cs="Arial"/>
                <w:color w:val="000000"/>
                <w:sz w:val="20"/>
                <w:szCs w:val="20"/>
              </w:rPr>
              <w:t>59.771.375</w:t>
            </w:r>
          </w:p>
        </w:tc>
      </w:tr>
      <w:tr w:rsidR="00886404" w:rsidRPr="00B000B6" w14:paraId="520F7DD0" w14:textId="77777777" w:rsidTr="00886404">
        <w:trPr>
          <w:trHeight w:val="340"/>
        </w:trPr>
        <w:tc>
          <w:tcPr>
            <w:tcW w:w="2122" w:type="pct"/>
            <w:shd w:val="clear" w:color="FFFFFF" w:fill="FFFFFF"/>
            <w:noWrap/>
            <w:tcMar>
              <w:top w:w="28" w:type="dxa"/>
              <w:bottom w:w="28" w:type="dxa"/>
            </w:tcMar>
            <w:vAlign w:val="center"/>
            <w:hideMark/>
          </w:tcPr>
          <w:p w14:paraId="19A3DEBE" w14:textId="77777777" w:rsidR="00886404" w:rsidRPr="00B000B6" w:rsidRDefault="00886404" w:rsidP="00BF715B">
            <w:pPr>
              <w:jc w:val="left"/>
              <w:rPr>
                <w:rFonts w:cs="Arial"/>
                <w:color w:val="333333"/>
                <w:sz w:val="20"/>
                <w:szCs w:val="20"/>
              </w:rPr>
            </w:pPr>
            <w:r w:rsidRPr="00B000B6">
              <w:rPr>
                <w:rFonts w:cs="Arial"/>
                <w:color w:val="333333"/>
                <w:sz w:val="20"/>
                <w:szCs w:val="20"/>
              </w:rPr>
              <w:t>Apoio Administrativo ao Desenvolvimento das Atividades de Ensino [2284]</w:t>
            </w:r>
          </w:p>
        </w:tc>
        <w:tc>
          <w:tcPr>
            <w:tcW w:w="834" w:type="pct"/>
            <w:shd w:val="clear" w:color="auto" w:fill="auto"/>
            <w:noWrap/>
            <w:tcMar>
              <w:top w:w="28" w:type="dxa"/>
              <w:bottom w:w="28" w:type="dxa"/>
            </w:tcMar>
            <w:vAlign w:val="center"/>
            <w:hideMark/>
          </w:tcPr>
          <w:p w14:paraId="3EA4EB9A" w14:textId="77777777" w:rsidR="00886404" w:rsidRPr="00B000B6" w:rsidRDefault="00886404" w:rsidP="00BF715B">
            <w:pPr>
              <w:jc w:val="right"/>
              <w:rPr>
                <w:rFonts w:cs="Arial"/>
                <w:color w:val="000000"/>
                <w:sz w:val="20"/>
                <w:szCs w:val="20"/>
              </w:rPr>
            </w:pPr>
            <w:r w:rsidRPr="00B000B6">
              <w:rPr>
                <w:rFonts w:cs="Arial"/>
                <w:color w:val="000000"/>
                <w:sz w:val="20"/>
                <w:szCs w:val="20"/>
              </w:rPr>
              <w:t>75.749.763</w:t>
            </w:r>
          </w:p>
        </w:tc>
        <w:tc>
          <w:tcPr>
            <w:tcW w:w="453" w:type="pct"/>
            <w:shd w:val="clear" w:color="auto" w:fill="auto"/>
            <w:noWrap/>
            <w:tcMar>
              <w:top w:w="28" w:type="dxa"/>
              <w:bottom w:w="28" w:type="dxa"/>
            </w:tcMar>
            <w:vAlign w:val="center"/>
            <w:hideMark/>
          </w:tcPr>
          <w:p w14:paraId="57EF3ED9" w14:textId="77777777" w:rsidR="00886404" w:rsidRPr="00B000B6" w:rsidRDefault="00886404" w:rsidP="00BF715B">
            <w:pPr>
              <w:jc w:val="center"/>
              <w:rPr>
                <w:rFonts w:cs="Arial"/>
                <w:color w:val="000000"/>
                <w:sz w:val="20"/>
                <w:szCs w:val="20"/>
              </w:rPr>
            </w:pPr>
            <w:r w:rsidRPr="00B000B6">
              <w:rPr>
                <w:rFonts w:cs="Arial"/>
                <w:color w:val="000000"/>
                <w:sz w:val="20"/>
                <w:szCs w:val="20"/>
              </w:rPr>
              <w:t>1,18</w:t>
            </w:r>
          </w:p>
        </w:tc>
        <w:tc>
          <w:tcPr>
            <w:tcW w:w="759" w:type="pct"/>
            <w:shd w:val="clear" w:color="auto" w:fill="auto"/>
            <w:noWrap/>
            <w:tcMar>
              <w:top w:w="28" w:type="dxa"/>
              <w:bottom w:w="28" w:type="dxa"/>
            </w:tcMar>
            <w:vAlign w:val="center"/>
            <w:hideMark/>
          </w:tcPr>
          <w:p w14:paraId="104AE4C0" w14:textId="77777777" w:rsidR="00886404" w:rsidRPr="00B000B6" w:rsidRDefault="00886404" w:rsidP="00BF715B">
            <w:pPr>
              <w:jc w:val="right"/>
              <w:rPr>
                <w:rFonts w:cs="Arial"/>
                <w:color w:val="000000"/>
                <w:sz w:val="20"/>
                <w:szCs w:val="20"/>
              </w:rPr>
            </w:pPr>
            <w:r w:rsidRPr="00B000B6">
              <w:rPr>
                <w:rFonts w:cs="Arial"/>
                <w:color w:val="000000"/>
                <w:sz w:val="20"/>
                <w:szCs w:val="20"/>
              </w:rPr>
              <w:t>72.081.835</w:t>
            </w:r>
          </w:p>
        </w:tc>
        <w:tc>
          <w:tcPr>
            <w:tcW w:w="832" w:type="pct"/>
            <w:shd w:val="clear" w:color="auto" w:fill="auto"/>
            <w:noWrap/>
            <w:tcMar>
              <w:top w:w="28" w:type="dxa"/>
              <w:bottom w:w="28" w:type="dxa"/>
            </w:tcMar>
            <w:vAlign w:val="center"/>
            <w:hideMark/>
          </w:tcPr>
          <w:p w14:paraId="24364C07" w14:textId="77777777" w:rsidR="00886404" w:rsidRPr="00B000B6" w:rsidRDefault="00886404" w:rsidP="00BF715B">
            <w:pPr>
              <w:jc w:val="right"/>
              <w:rPr>
                <w:rFonts w:cs="Arial"/>
                <w:color w:val="000000"/>
                <w:sz w:val="20"/>
                <w:szCs w:val="20"/>
              </w:rPr>
            </w:pPr>
            <w:r w:rsidRPr="00B000B6">
              <w:rPr>
                <w:rFonts w:cs="Arial"/>
                <w:color w:val="000000"/>
                <w:sz w:val="20"/>
                <w:szCs w:val="20"/>
              </w:rPr>
              <w:t>72.081.820</w:t>
            </w:r>
          </w:p>
        </w:tc>
      </w:tr>
      <w:tr w:rsidR="00886404" w:rsidRPr="00B000B6" w14:paraId="4A3E9A78" w14:textId="77777777" w:rsidTr="00886404">
        <w:trPr>
          <w:trHeight w:val="340"/>
        </w:trPr>
        <w:tc>
          <w:tcPr>
            <w:tcW w:w="2122" w:type="pct"/>
            <w:shd w:val="clear" w:color="FFFFFF" w:fill="FFFFFF"/>
            <w:noWrap/>
            <w:tcMar>
              <w:top w:w="28" w:type="dxa"/>
              <w:bottom w:w="28" w:type="dxa"/>
            </w:tcMar>
            <w:vAlign w:val="center"/>
            <w:hideMark/>
          </w:tcPr>
          <w:p w14:paraId="375A632A" w14:textId="77777777" w:rsidR="00886404" w:rsidRPr="00B000B6" w:rsidRDefault="00886404" w:rsidP="00BF715B">
            <w:pPr>
              <w:jc w:val="left"/>
              <w:rPr>
                <w:rFonts w:cs="Arial"/>
                <w:color w:val="333333"/>
                <w:sz w:val="20"/>
                <w:szCs w:val="20"/>
              </w:rPr>
            </w:pPr>
            <w:r w:rsidRPr="00B000B6">
              <w:rPr>
                <w:rFonts w:cs="Arial"/>
                <w:color w:val="333333"/>
                <w:sz w:val="20"/>
                <w:szCs w:val="20"/>
              </w:rPr>
              <w:t>Ampliação, Reforma E Adequação De Unidades Escolares [2283]</w:t>
            </w:r>
          </w:p>
        </w:tc>
        <w:tc>
          <w:tcPr>
            <w:tcW w:w="834" w:type="pct"/>
            <w:shd w:val="clear" w:color="auto" w:fill="auto"/>
            <w:noWrap/>
            <w:tcMar>
              <w:top w:w="28" w:type="dxa"/>
              <w:bottom w:w="28" w:type="dxa"/>
            </w:tcMar>
            <w:vAlign w:val="center"/>
            <w:hideMark/>
          </w:tcPr>
          <w:p w14:paraId="219B0A7E" w14:textId="77777777" w:rsidR="00886404" w:rsidRPr="00B000B6" w:rsidRDefault="00886404" w:rsidP="00BF715B">
            <w:pPr>
              <w:jc w:val="right"/>
              <w:rPr>
                <w:rFonts w:cs="Arial"/>
                <w:color w:val="000000"/>
                <w:sz w:val="20"/>
                <w:szCs w:val="20"/>
              </w:rPr>
            </w:pPr>
            <w:r w:rsidRPr="00B000B6">
              <w:rPr>
                <w:rFonts w:cs="Arial"/>
                <w:color w:val="000000"/>
                <w:sz w:val="20"/>
                <w:szCs w:val="20"/>
              </w:rPr>
              <w:t>75.181.031</w:t>
            </w:r>
          </w:p>
        </w:tc>
        <w:tc>
          <w:tcPr>
            <w:tcW w:w="453" w:type="pct"/>
            <w:shd w:val="clear" w:color="auto" w:fill="auto"/>
            <w:noWrap/>
            <w:tcMar>
              <w:top w:w="28" w:type="dxa"/>
              <w:bottom w:w="28" w:type="dxa"/>
            </w:tcMar>
            <w:vAlign w:val="center"/>
            <w:hideMark/>
          </w:tcPr>
          <w:p w14:paraId="53EE3B25" w14:textId="77777777" w:rsidR="00886404" w:rsidRPr="00B000B6" w:rsidRDefault="00886404" w:rsidP="00BF715B">
            <w:pPr>
              <w:jc w:val="center"/>
              <w:rPr>
                <w:rFonts w:cs="Arial"/>
                <w:color w:val="000000"/>
                <w:sz w:val="20"/>
                <w:szCs w:val="20"/>
              </w:rPr>
            </w:pPr>
            <w:r w:rsidRPr="00B000B6">
              <w:rPr>
                <w:rFonts w:cs="Arial"/>
                <w:color w:val="000000"/>
                <w:sz w:val="20"/>
                <w:szCs w:val="20"/>
              </w:rPr>
              <w:t>1,17</w:t>
            </w:r>
          </w:p>
        </w:tc>
        <w:tc>
          <w:tcPr>
            <w:tcW w:w="759" w:type="pct"/>
            <w:shd w:val="clear" w:color="auto" w:fill="auto"/>
            <w:noWrap/>
            <w:tcMar>
              <w:top w:w="28" w:type="dxa"/>
              <w:bottom w:w="28" w:type="dxa"/>
            </w:tcMar>
            <w:vAlign w:val="center"/>
            <w:hideMark/>
          </w:tcPr>
          <w:p w14:paraId="755FDD32" w14:textId="77777777" w:rsidR="00886404" w:rsidRPr="00B000B6" w:rsidRDefault="00886404" w:rsidP="00BF715B">
            <w:pPr>
              <w:jc w:val="right"/>
              <w:rPr>
                <w:rFonts w:cs="Arial"/>
                <w:color w:val="000000"/>
                <w:sz w:val="20"/>
                <w:szCs w:val="20"/>
              </w:rPr>
            </w:pPr>
            <w:r w:rsidRPr="00B000B6">
              <w:rPr>
                <w:rFonts w:cs="Arial"/>
                <w:color w:val="000000"/>
                <w:sz w:val="20"/>
                <w:szCs w:val="20"/>
              </w:rPr>
              <w:t>67.685.132</w:t>
            </w:r>
          </w:p>
        </w:tc>
        <w:tc>
          <w:tcPr>
            <w:tcW w:w="832" w:type="pct"/>
            <w:shd w:val="clear" w:color="auto" w:fill="auto"/>
            <w:noWrap/>
            <w:tcMar>
              <w:top w:w="28" w:type="dxa"/>
              <w:bottom w:w="28" w:type="dxa"/>
            </w:tcMar>
            <w:vAlign w:val="center"/>
            <w:hideMark/>
          </w:tcPr>
          <w:p w14:paraId="79B5B06F" w14:textId="77777777" w:rsidR="00886404" w:rsidRPr="00B000B6" w:rsidRDefault="00886404" w:rsidP="00BF715B">
            <w:pPr>
              <w:jc w:val="right"/>
              <w:rPr>
                <w:rFonts w:cs="Arial"/>
                <w:color w:val="000000"/>
                <w:sz w:val="20"/>
                <w:szCs w:val="20"/>
              </w:rPr>
            </w:pPr>
            <w:r w:rsidRPr="00B000B6">
              <w:rPr>
                <w:rFonts w:cs="Arial"/>
                <w:color w:val="000000"/>
                <w:sz w:val="20"/>
                <w:szCs w:val="20"/>
              </w:rPr>
              <w:t>67.544.827</w:t>
            </w:r>
          </w:p>
        </w:tc>
      </w:tr>
      <w:tr w:rsidR="00886404" w:rsidRPr="00B000B6" w14:paraId="2464449A" w14:textId="77777777" w:rsidTr="00886404">
        <w:trPr>
          <w:trHeight w:val="340"/>
        </w:trPr>
        <w:tc>
          <w:tcPr>
            <w:tcW w:w="2122" w:type="pct"/>
            <w:tcBorders>
              <w:bottom w:val="single" w:sz="4" w:space="0" w:color="auto"/>
            </w:tcBorders>
            <w:shd w:val="clear" w:color="FFFFFF" w:fill="FFFFFF"/>
            <w:noWrap/>
            <w:tcMar>
              <w:top w:w="28" w:type="dxa"/>
              <w:bottom w:w="28" w:type="dxa"/>
            </w:tcMar>
            <w:vAlign w:val="center"/>
          </w:tcPr>
          <w:p w14:paraId="5EB8C914" w14:textId="77777777" w:rsidR="00886404" w:rsidRPr="00B000B6" w:rsidRDefault="00886404" w:rsidP="00BF715B">
            <w:pPr>
              <w:jc w:val="left"/>
              <w:rPr>
                <w:rFonts w:cs="Arial"/>
                <w:color w:val="333333"/>
                <w:sz w:val="20"/>
                <w:szCs w:val="20"/>
              </w:rPr>
            </w:pPr>
            <w:r w:rsidRPr="00B000B6">
              <w:rPr>
                <w:rFonts w:cs="Arial"/>
                <w:color w:val="333333"/>
                <w:sz w:val="20"/>
                <w:szCs w:val="20"/>
              </w:rPr>
              <w:t>Demais Ações</w:t>
            </w:r>
          </w:p>
        </w:tc>
        <w:tc>
          <w:tcPr>
            <w:tcW w:w="834" w:type="pct"/>
            <w:tcBorders>
              <w:bottom w:val="single" w:sz="4" w:space="0" w:color="auto"/>
            </w:tcBorders>
            <w:shd w:val="clear" w:color="auto" w:fill="auto"/>
            <w:noWrap/>
            <w:tcMar>
              <w:top w:w="28" w:type="dxa"/>
              <w:bottom w:w="28" w:type="dxa"/>
            </w:tcMar>
            <w:vAlign w:val="center"/>
          </w:tcPr>
          <w:p w14:paraId="7206FC26" w14:textId="77777777" w:rsidR="00886404" w:rsidRPr="00B000B6" w:rsidRDefault="00886404" w:rsidP="00BF715B">
            <w:pPr>
              <w:jc w:val="right"/>
              <w:rPr>
                <w:rFonts w:cs="Arial"/>
                <w:color w:val="000000"/>
                <w:sz w:val="20"/>
                <w:szCs w:val="20"/>
              </w:rPr>
            </w:pPr>
            <w:r w:rsidRPr="00B000B6">
              <w:rPr>
                <w:rFonts w:cs="Arial"/>
                <w:color w:val="000000"/>
                <w:sz w:val="20"/>
                <w:szCs w:val="20"/>
              </w:rPr>
              <w:t>571.664.256</w:t>
            </w:r>
          </w:p>
        </w:tc>
        <w:tc>
          <w:tcPr>
            <w:tcW w:w="453" w:type="pct"/>
            <w:tcBorders>
              <w:bottom w:val="single" w:sz="4" w:space="0" w:color="auto"/>
            </w:tcBorders>
            <w:shd w:val="clear" w:color="auto" w:fill="auto"/>
            <w:noWrap/>
            <w:tcMar>
              <w:top w:w="28" w:type="dxa"/>
              <w:bottom w:w="28" w:type="dxa"/>
            </w:tcMar>
            <w:vAlign w:val="center"/>
          </w:tcPr>
          <w:p w14:paraId="11042FA0" w14:textId="77777777" w:rsidR="00886404" w:rsidRPr="00B000B6" w:rsidRDefault="00886404" w:rsidP="00BF715B">
            <w:pPr>
              <w:jc w:val="center"/>
              <w:rPr>
                <w:rFonts w:cs="Arial"/>
                <w:color w:val="000000"/>
                <w:sz w:val="20"/>
                <w:szCs w:val="20"/>
              </w:rPr>
            </w:pPr>
            <w:r w:rsidRPr="00B000B6">
              <w:rPr>
                <w:rFonts w:cs="Arial"/>
                <w:color w:val="000000"/>
                <w:sz w:val="20"/>
                <w:szCs w:val="20"/>
              </w:rPr>
              <w:t>8,92</w:t>
            </w:r>
          </w:p>
        </w:tc>
        <w:tc>
          <w:tcPr>
            <w:tcW w:w="759" w:type="pct"/>
            <w:tcBorders>
              <w:bottom w:val="single" w:sz="4" w:space="0" w:color="auto"/>
            </w:tcBorders>
            <w:shd w:val="clear" w:color="auto" w:fill="auto"/>
            <w:noWrap/>
            <w:tcMar>
              <w:top w:w="28" w:type="dxa"/>
              <w:bottom w:w="28" w:type="dxa"/>
            </w:tcMar>
            <w:vAlign w:val="center"/>
          </w:tcPr>
          <w:p w14:paraId="68A3BD4D" w14:textId="77777777" w:rsidR="00886404" w:rsidRPr="00B000B6" w:rsidRDefault="00886404" w:rsidP="00BF715B">
            <w:pPr>
              <w:jc w:val="right"/>
              <w:rPr>
                <w:rFonts w:cs="Arial"/>
                <w:color w:val="000000"/>
                <w:sz w:val="20"/>
                <w:szCs w:val="20"/>
              </w:rPr>
            </w:pPr>
            <w:r w:rsidRPr="00B000B6">
              <w:rPr>
                <w:rFonts w:cs="Arial"/>
                <w:color w:val="000000"/>
                <w:sz w:val="20"/>
                <w:szCs w:val="20"/>
              </w:rPr>
              <w:t>537847559</w:t>
            </w:r>
          </w:p>
        </w:tc>
        <w:tc>
          <w:tcPr>
            <w:tcW w:w="832" w:type="pct"/>
            <w:tcBorders>
              <w:bottom w:val="single" w:sz="4" w:space="0" w:color="auto"/>
            </w:tcBorders>
            <w:shd w:val="clear" w:color="auto" w:fill="auto"/>
            <w:noWrap/>
            <w:tcMar>
              <w:top w:w="28" w:type="dxa"/>
              <w:bottom w:w="28" w:type="dxa"/>
            </w:tcMar>
            <w:vAlign w:val="center"/>
          </w:tcPr>
          <w:p w14:paraId="6CA22B4E" w14:textId="77777777" w:rsidR="00886404" w:rsidRPr="00B000B6" w:rsidRDefault="00886404" w:rsidP="00BF715B">
            <w:pPr>
              <w:jc w:val="right"/>
              <w:rPr>
                <w:rFonts w:cs="Arial"/>
                <w:color w:val="000000"/>
                <w:sz w:val="20"/>
                <w:szCs w:val="20"/>
              </w:rPr>
            </w:pPr>
            <w:r w:rsidRPr="00B000B6">
              <w:rPr>
                <w:rFonts w:cs="Arial"/>
                <w:color w:val="000000"/>
                <w:sz w:val="20"/>
                <w:szCs w:val="20"/>
              </w:rPr>
              <w:t>537290478</w:t>
            </w:r>
          </w:p>
        </w:tc>
      </w:tr>
      <w:tr w:rsidR="00886404" w:rsidRPr="00B000B6" w14:paraId="1B8758D2" w14:textId="77777777" w:rsidTr="00886404">
        <w:trPr>
          <w:trHeight w:val="340"/>
        </w:trPr>
        <w:tc>
          <w:tcPr>
            <w:tcW w:w="2122" w:type="pct"/>
            <w:tcBorders>
              <w:top w:val="single" w:sz="4" w:space="0" w:color="auto"/>
              <w:bottom w:val="single" w:sz="4" w:space="0" w:color="auto"/>
            </w:tcBorders>
            <w:shd w:val="clear" w:color="FFFFFF" w:fill="FFFFFF"/>
            <w:noWrap/>
            <w:tcMar>
              <w:top w:w="28" w:type="dxa"/>
              <w:bottom w:w="28" w:type="dxa"/>
            </w:tcMar>
            <w:vAlign w:val="center"/>
          </w:tcPr>
          <w:p w14:paraId="35A885C3" w14:textId="77777777" w:rsidR="00886404" w:rsidRPr="00B000B6" w:rsidRDefault="00886404" w:rsidP="00BF715B">
            <w:pPr>
              <w:jc w:val="center"/>
              <w:rPr>
                <w:rFonts w:cs="Arial"/>
                <w:b/>
                <w:color w:val="333333"/>
                <w:sz w:val="20"/>
                <w:szCs w:val="20"/>
              </w:rPr>
            </w:pPr>
            <w:r w:rsidRPr="00B000B6">
              <w:rPr>
                <w:rFonts w:cs="Arial"/>
                <w:b/>
                <w:bCs/>
                <w:color w:val="000000"/>
                <w:sz w:val="20"/>
                <w:szCs w:val="20"/>
              </w:rPr>
              <w:t>Total</w:t>
            </w:r>
          </w:p>
        </w:tc>
        <w:tc>
          <w:tcPr>
            <w:tcW w:w="834" w:type="pct"/>
            <w:tcBorders>
              <w:top w:val="single" w:sz="4" w:space="0" w:color="auto"/>
              <w:bottom w:val="single" w:sz="4" w:space="0" w:color="auto"/>
            </w:tcBorders>
            <w:shd w:val="clear" w:color="auto" w:fill="auto"/>
            <w:noWrap/>
            <w:tcMar>
              <w:top w:w="28" w:type="dxa"/>
              <w:bottom w:w="28" w:type="dxa"/>
            </w:tcMar>
            <w:vAlign w:val="center"/>
          </w:tcPr>
          <w:p w14:paraId="1D205E10" w14:textId="77777777" w:rsidR="00886404" w:rsidRPr="00B000B6" w:rsidRDefault="00886404" w:rsidP="00BF715B">
            <w:pPr>
              <w:jc w:val="right"/>
              <w:rPr>
                <w:rFonts w:cs="Arial"/>
                <w:b/>
                <w:color w:val="000000"/>
                <w:sz w:val="20"/>
                <w:szCs w:val="20"/>
              </w:rPr>
            </w:pPr>
            <w:r w:rsidRPr="00B000B6">
              <w:rPr>
                <w:rFonts w:cs="Arial"/>
                <w:b/>
                <w:bCs/>
                <w:color w:val="000000"/>
                <w:sz w:val="20"/>
                <w:szCs w:val="20"/>
              </w:rPr>
              <w:t>6.409.857.358</w:t>
            </w:r>
          </w:p>
        </w:tc>
        <w:tc>
          <w:tcPr>
            <w:tcW w:w="453" w:type="pct"/>
            <w:tcBorders>
              <w:top w:val="single" w:sz="4" w:space="0" w:color="auto"/>
              <w:bottom w:val="single" w:sz="4" w:space="0" w:color="auto"/>
            </w:tcBorders>
            <w:shd w:val="clear" w:color="auto" w:fill="auto"/>
            <w:noWrap/>
            <w:tcMar>
              <w:top w:w="28" w:type="dxa"/>
              <w:bottom w:w="28" w:type="dxa"/>
            </w:tcMar>
            <w:vAlign w:val="center"/>
          </w:tcPr>
          <w:p w14:paraId="7DC54594" w14:textId="77777777" w:rsidR="00886404" w:rsidRPr="00B000B6" w:rsidRDefault="00886404" w:rsidP="00BF715B">
            <w:pPr>
              <w:jc w:val="center"/>
              <w:rPr>
                <w:rFonts w:cs="Arial"/>
                <w:b/>
                <w:color w:val="000000"/>
                <w:sz w:val="20"/>
                <w:szCs w:val="20"/>
              </w:rPr>
            </w:pPr>
            <w:r w:rsidRPr="00B000B6">
              <w:rPr>
                <w:rFonts w:cs="Arial"/>
                <w:b/>
                <w:color w:val="000000"/>
                <w:sz w:val="20"/>
                <w:szCs w:val="20"/>
              </w:rPr>
              <w:t>100,00</w:t>
            </w:r>
          </w:p>
        </w:tc>
        <w:tc>
          <w:tcPr>
            <w:tcW w:w="759" w:type="pct"/>
            <w:tcBorders>
              <w:top w:val="single" w:sz="4" w:space="0" w:color="auto"/>
              <w:bottom w:val="single" w:sz="4" w:space="0" w:color="auto"/>
            </w:tcBorders>
            <w:shd w:val="clear" w:color="auto" w:fill="auto"/>
            <w:noWrap/>
            <w:tcMar>
              <w:top w:w="28" w:type="dxa"/>
              <w:bottom w:w="28" w:type="dxa"/>
            </w:tcMar>
            <w:vAlign w:val="center"/>
          </w:tcPr>
          <w:p w14:paraId="140B40B2" w14:textId="77777777" w:rsidR="00886404" w:rsidRPr="00B000B6" w:rsidRDefault="00886404" w:rsidP="00BF715B">
            <w:pPr>
              <w:jc w:val="right"/>
              <w:rPr>
                <w:rFonts w:cs="Arial"/>
                <w:b/>
                <w:color w:val="000000"/>
                <w:sz w:val="20"/>
                <w:szCs w:val="20"/>
              </w:rPr>
            </w:pPr>
            <w:r w:rsidRPr="00B000B6">
              <w:rPr>
                <w:rFonts w:cs="Arial"/>
                <w:b/>
                <w:bCs/>
                <w:color w:val="000000"/>
                <w:sz w:val="20"/>
                <w:szCs w:val="20"/>
              </w:rPr>
              <w:t>6.316.067.725</w:t>
            </w:r>
          </w:p>
        </w:tc>
        <w:tc>
          <w:tcPr>
            <w:tcW w:w="832" w:type="pct"/>
            <w:tcBorders>
              <w:top w:val="single" w:sz="4" w:space="0" w:color="auto"/>
              <w:bottom w:val="single" w:sz="4" w:space="0" w:color="auto"/>
            </w:tcBorders>
            <w:shd w:val="clear" w:color="auto" w:fill="auto"/>
            <w:noWrap/>
            <w:tcMar>
              <w:top w:w="28" w:type="dxa"/>
              <w:bottom w:w="28" w:type="dxa"/>
            </w:tcMar>
            <w:vAlign w:val="center"/>
          </w:tcPr>
          <w:p w14:paraId="0EBD9EF2" w14:textId="77777777" w:rsidR="00886404" w:rsidRPr="00B000B6" w:rsidRDefault="00886404" w:rsidP="00BF715B">
            <w:pPr>
              <w:jc w:val="right"/>
              <w:rPr>
                <w:rFonts w:cs="Arial"/>
                <w:b/>
                <w:color w:val="000000"/>
                <w:sz w:val="20"/>
                <w:szCs w:val="20"/>
              </w:rPr>
            </w:pPr>
            <w:r w:rsidRPr="00B000B6">
              <w:rPr>
                <w:rFonts w:cs="Arial"/>
                <w:b/>
                <w:bCs/>
                <w:color w:val="000000"/>
                <w:sz w:val="20"/>
                <w:szCs w:val="20"/>
              </w:rPr>
              <w:t>6.306.750.783</w:t>
            </w:r>
          </w:p>
        </w:tc>
      </w:tr>
    </w:tbl>
    <w:p w14:paraId="32673EE4" w14:textId="77777777" w:rsidR="00886404" w:rsidRPr="00B12268" w:rsidRDefault="00886404" w:rsidP="00886404">
      <w:pPr>
        <w:pStyle w:val="1-FONTE8ESQ"/>
      </w:pPr>
      <w:r w:rsidRPr="00B12268">
        <w:t xml:space="preserve">Fonte: </w:t>
      </w:r>
      <w:r w:rsidRPr="00B12268">
        <w:rPr>
          <w:i/>
        </w:rPr>
        <w:t>Business Objects</w:t>
      </w:r>
      <w:r w:rsidRPr="00B12268">
        <w:t xml:space="preserve"> e RREO 6º bimestre/2023</w:t>
      </w:r>
    </w:p>
    <w:p w14:paraId="3DE4790F" w14:textId="77777777" w:rsidR="00886404" w:rsidRPr="00B12268" w:rsidRDefault="00886404" w:rsidP="00886404">
      <w:pPr>
        <w:pStyle w:val="1-REL11"/>
      </w:pPr>
      <w:r w:rsidRPr="00B12268">
        <w:lastRenderedPageBreak/>
        <w:t>As ações mais representativas são relacionadas à folha de pagamento de servidores (4147, 4144 e 4148) e sozinhas somam 67,71% das despesas empenhadas na Função Educação.</w:t>
      </w:r>
    </w:p>
    <w:p w14:paraId="01051230" w14:textId="77777777" w:rsidR="00886404" w:rsidRPr="00B12268" w:rsidRDefault="00886404" w:rsidP="00886404">
      <w:pPr>
        <w:pStyle w:val="1-REL11"/>
      </w:pPr>
      <w:r w:rsidRPr="00B12268">
        <w:t xml:space="preserve">Após, a ação 2027 - Transporte Escolar, responsável por 3,94% das despesas executadas na Função Educação em 2023, é uma das ações do programa </w:t>
      </w:r>
      <w:r w:rsidRPr="00B12268">
        <w:rPr>
          <w:rFonts w:cs="Arial"/>
          <w:color w:val="000000"/>
        </w:rPr>
        <w:t>1008 - Educação que Queremos</w:t>
      </w:r>
      <w:r w:rsidRPr="00B12268">
        <w:t>.</w:t>
      </w:r>
    </w:p>
    <w:p w14:paraId="3A9777D5" w14:textId="77777777" w:rsidR="00886404" w:rsidRPr="005D5078" w:rsidRDefault="00886404" w:rsidP="00886404">
      <w:pPr>
        <w:pStyle w:val="1-REL11"/>
      </w:pPr>
      <w:r w:rsidRPr="005D5078">
        <w:t>Já a despesa executada por UO em 2023 segue apresentada abaixo:</w:t>
      </w:r>
    </w:p>
    <w:p w14:paraId="5FDCE94A" w14:textId="77777777" w:rsidR="00886404" w:rsidRPr="005D5078" w:rsidRDefault="00886404" w:rsidP="00736A8C">
      <w:pPr>
        <w:pStyle w:val="0-TABELA"/>
        <w:numPr>
          <w:ilvl w:val="0"/>
          <w:numId w:val="53"/>
        </w:numPr>
        <w:tabs>
          <w:tab w:val="clear" w:pos="1560"/>
          <w:tab w:val="left" w:pos="1134"/>
        </w:tabs>
        <w:spacing w:before="0" w:after="0"/>
        <w:ind w:left="0" w:firstLine="0"/>
      </w:pPr>
      <w:bookmarkStart w:id="288" w:name="_Toc167871789"/>
      <w:r w:rsidRPr="005D5078">
        <w:t>Despesa na Função Educação por UO</w:t>
      </w:r>
      <w:bookmarkEnd w:id="288"/>
    </w:p>
    <w:p w14:paraId="38EEA90E" w14:textId="77777777" w:rsidR="00886404" w:rsidRPr="003C0CB3" w:rsidRDefault="00886404" w:rsidP="00886404">
      <w:pPr>
        <w:pStyle w:val="0-EmR1"/>
        <w:rPr>
          <w:lang w:eastAsia="en-US"/>
        </w:rPr>
      </w:pPr>
      <w:r w:rsidRPr="003C0CB3">
        <w:rPr>
          <w:lang w:eastAsia="en-US"/>
        </w:rPr>
        <w:t>R$ 1</w:t>
      </w:r>
    </w:p>
    <w:tbl>
      <w:tblPr>
        <w:tblW w:w="5000" w:type="pct"/>
        <w:tblLayout w:type="fixed"/>
        <w:tblCellMar>
          <w:left w:w="0" w:type="dxa"/>
          <w:right w:w="0" w:type="dxa"/>
        </w:tblCellMar>
        <w:tblLook w:val="04A0" w:firstRow="1" w:lastRow="0" w:firstColumn="1" w:lastColumn="0" w:noHBand="0" w:noVBand="1"/>
      </w:tblPr>
      <w:tblGrid>
        <w:gridCol w:w="4396"/>
        <w:gridCol w:w="1418"/>
        <w:gridCol w:w="709"/>
        <w:gridCol w:w="1418"/>
        <w:gridCol w:w="1412"/>
      </w:tblGrid>
      <w:tr w:rsidR="00886404" w:rsidRPr="00886404" w14:paraId="54CC9F29" w14:textId="77777777" w:rsidTr="00886404">
        <w:trPr>
          <w:trHeight w:val="340"/>
          <w:tblHeader/>
        </w:trPr>
        <w:tc>
          <w:tcPr>
            <w:tcW w:w="2350" w:type="pct"/>
            <w:tcBorders>
              <w:top w:val="single" w:sz="4" w:space="0" w:color="auto"/>
              <w:left w:val="nil"/>
              <w:bottom w:val="single" w:sz="4" w:space="0" w:color="auto"/>
              <w:right w:val="nil"/>
            </w:tcBorders>
            <w:shd w:val="clear" w:color="000000" w:fill="A1F2FD"/>
            <w:noWrap/>
            <w:tcMar>
              <w:top w:w="15" w:type="dxa"/>
              <w:left w:w="15" w:type="dxa"/>
              <w:bottom w:w="0" w:type="dxa"/>
              <w:right w:w="15" w:type="dxa"/>
            </w:tcMar>
            <w:vAlign w:val="center"/>
            <w:hideMark/>
          </w:tcPr>
          <w:p w14:paraId="36D84A84"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UO</w:t>
            </w:r>
          </w:p>
        </w:tc>
        <w:tc>
          <w:tcPr>
            <w:tcW w:w="758" w:type="pct"/>
            <w:tcBorders>
              <w:top w:val="single" w:sz="4" w:space="0" w:color="auto"/>
              <w:left w:val="single" w:sz="4" w:space="0" w:color="auto"/>
              <w:bottom w:val="single" w:sz="4" w:space="0" w:color="auto"/>
              <w:right w:val="single" w:sz="4" w:space="0" w:color="auto"/>
            </w:tcBorders>
            <w:shd w:val="clear" w:color="000000" w:fill="A1F2FD"/>
            <w:noWrap/>
            <w:tcMar>
              <w:top w:w="15" w:type="dxa"/>
              <w:left w:w="15" w:type="dxa"/>
              <w:bottom w:w="0" w:type="dxa"/>
              <w:right w:w="15" w:type="dxa"/>
            </w:tcMar>
            <w:vAlign w:val="center"/>
            <w:hideMark/>
          </w:tcPr>
          <w:p w14:paraId="22AF67EC"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Empenhado</w:t>
            </w:r>
          </w:p>
        </w:tc>
        <w:tc>
          <w:tcPr>
            <w:tcW w:w="379" w:type="pct"/>
            <w:tcBorders>
              <w:top w:val="single" w:sz="4" w:space="0" w:color="auto"/>
              <w:left w:val="nil"/>
              <w:bottom w:val="single" w:sz="4" w:space="0" w:color="auto"/>
              <w:right w:val="nil"/>
            </w:tcBorders>
            <w:shd w:val="clear" w:color="000000" w:fill="A1F2FD"/>
            <w:noWrap/>
            <w:tcMar>
              <w:top w:w="15" w:type="dxa"/>
              <w:left w:w="15" w:type="dxa"/>
              <w:bottom w:w="0" w:type="dxa"/>
              <w:right w:w="15" w:type="dxa"/>
            </w:tcMar>
            <w:vAlign w:val="center"/>
            <w:hideMark/>
          </w:tcPr>
          <w:p w14:paraId="3E328487"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AV %</w:t>
            </w:r>
          </w:p>
        </w:tc>
        <w:tc>
          <w:tcPr>
            <w:tcW w:w="758" w:type="pct"/>
            <w:tcBorders>
              <w:top w:val="single" w:sz="4" w:space="0" w:color="auto"/>
              <w:left w:val="single" w:sz="4" w:space="0" w:color="auto"/>
              <w:bottom w:val="single" w:sz="4" w:space="0" w:color="auto"/>
              <w:right w:val="single" w:sz="4" w:space="0" w:color="auto"/>
            </w:tcBorders>
            <w:shd w:val="clear" w:color="000000" w:fill="A1F2FD"/>
            <w:noWrap/>
            <w:tcMar>
              <w:top w:w="15" w:type="dxa"/>
              <w:left w:w="15" w:type="dxa"/>
              <w:bottom w:w="0" w:type="dxa"/>
              <w:right w:w="15" w:type="dxa"/>
            </w:tcMar>
            <w:vAlign w:val="center"/>
            <w:hideMark/>
          </w:tcPr>
          <w:p w14:paraId="331306EF"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Liquidado</w:t>
            </w:r>
          </w:p>
        </w:tc>
        <w:tc>
          <w:tcPr>
            <w:tcW w:w="756" w:type="pct"/>
            <w:tcBorders>
              <w:top w:val="single" w:sz="4" w:space="0" w:color="auto"/>
              <w:left w:val="nil"/>
              <w:bottom w:val="single" w:sz="4" w:space="0" w:color="auto"/>
              <w:right w:val="nil"/>
            </w:tcBorders>
            <w:shd w:val="clear" w:color="000000" w:fill="A1F2FD"/>
            <w:noWrap/>
            <w:tcMar>
              <w:top w:w="15" w:type="dxa"/>
              <w:left w:w="15" w:type="dxa"/>
              <w:bottom w:w="0" w:type="dxa"/>
              <w:right w:w="15" w:type="dxa"/>
            </w:tcMar>
            <w:vAlign w:val="center"/>
            <w:hideMark/>
          </w:tcPr>
          <w:p w14:paraId="7BFDDB22"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Pago</w:t>
            </w:r>
          </w:p>
        </w:tc>
      </w:tr>
      <w:tr w:rsidR="00886404" w:rsidRPr="00886404" w14:paraId="600AF6B8" w14:textId="77777777" w:rsidTr="00886404">
        <w:trPr>
          <w:trHeight w:val="340"/>
        </w:trPr>
        <w:tc>
          <w:tcPr>
            <w:tcW w:w="2350" w:type="pct"/>
            <w:tcBorders>
              <w:top w:val="nil"/>
              <w:left w:val="nil"/>
              <w:bottom w:val="nil"/>
              <w:right w:val="nil"/>
            </w:tcBorders>
            <w:shd w:val="clear" w:color="auto" w:fill="auto"/>
            <w:noWrap/>
            <w:tcMar>
              <w:top w:w="15" w:type="dxa"/>
              <w:left w:w="15" w:type="dxa"/>
              <w:bottom w:w="0" w:type="dxa"/>
              <w:right w:w="15" w:type="dxa"/>
            </w:tcMar>
            <w:vAlign w:val="center"/>
            <w:hideMark/>
          </w:tcPr>
          <w:p w14:paraId="4902D2D1" w14:textId="77777777" w:rsidR="00886404" w:rsidRPr="00886404" w:rsidRDefault="00886404" w:rsidP="00BF715B">
            <w:pPr>
              <w:jc w:val="left"/>
              <w:rPr>
                <w:rFonts w:cs="Arial"/>
                <w:color w:val="000000"/>
                <w:sz w:val="20"/>
                <w:szCs w:val="20"/>
              </w:rPr>
            </w:pPr>
            <w:r w:rsidRPr="00886404">
              <w:rPr>
                <w:rFonts w:cs="Arial"/>
                <w:color w:val="000000"/>
                <w:sz w:val="20"/>
                <w:szCs w:val="20"/>
              </w:rPr>
              <w:t>Secretaria de Estado Da Educação [2401]</w:t>
            </w:r>
          </w:p>
        </w:tc>
        <w:tc>
          <w:tcPr>
            <w:tcW w:w="758"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0C5E7D7C" w14:textId="77777777" w:rsidR="00886404" w:rsidRPr="00886404" w:rsidRDefault="00886404" w:rsidP="00BF715B">
            <w:pPr>
              <w:jc w:val="right"/>
              <w:rPr>
                <w:rFonts w:cs="Arial"/>
                <w:color w:val="000000"/>
                <w:sz w:val="20"/>
                <w:szCs w:val="20"/>
              </w:rPr>
            </w:pPr>
            <w:r w:rsidRPr="00886404">
              <w:rPr>
                <w:rFonts w:cs="Arial"/>
                <w:color w:val="000000"/>
                <w:sz w:val="20"/>
                <w:szCs w:val="20"/>
              </w:rPr>
              <w:t>5.774.572.451</w:t>
            </w:r>
          </w:p>
        </w:tc>
        <w:tc>
          <w:tcPr>
            <w:tcW w:w="379" w:type="pct"/>
            <w:tcBorders>
              <w:top w:val="nil"/>
              <w:left w:val="nil"/>
              <w:bottom w:val="nil"/>
              <w:right w:val="nil"/>
            </w:tcBorders>
            <w:shd w:val="clear" w:color="auto" w:fill="auto"/>
            <w:noWrap/>
            <w:tcMar>
              <w:top w:w="15" w:type="dxa"/>
              <w:left w:w="15" w:type="dxa"/>
              <w:bottom w:w="0" w:type="dxa"/>
              <w:right w:w="15" w:type="dxa"/>
            </w:tcMar>
            <w:vAlign w:val="center"/>
            <w:hideMark/>
          </w:tcPr>
          <w:p w14:paraId="2000C48F" w14:textId="77777777" w:rsidR="00886404" w:rsidRPr="00886404" w:rsidRDefault="00886404" w:rsidP="00BF715B">
            <w:pPr>
              <w:jc w:val="center"/>
              <w:rPr>
                <w:rFonts w:cs="Arial"/>
                <w:color w:val="000000"/>
                <w:sz w:val="20"/>
                <w:szCs w:val="20"/>
              </w:rPr>
            </w:pPr>
            <w:r w:rsidRPr="00886404">
              <w:rPr>
                <w:rFonts w:cs="Arial"/>
                <w:color w:val="000000"/>
                <w:sz w:val="20"/>
                <w:szCs w:val="20"/>
              </w:rPr>
              <w:t>90,09</w:t>
            </w:r>
          </w:p>
        </w:tc>
        <w:tc>
          <w:tcPr>
            <w:tcW w:w="758"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58815280" w14:textId="77777777" w:rsidR="00886404" w:rsidRPr="00886404" w:rsidRDefault="00886404" w:rsidP="00BF715B">
            <w:pPr>
              <w:jc w:val="right"/>
              <w:rPr>
                <w:rFonts w:cs="Arial"/>
                <w:color w:val="000000"/>
                <w:sz w:val="20"/>
                <w:szCs w:val="20"/>
              </w:rPr>
            </w:pPr>
            <w:r w:rsidRPr="00886404">
              <w:rPr>
                <w:rFonts w:cs="Arial"/>
                <w:color w:val="000000"/>
                <w:sz w:val="20"/>
                <w:szCs w:val="20"/>
              </w:rPr>
              <w:t>5.693.664.239</w:t>
            </w:r>
          </w:p>
        </w:tc>
        <w:tc>
          <w:tcPr>
            <w:tcW w:w="756" w:type="pct"/>
            <w:tcBorders>
              <w:top w:val="nil"/>
              <w:left w:val="nil"/>
              <w:bottom w:val="nil"/>
              <w:right w:val="nil"/>
            </w:tcBorders>
            <w:shd w:val="clear" w:color="auto" w:fill="auto"/>
            <w:noWrap/>
            <w:tcMar>
              <w:top w:w="15" w:type="dxa"/>
              <w:left w:w="15" w:type="dxa"/>
              <w:bottom w:w="0" w:type="dxa"/>
              <w:right w:w="15" w:type="dxa"/>
            </w:tcMar>
            <w:vAlign w:val="center"/>
            <w:hideMark/>
          </w:tcPr>
          <w:p w14:paraId="7446ED4F" w14:textId="77777777" w:rsidR="00886404" w:rsidRPr="00886404" w:rsidRDefault="00886404" w:rsidP="00BF715B">
            <w:pPr>
              <w:jc w:val="right"/>
              <w:rPr>
                <w:rFonts w:cs="Arial"/>
                <w:color w:val="000000"/>
                <w:sz w:val="20"/>
                <w:szCs w:val="20"/>
              </w:rPr>
            </w:pPr>
            <w:r w:rsidRPr="00886404">
              <w:rPr>
                <w:rFonts w:cs="Arial"/>
                <w:color w:val="000000"/>
                <w:sz w:val="20"/>
                <w:szCs w:val="20"/>
              </w:rPr>
              <w:t>5.684.916.849</w:t>
            </w:r>
          </w:p>
        </w:tc>
      </w:tr>
      <w:tr w:rsidR="00886404" w:rsidRPr="00886404" w14:paraId="77FFF9AB" w14:textId="77777777" w:rsidTr="00886404">
        <w:trPr>
          <w:trHeight w:val="340"/>
        </w:trPr>
        <w:tc>
          <w:tcPr>
            <w:tcW w:w="2350" w:type="pct"/>
            <w:tcBorders>
              <w:top w:val="nil"/>
              <w:left w:val="nil"/>
              <w:bottom w:val="nil"/>
              <w:right w:val="nil"/>
            </w:tcBorders>
            <w:shd w:val="clear" w:color="auto" w:fill="auto"/>
            <w:noWrap/>
            <w:tcMar>
              <w:top w:w="15" w:type="dxa"/>
              <w:left w:w="15" w:type="dxa"/>
              <w:bottom w:w="0" w:type="dxa"/>
              <w:right w:w="15" w:type="dxa"/>
            </w:tcMar>
            <w:vAlign w:val="center"/>
            <w:hideMark/>
          </w:tcPr>
          <w:p w14:paraId="1FA7D6F9" w14:textId="77777777" w:rsidR="00886404" w:rsidRPr="00886404" w:rsidRDefault="00886404" w:rsidP="00BF715B">
            <w:pPr>
              <w:rPr>
                <w:rFonts w:cs="Arial"/>
                <w:color w:val="000000"/>
                <w:sz w:val="20"/>
                <w:szCs w:val="20"/>
              </w:rPr>
            </w:pPr>
            <w:r w:rsidRPr="00886404">
              <w:rPr>
                <w:rFonts w:cs="Arial"/>
                <w:color w:val="000000"/>
                <w:sz w:val="20"/>
                <w:szCs w:val="20"/>
              </w:rPr>
              <w:t>UEG [4062]</w:t>
            </w:r>
          </w:p>
        </w:tc>
        <w:tc>
          <w:tcPr>
            <w:tcW w:w="758"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04EED80A" w14:textId="77777777" w:rsidR="00886404" w:rsidRPr="00886404" w:rsidRDefault="00886404" w:rsidP="00BF715B">
            <w:pPr>
              <w:jc w:val="right"/>
              <w:rPr>
                <w:rFonts w:cs="Arial"/>
                <w:color w:val="000000"/>
                <w:sz w:val="20"/>
                <w:szCs w:val="20"/>
              </w:rPr>
            </w:pPr>
            <w:r w:rsidRPr="00886404">
              <w:rPr>
                <w:rFonts w:cs="Arial"/>
                <w:color w:val="000000"/>
                <w:sz w:val="20"/>
                <w:szCs w:val="20"/>
              </w:rPr>
              <w:t>347.090.169</w:t>
            </w:r>
          </w:p>
        </w:tc>
        <w:tc>
          <w:tcPr>
            <w:tcW w:w="379" w:type="pct"/>
            <w:tcBorders>
              <w:top w:val="nil"/>
              <w:left w:val="nil"/>
              <w:bottom w:val="nil"/>
              <w:right w:val="nil"/>
            </w:tcBorders>
            <w:shd w:val="clear" w:color="auto" w:fill="auto"/>
            <w:noWrap/>
            <w:tcMar>
              <w:top w:w="15" w:type="dxa"/>
              <w:left w:w="15" w:type="dxa"/>
              <w:bottom w:w="0" w:type="dxa"/>
              <w:right w:w="15" w:type="dxa"/>
            </w:tcMar>
            <w:vAlign w:val="center"/>
            <w:hideMark/>
          </w:tcPr>
          <w:p w14:paraId="59E2B958" w14:textId="77777777" w:rsidR="00886404" w:rsidRPr="00886404" w:rsidRDefault="00886404" w:rsidP="00BF715B">
            <w:pPr>
              <w:jc w:val="center"/>
              <w:rPr>
                <w:rFonts w:cs="Arial"/>
                <w:color w:val="000000"/>
                <w:sz w:val="20"/>
                <w:szCs w:val="20"/>
              </w:rPr>
            </w:pPr>
            <w:r w:rsidRPr="00886404">
              <w:rPr>
                <w:rFonts w:cs="Arial"/>
                <w:color w:val="000000"/>
                <w:sz w:val="20"/>
                <w:szCs w:val="20"/>
              </w:rPr>
              <w:t>5,41</w:t>
            </w:r>
          </w:p>
        </w:tc>
        <w:tc>
          <w:tcPr>
            <w:tcW w:w="758"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69ED4A45" w14:textId="77777777" w:rsidR="00886404" w:rsidRPr="00886404" w:rsidRDefault="00886404" w:rsidP="00BF715B">
            <w:pPr>
              <w:jc w:val="right"/>
              <w:rPr>
                <w:rFonts w:cs="Arial"/>
                <w:color w:val="000000"/>
                <w:sz w:val="20"/>
                <w:szCs w:val="20"/>
              </w:rPr>
            </w:pPr>
            <w:r w:rsidRPr="00886404">
              <w:rPr>
                <w:rFonts w:cs="Arial"/>
                <w:color w:val="000000"/>
                <w:sz w:val="20"/>
                <w:szCs w:val="20"/>
              </w:rPr>
              <w:t>339.755.997</w:t>
            </w:r>
          </w:p>
        </w:tc>
        <w:tc>
          <w:tcPr>
            <w:tcW w:w="756" w:type="pct"/>
            <w:tcBorders>
              <w:top w:val="nil"/>
              <w:left w:val="nil"/>
              <w:bottom w:val="nil"/>
              <w:right w:val="nil"/>
            </w:tcBorders>
            <w:shd w:val="clear" w:color="auto" w:fill="auto"/>
            <w:noWrap/>
            <w:tcMar>
              <w:top w:w="15" w:type="dxa"/>
              <w:left w:w="15" w:type="dxa"/>
              <w:bottom w:w="0" w:type="dxa"/>
              <w:right w:w="15" w:type="dxa"/>
            </w:tcMar>
            <w:vAlign w:val="center"/>
            <w:hideMark/>
          </w:tcPr>
          <w:p w14:paraId="4F472915" w14:textId="77777777" w:rsidR="00886404" w:rsidRPr="00886404" w:rsidRDefault="00886404" w:rsidP="00BF715B">
            <w:pPr>
              <w:jc w:val="right"/>
              <w:rPr>
                <w:rFonts w:cs="Arial"/>
                <w:color w:val="000000"/>
                <w:sz w:val="20"/>
                <w:szCs w:val="20"/>
              </w:rPr>
            </w:pPr>
            <w:r w:rsidRPr="00886404">
              <w:rPr>
                <w:rFonts w:cs="Arial"/>
                <w:color w:val="000000"/>
                <w:sz w:val="20"/>
                <w:szCs w:val="20"/>
              </w:rPr>
              <w:t>339.388.307</w:t>
            </w:r>
          </w:p>
        </w:tc>
      </w:tr>
      <w:tr w:rsidR="00886404" w:rsidRPr="00886404" w14:paraId="365B1B0C" w14:textId="77777777" w:rsidTr="00886404">
        <w:trPr>
          <w:trHeight w:val="340"/>
        </w:trPr>
        <w:tc>
          <w:tcPr>
            <w:tcW w:w="2350" w:type="pct"/>
            <w:tcBorders>
              <w:top w:val="nil"/>
              <w:left w:val="nil"/>
              <w:bottom w:val="nil"/>
              <w:right w:val="nil"/>
            </w:tcBorders>
            <w:shd w:val="clear" w:color="auto" w:fill="auto"/>
            <w:noWrap/>
            <w:tcMar>
              <w:top w:w="15" w:type="dxa"/>
              <w:left w:w="15" w:type="dxa"/>
              <w:bottom w:w="0" w:type="dxa"/>
              <w:right w:w="15" w:type="dxa"/>
            </w:tcMar>
            <w:vAlign w:val="center"/>
            <w:hideMark/>
          </w:tcPr>
          <w:p w14:paraId="321A1CAB" w14:textId="77777777" w:rsidR="00886404" w:rsidRPr="00886404" w:rsidRDefault="00886404" w:rsidP="00BF715B">
            <w:pPr>
              <w:rPr>
                <w:rFonts w:cs="Arial"/>
                <w:color w:val="000000"/>
                <w:sz w:val="20"/>
                <w:szCs w:val="20"/>
              </w:rPr>
            </w:pPr>
            <w:r w:rsidRPr="00886404">
              <w:rPr>
                <w:rFonts w:cs="Arial"/>
                <w:color w:val="000000"/>
                <w:sz w:val="20"/>
                <w:szCs w:val="20"/>
              </w:rPr>
              <w:t>Encargos Gerais do Estado [1802]</w:t>
            </w:r>
          </w:p>
        </w:tc>
        <w:tc>
          <w:tcPr>
            <w:tcW w:w="758"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2ECA963A" w14:textId="77777777" w:rsidR="00886404" w:rsidRPr="00886404" w:rsidRDefault="00886404" w:rsidP="00BF715B">
            <w:pPr>
              <w:jc w:val="right"/>
              <w:rPr>
                <w:rFonts w:cs="Arial"/>
                <w:color w:val="000000"/>
                <w:sz w:val="20"/>
                <w:szCs w:val="20"/>
              </w:rPr>
            </w:pPr>
            <w:r w:rsidRPr="00886404">
              <w:rPr>
                <w:rFonts w:cs="Arial"/>
                <w:color w:val="000000"/>
                <w:sz w:val="20"/>
                <w:szCs w:val="20"/>
              </w:rPr>
              <w:t>120.700.766</w:t>
            </w:r>
          </w:p>
        </w:tc>
        <w:tc>
          <w:tcPr>
            <w:tcW w:w="379" w:type="pct"/>
            <w:tcBorders>
              <w:top w:val="nil"/>
              <w:left w:val="nil"/>
              <w:bottom w:val="nil"/>
              <w:right w:val="nil"/>
            </w:tcBorders>
            <w:shd w:val="clear" w:color="auto" w:fill="auto"/>
            <w:noWrap/>
            <w:tcMar>
              <w:top w:w="15" w:type="dxa"/>
              <w:left w:w="15" w:type="dxa"/>
              <w:bottom w:w="0" w:type="dxa"/>
              <w:right w:w="15" w:type="dxa"/>
            </w:tcMar>
            <w:vAlign w:val="center"/>
            <w:hideMark/>
          </w:tcPr>
          <w:p w14:paraId="2CF1FB33" w14:textId="77777777" w:rsidR="00886404" w:rsidRPr="00886404" w:rsidRDefault="00886404" w:rsidP="00BF715B">
            <w:pPr>
              <w:jc w:val="center"/>
              <w:rPr>
                <w:rFonts w:cs="Arial"/>
                <w:color w:val="000000"/>
                <w:sz w:val="20"/>
                <w:szCs w:val="20"/>
              </w:rPr>
            </w:pPr>
            <w:r w:rsidRPr="00886404">
              <w:rPr>
                <w:rFonts w:cs="Arial"/>
                <w:color w:val="000000"/>
                <w:sz w:val="20"/>
                <w:szCs w:val="20"/>
              </w:rPr>
              <w:t>1,88</w:t>
            </w:r>
          </w:p>
        </w:tc>
        <w:tc>
          <w:tcPr>
            <w:tcW w:w="758"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5A3E9BFB" w14:textId="77777777" w:rsidR="00886404" w:rsidRPr="00886404" w:rsidRDefault="00886404" w:rsidP="00BF715B">
            <w:pPr>
              <w:jc w:val="right"/>
              <w:rPr>
                <w:rFonts w:cs="Arial"/>
                <w:color w:val="000000"/>
                <w:sz w:val="20"/>
                <w:szCs w:val="20"/>
              </w:rPr>
            </w:pPr>
            <w:r w:rsidRPr="00886404">
              <w:rPr>
                <w:rFonts w:cs="Arial"/>
                <w:color w:val="000000"/>
                <w:sz w:val="20"/>
                <w:szCs w:val="20"/>
              </w:rPr>
              <w:t>120.700.766</w:t>
            </w:r>
          </w:p>
        </w:tc>
        <w:tc>
          <w:tcPr>
            <w:tcW w:w="756" w:type="pct"/>
            <w:tcBorders>
              <w:top w:val="nil"/>
              <w:left w:val="nil"/>
              <w:bottom w:val="nil"/>
              <w:right w:val="nil"/>
            </w:tcBorders>
            <w:shd w:val="clear" w:color="auto" w:fill="auto"/>
            <w:noWrap/>
            <w:tcMar>
              <w:top w:w="15" w:type="dxa"/>
              <w:left w:w="15" w:type="dxa"/>
              <w:bottom w:w="0" w:type="dxa"/>
              <w:right w:w="15" w:type="dxa"/>
            </w:tcMar>
            <w:vAlign w:val="center"/>
            <w:hideMark/>
          </w:tcPr>
          <w:p w14:paraId="2EF2DED3" w14:textId="77777777" w:rsidR="00886404" w:rsidRPr="00886404" w:rsidRDefault="00886404" w:rsidP="00BF715B">
            <w:pPr>
              <w:jc w:val="right"/>
              <w:rPr>
                <w:rFonts w:cs="Arial"/>
                <w:color w:val="000000"/>
                <w:sz w:val="20"/>
                <w:szCs w:val="20"/>
              </w:rPr>
            </w:pPr>
            <w:r w:rsidRPr="00886404">
              <w:rPr>
                <w:rFonts w:cs="Arial"/>
                <w:color w:val="000000"/>
                <w:sz w:val="20"/>
                <w:szCs w:val="20"/>
              </w:rPr>
              <w:t>120.700.766</w:t>
            </w:r>
          </w:p>
        </w:tc>
      </w:tr>
      <w:tr w:rsidR="00886404" w:rsidRPr="00886404" w14:paraId="253ADB72" w14:textId="77777777" w:rsidTr="00886404">
        <w:trPr>
          <w:trHeight w:val="340"/>
        </w:trPr>
        <w:tc>
          <w:tcPr>
            <w:tcW w:w="2350" w:type="pct"/>
            <w:tcBorders>
              <w:top w:val="nil"/>
              <w:left w:val="nil"/>
              <w:bottom w:val="nil"/>
              <w:right w:val="nil"/>
            </w:tcBorders>
            <w:shd w:val="clear" w:color="auto" w:fill="auto"/>
            <w:noWrap/>
            <w:tcMar>
              <w:top w:w="15" w:type="dxa"/>
              <w:left w:w="15" w:type="dxa"/>
              <w:bottom w:w="0" w:type="dxa"/>
              <w:right w:w="15" w:type="dxa"/>
            </w:tcMar>
            <w:vAlign w:val="center"/>
            <w:hideMark/>
          </w:tcPr>
          <w:p w14:paraId="60295F65" w14:textId="77777777" w:rsidR="00886404" w:rsidRPr="00886404" w:rsidRDefault="00886404" w:rsidP="00BF715B">
            <w:pPr>
              <w:rPr>
                <w:rFonts w:cs="Arial"/>
                <w:color w:val="000000"/>
                <w:sz w:val="20"/>
                <w:szCs w:val="20"/>
              </w:rPr>
            </w:pPr>
            <w:r w:rsidRPr="00886404">
              <w:rPr>
                <w:rFonts w:cs="Arial"/>
                <w:color w:val="000000"/>
                <w:sz w:val="20"/>
                <w:szCs w:val="20"/>
              </w:rPr>
              <w:t>Secretaria de Estado de Desenvolvimento e Inovação [3101]</w:t>
            </w:r>
          </w:p>
        </w:tc>
        <w:tc>
          <w:tcPr>
            <w:tcW w:w="758"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2E3D7CD6" w14:textId="77777777" w:rsidR="00886404" w:rsidRPr="00886404" w:rsidRDefault="00886404" w:rsidP="00BF715B">
            <w:pPr>
              <w:jc w:val="right"/>
              <w:rPr>
                <w:rFonts w:cs="Arial"/>
                <w:color w:val="000000"/>
                <w:sz w:val="20"/>
                <w:szCs w:val="20"/>
              </w:rPr>
            </w:pPr>
            <w:r w:rsidRPr="00886404">
              <w:rPr>
                <w:rFonts w:cs="Arial"/>
                <w:color w:val="000000"/>
                <w:sz w:val="20"/>
                <w:szCs w:val="20"/>
              </w:rPr>
              <w:t>73.610.366</w:t>
            </w:r>
          </w:p>
        </w:tc>
        <w:tc>
          <w:tcPr>
            <w:tcW w:w="379" w:type="pct"/>
            <w:tcBorders>
              <w:top w:val="nil"/>
              <w:left w:val="nil"/>
              <w:bottom w:val="nil"/>
              <w:right w:val="nil"/>
            </w:tcBorders>
            <w:shd w:val="clear" w:color="auto" w:fill="auto"/>
            <w:noWrap/>
            <w:tcMar>
              <w:top w:w="15" w:type="dxa"/>
              <w:left w:w="15" w:type="dxa"/>
              <w:bottom w:w="0" w:type="dxa"/>
              <w:right w:w="15" w:type="dxa"/>
            </w:tcMar>
            <w:vAlign w:val="center"/>
            <w:hideMark/>
          </w:tcPr>
          <w:p w14:paraId="07EADABD" w14:textId="77777777" w:rsidR="00886404" w:rsidRPr="00886404" w:rsidRDefault="00886404" w:rsidP="00BF715B">
            <w:pPr>
              <w:jc w:val="center"/>
              <w:rPr>
                <w:rFonts w:cs="Arial"/>
                <w:color w:val="000000"/>
                <w:sz w:val="20"/>
                <w:szCs w:val="20"/>
              </w:rPr>
            </w:pPr>
            <w:r w:rsidRPr="00886404">
              <w:rPr>
                <w:rFonts w:cs="Arial"/>
                <w:color w:val="000000"/>
                <w:sz w:val="20"/>
                <w:szCs w:val="20"/>
              </w:rPr>
              <w:t>1,15</w:t>
            </w:r>
          </w:p>
        </w:tc>
        <w:tc>
          <w:tcPr>
            <w:tcW w:w="758"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57D63297" w14:textId="77777777" w:rsidR="00886404" w:rsidRPr="00886404" w:rsidRDefault="00886404" w:rsidP="00BF715B">
            <w:pPr>
              <w:jc w:val="right"/>
              <w:rPr>
                <w:rFonts w:cs="Arial"/>
                <w:color w:val="000000"/>
                <w:sz w:val="20"/>
                <w:szCs w:val="20"/>
              </w:rPr>
            </w:pPr>
            <w:r w:rsidRPr="00886404">
              <w:rPr>
                <w:rFonts w:cs="Arial"/>
                <w:color w:val="000000"/>
                <w:sz w:val="20"/>
                <w:szCs w:val="20"/>
              </w:rPr>
              <w:t>70.400.774</w:t>
            </w:r>
          </w:p>
        </w:tc>
        <w:tc>
          <w:tcPr>
            <w:tcW w:w="756" w:type="pct"/>
            <w:tcBorders>
              <w:top w:val="nil"/>
              <w:left w:val="nil"/>
              <w:bottom w:val="nil"/>
              <w:right w:val="nil"/>
            </w:tcBorders>
            <w:shd w:val="clear" w:color="auto" w:fill="auto"/>
            <w:noWrap/>
            <w:tcMar>
              <w:top w:w="15" w:type="dxa"/>
              <w:left w:w="15" w:type="dxa"/>
              <w:bottom w:w="0" w:type="dxa"/>
              <w:right w:w="15" w:type="dxa"/>
            </w:tcMar>
            <w:vAlign w:val="center"/>
            <w:hideMark/>
          </w:tcPr>
          <w:p w14:paraId="4F5FB1F5" w14:textId="77777777" w:rsidR="00886404" w:rsidRPr="00886404" w:rsidRDefault="00886404" w:rsidP="00BF715B">
            <w:pPr>
              <w:jc w:val="right"/>
              <w:rPr>
                <w:rFonts w:cs="Arial"/>
                <w:color w:val="000000"/>
                <w:sz w:val="20"/>
                <w:szCs w:val="20"/>
              </w:rPr>
            </w:pPr>
            <w:r w:rsidRPr="00886404">
              <w:rPr>
                <w:rFonts w:cs="Arial"/>
                <w:color w:val="000000"/>
                <w:sz w:val="20"/>
                <w:szCs w:val="20"/>
              </w:rPr>
              <w:t>70.385.435</w:t>
            </w:r>
          </w:p>
        </w:tc>
      </w:tr>
      <w:tr w:rsidR="00886404" w:rsidRPr="00886404" w14:paraId="21722D66" w14:textId="77777777" w:rsidTr="00886404">
        <w:trPr>
          <w:trHeight w:val="340"/>
        </w:trPr>
        <w:tc>
          <w:tcPr>
            <w:tcW w:w="2350" w:type="pct"/>
            <w:tcBorders>
              <w:top w:val="nil"/>
              <w:left w:val="nil"/>
              <w:bottom w:val="nil"/>
              <w:right w:val="nil"/>
            </w:tcBorders>
            <w:shd w:val="clear" w:color="auto" w:fill="auto"/>
            <w:noWrap/>
            <w:tcMar>
              <w:top w:w="15" w:type="dxa"/>
              <w:left w:w="15" w:type="dxa"/>
              <w:bottom w:w="0" w:type="dxa"/>
              <w:right w:w="15" w:type="dxa"/>
            </w:tcMar>
            <w:vAlign w:val="center"/>
            <w:hideMark/>
          </w:tcPr>
          <w:p w14:paraId="5E017D47" w14:textId="77777777" w:rsidR="00886404" w:rsidRPr="00886404" w:rsidRDefault="00886404" w:rsidP="00BF715B">
            <w:pPr>
              <w:rPr>
                <w:rFonts w:cs="Arial"/>
                <w:color w:val="000000"/>
                <w:sz w:val="20"/>
                <w:szCs w:val="20"/>
              </w:rPr>
            </w:pPr>
            <w:r w:rsidRPr="00886404">
              <w:rPr>
                <w:rFonts w:cs="Arial"/>
                <w:color w:val="000000"/>
                <w:sz w:val="20"/>
                <w:szCs w:val="20"/>
              </w:rPr>
              <w:t>Secretaria de Estado da Retomada [4201]</w:t>
            </w:r>
          </w:p>
        </w:tc>
        <w:tc>
          <w:tcPr>
            <w:tcW w:w="758"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7A2FF6F7" w14:textId="77777777" w:rsidR="00886404" w:rsidRPr="00886404" w:rsidRDefault="00886404" w:rsidP="00BF715B">
            <w:pPr>
              <w:jc w:val="right"/>
              <w:rPr>
                <w:rFonts w:cs="Arial"/>
                <w:color w:val="000000"/>
                <w:sz w:val="20"/>
                <w:szCs w:val="20"/>
              </w:rPr>
            </w:pPr>
            <w:r w:rsidRPr="00886404">
              <w:rPr>
                <w:rFonts w:cs="Arial"/>
                <w:color w:val="000000"/>
                <w:sz w:val="20"/>
                <w:szCs w:val="20"/>
              </w:rPr>
              <w:t>54.282.683</w:t>
            </w:r>
          </w:p>
        </w:tc>
        <w:tc>
          <w:tcPr>
            <w:tcW w:w="379" w:type="pct"/>
            <w:tcBorders>
              <w:top w:val="nil"/>
              <w:left w:val="nil"/>
              <w:bottom w:val="nil"/>
              <w:right w:val="nil"/>
            </w:tcBorders>
            <w:shd w:val="clear" w:color="auto" w:fill="auto"/>
            <w:noWrap/>
            <w:tcMar>
              <w:top w:w="15" w:type="dxa"/>
              <w:left w:w="15" w:type="dxa"/>
              <w:bottom w:w="0" w:type="dxa"/>
              <w:right w:w="15" w:type="dxa"/>
            </w:tcMar>
            <w:vAlign w:val="center"/>
            <w:hideMark/>
          </w:tcPr>
          <w:p w14:paraId="1D224A55" w14:textId="77777777" w:rsidR="00886404" w:rsidRPr="00886404" w:rsidRDefault="00886404" w:rsidP="00BF715B">
            <w:pPr>
              <w:jc w:val="center"/>
              <w:rPr>
                <w:rFonts w:cs="Arial"/>
                <w:color w:val="000000"/>
                <w:sz w:val="20"/>
                <w:szCs w:val="20"/>
              </w:rPr>
            </w:pPr>
            <w:r w:rsidRPr="00886404">
              <w:rPr>
                <w:rFonts w:cs="Arial"/>
                <w:color w:val="000000"/>
                <w:sz w:val="20"/>
                <w:szCs w:val="20"/>
              </w:rPr>
              <w:t>0,85</w:t>
            </w:r>
          </w:p>
        </w:tc>
        <w:tc>
          <w:tcPr>
            <w:tcW w:w="758"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478A683C" w14:textId="77777777" w:rsidR="00886404" w:rsidRPr="00886404" w:rsidRDefault="00886404" w:rsidP="00BF715B">
            <w:pPr>
              <w:jc w:val="right"/>
              <w:rPr>
                <w:rFonts w:cs="Arial"/>
                <w:color w:val="000000"/>
                <w:sz w:val="20"/>
                <w:szCs w:val="20"/>
              </w:rPr>
            </w:pPr>
            <w:r w:rsidRPr="00886404">
              <w:rPr>
                <w:rFonts w:cs="Arial"/>
                <w:color w:val="000000"/>
                <w:sz w:val="20"/>
                <w:szCs w:val="20"/>
              </w:rPr>
              <w:t>54.282.683</w:t>
            </w:r>
          </w:p>
        </w:tc>
        <w:tc>
          <w:tcPr>
            <w:tcW w:w="756" w:type="pct"/>
            <w:tcBorders>
              <w:top w:val="nil"/>
              <w:left w:val="nil"/>
              <w:bottom w:val="nil"/>
              <w:right w:val="nil"/>
            </w:tcBorders>
            <w:shd w:val="clear" w:color="auto" w:fill="auto"/>
            <w:noWrap/>
            <w:tcMar>
              <w:top w:w="15" w:type="dxa"/>
              <w:left w:w="15" w:type="dxa"/>
              <w:bottom w:w="0" w:type="dxa"/>
              <w:right w:w="15" w:type="dxa"/>
            </w:tcMar>
            <w:vAlign w:val="center"/>
            <w:hideMark/>
          </w:tcPr>
          <w:p w14:paraId="23CD98F8" w14:textId="77777777" w:rsidR="00886404" w:rsidRPr="00886404" w:rsidRDefault="00886404" w:rsidP="00BF715B">
            <w:pPr>
              <w:jc w:val="right"/>
              <w:rPr>
                <w:rFonts w:cs="Arial"/>
                <w:color w:val="000000"/>
                <w:sz w:val="20"/>
                <w:szCs w:val="20"/>
              </w:rPr>
            </w:pPr>
            <w:r w:rsidRPr="00886404">
              <w:rPr>
                <w:rFonts w:cs="Arial"/>
                <w:color w:val="000000"/>
                <w:sz w:val="20"/>
                <w:szCs w:val="20"/>
              </w:rPr>
              <w:t>54.282.683</w:t>
            </w:r>
          </w:p>
        </w:tc>
      </w:tr>
      <w:tr w:rsidR="00886404" w:rsidRPr="00886404" w14:paraId="121E74A0" w14:textId="77777777" w:rsidTr="00886404">
        <w:trPr>
          <w:trHeight w:val="340"/>
        </w:trPr>
        <w:tc>
          <w:tcPr>
            <w:tcW w:w="2350" w:type="pct"/>
            <w:tcBorders>
              <w:top w:val="nil"/>
              <w:left w:val="nil"/>
              <w:bottom w:val="nil"/>
              <w:right w:val="nil"/>
            </w:tcBorders>
            <w:shd w:val="clear" w:color="auto" w:fill="auto"/>
            <w:noWrap/>
            <w:tcMar>
              <w:top w:w="15" w:type="dxa"/>
              <w:left w:w="15" w:type="dxa"/>
              <w:bottom w:w="0" w:type="dxa"/>
              <w:right w:w="15" w:type="dxa"/>
            </w:tcMar>
            <w:vAlign w:val="center"/>
            <w:hideMark/>
          </w:tcPr>
          <w:p w14:paraId="34446A96" w14:textId="77777777" w:rsidR="00886404" w:rsidRPr="00886404" w:rsidRDefault="00886404" w:rsidP="00BF715B">
            <w:pPr>
              <w:rPr>
                <w:rFonts w:cs="Arial"/>
                <w:color w:val="000000"/>
                <w:sz w:val="20"/>
                <w:szCs w:val="20"/>
              </w:rPr>
            </w:pPr>
            <w:r w:rsidRPr="00886404">
              <w:rPr>
                <w:rFonts w:cs="Arial"/>
                <w:color w:val="000000"/>
                <w:sz w:val="20"/>
                <w:szCs w:val="20"/>
              </w:rPr>
              <w:t>Secretaria de Estado Desenvolvimento Social [3001]</w:t>
            </w:r>
          </w:p>
        </w:tc>
        <w:tc>
          <w:tcPr>
            <w:tcW w:w="758"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3FB9CFBD" w14:textId="77777777" w:rsidR="00886404" w:rsidRPr="00886404" w:rsidRDefault="00886404" w:rsidP="00BF715B">
            <w:pPr>
              <w:jc w:val="right"/>
              <w:rPr>
                <w:rFonts w:cs="Arial"/>
                <w:color w:val="000000"/>
                <w:sz w:val="20"/>
                <w:szCs w:val="20"/>
              </w:rPr>
            </w:pPr>
            <w:r w:rsidRPr="00886404">
              <w:rPr>
                <w:rFonts w:cs="Arial"/>
                <w:color w:val="000000"/>
                <w:sz w:val="20"/>
                <w:szCs w:val="20"/>
              </w:rPr>
              <w:t>39.600.922</w:t>
            </w:r>
          </w:p>
        </w:tc>
        <w:tc>
          <w:tcPr>
            <w:tcW w:w="379" w:type="pct"/>
            <w:tcBorders>
              <w:top w:val="nil"/>
              <w:left w:val="nil"/>
              <w:bottom w:val="nil"/>
              <w:right w:val="nil"/>
            </w:tcBorders>
            <w:shd w:val="clear" w:color="auto" w:fill="auto"/>
            <w:noWrap/>
            <w:tcMar>
              <w:top w:w="15" w:type="dxa"/>
              <w:left w:w="15" w:type="dxa"/>
              <w:bottom w:w="0" w:type="dxa"/>
              <w:right w:w="15" w:type="dxa"/>
            </w:tcMar>
            <w:vAlign w:val="center"/>
            <w:hideMark/>
          </w:tcPr>
          <w:p w14:paraId="566357EE" w14:textId="77777777" w:rsidR="00886404" w:rsidRPr="00886404" w:rsidRDefault="00886404" w:rsidP="00BF715B">
            <w:pPr>
              <w:jc w:val="center"/>
              <w:rPr>
                <w:rFonts w:cs="Arial"/>
                <w:color w:val="000000"/>
                <w:sz w:val="20"/>
                <w:szCs w:val="20"/>
              </w:rPr>
            </w:pPr>
            <w:r w:rsidRPr="00886404">
              <w:rPr>
                <w:rFonts w:cs="Arial"/>
                <w:color w:val="000000"/>
                <w:sz w:val="20"/>
                <w:szCs w:val="20"/>
              </w:rPr>
              <w:t>0,62</w:t>
            </w:r>
          </w:p>
        </w:tc>
        <w:tc>
          <w:tcPr>
            <w:tcW w:w="758"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3C31303C" w14:textId="77777777" w:rsidR="00886404" w:rsidRPr="00886404" w:rsidRDefault="00886404" w:rsidP="00BF715B">
            <w:pPr>
              <w:jc w:val="right"/>
              <w:rPr>
                <w:rFonts w:cs="Arial"/>
                <w:color w:val="000000"/>
                <w:sz w:val="20"/>
                <w:szCs w:val="20"/>
              </w:rPr>
            </w:pPr>
            <w:r w:rsidRPr="00886404">
              <w:rPr>
                <w:rFonts w:cs="Arial"/>
                <w:color w:val="000000"/>
                <w:sz w:val="20"/>
                <w:szCs w:val="20"/>
              </w:rPr>
              <w:t>37.263.266</w:t>
            </w:r>
          </w:p>
        </w:tc>
        <w:tc>
          <w:tcPr>
            <w:tcW w:w="756" w:type="pct"/>
            <w:tcBorders>
              <w:top w:val="nil"/>
              <w:left w:val="nil"/>
              <w:bottom w:val="nil"/>
              <w:right w:val="nil"/>
            </w:tcBorders>
            <w:shd w:val="clear" w:color="auto" w:fill="auto"/>
            <w:noWrap/>
            <w:tcMar>
              <w:top w:w="15" w:type="dxa"/>
              <w:left w:w="15" w:type="dxa"/>
              <w:bottom w:w="0" w:type="dxa"/>
              <w:right w:w="15" w:type="dxa"/>
            </w:tcMar>
            <w:vAlign w:val="center"/>
            <w:hideMark/>
          </w:tcPr>
          <w:p w14:paraId="4614416B" w14:textId="77777777" w:rsidR="00886404" w:rsidRPr="00886404" w:rsidRDefault="00886404" w:rsidP="00BF715B">
            <w:pPr>
              <w:jc w:val="right"/>
              <w:rPr>
                <w:rFonts w:cs="Arial"/>
                <w:color w:val="000000"/>
                <w:sz w:val="20"/>
                <w:szCs w:val="20"/>
              </w:rPr>
            </w:pPr>
            <w:r w:rsidRPr="00886404">
              <w:rPr>
                <w:rFonts w:cs="Arial"/>
                <w:color w:val="000000"/>
                <w:sz w:val="20"/>
                <w:szCs w:val="20"/>
              </w:rPr>
              <w:t>37.076.743</w:t>
            </w:r>
          </w:p>
        </w:tc>
      </w:tr>
      <w:tr w:rsidR="00886404" w:rsidRPr="00886404" w14:paraId="72204A28" w14:textId="77777777" w:rsidTr="00886404">
        <w:trPr>
          <w:trHeight w:val="340"/>
        </w:trPr>
        <w:tc>
          <w:tcPr>
            <w:tcW w:w="2350" w:type="pct"/>
            <w:tcBorders>
              <w:top w:val="single" w:sz="4" w:space="0" w:color="auto"/>
              <w:left w:val="nil"/>
              <w:bottom w:val="single" w:sz="4" w:space="0" w:color="auto"/>
              <w:right w:val="nil"/>
            </w:tcBorders>
            <w:shd w:val="clear" w:color="auto" w:fill="auto"/>
            <w:noWrap/>
            <w:tcMar>
              <w:top w:w="15" w:type="dxa"/>
              <w:left w:w="15" w:type="dxa"/>
              <w:bottom w:w="0" w:type="dxa"/>
              <w:right w:w="15" w:type="dxa"/>
            </w:tcMar>
            <w:vAlign w:val="center"/>
            <w:hideMark/>
          </w:tcPr>
          <w:p w14:paraId="356CCDEE"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Total</w:t>
            </w:r>
          </w:p>
        </w:tc>
        <w:tc>
          <w:tcPr>
            <w:tcW w:w="758" w:type="pct"/>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A24F8F5" w14:textId="77777777" w:rsidR="00886404" w:rsidRPr="00886404" w:rsidRDefault="00886404" w:rsidP="00BF715B">
            <w:pPr>
              <w:jc w:val="right"/>
              <w:rPr>
                <w:rFonts w:cs="Arial"/>
                <w:b/>
                <w:bCs/>
                <w:color w:val="000000"/>
                <w:sz w:val="20"/>
                <w:szCs w:val="20"/>
              </w:rPr>
            </w:pPr>
            <w:r w:rsidRPr="00886404">
              <w:rPr>
                <w:rFonts w:cs="Arial"/>
                <w:b/>
                <w:bCs/>
                <w:color w:val="000000"/>
                <w:sz w:val="20"/>
                <w:szCs w:val="20"/>
              </w:rPr>
              <w:t>6.409.857.358</w:t>
            </w:r>
          </w:p>
        </w:tc>
        <w:tc>
          <w:tcPr>
            <w:tcW w:w="379" w:type="pct"/>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76F8C25"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100,00</w:t>
            </w:r>
          </w:p>
        </w:tc>
        <w:tc>
          <w:tcPr>
            <w:tcW w:w="758" w:type="pct"/>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D6049AC" w14:textId="77777777" w:rsidR="00886404" w:rsidRPr="00886404" w:rsidRDefault="00886404" w:rsidP="00BF715B">
            <w:pPr>
              <w:jc w:val="right"/>
              <w:rPr>
                <w:rFonts w:cs="Arial"/>
                <w:b/>
                <w:bCs/>
                <w:color w:val="000000"/>
                <w:sz w:val="20"/>
                <w:szCs w:val="20"/>
              </w:rPr>
            </w:pPr>
            <w:r w:rsidRPr="00886404">
              <w:rPr>
                <w:rFonts w:cs="Arial"/>
                <w:b/>
                <w:bCs/>
                <w:color w:val="000000"/>
                <w:sz w:val="20"/>
                <w:szCs w:val="20"/>
              </w:rPr>
              <w:t>6.316.067.725</w:t>
            </w:r>
          </w:p>
        </w:tc>
        <w:tc>
          <w:tcPr>
            <w:tcW w:w="756" w:type="pct"/>
            <w:tcBorders>
              <w:top w:val="single" w:sz="4" w:space="0" w:color="auto"/>
              <w:left w:val="nil"/>
              <w:bottom w:val="single" w:sz="4" w:space="0" w:color="auto"/>
              <w:right w:val="nil"/>
            </w:tcBorders>
            <w:shd w:val="clear" w:color="auto" w:fill="auto"/>
            <w:noWrap/>
            <w:tcMar>
              <w:top w:w="15" w:type="dxa"/>
              <w:left w:w="15" w:type="dxa"/>
              <w:bottom w:w="0" w:type="dxa"/>
              <w:right w:w="15" w:type="dxa"/>
            </w:tcMar>
            <w:vAlign w:val="center"/>
            <w:hideMark/>
          </w:tcPr>
          <w:p w14:paraId="31F72A58" w14:textId="77777777" w:rsidR="00886404" w:rsidRPr="00886404" w:rsidRDefault="00886404" w:rsidP="00BF715B">
            <w:pPr>
              <w:jc w:val="right"/>
              <w:rPr>
                <w:rFonts w:cs="Arial"/>
                <w:b/>
                <w:bCs/>
                <w:color w:val="000000"/>
                <w:sz w:val="20"/>
                <w:szCs w:val="20"/>
              </w:rPr>
            </w:pPr>
            <w:r w:rsidRPr="00886404">
              <w:rPr>
                <w:rFonts w:cs="Arial"/>
                <w:b/>
                <w:bCs/>
                <w:color w:val="000000"/>
                <w:sz w:val="20"/>
                <w:szCs w:val="20"/>
              </w:rPr>
              <w:t>6.306.750.783</w:t>
            </w:r>
          </w:p>
        </w:tc>
      </w:tr>
    </w:tbl>
    <w:p w14:paraId="5BC9D8B7" w14:textId="77777777" w:rsidR="00886404" w:rsidRPr="002C017A" w:rsidRDefault="00886404" w:rsidP="00886404">
      <w:pPr>
        <w:pStyle w:val="1-FONTE8ESQ"/>
      </w:pPr>
      <w:r w:rsidRPr="002C017A">
        <w:t xml:space="preserve"> Fonte: </w:t>
      </w:r>
      <w:r w:rsidRPr="002C017A">
        <w:rPr>
          <w:i/>
        </w:rPr>
        <w:t>Business Objects</w:t>
      </w:r>
      <w:r w:rsidRPr="002C017A">
        <w:t xml:space="preserve"> e RREO 6º bimestre/2023</w:t>
      </w:r>
    </w:p>
    <w:p w14:paraId="698BCBCE" w14:textId="77777777" w:rsidR="00886404" w:rsidRPr="0074354D" w:rsidRDefault="00886404" w:rsidP="00886404">
      <w:pPr>
        <w:pStyle w:val="1-REL11"/>
      </w:pPr>
      <w:r w:rsidRPr="0074354D">
        <w:t>Por fim, esse mesmo montante de despesa executada na Função Educação por grupo de despesa está composto conforme tabela abaixo:</w:t>
      </w:r>
    </w:p>
    <w:p w14:paraId="33168A2F" w14:textId="77777777" w:rsidR="00886404" w:rsidRPr="0074354D" w:rsidRDefault="00886404" w:rsidP="00736A8C">
      <w:pPr>
        <w:pStyle w:val="0-TABELA"/>
        <w:numPr>
          <w:ilvl w:val="0"/>
          <w:numId w:val="53"/>
        </w:numPr>
        <w:tabs>
          <w:tab w:val="clear" w:pos="1560"/>
          <w:tab w:val="left" w:pos="1134"/>
        </w:tabs>
        <w:spacing w:before="0" w:after="0"/>
        <w:ind w:left="0" w:firstLine="0"/>
      </w:pPr>
      <w:bookmarkStart w:id="289" w:name="_Toc167871790"/>
      <w:r w:rsidRPr="0074354D">
        <w:t>Despesa na Função Educação por Grupo de Despesa</w:t>
      </w:r>
      <w:bookmarkEnd w:id="289"/>
    </w:p>
    <w:p w14:paraId="02BFF994" w14:textId="77777777" w:rsidR="00886404" w:rsidRPr="0074354D" w:rsidRDefault="00886404" w:rsidP="00886404">
      <w:pPr>
        <w:pStyle w:val="0-EmR1"/>
        <w:rPr>
          <w:lang w:eastAsia="en-US"/>
        </w:rPr>
      </w:pPr>
      <w:r w:rsidRPr="0074354D">
        <w:rPr>
          <w:lang w:eastAsia="en-US"/>
        </w:rPr>
        <w:t>R$ 1</w:t>
      </w:r>
    </w:p>
    <w:tbl>
      <w:tblPr>
        <w:tblW w:w="5000" w:type="pct"/>
        <w:tblCellMar>
          <w:left w:w="0" w:type="dxa"/>
          <w:right w:w="0" w:type="dxa"/>
        </w:tblCellMar>
        <w:tblLook w:val="04A0" w:firstRow="1" w:lastRow="0" w:firstColumn="1" w:lastColumn="0" w:noHBand="0" w:noVBand="1"/>
      </w:tblPr>
      <w:tblGrid>
        <w:gridCol w:w="4259"/>
        <w:gridCol w:w="1528"/>
        <w:gridCol w:w="642"/>
        <w:gridCol w:w="1463"/>
        <w:gridCol w:w="1461"/>
      </w:tblGrid>
      <w:tr w:rsidR="00886404" w:rsidRPr="00886404" w14:paraId="65DA67DA" w14:textId="77777777" w:rsidTr="006A1B4A">
        <w:trPr>
          <w:trHeight w:val="340"/>
        </w:trPr>
        <w:tc>
          <w:tcPr>
            <w:tcW w:w="2277" w:type="pct"/>
            <w:tcBorders>
              <w:top w:val="single" w:sz="4" w:space="0" w:color="auto"/>
              <w:left w:val="nil"/>
              <w:bottom w:val="single" w:sz="4" w:space="0" w:color="auto"/>
              <w:right w:val="nil"/>
            </w:tcBorders>
            <w:shd w:val="clear" w:color="000000" w:fill="A1F2FD"/>
            <w:noWrap/>
            <w:tcMar>
              <w:top w:w="15" w:type="dxa"/>
              <w:left w:w="15" w:type="dxa"/>
              <w:bottom w:w="0" w:type="dxa"/>
              <w:right w:w="15" w:type="dxa"/>
            </w:tcMar>
            <w:vAlign w:val="center"/>
            <w:hideMark/>
          </w:tcPr>
          <w:p w14:paraId="19D667B4"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Subfunção</w:t>
            </w:r>
          </w:p>
        </w:tc>
        <w:tc>
          <w:tcPr>
            <w:tcW w:w="817" w:type="pct"/>
            <w:tcBorders>
              <w:top w:val="single" w:sz="4" w:space="0" w:color="auto"/>
              <w:left w:val="single" w:sz="4" w:space="0" w:color="auto"/>
              <w:bottom w:val="single" w:sz="4" w:space="0" w:color="auto"/>
              <w:right w:val="single" w:sz="4" w:space="0" w:color="auto"/>
            </w:tcBorders>
            <w:shd w:val="clear" w:color="000000" w:fill="A1F2FD"/>
            <w:noWrap/>
            <w:tcMar>
              <w:top w:w="15" w:type="dxa"/>
              <w:left w:w="15" w:type="dxa"/>
              <w:bottom w:w="0" w:type="dxa"/>
              <w:right w:w="15" w:type="dxa"/>
            </w:tcMar>
            <w:vAlign w:val="center"/>
            <w:hideMark/>
          </w:tcPr>
          <w:p w14:paraId="51551C10"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Empenhado</w:t>
            </w:r>
          </w:p>
        </w:tc>
        <w:tc>
          <w:tcPr>
            <w:tcW w:w="343" w:type="pct"/>
            <w:tcBorders>
              <w:top w:val="single" w:sz="4" w:space="0" w:color="auto"/>
              <w:left w:val="nil"/>
              <w:bottom w:val="single" w:sz="4" w:space="0" w:color="auto"/>
              <w:right w:val="nil"/>
            </w:tcBorders>
            <w:shd w:val="clear" w:color="000000" w:fill="A1F2FD"/>
            <w:noWrap/>
            <w:tcMar>
              <w:top w:w="15" w:type="dxa"/>
              <w:left w:w="15" w:type="dxa"/>
              <w:bottom w:w="0" w:type="dxa"/>
              <w:right w:w="15" w:type="dxa"/>
            </w:tcMar>
            <w:vAlign w:val="center"/>
            <w:hideMark/>
          </w:tcPr>
          <w:p w14:paraId="49228115"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AV %</w:t>
            </w:r>
          </w:p>
        </w:tc>
        <w:tc>
          <w:tcPr>
            <w:tcW w:w="782" w:type="pct"/>
            <w:tcBorders>
              <w:top w:val="single" w:sz="4" w:space="0" w:color="auto"/>
              <w:left w:val="single" w:sz="4" w:space="0" w:color="auto"/>
              <w:bottom w:val="single" w:sz="4" w:space="0" w:color="auto"/>
              <w:right w:val="single" w:sz="4" w:space="0" w:color="auto"/>
            </w:tcBorders>
            <w:shd w:val="clear" w:color="000000" w:fill="A1F2FD"/>
            <w:noWrap/>
            <w:tcMar>
              <w:top w:w="15" w:type="dxa"/>
              <w:left w:w="15" w:type="dxa"/>
              <w:bottom w:w="0" w:type="dxa"/>
              <w:right w:w="15" w:type="dxa"/>
            </w:tcMar>
            <w:vAlign w:val="center"/>
            <w:hideMark/>
          </w:tcPr>
          <w:p w14:paraId="4BBED25A"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Liquidado</w:t>
            </w:r>
          </w:p>
        </w:tc>
        <w:tc>
          <w:tcPr>
            <w:tcW w:w="781" w:type="pct"/>
            <w:tcBorders>
              <w:top w:val="single" w:sz="4" w:space="0" w:color="auto"/>
              <w:left w:val="nil"/>
              <w:bottom w:val="single" w:sz="4" w:space="0" w:color="auto"/>
              <w:right w:val="nil"/>
            </w:tcBorders>
            <w:shd w:val="clear" w:color="000000" w:fill="A1F2FD"/>
            <w:noWrap/>
            <w:tcMar>
              <w:top w:w="15" w:type="dxa"/>
              <w:left w:w="15" w:type="dxa"/>
              <w:bottom w:w="0" w:type="dxa"/>
              <w:right w:w="15" w:type="dxa"/>
            </w:tcMar>
            <w:vAlign w:val="center"/>
            <w:hideMark/>
          </w:tcPr>
          <w:p w14:paraId="7298AAB9"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Pago</w:t>
            </w:r>
          </w:p>
        </w:tc>
      </w:tr>
      <w:tr w:rsidR="00886404" w:rsidRPr="00886404" w14:paraId="00A00314" w14:textId="77777777" w:rsidTr="006A1B4A">
        <w:trPr>
          <w:trHeight w:val="340"/>
        </w:trPr>
        <w:tc>
          <w:tcPr>
            <w:tcW w:w="2277" w:type="pct"/>
            <w:tcBorders>
              <w:top w:val="nil"/>
              <w:left w:val="nil"/>
              <w:bottom w:val="nil"/>
              <w:right w:val="nil"/>
            </w:tcBorders>
            <w:shd w:val="clear" w:color="auto" w:fill="auto"/>
            <w:noWrap/>
            <w:tcMar>
              <w:top w:w="15" w:type="dxa"/>
              <w:left w:w="15" w:type="dxa"/>
              <w:bottom w:w="0" w:type="dxa"/>
              <w:right w:w="15" w:type="dxa"/>
            </w:tcMar>
            <w:vAlign w:val="center"/>
            <w:hideMark/>
          </w:tcPr>
          <w:p w14:paraId="06CEFEB9" w14:textId="77777777" w:rsidR="00886404" w:rsidRPr="00886404" w:rsidRDefault="00886404" w:rsidP="00BF715B">
            <w:pPr>
              <w:jc w:val="left"/>
              <w:rPr>
                <w:rFonts w:cs="Arial"/>
                <w:b/>
                <w:color w:val="000000"/>
                <w:sz w:val="20"/>
                <w:szCs w:val="20"/>
              </w:rPr>
            </w:pPr>
            <w:r w:rsidRPr="00886404">
              <w:rPr>
                <w:rFonts w:cs="Arial"/>
                <w:b/>
                <w:color w:val="000000"/>
                <w:sz w:val="20"/>
                <w:szCs w:val="20"/>
              </w:rPr>
              <w:t>Despesas Correntes</w:t>
            </w:r>
          </w:p>
        </w:tc>
        <w:tc>
          <w:tcPr>
            <w:tcW w:w="817"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4E0EC198" w14:textId="77777777" w:rsidR="00886404" w:rsidRPr="00886404" w:rsidRDefault="00886404" w:rsidP="00BF715B">
            <w:pPr>
              <w:jc w:val="right"/>
              <w:rPr>
                <w:rFonts w:cs="Arial"/>
                <w:b/>
                <w:color w:val="000000"/>
                <w:sz w:val="20"/>
                <w:szCs w:val="20"/>
              </w:rPr>
            </w:pPr>
            <w:r w:rsidRPr="00886404">
              <w:rPr>
                <w:rFonts w:cs="Arial"/>
                <w:b/>
                <w:color w:val="000000"/>
                <w:sz w:val="20"/>
                <w:szCs w:val="20"/>
              </w:rPr>
              <w:t>6.074.975.238</w:t>
            </w:r>
          </w:p>
        </w:tc>
        <w:tc>
          <w:tcPr>
            <w:tcW w:w="343" w:type="pct"/>
            <w:tcBorders>
              <w:top w:val="nil"/>
              <w:left w:val="nil"/>
              <w:bottom w:val="nil"/>
              <w:right w:val="nil"/>
            </w:tcBorders>
            <w:shd w:val="clear" w:color="auto" w:fill="auto"/>
            <w:noWrap/>
            <w:tcMar>
              <w:top w:w="15" w:type="dxa"/>
              <w:left w:w="15" w:type="dxa"/>
              <w:bottom w:w="0" w:type="dxa"/>
              <w:right w:w="15" w:type="dxa"/>
            </w:tcMar>
            <w:vAlign w:val="center"/>
            <w:hideMark/>
          </w:tcPr>
          <w:p w14:paraId="2725BB83" w14:textId="77777777" w:rsidR="00886404" w:rsidRPr="00886404" w:rsidRDefault="00886404" w:rsidP="00BF715B">
            <w:pPr>
              <w:jc w:val="center"/>
              <w:rPr>
                <w:rFonts w:cs="Arial"/>
                <w:b/>
                <w:color w:val="000000"/>
                <w:sz w:val="20"/>
                <w:szCs w:val="20"/>
              </w:rPr>
            </w:pPr>
            <w:r w:rsidRPr="00886404">
              <w:rPr>
                <w:rFonts w:cs="Arial"/>
                <w:b/>
                <w:color w:val="000000"/>
                <w:sz w:val="20"/>
                <w:szCs w:val="20"/>
              </w:rPr>
              <w:t>94,78</w:t>
            </w:r>
          </w:p>
        </w:tc>
        <w:tc>
          <w:tcPr>
            <w:tcW w:w="782"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6D975B84" w14:textId="77777777" w:rsidR="00886404" w:rsidRPr="00886404" w:rsidRDefault="00886404" w:rsidP="00BF715B">
            <w:pPr>
              <w:jc w:val="right"/>
              <w:rPr>
                <w:rFonts w:cs="Arial"/>
                <w:b/>
                <w:color w:val="000000"/>
                <w:sz w:val="20"/>
                <w:szCs w:val="20"/>
              </w:rPr>
            </w:pPr>
            <w:r w:rsidRPr="00886404">
              <w:rPr>
                <w:rFonts w:cs="Arial"/>
                <w:b/>
                <w:color w:val="000000"/>
                <w:sz w:val="20"/>
                <w:szCs w:val="20"/>
              </w:rPr>
              <w:t>6.028.728.749</w:t>
            </w:r>
          </w:p>
        </w:tc>
        <w:tc>
          <w:tcPr>
            <w:tcW w:w="781" w:type="pct"/>
            <w:tcBorders>
              <w:top w:val="nil"/>
              <w:left w:val="nil"/>
              <w:bottom w:val="nil"/>
              <w:right w:val="nil"/>
            </w:tcBorders>
            <w:shd w:val="clear" w:color="auto" w:fill="auto"/>
            <w:noWrap/>
            <w:tcMar>
              <w:top w:w="15" w:type="dxa"/>
              <w:left w:w="15" w:type="dxa"/>
              <w:bottom w:w="0" w:type="dxa"/>
              <w:right w:w="15" w:type="dxa"/>
            </w:tcMar>
            <w:vAlign w:val="center"/>
            <w:hideMark/>
          </w:tcPr>
          <w:p w14:paraId="629EC95E" w14:textId="77777777" w:rsidR="00886404" w:rsidRPr="00886404" w:rsidRDefault="00886404" w:rsidP="00BF715B">
            <w:pPr>
              <w:jc w:val="right"/>
              <w:rPr>
                <w:rFonts w:cs="Arial"/>
                <w:b/>
                <w:color w:val="000000"/>
                <w:sz w:val="20"/>
                <w:szCs w:val="20"/>
              </w:rPr>
            </w:pPr>
            <w:r w:rsidRPr="00886404">
              <w:rPr>
                <w:rFonts w:cs="Arial"/>
                <w:b/>
                <w:color w:val="000000"/>
                <w:sz w:val="20"/>
                <w:szCs w:val="20"/>
              </w:rPr>
              <w:t>6.019.987.566</w:t>
            </w:r>
          </w:p>
        </w:tc>
      </w:tr>
      <w:tr w:rsidR="00886404" w:rsidRPr="00886404" w14:paraId="336FB91E" w14:textId="77777777" w:rsidTr="006A1B4A">
        <w:trPr>
          <w:trHeight w:val="340"/>
        </w:trPr>
        <w:tc>
          <w:tcPr>
            <w:tcW w:w="2277" w:type="pct"/>
            <w:tcBorders>
              <w:top w:val="nil"/>
              <w:left w:val="nil"/>
              <w:bottom w:val="nil"/>
              <w:right w:val="nil"/>
            </w:tcBorders>
            <w:shd w:val="clear" w:color="auto" w:fill="auto"/>
            <w:noWrap/>
            <w:tcMar>
              <w:top w:w="15" w:type="dxa"/>
              <w:left w:w="15" w:type="dxa"/>
              <w:bottom w:w="0" w:type="dxa"/>
              <w:right w:w="15" w:type="dxa"/>
            </w:tcMar>
            <w:vAlign w:val="center"/>
            <w:hideMark/>
          </w:tcPr>
          <w:p w14:paraId="15A2C746" w14:textId="77777777" w:rsidR="00886404" w:rsidRPr="00886404" w:rsidRDefault="00886404" w:rsidP="00BF715B">
            <w:pPr>
              <w:ind w:left="130"/>
              <w:rPr>
                <w:rFonts w:cs="Arial"/>
                <w:color w:val="000000"/>
                <w:sz w:val="20"/>
                <w:szCs w:val="20"/>
              </w:rPr>
            </w:pPr>
            <w:r w:rsidRPr="00886404">
              <w:rPr>
                <w:rFonts w:cs="Arial"/>
                <w:color w:val="000000"/>
                <w:sz w:val="20"/>
                <w:szCs w:val="20"/>
              </w:rPr>
              <w:t>Pessoal e Encargos Sociais</w:t>
            </w:r>
          </w:p>
        </w:tc>
        <w:tc>
          <w:tcPr>
            <w:tcW w:w="817"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20C373F7" w14:textId="77777777" w:rsidR="00886404" w:rsidRPr="00886404" w:rsidRDefault="00886404" w:rsidP="00BF715B">
            <w:pPr>
              <w:jc w:val="right"/>
              <w:rPr>
                <w:rFonts w:cs="Arial"/>
                <w:color w:val="000000"/>
                <w:sz w:val="20"/>
                <w:szCs w:val="20"/>
              </w:rPr>
            </w:pPr>
            <w:r w:rsidRPr="00886404">
              <w:rPr>
                <w:rFonts w:cs="Arial"/>
                <w:color w:val="000000"/>
                <w:sz w:val="20"/>
                <w:szCs w:val="20"/>
              </w:rPr>
              <w:t>3.890.565.354</w:t>
            </w:r>
          </w:p>
        </w:tc>
        <w:tc>
          <w:tcPr>
            <w:tcW w:w="343" w:type="pct"/>
            <w:tcBorders>
              <w:top w:val="nil"/>
              <w:left w:val="nil"/>
              <w:bottom w:val="nil"/>
              <w:right w:val="nil"/>
            </w:tcBorders>
            <w:shd w:val="clear" w:color="auto" w:fill="auto"/>
            <w:noWrap/>
            <w:tcMar>
              <w:top w:w="15" w:type="dxa"/>
              <w:left w:w="15" w:type="dxa"/>
              <w:bottom w:w="0" w:type="dxa"/>
              <w:right w:w="15" w:type="dxa"/>
            </w:tcMar>
            <w:vAlign w:val="center"/>
            <w:hideMark/>
          </w:tcPr>
          <w:p w14:paraId="05449E2B" w14:textId="77777777" w:rsidR="00886404" w:rsidRPr="00886404" w:rsidRDefault="00886404" w:rsidP="00BF715B">
            <w:pPr>
              <w:jc w:val="center"/>
              <w:rPr>
                <w:rFonts w:cs="Arial"/>
                <w:color w:val="000000"/>
                <w:sz w:val="20"/>
                <w:szCs w:val="20"/>
              </w:rPr>
            </w:pPr>
            <w:r w:rsidRPr="00886404">
              <w:rPr>
                <w:rFonts w:cs="Arial"/>
                <w:color w:val="000000"/>
                <w:sz w:val="20"/>
                <w:szCs w:val="20"/>
              </w:rPr>
              <w:t>60,70</w:t>
            </w:r>
          </w:p>
        </w:tc>
        <w:tc>
          <w:tcPr>
            <w:tcW w:w="782"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347481C5" w14:textId="77777777" w:rsidR="00886404" w:rsidRPr="00886404" w:rsidRDefault="00886404" w:rsidP="00BF715B">
            <w:pPr>
              <w:jc w:val="right"/>
              <w:rPr>
                <w:rFonts w:cs="Arial"/>
                <w:color w:val="000000"/>
                <w:sz w:val="20"/>
                <w:szCs w:val="20"/>
              </w:rPr>
            </w:pPr>
            <w:r w:rsidRPr="00886404">
              <w:rPr>
                <w:rFonts w:cs="Arial"/>
                <w:color w:val="000000"/>
                <w:sz w:val="20"/>
                <w:szCs w:val="20"/>
              </w:rPr>
              <w:t>3.890.565.354</w:t>
            </w:r>
          </w:p>
        </w:tc>
        <w:tc>
          <w:tcPr>
            <w:tcW w:w="781" w:type="pct"/>
            <w:tcBorders>
              <w:top w:val="nil"/>
              <w:left w:val="nil"/>
              <w:bottom w:val="nil"/>
              <w:right w:val="nil"/>
            </w:tcBorders>
            <w:shd w:val="clear" w:color="auto" w:fill="auto"/>
            <w:noWrap/>
            <w:tcMar>
              <w:top w:w="15" w:type="dxa"/>
              <w:left w:w="15" w:type="dxa"/>
              <w:bottom w:w="0" w:type="dxa"/>
              <w:right w:w="15" w:type="dxa"/>
            </w:tcMar>
            <w:vAlign w:val="center"/>
            <w:hideMark/>
          </w:tcPr>
          <w:p w14:paraId="74A32FDA" w14:textId="77777777" w:rsidR="00886404" w:rsidRPr="00886404" w:rsidRDefault="00886404" w:rsidP="00BF715B">
            <w:pPr>
              <w:jc w:val="right"/>
              <w:rPr>
                <w:rFonts w:cs="Arial"/>
                <w:color w:val="000000"/>
                <w:sz w:val="20"/>
                <w:szCs w:val="20"/>
              </w:rPr>
            </w:pPr>
            <w:r w:rsidRPr="00886404">
              <w:rPr>
                <w:rFonts w:cs="Arial"/>
                <w:color w:val="000000"/>
                <w:sz w:val="20"/>
                <w:szCs w:val="20"/>
              </w:rPr>
              <w:t>3.890.169.507</w:t>
            </w:r>
          </w:p>
        </w:tc>
      </w:tr>
      <w:tr w:rsidR="00886404" w:rsidRPr="00886404" w14:paraId="36CFF9AE" w14:textId="77777777" w:rsidTr="006A1B4A">
        <w:trPr>
          <w:trHeight w:val="340"/>
        </w:trPr>
        <w:tc>
          <w:tcPr>
            <w:tcW w:w="2277" w:type="pct"/>
            <w:tcBorders>
              <w:top w:val="nil"/>
              <w:left w:val="nil"/>
              <w:bottom w:val="nil"/>
              <w:right w:val="nil"/>
            </w:tcBorders>
            <w:shd w:val="clear" w:color="auto" w:fill="auto"/>
            <w:noWrap/>
            <w:tcMar>
              <w:top w:w="15" w:type="dxa"/>
              <w:left w:w="15" w:type="dxa"/>
              <w:bottom w:w="0" w:type="dxa"/>
              <w:right w:w="15" w:type="dxa"/>
            </w:tcMar>
            <w:vAlign w:val="center"/>
            <w:hideMark/>
          </w:tcPr>
          <w:p w14:paraId="601D79F4" w14:textId="77777777" w:rsidR="00886404" w:rsidRPr="00886404" w:rsidRDefault="00886404" w:rsidP="00BF715B">
            <w:pPr>
              <w:ind w:left="130"/>
              <w:rPr>
                <w:rFonts w:cs="Arial"/>
                <w:color w:val="000000"/>
                <w:sz w:val="20"/>
                <w:szCs w:val="20"/>
              </w:rPr>
            </w:pPr>
            <w:r w:rsidRPr="00886404">
              <w:rPr>
                <w:rFonts w:cs="Arial"/>
                <w:color w:val="000000"/>
                <w:sz w:val="20"/>
                <w:szCs w:val="20"/>
              </w:rPr>
              <w:t>Outras Despesas Correntes</w:t>
            </w:r>
          </w:p>
        </w:tc>
        <w:tc>
          <w:tcPr>
            <w:tcW w:w="817"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65DC7F79" w14:textId="77777777" w:rsidR="00886404" w:rsidRPr="00886404" w:rsidRDefault="00886404" w:rsidP="00BF715B">
            <w:pPr>
              <w:jc w:val="right"/>
              <w:rPr>
                <w:rFonts w:cs="Arial"/>
                <w:color w:val="000000"/>
                <w:sz w:val="20"/>
                <w:szCs w:val="20"/>
              </w:rPr>
            </w:pPr>
            <w:r w:rsidRPr="00886404">
              <w:rPr>
                <w:rFonts w:cs="Arial"/>
                <w:color w:val="000000"/>
                <w:sz w:val="20"/>
                <w:szCs w:val="20"/>
              </w:rPr>
              <w:t>2.184.409.884</w:t>
            </w:r>
          </w:p>
        </w:tc>
        <w:tc>
          <w:tcPr>
            <w:tcW w:w="343" w:type="pct"/>
            <w:tcBorders>
              <w:top w:val="nil"/>
              <w:left w:val="nil"/>
              <w:bottom w:val="nil"/>
              <w:right w:val="nil"/>
            </w:tcBorders>
            <w:shd w:val="clear" w:color="auto" w:fill="auto"/>
            <w:noWrap/>
            <w:tcMar>
              <w:top w:w="15" w:type="dxa"/>
              <w:left w:w="15" w:type="dxa"/>
              <w:bottom w:w="0" w:type="dxa"/>
              <w:right w:w="15" w:type="dxa"/>
            </w:tcMar>
            <w:vAlign w:val="center"/>
            <w:hideMark/>
          </w:tcPr>
          <w:p w14:paraId="57132C22" w14:textId="77777777" w:rsidR="00886404" w:rsidRPr="00886404" w:rsidRDefault="00886404" w:rsidP="00BF715B">
            <w:pPr>
              <w:jc w:val="center"/>
              <w:rPr>
                <w:rFonts w:cs="Arial"/>
                <w:color w:val="000000"/>
                <w:sz w:val="20"/>
                <w:szCs w:val="20"/>
              </w:rPr>
            </w:pPr>
            <w:r w:rsidRPr="00886404">
              <w:rPr>
                <w:rFonts w:cs="Arial"/>
                <w:color w:val="000000"/>
                <w:sz w:val="20"/>
                <w:szCs w:val="20"/>
              </w:rPr>
              <w:t>34,08</w:t>
            </w:r>
          </w:p>
        </w:tc>
        <w:tc>
          <w:tcPr>
            <w:tcW w:w="782"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1590F2C4" w14:textId="77777777" w:rsidR="00886404" w:rsidRPr="00886404" w:rsidRDefault="00886404" w:rsidP="00BF715B">
            <w:pPr>
              <w:jc w:val="right"/>
              <w:rPr>
                <w:rFonts w:cs="Arial"/>
                <w:color w:val="000000"/>
                <w:sz w:val="20"/>
                <w:szCs w:val="20"/>
              </w:rPr>
            </w:pPr>
            <w:r w:rsidRPr="00886404">
              <w:rPr>
                <w:rFonts w:cs="Arial"/>
                <w:color w:val="000000"/>
                <w:sz w:val="20"/>
                <w:szCs w:val="20"/>
              </w:rPr>
              <w:t>2.138.163.395</w:t>
            </w:r>
          </w:p>
        </w:tc>
        <w:tc>
          <w:tcPr>
            <w:tcW w:w="781" w:type="pct"/>
            <w:tcBorders>
              <w:top w:val="nil"/>
              <w:left w:val="nil"/>
              <w:bottom w:val="nil"/>
              <w:right w:val="nil"/>
            </w:tcBorders>
            <w:shd w:val="clear" w:color="auto" w:fill="auto"/>
            <w:noWrap/>
            <w:tcMar>
              <w:top w:w="15" w:type="dxa"/>
              <w:left w:w="15" w:type="dxa"/>
              <w:bottom w:w="0" w:type="dxa"/>
              <w:right w:w="15" w:type="dxa"/>
            </w:tcMar>
            <w:vAlign w:val="center"/>
            <w:hideMark/>
          </w:tcPr>
          <w:p w14:paraId="74BDF795" w14:textId="77777777" w:rsidR="00886404" w:rsidRPr="00886404" w:rsidRDefault="00886404" w:rsidP="00BF715B">
            <w:pPr>
              <w:jc w:val="right"/>
              <w:rPr>
                <w:rFonts w:cs="Arial"/>
                <w:color w:val="000000"/>
                <w:sz w:val="20"/>
                <w:szCs w:val="20"/>
              </w:rPr>
            </w:pPr>
            <w:r w:rsidRPr="00886404">
              <w:rPr>
                <w:rFonts w:cs="Arial"/>
                <w:color w:val="000000"/>
                <w:sz w:val="20"/>
                <w:szCs w:val="20"/>
              </w:rPr>
              <w:t>2.129.818.059</w:t>
            </w:r>
          </w:p>
        </w:tc>
      </w:tr>
      <w:tr w:rsidR="00886404" w:rsidRPr="00886404" w14:paraId="642230B8" w14:textId="77777777" w:rsidTr="006A1B4A">
        <w:trPr>
          <w:trHeight w:val="340"/>
        </w:trPr>
        <w:tc>
          <w:tcPr>
            <w:tcW w:w="2277" w:type="pct"/>
            <w:tcBorders>
              <w:top w:val="nil"/>
              <w:left w:val="nil"/>
              <w:bottom w:val="nil"/>
              <w:right w:val="nil"/>
            </w:tcBorders>
            <w:shd w:val="clear" w:color="auto" w:fill="auto"/>
            <w:noWrap/>
            <w:tcMar>
              <w:top w:w="15" w:type="dxa"/>
              <w:left w:w="15" w:type="dxa"/>
              <w:bottom w:w="0" w:type="dxa"/>
              <w:right w:w="15" w:type="dxa"/>
            </w:tcMar>
            <w:vAlign w:val="center"/>
            <w:hideMark/>
          </w:tcPr>
          <w:p w14:paraId="63AA4713" w14:textId="77777777" w:rsidR="00886404" w:rsidRPr="00886404" w:rsidRDefault="00886404" w:rsidP="00BF715B">
            <w:pPr>
              <w:rPr>
                <w:rFonts w:cs="Arial"/>
                <w:b/>
                <w:color w:val="000000"/>
                <w:sz w:val="20"/>
                <w:szCs w:val="20"/>
              </w:rPr>
            </w:pPr>
            <w:r w:rsidRPr="00886404">
              <w:rPr>
                <w:rFonts w:cs="Arial"/>
                <w:b/>
                <w:color w:val="000000"/>
                <w:sz w:val="20"/>
                <w:szCs w:val="20"/>
              </w:rPr>
              <w:t>Despesas de Investimento</w:t>
            </w:r>
          </w:p>
        </w:tc>
        <w:tc>
          <w:tcPr>
            <w:tcW w:w="817"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16758CF4" w14:textId="77777777" w:rsidR="00886404" w:rsidRPr="00886404" w:rsidRDefault="00886404" w:rsidP="00BF715B">
            <w:pPr>
              <w:jc w:val="right"/>
              <w:rPr>
                <w:rFonts w:cs="Arial"/>
                <w:b/>
                <w:color w:val="000000"/>
                <w:sz w:val="20"/>
                <w:szCs w:val="20"/>
              </w:rPr>
            </w:pPr>
            <w:r w:rsidRPr="00886404">
              <w:rPr>
                <w:rFonts w:cs="Arial"/>
                <w:b/>
                <w:color w:val="000000"/>
                <w:sz w:val="20"/>
                <w:szCs w:val="20"/>
              </w:rPr>
              <w:t>334.882.120</w:t>
            </w:r>
          </w:p>
        </w:tc>
        <w:tc>
          <w:tcPr>
            <w:tcW w:w="343" w:type="pct"/>
            <w:tcBorders>
              <w:top w:val="nil"/>
              <w:left w:val="nil"/>
              <w:bottom w:val="nil"/>
              <w:right w:val="nil"/>
            </w:tcBorders>
            <w:shd w:val="clear" w:color="auto" w:fill="auto"/>
            <w:noWrap/>
            <w:tcMar>
              <w:top w:w="15" w:type="dxa"/>
              <w:left w:w="15" w:type="dxa"/>
              <w:bottom w:w="0" w:type="dxa"/>
              <w:right w:w="15" w:type="dxa"/>
            </w:tcMar>
            <w:vAlign w:val="center"/>
            <w:hideMark/>
          </w:tcPr>
          <w:p w14:paraId="36AD3971" w14:textId="77777777" w:rsidR="00886404" w:rsidRPr="00886404" w:rsidRDefault="00886404" w:rsidP="00BF715B">
            <w:pPr>
              <w:jc w:val="center"/>
              <w:rPr>
                <w:rFonts w:cs="Arial"/>
                <w:b/>
                <w:color w:val="000000"/>
                <w:sz w:val="20"/>
                <w:szCs w:val="20"/>
              </w:rPr>
            </w:pPr>
            <w:r w:rsidRPr="00886404">
              <w:rPr>
                <w:rFonts w:cs="Arial"/>
                <w:b/>
                <w:color w:val="000000"/>
                <w:sz w:val="20"/>
                <w:szCs w:val="20"/>
              </w:rPr>
              <w:t>5,22</w:t>
            </w:r>
          </w:p>
        </w:tc>
        <w:tc>
          <w:tcPr>
            <w:tcW w:w="782"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2E8184DC" w14:textId="77777777" w:rsidR="00886404" w:rsidRPr="00886404" w:rsidRDefault="00886404" w:rsidP="00BF715B">
            <w:pPr>
              <w:jc w:val="right"/>
              <w:rPr>
                <w:rFonts w:cs="Arial"/>
                <w:b/>
                <w:color w:val="000000"/>
                <w:sz w:val="20"/>
                <w:szCs w:val="20"/>
              </w:rPr>
            </w:pPr>
            <w:r w:rsidRPr="00886404">
              <w:rPr>
                <w:rFonts w:cs="Arial"/>
                <w:b/>
                <w:color w:val="000000"/>
                <w:sz w:val="20"/>
                <w:szCs w:val="20"/>
              </w:rPr>
              <w:t>287.338.976</w:t>
            </w:r>
          </w:p>
        </w:tc>
        <w:tc>
          <w:tcPr>
            <w:tcW w:w="781" w:type="pct"/>
            <w:tcBorders>
              <w:top w:val="nil"/>
              <w:left w:val="nil"/>
              <w:bottom w:val="nil"/>
              <w:right w:val="nil"/>
            </w:tcBorders>
            <w:shd w:val="clear" w:color="auto" w:fill="auto"/>
            <w:noWrap/>
            <w:tcMar>
              <w:top w:w="15" w:type="dxa"/>
              <w:left w:w="15" w:type="dxa"/>
              <w:bottom w:w="0" w:type="dxa"/>
              <w:right w:w="15" w:type="dxa"/>
            </w:tcMar>
            <w:vAlign w:val="center"/>
            <w:hideMark/>
          </w:tcPr>
          <w:p w14:paraId="39D2B979" w14:textId="77777777" w:rsidR="00886404" w:rsidRPr="00886404" w:rsidRDefault="00886404" w:rsidP="00BF715B">
            <w:pPr>
              <w:jc w:val="right"/>
              <w:rPr>
                <w:rFonts w:cs="Arial"/>
                <w:b/>
                <w:color w:val="000000"/>
                <w:sz w:val="20"/>
                <w:szCs w:val="20"/>
              </w:rPr>
            </w:pPr>
            <w:r w:rsidRPr="00886404">
              <w:rPr>
                <w:rFonts w:cs="Arial"/>
                <w:b/>
                <w:color w:val="000000"/>
                <w:sz w:val="20"/>
                <w:szCs w:val="20"/>
              </w:rPr>
              <w:t>286.763.217</w:t>
            </w:r>
          </w:p>
        </w:tc>
      </w:tr>
      <w:tr w:rsidR="00886404" w:rsidRPr="00886404" w14:paraId="29B6CC04" w14:textId="77777777" w:rsidTr="006A1B4A">
        <w:trPr>
          <w:trHeight w:val="340"/>
        </w:trPr>
        <w:tc>
          <w:tcPr>
            <w:tcW w:w="2277" w:type="pct"/>
            <w:tcBorders>
              <w:top w:val="nil"/>
              <w:left w:val="nil"/>
              <w:bottom w:val="nil"/>
              <w:right w:val="nil"/>
            </w:tcBorders>
            <w:shd w:val="clear" w:color="auto" w:fill="auto"/>
            <w:noWrap/>
            <w:tcMar>
              <w:top w:w="15" w:type="dxa"/>
              <w:left w:w="15" w:type="dxa"/>
              <w:bottom w:w="0" w:type="dxa"/>
              <w:right w:w="15" w:type="dxa"/>
            </w:tcMar>
            <w:vAlign w:val="center"/>
            <w:hideMark/>
          </w:tcPr>
          <w:p w14:paraId="0EB3F3EA" w14:textId="77777777" w:rsidR="00886404" w:rsidRPr="00886404" w:rsidRDefault="00886404" w:rsidP="00BF715B">
            <w:pPr>
              <w:ind w:left="130"/>
              <w:rPr>
                <w:rFonts w:cs="Arial"/>
                <w:color w:val="000000"/>
                <w:sz w:val="20"/>
                <w:szCs w:val="20"/>
              </w:rPr>
            </w:pPr>
            <w:r w:rsidRPr="00886404">
              <w:rPr>
                <w:rFonts w:cs="Arial"/>
                <w:color w:val="000000"/>
                <w:sz w:val="20"/>
                <w:szCs w:val="20"/>
              </w:rPr>
              <w:t>Investimentos</w:t>
            </w:r>
          </w:p>
        </w:tc>
        <w:tc>
          <w:tcPr>
            <w:tcW w:w="817"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28A10F28" w14:textId="77777777" w:rsidR="00886404" w:rsidRPr="00886404" w:rsidRDefault="00886404" w:rsidP="00BF715B">
            <w:pPr>
              <w:jc w:val="right"/>
              <w:rPr>
                <w:rFonts w:cs="Arial"/>
                <w:color w:val="000000"/>
                <w:sz w:val="20"/>
                <w:szCs w:val="20"/>
              </w:rPr>
            </w:pPr>
            <w:r w:rsidRPr="00886404">
              <w:rPr>
                <w:rFonts w:cs="Arial"/>
                <w:color w:val="000000"/>
                <w:sz w:val="20"/>
                <w:szCs w:val="20"/>
              </w:rPr>
              <w:t>334.882.120</w:t>
            </w:r>
          </w:p>
        </w:tc>
        <w:tc>
          <w:tcPr>
            <w:tcW w:w="343" w:type="pct"/>
            <w:tcBorders>
              <w:top w:val="nil"/>
              <w:left w:val="nil"/>
              <w:bottom w:val="nil"/>
              <w:right w:val="nil"/>
            </w:tcBorders>
            <w:shd w:val="clear" w:color="auto" w:fill="auto"/>
            <w:noWrap/>
            <w:tcMar>
              <w:top w:w="15" w:type="dxa"/>
              <w:left w:w="15" w:type="dxa"/>
              <w:bottom w:w="0" w:type="dxa"/>
              <w:right w:w="15" w:type="dxa"/>
            </w:tcMar>
            <w:vAlign w:val="center"/>
            <w:hideMark/>
          </w:tcPr>
          <w:p w14:paraId="45CF3F62" w14:textId="77777777" w:rsidR="00886404" w:rsidRPr="00886404" w:rsidRDefault="00886404" w:rsidP="00BF715B">
            <w:pPr>
              <w:jc w:val="center"/>
              <w:rPr>
                <w:rFonts w:cs="Arial"/>
                <w:color w:val="000000"/>
                <w:sz w:val="20"/>
                <w:szCs w:val="20"/>
              </w:rPr>
            </w:pPr>
            <w:r w:rsidRPr="00886404">
              <w:rPr>
                <w:rFonts w:cs="Arial"/>
                <w:color w:val="000000"/>
                <w:sz w:val="20"/>
                <w:szCs w:val="20"/>
              </w:rPr>
              <w:t>5,22</w:t>
            </w:r>
          </w:p>
        </w:tc>
        <w:tc>
          <w:tcPr>
            <w:tcW w:w="782" w:type="pct"/>
            <w:tcBorders>
              <w:top w:val="nil"/>
              <w:left w:val="single" w:sz="4" w:space="0" w:color="auto"/>
              <w:bottom w:val="nil"/>
              <w:right w:val="single" w:sz="4" w:space="0" w:color="auto"/>
            </w:tcBorders>
            <w:shd w:val="clear" w:color="auto" w:fill="auto"/>
            <w:noWrap/>
            <w:tcMar>
              <w:top w:w="15" w:type="dxa"/>
              <w:left w:w="15" w:type="dxa"/>
              <w:bottom w:w="0" w:type="dxa"/>
              <w:right w:w="15" w:type="dxa"/>
            </w:tcMar>
            <w:vAlign w:val="center"/>
            <w:hideMark/>
          </w:tcPr>
          <w:p w14:paraId="3ABF61E0" w14:textId="77777777" w:rsidR="00886404" w:rsidRPr="00886404" w:rsidRDefault="00886404" w:rsidP="00BF715B">
            <w:pPr>
              <w:jc w:val="right"/>
              <w:rPr>
                <w:rFonts w:cs="Arial"/>
                <w:color w:val="000000"/>
                <w:sz w:val="20"/>
                <w:szCs w:val="20"/>
              </w:rPr>
            </w:pPr>
            <w:r w:rsidRPr="00886404">
              <w:rPr>
                <w:rFonts w:cs="Arial"/>
                <w:color w:val="000000"/>
                <w:sz w:val="20"/>
                <w:szCs w:val="20"/>
              </w:rPr>
              <w:t>287.338.976</w:t>
            </w:r>
          </w:p>
        </w:tc>
        <w:tc>
          <w:tcPr>
            <w:tcW w:w="781" w:type="pct"/>
            <w:tcBorders>
              <w:top w:val="nil"/>
              <w:left w:val="nil"/>
              <w:bottom w:val="nil"/>
              <w:right w:val="nil"/>
            </w:tcBorders>
            <w:shd w:val="clear" w:color="auto" w:fill="auto"/>
            <w:noWrap/>
            <w:tcMar>
              <w:top w:w="15" w:type="dxa"/>
              <w:left w:w="15" w:type="dxa"/>
              <w:bottom w:w="0" w:type="dxa"/>
              <w:right w:w="15" w:type="dxa"/>
            </w:tcMar>
            <w:vAlign w:val="center"/>
            <w:hideMark/>
          </w:tcPr>
          <w:p w14:paraId="5B1AAEF5" w14:textId="77777777" w:rsidR="00886404" w:rsidRPr="00886404" w:rsidRDefault="00886404" w:rsidP="00BF715B">
            <w:pPr>
              <w:jc w:val="right"/>
              <w:rPr>
                <w:rFonts w:cs="Arial"/>
                <w:color w:val="000000"/>
                <w:sz w:val="20"/>
                <w:szCs w:val="20"/>
              </w:rPr>
            </w:pPr>
            <w:r w:rsidRPr="00886404">
              <w:rPr>
                <w:rFonts w:cs="Arial"/>
                <w:color w:val="000000"/>
                <w:sz w:val="20"/>
                <w:szCs w:val="20"/>
              </w:rPr>
              <w:t>286.763.217</w:t>
            </w:r>
          </w:p>
        </w:tc>
      </w:tr>
      <w:tr w:rsidR="00886404" w:rsidRPr="00886404" w14:paraId="5B0BBDFF" w14:textId="77777777" w:rsidTr="006A1B4A">
        <w:trPr>
          <w:trHeight w:val="340"/>
        </w:trPr>
        <w:tc>
          <w:tcPr>
            <w:tcW w:w="2277" w:type="pct"/>
            <w:tcBorders>
              <w:top w:val="single" w:sz="4" w:space="0" w:color="auto"/>
              <w:left w:val="nil"/>
              <w:bottom w:val="single" w:sz="4" w:space="0" w:color="auto"/>
              <w:right w:val="nil"/>
            </w:tcBorders>
            <w:shd w:val="clear" w:color="auto" w:fill="auto"/>
            <w:noWrap/>
            <w:tcMar>
              <w:top w:w="15" w:type="dxa"/>
              <w:left w:w="15" w:type="dxa"/>
              <w:bottom w:w="0" w:type="dxa"/>
              <w:right w:w="15" w:type="dxa"/>
            </w:tcMar>
            <w:vAlign w:val="center"/>
            <w:hideMark/>
          </w:tcPr>
          <w:p w14:paraId="64BD7537"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Total</w:t>
            </w:r>
          </w:p>
        </w:tc>
        <w:tc>
          <w:tcPr>
            <w:tcW w:w="817" w:type="pct"/>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346AEEC" w14:textId="77777777" w:rsidR="00886404" w:rsidRPr="00886404" w:rsidRDefault="00886404" w:rsidP="00BF715B">
            <w:pPr>
              <w:jc w:val="right"/>
              <w:rPr>
                <w:rFonts w:cs="Arial"/>
                <w:b/>
                <w:bCs/>
                <w:color w:val="000000"/>
                <w:sz w:val="20"/>
                <w:szCs w:val="20"/>
              </w:rPr>
            </w:pPr>
            <w:r w:rsidRPr="00886404">
              <w:rPr>
                <w:rFonts w:cs="Arial"/>
                <w:b/>
                <w:bCs/>
                <w:color w:val="000000"/>
                <w:sz w:val="20"/>
                <w:szCs w:val="20"/>
              </w:rPr>
              <w:t>6.409.857.358</w:t>
            </w:r>
          </w:p>
        </w:tc>
        <w:tc>
          <w:tcPr>
            <w:tcW w:w="343" w:type="pct"/>
            <w:tcBorders>
              <w:top w:val="single" w:sz="4" w:space="0" w:color="auto"/>
              <w:left w:val="nil"/>
              <w:bottom w:val="single" w:sz="4" w:space="0" w:color="auto"/>
              <w:right w:val="nil"/>
            </w:tcBorders>
            <w:shd w:val="clear" w:color="auto" w:fill="auto"/>
            <w:noWrap/>
            <w:tcMar>
              <w:top w:w="15" w:type="dxa"/>
              <w:left w:w="15" w:type="dxa"/>
              <w:bottom w:w="0" w:type="dxa"/>
              <w:right w:w="15" w:type="dxa"/>
            </w:tcMar>
            <w:vAlign w:val="center"/>
            <w:hideMark/>
          </w:tcPr>
          <w:p w14:paraId="59B17BCF"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100,00</w:t>
            </w:r>
          </w:p>
        </w:tc>
        <w:tc>
          <w:tcPr>
            <w:tcW w:w="782" w:type="pct"/>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E79982" w14:textId="77777777" w:rsidR="00886404" w:rsidRPr="00886404" w:rsidRDefault="00886404" w:rsidP="00BF715B">
            <w:pPr>
              <w:jc w:val="right"/>
              <w:rPr>
                <w:rFonts w:cs="Arial"/>
                <w:b/>
                <w:bCs/>
                <w:color w:val="000000"/>
                <w:sz w:val="20"/>
                <w:szCs w:val="20"/>
              </w:rPr>
            </w:pPr>
            <w:r w:rsidRPr="00886404">
              <w:rPr>
                <w:rFonts w:cs="Arial"/>
                <w:b/>
                <w:bCs/>
                <w:color w:val="000000"/>
                <w:sz w:val="20"/>
                <w:szCs w:val="20"/>
              </w:rPr>
              <w:t>6.316.067.725</w:t>
            </w:r>
          </w:p>
        </w:tc>
        <w:tc>
          <w:tcPr>
            <w:tcW w:w="781" w:type="pct"/>
            <w:tcBorders>
              <w:top w:val="single" w:sz="4" w:space="0" w:color="auto"/>
              <w:left w:val="nil"/>
              <w:bottom w:val="single" w:sz="4" w:space="0" w:color="auto"/>
              <w:right w:val="nil"/>
            </w:tcBorders>
            <w:shd w:val="clear" w:color="auto" w:fill="auto"/>
            <w:noWrap/>
            <w:tcMar>
              <w:top w:w="15" w:type="dxa"/>
              <w:left w:w="15" w:type="dxa"/>
              <w:bottom w:w="0" w:type="dxa"/>
              <w:right w:w="15" w:type="dxa"/>
            </w:tcMar>
            <w:vAlign w:val="center"/>
            <w:hideMark/>
          </w:tcPr>
          <w:p w14:paraId="37F8B385" w14:textId="77777777" w:rsidR="00886404" w:rsidRPr="00886404" w:rsidRDefault="00886404" w:rsidP="00BF715B">
            <w:pPr>
              <w:jc w:val="right"/>
              <w:rPr>
                <w:rFonts w:cs="Arial"/>
                <w:b/>
                <w:bCs/>
                <w:color w:val="000000"/>
                <w:sz w:val="20"/>
                <w:szCs w:val="20"/>
              </w:rPr>
            </w:pPr>
            <w:r w:rsidRPr="00886404">
              <w:rPr>
                <w:rFonts w:cs="Arial"/>
                <w:b/>
                <w:bCs/>
                <w:color w:val="000000"/>
                <w:sz w:val="20"/>
                <w:szCs w:val="20"/>
              </w:rPr>
              <w:t>6.306.750.783</w:t>
            </w:r>
          </w:p>
        </w:tc>
      </w:tr>
    </w:tbl>
    <w:p w14:paraId="6C84C0D1" w14:textId="77777777" w:rsidR="00886404" w:rsidRPr="0074354D" w:rsidRDefault="00886404" w:rsidP="00886404">
      <w:pPr>
        <w:pStyle w:val="1-FONTE8ESQ"/>
      </w:pPr>
      <w:r w:rsidRPr="0074354D">
        <w:t xml:space="preserve"> Fonte: </w:t>
      </w:r>
      <w:r w:rsidRPr="0074354D">
        <w:rPr>
          <w:i/>
        </w:rPr>
        <w:t>Business Objects</w:t>
      </w:r>
      <w:r w:rsidRPr="0074354D">
        <w:t xml:space="preserve"> e RREO 6º bimestre/2023</w:t>
      </w:r>
    </w:p>
    <w:p w14:paraId="3BE60252" w14:textId="77777777" w:rsidR="00886404" w:rsidRPr="000F4D2B" w:rsidRDefault="00886404" w:rsidP="00886404">
      <w:pPr>
        <w:pStyle w:val="1-REL11"/>
      </w:pPr>
      <w:r w:rsidRPr="000F4D2B">
        <w:t>Apenas 5,22% da despesa executada na Função Educação foi aplicada em Investimentos, tendo sido aplicada 94,78% da despesa empenhada em Despesas Correntes.</w:t>
      </w:r>
    </w:p>
    <w:p w14:paraId="12FED78F" w14:textId="370EFDF1" w:rsidR="00886404" w:rsidRPr="00821CD2" w:rsidRDefault="00886404" w:rsidP="00886404">
      <w:pPr>
        <w:pStyle w:val="Ttulo3"/>
      </w:pPr>
      <w:bookmarkStart w:id="290" w:name="_Toc167871697"/>
      <w:r>
        <w:t>Fundeb</w:t>
      </w:r>
      <w:bookmarkEnd w:id="290"/>
    </w:p>
    <w:p w14:paraId="6F13301C" w14:textId="77777777" w:rsidR="00886404" w:rsidRPr="00042CFF" w:rsidRDefault="00886404" w:rsidP="00886404">
      <w:pPr>
        <w:pStyle w:val="1-REL11"/>
      </w:pPr>
      <w:r w:rsidRPr="00821CD2">
        <w:t>O Fundo de Valorização dos Profissionais da Educação (Fundeb) é um fundo especial de natureza contábil,</w:t>
      </w:r>
      <w:r w:rsidRPr="00224D96">
        <w:t xml:space="preserve"> de âmbito estadual, e destina-se à manutenção e ao desenvolvimento da educação básica pública e à valoriza</w:t>
      </w:r>
      <w:r w:rsidRPr="00042CFF">
        <w:t>ção dos trabalhadores em educação.</w:t>
      </w:r>
    </w:p>
    <w:p w14:paraId="4E29824E" w14:textId="77777777" w:rsidR="00886404" w:rsidRPr="00224D96" w:rsidRDefault="00886404" w:rsidP="00886404">
      <w:pPr>
        <w:pStyle w:val="1-REL11"/>
      </w:pPr>
      <w:r w:rsidRPr="00224D96">
        <w:lastRenderedPageBreak/>
        <w:t>De acordo com o art. 3º da Lei nº 14.113</w:t>
      </w:r>
      <w:r>
        <w:t>, de 25 de dezembro de 20</w:t>
      </w:r>
      <w:r w:rsidRPr="00224D96">
        <w:t>20, é constituído por 20% das receitas dos seguintes impostos:</w:t>
      </w:r>
    </w:p>
    <w:p w14:paraId="2978C5FA" w14:textId="77777777" w:rsidR="00886404" w:rsidRPr="00224D96" w:rsidRDefault="00886404" w:rsidP="00736A8C">
      <w:pPr>
        <w:pStyle w:val="1-REL11"/>
        <w:numPr>
          <w:ilvl w:val="0"/>
          <w:numId w:val="54"/>
        </w:numPr>
        <w:spacing w:before="80" w:after="80" w:line="264" w:lineRule="auto"/>
        <w:ind w:left="714" w:hanging="357"/>
      </w:pPr>
      <w:r w:rsidRPr="00224D96">
        <w:t>ICMS;</w:t>
      </w:r>
    </w:p>
    <w:p w14:paraId="194FC0EB" w14:textId="77777777" w:rsidR="00886404" w:rsidRPr="00224D96" w:rsidRDefault="00886404" w:rsidP="00736A8C">
      <w:pPr>
        <w:pStyle w:val="1-REL11"/>
        <w:numPr>
          <w:ilvl w:val="0"/>
          <w:numId w:val="54"/>
        </w:numPr>
        <w:spacing w:before="80" w:after="80" w:line="264" w:lineRule="auto"/>
        <w:ind w:left="714" w:hanging="357"/>
      </w:pPr>
      <w:r w:rsidRPr="00224D96">
        <w:t>ITCD;</w:t>
      </w:r>
    </w:p>
    <w:p w14:paraId="23A8BA95" w14:textId="77777777" w:rsidR="00886404" w:rsidRPr="00224D96" w:rsidRDefault="00886404" w:rsidP="00736A8C">
      <w:pPr>
        <w:pStyle w:val="1-REL11"/>
        <w:numPr>
          <w:ilvl w:val="0"/>
          <w:numId w:val="54"/>
        </w:numPr>
        <w:spacing w:before="80" w:after="80" w:line="264" w:lineRule="auto"/>
        <w:ind w:left="714" w:hanging="357"/>
      </w:pPr>
      <w:r w:rsidRPr="00224D96">
        <w:t>IPVA;</w:t>
      </w:r>
    </w:p>
    <w:p w14:paraId="1B0ABD59" w14:textId="77777777" w:rsidR="00886404" w:rsidRPr="00224D96" w:rsidRDefault="00886404" w:rsidP="00736A8C">
      <w:pPr>
        <w:pStyle w:val="1-REL11"/>
        <w:numPr>
          <w:ilvl w:val="0"/>
          <w:numId w:val="54"/>
        </w:numPr>
        <w:spacing w:before="80" w:after="80" w:line="264" w:lineRule="auto"/>
        <w:ind w:left="714" w:hanging="357"/>
      </w:pPr>
      <w:r w:rsidRPr="00224D96">
        <w:t xml:space="preserve">parcela do produto da arrecadação do imposto que a União eventualmente instituir no exercício da sua competência tributária residual destinada ao Distrito Federal e aos </w:t>
      </w:r>
      <w:r>
        <w:t>e</w:t>
      </w:r>
      <w:r w:rsidRPr="00224D96">
        <w:t>stados;</w:t>
      </w:r>
    </w:p>
    <w:p w14:paraId="060EC34C" w14:textId="77777777" w:rsidR="00886404" w:rsidRPr="00224D96" w:rsidRDefault="00886404" w:rsidP="00736A8C">
      <w:pPr>
        <w:pStyle w:val="1-REL11"/>
        <w:numPr>
          <w:ilvl w:val="0"/>
          <w:numId w:val="54"/>
        </w:numPr>
        <w:spacing w:before="80" w:after="80" w:line="264" w:lineRule="auto"/>
        <w:ind w:left="714" w:hanging="357"/>
      </w:pPr>
      <w:r w:rsidRPr="00224D96">
        <w:t>Cota-parte do FPE;</w:t>
      </w:r>
    </w:p>
    <w:p w14:paraId="7F66E46A" w14:textId="77777777" w:rsidR="00886404" w:rsidRPr="00224D96" w:rsidRDefault="00886404" w:rsidP="00736A8C">
      <w:pPr>
        <w:pStyle w:val="1-REL11"/>
        <w:numPr>
          <w:ilvl w:val="0"/>
          <w:numId w:val="54"/>
        </w:numPr>
        <w:spacing w:before="80" w:after="80" w:line="264" w:lineRule="auto"/>
        <w:ind w:left="714" w:hanging="357"/>
      </w:pPr>
      <w:r w:rsidRPr="00224D96">
        <w:t>Cota-parte do IPI-exportação; e</w:t>
      </w:r>
    </w:p>
    <w:p w14:paraId="2955C459" w14:textId="77777777" w:rsidR="00886404" w:rsidRPr="00224D96" w:rsidRDefault="00886404" w:rsidP="00736A8C">
      <w:pPr>
        <w:pStyle w:val="1-REL11"/>
        <w:numPr>
          <w:ilvl w:val="0"/>
          <w:numId w:val="54"/>
        </w:numPr>
        <w:spacing w:before="80" w:after="80" w:line="264" w:lineRule="auto"/>
        <w:ind w:left="714" w:hanging="357"/>
      </w:pPr>
      <w:r w:rsidRPr="00224D96">
        <w:t>receitas da dívida ativa tributária relativa aos impostos acima mencionados, bem como juros e multas eventualmente incidentes.</w:t>
      </w:r>
    </w:p>
    <w:p w14:paraId="5A5A5E53" w14:textId="77777777" w:rsidR="00886404" w:rsidRPr="00224D96" w:rsidRDefault="00886404" w:rsidP="00886404">
      <w:pPr>
        <w:pStyle w:val="1-REL11"/>
      </w:pPr>
      <w:r w:rsidRPr="00224D96">
        <w:t xml:space="preserve">Na tabela abaixo apresenta-se o cálculo para o repasse ao Fundeb </w:t>
      </w:r>
      <w:r>
        <w:t>n</w:t>
      </w:r>
      <w:r w:rsidRPr="001D3C83">
        <w:t xml:space="preserve">o </w:t>
      </w:r>
      <w:r>
        <w:t>exercício financeiro</w:t>
      </w:r>
      <w:r w:rsidRPr="00224D96">
        <w:t xml:space="preserve"> de 2023:</w:t>
      </w:r>
    </w:p>
    <w:p w14:paraId="57E187BE" w14:textId="77777777" w:rsidR="00886404" w:rsidRPr="00224D96" w:rsidRDefault="00886404" w:rsidP="00736A8C">
      <w:pPr>
        <w:pStyle w:val="0-TABELA"/>
        <w:numPr>
          <w:ilvl w:val="0"/>
          <w:numId w:val="53"/>
        </w:numPr>
        <w:tabs>
          <w:tab w:val="clear" w:pos="1560"/>
          <w:tab w:val="left" w:pos="1134"/>
        </w:tabs>
        <w:spacing w:before="0" w:after="0"/>
        <w:ind w:left="0" w:firstLine="0"/>
      </w:pPr>
      <w:bookmarkStart w:id="291" w:name="_Toc167871791"/>
      <w:r w:rsidRPr="00224D96">
        <w:t>Repasse ao Fundeb</w:t>
      </w:r>
      <w:bookmarkEnd w:id="291"/>
    </w:p>
    <w:p w14:paraId="02216BF4" w14:textId="77777777" w:rsidR="00886404" w:rsidRPr="00224D96" w:rsidRDefault="00886404" w:rsidP="00886404">
      <w:pPr>
        <w:pStyle w:val="0-EmR"/>
      </w:pPr>
      <w:r w:rsidRPr="00224D96">
        <w:t>R$ 1</w:t>
      </w:r>
    </w:p>
    <w:tbl>
      <w:tblPr>
        <w:tblW w:w="5000" w:type="pct"/>
        <w:tblLayout w:type="fixed"/>
        <w:tblCellMar>
          <w:left w:w="70" w:type="dxa"/>
          <w:right w:w="70" w:type="dxa"/>
        </w:tblCellMar>
        <w:tblLook w:val="04A0" w:firstRow="1" w:lastRow="0" w:firstColumn="1" w:lastColumn="0" w:noHBand="0" w:noVBand="1"/>
      </w:tblPr>
      <w:tblGrid>
        <w:gridCol w:w="7795"/>
        <w:gridCol w:w="1558"/>
      </w:tblGrid>
      <w:tr w:rsidR="00886404" w:rsidRPr="00886404" w14:paraId="175AB60B" w14:textId="77777777" w:rsidTr="006A1B4A">
        <w:trPr>
          <w:trHeight w:val="312"/>
          <w:tblHeader/>
        </w:trPr>
        <w:tc>
          <w:tcPr>
            <w:tcW w:w="4167" w:type="pct"/>
            <w:tcBorders>
              <w:top w:val="single" w:sz="4" w:space="0" w:color="auto"/>
              <w:left w:val="nil"/>
              <w:bottom w:val="single" w:sz="4" w:space="0" w:color="auto"/>
              <w:right w:val="single" w:sz="4" w:space="0" w:color="auto"/>
            </w:tcBorders>
            <w:shd w:val="clear" w:color="000000" w:fill="A1F2FD"/>
            <w:noWrap/>
            <w:vAlign w:val="center"/>
            <w:hideMark/>
          </w:tcPr>
          <w:p w14:paraId="573720A5"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 Descrição</w:t>
            </w:r>
          </w:p>
        </w:tc>
        <w:tc>
          <w:tcPr>
            <w:tcW w:w="833" w:type="pct"/>
            <w:tcBorders>
              <w:top w:val="single" w:sz="4" w:space="0" w:color="auto"/>
              <w:left w:val="nil"/>
              <w:bottom w:val="single" w:sz="4" w:space="0" w:color="auto"/>
              <w:right w:val="nil"/>
            </w:tcBorders>
            <w:shd w:val="clear" w:color="000000" w:fill="A1F2FD"/>
            <w:noWrap/>
            <w:vAlign w:val="center"/>
            <w:hideMark/>
          </w:tcPr>
          <w:p w14:paraId="78EC2BD6" w14:textId="77777777" w:rsidR="00886404" w:rsidRPr="00886404" w:rsidRDefault="00886404" w:rsidP="00BF715B">
            <w:pPr>
              <w:jc w:val="center"/>
              <w:rPr>
                <w:rFonts w:cs="Arial"/>
                <w:b/>
                <w:bCs/>
                <w:color w:val="000000"/>
                <w:sz w:val="20"/>
                <w:szCs w:val="20"/>
              </w:rPr>
            </w:pPr>
            <w:r w:rsidRPr="00886404">
              <w:rPr>
                <w:rFonts w:cs="Arial"/>
                <w:b/>
                <w:bCs/>
                <w:color w:val="000000"/>
                <w:sz w:val="20"/>
                <w:szCs w:val="20"/>
              </w:rPr>
              <w:t>Valor</w:t>
            </w:r>
          </w:p>
        </w:tc>
      </w:tr>
      <w:tr w:rsidR="00886404" w:rsidRPr="00886404" w14:paraId="23317802" w14:textId="77777777" w:rsidTr="006A1B4A">
        <w:trPr>
          <w:trHeight w:val="312"/>
        </w:trPr>
        <w:tc>
          <w:tcPr>
            <w:tcW w:w="4167" w:type="pct"/>
            <w:tcBorders>
              <w:top w:val="nil"/>
              <w:left w:val="nil"/>
              <w:bottom w:val="nil"/>
              <w:right w:val="single" w:sz="4" w:space="0" w:color="auto"/>
            </w:tcBorders>
            <w:shd w:val="clear" w:color="auto" w:fill="auto"/>
            <w:vAlign w:val="center"/>
            <w:hideMark/>
          </w:tcPr>
          <w:p w14:paraId="0E067CDF" w14:textId="77777777" w:rsidR="00886404" w:rsidRPr="00886404" w:rsidRDefault="00886404" w:rsidP="00BF715B">
            <w:pPr>
              <w:jc w:val="left"/>
              <w:rPr>
                <w:rFonts w:cs="Arial"/>
                <w:b/>
                <w:bCs/>
                <w:color w:val="000000"/>
                <w:sz w:val="20"/>
                <w:szCs w:val="20"/>
              </w:rPr>
            </w:pPr>
            <w:r w:rsidRPr="00886404">
              <w:rPr>
                <w:rFonts w:cs="Arial"/>
                <w:b/>
                <w:bCs/>
                <w:color w:val="000000"/>
                <w:sz w:val="20"/>
                <w:szCs w:val="20"/>
              </w:rPr>
              <w:t>1 – Receita Resultante do ICMS Destinada ao Fundeb [20% de (1.1-1.2)]</w:t>
            </w:r>
          </w:p>
        </w:tc>
        <w:tc>
          <w:tcPr>
            <w:tcW w:w="833" w:type="pct"/>
            <w:tcBorders>
              <w:top w:val="nil"/>
              <w:left w:val="nil"/>
              <w:bottom w:val="nil"/>
              <w:right w:val="nil"/>
            </w:tcBorders>
            <w:shd w:val="clear" w:color="auto" w:fill="auto"/>
            <w:vAlign w:val="center"/>
          </w:tcPr>
          <w:p w14:paraId="29F12552" w14:textId="77777777" w:rsidR="00886404" w:rsidRPr="00886404" w:rsidRDefault="00886404" w:rsidP="00BF715B">
            <w:pPr>
              <w:jc w:val="right"/>
              <w:rPr>
                <w:rFonts w:cs="Arial"/>
                <w:b/>
                <w:bCs/>
                <w:color w:val="000000"/>
                <w:sz w:val="20"/>
                <w:szCs w:val="20"/>
              </w:rPr>
            </w:pPr>
            <w:r w:rsidRPr="00886404">
              <w:rPr>
                <w:rFonts w:cs="Arial"/>
                <w:b/>
                <w:bCs/>
                <w:color w:val="000000"/>
                <w:sz w:val="20"/>
                <w:szCs w:val="20"/>
              </w:rPr>
              <w:t>3.610.449.778</w:t>
            </w:r>
          </w:p>
        </w:tc>
      </w:tr>
      <w:tr w:rsidR="00886404" w:rsidRPr="00886404" w14:paraId="63163D49" w14:textId="77777777" w:rsidTr="006A1B4A">
        <w:trPr>
          <w:trHeight w:val="312"/>
        </w:trPr>
        <w:tc>
          <w:tcPr>
            <w:tcW w:w="4167" w:type="pct"/>
            <w:tcBorders>
              <w:top w:val="nil"/>
              <w:left w:val="nil"/>
              <w:bottom w:val="nil"/>
              <w:right w:val="single" w:sz="4" w:space="0" w:color="auto"/>
            </w:tcBorders>
            <w:shd w:val="clear" w:color="auto" w:fill="auto"/>
            <w:vAlign w:val="center"/>
            <w:hideMark/>
          </w:tcPr>
          <w:p w14:paraId="3BD5A790" w14:textId="77777777" w:rsidR="00886404" w:rsidRPr="00886404" w:rsidRDefault="00886404" w:rsidP="00BF715B">
            <w:pPr>
              <w:ind w:firstLine="219"/>
              <w:jc w:val="left"/>
              <w:rPr>
                <w:rFonts w:cs="Arial"/>
                <w:color w:val="000000"/>
                <w:sz w:val="20"/>
                <w:szCs w:val="20"/>
              </w:rPr>
            </w:pPr>
            <w:r w:rsidRPr="00886404">
              <w:rPr>
                <w:rFonts w:cs="Arial"/>
                <w:color w:val="000000"/>
                <w:sz w:val="20"/>
                <w:szCs w:val="20"/>
              </w:rPr>
              <w:t>1.1 Receita Resultante do ICMS</w:t>
            </w:r>
          </w:p>
        </w:tc>
        <w:tc>
          <w:tcPr>
            <w:tcW w:w="833" w:type="pct"/>
            <w:tcBorders>
              <w:top w:val="nil"/>
              <w:left w:val="nil"/>
              <w:bottom w:val="nil"/>
              <w:right w:val="nil"/>
            </w:tcBorders>
            <w:shd w:val="clear" w:color="auto" w:fill="auto"/>
            <w:noWrap/>
            <w:vAlign w:val="center"/>
          </w:tcPr>
          <w:p w14:paraId="0E8A1A0E" w14:textId="77777777" w:rsidR="00886404" w:rsidRPr="00886404" w:rsidRDefault="00886404" w:rsidP="00BF715B">
            <w:pPr>
              <w:jc w:val="right"/>
              <w:rPr>
                <w:rFonts w:cs="Arial"/>
                <w:color w:val="000000"/>
                <w:sz w:val="20"/>
                <w:szCs w:val="20"/>
              </w:rPr>
            </w:pPr>
            <w:r w:rsidRPr="00886404">
              <w:rPr>
                <w:rFonts w:cs="Arial"/>
                <w:color w:val="000000"/>
                <w:sz w:val="20"/>
                <w:szCs w:val="20"/>
              </w:rPr>
              <w:t>24.349.471.727</w:t>
            </w:r>
          </w:p>
        </w:tc>
      </w:tr>
      <w:tr w:rsidR="00886404" w:rsidRPr="00886404" w14:paraId="3F1BA0F7" w14:textId="77777777" w:rsidTr="006A1B4A">
        <w:trPr>
          <w:trHeight w:val="312"/>
        </w:trPr>
        <w:tc>
          <w:tcPr>
            <w:tcW w:w="4167" w:type="pct"/>
            <w:tcBorders>
              <w:top w:val="nil"/>
              <w:left w:val="nil"/>
              <w:bottom w:val="nil"/>
              <w:right w:val="single" w:sz="4" w:space="0" w:color="auto"/>
            </w:tcBorders>
            <w:shd w:val="clear" w:color="auto" w:fill="auto"/>
            <w:vAlign w:val="center"/>
            <w:hideMark/>
          </w:tcPr>
          <w:p w14:paraId="673A0E2E" w14:textId="77777777" w:rsidR="00886404" w:rsidRPr="00886404" w:rsidRDefault="00886404" w:rsidP="00BF715B">
            <w:pPr>
              <w:ind w:firstLine="219"/>
              <w:jc w:val="left"/>
              <w:rPr>
                <w:rFonts w:cs="Arial"/>
                <w:color w:val="000000"/>
                <w:sz w:val="20"/>
                <w:szCs w:val="20"/>
              </w:rPr>
            </w:pPr>
            <w:r w:rsidRPr="00886404">
              <w:rPr>
                <w:rFonts w:cs="Arial"/>
                <w:color w:val="000000"/>
                <w:sz w:val="20"/>
                <w:szCs w:val="20"/>
              </w:rPr>
              <w:t>1.2 Dedução parcela do ICMS repassada aos municípios</w:t>
            </w:r>
          </w:p>
        </w:tc>
        <w:tc>
          <w:tcPr>
            <w:tcW w:w="833" w:type="pct"/>
            <w:tcBorders>
              <w:top w:val="nil"/>
              <w:left w:val="nil"/>
              <w:bottom w:val="nil"/>
              <w:right w:val="nil"/>
            </w:tcBorders>
            <w:shd w:val="clear" w:color="auto" w:fill="auto"/>
            <w:noWrap/>
            <w:vAlign w:val="center"/>
          </w:tcPr>
          <w:p w14:paraId="393EF3CC" w14:textId="77777777" w:rsidR="00886404" w:rsidRPr="00886404" w:rsidRDefault="00886404" w:rsidP="00BF715B">
            <w:pPr>
              <w:jc w:val="right"/>
              <w:rPr>
                <w:rFonts w:cs="Arial"/>
                <w:color w:val="000000"/>
                <w:sz w:val="20"/>
                <w:szCs w:val="20"/>
              </w:rPr>
            </w:pPr>
            <w:r w:rsidRPr="00886404">
              <w:rPr>
                <w:rFonts w:cs="Arial"/>
                <w:color w:val="000000"/>
                <w:sz w:val="20"/>
                <w:szCs w:val="20"/>
              </w:rPr>
              <w:t>6.297.222.837</w:t>
            </w:r>
          </w:p>
        </w:tc>
      </w:tr>
      <w:tr w:rsidR="00886404" w:rsidRPr="00886404" w14:paraId="004361B0" w14:textId="77777777" w:rsidTr="006A1B4A">
        <w:trPr>
          <w:trHeight w:val="312"/>
        </w:trPr>
        <w:tc>
          <w:tcPr>
            <w:tcW w:w="4167" w:type="pct"/>
            <w:tcBorders>
              <w:top w:val="nil"/>
              <w:left w:val="nil"/>
              <w:bottom w:val="nil"/>
              <w:right w:val="single" w:sz="4" w:space="0" w:color="auto"/>
            </w:tcBorders>
            <w:shd w:val="clear" w:color="auto" w:fill="auto"/>
            <w:vAlign w:val="center"/>
            <w:hideMark/>
          </w:tcPr>
          <w:p w14:paraId="21FB04FD" w14:textId="77777777" w:rsidR="00886404" w:rsidRPr="00886404" w:rsidRDefault="00886404" w:rsidP="00BF715B">
            <w:pPr>
              <w:jc w:val="left"/>
              <w:rPr>
                <w:rFonts w:cs="Arial"/>
                <w:b/>
                <w:bCs/>
                <w:color w:val="000000"/>
                <w:sz w:val="20"/>
                <w:szCs w:val="20"/>
              </w:rPr>
            </w:pPr>
            <w:r w:rsidRPr="00886404">
              <w:rPr>
                <w:rFonts w:cs="Arial"/>
                <w:b/>
                <w:bCs/>
                <w:color w:val="000000"/>
                <w:sz w:val="20"/>
                <w:szCs w:val="20"/>
              </w:rPr>
              <w:t>2 – Receita Resultante do ITCD Destinada ao Fundeb – (20% de 2.1)</w:t>
            </w:r>
          </w:p>
        </w:tc>
        <w:tc>
          <w:tcPr>
            <w:tcW w:w="833" w:type="pct"/>
            <w:tcBorders>
              <w:top w:val="nil"/>
              <w:left w:val="nil"/>
              <w:bottom w:val="nil"/>
              <w:right w:val="nil"/>
            </w:tcBorders>
            <w:shd w:val="clear" w:color="auto" w:fill="auto"/>
            <w:vAlign w:val="center"/>
          </w:tcPr>
          <w:p w14:paraId="35FB2EE9" w14:textId="77777777" w:rsidR="00886404" w:rsidRPr="00886404" w:rsidRDefault="00886404" w:rsidP="00BF715B">
            <w:pPr>
              <w:jc w:val="right"/>
              <w:rPr>
                <w:rFonts w:cs="Arial"/>
                <w:b/>
                <w:bCs/>
                <w:color w:val="000000"/>
                <w:sz w:val="20"/>
                <w:szCs w:val="20"/>
              </w:rPr>
            </w:pPr>
            <w:r w:rsidRPr="00886404">
              <w:rPr>
                <w:rFonts w:cs="Arial"/>
                <w:b/>
                <w:bCs/>
                <w:color w:val="000000"/>
                <w:sz w:val="20"/>
                <w:szCs w:val="20"/>
              </w:rPr>
              <w:t>246.164.242</w:t>
            </w:r>
          </w:p>
        </w:tc>
      </w:tr>
      <w:tr w:rsidR="00886404" w:rsidRPr="00886404" w14:paraId="0FB7DB4C" w14:textId="77777777" w:rsidTr="006A1B4A">
        <w:trPr>
          <w:trHeight w:val="312"/>
        </w:trPr>
        <w:tc>
          <w:tcPr>
            <w:tcW w:w="4167" w:type="pct"/>
            <w:tcBorders>
              <w:top w:val="nil"/>
              <w:left w:val="nil"/>
              <w:bottom w:val="nil"/>
              <w:right w:val="single" w:sz="4" w:space="0" w:color="auto"/>
            </w:tcBorders>
            <w:shd w:val="clear" w:color="auto" w:fill="auto"/>
            <w:vAlign w:val="center"/>
            <w:hideMark/>
          </w:tcPr>
          <w:p w14:paraId="34074387" w14:textId="77777777" w:rsidR="00886404" w:rsidRPr="00886404" w:rsidRDefault="00886404" w:rsidP="00BF715B">
            <w:pPr>
              <w:ind w:firstLine="219"/>
              <w:jc w:val="left"/>
              <w:rPr>
                <w:rFonts w:cs="Arial"/>
                <w:color w:val="000000"/>
                <w:sz w:val="20"/>
                <w:szCs w:val="20"/>
              </w:rPr>
            </w:pPr>
            <w:r w:rsidRPr="00886404">
              <w:rPr>
                <w:rFonts w:cs="Arial"/>
                <w:color w:val="000000"/>
                <w:sz w:val="20"/>
                <w:szCs w:val="20"/>
              </w:rPr>
              <w:t>2.1 Receita Resultante do ITCD</w:t>
            </w:r>
          </w:p>
        </w:tc>
        <w:tc>
          <w:tcPr>
            <w:tcW w:w="833" w:type="pct"/>
            <w:tcBorders>
              <w:top w:val="nil"/>
              <w:left w:val="nil"/>
              <w:bottom w:val="nil"/>
              <w:right w:val="nil"/>
            </w:tcBorders>
            <w:shd w:val="clear" w:color="auto" w:fill="auto"/>
            <w:noWrap/>
            <w:vAlign w:val="center"/>
          </w:tcPr>
          <w:p w14:paraId="15B65A6E" w14:textId="77777777" w:rsidR="00886404" w:rsidRPr="00886404" w:rsidRDefault="00886404" w:rsidP="00BF715B">
            <w:pPr>
              <w:jc w:val="right"/>
              <w:rPr>
                <w:rFonts w:cs="Arial"/>
                <w:color w:val="000000"/>
                <w:sz w:val="20"/>
                <w:szCs w:val="20"/>
              </w:rPr>
            </w:pPr>
            <w:r w:rsidRPr="00886404">
              <w:rPr>
                <w:rFonts w:cs="Arial"/>
                <w:color w:val="000000"/>
                <w:sz w:val="20"/>
                <w:szCs w:val="20"/>
              </w:rPr>
              <w:t>1.230.821.211</w:t>
            </w:r>
          </w:p>
        </w:tc>
      </w:tr>
      <w:tr w:rsidR="00886404" w:rsidRPr="00886404" w14:paraId="4DC27229" w14:textId="77777777" w:rsidTr="006A1B4A">
        <w:trPr>
          <w:trHeight w:val="312"/>
        </w:trPr>
        <w:tc>
          <w:tcPr>
            <w:tcW w:w="4167" w:type="pct"/>
            <w:tcBorders>
              <w:top w:val="nil"/>
              <w:left w:val="nil"/>
              <w:bottom w:val="nil"/>
              <w:right w:val="single" w:sz="4" w:space="0" w:color="auto"/>
            </w:tcBorders>
            <w:shd w:val="clear" w:color="auto" w:fill="auto"/>
            <w:vAlign w:val="center"/>
            <w:hideMark/>
          </w:tcPr>
          <w:p w14:paraId="1B64A1F7" w14:textId="77777777" w:rsidR="00886404" w:rsidRPr="00886404" w:rsidRDefault="00886404" w:rsidP="00BF715B">
            <w:pPr>
              <w:jc w:val="left"/>
              <w:rPr>
                <w:rFonts w:cs="Arial"/>
                <w:b/>
                <w:bCs/>
                <w:color w:val="000000"/>
                <w:sz w:val="20"/>
                <w:szCs w:val="20"/>
              </w:rPr>
            </w:pPr>
            <w:r w:rsidRPr="00886404">
              <w:rPr>
                <w:rFonts w:cs="Arial"/>
                <w:b/>
                <w:bCs/>
                <w:color w:val="000000"/>
                <w:sz w:val="20"/>
                <w:szCs w:val="20"/>
              </w:rPr>
              <w:t>3 – Receita Resultante do IPVA Destinada ao Fundeb – [20% de (3.1 – 3.2)]</w:t>
            </w:r>
          </w:p>
        </w:tc>
        <w:tc>
          <w:tcPr>
            <w:tcW w:w="833" w:type="pct"/>
            <w:tcBorders>
              <w:top w:val="nil"/>
              <w:left w:val="nil"/>
              <w:bottom w:val="nil"/>
              <w:right w:val="nil"/>
            </w:tcBorders>
            <w:shd w:val="clear" w:color="auto" w:fill="auto"/>
            <w:vAlign w:val="center"/>
          </w:tcPr>
          <w:p w14:paraId="7EA652C6" w14:textId="77777777" w:rsidR="00886404" w:rsidRPr="00886404" w:rsidRDefault="00886404" w:rsidP="00BF715B">
            <w:pPr>
              <w:jc w:val="right"/>
              <w:rPr>
                <w:rFonts w:cs="Arial"/>
                <w:b/>
                <w:bCs/>
                <w:color w:val="000000"/>
                <w:sz w:val="20"/>
                <w:szCs w:val="20"/>
              </w:rPr>
            </w:pPr>
            <w:r w:rsidRPr="00886404">
              <w:rPr>
                <w:rFonts w:cs="Arial"/>
                <w:b/>
                <w:bCs/>
                <w:color w:val="000000"/>
                <w:sz w:val="20"/>
                <w:szCs w:val="20"/>
              </w:rPr>
              <w:t>318.782.746</w:t>
            </w:r>
          </w:p>
        </w:tc>
      </w:tr>
      <w:tr w:rsidR="00886404" w:rsidRPr="00886404" w14:paraId="6B0A534C" w14:textId="77777777" w:rsidTr="006A1B4A">
        <w:trPr>
          <w:trHeight w:val="312"/>
        </w:trPr>
        <w:tc>
          <w:tcPr>
            <w:tcW w:w="4167" w:type="pct"/>
            <w:tcBorders>
              <w:top w:val="nil"/>
              <w:left w:val="nil"/>
              <w:bottom w:val="nil"/>
              <w:right w:val="single" w:sz="4" w:space="0" w:color="auto"/>
            </w:tcBorders>
            <w:shd w:val="clear" w:color="auto" w:fill="auto"/>
            <w:vAlign w:val="center"/>
            <w:hideMark/>
          </w:tcPr>
          <w:p w14:paraId="37A26F07" w14:textId="77777777" w:rsidR="00886404" w:rsidRPr="00886404" w:rsidRDefault="00886404" w:rsidP="00BF715B">
            <w:pPr>
              <w:ind w:firstLine="219"/>
              <w:jc w:val="left"/>
              <w:rPr>
                <w:rFonts w:cs="Arial"/>
                <w:color w:val="000000"/>
                <w:sz w:val="20"/>
                <w:szCs w:val="20"/>
              </w:rPr>
            </w:pPr>
            <w:r w:rsidRPr="00886404">
              <w:rPr>
                <w:rFonts w:cs="Arial"/>
                <w:color w:val="000000"/>
                <w:sz w:val="20"/>
                <w:szCs w:val="20"/>
              </w:rPr>
              <w:t>3.1 Receita Resultante do IPVA</w:t>
            </w:r>
          </w:p>
        </w:tc>
        <w:tc>
          <w:tcPr>
            <w:tcW w:w="833" w:type="pct"/>
            <w:tcBorders>
              <w:top w:val="nil"/>
              <w:left w:val="nil"/>
              <w:bottom w:val="nil"/>
              <w:right w:val="nil"/>
            </w:tcBorders>
            <w:shd w:val="clear" w:color="auto" w:fill="auto"/>
            <w:noWrap/>
            <w:vAlign w:val="center"/>
          </w:tcPr>
          <w:p w14:paraId="6D8A3B1A" w14:textId="77777777" w:rsidR="00886404" w:rsidRPr="00886404" w:rsidRDefault="00886404" w:rsidP="00BF715B">
            <w:pPr>
              <w:jc w:val="right"/>
              <w:rPr>
                <w:rFonts w:cs="Arial"/>
                <w:color w:val="000000"/>
                <w:sz w:val="20"/>
                <w:szCs w:val="20"/>
              </w:rPr>
            </w:pPr>
            <w:r w:rsidRPr="00886404">
              <w:rPr>
                <w:rFonts w:cs="Arial"/>
                <w:color w:val="000000"/>
                <w:sz w:val="20"/>
                <w:szCs w:val="20"/>
              </w:rPr>
              <w:t>3.187.942.528</w:t>
            </w:r>
          </w:p>
        </w:tc>
      </w:tr>
      <w:tr w:rsidR="00886404" w:rsidRPr="00886404" w14:paraId="3F4038F4" w14:textId="77777777" w:rsidTr="006A1B4A">
        <w:trPr>
          <w:trHeight w:val="312"/>
        </w:trPr>
        <w:tc>
          <w:tcPr>
            <w:tcW w:w="4167" w:type="pct"/>
            <w:tcBorders>
              <w:top w:val="nil"/>
              <w:left w:val="nil"/>
              <w:bottom w:val="nil"/>
              <w:right w:val="single" w:sz="4" w:space="0" w:color="auto"/>
            </w:tcBorders>
            <w:shd w:val="clear" w:color="auto" w:fill="auto"/>
            <w:vAlign w:val="center"/>
            <w:hideMark/>
          </w:tcPr>
          <w:p w14:paraId="062A7862" w14:textId="77777777" w:rsidR="00886404" w:rsidRPr="00886404" w:rsidRDefault="00886404" w:rsidP="00BF715B">
            <w:pPr>
              <w:ind w:firstLine="219"/>
              <w:jc w:val="left"/>
              <w:rPr>
                <w:rFonts w:cs="Arial"/>
                <w:color w:val="000000"/>
                <w:sz w:val="20"/>
                <w:szCs w:val="20"/>
              </w:rPr>
            </w:pPr>
            <w:r w:rsidRPr="00886404">
              <w:rPr>
                <w:rFonts w:cs="Arial"/>
                <w:color w:val="000000"/>
                <w:sz w:val="20"/>
                <w:szCs w:val="20"/>
              </w:rPr>
              <w:t>3.2 Dedução parcela do IPVA repassada aos municípios</w:t>
            </w:r>
          </w:p>
        </w:tc>
        <w:tc>
          <w:tcPr>
            <w:tcW w:w="833" w:type="pct"/>
            <w:tcBorders>
              <w:top w:val="nil"/>
              <w:left w:val="nil"/>
              <w:bottom w:val="nil"/>
              <w:right w:val="nil"/>
            </w:tcBorders>
            <w:shd w:val="clear" w:color="auto" w:fill="auto"/>
            <w:noWrap/>
            <w:vAlign w:val="center"/>
          </w:tcPr>
          <w:p w14:paraId="2658FF20" w14:textId="77777777" w:rsidR="00886404" w:rsidRPr="00886404" w:rsidRDefault="00886404" w:rsidP="00BF715B">
            <w:pPr>
              <w:jc w:val="right"/>
              <w:rPr>
                <w:rFonts w:cs="Arial"/>
                <w:color w:val="000000"/>
                <w:sz w:val="20"/>
                <w:szCs w:val="20"/>
              </w:rPr>
            </w:pPr>
            <w:r w:rsidRPr="00886404">
              <w:rPr>
                <w:rFonts w:cs="Arial"/>
                <w:color w:val="000000"/>
                <w:sz w:val="20"/>
                <w:szCs w:val="20"/>
              </w:rPr>
              <w:t>1.594.028.798</w:t>
            </w:r>
          </w:p>
        </w:tc>
      </w:tr>
      <w:tr w:rsidR="00886404" w:rsidRPr="00886404" w14:paraId="6E6BC3F3" w14:textId="77777777" w:rsidTr="006A1B4A">
        <w:trPr>
          <w:trHeight w:val="312"/>
        </w:trPr>
        <w:tc>
          <w:tcPr>
            <w:tcW w:w="4167" w:type="pct"/>
            <w:tcBorders>
              <w:top w:val="nil"/>
              <w:left w:val="nil"/>
              <w:bottom w:val="nil"/>
              <w:right w:val="single" w:sz="4" w:space="0" w:color="auto"/>
            </w:tcBorders>
            <w:shd w:val="clear" w:color="auto" w:fill="auto"/>
            <w:vAlign w:val="center"/>
            <w:hideMark/>
          </w:tcPr>
          <w:p w14:paraId="1DD5C9AD" w14:textId="77777777" w:rsidR="00886404" w:rsidRPr="00886404" w:rsidRDefault="00886404" w:rsidP="00BF715B">
            <w:pPr>
              <w:jc w:val="left"/>
              <w:rPr>
                <w:rFonts w:cs="Arial"/>
                <w:b/>
                <w:bCs/>
                <w:color w:val="000000"/>
                <w:sz w:val="20"/>
                <w:szCs w:val="20"/>
              </w:rPr>
            </w:pPr>
            <w:r w:rsidRPr="00886404">
              <w:rPr>
                <w:rFonts w:cs="Arial"/>
                <w:b/>
                <w:bCs/>
                <w:color w:val="000000"/>
                <w:sz w:val="20"/>
                <w:szCs w:val="20"/>
              </w:rPr>
              <w:t>4 – Cota-Parte FPE Destinada ao Fundeb – (20% de 4.1)</w:t>
            </w:r>
          </w:p>
        </w:tc>
        <w:tc>
          <w:tcPr>
            <w:tcW w:w="833" w:type="pct"/>
            <w:tcBorders>
              <w:top w:val="nil"/>
              <w:left w:val="nil"/>
              <w:bottom w:val="nil"/>
              <w:right w:val="nil"/>
            </w:tcBorders>
            <w:shd w:val="clear" w:color="auto" w:fill="auto"/>
            <w:vAlign w:val="center"/>
          </w:tcPr>
          <w:p w14:paraId="2DA6ADF1" w14:textId="77777777" w:rsidR="00886404" w:rsidRPr="00886404" w:rsidRDefault="00886404" w:rsidP="00BF715B">
            <w:pPr>
              <w:jc w:val="right"/>
              <w:rPr>
                <w:rFonts w:cs="Arial"/>
                <w:b/>
                <w:bCs/>
                <w:color w:val="000000"/>
                <w:sz w:val="20"/>
                <w:szCs w:val="20"/>
              </w:rPr>
            </w:pPr>
            <w:r w:rsidRPr="00886404">
              <w:rPr>
                <w:rFonts w:cs="Arial"/>
                <w:b/>
                <w:bCs/>
                <w:color w:val="000000"/>
                <w:sz w:val="20"/>
                <w:szCs w:val="20"/>
              </w:rPr>
              <w:t>960.593.382</w:t>
            </w:r>
          </w:p>
        </w:tc>
      </w:tr>
      <w:tr w:rsidR="00886404" w:rsidRPr="00886404" w14:paraId="08066BE6" w14:textId="77777777" w:rsidTr="006A1B4A">
        <w:trPr>
          <w:trHeight w:val="312"/>
        </w:trPr>
        <w:tc>
          <w:tcPr>
            <w:tcW w:w="4167" w:type="pct"/>
            <w:tcBorders>
              <w:top w:val="nil"/>
              <w:left w:val="nil"/>
              <w:bottom w:val="nil"/>
              <w:right w:val="single" w:sz="4" w:space="0" w:color="auto"/>
            </w:tcBorders>
            <w:shd w:val="clear" w:color="auto" w:fill="auto"/>
            <w:vAlign w:val="center"/>
            <w:hideMark/>
          </w:tcPr>
          <w:p w14:paraId="37493378" w14:textId="77777777" w:rsidR="00886404" w:rsidRPr="00886404" w:rsidRDefault="00886404" w:rsidP="00BF715B">
            <w:pPr>
              <w:ind w:firstLine="219"/>
              <w:jc w:val="left"/>
              <w:rPr>
                <w:rFonts w:cs="Arial"/>
                <w:color w:val="000000"/>
                <w:sz w:val="20"/>
                <w:szCs w:val="20"/>
              </w:rPr>
            </w:pPr>
            <w:r w:rsidRPr="00886404">
              <w:rPr>
                <w:rFonts w:cs="Arial"/>
                <w:color w:val="000000"/>
                <w:sz w:val="20"/>
                <w:szCs w:val="20"/>
              </w:rPr>
              <w:t>4.1 Cota-Parte FPE</w:t>
            </w:r>
          </w:p>
        </w:tc>
        <w:tc>
          <w:tcPr>
            <w:tcW w:w="833" w:type="pct"/>
            <w:tcBorders>
              <w:top w:val="nil"/>
              <w:left w:val="nil"/>
              <w:bottom w:val="nil"/>
              <w:right w:val="nil"/>
            </w:tcBorders>
            <w:shd w:val="clear" w:color="auto" w:fill="auto"/>
            <w:noWrap/>
            <w:vAlign w:val="center"/>
          </w:tcPr>
          <w:p w14:paraId="0E48558B" w14:textId="77777777" w:rsidR="00886404" w:rsidRPr="00886404" w:rsidRDefault="00886404" w:rsidP="00BF715B">
            <w:pPr>
              <w:jc w:val="right"/>
              <w:rPr>
                <w:rFonts w:cs="Arial"/>
                <w:color w:val="000000"/>
                <w:sz w:val="20"/>
                <w:szCs w:val="20"/>
              </w:rPr>
            </w:pPr>
            <w:r w:rsidRPr="00886404">
              <w:rPr>
                <w:rFonts w:cs="Arial"/>
                <w:color w:val="000000"/>
                <w:sz w:val="20"/>
                <w:szCs w:val="20"/>
              </w:rPr>
              <w:t>802.966.909</w:t>
            </w:r>
          </w:p>
        </w:tc>
      </w:tr>
      <w:tr w:rsidR="00886404" w:rsidRPr="00886404" w14:paraId="322B085F" w14:textId="77777777" w:rsidTr="006A1B4A">
        <w:trPr>
          <w:trHeight w:val="312"/>
        </w:trPr>
        <w:tc>
          <w:tcPr>
            <w:tcW w:w="4167" w:type="pct"/>
            <w:tcBorders>
              <w:top w:val="nil"/>
              <w:left w:val="nil"/>
              <w:bottom w:val="nil"/>
              <w:right w:val="single" w:sz="4" w:space="0" w:color="auto"/>
            </w:tcBorders>
            <w:shd w:val="clear" w:color="auto" w:fill="auto"/>
            <w:vAlign w:val="center"/>
            <w:hideMark/>
          </w:tcPr>
          <w:p w14:paraId="79660515" w14:textId="77777777" w:rsidR="00886404" w:rsidRPr="00886404" w:rsidRDefault="00886404" w:rsidP="00BF715B">
            <w:pPr>
              <w:jc w:val="left"/>
              <w:rPr>
                <w:rFonts w:cs="Arial"/>
                <w:b/>
                <w:bCs/>
                <w:color w:val="000000"/>
                <w:sz w:val="20"/>
                <w:szCs w:val="20"/>
              </w:rPr>
            </w:pPr>
            <w:r w:rsidRPr="00886404">
              <w:rPr>
                <w:rFonts w:cs="Arial"/>
                <w:b/>
                <w:bCs/>
                <w:color w:val="000000"/>
                <w:sz w:val="20"/>
                <w:szCs w:val="20"/>
              </w:rPr>
              <w:t>5 – Cota-Parte IPI Exportação Destinada ao Fundeb – [20% de (5.1 – 5.2)]</w:t>
            </w:r>
          </w:p>
        </w:tc>
        <w:tc>
          <w:tcPr>
            <w:tcW w:w="833" w:type="pct"/>
            <w:tcBorders>
              <w:top w:val="nil"/>
              <w:left w:val="nil"/>
              <w:bottom w:val="nil"/>
              <w:right w:val="nil"/>
            </w:tcBorders>
            <w:shd w:val="clear" w:color="auto" w:fill="auto"/>
            <w:vAlign w:val="center"/>
          </w:tcPr>
          <w:p w14:paraId="59DDEF1D" w14:textId="77777777" w:rsidR="00886404" w:rsidRPr="00886404" w:rsidRDefault="00886404" w:rsidP="00BF715B">
            <w:pPr>
              <w:jc w:val="right"/>
              <w:rPr>
                <w:rFonts w:cs="Arial"/>
                <w:b/>
                <w:bCs/>
                <w:color w:val="000000"/>
                <w:sz w:val="20"/>
                <w:szCs w:val="20"/>
              </w:rPr>
            </w:pPr>
            <w:r w:rsidRPr="00886404">
              <w:rPr>
                <w:rFonts w:cs="Arial"/>
                <w:b/>
                <w:bCs/>
                <w:color w:val="000000"/>
                <w:sz w:val="20"/>
                <w:szCs w:val="20"/>
              </w:rPr>
              <w:t>21.337.022</w:t>
            </w:r>
          </w:p>
        </w:tc>
      </w:tr>
      <w:tr w:rsidR="00886404" w:rsidRPr="00886404" w14:paraId="5F43DE96" w14:textId="77777777" w:rsidTr="006A1B4A">
        <w:trPr>
          <w:trHeight w:val="312"/>
        </w:trPr>
        <w:tc>
          <w:tcPr>
            <w:tcW w:w="4167" w:type="pct"/>
            <w:tcBorders>
              <w:top w:val="nil"/>
              <w:left w:val="nil"/>
              <w:bottom w:val="nil"/>
              <w:right w:val="single" w:sz="4" w:space="0" w:color="auto"/>
            </w:tcBorders>
            <w:shd w:val="clear" w:color="auto" w:fill="auto"/>
            <w:noWrap/>
            <w:vAlign w:val="center"/>
            <w:hideMark/>
          </w:tcPr>
          <w:p w14:paraId="37ED0060" w14:textId="77777777" w:rsidR="00886404" w:rsidRPr="00886404" w:rsidRDefault="00886404" w:rsidP="00BF715B">
            <w:pPr>
              <w:ind w:firstLine="219"/>
              <w:jc w:val="left"/>
              <w:rPr>
                <w:rFonts w:cs="Arial"/>
                <w:color w:val="000000"/>
                <w:sz w:val="20"/>
                <w:szCs w:val="20"/>
              </w:rPr>
            </w:pPr>
            <w:r w:rsidRPr="00886404">
              <w:rPr>
                <w:rFonts w:cs="Arial"/>
                <w:color w:val="000000"/>
                <w:sz w:val="20"/>
                <w:szCs w:val="20"/>
              </w:rPr>
              <w:t>5.1 Cota-Parte do IPI-Exportação</w:t>
            </w:r>
          </w:p>
        </w:tc>
        <w:tc>
          <w:tcPr>
            <w:tcW w:w="833" w:type="pct"/>
            <w:tcBorders>
              <w:top w:val="nil"/>
              <w:left w:val="nil"/>
              <w:bottom w:val="nil"/>
              <w:right w:val="nil"/>
            </w:tcBorders>
            <w:shd w:val="clear" w:color="auto" w:fill="auto"/>
            <w:noWrap/>
            <w:vAlign w:val="center"/>
          </w:tcPr>
          <w:p w14:paraId="1A3430E1" w14:textId="77777777" w:rsidR="00886404" w:rsidRPr="00886404" w:rsidRDefault="00886404" w:rsidP="00BF715B">
            <w:pPr>
              <w:jc w:val="right"/>
              <w:rPr>
                <w:rFonts w:cs="Arial"/>
                <w:color w:val="000000"/>
                <w:sz w:val="20"/>
                <w:szCs w:val="20"/>
              </w:rPr>
            </w:pPr>
            <w:r w:rsidRPr="00886404">
              <w:rPr>
                <w:rFonts w:cs="Arial"/>
                <w:color w:val="000000"/>
                <w:sz w:val="20"/>
                <w:szCs w:val="20"/>
              </w:rPr>
              <w:t>142.246.816</w:t>
            </w:r>
          </w:p>
        </w:tc>
      </w:tr>
      <w:tr w:rsidR="00886404" w:rsidRPr="00886404" w14:paraId="0C8294CD" w14:textId="77777777" w:rsidTr="006A1B4A">
        <w:trPr>
          <w:trHeight w:val="312"/>
        </w:trPr>
        <w:tc>
          <w:tcPr>
            <w:tcW w:w="4167" w:type="pct"/>
            <w:tcBorders>
              <w:top w:val="nil"/>
              <w:left w:val="nil"/>
              <w:bottom w:val="nil"/>
              <w:right w:val="single" w:sz="4" w:space="0" w:color="auto"/>
            </w:tcBorders>
            <w:shd w:val="clear" w:color="auto" w:fill="auto"/>
            <w:noWrap/>
            <w:vAlign w:val="center"/>
            <w:hideMark/>
          </w:tcPr>
          <w:p w14:paraId="49BEF8D5" w14:textId="77777777" w:rsidR="00886404" w:rsidRPr="00886404" w:rsidRDefault="00886404" w:rsidP="00BF715B">
            <w:pPr>
              <w:ind w:firstLine="219"/>
              <w:jc w:val="left"/>
              <w:rPr>
                <w:rFonts w:cs="Arial"/>
                <w:color w:val="000000"/>
                <w:sz w:val="20"/>
                <w:szCs w:val="20"/>
              </w:rPr>
            </w:pPr>
            <w:r w:rsidRPr="00886404">
              <w:rPr>
                <w:rFonts w:cs="Arial"/>
                <w:color w:val="000000"/>
                <w:sz w:val="20"/>
                <w:szCs w:val="20"/>
              </w:rPr>
              <w:t>5.2 Dedução parcela da cota-parte do IPI-exportação repassada aos municípios</w:t>
            </w:r>
          </w:p>
        </w:tc>
        <w:tc>
          <w:tcPr>
            <w:tcW w:w="833" w:type="pct"/>
            <w:tcBorders>
              <w:top w:val="nil"/>
              <w:left w:val="nil"/>
              <w:bottom w:val="nil"/>
              <w:right w:val="nil"/>
            </w:tcBorders>
            <w:shd w:val="clear" w:color="auto" w:fill="auto"/>
            <w:noWrap/>
            <w:vAlign w:val="center"/>
          </w:tcPr>
          <w:p w14:paraId="3E5CE323" w14:textId="77777777" w:rsidR="00886404" w:rsidRPr="00886404" w:rsidRDefault="00886404" w:rsidP="00BF715B">
            <w:pPr>
              <w:jc w:val="right"/>
              <w:rPr>
                <w:rFonts w:cs="Arial"/>
                <w:color w:val="000000"/>
                <w:sz w:val="20"/>
                <w:szCs w:val="20"/>
              </w:rPr>
            </w:pPr>
            <w:r w:rsidRPr="00886404">
              <w:rPr>
                <w:rFonts w:cs="Arial"/>
                <w:color w:val="000000"/>
                <w:sz w:val="20"/>
                <w:szCs w:val="20"/>
              </w:rPr>
              <w:t>35.561.704</w:t>
            </w:r>
          </w:p>
        </w:tc>
      </w:tr>
      <w:tr w:rsidR="00886404" w:rsidRPr="00886404" w14:paraId="75C8E790" w14:textId="77777777" w:rsidTr="006A1B4A">
        <w:trPr>
          <w:trHeight w:val="312"/>
        </w:trPr>
        <w:tc>
          <w:tcPr>
            <w:tcW w:w="4167" w:type="pct"/>
            <w:tcBorders>
              <w:top w:val="nil"/>
              <w:left w:val="nil"/>
              <w:bottom w:val="nil"/>
              <w:right w:val="single" w:sz="4" w:space="0" w:color="auto"/>
            </w:tcBorders>
            <w:shd w:val="clear" w:color="auto" w:fill="auto"/>
            <w:noWrap/>
            <w:vAlign w:val="center"/>
            <w:hideMark/>
          </w:tcPr>
          <w:p w14:paraId="08934335" w14:textId="77777777" w:rsidR="00886404" w:rsidRPr="00886404" w:rsidRDefault="00886404" w:rsidP="00BF715B">
            <w:pPr>
              <w:jc w:val="left"/>
              <w:rPr>
                <w:rFonts w:cs="Arial"/>
                <w:b/>
                <w:bCs/>
                <w:color w:val="000000"/>
                <w:sz w:val="20"/>
                <w:szCs w:val="20"/>
              </w:rPr>
            </w:pPr>
            <w:r w:rsidRPr="00886404">
              <w:rPr>
                <w:rFonts w:cs="Arial"/>
                <w:b/>
                <w:bCs/>
                <w:color w:val="000000"/>
                <w:sz w:val="20"/>
                <w:szCs w:val="20"/>
              </w:rPr>
              <w:t>6 - Compensações Financeiras de Impostos e Transferências Constitucionais Destinada ao Fundeb – (20% de 6.1)</w:t>
            </w:r>
          </w:p>
        </w:tc>
        <w:tc>
          <w:tcPr>
            <w:tcW w:w="833" w:type="pct"/>
            <w:tcBorders>
              <w:top w:val="nil"/>
              <w:left w:val="nil"/>
              <w:bottom w:val="nil"/>
              <w:right w:val="nil"/>
            </w:tcBorders>
            <w:shd w:val="clear" w:color="auto" w:fill="auto"/>
            <w:vAlign w:val="center"/>
          </w:tcPr>
          <w:p w14:paraId="14860DB7" w14:textId="77777777" w:rsidR="00886404" w:rsidRPr="00886404" w:rsidRDefault="00886404" w:rsidP="00BF715B">
            <w:pPr>
              <w:jc w:val="right"/>
              <w:rPr>
                <w:rFonts w:cs="Arial"/>
                <w:b/>
                <w:bCs/>
                <w:color w:val="000000"/>
                <w:sz w:val="20"/>
                <w:szCs w:val="20"/>
              </w:rPr>
            </w:pPr>
            <w:r w:rsidRPr="00886404">
              <w:rPr>
                <w:rFonts w:cs="Arial"/>
                <w:b/>
                <w:bCs/>
                <w:color w:val="000000"/>
                <w:sz w:val="20"/>
                <w:szCs w:val="20"/>
              </w:rPr>
              <w:t>248.013.719</w:t>
            </w:r>
          </w:p>
        </w:tc>
      </w:tr>
      <w:tr w:rsidR="00886404" w:rsidRPr="00886404" w14:paraId="5DABD7CB" w14:textId="77777777" w:rsidTr="006A1B4A">
        <w:trPr>
          <w:trHeight w:val="312"/>
        </w:trPr>
        <w:tc>
          <w:tcPr>
            <w:tcW w:w="4167" w:type="pct"/>
            <w:tcBorders>
              <w:top w:val="nil"/>
              <w:left w:val="nil"/>
              <w:bottom w:val="nil"/>
              <w:right w:val="single" w:sz="4" w:space="0" w:color="auto"/>
            </w:tcBorders>
            <w:shd w:val="clear" w:color="auto" w:fill="auto"/>
            <w:noWrap/>
            <w:vAlign w:val="center"/>
            <w:hideMark/>
          </w:tcPr>
          <w:p w14:paraId="37688775" w14:textId="77777777" w:rsidR="00886404" w:rsidRPr="00886404" w:rsidRDefault="00886404" w:rsidP="00BF715B">
            <w:pPr>
              <w:ind w:firstLine="219"/>
              <w:jc w:val="left"/>
              <w:rPr>
                <w:rFonts w:cs="Arial"/>
                <w:color w:val="000000"/>
                <w:sz w:val="20"/>
                <w:szCs w:val="20"/>
              </w:rPr>
            </w:pPr>
            <w:r w:rsidRPr="00886404">
              <w:rPr>
                <w:rFonts w:cs="Arial"/>
                <w:color w:val="000000"/>
                <w:sz w:val="20"/>
                <w:szCs w:val="20"/>
              </w:rPr>
              <w:t>6.1 Compensações Financeiras de Impostos e Transferências Constitucionais</w:t>
            </w:r>
          </w:p>
        </w:tc>
        <w:tc>
          <w:tcPr>
            <w:tcW w:w="833" w:type="pct"/>
            <w:tcBorders>
              <w:top w:val="nil"/>
              <w:left w:val="nil"/>
              <w:bottom w:val="nil"/>
              <w:right w:val="nil"/>
            </w:tcBorders>
            <w:shd w:val="clear" w:color="auto" w:fill="auto"/>
            <w:noWrap/>
            <w:vAlign w:val="center"/>
          </w:tcPr>
          <w:p w14:paraId="40216EFE" w14:textId="77777777" w:rsidR="00886404" w:rsidRPr="00886404" w:rsidRDefault="00886404" w:rsidP="00BF715B">
            <w:pPr>
              <w:jc w:val="right"/>
              <w:rPr>
                <w:rFonts w:cs="Arial"/>
                <w:color w:val="000000"/>
                <w:sz w:val="20"/>
                <w:szCs w:val="20"/>
              </w:rPr>
            </w:pPr>
            <w:r w:rsidRPr="00886404">
              <w:rPr>
                <w:rFonts w:cs="Arial"/>
                <w:color w:val="000000"/>
                <w:sz w:val="20"/>
                <w:szCs w:val="20"/>
              </w:rPr>
              <w:t>1.240.068.595</w:t>
            </w:r>
          </w:p>
        </w:tc>
      </w:tr>
      <w:tr w:rsidR="00886404" w:rsidRPr="00886404" w14:paraId="176F7DAA" w14:textId="77777777" w:rsidTr="006A1B4A">
        <w:trPr>
          <w:trHeight w:val="312"/>
        </w:trPr>
        <w:tc>
          <w:tcPr>
            <w:tcW w:w="4167" w:type="pct"/>
            <w:tcBorders>
              <w:top w:val="single" w:sz="4" w:space="0" w:color="auto"/>
              <w:left w:val="nil"/>
              <w:bottom w:val="single" w:sz="4" w:space="0" w:color="auto"/>
              <w:right w:val="single" w:sz="4" w:space="0" w:color="auto"/>
            </w:tcBorders>
            <w:shd w:val="clear" w:color="auto" w:fill="auto"/>
            <w:noWrap/>
            <w:vAlign w:val="center"/>
            <w:hideMark/>
          </w:tcPr>
          <w:p w14:paraId="24827890" w14:textId="77777777" w:rsidR="00886404" w:rsidRPr="00886404" w:rsidRDefault="00886404" w:rsidP="00BF715B">
            <w:pPr>
              <w:jc w:val="left"/>
              <w:rPr>
                <w:rFonts w:cs="Arial"/>
                <w:b/>
                <w:bCs/>
                <w:color w:val="000000"/>
                <w:sz w:val="20"/>
                <w:szCs w:val="20"/>
              </w:rPr>
            </w:pPr>
            <w:r w:rsidRPr="00886404">
              <w:rPr>
                <w:rFonts w:cs="Arial"/>
                <w:b/>
                <w:bCs/>
                <w:color w:val="000000"/>
                <w:sz w:val="20"/>
                <w:szCs w:val="20"/>
              </w:rPr>
              <w:t>7 – Valor Total Devido ao Fundeb (1 + 2 + 3 + 4 + 5 + 6)</w:t>
            </w:r>
          </w:p>
        </w:tc>
        <w:tc>
          <w:tcPr>
            <w:tcW w:w="833" w:type="pct"/>
            <w:tcBorders>
              <w:top w:val="single" w:sz="4" w:space="0" w:color="auto"/>
              <w:left w:val="nil"/>
              <w:bottom w:val="single" w:sz="4" w:space="0" w:color="auto"/>
              <w:right w:val="nil"/>
            </w:tcBorders>
            <w:shd w:val="clear" w:color="auto" w:fill="auto"/>
            <w:noWrap/>
            <w:vAlign w:val="center"/>
          </w:tcPr>
          <w:p w14:paraId="3C5802C8" w14:textId="77777777" w:rsidR="00886404" w:rsidRPr="00886404" w:rsidRDefault="00886404" w:rsidP="00BF715B">
            <w:pPr>
              <w:jc w:val="right"/>
              <w:rPr>
                <w:rFonts w:cs="Arial"/>
                <w:b/>
                <w:bCs/>
                <w:color w:val="000000"/>
                <w:sz w:val="20"/>
                <w:szCs w:val="20"/>
              </w:rPr>
            </w:pPr>
            <w:r w:rsidRPr="00886404">
              <w:rPr>
                <w:rFonts w:cs="Arial"/>
                <w:b/>
                <w:bCs/>
                <w:color w:val="000000"/>
                <w:sz w:val="20"/>
                <w:szCs w:val="20"/>
              </w:rPr>
              <w:t>5.405.340.889</w:t>
            </w:r>
          </w:p>
        </w:tc>
      </w:tr>
      <w:tr w:rsidR="00886404" w:rsidRPr="00886404" w14:paraId="24C529EF" w14:textId="77777777" w:rsidTr="006A1B4A">
        <w:trPr>
          <w:trHeight w:val="312"/>
        </w:trPr>
        <w:tc>
          <w:tcPr>
            <w:tcW w:w="4167" w:type="pct"/>
            <w:tcBorders>
              <w:top w:val="nil"/>
              <w:left w:val="nil"/>
              <w:bottom w:val="single" w:sz="4" w:space="0" w:color="auto"/>
              <w:right w:val="single" w:sz="4" w:space="0" w:color="auto"/>
            </w:tcBorders>
            <w:shd w:val="clear" w:color="auto" w:fill="auto"/>
            <w:vAlign w:val="center"/>
            <w:hideMark/>
          </w:tcPr>
          <w:p w14:paraId="2B348F6B" w14:textId="77777777" w:rsidR="00886404" w:rsidRPr="00886404" w:rsidRDefault="00886404" w:rsidP="00BF715B">
            <w:pPr>
              <w:jc w:val="left"/>
              <w:rPr>
                <w:rFonts w:cs="Arial"/>
                <w:b/>
                <w:bCs/>
                <w:color w:val="000000"/>
                <w:sz w:val="20"/>
                <w:szCs w:val="20"/>
              </w:rPr>
            </w:pPr>
            <w:r w:rsidRPr="00886404">
              <w:rPr>
                <w:rFonts w:cs="Arial"/>
                <w:b/>
                <w:bCs/>
                <w:color w:val="000000"/>
                <w:sz w:val="20"/>
                <w:szCs w:val="20"/>
              </w:rPr>
              <w:t>8 – Valor Efetivamente Repassado</w:t>
            </w:r>
          </w:p>
        </w:tc>
        <w:tc>
          <w:tcPr>
            <w:tcW w:w="833" w:type="pct"/>
            <w:tcBorders>
              <w:top w:val="nil"/>
              <w:left w:val="nil"/>
              <w:bottom w:val="single" w:sz="4" w:space="0" w:color="auto"/>
              <w:right w:val="nil"/>
            </w:tcBorders>
            <w:shd w:val="clear" w:color="auto" w:fill="auto"/>
            <w:noWrap/>
            <w:vAlign w:val="center"/>
          </w:tcPr>
          <w:p w14:paraId="1A6EB93D" w14:textId="77777777" w:rsidR="00886404" w:rsidRPr="00886404" w:rsidRDefault="00886404" w:rsidP="00BF715B">
            <w:pPr>
              <w:jc w:val="right"/>
              <w:rPr>
                <w:rFonts w:cs="Arial"/>
                <w:b/>
                <w:bCs/>
                <w:color w:val="000000"/>
                <w:sz w:val="20"/>
                <w:szCs w:val="20"/>
              </w:rPr>
            </w:pPr>
            <w:r w:rsidRPr="00886404">
              <w:rPr>
                <w:rFonts w:cs="Arial"/>
                <w:b/>
                <w:bCs/>
                <w:color w:val="000000"/>
                <w:sz w:val="20"/>
                <w:szCs w:val="20"/>
              </w:rPr>
              <w:t>5.394.385.434</w:t>
            </w:r>
          </w:p>
        </w:tc>
      </w:tr>
      <w:tr w:rsidR="00886404" w:rsidRPr="00886404" w14:paraId="17CD5211" w14:textId="77777777" w:rsidTr="006A1B4A">
        <w:trPr>
          <w:trHeight w:val="312"/>
        </w:trPr>
        <w:tc>
          <w:tcPr>
            <w:tcW w:w="4167" w:type="pct"/>
            <w:tcBorders>
              <w:top w:val="nil"/>
              <w:left w:val="nil"/>
              <w:bottom w:val="single" w:sz="4" w:space="0" w:color="auto"/>
              <w:right w:val="single" w:sz="4" w:space="0" w:color="auto"/>
            </w:tcBorders>
            <w:shd w:val="clear" w:color="auto" w:fill="auto"/>
            <w:vAlign w:val="center"/>
            <w:hideMark/>
          </w:tcPr>
          <w:p w14:paraId="3AE68852" w14:textId="77777777" w:rsidR="00886404" w:rsidRPr="00886404" w:rsidRDefault="00886404" w:rsidP="00BF715B">
            <w:pPr>
              <w:jc w:val="left"/>
              <w:rPr>
                <w:rFonts w:cs="Arial"/>
                <w:b/>
                <w:bCs/>
                <w:color w:val="000000"/>
                <w:sz w:val="20"/>
                <w:szCs w:val="20"/>
              </w:rPr>
            </w:pPr>
            <w:r w:rsidRPr="00886404">
              <w:rPr>
                <w:rFonts w:cs="Arial"/>
                <w:b/>
                <w:bCs/>
                <w:color w:val="000000"/>
                <w:sz w:val="20"/>
                <w:szCs w:val="20"/>
              </w:rPr>
              <w:t>9 – Diferença de Repasse (8 - 7)</w:t>
            </w:r>
          </w:p>
        </w:tc>
        <w:tc>
          <w:tcPr>
            <w:tcW w:w="833" w:type="pct"/>
            <w:tcBorders>
              <w:top w:val="nil"/>
              <w:left w:val="nil"/>
              <w:bottom w:val="single" w:sz="4" w:space="0" w:color="auto"/>
              <w:right w:val="nil"/>
            </w:tcBorders>
            <w:shd w:val="clear" w:color="auto" w:fill="auto"/>
            <w:vAlign w:val="center"/>
          </w:tcPr>
          <w:p w14:paraId="39088B1B" w14:textId="77777777" w:rsidR="00886404" w:rsidRPr="00886404" w:rsidRDefault="00886404" w:rsidP="00BF715B">
            <w:pPr>
              <w:jc w:val="right"/>
              <w:rPr>
                <w:rFonts w:cs="Arial"/>
                <w:b/>
                <w:bCs/>
                <w:color w:val="FF0000"/>
                <w:sz w:val="20"/>
                <w:szCs w:val="20"/>
              </w:rPr>
            </w:pPr>
            <w:r w:rsidRPr="00886404">
              <w:rPr>
                <w:rFonts w:cs="Arial"/>
                <w:b/>
                <w:bCs/>
                <w:color w:val="FF0000"/>
                <w:sz w:val="20"/>
                <w:szCs w:val="20"/>
              </w:rPr>
              <w:t>(10.955.455)</w:t>
            </w:r>
          </w:p>
        </w:tc>
      </w:tr>
    </w:tbl>
    <w:p w14:paraId="3AD2260D" w14:textId="77777777" w:rsidR="00886404" w:rsidRPr="00457363" w:rsidRDefault="00886404" w:rsidP="00886404">
      <w:pPr>
        <w:pStyle w:val="1-FONTE8ESQ"/>
        <w:rPr>
          <w:highlight w:val="yellow"/>
        </w:rPr>
      </w:pPr>
      <w:r w:rsidRPr="00224D96">
        <w:t xml:space="preserve">Fonte: </w:t>
      </w:r>
      <w:r w:rsidRPr="007046AA">
        <w:t>RREO do 6º Bimestre de 2023</w:t>
      </w:r>
    </w:p>
    <w:p w14:paraId="2B0A8C54" w14:textId="77777777" w:rsidR="00886404" w:rsidRPr="00156A87" w:rsidRDefault="00886404" w:rsidP="00140D80">
      <w:pPr>
        <w:pStyle w:val="1-REL11"/>
        <w:spacing w:line="300" w:lineRule="auto"/>
      </w:pPr>
      <w:r w:rsidRPr="00A14446">
        <w:lastRenderedPageBreak/>
        <w:t>Observa-se uma diferença de R$ 10,95 milhões a menor entre o que deveria ter sido repassado ao Fundeb e o que efetivamente foi repassado de acordo com o Anexo 8 do RREO. No B</w:t>
      </w:r>
      <w:r>
        <w:t xml:space="preserve">alanço </w:t>
      </w:r>
      <w:r w:rsidRPr="00A14446">
        <w:t>G</w:t>
      </w:r>
      <w:r>
        <w:t xml:space="preserve">eral do </w:t>
      </w:r>
      <w:r w:rsidRPr="00A14446">
        <w:t>E</w:t>
      </w:r>
      <w:r>
        <w:t>stado (BGE)</w:t>
      </w:r>
      <w:r w:rsidRPr="00A14446">
        <w:t xml:space="preserve"> 2023, item 4.3, o Estado alega que o repasse a</w:t>
      </w:r>
      <w:r>
        <w:t>o Fundeb foi</w:t>
      </w:r>
      <w:r w:rsidRPr="00A14446">
        <w:t xml:space="preserve"> R$ 10,71 milhões</w:t>
      </w:r>
      <w:r>
        <w:t xml:space="preserve"> a</w:t>
      </w:r>
      <w:r w:rsidRPr="00A14446">
        <w:t xml:space="preserve"> menor e que esta diferença será objeto de repasse complementar, após apuração em Portaria Interministerial MEC/ME.</w:t>
      </w:r>
    </w:p>
    <w:p w14:paraId="4EB6308E" w14:textId="77777777" w:rsidR="00886404" w:rsidRPr="001A6F79" w:rsidRDefault="00886404" w:rsidP="00140D80">
      <w:pPr>
        <w:pStyle w:val="1-REL11"/>
        <w:spacing w:line="300" w:lineRule="auto"/>
        <w:rPr>
          <w:bCs/>
        </w:rPr>
      </w:pPr>
      <w:r w:rsidRPr="007611FE">
        <w:rPr>
          <w:bCs/>
        </w:rPr>
        <w:t xml:space="preserve">Quanto às receitas recebidas do Fundeb, os valores de R$ </w:t>
      </w:r>
      <w:r w:rsidRPr="004C792A">
        <w:rPr>
          <w:bCs/>
        </w:rPr>
        <w:t>3</w:t>
      </w:r>
      <w:r>
        <w:rPr>
          <w:bCs/>
        </w:rPr>
        <w:t>,50 bilhões</w:t>
      </w:r>
      <w:r w:rsidRPr="007611FE">
        <w:rPr>
          <w:bCs/>
        </w:rPr>
        <w:t xml:space="preserve"> referente a impostos e transferências de impostos, e R$</w:t>
      </w:r>
      <w:r>
        <w:rPr>
          <w:bCs/>
        </w:rPr>
        <w:t xml:space="preserve"> </w:t>
      </w:r>
      <w:r w:rsidRPr="00B743F0">
        <w:rPr>
          <w:bCs/>
        </w:rPr>
        <w:t>31</w:t>
      </w:r>
      <w:r>
        <w:rPr>
          <w:bCs/>
        </w:rPr>
        <w:t>,</w:t>
      </w:r>
      <w:r w:rsidRPr="00B743F0">
        <w:rPr>
          <w:bCs/>
        </w:rPr>
        <w:t>93</w:t>
      </w:r>
      <w:r>
        <w:rPr>
          <w:bCs/>
        </w:rPr>
        <w:t xml:space="preserve"> milhões</w:t>
      </w:r>
      <w:r w:rsidRPr="001A6F79">
        <w:rPr>
          <w:bCs/>
        </w:rPr>
        <w:t xml:space="preserve"> referente à Complementação da União - VAAR, ambos declarados no RREO</w:t>
      </w:r>
      <w:r>
        <w:rPr>
          <w:bCs/>
        </w:rPr>
        <w:t xml:space="preserve"> do 6</w:t>
      </w:r>
      <w:r>
        <w:rPr>
          <w:rFonts w:cs="Arial"/>
          <w:bCs/>
        </w:rPr>
        <w:t>º</w:t>
      </w:r>
      <w:r>
        <w:rPr>
          <w:bCs/>
        </w:rPr>
        <w:t xml:space="preserve"> bimestre de 2023</w:t>
      </w:r>
      <w:r w:rsidRPr="001A6F79">
        <w:rPr>
          <w:bCs/>
        </w:rPr>
        <w:t xml:space="preserve">, foram conferidos com os dados divulgados pela </w:t>
      </w:r>
      <w:r>
        <w:rPr>
          <w:bCs/>
        </w:rPr>
        <w:t>Secretaria do Tesouro Nacional (</w:t>
      </w:r>
      <w:r w:rsidRPr="001A6F79">
        <w:rPr>
          <w:bCs/>
        </w:rPr>
        <w:t>STN</w:t>
      </w:r>
      <w:r>
        <w:rPr>
          <w:bCs/>
        </w:rPr>
        <w:t>)</w:t>
      </w:r>
      <w:r w:rsidRPr="001A6F79">
        <w:rPr>
          <w:bCs/>
        </w:rPr>
        <w:t xml:space="preserve"> no menu Transferências Constitucionais e com o Demonstrativo de Distribu</w:t>
      </w:r>
      <w:r w:rsidRPr="00B743F0">
        <w:rPr>
          <w:bCs/>
        </w:rPr>
        <w:t>ição da Arrecadação divulgado pelo Banco do Brasil e não há discrepância nos valores. O valor da Complementação da União – VAAR também confere com os dados do</w:t>
      </w:r>
      <w:r w:rsidRPr="001A6F79">
        <w:rPr>
          <w:bCs/>
        </w:rPr>
        <w:t xml:space="preserve"> Anexo VI da Portaria Interministerial nº 3, de 28</w:t>
      </w:r>
      <w:r>
        <w:rPr>
          <w:bCs/>
        </w:rPr>
        <w:t xml:space="preserve"> de agosto de 20</w:t>
      </w:r>
      <w:r w:rsidRPr="001A6F79">
        <w:rPr>
          <w:bCs/>
        </w:rPr>
        <w:t>23.</w:t>
      </w:r>
    </w:p>
    <w:p w14:paraId="3E71A0B6" w14:textId="77777777" w:rsidR="00886404" w:rsidRPr="00F805BE" w:rsidRDefault="00886404" w:rsidP="00140D80">
      <w:pPr>
        <w:pStyle w:val="1-REL11"/>
        <w:spacing w:line="300" w:lineRule="auto"/>
      </w:pPr>
      <w:r w:rsidRPr="00F805BE">
        <w:t xml:space="preserve">Conforme exigência da </w:t>
      </w:r>
      <w:bookmarkStart w:id="292" w:name="_Hlk149574165"/>
      <w:r w:rsidRPr="00F805BE">
        <w:t>CF/88, art. 212-A, inciso XI</w:t>
      </w:r>
      <w:bookmarkEnd w:id="292"/>
      <w:r w:rsidRPr="00F805BE">
        <w:t>, o Estado deverá aplicar, no mínimo, 70% dos recursos do Fundeb na remuneração dos profissionais da educação básica em efetivo exercício. De acordo com o Anexo 8 do RREO</w:t>
      </w:r>
      <w:r>
        <w:t xml:space="preserve"> e corroborado em consulta no BO por Código de Acompanhamento Orçamentário (CO) 1070, que i</w:t>
      </w:r>
      <w:r w:rsidRPr="00101E07">
        <w:t xml:space="preserve">dentifica </w:t>
      </w:r>
      <w:r>
        <w:t>despesas</w:t>
      </w:r>
      <w:r w:rsidRPr="00101E07">
        <w:t xml:space="preserve"> aplicad</w:t>
      </w:r>
      <w:r>
        <w:t>as</w:t>
      </w:r>
      <w:r w:rsidRPr="00101E07">
        <w:t xml:space="preserve"> no pagamento da remuneração dos profissionais da educação básica em efetivo exercício</w:t>
      </w:r>
      <w:r w:rsidRPr="00F805BE">
        <w:t xml:space="preserve">, </w:t>
      </w:r>
      <w:r>
        <w:t>n</w:t>
      </w:r>
      <w:r w:rsidRPr="001D3C83">
        <w:t xml:space="preserve">o </w:t>
      </w:r>
      <w:r>
        <w:t>exercício financeiro</w:t>
      </w:r>
      <w:r w:rsidRPr="00F805BE">
        <w:t xml:space="preserve"> </w:t>
      </w:r>
      <w:r>
        <w:t xml:space="preserve">de </w:t>
      </w:r>
      <w:r w:rsidRPr="00F805BE">
        <w:t xml:space="preserve">2023 o valor aplicado foi de R$ </w:t>
      </w:r>
      <w:r w:rsidRPr="001B4298">
        <w:t>2</w:t>
      </w:r>
      <w:r>
        <w:t>,</w:t>
      </w:r>
      <w:r w:rsidRPr="001B4298">
        <w:t>4</w:t>
      </w:r>
      <w:r>
        <w:t>9 bilhões</w:t>
      </w:r>
      <w:r w:rsidRPr="00F805BE">
        <w:t xml:space="preserve">, </w:t>
      </w:r>
      <w:r>
        <w:t>acima</w:t>
      </w:r>
      <w:r w:rsidRPr="00F805BE">
        <w:t xml:space="preserve"> do mínimo exigido, performando </w:t>
      </w:r>
      <w:r w:rsidRPr="001B4298">
        <w:t>70,08</w:t>
      </w:r>
      <w:r w:rsidRPr="00F805BE">
        <w:t>% dos recursos do fundo.</w:t>
      </w:r>
    </w:p>
    <w:p w14:paraId="282F39E4" w14:textId="77777777" w:rsidR="00886404" w:rsidRPr="00457363" w:rsidRDefault="00886404" w:rsidP="00140D80">
      <w:pPr>
        <w:pStyle w:val="1-REL11"/>
        <w:spacing w:line="300" w:lineRule="auto"/>
        <w:rPr>
          <w:highlight w:val="yellow"/>
        </w:rPr>
      </w:pPr>
      <w:r w:rsidRPr="00F20717">
        <w:rPr>
          <w:bCs/>
        </w:rPr>
        <w:t>De acordo com a Lei nº 14.113/</w:t>
      </w:r>
      <w:r>
        <w:rPr>
          <w:bCs/>
        </w:rPr>
        <w:t>20</w:t>
      </w:r>
      <w:r w:rsidRPr="00F20717">
        <w:rPr>
          <w:bCs/>
        </w:rPr>
        <w:t xml:space="preserve">20, art. 25, caput e § 3º, os recursos do Fundeb deverão ser utilizados no exercício financeiro em que lhes forem creditados, sendo permitido que, no máximo, 10% desses recursos sejam utilizados no 1º quadrimestre do exercício subsequente. </w:t>
      </w:r>
      <w:r>
        <w:rPr>
          <w:bCs/>
        </w:rPr>
        <w:t>O</w:t>
      </w:r>
      <w:r w:rsidRPr="00F20717">
        <w:rPr>
          <w:bCs/>
        </w:rPr>
        <w:t xml:space="preserve"> demonstrativo do RREO do </w:t>
      </w:r>
      <w:r>
        <w:rPr>
          <w:bCs/>
        </w:rPr>
        <w:t>6</w:t>
      </w:r>
      <w:r w:rsidRPr="00F20717">
        <w:rPr>
          <w:bCs/>
        </w:rPr>
        <w:t>º bimestre evidencia que R$ </w:t>
      </w:r>
      <w:r w:rsidRPr="00562E02">
        <w:rPr>
          <w:bCs/>
        </w:rPr>
        <w:t>321</w:t>
      </w:r>
      <w:r>
        <w:rPr>
          <w:bCs/>
        </w:rPr>
        <w:t>,</w:t>
      </w:r>
      <w:r w:rsidRPr="00562E02">
        <w:rPr>
          <w:bCs/>
        </w:rPr>
        <w:t>07</w:t>
      </w:r>
      <w:r>
        <w:rPr>
          <w:bCs/>
        </w:rPr>
        <w:t xml:space="preserve"> milhões</w:t>
      </w:r>
      <w:r w:rsidRPr="00F20717">
        <w:rPr>
          <w:bCs/>
        </w:rPr>
        <w:t xml:space="preserve">, ou seja, </w:t>
      </w:r>
      <w:r w:rsidRPr="00562E02">
        <w:rPr>
          <w:bCs/>
        </w:rPr>
        <w:t>8,97</w:t>
      </w:r>
      <w:r w:rsidRPr="00F20717">
        <w:rPr>
          <w:bCs/>
        </w:rPr>
        <w:t xml:space="preserve">% dos recursos recebidos no exercício </w:t>
      </w:r>
      <w:r>
        <w:rPr>
          <w:bCs/>
        </w:rPr>
        <w:t xml:space="preserve">financeiro </w:t>
      </w:r>
      <w:r w:rsidRPr="00F20717">
        <w:rPr>
          <w:bCs/>
        </w:rPr>
        <w:t>de 2023 não foram aplicados</w:t>
      </w:r>
      <w:r>
        <w:rPr>
          <w:bCs/>
        </w:rPr>
        <w:t>, portanto, dentro do limite da lei.</w:t>
      </w:r>
    </w:p>
    <w:p w14:paraId="36CC9627" w14:textId="77777777" w:rsidR="00886404" w:rsidRPr="00D544E4" w:rsidRDefault="00886404" w:rsidP="00140D80">
      <w:pPr>
        <w:pStyle w:val="1-REL11"/>
        <w:spacing w:line="300" w:lineRule="auto"/>
      </w:pPr>
      <w:r w:rsidRPr="00D544E4">
        <w:t>Com base nas informações disponibilizadas pelo Poder Executivo nos demonstrativos fiscais, as despesas com recursos do Fundeb, por subfunção, estão demonstradas a seguir:</w:t>
      </w:r>
    </w:p>
    <w:p w14:paraId="61A92417" w14:textId="77777777" w:rsidR="00886404" w:rsidRPr="00D544E4" w:rsidRDefault="00886404" w:rsidP="00736A8C">
      <w:pPr>
        <w:pStyle w:val="0-TABELA"/>
        <w:numPr>
          <w:ilvl w:val="0"/>
          <w:numId w:val="53"/>
        </w:numPr>
        <w:tabs>
          <w:tab w:val="clear" w:pos="1560"/>
          <w:tab w:val="left" w:pos="1134"/>
        </w:tabs>
        <w:spacing w:before="0" w:after="0"/>
        <w:ind w:left="0" w:firstLine="0"/>
      </w:pPr>
      <w:bookmarkStart w:id="293" w:name="_Toc135332521"/>
      <w:bookmarkStart w:id="294" w:name="_Toc167871792"/>
      <w:r w:rsidRPr="00D544E4">
        <w:t xml:space="preserve">Despesas com Recursos do Fundeb </w:t>
      </w:r>
      <w:bookmarkEnd w:id="293"/>
      <w:r w:rsidRPr="00D544E4">
        <w:t>por Subfunção</w:t>
      </w:r>
      <w:bookmarkEnd w:id="294"/>
    </w:p>
    <w:p w14:paraId="30DA82F6" w14:textId="77777777" w:rsidR="00886404" w:rsidRPr="00D544E4" w:rsidRDefault="00886404" w:rsidP="00886404">
      <w:pPr>
        <w:pStyle w:val="0-EmR1"/>
      </w:pPr>
      <w:r w:rsidRPr="00D544E4">
        <w:t>R$ 1</w:t>
      </w:r>
    </w:p>
    <w:tbl>
      <w:tblPr>
        <w:tblW w:w="9440" w:type="dxa"/>
        <w:tblLayout w:type="fixed"/>
        <w:tblCellMar>
          <w:left w:w="70" w:type="dxa"/>
          <w:right w:w="70" w:type="dxa"/>
        </w:tblCellMar>
        <w:tblLook w:val="04A0" w:firstRow="1" w:lastRow="0" w:firstColumn="1" w:lastColumn="0" w:noHBand="0" w:noVBand="1"/>
      </w:tblPr>
      <w:tblGrid>
        <w:gridCol w:w="3980"/>
        <w:gridCol w:w="1520"/>
        <w:gridCol w:w="900"/>
        <w:gridCol w:w="1520"/>
        <w:gridCol w:w="1520"/>
      </w:tblGrid>
      <w:tr w:rsidR="00886404" w:rsidRPr="00B000B6" w14:paraId="46E5604C" w14:textId="77777777" w:rsidTr="00B000B6">
        <w:trPr>
          <w:trHeight w:val="340"/>
          <w:tblHeader/>
        </w:trPr>
        <w:tc>
          <w:tcPr>
            <w:tcW w:w="3980" w:type="dxa"/>
            <w:tcBorders>
              <w:top w:val="single" w:sz="4" w:space="0" w:color="auto"/>
              <w:left w:val="nil"/>
              <w:bottom w:val="single" w:sz="4" w:space="0" w:color="auto"/>
              <w:right w:val="nil"/>
            </w:tcBorders>
            <w:shd w:val="clear" w:color="000000" w:fill="A1F2FD"/>
            <w:noWrap/>
            <w:vAlign w:val="center"/>
            <w:hideMark/>
          </w:tcPr>
          <w:p w14:paraId="49DEF3D4" w14:textId="77777777" w:rsidR="00886404" w:rsidRPr="00B000B6" w:rsidRDefault="00886404" w:rsidP="00BF715B">
            <w:pPr>
              <w:jc w:val="center"/>
              <w:rPr>
                <w:rFonts w:cs="Arial"/>
                <w:b/>
                <w:bCs/>
                <w:color w:val="000000"/>
                <w:sz w:val="20"/>
                <w:szCs w:val="20"/>
              </w:rPr>
            </w:pPr>
            <w:r w:rsidRPr="00B000B6">
              <w:rPr>
                <w:rFonts w:cs="Arial"/>
                <w:b/>
                <w:bCs/>
                <w:color w:val="000000"/>
                <w:sz w:val="20"/>
                <w:szCs w:val="20"/>
              </w:rPr>
              <w:t>Subfunção</w:t>
            </w:r>
          </w:p>
        </w:tc>
        <w:tc>
          <w:tcPr>
            <w:tcW w:w="1520" w:type="dxa"/>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093CEB67" w14:textId="77777777" w:rsidR="00886404" w:rsidRPr="00B000B6" w:rsidRDefault="00886404" w:rsidP="00BF715B">
            <w:pPr>
              <w:jc w:val="center"/>
              <w:rPr>
                <w:rFonts w:cs="Arial"/>
                <w:b/>
                <w:bCs/>
                <w:color w:val="000000"/>
                <w:sz w:val="20"/>
                <w:szCs w:val="20"/>
              </w:rPr>
            </w:pPr>
            <w:r w:rsidRPr="00B000B6">
              <w:rPr>
                <w:rFonts w:cs="Arial"/>
                <w:b/>
                <w:bCs/>
                <w:color w:val="000000"/>
                <w:sz w:val="20"/>
                <w:szCs w:val="20"/>
              </w:rPr>
              <w:t>Empenhada</w:t>
            </w:r>
          </w:p>
        </w:tc>
        <w:tc>
          <w:tcPr>
            <w:tcW w:w="900" w:type="dxa"/>
            <w:tcBorders>
              <w:top w:val="single" w:sz="4" w:space="0" w:color="auto"/>
              <w:left w:val="nil"/>
              <w:bottom w:val="single" w:sz="4" w:space="0" w:color="auto"/>
              <w:right w:val="nil"/>
            </w:tcBorders>
            <w:shd w:val="clear" w:color="000000" w:fill="A1F2FD"/>
            <w:noWrap/>
            <w:vAlign w:val="center"/>
            <w:hideMark/>
          </w:tcPr>
          <w:p w14:paraId="011F8AAA" w14:textId="77777777" w:rsidR="00886404" w:rsidRPr="00B000B6" w:rsidRDefault="00886404" w:rsidP="00BF715B">
            <w:pPr>
              <w:jc w:val="center"/>
              <w:rPr>
                <w:rFonts w:cs="Arial"/>
                <w:b/>
                <w:bCs/>
                <w:color w:val="000000"/>
                <w:sz w:val="20"/>
                <w:szCs w:val="20"/>
              </w:rPr>
            </w:pPr>
            <w:r w:rsidRPr="00B000B6">
              <w:rPr>
                <w:rFonts w:cs="Arial"/>
                <w:b/>
                <w:bCs/>
                <w:color w:val="000000"/>
                <w:sz w:val="20"/>
                <w:szCs w:val="20"/>
              </w:rPr>
              <w:t>AV %</w:t>
            </w:r>
          </w:p>
        </w:tc>
        <w:tc>
          <w:tcPr>
            <w:tcW w:w="1520" w:type="dxa"/>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321750BC" w14:textId="77777777" w:rsidR="00886404" w:rsidRPr="00B000B6" w:rsidRDefault="00886404" w:rsidP="00BF715B">
            <w:pPr>
              <w:jc w:val="center"/>
              <w:rPr>
                <w:rFonts w:cs="Arial"/>
                <w:b/>
                <w:bCs/>
                <w:color w:val="000000"/>
                <w:sz w:val="20"/>
                <w:szCs w:val="20"/>
              </w:rPr>
            </w:pPr>
            <w:r w:rsidRPr="00B000B6">
              <w:rPr>
                <w:rFonts w:cs="Arial"/>
                <w:b/>
                <w:bCs/>
                <w:color w:val="000000"/>
                <w:sz w:val="20"/>
                <w:szCs w:val="20"/>
              </w:rPr>
              <w:t>Liquidada</w:t>
            </w:r>
          </w:p>
        </w:tc>
        <w:tc>
          <w:tcPr>
            <w:tcW w:w="1520" w:type="dxa"/>
            <w:tcBorders>
              <w:top w:val="single" w:sz="4" w:space="0" w:color="auto"/>
              <w:left w:val="nil"/>
              <w:bottom w:val="single" w:sz="4" w:space="0" w:color="auto"/>
              <w:right w:val="nil"/>
            </w:tcBorders>
            <w:shd w:val="clear" w:color="000000" w:fill="A1F2FD"/>
            <w:noWrap/>
            <w:vAlign w:val="center"/>
            <w:hideMark/>
          </w:tcPr>
          <w:p w14:paraId="4380FFE2" w14:textId="77777777" w:rsidR="00886404" w:rsidRPr="00B000B6" w:rsidRDefault="00886404" w:rsidP="00BF715B">
            <w:pPr>
              <w:jc w:val="center"/>
              <w:rPr>
                <w:rFonts w:cs="Arial"/>
                <w:b/>
                <w:bCs/>
                <w:color w:val="000000"/>
                <w:sz w:val="20"/>
                <w:szCs w:val="20"/>
              </w:rPr>
            </w:pPr>
            <w:r w:rsidRPr="00B000B6">
              <w:rPr>
                <w:rFonts w:cs="Arial"/>
                <w:b/>
                <w:bCs/>
                <w:color w:val="000000"/>
                <w:sz w:val="20"/>
                <w:szCs w:val="20"/>
              </w:rPr>
              <w:t>Paga</w:t>
            </w:r>
          </w:p>
        </w:tc>
      </w:tr>
      <w:tr w:rsidR="00886404" w:rsidRPr="00B000B6" w14:paraId="41D08647" w14:textId="77777777" w:rsidTr="00B000B6">
        <w:trPr>
          <w:trHeight w:val="340"/>
        </w:trPr>
        <w:tc>
          <w:tcPr>
            <w:tcW w:w="3980" w:type="dxa"/>
            <w:tcBorders>
              <w:top w:val="nil"/>
              <w:left w:val="nil"/>
              <w:bottom w:val="nil"/>
              <w:right w:val="nil"/>
            </w:tcBorders>
            <w:shd w:val="clear" w:color="auto" w:fill="auto"/>
            <w:noWrap/>
            <w:vAlign w:val="center"/>
            <w:hideMark/>
          </w:tcPr>
          <w:p w14:paraId="68AC2803" w14:textId="77777777" w:rsidR="00886404" w:rsidRPr="00B000B6" w:rsidRDefault="00886404" w:rsidP="00BF715B">
            <w:pPr>
              <w:jc w:val="left"/>
              <w:rPr>
                <w:rFonts w:cs="Arial"/>
                <w:b/>
                <w:bCs/>
                <w:color w:val="000000"/>
                <w:sz w:val="20"/>
                <w:szCs w:val="20"/>
              </w:rPr>
            </w:pPr>
            <w:r w:rsidRPr="00B000B6">
              <w:rPr>
                <w:rFonts w:cs="Arial"/>
                <w:b/>
                <w:bCs/>
                <w:color w:val="000000"/>
                <w:sz w:val="20"/>
                <w:szCs w:val="20"/>
              </w:rPr>
              <w:t>Profissionais da Educação Básica</w:t>
            </w:r>
          </w:p>
        </w:tc>
        <w:tc>
          <w:tcPr>
            <w:tcW w:w="1520" w:type="dxa"/>
            <w:tcBorders>
              <w:top w:val="nil"/>
              <w:left w:val="single" w:sz="4" w:space="0" w:color="auto"/>
              <w:bottom w:val="nil"/>
              <w:right w:val="single" w:sz="4" w:space="0" w:color="auto"/>
            </w:tcBorders>
            <w:shd w:val="clear" w:color="auto" w:fill="auto"/>
            <w:noWrap/>
            <w:vAlign w:val="center"/>
            <w:hideMark/>
          </w:tcPr>
          <w:p w14:paraId="2F87E437" w14:textId="77777777" w:rsidR="00886404" w:rsidRPr="00B000B6" w:rsidRDefault="00886404" w:rsidP="00BF715B">
            <w:pPr>
              <w:jc w:val="right"/>
              <w:rPr>
                <w:rFonts w:cs="Arial"/>
                <w:b/>
                <w:bCs/>
                <w:color w:val="000000"/>
                <w:sz w:val="20"/>
                <w:szCs w:val="20"/>
              </w:rPr>
            </w:pPr>
            <w:r w:rsidRPr="00B000B6">
              <w:rPr>
                <w:rFonts w:cs="Arial"/>
                <w:b/>
                <w:bCs/>
                <w:color w:val="000000"/>
                <w:sz w:val="20"/>
                <w:szCs w:val="20"/>
              </w:rPr>
              <w:t>2.485.597.963</w:t>
            </w:r>
          </w:p>
        </w:tc>
        <w:tc>
          <w:tcPr>
            <w:tcW w:w="900" w:type="dxa"/>
            <w:tcBorders>
              <w:top w:val="nil"/>
              <w:left w:val="nil"/>
              <w:bottom w:val="nil"/>
              <w:right w:val="nil"/>
            </w:tcBorders>
            <w:shd w:val="clear" w:color="auto" w:fill="auto"/>
            <w:noWrap/>
            <w:vAlign w:val="center"/>
            <w:hideMark/>
          </w:tcPr>
          <w:p w14:paraId="0B4AE5C1" w14:textId="77777777" w:rsidR="00886404" w:rsidRPr="00B000B6" w:rsidRDefault="00886404" w:rsidP="00BF715B">
            <w:pPr>
              <w:jc w:val="center"/>
              <w:rPr>
                <w:rFonts w:cs="Arial"/>
                <w:b/>
                <w:bCs/>
                <w:color w:val="000000"/>
                <w:sz w:val="20"/>
                <w:szCs w:val="20"/>
              </w:rPr>
            </w:pPr>
            <w:r w:rsidRPr="00B000B6">
              <w:rPr>
                <w:rFonts w:cs="Arial"/>
                <w:b/>
                <w:bCs/>
                <w:color w:val="000000"/>
                <w:sz w:val="20"/>
                <w:szCs w:val="20"/>
              </w:rPr>
              <w:t>72,40</w:t>
            </w:r>
          </w:p>
        </w:tc>
        <w:tc>
          <w:tcPr>
            <w:tcW w:w="1520" w:type="dxa"/>
            <w:tcBorders>
              <w:top w:val="nil"/>
              <w:left w:val="single" w:sz="4" w:space="0" w:color="auto"/>
              <w:bottom w:val="nil"/>
              <w:right w:val="single" w:sz="4" w:space="0" w:color="auto"/>
            </w:tcBorders>
            <w:shd w:val="clear" w:color="auto" w:fill="auto"/>
            <w:noWrap/>
            <w:vAlign w:val="center"/>
            <w:hideMark/>
          </w:tcPr>
          <w:p w14:paraId="535CD36F" w14:textId="77777777" w:rsidR="00886404" w:rsidRPr="00B000B6" w:rsidRDefault="00886404" w:rsidP="00BF715B">
            <w:pPr>
              <w:jc w:val="right"/>
              <w:rPr>
                <w:rFonts w:cs="Arial"/>
                <w:b/>
                <w:bCs/>
                <w:color w:val="000000"/>
                <w:sz w:val="20"/>
                <w:szCs w:val="20"/>
              </w:rPr>
            </w:pPr>
            <w:r w:rsidRPr="00B000B6">
              <w:rPr>
                <w:rFonts w:cs="Arial"/>
                <w:b/>
                <w:bCs/>
                <w:color w:val="000000"/>
                <w:sz w:val="20"/>
                <w:szCs w:val="20"/>
              </w:rPr>
              <w:t>2.485.597.963</w:t>
            </w:r>
          </w:p>
        </w:tc>
        <w:tc>
          <w:tcPr>
            <w:tcW w:w="1520" w:type="dxa"/>
            <w:tcBorders>
              <w:top w:val="nil"/>
              <w:left w:val="nil"/>
              <w:bottom w:val="nil"/>
              <w:right w:val="nil"/>
            </w:tcBorders>
            <w:shd w:val="clear" w:color="auto" w:fill="auto"/>
            <w:noWrap/>
            <w:vAlign w:val="center"/>
            <w:hideMark/>
          </w:tcPr>
          <w:p w14:paraId="2B283D9D" w14:textId="77777777" w:rsidR="00886404" w:rsidRPr="00B000B6" w:rsidRDefault="00886404" w:rsidP="00BF715B">
            <w:pPr>
              <w:jc w:val="right"/>
              <w:rPr>
                <w:rFonts w:cs="Arial"/>
                <w:b/>
                <w:bCs/>
                <w:color w:val="000000"/>
                <w:sz w:val="20"/>
                <w:szCs w:val="20"/>
              </w:rPr>
            </w:pPr>
            <w:r w:rsidRPr="00B000B6">
              <w:rPr>
                <w:rFonts w:cs="Arial"/>
                <w:b/>
                <w:bCs/>
                <w:color w:val="000000"/>
                <w:sz w:val="20"/>
                <w:szCs w:val="20"/>
              </w:rPr>
              <w:t>2.485.597.663</w:t>
            </w:r>
          </w:p>
        </w:tc>
      </w:tr>
      <w:tr w:rsidR="00886404" w:rsidRPr="00B000B6" w14:paraId="19FEC7E9" w14:textId="77777777" w:rsidTr="00B000B6">
        <w:trPr>
          <w:trHeight w:val="340"/>
        </w:trPr>
        <w:tc>
          <w:tcPr>
            <w:tcW w:w="3980" w:type="dxa"/>
            <w:tcBorders>
              <w:top w:val="nil"/>
              <w:left w:val="nil"/>
              <w:bottom w:val="nil"/>
              <w:right w:val="nil"/>
            </w:tcBorders>
            <w:shd w:val="clear" w:color="auto" w:fill="auto"/>
            <w:noWrap/>
            <w:vAlign w:val="center"/>
            <w:hideMark/>
          </w:tcPr>
          <w:p w14:paraId="77BC2E40" w14:textId="77777777" w:rsidR="00886404" w:rsidRPr="00B000B6" w:rsidRDefault="00886404" w:rsidP="00BF715B">
            <w:pPr>
              <w:ind w:left="219"/>
              <w:jc w:val="left"/>
              <w:rPr>
                <w:rFonts w:cs="Arial"/>
                <w:color w:val="000000"/>
                <w:sz w:val="20"/>
                <w:szCs w:val="20"/>
              </w:rPr>
            </w:pPr>
            <w:r w:rsidRPr="00B000B6">
              <w:rPr>
                <w:rFonts w:cs="Arial"/>
                <w:color w:val="000000"/>
                <w:sz w:val="20"/>
                <w:szCs w:val="20"/>
              </w:rPr>
              <w:t>Ensino Fundamental</w:t>
            </w:r>
          </w:p>
        </w:tc>
        <w:tc>
          <w:tcPr>
            <w:tcW w:w="1520" w:type="dxa"/>
            <w:tcBorders>
              <w:top w:val="nil"/>
              <w:left w:val="single" w:sz="4" w:space="0" w:color="auto"/>
              <w:bottom w:val="nil"/>
              <w:right w:val="single" w:sz="4" w:space="0" w:color="auto"/>
            </w:tcBorders>
            <w:shd w:val="clear" w:color="auto" w:fill="auto"/>
            <w:noWrap/>
            <w:vAlign w:val="center"/>
            <w:hideMark/>
          </w:tcPr>
          <w:p w14:paraId="09475300" w14:textId="77777777" w:rsidR="00886404" w:rsidRPr="00B000B6" w:rsidRDefault="00886404" w:rsidP="00BF715B">
            <w:pPr>
              <w:jc w:val="right"/>
              <w:rPr>
                <w:rFonts w:cs="Arial"/>
                <w:color w:val="000000"/>
                <w:sz w:val="20"/>
                <w:szCs w:val="20"/>
              </w:rPr>
            </w:pPr>
            <w:r w:rsidRPr="00B000B6">
              <w:rPr>
                <w:rFonts w:cs="Arial"/>
                <w:color w:val="000000"/>
                <w:sz w:val="20"/>
                <w:szCs w:val="20"/>
              </w:rPr>
              <w:t>1.215.384.375</w:t>
            </w:r>
          </w:p>
        </w:tc>
        <w:tc>
          <w:tcPr>
            <w:tcW w:w="900" w:type="dxa"/>
            <w:tcBorders>
              <w:top w:val="nil"/>
              <w:left w:val="nil"/>
              <w:bottom w:val="nil"/>
              <w:right w:val="nil"/>
            </w:tcBorders>
            <w:shd w:val="clear" w:color="auto" w:fill="auto"/>
            <w:noWrap/>
            <w:vAlign w:val="center"/>
            <w:hideMark/>
          </w:tcPr>
          <w:p w14:paraId="1047E352" w14:textId="77777777" w:rsidR="00886404" w:rsidRPr="00B000B6" w:rsidRDefault="00886404" w:rsidP="00BF715B">
            <w:pPr>
              <w:jc w:val="center"/>
              <w:rPr>
                <w:rFonts w:cs="Arial"/>
                <w:color w:val="000000"/>
                <w:sz w:val="20"/>
                <w:szCs w:val="20"/>
              </w:rPr>
            </w:pPr>
            <w:r w:rsidRPr="00B000B6">
              <w:rPr>
                <w:rFonts w:cs="Arial"/>
                <w:color w:val="000000"/>
                <w:sz w:val="20"/>
                <w:szCs w:val="20"/>
              </w:rPr>
              <w:t>35,40</w:t>
            </w:r>
          </w:p>
        </w:tc>
        <w:tc>
          <w:tcPr>
            <w:tcW w:w="1520" w:type="dxa"/>
            <w:tcBorders>
              <w:top w:val="nil"/>
              <w:left w:val="single" w:sz="4" w:space="0" w:color="auto"/>
              <w:bottom w:val="nil"/>
              <w:right w:val="single" w:sz="4" w:space="0" w:color="auto"/>
            </w:tcBorders>
            <w:shd w:val="clear" w:color="auto" w:fill="auto"/>
            <w:noWrap/>
            <w:vAlign w:val="center"/>
            <w:hideMark/>
          </w:tcPr>
          <w:p w14:paraId="30E87CBC" w14:textId="77777777" w:rsidR="00886404" w:rsidRPr="00B000B6" w:rsidRDefault="00886404" w:rsidP="00BF715B">
            <w:pPr>
              <w:jc w:val="right"/>
              <w:rPr>
                <w:rFonts w:cs="Arial"/>
                <w:color w:val="000000"/>
                <w:sz w:val="20"/>
                <w:szCs w:val="20"/>
              </w:rPr>
            </w:pPr>
            <w:r w:rsidRPr="00B000B6">
              <w:rPr>
                <w:rFonts w:cs="Arial"/>
                <w:color w:val="000000"/>
                <w:sz w:val="20"/>
                <w:szCs w:val="20"/>
              </w:rPr>
              <w:t>1.215.384.375</w:t>
            </w:r>
          </w:p>
        </w:tc>
        <w:tc>
          <w:tcPr>
            <w:tcW w:w="1520" w:type="dxa"/>
            <w:tcBorders>
              <w:top w:val="nil"/>
              <w:left w:val="nil"/>
              <w:bottom w:val="nil"/>
              <w:right w:val="nil"/>
            </w:tcBorders>
            <w:shd w:val="clear" w:color="auto" w:fill="auto"/>
            <w:noWrap/>
            <w:vAlign w:val="center"/>
            <w:hideMark/>
          </w:tcPr>
          <w:p w14:paraId="6205F7C2" w14:textId="77777777" w:rsidR="00886404" w:rsidRPr="00B000B6" w:rsidRDefault="00886404" w:rsidP="00BF715B">
            <w:pPr>
              <w:jc w:val="right"/>
              <w:rPr>
                <w:rFonts w:cs="Arial"/>
                <w:color w:val="000000"/>
                <w:sz w:val="20"/>
                <w:szCs w:val="20"/>
              </w:rPr>
            </w:pPr>
            <w:r w:rsidRPr="00B000B6">
              <w:rPr>
                <w:rFonts w:cs="Arial"/>
                <w:color w:val="000000"/>
                <w:sz w:val="20"/>
                <w:szCs w:val="20"/>
              </w:rPr>
              <w:t>1.215.384.228</w:t>
            </w:r>
          </w:p>
        </w:tc>
      </w:tr>
      <w:tr w:rsidR="00886404" w:rsidRPr="00B000B6" w14:paraId="3AFAB258" w14:textId="77777777" w:rsidTr="00B000B6">
        <w:trPr>
          <w:trHeight w:val="340"/>
        </w:trPr>
        <w:tc>
          <w:tcPr>
            <w:tcW w:w="3980" w:type="dxa"/>
            <w:tcBorders>
              <w:top w:val="nil"/>
              <w:left w:val="nil"/>
              <w:bottom w:val="nil"/>
              <w:right w:val="nil"/>
            </w:tcBorders>
            <w:shd w:val="clear" w:color="auto" w:fill="auto"/>
            <w:noWrap/>
            <w:vAlign w:val="center"/>
            <w:hideMark/>
          </w:tcPr>
          <w:p w14:paraId="5E4807D7" w14:textId="77777777" w:rsidR="00886404" w:rsidRPr="00B000B6" w:rsidRDefault="00886404" w:rsidP="00BF715B">
            <w:pPr>
              <w:ind w:left="219"/>
              <w:jc w:val="left"/>
              <w:rPr>
                <w:rFonts w:cs="Arial"/>
                <w:color w:val="000000"/>
                <w:sz w:val="20"/>
                <w:szCs w:val="20"/>
              </w:rPr>
            </w:pPr>
            <w:r w:rsidRPr="00B000B6">
              <w:rPr>
                <w:rFonts w:cs="Arial"/>
                <w:color w:val="000000"/>
                <w:sz w:val="20"/>
                <w:szCs w:val="20"/>
              </w:rPr>
              <w:t>Ensino Médio</w:t>
            </w:r>
          </w:p>
        </w:tc>
        <w:tc>
          <w:tcPr>
            <w:tcW w:w="1520" w:type="dxa"/>
            <w:tcBorders>
              <w:top w:val="nil"/>
              <w:left w:val="single" w:sz="4" w:space="0" w:color="auto"/>
              <w:bottom w:val="nil"/>
              <w:right w:val="single" w:sz="4" w:space="0" w:color="auto"/>
            </w:tcBorders>
            <w:shd w:val="clear" w:color="auto" w:fill="auto"/>
            <w:noWrap/>
            <w:vAlign w:val="center"/>
            <w:hideMark/>
          </w:tcPr>
          <w:p w14:paraId="0C61A6EA" w14:textId="77777777" w:rsidR="00886404" w:rsidRPr="00B000B6" w:rsidRDefault="00886404" w:rsidP="00BF715B">
            <w:pPr>
              <w:jc w:val="right"/>
              <w:rPr>
                <w:rFonts w:cs="Arial"/>
                <w:color w:val="000000"/>
                <w:sz w:val="20"/>
                <w:szCs w:val="20"/>
              </w:rPr>
            </w:pPr>
            <w:r w:rsidRPr="00B000B6">
              <w:rPr>
                <w:rFonts w:cs="Arial"/>
                <w:color w:val="000000"/>
                <w:sz w:val="20"/>
                <w:szCs w:val="20"/>
              </w:rPr>
              <w:t>1.122.389.625</w:t>
            </w:r>
          </w:p>
        </w:tc>
        <w:tc>
          <w:tcPr>
            <w:tcW w:w="900" w:type="dxa"/>
            <w:tcBorders>
              <w:top w:val="nil"/>
              <w:left w:val="nil"/>
              <w:bottom w:val="nil"/>
              <w:right w:val="nil"/>
            </w:tcBorders>
            <w:shd w:val="clear" w:color="auto" w:fill="auto"/>
            <w:noWrap/>
            <w:vAlign w:val="center"/>
            <w:hideMark/>
          </w:tcPr>
          <w:p w14:paraId="194D1063" w14:textId="77777777" w:rsidR="00886404" w:rsidRPr="00B000B6" w:rsidRDefault="00886404" w:rsidP="00BF715B">
            <w:pPr>
              <w:jc w:val="center"/>
              <w:rPr>
                <w:rFonts w:cs="Arial"/>
                <w:color w:val="000000"/>
                <w:sz w:val="20"/>
                <w:szCs w:val="20"/>
              </w:rPr>
            </w:pPr>
            <w:r w:rsidRPr="00B000B6">
              <w:rPr>
                <w:rFonts w:cs="Arial"/>
                <w:color w:val="000000"/>
                <w:sz w:val="20"/>
                <w:szCs w:val="20"/>
              </w:rPr>
              <w:t>32,69</w:t>
            </w:r>
          </w:p>
        </w:tc>
        <w:tc>
          <w:tcPr>
            <w:tcW w:w="1520" w:type="dxa"/>
            <w:tcBorders>
              <w:top w:val="nil"/>
              <w:left w:val="single" w:sz="4" w:space="0" w:color="auto"/>
              <w:bottom w:val="nil"/>
              <w:right w:val="single" w:sz="4" w:space="0" w:color="auto"/>
            </w:tcBorders>
            <w:shd w:val="clear" w:color="auto" w:fill="auto"/>
            <w:noWrap/>
            <w:vAlign w:val="center"/>
            <w:hideMark/>
          </w:tcPr>
          <w:p w14:paraId="3C7A7457" w14:textId="77777777" w:rsidR="00886404" w:rsidRPr="00B000B6" w:rsidRDefault="00886404" w:rsidP="00BF715B">
            <w:pPr>
              <w:jc w:val="right"/>
              <w:rPr>
                <w:rFonts w:cs="Arial"/>
                <w:color w:val="000000"/>
                <w:sz w:val="20"/>
                <w:szCs w:val="20"/>
              </w:rPr>
            </w:pPr>
            <w:r w:rsidRPr="00B000B6">
              <w:rPr>
                <w:rFonts w:cs="Arial"/>
                <w:color w:val="000000"/>
                <w:sz w:val="20"/>
                <w:szCs w:val="20"/>
              </w:rPr>
              <w:t>1.122.389.625</w:t>
            </w:r>
          </w:p>
        </w:tc>
        <w:tc>
          <w:tcPr>
            <w:tcW w:w="1520" w:type="dxa"/>
            <w:tcBorders>
              <w:top w:val="nil"/>
              <w:left w:val="nil"/>
              <w:bottom w:val="nil"/>
              <w:right w:val="nil"/>
            </w:tcBorders>
            <w:shd w:val="clear" w:color="auto" w:fill="auto"/>
            <w:noWrap/>
            <w:vAlign w:val="center"/>
            <w:hideMark/>
          </w:tcPr>
          <w:p w14:paraId="40CE074B" w14:textId="77777777" w:rsidR="00886404" w:rsidRPr="00B000B6" w:rsidRDefault="00886404" w:rsidP="00BF715B">
            <w:pPr>
              <w:jc w:val="right"/>
              <w:rPr>
                <w:rFonts w:cs="Arial"/>
                <w:color w:val="000000"/>
                <w:sz w:val="20"/>
                <w:szCs w:val="20"/>
              </w:rPr>
            </w:pPr>
            <w:r w:rsidRPr="00B000B6">
              <w:rPr>
                <w:rFonts w:cs="Arial"/>
                <w:color w:val="000000"/>
                <w:sz w:val="20"/>
                <w:szCs w:val="20"/>
              </w:rPr>
              <w:t>1.122.389.490</w:t>
            </w:r>
          </w:p>
        </w:tc>
      </w:tr>
      <w:tr w:rsidR="00886404" w:rsidRPr="00B000B6" w14:paraId="24039DEA" w14:textId="77777777" w:rsidTr="00B000B6">
        <w:trPr>
          <w:trHeight w:val="340"/>
        </w:trPr>
        <w:tc>
          <w:tcPr>
            <w:tcW w:w="3980" w:type="dxa"/>
            <w:tcBorders>
              <w:top w:val="nil"/>
              <w:left w:val="nil"/>
              <w:bottom w:val="nil"/>
              <w:right w:val="nil"/>
            </w:tcBorders>
            <w:shd w:val="clear" w:color="auto" w:fill="auto"/>
            <w:noWrap/>
            <w:vAlign w:val="center"/>
            <w:hideMark/>
          </w:tcPr>
          <w:p w14:paraId="3E98BB9A" w14:textId="77777777" w:rsidR="00886404" w:rsidRPr="00B000B6" w:rsidRDefault="00886404" w:rsidP="00BF715B">
            <w:pPr>
              <w:ind w:left="219"/>
              <w:jc w:val="left"/>
              <w:rPr>
                <w:rFonts w:cs="Arial"/>
                <w:color w:val="000000"/>
                <w:sz w:val="20"/>
                <w:szCs w:val="20"/>
              </w:rPr>
            </w:pPr>
            <w:r w:rsidRPr="00B000B6">
              <w:rPr>
                <w:rFonts w:cs="Arial"/>
                <w:color w:val="000000"/>
                <w:sz w:val="20"/>
                <w:szCs w:val="20"/>
              </w:rPr>
              <w:t>Educação de Jovens e Adultos</w:t>
            </w:r>
          </w:p>
        </w:tc>
        <w:tc>
          <w:tcPr>
            <w:tcW w:w="1520" w:type="dxa"/>
            <w:tcBorders>
              <w:top w:val="nil"/>
              <w:left w:val="single" w:sz="4" w:space="0" w:color="auto"/>
              <w:bottom w:val="nil"/>
              <w:right w:val="single" w:sz="4" w:space="0" w:color="auto"/>
            </w:tcBorders>
            <w:shd w:val="clear" w:color="auto" w:fill="auto"/>
            <w:noWrap/>
            <w:vAlign w:val="center"/>
            <w:hideMark/>
          </w:tcPr>
          <w:p w14:paraId="0461D06D" w14:textId="77777777" w:rsidR="00886404" w:rsidRPr="00B000B6" w:rsidRDefault="00886404" w:rsidP="00BF715B">
            <w:pPr>
              <w:jc w:val="right"/>
              <w:rPr>
                <w:rFonts w:cs="Arial"/>
                <w:color w:val="000000"/>
                <w:sz w:val="20"/>
                <w:szCs w:val="20"/>
              </w:rPr>
            </w:pPr>
            <w:r w:rsidRPr="00B000B6">
              <w:rPr>
                <w:rFonts w:cs="Arial"/>
                <w:color w:val="000000"/>
                <w:sz w:val="20"/>
                <w:szCs w:val="20"/>
              </w:rPr>
              <w:t>144.013.639</w:t>
            </w:r>
          </w:p>
        </w:tc>
        <w:tc>
          <w:tcPr>
            <w:tcW w:w="900" w:type="dxa"/>
            <w:tcBorders>
              <w:top w:val="nil"/>
              <w:left w:val="nil"/>
              <w:bottom w:val="nil"/>
              <w:right w:val="nil"/>
            </w:tcBorders>
            <w:shd w:val="clear" w:color="auto" w:fill="auto"/>
            <w:noWrap/>
            <w:vAlign w:val="center"/>
            <w:hideMark/>
          </w:tcPr>
          <w:p w14:paraId="37859208" w14:textId="77777777" w:rsidR="00886404" w:rsidRPr="00B000B6" w:rsidRDefault="00886404" w:rsidP="00BF715B">
            <w:pPr>
              <w:jc w:val="center"/>
              <w:rPr>
                <w:rFonts w:cs="Arial"/>
                <w:color w:val="000000"/>
                <w:sz w:val="20"/>
                <w:szCs w:val="20"/>
              </w:rPr>
            </w:pPr>
            <w:r w:rsidRPr="00B000B6">
              <w:rPr>
                <w:rFonts w:cs="Arial"/>
                <w:color w:val="000000"/>
                <w:sz w:val="20"/>
                <w:szCs w:val="20"/>
              </w:rPr>
              <w:t>4,19</w:t>
            </w:r>
          </w:p>
        </w:tc>
        <w:tc>
          <w:tcPr>
            <w:tcW w:w="1520" w:type="dxa"/>
            <w:tcBorders>
              <w:top w:val="nil"/>
              <w:left w:val="single" w:sz="4" w:space="0" w:color="auto"/>
              <w:bottom w:val="nil"/>
              <w:right w:val="single" w:sz="4" w:space="0" w:color="auto"/>
            </w:tcBorders>
            <w:shd w:val="clear" w:color="auto" w:fill="auto"/>
            <w:noWrap/>
            <w:vAlign w:val="center"/>
            <w:hideMark/>
          </w:tcPr>
          <w:p w14:paraId="1A400BBC" w14:textId="77777777" w:rsidR="00886404" w:rsidRPr="00B000B6" w:rsidRDefault="00886404" w:rsidP="00BF715B">
            <w:pPr>
              <w:jc w:val="right"/>
              <w:rPr>
                <w:rFonts w:cs="Arial"/>
                <w:color w:val="000000"/>
                <w:sz w:val="20"/>
                <w:szCs w:val="20"/>
              </w:rPr>
            </w:pPr>
            <w:r w:rsidRPr="00B000B6">
              <w:rPr>
                <w:rFonts w:cs="Arial"/>
                <w:color w:val="000000"/>
                <w:sz w:val="20"/>
                <w:szCs w:val="20"/>
              </w:rPr>
              <w:t>144.013.639</w:t>
            </w:r>
          </w:p>
        </w:tc>
        <w:tc>
          <w:tcPr>
            <w:tcW w:w="1520" w:type="dxa"/>
            <w:tcBorders>
              <w:top w:val="nil"/>
              <w:left w:val="nil"/>
              <w:bottom w:val="nil"/>
              <w:right w:val="nil"/>
            </w:tcBorders>
            <w:shd w:val="clear" w:color="auto" w:fill="auto"/>
            <w:noWrap/>
            <w:vAlign w:val="center"/>
            <w:hideMark/>
          </w:tcPr>
          <w:p w14:paraId="260EE212" w14:textId="77777777" w:rsidR="00886404" w:rsidRPr="00B000B6" w:rsidRDefault="00886404" w:rsidP="00BF715B">
            <w:pPr>
              <w:jc w:val="right"/>
              <w:rPr>
                <w:rFonts w:cs="Arial"/>
                <w:color w:val="000000"/>
                <w:sz w:val="20"/>
                <w:szCs w:val="20"/>
              </w:rPr>
            </w:pPr>
            <w:r w:rsidRPr="00B000B6">
              <w:rPr>
                <w:rFonts w:cs="Arial"/>
                <w:color w:val="000000"/>
                <w:sz w:val="20"/>
                <w:szCs w:val="20"/>
              </w:rPr>
              <w:t>144.013.622</w:t>
            </w:r>
          </w:p>
        </w:tc>
      </w:tr>
      <w:tr w:rsidR="00886404" w:rsidRPr="00B000B6" w14:paraId="0F994645" w14:textId="77777777" w:rsidTr="00B000B6">
        <w:trPr>
          <w:trHeight w:val="340"/>
        </w:trPr>
        <w:tc>
          <w:tcPr>
            <w:tcW w:w="3980" w:type="dxa"/>
            <w:tcBorders>
              <w:top w:val="nil"/>
              <w:left w:val="nil"/>
              <w:bottom w:val="nil"/>
              <w:right w:val="nil"/>
            </w:tcBorders>
            <w:shd w:val="clear" w:color="auto" w:fill="auto"/>
            <w:noWrap/>
            <w:vAlign w:val="center"/>
            <w:hideMark/>
          </w:tcPr>
          <w:p w14:paraId="39CDD786" w14:textId="77777777" w:rsidR="00886404" w:rsidRPr="00B000B6" w:rsidRDefault="00886404" w:rsidP="00BF715B">
            <w:pPr>
              <w:ind w:left="219"/>
              <w:jc w:val="left"/>
              <w:rPr>
                <w:rFonts w:cs="Arial"/>
                <w:color w:val="000000"/>
                <w:sz w:val="20"/>
                <w:szCs w:val="20"/>
              </w:rPr>
            </w:pPr>
            <w:r w:rsidRPr="00B000B6">
              <w:rPr>
                <w:rFonts w:cs="Arial"/>
                <w:color w:val="000000"/>
                <w:sz w:val="20"/>
                <w:szCs w:val="20"/>
              </w:rPr>
              <w:t>Educação Especial</w:t>
            </w:r>
          </w:p>
        </w:tc>
        <w:tc>
          <w:tcPr>
            <w:tcW w:w="1520" w:type="dxa"/>
            <w:tcBorders>
              <w:top w:val="nil"/>
              <w:left w:val="single" w:sz="4" w:space="0" w:color="auto"/>
              <w:bottom w:val="nil"/>
              <w:right w:val="single" w:sz="4" w:space="0" w:color="auto"/>
            </w:tcBorders>
            <w:shd w:val="clear" w:color="auto" w:fill="auto"/>
            <w:noWrap/>
            <w:vAlign w:val="center"/>
            <w:hideMark/>
          </w:tcPr>
          <w:p w14:paraId="28D20E64" w14:textId="77777777" w:rsidR="00886404" w:rsidRPr="00B000B6" w:rsidRDefault="00886404" w:rsidP="00BF715B">
            <w:pPr>
              <w:jc w:val="right"/>
              <w:rPr>
                <w:rFonts w:cs="Arial"/>
                <w:color w:val="000000"/>
                <w:sz w:val="20"/>
                <w:szCs w:val="20"/>
              </w:rPr>
            </w:pPr>
            <w:r w:rsidRPr="00B000B6">
              <w:rPr>
                <w:rFonts w:cs="Arial"/>
                <w:color w:val="000000"/>
                <w:sz w:val="20"/>
                <w:szCs w:val="20"/>
              </w:rPr>
              <w:t>3.810.324</w:t>
            </w:r>
          </w:p>
        </w:tc>
        <w:tc>
          <w:tcPr>
            <w:tcW w:w="900" w:type="dxa"/>
            <w:tcBorders>
              <w:top w:val="nil"/>
              <w:left w:val="nil"/>
              <w:bottom w:val="nil"/>
              <w:right w:val="nil"/>
            </w:tcBorders>
            <w:shd w:val="clear" w:color="auto" w:fill="auto"/>
            <w:noWrap/>
            <w:vAlign w:val="center"/>
            <w:hideMark/>
          </w:tcPr>
          <w:p w14:paraId="1D7EDC96" w14:textId="77777777" w:rsidR="00886404" w:rsidRPr="00B000B6" w:rsidRDefault="00886404" w:rsidP="00BF715B">
            <w:pPr>
              <w:jc w:val="center"/>
              <w:rPr>
                <w:rFonts w:cs="Arial"/>
                <w:color w:val="000000"/>
                <w:sz w:val="20"/>
                <w:szCs w:val="20"/>
              </w:rPr>
            </w:pPr>
            <w:r w:rsidRPr="00B000B6">
              <w:rPr>
                <w:rFonts w:cs="Arial"/>
                <w:color w:val="000000"/>
                <w:sz w:val="20"/>
                <w:szCs w:val="20"/>
              </w:rPr>
              <w:t>0,11</w:t>
            </w:r>
          </w:p>
        </w:tc>
        <w:tc>
          <w:tcPr>
            <w:tcW w:w="1520" w:type="dxa"/>
            <w:tcBorders>
              <w:top w:val="nil"/>
              <w:left w:val="single" w:sz="4" w:space="0" w:color="auto"/>
              <w:bottom w:val="nil"/>
              <w:right w:val="single" w:sz="4" w:space="0" w:color="auto"/>
            </w:tcBorders>
            <w:shd w:val="clear" w:color="auto" w:fill="auto"/>
            <w:noWrap/>
            <w:vAlign w:val="center"/>
            <w:hideMark/>
          </w:tcPr>
          <w:p w14:paraId="26E11A32" w14:textId="77777777" w:rsidR="00886404" w:rsidRPr="00B000B6" w:rsidRDefault="00886404" w:rsidP="00BF715B">
            <w:pPr>
              <w:jc w:val="right"/>
              <w:rPr>
                <w:rFonts w:cs="Arial"/>
                <w:color w:val="000000"/>
                <w:sz w:val="20"/>
                <w:szCs w:val="20"/>
              </w:rPr>
            </w:pPr>
            <w:r w:rsidRPr="00B000B6">
              <w:rPr>
                <w:rFonts w:cs="Arial"/>
                <w:color w:val="000000"/>
                <w:sz w:val="20"/>
                <w:szCs w:val="20"/>
              </w:rPr>
              <w:t>3.810.324</w:t>
            </w:r>
          </w:p>
        </w:tc>
        <w:tc>
          <w:tcPr>
            <w:tcW w:w="1520" w:type="dxa"/>
            <w:tcBorders>
              <w:top w:val="nil"/>
              <w:left w:val="nil"/>
              <w:bottom w:val="nil"/>
              <w:right w:val="nil"/>
            </w:tcBorders>
            <w:shd w:val="clear" w:color="auto" w:fill="auto"/>
            <w:noWrap/>
            <w:vAlign w:val="center"/>
            <w:hideMark/>
          </w:tcPr>
          <w:p w14:paraId="24B6B061" w14:textId="77777777" w:rsidR="00886404" w:rsidRPr="00B000B6" w:rsidRDefault="00886404" w:rsidP="00BF715B">
            <w:pPr>
              <w:jc w:val="right"/>
              <w:rPr>
                <w:rFonts w:cs="Arial"/>
                <w:color w:val="000000"/>
                <w:sz w:val="20"/>
                <w:szCs w:val="20"/>
              </w:rPr>
            </w:pPr>
            <w:r w:rsidRPr="00B000B6">
              <w:rPr>
                <w:rFonts w:cs="Arial"/>
                <w:color w:val="000000"/>
                <w:sz w:val="20"/>
                <w:szCs w:val="20"/>
              </w:rPr>
              <w:t>3.810.324</w:t>
            </w:r>
          </w:p>
        </w:tc>
      </w:tr>
      <w:tr w:rsidR="00886404" w:rsidRPr="00B000B6" w14:paraId="161A74AE" w14:textId="77777777" w:rsidTr="00B000B6">
        <w:trPr>
          <w:trHeight w:val="340"/>
        </w:trPr>
        <w:tc>
          <w:tcPr>
            <w:tcW w:w="3980" w:type="dxa"/>
            <w:tcBorders>
              <w:top w:val="nil"/>
              <w:left w:val="nil"/>
              <w:bottom w:val="nil"/>
              <w:right w:val="nil"/>
            </w:tcBorders>
            <w:shd w:val="clear" w:color="auto" w:fill="auto"/>
            <w:noWrap/>
            <w:vAlign w:val="center"/>
            <w:hideMark/>
          </w:tcPr>
          <w:p w14:paraId="06296E0E" w14:textId="77777777" w:rsidR="00886404" w:rsidRPr="00B000B6" w:rsidRDefault="00886404" w:rsidP="00BF715B">
            <w:pPr>
              <w:jc w:val="left"/>
              <w:rPr>
                <w:rFonts w:cs="Arial"/>
                <w:b/>
                <w:bCs/>
                <w:color w:val="000000"/>
                <w:sz w:val="20"/>
                <w:szCs w:val="20"/>
              </w:rPr>
            </w:pPr>
            <w:r w:rsidRPr="00B000B6">
              <w:rPr>
                <w:rFonts w:cs="Arial"/>
                <w:b/>
                <w:bCs/>
                <w:color w:val="000000"/>
                <w:sz w:val="20"/>
                <w:szCs w:val="20"/>
              </w:rPr>
              <w:lastRenderedPageBreak/>
              <w:t>Outras Despesas</w:t>
            </w:r>
          </w:p>
        </w:tc>
        <w:tc>
          <w:tcPr>
            <w:tcW w:w="1520" w:type="dxa"/>
            <w:tcBorders>
              <w:top w:val="nil"/>
              <w:left w:val="single" w:sz="4" w:space="0" w:color="auto"/>
              <w:bottom w:val="nil"/>
              <w:right w:val="single" w:sz="4" w:space="0" w:color="auto"/>
            </w:tcBorders>
            <w:shd w:val="clear" w:color="auto" w:fill="auto"/>
            <w:noWrap/>
            <w:vAlign w:val="center"/>
            <w:hideMark/>
          </w:tcPr>
          <w:p w14:paraId="7E6FD045" w14:textId="77777777" w:rsidR="00886404" w:rsidRPr="00B000B6" w:rsidRDefault="00886404" w:rsidP="00BF715B">
            <w:pPr>
              <w:jc w:val="right"/>
              <w:rPr>
                <w:rFonts w:cs="Arial"/>
                <w:b/>
                <w:bCs/>
                <w:color w:val="000000"/>
                <w:sz w:val="20"/>
                <w:szCs w:val="20"/>
              </w:rPr>
            </w:pPr>
            <w:r w:rsidRPr="00B000B6">
              <w:rPr>
                <w:rFonts w:cs="Arial"/>
                <w:b/>
                <w:bCs/>
                <w:color w:val="000000"/>
                <w:sz w:val="20"/>
                <w:szCs w:val="20"/>
              </w:rPr>
              <w:t>947.747.152</w:t>
            </w:r>
          </w:p>
        </w:tc>
        <w:tc>
          <w:tcPr>
            <w:tcW w:w="900" w:type="dxa"/>
            <w:tcBorders>
              <w:top w:val="nil"/>
              <w:left w:val="nil"/>
              <w:bottom w:val="nil"/>
              <w:right w:val="nil"/>
            </w:tcBorders>
            <w:shd w:val="clear" w:color="auto" w:fill="auto"/>
            <w:noWrap/>
            <w:vAlign w:val="center"/>
            <w:hideMark/>
          </w:tcPr>
          <w:p w14:paraId="2295E852" w14:textId="77777777" w:rsidR="00886404" w:rsidRPr="00B000B6" w:rsidRDefault="00886404" w:rsidP="00BF715B">
            <w:pPr>
              <w:jc w:val="center"/>
              <w:rPr>
                <w:rFonts w:cs="Arial"/>
                <w:b/>
                <w:bCs/>
                <w:color w:val="000000"/>
                <w:sz w:val="20"/>
                <w:szCs w:val="20"/>
              </w:rPr>
            </w:pPr>
            <w:r w:rsidRPr="00B000B6">
              <w:rPr>
                <w:rFonts w:cs="Arial"/>
                <w:b/>
                <w:bCs/>
                <w:color w:val="000000"/>
                <w:sz w:val="20"/>
                <w:szCs w:val="20"/>
              </w:rPr>
              <w:t>27,60</w:t>
            </w:r>
          </w:p>
        </w:tc>
        <w:tc>
          <w:tcPr>
            <w:tcW w:w="1520" w:type="dxa"/>
            <w:tcBorders>
              <w:top w:val="nil"/>
              <w:left w:val="single" w:sz="4" w:space="0" w:color="auto"/>
              <w:bottom w:val="nil"/>
              <w:right w:val="single" w:sz="4" w:space="0" w:color="auto"/>
            </w:tcBorders>
            <w:shd w:val="clear" w:color="auto" w:fill="auto"/>
            <w:noWrap/>
            <w:vAlign w:val="center"/>
            <w:hideMark/>
          </w:tcPr>
          <w:p w14:paraId="6BFE5200" w14:textId="77777777" w:rsidR="00886404" w:rsidRPr="00B000B6" w:rsidRDefault="00886404" w:rsidP="00BF715B">
            <w:pPr>
              <w:jc w:val="right"/>
              <w:rPr>
                <w:rFonts w:cs="Arial"/>
                <w:b/>
                <w:bCs/>
                <w:color w:val="000000"/>
                <w:sz w:val="20"/>
                <w:szCs w:val="20"/>
              </w:rPr>
            </w:pPr>
            <w:r w:rsidRPr="00B000B6">
              <w:rPr>
                <w:rFonts w:cs="Arial"/>
                <w:b/>
                <w:bCs/>
                <w:color w:val="000000"/>
                <w:sz w:val="20"/>
                <w:szCs w:val="20"/>
              </w:rPr>
              <w:t>942.939.088</w:t>
            </w:r>
          </w:p>
        </w:tc>
        <w:tc>
          <w:tcPr>
            <w:tcW w:w="1520" w:type="dxa"/>
            <w:tcBorders>
              <w:top w:val="nil"/>
              <w:left w:val="nil"/>
              <w:bottom w:val="nil"/>
              <w:right w:val="nil"/>
            </w:tcBorders>
            <w:shd w:val="clear" w:color="auto" w:fill="auto"/>
            <w:noWrap/>
            <w:vAlign w:val="center"/>
            <w:hideMark/>
          </w:tcPr>
          <w:p w14:paraId="169CBD64" w14:textId="77777777" w:rsidR="00886404" w:rsidRPr="00B000B6" w:rsidRDefault="00886404" w:rsidP="00BF715B">
            <w:pPr>
              <w:jc w:val="right"/>
              <w:rPr>
                <w:rFonts w:cs="Arial"/>
                <w:b/>
                <w:bCs/>
                <w:color w:val="000000"/>
                <w:sz w:val="20"/>
                <w:szCs w:val="20"/>
              </w:rPr>
            </w:pPr>
            <w:r w:rsidRPr="00B000B6">
              <w:rPr>
                <w:rFonts w:cs="Arial"/>
                <w:b/>
                <w:bCs/>
                <w:color w:val="000000"/>
                <w:sz w:val="20"/>
                <w:szCs w:val="20"/>
              </w:rPr>
              <w:t>937.550.493</w:t>
            </w:r>
          </w:p>
        </w:tc>
      </w:tr>
      <w:tr w:rsidR="00886404" w:rsidRPr="00B000B6" w14:paraId="61BD2DB1" w14:textId="77777777" w:rsidTr="00B000B6">
        <w:trPr>
          <w:trHeight w:val="340"/>
        </w:trPr>
        <w:tc>
          <w:tcPr>
            <w:tcW w:w="3980" w:type="dxa"/>
            <w:tcBorders>
              <w:top w:val="nil"/>
              <w:left w:val="nil"/>
              <w:bottom w:val="nil"/>
              <w:right w:val="nil"/>
            </w:tcBorders>
            <w:shd w:val="clear" w:color="auto" w:fill="auto"/>
            <w:noWrap/>
            <w:vAlign w:val="center"/>
            <w:hideMark/>
          </w:tcPr>
          <w:p w14:paraId="0FFAF867" w14:textId="77777777" w:rsidR="00886404" w:rsidRPr="00B000B6" w:rsidRDefault="00886404" w:rsidP="00BF715B">
            <w:pPr>
              <w:ind w:left="219"/>
              <w:jc w:val="left"/>
              <w:rPr>
                <w:rFonts w:cs="Arial"/>
                <w:color w:val="000000"/>
                <w:sz w:val="20"/>
                <w:szCs w:val="20"/>
              </w:rPr>
            </w:pPr>
            <w:r w:rsidRPr="00B000B6">
              <w:rPr>
                <w:rFonts w:cs="Arial"/>
                <w:color w:val="000000"/>
                <w:sz w:val="20"/>
                <w:szCs w:val="20"/>
              </w:rPr>
              <w:t>Ensino Fundamental</w:t>
            </w:r>
          </w:p>
        </w:tc>
        <w:tc>
          <w:tcPr>
            <w:tcW w:w="1520" w:type="dxa"/>
            <w:tcBorders>
              <w:top w:val="nil"/>
              <w:left w:val="single" w:sz="4" w:space="0" w:color="auto"/>
              <w:bottom w:val="nil"/>
              <w:right w:val="single" w:sz="4" w:space="0" w:color="auto"/>
            </w:tcBorders>
            <w:shd w:val="clear" w:color="auto" w:fill="auto"/>
            <w:noWrap/>
            <w:vAlign w:val="center"/>
            <w:hideMark/>
          </w:tcPr>
          <w:p w14:paraId="2A183BF2" w14:textId="77777777" w:rsidR="00886404" w:rsidRPr="00B000B6" w:rsidRDefault="00886404" w:rsidP="00BF715B">
            <w:pPr>
              <w:jc w:val="right"/>
              <w:rPr>
                <w:rFonts w:cs="Arial"/>
                <w:color w:val="000000"/>
                <w:sz w:val="20"/>
                <w:szCs w:val="20"/>
              </w:rPr>
            </w:pPr>
            <w:r w:rsidRPr="00B000B6">
              <w:rPr>
                <w:rFonts w:cs="Arial"/>
                <w:color w:val="000000"/>
                <w:sz w:val="20"/>
                <w:szCs w:val="20"/>
              </w:rPr>
              <w:t>464.805.361</w:t>
            </w:r>
          </w:p>
        </w:tc>
        <w:tc>
          <w:tcPr>
            <w:tcW w:w="900" w:type="dxa"/>
            <w:tcBorders>
              <w:top w:val="nil"/>
              <w:left w:val="nil"/>
              <w:bottom w:val="nil"/>
              <w:right w:val="nil"/>
            </w:tcBorders>
            <w:shd w:val="clear" w:color="auto" w:fill="auto"/>
            <w:noWrap/>
            <w:vAlign w:val="center"/>
            <w:hideMark/>
          </w:tcPr>
          <w:p w14:paraId="7EC0730D" w14:textId="77777777" w:rsidR="00886404" w:rsidRPr="00B000B6" w:rsidRDefault="00886404" w:rsidP="00BF715B">
            <w:pPr>
              <w:jc w:val="center"/>
              <w:rPr>
                <w:rFonts w:cs="Arial"/>
                <w:color w:val="000000"/>
                <w:sz w:val="20"/>
                <w:szCs w:val="20"/>
              </w:rPr>
            </w:pPr>
            <w:r w:rsidRPr="00B000B6">
              <w:rPr>
                <w:rFonts w:cs="Arial"/>
                <w:color w:val="000000"/>
                <w:sz w:val="20"/>
                <w:szCs w:val="20"/>
              </w:rPr>
              <w:t>13,54</w:t>
            </w:r>
          </w:p>
        </w:tc>
        <w:tc>
          <w:tcPr>
            <w:tcW w:w="1520" w:type="dxa"/>
            <w:tcBorders>
              <w:top w:val="nil"/>
              <w:left w:val="single" w:sz="4" w:space="0" w:color="auto"/>
              <w:bottom w:val="nil"/>
              <w:right w:val="single" w:sz="4" w:space="0" w:color="auto"/>
            </w:tcBorders>
            <w:shd w:val="clear" w:color="auto" w:fill="auto"/>
            <w:noWrap/>
            <w:vAlign w:val="center"/>
            <w:hideMark/>
          </w:tcPr>
          <w:p w14:paraId="380AA625" w14:textId="77777777" w:rsidR="00886404" w:rsidRPr="00B000B6" w:rsidRDefault="00886404" w:rsidP="00BF715B">
            <w:pPr>
              <w:jc w:val="right"/>
              <w:rPr>
                <w:rFonts w:cs="Arial"/>
                <w:color w:val="000000"/>
                <w:sz w:val="20"/>
                <w:szCs w:val="20"/>
              </w:rPr>
            </w:pPr>
            <w:r w:rsidRPr="00B000B6">
              <w:rPr>
                <w:rFonts w:cs="Arial"/>
                <w:color w:val="000000"/>
                <w:sz w:val="20"/>
                <w:szCs w:val="20"/>
              </w:rPr>
              <w:t>462.454.359</w:t>
            </w:r>
          </w:p>
        </w:tc>
        <w:tc>
          <w:tcPr>
            <w:tcW w:w="1520" w:type="dxa"/>
            <w:tcBorders>
              <w:top w:val="nil"/>
              <w:left w:val="nil"/>
              <w:bottom w:val="nil"/>
              <w:right w:val="nil"/>
            </w:tcBorders>
            <w:shd w:val="clear" w:color="auto" w:fill="auto"/>
            <w:noWrap/>
            <w:vAlign w:val="center"/>
            <w:hideMark/>
          </w:tcPr>
          <w:p w14:paraId="0B94ACFD" w14:textId="77777777" w:rsidR="00886404" w:rsidRPr="00B000B6" w:rsidRDefault="00886404" w:rsidP="00BF715B">
            <w:pPr>
              <w:jc w:val="right"/>
              <w:rPr>
                <w:rFonts w:cs="Arial"/>
                <w:color w:val="000000"/>
                <w:sz w:val="20"/>
                <w:szCs w:val="20"/>
              </w:rPr>
            </w:pPr>
            <w:r w:rsidRPr="00B000B6">
              <w:rPr>
                <w:rFonts w:cs="Arial"/>
                <w:color w:val="000000"/>
                <w:sz w:val="20"/>
                <w:szCs w:val="20"/>
              </w:rPr>
              <w:t>459.819.494</w:t>
            </w:r>
          </w:p>
        </w:tc>
      </w:tr>
      <w:tr w:rsidR="00886404" w:rsidRPr="00B000B6" w14:paraId="3B515CC6" w14:textId="77777777" w:rsidTr="00B000B6">
        <w:trPr>
          <w:trHeight w:val="340"/>
        </w:trPr>
        <w:tc>
          <w:tcPr>
            <w:tcW w:w="3980" w:type="dxa"/>
            <w:tcBorders>
              <w:top w:val="nil"/>
              <w:left w:val="nil"/>
              <w:bottom w:val="nil"/>
              <w:right w:val="nil"/>
            </w:tcBorders>
            <w:shd w:val="clear" w:color="auto" w:fill="auto"/>
            <w:noWrap/>
            <w:vAlign w:val="center"/>
            <w:hideMark/>
          </w:tcPr>
          <w:p w14:paraId="318EB997" w14:textId="77777777" w:rsidR="00886404" w:rsidRPr="00B000B6" w:rsidRDefault="00886404" w:rsidP="00BF715B">
            <w:pPr>
              <w:ind w:left="219"/>
              <w:jc w:val="left"/>
              <w:rPr>
                <w:rFonts w:cs="Arial"/>
                <w:color w:val="000000"/>
                <w:sz w:val="20"/>
                <w:szCs w:val="20"/>
              </w:rPr>
            </w:pPr>
            <w:r w:rsidRPr="00B000B6">
              <w:rPr>
                <w:rFonts w:cs="Arial"/>
                <w:color w:val="000000"/>
                <w:sz w:val="20"/>
                <w:szCs w:val="20"/>
              </w:rPr>
              <w:t>Ensino Médio</w:t>
            </w:r>
          </w:p>
        </w:tc>
        <w:tc>
          <w:tcPr>
            <w:tcW w:w="1520" w:type="dxa"/>
            <w:tcBorders>
              <w:top w:val="nil"/>
              <w:left w:val="single" w:sz="4" w:space="0" w:color="auto"/>
              <w:bottom w:val="nil"/>
              <w:right w:val="single" w:sz="4" w:space="0" w:color="auto"/>
            </w:tcBorders>
            <w:shd w:val="clear" w:color="auto" w:fill="auto"/>
            <w:noWrap/>
            <w:vAlign w:val="center"/>
            <w:hideMark/>
          </w:tcPr>
          <w:p w14:paraId="4B72AAF9" w14:textId="77777777" w:rsidR="00886404" w:rsidRPr="00B000B6" w:rsidRDefault="00886404" w:rsidP="00BF715B">
            <w:pPr>
              <w:jc w:val="right"/>
              <w:rPr>
                <w:rFonts w:cs="Arial"/>
                <w:color w:val="000000"/>
                <w:sz w:val="20"/>
                <w:szCs w:val="20"/>
              </w:rPr>
            </w:pPr>
            <w:r w:rsidRPr="00B000B6">
              <w:rPr>
                <w:rFonts w:cs="Arial"/>
                <w:color w:val="000000"/>
                <w:sz w:val="20"/>
                <w:szCs w:val="20"/>
              </w:rPr>
              <w:t>426.738.354</w:t>
            </w:r>
          </w:p>
        </w:tc>
        <w:tc>
          <w:tcPr>
            <w:tcW w:w="900" w:type="dxa"/>
            <w:tcBorders>
              <w:top w:val="nil"/>
              <w:left w:val="nil"/>
              <w:bottom w:val="nil"/>
              <w:right w:val="nil"/>
            </w:tcBorders>
            <w:shd w:val="clear" w:color="auto" w:fill="auto"/>
            <w:noWrap/>
            <w:vAlign w:val="center"/>
            <w:hideMark/>
          </w:tcPr>
          <w:p w14:paraId="0915F97D" w14:textId="77777777" w:rsidR="00886404" w:rsidRPr="00B000B6" w:rsidRDefault="00886404" w:rsidP="00BF715B">
            <w:pPr>
              <w:jc w:val="center"/>
              <w:rPr>
                <w:rFonts w:cs="Arial"/>
                <w:color w:val="000000"/>
                <w:sz w:val="20"/>
                <w:szCs w:val="20"/>
              </w:rPr>
            </w:pPr>
            <w:r w:rsidRPr="00B000B6">
              <w:rPr>
                <w:rFonts w:cs="Arial"/>
                <w:color w:val="000000"/>
                <w:sz w:val="20"/>
                <w:szCs w:val="20"/>
              </w:rPr>
              <w:t>12,43</w:t>
            </w:r>
          </w:p>
        </w:tc>
        <w:tc>
          <w:tcPr>
            <w:tcW w:w="1520" w:type="dxa"/>
            <w:tcBorders>
              <w:top w:val="nil"/>
              <w:left w:val="single" w:sz="4" w:space="0" w:color="auto"/>
              <w:bottom w:val="nil"/>
              <w:right w:val="single" w:sz="4" w:space="0" w:color="auto"/>
            </w:tcBorders>
            <w:shd w:val="clear" w:color="auto" w:fill="auto"/>
            <w:noWrap/>
            <w:vAlign w:val="center"/>
            <w:hideMark/>
          </w:tcPr>
          <w:p w14:paraId="2B10DA85" w14:textId="77777777" w:rsidR="00886404" w:rsidRPr="00B000B6" w:rsidRDefault="00886404" w:rsidP="00BF715B">
            <w:pPr>
              <w:jc w:val="right"/>
              <w:rPr>
                <w:rFonts w:cs="Arial"/>
                <w:color w:val="000000"/>
                <w:sz w:val="20"/>
                <w:szCs w:val="20"/>
              </w:rPr>
            </w:pPr>
            <w:r w:rsidRPr="00B000B6">
              <w:rPr>
                <w:rFonts w:cs="Arial"/>
                <w:color w:val="000000"/>
                <w:sz w:val="20"/>
                <w:szCs w:val="20"/>
              </w:rPr>
              <w:t>424.567.238</w:t>
            </w:r>
          </w:p>
        </w:tc>
        <w:tc>
          <w:tcPr>
            <w:tcW w:w="1520" w:type="dxa"/>
            <w:tcBorders>
              <w:top w:val="nil"/>
              <w:left w:val="nil"/>
              <w:bottom w:val="nil"/>
              <w:right w:val="nil"/>
            </w:tcBorders>
            <w:shd w:val="clear" w:color="auto" w:fill="auto"/>
            <w:noWrap/>
            <w:vAlign w:val="center"/>
            <w:hideMark/>
          </w:tcPr>
          <w:p w14:paraId="409BFD4D" w14:textId="77777777" w:rsidR="00886404" w:rsidRPr="00B000B6" w:rsidRDefault="00886404" w:rsidP="00BF715B">
            <w:pPr>
              <w:jc w:val="right"/>
              <w:rPr>
                <w:rFonts w:cs="Arial"/>
                <w:color w:val="000000"/>
                <w:sz w:val="20"/>
                <w:szCs w:val="20"/>
              </w:rPr>
            </w:pPr>
            <w:r w:rsidRPr="00B000B6">
              <w:rPr>
                <w:rFonts w:cs="Arial"/>
                <w:color w:val="000000"/>
                <w:sz w:val="20"/>
                <w:szCs w:val="20"/>
              </w:rPr>
              <w:t>422.133.980</w:t>
            </w:r>
          </w:p>
        </w:tc>
      </w:tr>
      <w:tr w:rsidR="00886404" w:rsidRPr="00B000B6" w14:paraId="15806976" w14:textId="77777777" w:rsidTr="00B000B6">
        <w:trPr>
          <w:trHeight w:val="340"/>
        </w:trPr>
        <w:tc>
          <w:tcPr>
            <w:tcW w:w="3980" w:type="dxa"/>
            <w:tcBorders>
              <w:top w:val="nil"/>
              <w:left w:val="nil"/>
              <w:bottom w:val="nil"/>
              <w:right w:val="nil"/>
            </w:tcBorders>
            <w:shd w:val="clear" w:color="auto" w:fill="auto"/>
            <w:noWrap/>
            <w:vAlign w:val="center"/>
            <w:hideMark/>
          </w:tcPr>
          <w:p w14:paraId="3B60DDB0" w14:textId="77777777" w:rsidR="00886404" w:rsidRPr="00B000B6" w:rsidRDefault="00886404" w:rsidP="00BF715B">
            <w:pPr>
              <w:ind w:left="219"/>
              <w:jc w:val="left"/>
              <w:rPr>
                <w:rFonts w:cs="Arial"/>
                <w:color w:val="000000"/>
                <w:sz w:val="20"/>
                <w:szCs w:val="20"/>
              </w:rPr>
            </w:pPr>
            <w:r w:rsidRPr="00B000B6">
              <w:rPr>
                <w:rFonts w:cs="Arial"/>
                <w:color w:val="000000"/>
                <w:sz w:val="20"/>
                <w:szCs w:val="20"/>
              </w:rPr>
              <w:t>Educação de Jovens e Adultos</w:t>
            </w:r>
          </w:p>
        </w:tc>
        <w:tc>
          <w:tcPr>
            <w:tcW w:w="1520" w:type="dxa"/>
            <w:tcBorders>
              <w:top w:val="nil"/>
              <w:left w:val="single" w:sz="4" w:space="0" w:color="auto"/>
              <w:bottom w:val="nil"/>
              <w:right w:val="single" w:sz="4" w:space="0" w:color="auto"/>
            </w:tcBorders>
            <w:shd w:val="clear" w:color="auto" w:fill="auto"/>
            <w:noWrap/>
            <w:vAlign w:val="center"/>
            <w:hideMark/>
          </w:tcPr>
          <w:p w14:paraId="0E2586E7" w14:textId="77777777" w:rsidR="00886404" w:rsidRPr="00B000B6" w:rsidRDefault="00886404" w:rsidP="00BF715B">
            <w:pPr>
              <w:jc w:val="right"/>
              <w:rPr>
                <w:rFonts w:cs="Arial"/>
                <w:color w:val="000000"/>
                <w:sz w:val="20"/>
                <w:szCs w:val="20"/>
              </w:rPr>
            </w:pPr>
            <w:r w:rsidRPr="00B000B6">
              <w:rPr>
                <w:rFonts w:cs="Arial"/>
                <w:color w:val="000000"/>
                <w:sz w:val="20"/>
                <w:szCs w:val="20"/>
              </w:rPr>
              <w:t>54.754.732</w:t>
            </w:r>
          </w:p>
        </w:tc>
        <w:tc>
          <w:tcPr>
            <w:tcW w:w="900" w:type="dxa"/>
            <w:tcBorders>
              <w:top w:val="nil"/>
              <w:left w:val="nil"/>
              <w:bottom w:val="nil"/>
              <w:right w:val="nil"/>
            </w:tcBorders>
            <w:shd w:val="clear" w:color="auto" w:fill="auto"/>
            <w:noWrap/>
            <w:vAlign w:val="center"/>
            <w:hideMark/>
          </w:tcPr>
          <w:p w14:paraId="50B4F6DA" w14:textId="77777777" w:rsidR="00886404" w:rsidRPr="00B000B6" w:rsidRDefault="00886404" w:rsidP="00BF715B">
            <w:pPr>
              <w:jc w:val="center"/>
              <w:rPr>
                <w:rFonts w:cs="Arial"/>
                <w:color w:val="000000"/>
                <w:sz w:val="20"/>
                <w:szCs w:val="20"/>
              </w:rPr>
            </w:pPr>
            <w:r w:rsidRPr="00B000B6">
              <w:rPr>
                <w:rFonts w:cs="Arial"/>
                <w:color w:val="000000"/>
                <w:sz w:val="20"/>
                <w:szCs w:val="20"/>
              </w:rPr>
              <w:t>1,59</w:t>
            </w:r>
          </w:p>
        </w:tc>
        <w:tc>
          <w:tcPr>
            <w:tcW w:w="1520" w:type="dxa"/>
            <w:tcBorders>
              <w:top w:val="nil"/>
              <w:left w:val="single" w:sz="4" w:space="0" w:color="auto"/>
              <w:bottom w:val="nil"/>
              <w:right w:val="single" w:sz="4" w:space="0" w:color="auto"/>
            </w:tcBorders>
            <w:shd w:val="clear" w:color="auto" w:fill="auto"/>
            <w:noWrap/>
            <w:vAlign w:val="center"/>
            <w:hideMark/>
          </w:tcPr>
          <w:p w14:paraId="496EE61B" w14:textId="77777777" w:rsidR="00886404" w:rsidRPr="00B000B6" w:rsidRDefault="00886404" w:rsidP="00BF715B">
            <w:pPr>
              <w:jc w:val="right"/>
              <w:rPr>
                <w:rFonts w:cs="Arial"/>
                <w:color w:val="000000"/>
                <w:sz w:val="20"/>
                <w:szCs w:val="20"/>
              </w:rPr>
            </w:pPr>
            <w:r w:rsidRPr="00B000B6">
              <w:rPr>
                <w:rFonts w:cs="Arial"/>
                <w:color w:val="000000"/>
                <w:sz w:val="20"/>
                <w:szCs w:val="20"/>
              </w:rPr>
              <w:t>54.476.157</w:t>
            </w:r>
          </w:p>
        </w:tc>
        <w:tc>
          <w:tcPr>
            <w:tcW w:w="1520" w:type="dxa"/>
            <w:tcBorders>
              <w:top w:val="nil"/>
              <w:left w:val="nil"/>
              <w:bottom w:val="nil"/>
              <w:right w:val="nil"/>
            </w:tcBorders>
            <w:shd w:val="clear" w:color="auto" w:fill="auto"/>
            <w:noWrap/>
            <w:vAlign w:val="center"/>
            <w:hideMark/>
          </w:tcPr>
          <w:p w14:paraId="3E7E7CA4" w14:textId="77777777" w:rsidR="00886404" w:rsidRPr="00B000B6" w:rsidRDefault="00886404" w:rsidP="00BF715B">
            <w:pPr>
              <w:jc w:val="right"/>
              <w:rPr>
                <w:rFonts w:cs="Arial"/>
                <w:color w:val="000000"/>
                <w:sz w:val="20"/>
                <w:szCs w:val="20"/>
              </w:rPr>
            </w:pPr>
            <w:r w:rsidRPr="00B000B6">
              <w:rPr>
                <w:rFonts w:cs="Arial"/>
                <w:color w:val="000000"/>
                <w:sz w:val="20"/>
                <w:szCs w:val="20"/>
              </w:rPr>
              <w:t>54.163.946</w:t>
            </w:r>
          </w:p>
        </w:tc>
      </w:tr>
      <w:tr w:rsidR="00886404" w:rsidRPr="00B000B6" w14:paraId="06A23C90" w14:textId="77777777" w:rsidTr="00B000B6">
        <w:trPr>
          <w:trHeight w:val="340"/>
        </w:trPr>
        <w:tc>
          <w:tcPr>
            <w:tcW w:w="3980" w:type="dxa"/>
            <w:tcBorders>
              <w:top w:val="nil"/>
              <w:left w:val="nil"/>
              <w:bottom w:val="nil"/>
              <w:right w:val="nil"/>
            </w:tcBorders>
            <w:shd w:val="clear" w:color="auto" w:fill="auto"/>
            <w:noWrap/>
            <w:vAlign w:val="center"/>
            <w:hideMark/>
          </w:tcPr>
          <w:p w14:paraId="7A5A8B16" w14:textId="77777777" w:rsidR="00886404" w:rsidRPr="00B000B6" w:rsidRDefault="00886404" w:rsidP="00BF715B">
            <w:pPr>
              <w:ind w:left="219"/>
              <w:jc w:val="left"/>
              <w:rPr>
                <w:rFonts w:cs="Arial"/>
                <w:color w:val="000000"/>
                <w:sz w:val="20"/>
                <w:szCs w:val="20"/>
              </w:rPr>
            </w:pPr>
            <w:r w:rsidRPr="00B000B6">
              <w:rPr>
                <w:rFonts w:cs="Arial"/>
                <w:color w:val="000000"/>
                <w:sz w:val="20"/>
                <w:szCs w:val="20"/>
              </w:rPr>
              <w:t>Educação Especial</w:t>
            </w:r>
          </w:p>
        </w:tc>
        <w:tc>
          <w:tcPr>
            <w:tcW w:w="1520" w:type="dxa"/>
            <w:tcBorders>
              <w:top w:val="nil"/>
              <w:left w:val="single" w:sz="4" w:space="0" w:color="auto"/>
              <w:bottom w:val="nil"/>
              <w:right w:val="single" w:sz="4" w:space="0" w:color="auto"/>
            </w:tcBorders>
            <w:shd w:val="clear" w:color="auto" w:fill="auto"/>
            <w:noWrap/>
            <w:vAlign w:val="center"/>
            <w:hideMark/>
          </w:tcPr>
          <w:p w14:paraId="7E96C62C" w14:textId="77777777" w:rsidR="00886404" w:rsidRPr="00B000B6" w:rsidRDefault="00886404" w:rsidP="00BF715B">
            <w:pPr>
              <w:jc w:val="right"/>
              <w:rPr>
                <w:rFonts w:cs="Arial"/>
                <w:color w:val="000000"/>
                <w:sz w:val="20"/>
                <w:szCs w:val="20"/>
              </w:rPr>
            </w:pPr>
            <w:r w:rsidRPr="00B000B6">
              <w:rPr>
                <w:rFonts w:cs="Arial"/>
                <w:color w:val="000000"/>
                <w:sz w:val="20"/>
                <w:szCs w:val="20"/>
              </w:rPr>
              <w:t>1.448.705</w:t>
            </w:r>
          </w:p>
        </w:tc>
        <w:tc>
          <w:tcPr>
            <w:tcW w:w="900" w:type="dxa"/>
            <w:tcBorders>
              <w:top w:val="nil"/>
              <w:left w:val="nil"/>
              <w:bottom w:val="nil"/>
              <w:right w:val="nil"/>
            </w:tcBorders>
            <w:shd w:val="clear" w:color="auto" w:fill="auto"/>
            <w:noWrap/>
            <w:vAlign w:val="center"/>
            <w:hideMark/>
          </w:tcPr>
          <w:p w14:paraId="793D777F" w14:textId="77777777" w:rsidR="00886404" w:rsidRPr="00B000B6" w:rsidRDefault="00886404" w:rsidP="00BF715B">
            <w:pPr>
              <w:jc w:val="center"/>
              <w:rPr>
                <w:rFonts w:cs="Arial"/>
                <w:color w:val="000000"/>
                <w:sz w:val="20"/>
                <w:szCs w:val="20"/>
              </w:rPr>
            </w:pPr>
            <w:r w:rsidRPr="00B000B6">
              <w:rPr>
                <w:rFonts w:cs="Arial"/>
                <w:color w:val="000000"/>
                <w:sz w:val="20"/>
                <w:szCs w:val="20"/>
              </w:rPr>
              <w:t>0,04</w:t>
            </w:r>
          </w:p>
        </w:tc>
        <w:tc>
          <w:tcPr>
            <w:tcW w:w="1520" w:type="dxa"/>
            <w:tcBorders>
              <w:top w:val="nil"/>
              <w:left w:val="single" w:sz="4" w:space="0" w:color="auto"/>
              <w:bottom w:val="nil"/>
              <w:right w:val="single" w:sz="4" w:space="0" w:color="auto"/>
            </w:tcBorders>
            <w:shd w:val="clear" w:color="auto" w:fill="auto"/>
            <w:noWrap/>
            <w:vAlign w:val="center"/>
            <w:hideMark/>
          </w:tcPr>
          <w:p w14:paraId="461E4A88" w14:textId="77777777" w:rsidR="00886404" w:rsidRPr="00B000B6" w:rsidRDefault="00886404" w:rsidP="00BF715B">
            <w:pPr>
              <w:jc w:val="right"/>
              <w:rPr>
                <w:rFonts w:cs="Arial"/>
                <w:color w:val="000000"/>
                <w:sz w:val="20"/>
                <w:szCs w:val="20"/>
              </w:rPr>
            </w:pPr>
            <w:r w:rsidRPr="00B000B6">
              <w:rPr>
                <w:rFonts w:cs="Arial"/>
                <w:color w:val="000000"/>
                <w:sz w:val="20"/>
                <w:szCs w:val="20"/>
              </w:rPr>
              <w:t>1.441.334</w:t>
            </w:r>
          </w:p>
        </w:tc>
        <w:tc>
          <w:tcPr>
            <w:tcW w:w="1520" w:type="dxa"/>
            <w:tcBorders>
              <w:top w:val="nil"/>
              <w:left w:val="nil"/>
              <w:bottom w:val="nil"/>
              <w:right w:val="nil"/>
            </w:tcBorders>
            <w:shd w:val="clear" w:color="auto" w:fill="auto"/>
            <w:noWrap/>
            <w:vAlign w:val="center"/>
            <w:hideMark/>
          </w:tcPr>
          <w:p w14:paraId="131E25F1" w14:textId="77777777" w:rsidR="00886404" w:rsidRPr="00B000B6" w:rsidRDefault="00886404" w:rsidP="00BF715B">
            <w:pPr>
              <w:jc w:val="right"/>
              <w:rPr>
                <w:rFonts w:cs="Arial"/>
                <w:color w:val="000000"/>
                <w:sz w:val="20"/>
                <w:szCs w:val="20"/>
              </w:rPr>
            </w:pPr>
            <w:r w:rsidRPr="00B000B6">
              <w:rPr>
                <w:rFonts w:cs="Arial"/>
                <w:color w:val="000000"/>
                <w:sz w:val="20"/>
                <w:szCs w:val="20"/>
              </w:rPr>
              <w:t>1.433.074</w:t>
            </w:r>
          </w:p>
        </w:tc>
      </w:tr>
      <w:tr w:rsidR="00886404" w:rsidRPr="00B000B6" w14:paraId="70095FA7" w14:textId="77777777" w:rsidTr="00B000B6">
        <w:trPr>
          <w:trHeight w:val="340"/>
        </w:trPr>
        <w:tc>
          <w:tcPr>
            <w:tcW w:w="3980" w:type="dxa"/>
            <w:tcBorders>
              <w:top w:val="single" w:sz="4" w:space="0" w:color="auto"/>
              <w:left w:val="nil"/>
              <w:bottom w:val="single" w:sz="4" w:space="0" w:color="auto"/>
              <w:right w:val="nil"/>
            </w:tcBorders>
            <w:shd w:val="clear" w:color="auto" w:fill="auto"/>
            <w:noWrap/>
            <w:vAlign w:val="center"/>
            <w:hideMark/>
          </w:tcPr>
          <w:p w14:paraId="18FA01A9" w14:textId="77777777" w:rsidR="00886404" w:rsidRPr="00B000B6" w:rsidRDefault="00886404" w:rsidP="00BF715B">
            <w:pPr>
              <w:jc w:val="center"/>
              <w:rPr>
                <w:rFonts w:cs="Arial"/>
                <w:b/>
                <w:bCs/>
                <w:color w:val="000000"/>
                <w:sz w:val="20"/>
                <w:szCs w:val="20"/>
              </w:rPr>
            </w:pPr>
            <w:r w:rsidRPr="00B000B6">
              <w:rPr>
                <w:rFonts w:cs="Arial"/>
                <w:b/>
                <w:bCs/>
                <w:color w:val="000000"/>
                <w:sz w:val="20"/>
                <w:szCs w:val="20"/>
              </w:rPr>
              <w:t>Total</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1E5D5A" w14:textId="77777777" w:rsidR="00886404" w:rsidRPr="00B000B6" w:rsidRDefault="00886404" w:rsidP="00BF715B">
            <w:pPr>
              <w:jc w:val="right"/>
              <w:rPr>
                <w:rFonts w:cs="Arial"/>
                <w:b/>
                <w:bCs/>
                <w:color w:val="000000"/>
                <w:sz w:val="20"/>
                <w:szCs w:val="20"/>
              </w:rPr>
            </w:pPr>
            <w:r w:rsidRPr="00B000B6">
              <w:rPr>
                <w:rFonts w:cs="Arial"/>
                <w:b/>
                <w:bCs/>
                <w:color w:val="000000"/>
                <w:sz w:val="20"/>
                <w:szCs w:val="20"/>
              </w:rPr>
              <w:t>3.433.345.115</w:t>
            </w:r>
          </w:p>
        </w:tc>
        <w:tc>
          <w:tcPr>
            <w:tcW w:w="900" w:type="dxa"/>
            <w:tcBorders>
              <w:top w:val="single" w:sz="4" w:space="0" w:color="auto"/>
              <w:left w:val="nil"/>
              <w:bottom w:val="single" w:sz="4" w:space="0" w:color="auto"/>
              <w:right w:val="nil"/>
            </w:tcBorders>
            <w:shd w:val="clear" w:color="auto" w:fill="auto"/>
            <w:noWrap/>
            <w:vAlign w:val="center"/>
            <w:hideMark/>
          </w:tcPr>
          <w:p w14:paraId="09F01EF0" w14:textId="77777777" w:rsidR="00886404" w:rsidRPr="00B000B6" w:rsidRDefault="00886404" w:rsidP="00BF715B">
            <w:pPr>
              <w:jc w:val="center"/>
              <w:rPr>
                <w:rFonts w:cs="Arial"/>
                <w:b/>
                <w:bCs/>
                <w:color w:val="000000"/>
                <w:sz w:val="20"/>
                <w:szCs w:val="20"/>
              </w:rPr>
            </w:pPr>
            <w:r w:rsidRPr="00B000B6">
              <w:rPr>
                <w:rFonts w:cs="Arial"/>
                <w:b/>
                <w:bCs/>
                <w:color w:val="000000"/>
                <w:sz w:val="20"/>
                <w:szCs w:val="20"/>
              </w:rPr>
              <w:t>100,00</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DF9D79" w14:textId="77777777" w:rsidR="00886404" w:rsidRPr="00B000B6" w:rsidRDefault="00886404" w:rsidP="00BF715B">
            <w:pPr>
              <w:jc w:val="right"/>
              <w:rPr>
                <w:rFonts w:cs="Arial"/>
                <w:b/>
                <w:bCs/>
                <w:color w:val="000000"/>
                <w:sz w:val="20"/>
                <w:szCs w:val="20"/>
              </w:rPr>
            </w:pPr>
            <w:r w:rsidRPr="00B000B6">
              <w:rPr>
                <w:rFonts w:cs="Arial"/>
                <w:b/>
                <w:bCs/>
                <w:color w:val="000000"/>
                <w:sz w:val="20"/>
                <w:szCs w:val="20"/>
              </w:rPr>
              <w:t>3.428.537.052</w:t>
            </w:r>
          </w:p>
        </w:tc>
        <w:tc>
          <w:tcPr>
            <w:tcW w:w="1520" w:type="dxa"/>
            <w:tcBorders>
              <w:top w:val="single" w:sz="4" w:space="0" w:color="auto"/>
              <w:left w:val="nil"/>
              <w:bottom w:val="single" w:sz="4" w:space="0" w:color="auto"/>
              <w:right w:val="nil"/>
            </w:tcBorders>
            <w:shd w:val="clear" w:color="auto" w:fill="auto"/>
            <w:noWrap/>
            <w:vAlign w:val="center"/>
            <w:hideMark/>
          </w:tcPr>
          <w:p w14:paraId="2CA92551" w14:textId="77777777" w:rsidR="00886404" w:rsidRPr="00B000B6" w:rsidRDefault="00886404" w:rsidP="00BF715B">
            <w:pPr>
              <w:jc w:val="right"/>
              <w:rPr>
                <w:rFonts w:cs="Arial"/>
                <w:b/>
                <w:bCs/>
                <w:color w:val="000000"/>
                <w:sz w:val="20"/>
                <w:szCs w:val="20"/>
              </w:rPr>
            </w:pPr>
            <w:r w:rsidRPr="00B000B6">
              <w:rPr>
                <w:rFonts w:cs="Arial"/>
                <w:b/>
                <w:bCs/>
                <w:color w:val="000000"/>
                <w:sz w:val="20"/>
                <w:szCs w:val="20"/>
              </w:rPr>
              <w:t>3.423.148.157</w:t>
            </w:r>
          </w:p>
        </w:tc>
      </w:tr>
    </w:tbl>
    <w:p w14:paraId="32A77198" w14:textId="77777777" w:rsidR="00886404" w:rsidRPr="0083636B" w:rsidRDefault="00886404" w:rsidP="00886404">
      <w:pPr>
        <w:pStyle w:val="0-FONTEBALANO"/>
      </w:pPr>
      <w:r w:rsidRPr="0083636B">
        <w:t xml:space="preserve">Fonte: </w:t>
      </w:r>
      <w:r w:rsidRPr="007046AA">
        <w:t>RREO do 6º Bimestre de 2023</w:t>
      </w:r>
    </w:p>
    <w:p w14:paraId="5CBDABA9" w14:textId="77777777" w:rsidR="00886404" w:rsidRPr="001F35BB" w:rsidRDefault="00886404" w:rsidP="00886404">
      <w:pPr>
        <w:pStyle w:val="1-REL11"/>
      </w:pPr>
      <w:r w:rsidRPr="001F35BB">
        <w:t>O montante</w:t>
      </w:r>
      <w:r>
        <w:t xml:space="preserve"> da despesa empenhada com recursos do Fundeb em 2023 foi apenas 0,74% superior ao valor do exercício anterior, que foi de R$ 3,41 bilhões, a despeito das receitas recebidas do Fundeb, que cresceu 3,88% de 2022 para 2023.</w:t>
      </w:r>
    </w:p>
    <w:p w14:paraId="736F4B42" w14:textId="77777777" w:rsidR="00886404" w:rsidRPr="004B55B9" w:rsidRDefault="00886404" w:rsidP="00117967">
      <w:pPr>
        <w:pStyle w:val="Ttulo4"/>
      </w:pPr>
      <w:bookmarkStart w:id="295" w:name="_Toc511305545"/>
      <w:bookmarkStart w:id="296" w:name="_Toc511381619"/>
      <w:bookmarkStart w:id="297" w:name="_Toc135332721"/>
      <w:r w:rsidRPr="004B55B9">
        <w:t xml:space="preserve">Conselho de Acompanhamento e Controle Social do </w:t>
      </w:r>
      <w:bookmarkEnd w:id="295"/>
      <w:bookmarkEnd w:id="296"/>
      <w:r w:rsidRPr="004B55B9">
        <w:t>Fundeb</w:t>
      </w:r>
      <w:bookmarkEnd w:id="297"/>
    </w:p>
    <w:p w14:paraId="0FA70D27" w14:textId="77777777" w:rsidR="00886404" w:rsidRPr="004B55B9" w:rsidRDefault="00886404" w:rsidP="00140D80">
      <w:pPr>
        <w:pStyle w:val="1-REL11"/>
        <w:spacing w:line="300" w:lineRule="auto"/>
      </w:pPr>
      <w:r w:rsidRPr="004B55B9">
        <w:t xml:space="preserve">O atual Conselho de Acompanhamento e Controle Social do Fundeb (CACS-Fundeb) foi instituído em Goiás por meio da Lei </w:t>
      </w:r>
      <w:r>
        <w:t xml:space="preserve">Estadual </w:t>
      </w:r>
      <w:r w:rsidRPr="004B55B9">
        <w:t>nº 20.995, de 29 de abril de 2021, nos termos do art. 33 da Lei nº 14.113</w:t>
      </w:r>
      <w:r>
        <w:t>/</w:t>
      </w:r>
      <w:r w:rsidRPr="004B55B9">
        <w:t>2020, e</w:t>
      </w:r>
      <w:r w:rsidRPr="004B55B9" w:rsidDel="00137C79">
        <w:t xml:space="preserve"> </w:t>
      </w:r>
      <w:r w:rsidRPr="004B55B9">
        <w:t>tem como objetivo principal acompanhar e fiscalizar a distribuição, a transferência e a aplicação dos recursos do Fundo.</w:t>
      </w:r>
    </w:p>
    <w:p w14:paraId="16B0537B" w14:textId="77777777" w:rsidR="00886404" w:rsidRPr="004B55B9" w:rsidRDefault="00886404" w:rsidP="00140D80">
      <w:pPr>
        <w:pStyle w:val="1-REL11"/>
        <w:spacing w:line="300" w:lineRule="auto"/>
      </w:pPr>
      <w:r w:rsidRPr="004B55B9">
        <w:t>A comprovação de aplicação dos recursos do Fundeb deve ser feita mensalmente ao Conselho, mediante apresentação de demonstrativos e relatórios gerenciais sobre o recebimento e emprego dos recursos do Fundo, conforme o art. 36 da Lei n° 14.113/2020. Além disso, deve ser dada ampla publicidade a estes documentos, inclusive por meio eletrônico.</w:t>
      </w:r>
    </w:p>
    <w:p w14:paraId="057F6603" w14:textId="77777777" w:rsidR="00886404" w:rsidRPr="004B55B9" w:rsidRDefault="00886404" w:rsidP="00140D80">
      <w:pPr>
        <w:pStyle w:val="1-REL11"/>
        <w:spacing w:line="300" w:lineRule="auto"/>
      </w:pPr>
      <w:r w:rsidRPr="004B55B9">
        <w:t>Conforme dispõe o inciso IV do art. 5º da Lei Estadual nº 20.995/2021, compete ao Conselho, dentre outras atribuições, emitir parecer sobre as prestações de contas dos recursos do Fundeb, que deverão ser disponibilizadas mensalmente pelo Poder Executivo estadual.</w:t>
      </w:r>
    </w:p>
    <w:p w14:paraId="037929C8" w14:textId="77777777" w:rsidR="00886404" w:rsidRPr="004B55B9" w:rsidRDefault="00886404" w:rsidP="00140D80">
      <w:pPr>
        <w:pStyle w:val="1-REL11"/>
        <w:spacing w:line="300" w:lineRule="auto"/>
      </w:pPr>
      <w:r w:rsidRPr="004B55B9">
        <w:t>Ademais, nos termos da Resolução Normativa TCE nº 7/2018, Anexo Único, item 19, o Parecer CACS-Fundeb</w:t>
      </w:r>
      <w:r w:rsidRPr="004B55B9" w:rsidDel="00446495">
        <w:t xml:space="preserve"> </w:t>
      </w:r>
      <w:r w:rsidRPr="004B55B9">
        <w:t>sobre a aplicação dos recursos do fundo no exercício em análise é uma peça componente da Prestação de Contas do Governador.</w:t>
      </w:r>
    </w:p>
    <w:p w14:paraId="5A4482F8" w14:textId="77777777" w:rsidR="00886404" w:rsidRPr="004B55B9" w:rsidRDefault="00886404" w:rsidP="00140D80">
      <w:pPr>
        <w:pStyle w:val="1-REL11"/>
        <w:spacing w:line="300" w:lineRule="auto"/>
      </w:pPr>
      <w:r w:rsidRPr="004B55B9">
        <w:t>Desta feita, compõe os autos o Parecer Seduc/Confundeb-17566 nº 2/2024 (Processo nº 202300047001912, evento 9), referente à prestação de contas dos recursos do Fundeb, referente ao exercício de 2023.</w:t>
      </w:r>
    </w:p>
    <w:p w14:paraId="11614F78" w14:textId="77777777" w:rsidR="00886404" w:rsidRPr="004B55B9" w:rsidRDefault="00886404" w:rsidP="00140D80">
      <w:pPr>
        <w:pStyle w:val="1-REL11"/>
        <w:spacing w:line="300" w:lineRule="auto"/>
      </w:pPr>
      <w:r w:rsidRPr="004B55B9">
        <w:t>O Parecer nº 2/2024, de 28 de fevereiro de 2024, foi emitido a partir de análise da documentação que compõem a prestação de contas do Fundeb, encaminhada mensalmente pela Secretaria de Estado da Educação (Seduc) e afirma que:</w:t>
      </w:r>
    </w:p>
    <w:p w14:paraId="5D326D3B" w14:textId="77777777" w:rsidR="00886404" w:rsidRDefault="00886404" w:rsidP="00886404">
      <w:pPr>
        <w:pStyle w:val="1-CITAO"/>
      </w:pPr>
      <w:r w:rsidRPr="00ED5EC9">
        <w:lastRenderedPageBreak/>
        <w:t xml:space="preserve">7. Diante dos elementos expostos, especialmente quanto aos recursos recebidos, às despesas realizadas e ao ﬂuxo de caixa, foi veriﬁcado que, a PRESTAÇÃO DE CONTAS do Fundo de Manutenção e Desenvolvimento da Educação Básica e de Valorização </w:t>
      </w:r>
      <w:r w:rsidRPr="004B55B9">
        <w:t>dos Proﬁssionais da Educação em Goiás - FUNDEB/GO, referente ao exercício de 2023, nos aspectos que compete a este Conselho examinar, mediante a documentação encaminhada pela SEDUC/GO, bem como, mediante as análises realizadas sobre os relatórios disponíveis nos portais de transparência da União e do Estado de Goiás, apresenta-se REGULAR.</w:t>
      </w:r>
    </w:p>
    <w:p w14:paraId="72956AF0" w14:textId="77777777" w:rsidR="00886404" w:rsidRPr="00FD0802" w:rsidRDefault="00886404" w:rsidP="00886404">
      <w:pPr>
        <w:pStyle w:val="1-REL11"/>
      </w:pPr>
      <w:r>
        <w:t>O</w:t>
      </w:r>
      <w:r w:rsidRPr="004B55B9">
        <w:t xml:space="preserve"> Parecer CACS-Fundeb</w:t>
      </w:r>
      <w:r>
        <w:t xml:space="preserve"> concluiu pela regularidade de todos os aspectos analisados dentro de sua competência.</w:t>
      </w:r>
    </w:p>
    <w:p w14:paraId="681F19FF" w14:textId="77777777" w:rsidR="00A06C74" w:rsidRPr="005E3665" w:rsidRDefault="00A06C74" w:rsidP="00A06C74">
      <w:pPr>
        <w:pStyle w:val="Ttulo3"/>
        <w:spacing w:before="0" w:after="220"/>
        <w:ind w:left="2138" w:hanging="2138"/>
        <w:jc w:val="both"/>
      </w:pPr>
      <w:bookmarkStart w:id="298" w:name="_Toc167871698"/>
      <w:r w:rsidRPr="005E3665">
        <w:t>Índice Constitucional da Educação</w:t>
      </w:r>
      <w:bookmarkEnd w:id="298"/>
    </w:p>
    <w:p w14:paraId="0C352986" w14:textId="77777777" w:rsidR="00A06C74" w:rsidRPr="00027BF7" w:rsidRDefault="00A06C74" w:rsidP="00A06C74">
      <w:pPr>
        <w:pStyle w:val="1-REL11"/>
        <w:spacing w:line="264" w:lineRule="auto"/>
      </w:pPr>
      <w:r w:rsidRPr="004B55B9">
        <w:t xml:space="preserve">Nos termos do art. 212 da CF/88, os </w:t>
      </w:r>
      <w:r>
        <w:t>e</w:t>
      </w:r>
      <w:r w:rsidRPr="004B55B9">
        <w:t xml:space="preserve">stados devem aplicar anualmente em MDE, no mínimo, 25% da receita resultante de impostos, compreendida a proveniente de transferências e </w:t>
      </w:r>
      <w:r w:rsidRPr="00027BF7">
        <w:t>excluídos os valores repassados constitucionalmente aos municípios.</w:t>
      </w:r>
    </w:p>
    <w:p w14:paraId="6E86C402" w14:textId="77777777" w:rsidR="00A06C74" w:rsidRDefault="00A06C74" w:rsidP="00A06C74">
      <w:pPr>
        <w:pStyle w:val="1-REL11"/>
        <w:spacing w:line="264" w:lineRule="auto"/>
      </w:pPr>
      <w:r w:rsidRPr="00027BF7">
        <w:t>O Anexo 8 - Demonstrativo das Receitas e Despesas com MDE, integrante do RREO, contém informações sobre os recursos públicos que compõem a base de cálculo do percentual mínimo de aplicação em MDE, as despesas com MDE, bem como a apuração do cumprimento do limite constitucional.</w:t>
      </w:r>
    </w:p>
    <w:p w14:paraId="431A61C2" w14:textId="77777777" w:rsidR="00A06C74" w:rsidRPr="00C11A21" w:rsidRDefault="00A06C74" w:rsidP="00117967">
      <w:pPr>
        <w:pStyle w:val="Ttulo4"/>
      </w:pPr>
      <w:r w:rsidRPr="00C11A21">
        <w:t>Base de Cálculo</w:t>
      </w:r>
    </w:p>
    <w:p w14:paraId="66253201" w14:textId="77777777" w:rsidR="00A06C74" w:rsidRDefault="00A06C74" w:rsidP="00A06C74">
      <w:pPr>
        <w:pStyle w:val="1-REL11"/>
      </w:pPr>
      <w:r>
        <w:t>N</w:t>
      </w:r>
      <w:r w:rsidRPr="004B55B9">
        <w:t>a tabela seguinte constam as receitas de impostos que formam a base de cálculo para a apuração do limite mínimo de aplicação de recursos em MDE, conforme RREO do 6º bimestre de 2023</w:t>
      </w:r>
      <w:r>
        <w:t>:</w:t>
      </w:r>
    </w:p>
    <w:p w14:paraId="3BFC4B19" w14:textId="77777777" w:rsidR="00A06C74" w:rsidRPr="002C2F2E" w:rsidRDefault="00A06C74" w:rsidP="00736A8C">
      <w:pPr>
        <w:pStyle w:val="0-TABELA"/>
        <w:numPr>
          <w:ilvl w:val="0"/>
          <w:numId w:val="53"/>
        </w:numPr>
        <w:tabs>
          <w:tab w:val="clear" w:pos="1560"/>
          <w:tab w:val="left" w:pos="1134"/>
        </w:tabs>
        <w:spacing w:before="0" w:after="0"/>
        <w:ind w:left="0" w:firstLine="0"/>
      </w:pPr>
      <w:bookmarkStart w:id="299" w:name="_Toc167871793"/>
      <w:r w:rsidRPr="002C2F2E">
        <w:t xml:space="preserve">Base de Cálculo das Receitas para Aplicação em </w:t>
      </w:r>
      <w:r>
        <w:t>MDE</w:t>
      </w:r>
      <w:bookmarkEnd w:id="299"/>
    </w:p>
    <w:p w14:paraId="58D9C5CA" w14:textId="77777777" w:rsidR="00A06C74" w:rsidRPr="002C2F2E" w:rsidRDefault="00A06C74" w:rsidP="00A06C74">
      <w:pPr>
        <w:pStyle w:val="0-EmR1"/>
        <w:rPr>
          <w:lang w:eastAsia="en-US"/>
        </w:rPr>
      </w:pPr>
      <w:r w:rsidRPr="002C2F2E">
        <w:rPr>
          <w:lang w:eastAsia="en-US"/>
        </w:rPr>
        <w:t>R$ 1</w:t>
      </w:r>
    </w:p>
    <w:tbl>
      <w:tblPr>
        <w:tblW w:w="5000" w:type="pct"/>
        <w:tblLayout w:type="fixed"/>
        <w:tblCellMar>
          <w:left w:w="0" w:type="dxa"/>
          <w:right w:w="0" w:type="dxa"/>
        </w:tblCellMar>
        <w:tblLook w:val="04A0" w:firstRow="1" w:lastRow="0" w:firstColumn="1" w:lastColumn="0" w:noHBand="0" w:noVBand="1"/>
      </w:tblPr>
      <w:tblGrid>
        <w:gridCol w:w="7654"/>
        <w:gridCol w:w="1699"/>
      </w:tblGrid>
      <w:tr w:rsidR="00A06C74" w:rsidRPr="00A06C74" w14:paraId="2C7F0224" w14:textId="77777777" w:rsidTr="002B39AF">
        <w:trPr>
          <w:trHeight w:val="284"/>
          <w:tblHeader/>
        </w:trPr>
        <w:tc>
          <w:tcPr>
            <w:tcW w:w="4092" w:type="pct"/>
            <w:tcBorders>
              <w:top w:val="single" w:sz="4" w:space="0" w:color="auto"/>
              <w:left w:val="nil"/>
              <w:bottom w:val="single" w:sz="4" w:space="0" w:color="000000"/>
              <w:right w:val="single" w:sz="4" w:space="0" w:color="auto"/>
            </w:tcBorders>
            <w:shd w:val="clear" w:color="000000" w:fill="A1F2FD"/>
            <w:noWrap/>
            <w:tcMar>
              <w:top w:w="28" w:type="dxa"/>
              <w:left w:w="15" w:type="dxa"/>
              <w:bottom w:w="28" w:type="dxa"/>
              <w:right w:w="15" w:type="dxa"/>
            </w:tcMar>
            <w:vAlign w:val="center"/>
            <w:hideMark/>
          </w:tcPr>
          <w:p w14:paraId="3585A9B4"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Receita Resultante de Impostos</w:t>
            </w:r>
          </w:p>
        </w:tc>
        <w:tc>
          <w:tcPr>
            <w:tcW w:w="908" w:type="pct"/>
            <w:tcBorders>
              <w:top w:val="single" w:sz="4" w:space="0" w:color="auto"/>
              <w:left w:val="single" w:sz="4" w:space="0" w:color="auto"/>
              <w:bottom w:val="single" w:sz="4" w:space="0" w:color="auto"/>
              <w:right w:val="nil"/>
            </w:tcBorders>
            <w:shd w:val="clear" w:color="000000" w:fill="A1F2FD"/>
            <w:tcMar>
              <w:top w:w="28" w:type="dxa"/>
              <w:left w:w="15" w:type="dxa"/>
              <w:bottom w:w="28" w:type="dxa"/>
              <w:right w:w="15" w:type="dxa"/>
            </w:tcMar>
            <w:vAlign w:val="center"/>
            <w:hideMark/>
          </w:tcPr>
          <w:p w14:paraId="63CC37A1"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Valor</w:t>
            </w:r>
          </w:p>
        </w:tc>
      </w:tr>
      <w:tr w:rsidR="00A06C74" w:rsidRPr="00A06C74" w14:paraId="3C8738EA" w14:textId="77777777" w:rsidTr="002B39AF">
        <w:trPr>
          <w:trHeight w:val="284"/>
        </w:trPr>
        <w:tc>
          <w:tcPr>
            <w:tcW w:w="4092" w:type="pct"/>
            <w:tcBorders>
              <w:top w:val="nil"/>
              <w:left w:val="nil"/>
              <w:bottom w:val="nil"/>
              <w:right w:val="single" w:sz="4" w:space="0" w:color="auto"/>
            </w:tcBorders>
            <w:shd w:val="clear" w:color="auto" w:fill="auto"/>
            <w:tcMar>
              <w:top w:w="28" w:type="dxa"/>
              <w:left w:w="15" w:type="dxa"/>
              <w:bottom w:w="28" w:type="dxa"/>
              <w:right w:w="15" w:type="dxa"/>
            </w:tcMar>
            <w:vAlign w:val="center"/>
            <w:hideMark/>
          </w:tcPr>
          <w:p w14:paraId="1F81F313" w14:textId="77777777" w:rsidR="00A06C74" w:rsidRPr="00A06C74" w:rsidRDefault="00A06C74" w:rsidP="00BF715B">
            <w:pPr>
              <w:jc w:val="left"/>
              <w:rPr>
                <w:rFonts w:cs="Arial"/>
                <w:b/>
                <w:bCs/>
                <w:color w:val="000000"/>
                <w:sz w:val="20"/>
                <w:szCs w:val="20"/>
              </w:rPr>
            </w:pPr>
            <w:r w:rsidRPr="00A06C74">
              <w:rPr>
                <w:rFonts w:cs="Arial"/>
                <w:b/>
                <w:bCs/>
                <w:color w:val="000000"/>
                <w:sz w:val="20"/>
                <w:szCs w:val="20"/>
              </w:rPr>
              <w:t>1- Receita de Impostos</w:t>
            </w:r>
          </w:p>
        </w:tc>
        <w:tc>
          <w:tcPr>
            <w:tcW w:w="908" w:type="pct"/>
            <w:tcBorders>
              <w:top w:val="single" w:sz="4" w:space="0" w:color="auto"/>
              <w:left w:val="single" w:sz="4" w:space="0" w:color="auto"/>
              <w:bottom w:val="nil"/>
              <w:right w:val="nil"/>
            </w:tcBorders>
            <w:shd w:val="clear" w:color="auto" w:fill="auto"/>
            <w:tcMar>
              <w:top w:w="28" w:type="dxa"/>
              <w:left w:w="15" w:type="dxa"/>
              <w:bottom w:w="28" w:type="dxa"/>
              <w:right w:w="15" w:type="dxa"/>
            </w:tcMar>
            <w:vAlign w:val="center"/>
            <w:hideMark/>
          </w:tcPr>
          <w:p w14:paraId="5756EB21" w14:textId="77777777" w:rsidR="00A06C74" w:rsidRPr="00A06C74" w:rsidRDefault="00A06C74" w:rsidP="00BF715B">
            <w:pPr>
              <w:jc w:val="right"/>
              <w:rPr>
                <w:rFonts w:cs="Arial"/>
                <w:b/>
                <w:bCs/>
                <w:color w:val="000000"/>
                <w:sz w:val="20"/>
                <w:szCs w:val="20"/>
              </w:rPr>
            </w:pPr>
            <w:r w:rsidRPr="00A06C74">
              <w:rPr>
                <w:rFonts w:cs="Arial"/>
                <w:b/>
                <w:bCs/>
                <w:color w:val="000000"/>
                <w:sz w:val="20"/>
                <w:szCs w:val="20"/>
              </w:rPr>
              <w:t>31.312.410.050</w:t>
            </w:r>
          </w:p>
        </w:tc>
      </w:tr>
      <w:tr w:rsidR="00A06C74" w:rsidRPr="00A06C74" w14:paraId="470D97DC" w14:textId="77777777" w:rsidTr="002B39AF">
        <w:trPr>
          <w:trHeight w:val="284"/>
        </w:trPr>
        <w:tc>
          <w:tcPr>
            <w:tcW w:w="4092" w:type="pct"/>
            <w:tcBorders>
              <w:top w:val="nil"/>
              <w:left w:val="nil"/>
              <w:bottom w:val="nil"/>
              <w:right w:val="single" w:sz="4" w:space="0" w:color="auto"/>
            </w:tcBorders>
            <w:shd w:val="clear" w:color="auto" w:fill="auto"/>
            <w:noWrap/>
            <w:tcMar>
              <w:top w:w="28" w:type="dxa"/>
              <w:left w:w="270" w:type="dxa"/>
              <w:bottom w:w="28" w:type="dxa"/>
              <w:right w:w="15" w:type="dxa"/>
            </w:tcMar>
            <w:vAlign w:val="center"/>
            <w:hideMark/>
          </w:tcPr>
          <w:p w14:paraId="2A9F4060" w14:textId="77777777" w:rsidR="00A06C74" w:rsidRPr="00A06C74" w:rsidRDefault="00A06C74" w:rsidP="00BF715B">
            <w:pPr>
              <w:ind w:firstLineChars="9" w:firstLine="18"/>
              <w:jc w:val="left"/>
              <w:rPr>
                <w:rFonts w:cs="Arial"/>
                <w:color w:val="000000"/>
                <w:sz w:val="20"/>
                <w:szCs w:val="20"/>
              </w:rPr>
            </w:pPr>
            <w:r w:rsidRPr="00A06C74">
              <w:rPr>
                <w:rFonts w:cs="Arial"/>
                <w:color w:val="000000"/>
                <w:sz w:val="20"/>
                <w:szCs w:val="20"/>
              </w:rPr>
              <w:t>1.1- Receita Resultante do ICMS</w:t>
            </w:r>
          </w:p>
        </w:tc>
        <w:tc>
          <w:tcPr>
            <w:tcW w:w="908" w:type="pct"/>
            <w:tcBorders>
              <w:top w:val="nil"/>
              <w:left w:val="single" w:sz="4" w:space="0" w:color="auto"/>
              <w:bottom w:val="nil"/>
              <w:right w:val="nil"/>
            </w:tcBorders>
            <w:shd w:val="clear" w:color="auto" w:fill="auto"/>
            <w:noWrap/>
            <w:tcMar>
              <w:top w:w="28" w:type="dxa"/>
              <w:left w:w="15" w:type="dxa"/>
              <w:bottom w:w="28" w:type="dxa"/>
              <w:right w:w="15" w:type="dxa"/>
            </w:tcMar>
            <w:vAlign w:val="center"/>
            <w:hideMark/>
          </w:tcPr>
          <w:p w14:paraId="3A7574C6" w14:textId="77777777" w:rsidR="00A06C74" w:rsidRPr="00A06C74" w:rsidRDefault="00A06C74" w:rsidP="00BF715B">
            <w:pPr>
              <w:jc w:val="right"/>
              <w:rPr>
                <w:rFonts w:cs="Arial"/>
                <w:color w:val="000000"/>
                <w:sz w:val="20"/>
                <w:szCs w:val="20"/>
              </w:rPr>
            </w:pPr>
            <w:r w:rsidRPr="00A06C74">
              <w:rPr>
                <w:rFonts w:cs="Arial"/>
                <w:color w:val="000000"/>
                <w:sz w:val="20"/>
                <w:szCs w:val="20"/>
              </w:rPr>
              <w:t>24.349.471.727</w:t>
            </w:r>
          </w:p>
        </w:tc>
      </w:tr>
      <w:tr w:rsidR="00A06C74" w:rsidRPr="00A06C74" w14:paraId="7B339422" w14:textId="77777777" w:rsidTr="002B39AF">
        <w:trPr>
          <w:trHeight w:val="284"/>
        </w:trPr>
        <w:tc>
          <w:tcPr>
            <w:tcW w:w="4092" w:type="pct"/>
            <w:tcBorders>
              <w:top w:val="nil"/>
              <w:left w:val="nil"/>
              <w:bottom w:val="nil"/>
              <w:right w:val="single" w:sz="4" w:space="0" w:color="auto"/>
            </w:tcBorders>
            <w:shd w:val="clear" w:color="auto" w:fill="auto"/>
            <w:noWrap/>
            <w:tcMar>
              <w:top w:w="28" w:type="dxa"/>
              <w:left w:w="540" w:type="dxa"/>
              <w:bottom w:w="28" w:type="dxa"/>
              <w:right w:w="15" w:type="dxa"/>
            </w:tcMar>
            <w:vAlign w:val="center"/>
            <w:hideMark/>
          </w:tcPr>
          <w:p w14:paraId="6F87BB25" w14:textId="77777777" w:rsidR="00A06C74" w:rsidRPr="00A06C74" w:rsidRDefault="00A06C74" w:rsidP="00BF715B">
            <w:pPr>
              <w:ind w:firstLineChars="84" w:firstLine="168"/>
              <w:jc w:val="left"/>
              <w:rPr>
                <w:rFonts w:cs="Arial"/>
                <w:color w:val="000000"/>
                <w:sz w:val="20"/>
                <w:szCs w:val="20"/>
              </w:rPr>
            </w:pPr>
            <w:r w:rsidRPr="00A06C74">
              <w:rPr>
                <w:rFonts w:cs="Arial"/>
                <w:color w:val="000000"/>
                <w:sz w:val="20"/>
                <w:szCs w:val="20"/>
              </w:rPr>
              <w:t>1.1.1- ICMS - Principal e Encargos</w:t>
            </w:r>
          </w:p>
        </w:tc>
        <w:tc>
          <w:tcPr>
            <w:tcW w:w="908" w:type="pct"/>
            <w:tcBorders>
              <w:top w:val="nil"/>
              <w:left w:val="single" w:sz="4" w:space="0" w:color="auto"/>
              <w:bottom w:val="nil"/>
              <w:right w:val="nil"/>
            </w:tcBorders>
            <w:shd w:val="clear" w:color="auto" w:fill="auto"/>
            <w:noWrap/>
            <w:tcMar>
              <w:top w:w="28" w:type="dxa"/>
              <w:left w:w="15" w:type="dxa"/>
              <w:bottom w:w="28" w:type="dxa"/>
              <w:right w:w="15" w:type="dxa"/>
            </w:tcMar>
            <w:vAlign w:val="center"/>
            <w:hideMark/>
          </w:tcPr>
          <w:p w14:paraId="45236DAE" w14:textId="77777777" w:rsidR="00A06C74" w:rsidRPr="00A06C74" w:rsidRDefault="00A06C74" w:rsidP="00BF715B">
            <w:pPr>
              <w:jc w:val="right"/>
              <w:rPr>
                <w:rFonts w:cs="Arial"/>
                <w:color w:val="000000"/>
                <w:sz w:val="20"/>
                <w:szCs w:val="20"/>
              </w:rPr>
            </w:pPr>
            <w:r w:rsidRPr="00A06C74">
              <w:rPr>
                <w:rFonts w:cs="Arial"/>
                <w:color w:val="000000"/>
                <w:sz w:val="20"/>
                <w:szCs w:val="20"/>
              </w:rPr>
              <w:t>24.016.421.190</w:t>
            </w:r>
          </w:p>
        </w:tc>
      </w:tr>
      <w:tr w:rsidR="00A06C74" w:rsidRPr="00A06C74" w14:paraId="03B0A7B8" w14:textId="77777777" w:rsidTr="002B39AF">
        <w:trPr>
          <w:trHeight w:val="284"/>
        </w:trPr>
        <w:tc>
          <w:tcPr>
            <w:tcW w:w="4092" w:type="pct"/>
            <w:tcBorders>
              <w:top w:val="nil"/>
              <w:left w:val="nil"/>
              <w:bottom w:val="nil"/>
              <w:right w:val="single" w:sz="4" w:space="0" w:color="auto"/>
            </w:tcBorders>
            <w:shd w:val="clear" w:color="auto" w:fill="auto"/>
            <w:noWrap/>
            <w:tcMar>
              <w:top w:w="28" w:type="dxa"/>
              <w:left w:w="540" w:type="dxa"/>
              <w:bottom w:w="28" w:type="dxa"/>
              <w:right w:w="15" w:type="dxa"/>
            </w:tcMar>
            <w:vAlign w:val="center"/>
            <w:hideMark/>
          </w:tcPr>
          <w:p w14:paraId="04C6DA16" w14:textId="77777777" w:rsidR="00A06C74" w:rsidRPr="00A06C74" w:rsidRDefault="00A06C74" w:rsidP="00BF715B">
            <w:pPr>
              <w:ind w:firstLineChars="84" w:firstLine="168"/>
              <w:jc w:val="left"/>
              <w:rPr>
                <w:rFonts w:cs="Arial"/>
                <w:color w:val="000000"/>
                <w:sz w:val="20"/>
                <w:szCs w:val="20"/>
              </w:rPr>
            </w:pPr>
            <w:r w:rsidRPr="00A06C74">
              <w:rPr>
                <w:rFonts w:cs="Arial"/>
                <w:color w:val="000000"/>
                <w:sz w:val="20"/>
                <w:szCs w:val="20"/>
              </w:rPr>
              <w:t>1.1.2- Adicional de até 2% do ICMS destinado ao Fundo de Combate à Pobreza</w:t>
            </w:r>
          </w:p>
        </w:tc>
        <w:tc>
          <w:tcPr>
            <w:tcW w:w="908" w:type="pct"/>
            <w:tcBorders>
              <w:top w:val="nil"/>
              <w:left w:val="single" w:sz="4" w:space="0" w:color="auto"/>
              <w:bottom w:val="nil"/>
              <w:right w:val="nil"/>
            </w:tcBorders>
            <w:shd w:val="clear" w:color="auto" w:fill="auto"/>
            <w:noWrap/>
            <w:tcMar>
              <w:top w:w="28" w:type="dxa"/>
              <w:left w:w="15" w:type="dxa"/>
              <w:bottom w:w="28" w:type="dxa"/>
              <w:right w:w="15" w:type="dxa"/>
            </w:tcMar>
            <w:vAlign w:val="center"/>
            <w:hideMark/>
          </w:tcPr>
          <w:p w14:paraId="5BA929AD" w14:textId="77777777" w:rsidR="00A06C74" w:rsidRPr="00A06C74" w:rsidRDefault="00A06C74" w:rsidP="00BF715B">
            <w:pPr>
              <w:jc w:val="right"/>
              <w:rPr>
                <w:rFonts w:cs="Arial"/>
                <w:color w:val="000000"/>
                <w:sz w:val="20"/>
                <w:szCs w:val="20"/>
              </w:rPr>
            </w:pPr>
            <w:r w:rsidRPr="00A06C74">
              <w:rPr>
                <w:rFonts w:cs="Arial"/>
                <w:color w:val="000000"/>
                <w:sz w:val="20"/>
                <w:szCs w:val="20"/>
              </w:rPr>
              <w:t>333.050.538</w:t>
            </w:r>
          </w:p>
        </w:tc>
      </w:tr>
      <w:tr w:rsidR="00A06C74" w:rsidRPr="00A06C74" w14:paraId="02057B4C" w14:textId="77777777" w:rsidTr="002B39AF">
        <w:trPr>
          <w:trHeight w:val="284"/>
        </w:trPr>
        <w:tc>
          <w:tcPr>
            <w:tcW w:w="4092" w:type="pct"/>
            <w:tcBorders>
              <w:top w:val="nil"/>
              <w:left w:val="nil"/>
              <w:bottom w:val="nil"/>
              <w:right w:val="single" w:sz="4" w:space="0" w:color="auto"/>
            </w:tcBorders>
            <w:shd w:val="clear" w:color="auto" w:fill="auto"/>
            <w:noWrap/>
            <w:tcMar>
              <w:top w:w="28" w:type="dxa"/>
              <w:left w:w="270" w:type="dxa"/>
              <w:bottom w:w="28" w:type="dxa"/>
              <w:right w:w="15" w:type="dxa"/>
            </w:tcMar>
            <w:vAlign w:val="center"/>
            <w:hideMark/>
          </w:tcPr>
          <w:p w14:paraId="2B1EF777" w14:textId="77777777" w:rsidR="00A06C74" w:rsidRPr="00A06C74" w:rsidRDefault="00A06C74" w:rsidP="00BF715B">
            <w:pPr>
              <w:ind w:firstLineChars="9" w:firstLine="18"/>
              <w:jc w:val="left"/>
              <w:rPr>
                <w:rFonts w:cs="Arial"/>
                <w:color w:val="000000"/>
                <w:sz w:val="20"/>
                <w:szCs w:val="20"/>
              </w:rPr>
            </w:pPr>
            <w:r w:rsidRPr="00A06C74">
              <w:rPr>
                <w:rFonts w:cs="Arial"/>
                <w:color w:val="000000"/>
                <w:sz w:val="20"/>
                <w:szCs w:val="20"/>
              </w:rPr>
              <w:t>1.2- Receita Resultante do ITCD</w:t>
            </w:r>
          </w:p>
        </w:tc>
        <w:tc>
          <w:tcPr>
            <w:tcW w:w="908" w:type="pct"/>
            <w:tcBorders>
              <w:top w:val="nil"/>
              <w:left w:val="single" w:sz="4" w:space="0" w:color="auto"/>
              <w:bottom w:val="nil"/>
              <w:right w:val="nil"/>
            </w:tcBorders>
            <w:shd w:val="clear" w:color="auto" w:fill="auto"/>
            <w:noWrap/>
            <w:tcMar>
              <w:top w:w="28" w:type="dxa"/>
              <w:left w:w="15" w:type="dxa"/>
              <w:bottom w:w="28" w:type="dxa"/>
              <w:right w:w="15" w:type="dxa"/>
            </w:tcMar>
            <w:vAlign w:val="center"/>
            <w:hideMark/>
          </w:tcPr>
          <w:p w14:paraId="5E085DDB" w14:textId="77777777" w:rsidR="00A06C74" w:rsidRPr="00A06C74" w:rsidRDefault="00A06C74" w:rsidP="00BF715B">
            <w:pPr>
              <w:jc w:val="right"/>
              <w:rPr>
                <w:rFonts w:cs="Arial"/>
                <w:color w:val="000000"/>
                <w:sz w:val="20"/>
                <w:szCs w:val="20"/>
              </w:rPr>
            </w:pPr>
            <w:r w:rsidRPr="00A06C74">
              <w:rPr>
                <w:rFonts w:cs="Arial"/>
                <w:color w:val="000000"/>
                <w:sz w:val="20"/>
                <w:szCs w:val="20"/>
              </w:rPr>
              <w:t>1.230.821.211</w:t>
            </w:r>
          </w:p>
        </w:tc>
      </w:tr>
      <w:tr w:rsidR="00A06C74" w:rsidRPr="00A06C74" w14:paraId="0AB71B41" w14:textId="77777777" w:rsidTr="002B39AF">
        <w:trPr>
          <w:trHeight w:val="284"/>
        </w:trPr>
        <w:tc>
          <w:tcPr>
            <w:tcW w:w="4092" w:type="pct"/>
            <w:tcBorders>
              <w:top w:val="nil"/>
              <w:left w:val="nil"/>
              <w:bottom w:val="nil"/>
              <w:right w:val="single" w:sz="4" w:space="0" w:color="auto"/>
            </w:tcBorders>
            <w:shd w:val="clear" w:color="auto" w:fill="auto"/>
            <w:noWrap/>
            <w:tcMar>
              <w:top w:w="28" w:type="dxa"/>
              <w:left w:w="270" w:type="dxa"/>
              <w:bottom w:w="28" w:type="dxa"/>
              <w:right w:w="15" w:type="dxa"/>
            </w:tcMar>
            <w:vAlign w:val="center"/>
            <w:hideMark/>
          </w:tcPr>
          <w:p w14:paraId="2757B2D5" w14:textId="77777777" w:rsidR="00A06C74" w:rsidRPr="00A06C74" w:rsidRDefault="00A06C74" w:rsidP="00BF715B">
            <w:pPr>
              <w:ind w:firstLineChars="9" w:firstLine="18"/>
              <w:jc w:val="left"/>
              <w:rPr>
                <w:rFonts w:cs="Arial"/>
                <w:color w:val="000000"/>
                <w:sz w:val="20"/>
                <w:szCs w:val="20"/>
              </w:rPr>
            </w:pPr>
            <w:r w:rsidRPr="00A06C74">
              <w:rPr>
                <w:rFonts w:cs="Arial"/>
                <w:color w:val="000000"/>
                <w:sz w:val="20"/>
                <w:szCs w:val="20"/>
              </w:rPr>
              <w:t>1.3- Receita Resultante do IPVA</w:t>
            </w:r>
          </w:p>
        </w:tc>
        <w:tc>
          <w:tcPr>
            <w:tcW w:w="908" w:type="pct"/>
            <w:tcBorders>
              <w:top w:val="nil"/>
              <w:left w:val="single" w:sz="4" w:space="0" w:color="auto"/>
              <w:bottom w:val="nil"/>
              <w:right w:val="nil"/>
            </w:tcBorders>
            <w:shd w:val="clear" w:color="auto" w:fill="auto"/>
            <w:noWrap/>
            <w:tcMar>
              <w:top w:w="28" w:type="dxa"/>
              <w:left w:w="15" w:type="dxa"/>
              <w:bottom w:w="28" w:type="dxa"/>
              <w:right w:w="15" w:type="dxa"/>
            </w:tcMar>
            <w:vAlign w:val="center"/>
            <w:hideMark/>
          </w:tcPr>
          <w:p w14:paraId="6A744CE7" w14:textId="77777777" w:rsidR="00A06C74" w:rsidRPr="00A06C74" w:rsidRDefault="00A06C74" w:rsidP="00BF715B">
            <w:pPr>
              <w:jc w:val="right"/>
              <w:rPr>
                <w:rFonts w:cs="Arial"/>
                <w:color w:val="000000"/>
                <w:sz w:val="20"/>
                <w:szCs w:val="20"/>
              </w:rPr>
            </w:pPr>
            <w:r w:rsidRPr="00A06C74">
              <w:rPr>
                <w:rFonts w:cs="Arial"/>
                <w:color w:val="000000"/>
                <w:sz w:val="20"/>
                <w:szCs w:val="20"/>
              </w:rPr>
              <w:t>3.187.942.528</w:t>
            </w:r>
          </w:p>
        </w:tc>
      </w:tr>
      <w:tr w:rsidR="00A06C74" w:rsidRPr="00A06C74" w14:paraId="3DE582AB" w14:textId="77777777" w:rsidTr="002B39AF">
        <w:trPr>
          <w:trHeight w:val="284"/>
        </w:trPr>
        <w:tc>
          <w:tcPr>
            <w:tcW w:w="4092" w:type="pct"/>
            <w:tcBorders>
              <w:top w:val="nil"/>
              <w:left w:val="nil"/>
              <w:bottom w:val="nil"/>
              <w:right w:val="single" w:sz="4" w:space="0" w:color="auto"/>
            </w:tcBorders>
            <w:shd w:val="clear" w:color="auto" w:fill="auto"/>
            <w:noWrap/>
            <w:tcMar>
              <w:top w:w="28" w:type="dxa"/>
              <w:left w:w="270" w:type="dxa"/>
              <w:bottom w:w="28" w:type="dxa"/>
              <w:right w:w="15" w:type="dxa"/>
            </w:tcMar>
            <w:vAlign w:val="center"/>
            <w:hideMark/>
          </w:tcPr>
          <w:p w14:paraId="2D9D3E38" w14:textId="77777777" w:rsidR="00A06C74" w:rsidRPr="00A06C74" w:rsidRDefault="00A06C74" w:rsidP="00BF715B">
            <w:pPr>
              <w:ind w:firstLineChars="9" w:firstLine="18"/>
              <w:jc w:val="left"/>
              <w:rPr>
                <w:rFonts w:cs="Arial"/>
                <w:color w:val="000000"/>
                <w:sz w:val="20"/>
                <w:szCs w:val="20"/>
              </w:rPr>
            </w:pPr>
            <w:r w:rsidRPr="00A06C74">
              <w:rPr>
                <w:rFonts w:cs="Arial"/>
                <w:color w:val="000000"/>
                <w:sz w:val="20"/>
                <w:szCs w:val="20"/>
              </w:rPr>
              <w:t>1.4- Receita Resultante do IRRF</w:t>
            </w:r>
          </w:p>
        </w:tc>
        <w:tc>
          <w:tcPr>
            <w:tcW w:w="908" w:type="pct"/>
            <w:tcBorders>
              <w:top w:val="nil"/>
              <w:left w:val="single" w:sz="4" w:space="0" w:color="auto"/>
              <w:bottom w:val="nil"/>
              <w:right w:val="nil"/>
            </w:tcBorders>
            <w:shd w:val="clear" w:color="auto" w:fill="auto"/>
            <w:noWrap/>
            <w:tcMar>
              <w:top w:w="28" w:type="dxa"/>
              <w:left w:w="15" w:type="dxa"/>
              <w:bottom w:w="28" w:type="dxa"/>
              <w:right w:w="15" w:type="dxa"/>
            </w:tcMar>
            <w:vAlign w:val="center"/>
            <w:hideMark/>
          </w:tcPr>
          <w:p w14:paraId="0468A744" w14:textId="77777777" w:rsidR="00A06C74" w:rsidRPr="00A06C74" w:rsidRDefault="00A06C74" w:rsidP="00BF715B">
            <w:pPr>
              <w:jc w:val="right"/>
              <w:rPr>
                <w:rFonts w:cs="Arial"/>
                <w:color w:val="000000"/>
                <w:sz w:val="20"/>
                <w:szCs w:val="20"/>
              </w:rPr>
            </w:pPr>
            <w:r w:rsidRPr="00A06C74">
              <w:rPr>
                <w:rFonts w:cs="Arial"/>
                <w:color w:val="000000"/>
                <w:sz w:val="20"/>
                <w:szCs w:val="20"/>
              </w:rPr>
              <w:t>2.544.174.583</w:t>
            </w:r>
          </w:p>
        </w:tc>
      </w:tr>
      <w:tr w:rsidR="00A06C74" w:rsidRPr="00A06C74" w14:paraId="67A6A5A2" w14:textId="77777777" w:rsidTr="002B39AF">
        <w:trPr>
          <w:trHeight w:val="284"/>
        </w:trPr>
        <w:tc>
          <w:tcPr>
            <w:tcW w:w="4092" w:type="pct"/>
            <w:tcBorders>
              <w:top w:val="nil"/>
              <w:left w:val="nil"/>
              <w:bottom w:val="nil"/>
              <w:right w:val="single" w:sz="4" w:space="0" w:color="auto"/>
            </w:tcBorders>
            <w:shd w:val="clear" w:color="auto" w:fill="auto"/>
            <w:noWrap/>
            <w:tcMar>
              <w:top w:w="28" w:type="dxa"/>
              <w:left w:w="15" w:type="dxa"/>
              <w:bottom w:w="28" w:type="dxa"/>
              <w:right w:w="15" w:type="dxa"/>
            </w:tcMar>
            <w:vAlign w:val="center"/>
            <w:hideMark/>
          </w:tcPr>
          <w:p w14:paraId="28D29EFB" w14:textId="77777777" w:rsidR="00A06C74" w:rsidRPr="00A06C74" w:rsidRDefault="00A06C74" w:rsidP="00BF715B">
            <w:pPr>
              <w:jc w:val="left"/>
              <w:rPr>
                <w:rFonts w:cs="Arial"/>
                <w:b/>
                <w:bCs/>
                <w:color w:val="000000"/>
                <w:sz w:val="20"/>
                <w:szCs w:val="20"/>
              </w:rPr>
            </w:pPr>
            <w:r w:rsidRPr="00A06C74">
              <w:rPr>
                <w:rFonts w:cs="Arial"/>
                <w:b/>
                <w:bCs/>
                <w:color w:val="000000"/>
                <w:sz w:val="20"/>
                <w:szCs w:val="20"/>
              </w:rPr>
              <w:t>2- Receita de Transferências Constitucionais e Legais</w:t>
            </w:r>
          </w:p>
        </w:tc>
        <w:tc>
          <w:tcPr>
            <w:tcW w:w="908" w:type="pct"/>
            <w:tcBorders>
              <w:top w:val="nil"/>
              <w:left w:val="single" w:sz="4" w:space="0" w:color="auto"/>
              <w:bottom w:val="nil"/>
              <w:right w:val="nil"/>
            </w:tcBorders>
            <w:shd w:val="clear" w:color="auto" w:fill="auto"/>
            <w:noWrap/>
            <w:tcMar>
              <w:top w:w="28" w:type="dxa"/>
              <w:left w:w="15" w:type="dxa"/>
              <w:bottom w:w="28" w:type="dxa"/>
              <w:right w:w="15" w:type="dxa"/>
            </w:tcMar>
            <w:vAlign w:val="center"/>
            <w:hideMark/>
          </w:tcPr>
          <w:p w14:paraId="3329DA40" w14:textId="77777777" w:rsidR="00A06C74" w:rsidRPr="00A06C74" w:rsidRDefault="00A06C74" w:rsidP="00BF715B">
            <w:pPr>
              <w:jc w:val="right"/>
              <w:rPr>
                <w:rFonts w:cs="Arial"/>
                <w:b/>
                <w:bCs/>
                <w:color w:val="000000"/>
                <w:sz w:val="20"/>
                <w:szCs w:val="20"/>
              </w:rPr>
            </w:pPr>
            <w:r w:rsidRPr="00A06C74">
              <w:rPr>
                <w:rFonts w:cs="Arial"/>
                <w:b/>
                <w:bCs/>
                <w:color w:val="000000"/>
                <w:sz w:val="20"/>
                <w:szCs w:val="20"/>
              </w:rPr>
              <w:t>6.185.282.319</w:t>
            </w:r>
          </w:p>
        </w:tc>
      </w:tr>
      <w:tr w:rsidR="00A06C74" w:rsidRPr="00A06C74" w14:paraId="7BF00A04" w14:textId="77777777" w:rsidTr="002B39AF">
        <w:trPr>
          <w:trHeight w:val="284"/>
        </w:trPr>
        <w:tc>
          <w:tcPr>
            <w:tcW w:w="4092" w:type="pct"/>
            <w:tcBorders>
              <w:top w:val="nil"/>
              <w:left w:val="nil"/>
              <w:bottom w:val="nil"/>
              <w:right w:val="single" w:sz="4" w:space="0" w:color="auto"/>
            </w:tcBorders>
            <w:shd w:val="clear" w:color="auto" w:fill="auto"/>
            <w:noWrap/>
            <w:tcMar>
              <w:top w:w="28" w:type="dxa"/>
              <w:left w:w="270" w:type="dxa"/>
              <w:bottom w:w="28" w:type="dxa"/>
              <w:right w:w="15" w:type="dxa"/>
            </w:tcMar>
            <w:vAlign w:val="center"/>
            <w:hideMark/>
          </w:tcPr>
          <w:p w14:paraId="7F2D36A0" w14:textId="77777777" w:rsidR="00A06C74" w:rsidRPr="00A06C74" w:rsidRDefault="00A06C74" w:rsidP="00BF715B">
            <w:pPr>
              <w:ind w:firstLineChars="9" w:firstLine="18"/>
              <w:jc w:val="left"/>
              <w:rPr>
                <w:rFonts w:cs="Arial"/>
                <w:color w:val="000000"/>
                <w:sz w:val="20"/>
                <w:szCs w:val="20"/>
              </w:rPr>
            </w:pPr>
            <w:r w:rsidRPr="00A06C74">
              <w:rPr>
                <w:rFonts w:cs="Arial"/>
                <w:color w:val="000000"/>
                <w:sz w:val="20"/>
                <w:szCs w:val="20"/>
              </w:rPr>
              <w:t>2.1- Cota-Parte FPE</w:t>
            </w:r>
          </w:p>
        </w:tc>
        <w:tc>
          <w:tcPr>
            <w:tcW w:w="908" w:type="pct"/>
            <w:tcBorders>
              <w:top w:val="nil"/>
              <w:left w:val="single" w:sz="4" w:space="0" w:color="auto"/>
              <w:bottom w:val="nil"/>
              <w:right w:val="nil"/>
            </w:tcBorders>
            <w:shd w:val="clear" w:color="auto" w:fill="auto"/>
            <w:noWrap/>
            <w:tcMar>
              <w:top w:w="28" w:type="dxa"/>
              <w:left w:w="15" w:type="dxa"/>
              <w:bottom w:w="28" w:type="dxa"/>
              <w:right w:w="15" w:type="dxa"/>
            </w:tcMar>
            <w:vAlign w:val="center"/>
            <w:hideMark/>
          </w:tcPr>
          <w:p w14:paraId="0495A538" w14:textId="77777777" w:rsidR="00A06C74" w:rsidRPr="00A06C74" w:rsidRDefault="00A06C74" w:rsidP="00BF715B">
            <w:pPr>
              <w:jc w:val="right"/>
              <w:rPr>
                <w:rFonts w:cs="Arial"/>
                <w:color w:val="000000"/>
                <w:sz w:val="20"/>
                <w:szCs w:val="20"/>
              </w:rPr>
            </w:pPr>
            <w:r w:rsidRPr="00A06C74">
              <w:rPr>
                <w:rFonts w:cs="Arial"/>
                <w:color w:val="000000"/>
                <w:sz w:val="20"/>
                <w:szCs w:val="20"/>
              </w:rPr>
              <w:t>4.802.966.909</w:t>
            </w:r>
          </w:p>
        </w:tc>
      </w:tr>
      <w:tr w:rsidR="00A06C74" w:rsidRPr="00A06C74" w14:paraId="1AA23AB1" w14:textId="77777777" w:rsidTr="002B39AF">
        <w:trPr>
          <w:trHeight w:val="284"/>
        </w:trPr>
        <w:tc>
          <w:tcPr>
            <w:tcW w:w="4092" w:type="pct"/>
            <w:tcBorders>
              <w:top w:val="nil"/>
              <w:left w:val="nil"/>
              <w:bottom w:val="nil"/>
              <w:right w:val="single" w:sz="4" w:space="0" w:color="auto"/>
            </w:tcBorders>
            <w:shd w:val="clear" w:color="auto" w:fill="auto"/>
            <w:noWrap/>
            <w:tcMar>
              <w:top w:w="28" w:type="dxa"/>
              <w:left w:w="270" w:type="dxa"/>
              <w:bottom w:w="28" w:type="dxa"/>
              <w:right w:w="15" w:type="dxa"/>
            </w:tcMar>
            <w:vAlign w:val="center"/>
            <w:hideMark/>
          </w:tcPr>
          <w:p w14:paraId="42BD2FE4" w14:textId="77777777" w:rsidR="00A06C74" w:rsidRPr="00A06C74" w:rsidRDefault="00A06C74" w:rsidP="00BF715B">
            <w:pPr>
              <w:ind w:firstLineChars="9" w:firstLine="18"/>
              <w:jc w:val="left"/>
              <w:rPr>
                <w:rFonts w:cs="Arial"/>
                <w:color w:val="000000"/>
                <w:sz w:val="20"/>
                <w:szCs w:val="20"/>
              </w:rPr>
            </w:pPr>
            <w:r w:rsidRPr="00A06C74">
              <w:rPr>
                <w:rFonts w:cs="Arial"/>
                <w:color w:val="000000"/>
                <w:sz w:val="20"/>
                <w:szCs w:val="20"/>
              </w:rPr>
              <w:t>2.2- Cota-Parte IPI-Exportação</w:t>
            </w:r>
          </w:p>
        </w:tc>
        <w:tc>
          <w:tcPr>
            <w:tcW w:w="908" w:type="pct"/>
            <w:tcBorders>
              <w:top w:val="nil"/>
              <w:left w:val="single" w:sz="4" w:space="0" w:color="auto"/>
              <w:bottom w:val="nil"/>
              <w:right w:val="nil"/>
            </w:tcBorders>
            <w:shd w:val="clear" w:color="auto" w:fill="auto"/>
            <w:noWrap/>
            <w:tcMar>
              <w:top w:w="28" w:type="dxa"/>
              <w:left w:w="15" w:type="dxa"/>
              <w:bottom w:w="28" w:type="dxa"/>
              <w:right w:w="15" w:type="dxa"/>
            </w:tcMar>
            <w:vAlign w:val="center"/>
            <w:hideMark/>
          </w:tcPr>
          <w:p w14:paraId="6EE32228" w14:textId="77777777" w:rsidR="00A06C74" w:rsidRPr="00A06C74" w:rsidRDefault="00A06C74" w:rsidP="00BF715B">
            <w:pPr>
              <w:jc w:val="right"/>
              <w:rPr>
                <w:rFonts w:cs="Arial"/>
                <w:color w:val="000000"/>
                <w:sz w:val="20"/>
                <w:szCs w:val="20"/>
              </w:rPr>
            </w:pPr>
            <w:r w:rsidRPr="00A06C74">
              <w:rPr>
                <w:rFonts w:cs="Arial"/>
                <w:color w:val="000000"/>
                <w:sz w:val="20"/>
                <w:szCs w:val="20"/>
              </w:rPr>
              <w:t>142.246.816</w:t>
            </w:r>
          </w:p>
        </w:tc>
      </w:tr>
      <w:tr w:rsidR="00A06C74" w:rsidRPr="00A06C74" w14:paraId="55A309BE" w14:textId="77777777" w:rsidTr="002B39AF">
        <w:trPr>
          <w:trHeight w:val="284"/>
        </w:trPr>
        <w:tc>
          <w:tcPr>
            <w:tcW w:w="4092" w:type="pct"/>
            <w:tcBorders>
              <w:top w:val="nil"/>
              <w:left w:val="nil"/>
              <w:bottom w:val="nil"/>
              <w:right w:val="single" w:sz="4" w:space="0" w:color="auto"/>
            </w:tcBorders>
            <w:shd w:val="clear" w:color="auto" w:fill="auto"/>
            <w:noWrap/>
            <w:tcMar>
              <w:top w:w="28" w:type="dxa"/>
              <w:left w:w="270" w:type="dxa"/>
              <w:bottom w:w="28" w:type="dxa"/>
              <w:right w:w="15" w:type="dxa"/>
            </w:tcMar>
            <w:vAlign w:val="center"/>
            <w:hideMark/>
          </w:tcPr>
          <w:p w14:paraId="5CB249FA" w14:textId="77777777" w:rsidR="00A06C74" w:rsidRPr="00A06C74" w:rsidRDefault="00A06C74" w:rsidP="00BF715B">
            <w:pPr>
              <w:ind w:firstLineChars="9" w:firstLine="18"/>
              <w:jc w:val="left"/>
              <w:rPr>
                <w:rFonts w:cs="Arial"/>
                <w:color w:val="000000"/>
                <w:sz w:val="20"/>
                <w:szCs w:val="20"/>
              </w:rPr>
            </w:pPr>
            <w:r w:rsidRPr="00A06C74">
              <w:rPr>
                <w:rFonts w:cs="Arial"/>
                <w:color w:val="000000"/>
                <w:sz w:val="20"/>
                <w:szCs w:val="20"/>
              </w:rPr>
              <w:lastRenderedPageBreak/>
              <w:t>2.4- Compensações Financeiras Provenientes de Impostos e Transferências Constitucionais</w:t>
            </w:r>
          </w:p>
        </w:tc>
        <w:tc>
          <w:tcPr>
            <w:tcW w:w="908" w:type="pct"/>
            <w:tcBorders>
              <w:top w:val="nil"/>
              <w:left w:val="single" w:sz="4" w:space="0" w:color="auto"/>
              <w:bottom w:val="nil"/>
              <w:right w:val="nil"/>
            </w:tcBorders>
            <w:shd w:val="clear" w:color="auto" w:fill="auto"/>
            <w:noWrap/>
            <w:tcMar>
              <w:top w:w="28" w:type="dxa"/>
              <w:left w:w="15" w:type="dxa"/>
              <w:bottom w:w="28" w:type="dxa"/>
              <w:right w:w="15" w:type="dxa"/>
            </w:tcMar>
            <w:vAlign w:val="center"/>
            <w:hideMark/>
          </w:tcPr>
          <w:p w14:paraId="3ECCE612" w14:textId="77777777" w:rsidR="00A06C74" w:rsidRPr="00A06C74" w:rsidRDefault="00A06C74" w:rsidP="00BF715B">
            <w:pPr>
              <w:jc w:val="right"/>
              <w:rPr>
                <w:rFonts w:cs="Arial"/>
                <w:color w:val="000000"/>
                <w:sz w:val="20"/>
                <w:szCs w:val="20"/>
              </w:rPr>
            </w:pPr>
            <w:r w:rsidRPr="00A06C74">
              <w:rPr>
                <w:rFonts w:cs="Arial"/>
                <w:color w:val="000000"/>
                <w:sz w:val="20"/>
                <w:szCs w:val="20"/>
              </w:rPr>
              <w:t>1.240.068.595</w:t>
            </w:r>
          </w:p>
        </w:tc>
      </w:tr>
      <w:tr w:rsidR="00A06C74" w:rsidRPr="00A06C74" w14:paraId="5CBDFA7B" w14:textId="77777777" w:rsidTr="002B39AF">
        <w:trPr>
          <w:trHeight w:val="284"/>
        </w:trPr>
        <w:tc>
          <w:tcPr>
            <w:tcW w:w="4092" w:type="pct"/>
            <w:tcBorders>
              <w:top w:val="nil"/>
              <w:left w:val="nil"/>
              <w:bottom w:val="nil"/>
              <w:right w:val="single" w:sz="4" w:space="0" w:color="auto"/>
            </w:tcBorders>
            <w:shd w:val="clear" w:color="auto" w:fill="auto"/>
            <w:noWrap/>
            <w:tcMar>
              <w:top w:w="28" w:type="dxa"/>
              <w:left w:w="15" w:type="dxa"/>
              <w:bottom w:w="28" w:type="dxa"/>
              <w:right w:w="15" w:type="dxa"/>
            </w:tcMar>
            <w:vAlign w:val="center"/>
            <w:hideMark/>
          </w:tcPr>
          <w:p w14:paraId="6AB9A99E" w14:textId="77777777" w:rsidR="00A06C74" w:rsidRPr="00A06C74" w:rsidRDefault="00A06C74" w:rsidP="00BF715B">
            <w:pPr>
              <w:jc w:val="left"/>
              <w:rPr>
                <w:rFonts w:cs="Arial"/>
                <w:b/>
                <w:bCs/>
                <w:color w:val="000000"/>
                <w:sz w:val="20"/>
                <w:szCs w:val="20"/>
              </w:rPr>
            </w:pPr>
            <w:r w:rsidRPr="00A06C74">
              <w:rPr>
                <w:rFonts w:cs="Arial"/>
                <w:b/>
                <w:bCs/>
                <w:color w:val="000000"/>
                <w:sz w:val="20"/>
                <w:szCs w:val="20"/>
              </w:rPr>
              <w:t>3- Deduções de Transferências Constitucionais aos Municípios</w:t>
            </w:r>
          </w:p>
        </w:tc>
        <w:tc>
          <w:tcPr>
            <w:tcW w:w="908" w:type="pct"/>
            <w:tcBorders>
              <w:top w:val="nil"/>
              <w:left w:val="single" w:sz="4" w:space="0" w:color="auto"/>
              <w:bottom w:val="nil"/>
              <w:right w:val="nil"/>
            </w:tcBorders>
            <w:shd w:val="clear" w:color="auto" w:fill="auto"/>
            <w:noWrap/>
            <w:tcMar>
              <w:top w:w="28" w:type="dxa"/>
              <w:left w:w="15" w:type="dxa"/>
              <w:bottom w:w="28" w:type="dxa"/>
              <w:right w:w="15" w:type="dxa"/>
            </w:tcMar>
            <w:vAlign w:val="center"/>
            <w:hideMark/>
          </w:tcPr>
          <w:p w14:paraId="6FAD0C4E" w14:textId="77777777" w:rsidR="00A06C74" w:rsidRPr="00A06C74" w:rsidRDefault="00A06C74" w:rsidP="00BF715B">
            <w:pPr>
              <w:jc w:val="right"/>
              <w:rPr>
                <w:rFonts w:cs="Arial"/>
                <w:b/>
                <w:bCs/>
                <w:color w:val="000000"/>
                <w:sz w:val="20"/>
                <w:szCs w:val="20"/>
              </w:rPr>
            </w:pPr>
            <w:r w:rsidRPr="00A06C74">
              <w:rPr>
                <w:rFonts w:cs="Arial"/>
                <w:b/>
                <w:bCs/>
                <w:color w:val="000000"/>
                <w:sz w:val="20"/>
                <w:szCs w:val="20"/>
              </w:rPr>
              <w:t>7.926.813.339</w:t>
            </w:r>
          </w:p>
        </w:tc>
      </w:tr>
      <w:tr w:rsidR="00A06C74" w:rsidRPr="00A06C74" w14:paraId="2F229D5C" w14:textId="77777777" w:rsidTr="002B39AF">
        <w:trPr>
          <w:trHeight w:val="284"/>
        </w:trPr>
        <w:tc>
          <w:tcPr>
            <w:tcW w:w="4092" w:type="pct"/>
            <w:tcBorders>
              <w:top w:val="nil"/>
              <w:left w:val="nil"/>
              <w:bottom w:val="nil"/>
              <w:right w:val="single" w:sz="4" w:space="0" w:color="auto"/>
            </w:tcBorders>
            <w:shd w:val="clear" w:color="auto" w:fill="auto"/>
            <w:noWrap/>
            <w:tcMar>
              <w:top w:w="28" w:type="dxa"/>
              <w:left w:w="270" w:type="dxa"/>
              <w:bottom w:w="28" w:type="dxa"/>
              <w:right w:w="15" w:type="dxa"/>
            </w:tcMar>
            <w:vAlign w:val="center"/>
            <w:hideMark/>
          </w:tcPr>
          <w:p w14:paraId="7F3F1B1E" w14:textId="77777777" w:rsidR="00A06C74" w:rsidRPr="00A06C74" w:rsidRDefault="00A06C74" w:rsidP="00BF715B">
            <w:pPr>
              <w:ind w:firstLineChars="9" w:firstLine="18"/>
              <w:jc w:val="left"/>
              <w:rPr>
                <w:rFonts w:cs="Arial"/>
                <w:color w:val="000000"/>
                <w:sz w:val="20"/>
                <w:szCs w:val="20"/>
              </w:rPr>
            </w:pPr>
            <w:r w:rsidRPr="00A06C74">
              <w:rPr>
                <w:rFonts w:cs="Arial"/>
                <w:color w:val="000000"/>
                <w:sz w:val="20"/>
                <w:szCs w:val="20"/>
              </w:rPr>
              <w:t>3.1- Parcela do ICMS Repassada aos Municípios (25% de 1.1.1)</w:t>
            </w:r>
          </w:p>
        </w:tc>
        <w:tc>
          <w:tcPr>
            <w:tcW w:w="908" w:type="pct"/>
            <w:tcBorders>
              <w:top w:val="nil"/>
              <w:left w:val="single" w:sz="4" w:space="0" w:color="auto"/>
              <w:bottom w:val="nil"/>
              <w:right w:val="nil"/>
            </w:tcBorders>
            <w:shd w:val="clear" w:color="auto" w:fill="auto"/>
            <w:noWrap/>
            <w:tcMar>
              <w:top w:w="28" w:type="dxa"/>
              <w:left w:w="15" w:type="dxa"/>
              <w:bottom w:w="28" w:type="dxa"/>
              <w:right w:w="15" w:type="dxa"/>
            </w:tcMar>
            <w:vAlign w:val="center"/>
            <w:hideMark/>
          </w:tcPr>
          <w:p w14:paraId="33005751" w14:textId="77777777" w:rsidR="00A06C74" w:rsidRPr="00A06C74" w:rsidRDefault="00A06C74" w:rsidP="00BF715B">
            <w:pPr>
              <w:jc w:val="right"/>
              <w:rPr>
                <w:rFonts w:cs="Arial"/>
                <w:color w:val="000000"/>
                <w:sz w:val="20"/>
                <w:szCs w:val="20"/>
              </w:rPr>
            </w:pPr>
            <w:r w:rsidRPr="00A06C74">
              <w:rPr>
                <w:rFonts w:cs="Arial"/>
                <w:color w:val="000000"/>
                <w:sz w:val="20"/>
                <w:szCs w:val="20"/>
              </w:rPr>
              <w:t>6.297.222.837</w:t>
            </w:r>
          </w:p>
        </w:tc>
      </w:tr>
      <w:tr w:rsidR="00A06C74" w:rsidRPr="00A06C74" w14:paraId="5920A2B7" w14:textId="77777777" w:rsidTr="002B39AF">
        <w:trPr>
          <w:trHeight w:val="284"/>
        </w:trPr>
        <w:tc>
          <w:tcPr>
            <w:tcW w:w="4092" w:type="pct"/>
            <w:tcBorders>
              <w:top w:val="nil"/>
              <w:left w:val="nil"/>
              <w:bottom w:val="nil"/>
              <w:right w:val="single" w:sz="4" w:space="0" w:color="auto"/>
            </w:tcBorders>
            <w:shd w:val="clear" w:color="auto" w:fill="auto"/>
            <w:noWrap/>
            <w:tcMar>
              <w:top w:w="28" w:type="dxa"/>
              <w:left w:w="270" w:type="dxa"/>
              <w:bottom w:w="28" w:type="dxa"/>
              <w:right w:w="15" w:type="dxa"/>
            </w:tcMar>
            <w:vAlign w:val="center"/>
            <w:hideMark/>
          </w:tcPr>
          <w:p w14:paraId="5DFBB194" w14:textId="77777777" w:rsidR="00A06C74" w:rsidRPr="00A06C74" w:rsidRDefault="00A06C74" w:rsidP="00BF715B">
            <w:pPr>
              <w:ind w:firstLineChars="9" w:firstLine="18"/>
              <w:jc w:val="left"/>
              <w:rPr>
                <w:rFonts w:cs="Arial"/>
                <w:color w:val="000000"/>
                <w:sz w:val="20"/>
                <w:szCs w:val="20"/>
              </w:rPr>
            </w:pPr>
            <w:r w:rsidRPr="00A06C74">
              <w:rPr>
                <w:rFonts w:cs="Arial"/>
                <w:color w:val="000000"/>
                <w:sz w:val="20"/>
                <w:szCs w:val="20"/>
              </w:rPr>
              <w:t>3.2- Parcela do IPVA Repassada aos Municípios (50% de 1.3)</w:t>
            </w:r>
          </w:p>
        </w:tc>
        <w:tc>
          <w:tcPr>
            <w:tcW w:w="908" w:type="pct"/>
            <w:tcBorders>
              <w:top w:val="nil"/>
              <w:left w:val="single" w:sz="4" w:space="0" w:color="auto"/>
              <w:bottom w:val="nil"/>
              <w:right w:val="nil"/>
            </w:tcBorders>
            <w:shd w:val="clear" w:color="auto" w:fill="auto"/>
            <w:noWrap/>
            <w:tcMar>
              <w:top w:w="28" w:type="dxa"/>
              <w:left w:w="15" w:type="dxa"/>
              <w:bottom w:w="28" w:type="dxa"/>
              <w:right w:w="15" w:type="dxa"/>
            </w:tcMar>
            <w:vAlign w:val="center"/>
            <w:hideMark/>
          </w:tcPr>
          <w:p w14:paraId="1BD86ED5" w14:textId="77777777" w:rsidR="00A06C74" w:rsidRPr="00A06C74" w:rsidRDefault="00A06C74" w:rsidP="00BF715B">
            <w:pPr>
              <w:jc w:val="right"/>
              <w:rPr>
                <w:rFonts w:cs="Arial"/>
                <w:color w:val="000000"/>
                <w:sz w:val="20"/>
                <w:szCs w:val="20"/>
              </w:rPr>
            </w:pPr>
            <w:r w:rsidRPr="00A06C74">
              <w:rPr>
                <w:rFonts w:cs="Arial"/>
                <w:color w:val="000000"/>
                <w:sz w:val="20"/>
                <w:szCs w:val="20"/>
              </w:rPr>
              <w:t>1.594.028.798</w:t>
            </w:r>
          </w:p>
        </w:tc>
      </w:tr>
      <w:tr w:rsidR="00A06C74" w:rsidRPr="00A06C74" w14:paraId="5EC23163" w14:textId="77777777" w:rsidTr="002B39AF">
        <w:trPr>
          <w:trHeight w:val="284"/>
        </w:trPr>
        <w:tc>
          <w:tcPr>
            <w:tcW w:w="4092" w:type="pct"/>
            <w:tcBorders>
              <w:top w:val="nil"/>
              <w:left w:val="nil"/>
              <w:bottom w:val="nil"/>
              <w:right w:val="single" w:sz="4" w:space="0" w:color="auto"/>
            </w:tcBorders>
            <w:shd w:val="clear" w:color="auto" w:fill="auto"/>
            <w:noWrap/>
            <w:tcMar>
              <w:top w:w="28" w:type="dxa"/>
              <w:left w:w="270" w:type="dxa"/>
              <w:bottom w:w="28" w:type="dxa"/>
              <w:right w:w="15" w:type="dxa"/>
            </w:tcMar>
            <w:vAlign w:val="center"/>
            <w:hideMark/>
          </w:tcPr>
          <w:p w14:paraId="540F2F4E" w14:textId="77777777" w:rsidR="00A06C74" w:rsidRPr="00A06C74" w:rsidRDefault="00A06C74" w:rsidP="00BF715B">
            <w:pPr>
              <w:ind w:firstLineChars="9" w:firstLine="18"/>
              <w:jc w:val="left"/>
              <w:rPr>
                <w:rFonts w:cs="Arial"/>
                <w:color w:val="000000"/>
                <w:sz w:val="20"/>
                <w:szCs w:val="20"/>
              </w:rPr>
            </w:pPr>
            <w:r w:rsidRPr="00A06C74">
              <w:rPr>
                <w:rFonts w:cs="Arial"/>
                <w:color w:val="000000"/>
                <w:sz w:val="20"/>
                <w:szCs w:val="20"/>
              </w:rPr>
              <w:t>3.3- Parcela da Cota-Parte do IPI-Exportação Repassada aos Municípios (25% de 2.2)</w:t>
            </w:r>
          </w:p>
        </w:tc>
        <w:tc>
          <w:tcPr>
            <w:tcW w:w="908" w:type="pct"/>
            <w:tcBorders>
              <w:top w:val="nil"/>
              <w:left w:val="single" w:sz="4" w:space="0" w:color="auto"/>
              <w:bottom w:val="nil"/>
              <w:right w:val="nil"/>
            </w:tcBorders>
            <w:shd w:val="clear" w:color="auto" w:fill="auto"/>
            <w:noWrap/>
            <w:tcMar>
              <w:top w:w="28" w:type="dxa"/>
              <w:left w:w="15" w:type="dxa"/>
              <w:bottom w:w="28" w:type="dxa"/>
              <w:right w:w="15" w:type="dxa"/>
            </w:tcMar>
            <w:vAlign w:val="center"/>
            <w:hideMark/>
          </w:tcPr>
          <w:p w14:paraId="6596A198" w14:textId="77777777" w:rsidR="00A06C74" w:rsidRPr="00A06C74" w:rsidRDefault="00A06C74" w:rsidP="00BF715B">
            <w:pPr>
              <w:jc w:val="right"/>
              <w:rPr>
                <w:rFonts w:cs="Arial"/>
                <w:color w:val="000000"/>
                <w:sz w:val="20"/>
                <w:szCs w:val="20"/>
              </w:rPr>
            </w:pPr>
            <w:r w:rsidRPr="00A06C74">
              <w:rPr>
                <w:rFonts w:cs="Arial"/>
                <w:color w:val="000000"/>
                <w:sz w:val="20"/>
                <w:szCs w:val="20"/>
              </w:rPr>
              <w:t>35.561.704</w:t>
            </w:r>
          </w:p>
        </w:tc>
      </w:tr>
      <w:tr w:rsidR="00A06C74" w:rsidRPr="00A06C74" w14:paraId="24B95E35" w14:textId="77777777" w:rsidTr="002B39AF">
        <w:trPr>
          <w:trHeight w:val="284"/>
        </w:trPr>
        <w:tc>
          <w:tcPr>
            <w:tcW w:w="4092" w:type="pct"/>
            <w:tcBorders>
              <w:top w:val="single" w:sz="4" w:space="0" w:color="auto"/>
              <w:left w:val="nil"/>
              <w:bottom w:val="single" w:sz="4" w:space="0" w:color="auto"/>
              <w:right w:val="single" w:sz="4" w:space="0" w:color="auto"/>
            </w:tcBorders>
            <w:shd w:val="clear" w:color="auto" w:fill="auto"/>
            <w:noWrap/>
            <w:tcMar>
              <w:top w:w="28" w:type="dxa"/>
              <w:left w:w="15" w:type="dxa"/>
              <w:bottom w:w="28" w:type="dxa"/>
              <w:right w:w="15" w:type="dxa"/>
            </w:tcMar>
            <w:vAlign w:val="center"/>
            <w:hideMark/>
          </w:tcPr>
          <w:p w14:paraId="5AED95C1" w14:textId="77777777" w:rsidR="00A06C74" w:rsidRPr="00A06C74" w:rsidRDefault="00A06C74" w:rsidP="00BF715B">
            <w:pPr>
              <w:jc w:val="left"/>
              <w:rPr>
                <w:rFonts w:cs="Arial"/>
                <w:b/>
                <w:bCs/>
                <w:color w:val="000000"/>
                <w:sz w:val="20"/>
                <w:szCs w:val="20"/>
              </w:rPr>
            </w:pPr>
            <w:r w:rsidRPr="00A06C74">
              <w:rPr>
                <w:rFonts w:cs="Arial"/>
                <w:b/>
                <w:bCs/>
                <w:color w:val="000000"/>
                <w:sz w:val="20"/>
                <w:szCs w:val="20"/>
              </w:rPr>
              <w:t>4- Total da Receita Líquida de Impostos (1 + 2 - 3)</w:t>
            </w:r>
          </w:p>
        </w:tc>
        <w:tc>
          <w:tcPr>
            <w:tcW w:w="908" w:type="pct"/>
            <w:tcBorders>
              <w:top w:val="single" w:sz="4" w:space="0" w:color="auto"/>
              <w:left w:val="single" w:sz="4" w:space="0" w:color="auto"/>
              <w:bottom w:val="single" w:sz="4" w:space="0" w:color="auto"/>
              <w:right w:val="nil"/>
            </w:tcBorders>
            <w:shd w:val="clear" w:color="auto" w:fill="auto"/>
            <w:noWrap/>
            <w:tcMar>
              <w:top w:w="28" w:type="dxa"/>
              <w:left w:w="15" w:type="dxa"/>
              <w:bottom w:w="28" w:type="dxa"/>
              <w:right w:w="15" w:type="dxa"/>
            </w:tcMar>
            <w:vAlign w:val="center"/>
            <w:hideMark/>
          </w:tcPr>
          <w:p w14:paraId="6796F171" w14:textId="77777777" w:rsidR="00A06C74" w:rsidRPr="00A06C74" w:rsidRDefault="00A06C74" w:rsidP="00BF715B">
            <w:pPr>
              <w:jc w:val="right"/>
              <w:rPr>
                <w:rFonts w:cs="Arial"/>
                <w:b/>
                <w:bCs/>
                <w:color w:val="000000"/>
                <w:sz w:val="20"/>
                <w:szCs w:val="20"/>
              </w:rPr>
            </w:pPr>
            <w:r w:rsidRPr="00A06C74">
              <w:rPr>
                <w:rFonts w:cs="Arial"/>
                <w:b/>
                <w:bCs/>
                <w:color w:val="000000"/>
                <w:sz w:val="20"/>
                <w:szCs w:val="20"/>
              </w:rPr>
              <w:t>29.570.879.030</w:t>
            </w:r>
          </w:p>
        </w:tc>
      </w:tr>
    </w:tbl>
    <w:p w14:paraId="765FEF24" w14:textId="77777777" w:rsidR="00A06C74" w:rsidRPr="002C2F2E" w:rsidRDefault="00A06C74" w:rsidP="00A06C74">
      <w:pPr>
        <w:pStyle w:val="1-FONTE8ESQ"/>
      </w:pPr>
      <w:r w:rsidRPr="002C2F2E">
        <w:t xml:space="preserve">Fonte: </w:t>
      </w:r>
      <w:r w:rsidRPr="007046AA">
        <w:t>RREO do 6º Bimestre de 2023</w:t>
      </w:r>
    </w:p>
    <w:p w14:paraId="59663AC0" w14:textId="77777777" w:rsidR="00A06C74" w:rsidRPr="00F6555A" w:rsidRDefault="00A06C74" w:rsidP="00BF715B">
      <w:pPr>
        <w:pStyle w:val="1-REL11"/>
        <w:spacing w:line="300" w:lineRule="auto"/>
      </w:pPr>
      <w:r w:rsidRPr="00F6555A">
        <w:t>Considerando-se o disposto no art. 212 da CF/88 e art. 158 da CE, o valor mínimo a ser aplicado em MDE no exercício de 2023 é de R$ 7,39 bilhões, que representa 25% do total da Receita Líquida de Impostos (linha 4 da tabela anterior). Em comparação com exercício de 2022, o valor mínimo a ser aplicado teve variação nominal positiva de 6,62%.</w:t>
      </w:r>
    </w:p>
    <w:p w14:paraId="41E8CF8F" w14:textId="77777777" w:rsidR="00A06C74" w:rsidRPr="00C84996" w:rsidRDefault="00A06C74" w:rsidP="00117967">
      <w:pPr>
        <w:pStyle w:val="Ttulo4"/>
      </w:pPr>
      <w:bookmarkStart w:id="300" w:name="_Toc511305543"/>
      <w:bookmarkStart w:id="301" w:name="_Toc511381617"/>
      <w:bookmarkStart w:id="302" w:name="_Toc135332718"/>
      <w:r w:rsidRPr="00C84996">
        <w:t>Despesa em MDE</w:t>
      </w:r>
      <w:bookmarkEnd w:id="300"/>
      <w:bookmarkEnd w:id="301"/>
      <w:bookmarkEnd w:id="302"/>
    </w:p>
    <w:p w14:paraId="1B6F8BCD" w14:textId="77777777" w:rsidR="00A06C74" w:rsidRPr="00C84996" w:rsidRDefault="00A06C74" w:rsidP="00A06C74">
      <w:pPr>
        <w:pStyle w:val="1-REL11"/>
      </w:pPr>
      <w:r w:rsidRPr="00C84996">
        <w:t xml:space="preserve">Conforme disposto nos arts. 70 e 71 da Lei nº 9.394, </w:t>
      </w:r>
      <w:r w:rsidRPr="00C84996">
        <w:rPr>
          <w:bCs/>
        </w:rPr>
        <w:t>de 20 de dezembro de</w:t>
      </w:r>
      <w:r w:rsidRPr="00C84996">
        <w:t xml:space="preserve"> 1996 – Lei de Diretrizes e Bases da Educação Nacional (LDB), nem todas as despesas realizadas na Função Educação são consideradas na apuração das despesas em MDE.</w:t>
      </w:r>
    </w:p>
    <w:p w14:paraId="2152EBB3" w14:textId="77777777" w:rsidR="00A06C74" w:rsidRPr="00E11C5A" w:rsidRDefault="00A06C74" w:rsidP="00A06C74">
      <w:pPr>
        <w:pStyle w:val="1-REL11"/>
      </w:pPr>
      <w:bookmarkStart w:id="303" w:name="_Toc511380205"/>
      <w:bookmarkStart w:id="304" w:name="_Toc135332517"/>
      <w:r w:rsidRPr="00E11C5A">
        <w:t>Apresenta-se a seguir a relação das despesas com MDE</w:t>
      </w:r>
      <w:r>
        <w:t xml:space="preserve"> custeadas com receitas de impostos (excluindo-se o Fundeb)</w:t>
      </w:r>
      <w:r w:rsidRPr="00E11C5A">
        <w:t xml:space="preserve"> em relação a despesa total executada na Função Educação:</w:t>
      </w:r>
    </w:p>
    <w:p w14:paraId="0528FCA9" w14:textId="77777777" w:rsidR="00A06C74" w:rsidRPr="00E11C5A" w:rsidRDefault="00A06C74" w:rsidP="00736A8C">
      <w:pPr>
        <w:pStyle w:val="0-TABELA"/>
        <w:numPr>
          <w:ilvl w:val="0"/>
          <w:numId w:val="53"/>
        </w:numPr>
        <w:tabs>
          <w:tab w:val="clear" w:pos="1560"/>
          <w:tab w:val="left" w:pos="1134"/>
        </w:tabs>
        <w:spacing w:before="0" w:after="0"/>
        <w:ind w:left="0" w:firstLine="0"/>
      </w:pPr>
      <w:bookmarkStart w:id="305" w:name="_Toc167871794"/>
      <w:r w:rsidRPr="00E11C5A">
        <w:t>Relação MDE e Função Educação</w:t>
      </w:r>
      <w:bookmarkEnd w:id="305"/>
    </w:p>
    <w:p w14:paraId="10718F94" w14:textId="77777777" w:rsidR="00A06C74" w:rsidRPr="00E11C5A" w:rsidRDefault="00A06C74" w:rsidP="00A06C74">
      <w:pPr>
        <w:pStyle w:val="0-EmR1"/>
      </w:pPr>
      <w:r w:rsidRPr="00E11C5A">
        <w:t>R$ 1</w:t>
      </w:r>
    </w:p>
    <w:tbl>
      <w:tblPr>
        <w:tblW w:w="5000" w:type="pct"/>
        <w:tblLayout w:type="fixed"/>
        <w:tblCellMar>
          <w:left w:w="70" w:type="dxa"/>
          <w:right w:w="70" w:type="dxa"/>
        </w:tblCellMar>
        <w:tblLook w:val="04A0" w:firstRow="1" w:lastRow="0" w:firstColumn="1" w:lastColumn="0" w:noHBand="0" w:noVBand="1"/>
      </w:tblPr>
      <w:tblGrid>
        <w:gridCol w:w="3826"/>
        <w:gridCol w:w="1843"/>
        <w:gridCol w:w="1843"/>
        <w:gridCol w:w="1841"/>
      </w:tblGrid>
      <w:tr w:rsidR="00A06C74" w:rsidRPr="00A06C74" w14:paraId="6DA19B75" w14:textId="77777777" w:rsidTr="00F235BD">
        <w:trPr>
          <w:trHeight w:val="369"/>
          <w:tblHeader/>
        </w:trPr>
        <w:tc>
          <w:tcPr>
            <w:tcW w:w="2046" w:type="pct"/>
            <w:tcBorders>
              <w:top w:val="single" w:sz="4" w:space="0" w:color="auto"/>
              <w:left w:val="nil"/>
              <w:bottom w:val="single" w:sz="4" w:space="0" w:color="auto"/>
              <w:right w:val="nil"/>
            </w:tcBorders>
            <w:shd w:val="clear" w:color="000000" w:fill="A1F2FD"/>
            <w:noWrap/>
            <w:vAlign w:val="center"/>
            <w:hideMark/>
          </w:tcPr>
          <w:p w14:paraId="6F9DCC5F"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Despesa</w:t>
            </w:r>
          </w:p>
        </w:tc>
        <w:tc>
          <w:tcPr>
            <w:tcW w:w="985" w:type="pct"/>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13B64DC7"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Empenhada</w:t>
            </w:r>
          </w:p>
        </w:tc>
        <w:tc>
          <w:tcPr>
            <w:tcW w:w="985" w:type="pct"/>
            <w:tcBorders>
              <w:top w:val="single" w:sz="4" w:space="0" w:color="auto"/>
              <w:left w:val="nil"/>
              <w:bottom w:val="single" w:sz="4" w:space="0" w:color="auto"/>
              <w:right w:val="single" w:sz="4" w:space="0" w:color="auto"/>
            </w:tcBorders>
            <w:shd w:val="clear" w:color="000000" w:fill="A1F2FD"/>
            <w:noWrap/>
            <w:vAlign w:val="center"/>
            <w:hideMark/>
          </w:tcPr>
          <w:p w14:paraId="53D2891C"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Liquidada</w:t>
            </w:r>
          </w:p>
        </w:tc>
        <w:tc>
          <w:tcPr>
            <w:tcW w:w="985" w:type="pct"/>
            <w:tcBorders>
              <w:top w:val="single" w:sz="4" w:space="0" w:color="auto"/>
              <w:left w:val="nil"/>
              <w:bottom w:val="single" w:sz="4" w:space="0" w:color="auto"/>
              <w:right w:val="nil"/>
            </w:tcBorders>
            <w:shd w:val="clear" w:color="000000" w:fill="A1F2FD"/>
            <w:noWrap/>
            <w:vAlign w:val="center"/>
            <w:hideMark/>
          </w:tcPr>
          <w:p w14:paraId="4EE2CB64"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Paga</w:t>
            </w:r>
          </w:p>
        </w:tc>
      </w:tr>
      <w:tr w:rsidR="00A06C74" w:rsidRPr="00A06C74" w14:paraId="0A25A041" w14:textId="77777777" w:rsidTr="00F235BD">
        <w:trPr>
          <w:trHeight w:val="369"/>
        </w:trPr>
        <w:tc>
          <w:tcPr>
            <w:tcW w:w="2046" w:type="pct"/>
            <w:tcBorders>
              <w:top w:val="nil"/>
              <w:left w:val="nil"/>
              <w:bottom w:val="nil"/>
              <w:right w:val="nil"/>
            </w:tcBorders>
            <w:shd w:val="clear" w:color="auto" w:fill="auto"/>
            <w:noWrap/>
            <w:vAlign w:val="center"/>
            <w:hideMark/>
          </w:tcPr>
          <w:p w14:paraId="6BD5D96D" w14:textId="77777777" w:rsidR="00A06C74" w:rsidRPr="00A06C74" w:rsidRDefault="00A06C74" w:rsidP="00BF715B">
            <w:pPr>
              <w:jc w:val="center"/>
              <w:rPr>
                <w:rFonts w:cs="Arial"/>
                <w:color w:val="000000"/>
                <w:sz w:val="20"/>
                <w:szCs w:val="20"/>
              </w:rPr>
            </w:pPr>
            <w:r w:rsidRPr="00A06C74">
              <w:rPr>
                <w:rFonts w:cs="Arial"/>
                <w:color w:val="000000"/>
                <w:sz w:val="20"/>
                <w:szCs w:val="20"/>
              </w:rPr>
              <w:t>Função Educação</w:t>
            </w:r>
          </w:p>
        </w:tc>
        <w:tc>
          <w:tcPr>
            <w:tcW w:w="985" w:type="pct"/>
            <w:tcBorders>
              <w:top w:val="nil"/>
              <w:left w:val="single" w:sz="4" w:space="0" w:color="auto"/>
              <w:bottom w:val="nil"/>
              <w:right w:val="single" w:sz="4" w:space="0" w:color="auto"/>
            </w:tcBorders>
            <w:shd w:val="clear" w:color="auto" w:fill="auto"/>
            <w:noWrap/>
            <w:vAlign w:val="center"/>
            <w:hideMark/>
          </w:tcPr>
          <w:p w14:paraId="0603299B" w14:textId="77777777" w:rsidR="00A06C74" w:rsidRPr="00A06C74" w:rsidRDefault="00A06C74" w:rsidP="00BF715B">
            <w:pPr>
              <w:jc w:val="right"/>
              <w:rPr>
                <w:rFonts w:cs="Arial"/>
                <w:color w:val="000000"/>
                <w:sz w:val="20"/>
                <w:szCs w:val="20"/>
              </w:rPr>
            </w:pPr>
            <w:r w:rsidRPr="00A06C74">
              <w:rPr>
                <w:rFonts w:cs="Arial"/>
                <w:color w:val="000000"/>
                <w:sz w:val="20"/>
                <w:szCs w:val="20"/>
              </w:rPr>
              <w:t>6.409.857.358</w:t>
            </w:r>
          </w:p>
        </w:tc>
        <w:tc>
          <w:tcPr>
            <w:tcW w:w="985" w:type="pct"/>
            <w:tcBorders>
              <w:top w:val="nil"/>
              <w:left w:val="nil"/>
              <w:bottom w:val="nil"/>
              <w:right w:val="single" w:sz="4" w:space="0" w:color="auto"/>
            </w:tcBorders>
            <w:shd w:val="clear" w:color="auto" w:fill="auto"/>
            <w:noWrap/>
            <w:vAlign w:val="center"/>
            <w:hideMark/>
          </w:tcPr>
          <w:p w14:paraId="425FCE4A" w14:textId="77777777" w:rsidR="00A06C74" w:rsidRPr="00A06C74" w:rsidRDefault="00A06C74" w:rsidP="00BF715B">
            <w:pPr>
              <w:jc w:val="right"/>
              <w:rPr>
                <w:rFonts w:cs="Arial"/>
                <w:color w:val="000000"/>
                <w:sz w:val="20"/>
                <w:szCs w:val="20"/>
              </w:rPr>
            </w:pPr>
            <w:r w:rsidRPr="00A06C74">
              <w:rPr>
                <w:rFonts w:cs="Arial"/>
                <w:color w:val="000000"/>
                <w:sz w:val="20"/>
                <w:szCs w:val="20"/>
              </w:rPr>
              <w:t>6.316.067.725</w:t>
            </w:r>
          </w:p>
        </w:tc>
        <w:tc>
          <w:tcPr>
            <w:tcW w:w="985" w:type="pct"/>
            <w:tcBorders>
              <w:top w:val="nil"/>
              <w:left w:val="nil"/>
              <w:bottom w:val="nil"/>
              <w:right w:val="nil"/>
            </w:tcBorders>
            <w:shd w:val="clear" w:color="auto" w:fill="auto"/>
            <w:noWrap/>
            <w:vAlign w:val="center"/>
            <w:hideMark/>
          </w:tcPr>
          <w:p w14:paraId="7079C273" w14:textId="77777777" w:rsidR="00A06C74" w:rsidRPr="00A06C74" w:rsidRDefault="00A06C74" w:rsidP="00BF715B">
            <w:pPr>
              <w:jc w:val="right"/>
              <w:rPr>
                <w:rFonts w:cs="Arial"/>
                <w:color w:val="000000"/>
                <w:sz w:val="20"/>
                <w:szCs w:val="20"/>
              </w:rPr>
            </w:pPr>
            <w:r w:rsidRPr="00A06C74">
              <w:rPr>
                <w:rFonts w:cs="Arial"/>
                <w:color w:val="000000"/>
                <w:sz w:val="20"/>
                <w:szCs w:val="20"/>
              </w:rPr>
              <w:t>6.306.750.783</w:t>
            </w:r>
          </w:p>
        </w:tc>
      </w:tr>
      <w:tr w:rsidR="00A06C74" w:rsidRPr="00A06C74" w14:paraId="624CCF06" w14:textId="77777777" w:rsidTr="00F235BD">
        <w:trPr>
          <w:trHeight w:val="369"/>
        </w:trPr>
        <w:tc>
          <w:tcPr>
            <w:tcW w:w="2046" w:type="pct"/>
            <w:tcBorders>
              <w:top w:val="nil"/>
              <w:left w:val="nil"/>
              <w:bottom w:val="nil"/>
              <w:right w:val="nil"/>
            </w:tcBorders>
            <w:shd w:val="clear" w:color="auto" w:fill="auto"/>
            <w:noWrap/>
            <w:vAlign w:val="center"/>
            <w:hideMark/>
          </w:tcPr>
          <w:p w14:paraId="6081956F" w14:textId="77777777" w:rsidR="00A06C74" w:rsidRPr="00A06C74" w:rsidRDefault="00A06C74" w:rsidP="00BF715B">
            <w:pPr>
              <w:jc w:val="center"/>
              <w:rPr>
                <w:rFonts w:cs="Arial"/>
                <w:color w:val="000000"/>
                <w:sz w:val="20"/>
                <w:szCs w:val="20"/>
              </w:rPr>
            </w:pPr>
            <w:r w:rsidRPr="00A06C74">
              <w:rPr>
                <w:rFonts w:cs="Arial"/>
                <w:color w:val="000000"/>
                <w:sz w:val="20"/>
                <w:szCs w:val="20"/>
              </w:rPr>
              <w:t>MDE</w:t>
            </w:r>
          </w:p>
        </w:tc>
        <w:tc>
          <w:tcPr>
            <w:tcW w:w="985" w:type="pct"/>
            <w:tcBorders>
              <w:top w:val="nil"/>
              <w:left w:val="single" w:sz="4" w:space="0" w:color="auto"/>
              <w:bottom w:val="nil"/>
              <w:right w:val="single" w:sz="4" w:space="0" w:color="auto"/>
            </w:tcBorders>
            <w:shd w:val="clear" w:color="auto" w:fill="auto"/>
            <w:noWrap/>
            <w:vAlign w:val="center"/>
            <w:hideMark/>
          </w:tcPr>
          <w:p w14:paraId="664EA986" w14:textId="77777777" w:rsidR="00A06C74" w:rsidRPr="00A06C74" w:rsidRDefault="00A06C74" w:rsidP="00BF715B">
            <w:pPr>
              <w:jc w:val="right"/>
              <w:rPr>
                <w:rFonts w:cs="Arial"/>
                <w:color w:val="000000"/>
                <w:sz w:val="20"/>
                <w:szCs w:val="20"/>
              </w:rPr>
            </w:pPr>
            <w:r w:rsidRPr="00A06C74">
              <w:rPr>
                <w:rFonts w:cs="Arial"/>
                <w:color w:val="000000"/>
                <w:sz w:val="20"/>
                <w:szCs w:val="20"/>
              </w:rPr>
              <w:t>2.291.126.416</w:t>
            </w:r>
          </w:p>
        </w:tc>
        <w:tc>
          <w:tcPr>
            <w:tcW w:w="985" w:type="pct"/>
            <w:tcBorders>
              <w:top w:val="nil"/>
              <w:left w:val="nil"/>
              <w:bottom w:val="nil"/>
              <w:right w:val="single" w:sz="4" w:space="0" w:color="auto"/>
            </w:tcBorders>
            <w:shd w:val="clear" w:color="auto" w:fill="auto"/>
            <w:noWrap/>
            <w:vAlign w:val="center"/>
            <w:hideMark/>
          </w:tcPr>
          <w:p w14:paraId="72CA7097" w14:textId="77777777" w:rsidR="00A06C74" w:rsidRPr="00A06C74" w:rsidRDefault="00A06C74" w:rsidP="00BF715B">
            <w:pPr>
              <w:jc w:val="right"/>
              <w:rPr>
                <w:rFonts w:cs="Arial"/>
                <w:color w:val="000000"/>
                <w:sz w:val="20"/>
                <w:szCs w:val="20"/>
              </w:rPr>
            </w:pPr>
            <w:r w:rsidRPr="00A06C74">
              <w:rPr>
                <w:rFonts w:cs="Arial"/>
                <w:color w:val="000000"/>
                <w:sz w:val="20"/>
                <w:szCs w:val="20"/>
              </w:rPr>
              <w:t>2.259.742.510</w:t>
            </w:r>
          </w:p>
        </w:tc>
        <w:tc>
          <w:tcPr>
            <w:tcW w:w="985" w:type="pct"/>
            <w:tcBorders>
              <w:top w:val="nil"/>
              <w:left w:val="nil"/>
              <w:bottom w:val="nil"/>
              <w:right w:val="nil"/>
            </w:tcBorders>
            <w:shd w:val="clear" w:color="auto" w:fill="auto"/>
            <w:noWrap/>
            <w:vAlign w:val="center"/>
            <w:hideMark/>
          </w:tcPr>
          <w:p w14:paraId="5B4E34CF" w14:textId="77777777" w:rsidR="00A06C74" w:rsidRPr="00A06C74" w:rsidRDefault="00A06C74" w:rsidP="00BF715B">
            <w:pPr>
              <w:jc w:val="right"/>
              <w:rPr>
                <w:rFonts w:cs="Arial"/>
                <w:color w:val="000000"/>
                <w:sz w:val="20"/>
                <w:szCs w:val="20"/>
              </w:rPr>
            </w:pPr>
            <w:r w:rsidRPr="00A06C74">
              <w:rPr>
                <w:rFonts w:cs="Arial"/>
                <w:color w:val="000000"/>
                <w:sz w:val="20"/>
                <w:szCs w:val="20"/>
              </w:rPr>
              <w:t>2.256.295.986</w:t>
            </w:r>
          </w:p>
        </w:tc>
      </w:tr>
      <w:tr w:rsidR="00A06C74" w:rsidRPr="00A06C74" w14:paraId="185DAE4C" w14:textId="77777777" w:rsidTr="00F235BD">
        <w:trPr>
          <w:trHeight w:val="369"/>
        </w:trPr>
        <w:tc>
          <w:tcPr>
            <w:tcW w:w="2046" w:type="pct"/>
            <w:tcBorders>
              <w:top w:val="single" w:sz="4" w:space="0" w:color="auto"/>
              <w:left w:val="nil"/>
              <w:bottom w:val="single" w:sz="4" w:space="0" w:color="auto"/>
              <w:right w:val="nil"/>
            </w:tcBorders>
            <w:shd w:val="clear" w:color="auto" w:fill="auto"/>
            <w:noWrap/>
            <w:vAlign w:val="center"/>
            <w:hideMark/>
          </w:tcPr>
          <w:p w14:paraId="37AF139D"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AV %</w:t>
            </w:r>
          </w:p>
        </w:tc>
        <w:tc>
          <w:tcPr>
            <w:tcW w:w="98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90403B"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35,74</w:t>
            </w:r>
          </w:p>
        </w:tc>
        <w:tc>
          <w:tcPr>
            <w:tcW w:w="985" w:type="pct"/>
            <w:tcBorders>
              <w:top w:val="single" w:sz="4" w:space="0" w:color="auto"/>
              <w:left w:val="nil"/>
              <w:bottom w:val="single" w:sz="4" w:space="0" w:color="auto"/>
              <w:right w:val="single" w:sz="4" w:space="0" w:color="auto"/>
            </w:tcBorders>
            <w:shd w:val="clear" w:color="auto" w:fill="auto"/>
            <w:noWrap/>
            <w:vAlign w:val="center"/>
            <w:hideMark/>
          </w:tcPr>
          <w:p w14:paraId="02FCFB3E"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35,78</w:t>
            </w:r>
          </w:p>
        </w:tc>
        <w:tc>
          <w:tcPr>
            <w:tcW w:w="985" w:type="pct"/>
            <w:tcBorders>
              <w:top w:val="single" w:sz="4" w:space="0" w:color="auto"/>
              <w:left w:val="nil"/>
              <w:bottom w:val="single" w:sz="4" w:space="0" w:color="auto"/>
              <w:right w:val="nil"/>
            </w:tcBorders>
            <w:shd w:val="clear" w:color="auto" w:fill="auto"/>
            <w:noWrap/>
            <w:vAlign w:val="center"/>
            <w:hideMark/>
          </w:tcPr>
          <w:p w14:paraId="3E3F2AE7"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35,78</w:t>
            </w:r>
          </w:p>
        </w:tc>
      </w:tr>
    </w:tbl>
    <w:p w14:paraId="5CF463F0" w14:textId="77777777" w:rsidR="00A06C74" w:rsidRPr="00E11C5A" w:rsidRDefault="00A06C74" w:rsidP="00A06C74">
      <w:pPr>
        <w:pStyle w:val="1-FONTE8ESQ"/>
      </w:pPr>
      <w:r w:rsidRPr="00E11C5A">
        <w:t xml:space="preserve">Fonte: </w:t>
      </w:r>
      <w:r w:rsidRPr="007046AA">
        <w:t>RREO do 6º Bimestre de 2023</w:t>
      </w:r>
    </w:p>
    <w:p w14:paraId="26AACF39" w14:textId="77777777" w:rsidR="00A06C74" w:rsidRPr="00EA327D" w:rsidRDefault="00A06C74" w:rsidP="00BF715B">
      <w:pPr>
        <w:pStyle w:val="1-REL11"/>
        <w:spacing w:line="324" w:lineRule="auto"/>
      </w:pPr>
      <w:r w:rsidRPr="00EA327D">
        <w:t>A despesa executada com MDE custeadas com receitas de impostos (excluindo-se o Fundeb)</w:t>
      </w:r>
      <w:r>
        <w:t xml:space="preserve"> </w:t>
      </w:r>
      <w:r w:rsidRPr="00EA327D">
        <w:t>por subfunção está apresentada na tabela abaixo:</w:t>
      </w:r>
    </w:p>
    <w:p w14:paraId="01DC79CE" w14:textId="77777777" w:rsidR="00A06C74" w:rsidRPr="00EA327D" w:rsidRDefault="00A06C74" w:rsidP="00736A8C">
      <w:pPr>
        <w:pStyle w:val="0-TABELA"/>
        <w:numPr>
          <w:ilvl w:val="0"/>
          <w:numId w:val="53"/>
        </w:numPr>
        <w:tabs>
          <w:tab w:val="clear" w:pos="1560"/>
          <w:tab w:val="left" w:pos="1134"/>
        </w:tabs>
        <w:spacing w:before="0" w:after="0"/>
        <w:ind w:left="0" w:firstLine="0"/>
      </w:pPr>
      <w:bookmarkStart w:id="306" w:name="_Toc167871795"/>
      <w:r w:rsidRPr="00EA327D">
        <w:t>Despesa com MDE Custeadas com a Receita Resultante de Impostos (exceto Fundeb) por Subfunção</w:t>
      </w:r>
      <w:bookmarkEnd w:id="306"/>
    </w:p>
    <w:bookmarkEnd w:id="303"/>
    <w:bookmarkEnd w:id="304"/>
    <w:p w14:paraId="02397AE1" w14:textId="77777777" w:rsidR="00A06C74" w:rsidRPr="007046AA" w:rsidRDefault="00A06C74" w:rsidP="00A06C74">
      <w:pPr>
        <w:pStyle w:val="0-EmR1"/>
      </w:pPr>
      <w:r w:rsidRPr="007046AA">
        <w:t>R$ 1</w:t>
      </w:r>
    </w:p>
    <w:tbl>
      <w:tblPr>
        <w:tblW w:w="5000" w:type="pct"/>
        <w:tblCellMar>
          <w:left w:w="70" w:type="dxa"/>
          <w:right w:w="70" w:type="dxa"/>
        </w:tblCellMar>
        <w:tblLook w:val="04A0" w:firstRow="1" w:lastRow="0" w:firstColumn="1" w:lastColumn="0" w:noHBand="0" w:noVBand="1"/>
      </w:tblPr>
      <w:tblGrid>
        <w:gridCol w:w="3941"/>
        <w:gridCol w:w="1491"/>
        <w:gridCol w:w="941"/>
        <w:gridCol w:w="1491"/>
        <w:gridCol w:w="1489"/>
      </w:tblGrid>
      <w:tr w:rsidR="00A06C74" w:rsidRPr="00A06C74" w14:paraId="6EF02F9B" w14:textId="77777777" w:rsidTr="00140D80">
        <w:trPr>
          <w:trHeight w:val="340"/>
          <w:tblHeader/>
        </w:trPr>
        <w:tc>
          <w:tcPr>
            <w:tcW w:w="2107" w:type="pct"/>
            <w:tcBorders>
              <w:top w:val="single" w:sz="4" w:space="0" w:color="auto"/>
              <w:left w:val="nil"/>
              <w:bottom w:val="single" w:sz="4" w:space="0" w:color="auto"/>
              <w:right w:val="nil"/>
            </w:tcBorders>
            <w:shd w:val="clear" w:color="000000" w:fill="A1F2FD"/>
            <w:noWrap/>
            <w:vAlign w:val="center"/>
            <w:hideMark/>
          </w:tcPr>
          <w:p w14:paraId="722BAF34"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Subfunção</w:t>
            </w:r>
          </w:p>
        </w:tc>
        <w:tc>
          <w:tcPr>
            <w:tcW w:w="797" w:type="pct"/>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10ED47D6"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Empenhada</w:t>
            </w:r>
          </w:p>
        </w:tc>
        <w:tc>
          <w:tcPr>
            <w:tcW w:w="503" w:type="pct"/>
            <w:tcBorders>
              <w:top w:val="single" w:sz="4" w:space="0" w:color="auto"/>
              <w:left w:val="nil"/>
              <w:bottom w:val="single" w:sz="4" w:space="0" w:color="auto"/>
              <w:right w:val="nil"/>
            </w:tcBorders>
            <w:shd w:val="clear" w:color="000000" w:fill="A1F2FD"/>
            <w:noWrap/>
            <w:vAlign w:val="center"/>
            <w:hideMark/>
          </w:tcPr>
          <w:p w14:paraId="79E9A8F1"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AV %</w:t>
            </w:r>
          </w:p>
        </w:tc>
        <w:tc>
          <w:tcPr>
            <w:tcW w:w="797" w:type="pct"/>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14031B57"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Liquidada</w:t>
            </w:r>
          </w:p>
        </w:tc>
        <w:tc>
          <w:tcPr>
            <w:tcW w:w="797" w:type="pct"/>
            <w:tcBorders>
              <w:top w:val="single" w:sz="4" w:space="0" w:color="auto"/>
              <w:left w:val="nil"/>
              <w:bottom w:val="single" w:sz="4" w:space="0" w:color="auto"/>
              <w:right w:val="nil"/>
            </w:tcBorders>
            <w:shd w:val="clear" w:color="000000" w:fill="A1F2FD"/>
            <w:noWrap/>
            <w:vAlign w:val="center"/>
            <w:hideMark/>
          </w:tcPr>
          <w:p w14:paraId="563CA0C3"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Paga</w:t>
            </w:r>
          </w:p>
        </w:tc>
      </w:tr>
      <w:tr w:rsidR="00A06C74" w:rsidRPr="00A06C74" w14:paraId="77296C45" w14:textId="77777777" w:rsidTr="00A06C74">
        <w:trPr>
          <w:trHeight w:val="340"/>
        </w:trPr>
        <w:tc>
          <w:tcPr>
            <w:tcW w:w="2107" w:type="pct"/>
            <w:tcBorders>
              <w:top w:val="nil"/>
              <w:left w:val="nil"/>
              <w:bottom w:val="nil"/>
              <w:right w:val="nil"/>
            </w:tcBorders>
            <w:shd w:val="clear" w:color="auto" w:fill="auto"/>
            <w:noWrap/>
            <w:vAlign w:val="center"/>
            <w:hideMark/>
          </w:tcPr>
          <w:p w14:paraId="0F5F3430" w14:textId="77777777" w:rsidR="00A06C74" w:rsidRPr="00A06C74" w:rsidRDefault="00A06C74" w:rsidP="00BF715B">
            <w:pPr>
              <w:jc w:val="left"/>
              <w:rPr>
                <w:rFonts w:cs="Arial"/>
                <w:color w:val="000000"/>
                <w:sz w:val="20"/>
                <w:szCs w:val="20"/>
              </w:rPr>
            </w:pPr>
            <w:r w:rsidRPr="00A06C74">
              <w:rPr>
                <w:rFonts w:cs="Arial"/>
                <w:color w:val="000000"/>
                <w:sz w:val="20"/>
                <w:szCs w:val="20"/>
              </w:rPr>
              <w:t>Ensino Médio</w:t>
            </w:r>
          </w:p>
        </w:tc>
        <w:tc>
          <w:tcPr>
            <w:tcW w:w="797" w:type="pct"/>
            <w:tcBorders>
              <w:top w:val="nil"/>
              <w:left w:val="single" w:sz="4" w:space="0" w:color="auto"/>
              <w:bottom w:val="nil"/>
              <w:right w:val="single" w:sz="4" w:space="0" w:color="auto"/>
            </w:tcBorders>
            <w:shd w:val="clear" w:color="auto" w:fill="auto"/>
            <w:noWrap/>
            <w:vAlign w:val="center"/>
            <w:hideMark/>
          </w:tcPr>
          <w:p w14:paraId="5261D80C" w14:textId="77777777" w:rsidR="00A06C74" w:rsidRPr="00A06C74" w:rsidRDefault="00A06C74" w:rsidP="00BF715B">
            <w:pPr>
              <w:jc w:val="right"/>
              <w:rPr>
                <w:rFonts w:cs="Arial"/>
                <w:color w:val="000000"/>
                <w:sz w:val="20"/>
                <w:szCs w:val="20"/>
              </w:rPr>
            </w:pPr>
            <w:r w:rsidRPr="00A06C74">
              <w:rPr>
                <w:rFonts w:cs="Arial"/>
                <w:color w:val="000000"/>
                <w:sz w:val="20"/>
                <w:szCs w:val="20"/>
              </w:rPr>
              <w:t>840.142.002</w:t>
            </w:r>
          </w:p>
        </w:tc>
        <w:tc>
          <w:tcPr>
            <w:tcW w:w="503" w:type="pct"/>
            <w:tcBorders>
              <w:top w:val="nil"/>
              <w:left w:val="nil"/>
              <w:bottom w:val="nil"/>
              <w:right w:val="nil"/>
            </w:tcBorders>
            <w:shd w:val="clear" w:color="auto" w:fill="auto"/>
            <w:noWrap/>
            <w:vAlign w:val="center"/>
            <w:hideMark/>
          </w:tcPr>
          <w:p w14:paraId="0EAA308F" w14:textId="77777777" w:rsidR="00A06C74" w:rsidRPr="00A06C74" w:rsidRDefault="00A06C74" w:rsidP="00BF715B">
            <w:pPr>
              <w:jc w:val="center"/>
              <w:rPr>
                <w:rFonts w:cs="Arial"/>
                <w:color w:val="000000"/>
                <w:sz w:val="20"/>
                <w:szCs w:val="20"/>
              </w:rPr>
            </w:pPr>
            <w:r w:rsidRPr="00A06C74">
              <w:rPr>
                <w:rFonts w:cs="Arial"/>
                <w:color w:val="000000"/>
                <w:sz w:val="20"/>
                <w:szCs w:val="20"/>
              </w:rPr>
              <w:t>36,67</w:t>
            </w:r>
          </w:p>
        </w:tc>
        <w:tc>
          <w:tcPr>
            <w:tcW w:w="797" w:type="pct"/>
            <w:tcBorders>
              <w:top w:val="nil"/>
              <w:left w:val="single" w:sz="4" w:space="0" w:color="auto"/>
              <w:bottom w:val="nil"/>
              <w:right w:val="single" w:sz="4" w:space="0" w:color="auto"/>
            </w:tcBorders>
            <w:shd w:val="clear" w:color="auto" w:fill="auto"/>
            <w:noWrap/>
            <w:vAlign w:val="center"/>
            <w:hideMark/>
          </w:tcPr>
          <w:p w14:paraId="32159C84" w14:textId="77777777" w:rsidR="00A06C74" w:rsidRPr="00A06C74" w:rsidRDefault="00A06C74" w:rsidP="00BF715B">
            <w:pPr>
              <w:jc w:val="right"/>
              <w:rPr>
                <w:rFonts w:cs="Arial"/>
                <w:color w:val="000000"/>
                <w:sz w:val="20"/>
                <w:szCs w:val="20"/>
              </w:rPr>
            </w:pPr>
            <w:r w:rsidRPr="00A06C74">
              <w:rPr>
                <w:rFonts w:cs="Arial"/>
                <w:color w:val="000000"/>
                <w:sz w:val="20"/>
                <w:szCs w:val="20"/>
              </w:rPr>
              <w:t>830.708.588</w:t>
            </w:r>
          </w:p>
        </w:tc>
        <w:tc>
          <w:tcPr>
            <w:tcW w:w="797" w:type="pct"/>
            <w:tcBorders>
              <w:top w:val="nil"/>
              <w:left w:val="nil"/>
              <w:bottom w:val="nil"/>
              <w:right w:val="nil"/>
            </w:tcBorders>
            <w:shd w:val="clear" w:color="auto" w:fill="auto"/>
            <w:noWrap/>
            <w:vAlign w:val="center"/>
            <w:hideMark/>
          </w:tcPr>
          <w:p w14:paraId="02224122" w14:textId="77777777" w:rsidR="00A06C74" w:rsidRPr="00A06C74" w:rsidRDefault="00A06C74" w:rsidP="00BF715B">
            <w:pPr>
              <w:jc w:val="right"/>
              <w:rPr>
                <w:rFonts w:cs="Arial"/>
                <w:color w:val="000000"/>
                <w:sz w:val="20"/>
                <w:szCs w:val="20"/>
              </w:rPr>
            </w:pPr>
            <w:r w:rsidRPr="00A06C74">
              <w:rPr>
                <w:rFonts w:cs="Arial"/>
                <w:color w:val="000000"/>
                <w:sz w:val="20"/>
                <w:szCs w:val="20"/>
              </w:rPr>
              <w:t>829.373.097</w:t>
            </w:r>
          </w:p>
        </w:tc>
      </w:tr>
      <w:tr w:rsidR="00A06C74" w:rsidRPr="00A06C74" w14:paraId="716F0993" w14:textId="77777777" w:rsidTr="00A06C74">
        <w:trPr>
          <w:trHeight w:val="340"/>
        </w:trPr>
        <w:tc>
          <w:tcPr>
            <w:tcW w:w="2107" w:type="pct"/>
            <w:tcBorders>
              <w:top w:val="nil"/>
              <w:left w:val="nil"/>
              <w:bottom w:val="nil"/>
              <w:right w:val="nil"/>
            </w:tcBorders>
            <w:shd w:val="clear" w:color="auto" w:fill="auto"/>
            <w:noWrap/>
            <w:vAlign w:val="center"/>
            <w:hideMark/>
          </w:tcPr>
          <w:p w14:paraId="0B2B98BF" w14:textId="77777777" w:rsidR="00A06C74" w:rsidRPr="00A06C74" w:rsidRDefault="00A06C74" w:rsidP="00BF715B">
            <w:pPr>
              <w:jc w:val="left"/>
              <w:rPr>
                <w:rFonts w:cs="Arial"/>
                <w:color w:val="000000"/>
                <w:sz w:val="20"/>
                <w:szCs w:val="20"/>
              </w:rPr>
            </w:pPr>
            <w:r w:rsidRPr="00A06C74">
              <w:rPr>
                <w:rFonts w:cs="Arial"/>
                <w:color w:val="000000"/>
                <w:sz w:val="20"/>
                <w:szCs w:val="20"/>
              </w:rPr>
              <w:t>Ensino Fundamental</w:t>
            </w:r>
          </w:p>
        </w:tc>
        <w:tc>
          <w:tcPr>
            <w:tcW w:w="797" w:type="pct"/>
            <w:tcBorders>
              <w:top w:val="nil"/>
              <w:left w:val="single" w:sz="4" w:space="0" w:color="auto"/>
              <w:bottom w:val="nil"/>
              <w:right w:val="single" w:sz="4" w:space="0" w:color="auto"/>
            </w:tcBorders>
            <w:shd w:val="clear" w:color="auto" w:fill="auto"/>
            <w:noWrap/>
            <w:vAlign w:val="center"/>
            <w:hideMark/>
          </w:tcPr>
          <w:p w14:paraId="228F7D61" w14:textId="77777777" w:rsidR="00A06C74" w:rsidRPr="00A06C74" w:rsidRDefault="00A06C74" w:rsidP="00BF715B">
            <w:pPr>
              <w:jc w:val="right"/>
              <w:rPr>
                <w:rFonts w:cs="Arial"/>
                <w:color w:val="000000"/>
                <w:sz w:val="20"/>
                <w:szCs w:val="20"/>
              </w:rPr>
            </w:pPr>
            <w:r w:rsidRPr="00A06C74">
              <w:rPr>
                <w:rFonts w:cs="Arial"/>
                <w:color w:val="000000"/>
                <w:sz w:val="20"/>
                <w:szCs w:val="20"/>
              </w:rPr>
              <w:t>732.812.323</w:t>
            </w:r>
          </w:p>
        </w:tc>
        <w:tc>
          <w:tcPr>
            <w:tcW w:w="503" w:type="pct"/>
            <w:tcBorders>
              <w:top w:val="nil"/>
              <w:left w:val="nil"/>
              <w:bottom w:val="nil"/>
              <w:right w:val="nil"/>
            </w:tcBorders>
            <w:shd w:val="clear" w:color="auto" w:fill="auto"/>
            <w:noWrap/>
            <w:vAlign w:val="center"/>
            <w:hideMark/>
          </w:tcPr>
          <w:p w14:paraId="75C9A93C" w14:textId="77777777" w:rsidR="00A06C74" w:rsidRPr="00A06C74" w:rsidRDefault="00A06C74" w:rsidP="00BF715B">
            <w:pPr>
              <w:jc w:val="center"/>
              <w:rPr>
                <w:rFonts w:cs="Arial"/>
                <w:color w:val="000000"/>
                <w:sz w:val="20"/>
                <w:szCs w:val="20"/>
              </w:rPr>
            </w:pPr>
            <w:r w:rsidRPr="00A06C74">
              <w:rPr>
                <w:rFonts w:cs="Arial"/>
                <w:color w:val="000000"/>
                <w:sz w:val="20"/>
                <w:szCs w:val="20"/>
              </w:rPr>
              <w:t>31,98</w:t>
            </w:r>
          </w:p>
        </w:tc>
        <w:tc>
          <w:tcPr>
            <w:tcW w:w="797" w:type="pct"/>
            <w:tcBorders>
              <w:top w:val="nil"/>
              <w:left w:val="single" w:sz="4" w:space="0" w:color="auto"/>
              <w:bottom w:val="nil"/>
              <w:right w:val="single" w:sz="4" w:space="0" w:color="auto"/>
            </w:tcBorders>
            <w:shd w:val="clear" w:color="auto" w:fill="auto"/>
            <w:noWrap/>
            <w:vAlign w:val="center"/>
            <w:hideMark/>
          </w:tcPr>
          <w:p w14:paraId="546E4913" w14:textId="77777777" w:rsidR="00A06C74" w:rsidRPr="00A06C74" w:rsidRDefault="00A06C74" w:rsidP="00BF715B">
            <w:pPr>
              <w:jc w:val="right"/>
              <w:rPr>
                <w:rFonts w:cs="Arial"/>
                <w:color w:val="000000"/>
                <w:sz w:val="20"/>
                <w:szCs w:val="20"/>
              </w:rPr>
            </w:pPr>
            <w:r w:rsidRPr="00A06C74">
              <w:rPr>
                <w:rFonts w:cs="Arial"/>
                <w:color w:val="000000"/>
                <w:sz w:val="20"/>
                <w:szCs w:val="20"/>
              </w:rPr>
              <w:t>722.690.152</w:t>
            </w:r>
          </w:p>
        </w:tc>
        <w:tc>
          <w:tcPr>
            <w:tcW w:w="797" w:type="pct"/>
            <w:tcBorders>
              <w:top w:val="nil"/>
              <w:left w:val="nil"/>
              <w:bottom w:val="nil"/>
              <w:right w:val="nil"/>
            </w:tcBorders>
            <w:shd w:val="clear" w:color="auto" w:fill="auto"/>
            <w:noWrap/>
            <w:vAlign w:val="center"/>
            <w:hideMark/>
          </w:tcPr>
          <w:p w14:paraId="25F6357F" w14:textId="77777777" w:rsidR="00A06C74" w:rsidRPr="00A06C74" w:rsidRDefault="00A06C74" w:rsidP="00BF715B">
            <w:pPr>
              <w:jc w:val="right"/>
              <w:rPr>
                <w:rFonts w:cs="Arial"/>
                <w:color w:val="000000"/>
                <w:sz w:val="20"/>
                <w:szCs w:val="20"/>
              </w:rPr>
            </w:pPr>
            <w:r w:rsidRPr="00A06C74">
              <w:rPr>
                <w:rFonts w:cs="Arial"/>
                <w:color w:val="000000"/>
                <w:sz w:val="20"/>
                <w:szCs w:val="20"/>
              </w:rPr>
              <w:t>721.247.536</w:t>
            </w:r>
          </w:p>
        </w:tc>
      </w:tr>
      <w:tr w:rsidR="00A06C74" w:rsidRPr="00A06C74" w14:paraId="7A20F5AA" w14:textId="77777777" w:rsidTr="00A06C74">
        <w:trPr>
          <w:trHeight w:val="340"/>
        </w:trPr>
        <w:tc>
          <w:tcPr>
            <w:tcW w:w="2107" w:type="pct"/>
            <w:tcBorders>
              <w:top w:val="nil"/>
              <w:left w:val="nil"/>
              <w:bottom w:val="nil"/>
              <w:right w:val="nil"/>
            </w:tcBorders>
            <w:shd w:val="clear" w:color="auto" w:fill="auto"/>
            <w:noWrap/>
            <w:vAlign w:val="center"/>
            <w:hideMark/>
          </w:tcPr>
          <w:p w14:paraId="4BCF2E55" w14:textId="77777777" w:rsidR="00A06C74" w:rsidRPr="00A06C74" w:rsidRDefault="00A06C74" w:rsidP="00BF715B">
            <w:pPr>
              <w:jc w:val="left"/>
              <w:rPr>
                <w:rFonts w:cs="Arial"/>
                <w:color w:val="000000"/>
                <w:sz w:val="20"/>
                <w:szCs w:val="20"/>
              </w:rPr>
            </w:pPr>
            <w:r w:rsidRPr="00A06C74">
              <w:rPr>
                <w:rFonts w:cs="Arial"/>
                <w:color w:val="000000"/>
                <w:sz w:val="20"/>
                <w:szCs w:val="20"/>
              </w:rPr>
              <w:t>Ensino Superior</w:t>
            </w:r>
          </w:p>
        </w:tc>
        <w:tc>
          <w:tcPr>
            <w:tcW w:w="797" w:type="pct"/>
            <w:tcBorders>
              <w:top w:val="nil"/>
              <w:left w:val="single" w:sz="4" w:space="0" w:color="auto"/>
              <w:bottom w:val="nil"/>
              <w:right w:val="single" w:sz="4" w:space="0" w:color="auto"/>
            </w:tcBorders>
            <w:shd w:val="clear" w:color="auto" w:fill="auto"/>
            <w:noWrap/>
            <w:vAlign w:val="center"/>
            <w:hideMark/>
          </w:tcPr>
          <w:p w14:paraId="66315C4D" w14:textId="77777777" w:rsidR="00A06C74" w:rsidRPr="00A06C74" w:rsidRDefault="00A06C74" w:rsidP="00BF715B">
            <w:pPr>
              <w:jc w:val="right"/>
              <w:rPr>
                <w:rFonts w:cs="Arial"/>
                <w:color w:val="000000"/>
                <w:sz w:val="20"/>
                <w:szCs w:val="20"/>
              </w:rPr>
            </w:pPr>
            <w:r w:rsidRPr="00A06C74">
              <w:rPr>
                <w:rFonts w:cs="Arial"/>
                <w:color w:val="000000"/>
                <w:sz w:val="20"/>
                <w:szCs w:val="20"/>
              </w:rPr>
              <w:t>479.935.463</w:t>
            </w:r>
          </w:p>
        </w:tc>
        <w:tc>
          <w:tcPr>
            <w:tcW w:w="503" w:type="pct"/>
            <w:tcBorders>
              <w:top w:val="nil"/>
              <w:left w:val="nil"/>
              <w:bottom w:val="nil"/>
              <w:right w:val="nil"/>
            </w:tcBorders>
            <w:shd w:val="clear" w:color="auto" w:fill="auto"/>
            <w:noWrap/>
            <w:vAlign w:val="center"/>
            <w:hideMark/>
          </w:tcPr>
          <w:p w14:paraId="0EAEE59F" w14:textId="77777777" w:rsidR="00A06C74" w:rsidRPr="00A06C74" w:rsidRDefault="00A06C74" w:rsidP="00BF715B">
            <w:pPr>
              <w:jc w:val="center"/>
              <w:rPr>
                <w:rFonts w:cs="Arial"/>
                <w:color w:val="000000"/>
                <w:sz w:val="20"/>
                <w:szCs w:val="20"/>
              </w:rPr>
            </w:pPr>
            <w:r w:rsidRPr="00A06C74">
              <w:rPr>
                <w:rFonts w:cs="Arial"/>
                <w:color w:val="000000"/>
                <w:sz w:val="20"/>
                <w:szCs w:val="20"/>
              </w:rPr>
              <w:t>20,95</w:t>
            </w:r>
          </w:p>
        </w:tc>
        <w:tc>
          <w:tcPr>
            <w:tcW w:w="797" w:type="pct"/>
            <w:tcBorders>
              <w:top w:val="nil"/>
              <w:left w:val="single" w:sz="4" w:space="0" w:color="auto"/>
              <w:bottom w:val="nil"/>
              <w:right w:val="single" w:sz="4" w:space="0" w:color="auto"/>
            </w:tcBorders>
            <w:shd w:val="clear" w:color="auto" w:fill="auto"/>
            <w:noWrap/>
            <w:vAlign w:val="center"/>
            <w:hideMark/>
          </w:tcPr>
          <w:p w14:paraId="66ABAA99" w14:textId="77777777" w:rsidR="00A06C74" w:rsidRPr="00A06C74" w:rsidRDefault="00A06C74" w:rsidP="00BF715B">
            <w:pPr>
              <w:jc w:val="right"/>
              <w:rPr>
                <w:rFonts w:cs="Arial"/>
                <w:color w:val="000000"/>
                <w:sz w:val="20"/>
                <w:szCs w:val="20"/>
              </w:rPr>
            </w:pPr>
            <w:r w:rsidRPr="00A06C74">
              <w:rPr>
                <w:rFonts w:cs="Arial"/>
                <w:color w:val="000000"/>
                <w:sz w:val="20"/>
                <w:szCs w:val="20"/>
              </w:rPr>
              <w:t>472.692.882</w:t>
            </w:r>
          </w:p>
        </w:tc>
        <w:tc>
          <w:tcPr>
            <w:tcW w:w="797" w:type="pct"/>
            <w:tcBorders>
              <w:top w:val="nil"/>
              <w:left w:val="nil"/>
              <w:bottom w:val="nil"/>
              <w:right w:val="nil"/>
            </w:tcBorders>
            <w:shd w:val="clear" w:color="auto" w:fill="auto"/>
            <w:noWrap/>
            <w:vAlign w:val="center"/>
            <w:hideMark/>
          </w:tcPr>
          <w:p w14:paraId="62BCA55E" w14:textId="77777777" w:rsidR="00A06C74" w:rsidRPr="00A06C74" w:rsidRDefault="00A06C74" w:rsidP="00BF715B">
            <w:pPr>
              <w:jc w:val="right"/>
              <w:rPr>
                <w:rFonts w:cs="Arial"/>
                <w:color w:val="000000"/>
                <w:sz w:val="20"/>
                <w:szCs w:val="20"/>
              </w:rPr>
            </w:pPr>
            <w:r w:rsidRPr="00A06C74">
              <w:rPr>
                <w:rFonts w:cs="Arial"/>
                <w:color w:val="000000"/>
                <w:sz w:val="20"/>
                <w:szCs w:val="20"/>
              </w:rPr>
              <w:t>472.236.681</w:t>
            </w:r>
          </w:p>
        </w:tc>
      </w:tr>
      <w:tr w:rsidR="00A06C74" w:rsidRPr="00A06C74" w14:paraId="0EE86A53" w14:textId="77777777" w:rsidTr="00A06C74">
        <w:trPr>
          <w:trHeight w:val="340"/>
        </w:trPr>
        <w:tc>
          <w:tcPr>
            <w:tcW w:w="2107" w:type="pct"/>
            <w:tcBorders>
              <w:top w:val="nil"/>
              <w:left w:val="nil"/>
              <w:bottom w:val="nil"/>
              <w:right w:val="nil"/>
            </w:tcBorders>
            <w:shd w:val="clear" w:color="auto" w:fill="auto"/>
            <w:noWrap/>
            <w:vAlign w:val="center"/>
            <w:hideMark/>
          </w:tcPr>
          <w:p w14:paraId="5D7D77E3" w14:textId="77777777" w:rsidR="00A06C74" w:rsidRPr="00A06C74" w:rsidRDefault="00A06C74" w:rsidP="00BF715B">
            <w:pPr>
              <w:jc w:val="left"/>
              <w:rPr>
                <w:rFonts w:cs="Arial"/>
                <w:color w:val="000000"/>
                <w:sz w:val="20"/>
                <w:szCs w:val="20"/>
              </w:rPr>
            </w:pPr>
            <w:r w:rsidRPr="00A06C74">
              <w:rPr>
                <w:rFonts w:cs="Arial"/>
                <w:color w:val="000000"/>
                <w:sz w:val="20"/>
                <w:szCs w:val="20"/>
              </w:rPr>
              <w:lastRenderedPageBreak/>
              <w:t>Ensino Profissional</w:t>
            </w:r>
          </w:p>
        </w:tc>
        <w:tc>
          <w:tcPr>
            <w:tcW w:w="797" w:type="pct"/>
            <w:tcBorders>
              <w:top w:val="nil"/>
              <w:left w:val="single" w:sz="4" w:space="0" w:color="auto"/>
              <w:bottom w:val="nil"/>
              <w:right w:val="single" w:sz="4" w:space="0" w:color="auto"/>
            </w:tcBorders>
            <w:shd w:val="clear" w:color="auto" w:fill="auto"/>
            <w:noWrap/>
            <w:vAlign w:val="center"/>
            <w:hideMark/>
          </w:tcPr>
          <w:p w14:paraId="316D267E" w14:textId="77777777" w:rsidR="00A06C74" w:rsidRPr="00A06C74" w:rsidRDefault="00A06C74" w:rsidP="00BF715B">
            <w:pPr>
              <w:jc w:val="right"/>
              <w:rPr>
                <w:rFonts w:cs="Arial"/>
                <w:color w:val="000000"/>
                <w:sz w:val="20"/>
                <w:szCs w:val="20"/>
              </w:rPr>
            </w:pPr>
            <w:r w:rsidRPr="00A06C74">
              <w:rPr>
                <w:rFonts w:cs="Arial"/>
                <w:color w:val="000000"/>
                <w:sz w:val="20"/>
                <w:szCs w:val="20"/>
              </w:rPr>
              <w:t>142.260.512</w:t>
            </w:r>
          </w:p>
        </w:tc>
        <w:tc>
          <w:tcPr>
            <w:tcW w:w="503" w:type="pct"/>
            <w:tcBorders>
              <w:top w:val="nil"/>
              <w:left w:val="nil"/>
              <w:bottom w:val="nil"/>
              <w:right w:val="nil"/>
            </w:tcBorders>
            <w:shd w:val="clear" w:color="auto" w:fill="auto"/>
            <w:noWrap/>
            <w:vAlign w:val="center"/>
            <w:hideMark/>
          </w:tcPr>
          <w:p w14:paraId="436A803F" w14:textId="77777777" w:rsidR="00A06C74" w:rsidRPr="00A06C74" w:rsidRDefault="00A06C74" w:rsidP="00BF715B">
            <w:pPr>
              <w:jc w:val="center"/>
              <w:rPr>
                <w:rFonts w:cs="Arial"/>
                <w:color w:val="000000"/>
                <w:sz w:val="20"/>
                <w:szCs w:val="20"/>
              </w:rPr>
            </w:pPr>
            <w:r w:rsidRPr="00A06C74">
              <w:rPr>
                <w:rFonts w:cs="Arial"/>
                <w:color w:val="000000"/>
                <w:sz w:val="20"/>
                <w:szCs w:val="20"/>
              </w:rPr>
              <w:t>6,21</w:t>
            </w:r>
          </w:p>
        </w:tc>
        <w:tc>
          <w:tcPr>
            <w:tcW w:w="797" w:type="pct"/>
            <w:tcBorders>
              <w:top w:val="nil"/>
              <w:left w:val="single" w:sz="4" w:space="0" w:color="auto"/>
              <w:bottom w:val="nil"/>
              <w:right w:val="single" w:sz="4" w:space="0" w:color="auto"/>
            </w:tcBorders>
            <w:shd w:val="clear" w:color="auto" w:fill="auto"/>
            <w:noWrap/>
            <w:vAlign w:val="center"/>
            <w:hideMark/>
          </w:tcPr>
          <w:p w14:paraId="67C6CDDF" w14:textId="77777777" w:rsidR="00A06C74" w:rsidRPr="00A06C74" w:rsidRDefault="00A06C74" w:rsidP="00BF715B">
            <w:pPr>
              <w:jc w:val="right"/>
              <w:rPr>
                <w:rFonts w:cs="Arial"/>
                <w:color w:val="000000"/>
                <w:sz w:val="20"/>
                <w:szCs w:val="20"/>
              </w:rPr>
            </w:pPr>
            <w:r w:rsidRPr="00A06C74">
              <w:rPr>
                <w:rFonts w:cs="Arial"/>
                <w:color w:val="000000"/>
                <w:sz w:val="20"/>
                <w:szCs w:val="20"/>
              </w:rPr>
              <w:t>139.873.501</w:t>
            </w:r>
          </w:p>
        </w:tc>
        <w:tc>
          <w:tcPr>
            <w:tcW w:w="797" w:type="pct"/>
            <w:tcBorders>
              <w:top w:val="nil"/>
              <w:left w:val="nil"/>
              <w:bottom w:val="nil"/>
              <w:right w:val="nil"/>
            </w:tcBorders>
            <w:shd w:val="clear" w:color="auto" w:fill="auto"/>
            <w:noWrap/>
            <w:vAlign w:val="center"/>
            <w:hideMark/>
          </w:tcPr>
          <w:p w14:paraId="50D4CDCF" w14:textId="77777777" w:rsidR="00A06C74" w:rsidRPr="00A06C74" w:rsidRDefault="00A06C74" w:rsidP="00BF715B">
            <w:pPr>
              <w:jc w:val="right"/>
              <w:rPr>
                <w:rFonts w:cs="Arial"/>
                <w:color w:val="000000"/>
                <w:sz w:val="20"/>
                <w:szCs w:val="20"/>
              </w:rPr>
            </w:pPr>
            <w:r w:rsidRPr="00A06C74">
              <w:rPr>
                <w:rFonts w:cs="Arial"/>
                <w:color w:val="000000"/>
                <w:sz w:val="20"/>
                <w:szCs w:val="20"/>
              </w:rPr>
              <w:t>139.833.261</w:t>
            </w:r>
          </w:p>
        </w:tc>
      </w:tr>
      <w:tr w:rsidR="00A06C74" w:rsidRPr="00A06C74" w14:paraId="6D04E6E8" w14:textId="77777777" w:rsidTr="00A06C74">
        <w:trPr>
          <w:trHeight w:val="340"/>
        </w:trPr>
        <w:tc>
          <w:tcPr>
            <w:tcW w:w="2107" w:type="pct"/>
            <w:tcBorders>
              <w:top w:val="nil"/>
              <w:left w:val="nil"/>
              <w:bottom w:val="nil"/>
              <w:right w:val="nil"/>
            </w:tcBorders>
            <w:shd w:val="clear" w:color="auto" w:fill="auto"/>
            <w:noWrap/>
            <w:vAlign w:val="center"/>
            <w:hideMark/>
          </w:tcPr>
          <w:p w14:paraId="0543A9C1" w14:textId="77777777" w:rsidR="00A06C74" w:rsidRPr="00A06C74" w:rsidRDefault="00A06C74" w:rsidP="00BF715B">
            <w:pPr>
              <w:jc w:val="left"/>
              <w:rPr>
                <w:rFonts w:cs="Arial"/>
                <w:color w:val="000000"/>
                <w:sz w:val="20"/>
                <w:szCs w:val="20"/>
              </w:rPr>
            </w:pPr>
            <w:r w:rsidRPr="00A06C74">
              <w:rPr>
                <w:rFonts w:cs="Arial"/>
                <w:color w:val="000000"/>
                <w:sz w:val="20"/>
                <w:szCs w:val="20"/>
              </w:rPr>
              <w:t>Educação de Jovens e Adultos</w:t>
            </w:r>
          </w:p>
        </w:tc>
        <w:tc>
          <w:tcPr>
            <w:tcW w:w="797" w:type="pct"/>
            <w:tcBorders>
              <w:top w:val="nil"/>
              <w:left w:val="single" w:sz="4" w:space="0" w:color="auto"/>
              <w:bottom w:val="nil"/>
              <w:right w:val="single" w:sz="4" w:space="0" w:color="auto"/>
            </w:tcBorders>
            <w:shd w:val="clear" w:color="auto" w:fill="auto"/>
            <w:noWrap/>
            <w:vAlign w:val="center"/>
            <w:hideMark/>
          </w:tcPr>
          <w:p w14:paraId="0FD3FC0D" w14:textId="77777777" w:rsidR="00A06C74" w:rsidRPr="00A06C74" w:rsidRDefault="00A06C74" w:rsidP="00BF715B">
            <w:pPr>
              <w:jc w:val="right"/>
              <w:rPr>
                <w:rFonts w:cs="Arial"/>
                <w:color w:val="000000"/>
                <w:sz w:val="20"/>
                <w:szCs w:val="20"/>
              </w:rPr>
            </w:pPr>
            <w:r w:rsidRPr="00A06C74">
              <w:rPr>
                <w:rFonts w:cs="Arial"/>
                <w:color w:val="000000"/>
                <w:sz w:val="20"/>
                <w:szCs w:val="20"/>
              </w:rPr>
              <w:t>82.649.190</w:t>
            </w:r>
          </w:p>
        </w:tc>
        <w:tc>
          <w:tcPr>
            <w:tcW w:w="503" w:type="pct"/>
            <w:tcBorders>
              <w:top w:val="nil"/>
              <w:left w:val="nil"/>
              <w:bottom w:val="nil"/>
              <w:right w:val="nil"/>
            </w:tcBorders>
            <w:shd w:val="clear" w:color="auto" w:fill="auto"/>
            <w:noWrap/>
            <w:vAlign w:val="center"/>
            <w:hideMark/>
          </w:tcPr>
          <w:p w14:paraId="52793545" w14:textId="77777777" w:rsidR="00A06C74" w:rsidRPr="00A06C74" w:rsidRDefault="00A06C74" w:rsidP="00BF715B">
            <w:pPr>
              <w:jc w:val="center"/>
              <w:rPr>
                <w:rFonts w:cs="Arial"/>
                <w:color w:val="000000"/>
                <w:sz w:val="20"/>
                <w:szCs w:val="20"/>
              </w:rPr>
            </w:pPr>
            <w:r w:rsidRPr="00A06C74">
              <w:rPr>
                <w:rFonts w:cs="Arial"/>
                <w:color w:val="000000"/>
                <w:sz w:val="20"/>
                <w:szCs w:val="20"/>
              </w:rPr>
              <w:t>3,61</w:t>
            </w:r>
          </w:p>
        </w:tc>
        <w:tc>
          <w:tcPr>
            <w:tcW w:w="797" w:type="pct"/>
            <w:tcBorders>
              <w:top w:val="nil"/>
              <w:left w:val="single" w:sz="4" w:space="0" w:color="auto"/>
              <w:bottom w:val="nil"/>
              <w:right w:val="single" w:sz="4" w:space="0" w:color="auto"/>
            </w:tcBorders>
            <w:shd w:val="clear" w:color="auto" w:fill="auto"/>
            <w:noWrap/>
            <w:vAlign w:val="center"/>
            <w:hideMark/>
          </w:tcPr>
          <w:p w14:paraId="0EFD7AE6" w14:textId="77777777" w:rsidR="00A06C74" w:rsidRPr="00A06C74" w:rsidRDefault="00A06C74" w:rsidP="00BF715B">
            <w:pPr>
              <w:jc w:val="right"/>
              <w:rPr>
                <w:rFonts w:cs="Arial"/>
                <w:color w:val="000000"/>
                <w:sz w:val="20"/>
                <w:szCs w:val="20"/>
              </w:rPr>
            </w:pPr>
            <w:r w:rsidRPr="00A06C74">
              <w:rPr>
                <w:rFonts w:cs="Arial"/>
                <w:color w:val="000000"/>
                <w:sz w:val="20"/>
                <w:szCs w:val="20"/>
              </w:rPr>
              <w:t>81.583.653</w:t>
            </w:r>
          </w:p>
        </w:tc>
        <w:tc>
          <w:tcPr>
            <w:tcW w:w="797" w:type="pct"/>
            <w:tcBorders>
              <w:top w:val="nil"/>
              <w:left w:val="nil"/>
              <w:bottom w:val="nil"/>
              <w:right w:val="nil"/>
            </w:tcBorders>
            <w:shd w:val="clear" w:color="auto" w:fill="auto"/>
            <w:noWrap/>
            <w:vAlign w:val="center"/>
            <w:hideMark/>
          </w:tcPr>
          <w:p w14:paraId="2D60936F" w14:textId="77777777" w:rsidR="00A06C74" w:rsidRPr="00A06C74" w:rsidRDefault="00A06C74" w:rsidP="00BF715B">
            <w:pPr>
              <w:jc w:val="right"/>
              <w:rPr>
                <w:rFonts w:cs="Arial"/>
                <w:color w:val="000000"/>
                <w:sz w:val="20"/>
                <w:szCs w:val="20"/>
              </w:rPr>
            </w:pPr>
            <w:r w:rsidRPr="00A06C74">
              <w:rPr>
                <w:rFonts w:cs="Arial"/>
                <w:color w:val="000000"/>
                <w:sz w:val="20"/>
                <w:szCs w:val="20"/>
              </w:rPr>
              <w:t>81.416.110</w:t>
            </w:r>
          </w:p>
        </w:tc>
      </w:tr>
      <w:tr w:rsidR="00A06C74" w:rsidRPr="00A06C74" w14:paraId="540B2F46" w14:textId="77777777" w:rsidTr="00A06C74">
        <w:trPr>
          <w:trHeight w:val="340"/>
        </w:trPr>
        <w:tc>
          <w:tcPr>
            <w:tcW w:w="2107" w:type="pct"/>
            <w:tcBorders>
              <w:top w:val="nil"/>
              <w:left w:val="nil"/>
              <w:bottom w:val="nil"/>
              <w:right w:val="nil"/>
            </w:tcBorders>
            <w:shd w:val="clear" w:color="auto" w:fill="auto"/>
            <w:noWrap/>
            <w:vAlign w:val="center"/>
            <w:hideMark/>
          </w:tcPr>
          <w:p w14:paraId="701B4D76" w14:textId="77777777" w:rsidR="00A06C74" w:rsidRPr="00A06C74" w:rsidRDefault="00A06C74" w:rsidP="00BF715B">
            <w:pPr>
              <w:jc w:val="left"/>
              <w:rPr>
                <w:rFonts w:cs="Arial"/>
                <w:color w:val="000000"/>
                <w:sz w:val="20"/>
                <w:szCs w:val="20"/>
              </w:rPr>
            </w:pPr>
            <w:r w:rsidRPr="00A06C74">
              <w:rPr>
                <w:rFonts w:cs="Arial"/>
                <w:color w:val="000000"/>
                <w:sz w:val="20"/>
                <w:szCs w:val="20"/>
              </w:rPr>
              <w:t>Educação Infantil</w:t>
            </w:r>
          </w:p>
        </w:tc>
        <w:tc>
          <w:tcPr>
            <w:tcW w:w="797" w:type="pct"/>
            <w:tcBorders>
              <w:top w:val="nil"/>
              <w:left w:val="single" w:sz="4" w:space="0" w:color="auto"/>
              <w:bottom w:val="nil"/>
              <w:right w:val="single" w:sz="4" w:space="0" w:color="auto"/>
            </w:tcBorders>
            <w:shd w:val="clear" w:color="auto" w:fill="auto"/>
            <w:noWrap/>
            <w:vAlign w:val="center"/>
            <w:hideMark/>
          </w:tcPr>
          <w:p w14:paraId="62779962" w14:textId="77777777" w:rsidR="00A06C74" w:rsidRPr="00A06C74" w:rsidRDefault="00A06C74" w:rsidP="00BF715B">
            <w:pPr>
              <w:jc w:val="right"/>
              <w:rPr>
                <w:rFonts w:cs="Arial"/>
                <w:color w:val="000000"/>
                <w:sz w:val="20"/>
                <w:szCs w:val="20"/>
              </w:rPr>
            </w:pPr>
            <w:r w:rsidRPr="00A06C74">
              <w:rPr>
                <w:rFonts w:cs="Arial"/>
                <w:color w:val="000000"/>
                <w:sz w:val="20"/>
                <w:szCs w:val="20"/>
              </w:rPr>
              <w:t>11.051.656</w:t>
            </w:r>
          </w:p>
        </w:tc>
        <w:tc>
          <w:tcPr>
            <w:tcW w:w="503" w:type="pct"/>
            <w:tcBorders>
              <w:top w:val="nil"/>
              <w:left w:val="nil"/>
              <w:bottom w:val="nil"/>
              <w:right w:val="nil"/>
            </w:tcBorders>
            <w:shd w:val="clear" w:color="auto" w:fill="auto"/>
            <w:noWrap/>
            <w:vAlign w:val="center"/>
            <w:hideMark/>
          </w:tcPr>
          <w:p w14:paraId="214425A3" w14:textId="77777777" w:rsidR="00A06C74" w:rsidRPr="00A06C74" w:rsidRDefault="00A06C74" w:rsidP="00BF715B">
            <w:pPr>
              <w:jc w:val="center"/>
              <w:rPr>
                <w:rFonts w:cs="Arial"/>
                <w:color w:val="000000"/>
                <w:sz w:val="20"/>
                <w:szCs w:val="20"/>
              </w:rPr>
            </w:pPr>
            <w:r w:rsidRPr="00A06C74">
              <w:rPr>
                <w:rFonts w:cs="Arial"/>
                <w:color w:val="000000"/>
                <w:sz w:val="20"/>
                <w:szCs w:val="20"/>
              </w:rPr>
              <w:t>0,48</w:t>
            </w:r>
          </w:p>
        </w:tc>
        <w:tc>
          <w:tcPr>
            <w:tcW w:w="797" w:type="pct"/>
            <w:tcBorders>
              <w:top w:val="nil"/>
              <w:left w:val="single" w:sz="4" w:space="0" w:color="auto"/>
              <w:bottom w:val="nil"/>
              <w:right w:val="single" w:sz="4" w:space="0" w:color="auto"/>
            </w:tcBorders>
            <w:shd w:val="clear" w:color="auto" w:fill="auto"/>
            <w:noWrap/>
            <w:vAlign w:val="center"/>
            <w:hideMark/>
          </w:tcPr>
          <w:p w14:paraId="4E649A4F" w14:textId="77777777" w:rsidR="00A06C74" w:rsidRPr="00A06C74" w:rsidRDefault="00A06C74" w:rsidP="00BF715B">
            <w:pPr>
              <w:jc w:val="right"/>
              <w:rPr>
                <w:rFonts w:cs="Arial"/>
                <w:color w:val="000000"/>
                <w:sz w:val="20"/>
                <w:szCs w:val="20"/>
              </w:rPr>
            </w:pPr>
            <w:r w:rsidRPr="00A06C74">
              <w:rPr>
                <w:rFonts w:cs="Arial"/>
                <w:color w:val="000000"/>
                <w:sz w:val="20"/>
                <w:szCs w:val="20"/>
              </w:rPr>
              <w:t>9.946.656</w:t>
            </w:r>
          </w:p>
        </w:tc>
        <w:tc>
          <w:tcPr>
            <w:tcW w:w="797" w:type="pct"/>
            <w:tcBorders>
              <w:top w:val="nil"/>
              <w:left w:val="nil"/>
              <w:bottom w:val="nil"/>
              <w:right w:val="nil"/>
            </w:tcBorders>
            <w:shd w:val="clear" w:color="auto" w:fill="auto"/>
            <w:noWrap/>
            <w:vAlign w:val="center"/>
            <w:hideMark/>
          </w:tcPr>
          <w:p w14:paraId="0480961B" w14:textId="77777777" w:rsidR="00A06C74" w:rsidRPr="00A06C74" w:rsidRDefault="00A06C74" w:rsidP="00BF715B">
            <w:pPr>
              <w:jc w:val="right"/>
              <w:rPr>
                <w:rFonts w:cs="Arial"/>
                <w:color w:val="000000"/>
                <w:sz w:val="20"/>
                <w:szCs w:val="20"/>
              </w:rPr>
            </w:pPr>
            <w:r w:rsidRPr="00A06C74">
              <w:rPr>
                <w:rFonts w:cs="Arial"/>
                <w:color w:val="000000"/>
                <w:sz w:val="20"/>
                <w:szCs w:val="20"/>
              </w:rPr>
              <w:t>9.946.656</w:t>
            </w:r>
          </w:p>
        </w:tc>
      </w:tr>
      <w:tr w:rsidR="00A06C74" w:rsidRPr="00A06C74" w14:paraId="1D7BF77E" w14:textId="77777777" w:rsidTr="00A06C74">
        <w:trPr>
          <w:trHeight w:val="340"/>
        </w:trPr>
        <w:tc>
          <w:tcPr>
            <w:tcW w:w="2107" w:type="pct"/>
            <w:tcBorders>
              <w:top w:val="nil"/>
              <w:left w:val="nil"/>
              <w:bottom w:val="nil"/>
              <w:right w:val="nil"/>
            </w:tcBorders>
            <w:shd w:val="clear" w:color="auto" w:fill="auto"/>
            <w:noWrap/>
            <w:vAlign w:val="center"/>
            <w:hideMark/>
          </w:tcPr>
          <w:p w14:paraId="4C216360" w14:textId="77777777" w:rsidR="00A06C74" w:rsidRPr="00A06C74" w:rsidRDefault="00A06C74" w:rsidP="00BF715B">
            <w:pPr>
              <w:jc w:val="left"/>
              <w:rPr>
                <w:rFonts w:cs="Arial"/>
                <w:color w:val="000000"/>
                <w:sz w:val="20"/>
                <w:szCs w:val="20"/>
              </w:rPr>
            </w:pPr>
            <w:r w:rsidRPr="00A06C74">
              <w:rPr>
                <w:rFonts w:cs="Arial"/>
                <w:color w:val="000000"/>
                <w:sz w:val="20"/>
                <w:szCs w:val="20"/>
              </w:rPr>
              <w:t>Educação Especial</w:t>
            </w:r>
          </w:p>
        </w:tc>
        <w:tc>
          <w:tcPr>
            <w:tcW w:w="797" w:type="pct"/>
            <w:tcBorders>
              <w:top w:val="nil"/>
              <w:left w:val="single" w:sz="4" w:space="0" w:color="auto"/>
              <w:bottom w:val="nil"/>
              <w:right w:val="single" w:sz="4" w:space="0" w:color="auto"/>
            </w:tcBorders>
            <w:shd w:val="clear" w:color="auto" w:fill="auto"/>
            <w:noWrap/>
            <w:vAlign w:val="center"/>
            <w:hideMark/>
          </w:tcPr>
          <w:p w14:paraId="37EE36A3" w14:textId="77777777" w:rsidR="00A06C74" w:rsidRPr="00A06C74" w:rsidRDefault="00A06C74" w:rsidP="00BF715B">
            <w:pPr>
              <w:jc w:val="right"/>
              <w:rPr>
                <w:rFonts w:cs="Arial"/>
                <w:color w:val="000000"/>
                <w:sz w:val="20"/>
                <w:szCs w:val="20"/>
              </w:rPr>
            </w:pPr>
            <w:r w:rsidRPr="00A06C74">
              <w:rPr>
                <w:rFonts w:cs="Arial"/>
                <w:color w:val="000000"/>
                <w:sz w:val="20"/>
                <w:szCs w:val="20"/>
              </w:rPr>
              <w:t>2.275.270</w:t>
            </w:r>
          </w:p>
        </w:tc>
        <w:tc>
          <w:tcPr>
            <w:tcW w:w="503" w:type="pct"/>
            <w:tcBorders>
              <w:top w:val="nil"/>
              <w:left w:val="nil"/>
              <w:bottom w:val="nil"/>
              <w:right w:val="nil"/>
            </w:tcBorders>
            <w:shd w:val="clear" w:color="auto" w:fill="auto"/>
            <w:noWrap/>
            <w:vAlign w:val="center"/>
            <w:hideMark/>
          </w:tcPr>
          <w:p w14:paraId="48B2E01C" w14:textId="77777777" w:rsidR="00A06C74" w:rsidRPr="00A06C74" w:rsidRDefault="00A06C74" w:rsidP="00BF715B">
            <w:pPr>
              <w:jc w:val="center"/>
              <w:rPr>
                <w:rFonts w:cs="Arial"/>
                <w:color w:val="000000"/>
                <w:sz w:val="20"/>
                <w:szCs w:val="20"/>
              </w:rPr>
            </w:pPr>
            <w:r w:rsidRPr="00A06C74">
              <w:rPr>
                <w:rFonts w:cs="Arial"/>
                <w:color w:val="000000"/>
                <w:sz w:val="20"/>
                <w:szCs w:val="20"/>
              </w:rPr>
              <w:t>0,10</w:t>
            </w:r>
          </w:p>
        </w:tc>
        <w:tc>
          <w:tcPr>
            <w:tcW w:w="797" w:type="pct"/>
            <w:tcBorders>
              <w:top w:val="nil"/>
              <w:left w:val="single" w:sz="4" w:space="0" w:color="auto"/>
              <w:bottom w:val="nil"/>
              <w:right w:val="single" w:sz="4" w:space="0" w:color="auto"/>
            </w:tcBorders>
            <w:shd w:val="clear" w:color="auto" w:fill="auto"/>
            <w:noWrap/>
            <w:vAlign w:val="center"/>
            <w:hideMark/>
          </w:tcPr>
          <w:p w14:paraId="114C644C" w14:textId="77777777" w:rsidR="00A06C74" w:rsidRPr="00A06C74" w:rsidRDefault="00A06C74" w:rsidP="00BF715B">
            <w:pPr>
              <w:jc w:val="right"/>
              <w:rPr>
                <w:rFonts w:cs="Arial"/>
                <w:color w:val="000000"/>
                <w:sz w:val="20"/>
                <w:szCs w:val="20"/>
              </w:rPr>
            </w:pPr>
            <w:r w:rsidRPr="00A06C74">
              <w:rPr>
                <w:rFonts w:cs="Arial"/>
                <w:color w:val="000000"/>
                <w:sz w:val="20"/>
                <w:szCs w:val="20"/>
              </w:rPr>
              <w:t>2.247.078</w:t>
            </w:r>
          </w:p>
        </w:tc>
        <w:tc>
          <w:tcPr>
            <w:tcW w:w="797" w:type="pct"/>
            <w:tcBorders>
              <w:top w:val="nil"/>
              <w:left w:val="nil"/>
              <w:bottom w:val="nil"/>
              <w:right w:val="nil"/>
            </w:tcBorders>
            <w:shd w:val="clear" w:color="auto" w:fill="auto"/>
            <w:noWrap/>
            <w:vAlign w:val="center"/>
            <w:hideMark/>
          </w:tcPr>
          <w:p w14:paraId="3AB06E15" w14:textId="77777777" w:rsidR="00A06C74" w:rsidRPr="00A06C74" w:rsidRDefault="00A06C74" w:rsidP="00BF715B">
            <w:pPr>
              <w:jc w:val="right"/>
              <w:rPr>
                <w:rFonts w:cs="Arial"/>
                <w:color w:val="000000"/>
                <w:sz w:val="20"/>
                <w:szCs w:val="20"/>
              </w:rPr>
            </w:pPr>
            <w:r w:rsidRPr="00A06C74">
              <w:rPr>
                <w:rFonts w:cs="Arial"/>
                <w:color w:val="000000"/>
                <w:sz w:val="20"/>
                <w:szCs w:val="20"/>
              </w:rPr>
              <w:t>2.242.645</w:t>
            </w:r>
          </w:p>
        </w:tc>
      </w:tr>
      <w:tr w:rsidR="00A06C74" w:rsidRPr="00A06C74" w14:paraId="66E7C535" w14:textId="77777777" w:rsidTr="00A06C74">
        <w:trPr>
          <w:trHeight w:val="340"/>
        </w:trPr>
        <w:tc>
          <w:tcPr>
            <w:tcW w:w="2107" w:type="pct"/>
            <w:tcBorders>
              <w:top w:val="single" w:sz="4" w:space="0" w:color="auto"/>
              <w:left w:val="nil"/>
              <w:bottom w:val="single" w:sz="4" w:space="0" w:color="auto"/>
              <w:right w:val="nil"/>
            </w:tcBorders>
            <w:shd w:val="clear" w:color="auto" w:fill="auto"/>
            <w:noWrap/>
            <w:vAlign w:val="center"/>
            <w:hideMark/>
          </w:tcPr>
          <w:p w14:paraId="37D26AC6"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Total</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570B25" w14:textId="77777777" w:rsidR="00A06C74" w:rsidRPr="00A06C74" w:rsidRDefault="00A06C74" w:rsidP="00BF715B">
            <w:pPr>
              <w:jc w:val="right"/>
              <w:rPr>
                <w:rFonts w:cs="Arial"/>
                <w:b/>
                <w:bCs/>
                <w:color w:val="000000"/>
                <w:sz w:val="20"/>
                <w:szCs w:val="20"/>
              </w:rPr>
            </w:pPr>
            <w:r w:rsidRPr="00A06C74">
              <w:rPr>
                <w:rFonts w:cs="Arial"/>
                <w:b/>
                <w:bCs/>
                <w:color w:val="000000"/>
                <w:sz w:val="20"/>
                <w:szCs w:val="20"/>
              </w:rPr>
              <w:t>2.291.126.416</w:t>
            </w:r>
          </w:p>
        </w:tc>
        <w:tc>
          <w:tcPr>
            <w:tcW w:w="503" w:type="pct"/>
            <w:tcBorders>
              <w:top w:val="single" w:sz="4" w:space="0" w:color="auto"/>
              <w:left w:val="nil"/>
              <w:bottom w:val="single" w:sz="4" w:space="0" w:color="auto"/>
              <w:right w:val="single" w:sz="4" w:space="0" w:color="auto"/>
            </w:tcBorders>
            <w:shd w:val="clear" w:color="auto" w:fill="auto"/>
            <w:noWrap/>
            <w:vAlign w:val="center"/>
            <w:hideMark/>
          </w:tcPr>
          <w:p w14:paraId="0C533C6C" w14:textId="77777777" w:rsidR="00A06C74" w:rsidRPr="00A06C74" w:rsidRDefault="00A06C74" w:rsidP="00BF715B">
            <w:pPr>
              <w:jc w:val="center"/>
              <w:rPr>
                <w:rFonts w:cs="Arial"/>
                <w:b/>
                <w:color w:val="000000"/>
                <w:sz w:val="20"/>
                <w:szCs w:val="20"/>
              </w:rPr>
            </w:pPr>
            <w:r w:rsidRPr="00A06C74">
              <w:rPr>
                <w:rFonts w:cs="Arial"/>
                <w:b/>
                <w:color w:val="000000"/>
                <w:sz w:val="20"/>
                <w:szCs w:val="20"/>
              </w:rPr>
              <w:t>100,00</w:t>
            </w:r>
          </w:p>
        </w:tc>
        <w:tc>
          <w:tcPr>
            <w:tcW w:w="797" w:type="pct"/>
            <w:tcBorders>
              <w:top w:val="single" w:sz="4" w:space="0" w:color="auto"/>
              <w:left w:val="nil"/>
              <w:bottom w:val="single" w:sz="4" w:space="0" w:color="auto"/>
              <w:right w:val="single" w:sz="4" w:space="0" w:color="auto"/>
            </w:tcBorders>
            <w:shd w:val="clear" w:color="auto" w:fill="auto"/>
            <w:noWrap/>
            <w:vAlign w:val="center"/>
            <w:hideMark/>
          </w:tcPr>
          <w:p w14:paraId="7041B4A0" w14:textId="77777777" w:rsidR="00A06C74" w:rsidRPr="00A06C74" w:rsidRDefault="00A06C74" w:rsidP="00BF715B">
            <w:pPr>
              <w:jc w:val="right"/>
              <w:rPr>
                <w:rFonts w:cs="Arial"/>
                <w:b/>
                <w:bCs/>
                <w:color w:val="000000"/>
                <w:sz w:val="20"/>
                <w:szCs w:val="20"/>
              </w:rPr>
            </w:pPr>
            <w:r w:rsidRPr="00A06C74">
              <w:rPr>
                <w:rFonts w:cs="Arial"/>
                <w:b/>
                <w:bCs/>
                <w:color w:val="000000"/>
                <w:sz w:val="20"/>
                <w:szCs w:val="20"/>
              </w:rPr>
              <w:t>2.259.742.510</w:t>
            </w:r>
          </w:p>
        </w:tc>
        <w:tc>
          <w:tcPr>
            <w:tcW w:w="797" w:type="pct"/>
            <w:tcBorders>
              <w:top w:val="single" w:sz="4" w:space="0" w:color="auto"/>
              <w:left w:val="nil"/>
              <w:bottom w:val="single" w:sz="4" w:space="0" w:color="auto"/>
              <w:right w:val="nil"/>
            </w:tcBorders>
            <w:shd w:val="clear" w:color="auto" w:fill="auto"/>
            <w:noWrap/>
            <w:vAlign w:val="center"/>
            <w:hideMark/>
          </w:tcPr>
          <w:p w14:paraId="23BB6393" w14:textId="77777777" w:rsidR="00A06C74" w:rsidRPr="00A06C74" w:rsidRDefault="00A06C74" w:rsidP="00BF715B">
            <w:pPr>
              <w:jc w:val="right"/>
              <w:rPr>
                <w:rFonts w:cs="Arial"/>
                <w:b/>
                <w:bCs/>
                <w:color w:val="000000"/>
                <w:sz w:val="20"/>
                <w:szCs w:val="20"/>
              </w:rPr>
            </w:pPr>
            <w:r w:rsidRPr="00A06C74">
              <w:rPr>
                <w:rFonts w:cs="Arial"/>
                <w:b/>
                <w:bCs/>
                <w:color w:val="000000"/>
                <w:sz w:val="20"/>
                <w:szCs w:val="20"/>
              </w:rPr>
              <w:t>2.256.295.986</w:t>
            </w:r>
          </w:p>
        </w:tc>
      </w:tr>
    </w:tbl>
    <w:p w14:paraId="6485750B" w14:textId="77777777" w:rsidR="00A06C74" w:rsidRPr="007046AA" w:rsidRDefault="00A06C74" w:rsidP="00A06C74">
      <w:pPr>
        <w:pStyle w:val="0-FONTEBALANO"/>
      </w:pPr>
      <w:r w:rsidRPr="007046AA">
        <w:t>Fonte</w:t>
      </w:r>
      <w:r>
        <w:t xml:space="preserve">: </w:t>
      </w:r>
      <w:r w:rsidRPr="007046AA">
        <w:t>RREO do 6º Bimestre de 2023</w:t>
      </w:r>
    </w:p>
    <w:p w14:paraId="6EE80B53" w14:textId="77777777" w:rsidR="00A06C74" w:rsidRDefault="00A06C74" w:rsidP="00BF715B">
      <w:pPr>
        <w:pStyle w:val="1-REL11"/>
        <w:spacing w:line="324" w:lineRule="auto"/>
      </w:pPr>
      <w:r>
        <w:t xml:space="preserve">A apuração das despesas para fins de cálculo do </w:t>
      </w:r>
      <w:r w:rsidRPr="0089786D">
        <w:t>limite mínimo de aplicação de recursos em MDE</w:t>
      </w:r>
      <w:r>
        <w:t>, conforme tabela a seguir:</w:t>
      </w:r>
    </w:p>
    <w:p w14:paraId="5707514F" w14:textId="77777777" w:rsidR="00A06C74" w:rsidRDefault="00A06C74" w:rsidP="00736A8C">
      <w:pPr>
        <w:pStyle w:val="0-TABELA"/>
        <w:numPr>
          <w:ilvl w:val="0"/>
          <w:numId w:val="53"/>
        </w:numPr>
        <w:tabs>
          <w:tab w:val="clear" w:pos="1560"/>
          <w:tab w:val="left" w:pos="1134"/>
        </w:tabs>
        <w:spacing w:before="0" w:after="0"/>
        <w:ind w:left="0" w:firstLine="0"/>
      </w:pPr>
      <w:bookmarkStart w:id="307" w:name="_Toc167871796"/>
      <w:r>
        <w:t>Despesas para Cálculo do Índice Constitucional</w:t>
      </w:r>
      <w:bookmarkEnd w:id="307"/>
    </w:p>
    <w:p w14:paraId="4EC71BBD" w14:textId="77777777" w:rsidR="00A06C74" w:rsidRPr="00612265" w:rsidRDefault="00A06C74" w:rsidP="00A06C74">
      <w:pPr>
        <w:pStyle w:val="0-EmR1"/>
      </w:pPr>
      <w:r w:rsidRPr="00612265">
        <w:t>R$ 1</w:t>
      </w:r>
    </w:p>
    <w:tbl>
      <w:tblPr>
        <w:tblW w:w="5000" w:type="pct"/>
        <w:tblLayout w:type="fixed"/>
        <w:tblCellMar>
          <w:left w:w="70" w:type="dxa"/>
          <w:right w:w="70" w:type="dxa"/>
        </w:tblCellMar>
        <w:tblLook w:val="04A0" w:firstRow="1" w:lastRow="0" w:firstColumn="1" w:lastColumn="0" w:noHBand="0" w:noVBand="1"/>
      </w:tblPr>
      <w:tblGrid>
        <w:gridCol w:w="7230"/>
        <w:gridCol w:w="2123"/>
      </w:tblGrid>
      <w:tr w:rsidR="00A06C74" w:rsidRPr="00A06C74" w14:paraId="70BB1A6D" w14:textId="77777777" w:rsidTr="00E44C48">
        <w:trPr>
          <w:trHeight w:val="340"/>
          <w:tblHeader/>
        </w:trPr>
        <w:tc>
          <w:tcPr>
            <w:tcW w:w="3865" w:type="pct"/>
            <w:tcBorders>
              <w:top w:val="single" w:sz="4" w:space="0" w:color="auto"/>
              <w:left w:val="nil"/>
              <w:bottom w:val="single" w:sz="4" w:space="0" w:color="auto"/>
              <w:right w:val="nil"/>
            </w:tcBorders>
            <w:shd w:val="clear" w:color="000000" w:fill="A1F2FD"/>
            <w:noWrap/>
            <w:vAlign w:val="center"/>
            <w:hideMark/>
          </w:tcPr>
          <w:p w14:paraId="47800BE9"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Descrição</w:t>
            </w:r>
          </w:p>
        </w:tc>
        <w:tc>
          <w:tcPr>
            <w:tcW w:w="1135" w:type="pct"/>
            <w:tcBorders>
              <w:top w:val="single" w:sz="4" w:space="0" w:color="auto"/>
              <w:left w:val="single" w:sz="4" w:space="0" w:color="auto"/>
              <w:bottom w:val="single" w:sz="4" w:space="0" w:color="auto"/>
              <w:right w:val="nil"/>
            </w:tcBorders>
            <w:shd w:val="clear" w:color="000000" w:fill="A1F2FD"/>
            <w:noWrap/>
            <w:vAlign w:val="center"/>
            <w:hideMark/>
          </w:tcPr>
          <w:p w14:paraId="1655B2DA"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Valor</w:t>
            </w:r>
          </w:p>
        </w:tc>
      </w:tr>
      <w:tr w:rsidR="00A06C74" w:rsidRPr="00A06C74" w14:paraId="6C07E6E2" w14:textId="77777777" w:rsidTr="00E44C48">
        <w:trPr>
          <w:trHeight w:val="340"/>
        </w:trPr>
        <w:tc>
          <w:tcPr>
            <w:tcW w:w="3865" w:type="pct"/>
            <w:tcBorders>
              <w:top w:val="nil"/>
              <w:left w:val="nil"/>
              <w:bottom w:val="nil"/>
              <w:right w:val="nil"/>
            </w:tcBorders>
            <w:shd w:val="clear" w:color="auto" w:fill="auto"/>
            <w:noWrap/>
            <w:vAlign w:val="center"/>
            <w:hideMark/>
          </w:tcPr>
          <w:p w14:paraId="54F1C181" w14:textId="77777777" w:rsidR="00A06C74" w:rsidRPr="00A06C74" w:rsidRDefault="00A06C74" w:rsidP="00BF715B">
            <w:pPr>
              <w:jc w:val="left"/>
              <w:rPr>
                <w:rFonts w:cs="Arial"/>
                <w:color w:val="000000"/>
                <w:sz w:val="20"/>
                <w:szCs w:val="20"/>
              </w:rPr>
            </w:pPr>
            <w:r w:rsidRPr="00A06C74">
              <w:rPr>
                <w:rFonts w:cs="Arial"/>
                <w:color w:val="000000"/>
                <w:sz w:val="20"/>
                <w:szCs w:val="20"/>
              </w:rPr>
              <w:t>Despesas com MDE Custeadas com Recursos de Impostos</w:t>
            </w:r>
          </w:p>
        </w:tc>
        <w:tc>
          <w:tcPr>
            <w:tcW w:w="1135" w:type="pct"/>
            <w:tcBorders>
              <w:top w:val="nil"/>
              <w:left w:val="single" w:sz="4" w:space="0" w:color="auto"/>
              <w:bottom w:val="nil"/>
              <w:right w:val="nil"/>
            </w:tcBorders>
            <w:shd w:val="clear" w:color="auto" w:fill="auto"/>
            <w:noWrap/>
            <w:vAlign w:val="center"/>
            <w:hideMark/>
          </w:tcPr>
          <w:p w14:paraId="59996015" w14:textId="77777777" w:rsidR="00A06C74" w:rsidRPr="00A06C74" w:rsidRDefault="00A06C74" w:rsidP="00BF715B">
            <w:pPr>
              <w:jc w:val="right"/>
              <w:rPr>
                <w:rFonts w:cs="Arial"/>
                <w:color w:val="000000"/>
                <w:sz w:val="20"/>
                <w:szCs w:val="20"/>
              </w:rPr>
            </w:pPr>
            <w:r w:rsidRPr="00A06C74">
              <w:rPr>
                <w:rFonts w:cs="Arial"/>
                <w:color w:val="000000"/>
                <w:sz w:val="20"/>
                <w:szCs w:val="20"/>
              </w:rPr>
              <w:t>2.291.126.416</w:t>
            </w:r>
          </w:p>
        </w:tc>
      </w:tr>
      <w:tr w:rsidR="00A06C74" w:rsidRPr="00A06C74" w14:paraId="2F583CE4" w14:textId="77777777" w:rsidTr="00E44C48">
        <w:trPr>
          <w:trHeight w:val="340"/>
        </w:trPr>
        <w:tc>
          <w:tcPr>
            <w:tcW w:w="3865" w:type="pct"/>
            <w:tcBorders>
              <w:top w:val="nil"/>
              <w:left w:val="nil"/>
              <w:bottom w:val="nil"/>
              <w:right w:val="nil"/>
            </w:tcBorders>
            <w:shd w:val="clear" w:color="auto" w:fill="auto"/>
            <w:noWrap/>
            <w:vAlign w:val="center"/>
            <w:hideMark/>
          </w:tcPr>
          <w:p w14:paraId="06316377" w14:textId="77777777" w:rsidR="00A06C74" w:rsidRPr="00A06C74" w:rsidRDefault="00A06C74" w:rsidP="00BF715B">
            <w:pPr>
              <w:jc w:val="left"/>
              <w:rPr>
                <w:rFonts w:cs="Arial"/>
                <w:color w:val="000000"/>
                <w:sz w:val="20"/>
                <w:szCs w:val="20"/>
              </w:rPr>
            </w:pPr>
            <w:r w:rsidRPr="00A06C74">
              <w:rPr>
                <w:rFonts w:cs="Arial"/>
                <w:color w:val="000000"/>
                <w:sz w:val="20"/>
                <w:szCs w:val="20"/>
              </w:rPr>
              <w:t>Receitas Transferidas ao Fundeb</w:t>
            </w:r>
          </w:p>
        </w:tc>
        <w:tc>
          <w:tcPr>
            <w:tcW w:w="1135" w:type="pct"/>
            <w:tcBorders>
              <w:top w:val="nil"/>
              <w:left w:val="single" w:sz="4" w:space="0" w:color="auto"/>
              <w:bottom w:val="nil"/>
              <w:right w:val="nil"/>
            </w:tcBorders>
            <w:shd w:val="clear" w:color="auto" w:fill="auto"/>
            <w:noWrap/>
            <w:vAlign w:val="center"/>
            <w:hideMark/>
          </w:tcPr>
          <w:p w14:paraId="2FC18D58" w14:textId="77777777" w:rsidR="00A06C74" w:rsidRPr="00A06C74" w:rsidRDefault="00A06C74" w:rsidP="00BF715B">
            <w:pPr>
              <w:jc w:val="right"/>
              <w:rPr>
                <w:rFonts w:cs="Arial"/>
                <w:color w:val="000000"/>
                <w:sz w:val="20"/>
                <w:szCs w:val="20"/>
              </w:rPr>
            </w:pPr>
            <w:r w:rsidRPr="00A06C74">
              <w:rPr>
                <w:rFonts w:cs="Arial"/>
                <w:color w:val="000000"/>
                <w:sz w:val="20"/>
                <w:szCs w:val="20"/>
              </w:rPr>
              <w:t>5.394.385.434</w:t>
            </w:r>
          </w:p>
        </w:tc>
      </w:tr>
      <w:tr w:rsidR="00A06C74" w:rsidRPr="00A06C74" w14:paraId="7728819F" w14:textId="77777777" w:rsidTr="00E44C48">
        <w:trPr>
          <w:trHeight w:val="340"/>
        </w:trPr>
        <w:tc>
          <w:tcPr>
            <w:tcW w:w="3865" w:type="pct"/>
            <w:tcBorders>
              <w:top w:val="nil"/>
              <w:left w:val="nil"/>
              <w:bottom w:val="nil"/>
              <w:right w:val="nil"/>
            </w:tcBorders>
            <w:shd w:val="clear" w:color="auto" w:fill="auto"/>
            <w:noWrap/>
            <w:vAlign w:val="center"/>
            <w:hideMark/>
          </w:tcPr>
          <w:p w14:paraId="6724BB16" w14:textId="77777777" w:rsidR="00A06C74" w:rsidRPr="00A06C74" w:rsidRDefault="00A06C74" w:rsidP="00BF715B">
            <w:pPr>
              <w:jc w:val="left"/>
              <w:rPr>
                <w:rFonts w:cs="Arial"/>
                <w:color w:val="000000"/>
                <w:sz w:val="20"/>
                <w:szCs w:val="20"/>
              </w:rPr>
            </w:pPr>
            <w:r w:rsidRPr="00A06C74">
              <w:rPr>
                <w:rFonts w:cs="Arial"/>
                <w:color w:val="000000"/>
                <w:sz w:val="20"/>
                <w:szCs w:val="20"/>
              </w:rPr>
              <w:t>Valor Aplicado até o 1º Quadrimestre</w:t>
            </w:r>
          </w:p>
        </w:tc>
        <w:tc>
          <w:tcPr>
            <w:tcW w:w="1135" w:type="pct"/>
            <w:tcBorders>
              <w:top w:val="nil"/>
              <w:left w:val="single" w:sz="4" w:space="0" w:color="auto"/>
              <w:bottom w:val="nil"/>
              <w:right w:val="nil"/>
            </w:tcBorders>
            <w:shd w:val="clear" w:color="auto" w:fill="auto"/>
            <w:noWrap/>
            <w:vAlign w:val="center"/>
            <w:hideMark/>
          </w:tcPr>
          <w:p w14:paraId="072A270B" w14:textId="77777777" w:rsidR="00A06C74" w:rsidRPr="00A06C74" w:rsidRDefault="00A06C74" w:rsidP="00BF715B">
            <w:pPr>
              <w:jc w:val="right"/>
              <w:rPr>
                <w:rFonts w:cs="Arial"/>
                <w:color w:val="000000"/>
                <w:sz w:val="20"/>
                <w:szCs w:val="20"/>
              </w:rPr>
            </w:pPr>
            <w:r w:rsidRPr="00A06C74">
              <w:rPr>
                <w:rFonts w:cs="Arial"/>
                <w:color w:val="000000"/>
                <w:sz w:val="20"/>
                <w:szCs w:val="20"/>
              </w:rPr>
              <w:t>170.854.832</w:t>
            </w:r>
          </w:p>
        </w:tc>
      </w:tr>
      <w:tr w:rsidR="00A06C74" w:rsidRPr="00A06C74" w14:paraId="2FDD7242" w14:textId="77777777" w:rsidTr="00E44C48">
        <w:trPr>
          <w:trHeight w:val="340"/>
        </w:trPr>
        <w:tc>
          <w:tcPr>
            <w:tcW w:w="3865" w:type="pct"/>
            <w:tcBorders>
              <w:top w:val="nil"/>
              <w:left w:val="nil"/>
              <w:bottom w:val="nil"/>
              <w:right w:val="nil"/>
            </w:tcBorders>
            <w:shd w:val="clear" w:color="auto" w:fill="auto"/>
            <w:noWrap/>
            <w:vAlign w:val="center"/>
            <w:hideMark/>
          </w:tcPr>
          <w:p w14:paraId="6801AC8B" w14:textId="77777777" w:rsidR="00A06C74" w:rsidRPr="00A06C74" w:rsidRDefault="00A06C74" w:rsidP="00BF715B">
            <w:pPr>
              <w:jc w:val="left"/>
              <w:rPr>
                <w:rFonts w:cs="Arial"/>
                <w:color w:val="000000"/>
                <w:sz w:val="20"/>
                <w:szCs w:val="20"/>
              </w:rPr>
            </w:pPr>
            <w:r w:rsidRPr="00A06C74">
              <w:rPr>
                <w:rFonts w:cs="Arial"/>
                <w:color w:val="000000"/>
                <w:sz w:val="20"/>
                <w:szCs w:val="20"/>
              </w:rPr>
              <w:t>(-) Cancelamento de RP Inscritos com Disponibilidade Financeira de Recursos de Impostos Vinculados ao Ensino</w:t>
            </w:r>
          </w:p>
        </w:tc>
        <w:tc>
          <w:tcPr>
            <w:tcW w:w="1135" w:type="pct"/>
            <w:tcBorders>
              <w:top w:val="nil"/>
              <w:left w:val="single" w:sz="4" w:space="0" w:color="auto"/>
              <w:bottom w:val="nil"/>
              <w:right w:val="nil"/>
            </w:tcBorders>
            <w:shd w:val="clear" w:color="auto" w:fill="auto"/>
            <w:noWrap/>
            <w:vAlign w:val="center"/>
            <w:hideMark/>
          </w:tcPr>
          <w:p w14:paraId="23452D09" w14:textId="77777777" w:rsidR="00A06C74" w:rsidRPr="00A06C74" w:rsidRDefault="00A06C74" w:rsidP="00BF715B">
            <w:pPr>
              <w:jc w:val="right"/>
              <w:rPr>
                <w:rFonts w:cs="Arial"/>
                <w:color w:val="000000"/>
                <w:sz w:val="20"/>
                <w:szCs w:val="20"/>
              </w:rPr>
            </w:pPr>
            <w:r w:rsidRPr="00A06C74">
              <w:rPr>
                <w:rFonts w:cs="Arial"/>
                <w:color w:val="000000"/>
                <w:sz w:val="20"/>
                <w:szCs w:val="20"/>
              </w:rPr>
              <w:t>13.132.030</w:t>
            </w:r>
          </w:p>
        </w:tc>
      </w:tr>
      <w:tr w:rsidR="00A06C74" w:rsidRPr="00A06C74" w14:paraId="3432C232" w14:textId="77777777" w:rsidTr="00E44C48">
        <w:trPr>
          <w:trHeight w:val="340"/>
        </w:trPr>
        <w:tc>
          <w:tcPr>
            <w:tcW w:w="3865" w:type="pct"/>
            <w:tcBorders>
              <w:top w:val="single" w:sz="4" w:space="0" w:color="auto"/>
              <w:left w:val="nil"/>
              <w:bottom w:val="single" w:sz="4" w:space="0" w:color="auto"/>
              <w:right w:val="nil"/>
            </w:tcBorders>
            <w:shd w:val="clear" w:color="auto" w:fill="auto"/>
            <w:noWrap/>
            <w:vAlign w:val="center"/>
            <w:hideMark/>
          </w:tcPr>
          <w:p w14:paraId="5D752C76"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Total das Despesas para Fins de Limite</w:t>
            </w:r>
          </w:p>
        </w:tc>
        <w:tc>
          <w:tcPr>
            <w:tcW w:w="1135" w:type="pct"/>
            <w:tcBorders>
              <w:top w:val="single" w:sz="4" w:space="0" w:color="auto"/>
              <w:left w:val="single" w:sz="4" w:space="0" w:color="auto"/>
              <w:bottom w:val="single" w:sz="4" w:space="0" w:color="auto"/>
              <w:right w:val="nil"/>
            </w:tcBorders>
            <w:shd w:val="clear" w:color="auto" w:fill="auto"/>
            <w:noWrap/>
            <w:vAlign w:val="center"/>
            <w:hideMark/>
          </w:tcPr>
          <w:p w14:paraId="73378694" w14:textId="77777777" w:rsidR="00A06C74" w:rsidRPr="00A06C74" w:rsidRDefault="00A06C74" w:rsidP="00BF715B">
            <w:pPr>
              <w:jc w:val="right"/>
              <w:rPr>
                <w:rFonts w:cs="Arial"/>
                <w:b/>
                <w:bCs/>
                <w:color w:val="000000"/>
                <w:sz w:val="20"/>
                <w:szCs w:val="20"/>
              </w:rPr>
            </w:pPr>
            <w:r w:rsidRPr="00A06C74">
              <w:rPr>
                <w:rFonts w:cs="Arial"/>
                <w:b/>
                <w:bCs/>
                <w:color w:val="000000"/>
                <w:sz w:val="20"/>
                <w:szCs w:val="20"/>
              </w:rPr>
              <w:t>7.843.234.652</w:t>
            </w:r>
          </w:p>
        </w:tc>
      </w:tr>
    </w:tbl>
    <w:p w14:paraId="1A50B755" w14:textId="77777777" w:rsidR="00A06C74" w:rsidRPr="00612265" w:rsidRDefault="00A06C74" w:rsidP="00A06C74">
      <w:pPr>
        <w:pStyle w:val="1-FONTE8ESQ"/>
      </w:pPr>
      <w:r w:rsidRPr="00612265">
        <w:t xml:space="preserve">Fonte: </w:t>
      </w:r>
      <w:r w:rsidRPr="007046AA">
        <w:t>RREO do 6º Bimestre de 2023</w:t>
      </w:r>
    </w:p>
    <w:p w14:paraId="2595F014" w14:textId="77777777" w:rsidR="00A06C74" w:rsidRDefault="00A06C74" w:rsidP="00A06C74">
      <w:pPr>
        <w:pStyle w:val="1-REL11"/>
      </w:pPr>
      <w:r>
        <w:t xml:space="preserve">As despesas totais consideradas para cálculo do </w:t>
      </w:r>
      <w:r w:rsidRPr="0089786D">
        <w:t>limite mínimo de aplicação de recursos em MDE</w:t>
      </w:r>
      <w:r>
        <w:t xml:space="preserve"> em 2023 é 8,42% superior ao valor de 2022 (R$ 7,23 bilhões).</w:t>
      </w:r>
    </w:p>
    <w:p w14:paraId="0427EB96" w14:textId="77777777" w:rsidR="00A06C74" w:rsidRPr="0089786D" w:rsidRDefault="00A06C74" w:rsidP="00A06C74">
      <w:pPr>
        <w:pStyle w:val="1-REL11"/>
      </w:pPr>
      <w:r w:rsidRPr="0089786D">
        <w:t>Apresenta-se a seguir a apuração do limite mínimo de aplicação de recursos em MDE:</w:t>
      </w:r>
    </w:p>
    <w:p w14:paraId="0A859570" w14:textId="77777777" w:rsidR="00A06C74" w:rsidRPr="0089786D" w:rsidRDefault="00A06C74" w:rsidP="00736A8C">
      <w:pPr>
        <w:pStyle w:val="0-TABELA"/>
        <w:numPr>
          <w:ilvl w:val="0"/>
          <w:numId w:val="53"/>
        </w:numPr>
        <w:tabs>
          <w:tab w:val="clear" w:pos="1560"/>
          <w:tab w:val="left" w:pos="1134"/>
        </w:tabs>
        <w:spacing w:before="0" w:after="0"/>
        <w:ind w:left="0" w:firstLine="0"/>
      </w:pPr>
      <w:bookmarkStart w:id="308" w:name="_Toc167871797"/>
      <w:r w:rsidRPr="0089786D">
        <w:t>Índice Constitucional da Educação</w:t>
      </w:r>
      <w:bookmarkEnd w:id="308"/>
    </w:p>
    <w:p w14:paraId="41C2A927" w14:textId="77777777" w:rsidR="00A06C74" w:rsidRPr="00612265" w:rsidRDefault="00A06C74" w:rsidP="00A06C74">
      <w:pPr>
        <w:pStyle w:val="0-EmR1"/>
      </w:pPr>
      <w:r w:rsidRPr="00612265">
        <w:t>R$ 1</w:t>
      </w:r>
    </w:p>
    <w:tbl>
      <w:tblPr>
        <w:tblW w:w="5000" w:type="pct"/>
        <w:tblCellMar>
          <w:left w:w="70" w:type="dxa"/>
          <w:right w:w="70" w:type="dxa"/>
        </w:tblCellMar>
        <w:tblLook w:val="04A0" w:firstRow="1" w:lastRow="0" w:firstColumn="1" w:lastColumn="0" w:noHBand="0" w:noVBand="1"/>
      </w:tblPr>
      <w:tblGrid>
        <w:gridCol w:w="7237"/>
        <w:gridCol w:w="2116"/>
      </w:tblGrid>
      <w:tr w:rsidR="00A06C74" w:rsidRPr="00A06C74" w14:paraId="3B133DDD" w14:textId="77777777" w:rsidTr="00317620">
        <w:trPr>
          <w:trHeight w:val="340"/>
        </w:trPr>
        <w:tc>
          <w:tcPr>
            <w:tcW w:w="3869" w:type="pct"/>
            <w:tcBorders>
              <w:top w:val="single" w:sz="4" w:space="0" w:color="auto"/>
              <w:left w:val="nil"/>
              <w:bottom w:val="single" w:sz="4" w:space="0" w:color="auto"/>
              <w:right w:val="single" w:sz="4" w:space="0" w:color="auto"/>
            </w:tcBorders>
            <w:shd w:val="clear" w:color="000000" w:fill="A1F2FD"/>
            <w:noWrap/>
            <w:vAlign w:val="center"/>
            <w:hideMark/>
          </w:tcPr>
          <w:p w14:paraId="63E0113C"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Descrição</w:t>
            </w:r>
          </w:p>
        </w:tc>
        <w:tc>
          <w:tcPr>
            <w:tcW w:w="1131" w:type="pct"/>
            <w:tcBorders>
              <w:top w:val="single" w:sz="4" w:space="0" w:color="auto"/>
              <w:left w:val="single" w:sz="4" w:space="0" w:color="auto"/>
              <w:bottom w:val="single" w:sz="4" w:space="0" w:color="auto"/>
              <w:right w:val="nil"/>
            </w:tcBorders>
            <w:shd w:val="clear" w:color="000000" w:fill="A1F2FD"/>
            <w:noWrap/>
            <w:vAlign w:val="center"/>
            <w:hideMark/>
          </w:tcPr>
          <w:p w14:paraId="2602235C" w14:textId="77777777" w:rsidR="00A06C74" w:rsidRPr="00A06C74" w:rsidRDefault="00A06C74" w:rsidP="00BF715B">
            <w:pPr>
              <w:jc w:val="center"/>
              <w:rPr>
                <w:rFonts w:cs="Arial"/>
                <w:b/>
                <w:bCs/>
                <w:color w:val="000000"/>
                <w:sz w:val="20"/>
                <w:szCs w:val="20"/>
              </w:rPr>
            </w:pPr>
            <w:r w:rsidRPr="00A06C74">
              <w:rPr>
                <w:rFonts w:cs="Arial"/>
                <w:b/>
                <w:bCs/>
                <w:color w:val="000000"/>
                <w:sz w:val="20"/>
                <w:szCs w:val="20"/>
              </w:rPr>
              <w:t>Valor</w:t>
            </w:r>
          </w:p>
        </w:tc>
      </w:tr>
      <w:tr w:rsidR="00A06C74" w:rsidRPr="00A06C74" w14:paraId="43509A36" w14:textId="77777777" w:rsidTr="00317620">
        <w:trPr>
          <w:trHeight w:val="340"/>
        </w:trPr>
        <w:tc>
          <w:tcPr>
            <w:tcW w:w="3869" w:type="pct"/>
            <w:tcBorders>
              <w:top w:val="single" w:sz="4" w:space="0" w:color="auto"/>
              <w:left w:val="nil"/>
              <w:bottom w:val="nil"/>
              <w:right w:val="single" w:sz="4" w:space="0" w:color="auto"/>
            </w:tcBorders>
            <w:shd w:val="clear" w:color="auto" w:fill="auto"/>
            <w:noWrap/>
            <w:vAlign w:val="center"/>
            <w:hideMark/>
          </w:tcPr>
          <w:p w14:paraId="6C391F06" w14:textId="77777777" w:rsidR="00A06C74" w:rsidRPr="00A06C74" w:rsidRDefault="00A06C74" w:rsidP="00BF715B">
            <w:pPr>
              <w:rPr>
                <w:rFonts w:cs="Arial"/>
                <w:color w:val="000000"/>
                <w:sz w:val="20"/>
                <w:szCs w:val="20"/>
              </w:rPr>
            </w:pPr>
            <w:r w:rsidRPr="00A06C74">
              <w:rPr>
                <w:rFonts w:cs="Arial"/>
                <w:color w:val="000000"/>
                <w:sz w:val="20"/>
                <w:szCs w:val="20"/>
              </w:rPr>
              <w:t>Total das Receitas para Apuração da Aplicação em MDE</w:t>
            </w:r>
          </w:p>
        </w:tc>
        <w:tc>
          <w:tcPr>
            <w:tcW w:w="1131" w:type="pct"/>
            <w:tcBorders>
              <w:top w:val="single" w:sz="4" w:space="0" w:color="auto"/>
              <w:left w:val="single" w:sz="4" w:space="0" w:color="auto"/>
              <w:bottom w:val="nil"/>
              <w:right w:val="nil"/>
            </w:tcBorders>
            <w:shd w:val="clear" w:color="auto" w:fill="auto"/>
            <w:noWrap/>
            <w:vAlign w:val="center"/>
            <w:hideMark/>
          </w:tcPr>
          <w:p w14:paraId="66681DEA" w14:textId="77777777" w:rsidR="00A06C74" w:rsidRPr="00A06C74" w:rsidRDefault="00A06C74" w:rsidP="00BF715B">
            <w:pPr>
              <w:jc w:val="right"/>
              <w:rPr>
                <w:rFonts w:cs="Arial"/>
                <w:color w:val="000000"/>
                <w:sz w:val="20"/>
                <w:szCs w:val="20"/>
              </w:rPr>
            </w:pPr>
            <w:r w:rsidRPr="00A06C74">
              <w:rPr>
                <w:rFonts w:cs="Arial"/>
                <w:color w:val="000000"/>
                <w:sz w:val="20"/>
                <w:szCs w:val="20"/>
              </w:rPr>
              <w:t>29.570.879.030</w:t>
            </w:r>
          </w:p>
        </w:tc>
      </w:tr>
      <w:tr w:rsidR="00A06C74" w:rsidRPr="00A06C74" w14:paraId="41BC6EA8" w14:textId="77777777" w:rsidTr="00317620">
        <w:trPr>
          <w:trHeight w:val="340"/>
        </w:trPr>
        <w:tc>
          <w:tcPr>
            <w:tcW w:w="3869" w:type="pct"/>
            <w:tcBorders>
              <w:top w:val="nil"/>
              <w:left w:val="nil"/>
              <w:bottom w:val="single" w:sz="4" w:space="0" w:color="auto"/>
              <w:right w:val="single" w:sz="4" w:space="0" w:color="auto"/>
            </w:tcBorders>
            <w:shd w:val="clear" w:color="auto" w:fill="auto"/>
            <w:noWrap/>
            <w:vAlign w:val="center"/>
            <w:hideMark/>
          </w:tcPr>
          <w:p w14:paraId="0638DB4B" w14:textId="77777777" w:rsidR="00A06C74" w:rsidRPr="00A06C74" w:rsidRDefault="00A06C74" w:rsidP="00BF715B">
            <w:pPr>
              <w:rPr>
                <w:rFonts w:cs="Arial"/>
                <w:color w:val="000000"/>
                <w:sz w:val="20"/>
                <w:szCs w:val="20"/>
              </w:rPr>
            </w:pPr>
            <w:r w:rsidRPr="00A06C74">
              <w:rPr>
                <w:rFonts w:cs="Arial"/>
                <w:color w:val="000000"/>
                <w:sz w:val="20"/>
                <w:szCs w:val="20"/>
              </w:rPr>
              <w:t>Total de Despesas com MDE</w:t>
            </w:r>
          </w:p>
        </w:tc>
        <w:tc>
          <w:tcPr>
            <w:tcW w:w="1131" w:type="pct"/>
            <w:tcBorders>
              <w:top w:val="nil"/>
              <w:left w:val="single" w:sz="4" w:space="0" w:color="auto"/>
              <w:bottom w:val="single" w:sz="4" w:space="0" w:color="auto"/>
              <w:right w:val="nil"/>
            </w:tcBorders>
            <w:shd w:val="clear" w:color="auto" w:fill="auto"/>
            <w:noWrap/>
            <w:vAlign w:val="center"/>
            <w:hideMark/>
          </w:tcPr>
          <w:p w14:paraId="4E417F46" w14:textId="77777777" w:rsidR="00A06C74" w:rsidRPr="00A06C74" w:rsidRDefault="00A06C74" w:rsidP="00BF715B">
            <w:pPr>
              <w:jc w:val="right"/>
              <w:rPr>
                <w:rFonts w:cs="Arial"/>
                <w:color w:val="000000"/>
                <w:sz w:val="20"/>
                <w:szCs w:val="20"/>
              </w:rPr>
            </w:pPr>
            <w:r w:rsidRPr="00A06C74">
              <w:rPr>
                <w:rFonts w:cs="Arial"/>
                <w:color w:val="000000"/>
                <w:sz w:val="20"/>
                <w:szCs w:val="20"/>
              </w:rPr>
              <w:t>7.843.234.652</w:t>
            </w:r>
          </w:p>
        </w:tc>
      </w:tr>
      <w:tr w:rsidR="00A06C74" w:rsidRPr="00A06C74" w14:paraId="620BF7AB" w14:textId="77777777" w:rsidTr="00317620">
        <w:trPr>
          <w:trHeight w:val="340"/>
        </w:trPr>
        <w:tc>
          <w:tcPr>
            <w:tcW w:w="3869" w:type="pct"/>
            <w:tcBorders>
              <w:top w:val="single" w:sz="4" w:space="0" w:color="auto"/>
              <w:left w:val="nil"/>
              <w:bottom w:val="single" w:sz="4" w:space="0" w:color="auto"/>
              <w:right w:val="single" w:sz="4" w:space="0" w:color="auto"/>
            </w:tcBorders>
            <w:shd w:val="clear" w:color="auto" w:fill="auto"/>
            <w:noWrap/>
            <w:vAlign w:val="center"/>
            <w:hideMark/>
          </w:tcPr>
          <w:p w14:paraId="74EDEEC8" w14:textId="77777777" w:rsidR="00A06C74" w:rsidRPr="00A06C74" w:rsidRDefault="00A06C74" w:rsidP="00BF715B">
            <w:pPr>
              <w:jc w:val="center"/>
              <w:rPr>
                <w:rFonts w:cs="Arial"/>
                <w:b/>
                <w:color w:val="000000"/>
                <w:sz w:val="20"/>
                <w:szCs w:val="20"/>
              </w:rPr>
            </w:pPr>
            <w:r w:rsidRPr="00A06C74">
              <w:rPr>
                <w:rFonts w:cs="Arial"/>
                <w:b/>
                <w:color w:val="000000"/>
                <w:sz w:val="20"/>
                <w:szCs w:val="20"/>
              </w:rPr>
              <w:t>Percentual de Aplicação</w:t>
            </w:r>
          </w:p>
        </w:tc>
        <w:tc>
          <w:tcPr>
            <w:tcW w:w="1131" w:type="pct"/>
            <w:tcBorders>
              <w:top w:val="single" w:sz="4" w:space="0" w:color="auto"/>
              <w:left w:val="single" w:sz="4" w:space="0" w:color="auto"/>
              <w:bottom w:val="single" w:sz="4" w:space="0" w:color="auto"/>
              <w:right w:val="nil"/>
            </w:tcBorders>
            <w:shd w:val="clear" w:color="auto" w:fill="auto"/>
            <w:noWrap/>
            <w:vAlign w:val="center"/>
            <w:hideMark/>
          </w:tcPr>
          <w:p w14:paraId="66EE60FF" w14:textId="77777777" w:rsidR="00A06C74" w:rsidRPr="00A06C74" w:rsidRDefault="00A06C74" w:rsidP="00BF715B">
            <w:pPr>
              <w:jc w:val="right"/>
              <w:rPr>
                <w:rFonts w:cs="Arial"/>
                <w:color w:val="000000"/>
                <w:sz w:val="20"/>
                <w:szCs w:val="20"/>
              </w:rPr>
            </w:pPr>
            <w:r w:rsidRPr="00A06C74">
              <w:rPr>
                <w:rFonts w:cs="Arial"/>
                <w:color w:val="000000"/>
                <w:sz w:val="20"/>
                <w:szCs w:val="20"/>
              </w:rPr>
              <w:t>26,52</w:t>
            </w:r>
          </w:p>
        </w:tc>
      </w:tr>
    </w:tbl>
    <w:p w14:paraId="00293D95" w14:textId="77777777" w:rsidR="00A06C74" w:rsidRPr="00612265" w:rsidRDefault="00A06C74" w:rsidP="00A06C74">
      <w:pPr>
        <w:pStyle w:val="1-FONTE8ESQ"/>
      </w:pPr>
      <w:r w:rsidRPr="00612265">
        <w:t xml:space="preserve">Fonte: </w:t>
      </w:r>
      <w:r w:rsidRPr="007046AA">
        <w:t>RREO do 6º Bimestre de 2023</w:t>
      </w:r>
    </w:p>
    <w:p w14:paraId="492C242B" w14:textId="77777777" w:rsidR="00A06C74" w:rsidRPr="00BF4731" w:rsidRDefault="00A06C74" w:rsidP="00A06C74">
      <w:pPr>
        <w:pStyle w:val="1-REL11"/>
      </w:pPr>
      <w:r w:rsidRPr="00BF4731">
        <w:t xml:space="preserve">Realizando-se o cálculo com base na regra estabelecida na CF/88, o percentual de aplicação no exercício financeiro de 2023 atingiu 26,52%, </w:t>
      </w:r>
      <w:r>
        <w:t xml:space="preserve">ou seja, acima do </w:t>
      </w:r>
      <w:r w:rsidRPr="00BF4731">
        <w:t>mínimo exigido de 25%.</w:t>
      </w:r>
    </w:p>
    <w:p w14:paraId="3D745173" w14:textId="77777777" w:rsidR="00A06C74" w:rsidRDefault="00A06C74" w:rsidP="00A06C74">
      <w:pPr>
        <w:pStyle w:val="Ttulo3"/>
        <w:spacing w:before="0" w:after="220"/>
        <w:ind w:left="2138" w:hanging="2138"/>
        <w:jc w:val="both"/>
      </w:pPr>
      <w:bookmarkStart w:id="309" w:name="_Toc511305546"/>
      <w:bookmarkStart w:id="310" w:name="_Toc511381620"/>
      <w:bookmarkStart w:id="311" w:name="_Toc135332722"/>
      <w:bookmarkStart w:id="312" w:name="_Toc167871699"/>
      <w:r>
        <w:t>Emendas Parlamentares</w:t>
      </w:r>
      <w:bookmarkEnd w:id="312"/>
    </w:p>
    <w:p w14:paraId="32658A1C" w14:textId="77777777" w:rsidR="00A06C74" w:rsidRPr="009E65F9" w:rsidRDefault="00A06C74" w:rsidP="00A06C74">
      <w:pPr>
        <w:pStyle w:val="1-REL11"/>
      </w:pPr>
      <w:r w:rsidRPr="000952E8">
        <w:t>Foram previstas na LOA 2023 despesas na área da educação, a serem executadas por meio de emendas parlamentares impositivas, no valor de R$ 103,18 milhões, sendo R$ 41,42 milhões em despesas correntes e R$ 61,77 milhões em despesas de capital, por meio das ações</w:t>
      </w:r>
      <w:r>
        <w:t xml:space="preserve"> 3139 – </w:t>
      </w:r>
      <w:r w:rsidRPr="000952E8">
        <w:t xml:space="preserve">Projetos e Atividades na Área da Educação, Decorrentes de Emendas Parlamentares Impositivas </w:t>
      </w:r>
      <w:r w:rsidRPr="000952E8">
        <w:lastRenderedPageBreak/>
        <w:t>- LOA 2023</w:t>
      </w:r>
      <w:r>
        <w:t xml:space="preserve">; e 3140 - </w:t>
      </w:r>
      <w:r w:rsidRPr="000952E8">
        <w:t xml:space="preserve">Projetos e Atividades na Área da Educação (UEG), Decorrentes de </w:t>
      </w:r>
      <w:r w:rsidRPr="009E65F9">
        <w:t>Emendas Parlamentares Impositivas - LOA 2023.</w:t>
      </w:r>
    </w:p>
    <w:p w14:paraId="7C702C22" w14:textId="77777777" w:rsidR="00A06C74" w:rsidRPr="009E65F9" w:rsidRDefault="00A06C74" w:rsidP="00A06C74">
      <w:pPr>
        <w:pStyle w:val="1-REL11"/>
      </w:pPr>
      <w:r w:rsidRPr="009E65F9">
        <w:t>Após suplementações e reduções na</w:t>
      </w:r>
      <w:r>
        <w:t>s</w:t>
      </w:r>
      <w:r w:rsidRPr="009E65F9">
        <w:t xml:space="preserve"> dotaç</w:t>
      </w:r>
      <w:r>
        <w:t>ões</w:t>
      </w:r>
      <w:r w:rsidRPr="009E65F9">
        <w:t>, o valor autorizado da despesa atingiu R$ 90,82 milhões, tendo sido empenhado 98,84% deste montante (R$ 89,77 milhões) e pagos 94,79% (R$ 86,09 milhões).</w:t>
      </w:r>
    </w:p>
    <w:p w14:paraId="765A1DFE" w14:textId="77777777" w:rsidR="00A06C74" w:rsidRPr="009C76FD" w:rsidRDefault="00A06C74" w:rsidP="00A06C74">
      <w:pPr>
        <w:pStyle w:val="1-REL11"/>
      </w:pPr>
      <w:r w:rsidRPr="009C76FD">
        <w:t>Em relação à despesa empenhada, a Prefeitura Municipal de Itauçu foi a maior beneficiária de recursos, tendo recebido R$ 4</w:t>
      </w:r>
      <w:r>
        <w:t>,</w:t>
      </w:r>
      <w:r w:rsidRPr="009C76FD">
        <w:t xml:space="preserve">59 milhões (5,11% do total das emendas), seguido pelo Município </w:t>
      </w:r>
      <w:r>
        <w:t>d</w:t>
      </w:r>
      <w:r w:rsidRPr="009C76FD">
        <w:t>e Itapaci (R$ 4</w:t>
      </w:r>
      <w:r>
        <w:t>,</w:t>
      </w:r>
      <w:r w:rsidRPr="009C76FD">
        <w:t>25 milhões, 4,73% das emendas) e d</w:t>
      </w:r>
      <w:r>
        <w:t>a</w:t>
      </w:r>
      <w:r w:rsidRPr="009C76FD">
        <w:t xml:space="preserve"> Prefeitura Municipal </w:t>
      </w:r>
      <w:r>
        <w:t>d</w:t>
      </w:r>
      <w:r w:rsidRPr="009C76FD">
        <w:t>e Luziânia (R$</w:t>
      </w:r>
      <w:r>
        <w:t> </w:t>
      </w:r>
      <w:r w:rsidRPr="009C76FD">
        <w:t>2</w:t>
      </w:r>
      <w:r>
        <w:t>,</w:t>
      </w:r>
      <w:r w:rsidRPr="009C76FD">
        <w:t>50</w:t>
      </w:r>
      <w:r>
        <w:t> </w:t>
      </w:r>
      <w:r w:rsidRPr="009C76FD">
        <w:t>milhões, 2,78%% das emendas).</w:t>
      </w:r>
    </w:p>
    <w:p w14:paraId="7A3D8D09" w14:textId="77777777" w:rsidR="00A06C74" w:rsidRPr="0060221E" w:rsidRDefault="00A06C74" w:rsidP="00E44C48">
      <w:pPr>
        <w:pStyle w:val="1-REL11"/>
        <w:spacing w:line="300" w:lineRule="auto"/>
      </w:pPr>
      <w:r w:rsidRPr="0060221E">
        <w:t>Do total empenhado, 80,40% das emendas foram destinadas a prefeituras dos mais diversos municípios, 9,57% a Conselhos Escolares, 2,63% a Caixas Escolares, 0,90% à UEG e o restante (6,50%) foram destinadas a particulares.</w:t>
      </w:r>
    </w:p>
    <w:p w14:paraId="26588489" w14:textId="77777777" w:rsidR="00A06C74" w:rsidRPr="00AE52AC" w:rsidRDefault="00A06C74" w:rsidP="00E44C48">
      <w:pPr>
        <w:pStyle w:val="1-REL11"/>
        <w:spacing w:line="300" w:lineRule="auto"/>
      </w:pPr>
      <w:r w:rsidRPr="00E4202D">
        <w:t>Ressalta-se que o montante total de despesa executada por meio de emendas parlamentares foi incluída como MDE e computada como despesa para o cálculo do limite mínimo de aplicação de recursos em MDE, tendo representado, em relação a esta, 1,14%.</w:t>
      </w:r>
    </w:p>
    <w:p w14:paraId="2CE155C3" w14:textId="77777777" w:rsidR="00A06C74" w:rsidRPr="004B55B9" w:rsidRDefault="00A06C74" w:rsidP="00A06C74">
      <w:pPr>
        <w:pStyle w:val="Ttulo3"/>
        <w:spacing w:before="0" w:after="220"/>
        <w:ind w:left="2138" w:hanging="2138"/>
        <w:jc w:val="both"/>
      </w:pPr>
      <w:bookmarkStart w:id="313" w:name="_Toc167871700"/>
      <w:r w:rsidRPr="004B55B9">
        <w:t xml:space="preserve">Sistema de Informações </w:t>
      </w:r>
      <w:r>
        <w:t>s</w:t>
      </w:r>
      <w:r w:rsidRPr="004B55B9">
        <w:t>obre Orçamentos Públicos em Educação</w:t>
      </w:r>
      <w:bookmarkEnd w:id="309"/>
      <w:bookmarkEnd w:id="310"/>
      <w:bookmarkEnd w:id="311"/>
      <w:bookmarkEnd w:id="313"/>
    </w:p>
    <w:p w14:paraId="5BA3D315" w14:textId="77777777" w:rsidR="00A06C74" w:rsidRPr="004B55B9" w:rsidRDefault="00A06C74" w:rsidP="00E44C48">
      <w:pPr>
        <w:pStyle w:val="1-REL11"/>
        <w:spacing w:line="300" w:lineRule="auto"/>
      </w:pPr>
      <w:r w:rsidRPr="004B55B9">
        <w:t>O Sistema de Informações sobre Orçamentos Públicos em Educação (Siope), operacionalizado pelo Fundo Nacional de Desenvolvimento da Educação (FNDE), foi instituído para coleta, processamento, disseminação e acesso público às informações referentes aos orçamentos de educação dos entes.</w:t>
      </w:r>
    </w:p>
    <w:p w14:paraId="36E5C424" w14:textId="77777777" w:rsidR="00A06C74" w:rsidRPr="00FA1293" w:rsidRDefault="00A06C74" w:rsidP="00E44C48">
      <w:pPr>
        <w:pStyle w:val="1-REL11"/>
        <w:spacing w:line="300" w:lineRule="auto"/>
      </w:pPr>
      <w:r w:rsidRPr="004B55B9">
        <w:t>Após consulta ao sistema, verificou-se que o Estado entregou as declarações devidas em 2023, conforme relatório extraído do Portal Eletrônico do Ministério da Educação</w:t>
      </w:r>
      <w:r w:rsidRPr="004B55B9">
        <w:rPr>
          <w:rStyle w:val="Refdenotaderodap"/>
        </w:rPr>
        <w:footnoteReference w:id="22"/>
      </w:r>
      <w:r w:rsidRPr="00A1160E">
        <w:t xml:space="preserve">, </w:t>
      </w:r>
      <w:r w:rsidRPr="004B55B9">
        <w:t>e constatou-se a compatibilidade da totalidade das informações prestadas ao FNDE com aquelas publicadas no RREO do 6º bimestre de 2023.</w:t>
      </w:r>
    </w:p>
    <w:p w14:paraId="27A2680E" w14:textId="77777777" w:rsidR="00A06C74" w:rsidRPr="007F2AE1" w:rsidRDefault="00A06C74" w:rsidP="00A06C74">
      <w:pPr>
        <w:pStyle w:val="Ttulo2"/>
        <w:numPr>
          <w:ilvl w:val="1"/>
          <w:numId w:val="34"/>
        </w:numPr>
      </w:pPr>
      <w:bookmarkStart w:id="314" w:name="_Toc135332723"/>
      <w:bookmarkStart w:id="315" w:name="_Toc167871701"/>
      <w:r w:rsidRPr="007F2AE1">
        <w:t>Aplicação de Receita na Saúde</w:t>
      </w:r>
      <w:bookmarkEnd w:id="314"/>
      <w:bookmarkEnd w:id="315"/>
    </w:p>
    <w:p w14:paraId="1C7EA5CC" w14:textId="77777777" w:rsidR="00A06C74" w:rsidRDefault="00A06C74" w:rsidP="00E44C48">
      <w:pPr>
        <w:pStyle w:val="1-REL11"/>
        <w:spacing w:line="324" w:lineRule="auto"/>
      </w:pPr>
      <w:r w:rsidRPr="00CE22DA">
        <w:t xml:space="preserve">A </w:t>
      </w:r>
      <w:r>
        <w:t>CF/88</w:t>
      </w:r>
      <w:r w:rsidRPr="00CE22DA">
        <w:t xml:space="preserve"> estabeleceu, em seu art. 196, que a </w:t>
      </w:r>
      <w:r>
        <w:t>s</w:t>
      </w:r>
      <w:r w:rsidRPr="00CE22DA">
        <w:t>aúde é um direito de todos e dever</w:t>
      </w:r>
      <w:r>
        <w:t xml:space="preserve"> </w:t>
      </w:r>
      <w:r w:rsidRPr="00CE22DA">
        <w:t>do Estado, a ser garantido mediante políticas sociais e econômicas que visem à redução do risco</w:t>
      </w:r>
      <w:r>
        <w:t xml:space="preserve"> </w:t>
      </w:r>
      <w:r w:rsidRPr="00CE22DA">
        <w:t>de doenças e de outros agravos e ao acesso tanto universal como igualitário às ações e serviços</w:t>
      </w:r>
      <w:r>
        <w:t xml:space="preserve"> </w:t>
      </w:r>
      <w:r w:rsidRPr="00CE22DA">
        <w:t>para a promoção, proteção e recuperação da saúde.</w:t>
      </w:r>
    </w:p>
    <w:p w14:paraId="41AB4C3D" w14:textId="77777777" w:rsidR="00A06C74" w:rsidRPr="00CE22DA" w:rsidRDefault="00A06C74" w:rsidP="00E44C48">
      <w:pPr>
        <w:pStyle w:val="1-REL11"/>
        <w:spacing w:line="324" w:lineRule="auto"/>
      </w:pPr>
      <w:r>
        <w:lastRenderedPageBreak/>
        <w:t xml:space="preserve">Nos tópicos a seguir serão analisadas as despesas executadas na Função Saúde, independentemente de serem computadas ou não para o cálculo da aplicação mínima de recursos em ASPS, conforme CF/88 e Lei </w:t>
      </w:r>
      <w:r w:rsidRPr="00D000A1">
        <w:t>Complementar nº 141, de 13 de janeiro de 2012</w:t>
      </w:r>
      <w:r>
        <w:t>, e, também, as receitas e despesas utilizadas para o cálculo do índice constitucional de aplicação mínima de recursos em ASPS.</w:t>
      </w:r>
    </w:p>
    <w:p w14:paraId="6398A4C9" w14:textId="77777777" w:rsidR="00A06C74" w:rsidRPr="007F2AE1" w:rsidRDefault="00A06C74" w:rsidP="00A06C74">
      <w:pPr>
        <w:pStyle w:val="Ttulo3"/>
        <w:spacing w:before="0" w:after="220"/>
        <w:ind w:left="2138" w:hanging="2138"/>
        <w:jc w:val="both"/>
      </w:pPr>
      <w:bookmarkStart w:id="316" w:name="_Toc167871702"/>
      <w:r w:rsidRPr="007F2AE1">
        <w:t>Despesa</w:t>
      </w:r>
      <w:r>
        <w:t>s</w:t>
      </w:r>
      <w:r w:rsidRPr="007F2AE1">
        <w:t xml:space="preserve"> na Função Saúde</w:t>
      </w:r>
      <w:bookmarkEnd w:id="316"/>
    </w:p>
    <w:p w14:paraId="71F6B10C" w14:textId="77777777" w:rsidR="00A06C74" w:rsidRDefault="00A06C74" w:rsidP="00A06C74">
      <w:pPr>
        <w:pStyle w:val="1-REL11"/>
      </w:pPr>
      <w:r>
        <w:t>A despesa executada na Função Saúde ao longo dos últimos 5 exercícios financeiros está apresentada no gráfico abaixo:</w:t>
      </w:r>
    </w:p>
    <w:p w14:paraId="1FF30722" w14:textId="77777777" w:rsidR="00A06C74" w:rsidRDefault="00A06C74" w:rsidP="00A06C74">
      <w:pPr>
        <w:pStyle w:val="0-GRFICO"/>
        <w:numPr>
          <w:ilvl w:val="0"/>
          <w:numId w:val="38"/>
        </w:numPr>
      </w:pPr>
      <w:bookmarkStart w:id="317" w:name="_Toc167825116"/>
      <w:r>
        <w:t>Histórico de Execução de Despesa na Função Saúde</w:t>
      </w:r>
      <w:bookmarkEnd w:id="317"/>
    </w:p>
    <w:p w14:paraId="49655AE0" w14:textId="77777777" w:rsidR="00A06C74" w:rsidRDefault="00A06C74" w:rsidP="00A06C74">
      <w:pPr>
        <w:pStyle w:val="1-FONTEcentralizado"/>
      </w:pPr>
      <w:r>
        <w:rPr>
          <w:noProof/>
        </w:rPr>
        <w:drawing>
          <wp:inline distT="0" distB="0" distL="0" distR="0" wp14:anchorId="2F294D0B" wp14:editId="0351523E">
            <wp:extent cx="5939155" cy="3646967"/>
            <wp:effectExtent l="0" t="0" r="156845" b="144145"/>
            <wp:docPr id="2" name="Gráfico 2">
              <a:extLst xmlns:a="http://schemas.openxmlformats.org/drawingml/2006/main">
                <a:ext uri="{FF2B5EF4-FFF2-40B4-BE49-F238E27FC236}">
                  <a16:creationId xmlns:a16="http://schemas.microsoft.com/office/drawing/2014/main" id="{EC0C3CCC-EF6B-4992-AE20-E81AC3242EA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r>
        <w:t>Fonte: RREOs do 6º bimestre de 2019 a 2023</w:t>
      </w:r>
    </w:p>
    <w:p w14:paraId="505C0DB4" w14:textId="77777777" w:rsidR="00A06C74" w:rsidRDefault="00A06C74" w:rsidP="00A06C74">
      <w:pPr>
        <w:pStyle w:val="1-REL11"/>
      </w:pPr>
      <w:r>
        <w:t>Percebe-se pelo gráfico acima que a proporção da despesa executada com saúde em relação a despesa total executada vem caindo nos últimos 3 exercícios.</w:t>
      </w:r>
    </w:p>
    <w:p w14:paraId="7686936B" w14:textId="77777777" w:rsidR="00A06C74" w:rsidRDefault="00A06C74" w:rsidP="00A06C74">
      <w:pPr>
        <w:pStyle w:val="1-REL11"/>
      </w:pPr>
      <w:r w:rsidRPr="009F3220">
        <w:t>De acordo com o RREO do 6º bimestre de 2023</w:t>
      </w:r>
      <w:r>
        <w:t>, Anexo 12 – Demonstrativo das Receitas e Despesas com ASPS, e em consulta executada no BO, o total da despesa executada no exercício de 2023 na Função Saúde (10), por subfunção, está demonstrada na tabela abaixo:</w:t>
      </w:r>
    </w:p>
    <w:p w14:paraId="23D278B1" w14:textId="77777777" w:rsidR="00A06C74" w:rsidRDefault="00A06C74" w:rsidP="00736A8C">
      <w:pPr>
        <w:pStyle w:val="0-TABELA"/>
        <w:numPr>
          <w:ilvl w:val="0"/>
          <w:numId w:val="53"/>
        </w:numPr>
        <w:tabs>
          <w:tab w:val="clear" w:pos="1560"/>
          <w:tab w:val="left" w:pos="1134"/>
        </w:tabs>
        <w:spacing w:before="0" w:after="0"/>
        <w:ind w:left="0" w:firstLine="0"/>
      </w:pPr>
      <w:bookmarkStart w:id="318" w:name="_Toc167871798"/>
      <w:r>
        <w:lastRenderedPageBreak/>
        <w:t>Despesa na Função Saúde por Subfunção</w:t>
      </w:r>
      <w:bookmarkEnd w:id="318"/>
    </w:p>
    <w:p w14:paraId="5C6CEBDA" w14:textId="77777777" w:rsidR="00A06C74" w:rsidRDefault="00A06C74" w:rsidP="00A06C74">
      <w:pPr>
        <w:pStyle w:val="0-EmR1"/>
      </w:pPr>
      <w:r>
        <w:t>R$ 1</w:t>
      </w:r>
    </w:p>
    <w:tbl>
      <w:tblPr>
        <w:tblW w:w="5000" w:type="pct"/>
        <w:tblCellMar>
          <w:left w:w="70" w:type="dxa"/>
          <w:right w:w="70" w:type="dxa"/>
        </w:tblCellMar>
        <w:tblLook w:val="04A0" w:firstRow="1" w:lastRow="0" w:firstColumn="1" w:lastColumn="0" w:noHBand="0" w:noVBand="1"/>
      </w:tblPr>
      <w:tblGrid>
        <w:gridCol w:w="4129"/>
        <w:gridCol w:w="1468"/>
        <w:gridCol w:w="819"/>
        <w:gridCol w:w="1468"/>
        <w:gridCol w:w="1469"/>
      </w:tblGrid>
      <w:tr w:rsidR="00A06C74" w:rsidRPr="00E44C48" w14:paraId="7D7D6A6D" w14:textId="77777777" w:rsidTr="00BF715B">
        <w:trPr>
          <w:trHeight w:val="340"/>
          <w:tblHeader/>
        </w:trPr>
        <w:tc>
          <w:tcPr>
            <w:tcW w:w="2138" w:type="pct"/>
            <w:tcBorders>
              <w:top w:val="single" w:sz="4" w:space="0" w:color="auto"/>
              <w:left w:val="nil"/>
              <w:bottom w:val="single" w:sz="4" w:space="0" w:color="auto"/>
              <w:right w:val="nil"/>
            </w:tcBorders>
            <w:shd w:val="clear" w:color="000000" w:fill="A1F2FD"/>
            <w:noWrap/>
            <w:vAlign w:val="center"/>
            <w:hideMark/>
          </w:tcPr>
          <w:p w14:paraId="59A0E3F5" w14:textId="77777777" w:rsidR="00A06C74" w:rsidRPr="00E44C48" w:rsidRDefault="00A06C74" w:rsidP="00BF715B">
            <w:pPr>
              <w:jc w:val="center"/>
              <w:rPr>
                <w:rFonts w:cs="Arial"/>
                <w:b/>
                <w:bCs/>
                <w:color w:val="000000"/>
                <w:sz w:val="20"/>
                <w:szCs w:val="20"/>
              </w:rPr>
            </w:pPr>
            <w:r w:rsidRPr="00E44C48">
              <w:rPr>
                <w:rFonts w:cs="Arial"/>
                <w:b/>
                <w:bCs/>
                <w:color w:val="000000"/>
                <w:sz w:val="20"/>
                <w:szCs w:val="20"/>
              </w:rPr>
              <w:t>Subfunção</w:t>
            </w:r>
          </w:p>
        </w:tc>
        <w:tc>
          <w:tcPr>
            <w:tcW w:w="802" w:type="pct"/>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0C561F13" w14:textId="77777777" w:rsidR="00A06C74" w:rsidRPr="00E44C48" w:rsidRDefault="00A06C74" w:rsidP="00BF715B">
            <w:pPr>
              <w:jc w:val="center"/>
              <w:rPr>
                <w:rFonts w:cs="Arial"/>
                <w:b/>
                <w:bCs/>
                <w:color w:val="000000"/>
                <w:sz w:val="20"/>
                <w:szCs w:val="20"/>
              </w:rPr>
            </w:pPr>
            <w:r w:rsidRPr="00E44C48">
              <w:rPr>
                <w:rFonts w:cs="Arial"/>
                <w:b/>
                <w:bCs/>
                <w:color w:val="000000"/>
                <w:sz w:val="20"/>
                <w:szCs w:val="20"/>
              </w:rPr>
              <w:t>Empenhada</w:t>
            </w:r>
          </w:p>
        </w:tc>
        <w:tc>
          <w:tcPr>
            <w:tcW w:w="455" w:type="pct"/>
            <w:tcBorders>
              <w:top w:val="single" w:sz="4" w:space="0" w:color="auto"/>
              <w:left w:val="nil"/>
              <w:bottom w:val="single" w:sz="4" w:space="0" w:color="auto"/>
              <w:right w:val="nil"/>
            </w:tcBorders>
            <w:shd w:val="clear" w:color="000000" w:fill="A1F2FD"/>
            <w:noWrap/>
            <w:vAlign w:val="center"/>
            <w:hideMark/>
          </w:tcPr>
          <w:p w14:paraId="5EF2D30C" w14:textId="77777777" w:rsidR="00A06C74" w:rsidRPr="00E44C48" w:rsidRDefault="00A06C74" w:rsidP="00BF715B">
            <w:pPr>
              <w:jc w:val="center"/>
              <w:rPr>
                <w:rFonts w:cs="Arial"/>
                <w:b/>
                <w:bCs/>
                <w:color w:val="000000"/>
                <w:sz w:val="20"/>
                <w:szCs w:val="20"/>
              </w:rPr>
            </w:pPr>
            <w:r w:rsidRPr="00E44C48">
              <w:rPr>
                <w:rFonts w:cs="Arial"/>
                <w:b/>
                <w:bCs/>
                <w:color w:val="000000"/>
                <w:sz w:val="20"/>
                <w:szCs w:val="20"/>
              </w:rPr>
              <w:t>AV %</w:t>
            </w:r>
          </w:p>
        </w:tc>
        <w:tc>
          <w:tcPr>
            <w:tcW w:w="802" w:type="pct"/>
            <w:tcBorders>
              <w:top w:val="single" w:sz="4" w:space="0" w:color="auto"/>
              <w:left w:val="single" w:sz="4" w:space="0" w:color="auto"/>
              <w:bottom w:val="single" w:sz="4" w:space="0" w:color="auto"/>
              <w:right w:val="single" w:sz="4" w:space="0" w:color="auto"/>
            </w:tcBorders>
            <w:shd w:val="clear" w:color="D9E1F2" w:fill="A1F2FD"/>
            <w:noWrap/>
            <w:vAlign w:val="center"/>
            <w:hideMark/>
          </w:tcPr>
          <w:p w14:paraId="24976793" w14:textId="77777777" w:rsidR="00A06C74" w:rsidRPr="00E44C48" w:rsidRDefault="00A06C74" w:rsidP="00BF715B">
            <w:pPr>
              <w:jc w:val="center"/>
              <w:rPr>
                <w:rFonts w:cs="Arial"/>
                <w:b/>
                <w:bCs/>
                <w:color w:val="000000"/>
                <w:sz w:val="20"/>
                <w:szCs w:val="20"/>
              </w:rPr>
            </w:pPr>
            <w:r w:rsidRPr="00E44C48">
              <w:rPr>
                <w:rFonts w:cs="Arial"/>
                <w:b/>
                <w:bCs/>
                <w:color w:val="000000"/>
                <w:sz w:val="20"/>
                <w:szCs w:val="20"/>
              </w:rPr>
              <w:t>Liquidada</w:t>
            </w:r>
          </w:p>
        </w:tc>
        <w:tc>
          <w:tcPr>
            <w:tcW w:w="802" w:type="pct"/>
            <w:tcBorders>
              <w:top w:val="single" w:sz="4" w:space="0" w:color="auto"/>
              <w:left w:val="nil"/>
              <w:bottom w:val="single" w:sz="4" w:space="0" w:color="auto"/>
              <w:right w:val="nil"/>
            </w:tcBorders>
            <w:shd w:val="clear" w:color="D9E1F2" w:fill="A1F2FD"/>
            <w:noWrap/>
            <w:vAlign w:val="center"/>
            <w:hideMark/>
          </w:tcPr>
          <w:p w14:paraId="5F6D41AD" w14:textId="77777777" w:rsidR="00A06C74" w:rsidRPr="00E44C48" w:rsidRDefault="00A06C74" w:rsidP="00BF715B">
            <w:pPr>
              <w:jc w:val="center"/>
              <w:rPr>
                <w:rFonts w:cs="Arial"/>
                <w:b/>
                <w:bCs/>
                <w:color w:val="000000"/>
                <w:sz w:val="20"/>
                <w:szCs w:val="20"/>
              </w:rPr>
            </w:pPr>
            <w:r w:rsidRPr="00E44C48">
              <w:rPr>
                <w:rFonts w:cs="Arial"/>
                <w:b/>
                <w:bCs/>
                <w:color w:val="000000"/>
                <w:sz w:val="20"/>
                <w:szCs w:val="20"/>
              </w:rPr>
              <w:t>Paga</w:t>
            </w:r>
          </w:p>
        </w:tc>
      </w:tr>
      <w:tr w:rsidR="00A06C74" w:rsidRPr="00E44C48" w14:paraId="1DCC5256" w14:textId="77777777" w:rsidTr="00BF715B">
        <w:trPr>
          <w:trHeight w:val="340"/>
        </w:trPr>
        <w:tc>
          <w:tcPr>
            <w:tcW w:w="2138" w:type="pct"/>
            <w:tcBorders>
              <w:top w:val="nil"/>
              <w:left w:val="nil"/>
              <w:bottom w:val="nil"/>
              <w:right w:val="nil"/>
            </w:tcBorders>
            <w:shd w:val="clear" w:color="auto" w:fill="auto"/>
            <w:noWrap/>
            <w:vAlign w:val="center"/>
            <w:hideMark/>
          </w:tcPr>
          <w:p w14:paraId="4F68DCF8" w14:textId="77777777" w:rsidR="00A06C74" w:rsidRPr="00E44C48" w:rsidRDefault="00A06C74" w:rsidP="001E762F">
            <w:pPr>
              <w:ind w:left="75"/>
              <w:jc w:val="left"/>
              <w:rPr>
                <w:rFonts w:cs="Arial"/>
                <w:color w:val="000000"/>
                <w:sz w:val="20"/>
                <w:szCs w:val="20"/>
              </w:rPr>
            </w:pPr>
            <w:r w:rsidRPr="00E44C48">
              <w:rPr>
                <w:rFonts w:cs="Arial"/>
                <w:color w:val="000000"/>
                <w:sz w:val="20"/>
                <w:szCs w:val="20"/>
              </w:rPr>
              <w:t>Assistência Hospitalar e Ambulatorial</w:t>
            </w:r>
          </w:p>
        </w:tc>
        <w:tc>
          <w:tcPr>
            <w:tcW w:w="802" w:type="pct"/>
            <w:tcBorders>
              <w:top w:val="nil"/>
              <w:left w:val="single" w:sz="4" w:space="0" w:color="auto"/>
              <w:bottom w:val="nil"/>
              <w:right w:val="single" w:sz="4" w:space="0" w:color="auto"/>
            </w:tcBorders>
            <w:shd w:val="clear" w:color="auto" w:fill="auto"/>
            <w:noWrap/>
            <w:vAlign w:val="center"/>
            <w:hideMark/>
          </w:tcPr>
          <w:p w14:paraId="04F1FC3A" w14:textId="77777777" w:rsidR="00A06C74" w:rsidRPr="00E44C48" w:rsidRDefault="00A06C74" w:rsidP="00BF715B">
            <w:pPr>
              <w:jc w:val="right"/>
              <w:rPr>
                <w:rFonts w:cs="Arial"/>
                <w:color w:val="000000"/>
                <w:sz w:val="20"/>
                <w:szCs w:val="20"/>
              </w:rPr>
            </w:pPr>
            <w:r w:rsidRPr="00E44C48">
              <w:rPr>
                <w:rFonts w:cs="Arial"/>
                <w:color w:val="000000"/>
                <w:sz w:val="20"/>
                <w:szCs w:val="20"/>
              </w:rPr>
              <w:t>3.390.981.707</w:t>
            </w:r>
          </w:p>
        </w:tc>
        <w:tc>
          <w:tcPr>
            <w:tcW w:w="455" w:type="pct"/>
            <w:tcBorders>
              <w:top w:val="nil"/>
              <w:left w:val="nil"/>
              <w:bottom w:val="nil"/>
              <w:right w:val="nil"/>
            </w:tcBorders>
            <w:shd w:val="clear" w:color="auto" w:fill="auto"/>
            <w:noWrap/>
            <w:vAlign w:val="center"/>
            <w:hideMark/>
          </w:tcPr>
          <w:p w14:paraId="5265E049" w14:textId="77777777" w:rsidR="00A06C74" w:rsidRPr="00E44C48" w:rsidRDefault="00A06C74" w:rsidP="00BF715B">
            <w:pPr>
              <w:jc w:val="right"/>
              <w:rPr>
                <w:rFonts w:cs="Arial"/>
                <w:color w:val="000000"/>
                <w:sz w:val="20"/>
                <w:szCs w:val="20"/>
              </w:rPr>
            </w:pPr>
            <w:r w:rsidRPr="00E44C48">
              <w:rPr>
                <w:rFonts w:cs="Arial"/>
                <w:color w:val="000000"/>
                <w:sz w:val="20"/>
                <w:szCs w:val="20"/>
              </w:rPr>
              <w:t>67,62</w:t>
            </w:r>
          </w:p>
        </w:tc>
        <w:tc>
          <w:tcPr>
            <w:tcW w:w="802" w:type="pct"/>
            <w:tcBorders>
              <w:top w:val="nil"/>
              <w:left w:val="single" w:sz="4" w:space="0" w:color="auto"/>
              <w:bottom w:val="nil"/>
              <w:right w:val="single" w:sz="4" w:space="0" w:color="auto"/>
            </w:tcBorders>
            <w:shd w:val="clear" w:color="auto" w:fill="auto"/>
            <w:noWrap/>
            <w:vAlign w:val="center"/>
            <w:hideMark/>
          </w:tcPr>
          <w:p w14:paraId="295A3899" w14:textId="77777777" w:rsidR="00A06C74" w:rsidRPr="00E44C48" w:rsidRDefault="00A06C74" w:rsidP="00BF715B">
            <w:pPr>
              <w:jc w:val="right"/>
              <w:rPr>
                <w:rFonts w:cs="Arial"/>
                <w:color w:val="000000"/>
                <w:sz w:val="20"/>
                <w:szCs w:val="20"/>
              </w:rPr>
            </w:pPr>
            <w:r w:rsidRPr="00E44C48">
              <w:rPr>
                <w:rFonts w:cs="Arial"/>
                <w:color w:val="000000"/>
                <w:sz w:val="20"/>
                <w:szCs w:val="20"/>
              </w:rPr>
              <w:t>3.156.789.794</w:t>
            </w:r>
          </w:p>
        </w:tc>
        <w:tc>
          <w:tcPr>
            <w:tcW w:w="802" w:type="pct"/>
            <w:tcBorders>
              <w:top w:val="single" w:sz="4" w:space="0" w:color="auto"/>
              <w:left w:val="nil"/>
              <w:bottom w:val="nil"/>
            </w:tcBorders>
            <w:shd w:val="clear" w:color="auto" w:fill="auto"/>
            <w:noWrap/>
            <w:vAlign w:val="center"/>
            <w:hideMark/>
          </w:tcPr>
          <w:p w14:paraId="053A0487" w14:textId="77777777" w:rsidR="00A06C74" w:rsidRPr="00E44C48" w:rsidRDefault="00A06C74" w:rsidP="00BF715B">
            <w:pPr>
              <w:jc w:val="right"/>
              <w:rPr>
                <w:rFonts w:cs="Arial"/>
                <w:color w:val="000000"/>
                <w:sz w:val="20"/>
                <w:szCs w:val="20"/>
              </w:rPr>
            </w:pPr>
            <w:r w:rsidRPr="00E44C48">
              <w:rPr>
                <w:rFonts w:cs="Arial"/>
                <w:color w:val="000000"/>
                <w:sz w:val="20"/>
                <w:szCs w:val="20"/>
              </w:rPr>
              <w:t>3.134.077.531</w:t>
            </w:r>
          </w:p>
        </w:tc>
      </w:tr>
      <w:tr w:rsidR="00A06C74" w:rsidRPr="00E44C48" w14:paraId="766B95DE" w14:textId="77777777" w:rsidTr="00BF715B">
        <w:trPr>
          <w:trHeight w:val="340"/>
        </w:trPr>
        <w:tc>
          <w:tcPr>
            <w:tcW w:w="2138" w:type="pct"/>
            <w:tcBorders>
              <w:top w:val="nil"/>
              <w:left w:val="nil"/>
              <w:bottom w:val="nil"/>
              <w:right w:val="nil"/>
            </w:tcBorders>
            <w:shd w:val="clear" w:color="auto" w:fill="auto"/>
            <w:noWrap/>
            <w:vAlign w:val="center"/>
            <w:hideMark/>
          </w:tcPr>
          <w:p w14:paraId="427F75EC" w14:textId="77777777" w:rsidR="00A06C74" w:rsidRPr="00E44C48" w:rsidRDefault="00A06C74" w:rsidP="001E762F">
            <w:pPr>
              <w:ind w:left="75"/>
              <w:jc w:val="left"/>
              <w:rPr>
                <w:rFonts w:cs="Arial"/>
                <w:color w:val="000000"/>
                <w:sz w:val="20"/>
                <w:szCs w:val="20"/>
              </w:rPr>
            </w:pPr>
            <w:r w:rsidRPr="00E44C48">
              <w:rPr>
                <w:rFonts w:cs="Arial"/>
                <w:color w:val="000000"/>
                <w:sz w:val="20"/>
                <w:szCs w:val="20"/>
              </w:rPr>
              <w:t>Administração Geral</w:t>
            </w:r>
          </w:p>
        </w:tc>
        <w:tc>
          <w:tcPr>
            <w:tcW w:w="802" w:type="pct"/>
            <w:tcBorders>
              <w:top w:val="nil"/>
              <w:left w:val="single" w:sz="4" w:space="0" w:color="auto"/>
              <w:bottom w:val="nil"/>
              <w:right w:val="single" w:sz="4" w:space="0" w:color="auto"/>
            </w:tcBorders>
            <w:shd w:val="clear" w:color="auto" w:fill="auto"/>
            <w:noWrap/>
            <w:vAlign w:val="center"/>
            <w:hideMark/>
          </w:tcPr>
          <w:p w14:paraId="2EDBBFEB" w14:textId="77777777" w:rsidR="00A06C74" w:rsidRPr="00E44C48" w:rsidRDefault="00A06C74" w:rsidP="00BF715B">
            <w:pPr>
              <w:jc w:val="right"/>
              <w:rPr>
                <w:rFonts w:cs="Arial"/>
                <w:color w:val="000000"/>
                <w:sz w:val="20"/>
                <w:szCs w:val="20"/>
              </w:rPr>
            </w:pPr>
            <w:r w:rsidRPr="00E44C48">
              <w:rPr>
                <w:rFonts w:cs="Arial"/>
                <w:color w:val="000000"/>
                <w:sz w:val="20"/>
                <w:szCs w:val="20"/>
              </w:rPr>
              <w:t>1.088.344.133</w:t>
            </w:r>
          </w:p>
        </w:tc>
        <w:tc>
          <w:tcPr>
            <w:tcW w:w="455" w:type="pct"/>
            <w:tcBorders>
              <w:top w:val="nil"/>
              <w:left w:val="nil"/>
              <w:bottom w:val="nil"/>
              <w:right w:val="nil"/>
            </w:tcBorders>
            <w:shd w:val="clear" w:color="auto" w:fill="auto"/>
            <w:noWrap/>
            <w:vAlign w:val="center"/>
            <w:hideMark/>
          </w:tcPr>
          <w:p w14:paraId="3F5E6467" w14:textId="77777777" w:rsidR="00A06C74" w:rsidRPr="00E44C48" w:rsidRDefault="00A06C74" w:rsidP="00BF715B">
            <w:pPr>
              <w:jc w:val="right"/>
              <w:rPr>
                <w:rFonts w:cs="Arial"/>
                <w:color w:val="000000"/>
                <w:sz w:val="20"/>
                <w:szCs w:val="20"/>
              </w:rPr>
            </w:pPr>
            <w:r w:rsidRPr="00E44C48">
              <w:rPr>
                <w:rFonts w:cs="Arial"/>
                <w:color w:val="000000"/>
                <w:sz w:val="20"/>
                <w:szCs w:val="20"/>
              </w:rPr>
              <w:t>21,70</w:t>
            </w:r>
          </w:p>
        </w:tc>
        <w:tc>
          <w:tcPr>
            <w:tcW w:w="802" w:type="pct"/>
            <w:tcBorders>
              <w:top w:val="nil"/>
              <w:left w:val="single" w:sz="4" w:space="0" w:color="auto"/>
              <w:bottom w:val="nil"/>
              <w:right w:val="single" w:sz="4" w:space="0" w:color="auto"/>
            </w:tcBorders>
            <w:shd w:val="clear" w:color="auto" w:fill="auto"/>
            <w:noWrap/>
            <w:vAlign w:val="center"/>
            <w:hideMark/>
          </w:tcPr>
          <w:p w14:paraId="233E8894" w14:textId="77777777" w:rsidR="00A06C74" w:rsidRPr="00E44C48" w:rsidRDefault="00A06C74" w:rsidP="00BF715B">
            <w:pPr>
              <w:jc w:val="right"/>
              <w:rPr>
                <w:rFonts w:cs="Arial"/>
                <w:color w:val="000000"/>
                <w:sz w:val="20"/>
                <w:szCs w:val="20"/>
              </w:rPr>
            </w:pPr>
            <w:r w:rsidRPr="00E44C48">
              <w:rPr>
                <w:rFonts w:cs="Arial"/>
                <w:color w:val="000000"/>
                <w:sz w:val="20"/>
                <w:szCs w:val="20"/>
              </w:rPr>
              <w:t>1.061.792.205</w:t>
            </w:r>
          </w:p>
        </w:tc>
        <w:tc>
          <w:tcPr>
            <w:tcW w:w="802" w:type="pct"/>
            <w:tcBorders>
              <w:top w:val="nil"/>
              <w:left w:val="nil"/>
              <w:bottom w:val="nil"/>
            </w:tcBorders>
            <w:shd w:val="clear" w:color="auto" w:fill="auto"/>
            <w:noWrap/>
            <w:vAlign w:val="center"/>
            <w:hideMark/>
          </w:tcPr>
          <w:p w14:paraId="310A6258" w14:textId="77777777" w:rsidR="00A06C74" w:rsidRPr="00E44C48" w:rsidRDefault="00A06C74" w:rsidP="00BF715B">
            <w:pPr>
              <w:jc w:val="right"/>
              <w:rPr>
                <w:rFonts w:cs="Arial"/>
                <w:color w:val="000000"/>
                <w:sz w:val="20"/>
                <w:szCs w:val="20"/>
              </w:rPr>
            </w:pPr>
            <w:r w:rsidRPr="00E44C48">
              <w:rPr>
                <w:rFonts w:cs="Arial"/>
                <w:color w:val="000000"/>
                <w:sz w:val="20"/>
                <w:szCs w:val="20"/>
              </w:rPr>
              <w:t>1.056.972.152</w:t>
            </w:r>
          </w:p>
        </w:tc>
      </w:tr>
      <w:tr w:rsidR="00A06C74" w:rsidRPr="00E44C48" w14:paraId="2F726E84" w14:textId="77777777" w:rsidTr="00BF715B">
        <w:trPr>
          <w:trHeight w:val="340"/>
        </w:trPr>
        <w:tc>
          <w:tcPr>
            <w:tcW w:w="2138" w:type="pct"/>
            <w:tcBorders>
              <w:top w:val="nil"/>
              <w:left w:val="nil"/>
              <w:bottom w:val="nil"/>
              <w:right w:val="nil"/>
            </w:tcBorders>
            <w:shd w:val="clear" w:color="auto" w:fill="auto"/>
            <w:noWrap/>
            <w:vAlign w:val="center"/>
            <w:hideMark/>
          </w:tcPr>
          <w:p w14:paraId="186165EE" w14:textId="77777777" w:rsidR="00A06C74" w:rsidRPr="00E44C48" w:rsidRDefault="00A06C74" w:rsidP="001E762F">
            <w:pPr>
              <w:ind w:left="75"/>
              <w:jc w:val="left"/>
              <w:rPr>
                <w:rFonts w:cs="Arial"/>
                <w:color w:val="000000"/>
                <w:sz w:val="20"/>
                <w:szCs w:val="20"/>
              </w:rPr>
            </w:pPr>
            <w:r w:rsidRPr="00E44C48">
              <w:rPr>
                <w:rFonts w:cs="Arial"/>
                <w:color w:val="000000"/>
                <w:sz w:val="20"/>
                <w:szCs w:val="20"/>
              </w:rPr>
              <w:t>Suporte Profilático e Terapêutico</w:t>
            </w:r>
          </w:p>
        </w:tc>
        <w:tc>
          <w:tcPr>
            <w:tcW w:w="802" w:type="pct"/>
            <w:tcBorders>
              <w:top w:val="nil"/>
              <w:left w:val="single" w:sz="4" w:space="0" w:color="auto"/>
              <w:bottom w:val="nil"/>
              <w:right w:val="single" w:sz="4" w:space="0" w:color="auto"/>
            </w:tcBorders>
            <w:shd w:val="clear" w:color="auto" w:fill="auto"/>
            <w:noWrap/>
            <w:vAlign w:val="center"/>
            <w:hideMark/>
          </w:tcPr>
          <w:p w14:paraId="6B900DBC" w14:textId="77777777" w:rsidR="00A06C74" w:rsidRPr="00E44C48" w:rsidRDefault="00A06C74" w:rsidP="00BF715B">
            <w:pPr>
              <w:jc w:val="right"/>
              <w:rPr>
                <w:rFonts w:cs="Arial"/>
                <w:color w:val="000000"/>
                <w:sz w:val="20"/>
                <w:szCs w:val="20"/>
              </w:rPr>
            </w:pPr>
            <w:r w:rsidRPr="00E44C48">
              <w:rPr>
                <w:rFonts w:cs="Arial"/>
                <w:color w:val="000000"/>
                <w:sz w:val="20"/>
                <w:szCs w:val="20"/>
              </w:rPr>
              <w:t>314.807.738</w:t>
            </w:r>
          </w:p>
        </w:tc>
        <w:tc>
          <w:tcPr>
            <w:tcW w:w="455" w:type="pct"/>
            <w:tcBorders>
              <w:top w:val="nil"/>
              <w:left w:val="nil"/>
              <w:bottom w:val="nil"/>
              <w:right w:val="nil"/>
            </w:tcBorders>
            <w:shd w:val="clear" w:color="auto" w:fill="auto"/>
            <w:noWrap/>
            <w:vAlign w:val="center"/>
            <w:hideMark/>
          </w:tcPr>
          <w:p w14:paraId="106BE0EF" w14:textId="77777777" w:rsidR="00A06C74" w:rsidRPr="00E44C48" w:rsidRDefault="00A06C74" w:rsidP="00BF715B">
            <w:pPr>
              <w:jc w:val="right"/>
              <w:rPr>
                <w:rFonts w:cs="Arial"/>
                <w:color w:val="000000"/>
                <w:sz w:val="20"/>
                <w:szCs w:val="20"/>
              </w:rPr>
            </w:pPr>
            <w:r w:rsidRPr="00E44C48">
              <w:rPr>
                <w:rFonts w:cs="Arial"/>
                <w:color w:val="000000"/>
                <w:sz w:val="20"/>
                <w:szCs w:val="20"/>
              </w:rPr>
              <w:t>6,28</w:t>
            </w:r>
          </w:p>
        </w:tc>
        <w:tc>
          <w:tcPr>
            <w:tcW w:w="802" w:type="pct"/>
            <w:tcBorders>
              <w:top w:val="nil"/>
              <w:left w:val="single" w:sz="4" w:space="0" w:color="auto"/>
              <w:bottom w:val="nil"/>
              <w:right w:val="single" w:sz="4" w:space="0" w:color="auto"/>
            </w:tcBorders>
            <w:shd w:val="clear" w:color="auto" w:fill="auto"/>
            <w:noWrap/>
            <w:vAlign w:val="center"/>
            <w:hideMark/>
          </w:tcPr>
          <w:p w14:paraId="15A0D937" w14:textId="77777777" w:rsidR="00A06C74" w:rsidRPr="00E44C48" w:rsidRDefault="00A06C74" w:rsidP="00BF715B">
            <w:pPr>
              <w:jc w:val="right"/>
              <w:rPr>
                <w:rFonts w:cs="Arial"/>
                <w:color w:val="000000"/>
                <w:sz w:val="20"/>
                <w:szCs w:val="20"/>
              </w:rPr>
            </w:pPr>
            <w:r w:rsidRPr="00E44C48">
              <w:rPr>
                <w:rFonts w:cs="Arial"/>
                <w:color w:val="000000"/>
                <w:sz w:val="20"/>
                <w:szCs w:val="20"/>
              </w:rPr>
              <w:t>295.357.426</w:t>
            </w:r>
          </w:p>
        </w:tc>
        <w:tc>
          <w:tcPr>
            <w:tcW w:w="802" w:type="pct"/>
            <w:tcBorders>
              <w:top w:val="nil"/>
              <w:left w:val="nil"/>
              <w:bottom w:val="nil"/>
            </w:tcBorders>
            <w:shd w:val="clear" w:color="auto" w:fill="auto"/>
            <w:noWrap/>
            <w:vAlign w:val="center"/>
            <w:hideMark/>
          </w:tcPr>
          <w:p w14:paraId="56B9C2C9" w14:textId="77777777" w:rsidR="00A06C74" w:rsidRPr="00E44C48" w:rsidRDefault="00A06C74" w:rsidP="00BF715B">
            <w:pPr>
              <w:jc w:val="right"/>
              <w:rPr>
                <w:rFonts w:cs="Arial"/>
                <w:color w:val="000000"/>
                <w:sz w:val="20"/>
                <w:szCs w:val="20"/>
              </w:rPr>
            </w:pPr>
            <w:r w:rsidRPr="00E44C48">
              <w:rPr>
                <w:rFonts w:cs="Arial"/>
                <w:color w:val="000000"/>
                <w:sz w:val="20"/>
                <w:szCs w:val="20"/>
              </w:rPr>
              <w:t>290.422.861</w:t>
            </w:r>
          </w:p>
        </w:tc>
      </w:tr>
      <w:tr w:rsidR="00A06C74" w:rsidRPr="00E44C48" w14:paraId="64EB76C5" w14:textId="77777777" w:rsidTr="00BF715B">
        <w:trPr>
          <w:trHeight w:val="340"/>
        </w:trPr>
        <w:tc>
          <w:tcPr>
            <w:tcW w:w="2138" w:type="pct"/>
            <w:tcBorders>
              <w:top w:val="nil"/>
              <w:left w:val="nil"/>
              <w:bottom w:val="nil"/>
              <w:right w:val="nil"/>
            </w:tcBorders>
            <w:shd w:val="clear" w:color="auto" w:fill="auto"/>
            <w:noWrap/>
            <w:vAlign w:val="center"/>
            <w:hideMark/>
          </w:tcPr>
          <w:p w14:paraId="54067B18" w14:textId="77777777" w:rsidR="00A06C74" w:rsidRPr="00E44C48" w:rsidRDefault="00A06C74" w:rsidP="001E762F">
            <w:pPr>
              <w:ind w:left="75"/>
              <w:jc w:val="left"/>
              <w:rPr>
                <w:rFonts w:cs="Arial"/>
                <w:color w:val="000000"/>
                <w:sz w:val="20"/>
                <w:szCs w:val="20"/>
              </w:rPr>
            </w:pPr>
            <w:r w:rsidRPr="00E44C48">
              <w:rPr>
                <w:rFonts w:cs="Arial"/>
                <w:color w:val="000000"/>
                <w:sz w:val="20"/>
                <w:szCs w:val="20"/>
              </w:rPr>
              <w:t>Atenção Básica</w:t>
            </w:r>
          </w:p>
        </w:tc>
        <w:tc>
          <w:tcPr>
            <w:tcW w:w="802" w:type="pct"/>
            <w:tcBorders>
              <w:top w:val="nil"/>
              <w:left w:val="single" w:sz="4" w:space="0" w:color="auto"/>
              <w:bottom w:val="nil"/>
              <w:right w:val="single" w:sz="4" w:space="0" w:color="auto"/>
            </w:tcBorders>
            <w:shd w:val="clear" w:color="auto" w:fill="auto"/>
            <w:noWrap/>
            <w:vAlign w:val="center"/>
            <w:hideMark/>
          </w:tcPr>
          <w:p w14:paraId="17AD29F4" w14:textId="77777777" w:rsidR="00A06C74" w:rsidRPr="00E44C48" w:rsidRDefault="00A06C74" w:rsidP="00BF715B">
            <w:pPr>
              <w:jc w:val="right"/>
              <w:rPr>
                <w:rFonts w:cs="Arial"/>
                <w:color w:val="000000"/>
                <w:sz w:val="20"/>
                <w:szCs w:val="20"/>
              </w:rPr>
            </w:pPr>
            <w:r w:rsidRPr="00E44C48">
              <w:rPr>
                <w:rFonts w:cs="Arial"/>
                <w:color w:val="000000"/>
                <w:sz w:val="20"/>
                <w:szCs w:val="20"/>
              </w:rPr>
              <w:t>104.910.575</w:t>
            </w:r>
          </w:p>
        </w:tc>
        <w:tc>
          <w:tcPr>
            <w:tcW w:w="455" w:type="pct"/>
            <w:tcBorders>
              <w:top w:val="nil"/>
              <w:left w:val="nil"/>
              <w:bottom w:val="nil"/>
              <w:right w:val="nil"/>
            </w:tcBorders>
            <w:shd w:val="clear" w:color="auto" w:fill="auto"/>
            <w:noWrap/>
            <w:vAlign w:val="center"/>
            <w:hideMark/>
          </w:tcPr>
          <w:p w14:paraId="692F2E22" w14:textId="77777777" w:rsidR="00A06C74" w:rsidRPr="00E44C48" w:rsidRDefault="00A06C74" w:rsidP="00BF715B">
            <w:pPr>
              <w:jc w:val="right"/>
              <w:rPr>
                <w:rFonts w:cs="Arial"/>
                <w:color w:val="000000"/>
                <w:sz w:val="20"/>
                <w:szCs w:val="20"/>
              </w:rPr>
            </w:pPr>
            <w:r w:rsidRPr="00E44C48">
              <w:rPr>
                <w:rFonts w:cs="Arial"/>
                <w:color w:val="000000"/>
                <w:sz w:val="20"/>
                <w:szCs w:val="20"/>
              </w:rPr>
              <w:t>2,09</w:t>
            </w:r>
          </w:p>
        </w:tc>
        <w:tc>
          <w:tcPr>
            <w:tcW w:w="802" w:type="pct"/>
            <w:tcBorders>
              <w:top w:val="nil"/>
              <w:left w:val="single" w:sz="4" w:space="0" w:color="auto"/>
              <w:bottom w:val="nil"/>
              <w:right w:val="single" w:sz="4" w:space="0" w:color="auto"/>
            </w:tcBorders>
            <w:shd w:val="clear" w:color="auto" w:fill="auto"/>
            <w:noWrap/>
            <w:vAlign w:val="center"/>
            <w:hideMark/>
          </w:tcPr>
          <w:p w14:paraId="5209CCE8" w14:textId="77777777" w:rsidR="00A06C74" w:rsidRPr="00E44C48" w:rsidRDefault="00A06C74" w:rsidP="00BF715B">
            <w:pPr>
              <w:jc w:val="right"/>
              <w:rPr>
                <w:rFonts w:cs="Arial"/>
                <w:color w:val="000000"/>
                <w:sz w:val="20"/>
                <w:szCs w:val="20"/>
              </w:rPr>
            </w:pPr>
            <w:r w:rsidRPr="00E44C48">
              <w:rPr>
                <w:rFonts w:cs="Arial"/>
                <w:color w:val="000000"/>
                <w:sz w:val="20"/>
                <w:szCs w:val="20"/>
              </w:rPr>
              <w:t>103.197.381</w:t>
            </w:r>
          </w:p>
        </w:tc>
        <w:tc>
          <w:tcPr>
            <w:tcW w:w="802" w:type="pct"/>
            <w:tcBorders>
              <w:top w:val="nil"/>
              <w:left w:val="nil"/>
              <w:bottom w:val="nil"/>
            </w:tcBorders>
            <w:shd w:val="clear" w:color="auto" w:fill="auto"/>
            <w:noWrap/>
            <w:vAlign w:val="center"/>
            <w:hideMark/>
          </w:tcPr>
          <w:p w14:paraId="5D06B21A" w14:textId="77777777" w:rsidR="00A06C74" w:rsidRPr="00E44C48" w:rsidRDefault="00A06C74" w:rsidP="00BF715B">
            <w:pPr>
              <w:jc w:val="right"/>
              <w:rPr>
                <w:rFonts w:cs="Arial"/>
                <w:color w:val="000000"/>
                <w:sz w:val="20"/>
                <w:szCs w:val="20"/>
              </w:rPr>
            </w:pPr>
            <w:r w:rsidRPr="00E44C48">
              <w:rPr>
                <w:rFonts w:cs="Arial"/>
                <w:color w:val="000000"/>
                <w:sz w:val="20"/>
                <w:szCs w:val="20"/>
              </w:rPr>
              <w:t>103.197.381</w:t>
            </w:r>
          </w:p>
        </w:tc>
      </w:tr>
      <w:tr w:rsidR="00A06C74" w:rsidRPr="00E44C48" w14:paraId="35DFBC2D" w14:textId="77777777" w:rsidTr="00BF715B">
        <w:trPr>
          <w:trHeight w:val="340"/>
        </w:trPr>
        <w:tc>
          <w:tcPr>
            <w:tcW w:w="2138" w:type="pct"/>
            <w:tcBorders>
              <w:top w:val="nil"/>
              <w:left w:val="nil"/>
              <w:bottom w:val="nil"/>
              <w:right w:val="nil"/>
            </w:tcBorders>
            <w:shd w:val="clear" w:color="auto" w:fill="auto"/>
            <w:noWrap/>
            <w:vAlign w:val="center"/>
            <w:hideMark/>
          </w:tcPr>
          <w:p w14:paraId="38384FEA" w14:textId="77777777" w:rsidR="00A06C74" w:rsidRPr="00E44C48" w:rsidRDefault="00A06C74" w:rsidP="001E762F">
            <w:pPr>
              <w:ind w:left="75"/>
              <w:jc w:val="left"/>
              <w:rPr>
                <w:rFonts w:cs="Arial"/>
                <w:color w:val="000000"/>
                <w:sz w:val="20"/>
                <w:szCs w:val="20"/>
              </w:rPr>
            </w:pPr>
            <w:r w:rsidRPr="00E44C48">
              <w:rPr>
                <w:rFonts w:cs="Arial"/>
                <w:color w:val="000000"/>
                <w:sz w:val="20"/>
                <w:szCs w:val="20"/>
              </w:rPr>
              <w:t>Desenvolvimento Tecnológico e Engenharia</w:t>
            </w:r>
          </w:p>
        </w:tc>
        <w:tc>
          <w:tcPr>
            <w:tcW w:w="802" w:type="pct"/>
            <w:tcBorders>
              <w:top w:val="nil"/>
              <w:left w:val="single" w:sz="4" w:space="0" w:color="auto"/>
              <w:bottom w:val="nil"/>
              <w:right w:val="single" w:sz="4" w:space="0" w:color="auto"/>
            </w:tcBorders>
            <w:shd w:val="clear" w:color="auto" w:fill="auto"/>
            <w:noWrap/>
            <w:vAlign w:val="center"/>
            <w:hideMark/>
          </w:tcPr>
          <w:p w14:paraId="635E9082" w14:textId="77777777" w:rsidR="00A06C74" w:rsidRPr="00E44C48" w:rsidRDefault="00A06C74" w:rsidP="00BF715B">
            <w:pPr>
              <w:jc w:val="right"/>
              <w:rPr>
                <w:rFonts w:cs="Arial"/>
                <w:color w:val="000000"/>
                <w:sz w:val="20"/>
                <w:szCs w:val="20"/>
              </w:rPr>
            </w:pPr>
            <w:r w:rsidRPr="00E44C48">
              <w:rPr>
                <w:rFonts w:cs="Arial"/>
                <w:color w:val="000000"/>
                <w:sz w:val="20"/>
                <w:szCs w:val="20"/>
              </w:rPr>
              <w:t>39.747.055</w:t>
            </w:r>
          </w:p>
        </w:tc>
        <w:tc>
          <w:tcPr>
            <w:tcW w:w="455" w:type="pct"/>
            <w:tcBorders>
              <w:top w:val="nil"/>
              <w:left w:val="nil"/>
              <w:bottom w:val="nil"/>
              <w:right w:val="nil"/>
            </w:tcBorders>
            <w:shd w:val="clear" w:color="auto" w:fill="auto"/>
            <w:noWrap/>
            <w:vAlign w:val="center"/>
            <w:hideMark/>
          </w:tcPr>
          <w:p w14:paraId="3DDAB686" w14:textId="77777777" w:rsidR="00A06C74" w:rsidRPr="00E44C48" w:rsidRDefault="00A06C74" w:rsidP="00BF715B">
            <w:pPr>
              <w:jc w:val="right"/>
              <w:rPr>
                <w:rFonts w:cs="Arial"/>
                <w:color w:val="000000"/>
                <w:sz w:val="20"/>
                <w:szCs w:val="20"/>
              </w:rPr>
            </w:pPr>
            <w:r w:rsidRPr="00E44C48">
              <w:rPr>
                <w:rFonts w:cs="Arial"/>
                <w:color w:val="000000"/>
                <w:sz w:val="20"/>
                <w:szCs w:val="20"/>
              </w:rPr>
              <w:t>0,79</w:t>
            </w:r>
          </w:p>
        </w:tc>
        <w:tc>
          <w:tcPr>
            <w:tcW w:w="802" w:type="pct"/>
            <w:tcBorders>
              <w:top w:val="nil"/>
              <w:left w:val="single" w:sz="4" w:space="0" w:color="auto"/>
              <w:bottom w:val="nil"/>
              <w:right w:val="single" w:sz="4" w:space="0" w:color="auto"/>
            </w:tcBorders>
            <w:shd w:val="clear" w:color="auto" w:fill="auto"/>
            <w:noWrap/>
            <w:vAlign w:val="center"/>
            <w:hideMark/>
          </w:tcPr>
          <w:p w14:paraId="0A9910B8" w14:textId="77777777" w:rsidR="00A06C74" w:rsidRPr="00E44C48" w:rsidRDefault="00A06C74" w:rsidP="00BF715B">
            <w:pPr>
              <w:jc w:val="right"/>
              <w:rPr>
                <w:rFonts w:cs="Arial"/>
                <w:color w:val="000000"/>
                <w:sz w:val="20"/>
                <w:szCs w:val="20"/>
              </w:rPr>
            </w:pPr>
            <w:r w:rsidRPr="00E44C48">
              <w:rPr>
                <w:rFonts w:cs="Arial"/>
                <w:color w:val="000000"/>
                <w:sz w:val="20"/>
                <w:szCs w:val="20"/>
              </w:rPr>
              <w:t>30.318.861</w:t>
            </w:r>
          </w:p>
        </w:tc>
        <w:tc>
          <w:tcPr>
            <w:tcW w:w="802" w:type="pct"/>
            <w:tcBorders>
              <w:top w:val="nil"/>
              <w:left w:val="nil"/>
              <w:bottom w:val="nil"/>
            </w:tcBorders>
            <w:shd w:val="clear" w:color="auto" w:fill="auto"/>
            <w:noWrap/>
            <w:vAlign w:val="center"/>
            <w:hideMark/>
          </w:tcPr>
          <w:p w14:paraId="2D2314BF" w14:textId="77777777" w:rsidR="00A06C74" w:rsidRPr="00E44C48" w:rsidRDefault="00A06C74" w:rsidP="00BF715B">
            <w:pPr>
              <w:jc w:val="right"/>
              <w:rPr>
                <w:rFonts w:cs="Arial"/>
                <w:color w:val="000000"/>
                <w:sz w:val="20"/>
                <w:szCs w:val="20"/>
              </w:rPr>
            </w:pPr>
            <w:r w:rsidRPr="00E44C48">
              <w:rPr>
                <w:rFonts w:cs="Arial"/>
                <w:color w:val="000000"/>
                <w:sz w:val="20"/>
                <w:szCs w:val="20"/>
              </w:rPr>
              <w:t>30.036.004</w:t>
            </w:r>
          </w:p>
        </w:tc>
      </w:tr>
      <w:tr w:rsidR="00A06C74" w:rsidRPr="00E44C48" w14:paraId="046B20C0" w14:textId="77777777" w:rsidTr="00BF715B">
        <w:trPr>
          <w:trHeight w:val="340"/>
        </w:trPr>
        <w:tc>
          <w:tcPr>
            <w:tcW w:w="2138" w:type="pct"/>
            <w:tcBorders>
              <w:top w:val="nil"/>
              <w:left w:val="nil"/>
              <w:bottom w:val="nil"/>
              <w:right w:val="nil"/>
            </w:tcBorders>
            <w:shd w:val="clear" w:color="auto" w:fill="auto"/>
            <w:noWrap/>
            <w:vAlign w:val="center"/>
            <w:hideMark/>
          </w:tcPr>
          <w:p w14:paraId="6342ED8D" w14:textId="77777777" w:rsidR="00A06C74" w:rsidRPr="00E44C48" w:rsidRDefault="00A06C74" w:rsidP="001E762F">
            <w:pPr>
              <w:ind w:left="75"/>
              <w:jc w:val="left"/>
              <w:rPr>
                <w:rFonts w:cs="Arial"/>
                <w:color w:val="000000"/>
                <w:sz w:val="20"/>
                <w:szCs w:val="20"/>
              </w:rPr>
            </w:pPr>
            <w:r w:rsidRPr="00E44C48">
              <w:rPr>
                <w:rFonts w:cs="Arial"/>
                <w:color w:val="000000"/>
                <w:sz w:val="20"/>
                <w:szCs w:val="20"/>
              </w:rPr>
              <w:t>Vigilância Epidemiológica</w:t>
            </w:r>
          </w:p>
        </w:tc>
        <w:tc>
          <w:tcPr>
            <w:tcW w:w="802" w:type="pct"/>
            <w:tcBorders>
              <w:top w:val="nil"/>
              <w:left w:val="single" w:sz="4" w:space="0" w:color="auto"/>
              <w:bottom w:val="nil"/>
              <w:right w:val="single" w:sz="4" w:space="0" w:color="auto"/>
            </w:tcBorders>
            <w:shd w:val="clear" w:color="auto" w:fill="auto"/>
            <w:noWrap/>
            <w:vAlign w:val="center"/>
            <w:hideMark/>
          </w:tcPr>
          <w:p w14:paraId="19A026F2" w14:textId="77777777" w:rsidR="00A06C74" w:rsidRPr="00E44C48" w:rsidRDefault="00A06C74" w:rsidP="00BF715B">
            <w:pPr>
              <w:jc w:val="right"/>
              <w:rPr>
                <w:rFonts w:cs="Arial"/>
                <w:color w:val="000000"/>
                <w:sz w:val="20"/>
                <w:szCs w:val="20"/>
              </w:rPr>
            </w:pPr>
            <w:r w:rsidRPr="00E44C48">
              <w:rPr>
                <w:rFonts w:cs="Arial"/>
                <w:color w:val="000000"/>
                <w:sz w:val="20"/>
                <w:szCs w:val="20"/>
              </w:rPr>
              <w:t>34.485.732</w:t>
            </w:r>
          </w:p>
        </w:tc>
        <w:tc>
          <w:tcPr>
            <w:tcW w:w="455" w:type="pct"/>
            <w:tcBorders>
              <w:top w:val="nil"/>
              <w:left w:val="nil"/>
              <w:bottom w:val="nil"/>
              <w:right w:val="nil"/>
            </w:tcBorders>
            <w:shd w:val="clear" w:color="auto" w:fill="auto"/>
            <w:noWrap/>
            <w:vAlign w:val="center"/>
            <w:hideMark/>
          </w:tcPr>
          <w:p w14:paraId="3002DAE5" w14:textId="77777777" w:rsidR="00A06C74" w:rsidRPr="00E44C48" w:rsidRDefault="00A06C74" w:rsidP="00BF715B">
            <w:pPr>
              <w:jc w:val="right"/>
              <w:rPr>
                <w:rFonts w:cs="Arial"/>
                <w:color w:val="000000"/>
                <w:sz w:val="20"/>
                <w:szCs w:val="20"/>
              </w:rPr>
            </w:pPr>
            <w:r w:rsidRPr="00E44C48">
              <w:rPr>
                <w:rFonts w:cs="Arial"/>
                <w:color w:val="000000"/>
                <w:sz w:val="20"/>
                <w:szCs w:val="20"/>
              </w:rPr>
              <w:t>0,69</w:t>
            </w:r>
          </w:p>
        </w:tc>
        <w:tc>
          <w:tcPr>
            <w:tcW w:w="802" w:type="pct"/>
            <w:tcBorders>
              <w:top w:val="nil"/>
              <w:left w:val="single" w:sz="4" w:space="0" w:color="auto"/>
              <w:bottom w:val="nil"/>
              <w:right w:val="single" w:sz="4" w:space="0" w:color="auto"/>
            </w:tcBorders>
            <w:shd w:val="clear" w:color="auto" w:fill="auto"/>
            <w:noWrap/>
            <w:vAlign w:val="center"/>
            <w:hideMark/>
          </w:tcPr>
          <w:p w14:paraId="789459E1" w14:textId="77777777" w:rsidR="00A06C74" w:rsidRPr="00E44C48" w:rsidRDefault="00A06C74" w:rsidP="00BF715B">
            <w:pPr>
              <w:jc w:val="right"/>
              <w:rPr>
                <w:rFonts w:cs="Arial"/>
                <w:color w:val="000000"/>
                <w:sz w:val="20"/>
                <w:szCs w:val="20"/>
              </w:rPr>
            </w:pPr>
            <w:r w:rsidRPr="00E44C48">
              <w:rPr>
                <w:rFonts w:cs="Arial"/>
                <w:color w:val="000000"/>
                <w:sz w:val="20"/>
                <w:szCs w:val="20"/>
              </w:rPr>
              <w:t>26.764.375</w:t>
            </w:r>
          </w:p>
        </w:tc>
        <w:tc>
          <w:tcPr>
            <w:tcW w:w="802" w:type="pct"/>
            <w:tcBorders>
              <w:top w:val="nil"/>
              <w:left w:val="nil"/>
              <w:bottom w:val="nil"/>
            </w:tcBorders>
            <w:shd w:val="clear" w:color="auto" w:fill="auto"/>
            <w:noWrap/>
            <w:vAlign w:val="center"/>
            <w:hideMark/>
          </w:tcPr>
          <w:p w14:paraId="6E491302" w14:textId="77777777" w:rsidR="00A06C74" w:rsidRPr="00E44C48" w:rsidRDefault="00A06C74" w:rsidP="00BF715B">
            <w:pPr>
              <w:jc w:val="right"/>
              <w:rPr>
                <w:rFonts w:cs="Arial"/>
                <w:color w:val="000000"/>
                <w:sz w:val="20"/>
                <w:szCs w:val="20"/>
              </w:rPr>
            </w:pPr>
            <w:r w:rsidRPr="00E44C48">
              <w:rPr>
                <w:rFonts w:cs="Arial"/>
                <w:color w:val="000000"/>
                <w:sz w:val="20"/>
                <w:szCs w:val="20"/>
              </w:rPr>
              <w:t>26.752.054</w:t>
            </w:r>
          </w:p>
        </w:tc>
      </w:tr>
      <w:tr w:rsidR="00A06C74" w:rsidRPr="00E44C48" w14:paraId="0AC895DB" w14:textId="77777777" w:rsidTr="00BF715B">
        <w:trPr>
          <w:trHeight w:val="340"/>
        </w:trPr>
        <w:tc>
          <w:tcPr>
            <w:tcW w:w="2138" w:type="pct"/>
            <w:tcBorders>
              <w:top w:val="nil"/>
              <w:left w:val="nil"/>
              <w:bottom w:val="nil"/>
              <w:right w:val="nil"/>
            </w:tcBorders>
            <w:shd w:val="clear" w:color="auto" w:fill="auto"/>
            <w:noWrap/>
            <w:vAlign w:val="center"/>
            <w:hideMark/>
          </w:tcPr>
          <w:p w14:paraId="1CD42451" w14:textId="77777777" w:rsidR="00A06C74" w:rsidRPr="00E44C48" w:rsidRDefault="00A06C74" w:rsidP="001E762F">
            <w:pPr>
              <w:ind w:left="75"/>
              <w:jc w:val="left"/>
              <w:rPr>
                <w:rFonts w:cs="Arial"/>
                <w:color w:val="000000"/>
                <w:sz w:val="20"/>
                <w:szCs w:val="20"/>
              </w:rPr>
            </w:pPr>
            <w:r w:rsidRPr="00E44C48">
              <w:rPr>
                <w:rFonts w:cs="Arial"/>
                <w:color w:val="000000"/>
                <w:sz w:val="20"/>
                <w:szCs w:val="20"/>
              </w:rPr>
              <w:t>Alimentação e Nutrição</w:t>
            </w:r>
          </w:p>
        </w:tc>
        <w:tc>
          <w:tcPr>
            <w:tcW w:w="802" w:type="pct"/>
            <w:tcBorders>
              <w:top w:val="nil"/>
              <w:left w:val="single" w:sz="4" w:space="0" w:color="auto"/>
              <w:bottom w:val="nil"/>
              <w:right w:val="single" w:sz="4" w:space="0" w:color="auto"/>
            </w:tcBorders>
            <w:shd w:val="clear" w:color="auto" w:fill="auto"/>
            <w:noWrap/>
            <w:vAlign w:val="center"/>
            <w:hideMark/>
          </w:tcPr>
          <w:p w14:paraId="1182049B" w14:textId="77777777" w:rsidR="00A06C74" w:rsidRPr="00E44C48" w:rsidRDefault="00A06C74" w:rsidP="00BF715B">
            <w:pPr>
              <w:jc w:val="right"/>
              <w:rPr>
                <w:rFonts w:cs="Arial"/>
                <w:color w:val="000000"/>
                <w:sz w:val="20"/>
                <w:szCs w:val="20"/>
              </w:rPr>
            </w:pPr>
            <w:r w:rsidRPr="00E44C48">
              <w:rPr>
                <w:rFonts w:cs="Arial"/>
                <w:color w:val="000000"/>
                <w:sz w:val="20"/>
                <w:szCs w:val="20"/>
              </w:rPr>
              <w:t>30.242.998</w:t>
            </w:r>
          </w:p>
        </w:tc>
        <w:tc>
          <w:tcPr>
            <w:tcW w:w="455" w:type="pct"/>
            <w:tcBorders>
              <w:top w:val="nil"/>
              <w:left w:val="nil"/>
              <w:bottom w:val="nil"/>
              <w:right w:val="nil"/>
            </w:tcBorders>
            <w:shd w:val="clear" w:color="auto" w:fill="auto"/>
            <w:noWrap/>
            <w:vAlign w:val="center"/>
            <w:hideMark/>
          </w:tcPr>
          <w:p w14:paraId="43F7653B" w14:textId="77777777" w:rsidR="00A06C74" w:rsidRPr="00E44C48" w:rsidRDefault="00A06C74" w:rsidP="00BF715B">
            <w:pPr>
              <w:jc w:val="right"/>
              <w:rPr>
                <w:rFonts w:cs="Arial"/>
                <w:color w:val="000000"/>
                <w:sz w:val="20"/>
                <w:szCs w:val="20"/>
              </w:rPr>
            </w:pPr>
            <w:r w:rsidRPr="00E44C48">
              <w:rPr>
                <w:rFonts w:cs="Arial"/>
                <w:color w:val="000000"/>
                <w:sz w:val="20"/>
                <w:szCs w:val="20"/>
              </w:rPr>
              <w:t>0,60</w:t>
            </w:r>
          </w:p>
        </w:tc>
        <w:tc>
          <w:tcPr>
            <w:tcW w:w="802" w:type="pct"/>
            <w:tcBorders>
              <w:top w:val="nil"/>
              <w:left w:val="single" w:sz="4" w:space="0" w:color="auto"/>
              <w:bottom w:val="nil"/>
              <w:right w:val="single" w:sz="4" w:space="0" w:color="auto"/>
            </w:tcBorders>
            <w:shd w:val="clear" w:color="auto" w:fill="auto"/>
            <w:noWrap/>
            <w:vAlign w:val="center"/>
            <w:hideMark/>
          </w:tcPr>
          <w:p w14:paraId="04F367BF" w14:textId="77777777" w:rsidR="00A06C74" w:rsidRPr="00E44C48" w:rsidRDefault="00A06C74" w:rsidP="00BF715B">
            <w:pPr>
              <w:jc w:val="right"/>
              <w:rPr>
                <w:rFonts w:cs="Arial"/>
                <w:color w:val="000000"/>
                <w:sz w:val="20"/>
                <w:szCs w:val="20"/>
              </w:rPr>
            </w:pPr>
            <w:r w:rsidRPr="00E44C48">
              <w:rPr>
                <w:rFonts w:cs="Arial"/>
                <w:color w:val="000000"/>
                <w:sz w:val="20"/>
                <w:szCs w:val="20"/>
              </w:rPr>
              <w:t>19.564.767</w:t>
            </w:r>
          </w:p>
        </w:tc>
        <w:tc>
          <w:tcPr>
            <w:tcW w:w="802" w:type="pct"/>
            <w:tcBorders>
              <w:top w:val="nil"/>
              <w:left w:val="nil"/>
              <w:bottom w:val="nil"/>
            </w:tcBorders>
            <w:shd w:val="clear" w:color="auto" w:fill="auto"/>
            <w:noWrap/>
            <w:vAlign w:val="center"/>
            <w:hideMark/>
          </w:tcPr>
          <w:p w14:paraId="08DFBFAA" w14:textId="77777777" w:rsidR="00A06C74" w:rsidRPr="00E44C48" w:rsidRDefault="00A06C74" w:rsidP="00BF715B">
            <w:pPr>
              <w:jc w:val="right"/>
              <w:rPr>
                <w:rFonts w:cs="Arial"/>
                <w:color w:val="000000"/>
                <w:sz w:val="20"/>
                <w:szCs w:val="20"/>
              </w:rPr>
            </w:pPr>
            <w:r w:rsidRPr="00E44C48">
              <w:rPr>
                <w:rFonts w:cs="Arial"/>
                <w:color w:val="000000"/>
                <w:sz w:val="20"/>
                <w:szCs w:val="20"/>
              </w:rPr>
              <w:t>19.564.767</w:t>
            </w:r>
          </w:p>
        </w:tc>
      </w:tr>
      <w:tr w:rsidR="00A06C74" w:rsidRPr="00E44C48" w14:paraId="6B209394" w14:textId="77777777" w:rsidTr="00BF715B">
        <w:trPr>
          <w:trHeight w:val="340"/>
        </w:trPr>
        <w:tc>
          <w:tcPr>
            <w:tcW w:w="2138" w:type="pct"/>
            <w:tcBorders>
              <w:top w:val="nil"/>
              <w:left w:val="nil"/>
              <w:bottom w:val="nil"/>
              <w:right w:val="nil"/>
            </w:tcBorders>
            <w:shd w:val="clear" w:color="auto" w:fill="auto"/>
            <w:noWrap/>
            <w:vAlign w:val="center"/>
            <w:hideMark/>
          </w:tcPr>
          <w:p w14:paraId="4C29B5C5" w14:textId="77777777" w:rsidR="00A06C74" w:rsidRPr="00E44C48" w:rsidRDefault="00A06C74" w:rsidP="001E762F">
            <w:pPr>
              <w:ind w:left="75"/>
              <w:jc w:val="left"/>
              <w:rPr>
                <w:rFonts w:cs="Arial"/>
                <w:color w:val="000000"/>
                <w:sz w:val="20"/>
                <w:szCs w:val="20"/>
              </w:rPr>
            </w:pPr>
            <w:r w:rsidRPr="00E44C48">
              <w:rPr>
                <w:rFonts w:cs="Arial"/>
                <w:color w:val="000000"/>
                <w:sz w:val="20"/>
                <w:szCs w:val="20"/>
              </w:rPr>
              <w:t>Vigilância Sanitária</w:t>
            </w:r>
          </w:p>
        </w:tc>
        <w:tc>
          <w:tcPr>
            <w:tcW w:w="802" w:type="pct"/>
            <w:tcBorders>
              <w:top w:val="nil"/>
              <w:left w:val="single" w:sz="4" w:space="0" w:color="auto"/>
              <w:bottom w:val="nil"/>
              <w:right w:val="single" w:sz="4" w:space="0" w:color="auto"/>
            </w:tcBorders>
            <w:shd w:val="clear" w:color="auto" w:fill="auto"/>
            <w:noWrap/>
            <w:vAlign w:val="center"/>
            <w:hideMark/>
          </w:tcPr>
          <w:p w14:paraId="772F1DC8" w14:textId="77777777" w:rsidR="00A06C74" w:rsidRPr="00E44C48" w:rsidRDefault="00A06C74" w:rsidP="00BF715B">
            <w:pPr>
              <w:jc w:val="right"/>
              <w:rPr>
                <w:rFonts w:cs="Arial"/>
                <w:color w:val="000000"/>
                <w:sz w:val="20"/>
                <w:szCs w:val="20"/>
              </w:rPr>
            </w:pPr>
            <w:r w:rsidRPr="00E44C48">
              <w:rPr>
                <w:rFonts w:cs="Arial"/>
                <w:color w:val="000000"/>
                <w:sz w:val="20"/>
                <w:szCs w:val="20"/>
              </w:rPr>
              <w:t>9.032.813</w:t>
            </w:r>
          </w:p>
        </w:tc>
        <w:tc>
          <w:tcPr>
            <w:tcW w:w="455" w:type="pct"/>
            <w:tcBorders>
              <w:top w:val="nil"/>
              <w:left w:val="nil"/>
              <w:bottom w:val="nil"/>
              <w:right w:val="nil"/>
            </w:tcBorders>
            <w:shd w:val="clear" w:color="auto" w:fill="auto"/>
            <w:noWrap/>
            <w:vAlign w:val="center"/>
            <w:hideMark/>
          </w:tcPr>
          <w:p w14:paraId="65966BFA" w14:textId="77777777" w:rsidR="00A06C74" w:rsidRPr="00E44C48" w:rsidRDefault="00A06C74" w:rsidP="00BF715B">
            <w:pPr>
              <w:jc w:val="right"/>
              <w:rPr>
                <w:rFonts w:cs="Arial"/>
                <w:color w:val="000000"/>
                <w:sz w:val="20"/>
                <w:szCs w:val="20"/>
              </w:rPr>
            </w:pPr>
            <w:r w:rsidRPr="00E44C48">
              <w:rPr>
                <w:rFonts w:cs="Arial"/>
                <w:color w:val="000000"/>
                <w:sz w:val="20"/>
                <w:szCs w:val="20"/>
              </w:rPr>
              <w:t>0,18</w:t>
            </w:r>
          </w:p>
        </w:tc>
        <w:tc>
          <w:tcPr>
            <w:tcW w:w="802" w:type="pct"/>
            <w:tcBorders>
              <w:top w:val="nil"/>
              <w:left w:val="single" w:sz="4" w:space="0" w:color="auto"/>
              <w:bottom w:val="nil"/>
              <w:right w:val="single" w:sz="4" w:space="0" w:color="auto"/>
            </w:tcBorders>
            <w:shd w:val="clear" w:color="auto" w:fill="auto"/>
            <w:noWrap/>
            <w:vAlign w:val="center"/>
            <w:hideMark/>
          </w:tcPr>
          <w:p w14:paraId="56B94C6E" w14:textId="77777777" w:rsidR="00A06C74" w:rsidRPr="00E44C48" w:rsidRDefault="00A06C74" w:rsidP="00BF715B">
            <w:pPr>
              <w:jc w:val="right"/>
              <w:rPr>
                <w:rFonts w:cs="Arial"/>
                <w:color w:val="000000"/>
                <w:sz w:val="20"/>
                <w:szCs w:val="20"/>
              </w:rPr>
            </w:pPr>
            <w:r w:rsidRPr="00E44C48">
              <w:rPr>
                <w:rFonts w:cs="Arial"/>
                <w:color w:val="000000"/>
                <w:sz w:val="20"/>
                <w:szCs w:val="20"/>
              </w:rPr>
              <w:t>8.599.338</w:t>
            </w:r>
          </w:p>
        </w:tc>
        <w:tc>
          <w:tcPr>
            <w:tcW w:w="802" w:type="pct"/>
            <w:tcBorders>
              <w:top w:val="nil"/>
              <w:left w:val="nil"/>
              <w:bottom w:val="nil"/>
            </w:tcBorders>
            <w:shd w:val="clear" w:color="auto" w:fill="auto"/>
            <w:noWrap/>
            <w:vAlign w:val="center"/>
            <w:hideMark/>
          </w:tcPr>
          <w:p w14:paraId="1DB60668" w14:textId="77777777" w:rsidR="00A06C74" w:rsidRPr="00E44C48" w:rsidRDefault="00A06C74" w:rsidP="00BF715B">
            <w:pPr>
              <w:jc w:val="right"/>
              <w:rPr>
                <w:rFonts w:cs="Arial"/>
                <w:color w:val="000000"/>
                <w:sz w:val="20"/>
                <w:szCs w:val="20"/>
              </w:rPr>
            </w:pPr>
            <w:r w:rsidRPr="00E44C48">
              <w:rPr>
                <w:rFonts w:cs="Arial"/>
                <w:color w:val="000000"/>
                <w:sz w:val="20"/>
                <w:szCs w:val="20"/>
              </w:rPr>
              <w:t>8.593.731</w:t>
            </w:r>
          </w:p>
        </w:tc>
      </w:tr>
      <w:tr w:rsidR="00A06C74" w:rsidRPr="00E44C48" w14:paraId="50442466" w14:textId="77777777" w:rsidTr="00BF715B">
        <w:trPr>
          <w:trHeight w:val="340"/>
        </w:trPr>
        <w:tc>
          <w:tcPr>
            <w:tcW w:w="2138" w:type="pct"/>
            <w:tcBorders>
              <w:top w:val="nil"/>
              <w:left w:val="nil"/>
              <w:bottom w:val="nil"/>
              <w:right w:val="nil"/>
            </w:tcBorders>
            <w:shd w:val="clear" w:color="auto" w:fill="auto"/>
            <w:noWrap/>
            <w:vAlign w:val="center"/>
            <w:hideMark/>
          </w:tcPr>
          <w:p w14:paraId="5BCA7FC3" w14:textId="77777777" w:rsidR="00A06C74" w:rsidRPr="00E44C48" w:rsidRDefault="00A06C74" w:rsidP="001E762F">
            <w:pPr>
              <w:ind w:left="75"/>
              <w:jc w:val="left"/>
              <w:rPr>
                <w:rFonts w:cs="Arial"/>
                <w:color w:val="000000"/>
                <w:sz w:val="20"/>
                <w:szCs w:val="20"/>
              </w:rPr>
            </w:pPr>
            <w:r w:rsidRPr="00E44C48">
              <w:rPr>
                <w:rFonts w:cs="Arial"/>
                <w:color w:val="000000"/>
                <w:sz w:val="20"/>
                <w:szCs w:val="20"/>
              </w:rPr>
              <w:t>Assistência Comunitária</w:t>
            </w:r>
          </w:p>
        </w:tc>
        <w:tc>
          <w:tcPr>
            <w:tcW w:w="802" w:type="pct"/>
            <w:tcBorders>
              <w:top w:val="nil"/>
              <w:left w:val="single" w:sz="4" w:space="0" w:color="auto"/>
              <w:bottom w:val="nil"/>
              <w:right w:val="single" w:sz="4" w:space="0" w:color="auto"/>
            </w:tcBorders>
            <w:shd w:val="clear" w:color="auto" w:fill="auto"/>
            <w:noWrap/>
            <w:vAlign w:val="center"/>
            <w:hideMark/>
          </w:tcPr>
          <w:p w14:paraId="0294445E" w14:textId="77777777" w:rsidR="00A06C74" w:rsidRPr="00E44C48" w:rsidRDefault="00A06C74" w:rsidP="00BF715B">
            <w:pPr>
              <w:jc w:val="right"/>
              <w:rPr>
                <w:rFonts w:cs="Arial"/>
                <w:color w:val="000000"/>
                <w:sz w:val="20"/>
                <w:szCs w:val="20"/>
              </w:rPr>
            </w:pPr>
            <w:r w:rsidRPr="00E44C48">
              <w:rPr>
                <w:rFonts w:cs="Arial"/>
                <w:color w:val="000000"/>
                <w:sz w:val="20"/>
                <w:szCs w:val="20"/>
              </w:rPr>
              <w:t>921.500</w:t>
            </w:r>
          </w:p>
        </w:tc>
        <w:tc>
          <w:tcPr>
            <w:tcW w:w="455" w:type="pct"/>
            <w:tcBorders>
              <w:top w:val="nil"/>
              <w:left w:val="nil"/>
              <w:bottom w:val="nil"/>
              <w:right w:val="nil"/>
            </w:tcBorders>
            <w:shd w:val="clear" w:color="auto" w:fill="auto"/>
            <w:noWrap/>
            <w:vAlign w:val="center"/>
            <w:hideMark/>
          </w:tcPr>
          <w:p w14:paraId="0D0F8C8A" w14:textId="77777777" w:rsidR="00A06C74" w:rsidRPr="00E44C48" w:rsidRDefault="00A06C74" w:rsidP="00BF715B">
            <w:pPr>
              <w:jc w:val="right"/>
              <w:rPr>
                <w:rFonts w:cs="Arial"/>
                <w:color w:val="000000"/>
                <w:sz w:val="20"/>
                <w:szCs w:val="20"/>
              </w:rPr>
            </w:pPr>
            <w:r w:rsidRPr="00E44C48">
              <w:rPr>
                <w:rFonts w:cs="Arial"/>
                <w:color w:val="000000"/>
                <w:sz w:val="20"/>
                <w:szCs w:val="20"/>
              </w:rPr>
              <w:t>0,02</w:t>
            </w:r>
          </w:p>
        </w:tc>
        <w:tc>
          <w:tcPr>
            <w:tcW w:w="802" w:type="pct"/>
            <w:tcBorders>
              <w:top w:val="nil"/>
              <w:left w:val="single" w:sz="4" w:space="0" w:color="auto"/>
              <w:bottom w:val="nil"/>
              <w:right w:val="single" w:sz="4" w:space="0" w:color="auto"/>
            </w:tcBorders>
            <w:shd w:val="clear" w:color="auto" w:fill="auto"/>
            <w:noWrap/>
            <w:vAlign w:val="center"/>
            <w:hideMark/>
          </w:tcPr>
          <w:p w14:paraId="288F3B11" w14:textId="77777777" w:rsidR="00A06C74" w:rsidRPr="00E44C48" w:rsidRDefault="00A06C74" w:rsidP="00BF715B">
            <w:pPr>
              <w:jc w:val="right"/>
              <w:rPr>
                <w:rFonts w:cs="Arial"/>
                <w:color w:val="000000"/>
                <w:sz w:val="20"/>
                <w:szCs w:val="20"/>
              </w:rPr>
            </w:pPr>
            <w:r w:rsidRPr="00E44C48">
              <w:rPr>
                <w:rFonts w:cs="Arial"/>
                <w:color w:val="000000"/>
                <w:sz w:val="20"/>
                <w:szCs w:val="20"/>
              </w:rPr>
              <w:t>884.720</w:t>
            </w:r>
          </w:p>
        </w:tc>
        <w:tc>
          <w:tcPr>
            <w:tcW w:w="802" w:type="pct"/>
            <w:tcBorders>
              <w:top w:val="nil"/>
              <w:left w:val="nil"/>
              <w:bottom w:val="nil"/>
            </w:tcBorders>
            <w:shd w:val="clear" w:color="auto" w:fill="auto"/>
            <w:noWrap/>
            <w:vAlign w:val="center"/>
            <w:hideMark/>
          </w:tcPr>
          <w:p w14:paraId="19D9B6BD" w14:textId="77777777" w:rsidR="00A06C74" w:rsidRPr="00E44C48" w:rsidRDefault="00A06C74" w:rsidP="00BF715B">
            <w:pPr>
              <w:jc w:val="right"/>
              <w:rPr>
                <w:rFonts w:cs="Arial"/>
                <w:color w:val="000000"/>
                <w:sz w:val="20"/>
                <w:szCs w:val="20"/>
              </w:rPr>
            </w:pPr>
            <w:r w:rsidRPr="00E44C48">
              <w:rPr>
                <w:rFonts w:cs="Arial"/>
                <w:color w:val="000000"/>
                <w:sz w:val="20"/>
                <w:szCs w:val="20"/>
              </w:rPr>
              <w:t>884.720</w:t>
            </w:r>
          </w:p>
        </w:tc>
      </w:tr>
      <w:tr w:rsidR="00A06C74" w:rsidRPr="00E44C48" w14:paraId="357E3485" w14:textId="77777777" w:rsidTr="00BF715B">
        <w:trPr>
          <w:trHeight w:val="340"/>
        </w:trPr>
        <w:tc>
          <w:tcPr>
            <w:tcW w:w="2138" w:type="pct"/>
            <w:tcBorders>
              <w:top w:val="nil"/>
              <w:left w:val="nil"/>
              <w:bottom w:val="nil"/>
              <w:right w:val="nil"/>
            </w:tcBorders>
            <w:shd w:val="clear" w:color="auto" w:fill="auto"/>
            <w:noWrap/>
            <w:vAlign w:val="center"/>
            <w:hideMark/>
          </w:tcPr>
          <w:p w14:paraId="613533EF" w14:textId="77777777" w:rsidR="00A06C74" w:rsidRPr="00E44C48" w:rsidRDefault="00A06C74" w:rsidP="001E762F">
            <w:pPr>
              <w:ind w:left="75"/>
              <w:jc w:val="left"/>
              <w:rPr>
                <w:rFonts w:cs="Arial"/>
                <w:color w:val="000000"/>
                <w:sz w:val="20"/>
                <w:szCs w:val="20"/>
              </w:rPr>
            </w:pPr>
            <w:r w:rsidRPr="00E44C48">
              <w:rPr>
                <w:rFonts w:cs="Arial"/>
                <w:color w:val="000000"/>
                <w:sz w:val="20"/>
                <w:szCs w:val="20"/>
              </w:rPr>
              <w:t>Controle Externo</w:t>
            </w:r>
          </w:p>
        </w:tc>
        <w:tc>
          <w:tcPr>
            <w:tcW w:w="802" w:type="pct"/>
            <w:tcBorders>
              <w:top w:val="nil"/>
              <w:left w:val="single" w:sz="4" w:space="0" w:color="auto"/>
              <w:bottom w:val="nil"/>
              <w:right w:val="single" w:sz="4" w:space="0" w:color="auto"/>
            </w:tcBorders>
            <w:shd w:val="clear" w:color="auto" w:fill="auto"/>
            <w:noWrap/>
            <w:vAlign w:val="center"/>
            <w:hideMark/>
          </w:tcPr>
          <w:p w14:paraId="511635EF" w14:textId="77777777" w:rsidR="00A06C74" w:rsidRPr="00E44C48" w:rsidRDefault="00A06C74" w:rsidP="00BF715B">
            <w:pPr>
              <w:jc w:val="right"/>
              <w:rPr>
                <w:rFonts w:cs="Arial"/>
                <w:color w:val="000000"/>
                <w:sz w:val="20"/>
                <w:szCs w:val="20"/>
              </w:rPr>
            </w:pPr>
            <w:r w:rsidRPr="00E44C48">
              <w:rPr>
                <w:rFonts w:cs="Arial"/>
                <w:color w:val="000000"/>
                <w:sz w:val="20"/>
                <w:szCs w:val="20"/>
              </w:rPr>
              <w:t>690.789</w:t>
            </w:r>
          </w:p>
        </w:tc>
        <w:tc>
          <w:tcPr>
            <w:tcW w:w="455" w:type="pct"/>
            <w:tcBorders>
              <w:top w:val="nil"/>
              <w:left w:val="nil"/>
              <w:bottom w:val="nil"/>
              <w:right w:val="nil"/>
            </w:tcBorders>
            <w:shd w:val="clear" w:color="auto" w:fill="auto"/>
            <w:noWrap/>
            <w:vAlign w:val="center"/>
            <w:hideMark/>
          </w:tcPr>
          <w:p w14:paraId="5C1FF10F" w14:textId="77777777" w:rsidR="00A06C74" w:rsidRPr="00E44C48" w:rsidRDefault="00A06C74" w:rsidP="00BF715B">
            <w:pPr>
              <w:jc w:val="right"/>
              <w:rPr>
                <w:rFonts w:cs="Arial"/>
                <w:color w:val="000000"/>
                <w:sz w:val="20"/>
                <w:szCs w:val="20"/>
              </w:rPr>
            </w:pPr>
            <w:r w:rsidRPr="00E44C48">
              <w:rPr>
                <w:rFonts w:cs="Arial"/>
                <w:color w:val="000000"/>
                <w:sz w:val="20"/>
                <w:szCs w:val="20"/>
              </w:rPr>
              <w:t>0,01</w:t>
            </w:r>
          </w:p>
        </w:tc>
        <w:tc>
          <w:tcPr>
            <w:tcW w:w="802" w:type="pct"/>
            <w:tcBorders>
              <w:top w:val="nil"/>
              <w:left w:val="single" w:sz="4" w:space="0" w:color="auto"/>
              <w:bottom w:val="nil"/>
              <w:right w:val="single" w:sz="4" w:space="0" w:color="auto"/>
            </w:tcBorders>
            <w:shd w:val="clear" w:color="auto" w:fill="auto"/>
            <w:noWrap/>
            <w:vAlign w:val="center"/>
            <w:hideMark/>
          </w:tcPr>
          <w:p w14:paraId="506FA11E" w14:textId="77777777" w:rsidR="00A06C74" w:rsidRPr="00E44C48" w:rsidRDefault="00A06C74" w:rsidP="00BF715B">
            <w:pPr>
              <w:jc w:val="right"/>
              <w:rPr>
                <w:rFonts w:cs="Arial"/>
                <w:color w:val="000000"/>
                <w:sz w:val="20"/>
                <w:szCs w:val="20"/>
              </w:rPr>
            </w:pPr>
            <w:r w:rsidRPr="00E44C48">
              <w:rPr>
                <w:rFonts w:cs="Arial"/>
                <w:color w:val="000000"/>
                <w:sz w:val="20"/>
                <w:szCs w:val="20"/>
              </w:rPr>
              <w:t>404.639</w:t>
            </w:r>
          </w:p>
        </w:tc>
        <w:tc>
          <w:tcPr>
            <w:tcW w:w="802" w:type="pct"/>
            <w:tcBorders>
              <w:top w:val="nil"/>
              <w:left w:val="nil"/>
              <w:bottom w:val="nil"/>
            </w:tcBorders>
            <w:shd w:val="clear" w:color="auto" w:fill="auto"/>
            <w:noWrap/>
            <w:vAlign w:val="center"/>
            <w:hideMark/>
          </w:tcPr>
          <w:p w14:paraId="6584DF7A" w14:textId="77777777" w:rsidR="00A06C74" w:rsidRPr="00E44C48" w:rsidRDefault="00A06C74" w:rsidP="00BF715B">
            <w:pPr>
              <w:jc w:val="right"/>
              <w:rPr>
                <w:rFonts w:cs="Arial"/>
                <w:color w:val="000000"/>
                <w:sz w:val="20"/>
                <w:szCs w:val="20"/>
              </w:rPr>
            </w:pPr>
            <w:r w:rsidRPr="00E44C48">
              <w:rPr>
                <w:rFonts w:cs="Arial"/>
                <w:color w:val="000000"/>
                <w:sz w:val="20"/>
                <w:szCs w:val="20"/>
              </w:rPr>
              <w:t>404.639</w:t>
            </w:r>
          </w:p>
        </w:tc>
      </w:tr>
      <w:tr w:rsidR="00A06C74" w:rsidRPr="00E44C48" w14:paraId="6D40D8FC" w14:textId="77777777" w:rsidTr="00BF715B">
        <w:trPr>
          <w:trHeight w:val="340"/>
        </w:trPr>
        <w:tc>
          <w:tcPr>
            <w:tcW w:w="2138" w:type="pct"/>
            <w:tcBorders>
              <w:top w:val="nil"/>
              <w:left w:val="nil"/>
              <w:bottom w:val="nil"/>
              <w:right w:val="nil"/>
            </w:tcBorders>
            <w:shd w:val="clear" w:color="auto" w:fill="auto"/>
            <w:noWrap/>
            <w:vAlign w:val="center"/>
            <w:hideMark/>
          </w:tcPr>
          <w:p w14:paraId="45B1AD0E" w14:textId="77777777" w:rsidR="00A06C74" w:rsidRPr="00E44C48" w:rsidRDefault="00A06C74" w:rsidP="001E762F">
            <w:pPr>
              <w:ind w:left="75"/>
              <w:jc w:val="left"/>
              <w:rPr>
                <w:rFonts w:cs="Arial"/>
                <w:color w:val="000000"/>
                <w:sz w:val="20"/>
                <w:szCs w:val="20"/>
              </w:rPr>
            </w:pPr>
            <w:r w:rsidRPr="00E44C48">
              <w:rPr>
                <w:rFonts w:cs="Arial"/>
                <w:color w:val="000000"/>
                <w:sz w:val="20"/>
                <w:szCs w:val="20"/>
              </w:rPr>
              <w:t>Comunicação Social</w:t>
            </w:r>
          </w:p>
        </w:tc>
        <w:tc>
          <w:tcPr>
            <w:tcW w:w="802" w:type="pct"/>
            <w:tcBorders>
              <w:top w:val="nil"/>
              <w:left w:val="single" w:sz="4" w:space="0" w:color="auto"/>
              <w:bottom w:val="nil"/>
              <w:right w:val="single" w:sz="4" w:space="0" w:color="auto"/>
            </w:tcBorders>
            <w:shd w:val="clear" w:color="auto" w:fill="auto"/>
            <w:noWrap/>
            <w:vAlign w:val="center"/>
            <w:hideMark/>
          </w:tcPr>
          <w:p w14:paraId="4C48CAA7" w14:textId="77777777" w:rsidR="00A06C74" w:rsidRPr="00E44C48" w:rsidRDefault="00A06C74" w:rsidP="00BF715B">
            <w:pPr>
              <w:jc w:val="right"/>
              <w:rPr>
                <w:rFonts w:cs="Arial"/>
                <w:color w:val="000000"/>
                <w:sz w:val="20"/>
                <w:szCs w:val="20"/>
              </w:rPr>
            </w:pPr>
            <w:r w:rsidRPr="00E44C48">
              <w:rPr>
                <w:rFonts w:cs="Arial"/>
                <w:color w:val="000000"/>
                <w:sz w:val="20"/>
                <w:szCs w:val="20"/>
              </w:rPr>
              <w:t>535.739</w:t>
            </w:r>
          </w:p>
        </w:tc>
        <w:tc>
          <w:tcPr>
            <w:tcW w:w="455" w:type="pct"/>
            <w:tcBorders>
              <w:top w:val="nil"/>
              <w:left w:val="nil"/>
              <w:bottom w:val="nil"/>
              <w:right w:val="nil"/>
            </w:tcBorders>
            <w:shd w:val="clear" w:color="auto" w:fill="auto"/>
            <w:noWrap/>
            <w:vAlign w:val="center"/>
            <w:hideMark/>
          </w:tcPr>
          <w:p w14:paraId="1F9336F8" w14:textId="77777777" w:rsidR="00A06C74" w:rsidRPr="00E44C48" w:rsidRDefault="00A06C74" w:rsidP="00BF715B">
            <w:pPr>
              <w:jc w:val="right"/>
              <w:rPr>
                <w:rFonts w:cs="Arial"/>
                <w:color w:val="000000"/>
                <w:sz w:val="20"/>
                <w:szCs w:val="20"/>
              </w:rPr>
            </w:pPr>
            <w:r w:rsidRPr="00E44C48">
              <w:rPr>
                <w:rFonts w:cs="Arial"/>
                <w:color w:val="000000"/>
                <w:sz w:val="20"/>
                <w:szCs w:val="20"/>
              </w:rPr>
              <w:t>0,01</w:t>
            </w:r>
          </w:p>
        </w:tc>
        <w:tc>
          <w:tcPr>
            <w:tcW w:w="802" w:type="pct"/>
            <w:tcBorders>
              <w:top w:val="nil"/>
              <w:left w:val="single" w:sz="4" w:space="0" w:color="auto"/>
              <w:bottom w:val="nil"/>
              <w:right w:val="single" w:sz="4" w:space="0" w:color="auto"/>
            </w:tcBorders>
            <w:shd w:val="clear" w:color="auto" w:fill="auto"/>
            <w:noWrap/>
            <w:vAlign w:val="center"/>
            <w:hideMark/>
          </w:tcPr>
          <w:p w14:paraId="6DB09AD0" w14:textId="77777777" w:rsidR="00A06C74" w:rsidRPr="00E44C48" w:rsidRDefault="00A06C74" w:rsidP="00BF715B">
            <w:pPr>
              <w:jc w:val="right"/>
              <w:rPr>
                <w:rFonts w:cs="Arial"/>
                <w:color w:val="000000"/>
                <w:sz w:val="20"/>
                <w:szCs w:val="20"/>
              </w:rPr>
            </w:pPr>
            <w:r w:rsidRPr="00E44C48">
              <w:rPr>
                <w:rFonts w:cs="Arial"/>
                <w:color w:val="000000"/>
                <w:sz w:val="20"/>
                <w:szCs w:val="20"/>
              </w:rPr>
              <w:t>266.114</w:t>
            </w:r>
          </w:p>
        </w:tc>
        <w:tc>
          <w:tcPr>
            <w:tcW w:w="802" w:type="pct"/>
            <w:tcBorders>
              <w:top w:val="nil"/>
              <w:left w:val="nil"/>
              <w:bottom w:val="nil"/>
            </w:tcBorders>
            <w:shd w:val="clear" w:color="auto" w:fill="auto"/>
            <w:noWrap/>
            <w:vAlign w:val="center"/>
            <w:hideMark/>
          </w:tcPr>
          <w:p w14:paraId="2B300BC9" w14:textId="77777777" w:rsidR="00A06C74" w:rsidRPr="00E44C48" w:rsidRDefault="00A06C74" w:rsidP="00BF715B">
            <w:pPr>
              <w:jc w:val="right"/>
              <w:rPr>
                <w:rFonts w:cs="Arial"/>
                <w:color w:val="000000"/>
                <w:sz w:val="20"/>
                <w:szCs w:val="20"/>
              </w:rPr>
            </w:pPr>
            <w:r w:rsidRPr="00E44C48">
              <w:rPr>
                <w:rFonts w:cs="Arial"/>
                <w:color w:val="000000"/>
                <w:sz w:val="20"/>
                <w:szCs w:val="20"/>
              </w:rPr>
              <w:t>266.114</w:t>
            </w:r>
          </w:p>
        </w:tc>
      </w:tr>
      <w:tr w:rsidR="00A06C74" w:rsidRPr="00E44C48" w14:paraId="3102BC09" w14:textId="77777777" w:rsidTr="00BF715B">
        <w:trPr>
          <w:trHeight w:val="340"/>
        </w:trPr>
        <w:tc>
          <w:tcPr>
            <w:tcW w:w="2138" w:type="pct"/>
            <w:tcBorders>
              <w:top w:val="nil"/>
              <w:left w:val="nil"/>
              <w:bottom w:val="nil"/>
              <w:right w:val="nil"/>
            </w:tcBorders>
            <w:shd w:val="clear" w:color="auto" w:fill="auto"/>
            <w:noWrap/>
            <w:vAlign w:val="center"/>
            <w:hideMark/>
          </w:tcPr>
          <w:p w14:paraId="6BD139E0" w14:textId="77777777" w:rsidR="00A06C74" w:rsidRPr="00E44C48" w:rsidRDefault="00A06C74" w:rsidP="001E762F">
            <w:pPr>
              <w:ind w:left="75"/>
              <w:jc w:val="left"/>
              <w:rPr>
                <w:rFonts w:cs="Arial"/>
                <w:color w:val="000000"/>
                <w:sz w:val="20"/>
                <w:szCs w:val="20"/>
              </w:rPr>
            </w:pPr>
            <w:r w:rsidRPr="00E44C48">
              <w:rPr>
                <w:rFonts w:cs="Arial"/>
                <w:color w:val="000000"/>
                <w:sz w:val="20"/>
                <w:szCs w:val="20"/>
              </w:rPr>
              <w:t>Formação de Recursos Humanos</w:t>
            </w:r>
          </w:p>
        </w:tc>
        <w:tc>
          <w:tcPr>
            <w:tcW w:w="802" w:type="pct"/>
            <w:tcBorders>
              <w:top w:val="nil"/>
              <w:left w:val="single" w:sz="4" w:space="0" w:color="auto"/>
              <w:bottom w:val="nil"/>
              <w:right w:val="single" w:sz="4" w:space="0" w:color="auto"/>
            </w:tcBorders>
            <w:shd w:val="clear" w:color="auto" w:fill="auto"/>
            <w:noWrap/>
            <w:vAlign w:val="center"/>
            <w:hideMark/>
          </w:tcPr>
          <w:p w14:paraId="54A629CE" w14:textId="77777777" w:rsidR="00A06C74" w:rsidRPr="00E44C48" w:rsidRDefault="00A06C74" w:rsidP="00BF715B">
            <w:pPr>
              <w:jc w:val="right"/>
              <w:rPr>
                <w:rFonts w:cs="Arial"/>
                <w:color w:val="000000"/>
                <w:sz w:val="20"/>
                <w:szCs w:val="20"/>
              </w:rPr>
            </w:pPr>
            <w:r w:rsidRPr="00E44C48">
              <w:rPr>
                <w:rFonts w:cs="Arial"/>
                <w:color w:val="000000"/>
                <w:sz w:val="20"/>
                <w:szCs w:val="20"/>
              </w:rPr>
              <w:t>408.768</w:t>
            </w:r>
          </w:p>
        </w:tc>
        <w:tc>
          <w:tcPr>
            <w:tcW w:w="455" w:type="pct"/>
            <w:tcBorders>
              <w:top w:val="nil"/>
              <w:left w:val="nil"/>
              <w:bottom w:val="nil"/>
              <w:right w:val="nil"/>
            </w:tcBorders>
            <w:shd w:val="clear" w:color="auto" w:fill="auto"/>
            <w:noWrap/>
            <w:vAlign w:val="center"/>
            <w:hideMark/>
          </w:tcPr>
          <w:p w14:paraId="059E9F2D" w14:textId="77777777" w:rsidR="00A06C74" w:rsidRPr="00E44C48" w:rsidRDefault="00A06C74" w:rsidP="00BF715B">
            <w:pPr>
              <w:jc w:val="right"/>
              <w:rPr>
                <w:rFonts w:cs="Arial"/>
                <w:color w:val="000000"/>
                <w:sz w:val="20"/>
                <w:szCs w:val="20"/>
              </w:rPr>
            </w:pPr>
            <w:r w:rsidRPr="00E44C48">
              <w:rPr>
                <w:rFonts w:cs="Arial"/>
                <w:color w:val="000000"/>
                <w:sz w:val="20"/>
                <w:szCs w:val="20"/>
              </w:rPr>
              <w:t>0,01</w:t>
            </w:r>
          </w:p>
        </w:tc>
        <w:tc>
          <w:tcPr>
            <w:tcW w:w="802" w:type="pct"/>
            <w:tcBorders>
              <w:top w:val="nil"/>
              <w:left w:val="single" w:sz="4" w:space="0" w:color="auto"/>
              <w:bottom w:val="nil"/>
              <w:right w:val="single" w:sz="4" w:space="0" w:color="auto"/>
            </w:tcBorders>
            <w:shd w:val="clear" w:color="auto" w:fill="auto"/>
            <w:noWrap/>
            <w:vAlign w:val="center"/>
            <w:hideMark/>
          </w:tcPr>
          <w:p w14:paraId="314D44EF" w14:textId="77777777" w:rsidR="00A06C74" w:rsidRPr="00E44C48" w:rsidRDefault="00A06C74" w:rsidP="00BF715B">
            <w:pPr>
              <w:jc w:val="right"/>
              <w:rPr>
                <w:rFonts w:cs="Arial"/>
                <w:color w:val="000000"/>
                <w:sz w:val="20"/>
                <w:szCs w:val="20"/>
              </w:rPr>
            </w:pPr>
            <w:r w:rsidRPr="00E44C48">
              <w:rPr>
                <w:rFonts w:cs="Arial"/>
                <w:color w:val="000000"/>
                <w:sz w:val="20"/>
                <w:szCs w:val="20"/>
              </w:rPr>
              <w:t>13.376</w:t>
            </w:r>
          </w:p>
        </w:tc>
        <w:tc>
          <w:tcPr>
            <w:tcW w:w="802" w:type="pct"/>
            <w:tcBorders>
              <w:top w:val="nil"/>
              <w:left w:val="nil"/>
              <w:bottom w:val="nil"/>
            </w:tcBorders>
            <w:shd w:val="clear" w:color="auto" w:fill="auto"/>
            <w:noWrap/>
            <w:vAlign w:val="center"/>
            <w:hideMark/>
          </w:tcPr>
          <w:p w14:paraId="7C5A5884" w14:textId="77777777" w:rsidR="00A06C74" w:rsidRPr="00E44C48" w:rsidRDefault="00A06C74" w:rsidP="00BF715B">
            <w:pPr>
              <w:jc w:val="right"/>
              <w:rPr>
                <w:rFonts w:cs="Arial"/>
                <w:color w:val="000000"/>
                <w:sz w:val="20"/>
                <w:szCs w:val="20"/>
              </w:rPr>
            </w:pPr>
            <w:r w:rsidRPr="00E44C48">
              <w:rPr>
                <w:rFonts w:cs="Arial"/>
                <w:color w:val="000000"/>
                <w:sz w:val="20"/>
                <w:szCs w:val="20"/>
              </w:rPr>
              <w:t>13.376</w:t>
            </w:r>
          </w:p>
        </w:tc>
      </w:tr>
      <w:tr w:rsidR="00A06C74" w:rsidRPr="00E44C48" w14:paraId="748B03A7" w14:textId="77777777" w:rsidTr="00BF715B">
        <w:trPr>
          <w:trHeight w:val="340"/>
        </w:trPr>
        <w:tc>
          <w:tcPr>
            <w:tcW w:w="2138" w:type="pct"/>
            <w:tcBorders>
              <w:top w:val="single" w:sz="4" w:space="0" w:color="auto"/>
              <w:left w:val="nil"/>
              <w:bottom w:val="single" w:sz="4" w:space="0" w:color="auto"/>
              <w:right w:val="nil"/>
            </w:tcBorders>
            <w:shd w:val="clear" w:color="auto" w:fill="auto"/>
            <w:noWrap/>
            <w:vAlign w:val="center"/>
            <w:hideMark/>
          </w:tcPr>
          <w:p w14:paraId="50F47751" w14:textId="77777777" w:rsidR="00A06C74" w:rsidRPr="00E44C48" w:rsidRDefault="00A06C74" w:rsidP="00BF715B">
            <w:pPr>
              <w:jc w:val="center"/>
              <w:rPr>
                <w:rFonts w:cs="Arial"/>
                <w:b/>
                <w:bCs/>
                <w:color w:val="000000"/>
                <w:sz w:val="20"/>
                <w:szCs w:val="20"/>
              </w:rPr>
            </w:pPr>
            <w:r w:rsidRPr="00E44C48">
              <w:rPr>
                <w:rFonts w:cs="Arial"/>
                <w:b/>
                <w:bCs/>
                <w:color w:val="000000"/>
                <w:sz w:val="20"/>
                <w:szCs w:val="20"/>
              </w:rPr>
              <w:t>Total</w:t>
            </w:r>
          </w:p>
        </w:tc>
        <w:tc>
          <w:tcPr>
            <w:tcW w:w="80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92344B" w14:textId="77777777" w:rsidR="00A06C74" w:rsidRPr="00E44C48" w:rsidRDefault="00A06C74" w:rsidP="00BF715B">
            <w:pPr>
              <w:jc w:val="right"/>
              <w:rPr>
                <w:rFonts w:cs="Arial"/>
                <w:b/>
                <w:bCs/>
                <w:color w:val="000000"/>
                <w:sz w:val="20"/>
                <w:szCs w:val="20"/>
              </w:rPr>
            </w:pPr>
            <w:r w:rsidRPr="00E44C48">
              <w:rPr>
                <w:rFonts w:cs="Arial"/>
                <w:b/>
                <w:bCs/>
                <w:color w:val="000000"/>
                <w:sz w:val="20"/>
                <w:szCs w:val="20"/>
              </w:rPr>
              <w:t>5.015.109.547</w:t>
            </w:r>
          </w:p>
        </w:tc>
        <w:tc>
          <w:tcPr>
            <w:tcW w:w="455" w:type="pct"/>
            <w:tcBorders>
              <w:top w:val="single" w:sz="4" w:space="0" w:color="auto"/>
              <w:left w:val="nil"/>
              <w:bottom w:val="single" w:sz="4" w:space="0" w:color="auto"/>
              <w:right w:val="nil"/>
            </w:tcBorders>
            <w:shd w:val="clear" w:color="auto" w:fill="auto"/>
            <w:noWrap/>
            <w:vAlign w:val="center"/>
            <w:hideMark/>
          </w:tcPr>
          <w:p w14:paraId="7CED013A" w14:textId="77777777" w:rsidR="00A06C74" w:rsidRPr="00E44C48" w:rsidRDefault="00A06C74" w:rsidP="00BF715B">
            <w:pPr>
              <w:jc w:val="right"/>
              <w:rPr>
                <w:rFonts w:cs="Arial"/>
                <w:b/>
                <w:bCs/>
                <w:color w:val="000000"/>
                <w:sz w:val="20"/>
                <w:szCs w:val="20"/>
              </w:rPr>
            </w:pPr>
            <w:r w:rsidRPr="00E44C48">
              <w:rPr>
                <w:rFonts w:cs="Arial"/>
                <w:b/>
                <w:bCs/>
                <w:color w:val="000000"/>
                <w:sz w:val="20"/>
                <w:szCs w:val="20"/>
              </w:rPr>
              <w:t>100,00</w:t>
            </w:r>
          </w:p>
        </w:tc>
        <w:tc>
          <w:tcPr>
            <w:tcW w:w="80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550210" w14:textId="77777777" w:rsidR="00A06C74" w:rsidRPr="00E44C48" w:rsidRDefault="00A06C74" w:rsidP="00BF715B">
            <w:pPr>
              <w:jc w:val="right"/>
              <w:rPr>
                <w:rFonts w:cs="Arial"/>
                <w:b/>
                <w:bCs/>
                <w:color w:val="000000"/>
                <w:sz w:val="20"/>
                <w:szCs w:val="20"/>
              </w:rPr>
            </w:pPr>
            <w:r w:rsidRPr="00E44C48">
              <w:rPr>
                <w:rFonts w:cs="Arial"/>
                <w:b/>
                <w:bCs/>
                <w:color w:val="000000"/>
                <w:sz w:val="20"/>
                <w:szCs w:val="20"/>
              </w:rPr>
              <w:t>4.703.952.995</w:t>
            </w:r>
          </w:p>
        </w:tc>
        <w:tc>
          <w:tcPr>
            <w:tcW w:w="802" w:type="pct"/>
            <w:tcBorders>
              <w:top w:val="single" w:sz="4" w:space="0" w:color="auto"/>
              <w:left w:val="nil"/>
              <w:bottom w:val="single" w:sz="4" w:space="0" w:color="auto"/>
            </w:tcBorders>
            <w:shd w:val="clear" w:color="auto" w:fill="auto"/>
            <w:noWrap/>
            <w:vAlign w:val="center"/>
            <w:hideMark/>
          </w:tcPr>
          <w:p w14:paraId="773CDA2E" w14:textId="77777777" w:rsidR="00A06C74" w:rsidRPr="00E44C48" w:rsidRDefault="00A06C74" w:rsidP="00BF715B">
            <w:pPr>
              <w:jc w:val="right"/>
              <w:rPr>
                <w:rFonts w:cs="Arial"/>
                <w:b/>
                <w:bCs/>
                <w:color w:val="000000"/>
                <w:sz w:val="20"/>
                <w:szCs w:val="20"/>
              </w:rPr>
            </w:pPr>
            <w:r w:rsidRPr="00E44C48">
              <w:rPr>
                <w:rFonts w:cs="Arial"/>
                <w:b/>
                <w:bCs/>
                <w:color w:val="000000"/>
                <w:sz w:val="20"/>
                <w:szCs w:val="20"/>
              </w:rPr>
              <w:t>4.671.185.330</w:t>
            </w:r>
          </w:p>
        </w:tc>
      </w:tr>
    </w:tbl>
    <w:p w14:paraId="14182212" w14:textId="77777777" w:rsidR="00A06C74" w:rsidRPr="000A5737" w:rsidRDefault="00A06C74" w:rsidP="00A06C74">
      <w:pPr>
        <w:pStyle w:val="1-FONTE8ESQ"/>
      </w:pPr>
      <w:r w:rsidRPr="000A5737">
        <w:t xml:space="preserve">Fonte: </w:t>
      </w:r>
      <w:r w:rsidRPr="00772870">
        <w:rPr>
          <w:i/>
        </w:rPr>
        <w:t>Business Objects</w:t>
      </w:r>
      <w:r w:rsidRPr="000A5737">
        <w:t xml:space="preserve"> e RREO 6º bimestre/2023</w:t>
      </w:r>
    </w:p>
    <w:p w14:paraId="7CDFBE83" w14:textId="637B70B0" w:rsidR="00A06C74" w:rsidRDefault="00A06C74" w:rsidP="00A06C74">
      <w:pPr>
        <w:pStyle w:val="1-REL11"/>
      </w:pPr>
      <w:r w:rsidRPr="00286727">
        <w:t>A subfunção Assistência Hospitalar e Ambulatorial, responsável por 67,62% das despesas empenhadas na Função Saúde em 2023, compreende as ações destinadas à cobertura de despesas com internações hospitalares e tratamento ambulatorial, incluindo exames de laboratório necessários ao diagnóstico e tratamento de doenças</w:t>
      </w:r>
      <w:r>
        <w:t>.</w:t>
      </w:r>
    </w:p>
    <w:p w14:paraId="2E9CADB6" w14:textId="77777777" w:rsidR="00A06C74" w:rsidRDefault="00A06C74" w:rsidP="00A06C74">
      <w:pPr>
        <w:pStyle w:val="1-REL11"/>
      </w:pPr>
      <w:r>
        <w:t>Esse mesmo montante de despesa executada na Função Saúde, por programa de governo, está dividido conforme tabela abaixo:</w:t>
      </w:r>
    </w:p>
    <w:p w14:paraId="4BC0FE5A" w14:textId="77777777" w:rsidR="00A06C74" w:rsidRDefault="00A06C74" w:rsidP="00736A8C">
      <w:pPr>
        <w:pStyle w:val="0-TABELA"/>
        <w:numPr>
          <w:ilvl w:val="0"/>
          <w:numId w:val="53"/>
        </w:numPr>
        <w:tabs>
          <w:tab w:val="clear" w:pos="1560"/>
          <w:tab w:val="left" w:pos="1134"/>
        </w:tabs>
        <w:spacing w:before="0" w:after="0"/>
        <w:ind w:left="0" w:firstLine="0"/>
      </w:pPr>
      <w:bookmarkStart w:id="319" w:name="_Toc167871799"/>
      <w:r>
        <w:t>Despesa na Função Saúde por Programa</w:t>
      </w:r>
      <w:bookmarkEnd w:id="319"/>
    </w:p>
    <w:p w14:paraId="45EA975D" w14:textId="77777777" w:rsidR="00A06C74" w:rsidRPr="00866EAA" w:rsidRDefault="00A06C74" w:rsidP="00A06C74">
      <w:pPr>
        <w:pStyle w:val="0-EmR1"/>
        <w:rPr>
          <w:lang w:eastAsia="en-US"/>
        </w:rPr>
      </w:pPr>
      <w:r>
        <w:rPr>
          <w:lang w:eastAsia="en-US"/>
        </w:rPr>
        <w:t>R$ 1</w:t>
      </w:r>
    </w:p>
    <w:tbl>
      <w:tblPr>
        <w:tblW w:w="5000" w:type="pct"/>
        <w:tblLayout w:type="fixed"/>
        <w:tblCellMar>
          <w:left w:w="70" w:type="dxa"/>
          <w:right w:w="70" w:type="dxa"/>
        </w:tblCellMar>
        <w:tblLook w:val="04A0" w:firstRow="1" w:lastRow="0" w:firstColumn="1" w:lastColumn="0" w:noHBand="0" w:noVBand="1"/>
      </w:tblPr>
      <w:tblGrid>
        <w:gridCol w:w="3970"/>
        <w:gridCol w:w="1420"/>
        <w:gridCol w:w="849"/>
        <w:gridCol w:w="1560"/>
        <w:gridCol w:w="1554"/>
      </w:tblGrid>
      <w:tr w:rsidR="00A06C74" w:rsidRPr="00772870" w14:paraId="7180D70A" w14:textId="77777777" w:rsidTr="00BF715B">
        <w:trPr>
          <w:trHeight w:val="340"/>
          <w:tblHeader/>
        </w:trPr>
        <w:tc>
          <w:tcPr>
            <w:tcW w:w="2122" w:type="pct"/>
            <w:tcBorders>
              <w:top w:val="single" w:sz="4" w:space="0" w:color="auto"/>
              <w:left w:val="nil"/>
              <w:bottom w:val="single" w:sz="4" w:space="0" w:color="auto"/>
              <w:right w:val="nil"/>
            </w:tcBorders>
            <w:shd w:val="clear" w:color="000000" w:fill="A1F2FD"/>
            <w:noWrap/>
            <w:vAlign w:val="center"/>
            <w:hideMark/>
          </w:tcPr>
          <w:p w14:paraId="53BDAE5D" w14:textId="77777777" w:rsidR="00A06C74" w:rsidRPr="00772870" w:rsidRDefault="00A06C74" w:rsidP="00BF715B">
            <w:pPr>
              <w:jc w:val="center"/>
              <w:rPr>
                <w:rFonts w:cs="Arial"/>
                <w:b/>
                <w:bCs/>
                <w:color w:val="000000"/>
                <w:sz w:val="20"/>
                <w:szCs w:val="20"/>
              </w:rPr>
            </w:pPr>
            <w:r w:rsidRPr="00772870">
              <w:rPr>
                <w:rFonts w:cs="Arial"/>
                <w:b/>
                <w:bCs/>
                <w:color w:val="000000"/>
                <w:sz w:val="20"/>
                <w:szCs w:val="20"/>
              </w:rPr>
              <w:t>Programa</w:t>
            </w:r>
          </w:p>
        </w:tc>
        <w:tc>
          <w:tcPr>
            <w:tcW w:w="759" w:type="pct"/>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2ED70EFC" w14:textId="77777777" w:rsidR="00A06C74" w:rsidRPr="00772870" w:rsidRDefault="00A06C74" w:rsidP="00BF715B">
            <w:pPr>
              <w:jc w:val="center"/>
              <w:rPr>
                <w:rFonts w:cs="Arial"/>
                <w:b/>
                <w:bCs/>
                <w:color w:val="000000"/>
                <w:sz w:val="20"/>
                <w:szCs w:val="20"/>
              </w:rPr>
            </w:pPr>
            <w:r w:rsidRPr="00772870">
              <w:rPr>
                <w:rFonts w:cs="Arial"/>
                <w:b/>
                <w:bCs/>
                <w:color w:val="000000"/>
                <w:sz w:val="20"/>
                <w:szCs w:val="20"/>
              </w:rPr>
              <w:t>Empenhada</w:t>
            </w:r>
          </w:p>
        </w:tc>
        <w:tc>
          <w:tcPr>
            <w:tcW w:w="454" w:type="pct"/>
            <w:tcBorders>
              <w:top w:val="single" w:sz="4" w:space="0" w:color="auto"/>
              <w:left w:val="nil"/>
              <w:bottom w:val="single" w:sz="4" w:space="0" w:color="auto"/>
              <w:right w:val="single" w:sz="4" w:space="0" w:color="auto"/>
            </w:tcBorders>
            <w:shd w:val="clear" w:color="000000" w:fill="A1F2FD"/>
            <w:noWrap/>
            <w:vAlign w:val="center"/>
            <w:hideMark/>
          </w:tcPr>
          <w:p w14:paraId="0B66B44A" w14:textId="77777777" w:rsidR="00A06C74" w:rsidRPr="00772870" w:rsidRDefault="00A06C74" w:rsidP="00BF715B">
            <w:pPr>
              <w:jc w:val="center"/>
              <w:rPr>
                <w:rFonts w:cs="Arial"/>
                <w:b/>
                <w:bCs/>
                <w:color w:val="000000"/>
                <w:sz w:val="20"/>
                <w:szCs w:val="20"/>
              </w:rPr>
            </w:pPr>
            <w:r w:rsidRPr="00772870">
              <w:rPr>
                <w:rFonts w:cs="Arial"/>
                <w:b/>
                <w:bCs/>
                <w:color w:val="000000"/>
                <w:sz w:val="20"/>
                <w:szCs w:val="20"/>
              </w:rPr>
              <w:t>AV %</w:t>
            </w:r>
          </w:p>
        </w:tc>
        <w:tc>
          <w:tcPr>
            <w:tcW w:w="834" w:type="pct"/>
            <w:tcBorders>
              <w:top w:val="single" w:sz="4" w:space="0" w:color="auto"/>
              <w:left w:val="nil"/>
              <w:bottom w:val="single" w:sz="4" w:space="0" w:color="auto"/>
              <w:right w:val="nil"/>
            </w:tcBorders>
            <w:shd w:val="clear" w:color="000000" w:fill="A1F2FD"/>
            <w:noWrap/>
            <w:vAlign w:val="center"/>
            <w:hideMark/>
          </w:tcPr>
          <w:p w14:paraId="7E1F2D15" w14:textId="77777777" w:rsidR="00A06C74" w:rsidRPr="00772870" w:rsidRDefault="00A06C74" w:rsidP="00BF715B">
            <w:pPr>
              <w:jc w:val="center"/>
              <w:rPr>
                <w:rFonts w:cs="Arial"/>
                <w:b/>
                <w:bCs/>
                <w:color w:val="000000"/>
                <w:sz w:val="20"/>
                <w:szCs w:val="20"/>
              </w:rPr>
            </w:pPr>
            <w:r w:rsidRPr="00772870">
              <w:rPr>
                <w:rFonts w:cs="Arial"/>
                <w:b/>
                <w:bCs/>
                <w:color w:val="000000"/>
                <w:sz w:val="20"/>
                <w:szCs w:val="20"/>
              </w:rPr>
              <w:t>Liquidada</w:t>
            </w:r>
          </w:p>
        </w:tc>
        <w:tc>
          <w:tcPr>
            <w:tcW w:w="831" w:type="pct"/>
            <w:tcBorders>
              <w:top w:val="single" w:sz="4" w:space="0" w:color="auto"/>
              <w:left w:val="single" w:sz="4" w:space="0" w:color="auto"/>
              <w:bottom w:val="single" w:sz="4" w:space="0" w:color="auto"/>
              <w:right w:val="nil"/>
            </w:tcBorders>
            <w:shd w:val="clear" w:color="000000" w:fill="A1F2FD"/>
            <w:noWrap/>
            <w:vAlign w:val="center"/>
            <w:hideMark/>
          </w:tcPr>
          <w:p w14:paraId="0D11734C" w14:textId="77777777" w:rsidR="00A06C74" w:rsidRPr="00772870" w:rsidRDefault="00A06C74" w:rsidP="00BF715B">
            <w:pPr>
              <w:jc w:val="center"/>
              <w:rPr>
                <w:rFonts w:cs="Arial"/>
                <w:b/>
                <w:bCs/>
                <w:color w:val="000000"/>
                <w:sz w:val="20"/>
                <w:szCs w:val="20"/>
              </w:rPr>
            </w:pPr>
            <w:r w:rsidRPr="00772870">
              <w:rPr>
                <w:rFonts w:cs="Arial"/>
                <w:b/>
                <w:bCs/>
                <w:color w:val="000000"/>
                <w:sz w:val="20"/>
                <w:szCs w:val="20"/>
              </w:rPr>
              <w:t>Paga</w:t>
            </w:r>
          </w:p>
        </w:tc>
      </w:tr>
      <w:tr w:rsidR="00A06C74" w:rsidRPr="00772870" w14:paraId="30F65A14" w14:textId="77777777" w:rsidTr="00BF715B">
        <w:trPr>
          <w:trHeight w:val="340"/>
        </w:trPr>
        <w:tc>
          <w:tcPr>
            <w:tcW w:w="2122" w:type="pct"/>
            <w:tcBorders>
              <w:top w:val="nil"/>
              <w:left w:val="nil"/>
              <w:bottom w:val="nil"/>
              <w:right w:val="nil"/>
            </w:tcBorders>
            <w:shd w:val="clear" w:color="auto" w:fill="auto"/>
            <w:noWrap/>
            <w:vAlign w:val="center"/>
            <w:hideMark/>
          </w:tcPr>
          <w:p w14:paraId="76C68FD1" w14:textId="77777777" w:rsidR="00A06C74" w:rsidRPr="00772870" w:rsidRDefault="00A06C74" w:rsidP="001E762F">
            <w:pPr>
              <w:ind w:left="75"/>
              <w:jc w:val="left"/>
              <w:rPr>
                <w:rFonts w:cs="Arial"/>
                <w:color w:val="000000"/>
                <w:sz w:val="20"/>
                <w:szCs w:val="20"/>
              </w:rPr>
            </w:pPr>
            <w:r w:rsidRPr="00772870">
              <w:rPr>
                <w:rFonts w:cs="Arial"/>
                <w:color w:val="000000"/>
                <w:sz w:val="20"/>
                <w:szCs w:val="20"/>
              </w:rPr>
              <w:t>Saúde Integral [1043]</w:t>
            </w:r>
          </w:p>
        </w:tc>
        <w:tc>
          <w:tcPr>
            <w:tcW w:w="759" w:type="pct"/>
            <w:tcBorders>
              <w:top w:val="nil"/>
              <w:left w:val="single" w:sz="4" w:space="0" w:color="auto"/>
              <w:bottom w:val="nil"/>
              <w:right w:val="single" w:sz="4" w:space="0" w:color="auto"/>
            </w:tcBorders>
            <w:shd w:val="clear" w:color="auto" w:fill="auto"/>
            <w:noWrap/>
            <w:vAlign w:val="center"/>
            <w:hideMark/>
          </w:tcPr>
          <w:p w14:paraId="3A88486D" w14:textId="77777777" w:rsidR="00A06C74" w:rsidRPr="00772870" w:rsidRDefault="00A06C74" w:rsidP="00BF715B">
            <w:pPr>
              <w:jc w:val="right"/>
              <w:rPr>
                <w:rFonts w:cs="Arial"/>
                <w:color w:val="000000"/>
                <w:sz w:val="20"/>
                <w:szCs w:val="20"/>
              </w:rPr>
            </w:pPr>
            <w:r w:rsidRPr="00772870">
              <w:rPr>
                <w:rFonts w:cs="Arial"/>
                <w:color w:val="000000"/>
                <w:sz w:val="20"/>
                <w:szCs w:val="20"/>
              </w:rPr>
              <w:t>3.782.152.307</w:t>
            </w:r>
          </w:p>
        </w:tc>
        <w:tc>
          <w:tcPr>
            <w:tcW w:w="454" w:type="pct"/>
            <w:tcBorders>
              <w:top w:val="nil"/>
              <w:left w:val="nil"/>
              <w:bottom w:val="nil"/>
              <w:right w:val="single" w:sz="4" w:space="0" w:color="auto"/>
            </w:tcBorders>
            <w:shd w:val="clear" w:color="auto" w:fill="auto"/>
            <w:noWrap/>
            <w:vAlign w:val="center"/>
            <w:hideMark/>
          </w:tcPr>
          <w:p w14:paraId="194F4F0C" w14:textId="77777777" w:rsidR="00A06C74" w:rsidRPr="00772870" w:rsidRDefault="00A06C74" w:rsidP="00BF715B">
            <w:pPr>
              <w:jc w:val="center"/>
              <w:rPr>
                <w:rFonts w:cs="Arial"/>
                <w:color w:val="000000"/>
                <w:sz w:val="20"/>
                <w:szCs w:val="20"/>
              </w:rPr>
            </w:pPr>
            <w:r w:rsidRPr="00772870">
              <w:rPr>
                <w:rFonts w:cs="Arial"/>
                <w:color w:val="000000"/>
                <w:sz w:val="20"/>
                <w:szCs w:val="20"/>
              </w:rPr>
              <w:t>75,42</w:t>
            </w:r>
          </w:p>
        </w:tc>
        <w:tc>
          <w:tcPr>
            <w:tcW w:w="834" w:type="pct"/>
            <w:tcBorders>
              <w:top w:val="nil"/>
              <w:left w:val="nil"/>
              <w:bottom w:val="nil"/>
              <w:right w:val="nil"/>
            </w:tcBorders>
            <w:shd w:val="clear" w:color="auto" w:fill="auto"/>
            <w:noWrap/>
            <w:vAlign w:val="center"/>
            <w:hideMark/>
          </w:tcPr>
          <w:p w14:paraId="129843D9" w14:textId="77777777" w:rsidR="00A06C74" w:rsidRPr="00772870" w:rsidRDefault="00A06C74" w:rsidP="00BF715B">
            <w:pPr>
              <w:jc w:val="right"/>
              <w:rPr>
                <w:rFonts w:cs="Arial"/>
                <w:color w:val="000000"/>
                <w:sz w:val="20"/>
                <w:szCs w:val="20"/>
              </w:rPr>
            </w:pPr>
            <w:r w:rsidRPr="00772870">
              <w:rPr>
                <w:rFonts w:cs="Arial"/>
                <w:color w:val="000000"/>
                <w:sz w:val="20"/>
                <w:szCs w:val="20"/>
              </w:rPr>
              <w:t>3.515.159.169</w:t>
            </w:r>
          </w:p>
        </w:tc>
        <w:tc>
          <w:tcPr>
            <w:tcW w:w="831" w:type="pct"/>
            <w:tcBorders>
              <w:top w:val="nil"/>
              <w:left w:val="single" w:sz="4" w:space="0" w:color="auto"/>
              <w:bottom w:val="nil"/>
              <w:right w:val="nil"/>
            </w:tcBorders>
            <w:shd w:val="clear" w:color="auto" w:fill="auto"/>
            <w:noWrap/>
            <w:vAlign w:val="center"/>
            <w:hideMark/>
          </w:tcPr>
          <w:p w14:paraId="766F900E" w14:textId="77777777" w:rsidR="00A06C74" w:rsidRPr="00772870" w:rsidRDefault="00A06C74" w:rsidP="00BF715B">
            <w:pPr>
              <w:jc w:val="right"/>
              <w:rPr>
                <w:rFonts w:cs="Arial"/>
                <w:color w:val="000000"/>
                <w:sz w:val="20"/>
                <w:szCs w:val="20"/>
              </w:rPr>
            </w:pPr>
            <w:r w:rsidRPr="00772870">
              <w:rPr>
                <w:rFonts w:cs="Arial"/>
                <w:color w:val="000000"/>
                <w:sz w:val="20"/>
                <w:szCs w:val="20"/>
              </w:rPr>
              <w:t>3.487.901.746</w:t>
            </w:r>
          </w:p>
        </w:tc>
      </w:tr>
      <w:tr w:rsidR="00A06C74" w:rsidRPr="00772870" w14:paraId="420B7144" w14:textId="77777777" w:rsidTr="00BF715B">
        <w:trPr>
          <w:trHeight w:val="340"/>
        </w:trPr>
        <w:tc>
          <w:tcPr>
            <w:tcW w:w="2122" w:type="pct"/>
            <w:tcBorders>
              <w:top w:val="nil"/>
              <w:left w:val="nil"/>
              <w:bottom w:val="nil"/>
              <w:right w:val="nil"/>
            </w:tcBorders>
            <w:shd w:val="clear" w:color="auto" w:fill="auto"/>
            <w:noWrap/>
            <w:vAlign w:val="center"/>
            <w:hideMark/>
          </w:tcPr>
          <w:p w14:paraId="75EA87CE" w14:textId="77777777" w:rsidR="00A06C74" w:rsidRPr="00772870" w:rsidRDefault="00A06C74" w:rsidP="001E762F">
            <w:pPr>
              <w:ind w:left="75"/>
              <w:jc w:val="left"/>
              <w:rPr>
                <w:rFonts w:cs="Arial"/>
                <w:color w:val="000000"/>
                <w:sz w:val="20"/>
                <w:szCs w:val="20"/>
              </w:rPr>
            </w:pPr>
            <w:r w:rsidRPr="00772870">
              <w:rPr>
                <w:rFonts w:cs="Arial"/>
                <w:color w:val="000000"/>
                <w:sz w:val="20"/>
                <w:szCs w:val="20"/>
              </w:rPr>
              <w:t>Encargos da Folha de Pagamento dos Servidores Públicos [4100]</w:t>
            </w:r>
          </w:p>
        </w:tc>
        <w:tc>
          <w:tcPr>
            <w:tcW w:w="759" w:type="pct"/>
            <w:tcBorders>
              <w:top w:val="nil"/>
              <w:left w:val="single" w:sz="4" w:space="0" w:color="auto"/>
              <w:bottom w:val="nil"/>
              <w:right w:val="single" w:sz="4" w:space="0" w:color="auto"/>
            </w:tcBorders>
            <w:shd w:val="clear" w:color="auto" w:fill="auto"/>
            <w:noWrap/>
            <w:vAlign w:val="center"/>
            <w:hideMark/>
          </w:tcPr>
          <w:p w14:paraId="4168E22C" w14:textId="77777777" w:rsidR="00A06C74" w:rsidRPr="00772870" w:rsidRDefault="00A06C74" w:rsidP="00BF715B">
            <w:pPr>
              <w:jc w:val="right"/>
              <w:rPr>
                <w:rFonts w:cs="Arial"/>
                <w:color w:val="000000"/>
                <w:sz w:val="20"/>
                <w:szCs w:val="20"/>
              </w:rPr>
            </w:pPr>
            <w:r w:rsidRPr="00772870">
              <w:rPr>
                <w:rFonts w:cs="Arial"/>
                <w:color w:val="000000"/>
                <w:sz w:val="20"/>
                <w:szCs w:val="20"/>
              </w:rPr>
              <w:t>783.535.889</w:t>
            </w:r>
          </w:p>
        </w:tc>
        <w:tc>
          <w:tcPr>
            <w:tcW w:w="454" w:type="pct"/>
            <w:tcBorders>
              <w:top w:val="nil"/>
              <w:left w:val="nil"/>
              <w:bottom w:val="nil"/>
              <w:right w:val="single" w:sz="4" w:space="0" w:color="auto"/>
            </w:tcBorders>
            <w:shd w:val="clear" w:color="auto" w:fill="auto"/>
            <w:noWrap/>
            <w:vAlign w:val="center"/>
            <w:hideMark/>
          </w:tcPr>
          <w:p w14:paraId="6FB98108" w14:textId="77777777" w:rsidR="00A06C74" w:rsidRPr="00772870" w:rsidRDefault="00A06C74" w:rsidP="00BF715B">
            <w:pPr>
              <w:jc w:val="center"/>
              <w:rPr>
                <w:rFonts w:cs="Arial"/>
                <w:color w:val="000000"/>
                <w:sz w:val="20"/>
                <w:szCs w:val="20"/>
              </w:rPr>
            </w:pPr>
            <w:r w:rsidRPr="00772870">
              <w:rPr>
                <w:rFonts w:cs="Arial"/>
                <w:color w:val="000000"/>
                <w:sz w:val="20"/>
                <w:szCs w:val="20"/>
              </w:rPr>
              <w:t>15,62</w:t>
            </w:r>
          </w:p>
        </w:tc>
        <w:tc>
          <w:tcPr>
            <w:tcW w:w="834" w:type="pct"/>
            <w:tcBorders>
              <w:top w:val="nil"/>
              <w:left w:val="nil"/>
              <w:bottom w:val="nil"/>
              <w:right w:val="nil"/>
            </w:tcBorders>
            <w:shd w:val="clear" w:color="auto" w:fill="auto"/>
            <w:noWrap/>
            <w:vAlign w:val="center"/>
            <w:hideMark/>
          </w:tcPr>
          <w:p w14:paraId="3A9801F3" w14:textId="77777777" w:rsidR="00A06C74" w:rsidRPr="00772870" w:rsidRDefault="00A06C74" w:rsidP="00BF715B">
            <w:pPr>
              <w:jc w:val="right"/>
              <w:rPr>
                <w:rFonts w:cs="Arial"/>
                <w:color w:val="000000"/>
                <w:sz w:val="20"/>
                <w:szCs w:val="20"/>
              </w:rPr>
            </w:pPr>
            <w:r w:rsidRPr="00772870">
              <w:rPr>
                <w:rFonts w:cs="Arial"/>
                <w:color w:val="000000"/>
                <w:sz w:val="20"/>
                <w:szCs w:val="20"/>
              </w:rPr>
              <w:t>783.535.889</w:t>
            </w:r>
          </w:p>
        </w:tc>
        <w:tc>
          <w:tcPr>
            <w:tcW w:w="831" w:type="pct"/>
            <w:tcBorders>
              <w:top w:val="nil"/>
              <w:left w:val="single" w:sz="4" w:space="0" w:color="auto"/>
              <w:bottom w:val="nil"/>
              <w:right w:val="nil"/>
            </w:tcBorders>
            <w:shd w:val="clear" w:color="auto" w:fill="auto"/>
            <w:noWrap/>
            <w:vAlign w:val="center"/>
            <w:hideMark/>
          </w:tcPr>
          <w:p w14:paraId="748F8C6F" w14:textId="77777777" w:rsidR="00A06C74" w:rsidRPr="00772870" w:rsidRDefault="00A06C74" w:rsidP="00BF715B">
            <w:pPr>
              <w:jc w:val="right"/>
              <w:rPr>
                <w:rFonts w:cs="Arial"/>
                <w:color w:val="000000"/>
                <w:sz w:val="20"/>
                <w:szCs w:val="20"/>
              </w:rPr>
            </w:pPr>
            <w:r w:rsidRPr="00772870">
              <w:rPr>
                <w:rFonts w:cs="Arial"/>
                <w:color w:val="000000"/>
                <w:sz w:val="20"/>
                <w:szCs w:val="20"/>
              </w:rPr>
              <w:t>783.524.803</w:t>
            </w:r>
          </w:p>
        </w:tc>
      </w:tr>
      <w:tr w:rsidR="00A06C74" w:rsidRPr="00772870" w14:paraId="2B9D27CC" w14:textId="77777777" w:rsidTr="00BF715B">
        <w:trPr>
          <w:trHeight w:val="340"/>
        </w:trPr>
        <w:tc>
          <w:tcPr>
            <w:tcW w:w="2122" w:type="pct"/>
            <w:tcBorders>
              <w:top w:val="nil"/>
              <w:left w:val="nil"/>
              <w:bottom w:val="nil"/>
              <w:right w:val="nil"/>
            </w:tcBorders>
            <w:shd w:val="clear" w:color="auto" w:fill="auto"/>
            <w:noWrap/>
            <w:vAlign w:val="center"/>
            <w:hideMark/>
          </w:tcPr>
          <w:p w14:paraId="4C0509C1" w14:textId="77777777" w:rsidR="00A06C74" w:rsidRPr="00772870" w:rsidRDefault="00A06C74" w:rsidP="001E762F">
            <w:pPr>
              <w:ind w:left="75"/>
              <w:jc w:val="left"/>
              <w:rPr>
                <w:rFonts w:cs="Arial"/>
                <w:color w:val="000000"/>
                <w:sz w:val="20"/>
                <w:szCs w:val="20"/>
              </w:rPr>
            </w:pPr>
            <w:r w:rsidRPr="00772870">
              <w:rPr>
                <w:rFonts w:cs="Arial"/>
                <w:color w:val="000000"/>
                <w:sz w:val="20"/>
                <w:szCs w:val="20"/>
              </w:rPr>
              <w:t>Tecnologia e Inteligência em Saúde [1022]</w:t>
            </w:r>
          </w:p>
        </w:tc>
        <w:tc>
          <w:tcPr>
            <w:tcW w:w="759" w:type="pct"/>
            <w:tcBorders>
              <w:top w:val="nil"/>
              <w:left w:val="single" w:sz="4" w:space="0" w:color="auto"/>
              <w:bottom w:val="nil"/>
              <w:right w:val="single" w:sz="4" w:space="0" w:color="auto"/>
            </w:tcBorders>
            <w:shd w:val="clear" w:color="auto" w:fill="auto"/>
            <w:noWrap/>
            <w:vAlign w:val="center"/>
            <w:hideMark/>
          </w:tcPr>
          <w:p w14:paraId="785418F6" w14:textId="77777777" w:rsidR="00A06C74" w:rsidRPr="00772870" w:rsidRDefault="00A06C74" w:rsidP="00BF715B">
            <w:pPr>
              <w:jc w:val="right"/>
              <w:rPr>
                <w:rFonts w:cs="Arial"/>
                <w:color w:val="000000"/>
                <w:sz w:val="20"/>
                <w:szCs w:val="20"/>
              </w:rPr>
            </w:pPr>
            <w:r w:rsidRPr="00772870">
              <w:rPr>
                <w:rFonts w:cs="Arial"/>
                <w:color w:val="000000"/>
                <w:sz w:val="20"/>
                <w:szCs w:val="20"/>
              </w:rPr>
              <w:t>338.078.856</w:t>
            </w:r>
          </w:p>
        </w:tc>
        <w:tc>
          <w:tcPr>
            <w:tcW w:w="454" w:type="pct"/>
            <w:tcBorders>
              <w:top w:val="nil"/>
              <w:left w:val="nil"/>
              <w:bottom w:val="nil"/>
              <w:right w:val="single" w:sz="4" w:space="0" w:color="auto"/>
            </w:tcBorders>
            <w:shd w:val="clear" w:color="auto" w:fill="auto"/>
            <w:noWrap/>
            <w:vAlign w:val="center"/>
            <w:hideMark/>
          </w:tcPr>
          <w:p w14:paraId="4D4E8C21" w14:textId="77777777" w:rsidR="00A06C74" w:rsidRPr="00772870" w:rsidRDefault="00A06C74" w:rsidP="00BF715B">
            <w:pPr>
              <w:jc w:val="center"/>
              <w:rPr>
                <w:rFonts w:cs="Arial"/>
                <w:color w:val="000000"/>
                <w:sz w:val="20"/>
                <w:szCs w:val="20"/>
              </w:rPr>
            </w:pPr>
            <w:r w:rsidRPr="00772870">
              <w:rPr>
                <w:rFonts w:cs="Arial"/>
                <w:color w:val="000000"/>
                <w:sz w:val="20"/>
                <w:szCs w:val="20"/>
              </w:rPr>
              <w:t>6,74</w:t>
            </w:r>
          </w:p>
        </w:tc>
        <w:tc>
          <w:tcPr>
            <w:tcW w:w="834" w:type="pct"/>
            <w:tcBorders>
              <w:top w:val="nil"/>
              <w:left w:val="nil"/>
              <w:bottom w:val="nil"/>
              <w:right w:val="nil"/>
            </w:tcBorders>
            <w:shd w:val="clear" w:color="auto" w:fill="auto"/>
            <w:noWrap/>
            <w:vAlign w:val="center"/>
            <w:hideMark/>
          </w:tcPr>
          <w:p w14:paraId="5962A414" w14:textId="77777777" w:rsidR="00A06C74" w:rsidRPr="00772870" w:rsidRDefault="00A06C74" w:rsidP="00BF715B">
            <w:pPr>
              <w:jc w:val="right"/>
              <w:rPr>
                <w:rFonts w:cs="Arial"/>
                <w:color w:val="000000"/>
                <w:sz w:val="20"/>
                <w:szCs w:val="20"/>
              </w:rPr>
            </w:pPr>
            <w:r w:rsidRPr="00772870">
              <w:rPr>
                <w:rFonts w:cs="Arial"/>
                <w:color w:val="000000"/>
                <w:sz w:val="20"/>
                <w:szCs w:val="20"/>
              </w:rPr>
              <w:t>308.411.281</w:t>
            </w:r>
          </w:p>
        </w:tc>
        <w:tc>
          <w:tcPr>
            <w:tcW w:w="831" w:type="pct"/>
            <w:tcBorders>
              <w:top w:val="nil"/>
              <w:left w:val="single" w:sz="4" w:space="0" w:color="auto"/>
              <w:bottom w:val="nil"/>
              <w:right w:val="nil"/>
            </w:tcBorders>
            <w:shd w:val="clear" w:color="auto" w:fill="auto"/>
            <w:noWrap/>
            <w:vAlign w:val="center"/>
            <w:hideMark/>
          </w:tcPr>
          <w:p w14:paraId="383D8828" w14:textId="77777777" w:rsidR="00A06C74" w:rsidRPr="00772870" w:rsidRDefault="00A06C74" w:rsidP="00BF715B">
            <w:pPr>
              <w:jc w:val="right"/>
              <w:rPr>
                <w:rFonts w:cs="Arial"/>
                <w:color w:val="000000"/>
                <w:sz w:val="20"/>
                <w:szCs w:val="20"/>
              </w:rPr>
            </w:pPr>
            <w:r w:rsidRPr="00772870">
              <w:rPr>
                <w:rFonts w:cs="Arial"/>
                <w:color w:val="000000"/>
                <w:sz w:val="20"/>
                <w:szCs w:val="20"/>
              </w:rPr>
              <w:t>303.192.413</w:t>
            </w:r>
          </w:p>
        </w:tc>
      </w:tr>
      <w:tr w:rsidR="00A06C74" w:rsidRPr="00772870" w14:paraId="25404EDD" w14:textId="77777777" w:rsidTr="00BF715B">
        <w:trPr>
          <w:trHeight w:val="340"/>
        </w:trPr>
        <w:tc>
          <w:tcPr>
            <w:tcW w:w="2122" w:type="pct"/>
            <w:tcBorders>
              <w:top w:val="nil"/>
              <w:left w:val="nil"/>
              <w:bottom w:val="nil"/>
              <w:right w:val="nil"/>
            </w:tcBorders>
            <w:shd w:val="clear" w:color="auto" w:fill="auto"/>
            <w:noWrap/>
            <w:vAlign w:val="center"/>
            <w:hideMark/>
          </w:tcPr>
          <w:p w14:paraId="470C789A" w14:textId="77777777" w:rsidR="00A06C74" w:rsidRPr="00772870" w:rsidRDefault="00A06C74" w:rsidP="001E762F">
            <w:pPr>
              <w:ind w:left="75"/>
              <w:jc w:val="left"/>
              <w:rPr>
                <w:rFonts w:cs="Arial"/>
                <w:color w:val="000000"/>
                <w:sz w:val="20"/>
                <w:szCs w:val="20"/>
              </w:rPr>
            </w:pPr>
            <w:r w:rsidRPr="00772870">
              <w:rPr>
                <w:rFonts w:cs="Arial"/>
                <w:color w:val="000000"/>
                <w:sz w:val="20"/>
                <w:szCs w:val="20"/>
              </w:rPr>
              <w:t>Gestão e Manutenção [4200]</w:t>
            </w:r>
          </w:p>
        </w:tc>
        <w:tc>
          <w:tcPr>
            <w:tcW w:w="759" w:type="pct"/>
            <w:tcBorders>
              <w:top w:val="nil"/>
              <w:left w:val="single" w:sz="4" w:space="0" w:color="auto"/>
              <w:bottom w:val="nil"/>
              <w:right w:val="single" w:sz="4" w:space="0" w:color="auto"/>
            </w:tcBorders>
            <w:shd w:val="clear" w:color="auto" w:fill="auto"/>
            <w:noWrap/>
            <w:vAlign w:val="center"/>
            <w:hideMark/>
          </w:tcPr>
          <w:p w14:paraId="447B8E54" w14:textId="77777777" w:rsidR="00A06C74" w:rsidRPr="00772870" w:rsidRDefault="00A06C74" w:rsidP="00BF715B">
            <w:pPr>
              <w:jc w:val="right"/>
              <w:rPr>
                <w:rFonts w:cs="Arial"/>
                <w:color w:val="000000"/>
                <w:sz w:val="20"/>
                <w:szCs w:val="20"/>
              </w:rPr>
            </w:pPr>
            <w:r w:rsidRPr="00772870">
              <w:rPr>
                <w:rFonts w:cs="Arial"/>
                <w:color w:val="000000"/>
                <w:sz w:val="20"/>
                <w:szCs w:val="20"/>
              </w:rPr>
              <w:t>81.202.613</w:t>
            </w:r>
          </w:p>
        </w:tc>
        <w:tc>
          <w:tcPr>
            <w:tcW w:w="454" w:type="pct"/>
            <w:tcBorders>
              <w:top w:val="nil"/>
              <w:left w:val="nil"/>
              <w:bottom w:val="nil"/>
              <w:right w:val="single" w:sz="4" w:space="0" w:color="auto"/>
            </w:tcBorders>
            <w:shd w:val="clear" w:color="auto" w:fill="auto"/>
            <w:noWrap/>
            <w:vAlign w:val="center"/>
            <w:hideMark/>
          </w:tcPr>
          <w:p w14:paraId="530FF2F3" w14:textId="77777777" w:rsidR="00A06C74" w:rsidRPr="00772870" w:rsidRDefault="00A06C74" w:rsidP="00BF715B">
            <w:pPr>
              <w:jc w:val="center"/>
              <w:rPr>
                <w:rFonts w:cs="Arial"/>
                <w:color w:val="000000"/>
                <w:sz w:val="20"/>
                <w:szCs w:val="20"/>
              </w:rPr>
            </w:pPr>
            <w:r w:rsidRPr="00772870">
              <w:rPr>
                <w:rFonts w:cs="Arial"/>
                <w:color w:val="000000"/>
                <w:sz w:val="20"/>
                <w:szCs w:val="20"/>
              </w:rPr>
              <w:t>1,62</w:t>
            </w:r>
          </w:p>
        </w:tc>
        <w:tc>
          <w:tcPr>
            <w:tcW w:w="834" w:type="pct"/>
            <w:tcBorders>
              <w:top w:val="nil"/>
              <w:left w:val="nil"/>
              <w:bottom w:val="nil"/>
              <w:right w:val="nil"/>
            </w:tcBorders>
            <w:shd w:val="clear" w:color="auto" w:fill="auto"/>
            <w:noWrap/>
            <w:vAlign w:val="center"/>
            <w:hideMark/>
          </w:tcPr>
          <w:p w14:paraId="25E8243A" w14:textId="77777777" w:rsidR="00A06C74" w:rsidRPr="00772870" w:rsidRDefault="00A06C74" w:rsidP="00BF715B">
            <w:pPr>
              <w:jc w:val="right"/>
              <w:rPr>
                <w:rFonts w:cs="Arial"/>
                <w:color w:val="000000"/>
                <w:sz w:val="20"/>
                <w:szCs w:val="20"/>
              </w:rPr>
            </w:pPr>
            <w:r w:rsidRPr="00772870">
              <w:rPr>
                <w:rFonts w:cs="Arial"/>
                <w:color w:val="000000"/>
                <w:sz w:val="20"/>
                <w:szCs w:val="20"/>
              </w:rPr>
              <w:t>70.128.780</w:t>
            </w:r>
          </w:p>
        </w:tc>
        <w:tc>
          <w:tcPr>
            <w:tcW w:w="831" w:type="pct"/>
            <w:tcBorders>
              <w:top w:val="nil"/>
              <w:left w:val="single" w:sz="4" w:space="0" w:color="auto"/>
              <w:bottom w:val="nil"/>
              <w:right w:val="nil"/>
            </w:tcBorders>
            <w:shd w:val="clear" w:color="auto" w:fill="auto"/>
            <w:noWrap/>
            <w:vAlign w:val="center"/>
            <w:hideMark/>
          </w:tcPr>
          <w:p w14:paraId="55C297A4" w14:textId="77777777" w:rsidR="00A06C74" w:rsidRPr="00772870" w:rsidRDefault="00A06C74" w:rsidP="00BF715B">
            <w:pPr>
              <w:jc w:val="right"/>
              <w:rPr>
                <w:rFonts w:cs="Arial"/>
                <w:color w:val="000000"/>
                <w:sz w:val="20"/>
                <w:szCs w:val="20"/>
              </w:rPr>
            </w:pPr>
            <w:r w:rsidRPr="00772870">
              <w:rPr>
                <w:rFonts w:cs="Arial"/>
                <w:color w:val="000000"/>
                <w:sz w:val="20"/>
                <w:szCs w:val="20"/>
              </w:rPr>
              <w:t>69.860.814</w:t>
            </w:r>
          </w:p>
        </w:tc>
      </w:tr>
      <w:tr w:rsidR="00A06C74" w:rsidRPr="00772870" w14:paraId="468097FA" w14:textId="77777777" w:rsidTr="00BF715B">
        <w:trPr>
          <w:trHeight w:val="340"/>
        </w:trPr>
        <w:tc>
          <w:tcPr>
            <w:tcW w:w="2122" w:type="pct"/>
            <w:tcBorders>
              <w:top w:val="nil"/>
              <w:left w:val="nil"/>
              <w:bottom w:val="nil"/>
              <w:right w:val="nil"/>
            </w:tcBorders>
            <w:shd w:val="clear" w:color="auto" w:fill="auto"/>
            <w:noWrap/>
            <w:vAlign w:val="center"/>
            <w:hideMark/>
          </w:tcPr>
          <w:p w14:paraId="2F1E376C" w14:textId="77777777" w:rsidR="00A06C74" w:rsidRPr="00772870" w:rsidRDefault="00A06C74" w:rsidP="001E762F">
            <w:pPr>
              <w:ind w:left="75"/>
              <w:jc w:val="left"/>
              <w:rPr>
                <w:rFonts w:cs="Arial"/>
                <w:color w:val="000000"/>
                <w:sz w:val="20"/>
                <w:szCs w:val="20"/>
              </w:rPr>
            </w:pPr>
            <w:r w:rsidRPr="00772870">
              <w:rPr>
                <w:rFonts w:cs="Arial"/>
                <w:color w:val="000000"/>
                <w:sz w:val="20"/>
                <w:szCs w:val="20"/>
              </w:rPr>
              <w:t>Assistência Social e Promoção da Cidadania [1040]</w:t>
            </w:r>
          </w:p>
        </w:tc>
        <w:tc>
          <w:tcPr>
            <w:tcW w:w="759" w:type="pct"/>
            <w:tcBorders>
              <w:top w:val="nil"/>
              <w:left w:val="single" w:sz="4" w:space="0" w:color="auto"/>
              <w:bottom w:val="nil"/>
              <w:right w:val="single" w:sz="4" w:space="0" w:color="auto"/>
            </w:tcBorders>
            <w:shd w:val="clear" w:color="auto" w:fill="auto"/>
            <w:noWrap/>
            <w:vAlign w:val="center"/>
            <w:hideMark/>
          </w:tcPr>
          <w:p w14:paraId="3540FA7C" w14:textId="77777777" w:rsidR="00A06C74" w:rsidRPr="00772870" w:rsidRDefault="00A06C74" w:rsidP="00BF715B">
            <w:pPr>
              <w:jc w:val="right"/>
              <w:rPr>
                <w:rFonts w:cs="Arial"/>
                <w:color w:val="000000"/>
                <w:sz w:val="20"/>
                <w:szCs w:val="20"/>
              </w:rPr>
            </w:pPr>
            <w:r w:rsidRPr="00772870">
              <w:rPr>
                <w:rFonts w:cs="Arial"/>
                <w:color w:val="000000"/>
                <w:sz w:val="20"/>
                <w:szCs w:val="20"/>
              </w:rPr>
              <w:t>30.139.882</w:t>
            </w:r>
          </w:p>
        </w:tc>
        <w:tc>
          <w:tcPr>
            <w:tcW w:w="454" w:type="pct"/>
            <w:tcBorders>
              <w:top w:val="nil"/>
              <w:left w:val="nil"/>
              <w:bottom w:val="nil"/>
              <w:right w:val="single" w:sz="4" w:space="0" w:color="auto"/>
            </w:tcBorders>
            <w:shd w:val="clear" w:color="auto" w:fill="auto"/>
            <w:noWrap/>
            <w:vAlign w:val="center"/>
            <w:hideMark/>
          </w:tcPr>
          <w:p w14:paraId="18D62F21" w14:textId="77777777" w:rsidR="00A06C74" w:rsidRPr="00772870" w:rsidRDefault="00A06C74" w:rsidP="00BF715B">
            <w:pPr>
              <w:jc w:val="center"/>
              <w:rPr>
                <w:rFonts w:cs="Arial"/>
                <w:color w:val="000000"/>
                <w:sz w:val="20"/>
                <w:szCs w:val="20"/>
              </w:rPr>
            </w:pPr>
            <w:r w:rsidRPr="00772870">
              <w:rPr>
                <w:rFonts w:cs="Arial"/>
                <w:color w:val="000000"/>
                <w:sz w:val="20"/>
                <w:szCs w:val="20"/>
              </w:rPr>
              <w:t>0,60</w:t>
            </w:r>
          </w:p>
        </w:tc>
        <w:tc>
          <w:tcPr>
            <w:tcW w:w="834" w:type="pct"/>
            <w:tcBorders>
              <w:top w:val="nil"/>
              <w:left w:val="nil"/>
              <w:bottom w:val="nil"/>
              <w:right w:val="nil"/>
            </w:tcBorders>
            <w:shd w:val="clear" w:color="auto" w:fill="auto"/>
            <w:noWrap/>
            <w:vAlign w:val="center"/>
            <w:hideMark/>
          </w:tcPr>
          <w:p w14:paraId="6BDAD4C9" w14:textId="77777777" w:rsidR="00A06C74" w:rsidRPr="00772870" w:rsidRDefault="00A06C74" w:rsidP="00BF715B">
            <w:pPr>
              <w:jc w:val="right"/>
              <w:rPr>
                <w:rFonts w:cs="Arial"/>
                <w:color w:val="000000"/>
                <w:sz w:val="20"/>
                <w:szCs w:val="20"/>
              </w:rPr>
            </w:pPr>
            <w:r w:rsidRPr="00772870">
              <w:rPr>
                <w:rFonts w:cs="Arial"/>
                <w:color w:val="000000"/>
                <w:sz w:val="20"/>
                <w:szCs w:val="20"/>
              </w:rPr>
              <w:t>26.717.875</w:t>
            </w:r>
          </w:p>
        </w:tc>
        <w:tc>
          <w:tcPr>
            <w:tcW w:w="831" w:type="pct"/>
            <w:tcBorders>
              <w:top w:val="nil"/>
              <w:left w:val="single" w:sz="4" w:space="0" w:color="auto"/>
              <w:bottom w:val="nil"/>
              <w:right w:val="nil"/>
            </w:tcBorders>
            <w:shd w:val="clear" w:color="auto" w:fill="auto"/>
            <w:noWrap/>
            <w:vAlign w:val="center"/>
            <w:hideMark/>
          </w:tcPr>
          <w:p w14:paraId="45220E04" w14:textId="77777777" w:rsidR="00A06C74" w:rsidRPr="00772870" w:rsidRDefault="00A06C74" w:rsidP="00BF715B">
            <w:pPr>
              <w:jc w:val="right"/>
              <w:rPr>
                <w:rFonts w:cs="Arial"/>
                <w:color w:val="000000"/>
                <w:sz w:val="20"/>
                <w:szCs w:val="20"/>
              </w:rPr>
            </w:pPr>
            <w:r w:rsidRPr="00772870">
              <w:rPr>
                <w:rFonts w:cs="Arial"/>
                <w:color w:val="000000"/>
                <w:sz w:val="20"/>
                <w:szCs w:val="20"/>
              </w:rPr>
              <w:t>26.705.554</w:t>
            </w:r>
          </w:p>
        </w:tc>
      </w:tr>
      <w:tr w:rsidR="00A06C74" w:rsidRPr="00772870" w14:paraId="51C77ED8" w14:textId="77777777" w:rsidTr="00BF715B">
        <w:trPr>
          <w:trHeight w:val="340"/>
        </w:trPr>
        <w:tc>
          <w:tcPr>
            <w:tcW w:w="2122" w:type="pct"/>
            <w:tcBorders>
              <w:top w:val="single" w:sz="4" w:space="0" w:color="auto"/>
              <w:left w:val="nil"/>
              <w:bottom w:val="single" w:sz="4" w:space="0" w:color="auto"/>
              <w:right w:val="nil"/>
            </w:tcBorders>
            <w:shd w:val="clear" w:color="auto" w:fill="auto"/>
            <w:noWrap/>
            <w:vAlign w:val="center"/>
            <w:hideMark/>
          </w:tcPr>
          <w:p w14:paraId="4E533A92" w14:textId="77777777" w:rsidR="00A06C74" w:rsidRPr="00772870" w:rsidRDefault="00A06C74" w:rsidP="00BF715B">
            <w:pPr>
              <w:jc w:val="center"/>
              <w:rPr>
                <w:rFonts w:cs="Arial"/>
                <w:b/>
                <w:bCs/>
                <w:color w:val="000000"/>
                <w:sz w:val="20"/>
                <w:szCs w:val="20"/>
              </w:rPr>
            </w:pPr>
            <w:r w:rsidRPr="00772870">
              <w:rPr>
                <w:rFonts w:cs="Arial"/>
                <w:b/>
                <w:bCs/>
                <w:color w:val="000000"/>
                <w:sz w:val="20"/>
                <w:szCs w:val="20"/>
              </w:rPr>
              <w:t>Total</w:t>
            </w:r>
          </w:p>
        </w:tc>
        <w:tc>
          <w:tcPr>
            <w:tcW w:w="7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FACA54" w14:textId="77777777" w:rsidR="00A06C74" w:rsidRPr="00772870" w:rsidRDefault="00A06C74" w:rsidP="00BF715B">
            <w:pPr>
              <w:jc w:val="right"/>
              <w:rPr>
                <w:rFonts w:cs="Arial"/>
                <w:b/>
                <w:bCs/>
                <w:color w:val="000000"/>
                <w:sz w:val="20"/>
                <w:szCs w:val="20"/>
              </w:rPr>
            </w:pPr>
            <w:r w:rsidRPr="00772870">
              <w:rPr>
                <w:rFonts w:cs="Arial"/>
                <w:b/>
                <w:bCs/>
                <w:color w:val="000000"/>
                <w:sz w:val="20"/>
                <w:szCs w:val="20"/>
              </w:rPr>
              <w:t>5.015.109.547</w:t>
            </w:r>
          </w:p>
        </w:tc>
        <w:tc>
          <w:tcPr>
            <w:tcW w:w="454" w:type="pct"/>
            <w:tcBorders>
              <w:top w:val="single" w:sz="4" w:space="0" w:color="auto"/>
              <w:left w:val="nil"/>
              <w:bottom w:val="single" w:sz="4" w:space="0" w:color="auto"/>
              <w:right w:val="single" w:sz="4" w:space="0" w:color="auto"/>
            </w:tcBorders>
            <w:shd w:val="clear" w:color="auto" w:fill="auto"/>
            <w:noWrap/>
            <w:vAlign w:val="center"/>
            <w:hideMark/>
          </w:tcPr>
          <w:p w14:paraId="5530E9CE" w14:textId="77777777" w:rsidR="00A06C74" w:rsidRPr="00772870" w:rsidRDefault="00A06C74" w:rsidP="00BF715B">
            <w:pPr>
              <w:jc w:val="center"/>
              <w:rPr>
                <w:rFonts w:cs="Arial"/>
                <w:b/>
                <w:bCs/>
                <w:color w:val="000000"/>
                <w:sz w:val="20"/>
                <w:szCs w:val="20"/>
              </w:rPr>
            </w:pPr>
            <w:r w:rsidRPr="00772870">
              <w:rPr>
                <w:rFonts w:cs="Arial"/>
                <w:b/>
                <w:bCs/>
                <w:color w:val="000000"/>
                <w:sz w:val="20"/>
                <w:szCs w:val="20"/>
              </w:rPr>
              <w:t>100,00</w:t>
            </w:r>
          </w:p>
        </w:tc>
        <w:tc>
          <w:tcPr>
            <w:tcW w:w="834" w:type="pct"/>
            <w:tcBorders>
              <w:top w:val="single" w:sz="4" w:space="0" w:color="auto"/>
              <w:left w:val="nil"/>
              <w:bottom w:val="single" w:sz="4" w:space="0" w:color="auto"/>
              <w:right w:val="nil"/>
            </w:tcBorders>
            <w:shd w:val="clear" w:color="auto" w:fill="auto"/>
            <w:noWrap/>
            <w:vAlign w:val="center"/>
            <w:hideMark/>
          </w:tcPr>
          <w:p w14:paraId="50867640" w14:textId="77777777" w:rsidR="00A06C74" w:rsidRPr="00772870" w:rsidRDefault="00A06C74" w:rsidP="00BF715B">
            <w:pPr>
              <w:jc w:val="right"/>
              <w:rPr>
                <w:rFonts w:cs="Arial"/>
                <w:b/>
                <w:bCs/>
                <w:color w:val="000000"/>
                <w:sz w:val="20"/>
                <w:szCs w:val="20"/>
              </w:rPr>
            </w:pPr>
            <w:r w:rsidRPr="00772870">
              <w:rPr>
                <w:rFonts w:cs="Arial"/>
                <w:b/>
                <w:bCs/>
                <w:color w:val="000000"/>
                <w:sz w:val="20"/>
                <w:szCs w:val="20"/>
              </w:rPr>
              <w:t>4.703.952.995</w:t>
            </w:r>
          </w:p>
        </w:tc>
        <w:tc>
          <w:tcPr>
            <w:tcW w:w="831" w:type="pct"/>
            <w:tcBorders>
              <w:top w:val="single" w:sz="4" w:space="0" w:color="auto"/>
              <w:left w:val="single" w:sz="4" w:space="0" w:color="auto"/>
              <w:bottom w:val="single" w:sz="4" w:space="0" w:color="auto"/>
              <w:right w:val="nil"/>
            </w:tcBorders>
            <w:shd w:val="clear" w:color="auto" w:fill="auto"/>
            <w:noWrap/>
            <w:vAlign w:val="center"/>
            <w:hideMark/>
          </w:tcPr>
          <w:p w14:paraId="51735D1A" w14:textId="77777777" w:rsidR="00A06C74" w:rsidRPr="00772870" w:rsidRDefault="00A06C74" w:rsidP="00BF715B">
            <w:pPr>
              <w:jc w:val="right"/>
              <w:rPr>
                <w:rFonts w:cs="Arial"/>
                <w:b/>
                <w:bCs/>
                <w:color w:val="000000"/>
                <w:sz w:val="20"/>
                <w:szCs w:val="20"/>
              </w:rPr>
            </w:pPr>
            <w:r w:rsidRPr="00772870">
              <w:rPr>
                <w:rFonts w:cs="Arial"/>
                <w:b/>
                <w:bCs/>
                <w:color w:val="000000"/>
                <w:sz w:val="20"/>
                <w:szCs w:val="20"/>
              </w:rPr>
              <w:t>4.671.185.330</w:t>
            </w:r>
          </w:p>
        </w:tc>
      </w:tr>
    </w:tbl>
    <w:p w14:paraId="6D59FA7C" w14:textId="77777777" w:rsidR="00A06C74" w:rsidRPr="000A5737" w:rsidRDefault="00A06C74" w:rsidP="00A06C74">
      <w:pPr>
        <w:pStyle w:val="1-FONTE8ESQ"/>
      </w:pPr>
      <w:r w:rsidRPr="000A5737">
        <w:t xml:space="preserve">Fonte: </w:t>
      </w:r>
      <w:r w:rsidRPr="00772870">
        <w:rPr>
          <w:i/>
        </w:rPr>
        <w:t>Business Objects</w:t>
      </w:r>
      <w:r w:rsidRPr="000A5737">
        <w:t xml:space="preserve"> e RREO 6º bimestre/2023</w:t>
      </w:r>
    </w:p>
    <w:p w14:paraId="2FEB54F8" w14:textId="77777777" w:rsidR="00A06C74" w:rsidRDefault="00A06C74" w:rsidP="00A06C74">
      <w:pPr>
        <w:pStyle w:val="1-REL11"/>
      </w:pPr>
      <w:r>
        <w:t xml:space="preserve">O programa de governo 1043 – Saúde Integral, responsável por 75,42% das despesas executadas na Função Saúde em 2023, tem por objetivo proporcionar maior longevidade e uma </w:t>
      </w:r>
      <w:r>
        <w:lastRenderedPageBreak/>
        <w:t>vida saudável aos cidadãos goianos por meio de cuidados à sua saúde em tempo e na medida de suas necessidades.</w:t>
      </w:r>
    </w:p>
    <w:p w14:paraId="7227738D" w14:textId="77777777" w:rsidR="00A06C74" w:rsidRDefault="00A06C74" w:rsidP="00A06C74">
      <w:pPr>
        <w:pStyle w:val="1-REL11"/>
      </w:pPr>
      <w:r>
        <w:t>A despesa executada por ação, aglutinadas em “Demais Ações” aquelas menores em participação que somam menos de 10%, estão apresentadas abaixo:</w:t>
      </w:r>
    </w:p>
    <w:p w14:paraId="6E88D0AC" w14:textId="77777777" w:rsidR="00A06C74" w:rsidRDefault="00A06C74" w:rsidP="00736A8C">
      <w:pPr>
        <w:pStyle w:val="0-TABELA"/>
        <w:numPr>
          <w:ilvl w:val="0"/>
          <w:numId w:val="53"/>
        </w:numPr>
        <w:tabs>
          <w:tab w:val="clear" w:pos="1560"/>
          <w:tab w:val="left" w:pos="1134"/>
        </w:tabs>
        <w:spacing w:before="0" w:after="0"/>
        <w:ind w:left="0" w:firstLine="0"/>
      </w:pPr>
      <w:bookmarkStart w:id="320" w:name="_Toc167871800"/>
      <w:r>
        <w:t>Despesa na Função Saúde por Ação</w:t>
      </w:r>
      <w:bookmarkEnd w:id="320"/>
    </w:p>
    <w:p w14:paraId="11BA386B" w14:textId="77777777" w:rsidR="00A06C74" w:rsidRPr="004F1B95" w:rsidRDefault="00A06C74" w:rsidP="00A06C74">
      <w:pPr>
        <w:pStyle w:val="0-EmR"/>
        <w:rPr>
          <w:lang w:eastAsia="en-US"/>
        </w:rPr>
      </w:pPr>
      <w:r>
        <w:rPr>
          <w:lang w:eastAsia="en-US"/>
        </w:rPr>
        <w:t>R$ 1</w:t>
      </w:r>
    </w:p>
    <w:tbl>
      <w:tblPr>
        <w:tblW w:w="5000" w:type="pct"/>
        <w:tblLayout w:type="fixed"/>
        <w:tblCellMar>
          <w:left w:w="70" w:type="dxa"/>
          <w:right w:w="70" w:type="dxa"/>
        </w:tblCellMar>
        <w:tblLook w:val="04A0" w:firstRow="1" w:lastRow="0" w:firstColumn="1" w:lastColumn="0" w:noHBand="0" w:noVBand="1"/>
      </w:tblPr>
      <w:tblGrid>
        <w:gridCol w:w="4111"/>
        <w:gridCol w:w="1560"/>
        <w:gridCol w:w="857"/>
        <w:gridCol w:w="1418"/>
        <w:gridCol w:w="1407"/>
      </w:tblGrid>
      <w:tr w:rsidR="00A06C74" w:rsidRPr="00772870" w14:paraId="228B83F1" w14:textId="77777777" w:rsidTr="003325A2">
        <w:trPr>
          <w:trHeight w:val="284"/>
          <w:tblHeader/>
        </w:trPr>
        <w:tc>
          <w:tcPr>
            <w:tcW w:w="2198" w:type="pct"/>
            <w:tcBorders>
              <w:top w:val="single" w:sz="4" w:space="0" w:color="auto"/>
              <w:left w:val="nil"/>
              <w:bottom w:val="single" w:sz="4" w:space="0" w:color="auto"/>
              <w:right w:val="nil"/>
            </w:tcBorders>
            <w:shd w:val="clear" w:color="000000" w:fill="A1F2FD"/>
            <w:noWrap/>
            <w:tcMar>
              <w:top w:w="28" w:type="dxa"/>
              <w:bottom w:w="28" w:type="dxa"/>
            </w:tcMar>
            <w:vAlign w:val="center"/>
            <w:hideMark/>
          </w:tcPr>
          <w:p w14:paraId="301323EF" w14:textId="77777777" w:rsidR="00A06C74" w:rsidRPr="00772870" w:rsidRDefault="00A06C74" w:rsidP="00BF715B">
            <w:pPr>
              <w:jc w:val="center"/>
              <w:rPr>
                <w:rFonts w:cs="Arial"/>
                <w:b/>
                <w:bCs/>
                <w:color w:val="000000"/>
                <w:sz w:val="20"/>
                <w:szCs w:val="20"/>
              </w:rPr>
            </w:pPr>
            <w:r w:rsidRPr="00772870">
              <w:rPr>
                <w:rFonts w:cs="Arial"/>
                <w:b/>
                <w:bCs/>
                <w:color w:val="000000"/>
                <w:sz w:val="20"/>
                <w:szCs w:val="20"/>
              </w:rPr>
              <w:t>Ação</w:t>
            </w:r>
          </w:p>
        </w:tc>
        <w:tc>
          <w:tcPr>
            <w:tcW w:w="834" w:type="pct"/>
            <w:tcBorders>
              <w:top w:val="single" w:sz="4" w:space="0" w:color="auto"/>
              <w:left w:val="single" w:sz="4" w:space="0" w:color="auto"/>
              <w:bottom w:val="single" w:sz="4" w:space="0" w:color="auto"/>
              <w:right w:val="single" w:sz="4" w:space="0" w:color="auto"/>
            </w:tcBorders>
            <w:shd w:val="clear" w:color="000000" w:fill="A1F2FD"/>
            <w:noWrap/>
            <w:tcMar>
              <w:top w:w="28" w:type="dxa"/>
              <w:bottom w:w="28" w:type="dxa"/>
            </w:tcMar>
            <w:vAlign w:val="center"/>
            <w:hideMark/>
          </w:tcPr>
          <w:p w14:paraId="6956511A" w14:textId="77777777" w:rsidR="00A06C74" w:rsidRPr="00772870" w:rsidRDefault="00A06C74" w:rsidP="00772870">
            <w:pPr>
              <w:ind w:hanging="66"/>
              <w:jc w:val="center"/>
              <w:rPr>
                <w:rFonts w:cs="Arial"/>
                <w:b/>
                <w:bCs/>
                <w:color w:val="000000"/>
                <w:sz w:val="20"/>
                <w:szCs w:val="20"/>
              </w:rPr>
            </w:pPr>
            <w:r w:rsidRPr="00772870">
              <w:rPr>
                <w:rFonts w:cs="Arial"/>
                <w:b/>
                <w:bCs/>
                <w:color w:val="000000"/>
                <w:sz w:val="20"/>
                <w:szCs w:val="20"/>
              </w:rPr>
              <w:t>Empenhada</w:t>
            </w:r>
          </w:p>
        </w:tc>
        <w:tc>
          <w:tcPr>
            <w:tcW w:w="458" w:type="pct"/>
            <w:tcBorders>
              <w:top w:val="single" w:sz="4" w:space="0" w:color="auto"/>
              <w:left w:val="nil"/>
              <w:bottom w:val="single" w:sz="4" w:space="0" w:color="auto"/>
              <w:right w:val="nil"/>
            </w:tcBorders>
            <w:shd w:val="clear" w:color="000000" w:fill="A1F2FD"/>
            <w:noWrap/>
            <w:tcMar>
              <w:top w:w="28" w:type="dxa"/>
              <w:bottom w:w="28" w:type="dxa"/>
            </w:tcMar>
            <w:vAlign w:val="center"/>
            <w:hideMark/>
          </w:tcPr>
          <w:p w14:paraId="2F724503" w14:textId="77777777" w:rsidR="00A06C74" w:rsidRPr="00772870" w:rsidRDefault="00A06C74" w:rsidP="00BF715B">
            <w:pPr>
              <w:jc w:val="center"/>
              <w:rPr>
                <w:rFonts w:cs="Arial"/>
                <w:b/>
                <w:bCs/>
                <w:color w:val="000000"/>
                <w:sz w:val="20"/>
                <w:szCs w:val="20"/>
              </w:rPr>
            </w:pPr>
            <w:r w:rsidRPr="00772870">
              <w:rPr>
                <w:rFonts w:cs="Arial"/>
                <w:b/>
                <w:bCs/>
                <w:color w:val="000000"/>
                <w:sz w:val="20"/>
                <w:szCs w:val="20"/>
              </w:rPr>
              <w:t>AV %</w:t>
            </w:r>
          </w:p>
        </w:tc>
        <w:tc>
          <w:tcPr>
            <w:tcW w:w="758" w:type="pct"/>
            <w:tcBorders>
              <w:top w:val="single" w:sz="4" w:space="0" w:color="auto"/>
              <w:left w:val="single" w:sz="4" w:space="0" w:color="auto"/>
              <w:bottom w:val="single" w:sz="4" w:space="0" w:color="auto"/>
              <w:right w:val="single" w:sz="4" w:space="0" w:color="auto"/>
            </w:tcBorders>
            <w:shd w:val="clear" w:color="D9E1F2" w:fill="A1F2FD"/>
            <w:noWrap/>
            <w:tcMar>
              <w:top w:w="28" w:type="dxa"/>
              <w:bottom w:w="28" w:type="dxa"/>
            </w:tcMar>
            <w:vAlign w:val="center"/>
            <w:hideMark/>
          </w:tcPr>
          <w:p w14:paraId="4DCE5383" w14:textId="77777777" w:rsidR="00A06C74" w:rsidRPr="00772870" w:rsidRDefault="00A06C74" w:rsidP="00772870">
            <w:pPr>
              <w:ind w:hanging="75"/>
              <w:jc w:val="center"/>
              <w:rPr>
                <w:rFonts w:cs="Arial"/>
                <w:b/>
                <w:bCs/>
                <w:color w:val="000000"/>
                <w:sz w:val="20"/>
                <w:szCs w:val="20"/>
              </w:rPr>
            </w:pPr>
            <w:r w:rsidRPr="00772870">
              <w:rPr>
                <w:rFonts w:cs="Arial"/>
                <w:b/>
                <w:bCs/>
                <w:color w:val="000000"/>
                <w:sz w:val="20"/>
                <w:szCs w:val="20"/>
              </w:rPr>
              <w:t>Liquidada</w:t>
            </w:r>
          </w:p>
        </w:tc>
        <w:tc>
          <w:tcPr>
            <w:tcW w:w="752" w:type="pct"/>
            <w:tcBorders>
              <w:top w:val="single" w:sz="4" w:space="0" w:color="auto"/>
              <w:left w:val="nil"/>
              <w:bottom w:val="single" w:sz="4" w:space="0" w:color="auto"/>
              <w:right w:val="nil"/>
            </w:tcBorders>
            <w:shd w:val="clear" w:color="D9E1F2" w:fill="A1F2FD"/>
            <w:noWrap/>
            <w:tcMar>
              <w:top w:w="28" w:type="dxa"/>
              <w:bottom w:w="28" w:type="dxa"/>
            </w:tcMar>
            <w:vAlign w:val="center"/>
            <w:hideMark/>
          </w:tcPr>
          <w:p w14:paraId="7F66B71B" w14:textId="77777777" w:rsidR="00A06C74" w:rsidRPr="00772870" w:rsidRDefault="00A06C74" w:rsidP="00772870">
            <w:pPr>
              <w:ind w:hanging="82"/>
              <w:jc w:val="center"/>
              <w:rPr>
                <w:rFonts w:cs="Arial"/>
                <w:b/>
                <w:bCs/>
                <w:color w:val="000000"/>
                <w:sz w:val="20"/>
                <w:szCs w:val="20"/>
              </w:rPr>
            </w:pPr>
            <w:r w:rsidRPr="00772870">
              <w:rPr>
                <w:rFonts w:cs="Arial"/>
                <w:b/>
                <w:bCs/>
                <w:color w:val="000000"/>
                <w:sz w:val="20"/>
                <w:szCs w:val="20"/>
              </w:rPr>
              <w:t>Paga</w:t>
            </w:r>
          </w:p>
        </w:tc>
      </w:tr>
      <w:tr w:rsidR="00A06C74" w:rsidRPr="00772870" w14:paraId="4C2E6705" w14:textId="77777777" w:rsidTr="003325A2">
        <w:trPr>
          <w:trHeight w:val="284"/>
        </w:trPr>
        <w:tc>
          <w:tcPr>
            <w:tcW w:w="2198" w:type="pct"/>
            <w:tcBorders>
              <w:top w:val="nil"/>
              <w:left w:val="nil"/>
              <w:bottom w:val="nil"/>
              <w:right w:val="nil"/>
            </w:tcBorders>
            <w:shd w:val="clear" w:color="auto" w:fill="auto"/>
            <w:noWrap/>
            <w:tcMar>
              <w:top w:w="28" w:type="dxa"/>
              <w:bottom w:w="28" w:type="dxa"/>
            </w:tcMar>
            <w:vAlign w:val="center"/>
            <w:hideMark/>
          </w:tcPr>
          <w:p w14:paraId="5D517536" w14:textId="77777777" w:rsidR="00A06C74" w:rsidRPr="00772870" w:rsidRDefault="00A06C74" w:rsidP="003325A2">
            <w:pPr>
              <w:ind w:left="75"/>
              <w:jc w:val="left"/>
              <w:rPr>
                <w:rFonts w:cs="Arial"/>
                <w:color w:val="000000"/>
                <w:sz w:val="20"/>
                <w:szCs w:val="20"/>
              </w:rPr>
            </w:pPr>
            <w:r w:rsidRPr="00772870">
              <w:rPr>
                <w:rFonts w:cs="Arial"/>
                <w:color w:val="000000"/>
                <w:sz w:val="20"/>
                <w:szCs w:val="20"/>
              </w:rPr>
              <w:t>Atendimento Assistencial em Saúde [2149]</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190A8F75" w14:textId="77777777" w:rsidR="00A06C74" w:rsidRPr="00772870" w:rsidRDefault="00A06C74" w:rsidP="00772870">
            <w:pPr>
              <w:ind w:hanging="66"/>
              <w:jc w:val="right"/>
              <w:rPr>
                <w:rFonts w:cs="Arial"/>
                <w:color w:val="000000"/>
                <w:sz w:val="20"/>
                <w:szCs w:val="20"/>
              </w:rPr>
            </w:pPr>
            <w:r w:rsidRPr="00772870">
              <w:rPr>
                <w:rFonts w:cs="Arial"/>
                <w:color w:val="000000"/>
                <w:sz w:val="20"/>
                <w:szCs w:val="20"/>
              </w:rPr>
              <w:t>2.815.074.129</w:t>
            </w:r>
          </w:p>
        </w:tc>
        <w:tc>
          <w:tcPr>
            <w:tcW w:w="458" w:type="pct"/>
            <w:tcBorders>
              <w:top w:val="nil"/>
              <w:left w:val="nil"/>
              <w:bottom w:val="nil"/>
              <w:right w:val="nil"/>
            </w:tcBorders>
            <w:shd w:val="clear" w:color="auto" w:fill="auto"/>
            <w:noWrap/>
            <w:tcMar>
              <w:top w:w="28" w:type="dxa"/>
              <w:bottom w:w="28" w:type="dxa"/>
            </w:tcMar>
            <w:vAlign w:val="center"/>
            <w:hideMark/>
          </w:tcPr>
          <w:p w14:paraId="452E3220" w14:textId="77777777" w:rsidR="00A06C74" w:rsidRPr="00772870" w:rsidRDefault="00A06C74" w:rsidP="00BF715B">
            <w:pPr>
              <w:jc w:val="center"/>
              <w:rPr>
                <w:rFonts w:cs="Arial"/>
                <w:color w:val="000000"/>
                <w:sz w:val="20"/>
                <w:szCs w:val="20"/>
              </w:rPr>
            </w:pPr>
            <w:r w:rsidRPr="00772870">
              <w:rPr>
                <w:rFonts w:cs="Arial"/>
                <w:color w:val="000000"/>
                <w:sz w:val="20"/>
                <w:szCs w:val="20"/>
              </w:rPr>
              <w:t>56,13</w:t>
            </w:r>
          </w:p>
        </w:tc>
        <w:tc>
          <w:tcPr>
            <w:tcW w:w="758"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1845DF6D" w14:textId="77777777" w:rsidR="00A06C74" w:rsidRPr="00772870" w:rsidRDefault="00A06C74" w:rsidP="00772870">
            <w:pPr>
              <w:ind w:hanging="75"/>
              <w:jc w:val="right"/>
              <w:rPr>
                <w:rFonts w:cs="Arial"/>
                <w:color w:val="000000"/>
                <w:sz w:val="20"/>
                <w:szCs w:val="20"/>
              </w:rPr>
            </w:pPr>
            <w:r w:rsidRPr="00772870">
              <w:rPr>
                <w:rFonts w:cs="Arial"/>
                <w:color w:val="000000"/>
                <w:sz w:val="20"/>
                <w:szCs w:val="20"/>
              </w:rPr>
              <w:t>2.729.137.936</w:t>
            </w:r>
          </w:p>
        </w:tc>
        <w:tc>
          <w:tcPr>
            <w:tcW w:w="752" w:type="pct"/>
            <w:tcBorders>
              <w:top w:val="nil"/>
              <w:left w:val="nil"/>
              <w:bottom w:val="nil"/>
              <w:right w:val="nil"/>
            </w:tcBorders>
            <w:shd w:val="clear" w:color="auto" w:fill="auto"/>
            <w:noWrap/>
            <w:tcMar>
              <w:top w:w="28" w:type="dxa"/>
              <w:bottom w:w="28" w:type="dxa"/>
            </w:tcMar>
            <w:vAlign w:val="center"/>
            <w:hideMark/>
          </w:tcPr>
          <w:p w14:paraId="4B991E5B" w14:textId="77777777" w:rsidR="00A06C74" w:rsidRPr="00772870" w:rsidRDefault="00A06C74" w:rsidP="00772870">
            <w:pPr>
              <w:ind w:hanging="82"/>
              <w:jc w:val="right"/>
              <w:rPr>
                <w:rFonts w:cs="Arial"/>
                <w:color w:val="000000"/>
                <w:sz w:val="20"/>
                <w:szCs w:val="20"/>
              </w:rPr>
            </w:pPr>
            <w:r w:rsidRPr="00772870">
              <w:rPr>
                <w:rFonts w:cs="Arial"/>
                <w:color w:val="000000"/>
                <w:sz w:val="20"/>
                <w:szCs w:val="20"/>
              </w:rPr>
              <w:t>2.707.189.733</w:t>
            </w:r>
          </w:p>
        </w:tc>
      </w:tr>
      <w:tr w:rsidR="00A06C74" w:rsidRPr="00772870" w14:paraId="67A8D933" w14:textId="77777777" w:rsidTr="003325A2">
        <w:trPr>
          <w:trHeight w:val="284"/>
        </w:trPr>
        <w:tc>
          <w:tcPr>
            <w:tcW w:w="2198" w:type="pct"/>
            <w:tcBorders>
              <w:top w:val="nil"/>
              <w:left w:val="nil"/>
              <w:bottom w:val="nil"/>
              <w:right w:val="nil"/>
            </w:tcBorders>
            <w:shd w:val="clear" w:color="auto" w:fill="auto"/>
            <w:noWrap/>
            <w:tcMar>
              <w:top w:w="28" w:type="dxa"/>
              <w:bottom w:w="28" w:type="dxa"/>
            </w:tcMar>
            <w:vAlign w:val="center"/>
            <w:hideMark/>
          </w:tcPr>
          <w:p w14:paraId="2B32FC1D" w14:textId="77777777" w:rsidR="00A06C74" w:rsidRPr="00772870" w:rsidRDefault="00A06C74" w:rsidP="003325A2">
            <w:pPr>
              <w:ind w:left="75"/>
              <w:jc w:val="left"/>
              <w:rPr>
                <w:rFonts w:cs="Arial"/>
                <w:color w:val="000000"/>
                <w:sz w:val="20"/>
                <w:szCs w:val="20"/>
              </w:rPr>
            </w:pPr>
            <w:r w:rsidRPr="00772870">
              <w:rPr>
                <w:rFonts w:cs="Arial"/>
                <w:color w:val="000000"/>
                <w:sz w:val="20"/>
                <w:szCs w:val="20"/>
              </w:rPr>
              <w:t>Folha de Pagamento de Servidores Públicos [4144]</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5DFEC172" w14:textId="77777777" w:rsidR="00A06C74" w:rsidRPr="00772870" w:rsidRDefault="00A06C74" w:rsidP="00772870">
            <w:pPr>
              <w:ind w:hanging="66"/>
              <w:jc w:val="right"/>
              <w:rPr>
                <w:rFonts w:cs="Arial"/>
                <w:color w:val="000000"/>
                <w:sz w:val="20"/>
                <w:szCs w:val="20"/>
              </w:rPr>
            </w:pPr>
            <w:r w:rsidRPr="00772870">
              <w:rPr>
                <w:rFonts w:cs="Arial"/>
                <w:color w:val="000000"/>
                <w:sz w:val="20"/>
                <w:szCs w:val="20"/>
              </w:rPr>
              <w:t>758.950.959</w:t>
            </w:r>
          </w:p>
        </w:tc>
        <w:tc>
          <w:tcPr>
            <w:tcW w:w="458" w:type="pct"/>
            <w:tcBorders>
              <w:top w:val="nil"/>
              <w:left w:val="nil"/>
              <w:bottom w:val="nil"/>
              <w:right w:val="nil"/>
            </w:tcBorders>
            <w:shd w:val="clear" w:color="auto" w:fill="auto"/>
            <w:noWrap/>
            <w:tcMar>
              <w:top w:w="28" w:type="dxa"/>
              <w:bottom w:w="28" w:type="dxa"/>
            </w:tcMar>
            <w:vAlign w:val="center"/>
            <w:hideMark/>
          </w:tcPr>
          <w:p w14:paraId="1150153F" w14:textId="77777777" w:rsidR="00A06C74" w:rsidRPr="00772870" w:rsidRDefault="00A06C74" w:rsidP="00BF715B">
            <w:pPr>
              <w:jc w:val="center"/>
              <w:rPr>
                <w:rFonts w:cs="Arial"/>
                <w:color w:val="000000"/>
                <w:sz w:val="20"/>
                <w:szCs w:val="20"/>
              </w:rPr>
            </w:pPr>
            <w:r w:rsidRPr="00772870">
              <w:rPr>
                <w:rFonts w:cs="Arial"/>
                <w:color w:val="000000"/>
                <w:sz w:val="20"/>
                <w:szCs w:val="20"/>
              </w:rPr>
              <w:t>15,13</w:t>
            </w:r>
          </w:p>
        </w:tc>
        <w:tc>
          <w:tcPr>
            <w:tcW w:w="758"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484BDBC4" w14:textId="77777777" w:rsidR="00A06C74" w:rsidRPr="00772870" w:rsidRDefault="00A06C74" w:rsidP="00772870">
            <w:pPr>
              <w:ind w:hanging="75"/>
              <w:jc w:val="right"/>
              <w:rPr>
                <w:rFonts w:cs="Arial"/>
                <w:color w:val="000000"/>
                <w:sz w:val="20"/>
                <w:szCs w:val="20"/>
              </w:rPr>
            </w:pPr>
            <w:r w:rsidRPr="00772870">
              <w:rPr>
                <w:rFonts w:cs="Arial"/>
                <w:color w:val="000000"/>
                <w:sz w:val="20"/>
                <w:szCs w:val="20"/>
              </w:rPr>
              <w:t>758.950.959</w:t>
            </w:r>
          </w:p>
        </w:tc>
        <w:tc>
          <w:tcPr>
            <w:tcW w:w="752" w:type="pct"/>
            <w:tcBorders>
              <w:top w:val="nil"/>
              <w:left w:val="nil"/>
              <w:bottom w:val="nil"/>
              <w:right w:val="nil"/>
            </w:tcBorders>
            <w:shd w:val="clear" w:color="auto" w:fill="auto"/>
            <w:noWrap/>
            <w:tcMar>
              <w:top w:w="28" w:type="dxa"/>
              <w:bottom w:w="28" w:type="dxa"/>
            </w:tcMar>
            <w:vAlign w:val="center"/>
            <w:hideMark/>
          </w:tcPr>
          <w:p w14:paraId="213ACBCA" w14:textId="77777777" w:rsidR="00A06C74" w:rsidRPr="00772870" w:rsidRDefault="00A06C74" w:rsidP="00772870">
            <w:pPr>
              <w:ind w:hanging="82"/>
              <w:jc w:val="right"/>
              <w:rPr>
                <w:rFonts w:cs="Arial"/>
                <w:color w:val="000000"/>
                <w:sz w:val="20"/>
                <w:szCs w:val="20"/>
              </w:rPr>
            </w:pPr>
            <w:r w:rsidRPr="00772870">
              <w:rPr>
                <w:rFonts w:cs="Arial"/>
                <w:color w:val="000000"/>
                <w:sz w:val="20"/>
                <w:szCs w:val="20"/>
              </w:rPr>
              <w:t>758.939.873</w:t>
            </w:r>
          </w:p>
        </w:tc>
      </w:tr>
      <w:tr w:rsidR="00A06C74" w:rsidRPr="00772870" w14:paraId="17542B5B" w14:textId="77777777" w:rsidTr="003325A2">
        <w:trPr>
          <w:trHeight w:val="284"/>
        </w:trPr>
        <w:tc>
          <w:tcPr>
            <w:tcW w:w="2198" w:type="pct"/>
            <w:tcBorders>
              <w:top w:val="nil"/>
              <w:left w:val="nil"/>
              <w:bottom w:val="nil"/>
              <w:right w:val="nil"/>
            </w:tcBorders>
            <w:shd w:val="clear" w:color="auto" w:fill="auto"/>
            <w:noWrap/>
            <w:tcMar>
              <w:top w:w="28" w:type="dxa"/>
              <w:bottom w:w="28" w:type="dxa"/>
            </w:tcMar>
            <w:vAlign w:val="center"/>
            <w:hideMark/>
          </w:tcPr>
          <w:p w14:paraId="53A16B0B" w14:textId="77777777" w:rsidR="00A06C74" w:rsidRPr="00772870" w:rsidRDefault="00A06C74" w:rsidP="003325A2">
            <w:pPr>
              <w:ind w:left="75"/>
              <w:jc w:val="left"/>
              <w:rPr>
                <w:rFonts w:cs="Arial"/>
                <w:color w:val="000000"/>
                <w:sz w:val="20"/>
                <w:szCs w:val="20"/>
              </w:rPr>
            </w:pPr>
            <w:r w:rsidRPr="00772870">
              <w:rPr>
                <w:rFonts w:cs="Arial"/>
                <w:color w:val="000000"/>
                <w:sz w:val="20"/>
                <w:szCs w:val="20"/>
              </w:rPr>
              <w:t>Assistência Farmacêutica e Insumos Estratégicos na Atenção à Saúde [2081]</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729465F3" w14:textId="77777777" w:rsidR="00A06C74" w:rsidRPr="00772870" w:rsidRDefault="00A06C74" w:rsidP="00772870">
            <w:pPr>
              <w:ind w:hanging="66"/>
              <w:jc w:val="right"/>
              <w:rPr>
                <w:rFonts w:cs="Arial"/>
                <w:color w:val="000000"/>
                <w:sz w:val="20"/>
                <w:szCs w:val="20"/>
              </w:rPr>
            </w:pPr>
            <w:r w:rsidRPr="00772870">
              <w:rPr>
                <w:rFonts w:cs="Arial"/>
                <w:color w:val="000000"/>
                <w:sz w:val="20"/>
                <w:szCs w:val="20"/>
              </w:rPr>
              <w:t>288.608.199</w:t>
            </w:r>
          </w:p>
        </w:tc>
        <w:tc>
          <w:tcPr>
            <w:tcW w:w="458" w:type="pct"/>
            <w:tcBorders>
              <w:top w:val="nil"/>
              <w:left w:val="nil"/>
              <w:bottom w:val="nil"/>
              <w:right w:val="nil"/>
            </w:tcBorders>
            <w:shd w:val="clear" w:color="auto" w:fill="auto"/>
            <w:noWrap/>
            <w:tcMar>
              <w:top w:w="28" w:type="dxa"/>
              <w:bottom w:w="28" w:type="dxa"/>
            </w:tcMar>
            <w:vAlign w:val="center"/>
            <w:hideMark/>
          </w:tcPr>
          <w:p w14:paraId="42181D21" w14:textId="77777777" w:rsidR="00A06C74" w:rsidRPr="00772870" w:rsidRDefault="00A06C74" w:rsidP="00BF715B">
            <w:pPr>
              <w:jc w:val="center"/>
              <w:rPr>
                <w:rFonts w:cs="Arial"/>
                <w:color w:val="000000"/>
                <w:sz w:val="20"/>
                <w:szCs w:val="20"/>
              </w:rPr>
            </w:pPr>
            <w:r w:rsidRPr="00772870">
              <w:rPr>
                <w:rFonts w:cs="Arial"/>
                <w:color w:val="000000"/>
                <w:sz w:val="20"/>
                <w:szCs w:val="20"/>
              </w:rPr>
              <w:t>5,75</w:t>
            </w:r>
          </w:p>
        </w:tc>
        <w:tc>
          <w:tcPr>
            <w:tcW w:w="758"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32224C96" w14:textId="77777777" w:rsidR="00A06C74" w:rsidRPr="00772870" w:rsidRDefault="00A06C74" w:rsidP="00772870">
            <w:pPr>
              <w:ind w:hanging="75"/>
              <w:jc w:val="right"/>
              <w:rPr>
                <w:rFonts w:cs="Arial"/>
                <w:color w:val="000000"/>
                <w:sz w:val="20"/>
                <w:szCs w:val="20"/>
              </w:rPr>
            </w:pPr>
            <w:r w:rsidRPr="00772870">
              <w:rPr>
                <w:rFonts w:cs="Arial"/>
                <w:color w:val="000000"/>
                <w:sz w:val="20"/>
                <w:szCs w:val="20"/>
              </w:rPr>
              <w:t>269.479.706</w:t>
            </w:r>
          </w:p>
        </w:tc>
        <w:tc>
          <w:tcPr>
            <w:tcW w:w="752" w:type="pct"/>
            <w:tcBorders>
              <w:top w:val="nil"/>
              <w:left w:val="nil"/>
              <w:bottom w:val="nil"/>
              <w:right w:val="nil"/>
            </w:tcBorders>
            <w:shd w:val="clear" w:color="auto" w:fill="auto"/>
            <w:noWrap/>
            <w:tcMar>
              <w:top w:w="28" w:type="dxa"/>
              <w:bottom w:w="28" w:type="dxa"/>
            </w:tcMar>
            <w:vAlign w:val="center"/>
            <w:hideMark/>
          </w:tcPr>
          <w:p w14:paraId="68E0E8E9" w14:textId="77777777" w:rsidR="00A06C74" w:rsidRPr="00772870" w:rsidRDefault="00A06C74" w:rsidP="00772870">
            <w:pPr>
              <w:ind w:hanging="82"/>
              <w:jc w:val="right"/>
              <w:rPr>
                <w:rFonts w:cs="Arial"/>
                <w:color w:val="000000"/>
                <w:sz w:val="20"/>
                <w:szCs w:val="20"/>
              </w:rPr>
            </w:pPr>
            <w:r w:rsidRPr="00772870">
              <w:rPr>
                <w:rFonts w:cs="Arial"/>
                <w:color w:val="000000"/>
                <w:sz w:val="20"/>
                <w:szCs w:val="20"/>
              </w:rPr>
              <w:t>264.549.302</w:t>
            </w:r>
          </w:p>
        </w:tc>
      </w:tr>
      <w:tr w:rsidR="00A06C74" w:rsidRPr="00772870" w14:paraId="1EFE3FFE" w14:textId="77777777" w:rsidTr="003325A2">
        <w:trPr>
          <w:trHeight w:val="284"/>
        </w:trPr>
        <w:tc>
          <w:tcPr>
            <w:tcW w:w="2198" w:type="pct"/>
            <w:tcBorders>
              <w:top w:val="nil"/>
              <w:left w:val="nil"/>
              <w:bottom w:val="nil"/>
              <w:right w:val="nil"/>
            </w:tcBorders>
            <w:shd w:val="clear" w:color="auto" w:fill="auto"/>
            <w:noWrap/>
            <w:tcMar>
              <w:top w:w="28" w:type="dxa"/>
              <w:bottom w:w="28" w:type="dxa"/>
            </w:tcMar>
            <w:vAlign w:val="center"/>
            <w:hideMark/>
          </w:tcPr>
          <w:p w14:paraId="13100D71" w14:textId="77777777" w:rsidR="00A06C74" w:rsidRPr="00772870" w:rsidRDefault="00A06C74" w:rsidP="003325A2">
            <w:pPr>
              <w:ind w:left="75"/>
              <w:jc w:val="left"/>
              <w:rPr>
                <w:rFonts w:cs="Arial"/>
                <w:color w:val="000000"/>
                <w:sz w:val="20"/>
                <w:szCs w:val="20"/>
              </w:rPr>
            </w:pPr>
            <w:r w:rsidRPr="00772870">
              <w:rPr>
                <w:rFonts w:cs="Arial"/>
                <w:color w:val="000000"/>
                <w:sz w:val="20"/>
                <w:szCs w:val="20"/>
              </w:rPr>
              <w:t>Atenção à Saúde de Média e Alta Complexidade [2148]</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69E0512F" w14:textId="77777777" w:rsidR="00A06C74" w:rsidRPr="00772870" w:rsidRDefault="00A06C74" w:rsidP="00772870">
            <w:pPr>
              <w:ind w:hanging="66"/>
              <w:jc w:val="right"/>
              <w:rPr>
                <w:rFonts w:cs="Arial"/>
                <w:color w:val="000000"/>
                <w:sz w:val="20"/>
                <w:szCs w:val="20"/>
              </w:rPr>
            </w:pPr>
            <w:r w:rsidRPr="00772870">
              <w:rPr>
                <w:rFonts w:cs="Arial"/>
                <w:color w:val="000000"/>
                <w:sz w:val="20"/>
                <w:szCs w:val="20"/>
              </w:rPr>
              <w:t>258.438.666</w:t>
            </w:r>
          </w:p>
        </w:tc>
        <w:tc>
          <w:tcPr>
            <w:tcW w:w="458" w:type="pct"/>
            <w:tcBorders>
              <w:top w:val="nil"/>
              <w:left w:val="nil"/>
              <w:bottom w:val="nil"/>
              <w:right w:val="nil"/>
            </w:tcBorders>
            <w:shd w:val="clear" w:color="auto" w:fill="auto"/>
            <w:noWrap/>
            <w:tcMar>
              <w:top w:w="28" w:type="dxa"/>
              <w:bottom w:w="28" w:type="dxa"/>
            </w:tcMar>
            <w:vAlign w:val="center"/>
            <w:hideMark/>
          </w:tcPr>
          <w:p w14:paraId="5D976D8F" w14:textId="77777777" w:rsidR="00A06C74" w:rsidRPr="00772870" w:rsidRDefault="00A06C74" w:rsidP="00BF715B">
            <w:pPr>
              <w:jc w:val="center"/>
              <w:rPr>
                <w:rFonts w:cs="Arial"/>
                <w:color w:val="000000"/>
                <w:sz w:val="20"/>
                <w:szCs w:val="20"/>
              </w:rPr>
            </w:pPr>
            <w:r w:rsidRPr="00772870">
              <w:rPr>
                <w:rFonts w:cs="Arial"/>
                <w:color w:val="000000"/>
                <w:sz w:val="20"/>
                <w:szCs w:val="20"/>
              </w:rPr>
              <w:t>5,15</w:t>
            </w:r>
          </w:p>
        </w:tc>
        <w:tc>
          <w:tcPr>
            <w:tcW w:w="758"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1552FFF6" w14:textId="77777777" w:rsidR="00A06C74" w:rsidRPr="00772870" w:rsidRDefault="00A06C74" w:rsidP="00772870">
            <w:pPr>
              <w:ind w:hanging="75"/>
              <w:jc w:val="right"/>
              <w:rPr>
                <w:rFonts w:cs="Arial"/>
                <w:color w:val="000000"/>
                <w:sz w:val="20"/>
                <w:szCs w:val="20"/>
              </w:rPr>
            </w:pPr>
            <w:r w:rsidRPr="00772870">
              <w:rPr>
                <w:rFonts w:cs="Arial"/>
                <w:color w:val="000000"/>
                <w:sz w:val="20"/>
                <w:szCs w:val="20"/>
              </w:rPr>
              <w:t>206.513.587</w:t>
            </w:r>
          </w:p>
        </w:tc>
        <w:tc>
          <w:tcPr>
            <w:tcW w:w="752" w:type="pct"/>
            <w:tcBorders>
              <w:top w:val="nil"/>
              <w:left w:val="nil"/>
              <w:bottom w:val="nil"/>
              <w:right w:val="nil"/>
            </w:tcBorders>
            <w:shd w:val="clear" w:color="auto" w:fill="auto"/>
            <w:noWrap/>
            <w:tcMar>
              <w:top w:w="28" w:type="dxa"/>
              <w:bottom w:w="28" w:type="dxa"/>
            </w:tcMar>
            <w:vAlign w:val="center"/>
            <w:hideMark/>
          </w:tcPr>
          <w:p w14:paraId="2C324142" w14:textId="77777777" w:rsidR="00A06C74" w:rsidRPr="00772870" w:rsidRDefault="00A06C74" w:rsidP="00772870">
            <w:pPr>
              <w:ind w:hanging="82"/>
              <w:jc w:val="right"/>
              <w:rPr>
                <w:rFonts w:cs="Arial"/>
                <w:color w:val="000000"/>
                <w:sz w:val="20"/>
                <w:szCs w:val="20"/>
              </w:rPr>
            </w:pPr>
            <w:r w:rsidRPr="00772870">
              <w:rPr>
                <w:rFonts w:cs="Arial"/>
                <w:color w:val="000000"/>
                <w:sz w:val="20"/>
                <w:szCs w:val="20"/>
              </w:rPr>
              <w:t>205.756.803</w:t>
            </w:r>
          </w:p>
        </w:tc>
      </w:tr>
      <w:tr w:rsidR="00A06C74" w:rsidRPr="00772870" w14:paraId="7803FF5B" w14:textId="77777777" w:rsidTr="003325A2">
        <w:trPr>
          <w:trHeight w:val="284"/>
        </w:trPr>
        <w:tc>
          <w:tcPr>
            <w:tcW w:w="2198" w:type="pct"/>
            <w:tcBorders>
              <w:top w:val="nil"/>
              <w:left w:val="nil"/>
              <w:bottom w:val="nil"/>
              <w:right w:val="nil"/>
            </w:tcBorders>
            <w:shd w:val="clear" w:color="auto" w:fill="auto"/>
            <w:noWrap/>
            <w:tcMar>
              <w:top w:w="28" w:type="dxa"/>
              <w:bottom w:w="28" w:type="dxa"/>
            </w:tcMar>
            <w:vAlign w:val="center"/>
            <w:hideMark/>
          </w:tcPr>
          <w:p w14:paraId="1AE9C3E6" w14:textId="77777777" w:rsidR="00A06C74" w:rsidRPr="00772870" w:rsidRDefault="00A06C74" w:rsidP="003325A2">
            <w:pPr>
              <w:ind w:left="75"/>
              <w:jc w:val="left"/>
              <w:rPr>
                <w:rFonts w:cs="Arial"/>
                <w:color w:val="000000"/>
                <w:sz w:val="20"/>
                <w:szCs w:val="20"/>
              </w:rPr>
            </w:pPr>
            <w:r w:rsidRPr="00772870">
              <w:rPr>
                <w:rFonts w:cs="Arial"/>
                <w:color w:val="000000"/>
                <w:sz w:val="20"/>
                <w:szCs w:val="20"/>
              </w:rPr>
              <w:t>Projetos e Atividades na Área da Saúde Decorrentes de Emendas Parlamentares Impositivas - LOA 2023 [3141]</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150D131E" w14:textId="77777777" w:rsidR="00A06C74" w:rsidRPr="00772870" w:rsidRDefault="00A06C74" w:rsidP="00772870">
            <w:pPr>
              <w:ind w:hanging="66"/>
              <w:jc w:val="right"/>
              <w:rPr>
                <w:rFonts w:cs="Arial"/>
                <w:color w:val="000000"/>
                <w:sz w:val="20"/>
                <w:szCs w:val="20"/>
              </w:rPr>
            </w:pPr>
            <w:r w:rsidRPr="00772870">
              <w:rPr>
                <w:rFonts w:cs="Arial"/>
                <w:color w:val="000000"/>
                <w:sz w:val="20"/>
                <w:szCs w:val="20"/>
              </w:rPr>
              <w:t>223.605.631</w:t>
            </w:r>
          </w:p>
        </w:tc>
        <w:tc>
          <w:tcPr>
            <w:tcW w:w="458" w:type="pct"/>
            <w:tcBorders>
              <w:top w:val="nil"/>
              <w:left w:val="nil"/>
              <w:bottom w:val="nil"/>
              <w:right w:val="nil"/>
            </w:tcBorders>
            <w:shd w:val="clear" w:color="auto" w:fill="auto"/>
            <w:noWrap/>
            <w:tcMar>
              <w:top w:w="28" w:type="dxa"/>
              <w:bottom w:w="28" w:type="dxa"/>
            </w:tcMar>
            <w:vAlign w:val="center"/>
            <w:hideMark/>
          </w:tcPr>
          <w:p w14:paraId="31A32118" w14:textId="77777777" w:rsidR="00A06C74" w:rsidRPr="00772870" w:rsidRDefault="00A06C74" w:rsidP="00BF715B">
            <w:pPr>
              <w:jc w:val="center"/>
              <w:rPr>
                <w:rFonts w:cs="Arial"/>
                <w:color w:val="000000"/>
                <w:sz w:val="20"/>
                <w:szCs w:val="20"/>
              </w:rPr>
            </w:pPr>
            <w:r w:rsidRPr="00772870">
              <w:rPr>
                <w:rFonts w:cs="Arial"/>
                <w:color w:val="000000"/>
                <w:sz w:val="20"/>
                <w:szCs w:val="20"/>
              </w:rPr>
              <w:t>4,46</w:t>
            </w:r>
          </w:p>
        </w:tc>
        <w:tc>
          <w:tcPr>
            <w:tcW w:w="758"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5A395C3A" w14:textId="77777777" w:rsidR="00A06C74" w:rsidRPr="00772870" w:rsidRDefault="00A06C74" w:rsidP="00772870">
            <w:pPr>
              <w:ind w:hanging="75"/>
              <w:jc w:val="right"/>
              <w:rPr>
                <w:rFonts w:cs="Arial"/>
                <w:color w:val="000000"/>
                <w:sz w:val="20"/>
                <w:szCs w:val="20"/>
              </w:rPr>
            </w:pPr>
            <w:r w:rsidRPr="00772870">
              <w:rPr>
                <w:rFonts w:cs="Arial"/>
                <w:color w:val="000000"/>
                <w:sz w:val="20"/>
                <w:szCs w:val="20"/>
              </w:rPr>
              <w:t>208.127.535</w:t>
            </w:r>
          </w:p>
        </w:tc>
        <w:tc>
          <w:tcPr>
            <w:tcW w:w="752" w:type="pct"/>
            <w:tcBorders>
              <w:top w:val="nil"/>
              <w:left w:val="nil"/>
              <w:bottom w:val="nil"/>
              <w:right w:val="nil"/>
            </w:tcBorders>
            <w:shd w:val="clear" w:color="auto" w:fill="auto"/>
            <w:noWrap/>
            <w:tcMar>
              <w:top w:w="28" w:type="dxa"/>
              <w:bottom w:w="28" w:type="dxa"/>
            </w:tcMar>
            <w:vAlign w:val="center"/>
            <w:hideMark/>
          </w:tcPr>
          <w:p w14:paraId="6593F3FC" w14:textId="77777777" w:rsidR="00A06C74" w:rsidRPr="00772870" w:rsidRDefault="00A06C74" w:rsidP="00772870">
            <w:pPr>
              <w:ind w:hanging="82"/>
              <w:jc w:val="right"/>
              <w:rPr>
                <w:rFonts w:cs="Arial"/>
                <w:color w:val="000000"/>
                <w:sz w:val="20"/>
                <w:szCs w:val="20"/>
              </w:rPr>
            </w:pPr>
            <w:r w:rsidRPr="00772870">
              <w:rPr>
                <w:rFonts w:cs="Arial"/>
                <w:color w:val="000000"/>
                <w:sz w:val="20"/>
                <w:szCs w:val="20"/>
              </w:rPr>
              <w:t>203.586.535</w:t>
            </w:r>
          </w:p>
        </w:tc>
      </w:tr>
      <w:tr w:rsidR="00A06C74" w:rsidRPr="00772870" w14:paraId="3BA3AC42" w14:textId="77777777" w:rsidTr="003325A2">
        <w:trPr>
          <w:trHeight w:val="284"/>
        </w:trPr>
        <w:tc>
          <w:tcPr>
            <w:tcW w:w="2198" w:type="pct"/>
            <w:tcBorders>
              <w:top w:val="nil"/>
              <w:left w:val="nil"/>
              <w:bottom w:val="nil"/>
              <w:right w:val="nil"/>
            </w:tcBorders>
            <w:shd w:val="clear" w:color="auto" w:fill="auto"/>
            <w:noWrap/>
            <w:tcMar>
              <w:top w:w="28" w:type="dxa"/>
              <w:bottom w:w="28" w:type="dxa"/>
            </w:tcMar>
            <w:vAlign w:val="center"/>
            <w:hideMark/>
          </w:tcPr>
          <w:p w14:paraId="4C684D14" w14:textId="77777777" w:rsidR="00A06C74" w:rsidRPr="00772870" w:rsidRDefault="00A06C74" w:rsidP="003325A2">
            <w:pPr>
              <w:ind w:left="75"/>
              <w:jc w:val="left"/>
              <w:rPr>
                <w:rFonts w:cs="Arial"/>
                <w:color w:val="000000"/>
                <w:sz w:val="20"/>
                <w:szCs w:val="20"/>
              </w:rPr>
            </w:pPr>
            <w:r w:rsidRPr="00772870">
              <w:rPr>
                <w:rFonts w:cs="Arial"/>
                <w:color w:val="000000"/>
                <w:sz w:val="20"/>
                <w:szCs w:val="20"/>
              </w:rPr>
              <w:t>Cofinanciamento em Atenção Básica aos Municípios [2305]</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5861DE64" w14:textId="77777777" w:rsidR="00A06C74" w:rsidRPr="00772870" w:rsidRDefault="00A06C74" w:rsidP="00772870">
            <w:pPr>
              <w:ind w:hanging="66"/>
              <w:jc w:val="right"/>
              <w:rPr>
                <w:rFonts w:cs="Arial"/>
                <w:color w:val="000000"/>
                <w:sz w:val="20"/>
                <w:szCs w:val="20"/>
              </w:rPr>
            </w:pPr>
            <w:r w:rsidRPr="00772870">
              <w:rPr>
                <w:rFonts w:cs="Arial"/>
                <w:color w:val="000000"/>
                <w:sz w:val="20"/>
                <w:szCs w:val="20"/>
              </w:rPr>
              <w:t>91.449.020</w:t>
            </w:r>
          </w:p>
        </w:tc>
        <w:tc>
          <w:tcPr>
            <w:tcW w:w="458" w:type="pct"/>
            <w:tcBorders>
              <w:top w:val="nil"/>
              <w:left w:val="nil"/>
              <w:bottom w:val="nil"/>
              <w:right w:val="nil"/>
            </w:tcBorders>
            <w:shd w:val="clear" w:color="auto" w:fill="auto"/>
            <w:noWrap/>
            <w:tcMar>
              <w:top w:w="28" w:type="dxa"/>
              <w:bottom w:w="28" w:type="dxa"/>
            </w:tcMar>
            <w:vAlign w:val="center"/>
            <w:hideMark/>
          </w:tcPr>
          <w:p w14:paraId="3D9D9245" w14:textId="77777777" w:rsidR="00A06C74" w:rsidRPr="00772870" w:rsidRDefault="00A06C74" w:rsidP="00BF715B">
            <w:pPr>
              <w:jc w:val="center"/>
              <w:rPr>
                <w:rFonts w:cs="Arial"/>
                <w:color w:val="000000"/>
                <w:sz w:val="20"/>
                <w:szCs w:val="20"/>
              </w:rPr>
            </w:pPr>
            <w:r w:rsidRPr="00772870">
              <w:rPr>
                <w:rFonts w:cs="Arial"/>
                <w:color w:val="000000"/>
                <w:sz w:val="20"/>
                <w:szCs w:val="20"/>
              </w:rPr>
              <w:t>1,82</w:t>
            </w:r>
          </w:p>
        </w:tc>
        <w:tc>
          <w:tcPr>
            <w:tcW w:w="758"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61014924" w14:textId="77777777" w:rsidR="00A06C74" w:rsidRPr="00772870" w:rsidRDefault="00A06C74" w:rsidP="00772870">
            <w:pPr>
              <w:ind w:hanging="75"/>
              <w:jc w:val="right"/>
              <w:rPr>
                <w:rFonts w:cs="Arial"/>
                <w:color w:val="000000"/>
                <w:sz w:val="20"/>
                <w:szCs w:val="20"/>
              </w:rPr>
            </w:pPr>
            <w:r w:rsidRPr="00772870">
              <w:rPr>
                <w:rFonts w:cs="Arial"/>
                <w:color w:val="000000"/>
                <w:sz w:val="20"/>
                <w:szCs w:val="20"/>
              </w:rPr>
              <w:t>91.249.020</w:t>
            </w:r>
          </w:p>
        </w:tc>
        <w:tc>
          <w:tcPr>
            <w:tcW w:w="752" w:type="pct"/>
            <w:tcBorders>
              <w:top w:val="nil"/>
              <w:left w:val="nil"/>
              <w:bottom w:val="nil"/>
              <w:right w:val="nil"/>
            </w:tcBorders>
            <w:shd w:val="clear" w:color="auto" w:fill="auto"/>
            <w:noWrap/>
            <w:tcMar>
              <w:top w:w="28" w:type="dxa"/>
              <w:bottom w:w="28" w:type="dxa"/>
            </w:tcMar>
            <w:vAlign w:val="center"/>
            <w:hideMark/>
          </w:tcPr>
          <w:p w14:paraId="095FCF63" w14:textId="77777777" w:rsidR="00A06C74" w:rsidRPr="00772870" w:rsidRDefault="00A06C74" w:rsidP="00772870">
            <w:pPr>
              <w:ind w:hanging="82"/>
              <w:jc w:val="right"/>
              <w:rPr>
                <w:rFonts w:cs="Arial"/>
                <w:color w:val="000000"/>
                <w:sz w:val="20"/>
                <w:szCs w:val="20"/>
              </w:rPr>
            </w:pPr>
            <w:r w:rsidRPr="00772870">
              <w:rPr>
                <w:rFonts w:cs="Arial"/>
                <w:color w:val="000000"/>
                <w:sz w:val="20"/>
                <w:szCs w:val="20"/>
              </w:rPr>
              <w:t>91.249.020</w:t>
            </w:r>
          </w:p>
        </w:tc>
      </w:tr>
      <w:tr w:rsidR="00A06C74" w:rsidRPr="00772870" w14:paraId="211F1E12" w14:textId="77777777" w:rsidTr="003325A2">
        <w:trPr>
          <w:trHeight w:val="284"/>
        </w:trPr>
        <w:tc>
          <w:tcPr>
            <w:tcW w:w="2198" w:type="pct"/>
            <w:tcBorders>
              <w:top w:val="nil"/>
              <w:left w:val="nil"/>
              <w:bottom w:val="nil"/>
              <w:right w:val="nil"/>
            </w:tcBorders>
            <w:shd w:val="clear" w:color="auto" w:fill="auto"/>
            <w:noWrap/>
            <w:tcMar>
              <w:top w:w="28" w:type="dxa"/>
              <w:bottom w:w="28" w:type="dxa"/>
            </w:tcMar>
            <w:vAlign w:val="center"/>
            <w:hideMark/>
          </w:tcPr>
          <w:p w14:paraId="111428A9" w14:textId="77777777" w:rsidR="00A06C74" w:rsidRPr="00772870" w:rsidRDefault="00A06C74" w:rsidP="003325A2">
            <w:pPr>
              <w:ind w:left="75"/>
              <w:jc w:val="left"/>
              <w:rPr>
                <w:rFonts w:cs="Arial"/>
                <w:color w:val="000000"/>
                <w:sz w:val="20"/>
                <w:szCs w:val="20"/>
              </w:rPr>
            </w:pPr>
            <w:r w:rsidRPr="00772870">
              <w:rPr>
                <w:rFonts w:cs="Arial"/>
                <w:color w:val="000000"/>
                <w:sz w:val="20"/>
                <w:szCs w:val="20"/>
              </w:rPr>
              <w:t>Gestão e Manutenção das Atividades [4243]</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4D689636" w14:textId="77777777" w:rsidR="00A06C74" w:rsidRPr="00772870" w:rsidRDefault="00A06C74" w:rsidP="00772870">
            <w:pPr>
              <w:ind w:hanging="66"/>
              <w:jc w:val="right"/>
              <w:rPr>
                <w:rFonts w:cs="Arial"/>
                <w:color w:val="000000"/>
                <w:sz w:val="20"/>
                <w:szCs w:val="20"/>
              </w:rPr>
            </w:pPr>
            <w:r w:rsidRPr="00772870">
              <w:rPr>
                <w:rFonts w:cs="Arial"/>
                <w:color w:val="000000"/>
                <w:sz w:val="20"/>
                <w:szCs w:val="20"/>
              </w:rPr>
              <w:t>81.202.613</w:t>
            </w:r>
          </w:p>
        </w:tc>
        <w:tc>
          <w:tcPr>
            <w:tcW w:w="458" w:type="pct"/>
            <w:tcBorders>
              <w:top w:val="nil"/>
              <w:left w:val="nil"/>
              <w:bottom w:val="nil"/>
              <w:right w:val="nil"/>
            </w:tcBorders>
            <w:shd w:val="clear" w:color="auto" w:fill="auto"/>
            <w:noWrap/>
            <w:tcMar>
              <w:top w:w="28" w:type="dxa"/>
              <w:bottom w:w="28" w:type="dxa"/>
            </w:tcMar>
            <w:vAlign w:val="center"/>
            <w:hideMark/>
          </w:tcPr>
          <w:p w14:paraId="40578603" w14:textId="77777777" w:rsidR="00A06C74" w:rsidRPr="00772870" w:rsidRDefault="00A06C74" w:rsidP="00BF715B">
            <w:pPr>
              <w:jc w:val="center"/>
              <w:rPr>
                <w:rFonts w:cs="Arial"/>
                <w:color w:val="000000"/>
                <w:sz w:val="20"/>
                <w:szCs w:val="20"/>
              </w:rPr>
            </w:pPr>
            <w:r w:rsidRPr="00772870">
              <w:rPr>
                <w:rFonts w:cs="Arial"/>
                <w:color w:val="000000"/>
                <w:sz w:val="20"/>
                <w:szCs w:val="20"/>
              </w:rPr>
              <w:t>1,62</w:t>
            </w:r>
          </w:p>
        </w:tc>
        <w:tc>
          <w:tcPr>
            <w:tcW w:w="758"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78BCE63F" w14:textId="77777777" w:rsidR="00A06C74" w:rsidRPr="00772870" w:rsidRDefault="00A06C74" w:rsidP="00772870">
            <w:pPr>
              <w:ind w:hanging="75"/>
              <w:jc w:val="right"/>
              <w:rPr>
                <w:rFonts w:cs="Arial"/>
                <w:color w:val="000000"/>
                <w:sz w:val="20"/>
                <w:szCs w:val="20"/>
              </w:rPr>
            </w:pPr>
            <w:r w:rsidRPr="00772870">
              <w:rPr>
                <w:rFonts w:cs="Arial"/>
                <w:color w:val="000000"/>
                <w:sz w:val="20"/>
                <w:szCs w:val="20"/>
              </w:rPr>
              <w:t>70.128.780</w:t>
            </w:r>
          </w:p>
        </w:tc>
        <w:tc>
          <w:tcPr>
            <w:tcW w:w="752" w:type="pct"/>
            <w:tcBorders>
              <w:top w:val="nil"/>
              <w:left w:val="nil"/>
              <w:bottom w:val="nil"/>
              <w:right w:val="nil"/>
            </w:tcBorders>
            <w:shd w:val="clear" w:color="auto" w:fill="auto"/>
            <w:noWrap/>
            <w:tcMar>
              <w:top w:w="28" w:type="dxa"/>
              <w:bottom w:w="28" w:type="dxa"/>
            </w:tcMar>
            <w:vAlign w:val="center"/>
            <w:hideMark/>
          </w:tcPr>
          <w:p w14:paraId="01D9F1D5" w14:textId="77777777" w:rsidR="00A06C74" w:rsidRPr="00772870" w:rsidRDefault="00A06C74" w:rsidP="00772870">
            <w:pPr>
              <w:ind w:hanging="82"/>
              <w:jc w:val="right"/>
              <w:rPr>
                <w:rFonts w:cs="Arial"/>
                <w:color w:val="000000"/>
                <w:sz w:val="20"/>
                <w:szCs w:val="20"/>
              </w:rPr>
            </w:pPr>
            <w:r w:rsidRPr="00772870">
              <w:rPr>
                <w:rFonts w:cs="Arial"/>
                <w:color w:val="000000"/>
                <w:sz w:val="20"/>
                <w:szCs w:val="20"/>
              </w:rPr>
              <w:t>69.860.814</w:t>
            </w:r>
          </w:p>
        </w:tc>
      </w:tr>
      <w:tr w:rsidR="00A06C74" w:rsidRPr="00772870" w14:paraId="043F6A7F" w14:textId="77777777" w:rsidTr="003325A2">
        <w:trPr>
          <w:trHeight w:val="284"/>
        </w:trPr>
        <w:tc>
          <w:tcPr>
            <w:tcW w:w="2198" w:type="pct"/>
            <w:tcBorders>
              <w:top w:val="nil"/>
              <w:left w:val="nil"/>
              <w:bottom w:val="single" w:sz="4" w:space="0" w:color="auto"/>
              <w:right w:val="nil"/>
            </w:tcBorders>
            <w:shd w:val="clear" w:color="auto" w:fill="auto"/>
            <w:noWrap/>
            <w:tcMar>
              <w:top w:w="28" w:type="dxa"/>
              <w:bottom w:w="28" w:type="dxa"/>
            </w:tcMar>
            <w:vAlign w:val="center"/>
            <w:hideMark/>
          </w:tcPr>
          <w:p w14:paraId="41D15A07" w14:textId="77777777" w:rsidR="00A06C74" w:rsidRPr="00772870" w:rsidRDefault="00A06C74" w:rsidP="003325A2">
            <w:pPr>
              <w:ind w:left="75"/>
              <w:jc w:val="left"/>
              <w:rPr>
                <w:rFonts w:cs="Arial"/>
                <w:color w:val="000000"/>
                <w:sz w:val="20"/>
                <w:szCs w:val="20"/>
              </w:rPr>
            </w:pPr>
            <w:r w:rsidRPr="00772870">
              <w:rPr>
                <w:rFonts w:cs="Arial"/>
                <w:color w:val="000000"/>
                <w:sz w:val="20"/>
                <w:szCs w:val="20"/>
              </w:rPr>
              <w:t>Demais Ações</w:t>
            </w:r>
          </w:p>
        </w:tc>
        <w:tc>
          <w:tcPr>
            <w:tcW w:w="834" w:type="pct"/>
            <w:tcBorders>
              <w:top w:val="nil"/>
              <w:left w:val="single" w:sz="4" w:space="0" w:color="auto"/>
              <w:bottom w:val="single" w:sz="4" w:space="0" w:color="auto"/>
              <w:right w:val="single" w:sz="4" w:space="0" w:color="auto"/>
            </w:tcBorders>
            <w:shd w:val="clear" w:color="auto" w:fill="auto"/>
            <w:noWrap/>
            <w:tcMar>
              <w:top w:w="28" w:type="dxa"/>
              <w:bottom w:w="28" w:type="dxa"/>
            </w:tcMar>
            <w:vAlign w:val="center"/>
            <w:hideMark/>
          </w:tcPr>
          <w:p w14:paraId="1777A5F2" w14:textId="77777777" w:rsidR="00A06C74" w:rsidRPr="00772870" w:rsidRDefault="00A06C74" w:rsidP="00772870">
            <w:pPr>
              <w:ind w:hanging="66"/>
              <w:jc w:val="right"/>
              <w:rPr>
                <w:rFonts w:cs="Arial"/>
                <w:color w:val="000000"/>
                <w:sz w:val="20"/>
                <w:szCs w:val="20"/>
              </w:rPr>
            </w:pPr>
            <w:r w:rsidRPr="00772870">
              <w:rPr>
                <w:rFonts w:cs="Arial"/>
                <w:color w:val="000000"/>
                <w:sz w:val="20"/>
                <w:szCs w:val="20"/>
              </w:rPr>
              <w:t>80.501.493</w:t>
            </w:r>
          </w:p>
        </w:tc>
        <w:tc>
          <w:tcPr>
            <w:tcW w:w="458" w:type="pct"/>
            <w:tcBorders>
              <w:top w:val="nil"/>
              <w:left w:val="nil"/>
              <w:bottom w:val="single" w:sz="4" w:space="0" w:color="auto"/>
              <w:right w:val="nil"/>
            </w:tcBorders>
            <w:shd w:val="clear" w:color="auto" w:fill="auto"/>
            <w:noWrap/>
            <w:tcMar>
              <w:top w:w="28" w:type="dxa"/>
              <w:bottom w:w="28" w:type="dxa"/>
            </w:tcMar>
            <w:vAlign w:val="center"/>
            <w:hideMark/>
          </w:tcPr>
          <w:p w14:paraId="642601DD" w14:textId="77777777" w:rsidR="00A06C74" w:rsidRPr="00772870" w:rsidRDefault="00A06C74" w:rsidP="00BF715B">
            <w:pPr>
              <w:jc w:val="center"/>
              <w:rPr>
                <w:rFonts w:cs="Arial"/>
                <w:color w:val="000000"/>
                <w:sz w:val="20"/>
                <w:szCs w:val="20"/>
              </w:rPr>
            </w:pPr>
            <w:r w:rsidRPr="00772870">
              <w:rPr>
                <w:rFonts w:cs="Arial"/>
                <w:color w:val="000000"/>
                <w:sz w:val="20"/>
                <w:szCs w:val="20"/>
              </w:rPr>
              <w:t>1,61</w:t>
            </w:r>
          </w:p>
        </w:tc>
        <w:tc>
          <w:tcPr>
            <w:tcW w:w="758" w:type="pct"/>
            <w:tcBorders>
              <w:top w:val="nil"/>
              <w:left w:val="single" w:sz="4" w:space="0" w:color="auto"/>
              <w:bottom w:val="single" w:sz="4" w:space="0" w:color="auto"/>
              <w:right w:val="single" w:sz="4" w:space="0" w:color="auto"/>
            </w:tcBorders>
            <w:shd w:val="clear" w:color="auto" w:fill="auto"/>
            <w:noWrap/>
            <w:tcMar>
              <w:top w:w="28" w:type="dxa"/>
              <w:bottom w:w="28" w:type="dxa"/>
            </w:tcMar>
            <w:vAlign w:val="center"/>
            <w:hideMark/>
          </w:tcPr>
          <w:p w14:paraId="21226A08" w14:textId="77777777" w:rsidR="00A06C74" w:rsidRPr="00772870" w:rsidRDefault="00A06C74" w:rsidP="00772870">
            <w:pPr>
              <w:ind w:hanging="75"/>
              <w:jc w:val="right"/>
              <w:rPr>
                <w:rFonts w:cs="Arial"/>
                <w:color w:val="000000"/>
                <w:sz w:val="20"/>
                <w:szCs w:val="20"/>
              </w:rPr>
            </w:pPr>
            <w:r w:rsidRPr="00772870">
              <w:rPr>
                <w:rFonts w:cs="Arial"/>
                <w:color w:val="000000"/>
                <w:sz w:val="20"/>
                <w:szCs w:val="20"/>
              </w:rPr>
              <w:t>80.501.493</w:t>
            </w:r>
          </w:p>
        </w:tc>
        <w:tc>
          <w:tcPr>
            <w:tcW w:w="752" w:type="pct"/>
            <w:tcBorders>
              <w:top w:val="nil"/>
              <w:left w:val="nil"/>
              <w:bottom w:val="single" w:sz="4" w:space="0" w:color="auto"/>
              <w:right w:val="nil"/>
            </w:tcBorders>
            <w:shd w:val="clear" w:color="auto" w:fill="auto"/>
            <w:noWrap/>
            <w:tcMar>
              <w:top w:w="28" w:type="dxa"/>
              <w:bottom w:w="28" w:type="dxa"/>
            </w:tcMar>
            <w:vAlign w:val="center"/>
            <w:hideMark/>
          </w:tcPr>
          <w:p w14:paraId="404A7A37" w14:textId="77777777" w:rsidR="00A06C74" w:rsidRPr="00772870" w:rsidRDefault="00A06C74" w:rsidP="00772870">
            <w:pPr>
              <w:ind w:hanging="82"/>
              <w:jc w:val="right"/>
              <w:rPr>
                <w:rFonts w:cs="Arial"/>
                <w:color w:val="000000"/>
                <w:sz w:val="20"/>
                <w:szCs w:val="20"/>
              </w:rPr>
            </w:pPr>
            <w:r w:rsidRPr="00772870">
              <w:rPr>
                <w:rFonts w:cs="Arial"/>
                <w:color w:val="000000"/>
                <w:sz w:val="20"/>
                <w:szCs w:val="20"/>
              </w:rPr>
              <w:t>80.501.493</w:t>
            </w:r>
          </w:p>
        </w:tc>
      </w:tr>
      <w:tr w:rsidR="00A06C74" w:rsidRPr="00772870" w14:paraId="301A2909" w14:textId="77777777" w:rsidTr="003325A2">
        <w:trPr>
          <w:trHeight w:val="284"/>
        </w:trPr>
        <w:tc>
          <w:tcPr>
            <w:tcW w:w="2198" w:type="pct"/>
            <w:tcBorders>
              <w:top w:val="single" w:sz="4" w:space="0" w:color="auto"/>
              <w:left w:val="nil"/>
              <w:bottom w:val="single" w:sz="4" w:space="0" w:color="auto"/>
              <w:right w:val="nil"/>
            </w:tcBorders>
            <w:shd w:val="clear" w:color="auto" w:fill="auto"/>
            <w:noWrap/>
            <w:tcMar>
              <w:top w:w="28" w:type="dxa"/>
              <w:bottom w:w="28" w:type="dxa"/>
            </w:tcMar>
            <w:vAlign w:val="center"/>
          </w:tcPr>
          <w:p w14:paraId="0FE54DCD" w14:textId="77777777" w:rsidR="00A06C74" w:rsidRPr="00772870" w:rsidRDefault="00A06C74" w:rsidP="00BF715B">
            <w:pPr>
              <w:jc w:val="center"/>
              <w:rPr>
                <w:rFonts w:cs="Arial"/>
                <w:color w:val="000000"/>
                <w:sz w:val="20"/>
                <w:szCs w:val="20"/>
              </w:rPr>
            </w:pPr>
            <w:r w:rsidRPr="00772870">
              <w:rPr>
                <w:rFonts w:cs="Arial"/>
                <w:b/>
                <w:bCs/>
                <w:color w:val="000000"/>
                <w:sz w:val="20"/>
                <w:szCs w:val="20"/>
              </w:rPr>
              <w:t>Total</w:t>
            </w:r>
          </w:p>
        </w:tc>
        <w:tc>
          <w:tcPr>
            <w:tcW w:w="834"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AE665C5" w14:textId="77777777" w:rsidR="00A06C74" w:rsidRPr="00772870" w:rsidRDefault="00A06C74" w:rsidP="00772870">
            <w:pPr>
              <w:ind w:hanging="66"/>
              <w:jc w:val="right"/>
              <w:rPr>
                <w:rFonts w:cs="Arial"/>
                <w:color w:val="000000"/>
                <w:sz w:val="20"/>
                <w:szCs w:val="20"/>
              </w:rPr>
            </w:pPr>
            <w:r w:rsidRPr="00772870">
              <w:rPr>
                <w:rFonts w:cs="Arial"/>
                <w:b/>
                <w:bCs/>
                <w:color w:val="000000"/>
                <w:sz w:val="20"/>
                <w:szCs w:val="20"/>
              </w:rPr>
              <w:t>5.015.109.547</w:t>
            </w:r>
          </w:p>
        </w:tc>
        <w:tc>
          <w:tcPr>
            <w:tcW w:w="458" w:type="pct"/>
            <w:tcBorders>
              <w:top w:val="single" w:sz="4" w:space="0" w:color="auto"/>
              <w:left w:val="nil"/>
              <w:bottom w:val="single" w:sz="4" w:space="0" w:color="auto"/>
              <w:right w:val="nil"/>
            </w:tcBorders>
            <w:shd w:val="clear" w:color="auto" w:fill="auto"/>
            <w:noWrap/>
            <w:tcMar>
              <w:top w:w="28" w:type="dxa"/>
              <w:bottom w:w="28" w:type="dxa"/>
            </w:tcMar>
            <w:vAlign w:val="center"/>
          </w:tcPr>
          <w:p w14:paraId="23DB2E87" w14:textId="77777777" w:rsidR="00A06C74" w:rsidRPr="00772870" w:rsidRDefault="00A06C74" w:rsidP="00BF715B">
            <w:pPr>
              <w:jc w:val="center"/>
              <w:rPr>
                <w:rFonts w:cs="Arial"/>
                <w:color w:val="000000"/>
                <w:sz w:val="20"/>
                <w:szCs w:val="20"/>
              </w:rPr>
            </w:pPr>
            <w:r w:rsidRPr="00772870">
              <w:rPr>
                <w:rFonts w:cs="Arial"/>
                <w:b/>
                <w:bCs/>
                <w:color w:val="000000"/>
                <w:sz w:val="20"/>
                <w:szCs w:val="20"/>
              </w:rPr>
              <w:t>100,00</w:t>
            </w:r>
          </w:p>
        </w:tc>
        <w:tc>
          <w:tcPr>
            <w:tcW w:w="75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A94C38A" w14:textId="77777777" w:rsidR="00A06C74" w:rsidRPr="00772870" w:rsidRDefault="00A06C74" w:rsidP="00772870">
            <w:pPr>
              <w:ind w:hanging="75"/>
              <w:jc w:val="right"/>
              <w:rPr>
                <w:rFonts w:cs="Arial"/>
                <w:color w:val="000000"/>
                <w:sz w:val="20"/>
                <w:szCs w:val="20"/>
              </w:rPr>
            </w:pPr>
            <w:r w:rsidRPr="00772870">
              <w:rPr>
                <w:rFonts w:cs="Arial"/>
                <w:b/>
                <w:bCs/>
                <w:color w:val="000000"/>
                <w:sz w:val="20"/>
                <w:szCs w:val="20"/>
              </w:rPr>
              <w:t>4.703.952.995</w:t>
            </w:r>
          </w:p>
        </w:tc>
        <w:tc>
          <w:tcPr>
            <w:tcW w:w="752" w:type="pct"/>
            <w:tcBorders>
              <w:top w:val="single" w:sz="4" w:space="0" w:color="auto"/>
              <w:left w:val="nil"/>
              <w:bottom w:val="single" w:sz="4" w:space="0" w:color="auto"/>
              <w:right w:val="nil"/>
            </w:tcBorders>
            <w:shd w:val="clear" w:color="auto" w:fill="auto"/>
            <w:noWrap/>
            <w:tcMar>
              <w:top w:w="28" w:type="dxa"/>
              <w:bottom w:w="28" w:type="dxa"/>
            </w:tcMar>
            <w:vAlign w:val="center"/>
          </w:tcPr>
          <w:p w14:paraId="281E5E73" w14:textId="77777777" w:rsidR="00A06C74" w:rsidRPr="00772870" w:rsidRDefault="00A06C74" w:rsidP="00772870">
            <w:pPr>
              <w:ind w:hanging="82"/>
              <w:jc w:val="right"/>
              <w:rPr>
                <w:rFonts w:cs="Arial"/>
                <w:color w:val="000000"/>
                <w:sz w:val="20"/>
                <w:szCs w:val="20"/>
              </w:rPr>
            </w:pPr>
            <w:r w:rsidRPr="00772870">
              <w:rPr>
                <w:rFonts w:cs="Arial"/>
                <w:b/>
                <w:bCs/>
                <w:color w:val="000000"/>
                <w:sz w:val="20"/>
                <w:szCs w:val="20"/>
              </w:rPr>
              <w:t>4.671.185.330</w:t>
            </w:r>
          </w:p>
        </w:tc>
      </w:tr>
    </w:tbl>
    <w:p w14:paraId="76A50E24" w14:textId="77777777" w:rsidR="00A06C74" w:rsidRPr="000A5737" w:rsidRDefault="00A06C74" w:rsidP="00A06C74">
      <w:pPr>
        <w:pStyle w:val="1-FONTE8ESQ"/>
      </w:pPr>
      <w:r w:rsidRPr="000A5737">
        <w:t>Fonte: Business Objects e RREO 6º bimestre/2023</w:t>
      </w:r>
    </w:p>
    <w:p w14:paraId="351C6D0C" w14:textId="77777777" w:rsidR="00A06C74" w:rsidRDefault="00A06C74" w:rsidP="00A06C74">
      <w:pPr>
        <w:pStyle w:val="1-REL11"/>
      </w:pPr>
      <w:r>
        <w:t>A ação 2149 – Atendimento Assistencial em Saúde, responsável por 56,13% das despesas executadas na Função Saúde em 2023, é uma das ações do programa 1043 – Saúde Integral.</w:t>
      </w:r>
    </w:p>
    <w:p w14:paraId="1E90237A" w14:textId="77777777" w:rsidR="00A06C74" w:rsidRDefault="00A06C74" w:rsidP="00A06C74">
      <w:pPr>
        <w:pStyle w:val="1-REL11"/>
      </w:pPr>
      <w:r>
        <w:t>Já a despesa executada por UO em 2023 segue apresentada abaixo:</w:t>
      </w:r>
    </w:p>
    <w:p w14:paraId="1AADC90D" w14:textId="77777777" w:rsidR="00A06C74" w:rsidRDefault="00A06C74" w:rsidP="00736A8C">
      <w:pPr>
        <w:pStyle w:val="0-TABELA"/>
        <w:numPr>
          <w:ilvl w:val="0"/>
          <w:numId w:val="53"/>
        </w:numPr>
        <w:tabs>
          <w:tab w:val="clear" w:pos="1560"/>
          <w:tab w:val="left" w:pos="1134"/>
        </w:tabs>
        <w:spacing w:before="0" w:after="0"/>
        <w:ind w:left="0" w:firstLine="0"/>
      </w:pPr>
      <w:bookmarkStart w:id="321" w:name="_Toc167871801"/>
      <w:r>
        <w:t>Despesa na Função Saúde por UO</w:t>
      </w:r>
      <w:bookmarkEnd w:id="321"/>
    </w:p>
    <w:p w14:paraId="1806C760" w14:textId="77777777" w:rsidR="00A06C74" w:rsidRDefault="00A06C74" w:rsidP="00A06C74">
      <w:pPr>
        <w:pStyle w:val="0-EmR1"/>
        <w:rPr>
          <w:lang w:eastAsia="en-US"/>
        </w:rPr>
      </w:pPr>
      <w:r>
        <w:rPr>
          <w:lang w:eastAsia="en-US"/>
        </w:rPr>
        <w:t>R$ 1</w:t>
      </w:r>
    </w:p>
    <w:tbl>
      <w:tblPr>
        <w:tblW w:w="5000" w:type="pct"/>
        <w:tblLayout w:type="fixed"/>
        <w:tblCellMar>
          <w:left w:w="70" w:type="dxa"/>
          <w:right w:w="70" w:type="dxa"/>
        </w:tblCellMar>
        <w:tblLook w:val="04A0" w:firstRow="1" w:lastRow="0" w:firstColumn="1" w:lastColumn="0" w:noHBand="0" w:noVBand="1"/>
      </w:tblPr>
      <w:tblGrid>
        <w:gridCol w:w="4114"/>
        <w:gridCol w:w="1528"/>
        <w:gridCol w:w="879"/>
        <w:gridCol w:w="1418"/>
        <w:gridCol w:w="1414"/>
      </w:tblGrid>
      <w:tr w:rsidR="001E762F" w:rsidRPr="001E762F" w14:paraId="4B8C6A74" w14:textId="77777777" w:rsidTr="003325A2">
        <w:trPr>
          <w:trHeight w:val="284"/>
          <w:tblHeader/>
        </w:trPr>
        <w:tc>
          <w:tcPr>
            <w:tcW w:w="2199" w:type="pct"/>
            <w:tcBorders>
              <w:top w:val="single" w:sz="4" w:space="0" w:color="auto"/>
              <w:left w:val="nil"/>
              <w:bottom w:val="single" w:sz="4" w:space="0" w:color="auto"/>
              <w:right w:val="nil"/>
            </w:tcBorders>
            <w:shd w:val="clear" w:color="000000" w:fill="A1F2FD"/>
            <w:noWrap/>
            <w:vAlign w:val="center"/>
            <w:hideMark/>
          </w:tcPr>
          <w:p w14:paraId="571B6492" w14:textId="77777777" w:rsidR="00A06C74" w:rsidRPr="001E762F" w:rsidRDefault="00A06C74" w:rsidP="00BF715B">
            <w:pPr>
              <w:jc w:val="center"/>
              <w:rPr>
                <w:rFonts w:cs="Arial"/>
                <w:b/>
                <w:bCs/>
                <w:color w:val="000000"/>
                <w:sz w:val="20"/>
                <w:szCs w:val="20"/>
              </w:rPr>
            </w:pPr>
            <w:r w:rsidRPr="001E762F">
              <w:rPr>
                <w:rFonts w:cs="Arial"/>
                <w:b/>
                <w:bCs/>
                <w:color w:val="000000"/>
                <w:sz w:val="20"/>
                <w:szCs w:val="20"/>
              </w:rPr>
              <w:t>Unidade Orçamentária</w:t>
            </w:r>
          </w:p>
        </w:tc>
        <w:tc>
          <w:tcPr>
            <w:tcW w:w="817" w:type="pct"/>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50EE25CE" w14:textId="77777777" w:rsidR="00A06C74" w:rsidRPr="001E762F" w:rsidRDefault="00A06C74" w:rsidP="00BF715B">
            <w:pPr>
              <w:jc w:val="center"/>
              <w:rPr>
                <w:rFonts w:cs="Arial"/>
                <w:b/>
                <w:bCs/>
                <w:color w:val="000000"/>
                <w:sz w:val="20"/>
                <w:szCs w:val="20"/>
              </w:rPr>
            </w:pPr>
            <w:r w:rsidRPr="001E762F">
              <w:rPr>
                <w:rFonts w:cs="Arial"/>
                <w:b/>
                <w:bCs/>
                <w:color w:val="000000"/>
                <w:sz w:val="20"/>
                <w:szCs w:val="20"/>
              </w:rPr>
              <w:t>Empenhada</w:t>
            </w:r>
          </w:p>
        </w:tc>
        <w:tc>
          <w:tcPr>
            <w:tcW w:w="470" w:type="pct"/>
            <w:tcBorders>
              <w:top w:val="single" w:sz="4" w:space="0" w:color="auto"/>
              <w:left w:val="nil"/>
              <w:bottom w:val="single" w:sz="4" w:space="0" w:color="auto"/>
              <w:right w:val="single" w:sz="4" w:space="0" w:color="auto"/>
            </w:tcBorders>
            <w:shd w:val="clear" w:color="000000" w:fill="A1F2FD"/>
            <w:noWrap/>
            <w:vAlign w:val="center"/>
            <w:hideMark/>
          </w:tcPr>
          <w:p w14:paraId="5B2D37D6" w14:textId="77777777" w:rsidR="00A06C74" w:rsidRPr="001E762F" w:rsidRDefault="00A06C74" w:rsidP="00BF715B">
            <w:pPr>
              <w:jc w:val="center"/>
              <w:rPr>
                <w:rFonts w:cs="Arial"/>
                <w:b/>
                <w:bCs/>
                <w:color w:val="000000"/>
                <w:sz w:val="20"/>
                <w:szCs w:val="20"/>
              </w:rPr>
            </w:pPr>
            <w:r w:rsidRPr="001E762F">
              <w:rPr>
                <w:rFonts w:cs="Arial"/>
                <w:b/>
                <w:bCs/>
                <w:color w:val="000000"/>
                <w:sz w:val="20"/>
                <w:szCs w:val="20"/>
              </w:rPr>
              <w:t>AV %</w:t>
            </w:r>
          </w:p>
        </w:tc>
        <w:tc>
          <w:tcPr>
            <w:tcW w:w="758" w:type="pct"/>
            <w:tcBorders>
              <w:top w:val="single" w:sz="4" w:space="0" w:color="auto"/>
              <w:left w:val="nil"/>
              <w:bottom w:val="single" w:sz="4" w:space="0" w:color="auto"/>
              <w:right w:val="nil"/>
            </w:tcBorders>
            <w:shd w:val="clear" w:color="000000" w:fill="A1F2FD"/>
            <w:noWrap/>
            <w:vAlign w:val="center"/>
            <w:hideMark/>
          </w:tcPr>
          <w:p w14:paraId="70C3EB13" w14:textId="77777777" w:rsidR="00A06C74" w:rsidRPr="001E762F" w:rsidRDefault="00A06C74" w:rsidP="001E762F">
            <w:pPr>
              <w:ind w:left="-76"/>
              <w:jc w:val="center"/>
              <w:rPr>
                <w:rFonts w:cs="Arial"/>
                <w:b/>
                <w:bCs/>
                <w:color w:val="000000"/>
                <w:sz w:val="20"/>
                <w:szCs w:val="20"/>
              </w:rPr>
            </w:pPr>
            <w:r w:rsidRPr="001E762F">
              <w:rPr>
                <w:rFonts w:cs="Arial"/>
                <w:b/>
                <w:bCs/>
                <w:color w:val="000000"/>
                <w:sz w:val="20"/>
                <w:szCs w:val="20"/>
              </w:rPr>
              <w:t>Liquidada</w:t>
            </w:r>
          </w:p>
        </w:tc>
        <w:tc>
          <w:tcPr>
            <w:tcW w:w="756" w:type="pct"/>
            <w:tcBorders>
              <w:top w:val="single" w:sz="4" w:space="0" w:color="auto"/>
              <w:left w:val="single" w:sz="4" w:space="0" w:color="auto"/>
              <w:bottom w:val="single" w:sz="4" w:space="0" w:color="auto"/>
              <w:right w:val="nil"/>
            </w:tcBorders>
            <w:shd w:val="clear" w:color="000000" w:fill="A1F2FD"/>
            <w:noWrap/>
            <w:vAlign w:val="center"/>
            <w:hideMark/>
          </w:tcPr>
          <w:p w14:paraId="271E2C0B" w14:textId="77777777" w:rsidR="00A06C74" w:rsidRPr="001E762F" w:rsidRDefault="00A06C74" w:rsidP="001E762F">
            <w:pPr>
              <w:ind w:left="-76"/>
              <w:jc w:val="center"/>
              <w:rPr>
                <w:rFonts w:cs="Arial"/>
                <w:b/>
                <w:bCs/>
                <w:color w:val="000000"/>
                <w:sz w:val="20"/>
                <w:szCs w:val="20"/>
              </w:rPr>
            </w:pPr>
            <w:r w:rsidRPr="001E762F">
              <w:rPr>
                <w:rFonts w:cs="Arial"/>
                <w:b/>
                <w:bCs/>
                <w:color w:val="000000"/>
                <w:sz w:val="20"/>
                <w:szCs w:val="20"/>
              </w:rPr>
              <w:t>Paga</w:t>
            </w:r>
          </w:p>
        </w:tc>
      </w:tr>
      <w:tr w:rsidR="001E762F" w:rsidRPr="001E762F" w14:paraId="0642186D" w14:textId="77777777" w:rsidTr="003325A2">
        <w:trPr>
          <w:trHeight w:val="284"/>
        </w:trPr>
        <w:tc>
          <w:tcPr>
            <w:tcW w:w="2199" w:type="pct"/>
            <w:tcBorders>
              <w:top w:val="nil"/>
              <w:left w:val="nil"/>
              <w:bottom w:val="nil"/>
              <w:right w:val="nil"/>
            </w:tcBorders>
            <w:shd w:val="clear" w:color="auto" w:fill="auto"/>
            <w:noWrap/>
            <w:vAlign w:val="center"/>
            <w:hideMark/>
          </w:tcPr>
          <w:p w14:paraId="64DCB06A" w14:textId="77777777" w:rsidR="00A06C74" w:rsidRPr="001E762F" w:rsidRDefault="00A06C74" w:rsidP="003325A2">
            <w:pPr>
              <w:ind w:left="75"/>
              <w:jc w:val="left"/>
              <w:rPr>
                <w:rFonts w:cs="Arial"/>
                <w:color w:val="000000"/>
                <w:sz w:val="20"/>
                <w:szCs w:val="20"/>
              </w:rPr>
            </w:pPr>
            <w:r w:rsidRPr="001E762F">
              <w:rPr>
                <w:rFonts w:cs="Arial"/>
                <w:color w:val="000000"/>
                <w:sz w:val="20"/>
                <w:szCs w:val="20"/>
              </w:rPr>
              <w:t>Fundo Estadual de Saúde [2850]</w:t>
            </w:r>
          </w:p>
        </w:tc>
        <w:tc>
          <w:tcPr>
            <w:tcW w:w="817" w:type="pct"/>
            <w:tcBorders>
              <w:top w:val="nil"/>
              <w:left w:val="single" w:sz="4" w:space="0" w:color="auto"/>
              <w:bottom w:val="nil"/>
              <w:right w:val="single" w:sz="4" w:space="0" w:color="auto"/>
            </w:tcBorders>
            <w:shd w:val="clear" w:color="auto" w:fill="auto"/>
            <w:noWrap/>
            <w:vAlign w:val="center"/>
            <w:hideMark/>
          </w:tcPr>
          <w:p w14:paraId="0168CF44" w14:textId="77777777" w:rsidR="00A06C74" w:rsidRPr="001E762F" w:rsidRDefault="00A06C74" w:rsidP="00BF715B">
            <w:pPr>
              <w:jc w:val="right"/>
              <w:rPr>
                <w:rFonts w:cs="Arial"/>
                <w:color w:val="000000"/>
                <w:sz w:val="20"/>
                <w:szCs w:val="20"/>
              </w:rPr>
            </w:pPr>
            <w:r w:rsidRPr="001E762F">
              <w:rPr>
                <w:rFonts w:cs="Arial"/>
                <w:color w:val="000000"/>
                <w:sz w:val="20"/>
                <w:szCs w:val="20"/>
              </w:rPr>
              <w:t>4.946.805.345</w:t>
            </w:r>
          </w:p>
        </w:tc>
        <w:tc>
          <w:tcPr>
            <w:tcW w:w="470" w:type="pct"/>
            <w:tcBorders>
              <w:top w:val="nil"/>
              <w:left w:val="nil"/>
              <w:bottom w:val="nil"/>
              <w:right w:val="single" w:sz="4" w:space="0" w:color="auto"/>
            </w:tcBorders>
            <w:shd w:val="clear" w:color="auto" w:fill="auto"/>
            <w:noWrap/>
            <w:vAlign w:val="center"/>
            <w:hideMark/>
          </w:tcPr>
          <w:p w14:paraId="2CE427BD" w14:textId="77777777" w:rsidR="00A06C74" w:rsidRPr="001E762F" w:rsidRDefault="00A06C74" w:rsidP="00BF715B">
            <w:pPr>
              <w:jc w:val="center"/>
              <w:rPr>
                <w:rFonts w:cs="Arial"/>
                <w:color w:val="000000"/>
                <w:sz w:val="20"/>
                <w:szCs w:val="20"/>
              </w:rPr>
            </w:pPr>
            <w:r w:rsidRPr="001E762F">
              <w:rPr>
                <w:rFonts w:cs="Arial"/>
                <w:color w:val="000000"/>
                <w:sz w:val="20"/>
                <w:szCs w:val="20"/>
              </w:rPr>
              <w:t>98,64</w:t>
            </w:r>
          </w:p>
        </w:tc>
        <w:tc>
          <w:tcPr>
            <w:tcW w:w="758" w:type="pct"/>
            <w:tcBorders>
              <w:top w:val="nil"/>
              <w:left w:val="nil"/>
              <w:bottom w:val="nil"/>
              <w:right w:val="nil"/>
            </w:tcBorders>
            <w:shd w:val="clear" w:color="auto" w:fill="auto"/>
            <w:noWrap/>
            <w:vAlign w:val="center"/>
            <w:hideMark/>
          </w:tcPr>
          <w:p w14:paraId="47D554CE" w14:textId="77777777" w:rsidR="00A06C74" w:rsidRPr="001E762F" w:rsidRDefault="00A06C74" w:rsidP="001E762F">
            <w:pPr>
              <w:ind w:left="-76"/>
              <w:jc w:val="right"/>
              <w:rPr>
                <w:rFonts w:cs="Arial"/>
                <w:color w:val="000000"/>
                <w:sz w:val="20"/>
                <w:szCs w:val="20"/>
              </w:rPr>
            </w:pPr>
            <w:r w:rsidRPr="001E762F">
              <w:rPr>
                <w:rFonts w:cs="Arial"/>
                <w:color w:val="000000"/>
                <w:sz w:val="20"/>
                <w:szCs w:val="20"/>
              </w:rPr>
              <w:t>4.639.476.963</w:t>
            </w:r>
          </w:p>
        </w:tc>
        <w:tc>
          <w:tcPr>
            <w:tcW w:w="756" w:type="pct"/>
            <w:tcBorders>
              <w:top w:val="nil"/>
              <w:left w:val="single" w:sz="4" w:space="0" w:color="auto"/>
              <w:bottom w:val="nil"/>
              <w:right w:val="nil"/>
            </w:tcBorders>
            <w:shd w:val="clear" w:color="auto" w:fill="auto"/>
            <w:noWrap/>
            <w:vAlign w:val="center"/>
            <w:hideMark/>
          </w:tcPr>
          <w:p w14:paraId="5E232B54" w14:textId="77777777" w:rsidR="00A06C74" w:rsidRPr="001E762F" w:rsidRDefault="00A06C74" w:rsidP="001E762F">
            <w:pPr>
              <w:ind w:left="-76"/>
              <w:jc w:val="right"/>
              <w:rPr>
                <w:rFonts w:cs="Arial"/>
                <w:color w:val="000000"/>
                <w:sz w:val="20"/>
                <w:szCs w:val="20"/>
              </w:rPr>
            </w:pPr>
            <w:r w:rsidRPr="001E762F">
              <w:rPr>
                <w:rFonts w:cs="Arial"/>
                <w:color w:val="000000"/>
                <w:sz w:val="20"/>
                <w:szCs w:val="20"/>
              </w:rPr>
              <w:t>4.606.741.771</w:t>
            </w:r>
          </w:p>
        </w:tc>
      </w:tr>
      <w:tr w:rsidR="001E762F" w:rsidRPr="001E762F" w14:paraId="1FD64AD3" w14:textId="77777777" w:rsidTr="003325A2">
        <w:trPr>
          <w:trHeight w:val="284"/>
        </w:trPr>
        <w:tc>
          <w:tcPr>
            <w:tcW w:w="2199" w:type="pct"/>
            <w:tcBorders>
              <w:top w:val="nil"/>
              <w:left w:val="nil"/>
              <w:bottom w:val="nil"/>
              <w:right w:val="nil"/>
            </w:tcBorders>
            <w:shd w:val="clear" w:color="auto" w:fill="auto"/>
            <w:noWrap/>
            <w:vAlign w:val="center"/>
            <w:hideMark/>
          </w:tcPr>
          <w:p w14:paraId="30AFB815" w14:textId="77777777" w:rsidR="00A06C74" w:rsidRPr="001E762F" w:rsidRDefault="00A06C74" w:rsidP="003325A2">
            <w:pPr>
              <w:ind w:left="75"/>
              <w:jc w:val="left"/>
              <w:rPr>
                <w:rFonts w:cs="Arial"/>
                <w:color w:val="000000"/>
                <w:sz w:val="20"/>
                <w:szCs w:val="20"/>
              </w:rPr>
            </w:pPr>
            <w:r w:rsidRPr="001E762F">
              <w:rPr>
                <w:rFonts w:cs="Arial"/>
                <w:color w:val="000000"/>
                <w:sz w:val="20"/>
                <w:szCs w:val="20"/>
              </w:rPr>
              <w:t>Iquego [3190]</w:t>
            </w:r>
          </w:p>
        </w:tc>
        <w:tc>
          <w:tcPr>
            <w:tcW w:w="817" w:type="pct"/>
            <w:tcBorders>
              <w:top w:val="nil"/>
              <w:left w:val="single" w:sz="4" w:space="0" w:color="auto"/>
              <w:bottom w:val="nil"/>
              <w:right w:val="single" w:sz="4" w:space="0" w:color="auto"/>
            </w:tcBorders>
            <w:shd w:val="clear" w:color="auto" w:fill="auto"/>
            <w:noWrap/>
            <w:vAlign w:val="center"/>
            <w:hideMark/>
          </w:tcPr>
          <w:p w14:paraId="6035D717" w14:textId="77777777" w:rsidR="00A06C74" w:rsidRPr="001E762F" w:rsidRDefault="00A06C74" w:rsidP="00BF715B">
            <w:pPr>
              <w:jc w:val="right"/>
              <w:rPr>
                <w:rFonts w:cs="Arial"/>
                <w:color w:val="000000"/>
                <w:sz w:val="20"/>
                <w:szCs w:val="20"/>
              </w:rPr>
            </w:pPr>
            <w:r w:rsidRPr="001E762F">
              <w:rPr>
                <w:rFonts w:cs="Arial"/>
                <w:color w:val="000000"/>
                <w:sz w:val="20"/>
                <w:szCs w:val="20"/>
              </w:rPr>
              <w:t>37.126.813</w:t>
            </w:r>
          </w:p>
        </w:tc>
        <w:tc>
          <w:tcPr>
            <w:tcW w:w="470" w:type="pct"/>
            <w:tcBorders>
              <w:top w:val="nil"/>
              <w:left w:val="nil"/>
              <w:bottom w:val="nil"/>
              <w:right w:val="single" w:sz="4" w:space="0" w:color="auto"/>
            </w:tcBorders>
            <w:shd w:val="clear" w:color="auto" w:fill="auto"/>
            <w:noWrap/>
            <w:vAlign w:val="center"/>
            <w:hideMark/>
          </w:tcPr>
          <w:p w14:paraId="0C8988EA" w14:textId="77777777" w:rsidR="00A06C74" w:rsidRPr="001E762F" w:rsidRDefault="00A06C74" w:rsidP="00BF715B">
            <w:pPr>
              <w:jc w:val="center"/>
              <w:rPr>
                <w:rFonts w:cs="Arial"/>
                <w:color w:val="000000"/>
                <w:sz w:val="20"/>
                <w:szCs w:val="20"/>
              </w:rPr>
            </w:pPr>
            <w:r w:rsidRPr="001E762F">
              <w:rPr>
                <w:rFonts w:cs="Arial"/>
                <w:color w:val="000000"/>
                <w:sz w:val="20"/>
                <w:szCs w:val="20"/>
              </w:rPr>
              <w:t>0,74</w:t>
            </w:r>
          </w:p>
        </w:tc>
        <w:tc>
          <w:tcPr>
            <w:tcW w:w="758" w:type="pct"/>
            <w:tcBorders>
              <w:top w:val="nil"/>
              <w:left w:val="nil"/>
              <w:bottom w:val="nil"/>
              <w:right w:val="nil"/>
            </w:tcBorders>
            <w:shd w:val="clear" w:color="auto" w:fill="auto"/>
            <w:noWrap/>
            <w:vAlign w:val="center"/>
            <w:hideMark/>
          </w:tcPr>
          <w:p w14:paraId="135640A4" w14:textId="77777777" w:rsidR="00A06C74" w:rsidRPr="001E762F" w:rsidRDefault="00A06C74" w:rsidP="001E762F">
            <w:pPr>
              <w:ind w:left="-76"/>
              <w:jc w:val="right"/>
              <w:rPr>
                <w:rFonts w:cs="Arial"/>
                <w:color w:val="000000"/>
                <w:sz w:val="20"/>
                <w:szCs w:val="20"/>
              </w:rPr>
            </w:pPr>
            <w:r w:rsidRPr="001E762F">
              <w:rPr>
                <w:rFonts w:cs="Arial"/>
                <w:color w:val="000000"/>
                <w:sz w:val="20"/>
                <w:szCs w:val="20"/>
              </w:rPr>
              <w:t>36.761.559</w:t>
            </w:r>
          </w:p>
        </w:tc>
        <w:tc>
          <w:tcPr>
            <w:tcW w:w="756" w:type="pct"/>
            <w:tcBorders>
              <w:top w:val="nil"/>
              <w:left w:val="single" w:sz="4" w:space="0" w:color="auto"/>
              <w:bottom w:val="nil"/>
              <w:right w:val="nil"/>
            </w:tcBorders>
            <w:shd w:val="clear" w:color="auto" w:fill="auto"/>
            <w:noWrap/>
            <w:vAlign w:val="center"/>
            <w:hideMark/>
          </w:tcPr>
          <w:p w14:paraId="6EFA9FED" w14:textId="77777777" w:rsidR="00A06C74" w:rsidRPr="001E762F" w:rsidRDefault="00A06C74" w:rsidP="001E762F">
            <w:pPr>
              <w:ind w:left="-76"/>
              <w:jc w:val="right"/>
              <w:rPr>
                <w:rFonts w:cs="Arial"/>
                <w:color w:val="000000"/>
                <w:sz w:val="20"/>
                <w:szCs w:val="20"/>
              </w:rPr>
            </w:pPr>
            <w:r w:rsidRPr="001E762F">
              <w:rPr>
                <w:rFonts w:cs="Arial"/>
                <w:color w:val="000000"/>
                <w:sz w:val="20"/>
                <w:szCs w:val="20"/>
              </w:rPr>
              <w:t>36.741.408</w:t>
            </w:r>
          </w:p>
        </w:tc>
      </w:tr>
      <w:tr w:rsidR="001E762F" w:rsidRPr="001E762F" w14:paraId="672A6622" w14:textId="77777777" w:rsidTr="003325A2">
        <w:trPr>
          <w:trHeight w:val="284"/>
        </w:trPr>
        <w:tc>
          <w:tcPr>
            <w:tcW w:w="2199" w:type="pct"/>
            <w:tcBorders>
              <w:top w:val="nil"/>
              <w:left w:val="nil"/>
              <w:bottom w:val="nil"/>
              <w:right w:val="nil"/>
            </w:tcBorders>
            <w:shd w:val="clear" w:color="auto" w:fill="auto"/>
            <w:noWrap/>
            <w:vAlign w:val="center"/>
            <w:hideMark/>
          </w:tcPr>
          <w:p w14:paraId="7B0140B6" w14:textId="77777777" w:rsidR="00A06C74" w:rsidRPr="001E762F" w:rsidRDefault="00A06C74" w:rsidP="003325A2">
            <w:pPr>
              <w:ind w:left="75"/>
              <w:jc w:val="left"/>
              <w:rPr>
                <w:rFonts w:cs="Arial"/>
                <w:color w:val="000000"/>
                <w:sz w:val="20"/>
                <w:szCs w:val="20"/>
              </w:rPr>
            </w:pPr>
            <w:r w:rsidRPr="001E762F">
              <w:rPr>
                <w:rFonts w:cs="Arial"/>
                <w:color w:val="000000"/>
                <w:sz w:val="20"/>
                <w:szCs w:val="20"/>
              </w:rPr>
              <w:t>Fundo Estadual de Assistência Social [3051]</w:t>
            </w:r>
          </w:p>
        </w:tc>
        <w:tc>
          <w:tcPr>
            <w:tcW w:w="817" w:type="pct"/>
            <w:tcBorders>
              <w:top w:val="nil"/>
              <w:left w:val="single" w:sz="4" w:space="0" w:color="auto"/>
              <w:bottom w:val="nil"/>
              <w:right w:val="single" w:sz="4" w:space="0" w:color="auto"/>
            </w:tcBorders>
            <w:shd w:val="clear" w:color="auto" w:fill="auto"/>
            <w:noWrap/>
            <w:vAlign w:val="center"/>
            <w:hideMark/>
          </w:tcPr>
          <w:p w14:paraId="7A1C91EE" w14:textId="77777777" w:rsidR="00A06C74" w:rsidRPr="001E762F" w:rsidRDefault="00A06C74" w:rsidP="00BF715B">
            <w:pPr>
              <w:jc w:val="right"/>
              <w:rPr>
                <w:rFonts w:cs="Arial"/>
                <w:color w:val="000000"/>
                <w:sz w:val="20"/>
                <w:szCs w:val="20"/>
              </w:rPr>
            </w:pPr>
            <w:r w:rsidRPr="001E762F">
              <w:rPr>
                <w:rFonts w:cs="Arial"/>
                <w:color w:val="000000"/>
                <w:sz w:val="20"/>
                <w:szCs w:val="20"/>
              </w:rPr>
              <w:t>30.139.882</w:t>
            </w:r>
          </w:p>
        </w:tc>
        <w:tc>
          <w:tcPr>
            <w:tcW w:w="470" w:type="pct"/>
            <w:tcBorders>
              <w:top w:val="nil"/>
              <w:left w:val="nil"/>
              <w:bottom w:val="nil"/>
              <w:right w:val="single" w:sz="4" w:space="0" w:color="auto"/>
            </w:tcBorders>
            <w:shd w:val="clear" w:color="auto" w:fill="auto"/>
            <w:noWrap/>
            <w:vAlign w:val="center"/>
            <w:hideMark/>
          </w:tcPr>
          <w:p w14:paraId="35175591" w14:textId="77777777" w:rsidR="00A06C74" w:rsidRPr="001E762F" w:rsidRDefault="00A06C74" w:rsidP="00BF715B">
            <w:pPr>
              <w:jc w:val="center"/>
              <w:rPr>
                <w:rFonts w:cs="Arial"/>
                <w:color w:val="000000"/>
                <w:sz w:val="20"/>
                <w:szCs w:val="20"/>
              </w:rPr>
            </w:pPr>
            <w:r w:rsidRPr="001E762F">
              <w:rPr>
                <w:rFonts w:cs="Arial"/>
                <w:color w:val="000000"/>
                <w:sz w:val="20"/>
                <w:szCs w:val="20"/>
              </w:rPr>
              <w:t>0,60</w:t>
            </w:r>
          </w:p>
        </w:tc>
        <w:tc>
          <w:tcPr>
            <w:tcW w:w="758" w:type="pct"/>
            <w:tcBorders>
              <w:top w:val="nil"/>
              <w:left w:val="nil"/>
              <w:bottom w:val="nil"/>
              <w:right w:val="nil"/>
            </w:tcBorders>
            <w:shd w:val="clear" w:color="auto" w:fill="auto"/>
            <w:noWrap/>
            <w:vAlign w:val="center"/>
            <w:hideMark/>
          </w:tcPr>
          <w:p w14:paraId="5B3A6A20" w14:textId="77777777" w:rsidR="00A06C74" w:rsidRPr="001E762F" w:rsidRDefault="00A06C74" w:rsidP="001E762F">
            <w:pPr>
              <w:ind w:left="-76"/>
              <w:jc w:val="right"/>
              <w:rPr>
                <w:rFonts w:cs="Arial"/>
                <w:color w:val="000000"/>
                <w:sz w:val="20"/>
                <w:szCs w:val="20"/>
              </w:rPr>
            </w:pPr>
            <w:r w:rsidRPr="001E762F">
              <w:rPr>
                <w:rFonts w:cs="Arial"/>
                <w:color w:val="000000"/>
                <w:sz w:val="20"/>
                <w:szCs w:val="20"/>
              </w:rPr>
              <w:t>26.717.875</w:t>
            </w:r>
          </w:p>
        </w:tc>
        <w:tc>
          <w:tcPr>
            <w:tcW w:w="756" w:type="pct"/>
            <w:tcBorders>
              <w:top w:val="nil"/>
              <w:left w:val="single" w:sz="4" w:space="0" w:color="auto"/>
              <w:bottom w:val="nil"/>
              <w:right w:val="nil"/>
            </w:tcBorders>
            <w:shd w:val="clear" w:color="auto" w:fill="auto"/>
            <w:noWrap/>
            <w:vAlign w:val="center"/>
            <w:hideMark/>
          </w:tcPr>
          <w:p w14:paraId="6B062E48" w14:textId="77777777" w:rsidR="00A06C74" w:rsidRPr="001E762F" w:rsidRDefault="00A06C74" w:rsidP="001E762F">
            <w:pPr>
              <w:ind w:left="-76"/>
              <w:jc w:val="right"/>
              <w:rPr>
                <w:rFonts w:cs="Arial"/>
                <w:color w:val="000000"/>
                <w:sz w:val="20"/>
                <w:szCs w:val="20"/>
              </w:rPr>
            </w:pPr>
            <w:r w:rsidRPr="001E762F">
              <w:rPr>
                <w:rFonts w:cs="Arial"/>
                <w:color w:val="000000"/>
                <w:sz w:val="20"/>
                <w:szCs w:val="20"/>
              </w:rPr>
              <w:t>26.705.554</w:t>
            </w:r>
          </w:p>
        </w:tc>
      </w:tr>
      <w:tr w:rsidR="001E762F" w:rsidRPr="001E762F" w14:paraId="4917DE13" w14:textId="77777777" w:rsidTr="003325A2">
        <w:trPr>
          <w:trHeight w:val="284"/>
        </w:trPr>
        <w:tc>
          <w:tcPr>
            <w:tcW w:w="2199" w:type="pct"/>
            <w:tcBorders>
              <w:top w:val="nil"/>
              <w:left w:val="nil"/>
              <w:bottom w:val="nil"/>
              <w:right w:val="nil"/>
            </w:tcBorders>
            <w:shd w:val="clear" w:color="auto" w:fill="auto"/>
            <w:noWrap/>
            <w:vAlign w:val="center"/>
            <w:hideMark/>
          </w:tcPr>
          <w:p w14:paraId="609D086E" w14:textId="77777777" w:rsidR="00A06C74" w:rsidRPr="001E762F" w:rsidRDefault="00A06C74" w:rsidP="003325A2">
            <w:pPr>
              <w:ind w:left="75"/>
              <w:jc w:val="left"/>
              <w:rPr>
                <w:rFonts w:cs="Arial"/>
                <w:color w:val="000000"/>
                <w:sz w:val="20"/>
                <w:szCs w:val="20"/>
              </w:rPr>
            </w:pPr>
            <w:r w:rsidRPr="001E762F">
              <w:rPr>
                <w:rFonts w:cs="Arial"/>
                <w:color w:val="000000"/>
                <w:sz w:val="20"/>
                <w:szCs w:val="20"/>
              </w:rPr>
              <w:t>Secretaria de Estado da Saúde - Gabinete [2801]</w:t>
            </w:r>
          </w:p>
        </w:tc>
        <w:tc>
          <w:tcPr>
            <w:tcW w:w="817" w:type="pct"/>
            <w:tcBorders>
              <w:top w:val="nil"/>
              <w:left w:val="single" w:sz="4" w:space="0" w:color="auto"/>
              <w:bottom w:val="nil"/>
              <w:right w:val="single" w:sz="4" w:space="0" w:color="auto"/>
            </w:tcBorders>
            <w:shd w:val="clear" w:color="auto" w:fill="auto"/>
            <w:noWrap/>
            <w:vAlign w:val="center"/>
            <w:hideMark/>
          </w:tcPr>
          <w:p w14:paraId="03595B40" w14:textId="77777777" w:rsidR="00A06C74" w:rsidRPr="001E762F" w:rsidRDefault="00A06C74" w:rsidP="00BF715B">
            <w:pPr>
              <w:jc w:val="right"/>
              <w:rPr>
                <w:rFonts w:cs="Arial"/>
                <w:color w:val="000000"/>
                <w:sz w:val="20"/>
                <w:szCs w:val="20"/>
              </w:rPr>
            </w:pPr>
            <w:r w:rsidRPr="001E762F">
              <w:rPr>
                <w:rFonts w:cs="Arial"/>
                <w:color w:val="000000"/>
                <w:sz w:val="20"/>
                <w:szCs w:val="20"/>
              </w:rPr>
              <w:t>1.037.507</w:t>
            </w:r>
          </w:p>
        </w:tc>
        <w:tc>
          <w:tcPr>
            <w:tcW w:w="470" w:type="pct"/>
            <w:tcBorders>
              <w:top w:val="nil"/>
              <w:left w:val="nil"/>
              <w:bottom w:val="nil"/>
              <w:right w:val="single" w:sz="4" w:space="0" w:color="auto"/>
            </w:tcBorders>
            <w:shd w:val="clear" w:color="auto" w:fill="auto"/>
            <w:noWrap/>
            <w:vAlign w:val="center"/>
            <w:hideMark/>
          </w:tcPr>
          <w:p w14:paraId="160E6053" w14:textId="77777777" w:rsidR="00A06C74" w:rsidRPr="001E762F" w:rsidRDefault="00A06C74" w:rsidP="00BF715B">
            <w:pPr>
              <w:jc w:val="center"/>
              <w:rPr>
                <w:rFonts w:cs="Arial"/>
                <w:color w:val="000000"/>
                <w:sz w:val="20"/>
                <w:szCs w:val="20"/>
              </w:rPr>
            </w:pPr>
            <w:r w:rsidRPr="001E762F">
              <w:rPr>
                <w:rFonts w:cs="Arial"/>
                <w:color w:val="000000"/>
                <w:sz w:val="20"/>
                <w:szCs w:val="20"/>
              </w:rPr>
              <w:t>0,02</w:t>
            </w:r>
          </w:p>
        </w:tc>
        <w:tc>
          <w:tcPr>
            <w:tcW w:w="758" w:type="pct"/>
            <w:tcBorders>
              <w:top w:val="nil"/>
              <w:left w:val="nil"/>
              <w:bottom w:val="nil"/>
              <w:right w:val="nil"/>
            </w:tcBorders>
            <w:shd w:val="clear" w:color="auto" w:fill="auto"/>
            <w:noWrap/>
            <w:vAlign w:val="center"/>
            <w:hideMark/>
          </w:tcPr>
          <w:p w14:paraId="4091FADD" w14:textId="77777777" w:rsidR="00A06C74" w:rsidRPr="001E762F" w:rsidRDefault="00A06C74" w:rsidP="001E762F">
            <w:pPr>
              <w:ind w:left="-76"/>
              <w:jc w:val="right"/>
              <w:rPr>
                <w:rFonts w:cs="Arial"/>
                <w:color w:val="000000"/>
                <w:sz w:val="20"/>
                <w:szCs w:val="20"/>
              </w:rPr>
            </w:pPr>
            <w:r w:rsidRPr="001E762F">
              <w:rPr>
                <w:rFonts w:cs="Arial"/>
                <w:color w:val="000000"/>
                <w:sz w:val="20"/>
                <w:szCs w:val="20"/>
              </w:rPr>
              <w:t>996.598</w:t>
            </w:r>
          </w:p>
        </w:tc>
        <w:tc>
          <w:tcPr>
            <w:tcW w:w="756" w:type="pct"/>
            <w:tcBorders>
              <w:top w:val="nil"/>
              <w:left w:val="single" w:sz="4" w:space="0" w:color="auto"/>
              <w:bottom w:val="nil"/>
              <w:right w:val="nil"/>
            </w:tcBorders>
            <w:shd w:val="clear" w:color="auto" w:fill="auto"/>
            <w:noWrap/>
            <w:vAlign w:val="center"/>
            <w:hideMark/>
          </w:tcPr>
          <w:p w14:paraId="3B51B84B" w14:textId="77777777" w:rsidR="00A06C74" w:rsidRPr="001E762F" w:rsidRDefault="00A06C74" w:rsidP="001E762F">
            <w:pPr>
              <w:ind w:left="-76"/>
              <w:jc w:val="right"/>
              <w:rPr>
                <w:rFonts w:cs="Arial"/>
                <w:color w:val="000000"/>
                <w:sz w:val="20"/>
                <w:szCs w:val="20"/>
              </w:rPr>
            </w:pPr>
            <w:r w:rsidRPr="001E762F">
              <w:rPr>
                <w:rFonts w:cs="Arial"/>
                <w:color w:val="000000"/>
                <w:sz w:val="20"/>
                <w:szCs w:val="20"/>
              </w:rPr>
              <w:t>996.598</w:t>
            </w:r>
          </w:p>
        </w:tc>
      </w:tr>
      <w:tr w:rsidR="001E762F" w:rsidRPr="001E762F" w14:paraId="4AB94839" w14:textId="77777777" w:rsidTr="003325A2">
        <w:trPr>
          <w:trHeight w:val="284"/>
        </w:trPr>
        <w:tc>
          <w:tcPr>
            <w:tcW w:w="2199" w:type="pct"/>
            <w:tcBorders>
              <w:top w:val="single" w:sz="4" w:space="0" w:color="auto"/>
              <w:left w:val="nil"/>
              <w:bottom w:val="single" w:sz="4" w:space="0" w:color="auto"/>
              <w:right w:val="nil"/>
            </w:tcBorders>
            <w:shd w:val="clear" w:color="auto" w:fill="auto"/>
            <w:noWrap/>
            <w:vAlign w:val="center"/>
            <w:hideMark/>
          </w:tcPr>
          <w:p w14:paraId="33AF6E06" w14:textId="77777777" w:rsidR="00A06C74" w:rsidRPr="001E762F" w:rsidRDefault="00A06C74" w:rsidP="00BF715B">
            <w:pPr>
              <w:jc w:val="center"/>
              <w:rPr>
                <w:rFonts w:cs="Arial"/>
                <w:b/>
                <w:bCs/>
                <w:color w:val="000000"/>
                <w:sz w:val="20"/>
                <w:szCs w:val="20"/>
              </w:rPr>
            </w:pPr>
            <w:r w:rsidRPr="001E762F">
              <w:rPr>
                <w:rFonts w:cs="Arial"/>
                <w:b/>
                <w:bCs/>
                <w:color w:val="000000"/>
                <w:sz w:val="20"/>
                <w:szCs w:val="20"/>
              </w:rPr>
              <w:t>Total</w:t>
            </w:r>
          </w:p>
        </w:tc>
        <w:tc>
          <w:tcPr>
            <w:tcW w:w="81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1C9DF7" w14:textId="77777777" w:rsidR="00A06C74" w:rsidRPr="001E762F" w:rsidRDefault="00A06C74" w:rsidP="00BF715B">
            <w:pPr>
              <w:jc w:val="right"/>
              <w:rPr>
                <w:rFonts w:cs="Arial"/>
                <w:b/>
                <w:bCs/>
                <w:color w:val="000000"/>
                <w:sz w:val="20"/>
                <w:szCs w:val="20"/>
              </w:rPr>
            </w:pPr>
            <w:r w:rsidRPr="001E762F">
              <w:rPr>
                <w:rFonts w:cs="Arial"/>
                <w:b/>
                <w:bCs/>
                <w:color w:val="000000"/>
                <w:sz w:val="20"/>
                <w:szCs w:val="20"/>
              </w:rPr>
              <w:t>5.015.109.547</w:t>
            </w:r>
          </w:p>
        </w:tc>
        <w:tc>
          <w:tcPr>
            <w:tcW w:w="470" w:type="pct"/>
            <w:tcBorders>
              <w:top w:val="single" w:sz="4" w:space="0" w:color="auto"/>
              <w:left w:val="nil"/>
              <w:bottom w:val="single" w:sz="4" w:space="0" w:color="auto"/>
              <w:right w:val="single" w:sz="4" w:space="0" w:color="auto"/>
            </w:tcBorders>
            <w:shd w:val="clear" w:color="auto" w:fill="auto"/>
            <w:noWrap/>
            <w:vAlign w:val="center"/>
            <w:hideMark/>
          </w:tcPr>
          <w:p w14:paraId="20E4F901" w14:textId="77777777" w:rsidR="00A06C74" w:rsidRPr="001E762F" w:rsidRDefault="00A06C74" w:rsidP="00BF715B">
            <w:pPr>
              <w:jc w:val="center"/>
              <w:rPr>
                <w:rFonts w:cs="Arial"/>
                <w:b/>
                <w:bCs/>
                <w:color w:val="000000"/>
                <w:sz w:val="20"/>
                <w:szCs w:val="20"/>
              </w:rPr>
            </w:pPr>
            <w:r w:rsidRPr="001E762F">
              <w:rPr>
                <w:rFonts w:cs="Arial"/>
                <w:b/>
                <w:bCs/>
                <w:color w:val="000000"/>
                <w:sz w:val="20"/>
                <w:szCs w:val="20"/>
              </w:rPr>
              <w:t>100,00</w:t>
            </w:r>
          </w:p>
        </w:tc>
        <w:tc>
          <w:tcPr>
            <w:tcW w:w="758" w:type="pct"/>
            <w:tcBorders>
              <w:top w:val="single" w:sz="4" w:space="0" w:color="auto"/>
              <w:left w:val="nil"/>
              <w:bottom w:val="single" w:sz="4" w:space="0" w:color="auto"/>
              <w:right w:val="nil"/>
            </w:tcBorders>
            <w:shd w:val="clear" w:color="auto" w:fill="auto"/>
            <w:noWrap/>
            <w:vAlign w:val="center"/>
            <w:hideMark/>
          </w:tcPr>
          <w:p w14:paraId="0B3160FA" w14:textId="77777777" w:rsidR="00A06C74" w:rsidRPr="001E762F" w:rsidRDefault="00A06C74" w:rsidP="001E762F">
            <w:pPr>
              <w:ind w:left="-76"/>
              <w:jc w:val="right"/>
              <w:rPr>
                <w:rFonts w:cs="Arial"/>
                <w:b/>
                <w:bCs/>
                <w:color w:val="000000"/>
                <w:sz w:val="20"/>
                <w:szCs w:val="20"/>
              </w:rPr>
            </w:pPr>
            <w:r w:rsidRPr="001E762F">
              <w:rPr>
                <w:rFonts w:cs="Arial"/>
                <w:b/>
                <w:bCs/>
                <w:color w:val="000000"/>
                <w:sz w:val="20"/>
                <w:szCs w:val="20"/>
              </w:rPr>
              <w:t>4.703.952.995</w:t>
            </w:r>
          </w:p>
        </w:tc>
        <w:tc>
          <w:tcPr>
            <w:tcW w:w="756" w:type="pct"/>
            <w:tcBorders>
              <w:top w:val="single" w:sz="4" w:space="0" w:color="auto"/>
              <w:left w:val="single" w:sz="4" w:space="0" w:color="auto"/>
              <w:bottom w:val="single" w:sz="4" w:space="0" w:color="auto"/>
              <w:right w:val="nil"/>
            </w:tcBorders>
            <w:shd w:val="clear" w:color="auto" w:fill="auto"/>
            <w:noWrap/>
            <w:vAlign w:val="center"/>
            <w:hideMark/>
          </w:tcPr>
          <w:p w14:paraId="0062007C" w14:textId="77777777" w:rsidR="00A06C74" w:rsidRPr="001E762F" w:rsidRDefault="00A06C74" w:rsidP="001E762F">
            <w:pPr>
              <w:ind w:left="-76"/>
              <w:jc w:val="right"/>
              <w:rPr>
                <w:rFonts w:cs="Arial"/>
                <w:b/>
                <w:bCs/>
                <w:color w:val="000000"/>
                <w:sz w:val="20"/>
                <w:szCs w:val="20"/>
              </w:rPr>
            </w:pPr>
            <w:r w:rsidRPr="001E762F">
              <w:rPr>
                <w:rFonts w:cs="Arial"/>
                <w:b/>
                <w:bCs/>
                <w:color w:val="000000"/>
                <w:sz w:val="20"/>
                <w:szCs w:val="20"/>
              </w:rPr>
              <w:t>4.671.185.330</w:t>
            </w:r>
          </w:p>
        </w:tc>
      </w:tr>
    </w:tbl>
    <w:p w14:paraId="41148EDF" w14:textId="77777777" w:rsidR="00A06C74" w:rsidRPr="000A5737" w:rsidRDefault="00A06C74" w:rsidP="00A06C74">
      <w:pPr>
        <w:pStyle w:val="1-FONTE8ESQ"/>
      </w:pPr>
      <w:r w:rsidRPr="000A5737">
        <w:t>Fonte: Business Objects e RREO 6º bimestre/2023</w:t>
      </w:r>
    </w:p>
    <w:p w14:paraId="4CB9D2E8" w14:textId="77777777" w:rsidR="00A06C74" w:rsidRDefault="00A06C74" w:rsidP="00A06C74">
      <w:pPr>
        <w:pStyle w:val="1-REL11"/>
      </w:pPr>
      <w:r>
        <w:t>Por fim, esse mesmo montante de despesa executada na Função Saúde por grupo de despesa está composto conforme tabela abaixo:</w:t>
      </w:r>
    </w:p>
    <w:p w14:paraId="0FDCFC94" w14:textId="77777777" w:rsidR="00A06C74" w:rsidRDefault="00A06C74" w:rsidP="00736A8C">
      <w:pPr>
        <w:pStyle w:val="0-TABELA"/>
        <w:numPr>
          <w:ilvl w:val="0"/>
          <w:numId w:val="53"/>
        </w:numPr>
        <w:tabs>
          <w:tab w:val="clear" w:pos="1560"/>
          <w:tab w:val="left" w:pos="1134"/>
        </w:tabs>
        <w:spacing w:before="0" w:after="0"/>
        <w:ind w:left="0" w:firstLine="0"/>
      </w:pPr>
      <w:bookmarkStart w:id="322" w:name="_Toc167871802"/>
      <w:r>
        <w:lastRenderedPageBreak/>
        <w:t>Despesa na Função Saúde por Grupo de Despesa</w:t>
      </w:r>
      <w:bookmarkEnd w:id="322"/>
    </w:p>
    <w:p w14:paraId="2BD27BA1" w14:textId="77777777" w:rsidR="00A06C74" w:rsidRPr="00A64C83" w:rsidRDefault="00A06C74" w:rsidP="00A06C74">
      <w:pPr>
        <w:pStyle w:val="0-EmR1"/>
        <w:rPr>
          <w:lang w:eastAsia="en-US"/>
        </w:rPr>
      </w:pPr>
      <w:r>
        <w:rPr>
          <w:lang w:eastAsia="en-US"/>
        </w:rPr>
        <w:t>R$ 1</w:t>
      </w:r>
    </w:p>
    <w:tbl>
      <w:tblPr>
        <w:tblW w:w="5000" w:type="pct"/>
        <w:tblCellMar>
          <w:left w:w="70" w:type="dxa"/>
          <w:right w:w="70" w:type="dxa"/>
        </w:tblCellMar>
        <w:tblLook w:val="04A0" w:firstRow="1" w:lastRow="0" w:firstColumn="1" w:lastColumn="0" w:noHBand="0" w:noVBand="1"/>
      </w:tblPr>
      <w:tblGrid>
        <w:gridCol w:w="4112"/>
        <w:gridCol w:w="1558"/>
        <w:gridCol w:w="838"/>
        <w:gridCol w:w="1425"/>
        <w:gridCol w:w="1420"/>
      </w:tblGrid>
      <w:tr w:rsidR="00A06C74" w:rsidRPr="001E762F" w14:paraId="64E847F5" w14:textId="77777777" w:rsidTr="003325A2">
        <w:trPr>
          <w:trHeight w:val="284"/>
          <w:tblHeader/>
        </w:trPr>
        <w:tc>
          <w:tcPr>
            <w:tcW w:w="2198" w:type="pct"/>
            <w:tcBorders>
              <w:top w:val="single" w:sz="4" w:space="0" w:color="auto"/>
              <w:left w:val="nil"/>
              <w:bottom w:val="single" w:sz="4" w:space="0" w:color="auto"/>
              <w:right w:val="nil"/>
            </w:tcBorders>
            <w:shd w:val="clear" w:color="000000" w:fill="A1F2FD"/>
            <w:noWrap/>
            <w:vAlign w:val="center"/>
            <w:hideMark/>
          </w:tcPr>
          <w:p w14:paraId="44DD9C5D" w14:textId="77777777" w:rsidR="00A06C74" w:rsidRPr="001E762F" w:rsidRDefault="00A06C74" w:rsidP="00BF715B">
            <w:pPr>
              <w:jc w:val="center"/>
              <w:rPr>
                <w:rFonts w:cs="Arial"/>
                <w:b/>
                <w:bCs/>
                <w:color w:val="000000"/>
                <w:sz w:val="20"/>
                <w:szCs w:val="20"/>
              </w:rPr>
            </w:pPr>
            <w:r w:rsidRPr="001E762F">
              <w:rPr>
                <w:rFonts w:cs="Arial"/>
                <w:b/>
                <w:bCs/>
                <w:color w:val="000000"/>
                <w:sz w:val="20"/>
                <w:szCs w:val="20"/>
              </w:rPr>
              <w:t>Grupo de Despesa</w:t>
            </w:r>
          </w:p>
        </w:tc>
        <w:tc>
          <w:tcPr>
            <w:tcW w:w="833" w:type="pct"/>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04C48391" w14:textId="77777777" w:rsidR="00A06C74" w:rsidRPr="001E762F" w:rsidRDefault="00A06C74" w:rsidP="00BF715B">
            <w:pPr>
              <w:jc w:val="center"/>
              <w:rPr>
                <w:rFonts w:cs="Arial"/>
                <w:b/>
                <w:bCs/>
                <w:color w:val="000000"/>
                <w:sz w:val="20"/>
                <w:szCs w:val="20"/>
              </w:rPr>
            </w:pPr>
            <w:r w:rsidRPr="001E762F">
              <w:rPr>
                <w:rFonts w:cs="Arial"/>
                <w:b/>
                <w:bCs/>
                <w:color w:val="000000"/>
                <w:sz w:val="20"/>
                <w:szCs w:val="20"/>
              </w:rPr>
              <w:t>Empenhada</w:t>
            </w:r>
          </w:p>
        </w:tc>
        <w:tc>
          <w:tcPr>
            <w:tcW w:w="448" w:type="pct"/>
            <w:tcBorders>
              <w:top w:val="single" w:sz="4" w:space="0" w:color="auto"/>
              <w:left w:val="nil"/>
              <w:bottom w:val="single" w:sz="4" w:space="0" w:color="auto"/>
              <w:right w:val="nil"/>
            </w:tcBorders>
            <w:shd w:val="clear" w:color="000000" w:fill="A1F2FD"/>
            <w:noWrap/>
            <w:vAlign w:val="center"/>
            <w:hideMark/>
          </w:tcPr>
          <w:p w14:paraId="01F7F4BF" w14:textId="77777777" w:rsidR="00A06C74" w:rsidRPr="001E762F" w:rsidRDefault="00A06C74" w:rsidP="00BF715B">
            <w:pPr>
              <w:jc w:val="center"/>
              <w:rPr>
                <w:rFonts w:cs="Arial"/>
                <w:b/>
                <w:bCs/>
                <w:color w:val="000000"/>
                <w:sz w:val="20"/>
                <w:szCs w:val="20"/>
              </w:rPr>
            </w:pPr>
            <w:r w:rsidRPr="001E762F">
              <w:rPr>
                <w:rFonts w:cs="Arial"/>
                <w:b/>
                <w:bCs/>
                <w:color w:val="000000"/>
                <w:sz w:val="20"/>
                <w:szCs w:val="20"/>
              </w:rPr>
              <w:t>AV %</w:t>
            </w:r>
          </w:p>
        </w:tc>
        <w:tc>
          <w:tcPr>
            <w:tcW w:w="762" w:type="pct"/>
            <w:tcBorders>
              <w:top w:val="single" w:sz="4" w:space="0" w:color="auto"/>
              <w:left w:val="single" w:sz="4" w:space="0" w:color="auto"/>
              <w:bottom w:val="single" w:sz="4" w:space="0" w:color="auto"/>
              <w:right w:val="single" w:sz="4" w:space="0" w:color="auto"/>
            </w:tcBorders>
            <w:shd w:val="clear" w:color="D9E1F2" w:fill="A1F2FD"/>
            <w:noWrap/>
            <w:vAlign w:val="center"/>
            <w:hideMark/>
          </w:tcPr>
          <w:p w14:paraId="2074F72A" w14:textId="77777777" w:rsidR="00A06C74" w:rsidRPr="001E762F" w:rsidRDefault="00A06C74" w:rsidP="00BF715B">
            <w:pPr>
              <w:jc w:val="center"/>
              <w:rPr>
                <w:rFonts w:cs="Arial"/>
                <w:b/>
                <w:bCs/>
                <w:color w:val="000000"/>
                <w:sz w:val="20"/>
                <w:szCs w:val="20"/>
              </w:rPr>
            </w:pPr>
            <w:r w:rsidRPr="001E762F">
              <w:rPr>
                <w:rFonts w:cs="Arial"/>
                <w:b/>
                <w:bCs/>
                <w:color w:val="000000"/>
                <w:sz w:val="20"/>
                <w:szCs w:val="20"/>
              </w:rPr>
              <w:t>Liquidada</w:t>
            </w:r>
          </w:p>
        </w:tc>
        <w:tc>
          <w:tcPr>
            <w:tcW w:w="759" w:type="pct"/>
            <w:tcBorders>
              <w:top w:val="single" w:sz="4" w:space="0" w:color="auto"/>
              <w:left w:val="nil"/>
              <w:bottom w:val="single" w:sz="4" w:space="0" w:color="auto"/>
              <w:right w:val="nil"/>
            </w:tcBorders>
            <w:shd w:val="clear" w:color="D9E1F2" w:fill="A1F2FD"/>
            <w:noWrap/>
            <w:vAlign w:val="center"/>
            <w:hideMark/>
          </w:tcPr>
          <w:p w14:paraId="423ACD71" w14:textId="77777777" w:rsidR="00A06C74" w:rsidRPr="001E762F" w:rsidRDefault="00A06C74" w:rsidP="00BF715B">
            <w:pPr>
              <w:jc w:val="center"/>
              <w:rPr>
                <w:rFonts w:cs="Arial"/>
                <w:b/>
                <w:bCs/>
                <w:color w:val="000000"/>
                <w:sz w:val="20"/>
                <w:szCs w:val="20"/>
              </w:rPr>
            </w:pPr>
            <w:r w:rsidRPr="001E762F">
              <w:rPr>
                <w:rFonts w:cs="Arial"/>
                <w:b/>
                <w:bCs/>
                <w:color w:val="000000"/>
                <w:sz w:val="20"/>
                <w:szCs w:val="20"/>
              </w:rPr>
              <w:t>Paga</w:t>
            </w:r>
          </w:p>
        </w:tc>
      </w:tr>
      <w:tr w:rsidR="00A06C74" w:rsidRPr="001E762F" w14:paraId="190F8406" w14:textId="77777777" w:rsidTr="003325A2">
        <w:trPr>
          <w:trHeight w:val="284"/>
        </w:trPr>
        <w:tc>
          <w:tcPr>
            <w:tcW w:w="2198" w:type="pct"/>
            <w:tcBorders>
              <w:top w:val="nil"/>
              <w:left w:val="nil"/>
              <w:bottom w:val="nil"/>
              <w:right w:val="nil"/>
            </w:tcBorders>
            <w:shd w:val="clear" w:color="auto" w:fill="auto"/>
            <w:noWrap/>
            <w:vAlign w:val="center"/>
            <w:hideMark/>
          </w:tcPr>
          <w:p w14:paraId="3E1D6F06" w14:textId="77777777" w:rsidR="00A06C74" w:rsidRPr="001E762F" w:rsidRDefault="00A06C74" w:rsidP="003325A2">
            <w:pPr>
              <w:ind w:left="75"/>
              <w:jc w:val="left"/>
              <w:rPr>
                <w:rFonts w:cs="Arial"/>
                <w:color w:val="000000"/>
                <w:sz w:val="20"/>
                <w:szCs w:val="20"/>
              </w:rPr>
            </w:pPr>
            <w:r w:rsidRPr="001E762F">
              <w:rPr>
                <w:rFonts w:cs="Arial"/>
                <w:color w:val="000000"/>
                <w:sz w:val="20"/>
                <w:szCs w:val="20"/>
              </w:rPr>
              <w:t>Outras Despesas Correntes</w:t>
            </w:r>
          </w:p>
        </w:tc>
        <w:tc>
          <w:tcPr>
            <w:tcW w:w="833" w:type="pct"/>
            <w:tcBorders>
              <w:top w:val="nil"/>
              <w:left w:val="single" w:sz="4" w:space="0" w:color="auto"/>
              <w:bottom w:val="nil"/>
              <w:right w:val="single" w:sz="4" w:space="0" w:color="auto"/>
            </w:tcBorders>
            <w:shd w:val="clear" w:color="auto" w:fill="auto"/>
            <w:noWrap/>
            <w:vAlign w:val="center"/>
            <w:hideMark/>
          </w:tcPr>
          <w:p w14:paraId="0A391E09" w14:textId="77777777" w:rsidR="00A06C74" w:rsidRPr="001E762F" w:rsidRDefault="00A06C74" w:rsidP="00BF715B">
            <w:pPr>
              <w:jc w:val="right"/>
              <w:rPr>
                <w:rFonts w:cs="Arial"/>
                <w:color w:val="000000"/>
                <w:sz w:val="20"/>
                <w:szCs w:val="20"/>
              </w:rPr>
            </w:pPr>
            <w:r w:rsidRPr="001E762F">
              <w:rPr>
                <w:rFonts w:cs="Arial"/>
                <w:color w:val="000000"/>
                <w:sz w:val="20"/>
                <w:szCs w:val="20"/>
              </w:rPr>
              <w:t>3.923.833.295</w:t>
            </w:r>
          </w:p>
        </w:tc>
        <w:tc>
          <w:tcPr>
            <w:tcW w:w="448" w:type="pct"/>
            <w:tcBorders>
              <w:top w:val="nil"/>
              <w:left w:val="nil"/>
              <w:bottom w:val="nil"/>
              <w:right w:val="nil"/>
            </w:tcBorders>
            <w:shd w:val="clear" w:color="auto" w:fill="auto"/>
            <w:noWrap/>
            <w:vAlign w:val="center"/>
            <w:hideMark/>
          </w:tcPr>
          <w:p w14:paraId="4C42057A" w14:textId="77777777" w:rsidR="00A06C74" w:rsidRPr="001E762F" w:rsidRDefault="00A06C74" w:rsidP="00BF715B">
            <w:pPr>
              <w:jc w:val="right"/>
              <w:rPr>
                <w:rFonts w:cs="Arial"/>
                <w:color w:val="000000"/>
                <w:sz w:val="20"/>
                <w:szCs w:val="20"/>
              </w:rPr>
            </w:pPr>
            <w:r w:rsidRPr="001E762F">
              <w:rPr>
                <w:rFonts w:cs="Arial"/>
                <w:color w:val="000000"/>
                <w:sz w:val="20"/>
                <w:szCs w:val="20"/>
              </w:rPr>
              <w:t>78,24</w:t>
            </w:r>
          </w:p>
        </w:tc>
        <w:tc>
          <w:tcPr>
            <w:tcW w:w="762" w:type="pct"/>
            <w:tcBorders>
              <w:top w:val="nil"/>
              <w:left w:val="single" w:sz="4" w:space="0" w:color="auto"/>
              <w:bottom w:val="nil"/>
              <w:right w:val="single" w:sz="4" w:space="0" w:color="auto"/>
            </w:tcBorders>
            <w:shd w:val="clear" w:color="auto" w:fill="auto"/>
            <w:noWrap/>
            <w:vAlign w:val="center"/>
            <w:hideMark/>
          </w:tcPr>
          <w:p w14:paraId="1BD8FABB" w14:textId="77777777" w:rsidR="00A06C74" w:rsidRPr="001E762F" w:rsidRDefault="00A06C74" w:rsidP="00BF715B">
            <w:pPr>
              <w:jc w:val="right"/>
              <w:rPr>
                <w:rFonts w:cs="Arial"/>
                <w:color w:val="000000"/>
                <w:sz w:val="20"/>
                <w:szCs w:val="20"/>
              </w:rPr>
            </w:pPr>
            <w:r w:rsidRPr="001E762F">
              <w:rPr>
                <w:rFonts w:cs="Arial"/>
                <w:color w:val="000000"/>
                <w:sz w:val="20"/>
                <w:szCs w:val="20"/>
              </w:rPr>
              <w:t>3.690.954.054</w:t>
            </w:r>
          </w:p>
        </w:tc>
        <w:tc>
          <w:tcPr>
            <w:tcW w:w="759" w:type="pct"/>
            <w:tcBorders>
              <w:top w:val="nil"/>
              <w:left w:val="nil"/>
              <w:bottom w:val="nil"/>
              <w:right w:val="nil"/>
            </w:tcBorders>
            <w:shd w:val="clear" w:color="auto" w:fill="auto"/>
            <w:noWrap/>
            <w:vAlign w:val="center"/>
            <w:hideMark/>
          </w:tcPr>
          <w:p w14:paraId="6E179081" w14:textId="77777777" w:rsidR="00A06C74" w:rsidRPr="001E762F" w:rsidRDefault="00A06C74" w:rsidP="00BF715B">
            <w:pPr>
              <w:jc w:val="right"/>
              <w:rPr>
                <w:rFonts w:cs="Arial"/>
                <w:color w:val="000000"/>
                <w:sz w:val="20"/>
                <w:szCs w:val="20"/>
              </w:rPr>
            </w:pPr>
            <w:r w:rsidRPr="001E762F">
              <w:rPr>
                <w:rFonts w:cs="Arial"/>
                <w:color w:val="000000"/>
                <w:sz w:val="20"/>
                <w:szCs w:val="20"/>
              </w:rPr>
              <w:t>3.666.954.656</w:t>
            </w:r>
          </w:p>
        </w:tc>
      </w:tr>
      <w:tr w:rsidR="00A06C74" w:rsidRPr="001E762F" w14:paraId="6ACB7509" w14:textId="77777777" w:rsidTr="003325A2">
        <w:trPr>
          <w:trHeight w:val="284"/>
        </w:trPr>
        <w:tc>
          <w:tcPr>
            <w:tcW w:w="2198" w:type="pct"/>
            <w:tcBorders>
              <w:top w:val="nil"/>
              <w:left w:val="nil"/>
              <w:bottom w:val="nil"/>
              <w:right w:val="nil"/>
            </w:tcBorders>
            <w:shd w:val="clear" w:color="auto" w:fill="auto"/>
            <w:noWrap/>
            <w:vAlign w:val="center"/>
            <w:hideMark/>
          </w:tcPr>
          <w:p w14:paraId="0348A809" w14:textId="77777777" w:rsidR="00A06C74" w:rsidRPr="001E762F" w:rsidRDefault="00A06C74" w:rsidP="003325A2">
            <w:pPr>
              <w:ind w:left="75"/>
              <w:jc w:val="left"/>
              <w:rPr>
                <w:rFonts w:cs="Arial"/>
                <w:color w:val="000000"/>
                <w:sz w:val="20"/>
                <w:szCs w:val="20"/>
              </w:rPr>
            </w:pPr>
            <w:r w:rsidRPr="001E762F">
              <w:rPr>
                <w:rFonts w:cs="Arial"/>
                <w:color w:val="000000"/>
                <w:sz w:val="20"/>
                <w:szCs w:val="20"/>
              </w:rPr>
              <w:t>Pessoal e Encargos Sociais</w:t>
            </w:r>
          </w:p>
        </w:tc>
        <w:tc>
          <w:tcPr>
            <w:tcW w:w="833" w:type="pct"/>
            <w:tcBorders>
              <w:top w:val="nil"/>
              <w:left w:val="single" w:sz="4" w:space="0" w:color="auto"/>
              <w:bottom w:val="nil"/>
              <w:right w:val="single" w:sz="4" w:space="0" w:color="auto"/>
            </w:tcBorders>
            <w:shd w:val="clear" w:color="auto" w:fill="auto"/>
            <w:noWrap/>
            <w:vAlign w:val="center"/>
            <w:hideMark/>
          </w:tcPr>
          <w:p w14:paraId="15630A2F" w14:textId="77777777" w:rsidR="00A06C74" w:rsidRPr="001E762F" w:rsidRDefault="00A06C74" w:rsidP="00BF715B">
            <w:pPr>
              <w:jc w:val="right"/>
              <w:rPr>
                <w:rFonts w:cs="Arial"/>
                <w:color w:val="000000"/>
                <w:sz w:val="20"/>
                <w:szCs w:val="20"/>
              </w:rPr>
            </w:pPr>
            <w:r w:rsidRPr="001E762F">
              <w:rPr>
                <w:rFonts w:cs="Arial"/>
                <w:color w:val="000000"/>
                <w:sz w:val="20"/>
                <w:szCs w:val="20"/>
              </w:rPr>
              <w:t>757.273.940</w:t>
            </w:r>
          </w:p>
        </w:tc>
        <w:tc>
          <w:tcPr>
            <w:tcW w:w="448" w:type="pct"/>
            <w:tcBorders>
              <w:top w:val="nil"/>
              <w:left w:val="nil"/>
              <w:bottom w:val="nil"/>
              <w:right w:val="nil"/>
            </w:tcBorders>
            <w:shd w:val="clear" w:color="auto" w:fill="auto"/>
            <w:noWrap/>
            <w:vAlign w:val="center"/>
            <w:hideMark/>
          </w:tcPr>
          <w:p w14:paraId="138A674D" w14:textId="77777777" w:rsidR="00A06C74" w:rsidRPr="001E762F" w:rsidRDefault="00A06C74" w:rsidP="00BF715B">
            <w:pPr>
              <w:jc w:val="right"/>
              <w:rPr>
                <w:rFonts w:cs="Arial"/>
                <w:color w:val="000000"/>
                <w:sz w:val="20"/>
                <w:szCs w:val="20"/>
              </w:rPr>
            </w:pPr>
            <w:r w:rsidRPr="001E762F">
              <w:rPr>
                <w:rFonts w:cs="Arial"/>
                <w:color w:val="000000"/>
                <w:sz w:val="20"/>
                <w:szCs w:val="20"/>
              </w:rPr>
              <w:t>15,10</w:t>
            </w:r>
          </w:p>
        </w:tc>
        <w:tc>
          <w:tcPr>
            <w:tcW w:w="762" w:type="pct"/>
            <w:tcBorders>
              <w:top w:val="nil"/>
              <w:left w:val="single" w:sz="4" w:space="0" w:color="auto"/>
              <w:bottom w:val="nil"/>
              <w:right w:val="single" w:sz="4" w:space="0" w:color="auto"/>
            </w:tcBorders>
            <w:shd w:val="clear" w:color="auto" w:fill="auto"/>
            <w:noWrap/>
            <w:vAlign w:val="center"/>
            <w:hideMark/>
          </w:tcPr>
          <w:p w14:paraId="3FA99E42" w14:textId="77777777" w:rsidR="00A06C74" w:rsidRPr="001E762F" w:rsidRDefault="00A06C74" w:rsidP="00BF715B">
            <w:pPr>
              <w:jc w:val="right"/>
              <w:rPr>
                <w:rFonts w:cs="Arial"/>
                <w:color w:val="000000"/>
                <w:sz w:val="20"/>
                <w:szCs w:val="20"/>
              </w:rPr>
            </w:pPr>
            <w:r w:rsidRPr="001E762F">
              <w:rPr>
                <w:rFonts w:cs="Arial"/>
                <w:color w:val="000000"/>
                <w:sz w:val="20"/>
                <w:szCs w:val="20"/>
              </w:rPr>
              <w:t>757.273.940</w:t>
            </w:r>
          </w:p>
        </w:tc>
        <w:tc>
          <w:tcPr>
            <w:tcW w:w="759" w:type="pct"/>
            <w:tcBorders>
              <w:top w:val="nil"/>
              <w:left w:val="nil"/>
              <w:bottom w:val="nil"/>
              <w:right w:val="nil"/>
            </w:tcBorders>
            <w:shd w:val="clear" w:color="auto" w:fill="auto"/>
            <w:noWrap/>
            <w:vAlign w:val="center"/>
            <w:hideMark/>
          </w:tcPr>
          <w:p w14:paraId="69292709" w14:textId="77777777" w:rsidR="00A06C74" w:rsidRPr="001E762F" w:rsidRDefault="00A06C74" w:rsidP="00BF715B">
            <w:pPr>
              <w:jc w:val="right"/>
              <w:rPr>
                <w:rFonts w:cs="Arial"/>
                <w:color w:val="000000"/>
                <w:sz w:val="20"/>
                <w:szCs w:val="20"/>
              </w:rPr>
            </w:pPr>
            <w:r w:rsidRPr="001E762F">
              <w:rPr>
                <w:rFonts w:cs="Arial"/>
                <w:color w:val="000000"/>
                <w:sz w:val="20"/>
                <w:szCs w:val="20"/>
              </w:rPr>
              <w:t>757.262.853</w:t>
            </w:r>
          </w:p>
        </w:tc>
      </w:tr>
      <w:tr w:rsidR="00A06C74" w:rsidRPr="001E762F" w14:paraId="297FA83F" w14:textId="77777777" w:rsidTr="003325A2">
        <w:trPr>
          <w:trHeight w:val="284"/>
        </w:trPr>
        <w:tc>
          <w:tcPr>
            <w:tcW w:w="2198" w:type="pct"/>
            <w:tcBorders>
              <w:top w:val="nil"/>
              <w:left w:val="nil"/>
              <w:bottom w:val="nil"/>
              <w:right w:val="nil"/>
            </w:tcBorders>
            <w:shd w:val="clear" w:color="auto" w:fill="auto"/>
            <w:noWrap/>
            <w:vAlign w:val="center"/>
            <w:hideMark/>
          </w:tcPr>
          <w:p w14:paraId="1A55C246" w14:textId="77777777" w:rsidR="00A06C74" w:rsidRPr="001E762F" w:rsidRDefault="00A06C74" w:rsidP="003325A2">
            <w:pPr>
              <w:ind w:left="75"/>
              <w:jc w:val="left"/>
              <w:rPr>
                <w:rFonts w:cs="Arial"/>
                <w:color w:val="000000"/>
                <w:sz w:val="20"/>
                <w:szCs w:val="20"/>
              </w:rPr>
            </w:pPr>
            <w:r w:rsidRPr="001E762F">
              <w:rPr>
                <w:rFonts w:cs="Arial"/>
                <w:color w:val="000000"/>
                <w:sz w:val="20"/>
                <w:szCs w:val="20"/>
              </w:rPr>
              <w:t>Investimentos</w:t>
            </w:r>
          </w:p>
        </w:tc>
        <w:tc>
          <w:tcPr>
            <w:tcW w:w="833" w:type="pct"/>
            <w:tcBorders>
              <w:top w:val="nil"/>
              <w:left w:val="single" w:sz="4" w:space="0" w:color="auto"/>
              <w:bottom w:val="nil"/>
              <w:right w:val="single" w:sz="4" w:space="0" w:color="auto"/>
            </w:tcBorders>
            <w:shd w:val="clear" w:color="auto" w:fill="auto"/>
            <w:noWrap/>
            <w:vAlign w:val="center"/>
            <w:hideMark/>
          </w:tcPr>
          <w:p w14:paraId="670AAF66" w14:textId="77777777" w:rsidR="00A06C74" w:rsidRPr="001E762F" w:rsidRDefault="00A06C74" w:rsidP="00BF715B">
            <w:pPr>
              <w:jc w:val="right"/>
              <w:rPr>
                <w:rFonts w:cs="Arial"/>
                <w:color w:val="000000"/>
                <w:sz w:val="20"/>
                <w:szCs w:val="20"/>
              </w:rPr>
            </w:pPr>
            <w:r w:rsidRPr="001E762F">
              <w:rPr>
                <w:rFonts w:cs="Arial"/>
                <w:color w:val="000000"/>
                <w:sz w:val="20"/>
                <w:szCs w:val="20"/>
              </w:rPr>
              <w:t>334.002.312</w:t>
            </w:r>
          </w:p>
        </w:tc>
        <w:tc>
          <w:tcPr>
            <w:tcW w:w="448" w:type="pct"/>
            <w:tcBorders>
              <w:top w:val="nil"/>
              <w:left w:val="nil"/>
              <w:bottom w:val="nil"/>
              <w:right w:val="nil"/>
            </w:tcBorders>
            <w:shd w:val="clear" w:color="auto" w:fill="auto"/>
            <w:noWrap/>
            <w:vAlign w:val="center"/>
            <w:hideMark/>
          </w:tcPr>
          <w:p w14:paraId="1FF7D032" w14:textId="77777777" w:rsidR="00A06C74" w:rsidRPr="001E762F" w:rsidRDefault="00A06C74" w:rsidP="00BF715B">
            <w:pPr>
              <w:jc w:val="right"/>
              <w:rPr>
                <w:rFonts w:cs="Arial"/>
                <w:color w:val="000000"/>
                <w:sz w:val="20"/>
                <w:szCs w:val="20"/>
              </w:rPr>
            </w:pPr>
            <w:r w:rsidRPr="001E762F">
              <w:rPr>
                <w:rFonts w:cs="Arial"/>
                <w:color w:val="000000"/>
                <w:sz w:val="20"/>
                <w:szCs w:val="20"/>
              </w:rPr>
              <w:t>6,66</w:t>
            </w:r>
          </w:p>
        </w:tc>
        <w:tc>
          <w:tcPr>
            <w:tcW w:w="762" w:type="pct"/>
            <w:tcBorders>
              <w:top w:val="nil"/>
              <w:left w:val="single" w:sz="4" w:space="0" w:color="auto"/>
              <w:bottom w:val="nil"/>
              <w:right w:val="single" w:sz="4" w:space="0" w:color="auto"/>
            </w:tcBorders>
            <w:shd w:val="clear" w:color="auto" w:fill="auto"/>
            <w:noWrap/>
            <w:vAlign w:val="center"/>
            <w:hideMark/>
          </w:tcPr>
          <w:p w14:paraId="00FAD679" w14:textId="77777777" w:rsidR="00A06C74" w:rsidRPr="001E762F" w:rsidRDefault="00A06C74" w:rsidP="00BF715B">
            <w:pPr>
              <w:jc w:val="right"/>
              <w:rPr>
                <w:rFonts w:cs="Arial"/>
                <w:color w:val="000000"/>
                <w:sz w:val="20"/>
                <w:szCs w:val="20"/>
              </w:rPr>
            </w:pPr>
            <w:r w:rsidRPr="001E762F">
              <w:rPr>
                <w:rFonts w:cs="Arial"/>
                <w:color w:val="000000"/>
                <w:sz w:val="20"/>
                <w:szCs w:val="20"/>
              </w:rPr>
              <w:t>255.725.001</w:t>
            </w:r>
          </w:p>
        </w:tc>
        <w:tc>
          <w:tcPr>
            <w:tcW w:w="759" w:type="pct"/>
            <w:tcBorders>
              <w:top w:val="nil"/>
              <w:left w:val="nil"/>
              <w:bottom w:val="nil"/>
              <w:right w:val="nil"/>
            </w:tcBorders>
            <w:shd w:val="clear" w:color="auto" w:fill="auto"/>
            <w:noWrap/>
            <w:vAlign w:val="center"/>
            <w:hideMark/>
          </w:tcPr>
          <w:p w14:paraId="32029E4C" w14:textId="77777777" w:rsidR="00A06C74" w:rsidRPr="001E762F" w:rsidRDefault="00A06C74" w:rsidP="00BF715B">
            <w:pPr>
              <w:jc w:val="right"/>
              <w:rPr>
                <w:rFonts w:cs="Arial"/>
                <w:color w:val="000000"/>
                <w:sz w:val="20"/>
                <w:szCs w:val="20"/>
              </w:rPr>
            </w:pPr>
            <w:r w:rsidRPr="001E762F">
              <w:rPr>
                <w:rFonts w:cs="Arial"/>
                <w:color w:val="000000"/>
                <w:sz w:val="20"/>
                <w:szCs w:val="20"/>
              </w:rPr>
              <w:t>246.967.821</w:t>
            </w:r>
          </w:p>
        </w:tc>
      </w:tr>
      <w:tr w:rsidR="00A06C74" w:rsidRPr="001E762F" w14:paraId="627DAB50" w14:textId="77777777" w:rsidTr="003325A2">
        <w:trPr>
          <w:trHeight w:val="284"/>
        </w:trPr>
        <w:tc>
          <w:tcPr>
            <w:tcW w:w="2198" w:type="pct"/>
            <w:tcBorders>
              <w:top w:val="single" w:sz="4" w:space="0" w:color="auto"/>
              <w:left w:val="nil"/>
              <w:bottom w:val="single" w:sz="4" w:space="0" w:color="auto"/>
              <w:right w:val="nil"/>
            </w:tcBorders>
            <w:shd w:val="clear" w:color="auto" w:fill="auto"/>
            <w:noWrap/>
            <w:vAlign w:val="center"/>
            <w:hideMark/>
          </w:tcPr>
          <w:p w14:paraId="216647AD" w14:textId="77777777" w:rsidR="00A06C74" w:rsidRPr="001E762F" w:rsidRDefault="00A06C74" w:rsidP="00BF715B">
            <w:pPr>
              <w:jc w:val="center"/>
              <w:rPr>
                <w:rFonts w:cs="Arial"/>
                <w:b/>
                <w:bCs/>
                <w:color w:val="000000"/>
                <w:sz w:val="20"/>
                <w:szCs w:val="20"/>
              </w:rPr>
            </w:pPr>
            <w:r w:rsidRPr="001E762F">
              <w:rPr>
                <w:rFonts w:cs="Arial"/>
                <w:b/>
                <w:bCs/>
                <w:color w:val="000000"/>
                <w:sz w:val="20"/>
                <w:szCs w:val="20"/>
              </w:rPr>
              <w:t>Total</w:t>
            </w:r>
          </w:p>
        </w:tc>
        <w:tc>
          <w:tcPr>
            <w:tcW w:w="83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D87E51" w14:textId="77777777" w:rsidR="00A06C74" w:rsidRPr="001E762F" w:rsidRDefault="00A06C74" w:rsidP="00BF715B">
            <w:pPr>
              <w:jc w:val="right"/>
              <w:rPr>
                <w:rFonts w:cs="Arial"/>
                <w:b/>
                <w:bCs/>
                <w:color w:val="000000"/>
                <w:sz w:val="20"/>
                <w:szCs w:val="20"/>
              </w:rPr>
            </w:pPr>
            <w:r w:rsidRPr="001E762F">
              <w:rPr>
                <w:rFonts w:cs="Arial"/>
                <w:b/>
                <w:bCs/>
                <w:color w:val="000000"/>
                <w:sz w:val="20"/>
                <w:szCs w:val="20"/>
              </w:rPr>
              <w:t>5.015.109.547</w:t>
            </w:r>
          </w:p>
        </w:tc>
        <w:tc>
          <w:tcPr>
            <w:tcW w:w="448" w:type="pct"/>
            <w:tcBorders>
              <w:top w:val="single" w:sz="4" w:space="0" w:color="auto"/>
              <w:left w:val="nil"/>
              <w:bottom w:val="single" w:sz="4" w:space="0" w:color="auto"/>
              <w:right w:val="nil"/>
            </w:tcBorders>
            <w:shd w:val="clear" w:color="auto" w:fill="auto"/>
            <w:noWrap/>
            <w:vAlign w:val="center"/>
            <w:hideMark/>
          </w:tcPr>
          <w:p w14:paraId="6B72D00A" w14:textId="77777777" w:rsidR="00A06C74" w:rsidRPr="001E762F" w:rsidRDefault="00A06C74" w:rsidP="00BF715B">
            <w:pPr>
              <w:jc w:val="right"/>
              <w:rPr>
                <w:rFonts w:cs="Arial"/>
                <w:b/>
                <w:bCs/>
                <w:color w:val="000000"/>
                <w:sz w:val="20"/>
                <w:szCs w:val="20"/>
              </w:rPr>
            </w:pPr>
            <w:r w:rsidRPr="001E762F">
              <w:rPr>
                <w:rFonts w:cs="Arial"/>
                <w:b/>
                <w:bCs/>
                <w:color w:val="000000"/>
                <w:sz w:val="20"/>
                <w:szCs w:val="20"/>
              </w:rPr>
              <w:t>100,00</w:t>
            </w:r>
          </w:p>
        </w:tc>
        <w:tc>
          <w:tcPr>
            <w:tcW w:w="76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A3F35D" w14:textId="77777777" w:rsidR="00A06C74" w:rsidRPr="001E762F" w:rsidRDefault="00A06C74" w:rsidP="00BF715B">
            <w:pPr>
              <w:jc w:val="right"/>
              <w:rPr>
                <w:rFonts w:cs="Arial"/>
                <w:b/>
                <w:bCs/>
                <w:color w:val="000000"/>
                <w:sz w:val="20"/>
                <w:szCs w:val="20"/>
              </w:rPr>
            </w:pPr>
            <w:r w:rsidRPr="001E762F">
              <w:rPr>
                <w:rFonts w:cs="Arial"/>
                <w:b/>
                <w:bCs/>
                <w:color w:val="000000"/>
                <w:sz w:val="20"/>
                <w:szCs w:val="20"/>
              </w:rPr>
              <w:t>4.703.952.995</w:t>
            </w:r>
          </w:p>
        </w:tc>
        <w:tc>
          <w:tcPr>
            <w:tcW w:w="759" w:type="pct"/>
            <w:tcBorders>
              <w:top w:val="single" w:sz="4" w:space="0" w:color="auto"/>
              <w:left w:val="nil"/>
              <w:bottom w:val="single" w:sz="4" w:space="0" w:color="auto"/>
              <w:right w:val="nil"/>
            </w:tcBorders>
            <w:shd w:val="clear" w:color="auto" w:fill="auto"/>
            <w:noWrap/>
            <w:vAlign w:val="center"/>
            <w:hideMark/>
          </w:tcPr>
          <w:p w14:paraId="62BC07A2" w14:textId="77777777" w:rsidR="00A06C74" w:rsidRPr="001E762F" w:rsidRDefault="00A06C74" w:rsidP="00BF715B">
            <w:pPr>
              <w:jc w:val="right"/>
              <w:rPr>
                <w:rFonts w:cs="Arial"/>
                <w:b/>
                <w:bCs/>
                <w:color w:val="000000"/>
                <w:sz w:val="20"/>
                <w:szCs w:val="20"/>
              </w:rPr>
            </w:pPr>
            <w:r w:rsidRPr="001E762F">
              <w:rPr>
                <w:rFonts w:cs="Arial"/>
                <w:b/>
                <w:bCs/>
                <w:color w:val="000000"/>
                <w:sz w:val="20"/>
                <w:szCs w:val="20"/>
              </w:rPr>
              <w:t>4.671.185.330</w:t>
            </w:r>
          </w:p>
        </w:tc>
      </w:tr>
    </w:tbl>
    <w:p w14:paraId="0A22179F" w14:textId="77777777" w:rsidR="00A06C74" w:rsidRPr="000A5737" w:rsidRDefault="00A06C74" w:rsidP="00A06C74">
      <w:pPr>
        <w:pStyle w:val="1-FONTE8ESQ"/>
      </w:pPr>
      <w:r w:rsidRPr="000A5737">
        <w:t>Fonte: Business Objects e RREO 6º bimestre/2023</w:t>
      </w:r>
    </w:p>
    <w:p w14:paraId="58F0F664" w14:textId="318F431A" w:rsidR="00A06C74" w:rsidRDefault="00A06C74" w:rsidP="00A06C74">
      <w:pPr>
        <w:pStyle w:val="1-REL11"/>
      </w:pPr>
      <w:r>
        <w:t>Em análise às Naturezas de Despesas, do montante de despesa executada na Função Saúde, 71,99% (R$ 3,61 bilhões) está concentrada em repasses de recursos a Organizações Sociais (OSs), a Organizações da Sociedade Civil (OSCs), a municípios e a demais entidades do setor privado, de forma que esses se tornam os responsáveis pela efetiva prestação de serviços à sociedade, seja de forma direta ou por meio da contratação de terceiros.</w:t>
      </w:r>
    </w:p>
    <w:p w14:paraId="4142E700" w14:textId="77777777" w:rsidR="002C0FF2" w:rsidRPr="00B113B2" w:rsidRDefault="002C0FF2" w:rsidP="002C0FF2">
      <w:pPr>
        <w:pStyle w:val="Ttulo3"/>
        <w:spacing w:before="0" w:after="220"/>
        <w:jc w:val="both"/>
      </w:pPr>
      <w:bookmarkStart w:id="323" w:name="_Toc135332726"/>
      <w:bookmarkStart w:id="324" w:name="_Toc167871703"/>
      <w:r w:rsidRPr="007F2AE1">
        <w:t>Despesas Executadas por meio de Organizações Socia</w:t>
      </w:r>
      <w:bookmarkEnd w:id="323"/>
      <w:r w:rsidRPr="007F2AE1">
        <w:t xml:space="preserve">is e Organizações da </w:t>
      </w:r>
      <w:r w:rsidRPr="00B113B2">
        <w:t>Sociedade Civil</w:t>
      </w:r>
      <w:bookmarkStart w:id="325" w:name="_Hlk105516197"/>
      <w:bookmarkEnd w:id="324"/>
    </w:p>
    <w:p w14:paraId="3EA4B1E2" w14:textId="77777777" w:rsidR="002C0FF2" w:rsidRPr="00B113B2" w:rsidRDefault="002C0FF2" w:rsidP="002C0FF2">
      <w:pPr>
        <w:pStyle w:val="1-REL11"/>
      </w:pPr>
      <w:r w:rsidRPr="00B113B2">
        <w:t>A Lei nº 9.637, de 15 de maio de 1998, criou o Programa Nacional de Publicização, dispondo sobre a qualificação de entidades que poderiam atuar como organizações sociais, inclusive na área de saúde.</w:t>
      </w:r>
    </w:p>
    <w:p w14:paraId="4F48FE7F" w14:textId="77777777" w:rsidR="002C0FF2" w:rsidRPr="00B113B2" w:rsidRDefault="002C0FF2" w:rsidP="002C0FF2">
      <w:pPr>
        <w:pStyle w:val="1-REL11"/>
      </w:pPr>
      <w:r w:rsidRPr="00B113B2">
        <w:t>Em Goiás, a lei que trata da qualificação de entidades como organizações sociais é a Lei Estadual nº 15.503, de 28 de dezembro de 2005. O processo de publicização das unidades de saúde do Estado se concretiza através dos contratos de gestão firmados com Organizações Sociais em Saúde</w:t>
      </w:r>
      <w:r w:rsidRPr="00B113B2">
        <w:rPr>
          <w:i/>
        </w:rPr>
        <w:t xml:space="preserve"> </w:t>
      </w:r>
      <w:r w:rsidRPr="00B113B2">
        <w:t>(OSSs), em que o regime jurídico dessas entidades da saúde é regulado pela Lei Estadual nº 21.740, de 29 de dezembro de 2022.</w:t>
      </w:r>
    </w:p>
    <w:p w14:paraId="3E582E58" w14:textId="77777777" w:rsidR="002C0FF2" w:rsidRPr="00B113B2" w:rsidRDefault="002C0FF2" w:rsidP="002C0FF2">
      <w:pPr>
        <w:pStyle w:val="1-REL11"/>
      </w:pPr>
      <w:r w:rsidRPr="00B113B2">
        <w:t>Além das OSs, a Lei Estadual nº 22.511, de 26 de dezembro de 2023, passou a regular, inclusive de forma retroativa, o regime jurídico das parcerias entre a administração pública e as organizações da sociedade civil.</w:t>
      </w:r>
    </w:p>
    <w:p w14:paraId="57F6C880" w14:textId="77777777" w:rsidR="002C0FF2" w:rsidRDefault="002C0FF2" w:rsidP="002C0FF2">
      <w:pPr>
        <w:pStyle w:val="1-REL11"/>
      </w:pPr>
      <w:r w:rsidRPr="00B113B2">
        <w:t>Dentro deste arcabouço jurídico, foi realizada a transferência de atividades não exclusivas ou competitivas desenvolvidas pelo Estado para o terceiro setor, ou a publicização de atividades executadas por esses segmentos sociais. Durante</w:t>
      </w:r>
      <w:r w:rsidRPr="006E4380">
        <w:t xml:space="preserve"> o exercício de 2023, 17 </w:t>
      </w:r>
      <w:r>
        <w:t xml:space="preserve">entidades, entre </w:t>
      </w:r>
      <w:r w:rsidRPr="006E4380">
        <w:t>OSs</w:t>
      </w:r>
      <w:r>
        <w:t xml:space="preserve"> e </w:t>
      </w:r>
      <w:r w:rsidRPr="006E4380">
        <w:t>OSCs</w:t>
      </w:r>
      <w:r>
        <w:t>,</w:t>
      </w:r>
      <w:r w:rsidRPr="006E4380">
        <w:t xml:space="preserve"> receberam repasse de recursos estaduais na Função Saúde.</w:t>
      </w:r>
    </w:p>
    <w:p w14:paraId="3176AADF" w14:textId="77777777" w:rsidR="002C0FF2" w:rsidRDefault="002C0FF2" w:rsidP="002C0FF2">
      <w:pPr>
        <w:pStyle w:val="1-REL11"/>
      </w:pPr>
      <w:r>
        <w:t xml:space="preserve">Para que fosse possível identificar todas as OSs e OSCs beneficiárias de empenhos durante o exercício de 2023, foi necessário o acesso a diversos documentos e sites. Pelo site da SES </w:t>
      </w:r>
      <w:r>
        <w:sym w:font="Symbol" w:char="F0AE"/>
      </w:r>
      <w:r>
        <w:t xml:space="preserve"> Acesso Rápido </w:t>
      </w:r>
      <w:r>
        <w:sym w:font="Symbol" w:char="F0AE"/>
      </w:r>
      <w:r>
        <w:t xml:space="preserve"> Organizações Sociais e site da SES </w:t>
      </w:r>
      <w:r>
        <w:sym w:font="Symbol" w:char="F0AE"/>
      </w:r>
      <w:r>
        <w:t xml:space="preserve"> Acesso Rápido </w:t>
      </w:r>
      <w:r>
        <w:sym w:font="Symbol" w:char="F0AE"/>
      </w:r>
      <w:r>
        <w:t xml:space="preserve"> Organizações da Sociedade Civil, que deveriam apresentar o universo completo de entidades, não foram apresentadas como entidades recebedoras de recursos:</w:t>
      </w:r>
    </w:p>
    <w:p w14:paraId="3085F4B8" w14:textId="77777777" w:rsidR="002C0FF2" w:rsidRDefault="002C0FF2" w:rsidP="00736A8C">
      <w:pPr>
        <w:pStyle w:val="1-REL11"/>
        <w:numPr>
          <w:ilvl w:val="0"/>
          <w:numId w:val="54"/>
        </w:numPr>
      </w:pPr>
      <w:r w:rsidRPr="00A612A5">
        <w:t>Instituto Brasileiro de Saúde, Ensino, Pesquisa e Extensão para o Desenvolvimento Humano</w:t>
      </w:r>
      <w:r>
        <w:t xml:space="preserve"> (</w:t>
      </w:r>
      <w:r w:rsidRPr="00A612A5">
        <w:t>IBSAUDE</w:t>
      </w:r>
      <w:r>
        <w:t xml:space="preserve">): apresentado como OS no Relatório Anual de Gestão 2023, item </w:t>
      </w:r>
      <w:r>
        <w:lastRenderedPageBreak/>
        <w:t>8.10. Repasses às Organizações Sociais, uma vez que gestor do Complexo Regulador do Estado, disponível na Prestação de Contas do Governador, processo nº 202300047001912, evento 16;</w:t>
      </w:r>
    </w:p>
    <w:p w14:paraId="1E0A0A2B" w14:textId="77777777" w:rsidR="002C0FF2" w:rsidRDefault="002C0FF2" w:rsidP="00736A8C">
      <w:pPr>
        <w:pStyle w:val="1-REL11"/>
        <w:numPr>
          <w:ilvl w:val="0"/>
          <w:numId w:val="54"/>
        </w:numPr>
      </w:pPr>
      <w:r w:rsidRPr="00A612A5">
        <w:t xml:space="preserve">Instituto </w:t>
      </w:r>
      <w:r>
        <w:t>d</w:t>
      </w:r>
      <w:r w:rsidRPr="00A612A5">
        <w:t xml:space="preserve">e Olhos </w:t>
      </w:r>
      <w:r>
        <w:t>d</w:t>
      </w:r>
      <w:r w:rsidRPr="00A612A5">
        <w:t xml:space="preserve">e </w:t>
      </w:r>
      <w:r>
        <w:t>Á</w:t>
      </w:r>
      <w:r w:rsidRPr="00A612A5">
        <w:t>guas Lindas</w:t>
      </w:r>
      <w:r>
        <w:t xml:space="preserve">: apresentado como OS no Relatório de Execução de Contratos, disponível no Portal da Transparência Goiás </w:t>
      </w:r>
      <w:r>
        <w:sym w:font="Symbol" w:char="F0AE"/>
      </w:r>
      <w:r>
        <w:t xml:space="preserve"> Organizações Sociais </w:t>
      </w:r>
      <w:r>
        <w:sym w:font="Symbol" w:char="F0AE"/>
      </w:r>
      <w:r>
        <w:t xml:space="preserve"> Repasses de OSs Saúde;</w:t>
      </w:r>
    </w:p>
    <w:p w14:paraId="0234C680" w14:textId="77777777" w:rsidR="002C0FF2" w:rsidRDefault="002C0FF2" w:rsidP="00736A8C">
      <w:pPr>
        <w:pStyle w:val="1-REL11"/>
        <w:numPr>
          <w:ilvl w:val="0"/>
          <w:numId w:val="54"/>
        </w:numPr>
      </w:pPr>
      <w:r w:rsidRPr="00A612A5">
        <w:t>Fundação Pio XII</w:t>
      </w:r>
      <w:r>
        <w:t>: não apresentada como OSC, inclusive com termo de colaboração vigente, em nenhuma fonte oficial de prestação de contas ou portais de transparência do Estado, tendo sido identificada por ter sido beneficiária de empenhos com natureza de despesa típicas de execução de repasses a OSs e OSCs.</w:t>
      </w:r>
    </w:p>
    <w:p w14:paraId="3DAFDCCA" w14:textId="77777777" w:rsidR="002C0FF2" w:rsidRDefault="002C0FF2" w:rsidP="002C0FF2">
      <w:pPr>
        <w:pStyle w:val="1-REL11"/>
      </w:pPr>
      <w:r>
        <w:t>Pela ausência de consolidação dos dados e pela publicação de informações divergentes a depender da fonte oficial que é consultada, sequer é possível afirmar que foi identificada toda a população de OSs e OSCs que foram beneficiárias de execução de despesa pelo Estado.</w:t>
      </w:r>
    </w:p>
    <w:p w14:paraId="1EB60562" w14:textId="77777777" w:rsidR="002C0FF2" w:rsidRPr="008C6CCA" w:rsidRDefault="002C0FF2" w:rsidP="002C0FF2">
      <w:pPr>
        <w:pStyle w:val="1-REL11"/>
      </w:pPr>
      <w:r w:rsidRPr="008C6CCA">
        <w:t>Em 17/05/2024</w:t>
      </w:r>
      <w:r>
        <w:t xml:space="preserve">, a Unidade Técnica entrou em contato com a SES e solicitou a relação de OSs e OSCs, com os respectivos CNPJs, para as quais foram efetuados pagamentos entre o exercício financeiro de 2019 e 2023. Em relação ao exercício sob análise, em comparação às entidades que já haviam sido identificadas, apenas o </w:t>
      </w:r>
      <w:r w:rsidRPr="00A612A5">
        <w:t xml:space="preserve">Instituto </w:t>
      </w:r>
      <w:r>
        <w:t>d</w:t>
      </w:r>
      <w:r w:rsidRPr="00A612A5">
        <w:t xml:space="preserve">e Olhos </w:t>
      </w:r>
      <w:r>
        <w:t>d</w:t>
      </w:r>
      <w:r w:rsidRPr="00A612A5">
        <w:t xml:space="preserve">e </w:t>
      </w:r>
      <w:r>
        <w:t>Á</w:t>
      </w:r>
      <w:r w:rsidRPr="00A612A5">
        <w:t>guas Lindas</w:t>
      </w:r>
      <w:r>
        <w:t xml:space="preserve"> não aparece listado como tal espécie de entidade, porém, como já explanado, o instituto é referenciado como OS no Portal da Transparência Goiás.</w:t>
      </w:r>
    </w:p>
    <w:p w14:paraId="47F93C78" w14:textId="77777777" w:rsidR="002C0FF2" w:rsidRDefault="002C0FF2" w:rsidP="002C0FF2">
      <w:pPr>
        <w:pStyle w:val="1-REL11"/>
      </w:pPr>
      <w:r>
        <w:t>Quando conciliados os valores declarados de execução de despesa no (1) Relatório Anual de Gestão 2023 (RAG); (2) Relatório de Execução de Contratos; e (3) consulta por CNPJ no BO, as diferenças são bastante materiais:</w:t>
      </w:r>
    </w:p>
    <w:p w14:paraId="3F91A674" w14:textId="77777777" w:rsidR="002C0FF2" w:rsidRDefault="002C0FF2" w:rsidP="009443E1">
      <w:pPr>
        <w:pStyle w:val="0-TABELA"/>
      </w:pPr>
      <w:bookmarkStart w:id="326" w:name="_Toc167871803"/>
      <w:r>
        <w:t>Despesas Executadas com OSs e OSCs</w:t>
      </w:r>
      <w:bookmarkEnd w:id="326"/>
    </w:p>
    <w:p w14:paraId="51AB8855" w14:textId="77777777" w:rsidR="002C0FF2" w:rsidRPr="00B5249C" w:rsidRDefault="002C0FF2" w:rsidP="002C0FF2">
      <w:pPr>
        <w:pStyle w:val="0-EmR1"/>
        <w:rPr>
          <w:lang w:eastAsia="en-US"/>
        </w:rPr>
      </w:pPr>
      <w:r>
        <w:rPr>
          <w:lang w:eastAsia="en-US"/>
        </w:rPr>
        <w:t>R$ 1</w:t>
      </w:r>
    </w:p>
    <w:tbl>
      <w:tblPr>
        <w:tblW w:w="5000" w:type="pct"/>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339"/>
        <w:gridCol w:w="2338"/>
        <w:gridCol w:w="2338"/>
        <w:gridCol w:w="2338"/>
      </w:tblGrid>
      <w:tr w:rsidR="002C0FF2" w:rsidRPr="00140D80" w14:paraId="31BFC698" w14:textId="77777777" w:rsidTr="00317620">
        <w:trPr>
          <w:trHeight w:val="340"/>
        </w:trPr>
        <w:tc>
          <w:tcPr>
            <w:tcW w:w="1250" w:type="pct"/>
            <w:tcBorders>
              <w:bottom w:val="single" w:sz="4" w:space="0" w:color="auto"/>
            </w:tcBorders>
            <w:shd w:val="clear" w:color="auto" w:fill="A1F2FD"/>
            <w:vAlign w:val="center"/>
          </w:tcPr>
          <w:p w14:paraId="3C99F6B3" w14:textId="77777777" w:rsidR="002C0FF2" w:rsidRPr="00140D80" w:rsidRDefault="002C0FF2" w:rsidP="007E51A1">
            <w:pPr>
              <w:jc w:val="center"/>
              <w:rPr>
                <w:rFonts w:cs="Arial"/>
                <w:b/>
                <w:bCs/>
                <w:color w:val="000000"/>
                <w:sz w:val="20"/>
                <w:szCs w:val="20"/>
              </w:rPr>
            </w:pPr>
            <w:r w:rsidRPr="00140D80">
              <w:rPr>
                <w:rFonts w:cs="Arial"/>
                <w:b/>
                <w:bCs/>
                <w:color w:val="000000"/>
                <w:sz w:val="20"/>
                <w:szCs w:val="20"/>
              </w:rPr>
              <w:t>BO</w:t>
            </w:r>
          </w:p>
          <w:p w14:paraId="799A185A" w14:textId="77777777" w:rsidR="002C0FF2" w:rsidRPr="00140D80" w:rsidRDefault="002C0FF2" w:rsidP="007E51A1">
            <w:pPr>
              <w:jc w:val="center"/>
              <w:rPr>
                <w:rFonts w:cs="Arial"/>
                <w:b/>
                <w:bCs/>
                <w:color w:val="000000"/>
                <w:sz w:val="20"/>
                <w:szCs w:val="20"/>
              </w:rPr>
            </w:pPr>
            <w:r w:rsidRPr="00140D80">
              <w:rPr>
                <w:rFonts w:cs="Arial"/>
                <w:b/>
                <w:bCs/>
                <w:color w:val="000000"/>
                <w:sz w:val="20"/>
                <w:szCs w:val="20"/>
              </w:rPr>
              <w:t>(Empenhada)</w:t>
            </w:r>
          </w:p>
        </w:tc>
        <w:tc>
          <w:tcPr>
            <w:tcW w:w="1250" w:type="pct"/>
            <w:tcBorders>
              <w:bottom w:val="single" w:sz="4" w:space="0" w:color="auto"/>
            </w:tcBorders>
            <w:shd w:val="clear" w:color="auto" w:fill="A1F2FD"/>
            <w:vAlign w:val="center"/>
          </w:tcPr>
          <w:p w14:paraId="27A5210B" w14:textId="77777777" w:rsidR="002C0FF2" w:rsidRPr="00140D80" w:rsidRDefault="002C0FF2" w:rsidP="007E51A1">
            <w:pPr>
              <w:jc w:val="center"/>
              <w:rPr>
                <w:rFonts w:cs="Arial"/>
                <w:b/>
                <w:bCs/>
                <w:color w:val="000000"/>
                <w:sz w:val="20"/>
                <w:szCs w:val="20"/>
              </w:rPr>
            </w:pPr>
            <w:r w:rsidRPr="00140D80">
              <w:rPr>
                <w:rFonts w:cs="Arial"/>
                <w:b/>
                <w:bCs/>
                <w:color w:val="000000"/>
                <w:sz w:val="20"/>
                <w:szCs w:val="20"/>
              </w:rPr>
              <w:t>RAG</w:t>
            </w:r>
          </w:p>
          <w:p w14:paraId="04F16FA7" w14:textId="77777777" w:rsidR="002C0FF2" w:rsidRPr="00140D80" w:rsidRDefault="002C0FF2" w:rsidP="007E51A1">
            <w:pPr>
              <w:jc w:val="center"/>
              <w:rPr>
                <w:rFonts w:cs="Arial"/>
                <w:b/>
                <w:bCs/>
                <w:color w:val="000000"/>
                <w:sz w:val="20"/>
                <w:szCs w:val="20"/>
              </w:rPr>
            </w:pPr>
            <w:r w:rsidRPr="00140D80">
              <w:rPr>
                <w:rFonts w:cs="Arial"/>
                <w:b/>
                <w:bCs/>
                <w:color w:val="000000"/>
                <w:sz w:val="20"/>
                <w:szCs w:val="20"/>
              </w:rPr>
              <w:t>(Empenhada)</w:t>
            </w:r>
          </w:p>
        </w:tc>
        <w:tc>
          <w:tcPr>
            <w:tcW w:w="1250" w:type="pct"/>
            <w:tcBorders>
              <w:bottom w:val="single" w:sz="4" w:space="0" w:color="auto"/>
            </w:tcBorders>
            <w:shd w:val="clear" w:color="auto" w:fill="A1F2FD"/>
            <w:vAlign w:val="center"/>
          </w:tcPr>
          <w:p w14:paraId="3D55062D" w14:textId="77777777" w:rsidR="002C0FF2" w:rsidRPr="00140D80" w:rsidRDefault="002C0FF2" w:rsidP="007E51A1">
            <w:pPr>
              <w:jc w:val="center"/>
              <w:rPr>
                <w:rFonts w:cs="Arial"/>
                <w:b/>
                <w:bCs/>
                <w:color w:val="000000"/>
                <w:sz w:val="20"/>
                <w:szCs w:val="20"/>
              </w:rPr>
            </w:pPr>
            <w:r w:rsidRPr="00140D80">
              <w:rPr>
                <w:rFonts w:cs="Arial"/>
                <w:b/>
                <w:bCs/>
                <w:color w:val="000000"/>
                <w:sz w:val="20"/>
                <w:szCs w:val="20"/>
              </w:rPr>
              <w:t>RAG</w:t>
            </w:r>
          </w:p>
          <w:p w14:paraId="01DAC225" w14:textId="77777777" w:rsidR="002C0FF2" w:rsidRPr="00140D80" w:rsidRDefault="002C0FF2" w:rsidP="007E51A1">
            <w:pPr>
              <w:jc w:val="center"/>
              <w:rPr>
                <w:rFonts w:cs="Arial"/>
                <w:b/>
                <w:bCs/>
                <w:color w:val="000000"/>
                <w:sz w:val="20"/>
                <w:szCs w:val="20"/>
              </w:rPr>
            </w:pPr>
            <w:r w:rsidRPr="00140D80">
              <w:rPr>
                <w:rFonts w:cs="Arial"/>
                <w:b/>
                <w:bCs/>
                <w:color w:val="000000"/>
                <w:sz w:val="20"/>
                <w:szCs w:val="20"/>
              </w:rPr>
              <w:t>(Paga)</w:t>
            </w:r>
          </w:p>
        </w:tc>
        <w:tc>
          <w:tcPr>
            <w:tcW w:w="1250" w:type="pct"/>
            <w:tcBorders>
              <w:bottom w:val="single" w:sz="4" w:space="0" w:color="auto"/>
            </w:tcBorders>
            <w:shd w:val="clear" w:color="auto" w:fill="A1F2FD"/>
            <w:vAlign w:val="center"/>
            <w:hideMark/>
          </w:tcPr>
          <w:p w14:paraId="4056B818" w14:textId="77777777" w:rsidR="002C0FF2" w:rsidRPr="00140D80" w:rsidRDefault="002C0FF2" w:rsidP="007E51A1">
            <w:pPr>
              <w:jc w:val="center"/>
              <w:rPr>
                <w:rFonts w:cs="Arial"/>
                <w:b/>
                <w:bCs/>
                <w:color w:val="000000"/>
                <w:sz w:val="20"/>
                <w:szCs w:val="20"/>
              </w:rPr>
            </w:pPr>
            <w:r w:rsidRPr="00140D80">
              <w:rPr>
                <w:rFonts w:cs="Arial"/>
                <w:b/>
                <w:bCs/>
                <w:color w:val="000000"/>
                <w:sz w:val="20"/>
                <w:szCs w:val="20"/>
              </w:rPr>
              <w:t>Relatório de Execução de Contratos</w:t>
            </w:r>
          </w:p>
          <w:p w14:paraId="59E14277" w14:textId="77777777" w:rsidR="002C0FF2" w:rsidRPr="00140D80" w:rsidRDefault="002C0FF2" w:rsidP="007E51A1">
            <w:pPr>
              <w:jc w:val="center"/>
              <w:rPr>
                <w:rFonts w:cs="Arial"/>
                <w:b/>
                <w:bCs/>
                <w:color w:val="000000"/>
                <w:sz w:val="20"/>
                <w:szCs w:val="20"/>
              </w:rPr>
            </w:pPr>
            <w:r w:rsidRPr="00140D80">
              <w:rPr>
                <w:rFonts w:cs="Arial"/>
                <w:b/>
                <w:bCs/>
                <w:color w:val="000000"/>
                <w:sz w:val="20"/>
                <w:szCs w:val="20"/>
              </w:rPr>
              <w:t>(Liquidada)</w:t>
            </w:r>
          </w:p>
        </w:tc>
      </w:tr>
      <w:tr w:rsidR="002C0FF2" w:rsidRPr="00140D80" w14:paraId="1593ABCF" w14:textId="77777777" w:rsidTr="00317620">
        <w:trPr>
          <w:trHeight w:val="340"/>
        </w:trPr>
        <w:tc>
          <w:tcPr>
            <w:tcW w:w="1250" w:type="pct"/>
            <w:tcBorders>
              <w:bottom w:val="single" w:sz="4" w:space="0" w:color="auto"/>
            </w:tcBorders>
            <w:vAlign w:val="center"/>
          </w:tcPr>
          <w:p w14:paraId="25327642" w14:textId="77777777" w:rsidR="002C0FF2" w:rsidRPr="00140D80" w:rsidRDefault="002C0FF2" w:rsidP="007E51A1">
            <w:pPr>
              <w:jc w:val="right"/>
              <w:rPr>
                <w:rFonts w:cs="Arial"/>
                <w:bCs/>
                <w:color w:val="000000"/>
                <w:sz w:val="20"/>
                <w:szCs w:val="20"/>
              </w:rPr>
            </w:pPr>
            <w:r w:rsidRPr="00140D80">
              <w:rPr>
                <w:rFonts w:cs="Arial"/>
                <w:bCs/>
                <w:color w:val="000000"/>
                <w:sz w:val="20"/>
                <w:szCs w:val="20"/>
              </w:rPr>
              <w:t>2.868.360.440</w:t>
            </w:r>
          </w:p>
        </w:tc>
        <w:tc>
          <w:tcPr>
            <w:tcW w:w="1250" w:type="pct"/>
            <w:tcBorders>
              <w:bottom w:val="single" w:sz="4" w:space="0" w:color="auto"/>
            </w:tcBorders>
            <w:vAlign w:val="center"/>
          </w:tcPr>
          <w:p w14:paraId="1BEF8EEE" w14:textId="77777777" w:rsidR="002C0FF2" w:rsidRPr="00140D80" w:rsidRDefault="002C0FF2" w:rsidP="007E51A1">
            <w:pPr>
              <w:jc w:val="right"/>
              <w:rPr>
                <w:rFonts w:cs="Arial"/>
                <w:bCs/>
                <w:color w:val="000000"/>
                <w:sz w:val="20"/>
                <w:szCs w:val="20"/>
              </w:rPr>
            </w:pPr>
            <w:r w:rsidRPr="00140D80">
              <w:rPr>
                <w:rFonts w:cs="Arial"/>
                <w:bCs/>
                <w:color w:val="000000"/>
                <w:sz w:val="20"/>
                <w:szCs w:val="20"/>
              </w:rPr>
              <w:t>2.123.713.179</w:t>
            </w:r>
          </w:p>
        </w:tc>
        <w:tc>
          <w:tcPr>
            <w:tcW w:w="1250" w:type="pct"/>
            <w:tcBorders>
              <w:bottom w:val="single" w:sz="4" w:space="0" w:color="auto"/>
            </w:tcBorders>
            <w:vAlign w:val="center"/>
          </w:tcPr>
          <w:p w14:paraId="504B08D7" w14:textId="77777777" w:rsidR="002C0FF2" w:rsidRPr="00140D80" w:rsidRDefault="002C0FF2" w:rsidP="007E51A1">
            <w:pPr>
              <w:jc w:val="right"/>
              <w:rPr>
                <w:rFonts w:cs="Arial"/>
                <w:bCs/>
                <w:color w:val="000000"/>
                <w:sz w:val="20"/>
                <w:szCs w:val="20"/>
              </w:rPr>
            </w:pPr>
            <w:r w:rsidRPr="00140D80">
              <w:rPr>
                <w:rFonts w:cs="Arial"/>
                <w:bCs/>
                <w:color w:val="000000"/>
                <w:sz w:val="20"/>
                <w:szCs w:val="20"/>
              </w:rPr>
              <w:t>2.036.095.080</w:t>
            </w:r>
          </w:p>
        </w:tc>
        <w:tc>
          <w:tcPr>
            <w:tcW w:w="1250" w:type="pct"/>
            <w:tcBorders>
              <w:bottom w:val="single" w:sz="4" w:space="0" w:color="auto"/>
            </w:tcBorders>
            <w:shd w:val="clear" w:color="auto" w:fill="auto"/>
            <w:vAlign w:val="center"/>
            <w:hideMark/>
          </w:tcPr>
          <w:p w14:paraId="699F0BC6" w14:textId="77777777" w:rsidR="002C0FF2" w:rsidRPr="00140D80" w:rsidRDefault="002C0FF2" w:rsidP="007E51A1">
            <w:pPr>
              <w:jc w:val="right"/>
              <w:rPr>
                <w:rFonts w:cs="Arial"/>
                <w:bCs/>
                <w:color w:val="000000"/>
                <w:sz w:val="20"/>
                <w:szCs w:val="20"/>
              </w:rPr>
            </w:pPr>
            <w:r w:rsidRPr="00140D80">
              <w:rPr>
                <w:rFonts w:cs="Arial"/>
                <w:bCs/>
                <w:color w:val="000000"/>
                <w:sz w:val="20"/>
                <w:szCs w:val="20"/>
              </w:rPr>
              <w:t>1.770.658.333</w:t>
            </w:r>
          </w:p>
        </w:tc>
      </w:tr>
    </w:tbl>
    <w:p w14:paraId="5D32E7DC" w14:textId="77777777" w:rsidR="002C0FF2" w:rsidRPr="00F15E80" w:rsidRDefault="002C0FF2" w:rsidP="002C0FF2">
      <w:pPr>
        <w:pStyle w:val="1-FONTE8ESQ"/>
      </w:pPr>
      <w:r>
        <w:t xml:space="preserve">Fonte: </w:t>
      </w:r>
      <w:r w:rsidRPr="009443E1">
        <w:rPr>
          <w:i/>
        </w:rPr>
        <w:t>Business Objects</w:t>
      </w:r>
      <w:r>
        <w:t>; Relatório Anual de Gestão 2023 (BGE 2023); e Relatório de Execução de Contratos, disponível no Portal da Transparência Goiás</w:t>
      </w:r>
    </w:p>
    <w:p w14:paraId="04F5BD97" w14:textId="77777777" w:rsidR="002C0FF2" w:rsidRDefault="002C0FF2" w:rsidP="002C0FF2">
      <w:pPr>
        <w:pStyle w:val="1-REL11"/>
      </w:pPr>
      <w:r>
        <w:t>Ainda que alguns dos valores não possam ser diretamente comparados, uma vez que tratam de estágios diferentes da realização de despesa, é evidente que a despesa paga declarada no RAG não poderia ser superior ao valor da despesa liquidada declarada no Relatório de Execução de Contratos.</w:t>
      </w:r>
    </w:p>
    <w:p w14:paraId="6276F516" w14:textId="77777777" w:rsidR="002C0FF2" w:rsidRDefault="002C0FF2" w:rsidP="002C0FF2">
      <w:pPr>
        <w:pStyle w:val="1-REL11"/>
      </w:pPr>
      <w:r w:rsidRPr="006C106C">
        <w:t>Sendo assim, em conformidade com as análises realizadas</w:t>
      </w:r>
      <w:r>
        <w:t>,</w:t>
      </w:r>
      <w:r w:rsidRPr="006C106C">
        <w:t xml:space="preserve"> ficou evidenciada a seguinte irregularidade:</w:t>
      </w:r>
    </w:p>
    <w:p w14:paraId="08A545C8" w14:textId="1D07DE02" w:rsidR="002C0FF2" w:rsidRPr="00D67D91" w:rsidRDefault="002C0FF2" w:rsidP="00E460D5">
      <w:pPr>
        <w:pStyle w:val="0-ACH-TIT"/>
      </w:pPr>
      <w:r w:rsidRPr="00D67D91">
        <w:lastRenderedPageBreak/>
        <w:t xml:space="preserve">&gt;&gt; </w:t>
      </w:r>
      <w:r w:rsidR="000301E4" w:rsidRPr="000301E4">
        <w:t>Divergência de informações quanto às despesas executadas tendo como beneficiários OSs e OSCs</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2C0FF2" w:rsidRPr="00D67D91" w14:paraId="16AF1FF5" w14:textId="77777777" w:rsidTr="007E51A1">
        <w:trPr>
          <w:trHeight w:val="629"/>
          <w:jc w:val="center"/>
        </w:trPr>
        <w:tc>
          <w:tcPr>
            <w:tcW w:w="6237" w:type="dxa"/>
            <w:vAlign w:val="center"/>
            <w:hideMark/>
          </w:tcPr>
          <w:p w14:paraId="4772B5A4" w14:textId="6F7635DD" w:rsidR="002C0FF2" w:rsidRPr="00D67D91" w:rsidRDefault="009234B0" w:rsidP="007E51A1">
            <w:pPr>
              <w:pStyle w:val="0-ACH-TXT"/>
            </w:pPr>
            <w:r w:rsidRPr="009234B0">
              <w:t>As informações publicadas apresentam divergências quanto a divulgação das OSs e OSCs com as quais mantém conexão de execução de despesas e seus respectivos valores.</w:t>
            </w:r>
          </w:p>
        </w:tc>
      </w:tr>
    </w:tbl>
    <w:p w14:paraId="01299735" w14:textId="77777777" w:rsidR="00913312" w:rsidRDefault="009234B0" w:rsidP="002C0FF2">
      <w:pPr>
        <w:pStyle w:val="1-REL11"/>
      </w:pPr>
      <w:r>
        <w:t>Portando</w:t>
      </w:r>
      <w:r w:rsidR="002C0FF2" w:rsidRPr="00D67D91">
        <w:t xml:space="preserve">, </w:t>
      </w:r>
      <w:r w:rsidRPr="009234B0">
        <w:t>sugere-se ao Tribunal de Contas do Estado de Goiás que determine ao Governo do estado de Goiás, por meio da Secretaria de Estado da Saúde,  que adote providências imediatas com vistas a identificar corretamente, consolidar e padronizar as informações relacionadas às OSs e OSCs que recebem recursos públicos estaduais em todas as fontes oficiais de informação, inclusive nas que são enviadas diretamente a esta Corte de Contas.</w:t>
      </w:r>
    </w:p>
    <w:p w14:paraId="106428FE" w14:textId="08069FB5" w:rsidR="002C0FF2" w:rsidRPr="003B4A33" w:rsidRDefault="002C0FF2" w:rsidP="002C0FF2">
      <w:pPr>
        <w:pStyle w:val="1-REL11"/>
      </w:pPr>
      <w:r>
        <w:t xml:space="preserve">Os valores que serão utilizados para as análises que se seguem são extraídos de consultas no sistema BO, por ser este sistema alimentado pelos dados do Siofi-Net e possuírem, a princípio, </w:t>
      </w:r>
      <w:r w:rsidRPr="003B4A33">
        <w:t>maior integridade.</w:t>
      </w:r>
    </w:p>
    <w:p w14:paraId="6D85448E" w14:textId="77777777" w:rsidR="002C0FF2" w:rsidRDefault="002C0FF2" w:rsidP="002C0FF2">
      <w:pPr>
        <w:pStyle w:val="1-REL11"/>
      </w:pPr>
      <w:r w:rsidRPr="003B4A33">
        <w:t xml:space="preserve">O gráfico seguinte evidencia o </w:t>
      </w:r>
      <w:r>
        <w:t xml:space="preserve">montante de despesas </w:t>
      </w:r>
      <w:r w:rsidRPr="003B4A33">
        <w:t>empenh</w:t>
      </w:r>
      <w:r>
        <w:t>adas</w:t>
      </w:r>
      <w:r w:rsidRPr="003B4A33">
        <w:t xml:space="preserve"> para estas entidades nos 5 últimos exercícios financeiros, cujos dados foram obtidos mediante consulta no sistema BO, </w:t>
      </w:r>
      <w:r>
        <w:t xml:space="preserve">utilizando-se apenas 2 </w:t>
      </w:r>
      <w:r w:rsidRPr="003B4A33">
        <w:t>filtros</w:t>
      </w:r>
      <w:r>
        <w:t xml:space="preserve"> - Função Saúde e</w:t>
      </w:r>
      <w:r w:rsidRPr="003B4A33">
        <w:t xml:space="preserve"> CNPJs </w:t>
      </w:r>
      <w:r>
        <w:t>informados</w:t>
      </w:r>
      <w:r w:rsidRPr="003B4A33">
        <w:t xml:space="preserve"> pelas SES</w:t>
      </w:r>
      <w:r>
        <w:t xml:space="preserve">, com a inclusão do CNPJ do </w:t>
      </w:r>
      <w:r w:rsidRPr="00A612A5">
        <w:t xml:space="preserve">Instituto </w:t>
      </w:r>
      <w:r>
        <w:t>d</w:t>
      </w:r>
      <w:r w:rsidRPr="00A612A5">
        <w:t xml:space="preserve">e Olhos </w:t>
      </w:r>
      <w:r>
        <w:t>d</w:t>
      </w:r>
      <w:r w:rsidRPr="00A612A5">
        <w:t xml:space="preserve">e </w:t>
      </w:r>
      <w:r>
        <w:t>Á</w:t>
      </w:r>
      <w:r w:rsidRPr="00A612A5">
        <w:t>guas Lindas</w:t>
      </w:r>
      <w:r>
        <w:t xml:space="preserve"> (</w:t>
      </w:r>
      <w:r w:rsidRPr="0049662B">
        <w:t>05.889.771/0001-03</w:t>
      </w:r>
      <w:r>
        <w:t>), dado que foi apresentado como OS no Relatório de Execução de Contratos</w:t>
      </w:r>
      <w:r w:rsidRPr="003B4A33">
        <w:t>:</w:t>
      </w:r>
    </w:p>
    <w:p w14:paraId="2CA3E2D7" w14:textId="77777777" w:rsidR="002C0FF2" w:rsidRPr="003B4A33" w:rsidRDefault="002C0FF2" w:rsidP="002C0FF2">
      <w:pPr>
        <w:pStyle w:val="0-GRFICO"/>
        <w:numPr>
          <w:ilvl w:val="0"/>
          <w:numId w:val="38"/>
        </w:numPr>
      </w:pPr>
      <w:bookmarkStart w:id="327" w:name="_Toc135332559"/>
      <w:bookmarkStart w:id="328" w:name="_Toc167825117"/>
      <w:r>
        <w:t>Despesas Empenhadas</w:t>
      </w:r>
      <w:r w:rsidRPr="003B4A33">
        <w:t xml:space="preserve"> às OSs</w:t>
      </w:r>
      <w:bookmarkEnd w:id="327"/>
      <w:r w:rsidRPr="003B4A33">
        <w:t xml:space="preserve"> e OSCs</w:t>
      </w:r>
      <w:bookmarkEnd w:id="328"/>
    </w:p>
    <w:bookmarkEnd w:id="325"/>
    <w:p w14:paraId="26421146" w14:textId="77777777" w:rsidR="002C0FF2" w:rsidRPr="009D12D2" w:rsidRDefault="002C0FF2" w:rsidP="002C0FF2">
      <w:pPr>
        <w:pStyle w:val="1-FONTEcentralizado"/>
      </w:pPr>
      <w:r>
        <w:rPr>
          <w:noProof/>
        </w:rPr>
        <w:drawing>
          <wp:inline distT="0" distB="0" distL="0" distR="0" wp14:anchorId="27B0F594" wp14:editId="38790E9A">
            <wp:extent cx="5931535" cy="2771775"/>
            <wp:effectExtent l="0" t="0" r="145415" b="142875"/>
            <wp:docPr id="6" name="Gráfico 6">
              <a:extLst xmlns:a="http://schemas.openxmlformats.org/drawingml/2006/main">
                <a:ext uri="{FF2B5EF4-FFF2-40B4-BE49-F238E27FC236}">
                  <a16:creationId xmlns:a16="http://schemas.microsoft.com/office/drawing/2014/main" id="{D178BDFA-C183-4B23-B585-03CD97FC3AE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r w:rsidRPr="009D12D2">
        <w:t xml:space="preserve">Fonte: </w:t>
      </w:r>
      <w:r w:rsidRPr="009D12D2">
        <w:rPr>
          <w:i/>
        </w:rPr>
        <w:t>Business Objects</w:t>
      </w:r>
    </w:p>
    <w:p w14:paraId="4F9D62A0" w14:textId="77777777" w:rsidR="002C0FF2" w:rsidRDefault="002C0FF2" w:rsidP="002C0FF2">
      <w:pPr>
        <w:pStyle w:val="1-REL11"/>
      </w:pPr>
      <w:bookmarkStart w:id="329" w:name="_Hlk105516283"/>
      <w:r w:rsidRPr="00E9127F">
        <w:lastRenderedPageBreak/>
        <w:t>Compreende-se, pela análise gráfica, que as despesas empenhadas às OSs e OSCs cresceram 124,22% no intervalo analisado e que, em comparação a 2022, houve aumento na ordem de 17,14%.</w:t>
      </w:r>
    </w:p>
    <w:p w14:paraId="63DD76CE" w14:textId="77777777" w:rsidR="002C0FF2" w:rsidRDefault="002C0FF2" w:rsidP="002C0FF2">
      <w:pPr>
        <w:pStyle w:val="1-REL11"/>
      </w:pPr>
      <w:r>
        <w:t xml:space="preserve">Do total de despesas empenhas na Função Saúde em 2023 (R$ 5,01 bilhões), 57,19% teve como beneficiário uma OS </w:t>
      </w:r>
      <w:r w:rsidRPr="00A93239">
        <w:t>ou OSC, montante de R$ 2,87 bilhões (em 2022, a proporção foi de 43,44%).</w:t>
      </w:r>
    </w:p>
    <w:p w14:paraId="42239F24" w14:textId="77777777" w:rsidR="002C0FF2" w:rsidRPr="00861881" w:rsidRDefault="002C0FF2" w:rsidP="002C0FF2">
      <w:pPr>
        <w:pStyle w:val="1-REL11"/>
      </w:pPr>
      <w:r w:rsidRPr="00861881">
        <w:t>A tabela seguinte evidencia as entidade</w:t>
      </w:r>
      <w:r>
        <w:t>s</w:t>
      </w:r>
      <w:r w:rsidRPr="00861881">
        <w:t xml:space="preserve"> e o volume de recursos empenhados a cada uma delas em 2023, a partir de informações obtidas por meio de consulta ao sistema BO</w:t>
      </w:r>
      <w:bookmarkEnd w:id="329"/>
      <w:r w:rsidRPr="00861881">
        <w:t>:</w:t>
      </w:r>
    </w:p>
    <w:p w14:paraId="6B9D0DE7" w14:textId="77777777" w:rsidR="002C0FF2" w:rsidRPr="00286D28" w:rsidRDefault="002C0FF2" w:rsidP="00736A8C">
      <w:pPr>
        <w:pStyle w:val="0-TABELA"/>
        <w:numPr>
          <w:ilvl w:val="0"/>
          <w:numId w:val="53"/>
        </w:numPr>
        <w:tabs>
          <w:tab w:val="clear" w:pos="1560"/>
          <w:tab w:val="left" w:pos="1134"/>
        </w:tabs>
        <w:spacing w:before="0" w:after="0"/>
        <w:ind w:left="0" w:firstLine="0"/>
      </w:pPr>
      <w:bookmarkStart w:id="330" w:name="_Toc135332529"/>
      <w:bookmarkStart w:id="331" w:name="_Toc167871804"/>
      <w:r w:rsidRPr="00286D28">
        <w:t>Valor Empenhado na Função Saúde às OSs</w:t>
      </w:r>
      <w:bookmarkEnd w:id="330"/>
      <w:r w:rsidRPr="00286D28">
        <w:t xml:space="preserve"> e OSCs</w:t>
      </w:r>
      <w:bookmarkEnd w:id="331"/>
    </w:p>
    <w:p w14:paraId="032B515B" w14:textId="77777777" w:rsidR="002C0FF2" w:rsidRPr="00AB24BC" w:rsidRDefault="002C0FF2" w:rsidP="002C0FF2">
      <w:pPr>
        <w:pStyle w:val="0-EmR1"/>
        <w:rPr>
          <w:lang w:eastAsia="en-US"/>
        </w:rPr>
      </w:pPr>
      <w:r w:rsidRPr="00AB24BC">
        <w:t>R$ 1</w:t>
      </w:r>
    </w:p>
    <w:tbl>
      <w:tblPr>
        <w:tblW w:w="5000" w:type="pct"/>
        <w:tblLayout w:type="fixed"/>
        <w:tblCellMar>
          <w:left w:w="70" w:type="dxa"/>
          <w:right w:w="70" w:type="dxa"/>
        </w:tblCellMar>
        <w:tblLook w:val="04A0" w:firstRow="1" w:lastRow="0" w:firstColumn="1" w:lastColumn="0" w:noHBand="0" w:noVBand="1"/>
      </w:tblPr>
      <w:tblGrid>
        <w:gridCol w:w="6946"/>
        <w:gridCol w:w="1560"/>
        <w:gridCol w:w="847"/>
      </w:tblGrid>
      <w:tr w:rsidR="002C0FF2" w:rsidRPr="00140D80" w14:paraId="0DCE394D" w14:textId="77777777" w:rsidTr="009443E1">
        <w:trPr>
          <w:trHeight w:val="340"/>
          <w:tblHeader/>
        </w:trPr>
        <w:tc>
          <w:tcPr>
            <w:tcW w:w="3713" w:type="pct"/>
            <w:tcBorders>
              <w:top w:val="single" w:sz="4" w:space="0" w:color="auto"/>
              <w:left w:val="nil"/>
              <w:bottom w:val="single" w:sz="4" w:space="0" w:color="auto"/>
              <w:right w:val="nil"/>
            </w:tcBorders>
            <w:shd w:val="clear" w:color="000000" w:fill="A1F2FD"/>
            <w:noWrap/>
            <w:vAlign w:val="center"/>
            <w:hideMark/>
          </w:tcPr>
          <w:p w14:paraId="2FDCBC0B" w14:textId="77777777" w:rsidR="002C0FF2" w:rsidRPr="00140D80" w:rsidRDefault="002C0FF2" w:rsidP="007E51A1">
            <w:pPr>
              <w:jc w:val="center"/>
              <w:rPr>
                <w:rFonts w:cs="Arial"/>
                <w:b/>
                <w:bCs/>
                <w:color w:val="000000"/>
                <w:sz w:val="20"/>
                <w:szCs w:val="20"/>
              </w:rPr>
            </w:pPr>
            <w:r w:rsidRPr="00140D80">
              <w:rPr>
                <w:rFonts w:cs="Arial"/>
                <w:b/>
                <w:bCs/>
                <w:color w:val="000000"/>
                <w:sz w:val="20"/>
                <w:szCs w:val="20"/>
              </w:rPr>
              <w:t>OS/OSC</w:t>
            </w:r>
          </w:p>
        </w:tc>
        <w:tc>
          <w:tcPr>
            <w:tcW w:w="834" w:type="pct"/>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4226BD60" w14:textId="77777777" w:rsidR="002C0FF2" w:rsidRPr="00140D80" w:rsidRDefault="002C0FF2" w:rsidP="007E51A1">
            <w:pPr>
              <w:jc w:val="center"/>
              <w:rPr>
                <w:rFonts w:cs="Arial"/>
                <w:b/>
                <w:bCs/>
                <w:color w:val="000000"/>
                <w:sz w:val="20"/>
                <w:szCs w:val="20"/>
              </w:rPr>
            </w:pPr>
            <w:r w:rsidRPr="00140D80">
              <w:rPr>
                <w:rFonts w:cs="Arial"/>
                <w:b/>
                <w:bCs/>
                <w:color w:val="000000"/>
                <w:sz w:val="20"/>
                <w:szCs w:val="20"/>
              </w:rPr>
              <w:t>Empenhado</w:t>
            </w:r>
          </w:p>
        </w:tc>
        <w:tc>
          <w:tcPr>
            <w:tcW w:w="453" w:type="pct"/>
            <w:tcBorders>
              <w:top w:val="single" w:sz="4" w:space="0" w:color="auto"/>
              <w:left w:val="nil"/>
              <w:bottom w:val="single" w:sz="4" w:space="0" w:color="auto"/>
              <w:right w:val="nil"/>
            </w:tcBorders>
            <w:shd w:val="clear" w:color="000000" w:fill="A1F2FD"/>
            <w:noWrap/>
            <w:vAlign w:val="center"/>
            <w:hideMark/>
          </w:tcPr>
          <w:p w14:paraId="633BF260" w14:textId="77777777" w:rsidR="002C0FF2" w:rsidRPr="00140D80" w:rsidRDefault="002C0FF2" w:rsidP="007E51A1">
            <w:pPr>
              <w:jc w:val="center"/>
              <w:rPr>
                <w:rFonts w:cs="Arial"/>
                <w:b/>
                <w:bCs/>
                <w:color w:val="000000"/>
                <w:sz w:val="20"/>
                <w:szCs w:val="20"/>
              </w:rPr>
            </w:pPr>
            <w:r w:rsidRPr="00140D80">
              <w:rPr>
                <w:rFonts w:cs="Arial"/>
                <w:b/>
                <w:bCs/>
                <w:color w:val="000000"/>
                <w:sz w:val="20"/>
                <w:szCs w:val="20"/>
              </w:rPr>
              <w:t>AV %</w:t>
            </w:r>
          </w:p>
        </w:tc>
      </w:tr>
      <w:tr w:rsidR="002C0FF2" w:rsidRPr="00140D80" w14:paraId="1D662E9D" w14:textId="77777777" w:rsidTr="009443E1">
        <w:trPr>
          <w:trHeight w:val="340"/>
        </w:trPr>
        <w:tc>
          <w:tcPr>
            <w:tcW w:w="3713" w:type="pct"/>
            <w:tcBorders>
              <w:top w:val="nil"/>
              <w:left w:val="nil"/>
              <w:bottom w:val="nil"/>
              <w:right w:val="nil"/>
            </w:tcBorders>
            <w:shd w:val="clear" w:color="auto" w:fill="auto"/>
            <w:noWrap/>
            <w:vAlign w:val="center"/>
            <w:hideMark/>
          </w:tcPr>
          <w:p w14:paraId="3B78EC15"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Associação de Gestão, Inovação e Resultados em Saúde (Agir)</w:t>
            </w:r>
          </w:p>
        </w:tc>
        <w:tc>
          <w:tcPr>
            <w:tcW w:w="834" w:type="pct"/>
            <w:tcBorders>
              <w:top w:val="nil"/>
              <w:left w:val="single" w:sz="4" w:space="0" w:color="auto"/>
              <w:bottom w:val="nil"/>
              <w:right w:val="single" w:sz="4" w:space="0" w:color="auto"/>
            </w:tcBorders>
            <w:shd w:val="clear" w:color="auto" w:fill="auto"/>
            <w:noWrap/>
            <w:vAlign w:val="center"/>
            <w:hideMark/>
          </w:tcPr>
          <w:p w14:paraId="2905A272" w14:textId="77777777" w:rsidR="002C0FF2" w:rsidRPr="00140D80" w:rsidRDefault="002C0FF2" w:rsidP="007E51A1">
            <w:pPr>
              <w:jc w:val="right"/>
              <w:rPr>
                <w:rFonts w:cs="Arial"/>
                <w:color w:val="000000"/>
                <w:sz w:val="20"/>
                <w:szCs w:val="20"/>
              </w:rPr>
            </w:pPr>
            <w:r w:rsidRPr="00140D80">
              <w:rPr>
                <w:rFonts w:cs="Arial"/>
                <w:color w:val="000000"/>
                <w:sz w:val="20"/>
                <w:szCs w:val="20"/>
              </w:rPr>
              <w:t>780.363.143</w:t>
            </w:r>
          </w:p>
        </w:tc>
        <w:tc>
          <w:tcPr>
            <w:tcW w:w="453" w:type="pct"/>
            <w:tcBorders>
              <w:top w:val="nil"/>
              <w:left w:val="nil"/>
              <w:bottom w:val="nil"/>
              <w:right w:val="nil"/>
            </w:tcBorders>
            <w:shd w:val="clear" w:color="auto" w:fill="auto"/>
            <w:noWrap/>
            <w:vAlign w:val="center"/>
            <w:hideMark/>
          </w:tcPr>
          <w:p w14:paraId="5835A776" w14:textId="77777777" w:rsidR="002C0FF2" w:rsidRPr="00140D80" w:rsidRDefault="002C0FF2" w:rsidP="007E51A1">
            <w:pPr>
              <w:jc w:val="center"/>
              <w:rPr>
                <w:rFonts w:cs="Arial"/>
                <w:color w:val="000000"/>
                <w:sz w:val="20"/>
                <w:szCs w:val="20"/>
              </w:rPr>
            </w:pPr>
            <w:r w:rsidRPr="00140D80">
              <w:rPr>
                <w:rFonts w:cs="Arial"/>
                <w:color w:val="000000"/>
                <w:sz w:val="20"/>
                <w:szCs w:val="20"/>
              </w:rPr>
              <w:t>27,21</w:t>
            </w:r>
          </w:p>
        </w:tc>
      </w:tr>
      <w:tr w:rsidR="002C0FF2" w:rsidRPr="00140D80" w14:paraId="45FC033F" w14:textId="77777777" w:rsidTr="009443E1">
        <w:trPr>
          <w:trHeight w:val="340"/>
        </w:trPr>
        <w:tc>
          <w:tcPr>
            <w:tcW w:w="3713" w:type="pct"/>
            <w:tcBorders>
              <w:top w:val="nil"/>
              <w:left w:val="nil"/>
              <w:bottom w:val="nil"/>
              <w:right w:val="nil"/>
            </w:tcBorders>
            <w:shd w:val="clear" w:color="auto" w:fill="auto"/>
            <w:noWrap/>
            <w:vAlign w:val="center"/>
            <w:hideMark/>
          </w:tcPr>
          <w:p w14:paraId="74170138"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Instituto de Medicina, Estudos e Desenvolvimento (Imed)</w:t>
            </w:r>
          </w:p>
        </w:tc>
        <w:tc>
          <w:tcPr>
            <w:tcW w:w="834" w:type="pct"/>
            <w:tcBorders>
              <w:top w:val="nil"/>
              <w:left w:val="single" w:sz="4" w:space="0" w:color="auto"/>
              <w:bottom w:val="nil"/>
              <w:right w:val="single" w:sz="4" w:space="0" w:color="auto"/>
            </w:tcBorders>
            <w:shd w:val="clear" w:color="auto" w:fill="auto"/>
            <w:noWrap/>
            <w:vAlign w:val="center"/>
            <w:hideMark/>
          </w:tcPr>
          <w:p w14:paraId="3196A66C" w14:textId="77777777" w:rsidR="002C0FF2" w:rsidRPr="00140D80" w:rsidRDefault="002C0FF2" w:rsidP="007E51A1">
            <w:pPr>
              <w:jc w:val="right"/>
              <w:rPr>
                <w:rFonts w:cs="Arial"/>
                <w:color w:val="000000"/>
                <w:sz w:val="20"/>
                <w:szCs w:val="20"/>
              </w:rPr>
            </w:pPr>
            <w:r w:rsidRPr="00140D80">
              <w:rPr>
                <w:rFonts w:cs="Arial"/>
                <w:color w:val="000000"/>
                <w:sz w:val="20"/>
                <w:szCs w:val="20"/>
              </w:rPr>
              <w:t>376.700.160</w:t>
            </w:r>
          </w:p>
        </w:tc>
        <w:tc>
          <w:tcPr>
            <w:tcW w:w="453" w:type="pct"/>
            <w:tcBorders>
              <w:top w:val="nil"/>
              <w:left w:val="nil"/>
              <w:bottom w:val="nil"/>
              <w:right w:val="nil"/>
            </w:tcBorders>
            <w:shd w:val="clear" w:color="auto" w:fill="auto"/>
            <w:noWrap/>
            <w:vAlign w:val="center"/>
            <w:hideMark/>
          </w:tcPr>
          <w:p w14:paraId="7B7B586B" w14:textId="77777777" w:rsidR="002C0FF2" w:rsidRPr="00140D80" w:rsidRDefault="002C0FF2" w:rsidP="007E51A1">
            <w:pPr>
              <w:jc w:val="center"/>
              <w:rPr>
                <w:rFonts w:cs="Arial"/>
                <w:color w:val="000000"/>
                <w:sz w:val="20"/>
                <w:szCs w:val="20"/>
              </w:rPr>
            </w:pPr>
            <w:r w:rsidRPr="00140D80">
              <w:rPr>
                <w:rFonts w:cs="Arial"/>
                <w:color w:val="000000"/>
                <w:sz w:val="20"/>
                <w:szCs w:val="20"/>
              </w:rPr>
              <w:t>13,13</w:t>
            </w:r>
          </w:p>
        </w:tc>
      </w:tr>
      <w:tr w:rsidR="002C0FF2" w:rsidRPr="00140D80" w14:paraId="5B9DF9BA" w14:textId="77777777" w:rsidTr="009443E1">
        <w:trPr>
          <w:trHeight w:val="340"/>
        </w:trPr>
        <w:tc>
          <w:tcPr>
            <w:tcW w:w="3713" w:type="pct"/>
            <w:tcBorders>
              <w:top w:val="nil"/>
              <w:left w:val="nil"/>
              <w:bottom w:val="nil"/>
              <w:right w:val="nil"/>
            </w:tcBorders>
            <w:shd w:val="clear" w:color="auto" w:fill="auto"/>
            <w:noWrap/>
            <w:vAlign w:val="center"/>
            <w:hideMark/>
          </w:tcPr>
          <w:p w14:paraId="701563D2"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Centro Hospitalar de Atenção e Emergências Médicas (Instituto CEM)</w:t>
            </w:r>
          </w:p>
        </w:tc>
        <w:tc>
          <w:tcPr>
            <w:tcW w:w="834" w:type="pct"/>
            <w:tcBorders>
              <w:top w:val="nil"/>
              <w:left w:val="single" w:sz="4" w:space="0" w:color="auto"/>
              <w:bottom w:val="nil"/>
              <w:right w:val="single" w:sz="4" w:space="0" w:color="auto"/>
            </w:tcBorders>
            <w:shd w:val="clear" w:color="auto" w:fill="auto"/>
            <w:noWrap/>
            <w:vAlign w:val="center"/>
            <w:hideMark/>
          </w:tcPr>
          <w:p w14:paraId="7FA36A9E" w14:textId="77777777" w:rsidR="002C0FF2" w:rsidRPr="00140D80" w:rsidRDefault="002C0FF2" w:rsidP="007E51A1">
            <w:pPr>
              <w:jc w:val="right"/>
              <w:rPr>
                <w:rFonts w:cs="Arial"/>
                <w:color w:val="000000"/>
                <w:sz w:val="20"/>
                <w:szCs w:val="20"/>
              </w:rPr>
            </w:pPr>
            <w:r w:rsidRPr="00140D80">
              <w:rPr>
                <w:rFonts w:cs="Arial"/>
                <w:color w:val="000000"/>
                <w:sz w:val="20"/>
                <w:szCs w:val="20"/>
              </w:rPr>
              <w:t>340.228.371</w:t>
            </w:r>
          </w:p>
        </w:tc>
        <w:tc>
          <w:tcPr>
            <w:tcW w:w="453" w:type="pct"/>
            <w:tcBorders>
              <w:top w:val="nil"/>
              <w:left w:val="nil"/>
              <w:bottom w:val="nil"/>
              <w:right w:val="nil"/>
            </w:tcBorders>
            <w:shd w:val="clear" w:color="auto" w:fill="auto"/>
            <w:noWrap/>
            <w:vAlign w:val="center"/>
            <w:hideMark/>
          </w:tcPr>
          <w:p w14:paraId="3B3E2F00" w14:textId="77777777" w:rsidR="002C0FF2" w:rsidRPr="00140D80" w:rsidRDefault="002C0FF2" w:rsidP="007E51A1">
            <w:pPr>
              <w:jc w:val="center"/>
              <w:rPr>
                <w:rFonts w:cs="Arial"/>
                <w:color w:val="000000"/>
                <w:sz w:val="20"/>
                <w:szCs w:val="20"/>
              </w:rPr>
            </w:pPr>
            <w:r w:rsidRPr="00140D80">
              <w:rPr>
                <w:rFonts w:cs="Arial"/>
                <w:color w:val="000000"/>
                <w:sz w:val="20"/>
                <w:szCs w:val="20"/>
              </w:rPr>
              <w:t>11,86</w:t>
            </w:r>
          </w:p>
        </w:tc>
      </w:tr>
      <w:tr w:rsidR="002C0FF2" w:rsidRPr="00140D80" w14:paraId="18FDDEB2" w14:textId="77777777" w:rsidTr="009443E1">
        <w:trPr>
          <w:trHeight w:val="340"/>
        </w:trPr>
        <w:tc>
          <w:tcPr>
            <w:tcW w:w="3713" w:type="pct"/>
            <w:tcBorders>
              <w:top w:val="nil"/>
              <w:left w:val="nil"/>
              <w:bottom w:val="nil"/>
              <w:right w:val="nil"/>
            </w:tcBorders>
            <w:shd w:val="clear" w:color="auto" w:fill="auto"/>
            <w:noWrap/>
            <w:vAlign w:val="center"/>
            <w:hideMark/>
          </w:tcPr>
          <w:p w14:paraId="56822F88"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Instituto de Desenvolvimento Tecnológico e Humano (IDTECH)</w:t>
            </w:r>
          </w:p>
        </w:tc>
        <w:tc>
          <w:tcPr>
            <w:tcW w:w="834" w:type="pct"/>
            <w:tcBorders>
              <w:top w:val="nil"/>
              <w:left w:val="single" w:sz="4" w:space="0" w:color="auto"/>
              <w:bottom w:val="nil"/>
              <w:right w:val="single" w:sz="4" w:space="0" w:color="auto"/>
            </w:tcBorders>
            <w:shd w:val="clear" w:color="auto" w:fill="auto"/>
            <w:noWrap/>
            <w:vAlign w:val="center"/>
            <w:hideMark/>
          </w:tcPr>
          <w:p w14:paraId="5B6661E0" w14:textId="77777777" w:rsidR="002C0FF2" w:rsidRPr="00140D80" w:rsidRDefault="002C0FF2" w:rsidP="007E51A1">
            <w:pPr>
              <w:jc w:val="right"/>
              <w:rPr>
                <w:rFonts w:cs="Arial"/>
                <w:color w:val="000000"/>
                <w:sz w:val="20"/>
                <w:szCs w:val="20"/>
              </w:rPr>
            </w:pPr>
            <w:r w:rsidRPr="00140D80">
              <w:rPr>
                <w:rFonts w:cs="Arial"/>
                <w:color w:val="000000"/>
                <w:sz w:val="20"/>
                <w:szCs w:val="20"/>
              </w:rPr>
              <w:t>257.155.741</w:t>
            </w:r>
          </w:p>
        </w:tc>
        <w:tc>
          <w:tcPr>
            <w:tcW w:w="453" w:type="pct"/>
            <w:tcBorders>
              <w:top w:val="nil"/>
              <w:left w:val="nil"/>
              <w:bottom w:val="nil"/>
              <w:right w:val="nil"/>
            </w:tcBorders>
            <w:shd w:val="clear" w:color="auto" w:fill="auto"/>
            <w:noWrap/>
            <w:vAlign w:val="center"/>
            <w:hideMark/>
          </w:tcPr>
          <w:p w14:paraId="01C5B6AE" w14:textId="77777777" w:rsidR="002C0FF2" w:rsidRPr="00140D80" w:rsidRDefault="002C0FF2" w:rsidP="007E51A1">
            <w:pPr>
              <w:jc w:val="center"/>
              <w:rPr>
                <w:rFonts w:cs="Arial"/>
                <w:color w:val="000000"/>
                <w:sz w:val="20"/>
                <w:szCs w:val="20"/>
              </w:rPr>
            </w:pPr>
            <w:r w:rsidRPr="00140D80">
              <w:rPr>
                <w:rFonts w:cs="Arial"/>
                <w:color w:val="000000"/>
                <w:sz w:val="20"/>
                <w:szCs w:val="20"/>
              </w:rPr>
              <w:t>8,97</w:t>
            </w:r>
          </w:p>
        </w:tc>
      </w:tr>
      <w:tr w:rsidR="002C0FF2" w:rsidRPr="00140D80" w14:paraId="48CC814D" w14:textId="77777777" w:rsidTr="009443E1">
        <w:trPr>
          <w:trHeight w:val="340"/>
        </w:trPr>
        <w:tc>
          <w:tcPr>
            <w:tcW w:w="3713" w:type="pct"/>
            <w:tcBorders>
              <w:top w:val="nil"/>
              <w:left w:val="nil"/>
              <w:bottom w:val="nil"/>
              <w:right w:val="nil"/>
            </w:tcBorders>
            <w:shd w:val="clear" w:color="auto" w:fill="auto"/>
            <w:noWrap/>
            <w:vAlign w:val="center"/>
            <w:hideMark/>
          </w:tcPr>
          <w:p w14:paraId="5E550FF5"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Instituto de Gestão e Humanização (IGH)</w:t>
            </w:r>
          </w:p>
        </w:tc>
        <w:tc>
          <w:tcPr>
            <w:tcW w:w="834" w:type="pct"/>
            <w:tcBorders>
              <w:top w:val="nil"/>
              <w:left w:val="single" w:sz="4" w:space="0" w:color="auto"/>
              <w:bottom w:val="nil"/>
              <w:right w:val="single" w:sz="4" w:space="0" w:color="auto"/>
            </w:tcBorders>
            <w:shd w:val="clear" w:color="auto" w:fill="auto"/>
            <w:noWrap/>
            <w:vAlign w:val="center"/>
            <w:hideMark/>
          </w:tcPr>
          <w:p w14:paraId="00520AD1" w14:textId="77777777" w:rsidR="002C0FF2" w:rsidRPr="00140D80" w:rsidRDefault="002C0FF2" w:rsidP="007E51A1">
            <w:pPr>
              <w:jc w:val="right"/>
              <w:rPr>
                <w:rFonts w:cs="Arial"/>
                <w:color w:val="000000"/>
                <w:sz w:val="20"/>
                <w:szCs w:val="20"/>
              </w:rPr>
            </w:pPr>
            <w:r w:rsidRPr="00140D80">
              <w:rPr>
                <w:rFonts w:cs="Arial"/>
                <w:color w:val="000000"/>
                <w:sz w:val="20"/>
                <w:szCs w:val="20"/>
              </w:rPr>
              <w:t>222.853.712</w:t>
            </w:r>
          </w:p>
        </w:tc>
        <w:tc>
          <w:tcPr>
            <w:tcW w:w="453" w:type="pct"/>
            <w:tcBorders>
              <w:top w:val="nil"/>
              <w:left w:val="nil"/>
              <w:bottom w:val="nil"/>
              <w:right w:val="nil"/>
            </w:tcBorders>
            <w:shd w:val="clear" w:color="auto" w:fill="auto"/>
            <w:noWrap/>
            <w:vAlign w:val="center"/>
            <w:hideMark/>
          </w:tcPr>
          <w:p w14:paraId="66759B1C" w14:textId="77777777" w:rsidR="002C0FF2" w:rsidRPr="00140D80" w:rsidRDefault="002C0FF2" w:rsidP="007E51A1">
            <w:pPr>
              <w:jc w:val="center"/>
              <w:rPr>
                <w:rFonts w:cs="Arial"/>
                <w:color w:val="000000"/>
                <w:sz w:val="20"/>
                <w:szCs w:val="20"/>
              </w:rPr>
            </w:pPr>
            <w:r w:rsidRPr="00140D80">
              <w:rPr>
                <w:rFonts w:cs="Arial"/>
                <w:color w:val="000000"/>
                <w:sz w:val="20"/>
                <w:szCs w:val="20"/>
              </w:rPr>
              <w:t>7,77</w:t>
            </w:r>
          </w:p>
        </w:tc>
      </w:tr>
      <w:tr w:rsidR="002C0FF2" w:rsidRPr="00140D80" w14:paraId="25F2DDB6" w14:textId="77777777" w:rsidTr="009443E1">
        <w:trPr>
          <w:trHeight w:val="340"/>
        </w:trPr>
        <w:tc>
          <w:tcPr>
            <w:tcW w:w="3713" w:type="pct"/>
            <w:tcBorders>
              <w:top w:val="nil"/>
              <w:left w:val="nil"/>
              <w:bottom w:val="nil"/>
              <w:right w:val="nil"/>
            </w:tcBorders>
            <w:shd w:val="clear" w:color="auto" w:fill="auto"/>
            <w:noWrap/>
            <w:vAlign w:val="center"/>
            <w:hideMark/>
          </w:tcPr>
          <w:p w14:paraId="6889400F"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Instituto Brasileiro de Gestão Compartilhada (IBGC) - Instituto Gênnesis</w:t>
            </w:r>
          </w:p>
        </w:tc>
        <w:tc>
          <w:tcPr>
            <w:tcW w:w="834" w:type="pct"/>
            <w:tcBorders>
              <w:top w:val="nil"/>
              <w:left w:val="single" w:sz="4" w:space="0" w:color="auto"/>
              <w:bottom w:val="nil"/>
              <w:right w:val="single" w:sz="4" w:space="0" w:color="auto"/>
            </w:tcBorders>
            <w:shd w:val="clear" w:color="auto" w:fill="auto"/>
            <w:noWrap/>
            <w:vAlign w:val="center"/>
            <w:hideMark/>
          </w:tcPr>
          <w:p w14:paraId="746B7E86" w14:textId="77777777" w:rsidR="002C0FF2" w:rsidRPr="00140D80" w:rsidRDefault="002C0FF2" w:rsidP="007E51A1">
            <w:pPr>
              <w:jc w:val="right"/>
              <w:rPr>
                <w:rFonts w:cs="Arial"/>
                <w:color w:val="000000"/>
                <w:sz w:val="20"/>
                <w:szCs w:val="20"/>
              </w:rPr>
            </w:pPr>
            <w:r w:rsidRPr="00140D80">
              <w:rPr>
                <w:rFonts w:cs="Arial"/>
                <w:color w:val="000000"/>
                <w:sz w:val="20"/>
                <w:szCs w:val="20"/>
              </w:rPr>
              <w:t>221.498.859</w:t>
            </w:r>
          </w:p>
        </w:tc>
        <w:tc>
          <w:tcPr>
            <w:tcW w:w="453" w:type="pct"/>
            <w:tcBorders>
              <w:top w:val="nil"/>
              <w:left w:val="nil"/>
              <w:bottom w:val="nil"/>
              <w:right w:val="nil"/>
            </w:tcBorders>
            <w:shd w:val="clear" w:color="auto" w:fill="auto"/>
            <w:noWrap/>
            <w:vAlign w:val="center"/>
            <w:hideMark/>
          </w:tcPr>
          <w:p w14:paraId="5AE1DD47" w14:textId="77777777" w:rsidR="002C0FF2" w:rsidRPr="00140D80" w:rsidRDefault="002C0FF2" w:rsidP="007E51A1">
            <w:pPr>
              <w:jc w:val="center"/>
              <w:rPr>
                <w:rFonts w:cs="Arial"/>
                <w:color w:val="000000"/>
                <w:sz w:val="20"/>
                <w:szCs w:val="20"/>
              </w:rPr>
            </w:pPr>
            <w:r w:rsidRPr="00140D80">
              <w:rPr>
                <w:rFonts w:cs="Arial"/>
                <w:color w:val="000000"/>
                <w:sz w:val="20"/>
                <w:szCs w:val="20"/>
              </w:rPr>
              <w:t>7,72</w:t>
            </w:r>
          </w:p>
        </w:tc>
      </w:tr>
      <w:tr w:rsidR="002C0FF2" w:rsidRPr="00140D80" w14:paraId="1839A47B" w14:textId="77777777" w:rsidTr="009443E1">
        <w:trPr>
          <w:trHeight w:val="340"/>
        </w:trPr>
        <w:tc>
          <w:tcPr>
            <w:tcW w:w="3713" w:type="pct"/>
            <w:tcBorders>
              <w:top w:val="nil"/>
              <w:left w:val="nil"/>
              <w:bottom w:val="nil"/>
              <w:right w:val="nil"/>
            </w:tcBorders>
            <w:shd w:val="clear" w:color="auto" w:fill="auto"/>
            <w:noWrap/>
            <w:vAlign w:val="center"/>
            <w:hideMark/>
          </w:tcPr>
          <w:p w14:paraId="71305EB0"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Fundação Universitária Evangélica (Funev)</w:t>
            </w:r>
          </w:p>
        </w:tc>
        <w:tc>
          <w:tcPr>
            <w:tcW w:w="834" w:type="pct"/>
            <w:tcBorders>
              <w:top w:val="nil"/>
              <w:left w:val="single" w:sz="4" w:space="0" w:color="auto"/>
              <w:bottom w:val="nil"/>
              <w:right w:val="single" w:sz="4" w:space="0" w:color="auto"/>
            </w:tcBorders>
            <w:shd w:val="clear" w:color="auto" w:fill="auto"/>
            <w:noWrap/>
            <w:vAlign w:val="center"/>
            <w:hideMark/>
          </w:tcPr>
          <w:p w14:paraId="67AD8264" w14:textId="77777777" w:rsidR="002C0FF2" w:rsidRPr="00140D80" w:rsidRDefault="002C0FF2" w:rsidP="007E51A1">
            <w:pPr>
              <w:jc w:val="right"/>
              <w:rPr>
                <w:rFonts w:cs="Arial"/>
                <w:color w:val="000000"/>
                <w:sz w:val="20"/>
                <w:szCs w:val="20"/>
              </w:rPr>
            </w:pPr>
            <w:r w:rsidRPr="00140D80">
              <w:rPr>
                <w:rFonts w:cs="Arial"/>
                <w:color w:val="000000"/>
                <w:sz w:val="20"/>
                <w:szCs w:val="20"/>
              </w:rPr>
              <w:t>153.377.552</w:t>
            </w:r>
          </w:p>
        </w:tc>
        <w:tc>
          <w:tcPr>
            <w:tcW w:w="453" w:type="pct"/>
            <w:tcBorders>
              <w:top w:val="nil"/>
              <w:left w:val="nil"/>
              <w:bottom w:val="nil"/>
              <w:right w:val="nil"/>
            </w:tcBorders>
            <w:shd w:val="clear" w:color="auto" w:fill="auto"/>
            <w:noWrap/>
            <w:vAlign w:val="center"/>
            <w:hideMark/>
          </w:tcPr>
          <w:p w14:paraId="06702B4C" w14:textId="77777777" w:rsidR="002C0FF2" w:rsidRPr="00140D80" w:rsidRDefault="002C0FF2" w:rsidP="007E51A1">
            <w:pPr>
              <w:jc w:val="center"/>
              <w:rPr>
                <w:rFonts w:cs="Arial"/>
                <w:color w:val="000000"/>
                <w:sz w:val="20"/>
                <w:szCs w:val="20"/>
              </w:rPr>
            </w:pPr>
            <w:r w:rsidRPr="00140D80">
              <w:rPr>
                <w:rFonts w:cs="Arial"/>
                <w:color w:val="000000"/>
                <w:sz w:val="20"/>
                <w:szCs w:val="20"/>
              </w:rPr>
              <w:t>5,35</w:t>
            </w:r>
          </w:p>
        </w:tc>
      </w:tr>
      <w:tr w:rsidR="002C0FF2" w:rsidRPr="00140D80" w14:paraId="67D4DCAF" w14:textId="77777777" w:rsidTr="009443E1">
        <w:trPr>
          <w:trHeight w:val="340"/>
        </w:trPr>
        <w:tc>
          <w:tcPr>
            <w:tcW w:w="3713" w:type="pct"/>
            <w:tcBorders>
              <w:top w:val="nil"/>
              <w:left w:val="nil"/>
              <w:bottom w:val="nil"/>
              <w:right w:val="nil"/>
            </w:tcBorders>
            <w:shd w:val="clear" w:color="auto" w:fill="auto"/>
            <w:noWrap/>
            <w:vAlign w:val="center"/>
            <w:hideMark/>
          </w:tcPr>
          <w:p w14:paraId="7667BA0D"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Instituto Sócrates Guanaes (ISG)</w:t>
            </w:r>
          </w:p>
        </w:tc>
        <w:tc>
          <w:tcPr>
            <w:tcW w:w="834" w:type="pct"/>
            <w:tcBorders>
              <w:top w:val="nil"/>
              <w:left w:val="single" w:sz="4" w:space="0" w:color="auto"/>
              <w:bottom w:val="nil"/>
              <w:right w:val="single" w:sz="4" w:space="0" w:color="auto"/>
            </w:tcBorders>
            <w:shd w:val="clear" w:color="auto" w:fill="auto"/>
            <w:noWrap/>
            <w:vAlign w:val="center"/>
            <w:hideMark/>
          </w:tcPr>
          <w:p w14:paraId="04598DD8" w14:textId="77777777" w:rsidR="002C0FF2" w:rsidRPr="00140D80" w:rsidRDefault="002C0FF2" w:rsidP="007E51A1">
            <w:pPr>
              <w:jc w:val="right"/>
              <w:rPr>
                <w:rFonts w:cs="Arial"/>
                <w:color w:val="000000"/>
                <w:sz w:val="20"/>
                <w:szCs w:val="20"/>
              </w:rPr>
            </w:pPr>
            <w:r w:rsidRPr="00140D80">
              <w:rPr>
                <w:rFonts w:cs="Arial"/>
                <w:color w:val="000000"/>
                <w:sz w:val="20"/>
                <w:szCs w:val="20"/>
              </w:rPr>
              <w:t>115.851.566</w:t>
            </w:r>
          </w:p>
        </w:tc>
        <w:tc>
          <w:tcPr>
            <w:tcW w:w="453" w:type="pct"/>
            <w:tcBorders>
              <w:top w:val="nil"/>
              <w:left w:val="nil"/>
              <w:bottom w:val="nil"/>
              <w:right w:val="nil"/>
            </w:tcBorders>
            <w:shd w:val="clear" w:color="auto" w:fill="auto"/>
            <w:noWrap/>
            <w:vAlign w:val="center"/>
            <w:hideMark/>
          </w:tcPr>
          <w:p w14:paraId="7AA35A87" w14:textId="77777777" w:rsidR="002C0FF2" w:rsidRPr="00140D80" w:rsidRDefault="002C0FF2" w:rsidP="007E51A1">
            <w:pPr>
              <w:jc w:val="center"/>
              <w:rPr>
                <w:rFonts w:cs="Arial"/>
                <w:color w:val="000000"/>
                <w:sz w:val="20"/>
                <w:szCs w:val="20"/>
              </w:rPr>
            </w:pPr>
            <w:r w:rsidRPr="00140D80">
              <w:rPr>
                <w:rFonts w:cs="Arial"/>
                <w:color w:val="000000"/>
                <w:sz w:val="20"/>
                <w:szCs w:val="20"/>
              </w:rPr>
              <w:t>4,04</w:t>
            </w:r>
          </w:p>
        </w:tc>
      </w:tr>
      <w:tr w:rsidR="002C0FF2" w:rsidRPr="00140D80" w14:paraId="0DC2CBBC" w14:textId="77777777" w:rsidTr="009443E1">
        <w:trPr>
          <w:trHeight w:val="340"/>
        </w:trPr>
        <w:tc>
          <w:tcPr>
            <w:tcW w:w="3713" w:type="pct"/>
            <w:tcBorders>
              <w:top w:val="nil"/>
              <w:left w:val="nil"/>
              <w:bottom w:val="nil"/>
              <w:right w:val="nil"/>
            </w:tcBorders>
            <w:shd w:val="clear" w:color="auto" w:fill="auto"/>
            <w:noWrap/>
            <w:vAlign w:val="center"/>
            <w:hideMark/>
          </w:tcPr>
          <w:p w14:paraId="6C231849"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Fundação de Apoio ao Hospital das Clínicas da UFG</w:t>
            </w:r>
          </w:p>
        </w:tc>
        <w:tc>
          <w:tcPr>
            <w:tcW w:w="834" w:type="pct"/>
            <w:tcBorders>
              <w:top w:val="nil"/>
              <w:left w:val="single" w:sz="4" w:space="0" w:color="auto"/>
              <w:bottom w:val="nil"/>
              <w:right w:val="single" w:sz="4" w:space="0" w:color="auto"/>
            </w:tcBorders>
            <w:shd w:val="clear" w:color="auto" w:fill="auto"/>
            <w:noWrap/>
            <w:vAlign w:val="center"/>
            <w:hideMark/>
          </w:tcPr>
          <w:p w14:paraId="1967AC3F" w14:textId="77777777" w:rsidR="002C0FF2" w:rsidRPr="00140D80" w:rsidRDefault="002C0FF2" w:rsidP="007E51A1">
            <w:pPr>
              <w:jc w:val="right"/>
              <w:rPr>
                <w:rFonts w:cs="Arial"/>
                <w:color w:val="000000"/>
                <w:sz w:val="20"/>
                <w:szCs w:val="20"/>
              </w:rPr>
            </w:pPr>
            <w:r w:rsidRPr="00140D80">
              <w:rPr>
                <w:rFonts w:cs="Arial"/>
                <w:color w:val="000000"/>
                <w:sz w:val="20"/>
                <w:szCs w:val="20"/>
              </w:rPr>
              <w:t>105.373.064</w:t>
            </w:r>
          </w:p>
        </w:tc>
        <w:tc>
          <w:tcPr>
            <w:tcW w:w="453" w:type="pct"/>
            <w:tcBorders>
              <w:top w:val="nil"/>
              <w:left w:val="nil"/>
              <w:bottom w:val="nil"/>
              <w:right w:val="nil"/>
            </w:tcBorders>
            <w:shd w:val="clear" w:color="auto" w:fill="auto"/>
            <w:noWrap/>
            <w:vAlign w:val="center"/>
            <w:hideMark/>
          </w:tcPr>
          <w:p w14:paraId="3947ACF3" w14:textId="77777777" w:rsidR="002C0FF2" w:rsidRPr="00140D80" w:rsidRDefault="002C0FF2" w:rsidP="007E51A1">
            <w:pPr>
              <w:jc w:val="center"/>
              <w:rPr>
                <w:rFonts w:cs="Arial"/>
                <w:color w:val="000000"/>
                <w:sz w:val="20"/>
                <w:szCs w:val="20"/>
              </w:rPr>
            </w:pPr>
            <w:r w:rsidRPr="00140D80">
              <w:rPr>
                <w:rFonts w:cs="Arial"/>
                <w:color w:val="000000"/>
                <w:sz w:val="20"/>
                <w:szCs w:val="20"/>
              </w:rPr>
              <w:t>3,67</w:t>
            </w:r>
          </w:p>
        </w:tc>
      </w:tr>
      <w:tr w:rsidR="002C0FF2" w:rsidRPr="00140D80" w14:paraId="1DC19F63" w14:textId="77777777" w:rsidTr="009443E1">
        <w:trPr>
          <w:trHeight w:val="340"/>
        </w:trPr>
        <w:tc>
          <w:tcPr>
            <w:tcW w:w="3713" w:type="pct"/>
            <w:tcBorders>
              <w:top w:val="nil"/>
              <w:left w:val="nil"/>
              <w:bottom w:val="nil"/>
              <w:right w:val="nil"/>
            </w:tcBorders>
            <w:shd w:val="clear" w:color="auto" w:fill="auto"/>
            <w:noWrap/>
            <w:vAlign w:val="center"/>
            <w:hideMark/>
          </w:tcPr>
          <w:p w14:paraId="050E9C87"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Fundação Pio XII</w:t>
            </w:r>
          </w:p>
        </w:tc>
        <w:tc>
          <w:tcPr>
            <w:tcW w:w="834" w:type="pct"/>
            <w:tcBorders>
              <w:top w:val="nil"/>
              <w:left w:val="single" w:sz="4" w:space="0" w:color="auto"/>
              <w:bottom w:val="nil"/>
              <w:right w:val="single" w:sz="4" w:space="0" w:color="auto"/>
            </w:tcBorders>
            <w:shd w:val="clear" w:color="auto" w:fill="auto"/>
            <w:noWrap/>
            <w:vAlign w:val="center"/>
            <w:hideMark/>
          </w:tcPr>
          <w:p w14:paraId="1C97A77C" w14:textId="77777777" w:rsidR="002C0FF2" w:rsidRPr="00140D80" w:rsidRDefault="002C0FF2" w:rsidP="007E51A1">
            <w:pPr>
              <w:jc w:val="right"/>
              <w:rPr>
                <w:rFonts w:cs="Arial"/>
                <w:color w:val="000000"/>
                <w:sz w:val="20"/>
                <w:szCs w:val="20"/>
              </w:rPr>
            </w:pPr>
            <w:r w:rsidRPr="00140D80">
              <w:rPr>
                <w:rFonts w:cs="Arial"/>
                <w:color w:val="000000"/>
                <w:sz w:val="20"/>
                <w:szCs w:val="20"/>
              </w:rPr>
              <w:t>93.943.241</w:t>
            </w:r>
          </w:p>
        </w:tc>
        <w:tc>
          <w:tcPr>
            <w:tcW w:w="453" w:type="pct"/>
            <w:tcBorders>
              <w:top w:val="nil"/>
              <w:left w:val="nil"/>
              <w:bottom w:val="nil"/>
              <w:right w:val="nil"/>
            </w:tcBorders>
            <w:shd w:val="clear" w:color="auto" w:fill="auto"/>
            <w:noWrap/>
            <w:vAlign w:val="center"/>
            <w:hideMark/>
          </w:tcPr>
          <w:p w14:paraId="0100FB9E" w14:textId="77777777" w:rsidR="002C0FF2" w:rsidRPr="00140D80" w:rsidRDefault="002C0FF2" w:rsidP="007E51A1">
            <w:pPr>
              <w:jc w:val="center"/>
              <w:rPr>
                <w:rFonts w:cs="Arial"/>
                <w:color w:val="000000"/>
                <w:sz w:val="20"/>
                <w:szCs w:val="20"/>
              </w:rPr>
            </w:pPr>
            <w:r w:rsidRPr="00140D80">
              <w:rPr>
                <w:rFonts w:cs="Arial"/>
                <w:color w:val="000000"/>
                <w:sz w:val="20"/>
                <w:szCs w:val="20"/>
              </w:rPr>
              <w:t>3,28</w:t>
            </w:r>
          </w:p>
        </w:tc>
      </w:tr>
      <w:tr w:rsidR="002C0FF2" w:rsidRPr="00140D80" w14:paraId="33848849" w14:textId="77777777" w:rsidTr="009443E1">
        <w:trPr>
          <w:trHeight w:val="340"/>
        </w:trPr>
        <w:tc>
          <w:tcPr>
            <w:tcW w:w="3713" w:type="pct"/>
            <w:tcBorders>
              <w:top w:val="nil"/>
              <w:left w:val="nil"/>
              <w:bottom w:val="nil"/>
              <w:right w:val="nil"/>
            </w:tcBorders>
            <w:shd w:val="clear" w:color="auto" w:fill="auto"/>
            <w:noWrap/>
            <w:vAlign w:val="center"/>
            <w:hideMark/>
          </w:tcPr>
          <w:p w14:paraId="280C5B48"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Instituto de Planejamento e Gestão de Serviços Especializados (IPGSE)</w:t>
            </w:r>
          </w:p>
        </w:tc>
        <w:tc>
          <w:tcPr>
            <w:tcW w:w="834" w:type="pct"/>
            <w:tcBorders>
              <w:top w:val="nil"/>
              <w:left w:val="single" w:sz="4" w:space="0" w:color="auto"/>
              <w:bottom w:val="nil"/>
              <w:right w:val="single" w:sz="4" w:space="0" w:color="auto"/>
            </w:tcBorders>
            <w:shd w:val="clear" w:color="auto" w:fill="auto"/>
            <w:noWrap/>
            <w:vAlign w:val="center"/>
            <w:hideMark/>
          </w:tcPr>
          <w:p w14:paraId="7D168E9D" w14:textId="77777777" w:rsidR="002C0FF2" w:rsidRPr="00140D80" w:rsidRDefault="002C0FF2" w:rsidP="007E51A1">
            <w:pPr>
              <w:jc w:val="right"/>
              <w:rPr>
                <w:rFonts w:cs="Arial"/>
                <w:color w:val="000000"/>
                <w:sz w:val="20"/>
                <w:szCs w:val="20"/>
              </w:rPr>
            </w:pPr>
            <w:r w:rsidRPr="00140D80">
              <w:rPr>
                <w:rFonts w:cs="Arial"/>
                <w:color w:val="000000"/>
                <w:sz w:val="20"/>
                <w:szCs w:val="20"/>
              </w:rPr>
              <w:t>65.545.438</w:t>
            </w:r>
          </w:p>
        </w:tc>
        <w:tc>
          <w:tcPr>
            <w:tcW w:w="453" w:type="pct"/>
            <w:tcBorders>
              <w:top w:val="nil"/>
              <w:left w:val="nil"/>
              <w:bottom w:val="nil"/>
              <w:right w:val="nil"/>
            </w:tcBorders>
            <w:shd w:val="clear" w:color="auto" w:fill="auto"/>
            <w:noWrap/>
            <w:vAlign w:val="center"/>
            <w:hideMark/>
          </w:tcPr>
          <w:p w14:paraId="656A2118" w14:textId="77777777" w:rsidR="002C0FF2" w:rsidRPr="00140D80" w:rsidRDefault="002C0FF2" w:rsidP="007E51A1">
            <w:pPr>
              <w:jc w:val="center"/>
              <w:rPr>
                <w:rFonts w:cs="Arial"/>
                <w:color w:val="000000"/>
                <w:sz w:val="20"/>
                <w:szCs w:val="20"/>
              </w:rPr>
            </w:pPr>
            <w:r w:rsidRPr="00140D80">
              <w:rPr>
                <w:rFonts w:cs="Arial"/>
                <w:color w:val="000000"/>
                <w:sz w:val="20"/>
                <w:szCs w:val="20"/>
              </w:rPr>
              <w:t>2,29</w:t>
            </w:r>
          </w:p>
        </w:tc>
      </w:tr>
      <w:tr w:rsidR="002C0FF2" w:rsidRPr="00140D80" w14:paraId="250E6B16" w14:textId="77777777" w:rsidTr="009443E1">
        <w:trPr>
          <w:trHeight w:val="340"/>
        </w:trPr>
        <w:tc>
          <w:tcPr>
            <w:tcW w:w="3713" w:type="pct"/>
            <w:tcBorders>
              <w:top w:val="nil"/>
              <w:left w:val="nil"/>
              <w:bottom w:val="nil"/>
              <w:right w:val="nil"/>
            </w:tcBorders>
            <w:shd w:val="clear" w:color="auto" w:fill="auto"/>
            <w:noWrap/>
            <w:vAlign w:val="center"/>
            <w:hideMark/>
          </w:tcPr>
          <w:p w14:paraId="7E6D27F1"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Instituto Patris</w:t>
            </w:r>
          </w:p>
        </w:tc>
        <w:tc>
          <w:tcPr>
            <w:tcW w:w="834" w:type="pct"/>
            <w:tcBorders>
              <w:top w:val="nil"/>
              <w:left w:val="single" w:sz="4" w:space="0" w:color="auto"/>
              <w:bottom w:val="nil"/>
              <w:right w:val="single" w:sz="4" w:space="0" w:color="auto"/>
            </w:tcBorders>
            <w:shd w:val="clear" w:color="auto" w:fill="auto"/>
            <w:noWrap/>
            <w:vAlign w:val="center"/>
            <w:hideMark/>
          </w:tcPr>
          <w:p w14:paraId="3CA23712" w14:textId="77777777" w:rsidR="002C0FF2" w:rsidRPr="00140D80" w:rsidRDefault="002C0FF2" w:rsidP="007E51A1">
            <w:pPr>
              <w:jc w:val="right"/>
              <w:rPr>
                <w:rFonts w:cs="Arial"/>
                <w:color w:val="000000"/>
                <w:sz w:val="20"/>
                <w:szCs w:val="20"/>
              </w:rPr>
            </w:pPr>
            <w:r w:rsidRPr="00140D80">
              <w:rPr>
                <w:rFonts w:cs="Arial"/>
                <w:color w:val="000000"/>
                <w:sz w:val="20"/>
                <w:szCs w:val="20"/>
              </w:rPr>
              <w:t>58.507.067</w:t>
            </w:r>
          </w:p>
        </w:tc>
        <w:tc>
          <w:tcPr>
            <w:tcW w:w="453" w:type="pct"/>
            <w:tcBorders>
              <w:top w:val="nil"/>
              <w:left w:val="nil"/>
              <w:bottom w:val="nil"/>
              <w:right w:val="nil"/>
            </w:tcBorders>
            <w:shd w:val="clear" w:color="auto" w:fill="auto"/>
            <w:noWrap/>
            <w:vAlign w:val="center"/>
            <w:hideMark/>
          </w:tcPr>
          <w:p w14:paraId="36278462" w14:textId="77777777" w:rsidR="002C0FF2" w:rsidRPr="00140D80" w:rsidRDefault="002C0FF2" w:rsidP="007E51A1">
            <w:pPr>
              <w:jc w:val="center"/>
              <w:rPr>
                <w:rFonts w:cs="Arial"/>
                <w:color w:val="000000"/>
                <w:sz w:val="20"/>
                <w:szCs w:val="20"/>
              </w:rPr>
            </w:pPr>
            <w:r w:rsidRPr="00140D80">
              <w:rPr>
                <w:rFonts w:cs="Arial"/>
                <w:color w:val="000000"/>
                <w:sz w:val="20"/>
                <w:szCs w:val="20"/>
              </w:rPr>
              <w:t>2,04</w:t>
            </w:r>
          </w:p>
        </w:tc>
      </w:tr>
      <w:tr w:rsidR="002C0FF2" w:rsidRPr="00140D80" w14:paraId="5C53118C" w14:textId="77777777" w:rsidTr="009443E1">
        <w:trPr>
          <w:trHeight w:val="340"/>
        </w:trPr>
        <w:tc>
          <w:tcPr>
            <w:tcW w:w="3713" w:type="pct"/>
            <w:tcBorders>
              <w:top w:val="nil"/>
              <w:left w:val="nil"/>
              <w:bottom w:val="nil"/>
              <w:right w:val="nil"/>
            </w:tcBorders>
            <w:shd w:val="clear" w:color="auto" w:fill="auto"/>
            <w:noWrap/>
            <w:vAlign w:val="center"/>
            <w:hideMark/>
          </w:tcPr>
          <w:p w14:paraId="352EE969"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Associação Brasileira de Esperança e Vida (Abevida)</w:t>
            </w:r>
          </w:p>
        </w:tc>
        <w:tc>
          <w:tcPr>
            <w:tcW w:w="834" w:type="pct"/>
            <w:tcBorders>
              <w:top w:val="nil"/>
              <w:left w:val="single" w:sz="4" w:space="0" w:color="auto"/>
              <w:bottom w:val="nil"/>
              <w:right w:val="single" w:sz="4" w:space="0" w:color="auto"/>
            </w:tcBorders>
            <w:shd w:val="clear" w:color="auto" w:fill="auto"/>
            <w:noWrap/>
            <w:vAlign w:val="center"/>
            <w:hideMark/>
          </w:tcPr>
          <w:p w14:paraId="63BD2062" w14:textId="77777777" w:rsidR="002C0FF2" w:rsidRPr="00140D80" w:rsidRDefault="002C0FF2" w:rsidP="007E51A1">
            <w:pPr>
              <w:jc w:val="right"/>
              <w:rPr>
                <w:rFonts w:cs="Arial"/>
                <w:color w:val="000000"/>
                <w:sz w:val="20"/>
                <w:szCs w:val="20"/>
              </w:rPr>
            </w:pPr>
            <w:r w:rsidRPr="00140D80">
              <w:rPr>
                <w:rFonts w:cs="Arial"/>
                <w:color w:val="000000"/>
                <w:sz w:val="20"/>
                <w:szCs w:val="20"/>
              </w:rPr>
              <w:t>35.679.019</w:t>
            </w:r>
          </w:p>
        </w:tc>
        <w:tc>
          <w:tcPr>
            <w:tcW w:w="453" w:type="pct"/>
            <w:tcBorders>
              <w:top w:val="nil"/>
              <w:left w:val="nil"/>
              <w:bottom w:val="nil"/>
              <w:right w:val="nil"/>
            </w:tcBorders>
            <w:shd w:val="clear" w:color="auto" w:fill="auto"/>
            <w:noWrap/>
            <w:vAlign w:val="center"/>
            <w:hideMark/>
          </w:tcPr>
          <w:p w14:paraId="69903521" w14:textId="77777777" w:rsidR="002C0FF2" w:rsidRPr="00140D80" w:rsidRDefault="002C0FF2" w:rsidP="007E51A1">
            <w:pPr>
              <w:jc w:val="center"/>
              <w:rPr>
                <w:rFonts w:cs="Arial"/>
                <w:color w:val="000000"/>
                <w:sz w:val="20"/>
                <w:szCs w:val="20"/>
              </w:rPr>
            </w:pPr>
            <w:r w:rsidRPr="00140D80">
              <w:rPr>
                <w:rFonts w:cs="Arial"/>
                <w:color w:val="000000"/>
                <w:sz w:val="20"/>
                <w:szCs w:val="20"/>
              </w:rPr>
              <w:t>1,24</w:t>
            </w:r>
          </w:p>
        </w:tc>
      </w:tr>
      <w:tr w:rsidR="002C0FF2" w:rsidRPr="00140D80" w14:paraId="70601418" w14:textId="77777777" w:rsidTr="009443E1">
        <w:trPr>
          <w:trHeight w:val="340"/>
        </w:trPr>
        <w:tc>
          <w:tcPr>
            <w:tcW w:w="3713" w:type="pct"/>
            <w:tcBorders>
              <w:top w:val="nil"/>
              <w:left w:val="nil"/>
              <w:bottom w:val="nil"/>
              <w:right w:val="nil"/>
            </w:tcBorders>
            <w:shd w:val="clear" w:color="auto" w:fill="auto"/>
            <w:noWrap/>
            <w:vAlign w:val="center"/>
            <w:hideMark/>
          </w:tcPr>
          <w:p w14:paraId="79D50A89"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Hospital e Maternidade Therezinha de Jesus (HMTJ)</w:t>
            </w:r>
          </w:p>
        </w:tc>
        <w:tc>
          <w:tcPr>
            <w:tcW w:w="834" w:type="pct"/>
            <w:tcBorders>
              <w:top w:val="nil"/>
              <w:left w:val="single" w:sz="4" w:space="0" w:color="auto"/>
              <w:bottom w:val="nil"/>
              <w:right w:val="single" w:sz="4" w:space="0" w:color="auto"/>
            </w:tcBorders>
            <w:shd w:val="clear" w:color="auto" w:fill="auto"/>
            <w:noWrap/>
            <w:vAlign w:val="center"/>
            <w:hideMark/>
          </w:tcPr>
          <w:p w14:paraId="7D02326F" w14:textId="77777777" w:rsidR="002C0FF2" w:rsidRPr="00140D80" w:rsidRDefault="002C0FF2" w:rsidP="007E51A1">
            <w:pPr>
              <w:jc w:val="right"/>
              <w:rPr>
                <w:rFonts w:cs="Arial"/>
                <w:color w:val="000000"/>
                <w:sz w:val="20"/>
                <w:szCs w:val="20"/>
              </w:rPr>
            </w:pPr>
            <w:r w:rsidRPr="00140D80">
              <w:rPr>
                <w:rFonts w:cs="Arial"/>
                <w:color w:val="000000"/>
                <w:sz w:val="20"/>
                <w:szCs w:val="20"/>
              </w:rPr>
              <w:t>33.957.901</w:t>
            </w:r>
          </w:p>
        </w:tc>
        <w:tc>
          <w:tcPr>
            <w:tcW w:w="453" w:type="pct"/>
            <w:tcBorders>
              <w:top w:val="nil"/>
              <w:left w:val="nil"/>
              <w:bottom w:val="nil"/>
              <w:right w:val="nil"/>
            </w:tcBorders>
            <w:shd w:val="clear" w:color="auto" w:fill="auto"/>
            <w:noWrap/>
            <w:vAlign w:val="center"/>
            <w:hideMark/>
          </w:tcPr>
          <w:p w14:paraId="5855D884" w14:textId="77777777" w:rsidR="002C0FF2" w:rsidRPr="00140D80" w:rsidRDefault="002C0FF2" w:rsidP="007E51A1">
            <w:pPr>
              <w:jc w:val="center"/>
              <w:rPr>
                <w:rFonts w:cs="Arial"/>
                <w:color w:val="000000"/>
                <w:sz w:val="20"/>
                <w:szCs w:val="20"/>
              </w:rPr>
            </w:pPr>
            <w:r w:rsidRPr="00140D80">
              <w:rPr>
                <w:rFonts w:cs="Arial"/>
                <w:color w:val="000000"/>
                <w:sz w:val="20"/>
                <w:szCs w:val="20"/>
              </w:rPr>
              <w:t>1,18</w:t>
            </w:r>
          </w:p>
        </w:tc>
      </w:tr>
      <w:tr w:rsidR="002C0FF2" w:rsidRPr="00140D80" w14:paraId="69282743" w14:textId="77777777" w:rsidTr="009443E1">
        <w:trPr>
          <w:trHeight w:val="340"/>
        </w:trPr>
        <w:tc>
          <w:tcPr>
            <w:tcW w:w="3713" w:type="pct"/>
            <w:tcBorders>
              <w:top w:val="nil"/>
              <w:left w:val="nil"/>
              <w:bottom w:val="nil"/>
              <w:right w:val="nil"/>
            </w:tcBorders>
            <w:shd w:val="clear" w:color="auto" w:fill="auto"/>
            <w:noWrap/>
            <w:vAlign w:val="center"/>
            <w:hideMark/>
          </w:tcPr>
          <w:p w14:paraId="30EFDC3F"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Instituto de Olhos de Águas Lindas</w:t>
            </w:r>
          </w:p>
        </w:tc>
        <w:tc>
          <w:tcPr>
            <w:tcW w:w="834" w:type="pct"/>
            <w:tcBorders>
              <w:top w:val="nil"/>
              <w:left w:val="single" w:sz="4" w:space="0" w:color="auto"/>
              <w:bottom w:val="nil"/>
              <w:right w:val="single" w:sz="4" w:space="0" w:color="auto"/>
            </w:tcBorders>
            <w:shd w:val="clear" w:color="auto" w:fill="auto"/>
            <w:noWrap/>
            <w:vAlign w:val="center"/>
            <w:hideMark/>
          </w:tcPr>
          <w:p w14:paraId="44FFA066" w14:textId="77777777" w:rsidR="002C0FF2" w:rsidRPr="00140D80" w:rsidRDefault="002C0FF2" w:rsidP="007E51A1">
            <w:pPr>
              <w:jc w:val="right"/>
              <w:rPr>
                <w:rFonts w:cs="Arial"/>
                <w:color w:val="000000"/>
                <w:sz w:val="20"/>
                <w:szCs w:val="20"/>
              </w:rPr>
            </w:pPr>
            <w:r w:rsidRPr="00140D80">
              <w:rPr>
                <w:rFonts w:cs="Arial"/>
                <w:color w:val="000000"/>
                <w:sz w:val="20"/>
                <w:szCs w:val="20"/>
              </w:rPr>
              <w:t>5.301.378</w:t>
            </w:r>
          </w:p>
        </w:tc>
        <w:tc>
          <w:tcPr>
            <w:tcW w:w="453" w:type="pct"/>
            <w:tcBorders>
              <w:top w:val="nil"/>
              <w:left w:val="nil"/>
              <w:bottom w:val="nil"/>
              <w:right w:val="nil"/>
            </w:tcBorders>
            <w:shd w:val="clear" w:color="auto" w:fill="auto"/>
            <w:noWrap/>
            <w:vAlign w:val="center"/>
            <w:hideMark/>
          </w:tcPr>
          <w:p w14:paraId="1DB94F69" w14:textId="77777777" w:rsidR="002C0FF2" w:rsidRPr="00140D80" w:rsidRDefault="002C0FF2" w:rsidP="007E51A1">
            <w:pPr>
              <w:jc w:val="center"/>
              <w:rPr>
                <w:rFonts w:cs="Arial"/>
                <w:color w:val="000000"/>
                <w:sz w:val="20"/>
                <w:szCs w:val="20"/>
              </w:rPr>
            </w:pPr>
            <w:r w:rsidRPr="00140D80">
              <w:rPr>
                <w:rFonts w:cs="Arial"/>
                <w:color w:val="000000"/>
                <w:sz w:val="20"/>
                <w:szCs w:val="20"/>
              </w:rPr>
              <w:t>0,18</w:t>
            </w:r>
          </w:p>
        </w:tc>
      </w:tr>
      <w:tr w:rsidR="002C0FF2" w:rsidRPr="00140D80" w14:paraId="465AB462" w14:textId="77777777" w:rsidTr="009443E1">
        <w:trPr>
          <w:trHeight w:val="340"/>
        </w:trPr>
        <w:tc>
          <w:tcPr>
            <w:tcW w:w="3713" w:type="pct"/>
            <w:tcBorders>
              <w:top w:val="nil"/>
              <w:left w:val="nil"/>
              <w:bottom w:val="nil"/>
              <w:right w:val="nil"/>
            </w:tcBorders>
            <w:shd w:val="clear" w:color="auto" w:fill="auto"/>
            <w:noWrap/>
            <w:vAlign w:val="center"/>
            <w:hideMark/>
          </w:tcPr>
          <w:p w14:paraId="4477376A"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Instituto Brasileiro de Saúde, Ensino, Pesquisa e Extensão para o Desenvolvimento Humano (IBSaude)</w:t>
            </w:r>
          </w:p>
        </w:tc>
        <w:tc>
          <w:tcPr>
            <w:tcW w:w="834" w:type="pct"/>
            <w:tcBorders>
              <w:top w:val="nil"/>
              <w:left w:val="single" w:sz="4" w:space="0" w:color="auto"/>
              <w:bottom w:val="nil"/>
              <w:right w:val="single" w:sz="4" w:space="0" w:color="auto"/>
            </w:tcBorders>
            <w:shd w:val="clear" w:color="auto" w:fill="auto"/>
            <w:noWrap/>
            <w:vAlign w:val="center"/>
            <w:hideMark/>
          </w:tcPr>
          <w:p w14:paraId="2C95C3F0" w14:textId="77777777" w:rsidR="002C0FF2" w:rsidRPr="00140D80" w:rsidRDefault="002C0FF2" w:rsidP="007E51A1">
            <w:pPr>
              <w:jc w:val="right"/>
              <w:rPr>
                <w:rFonts w:cs="Arial"/>
                <w:color w:val="000000"/>
                <w:sz w:val="20"/>
                <w:szCs w:val="20"/>
              </w:rPr>
            </w:pPr>
            <w:r w:rsidRPr="00140D80">
              <w:rPr>
                <w:rFonts w:cs="Arial"/>
                <w:color w:val="000000"/>
                <w:sz w:val="20"/>
                <w:szCs w:val="20"/>
              </w:rPr>
              <w:t>1.724.229</w:t>
            </w:r>
          </w:p>
        </w:tc>
        <w:tc>
          <w:tcPr>
            <w:tcW w:w="453" w:type="pct"/>
            <w:tcBorders>
              <w:top w:val="nil"/>
              <w:left w:val="nil"/>
              <w:bottom w:val="nil"/>
              <w:right w:val="nil"/>
            </w:tcBorders>
            <w:shd w:val="clear" w:color="auto" w:fill="auto"/>
            <w:noWrap/>
            <w:vAlign w:val="center"/>
            <w:hideMark/>
          </w:tcPr>
          <w:p w14:paraId="088A8D48" w14:textId="77777777" w:rsidR="002C0FF2" w:rsidRPr="00140D80" w:rsidRDefault="002C0FF2" w:rsidP="007E51A1">
            <w:pPr>
              <w:jc w:val="center"/>
              <w:rPr>
                <w:rFonts w:cs="Arial"/>
                <w:color w:val="000000"/>
                <w:sz w:val="20"/>
                <w:szCs w:val="20"/>
              </w:rPr>
            </w:pPr>
            <w:r w:rsidRPr="00140D80">
              <w:rPr>
                <w:rFonts w:cs="Arial"/>
                <w:color w:val="000000"/>
                <w:sz w:val="20"/>
                <w:szCs w:val="20"/>
              </w:rPr>
              <w:t>0,06</w:t>
            </w:r>
          </w:p>
        </w:tc>
      </w:tr>
      <w:tr w:rsidR="002C0FF2" w:rsidRPr="00140D80" w14:paraId="1E4559E3" w14:textId="77777777" w:rsidTr="009443E1">
        <w:trPr>
          <w:trHeight w:val="340"/>
        </w:trPr>
        <w:tc>
          <w:tcPr>
            <w:tcW w:w="3713" w:type="pct"/>
            <w:tcBorders>
              <w:top w:val="nil"/>
              <w:left w:val="nil"/>
              <w:bottom w:val="single" w:sz="4" w:space="0" w:color="auto"/>
              <w:right w:val="nil"/>
            </w:tcBorders>
            <w:shd w:val="clear" w:color="auto" w:fill="auto"/>
            <w:noWrap/>
            <w:vAlign w:val="center"/>
            <w:hideMark/>
          </w:tcPr>
          <w:p w14:paraId="20C6FA68" w14:textId="77777777" w:rsidR="002C0FF2" w:rsidRPr="00140D80" w:rsidRDefault="002C0FF2" w:rsidP="009443E1">
            <w:pPr>
              <w:ind w:left="75"/>
              <w:jc w:val="left"/>
              <w:rPr>
                <w:rFonts w:cs="Arial"/>
                <w:color w:val="000000"/>
                <w:sz w:val="20"/>
                <w:szCs w:val="20"/>
              </w:rPr>
            </w:pPr>
            <w:r w:rsidRPr="00140D80">
              <w:rPr>
                <w:rFonts w:cs="Arial"/>
                <w:color w:val="000000"/>
                <w:sz w:val="20"/>
                <w:szCs w:val="20"/>
              </w:rPr>
              <w:t>Fundação de Assistência Social de Anápolis (Fasa)</w:t>
            </w:r>
          </w:p>
        </w:tc>
        <w:tc>
          <w:tcPr>
            <w:tcW w:w="834" w:type="pct"/>
            <w:tcBorders>
              <w:top w:val="nil"/>
              <w:left w:val="single" w:sz="4" w:space="0" w:color="auto"/>
              <w:bottom w:val="single" w:sz="4" w:space="0" w:color="auto"/>
              <w:right w:val="single" w:sz="4" w:space="0" w:color="auto"/>
            </w:tcBorders>
            <w:shd w:val="clear" w:color="auto" w:fill="auto"/>
            <w:noWrap/>
            <w:vAlign w:val="center"/>
            <w:hideMark/>
          </w:tcPr>
          <w:p w14:paraId="0C81235A" w14:textId="77777777" w:rsidR="002C0FF2" w:rsidRPr="00140D80" w:rsidRDefault="002C0FF2" w:rsidP="007E51A1">
            <w:pPr>
              <w:jc w:val="right"/>
              <w:rPr>
                <w:rFonts w:cs="Arial"/>
                <w:color w:val="000000"/>
                <w:sz w:val="20"/>
                <w:szCs w:val="20"/>
              </w:rPr>
            </w:pPr>
            <w:r w:rsidRPr="00140D80">
              <w:rPr>
                <w:rFonts w:cs="Arial"/>
                <w:color w:val="000000"/>
                <w:sz w:val="20"/>
                <w:szCs w:val="20"/>
              </w:rPr>
              <w:t>300.000</w:t>
            </w:r>
          </w:p>
        </w:tc>
        <w:tc>
          <w:tcPr>
            <w:tcW w:w="453" w:type="pct"/>
            <w:tcBorders>
              <w:top w:val="nil"/>
              <w:left w:val="nil"/>
              <w:bottom w:val="single" w:sz="4" w:space="0" w:color="auto"/>
              <w:right w:val="nil"/>
            </w:tcBorders>
            <w:shd w:val="clear" w:color="auto" w:fill="auto"/>
            <w:noWrap/>
            <w:vAlign w:val="center"/>
            <w:hideMark/>
          </w:tcPr>
          <w:p w14:paraId="5135F6AE" w14:textId="77777777" w:rsidR="002C0FF2" w:rsidRPr="00140D80" w:rsidRDefault="002C0FF2" w:rsidP="007E51A1">
            <w:pPr>
              <w:jc w:val="center"/>
              <w:rPr>
                <w:rFonts w:cs="Arial"/>
                <w:color w:val="000000"/>
                <w:sz w:val="20"/>
                <w:szCs w:val="20"/>
              </w:rPr>
            </w:pPr>
            <w:r w:rsidRPr="00140D80">
              <w:rPr>
                <w:rFonts w:cs="Arial"/>
                <w:color w:val="000000"/>
                <w:sz w:val="20"/>
                <w:szCs w:val="20"/>
              </w:rPr>
              <w:t>0,01</w:t>
            </w:r>
          </w:p>
        </w:tc>
      </w:tr>
      <w:tr w:rsidR="002C0FF2" w:rsidRPr="00140D80" w14:paraId="789F625E" w14:textId="77777777" w:rsidTr="009443E1">
        <w:trPr>
          <w:trHeight w:val="340"/>
        </w:trPr>
        <w:tc>
          <w:tcPr>
            <w:tcW w:w="3713" w:type="pct"/>
            <w:tcBorders>
              <w:top w:val="single" w:sz="4" w:space="0" w:color="auto"/>
              <w:left w:val="nil"/>
              <w:bottom w:val="single" w:sz="4" w:space="0" w:color="auto"/>
              <w:right w:val="nil"/>
            </w:tcBorders>
            <w:shd w:val="clear" w:color="auto" w:fill="auto"/>
            <w:noWrap/>
            <w:vAlign w:val="center"/>
            <w:hideMark/>
          </w:tcPr>
          <w:p w14:paraId="659629C9" w14:textId="77777777" w:rsidR="002C0FF2" w:rsidRPr="00140D80" w:rsidRDefault="002C0FF2" w:rsidP="007E51A1">
            <w:pPr>
              <w:jc w:val="center"/>
              <w:rPr>
                <w:rFonts w:cs="Arial"/>
                <w:b/>
                <w:bCs/>
                <w:color w:val="000000"/>
                <w:sz w:val="20"/>
                <w:szCs w:val="20"/>
              </w:rPr>
            </w:pPr>
            <w:r w:rsidRPr="00140D80">
              <w:rPr>
                <w:rFonts w:cs="Arial"/>
                <w:b/>
                <w:bCs/>
                <w:color w:val="000000"/>
                <w:sz w:val="20"/>
                <w:szCs w:val="20"/>
              </w:rPr>
              <w:t>Total</w:t>
            </w:r>
          </w:p>
        </w:tc>
        <w:tc>
          <w:tcPr>
            <w:tcW w:w="83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CDF96F" w14:textId="77777777" w:rsidR="002C0FF2" w:rsidRPr="00140D80" w:rsidRDefault="002C0FF2" w:rsidP="007E51A1">
            <w:pPr>
              <w:jc w:val="right"/>
              <w:rPr>
                <w:rFonts w:cs="Arial"/>
                <w:b/>
                <w:bCs/>
                <w:color w:val="000000"/>
                <w:sz w:val="20"/>
                <w:szCs w:val="20"/>
              </w:rPr>
            </w:pPr>
            <w:r w:rsidRPr="00140D80">
              <w:rPr>
                <w:rFonts w:cs="Arial"/>
                <w:b/>
                <w:bCs/>
                <w:color w:val="000000"/>
                <w:sz w:val="20"/>
                <w:szCs w:val="20"/>
              </w:rPr>
              <w:t>2.868.360.440</w:t>
            </w:r>
          </w:p>
        </w:tc>
        <w:tc>
          <w:tcPr>
            <w:tcW w:w="453" w:type="pct"/>
            <w:tcBorders>
              <w:top w:val="single" w:sz="4" w:space="0" w:color="auto"/>
              <w:left w:val="nil"/>
              <w:bottom w:val="single" w:sz="4" w:space="0" w:color="auto"/>
              <w:right w:val="nil"/>
            </w:tcBorders>
            <w:shd w:val="clear" w:color="auto" w:fill="auto"/>
            <w:noWrap/>
            <w:vAlign w:val="center"/>
            <w:hideMark/>
          </w:tcPr>
          <w:p w14:paraId="14E6E301" w14:textId="77777777" w:rsidR="002C0FF2" w:rsidRPr="00140D80" w:rsidRDefault="002C0FF2" w:rsidP="007E51A1">
            <w:pPr>
              <w:jc w:val="center"/>
              <w:rPr>
                <w:rFonts w:cs="Arial"/>
                <w:b/>
                <w:bCs/>
                <w:color w:val="000000"/>
                <w:sz w:val="20"/>
                <w:szCs w:val="20"/>
              </w:rPr>
            </w:pPr>
            <w:r w:rsidRPr="00140D80">
              <w:rPr>
                <w:rFonts w:cs="Arial"/>
                <w:b/>
                <w:bCs/>
                <w:color w:val="000000"/>
                <w:sz w:val="20"/>
                <w:szCs w:val="20"/>
              </w:rPr>
              <w:t>100,00</w:t>
            </w:r>
          </w:p>
        </w:tc>
      </w:tr>
    </w:tbl>
    <w:p w14:paraId="158DBB85" w14:textId="77777777" w:rsidR="002C0FF2" w:rsidRPr="00846313" w:rsidRDefault="002C0FF2" w:rsidP="002C0FF2">
      <w:pPr>
        <w:pStyle w:val="1-FONTE8ESQ"/>
      </w:pPr>
      <w:r w:rsidRPr="00846313">
        <w:t xml:space="preserve">Fonte: </w:t>
      </w:r>
      <w:r w:rsidRPr="00846313">
        <w:rPr>
          <w:i/>
        </w:rPr>
        <w:t>Business Objects</w:t>
      </w:r>
    </w:p>
    <w:p w14:paraId="795F8B18" w14:textId="77777777" w:rsidR="002C0FF2" w:rsidRPr="00E748FD" w:rsidRDefault="002C0FF2" w:rsidP="002C0FF2">
      <w:pPr>
        <w:pStyle w:val="1-REL11"/>
      </w:pPr>
      <w:r w:rsidRPr="00E748FD">
        <w:t xml:space="preserve">As 3 entidades que concentram a maior parte dos recursos públicos empenhados </w:t>
      </w:r>
      <w:r>
        <w:t xml:space="preserve">em 2023 </w:t>
      </w:r>
      <w:r w:rsidRPr="00E748FD">
        <w:t>(52,20%) são as mesmas que concentraram valores no exercício de 2022: Associação de Gestão, Inovação e Resultados em Saúde (Agir), Instituto de Medicina Estudos e Desenvolvimento (Imed) e Instituto CEM.</w:t>
      </w:r>
    </w:p>
    <w:p w14:paraId="6168173F" w14:textId="77777777" w:rsidR="002C0FF2" w:rsidRPr="00347966" w:rsidRDefault="002C0FF2" w:rsidP="002C0FF2">
      <w:pPr>
        <w:pStyle w:val="1-REL11"/>
        <w:rPr>
          <w:highlight w:val="yellow"/>
        </w:rPr>
      </w:pPr>
      <w:r w:rsidRPr="00E748FD">
        <w:t>A partir de informações</w:t>
      </w:r>
      <w:r>
        <w:t xml:space="preserve"> disponíveis no</w:t>
      </w:r>
      <w:r w:rsidRPr="00E748FD">
        <w:t xml:space="preserve"> </w:t>
      </w:r>
      <w:r>
        <w:t>site</w:t>
      </w:r>
      <w:r w:rsidRPr="00E748FD">
        <w:t xml:space="preserve"> da </w:t>
      </w:r>
      <w:r>
        <w:t>SES</w:t>
      </w:r>
      <w:r w:rsidRPr="00E748FD">
        <w:t xml:space="preserve">, a Agir é atualmente responsável pela gestão do Centro Estadual de Reabilitação e Readaptação Dr. Henrique Santillo (Crer), do Hospital </w:t>
      </w:r>
      <w:r w:rsidRPr="00E748FD">
        <w:lastRenderedPageBreak/>
        <w:t>Estadual de Dermatologia Sanitária e Colônia Santa Marta (HDS), do Hospital Estadual de Urgências Governador Otávio Lage de Siqueira (Hugol) e do Hospital Estadual da Criança e do Adolescente (Hecad).</w:t>
      </w:r>
    </w:p>
    <w:p w14:paraId="7150ABB8" w14:textId="77777777" w:rsidR="002C0FF2" w:rsidRPr="005A60C0" w:rsidRDefault="002C0FF2" w:rsidP="002C0FF2">
      <w:pPr>
        <w:pStyle w:val="1-REL11"/>
      </w:pPr>
      <w:r w:rsidRPr="005A60C0">
        <w:t>O Imed é o gestor do Hospital Estadual do Centro-Norte Goiano (HCN), Hospital Estadual de Formosa Dr. César Saad Fayad e Hospital Estadual de Trindade (Hetrin).</w:t>
      </w:r>
    </w:p>
    <w:p w14:paraId="3ED897E6" w14:textId="77777777" w:rsidR="002C0FF2" w:rsidRDefault="002C0FF2" w:rsidP="002C0FF2">
      <w:pPr>
        <w:pStyle w:val="1-REL11"/>
      </w:pPr>
      <w:r w:rsidRPr="008977C4">
        <w:t>O Instituto CEM tem sob sua gestão o Hospital de Urgências de Goiás Dr. Valdemiro Cruz (Hugo)</w:t>
      </w:r>
      <w:r>
        <w:rPr>
          <w:highlight w:val="yellow"/>
        </w:rPr>
        <w:t xml:space="preserve"> </w:t>
      </w:r>
      <w:r w:rsidRPr="008977C4">
        <w:t>e as Policlínicas Estaduais de Formosa, Goianésia, Posse e Quirinópolis.</w:t>
      </w:r>
    </w:p>
    <w:p w14:paraId="16481552" w14:textId="77777777" w:rsidR="002C0FF2" w:rsidRPr="00FF6C5C" w:rsidRDefault="002C0FF2" w:rsidP="002C0FF2">
      <w:pPr>
        <w:pStyle w:val="1-REL11"/>
      </w:pPr>
      <w:r w:rsidRPr="00D9035D">
        <w:t>Destaque para a Fundação PIO XII, que recebeu empenhos no montante de R$ 93,94 milhões em 2023, para a construção do Complexo</w:t>
      </w:r>
      <w:r>
        <w:t xml:space="preserve"> Oncológico de Referência do Estado de Goiás (Cora).</w:t>
      </w:r>
    </w:p>
    <w:p w14:paraId="66669832" w14:textId="77777777" w:rsidR="002C0FF2" w:rsidRDefault="002C0FF2" w:rsidP="002C0FF2">
      <w:pPr>
        <w:pStyle w:val="1-REL11"/>
      </w:pPr>
      <w:r>
        <w:t>Esse mesmo montante de recursos repassados a OSs e OSCs está demonstrado na tabela abaixo, por Natureza de Despesa:</w:t>
      </w:r>
    </w:p>
    <w:p w14:paraId="08E992DB" w14:textId="77777777" w:rsidR="002C0FF2" w:rsidRPr="00612D70" w:rsidRDefault="002C0FF2" w:rsidP="00736A8C">
      <w:pPr>
        <w:pStyle w:val="0-TABELA"/>
        <w:numPr>
          <w:ilvl w:val="0"/>
          <w:numId w:val="53"/>
        </w:numPr>
        <w:tabs>
          <w:tab w:val="clear" w:pos="1560"/>
          <w:tab w:val="left" w:pos="1134"/>
        </w:tabs>
        <w:spacing w:before="0" w:after="0"/>
        <w:ind w:left="0" w:firstLine="0"/>
      </w:pPr>
      <w:bookmarkStart w:id="332" w:name="_Toc167871805"/>
      <w:r w:rsidRPr="00286D28">
        <w:t>Valor Empenhado na Função Saúde às OSs e OSCs</w:t>
      </w:r>
      <w:r>
        <w:t xml:space="preserve"> por Natureza de Despesa</w:t>
      </w:r>
      <w:bookmarkEnd w:id="332"/>
    </w:p>
    <w:p w14:paraId="03B38320" w14:textId="77777777" w:rsidR="002C0FF2" w:rsidRPr="00997019" w:rsidRDefault="002C0FF2" w:rsidP="002C0FF2">
      <w:pPr>
        <w:pStyle w:val="1-emR1-8ptDIR"/>
      </w:pPr>
      <w:r w:rsidRPr="00997019">
        <w:t>R$ 1</w:t>
      </w:r>
    </w:p>
    <w:tbl>
      <w:tblPr>
        <w:tblW w:w="5000" w:type="pct"/>
        <w:tblLayout w:type="fixed"/>
        <w:tblCellMar>
          <w:left w:w="70" w:type="dxa"/>
          <w:right w:w="70" w:type="dxa"/>
        </w:tblCellMar>
        <w:tblLook w:val="04A0" w:firstRow="1" w:lastRow="0" w:firstColumn="1" w:lastColumn="0" w:noHBand="0" w:noVBand="1"/>
      </w:tblPr>
      <w:tblGrid>
        <w:gridCol w:w="1134"/>
        <w:gridCol w:w="6096"/>
        <w:gridCol w:w="1418"/>
        <w:gridCol w:w="705"/>
      </w:tblGrid>
      <w:tr w:rsidR="002C0FF2" w:rsidRPr="009443E1" w14:paraId="313C6E37" w14:textId="77777777" w:rsidTr="009443E1">
        <w:trPr>
          <w:trHeight w:val="340"/>
          <w:tblHeader/>
        </w:trPr>
        <w:tc>
          <w:tcPr>
            <w:tcW w:w="606" w:type="pct"/>
            <w:tcBorders>
              <w:top w:val="single" w:sz="4" w:space="0" w:color="auto"/>
              <w:left w:val="nil"/>
              <w:bottom w:val="single" w:sz="4" w:space="0" w:color="auto"/>
              <w:right w:val="nil"/>
            </w:tcBorders>
            <w:shd w:val="clear" w:color="000000" w:fill="A1F2FD"/>
            <w:noWrap/>
            <w:vAlign w:val="center"/>
            <w:hideMark/>
          </w:tcPr>
          <w:p w14:paraId="18BA1282" w14:textId="77777777" w:rsidR="002C0FF2" w:rsidRPr="009443E1" w:rsidRDefault="002C0FF2" w:rsidP="007E51A1">
            <w:pPr>
              <w:jc w:val="center"/>
              <w:rPr>
                <w:rFonts w:cs="Arial"/>
                <w:b/>
                <w:bCs/>
                <w:color w:val="000000"/>
                <w:sz w:val="20"/>
                <w:szCs w:val="20"/>
              </w:rPr>
            </w:pPr>
            <w:r w:rsidRPr="009443E1">
              <w:rPr>
                <w:rFonts w:cs="Arial"/>
                <w:b/>
                <w:bCs/>
                <w:color w:val="000000"/>
                <w:sz w:val="20"/>
                <w:szCs w:val="20"/>
              </w:rPr>
              <w:t>Código</w:t>
            </w:r>
          </w:p>
        </w:tc>
        <w:tc>
          <w:tcPr>
            <w:tcW w:w="3259" w:type="pct"/>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3564BB53" w14:textId="77777777" w:rsidR="002C0FF2" w:rsidRPr="009443E1" w:rsidRDefault="002C0FF2" w:rsidP="007E51A1">
            <w:pPr>
              <w:jc w:val="center"/>
              <w:rPr>
                <w:rFonts w:cs="Arial"/>
                <w:b/>
                <w:bCs/>
                <w:color w:val="000000"/>
                <w:sz w:val="20"/>
                <w:szCs w:val="20"/>
              </w:rPr>
            </w:pPr>
            <w:r w:rsidRPr="009443E1">
              <w:rPr>
                <w:rFonts w:cs="Arial"/>
                <w:b/>
                <w:bCs/>
                <w:color w:val="000000"/>
                <w:sz w:val="20"/>
                <w:szCs w:val="20"/>
              </w:rPr>
              <w:t>Descrição</w:t>
            </w:r>
          </w:p>
        </w:tc>
        <w:tc>
          <w:tcPr>
            <w:tcW w:w="758" w:type="pct"/>
            <w:tcBorders>
              <w:top w:val="single" w:sz="4" w:space="0" w:color="auto"/>
              <w:left w:val="nil"/>
              <w:bottom w:val="single" w:sz="4" w:space="0" w:color="auto"/>
              <w:right w:val="nil"/>
            </w:tcBorders>
            <w:shd w:val="clear" w:color="000000" w:fill="A1F2FD"/>
            <w:noWrap/>
            <w:vAlign w:val="center"/>
            <w:hideMark/>
          </w:tcPr>
          <w:p w14:paraId="74733E88" w14:textId="77777777" w:rsidR="002C0FF2" w:rsidRPr="009443E1" w:rsidRDefault="002C0FF2" w:rsidP="007E51A1">
            <w:pPr>
              <w:jc w:val="center"/>
              <w:rPr>
                <w:rFonts w:cs="Arial"/>
                <w:b/>
                <w:bCs/>
                <w:color w:val="000000"/>
                <w:sz w:val="20"/>
                <w:szCs w:val="20"/>
              </w:rPr>
            </w:pPr>
            <w:r w:rsidRPr="009443E1">
              <w:rPr>
                <w:rFonts w:cs="Arial"/>
                <w:b/>
                <w:bCs/>
                <w:color w:val="000000"/>
                <w:sz w:val="20"/>
                <w:szCs w:val="20"/>
              </w:rPr>
              <w:t>Empenhado</w:t>
            </w:r>
          </w:p>
        </w:tc>
        <w:tc>
          <w:tcPr>
            <w:tcW w:w="377" w:type="pct"/>
            <w:tcBorders>
              <w:top w:val="single" w:sz="4" w:space="0" w:color="auto"/>
              <w:left w:val="single" w:sz="4" w:space="0" w:color="auto"/>
              <w:bottom w:val="single" w:sz="4" w:space="0" w:color="auto"/>
              <w:right w:val="nil"/>
            </w:tcBorders>
            <w:shd w:val="clear" w:color="000000" w:fill="A1F2FD"/>
            <w:noWrap/>
            <w:vAlign w:val="center"/>
            <w:hideMark/>
          </w:tcPr>
          <w:p w14:paraId="0432F061" w14:textId="77777777" w:rsidR="002C0FF2" w:rsidRPr="009443E1" w:rsidRDefault="002C0FF2" w:rsidP="007E51A1">
            <w:pPr>
              <w:jc w:val="center"/>
              <w:rPr>
                <w:rFonts w:cs="Arial"/>
                <w:b/>
                <w:bCs/>
                <w:color w:val="000000"/>
                <w:sz w:val="20"/>
                <w:szCs w:val="20"/>
              </w:rPr>
            </w:pPr>
            <w:r w:rsidRPr="009443E1">
              <w:rPr>
                <w:rFonts w:cs="Arial"/>
                <w:b/>
                <w:bCs/>
                <w:color w:val="000000"/>
                <w:sz w:val="20"/>
                <w:szCs w:val="20"/>
              </w:rPr>
              <w:t>AV %</w:t>
            </w:r>
          </w:p>
        </w:tc>
      </w:tr>
      <w:tr w:rsidR="002C0FF2" w:rsidRPr="009443E1" w14:paraId="43C8A271" w14:textId="77777777" w:rsidTr="009443E1">
        <w:trPr>
          <w:trHeight w:val="340"/>
        </w:trPr>
        <w:tc>
          <w:tcPr>
            <w:tcW w:w="606" w:type="pct"/>
            <w:tcBorders>
              <w:top w:val="nil"/>
              <w:left w:val="nil"/>
              <w:bottom w:val="nil"/>
              <w:right w:val="single" w:sz="4" w:space="0" w:color="auto"/>
            </w:tcBorders>
            <w:shd w:val="clear" w:color="auto" w:fill="auto"/>
            <w:noWrap/>
            <w:vAlign w:val="center"/>
            <w:hideMark/>
          </w:tcPr>
          <w:p w14:paraId="765CF790" w14:textId="77777777" w:rsidR="002C0FF2" w:rsidRPr="009443E1" w:rsidRDefault="002C0FF2" w:rsidP="007E51A1">
            <w:pPr>
              <w:jc w:val="center"/>
              <w:rPr>
                <w:rFonts w:cs="Arial"/>
                <w:color w:val="000000"/>
                <w:sz w:val="20"/>
                <w:szCs w:val="20"/>
              </w:rPr>
            </w:pPr>
            <w:r w:rsidRPr="009443E1">
              <w:rPr>
                <w:rFonts w:cs="Arial"/>
                <w:color w:val="000000"/>
                <w:sz w:val="20"/>
                <w:szCs w:val="20"/>
              </w:rPr>
              <w:t>33504113</w:t>
            </w:r>
          </w:p>
        </w:tc>
        <w:tc>
          <w:tcPr>
            <w:tcW w:w="3259" w:type="pct"/>
            <w:tcBorders>
              <w:top w:val="single" w:sz="4" w:space="0" w:color="auto"/>
              <w:left w:val="single" w:sz="4" w:space="0" w:color="auto"/>
              <w:right w:val="single" w:sz="4" w:space="0" w:color="auto"/>
            </w:tcBorders>
            <w:shd w:val="clear" w:color="auto" w:fill="auto"/>
            <w:noWrap/>
            <w:vAlign w:val="center"/>
            <w:hideMark/>
          </w:tcPr>
          <w:p w14:paraId="6792495E" w14:textId="77777777" w:rsidR="002C0FF2" w:rsidRPr="009443E1" w:rsidRDefault="002C0FF2" w:rsidP="007E51A1">
            <w:pPr>
              <w:jc w:val="left"/>
              <w:rPr>
                <w:rFonts w:cs="Arial"/>
                <w:color w:val="333333"/>
                <w:sz w:val="20"/>
                <w:szCs w:val="20"/>
              </w:rPr>
            </w:pPr>
            <w:r w:rsidRPr="009443E1">
              <w:rPr>
                <w:rFonts w:cs="Arial"/>
                <w:color w:val="333333"/>
                <w:sz w:val="20"/>
                <w:szCs w:val="20"/>
              </w:rPr>
              <w:t>Contribuições a Associações e demais Entidades com atuação junto à Administração Pública</w:t>
            </w:r>
          </w:p>
        </w:tc>
        <w:tc>
          <w:tcPr>
            <w:tcW w:w="758" w:type="pct"/>
            <w:tcBorders>
              <w:top w:val="nil"/>
              <w:left w:val="single" w:sz="4" w:space="0" w:color="auto"/>
              <w:bottom w:val="nil"/>
              <w:right w:val="single" w:sz="4" w:space="0" w:color="auto"/>
            </w:tcBorders>
            <w:shd w:val="clear" w:color="auto" w:fill="auto"/>
            <w:noWrap/>
            <w:vAlign w:val="center"/>
            <w:hideMark/>
          </w:tcPr>
          <w:p w14:paraId="7215974D" w14:textId="77777777" w:rsidR="002C0FF2" w:rsidRPr="009443E1" w:rsidRDefault="002C0FF2" w:rsidP="007E51A1">
            <w:pPr>
              <w:jc w:val="right"/>
              <w:rPr>
                <w:rFonts w:cs="Arial"/>
                <w:color w:val="000000"/>
                <w:sz w:val="20"/>
                <w:szCs w:val="20"/>
              </w:rPr>
            </w:pPr>
            <w:r w:rsidRPr="009443E1">
              <w:rPr>
                <w:rFonts w:cs="Arial"/>
                <w:color w:val="000000"/>
                <w:sz w:val="20"/>
                <w:szCs w:val="20"/>
              </w:rPr>
              <w:t>101.705.883</w:t>
            </w:r>
          </w:p>
        </w:tc>
        <w:tc>
          <w:tcPr>
            <w:tcW w:w="377" w:type="pct"/>
            <w:tcBorders>
              <w:top w:val="nil"/>
              <w:left w:val="nil"/>
              <w:bottom w:val="nil"/>
              <w:right w:val="nil"/>
            </w:tcBorders>
            <w:shd w:val="clear" w:color="auto" w:fill="auto"/>
            <w:noWrap/>
            <w:vAlign w:val="center"/>
            <w:hideMark/>
          </w:tcPr>
          <w:p w14:paraId="415A645A" w14:textId="77777777" w:rsidR="002C0FF2" w:rsidRPr="009443E1" w:rsidRDefault="002C0FF2" w:rsidP="007E51A1">
            <w:pPr>
              <w:jc w:val="center"/>
              <w:rPr>
                <w:rFonts w:cs="Arial"/>
                <w:color w:val="000000"/>
                <w:sz w:val="20"/>
                <w:szCs w:val="20"/>
              </w:rPr>
            </w:pPr>
            <w:r w:rsidRPr="009443E1">
              <w:rPr>
                <w:rFonts w:cs="Arial"/>
                <w:color w:val="000000"/>
                <w:sz w:val="20"/>
                <w:szCs w:val="20"/>
              </w:rPr>
              <w:t>3,55</w:t>
            </w:r>
          </w:p>
        </w:tc>
      </w:tr>
      <w:tr w:rsidR="002C0FF2" w:rsidRPr="009443E1" w14:paraId="25CAB03D" w14:textId="77777777" w:rsidTr="009443E1">
        <w:trPr>
          <w:trHeight w:val="340"/>
        </w:trPr>
        <w:tc>
          <w:tcPr>
            <w:tcW w:w="606" w:type="pct"/>
            <w:tcBorders>
              <w:top w:val="nil"/>
              <w:left w:val="nil"/>
              <w:bottom w:val="nil"/>
              <w:right w:val="single" w:sz="4" w:space="0" w:color="auto"/>
            </w:tcBorders>
            <w:shd w:val="clear" w:color="auto" w:fill="auto"/>
            <w:noWrap/>
            <w:vAlign w:val="center"/>
            <w:hideMark/>
          </w:tcPr>
          <w:p w14:paraId="030CA96A" w14:textId="77777777" w:rsidR="002C0FF2" w:rsidRPr="009443E1" w:rsidRDefault="002C0FF2" w:rsidP="007E51A1">
            <w:pPr>
              <w:jc w:val="center"/>
              <w:rPr>
                <w:rFonts w:cs="Arial"/>
                <w:color w:val="000000"/>
                <w:sz w:val="20"/>
                <w:szCs w:val="20"/>
              </w:rPr>
            </w:pPr>
            <w:r w:rsidRPr="009443E1">
              <w:rPr>
                <w:rFonts w:cs="Arial"/>
                <w:color w:val="000000"/>
                <w:sz w:val="20"/>
                <w:szCs w:val="20"/>
              </w:rPr>
              <w:t>33508502</w:t>
            </w:r>
          </w:p>
        </w:tc>
        <w:tc>
          <w:tcPr>
            <w:tcW w:w="3259" w:type="pct"/>
            <w:tcBorders>
              <w:top w:val="nil"/>
              <w:left w:val="single" w:sz="4" w:space="0" w:color="auto"/>
              <w:right w:val="single" w:sz="4" w:space="0" w:color="auto"/>
            </w:tcBorders>
            <w:shd w:val="clear" w:color="auto" w:fill="auto"/>
            <w:noWrap/>
            <w:vAlign w:val="center"/>
            <w:hideMark/>
          </w:tcPr>
          <w:p w14:paraId="17CBEB40" w14:textId="77777777" w:rsidR="002C0FF2" w:rsidRPr="009443E1" w:rsidRDefault="002C0FF2" w:rsidP="007E51A1">
            <w:pPr>
              <w:jc w:val="left"/>
              <w:rPr>
                <w:rFonts w:cs="Arial"/>
                <w:color w:val="333333"/>
                <w:sz w:val="20"/>
                <w:szCs w:val="20"/>
              </w:rPr>
            </w:pPr>
            <w:r w:rsidRPr="009443E1">
              <w:rPr>
                <w:rFonts w:cs="Arial"/>
                <w:color w:val="333333"/>
                <w:sz w:val="20"/>
                <w:szCs w:val="20"/>
              </w:rPr>
              <w:t>Contratos de Gestão com Organizações Sociais da Área da Saúde</w:t>
            </w:r>
          </w:p>
        </w:tc>
        <w:tc>
          <w:tcPr>
            <w:tcW w:w="758" w:type="pct"/>
            <w:tcBorders>
              <w:top w:val="nil"/>
              <w:left w:val="single" w:sz="4" w:space="0" w:color="auto"/>
              <w:bottom w:val="nil"/>
              <w:right w:val="single" w:sz="4" w:space="0" w:color="auto"/>
            </w:tcBorders>
            <w:shd w:val="clear" w:color="auto" w:fill="auto"/>
            <w:noWrap/>
            <w:vAlign w:val="center"/>
            <w:hideMark/>
          </w:tcPr>
          <w:p w14:paraId="050CC262" w14:textId="77777777" w:rsidR="002C0FF2" w:rsidRPr="009443E1" w:rsidRDefault="002C0FF2" w:rsidP="009443E1">
            <w:pPr>
              <w:ind w:hanging="70"/>
              <w:jc w:val="right"/>
              <w:rPr>
                <w:rFonts w:cs="Arial"/>
                <w:color w:val="000000"/>
                <w:sz w:val="20"/>
                <w:szCs w:val="20"/>
              </w:rPr>
            </w:pPr>
            <w:r w:rsidRPr="009443E1">
              <w:rPr>
                <w:rFonts w:cs="Arial"/>
                <w:color w:val="000000"/>
                <w:sz w:val="20"/>
                <w:szCs w:val="20"/>
              </w:rPr>
              <w:t>2.582.508.377</w:t>
            </w:r>
          </w:p>
        </w:tc>
        <w:tc>
          <w:tcPr>
            <w:tcW w:w="377" w:type="pct"/>
            <w:tcBorders>
              <w:top w:val="nil"/>
              <w:left w:val="nil"/>
              <w:bottom w:val="nil"/>
              <w:right w:val="nil"/>
            </w:tcBorders>
            <w:shd w:val="clear" w:color="auto" w:fill="auto"/>
            <w:noWrap/>
            <w:vAlign w:val="center"/>
            <w:hideMark/>
          </w:tcPr>
          <w:p w14:paraId="5589E2B2" w14:textId="77777777" w:rsidR="002C0FF2" w:rsidRPr="009443E1" w:rsidRDefault="002C0FF2" w:rsidP="007E51A1">
            <w:pPr>
              <w:jc w:val="center"/>
              <w:rPr>
                <w:rFonts w:cs="Arial"/>
                <w:color w:val="000000"/>
                <w:sz w:val="20"/>
                <w:szCs w:val="20"/>
              </w:rPr>
            </w:pPr>
            <w:r w:rsidRPr="009443E1">
              <w:rPr>
                <w:rFonts w:cs="Arial"/>
                <w:color w:val="000000"/>
                <w:sz w:val="20"/>
                <w:szCs w:val="20"/>
              </w:rPr>
              <w:t>90,03</w:t>
            </w:r>
          </w:p>
        </w:tc>
      </w:tr>
      <w:tr w:rsidR="002C0FF2" w:rsidRPr="009443E1" w14:paraId="52A894D3" w14:textId="77777777" w:rsidTr="009443E1">
        <w:trPr>
          <w:trHeight w:val="340"/>
        </w:trPr>
        <w:tc>
          <w:tcPr>
            <w:tcW w:w="606" w:type="pct"/>
            <w:tcBorders>
              <w:top w:val="nil"/>
              <w:left w:val="nil"/>
              <w:bottom w:val="nil"/>
              <w:right w:val="single" w:sz="4" w:space="0" w:color="auto"/>
            </w:tcBorders>
            <w:shd w:val="clear" w:color="auto" w:fill="auto"/>
            <w:noWrap/>
            <w:vAlign w:val="center"/>
            <w:hideMark/>
          </w:tcPr>
          <w:p w14:paraId="6BD7EB60" w14:textId="77777777" w:rsidR="002C0FF2" w:rsidRPr="009443E1" w:rsidRDefault="002C0FF2" w:rsidP="007E51A1">
            <w:pPr>
              <w:jc w:val="center"/>
              <w:rPr>
                <w:rFonts w:cs="Arial"/>
                <w:color w:val="000000"/>
                <w:sz w:val="20"/>
                <w:szCs w:val="20"/>
              </w:rPr>
            </w:pPr>
            <w:r w:rsidRPr="009443E1">
              <w:rPr>
                <w:rFonts w:cs="Arial"/>
                <w:color w:val="000000"/>
                <w:sz w:val="20"/>
                <w:szCs w:val="20"/>
              </w:rPr>
              <w:t>33509283</w:t>
            </w:r>
          </w:p>
        </w:tc>
        <w:tc>
          <w:tcPr>
            <w:tcW w:w="3259" w:type="pct"/>
            <w:tcBorders>
              <w:top w:val="nil"/>
              <w:left w:val="single" w:sz="4" w:space="0" w:color="auto"/>
              <w:right w:val="single" w:sz="4" w:space="0" w:color="auto"/>
            </w:tcBorders>
            <w:shd w:val="clear" w:color="auto" w:fill="auto"/>
            <w:noWrap/>
            <w:vAlign w:val="center"/>
            <w:hideMark/>
          </w:tcPr>
          <w:p w14:paraId="556DAC33" w14:textId="77777777" w:rsidR="002C0FF2" w:rsidRPr="009443E1" w:rsidRDefault="002C0FF2" w:rsidP="007E51A1">
            <w:pPr>
              <w:jc w:val="left"/>
              <w:rPr>
                <w:rFonts w:cs="Arial"/>
                <w:color w:val="333333"/>
                <w:sz w:val="20"/>
                <w:szCs w:val="20"/>
              </w:rPr>
            </w:pPr>
            <w:r w:rsidRPr="009443E1">
              <w:rPr>
                <w:rFonts w:cs="Arial"/>
                <w:color w:val="333333"/>
                <w:sz w:val="20"/>
                <w:szCs w:val="20"/>
              </w:rPr>
              <w:t>Serviços Viabilizados por Organização através de Transf. de Rec. Pactuados em Contratos de Gestão. Exerc. Ante</w:t>
            </w:r>
          </w:p>
        </w:tc>
        <w:tc>
          <w:tcPr>
            <w:tcW w:w="758" w:type="pct"/>
            <w:tcBorders>
              <w:top w:val="nil"/>
              <w:left w:val="single" w:sz="4" w:space="0" w:color="auto"/>
              <w:bottom w:val="nil"/>
              <w:right w:val="single" w:sz="4" w:space="0" w:color="auto"/>
            </w:tcBorders>
            <w:shd w:val="clear" w:color="auto" w:fill="auto"/>
            <w:noWrap/>
            <w:vAlign w:val="center"/>
            <w:hideMark/>
          </w:tcPr>
          <w:p w14:paraId="6B73F0C6" w14:textId="77777777" w:rsidR="002C0FF2" w:rsidRPr="009443E1" w:rsidRDefault="002C0FF2" w:rsidP="007E51A1">
            <w:pPr>
              <w:jc w:val="right"/>
              <w:rPr>
                <w:rFonts w:cs="Arial"/>
                <w:color w:val="000000"/>
                <w:sz w:val="20"/>
                <w:szCs w:val="20"/>
              </w:rPr>
            </w:pPr>
            <w:r w:rsidRPr="009443E1">
              <w:rPr>
                <w:rFonts w:cs="Arial"/>
                <w:color w:val="000000"/>
                <w:sz w:val="20"/>
                <w:szCs w:val="20"/>
              </w:rPr>
              <w:t>2.225.668</w:t>
            </w:r>
          </w:p>
        </w:tc>
        <w:tc>
          <w:tcPr>
            <w:tcW w:w="377" w:type="pct"/>
            <w:tcBorders>
              <w:top w:val="nil"/>
              <w:left w:val="nil"/>
              <w:bottom w:val="nil"/>
              <w:right w:val="nil"/>
            </w:tcBorders>
            <w:shd w:val="clear" w:color="auto" w:fill="auto"/>
            <w:noWrap/>
            <w:vAlign w:val="center"/>
            <w:hideMark/>
          </w:tcPr>
          <w:p w14:paraId="59E8CA5F" w14:textId="77777777" w:rsidR="002C0FF2" w:rsidRPr="009443E1" w:rsidRDefault="002C0FF2" w:rsidP="007E51A1">
            <w:pPr>
              <w:jc w:val="center"/>
              <w:rPr>
                <w:rFonts w:cs="Arial"/>
                <w:color w:val="000000"/>
                <w:sz w:val="20"/>
                <w:szCs w:val="20"/>
              </w:rPr>
            </w:pPr>
            <w:r w:rsidRPr="009443E1">
              <w:rPr>
                <w:rFonts w:cs="Arial"/>
                <w:color w:val="000000"/>
                <w:sz w:val="20"/>
                <w:szCs w:val="20"/>
              </w:rPr>
              <w:t>0,08</w:t>
            </w:r>
          </w:p>
        </w:tc>
      </w:tr>
      <w:tr w:rsidR="002C0FF2" w:rsidRPr="009443E1" w14:paraId="3AACC8C6" w14:textId="77777777" w:rsidTr="009443E1">
        <w:trPr>
          <w:trHeight w:val="340"/>
        </w:trPr>
        <w:tc>
          <w:tcPr>
            <w:tcW w:w="606" w:type="pct"/>
            <w:tcBorders>
              <w:top w:val="nil"/>
              <w:left w:val="nil"/>
              <w:bottom w:val="nil"/>
              <w:right w:val="single" w:sz="4" w:space="0" w:color="auto"/>
            </w:tcBorders>
            <w:shd w:val="clear" w:color="auto" w:fill="auto"/>
            <w:noWrap/>
            <w:vAlign w:val="center"/>
            <w:hideMark/>
          </w:tcPr>
          <w:p w14:paraId="2862353A" w14:textId="77777777" w:rsidR="002C0FF2" w:rsidRPr="009443E1" w:rsidRDefault="002C0FF2" w:rsidP="007E51A1">
            <w:pPr>
              <w:jc w:val="center"/>
              <w:rPr>
                <w:rFonts w:cs="Arial"/>
                <w:color w:val="000000"/>
                <w:sz w:val="20"/>
                <w:szCs w:val="20"/>
              </w:rPr>
            </w:pPr>
            <w:r w:rsidRPr="009443E1">
              <w:rPr>
                <w:rFonts w:cs="Arial"/>
                <w:color w:val="000000"/>
                <w:sz w:val="20"/>
                <w:szCs w:val="20"/>
              </w:rPr>
              <w:t>33903923</w:t>
            </w:r>
          </w:p>
        </w:tc>
        <w:tc>
          <w:tcPr>
            <w:tcW w:w="3259" w:type="pct"/>
            <w:tcBorders>
              <w:top w:val="nil"/>
              <w:left w:val="single" w:sz="4" w:space="0" w:color="auto"/>
              <w:right w:val="single" w:sz="4" w:space="0" w:color="auto"/>
            </w:tcBorders>
            <w:shd w:val="clear" w:color="auto" w:fill="auto"/>
            <w:noWrap/>
            <w:vAlign w:val="center"/>
            <w:hideMark/>
          </w:tcPr>
          <w:p w14:paraId="5AA0ABFD" w14:textId="77777777" w:rsidR="002C0FF2" w:rsidRPr="009443E1" w:rsidRDefault="002C0FF2" w:rsidP="007E51A1">
            <w:pPr>
              <w:jc w:val="left"/>
              <w:rPr>
                <w:rFonts w:cs="Arial"/>
                <w:color w:val="333333"/>
                <w:sz w:val="20"/>
                <w:szCs w:val="20"/>
              </w:rPr>
            </w:pPr>
            <w:r w:rsidRPr="009443E1">
              <w:rPr>
                <w:rFonts w:cs="Arial"/>
                <w:color w:val="333333"/>
                <w:sz w:val="20"/>
                <w:szCs w:val="20"/>
              </w:rPr>
              <w:t>Serviço Médico, Hospitalar e Odontológico</w:t>
            </w:r>
          </w:p>
        </w:tc>
        <w:tc>
          <w:tcPr>
            <w:tcW w:w="758" w:type="pct"/>
            <w:tcBorders>
              <w:top w:val="nil"/>
              <w:left w:val="single" w:sz="4" w:space="0" w:color="auto"/>
              <w:bottom w:val="nil"/>
              <w:right w:val="single" w:sz="4" w:space="0" w:color="auto"/>
            </w:tcBorders>
            <w:shd w:val="clear" w:color="auto" w:fill="auto"/>
            <w:noWrap/>
            <w:vAlign w:val="center"/>
            <w:hideMark/>
          </w:tcPr>
          <w:p w14:paraId="60F2F268" w14:textId="77777777" w:rsidR="002C0FF2" w:rsidRPr="009443E1" w:rsidRDefault="002C0FF2" w:rsidP="007E51A1">
            <w:pPr>
              <w:jc w:val="right"/>
              <w:rPr>
                <w:rFonts w:cs="Arial"/>
                <w:color w:val="000000"/>
                <w:sz w:val="20"/>
                <w:szCs w:val="20"/>
              </w:rPr>
            </w:pPr>
            <w:r w:rsidRPr="009443E1">
              <w:rPr>
                <w:rFonts w:cs="Arial"/>
                <w:color w:val="000000"/>
                <w:sz w:val="20"/>
                <w:szCs w:val="20"/>
              </w:rPr>
              <w:t>5.301.378</w:t>
            </w:r>
          </w:p>
        </w:tc>
        <w:tc>
          <w:tcPr>
            <w:tcW w:w="377" w:type="pct"/>
            <w:tcBorders>
              <w:top w:val="nil"/>
              <w:left w:val="nil"/>
              <w:bottom w:val="nil"/>
              <w:right w:val="nil"/>
            </w:tcBorders>
            <w:shd w:val="clear" w:color="auto" w:fill="auto"/>
            <w:noWrap/>
            <w:vAlign w:val="center"/>
            <w:hideMark/>
          </w:tcPr>
          <w:p w14:paraId="634A7664" w14:textId="77777777" w:rsidR="002C0FF2" w:rsidRPr="009443E1" w:rsidRDefault="002C0FF2" w:rsidP="007E51A1">
            <w:pPr>
              <w:jc w:val="center"/>
              <w:rPr>
                <w:rFonts w:cs="Arial"/>
                <w:color w:val="000000"/>
                <w:sz w:val="20"/>
                <w:szCs w:val="20"/>
              </w:rPr>
            </w:pPr>
            <w:r w:rsidRPr="009443E1">
              <w:rPr>
                <w:rFonts w:cs="Arial"/>
                <w:color w:val="000000"/>
                <w:sz w:val="20"/>
                <w:szCs w:val="20"/>
              </w:rPr>
              <w:t>0,18</w:t>
            </w:r>
          </w:p>
        </w:tc>
      </w:tr>
      <w:tr w:rsidR="002C0FF2" w:rsidRPr="009443E1" w14:paraId="29A2343C" w14:textId="77777777" w:rsidTr="009443E1">
        <w:trPr>
          <w:trHeight w:val="340"/>
        </w:trPr>
        <w:tc>
          <w:tcPr>
            <w:tcW w:w="606" w:type="pct"/>
            <w:tcBorders>
              <w:top w:val="nil"/>
              <w:left w:val="nil"/>
              <w:bottom w:val="nil"/>
              <w:right w:val="single" w:sz="4" w:space="0" w:color="auto"/>
            </w:tcBorders>
            <w:shd w:val="clear" w:color="auto" w:fill="auto"/>
            <w:noWrap/>
            <w:vAlign w:val="center"/>
            <w:hideMark/>
          </w:tcPr>
          <w:p w14:paraId="119F23BB" w14:textId="77777777" w:rsidR="002C0FF2" w:rsidRPr="009443E1" w:rsidRDefault="002C0FF2" w:rsidP="007E51A1">
            <w:pPr>
              <w:jc w:val="center"/>
              <w:rPr>
                <w:rFonts w:cs="Arial"/>
                <w:color w:val="000000"/>
                <w:sz w:val="20"/>
                <w:szCs w:val="20"/>
              </w:rPr>
            </w:pPr>
            <w:r w:rsidRPr="009443E1">
              <w:rPr>
                <w:rFonts w:cs="Arial"/>
                <w:color w:val="000000"/>
                <w:sz w:val="20"/>
                <w:szCs w:val="20"/>
              </w:rPr>
              <w:t>33903989</w:t>
            </w:r>
          </w:p>
        </w:tc>
        <w:tc>
          <w:tcPr>
            <w:tcW w:w="3259" w:type="pct"/>
            <w:tcBorders>
              <w:top w:val="nil"/>
              <w:left w:val="single" w:sz="4" w:space="0" w:color="auto"/>
              <w:right w:val="single" w:sz="4" w:space="0" w:color="auto"/>
            </w:tcBorders>
            <w:shd w:val="clear" w:color="auto" w:fill="auto"/>
            <w:noWrap/>
            <w:vAlign w:val="center"/>
            <w:hideMark/>
          </w:tcPr>
          <w:p w14:paraId="212A8192" w14:textId="77777777" w:rsidR="002C0FF2" w:rsidRPr="009443E1" w:rsidRDefault="002C0FF2" w:rsidP="007E51A1">
            <w:pPr>
              <w:jc w:val="left"/>
              <w:rPr>
                <w:rFonts w:cs="Arial"/>
                <w:color w:val="333333"/>
                <w:sz w:val="20"/>
                <w:szCs w:val="20"/>
              </w:rPr>
            </w:pPr>
            <w:r w:rsidRPr="009443E1">
              <w:rPr>
                <w:rFonts w:cs="Arial"/>
                <w:color w:val="333333"/>
                <w:sz w:val="20"/>
                <w:szCs w:val="20"/>
              </w:rPr>
              <w:t>Serviços viabilizados por organização através de transferências de recursos pactuados em contratos de gestão</w:t>
            </w:r>
          </w:p>
        </w:tc>
        <w:tc>
          <w:tcPr>
            <w:tcW w:w="758" w:type="pct"/>
            <w:tcBorders>
              <w:top w:val="nil"/>
              <w:left w:val="single" w:sz="4" w:space="0" w:color="auto"/>
              <w:bottom w:val="nil"/>
              <w:right w:val="single" w:sz="4" w:space="0" w:color="auto"/>
            </w:tcBorders>
            <w:shd w:val="clear" w:color="auto" w:fill="auto"/>
            <w:noWrap/>
            <w:vAlign w:val="center"/>
            <w:hideMark/>
          </w:tcPr>
          <w:p w14:paraId="76B98033" w14:textId="77777777" w:rsidR="002C0FF2" w:rsidRPr="009443E1" w:rsidRDefault="002C0FF2" w:rsidP="007E51A1">
            <w:pPr>
              <w:jc w:val="right"/>
              <w:rPr>
                <w:rFonts w:cs="Arial"/>
                <w:color w:val="000000"/>
                <w:sz w:val="20"/>
                <w:szCs w:val="20"/>
              </w:rPr>
            </w:pPr>
            <w:r w:rsidRPr="009443E1">
              <w:rPr>
                <w:rFonts w:cs="Arial"/>
                <w:color w:val="000000"/>
                <w:sz w:val="20"/>
                <w:szCs w:val="20"/>
              </w:rPr>
              <w:t>27.599.320</w:t>
            </w:r>
          </w:p>
        </w:tc>
        <w:tc>
          <w:tcPr>
            <w:tcW w:w="377" w:type="pct"/>
            <w:tcBorders>
              <w:top w:val="nil"/>
              <w:left w:val="nil"/>
              <w:bottom w:val="nil"/>
              <w:right w:val="nil"/>
            </w:tcBorders>
            <w:shd w:val="clear" w:color="auto" w:fill="auto"/>
            <w:noWrap/>
            <w:vAlign w:val="center"/>
            <w:hideMark/>
          </w:tcPr>
          <w:p w14:paraId="45780D47" w14:textId="77777777" w:rsidR="002C0FF2" w:rsidRPr="009443E1" w:rsidRDefault="002C0FF2" w:rsidP="007E51A1">
            <w:pPr>
              <w:jc w:val="center"/>
              <w:rPr>
                <w:rFonts w:cs="Arial"/>
                <w:color w:val="000000"/>
                <w:sz w:val="20"/>
                <w:szCs w:val="20"/>
              </w:rPr>
            </w:pPr>
            <w:r w:rsidRPr="009443E1">
              <w:rPr>
                <w:rFonts w:cs="Arial"/>
                <w:color w:val="000000"/>
                <w:sz w:val="20"/>
                <w:szCs w:val="20"/>
              </w:rPr>
              <w:t>0,96</w:t>
            </w:r>
          </w:p>
        </w:tc>
      </w:tr>
      <w:tr w:rsidR="002C0FF2" w:rsidRPr="009443E1" w14:paraId="3FFB23FA" w14:textId="77777777" w:rsidTr="009443E1">
        <w:trPr>
          <w:trHeight w:val="340"/>
        </w:trPr>
        <w:tc>
          <w:tcPr>
            <w:tcW w:w="606" w:type="pct"/>
            <w:tcBorders>
              <w:top w:val="nil"/>
              <w:left w:val="nil"/>
              <w:bottom w:val="nil"/>
              <w:right w:val="single" w:sz="4" w:space="0" w:color="auto"/>
            </w:tcBorders>
            <w:shd w:val="clear" w:color="auto" w:fill="auto"/>
            <w:noWrap/>
            <w:vAlign w:val="center"/>
            <w:hideMark/>
          </w:tcPr>
          <w:p w14:paraId="4EBABAA9" w14:textId="77777777" w:rsidR="002C0FF2" w:rsidRPr="009443E1" w:rsidRDefault="002C0FF2" w:rsidP="007E51A1">
            <w:pPr>
              <w:jc w:val="center"/>
              <w:rPr>
                <w:rFonts w:cs="Arial"/>
                <w:color w:val="000000"/>
                <w:sz w:val="20"/>
                <w:szCs w:val="20"/>
              </w:rPr>
            </w:pPr>
            <w:r w:rsidRPr="009443E1">
              <w:rPr>
                <w:rFonts w:cs="Arial"/>
                <w:color w:val="000000"/>
                <w:sz w:val="20"/>
                <w:szCs w:val="20"/>
              </w:rPr>
              <w:t>33909314</w:t>
            </w:r>
          </w:p>
        </w:tc>
        <w:tc>
          <w:tcPr>
            <w:tcW w:w="3259" w:type="pct"/>
            <w:tcBorders>
              <w:top w:val="nil"/>
              <w:left w:val="single" w:sz="4" w:space="0" w:color="auto"/>
              <w:right w:val="single" w:sz="4" w:space="0" w:color="auto"/>
            </w:tcBorders>
            <w:shd w:val="clear" w:color="auto" w:fill="auto"/>
            <w:noWrap/>
            <w:vAlign w:val="center"/>
            <w:hideMark/>
          </w:tcPr>
          <w:p w14:paraId="6C97CF91" w14:textId="77777777" w:rsidR="002C0FF2" w:rsidRPr="009443E1" w:rsidRDefault="002C0FF2" w:rsidP="007E51A1">
            <w:pPr>
              <w:jc w:val="left"/>
              <w:rPr>
                <w:rFonts w:cs="Arial"/>
                <w:color w:val="333333"/>
                <w:sz w:val="20"/>
                <w:szCs w:val="20"/>
              </w:rPr>
            </w:pPr>
            <w:r w:rsidRPr="009443E1">
              <w:rPr>
                <w:rFonts w:cs="Arial"/>
                <w:color w:val="333333"/>
                <w:sz w:val="20"/>
                <w:szCs w:val="20"/>
              </w:rPr>
              <w:t>Ressarcimento de Despesa por Serviços Viabilizados por Organização Social</w:t>
            </w:r>
          </w:p>
        </w:tc>
        <w:tc>
          <w:tcPr>
            <w:tcW w:w="758" w:type="pct"/>
            <w:tcBorders>
              <w:top w:val="nil"/>
              <w:left w:val="single" w:sz="4" w:space="0" w:color="auto"/>
              <w:bottom w:val="nil"/>
              <w:right w:val="single" w:sz="4" w:space="0" w:color="auto"/>
            </w:tcBorders>
            <w:shd w:val="clear" w:color="auto" w:fill="auto"/>
            <w:noWrap/>
            <w:vAlign w:val="center"/>
            <w:hideMark/>
          </w:tcPr>
          <w:p w14:paraId="1702D647" w14:textId="77777777" w:rsidR="002C0FF2" w:rsidRPr="009443E1" w:rsidRDefault="002C0FF2" w:rsidP="007E51A1">
            <w:pPr>
              <w:jc w:val="right"/>
              <w:rPr>
                <w:rFonts w:cs="Arial"/>
                <w:color w:val="000000"/>
                <w:sz w:val="20"/>
                <w:szCs w:val="20"/>
              </w:rPr>
            </w:pPr>
            <w:r w:rsidRPr="009443E1">
              <w:rPr>
                <w:rFonts w:cs="Arial"/>
                <w:color w:val="000000"/>
                <w:sz w:val="20"/>
                <w:szCs w:val="20"/>
              </w:rPr>
              <w:t>8.435.914</w:t>
            </w:r>
          </w:p>
        </w:tc>
        <w:tc>
          <w:tcPr>
            <w:tcW w:w="377" w:type="pct"/>
            <w:tcBorders>
              <w:top w:val="nil"/>
              <w:left w:val="nil"/>
              <w:bottom w:val="nil"/>
              <w:right w:val="nil"/>
            </w:tcBorders>
            <w:shd w:val="clear" w:color="auto" w:fill="auto"/>
            <w:noWrap/>
            <w:vAlign w:val="center"/>
            <w:hideMark/>
          </w:tcPr>
          <w:p w14:paraId="62E32B25" w14:textId="77777777" w:rsidR="002C0FF2" w:rsidRPr="009443E1" w:rsidRDefault="002C0FF2" w:rsidP="007E51A1">
            <w:pPr>
              <w:jc w:val="center"/>
              <w:rPr>
                <w:rFonts w:cs="Arial"/>
                <w:color w:val="000000"/>
                <w:sz w:val="20"/>
                <w:szCs w:val="20"/>
              </w:rPr>
            </w:pPr>
            <w:r w:rsidRPr="009443E1">
              <w:rPr>
                <w:rFonts w:cs="Arial"/>
                <w:color w:val="000000"/>
                <w:sz w:val="20"/>
                <w:szCs w:val="20"/>
              </w:rPr>
              <w:t>0,29</w:t>
            </w:r>
          </w:p>
        </w:tc>
      </w:tr>
      <w:tr w:rsidR="002C0FF2" w:rsidRPr="009443E1" w14:paraId="41CC5916" w14:textId="77777777" w:rsidTr="009443E1">
        <w:trPr>
          <w:trHeight w:val="340"/>
        </w:trPr>
        <w:tc>
          <w:tcPr>
            <w:tcW w:w="606" w:type="pct"/>
            <w:tcBorders>
              <w:top w:val="nil"/>
              <w:left w:val="nil"/>
              <w:right w:val="single" w:sz="4" w:space="0" w:color="auto"/>
            </w:tcBorders>
            <w:shd w:val="clear" w:color="auto" w:fill="auto"/>
            <w:noWrap/>
            <w:vAlign w:val="center"/>
            <w:hideMark/>
          </w:tcPr>
          <w:p w14:paraId="209FF920" w14:textId="77777777" w:rsidR="002C0FF2" w:rsidRPr="009443E1" w:rsidRDefault="002C0FF2" w:rsidP="007E51A1">
            <w:pPr>
              <w:jc w:val="center"/>
              <w:rPr>
                <w:rFonts w:cs="Arial"/>
                <w:color w:val="000000"/>
                <w:sz w:val="20"/>
                <w:szCs w:val="20"/>
              </w:rPr>
            </w:pPr>
            <w:r w:rsidRPr="009443E1">
              <w:rPr>
                <w:rFonts w:cs="Arial"/>
                <w:color w:val="000000"/>
                <w:sz w:val="20"/>
                <w:szCs w:val="20"/>
              </w:rPr>
              <w:t>44504205</w:t>
            </w:r>
          </w:p>
        </w:tc>
        <w:tc>
          <w:tcPr>
            <w:tcW w:w="3259" w:type="pct"/>
            <w:tcBorders>
              <w:top w:val="nil"/>
              <w:left w:val="single" w:sz="4" w:space="0" w:color="auto"/>
              <w:right w:val="single" w:sz="4" w:space="0" w:color="auto"/>
            </w:tcBorders>
            <w:shd w:val="clear" w:color="auto" w:fill="auto"/>
            <w:noWrap/>
            <w:vAlign w:val="center"/>
            <w:hideMark/>
          </w:tcPr>
          <w:p w14:paraId="34250928" w14:textId="77777777" w:rsidR="002C0FF2" w:rsidRPr="009443E1" w:rsidRDefault="002C0FF2" w:rsidP="007E51A1">
            <w:pPr>
              <w:jc w:val="left"/>
              <w:rPr>
                <w:rFonts w:cs="Arial"/>
                <w:color w:val="333333"/>
                <w:sz w:val="20"/>
                <w:szCs w:val="20"/>
              </w:rPr>
            </w:pPr>
            <w:r w:rsidRPr="009443E1">
              <w:rPr>
                <w:rFonts w:cs="Arial"/>
                <w:color w:val="333333"/>
                <w:sz w:val="20"/>
                <w:szCs w:val="20"/>
              </w:rPr>
              <w:t>Auxílio à Entidades Privadas sem fins Lucrativos</w:t>
            </w:r>
          </w:p>
        </w:tc>
        <w:tc>
          <w:tcPr>
            <w:tcW w:w="758" w:type="pct"/>
            <w:tcBorders>
              <w:top w:val="nil"/>
              <w:left w:val="single" w:sz="4" w:space="0" w:color="auto"/>
              <w:right w:val="single" w:sz="4" w:space="0" w:color="auto"/>
            </w:tcBorders>
            <w:shd w:val="clear" w:color="auto" w:fill="auto"/>
            <w:noWrap/>
            <w:vAlign w:val="center"/>
            <w:hideMark/>
          </w:tcPr>
          <w:p w14:paraId="0BDD16C8" w14:textId="77777777" w:rsidR="002C0FF2" w:rsidRPr="009443E1" w:rsidRDefault="002C0FF2" w:rsidP="007E51A1">
            <w:pPr>
              <w:jc w:val="right"/>
              <w:rPr>
                <w:rFonts w:cs="Arial"/>
                <w:color w:val="000000"/>
                <w:sz w:val="20"/>
                <w:szCs w:val="20"/>
              </w:rPr>
            </w:pPr>
            <w:r w:rsidRPr="009443E1">
              <w:rPr>
                <w:rFonts w:cs="Arial"/>
                <w:color w:val="000000"/>
                <w:sz w:val="20"/>
                <w:szCs w:val="20"/>
              </w:rPr>
              <w:t>61.085.767</w:t>
            </w:r>
          </w:p>
        </w:tc>
        <w:tc>
          <w:tcPr>
            <w:tcW w:w="377" w:type="pct"/>
            <w:tcBorders>
              <w:top w:val="nil"/>
              <w:left w:val="nil"/>
              <w:right w:val="nil"/>
            </w:tcBorders>
            <w:shd w:val="clear" w:color="auto" w:fill="auto"/>
            <w:noWrap/>
            <w:vAlign w:val="center"/>
            <w:hideMark/>
          </w:tcPr>
          <w:p w14:paraId="3BBFA291" w14:textId="77777777" w:rsidR="002C0FF2" w:rsidRPr="009443E1" w:rsidRDefault="002C0FF2" w:rsidP="007E51A1">
            <w:pPr>
              <w:jc w:val="center"/>
              <w:rPr>
                <w:rFonts w:cs="Arial"/>
                <w:color w:val="000000"/>
                <w:sz w:val="20"/>
                <w:szCs w:val="20"/>
              </w:rPr>
            </w:pPr>
            <w:r w:rsidRPr="009443E1">
              <w:rPr>
                <w:rFonts w:cs="Arial"/>
                <w:color w:val="000000"/>
                <w:sz w:val="20"/>
                <w:szCs w:val="20"/>
              </w:rPr>
              <w:t>2,13</w:t>
            </w:r>
          </w:p>
        </w:tc>
      </w:tr>
      <w:tr w:rsidR="002C0FF2" w:rsidRPr="009443E1" w14:paraId="2840760B" w14:textId="77777777" w:rsidTr="009443E1">
        <w:trPr>
          <w:trHeight w:val="340"/>
        </w:trPr>
        <w:tc>
          <w:tcPr>
            <w:tcW w:w="606" w:type="pct"/>
            <w:tcBorders>
              <w:top w:val="nil"/>
              <w:left w:val="nil"/>
              <w:bottom w:val="single" w:sz="4" w:space="0" w:color="auto"/>
              <w:right w:val="single" w:sz="4" w:space="0" w:color="auto"/>
            </w:tcBorders>
            <w:shd w:val="clear" w:color="auto" w:fill="auto"/>
            <w:noWrap/>
            <w:vAlign w:val="center"/>
            <w:hideMark/>
          </w:tcPr>
          <w:p w14:paraId="5782749C" w14:textId="77777777" w:rsidR="002C0FF2" w:rsidRPr="009443E1" w:rsidRDefault="002C0FF2" w:rsidP="007E51A1">
            <w:pPr>
              <w:jc w:val="center"/>
              <w:rPr>
                <w:rFonts w:cs="Arial"/>
                <w:color w:val="000000"/>
                <w:sz w:val="20"/>
                <w:szCs w:val="20"/>
              </w:rPr>
            </w:pPr>
            <w:r w:rsidRPr="009443E1">
              <w:rPr>
                <w:rFonts w:cs="Arial"/>
                <w:color w:val="000000"/>
                <w:sz w:val="20"/>
                <w:szCs w:val="20"/>
              </w:rPr>
              <w:t>44505106</w:t>
            </w:r>
          </w:p>
        </w:tc>
        <w:tc>
          <w:tcPr>
            <w:tcW w:w="3259" w:type="pct"/>
            <w:tcBorders>
              <w:top w:val="nil"/>
              <w:left w:val="single" w:sz="4" w:space="0" w:color="auto"/>
              <w:bottom w:val="single" w:sz="4" w:space="0" w:color="auto"/>
              <w:right w:val="single" w:sz="4" w:space="0" w:color="auto"/>
            </w:tcBorders>
            <w:shd w:val="clear" w:color="auto" w:fill="auto"/>
            <w:noWrap/>
            <w:vAlign w:val="center"/>
            <w:hideMark/>
          </w:tcPr>
          <w:p w14:paraId="42C079C9" w14:textId="77777777" w:rsidR="002C0FF2" w:rsidRPr="009443E1" w:rsidRDefault="002C0FF2" w:rsidP="007E51A1">
            <w:pPr>
              <w:jc w:val="left"/>
              <w:rPr>
                <w:rFonts w:cs="Arial"/>
                <w:color w:val="333333"/>
                <w:sz w:val="20"/>
                <w:szCs w:val="20"/>
              </w:rPr>
            </w:pPr>
            <w:r w:rsidRPr="009443E1">
              <w:rPr>
                <w:rFonts w:cs="Arial"/>
                <w:color w:val="333333"/>
                <w:sz w:val="20"/>
                <w:szCs w:val="20"/>
              </w:rPr>
              <w:t>Saúde - Delegação ou Descentralização</w:t>
            </w:r>
          </w:p>
        </w:tc>
        <w:tc>
          <w:tcPr>
            <w:tcW w:w="758" w:type="pct"/>
            <w:tcBorders>
              <w:top w:val="nil"/>
              <w:left w:val="single" w:sz="4" w:space="0" w:color="auto"/>
              <w:bottom w:val="single" w:sz="4" w:space="0" w:color="auto"/>
              <w:right w:val="single" w:sz="4" w:space="0" w:color="auto"/>
            </w:tcBorders>
            <w:shd w:val="clear" w:color="auto" w:fill="auto"/>
            <w:noWrap/>
            <w:vAlign w:val="center"/>
            <w:hideMark/>
          </w:tcPr>
          <w:p w14:paraId="6D0CEA2F" w14:textId="77777777" w:rsidR="002C0FF2" w:rsidRPr="009443E1" w:rsidRDefault="002C0FF2" w:rsidP="007E51A1">
            <w:pPr>
              <w:jc w:val="right"/>
              <w:rPr>
                <w:rFonts w:cs="Arial"/>
                <w:color w:val="000000"/>
                <w:sz w:val="20"/>
                <w:szCs w:val="20"/>
              </w:rPr>
            </w:pPr>
            <w:r w:rsidRPr="009443E1">
              <w:rPr>
                <w:rFonts w:cs="Arial"/>
                <w:color w:val="000000"/>
                <w:sz w:val="20"/>
                <w:szCs w:val="20"/>
              </w:rPr>
              <w:t>79.498.133</w:t>
            </w:r>
          </w:p>
        </w:tc>
        <w:tc>
          <w:tcPr>
            <w:tcW w:w="377" w:type="pct"/>
            <w:tcBorders>
              <w:top w:val="nil"/>
              <w:left w:val="nil"/>
              <w:bottom w:val="single" w:sz="4" w:space="0" w:color="auto"/>
              <w:right w:val="nil"/>
            </w:tcBorders>
            <w:shd w:val="clear" w:color="auto" w:fill="auto"/>
            <w:noWrap/>
            <w:vAlign w:val="center"/>
            <w:hideMark/>
          </w:tcPr>
          <w:p w14:paraId="238108EF" w14:textId="77777777" w:rsidR="002C0FF2" w:rsidRPr="009443E1" w:rsidRDefault="002C0FF2" w:rsidP="007E51A1">
            <w:pPr>
              <w:jc w:val="center"/>
              <w:rPr>
                <w:rFonts w:cs="Arial"/>
                <w:color w:val="000000"/>
                <w:sz w:val="20"/>
                <w:szCs w:val="20"/>
              </w:rPr>
            </w:pPr>
            <w:r w:rsidRPr="009443E1">
              <w:rPr>
                <w:rFonts w:cs="Arial"/>
                <w:color w:val="000000"/>
                <w:sz w:val="20"/>
                <w:szCs w:val="20"/>
              </w:rPr>
              <w:t>2,77</w:t>
            </w:r>
          </w:p>
        </w:tc>
      </w:tr>
      <w:tr w:rsidR="002C0FF2" w:rsidRPr="009443E1" w14:paraId="2E4D1288" w14:textId="77777777" w:rsidTr="009443E1">
        <w:trPr>
          <w:trHeight w:val="340"/>
        </w:trPr>
        <w:tc>
          <w:tcPr>
            <w:tcW w:w="3865" w:type="pct"/>
            <w:gridSpan w:val="2"/>
            <w:tcBorders>
              <w:top w:val="single" w:sz="4" w:space="0" w:color="auto"/>
              <w:left w:val="nil"/>
              <w:bottom w:val="single" w:sz="4" w:space="0" w:color="auto"/>
              <w:right w:val="single" w:sz="4" w:space="0" w:color="auto"/>
            </w:tcBorders>
            <w:shd w:val="clear" w:color="auto" w:fill="auto"/>
            <w:noWrap/>
            <w:vAlign w:val="center"/>
            <w:hideMark/>
          </w:tcPr>
          <w:p w14:paraId="4BFD46D5" w14:textId="77777777" w:rsidR="002C0FF2" w:rsidRPr="009443E1" w:rsidRDefault="002C0FF2" w:rsidP="007E51A1">
            <w:pPr>
              <w:jc w:val="center"/>
              <w:rPr>
                <w:rFonts w:cs="Arial"/>
                <w:b/>
                <w:bCs/>
                <w:color w:val="000000"/>
                <w:sz w:val="20"/>
                <w:szCs w:val="20"/>
              </w:rPr>
            </w:pPr>
            <w:r w:rsidRPr="009443E1">
              <w:rPr>
                <w:rFonts w:cs="Arial"/>
                <w:b/>
                <w:bCs/>
                <w:color w:val="000000"/>
                <w:sz w:val="20"/>
                <w:szCs w:val="20"/>
              </w:rPr>
              <w:t>Total</w:t>
            </w:r>
          </w:p>
        </w:tc>
        <w:tc>
          <w:tcPr>
            <w:tcW w:w="758" w:type="pct"/>
            <w:tcBorders>
              <w:top w:val="single" w:sz="4" w:space="0" w:color="auto"/>
              <w:left w:val="nil"/>
              <w:bottom w:val="single" w:sz="4" w:space="0" w:color="auto"/>
              <w:right w:val="single" w:sz="4" w:space="0" w:color="auto"/>
            </w:tcBorders>
            <w:shd w:val="clear" w:color="auto" w:fill="auto"/>
            <w:noWrap/>
            <w:vAlign w:val="center"/>
            <w:hideMark/>
          </w:tcPr>
          <w:p w14:paraId="4E93341E" w14:textId="77777777" w:rsidR="002C0FF2" w:rsidRPr="009443E1" w:rsidRDefault="002C0FF2" w:rsidP="009443E1">
            <w:pPr>
              <w:ind w:hanging="70"/>
              <w:jc w:val="right"/>
              <w:rPr>
                <w:rFonts w:cs="Arial"/>
                <w:b/>
                <w:bCs/>
                <w:color w:val="000000"/>
                <w:sz w:val="20"/>
                <w:szCs w:val="20"/>
              </w:rPr>
            </w:pPr>
            <w:r w:rsidRPr="009443E1">
              <w:rPr>
                <w:rFonts w:cs="Arial"/>
                <w:b/>
                <w:bCs/>
                <w:color w:val="000000"/>
                <w:sz w:val="20"/>
                <w:szCs w:val="20"/>
              </w:rPr>
              <w:t>2.868.360.440</w:t>
            </w:r>
          </w:p>
        </w:tc>
        <w:tc>
          <w:tcPr>
            <w:tcW w:w="377" w:type="pct"/>
            <w:tcBorders>
              <w:top w:val="single" w:sz="4" w:space="0" w:color="auto"/>
              <w:left w:val="nil"/>
              <w:bottom w:val="single" w:sz="4" w:space="0" w:color="auto"/>
              <w:right w:val="nil"/>
            </w:tcBorders>
            <w:shd w:val="clear" w:color="auto" w:fill="auto"/>
            <w:noWrap/>
            <w:vAlign w:val="center"/>
            <w:hideMark/>
          </w:tcPr>
          <w:p w14:paraId="00433B78" w14:textId="77777777" w:rsidR="002C0FF2" w:rsidRPr="009443E1" w:rsidRDefault="002C0FF2" w:rsidP="009443E1">
            <w:pPr>
              <w:ind w:hanging="76"/>
              <w:jc w:val="center"/>
              <w:rPr>
                <w:rFonts w:cs="Arial"/>
                <w:b/>
                <w:bCs/>
                <w:color w:val="000000"/>
                <w:sz w:val="20"/>
                <w:szCs w:val="20"/>
              </w:rPr>
            </w:pPr>
            <w:r w:rsidRPr="009443E1">
              <w:rPr>
                <w:rFonts w:cs="Arial"/>
                <w:b/>
                <w:bCs/>
                <w:color w:val="000000"/>
                <w:sz w:val="20"/>
                <w:szCs w:val="20"/>
              </w:rPr>
              <w:t>100,00</w:t>
            </w:r>
          </w:p>
        </w:tc>
      </w:tr>
    </w:tbl>
    <w:p w14:paraId="5DCCBE21" w14:textId="77777777" w:rsidR="002C0FF2" w:rsidRPr="00846313" w:rsidRDefault="002C0FF2" w:rsidP="002C0FF2">
      <w:pPr>
        <w:pStyle w:val="1-FONTE8ESQ"/>
      </w:pPr>
      <w:r w:rsidRPr="00846313">
        <w:t xml:space="preserve">Fonte: </w:t>
      </w:r>
      <w:r w:rsidRPr="00846313">
        <w:rPr>
          <w:i/>
        </w:rPr>
        <w:t>Business Objects</w:t>
      </w:r>
    </w:p>
    <w:p w14:paraId="12A6CE3C" w14:textId="77777777" w:rsidR="002C0FF2" w:rsidRPr="00CA1220" w:rsidRDefault="002C0FF2" w:rsidP="002C0FF2">
      <w:pPr>
        <w:pStyle w:val="1-REL11"/>
      </w:pPr>
      <w:r>
        <w:t xml:space="preserve">Deste valor total, 80,34% (R$ 2,30 bilhões) foi incluído como ASPS e computado como despesa para o cálculo do limite mínimo de aplicação de recursos em ASPS, tendo representado, em </w:t>
      </w:r>
      <w:r w:rsidRPr="00CA1220">
        <w:t xml:space="preserve">relação a esta, </w:t>
      </w:r>
      <w:r>
        <w:t>55,02</w:t>
      </w:r>
      <w:r w:rsidRPr="00CA1220">
        <w:t>%.</w:t>
      </w:r>
    </w:p>
    <w:p w14:paraId="244289E6" w14:textId="77777777" w:rsidR="002C0FF2" w:rsidRPr="00CA1220" w:rsidRDefault="002C0FF2" w:rsidP="002C0FF2">
      <w:pPr>
        <w:pStyle w:val="1-REL11"/>
      </w:pPr>
      <w:r w:rsidRPr="00CA1220">
        <w:t>Conforme apresentado no RGF do 3º quadrimestre do Poder Executivo, deste montante, R$</w:t>
      </w:r>
      <w:r>
        <w:t> </w:t>
      </w:r>
      <w:r w:rsidRPr="00CA1220">
        <w:t>986,07 milhões referem-se a despesa com pessoal das OSs/OSCs, ou seja, 34,38% das despesas empenhadas a essas entidades. Em comparação ao exercício de 2022, esse montante cresceu 36,45%, uma vez que a despesa com pessoal de OSs/OSCs alcançou R$ 722,65 milhões naquele exercício.</w:t>
      </w:r>
    </w:p>
    <w:p w14:paraId="189DB7B0" w14:textId="77777777" w:rsidR="00140D80" w:rsidRPr="00FE5280" w:rsidRDefault="00140D80" w:rsidP="00140D80">
      <w:pPr>
        <w:pStyle w:val="Ttulo3"/>
        <w:spacing w:before="0" w:after="220"/>
        <w:jc w:val="both"/>
      </w:pPr>
      <w:bookmarkStart w:id="333" w:name="_Toc167871704"/>
      <w:r w:rsidRPr="00FE5280">
        <w:lastRenderedPageBreak/>
        <w:t>Índice Constitucional da Saúde</w:t>
      </w:r>
      <w:bookmarkEnd w:id="333"/>
    </w:p>
    <w:p w14:paraId="759CACFB" w14:textId="77777777" w:rsidR="00140D80" w:rsidRPr="00D000A1" w:rsidRDefault="00140D80" w:rsidP="00317620">
      <w:pPr>
        <w:pStyle w:val="1-REL11"/>
      </w:pPr>
      <w:r w:rsidRPr="00D000A1">
        <w:t xml:space="preserve">De acordo com os critérios fixados no art. 77 do Ato das Disposições Constitucionais Transitórias (ADCT), os Estados devem aplicar em saúde </w:t>
      </w:r>
      <w:r w:rsidRPr="003B7BF6">
        <w:t>o valor mínimo correspondente a 12%</w:t>
      </w:r>
      <w:r w:rsidRPr="00D000A1">
        <w:rPr>
          <w:b/>
        </w:rPr>
        <w:t xml:space="preserve"> </w:t>
      </w:r>
      <w:r w:rsidRPr="00D000A1">
        <w:t>do produto da arrecadação dos impostos elencados no art. 155 da CF/88, somados aos recursos provenientes da União, de que tratam os arts</w:t>
      </w:r>
      <w:r>
        <w:t>.</w:t>
      </w:r>
      <w:r w:rsidRPr="00D000A1">
        <w:t xml:space="preserve"> 157 e 159, incisos I, alínea “a”, e II, da CF/88, deduzidas as transferências constitucionais aos municípios.</w:t>
      </w:r>
    </w:p>
    <w:p w14:paraId="16A5156B" w14:textId="77777777" w:rsidR="00140D80" w:rsidRPr="00D000A1" w:rsidRDefault="00140D80" w:rsidP="00317620">
      <w:pPr>
        <w:pStyle w:val="1-REL11"/>
      </w:pPr>
      <w:r w:rsidRPr="00D000A1">
        <w:t>Em regulamentação ao § 3º do art. 198 da CF/88, a LC nº 141</w:t>
      </w:r>
      <w:r>
        <w:t>/</w:t>
      </w:r>
      <w:r w:rsidRPr="00D000A1">
        <w:t xml:space="preserve">2012, definiu os critérios de rateio dos recursos de transferências para a saúde, dispondo também sobre o percentual mínimo de 12% a ser aplicado anualmente pelos estados e Distrito Federal em </w:t>
      </w:r>
      <w:r>
        <w:t>ASPS.</w:t>
      </w:r>
    </w:p>
    <w:p w14:paraId="563363A4" w14:textId="77777777" w:rsidR="00140D80" w:rsidRPr="00D000A1" w:rsidRDefault="00140D80" w:rsidP="00317620">
      <w:pPr>
        <w:pStyle w:val="1-REL11"/>
      </w:pPr>
      <w:r w:rsidRPr="00D000A1">
        <w:t>O acompanhamento da execução de gastos em ASPS ocorre por meio da divulgação do Anexo</w:t>
      </w:r>
      <w:r>
        <w:t> </w:t>
      </w:r>
      <w:r w:rsidRPr="00D000A1">
        <w:t>12 – Demonstrativo das Receitas e Despesas com Ações e Serviços Públicos de Saúde, integrante do RREO. Os procedimentos para a elaboração do demonstrativo foram definidos no MDF, 13ª edição, válido para o exercício em análise.</w:t>
      </w:r>
    </w:p>
    <w:p w14:paraId="0C826625" w14:textId="77777777" w:rsidR="00140D80" w:rsidRDefault="00140D80" w:rsidP="00317620">
      <w:pPr>
        <w:pStyle w:val="1-REL11"/>
      </w:pPr>
      <w:r w:rsidRPr="00EC6422">
        <w:t>O Anexo 12 contém informações sobre os recursos públicos que compõem a base de cálculo do percentual mínimo de aplicação em ASPS, as despesas com saúde, bem como a apuração do cumprimento do limite constitucional.</w:t>
      </w:r>
    </w:p>
    <w:p w14:paraId="01954B93" w14:textId="77777777" w:rsidR="00140D80" w:rsidRPr="00A7392C" w:rsidRDefault="00140D80" w:rsidP="00317620">
      <w:pPr>
        <w:pStyle w:val="Ttulo4"/>
        <w:spacing w:line="276" w:lineRule="auto"/>
      </w:pPr>
      <w:r w:rsidRPr="00A7392C">
        <w:t>Base de Cálculo</w:t>
      </w:r>
    </w:p>
    <w:p w14:paraId="5780E75F" w14:textId="77777777" w:rsidR="00140D80" w:rsidRPr="00FA0771" w:rsidRDefault="00140D80" w:rsidP="00317620">
      <w:pPr>
        <w:pStyle w:val="1-REL11"/>
      </w:pPr>
      <w:r w:rsidRPr="00FA0771">
        <w:t>De acordo com o art. 6º da LC nº 141/2012, em regulamentação à CF/88, art. 198, § 3º,</w:t>
      </w:r>
      <w:r>
        <w:t xml:space="preserve"> </w:t>
      </w:r>
      <w:r w:rsidRPr="00FA0771">
        <w:t xml:space="preserve">I, os Estados devem aplicar anualmente em ASPS no mínimo 12% da arrecadação dos seguintes impostos, deduzidas as parcelas que forem transferidas aos respectivos </w:t>
      </w:r>
      <w:r>
        <w:t>m</w:t>
      </w:r>
      <w:r w:rsidRPr="00FA0771">
        <w:t>unicípios:</w:t>
      </w:r>
    </w:p>
    <w:p w14:paraId="0738FE5C" w14:textId="77777777" w:rsidR="00140D80" w:rsidRPr="00805CA1" w:rsidRDefault="00140D80" w:rsidP="00317620">
      <w:pPr>
        <w:pStyle w:val="1-REL11"/>
        <w:numPr>
          <w:ilvl w:val="0"/>
          <w:numId w:val="54"/>
        </w:numPr>
        <w:spacing w:before="140" w:after="140"/>
        <w:ind w:left="714" w:hanging="357"/>
      </w:pPr>
      <w:r w:rsidRPr="00805CA1">
        <w:t>ITCD;</w:t>
      </w:r>
    </w:p>
    <w:p w14:paraId="3082BC01" w14:textId="77777777" w:rsidR="00140D80" w:rsidRPr="00805CA1" w:rsidRDefault="00140D80" w:rsidP="00317620">
      <w:pPr>
        <w:pStyle w:val="1-REL11"/>
        <w:numPr>
          <w:ilvl w:val="0"/>
          <w:numId w:val="54"/>
        </w:numPr>
        <w:spacing w:before="140" w:after="140"/>
        <w:ind w:left="714" w:hanging="357"/>
      </w:pPr>
      <w:r w:rsidRPr="00805CA1">
        <w:t>ICMS;</w:t>
      </w:r>
    </w:p>
    <w:p w14:paraId="22734F20" w14:textId="77777777" w:rsidR="00140D80" w:rsidRPr="00805CA1" w:rsidRDefault="00140D80" w:rsidP="00317620">
      <w:pPr>
        <w:pStyle w:val="1-REL11"/>
        <w:numPr>
          <w:ilvl w:val="0"/>
          <w:numId w:val="54"/>
        </w:numPr>
        <w:spacing w:before="140" w:after="140"/>
        <w:ind w:left="714" w:hanging="357"/>
      </w:pPr>
      <w:r w:rsidRPr="00805CA1">
        <w:t>IPVA;</w:t>
      </w:r>
    </w:p>
    <w:p w14:paraId="3CAF5385" w14:textId="77777777" w:rsidR="00140D80" w:rsidRPr="00805CA1" w:rsidRDefault="00140D80" w:rsidP="00317620">
      <w:pPr>
        <w:pStyle w:val="1-REL11"/>
        <w:numPr>
          <w:ilvl w:val="0"/>
          <w:numId w:val="54"/>
        </w:numPr>
        <w:spacing w:before="140" w:after="140"/>
        <w:ind w:left="714" w:hanging="357"/>
      </w:pPr>
      <w:r w:rsidRPr="00805CA1">
        <w:t>IRRF;</w:t>
      </w:r>
    </w:p>
    <w:p w14:paraId="2D23E770" w14:textId="77777777" w:rsidR="00140D80" w:rsidRPr="00805CA1" w:rsidRDefault="00140D80" w:rsidP="00317620">
      <w:pPr>
        <w:pStyle w:val="1-REL11"/>
        <w:numPr>
          <w:ilvl w:val="0"/>
          <w:numId w:val="54"/>
        </w:numPr>
        <w:spacing w:before="140" w:after="140"/>
        <w:ind w:left="714" w:hanging="357"/>
      </w:pPr>
      <w:r w:rsidRPr="00805CA1">
        <w:t>FPE;</w:t>
      </w:r>
    </w:p>
    <w:p w14:paraId="55729086" w14:textId="77777777" w:rsidR="00140D80" w:rsidRPr="00805CA1" w:rsidRDefault="00140D80" w:rsidP="00317620">
      <w:pPr>
        <w:pStyle w:val="1-REL11"/>
        <w:numPr>
          <w:ilvl w:val="0"/>
          <w:numId w:val="54"/>
        </w:numPr>
        <w:spacing w:before="140" w:after="140"/>
        <w:ind w:left="714" w:hanging="357"/>
      </w:pPr>
      <w:r w:rsidRPr="00805CA1">
        <w:t>Cota-Parte IPI Exportação; e</w:t>
      </w:r>
    </w:p>
    <w:p w14:paraId="271F408B" w14:textId="77777777" w:rsidR="00140D80" w:rsidRPr="00805CA1" w:rsidRDefault="00140D80" w:rsidP="00317620">
      <w:pPr>
        <w:pStyle w:val="1-REL11"/>
        <w:numPr>
          <w:ilvl w:val="0"/>
          <w:numId w:val="54"/>
        </w:numPr>
        <w:spacing w:before="140" w:after="140"/>
        <w:ind w:left="714" w:hanging="357"/>
      </w:pPr>
      <w:r w:rsidRPr="00805CA1">
        <w:t>Compensações Financeiras Provenientes de Impostos e Transferências Constitucionais.</w:t>
      </w:r>
    </w:p>
    <w:p w14:paraId="74FBE27E" w14:textId="5D87A8F9" w:rsidR="00140D80" w:rsidRDefault="00140D80" w:rsidP="00317620">
      <w:pPr>
        <w:pStyle w:val="1-REL11"/>
      </w:pPr>
      <w:r w:rsidRPr="00CD5BEC">
        <w:t>Na tabela seguinte consta a base de cálculo do percentual mínimo de 12% de aplicação na saúde, considerando as receitas resultantes de impostos no exercício:</w:t>
      </w:r>
    </w:p>
    <w:p w14:paraId="386A33B8" w14:textId="26F2C6D3" w:rsidR="00317620" w:rsidRDefault="00317620" w:rsidP="00317620">
      <w:pPr>
        <w:pStyle w:val="1-REL11"/>
      </w:pPr>
    </w:p>
    <w:p w14:paraId="4AC2588E" w14:textId="77777777" w:rsidR="00317620" w:rsidRDefault="00317620" w:rsidP="00317620">
      <w:pPr>
        <w:pStyle w:val="1-REL11"/>
      </w:pPr>
    </w:p>
    <w:p w14:paraId="7E2CFF58" w14:textId="77777777" w:rsidR="00140D80" w:rsidRPr="00CD5BEC" w:rsidRDefault="00140D80" w:rsidP="00736A8C">
      <w:pPr>
        <w:pStyle w:val="0-TABELA"/>
        <w:numPr>
          <w:ilvl w:val="0"/>
          <w:numId w:val="53"/>
        </w:numPr>
        <w:tabs>
          <w:tab w:val="clear" w:pos="1560"/>
          <w:tab w:val="left" w:pos="1134"/>
        </w:tabs>
        <w:spacing w:before="0" w:after="0"/>
        <w:ind w:left="0" w:firstLine="0"/>
      </w:pPr>
      <w:bookmarkStart w:id="334" w:name="_Toc135332524"/>
      <w:bookmarkStart w:id="335" w:name="_Toc167871806"/>
      <w:r w:rsidRPr="00CD5BEC">
        <w:lastRenderedPageBreak/>
        <w:t>Base de Cálculo das Receitas para Aplicação em ASPS</w:t>
      </w:r>
      <w:bookmarkEnd w:id="334"/>
      <w:bookmarkEnd w:id="335"/>
    </w:p>
    <w:p w14:paraId="1F4CD1AD" w14:textId="77777777" w:rsidR="00140D80" w:rsidRPr="00CD5BEC" w:rsidRDefault="00140D80" w:rsidP="00140D80">
      <w:pPr>
        <w:pStyle w:val="0-EmR1"/>
        <w:rPr>
          <w:lang w:eastAsia="en-US"/>
        </w:rPr>
      </w:pPr>
      <w:r w:rsidRPr="00CD5BEC">
        <w:rPr>
          <w:lang w:eastAsia="en-US"/>
        </w:rPr>
        <w:t>R$ 1</w:t>
      </w:r>
    </w:p>
    <w:tbl>
      <w:tblPr>
        <w:tblW w:w="5000" w:type="pct"/>
        <w:tblLayout w:type="fixed"/>
        <w:tblCellMar>
          <w:left w:w="0" w:type="dxa"/>
          <w:right w:w="0" w:type="dxa"/>
        </w:tblCellMar>
        <w:tblLook w:val="04A0" w:firstRow="1" w:lastRow="0" w:firstColumn="1" w:lastColumn="0" w:noHBand="0" w:noVBand="1"/>
      </w:tblPr>
      <w:tblGrid>
        <w:gridCol w:w="7924"/>
        <w:gridCol w:w="1429"/>
      </w:tblGrid>
      <w:tr w:rsidR="00140D80" w:rsidRPr="00140D80" w14:paraId="413BE14C" w14:textId="77777777" w:rsidTr="00140D80">
        <w:trPr>
          <w:trHeight w:val="340"/>
          <w:tblHeader/>
        </w:trPr>
        <w:tc>
          <w:tcPr>
            <w:tcW w:w="4236" w:type="pct"/>
            <w:tcBorders>
              <w:top w:val="single" w:sz="4" w:space="0" w:color="auto"/>
              <w:left w:val="nil"/>
              <w:bottom w:val="single" w:sz="4" w:space="0" w:color="000000"/>
              <w:right w:val="single" w:sz="4" w:space="0" w:color="auto"/>
            </w:tcBorders>
            <w:shd w:val="clear" w:color="000000" w:fill="A1F2FD"/>
            <w:noWrap/>
            <w:tcMar>
              <w:top w:w="15" w:type="dxa"/>
              <w:left w:w="15" w:type="dxa"/>
              <w:bottom w:w="0" w:type="dxa"/>
              <w:right w:w="15" w:type="dxa"/>
            </w:tcMar>
            <w:vAlign w:val="center"/>
            <w:hideMark/>
          </w:tcPr>
          <w:p w14:paraId="61149351" w14:textId="77777777" w:rsidR="00140D80" w:rsidRPr="00140D80" w:rsidRDefault="00140D80" w:rsidP="007E51A1">
            <w:pPr>
              <w:jc w:val="center"/>
              <w:rPr>
                <w:rFonts w:cs="Arial"/>
                <w:b/>
                <w:bCs/>
                <w:color w:val="000000"/>
                <w:sz w:val="20"/>
                <w:szCs w:val="20"/>
              </w:rPr>
            </w:pPr>
            <w:r w:rsidRPr="00140D80">
              <w:rPr>
                <w:rFonts w:cs="Arial"/>
                <w:b/>
                <w:bCs/>
                <w:color w:val="000000"/>
                <w:sz w:val="20"/>
                <w:szCs w:val="20"/>
              </w:rPr>
              <w:t>Receita Resultante de Impostos</w:t>
            </w:r>
          </w:p>
        </w:tc>
        <w:tc>
          <w:tcPr>
            <w:tcW w:w="764" w:type="pct"/>
            <w:tcBorders>
              <w:top w:val="single" w:sz="4" w:space="0" w:color="auto"/>
              <w:left w:val="single" w:sz="4" w:space="0" w:color="auto"/>
              <w:bottom w:val="single" w:sz="4" w:space="0" w:color="auto"/>
              <w:right w:val="nil"/>
            </w:tcBorders>
            <w:shd w:val="clear" w:color="000000" w:fill="A1F2FD"/>
            <w:tcMar>
              <w:top w:w="15" w:type="dxa"/>
              <w:left w:w="15" w:type="dxa"/>
              <w:bottom w:w="0" w:type="dxa"/>
              <w:right w:w="15" w:type="dxa"/>
            </w:tcMar>
            <w:vAlign w:val="center"/>
            <w:hideMark/>
          </w:tcPr>
          <w:p w14:paraId="6D64707A" w14:textId="77777777" w:rsidR="00140D80" w:rsidRPr="00140D80" w:rsidRDefault="00140D80" w:rsidP="007E51A1">
            <w:pPr>
              <w:jc w:val="center"/>
              <w:rPr>
                <w:rFonts w:cs="Arial"/>
                <w:b/>
                <w:bCs/>
                <w:color w:val="000000"/>
                <w:sz w:val="20"/>
                <w:szCs w:val="20"/>
              </w:rPr>
            </w:pPr>
            <w:r w:rsidRPr="00140D80">
              <w:rPr>
                <w:rFonts w:cs="Arial"/>
                <w:b/>
                <w:bCs/>
                <w:color w:val="000000"/>
                <w:sz w:val="20"/>
                <w:szCs w:val="20"/>
              </w:rPr>
              <w:t>Valor</w:t>
            </w:r>
          </w:p>
        </w:tc>
      </w:tr>
      <w:tr w:rsidR="00140D80" w:rsidRPr="00140D80" w14:paraId="04D11141" w14:textId="77777777" w:rsidTr="00140D80">
        <w:trPr>
          <w:trHeight w:val="340"/>
        </w:trPr>
        <w:tc>
          <w:tcPr>
            <w:tcW w:w="4236" w:type="pct"/>
            <w:tcBorders>
              <w:top w:val="nil"/>
              <w:left w:val="nil"/>
              <w:bottom w:val="nil"/>
              <w:right w:val="single" w:sz="4" w:space="0" w:color="auto"/>
            </w:tcBorders>
            <w:shd w:val="clear" w:color="auto" w:fill="auto"/>
            <w:tcMar>
              <w:top w:w="15" w:type="dxa"/>
              <w:left w:w="15" w:type="dxa"/>
              <w:bottom w:w="0" w:type="dxa"/>
              <w:right w:w="15" w:type="dxa"/>
            </w:tcMar>
            <w:vAlign w:val="center"/>
            <w:hideMark/>
          </w:tcPr>
          <w:p w14:paraId="313EE685" w14:textId="77777777" w:rsidR="00140D80" w:rsidRPr="00140D80" w:rsidRDefault="00140D80" w:rsidP="007E51A1">
            <w:pPr>
              <w:jc w:val="left"/>
              <w:rPr>
                <w:rFonts w:cs="Arial"/>
                <w:b/>
                <w:bCs/>
                <w:color w:val="000000"/>
                <w:sz w:val="20"/>
                <w:szCs w:val="20"/>
              </w:rPr>
            </w:pPr>
            <w:r w:rsidRPr="00140D80">
              <w:rPr>
                <w:rFonts w:cs="Arial"/>
                <w:b/>
                <w:bCs/>
                <w:color w:val="000000"/>
                <w:sz w:val="20"/>
                <w:szCs w:val="20"/>
              </w:rPr>
              <w:t>1- Receita de Impostos</w:t>
            </w:r>
          </w:p>
        </w:tc>
        <w:tc>
          <w:tcPr>
            <w:tcW w:w="764" w:type="pct"/>
            <w:tcBorders>
              <w:top w:val="single" w:sz="4" w:space="0" w:color="auto"/>
              <w:left w:val="single" w:sz="4" w:space="0" w:color="auto"/>
              <w:bottom w:val="nil"/>
              <w:right w:val="nil"/>
            </w:tcBorders>
            <w:shd w:val="clear" w:color="auto" w:fill="auto"/>
            <w:tcMar>
              <w:top w:w="15" w:type="dxa"/>
              <w:left w:w="15" w:type="dxa"/>
              <w:bottom w:w="0" w:type="dxa"/>
              <w:right w:w="15" w:type="dxa"/>
            </w:tcMar>
            <w:vAlign w:val="center"/>
            <w:hideMark/>
          </w:tcPr>
          <w:p w14:paraId="551E41D9" w14:textId="77777777" w:rsidR="00140D80" w:rsidRPr="00140D80" w:rsidRDefault="00140D80" w:rsidP="007E51A1">
            <w:pPr>
              <w:jc w:val="right"/>
              <w:rPr>
                <w:rFonts w:cs="Arial"/>
                <w:b/>
                <w:bCs/>
                <w:color w:val="000000"/>
                <w:sz w:val="20"/>
                <w:szCs w:val="20"/>
              </w:rPr>
            </w:pPr>
            <w:r w:rsidRPr="00140D80">
              <w:rPr>
                <w:rFonts w:cs="Arial"/>
                <w:b/>
                <w:bCs/>
                <w:color w:val="000000"/>
                <w:sz w:val="20"/>
                <w:szCs w:val="20"/>
              </w:rPr>
              <w:t>31.312.410.050</w:t>
            </w:r>
          </w:p>
        </w:tc>
      </w:tr>
      <w:tr w:rsidR="00140D80" w:rsidRPr="00140D80" w14:paraId="677EC05B" w14:textId="77777777" w:rsidTr="00140D80">
        <w:trPr>
          <w:trHeight w:val="340"/>
        </w:trPr>
        <w:tc>
          <w:tcPr>
            <w:tcW w:w="4236" w:type="pct"/>
            <w:tcBorders>
              <w:top w:val="nil"/>
              <w:left w:val="nil"/>
              <w:bottom w:val="nil"/>
              <w:right w:val="single" w:sz="4" w:space="0" w:color="auto"/>
            </w:tcBorders>
            <w:shd w:val="clear" w:color="auto" w:fill="auto"/>
            <w:noWrap/>
            <w:tcMar>
              <w:top w:w="15" w:type="dxa"/>
              <w:left w:w="270" w:type="dxa"/>
              <w:bottom w:w="0" w:type="dxa"/>
              <w:right w:w="15" w:type="dxa"/>
            </w:tcMar>
            <w:vAlign w:val="center"/>
            <w:hideMark/>
          </w:tcPr>
          <w:p w14:paraId="638FA1E9" w14:textId="77777777" w:rsidR="00140D80" w:rsidRPr="00140D80" w:rsidRDefault="00140D80" w:rsidP="007E51A1">
            <w:pPr>
              <w:ind w:firstLineChars="9" w:firstLine="18"/>
              <w:jc w:val="left"/>
              <w:rPr>
                <w:rFonts w:cs="Arial"/>
                <w:color w:val="000000"/>
                <w:sz w:val="20"/>
                <w:szCs w:val="20"/>
              </w:rPr>
            </w:pPr>
            <w:r w:rsidRPr="00140D80">
              <w:rPr>
                <w:rFonts w:cs="Arial"/>
                <w:color w:val="000000"/>
                <w:sz w:val="20"/>
                <w:szCs w:val="20"/>
              </w:rPr>
              <w:t>1.1- Receita Resultante do ICMS</w:t>
            </w:r>
          </w:p>
        </w:tc>
        <w:tc>
          <w:tcPr>
            <w:tcW w:w="764" w:type="pct"/>
            <w:tcBorders>
              <w:top w:val="nil"/>
              <w:left w:val="single" w:sz="4" w:space="0" w:color="auto"/>
              <w:bottom w:val="nil"/>
              <w:right w:val="nil"/>
            </w:tcBorders>
            <w:shd w:val="clear" w:color="auto" w:fill="auto"/>
            <w:noWrap/>
            <w:tcMar>
              <w:top w:w="15" w:type="dxa"/>
              <w:left w:w="15" w:type="dxa"/>
              <w:bottom w:w="0" w:type="dxa"/>
              <w:right w:w="15" w:type="dxa"/>
            </w:tcMar>
            <w:vAlign w:val="center"/>
            <w:hideMark/>
          </w:tcPr>
          <w:p w14:paraId="1843436F" w14:textId="77777777" w:rsidR="00140D80" w:rsidRPr="00140D80" w:rsidRDefault="00140D80" w:rsidP="007E51A1">
            <w:pPr>
              <w:jc w:val="right"/>
              <w:rPr>
                <w:rFonts w:cs="Arial"/>
                <w:color w:val="000000"/>
                <w:sz w:val="20"/>
                <w:szCs w:val="20"/>
              </w:rPr>
            </w:pPr>
            <w:r w:rsidRPr="00140D80">
              <w:rPr>
                <w:rFonts w:cs="Arial"/>
                <w:color w:val="000000"/>
                <w:sz w:val="20"/>
                <w:szCs w:val="20"/>
              </w:rPr>
              <w:t>24.349.471.727</w:t>
            </w:r>
          </w:p>
        </w:tc>
      </w:tr>
      <w:tr w:rsidR="00140D80" w:rsidRPr="00140D80" w14:paraId="386B8887" w14:textId="77777777" w:rsidTr="00140D80">
        <w:trPr>
          <w:trHeight w:val="340"/>
        </w:trPr>
        <w:tc>
          <w:tcPr>
            <w:tcW w:w="4236" w:type="pct"/>
            <w:tcBorders>
              <w:top w:val="nil"/>
              <w:left w:val="nil"/>
              <w:bottom w:val="nil"/>
              <w:right w:val="single" w:sz="4" w:space="0" w:color="auto"/>
            </w:tcBorders>
            <w:shd w:val="clear" w:color="auto" w:fill="auto"/>
            <w:noWrap/>
            <w:tcMar>
              <w:top w:w="15" w:type="dxa"/>
              <w:left w:w="540" w:type="dxa"/>
              <w:bottom w:w="0" w:type="dxa"/>
              <w:right w:w="15" w:type="dxa"/>
            </w:tcMar>
            <w:vAlign w:val="center"/>
            <w:hideMark/>
          </w:tcPr>
          <w:p w14:paraId="04A64465" w14:textId="77777777" w:rsidR="00140D80" w:rsidRPr="00140D80" w:rsidRDefault="00140D80" w:rsidP="007E51A1">
            <w:pPr>
              <w:ind w:firstLineChars="84" w:firstLine="168"/>
              <w:jc w:val="left"/>
              <w:rPr>
                <w:rFonts w:cs="Arial"/>
                <w:color w:val="000000"/>
                <w:sz w:val="20"/>
                <w:szCs w:val="20"/>
              </w:rPr>
            </w:pPr>
            <w:r w:rsidRPr="00140D80">
              <w:rPr>
                <w:rFonts w:cs="Arial"/>
                <w:color w:val="000000"/>
                <w:sz w:val="20"/>
                <w:szCs w:val="20"/>
              </w:rPr>
              <w:t>1.1.1- ICMS - Principal e Encargos</w:t>
            </w:r>
          </w:p>
        </w:tc>
        <w:tc>
          <w:tcPr>
            <w:tcW w:w="764" w:type="pct"/>
            <w:tcBorders>
              <w:top w:val="nil"/>
              <w:left w:val="single" w:sz="4" w:space="0" w:color="auto"/>
              <w:bottom w:val="nil"/>
              <w:right w:val="nil"/>
            </w:tcBorders>
            <w:shd w:val="clear" w:color="auto" w:fill="auto"/>
            <w:noWrap/>
            <w:tcMar>
              <w:top w:w="15" w:type="dxa"/>
              <w:left w:w="15" w:type="dxa"/>
              <w:bottom w:w="0" w:type="dxa"/>
              <w:right w:w="15" w:type="dxa"/>
            </w:tcMar>
            <w:vAlign w:val="center"/>
            <w:hideMark/>
          </w:tcPr>
          <w:p w14:paraId="799A884A" w14:textId="77777777" w:rsidR="00140D80" w:rsidRPr="00140D80" w:rsidRDefault="00140D80" w:rsidP="007E51A1">
            <w:pPr>
              <w:jc w:val="right"/>
              <w:rPr>
                <w:rFonts w:cs="Arial"/>
                <w:color w:val="000000"/>
                <w:sz w:val="20"/>
                <w:szCs w:val="20"/>
              </w:rPr>
            </w:pPr>
            <w:r w:rsidRPr="00140D80">
              <w:rPr>
                <w:rFonts w:cs="Arial"/>
                <w:color w:val="000000"/>
                <w:sz w:val="20"/>
                <w:szCs w:val="20"/>
              </w:rPr>
              <w:t>24.016.421.190</w:t>
            </w:r>
          </w:p>
        </w:tc>
      </w:tr>
      <w:tr w:rsidR="00140D80" w:rsidRPr="00140D80" w14:paraId="4087CA78" w14:textId="77777777" w:rsidTr="00140D80">
        <w:trPr>
          <w:trHeight w:val="340"/>
        </w:trPr>
        <w:tc>
          <w:tcPr>
            <w:tcW w:w="4236" w:type="pct"/>
            <w:tcBorders>
              <w:top w:val="nil"/>
              <w:left w:val="nil"/>
              <w:bottom w:val="nil"/>
              <w:right w:val="single" w:sz="4" w:space="0" w:color="auto"/>
            </w:tcBorders>
            <w:shd w:val="clear" w:color="auto" w:fill="auto"/>
            <w:noWrap/>
            <w:tcMar>
              <w:top w:w="15" w:type="dxa"/>
              <w:left w:w="540" w:type="dxa"/>
              <w:bottom w:w="0" w:type="dxa"/>
              <w:right w:w="15" w:type="dxa"/>
            </w:tcMar>
            <w:vAlign w:val="center"/>
            <w:hideMark/>
          </w:tcPr>
          <w:p w14:paraId="10617072" w14:textId="77777777" w:rsidR="00140D80" w:rsidRPr="00140D80" w:rsidRDefault="00140D80" w:rsidP="007E51A1">
            <w:pPr>
              <w:ind w:firstLineChars="84" w:firstLine="168"/>
              <w:jc w:val="left"/>
              <w:rPr>
                <w:rFonts w:cs="Arial"/>
                <w:color w:val="000000"/>
                <w:sz w:val="20"/>
                <w:szCs w:val="20"/>
              </w:rPr>
            </w:pPr>
            <w:r w:rsidRPr="00140D80">
              <w:rPr>
                <w:rFonts w:cs="Arial"/>
                <w:color w:val="000000"/>
                <w:sz w:val="20"/>
                <w:szCs w:val="20"/>
              </w:rPr>
              <w:t>1.1.2- Adicional de até 2% do ICMS destinado ao Fundo de Combate à Pobreza</w:t>
            </w:r>
          </w:p>
        </w:tc>
        <w:tc>
          <w:tcPr>
            <w:tcW w:w="764" w:type="pct"/>
            <w:tcBorders>
              <w:top w:val="nil"/>
              <w:left w:val="single" w:sz="4" w:space="0" w:color="auto"/>
              <w:bottom w:val="nil"/>
              <w:right w:val="nil"/>
            </w:tcBorders>
            <w:shd w:val="clear" w:color="auto" w:fill="auto"/>
            <w:noWrap/>
            <w:tcMar>
              <w:top w:w="15" w:type="dxa"/>
              <w:left w:w="15" w:type="dxa"/>
              <w:bottom w:w="0" w:type="dxa"/>
              <w:right w:w="15" w:type="dxa"/>
            </w:tcMar>
            <w:vAlign w:val="center"/>
            <w:hideMark/>
          </w:tcPr>
          <w:p w14:paraId="0523913F" w14:textId="77777777" w:rsidR="00140D80" w:rsidRPr="00140D80" w:rsidRDefault="00140D80" w:rsidP="007E51A1">
            <w:pPr>
              <w:jc w:val="right"/>
              <w:rPr>
                <w:rFonts w:cs="Arial"/>
                <w:color w:val="000000"/>
                <w:sz w:val="20"/>
                <w:szCs w:val="20"/>
              </w:rPr>
            </w:pPr>
            <w:r w:rsidRPr="00140D80">
              <w:rPr>
                <w:rFonts w:cs="Arial"/>
                <w:color w:val="000000"/>
                <w:sz w:val="20"/>
                <w:szCs w:val="20"/>
              </w:rPr>
              <w:t>333.050.538</w:t>
            </w:r>
          </w:p>
        </w:tc>
      </w:tr>
      <w:tr w:rsidR="00140D80" w:rsidRPr="00140D80" w14:paraId="709F27C2" w14:textId="77777777" w:rsidTr="00140D80">
        <w:trPr>
          <w:trHeight w:val="340"/>
        </w:trPr>
        <w:tc>
          <w:tcPr>
            <w:tcW w:w="4236" w:type="pct"/>
            <w:tcBorders>
              <w:top w:val="nil"/>
              <w:left w:val="nil"/>
              <w:bottom w:val="nil"/>
              <w:right w:val="single" w:sz="4" w:space="0" w:color="auto"/>
            </w:tcBorders>
            <w:shd w:val="clear" w:color="auto" w:fill="auto"/>
            <w:noWrap/>
            <w:tcMar>
              <w:top w:w="15" w:type="dxa"/>
              <w:left w:w="270" w:type="dxa"/>
              <w:bottom w:w="0" w:type="dxa"/>
              <w:right w:w="15" w:type="dxa"/>
            </w:tcMar>
            <w:vAlign w:val="center"/>
            <w:hideMark/>
          </w:tcPr>
          <w:p w14:paraId="346F3A5B" w14:textId="77777777" w:rsidR="00140D80" w:rsidRPr="00140D80" w:rsidRDefault="00140D80" w:rsidP="007E51A1">
            <w:pPr>
              <w:ind w:firstLineChars="9" w:firstLine="18"/>
              <w:jc w:val="left"/>
              <w:rPr>
                <w:rFonts w:cs="Arial"/>
                <w:color w:val="000000"/>
                <w:sz w:val="20"/>
                <w:szCs w:val="20"/>
              </w:rPr>
            </w:pPr>
            <w:r w:rsidRPr="00140D80">
              <w:rPr>
                <w:rFonts w:cs="Arial"/>
                <w:color w:val="000000"/>
                <w:sz w:val="20"/>
                <w:szCs w:val="20"/>
              </w:rPr>
              <w:t>1.2- Receita Resultante do ITCD</w:t>
            </w:r>
          </w:p>
        </w:tc>
        <w:tc>
          <w:tcPr>
            <w:tcW w:w="764" w:type="pct"/>
            <w:tcBorders>
              <w:top w:val="nil"/>
              <w:left w:val="single" w:sz="4" w:space="0" w:color="auto"/>
              <w:bottom w:val="nil"/>
              <w:right w:val="nil"/>
            </w:tcBorders>
            <w:shd w:val="clear" w:color="auto" w:fill="auto"/>
            <w:noWrap/>
            <w:tcMar>
              <w:top w:w="15" w:type="dxa"/>
              <w:left w:w="15" w:type="dxa"/>
              <w:bottom w:w="0" w:type="dxa"/>
              <w:right w:w="15" w:type="dxa"/>
            </w:tcMar>
            <w:vAlign w:val="center"/>
            <w:hideMark/>
          </w:tcPr>
          <w:p w14:paraId="2A1E89F4" w14:textId="77777777" w:rsidR="00140D80" w:rsidRPr="00140D80" w:rsidRDefault="00140D80" w:rsidP="007E51A1">
            <w:pPr>
              <w:jc w:val="right"/>
              <w:rPr>
                <w:rFonts w:cs="Arial"/>
                <w:color w:val="000000"/>
                <w:sz w:val="20"/>
                <w:szCs w:val="20"/>
              </w:rPr>
            </w:pPr>
            <w:r w:rsidRPr="00140D80">
              <w:rPr>
                <w:rFonts w:cs="Arial"/>
                <w:color w:val="000000"/>
                <w:sz w:val="20"/>
                <w:szCs w:val="20"/>
              </w:rPr>
              <w:t>1.230.821.211</w:t>
            </w:r>
          </w:p>
        </w:tc>
      </w:tr>
      <w:tr w:rsidR="00140D80" w:rsidRPr="00140D80" w14:paraId="7910DBFC" w14:textId="77777777" w:rsidTr="00140D80">
        <w:trPr>
          <w:trHeight w:val="340"/>
        </w:trPr>
        <w:tc>
          <w:tcPr>
            <w:tcW w:w="4236" w:type="pct"/>
            <w:tcBorders>
              <w:top w:val="nil"/>
              <w:left w:val="nil"/>
              <w:bottom w:val="nil"/>
              <w:right w:val="single" w:sz="4" w:space="0" w:color="auto"/>
            </w:tcBorders>
            <w:shd w:val="clear" w:color="auto" w:fill="auto"/>
            <w:noWrap/>
            <w:tcMar>
              <w:top w:w="15" w:type="dxa"/>
              <w:left w:w="270" w:type="dxa"/>
              <w:bottom w:w="0" w:type="dxa"/>
              <w:right w:w="15" w:type="dxa"/>
            </w:tcMar>
            <w:vAlign w:val="center"/>
            <w:hideMark/>
          </w:tcPr>
          <w:p w14:paraId="24C540AE" w14:textId="77777777" w:rsidR="00140D80" w:rsidRPr="00140D80" w:rsidRDefault="00140D80" w:rsidP="007E51A1">
            <w:pPr>
              <w:ind w:firstLineChars="9" w:firstLine="18"/>
              <w:jc w:val="left"/>
              <w:rPr>
                <w:rFonts w:cs="Arial"/>
                <w:color w:val="000000"/>
                <w:sz w:val="20"/>
                <w:szCs w:val="20"/>
              </w:rPr>
            </w:pPr>
            <w:r w:rsidRPr="00140D80">
              <w:rPr>
                <w:rFonts w:cs="Arial"/>
                <w:color w:val="000000"/>
                <w:sz w:val="20"/>
                <w:szCs w:val="20"/>
              </w:rPr>
              <w:t>1.3- Receita Resultante do IPVA</w:t>
            </w:r>
          </w:p>
        </w:tc>
        <w:tc>
          <w:tcPr>
            <w:tcW w:w="764" w:type="pct"/>
            <w:tcBorders>
              <w:top w:val="nil"/>
              <w:left w:val="single" w:sz="4" w:space="0" w:color="auto"/>
              <w:bottom w:val="nil"/>
              <w:right w:val="nil"/>
            </w:tcBorders>
            <w:shd w:val="clear" w:color="auto" w:fill="auto"/>
            <w:noWrap/>
            <w:tcMar>
              <w:top w:w="15" w:type="dxa"/>
              <w:left w:w="15" w:type="dxa"/>
              <w:bottom w:w="0" w:type="dxa"/>
              <w:right w:w="15" w:type="dxa"/>
            </w:tcMar>
            <w:vAlign w:val="center"/>
            <w:hideMark/>
          </w:tcPr>
          <w:p w14:paraId="3E4F08C9" w14:textId="77777777" w:rsidR="00140D80" w:rsidRPr="00140D80" w:rsidRDefault="00140D80" w:rsidP="007E51A1">
            <w:pPr>
              <w:jc w:val="right"/>
              <w:rPr>
                <w:rFonts w:cs="Arial"/>
                <w:color w:val="000000"/>
                <w:sz w:val="20"/>
                <w:szCs w:val="20"/>
              </w:rPr>
            </w:pPr>
            <w:r w:rsidRPr="00140D80">
              <w:rPr>
                <w:rFonts w:cs="Arial"/>
                <w:color w:val="000000"/>
                <w:sz w:val="20"/>
                <w:szCs w:val="20"/>
              </w:rPr>
              <w:t>3.187.942.528</w:t>
            </w:r>
          </w:p>
        </w:tc>
      </w:tr>
      <w:tr w:rsidR="00140D80" w:rsidRPr="00140D80" w14:paraId="32240297" w14:textId="77777777" w:rsidTr="00140D80">
        <w:trPr>
          <w:trHeight w:val="340"/>
        </w:trPr>
        <w:tc>
          <w:tcPr>
            <w:tcW w:w="4236" w:type="pct"/>
            <w:tcBorders>
              <w:top w:val="nil"/>
              <w:left w:val="nil"/>
              <w:bottom w:val="nil"/>
              <w:right w:val="single" w:sz="4" w:space="0" w:color="auto"/>
            </w:tcBorders>
            <w:shd w:val="clear" w:color="auto" w:fill="auto"/>
            <w:noWrap/>
            <w:tcMar>
              <w:top w:w="15" w:type="dxa"/>
              <w:left w:w="270" w:type="dxa"/>
              <w:bottom w:w="0" w:type="dxa"/>
              <w:right w:w="15" w:type="dxa"/>
            </w:tcMar>
            <w:vAlign w:val="center"/>
            <w:hideMark/>
          </w:tcPr>
          <w:p w14:paraId="16D45201" w14:textId="77777777" w:rsidR="00140D80" w:rsidRPr="00140D80" w:rsidRDefault="00140D80" w:rsidP="007E51A1">
            <w:pPr>
              <w:ind w:firstLineChars="9" w:firstLine="18"/>
              <w:jc w:val="left"/>
              <w:rPr>
                <w:rFonts w:cs="Arial"/>
                <w:color w:val="000000"/>
                <w:sz w:val="20"/>
                <w:szCs w:val="20"/>
              </w:rPr>
            </w:pPr>
            <w:r w:rsidRPr="00140D80">
              <w:rPr>
                <w:rFonts w:cs="Arial"/>
                <w:color w:val="000000"/>
                <w:sz w:val="20"/>
                <w:szCs w:val="20"/>
              </w:rPr>
              <w:t>1.4- Receita Resultante do IRRF</w:t>
            </w:r>
          </w:p>
        </w:tc>
        <w:tc>
          <w:tcPr>
            <w:tcW w:w="764" w:type="pct"/>
            <w:tcBorders>
              <w:top w:val="nil"/>
              <w:left w:val="single" w:sz="4" w:space="0" w:color="auto"/>
              <w:bottom w:val="nil"/>
              <w:right w:val="nil"/>
            </w:tcBorders>
            <w:shd w:val="clear" w:color="auto" w:fill="auto"/>
            <w:noWrap/>
            <w:tcMar>
              <w:top w:w="15" w:type="dxa"/>
              <w:left w:w="15" w:type="dxa"/>
              <w:bottom w:w="0" w:type="dxa"/>
              <w:right w:w="15" w:type="dxa"/>
            </w:tcMar>
            <w:vAlign w:val="center"/>
            <w:hideMark/>
          </w:tcPr>
          <w:p w14:paraId="6A5AA2CA" w14:textId="77777777" w:rsidR="00140D80" w:rsidRPr="00140D80" w:rsidRDefault="00140D80" w:rsidP="007E51A1">
            <w:pPr>
              <w:jc w:val="right"/>
              <w:rPr>
                <w:rFonts w:cs="Arial"/>
                <w:color w:val="000000"/>
                <w:sz w:val="20"/>
                <w:szCs w:val="20"/>
              </w:rPr>
            </w:pPr>
            <w:r w:rsidRPr="00140D80">
              <w:rPr>
                <w:rFonts w:cs="Arial"/>
                <w:color w:val="000000"/>
                <w:sz w:val="20"/>
                <w:szCs w:val="20"/>
              </w:rPr>
              <w:t>2.544.174.583</w:t>
            </w:r>
          </w:p>
        </w:tc>
      </w:tr>
      <w:tr w:rsidR="00140D80" w:rsidRPr="00140D80" w14:paraId="1DD3CB10" w14:textId="77777777" w:rsidTr="00140D80">
        <w:trPr>
          <w:trHeight w:val="340"/>
        </w:trPr>
        <w:tc>
          <w:tcPr>
            <w:tcW w:w="4236" w:type="pct"/>
            <w:tcBorders>
              <w:top w:val="nil"/>
              <w:left w:val="nil"/>
              <w:bottom w:val="nil"/>
              <w:right w:val="single" w:sz="4" w:space="0" w:color="auto"/>
            </w:tcBorders>
            <w:shd w:val="clear" w:color="auto" w:fill="auto"/>
            <w:noWrap/>
            <w:tcMar>
              <w:top w:w="15" w:type="dxa"/>
              <w:left w:w="15" w:type="dxa"/>
              <w:bottom w:w="0" w:type="dxa"/>
              <w:right w:w="15" w:type="dxa"/>
            </w:tcMar>
            <w:vAlign w:val="center"/>
            <w:hideMark/>
          </w:tcPr>
          <w:p w14:paraId="2A842137" w14:textId="77777777" w:rsidR="00140D80" w:rsidRPr="00140D80" w:rsidRDefault="00140D80" w:rsidP="007E51A1">
            <w:pPr>
              <w:jc w:val="left"/>
              <w:rPr>
                <w:rFonts w:cs="Arial"/>
                <w:b/>
                <w:bCs/>
                <w:color w:val="000000"/>
                <w:sz w:val="20"/>
                <w:szCs w:val="20"/>
              </w:rPr>
            </w:pPr>
            <w:r w:rsidRPr="00140D80">
              <w:rPr>
                <w:rFonts w:cs="Arial"/>
                <w:b/>
                <w:bCs/>
                <w:color w:val="000000"/>
                <w:sz w:val="20"/>
                <w:szCs w:val="20"/>
              </w:rPr>
              <w:t>2- Receita de Transferências Constitucionais e Legais</w:t>
            </w:r>
          </w:p>
        </w:tc>
        <w:tc>
          <w:tcPr>
            <w:tcW w:w="764" w:type="pct"/>
            <w:tcBorders>
              <w:top w:val="nil"/>
              <w:left w:val="single" w:sz="4" w:space="0" w:color="auto"/>
              <w:bottom w:val="nil"/>
              <w:right w:val="nil"/>
            </w:tcBorders>
            <w:shd w:val="clear" w:color="auto" w:fill="auto"/>
            <w:noWrap/>
            <w:tcMar>
              <w:top w:w="15" w:type="dxa"/>
              <w:left w:w="15" w:type="dxa"/>
              <w:bottom w:w="0" w:type="dxa"/>
              <w:right w:w="15" w:type="dxa"/>
            </w:tcMar>
            <w:vAlign w:val="center"/>
            <w:hideMark/>
          </w:tcPr>
          <w:p w14:paraId="29FB03F6" w14:textId="77777777" w:rsidR="00140D80" w:rsidRPr="00140D80" w:rsidRDefault="00140D80" w:rsidP="007E51A1">
            <w:pPr>
              <w:jc w:val="right"/>
              <w:rPr>
                <w:rFonts w:cs="Arial"/>
                <w:b/>
                <w:bCs/>
                <w:color w:val="000000"/>
                <w:sz w:val="20"/>
                <w:szCs w:val="20"/>
              </w:rPr>
            </w:pPr>
            <w:r w:rsidRPr="00140D80">
              <w:rPr>
                <w:rFonts w:cs="Arial"/>
                <w:b/>
                <w:bCs/>
                <w:color w:val="000000"/>
                <w:sz w:val="20"/>
                <w:szCs w:val="20"/>
              </w:rPr>
              <w:t>6.185.282.319</w:t>
            </w:r>
          </w:p>
        </w:tc>
      </w:tr>
      <w:tr w:rsidR="00140D80" w:rsidRPr="00140D80" w14:paraId="4B93821E" w14:textId="77777777" w:rsidTr="00140D80">
        <w:trPr>
          <w:trHeight w:val="340"/>
        </w:trPr>
        <w:tc>
          <w:tcPr>
            <w:tcW w:w="4236" w:type="pct"/>
            <w:tcBorders>
              <w:top w:val="nil"/>
              <w:left w:val="nil"/>
              <w:bottom w:val="nil"/>
              <w:right w:val="single" w:sz="4" w:space="0" w:color="auto"/>
            </w:tcBorders>
            <w:shd w:val="clear" w:color="auto" w:fill="auto"/>
            <w:noWrap/>
            <w:tcMar>
              <w:top w:w="15" w:type="dxa"/>
              <w:left w:w="270" w:type="dxa"/>
              <w:bottom w:w="0" w:type="dxa"/>
              <w:right w:w="15" w:type="dxa"/>
            </w:tcMar>
            <w:vAlign w:val="center"/>
            <w:hideMark/>
          </w:tcPr>
          <w:p w14:paraId="6121DE5B" w14:textId="77777777" w:rsidR="00140D80" w:rsidRPr="00140D80" w:rsidRDefault="00140D80" w:rsidP="007E51A1">
            <w:pPr>
              <w:ind w:firstLineChars="9" w:firstLine="18"/>
              <w:jc w:val="left"/>
              <w:rPr>
                <w:rFonts w:cs="Arial"/>
                <w:color w:val="000000"/>
                <w:sz w:val="20"/>
                <w:szCs w:val="20"/>
              </w:rPr>
            </w:pPr>
            <w:r w:rsidRPr="00140D80">
              <w:rPr>
                <w:rFonts w:cs="Arial"/>
                <w:color w:val="000000"/>
                <w:sz w:val="20"/>
                <w:szCs w:val="20"/>
              </w:rPr>
              <w:t>2.1- Cota-Parte FPE</w:t>
            </w:r>
          </w:p>
        </w:tc>
        <w:tc>
          <w:tcPr>
            <w:tcW w:w="764" w:type="pct"/>
            <w:tcBorders>
              <w:top w:val="nil"/>
              <w:left w:val="single" w:sz="4" w:space="0" w:color="auto"/>
              <w:bottom w:val="nil"/>
              <w:right w:val="nil"/>
            </w:tcBorders>
            <w:shd w:val="clear" w:color="auto" w:fill="auto"/>
            <w:noWrap/>
            <w:tcMar>
              <w:top w:w="15" w:type="dxa"/>
              <w:left w:w="15" w:type="dxa"/>
              <w:bottom w:w="0" w:type="dxa"/>
              <w:right w:w="15" w:type="dxa"/>
            </w:tcMar>
            <w:vAlign w:val="center"/>
            <w:hideMark/>
          </w:tcPr>
          <w:p w14:paraId="6B5C3614" w14:textId="77777777" w:rsidR="00140D80" w:rsidRPr="00140D80" w:rsidRDefault="00140D80" w:rsidP="007E51A1">
            <w:pPr>
              <w:jc w:val="right"/>
              <w:rPr>
                <w:rFonts w:cs="Arial"/>
                <w:color w:val="000000"/>
                <w:sz w:val="20"/>
                <w:szCs w:val="20"/>
              </w:rPr>
            </w:pPr>
            <w:r w:rsidRPr="00140D80">
              <w:rPr>
                <w:rFonts w:cs="Arial"/>
                <w:color w:val="000000"/>
                <w:sz w:val="20"/>
                <w:szCs w:val="20"/>
              </w:rPr>
              <w:t>4.802.966.909</w:t>
            </w:r>
          </w:p>
        </w:tc>
      </w:tr>
      <w:tr w:rsidR="00140D80" w:rsidRPr="00140D80" w14:paraId="35BB88DE" w14:textId="77777777" w:rsidTr="00140D80">
        <w:trPr>
          <w:trHeight w:val="340"/>
        </w:trPr>
        <w:tc>
          <w:tcPr>
            <w:tcW w:w="4236" w:type="pct"/>
            <w:tcBorders>
              <w:top w:val="nil"/>
              <w:left w:val="nil"/>
              <w:bottom w:val="nil"/>
              <w:right w:val="single" w:sz="4" w:space="0" w:color="auto"/>
            </w:tcBorders>
            <w:shd w:val="clear" w:color="auto" w:fill="auto"/>
            <w:noWrap/>
            <w:tcMar>
              <w:top w:w="15" w:type="dxa"/>
              <w:left w:w="270" w:type="dxa"/>
              <w:bottom w:w="0" w:type="dxa"/>
              <w:right w:w="15" w:type="dxa"/>
            </w:tcMar>
            <w:vAlign w:val="center"/>
            <w:hideMark/>
          </w:tcPr>
          <w:p w14:paraId="74F3A59E" w14:textId="77777777" w:rsidR="00140D80" w:rsidRPr="00140D80" w:rsidRDefault="00140D80" w:rsidP="007E51A1">
            <w:pPr>
              <w:ind w:firstLineChars="9" w:firstLine="18"/>
              <w:jc w:val="left"/>
              <w:rPr>
                <w:rFonts w:cs="Arial"/>
                <w:color w:val="000000"/>
                <w:sz w:val="20"/>
                <w:szCs w:val="20"/>
              </w:rPr>
            </w:pPr>
            <w:r w:rsidRPr="00140D80">
              <w:rPr>
                <w:rFonts w:cs="Arial"/>
                <w:color w:val="000000"/>
                <w:sz w:val="20"/>
                <w:szCs w:val="20"/>
              </w:rPr>
              <w:t>2.2- Cota-Parte IPI-Exportação</w:t>
            </w:r>
          </w:p>
        </w:tc>
        <w:tc>
          <w:tcPr>
            <w:tcW w:w="764" w:type="pct"/>
            <w:tcBorders>
              <w:top w:val="nil"/>
              <w:left w:val="single" w:sz="4" w:space="0" w:color="auto"/>
              <w:bottom w:val="nil"/>
              <w:right w:val="nil"/>
            </w:tcBorders>
            <w:shd w:val="clear" w:color="auto" w:fill="auto"/>
            <w:noWrap/>
            <w:tcMar>
              <w:top w:w="15" w:type="dxa"/>
              <w:left w:w="15" w:type="dxa"/>
              <w:bottom w:w="0" w:type="dxa"/>
              <w:right w:w="15" w:type="dxa"/>
            </w:tcMar>
            <w:vAlign w:val="center"/>
            <w:hideMark/>
          </w:tcPr>
          <w:p w14:paraId="42258DBE" w14:textId="77777777" w:rsidR="00140D80" w:rsidRPr="00140D80" w:rsidRDefault="00140D80" w:rsidP="007E51A1">
            <w:pPr>
              <w:jc w:val="right"/>
              <w:rPr>
                <w:rFonts w:cs="Arial"/>
                <w:color w:val="000000"/>
                <w:sz w:val="20"/>
                <w:szCs w:val="20"/>
              </w:rPr>
            </w:pPr>
            <w:r w:rsidRPr="00140D80">
              <w:rPr>
                <w:rFonts w:cs="Arial"/>
                <w:color w:val="000000"/>
                <w:sz w:val="20"/>
                <w:szCs w:val="20"/>
              </w:rPr>
              <w:t>142.246.816</w:t>
            </w:r>
          </w:p>
        </w:tc>
      </w:tr>
      <w:tr w:rsidR="00140D80" w:rsidRPr="00140D80" w14:paraId="075616E2" w14:textId="77777777" w:rsidTr="00140D80">
        <w:trPr>
          <w:trHeight w:val="340"/>
        </w:trPr>
        <w:tc>
          <w:tcPr>
            <w:tcW w:w="4236" w:type="pct"/>
            <w:tcBorders>
              <w:top w:val="nil"/>
              <w:left w:val="nil"/>
              <w:bottom w:val="nil"/>
              <w:right w:val="single" w:sz="4" w:space="0" w:color="auto"/>
            </w:tcBorders>
            <w:shd w:val="clear" w:color="auto" w:fill="auto"/>
            <w:noWrap/>
            <w:tcMar>
              <w:top w:w="15" w:type="dxa"/>
              <w:left w:w="270" w:type="dxa"/>
              <w:bottom w:w="0" w:type="dxa"/>
              <w:right w:w="15" w:type="dxa"/>
            </w:tcMar>
            <w:vAlign w:val="center"/>
            <w:hideMark/>
          </w:tcPr>
          <w:p w14:paraId="767E7421" w14:textId="77777777" w:rsidR="00140D80" w:rsidRPr="00140D80" w:rsidRDefault="00140D80" w:rsidP="007E51A1">
            <w:pPr>
              <w:ind w:firstLineChars="9" w:firstLine="18"/>
              <w:jc w:val="left"/>
              <w:rPr>
                <w:rFonts w:cs="Arial"/>
                <w:color w:val="000000"/>
                <w:sz w:val="20"/>
                <w:szCs w:val="20"/>
              </w:rPr>
            </w:pPr>
            <w:r w:rsidRPr="00140D80">
              <w:rPr>
                <w:rFonts w:cs="Arial"/>
                <w:color w:val="000000"/>
                <w:sz w:val="20"/>
                <w:szCs w:val="20"/>
              </w:rPr>
              <w:t>2.4- Compensações Financeiras Provenientes de Impostos e Transferências Constitucionais</w:t>
            </w:r>
          </w:p>
        </w:tc>
        <w:tc>
          <w:tcPr>
            <w:tcW w:w="764" w:type="pct"/>
            <w:tcBorders>
              <w:top w:val="nil"/>
              <w:left w:val="single" w:sz="4" w:space="0" w:color="auto"/>
              <w:bottom w:val="nil"/>
              <w:right w:val="nil"/>
            </w:tcBorders>
            <w:shd w:val="clear" w:color="auto" w:fill="auto"/>
            <w:noWrap/>
            <w:tcMar>
              <w:top w:w="15" w:type="dxa"/>
              <w:left w:w="15" w:type="dxa"/>
              <w:bottom w:w="0" w:type="dxa"/>
              <w:right w:w="15" w:type="dxa"/>
            </w:tcMar>
            <w:vAlign w:val="center"/>
            <w:hideMark/>
          </w:tcPr>
          <w:p w14:paraId="6C39FAC4" w14:textId="77777777" w:rsidR="00140D80" w:rsidRPr="00140D80" w:rsidRDefault="00140D80" w:rsidP="007E51A1">
            <w:pPr>
              <w:jc w:val="right"/>
              <w:rPr>
                <w:rFonts w:cs="Arial"/>
                <w:color w:val="000000"/>
                <w:sz w:val="20"/>
                <w:szCs w:val="20"/>
              </w:rPr>
            </w:pPr>
            <w:r w:rsidRPr="00140D80">
              <w:rPr>
                <w:rFonts w:cs="Arial"/>
                <w:color w:val="000000"/>
                <w:sz w:val="20"/>
                <w:szCs w:val="20"/>
              </w:rPr>
              <w:t>1.240.068.595</w:t>
            </w:r>
          </w:p>
        </w:tc>
      </w:tr>
      <w:tr w:rsidR="00140D80" w:rsidRPr="00140D80" w14:paraId="48ECF4BE" w14:textId="77777777" w:rsidTr="00140D80">
        <w:trPr>
          <w:trHeight w:val="340"/>
        </w:trPr>
        <w:tc>
          <w:tcPr>
            <w:tcW w:w="4236" w:type="pct"/>
            <w:tcBorders>
              <w:top w:val="nil"/>
              <w:left w:val="nil"/>
              <w:bottom w:val="nil"/>
              <w:right w:val="single" w:sz="4" w:space="0" w:color="auto"/>
            </w:tcBorders>
            <w:shd w:val="clear" w:color="auto" w:fill="auto"/>
            <w:noWrap/>
            <w:tcMar>
              <w:top w:w="15" w:type="dxa"/>
              <w:left w:w="15" w:type="dxa"/>
              <w:bottom w:w="0" w:type="dxa"/>
              <w:right w:w="15" w:type="dxa"/>
            </w:tcMar>
            <w:vAlign w:val="center"/>
            <w:hideMark/>
          </w:tcPr>
          <w:p w14:paraId="0CB8A250" w14:textId="77777777" w:rsidR="00140D80" w:rsidRPr="00140D80" w:rsidRDefault="00140D80" w:rsidP="007E51A1">
            <w:pPr>
              <w:jc w:val="left"/>
              <w:rPr>
                <w:rFonts w:cs="Arial"/>
                <w:b/>
                <w:bCs/>
                <w:color w:val="000000"/>
                <w:sz w:val="20"/>
                <w:szCs w:val="20"/>
              </w:rPr>
            </w:pPr>
            <w:r w:rsidRPr="00140D80">
              <w:rPr>
                <w:rFonts w:cs="Arial"/>
                <w:b/>
                <w:bCs/>
                <w:color w:val="000000"/>
                <w:sz w:val="20"/>
                <w:szCs w:val="20"/>
              </w:rPr>
              <w:t>3- Deduções de Transferências Constitucionais aos Municípios</w:t>
            </w:r>
          </w:p>
        </w:tc>
        <w:tc>
          <w:tcPr>
            <w:tcW w:w="764" w:type="pct"/>
            <w:tcBorders>
              <w:top w:val="nil"/>
              <w:left w:val="single" w:sz="4" w:space="0" w:color="auto"/>
              <w:bottom w:val="nil"/>
              <w:right w:val="nil"/>
            </w:tcBorders>
            <w:shd w:val="clear" w:color="auto" w:fill="auto"/>
            <w:noWrap/>
            <w:tcMar>
              <w:top w:w="15" w:type="dxa"/>
              <w:left w:w="15" w:type="dxa"/>
              <w:bottom w:w="0" w:type="dxa"/>
              <w:right w:w="15" w:type="dxa"/>
            </w:tcMar>
            <w:vAlign w:val="center"/>
            <w:hideMark/>
          </w:tcPr>
          <w:p w14:paraId="2237921C" w14:textId="77777777" w:rsidR="00140D80" w:rsidRPr="00140D80" w:rsidRDefault="00140D80" w:rsidP="007E51A1">
            <w:pPr>
              <w:jc w:val="right"/>
              <w:rPr>
                <w:rFonts w:cs="Arial"/>
                <w:b/>
                <w:bCs/>
                <w:color w:val="000000"/>
                <w:sz w:val="20"/>
                <w:szCs w:val="20"/>
              </w:rPr>
            </w:pPr>
            <w:r w:rsidRPr="00140D80">
              <w:rPr>
                <w:rFonts w:cs="Arial"/>
                <w:b/>
                <w:bCs/>
                <w:color w:val="000000"/>
                <w:sz w:val="20"/>
                <w:szCs w:val="20"/>
              </w:rPr>
              <w:t>7.926.813.339</w:t>
            </w:r>
          </w:p>
        </w:tc>
      </w:tr>
      <w:tr w:rsidR="00140D80" w:rsidRPr="00140D80" w14:paraId="0C1EE7A2" w14:textId="77777777" w:rsidTr="00140D80">
        <w:trPr>
          <w:trHeight w:val="340"/>
        </w:trPr>
        <w:tc>
          <w:tcPr>
            <w:tcW w:w="4236" w:type="pct"/>
            <w:tcBorders>
              <w:top w:val="nil"/>
              <w:left w:val="nil"/>
              <w:bottom w:val="nil"/>
              <w:right w:val="single" w:sz="4" w:space="0" w:color="auto"/>
            </w:tcBorders>
            <w:shd w:val="clear" w:color="auto" w:fill="auto"/>
            <w:noWrap/>
            <w:tcMar>
              <w:top w:w="15" w:type="dxa"/>
              <w:left w:w="270" w:type="dxa"/>
              <w:bottom w:w="0" w:type="dxa"/>
              <w:right w:w="15" w:type="dxa"/>
            </w:tcMar>
            <w:vAlign w:val="center"/>
            <w:hideMark/>
          </w:tcPr>
          <w:p w14:paraId="4575FC2F" w14:textId="77777777" w:rsidR="00140D80" w:rsidRPr="00140D80" w:rsidRDefault="00140D80" w:rsidP="007E51A1">
            <w:pPr>
              <w:ind w:firstLineChars="9" w:firstLine="18"/>
              <w:jc w:val="left"/>
              <w:rPr>
                <w:rFonts w:cs="Arial"/>
                <w:color w:val="000000"/>
                <w:sz w:val="20"/>
                <w:szCs w:val="20"/>
              </w:rPr>
            </w:pPr>
            <w:r w:rsidRPr="00140D80">
              <w:rPr>
                <w:rFonts w:cs="Arial"/>
                <w:color w:val="000000"/>
                <w:sz w:val="20"/>
                <w:szCs w:val="20"/>
              </w:rPr>
              <w:t>3.1- Parcela do ICMS Repassada aos Municípios (25% de 1.1.1)</w:t>
            </w:r>
          </w:p>
        </w:tc>
        <w:tc>
          <w:tcPr>
            <w:tcW w:w="764" w:type="pct"/>
            <w:tcBorders>
              <w:top w:val="nil"/>
              <w:left w:val="single" w:sz="4" w:space="0" w:color="auto"/>
              <w:bottom w:val="nil"/>
              <w:right w:val="nil"/>
            </w:tcBorders>
            <w:shd w:val="clear" w:color="auto" w:fill="auto"/>
            <w:noWrap/>
            <w:tcMar>
              <w:top w:w="15" w:type="dxa"/>
              <w:left w:w="15" w:type="dxa"/>
              <w:bottom w:w="0" w:type="dxa"/>
              <w:right w:w="15" w:type="dxa"/>
            </w:tcMar>
            <w:vAlign w:val="center"/>
            <w:hideMark/>
          </w:tcPr>
          <w:p w14:paraId="5A5864C6" w14:textId="77777777" w:rsidR="00140D80" w:rsidRPr="00140D80" w:rsidRDefault="00140D80" w:rsidP="007E51A1">
            <w:pPr>
              <w:jc w:val="right"/>
              <w:rPr>
                <w:rFonts w:cs="Arial"/>
                <w:color w:val="000000"/>
                <w:sz w:val="20"/>
                <w:szCs w:val="20"/>
              </w:rPr>
            </w:pPr>
            <w:r w:rsidRPr="00140D80">
              <w:rPr>
                <w:rFonts w:cs="Arial"/>
                <w:color w:val="000000"/>
                <w:sz w:val="20"/>
                <w:szCs w:val="20"/>
              </w:rPr>
              <w:t>6.297.222.837</w:t>
            </w:r>
          </w:p>
        </w:tc>
      </w:tr>
      <w:tr w:rsidR="00140D80" w:rsidRPr="00140D80" w14:paraId="486E59F6" w14:textId="77777777" w:rsidTr="00140D80">
        <w:trPr>
          <w:trHeight w:val="340"/>
        </w:trPr>
        <w:tc>
          <w:tcPr>
            <w:tcW w:w="4236" w:type="pct"/>
            <w:tcBorders>
              <w:top w:val="nil"/>
              <w:left w:val="nil"/>
              <w:bottom w:val="nil"/>
              <w:right w:val="single" w:sz="4" w:space="0" w:color="auto"/>
            </w:tcBorders>
            <w:shd w:val="clear" w:color="auto" w:fill="auto"/>
            <w:noWrap/>
            <w:tcMar>
              <w:top w:w="15" w:type="dxa"/>
              <w:left w:w="270" w:type="dxa"/>
              <w:bottom w:w="0" w:type="dxa"/>
              <w:right w:w="15" w:type="dxa"/>
            </w:tcMar>
            <w:vAlign w:val="center"/>
            <w:hideMark/>
          </w:tcPr>
          <w:p w14:paraId="18A8F451" w14:textId="77777777" w:rsidR="00140D80" w:rsidRPr="00140D80" w:rsidRDefault="00140D80" w:rsidP="007E51A1">
            <w:pPr>
              <w:ind w:firstLineChars="9" w:firstLine="18"/>
              <w:jc w:val="left"/>
              <w:rPr>
                <w:rFonts w:cs="Arial"/>
                <w:color w:val="000000"/>
                <w:sz w:val="20"/>
                <w:szCs w:val="20"/>
              </w:rPr>
            </w:pPr>
            <w:r w:rsidRPr="00140D80">
              <w:rPr>
                <w:rFonts w:cs="Arial"/>
                <w:color w:val="000000"/>
                <w:sz w:val="20"/>
                <w:szCs w:val="20"/>
              </w:rPr>
              <w:t>3.2- Parcela do IPVA Repassada aos Municípios (50% de 1.3)</w:t>
            </w:r>
          </w:p>
        </w:tc>
        <w:tc>
          <w:tcPr>
            <w:tcW w:w="764" w:type="pct"/>
            <w:tcBorders>
              <w:top w:val="nil"/>
              <w:left w:val="single" w:sz="4" w:space="0" w:color="auto"/>
              <w:bottom w:val="nil"/>
              <w:right w:val="nil"/>
            </w:tcBorders>
            <w:shd w:val="clear" w:color="auto" w:fill="auto"/>
            <w:noWrap/>
            <w:tcMar>
              <w:top w:w="15" w:type="dxa"/>
              <w:left w:w="15" w:type="dxa"/>
              <w:bottom w:w="0" w:type="dxa"/>
              <w:right w:w="15" w:type="dxa"/>
            </w:tcMar>
            <w:vAlign w:val="center"/>
            <w:hideMark/>
          </w:tcPr>
          <w:p w14:paraId="24B17F53" w14:textId="77777777" w:rsidR="00140D80" w:rsidRPr="00140D80" w:rsidRDefault="00140D80" w:rsidP="007E51A1">
            <w:pPr>
              <w:jc w:val="right"/>
              <w:rPr>
                <w:rFonts w:cs="Arial"/>
                <w:color w:val="000000"/>
                <w:sz w:val="20"/>
                <w:szCs w:val="20"/>
              </w:rPr>
            </w:pPr>
            <w:r w:rsidRPr="00140D80">
              <w:rPr>
                <w:rFonts w:cs="Arial"/>
                <w:color w:val="000000"/>
                <w:sz w:val="20"/>
                <w:szCs w:val="20"/>
              </w:rPr>
              <w:t>1.594.028.798</w:t>
            </w:r>
          </w:p>
        </w:tc>
      </w:tr>
      <w:tr w:rsidR="00140D80" w:rsidRPr="00140D80" w14:paraId="7D1E390E" w14:textId="77777777" w:rsidTr="00140D80">
        <w:trPr>
          <w:trHeight w:val="340"/>
        </w:trPr>
        <w:tc>
          <w:tcPr>
            <w:tcW w:w="4236" w:type="pct"/>
            <w:tcBorders>
              <w:top w:val="nil"/>
              <w:left w:val="nil"/>
              <w:bottom w:val="nil"/>
              <w:right w:val="single" w:sz="4" w:space="0" w:color="auto"/>
            </w:tcBorders>
            <w:shd w:val="clear" w:color="auto" w:fill="auto"/>
            <w:noWrap/>
            <w:tcMar>
              <w:top w:w="15" w:type="dxa"/>
              <w:left w:w="270" w:type="dxa"/>
              <w:bottom w:w="0" w:type="dxa"/>
              <w:right w:w="15" w:type="dxa"/>
            </w:tcMar>
            <w:vAlign w:val="center"/>
            <w:hideMark/>
          </w:tcPr>
          <w:p w14:paraId="4C7DFECB" w14:textId="77777777" w:rsidR="00140D80" w:rsidRPr="00140D80" w:rsidRDefault="00140D80" w:rsidP="007E51A1">
            <w:pPr>
              <w:ind w:firstLineChars="9" w:firstLine="18"/>
              <w:jc w:val="left"/>
              <w:rPr>
                <w:rFonts w:cs="Arial"/>
                <w:color w:val="000000"/>
                <w:sz w:val="20"/>
                <w:szCs w:val="20"/>
              </w:rPr>
            </w:pPr>
            <w:r w:rsidRPr="00140D80">
              <w:rPr>
                <w:rFonts w:cs="Arial"/>
                <w:color w:val="000000"/>
                <w:sz w:val="20"/>
                <w:szCs w:val="20"/>
              </w:rPr>
              <w:t>3.3- Parcela da Cota-Parte do IPI-Exportação Repassada aos Municípios (25% de 2.2)</w:t>
            </w:r>
          </w:p>
        </w:tc>
        <w:tc>
          <w:tcPr>
            <w:tcW w:w="764" w:type="pct"/>
            <w:tcBorders>
              <w:top w:val="nil"/>
              <w:left w:val="single" w:sz="4" w:space="0" w:color="auto"/>
              <w:bottom w:val="nil"/>
              <w:right w:val="nil"/>
            </w:tcBorders>
            <w:shd w:val="clear" w:color="auto" w:fill="auto"/>
            <w:noWrap/>
            <w:tcMar>
              <w:top w:w="15" w:type="dxa"/>
              <w:left w:w="15" w:type="dxa"/>
              <w:bottom w:w="0" w:type="dxa"/>
              <w:right w:w="15" w:type="dxa"/>
            </w:tcMar>
            <w:vAlign w:val="center"/>
            <w:hideMark/>
          </w:tcPr>
          <w:p w14:paraId="18A49614" w14:textId="77777777" w:rsidR="00140D80" w:rsidRPr="00140D80" w:rsidRDefault="00140D80" w:rsidP="007E51A1">
            <w:pPr>
              <w:jc w:val="right"/>
              <w:rPr>
                <w:rFonts w:cs="Arial"/>
                <w:color w:val="000000"/>
                <w:sz w:val="20"/>
                <w:szCs w:val="20"/>
              </w:rPr>
            </w:pPr>
            <w:r w:rsidRPr="00140D80">
              <w:rPr>
                <w:rFonts w:cs="Arial"/>
                <w:color w:val="000000"/>
                <w:sz w:val="20"/>
                <w:szCs w:val="20"/>
              </w:rPr>
              <w:t>35.561.704</w:t>
            </w:r>
          </w:p>
        </w:tc>
      </w:tr>
      <w:tr w:rsidR="00140D80" w:rsidRPr="00140D80" w14:paraId="608C45B0" w14:textId="77777777" w:rsidTr="00140D80">
        <w:trPr>
          <w:trHeight w:val="340"/>
        </w:trPr>
        <w:tc>
          <w:tcPr>
            <w:tcW w:w="4236" w:type="pct"/>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B7FCC58" w14:textId="77777777" w:rsidR="00140D80" w:rsidRPr="00140D80" w:rsidRDefault="00140D80" w:rsidP="007E51A1">
            <w:pPr>
              <w:jc w:val="left"/>
              <w:rPr>
                <w:rFonts w:cs="Arial"/>
                <w:b/>
                <w:bCs/>
                <w:color w:val="000000"/>
                <w:sz w:val="20"/>
                <w:szCs w:val="20"/>
              </w:rPr>
            </w:pPr>
            <w:r w:rsidRPr="00140D80">
              <w:rPr>
                <w:rFonts w:cs="Arial"/>
                <w:b/>
                <w:bCs/>
                <w:color w:val="000000"/>
                <w:sz w:val="20"/>
                <w:szCs w:val="20"/>
              </w:rPr>
              <w:t>4- Total da Receita Líquida de Impostos (1 + 2 - 3)</w:t>
            </w:r>
          </w:p>
        </w:tc>
        <w:tc>
          <w:tcPr>
            <w:tcW w:w="764" w:type="pct"/>
            <w:tcBorders>
              <w:top w:val="single" w:sz="4" w:space="0" w:color="auto"/>
              <w:left w:val="single" w:sz="4" w:space="0" w:color="auto"/>
              <w:bottom w:val="single" w:sz="4" w:space="0" w:color="auto"/>
              <w:right w:val="nil"/>
            </w:tcBorders>
            <w:shd w:val="clear" w:color="auto" w:fill="auto"/>
            <w:noWrap/>
            <w:tcMar>
              <w:top w:w="15" w:type="dxa"/>
              <w:left w:w="15" w:type="dxa"/>
              <w:bottom w:w="0" w:type="dxa"/>
              <w:right w:w="15" w:type="dxa"/>
            </w:tcMar>
            <w:vAlign w:val="center"/>
            <w:hideMark/>
          </w:tcPr>
          <w:p w14:paraId="40CF01FE" w14:textId="77777777" w:rsidR="00140D80" w:rsidRPr="00140D80" w:rsidRDefault="00140D80" w:rsidP="007E51A1">
            <w:pPr>
              <w:jc w:val="right"/>
              <w:rPr>
                <w:rFonts w:cs="Arial"/>
                <w:b/>
                <w:bCs/>
                <w:color w:val="000000"/>
                <w:sz w:val="20"/>
                <w:szCs w:val="20"/>
              </w:rPr>
            </w:pPr>
            <w:r w:rsidRPr="00140D80">
              <w:rPr>
                <w:rFonts w:cs="Arial"/>
                <w:b/>
                <w:bCs/>
                <w:color w:val="000000"/>
                <w:sz w:val="20"/>
                <w:szCs w:val="20"/>
              </w:rPr>
              <w:t>29.570.879.030</w:t>
            </w:r>
          </w:p>
        </w:tc>
      </w:tr>
    </w:tbl>
    <w:p w14:paraId="005A57AB" w14:textId="77777777" w:rsidR="00140D80" w:rsidRPr="00217584" w:rsidRDefault="00140D80" w:rsidP="00140D80">
      <w:pPr>
        <w:pStyle w:val="1-FONTE8ESQ"/>
      </w:pPr>
      <w:r w:rsidRPr="00217584">
        <w:t>Fonte: RREO do 6º bimestre de 2023</w:t>
      </w:r>
    </w:p>
    <w:p w14:paraId="24E1EFB9" w14:textId="77777777" w:rsidR="00140D80" w:rsidRPr="00347966" w:rsidRDefault="00140D80" w:rsidP="00140D80">
      <w:pPr>
        <w:pStyle w:val="1-REL11"/>
        <w:rPr>
          <w:highlight w:val="yellow"/>
        </w:rPr>
      </w:pPr>
      <w:bookmarkStart w:id="336" w:name="_Hlk105515467"/>
      <w:r w:rsidRPr="00AB48F4">
        <w:t xml:space="preserve">Considerando-se o disposto no § 3º do art. 198 da CF/88 e art. 6º da LC nº 141/2012, o valor mínimo a ser aplicado em ASPS no exercício de 2023 é de R$ 3,55 bilhões (linha 4 da tabela </w:t>
      </w:r>
      <w:r w:rsidRPr="00F81F77">
        <w:t>anterior x 12%), quantia 7,60% superior àquela exigida em 2022 (R$ 3,30 bilhões). Portanto, o desempenho na arrecadação estadual, refletido no aumento da base de cálculo do índice constitucional, é acompanhado do compromisso do Estado em ampliar a aplicação de recursos na saúde.</w:t>
      </w:r>
    </w:p>
    <w:p w14:paraId="0AB65352" w14:textId="77777777" w:rsidR="00140D80" w:rsidRPr="00FE5280" w:rsidRDefault="00140D80" w:rsidP="00117967">
      <w:pPr>
        <w:pStyle w:val="Ttulo4"/>
      </w:pPr>
      <w:bookmarkStart w:id="337" w:name="_Toc135332724"/>
      <w:bookmarkEnd w:id="336"/>
      <w:r w:rsidRPr="00FE5280">
        <w:t>Despesa em ASPS</w:t>
      </w:r>
      <w:bookmarkEnd w:id="337"/>
    </w:p>
    <w:p w14:paraId="0FA71AC1" w14:textId="77777777" w:rsidR="00140D80" w:rsidRPr="009E4378" w:rsidRDefault="00140D80" w:rsidP="00317620">
      <w:pPr>
        <w:pStyle w:val="1-REL11"/>
      </w:pPr>
      <w:bookmarkStart w:id="338" w:name="_Hlk105515495"/>
      <w:r w:rsidRPr="009E4378">
        <w:t>A LC nº 141/2012, define que, para fins de apuração da aplicação dos recursos mínimos, consideram-se como despesas em ASPS aquelas voltadas para a promoção, proteção e recuperação da saúde que atendam tanto aos princípios estatuídos no art. 7º da Lei nº 8.080, de 19 de setembro de 1990, quanto às diretrizes do art. 2º da LC nº 141/2012.</w:t>
      </w:r>
    </w:p>
    <w:p w14:paraId="18BA06CD" w14:textId="77777777" w:rsidR="00140D80" w:rsidRPr="009E4378" w:rsidRDefault="00140D80" w:rsidP="00317620">
      <w:pPr>
        <w:pStyle w:val="1-REL11"/>
      </w:pPr>
      <w:r w:rsidRPr="009E4378">
        <w:t xml:space="preserve">A fim de padronizar quais dispêndios poderiam ser incluídos para cômputo do índice, o art. 3º da LC nº 141/ 2012 determinou as despesas que serão consideradas com ASPS, destacando-se a vigilância em saúde, atenção integral e universal, capacitação do pessoal na saúde do Sistema </w:t>
      </w:r>
      <w:r w:rsidRPr="009E4378">
        <w:lastRenderedPageBreak/>
        <w:t>Único de Saúde (SUS), produção, aquisição e distribuição de insumos específicos dos serviços de saúde do SUS, dentre outras.</w:t>
      </w:r>
    </w:p>
    <w:p w14:paraId="33A3B227" w14:textId="77777777" w:rsidR="00140D80" w:rsidRPr="009E4378" w:rsidRDefault="00140D80" w:rsidP="00317620">
      <w:pPr>
        <w:pStyle w:val="1-REL11"/>
      </w:pPr>
      <w:r w:rsidRPr="009E4378">
        <w:t>No caso do não cumprimento da aplicação em ASPS, a CF/88 autorizou a União a decretar intervenção no estado faltoso, como dispõe o art. 34, inciso VII, alínea “e”.</w:t>
      </w:r>
    </w:p>
    <w:p w14:paraId="29F6472E" w14:textId="77777777" w:rsidR="00140D80" w:rsidRPr="009E4378" w:rsidRDefault="00140D80" w:rsidP="00317620">
      <w:pPr>
        <w:pStyle w:val="1-REL11"/>
      </w:pPr>
      <w:r w:rsidRPr="009E4378">
        <w:t>Além disso, o art. 26, § 1º da LC nº 141/2012, prevê a restrição do repasse dos recursos para emprego em ASPS nas ocasiões de descumprimento do índice mínimo, verificado a partir da fiscalização dos Tribunais de Contas.</w:t>
      </w:r>
    </w:p>
    <w:p w14:paraId="68156E59" w14:textId="77777777" w:rsidR="00140D80" w:rsidRPr="009E4378" w:rsidRDefault="00140D80" w:rsidP="00317620">
      <w:pPr>
        <w:pStyle w:val="1-REL11"/>
      </w:pPr>
      <w:r w:rsidRPr="009E4378">
        <w:t>O Decreto nº 7.827, de 16 de outubro de 2012, regulamenta o condicionamento das transferências constitucionais e os procedimentos de suspensão e restabelecimento das transferências voluntárias da União, nos casos de descumprimento da aplicação dos recursos em ASPS.</w:t>
      </w:r>
    </w:p>
    <w:p w14:paraId="193746D8" w14:textId="77777777" w:rsidR="00140D80" w:rsidRPr="009E4378" w:rsidRDefault="00140D80" w:rsidP="00317620">
      <w:pPr>
        <w:pStyle w:val="1-REL11"/>
      </w:pPr>
      <w:r w:rsidRPr="009E4378">
        <w:t>As despesas com ASPS realizadas pela União, estados, Distrito Federal e municípios devem ser financiadas com recursos movimentados por meio dos respectivos fundos de saúde, como prescrito no art. 2º da LC n° 141/2012. Em Goiás, a Lei Estadual nº 17.797, de 19 de setembro de 2012, instituiu o Fundo Estadual de Saúde (FES), sendo reconhecido orçamentariamente como a UO 2850 no exercício de 2023.</w:t>
      </w:r>
    </w:p>
    <w:p w14:paraId="78A57F44" w14:textId="77777777" w:rsidR="00140D80" w:rsidRPr="009E4378" w:rsidRDefault="00140D80" w:rsidP="00317620">
      <w:pPr>
        <w:pStyle w:val="1-REL11"/>
      </w:pPr>
      <w:r w:rsidRPr="009E4378">
        <w:t>Para análise constante neste Relatório, realizou-se então o exame da versão publicada do Anexo</w:t>
      </w:r>
      <w:r>
        <w:t> </w:t>
      </w:r>
      <w:r w:rsidRPr="009E4378">
        <w:t>12 do RREO do 6º bimestre de 202</w:t>
      </w:r>
      <w:r>
        <w:t>3</w:t>
      </w:r>
      <w:r w:rsidRPr="009E4378">
        <w:t>, disponível no Portal da Transparência, verificando-se que o mesmo está compatível com o disposto na L</w:t>
      </w:r>
      <w:r>
        <w:t>C</w:t>
      </w:r>
      <w:r w:rsidRPr="009E4378">
        <w:t xml:space="preserve"> nº 141/2012 e no MDF.</w:t>
      </w:r>
    </w:p>
    <w:p w14:paraId="001059C1" w14:textId="77777777" w:rsidR="00140D80" w:rsidRDefault="00140D80" w:rsidP="00317620">
      <w:pPr>
        <w:pStyle w:val="1-REL11"/>
      </w:pPr>
      <w:r w:rsidRPr="00696441">
        <w:t>Em consulta ao sistema BO, foi extraída a execução orçamentária no exercício de 2023 do Fundo (UO 2850), na Função Saúde, CO 1002, e apresenta-se a seguir</w:t>
      </w:r>
      <w:r>
        <w:t xml:space="preserve"> a relação das despesas com ASPS em relação a despesa total executada na Função Saúde:</w:t>
      </w:r>
    </w:p>
    <w:p w14:paraId="0E4FF2F2" w14:textId="77777777" w:rsidR="00140D80" w:rsidRDefault="00140D80" w:rsidP="00736A8C">
      <w:pPr>
        <w:pStyle w:val="0-TABELA"/>
        <w:numPr>
          <w:ilvl w:val="0"/>
          <w:numId w:val="53"/>
        </w:numPr>
        <w:tabs>
          <w:tab w:val="clear" w:pos="1560"/>
          <w:tab w:val="left" w:pos="1134"/>
        </w:tabs>
        <w:spacing w:before="0" w:after="0"/>
        <w:ind w:left="0" w:firstLine="0"/>
      </w:pPr>
      <w:bookmarkStart w:id="339" w:name="_Toc167871807"/>
      <w:r>
        <w:t>Relação ASPS e Função Saúde</w:t>
      </w:r>
      <w:bookmarkEnd w:id="339"/>
    </w:p>
    <w:p w14:paraId="2C27D960" w14:textId="77777777" w:rsidR="00140D80" w:rsidRDefault="00140D80" w:rsidP="00140D80">
      <w:pPr>
        <w:pStyle w:val="0-EmR1"/>
      </w:pPr>
      <w:r w:rsidRPr="00253D20">
        <w:t>R$ 1</w:t>
      </w:r>
    </w:p>
    <w:tbl>
      <w:tblPr>
        <w:tblW w:w="5000" w:type="pct"/>
        <w:tblLayout w:type="fixed"/>
        <w:tblCellMar>
          <w:left w:w="70" w:type="dxa"/>
          <w:right w:w="70" w:type="dxa"/>
        </w:tblCellMar>
        <w:tblLook w:val="04A0" w:firstRow="1" w:lastRow="0" w:firstColumn="1" w:lastColumn="0" w:noHBand="0" w:noVBand="1"/>
      </w:tblPr>
      <w:tblGrid>
        <w:gridCol w:w="2088"/>
        <w:gridCol w:w="2422"/>
        <w:gridCol w:w="2422"/>
        <w:gridCol w:w="2421"/>
      </w:tblGrid>
      <w:tr w:rsidR="00140D80" w:rsidRPr="00140D80" w14:paraId="323B165C" w14:textId="77777777" w:rsidTr="00140D80">
        <w:trPr>
          <w:trHeight w:val="340"/>
          <w:tblHeader/>
        </w:trPr>
        <w:tc>
          <w:tcPr>
            <w:tcW w:w="1116" w:type="pct"/>
            <w:tcBorders>
              <w:top w:val="single" w:sz="4" w:space="0" w:color="auto"/>
              <w:left w:val="nil"/>
              <w:bottom w:val="single" w:sz="4" w:space="0" w:color="auto"/>
              <w:right w:val="nil"/>
            </w:tcBorders>
            <w:shd w:val="clear" w:color="000000" w:fill="A1F2FD"/>
            <w:noWrap/>
            <w:vAlign w:val="center"/>
            <w:hideMark/>
          </w:tcPr>
          <w:p w14:paraId="0FCB067F" w14:textId="77777777" w:rsidR="00140D80" w:rsidRPr="00140D80" w:rsidRDefault="00140D80" w:rsidP="007E51A1">
            <w:pPr>
              <w:jc w:val="center"/>
              <w:rPr>
                <w:rFonts w:cs="Arial"/>
                <w:b/>
                <w:bCs/>
                <w:color w:val="000000"/>
                <w:sz w:val="20"/>
                <w:szCs w:val="20"/>
              </w:rPr>
            </w:pPr>
            <w:r w:rsidRPr="00140D80">
              <w:rPr>
                <w:rFonts w:cs="Arial"/>
                <w:b/>
                <w:bCs/>
                <w:color w:val="000000"/>
                <w:sz w:val="20"/>
                <w:szCs w:val="20"/>
              </w:rPr>
              <w:t>Despesa</w:t>
            </w:r>
          </w:p>
        </w:tc>
        <w:tc>
          <w:tcPr>
            <w:tcW w:w="1295" w:type="pct"/>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7AC4F67F" w14:textId="77777777" w:rsidR="00140D80" w:rsidRPr="00140D80" w:rsidRDefault="00140D80" w:rsidP="007E51A1">
            <w:pPr>
              <w:jc w:val="center"/>
              <w:rPr>
                <w:rFonts w:cs="Arial"/>
                <w:b/>
                <w:bCs/>
                <w:color w:val="000000"/>
                <w:sz w:val="20"/>
                <w:szCs w:val="20"/>
              </w:rPr>
            </w:pPr>
            <w:r w:rsidRPr="00140D80">
              <w:rPr>
                <w:rFonts w:cs="Arial"/>
                <w:b/>
                <w:bCs/>
                <w:color w:val="000000"/>
                <w:sz w:val="20"/>
                <w:szCs w:val="20"/>
              </w:rPr>
              <w:t>Empenhada</w:t>
            </w:r>
          </w:p>
        </w:tc>
        <w:tc>
          <w:tcPr>
            <w:tcW w:w="1295" w:type="pct"/>
            <w:tcBorders>
              <w:top w:val="single" w:sz="4" w:space="0" w:color="auto"/>
              <w:left w:val="nil"/>
              <w:bottom w:val="single" w:sz="4" w:space="0" w:color="auto"/>
              <w:right w:val="single" w:sz="4" w:space="0" w:color="auto"/>
            </w:tcBorders>
            <w:shd w:val="clear" w:color="000000" w:fill="A1F2FD"/>
            <w:noWrap/>
            <w:vAlign w:val="center"/>
            <w:hideMark/>
          </w:tcPr>
          <w:p w14:paraId="71316776" w14:textId="77777777" w:rsidR="00140D80" w:rsidRPr="00140D80" w:rsidRDefault="00140D80" w:rsidP="007E51A1">
            <w:pPr>
              <w:jc w:val="center"/>
              <w:rPr>
                <w:rFonts w:cs="Arial"/>
                <w:b/>
                <w:bCs/>
                <w:color w:val="000000"/>
                <w:sz w:val="20"/>
                <w:szCs w:val="20"/>
              </w:rPr>
            </w:pPr>
            <w:r w:rsidRPr="00140D80">
              <w:rPr>
                <w:rFonts w:cs="Arial"/>
                <w:b/>
                <w:bCs/>
                <w:color w:val="000000"/>
                <w:sz w:val="20"/>
                <w:szCs w:val="20"/>
              </w:rPr>
              <w:t>Liquidada</w:t>
            </w:r>
          </w:p>
        </w:tc>
        <w:tc>
          <w:tcPr>
            <w:tcW w:w="1294" w:type="pct"/>
            <w:tcBorders>
              <w:top w:val="single" w:sz="4" w:space="0" w:color="auto"/>
              <w:left w:val="nil"/>
              <w:bottom w:val="single" w:sz="4" w:space="0" w:color="auto"/>
              <w:right w:val="nil"/>
            </w:tcBorders>
            <w:shd w:val="clear" w:color="000000" w:fill="A1F2FD"/>
            <w:noWrap/>
            <w:vAlign w:val="center"/>
            <w:hideMark/>
          </w:tcPr>
          <w:p w14:paraId="0F5B077E" w14:textId="77777777" w:rsidR="00140D80" w:rsidRPr="00140D80" w:rsidRDefault="00140D80" w:rsidP="007E51A1">
            <w:pPr>
              <w:jc w:val="center"/>
              <w:rPr>
                <w:rFonts w:cs="Arial"/>
                <w:b/>
                <w:bCs/>
                <w:color w:val="000000"/>
                <w:sz w:val="20"/>
                <w:szCs w:val="20"/>
              </w:rPr>
            </w:pPr>
            <w:r w:rsidRPr="00140D80">
              <w:rPr>
                <w:rFonts w:cs="Arial"/>
                <w:b/>
                <w:bCs/>
                <w:color w:val="000000"/>
                <w:sz w:val="20"/>
                <w:szCs w:val="20"/>
              </w:rPr>
              <w:t>Paga</w:t>
            </w:r>
          </w:p>
        </w:tc>
      </w:tr>
      <w:tr w:rsidR="00140D80" w:rsidRPr="00140D80" w14:paraId="208D509B" w14:textId="77777777" w:rsidTr="00140D80">
        <w:trPr>
          <w:trHeight w:val="340"/>
        </w:trPr>
        <w:tc>
          <w:tcPr>
            <w:tcW w:w="1116" w:type="pct"/>
            <w:tcBorders>
              <w:top w:val="nil"/>
              <w:left w:val="nil"/>
              <w:bottom w:val="nil"/>
              <w:right w:val="nil"/>
            </w:tcBorders>
            <w:shd w:val="clear" w:color="auto" w:fill="auto"/>
            <w:noWrap/>
            <w:vAlign w:val="center"/>
            <w:hideMark/>
          </w:tcPr>
          <w:p w14:paraId="1FD599FF" w14:textId="77777777" w:rsidR="00140D80" w:rsidRPr="00140D80" w:rsidRDefault="00140D80" w:rsidP="007E51A1">
            <w:pPr>
              <w:jc w:val="center"/>
              <w:rPr>
                <w:rFonts w:cs="Arial"/>
                <w:color w:val="000000"/>
                <w:sz w:val="20"/>
                <w:szCs w:val="20"/>
              </w:rPr>
            </w:pPr>
            <w:r w:rsidRPr="00140D80">
              <w:rPr>
                <w:rFonts w:cs="Arial"/>
                <w:color w:val="000000"/>
                <w:sz w:val="20"/>
                <w:szCs w:val="20"/>
              </w:rPr>
              <w:t>Função Saúde</w:t>
            </w:r>
          </w:p>
        </w:tc>
        <w:tc>
          <w:tcPr>
            <w:tcW w:w="1295" w:type="pct"/>
            <w:tcBorders>
              <w:top w:val="nil"/>
              <w:left w:val="single" w:sz="4" w:space="0" w:color="auto"/>
              <w:bottom w:val="nil"/>
              <w:right w:val="single" w:sz="4" w:space="0" w:color="auto"/>
            </w:tcBorders>
            <w:shd w:val="clear" w:color="auto" w:fill="auto"/>
            <w:noWrap/>
            <w:vAlign w:val="center"/>
            <w:hideMark/>
          </w:tcPr>
          <w:p w14:paraId="6081858E" w14:textId="77777777" w:rsidR="00140D80" w:rsidRPr="00140D80" w:rsidRDefault="00140D80" w:rsidP="007E51A1">
            <w:pPr>
              <w:jc w:val="right"/>
              <w:rPr>
                <w:rFonts w:cs="Arial"/>
                <w:color w:val="000000"/>
                <w:sz w:val="20"/>
                <w:szCs w:val="20"/>
              </w:rPr>
            </w:pPr>
            <w:r w:rsidRPr="00140D80">
              <w:rPr>
                <w:rFonts w:cs="Arial"/>
                <w:color w:val="000000"/>
                <w:sz w:val="20"/>
                <w:szCs w:val="20"/>
              </w:rPr>
              <w:t>5.015.109.547</w:t>
            </w:r>
          </w:p>
        </w:tc>
        <w:tc>
          <w:tcPr>
            <w:tcW w:w="1295" w:type="pct"/>
            <w:tcBorders>
              <w:top w:val="nil"/>
              <w:left w:val="nil"/>
              <w:bottom w:val="nil"/>
              <w:right w:val="single" w:sz="4" w:space="0" w:color="auto"/>
            </w:tcBorders>
            <w:shd w:val="clear" w:color="auto" w:fill="auto"/>
            <w:noWrap/>
            <w:vAlign w:val="center"/>
            <w:hideMark/>
          </w:tcPr>
          <w:p w14:paraId="63ED8215" w14:textId="77777777" w:rsidR="00140D80" w:rsidRPr="00140D80" w:rsidRDefault="00140D80" w:rsidP="007E51A1">
            <w:pPr>
              <w:jc w:val="right"/>
              <w:rPr>
                <w:rFonts w:cs="Arial"/>
                <w:color w:val="000000"/>
                <w:sz w:val="20"/>
                <w:szCs w:val="20"/>
              </w:rPr>
            </w:pPr>
            <w:r w:rsidRPr="00140D80">
              <w:rPr>
                <w:rFonts w:cs="Arial"/>
                <w:color w:val="000000"/>
                <w:sz w:val="20"/>
                <w:szCs w:val="20"/>
              </w:rPr>
              <w:t>4.703.952.995</w:t>
            </w:r>
          </w:p>
        </w:tc>
        <w:tc>
          <w:tcPr>
            <w:tcW w:w="1294" w:type="pct"/>
            <w:tcBorders>
              <w:top w:val="nil"/>
              <w:left w:val="nil"/>
              <w:bottom w:val="nil"/>
              <w:right w:val="nil"/>
            </w:tcBorders>
            <w:shd w:val="clear" w:color="auto" w:fill="auto"/>
            <w:noWrap/>
            <w:vAlign w:val="center"/>
            <w:hideMark/>
          </w:tcPr>
          <w:p w14:paraId="29A4563E" w14:textId="77777777" w:rsidR="00140D80" w:rsidRPr="00140D80" w:rsidRDefault="00140D80" w:rsidP="007E51A1">
            <w:pPr>
              <w:jc w:val="right"/>
              <w:rPr>
                <w:rFonts w:cs="Arial"/>
                <w:color w:val="000000"/>
                <w:sz w:val="20"/>
                <w:szCs w:val="20"/>
              </w:rPr>
            </w:pPr>
            <w:r w:rsidRPr="00140D80">
              <w:rPr>
                <w:rFonts w:cs="Arial"/>
                <w:color w:val="000000"/>
                <w:sz w:val="20"/>
                <w:szCs w:val="20"/>
              </w:rPr>
              <w:t>4.671.185.330</w:t>
            </w:r>
          </w:p>
        </w:tc>
      </w:tr>
      <w:tr w:rsidR="00140D80" w:rsidRPr="00140D80" w14:paraId="46066047" w14:textId="77777777" w:rsidTr="00140D80">
        <w:trPr>
          <w:trHeight w:val="340"/>
        </w:trPr>
        <w:tc>
          <w:tcPr>
            <w:tcW w:w="1116" w:type="pct"/>
            <w:tcBorders>
              <w:top w:val="nil"/>
              <w:left w:val="nil"/>
              <w:bottom w:val="nil"/>
              <w:right w:val="nil"/>
            </w:tcBorders>
            <w:shd w:val="clear" w:color="auto" w:fill="auto"/>
            <w:noWrap/>
            <w:vAlign w:val="center"/>
            <w:hideMark/>
          </w:tcPr>
          <w:p w14:paraId="685A1A1B" w14:textId="77777777" w:rsidR="00140D80" w:rsidRPr="00140D80" w:rsidRDefault="00140D80" w:rsidP="007E51A1">
            <w:pPr>
              <w:jc w:val="center"/>
              <w:rPr>
                <w:rFonts w:cs="Arial"/>
                <w:color w:val="000000"/>
                <w:sz w:val="20"/>
                <w:szCs w:val="20"/>
              </w:rPr>
            </w:pPr>
            <w:r w:rsidRPr="00140D80">
              <w:rPr>
                <w:rFonts w:cs="Arial"/>
                <w:color w:val="000000"/>
                <w:sz w:val="20"/>
                <w:szCs w:val="20"/>
              </w:rPr>
              <w:t>ASPS</w:t>
            </w:r>
          </w:p>
        </w:tc>
        <w:tc>
          <w:tcPr>
            <w:tcW w:w="1295" w:type="pct"/>
            <w:tcBorders>
              <w:top w:val="nil"/>
              <w:left w:val="single" w:sz="4" w:space="0" w:color="auto"/>
              <w:bottom w:val="nil"/>
              <w:right w:val="single" w:sz="4" w:space="0" w:color="auto"/>
            </w:tcBorders>
            <w:shd w:val="clear" w:color="auto" w:fill="auto"/>
            <w:noWrap/>
            <w:vAlign w:val="center"/>
            <w:hideMark/>
          </w:tcPr>
          <w:p w14:paraId="63A868CE" w14:textId="77777777" w:rsidR="00140D80" w:rsidRPr="00140D80" w:rsidRDefault="00140D80" w:rsidP="007E51A1">
            <w:pPr>
              <w:jc w:val="right"/>
              <w:rPr>
                <w:rFonts w:cs="Arial"/>
                <w:color w:val="000000"/>
                <w:sz w:val="20"/>
                <w:szCs w:val="20"/>
              </w:rPr>
            </w:pPr>
            <w:r w:rsidRPr="00140D80">
              <w:rPr>
                <w:rFonts w:cs="Arial"/>
                <w:color w:val="000000"/>
                <w:sz w:val="20"/>
                <w:szCs w:val="20"/>
              </w:rPr>
              <w:t>4.188.352.890</w:t>
            </w:r>
          </w:p>
        </w:tc>
        <w:tc>
          <w:tcPr>
            <w:tcW w:w="1295" w:type="pct"/>
            <w:tcBorders>
              <w:top w:val="nil"/>
              <w:left w:val="nil"/>
              <w:bottom w:val="nil"/>
              <w:right w:val="single" w:sz="4" w:space="0" w:color="auto"/>
            </w:tcBorders>
            <w:shd w:val="clear" w:color="auto" w:fill="auto"/>
            <w:noWrap/>
            <w:vAlign w:val="center"/>
            <w:hideMark/>
          </w:tcPr>
          <w:p w14:paraId="4EC98F5C" w14:textId="77777777" w:rsidR="00140D80" w:rsidRPr="00140D80" w:rsidRDefault="00140D80" w:rsidP="007E51A1">
            <w:pPr>
              <w:jc w:val="right"/>
              <w:rPr>
                <w:rFonts w:cs="Arial"/>
                <w:color w:val="000000"/>
                <w:sz w:val="20"/>
                <w:szCs w:val="20"/>
              </w:rPr>
            </w:pPr>
            <w:r w:rsidRPr="00140D80">
              <w:rPr>
                <w:rFonts w:cs="Arial"/>
                <w:color w:val="000000"/>
                <w:sz w:val="20"/>
                <w:szCs w:val="20"/>
              </w:rPr>
              <w:t>3.972.835.224</w:t>
            </w:r>
          </w:p>
        </w:tc>
        <w:tc>
          <w:tcPr>
            <w:tcW w:w="1294" w:type="pct"/>
            <w:tcBorders>
              <w:top w:val="nil"/>
              <w:left w:val="nil"/>
              <w:bottom w:val="nil"/>
              <w:right w:val="nil"/>
            </w:tcBorders>
            <w:shd w:val="clear" w:color="auto" w:fill="auto"/>
            <w:noWrap/>
            <w:vAlign w:val="center"/>
            <w:hideMark/>
          </w:tcPr>
          <w:p w14:paraId="258DA52C" w14:textId="77777777" w:rsidR="00140D80" w:rsidRPr="00140D80" w:rsidRDefault="00140D80" w:rsidP="007E51A1">
            <w:pPr>
              <w:jc w:val="right"/>
              <w:rPr>
                <w:rFonts w:cs="Arial"/>
                <w:color w:val="000000"/>
                <w:sz w:val="20"/>
                <w:szCs w:val="20"/>
              </w:rPr>
            </w:pPr>
            <w:r w:rsidRPr="00140D80">
              <w:rPr>
                <w:rFonts w:cs="Arial"/>
                <w:color w:val="000000"/>
                <w:sz w:val="20"/>
                <w:szCs w:val="20"/>
              </w:rPr>
              <w:t>3.948.616.155</w:t>
            </w:r>
          </w:p>
        </w:tc>
      </w:tr>
      <w:tr w:rsidR="00140D80" w:rsidRPr="00140D80" w14:paraId="70F3ED6A" w14:textId="77777777" w:rsidTr="00140D80">
        <w:trPr>
          <w:trHeight w:val="340"/>
        </w:trPr>
        <w:tc>
          <w:tcPr>
            <w:tcW w:w="1116" w:type="pct"/>
            <w:tcBorders>
              <w:top w:val="single" w:sz="4" w:space="0" w:color="auto"/>
              <w:left w:val="nil"/>
              <w:bottom w:val="single" w:sz="4" w:space="0" w:color="auto"/>
              <w:right w:val="nil"/>
            </w:tcBorders>
            <w:shd w:val="clear" w:color="auto" w:fill="auto"/>
            <w:noWrap/>
            <w:vAlign w:val="center"/>
            <w:hideMark/>
          </w:tcPr>
          <w:p w14:paraId="7DA84EB8" w14:textId="77777777" w:rsidR="00140D80" w:rsidRPr="00140D80" w:rsidRDefault="00140D80" w:rsidP="007E51A1">
            <w:pPr>
              <w:jc w:val="center"/>
              <w:rPr>
                <w:rFonts w:cs="Arial"/>
                <w:b/>
                <w:bCs/>
                <w:color w:val="000000"/>
                <w:sz w:val="20"/>
                <w:szCs w:val="20"/>
              </w:rPr>
            </w:pPr>
            <w:r w:rsidRPr="00140D80">
              <w:rPr>
                <w:rFonts w:cs="Arial"/>
                <w:b/>
                <w:bCs/>
                <w:color w:val="000000"/>
                <w:sz w:val="20"/>
                <w:szCs w:val="20"/>
              </w:rPr>
              <w:t>AV %</w:t>
            </w:r>
          </w:p>
        </w:tc>
        <w:tc>
          <w:tcPr>
            <w:tcW w:w="129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E0DB43" w14:textId="77777777" w:rsidR="00140D80" w:rsidRPr="00140D80" w:rsidRDefault="00140D80" w:rsidP="007E51A1">
            <w:pPr>
              <w:jc w:val="center"/>
              <w:rPr>
                <w:rFonts w:cs="Arial"/>
                <w:b/>
                <w:bCs/>
                <w:color w:val="000000"/>
                <w:sz w:val="20"/>
                <w:szCs w:val="20"/>
              </w:rPr>
            </w:pPr>
            <w:r w:rsidRPr="00140D80">
              <w:rPr>
                <w:rFonts w:cs="Arial"/>
                <w:b/>
                <w:bCs/>
                <w:color w:val="000000"/>
                <w:sz w:val="20"/>
                <w:szCs w:val="20"/>
              </w:rPr>
              <w:t>83,51</w:t>
            </w:r>
          </w:p>
        </w:tc>
        <w:tc>
          <w:tcPr>
            <w:tcW w:w="1295" w:type="pct"/>
            <w:tcBorders>
              <w:top w:val="single" w:sz="4" w:space="0" w:color="auto"/>
              <w:left w:val="nil"/>
              <w:bottom w:val="single" w:sz="4" w:space="0" w:color="auto"/>
              <w:right w:val="single" w:sz="4" w:space="0" w:color="auto"/>
            </w:tcBorders>
            <w:shd w:val="clear" w:color="auto" w:fill="auto"/>
            <w:noWrap/>
            <w:vAlign w:val="center"/>
            <w:hideMark/>
          </w:tcPr>
          <w:p w14:paraId="19485AE8" w14:textId="77777777" w:rsidR="00140D80" w:rsidRPr="00140D80" w:rsidRDefault="00140D80" w:rsidP="007E51A1">
            <w:pPr>
              <w:jc w:val="center"/>
              <w:rPr>
                <w:rFonts w:cs="Arial"/>
                <w:b/>
                <w:bCs/>
                <w:color w:val="000000"/>
                <w:sz w:val="20"/>
                <w:szCs w:val="20"/>
              </w:rPr>
            </w:pPr>
            <w:r w:rsidRPr="00140D80">
              <w:rPr>
                <w:rFonts w:cs="Arial"/>
                <w:b/>
                <w:bCs/>
                <w:color w:val="000000"/>
                <w:sz w:val="20"/>
                <w:szCs w:val="20"/>
              </w:rPr>
              <w:t>84,46</w:t>
            </w:r>
          </w:p>
        </w:tc>
        <w:tc>
          <w:tcPr>
            <w:tcW w:w="1294" w:type="pct"/>
            <w:tcBorders>
              <w:top w:val="single" w:sz="4" w:space="0" w:color="auto"/>
              <w:left w:val="nil"/>
              <w:bottom w:val="single" w:sz="4" w:space="0" w:color="auto"/>
              <w:right w:val="nil"/>
            </w:tcBorders>
            <w:shd w:val="clear" w:color="auto" w:fill="auto"/>
            <w:noWrap/>
            <w:vAlign w:val="center"/>
            <w:hideMark/>
          </w:tcPr>
          <w:p w14:paraId="07D4274A" w14:textId="77777777" w:rsidR="00140D80" w:rsidRPr="00140D80" w:rsidRDefault="00140D80" w:rsidP="007E51A1">
            <w:pPr>
              <w:jc w:val="center"/>
              <w:rPr>
                <w:rFonts w:cs="Arial"/>
                <w:b/>
                <w:bCs/>
                <w:color w:val="000000"/>
                <w:sz w:val="20"/>
                <w:szCs w:val="20"/>
              </w:rPr>
            </w:pPr>
            <w:r w:rsidRPr="00140D80">
              <w:rPr>
                <w:rFonts w:cs="Arial"/>
                <w:b/>
                <w:bCs/>
                <w:color w:val="000000"/>
                <w:sz w:val="20"/>
                <w:szCs w:val="20"/>
              </w:rPr>
              <w:t>84,53</w:t>
            </w:r>
          </w:p>
        </w:tc>
      </w:tr>
    </w:tbl>
    <w:p w14:paraId="58E7E9CD" w14:textId="77777777" w:rsidR="00140D80" w:rsidRPr="00253D20" w:rsidRDefault="00140D80" w:rsidP="00140D80">
      <w:pPr>
        <w:pStyle w:val="1-FONTE8ESQ"/>
      </w:pPr>
      <w:r w:rsidRPr="00253D20">
        <w:t xml:space="preserve">Fonte: </w:t>
      </w:r>
      <w:r w:rsidRPr="00253D20">
        <w:rPr>
          <w:i/>
        </w:rPr>
        <w:t>Business Objects</w:t>
      </w:r>
    </w:p>
    <w:p w14:paraId="540145B2" w14:textId="77777777" w:rsidR="00140D80" w:rsidRPr="000B11F7" w:rsidRDefault="00140D80" w:rsidP="00140D80">
      <w:pPr>
        <w:pStyle w:val="1-REL11"/>
      </w:pPr>
      <w:r>
        <w:t xml:space="preserve">Em conformidade com a legislação, 16,49% da despesa empenhada na Função Saúde não pode ser considerada como ASPS para fins de cálculo do cumprimento da aplicação mínima de </w:t>
      </w:r>
      <w:r w:rsidRPr="000B11F7">
        <w:t>recursos em saúde.</w:t>
      </w:r>
    </w:p>
    <w:p w14:paraId="4FDBB0E7" w14:textId="02A27041" w:rsidR="00140D80" w:rsidRDefault="00140D80" w:rsidP="00140D80">
      <w:pPr>
        <w:pStyle w:val="1-REL11"/>
      </w:pPr>
      <w:r w:rsidRPr="000B11F7">
        <w:t>A despesa executada com ASPS por subfunção está apresentada na tabela abaixo:</w:t>
      </w:r>
    </w:p>
    <w:p w14:paraId="2CB9261C" w14:textId="77777777" w:rsidR="00317620" w:rsidRPr="00696441" w:rsidRDefault="00317620" w:rsidP="00140D80">
      <w:pPr>
        <w:pStyle w:val="1-REL11"/>
      </w:pPr>
    </w:p>
    <w:p w14:paraId="3A1E75B2" w14:textId="77777777" w:rsidR="00140D80" w:rsidRPr="00696441" w:rsidRDefault="00140D80" w:rsidP="00736A8C">
      <w:pPr>
        <w:pStyle w:val="0-TABELA"/>
        <w:numPr>
          <w:ilvl w:val="0"/>
          <w:numId w:val="53"/>
        </w:numPr>
        <w:tabs>
          <w:tab w:val="clear" w:pos="1560"/>
          <w:tab w:val="left" w:pos="1134"/>
        </w:tabs>
        <w:spacing w:before="0" w:after="0"/>
        <w:ind w:left="0" w:firstLine="0"/>
      </w:pPr>
      <w:bookmarkStart w:id="340" w:name="_Toc167871808"/>
      <w:r>
        <w:lastRenderedPageBreak/>
        <w:t xml:space="preserve">Despesa com </w:t>
      </w:r>
      <w:r w:rsidRPr="00696441">
        <w:t>ASPS por Subfunção</w:t>
      </w:r>
      <w:bookmarkEnd w:id="340"/>
    </w:p>
    <w:p w14:paraId="3D95F718" w14:textId="77777777" w:rsidR="00140D80" w:rsidRPr="00253D20" w:rsidRDefault="00140D80" w:rsidP="00140D80">
      <w:pPr>
        <w:pStyle w:val="0-EmR1"/>
      </w:pPr>
      <w:r w:rsidRPr="00253D20">
        <w:t>R$ 1</w:t>
      </w:r>
    </w:p>
    <w:tbl>
      <w:tblPr>
        <w:tblW w:w="5000" w:type="pct"/>
        <w:tblCellMar>
          <w:left w:w="70" w:type="dxa"/>
          <w:right w:w="70" w:type="dxa"/>
        </w:tblCellMar>
        <w:tblLook w:val="04A0" w:firstRow="1" w:lastRow="0" w:firstColumn="1" w:lastColumn="0" w:noHBand="0" w:noVBand="1"/>
      </w:tblPr>
      <w:tblGrid>
        <w:gridCol w:w="4661"/>
        <w:gridCol w:w="1564"/>
        <w:gridCol w:w="1564"/>
        <w:gridCol w:w="1564"/>
      </w:tblGrid>
      <w:tr w:rsidR="00140D80" w:rsidRPr="003325A2" w14:paraId="79F666EB" w14:textId="77777777" w:rsidTr="0082565C">
        <w:trPr>
          <w:trHeight w:val="340"/>
          <w:tblHeader/>
        </w:trPr>
        <w:tc>
          <w:tcPr>
            <w:tcW w:w="2492" w:type="pct"/>
            <w:tcBorders>
              <w:top w:val="single" w:sz="4" w:space="0" w:color="auto"/>
              <w:left w:val="nil"/>
              <w:bottom w:val="single" w:sz="4" w:space="0" w:color="auto"/>
              <w:right w:val="nil"/>
            </w:tcBorders>
            <w:shd w:val="clear" w:color="000000" w:fill="A1F2FD"/>
            <w:noWrap/>
            <w:tcMar>
              <w:top w:w="28" w:type="dxa"/>
              <w:bottom w:w="28" w:type="dxa"/>
            </w:tcMar>
            <w:vAlign w:val="center"/>
            <w:hideMark/>
          </w:tcPr>
          <w:p w14:paraId="3D352DDC" w14:textId="77777777" w:rsidR="00140D80" w:rsidRPr="003325A2" w:rsidRDefault="00140D80" w:rsidP="007E51A1">
            <w:pPr>
              <w:jc w:val="center"/>
              <w:rPr>
                <w:rFonts w:cs="Arial"/>
                <w:b/>
                <w:bCs/>
                <w:color w:val="000000"/>
                <w:sz w:val="20"/>
                <w:szCs w:val="20"/>
              </w:rPr>
            </w:pPr>
            <w:r w:rsidRPr="003325A2">
              <w:rPr>
                <w:rFonts w:cs="Arial"/>
                <w:b/>
                <w:bCs/>
                <w:color w:val="000000"/>
                <w:sz w:val="20"/>
                <w:szCs w:val="20"/>
              </w:rPr>
              <w:t>Subfunção</w:t>
            </w:r>
          </w:p>
        </w:tc>
        <w:tc>
          <w:tcPr>
            <w:tcW w:w="836" w:type="pct"/>
            <w:tcBorders>
              <w:top w:val="single" w:sz="4" w:space="0" w:color="auto"/>
              <w:left w:val="single" w:sz="4" w:space="0" w:color="auto"/>
              <w:bottom w:val="single" w:sz="4" w:space="0" w:color="auto"/>
              <w:right w:val="single" w:sz="4" w:space="0" w:color="auto"/>
            </w:tcBorders>
            <w:shd w:val="clear" w:color="000000" w:fill="A1F2FD"/>
            <w:noWrap/>
            <w:tcMar>
              <w:top w:w="28" w:type="dxa"/>
              <w:bottom w:w="28" w:type="dxa"/>
            </w:tcMar>
            <w:vAlign w:val="center"/>
            <w:hideMark/>
          </w:tcPr>
          <w:p w14:paraId="3C2D181B" w14:textId="77777777" w:rsidR="00140D80" w:rsidRPr="003325A2" w:rsidRDefault="00140D80" w:rsidP="007E51A1">
            <w:pPr>
              <w:jc w:val="center"/>
              <w:rPr>
                <w:rFonts w:cs="Arial"/>
                <w:b/>
                <w:bCs/>
                <w:color w:val="000000"/>
                <w:sz w:val="20"/>
                <w:szCs w:val="20"/>
              </w:rPr>
            </w:pPr>
            <w:r w:rsidRPr="003325A2">
              <w:rPr>
                <w:rFonts w:cs="Arial"/>
                <w:b/>
                <w:bCs/>
                <w:color w:val="000000"/>
                <w:sz w:val="20"/>
                <w:szCs w:val="20"/>
              </w:rPr>
              <w:t>Empenhado</w:t>
            </w:r>
          </w:p>
        </w:tc>
        <w:tc>
          <w:tcPr>
            <w:tcW w:w="836" w:type="pct"/>
            <w:tcBorders>
              <w:top w:val="single" w:sz="4" w:space="0" w:color="auto"/>
              <w:left w:val="nil"/>
              <w:bottom w:val="single" w:sz="4" w:space="0" w:color="auto"/>
              <w:right w:val="single" w:sz="4" w:space="0" w:color="auto"/>
            </w:tcBorders>
            <w:shd w:val="clear" w:color="000000" w:fill="A1F2FD"/>
            <w:noWrap/>
            <w:tcMar>
              <w:top w:w="28" w:type="dxa"/>
              <w:bottom w:w="28" w:type="dxa"/>
            </w:tcMar>
            <w:vAlign w:val="center"/>
            <w:hideMark/>
          </w:tcPr>
          <w:p w14:paraId="29028CB7" w14:textId="77777777" w:rsidR="00140D80" w:rsidRPr="003325A2" w:rsidRDefault="00140D80" w:rsidP="007E51A1">
            <w:pPr>
              <w:jc w:val="center"/>
              <w:rPr>
                <w:rFonts w:cs="Arial"/>
                <w:b/>
                <w:bCs/>
                <w:color w:val="000000"/>
                <w:sz w:val="20"/>
                <w:szCs w:val="20"/>
              </w:rPr>
            </w:pPr>
            <w:r w:rsidRPr="003325A2">
              <w:rPr>
                <w:rFonts w:cs="Arial"/>
                <w:b/>
                <w:bCs/>
                <w:color w:val="000000"/>
                <w:sz w:val="20"/>
                <w:szCs w:val="20"/>
              </w:rPr>
              <w:t>Liquidado</w:t>
            </w:r>
          </w:p>
        </w:tc>
        <w:tc>
          <w:tcPr>
            <w:tcW w:w="836" w:type="pct"/>
            <w:tcBorders>
              <w:top w:val="single" w:sz="4" w:space="0" w:color="auto"/>
              <w:left w:val="nil"/>
              <w:bottom w:val="single" w:sz="4" w:space="0" w:color="auto"/>
            </w:tcBorders>
            <w:shd w:val="clear" w:color="000000" w:fill="A1F2FD"/>
            <w:noWrap/>
            <w:tcMar>
              <w:top w:w="28" w:type="dxa"/>
              <w:bottom w:w="28" w:type="dxa"/>
            </w:tcMar>
            <w:vAlign w:val="center"/>
            <w:hideMark/>
          </w:tcPr>
          <w:p w14:paraId="61DD1834" w14:textId="77777777" w:rsidR="00140D80" w:rsidRPr="003325A2" w:rsidRDefault="00140D80" w:rsidP="007E51A1">
            <w:pPr>
              <w:jc w:val="center"/>
              <w:rPr>
                <w:rFonts w:cs="Arial"/>
                <w:b/>
                <w:bCs/>
                <w:color w:val="000000"/>
                <w:sz w:val="20"/>
                <w:szCs w:val="20"/>
              </w:rPr>
            </w:pPr>
            <w:r w:rsidRPr="003325A2">
              <w:rPr>
                <w:rFonts w:cs="Arial"/>
                <w:b/>
                <w:bCs/>
                <w:color w:val="000000"/>
                <w:sz w:val="20"/>
                <w:szCs w:val="20"/>
              </w:rPr>
              <w:t>Pago</w:t>
            </w:r>
          </w:p>
        </w:tc>
      </w:tr>
      <w:tr w:rsidR="00140D80" w:rsidRPr="003325A2" w14:paraId="1FD5B7B3" w14:textId="77777777" w:rsidTr="0082565C">
        <w:trPr>
          <w:trHeight w:val="340"/>
        </w:trPr>
        <w:tc>
          <w:tcPr>
            <w:tcW w:w="2492" w:type="pct"/>
            <w:tcBorders>
              <w:top w:val="nil"/>
              <w:left w:val="nil"/>
              <w:bottom w:val="nil"/>
              <w:right w:val="nil"/>
            </w:tcBorders>
            <w:shd w:val="clear" w:color="auto" w:fill="auto"/>
            <w:noWrap/>
            <w:tcMar>
              <w:top w:w="28" w:type="dxa"/>
              <w:bottom w:w="28" w:type="dxa"/>
            </w:tcMar>
            <w:vAlign w:val="center"/>
            <w:hideMark/>
          </w:tcPr>
          <w:p w14:paraId="7CD73204" w14:textId="77777777" w:rsidR="00140D80" w:rsidRPr="003325A2" w:rsidRDefault="00140D80" w:rsidP="0082565C">
            <w:pPr>
              <w:ind w:left="67"/>
              <w:jc w:val="left"/>
              <w:rPr>
                <w:rFonts w:cs="Arial"/>
                <w:color w:val="000000"/>
                <w:sz w:val="20"/>
                <w:szCs w:val="20"/>
              </w:rPr>
            </w:pPr>
            <w:r w:rsidRPr="003325A2">
              <w:rPr>
                <w:rFonts w:cs="Arial"/>
                <w:color w:val="000000"/>
                <w:sz w:val="20"/>
                <w:szCs w:val="20"/>
              </w:rPr>
              <w:t>Assistência Hospitalar e Ambulatorial</w:t>
            </w:r>
          </w:p>
        </w:tc>
        <w:tc>
          <w:tcPr>
            <w:tcW w:w="836"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66A6ABFA" w14:textId="77777777" w:rsidR="00140D80" w:rsidRPr="003325A2" w:rsidRDefault="00140D80" w:rsidP="007E51A1">
            <w:pPr>
              <w:jc w:val="right"/>
              <w:rPr>
                <w:rFonts w:cs="Arial"/>
                <w:color w:val="000000"/>
                <w:sz w:val="20"/>
                <w:szCs w:val="20"/>
              </w:rPr>
            </w:pPr>
            <w:r w:rsidRPr="003325A2">
              <w:rPr>
                <w:rFonts w:cs="Arial"/>
                <w:color w:val="000000"/>
                <w:sz w:val="20"/>
                <w:szCs w:val="20"/>
              </w:rPr>
              <w:t>2.695.911.533</w:t>
            </w:r>
          </w:p>
        </w:tc>
        <w:tc>
          <w:tcPr>
            <w:tcW w:w="836" w:type="pct"/>
            <w:tcBorders>
              <w:top w:val="nil"/>
              <w:left w:val="nil"/>
              <w:bottom w:val="nil"/>
              <w:right w:val="single" w:sz="4" w:space="0" w:color="auto"/>
            </w:tcBorders>
            <w:shd w:val="clear" w:color="auto" w:fill="auto"/>
            <w:noWrap/>
            <w:tcMar>
              <w:top w:w="28" w:type="dxa"/>
              <w:bottom w:w="28" w:type="dxa"/>
            </w:tcMar>
            <w:vAlign w:val="center"/>
            <w:hideMark/>
          </w:tcPr>
          <w:p w14:paraId="23207EA6" w14:textId="77777777" w:rsidR="00140D80" w:rsidRPr="003325A2" w:rsidRDefault="00140D80" w:rsidP="007E51A1">
            <w:pPr>
              <w:jc w:val="right"/>
              <w:rPr>
                <w:rFonts w:cs="Arial"/>
                <w:color w:val="000000"/>
                <w:sz w:val="20"/>
                <w:szCs w:val="20"/>
              </w:rPr>
            </w:pPr>
            <w:r w:rsidRPr="003325A2">
              <w:rPr>
                <w:rFonts w:cs="Arial"/>
                <w:color w:val="000000"/>
                <w:sz w:val="20"/>
                <w:szCs w:val="20"/>
              </w:rPr>
              <w:t>2.547.792.682</w:t>
            </w:r>
          </w:p>
        </w:tc>
        <w:tc>
          <w:tcPr>
            <w:tcW w:w="836" w:type="pct"/>
            <w:tcBorders>
              <w:top w:val="nil"/>
              <w:left w:val="nil"/>
              <w:bottom w:val="nil"/>
            </w:tcBorders>
            <w:shd w:val="clear" w:color="auto" w:fill="auto"/>
            <w:noWrap/>
            <w:tcMar>
              <w:top w:w="28" w:type="dxa"/>
              <w:bottom w:w="28" w:type="dxa"/>
            </w:tcMar>
            <w:vAlign w:val="center"/>
            <w:hideMark/>
          </w:tcPr>
          <w:p w14:paraId="30A75E34" w14:textId="77777777" w:rsidR="00140D80" w:rsidRPr="003325A2" w:rsidRDefault="00140D80" w:rsidP="007E51A1">
            <w:pPr>
              <w:jc w:val="right"/>
              <w:rPr>
                <w:rFonts w:cs="Arial"/>
                <w:color w:val="000000"/>
                <w:sz w:val="20"/>
                <w:szCs w:val="20"/>
              </w:rPr>
            </w:pPr>
            <w:r w:rsidRPr="003325A2">
              <w:rPr>
                <w:rFonts w:cs="Arial"/>
                <w:color w:val="000000"/>
                <w:sz w:val="20"/>
                <w:szCs w:val="20"/>
              </w:rPr>
              <w:t>2.531.420.265</w:t>
            </w:r>
          </w:p>
        </w:tc>
      </w:tr>
      <w:tr w:rsidR="00140D80" w:rsidRPr="003325A2" w14:paraId="47CD95E4" w14:textId="77777777" w:rsidTr="0082565C">
        <w:trPr>
          <w:trHeight w:val="340"/>
        </w:trPr>
        <w:tc>
          <w:tcPr>
            <w:tcW w:w="2492" w:type="pct"/>
            <w:tcBorders>
              <w:top w:val="nil"/>
              <w:left w:val="nil"/>
              <w:bottom w:val="nil"/>
              <w:right w:val="nil"/>
            </w:tcBorders>
            <w:shd w:val="clear" w:color="auto" w:fill="auto"/>
            <w:noWrap/>
            <w:tcMar>
              <w:top w:w="28" w:type="dxa"/>
              <w:bottom w:w="28" w:type="dxa"/>
            </w:tcMar>
            <w:vAlign w:val="center"/>
            <w:hideMark/>
          </w:tcPr>
          <w:p w14:paraId="64F51A74" w14:textId="77777777" w:rsidR="00140D80" w:rsidRPr="003325A2" w:rsidRDefault="00140D80" w:rsidP="0082565C">
            <w:pPr>
              <w:ind w:left="67"/>
              <w:jc w:val="left"/>
              <w:rPr>
                <w:rFonts w:cs="Arial"/>
                <w:color w:val="000000"/>
                <w:sz w:val="20"/>
                <w:szCs w:val="20"/>
              </w:rPr>
            </w:pPr>
            <w:r w:rsidRPr="003325A2">
              <w:rPr>
                <w:rFonts w:cs="Arial"/>
                <w:color w:val="000000"/>
                <w:sz w:val="20"/>
                <w:szCs w:val="20"/>
              </w:rPr>
              <w:t>Administração Geral</w:t>
            </w:r>
          </w:p>
        </w:tc>
        <w:tc>
          <w:tcPr>
            <w:tcW w:w="836"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2A04B879" w14:textId="77777777" w:rsidR="00140D80" w:rsidRPr="003325A2" w:rsidRDefault="00140D80" w:rsidP="007E51A1">
            <w:pPr>
              <w:jc w:val="right"/>
              <w:rPr>
                <w:rFonts w:cs="Arial"/>
                <w:color w:val="000000"/>
                <w:sz w:val="20"/>
                <w:szCs w:val="20"/>
              </w:rPr>
            </w:pPr>
            <w:r w:rsidRPr="003325A2">
              <w:rPr>
                <w:rFonts w:cs="Arial"/>
                <w:color w:val="000000"/>
                <w:sz w:val="20"/>
                <w:szCs w:val="20"/>
              </w:rPr>
              <w:t>1.053.858.496</w:t>
            </w:r>
          </w:p>
        </w:tc>
        <w:tc>
          <w:tcPr>
            <w:tcW w:w="836" w:type="pct"/>
            <w:tcBorders>
              <w:top w:val="nil"/>
              <w:left w:val="nil"/>
              <w:bottom w:val="nil"/>
              <w:right w:val="single" w:sz="4" w:space="0" w:color="auto"/>
            </w:tcBorders>
            <w:shd w:val="clear" w:color="auto" w:fill="auto"/>
            <w:noWrap/>
            <w:tcMar>
              <w:top w:w="28" w:type="dxa"/>
              <w:bottom w:w="28" w:type="dxa"/>
            </w:tcMar>
            <w:vAlign w:val="center"/>
            <w:hideMark/>
          </w:tcPr>
          <w:p w14:paraId="1225B5C1" w14:textId="77777777" w:rsidR="00140D80" w:rsidRPr="003325A2" w:rsidRDefault="00140D80" w:rsidP="007E51A1">
            <w:pPr>
              <w:jc w:val="right"/>
              <w:rPr>
                <w:rFonts w:cs="Arial"/>
                <w:color w:val="000000"/>
                <w:sz w:val="20"/>
                <w:szCs w:val="20"/>
              </w:rPr>
            </w:pPr>
            <w:r w:rsidRPr="003325A2">
              <w:rPr>
                <w:rFonts w:cs="Arial"/>
                <w:color w:val="000000"/>
                <w:sz w:val="20"/>
                <w:szCs w:val="20"/>
              </w:rPr>
              <w:t>1.027.366.449</w:t>
            </w:r>
          </w:p>
        </w:tc>
        <w:tc>
          <w:tcPr>
            <w:tcW w:w="836" w:type="pct"/>
            <w:tcBorders>
              <w:top w:val="nil"/>
              <w:left w:val="nil"/>
              <w:bottom w:val="nil"/>
            </w:tcBorders>
            <w:shd w:val="clear" w:color="auto" w:fill="auto"/>
            <w:noWrap/>
            <w:tcMar>
              <w:top w:w="28" w:type="dxa"/>
              <w:bottom w:w="28" w:type="dxa"/>
            </w:tcMar>
            <w:vAlign w:val="center"/>
            <w:hideMark/>
          </w:tcPr>
          <w:p w14:paraId="4BBA5EA4" w14:textId="77777777" w:rsidR="00140D80" w:rsidRPr="003325A2" w:rsidRDefault="00140D80" w:rsidP="007E51A1">
            <w:pPr>
              <w:jc w:val="right"/>
              <w:rPr>
                <w:rFonts w:cs="Arial"/>
                <w:color w:val="000000"/>
                <w:sz w:val="20"/>
                <w:szCs w:val="20"/>
              </w:rPr>
            </w:pPr>
            <w:r w:rsidRPr="003325A2">
              <w:rPr>
                <w:rFonts w:cs="Arial"/>
                <w:color w:val="000000"/>
                <w:sz w:val="20"/>
                <w:szCs w:val="20"/>
              </w:rPr>
              <w:t>1.022.562.386</w:t>
            </w:r>
          </w:p>
        </w:tc>
      </w:tr>
      <w:tr w:rsidR="00140D80" w:rsidRPr="003325A2" w14:paraId="01D8A2FB" w14:textId="77777777" w:rsidTr="0082565C">
        <w:trPr>
          <w:trHeight w:val="340"/>
        </w:trPr>
        <w:tc>
          <w:tcPr>
            <w:tcW w:w="2492" w:type="pct"/>
            <w:tcBorders>
              <w:top w:val="nil"/>
              <w:left w:val="nil"/>
              <w:bottom w:val="nil"/>
              <w:right w:val="nil"/>
            </w:tcBorders>
            <w:shd w:val="clear" w:color="auto" w:fill="auto"/>
            <w:noWrap/>
            <w:tcMar>
              <w:top w:w="28" w:type="dxa"/>
              <w:bottom w:w="28" w:type="dxa"/>
            </w:tcMar>
            <w:vAlign w:val="center"/>
            <w:hideMark/>
          </w:tcPr>
          <w:p w14:paraId="34FC1D47" w14:textId="77777777" w:rsidR="00140D80" w:rsidRPr="003325A2" w:rsidRDefault="00140D80" w:rsidP="0082565C">
            <w:pPr>
              <w:ind w:left="67"/>
              <w:jc w:val="left"/>
              <w:rPr>
                <w:rFonts w:cs="Arial"/>
                <w:color w:val="000000"/>
                <w:sz w:val="20"/>
                <w:szCs w:val="20"/>
              </w:rPr>
            </w:pPr>
            <w:r w:rsidRPr="003325A2">
              <w:rPr>
                <w:rFonts w:cs="Arial"/>
                <w:color w:val="000000"/>
                <w:sz w:val="20"/>
                <w:szCs w:val="20"/>
              </w:rPr>
              <w:t>Suporte Profilático e Terapêutico</w:t>
            </w:r>
          </w:p>
        </w:tc>
        <w:tc>
          <w:tcPr>
            <w:tcW w:w="836"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46FBF147" w14:textId="77777777" w:rsidR="00140D80" w:rsidRPr="003325A2" w:rsidRDefault="00140D80" w:rsidP="007E51A1">
            <w:pPr>
              <w:jc w:val="right"/>
              <w:rPr>
                <w:rFonts w:cs="Arial"/>
                <w:color w:val="000000"/>
                <w:sz w:val="20"/>
                <w:szCs w:val="20"/>
              </w:rPr>
            </w:pPr>
            <w:r w:rsidRPr="003325A2">
              <w:rPr>
                <w:rFonts w:cs="Arial"/>
                <w:color w:val="000000"/>
                <w:sz w:val="20"/>
                <w:szCs w:val="20"/>
              </w:rPr>
              <w:t>263.463.130</w:t>
            </w:r>
          </w:p>
        </w:tc>
        <w:tc>
          <w:tcPr>
            <w:tcW w:w="836" w:type="pct"/>
            <w:tcBorders>
              <w:top w:val="nil"/>
              <w:left w:val="nil"/>
              <w:bottom w:val="nil"/>
              <w:right w:val="single" w:sz="4" w:space="0" w:color="auto"/>
            </w:tcBorders>
            <w:shd w:val="clear" w:color="auto" w:fill="auto"/>
            <w:noWrap/>
            <w:tcMar>
              <w:top w:w="28" w:type="dxa"/>
              <w:bottom w:w="28" w:type="dxa"/>
            </w:tcMar>
            <w:vAlign w:val="center"/>
            <w:hideMark/>
          </w:tcPr>
          <w:p w14:paraId="4A640B62" w14:textId="77777777" w:rsidR="00140D80" w:rsidRPr="003325A2" w:rsidRDefault="00140D80" w:rsidP="007E51A1">
            <w:pPr>
              <w:jc w:val="right"/>
              <w:rPr>
                <w:rFonts w:cs="Arial"/>
                <w:color w:val="000000"/>
                <w:sz w:val="20"/>
                <w:szCs w:val="20"/>
              </w:rPr>
            </w:pPr>
            <w:r w:rsidRPr="003325A2">
              <w:rPr>
                <w:rFonts w:cs="Arial"/>
                <w:color w:val="000000"/>
                <w:sz w:val="20"/>
                <w:szCs w:val="20"/>
              </w:rPr>
              <w:t>247.402.626</w:t>
            </w:r>
          </w:p>
        </w:tc>
        <w:tc>
          <w:tcPr>
            <w:tcW w:w="836" w:type="pct"/>
            <w:tcBorders>
              <w:top w:val="nil"/>
              <w:left w:val="nil"/>
              <w:bottom w:val="nil"/>
            </w:tcBorders>
            <w:shd w:val="clear" w:color="auto" w:fill="auto"/>
            <w:noWrap/>
            <w:tcMar>
              <w:top w:w="28" w:type="dxa"/>
              <w:bottom w:w="28" w:type="dxa"/>
            </w:tcMar>
            <w:vAlign w:val="center"/>
            <w:hideMark/>
          </w:tcPr>
          <w:p w14:paraId="7B15793A" w14:textId="77777777" w:rsidR="00140D80" w:rsidRPr="003325A2" w:rsidRDefault="00140D80" w:rsidP="007E51A1">
            <w:pPr>
              <w:jc w:val="right"/>
              <w:rPr>
                <w:rFonts w:cs="Arial"/>
                <w:color w:val="000000"/>
                <w:sz w:val="20"/>
                <w:szCs w:val="20"/>
              </w:rPr>
            </w:pPr>
            <w:r w:rsidRPr="003325A2">
              <w:rPr>
                <w:rFonts w:cs="Arial"/>
                <w:color w:val="000000"/>
                <w:sz w:val="20"/>
                <w:szCs w:val="20"/>
              </w:rPr>
              <w:t>244.642.894</w:t>
            </w:r>
          </w:p>
        </w:tc>
      </w:tr>
      <w:tr w:rsidR="00140D80" w:rsidRPr="003325A2" w14:paraId="3862099F" w14:textId="77777777" w:rsidTr="0082565C">
        <w:trPr>
          <w:trHeight w:val="340"/>
        </w:trPr>
        <w:tc>
          <w:tcPr>
            <w:tcW w:w="2492" w:type="pct"/>
            <w:tcBorders>
              <w:top w:val="nil"/>
              <w:left w:val="nil"/>
              <w:bottom w:val="nil"/>
              <w:right w:val="nil"/>
            </w:tcBorders>
            <w:shd w:val="clear" w:color="auto" w:fill="auto"/>
            <w:noWrap/>
            <w:tcMar>
              <w:top w:w="28" w:type="dxa"/>
              <w:bottom w:w="28" w:type="dxa"/>
            </w:tcMar>
            <w:vAlign w:val="center"/>
            <w:hideMark/>
          </w:tcPr>
          <w:p w14:paraId="6EF122DD" w14:textId="77777777" w:rsidR="00140D80" w:rsidRPr="003325A2" w:rsidRDefault="00140D80" w:rsidP="0082565C">
            <w:pPr>
              <w:ind w:left="67"/>
              <w:jc w:val="left"/>
              <w:rPr>
                <w:rFonts w:cs="Arial"/>
                <w:color w:val="000000"/>
                <w:sz w:val="20"/>
                <w:szCs w:val="20"/>
              </w:rPr>
            </w:pPr>
            <w:r w:rsidRPr="003325A2">
              <w:rPr>
                <w:rFonts w:cs="Arial"/>
                <w:color w:val="000000"/>
                <w:sz w:val="20"/>
                <w:szCs w:val="20"/>
              </w:rPr>
              <w:t>Atenção Básica</w:t>
            </w:r>
          </w:p>
        </w:tc>
        <w:tc>
          <w:tcPr>
            <w:tcW w:w="836"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33D37485" w14:textId="77777777" w:rsidR="00140D80" w:rsidRPr="003325A2" w:rsidRDefault="00140D80" w:rsidP="007E51A1">
            <w:pPr>
              <w:jc w:val="right"/>
              <w:rPr>
                <w:rFonts w:cs="Arial"/>
                <w:color w:val="000000"/>
                <w:sz w:val="20"/>
                <w:szCs w:val="20"/>
              </w:rPr>
            </w:pPr>
            <w:r w:rsidRPr="003325A2">
              <w:rPr>
                <w:rFonts w:cs="Arial"/>
                <w:color w:val="000000"/>
                <w:sz w:val="20"/>
                <w:szCs w:val="20"/>
              </w:rPr>
              <w:t>104.910.575</w:t>
            </w:r>
          </w:p>
        </w:tc>
        <w:tc>
          <w:tcPr>
            <w:tcW w:w="836" w:type="pct"/>
            <w:tcBorders>
              <w:top w:val="nil"/>
              <w:left w:val="nil"/>
              <w:bottom w:val="nil"/>
              <w:right w:val="single" w:sz="4" w:space="0" w:color="auto"/>
            </w:tcBorders>
            <w:shd w:val="clear" w:color="auto" w:fill="auto"/>
            <w:noWrap/>
            <w:tcMar>
              <w:top w:w="28" w:type="dxa"/>
              <w:bottom w:w="28" w:type="dxa"/>
            </w:tcMar>
            <w:vAlign w:val="center"/>
            <w:hideMark/>
          </w:tcPr>
          <w:p w14:paraId="5229E303" w14:textId="77777777" w:rsidR="00140D80" w:rsidRPr="003325A2" w:rsidRDefault="00140D80" w:rsidP="007E51A1">
            <w:pPr>
              <w:jc w:val="right"/>
              <w:rPr>
                <w:rFonts w:cs="Arial"/>
                <w:color w:val="000000"/>
                <w:sz w:val="20"/>
                <w:szCs w:val="20"/>
              </w:rPr>
            </w:pPr>
            <w:r w:rsidRPr="003325A2">
              <w:rPr>
                <w:rFonts w:cs="Arial"/>
                <w:color w:val="000000"/>
                <w:sz w:val="20"/>
                <w:szCs w:val="20"/>
              </w:rPr>
              <w:t>103.197.381</w:t>
            </w:r>
          </w:p>
        </w:tc>
        <w:tc>
          <w:tcPr>
            <w:tcW w:w="836" w:type="pct"/>
            <w:tcBorders>
              <w:top w:val="nil"/>
              <w:left w:val="nil"/>
              <w:bottom w:val="nil"/>
            </w:tcBorders>
            <w:shd w:val="clear" w:color="auto" w:fill="auto"/>
            <w:noWrap/>
            <w:tcMar>
              <w:top w:w="28" w:type="dxa"/>
              <w:bottom w:w="28" w:type="dxa"/>
            </w:tcMar>
            <w:vAlign w:val="center"/>
            <w:hideMark/>
          </w:tcPr>
          <w:p w14:paraId="2BF6DBFB" w14:textId="77777777" w:rsidR="00140D80" w:rsidRPr="003325A2" w:rsidRDefault="00140D80" w:rsidP="007E51A1">
            <w:pPr>
              <w:jc w:val="right"/>
              <w:rPr>
                <w:rFonts w:cs="Arial"/>
                <w:color w:val="000000"/>
                <w:sz w:val="20"/>
                <w:szCs w:val="20"/>
              </w:rPr>
            </w:pPr>
            <w:r w:rsidRPr="003325A2">
              <w:rPr>
                <w:rFonts w:cs="Arial"/>
                <w:color w:val="000000"/>
                <w:sz w:val="20"/>
                <w:szCs w:val="20"/>
              </w:rPr>
              <w:t>103.197.381</w:t>
            </w:r>
          </w:p>
        </w:tc>
      </w:tr>
      <w:tr w:rsidR="00140D80" w:rsidRPr="003325A2" w14:paraId="3DC87C12" w14:textId="77777777" w:rsidTr="0082565C">
        <w:trPr>
          <w:trHeight w:val="340"/>
        </w:trPr>
        <w:tc>
          <w:tcPr>
            <w:tcW w:w="2492" w:type="pct"/>
            <w:tcBorders>
              <w:top w:val="nil"/>
              <w:left w:val="nil"/>
              <w:bottom w:val="nil"/>
              <w:right w:val="nil"/>
            </w:tcBorders>
            <w:shd w:val="clear" w:color="auto" w:fill="auto"/>
            <w:noWrap/>
            <w:tcMar>
              <w:top w:w="28" w:type="dxa"/>
              <w:bottom w:w="28" w:type="dxa"/>
            </w:tcMar>
            <w:vAlign w:val="center"/>
            <w:hideMark/>
          </w:tcPr>
          <w:p w14:paraId="2417DFA5" w14:textId="77777777" w:rsidR="00140D80" w:rsidRPr="003325A2" w:rsidRDefault="00140D80" w:rsidP="0082565C">
            <w:pPr>
              <w:ind w:left="67"/>
              <w:jc w:val="left"/>
              <w:rPr>
                <w:rFonts w:cs="Arial"/>
                <w:color w:val="000000"/>
                <w:sz w:val="20"/>
                <w:szCs w:val="20"/>
              </w:rPr>
            </w:pPr>
            <w:r w:rsidRPr="003325A2">
              <w:rPr>
                <w:rFonts w:cs="Arial"/>
                <w:color w:val="000000"/>
                <w:sz w:val="20"/>
                <w:szCs w:val="20"/>
              </w:rPr>
              <w:t>Desenvolvimento Tecnológico e Engenharia</w:t>
            </w:r>
          </w:p>
        </w:tc>
        <w:tc>
          <w:tcPr>
            <w:tcW w:w="836"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42EB9056" w14:textId="3E54E661" w:rsidR="00140D80" w:rsidRPr="003325A2" w:rsidRDefault="00140D80" w:rsidP="007E51A1">
            <w:pPr>
              <w:jc w:val="right"/>
              <w:rPr>
                <w:rFonts w:cs="Arial"/>
                <w:color w:val="000000"/>
                <w:sz w:val="20"/>
                <w:szCs w:val="20"/>
              </w:rPr>
            </w:pPr>
            <w:r w:rsidRPr="003325A2">
              <w:rPr>
                <w:rFonts w:cs="Arial"/>
                <w:color w:val="000000"/>
                <w:sz w:val="20"/>
                <w:szCs w:val="20"/>
              </w:rPr>
              <w:t>39.747.055</w:t>
            </w:r>
          </w:p>
        </w:tc>
        <w:tc>
          <w:tcPr>
            <w:tcW w:w="836" w:type="pct"/>
            <w:tcBorders>
              <w:top w:val="nil"/>
              <w:left w:val="nil"/>
              <w:bottom w:val="nil"/>
              <w:right w:val="single" w:sz="4" w:space="0" w:color="auto"/>
            </w:tcBorders>
            <w:shd w:val="clear" w:color="auto" w:fill="auto"/>
            <w:noWrap/>
            <w:tcMar>
              <w:top w:w="28" w:type="dxa"/>
              <w:bottom w:w="28" w:type="dxa"/>
            </w:tcMar>
            <w:vAlign w:val="center"/>
            <w:hideMark/>
          </w:tcPr>
          <w:p w14:paraId="620D1373" w14:textId="77777777" w:rsidR="00140D80" w:rsidRPr="003325A2" w:rsidRDefault="00140D80" w:rsidP="007E51A1">
            <w:pPr>
              <w:jc w:val="right"/>
              <w:rPr>
                <w:rFonts w:cs="Arial"/>
                <w:color w:val="000000"/>
                <w:sz w:val="20"/>
                <w:szCs w:val="20"/>
              </w:rPr>
            </w:pPr>
            <w:r w:rsidRPr="003325A2">
              <w:rPr>
                <w:rFonts w:cs="Arial"/>
                <w:color w:val="000000"/>
                <w:sz w:val="20"/>
                <w:szCs w:val="20"/>
              </w:rPr>
              <w:t>30.318.861</w:t>
            </w:r>
          </w:p>
        </w:tc>
        <w:tc>
          <w:tcPr>
            <w:tcW w:w="836" w:type="pct"/>
            <w:tcBorders>
              <w:top w:val="nil"/>
              <w:left w:val="nil"/>
              <w:bottom w:val="nil"/>
            </w:tcBorders>
            <w:shd w:val="clear" w:color="auto" w:fill="auto"/>
            <w:noWrap/>
            <w:tcMar>
              <w:top w:w="28" w:type="dxa"/>
              <w:bottom w:w="28" w:type="dxa"/>
            </w:tcMar>
            <w:vAlign w:val="center"/>
            <w:hideMark/>
          </w:tcPr>
          <w:p w14:paraId="2AB0054F" w14:textId="77777777" w:rsidR="00140D80" w:rsidRPr="003325A2" w:rsidRDefault="00140D80" w:rsidP="007E51A1">
            <w:pPr>
              <w:jc w:val="right"/>
              <w:rPr>
                <w:rFonts w:cs="Arial"/>
                <w:color w:val="000000"/>
                <w:sz w:val="20"/>
                <w:szCs w:val="20"/>
              </w:rPr>
            </w:pPr>
            <w:r w:rsidRPr="003325A2">
              <w:rPr>
                <w:rFonts w:cs="Arial"/>
                <w:color w:val="000000"/>
                <w:sz w:val="20"/>
                <w:szCs w:val="20"/>
              </w:rPr>
              <w:t>30.036.004</w:t>
            </w:r>
          </w:p>
        </w:tc>
      </w:tr>
      <w:tr w:rsidR="00140D80" w:rsidRPr="003325A2" w14:paraId="3FC025BE" w14:textId="77777777" w:rsidTr="0082565C">
        <w:trPr>
          <w:trHeight w:val="340"/>
        </w:trPr>
        <w:tc>
          <w:tcPr>
            <w:tcW w:w="2492" w:type="pct"/>
            <w:tcBorders>
              <w:top w:val="nil"/>
              <w:left w:val="nil"/>
              <w:bottom w:val="nil"/>
              <w:right w:val="nil"/>
            </w:tcBorders>
            <w:shd w:val="clear" w:color="auto" w:fill="auto"/>
            <w:noWrap/>
            <w:tcMar>
              <w:top w:w="28" w:type="dxa"/>
              <w:bottom w:w="28" w:type="dxa"/>
            </w:tcMar>
            <w:vAlign w:val="center"/>
            <w:hideMark/>
          </w:tcPr>
          <w:p w14:paraId="4F4C863F" w14:textId="77777777" w:rsidR="00140D80" w:rsidRPr="003325A2" w:rsidRDefault="00140D80" w:rsidP="0082565C">
            <w:pPr>
              <w:ind w:left="67"/>
              <w:jc w:val="left"/>
              <w:rPr>
                <w:rFonts w:cs="Arial"/>
                <w:color w:val="000000"/>
                <w:sz w:val="20"/>
                <w:szCs w:val="20"/>
              </w:rPr>
            </w:pPr>
            <w:bookmarkStart w:id="341" w:name="_Hlk167813225"/>
            <w:r w:rsidRPr="003325A2">
              <w:rPr>
                <w:rFonts w:cs="Arial"/>
                <w:color w:val="000000"/>
                <w:sz w:val="20"/>
                <w:szCs w:val="20"/>
              </w:rPr>
              <w:t>Vigilância Epidemiológica</w:t>
            </w:r>
          </w:p>
        </w:tc>
        <w:tc>
          <w:tcPr>
            <w:tcW w:w="836"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45C6F235" w14:textId="77777777" w:rsidR="00140D80" w:rsidRPr="003325A2" w:rsidRDefault="00140D80" w:rsidP="007E51A1">
            <w:pPr>
              <w:jc w:val="right"/>
              <w:rPr>
                <w:rFonts w:cs="Arial"/>
                <w:color w:val="000000"/>
                <w:sz w:val="20"/>
                <w:szCs w:val="20"/>
              </w:rPr>
            </w:pPr>
            <w:r w:rsidRPr="003325A2">
              <w:rPr>
                <w:rFonts w:cs="Arial"/>
                <w:color w:val="000000"/>
                <w:sz w:val="20"/>
                <w:szCs w:val="20"/>
              </w:rPr>
              <w:t>25.202.541</w:t>
            </w:r>
          </w:p>
        </w:tc>
        <w:tc>
          <w:tcPr>
            <w:tcW w:w="836" w:type="pct"/>
            <w:tcBorders>
              <w:top w:val="nil"/>
              <w:left w:val="nil"/>
              <w:bottom w:val="nil"/>
              <w:right w:val="single" w:sz="4" w:space="0" w:color="auto"/>
            </w:tcBorders>
            <w:shd w:val="clear" w:color="auto" w:fill="auto"/>
            <w:noWrap/>
            <w:tcMar>
              <w:top w:w="28" w:type="dxa"/>
              <w:bottom w:w="28" w:type="dxa"/>
            </w:tcMar>
            <w:vAlign w:val="center"/>
            <w:hideMark/>
          </w:tcPr>
          <w:p w14:paraId="7C46B47D" w14:textId="77777777" w:rsidR="00140D80" w:rsidRPr="003325A2" w:rsidRDefault="00140D80" w:rsidP="007E51A1">
            <w:pPr>
              <w:jc w:val="right"/>
              <w:rPr>
                <w:rFonts w:cs="Arial"/>
                <w:color w:val="000000"/>
                <w:sz w:val="20"/>
                <w:szCs w:val="20"/>
              </w:rPr>
            </w:pPr>
            <w:r w:rsidRPr="003325A2">
              <w:rPr>
                <w:rFonts w:cs="Arial"/>
                <w:color w:val="000000"/>
                <w:sz w:val="20"/>
                <w:szCs w:val="20"/>
              </w:rPr>
              <w:t>11.767.290</w:t>
            </w:r>
          </w:p>
        </w:tc>
        <w:tc>
          <w:tcPr>
            <w:tcW w:w="836" w:type="pct"/>
            <w:tcBorders>
              <w:top w:val="nil"/>
              <w:left w:val="nil"/>
              <w:bottom w:val="nil"/>
            </w:tcBorders>
            <w:shd w:val="clear" w:color="auto" w:fill="auto"/>
            <w:noWrap/>
            <w:tcMar>
              <w:top w:w="28" w:type="dxa"/>
              <w:bottom w:w="28" w:type="dxa"/>
            </w:tcMar>
            <w:vAlign w:val="center"/>
            <w:hideMark/>
          </w:tcPr>
          <w:p w14:paraId="3F872C6D" w14:textId="77777777" w:rsidR="00140D80" w:rsidRPr="003325A2" w:rsidRDefault="00140D80" w:rsidP="007E51A1">
            <w:pPr>
              <w:jc w:val="right"/>
              <w:rPr>
                <w:rFonts w:cs="Arial"/>
                <w:color w:val="000000"/>
                <w:sz w:val="20"/>
                <w:szCs w:val="20"/>
              </w:rPr>
            </w:pPr>
            <w:r w:rsidRPr="003325A2">
              <w:rPr>
                <w:rFonts w:cs="Arial"/>
                <w:color w:val="000000"/>
                <w:sz w:val="20"/>
                <w:szCs w:val="20"/>
              </w:rPr>
              <w:t>11.767.290</w:t>
            </w:r>
          </w:p>
        </w:tc>
      </w:tr>
      <w:tr w:rsidR="00140D80" w:rsidRPr="003325A2" w14:paraId="79EE8ECD" w14:textId="77777777" w:rsidTr="0082565C">
        <w:trPr>
          <w:trHeight w:val="340"/>
        </w:trPr>
        <w:tc>
          <w:tcPr>
            <w:tcW w:w="2492" w:type="pct"/>
            <w:tcBorders>
              <w:top w:val="nil"/>
              <w:left w:val="nil"/>
              <w:bottom w:val="nil"/>
              <w:right w:val="nil"/>
            </w:tcBorders>
            <w:shd w:val="clear" w:color="auto" w:fill="auto"/>
            <w:noWrap/>
            <w:tcMar>
              <w:top w:w="28" w:type="dxa"/>
              <w:bottom w:w="28" w:type="dxa"/>
            </w:tcMar>
            <w:vAlign w:val="center"/>
            <w:hideMark/>
          </w:tcPr>
          <w:p w14:paraId="4974C330" w14:textId="77777777" w:rsidR="00140D80" w:rsidRPr="003325A2" w:rsidRDefault="00140D80" w:rsidP="0082565C">
            <w:pPr>
              <w:ind w:left="67"/>
              <w:jc w:val="left"/>
              <w:rPr>
                <w:rFonts w:cs="Arial"/>
                <w:color w:val="000000"/>
                <w:sz w:val="20"/>
                <w:szCs w:val="20"/>
              </w:rPr>
            </w:pPr>
            <w:r w:rsidRPr="003325A2">
              <w:rPr>
                <w:rFonts w:cs="Arial"/>
                <w:color w:val="000000"/>
                <w:sz w:val="20"/>
                <w:szCs w:val="20"/>
              </w:rPr>
              <w:t>Vigilância Sanitária</w:t>
            </w:r>
          </w:p>
        </w:tc>
        <w:tc>
          <w:tcPr>
            <w:tcW w:w="836"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1F70E820" w14:textId="77777777" w:rsidR="00140D80" w:rsidRPr="003325A2" w:rsidRDefault="00140D80" w:rsidP="007E51A1">
            <w:pPr>
              <w:jc w:val="right"/>
              <w:rPr>
                <w:rFonts w:cs="Arial"/>
                <w:color w:val="000000"/>
                <w:sz w:val="20"/>
                <w:szCs w:val="20"/>
              </w:rPr>
            </w:pPr>
            <w:r w:rsidRPr="003325A2">
              <w:rPr>
                <w:rFonts w:cs="Arial"/>
                <w:color w:val="000000"/>
                <w:sz w:val="20"/>
                <w:szCs w:val="20"/>
              </w:rPr>
              <w:t>4.437.300</w:t>
            </w:r>
          </w:p>
        </w:tc>
        <w:tc>
          <w:tcPr>
            <w:tcW w:w="836" w:type="pct"/>
            <w:tcBorders>
              <w:top w:val="nil"/>
              <w:left w:val="nil"/>
              <w:bottom w:val="nil"/>
              <w:right w:val="single" w:sz="4" w:space="0" w:color="auto"/>
            </w:tcBorders>
            <w:shd w:val="clear" w:color="auto" w:fill="auto"/>
            <w:noWrap/>
            <w:tcMar>
              <w:top w:w="28" w:type="dxa"/>
              <w:bottom w:w="28" w:type="dxa"/>
            </w:tcMar>
            <w:vAlign w:val="center"/>
            <w:hideMark/>
          </w:tcPr>
          <w:p w14:paraId="4985C561" w14:textId="77777777" w:rsidR="00140D80" w:rsidRPr="003325A2" w:rsidRDefault="00140D80" w:rsidP="007E51A1">
            <w:pPr>
              <w:jc w:val="right"/>
              <w:rPr>
                <w:rFonts w:cs="Arial"/>
                <w:color w:val="000000"/>
                <w:sz w:val="20"/>
                <w:szCs w:val="20"/>
              </w:rPr>
            </w:pPr>
            <w:r w:rsidRPr="003325A2">
              <w:rPr>
                <w:rFonts w:cs="Arial"/>
                <w:color w:val="000000"/>
                <w:sz w:val="20"/>
                <w:szCs w:val="20"/>
              </w:rPr>
              <w:t>4.437.300</w:t>
            </w:r>
          </w:p>
        </w:tc>
        <w:tc>
          <w:tcPr>
            <w:tcW w:w="836" w:type="pct"/>
            <w:tcBorders>
              <w:top w:val="nil"/>
              <w:left w:val="nil"/>
              <w:bottom w:val="nil"/>
            </w:tcBorders>
            <w:shd w:val="clear" w:color="auto" w:fill="auto"/>
            <w:noWrap/>
            <w:tcMar>
              <w:top w:w="28" w:type="dxa"/>
              <w:bottom w:w="28" w:type="dxa"/>
            </w:tcMar>
            <w:vAlign w:val="center"/>
            <w:hideMark/>
          </w:tcPr>
          <w:p w14:paraId="2BF1E518" w14:textId="77777777" w:rsidR="00140D80" w:rsidRPr="003325A2" w:rsidRDefault="00140D80" w:rsidP="007E51A1">
            <w:pPr>
              <w:jc w:val="right"/>
              <w:rPr>
                <w:rFonts w:cs="Arial"/>
                <w:color w:val="000000"/>
                <w:sz w:val="20"/>
                <w:szCs w:val="20"/>
              </w:rPr>
            </w:pPr>
            <w:r w:rsidRPr="003325A2">
              <w:rPr>
                <w:rFonts w:cs="Arial"/>
                <w:color w:val="000000"/>
                <w:sz w:val="20"/>
                <w:szCs w:val="20"/>
              </w:rPr>
              <w:t>4.437.300</w:t>
            </w:r>
          </w:p>
        </w:tc>
      </w:tr>
      <w:tr w:rsidR="00140D80" w:rsidRPr="003325A2" w14:paraId="263E4F83" w14:textId="77777777" w:rsidTr="0082565C">
        <w:trPr>
          <w:trHeight w:val="340"/>
        </w:trPr>
        <w:tc>
          <w:tcPr>
            <w:tcW w:w="2492" w:type="pct"/>
            <w:tcBorders>
              <w:top w:val="nil"/>
              <w:left w:val="nil"/>
              <w:bottom w:val="nil"/>
              <w:right w:val="nil"/>
            </w:tcBorders>
            <w:shd w:val="clear" w:color="auto" w:fill="auto"/>
            <w:noWrap/>
            <w:tcMar>
              <w:top w:w="28" w:type="dxa"/>
              <w:bottom w:w="28" w:type="dxa"/>
            </w:tcMar>
            <w:vAlign w:val="center"/>
            <w:hideMark/>
          </w:tcPr>
          <w:p w14:paraId="4FE93A72" w14:textId="77777777" w:rsidR="00140D80" w:rsidRPr="003325A2" w:rsidRDefault="00140D80" w:rsidP="0082565C">
            <w:pPr>
              <w:ind w:left="67"/>
              <w:jc w:val="left"/>
              <w:rPr>
                <w:rFonts w:cs="Arial"/>
                <w:color w:val="000000"/>
                <w:sz w:val="20"/>
                <w:szCs w:val="20"/>
              </w:rPr>
            </w:pPr>
            <w:r w:rsidRPr="003325A2">
              <w:rPr>
                <w:rFonts w:cs="Arial"/>
                <w:color w:val="000000"/>
                <w:sz w:val="20"/>
                <w:szCs w:val="20"/>
              </w:rPr>
              <w:t>Comunicação Social</w:t>
            </w:r>
          </w:p>
        </w:tc>
        <w:tc>
          <w:tcPr>
            <w:tcW w:w="836"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4173F783" w14:textId="77777777" w:rsidR="00140D80" w:rsidRPr="003325A2" w:rsidRDefault="00140D80" w:rsidP="007E51A1">
            <w:pPr>
              <w:jc w:val="right"/>
              <w:rPr>
                <w:rFonts w:cs="Arial"/>
                <w:color w:val="000000"/>
                <w:sz w:val="20"/>
                <w:szCs w:val="20"/>
              </w:rPr>
            </w:pPr>
            <w:r w:rsidRPr="003325A2">
              <w:rPr>
                <w:rFonts w:cs="Arial"/>
                <w:color w:val="000000"/>
                <w:sz w:val="20"/>
                <w:szCs w:val="20"/>
              </w:rPr>
              <w:t>535.739</w:t>
            </w:r>
          </w:p>
        </w:tc>
        <w:tc>
          <w:tcPr>
            <w:tcW w:w="836" w:type="pct"/>
            <w:tcBorders>
              <w:top w:val="nil"/>
              <w:left w:val="nil"/>
              <w:bottom w:val="nil"/>
              <w:right w:val="single" w:sz="4" w:space="0" w:color="auto"/>
            </w:tcBorders>
            <w:shd w:val="clear" w:color="auto" w:fill="auto"/>
            <w:noWrap/>
            <w:tcMar>
              <w:top w:w="28" w:type="dxa"/>
              <w:bottom w:w="28" w:type="dxa"/>
            </w:tcMar>
            <w:vAlign w:val="center"/>
            <w:hideMark/>
          </w:tcPr>
          <w:p w14:paraId="18EB3D1A" w14:textId="77777777" w:rsidR="00140D80" w:rsidRPr="003325A2" w:rsidRDefault="00140D80" w:rsidP="007E51A1">
            <w:pPr>
              <w:jc w:val="right"/>
              <w:rPr>
                <w:rFonts w:cs="Arial"/>
                <w:color w:val="000000"/>
                <w:sz w:val="20"/>
                <w:szCs w:val="20"/>
              </w:rPr>
            </w:pPr>
            <w:r w:rsidRPr="003325A2">
              <w:rPr>
                <w:rFonts w:cs="Arial"/>
                <w:color w:val="000000"/>
                <w:sz w:val="20"/>
                <w:szCs w:val="20"/>
              </w:rPr>
              <w:t>266.114</w:t>
            </w:r>
          </w:p>
        </w:tc>
        <w:tc>
          <w:tcPr>
            <w:tcW w:w="836" w:type="pct"/>
            <w:tcBorders>
              <w:top w:val="nil"/>
              <w:left w:val="nil"/>
              <w:bottom w:val="nil"/>
            </w:tcBorders>
            <w:shd w:val="clear" w:color="auto" w:fill="auto"/>
            <w:noWrap/>
            <w:tcMar>
              <w:top w:w="28" w:type="dxa"/>
              <w:bottom w:w="28" w:type="dxa"/>
            </w:tcMar>
            <w:vAlign w:val="center"/>
            <w:hideMark/>
          </w:tcPr>
          <w:p w14:paraId="1393C020" w14:textId="77777777" w:rsidR="00140D80" w:rsidRPr="003325A2" w:rsidRDefault="00140D80" w:rsidP="007E51A1">
            <w:pPr>
              <w:jc w:val="right"/>
              <w:rPr>
                <w:rFonts w:cs="Arial"/>
                <w:color w:val="000000"/>
                <w:sz w:val="20"/>
                <w:szCs w:val="20"/>
              </w:rPr>
            </w:pPr>
            <w:r w:rsidRPr="003325A2">
              <w:rPr>
                <w:rFonts w:cs="Arial"/>
                <w:color w:val="000000"/>
                <w:sz w:val="20"/>
                <w:szCs w:val="20"/>
              </w:rPr>
              <w:t>266.114</w:t>
            </w:r>
          </w:p>
        </w:tc>
      </w:tr>
      <w:tr w:rsidR="00140D80" w:rsidRPr="003325A2" w14:paraId="687AB495" w14:textId="77777777" w:rsidTr="0082565C">
        <w:trPr>
          <w:trHeight w:val="340"/>
        </w:trPr>
        <w:tc>
          <w:tcPr>
            <w:tcW w:w="2492" w:type="pct"/>
            <w:tcBorders>
              <w:top w:val="nil"/>
              <w:left w:val="nil"/>
              <w:bottom w:val="nil"/>
              <w:right w:val="nil"/>
            </w:tcBorders>
            <w:shd w:val="clear" w:color="auto" w:fill="auto"/>
            <w:noWrap/>
            <w:tcMar>
              <w:top w:w="28" w:type="dxa"/>
              <w:bottom w:w="28" w:type="dxa"/>
            </w:tcMar>
            <w:vAlign w:val="center"/>
            <w:hideMark/>
          </w:tcPr>
          <w:p w14:paraId="3F7D1DCC" w14:textId="77777777" w:rsidR="00140D80" w:rsidRPr="003325A2" w:rsidRDefault="00140D80" w:rsidP="0082565C">
            <w:pPr>
              <w:ind w:left="67"/>
              <w:jc w:val="left"/>
              <w:rPr>
                <w:rFonts w:cs="Arial"/>
                <w:color w:val="000000"/>
                <w:sz w:val="20"/>
                <w:szCs w:val="20"/>
              </w:rPr>
            </w:pPr>
            <w:r w:rsidRPr="003325A2">
              <w:rPr>
                <w:rFonts w:cs="Arial"/>
                <w:color w:val="000000"/>
                <w:sz w:val="20"/>
                <w:szCs w:val="20"/>
              </w:rPr>
              <w:t>Assistência Comunitária</w:t>
            </w:r>
          </w:p>
        </w:tc>
        <w:tc>
          <w:tcPr>
            <w:tcW w:w="836"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3DECE058" w14:textId="77777777" w:rsidR="00140D80" w:rsidRPr="003325A2" w:rsidRDefault="00140D80" w:rsidP="007E51A1">
            <w:pPr>
              <w:jc w:val="right"/>
              <w:rPr>
                <w:rFonts w:cs="Arial"/>
                <w:color w:val="000000"/>
                <w:sz w:val="20"/>
                <w:szCs w:val="20"/>
              </w:rPr>
            </w:pPr>
            <w:r w:rsidRPr="003325A2">
              <w:rPr>
                <w:rFonts w:cs="Arial"/>
                <w:color w:val="000000"/>
                <w:sz w:val="20"/>
                <w:szCs w:val="20"/>
              </w:rPr>
              <w:t>224.534</w:t>
            </w:r>
          </w:p>
        </w:tc>
        <w:tc>
          <w:tcPr>
            <w:tcW w:w="836" w:type="pct"/>
            <w:tcBorders>
              <w:top w:val="nil"/>
              <w:left w:val="nil"/>
              <w:bottom w:val="nil"/>
              <w:right w:val="single" w:sz="4" w:space="0" w:color="auto"/>
            </w:tcBorders>
            <w:shd w:val="clear" w:color="auto" w:fill="auto"/>
            <w:noWrap/>
            <w:tcMar>
              <w:top w:w="28" w:type="dxa"/>
              <w:bottom w:w="28" w:type="dxa"/>
            </w:tcMar>
            <w:vAlign w:val="center"/>
            <w:hideMark/>
          </w:tcPr>
          <w:p w14:paraId="43676384" w14:textId="77777777" w:rsidR="00140D80" w:rsidRPr="003325A2" w:rsidRDefault="00140D80" w:rsidP="007E51A1">
            <w:pPr>
              <w:jc w:val="right"/>
              <w:rPr>
                <w:rFonts w:cs="Arial"/>
                <w:color w:val="000000"/>
                <w:sz w:val="20"/>
                <w:szCs w:val="20"/>
              </w:rPr>
            </w:pPr>
            <w:r w:rsidRPr="003325A2">
              <w:rPr>
                <w:rFonts w:cs="Arial"/>
                <w:color w:val="000000"/>
                <w:sz w:val="20"/>
                <w:szCs w:val="20"/>
              </w:rPr>
              <w:t>224.534</w:t>
            </w:r>
          </w:p>
        </w:tc>
        <w:tc>
          <w:tcPr>
            <w:tcW w:w="836" w:type="pct"/>
            <w:tcBorders>
              <w:top w:val="nil"/>
              <w:left w:val="nil"/>
              <w:bottom w:val="nil"/>
            </w:tcBorders>
            <w:shd w:val="clear" w:color="auto" w:fill="auto"/>
            <w:noWrap/>
            <w:tcMar>
              <w:top w:w="28" w:type="dxa"/>
              <w:bottom w:w="28" w:type="dxa"/>
            </w:tcMar>
            <w:vAlign w:val="center"/>
            <w:hideMark/>
          </w:tcPr>
          <w:p w14:paraId="706186BB" w14:textId="77777777" w:rsidR="00140D80" w:rsidRPr="003325A2" w:rsidRDefault="00140D80" w:rsidP="007E51A1">
            <w:pPr>
              <w:jc w:val="right"/>
              <w:rPr>
                <w:rFonts w:cs="Arial"/>
                <w:color w:val="000000"/>
                <w:sz w:val="20"/>
                <w:szCs w:val="20"/>
              </w:rPr>
            </w:pPr>
            <w:r w:rsidRPr="003325A2">
              <w:rPr>
                <w:rFonts w:cs="Arial"/>
                <w:color w:val="000000"/>
                <w:sz w:val="20"/>
                <w:szCs w:val="20"/>
              </w:rPr>
              <w:t>224.534</w:t>
            </w:r>
          </w:p>
        </w:tc>
      </w:tr>
      <w:tr w:rsidR="00140D80" w:rsidRPr="003325A2" w14:paraId="3F0ED637" w14:textId="77777777" w:rsidTr="0082565C">
        <w:trPr>
          <w:trHeight w:val="340"/>
        </w:trPr>
        <w:tc>
          <w:tcPr>
            <w:tcW w:w="2492" w:type="pct"/>
            <w:tcBorders>
              <w:top w:val="nil"/>
              <w:left w:val="nil"/>
              <w:bottom w:val="nil"/>
              <w:right w:val="nil"/>
            </w:tcBorders>
            <w:shd w:val="clear" w:color="auto" w:fill="auto"/>
            <w:noWrap/>
            <w:tcMar>
              <w:top w:w="28" w:type="dxa"/>
              <w:bottom w:w="28" w:type="dxa"/>
            </w:tcMar>
            <w:vAlign w:val="center"/>
            <w:hideMark/>
          </w:tcPr>
          <w:p w14:paraId="466EB3B0" w14:textId="77777777" w:rsidR="00140D80" w:rsidRPr="003325A2" w:rsidRDefault="00140D80" w:rsidP="0082565C">
            <w:pPr>
              <w:ind w:left="67"/>
              <w:jc w:val="left"/>
              <w:rPr>
                <w:rFonts w:cs="Arial"/>
                <w:color w:val="000000"/>
                <w:sz w:val="20"/>
                <w:szCs w:val="20"/>
              </w:rPr>
            </w:pPr>
            <w:r w:rsidRPr="003325A2">
              <w:rPr>
                <w:rFonts w:cs="Arial"/>
                <w:color w:val="000000"/>
                <w:sz w:val="20"/>
                <w:szCs w:val="20"/>
              </w:rPr>
              <w:t>Formação de Recursos Humanos</w:t>
            </w:r>
          </w:p>
        </w:tc>
        <w:tc>
          <w:tcPr>
            <w:tcW w:w="836" w:type="pct"/>
            <w:tcBorders>
              <w:top w:val="nil"/>
              <w:left w:val="single" w:sz="4" w:space="0" w:color="auto"/>
              <w:bottom w:val="single" w:sz="4" w:space="0" w:color="auto"/>
              <w:right w:val="single" w:sz="4" w:space="0" w:color="auto"/>
            </w:tcBorders>
            <w:shd w:val="clear" w:color="auto" w:fill="auto"/>
            <w:noWrap/>
            <w:tcMar>
              <w:top w:w="28" w:type="dxa"/>
              <w:bottom w:w="28" w:type="dxa"/>
            </w:tcMar>
            <w:vAlign w:val="center"/>
            <w:hideMark/>
          </w:tcPr>
          <w:p w14:paraId="1FF02E92" w14:textId="77777777" w:rsidR="00140D80" w:rsidRPr="003325A2" w:rsidRDefault="00140D80" w:rsidP="007E51A1">
            <w:pPr>
              <w:jc w:val="right"/>
              <w:rPr>
                <w:rFonts w:cs="Arial"/>
                <w:color w:val="000000"/>
                <w:sz w:val="20"/>
                <w:szCs w:val="20"/>
              </w:rPr>
            </w:pPr>
            <w:r w:rsidRPr="003325A2">
              <w:rPr>
                <w:rFonts w:cs="Arial"/>
                <w:color w:val="000000"/>
                <w:sz w:val="20"/>
                <w:szCs w:val="20"/>
              </w:rPr>
              <w:t>61.987</w:t>
            </w:r>
          </w:p>
        </w:tc>
        <w:tc>
          <w:tcPr>
            <w:tcW w:w="836" w:type="pct"/>
            <w:tcBorders>
              <w:top w:val="nil"/>
              <w:left w:val="nil"/>
              <w:bottom w:val="single" w:sz="4" w:space="0" w:color="auto"/>
              <w:right w:val="single" w:sz="4" w:space="0" w:color="auto"/>
            </w:tcBorders>
            <w:shd w:val="clear" w:color="auto" w:fill="auto"/>
            <w:noWrap/>
            <w:tcMar>
              <w:top w:w="28" w:type="dxa"/>
              <w:bottom w:w="28" w:type="dxa"/>
            </w:tcMar>
            <w:vAlign w:val="center"/>
            <w:hideMark/>
          </w:tcPr>
          <w:p w14:paraId="5C376364" w14:textId="77777777" w:rsidR="00140D80" w:rsidRPr="003325A2" w:rsidRDefault="00140D80" w:rsidP="007E51A1">
            <w:pPr>
              <w:jc w:val="right"/>
              <w:rPr>
                <w:rFonts w:cs="Arial"/>
                <w:color w:val="000000"/>
                <w:sz w:val="20"/>
                <w:szCs w:val="20"/>
              </w:rPr>
            </w:pPr>
            <w:r w:rsidRPr="003325A2">
              <w:rPr>
                <w:rFonts w:cs="Arial"/>
                <w:color w:val="000000"/>
                <w:sz w:val="20"/>
                <w:szCs w:val="20"/>
              </w:rPr>
              <w:t>61.987</w:t>
            </w:r>
          </w:p>
        </w:tc>
        <w:tc>
          <w:tcPr>
            <w:tcW w:w="836" w:type="pct"/>
            <w:tcBorders>
              <w:top w:val="nil"/>
              <w:left w:val="nil"/>
              <w:bottom w:val="nil"/>
            </w:tcBorders>
            <w:shd w:val="clear" w:color="auto" w:fill="auto"/>
            <w:noWrap/>
            <w:tcMar>
              <w:top w:w="28" w:type="dxa"/>
              <w:bottom w:w="28" w:type="dxa"/>
            </w:tcMar>
            <w:vAlign w:val="center"/>
            <w:hideMark/>
          </w:tcPr>
          <w:p w14:paraId="53ECD0B0" w14:textId="77777777" w:rsidR="00140D80" w:rsidRPr="003325A2" w:rsidRDefault="00140D80" w:rsidP="007E51A1">
            <w:pPr>
              <w:jc w:val="right"/>
              <w:rPr>
                <w:rFonts w:cs="Arial"/>
                <w:color w:val="000000"/>
                <w:sz w:val="20"/>
                <w:szCs w:val="20"/>
              </w:rPr>
            </w:pPr>
            <w:r w:rsidRPr="003325A2">
              <w:rPr>
                <w:rFonts w:cs="Arial"/>
                <w:color w:val="000000"/>
                <w:sz w:val="20"/>
                <w:szCs w:val="20"/>
              </w:rPr>
              <w:t>61.987</w:t>
            </w:r>
          </w:p>
        </w:tc>
      </w:tr>
      <w:tr w:rsidR="00140D80" w:rsidRPr="003325A2" w14:paraId="38CC48B4" w14:textId="77777777" w:rsidTr="0082565C">
        <w:trPr>
          <w:trHeight w:val="340"/>
        </w:trPr>
        <w:tc>
          <w:tcPr>
            <w:tcW w:w="2492" w:type="pct"/>
            <w:tcBorders>
              <w:top w:val="single" w:sz="4" w:space="0" w:color="auto"/>
              <w:left w:val="nil"/>
              <w:bottom w:val="single" w:sz="4" w:space="0" w:color="auto"/>
              <w:right w:val="nil"/>
            </w:tcBorders>
            <w:shd w:val="clear" w:color="auto" w:fill="auto"/>
            <w:noWrap/>
            <w:tcMar>
              <w:top w:w="28" w:type="dxa"/>
              <w:bottom w:w="28" w:type="dxa"/>
            </w:tcMar>
            <w:vAlign w:val="center"/>
            <w:hideMark/>
          </w:tcPr>
          <w:p w14:paraId="373CD37F" w14:textId="77777777" w:rsidR="00140D80" w:rsidRPr="003325A2" w:rsidRDefault="00140D80" w:rsidP="007E51A1">
            <w:pPr>
              <w:jc w:val="center"/>
              <w:rPr>
                <w:rFonts w:cs="Arial"/>
                <w:b/>
                <w:bCs/>
                <w:color w:val="000000"/>
                <w:sz w:val="20"/>
                <w:szCs w:val="20"/>
              </w:rPr>
            </w:pPr>
            <w:r w:rsidRPr="003325A2">
              <w:rPr>
                <w:rFonts w:cs="Arial"/>
                <w:b/>
                <w:bCs/>
                <w:color w:val="000000"/>
                <w:sz w:val="20"/>
                <w:szCs w:val="20"/>
              </w:rPr>
              <w:t>Total</w:t>
            </w:r>
          </w:p>
        </w:tc>
        <w:tc>
          <w:tcPr>
            <w:tcW w:w="836" w:type="pct"/>
            <w:tcBorders>
              <w:top w:val="nil"/>
              <w:left w:val="single" w:sz="4" w:space="0" w:color="auto"/>
              <w:bottom w:val="single" w:sz="4" w:space="0" w:color="auto"/>
              <w:right w:val="single" w:sz="4" w:space="0" w:color="auto"/>
            </w:tcBorders>
            <w:shd w:val="clear" w:color="auto" w:fill="auto"/>
            <w:noWrap/>
            <w:tcMar>
              <w:top w:w="28" w:type="dxa"/>
              <w:bottom w:w="28" w:type="dxa"/>
            </w:tcMar>
            <w:vAlign w:val="center"/>
            <w:hideMark/>
          </w:tcPr>
          <w:p w14:paraId="338A8EF9" w14:textId="77777777" w:rsidR="00140D80" w:rsidRPr="003325A2" w:rsidRDefault="00140D80" w:rsidP="007E51A1">
            <w:pPr>
              <w:jc w:val="right"/>
              <w:rPr>
                <w:rFonts w:cs="Arial"/>
                <w:b/>
                <w:bCs/>
                <w:color w:val="000000"/>
                <w:sz w:val="20"/>
                <w:szCs w:val="20"/>
              </w:rPr>
            </w:pPr>
            <w:r w:rsidRPr="003325A2">
              <w:rPr>
                <w:rFonts w:cs="Arial"/>
                <w:b/>
                <w:bCs/>
                <w:color w:val="000000"/>
                <w:sz w:val="20"/>
                <w:szCs w:val="20"/>
              </w:rPr>
              <w:t>4.188.352.890</w:t>
            </w:r>
          </w:p>
        </w:tc>
        <w:tc>
          <w:tcPr>
            <w:tcW w:w="836" w:type="pct"/>
            <w:tcBorders>
              <w:top w:val="nil"/>
              <w:left w:val="nil"/>
              <w:bottom w:val="single" w:sz="4" w:space="0" w:color="auto"/>
              <w:right w:val="single" w:sz="4" w:space="0" w:color="auto"/>
            </w:tcBorders>
            <w:shd w:val="clear" w:color="auto" w:fill="auto"/>
            <w:noWrap/>
            <w:tcMar>
              <w:top w:w="28" w:type="dxa"/>
              <w:bottom w:w="28" w:type="dxa"/>
            </w:tcMar>
            <w:vAlign w:val="center"/>
            <w:hideMark/>
          </w:tcPr>
          <w:p w14:paraId="659BA625" w14:textId="77777777" w:rsidR="00140D80" w:rsidRPr="003325A2" w:rsidRDefault="00140D80" w:rsidP="007E51A1">
            <w:pPr>
              <w:jc w:val="right"/>
              <w:rPr>
                <w:rFonts w:cs="Arial"/>
                <w:b/>
                <w:bCs/>
                <w:color w:val="000000"/>
                <w:sz w:val="20"/>
                <w:szCs w:val="20"/>
              </w:rPr>
            </w:pPr>
            <w:r w:rsidRPr="003325A2">
              <w:rPr>
                <w:rFonts w:cs="Arial"/>
                <w:b/>
                <w:bCs/>
                <w:color w:val="000000"/>
                <w:sz w:val="20"/>
                <w:szCs w:val="20"/>
              </w:rPr>
              <w:t>3.972.835.224</w:t>
            </w:r>
          </w:p>
        </w:tc>
        <w:tc>
          <w:tcPr>
            <w:tcW w:w="836" w:type="pct"/>
            <w:tcBorders>
              <w:top w:val="single" w:sz="4" w:space="0" w:color="auto"/>
              <w:left w:val="nil"/>
              <w:bottom w:val="single" w:sz="4" w:space="0" w:color="auto"/>
            </w:tcBorders>
            <w:shd w:val="clear" w:color="auto" w:fill="auto"/>
            <w:noWrap/>
            <w:tcMar>
              <w:top w:w="28" w:type="dxa"/>
              <w:bottom w:w="28" w:type="dxa"/>
            </w:tcMar>
            <w:vAlign w:val="center"/>
            <w:hideMark/>
          </w:tcPr>
          <w:p w14:paraId="1F41C26B" w14:textId="77777777" w:rsidR="00140D80" w:rsidRPr="003325A2" w:rsidRDefault="00140D80" w:rsidP="007E51A1">
            <w:pPr>
              <w:jc w:val="right"/>
              <w:rPr>
                <w:rFonts w:cs="Arial"/>
                <w:b/>
                <w:bCs/>
                <w:color w:val="000000"/>
                <w:sz w:val="20"/>
                <w:szCs w:val="20"/>
              </w:rPr>
            </w:pPr>
            <w:r w:rsidRPr="003325A2">
              <w:rPr>
                <w:rFonts w:cs="Arial"/>
                <w:b/>
                <w:bCs/>
                <w:color w:val="000000"/>
                <w:sz w:val="20"/>
                <w:szCs w:val="20"/>
              </w:rPr>
              <w:t>3.948.616.155</w:t>
            </w:r>
          </w:p>
        </w:tc>
      </w:tr>
    </w:tbl>
    <w:bookmarkEnd w:id="338"/>
    <w:p w14:paraId="100E0653" w14:textId="77777777" w:rsidR="00140D80" w:rsidRPr="00253D20" w:rsidRDefault="00140D80" w:rsidP="00140D80">
      <w:pPr>
        <w:pStyle w:val="1-FONTE8ESQ"/>
      </w:pPr>
      <w:r w:rsidRPr="00253D20">
        <w:t xml:space="preserve">Fonte: </w:t>
      </w:r>
      <w:r w:rsidRPr="00253D20">
        <w:rPr>
          <w:i/>
        </w:rPr>
        <w:t>Business Objects</w:t>
      </w:r>
    </w:p>
    <w:p w14:paraId="051544F8" w14:textId="77777777" w:rsidR="00140D80" w:rsidRPr="00AF0BD3" w:rsidRDefault="00140D80" w:rsidP="00140D80">
      <w:pPr>
        <w:pStyle w:val="1-REL11"/>
      </w:pPr>
      <w:r w:rsidRPr="00AF0BD3">
        <w:t>Com base nos valores acima demonstrados, a subfunção Assistência Hospitalar e Ambulatorial é responsável por 64,37% dos gastos com ASPS, seguida da Administração Geral, que assume 25,16% das despesas executadas com ASPS.</w:t>
      </w:r>
    </w:p>
    <w:p w14:paraId="1C039505" w14:textId="77777777" w:rsidR="00140D80" w:rsidRDefault="00140D80" w:rsidP="00140D80">
      <w:pPr>
        <w:pStyle w:val="1-REL11"/>
      </w:pPr>
      <w:r w:rsidRPr="007F436A">
        <w:t>Já a despesa com ASPS por programa, foi assim executada:</w:t>
      </w:r>
    </w:p>
    <w:p w14:paraId="507899C3" w14:textId="77777777" w:rsidR="00140D80" w:rsidRPr="007F436A" w:rsidRDefault="00140D80" w:rsidP="00736A8C">
      <w:pPr>
        <w:pStyle w:val="0-TABELA"/>
        <w:numPr>
          <w:ilvl w:val="0"/>
          <w:numId w:val="53"/>
        </w:numPr>
        <w:tabs>
          <w:tab w:val="clear" w:pos="1560"/>
          <w:tab w:val="left" w:pos="1134"/>
        </w:tabs>
        <w:spacing w:before="0" w:after="0"/>
        <w:ind w:left="0" w:firstLine="0"/>
      </w:pPr>
      <w:bookmarkStart w:id="342" w:name="_Toc167871809"/>
      <w:r>
        <w:t xml:space="preserve">Despesa com </w:t>
      </w:r>
      <w:r w:rsidRPr="00696441">
        <w:t xml:space="preserve">ASPS por </w:t>
      </w:r>
      <w:r>
        <w:t>Programa</w:t>
      </w:r>
      <w:bookmarkEnd w:id="342"/>
    </w:p>
    <w:p w14:paraId="3DAFA97A" w14:textId="77777777" w:rsidR="00140D80" w:rsidRPr="00253D20" w:rsidRDefault="00140D80" w:rsidP="00140D80">
      <w:pPr>
        <w:pStyle w:val="0-EmR1"/>
      </w:pPr>
      <w:r w:rsidRPr="00253D20">
        <w:t>R$ 1</w:t>
      </w:r>
    </w:p>
    <w:tbl>
      <w:tblPr>
        <w:tblW w:w="5000" w:type="pct"/>
        <w:tblLayout w:type="fixed"/>
        <w:tblCellMar>
          <w:left w:w="70" w:type="dxa"/>
          <w:right w:w="70" w:type="dxa"/>
        </w:tblCellMar>
        <w:tblLook w:val="04A0" w:firstRow="1" w:lastRow="0" w:firstColumn="1" w:lastColumn="0" w:noHBand="0" w:noVBand="1"/>
      </w:tblPr>
      <w:tblGrid>
        <w:gridCol w:w="4679"/>
        <w:gridCol w:w="1558"/>
        <w:gridCol w:w="1560"/>
        <w:gridCol w:w="1556"/>
      </w:tblGrid>
      <w:tr w:rsidR="00140D80" w:rsidRPr="003325A2" w14:paraId="67F83EEB" w14:textId="77777777" w:rsidTr="005F54EB">
        <w:trPr>
          <w:trHeight w:val="340"/>
          <w:tblHeader/>
        </w:trPr>
        <w:tc>
          <w:tcPr>
            <w:tcW w:w="2501" w:type="pct"/>
            <w:tcBorders>
              <w:top w:val="single" w:sz="4" w:space="0" w:color="auto"/>
              <w:left w:val="nil"/>
              <w:bottom w:val="single" w:sz="4" w:space="0" w:color="auto"/>
              <w:right w:val="nil"/>
            </w:tcBorders>
            <w:shd w:val="clear" w:color="000000" w:fill="A1F2FD"/>
            <w:noWrap/>
            <w:tcMar>
              <w:top w:w="28" w:type="dxa"/>
              <w:bottom w:w="28" w:type="dxa"/>
            </w:tcMar>
            <w:vAlign w:val="center"/>
            <w:hideMark/>
          </w:tcPr>
          <w:p w14:paraId="17058CC8" w14:textId="77777777" w:rsidR="00140D80" w:rsidRPr="003325A2" w:rsidRDefault="00140D80" w:rsidP="007E51A1">
            <w:pPr>
              <w:jc w:val="center"/>
              <w:rPr>
                <w:rFonts w:cs="Arial"/>
                <w:b/>
                <w:bCs/>
                <w:color w:val="000000"/>
                <w:sz w:val="20"/>
                <w:szCs w:val="20"/>
              </w:rPr>
            </w:pPr>
            <w:r w:rsidRPr="003325A2">
              <w:rPr>
                <w:rFonts w:cs="Arial"/>
                <w:b/>
                <w:bCs/>
                <w:color w:val="000000"/>
                <w:sz w:val="20"/>
                <w:szCs w:val="20"/>
              </w:rPr>
              <w:t>Programa Nome</w:t>
            </w:r>
          </w:p>
        </w:tc>
        <w:tc>
          <w:tcPr>
            <w:tcW w:w="833" w:type="pct"/>
            <w:tcBorders>
              <w:top w:val="single" w:sz="4" w:space="0" w:color="auto"/>
              <w:left w:val="single" w:sz="4" w:space="0" w:color="auto"/>
              <w:bottom w:val="single" w:sz="4" w:space="0" w:color="auto"/>
              <w:right w:val="single" w:sz="4" w:space="0" w:color="auto"/>
            </w:tcBorders>
            <w:shd w:val="clear" w:color="000000" w:fill="A1F2FD"/>
            <w:noWrap/>
            <w:tcMar>
              <w:top w:w="28" w:type="dxa"/>
              <w:bottom w:w="28" w:type="dxa"/>
            </w:tcMar>
            <w:vAlign w:val="center"/>
            <w:hideMark/>
          </w:tcPr>
          <w:p w14:paraId="4AF697DE" w14:textId="77777777" w:rsidR="00140D80" w:rsidRPr="003325A2" w:rsidRDefault="00140D80" w:rsidP="007E51A1">
            <w:pPr>
              <w:jc w:val="center"/>
              <w:rPr>
                <w:rFonts w:cs="Arial"/>
                <w:b/>
                <w:bCs/>
                <w:color w:val="000000"/>
                <w:sz w:val="20"/>
                <w:szCs w:val="20"/>
              </w:rPr>
            </w:pPr>
            <w:r w:rsidRPr="003325A2">
              <w:rPr>
                <w:rFonts w:cs="Arial"/>
                <w:b/>
                <w:bCs/>
                <w:color w:val="000000"/>
                <w:sz w:val="20"/>
                <w:szCs w:val="20"/>
              </w:rPr>
              <w:t>Empenhado</w:t>
            </w:r>
          </w:p>
        </w:tc>
        <w:tc>
          <w:tcPr>
            <w:tcW w:w="834" w:type="pct"/>
            <w:tcBorders>
              <w:top w:val="single" w:sz="4" w:space="0" w:color="auto"/>
              <w:left w:val="single" w:sz="4" w:space="0" w:color="auto"/>
              <w:bottom w:val="single" w:sz="4" w:space="0" w:color="auto"/>
              <w:right w:val="single" w:sz="4" w:space="0" w:color="auto"/>
            </w:tcBorders>
            <w:shd w:val="clear" w:color="000000" w:fill="A1F2FD"/>
            <w:noWrap/>
            <w:tcMar>
              <w:top w:w="28" w:type="dxa"/>
              <w:bottom w:w="28" w:type="dxa"/>
            </w:tcMar>
            <w:vAlign w:val="center"/>
            <w:hideMark/>
          </w:tcPr>
          <w:p w14:paraId="712CF6DD" w14:textId="77777777" w:rsidR="00140D80" w:rsidRPr="003325A2" w:rsidRDefault="00140D80" w:rsidP="007E51A1">
            <w:pPr>
              <w:jc w:val="center"/>
              <w:rPr>
                <w:rFonts w:cs="Arial"/>
                <w:b/>
                <w:bCs/>
                <w:color w:val="000000"/>
                <w:sz w:val="20"/>
                <w:szCs w:val="20"/>
              </w:rPr>
            </w:pPr>
            <w:r w:rsidRPr="003325A2">
              <w:rPr>
                <w:rFonts w:cs="Arial"/>
                <w:b/>
                <w:bCs/>
                <w:color w:val="000000"/>
                <w:sz w:val="20"/>
                <w:szCs w:val="20"/>
              </w:rPr>
              <w:t>Liquidado</w:t>
            </w:r>
          </w:p>
        </w:tc>
        <w:tc>
          <w:tcPr>
            <w:tcW w:w="832" w:type="pct"/>
            <w:tcBorders>
              <w:top w:val="single" w:sz="4" w:space="0" w:color="auto"/>
              <w:left w:val="nil"/>
              <w:bottom w:val="single" w:sz="4" w:space="0" w:color="auto"/>
              <w:right w:val="nil"/>
            </w:tcBorders>
            <w:shd w:val="clear" w:color="000000" w:fill="A1F2FD"/>
            <w:noWrap/>
            <w:tcMar>
              <w:top w:w="28" w:type="dxa"/>
              <w:bottom w:w="28" w:type="dxa"/>
            </w:tcMar>
            <w:vAlign w:val="center"/>
            <w:hideMark/>
          </w:tcPr>
          <w:p w14:paraId="6507669B" w14:textId="77777777" w:rsidR="00140D80" w:rsidRPr="003325A2" w:rsidRDefault="00140D80" w:rsidP="007E51A1">
            <w:pPr>
              <w:jc w:val="center"/>
              <w:rPr>
                <w:rFonts w:cs="Arial"/>
                <w:b/>
                <w:bCs/>
                <w:color w:val="000000"/>
                <w:sz w:val="20"/>
                <w:szCs w:val="20"/>
              </w:rPr>
            </w:pPr>
            <w:r w:rsidRPr="003325A2">
              <w:rPr>
                <w:rFonts w:cs="Arial"/>
                <w:b/>
                <w:bCs/>
                <w:color w:val="000000"/>
                <w:sz w:val="20"/>
                <w:szCs w:val="20"/>
              </w:rPr>
              <w:t>Pago</w:t>
            </w:r>
          </w:p>
        </w:tc>
      </w:tr>
      <w:tr w:rsidR="00140D80" w:rsidRPr="003325A2" w14:paraId="4C5FD642" w14:textId="77777777" w:rsidTr="005F54EB">
        <w:trPr>
          <w:trHeight w:val="340"/>
        </w:trPr>
        <w:tc>
          <w:tcPr>
            <w:tcW w:w="2501" w:type="pct"/>
            <w:tcBorders>
              <w:top w:val="single" w:sz="4" w:space="0" w:color="auto"/>
              <w:left w:val="nil"/>
              <w:right w:val="single" w:sz="4" w:space="0" w:color="auto"/>
            </w:tcBorders>
            <w:shd w:val="clear" w:color="auto" w:fill="auto"/>
            <w:noWrap/>
            <w:tcMar>
              <w:top w:w="28" w:type="dxa"/>
              <w:bottom w:w="28" w:type="dxa"/>
            </w:tcMar>
            <w:vAlign w:val="center"/>
            <w:hideMark/>
          </w:tcPr>
          <w:p w14:paraId="3992ABD1" w14:textId="77777777" w:rsidR="00140D80" w:rsidRPr="003325A2" w:rsidRDefault="00140D80" w:rsidP="007E51A1">
            <w:pPr>
              <w:jc w:val="left"/>
              <w:rPr>
                <w:rFonts w:cs="Arial"/>
                <w:color w:val="333333"/>
                <w:sz w:val="20"/>
                <w:szCs w:val="20"/>
              </w:rPr>
            </w:pPr>
            <w:r w:rsidRPr="003325A2">
              <w:rPr>
                <w:rFonts w:cs="Arial"/>
                <w:color w:val="333333"/>
                <w:sz w:val="20"/>
                <w:szCs w:val="20"/>
              </w:rPr>
              <w:t>Saúde Integral [1043]</w:t>
            </w:r>
          </w:p>
        </w:tc>
        <w:tc>
          <w:tcPr>
            <w:tcW w:w="833"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4AD640B9" w14:textId="77777777" w:rsidR="00140D80" w:rsidRPr="003325A2" w:rsidRDefault="00140D80" w:rsidP="007E51A1">
            <w:pPr>
              <w:jc w:val="right"/>
              <w:rPr>
                <w:rFonts w:cs="Arial"/>
                <w:color w:val="000000"/>
                <w:sz w:val="20"/>
                <w:szCs w:val="20"/>
              </w:rPr>
            </w:pPr>
            <w:r w:rsidRPr="003325A2">
              <w:rPr>
                <w:rFonts w:cs="Arial"/>
                <w:color w:val="000000"/>
                <w:sz w:val="20"/>
                <w:szCs w:val="20"/>
              </w:rPr>
              <w:t>3.071.676.438</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187DE435" w14:textId="77777777" w:rsidR="00140D80" w:rsidRPr="003325A2" w:rsidRDefault="00140D80" w:rsidP="007E51A1">
            <w:pPr>
              <w:jc w:val="right"/>
              <w:rPr>
                <w:rFonts w:cs="Arial"/>
                <w:color w:val="000000"/>
                <w:sz w:val="20"/>
                <w:szCs w:val="20"/>
              </w:rPr>
            </w:pPr>
            <w:r w:rsidRPr="003325A2">
              <w:rPr>
                <w:rFonts w:cs="Arial"/>
                <w:color w:val="000000"/>
                <w:sz w:val="20"/>
                <w:szCs w:val="20"/>
              </w:rPr>
              <w:t>2.892.661.422</w:t>
            </w:r>
          </w:p>
        </w:tc>
        <w:tc>
          <w:tcPr>
            <w:tcW w:w="832" w:type="pct"/>
            <w:tcBorders>
              <w:top w:val="nil"/>
              <w:left w:val="nil"/>
              <w:bottom w:val="nil"/>
              <w:right w:val="nil"/>
            </w:tcBorders>
            <w:shd w:val="clear" w:color="auto" w:fill="auto"/>
            <w:noWrap/>
            <w:tcMar>
              <w:top w:w="28" w:type="dxa"/>
              <w:bottom w:w="28" w:type="dxa"/>
            </w:tcMar>
            <w:vAlign w:val="center"/>
            <w:hideMark/>
          </w:tcPr>
          <w:p w14:paraId="30A8876B" w14:textId="77777777" w:rsidR="00140D80" w:rsidRPr="003325A2" w:rsidRDefault="00140D80" w:rsidP="007E51A1">
            <w:pPr>
              <w:jc w:val="right"/>
              <w:rPr>
                <w:rFonts w:cs="Arial"/>
                <w:color w:val="000000"/>
                <w:sz w:val="20"/>
                <w:szCs w:val="20"/>
              </w:rPr>
            </w:pPr>
            <w:r w:rsidRPr="003325A2">
              <w:rPr>
                <w:rFonts w:cs="Arial"/>
                <w:color w:val="000000"/>
                <w:sz w:val="20"/>
                <w:szCs w:val="20"/>
              </w:rPr>
              <w:t>2.871.748.006</w:t>
            </w:r>
          </w:p>
        </w:tc>
      </w:tr>
      <w:tr w:rsidR="00140D80" w:rsidRPr="003325A2" w14:paraId="4768E0C8" w14:textId="77777777" w:rsidTr="005F54EB">
        <w:trPr>
          <w:trHeight w:val="340"/>
        </w:trPr>
        <w:tc>
          <w:tcPr>
            <w:tcW w:w="2501" w:type="pct"/>
            <w:tcBorders>
              <w:top w:val="nil"/>
              <w:left w:val="nil"/>
              <w:right w:val="single" w:sz="4" w:space="0" w:color="auto"/>
            </w:tcBorders>
            <w:shd w:val="clear" w:color="auto" w:fill="auto"/>
            <w:noWrap/>
            <w:tcMar>
              <w:top w:w="28" w:type="dxa"/>
              <w:bottom w:w="28" w:type="dxa"/>
            </w:tcMar>
            <w:vAlign w:val="center"/>
            <w:hideMark/>
          </w:tcPr>
          <w:p w14:paraId="13AB7945" w14:textId="77777777" w:rsidR="00140D80" w:rsidRPr="003325A2" w:rsidRDefault="00140D80" w:rsidP="007E51A1">
            <w:pPr>
              <w:jc w:val="left"/>
              <w:rPr>
                <w:rFonts w:cs="Arial"/>
                <w:color w:val="333333"/>
                <w:sz w:val="20"/>
                <w:szCs w:val="20"/>
              </w:rPr>
            </w:pPr>
            <w:r w:rsidRPr="003325A2">
              <w:rPr>
                <w:rFonts w:cs="Arial"/>
                <w:color w:val="333333"/>
                <w:sz w:val="20"/>
                <w:szCs w:val="20"/>
              </w:rPr>
              <w:t>Encargos da Folha de Pagamento dos Servidores Públicos [4100]</w:t>
            </w:r>
          </w:p>
        </w:tc>
        <w:tc>
          <w:tcPr>
            <w:tcW w:w="833"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345816FF" w14:textId="77777777" w:rsidR="00140D80" w:rsidRPr="003325A2" w:rsidRDefault="00140D80" w:rsidP="007E51A1">
            <w:pPr>
              <w:jc w:val="right"/>
              <w:rPr>
                <w:rFonts w:cs="Arial"/>
                <w:color w:val="000000"/>
                <w:sz w:val="20"/>
                <w:szCs w:val="20"/>
              </w:rPr>
            </w:pPr>
            <w:r w:rsidRPr="003325A2">
              <w:rPr>
                <w:rFonts w:cs="Arial"/>
                <w:color w:val="000000"/>
                <w:sz w:val="20"/>
                <w:szCs w:val="20"/>
              </w:rPr>
              <w:t>759.792.030</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327700B1" w14:textId="77777777" w:rsidR="00140D80" w:rsidRPr="003325A2" w:rsidRDefault="00140D80" w:rsidP="007E51A1">
            <w:pPr>
              <w:jc w:val="right"/>
              <w:rPr>
                <w:rFonts w:cs="Arial"/>
                <w:color w:val="000000"/>
                <w:sz w:val="20"/>
                <w:szCs w:val="20"/>
              </w:rPr>
            </w:pPr>
            <w:r w:rsidRPr="003325A2">
              <w:rPr>
                <w:rFonts w:cs="Arial"/>
                <w:color w:val="000000"/>
                <w:sz w:val="20"/>
                <w:szCs w:val="20"/>
              </w:rPr>
              <w:t>759.792.030</w:t>
            </w:r>
          </w:p>
        </w:tc>
        <w:tc>
          <w:tcPr>
            <w:tcW w:w="832" w:type="pct"/>
            <w:tcBorders>
              <w:top w:val="nil"/>
              <w:left w:val="nil"/>
              <w:bottom w:val="nil"/>
              <w:right w:val="nil"/>
            </w:tcBorders>
            <w:shd w:val="clear" w:color="auto" w:fill="auto"/>
            <w:noWrap/>
            <w:tcMar>
              <w:top w:w="28" w:type="dxa"/>
              <w:bottom w:w="28" w:type="dxa"/>
            </w:tcMar>
            <w:vAlign w:val="center"/>
            <w:hideMark/>
          </w:tcPr>
          <w:p w14:paraId="1A6247CA" w14:textId="77777777" w:rsidR="00140D80" w:rsidRPr="003325A2" w:rsidRDefault="00140D80" w:rsidP="007E51A1">
            <w:pPr>
              <w:jc w:val="right"/>
              <w:rPr>
                <w:rFonts w:cs="Arial"/>
                <w:color w:val="000000"/>
                <w:sz w:val="20"/>
                <w:szCs w:val="20"/>
              </w:rPr>
            </w:pPr>
            <w:r w:rsidRPr="003325A2">
              <w:rPr>
                <w:rFonts w:cs="Arial"/>
                <w:color w:val="000000"/>
                <w:sz w:val="20"/>
                <w:szCs w:val="20"/>
              </w:rPr>
              <w:t>759.780.944</w:t>
            </w:r>
          </w:p>
        </w:tc>
      </w:tr>
      <w:tr w:rsidR="00140D80" w:rsidRPr="003325A2" w14:paraId="0EED794F" w14:textId="77777777" w:rsidTr="005F54EB">
        <w:trPr>
          <w:trHeight w:val="340"/>
        </w:trPr>
        <w:tc>
          <w:tcPr>
            <w:tcW w:w="2501" w:type="pct"/>
            <w:tcBorders>
              <w:top w:val="nil"/>
              <w:left w:val="nil"/>
              <w:right w:val="single" w:sz="4" w:space="0" w:color="auto"/>
            </w:tcBorders>
            <w:shd w:val="clear" w:color="auto" w:fill="auto"/>
            <w:noWrap/>
            <w:tcMar>
              <w:top w:w="28" w:type="dxa"/>
              <w:bottom w:w="28" w:type="dxa"/>
            </w:tcMar>
            <w:vAlign w:val="center"/>
            <w:hideMark/>
          </w:tcPr>
          <w:p w14:paraId="1D842EAD" w14:textId="77777777" w:rsidR="00140D80" w:rsidRPr="003325A2" w:rsidRDefault="00140D80" w:rsidP="007E51A1">
            <w:pPr>
              <w:jc w:val="left"/>
              <w:rPr>
                <w:rFonts w:cs="Arial"/>
                <w:color w:val="333333"/>
                <w:sz w:val="20"/>
                <w:szCs w:val="20"/>
              </w:rPr>
            </w:pPr>
            <w:r w:rsidRPr="003325A2">
              <w:rPr>
                <w:rFonts w:cs="Arial"/>
                <w:color w:val="333333"/>
                <w:sz w:val="20"/>
                <w:szCs w:val="20"/>
              </w:rPr>
              <w:t>Tecnologia e Inteligência em Saúde [1022]</w:t>
            </w:r>
          </w:p>
        </w:tc>
        <w:tc>
          <w:tcPr>
            <w:tcW w:w="833"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72FF6A67" w14:textId="77777777" w:rsidR="00140D80" w:rsidRPr="003325A2" w:rsidRDefault="00140D80" w:rsidP="007E51A1">
            <w:pPr>
              <w:jc w:val="right"/>
              <w:rPr>
                <w:rFonts w:cs="Arial"/>
                <w:color w:val="000000"/>
                <w:sz w:val="20"/>
                <w:szCs w:val="20"/>
              </w:rPr>
            </w:pPr>
            <w:r w:rsidRPr="003325A2">
              <w:rPr>
                <w:rFonts w:cs="Arial"/>
                <w:color w:val="000000"/>
                <w:sz w:val="20"/>
                <w:szCs w:val="20"/>
              </w:rPr>
              <w:t>286.423.587</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4BA1DD2A" w14:textId="77777777" w:rsidR="00140D80" w:rsidRPr="003325A2" w:rsidRDefault="00140D80" w:rsidP="007E51A1">
            <w:pPr>
              <w:jc w:val="right"/>
              <w:rPr>
                <w:rFonts w:cs="Arial"/>
                <w:color w:val="000000"/>
                <w:sz w:val="20"/>
                <w:szCs w:val="20"/>
              </w:rPr>
            </w:pPr>
            <w:r w:rsidRPr="003325A2">
              <w:rPr>
                <w:rFonts w:cs="Arial"/>
                <w:color w:val="000000"/>
                <w:sz w:val="20"/>
                <w:szCs w:val="20"/>
              </w:rPr>
              <w:t>260.934.888</w:t>
            </w:r>
          </w:p>
        </w:tc>
        <w:tc>
          <w:tcPr>
            <w:tcW w:w="832" w:type="pct"/>
            <w:tcBorders>
              <w:top w:val="nil"/>
              <w:left w:val="nil"/>
              <w:bottom w:val="nil"/>
              <w:right w:val="nil"/>
            </w:tcBorders>
            <w:shd w:val="clear" w:color="auto" w:fill="auto"/>
            <w:noWrap/>
            <w:tcMar>
              <w:top w:w="28" w:type="dxa"/>
              <w:bottom w:w="28" w:type="dxa"/>
            </w:tcMar>
            <w:vAlign w:val="center"/>
            <w:hideMark/>
          </w:tcPr>
          <w:p w14:paraId="1BAE75E4" w14:textId="77777777" w:rsidR="00140D80" w:rsidRPr="003325A2" w:rsidRDefault="00140D80" w:rsidP="007E51A1">
            <w:pPr>
              <w:jc w:val="right"/>
              <w:rPr>
                <w:rFonts w:cs="Arial"/>
                <w:color w:val="000000"/>
                <w:sz w:val="20"/>
                <w:szCs w:val="20"/>
              </w:rPr>
            </w:pPr>
            <w:r w:rsidRPr="003325A2">
              <w:rPr>
                <w:rFonts w:cs="Arial"/>
                <w:color w:val="000000"/>
                <w:sz w:val="20"/>
                <w:szCs w:val="20"/>
              </w:rPr>
              <w:t>257.892.299</w:t>
            </w:r>
          </w:p>
        </w:tc>
      </w:tr>
      <w:tr w:rsidR="00140D80" w:rsidRPr="003325A2" w14:paraId="38BB28C0" w14:textId="77777777" w:rsidTr="005F54EB">
        <w:trPr>
          <w:trHeight w:val="340"/>
        </w:trPr>
        <w:tc>
          <w:tcPr>
            <w:tcW w:w="2501" w:type="pct"/>
            <w:tcBorders>
              <w:top w:val="nil"/>
              <w:left w:val="nil"/>
              <w:bottom w:val="single" w:sz="4" w:space="0" w:color="auto"/>
              <w:right w:val="single" w:sz="4" w:space="0" w:color="auto"/>
            </w:tcBorders>
            <w:shd w:val="clear" w:color="auto" w:fill="auto"/>
            <w:noWrap/>
            <w:tcMar>
              <w:top w:w="28" w:type="dxa"/>
              <w:bottom w:w="28" w:type="dxa"/>
            </w:tcMar>
            <w:vAlign w:val="center"/>
            <w:hideMark/>
          </w:tcPr>
          <w:p w14:paraId="47537822" w14:textId="77777777" w:rsidR="00140D80" w:rsidRPr="003325A2" w:rsidRDefault="00140D80" w:rsidP="007E51A1">
            <w:pPr>
              <w:jc w:val="left"/>
              <w:rPr>
                <w:rFonts w:cs="Arial"/>
                <w:color w:val="333333"/>
                <w:sz w:val="20"/>
                <w:szCs w:val="20"/>
              </w:rPr>
            </w:pPr>
            <w:r w:rsidRPr="003325A2">
              <w:rPr>
                <w:rFonts w:cs="Arial"/>
                <w:color w:val="333333"/>
                <w:sz w:val="20"/>
                <w:szCs w:val="20"/>
              </w:rPr>
              <w:t>Gestão e Manutenção [4200]</w:t>
            </w:r>
          </w:p>
        </w:tc>
        <w:tc>
          <w:tcPr>
            <w:tcW w:w="833"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68347F2D" w14:textId="77777777" w:rsidR="00140D80" w:rsidRPr="003325A2" w:rsidRDefault="00140D80" w:rsidP="007E51A1">
            <w:pPr>
              <w:jc w:val="right"/>
              <w:rPr>
                <w:rFonts w:cs="Arial"/>
                <w:color w:val="000000"/>
                <w:sz w:val="20"/>
                <w:szCs w:val="20"/>
              </w:rPr>
            </w:pPr>
            <w:r w:rsidRPr="003325A2">
              <w:rPr>
                <w:rFonts w:cs="Arial"/>
                <w:color w:val="000000"/>
                <w:sz w:val="20"/>
                <w:szCs w:val="20"/>
              </w:rPr>
              <w:t>70.460.835</w:t>
            </w:r>
          </w:p>
        </w:tc>
        <w:tc>
          <w:tcPr>
            <w:tcW w:w="834" w:type="pct"/>
            <w:tcBorders>
              <w:top w:val="nil"/>
              <w:left w:val="single" w:sz="4" w:space="0" w:color="auto"/>
              <w:bottom w:val="nil"/>
              <w:right w:val="single" w:sz="4" w:space="0" w:color="auto"/>
            </w:tcBorders>
            <w:shd w:val="clear" w:color="auto" w:fill="auto"/>
            <w:noWrap/>
            <w:tcMar>
              <w:top w:w="28" w:type="dxa"/>
              <w:bottom w:w="28" w:type="dxa"/>
            </w:tcMar>
            <w:vAlign w:val="center"/>
            <w:hideMark/>
          </w:tcPr>
          <w:p w14:paraId="40FFBE7C" w14:textId="77777777" w:rsidR="00140D80" w:rsidRPr="003325A2" w:rsidRDefault="00140D80" w:rsidP="007E51A1">
            <w:pPr>
              <w:jc w:val="right"/>
              <w:rPr>
                <w:rFonts w:cs="Arial"/>
                <w:color w:val="000000"/>
                <w:sz w:val="20"/>
                <w:szCs w:val="20"/>
              </w:rPr>
            </w:pPr>
            <w:r w:rsidRPr="003325A2">
              <w:rPr>
                <w:rFonts w:cs="Arial"/>
                <w:color w:val="000000"/>
                <w:sz w:val="20"/>
                <w:szCs w:val="20"/>
              </w:rPr>
              <w:t>59.446.883</w:t>
            </w:r>
          </w:p>
        </w:tc>
        <w:tc>
          <w:tcPr>
            <w:tcW w:w="832" w:type="pct"/>
            <w:tcBorders>
              <w:top w:val="nil"/>
              <w:left w:val="nil"/>
              <w:bottom w:val="nil"/>
              <w:right w:val="nil"/>
            </w:tcBorders>
            <w:shd w:val="clear" w:color="auto" w:fill="auto"/>
            <w:noWrap/>
            <w:tcMar>
              <w:top w:w="28" w:type="dxa"/>
              <w:bottom w:w="28" w:type="dxa"/>
            </w:tcMar>
            <w:vAlign w:val="center"/>
            <w:hideMark/>
          </w:tcPr>
          <w:p w14:paraId="2E3B6C6C" w14:textId="77777777" w:rsidR="00140D80" w:rsidRPr="003325A2" w:rsidRDefault="00140D80" w:rsidP="007E51A1">
            <w:pPr>
              <w:jc w:val="right"/>
              <w:rPr>
                <w:rFonts w:cs="Arial"/>
                <w:color w:val="000000"/>
                <w:sz w:val="20"/>
                <w:szCs w:val="20"/>
              </w:rPr>
            </w:pPr>
            <w:r w:rsidRPr="003325A2">
              <w:rPr>
                <w:rFonts w:cs="Arial"/>
                <w:color w:val="000000"/>
                <w:sz w:val="20"/>
                <w:szCs w:val="20"/>
              </w:rPr>
              <w:t>59.194.907</w:t>
            </w:r>
          </w:p>
        </w:tc>
      </w:tr>
      <w:tr w:rsidR="00140D80" w:rsidRPr="003325A2" w14:paraId="36A67ADA" w14:textId="77777777" w:rsidTr="005F54EB">
        <w:trPr>
          <w:trHeight w:val="340"/>
        </w:trPr>
        <w:tc>
          <w:tcPr>
            <w:tcW w:w="2501" w:type="pct"/>
            <w:tcBorders>
              <w:top w:val="single" w:sz="4" w:space="0" w:color="auto"/>
              <w:left w:val="nil"/>
              <w:bottom w:val="single" w:sz="4" w:space="0" w:color="auto"/>
              <w:right w:val="nil"/>
            </w:tcBorders>
            <w:shd w:val="clear" w:color="auto" w:fill="auto"/>
            <w:noWrap/>
            <w:tcMar>
              <w:top w:w="28" w:type="dxa"/>
              <w:bottom w:w="28" w:type="dxa"/>
            </w:tcMar>
            <w:vAlign w:val="center"/>
            <w:hideMark/>
          </w:tcPr>
          <w:p w14:paraId="7F172C75" w14:textId="77777777" w:rsidR="00140D80" w:rsidRPr="003325A2" w:rsidRDefault="00140D80" w:rsidP="007E51A1">
            <w:pPr>
              <w:jc w:val="center"/>
              <w:rPr>
                <w:rFonts w:cs="Arial"/>
                <w:b/>
                <w:bCs/>
                <w:color w:val="000000"/>
                <w:sz w:val="20"/>
                <w:szCs w:val="20"/>
              </w:rPr>
            </w:pPr>
            <w:r w:rsidRPr="003325A2">
              <w:rPr>
                <w:rFonts w:cs="Arial"/>
                <w:b/>
                <w:bCs/>
                <w:color w:val="000000"/>
                <w:sz w:val="20"/>
                <w:szCs w:val="20"/>
              </w:rPr>
              <w:t>Total</w:t>
            </w:r>
          </w:p>
        </w:tc>
        <w:tc>
          <w:tcPr>
            <w:tcW w:w="83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hideMark/>
          </w:tcPr>
          <w:p w14:paraId="3711751F" w14:textId="77777777" w:rsidR="00140D80" w:rsidRPr="003325A2" w:rsidRDefault="00140D80" w:rsidP="007E51A1">
            <w:pPr>
              <w:jc w:val="right"/>
              <w:rPr>
                <w:rFonts w:cs="Arial"/>
                <w:b/>
                <w:bCs/>
                <w:color w:val="000000"/>
                <w:sz w:val="20"/>
                <w:szCs w:val="20"/>
              </w:rPr>
            </w:pPr>
            <w:r w:rsidRPr="003325A2">
              <w:rPr>
                <w:rFonts w:cs="Arial"/>
                <w:b/>
                <w:bCs/>
                <w:color w:val="000000"/>
                <w:sz w:val="20"/>
                <w:szCs w:val="20"/>
              </w:rPr>
              <w:t>4.188.352.890</w:t>
            </w:r>
          </w:p>
        </w:tc>
        <w:tc>
          <w:tcPr>
            <w:tcW w:w="834"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hideMark/>
          </w:tcPr>
          <w:p w14:paraId="33C70067" w14:textId="77777777" w:rsidR="00140D80" w:rsidRPr="003325A2" w:rsidRDefault="00140D80" w:rsidP="007E51A1">
            <w:pPr>
              <w:jc w:val="right"/>
              <w:rPr>
                <w:rFonts w:cs="Arial"/>
                <w:b/>
                <w:bCs/>
                <w:color w:val="000000"/>
                <w:sz w:val="20"/>
                <w:szCs w:val="20"/>
              </w:rPr>
            </w:pPr>
            <w:r w:rsidRPr="003325A2">
              <w:rPr>
                <w:rFonts w:cs="Arial"/>
                <w:b/>
                <w:bCs/>
                <w:color w:val="000000"/>
                <w:sz w:val="20"/>
                <w:szCs w:val="20"/>
              </w:rPr>
              <w:t>3.972.835.224</w:t>
            </w:r>
          </w:p>
        </w:tc>
        <w:tc>
          <w:tcPr>
            <w:tcW w:w="832" w:type="pct"/>
            <w:tcBorders>
              <w:top w:val="single" w:sz="4" w:space="0" w:color="auto"/>
              <w:left w:val="nil"/>
              <w:bottom w:val="single" w:sz="4" w:space="0" w:color="auto"/>
              <w:right w:val="nil"/>
            </w:tcBorders>
            <w:shd w:val="clear" w:color="auto" w:fill="auto"/>
            <w:noWrap/>
            <w:tcMar>
              <w:top w:w="28" w:type="dxa"/>
              <w:bottom w:w="28" w:type="dxa"/>
            </w:tcMar>
            <w:vAlign w:val="center"/>
            <w:hideMark/>
          </w:tcPr>
          <w:p w14:paraId="74673699" w14:textId="77777777" w:rsidR="00140D80" w:rsidRPr="003325A2" w:rsidRDefault="00140D80" w:rsidP="007E51A1">
            <w:pPr>
              <w:jc w:val="right"/>
              <w:rPr>
                <w:rFonts w:cs="Arial"/>
                <w:b/>
                <w:bCs/>
                <w:color w:val="000000"/>
                <w:sz w:val="20"/>
                <w:szCs w:val="20"/>
              </w:rPr>
            </w:pPr>
            <w:r w:rsidRPr="003325A2">
              <w:rPr>
                <w:rFonts w:cs="Arial"/>
                <w:b/>
                <w:bCs/>
                <w:color w:val="000000"/>
                <w:sz w:val="20"/>
                <w:szCs w:val="20"/>
              </w:rPr>
              <w:t>3.948.616.155</w:t>
            </w:r>
          </w:p>
        </w:tc>
      </w:tr>
    </w:tbl>
    <w:p w14:paraId="2BC3CCFF" w14:textId="77777777" w:rsidR="00140D80" w:rsidRPr="00253D20" w:rsidRDefault="00140D80" w:rsidP="00140D80">
      <w:pPr>
        <w:pStyle w:val="1-FONTE8ESQ"/>
      </w:pPr>
      <w:r w:rsidRPr="00253D20">
        <w:t xml:space="preserve">Fonte: </w:t>
      </w:r>
      <w:r w:rsidRPr="00253D20">
        <w:rPr>
          <w:i/>
        </w:rPr>
        <w:t>Business Objects</w:t>
      </w:r>
    </w:p>
    <w:p w14:paraId="119C1746" w14:textId="77777777" w:rsidR="00140D80" w:rsidRDefault="00140D80" w:rsidP="00140D80">
      <w:pPr>
        <w:pStyle w:val="1-REL11"/>
      </w:pPr>
      <w:r w:rsidRPr="00E871B4">
        <w:t>O programa 1043 - Saúde Integral consumiu 73,34% dos dispêndios investidos em ASPS em 2023 e abarca o maior número de ações. Importante mencionar que dentro deste programa, a ação responsável por 54,07% dos recursos foi a 2149 - Atendimento Assistencial em Saúde, na qual estão incluídos a maior parte dos repasses para as OSs e OSCs.</w:t>
      </w:r>
    </w:p>
    <w:p w14:paraId="2C359A98" w14:textId="77777777" w:rsidR="00140D80" w:rsidRPr="00E871B4" w:rsidRDefault="00140D80" w:rsidP="00140D80">
      <w:pPr>
        <w:pStyle w:val="1-REL11"/>
      </w:pPr>
      <w:r>
        <w:t>O mesmo montante, por categoria econômica e grupo de despesa:</w:t>
      </w:r>
    </w:p>
    <w:p w14:paraId="1F787B9C" w14:textId="77777777" w:rsidR="00140D80" w:rsidRPr="00FD5C4E" w:rsidRDefault="00140D80" w:rsidP="00736A8C">
      <w:pPr>
        <w:pStyle w:val="0-TABELA"/>
        <w:numPr>
          <w:ilvl w:val="0"/>
          <w:numId w:val="53"/>
        </w:numPr>
        <w:tabs>
          <w:tab w:val="clear" w:pos="1560"/>
          <w:tab w:val="left" w:pos="1134"/>
        </w:tabs>
        <w:spacing w:before="0" w:after="0"/>
        <w:ind w:left="0" w:firstLine="0"/>
      </w:pPr>
      <w:bookmarkStart w:id="343" w:name="_Toc167871810"/>
      <w:r w:rsidRPr="00FD5C4E">
        <w:lastRenderedPageBreak/>
        <w:t>Despesa com ASPS por Categoria Econômica e Grupo de Despesa</w:t>
      </w:r>
      <w:bookmarkEnd w:id="343"/>
    </w:p>
    <w:p w14:paraId="6C2AC099" w14:textId="77777777" w:rsidR="00140D80" w:rsidRPr="00FD5C4E" w:rsidRDefault="00140D80" w:rsidP="00140D80">
      <w:pPr>
        <w:pStyle w:val="0-EmR1"/>
        <w:rPr>
          <w:lang w:eastAsia="en-US"/>
        </w:rPr>
      </w:pPr>
      <w:r w:rsidRPr="00FD5C4E">
        <w:rPr>
          <w:lang w:eastAsia="en-US"/>
        </w:rPr>
        <w:t>R$ 1</w:t>
      </w:r>
    </w:p>
    <w:tbl>
      <w:tblPr>
        <w:tblW w:w="5000" w:type="pct"/>
        <w:tblLayout w:type="fixed"/>
        <w:tblCellMar>
          <w:left w:w="70" w:type="dxa"/>
          <w:right w:w="70" w:type="dxa"/>
        </w:tblCellMar>
        <w:tblLook w:val="04A0" w:firstRow="1" w:lastRow="0" w:firstColumn="1" w:lastColumn="0" w:noHBand="0" w:noVBand="1"/>
      </w:tblPr>
      <w:tblGrid>
        <w:gridCol w:w="4254"/>
        <w:gridCol w:w="1699"/>
        <w:gridCol w:w="1700"/>
        <w:gridCol w:w="1700"/>
      </w:tblGrid>
      <w:tr w:rsidR="00140D80" w:rsidRPr="003325A2" w14:paraId="1481A45E" w14:textId="77777777" w:rsidTr="0082565C">
        <w:trPr>
          <w:trHeight w:val="340"/>
          <w:tblHeader/>
        </w:trPr>
        <w:tc>
          <w:tcPr>
            <w:tcW w:w="2274" w:type="pct"/>
            <w:tcBorders>
              <w:top w:val="single" w:sz="4" w:space="0" w:color="auto"/>
              <w:left w:val="nil"/>
              <w:bottom w:val="single" w:sz="4" w:space="0" w:color="auto"/>
              <w:right w:val="nil"/>
            </w:tcBorders>
            <w:shd w:val="clear" w:color="000000" w:fill="A1F2FD"/>
            <w:noWrap/>
            <w:vAlign w:val="center"/>
            <w:hideMark/>
          </w:tcPr>
          <w:p w14:paraId="3F2B9EE0" w14:textId="77777777" w:rsidR="00140D80" w:rsidRPr="003325A2" w:rsidRDefault="00140D80" w:rsidP="007E51A1">
            <w:pPr>
              <w:jc w:val="center"/>
              <w:rPr>
                <w:rFonts w:cs="Arial"/>
                <w:b/>
                <w:bCs/>
                <w:color w:val="000000"/>
                <w:sz w:val="20"/>
                <w:szCs w:val="20"/>
              </w:rPr>
            </w:pPr>
            <w:r w:rsidRPr="003325A2">
              <w:rPr>
                <w:rFonts w:cs="Arial"/>
                <w:b/>
                <w:bCs/>
                <w:color w:val="000000"/>
                <w:sz w:val="20"/>
                <w:szCs w:val="20"/>
              </w:rPr>
              <w:t>Classificação</w:t>
            </w:r>
          </w:p>
        </w:tc>
        <w:tc>
          <w:tcPr>
            <w:tcW w:w="908" w:type="pct"/>
            <w:tcBorders>
              <w:top w:val="single" w:sz="4" w:space="0" w:color="auto"/>
              <w:left w:val="single" w:sz="4" w:space="0" w:color="auto"/>
              <w:bottom w:val="single" w:sz="4" w:space="0" w:color="auto"/>
              <w:right w:val="single" w:sz="4" w:space="0" w:color="auto"/>
            </w:tcBorders>
            <w:shd w:val="clear" w:color="000000" w:fill="A1F2FD"/>
            <w:noWrap/>
            <w:vAlign w:val="center"/>
            <w:hideMark/>
          </w:tcPr>
          <w:p w14:paraId="077AC36E" w14:textId="77777777" w:rsidR="00140D80" w:rsidRPr="003325A2" w:rsidRDefault="00140D80" w:rsidP="007E51A1">
            <w:pPr>
              <w:jc w:val="center"/>
              <w:rPr>
                <w:rFonts w:cs="Arial"/>
                <w:b/>
                <w:bCs/>
                <w:color w:val="000000"/>
                <w:sz w:val="20"/>
                <w:szCs w:val="20"/>
              </w:rPr>
            </w:pPr>
            <w:r w:rsidRPr="003325A2">
              <w:rPr>
                <w:rFonts w:cs="Arial"/>
                <w:b/>
                <w:bCs/>
                <w:color w:val="000000"/>
                <w:sz w:val="20"/>
                <w:szCs w:val="20"/>
              </w:rPr>
              <w:t>Empenhado</w:t>
            </w:r>
          </w:p>
        </w:tc>
        <w:tc>
          <w:tcPr>
            <w:tcW w:w="909" w:type="pct"/>
            <w:tcBorders>
              <w:top w:val="single" w:sz="4" w:space="0" w:color="auto"/>
              <w:left w:val="nil"/>
              <w:bottom w:val="single" w:sz="4" w:space="0" w:color="auto"/>
              <w:right w:val="single" w:sz="4" w:space="0" w:color="auto"/>
            </w:tcBorders>
            <w:shd w:val="clear" w:color="000000" w:fill="A1F2FD"/>
            <w:noWrap/>
            <w:vAlign w:val="center"/>
            <w:hideMark/>
          </w:tcPr>
          <w:p w14:paraId="0BA81474" w14:textId="77777777" w:rsidR="00140D80" w:rsidRPr="003325A2" w:rsidRDefault="00140D80" w:rsidP="007E51A1">
            <w:pPr>
              <w:jc w:val="center"/>
              <w:rPr>
                <w:rFonts w:cs="Arial"/>
                <w:b/>
                <w:bCs/>
                <w:color w:val="000000"/>
                <w:sz w:val="20"/>
                <w:szCs w:val="20"/>
              </w:rPr>
            </w:pPr>
            <w:r w:rsidRPr="003325A2">
              <w:rPr>
                <w:rFonts w:cs="Arial"/>
                <w:b/>
                <w:bCs/>
                <w:color w:val="000000"/>
                <w:sz w:val="20"/>
                <w:szCs w:val="20"/>
              </w:rPr>
              <w:t>Liquidado</w:t>
            </w:r>
          </w:p>
        </w:tc>
        <w:tc>
          <w:tcPr>
            <w:tcW w:w="909" w:type="pct"/>
            <w:tcBorders>
              <w:top w:val="single" w:sz="4" w:space="0" w:color="auto"/>
              <w:left w:val="nil"/>
              <w:bottom w:val="single" w:sz="4" w:space="0" w:color="auto"/>
              <w:right w:val="nil"/>
            </w:tcBorders>
            <w:shd w:val="clear" w:color="000000" w:fill="A1F2FD"/>
            <w:noWrap/>
            <w:vAlign w:val="center"/>
            <w:hideMark/>
          </w:tcPr>
          <w:p w14:paraId="4A25502D" w14:textId="77777777" w:rsidR="00140D80" w:rsidRPr="003325A2" w:rsidRDefault="00140D80" w:rsidP="007E51A1">
            <w:pPr>
              <w:jc w:val="center"/>
              <w:rPr>
                <w:rFonts w:cs="Arial"/>
                <w:b/>
                <w:bCs/>
                <w:color w:val="000000"/>
                <w:sz w:val="20"/>
                <w:szCs w:val="20"/>
              </w:rPr>
            </w:pPr>
            <w:r w:rsidRPr="003325A2">
              <w:rPr>
                <w:rFonts w:cs="Arial"/>
                <w:b/>
                <w:bCs/>
                <w:color w:val="000000"/>
                <w:sz w:val="20"/>
                <w:szCs w:val="20"/>
              </w:rPr>
              <w:t>Pago</w:t>
            </w:r>
          </w:p>
        </w:tc>
      </w:tr>
      <w:tr w:rsidR="00140D80" w:rsidRPr="003325A2" w14:paraId="25289537" w14:textId="77777777" w:rsidTr="0082565C">
        <w:trPr>
          <w:trHeight w:val="340"/>
        </w:trPr>
        <w:tc>
          <w:tcPr>
            <w:tcW w:w="2274" w:type="pct"/>
            <w:tcBorders>
              <w:top w:val="nil"/>
              <w:left w:val="nil"/>
              <w:bottom w:val="nil"/>
              <w:right w:val="nil"/>
            </w:tcBorders>
            <w:shd w:val="clear" w:color="auto" w:fill="auto"/>
            <w:noWrap/>
            <w:vAlign w:val="center"/>
            <w:hideMark/>
          </w:tcPr>
          <w:p w14:paraId="4C8B71B4" w14:textId="77777777" w:rsidR="00140D80" w:rsidRPr="003325A2" w:rsidRDefault="00140D80" w:rsidP="007E51A1">
            <w:pPr>
              <w:jc w:val="left"/>
              <w:rPr>
                <w:rFonts w:cs="Arial"/>
                <w:b/>
                <w:bCs/>
                <w:color w:val="000000"/>
                <w:sz w:val="20"/>
                <w:szCs w:val="20"/>
              </w:rPr>
            </w:pPr>
            <w:r w:rsidRPr="003325A2">
              <w:rPr>
                <w:rFonts w:cs="Arial"/>
                <w:b/>
                <w:bCs/>
                <w:color w:val="000000"/>
                <w:sz w:val="20"/>
                <w:szCs w:val="20"/>
              </w:rPr>
              <w:t>Despesas Correntes</w:t>
            </w:r>
          </w:p>
        </w:tc>
        <w:tc>
          <w:tcPr>
            <w:tcW w:w="908" w:type="pct"/>
            <w:tcBorders>
              <w:top w:val="nil"/>
              <w:left w:val="single" w:sz="4" w:space="0" w:color="auto"/>
              <w:bottom w:val="nil"/>
              <w:right w:val="single" w:sz="4" w:space="0" w:color="auto"/>
            </w:tcBorders>
            <w:shd w:val="clear" w:color="auto" w:fill="auto"/>
            <w:noWrap/>
            <w:vAlign w:val="center"/>
            <w:hideMark/>
          </w:tcPr>
          <w:p w14:paraId="1C95F224" w14:textId="77777777" w:rsidR="00140D80" w:rsidRPr="003325A2" w:rsidRDefault="00140D80" w:rsidP="007E51A1">
            <w:pPr>
              <w:jc w:val="right"/>
              <w:rPr>
                <w:rFonts w:cs="Arial"/>
                <w:b/>
                <w:bCs/>
                <w:color w:val="000000"/>
                <w:sz w:val="20"/>
                <w:szCs w:val="20"/>
              </w:rPr>
            </w:pPr>
            <w:r w:rsidRPr="003325A2">
              <w:rPr>
                <w:rFonts w:cs="Arial"/>
                <w:b/>
                <w:bCs/>
                <w:color w:val="000000"/>
                <w:sz w:val="20"/>
                <w:szCs w:val="20"/>
              </w:rPr>
              <w:t>3.881.271.160</w:t>
            </w:r>
          </w:p>
        </w:tc>
        <w:tc>
          <w:tcPr>
            <w:tcW w:w="909" w:type="pct"/>
            <w:tcBorders>
              <w:top w:val="nil"/>
              <w:left w:val="nil"/>
              <w:bottom w:val="nil"/>
              <w:right w:val="single" w:sz="4" w:space="0" w:color="auto"/>
            </w:tcBorders>
            <w:shd w:val="clear" w:color="auto" w:fill="auto"/>
            <w:noWrap/>
            <w:vAlign w:val="center"/>
            <w:hideMark/>
          </w:tcPr>
          <w:p w14:paraId="3F770A32" w14:textId="77777777" w:rsidR="00140D80" w:rsidRPr="003325A2" w:rsidRDefault="00140D80" w:rsidP="007E51A1">
            <w:pPr>
              <w:jc w:val="right"/>
              <w:rPr>
                <w:rFonts w:cs="Arial"/>
                <w:b/>
                <w:bCs/>
                <w:color w:val="000000"/>
                <w:sz w:val="20"/>
                <w:szCs w:val="20"/>
              </w:rPr>
            </w:pPr>
            <w:r w:rsidRPr="003325A2">
              <w:rPr>
                <w:rFonts w:cs="Arial"/>
                <w:b/>
                <w:bCs/>
                <w:color w:val="000000"/>
                <w:sz w:val="20"/>
                <w:szCs w:val="20"/>
              </w:rPr>
              <w:t>3.739.293.132</w:t>
            </w:r>
          </w:p>
        </w:tc>
        <w:tc>
          <w:tcPr>
            <w:tcW w:w="909" w:type="pct"/>
            <w:tcBorders>
              <w:top w:val="nil"/>
              <w:left w:val="nil"/>
              <w:bottom w:val="nil"/>
              <w:right w:val="single" w:sz="4" w:space="0" w:color="auto"/>
            </w:tcBorders>
            <w:shd w:val="clear" w:color="auto" w:fill="auto"/>
            <w:noWrap/>
            <w:vAlign w:val="center"/>
            <w:hideMark/>
          </w:tcPr>
          <w:p w14:paraId="54CF0611" w14:textId="77777777" w:rsidR="00140D80" w:rsidRPr="003325A2" w:rsidRDefault="00140D80" w:rsidP="007E51A1">
            <w:pPr>
              <w:jc w:val="right"/>
              <w:rPr>
                <w:rFonts w:cs="Arial"/>
                <w:b/>
                <w:bCs/>
                <w:color w:val="000000"/>
                <w:sz w:val="20"/>
                <w:szCs w:val="20"/>
              </w:rPr>
            </w:pPr>
            <w:r w:rsidRPr="003325A2">
              <w:rPr>
                <w:rFonts w:cs="Arial"/>
                <w:b/>
                <w:bCs/>
                <w:color w:val="000000"/>
                <w:sz w:val="20"/>
                <w:szCs w:val="20"/>
              </w:rPr>
              <w:t>3.723.327.798</w:t>
            </w:r>
          </w:p>
        </w:tc>
      </w:tr>
      <w:tr w:rsidR="00140D80" w:rsidRPr="003325A2" w14:paraId="35BC1B36" w14:textId="77777777" w:rsidTr="0082565C">
        <w:trPr>
          <w:trHeight w:val="340"/>
        </w:trPr>
        <w:tc>
          <w:tcPr>
            <w:tcW w:w="2274" w:type="pct"/>
            <w:tcBorders>
              <w:top w:val="nil"/>
              <w:left w:val="nil"/>
              <w:bottom w:val="nil"/>
              <w:right w:val="nil"/>
            </w:tcBorders>
            <w:shd w:val="clear" w:color="auto" w:fill="auto"/>
            <w:noWrap/>
            <w:vAlign w:val="center"/>
            <w:hideMark/>
          </w:tcPr>
          <w:p w14:paraId="20F12D0F" w14:textId="77777777" w:rsidR="00140D80" w:rsidRPr="003325A2" w:rsidRDefault="00140D80" w:rsidP="007E51A1">
            <w:pPr>
              <w:ind w:firstLine="215"/>
              <w:jc w:val="left"/>
              <w:rPr>
                <w:rFonts w:cs="Arial"/>
                <w:color w:val="000000"/>
                <w:sz w:val="20"/>
                <w:szCs w:val="20"/>
              </w:rPr>
            </w:pPr>
            <w:r w:rsidRPr="003325A2">
              <w:rPr>
                <w:rFonts w:cs="Arial"/>
                <w:color w:val="000000"/>
                <w:sz w:val="20"/>
                <w:szCs w:val="20"/>
              </w:rPr>
              <w:t>Outras Despesas Correntes</w:t>
            </w:r>
          </w:p>
        </w:tc>
        <w:tc>
          <w:tcPr>
            <w:tcW w:w="908" w:type="pct"/>
            <w:tcBorders>
              <w:top w:val="nil"/>
              <w:left w:val="single" w:sz="4" w:space="0" w:color="auto"/>
              <w:bottom w:val="nil"/>
              <w:right w:val="single" w:sz="4" w:space="0" w:color="auto"/>
            </w:tcBorders>
            <w:shd w:val="clear" w:color="auto" w:fill="auto"/>
            <w:noWrap/>
            <w:vAlign w:val="center"/>
            <w:hideMark/>
          </w:tcPr>
          <w:p w14:paraId="5F5A5643" w14:textId="77777777" w:rsidR="00140D80" w:rsidRPr="003325A2" w:rsidRDefault="00140D80" w:rsidP="007E51A1">
            <w:pPr>
              <w:jc w:val="right"/>
              <w:rPr>
                <w:rFonts w:cs="Arial"/>
                <w:color w:val="000000"/>
                <w:sz w:val="20"/>
                <w:szCs w:val="20"/>
              </w:rPr>
            </w:pPr>
            <w:r w:rsidRPr="003325A2">
              <w:rPr>
                <w:rFonts w:cs="Arial"/>
                <w:color w:val="000000"/>
                <w:sz w:val="20"/>
                <w:szCs w:val="20"/>
              </w:rPr>
              <w:t>3.146.316.912</w:t>
            </w:r>
          </w:p>
        </w:tc>
        <w:tc>
          <w:tcPr>
            <w:tcW w:w="909" w:type="pct"/>
            <w:tcBorders>
              <w:top w:val="nil"/>
              <w:left w:val="nil"/>
              <w:bottom w:val="nil"/>
              <w:right w:val="single" w:sz="4" w:space="0" w:color="auto"/>
            </w:tcBorders>
            <w:shd w:val="clear" w:color="auto" w:fill="auto"/>
            <w:noWrap/>
            <w:vAlign w:val="center"/>
            <w:hideMark/>
          </w:tcPr>
          <w:p w14:paraId="27AC42ED" w14:textId="77777777" w:rsidR="00140D80" w:rsidRPr="003325A2" w:rsidRDefault="00140D80" w:rsidP="007E51A1">
            <w:pPr>
              <w:jc w:val="right"/>
              <w:rPr>
                <w:rFonts w:cs="Arial"/>
                <w:color w:val="000000"/>
                <w:sz w:val="20"/>
                <w:szCs w:val="20"/>
              </w:rPr>
            </w:pPr>
            <w:r w:rsidRPr="003325A2">
              <w:rPr>
                <w:rFonts w:cs="Arial"/>
                <w:color w:val="000000"/>
                <w:sz w:val="20"/>
                <w:szCs w:val="20"/>
              </w:rPr>
              <w:t>3.004.338.884</w:t>
            </w:r>
          </w:p>
        </w:tc>
        <w:tc>
          <w:tcPr>
            <w:tcW w:w="909" w:type="pct"/>
            <w:tcBorders>
              <w:top w:val="nil"/>
              <w:left w:val="nil"/>
              <w:bottom w:val="nil"/>
              <w:right w:val="nil"/>
            </w:tcBorders>
            <w:shd w:val="clear" w:color="auto" w:fill="auto"/>
            <w:noWrap/>
            <w:vAlign w:val="center"/>
            <w:hideMark/>
          </w:tcPr>
          <w:p w14:paraId="169037DF" w14:textId="77777777" w:rsidR="00140D80" w:rsidRPr="003325A2" w:rsidRDefault="00140D80" w:rsidP="007E51A1">
            <w:pPr>
              <w:jc w:val="right"/>
              <w:rPr>
                <w:rFonts w:cs="Arial"/>
                <w:color w:val="000000"/>
                <w:sz w:val="20"/>
                <w:szCs w:val="20"/>
              </w:rPr>
            </w:pPr>
            <w:r w:rsidRPr="003325A2">
              <w:rPr>
                <w:rFonts w:cs="Arial"/>
                <w:color w:val="000000"/>
                <w:sz w:val="20"/>
                <w:szCs w:val="20"/>
              </w:rPr>
              <w:t>2.988.384.637</w:t>
            </w:r>
          </w:p>
        </w:tc>
      </w:tr>
      <w:tr w:rsidR="00140D80" w:rsidRPr="003325A2" w14:paraId="505D5C93" w14:textId="77777777" w:rsidTr="0082565C">
        <w:trPr>
          <w:trHeight w:val="340"/>
        </w:trPr>
        <w:tc>
          <w:tcPr>
            <w:tcW w:w="2274" w:type="pct"/>
            <w:tcBorders>
              <w:top w:val="nil"/>
              <w:left w:val="nil"/>
              <w:bottom w:val="nil"/>
              <w:right w:val="nil"/>
            </w:tcBorders>
            <w:shd w:val="clear" w:color="auto" w:fill="auto"/>
            <w:noWrap/>
            <w:vAlign w:val="center"/>
            <w:hideMark/>
          </w:tcPr>
          <w:p w14:paraId="0C6CBF1C" w14:textId="77777777" w:rsidR="00140D80" w:rsidRPr="003325A2" w:rsidRDefault="00140D80" w:rsidP="007E51A1">
            <w:pPr>
              <w:ind w:firstLine="215"/>
              <w:jc w:val="left"/>
              <w:rPr>
                <w:rFonts w:cs="Arial"/>
                <w:color w:val="000000"/>
                <w:sz w:val="20"/>
                <w:szCs w:val="20"/>
              </w:rPr>
            </w:pPr>
            <w:r w:rsidRPr="003325A2">
              <w:rPr>
                <w:rFonts w:cs="Arial"/>
                <w:color w:val="000000"/>
                <w:sz w:val="20"/>
                <w:szCs w:val="20"/>
              </w:rPr>
              <w:t>Pessoal e Encargos Sociais</w:t>
            </w:r>
          </w:p>
        </w:tc>
        <w:tc>
          <w:tcPr>
            <w:tcW w:w="908" w:type="pct"/>
            <w:tcBorders>
              <w:top w:val="nil"/>
              <w:left w:val="single" w:sz="4" w:space="0" w:color="auto"/>
              <w:bottom w:val="nil"/>
              <w:right w:val="single" w:sz="4" w:space="0" w:color="auto"/>
            </w:tcBorders>
            <w:shd w:val="clear" w:color="auto" w:fill="auto"/>
            <w:noWrap/>
            <w:vAlign w:val="center"/>
            <w:hideMark/>
          </w:tcPr>
          <w:p w14:paraId="42EC5C81" w14:textId="77777777" w:rsidR="00140D80" w:rsidRPr="003325A2" w:rsidRDefault="00140D80" w:rsidP="007E51A1">
            <w:pPr>
              <w:ind w:firstLine="215"/>
              <w:jc w:val="right"/>
              <w:rPr>
                <w:rFonts w:cs="Arial"/>
                <w:color w:val="000000"/>
                <w:sz w:val="20"/>
                <w:szCs w:val="20"/>
              </w:rPr>
            </w:pPr>
            <w:r w:rsidRPr="003325A2">
              <w:rPr>
                <w:rFonts w:cs="Arial"/>
                <w:color w:val="000000"/>
                <w:sz w:val="20"/>
                <w:szCs w:val="20"/>
              </w:rPr>
              <w:t>734.954.248</w:t>
            </w:r>
          </w:p>
        </w:tc>
        <w:tc>
          <w:tcPr>
            <w:tcW w:w="909" w:type="pct"/>
            <w:tcBorders>
              <w:top w:val="nil"/>
              <w:left w:val="nil"/>
              <w:bottom w:val="nil"/>
              <w:right w:val="single" w:sz="4" w:space="0" w:color="auto"/>
            </w:tcBorders>
            <w:shd w:val="clear" w:color="auto" w:fill="auto"/>
            <w:noWrap/>
            <w:vAlign w:val="center"/>
            <w:hideMark/>
          </w:tcPr>
          <w:p w14:paraId="00A597B6" w14:textId="77777777" w:rsidR="00140D80" w:rsidRPr="003325A2" w:rsidRDefault="00140D80" w:rsidP="007E51A1">
            <w:pPr>
              <w:ind w:firstLine="215"/>
              <w:jc w:val="right"/>
              <w:rPr>
                <w:rFonts w:cs="Arial"/>
                <w:color w:val="000000"/>
                <w:sz w:val="20"/>
                <w:szCs w:val="20"/>
              </w:rPr>
            </w:pPr>
            <w:r w:rsidRPr="003325A2">
              <w:rPr>
                <w:rFonts w:cs="Arial"/>
                <w:color w:val="000000"/>
                <w:sz w:val="20"/>
                <w:szCs w:val="20"/>
              </w:rPr>
              <w:t>734.954.248</w:t>
            </w:r>
          </w:p>
        </w:tc>
        <w:tc>
          <w:tcPr>
            <w:tcW w:w="909" w:type="pct"/>
            <w:tcBorders>
              <w:top w:val="nil"/>
              <w:left w:val="nil"/>
              <w:bottom w:val="nil"/>
              <w:right w:val="nil"/>
            </w:tcBorders>
            <w:shd w:val="clear" w:color="auto" w:fill="auto"/>
            <w:noWrap/>
            <w:vAlign w:val="center"/>
            <w:hideMark/>
          </w:tcPr>
          <w:p w14:paraId="6BB9C23C" w14:textId="77777777" w:rsidR="00140D80" w:rsidRPr="003325A2" w:rsidRDefault="00140D80" w:rsidP="007E51A1">
            <w:pPr>
              <w:ind w:firstLine="215"/>
              <w:jc w:val="right"/>
              <w:rPr>
                <w:rFonts w:cs="Arial"/>
                <w:color w:val="000000"/>
                <w:sz w:val="20"/>
                <w:szCs w:val="20"/>
              </w:rPr>
            </w:pPr>
            <w:r w:rsidRPr="003325A2">
              <w:rPr>
                <w:rFonts w:cs="Arial"/>
                <w:color w:val="000000"/>
                <w:sz w:val="20"/>
                <w:szCs w:val="20"/>
              </w:rPr>
              <w:t>734.943.162</w:t>
            </w:r>
          </w:p>
        </w:tc>
      </w:tr>
      <w:tr w:rsidR="00140D80" w:rsidRPr="003325A2" w14:paraId="7932CB70" w14:textId="77777777" w:rsidTr="0082565C">
        <w:trPr>
          <w:trHeight w:val="340"/>
        </w:trPr>
        <w:tc>
          <w:tcPr>
            <w:tcW w:w="2274" w:type="pct"/>
            <w:tcBorders>
              <w:top w:val="nil"/>
              <w:left w:val="nil"/>
              <w:bottom w:val="nil"/>
              <w:right w:val="nil"/>
            </w:tcBorders>
            <w:shd w:val="clear" w:color="auto" w:fill="auto"/>
            <w:noWrap/>
            <w:vAlign w:val="center"/>
            <w:hideMark/>
          </w:tcPr>
          <w:p w14:paraId="28B5649F" w14:textId="77777777" w:rsidR="00140D80" w:rsidRPr="003325A2" w:rsidRDefault="00140D80" w:rsidP="007E51A1">
            <w:pPr>
              <w:jc w:val="left"/>
              <w:rPr>
                <w:rFonts w:cs="Arial"/>
                <w:b/>
                <w:bCs/>
                <w:color w:val="000000"/>
                <w:sz w:val="20"/>
                <w:szCs w:val="20"/>
              </w:rPr>
            </w:pPr>
            <w:r w:rsidRPr="003325A2">
              <w:rPr>
                <w:rFonts w:cs="Arial"/>
                <w:b/>
                <w:bCs/>
                <w:color w:val="000000"/>
                <w:sz w:val="20"/>
                <w:szCs w:val="20"/>
              </w:rPr>
              <w:t>Despesas de Capital</w:t>
            </w:r>
          </w:p>
        </w:tc>
        <w:tc>
          <w:tcPr>
            <w:tcW w:w="908" w:type="pct"/>
            <w:tcBorders>
              <w:top w:val="nil"/>
              <w:left w:val="single" w:sz="4" w:space="0" w:color="auto"/>
              <w:bottom w:val="nil"/>
              <w:right w:val="single" w:sz="4" w:space="0" w:color="auto"/>
            </w:tcBorders>
            <w:shd w:val="clear" w:color="auto" w:fill="auto"/>
            <w:noWrap/>
            <w:vAlign w:val="center"/>
            <w:hideMark/>
          </w:tcPr>
          <w:p w14:paraId="51E1ECD8" w14:textId="77777777" w:rsidR="00140D80" w:rsidRPr="003325A2" w:rsidRDefault="00140D80" w:rsidP="007E51A1">
            <w:pPr>
              <w:jc w:val="right"/>
              <w:rPr>
                <w:rFonts w:cs="Arial"/>
                <w:b/>
                <w:bCs/>
                <w:color w:val="000000"/>
                <w:sz w:val="20"/>
                <w:szCs w:val="20"/>
              </w:rPr>
            </w:pPr>
            <w:r w:rsidRPr="003325A2">
              <w:rPr>
                <w:rFonts w:cs="Arial"/>
                <w:b/>
                <w:bCs/>
                <w:color w:val="000000"/>
                <w:sz w:val="20"/>
                <w:szCs w:val="20"/>
              </w:rPr>
              <w:t>307.081.731</w:t>
            </w:r>
          </w:p>
        </w:tc>
        <w:tc>
          <w:tcPr>
            <w:tcW w:w="909" w:type="pct"/>
            <w:tcBorders>
              <w:top w:val="nil"/>
              <w:left w:val="nil"/>
              <w:bottom w:val="nil"/>
              <w:right w:val="single" w:sz="4" w:space="0" w:color="auto"/>
            </w:tcBorders>
            <w:shd w:val="clear" w:color="auto" w:fill="auto"/>
            <w:noWrap/>
            <w:vAlign w:val="center"/>
            <w:hideMark/>
          </w:tcPr>
          <w:p w14:paraId="63480670" w14:textId="77777777" w:rsidR="00140D80" w:rsidRPr="003325A2" w:rsidRDefault="00140D80" w:rsidP="007E51A1">
            <w:pPr>
              <w:jc w:val="right"/>
              <w:rPr>
                <w:rFonts w:cs="Arial"/>
                <w:b/>
                <w:bCs/>
                <w:color w:val="000000"/>
                <w:sz w:val="20"/>
                <w:szCs w:val="20"/>
              </w:rPr>
            </w:pPr>
            <w:r w:rsidRPr="003325A2">
              <w:rPr>
                <w:rFonts w:cs="Arial"/>
                <w:b/>
                <w:bCs/>
                <w:color w:val="000000"/>
                <w:sz w:val="20"/>
                <w:szCs w:val="20"/>
              </w:rPr>
              <w:t>233.542.092</w:t>
            </w:r>
          </w:p>
        </w:tc>
        <w:tc>
          <w:tcPr>
            <w:tcW w:w="909" w:type="pct"/>
            <w:tcBorders>
              <w:top w:val="nil"/>
              <w:left w:val="nil"/>
              <w:bottom w:val="nil"/>
              <w:right w:val="single" w:sz="4" w:space="0" w:color="auto"/>
            </w:tcBorders>
            <w:shd w:val="clear" w:color="auto" w:fill="auto"/>
            <w:noWrap/>
            <w:vAlign w:val="center"/>
            <w:hideMark/>
          </w:tcPr>
          <w:p w14:paraId="5D2BED13" w14:textId="77777777" w:rsidR="00140D80" w:rsidRPr="003325A2" w:rsidRDefault="00140D80" w:rsidP="007E51A1">
            <w:pPr>
              <w:jc w:val="right"/>
              <w:rPr>
                <w:rFonts w:cs="Arial"/>
                <w:b/>
                <w:bCs/>
                <w:color w:val="000000"/>
                <w:sz w:val="20"/>
                <w:szCs w:val="20"/>
              </w:rPr>
            </w:pPr>
            <w:r w:rsidRPr="003325A2">
              <w:rPr>
                <w:rFonts w:cs="Arial"/>
                <w:b/>
                <w:bCs/>
                <w:color w:val="000000"/>
                <w:sz w:val="20"/>
                <w:szCs w:val="20"/>
              </w:rPr>
              <w:t>225.288.357</w:t>
            </w:r>
          </w:p>
        </w:tc>
      </w:tr>
      <w:tr w:rsidR="00140D80" w:rsidRPr="003325A2" w14:paraId="7D2B706C" w14:textId="77777777" w:rsidTr="0082565C">
        <w:trPr>
          <w:trHeight w:val="340"/>
        </w:trPr>
        <w:tc>
          <w:tcPr>
            <w:tcW w:w="2274" w:type="pct"/>
            <w:tcBorders>
              <w:top w:val="nil"/>
              <w:left w:val="nil"/>
              <w:bottom w:val="nil"/>
              <w:right w:val="nil"/>
            </w:tcBorders>
            <w:shd w:val="clear" w:color="auto" w:fill="auto"/>
            <w:noWrap/>
            <w:vAlign w:val="center"/>
            <w:hideMark/>
          </w:tcPr>
          <w:p w14:paraId="2CB38A37" w14:textId="77777777" w:rsidR="00140D80" w:rsidRPr="003325A2" w:rsidRDefault="00140D80" w:rsidP="007E51A1">
            <w:pPr>
              <w:ind w:firstLine="215"/>
              <w:jc w:val="left"/>
              <w:rPr>
                <w:rFonts w:cs="Arial"/>
                <w:color w:val="000000"/>
                <w:sz w:val="20"/>
                <w:szCs w:val="20"/>
              </w:rPr>
            </w:pPr>
            <w:r w:rsidRPr="003325A2">
              <w:rPr>
                <w:rFonts w:cs="Arial"/>
                <w:color w:val="000000"/>
                <w:sz w:val="20"/>
                <w:szCs w:val="20"/>
              </w:rPr>
              <w:t>Investimentos</w:t>
            </w:r>
          </w:p>
        </w:tc>
        <w:tc>
          <w:tcPr>
            <w:tcW w:w="908" w:type="pct"/>
            <w:tcBorders>
              <w:top w:val="nil"/>
              <w:left w:val="single" w:sz="4" w:space="0" w:color="auto"/>
              <w:bottom w:val="nil"/>
              <w:right w:val="single" w:sz="4" w:space="0" w:color="auto"/>
            </w:tcBorders>
            <w:shd w:val="clear" w:color="auto" w:fill="auto"/>
            <w:noWrap/>
            <w:vAlign w:val="center"/>
            <w:hideMark/>
          </w:tcPr>
          <w:p w14:paraId="7ECA23A3" w14:textId="77777777" w:rsidR="00140D80" w:rsidRPr="003325A2" w:rsidRDefault="00140D80" w:rsidP="007E51A1">
            <w:pPr>
              <w:jc w:val="right"/>
              <w:rPr>
                <w:rFonts w:cs="Arial"/>
                <w:color w:val="000000"/>
                <w:sz w:val="20"/>
                <w:szCs w:val="20"/>
              </w:rPr>
            </w:pPr>
            <w:r w:rsidRPr="003325A2">
              <w:rPr>
                <w:rFonts w:cs="Arial"/>
                <w:color w:val="000000"/>
                <w:sz w:val="20"/>
                <w:szCs w:val="20"/>
              </w:rPr>
              <w:t>307.081.731</w:t>
            </w:r>
          </w:p>
        </w:tc>
        <w:tc>
          <w:tcPr>
            <w:tcW w:w="909" w:type="pct"/>
            <w:tcBorders>
              <w:top w:val="nil"/>
              <w:left w:val="nil"/>
              <w:bottom w:val="nil"/>
              <w:right w:val="single" w:sz="4" w:space="0" w:color="auto"/>
            </w:tcBorders>
            <w:shd w:val="clear" w:color="auto" w:fill="auto"/>
            <w:noWrap/>
            <w:vAlign w:val="center"/>
            <w:hideMark/>
          </w:tcPr>
          <w:p w14:paraId="2BC6253E" w14:textId="77777777" w:rsidR="00140D80" w:rsidRPr="003325A2" w:rsidRDefault="00140D80" w:rsidP="007E51A1">
            <w:pPr>
              <w:jc w:val="right"/>
              <w:rPr>
                <w:rFonts w:cs="Arial"/>
                <w:color w:val="000000"/>
                <w:sz w:val="20"/>
                <w:szCs w:val="20"/>
              </w:rPr>
            </w:pPr>
            <w:r w:rsidRPr="003325A2">
              <w:rPr>
                <w:rFonts w:cs="Arial"/>
                <w:color w:val="000000"/>
                <w:sz w:val="20"/>
                <w:szCs w:val="20"/>
              </w:rPr>
              <w:t>233.542.092</w:t>
            </w:r>
          </w:p>
        </w:tc>
        <w:tc>
          <w:tcPr>
            <w:tcW w:w="909" w:type="pct"/>
            <w:tcBorders>
              <w:top w:val="nil"/>
              <w:left w:val="nil"/>
              <w:bottom w:val="nil"/>
              <w:right w:val="nil"/>
            </w:tcBorders>
            <w:shd w:val="clear" w:color="auto" w:fill="auto"/>
            <w:noWrap/>
            <w:vAlign w:val="center"/>
            <w:hideMark/>
          </w:tcPr>
          <w:p w14:paraId="6B8F8D45" w14:textId="77777777" w:rsidR="00140D80" w:rsidRPr="003325A2" w:rsidRDefault="00140D80" w:rsidP="007E51A1">
            <w:pPr>
              <w:jc w:val="right"/>
              <w:rPr>
                <w:rFonts w:cs="Arial"/>
                <w:color w:val="000000"/>
                <w:sz w:val="20"/>
                <w:szCs w:val="20"/>
              </w:rPr>
            </w:pPr>
            <w:r w:rsidRPr="003325A2">
              <w:rPr>
                <w:rFonts w:cs="Arial"/>
                <w:color w:val="000000"/>
                <w:sz w:val="20"/>
                <w:szCs w:val="20"/>
              </w:rPr>
              <w:t>225.288.357</w:t>
            </w:r>
          </w:p>
        </w:tc>
      </w:tr>
      <w:tr w:rsidR="00140D80" w:rsidRPr="003325A2" w14:paraId="2F521C97" w14:textId="77777777" w:rsidTr="0082565C">
        <w:trPr>
          <w:trHeight w:val="340"/>
        </w:trPr>
        <w:tc>
          <w:tcPr>
            <w:tcW w:w="2274" w:type="pct"/>
            <w:tcBorders>
              <w:top w:val="single" w:sz="4" w:space="0" w:color="auto"/>
              <w:left w:val="nil"/>
              <w:bottom w:val="single" w:sz="4" w:space="0" w:color="auto"/>
              <w:right w:val="nil"/>
            </w:tcBorders>
            <w:shd w:val="clear" w:color="auto" w:fill="auto"/>
            <w:noWrap/>
            <w:vAlign w:val="center"/>
            <w:hideMark/>
          </w:tcPr>
          <w:p w14:paraId="0684CFDB" w14:textId="77777777" w:rsidR="00140D80" w:rsidRPr="003325A2" w:rsidRDefault="00140D80" w:rsidP="007E51A1">
            <w:pPr>
              <w:jc w:val="center"/>
              <w:rPr>
                <w:rFonts w:cs="Arial"/>
                <w:b/>
                <w:bCs/>
                <w:color w:val="000000"/>
                <w:sz w:val="20"/>
                <w:szCs w:val="20"/>
              </w:rPr>
            </w:pPr>
            <w:r w:rsidRPr="003325A2">
              <w:rPr>
                <w:rFonts w:cs="Arial"/>
                <w:b/>
                <w:bCs/>
                <w:color w:val="000000"/>
                <w:sz w:val="20"/>
                <w:szCs w:val="20"/>
              </w:rPr>
              <w:t>Total</w:t>
            </w:r>
          </w:p>
        </w:tc>
        <w:tc>
          <w:tcPr>
            <w:tcW w:w="90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26B856" w14:textId="77777777" w:rsidR="00140D80" w:rsidRPr="003325A2" w:rsidRDefault="00140D80" w:rsidP="007E51A1">
            <w:pPr>
              <w:jc w:val="right"/>
              <w:rPr>
                <w:rFonts w:cs="Arial"/>
                <w:b/>
                <w:bCs/>
                <w:color w:val="000000"/>
                <w:sz w:val="20"/>
                <w:szCs w:val="20"/>
              </w:rPr>
            </w:pPr>
            <w:r w:rsidRPr="003325A2">
              <w:rPr>
                <w:rFonts w:cs="Arial"/>
                <w:b/>
                <w:bCs/>
                <w:color w:val="000000"/>
                <w:sz w:val="20"/>
                <w:szCs w:val="20"/>
              </w:rPr>
              <w:t>4.188.352.890</w:t>
            </w:r>
          </w:p>
        </w:tc>
        <w:tc>
          <w:tcPr>
            <w:tcW w:w="909" w:type="pct"/>
            <w:tcBorders>
              <w:top w:val="single" w:sz="4" w:space="0" w:color="auto"/>
              <w:left w:val="nil"/>
              <w:bottom w:val="single" w:sz="4" w:space="0" w:color="auto"/>
              <w:right w:val="single" w:sz="4" w:space="0" w:color="auto"/>
            </w:tcBorders>
            <w:shd w:val="clear" w:color="auto" w:fill="auto"/>
            <w:noWrap/>
            <w:vAlign w:val="center"/>
            <w:hideMark/>
          </w:tcPr>
          <w:p w14:paraId="587A826C" w14:textId="77777777" w:rsidR="00140D80" w:rsidRPr="003325A2" w:rsidRDefault="00140D80" w:rsidP="007E51A1">
            <w:pPr>
              <w:jc w:val="right"/>
              <w:rPr>
                <w:rFonts w:cs="Arial"/>
                <w:b/>
                <w:bCs/>
                <w:color w:val="000000"/>
                <w:sz w:val="20"/>
                <w:szCs w:val="20"/>
              </w:rPr>
            </w:pPr>
            <w:r w:rsidRPr="003325A2">
              <w:rPr>
                <w:rFonts w:cs="Arial"/>
                <w:b/>
                <w:bCs/>
                <w:color w:val="000000"/>
                <w:sz w:val="20"/>
                <w:szCs w:val="20"/>
              </w:rPr>
              <w:t>3.972.835.224</w:t>
            </w:r>
          </w:p>
        </w:tc>
        <w:tc>
          <w:tcPr>
            <w:tcW w:w="909" w:type="pct"/>
            <w:tcBorders>
              <w:top w:val="single" w:sz="4" w:space="0" w:color="auto"/>
              <w:left w:val="nil"/>
              <w:bottom w:val="single" w:sz="4" w:space="0" w:color="auto"/>
              <w:right w:val="nil"/>
            </w:tcBorders>
            <w:shd w:val="clear" w:color="auto" w:fill="auto"/>
            <w:noWrap/>
            <w:vAlign w:val="center"/>
            <w:hideMark/>
          </w:tcPr>
          <w:p w14:paraId="6EEA5880" w14:textId="77777777" w:rsidR="00140D80" w:rsidRPr="003325A2" w:rsidRDefault="00140D80" w:rsidP="007E51A1">
            <w:pPr>
              <w:jc w:val="right"/>
              <w:rPr>
                <w:rFonts w:cs="Arial"/>
                <w:b/>
                <w:bCs/>
                <w:color w:val="000000"/>
                <w:sz w:val="20"/>
                <w:szCs w:val="20"/>
              </w:rPr>
            </w:pPr>
            <w:r w:rsidRPr="003325A2">
              <w:rPr>
                <w:rFonts w:cs="Arial"/>
                <w:b/>
                <w:bCs/>
                <w:color w:val="000000"/>
                <w:sz w:val="20"/>
                <w:szCs w:val="20"/>
              </w:rPr>
              <w:t>3.948.616.155</w:t>
            </w:r>
          </w:p>
        </w:tc>
      </w:tr>
    </w:tbl>
    <w:p w14:paraId="7C1F8A85" w14:textId="77777777" w:rsidR="00140D80" w:rsidRPr="00FD5C4E" w:rsidRDefault="00140D80" w:rsidP="00140D80">
      <w:pPr>
        <w:pStyle w:val="0-FONTEBALANO"/>
      </w:pPr>
      <w:r w:rsidRPr="00FD5C4E">
        <w:t xml:space="preserve">Fonte: </w:t>
      </w:r>
      <w:r w:rsidRPr="00FD5C4E">
        <w:rPr>
          <w:i/>
        </w:rPr>
        <w:t>Business Objects</w:t>
      </w:r>
    </w:p>
    <w:p w14:paraId="6111FCF6" w14:textId="77777777" w:rsidR="00140D80" w:rsidRPr="007E40FC" w:rsidRDefault="00140D80" w:rsidP="00140D80">
      <w:pPr>
        <w:pStyle w:val="1-REL11"/>
      </w:pPr>
      <w:r w:rsidRPr="007E40FC">
        <w:t xml:space="preserve">O gasto total do Estado com ASPS, classificado por categoria econômica, é basicamente composto de despesas correntes (92,67%). As despesas de capital, na rubrica de Investimentos, representam apenas 7,33% do total empenhado em 2023, capital este utilizado para construção de hospitais, aquisição de </w:t>
      </w:r>
      <w:r w:rsidRPr="0009057C">
        <w:t>materiais</w:t>
      </w:r>
      <w:r w:rsidRPr="007E40FC">
        <w:t xml:space="preserve"> permanentes, entre outros do gênero.</w:t>
      </w:r>
    </w:p>
    <w:p w14:paraId="0A2251E5" w14:textId="77777777" w:rsidR="00140D80" w:rsidRDefault="00140D80" w:rsidP="00140D80">
      <w:pPr>
        <w:pStyle w:val="1-REL11"/>
      </w:pPr>
      <w:r w:rsidRPr="0009057C">
        <w:t xml:space="preserve">Apresenta-se a seguir </w:t>
      </w:r>
      <w:r>
        <w:t>a apuração do limite mínimo de aplicação de recursos em ASPS:</w:t>
      </w:r>
    </w:p>
    <w:p w14:paraId="61AC8093" w14:textId="77777777" w:rsidR="00140D80" w:rsidRPr="0009057C" w:rsidRDefault="00140D80" w:rsidP="00736A8C">
      <w:pPr>
        <w:pStyle w:val="0-TABELA"/>
        <w:numPr>
          <w:ilvl w:val="0"/>
          <w:numId w:val="53"/>
        </w:numPr>
        <w:tabs>
          <w:tab w:val="clear" w:pos="1560"/>
          <w:tab w:val="left" w:pos="1134"/>
        </w:tabs>
        <w:spacing w:before="0" w:after="0"/>
        <w:ind w:left="0" w:firstLine="0"/>
      </w:pPr>
      <w:bookmarkStart w:id="344" w:name="_Toc167871811"/>
      <w:r>
        <w:t>Índice Constitucional da Saúde</w:t>
      </w:r>
      <w:bookmarkEnd w:id="344"/>
    </w:p>
    <w:p w14:paraId="31CD850F" w14:textId="77777777" w:rsidR="00140D80" w:rsidRPr="00FD5C4E" w:rsidRDefault="00140D80" w:rsidP="00140D80">
      <w:pPr>
        <w:pStyle w:val="0-EmR1"/>
      </w:pPr>
      <w:r w:rsidRPr="00FD5C4E">
        <w:t>R$ 1</w:t>
      </w:r>
    </w:p>
    <w:tbl>
      <w:tblPr>
        <w:tblW w:w="5000" w:type="pct"/>
        <w:tblLayout w:type="fixed"/>
        <w:tblCellMar>
          <w:left w:w="70" w:type="dxa"/>
          <w:right w:w="70" w:type="dxa"/>
        </w:tblCellMar>
        <w:tblLook w:val="04A0" w:firstRow="1" w:lastRow="0" w:firstColumn="1" w:lastColumn="0" w:noHBand="0" w:noVBand="1"/>
      </w:tblPr>
      <w:tblGrid>
        <w:gridCol w:w="7797"/>
        <w:gridCol w:w="1556"/>
      </w:tblGrid>
      <w:tr w:rsidR="00140D80" w:rsidRPr="005F54EB" w14:paraId="79C052BB" w14:textId="77777777" w:rsidTr="005F54EB">
        <w:trPr>
          <w:trHeight w:val="340"/>
          <w:tblHeader/>
        </w:trPr>
        <w:tc>
          <w:tcPr>
            <w:tcW w:w="4168" w:type="pct"/>
            <w:tcBorders>
              <w:top w:val="single" w:sz="4" w:space="0" w:color="auto"/>
              <w:left w:val="nil"/>
              <w:bottom w:val="single" w:sz="4" w:space="0" w:color="auto"/>
              <w:right w:val="single" w:sz="4" w:space="0" w:color="auto"/>
            </w:tcBorders>
            <w:shd w:val="clear" w:color="000000" w:fill="A1F2FD"/>
            <w:noWrap/>
            <w:vAlign w:val="center"/>
            <w:hideMark/>
          </w:tcPr>
          <w:p w14:paraId="34765B61" w14:textId="77777777" w:rsidR="00140D80" w:rsidRPr="005F54EB" w:rsidRDefault="00140D80" w:rsidP="007E51A1">
            <w:pPr>
              <w:jc w:val="center"/>
              <w:rPr>
                <w:rFonts w:cs="Arial"/>
                <w:b/>
                <w:bCs/>
                <w:color w:val="000000"/>
                <w:sz w:val="20"/>
                <w:szCs w:val="20"/>
              </w:rPr>
            </w:pPr>
            <w:r w:rsidRPr="005F54EB">
              <w:rPr>
                <w:rFonts w:cs="Arial"/>
                <w:b/>
                <w:bCs/>
                <w:color w:val="000000"/>
                <w:sz w:val="20"/>
                <w:szCs w:val="20"/>
              </w:rPr>
              <w:t>Descrição</w:t>
            </w:r>
          </w:p>
        </w:tc>
        <w:tc>
          <w:tcPr>
            <w:tcW w:w="832" w:type="pct"/>
            <w:tcBorders>
              <w:top w:val="single" w:sz="4" w:space="0" w:color="auto"/>
              <w:left w:val="nil"/>
              <w:bottom w:val="single" w:sz="4" w:space="0" w:color="auto"/>
              <w:right w:val="nil"/>
            </w:tcBorders>
            <w:shd w:val="clear" w:color="000000" w:fill="A1F2FD"/>
            <w:noWrap/>
            <w:vAlign w:val="center"/>
            <w:hideMark/>
          </w:tcPr>
          <w:p w14:paraId="3B9C644B" w14:textId="77777777" w:rsidR="00140D80" w:rsidRPr="005F54EB" w:rsidRDefault="00140D80" w:rsidP="007E51A1">
            <w:pPr>
              <w:jc w:val="center"/>
              <w:rPr>
                <w:rFonts w:cs="Arial"/>
                <w:b/>
                <w:bCs/>
                <w:color w:val="000000"/>
                <w:sz w:val="20"/>
                <w:szCs w:val="20"/>
              </w:rPr>
            </w:pPr>
            <w:r w:rsidRPr="005F54EB">
              <w:rPr>
                <w:rFonts w:cs="Arial"/>
                <w:b/>
                <w:bCs/>
                <w:color w:val="000000"/>
                <w:sz w:val="20"/>
                <w:szCs w:val="20"/>
              </w:rPr>
              <w:t>Valor</w:t>
            </w:r>
          </w:p>
        </w:tc>
      </w:tr>
      <w:tr w:rsidR="00140D80" w:rsidRPr="005F54EB" w14:paraId="25DB9101" w14:textId="77777777" w:rsidTr="005F54EB">
        <w:trPr>
          <w:trHeight w:val="340"/>
        </w:trPr>
        <w:tc>
          <w:tcPr>
            <w:tcW w:w="4168" w:type="pct"/>
            <w:tcBorders>
              <w:top w:val="nil"/>
              <w:left w:val="nil"/>
              <w:bottom w:val="nil"/>
              <w:right w:val="single" w:sz="4" w:space="0" w:color="auto"/>
            </w:tcBorders>
            <w:shd w:val="clear" w:color="auto" w:fill="auto"/>
            <w:noWrap/>
            <w:vAlign w:val="center"/>
            <w:hideMark/>
          </w:tcPr>
          <w:p w14:paraId="6232C6B1" w14:textId="77777777" w:rsidR="00140D80" w:rsidRPr="005F54EB" w:rsidRDefault="00140D80" w:rsidP="005F54EB">
            <w:pPr>
              <w:ind w:left="75"/>
              <w:rPr>
                <w:rFonts w:cs="Arial"/>
                <w:color w:val="000000"/>
                <w:sz w:val="20"/>
                <w:szCs w:val="20"/>
              </w:rPr>
            </w:pPr>
            <w:r w:rsidRPr="005F54EB">
              <w:rPr>
                <w:rFonts w:cs="Arial"/>
                <w:color w:val="000000"/>
                <w:sz w:val="20"/>
                <w:szCs w:val="20"/>
              </w:rPr>
              <w:t xml:space="preserve">Total das Receitas para Apuração da Aplicação em ASPS </w:t>
            </w:r>
          </w:p>
        </w:tc>
        <w:tc>
          <w:tcPr>
            <w:tcW w:w="832" w:type="pct"/>
            <w:tcBorders>
              <w:top w:val="nil"/>
              <w:left w:val="nil"/>
              <w:bottom w:val="nil"/>
              <w:right w:val="nil"/>
            </w:tcBorders>
            <w:shd w:val="clear" w:color="auto" w:fill="auto"/>
            <w:noWrap/>
            <w:vAlign w:val="center"/>
            <w:hideMark/>
          </w:tcPr>
          <w:p w14:paraId="50FD70C2" w14:textId="77777777" w:rsidR="00140D80" w:rsidRPr="005F54EB" w:rsidRDefault="00140D80" w:rsidP="007E51A1">
            <w:pPr>
              <w:jc w:val="right"/>
              <w:rPr>
                <w:rFonts w:cs="Arial"/>
                <w:color w:val="000000"/>
                <w:sz w:val="20"/>
                <w:szCs w:val="20"/>
              </w:rPr>
            </w:pPr>
            <w:r w:rsidRPr="005F54EB">
              <w:rPr>
                <w:rFonts w:cs="Arial"/>
                <w:color w:val="000000"/>
                <w:sz w:val="20"/>
                <w:szCs w:val="20"/>
              </w:rPr>
              <w:t>29.570.879.030</w:t>
            </w:r>
          </w:p>
        </w:tc>
      </w:tr>
      <w:tr w:rsidR="00140D80" w:rsidRPr="005F54EB" w14:paraId="565642B7" w14:textId="77777777" w:rsidTr="005F54EB">
        <w:trPr>
          <w:trHeight w:val="340"/>
        </w:trPr>
        <w:tc>
          <w:tcPr>
            <w:tcW w:w="4168" w:type="pct"/>
            <w:tcBorders>
              <w:top w:val="nil"/>
              <w:left w:val="nil"/>
              <w:bottom w:val="nil"/>
              <w:right w:val="single" w:sz="4" w:space="0" w:color="auto"/>
            </w:tcBorders>
            <w:shd w:val="clear" w:color="auto" w:fill="auto"/>
            <w:noWrap/>
            <w:vAlign w:val="center"/>
            <w:hideMark/>
          </w:tcPr>
          <w:p w14:paraId="7356949F" w14:textId="77777777" w:rsidR="00140D80" w:rsidRPr="005F54EB" w:rsidRDefault="00140D80" w:rsidP="005F54EB">
            <w:pPr>
              <w:ind w:left="75"/>
              <w:rPr>
                <w:rFonts w:cs="Arial"/>
                <w:color w:val="000000"/>
                <w:sz w:val="20"/>
                <w:szCs w:val="20"/>
              </w:rPr>
            </w:pPr>
            <w:r w:rsidRPr="005F54EB">
              <w:rPr>
                <w:rFonts w:cs="Arial"/>
                <w:color w:val="000000"/>
                <w:sz w:val="20"/>
                <w:szCs w:val="20"/>
              </w:rPr>
              <w:t xml:space="preserve">Total de Despesas com ASPS </w:t>
            </w:r>
          </w:p>
        </w:tc>
        <w:tc>
          <w:tcPr>
            <w:tcW w:w="832" w:type="pct"/>
            <w:tcBorders>
              <w:top w:val="nil"/>
              <w:left w:val="nil"/>
              <w:bottom w:val="nil"/>
              <w:right w:val="nil"/>
            </w:tcBorders>
            <w:shd w:val="clear" w:color="auto" w:fill="auto"/>
            <w:noWrap/>
            <w:vAlign w:val="center"/>
            <w:hideMark/>
          </w:tcPr>
          <w:p w14:paraId="5B909FFB" w14:textId="77777777" w:rsidR="00140D80" w:rsidRPr="005F54EB" w:rsidRDefault="00140D80" w:rsidP="007E51A1">
            <w:pPr>
              <w:jc w:val="right"/>
              <w:rPr>
                <w:rFonts w:cs="Arial"/>
                <w:color w:val="000000"/>
                <w:sz w:val="20"/>
                <w:szCs w:val="20"/>
              </w:rPr>
            </w:pPr>
            <w:r w:rsidRPr="005F54EB">
              <w:rPr>
                <w:rFonts w:cs="Arial"/>
                <w:color w:val="000000"/>
                <w:sz w:val="20"/>
                <w:szCs w:val="20"/>
              </w:rPr>
              <w:t>4.188.352.890</w:t>
            </w:r>
          </w:p>
        </w:tc>
      </w:tr>
      <w:tr w:rsidR="00140D80" w:rsidRPr="005F54EB" w14:paraId="7CB7653C" w14:textId="77777777" w:rsidTr="005F54EB">
        <w:trPr>
          <w:trHeight w:val="340"/>
        </w:trPr>
        <w:tc>
          <w:tcPr>
            <w:tcW w:w="4168" w:type="pct"/>
            <w:tcBorders>
              <w:top w:val="nil"/>
              <w:left w:val="nil"/>
              <w:bottom w:val="nil"/>
              <w:right w:val="single" w:sz="4" w:space="0" w:color="auto"/>
            </w:tcBorders>
            <w:shd w:val="clear" w:color="auto" w:fill="auto"/>
            <w:noWrap/>
            <w:vAlign w:val="center"/>
            <w:hideMark/>
          </w:tcPr>
          <w:p w14:paraId="464A3ADA" w14:textId="77777777" w:rsidR="00140D80" w:rsidRPr="005F54EB" w:rsidRDefault="00140D80" w:rsidP="005F54EB">
            <w:pPr>
              <w:ind w:left="75"/>
              <w:rPr>
                <w:rFonts w:cs="Arial"/>
                <w:color w:val="000000"/>
                <w:sz w:val="20"/>
                <w:szCs w:val="20"/>
              </w:rPr>
            </w:pPr>
            <w:r w:rsidRPr="005F54EB">
              <w:rPr>
                <w:rFonts w:cs="Arial"/>
                <w:color w:val="000000"/>
                <w:sz w:val="20"/>
                <w:szCs w:val="20"/>
              </w:rPr>
              <w:t>(-) Despesas Custeadas com Disponibilidade de Caixa Vinculada aos RPs Cancelados</w:t>
            </w:r>
          </w:p>
        </w:tc>
        <w:tc>
          <w:tcPr>
            <w:tcW w:w="832" w:type="pct"/>
            <w:tcBorders>
              <w:top w:val="nil"/>
              <w:left w:val="nil"/>
              <w:bottom w:val="nil"/>
              <w:right w:val="nil"/>
            </w:tcBorders>
            <w:shd w:val="clear" w:color="auto" w:fill="auto"/>
            <w:noWrap/>
            <w:vAlign w:val="center"/>
            <w:hideMark/>
          </w:tcPr>
          <w:p w14:paraId="28C084E7" w14:textId="77777777" w:rsidR="00140D80" w:rsidRPr="005F54EB" w:rsidRDefault="00140D80" w:rsidP="007E51A1">
            <w:pPr>
              <w:jc w:val="right"/>
              <w:rPr>
                <w:rFonts w:cs="Arial"/>
                <w:color w:val="000000"/>
                <w:sz w:val="20"/>
                <w:szCs w:val="20"/>
              </w:rPr>
            </w:pPr>
            <w:r w:rsidRPr="005F54EB">
              <w:rPr>
                <w:rFonts w:cs="Arial"/>
                <w:color w:val="000000"/>
                <w:sz w:val="20"/>
                <w:szCs w:val="20"/>
              </w:rPr>
              <w:t>48.641.387</w:t>
            </w:r>
          </w:p>
        </w:tc>
      </w:tr>
      <w:tr w:rsidR="00140D80" w:rsidRPr="005F54EB" w14:paraId="5BEB849E" w14:textId="77777777" w:rsidTr="005F54EB">
        <w:trPr>
          <w:trHeight w:val="340"/>
        </w:trPr>
        <w:tc>
          <w:tcPr>
            <w:tcW w:w="4168" w:type="pct"/>
            <w:tcBorders>
              <w:top w:val="nil"/>
              <w:left w:val="nil"/>
              <w:bottom w:val="nil"/>
              <w:right w:val="single" w:sz="4" w:space="0" w:color="auto"/>
            </w:tcBorders>
            <w:shd w:val="clear" w:color="auto" w:fill="auto"/>
            <w:noWrap/>
            <w:vAlign w:val="center"/>
            <w:hideMark/>
          </w:tcPr>
          <w:p w14:paraId="22B3AE67" w14:textId="77777777" w:rsidR="00140D80" w:rsidRPr="005F54EB" w:rsidRDefault="00140D80" w:rsidP="005F54EB">
            <w:pPr>
              <w:ind w:left="75"/>
              <w:rPr>
                <w:rFonts w:cs="Arial"/>
                <w:color w:val="000000"/>
                <w:sz w:val="20"/>
                <w:szCs w:val="20"/>
              </w:rPr>
            </w:pPr>
            <w:r w:rsidRPr="005F54EB">
              <w:rPr>
                <w:rFonts w:cs="Arial"/>
                <w:color w:val="000000"/>
                <w:sz w:val="20"/>
                <w:szCs w:val="20"/>
              </w:rPr>
              <w:t>Valor Aplicado em ASPS</w:t>
            </w:r>
          </w:p>
        </w:tc>
        <w:tc>
          <w:tcPr>
            <w:tcW w:w="832" w:type="pct"/>
            <w:tcBorders>
              <w:top w:val="nil"/>
              <w:left w:val="nil"/>
              <w:bottom w:val="nil"/>
              <w:right w:val="nil"/>
            </w:tcBorders>
            <w:shd w:val="clear" w:color="auto" w:fill="auto"/>
            <w:noWrap/>
            <w:vAlign w:val="center"/>
            <w:hideMark/>
          </w:tcPr>
          <w:p w14:paraId="623665C8" w14:textId="77777777" w:rsidR="00140D80" w:rsidRPr="005F54EB" w:rsidRDefault="00140D80" w:rsidP="007E51A1">
            <w:pPr>
              <w:jc w:val="right"/>
              <w:rPr>
                <w:rFonts w:cs="Arial"/>
                <w:color w:val="000000"/>
                <w:sz w:val="20"/>
                <w:szCs w:val="20"/>
              </w:rPr>
            </w:pPr>
            <w:r w:rsidRPr="005F54EB">
              <w:rPr>
                <w:rFonts w:cs="Arial"/>
                <w:color w:val="000000"/>
                <w:sz w:val="20"/>
                <w:szCs w:val="20"/>
              </w:rPr>
              <w:t>4.139.711.503</w:t>
            </w:r>
          </w:p>
        </w:tc>
      </w:tr>
      <w:tr w:rsidR="00140D80" w:rsidRPr="005F54EB" w14:paraId="27A7B820" w14:textId="77777777" w:rsidTr="005F54EB">
        <w:trPr>
          <w:trHeight w:val="340"/>
        </w:trPr>
        <w:tc>
          <w:tcPr>
            <w:tcW w:w="4168" w:type="pct"/>
            <w:tcBorders>
              <w:top w:val="single" w:sz="4" w:space="0" w:color="auto"/>
              <w:left w:val="nil"/>
              <w:bottom w:val="single" w:sz="4" w:space="0" w:color="auto"/>
              <w:right w:val="single" w:sz="4" w:space="0" w:color="auto"/>
            </w:tcBorders>
            <w:shd w:val="clear" w:color="auto" w:fill="auto"/>
            <w:noWrap/>
            <w:vAlign w:val="center"/>
            <w:hideMark/>
          </w:tcPr>
          <w:p w14:paraId="754B8EDE" w14:textId="77777777" w:rsidR="00140D80" w:rsidRPr="005F54EB" w:rsidRDefault="00140D80" w:rsidP="007E51A1">
            <w:pPr>
              <w:jc w:val="center"/>
              <w:rPr>
                <w:rFonts w:cs="Arial"/>
                <w:b/>
                <w:bCs/>
                <w:color w:val="000000"/>
                <w:sz w:val="20"/>
                <w:szCs w:val="20"/>
              </w:rPr>
            </w:pPr>
            <w:r w:rsidRPr="005F54EB">
              <w:rPr>
                <w:rFonts w:cs="Arial"/>
                <w:b/>
                <w:bCs/>
                <w:color w:val="000000"/>
                <w:sz w:val="20"/>
                <w:szCs w:val="20"/>
              </w:rPr>
              <w:t>Percentual de Aplicação</w:t>
            </w:r>
          </w:p>
        </w:tc>
        <w:tc>
          <w:tcPr>
            <w:tcW w:w="832" w:type="pct"/>
            <w:tcBorders>
              <w:top w:val="single" w:sz="4" w:space="0" w:color="auto"/>
              <w:left w:val="nil"/>
              <w:bottom w:val="single" w:sz="4" w:space="0" w:color="auto"/>
              <w:right w:val="nil"/>
            </w:tcBorders>
            <w:shd w:val="clear" w:color="auto" w:fill="auto"/>
            <w:noWrap/>
            <w:vAlign w:val="center"/>
            <w:hideMark/>
          </w:tcPr>
          <w:p w14:paraId="6EB4C2F2" w14:textId="77777777" w:rsidR="00140D80" w:rsidRPr="005F54EB" w:rsidRDefault="00140D80" w:rsidP="007E51A1">
            <w:pPr>
              <w:jc w:val="center"/>
              <w:rPr>
                <w:rFonts w:cs="Arial"/>
                <w:b/>
                <w:bCs/>
                <w:color w:val="000000"/>
                <w:sz w:val="20"/>
                <w:szCs w:val="20"/>
              </w:rPr>
            </w:pPr>
            <w:r w:rsidRPr="005F54EB">
              <w:rPr>
                <w:rFonts w:cs="Arial"/>
                <w:b/>
                <w:bCs/>
                <w:color w:val="000000"/>
                <w:sz w:val="20"/>
                <w:szCs w:val="20"/>
              </w:rPr>
              <w:t>14,00%</w:t>
            </w:r>
          </w:p>
        </w:tc>
      </w:tr>
    </w:tbl>
    <w:p w14:paraId="684F60FD" w14:textId="77777777" w:rsidR="00140D80" w:rsidRPr="00FD5C4E" w:rsidRDefault="00140D80" w:rsidP="00140D80">
      <w:pPr>
        <w:pStyle w:val="0-FONTEBALANO"/>
      </w:pPr>
      <w:r w:rsidRPr="00FD5C4E">
        <w:t>Fonte:</w:t>
      </w:r>
      <w:r w:rsidRPr="0099183A">
        <w:t xml:space="preserve"> RREO 6º bimestre/2023 e </w:t>
      </w:r>
      <w:r>
        <w:rPr>
          <w:i/>
        </w:rPr>
        <w:t>Business Objects</w:t>
      </w:r>
    </w:p>
    <w:p w14:paraId="4848C10C" w14:textId="77777777" w:rsidR="00140D80" w:rsidRDefault="00140D80" w:rsidP="00140D80">
      <w:pPr>
        <w:pStyle w:val="1-REL11"/>
        <w:rPr>
          <w:highlight w:val="yellow"/>
        </w:rPr>
      </w:pPr>
      <w:r>
        <w:t>Com base na regra estabelecida na LC nº 141/2012, o percentual de aplicação no exercício financeiro de 2023 atingiu 14,00%, ou seja, acima do mínimo exigido de 12%.</w:t>
      </w:r>
    </w:p>
    <w:p w14:paraId="2A22BBDB" w14:textId="77777777" w:rsidR="00140D80" w:rsidRPr="008C0613" w:rsidRDefault="00140D80" w:rsidP="00140D80">
      <w:pPr>
        <w:pStyle w:val="Ttulo3"/>
        <w:spacing w:before="0" w:after="220"/>
        <w:jc w:val="both"/>
      </w:pPr>
      <w:bookmarkStart w:id="345" w:name="_Hlk105516533"/>
      <w:bookmarkStart w:id="346" w:name="_Toc167871705"/>
      <w:bookmarkEnd w:id="341"/>
      <w:r w:rsidRPr="008C0613">
        <w:t>Emendas Parlamentares</w:t>
      </w:r>
      <w:bookmarkEnd w:id="346"/>
    </w:p>
    <w:p w14:paraId="118D99E0" w14:textId="77777777" w:rsidR="00140D80" w:rsidRDefault="00140D80" w:rsidP="00140D80">
      <w:pPr>
        <w:pStyle w:val="1-REL11"/>
      </w:pPr>
      <w:r w:rsidRPr="00237A54">
        <w:t>Foram previstas na LOA 2023 despesas na área da saúde, a serem executadas por meio de emendas parlamentares impositivas, no valor de R$</w:t>
      </w:r>
      <w:r>
        <w:t> </w:t>
      </w:r>
      <w:r w:rsidRPr="00237A54">
        <w:t>210,64 milhões, sendo R$</w:t>
      </w:r>
      <w:r>
        <w:t> </w:t>
      </w:r>
      <w:r w:rsidRPr="00237A54">
        <w:t>153,9</w:t>
      </w:r>
      <w:r>
        <w:t>9</w:t>
      </w:r>
      <w:r w:rsidRPr="00237A54">
        <w:t xml:space="preserve"> milhões em despesas correntes e R$</w:t>
      </w:r>
      <w:r>
        <w:t> </w:t>
      </w:r>
      <w:r w:rsidRPr="00237A54">
        <w:t>56,65 milhões em despesas de capital</w:t>
      </w:r>
      <w:r>
        <w:t xml:space="preserve">, por meio da ação 3141 - </w:t>
      </w:r>
      <w:r w:rsidRPr="004E44D1">
        <w:t>Projetos e Atividades na Área da Saúde Decorrentes de Emendas Parlamentares Impositivas - LOA 2023</w:t>
      </w:r>
      <w:r>
        <w:t>.</w:t>
      </w:r>
    </w:p>
    <w:p w14:paraId="0054EDA3" w14:textId="77777777" w:rsidR="00140D80" w:rsidRDefault="00140D80" w:rsidP="00140D80">
      <w:pPr>
        <w:pStyle w:val="1-REL11"/>
      </w:pPr>
      <w:r>
        <w:t>Após suplementações e reduções na dotação, o valor autorizado da despesa atingiu R$ 223,98 milhões, tendo sido empenhado 99,83% deste montante (R$ 223,61 milhões) e pagos 90,90% (R$ 203,59 milhões).</w:t>
      </w:r>
    </w:p>
    <w:p w14:paraId="552D2FB9" w14:textId="77777777" w:rsidR="00140D80" w:rsidRDefault="00140D80" w:rsidP="00140D80">
      <w:pPr>
        <w:pStyle w:val="1-REL11"/>
      </w:pPr>
      <w:r>
        <w:lastRenderedPageBreak/>
        <w:t>Em relação à despesa empenhada, o Fundo Municipal de Saúde de Luziânia foi o maior beneficiário de recursos, tendo recebido R$ 28,02 milhões (12,53% do total das emendas), seguido pelos Fundos Municipais de Saúde de Senador Canedo (R$ 9,78 milhões, 4,37% das emendas) e do Novo Gama (R$ 9,60 milhões, 4,29% das emendas).</w:t>
      </w:r>
    </w:p>
    <w:p w14:paraId="418CBE2D" w14:textId="77777777" w:rsidR="00140D80" w:rsidRDefault="00140D80" w:rsidP="00140D80">
      <w:pPr>
        <w:pStyle w:val="1-REL11"/>
      </w:pPr>
      <w:r>
        <w:t>Do total empenhado</w:t>
      </w:r>
      <w:r w:rsidRPr="00FE4C92">
        <w:t>, 97,85%</w:t>
      </w:r>
      <w:r>
        <w:t xml:space="preserve"> das emendas foram destinadas a Fundos Municipais de Saúde dos mais diversos municípios, enquanto 2,15 % (R$ 4,80 milhões) foram destinadas a particulares.</w:t>
      </w:r>
    </w:p>
    <w:p w14:paraId="4F6890C6" w14:textId="77777777" w:rsidR="00140D80" w:rsidRPr="00D9017C" w:rsidRDefault="00140D80" w:rsidP="00140D80">
      <w:pPr>
        <w:pStyle w:val="1-REL11"/>
      </w:pPr>
      <w:r>
        <w:t>Ressalta-se que o montante total de despesa executada por meio de emendas parlamentares foi incluída como ASPS e computada como despesa para o cálculo do limite mínimo de aplicação de recursos em ASPS, tendo representado, em relação a esta, 5,34%.</w:t>
      </w:r>
    </w:p>
    <w:p w14:paraId="7986E041" w14:textId="61D9D221" w:rsidR="00140D80" w:rsidRPr="00BD0CE5" w:rsidRDefault="00140D80" w:rsidP="00140D80">
      <w:pPr>
        <w:pStyle w:val="Ttulo3"/>
        <w:spacing w:before="0" w:after="220"/>
        <w:jc w:val="both"/>
      </w:pPr>
      <w:bookmarkStart w:id="347" w:name="_Toc135332725"/>
      <w:bookmarkStart w:id="348" w:name="_Toc167871706"/>
      <w:bookmarkEnd w:id="345"/>
      <w:r w:rsidRPr="00BD0CE5">
        <w:t xml:space="preserve">Sistema de Informações </w:t>
      </w:r>
      <w:r>
        <w:t>s</w:t>
      </w:r>
      <w:r w:rsidRPr="00BD0CE5">
        <w:t>obre Orçamentos Públicos em Saúde</w:t>
      </w:r>
      <w:bookmarkEnd w:id="347"/>
      <w:bookmarkEnd w:id="348"/>
      <w:r w:rsidRPr="00BD0CE5">
        <w:t xml:space="preserve"> </w:t>
      </w:r>
    </w:p>
    <w:p w14:paraId="46562622" w14:textId="77777777" w:rsidR="00140D80" w:rsidRPr="00BD0CE5" w:rsidRDefault="00140D80" w:rsidP="00140D80">
      <w:pPr>
        <w:pStyle w:val="1-REL11"/>
      </w:pPr>
      <w:bookmarkStart w:id="349" w:name="_Hlk105516132"/>
      <w:r w:rsidRPr="00BD0CE5">
        <w:t>Para o monitoramento das aplicações de recursos realizadas pelos entes da Federação, a LC nº 141/2012, em seu art. 39, dispõe que o Ministério da Saúde deverá manter sistema de registro eletrônico centralizado das informações de saúde referentes aos orçamentos públicos da União, dos estados, do Distrito Federal e dos municípios, além de estabelecer as diretrizes para o funcionamento desse sistema e os prazos para registro e homologação das informações.</w:t>
      </w:r>
    </w:p>
    <w:p w14:paraId="7201BE64" w14:textId="77777777" w:rsidR="00140D80" w:rsidRPr="00BD0CE5" w:rsidRDefault="00140D80" w:rsidP="00140D80">
      <w:pPr>
        <w:pStyle w:val="1-REL11"/>
      </w:pPr>
      <w:r w:rsidRPr="00BD0CE5">
        <w:t xml:space="preserve">Este sistema foi institucionalizado como Sistema de Informações sobre Orçamentos Públicos em Saúde (Siops). Os estados têm obrigatoriedade de registro e atualização permanente no Siops dos dados referentes à saúde, sendo efetuado cálculo automático, a partir das informações declaradas, dos recursos mínimos aplicados em ASPS. </w:t>
      </w:r>
    </w:p>
    <w:p w14:paraId="47F1EC94" w14:textId="77777777" w:rsidR="00140D80" w:rsidRDefault="00140D80" w:rsidP="00140D80">
      <w:pPr>
        <w:pStyle w:val="1-REL11"/>
      </w:pPr>
      <w:r w:rsidRPr="00BD0CE5">
        <w:t>Após consulta ao sistema, verificou-se que o Estado entregou as declarações devidas em 2023, conforme relatório extraído do Portal Eletrônico do Ministério da Saúde, e constatou-se a compatibilidade da totalidade das informações declaradas ao Siops  com aquelas publicadas no RREO do 6º bimestre de 2023.</w:t>
      </w:r>
      <w:bookmarkEnd w:id="349"/>
    </w:p>
    <w:p w14:paraId="600E0486" w14:textId="1E5505B9" w:rsidR="002C0FF2" w:rsidRDefault="002C0FF2" w:rsidP="00A06C74">
      <w:pPr>
        <w:pStyle w:val="1-REL11"/>
      </w:pPr>
    </w:p>
    <w:p w14:paraId="3EC93E95" w14:textId="19B4B228" w:rsidR="002C0FF2" w:rsidRDefault="002C0FF2" w:rsidP="00A06C74">
      <w:pPr>
        <w:pStyle w:val="1-REL11"/>
      </w:pPr>
    </w:p>
    <w:p w14:paraId="44237555" w14:textId="14C775B1" w:rsidR="002C0FF2" w:rsidRDefault="002C0FF2" w:rsidP="00A06C74">
      <w:pPr>
        <w:pStyle w:val="1-REL11"/>
      </w:pPr>
    </w:p>
    <w:p w14:paraId="718ECCEF" w14:textId="77777777" w:rsidR="008859D8" w:rsidRPr="00B215AC" w:rsidRDefault="008859D8" w:rsidP="00B523B9">
      <w:pPr>
        <w:pStyle w:val="1-REL11"/>
        <w:rPr>
          <w:color w:val="FF0000"/>
        </w:rPr>
        <w:sectPr w:rsidR="008859D8" w:rsidRPr="00B215AC" w:rsidSect="00CE6AFE">
          <w:footerReference w:type="default" r:id="rId58"/>
          <w:footnotePr>
            <w:numRestart w:val="eachSect"/>
          </w:footnotePr>
          <w:pgSz w:w="11905" w:h="16837"/>
          <w:pgMar w:top="1134" w:right="851" w:bottom="1134" w:left="1701" w:header="720" w:footer="720" w:gutter="0"/>
          <w:cols w:space="720"/>
          <w:noEndnote/>
        </w:sectPr>
      </w:pPr>
    </w:p>
    <w:p w14:paraId="0E58E709" w14:textId="77777777" w:rsidR="008859D8" w:rsidRPr="00B215AC" w:rsidRDefault="008859D8" w:rsidP="008859D8">
      <w:pPr>
        <w:pStyle w:val="0-TXT11"/>
        <w:rPr>
          <w:rFonts w:cs="Times New Roman"/>
          <w:color w:val="FF0000"/>
        </w:rPr>
      </w:pPr>
    </w:p>
    <w:p w14:paraId="03A401A4" w14:textId="77777777" w:rsidR="008859D8" w:rsidRPr="00B215AC" w:rsidRDefault="008859D8" w:rsidP="008859D8">
      <w:pPr>
        <w:pStyle w:val="0-TXT11"/>
        <w:rPr>
          <w:rFonts w:cs="Times New Roman"/>
          <w:color w:val="FF0000"/>
        </w:rPr>
      </w:pPr>
    </w:p>
    <w:p w14:paraId="45DF9AFD" w14:textId="77777777" w:rsidR="008859D8" w:rsidRPr="00B215AC" w:rsidRDefault="008859D8" w:rsidP="008859D8">
      <w:pPr>
        <w:pStyle w:val="0-TXT11"/>
        <w:rPr>
          <w:rFonts w:cs="Times New Roman"/>
          <w:color w:val="FF0000"/>
        </w:rPr>
      </w:pPr>
    </w:p>
    <w:p w14:paraId="2E49AE68" w14:textId="77777777" w:rsidR="008859D8" w:rsidRPr="00B215AC" w:rsidRDefault="008859D8" w:rsidP="008859D8">
      <w:pPr>
        <w:pStyle w:val="0-TXT11"/>
        <w:rPr>
          <w:rFonts w:cs="Times New Roman"/>
          <w:color w:val="FF0000"/>
        </w:rPr>
      </w:pPr>
    </w:p>
    <w:p w14:paraId="5BB4A518" w14:textId="77777777" w:rsidR="008859D8" w:rsidRPr="00B215AC" w:rsidRDefault="008859D8" w:rsidP="008859D8">
      <w:pPr>
        <w:pStyle w:val="0-TXT11"/>
        <w:rPr>
          <w:rFonts w:cs="Times New Roman"/>
          <w:color w:val="FF0000"/>
        </w:rPr>
      </w:pPr>
    </w:p>
    <w:p w14:paraId="3C2E7757" w14:textId="77777777" w:rsidR="008859D8" w:rsidRPr="00B215AC" w:rsidRDefault="008859D8" w:rsidP="008859D8">
      <w:pPr>
        <w:pStyle w:val="0-TXT11"/>
        <w:rPr>
          <w:rFonts w:cs="Times New Roman"/>
          <w:color w:val="FF0000"/>
        </w:rPr>
      </w:pPr>
    </w:p>
    <w:p w14:paraId="5DA5147A" w14:textId="77777777" w:rsidR="008859D8" w:rsidRPr="00B215AC" w:rsidRDefault="008859D8" w:rsidP="008859D8">
      <w:pPr>
        <w:pStyle w:val="0-TXT11"/>
        <w:rPr>
          <w:rFonts w:cs="Times New Roman"/>
          <w:color w:val="FF0000"/>
        </w:rPr>
      </w:pPr>
    </w:p>
    <w:p w14:paraId="210F7E4A" w14:textId="77777777" w:rsidR="008859D8" w:rsidRPr="00B215AC" w:rsidRDefault="008859D8" w:rsidP="008859D8">
      <w:pPr>
        <w:pStyle w:val="0-TXT11"/>
        <w:rPr>
          <w:rFonts w:cs="Times New Roman"/>
          <w:color w:val="FF0000"/>
        </w:rPr>
      </w:pPr>
    </w:p>
    <w:p w14:paraId="6A6C9AEC" w14:textId="77777777" w:rsidR="008859D8" w:rsidRPr="00B215AC" w:rsidRDefault="008859D8" w:rsidP="008859D8">
      <w:pPr>
        <w:pStyle w:val="0-TXT11"/>
        <w:rPr>
          <w:rFonts w:cs="Times New Roman"/>
          <w:color w:val="FF0000"/>
        </w:rPr>
      </w:pPr>
    </w:p>
    <w:p w14:paraId="638038DB" w14:textId="77777777" w:rsidR="008859D8" w:rsidRPr="00B215AC" w:rsidRDefault="008859D8" w:rsidP="008859D8">
      <w:pPr>
        <w:pStyle w:val="0-TXT11"/>
        <w:rPr>
          <w:rFonts w:cs="Times New Roman"/>
          <w:color w:val="FF0000"/>
        </w:rPr>
      </w:pPr>
    </w:p>
    <w:p w14:paraId="491223B1" w14:textId="77777777" w:rsidR="008859D8" w:rsidRPr="00B215AC" w:rsidRDefault="008859D8" w:rsidP="008859D8">
      <w:pPr>
        <w:pStyle w:val="0-TXT11"/>
        <w:rPr>
          <w:rFonts w:cs="Times New Roman"/>
          <w:color w:val="FF0000"/>
        </w:rPr>
      </w:pPr>
    </w:p>
    <w:p w14:paraId="57F019FC" w14:textId="77777777" w:rsidR="008859D8" w:rsidRPr="00B215AC" w:rsidRDefault="008859D8" w:rsidP="008859D8">
      <w:pPr>
        <w:pStyle w:val="0-TXT11"/>
        <w:rPr>
          <w:rFonts w:cs="Times New Roman"/>
          <w:color w:val="FF0000"/>
        </w:rPr>
      </w:pPr>
    </w:p>
    <w:p w14:paraId="3121CCD6" w14:textId="77777777" w:rsidR="008859D8" w:rsidRPr="00B215AC" w:rsidRDefault="008859D8" w:rsidP="008859D8">
      <w:pPr>
        <w:pStyle w:val="0-TXT11"/>
        <w:rPr>
          <w:rFonts w:cs="Times New Roman"/>
          <w:color w:val="FF0000"/>
        </w:rPr>
      </w:pPr>
    </w:p>
    <w:p w14:paraId="78BC03FB" w14:textId="77777777" w:rsidR="008859D8" w:rsidRPr="00B215AC" w:rsidRDefault="008859D8" w:rsidP="008859D8">
      <w:pPr>
        <w:pStyle w:val="0-TXT11"/>
        <w:rPr>
          <w:rFonts w:cs="Times New Roman"/>
          <w:color w:val="FF0000"/>
        </w:rPr>
      </w:pPr>
    </w:p>
    <w:p w14:paraId="5FF1B702" w14:textId="77777777" w:rsidR="008859D8" w:rsidRPr="00B215AC" w:rsidRDefault="008859D8" w:rsidP="008859D8">
      <w:pPr>
        <w:pStyle w:val="0-TXT11"/>
        <w:rPr>
          <w:rFonts w:cs="Times New Roman"/>
          <w:color w:val="FF0000"/>
        </w:rPr>
      </w:pPr>
    </w:p>
    <w:p w14:paraId="5706A742" w14:textId="77777777" w:rsidR="008859D8" w:rsidRPr="00B215AC" w:rsidRDefault="008859D8" w:rsidP="008859D8">
      <w:pPr>
        <w:pStyle w:val="0-TXT11"/>
        <w:rPr>
          <w:rFonts w:cs="Times New Roman"/>
          <w:color w:val="FF0000"/>
        </w:rPr>
      </w:pPr>
    </w:p>
    <w:p w14:paraId="354B7F85" w14:textId="77777777" w:rsidR="008859D8" w:rsidRPr="00B215AC" w:rsidRDefault="008859D8" w:rsidP="008859D8">
      <w:pPr>
        <w:pStyle w:val="0-TXT11"/>
        <w:rPr>
          <w:rFonts w:cs="Times New Roman"/>
          <w:color w:val="FF0000"/>
        </w:rPr>
      </w:pPr>
    </w:p>
    <w:p w14:paraId="2C67E46A" w14:textId="77777777" w:rsidR="008859D8" w:rsidRPr="00B215AC" w:rsidRDefault="008859D8" w:rsidP="008859D8">
      <w:pPr>
        <w:pStyle w:val="0-TXT11"/>
        <w:rPr>
          <w:rFonts w:cs="Times New Roman"/>
          <w:color w:val="FF0000"/>
        </w:rPr>
      </w:pPr>
    </w:p>
    <w:p w14:paraId="28B27AD8" w14:textId="77777777" w:rsidR="008859D8" w:rsidRPr="00B215AC" w:rsidRDefault="008859D8" w:rsidP="008859D8">
      <w:pPr>
        <w:pStyle w:val="0-TXT11"/>
        <w:rPr>
          <w:rFonts w:cs="Times New Roman"/>
          <w:color w:val="FF0000"/>
        </w:rPr>
      </w:pPr>
    </w:p>
    <w:p w14:paraId="621F7D1E" w14:textId="77777777" w:rsidR="008859D8" w:rsidRPr="00B215AC" w:rsidRDefault="008859D8" w:rsidP="008859D8">
      <w:pPr>
        <w:pStyle w:val="0-TXT11"/>
        <w:rPr>
          <w:rFonts w:cs="Times New Roman"/>
          <w:color w:val="FF0000"/>
        </w:rPr>
      </w:pPr>
    </w:p>
    <w:p w14:paraId="6D0FE121" w14:textId="77777777" w:rsidR="008859D8" w:rsidRPr="00B215AC" w:rsidRDefault="008859D8" w:rsidP="008859D8">
      <w:pPr>
        <w:pStyle w:val="0-TXT11"/>
        <w:rPr>
          <w:rFonts w:cs="Times New Roman"/>
          <w:color w:val="FF0000"/>
        </w:rPr>
      </w:pPr>
    </w:p>
    <w:p w14:paraId="153CAB26" w14:textId="77777777" w:rsidR="008859D8" w:rsidRPr="00B215AC" w:rsidRDefault="008859D8" w:rsidP="008859D8">
      <w:pPr>
        <w:pStyle w:val="0-TXT11"/>
        <w:rPr>
          <w:rFonts w:cs="Times New Roman"/>
          <w:color w:val="FF0000"/>
        </w:rPr>
      </w:pPr>
    </w:p>
    <w:p w14:paraId="63A8CADA" w14:textId="77777777" w:rsidR="001204B3" w:rsidRPr="00B215AC" w:rsidRDefault="001204B3" w:rsidP="001204B3">
      <w:pPr>
        <w:pStyle w:val="0-TXT11"/>
        <w:rPr>
          <w:rFonts w:cs="Times New Roman"/>
          <w:color w:val="FF0000"/>
        </w:rPr>
      </w:pPr>
    </w:p>
    <w:p w14:paraId="5D7AFA11" w14:textId="77777777" w:rsidR="001204B3" w:rsidRPr="009A2084" w:rsidRDefault="001204B3" w:rsidP="001204B3">
      <w:pPr>
        <w:pStyle w:val="Ttulo"/>
        <w:rPr>
          <w:color w:val="auto"/>
        </w:rPr>
      </w:pPr>
    </w:p>
    <w:p w14:paraId="51D83518" w14:textId="722C5330" w:rsidR="001204B3" w:rsidRPr="009A2084" w:rsidRDefault="001204B3" w:rsidP="001204B3">
      <w:pPr>
        <w:pStyle w:val="1-REL11"/>
        <w:jc w:val="right"/>
        <w:rPr>
          <w:sz w:val="96"/>
          <w:szCs w:val="96"/>
        </w:rPr>
      </w:pPr>
      <w:r w:rsidRPr="009A2084">
        <w:rPr>
          <w:sz w:val="96"/>
          <w:szCs w:val="96"/>
        </w:rPr>
        <w:t>6</w:t>
      </w:r>
    </w:p>
    <w:p w14:paraId="6E79A82B" w14:textId="30032F6B" w:rsidR="001204B3" w:rsidRPr="009A2084" w:rsidRDefault="001204B3" w:rsidP="001204B3">
      <w:pPr>
        <w:pStyle w:val="0-TXT11"/>
        <w:ind w:right="-2"/>
        <w:jc w:val="right"/>
        <w:rPr>
          <w:rFonts w:cs="Times New Roman"/>
          <w:sz w:val="48"/>
          <w:szCs w:val="48"/>
        </w:rPr>
      </w:pPr>
      <w:r w:rsidRPr="009A2084">
        <w:rPr>
          <w:rFonts w:cs="Times New Roman"/>
          <w:sz w:val="48"/>
          <w:szCs w:val="48"/>
        </w:rPr>
        <w:t>Gestão Patrimonial</w:t>
      </w:r>
    </w:p>
    <w:p w14:paraId="4C355A47" w14:textId="77777777" w:rsidR="001204B3" w:rsidRPr="009A2084" w:rsidRDefault="001204B3" w:rsidP="001204B3">
      <w:pPr>
        <w:pStyle w:val="0-TXT11"/>
        <w:ind w:right="-2"/>
        <w:rPr>
          <w:rFonts w:cs="Times New Roman"/>
        </w:rPr>
      </w:pPr>
    </w:p>
    <w:p w14:paraId="35D53BEC" w14:textId="77777777" w:rsidR="001204B3" w:rsidRPr="009A2084" w:rsidRDefault="001204B3" w:rsidP="001204B3">
      <w:pPr>
        <w:pStyle w:val="0-TXT11"/>
        <w:ind w:right="-2"/>
        <w:rPr>
          <w:rFonts w:cs="Times New Roman"/>
        </w:rPr>
      </w:pPr>
    </w:p>
    <w:p w14:paraId="0DEBA565" w14:textId="77777777" w:rsidR="00A9731B" w:rsidRPr="009A2084" w:rsidRDefault="00A9731B" w:rsidP="008859D8">
      <w:pPr>
        <w:pStyle w:val="0-TXT11"/>
        <w:ind w:right="-2"/>
        <w:rPr>
          <w:rFonts w:cs="Times New Roman"/>
        </w:rPr>
      </w:pPr>
    </w:p>
    <w:p w14:paraId="7B867E27" w14:textId="77777777" w:rsidR="008859D8" w:rsidRPr="009A2084" w:rsidRDefault="008859D8" w:rsidP="008859D8">
      <w:pPr>
        <w:pStyle w:val="0-TXT11"/>
        <w:ind w:right="-2"/>
        <w:rPr>
          <w:rFonts w:cs="Times New Roman"/>
        </w:rPr>
      </w:pPr>
    </w:p>
    <w:p w14:paraId="71A29B98" w14:textId="77777777" w:rsidR="008859D8" w:rsidRPr="00B215AC" w:rsidRDefault="008859D8" w:rsidP="008859D8">
      <w:pPr>
        <w:pStyle w:val="0-TXT11"/>
        <w:ind w:right="-2"/>
        <w:rPr>
          <w:rFonts w:cs="Times New Roman"/>
          <w:color w:val="FF0000"/>
        </w:rPr>
      </w:pPr>
    </w:p>
    <w:p w14:paraId="0638191F" w14:textId="77777777" w:rsidR="008859D8" w:rsidRPr="00B215AC" w:rsidRDefault="008859D8" w:rsidP="008859D8">
      <w:pPr>
        <w:pStyle w:val="0-TXT11"/>
        <w:ind w:right="-2"/>
        <w:rPr>
          <w:rFonts w:cs="Times New Roman"/>
          <w:color w:val="FF0000"/>
        </w:rPr>
      </w:pPr>
    </w:p>
    <w:p w14:paraId="31287A54" w14:textId="77777777" w:rsidR="008859D8" w:rsidRPr="00B215AC" w:rsidRDefault="008859D8" w:rsidP="008859D8">
      <w:pPr>
        <w:pStyle w:val="0-TXT11"/>
        <w:ind w:right="-2"/>
        <w:rPr>
          <w:rFonts w:cs="Times New Roman"/>
          <w:color w:val="FF0000"/>
        </w:rPr>
        <w:sectPr w:rsidR="008859D8" w:rsidRPr="00B215AC" w:rsidSect="00C57A3A">
          <w:footerReference w:type="default" r:id="rId59"/>
          <w:footnotePr>
            <w:numRestart w:val="eachSect"/>
          </w:footnotePr>
          <w:pgSz w:w="11905" w:h="16837"/>
          <w:pgMar w:top="1134" w:right="851" w:bottom="1134" w:left="1701" w:header="720" w:footer="720" w:gutter="0"/>
          <w:cols w:space="720"/>
          <w:noEndnote/>
        </w:sectPr>
      </w:pPr>
    </w:p>
    <w:p w14:paraId="78E9A79A" w14:textId="020AFE38" w:rsidR="00D279FB" w:rsidRPr="00B215AC" w:rsidRDefault="00D279FB" w:rsidP="00E175C4">
      <w:pPr>
        <w:pStyle w:val="Ttulo1"/>
      </w:pPr>
      <w:bookmarkStart w:id="350" w:name="_Toc511305556"/>
      <w:bookmarkStart w:id="351" w:name="_Toc511381630"/>
      <w:bookmarkStart w:id="352" w:name="_Toc167871707"/>
      <w:r w:rsidRPr="00B215AC">
        <w:lastRenderedPageBreak/>
        <w:t>Gestão Patrimonial</w:t>
      </w:r>
      <w:bookmarkEnd w:id="350"/>
      <w:bookmarkEnd w:id="351"/>
      <w:bookmarkEnd w:id="352"/>
    </w:p>
    <w:p w14:paraId="0B1898D7" w14:textId="77777777" w:rsidR="00C72155" w:rsidRPr="00AF4F48" w:rsidRDefault="00C72155" w:rsidP="00C72155">
      <w:pPr>
        <w:pStyle w:val="1-REL11"/>
        <w:rPr>
          <w:rFonts w:cs="Arial"/>
        </w:rPr>
      </w:pPr>
      <w:bookmarkStart w:id="353" w:name="_Toc129942508"/>
      <w:bookmarkStart w:id="354" w:name="_Toc129942509"/>
      <w:bookmarkStart w:id="355" w:name="_Toc511305566"/>
      <w:bookmarkStart w:id="356" w:name="_Toc511381638"/>
      <w:r w:rsidRPr="00311F1B">
        <w:rPr>
          <w:rFonts w:cs="Arial"/>
        </w:rPr>
        <w:t>O estudo da Gestão Patrimonial envolve a análise dos registros e controles relacionados aos bens, direitos e obrigações do Estado, bem como a sua apresentação nas demonstrações contábeis oficiais</w:t>
      </w:r>
      <w:r w:rsidRPr="00AF4F48">
        <w:rPr>
          <w:rFonts w:cs="Arial"/>
        </w:rPr>
        <w:t>.</w:t>
      </w:r>
    </w:p>
    <w:p w14:paraId="49AC1F63" w14:textId="77777777" w:rsidR="00C72155" w:rsidRPr="00323A99" w:rsidRDefault="00C72155" w:rsidP="00C72155">
      <w:pPr>
        <w:pStyle w:val="1-REL11"/>
        <w:rPr>
          <w:rFonts w:cs="Arial"/>
          <w:highlight w:val="yellow"/>
        </w:rPr>
      </w:pPr>
      <w:r w:rsidRPr="00142137">
        <w:rPr>
          <w:rFonts w:cs="Arial"/>
        </w:rPr>
        <w:t>A análise é feita em consonância com o descrito na Lei nº 4.320, de 17 de março de 1964</w:t>
      </w:r>
      <w:r>
        <w:rPr>
          <w:rFonts w:cs="Arial"/>
        </w:rPr>
        <w:t>,</w:t>
      </w:r>
      <w:r w:rsidRPr="00311F1B">
        <w:rPr>
          <w:rFonts w:cs="Arial"/>
        </w:rPr>
        <w:t xml:space="preserve"> Lei Complementar nº 101, de 04 de maio de 2000</w:t>
      </w:r>
      <w:r>
        <w:rPr>
          <w:rFonts w:cs="Arial"/>
        </w:rPr>
        <w:t xml:space="preserve"> – Lei de Responsabilidade Fiscal (LRF),</w:t>
      </w:r>
      <w:r w:rsidRPr="00311F1B">
        <w:rPr>
          <w:rFonts w:cs="Arial"/>
        </w:rPr>
        <w:t xml:space="preserve"> e demais leis correlatas, normas da Secretaria do Tesouro Nacional (STN)</w:t>
      </w:r>
      <w:r>
        <w:rPr>
          <w:rFonts w:cs="Arial"/>
        </w:rPr>
        <w:t xml:space="preserve">, especialmente </w:t>
      </w:r>
      <w:r w:rsidRPr="00CD646C">
        <w:rPr>
          <w:rFonts w:cs="Arial"/>
        </w:rPr>
        <w:t xml:space="preserve">o Manual de Contabilidade Aplicada ao Setor Público (MCASP), assim como nas Normas Brasileiras de Contabilidade Técnicas do Setor Público (NBC TSP) do Conselho Federal de Contabilidade (CFC), sendo que o objetivo da elaboração e divulgação </w:t>
      </w:r>
      <w:r>
        <w:rPr>
          <w:rFonts w:cs="Arial"/>
        </w:rPr>
        <w:t>das d</w:t>
      </w:r>
      <w:r w:rsidRPr="00CD646C">
        <w:rPr>
          <w:rFonts w:cs="Arial"/>
        </w:rPr>
        <w:t xml:space="preserve">emonstrações </w:t>
      </w:r>
      <w:r>
        <w:rPr>
          <w:rFonts w:cs="Arial"/>
        </w:rPr>
        <w:t>c</w:t>
      </w:r>
      <w:r w:rsidRPr="00CD646C">
        <w:rPr>
          <w:rFonts w:cs="Arial"/>
        </w:rPr>
        <w:t xml:space="preserve">ontábeis </w:t>
      </w:r>
      <w:r>
        <w:rPr>
          <w:rFonts w:cs="Arial"/>
        </w:rPr>
        <w:t>no s</w:t>
      </w:r>
      <w:r w:rsidRPr="00CD646C">
        <w:rPr>
          <w:rFonts w:cs="Arial"/>
        </w:rPr>
        <w:t xml:space="preserve">etor </w:t>
      </w:r>
      <w:r>
        <w:rPr>
          <w:rFonts w:cs="Arial"/>
        </w:rPr>
        <w:t>p</w:t>
      </w:r>
      <w:r w:rsidRPr="00CD646C">
        <w:rPr>
          <w:rFonts w:cs="Arial"/>
        </w:rPr>
        <w:t>úblico</w:t>
      </w:r>
      <w:r>
        <w:rPr>
          <w:rFonts w:cs="Arial"/>
        </w:rPr>
        <w:t xml:space="preserve"> </w:t>
      </w:r>
      <w:r w:rsidRPr="00CD646C">
        <w:rPr>
          <w:rFonts w:cs="Arial"/>
        </w:rPr>
        <w:t xml:space="preserve">é </w:t>
      </w:r>
      <w:r>
        <w:t>proporcionar informação útil para subsidiar a tomada de decisão e a prestação de contas e responsabilização (</w:t>
      </w:r>
      <w:r>
        <w:rPr>
          <w:i/>
          <w:iCs/>
        </w:rPr>
        <w:t>accountability</w:t>
      </w:r>
      <w:r>
        <w:t>)</w:t>
      </w:r>
      <w:r w:rsidRPr="00CD646C">
        <w:rPr>
          <w:rFonts w:cs="Arial"/>
        </w:rPr>
        <w:t>.</w:t>
      </w:r>
    </w:p>
    <w:p w14:paraId="6B3CE40A" w14:textId="77777777" w:rsidR="00C72155" w:rsidRPr="00323A99" w:rsidRDefault="00C72155" w:rsidP="00C72155">
      <w:pPr>
        <w:pStyle w:val="1-REL11"/>
        <w:rPr>
          <w:rFonts w:cs="Arial"/>
          <w:highlight w:val="yellow"/>
        </w:rPr>
      </w:pPr>
      <w:r w:rsidRPr="004010FE">
        <w:rPr>
          <w:rFonts w:cs="Arial"/>
        </w:rPr>
        <w:t xml:space="preserve">Para a análise da Gestão Patrimonial utilizou-se dos Demonstrativos Contábeis </w:t>
      </w:r>
      <w:r w:rsidRPr="007F1B05">
        <w:rPr>
          <w:rFonts w:cs="Arial"/>
        </w:rPr>
        <w:t xml:space="preserve">enviados </w:t>
      </w:r>
      <w:r>
        <w:rPr>
          <w:rFonts w:cs="Arial"/>
        </w:rPr>
        <w:t>na Prestação de Contas do</w:t>
      </w:r>
      <w:r w:rsidRPr="007F1B05">
        <w:rPr>
          <w:rFonts w:cs="Arial"/>
        </w:rPr>
        <w:t xml:space="preserve"> Governador a esta Corte de Contas, bem com as informações contidas no documento Balanço Geral do Estado (BGE). Complementarmente foram realizadas consultas em sistemas, tais como o Sistema de Contabilidade Geral do Estado (SCG), Sistema de Programação e Execução Orçamentária e Financeira (S</w:t>
      </w:r>
      <w:r>
        <w:rPr>
          <w:rFonts w:cs="Arial"/>
        </w:rPr>
        <w:t>iofi-Net</w:t>
      </w:r>
      <w:r w:rsidRPr="007F1B05">
        <w:rPr>
          <w:rFonts w:cs="Arial"/>
        </w:rPr>
        <w:t xml:space="preserve">) e </w:t>
      </w:r>
      <w:r w:rsidRPr="007F1B05">
        <w:rPr>
          <w:rFonts w:cs="Arial"/>
          <w:i/>
          <w:iCs/>
        </w:rPr>
        <w:t xml:space="preserve">Business Objects </w:t>
      </w:r>
      <w:r w:rsidRPr="001D7145">
        <w:rPr>
          <w:rFonts w:cs="Arial"/>
          <w:iCs/>
        </w:rPr>
        <w:t>(BO)</w:t>
      </w:r>
      <w:r w:rsidRPr="007F1B05">
        <w:rPr>
          <w:rFonts w:cs="Arial"/>
          <w:i/>
          <w:iCs/>
        </w:rPr>
        <w:t>.</w:t>
      </w:r>
    </w:p>
    <w:p w14:paraId="1A0553FD" w14:textId="77777777" w:rsidR="00C72155" w:rsidRDefault="00C72155" w:rsidP="00C72155">
      <w:pPr>
        <w:pStyle w:val="1-REL11"/>
        <w:rPr>
          <w:rFonts w:cs="Arial"/>
        </w:rPr>
      </w:pPr>
      <w:r w:rsidRPr="007F1B05">
        <w:rPr>
          <w:rFonts w:cs="Arial"/>
        </w:rPr>
        <w:t>Logo, a análise buscou concluir não somente quanto à correta correspondência dos valores apresentados nos demonstrativos à realidade patrimonial do Estado, mas também se as características qualitativas da informação contábil (relevância, representação fidedigna, compreensibilidade, tempestividade, comparabilidade e verificabilidade) estão presentes nestes demonstrativos.</w:t>
      </w:r>
    </w:p>
    <w:p w14:paraId="5973CA3B" w14:textId="77777777" w:rsidR="00C72155" w:rsidRPr="007F1B05" w:rsidRDefault="00C72155" w:rsidP="00C72155">
      <w:pPr>
        <w:pStyle w:val="1-REL11"/>
        <w:rPr>
          <w:rFonts w:cs="Arial"/>
        </w:rPr>
      </w:pPr>
      <w:r w:rsidRPr="00205FEF">
        <w:rPr>
          <w:rFonts w:cs="Arial"/>
        </w:rPr>
        <w:t>Na análise do Balanço Patrimonial foram utilizadas as técnicas de análise horizontal e vertical</w:t>
      </w:r>
      <w:r>
        <w:rPr>
          <w:rFonts w:cs="Arial"/>
        </w:rPr>
        <w:t>,</w:t>
      </w:r>
      <w:r w:rsidRPr="00205FEF">
        <w:rPr>
          <w:rFonts w:cs="Arial"/>
        </w:rPr>
        <w:t xml:space="preserve"> que permitem avaliar a composição de um item em relação ao total do grupo, e a evolução dos valores no tempo, respectivamente. As variações detectadas foram selecionadas e analisadas de acordo com o ceticismo e julgamento profissional da equipe</w:t>
      </w:r>
      <w:r>
        <w:rPr>
          <w:rFonts w:cs="Arial"/>
        </w:rPr>
        <w:t>,</w:t>
      </w:r>
      <w:r w:rsidRPr="00205FEF">
        <w:rPr>
          <w:rFonts w:cs="Arial"/>
        </w:rPr>
        <w:t xml:space="preserve"> considerando o prazo e o volume d</w:t>
      </w:r>
      <w:r>
        <w:rPr>
          <w:rFonts w:cs="Arial"/>
        </w:rPr>
        <w:t>e</w:t>
      </w:r>
      <w:r w:rsidRPr="00205FEF">
        <w:rPr>
          <w:rFonts w:cs="Arial"/>
        </w:rPr>
        <w:t xml:space="preserve"> dados.</w:t>
      </w:r>
    </w:p>
    <w:p w14:paraId="4A22118D" w14:textId="77777777" w:rsidR="00C72155" w:rsidRPr="00D2171D" w:rsidRDefault="00C72155" w:rsidP="00C72155">
      <w:pPr>
        <w:pStyle w:val="Ttulo2"/>
        <w:rPr>
          <w:rFonts w:cs="Arial"/>
        </w:rPr>
      </w:pPr>
      <w:bookmarkStart w:id="357" w:name="_Toc167871708"/>
      <w:r w:rsidRPr="00D2171D">
        <w:rPr>
          <w:rFonts w:cs="Arial"/>
        </w:rPr>
        <w:t>Balanço Patrimonial</w:t>
      </w:r>
      <w:bookmarkEnd w:id="353"/>
      <w:bookmarkEnd w:id="357"/>
    </w:p>
    <w:p w14:paraId="18081914" w14:textId="77777777" w:rsidR="00C72155" w:rsidRPr="00D2171D" w:rsidRDefault="00C72155" w:rsidP="00C72155">
      <w:pPr>
        <w:pStyle w:val="1-REL11"/>
      </w:pPr>
      <w:r w:rsidRPr="00D2171D">
        <w:t xml:space="preserve">O Balanço Patrimonial (BP) é a demonstração contábil que evidencia, qualitativa e quantitativamente, a situação patrimonial da entidade pública por meio de contas representativas do patrimônio público, </w:t>
      </w:r>
      <w:r>
        <w:t>bem como os atos potenciais registrados em</w:t>
      </w:r>
      <w:r w:rsidRPr="00D2171D">
        <w:t xml:space="preserve"> contas de compensação (natureza de informação de controle).</w:t>
      </w:r>
    </w:p>
    <w:p w14:paraId="09B6D95A" w14:textId="77777777" w:rsidR="00C72155" w:rsidRDefault="00C72155" w:rsidP="00C72155">
      <w:pPr>
        <w:pStyle w:val="1-REL11"/>
      </w:pPr>
      <w:r w:rsidRPr="00D2171D">
        <w:lastRenderedPageBreak/>
        <w:t xml:space="preserve">O BP permite análises diversas acerca da situação patrimonial do ente, como sua liquidez e endividamento, dentre outros. Sua estrutura está dividida em Ativo, Passivo e Patrimônio Líquido, </w:t>
      </w:r>
      <w:r>
        <w:t xml:space="preserve">e </w:t>
      </w:r>
      <w:r w:rsidRPr="00D2171D">
        <w:t>considera a segregação em “circulante” e “não circulante” com base em seus atributos de conversibilidade</w:t>
      </w:r>
      <w:r>
        <w:t xml:space="preserve"> (Ativo)</w:t>
      </w:r>
      <w:r w:rsidRPr="00D2171D">
        <w:t xml:space="preserve"> e exigibilidade</w:t>
      </w:r>
      <w:r>
        <w:t xml:space="preserve"> (Passivo).</w:t>
      </w:r>
      <w:r w:rsidRPr="007D7043">
        <w:t xml:space="preserve"> A seguir, apresenta-se a composição dos grupos que integr</w:t>
      </w:r>
      <w:r>
        <w:t>am</w:t>
      </w:r>
      <w:r w:rsidRPr="007D7043">
        <w:t xml:space="preserve"> o BP consolidado do Estado em 2023, onde serão destacadas as principais movimentações relacionadas à gestão patrimonial ocorridas no período.</w:t>
      </w:r>
    </w:p>
    <w:p w14:paraId="46BD174E" w14:textId="77777777" w:rsidR="00C72155" w:rsidRPr="007F1B05" w:rsidRDefault="00C72155" w:rsidP="00C72155">
      <w:pPr>
        <w:pStyle w:val="1-REL11"/>
        <w:rPr>
          <w:rFonts w:cs="Arial"/>
        </w:rPr>
      </w:pPr>
      <w:r w:rsidRPr="00205FEF">
        <w:rPr>
          <w:rFonts w:cs="Arial"/>
        </w:rPr>
        <w:t>Na análise do Balanço Patrimonial foram utilizadas as técnicas de análise horizontal e vertical</w:t>
      </w:r>
      <w:r>
        <w:rPr>
          <w:rFonts w:cs="Arial"/>
        </w:rPr>
        <w:t>,</w:t>
      </w:r>
      <w:r w:rsidRPr="00205FEF">
        <w:rPr>
          <w:rFonts w:cs="Arial"/>
        </w:rPr>
        <w:t xml:space="preserve"> que permitem avaliar a composição de um item em relação ao total do grupo, e a evolução dos valores no tempo, respectivamente. As variações detectadas foram selecionadas e analisadas de acordo com o ceticismo e julgamento profissional da equipe</w:t>
      </w:r>
      <w:r>
        <w:rPr>
          <w:rFonts w:cs="Arial"/>
        </w:rPr>
        <w:t>,</w:t>
      </w:r>
      <w:r w:rsidRPr="00205FEF">
        <w:rPr>
          <w:rFonts w:cs="Arial"/>
        </w:rPr>
        <w:t xml:space="preserve"> considerando o prazo e o volume d</w:t>
      </w:r>
      <w:r>
        <w:rPr>
          <w:rFonts w:cs="Arial"/>
        </w:rPr>
        <w:t>e</w:t>
      </w:r>
      <w:r w:rsidRPr="00205FEF">
        <w:rPr>
          <w:rFonts w:cs="Arial"/>
        </w:rPr>
        <w:t xml:space="preserve"> dados.</w:t>
      </w:r>
    </w:p>
    <w:p w14:paraId="5F33DB5C" w14:textId="77777777" w:rsidR="00C72155" w:rsidRPr="007D7043" w:rsidRDefault="00C72155" w:rsidP="00A224E9">
      <w:pPr>
        <w:pStyle w:val="Ttulo3"/>
      </w:pPr>
      <w:bookmarkStart w:id="358" w:name="_Toc135332729"/>
      <w:bookmarkStart w:id="359" w:name="_Toc167871709"/>
      <w:r w:rsidRPr="007D7043">
        <w:t>Ativo</w:t>
      </w:r>
      <w:bookmarkEnd w:id="358"/>
      <w:bookmarkEnd w:id="359"/>
    </w:p>
    <w:p w14:paraId="637331F6" w14:textId="77777777" w:rsidR="00C72155" w:rsidRPr="007D7043" w:rsidRDefault="00C72155" w:rsidP="00C72155">
      <w:pPr>
        <w:pStyle w:val="1-REL11"/>
      </w:pPr>
      <w:r w:rsidRPr="007D7043">
        <w:t>O Ativo representa os recursos controlados no presente pela entidade como resultado de eventos passados</w:t>
      </w:r>
      <w:r>
        <w:t>,</w:t>
      </w:r>
      <w:r w:rsidRPr="007D7043">
        <w:t xml:space="preserve"> dos quais</w:t>
      </w:r>
      <w:r>
        <w:t xml:space="preserve"> se</w:t>
      </w:r>
      <w:r w:rsidRPr="007D7043">
        <w:t xml:space="preserve"> </w:t>
      </w:r>
      <w:r>
        <w:t>tenha capacidade de gerar benefícios econômicos</w:t>
      </w:r>
      <w:r w:rsidRPr="007D7043">
        <w:t xml:space="preserve"> ou potencial de serviços.</w:t>
      </w:r>
    </w:p>
    <w:p w14:paraId="55508687" w14:textId="32CAF1E3" w:rsidR="00C72155" w:rsidRDefault="00C72155" w:rsidP="00C72155">
      <w:pPr>
        <w:pStyle w:val="1-REL11"/>
      </w:pPr>
      <w:r w:rsidRPr="00A55263">
        <w:t>Ao final de 2023</w:t>
      </w:r>
      <w:r>
        <w:t>,</w:t>
      </w:r>
      <w:r w:rsidRPr="00A55263">
        <w:t xml:space="preserve"> o Ativo apresentou a seguinte estrutura:</w:t>
      </w:r>
    </w:p>
    <w:p w14:paraId="76967339" w14:textId="0E983B13" w:rsidR="00FC7E7A" w:rsidRPr="00A55263" w:rsidRDefault="00FC7E7A" w:rsidP="00ED3571">
      <w:pPr>
        <w:pStyle w:val="0-TABELA"/>
      </w:pPr>
      <w:bookmarkStart w:id="360" w:name="_Toc135332530"/>
      <w:bookmarkStart w:id="361" w:name="_Toc167871812"/>
      <w:r w:rsidRPr="00A55263">
        <w:t>Ativo</w:t>
      </w:r>
      <w:bookmarkEnd w:id="360"/>
      <w:r w:rsidR="006561CD" w:rsidRPr="006561CD">
        <w:t xml:space="preserve"> </w:t>
      </w:r>
      <w:r w:rsidR="006561CD">
        <w:t>– 2023 x 2022</w:t>
      </w:r>
      <w:bookmarkEnd w:id="361"/>
    </w:p>
    <w:p w14:paraId="04CF4D91" w14:textId="77777777" w:rsidR="00FC7E7A" w:rsidRPr="00A55263" w:rsidRDefault="00FC7E7A" w:rsidP="00FC7E7A">
      <w:pPr>
        <w:pStyle w:val="0-EmR1"/>
      </w:pPr>
      <w:r w:rsidRPr="00A55263">
        <w:t>R$ mil</w:t>
      </w:r>
    </w:p>
    <w:tbl>
      <w:tblPr>
        <w:tblW w:w="0" w:type="auto"/>
        <w:tblCellMar>
          <w:left w:w="70" w:type="dxa"/>
          <w:right w:w="70" w:type="dxa"/>
        </w:tblCellMar>
        <w:tblLook w:val="04A0" w:firstRow="1" w:lastRow="0" w:firstColumn="1" w:lastColumn="0" w:noHBand="0" w:noVBand="1"/>
      </w:tblPr>
      <w:tblGrid>
        <w:gridCol w:w="3652"/>
        <w:gridCol w:w="1141"/>
        <w:gridCol w:w="715"/>
        <w:gridCol w:w="1141"/>
        <w:gridCol w:w="715"/>
        <w:gridCol w:w="1141"/>
        <w:gridCol w:w="848"/>
      </w:tblGrid>
      <w:tr w:rsidR="00FC7E7A" w:rsidRPr="00AA18F8" w14:paraId="78405F21" w14:textId="77777777" w:rsidTr="002A033A">
        <w:trPr>
          <w:trHeight w:val="340"/>
        </w:trPr>
        <w:tc>
          <w:tcPr>
            <w:tcW w:w="0" w:type="auto"/>
            <w:vMerge w:val="restart"/>
            <w:tcBorders>
              <w:top w:val="single" w:sz="4" w:space="0" w:color="auto"/>
              <w:left w:val="nil"/>
              <w:right w:val="nil"/>
            </w:tcBorders>
            <w:shd w:val="clear" w:color="000000" w:fill="A1F2FD"/>
            <w:vAlign w:val="center"/>
            <w:hideMark/>
          </w:tcPr>
          <w:p w14:paraId="1FDF70E5" w14:textId="77777777" w:rsidR="00FC7E7A" w:rsidRPr="00AA18F8" w:rsidRDefault="00FC7E7A" w:rsidP="00026A4E">
            <w:pPr>
              <w:jc w:val="center"/>
              <w:rPr>
                <w:rFonts w:cs="Arial"/>
                <w:b/>
                <w:bCs/>
                <w:color w:val="000000"/>
                <w:sz w:val="18"/>
                <w:szCs w:val="18"/>
              </w:rPr>
            </w:pPr>
            <w:r w:rsidRPr="00AA18F8">
              <w:rPr>
                <w:rFonts w:cs="Arial"/>
                <w:b/>
                <w:bCs/>
                <w:color w:val="000000"/>
                <w:sz w:val="18"/>
                <w:szCs w:val="18"/>
              </w:rPr>
              <w:t>Composição</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59FAC407" w14:textId="77777777" w:rsidR="00FC7E7A" w:rsidRPr="00AA18F8" w:rsidRDefault="00FC7E7A" w:rsidP="00026A4E">
            <w:pPr>
              <w:jc w:val="center"/>
              <w:rPr>
                <w:rFonts w:cs="Arial"/>
                <w:b/>
                <w:bCs/>
                <w:color w:val="000000"/>
                <w:sz w:val="18"/>
                <w:szCs w:val="18"/>
              </w:rPr>
            </w:pPr>
            <w:r w:rsidRPr="00AA18F8">
              <w:rPr>
                <w:rFonts w:cs="Arial"/>
                <w:b/>
                <w:bCs/>
                <w:color w:val="000000"/>
                <w:sz w:val="18"/>
                <w:szCs w:val="18"/>
              </w:rPr>
              <w:t>2023</w:t>
            </w:r>
          </w:p>
        </w:tc>
        <w:tc>
          <w:tcPr>
            <w:tcW w:w="0" w:type="auto"/>
            <w:tcBorders>
              <w:top w:val="single" w:sz="4" w:space="0" w:color="auto"/>
              <w:left w:val="nil"/>
              <w:right w:val="single" w:sz="4" w:space="0" w:color="auto"/>
            </w:tcBorders>
            <w:shd w:val="clear" w:color="000000" w:fill="A1F2FD"/>
            <w:vAlign w:val="center"/>
            <w:hideMark/>
          </w:tcPr>
          <w:p w14:paraId="043F1B49" w14:textId="77777777" w:rsidR="00FC7E7A" w:rsidRPr="00AA18F8" w:rsidRDefault="00FC7E7A" w:rsidP="00026A4E">
            <w:pPr>
              <w:jc w:val="center"/>
              <w:rPr>
                <w:rFonts w:cs="Arial"/>
                <w:b/>
                <w:bCs/>
                <w:color w:val="000000"/>
                <w:sz w:val="18"/>
                <w:szCs w:val="18"/>
              </w:rPr>
            </w:pPr>
            <w:r w:rsidRPr="00AA18F8">
              <w:rPr>
                <w:rFonts w:cs="Arial"/>
                <w:b/>
                <w:bCs/>
                <w:color w:val="000000"/>
                <w:sz w:val="18"/>
                <w:szCs w:val="18"/>
              </w:rPr>
              <w:t>AV 2023</w:t>
            </w:r>
          </w:p>
        </w:tc>
        <w:tc>
          <w:tcPr>
            <w:tcW w:w="0" w:type="auto"/>
            <w:vMerge w:val="restart"/>
            <w:tcBorders>
              <w:top w:val="single" w:sz="4" w:space="0" w:color="auto"/>
              <w:left w:val="single" w:sz="4" w:space="0" w:color="auto"/>
              <w:right w:val="single" w:sz="4" w:space="0" w:color="auto"/>
            </w:tcBorders>
            <w:shd w:val="clear" w:color="000000" w:fill="A1F2FD"/>
            <w:vAlign w:val="center"/>
            <w:hideMark/>
          </w:tcPr>
          <w:p w14:paraId="040671BA" w14:textId="77777777" w:rsidR="00FC7E7A" w:rsidRPr="00AA18F8" w:rsidRDefault="00FC7E7A" w:rsidP="00026A4E">
            <w:pPr>
              <w:jc w:val="center"/>
              <w:rPr>
                <w:rFonts w:cs="Arial"/>
                <w:b/>
                <w:bCs/>
                <w:color w:val="000000"/>
                <w:sz w:val="18"/>
                <w:szCs w:val="18"/>
              </w:rPr>
            </w:pPr>
            <w:r w:rsidRPr="00AA18F8">
              <w:rPr>
                <w:rFonts w:cs="Arial"/>
                <w:b/>
                <w:bCs/>
                <w:color w:val="000000"/>
                <w:sz w:val="18"/>
                <w:szCs w:val="18"/>
              </w:rPr>
              <w:t>2022</w:t>
            </w:r>
          </w:p>
        </w:tc>
        <w:tc>
          <w:tcPr>
            <w:tcW w:w="0" w:type="auto"/>
            <w:tcBorders>
              <w:top w:val="single" w:sz="4" w:space="0" w:color="auto"/>
              <w:left w:val="nil"/>
              <w:right w:val="single" w:sz="4" w:space="0" w:color="auto"/>
            </w:tcBorders>
            <w:shd w:val="clear" w:color="000000" w:fill="A1F2FD"/>
            <w:vAlign w:val="center"/>
            <w:hideMark/>
          </w:tcPr>
          <w:p w14:paraId="06459483" w14:textId="77777777" w:rsidR="00FC7E7A" w:rsidRPr="00AA18F8" w:rsidRDefault="00FC7E7A" w:rsidP="00026A4E">
            <w:pPr>
              <w:jc w:val="center"/>
              <w:rPr>
                <w:rFonts w:cs="Arial"/>
                <w:b/>
                <w:bCs/>
                <w:color w:val="000000"/>
                <w:sz w:val="18"/>
                <w:szCs w:val="18"/>
              </w:rPr>
            </w:pPr>
            <w:r w:rsidRPr="00AA18F8">
              <w:rPr>
                <w:rFonts w:cs="Arial"/>
                <w:b/>
                <w:bCs/>
                <w:color w:val="000000"/>
                <w:sz w:val="18"/>
                <w:szCs w:val="18"/>
              </w:rPr>
              <w:t>AV 2022</w:t>
            </w:r>
          </w:p>
        </w:tc>
        <w:tc>
          <w:tcPr>
            <w:tcW w:w="0" w:type="auto"/>
            <w:gridSpan w:val="2"/>
            <w:tcBorders>
              <w:top w:val="single" w:sz="4" w:space="0" w:color="auto"/>
              <w:left w:val="nil"/>
              <w:bottom w:val="single" w:sz="4" w:space="0" w:color="auto"/>
              <w:right w:val="nil"/>
            </w:tcBorders>
            <w:shd w:val="clear" w:color="000000" w:fill="A1F2FD"/>
            <w:noWrap/>
            <w:vAlign w:val="center"/>
            <w:hideMark/>
          </w:tcPr>
          <w:p w14:paraId="365F11F3" w14:textId="77777777" w:rsidR="00FC7E7A" w:rsidRPr="00AA18F8" w:rsidRDefault="00FC7E7A" w:rsidP="00026A4E">
            <w:pPr>
              <w:jc w:val="center"/>
              <w:rPr>
                <w:rFonts w:cs="Arial"/>
                <w:b/>
                <w:bCs/>
                <w:color w:val="000000"/>
                <w:sz w:val="18"/>
                <w:szCs w:val="18"/>
              </w:rPr>
            </w:pPr>
            <w:r>
              <w:rPr>
                <w:rFonts w:cs="Arial"/>
                <w:b/>
                <w:bCs/>
                <w:color w:val="000000"/>
                <w:sz w:val="18"/>
                <w:szCs w:val="18"/>
              </w:rPr>
              <w:t>∆</w:t>
            </w:r>
            <w:r w:rsidRPr="00AA18F8">
              <w:rPr>
                <w:rFonts w:cs="Arial"/>
                <w:b/>
                <w:bCs/>
                <w:color w:val="000000"/>
                <w:sz w:val="18"/>
                <w:szCs w:val="18"/>
              </w:rPr>
              <w:t xml:space="preserve"> 2023 x 2022</w:t>
            </w:r>
          </w:p>
        </w:tc>
      </w:tr>
      <w:tr w:rsidR="00FC7E7A" w:rsidRPr="00AA18F8" w14:paraId="0FC4F7DD" w14:textId="77777777" w:rsidTr="002A033A">
        <w:trPr>
          <w:trHeight w:val="340"/>
        </w:trPr>
        <w:tc>
          <w:tcPr>
            <w:tcW w:w="0" w:type="auto"/>
            <w:vMerge/>
            <w:tcBorders>
              <w:left w:val="nil"/>
              <w:right w:val="nil"/>
            </w:tcBorders>
            <w:vAlign w:val="center"/>
            <w:hideMark/>
          </w:tcPr>
          <w:p w14:paraId="588E7C9B" w14:textId="77777777" w:rsidR="00FC7E7A" w:rsidRPr="00AA18F8" w:rsidRDefault="00FC7E7A" w:rsidP="00026A4E">
            <w:pPr>
              <w:jc w:val="left"/>
              <w:rPr>
                <w:rFonts w:cs="Arial"/>
                <w:b/>
                <w:bCs/>
                <w:color w:val="000000"/>
                <w:sz w:val="18"/>
                <w:szCs w:val="18"/>
              </w:rPr>
            </w:pPr>
          </w:p>
        </w:tc>
        <w:tc>
          <w:tcPr>
            <w:tcW w:w="0" w:type="auto"/>
            <w:vMerge/>
            <w:tcBorders>
              <w:top w:val="nil"/>
              <w:left w:val="single" w:sz="4" w:space="0" w:color="auto"/>
              <w:right w:val="single" w:sz="4" w:space="0" w:color="auto"/>
            </w:tcBorders>
            <w:vAlign w:val="center"/>
            <w:hideMark/>
          </w:tcPr>
          <w:p w14:paraId="6D4F3DD1" w14:textId="77777777" w:rsidR="00FC7E7A" w:rsidRPr="00AA18F8" w:rsidRDefault="00FC7E7A" w:rsidP="00026A4E">
            <w:pPr>
              <w:jc w:val="left"/>
              <w:rPr>
                <w:rFonts w:cs="Arial"/>
                <w:b/>
                <w:bCs/>
                <w:color w:val="000000"/>
                <w:sz w:val="18"/>
                <w:szCs w:val="18"/>
              </w:rPr>
            </w:pPr>
          </w:p>
        </w:tc>
        <w:tc>
          <w:tcPr>
            <w:tcW w:w="0" w:type="auto"/>
            <w:tcBorders>
              <w:left w:val="nil"/>
              <w:right w:val="single" w:sz="4" w:space="0" w:color="auto"/>
            </w:tcBorders>
            <w:shd w:val="clear" w:color="000000" w:fill="A1F2FD"/>
            <w:vAlign w:val="center"/>
            <w:hideMark/>
          </w:tcPr>
          <w:p w14:paraId="14037044" w14:textId="77777777" w:rsidR="00FC7E7A" w:rsidRPr="00AA18F8" w:rsidRDefault="00FC7E7A" w:rsidP="00026A4E">
            <w:pPr>
              <w:jc w:val="center"/>
              <w:rPr>
                <w:rFonts w:cs="Arial"/>
                <w:b/>
                <w:bCs/>
                <w:color w:val="000000"/>
                <w:sz w:val="18"/>
                <w:szCs w:val="18"/>
              </w:rPr>
            </w:pPr>
            <w:r w:rsidRPr="00AA18F8">
              <w:rPr>
                <w:rFonts w:cs="Arial"/>
                <w:b/>
                <w:bCs/>
                <w:color w:val="000000"/>
                <w:sz w:val="18"/>
                <w:szCs w:val="18"/>
              </w:rPr>
              <w:t>%</w:t>
            </w:r>
          </w:p>
        </w:tc>
        <w:tc>
          <w:tcPr>
            <w:tcW w:w="0" w:type="auto"/>
            <w:vMerge/>
            <w:tcBorders>
              <w:left w:val="single" w:sz="4" w:space="0" w:color="auto"/>
              <w:right w:val="single" w:sz="4" w:space="0" w:color="auto"/>
            </w:tcBorders>
            <w:vAlign w:val="center"/>
            <w:hideMark/>
          </w:tcPr>
          <w:p w14:paraId="62F6A58F" w14:textId="77777777" w:rsidR="00FC7E7A" w:rsidRPr="00AA18F8" w:rsidRDefault="00FC7E7A" w:rsidP="00026A4E">
            <w:pPr>
              <w:jc w:val="left"/>
              <w:rPr>
                <w:rFonts w:cs="Arial"/>
                <w:b/>
                <w:bCs/>
                <w:color w:val="000000"/>
                <w:sz w:val="18"/>
                <w:szCs w:val="18"/>
              </w:rPr>
            </w:pPr>
          </w:p>
        </w:tc>
        <w:tc>
          <w:tcPr>
            <w:tcW w:w="0" w:type="auto"/>
            <w:tcBorders>
              <w:left w:val="nil"/>
              <w:right w:val="single" w:sz="4" w:space="0" w:color="auto"/>
            </w:tcBorders>
            <w:shd w:val="clear" w:color="000000" w:fill="A1F2FD"/>
            <w:vAlign w:val="center"/>
            <w:hideMark/>
          </w:tcPr>
          <w:p w14:paraId="2B3A5C61" w14:textId="77777777" w:rsidR="00FC7E7A" w:rsidRPr="00AA18F8" w:rsidRDefault="00FC7E7A" w:rsidP="00026A4E">
            <w:pPr>
              <w:jc w:val="center"/>
              <w:rPr>
                <w:rFonts w:cs="Arial"/>
                <w:b/>
                <w:bCs/>
                <w:color w:val="000000"/>
                <w:sz w:val="18"/>
                <w:szCs w:val="18"/>
              </w:rPr>
            </w:pPr>
            <w:r w:rsidRPr="00AA18F8">
              <w:rPr>
                <w:rFonts w:cs="Arial"/>
                <w:b/>
                <w:bCs/>
                <w:color w:val="000000"/>
                <w:sz w:val="18"/>
                <w:szCs w:val="18"/>
              </w:rPr>
              <w:t>%</w:t>
            </w:r>
          </w:p>
        </w:tc>
        <w:tc>
          <w:tcPr>
            <w:tcW w:w="1065" w:type="dxa"/>
            <w:tcBorders>
              <w:top w:val="nil"/>
              <w:left w:val="nil"/>
              <w:right w:val="single" w:sz="4" w:space="0" w:color="auto"/>
            </w:tcBorders>
            <w:shd w:val="clear" w:color="000000" w:fill="A1F2FD"/>
            <w:vAlign w:val="center"/>
            <w:hideMark/>
          </w:tcPr>
          <w:p w14:paraId="78F6D19F" w14:textId="77777777" w:rsidR="00FC7E7A" w:rsidRPr="00AA18F8" w:rsidRDefault="00FC7E7A" w:rsidP="00026A4E">
            <w:pPr>
              <w:jc w:val="center"/>
              <w:rPr>
                <w:rFonts w:cs="Arial"/>
                <w:b/>
                <w:bCs/>
                <w:color w:val="000000"/>
                <w:sz w:val="18"/>
                <w:szCs w:val="18"/>
              </w:rPr>
            </w:pPr>
            <w:r w:rsidRPr="00AA18F8">
              <w:rPr>
                <w:rFonts w:cs="Arial"/>
                <w:b/>
                <w:bCs/>
                <w:color w:val="000000"/>
                <w:sz w:val="18"/>
                <w:szCs w:val="18"/>
              </w:rPr>
              <w:t xml:space="preserve">R$ </w:t>
            </w:r>
          </w:p>
        </w:tc>
        <w:tc>
          <w:tcPr>
            <w:tcW w:w="848" w:type="dxa"/>
            <w:tcBorders>
              <w:top w:val="nil"/>
              <w:left w:val="nil"/>
              <w:right w:val="nil"/>
            </w:tcBorders>
            <w:shd w:val="clear" w:color="000000" w:fill="A1F2FD"/>
            <w:vAlign w:val="center"/>
            <w:hideMark/>
          </w:tcPr>
          <w:p w14:paraId="2FD4BF8B" w14:textId="77777777" w:rsidR="00FC7E7A" w:rsidRPr="00AA18F8" w:rsidRDefault="00FC7E7A" w:rsidP="00FC7E7A">
            <w:pPr>
              <w:jc w:val="center"/>
              <w:rPr>
                <w:rFonts w:cs="Arial"/>
                <w:b/>
                <w:bCs/>
                <w:color w:val="000000"/>
                <w:sz w:val="18"/>
                <w:szCs w:val="18"/>
              </w:rPr>
            </w:pPr>
            <w:r w:rsidRPr="00AA18F8">
              <w:rPr>
                <w:rFonts w:cs="Arial"/>
                <w:b/>
                <w:bCs/>
                <w:color w:val="000000"/>
                <w:sz w:val="18"/>
                <w:szCs w:val="18"/>
              </w:rPr>
              <w:t>%</w:t>
            </w:r>
          </w:p>
        </w:tc>
      </w:tr>
      <w:tr w:rsidR="00FC7E7A" w:rsidRPr="00AA18F8" w14:paraId="179720F9" w14:textId="77777777" w:rsidTr="002A033A">
        <w:trPr>
          <w:trHeight w:val="340"/>
        </w:trPr>
        <w:tc>
          <w:tcPr>
            <w:tcW w:w="0" w:type="auto"/>
            <w:vMerge/>
            <w:tcBorders>
              <w:left w:val="nil"/>
              <w:bottom w:val="single" w:sz="4" w:space="0" w:color="000000"/>
              <w:right w:val="nil"/>
            </w:tcBorders>
            <w:shd w:val="clear" w:color="auto" w:fill="A1F2FD"/>
            <w:vAlign w:val="center"/>
          </w:tcPr>
          <w:p w14:paraId="22E4D85D" w14:textId="77777777" w:rsidR="00FC7E7A" w:rsidRPr="00AA18F8" w:rsidRDefault="00FC7E7A" w:rsidP="00FC7E7A">
            <w:pPr>
              <w:jc w:val="left"/>
              <w:rPr>
                <w:rFonts w:cs="Arial"/>
                <w:b/>
                <w:bCs/>
                <w:color w:val="000000"/>
                <w:sz w:val="18"/>
                <w:szCs w:val="18"/>
              </w:rPr>
            </w:pPr>
          </w:p>
        </w:tc>
        <w:tc>
          <w:tcPr>
            <w:tcW w:w="0" w:type="auto"/>
            <w:tcBorders>
              <w:left w:val="single" w:sz="4" w:space="0" w:color="auto"/>
              <w:bottom w:val="single" w:sz="4" w:space="0" w:color="auto"/>
              <w:right w:val="single" w:sz="4" w:space="0" w:color="auto"/>
            </w:tcBorders>
            <w:shd w:val="clear" w:color="auto" w:fill="A1F2FD"/>
            <w:vAlign w:val="center"/>
          </w:tcPr>
          <w:p w14:paraId="404D1CC3" w14:textId="6F417DE9" w:rsidR="00FC7E7A" w:rsidRPr="00B97192" w:rsidRDefault="00FC7E7A" w:rsidP="00FC7E7A">
            <w:pPr>
              <w:jc w:val="center"/>
              <w:rPr>
                <w:rFonts w:cs="Arial"/>
                <w:b/>
                <w:bCs/>
                <w:color w:val="000000"/>
                <w:sz w:val="18"/>
                <w:szCs w:val="18"/>
              </w:rPr>
            </w:pPr>
            <w:r w:rsidRPr="00B97192">
              <w:rPr>
                <w:rFonts w:cs="Arial"/>
                <w:b/>
                <w:bCs/>
                <w:color w:val="000000"/>
                <w:sz w:val="18"/>
                <w:szCs w:val="18"/>
              </w:rPr>
              <w:t>(a)</w:t>
            </w:r>
          </w:p>
        </w:tc>
        <w:tc>
          <w:tcPr>
            <w:tcW w:w="0" w:type="auto"/>
            <w:tcBorders>
              <w:left w:val="nil"/>
              <w:bottom w:val="single" w:sz="4" w:space="0" w:color="auto"/>
              <w:right w:val="single" w:sz="4" w:space="0" w:color="auto"/>
            </w:tcBorders>
            <w:shd w:val="clear" w:color="auto" w:fill="A1F2FD"/>
            <w:vAlign w:val="center"/>
          </w:tcPr>
          <w:p w14:paraId="69553F6D" w14:textId="3E883C05" w:rsidR="00FC7E7A" w:rsidRPr="00B97192" w:rsidRDefault="00FC7E7A" w:rsidP="00FC7E7A">
            <w:pPr>
              <w:jc w:val="center"/>
              <w:rPr>
                <w:rFonts w:cs="Arial"/>
                <w:b/>
                <w:bCs/>
                <w:color w:val="000000"/>
                <w:sz w:val="18"/>
                <w:szCs w:val="18"/>
              </w:rPr>
            </w:pPr>
            <w:r w:rsidRPr="00B97192">
              <w:rPr>
                <w:rFonts w:cs="Arial"/>
                <w:b/>
                <w:bCs/>
                <w:color w:val="000000"/>
                <w:sz w:val="18"/>
                <w:szCs w:val="18"/>
              </w:rPr>
              <w:t>(b)</w:t>
            </w:r>
          </w:p>
        </w:tc>
        <w:tc>
          <w:tcPr>
            <w:tcW w:w="0" w:type="auto"/>
            <w:tcBorders>
              <w:left w:val="single" w:sz="4" w:space="0" w:color="auto"/>
              <w:bottom w:val="single" w:sz="4" w:space="0" w:color="auto"/>
              <w:right w:val="single" w:sz="4" w:space="0" w:color="auto"/>
            </w:tcBorders>
            <w:shd w:val="clear" w:color="auto" w:fill="A1F2FD"/>
            <w:vAlign w:val="center"/>
          </w:tcPr>
          <w:p w14:paraId="066F2998" w14:textId="0B7366B5" w:rsidR="00FC7E7A" w:rsidRPr="00B97192" w:rsidRDefault="00FC7E7A" w:rsidP="00FC7E7A">
            <w:pPr>
              <w:jc w:val="center"/>
              <w:rPr>
                <w:rFonts w:cs="Arial"/>
                <w:b/>
                <w:bCs/>
                <w:color w:val="000000"/>
                <w:sz w:val="18"/>
                <w:szCs w:val="18"/>
              </w:rPr>
            </w:pPr>
            <w:r w:rsidRPr="00B97192">
              <w:rPr>
                <w:rFonts w:cs="Arial"/>
                <w:b/>
                <w:bCs/>
                <w:color w:val="000000"/>
                <w:sz w:val="18"/>
                <w:szCs w:val="18"/>
              </w:rPr>
              <w:t>(c)</w:t>
            </w:r>
          </w:p>
        </w:tc>
        <w:tc>
          <w:tcPr>
            <w:tcW w:w="0" w:type="auto"/>
            <w:tcBorders>
              <w:left w:val="nil"/>
              <w:bottom w:val="single" w:sz="4" w:space="0" w:color="auto"/>
              <w:right w:val="single" w:sz="4" w:space="0" w:color="auto"/>
            </w:tcBorders>
            <w:shd w:val="clear" w:color="auto" w:fill="A1F2FD"/>
            <w:vAlign w:val="center"/>
          </w:tcPr>
          <w:p w14:paraId="719B5C65" w14:textId="6537EDE4" w:rsidR="00FC7E7A" w:rsidRPr="00B97192" w:rsidRDefault="00FC7E7A" w:rsidP="00FC7E7A">
            <w:pPr>
              <w:jc w:val="center"/>
              <w:rPr>
                <w:rFonts w:cs="Arial"/>
                <w:b/>
                <w:bCs/>
                <w:color w:val="000000"/>
                <w:sz w:val="18"/>
                <w:szCs w:val="18"/>
              </w:rPr>
            </w:pPr>
            <w:r w:rsidRPr="00B97192">
              <w:rPr>
                <w:rFonts w:cs="Arial"/>
                <w:b/>
                <w:bCs/>
                <w:color w:val="000000"/>
                <w:sz w:val="18"/>
                <w:szCs w:val="18"/>
              </w:rPr>
              <w:t>(d)</w:t>
            </w:r>
          </w:p>
        </w:tc>
        <w:tc>
          <w:tcPr>
            <w:tcW w:w="1065" w:type="dxa"/>
            <w:tcBorders>
              <w:left w:val="nil"/>
              <w:bottom w:val="single" w:sz="4" w:space="0" w:color="auto"/>
              <w:right w:val="single" w:sz="4" w:space="0" w:color="auto"/>
            </w:tcBorders>
            <w:shd w:val="clear" w:color="auto" w:fill="A1F2FD"/>
            <w:vAlign w:val="center"/>
          </w:tcPr>
          <w:p w14:paraId="70348706" w14:textId="6EC3FED7" w:rsidR="00FC7E7A" w:rsidRPr="00B97192" w:rsidRDefault="00FC7E7A" w:rsidP="00FC7E7A">
            <w:pPr>
              <w:jc w:val="center"/>
              <w:rPr>
                <w:rFonts w:cs="Arial"/>
                <w:b/>
                <w:bCs/>
                <w:color w:val="000000"/>
                <w:sz w:val="18"/>
                <w:szCs w:val="18"/>
              </w:rPr>
            </w:pPr>
            <w:r w:rsidRPr="00B97192">
              <w:rPr>
                <w:rFonts w:cs="Arial"/>
                <w:b/>
                <w:bCs/>
                <w:color w:val="000000"/>
                <w:sz w:val="18"/>
                <w:szCs w:val="18"/>
              </w:rPr>
              <w:t>(e) = (a-</w:t>
            </w:r>
            <w:r w:rsidR="003549B2">
              <w:rPr>
                <w:rFonts w:cs="Arial"/>
                <w:b/>
                <w:bCs/>
                <w:color w:val="000000"/>
                <w:sz w:val="18"/>
                <w:szCs w:val="18"/>
              </w:rPr>
              <w:t>c</w:t>
            </w:r>
            <w:r w:rsidRPr="00B97192">
              <w:rPr>
                <w:rFonts w:cs="Arial"/>
                <w:b/>
                <w:bCs/>
                <w:color w:val="000000"/>
                <w:sz w:val="18"/>
                <w:szCs w:val="18"/>
              </w:rPr>
              <w:t>)</w:t>
            </w:r>
          </w:p>
        </w:tc>
        <w:tc>
          <w:tcPr>
            <w:tcW w:w="848" w:type="dxa"/>
            <w:tcBorders>
              <w:left w:val="nil"/>
              <w:bottom w:val="single" w:sz="4" w:space="0" w:color="auto"/>
              <w:right w:val="nil"/>
            </w:tcBorders>
            <w:shd w:val="clear" w:color="auto" w:fill="A1F2FD"/>
            <w:vAlign w:val="center"/>
          </w:tcPr>
          <w:p w14:paraId="2A2CE698" w14:textId="6508E828" w:rsidR="00FC7E7A" w:rsidRPr="00B97192" w:rsidRDefault="00FC7E7A" w:rsidP="003549B2">
            <w:pPr>
              <w:ind w:right="-106"/>
              <w:rPr>
                <w:rFonts w:cs="Arial"/>
                <w:b/>
                <w:bCs/>
                <w:color w:val="000000"/>
                <w:sz w:val="18"/>
                <w:szCs w:val="18"/>
              </w:rPr>
            </w:pPr>
            <w:r w:rsidRPr="00B97192">
              <w:rPr>
                <w:rFonts w:cs="Arial"/>
                <w:b/>
                <w:bCs/>
                <w:color w:val="000000"/>
                <w:sz w:val="18"/>
                <w:szCs w:val="18"/>
              </w:rPr>
              <w:t>(f)</w:t>
            </w:r>
            <w:r w:rsidR="00D56866">
              <w:rPr>
                <w:rFonts w:cs="Arial"/>
                <w:b/>
                <w:bCs/>
                <w:color w:val="000000"/>
                <w:sz w:val="18"/>
                <w:szCs w:val="18"/>
              </w:rPr>
              <w:t xml:space="preserve"> </w:t>
            </w:r>
            <w:r w:rsidRPr="00B97192">
              <w:rPr>
                <w:rFonts w:cs="Arial"/>
                <w:b/>
                <w:bCs/>
                <w:color w:val="000000"/>
                <w:sz w:val="18"/>
                <w:szCs w:val="18"/>
              </w:rPr>
              <w:t>=</w:t>
            </w:r>
            <w:r w:rsidR="003549B2">
              <w:rPr>
                <w:rFonts w:cs="Arial"/>
                <w:b/>
                <w:bCs/>
                <w:color w:val="000000"/>
                <w:sz w:val="18"/>
                <w:szCs w:val="18"/>
              </w:rPr>
              <w:t xml:space="preserve"> </w:t>
            </w:r>
            <w:r w:rsidRPr="00B97192">
              <w:rPr>
                <w:rFonts w:cs="Arial"/>
                <w:b/>
                <w:bCs/>
                <w:color w:val="000000"/>
                <w:sz w:val="18"/>
                <w:szCs w:val="18"/>
              </w:rPr>
              <w:t>(e/c)</w:t>
            </w:r>
          </w:p>
        </w:tc>
      </w:tr>
      <w:tr w:rsidR="00FC7E7A" w:rsidRPr="00AA18F8" w14:paraId="35200840" w14:textId="77777777" w:rsidTr="002A033A">
        <w:trPr>
          <w:trHeight w:val="340"/>
        </w:trPr>
        <w:tc>
          <w:tcPr>
            <w:tcW w:w="0" w:type="auto"/>
            <w:tcBorders>
              <w:top w:val="nil"/>
              <w:left w:val="nil"/>
              <w:bottom w:val="nil"/>
              <w:right w:val="single" w:sz="4" w:space="0" w:color="auto"/>
            </w:tcBorders>
            <w:shd w:val="clear" w:color="auto" w:fill="auto"/>
            <w:noWrap/>
            <w:vAlign w:val="center"/>
            <w:hideMark/>
          </w:tcPr>
          <w:p w14:paraId="12658DE3" w14:textId="77777777" w:rsidR="00FC7E7A" w:rsidRPr="00AA18F8" w:rsidRDefault="00FC7E7A" w:rsidP="00026A4E">
            <w:pPr>
              <w:jc w:val="left"/>
              <w:rPr>
                <w:rFonts w:cs="Arial"/>
                <w:b/>
                <w:bCs/>
                <w:color w:val="000000"/>
                <w:sz w:val="18"/>
                <w:szCs w:val="18"/>
              </w:rPr>
            </w:pPr>
            <w:r w:rsidRPr="00AA18F8">
              <w:rPr>
                <w:rFonts w:cs="Arial"/>
                <w:b/>
                <w:bCs/>
                <w:color w:val="000000"/>
                <w:sz w:val="18"/>
                <w:szCs w:val="18"/>
              </w:rPr>
              <w:t>Ativo Circulante</w:t>
            </w:r>
          </w:p>
        </w:tc>
        <w:tc>
          <w:tcPr>
            <w:tcW w:w="0" w:type="auto"/>
            <w:tcBorders>
              <w:top w:val="nil"/>
              <w:left w:val="nil"/>
              <w:bottom w:val="nil"/>
              <w:right w:val="single" w:sz="4" w:space="0" w:color="auto"/>
            </w:tcBorders>
            <w:shd w:val="clear" w:color="auto" w:fill="auto"/>
            <w:noWrap/>
            <w:vAlign w:val="center"/>
            <w:hideMark/>
          </w:tcPr>
          <w:p w14:paraId="5D010492" w14:textId="77777777" w:rsidR="00FC7E7A" w:rsidRPr="00AA18F8" w:rsidRDefault="00FC7E7A" w:rsidP="00026A4E">
            <w:pPr>
              <w:jc w:val="right"/>
              <w:rPr>
                <w:rFonts w:cs="Arial"/>
                <w:b/>
                <w:bCs/>
                <w:color w:val="000000"/>
                <w:sz w:val="18"/>
                <w:szCs w:val="18"/>
              </w:rPr>
            </w:pPr>
            <w:r w:rsidRPr="00AA18F8">
              <w:rPr>
                <w:rFonts w:cs="Arial"/>
                <w:b/>
                <w:bCs/>
                <w:color w:val="000000"/>
                <w:sz w:val="18"/>
                <w:szCs w:val="18"/>
              </w:rPr>
              <w:t>67.395.872</w:t>
            </w:r>
          </w:p>
        </w:tc>
        <w:tc>
          <w:tcPr>
            <w:tcW w:w="0" w:type="auto"/>
            <w:tcBorders>
              <w:top w:val="nil"/>
              <w:left w:val="nil"/>
              <w:bottom w:val="nil"/>
              <w:right w:val="nil"/>
            </w:tcBorders>
            <w:shd w:val="clear" w:color="000000" w:fill="FFFFFF"/>
            <w:noWrap/>
            <w:vAlign w:val="center"/>
            <w:hideMark/>
          </w:tcPr>
          <w:p w14:paraId="0B193D58" w14:textId="77777777" w:rsidR="00FC7E7A" w:rsidRPr="00AA18F8" w:rsidRDefault="00FC7E7A" w:rsidP="00026A4E">
            <w:pPr>
              <w:jc w:val="center"/>
              <w:rPr>
                <w:rFonts w:cs="Arial"/>
                <w:b/>
                <w:bCs/>
                <w:color w:val="000000"/>
                <w:sz w:val="18"/>
                <w:szCs w:val="18"/>
              </w:rPr>
            </w:pPr>
            <w:r w:rsidRPr="00AA18F8">
              <w:rPr>
                <w:rFonts w:cs="Arial"/>
                <w:b/>
                <w:bCs/>
                <w:color w:val="000000"/>
                <w:sz w:val="18"/>
                <w:szCs w:val="18"/>
              </w:rPr>
              <w:t>26,84</w:t>
            </w:r>
          </w:p>
        </w:tc>
        <w:tc>
          <w:tcPr>
            <w:tcW w:w="0" w:type="auto"/>
            <w:tcBorders>
              <w:top w:val="nil"/>
              <w:left w:val="single" w:sz="4" w:space="0" w:color="auto"/>
              <w:bottom w:val="nil"/>
              <w:right w:val="single" w:sz="4" w:space="0" w:color="auto"/>
            </w:tcBorders>
            <w:shd w:val="clear" w:color="auto" w:fill="auto"/>
            <w:noWrap/>
            <w:vAlign w:val="center"/>
            <w:hideMark/>
          </w:tcPr>
          <w:p w14:paraId="62530673" w14:textId="77777777" w:rsidR="00FC7E7A" w:rsidRPr="00AA18F8" w:rsidRDefault="00FC7E7A" w:rsidP="00026A4E">
            <w:pPr>
              <w:jc w:val="right"/>
              <w:rPr>
                <w:rFonts w:cs="Arial"/>
                <w:b/>
                <w:bCs/>
                <w:color w:val="000000"/>
                <w:sz w:val="18"/>
                <w:szCs w:val="18"/>
              </w:rPr>
            </w:pPr>
            <w:r w:rsidRPr="00AA18F8">
              <w:rPr>
                <w:rFonts w:cs="Arial"/>
                <w:b/>
                <w:bCs/>
                <w:color w:val="000000"/>
                <w:sz w:val="18"/>
                <w:szCs w:val="18"/>
              </w:rPr>
              <w:t>47.875.373</w:t>
            </w:r>
          </w:p>
        </w:tc>
        <w:tc>
          <w:tcPr>
            <w:tcW w:w="0" w:type="auto"/>
            <w:tcBorders>
              <w:top w:val="nil"/>
              <w:left w:val="nil"/>
              <w:bottom w:val="nil"/>
              <w:right w:val="nil"/>
            </w:tcBorders>
            <w:shd w:val="clear" w:color="auto" w:fill="auto"/>
            <w:noWrap/>
            <w:vAlign w:val="center"/>
            <w:hideMark/>
          </w:tcPr>
          <w:p w14:paraId="262B4D6F" w14:textId="77777777" w:rsidR="00FC7E7A" w:rsidRPr="00AA18F8" w:rsidRDefault="00FC7E7A" w:rsidP="00026A4E">
            <w:pPr>
              <w:jc w:val="center"/>
              <w:rPr>
                <w:rFonts w:cs="Arial"/>
                <w:b/>
                <w:bCs/>
                <w:color w:val="000000"/>
                <w:sz w:val="18"/>
                <w:szCs w:val="18"/>
              </w:rPr>
            </w:pPr>
            <w:r w:rsidRPr="00AA18F8">
              <w:rPr>
                <w:rFonts w:cs="Arial"/>
                <w:b/>
                <w:bCs/>
                <w:color w:val="000000"/>
                <w:sz w:val="18"/>
                <w:szCs w:val="18"/>
              </w:rPr>
              <w:t>45,07</w:t>
            </w:r>
          </w:p>
        </w:tc>
        <w:tc>
          <w:tcPr>
            <w:tcW w:w="1065" w:type="dxa"/>
            <w:tcBorders>
              <w:top w:val="nil"/>
              <w:left w:val="single" w:sz="4" w:space="0" w:color="auto"/>
              <w:bottom w:val="nil"/>
              <w:right w:val="single" w:sz="4" w:space="0" w:color="auto"/>
            </w:tcBorders>
            <w:shd w:val="clear" w:color="auto" w:fill="auto"/>
            <w:noWrap/>
            <w:vAlign w:val="center"/>
            <w:hideMark/>
          </w:tcPr>
          <w:p w14:paraId="66466520" w14:textId="77777777" w:rsidR="00FC7E7A" w:rsidRPr="00AA18F8" w:rsidRDefault="00FC7E7A" w:rsidP="00026A4E">
            <w:pPr>
              <w:jc w:val="right"/>
              <w:rPr>
                <w:rFonts w:cs="Arial"/>
                <w:b/>
                <w:bCs/>
                <w:color w:val="000000"/>
                <w:sz w:val="18"/>
                <w:szCs w:val="18"/>
              </w:rPr>
            </w:pPr>
            <w:r w:rsidRPr="00AA18F8">
              <w:rPr>
                <w:rFonts w:cs="Arial"/>
                <w:b/>
                <w:bCs/>
                <w:color w:val="000000"/>
                <w:sz w:val="18"/>
                <w:szCs w:val="18"/>
              </w:rPr>
              <w:t>19.520.500</w:t>
            </w:r>
          </w:p>
        </w:tc>
        <w:tc>
          <w:tcPr>
            <w:tcW w:w="848" w:type="dxa"/>
            <w:tcBorders>
              <w:top w:val="nil"/>
              <w:left w:val="nil"/>
              <w:bottom w:val="nil"/>
              <w:right w:val="nil"/>
            </w:tcBorders>
            <w:shd w:val="clear" w:color="auto" w:fill="auto"/>
            <w:noWrap/>
            <w:vAlign w:val="center"/>
            <w:hideMark/>
          </w:tcPr>
          <w:p w14:paraId="35A2799B" w14:textId="77777777" w:rsidR="00FC7E7A" w:rsidRPr="00AA18F8" w:rsidRDefault="00FC7E7A" w:rsidP="00FC7E7A">
            <w:pPr>
              <w:jc w:val="center"/>
              <w:rPr>
                <w:rFonts w:cs="Arial"/>
                <w:b/>
                <w:bCs/>
                <w:color w:val="000000"/>
                <w:sz w:val="18"/>
                <w:szCs w:val="18"/>
              </w:rPr>
            </w:pPr>
            <w:r w:rsidRPr="00AA18F8">
              <w:rPr>
                <w:rFonts w:cs="Arial"/>
                <w:b/>
                <w:bCs/>
                <w:color w:val="000000"/>
                <w:sz w:val="18"/>
                <w:szCs w:val="18"/>
              </w:rPr>
              <w:t>40,77</w:t>
            </w:r>
          </w:p>
        </w:tc>
      </w:tr>
      <w:tr w:rsidR="00FC7E7A" w:rsidRPr="00AA18F8" w14:paraId="02C3CFC1" w14:textId="77777777" w:rsidTr="002A033A">
        <w:trPr>
          <w:trHeight w:val="340"/>
        </w:trPr>
        <w:tc>
          <w:tcPr>
            <w:tcW w:w="0" w:type="auto"/>
            <w:tcBorders>
              <w:top w:val="nil"/>
              <w:left w:val="nil"/>
              <w:bottom w:val="nil"/>
              <w:right w:val="single" w:sz="4" w:space="0" w:color="auto"/>
            </w:tcBorders>
            <w:shd w:val="clear" w:color="auto" w:fill="auto"/>
            <w:noWrap/>
            <w:vAlign w:val="center"/>
            <w:hideMark/>
          </w:tcPr>
          <w:p w14:paraId="28E94A08" w14:textId="77777777" w:rsidR="00FC7E7A" w:rsidRPr="00AA18F8" w:rsidRDefault="00FC7E7A" w:rsidP="00026A4E">
            <w:pPr>
              <w:ind w:left="209"/>
              <w:jc w:val="left"/>
              <w:rPr>
                <w:rFonts w:cs="Arial"/>
                <w:color w:val="000000"/>
                <w:sz w:val="18"/>
                <w:szCs w:val="18"/>
              </w:rPr>
            </w:pPr>
            <w:r w:rsidRPr="00AA18F8">
              <w:rPr>
                <w:rFonts w:cs="Arial"/>
                <w:color w:val="000000"/>
                <w:sz w:val="18"/>
                <w:szCs w:val="18"/>
              </w:rPr>
              <w:t>Caixa e Equivalente de Caixa</w:t>
            </w:r>
          </w:p>
        </w:tc>
        <w:tc>
          <w:tcPr>
            <w:tcW w:w="0" w:type="auto"/>
            <w:tcBorders>
              <w:top w:val="nil"/>
              <w:left w:val="nil"/>
              <w:bottom w:val="nil"/>
              <w:right w:val="single" w:sz="4" w:space="0" w:color="auto"/>
            </w:tcBorders>
            <w:shd w:val="clear" w:color="auto" w:fill="auto"/>
            <w:noWrap/>
            <w:vAlign w:val="center"/>
            <w:hideMark/>
          </w:tcPr>
          <w:p w14:paraId="18C9D306" w14:textId="77777777" w:rsidR="00FC7E7A" w:rsidRPr="00AA18F8" w:rsidRDefault="00FC7E7A" w:rsidP="00026A4E">
            <w:pPr>
              <w:jc w:val="right"/>
              <w:rPr>
                <w:rFonts w:cs="Arial"/>
                <w:color w:val="000000"/>
                <w:sz w:val="18"/>
                <w:szCs w:val="18"/>
              </w:rPr>
            </w:pPr>
            <w:r w:rsidRPr="00AA18F8">
              <w:rPr>
                <w:rFonts w:cs="Arial"/>
                <w:color w:val="000000"/>
                <w:sz w:val="18"/>
                <w:szCs w:val="18"/>
              </w:rPr>
              <w:t>15.473.477</w:t>
            </w:r>
          </w:p>
        </w:tc>
        <w:tc>
          <w:tcPr>
            <w:tcW w:w="0" w:type="auto"/>
            <w:tcBorders>
              <w:top w:val="nil"/>
              <w:left w:val="nil"/>
              <w:bottom w:val="nil"/>
              <w:right w:val="nil"/>
            </w:tcBorders>
            <w:shd w:val="clear" w:color="000000" w:fill="FFFFFF"/>
            <w:noWrap/>
            <w:vAlign w:val="center"/>
            <w:hideMark/>
          </w:tcPr>
          <w:p w14:paraId="11B156EA" w14:textId="77777777" w:rsidR="00FC7E7A" w:rsidRPr="00AA18F8" w:rsidRDefault="00FC7E7A" w:rsidP="00026A4E">
            <w:pPr>
              <w:jc w:val="center"/>
              <w:rPr>
                <w:rFonts w:cs="Arial"/>
                <w:color w:val="000000"/>
                <w:sz w:val="18"/>
                <w:szCs w:val="18"/>
              </w:rPr>
            </w:pPr>
            <w:r w:rsidRPr="00AA18F8">
              <w:rPr>
                <w:rFonts w:cs="Arial"/>
                <w:color w:val="000000"/>
                <w:sz w:val="18"/>
                <w:szCs w:val="18"/>
              </w:rPr>
              <w:t>6,16</w:t>
            </w:r>
          </w:p>
        </w:tc>
        <w:tc>
          <w:tcPr>
            <w:tcW w:w="0" w:type="auto"/>
            <w:tcBorders>
              <w:top w:val="nil"/>
              <w:left w:val="single" w:sz="4" w:space="0" w:color="auto"/>
              <w:bottom w:val="nil"/>
              <w:right w:val="single" w:sz="4" w:space="0" w:color="auto"/>
            </w:tcBorders>
            <w:shd w:val="clear" w:color="auto" w:fill="auto"/>
            <w:noWrap/>
            <w:vAlign w:val="center"/>
            <w:hideMark/>
          </w:tcPr>
          <w:p w14:paraId="5B5FF84B" w14:textId="77777777" w:rsidR="00FC7E7A" w:rsidRPr="00AA18F8" w:rsidRDefault="00FC7E7A" w:rsidP="00026A4E">
            <w:pPr>
              <w:jc w:val="right"/>
              <w:rPr>
                <w:rFonts w:cs="Arial"/>
                <w:color w:val="000000"/>
                <w:sz w:val="18"/>
                <w:szCs w:val="18"/>
              </w:rPr>
            </w:pPr>
            <w:r w:rsidRPr="00AA18F8">
              <w:rPr>
                <w:rFonts w:cs="Arial"/>
                <w:color w:val="000000"/>
                <w:sz w:val="18"/>
                <w:szCs w:val="18"/>
              </w:rPr>
              <w:t>13.213.029</w:t>
            </w:r>
          </w:p>
        </w:tc>
        <w:tc>
          <w:tcPr>
            <w:tcW w:w="0" w:type="auto"/>
            <w:tcBorders>
              <w:top w:val="nil"/>
              <w:left w:val="nil"/>
              <w:bottom w:val="nil"/>
              <w:right w:val="nil"/>
            </w:tcBorders>
            <w:shd w:val="clear" w:color="auto" w:fill="auto"/>
            <w:noWrap/>
            <w:vAlign w:val="center"/>
            <w:hideMark/>
          </w:tcPr>
          <w:p w14:paraId="0BC5324F" w14:textId="77777777" w:rsidR="00FC7E7A" w:rsidRPr="00AA18F8" w:rsidRDefault="00FC7E7A" w:rsidP="00026A4E">
            <w:pPr>
              <w:jc w:val="center"/>
              <w:rPr>
                <w:rFonts w:cs="Arial"/>
                <w:color w:val="000000"/>
                <w:sz w:val="18"/>
                <w:szCs w:val="18"/>
              </w:rPr>
            </w:pPr>
            <w:r w:rsidRPr="00AA18F8">
              <w:rPr>
                <w:rFonts w:cs="Arial"/>
                <w:color w:val="000000"/>
                <w:sz w:val="18"/>
                <w:szCs w:val="18"/>
              </w:rPr>
              <w:t>12,44</w:t>
            </w:r>
          </w:p>
        </w:tc>
        <w:tc>
          <w:tcPr>
            <w:tcW w:w="1065" w:type="dxa"/>
            <w:tcBorders>
              <w:top w:val="nil"/>
              <w:left w:val="single" w:sz="4" w:space="0" w:color="auto"/>
              <w:bottom w:val="nil"/>
              <w:right w:val="single" w:sz="4" w:space="0" w:color="auto"/>
            </w:tcBorders>
            <w:shd w:val="clear" w:color="auto" w:fill="auto"/>
            <w:noWrap/>
            <w:vAlign w:val="center"/>
            <w:hideMark/>
          </w:tcPr>
          <w:p w14:paraId="2727CB1B" w14:textId="77777777" w:rsidR="00FC7E7A" w:rsidRPr="00AA18F8" w:rsidRDefault="00FC7E7A" w:rsidP="00026A4E">
            <w:pPr>
              <w:jc w:val="right"/>
              <w:rPr>
                <w:rFonts w:cs="Arial"/>
                <w:color w:val="000000"/>
                <w:sz w:val="18"/>
                <w:szCs w:val="18"/>
              </w:rPr>
            </w:pPr>
            <w:r w:rsidRPr="00AA18F8">
              <w:rPr>
                <w:rFonts w:cs="Arial"/>
                <w:color w:val="000000"/>
                <w:sz w:val="18"/>
                <w:szCs w:val="18"/>
              </w:rPr>
              <w:t>2.260.448</w:t>
            </w:r>
          </w:p>
        </w:tc>
        <w:tc>
          <w:tcPr>
            <w:tcW w:w="848" w:type="dxa"/>
            <w:tcBorders>
              <w:top w:val="nil"/>
              <w:left w:val="nil"/>
              <w:bottom w:val="nil"/>
              <w:right w:val="nil"/>
            </w:tcBorders>
            <w:shd w:val="clear" w:color="auto" w:fill="auto"/>
            <w:noWrap/>
            <w:vAlign w:val="center"/>
            <w:hideMark/>
          </w:tcPr>
          <w:p w14:paraId="3CA78C72" w14:textId="77777777" w:rsidR="00FC7E7A" w:rsidRPr="00AA18F8" w:rsidRDefault="00FC7E7A" w:rsidP="00FC7E7A">
            <w:pPr>
              <w:jc w:val="center"/>
              <w:rPr>
                <w:rFonts w:cs="Arial"/>
                <w:color w:val="000000"/>
                <w:sz w:val="18"/>
                <w:szCs w:val="18"/>
              </w:rPr>
            </w:pPr>
            <w:r w:rsidRPr="00AA18F8">
              <w:rPr>
                <w:rFonts w:cs="Arial"/>
                <w:color w:val="000000"/>
                <w:sz w:val="18"/>
                <w:szCs w:val="18"/>
              </w:rPr>
              <w:t>17,11</w:t>
            </w:r>
          </w:p>
        </w:tc>
      </w:tr>
      <w:tr w:rsidR="00FC7E7A" w:rsidRPr="00AA18F8" w14:paraId="6FAD8873" w14:textId="77777777" w:rsidTr="002A033A">
        <w:trPr>
          <w:trHeight w:val="340"/>
        </w:trPr>
        <w:tc>
          <w:tcPr>
            <w:tcW w:w="0" w:type="auto"/>
            <w:tcBorders>
              <w:top w:val="nil"/>
              <w:left w:val="nil"/>
              <w:bottom w:val="nil"/>
              <w:right w:val="single" w:sz="4" w:space="0" w:color="auto"/>
            </w:tcBorders>
            <w:shd w:val="clear" w:color="auto" w:fill="auto"/>
            <w:noWrap/>
            <w:vAlign w:val="center"/>
            <w:hideMark/>
          </w:tcPr>
          <w:p w14:paraId="2D05C687" w14:textId="77777777" w:rsidR="00FC7E7A" w:rsidRPr="00AA18F8" w:rsidRDefault="00FC7E7A" w:rsidP="00026A4E">
            <w:pPr>
              <w:ind w:left="209"/>
              <w:jc w:val="left"/>
              <w:rPr>
                <w:rFonts w:cs="Arial"/>
                <w:color w:val="000000"/>
                <w:sz w:val="18"/>
                <w:szCs w:val="18"/>
              </w:rPr>
            </w:pPr>
            <w:r w:rsidRPr="00AA18F8">
              <w:rPr>
                <w:rFonts w:cs="Arial"/>
                <w:color w:val="000000"/>
                <w:sz w:val="18"/>
                <w:szCs w:val="18"/>
              </w:rPr>
              <w:t>Créditos a Curto Prazo</w:t>
            </w:r>
          </w:p>
        </w:tc>
        <w:tc>
          <w:tcPr>
            <w:tcW w:w="0" w:type="auto"/>
            <w:tcBorders>
              <w:top w:val="nil"/>
              <w:left w:val="nil"/>
              <w:bottom w:val="nil"/>
              <w:right w:val="single" w:sz="4" w:space="0" w:color="auto"/>
            </w:tcBorders>
            <w:shd w:val="clear" w:color="auto" w:fill="auto"/>
            <w:noWrap/>
            <w:vAlign w:val="center"/>
            <w:hideMark/>
          </w:tcPr>
          <w:p w14:paraId="519DF15A" w14:textId="77777777" w:rsidR="00FC7E7A" w:rsidRPr="00AA18F8" w:rsidRDefault="00FC7E7A" w:rsidP="00026A4E">
            <w:pPr>
              <w:jc w:val="right"/>
              <w:rPr>
                <w:rFonts w:cs="Arial"/>
                <w:color w:val="000000"/>
                <w:sz w:val="18"/>
                <w:szCs w:val="18"/>
              </w:rPr>
            </w:pPr>
            <w:r w:rsidRPr="00AA18F8">
              <w:rPr>
                <w:rFonts w:cs="Arial"/>
                <w:color w:val="000000"/>
                <w:sz w:val="18"/>
                <w:szCs w:val="18"/>
              </w:rPr>
              <w:t>17.789.950</w:t>
            </w:r>
          </w:p>
        </w:tc>
        <w:tc>
          <w:tcPr>
            <w:tcW w:w="0" w:type="auto"/>
            <w:tcBorders>
              <w:top w:val="nil"/>
              <w:left w:val="nil"/>
              <w:bottom w:val="nil"/>
              <w:right w:val="nil"/>
            </w:tcBorders>
            <w:shd w:val="clear" w:color="000000" w:fill="FFFFFF"/>
            <w:noWrap/>
            <w:vAlign w:val="center"/>
            <w:hideMark/>
          </w:tcPr>
          <w:p w14:paraId="3340DF0A" w14:textId="77777777" w:rsidR="00FC7E7A" w:rsidRPr="00AA18F8" w:rsidRDefault="00FC7E7A" w:rsidP="00026A4E">
            <w:pPr>
              <w:jc w:val="center"/>
              <w:rPr>
                <w:rFonts w:cs="Arial"/>
                <w:color w:val="000000"/>
                <w:sz w:val="18"/>
                <w:szCs w:val="18"/>
              </w:rPr>
            </w:pPr>
            <w:r w:rsidRPr="00AA18F8">
              <w:rPr>
                <w:rFonts w:cs="Arial"/>
                <w:color w:val="000000"/>
                <w:sz w:val="18"/>
                <w:szCs w:val="18"/>
              </w:rPr>
              <w:t>7,08</w:t>
            </w:r>
          </w:p>
        </w:tc>
        <w:tc>
          <w:tcPr>
            <w:tcW w:w="0" w:type="auto"/>
            <w:tcBorders>
              <w:top w:val="nil"/>
              <w:left w:val="single" w:sz="4" w:space="0" w:color="auto"/>
              <w:bottom w:val="nil"/>
              <w:right w:val="single" w:sz="4" w:space="0" w:color="auto"/>
            </w:tcBorders>
            <w:shd w:val="clear" w:color="auto" w:fill="auto"/>
            <w:noWrap/>
            <w:vAlign w:val="center"/>
            <w:hideMark/>
          </w:tcPr>
          <w:p w14:paraId="5AB95833" w14:textId="77777777" w:rsidR="00FC7E7A" w:rsidRPr="00AA18F8" w:rsidRDefault="00FC7E7A" w:rsidP="00026A4E">
            <w:pPr>
              <w:jc w:val="right"/>
              <w:rPr>
                <w:rFonts w:cs="Arial"/>
                <w:color w:val="000000"/>
                <w:sz w:val="18"/>
                <w:szCs w:val="18"/>
              </w:rPr>
            </w:pPr>
            <w:r w:rsidRPr="00AA18F8">
              <w:rPr>
                <w:rFonts w:cs="Arial"/>
                <w:color w:val="000000"/>
                <w:sz w:val="18"/>
                <w:szCs w:val="18"/>
              </w:rPr>
              <w:t>15.219.907</w:t>
            </w:r>
          </w:p>
        </w:tc>
        <w:tc>
          <w:tcPr>
            <w:tcW w:w="0" w:type="auto"/>
            <w:tcBorders>
              <w:top w:val="nil"/>
              <w:left w:val="nil"/>
              <w:bottom w:val="nil"/>
              <w:right w:val="nil"/>
            </w:tcBorders>
            <w:shd w:val="clear" w:color="auto" w:fill="auto"/>
            <w:noWrap/>
            <w:vAlign w:val="center"/>
            <w:hideMark/>
          </w:tcPr>
          <w:p w14:paraId="13798701" w14:textId="77777777" w:rsidR="00FC7E7A" w:rsidRPr="00AA18F8" w:rsidRDefault="00FC7E7A" w:rsidP="00026A4E">
            <w:pPr>
              <w:jc w:val="center"/>
              <w:rPr>
                <w:rFonts w:cs="Arial"/>
                <w:color w:val="000000"/>
                <w:sz w:val="18"/>
                <w:szCs w:val="18"/>
              </w:rPr>
            </w:pPr>
            <w:r w:rsidRPr="00AA18F8">
              <w:rPr>
                <w:rFonts w:cs="Arial"/>
                <w:color w:val="000000"/>
                <w:sz w:val="18"/>
                <w:szCs w:val="18"/>
              </w:rPr>
              <w:t>14,33</w:t>
            </w:r>
          </w:p>
        </w:tc>
        <w:tc>
          <w:tcPr>
            <w:tcW w:w="1065" w:type="dxa"/>
            <w:tcBorders>
              <w:top w:val="nil"/>
              <w:left w:val="single" w:sz="4" w:space="0" w:color="auto"/>
              <w:bottom w:val="nil"/>
              <w:right w:val="single" w:sz="4" w:space="0" w:color="auto"/>
            </w:tcBorders>
            <w:shd w:val="clear" w:color="auto" w:fill="auto"/>
            <w:noWrap/>
            <w:vAlign w:val="center"/>
            <w:hideMark/>
          </w:tcPr>
          <w:p w14:paraId="383CE91C" w14:textId="77777777" w:rsidR="00FC7E7A" w:rsidRPr="00AA18F8" w:rsidRDefault="00FC7E7A" w:rsidP="00026A4E">
            <w:pPr>
              <w:jc w:val="right"/>
              <w:rPr>
                <w:rFonts w:cs="Arial"/>
                <w:color w:val="000000"/>
                <w:sz w:val="18"/>
                <w:szCs w:val="18"/>
              </w:rPr>
            </w:pPr>
            <w:r w:rsidRPr="00AA18F8">
              <w:rPr>
                <w:rFonts w:cs="Arial"/>
                <w:color w:val="000000"/>
                <w:sz w:val="18"/>
                <w:szCs w:val="18"/>
              </w:rPr>
              <w:t>2.570.042</w:t>
            </w:r>
          </w:p>
        </w:tc>
        <w:tc>
          <w:tcPr>
            <w:tcW w:w="848" w:type="dxa"/>
            <w:tcBorders>
              <w:top w:val="nil"/>
              <w:left w:val="nil"/>
              <w:bottom w:val="nil"/>
              <w:right w:val="nil"/>
            </w:tcBorders>
            <w:shd w:val="clear" w:color="auto" w:fill="auto"/>
            <w:noWrap/>
            <w:vAlign w:val="center"/>
            <w:hideMark/>
          </w:tcPr>
          <w:p w14:paraId="13C7B669" w14:textId="77777777" w:rsidR="00FC7E7A" w:rsidRPr="00AA18F8" w:rsidRDefault="00FC7E7A" w:rsidP="00FC7E7A">
            <w:pPr>
              <w:jc w:val="center"/>
              <w:rPr>
                <w:rFonts w:cs="Arial"/>
                <w:color w:val="000000"/>
                <w:sz w:val="18"/>
                <w:szCs w:val="18"/>
              </w:rPr>
            </w:pPr>
            <w:r w:rsidRPr="00AA18F8">
              <w:rPr>
                <w:rFonts w:cs="Arial"/>
                <w:color w:val="000000"/>
                <w:sz w:val="18"/>
                <w:szCs w:val="18"/>
              </w:rPr>
              <w:t>16,89</w:t>
            </w:r>
          </w:p>
        </w:tc>
      </w:tr>
      <w:tr w:rsidR="00FC7E7A" w:rsidRPr="00AA18F8" w14:paraId="4967106E" w14:textId="77777777" w:rsidTr="002A033A">
        <w:trPr>
          <w:trHeight w:val="340"/>
        </w:trPr>
        <w:tc>
          <w:tcPr>
            <w:tcW w:w="0" w:type="auto"/>
            <w:tcBorders>
              <w:top w:val="nil"/>
              <w:left w:val="nil"/>
              <w:bottom w:val="nil"/>
              <w:right w:val="single" w:sz="4" w:space="0" w:color="auto"/>
            </w:tcBorders>
            <w:shd w:val="clear" w:color="auto" w:fill="auto"/>
            <w:noWrap/>
            <w:vAlign w:val="center"/>
            <w:hideMark/>
          </w:tcPr>
          <w:p w14:paraId="6F58875B" w14:textId="77777777" w:rsidR="00FC7E7A" w:rsidRPr="00AA18F8" w:rsidRDefault="00FC7E7A" w:rsidP="00026A4E">
            <w:pPr>
              <w:ind w:left="209"/>
              <w:jc w:val="left"/>
              <w:rPr>
                <w:rFonts w:cs="Arial"/>
                <w:color w:val="000000"/>
                <w:sz w:val="18"/>
                <w:szCs w:val="18"/>
              </w:rPr>
            </w:pPr>
            <w:r w:rsidRPr="00AA18F8">
              <w:rPr>
                <w:rFonts w:cs="Arial"/>
                <w:color w:val="000000"/>
                <w:sz w:val="18"/>
                <w:szCs w:val="18"/>
              </w:rPr>
              <w:t>Demais Créditos e Valores a Curto Prazo</w:t>
            </w:r>
          </w:p>
        </w:tc>
        <w:tc>
          <w:tcPr>
            <w:tcW w:w="0" w:type="auto"/>
            <w:tcBorders>
              <w:top w:val="nil"/>
              <w:left w:val="nil"/>
              <w:bottom w:val="nil"/>
              <w:right w:val="single" w:sz="4" w:space="0" w:color="auto"/>
            </w:tcBorders>
            <w:shd w:val="clear" w:color="auto" w:fill="auto"/>
            <w:noWrap/>
            <w:vAlign w:val="center"/>
            <w:hideMark/>
          </w:tcPr>
          <w:p w14:paraId="324D9756" w14:textId="77777777" w:rsidR="00FC7E7A" w:rsidRPr="00AA18F8" w:rsidRDefault="00FC7E7A" w:rsidP="00026A4E">
            <w:pPr>
              <w:jc w:val="right"/>
              <w:rPr>
                <w:rFonts w:cs="Arial"/>
                <w:color w:val="000000"/>
                <w:sz w:val="18"/>
                <w:szCs w:val="18"/>
              </w:rPr>
            </w:pPr>
            <w:r w:rsidRPr="00AA18F8">
              <w:rPr>
                <w:rFonts w:cs="Arial"/>
                <w:color w:val="000000"/>
                <w:sz w:val="18"/>
                <w:szCs w:val="18"/>
              </w:rPr>
              <w:t>32.746.674</w:t>
            </w:r>
          </w:p>
        </w:tc>
        <w:tc>
          <w:tcPr>
            <w:tcW w:w="0" w:type="auto"/>
            <w:tcBorders>
              <w:top w:val="nil"/>
              <w:left w:val="nil"/>
              <w:bottom w:val="nil"/>
              <w:right w:val="nil"/>
            </w:tcBorders>
            <w:shd w:val="clear" w:color="000000" w:fill="FFFFFF"/>
            <w:noWrap/>
            <w:vAlign w:val="center"/>
            <w:hideMark/>
          </w:tcPr>
          <w:p w14:paraId="65B379A9" w14:textId="77777777" w:rsidR="00FC7E7A" w:rsidRPr="00AA18F8" w:rsidRDefault="00FC7E7A" w:rsidP="00026A4E">
            <w:pPr>
              <w:jc w:val="center"/>
              <w:rPr>
                <w:rFonts w:cs="Arial"/>
                <w:color w:val="000000"/>
                <w:sz w:val="18"/>
                <w:szCs w:val="18"/>
              </w:rPr>
            </w:pPr>
            <w:r w:rsidRPr="00AA18F8">
              <w:rPr>
                <w:rFonts w:cs="Arial"/>
                <w:color w:val="000000"/>
                <w:sz w:val="18"/>
                <w:szCs w:val="18"/>
              </w:rPr>
              <w:t>13,04</w:t>
            </w:r>
          </w:p>
        </w:tc>
        <w:tc>
          <w:tcPr>
            <w:tcW w:w="0" w:type="auto"/>
            <w:tcBorders>
              <w:top w:val="nil"/>
              <w:left w:val="single" w:sz="4" w:space="0" w:color="auto"/>
              <w:bottom w:val="nil"/>
              <w:right w:val="single" w:sz="4" w:space="0" w:color="auto"/>
            </w:tcBorders>
            <w:shd w:val="clear" w:color="auto" w:fill="auto"/>
            <w:noWrap/>
            <w:vAlign w:val="center"/>
            <w:hideMark/>
          </w:tcPr>
          <w:p w14:paraId="314F23CF" w14:textId="77777777" w:rsidR="00FC7E7A" w:rsidRPr="00AA18F8" w:rsidRDefault="00FC7E7A" w:rsidP="00026A4E">
            <w:pPr>
              <w:jc w:val="right"/>
              <w:rPr>
                <w:rFonts w:cs="Arial"/>
                <w:color w:val="000000"/>
                <w:sz w:val="18"/>
                <w:szCs w:val="18"/>
              </w:rPr>
            </w:pPr>
            <w:r w:rsidRPr="00AA18F8">
              <w:rPr>
                <w:rFonts w:cs="Arial"/>
                <w:color w:val="000000"/>
                <w:sz w:val="18"/>
                <w:szCs w:val="18"/>
              </w:rPr>
              <w:t>18.723.511</w:t>
            </w:r>
          </w:p>
        </w:tc>
        <w:tc>
          <w:tcPr>
            <w:tcW w:w="0" w:type="auto"/>
            <w:tcBorders>
              <w:top w:val="nil"/>
              <w:left w:val="nil"/>
              <w:bottom w:val="nil"/>
              <w:right w:val="nil"/>
            </w:tcBorders>
            <w:shd w:val="clear" w:color="auto" w:fill="auto"/>
            <w:noWrap/>
            <w:vAlign w:val="center"/>
            <w:hideMark/>
          </w:tcPr>
          <w:p w14:paraId="441D86C1" w14:textId="77777777" w:rsidR="00FC7E7A" w:rsidRPr="00AA18F8" w:rsidRDefault="00FC7E7A" w:rsidP="00026A4E">
            <w:pPr>
              <w:jc w:val="center"/>
              <w:rPr>
                <w:rFonts w:cs="Arial"/>
                <w:color w:val="000000"/>
                <w:sz w:val="18"/>
                <w:szCs w:val="18"/>
              </w:rPr>
            </w:pPr>
            <w:r w:rsidRPr="00AA18F8">
              <w:rPr>
                <w:rFonts w:cs="Arial"/>
                <w:color w:val="000000"/>
                <w:sz w:val="18"/>
                <w:szCs w:val="18"/>
              </w:rPr>
              <w:t>17,63</w:t>
            </w:r>
          </w:p>
        </w:tc>
        <w:tc>
          <w:tcPr>
            <w:tcW w:w="1065" w:type="dxa"/>
            <w:tcBorders>
              <w:top w:val="nil"/>
              <w:left w:val="single" w:sz="4" w:space="0" w:color="auto"/>
              <w:bottom w:val="nil"/>
              <w:right w:val="single" w:sz="4" w:space="0" w:color="auto"/>
            </w:tcBorders>
            <w:shd w:val="clear" w:color="auto" w:fill="auto"/>
            <w:noWrap/>
            <w:vAlign w:val="center"/>
            <w:hideMark/>
          </w:tcPr>
          <w:p w14:paraId="3BC769B0" w14:textId="77777777" w:rsidR="00FC7E7A" w:rsidRPr="00AA18F8" w:rsidRDefault="00FC7E7A" w:rsidP="00026A4E">
            <w:pPr>
              <w:jc w:val="right"/>
              <w:rPr>
                <w:rFonts w:cs="Arial"/>
                <w:color w:val="000000"/>
                <w:sz w:val="18"/>
                <w:szCs w:val="18"/>
              </w:rPr>
            </w:pPr>
            <w:r w:rsidRPr="00AA18F8">
              <w:rPr>
                <w:rFonts w:cs="Arial"/>
                <w:color w:val="000000"/>
                <w:sz w:val="18"/>
                <w:szCs w:val="18"/>
              </w:rPr>
              <w:t>14.023.163</w:t>
            </w:r>
          </w:p>
        </w:tc>
        <w:tc>
          <w:tcPr>
            <w:tcW w:w="848" w:type="dxa"/>
            <w:tcBorders>
              <w:top w:val="nil"/>
              <w:left w:val="nil"/>
              <w:bottom w:val="nil"/>
              <w:right w:val="nil"/>
            </w:tcBorders>
            <w:shd w:val="clear" w:color="auto" w:fill="auto"/>
            <w:noWrap/>
            <w:vAlign w:val="center"/>
            <w:hideMark/>
          </w:tcPr>
          <w:p w14:paraId="6C2E5B07" w14:textId="77777777" w:rsidR="00FC7E7A" w:rsidRPr="00AA18F8" w:rsidRDefault="00FC7E7A" w:rsidP="00FC7E7A">
            <w:pPr>
              <w:jc w:val="center"/>
              <w:rPr>
                <w:rFonts w:cs="Arial"/>
                <w:color w:val="000000"/>
                <w:sz w:val="18"/>
                <w:szCs w:val="18"/>
              </w:rPr>
            </w:pPr>
            <w:r w:rsidRPr="00AA18F8">
              <w:rPr>
                <w:rFonts w:cs="Arial"/>
                <w:color w:val="000000"/>
                <w:sz w:val="18"/>
                <w:szCs w:val="18"/>
              </w:rPr>
              <w:t>74,90</w:t>
            </w:r>
          </w:p>
        </w:tc>
      </w:tr>
      <w:tr w:rsidR="00FC7E7A" w:rsidRPr="00AA18F8" w14:paraId="0588AB72" w14:textId="77777777" w:rsidTr="002A033A">
        <w:trPr>
          <w:trHeight w:val="340"/>
        </w:trPr>
        <w:tc>
          <w:tcPr>
            <w:tcW w:w="0" w:type="auto"/>
            <w:tcBorders>
              <w:top w:val="nil"/>
              <w:left w:val="nil"/>
              <w:bottom w:val="nil"/>
              <w:right w:val="single" w:sz="4" w:space="0" w:color="auto"/>
            </w:tcBorders>
            <w:shd w:val="clear" w:color="auto" w:fill="auto"/>
            <w:noWrap/>
            <w:vAlign w:val="center"/>
            <w:hideMark/>
          </w:tcPr>
          <w:p w14:paraId="11EE3397" w14:textId="77777777" w:rsidR="00FC7E7A" w:rsidRPr="00AA18F8" w:rsidRDefault="00FC7E7A" w:rsidP="00026A4E">
            <w:pPr>
              <w:ind w:left="209"/>
              <w:jc w:val="left"/>
              <w:rPr>
                <w:rFonts w:cs="Arial"/>
                <w:color w:val="000000"/>
                <w:sz w:val="18"/>
                <w:szCs w:val="18"/>
              </w:rPr>
            </w:pPr>
            <w:r w:rsidRPr="00AA18F8">
              <w:rPr>
                <w:rFonts w:cs="Arial"/>
                <w:color w:val="000000"/>
                <w:sz w:val="18"/>
                <w:szCs w:val="18"/>
              </w:rPr>
              <w:t>Investimentos e Aplicações temporárias</w:t>
            </w:r>
          </w:p>
        </w:tc>
        <w:tc>
          <w:tcPr>
            <w:tcW w:w="0" w:type="auto"/>
            <w:tcBorders>
              <w:top w:val="nil"/>
              <w:left w:val="nil"/>
              <w:bottom w:val="nil"/>
              <w:right w:val="single" w:sz="4" w:space="0" w:color="auto"/>
            </w:tcBorders>
            <w:shd w:val="clear" w:color="auto" w:fill="auto"/>
            <w:noWrap/>
            <w:vAlign w:val="center"/>
            <w:hideMark/>
          </w:tcPr>
          <w:p w14:paraId="7A3DE358" w14:textId="77777777" w:rsidR="00FC7E7A" w:rsidRPr="00AA18F8" w:rsidRDefault="00FC7E7A" w:rsidP="00026A4E">
            <w:pPr>
              <w:jc w:val="right"/>
              <w:rPr>
                <w:rFonts w:cs="Arial"/>
                <w:color w:val="000000"/>
                <w:sz w:val="18"/>
                <w:szCs w:val="18"/>
              </w:rPr>
            </w:pPr>
            <w:r w:rsidRPr="00AA18F8">
              <w:rPr>
                <w:rFonts w:cs="Arial"/>
                <w:color w:val="000000"/>
                <w:sz w:val="18"/>
                <w:szCs w:val="18"/>
              </w:rPr>
              <w:t>601.292</w:t>
            </w:r>
          </w:p>
        </w:tc>
        <w:tc>
          <w:tcPr>
            <w:tcW w:w="0" w:type="auto"/>
            <w:tcBorders>
              <w:top w:val="nil"/>
              <w:left w:val="nil"/>
              <w:bottom w:val="nil"/>
              <w:right w:val="nil"/>
            </w:tcBorders>
            <w:shd w:val="clear" w:color="000000" w:fill="FFFFFF"/>
            <w:noWrap/>
            <w:vAlign w:val="center"/>
            <w:hideMark/>
          </w:tcPr>
          <w:p w14:paraId="3347AFB7" w14:textId="77777777" w:rsidR="00FC7E7A" w:rsidRPr="00AA18F8" w:rsidRDefault="00FC7E7A" w:rsidP="00026A4E">
            <w:pPr>
              <w:jc w:val="center"/>
              <w:rPr>
                <w:rFonts w:cs="Arial"/>
                <w:color w:val="000000"/>
                <w:sz w:val="18"/>
                <w:szCs w:val="18"/>
              </w:rPr>
            </w:pPr>
            <w:r w:rsidRPr="00AA18F8">
              <w:rPr>
                <w:rFonts w:cs="Arial"/>
                <w:color w:val="000000"/>
                <w:sz w:val="18"/>
                <w:szCs w:val="18"/>
              </w:rPr>
              <w:t>0,24</w:t>
            </w:r>
          </w:p>
        </w:tc>
        <w:tc>
          <w:tcPr>
            <w:tcW w:w="0" w:type="auto"/>
            <w:tcBorders>
              <w:top w:val="nil"/>
              <w:left w:val="single" w:sz="4" w:space="0" w:color="auto"/>
              <w:bottom w:val="nil"/>
              <w:right w:val="single" w:sz="4" w:space="0" w:color="auto"/>
            </w:tcBorders>
            <w:shd w:val="clear" w:color="auto" w:fill="auto"/>
            <w:noWrap/>
            <w:vAlign w:val="center"/>
            <w:hideMark/>
          </w:tcPr>
          <w:p w14:paraId="602CC5FD" w14:textId="77777777" w:rsidR="00FC7E7A" w:rsidRPr="00AA18F8" w:rsidRDefault="00FC7E7A" w:rsidP="00026A4E">
            <w:pPr>
              <w:jc w:val="right"/>
              <w:rPr>
                <w:rFonts w:cs="Arial"/>
                <w:color w:val="000000"/>
                <w:sz w:val="18"/>
                <w:szCs w:val="18"/>
              </w:rPr>
            </w:pPr>
            <w:r w:rsidRPr="00AA18F8">
              <w:rPr>
                <w:rFonts w:cs="Arial"/>
                <w:color w:val="000000"/>
                <w:sz w:val="18"/>
                <w:szCs w:val="18"/>
              </w:rPr>
              <w:t>434.625</w:t>
            </w:r>
          </w:p>
        </w:tc>
        <w:tc>
          <w:tcPr>
            <w:tcW w:w="0" w:type="auto"/>
            <w:tcBorders>
              <w:top w:val="nil"/>
              <w:left w:val="nil"/>
              <w:bottom w:val="nil"/>
              <w:right w:val="nil"/>
            </w:tcBorders>
            <w:shd w:val="clear" w:color="auto" w:fill="auto"/>
            <w:noWrap/>
            <w:vAlign w:val="center"/>
            <w:hideMark/>
          </w:tcPr>
          <w:p w14:paraId="30B451D4" w14:textId="77777777" w:rsidR="00FC7E7A" w:rsidRPr="00AA18F8" w:rsidRDefault="00FC7E7A" w:rsidP="00026A4E">
            <w:pPr>
              <w:jc w:val="center"/>
              <w:rPr>
                <w:rFonts w:cs="Arial"/>
                <w:color w:val="000000"/>
                <w:sz w:val="18"/>
                <w:szCs w:val="18"/>
              </w:rPr>
            </w:pPr>
            <w:r w:rsidRPr="00AA18F8">
              <w:rPr>
                <w:rFonts w:cs="Arial"/>
                <w:color w:val="000000"/>
                <w:sz w:val="18"/>
                <w:szCs w:val="18"/>
              </w:rPr>
              <w:t>0,41</w:t>
            </w:r>
          </w:p>
        </w:tc>
        <w:tc>
          <w:tcPr>
            <w:tcW w:w="1065" w:type="dxa"/>
            <w:tcBorders>
              <w:top w:val="nil"/>
              <w:left w:val="single" w:sz="4" w:space="0" w:color="auto"/>
              <w:bottom w:val="nil"/>
              <w:right w:val="single" w:sz="4" w:space="0" w:color="auto"/>
            </w:tcBorders>
            <w:shd w:val="clear" w:color="auto" w:fill="auto"/>
            <w:noWrap/>
            <w:vAlign w:val="center"/>
            <w:hideMark/>
          </w:tcPr>
          <w:p w14:paraId="10B40078" w14:textId="77777777" w:rsidR="00FC7E7A" w:rsidRPr="00AA18F8" w:rsidRDefault="00FC7E7A" w:rsidP="00026A4E">
            <w:pPr>
              <w:jc w:val="right"/>
              <w:rPr>
                <w:rFonts w:cs="Arial"/>
                <w:color w:val="000000"/>
                <w:sz w:val="18"/>
                <w:szCs w:val="18"/>
              </w:rPr>
            </w:pPr>
            <w:r w:rsidRPr="00AA18F8">
              <w:rPr>
                <w:rFonts w:cs="Arial"/>
                <w:color w:val="000000"/>
                <w:sz w:val="18"/>
                <w:szCs w:val="18"/>
              </w:rPr>
              <w:t>166.667</w:t>
            </w:r>
          </w:p>
        </w:tc>
        <w:tc>
          <w:tcPr>
            <w:tcW w:w="848" w:type="dxa"/>
            <w:tcBorders>
              <w:top w:val="nil"/>
              <w:left w:val="nil"/>
              <w:bottom w:val="nil"/>
              <w:right w:val="nil"/>
            </w:tcBorders>
            <w:shd w:val="clear" w:color="auto" w:fill="auto"/>
            <w:noWrap/>
            <w:vAlign w:val="center"/>
            <w:hideMark/>
          </w:tcPr>
          <w:p w14:paraId="6482B5E3" w14:textId="77777777" w:rsidR="00FC7E7A" w:rsidRPr="00AA18F8" w:rsidRDefault="00FC7E7A" w:rsidP="00FC7E7A">
            <w:pPr>
              <w:jc w:val="center"/>
              <w:rPr>
                <w:rFonts w:cs="Arial"/>
                <w:color w:val="000000"/>
                <w:sz w:val="18"/>
                <w:szCs w:val="18"/>
              </w:rPr>
            </w:pPr>
            <w:r w:rsidRPr="00AA18F8">
              <w:rPr>
                <w:rFonts w:cs="Arial"/>
                <w:color w:val="000000"/>
                <w:sz w:val="18"/>
                <w:szCs w:val="18"/>
              </w:rPr>
              <w:t>38,35</w:t>
            </w:r>
          </w:p>
        </w:tc>
      </w:tr>
      <w:tr w:rsidR="00FC7E7A" w:rsidRPr="00AA18F8" w14:paraId="6E482FBA" w14:textId="77777777" w:rsidTr="002A033A">
        <w:trPr>
          <w:trHeight w:val="340"/>
        </w:trPr>
        <w:tc>
          <w:tcPr>
            <w:tcW w:w="0" w:type="auto"/>
            <w:tcBorders>
              <w:top w:val="nil"/>
              <w:left w:val="nil"/>
              <w:bottom w:val="nil"/>
              <w:right w:val="single" w:sz="4" w:space="0" w:color="auto"/>
            </w:tcBorders>
            <w:shd w:val="clear" w:color="auto" w:fill="auto"/>
            <w:noWrap/>
            <w:vAlign w:val="center"/>
            <w:hideMark/>
          </w:tcPr>
          <w:p w14:paraId="6725F00E" w14:textId="77777777" w:rsidR="00FC7E7A" w:rsidRPr="00AA18F8" w:rsidRDefault="00FC7E7A" w:rsidP="00026A4E">
            <w:pPr>
              <w:ind w:left="209"/>
              <w:jc w:val="left"/>
              <w:rPr>
                <w:rFonts w:cs="Arial"/>
                <w:color w:val="000000"/>
                <w:sz w:val="18"/>
                <w:szCs w:val="18"/>
              </w:rPr>
            </w:pPr>
            <w:r w:rsidRPr="00AA18F8">
              <w:rPr>
                <w:rFonts w:cs="Arial"/>
                <w:color w:val="000000"/>
                <w:sz w:val="18"/>
                <w:szCs w:val="18"/>
              </w:rPr>
              <w:t>Estoques</w:t>
            </w:r>
          </w:p>
        </w:tc>
        <w:tc>
          <w:tcPr>
            <w:tcW w:w="0" w:type="auto"/>
            <w:tcBorders>
              <w:top w:val="nil"/>
              <w:left w:val="nil"/>
              <w:bottom w:val="nil"/>
              <w:right w:val="single" w:sz="4" w:space="0" w:color="auto"/>
            </w:tcBorders>
            <w:shd w:val="clear" w:color="auto" w:fill="auto"/>
            <w:noWrap/>
            <w:vAlign w:val="center"/>
            <w:hideMark/>
          </w:tcPr>
          <w:p w14:paraId="35773968" w14:textId="77777777" w:rsidR="00FC7E7A" w:rsidRPr="00AA18F8" w:rsidRDefault="00FC7E7A" w:rsidP="00026A4E">
            <w:pPr>
              <w:jc w:val="right"/>
              <w:rPr>
                <w:rFonts w:cs="Arial"/>
                <w:color w:val="000000"/>
                <w:sz w:val="18"/>
                <w:szCs w:val="18"/>
              </w:rPr>
            </w:pPr>
            <w:r w:rsidRPr="00AA18F8">
              <w:rPr>
                <w:rFonts w:cs="Arial"/>
                <w:color w:val="000000"/>
                <w:sz w:val="18"/>
                <w:szCs w:val="18"/>
              </w:rPr>
              <w:t>784.469</w:t>
            </w:r>
          </w:p>
        </w:tc>
        <w:tc>
          <w:tcPr>
            <w:tcW w:w="0" w:type="auto"/>
            <w:tcBorders>
              <w:top w:val="nil"/>
              <w:left w:val="nil"/>
              <w:bottom w:val="nil"/>
              <w:right w:val="nil"/>
            </w:tcBorders>
            <w:shd w:val="clear" w:color="000000" w:fill="FFFFFF"/>
            <w:noWrap/>
            <w:vAlign w:val="center"/>
            <w:hideMark/>
          </w:tcPr>
          <w:p w14:paraId="39E208F9" w14:textId="77777777" w:rsidR="00FC7E7A" w:rsidRPr="00AA18F8" w:rsidRDefault="00FC7E7A" w:rsidP="00026A4E">
            <w:pPr>
              <w:jc w:val="center"/>
              <w:rPr>
                <w:rFonts w:cs="Arial"/>
                <w:color w:val="000000"/>
                <w:sz w:val="18"/>
                <w:szCs w:val="18"/>
              </w:rPr>
            </w:pPr>
            <w:r w:rsidRPr="00AA18F8">
              <w:rPr>
                <w:rFonts w:cs="Arial"/>
                <w:color w:val="000000"/>
                <w:sz w:val="18"/>
                <w:szCs w:val="18"/>
              </w:rPr>
              <w:t>0,31</w:t>
            </w:r>
          </w:p>
        </w:tc>
        <w:tc>
          <w:tcPr>
            <w:tcW w:w="0" w:type="auto"/>
            <w:tcBorders>
              <w:top w:val="nil"/>
              <w:left w:val="single" w:sz="4" w:space="0" w:color="auto"/>
              <w:bottom w:val="nil"/>
              <w:right w:val="single" w:sz="4" w:space="0" w:color="auto"/>
            </w:tcBorders>
            <w:shd w:val="clear" w:color="auto" w:fill="auto"/>
            <w:noWrap/>
            <w:vAlign w:val="center"/>
            <w:hideMark/>
          </w:tcPr>
          <w:p w14:paraId="2F7F0928" w14:textId="77777777" w:rsidR="00FC7E7A" w:rsidRPr="00AA18F8" w:rsidRDefault="00FC7E7A" w:rsidP="00026A4E">
            <w:pPr>
              <w:jc w:val="right"/>
              <w:rPr>
                <w:rFonts w:cs="Arial"/>
                <w:color w:val="000000"/>
                <w:sz w:val="18"/>
                <w:szCs w:val="18"/>
              </w:rPr>
            </w:pPr>
            <w:r w:rsidRPr="00AA18F8">
              <w:rPr>
                <w:rFonts w:cs="Arial"/>
                <w:color w:val="000000"/>
                <w:sz w:val="18"/>
                <w:szCs w:val="18"/>
              </w:rPr>
              <w:t>284.298</w:t>
            </w:r>
          </w:p>
        </w:tc>
        <w:tc>
          <w:tcPr>
            <w:tcW w:w="0" w:type="auto"/>
            <w:tcBorders>
              <w:top w:val="nil"/>
              <w:left w:val="nil"/>
              <w:bottom w:val="nil"/>
              <w:right w:val="nil"/>
            </w:tcBorders>
            <w:shd w:val="clear" w:color="auto" w:fill="auto"/>
            <w:noWrap/>
            <w:vAlign w:val="center"/>
            <w:hideMark/>
          </w:tcPr>
          <w:p w14:paraId="378F0F0F" w14:textId="77777777" w:rsidR="00FC7E7A" w:rsidRPr="00AA18F8" w:rsidRDefault="00FC7E7A" w:rsidP="00026A4E">
            <w:pPr>
              <w:jc w:val="center"/>
              <w:rPr>
                <w:rFonts w:cs="Arial"/>
                <w:color w:val="000000"/>
                <w:sz w:val="18"/>
                <w:szCs w:val="18"/>
              </w:rPr>
            </w:pPr>
            <w:r w:rsidRPr="00AA18F8">
              <w:rPr>
                <w:rFonts w:cs="Arial"/>
                <w:color w:val="000000"/>
                <w:sz w:val="18"/>
                <w:szCs w:val="18"/>
              </w:rPr>
              <w:t>0,27</w:t>
            </w:r>
          </w:p>
        </w:tc>
        <w:tc>
          <w:tcPr>
            <w:tcW w:w="1065" w:type="dxa"/>
            <w:tcBorders>
              <w:top w:val="nil"/>
              <w:left w:val="single" w:sz="4" w:space="0" w:color="auto"/>
              <w:bottom w:val="nil"/>
              <w:right w:val="single" w:sz="4" w:space="0" w:color="auto"/>
            </w:tcBorders>
            <w:shd w:val="clear" w:color="auto" w:fill="auto"/>
            <w:noWrap/>
            <w:vAlign w:val="center"/>
            <w:hideMark/>
          </w:tcPr>
          <w:p w14:paraId="06418FE3" w14:textId="77777777" w:rsidR="00FC7E7A" w:rsidRPr="00AA18F8" w:rsidRDefault="00FC7E7A" w:rsidP="00026A4E">
            <w:pPr>
              <w:jc w:val="right"/>
              <w:rPr>
                <w:rFonts w:cs="Arial"/>
                <w:color w:val="000000"/>
                <w:sz w:val="18"/>
                <w:szCs w:val="18"/>
              </w:rPr>
            </w:pPr>
            <w:r w:rsidRPr="00AA18F8">
              <w:rPr>
                <w:rFonts w:cs="Arial"/>
                <w:color w:val="000000"/>
                <w:sz w:val="18"/>
                <w:szCs w:val="18"/>
              </w:rPr>
              <w:t>500.172</w:t>
            </w:r>
          </w:p>
        </w:tc>
        <w:tc>
          <w:tcPr>
            <w:tcW w:w="848" w:type="dxa"/>
            <w:tcBorders>
              <w:top w:val="nil"/>
              <w:left w:val="nil"/>
              <w:bottom w:val="nil"/>
              <w:right w:val="nil"/>
            </w:tcBorders>
            <w:shd w:val="clear" w:color="auto" w:fill="auto"/>
            <w:noWrap/>
            <w:vAlign w:val="center"/>
            <w:hideMark/>
          </w:tcPr>
          <w:p w14:paraId="1C39BE59" w14:textId="77777777" w:rsidR="00FC7E7A" w:rsidRPr="00AA18F8" w:rsidRDefault="00FC7E7A" w:rsidP="00FC7E7A">
            <w:pPr>
              <w:jc w:val="center"/>
              <w:rPr>
                <w:rFonts w:cs="Arial"/>
                <w:color w:val="000000"/>
                <w:sz w:val="18"/>
                <w:szCs w:val="18"/>
              </w:rPr>
            </w:pPr>
            <w:r w:rsidRPr="00AA18F8">
              <w:rPr>
                <w:rFonts w:cs="Arial"/>
                <w:color w:val="000000"/>
                <w:sz w:val="18"/>
                <w:szCs w:val="18"/>
              </w:rPr>
              <w:t>175,93</w:t>
            </w:r>
          </w:p>
        </w:tc>
      </w:tr>
      <w:tr w:rsidR="00FC7E7A" w:rsidRPr="00AA18F8" w14:paraId="6B39D88B" w14:textId="77777777" w:rsidTr="002A033A">
        <w:trPr>
          <w:trHeight w:val="340"/>
        </w:trPr>
        <w:tc>
          <w:tcPr>
            <w:tcW w:w="0" w:type="auto"/>
            <w:tcBorders>
              <w:top w:val="nil"/>
              <w:left w:val="nil"/>
              <w:bottom w:val="nil"/>
              <w:right w:val="single" w:sz="4" w:space="0" w:color="auto"/>
            </w:tcBorders>
            <w:shd w:val="clear" w:color="auto" w:fill="auto"/>
            <w:noWrap/>
            <w:vAlign w:val="center"/>
            <w:hideMark/>
          </w:tcPr>
          <w:p w14:paraId="625BD2C7" w14:textId="77777777" w:rsidR="00FC7E7A" w:rsidRPr="00AA18F8" w:rsidRDefault="00FC7E7A" w:rsidP="00026A4E">
            <w:pPr>
              <w:ind w:left="209"/>
              <w:jc w:val="left"/>
              <w:rPr>
                <w:rFonts w:cs="Arial"/>
                <w:color w:val="000000"/>
                <w:sz w:val="18"/>
                <w:szCs w:val="18"/>
              </w:rPr>
            </w:pPr>
            <w:r w:rsidRPr="00AA18F8">
              <w:rPr>
                <w:rFonts w:cs="Arial"/>
                <w:color w:val="000000"/>
                <w:sz w:val="18"/>
                <w:szCs w:val="18"/>
              </w:rPr>
              <w:t>VPD Paga Antecipadamente</w:t>
            </w:r>
          </w:p>
        </w:tc>
        <w:tc>
          <w:tcPr>
            <w:tcW w:w="0" w:type="auto"/>
            <w:tcBorders>
              <w:top w:val="nil"/>
              <w:left w:val="nil"/>
              <w:bottom w:val="nil"/>
              <w:right w:val="single" w:sz="4" w:space="0" w:color="auto"/>
            </w:tcBorders>
            <w:shd w:val="clear" w:color="auto" w:fill="auto"/>
            <w:noWrap/>
            <w:vAlign w:val="center"/>
            <w:hideMark/>
          </w:tcPr>
          <w:p w14:paraId="77B1FED2" w14:textId="77777777" w:rsidR="00FC7E7A" w:rsidRPr="00AA18F8" w:rsidRDefault="00FC7E7A" w:rsidP="00026A4E">
            <w:pPr>
              <w:jc w:val="right"/>
              <w:rPr>
                <w:rFonts w:cs="Arial"/>
                <w:color w:val="000000"/>
                <w:sz w:val="18"/>
                <w:szCs w:val="18"/>
              </w:rPr>
            </w:pPr>
            <w:r w:rsidRPr="00AA18F8">
              <w:rPr>
                <w:rFonts w:cs="Arial"/>
                <w:color w:val="000000"/>
                <w:sz w:val="18"/>
                <w:szCs w:val="18"/>
              </w:rPr>
              <w:t>10</w:t>
            </w:r>
          </w:p>
        </w:tc>
        <w:tc>
          <w:tcPr>
            <w:tcW w:w="0" w:type="auto"/>
            <w:tcBorders>
              <w:top w:val="nil"/>
              <w:left w:val="nil"/>
              <w:bottom w:val="nil"/>
              <w:right w:val="nil"/>
            </w:tcBorders>
            <w:shd w:val="clear" w:color="000000" w:fill="FFFFFF"/>
            <w:noWrap/>
            <w:vAlign w:val="center"/>
            <w:hideMark/>
          </w:tcPr>
          <w:p w14:paraId="0289B907" w14:textId="77777777" w:rsidR="00FC7E7A" w:rsidRPr="00AA18F8" w:rsidRDefault="00FC7E7A" w:rsidP="00026A4E">
            <w:pPr>
              <w:jc w:val="center"/>
              <w:rPr>
                <w:rFonts w:cs="Arial"/>
                <w:color w:val="000000"/>
                <w:sz w:val="18"/>
                <w:szCs w:val="18"/>
              </w:rPr>
            </w:pPr>
            <w:r w:rsidRPr="00AA18F8">
              <w:rPr>
                <w:rFonts w:cs="Arial"/>
                <w:color w:val="000000"/>
                <w:sz w:val="18"/>
                <w:szCs w:val="18"/>
              </w:rPr>
              <w:t>0,00</w:t>
            </w:r>
          </w:p>
        </w:tc>
        <w:tc>
          <w:tcPr>
            <w:tcW w:w="0" w:type="auto"/>
            <w:tcBorders>
              <w:top w:val="nil"/>
              <w:left w:val="single" w:sz="4" w:space="0" w:color="auto"/>
              <w:bottom w:val="nil"/>
              <w:right w:val="single" w:sz="4" w:space="0" w:color="auto"/>
            </w:tcBorders>
            <w:shd w:val="clear" w:color="auto" w:fill="auto"/>
            <w:noWrap/>
            <w:vAlign w:val="center"/>
            <w:hideMark/>
          </w:tcPr>
          <w:p w14:paraId="788BE308" w14:textId="77777777" w:rsidR="00FC7E7A" w:rsidRPr="00AA18F8" w:rsidRDefault="00FC7E7A" w:rsidP="00026A4E">
            <w:pPr>
              <w:jc w:val="right"/>
              <w:rPr>
                <w:rFonts w:cs="Arial"/>
                <w:color w:val="000000"/>
                <w:sz w:val="18"/>
                <w:szCs w:val="18"/>
              </w:rPr>
            </w:pPr>
            <w:r w:rsidRPr="00AA18F8">
              <w:rPr>
                <w:rFonts w:cs="Arial"/>
                <w:color w:val="000000"/>
                <w:sz w:val="18"/>
                <w:szCs w:val="18"/>
              </w:rPr>
              <w:t>3</w:t>
            </w:r>
          </w:p>
        </w:tc>
        <w:tc>
          <w:tcPr>
            <w:tcW w:w="0" w:type="auto"/>
            <w:tcBorders>
              <w:top w:val="nil"/>
              <w:left w:val="nil"/>
              <w:bottom w:val="nil"/>
              <w:right w:val="nil"/>
            </w:tcBorders>
            <w:shd w:val="clear" w:color="auto" w:fill="auto"/>
            <w:noWrap/>
            <w:vAlign w:val="center"/>
            <w:hideMark/>
          </w:tcPr>
          <w:p w14:paraId="2991B188" w14:textId="77777777" w:rsidR="00FC7E7A" w:rsidRPr="00AA18F8" w:rsidRDefault="00FC7E7A" w:rsidP="00026A4E">
            <w:pPr>
              <w:jc w:val="center"/>
              <w:rPr>
                <w:rFonts w:cs="Arial"/>
                <w:color w:val="000000"/>
                <w:sz w:val="18"/>
                <w:szCs w:val="18"/>
              </w:rPr>
            </w:pPr>
            <w:r w:rsidRPr="00AA18F8">
              <w:rPr>
                <w:rFonts w:cs="Arial"/>
                <w:color w:val="000000"/>
                <w:sz w:val="18"/>
                <w:szCs w:val="18"/>
              </w:rPr>
              <w:t>0,00</w:t>
            </w:r>
          </w:p>
        </w:tc>
        <w:tc>
          <w:tcPr>
            <w:tcW w:w="1065" w:type="dxa"/>
            <w:tcBorders>
              <w:top w:val="nil"/>
              <w:left w:val="single" w:sz="4" w:space="0" w:color="auto"/>
              <w:bottom w:val="nil"/>
              <w:right w:val="single" w:sz="4" w:space="0" w:color="auto"/>
            </w:tcBorders>
            <w:shd w:val="clear" w:color="auto" w:fill="auto"/>
            <w:noWrap/>
            <w:vAlign w:val="center"/>
            <w:hideMark/>
          </w:tcPr>
          <w:p w14:paraId="5554701E" w14:textId="77777777" w:rsidR="00FC7E7A" w:rsidRPr="00AA18F8" w:rsidRDefault="00FC7E7A" w:rsidP="00026A4E">
            <w:pPr>
              <w:jc w:val="right"/>
              <w:rPr>
                <w:rFonts w:cs="Arial"/>
                <w:color w:val="000000"/>
                <w:sz w:val="18"/>
                <w:szCs w:val="18"/>
              </w:rPr>
            </w:pPr>
            <w:r w:rsidRPr="00AA18F8">
              <w:rPr>
                <w:rFonts w:cs="Arial"/>
                <w:color w:val="000000"/>
                <w:sz w:val="18"/>
                <w:szCs w:val="18"/>
              </w:rPr>
              <w:t>7</w:t>
            </w:r>
          </w:p>
        </w:tc>
        <w:tc>
          <w:tcPr>
            <w:tcW w:w="848" w:type="dxa"/>
            <w:tcBorders>
              <w:top w:val="nil"/>
              <w:left w:val="nil"/>
              <w:bottom w:val="nil"/>
              <w:right w:val="nil"/>
            </w:tcBorders>
            <w:shd w:val="clear" w:color="auto" w:fill="auto"/>
            <w:noWrap/>
            <w:vAlign w:val="center"/>
            <w:hideMark/>
          </w:tcPr>
          <w:p w14:paraId="235E1434" w14:textId="77777777" w:rsidR="00FC7E7A" w:rsidRPr="00AA18F8" w:rsidRDefault="00FC7E7A" w:rsidP="00FC7E7A">
            <w:pPr>
              <w:jc w:val="center"/>
              <w:rPr>
                <w:rFonts w:cs="Arial"/>
                <w:color w:val="000000"/>
                <w:sz w:val="18"/>
                <w:szCs w:val="18"/>
              </w:rPr>
            </w:pPr>
            <w:r w:rsidRPr="00AA18F8">
              <w:rPr>
                <w:rFonts w:cs="Arial"/>
                <w:color w:val="000000"/>
                <w:sz w:val="18"/>
                <w:szCs w:val="18"/>
              </w:rPr>
              <w:t>268,04</w:t>
            </w:r>
          </w:p>
        </w:tc>
      </w:tr>
      <w:tr w:rsidR="00FC7E7A" w:rsidRPr="00AA18F8" w14:paraId="32EAD636" w14:textId="77777777" w:rsidTr="002A033A">
        <w:trPr>
          <w:trHeight w:val="340"/>
        </w:trPr>
        <w:tc>
          <w:tcPr>
            <w:tcW w:w="0" w:type="auto"/>
            <w:tcBorders>
              <w:top w:val="nil"/>
              <w:left w:val="nil"/>
              <w:bottom w:val="nil"/>
              <w:right w:val="single" w:sz="4" w:space="0" w:color="auto"/>
            </w:tcBorders>
            <w:shd w:val="clear" w:color="auto" w:fill="auto"/>
            <w:noWrap/>
            <w:vAlign w:val="center"/>
            <w:hideMark/>
          </w:tcPr>
          <w:p w14:paraId="25353B8B" w14:textId="77777777" w:rsidR="00FC7E7A" w:rsidRPr="00AA18F8" w:rsidRDefault="00FC7E7A" w:rsidP="00026A4E">
            <w:pPr>
              <w:jc w:val="left"/>
              <w:rPr>
                <w:rFonts w:cs="Arial"/>
                <w:b/>
                <w:bCs/>
                <w:color w:val="000000"/>
                <w:sz w:val="18"/>
                <w:szCs w:val="18"/>
              </w:rPr>
            </w:pPr>
            <w:r w:rsidRPr="00AA18F8">
              <w:rPr>
                <w:rFonts w:cs="Arial"/>
                <w:b/>
                <w:bCs/>
                <w:color w:val="000000"/>
                <w:sz w:val="18"/>
                <w:szCs w:val="18"/>
              </w:rPr>
              <w:t xml:space="preserve">Ativo Não Circulante </w:t>
            </w:r>
          </w:p>
        </w:tc>
        <w:tc>
          <w:tcPr>
            <w:tcW w:w="0" w:type="auto"/>
            <w:tcBorders>
              <w:top w:val="nil"/>
              <w:left w:val="nil"/>
              <w:bottom w:val="nil"/>
              <w:right w:val="single" w:sz="4" w:space="0" w:color="auto"/>
            </w:tcBorders>
            <w:shd w:val="clear" w:color="auto" w:fill="auto"/>
            <w:noWrap/>
            <w:vAlign w:val="center"/>
            <w:hideMark/>
          </w:tcPr>
          <w:p w14:paraId="0639FE78" w14:textId="77777777" w:rsidR="00FC7E7A" w:rsidRPr="00AA18F8" w:rsidRDefault="00FC7E7A" w:rsidP="00026A4E">
            <w:pPr>
              <w:jc w:val="right"/>
              <w:rPr>
                <w:rFonts w:cs="Arial"/>
                <w:b/>
                <w:bCs/>
                <w:color w:val="000000"/>
                <w:sz w:val="18"/>
                <w:szCs w:val="18"/>
              </w:rPr>
            </w:pPr>
            <w:r w:rsidRPr="00AA18F8">
              <w:rPr>
                <w:rFonts w:cs="Arial"/>
                <w:b/>
                <w:bCs/>
                <w:color w:val="000000"/>
                <w:sz w:val="18"/>
                <w:szCs w:val="18"/>
              </w:rPr>
              <w:t>183.699.836</w:t>
            </w:r>
          </w:p>
        </w:tc>
        <w:tc>
          <w:tcPr>
            <w:tcW w:w="0" w:type="auto"/>
            <w:tcBorders>
              <w:top w:val="nil"/>
              <w:left w:val="nil"/>
              <w:bottom w:val="nil"/>
              <w:right w:val="nil"/>
            </w:tcBorders>
            <w:shd w:val="clear" w:color="000000" w:fill="FFFFFF"/>
            <w:noWrap/>
            <w:vAlign w:val="center"/>
            <w:hideMark/>
          </w:tcPr>
          <w:p w14:paraId="79E3F331" w14:textId="77777777" w:rsidR="00FC7E7A" w:rsidRPr="00AA18F8" w:rsidRDefault="00FC7E7A" w:rsidP="00026A4E">
            <w:pPr>
              <w:jc w:val="center"/>
              <w:rPr>
                <w:rFonts w:cs="Arial"/>
                <w:b/>
                <w:bCs/>
                <w:color w:val="000000"/>
                <w:sz w:val="18"/>
                <w:szCs w:val="18"/>
              </w:rPr>
            </w:pPr>
            <w:r w:rsidRPr="00AA18F8">
              <w:rPr>
                <w:rFonts w:cs="Arial"/>
                <w:b/>
                <w:bCs/>
                <w:color w:val="000000"/>
                <w:sz w:val="18"/>
                <w:szCs w:val="18"/>
              </w:rPr>
              <w:t>73,16</w:t>
            </w:r>
          </w:p>
        </w:tc>
        <w:tc>
          <w:tcPr>
            <w:tcW w:w="0" w:type="auto"/>
            <w:tcBorders>
              <w:top w:val="nil"/>
              <w:left w:val="single" w:sz="4" w:space="0" w:color="auto"/>
              <w:bottom w:val="nil"/>
              <w:right w:val="single" w:sz="4" w:space="0" w:color="auto"/>
            </w:tcBorders>
            <w:shd w:val="clear" w:color="auto" w:fill="auto"/>
            <w:noWrap/>
            <w:vAlign w:val="center"/>
            <w:hideMark/>
          </w:tcPr>
          <w:p w14:paraId="38F5A872" w14:textId="77777777" w:rsidR="00FC7E7A" w:rsidRPr="00AA18F8" w:rsidRDefault="00FC7E7A" w:rsidP="00026A4E">
            <w:pPr>
              <w:jc w:val="right"/>
              <w:rPr>
                <w:rFonts w:cs="Arial"/>
                <w:b/>
                <w:bCs/>
                <w:color w:val="000000"/>
                <w:sz w:val="18"/>
                <w:szCs w:val="18"/>
              </w:rPr>
            </w:pPr>
            <w:r w:rsidRPr="00AA18F8">
              <w:rPr>
                <w:rFonts w:cs="Arial"/>
                <w:b/>
                <w:bCs/>
                <w:color w:val="000000"/>
                <w:sz w:val="18"/>
                <w:szCs w:val="18"/>
              </w:rPr>
              <w:t>58.350.054</w:t>
            </w:r>
          </w:p>
        </w:tc>
        <w:tc>
          <w:tcPr>
            <w:tcW w:w="0" w:type="auto"/>
            <w:tcBorders>
              <w:top w:val="nil"/>
              <w:left w:val="nil"/>
              <w:bottom w:val="nil"/>
              <w:right w:val="nil"/>
            </w:tcBorders>
            <w:shd w:val="clear" w:color="auto" w:fill="auto"/>
            <w:noWrap/>
            <w:vAlign w:val="center"/>
            <w:hideMark/>
          </w:tcPr>
          <w:p w14:paraId="434BEAD1" w14:textId="77777777" w:rsidR="00FC7E7A" w:rsidRPr="00AA18F8" w:rsidRDefault="00FC7E7A" w:rsidP="00026A4E">
            <w:pPr>
              <w:jc w:val="center"/>
              <w:rPr>
                <w:rFonts w:cs="Arial"/>
                <w:b/>
                <w:bCs/>
                <w:color w:val="000000"/>
                <w:sz w:val="18"/>
                <w:szCs w:val="18"/>
              </w:rPr>
            </w:pPr>
            <w:r w:rsidRPr="00AA18F8">
              <w:rPr>
                <w:rFonts w:cs="Arial"/>
                <w:b/>
                <w:bCs/>
                <w:color w:val="000000"/>
                <w:sz w:val="18"/>
                <w:szCs w:val="18"/>
              </w:rPr>
              <w:t>54,93</w:t>
            </w:r>
          </w:p>
        </w:tc>
        <w:tc>
          <w:tcPr>
            <w:tcW w:w="1065" w:type="dxa"/>
            <w:tcBorders>
              <w:top w:val="nil"/>
              <w:left w:val="single" w:sz="4" w:space="0" w:color="auto"/>
              <w:bottom w:val="nil"/>
              <w:right w:val="single" w:sz="4" w:space="0" w:color="auto"/>
            </w:tcBorders>
            <w:shd w:val="clear" w:color="auto" w:fill="auto"/>
            <w:noWrap/>
            <w:vAlign w:val="center"/>
            <w:hideMark/>
          </w:tcPr>
          <w:p w14:paraId="527C1FC1" w14:textId="77777777" w:rsidR="00FC7E7A" w:rsidRPr="00AA18F8" w:rsidRDefault="00FC7E7A" w:rsidP="00026A4E">
            <w:pPr>
              <w:jc w:val="right"/>
              <w:rPr>
                <w:rFonts w:cs="Arial"/>
                <w:b/>
                <w:bCs/>
                <w:color w:val="000000"/>
                <w:sz w:val="18"/>
                <w:szCs w:val="18"/>
              </w:rPr>
            </w:pPr>
            <w:r w:rsidRPr="00AA18F8">
              <w:rPr>
                <w:rFonts w:cs="Arial"/>
                <w:b/>
                <w:bCs/>
                <w:color w:val="000000"/>
                <w:sz w:val="18"/>
                <w:szCs w:val="18"/>
              </w:rPr>
              <w:t>125.349.782</w:t>
            </w:r>
          </w:p>
        </w:tc>
        <w:tc>
          <w:tcPr>
            <w:tcW w:w="848" w:type="dxa"/>
            <w:tcBorders>
              <w:top w:val="nil"/>
              <w:left w:val="nil"/>
              <w:bottom w:val="nil"/>
              <w:right w:val="nil"/>
            </w:tcBorders>
            <w:shd w:val="clear" w:color="auto" w:fill="auto"/>
            <w:noWrap/>
            <w:vAlign w:val="center"/>
            <w:hideMark/>
          </w:tcPr>
          <w:p w14:paraId="7EDB020E" w14:textId="77777777" w:rsidR="00FC7E7A" w:rsidRPr="00AA18F8" w:rsidRDefault="00FC7E7A" w:rsidP="00FC7E7A">
            <w:pPr>
              <w:jc w:val="center"/>
              <w:rPr>
                <w:rFonts w:cs="Arial"/>
                <w:b/>
                <w:bCs/>
                <w:color w:val="000000"/>
                <w:sz w:val="18"/>
                <w:szCs w:val="18"/>
              </w:rPr>
            </w:pPr>
            <w:r w:rsidRPr="00AA18F8">
              <w:rPr>
                <w:rFonts w:cs="Arial"/>
                <w:b/>
                <w:bCs/>
                <w:color w:val="000000"/>
                <w:sz w:val="18"/>
                <w:szCs w:val="18"/>
              </w:rPr>
              <w:t>214,82</w:t>
            </w:r>
          </w:p>
        </w:tc>
      </w:tr>
      <w:tr w:rsidR="00FC7E7A" w:rsidRPr="00AA18F8" w14:paraId="5DCCF7BC" w14:textId="77777777" w:rsidTr="002A033A">
        <w:trPr>
          <w:trHeight w:val="340"/>
        </w:trPr>
        <w:tc>
          <w:tcPr>
            <w:tcW w:w="0" w:type="auto"/>
            <w:tcBorders>
              <w:top w:val="nil"/>
              <w:left w:val="nil"/>
              <w:bottom w:val="nil"/>
              <w:right w:val="single" w:sz="4" w:space="0" w:color="auto"/>
            </w:tcBorders>
            <w:shd w:val="clear" w:color="auto" w:fill="auto"/>
            <w:noWrap/>
            <w:vAlign w:val="center"/>
            <w:hideMark/>
          </w:tcPr>
          <w:p w14:paraId="7628AAA8" w14:textId="77777777" w:rsidR="00FC7E7A" w:rsidRPr="00AA18F8" w:rsidRDefault="00FC7E7A" w:rsidP="00026A4E">
            <w:pPr>
              <w:ind w:left="209"/>
              <w:jc w:val="left"/>
              <w:rPr>
                <w:rFonts w:cs="Arial"/>
                <w:color w:val="000000"/>
                <w:sz w:val="18"/>
                <w:szCs w:val="18"/>
              </w:rPr>
            </w:pPr>
            <w:r w:rsidRPr="00AA18F8">
              <w:rPr>
                <w:rFonts w:cs="Arial"/>
                <w:color w:val="000000"/>
                <w:sz w:val="18"/>
                <w:szCs w:val="18"/>
              </w:rPr>
              <w:t>Realizável a Longo Prazo</w:t>
            </w:r>
          </w:p>
        </w:tc>
        <w:tc>
          <w:tcPr>
            <w:tcW w:w="0" w:type="auto"/>
            <w:tcBorders>
              <w:top w:val="nil"/>
              <w:left w:val="nil"/>
              <w:bottom w:val="nil"/>
              <w:right w:val="single" w:sz="4" w:space="0" w:color="auto"/>
            </w:tcBorders>
            <w:shd w:val="clear" w:color="auto" w:fill="auto"/>
            <w:noWrap/>
            <w:vAlign w:val="center"/>
            <w:hideMark/>
          </w:tcPr>
          <w:p w14:paraId="1127F575" w14:textId="77777777" w:rsidR="00FC7E7A" w:rsidRPr="00AA18F8" w:rsidRDefault="00FC7E7A" w:rsidP="00026A4E">
            <w:pPr>
              <w:jc w:val="right"/>
              <w:rPr>
                <w:rFonts w:cs="Arial"/>
                <w:color w:val="000000"/>
                <w:sz w:val="18"/>
                <w:szCs w:val="18"/>
              </w:rPr>
            </w:pPr>
            <w:r w:rsidRPr="00AA18F8">
              <w:rPr>
                <w:rFonts w:cs="Arial"/>
                <w:color w:val="000000"/>
                <w:sz w:val="18"/>
                <w:szCs w:val="18"/>
              </w:rPr>
              <w:t>124.378.762</w:t>
            </w:r>
          </w:p>
        </w:tc>
        <w:tc>
          <w:tcPr>
            <w:tcW w:w="0" w:type="auto"/>
            <w:tcBorders>
              <w:top w:val="nil"/>
              <w:left w:val="nil"/>
              <w:bottom w:val="nil"/>
              <w:right w:val="nil"/>
            </w:tcBorders>
            <w:shd w:val="clear" w:color="000000" w:fill="FFFFFF"/>
            <w:noWrap/>
            <w:vAlign w:val="center"/>
            <w:hideMark/>
          </w:tcPr>
          <w:p w14:paraId="450037E2" w14:textId="77777777" w:rsidR="00FC7E7A" w:rsidRPr="00AA18F8" w:rsidRDefault="00FC7E7A" w:rsidP="00026A4E">
            <w:pPr>
              <w:jc w:val="center"/>
              <w:rPr>
                <w:rFonts w:cs="Arial"/>
                <w:color w:val="000000"/>
                <w:sz w:val="18"/>
                <w:szCs w:val="18"/>
              </w:rPr>
            </w:pPr>
            <w:r w:rsidRPr="00AA18F8">
              <w:rPr>
                <w:rFonts w:cs="Arial"/>
                <w:color w:val="000000"/>
                <w:sz w:val="18"/>
                <w:szCs w:val="18"/>
              </w:rPr>
              <w:t>49,53</w:t>
            </w:r>
          </w:p>
        </w:tc>
        <w:tc>
          <w:tcPr>
            <w:tcW w:w="0" w:type="auto"/>
            <w:tcBorders>
              <w:top w:val="nil"/>
              <w:left w:val="single" w:sz="4" w:space="0" w:color="auto"/>
              <w:bottom w:val="nil"/>
              <w:right w:val="single" w:sz="4" w:space="0" w:color="auto"/>
            </w:tcBorders>
            <w:shd w:val="clear" w:color="auto" w:fill="auto"/>
            <w:noWrap/>
            <w:vAlign w:val="center"/>
            <w:hideMark/>
          </w:tcPr>
          <w:p w14:paraId="346CC3A7" w14:textId="77777777" w:rsidR="00FC7E7A" w:rsidRPr="00AA18F8" w:rsidRDefault="00FC7E7A" w:rsidP="00026A4E">
            <w:pPr>
              <w:jc w:val="right"/>
              <w:rPr>
                <w:rFonts w:cs="Arial"/>
                <w:color w:val="000000"/>
                <w:sz w:val="18"/>
                <w:szCs w:val="18"/>
              </w:rPr>
            </w:pPr>
            <w:r w:rsidRPr="00AA18F8">
              <w:rPr>
                <w:rFonts w:cs="Arial"/>
                <w:color w:val="000000"/>
                <w:sz w:val="18"/>
                <w:szCs w:val="18"/>
              </w:rPr>
              <w:t>12.274.676</w:t>
            </w:r>
          </w:p>
        </w:tc>
        <w:tc>
          <w:tcPr>
            <w:tcW w:w="0" w:type="auto"/>
            <w:tcBorders>
              <w:top w:val="nil"/>
              <w:left w:val="nil"/>
              <w:bottom w:val="nil"/>
              <w:right w:val="nil"/>
            </w:tcBorders>
            <w:shd w:val="clear" w:color="auto" w:fill="auto"/>
            <w:noWrap/>
            <w:vAlign w:val="center"/>
            <w:hideMark/>
          </w:tcPr>
          <w:p w14:paraId="4B9A9C62" w14:textId="77777777" w:rsidR="00FC7E7A" w:rsidRPr="00AA18F8" w:rsidRDefault="00FC7E7A" w:rsidP="00026A4E">
            <w:pPr>
              <w:jc w:val="center"/>
              <w:rPr>
                <w:rFonts w:cs="Arial"/>
                <w:color w:val="000000"/>
                <w:sz w:val="18"/>
                <w:szCs w:val="18"/>
              </w:rPr>
            </w:pPr>
            <w:r w:rsidRPr="00AA18F8">
              <w:rPr>
                <w:rFonts w:cs="Arial"/>
                <w:color w:val="000000"/>
                <w:sz w:val="18"/>
                <w:szCs w:val="18"/>
              </w:rPr>
              <w:t>11,56</w:t>
            </w:r>
          </w:p>
        </w:tc>
        <w:tc>
          <w:tcPr>
            <w:tcW w:w="1065" w:type="dxa"/>
            <w:tcBorders>
              <w:top w:val="nil"/>
              <w:left w:val="single" w:sz="4" w:space="0" w:color="auto"/>
              <w:bottom w:val="nil"/>
              <w:right w:val="single" w:sz="4" w:space="0" w:color="auto"/>
            </w:tcBorders>
            <w:shd w:val="clear" w:color="auto" w:fill="auto"/>
            <w:noWrap/>
            <w:vAlign w:val="center"/>
            <w:hideMark/>
          </w:tcPr>
          <w:p w14:paraId="056E36B8" w14:textId="77777777" w:rsidR="00FC7E7A" w:rsidRPr="00AA18F8" w:rsidRDefault="00FC7E7A" w:rsidP="00026A4E">
            <w:pPr>
              <w:jc w:val="right"/>
              <w:rPr>
                <w:rFonts w:cs="Arial"/>
                <w:color w:val="000000"/>
                <w:sz w:val="18"/>
                <w:szCs w:val="18"/>
              </w:rPr>
            </w:pPr>
            <w:r w:rsidRPr="00AA18F8">
              <w:rPr>
                <w:rFonts w:cs="Arial"/>
                <w:color w:val="000000"/>
                <w:sz w:val="18"/>
                <w:szCs w:val="18"/>
              </w:rPr>
              <w:t>112.104.086</w:t>
            </w:r>
          </w:p>
        </w:tc>
        <w:tc>
          <w:tcPr>
            <w:tcW w:w="848" w:type="dxa"/>
            <w:tcBorders>
              <w:top w:val="nil"/>
              <w:left w:val="nil"/>
              <w:bottom w:val="nil"/>
              <w:right w:val="nil"/>
            </w:tcBorders>
            <w:shd w:val="clear" w:color="auto" w:fill="auto"/>
            <w:noWrap/>
            <w:vAlign w:val="center"/>
            <w:hideMark/>
          </w:tcPr>
          <w:p w14:paraId="7035DF85" w14:textId="77777777" w:rsidR="00FC7E7A" w:rsidRPr="00AA18F8" w:rsidRDefault="00FC7E7A" w:rsidP="00FC7E7A">
            <w:pPr>
              <w:jc w:val="center"/>
              <w:rPr>
                <w:rFonts w:cs="Arial"/>
                <w:color w:val="000000"/>
                <w:sz w:val="18"/>
                <w:szCs w:val="18"/>
              </w:rPr>
            </w:pPr>
            <w:r w:rsidRPr="00AA18F8">
              <w:rPr>
                <w:rFonts w:cs="Arial"/>
                <w:color w:val="000000"/>
                <w:sz w:val="18"/>
                <w:szCs w:val="18"/>
              </w:rPr>
              <w:t>913,30</w:t>
            </w:r>
          </w:p>
        </w:tc>
      </w:tr>
      <w:tr w:rsidR="00FC7E7A" w:rsidRPr="00AA18F8" w14:paraId="24A2B892" w14:textId="77777777" w:rsidTr="002A033A">
        <w:trPr>
          <w:trHeight w:val="340"/>
        </w:trPr>
        <w:tc>
          <w:tcPr>
            <w:tcW w:w="0" w:type="auto"/>
            <w:tcBorders>
              <w:top w:val="nil"/>
              <w:left w:val="nil"/>
              <w:bottom w:val="nil"/>
              <w:right w:val="single" w:sz="4" w:space="0" w:color="auto"/>
            </w:tcBorders>
            <w:shd w:val="clear" w:color="auto" w:fill="auto"/>
            <w:noWrap/>
            <w:vAlign w:val="center"/>
            <w:hideMark/>
          </w:tcPr>
          <w:p w14:paraId="1B48E268" w14:textId="77777777" w:rsidR="00FC7E7A" w:rsidRPr="00AA18F8" w:rsidRDefault="00FC7E7A" w:rsidP="00026A4E">
            <w:pPr>
              <w:ind w:left="209"/>
              <w:jc w:val="left"/>
              <w:rPr>
                <w:rFonts w:cs="Arial"/>
                <w:color w:val="000000"/>
                <w:sz w:val="18"/>
                <w:szCs w:val="18"/>
              </w:rPr>
            </w:pPr>
            <w:r w:rsidRPr="00AA18F8">
              <w:rPr>
                <w:rFonts w:cs="Arial"/>
                <w:color w:val="000000"/>
                <w:sz w:val="18"/>
                <w:szCs w:val="18"/>
              </w:rPr>
              <w:t>Investimentos</w:t>
            </w:r>
          </w:p>
        </w:tc>
        <w:tc>
          <w:tcPr>
            <w:tcW w:w="0" w:type="auto"/>
            <w:tcBorders>
              <w:top w:val="nil"/>
              <w:left w:val="nil"/>
              <w:bottom w:val="nil"/>
              <w:right w:val="single" w:sz="4" w:space="0" w:color="auto"/>
            </w:tcBorders>
            <w:shd w:val="clear" w:color="auto" w:fill="auto"/>
            <w:noWrap/>
            <w:vAlign w:val="center"/>
            <w:hideMark/>
          </w:tcPr>
          <w:p w14:paraId="562273F7" w14:textId="77777777" w:rsidR="00FC7E7A" w:rsidRPr="00AA18F8" w:rsidRDefault="00FC7E7A" w:rsidP="00026A4E">
            <w:pPr>
              <w:jc w:val="right"/>
              <w:rPr>
                <w:rFonts w:cs="Arial"/>
                <w:color w:val="000000"/>
                <w:sz w:val="18"/>
                <w:szCs w:val="18"/>
              </w:rPr>
            </w:pPr>
            <w:r w:rsidRPr="00AA18F8">
              <w:rPr>
                <w:rFonts w:cs="Arial"/>
                <w:color w:val="000000"/>
                <w:sz w:val="18"/>
                <w:szCs w:val="18"/>
              </w:rPr>
              <w:t>6.223.752</w:t>
            </w:r>
          </w:p>
        </w:tc>
        <w:tc>
          <w:tcPr>
            <w:tcW w:w="0" w:type="auto"/>
            <w:tcBorders>
              <w:top w:val="nil"/>
              <w:left w:val="nil"/>
              <w:bottom w:val="nil"/>
              <w:right w:val="nil"/>
            </w:tcBorders>
            <w:shd w:val="clear" w:color="000000" w:fill="FFFFFF"/>
            <w:noWrap/>
            <w:vAlign w:val="center"/>
            <w:hideMark/>
          </w:tcPr>
          <w:p w14:paraId="02C7AFD0" w14:textId="77777777" w:rsidR="00FC7E7A" w:rsidRPr="00AA18F8" w:rsidRDefault="00FC7E7A" w:rsidP="00026A4E">
            <w:pPr>
              <w:jc w:val="center"/>
              <w:rPr>
                <w:rFonts w:cs="Arial"/>
                <w:color w:val="000000"/>
                <w:sz w:val="18"/>
                <w:szCs w:val="18"/>
              </w:rPr>
            </w:pPr>
            <w:r w:rsidRPr="00AA18F8">
              <w:rPr>
                <w:rFonts w:cs="Arial"/>
                <w:color w:val="000000"/>
                <w:sz w:val="18"/>
                <w:szCs w:val="18"/>
              </w:rPr>
              <w:t>2,48</w:t>
            </w:r>
          </w:p>
        </w:tc>
        <w:tc>
          <w:tcPr>
            <w:tcW w:w="0" w:type="auto"/>
            <w:tcBorders>
              <w:top w:val="nil"/>
              <w:left w:val="single" w:sz="4" w:space="0" w:color="auto"/>
              <w:bottom w:val="nil"/>
              <w:right w:val="single" w:sz="4" w:space="0" w:color="auto"/>
            </w:tcBorders>
            <w:shd w:val="clear" w:color="auto" w:fill="auto"/>
            <w:noWrap/>
            <w:vAlign w:val="center"/>
            <w:hideMark/>
          </w:tcPr>
          <w:p w14:paraId="41B07350" w14:textId="77777777" w:rsidR="00FC7E7A" w:rsidRPr="00AA18F8" w:rsidRDefault="00FC7E7A" w:rsidP="00026A4E">
            <w:pPr>
              <w:jc w:val="right"/>
              <w:rPr>
                <w:rFonts w:cs="Arial"/>
                <w:color w:val="000000"/>
                <w:sz w:val="18"/>
                <w:szCs w:val="18"/>
              </w:rPr>
            </w:pPr>
            <w:r w:rsidRPr="00AA18F8">
              <w:rPr>
                <w:rFonts w:cs="Arial"/>
                <w:color w:val="000000"/>
                <w:sz w:val="18"/>
                <w:szCs w:val="18"/>
              </w:rPr>
              <w:t>5.987.342</w:t>
            </w:r>
          </w:p>
        </w:tc>
        <w:tc>
          <w:tcPr>
            <w:tcW w:w="0" w:type="auto"/>
            <w:tcBorders>
              <w:top w:val="nil"/>
              <w:left w:val="nil"/>
              <w:bottom w:val="nil"/>
              <w:right w:val="nil"/>
            </w:tcBorders>
            <w:shd w:val="clear" w:color="auto" w:fill="auto"/>
            <w:noWrap/>
            <w:vAlign w:val="center"/>
            <w:hideMark/>
          </w:tcPr>
          <w:p w14:paraId="2944991C" w14:textId="77777777" w:rsidR="00FC7E7A" w:rsidRPr="00AA18F8" w:rsidRDefault="00FC7E7A" w:rsidP="00026A4E">
            <w:pPr>
              <w:jc w:val="center"/>
              <w:rPr>
                <w:rFonts w:cs="Arial"/>
                <w:color w:val="000000"/>
                <w:sz w:val="18"/>
                <w:szCs w:val="18"/>
              </w:rPr>
            </w:pPr>
            <w:r w:rsidRPr="00AA18F8">
              <w:rPr>
                <w:rFonts w:cs="Arial"/>
                <w:color w:val="000000"/>
                <w:sz w:val="18"/>
                <w:szCs w:val="18"/>
              </w:rPr>
              <w:t>5,64</w:t>
            </w:r>
          </w:p>
        </w:tc>
        <w:tc>
          <w:tcPr>
            <w:tcW w:w="1065" w:type="dxa"/>
            <w:tcBorders>
              <w:top w:val="nil"/>
              <w:left w:val="single" w:sz="4" w:space="0" w:color="auto"/>
              <w:bottom w:val="nil"/>
              <w:right w:val="single" w:sz="4" w:space="0" w:color="auto"/>
            </w:tcBorders>
            <w:shd w:val="clear" w:color="auto" w:fill="auto"/>
            <w:noWrap/>
            <w:vAlign w:val="center"/>
            <w:hideMark/>
          </w:tcPr>
          <w:p w14:paraId="47B297DF" w14:textId="77777777" w:rsidR="00FC7E7A" w:rsidRPr="00AA18F8" w:rsidRDefault="00FC7E7A" w:rsidP="00026A4E">
            <w:pPr>
              <w:jc w:val="right"/>
              <w:rPr>
                <w:rFonts w:cs="Arial"/>
                <w:color w:val="000000"/>
                <w:sz w:val="18"/>
                <w:szCs w:val="18"/>
              </w:rPr>
            </w:pPr>
            <w:r w:rsidRPr="00AA18F8">
              <w:rPr>
                <w:rFonts w:cs="Arial"/>
                <w:color w:val="000000"/>
                <w:sz w:val="18"/>
                <w:szCs w:val="18"/>
              </w:rPr>
              <w:t>236.410</w:t>
            </w:r>
          </w:p>
        </w:tc>
        <w:tc>
          <w:tcPr>
            <w:tcW w:w="848" w:type="dxa"/>
            <w:tcBorders>
              <w:top w:val="nil"/>
              <w:left w:val="nil"/>
              <w:bottom w:val="nil"/>
              <w:right w:val="nil"/>
            </w:tcBorders>
            <w:shd w:val="clear" w:color="auto" w:fill="auto"/>
            <w:noWrap/>
            <w:vAlign w:val="center"/>
            <w:hideMark/>
          </w:tcPr>
          <w:p w14:paraId="2979118B" w14:textId="77777777" w:rsidR="00FC7E7A" w:rsidRPr="00AA18F8" w:rsidRDefault="00FC7E7A" w:rsidP="00FC7E7A">
            <w:pPr>
              <w:jc w:val="center"/>
              <w:rPr>
                <w:rFonts w:cs="Arial"/>
                <w:color w:val="000000"/>
                <w:sz w:val="18"/>
                <w:szCs w:val="18"/>
              </w:rPr>
            </w:pPr>
            <w:r w:rsidRPr="00AA18F8">
              <w:rPr>
                <w:rFonts w:cs="Arial"/>
                <w:color w:val="000000"/>
                <w:sz w:val="18"/>
                <w:szCs w:val="18"/>
              </w:rPr>
              <w:t>3,95</w:t>
            </w:r>
          </w:p>
        </w:tc>
      </w:tr>
      <w:tr w:rsidR="00FC7E7A" w:rsidRPr="00AA18F8" w14:paraId="640CC351" w14:textId="77777777" w:rsidTr="002A033A">
        <w:trPr>
          <w:trHeight w:val="340"/>
        </w:trPr>
        <w:tc>
          <w:tcPr>
            <w:tcW w:w="0" w:type="auto"/>
            <w:tcBorders>
              <w:top w:val="nil"/>
              <w:left w:val="nil"/>
              <w:bottom w:val="nil"/>
              <w:right w:val="single" w:sz="4" w:space="0" w:color="auto"/>
            </w:tcBorders>
            <w:shd w:val="clear" w:color="auto" w:fill="auto"/>
            <w:noWrap/>
            <w:vAlign w:val="center"/>
            <w:hideMark/>
          </w:tcPr>
          <w:p w14:paraId="118F7FED" w14:textId="77777777" w:rsidR="00FC7E7A" w:rsidRPr="00AA18F8" w:rsidRDefault="00FC7E7A" w:rsidP="00026A4E">
            <w:pPr>
              <w:ind w:left="209"/>
              <w:jc w:val="left"/>
              <w:rPr>
                <w:rFonts w:cs="Arial"/>
                <w:color w:val="000000"/>
                <w:sz w:val="18"/>
                <w:szCs w:val="18"/>
              </w:rPr>
            </w:pPr>
            <w:r w:rsidRPr="00AA18F8">
              <w:rPr>
                <w:rFonts w:cs="Arial"/>
                <w:color w:val="000000"/>
                <w:sz w:val="18"/>
                <w:szCs w:val="18"/>
              </w:rPr>
              <w:t>Imobilizado</w:t>
            </w:r>
          </w:p>
        </w:tc>
        <w:tc>
          <w:tcPr>
            <w:tcW w:w="0" w:type="auto"/>
            <w:tcBorders>
              <w:top w:val="nil"/>
              <w:left w:val="nil"/>
              <w:bottom w:val="nil"/>
              <w:right w:val="single" w:sz="4" w:space="0" w:color="auto"/>
            </w:tcBorders>
            <w:shd w:val="clear" w:color="auto" w:fill="auto"/>
            <w:noWrap/>
            <w:vAlign w:val="center"/>
            <w:hideMark/>
          </w:tcPr>
          <w:p w14:paraId="492B5421" w14:textId="77777777" w:rsidR="00FC7E7A" w:rsidRPr="00AA18F8" w:rsidRDefault="00FC7E7A" w:rsidP="00026A4E">
            <w:pPr>
              <w:jc w:val="right"/>
              <w:rPr>
                <w:rFonts w:cs="Arial"/>
                <w:color w:val="000000"/>
                <w:sz w:val="18"/>
                <w:szCs w:val="18"/>
              </w:rPr>
            </w:pPr>
            <w:r w:rsidRPr="00AA18F8">
              <w:rPr>
                <w:rFonts w:cs="Arial"/>
                <w:color w:val="000000"/>
                <w:sz w:val="18"/>
                <w:szCs w:val="18"/>
              </w:rPr>
              <w:t>52.782.826</w:t>
            </w:r>
          </w:p>
        </w:tc>
        <w:tc>
          <w:tcPr>
            <w:tcW w:w="0" w:type="auto"/>
            <w:tcBorders>
              <w:top w:val="nil"/>
              <w:left w:val="nil"/>
              <w:bottom w:val="nil"/>
              <w:right w:val="nil"/>
            </w:tcBorders>
            <w:shd w:val="clear" w:color="000000" w:fill="FFFFFF"/>
            <w:noWrap/>
            <w:vAlign w:val="center"/>
            <w:hideMark/>
          </w:tcPr>
          <w:p w14:paraId="1E475633" w14:textId="77777777" w:rsidR="00FC7E7A" w:rsidRPr="00AA18F8" w:rsidRDefault="00FC7E7A" w:rsidP="00026A4E">
            <w:pPr>
              <w:jc w:val="center"/>
              <w:rPr>
                <w:rFonts w:cs="Arial"/>
                <w:color w:val="000000"/>
                <w:sz w:val="18"/>
                <w:szCs w:val="18"/>
              </w:rPr>
            </w:pPr>
            <w:r w:rsidRPr="00AA18F8">
              <w:rPr>
                <w:rFonts w:cs="Arial"/>
                <w:color w:val="000000"/>
                <w:sz w:val="18"/>
                <w:szCs w:val="18"/>
              </w:rPr>
              <w:t>21,02</w:t>
            </w:r>
          </w:p>
        </w:tc>
        <w:tc>
          <w:tcPr>
            <w:tcW w:w="0" w:type="auto"/>
            <w:tcBorders>
              <w:top w:val="nil"/>
              <w:left w:val="single" w:sz="4" w:space="0" w:color="auto"/>
              <w:bottom w:val="nil"/>
              <w:right w:val="single" w:sz="4" w:space="0" w:color="auto"/>
            </w:tcBorders>
            <w:shd w:val="clear" w:color="auto" w:fill="auto"/>
            <w:noWrap/>
            <w:vAlign w:val="center"/>
            <w:hideMark/>
          </w:tcPr>
          <w:p w14:paraId="31C29EB2" w14:textId="77777777" w:rsidR="00FC7E7A" w:rsidRPr="00AA18F8" w:rsidRDefault="00FC7E7A" w:rsidP="00026A4E">
            <w:pPr>
              <w:jc w:val="right"/>
              <w:rPr>
                <w:rFonts w:cs="Arial"/>
                <w:color w:val="000000"/>
                <w:sz w:val="18"/>
                <w:szCs w:val="18"/>
              </w:rPr>
            </w:pPr>
            <w:r w:rsidRPr="00AA18F8">
              <w:rPr>
                <w:rFonts w:cs="Arial"/>
                <w:color w:val="000000"/>
                <w:sz w:val="18"/>
                <w:szCs w:val="18"/>
              </w:rPr>
              <w:t>39.864.152</w:t>
            </w:r>
          </w:p>
        </w:tc>
        <w:tc>
          <w:tcPr>
            <w:tcW w:w="0" w:type="auto"/>
            <w:tcBorders>
              <w:top w:val="nil"/>
              <w:left w:val="nil"/>
              <w:bottom w:val="nil"/>
              <w:right w:val="nil"/>
            </w:tcBorders>
            <w:shd w:val="clear" w:color="auto" w:fill="auto"/>
            <w:noWrap/>
            <w:vAlign w:val="center"/>
            <w:hideMark/>
          </w:tcPr>
          <w:p w14:paraId="124EE709" w14:textId="77777777" w:rsidR="00FC7E7A" w:rsidRPr="00AA18F8" w:rsidRDefault="00FC7E7A" w:rsidP="00026A4E">
            <w:pPr>
              <w:jc w:val="center"/>
              <w:rPr>
                <w:rFonts w:cs="Arial"/>
                <w:color w:val="000000"/>
                <w:sz w:val="18"/>
                <w:szCs w:val="18"/>
              </w:rPr>
            </w:pPr>
            <w:r w:rsidRPr="00AA18F8">
              <w:rPr>
                <w:rFonts w:cs="Arial"/>
                <w:color w:val="000000"/>
                <w:sz w:val="18"/>
                <w:szCs w:val="18"/>
              </w:rPr>
              <w:t>37,53</w:t>
            </w:r>
          </w:p>
        </w:tc>
        <w:tc>
          <w:tcPr>
            <w:tcW w:w="1065" w:type="dxa"/>
            <w:tcBorders>
              <w:top w:val="nil"/>
              <w:left w:val="single" w:sz="4" w:space="0" w:color="auto"/>
              <w:bottom w:val="nil"/>
              <w:right w:val="single" w:sz="4" w:space="0" w:color="auto"/>
            </w:tcBorders>
            <w:shd w:val="clear" w:color="auto" w:fill="auto"/>
            <w:noWrap/>
            <w:vAlign w:val="center"/>
            <w:hideMark/>
          </w:tcPr>
          <w:p w14:paraId="78020BF9" w14:textId="77777777" w:rsidR="00FC7E7A" w:rsidRPr="00AA18F8" w:rsidRDefault="00FC7E7A" w:rsidP="00026A4E">
            <w:pPr>
              <w:jc w:val="right"/>
              <w:rPr>
                <w:rFonts w:cs="Arial"/>
                <w:color w:val="000000"/>
                <w:sz w:val="18"/>
                <w:szCs w:val="18"/>
              </w:rPr>
            </w:pPr>
            <w:r w:rsidRPr="00AA18F8">
              <w:rPr>
                <w:rFonts w:cs="Arial"/>
                <w:color w:val="000000"/>
                <w:sz w:val="18"/>
                <w:szCs w:val="18"/>
              </w:rPr>
              <w:t>12.918.673</w:t>
            </w:r>
          </w:p>
        </w:tc>
        <w:tc>
          <w:tcPr>
            <w:tcW w:w="848" w:type="dxa"/>
            <w:tcBorders>
              <w:top w:val="nil"/>
              <w:left w:val="nil"/>
              <w:bottom w:val="nil"/>
              <w:right w:val="nil"/>
            </w:tcBorders>
            <w:shd w:val="clear" w:color="auto" w:fill="auto"/>
            <w:noWrap/>
            <w:vAlign w:val="center"/>
            <w:hideMark/>
          </w:tcPr>
          <w:p w14:paraId="01924925" w14:textId="77777777" w:rsidR="00FC7E7A" w:rsidRPr="00AA18F8" w:rsidRDefault="00FC7E7A" w:rsidP="00FC7E7A">
            <w:pPr>
              <w:jc w:val="center"/>
              <w:rPr>
                <w:rFonts w:cs="Arial"/>
                <w:color w:val="000000"/>
                <w:sz w:val="18"/>
                <w:szCs w:val="18"/>
              </w:rPr>
            </w:pPr>
            <w:r w:rsidRPr="00AA18F8">
              <w:rPr>
                <w:rFonts w:cs="Arial"/>
                <w:color w:val="000000"/>
                <w:sz w:val="18"/>
                <w:szCs w:val="18"/>
              </w:rPr>
              <w:t>32,41</w:t>
            </w:r>
          </w:p>
        </w:tc>
      </w:tr>
      <w:tr w:rsidR="00FC7E7A" w:rsidRPr="00AA18F8" w14:paraId="7D92EC8A" w14:textId="77777777" w:rsidTr="002A033A">
        <w:trPr>
          <w:trHeight w:val="340"/>
        </w:trPr>
        <w:tc>
          <w:tcPr>
            <w:tcW w:w="0" w:type="auto"/>
            <w:tcBorders>
              <w:top w:val="nil"/>
              <w:left w:val="nil"/>
              <w:bottom w:val="single" w:sz="4" w:space="0" w:color="auto"/>
              <w:right w:val="single" w:sz="4" w:space="0" w:color="auto"/>
            </w:tcBorders>
            <w:shd w:val="clear" w:color="auto" w:fill="auto"/>
            <w:noWrap/>
            <w:vAlign w:val="center"/>
            <w:hideMark/>
          </w:tcPr>
          <w:p w14:paraId="58ADE114" w14:textId="77777777" w:rsidR="00FC7E7A" w:rsidRPr="00AA18F8" w:rsidRDefault="00FC7E7A" w:rsidP="00026A4E">
            <w:pPr>
              <w:ind w:left="209"/>
              <w:jc w:val="left"/>
              <w:rPr>
                <w:rFonts w:cs="Arial"/>
                <w:color w:val="000000"/>
                <w:sz w:val="18"/>
                <w:szCs w:val="18"/>
              </w:rPr>
            </w:pPr>
            <w:r w:rsidRPr="00AA18F8">
              <w:rPr>
                <w:rFonts w:cs="Arial"/>
                <w:color w:val="000000"/>
                <w:sz w:val="18"/>
                <w:szCs w:val="18"/>
              </w:rPr>
              <w:t>Intangível</w:t>
            </w:r>
          </w:p>
        </w:tc>
        <w:tc>
          <w:tcPr>
            <w:tcW w:w="0" w:type="auto"/>
            <w:tcBorders>
              <w:top w:val="nil"/>
              <w:left w:val="nil"/>
              <w:bottom w:val="nil"/>
              <w:right w:val="single" w:sz="4" w:space="0" w:color="auto"/>
            </w:tcBorders>
            <w:shd w:val="clear" w:color="auto" w:fill="auto"/>
            <w:noWrap/>
            <w:vAlign w:val="center"/>
            <w:hideMark/>
          </w:tcPr>
          <w:p w14:paraId="21A09BBA" w14:textId="77777777" w:rsidR="00FC7E7A" w:rsidRPr="00AA18F8" w:rsidRDefault="00FC7E7A" w:rsidP="00026A4E">
            <w:pPr>
              <w:jc w:val="right"/>
              <w:rPr>
                <w:rFonts w:cs="Arial"/>
                <w:color w:val="000000"/>
                <w:sz w:val="18"/>
                <w:szCs w:val="18"/>
              </w:rPr>
            </w:pPr>
            <w:r w:rsidRPr="00AA18F8">
              <w:rPr>
                <w:rFonts w:cs="Arial"/>
                <w:color w:val="000000"/>
                <w:sz w:val="18"/>
                <w:szCs w:val="18"/>
              </w:rPr>
              <w:t>314.497</w:t>
            </w:r>
          </w:p>
        </w:tc>
        <w:tc>
          <w:tcPr>
            <w:tcW w:w="0" w:type="auto"/>
            <w:tcBorders>
              <w:top w:val="nil"/>
              <w:left w:val="nil"/>
              <w:bottom w:val="nil"/>
              <w:right w:val="nil"/>
            </w:tcBorders>
            <w:shd w:val="clear" w:color="000000" w:fill="FFFFFF"/>
            <w:noWrap/>
            <w:vAlign w:val="center"/>
            <w:hideMark/>
          </w:tcPr>
          <w:p w14:paraId="2982F1C8" w14:textId="77777777" w:rsidR="00FC7E7A" w:rsidRPr="00AA18F8" w:rsidRDefault="00FC7E7A" w:rsidP="00026A4E">
            <w:pPr>
              <w:jc w:val="center"/>
              <w:rPr>
                <w:rFonts w:cs="Arial"/>
                <w:color w:val="000000"/>
                <w:sz w:val="18"/>
                <w:szCs w:val="18"/>
              </w:rPr>
            </w:pPr>
            <w:r w:rsidRPr="00AA18F8">
              <w:rPr>
                <w:rFonts w:cs="Arial"/>
                <w:color w:val="000000"/>
                <w:sz w:val="18"/>
                <w:szCs w:val="18"/>
              </w:rPr>
              <w:t>0,13</w:t>
            </w:r>
          </w:p>
        </w:tc>
        <w:tc>
          <w:tcPr>
            <w:tcW w:w="0" w:type="auto"/>
            <w:tcBorders>
              <w:top w:val="nil"/>
              <w:left w:val="single" w:sz="4" w:space="0" w:color="auto"/>
              <w:bottom w:val="nil"/>
              <w:right w:val="single" w:sz="4" w:space="0" w:color="auto"/>
            </w:tcBorders>
            <w:shd w:val="clear" w:color="auto" w:fill="auto"/>
            <w:noWrap/>
            <w:vAlign w:val="center"/>
            <w:hideMark/>
          </w:tcPr>
          <w:p w14:paraId="1F825CE0" w14:textId="77777777" w:rsidR="00FC7E7A" w:rsidRPr="00AA18F8" w:rsidRDefault="00FC7E7A" w:rsidP="00026A4E">
            <w:pPr>
              <w:jc w:val="right"/>
              <w:rPr>
                <w:rFonts w:cs="Arial"/>
                <w:color w:val="000000"/>
                <w:sz w:val="18"/>
                <w:szCs w:val="18"/>
              </w:rPr>
            </w:pPr>
            <w:r w:rsidRPr="00AA18F8">
              <w:rPr>
                <w:rFonts w:cs="Arial"/>
                <w:color w:val="000000"/>
                <w:sz w:val="18"/>
                <w:szCs w:val="18"/>
              </w:rPr>
              <w:t>223.885</w:t>
            </w:r>
          </w:p>
        </w:tc>
        <w:tc>
          <w:tcPr>
            <w:tcW w:w="0" w:type="auto"/>
            <w:tcBorders>
              <w:top w:val="nil"/>
              <w:left w:val="nil"/>
              <w:bottom w:val="nil"/>
              <w:right w:val="nil"/>
            </w:tcBorders>
            <w:shd w:val="clear" w:color="auto" w:fill="auto"/>
            <w:noWrap/>
            <w:vAlign w:val="center"/>
            <w:hideMark/>
          </w:tcPr>
          <w:p w14:paraId="6731C155" w14:textId="77777777" w:rsidR="00FC7E7A" w:rsidRPr="00AA18F8" w:rsidRDefault="00FC7E7A" w:rsidP="00026A4E">
            <w:pPr>
              <w:jc w:val="center"/>
              <w:rPr>
                <w:rFonts w:cs="Arial"/>
                <w:color w:val="000000"/>
                <w:sz w:val="18"/>
                <w:szCs w:val="18"/>
              </w:rPr>
            </w:pPr>
            <w:r w:rsidRPr="00AA18F8">
              <w:rPr>
                <w:rFonts w:cs="Arial"/>
                <w:color w:val="000000"/>
                <w:sz w:val="18"/>
                <w:szCs w:val="18"/>
              </w:rPr>
              <w:t>0,21</w:t>
            </w:r>
          </w:p>
        </w:tc>
        <w:tc>
          <w:tcPr>
            <w:tcW w:w="1065" w:type="dxa"/>
            <w:tcBorders>
              <w:top w:val="nil"/>
              <w:left w:val="single" w:sz="4" w:space="0" w:color="auto"/>
              <w:bottom w:val="nil"/>
              <w:right w:val="single" w:sz="4" w:space="0" w:color="auto"/>
            </w:tcBorders>
            <w:shd w:val="clear" w:color="auto" w:fill="auto"/>
            <w:noWrap/>
            <w:vAlign w:val="center"/>
            <w:hideMark/>
          </w:tcPr>
          <w:p w14:paraId="7AD2D06A" w14:textId="77777777" w:rsidR="00FC7E7A" w:rsidRPr="00AA18F8" w:rsidRDefault="00FC7E7A" w:rsidP="00026A4E">
            <w:pPr>
              <w:jc w:val="right"/>
              <w:rPr>
                <w:rFonts w:cs="Arial"/>
                <w:color w:val="000000"/>
                <w:sz w:val="18"/>
                <w:szCs w:val="18"/>
              </w:rPr>
            </w:pPr>
            <w:r w:rsidRPr="00AA18F8">
              <w:rPr>
                <w:rFonts w:cs="Arial"/>
                <w:color w:val="000000"/>
                <w:sz w:val="18"/>
                <w:szCs w:val="18"/>
              </w:rPr>
              <w:t>90.612</w:t>
            </w:r>
          </w:p>
        </w:tc>
        <w:tc>
          <w:tcPr>
            <w:tcW w:w="848" w:type="dxa"/>
            <w:tcBorders>
              <w:top w:val="nil"/>
              <w:left w:val="nil"/>
              <w:bottom w:val="nil"/>
              <w:right w:val="nil"/>
            </w:tcBorders>
            <w:shd w:val="clear" w:color="auto" w:fill="auto"/>
            <w:noWrap/>
            <w:vAlign w:val="center"/>
            <w:hideMark/>
          </w:tcPr>
          <w:p w14:paraId="049259FD" w14:textId="77777777" w:rsidR="00FC7E7A" w:rsidRPr="00AA18F8" w:rsidRDefault="00FC7E7A" w:rsidP="00FC7E7A">
            <w:pPr>
              <w:jc w:val="center"/>
              <w:rPr>
                <w:rFonts w:cs="Arial"/>
                <w:color w:val="000000"/>
                <w:sz w:val="18"/>
                <w:szCs w:val="18"/>
              </w:rPr>
            </w:pPr>
            <w:r w:rsidRPr="00AA18F8">
              <w:rPr>
                <w:rFonts w:cs="Arial"/>
                <w:color w:val="000000"/>
                <w:sz w:val="18"/>
                <w:szCs w:val="18"/>
              </w:rPr>
              <w:t>40,47</w:t>
            </w:r>
          </w:p>
        </w:tc>
      </w:tr>
      <w:tr w:rsidR="00FC7E7A" w:rsidRPr="00AA18F8" w14:paraId="69BCD3B3" w14:textId="77777777" w:rsidTr="002A033A">
        <w:trPr>
          <w:trHeight w:val="340"/>
        </w:trPr>
        <w:tc>
          <w:tcPr>
            <w:tcW w:w="0" w:type="auto"/>
            <w:tcBorders>
              <w:top w:val="nil"/>
              <w:left w:val="nil"/>
              <w:bottom w:val="single" w:sz="4" w:space="0" w:color="auto"/>
              <w:right w:val="single" w:sz="4" w:space="0" w:color="auto"/>
            </w:tcBorders>
            <w:shd w:val="clear" w:color="auto" w:fill="auto"/>
            <w:vAlign w:val="center"/>
            <w:hideMark/>
          </w:tcPr>
          <w:p w14:paraId="08895BBA" w14:textId="77777777" w:rsidR="00FC7E7A" w:rsidRPr="00AA18F8" w:rsidRDefault="00FC7E7A" w:rsidP="00026A4E">
            <w:pPr>
              <w:jc w:val="center"/>
              <w:rPr>
                <w:rFonts w:cs="Arial"/>
                <w:b/>
                <w:bCs/>
                <w:color w:val="000000"/>
                <w:sz w:val="18"/>
                <w:szCs w:val="18"/>
              </w:rPr>
            </w:pPr>
            <w:r w:rsidRPr="00AA18F8">
              <w:rPr>
                <w:rFonts w:cs="Arial"/>
                <w:b/>
                <w:bCs/>
                <w:color w:val="000000"/>
                <w:sz w:val="18"/>
                <w:szCs w:val="18"/>
              </w:rPr>
              <w:t>Total</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1890B023" w14:textId="77777777" w:rsidR="00FC7E7A" w:rsidRPr="00AA18F8" w:rsidRDefault="00FC7E7A" w:rsidP="00026A4E">
            <w:pPr>
              <w:jc w:val="right"/>
              <w:rPr>
                <w:rFonts w:cs="Arial"/>
                <w:b/>
                <w:bCs/>
                <w:color w:val="000000"/>
                <w:sz w:val="18"/>
                <w:szCs w:val="18"/>
              </w:rPr>
            </w:pPr>
            <w:r w:rsidRPr="00AA18F8">
              <w:rPr>
                <w:rFonts w:cs="Arial"/>
                <w:b/>
                <w:bCs/>
                <w:color w:val="000000"/>
                <w:sz w:val="18"/>
                <w:szCs w:val="18"/>
              </w:rPr>
              <w:t>251.095.708</w:t>
            </w:r>
          </w:p>
        </w:tc>
        <w:tc>
          <w:tcPr>
            <w:tcW w:w="0" w:type="auto"/>
            <w:tcBorders>
              <w:top w:val="single" w:sz="4" w:space="0" w:color="auto"/>
              <w:left w:val="nil"/>
              <w:bottom w:val="single" w:sz="4" w:space="0" w:color="auto"/>
              <w:right w:val="single" w:sz="4" w:space="0" w:color="auto"/>
            </w:tcBorders>
            <w:shd w:val="clear" w:color="000000" w:fill="FFFFFF"/>
            <w:noWrap/>
            <w:vAlign w:val="center"/>
            <w:hideMark/>
          </w:tcPr>
          <w:p w14:paraId="01C1DFB9" w14:textId="77777777" w:rsidR="00FC7E7A" w:rsidRPr="00AA18F8" w:rsidRDefault="00FC7E7A" w:rsidP="00026A4E">
            <w:pPr>
              <w:jc w:val="center"/>
              <w:rPr>
                <w:rFonts w:cs="Arial"/>
                <w:b/>
                <w:bCs/>
                <w:color w:val="000000"/>
                <w:sz w:val="18"/>
                <w:szCs w:val="18"/>
              </w:rPr>
            </w:pPr>
            <w:r w:rsidRPr="00AA18F8">
              <w:rPr>
                <w:rFonts w:cs="Arial"/>
                <w:b/>
                <w:bCs/>
                <w:color w:val="000000"/>
                <w:sz w:val="18"/>
                <w:szCs w:val="18"/>
              </w:rPr>
              <w:t>100,00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5B067BF" w14:textId="77777777" w:rsidR="00FC7E7A" w:rsidRPr="00AA18F8" w:rsidRDefault="00FC7E7A" w:rsidP="00026A4E">
            <w:pPr>
              <w:jc w:val="right"/>
              <w:rPr>
                <w:rFonts w:cs="Arial"/>
                <w:b/>
                <w:bCs/>
                <w:color w:val="000000"/>
                <w:sz w:val="18"/>
                <w:szCs w:val="18"/>
              </w:rPr>
            </w:pPr>
            <w:r w:rsidRPr="00AA18F8">
              <w:rPr>
                <w:rFonts w:cs="Arial"/>
                <w:b/>
                <w:bCs/>
                <w:color w:val="000000"/>
                <w:sz w:val="18"/>
                <w:szCs w:val="18"/>
              </w:rPr>
              <w:t>106.225.427</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5B88ABF5" w14:textId="77777777" w:rsidR="00FC7E7A" w:rsidRPr="00AA18F8" w:rsidRDefault="00FC7E7A" w:rsidP="00026A4E">
            <w:pPr>
              <w:jc w:val="center"/>
              <w:rPr>
                <w:rFonts w:cs="Arial"/>
                <w:b/>
                <w:bCs/>
                <w:color w:val="000000"/>
                <w:sz w:val="18"/>
                <w:szCs w:val="18"/>
              </w:rPr>
            </w:pPr>
            <w:r w:rsidRPr="00AA18F8">
              <w:rPr>
                <w:rFonts w:cs="Arial"/>
                <w:b/>
                <w:bCs/>
                <w:color w:val="000000"/>
                <w:sz w:val="18"/>
                <w:szCs w:val="18"/>
              </w:rPr>
              <w:t>100,00</w:t>
            </w:r>
          </w:p>
        </w:tc>
        <w:tc>
          <w:tcPr>
            <w:tcW w:w="1065" w:type="dxa"/>
            <w:tcBorders>
              <w:top w:val="single" w:sz="4" w:space="0" w:color="auto"/>
              <w:left w:val="nil"/>
              <w:bottom w:val="single" w:sz="4" w:space="0" w:color="auto"/>
              <w:right w:val="single" w:sz="4" w:space="0" w:color="auto"/>
            </w:tcBorders>
            <w:shd w:val="clear" w:color="auto" w:fill="auto"/>
            <w:noWrap/>
            <w:vAlign w:val="center"/>
            <w:hideMark/>
          </w:tcPr>
          <w:p w14:paraId="2539AEDD" w14:textId="77777777" w:rsidR="00FC7E7A" w:rsidRPr="00AA18F8" w:rsidRDefault="00FC7E7A" w:rsidP="00026A4E">
            <w:pPr>
              <w:jc w:val="right"/>
              <w:rPr>
                <w:rFonts w:cs="Arial"/>
                <w:b/>
                <w:bCs/>
                <w:color w:val="000000"/>
                <w:sz w:val="18"/>
                <w:szCs w:val="18"/>
              </w:rPr>
            </w:pPr>
            <w:r w:rsidRPr="00AA18F8">
              <w:rPr>
                <w:rFonts w:cs="Arial"/>
                <w:b/>
                <w:bCs/>
                <w:color w:val="000000"/>
                <w:sz w:val="18"/>
                <w:szCs w:val="18"/>
              </w:rPr>
              <w:t>144.870.282</w:t>
            </w:r>
          </w:p>
        </w:tc>
        <w:tc>
          <w:tcPr>
            <w:tcW w:w="848" w:type="dxa"/>
            <w:tcBorders>
              <w:top w:val="single" w:sz="4" w:space="0" w:color="auto"/>
              <w:left w:val="nil"/>
              <w:bottom w:val="single" w:sz="4" w:space="0" w:color="auto"/>
              <w:right w:val="nil"/>
            </w:tcBorders>
            <w:shd w:val="clear" w:color="auto" w:fill="auto"/>
            <w:noWrap/>
            <w:vAlign w:val="center"/>
            <w:hideMark/>
          </w:tcPr>
          <w:p w14:paraId="30F608D0" w14:textId="77777777" w:rsidR="00FC7E7A" w:rsidRPr="00AA18F8" w:rsidRDefault="00FC7E7A" w:rsidP="00FC7E7A">
            <w:pPr>
              <w:jc w:val="center"/>
              <w:rPr>
                <w:rFonts w:cs="Arial"/>
                <w:b/>
                <w:bCs/>
                <w:color w:val="000000"/>
                <w:sz w:val="18"/>
                <w:szCs w:val="18"/>
              </w:rPr>
            </w:pPr>
            <w:r w:rsidRPr="00AA18F8">
              <w:rPr>
                <w:rFonts w:cs="Arial"/>
                <w:b/>
                <w:bCs/>
                <w:color w:val="000000"/>
                <w:sz w:val="18"/>
                <w:szCs w:val="18"/>
              </w:rPr>
              <w:t>136,38</w:t>
            </w:r>
          </w:p>
        </w:tc>
      </w:tr>
    </w:tbl>
    <w:p w14:paraId="0C126674" w14:textId="77777777" w:rsidR="00FC7E7A" w:rsidRPr="00EE5C0B" w:rsidRDefault="00FC7E7A" w:rsidP="00FC7E7A">
      <w:pPr>
        <w:pStyle w:val="0-FONTEBALANO"/>
      </w:pPr>
      <w:r w:rsidRPr="00EE5C0B">
        <w:t>Fonte: Balanço Patrimonial - Anexo 14</w:t>
      </w:r>
      <w:r>
        <w:t xml:space="preserve"> </w:t>
      </w:r>
      <w:r w:rsidRPr="00F44C51">
        <w:t>(BGE 2023)</w:t>
      </w:r>
    </w:p>
    <w:p w14:paraId="5C98667B" w14:textId="77777777" w:rsidR="002A033A" w:rsidRPr="002A033A" w:rsidRDefault="002A033A" w:rsidP="002A033A">
      <w:pPr>
        <w:pStyle w:val="1-REL11"/>
        <w:spacing w:before="120" w:after="120" w:line="312" w:lineRule="auto"/>
        <w:rPr>
          <w:sz w:val="16"/>
          <w:szCs w:val="16"/>
        </w:rPr>
      </w:pPr>
      <w:bookmarkStart w:id="362" w:name="_Hlk134200709"/>
    </w:p>
    <w:p w14:paraId="38F11D40" w14:textId="4255472D" w:rsidR="00FC7E7A" w:rsidRDefault="00FC7E7A" w:rsidP="00F25988">
      <w:pPr>
        <w:pStyle w:val="1-REL11"/>
        <w:spacing w:before="280" w:after="280" w:line="312" w:lineRule="auto"/>
      </w:pPr>
      <w:r w:rsidRPr="00950DE6">
        <w:t xml:space="preserve">O Ativo Total do Estado registrou um </w:t>
      </w:r>
      <w:r>
        <w:t>importante</w:t>
      </w:r>
      <w:r w:rsidRPr="00950DE6">
        <w:t xml:space="preserve"> crescimento de 136,38% em relação a 2022, representando um aumento de aproximadamente R$ 144,87 bilhões</w:t>
      </w:r>
      <w:r w:rsidRPr="006A61EE">
        <w:t>.</w:t>
      </w:r>
      <w:r>
        <w:t xml:space="preserve"> </w:t>
      </w:r>
      <w:r w:rsidRPr="00F6691B">
        <w:t xml:space="preserve">Em relação à composição do Ativo Total, 26,84% dos saldos estão alocados no Ativo Circulante, enquanto o Ativo Não Circulante representa a maior parte, com 73,16%. Este </w:t>
      </w:r>
      <w:r>
        <w:t>cenário</w:t>
      </w:r>
      <w:r w:rsidRPr="00F6691B">
        <w:t xml:space="preserve"> financeiro reflete a estrutura patrimonial do Estado no período analisado.</w:t>
      </w:r>
    </w:p>
    <w:p w14:paraId="14FBE111" w14:textId="7824F8AF" w:rsidR="00FC7E7A" w:rsidRDefault="00FC7E7A" w:rsidP="00F25988">
      <w:pPr>
        <w:pStyle w:val="1-REL11"/>
        <w:spacing w:before="280" w:after="280" w:line="312" w:lineRule="auto"/>
      </w:pPr>
      <w:r w:rsidRPr="006A61EE">
        <w:t xml:space="preserve">No grupo </w:t>
      </w:r>
      <w:r w:rsidRPr="006A61EE">
        <w:rPr>
          <w:iCs/>
        </w:rPr>
        <w:t>Ativo Circulante,</w:t>
      </w:r>
      <w:r w:rsidRPr="006A61EE">
        <w:t xml:space="preserve"> os saldos </w:t>
      </w:r>
      <w:r w:rsidRPr="00F6691B">
        <w:t xml:space="preserve">estão majoritariamente concentrados em </w:t>
      </w:r>
      <w:r>
        <w:t>três</w:t>
      </w:r>
      <w:r w:rsidRPr="00F6691B">
        <w:t xml:space="preserve"> subgrupos de contas</w:t>
      </w:r>
      <w:r>
        <w:t>.</w:t>
      </w:r>
      <w:r w:rsidRPr="007B1563">
        <w:t xml:space="preserve"> </w:t>
      </w:r>
      <w:bookmarkEnd w:id="362"/>
      <w:r w:rsidRPr="002C6305">
        <w:t xml:space="preserve">O primeiro é o subgrupo Créditos a Curto Prazo, que </w:t>
      </w:r>
      <w:r w:rsidRPr="00C43AA0">
        <w:t>demonstrou um crescimento de 16,89% em relação ao ano de 2022</w:t>
      </w:r>
      <w:r>
        <w:t xml:space="preserve"> e </w:t>
      </w:r>
      <w:r w:rsidRPr="002C6305">
        <w:t xml:space="preserve">detém </w:t>
      </w:r>
      <w:r>
        <w:t>7</w:t>
      </w:r>
      <w:r w:rsidRPr="002C6305">
        <w:t>,</w:t>
      </w:r>
      <w:r>
        <w:t>08</w:t>
      </w:r>
      <w:r w:rsidRPr="002C6305">
        <w:t xml:space="preserve">% de participação no </w:t>
      </w:r>
      <w:r>
        <w:t>A</w:t>
      </w:r>
      <w:r w:rsidRPr="002C6305">
        <w:t>tivo</w:t>
      </w:r>
      <w:r>
        <w:t xml:space="preserve"> Total</w:t>
      </w:r>
      <w:r w:rsidRPr="002C6305">
        <w:t>. O segundo é o subgrupo Demais Créditos e Valores a Curto Prazo, que</w:t>
      </w:r>
      <w:r>
        <w:t xml:space="preserve"> apresentou um </w:t>
      </w:r>
      <w:r w:rsidRPr="00C43AA0">
        <w:t>incremento significativo de 74,90% em relação ao ano anterior</w:t>
      </w:r>
      <w:r>
        <w:t>,</w:t>
      </w:r>
      <w:r w:rsidRPr="002C6305">
        <w:t xml:space="preserve"> representa</w:t>
      </w:r>
      <w:r>
        <w:t>ndo</w:t>
      </w:r>
      <w:r w:rsidRPr="002C6305">
        <w:t xml:space="preserve"> </w:t>
      </w:r>
      <w:r>
        <w:t>13</w:t>
      </w:r>
      <w:r w:rsidRPr="002C6305">
        <w:t>,</w:t>
      </w:r>
      <w:r>
        <w:t>04</w:t>
      </w:r>
      <w:r w:rsidRPr="002C6305">
        <w:t xml:space="preserve">% do </w:t>
      </w:r>
      <w:r>
        <w:t>A</w:t>
      </w:r>
      <w:r w:rsidRPr="002C6305">
        <w:t xml:space="preserve">tivo </w:t>
      </w:r>
      <w:r>
        <w:t>Total. Por fim, destaca-s</w:t>
      </w:r>
      <w:bookmarkStart w:id="363" w:name="_Hlk134200745"/>
      <w:r>
        <w:t>e</w:t>
      </w:r>
      <w:r w:rsidRPr="006A61EE">
        <w:t xml:space="preserve"> o subgrupo de contas Caixa e Equivalentes de Caixa</w:t>
      </w:r>
      <w:bookmarkEnd w:id="363"/>
      <w:r>
        <w:t xml:space="preserve"> que evidenciou uma </w:t>
      </w:r>
      <w:r w:rsidRPr="00C43AA0">
        <w:t>evolução de 17,11% quando comparado ao exercício de 2022</w:t>
      </w:r>
      <w:r>
        <w:t>, representando 6</w:t>
      </w:r>
      <w:r w:rsidRPr="006A61EE">
        <w:t>,</w:t>
      </w:r>
      <w:r>
        <w:t>16</w:t>
      </w:r>
      <w:r w:rsidRPr="006A61EE">
        <w:t xml:space="preserve">% do saldo do </w:t>
      </w:r>
      <w:r>
        <w:t>grupo</w:t>
      </w:r>
      <w:r w:rsidR="00395685">
        <w:t>.</w:t>
      </w:r>
    </w:p>
    <w:p w14:paraId="1DF60139" w14:textId="2B35A5E3" w:rsidR="00FC7E7A" w:rsidRDefault="00FC7E7A" w:rsidP="00F25988">
      <w:pPr>
        <w:pStyle w:val="1-REL11"/>
        <w:spacing w:before="240" w:after="240" w:line="312" w:lineRule="auto"/>
      </w:pPr>
      <w:bookmarkStart w:id="364" w:name="_Hlk134200810"/>
      <w:r>
        <w:t>Quanto ao</w:t>
      </w:r>
      <w:r w:rsidRPr="006A61EE">
        <w:t xml:space="preserve"> grupo Ativo Não Circulante,</w:t>
      </w:r>
      <w:r>
        <w:t xml:space="preserve"> notou-se </w:t>
      </w:r>
      <w:r w:rsidRPr="006A61EE">
        <w:t>u</w:t>
      </w:r>
      <w:r>
        <w:t>m significativo</w:t>
      </w:r>
      <w:r w:rsidRPr="006A61EE">
        <w:t xml:space="preserve"> </w:t>
      </w:r>
      <w:r>
        <w:t xml:space="preserve">aumento dos saldos na ordem de </w:t>
      </w:r>
      <w:r w:rsidRPr="006A61EE">
        <w:t>214,82% em relação ao</w:t>
      </w:r>
      <w:r>
        <w:t xml:space="preserve"> período anterior</w:t>
      </w:r>
      <w:r w:rsidRPr="006A61EE">
        <w:t>, com maior volume nominal demonstrado nos subgrupos de contas Realizável a Longo Prazo e Imobilizado</w:t>
      </w:r>
      <w:r>
        <w:t xml:space="preserve">. O subgrupo Realizável a Longo Prazo, em 2023, exibiu um acréscimo de R$ 112,10 bilhões em seu saldo, o que corresponde a um aumento de 913,30% em relação a 2022 e representa 49,53% do Ativo Total. Por sua vez, o subgrupo Imobilizado </w:t>
      </w:r>
      <w:r w:rsidRPr="009234FF">
        <w:t xml:space="preserve">registrou um </w:t>
      </w:r>
      <w:r>
        <w:t>incremento</w:t>
      </w:r>
      <w:r w:rsidRPr="009234FF">
        <w:t xml:space="preserve"> de R$ 12,9</w:t>
      </w:r>
      <w:r>
        <w:t>2</w:t>
      </w:r>
      <w:r w:rsidRPr="009234FF">
        <w:t xml:space="preserve"> bilhões em relação ao mesmo período do </w:t>
      </w:r>
      <w:r>
        <w:t>ano</w:t>
      </w:r>
      <w:r w:rsidRPr="009234FF">
        <w:t xml:space="preserve"> anterior, uma evolução de 32,41%</w:t>
      </w:r>
      <w:r>
        <w:t>, representando 21,02% do saldo do Ativo Total.</w:t>
      </w:r>
    </w:p>
    <w:bookmarkEnd w:id="364"/>
    <w:p w14:paraId="0199BC74" w14:textId="17167739" w:rsidR="00FC7E7A" w:rsidRDefault="00FC7E7A" w:rsidP="00F25988">
      <w:pPr>
        <w:pStyle w:val="1-REL11"/>
        <w:spacing w:before="280" w:after="280" w:line="300" w:lineRule="auto"/>
      </w:pPr>
      <w:r w:rsidRPr="00D742ED">
        <w:t>As movimentações patrimoniais de maior relevância ocorridas n</w:t>
      </w:r>
      <w:r>
        <w:t>as contas que compõem o A</w:t>
      </w:r>
      <w:r w:rsidRPr="00D742ED">
        <w:t>tivo estadua</w:t>
      </w:r>
      <w:r>
        <w:t>l</w:t>
      </w:r>
      <w:r w:rsidRPr="00D742ED">
        <w:t xml:space="preserve"> serão melhor detalhadas nos itens subsequentes.</w:t>
      </w:r>
    </w:p>
    <w:p w14:paraId="53E877AF" w14:textId="77777777" w:rsidR="00395685" w:rsidRDefault="00395685" w:rsidP="00FC7E7A">
      <w:pPr>
        <w:pStyle w:val="1-REL11"/>
      </w:pPr>
    </w:p>
    <w:p w14:paraId="386ECBA0" w14:textId="77777777" w:rsidR="00617362" w:rsidRDefault="00617362" w:rsidP="00117967">
      <w:pPr>
        <w:pStyle w:val="Ttulo4"/>
      </w:pPr>
      <w:bookmarkStart w:id="365" w:name="_Ref167691466"/>
      <w:r>
        <w:t>Caixa e Equivalentes de Caixa</w:t>
      </w:r>
      <w:bookmarkEnd w:id="365"/>
    </w:p>
    <w:p w14:paraId="0D8692AB" w14:textId="77777777" w:rsidR="00617362" w:rsidRPr="00045AFD" w:rsidRDefault="00617362" w:rsidP="00F25988">
      <w:pPr>
        <w:pStyle w:val="1-REL11"/>
        <w:spacing w:before="360" w:after="240" w:line="312" w:lineRule="auto"/>
      </w:pPr>
      <w:r>
        <w:t>O subgrupo Caixa e Equivalentes de Caixa</w:t>
      </w:r>
      <w:r w:rsidRPr="00045AFD">
        <w:t xml:space="preserve"> </w:t>
      </w:r>
      <w:r>
        <w:t>c</w:t>
      </w:r>
      <w:r w:rsidRPr="00045AFD">
        <w:t>ompreende o somatório dos valores em caixa e em bancos, bem como equivalentes, que representam recursos com livre movimentação para aplicação nas operações da entidade e para os quais não haja restrições para uso imediato.</w:t>
      </w:r>
      <w:r>
        <w:t xml:space="preserve"> E</w:t>
      </w:r>
      <w:r w:rsidRPr="00706830">
        <w:t xml:space="preserve">sse subgrupo apresentou um crescimento de </w:t>
      </w:r>
      <w:r>
        <w:t>R$ 2</w:t>
      </w:r>
      <w:r w:rsidRPr="00706830">
        <w:t>,</w:t>
      </w:r>
      <w:r>
        <w:t>26</w:t>
      </w:r>
      <w:r w:rsidRPr="00706830">
        <w:t xml:space="preserve"> bilhões</w:t>
      </w:r>
      <w:r>
        <w:t xml:space="preserve"> (aumento de 17,11% em relação a 2022),</w:t>
      </w:r>
      <w:r w:rsidRPr="00706830">
        <w:t xml:space="preserve"> totalizando um montante de </w:t>
      </w:r>
      <w:r>
        <w:t xml:space="preserve">R$ </w:t>
      </w:r>
      <w:r w:rsidRPr="00706830">
        <w:t>1</w:t>
      </w:r>
      <w:r>
        <w:t>5,47</w:t>
      </w:r>
      <w:r w:rsidRPr="00706830">
        <w:t xml:space="preserve"> bilhões</w:t>
      </w:r>
      <w:r>
        <w:t>, e está assim composto:</w:t>
      </w:r>
    </w:p>
    <w:p w14:paraId="7EB55FEB" w14:textId="110719D8" w:rsidR="00617362" w:rsidRPr="00045AFD" w:rsidRDefault="00617362" w:rsidP="00ED3571">
      <w:pPr>
        <w:pStyle w:val="0-TABELA"/>
      </w:pPr>
      <w:bookmarkStart w:id="366" w:name="_Toc167871813"/>
      <w:r>
        <w:lastRenderedPageBreak/>
        <w:t>Caixa e Equivalentes de Caixa</w:t>
      </w:r>
      <w:r w:rsidR="003B30CD">
        <w:t xml:space="preserve"> </w:t>
      </w:r>
      <w:r w:rsidR="003B30CD" w:rsidRPr="00D67E49">
        <w:t>– 2023 x 2022</w:t>
      </w:r>
      <w:bookmarkEnd w:id="366"/>
    </w:p>
    <w:p w14:paraId="0F2DA440" w14:textId="77777777" w:rsidR="00617362" w:rsidRDefault="00617362" w:rsidP="00617362">
      <w:pPr>
        <w:pStyle w:val="0-EmR1"/>
        <w:rPr>
          <w:lang w:eastAsia="en-US"/>
        </w:rPr>
      </w:pPr>
      <w:r w:rsidRPr="00F8278A">
        <w:rPr>
          <w:lang w:eastAsia="en-US"/>
        </w:rPr>
        <w:t>R$ mil</w:t>
      </w:r>
    </w:p>
    <w:tbl>
      <w:tblPr>
        <w:tblW w:w="5000" w:type="pct"/>
        <w:tblCellMar>
          <w:left w:w="70" w:type="dxa"/>
          <w:right w:w="70" w:type="dxa"/>
        </w:tblCellMar>
        <w:tblLook w:val="04A0" w:firstRow="1" w:lastRow="0" w:firstColumn="1" w:lastColumn="0" w:noHBand="0" w:noVBand="1"/>
      </w:tblPr>
      <w:tblGrid>
        <w:gridCol w:w="4243"/>
        <w:gridCol w:w="1041"/>
        <w:gridCol w:w="729"/>
        <w:gridCol w:w="1042"/>
        <w:gridCol w:w="691"/>
        <w:gridCol w:w="993"/>
        <w:gridCol w:w="614"/>
      </w:tblGrid>
      <w:tr w:rsidR="00617362" w:rsidRPr="00617362" w14:paraId="24994D89" w14:textId="77777777" w:rsidTr="00221593">
        <w:trPr>
          <w:trHeight w:val="340"/>
          <w:tblHeader/>
        </w:trPr>
        <w:tc>
          <w:tcPr>
            <w:tcW w:w="2268" w:type="pct"/>
            <w:vMerge w:val="restart"/>
            <w:tcBorders>
              <w:top w:val="single" w:sz="4" w:space="0" w:color="auto"/>
              <w:left w:val="nil"/>
              <w:right w:val="nil"/>
            </w:tcBorders>
            <w:shd w:val="clear" w:color="000000" w:fill="A1F2FD"/>
            <w:vAlign w:val="center"/>
            <w:hideMark/>
          </w:tcPr>
          <w:p w14:paraId="6502D1B0" w14:textId="77777777" w:rsidR="00617362" w:rsidRPr="00617362" w:rsidRDefault="00617362" w:rsidP="00617362">
            <w:pPr>
              <w:jc w:val="center"/>
              <w:rPr>
                <w:rFonts w:cs="Arial"/>
                <w:b/>
                <w:bCs/>
                <w:color w:val="000000"/>
                <w:sz w:val="18"/>
                <w:szCs w:val="18"/>
              </w:rPr>
            </w:pPr>
            <w:r w:rsidRPr="00617362">
              <w:rPr>
                <w:rFonts w:cs="Arial"/>
                <w:b/>
                <w:bCs/>
                <w:color w:val="000000"/>
                <w:sz w:val="18"/>
                <w:szCs w:val="18"/>
              </w:rPr>
              <w:t>Composição</w:t>
            </w:r>
          </w:p>
        </w:tc>
        <w:tc>
          <w:tcPr>
            <w:tcW w:w="557" w:type="pct"/>
            <w:vMerge w:val="restart"/>
            <w:tcBorders>
              <w:top w:val="single" w:sz="4" w:space="0" w:color="auto"/>
              <w:left w:val="single" w:sz="4" w:space="0" w:color="auto"/>
              <w:right w:val="single" w:sz="4" w:space="0" w:color="auto"/>
            </w:tcBorders>
            <w:shd w:val="clear" w:color="000000" w:fill="A1F2FD"/>
            <w:vAlign w:val="center"/>
            <w:hideMark/>
          </w:tcPr>
          <w:p w14:paraId="38332DBF" w14:textId="77777777" w:rsidR="00617362" w:rsidRPr="00617362" w:rsidRDefault="00617362" w:rsidP="00617362">
            <w:pPr>
              <w:jc w:val="center"/>
              <w:rPr>
                <w:rFonts w:cs="Arial"/>
                <w:b/>
                <w:bCs/>
                <w:color w:val="000000"/>
                <w:sz w:val="18"/>
                <w:szCs w:val="18"/>
              </w:rPr>
            </w:pPr>
            <w:r w:rsidRPr="00617362">
              <w:rPr>
                <w:rFonts w:cs="Arial"/>
                <w:b/>
                <w:bCs/>
                <w:color w:val="000000"/>
                <w:sz w:val="18"/>
                <w:szCs w:val="18"/>
              </w:rPr>
              <w:t>2023</w:t>
            </w:r>
          </w:p>
        </w:tc>
        <w:tc>
          <w:tcPr>
            <w:tcW w:w="390" w:type="pct"/>
            <w:tcBorders>
              <w:top w:val="single" w:sz="4" w:space="0" w:color="auto"/>
              <w:left w:val="nil"/>
              <w:right w:val="single" w:sz="4" w:space="0" w:color="auto"/>
            </w:tcBorders>
            <w:shd w:val="clear" w:color="000000" w:fill="A1F2FD"/>
            <w:vAlign w:val="center"/>
            <w:hideMark/>
          </w:tcPr>
          <w:p w14:paraId="1E6EC5F1" w14:textId="77777777" w:rsidR="00617362" w:rsidRPr="00617362" w:rsidRDefault="00617362" w:rsidP="00617362">
            <w:pPr>
              <w:jc w:val="center"/>
              <w:rPr>
                <w:rFonts w:cs="Arial"/>
                <w:b/>
                <w:bCs/>
                <w:color w:val="000000"/>
                <w:sz w:val="18"/>
                <w:szCs w:val="18"/>
              </w:rPr>
            </w:pPr>
            <w:r w:rsidRPr="00617362">
              <w:rPr>
                <w:rFonts w:cs="Arial"/>
                <w:b/>
                <w:bCs/>
                <w:color w:val="000000"/>
                <w:sz w:val="18"/>
                <w:szCs w:val="18"/>
              </w:rPr>
              <w:t xml:space="preserve">AV 2023 </w:t>
            </w:r>
          </w:p>
        </w:tc>
        <w:tc>
          <w:tcPr>
            <w:tcW w:w="557" w:type="pct"/>
            <w:vMerge w:val="restart"/>
            <w:tcBorders>
              <w:top w:val="single" w:sz="4" w:space="0" w:color="auto"/>
              <w:left w:val="single" w:sz="4" w:space="0" w:color="auto"/>
              <w:right w:val="single" w:sz="4" w:space="0" w:color="auto"/>
            </w:tcBorders>
            <w:shd w:val="clear" w:color="000000" w:fill="A1F2FD"/>
            <w:vAlign w:val="center"/>
            <w:hideMark/>
          </w:tcPr>
          <w:p w14:paraId="1AAC61F4" w14:textId="77777777" w:rsidR="00617362" w:rsidRPr="00617362" w:rsidRDefault="00617362" w:rsidP="00617362">
            <w:pPr>
              <w:jc w:val="center"/>
              <w:rPr>
                <w:rFonts w:cs="Arial"/>
                <w:b/>
                <w:bCs/>
                <w:color w:val="000000"/>
                <w:sz w:val="18"/>
                <w:szCs w:val="18"/>
              </w:rPr>
            </w:pPr>
            <w:r w:rsidRPr="00617362">
              <w:rPr>
                <w:rFonts w:cs="Arial"/>
                <w:b/>
                <w:bCs/>
                <w:color w:val="000000"/>
                <w:sz w:val="18"/>
                <w:szCs w:val="18"/>
              </w:rPr>
              <w:t>2022</w:t>
            </w:r>
          </w:p>
        </w:tc>
        <w:tc>
          <w:tcPr>
            <w:tcW w:w="369" w:type="pct"/>
            <w:tcBorders>
              <w:top w:val="single" w:sz="4" w:space="0" w:color="auto"/>
              <w:left w:val="nil"/>
              <w:right w:val="single" w:sz="4" w:space="0" w:color="auto"/>
            </w:tcBorders>
            <w:shd w:val="clear" w:color="000000" w:fill="A1F2FD"/>
            <w:vAlign w:val="center"/>
            <w:hideMark/>
          </w:tcPr>
          <w:p w14:paraId="62369858" w14:textId="77777777" w:rsidR="00617362" w:rsidRPr="00617362" w:rsidRDefault="00617362" w:rsidP="00617362">
            <w:pPr>
              <w:jc w:val="center"/>
              <w:rPr>
                <w:rFonts w:cs="Arial"/>
                <w:b/>
                <w:bCs/>
                <w:color w:val="000000"/>
                <w:sz w:val="18"/>
                <w:szCs w:val="18"/>
              </w:rPr>
            </w:pPr>
            <w:r w:rsidRPr="00617362">
              <w:rPr>
                <w:rFonts w:cs="Arial"/>
                <w:b/>
                <w:bCs/>
                <w:color w:val="000000"/>
                <w:sz w:val="18"/>
                <w:szCs w:val="18"/>
              </w:rPr>
              <w:t xml:space="preserve">AV 2022 </w:t>
            </w:r>
          </w:p>
        </w:tc>
        <w:tc>
          <w:tcPr>
            <w:tcW w:w="859" w:type="pct"/>
            <w:gridSpan w:val="2"/>
            <w:tcBorders>
              <w:top w:val="single" w:sz="4" w:space="0" w:color="auto"/>
              <w:left w:val="nil"/>
              <w:bottom w:val="single" w:sz="4" w:space="0" w:color="auto"/>
              <w:right w:val="nil"/>
            </w:tcBorders>
            <w:shd w:val="clear" w:color="000000" w:fill="A1F2FD"/>
            <w:noWrap/>
            <w:vAlign w:val="center"/>
            <w:hideMark/>
          </w:tcPr>
          <w:p w14:paraId="637F457A" w14:textId="77777777" w:rsidR="00617362" w:rsidRPr="00617362" w:rsidRDefault="00617362" w:rsidP="00617362">
            <w:pPr>
              <w:jc w:val="center"/>
              <w:rPr>
                <w:rFonts w:cs="Arial"/>
                <w:b/>
                <w:bCs/>
                <w:color w:val="000000"/>
                <w:sz w:val="18"/>
                <w:szCs w:val="18"/>
              </w:rPr>
            </w:pPr>
            <w:r w:rsidRPr="00617362">
              <w:rPr>
                <w:rFonts w:cs="Arial"/>
                <w:b/>
                <w:bCs/>
                <w:color w:val="000000"/>
                <w:sz w:val="18"/>
                <w:szCs w:val="18"/>
              </w:rPr>
              <w:t>∆ 2023 x 2022</w:t>
            </w:r>
          </w:p>
        </w:tc>
      </w:tr>
      <w:tr w:rsidR="00617362" w:rsidRPr="00617362" w14:paraId="758E61EA" w14:textId="77777777" w:rsidTr="00221593">
        <w:trPr>
          <w:trHeight w:val="340"/>
          <w:tblHeader/>
        </w:trPr>
        <w:tc>
          <w:tcPr>
            <w:tcW w:w="2268" w:type="pct"/>
            <w:vMerge/>
            <w:tcBorders>
              <w:left w:val="nil"/>
              <w:right w:val="nil"/>
            </w:tcBorders>
            <w:vAlign w:val="center"/>
            <w:hideMark/>
          </w:tcPr>
          <w:p w14:paraId="2840500C" w14:textId="77777777" w:rsidR="00617362" w:rsidRPr="00617362" w:rsidRDefault="00617362" w:rsidP="00617362">
            <w:pPr>
              <w:jc w:val="left"/>
              <w:rPr>
                <w:rFonts w:cs="Arial"/>
                <w:b/>
                <w:bCs/>
                <w:color w:val="000000"/>
                <w:sz w:val="18"/>
                <w:szCs w:val="18"/>
              </w:rPr>
            </w:pPr>
          </w:p>
        </w:tc>
        <w:tc>
          <w:tcPr>
            <w:tcW w:w="557" w:type="pct"/>
            <w:vMerge/>
            <w:tcBorders>
              <w:left w:val="single" w:sz="4" w:space="0" w:color="auto"/>
              <w:right w:val="single" w:sz="4" w:space="0" w:color="auto"/>
            </w:tcBorders>
            <w:vAlign w:val="center"/>
            <w:hideMark/>
          </w:tcPr>
          <w:p w14:paraId="464B9694" w14:textId="77777777" w:rsidR="00617362" w:rsidRPr="00617362" w:rsidRDefault="00617362" w:rsidP="00617362">
            <w:pPr>
              <w:jc w:val="left"/>
              <w:rPr>
                <w:rFonts w:cs="Arial"/>
                <w:b/>
                <w:bCs/>
                <w:color w:val="000000"/>
                <w:sz w:val="18"/>
                <w:szCs w:val="18"/>
              </w:rPr>
            </w:pPr>
          </w:p>
        </w:tc>
        <w:tc>
          <w:tcPr>
            <w:tcW w:w="390" w:type="pct"/>
            <w:tcBorders>
              <w:left w:val="nil"/>
              <w:right w:val="single" w:sz="4" w:space="0" w:color="auto"/>
            </w:tcBorders>
            <w:shd w:val="clear" w:color="000000" w:fill="A1F2FD"/>
            <w:vAlign w:val="center"/>
            <w:hideMark/>
          </w:tcPr>
          <w:p w14:paraId="5CDC8AC6" w14:textId="77777777" w:rsidR="00617362" w:rsidRPr="00617362" w:rsidRDefault="00617362" w:rsidP="00617362">
            <w:pPr>
              <w:jc w:val="center"/>
              <w:rPr>
                <w:rFonts w:cs="Arial"/>
                <w:b/>
                <w:bCs/>
                <w:color w:val="000000"/>
                <w:sz w:val="18"/>
                <w:szCs w:val="18"/>
              </w:rPr>
            </w:pPr>
            <w:r w:rsidRPr="00617362">
              <w:rPr>
                <w:rFonts w:cs="Arial"/>
                <w:b/>
                <w:bCs/>
                <w:color w:val="000000"/>
                <w:sz w:val="18"/>
                <w:szCs w:val="18"/>
              </w:rPr>
              <w:t>%</w:t>
            </w:r>
          </w:p>
        </w:tc>
        <w:tc>
          <w:tcPr>
            <w:tcW w:w="557" w:type="pct"/>
            <w:vMerge/>
            <w:tcBorders>
              <w:left w:val="single" w:sz="4" w:space="0" w:color="auto"/>
              <w:right w:val="single" w:sz="4" w:space="0" w:color="auto"/>
            </w:tcBorders>
            <w:vAlign w:val="center"/>
            <w:hideMark/>
          </w:tcPr>
          <w:p w14:paraId="13C4B40F" w14:textId="77777777" w:rsidR="00617362" w:rsidRPr="00617362" w:rsidRDefault="00617362" w:rsidP="00617362">
            <w:pPr>
              <w:jc w:val="left"/>
              <w:rPr>
                <w:rFonts w:cs="Arial"/>
                <w:b/>
                <w:bCs/>
                <w:color w:val="000000"/>
                <w:sz w:val="18"/>
                <w:szCs w:val="18"/>
              </w:rPr>
            </w:pPr>
          </w:p>
        </w:tc>
        <w:tc>
          <w:tcPr>
            <w:tcW w:w="369" w:type="pct"/>
            <w:tcBorders>
              <w:left w:val="nil"/>
              <w:right w:val="single" w:sz="4" w:space="0" w:color="auto"/>
            </w:tcBorders>
            <w:shd w:val="clear" w:color="000000" w:fill="A1F2FD"/>
            <w:vAlign w:val="center"/>
            <w:hideMark/>
          </w:tcPr>
          <w:p w14:paraId="7C3C6D07" w14:textId="77777777" w:rsidR="00617362" w:rsidRPr="00617362" w:rsidRDefault="00617362" w:rsidP="00617362">
            <w:pPr>
              <w:jc w:val="center"/>
              <w:rPr>
                <w:rFonts w:cs="Arial"/>
                <w:b/>
                <w:bCs/>
                <w:color w:val="000000"/>
                <w:sz w:val="18"/>
                <w:szCs w:val="18"/>
              </w:rPr>
            </w:pPr>
            <w:r w:rsidRPr="00617362">
              <w:rPr>
                <w:rFonts w:cs="Arial"/>
                <w:b/>
                <w:bCs/>
                <w:color w:val="000000"/>
                <w:sz w:val="18"/>
                <w:szCs w:val="18"/>
              </w:rPr>
              <w:t>%</w:t>
            </w:r>
          </w:p>
        </w:tc>
        <w:tc>
          <w:tcPr>
            <w:tcW w:w="531" w:type="pct"/>
            <w:tcBorders>
              <w:top w:val="single" w:sz="4" w:space="0" w:color="auto"/>
              <w:left w:val="nil"/>
              <w:right w:val="single" w:sz="4" w:space="0" w:color="auto"/>
            </w:tcBorders>
            <w:shd w:val="clear" w:color="000000" w:fill="A1F2FD"/>
            <w:vAlign w:val="center"/>
            <w:hideMark/>
          </w:tcPr>
          <w:p w14:paraId="352F8D9F" w14:textId="77777777" w:rsidR="00617362" w:rsidRPr="00617362" w:rsidRDefault="00617362" w:rsidP="00617362">
            <w:pPr>
              <w:jc w:val="center"/>
              <w:rPr>
                <w:rFonts w:cs="Arial"/>
                <w:b/>
                <w:bCs/>
                <w:color w:val="000000"/>
                <w:sz w:val="18"/>
                <w:szCs w:val="18"/>
              </w:rPr>
            </w:pPr>
            <w:r w:rsidRPr="00617362">
              <w:rPr>
                <w:rFonts w:cs="Arial"/>
                <w:b/>
                <w:bCs/>
                <w:color w:val="000000"/>
                <w:sz w:val="18"/>
                <w:szCs w:val="18"/>
              </w:rPr>
              <w:t>R$</w:t>
            </w:r>
          </w:p>
        </w:tc>
        <w:tc>
          <w:tcPr>
            <w:tcW w:w="328" w:type="pct"/>
            <w:tcBorders>
              <w:top w:val="single" w:sz="4" w:space="0" w:color="auto"/>
              <w:left w:val="nil"/>
              <w:right w:val="nil"/>
            </w:tcBorders>
            <w:shd w:val="clear" w:color="000000" w:fill="A1F2FD"/>
            <w:vAlign w:val="center"/>
            <w:hideMark/>
          </w:tcPr>
          <w:p w14:paraId="7C58CBC6" w14:textId="77777777" w:rsidR="00617362" w:rsidRPr="00617362" w:rsidRDefault="00617362" w:rsidP="00617362">
            <w:pPr>
              <w:jc w:val="center"/>
              <w:rPr>
                <w:rFonts w:cs="Arial"/>
                <w:b/>
                <w:bCs/>
                <w:color w:val="000000"/>
                <w:sz w:val="18"/>
                <w:szCs w:val="18"/>
              </w:rPr>
            </w:pPr>
            <w:r w:rsidRPr="00617362">
              <w:rPr>
                <w:rFonts w:cs="Arial"/>
                <w:b/>
                <w:bCs/>
                <w:color w:val="000000"/>
                <w:sz w:val="18"/>
                <w:szCs w:val="18"/>
              </w:rPr>
              <w:t>%</w:t>
            </w:r>
          </w:p>
        </w:tc>
      </w:tr>
      <w:tr w:rsidR="00617362" w:rsidRPr="00617362" w14:paraId="1B512D8A" w14:textId="77777777" w:rsidTr="00C467A0">
        <w:trPr>
          <w:trHeight w:val="340"/>
          <w:tblHeader/>
        </w:trPr>
        <w:tc>
          <w:tcPr>
            <w:tcW w:w="2268" w:type="pct"/>
            <w:vMerge/>
            <w:tcBorders>
              <w:left w:val="nil"/>
              <w:bottom w:val="single" w:sz="4" w:space="0" w:color="000000"/>
              <w:right w:val="nil"/>
            </w:tcBorders>
            <w:vAlign w:val="center"/>
          </w:tcPr>
          <w:p w14:paraId="3A443088" w14:textId="77777777" w:rsidR="00617362" w:rsidRPr="00617362" w:rsidRDefault="00617362" w:rsidP="00617362">
            <w:pPr>
              <w:jc w:val="left"/>
              <w:rPr>
                <w:rFonts w:cs="Arial"/>
                <w:b/>
                <w:bCs/>
                <w:color w:val="000000"/>
                <w:sz w:val="18"/>
                <w:szCs w:val="18"/>
              </w:rPr>
            </w:pPr>
          </w:p>
        </w:tc>
        <w:tc>
          <w:tcPr>
            <w:tcW w:w="557" w:type="pct"/>
            <w:tcBorders>
              <w:left w:val="single" w:sz="4" w:space="0" w:color="auto"/>
              <w:bottom w:val="single" w:sz="4" w:space="0" w:color="auto"/>
              <w:right w:val="single" w:sz="4" w:space="0" w:color="auto"/>
            </w:tcBorders>
            <w:shd w:val="clear" w:color="auto" w:fill="A1F2FD"/>
            <w:vAlign w:val="center"/>
          </w:tcPr>
          <w:p w14:paraId="6506A95F" w14:textId="72289C04" w:rsidR="00617362" w:rsidRPr="00B97192" w:rsidRDefault="00617362" w:rsidP="00617362">
            <w:pPr>
              <w:jc w:val="center"/>
              <w:rPr>
                <w:rFonts w:cs="Arial"/>
                <w:b/>
                <w:bCs/>
                <w:color w:val="000000"/>
                <w:sz w:val="18"/>
                <w:szCs w:val="18"/>
              </w:rPr>
            </w:pPr>
            <w:r w:rsidRPr="00B97192">
              <w:rPr>
                <w:rFonts w:cs="Arial"/>
                <w:b/>
                <w:bCs/>
                <w:color w:val="000000"/>
                <w:sz w:val="18"/>
                <w:szCs w:val="18"/>
              </w:rPr>
              <w:t>(a)</w:t>
            </w:r>
          </w:p>
        </w:tc>
        <w:tc>
          <w:tcPr>
            <w:tcW w:w="390" w:type="pct"/>
            <w:tcBorders>
              <w:left w:val="nil"/>
              <w:bottom w:val="single" w:sz="4" w:space="0" w:color="auto"/>
              <w:right w:val="single" w:sz="4" w:space="0" w:color="auto"/>
            </w:tcBorders>
            <w:shd w:val="clear" w:color="auto" w:fill="A1F2FD"/>
            <w:vAlign w:val="center"/>
          </w:tcPr>
          <w:p w14:paraId="4B9C84CB" w14:textId="1AF642D0" w:rsidR="00617362" w:rsidRPr="00B97192" w:rsidRDefault="00617362" w:rsidP="00617362">
            <w:pPr>
              <w:jc w:val="center"/>
              <w:rPr>
                <w:rFonts w:cs="Arial"/>
                <w:b/>
                <w:bCs/>
                <w:color w:val="000000"/>
                <w:sz w:val="18"/>
                <w:szCs w:val="18"/>
              </w:rPr>
            </w:pPr>
            <w:r w:rsidRPr="00B97192">
              <w:rPr>
                <w:rFonts w:cs="Arial"/>
                <w:b/>
                <w:bCs/>
                <w:color w:val="000000"/>
                <w:sz w:val="18"/>
                <w:szCs w:val="18"/>
              </w:rPr>
              <w:t>(b)</w:t>
            </w:r>
          </w:p>
        </w:tc>
        <w:tc>
          <w:tcPr>
            <w:tcW w:w="557" w:type="pct"/>
            <w:tcBorders>
              <w:left w:val="single" w:sz="4" w:space="0" w:color="auto"/>
              <w:bottom w:val="single" w:sz="4" w:space="0" w:color="auto"/>
              <w:right w:val="single" w:sz="4" w:space="0" w:color="auto"/>
            </w:tcBorders>
            <w:shd w:val="clear" w:color="auto" w:fill="A1F2FD"/>
            <w:vAlign w:val="center"/>
          </w:tcPr>
          <w:p w14:paraId="4E9F2D12" w14:textId="746DD4B1" w:rsidR="00617362" w:rsidRPr="00B97192" w:rsidRDefault="00617362" w:rsidP="00617362">
            <w:pPr>
              <w:jc w:val="center"/>
              <w:rPr>
                <w:rFonts w:cs="Arial"/>
                <w:b/>
                <w:bCs/>
                <w:color w:val="000000"/>
                <w:sz w:val="18"/>
                <w:szCs w:val="18"/>
              </w:rPr>
            </w:pPr>
            <w:r w:rsidRPr="00B97192">
              <w:rPr>
                <w:rFonts w:cs="Arial"/>
                <w:b/>
                <w:bCs/>
                <w:color w:val="000000"/>
                <w:sz w:val="18"/>
                <w:szCs w:val="18"/>
              </w:rPr>
              <w:t>(c)</w:t>
            </w:r>
          </w:p>
        </w:tc>
        <w:tc>
          <w:tcPr>
            <w:tcW w:w="369" w:type="pct"/>
            <w:tcBorders>
              <w:left w:val="nil"/>
              <w:bottom w:val="single" w:sz="4" w:space="0" w:color="auto"/>
              <w:right w:val="single" w:sz="4" w:space="0" w:color="auto"/>
            </w:tcBorders>
            <w:shd w:val="clear" w:color="auto" w:fill="A1F2FD"/>
            <w:vAlign w:val="center"/>
          </w:tcPr>
          <w:p w14:paraId="4B90F6C3" w14:textId="34856DCE" w:rsidR="00617362" w:rsidRPr="00B97192" w:rsidRDefault="00617362" w:rsidP="00617362">
            <w:pPr>
              <w:jc w:val="center"/>
              <w:rPr>
                <w:rFonts w:cs="Arial"/>
                <w:b/>
                <w:bCs/>
                <w:color w:val="000000"/>
                <w:sz w:val="18"/>
                <w:szCs w:val="18"/>
              </w:rPr>
            </w:pPr>
            <w:r w:rsidRPr="00B97192">
              <w:rPr>
                <w:rFonts w:cs="Arial"/>
                <w:b/>
                <w:bCs/>
                <w:color w:val="000000"/>
                <w:sz w:val="18"/>
                <w:szCs w:val="18"/>
              </w:rPr>
              <w:t>(d)</w:t>
            </w:r>
          </w:p>
        </w:tc>
        <w:tc>
          <w:tcPr>
            <w:tcW w:w="531" w:type="pct"/>
            <w:tcBorders>
              <w:left w:val="nil"/>
              <w:bottom w:val="single" w:sz="4" w:space="0" w:color="auto"/>
              <w:right w:val="single" w:sz="4" w:space="0" w:color="auto"/>
            </w:tcBorders>
            <w:shd w:val="clear" w:color="auto" w:fill="A1F2FD"/>
            <w:vAlign w:val="center"/>
          </w:tcPr>
          <w:p w14:paraId="13576DE9" w14:textId="4855B607" w:rsidR="00617362" w:rsidRPr="00B97192" w:rsidRDefault="00617362" w:rsidP="00B97192">
            <w:pPr>
              <w:jc w:val="center"/>
              <w:rPr>
                <w:rFonts w:cs="Arial"/>
                <w:b/>
                <w:bCs/>
                <w:color w:val="000000"/>
                <w:sz w:val="18"/>
                <w:szCs w:val="18"/>
              </w:rPr>
            </w:pPr>
            <w:r w:rsidRPr="00B97192">
              <w:rPr>
                <w:rFonts w:cs="Arial"/>
                <w:b/>
                <w:bCs/>
                <w:color w:val="000000"/>
                <w:sz w:val="18"/>
                <w:szCs w:val="18"/>
              </w:rPr>
              <w:t>(e) = (a-</w:t>
            </w:r>
            <w:r w:rsidR="008022D1">
              <w:rPr>
                <w:rFonts w:cs="Arial"/>
                <w:b/>
                <w:bCs/>
                <w:color w:val="000000"/>
                <w:sz w:val="18"/>
                <w:szCs w:val="18"/>
              </w:rPr>
              <w:t>c</w:t>
            </w:r>
            <w:r w:rsidRPr="00B97192">
              <w:rPr>
                <w:rFonts w:cs="Arial"/>
                <w:b/>
                <w:bCs/>
                <w:color w:val="000000"/>
                <w:sz w:val="18"/>
                <w:szCs w:val="18"/>
              </w:rPr>
              <w:t>)</w:t>
            </w:r>
          </w:p>
        </w:tc>
        <w:tc>
          <w:tcPr>
            <w:tcW w:w="328" w:type="pct"/>
            <w:tcBorders>
              <w:left w:val="nil"/>
              <w:bottom w:val="single" w:sz="4" w:space="0" w:color="auto"/>
              <w:right w:val="nil"/>
            </w:tcBorders>
            <w:shd w:val="clear" w:color="auto" w:fill="A1F2FD"/>
            <w:vAlign w:val="center"/>
          </w:tcPr>
          <w:p w14:paraId="71D70A69" w14:textId="77777777" w:rsidR="00B97192" w:rsidRDefault="00617362" w:rsidP="00B97192">
            <w:pPr>
              <w:ind w:left="-156" w:right="-77"/>
              <w:jc w:val="center"/>
              <w:rPr>
                <w:rFonts w:cs="Arial"/>
                <w:b/>
                <w:bCs/>
                <w:color w:val="000000"/>
                <w:sz w:val="18"/>
                <w:szCs w:val="18"/>
              </w:rPr>
            </w:pPr>
            <w:r w:rsidRPr="00B97192">
              <w:rPr>
                <w:rFonts w:cs="Arial"/>
                <w:b/>
                <w:bCs/>
                <w:color w:val="000000"/>
                <w:sz w:val="18"/>
                <w:szCs w:val="18"/>
              </w:rPr>
              <w:t xml:space="preserve">(f)= </w:t>
            </w:r>
          </w:p>
          <w:p w14:paraId="1C2039AC" w14:textId="04E8CB97" w:rsidR="00617362" w:rsidRPr="00B97192" w:rsidRDefault="00617362" w:rsidP="00B97192">
            <w:pPr>
              <w:ind w:left="-156" w:right="-77"/>
              <w:jc w:val="center"/>
              <w:rPr>
                <w:rFonts w:cs="Arial"/>
                <w:b/>
                <w:bCs/>
                <w:color w:val="000000"/>
                <w:sz w:val="18"/>
                <w:szCs w:val="18"/>
              </w:rPr>
            </w:pPr>
            <w:r w:rsidRPr="00B97192">
              <w:rPr>
                <w:rFonts w:cs="Arial"/>
                <w:b/>
                <w:bCs/>
                <w:color w:val="000000"/>
                <w:sz w:val="18"/>
                <w:szCs w:val="18"/>
              </w:rPr>
              <w:t>(e/c)</w:t>
            </w:r>
          </w:p>
        </w:tc>
      </w:tr>
      <w:tr w:rsidR="00617362" w:rsidRPr="00617362" w14:paraId="72AB6EBB" w14:textId="77777777" w:rsidTr="00D546D5">
        <w:trPr>
          <w:trHeight w:val="340"/>
        </w:trPr>
        <w:tc>
          <w:tcPr>
            <w:tcW w:w="2268" w:type="pct"/>
            <w:tcBorders>
              <w:top w:val="nil"/>
              <w:left w:val="nil"/>
              <w:bottom w:val="nil"/>
              <w:right w:val="single" w:sz="4" w:space="0" w:color="auto"/>
            </w:tcBorders>
            <w:shd w:val="clear" w:color="auto" w:fill="auto"/>
            <w:noWrap/>
            <w:vAlign w:val="center"/>
            <w:hideMark/>
          </w:tcPr>
          <w:p w14:paraId="724F38EE" w14:textId="77777777" w:rsidR="00617362" w:rsidRPr="00617362" w:rsidRDefault="00617362" w:rsidP="00617362">
            <w:pPr>
              <w:jc w:val="left"/>
              <w:rPr>
                <w:rFonts w:cs="Arial"/>
                <w:color w:val="000000"/>
                <w:sz w:val="18"/>
                <w:szCs w:val="18"/>
              </w:rPr>
            </w:pPr>
            <w:r w:rsidRPr="00617362">
              <w:rPr>
                <w:rFonts w:cs="Arial"/>
                <w:color w:val="000000"/>
                <w:sz w:val="18"/>
                <w:szCs w:val="18"/>
              </w:rPr>
              <w:t xml:space="preserve">Caixa e Equivalentes de Caixa em Moeda Nacional </w:t>
            </w:r>
          </w:p>
        </w:tc>
        <w:tc>
          <w:tcPr>
            <w:tcW w:w="557" w:type="pct"/>
            <w:tcBorders>
              <w:top w:val="nil"/>
              <w:left w:val="nil"/>
              <w:bottom w:val="nil"/>
              <w:right w:val="single" w:sz="4" w:space="0" w:color="auto"/>
            </w:tcBorders>
            <w:shd w:val="clear" w:color="auto" w:fill="auto"/>
            <w:noWrap/>
            <w:vAlign w:val="center"/>
            <w:hideMark/>
          </w:tcPr>
          <w:p w14:paraId="6447E417" w14:textId="77777777" w:rsidR="00617362" w:rsidRPr="00617362" w:rsidRDefault="00617362" w:rsidP="00617362">
            <w:pPr>
              <w:jc w:val="right"/>
              <w:rPr>
                <w:rFonts w:cs="Arial"/>
                <w:color w:val="000000"/>
                <w:sz w:val="18"/>
                <w:szCs w:val="18"/>
              </w:rPr>
            </w:pPr>
            <w:r w:rsidRPr="00617362">
              <w:rPr>
                <w:rFonts w:cs="Arial"/>
                <w:color w:val="000000"/>
                <w:sz w:val="18"/>
                <w:szCs w:val="18"/>
              </w:rPr>
              <w:t>15.006.943</w:t>
            </w:r>
          </w:p>
        </w:tc>
        <w:tc>
          <w:tcPr>
            <w:tcW w:w="390" w:type="pct"/>
            <w:tcBorders>
              <w:top w:val="nil"/>
              <w:left w:val="nil"/>
              <w:bottom w:val="nil"/>
              <w:right w:val="nil"/>
            </w:tcBorders>
            <w:shd w:val="clear" w:color="000000" w:fill="FFFFFF"/>
            <w:noWrap/>
            <w:vAlign w:val="center"/>
            <w:hideMark/>
          </w:tcPr>
          <w:p w14:paraId="35063A45" w14:textId="77777777" w:rsidR="00617362" w:rsidRPr="00617362" w:rsidRDefault="00617362" w:rsidP="00617362">
            <w:pPr>
              <w:jc w:val="center"/>
              <w:rPr>
                <w:rFonts w:cs="Arial"/>
                <w:color w:val="000000"/>
                <w:sz w:val="18"/>
                <w:szCs w:val="18"/>
              </w:rPr>
            </w:pPr>
            <w:r w:rsidRPr="00617362">
              <w:rPr>
                <w:rFonts w:cs="Arial"/>
                <w:color w:val="000000"/>
                <w:sz w:val="18"/>
                <w:szCs w:val="18"/>
              </w:rPr>
              <w:t>96,98</w:t>
            </w:r>
          </w:p>
        </w:tc>
        <w:tc>
          <w:tcPr>
            <w:tcW w:w="557" w:type="pct"/>
            <w:tcBorders>
              <w:top w:val="nil"/>
              <w:left w:val="single" w:sz="4" w:space="0" w:color="auto"/>
              <w:bottom w:val="nil"/>
              <w:right w:val="single" w:sz="4" w:space="0" w:color="auto"/>
            </w:tcBorders>
            <w:shd w:val="clear" w:color="auto" w:fill="auto"/>
            <w:noWrap/>
            <w:vAlign w:val="center"/>
            <w:hideMark/>
          </w:tcPr>
          <w:p w14:paraId="4AF642D5" w14:textId="77777777" w:rsidR="00617362" w:rsidRPr="00617362" w:rsidRDefault="00617362" w:rsidP="00617362">
            <w:pPr>
              <w:jc w:val="right"/>
              <w:rPr>
                <w:rFonts w:cs="Arial"/>
                <w:color w:val="000000"/>
                <w:sz w:val="18"/>
                <w:szCs w:val="18"/>
              </w:rPr>
            </w:pPr>
            <w:r w:rsidRPr="00617362">
              <w:rPr>
                <w:rFonts w:cs="Arial"/>
                <w:color w:val="000000"/>
                <w:sz w:val="18"/>
                <w:szCs w:val="18"/>
              </w:rPr>
              <w:t>12.930.622</w:t>
            </w:r>
          </w:p>
        </w:tc>
        <w:tc>
          <w:tcPr>
            <w:tcW w:w="369" w:type="pct"/>
            <w:tcBorders>
              <w:top w:val="nil"/>
              <w:left w:val="nil"/>
              <w:bottom w:val="nil"/>
              <w:right w:val="nil"/>
            </w:tcBorders>
            <w:shd w:val="clear" w:color="auto" w:fill="auto"/>
            <w:noWrap/>
            <w:vAlign w:val="center"/>
            <w:hideMark/>
          </w:tcPr>
          <w:p w14:paraId="646EB015" w14:textId="77777777" w:rsidR="00617362" w:rsidRPr="00617362" w:rsidRDefault="00617362" w:rsidP="00617362">
            <w:pPr>
              <w:jc w:val="center"/>
              <w:rPr>
                <w:rFonts w:cs="Arial"/>
                <w:color w:val="000000"/>
                <w:sz w:val="18"/>
                <w:szCs w:val="18"/>
              </w:rPr>
            </w:pPr>
            <w:r w:rsidRPr="00617362">
              <w:rPr>
                <w:rFonts w:cs="Arial"/>
                <w:color w:val="000000"/>
                <w:sz w:val="18"/>
                <w:szCs w:val="18"/>
              </w:rPr>
              <w:t>97,86</w:t>
            </w:r>
          </w:p>
        </w:tc>
        <w:tc>
          <w:tcPr>
            <w:tcW w:w="531" w:type="pct"/>
            <w:tcBorders>
              <w:top w:val="nil"/>
              <w:left w:val="single" w:sz="4" w:space="0" w:color="auto"/>
              <w:bottom w:val="nil"/>
              <w:right w:val="single" w:sz="4" w:space="0" w:color="auto"/>
            </w:tcBorders>
            <w:shd w:val="clear" w:color="auto" w:fill="auto"/>
            <w:noWrap/>
            <w:vAlign w:val="center"/>
            <w:hideMark/>
          </w:tcPr>
          <w:p w14:paraId="0565F325" w14:textId="77777777" w:rsidR="00617362" w:rsidRPr="00617362" w:rsidRDefault="00617362" w:rsidP="00617362">
            <w:pPr>
              <w:jc w:val="right"/>
              <w:rPr>
                <w:rFonts w:cs="Arial"/>
                <w:color w:val="000000"/>
                <w:sz w:val="18"/>
                <w:szCs w:val="18"/>
              </w:rPr>
            </w:pPr>
            <w:r w:rsidRPr="00617362">
              <w:rPr>
                <w:rFonts w:cs="Arial"/>
                <w:color w:val="000000"/>
                <w:sz w:val="18"/>
                <w:szCs w:val="18"/>
              </w:rPr>
              <w:t>2.076.322</w:t>
            </w:r>
          </w:p>
        </w:tc>
        <w:tc>
          <w:tcPr>
            <w:tcW w:w="328" w:type="pct"/>
            <w:tcBorders>
              <w:top w:val="nil"/>
              <w:left w:val="nil"/>
              <w:bottom w:val="nil"/>
              <w:right w:val="nil"/>
            </w:tcBorders>
            <w:shd w:val="clear" w:color="auto" w:fill="auto"/>
            <w:noWrap/>
            <w:vAlign w:val="center"/>
            <w:hideMark/>
          </w:tcPr>
          <w:p w14:paraId="332D79EE" w14:textId="77777777" w:rsidR="00617362" w:rsidRPr="00617362" w:rsidRDefault="00617362" w:rsidP="00617362">
            <w:pPr>
              <w:jc w:val="center"/>
              <w:rPr>
                <w:rFonts w:cs="Arial"/>
                <w:color w:val="000000"/>
                <w:sz w:val="18"/>
                <w:szCs w:val="18"/>
              </w:rPr>
            </w:pPr>
            <w:r w:rsidRPr="00617362">
              <w:rPr>
                <w:rFonts w:cs="Arial"/>
                <w:color w:val="000000"/>
                <w:sz w:val="18"/>
                <w:szCs w:val="18"/>
              </w:rPr>
              <w:t>16,06</w:t>
            </w:r>
          </w:p>
        </w:tc>
      </w:tr>
      <w:tr w:rsidR="00617362" w:rsidRPr="00617362" w14:paraId="48EA3483" w14:textId="77777777" w:rsidTr="00D546D5">
        <w:trPr>
          <w:trHeight w:val="340"/>
        </w:trPr>
        <w:tc>
          <w:tcPr>
            <w:tcW w:w="2268" w:type="pct"/>
            <w:tcBorders>
              <w:top w:val="nil"/>
              <w:left w:val="nil"/>
              <w:bottom w:val="nil"/>
              <w:right w:val="single" w:sz="4" w:space="0" w:color="auto"/>
            </w:tcBorders>
            <w:shd w:val="clear" w:color="auto" w:fill="auto"/>
            <w:noWrap/>
            <w:vAlign w:val="center"/>
            <w:hideMark/>
          </w:tcPr>
          <w:p w14:paraId="35C402E1" w14:textId="77777777" w:rsidR="00617362" w:rsidRPr="00617362" w:rsidRDefault="00617362" w:rsidP="00617362">
            <w:pPr>
              <w:jc w:val="left"/>
              <w:rPr>
                <w:rFonts w:cs="Arial"/>
                <w:color w:val="000000"/>
                <w:sz w:val="18"/>
                <w:szCs w:val="18"/>
              </w:rPr>
            </w:pPr>
            <w:r w:rsidRPr="00617362">
              <w:rPr>
                <w:rFonts w:cs="Arial"/>
                <w:color w:val="000000"/>
                <w:sz w:val="18"/>
                <w:szCs w:val="18"/>
              </w:rPr>
              <w:t xml:space="preserve">Depósitos Restituíveis e Valores Vinculados </w:t>
            </w:r>
          </w:p>
        </w:tc>
        <w:tc>
          <w:tcPr>
            <w:tcW w:w="557" w:type="pct"/>
            <w:tcBorders>
              <w:top w:val="nil"/>
              <w:left w:val="nil"/>
              <w:bottom w:val="nil"/>
              <w:right w:val="single" w:sz="4" w:space="0" w:color="auto"/>
            </w:tcBorders>
            <w:shd w:val="clear" w:color="auto" w:fill="auto"/>
            <w:noWrap/>
            <w:vAlign w:val="center"/>
            <w:hideMark/>
          </w:tcPr>
          <w:p w14:paraId="3BAF50D3" w14:textId="77777777" w:rsidR="00617362" w:rsidRPr="00617362" w:rsidRDefault="00617362" w:rsidP="00617362">
            <w:pPr>
              <w:jc w:val="right"/>
              <w:rPr>
                <w:rFonts w:cs="Arial"/>
                <w:color w:val="000000"/>
                <w:sz w:val="18"/>
                <w:szCs w:val="18"/>
              </w:rPr>
            </w:pPr>
            <w:r w:rsidRPr="00617362">
              <w:rPr>
                <w:rFonts w:cs="Arial"/>
                <w:color w:val="000000"/>
                <w:sz w:val="18"/>
                <w:szCs w:val="18"/>
              </w:rPr>
              <w:t>466.534</w:t>
            </w:r>
          </w:p>
        </w:tc>
        <w:tc>
          <w:tcPr>
            <w:tcW w:w="390" w:type="pct"/>
            <w:tcBorders>
              <w:top w:val="nil"/>
              <w:left w:val="nil"/>
              <w:bottom w:val="nil"/>
              <w:right w:val="nil"/>
            </w:tcBorders>
            <w:shd w:val="clear" w:color="000000" w:fill="FFFFFF"/>
            <w:noWrap/>
            <w:vAlign w:val="center"/>
            <w:hideMark/>
          </w:tcPr>
          <w:p w14:paraId="4FBC7562" w14:textId="77777777" w:rsidR="00617362" w:rsidRPr="00617362" w:rsidRDefault="00617362" w:rsidP="00617362">
            <w:pPr>
              <w:jc w:val="center"/>
              <w:rPr>
                <w:rFonts w:cs="Arial"/>
                <w:color w:val="000000"/>
                <w:sz w:val="18"/>
                <w:szCs w:val="18"/>
              </w:rPr>
            </w:pPr>
            <w:r w:rsidRPr="00617362">
              <w:rPr>
                <w:rFonts w:cs="Arial"/>
                <w:color w:val="000000"/>
                <w:sz w:val="18"/>
                <w:szCs w:val="18"/>
              </w:rPr>
              <w:t>3,02</w:t>
            </w:r>
          </w:p>
        </w:tc>
        <w:tc>
          <w:tcPr>
            <w:tcW w:w="557" w:type="pct"/>
            <w:tcBorders>
              <w:top w:val="nil"/>
              <w:left w:val="single" w:sz="4" w:space="0" w:color="auto"/>
              <w:bottom w:val="nil"/>
              <w:right w:val="single" w:sz="4" w:space="0" w:color="auto"/>
            </w:tcBorders>
            <w:shd w:val="clear" w:color="auto" w:fill="auto"/>
            <w:noWrap/>
            <w:vAlign w:val="center"/>
            <w:hideMark/>
          </w:tcPr>
          <w:p w14:paraId="0BF01C6D" w14:textId="77777777" w:rsidR="00617362" w:rsidRPr="00617362" w:rsidRDefault="00617362" w:rsidP="00617362">
            <w:pPr>
              <w:jc w:val="right"/>
              <w:rPr>
                <w:rFonts w:cs="Arial"/>
                <w:color w:val="000000"/>
                <w:sz w:val="18"/>
                <w:szCs w:val="18"/>
              </w:rPr>
            </w:pPr>
            <w:r w:rsidRPr="00617362">
              <w:rPr>
                <w:rFonts w:cs="Arial"/>
                <w:color w:val="000000"/>
                <w:sz w:val="18"/>
                <w:szCs w:val="18"/>
              </w:rPr>
              <w:t>282.408</w:t>
            </w:r>
          </w:p>
        </w:tc>
        <w:tc>
          <w:tcPr>
            <w:tcW w:w="369" w:type="pct"/>
            <w:tcBorders>
              <w:top w:val="nil"/>
              <w:left w:val="nil"/>
              <w:bottom w:val="nil"/>
              <w:right w:val="nil"/>
            </w:tcBorders>
            <w:shd w:val="clear" w:color="auto" w:fill="auto"/>
            <w:noWrap/>
            <w:vAlign w:val="center"/>
            <w:hideMark/>
          </w:tcPr>
          <w:p w14:paraId="157F43B0" w14:textId="77777777" w:rsidR="00617362" w:rsidRPr="00617362" w:rsidRDefault="00617362" w:rsidP="00617362">
            <w:pPr>
              <w:jc w:val="center"/>
              <w:rPr>
                <w:rFonts w:cs="Arial"/>
                <w:color w:val="000000"/>
                <w:sz w:val="18"/>
                <w:szCs w:val="18"/>
              </w:rPr>
            </w:pPr>
            <w:r w:rsidRPr="00617362">
              <w:rPr>
                <w:rFonts w:cs="Arial"/>
                <w:color w:val="000000"/>
                <w:sz w:val="18"/>
                <w:szCs w:val="18"/>
              </w:rPr>
              <w:t>2,14</w:t>
            </w:r>
          </w:p>
        </w:tc>
        <w:tc>
          <w:tcPr>
            <w:tcW w:w="531" w:type="pct"/>
            <w:tcBorders>
              <w:top w:val="nil"/>
              <w:left w:val="single" w:sz="4" w:space="0" w:color="auto"/>
              <w:bottom w:val="nil"/>
              <w:right w:val="single" w:sz="4" w:space="0" w:color="auto"/>
            </w:tcBorders>
            <w:shd w:val="clear" w:color="auto" w:fill="auto"/>
            <w:noWrap/>
            <w:vAlign w:val="center"/>
            <w:hideMark/>
          </w:tcPr>
          <w:p w14:paraId="4E54725B" w14:textId="77777777" w:rsidR="00617362" w:rsidRPr="00617362" w:rsidRDefault="00617362" w:rsidP="00617362">
            <w:pPr>
              <w:jc w:val="right"/>
              <w:rPr>
                <w:rFonts w:cs="Arial"/>
                <w:color w:val="000000"/>
                <w:sz w:val="18"/>
                <w:szCs w:val="18"/>
              </w:rPr>
            </w:pPr>
            <w:r w:rsidRPr="00617362">
              <w:rPr>
                <w:rFonts w:cs="Arial"/>
                <w:color w:val="000000"/>
                <w:sz w:val="18"/>
                <w:szCs w:val="18"/>
              </w:rPr>
              <w:t>184.126</w:t>
            </w:r>
          </w:p>
        </w:tc>
        <w:tc>
          <w:tcPr>
            <w:tcW w:w="328" w:type="pct"/>
            <w:tcBorders>
              <w:top w:val="nil"/>
              <w:left w:val="nil"/>
              <w:bottom w:val="nil"/>
              <w:right w:val="nil"/>
            </w:tcBorders>
            <w:shd w:val="clear" w:color="auto" w:fill="auto"/>
            <w:noWrap/>
            <w:vAlign w:val="center"/>
            <w:hideMark/>
          </w:tcPr>
          <w:p w14:paraId="18B3E879" w14:textId="77777777" w:rsidR="00617362" w:rsidRPr="00617362" w:rsidRDefault="00617362" w:rsidP="00617362">
            <w:pPr>
              <w:jc w:val="center"/>
              <w:rPr>
                <w:rFonts w:cs="Arial"/>
                <w:color w:val="000000"/>
                <w:sz w:val="18"/>
                <w:szCs w:val="18"/>
              </w:rPr>
            </w:pPr>
            <w:r w:rsidRPr="00617362">
              <w:rPr>
                <w:rFonts w:cs="Arial"/>
                <w:color w:val="000000"/>
                <w:sz w:val="18"/>
                <w:szCs w:val="18"/>
              </w:rPr>
              <w:t>65,20</w:t>
            </w:r>
          </w:p>
        </w:tc>
      </w:tr>
      <w:tr w:rsidR="00617362" w:rsidRPr="00617362" w14:paraId="4E7868F7" w14:textId="77777777" w:rsidTr="00D546D5">
        <w:trPr>
          <w:trHeight w:val="340"/>
        </w:trPr>
        <w:tc>
          <w:tcPr>
            <w:tcW w:w="2268" w:type="pct"/>
            <w:tcBorders>
              <w:top w:val="single" w:sz="4" w:space="0" w:color="auto"/>
              <w:left w:val="nil"/>
              <w:bottom w:val="single" w:sz="4" w:space="0" w:color="auto"/>
              <w:right w:val="single" w:sz="4" w:space="0" w:color="auto"/>
            </w:tcBorders>
            <w:shd w:val="clear" w:color="auto" w:fill="auto"/>
            <w:vAlign w:val="center"/>
            <w:hideMark/>
          </w:tcPr>
          <w:p w14:paraId="5BED552A" w14:textId="77777777" w:rsidR="00617362" w:rsidRPr="00617362" w:rsidRDefault="00617362" w:rsidP="00617362">
            <w:pPr>
              <w:jc w:val="center"/>
              <w:rPr>
                <w:rFonts w:cs="Arial"/>
                <w:b/>
                <w:bCs/>
                <w:color w:val="000000"/>
                <w:sz w:val="18"/>
                <w:szCs w:val="18"/>
              </w:rPr>
            </w:pPr>
            <w:r w:rsidRPr="00617362">
              <w:rPr>
                <w:rFonts w:cs="Arial"/>
                <w:b/>
                <w:bCs/>
                <w:color w:val="000000"/>
                <w:sz w:val="18"/>
                <w:szCs w:val="18"/>
              </w:rPr>
              <w:t>Total</w:t>
            </w:r>
          </w:p>
        </w:tc>
        <w:tc>
          <w:tcPr>
            <w:tcW w:w="557" w:type="pct"/>
            <w:tcBorders>
              <w:top w:val="single" w:sz="4" w:space="0" w:color="auto"/>
              <w:left w:val="nil"/>
              <w:bottom w:val="single" w:sz="4" w:space="0" w:color="auto"/>
              <w:right w:val="single" w:sz="4" w:space="0" w:color="auto"/>
            </w:tcBorders>
            <w:shd w:val="clear" w:color="auto" w:fill="auto"/>
            <w:noWrap/>
            <w:vAlign w:val="center"/>
            <w:hideMark/>
          </w:tcPr>
          <w:p w14:paraId="3AE9025A" w14:textId="77777777" w:rsidR="00617362" w:rsidRPr="00617362" w:rsidRDefault="00617362" w:rsidP="00617362">
            <w:pPr>
              <w:jc w:val="right"/>
              <w:rPr>
                <w:rFonts w:cs="Arial"/>
                <w:b/>
                <w:bCs/>
                <w:color w:val="000000"/>
                <w:sz w:val="18"/>
                <w:szCs w:val="18"/>
              </w:rPr>
            </w:pPr>
            <w:r w:rsidRPr="00617362">
              <w:rPr>
                <w:rFonts w:cs="Arial"/>
                <w:b/>
                <w:bCs/>
                <w:color w:val="000000"/>
                <w:sz w:val="18"/>
                <w:szCs w:val="18"/>
              </w:rPr>
              <w:t>15.473.477</w:t>
            </w:r>
          </w:p>
        </w:tc>
        <w:tc>
          <w:tcPr>
            <w:tcW w:w="390" w:type="pct"/>
            <w:tcBorders>
              <w:top w:val="single" w:sz="4" w:space="0" w:color="auto"/>
              <w:left w:val="nil"/>
              <w:bottom w:val="single" w:sz="4" w:space="0" w:color="auto"/>
              <w:right w:val="single" w:sz="4" w:space="0" w:color="auto"/>
            </w:tcBorders>
            <w:shd w:val="clear" w:color="000000" w:fill="FFFFFF"/>
            <w:noWrap/>
            <w:vAlign w:val="center"/>
            <w:hideMark/>
          </w:tcPr>
          <w:p w14:paraId="180C0539" w14:textId="77777777" w:rsidR="00617362" w:rsidRPr="00617362" w:rsidRDefault="00617362" w:rsidP="00617362">
            <w:pPr>
              <w:jc w:val="center"/>
              <w:rPr>
                <w:rFonts w:cs="Arial"/>
                <w:b/>
                <w:bCs/>
                <w:color w:val="000000"/>
                <w:sz w:val="18"/>
                <w:szCs w:val="18"/>
              </w:rPr>
            </w:pPr>
            <w:r w:rsidRPr="00617362">
              <w:rPr>
                <w:rFonts w:cs="Arial"/>
                <w:b/>
                <w:bCs/>
                <w:color w:val="000000"/>
                <w:sz w:val="18"/>
                <w:szCs w:val="18"/>
              </w:rPr>
              <w:t>100,00</w:t>
            </w:r>
          </w:p>
        </w:tc>
        <w:tc>
          <w:tcPr>
            <w:tcW w:w="557" w:type="pct"/>
            <w:tcBorders>
              <w:top w:val="single" w:sz="4" w:space="0" w:color="auto"/>
              <w:left w:val="nil"/>
              <w:bottom w:val="single" w:sz="4" w:space="0" w:color="auto"/>
              <w:right w:val="single" w:sz="4" w:space="0" w:color="auto"/>
            </w:tcBorders>
            <w:shd w:val="clear" w:color="auto" w:fill="auto"/>
            <w:noWrap/>
            <w:vAlign w:val="center"/>
            <w:hideMark/>
          </w:tcPr>
          <w:p w14:paraId="20311CF9" w14:textId="77777777" w:rsidR="00617362" w:rsidRPr="00617362" w:rsidRDefault="00617362" w:rsidP="00617362">
            <w:pPr>
              <w:jc w:val="right"/>
              <w:rPr>
                <w:rFonts w:cs="Arial"/>
                <w:b/>
                <w:bCs/>
                <w:color w:val="000000"/>
                <w:sz w:val="18"/>
                <w:szCs w:val="18"/>
              </w:rPr>
            </w:pPr>
            <w:r w:rsidRPr="00617362">
              <w:rPr>
                <w:rFonts w:cs="Arial"/>
                <w:b/>
                <w:bCs/>
                <w:color w:val="000000"/>
                <w:sz w:val="18"/>
                <w:szCs w:val="18"/>
              </w:rPr>
              <w:t>13.213.029</w:t>
            </w:r>
          </w:p>
        </w:tc>
        <w:tc>
          <w:tcPr>
            <w:tcW w:w="369" w:type="pct"/>
            <w:tcBorders>
              <w:top w:val="single" w:sz="4" w:space="0" w:color="auto"/>
              <w:left w:val="nil"/>
              <w:bottom w:val="single" w:sz="4" w:space="0" w:color="auto"/>
              <w:right w:val="single" w:sz="4" w:space="0" w:color="auto"/>
            </w:tcBorders>
            <w:shd w:val="clear" w:color="auto" w:fill="auto"/>
            <w:noWrap/>
            <w:vAlign w:val="center"/>
            <w:hideMark/>
          </w:tcPr>
          <w:p w14:paraId="173137F4" w14:textId="77777777" w:rsidR="00617362" w:rsidRPr="00617362" w:rsidRDefault="00617362" w:rsidP="00617362">
            <w:pPr>
              <w:jc w:val="center"/>
              <w:rPr>
                <w:rFonts w:cs="Arial"/>
                <w:b/>
                <w:bCs/>
                <w:color w:val="000000"/>
                <w:sz w:val="18"/>
                <w:szCs w:val="18"/>
              </w:rPr>
            </w:pPr>
            <w:r w:rsidRPr="00617362">
              <w:rPr>
                <w:rFonts w:cs="Arial"/>
                <w:b/>
                <w:bCs/>
                <w:color w:val="000000"/>
                <w:sz w:val="18"/>
                <w:szCs w:val="18"/>
              </w:rPr>
              <w:t>100,00</w:t>
            </w:r>
          </w:p>
        </w:tc>
        <w:tc>
          <w:tcPr>
            <w:tcW w:w="531" w:type="pct"/>
            <w:tcBorders>
              <w:top w:val="single" w:sz="4" w:space="0" w:color="auto"/>
              <w:left w:val="nil"/>
              <w:bottom w:val="single" w:sz="4" w:space="0" w:color="auto"/>
              <w:right w:val="single" w:sz="4" w:space="0" w:color="auto"/>
            </w:tcBorders>
            <w:shd w:val="clear" w:color="auto" w:fill="auto"/>
            <w:noWrap/>
            <w:vAlign w:val="center"/>
            <w:hideMark/>
          </w:tcPr>
          <w:p w14:paraId="563C47A8" w14:textId="77777777" w:rsidR="00617362" w:rsidRPr="00617362" w:rsidRDefault="00617362" w:rsidP="00617362">
            <w:pPr>
              <w:jc w:val="right"/>
              <w:rPr>
                <w:rFonts w:cs="Arial"/>
                <w:b/>
                <w:bCs/>
                <w:color w:val="000000"/>
                <w:sz w:val="18"/>
                <w:szCs w:val="18"/>
              </w:rPr>
            </w:pPr>
            <w:r w:rsidRPr="00617362">
              <w:rPr>
                <w:rFonts w:cs="Arial"/>
                <w:b/>
                <w:bCs/>
                <w:color w:val="000000"/>
                <w:sz w:val="18"/>
                <w:szCs w:val="18"/>
              </w:rPr>
              <w:t>2.260.448</w:t>
            </w:r>
          </w:p>
        </w:tc>
        <w:tc>
          <w:tcPr>
            <w:tcW w:w="328" w:type="pct"/>
            <w:tcBorders>
              <w:top w:val="single" w:sz="4" w:space="0" w:color="auto"/>
              <w:left w:val="nil"/>
              <w:bottom w:val="single" w:sz="4" w:space="0" w:color="auto"/>
              <w:right w:val="nil"/>
            </w:tcBorders>
            <w:shd w:val="clear" w:color="auto" w:fill="auto"/>
            <w:noWrap/>
            <w:vAlign w:val="center"/>
            <w:hideMark/>
          </w:tcPr>
          <w:p w14:paraId="6195E4D3" w14:textId="77777777" w:rsidR="00617362" w:rsidRPr="00617362" w:rsidRDefault="00617362" w:rsidP="00617362">
            <w:pPr>
              <w:jc w:val="center"/>
              <w:rPr>
                <w:rFonts w:cs="Arial"/>
                <w:b/>
                <w:bCs/>
                <w:color w:val="000000"/>
                <w:sz w:val="18"/>
                <w:szCs w:val="18"/>
              </w:rPr>
            </w:pPr>
            <w:r w:rsidRPr="00617362">
              <w:rPr>
                <w:rFonts w:cs="Arial"/>
                <w:b/>
                <w:bCs/>
                <w:color w:val="000000"/>
                <w:sz w:val="18"/>
                <w:szCs w:val="18"/>
              </w:rPr>
              <w:t>17,11</w:t>
            </w:r>
          </w:p>
        </w:tc>
      </w:tr>
    </w:tbl>
    <w:p w14:paraId="7C5F9E4C" w14:textId="77777777" w:rsidR="00617362" w:rsidRDefault="00617362" w:rsidP="00617362">
      <w:pPr>
        <w:pStyle w:val="FORA"/>
      </w:pPr>
      <w:r w:rsidRPr="00F8278A">
        <w:t>Fonte: Balanço Patrimonial - Anexo 14 (BGE 2023)</w:t>
      </w:r>
    </w:p>
    <w:p w14:paraId="7B48D041" w14:textId="77777777" w:rsidR="00617362" w:rsidRDefault="00617362" w:rsidP="00D546D5">
      <w:pPr>
        <w:pStyle w:val="1-REL11"/>
        <w:spacing w:line="300" w:lineRule="auto"/>
      </w:pPr>
      <w:bookmarkStart w:id="367" w:name="_Hlk167279425"/>
      <w:r>
        <w:t xml:space="preserve">O grupo de contas Caixa e Equivalentes de Caixa em Moeda Nacional, que representa 96,98% de todo o saldo do subgrupo, evidenciou um incremento de 16,06% em 2023, se comparado ao ano anterior, totalizando R$ 15,06 bilhões. As contas de maior destaque dentro desse grupo foram a </w:t>
      </w:r>
      <w:bookmarkStart w:id="368" w:name="_Hlk167350172"/>
      <w:r>
        <w:t>Conta Única do Tesouro – CUTE</w:t>
      </w:r>
      <w:bookmarkEnd w:id="368"/>
      <w:r>
        <w:t xml:space="preserve">, que apresentou aumento de 32,06% no período e saldo total de R$ 11,29 bilhões, </w:t>
      </w:r>
      <w:bookmarkStart w:id="369" w:name="_Hlk167350194"/>
      <w:r>
        <w:t xml:space="preserve">e Aplicações Financeiras de Liquidez Imediata – Uso Geral </w:t>
      </w:r>
      <w:bookmarkEnd w:id="369"/>
      <w:r>
        <w:t xml:space="preserve">que reduziu 19,58% em relação a 2022, acumulando um montante de R$ 3,49 bilhões em 2023 </w:t>
      </w:r>
      <w:bookmarkStart w:id="370" w:name="_Hlk167350377"/>
      <w:r w:rsidRPr="00B65ABB">
        <w:t>(assunto abordado de forma detalhada no Capítulo 4 – Gestão Fiscal).</w:t>
      </w:r>
      <w:bookmarkEnd w:id="370"/>
    </w:p>
    <w:p w14:paraId="336A3730" w14:textId="11C13D05" w:rsidR="00617362" w:rsidRDefault="00617362" w:rsidP="00D546D5">
      <w:pPr>
        <w:pStyle w:val="1-REL11"/>
        <w:spacing w:line="300" w:lineRule="auto"/>
      </w:pPr>
      <w:bookmarkStart w:id="371" w:name="_Hlk167350705"/>
      <w:r>
        <w:t>Relativo aos Depósitos Restituíveis e Valores Vinculados, notou-se uma importante evolução nos saldos quando comparado com 2022, na ordem de 6</w:t>
      </w:r>
      <w:r w:rsidR="00BB3426">
        <w:t>5</w:t>
      </w:r>
      <w:r>
        <w:t>,20%, totalizando R$ 466,53 milhões no exercício. Esse aumento adveio, principalmente, da conta Garantias – Caução em Títulos</w:t>
      </w:r>
      <w:bookmarkEnd w:id="367"/>
      <w:r>
        <w:t>.</w:t>
      </w:r>
      <w:bookmarkEnd w:id="371"/>
    </w:p>
    <w:p w14:paraId="0CD403BB" w14:textId="77777777" w:rsidR="00617362" w:rsidRDefault="00617362" w:rsidP="00D546D5">
      <w:pPr>
        <w:pStyle w:val="1-REL11"/>
        <w:spacing w:line="300" w:lineRule="auto"/>
      </w:pPr>
      <w:r>
        <w:t>A conta r</w:t>
      </w:r>
      <w:r w:rsidRPr="00F65086">
        <w:t>egistra o valor em Caixa e Equivalentes de Caixa referente à garantia do cumprimento de uma obrigação, que se efetiva com o oferecimento de bens ou recursos financeiros ou</w:t>
      </w:r>
      <w:r>
        <w:t>,</w:t>
      </w:r>
      <w:r w:rsidRPr="00F65086">
        <w:t xml:space="preserve"> ainda</w:t>
      </w:r>
      <w:r>
        <w:t>,</w:t>
      </w:r>
      <w:r w:rsidRPr="00F65086">
        <w:t xml:space="preserve"> retenções de um percentual do valor do contrato como garantia de cumprimento do mesmo</w:t>
      </w:r>
      <w:r w:rsidRPr="00D573EF">
        <w:t>.</w:t>
      </w:r>
      <w:r>
        <w:t xml:space="preserve"> Ao analisar os lançamentos contábeis no subsistema patrimonial que contém a conta contábil </w:t>
      </w:r>
      <w:r w:rsidRPr="00822C3B">
        <w:t>1.1.1.3.1.02.02.00.00 - Caução em Títulos</w:t>
      </w:r>
      <w:r>
        <w:t>,</w:t>
      </w:r>
      <w:r w:rsidRPr="00822C3B">
        <w:t xml:space="preserve"> observou-se que o registro é realizado em contrapartida a conta</w:t>
      </w:r>
      <w:r>
        <w:t xml:space="preserve"> </w:t>
      </w:r>
      <w:r w:rsidRPr="00BF40D9">
        <w:t>2</w:t>
      </w:r>
      <w:r>
        <w:t>.</w:t>
      </w:r>
      <w:r w:rsidRPr="00BF40D9">
        <w:t>1</w:t>
      </w:r>
      <w:r>
        <w:t>.</w:t>
      </w:r>
      <w:r w:rsidRPr="00BF40D9">
        <w:t>8</w:t>
      </w:r>
      <w:r>
        <w:t>.</w:t>
      </w:r>
      <w:r w:rsidRPr="00BF40D9">
        <w:t>8</w:t>
      </w:r>
      <w:r>
        <w:t>.</w:t>
      </w:r>
      <w:r w:rsidRPr="00BF40D9">
        <w:t>1</w:t>
      </w:r>
      <w:r>
        <w:t>.</w:t>
      </w:r>
      <w:r w:rsidRPr="00BF40D9">
        <w:t>04</w:t>
      </w:r>
      <w:r>
        <w:t>.</w:t>
      </w:r>
      <w:r w:rsidRPr="00BF40D9">
        <w:t>01</w:t>
      </w:r>
      <w:r>
        <w:t>.</w:t>
      </w:r>
      <w:r w:rsidRPr="00BF40D9">
        <w:t>04</w:t>
      </w:r>
      <w:r>
        <w:t xml:space="preserve"> - Depósitos e Cauções em Títulos. Notou-se também a realização dos lançamentos no subsistema de controle que caracterizam uma entrada compensatória de recursos extraorçamentários do tipo caução (contas </w:t>
      </w:r>
      <w:r w:rsidRPr="00897950">
        <w:t>7.2.1.1.3.00.00.00.00</w:t>
      </w:r>
      <w:r>
        <w:t xml:space="preserve"> - Recursos Extraorçamentários; </w:t>
      </w:r>
      <w:r w:rsidRPr="00897950">
        <w:t>7.1.1.1.1.01.05.00.00</w:t>
      </w:r>
      <w:r>
        <w:t xml:space="preserve"> – C</w:t>
      </w:r>
      <w:r w:rsidRPr="00897950">
        <w:t>aução</w:t>
      </w:r>
      <w:r>
        <w:t xml:space="preserve"> e </w:t>
      </w:r>
      <w:r w:rsidRPr="00897950">
        <w:t>7.2.1.9.1.03.00.00.00</w:t>
      </w:r>
      <w:r>
        <w:t xml:space="preserve"> - </w:t>
      </w:r>
      <w:r w:rsidRPr="00897950">
        <w:t xml:space="preserve">Disponibilidade Comprometida </w:t>
      </w:r>
      <w:r>
        <w:t>p</w:t>
      </w:r>
      <w:r w:rsidRPr="00897950">
        <w:t>or Entrada Compensatória</w:t>
      </w:r>
      <w:r>
        <w:t>).</w:t>
      </w:r>
    </w:p>
    <w:p w14:paraId="3C9FE7DD" w14:textId="77777777" w:rsidR="00617362" w:rsidRDefault="00617362" w:rsidP="00D546D5">
      <w:pPr>
        <w:pStyle w:val="1-REL11"/>
        <w:spacing w:line="300" w:lineRule="auto"/>
      </w:pPr>
      <w:bookmarkStart w:id="372" w:name="_Hlk167279642"/>
      <w:r>
        <w:t>No entanto, apurou-se que os lançamentos se referem a registros de apólices de seguro-garantia e não de caução financeira</w:t>
      </w:r>
      <w:bookmarkEnd w:id="372"/>
      <w:r>
        <w:t xml:space="preserve">, a exemplo do processo SEI nº 202300036000413, documento 54740167, pertencente a Goinfra, </w:t>
      </w:r>
      <w:bookmarkStart w:id="373" w:name="_Hlk167351434"/>
      <w:r>
        <w:t>e, portanto, devem ser tratados de forma distinta do que foi constatado no exercício de referência.</w:t>
      </w:r>
    </w:p>
    <w:bookmarkEnd w:id="373"/>
    <w:p w14:paraId="5D8ED556" w14:textId="77777777" w:rsidR="00617362" w:rsidRDefault="00617362" w:rsidP="00CF71A5">
      <w:pPr>
        <w:pStyle w:val="1-REL11"/>
        <w:spacing w:line="324" w:lineRule="auto"/>
      </w:pPr>
      <w:r>
        <w:lastRenderedPageBreak/>
        <w:t>Segundo preceitua a Circular SUSEP nº 662, de 11 de abril de 2022, o</w:t>
      </w:r>
      <w:r>
        <w:rPr>
          <w:sz w:val="23"/>
          <w:szCs w:val="23"/>
        </w:rPr>
        <w:t xml:space="preserve"> seguro-garantia expedido por sociedade seguradora autorizada tem por objetivo garantir o fiel cumprimento de obrigações assumidas pelo tomador do seguro (caucionário) perante o segurado (beneficiário) no objeto principal</w:t>
      </w:r>
      <w:r w:rsidRPr="00E63176">
        <w:t xml:space="preserve"> </w:t>
      </w:r>
      <w:r w:rsidRPr="00E63176">
        <w:rPr>
          <w:sz w:val="23"/>
          <w:szCs w:val="23"/>
        </w:rPr>
        <w:t xml:space="preserve">e garantida pela apólice de </w:t>
      </w:r>
      <w:r>
        <w:rPr>
          <w:sz w:val="23"/>
          <w:szCs w:val="23"/>
        </w:rPr>
        <w:t>s</w:t>
      </w:r>
      <w:r w:rsidRPr="00E63176">
        <w:rPr>
          <w:sz w:val="23"/>
          <w:szCs w:val="23"/>
        </w:rPr>
        <w:t>eguro</w:t>
      </w:r>
      <w:r>
        <w:rPr>
          <w:sz w:val="23"/>
          <w:szCs w:val="23"/>
        </w:rPr>
        <w:t>-g</w:t>
      </w:r>
      <w:r w:rsidRPr="00E63176">
        <w:rPr>
          <w:sz w:val="23"/>
          <w:szCs w:val="23"/>
        </w:rPr>
        <w:t>arantia</w:t>
      </w:r>
      <w:r>
        <w:rPr>
          <w:sz w:val="23"/>
          <w:szCs w:val="23"/>
        </w:rPr>
        <w:t>.</w:t>
      </w:r>
    </w:p>
    <w:p w14:paraId="4B9B2C18" w14:textId="77777777" w:rsidR="00617362" w:rsidRDefault="00617362" w:rsidP="00CF71A5">
      <w:pPr>
        <w:pStyle w:val="1-REL11"/>
        <w:spacing w:line="324" w:lineRule="auto"/>
      </w:pPr>
      <w:bookmarkStart w:id="374" w:name="_Hlk167351503"/>
      <w:r>
        <w:t>Embora o MCASP não trate especificamente do seguro-garantia, este é um contrato vinculado ao objeto principal que o protege contra risco de inadimplemento das obrigações garantidas. Todavia, este pode ou não se realizar e não está sujeito a controle por parte da administração. Portanto, não atende aos conceitos de ativo, passivo, tampouco aos respectivos critérios de reconhecimento estabelecidos no MCASP 9ª edição.</w:t>
      </w:r>
    </w:p>
    <w:bookmarkEnd w:id="374"/>
    <w:p w14:paraId="1AF7651F" w14:textId="77777777" w:rsidR="00617362" w:rsidRDefault="00617362" w:rsidP="00CF71A5">
      <w:pPr>
        <w:pStyle w:val="1-REL11"/>
        <w:spacing w:line="324" w:lineRule="auto"/>
      </w:pPr>
      <w:r>
        <w:t>Sendo assim, a apólice ou o bilhete de seguro-garantia não deve ser reconhecido em contas patrimoniais, mas somente no subsistema de contas de controle como atos potenciais.</w:t>
      </w:r>
      <w:r w:rsidDel="009F46C8">
        <w:t xml:space="preserve"> </w:t>
      </w:r>
      <w:r>
        <w:t>Destaca-se que os lançamentos no subsistema patrimonial ocorrerão apenas quando da inexecução contratual, seja total ou parcial pelo caucionário (contratado), e do consequente acionamento do seguro e direito de recebimento dos recursos.</w:t>
      </w:r>
    </w:p>
    <w:p w14:paraId="1FEF05EB" w14:textId="77777777" w:rsidR="00617362" w:rsidRDefault="00617362" w:rsidP="00CF71A5">
      <w:pPr>
        <w:pStyle w:val="1-REL11"/>
        <w:spacing w:line="324" w:lineRule="auto"/>
      </w:pPr>
      <w:bookmarkStart w:id="375" w:name="_Hlk167351643"/>
      <w:r>
        <w:rPr>
          <w:rFonts w:eastAsia="Times New Roman"/>
          <w:iCs/>
        </w:rPr>
        <w:t>Dessa forma, tanto o valor do Ativo quando do Passivo estão superavaliados</w:t>
      </w:r>
      <w:bookmarkEnd w:id="375"/>
      <w:r>
        <w:rPr>
          <w:rFonts w:eastAsia="Times New Roman"/>
          <w:iCs/>
        </w:rPr>
        <w:t xml:space="preserve">. </w:t>
      </w:r>
      <w:bookmarkStart w:id="376" w:name="_Hlk167351718"/>
      <w:r>
        <w:t>Sendo assim, em conformidade com as análises realizadas ficou evidenciada a seguinte irregularidade</w:t>
      </w:r>
      <w:bookmarkEnd w:id="376"/>
      <w:r>
        <w:t>:</w:t>
      </w:r>
    </w:p>
    <w:p w14:paraId="2FC2CFEE" w14:textId="2AD83D7D" w:rsidR="00617362" w:rsidRDefault="00617362" w:rsidP="00E460D5">
      <w:pPr>
        <w:pStyle w:val="0-ACH-TIT"/>
      </w:pPr>
      <w:r>
        <w:t xml:space="preserve">&gt;&gt; </w:t>
      </w:r>
      <w:r w:rsidR="00F5570C" w:rsidRPr="00F5570C">
        <w:t>Reconhecimento indevido de Seguros-Garantia como Ativo no Subsistema Patrimonial</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617362" w14:paraId="700719F3" w14:textId="77777777" w:rsidTr="00617362">
        <w:trPr>
          <w:trHeight w:val="629"/>
          <w:jc w:val="center"/>
        </w:trPr>
        <w:tc>
          <w:tcPr>
            <w:tcW w:w="6237" w:type="dxa"/>
            <w:tcBorders>
              <w:top w:val="single" w:sz="4" w:space="0" w:color="auto"/>
              <w:left w:val="nil"/>
              <w:bottom w:val="single" w:sz="4" w:space="0" w:color="auto"/>
              <w:right w:val="nil"/>
            </w:tcBorders>
            <w:vAlign w:val="center"/>
            <w:hideMark/>
          </w:tcPr>
          <w:p w14:paraId="5FAFA2D8" w14:textId="1A7B1B04" w:rsidR="00617362" w:rsidRPr="008A3D7B" w:rsidRDefault="00F5570C" w:rsidP="00D546D5">
            <w:pPr>
              <w:pStyle w:val="0-ACH-TXT"/>
            </w:pPr>
            <w:r w:rsidRPr="00F5570C">
              <w:t>Registro contábil indevido de seguros-garantia no subsistema patrimonial, tornando Ativo e Passivo superavaliados.</w:t>
            </w:r>
          </w:p>
        </w:tc>
      </w:tr>
    </w:tbl>
    <w:p w14:paraId="5741A925" w14:textId="77777777" w:rsidR="006E6638" w:rsidRDefault="006E6638" w:rsidP="00617362">
      <w:pPr>
        <w:pStyle w:val="1-REL11"/>
      </w:pPr>
    </w:p>
    <w:p w14:paraId="5B7B652E" w14:textId="12E22C99" w:rsidR="00617362" w:rsidRDefault="00803F7E" w:rsidP="00617362">
      <w:pPr>
        <w:pStyle w:val="1-REL11"/>
      </w:pPr>
      <w:r>
        <w:t>Portanto</w:t>
      </w:r>
      <w:r w:rsidR="00617362">
        <w:t xml:space="preserve">, </w:t>
      </w:r>
      <w:r>
        <w:t xml:space="preserve">sugere-se </w:t>
      </w:r>
      <w:r w:rsidRPr="00803F7E">
        <w:t>ao Tribunal de Contas do Estado de Goiás que determine ao Governo do estado de Goiás, por meio da Secretaria de Estado da Economia, que providencie, até o final do exercício financeiro de 2024, a normatização acerca da classificação e reclassificação dos valores referentes ao registro de seguros-garantia.</w:t>
      </w:r>
    </w:p>
    <w:p w14:paraId="27EFF73A" w14:textId="77777777" w:rsidR="000A561C" w:rsidRDefault="000A561C" w:rsidP="00617362">
      <w:pPr>
        <w:pStyle w:val="1-REL11"/>
      </w:pPr>
    </w:p>
    <w:p w14:paraId="27E570C0" w14:textId="77777777" w:rsidR="00617362" w:rsidRPr="00D742ED" w:rsidRDefault="00617362" w:rsidP="00117967">
      <w:pPr>
        <w:pStyle w:val="Ttulo4"/>
      </w:pPr>
      <w:r w:rsidRPr="00D742ED">
        <w:t>Créditos a Curto Prazo</w:t>
      </w:r>
    </w:p>
    <w:p w14:paraId="282343D4" w14:textId="5490FB8A" w:rsidR="00617362" w:rsidRDefault="00617362" w:rsidP="00617362">
      <w:pPr>
        <w:pStyle w:val="1-REL11"/>
      </w:pPr>
      <w:r w:rsidRPr="00706830">
        <w:t xml:space="preserve">Em 2023, esse subgrupo apresentou um crescimento de </w:t>
      </w:r>
      <w:r>
        <w:t xml:space="preserve">R$ </w:t>
      </w:r>
      <w:r w:rsidRPr="00706830">
        <w:t>2,57 bilhões</w:t>
      </w:r>
      <w:r>
        <w:t xml:space="preserve"> (aumento de 16,89% quando comparado a 2022),</w:t>
      </w:r>
      <w:r w:rsidRPr="00706830">
        <w:t xml:space="preserve"> totalizando um montante de </w:t>
      </w:r>
      <w:r>
        <w:t xml:space="preserve">R$ </w:t>
      </w:r>
      <w:r w:rsidRPr="00706830">
        <w:t>17,79 bilhões</w:t>
      </w:r>
      <w:r>
        <w:t>, e está assim composto:</w:t>
      </w:r>
    </w:p>
    <w:p w14:paraId="590EC236" w14:textId="77777777" w:rsidR="00CF71A5" w:rsidRDefault="00CF71A5" w:rsidP="00617362">
      <w:pPr>
        <w:pStyle w:val="1-REL11"/>
      </w:pPr>
    </w:p>
    <w:p w14:paraId="6BEDD9D4" w14:textId="3613B44F" w:rsidR="00617362" w:rsidRDefault="00617362" w:rsidP="00ED3571">
      <w:pPr>
        <w:pStyle w:val="0-TABELA"/>
      </w:pPr>
      <w:bookmarkStart w:id="377" w:name="_Toc167871814"/>
      <w:r>
        <w:lastRenderedPageBreak/>
        <w:t>Créditos a Curto Prazo</w:t>
      </w:r>
      <w:r w:rsidR="00B97192">
        <w:t xml:space="preserve"> </w:t>
      </w:r>
      <w:r w:rsidR="00B97192" w:rsidRPr="00D67E49">
        <w:t>– 2023 x 2022</w:t>
      </w:r>
      <w:bookmarkEnd w:id="377"/>
    </w:p>
    <w:p w14:paraId="1ECA949A" w14:textId="77777777" w:rsidR="00617362" w:rsidRPr="00650E37" w:rsidRDefault="00617362" w:rsidP="00617362">
      <w:pPr>
        <w:pStyle w:val="1-REL11"/>
        <w:spacing w:after="0"/>
        <w:jc w:val="right"/>
        <w:rPr>
          <w:sz w:val="16"/>
          <w:szCs w:val="16"/>
        </w:rPr>
      </w:pPr>
      <w:r w:rsidRPr="00650E37">
        <w:rPr>
          <w:sz w:val="16"/>
          <w:szCs w:val="16"/>
          <w:lang w:eastAsia="en-US"/>
        </w:rPr>
        <w:t>R$ mil</w:t>
      </w:r>
    </w:p>
    <w:tbl>
      <w:tblPr>
        <w:tblW w:w="5000" w:type="pct"/>
        <w:tblLayout w:type="fixed"/>
        <w:tblCellMar>
          <w:left w:w="70" w:type="dxa"/>
          <w:right w:w="70" w:type="dxa"/>
        </w:tblCellMar>
        <w:tblLook w:val="04A0" w:firstRow="1" w:lastRow="0" w:firstColumn="1" w:lastColumn="0" w:noHBand="0" w:noVBand="1"/>
      </w:tblPr>
      <w:tblGrid>
        <w:gridCol w:w="3686"/>
        <w:gridCol w:w="1135"/>
        <w:gridCol w:w="849"/>
        <w:gridCol w:w="1139"/>
        <w:gridCol w:w="711"/>
        <w:gridCol w:w="1135"/>
        <w:gridCol w:w="698"/>
      </w:tblGrid>
      <w:tr w:rsidR="003B30CD" w:rsidRPr="003B30CD" w14:paraId="6E240CCE" w14:textId="77777777" w:rsidTr="000A561C">
        <w:trPr>
          <w:trHeight w:val="340"/>
          <w:tblHeader/>
        </w:trPr>
        <w:tc>
          <w:tcPr>
            <w:tcW w:w="1970" w:type="pct"/>
            <w:vMerge w:val="restart"/>
            <w:tcBorders>
              <w:top w:val="single" w:sz="4" w:space="0" w:color="auto"/>
              <w:left w:val="nil"/>
              <w:right w:val="nil"/>
            </w:tcBorders>
            <w:shd w:val="clear" w:color="000000" w:fill="A1F2FD"/>
            <w:vAlign w:val="center"/>
            <w:hideMark/>
          </w:tcPr>
          <w:p w14:paraId="5CB391B7" w14:textId="77777777" w:rsidR="003B30CD" w:rsidRPr="003B30CD" w:rsidRDefault="003B30CD" w:rsidP="00617362">
            <w:pPr>
              <w:jc w:val="center"/>
              <w:rPr>
                <w:rFonts w:cs="Arial"/>
                <w:b/>
                <w:bCs/>
                <w:color w:val="000000"/>
                <w:sz w:val="18"/>
                <w:szCs w:val="18"/>
              </w:rPr>
            </w:pPr>
            <w:r w:rsidRPr="003B30CD">
              <w:rPr>
                <w:rFonts w:cs="Arial"/>
                <w:b/>
                <w:bCs/>
                <w:color w:val="000000"/>
                <w:sz w:val="18"/>
                <w:szCs w:val="18"/>
              </w:rPr>
              <w:t>Composição</w:t>
            </w:r>
          </w:p>
        </w:tc>
        <w:tc>
          <w:tcPr>
            <w:tcW w:w="607"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6FE9F50A" w14:textId="77777777" w:rsidR="003B30CD" w:rsidRPr="003B30CD" w:rsidRDefault="003B30CD" w:rsidP="00617362">
            <w:pPr>
              <w:jc w:val="center"/>
              <w:rPr>
                <w:rFonts w:cs="Arial"/>
                <w:b/>
                <w:bCs/>
                <w:color w:val="000000"/>
                <w:sz w:val="18"/>
                <w:szCs w:val="18"/>
              </w:rPr>
            </w:pPr>
            <w:r w:rsidRPr="003B30CD">
              <w:rPr>
                <w:rFonts w:cs="Arial"/>
                <w:b/>
                <w:bCs/>
                <w:color w:val="000000"/>
                <w:sz w:val="18"/>
                <w:szCs w:val="18"/>
              </w:rPr>
              <w:t>2023</w:t>
            </w:r>
          </w:p>
        </w:tc>
        <w:tc>
          <w:tcPr>
            <w:tcW w:w="454" w:type="pct"/>
            <w:tcBorders>
              <w:top w:val="single" w:sz="4" w:space="0" w:color="auto"/>
              <w:left w:val="nil"/>
              <w:right w:val="single" w:sz="4" w:space="0" w:color="auto"/>
            </w:tcBorders>
            <w:shd w:val="clear" w:color="000000" w:fill="A1F2FD"/>
            <w:vAlign w:val="center"/>
            <w:hideMark/>
          </w:tcPr>
          <w:p w14:paraId="2C085760" w14:textId="77777777" w:rsidR="003B30CD" w:rsidRDefault="003B30CD" w:rsidP="00617362">
            <w:pPr>
              <w:jc w:val="center"/>
              <w:rPr>
                <w:rFonts w:cs="Arial"/>
                <w:b/>
                <w:bCs/>
                <w:color w:val="000000"/>
                <w:sz w:val="18"/>
                <w:szCs w:val="18"/>
              </w:rPr>
            </w:pPr>
            <w:r w:rsidRPr="003B30CD">
              <w:rPr>
                <w:rFonts w:cs="Arial"/>
                <w:b/>
                <w:bCs/>
                <w:color w:val="000000"/>
                <w:sz w:val="18"/>
                <w:szCs w:val="18"/>
              </w:rPr>
              <w:t xml:space="preserve">AV </w:t>
            </w:r>
          </w:p>
          <w:p w14:paraId="7D6A7F7C" w14:textId="38DA5C01" w:rsidR="003B30CD" w:rsidRPr="003B30CD" w:rsidRDefault="003B30CD" w:rsidP="00617362">
            <w:pPr>
              <w:jc w:val="center"/>
              <w:rPr>
                <w:rFonts w:cs="Arial"/>
                <w:b/>
                <w:bCs/>
                <w:color w:val="000000"/>
                <w:sz w:val="18"/>
                <w:szCs w:val="18"/>
              </w:rPr>
            </w:pPr>
            <w:r w:rsidRPr="003B30CD">
              <w:rPr>
                <w:rFonts w:cs="Arial"/>
                <w:b/>
                <w:bCs/>
                <w:color w:val="000000"/>
                <w:sz w:val="18"/>
                <w:szCs w:val="18"/>
              </w:rPr>
              <w:t>2023</w:t>
            </w:r>
          </w:p>
        </w:tc>
        <w:tc>
          <w:tcPr>
            <w:tcW w:w="609" w:type="pct"/>
            <w:vMerge w:val="restart"/>
            <w:tcBorders>
              <w:top w:val="single" w:sz="4" w:space="0" w:color="auto"/>
              <w:left w:val="single" w:sz="4" w:space="0" w:color="auto"/>
              <w:right w:val="single" w:sz="4" w:space="0" w:color="auto"/>
            </w:tcBorders>
            <w:shd w:val="clear" w:color="000000" w:fill="A1F2FD"/>
            <w:vAlign w:val="center"/>
            <w:hideMark/>
          </w:tcPr>
          <w:p w14:paraId="79A9A5D0" w14:textId="77777777" w:rsidR="003B30CD" w:rsidRPr="003B30CD" w:rsidRDefault="003B30CD" w:rsidP="00617362">
            <w:pPr>
              <w:jc w:val="center"/>
              <w:rPr>
                <w:rFonts w:cs="Arial"/>
                <w:b/>
                <w:bCs/>
                <w:color w:val="000000"/>
                <w:sz w:val="18"/>
                <w:szCs w:val="18"/>
              </w:rPr>
            </w:pPr>
            <w:r w:rsidRPr="003B30CD">
              <w:rPr>
                <w:rFonts w:cs="Arial"/>
                <w:b/>
                <w:bCs/>
                <w:color w:val="000000"/>
                <w:sz w:val="18"/>
                <w:szCs w:val="18"/>
              </w:rPr>
              <w:t>2022</w:t>
            </w:r>
          </w:p>
        </w:tc>
        <w:tc>
          <w:tcPr>
            <w:tcW w:w="380" w:type="pct"/>
            <w:tcBorders>
              <w:top w:val="single" w:sz="4" w:space="0" w:color="auto"/>
              <w:left w:val="nil"/>
              <w:right w:val="single" w:sz="4" w:space="0" w:color="auto"/>
            </w:tcBorders>
            <w:shd w:val="clear" w:color="000000" w:fill="A1F2FD"/>
            <w:vAlign w:val="center"/>
            <w:hideMark/>
          </w:tcPr>
          <w:p w14:paraId="7C4B20CF" w14:textId="77777777" w:rsidR="003B30CD" w:rsidRPr="003B30CD" w:rsidRDefault="003B30CD" w:rsidP="00617362">
            <w:pPr>
              <w:jc w:val="center"/>
              <w:rPr>
                <w:rFonts w:cs="Arial"/>
                <w:b/>
                <w:bCs/>
                <w:color w:val="000000"/>
                <w:sz w:val="18"/>
                <w:szCs w:val="18"/>
              </w:rPr>
            </w:pPr>
            <w:r w:rsidRPr="003B30CD">
              <w:rPr>
                <w:rFonts w:cs="Arial"/>
                <w:b/>
                <w:bCs/>
                <w:color w:val="000000"/>
                <w:sz w:val="18"/>
                <w:szCs w:val="18"/>
              </w:rPr>
              <w:t>AV 2022</w:t>
            </w:r>
          </w:p>
        </w:tc>
        <w:tc>
          <w:tcPr>
            <w:tcW w:w="980" w:type="pct"/>
            <w:gridSpan w:val="2"/>
            <w:tcBorders>
              <w:top w:val="single" w:sz="4" w:space="0" w:color="auto"/>
              <w:left w:val="nil"/>
              <w:bottom w:val="single" w:sz="4" w:space="0" w:color="auto"/>
            </w:tcBorders>
            <w:shd w:val="clear" w:color="000000" w:fill="A1F2FD"/>
            <w:vAlign w:val="center"/>
            <w:hideMark/>
          </w:tcPr>
          <w:p w14:paraId="693695F7" w14:textId="77777777" w:rsidR="003B30CD" w:rsidRPr="003B30CD" w:rsidRDefault="003B30CD" w:rsidP="00617362">
            <w:pPr>
              <w:jc w:val="center"/>
              <w:rPr>
                <w:rFonts w:cs="Arial"/>
                <w:b/>
                <w:bCs/>
                <w:color w:val="000000"/>
                <w:sz w:val="18"/>
                <w:szCs w:val="18"/>
              </w:rPr>
            </w:pPr>
            <w:r w:rsidRPr="003B30CD">
              <w:rPr>
                <w:rFonts w:cs="Arial"/>
                <w:b/>
                <w:bCs/>
                <w:color w:val="000000"/>
                <w:sz w:val="18"/>
                <w:szCs w:val="18"/>
              </w:rPr>
              <w:t>∆ 2023 x 2022</w:t>
            </w:r>
          </w:p>
        </w:tc>
      </w:tr>
      <w:tr w:rsidR="003B30CD" w:rsidRPr="003B30CD" w14:paraId="1D93DEBE" w14:textId="77777777" w:rsidTr="000A561C">
        <w:trPr>
          <w:trHeight w:val="340"/>
        </w:trPr>
        <w:tc>
          <w:tcPr>
            <w:tcW w:w="1970" w:type="pct"/>
            <w:vMerge/>
            <w:tcBorders>
              <w:left w:val="nil"/>
              <w:right w:val="nil"/>
            </w:tcBorders>
            <w:vAlign w:val="center"/>
            <w:hideMark/>
          </w:tcPr>
          <w:p w14:paraId="780C2023" w14:textId="77777777" w:rsidR="003B30CD" w:rsidRPr="003B30CD" w:rsidRDefault="003B30CD" w:rsidP="00617362">
            <w:pPr>
              <w:jc w:val="left"/>
              <w:rPr>
                <w:rFonts w:cs="Arial"/>
                <w:b/>
                <w:bCs/>
                <w:color w:val="000000"/>
                <w:sz w:val="18"/>
                <w:szCs w:val="18"/>
              </w:rPr>
            </w:pPr>
          </w:p>
        </w:tc>
        <w:tc>
          <w:tcPr>
            <w:tcW w:w="607" w:type="pct"/>
            <w:vMerge/>
            <w:tcBorders>
              <w:top w:val="single" w:sz="4" w:space="0" w:color="auto"/>
              <w:left w:val="single" w:sz="4" w:space="0" w:color="auto"/>
              <w:right w:val="single" w:sz="4" w:space="0" w:color="auto"/>
            </w:tcBorders>
            <w:vAlign w:val="center"/>
            <w:hideMark/>
          </w:tcPr>
          <w:p w14:paraId="0439CEBD" w14:textId="77777777" w:rsidR="003B30CD" w:rsidRPr="003B30CD" w:rsidRDefault="003B30CD" w:rsidP="00617362">
            <w:pPr>
              <w:jc w:val="left"/>
              <w:rPr>
                <w:rFonts w:cs="Arial"/>
                <w:b/>
                <w:bCs/>
                <w:color w:val="000000"/>
                <w:sz w:val="18"/>
                <w:szCs w:val="18"/>
              </w:rPr>
            </w:pPr>
          </w:p>
        </w:tc>
        <w:tc>
          <w:tcPr>
            <w:tcW w:w="454" w:type="pct"/>
            <w:tcBorders>
              <w:left w:val="nil"/>
              <w:right w:val="single" w:sz="4" w:space="0" w:color="auto"/>
            </w:tcBorders>
            <w:shd w:val="clear" w:color="000000" w:fill="A1F2FD"/>
            <w:vAlign w:val="center"/>
            <w:hideMark/>
          </w:tcPr>
          <w:p w14:paraId="38BCCB0E" w14:textId="77777777" w:rsidR="003B30CD" w:rsidRPr="003B30CD" w:rsidRDefault="003B30CD" w:rsidP="00617362">
            <w:pPr>
              <w:jc w:val="center"/>
              <w:rPr>
                <w:rFonts w:cs="Arial"/>
                <w:b/>
                <w:bCs/>
                <w:color w:val="000000"/>
                <w:sz w:val="18"/>
                <w:szCs w:val="18"/>
              </w:rPr>
            </w:pPr>
            <w:r w:rsidRPr="003B30CD">
              <w:rPr>
                <w:rFonts w:cs="Arial"/>
                <w:b/>
                <w:bCs/>
                <w:color w:val="000000"/>
                <w:sz w:val="18"/>
                <w:szCs w:val="18"/>
              </w:rPr>
              <w:t>%</w:t>
            </w:r>
          </w:p>
        </w:tc>
        <w:tc>
          <w:tcPr>
            <w:tcW w:w="609" w:type="pct"/>
            <w:vMerge/>
            <w:tcBorders>
              <w:left w:val="single" w:sz="4" w:space="0" w:color="auto"/>
              <w:right w:val="single" w:sz="4" w:space="0" w:color="auto"/>
            </w:tcBorders>
            <w:vAlign w:val="center"/>
            <w:hideMark/>
          </w:tcPr>
          <w:p w14:paraId="3DC699E0" w14:textId="77777777" w:rsidR="003B30CD" w:rsidRPr="003B30CD" w:rsidRDefault="003B30CD" w:rsidP="00617362">
            <w:pPr>
              <w:jc w:val="left"/>
              <w:rPr>
                <w:rFonts w:cs="Arial"/>
                <w:b/>
                <w:bCs/>
                <w:color w:val="000000"/>
                <w:sz w:val="18"/>
                <w:szCs w:val="18"/>
              </w:rPr>
            </w:pPr>
          </w:p>
        </w:tc>
        <w:tc>
          <w:tcPr>
            <w:tcW w:w="380" w:type="pct"/>
            <w:tcBorders>
              <w:left w:val="nil"/>
              <w:right w:val="single" w:sz="4" w:space="0" w:color="auto"/>
            </w:tcBorders>
            <w:shd w:val="clear" w:color="000000" w:fill="A1F2FD"/>
            <w:vAlign w:val="center"/>
            <w:hideMark/>
          </w:tcPr>
          <w:p w14:paraId="0709EC49" w14:textId="77777777" w:rsidR="003B30CD" w:rsidRPr="003B30CD" w:rsidRDefault="003B30CD" w:rsidP="00617362">
            <w:pPr>
              <w:jc w:val="center"/>
              <w:rPr>
                <w:rFonts w:cs="Arial"/>
                <w:b/>
                <w:bCs/>
                <w:color w:val="000000"/>
                <w:sz w:val="18"/>
                <w:szCs w:val="18"/>
              </w:rPr>
            </w:pPr>
            <w:r w:rsidRPr="003B30CD">
              <w:rPr>
                <w:rFonts w:cs="Arial"/>
                <w:b/>
                <w:bCs/>
                <w:color w:val="000000"/>
                <w:sz w:val="18"/>
                <w:szCs w:val="18"/>
              </w:rPr>
              <w:t>%</w:t>
            </w:r>
          </w:p>
        </w:tc>
        <w:tc>
          <w:tcPr>
            <w:tcW w:w="607" w:type="pct"/>
            <w:tcBorders>
              <w:top w:val="nil"/>
              <w:left w:val="nil"/>
              <w:right w:val="single" w:sz="4" w:space="0" w:color="auto"/>
            </w:tcBorders>
            <w:shd w:val="clear" w:color="000000" w:fill="A1F2FD"/>
            <w:vAlign w:val="center"/>
            <w:hideMark/>
          </w:tcPr>
          <w:p w14:paraId="22BA720E" w14:textId="77777777" w:rsidR="003B30CD" w:rsidRPr="003B30CD" w:rsidRDefault="003B30CD" w:rsidP="00617362">
            <w:pPr>
              <w:jc w:val="center"/>
              <w:rPr>
                <w:rFonts w:cs="Arial"/>
                <w:b/>
                <w:bCs/>
                <w:color w:val="000000"/>
                <w:sz w:val="18"/>
                <w:szCs w:val="18"/>
              </w:rPr>
            </w:pPr>
            <w:r w:rsidRPr="003B30CD">
              <w:rPr>
                <w:rFonts w:cs="Arial"/>
                <w:b/>
                <w:bCs/>
                <w:color w:val="000000"/>
                <w:sz w:val="18"/>
                <w:szCs w:val="18"/>
              </w:rPr>
              <w:t xml:space="preserve">R$ </w:t>
            </w:r>
          </w:p>
        </w:tc>
        <w:tc>
          <w:tcPr>
            <w:tcW w:w="373" w:type="pct"/>
            <w:tcBorders>
              <w:top w:val="nil"/>
              <w:left w:val="nil"/>
              <w:right w:val="nil"/>
            </w:tcBorders>
            <w:shd w:val="clear" w:color="000000" w:fill="A1F2FD"/>
            <w:vAlign w:val="center"/>
            <w:hideMark/>
          </w:tcPr>
          <w:p w14:paraId="65B64C24" w14:textId="31F81AFD" w:rsidR="003B30CD" w:rsidRPr="003B30CD" w:rsidRDefault="003B30CD" w:rsidP="003B30CD">
            <w:pPr>
              <w:jc w:val="center"/>
              <w:rPr>
                <w:rFonts w:cs="Arial"/>
                <w:b/>
                <w:bCs/>
                <w:color w:val="000000"/>
                <w:sz w:val="18"/>
                <w:szCs w:val="18"/>
              </w:rPr>
            </w:pPr>
            <w:r w:rsidRPr="003B30CD">
              <w:rPr>
                <w:rFonts w:cs="Arial"/>
                <w:b/>
                <w:bCs/>
                <w:color w:val="000000"/>
                <w:sz w:val="18"/>
                <w:szCs w:val="18"/>
              </w:rPr>
              <w:t>%</w:t>
            </w:r>
          </w:p>
        </w:tc>
      </w:tr>
      <w:tr w:rsidR="003B30CD" w:rsidRPr="003B30CD" w14:paraId="50C590C7" w14:textId="77777777" w:rsidTr="000A561C">
        <w:trPr>
          <w:trHeight w:val="340"/>
        </w:trPr>
        <w:tc>
          <w:tcPr>
            <w:tcW w:w="1970" w:type="pct"/>
            <w:vMerge/>
            <w:tcBorders>
              <w:left w:val="nil"/>
              <w:bottom w:val="single" w:sz="4" w:space="0" w:color="auto"/>
              <w:right w:val="nil"/>
            </w:tcBorders>
            <w:shd w:val="clear" w:color="auto" w:fill="A1F2FD"/>
            <w:vAlign w:val="center"/>
          </w:tcPr>
          <w:p w14:paraId="2674EE5E" w14:textId="77777777" w:rsidR="003B30CD" w:rsidRPr="003B30CD" w:rsidRDefault="003B30CD" w:rsidP="003B30CD">
            <w:pPr>
              <w:jc w:val="left"/>
              <w:rPr>
                <w:rFonts w:cs="Arial"/>
                <w:b/>
                <w:bCs/>
                <w:color w:val="000000"/>
                <w:sz w:val="18"/>
                <w:szCs w:val="18"/>
              </w:rPr>
            </w:pPr>
          </w:p>
        </w:tc>
        <w:tc>
          <w:tcPr>
            <w:tcW w:w="607" w:type="pct"/>
            <w:tcBorders>
              <w:left w:val="single" w:sz="4" w:space="0" w:color="auto"/>
              <w:bottom w:val="single" w:sz="4" w:space="0" w:color="auto"/>
              <w:right w:val="single" w:sz="4" w:space="0" w:color="auto"/>
            </w:tcBorders>
            <w:shd w:val="clear" w:color="auto" w:fill="A1F2FD"/>
            <w:vAlign w:val="center"/>
          </w:tcPr>
          <w:p w14:paraId="6EE95C05" w14:textId="40494437" w:rsidR="003B30CD" w:rsidRPr="003B30CD" w:rsidRDefault="003B30CD" w:rsidP="003B30CD">
            <w:pPr>
              <w:jc w:val="center"/>
              <w:rPr>
                <w:rFonts w:cs="Arial"/>
                <w:b/>
                <w:bCs/>
                <w:color w:val="000000"/>
                <w:sz w:val="18"/>
                <w:szCs w:val="18"/>
              </w:rPr>
            </w:pPr>
            <w:r w:rsidRPr="003B30CD">
              <w:rPr>
                <w:rFonts w:cs="Arial"/>
                <w:b/>
                <w:bCs/>
                <w:color w:val="000000"/>
                <w:sz w:val="18"/>
                <w:szCs w:val="18"/>
              </w:rPr>
              <w:t>(a)</w:t>
            </w:r>
          </w:p>
        </w:tc>
        <w:tc>
          <w:tcPr>
            <w:tcW w:w="454" w:type="pct"/>
            <w:tcBorders>
              <w:left w:val="nil"/>
              <w:bottom w:val="single" w:sz="4" w:space="0" w:color="auto"/>
              <w:right w:val="single" w:sz="4" w:space="0" w:color="auto"/>
            </w:tcBorders>
            <w:shd w:val="clear" w:color="auto" w:fill="A1F2FD"/>
            <w:vAlign w:val="center"/>
          </w:tcPr>
          <w:p w14:paraId="097C1DC9" w14:textId="55CACD9E" w:rsidR="003B30CD" w:rsidRPr="003B30CD" w:rsidRDefault="003B30CD" w:rsidP="003B30CD">
            <w:pPr>
              <w:jc w:val="center"/>
              <w:rPr>
                <w:rFonts w:cs="Arial"/>
                <w:b/>
                <w:bCs/>
                <w:color w:val="000000"/>
                <w:sz w:val="18"/>
                <w:szCs w:val="18"/>
              </w:rPr>
            </w:pPr>
            <w:r w:rsidRPr="003B30CD">
              <w:rPr>
                <w:rFonts w:cs="Arial"/>
                <w:b/>
                <w:bCs/>
                <w:color w:val="000000"/>
                <w:sz w:val="18"/>
                <w:szCs w:val="18"/>
              </w:rPr>
              <w:t>(b)</w:t>
            </w:r>
          </w:p>
        </w:tc>
        <w:tc>
          <w:tcPr>
            <w:tcW w:w="609" w:type="pct"/>
            <w:tcBorders>
              <w:left w:val="single" w:sz="4" w:space="0" w:color="auto"/>
              <w:bottom w:val="single" w:sz="4" w:space="0" w:color="auto"/>
              <w:right w:val="single" w:sz="4" w:space="0" w:color="auto"/>
            </w:tcBorders>
            <w:shd w:val="clear" w:color="auto" w:fill="A1F2FD"/>
            <w:vAlign w:val="center"/>
          </w:tcPr>
          <w:p w14:paraId="798F6622" w14:textId="603F05DB" w:rsidR="003B30CD" w:rsidRPr="003B30CD" w:rsidRDefault="003B30CD" w:rsidP="003B30CD">
            <w:pPr>
              <w:jc w:val="center"/>
              <w:rPr>
                <w:rFonts w:cs="Arial"/>
                <w:b/>
                <w:bCs/>
                <w:color w:val="000000"/>
                <w:sz w:val="18"/>
                <w:szCs w:val="18"/>
              </w:rPr>
            </w:pPr>
            <w:r w:rsidRPr="003B30CD">
              <w:rPr>
                <w:rFonts w:cs="Arial"/>
                <w:b/>
                <w:bCs/>
                <w:color w:val="000000"/>
                <w:sz w:val="18"/>
                <w:szCs w:val="18"/>
              </w:rPr>
              <w:t>(c)</w:t>
            </w:r>
          </w:p>
        </w:tc>
        <w:tc>
          <w:tcPr>
            <w:tcW w:w="380" w:type="pct"/>
            <w:tcBorders>
              <w:left w:val="nil"/>
              <w:bottom w:val="single" w:sz="4" w:space="0" w:color="auto"/>
              <w:right w:val="single" w:sz="4" w:space="0" w:color="auto"/>
            </w:tcBorders>
            <w:shd w:val="clear" w:color="auto" w:fill="A1F2FD"/>
            <w:vAlign w:val="center"/>
          </w:tcPr>
          <w:p w14:paraId="0D4E1673" w14:textId="6CD08C21" w:rsidR="003B30CD" w:rsidRPr="003B30CD" w:rsidRDefault="003B30CD" w:rsidP="003B30CD">
            <w:pPr>
              <w:jc w:val="center"/>
              <w:rPr>
                <w:rFonts w:cs="Arial"/>
                <w:b/>
                <w:bCs/>
                <w:color w:val="000000"/>
                <w:sz w:val="18"/>
                <w:szCs w:val="18"/>
              </w:rPr>
            </w:pPr>
            <w:r w:rsidRPr="003B30CD">
              <w:rPr>
                <w:rFonts w:cs="Arial"/>
                <w:b/>
                <w:bCs/>
                <w:color w:val="000000"/>
                <w:sz w:val="18"/>
                <w:szCs w:val="18"/>
              </w:rPr>
              <w:t>(d)</w:t>
            </w:r>
          </w:p>
        </w:tc>
        <w:tc>
          <w:tcPr>
            <w:tcW w:w="607" w:type="pct"/>
            <w:tcBorders>
              <w:left w:val="nil"/>
              <w:bottom w:val="single" w:sz="4" w:space="0" w:color="auto"/>
              <w:right w:val="single" w:sz="4" w:space="0" w:color="auto"/>
            </w:tcBorders>
            <w:shd w:val="clear" w:color="auto" w:fill="A1F2FD"/>
            <w:vAlign w:val="center"/>
          </w:tcPr>
          <w:p w14:paraId="07BFE311" w14:textId="34CE7D88" w:rsidR="003B30CD" w:rsidRPr="003B30CD" w:rsidRDefault="003B30CD" w:rsidP="003B30CD">
            <w:pPr>
              <w:jc w:val="center"/>
              <w:rPr>
                <w:rFonts w:cs="Arial"/>
                <w:b/>
                <w:bCs/>
                <w:color w:val="000000"/>
                <w:sz w:val="18"/>
                <w:szCs w:val="18"/>
              </w:rPr>
            </w:pPr>
            <w:r w:rsidRPr="003B30CD">
              <w:rPr>
                <w:rFonts w:cs="Arial"/>
                <w:b/>
                <w:bCs/>
                <w:color w:val="000000"/>
                <w:sz w:val="18"/>
                <w:szCs w:val="18"/>
              </w:rPr>
              <w:t>(e) =</w:t>
            </w:r>
            <w:r>
              <w:rPr>
                <w:rFonts w:cs="Arial"/>
                <w:b/>
                <w:bCs/>
                <w:color w:val="000000"/>
                <w:sz w:val="18"/>
                <w:szCs w:val="18"/>
              </w:rPr>
              <w:t xml:space="preserve"> </w:t>
            </w:r>
            <w:r w:rsidRPr="003B30CD">
              <w:rPr>
                <w:rFonts w:cs="Arial"/>
                <w:b/>
                <w:bCs/>
                <w:color w:val="000000"/>
                <w:sz w:val="18"/>
                <w:szCs w:val="18"/>
              </w:rPr>
              <w:t>(a-</w:t>
            </w:r>
            <w:r w:rsidR="008022D1">
              <w:rPr>
                <w:rFonts w:cs="Arial"/>
                <w:b/>
                <w:bCs/>
                <w:color w:val="000000"/>
                <w:sz w:val="18"/>
                <w:szCs w:val="18"/>
              </w:rPr>
              <w:t>c</w:t>
            </w:r>
            <w:r w:rsidRPr="003B30CD">
              <w:rPr>
                <w:rFonts w:cs="Arial"/>
                <w:b/>
                <w:bCs/>
                <w:color w:val="000000"/>
                <w:sz w:val="18"/>
                <w:szCs w:val="18"/>
              </w:rPr>
              <w:t>)</w:t>
            </w:r>
          </w:p>
        </w:tc>
        <w:tc>
          <w:tcPr>
            <w:tcW w:w="373" w:type="pct"/>
            <w:tcBorders>
              <w:left w:val="nil"/>
              <w:bottom w:val="single" w:sz="4" w:space="0" w:color="auto"/>
              <w:right w:val="nil"/>
            </w:tcBorders>
            <w:shd w:val="clear" w:color="auto" w:fill="A1F2FD"/>
            <w:vAlign w:val="center"/>
          </w:tcPr>
          <w:p w14:paraId="6776B9DF" w14:textId="178C2E73" w:rsidR="003B30CD" w:rsidRPr="003B30CD" w:rsidRDefault="003B30CD" w:rsidP="003B30CD">
            <w:pPr>
              <w:ind w:left="-80" w:right="-77"/>
              <w:jc w:val="center"/>
              <w:rPr>
                <w:rFonts w:cs="Arial"/>
                <w:b/>
                <w:bCs/>
                <w:color w:val="000000"/>
                <w:sz w:val="18"/>
                <w:szCs w:val="18"/>
              </w:rPr>
            </w:pPr>
            <w:r w:rsidRPr="003B30CD">
              <w:rPr>
                <w:rFonts w:cs="Arial"/>
                <w:b/>
                <w:bCs/>
                <w:color w:val="000000"/>
                <w:sz w:val="18"/>
                <w:szCs w:val="18"/>
              </w:rPr>
              <w:t>(f)=(e/c)</w:t>
            </w:r>
          </w:p>
        </w:tc>
      </w:tr>
      <w:tr w:rsidR="00617362" w:rsidRPr="003B30CD" w14:paraId="2238EBCD" w14:textId="77777777" w:rsidTr="000A561C">
        <w:trPr>
          <w:trHeight w:val="340"/>
        </w:trPr>
        <w:tc>
          <w:tcPr>
            <w:tcW w:w="1970" w:type="pct"/>
            <w:tcBorders>
              <w:top w:val="single" w:sz="4" w:space="0" w:color="auto"/>
              <w:left w:val="nil"/>
              <w:bottom w:val="nil"/>
              <w:right w:val="single" w:sz="4" w:space="0" w:color="auto"/>
            </w:tcBorders>
            <w:shd w:val="clear" w:color="auto" w:fill="auto"/>
            <w:vAlign w:val="center"/>
            <w:hideMark/>
          </w:tcPr>
          <w:p w14:paraId="4CD4D472" w14:textId="77777777" w:rsidR="00617362" w:rsidRPr="003B30CD" w:rsidRDefault="00617362" w:rsidP="003B30CD">
            <w:pPr>
              <w:ind w:left="67"/>
              <w:jc w:val="left"/>
              <w:rPr>
                <w:rFonts w:cs="Arial"/>
                <w:color w:val="333333"/>
                <w:sz w:val="18"/>
                <w:szCs w:val="18"/>
              </w:rPr>
            </w:pPr>
            <w:r w:rsidRPr="003B30CD">
              <w:rPr>
                <w:rFonts w:cs="Arial"/>
                <w:color w:val="333333"/>
                <w:sz w:val="18"/>
                <w:szCs w:val="18"/>
              </w:rPr>
              <w:t>Créditos Tributários A Receber</w:t>
            </w:r>
          </w:p>
        </w:tc>
        <w:tc>
          <w:tcPr>
            <w:tcW w:w="607" w:type="pct"/>
            <w:tcBorders>
              <w:top w:val="single" w:sz="4" w:space="0" w:color="auto"/>
              <w:left w:val="nil"/>
              <w:bottom w:val="nil"/>
              <w:right w:val="single" w:sz="4" w:space="0" w:color="auto"/>
            </w:tcBorders>
            <w:shd w:val="clear" w:color="auto" w:fill="auto"/>
            <w:vAlign w:val="center"/>
            <w:hideMark/>
          </w:tcPr>
          <w:p w14:paraId="1BE706D0" w14:textId="77777777" w:rsidR="00617362" w:rsidRPr="003B30CD" w:rsidRDefault="00617362" w:rsidP="00617362">
            <w:pPr>
              <w:jc w:val="right"/>
              <w:rPr>
                <w:rFonts w:cs="Arial"/>
                <w:color w:val="000000"/>
                <w:sz w:val="18"/>
                <w:szCs w:val="18"/>
              </w:rPr>
            </w:pPr>
            <w:r w:rsidRPr="003B30CD">
              <w:rPr>
                <w:rFonts w:cs="Arial"/>
                <w:color w:val="000000"/>
                <w:sz w:val="18"/>
                <w:szCs w:val="18"/>
              </w:rPr>
              <w:t>17.469.028</w:t>
            </w:r>
          </w:p>
        </w:tc>
        <w:tc>
          <w:tcPr>
            <w:tcW w:w="454" w:type="pct"/>
            <w:tcBorders>
              <w:top w:val="single" w:sz="4" w:space="0" w:color="auto"/>
              <w:left w:val="nil"/>
              <w:bottom w:val="nil"/>
              <w:right w:val="single" w:sz="4" w:space="0" w:color="auto"/>
            </w:tcBorders>
            <w:shd w:val="clear" w:color="auto" w:fill="auto"/>
            <w:vAlign w:val="center"/>
            <w:hideMark/>
          </w:tcPr>
          <w:p w14:paraId="08FD1489" w14:textId="77777777" w:rsidR="00617362" w:rsidRPr="003B30CD" w:rsidRDefault="00617362" w:rsidP="00617362">
            <w:pPr>
              <w:jc w:val="center"/>
              <w:rPr>
                <w:rFonts w:cs="Arial"/>
                <w:color w:val="000000"/>
                <w:sz w:val="18"/>
                <w:szCs w:val="18"/>
              </w:rPr>
            </w:pPr>
            <w:r w:rsidRPr="003B30CD">
              <w:rPr>
                <w:rFonts w:cs="Arial"/>
                <w:color w:val="000000"/>
                <w:sz w:val="18"/>
                <w:szCs w:val="18"/>
              </w:rPr>
              <w:t>98,20</w:t>
            </w:r>
          </w:p>
        </w:tc>
        <w:tc>
          <w:tcPr>
            <w:tcW w:w="609" w:type="pct"/>
            <w:tcBorders>
              <w:top w:val="single" w:sz="4" w:space="0" w:color="auto"/>
              <w:left w:val="nil"/>
              <w:bottom w:val="nil"/>
              <w:right w:val="single" w:sz="4" w:space="0" w:color="auto"/>
            </w:tcBorders>
            <w:shd w:val="clear" w:color="auto" w:fill="auto"/>
            <w:vAlign w:val="center"/>
            <w:hideMark/>
          </w:tcPr>
          <w:p w14:paraId="70097D5F" w14:textId="77777777" w:rsidR="00617362" w:rsidRPr="003B30CD" w:rsidRDefault="00617362" w:rsidP="00617362">
            <w:pPr>
              <w:jc w:val="right"/>
              <w:rPr>
                <w:rFonts w:cs="Arial"/>
                <w:color w:val="000000"/>
                <w:sz w:val="18"/>
                <w:szCs w:val="18"/>
              </w:rPr>
            </w:pPr>
            <w:r w:rsidRPr="003B30CD">
              <w:rPr>
                <w:rFonts w:cs="Arial"/>
                <w:color w:val="000000"/>
                <w:sz w:val="18"/>
                <w:szCs w:val="18"/>
              </w:rPr>
              <w:t>14.879.621</w:t>
            </w:r>
          </w:p>
        </w:tc>
        <w:tc>
          <w:tcPr>
            <w:tcW w:w="380" w:type="pct"/>
            <w:tcBorders>
              <w:top w:val="single" w:sz="4" w:space="0" w:color="auto"/>
              <w:left w:val="nil"/>
              <w:bottom w:val="nil"/>
              <w:right w:val="single" w:sz="4" w:space="0" w:color="auto"/>
            </w:tcBorders>
            <w:shd w:val="clear" w:color="auto" w:fill="auto"/>
            <w:vAlign w:val="center"/>
            <w:hideMark/>
          </w:tcPr>
          <w:p w14:paraId="371B88CB" w14:textId="77777777" w:rsidR="00617362" w:rsidRPr="003B30CD" w:rsidRDefault="00617362" w:rsidP="00617362">
            <w:pPr>
              <w:jc w:val="center"/>
              <w:rPr>
                <w:rFonts w:cs="Arial"/>
                <w:color w:val="000000"/>
                <w:sz w:val="18"/>
                <w:szCs w:val="18"/>
              </w:rPr>
            </w:pPr>
            <w:r w:rsidRPr="003B30CD">
              <w:rPr>
                <w:rFonts w:cs="Arial"/>
                <w:color w:val="000000"/>
                <w:sz w:val="18"/>
                <w:szCs w:val="18"/>
              </w:rPr>
              <w:t>97,76</w:t>
            </w:r>
          </w:p>
        </w:tc>
        <w:tc>
          <w:tcPr>
            <w:tcW w:w="607" w:type="pct"/>
            <w:tcBorders>
              <w:top w:val="single" w:sz="4" w:space="0" w:color="auto"/>
              <w:left w:val="nil"/>
              <w:bottom w:val="nil"/>
              <w:right w:val="single" w:sz="4" w:space="0" w:color="auto"/>
            </w:tcBorders>
            <w:shd w:val="clear" w:color="auto" w:fill="auto"/>
            <w:vAlign w:val="center"/>
            <w:hideMark/>
          </w:tcPr>
          <w:p w14:paraId="365BA126" w14:textId="77777777" w:rsidR="00617362" w:rsidRPr="003B30CD" w:rsidRDefault="00617362" w:rsidP="00CC5384">
            <w:pPr>
              <w:jc w:val="right"/>
              <w:rPr>
                <w:rFonts w:cs="Arial"/>
                <w:color w:val="000000"/>
                <w:sz w:val="18"/>
                <w:szCs w:val="18"/>
              </w:rPr>
            </w:pPr>
            <w:r w:rsidRPr="003B30CD">
              <w:rPr>
                <w:rFonts w:cs="Arial"/>
                <w:color w:val="000000"/>
                <w:sz w:val="18"/>
                <w:szCs w:val="18"/>
              </w:rPr>
              <w:t>2.589.407</w:t>
            </w:r>
          </w:p>
        </w:tc>
        <w:tc>
          <w:tcPr>
            <w:tcW w:w="373" w:type="pct"/>
            <w:tcBorders>
              <w:top w:val="single" w:sz="4" w:space="0" w:color="auto"/>
              <w:left w:val="nil"/>
              <w:bottom w:val="nil"/>
              <w:right w:val="nil"/>
            </w:tcBorders>
            <w:shd w:val="clear" w:color="auto" w:fill="auto"/>
            <w:vAlign w:val="center"/>
            <w:hideMark/>
          </w:tcPr>
          <w:p w14:paraId="7441FAA1" w14:textId="77777777" w:rsidR="00617362" w:rsidRPr="003B30CD" w:rsidRDefault="00617362" w:rsidP="00617362">
            <w:pPr>
              <w:jc w:val="center"/>
              <w:rPr>
                <w:rFonts w:cs="Arial"/>
                <w:color w:val="000000"/>
                <w:sz w:val="18"/>
                <w:szCs w:val="18"/>
              </w:rPr>
            </w:pPr>
            <w:r w:rsidRPr="003B30CD">
              <w:rPr>
                <w:rFonts w:cs="Arial"/>
                <w:color w:val="000000"/>
                <w:sz w:val="18"/>
                <w:szCs w:val="18"/>
              </w:rPr>
              <w:t>17,40</w:t>
            </w:r>
          </w:p>
        </w:tc>
      </w:tr>
      <w:tr w:rsidR="00617362" w:rsidRPr="003B30CD" w14:paraId="69A35B26" w14:textId="77777777" w:rsidTr="000A561C">
        <w:trPr>
          <w:trHeight w:val="340"/>
        </w:trPr>
        <w:tc>
          <w:tcPr>
            <w:tcW w:w="1970" w:type="pct"/>
            <w:tcBorders>
              <w:top w:val="nil"/>
              <w:left w:val="nil"/>
              <w:bottom w:val="nil"/>
              <w:right w:val="single" w:sz="4" w:space="0" w:color="auto"/>
            </w:tcBorders>
            <w:shd w:val="clear" w:color="auto" w:fill="auto"/>
            <w:vAlign w:val="center"/>
            <w:hideMark/>
          </w:tcPr>
          <w:p w14:paraId="7CBACDF1" w14:textId="77777777" w:rsidR="00617362" w:rsidRPr="003B30CD" w:rsidRDefault="00617362" w:rsidP="003B30CD">
            <w:pPr>
              <w:ind w:left="67"/>
              <w:jc w:val="left"/>
              <w:rPr>
                <w:rFonts w:cs="Arial"/>
                <w:color w:val="333333"/>
                <w:sz w:val="18"/>
                <w:szCs w:val="18"/>
              </w:rPr>
            </w:pPr>
            <w:r w:rsidRPr="003B30CD">
              <w:rPr>
                <w:rFonts w:cs="Arial"/>
                <w:color w:val="333333"/>
                <w:sz w:val="18"/>
                <w:szCs w:val="18"/>
              </w:rPr>
              <w:t>Clientes</w:t>
            </w:r>
          </w:p>
        </w:tc>
        <w:tc>
          <w:tcPr>
            <w:tcW w:w="607" w:type="pct"/>
            <w:tcBorders>
              <w:top w:val="nil"/>
              <w:left w:val="nil"/>
              <w:bottom w:val="nil"/>
              <w:right w:val="single" w:sz="4" w:space="0" w:color="auto"/>
            </w:tcBorders>
            <w:shd w:val="clear" w:color="auto" w:fill="auto"/>
            <w:vAlign w:val="center"/>
            <w:hideMark/>
          </w:tcPr>
          <w:p w14:paraId="257B98C7" w14:textId="77777777" w:rsidR="00617362" w:rsidRPr="003B30CD" w:rsidRDefault="00617362" w:rsidP="00617362">
            <w:pPr>
              <w:jc w:val="right"/>
              <w:rPr>
                <w:rFonts w:cs="Arial"/>
                <w:color w:val="000000"/>
                <w:sz w:val="18"/>
                <w:szCs w:val="18"/>
              </w:rPr>
            </w:pPr>
            <w:r w:rsidRPr="003B30CD">
              <w:rPr>
                <w:rFonts w:cs="Arial"/>
                <w:color w:val="000000"/>
                <w:sz w:val="18"/>
                <w:szCs w:val="18"/>
              </w:rPr>
              <w:t>6.923</w:t>
            </w:r>
          </w:p>
        </w:tc>
        <w:tc>
          <w:tcPr>
            <w:tcW w:w="454" w:type="pct"/>
            <w:tcBorders>
              <w:top w:val="nil"/>
              <w:left w:val="nil"/>
              <w:bottom w:val="nil"/>
              <w:right w:val="single" w:sz="4" w:space="0" w:color="auto"/>
            </w:tcBorders>
            <w:shd w:val="clear" w:color="auto" w:fill="auto"/>
            <w:vAlign w:val="center"/>
            <w:hideMark/>
          </w:tcPr>
          <w:p w14:paraId="11A0D872" w14:textId="77777777" w:rsidR="00617362" w:rsidRPr="003B30CD" w:rsidRDefault="00617362" w:rsidP="00617362">
            <w:pPr>
              <w:jc w:val="center"/>
              <w:rPr>
                <w:rFonts w:cs="Arial"/>
                <w:color w:val="000000"/>
                <w:sz w:val="18"/>
                <w:szCs w:val="18"/>
              </w:rPr>
            </w:pPr>
            <w:r w:rsidRPr="003B30CD">
              <w:rPr>
                <w:rFonts w:cs="Arial"/>
                <w:color w:val="000000"/>
                <w:sz w:val="18"/>
                <w:szCs w:val="18"/>
              </w:rPr>
              <w:t>0,04</w:t>
            </w:r>
          </w:p>
        </w:tc>
        <w:tc>
          <w:tcPr>
            <w:tcW w:w="609" w:type="pct"/>
            <w:tcBorders>
              <w:top w:val="nil"/>
              <w:left w:val="nil"/>
              <w:bottom w:val="nil"/>
              <w:right w:val="single" w:sz="4" w:space="0" w:color="auto"/>
            </w:tcBorders>
            <w:shd w:val="clear" w:color="auto" w:fill="auto"/>
            <w:vAlign w:val="center"/>
            <w:hideMark/>
          </w:tcPr>
          <w:p w14:paraId="629C5232" w14:textId="77777777" w:rsidR="00617362" w:rsidRPr="003B30CD" w:rsidRDefault="00617362" w:rsidP="00617362">
            <w:pPr>
              <w:jc w:val="right"/>
              <w:rPr>
                <w:rFonts w:cs="Arial"/>
                <w:color w:val="000000"/>
                <w:sz w:val="18"/>
                <w:szCs w:val="18"/>
              </w:rPr>
            </w:pPr>
            <w:r w:rsidRPr="003B30CD">
              <w:rPr>
                <w:rFonts w:cs="Arial"/>
                <w:color w:val="000000"/>
                <w:sz w:val="18"/>
                <w:szCs w:val="18"/>
              </w:rPr>
              <w:t>6.923</w:t>
            </w:r>
          </w:p>
        </w:tc>
        <w:tc>
          <w:tcPr>
            <w:tcW w:w="380" w:type="pct"/>
            <w:tcBorders>
              <w:top w:val="nil"/>
              <w:left w:val="nil"/>
              <w:bottom w:val="nil"/>
              <w:right w:val="single" w:sz="4" w:space="0" w:color="auto"/>
            </w:tcBorders>
            <w:shd w:val="clear" w:color="auto" w:fill="auto"/>
            <w:vAlign w:val="center"/>
            <w:hideMark/>
          </w:tcPr>
          <w:p w14:paraId="220A3EA1" w14:textId="77777777" w:rsidR="00617362" w:rsidRPr="003B30CD" w:rsidRDefault="00617362" w:rsidP="00617362">
            <w:pPr>
              <w:jc w:val="center"/>
              <w:rPr>
                <w:rFonts w:cs="Arial"/>
                <w:color w:val="000000"/>
                <w:sz w:val="18"/>
                <w:szCs w:val="18"/>
              </w:rPr>
            </w:pPr>
            <w:r w:rsidRPr="003B30CD">
              <w:rPr>
                <w:rFonts w:cs="Arial"/>
                <w:color w:val="000000"/>
                <w:sz w:val="18"/>
                <w:szCs w:val="18"/>
              </w:rPr>
              <w:t>0,05</w:t>
            </w:r>
          </w:p>
        </w:tc>
        <w:tc>
          <w:tcPr>
            <w:tcW w:w="607" w:type="pct"/>
            <w:tcBorders>
              <w:top w:val="nil"/>
              <w:left w:val="nil"/>
              <w:bottom w:val="nil"/>
              <w:right w:val="single" w:sz="4" w:space="0" w:color="auto"/>
            </w:tcBorders>
            <w:shd w:val="clear" w:color="auto" w:fill="auto"/>
            <w:vAlign w:val="center"/>
            <w:hideMark/>
          </w:tcPr>
          <w:p w14:paraId="7E1160A1" w14:textId="77777777" w:rsidR="00617362" w:rsidRPr="003B30CD" w:rsidRDefault="00617362" w:rsidP="00CC5384">
            <w:pPr>
              <w:jc w:val="right"/>
              <w:rPr>
                <w:rFonts w:cs="Arial"/>
                <w:color w:val="000000"/>
                <w:sz w:val="18"/>
                <w:szCs w:val="18"/>
              </w:rPr>
            </w:pPr>
            <w:r w:rsidRPr="003B30CD">
              <w:rPr>
                <w:rFonts w:cs="Arial"/>
                <w:color w:val="000000"/>
                <w:sz w:val="18"/>
                <w:szCs w:val="18"/>
              </w:rPr>
              <w:t>-</w:t>
            </w:r>
          </w:p>
        </w:tc>
        <w:tc>
          <w:tcPr>
            <w:tcW w:w="373" w:type="pct"/>
            <w:tcBorders>
              <w:top w:val="nil"/>
              <w:left w:val="nil"/>
              <w:bottom w:val="nil"/>
              <w:right w:val="nil"/>
            </w:tcBorders>
            <w:shd w:val="clear" w:color="auto" w:fill="auto"/>
            <w:vAlign w:val="center"/>
            <w:hideMark/>
          </w:tcPr>
          <w:p w14:paraId="7BB4FEE4" w14:textId="77777777" w:rsidR="00617362" w:rsidRPr="003B30CD" w:rsidRDefault="00617362" w:rsidP="00617362">
            <w:pPr>
              <w:jc w:val="center"/>
              <w:rPr>
                <w:rFonts w:cs="Arial"/>
                <w:color w:val="000000"/>
                <w:sz w:val="18"/>
                <w:szCs w:val="18"/>
              </w:rPr>
            </w:pPr>
            <w:r w:rsidRPr="003B30CD">
              <w:rPr>
                <w:rFonts w:cs="Arial"/>
                <w:color w:val="000000"/>
                <w:sz w:val="18"/>
                <w:szCs w:val="18"/>
              </w:rPr>
              <w:t>-</w:t>
            </w:r>
          </w:p>
        </w:tc>
      </w:tr>
      <w:tr w:rsidR="00617362" w:rsidRPr="003B30CD" w14:paraId="785E742C" w14:textId="77777777" w:rsidTr="000A561C">
        <w:trPr>
          <w:trHeight w:val="340"/>
        </w:trPr>
        <w:tc>
          <w:tcPr>
            <w:tcW w:w="1970" w:type="pct"/>
            <w:tcBorders>
              <w:top w:val="nil"/>
              <w:left w:val="nil"/>
              <w:bottom w:val="nil"/>
              <w:right w:val="single" w:sz="4" w:space="0" w:color="auto"/>
            </w:tcBorders>
            <w:shd w:val="clear" w:color="auto" w:fill="auto"/>
            <w:vAlign w:val="center"/>
            <w:hideMark/>
          </w:tcPr>
          <w:p w14:paraId="3AECB76B" w14:textId="77777777" w:rsidR="00617362" w:rsidRPr="003B30CD" w:rsidRDefault="00617362" w:rsidP="003B30CD">
            <w:pPr>
              <w:ind w:left="67"/>
              <w:jc w:val="left"/>
              <w:rPr>
                <w:rFonts w:cs="Arial"/>
                <w:color w:val="333333"/>
                <w:sz w:val="18"/>
                <w:szCs w:val="18"/>
              </w:rPr>
            </w:pPr>
            <w:r w:rsidRPr="003B30CD">
              <w:rPr>
                <w:rFonts w:cs="Arial"/>
                <w:color w:val="333333"/>
                <w:sz w:val="18"/>
                <w:szCs w:val="18"/>
              </w:rPr>
              <w:t>Dívida Ativa Tributária</w:t>
            </w:r>
          </w:p>
        </w:tc>
        <w:tc>
          <w:tcPr>
            <w:tcW w:w="607" w:type="pct"/>
            <w:tcBorders>
              <w:top w:val="nil"/>
              <w:left w:val="nil"/>
              <w:bottom w:val="nil"/>
              <w:right w:val="single" w:sz="4" w:space="0" w:color="auto"/>
            </w:tcBorders>
            <w:shd w:val="clear" w:color="auto" w:fill="auto"/>
            <w:vAlign w:val="center"/>
            <w:hideMark/>
          </w:tcPr>
          <w:p w14:paraId="26454BF4" w14:textId="77777777" w:rsidR="00617362" w:rsidRPr="003B30CD" w:rsidRDefault="00617362" w:rsidP="00617362">
            <w:pPr>
              <w:jc w:val="right"/>
              <w:rPr>
                <w:rFonts w:cs="Arial"/>
                <w:color w:val="000000"/>
                <w:sz w:val="18"/>
                <w:szCs w:val="18"/>
              </w:rPr>
            </w:pPr>
            <w:r w:rsidRPr="003B30CD">
              <w:rPr>
                <w:rFonts w:cs="Arial"/>
                <w:color w:val="000000"/>
                <w:sz w:val="18"/>
                <w:szCs w:val="18"/>
              </w:rPr>
              <w:t>19.642.139</w:t>
            </w:r>
          </w:p>
        </w:tc>
        <w:tc>
          <w:tcPr>
            <w:tcW w:w="454" w:type="pct"/>
            <w:tcBorders>
              <w:top w:val="nil"/>
              <w:left w:val="nil"/>
              <w:bottom w:val="nil"/>
              <w:right w:val="single" w:sz="4" w:space="0" w:color="auto"/>
            </w:tcBorders>
            <w:shd w:val="clear" w:color="auto" w:fill="auto"/>
            <w:vAlign w:val="center"/>
            <w:hideMark/>
          </w:tcPr>
          <w:p w14:paraId="4B7F9F70" w14:textId="77777777" w:rsidR="00617362" w:rsidRPr="003B30CD" w:rsidRDefault="00617362" w:rsidP="00617362">
            <w:pPr>
              <w:jc w:val="center"/>
              <w:rPr>
                <w:rFonts w:cs="Arial"/>
                <w:color w:val="000000"/>
                <w:sz w:val="18"/>
                <w:szCs w:val="18"/>
              </w:rPr>
            </w:pPr>
            <w:r w:rsidRPr="003B30CD">
              <w:rPr>
                <w:rFonts w:cs="Arial"/>
                <w:color w:val="000000"/>
                <w:sz w:val="18"/>
                <w:szCs w:val="18"/>
              </w:rPr>
              <w:t>110,41</w:t>
            </w:r>
          </w:p>
        </w:tc>
        <w:tc>
          <w:tcPr>
            <w:tcW w:w="609" w:type="pct"/>
            <w:tcBorders>
              <w:top w:val="nil"/>
              <w:left w:val="nil"/>
              <w:bottom w:val="nil"/>
              <w:right w:val="single" w:sz="4" w:space="0" w:color="auto"/>
            </w:tcBorders>
            <w:shd w:val="clear" w:color="auto" w:fill="auto"/>
            <w:vAlign w:val="center"/>
            <w:hideMark/>
          </w:tcPr>
          <w:p w14:paraId="7A1476AF" w14:textId="77777777" w:rsidR="00617362" w:rsidRPr="003B30CD" w:rsidRDefault="00617362" w:rsidP="00617362">
            <w:pPr>
              <w:jc w:val="right"/>
              <w:rPr>
                <w:rFonts w:cs="Arial"/>
                <w:color w:val="000000"/>
                <w:sz w:val="18"/>
                <w:szCs w:val="18"/>
              </w:rPr>
            </w:pPr>
            <w:r w:rsidRPr="003B30CD">
              <w:rPr>
                <w:rFonts w:cs="Arial"/>
                <w:color w:val="000000"/>
                <w:sz w:val="18"/>
                <w:szCs w:val="18"/>
              </w:rPr>
              <w:t>2.479.202</w:t>
            </w:r>
          </w:p>
        </w:tc>
        <w:tc>
          <w:tcPr>
            <w:tcW w:w="380" w:type="pct"/>
            <w:tcBorders>
              <w:top w:val="nil"/>
              <w:left w:val="nil"/>
              <w:bottom w:val="nil"/>
              <w:right w:val="single" w:sz="4" w:space="0" w:color="auto"/>
            </w:tcBorders>
            <w:shd w:val="clear" w:color="auto" w:fill="auto"/>
            <w:vAlign w:val="center"/>
            <w:hideMark/>
          </w:tcPr>
          <w:p w14:paraId="7E1A0019" w14:textId="77777777" w:rsidR="00617362" w:rsidRPr="003B30CD" w:rsidRDefault="00617362" w:rsidP="00617362">
            <w:pPr>
              <w:jc w:val="center"/>
              <w:rPr>
                <w:rFonts w:cs="Arial"/>
                <w:color w:val="000000"/>
                <w:sz w:val="18"/>
                <w:szCs w:val="18"/>
              </w:rPr>
            </w:pPr>
            <w:r w:rsidRPr="003B30CD">
              <w:rPr>
                <w:rFonts w:cs="Arial"/>
                <w:color w:val="000000"/>
                <w:sz w:val="18"/>
                <w:szCs w:val="18"/>
              </w:rPr>
              <w:t>16,29</w:t>
            </w:r>
          </w:p>
        </w:tc>
        <w:tc>
          <w:tcPr>
            <w:tcW w:w="607" w:type="pct"/>
            <w:tcBorders>
              <w:top w:val="nil"/>
              <w:left w:val="nil"/>
              <w:bottom w:val="nil"/>
              <w:right w:val="single" w:sz="4" w:space="0" w:color="auto"/>
            </w:tcBorders>
            <w:shd w:val="clear" w:color="auto" w:fill="auto"/>
            <w:vAlign w:val="center"/>
            <w:hideMark/>
          </w:tcPr>
          <w:p w14:paraId="4682A7E8" w14:textId="77777777" w:rsidR="00617362" w:rsidRPr="003B30CD" w:rsidRDefault="00617362" w:rsidP="00CC5384">
            <w:pPr>
              <w:jc w:val="right"/>
              <w:rPr>
                <w:rFonts w:cs="Arial"/>
                <w:color w:val="000000"/>
                <w:sz w:val="18"/>
                <w:szCs w:val="18"/>
              </w:rPr>
            </w:pPr>
            <w:r w:rsidRPr="003B30CD">
              <w:rPr>
                <w:rFonts w:cs="Arial"/>
                <w:color w:val="000000"/>
                <w:sz w:val="18"/>
                <w:szCs w:val="18"/>
              </w:rPr>
              <w:t>17.162.938</w:t>
            </w:r>
          </w:p>
        </w:tc>
        <w:tc>
          <w:tcPr>
            <w:tcW w:w="373" w:type="pct"/>
            <w:tcBorders>
              <w:top w:val="nil"/>
              <w:left w:val="nil"/>
              <w:bottom w:val="nil"/>
              <w:right w:val="nil"/>
            </w:tcBorders>
            <w:shd w:val="clear" w:color="auto" w:fill="auto"/>
            <w:vAlign w:val="center"/>
            <w:hideMark/>
          </w:tcPr>
          <w:p w14:paraId="1D704D9E" w14:textId="77777777" w:rsidR="00617362" w:rsidRPr="003B30CD" w:rsidRDefault="00617362" w:rsidP="00617362">
            <w:pPr>
              <w:jc w:val="center"/>
              <w:rPr>
                <w:rFonts w:cs="Arial"/>
                <w:color w:val="000000"/>
                <w:sz w:val="18"/>
                <w:szCs w:val="18"/>
              </w:rPr>
            </w:pPr>
            <w:r w:rsidRPr="003B30CD">
              <w:rPr>
                <w:rFonts w:cs="Arial"/>
                <w:color w:val="000000"/>
                <w:sz w:val="18"/>
                <w:szCs w:val="18"/>
              </w:rPr>
              <w:t>692,28</w:t>
            </w:r>
          </w:p>
        </w:tc>
      </w:tr>
      <w:tr w:rsidR="00617362" w:rsidRPr="003B30CD" w14:paraId="01D66DB3" w14:textId="77777777" w:rsidTr="000A561C">
        <w:trPr>
          <w:trHeight w:val="340"/>
        </w:trPr>
        <w:tc>
          <w:tcPr>
            <w:tcW w:w="1970" w:type="pct"/>
            <w:tcBorders>
              <w:top w:val="nil"/>
              <w:left w:val="nil"/>
              <w:bottom w:val="nil"/>
              <w:right w:val="single" w:sz="4" w:space="0" w:color="auto"/>
            </w:tcBorders>
            <w:shd w:val="clear" w:color="auto" w:fill="auto"/>
            <w:vAlign w:val="center"/>
            <w:hideMark/>
          </w:tcPr>
          <w:p w14:paraId="5A9BAAA7" w14:textId="77777777" w:rsidR="00617362" w:rsidRPr="003B30CD" w:rsidRDefault="00617362" w:rsidP="003B30CD">
            <w:pPr>
              <w:ind w:left="67"/>
              <w:jc w:val="left"/>
              <w:rPr>
                <w:rFonts w:cs="Arial"/>
                <w:color w:val="333333"/>
                <w:sz w:val="18"/>
                <w:szCs w:val="18"/>
              </w:rPr>
            </w:pPr>
            <w:r w:rsidRPr="003B30CD">
              <w:rPr>
                <w:rFonts w:cs="Arial"/>
                <w:color w:val="333333"/>
                <w:sz w:val="18"/>
                <w:szCs w:val="18"/>
              </w:rPr>
              <w:t xml:space="preserve">Dívida Ativa Não Tributária </w:t>
            </w:r>
          </w:p>
        </w:tc>
        <w:tc>
          <w:tcPr>
            <w:tcW w:w="607" w:type="pct"/>
            <w:tcBorders>
              <w:top w:val="nil"/>
              <w:left w:val="nil"/>
              <w:bottom w:val="nil"/>
              <w:right w:val="single" w:sz="4" w:space="0" w:color="auto"/>
            </w:tcBorders>
            <w:shd w:val="clear" w:color="auto" w:fill="auto"/>
            <w:vAlign w:val="center"/>
            <w:hideMark/>
          </w:tcPr>
          <w:p w14:paraId="20EEAD73" w14:textId="77777777" w:rsidR="00617362" w:rsidRPr="003B30CD" w:rsidRDefault="00617362" w:rsidP="00617362">
            <w:pPr>
              <w:jc w:val="right"/>
              <w:rPr>
                <w:rFonts w:cs="Arial"/>
                <w:color w:val="000000"/>
                <w:sz w:val="18"/>
                <w:szCs w:val="18"/>
              </w:rPr>
            </w:pPr>
            <w:r w:rsidRPr="003B30CD">
              <w:rPr>
                <w:rFonts w:cs="Arial"/>
                <w:color w:val="000000"/>
                <w:sz w:val="18"/>
                <w:szCs w:val="18"/>
              </w:rPr>
              <w:t>2.526</w:t>
            </w:r>
          </w:p>
        </w:tc>
        <w:tc>
          <w:tcPr>
            <w:tcW w:w="454" w:type="pct"/>
            <w:tcBorders>
              <w:top w:val="nil"/>
              <w:left w:val="nil"/>
              <w:bottom w:val="nil"/>
              <w:right w:val="single" w:sz="4" w:space="0" w:color="auto"/>
            </w:tcBorders>
            <w:shd w:val="clear" w:color="auto" w:fill="auto"/>
            <w:vAlign w:val="center"/>
            <w:hideMark/>
          </w:tcPr>
          <w:p w14:paraId="7F80D403" w14:textId="77777777" w:rsidR="00617362" w:rsidRPr="003B30CD" w:rsidRDefault="00617362" w:rsidP="00617362">
            <w:pPr>
              <w:jc w:val="center"/>
              <w:rPr>
                <w:rFonts w:cs="Arial"/>
                <w:color w:val="000000"/>
                <w:sz w:val="18"/>
                <w:szCs w:val="18"/>
              </w:rPr>
            </w:pPr>
            <w:r w:rsidRPr="003B30CD">
              <w:rPr>
                <w:rFonts w:cs="Arial"/>
                <w:color w:val="000000"/>
                <w:sz w:val="18"/>
                <w:szCs w:val="18"/>
              </w:rPr>
              <w:t>0,01</w:t>
            </w:r>
          </w:p>
        </w:tc>
        <w:tc>
          <w:tcPr>
            <w:tcW w:w="609" w:type="pct"/>
            <w:tcBorders>
              <w:top w:val="nil"/>
              <w:left w:val="nil"/>
              <w:bottom w:val="nil"/>
              <w:right w:val="single" w:sz="4" w:space="0" w:color="auto"/>
            </w:tcBorders>
            <w:shd w:val="clear" w:color="auto" w:fill="auto"/>
            <w:vAlign w:val="center"/>
            <w:hideMark/>
          </w:tcPr>
          <w:p w14:paraId="0C5282FC" w14:textId="77777777" w:rsidR="00617362" w:rsidRPr="003B30CD" w:rsidRDefault="00617362" w:rsidP="00617362">
            <w:pPr>
              <w:jc w:val="right"/>
              <w:rPr>
                <w:rFonts w:cs="Arial"/>
                <w:color w:val="000000"/>
                <w:sz w:val="18"/>
                <w:szCs w:val="18"/>
              </w:rPr>
            </w:pPr>
            <w:r w:rsidRPr="003B30CD">
              <w:rPr>
                <w:rFonts w:cs="Arial"/>
                <w:color w:val="000000"/>
                <w:sz w:val="18"/>
                <w:szCs w:val="18"/>
              </w:rPr>
              <w:t>9.579</w:t>
            </w:r>
          </w:p>
        </w:tc>
        <w:tc>
          <w:tcPr>
            <w:tcW w:w="380" w:type="pct"/>
            <w:tcBorders>
              <w:top w:val="nil"/>
              <w:left w:val="nil"/>
              <w:bottom w:val="nil"/>
              <w:right w:val="single" w:sz="4" w:space="0" w:color="auto"/>
            </w:tcBorders>
            <w:shd w:val="clear" w:color="auto" w:fill="auto"/>
            <w:vAlign w:val="center"/>
            <w:hideMark/>
          </w:tcPr>
          <w:p w14:paraId="5477B5D1" w14:textId="77777777" w:rsidR="00617362" w:rsidRPr="003B30CD" w:rsidRDefault="00617362" w:rsidP="00617362">
            <w:pPr>
              <w:jc w:val="center"/>
              <w:rPr>
                <w:rFonts w:cs="Arial"/>
                <w:color w:val="000000"/>
                <w:sz w:val="18"/>
                <w:szCs w:val="18"/>
              </w:rPr>
            </w:pPr>
            <w:r w:rsidRPr="003B30CD">
              <w:rPr>
                <w:rFonts w:cs="Arial"/>
                <w:color w:val="000000"/>
                <w:sz w:val="18"/>
                <w:szCs w:val="18"/>
              </w:rPr>
              <w:t>0,06</w:t>
            </w:r>
          </w:p>
        </w:tc>
        <w:tc>
          <w:tcPr>
            <w:tcW w:w="607" w:type="pct"/>
            <w:tcBorders>
              <w:top w:val="nil"/>
              <w:left w:val="nil"/>
              <w:bottom w:val="nil"/>
              <w:right w:val="single" w:sz="4" w:space="0" w:color="auto"/>
            </w:tcBorders>
            <w:shd w:val="clear" w:color="auto" w:fill="auto"/>
            <w:vAlign w:val="center"/>
            <w:hideMark/>
          </w:tcPr>
          <w:p w14:paraId="0F86FC94" w14:textId="77777777" w:rsidR="00617362" w:rsidRPr="003B30CD" w:rsidRDefault="00617362" w:rsidP="00CC5384">
            <w:pPr>
              <w:jc w:val="right"/>
              <w:rPr>
                <w:rFonts w:cs="Arial"/>
                <w:color w:val="000000"/>
                <w:sz w:val="18"/>
                <w:szCs w:val="18"/>
              </w:rPr>
            </w:pPr>
            <w:r w:rsidRPr="003B30CD">
              <w:rPr>
                <w:rFonts w:cs="Arial"/>
                <w:color w:val="FF0000"/>
                <w:sz w:val="18"/>
                <w:szCs w:val="18"/>
              </w:rPr>
              <w:t>(7.053)</w:t>
            </w:r>
          </w:p>
        </w:tc>
        <w:tc>
          <w:tcPr>
            <w:tcW w:w="373" w:type="pct"/>
            <w:tcBorders>
              <w:top w:val="nil"/>
              <w:left w:val="nil"/>
              <w:bottom w:val="nil"/>
              <w:right w:val="nil"/>
            </w:tcBorders>
            <w:shd w:val="clear" w:color="auto" w:fill="auto"/>
            <w:vAlign w:val="center"/>
            <w:hideMark/>
          </w:tcPr>
          <w:p w14:paraId="48947196" w14:textId="77777777" w:rsidR="00617362" w:rsidRPr="003B30CD" w:rsidRDefault="00617362" w:rsidP="00CC5384">
            <w:pPr>
              <w:ind w:left="-80"/>
              <w:jc w:val="center"/>
              <w:rPr>
                <w:rFonts w:cs="Arial"/>
                <w:color w:val="000000"/>
                <w:sz w:val="18"/>
                <w:szCs w:val="18"/>
              </w:rPr>
            </w:pPr>
            <w:r w:rsidRPr="003B30CD">
              <w:rPr>
                <w:rFonts w:cs="Arial"/>
                <w:color w:val="FF0000"/>
                <w:sz w:val="18"/>
                <w:szCs w:val="18"/>
              </w:rPr>
              <w:t>(73,63)</w:t>
            </w:r>
          </w:p>
        </w:tc>
      </w:tr>
      <w:tr w:rsidR="00617362" w:rsidRPr="003B30CD" w14:paraId="7C99DF94" w14:textId="77777777" w:rsidTr="000A561C">
        <w:trPr>
          <w:trHeight w:val="340"/>
        </w:trPr>
        <w:tc>
          <w:tcPr>
            <w:tcW w:w="1970" w:type="pct"/>
            <w:tcBorders>
              <w:top w:val="nil"/>
              <w:left w:val="nil"/>
              <w:bottom w:val="single" w:sz="4" w:space="0" w:color="auto"/>
              <w:right w:val="single" w:sz="4" w:space="0" w:color="auto"/>
            </w:tcBorders>
            <w:shd w:val="clear" w:color="auto" w:fill="auto"/>
            <w:vAlign w:val="center"/>
            <w:hideMark/>
          </w:tcPr>
          <w:p w14:paraId="1A3B1637" w14:textId="77777777" w:rsidR="00617362" w:rsidRPr="003B30CD" w:rsidRDefault="00617362" w:rsidP="003B30CD">
            <w:pPr>
              <w:ind w:left="67"/>
              <w:jc w:val="left"/>
              <w:rPr>
                <w:rFonts w:cs="Arial"/>
                <w:color w:val="333333"/>
                <w:sz w:val="18"/>
                <w:szCs w:val="18"/>
              </w:rPr>
            </w:pPr>
            <w:r w:rsidRPr="003B30CD">
              <w:rPr>
                <w:rFonts w:cs="Arial"/>
                <w:color w:val="333333"/>
                <w:sz w:val="18"/>
                <w:szCs w:val="18"/>
              </w:rPr>
              <w:t>(-) Ajuste de Perdas de Créditos A Curto Prazo</w:t>
            </w:r>
          </w:p>
        </w:tc>
        <w:tc>
          <w:tcPr>
            <w:tcW w:w="607" w:type="pct"/>
            <w:tcBorders>
              <w:top w:val="nil"/>
              <w:left w:val="nil"/>
              <w:bottom w:val="single" w:sz="4" w:space="0" w:color="auto"/>
              <w:right w:val="single" w:sz="4" w:space="0" w:color="auto"/>
            </w:tcBorders>
            <w:shd w:val="clear" w:color="auto" w:fill="auto"/>
            <w:vAlign w:val="center"/>
            <w:hideMark/>
          </w:tcPr>
          <w:p w14:paraId="67CFF992" w14:textId="77777777" w:rsidR="00617362" w:rsidRPr="003B30CD" w:rsidRDefault="00617362" w:rsidP="00CC5384">
            <w:pPr>
              <w:ind w:left="-70"/>
              <w:jc w:val="right"/>
              <w:rPr>
                <w:rFonts w:cs="Arial"/>
                <w:color w:val="000000"/>
                <w:sz w:val="18"/>
                <w:szCs w:val="18"/>
              </w:rPr>
            </w:pPr>
            <w:r w:rsidRPr="003B30CD">
              <w:rPr>
                <w:rFonts w:cs="Arial"/>
                <w:color w:val="FF0000"/>
                <w:sz w:val="18"/>
                <w:szCs w:val="18"/>
              </w:rPr>
              <w:t>(19.330.667)</w:t>
            </w:r>
          </w:p>
        </w:tc>
        <w:tc>
          <w:tcPr>
            <w:tcW w:w="454" w:type="pct"/>
            <w:tcBorders>
              <w:top w:val="nil"/>
              <w:left w:val="nil"/>
              <w:bottom w:val="single" w:sz="4" w:space="0" w:color="auto"/>
              <w:right w:val="single" w:sz="4" w:space="0" w:color="auto"/>
            </w:tcBorders>
            <w:shd w:val="clear" w:color="auto" w:fill="auto"/>
            <w:vAlign w:val="center"/>
            <w:hideMark/>
          </w:tcPr>
          <w:p w14:paraId="30A652B9" w14:textId="77777777" w:rsidR="00617362" w:rsidRPr="003B30CD" w:rsidRDefault="00617362" w:rsidP="00617362">
            <w:pPr>
              <w:jc w:val="center"/>
              <w:rPr>
                <w:rFonts w:cs="Arial"/>
                <w:color w:val="000000"/>
                <w:sz w:val="18"/>
                <w:szCs w:val="18"/>
              </w:rPr>
            </w:pPr>
            <w:r w:rsidRPr="003B30CD">
              <w:rPr>
                <w:rFonts w:cs="Arial"/>
                <w:color w:val="FF0000"/>
                <w:sz w:val="18"/>
                <w:szCs w:val="18"/>
              </w:rPr>
              <w:t>(108,66)</w:t>
            </w:r>
          </w:p>
        </w:tc>
        <w:tc>
          <w:tcPr>
            <w:tcW w:w="609" w:type="pct"/>
            <w:tcBorders>
              <w:top w:val="nil"/>
              <w:left w:val="nil"/>
              <w:bottom w:val="single" w:sz="4" w:space="0" w:color="auto"/>
              <w:right w:val="single" w:sz="4" w:space="0" w:color="auto"/>
            </w:tcBorders>
            <w:shd w:val="clear" w:color="auto" w:fill="auto"/>
            <w:vAlign w:val="center"/>
            <w:hideMark/>
          </w:tcPr>
          <w:p w14:paraId="77C04045" w14:textId="72B35DCC" w:rsidR="00617362" w:rsidRPr="003B30CD" w:rsidRDefault="00617362" w:rsidP="00617362">
            <w:pPr>
              <w:jc w:val="right"/>
              <w:rPr>
                <w:rFonts w:cs="Arial"/>
                <w:color w:val="000000"/>
                <w:sz w:val="18"/>
                <w:szCs w:val="18"/>
              </w:rPr>
            </w:pPr>
            <w:r w:rsidRPr="003B30CD">
              <w:rPr>
                <w:rFonts w:cs="Arial"/>
                <w:color w:val="FF0000"/>
                <w:sz w:val="18"/>
                <w:szCs w:val="18"/>
              </w:rPr>
              <w:t>(2</w:t>
            </w:r>
            <w:r w:rsidR="00CC5384">
              <w:rPr>
                <w:rFonts w:cs="Arial"/>
                <w:color w:val="FF0000"/>
                <w:sz w:val="18"/>
                <w:szCs w:val="18"/>
              </w:rPr>
              <w:t>.</w:t>
            </w:r>
            <w:r w:rsidRPr="003B30CD">
              <w:rPr>
                <w:rFonts w:cs="Arial"/>
                <w:color w:val="FF0000"/>
                <w:sz w:val="18"/>
                <w:szCs w:val="18"/>
              </w:rPr>
              <w:t>155.417)</w:t>
            </w:r>
          </w:p>
        </w:tc>
        <w:tc>
          <w:tcPr>
            <w:tcW w:w="380" w:type="pct"/>
            <w:tcBorders>
              <w:top w:val="nil"/>
              <w:left w:val="nil"/>
              <w:bottom w:val="single" w:sz="4" w:space="0" w:color="auto"/>
              <w:right w:val="single" w:sz="4" w:space="0" w:color="auto"/>
            </w:tcBorders>
            <w:shd w:val="clear" w:color="auto" w:fill="auto"/>
            <w:vAlign w:val="center"/>
            <w:hideMark/>
          </w:tcPr>
          <w:p w14:paraId="256E98B2" w14:textId="77777777" w:rsidR="00617362" w:rsidRPr="003B30CD" w:rsidRDefault="00617362" w:rsidP="00617362">
            <w:pPr>
              <w:jc w:val="center"/>
              <w:rPr>
                <w:rFonts w:cs="Arial"/>
                <w:color w:val="000000"/>
                <w:sz w:val="18"/>
                <w:szCs w:val="18"/>
              </w:rPr>
            </w:pPr>
            <w:r w:rsidRPr="003B30CD">
              <w:rPr>
                <w:rFonts w:cs="Arial"/>
                <w:color w:val="FF0000"/>
                <w:sz w:val="18"/>
                <w:szCs w:val="18"/>
              </w:rPr>
              <w:t>(14,16)</w:t>
            </w:r>
          </w:p>
        </w:tc>
        <w:tc>
          <w:tcPr>
            <w:tcW w:w="607" w:type="pct"/>
            <w:tcBorders>
              <w:top w:val="nil"/>
              <w:left w:val="nil"/>
              <w:bottom w:val="single" w:sz="4" w:space="0" w:color="auto"/>
              <w:right w:val="single" w:sz="4" w:space="0" w:color="auto"/>
            </w:tcBorders>
            <w:shd w:val="clear" w:color="auto" w:fill="auto"/>
            <w:vAlign w:val="center"/>
            <w:hideMark/>
          </w:tcPr>
          <w:p w14:paraId="1EE4A16F" w14:textId="77777777" w:rsidR="00617362" w:rsidRPr="003B30CD" w:rsidRDefault="00617362" w:rsidP="00CC5384">
            <w:pPr>
              <w:ind w:left="-75"/>
              <w:jc w:val="right"/>
              <w:rPr>
                <w:rFonts w:cs="Arial"/>
                <w:color w:val="000000"/>
                <w:sz w:val="18"/>
                <w:szCs w:val="18"/>
              </w:rPr>
            </w:pPr>
            <w:r w:rsidRPr="003B30CD">
              <w:rPr>
                <w:rFonts w:cs="Arial"/>
                <w:color w:val="FF0000"/>
                <w:sz w:val="18"/>
                <w:szCs w:val="18"/>
              </w:rPr>
              <w:t>(17.175.250)</w:t>
            </w:r>
          </w:p>
        </w:tc>
        <w:tc>
          <w:tcPr>
            <w:tcW w:w="373" w:type="pct"/>
            <w:tcBorders>
              <w:top w:val="nil"/>
              <w:left w:val="nil"/>
              <w:bottom w:val="single" w:sz="4" w:space="0" w:color="auto"/>
              <w:right w:val="nil"/>
            </w:tcBorders>
            <w:shd w:val="clear" w:color="auto" w:fill="auto"/>
            <w:vAlign w:val="center"/>
            <w:hideMark/>
          </w:tcPr>
          <w:p w14:paraId="4411DEB7" w14:textId="77777777" w:rsidR="00617362" w:rsidRPr="003B30CD" w:rsidRDefault="00617362" w:rsidP="00617362">
            <w:pPr>
              <w:jc w:val="center"/>
              <w:rPr>
                <w:rFonts w:cs="Arial"/>
                <w:color w:val="000000"/>
                <w:sz w:val="18"/>
                <w:szCs w:val="18"/>
              </w:rPr>
            </w:pPr>
            <w:r w:rsidRPr="003B30CD">
              <w:rPr>
                <w:rFonts w:cs="Arial"/>
                <w:color w:val="000000"/>
                <w:sz w:val="18"/>
                <w:szCs w:val="18"/>
              </w:rPr>
              <w:t>796,84</w:t>
            </w:r>
          </w:p>
        </w:tc>
      </w:tr>
      <w:tr w:rsidR="00617362" w:rsidRPr="003B30CD" w14:paraId="239CF94E" w14:textId="77777777" w:rsidTr="000A561C">
        <w:trPr>
          <w:trHeight w:val="340"/>
        </w:trPr>
        <w:tc>
          <w:tcPr>
            <w:tcW w:w="1970" w:type="pct"/>
            <w:tcBorders>
              <w:top w:val="single" w:sz="4" w:space="0" w:color="auto"/>
              <w:left w:val="nil"/>
              <w:bottom w:val="single" w:sz="4" w:space="0" w:color="auto"/>
              <w:right w:val="single" w:sz="4" w:space="0" w:color="auto"/>
            </w:tcBorders>
            <w:shd w:val="clear" w:color="auto" w:fill="auto"/>
            <w:vAlign w:val="center"/>
          </w:tcPr>
          <w:p w14:paraId="36232D72" w14:textId="77777777" w:rsidR="00617362" w:rsidRPr="003B30CD" w:rsidRDefault="00617362" w:rsidP="00617362">
            <w:pPr>
              <w:jc w:val="center"/>
              <w:rPr>
                <w:rFonts w:cs="Arial"/>
                <w:b/>
                <w:color w:val="333333"/>
                <w:sz w:val="18"/>
                <w:szCs w:val="18"/>
              </w:rPr>
            </w:pPr>
            <w:r w:rsidRPr="003B30CD">
              <w:rPr>
                <w:rFonts w:cs="Arial"/>
                <w:b/>
                <w:color w:val="333333"/>
                <w:sz w:val="18"/>
                <w:szCs w:val="18"/>
              </w:rPr>
              <w:t>Total</w:t>
            </w:r>
          </w:p>
        </w:tc>
        <w:tc>
          <w:tcPr>
            <w:tcW w:w="607" w:type="pct"/>
            <w:tcBorders>
              <w:top w:val="single" w:sz="4" w:space="0" w:color="auto"/>
              <w:left w:val="nil"/>
              <w:bottom w:val="single" w:sz="4" w:space="0" w:color="auto"/>
              <w:right w:val="single" w:sz="4" w:space="0" w:color="auto"/>
            </w:tcBorders>
            <w:shd w:val="clear" w:color="auto" w:fill="auto"/>
            <w:vAlign w:val="center"/>
          </w:tcPr>
          <w:p w14:paraId="7E9351D7" w14:textId="77777777" w:rsidR="00617362" w:rsidRPr="003B30CD" w:rsidRDefault="00617362" w:rsidP="00617362">
            <w:pPr>
              <w:jc w:val="right"/>
              <w:rPr>
                <w:rFonts w:cs="Arial"/>
                <w:color w:val="FF0000"/>
                <w:sz w:val="18"/>
                <w:szCs w:val="18"/>
              </w:rPr>
            </w:pPr>
            <w:r w:rsidRPr="003B30CD">
              <w:rPr>
                <w:rFonts w:cs="Arial"/>
                <w:b/>
                <w:bCs/>
                <w:color w:val="000000"/>
                <w:sz w:val="18"/>
                <w:szCs w:val="18"/>
              </w:rPr>
              <w:t>17.789.950</w:t>
            </w:r>
          </w:p>
        </w:tc>
        <w:tc>
          <w:tcPr>
            <w:tcW w:w="454" w:type="pct"/>
            <w:tcBorders>
              <w:top w:val="single" w:sz="4" w:space="0" w:color="auto"/>
              <w:left w:val="nil"/>
              <w:bottom w:val="single" w:sz="4" w:space="0" w:color="auto"/>
              <w:right w:val="single" w:sz="4" w:space="0" w:color="auto"/>
            </w:tcBorders>
            <w:shd w:val="clear" w:color="auto" w:fill="auto"/>
            <w:vAlign w:val="center"/>
          </w:tcPr>
          <w:p w14:paraId="74B7A6BB" w14:textId="77777777" w:rsidR="00617362" w:rsidRPr="003B30CD" w:rsidRDefault="00617362" w:rsidP="00617362">
            <w:pPr>
              <w:jc w:val="center"/>
              <w:rPr>
                <w:rFonts w:cs="Arial"/>
                <w:color w:val="FF0000"/>
                <w:sz w:val="18"/>
                <w:szCs w:val="18"/>
              </w:rPr>
            </w:pPr>
            <w:r w:rsidRPr="003B30CD">
              <w:rPr>
                <w:rFonts w:cs="Arial"/>
                <w:b/>
                <w:bCs/>
                <w:color w:val="000000"/>
                <w:sz w:val="18"/>
                <w:szCs w:val="18"/>
              </w:rPr>
              <w:t>100,00</w:t>
            </w:r>
          </w:p>
        </w:tc>
        <w:tc>
          <w:tcPr>
            <w:tcW w:w="609" w:type="pct"/>
            <w:tcBorders>
              <w:top w:val="single" w:sz="4" w:space="0" w:color="auto"/>
              <w:left w:val="nil"/>
              <w:bottom w:val="single" w:sz="4" w:space="0" w:color="auto"/>
              <w:right w:val="single" w:sz="4" w:space="0" w:color="auto"/>
            </w:tcBorders>
            <w:shd w:val="clear" w:color="auto" w:fill="auto"/>
            <w:vAlign w:val="center"/>
          </w:tcPr>
          <w:p w14:paraId="44843710" w14:textId="77777777" w:rsidR="00617362" w:rsidRPr="003B30CD" w:rsidRDefault="00617362" w:rsidP="00617362">
            <w:pPr>
              <w:jc w:val="right"/>
              <w:rPr>
                <w:rFonts w:cs="Arial"/>
                <w:color w:val="FF0000"/>
                <w:sz w:val="18"/>
                <w:szCs w:val="18"/>
              </w:rPr>
            </w:pPr>
            <w:r w:rsidRPr="003B30CD">
              <w:rPr>
                <w:rFonts w:cs="Arial"/>
                <w:b/>
                <w:bCs/>
                <w:color w:val="000000"/>
                <w:sz w:val="18"/>
                <w:szCs w:val="18"/>
              </w:rPr>
              <w:t>15.219.907</w:t>
            </w:r>
          </w:p>
        </w:tc>
        <w:tc>
          <w:tcPr>
            <w:tcW w:w="380" w:type="pct"/>
            <w:tcBorders>
              <w:top w:val="single" w:sz="4" w:space="0" w:color="auto"/>
              <w:left w:val="nil"/>
              <w:bottom w:val="single" w:sz="4" w:space="0" w:color="auto"/>
              <w:right w:val="single" w:sz="4" w:space="0" w:color="auto"/>
            </w:tcBorders>
            <w:shd w:val="clear" w:color="auto" w:fill="auto"/>
            <w:vAlign w:val="center"/>
          </w:tcPr>
          <w:p w14:paraId="1F4146A4" w14:textId="77777777" w:rsidR="00617362" w:rsidRPr="003B30CD" w:rsidRDefault="00617362" w:rsidP="00617362">
            <w:pPr>
              <w:jc w:val="center"/>
              <w:rPr>
                <w:rFonts w:cs="Arial"/>
                <w:color w:val="FF0000"/>
                <w:sz w:val="18"/>
                <w:szCs w:val="18"/>
              </w:rPr>
            </w:pPr>
            <w:r w:rsidRPr="003B30CD">
              <w:rPr>
                <w:rFonts w:cs="Arial"/>
                <w:b/>
                <w:bCs/>
                <w:color w:val="000000"/>
                <w:sz w:val="18"/>
                <w:szCs w:val="18"/>
              </w:rPr>
              <w:t>100,00</w:t>
            </w:r>
          </w:p>
        </w:tc>
        <w:tc>
          <w:tcPr>
            <w:tcW w:w="607" w:type="pct"/>
            <w:tcBorders>
              <w:top w:val="single" w:sz="4" w:space="0" w:color="auto"/>
              <w:left w:val="nil"/>
              <w:bottom w:val="single" w:sz="4" w:space="0" w:color="auto"/>
              <w:right w:val="single" w:sz="4" w:space="0" w:color="auto"/>
            </w:tcBorders>
            <w:shd w:val="clear" w:color="auto" w:fill="auto"/>
            <w:vAlign w:val="center"/>
          </w:tcPr>
          <w:p w14:paraId="263FD5A6" w14:textId="77777777" w:rsidR="00617362" w:rsidRPr="003B30CD" w:rsidRDefault="00617362" w:rsidP="00617362">
            <w:pPr>
              <w:jc w:val="center"/>
              <w:rPr>
                <w:rFonts w:cs="Arial"/>
                <w:color w:val="FF0000"/>
                <w:sz w:val="18"/>
                <w:szCs w:val="18"/>
              </w:rPr>
            </w:pPr>
            <w:r w:rsidRPr="003B30CD">
              <w:rPr>
                <w:rFonts w:cs="Arial"/>
                <w:b/>
                <w:bCs/>
                <w:color w:val="000000"/>
                <w:sz w:val="18"/>
                <w:szCs w:val="18"/>
              </w:rPr>
              <w:t>2.570.042</w:t>
            </w:r>
          </w:p>
        </w:tc>
        <w:tc>
          <w:tcPr>
            <w:tcW w:w="373" w:type="pct"/>
            <w:tcBorders>
              <w:top w:val="single" w:sz="4" w:space="0" w:color="auto"/>
              <w:left w:val="nil"/>
              <w:bottom w:val="single" w:sz="4" w:space="0" w:color="auto"/>
              <w:right w:val="nil"/>
            </w:tcBorders>
            <w:shd w:val="clear" w:color="auto" w:fill="auto"/>
            <w:vAlign w:val="center"/>
          </w:tcPr>
          <w:p w14:paraId="79F4137F" w14:textId="77777777" w:rsidR="00617362" w:rsidRPr="003B30CD" w:rsidRDefault="00617362" w:rsidP="00617362">
            <w:pPr>
              <w:jc w:val="center"/>
              <w:rPr>
                <w:rFonts w:cs="Arial"/>
                <w:b/>
                <w:color w:val="000000"/>
                <w:sz w:val="18"/>
                <w:szCs w:val="18"/>
              </w:rPr>
            </w:pPr>
            <w:r w:rsidRPr="003B30CD">
              <w:rPr>
                <w:rFonts w:cs="Arial"/>
                <w:b/>
                <w:color w:val="000000"/>
                <w:sz w:val="18"/>
                <w:szCs w:val="18"/>
              </w:rPr>
              <w:t>16,89</w:t>
            </w:r>
          </w:p>
        </w:tc>
      </w:tr>
    </w:tbl>
    <w:p w14:paraId="5814FD13" w14:textId="77777777" w:rsidR="00617362" w:rsidRDefault="00617362" w:rsidP="00EF01A1">
      <w:pPr>
        <w:pStyle w:val="1-FONTE8ESQ"/>
      </w:pPr>
      <w:r>
        <w:t xml:space="preserve">Fonte: </w:t>
      </w:r>
      <w:r w:rsidRPr="00C9564B">
        <w:rPr>
          <w:i/>
        </w:rPr>
        <w:t>Business Objects</w:t>
      </w:r>
    </w:p>
    <w:p w14:paraId="383DB6A4" w14:textId="77777777" w:rsidR="00617362" w:rsidRDefault="00617362" w:rsidP="006E6638">
      <w:pPr>
        <w:pStyle w:val="1-REL11"/>
        <w:spacing w:line="300" w:lineRule="auto"/>
      </w:pPr>
      <w:bookmarkStart w:id="378" w:name="_Hlk167352493"/>
      <w:bookmarkStart w:id="379" w:name="_Hlk134201199"/>
      <w:r>
        <w:t>Do</w:t>
      </w:r>
      <w:r w:rsidRPr="00706830">
        <w:t xml:space="preserve"> saldo constituído</w:t>
      </w:r>
      <w:r w:rsidRPr="00263105">
        <w:t xml:space="preserve">, 98,20% advém </w:t>
      </w:r>
      <w:r>
        <w:t>do reconhecimento dos</w:t>
      </w:r>
      <w:r w:rsidRPr="00263105">
        <w:t xml:space="preserve"> créditos tributários a receber de imposto</w:t>
      </w:r>
      <w:r>
        <w:t>s</w:t>
      </w:r>
      <w:r w:rsidRPr="00263105">
        <w:t>, que totalizaram R$ 17,4</w:t>
      </w:r>
      <w:r>
        <w:t xml:space="preserve">7 </w:t>
      </w:r>
      <w:r w:rsidRPr="00263105">
        <w:t>bilhões</w:t>
      </w:r>
      <w:r>
        <w:t xml:space="preserve"> (incremento de 17,40 % em relação a 2022)</w:t>
      </w:r>
      <w:r w:rsidRPr="00706830">
        <w:t xml:space="preserve"> </w:t>
      </w:r>
      <w:bookmarkStart w:id="380" w:name="_Hlk167352531"/>
      <w:bookmarkEnd w:id="378"/>
      <w:r>
        <w:t xml:space="preserve">e são compostos </w:t>
      </w:r>
      <w:r w:rsidRPr="006B0B54">
        <w:t xml:space="preserve">pelos créditos tributários do IPVA (R$ 2,28 milhões), ITCMD (R$ 1,45 bilhões) e </w:t>
      </w:r>
      <w:r>
        <w:t xml:space="preserve">especialmente do </w:t>
      </w:r>
      <w:r w:rsidRPr="006B0B54">
        <w:t>ICMS</w:t>
      </w:r>
      <w:bookmarkEnd w:id="380"/>
      <w:r w:rsidRPr="006B0B54">
        <w:t xml:space="preserve"> </w:t>
      </w:r>
      <w:bookmarkStart w:id="381" w:name="_Hlk167352547"/>
      <w:r w:rsidRPr="006B0B54">
        <w:t>(R$ 16,01 bilhões)</w:t>
      </w:r>
      <w:r>
        <w:t xml:space="preserve">, </w:t>
      </w:r>
      <w:bookmarkEnd w:id="381"/>
      <w:r>
        <w:t>que representou 91,67% de todos os créditos tributários a receber.</w:t>
      </w:r>
    </w:p>
    <w:p w14:paraId="32948B45" w14:textId="77777777" w:rsidR="00617362" w:rsidRDefault="00617362" w:rsidP="006E6638">
      <w:pPr>
        <w:pStyle w:val="1-REL11"/>
        <w:spacing w:line="300" w:lineRule="auto"/>
      </w:pPr>
      <w:r w:rsidRPr="007C21C5">
        <w:t>É relevante destacar que os créditos tributários a receber, divididos em principal e atualização monetária, são oriundos, principalmente</w:t>
      </w:r>
      <w:r>
        <w:t>, do reconhecimento de créditos tributários de autos lavrados ao longo do exercício de 2023 não inscritos em dívida ativa.</w:t>
      </w:r>
    </w:p>
    <w:p w14:paraId="07AF99CE" w14:textId="7FEFD523" w:rsidR="00617362" w:rsidRPr="007C21C5" w:rsidRDefault="00617362" w:rsidP="006E6638">
      <w:pPr>
        <w:pStyle w:val="1-REL11"/>
        <w:spacing w:line="300" w:lineRule="auto"/>
      </w:pPr>
      <w:bookmarkStart w:id="382" w:name="_Hlk167352716"/>
      <w:r>
        <w:t>Quanto a dívida ativa tributária de curto prazo</w:t>
      </w:r>
      <w:bookmarkEnd w:id="382"/>
      <w:r>
        <w:t>, que c</w:t>
      </w:r>
      <w:r w:rsidRPr="00861754">
        <w:t>ompreende os valores dos créditos de dívida ativa tributária inscritos realizáveis em até 12 meses da data das demonstrações</w:t>
      </w:r>
      <w:r>
        <w:t xml:space="preserve">, </w:t>
      </w:r>
      <w:bookmarkStart w:id="383" w:name="_Hlk167352744"/>
      <w:r>
        <w:t>notou-se um aumento substancial no saldo de 692,28% em relação ao ano de 2022</w:t>
      </w:r>
      <w:bookmarkEnd w:id="383"/>
      <w:r>
        <w:t xml:space="preserve">, cerca de R$ 17,16 bilhões, </w:t>
      </w:r>
      <w:bookmarkStart w:id="384" w:name="_Hlk167352879"/>
      <w:r>
        <w:t>oriundos, principalmente, da reclassificação da dívida ativa com impostos – ICMS</w:t>
      </w:r>
      <w:bookmarkEnd w:id="384"/>
      <w:r>
        <w:t xml:space="preserve">. No entanto, salienta-se que houve </w:t>
      </w:r>
      <w:bookmarkStart w:id="385" w:name="_Hlk167352771"/>
      <w:r>
        <w:t xml:space="preserve">importante incremento nas contas de ajustes de perdas de créditos a curto prazo, na ordem de 796,84%, </w:t>
      </w:r>
      <w:bookmarkEnd w:id="385"/>
      <w:r>
        <w:t>aproximadamente R$ 17,17 bilhões. Trata-se de provisionamento advindo de ajustes de perdas estimadas com o não recebimento dos créditos inscritos em dívida ativa tributária, em sua maioria, impostos- ICMS. O assunto será abordado em tópico específico.</w:t>
      </w:r>
    </w:p>
    <w:p w14:paraId="76AC2F1A" w14:textId="77777777" w:rsidR="00617362" w:rsidRPr="00D742ED" w:rsidRDefault="00617362" w:rsidP="00117967">
      <w:pPr>
        <w:pStyle w:val="Ttulo4"/>
      </w:pPr>
      <w:bookmarkStart w:id="386" w:name="_Hlk167352967"/>
      <w:bookmarkEnd w:id="379"/>
      <w:r>
        <w:t xml:space="preserve">Demais </w:t>
      </w:r>
      <w:r w:rsidRPr="00D742ED">
        <w:t>Créditos</w:t>
      </w:r>
      <w:r>
        <w:t xml:space="preserve"> e Valores</w:t>
      </w:r>
      <w:r w:rsidRPr="00D742ED">
        <w:t xml:space="preserve"> a Curto Prazo</w:t>
      </w:r>
    </w:p>
    <w:bookmarkEnd w:id="386"/>
    <w:p w14:paraId="4697EC49" w14:textId="77777777" w:rsidR="00617362" w:rsidRDefault="00617362" w:rsidP="006E6638">
      <w:pPr>
        <w:pStyle w:val="1-REL11"/>
        <w:spacing w:line="300" w:lineRule="auto"/>
      </w:pPr>
      <w:r>
        <w:t xml:space="preserve">O subgrupo de contas Demais Créditos e Valores a Curto Prazo compreende os valores a receber por demais transações realizáveis no curto prazo e </w:t>
      </w:r>
      <w:bookmarkStart w:id="387" w:name="_Hlk167353506"/>
      <w:r>
        <w:t>apresentou um incremento de R$ 14,02 bilhões em relação a 2022, ou seja, aumento de 74,90%, totalizando R$ 32,75 bilhões em 2023, maior saldo dentre as contas do Ativo Circulante</w:t>
      </w:r>
      <w:bookmarkEnd w:id="387"/>
      <w:r>
        <w:t>, e está assim constituído:</w:t>
      </w:r>
    </w:p>
    <w:p w14:paraId="4D507F77" w14:textId="67FD0F87" w:rsidR="00617362" w:rsidRDefault="00617362" w:rsidP="00ED3571">
      <w:pPr>
        <w:pStyle w:val="0-TABELA"/>
      </w:pPr>
      <w:bookmarkStart w:id="388" w:name="_Toc167871815"/>
      <w:r>
        <w:lastRenderedPageBreak/>
        <w:t>Demais Créditos e Valores a Curto Prazo</w:t>
      </w:r>
      <w:r w:rsidR="00B97192">
        <w:t xml:space="preserve"> </w:t>
      </w:r>
      <w:r w:rsidR="00B97192" w:rsidRPr="00D67E49">
        <w:t>– 2023 x 2022</w:t>
      </w:r>
      <w:bookmarkEnd w:id="388"/>
    </w:p>
    <w:p w14:paraId="2436D4FE" w14:textId="77777777" w:rsidR="00617362" w:rsidRPr="00650E37" w:rsidRDefault="00617362" w:rsidP="00617362">
      <w:pPr>
        <w:pStyle w:val="1-REL11"/>
        <w:spacing w:after="0"/>
        <w:jc w:val="right"/>
        <w:rPr>
          <w:sz w:val="16"/>
          <w:szCs w:val="16"/>
        </w:rPr>
      </w:pPr>
      <w:r w:rsidRPr="00650E37">
        <w:rPr>
          <w:sz w:val="16"/>
          <w:szCs w:val="16"/>
          <w:lang w:eastAsia="en-US"/>
        </w:rPr>
        <w:t>R$ mil</w:t>
      </w:r>
    </w:p>
    <w:tbl>
      <w:tblPr>
        <w:tblW w:w="5000" w:type="pct"/>
        <w:tblLayout w:type="fixed"/>
        <w:tblCellMar>
          <w:left w:w="70" w:type="dxa"/>
          <w:right w:w="70" w:type="dxa"/>
        </w:tblCellMar>
        <w:tblLook w:val="04A0" w:firstRow="1" w:lastRow="0" w:firstColumn="1" w:lastColumn="0" w:noHBand="0" w:noVBand="1"/>
      </w:tblPr>
      <w:tblGrid>
        <w:gridCol w:w="3544"/>
        <w:gridCol w:w="993"/>
        <w:gridCol w:w="851"/>
        <w:gridCol w:w="993"/>
        <w:gridCol w:w="851"/>
        <w:gridCol w:w="991"/>
        <w:gridCol w:w="1125"/>
      </w:tblGrid>
      <w:tr w:rsidR="00DF25BC" w:rsidRPr="00B97192" w14:paraId="17A64EE3" w14:textId="77777777" w:rsidTr="00CC5384">
        <w:trPr>
          <w:trHeight w:val="331"/>
          <w:tblHeader/>
        </w:trPr>
        <w:tc>
          <w:tcPr>
            <w:tcW w:w="1896" w:type="pct"/>
            <w:vMerge w:val="restart"/>
            <w:tcBorders>
              <w:top w:val="single" w:sz="4" w:space="0" w:color="auto"/>
              <w:left w:val="nil"/>
              <w:right w:val="single" w:sz="4" w:space="0" w:color="auto"/>
            </w:tcBorders>
            <w:shd w:val="clear" w:color="000000" w:fill="A1F2FD"/>
            <w:vAlign w:val="center"/>
            <w:hideMark/>
          </w:tcPr>
          <w:p w14:paraId="6695E92A" w14:textId="77777777" w:rsidR="00B97192" w:rsidRPr="00B97192" w:rsidRDefault="00B97192" w:rsidP="00B97192">
            <w:pPr>
              <w:jc w:val="center"/>
              <w:rPr>
                <w:rFonts w:cs="Arial"/>
                <w:b/>
                <w:bCs/>
                <w:color w:val="000000"/>
                <w:sz w:val="18"/>
                <w:szCs w:val="16"/>
              </w:rPr>
            </w:pPr>
            <w:r w:rsidRPr="00B97192">
              <w:rPr>
                <w:rFonts w:cs="Arial"/>
                <w:b/>
                <w:bCs/>
                <w:color w:val="000000"/>
                <w:sz w:val="18"/>
                <w:szCs w:val="16"/>
              </w:rPr>
              <w:t>Composição</w:t>
            </w:r>
          </w:p>
        </w:tc>
        <w:tc>
          <w:tcPr>
            <w:tcW w:w="531" w:type="pct"/>
            <w:vMerge w:val="restart"/>
            <w:tcBorders>
              <w:top w:val="single" w:sz="4" w:space="0" w:color="auto"/>
              <w:left w:val="single" w:sz="4" w:space="0" w:color="auto"/>
              <w:right w:val="single" w:sz="4" w:space="0" w:color="auto"/>
            </w:tcBorders>
            <w:shd w:val="clear" w:color="000000" w:fill="A1F2FD"/>
            <w:vAlign w:val="center"/>
            <w:hideMark/>
          </w:tcPr>
          <w:p w14:paraId="201EE8BF" w14:textId="77777777" w:rsidR="00B97192" w:rsidRPr="00B97192" w:rsidRDefault="00B97192" w:rsidP="00B97192">
            <w:pPr>
              <w:jc w:val="center"/>
              <w:rPr>
                <w:rFonts w:cs="Arial"/>
                <w:b/>
                <w:bCs/>
                <w:color w:val="000000"/>
                <w:sz w:val="18"/>
                <w:szCs w:val="16"/>
              </w:rPr>
            </w:pPr>
            <w:r w:rsidRPr="00B97192">
              <w:rPr>
                <w:rFonts w:cs="Arial"/>
                <w:b/>
                <w:bCs/>
                <w:color w:val="000000"/>
                <w:sz w:val="18"/>
                <w:szCs w:val="16"/>
              </w:rPr>
              <w:t>2023</w:t>
            </w:r>
          </w:p>
        </w:tc>
        <w:tc>
          <w:tcPr>
            <w:tcW w:w="455" w:type="pct"/>
            <w:tcBorders>
              <w:top w:val="single" w:sz="4" w:space="0" w:color="auto"/>
              <w:left w:val="nil"/>
              <w:right w:val="single" w:sz="4" w:space="0" w:color="auto"/>
            </w:tcBorders>
            <w:shd w:val="clear" w:color="000000" w:fill="A1F2FD"/>
            <w:vAlign w:val="center"/>
            <w:hideMark/>
          </w:tcPr>
          <w:p w14:paraId="54AE19DA" w14:textId="77777777" w:rsidR="00CC5384" w:rsidRDefault="00B97192" w:rsidP="00B97192">
            <w:pPr>
              <w:jc w:val="center"/>
              <w:rPr>
                <w:rFonts w:cs="Arial"/>
                <w:b/>
                <w:bCs/>
                <w:color w:val="000000"/>
                <w:sz w:val="18"/>
                <w:szCs w:val="16"/>
              </w:rPr>
            </w:pPr>
            <w:r w:rsidRPr="00B97192">
              <w:rPr>
                <w:rFonts w:cs="Arial"/>
                <w:b/>
                <w:bCs/>
                <w:color w:val="000000"/>
                <w:sz w:val="18"/>
                <w:szCs w:val="16"/>
              </w:rPr>
              <w:t xml:space="preserve">AV </w:t>
            </w:r>
          </w:p>
          <w:p w14:paraId="5CD39DDC" w14:textId="6B3112E0" w:rsidR="00B97192" w:rsidRPr="00B97192" w:rsidRDefault="00B97192" w:rsidP="00B97192">
            <w:pPr>
              <w:jc w:val="center"/>
              <w:rPr>
                <w:rFonts w:cs="Arial"/>
                <w:b/>
                <w:bCs/>
                <w:color w:val="000000"/>
                <w:sz w:val="18"/>
                <w:szCs w:val="16"/>
              </w:rPr>
            </w:pPr>
            <w:r w:rsidRPr="00B97192">
              <w:rPr>
                <w:rFonts w:cs="Arial"/>
                <w:b/>
                <w:bCs/>
                <w:color w:val="000000"/>
                <w:sz w:val="18"/>
                <w:szCs w:val="16"/>
              </w:rPr>
              <w:t>2023</w:t>
            </w:r>
          </w:p>
        </w:tc>
        <w:tc>
          <w:tcPr>
            <w:tcW w:w="531" w:type="pct"/>
            <w:vMerge w:val="restart"/>
            <w:tcBorders>
              <w:top w:val="single" w:sz="4" w:space="0" w:color="auto"/>
              <w:left w:val="single" w:sz="4" w:space="0" w:color="auto"/>
              <w:right w:val="single" w:sz="4" w:space="0" w:color="auto"/>
            </w:tcBorders>
            <w:shd w:val="clear" w:color="000000" w:fill="A1F2FD"/>
            <w:vAlign w:val="center"/>
            <w:hideMark/>
          </w:tcPr>
          <w:p w14:paraId="3D5BDCC9" w14:textId="77777777" w:rsidR="00B97192" w:rsidRPr="00B97192" w:rsidRDefault="00B97192" w:rsidP="00B97192">
            <w:pPr>
              <w:jc w:val="center"/>
              <w:rPr>
                <w:rFonts w:cs="Arial"/>
                <w:b/>
                <w:bCs/>
                <w:color w:val="000000"/>
                <w:sz w:val="18"/>
                <w:szCs w:val="16"/>
              </w:rPr>
            </w:pPr>
            <w:r w:rsidRPr="00B97192">
              <w:rPr>
                <w:rFonts w:cs="Arial"/>
                <w:b/>
                <w:bCs/>
                <w:color w:val="000000"/>
                <w:sz w:val="18"/>
                <w:szCs w:val="16"/>
              </w:rPr>
              <w:t>2022</w:t>
            </w:r>
          </w:p>
        </w:tc>
        <w:tc>
          <w:tcPr>
            <w:tcW w:w="455" w:type="pct"/>
            <w:tcBorders>
              <w:top w:val="single" w:sz="4" w:space="0" w:color="auto"/>
              <w:left w:val="nil"/>
              <w:right w:val="single" w:sz="4" w:space="0" w:color="auto"/>
            </w:tcBorders>
            <w:shd w:val="clear" w:color="000000" w:fill="A1F2FD"/>
            <w:vAlign w:val="center"/>
            <w:hideMark/>
          </w:tcPr>
          <w:p w14:paraId="10354B40" w14:textId="77777777" w:rsidR="00CC5384" w:rsidRDefault="00B97192" w:rsidP="00B97192">
            <w:pPr>
              <w:jc w:val="center"/>
              <w:rPr>
                <w:rFonts w:cs="Arial"/>
                <w:b/>
                <w:bCs/>
                <w:color w:val="000000"/>
                <w:sz w:val="18"/>
                <w:szCs w:val="16"/>
              </w:rPr>
            </w:pPr>
            <w:r w:rsidRPr="00B97192">
              <w:rPr>
                <w:rFonts w:cs="Arial"/>
                <w:b/>
                <w:bCs/>
                <w:color w:val="000000"/>
                <w:sz w:val="18"/>
                <w:szCs w:val="16"/>
              </w:rPr>
              <w:t xml:space="preserve">AV </w:t>
            </w:r>
          </w:p>
          <w:p w14:paraId="0831D906" w14:textId="1115E66B" w:rsidR="00B97192" w:rsidRPr="00B97192" w:rsidRDefault="00B97192" w:rsidP="00B97192">
            <w:pPr>
              <w:jc w:val="center"/>
              <w:rPr>
                <w:rFonts w:cs="Arial"/>
                <w:b/>
                <w:bCs/>
                <w:color w:val="000000"/>
                <w:sz w:val="18"/>
                <w:szCs w:val="16"/>
              </w:rPr>
            </w:pPr>
            <w:r w:rsidRPr="00B97192">
              <w:rPr>
                <w:rFonts w:cs="Arial"/>
                <w:b/>
                <w:bCs/>
                <w:color w:val="000000"/>
                <w:sz w:val="18"/>
                <w:szCs w:val="16"/>
              </w:rPr>
              <w:t>2022</w:t>
            </w:r>
          </w:p>
        </w:tc>
        <w:tc>
          <w:tcPr>
            <w:tcW w:w="1132" w:type="pct"/>
            <w:gridSpan w:val="2"/>
            <w:tcBorders>
              <w:top w:val="single" w:sz="4" w:space="0" w:color="auto"/>
              <w:left w:val="nil"/>
              <w:bottom w:val="single" w:sz="4" w:space="0" w:color="auto"/>
              <w:right w:val="single" w:sz="4" w:space="0" w:color="auto"/>
            </w:tcBorders>
            <w:shd w:val="clear" w:color="000000" w:fill="A1F2FD"/>
            <w:vAlign w:val="center"/>
            <w:hideMark/>
          </w:tcPr>
          <w:p w14:paraId="7B5F7206" w14:textId="77777777" w:rsidR="00B97192" w:rsidRPr="00B97192" w:rsidRDefault="00B97192" w:rsidP="00B97192">
            <w:pPr>
              <w:jc w:val="center"/>
              <w:rPr>
                <w:rFonts w:cs="Arial"/>
                <w:b/>
                <w:bCs/>
                <w:color w:val="000000"/>
                <w:sz w:val="18"/>
                <w:szCs w:val="16"/>
              </w:rPr>
            </w:pPr>
            <w:r w:rsidRPr="00B97192">
              <w:rPr>
                <w:rFonts w:cs="Arial"/>
                <w:b/>
                <w:bCs/>
                <w:color w:val="000000"/>
                <w:sz w:val="18"/>
                <w:szCs w:val="16"/>
              </w:rPr>
              <w:t>∆ 2023 x 2022</w:t>
            </w:r>
          </w:p>
        </w:tc>
      </w:tr>
      <w:tr w:rsidR="00DF25BC" w:rsidRPr="00B97192" w14:paraId="5BF69264" w14:textId="77777777" w:rsidTr="00DF25BC">
        <w:trPr>
          <w:trHeight w:val="255"/>
        </w:trPr>
        <w:tc>
          <w:tcPr>
            <w:tcW w:w="1896" w:type="pct"/>
            <w:vMerge/>
            <w:tcBorders>
              <w:left w:val="nil"/>
              <w:right w:val="single" w:sz="4" w:space="0" w:color="auto"/>
            </w:tcBorders>
            <w:vAlign w:val="center"/>
            <w:hideMark/>
          </w:tcPr>
          <w:p w14:paraId="622D13EF" w14:textId="77777777" w:rsidR="00B97192" w:rsidRPr="00B97192" w:rsidRDefault="00B97192" w:rsidP="00B97192">
            <w:pPr>
              <w:jc w:val="center"/>
              <w:rPr>
                <w:rFonts w:cs="Arial"/>
                <w:b/>
                <w:bCs/>
                <w:color w:val="000000"/>
                <w:sz w:val="18"/>
                <w:szCs w:val="16"/>
              </w:rPr>
            </w:pPr>
          </w:p>
        </w:tc>
        <w:tc>
          <w:tcPr>
            <w:tcW w:w="531" w:type="pct"/>
            <w:vMerge/>
            <w:tcBorders>
              <w:left w:val="single" w:sz="4" w:space="0" w:color="auto"/>
              <w:right w:val="single" w:sz="4" w:space="0" w:color="auto"/>
            </w:tcBorders>
            <w:vAlign w:val="center"/>
            <w:hideMark/>
          </w:tcPr>
          <w:p w14:paraId="76629DE0" w14:textId="77777777" w:rsidR="00B97192" w:rsidRPr="00B97192" w:rsidRDefault="00B97192" w:rsidP="00B97192">
            <w:pPr>
              <w:jc w:val="center"/>
              <w:rPr>
                <w:rFonts w:cs="Arial"/>
                <w:b/>
                <w:bCs/>
                <w:color w:val="000000"/>
                <w:sz w:val="18"/>
                <w:szCs w:val="16"/>
              </w:rPr>
            </w:pPr>
          </w:p>
        </w:tc>
        <w:tc>
          <w:tcPr>
            <w:tcW w:w="455" w:type="pct"/>
            <w:tcBorders>
              <w:left w:val="nil"/>
              <w:right w:val="single" w:sz="4" w:space="0" w:color="auto"/>
            </w:tcBorders>
            <w:shd w:val="clear" w:color="000000" w:fill="A1F2FD"/>
            <w:vAlign w:val="center"/>
            <w:hideMark/>
          </w:tcPr>
          <w:p w14:paraId="404F835A" w14:textId="77777777" w:rsidR="00B97192" w:rsidRPr="00B97192" w:rsidRDefault="00B97192" w:rsidP="00B97192">
            <w:pPr>
              <w:jc w:val="center"/>
              <w:rPr>
                <w:rFonts w:cs="Arial"/>
                <w:b/>
                <w:bCs/>
                <w:color w:val="000000"/>
                <w:sz w:val="18"/>
                <w:szCs w:val="16"/>
              </w:rPr>
            </w:pPr>
            <w:r w:rsidRPr="00B97192">
              <w:rPr>
                <w:rFonts w:cs="Arial"/>
                <w:b/>
                <w:bCs/>
                <w:color w:val="000000"/>
                <w:sz w:val="18"/>
                <w:szCs w:val="16"/>
              </w:rPr>
              <w:t>%</w:t>
            </w:r>
          </w:p>
        </w:tc>
        <w:tc>
          <w:tcPr>
            <w:tcW w:w="531" w:type="pct"/>
            <w:vMerge/>
            <w:tcBorders>
              <w:left w:val="single" w:sz="4" w:space="0" w:color="auto"/>
              <w:right w:val="single" w:sz="4" w:space="0" w:color="auto"/>
            </w:tcBorders>
            <w:vAlign w:val="center"/>
            <w:hideMark/>
          </w:tcPr>
          <w:p w14:paraId="456ED99A" w14:textId="77777777" w:rsidR="00B97192" w:rsidRPr="00B97192" w:rsidRDefault="00B97192" w:rsidP="00B97192">
            <w:pPr>
              <w:jc w:val="center"/>
              <w:rPr>
                <w:rFonts w:cs="Arial"/>
                <w:b/>
                <w:bCs/>
                <w:color w:val="000000"/>
                <w:sz w:val="18"/>
                <w:szCs w:val="16"/>
              </w:rPr>
            </w:pPr>
          </w:p>
        </w:tc>
        <w:tc>
          <w:tcPr>
            <w:tcW w:w="455" w:type="pct"/>
            <w:tcBorders>
              <w:left w:val="nil"/>
              <w:right w:val="single" w:sz="4" w:space="0" w:color="auto"/>
            </w:tcBorders>
            <w:shd w:val="clear" w:color="000000" w:fill="A1F2FD"/>
            <w:vAlign w:val="center"/>
            <w:hideMark/>
          </w:tcPr>
          <w:p w14:paraId="489ED4D8" w14:textId="77777777" w:rsidR="00B97192" w:rsidRPr="00B97192" w:rsidRDefault="00B97192" w:rsidP="00B97192">
            <w:pPr>
              <w:jc w:val="center"/>
              <w:rPr>
                <w:rFonts w:cs="Arial"/>
                <w:b/>
                <w:bCs/>
                <w:color w:val="000000"/>
                <w:sz w:val="18"/>
                <w:szCs w:val="16"/>
              </w:rPr>
            </w:pPr>
            <w:r w:rsidRPr="00B97192">
              <w:rPr>
                <w:rFonts w:cs="Arial"/>
                <w:b/>
                <w:bCs/>
                <w:color w:val="000000"/>
                <w:sz w:val="18"/>
                <w:szCs w:val="16"/>
              </w:rPr>
              <w:t>%</w:t>
            </w:r>
          </w:p>
        </w:tc>
        <w:tc>
          <w:tcPr>
            <w:tcW w:w="530" w:type="pct"/>
            <w:tcBorders>
              <w:top w:val="nil"/>
              <w:left w:val="nil"/>
              <w:right w:val="single" w:sz="4" w:space="0" w:color="auto"/>
            </w:tcBorders>
            <w:shd w:val="clear" w:color="000000" w:fill="A1F2FD"/>
            <w:vAlign w:val="center"/>
            <w:hideMark/>
          </w:tcPr>
          <w:p w14:paraId="10582B87" w14:textId="78FEE448" w:rsidR="00B97192" w:rsidRPr="00B97192" w:rsidRDefault="00B97192" w:rsidP="00B97192">
            <w:pPr>
              <w:jc w:val="center"/>
              <w:rPr>
                <w:rFonts w:cs="Arial"/>
                <w:b/>
                <w:bCs/>
                <w:color w:val="000000"/>
                <w:sz w:val="18"/>
                <w:szCs w:val="16"/>
              </w:rPr>
            </w:pPr>
            <w:r w:rsidRPr="00B97192">
              <w:rPr>
                <w:rFonts w:cs="Arial"/>
                <w:b/>
                <w:bCs/>
                <w:color w:val="000000"/>
                <w:sz w:val="18"/>
                <w:szCs w:val="16"/>
              </w:rPr>
              <w:t>R$</w:t>
            </w:r>
          </w:p>
        </w:tc>
        <w:tc>
          <w:tcPr>
            <w:tcW w:w="602" w:type="pct"/>
            <w:tcBorders>
              <w:top w:val="nil"/>
              <w:left w:val="nil"/>
              <w:right w:val="nil"/>
            </w:tcBorders>
            <w:shd w:val="clear" w:color="000000" w:fill="A1F2FD"/>
            <w:vAlign w:val="center"/>
            <w:hideMark/>
          </w:tcPr>
          <w:p w14:paraId="218A9158" w14:textId="77777777" w:rsidR="00B97192" w:rsidRPr="00B97192" w:rsidRDefault="00B97192" w:rsidP="00B97192">
            <w:pPr>
              <w:jc w:val="center"/>
              <w:rPr>
                <w:rFonts w:cs="Arial"/>
                <w:b/>
                <w:bCs/>
                <w:color w:val="000000"/>
                <w:sz w:val="18"/>
                <w:szCs w:val="16"/>
              </w:rPr>
            </w:pPr>
            <w:r w:rsidRPr="00B97192">
              <w:rPr>
                <w:rFonts w:cs="Arial"/>
                <w:b/>
                <w:bCs/>
                <w:color w:val="000000"/>
                <w:sz w:val="18"/>
                <w:szCs w:val="16"/>
              </w:rPr>
              <w:t>%</w:t>
            </w:r>
          </w:p>
        </w:tc>
      </w:tr>
      <w:tr w:rsidR="00DF25BC" w:rsidRPr="00B97192" w14:paraId="02C282D3" w14:textId="77777777" w:rsidTr="00DF25BC">
        <w:trPr>
          <w:trHeight w:val="255"/>
        </w:trPr>
        <w:tc>
          <w:tcPr>
            <w:tcW w:w="1896" w:type="pct"/>
            <w:vMerge/>
            <w:tcBorders>
              <w:left w:val="nil"/>
              <w:bottom w:val="single" w:sz="4" w:space="0" w:color="auto"/>
              <w:right w:val="single" w:sz="4" w:space="0" w:color="auto"/>
            </w:tcBorders>
            <w:shd w:val="clear" w:color="auto" w:fill="A1F2FD"/>
            <w:vAlign w:val="center"/>
          </w:tcPr>
          <w:p w14:paraId="65C3159D" w14:textId="77777777" w:rsidR="00B97192" w:rsidRPr="00B97192" w:rsidRDefault="00B97192" w:rsidP="00B97192">
            <w:pPr>
              <w:jc w:val="center"/>
              <w:rPr>
                <w:rFonts w:cs="Arial"/>
                <w:b/>
                <w:bCs/>
                <w:color w:val="000000"/>
                <w:sz w:val="18"/>
                <w:szCs w:val="16"/>
              </w:rPr>
            </w:pPr>
          </w:p>
        </w:tc>
        <w:tc>
          <w:tcPr>
            <w:tcW w:w="531" w:type="pct"/>
            <w:tcBorders>
              <w:left w:val="single" w:sz="4" w:space="0" w:color="auto"/>
              <w:bottom w:val="single" w:sz="4" w:space="0" w:color="auto"/>
              <w:right w:val="single" w:sz="4" w:space="0" w:color="auto"/>
            </w:tcBorders>
            <w:shd w:val="clear" w:color="auto" w:fill="A1F2FD"/>
            <w:vAlign w:val="center"/>
          </w:tcPr>
          <w:p w14:paraId="08210A6B" w14:textId="49A921C9" w:rsidR="00B97192" w:rsidRPr="00B97192" w:rsidRDefault="00B97192" w:rsidP="00B97192">
            <w:pPr>
              <w:jc w:val="center"/>
              <w:rPr>
                <w:rFonts w:cs="Arial"/>
                <w:b/>
                <w:bCs/>
                <w:color w:val="000000"/>
                <w:sz w:val="18"/>
                <w:szCs w:val="16"/>
              </w:rPr>
            </w:pPr>
            <w:r w:rsidRPr="003B30CD">
              <w:rPr>
                <w:rFonts w:cs="Arial"/>
                <w:b/>
                <w:bCs/>
                <w:color w:val="000000"/>
                <w:sz w:val="18"/>
                <w:szCs w:val="18"/>
              </w:rPr>
              <w:t>(a)</w:t>
            </w:r>
          </w:p>
        </w:tc>
        <w:tc>
          <w:tcPr>
            <w:tcW w:w="455" w:type="pct"/>
            <w:tcBorders>
              <w:left w:val="nil"/>
              <w:bottom w:val="single" w:sz="4" w:space="0" w:color="auto"/>
              <w:right w:val="single" w:sz="4" w:space="0" w:color="auto"/>
            </w:tcBorders>
            <w:shd w:val="clear" w:color="auto" w:fill="A1F2FD"/>
            <w:vAlign w:val="center"/>
          </w:tcPr>
          <w:p w14:paraId="7699714D" w14:textId="7881F93A" w:rsidR="00B97192" w:rsidRPr="00B97192" w:rsidRDefault="00B97192" w:rsidP="00B97192">
            <w:pPr>
              <w:jc w:val="center"/>
              <w:rPr>
                <w:rFonts w:cs="Arial"/>
                <w:b/>
                <w:bCs/>
                <w:color w:val="000000"/>
                <w:sz w:val="18"/>
                <w:szCs w:val="16"/>
              </w:rPr>
            </w:pPr>
            <w:r w:rsidRPr="003B30CD">
              <w:rPr>
                <w:rFonts w:cs="Arial"/>
                <w:b/>
                <w:bCs/>
                <w:color w:val="000000"/>
                <w:sz w:val="18"/>
                <w:szCs w:val="18"/>
              </w:rPr>
              <w:t>(b)</w:t>
            </w:r>
          </w:p>
        </w:tc>
        <w:tc>
          <w:tcPr>
            <w:tcW w:w="531" w:type="pct"/>
            <w:tcBorders>
              <w:left w:val="single" w:sz="4" w:space="0" w:color="auto"/>
              <w:bottom w:val="single" w:sz="4" w:space="0" w:color="auto"/>
              <w:right w:val="single" w:sz="4" w:space="0" w:color="auto"/>
            </w:tcBorders>
            <w:shd w:val="clear" w:color="auto" w:fill="A1F2FD"/>
            <w:vAlign w:val="center"/>
          </w:tcPr>
          <w:p w14:paraId="779C8D48" w14:textId="2D4324C7" w:rsidR="00B97192" w:rsidRPr="00B97192" w:rsidRDefault="00B97192" w:rsidP="00B97192">
            <w:pPr>
              <w:jc w:val="center"/>
              <w:rPr>
                <w:rFonts w:cs="Arial"/>
                <w:b/>
                <w:bCs/>
                <w:color w:val="000000"/>
                <w:sz w:val="18"/>
                <w:szCs w:val="16"/>
              </w:rPr>
            </w:pPr>
            <w:r w:rsidRPr="003B30CD">
              <w:rPr>
                <w:rFonts w:cs="Arial"/>
                <w:b/>
                <w:bCs/>
                <w:color w:val="000000"/>
                <w:sz w:val="18"/>
                <w:szCs w:val="18"/>
              </w:rPr>
              <w:t>(c)</w:t>
            </w:r>
          </w:p>
        </w:tc>
        <w:tc>
          <w:tcPr>
            <w:tcW w:w="455" w:type="pct"/>
            <w:tcBorders>
              <w:left w:val="nil"/>
              <w:bottom w:val="single" w:sz="4" w:space="0" w:color="auto"/>
              <w:right w:val="single" w:sz="4" w:space="0" w:color="auto"/>
            </w:tcBorders>
            <w:shd w:val="clear" w:color="auto" w:fill="A1F2FD"/>
            <w:vAlign w:val="center"/>
          </w:tcPr>
          <w:p w14:paraId="4BE4FC2A" w14:textId="03E69FC4" w:rsidR="00B97192" w:rsidRPr="00B97192" w:rsidRDefault="00B97192" w:rsidP="00B97192">
            <w:pPr>
              <w:jc w:val="center"/>
              <w:rPr>
                <w:rFonts w:cs="Arial"/>
                <w:b/>
                <w:bCs/>
                <w:color w:val="000000"/>
                <w:sz w:val="18"/>
                <w:szCs w:val="16"/>
              </w:rPr>
            </w:pPr>
            <w:r w:rsidRPr="003B30CD">
              <w:rPr>
                <w:rFonts w:cs="Arial"/>
                <w:b/>
                <w:bCs/>
                <w:color w:val="000000"/>
                <w:sz w:val="18"/>
                <w:szCs w:val="18"/>
              </w:rPr>
              <w:t>(d)</w:t>
            </w:r>
          </w:p>
        </w:tc>
        <w:tc>
          <w:tcPr>
            <w:tcW w:w="530" w:type="pct"/>
            <w:tcBorders>
              <w:top w:val="nil"/>
              <w:left w:val="nil"/>
              <w:bottom w:val="single" w:sz="4" w:space="0" w:color="auto"/>
              <w:right w:val="single" w:sz="4" w:space="0" w:color="auto"/>
            </w:tcBorders>
            <w:shd w:val="clear" w:color="auto" w:fill="A1F2FD"/>
            <w:vAlign w:val="center"/>
          </w:tcPr>
          <w:p w14:paraId="2AAABE96" w14:textId="5A4DAC90" w:rsidR="00B97192" w:rsidRPr="00B97192" w:rsidRDefault="00B97192" w:rsidP="00B97192">
            <w:pPr>
              <w:jc w:val="center"/>
              <w:rPr>
                <w:rFonts w:cs="Arial"/>
                <w:b/>
                <w:bCs/>
                <w:color w:val="000000"/>
                <w:sz w:val="18"/>
                <w:szCs w:val="16"/>
              </w:rPr>
            </w:pPr>
            <w:r w:rsidRPr="003B30CD">
              <w:rPr>
                <w:rFonts w:cs="Arial"/>
                <w:b/>
                <w:bCs/>
                <w:color w:val="000000"/>
                <w:sz w:val="18"/>
                <w:szCs w:val="18"/>
              </w:rPr>
              <w:t>(e) =</w:t>
            </w:r>
            <w:r>
              <w:rPr>
                <w:rFonts w:cs="Arial"/>
                <w:b/>
                <w:bCs/>
                <w:color w:val="000000"/>
                <w:sz w:val="18"/>
                <w:szCs w:val="18"/>
              </w:rPr>
              <w:t xml:space="preserve"> </w:t>
            </w:r>
            <w:r w:rsidRPr="003B30CD">
              <w:rPr>
                <w:rFonts w:cs="Arial"/>
                <w:b/>
                <w:bCs/>
                <w:color w:val="000000"/>
                <w:sz w:val="18"/>
                <w:szCs w:val="18"/>
              </w:rPr>
              <w:t>(a-</w:t>
            </w:r>
            <w:r w:rsidR="008022D1">
              <w:rPr>
                <w:rFonts w:cs="Arial"/>
                <w:b/>
                <w:bCs/>
                <w:color w:val="000000"/>
                <w:sz w:val="18"/>
                <w:szCs w:val="18"/>
              </w:rPr>
              <w:t>c</w:t>
            </w:r>
            <w:r w:rsidRPr="003B30CD">
              <w:rPr>
                <w:rFonts w:cs="Arial"/>
                <w:b/>
                <w:bCs/>
                <w:color w:val="000000"/>
                <w:sz w:val="18"/>
                <w:szCs w:val="18"/>
              </w:rPr>
              <w:t>)</w:t>
            </w:r>
          </w:p>
        </w:tc>
        <w:tc>
          <w:tcPr>
            <w:tcW w:w="602" w:type="pct"/>
            <w:tcBorders>
              <w:top w:val="nil"/>
              <w:left w:val="nil"/>
              <w:bottom w:val="single" w:sz="4" w:space="0" w:color="auto"/>
              <w:right w:val="nil"/>
            </w:tcBorders>
            <w:shd w:val="clear" w:color="auto" w:fill="A1F2FD"/>
            <w:vAlign w:val="center"/>
          </w:tcPr>
          <w:p w14:paraId="735E4679" w14:textId="2E65D0CE" w:rsidR="00B97192" w:rsidRPr="00B97192" w:rsidRDefault="00B97192" w:rsidP="00B97192">
            <w:pPr>
              <w:jc w:val="center"/>
              <w:rPr>
                <w:rFonts w:cs="Arial"/>
                <w:b/>
                <w:bCs/>
                <w:color w:val="000000"/>
                <w:sz w:val="18"/>
                <w:szCs w:val="16"/>
              </w:rPr>
            </w:pPr>
            <w:r w:rsidRPr="003B30CD">
              <w:rPr>
                <w:rFonts w:cs="Arial"/>
                <w:b/>
                <w:bCs/>
                <w:color w:val="000000"/>
                <w:sz w:val="18"/>
                <w:szCs w:val="18"/>
              </w:rPr>
              <w:t>(f)=(e/c)</w:t>
            </w:r>
          </w:p>
        </w:tc>
      </w:tr>
      <w:tr w:rsidR="00DF25BC" w:rsidRPr="00997162" w14:paraId="50597311" w14:textId="77777777" w:rsidTr="00DF25BC">
        <w:trPr>
          <w:trHeight w:val="255"/>
        </w:trPr>
        <w:tc>
          <w:tcPr>
            <w:tcW w:w="1896" w:type="pct"/>
            <w:tcBorders>
              <w:top w:val="single" w:sz="4" w:space="0" w:color="auto"/>
              <w:left w:val="nil"/>
              <w:bottom w:val="nil"/>
              <w:right w:val="single" w:sz="4" w:space="0" w:color="auto"/>
            </w:tcBorders>
            <w:shd w:val="clear" w:color="auto" w:fill="auto"/>
            <w:noWrap/>
            <w:vAlign w:val="center"/>
            <w:hideMark/>
          </w:tcPr>
          <w:p w14:paraId="1D5AF3BA" w14:textId="77777777" w:rsidR="00617362" w:rsidRPr="00997162" w:rsidRDefault="00617362" w:rsidP="00DF25BC">
            <w:pPr>
              <w:ind w:left="67"/>
              <w:jc w:val="left"/>
              <w:rPr>
                <w:rFonts w:cs="Arial"/>
                <w:color w:val="333333"/>
                <w:sz w:val="18"/>
                <w:szCs w:val="16"/>
              </w:rPr>
            </w:pPr>
            <w:r w:rsidRPr="00997162">
              <w:rPr>
                <w:rFonts w:cs="Arial"/>
                <w:color w:val="333333"/>
                <w:sz w:val="18"/>
                <w:szCs w:val="16"/>
              </w:rPr>
              <w:t>Adiantamentos Concedidos</w:t>
            </w:r>
          </w:p>
        </w:tc>
        <w:tc>
          <w:tcPr>
            <w:tcW w:w="531" w:type="pct"/>
            <w:tcBorders>
              <w:top w:val="single" w:sz="4" w:space="0" w:color="auto"/>
              <w:left w:val="nil"/>
              <w:bottom w:val="nil"/>
              <w:right w:val="single" w:sz="4" w:space="0" w:color="auto"/>
            </w:tcBorders>
            <w:shd w:val="clear" w:color="auto" w:fill="auto"/>
            <w:vAlign w:val="center"/>
            <w:hideMark/>
          </w:tcPr>
          <w:p w14:paraId="4544E18A" w14:textId="77777777" w:rsidR="00617362" w:rsidRPr="00997162" w:rsidRDefault="00617362" w:rsidP="00617362">
            <w:pPr>
              <w:jc w:val="right"/>
              <w:rPr>
                <w:rFonts w:cs="Arial"/>
                <w:color w:val="000000"/>
                <w:sz w:val="18"/>
                <w:szCs w:val="16"/>
              </w:rPr>
            </w:pPr>
            <w:r w:rsidRPr="00997162">
              <w:rPr>
                <w:rFonts w:cs="Arial"/>
                <w:color w:val="000000"/>
                <w:sz w:val="18"/>
                <w:szCs w:val="16"/>
              </w:rPr>
              <w:t>18.672</w:t>
            </w:r>
          </w:p>
        </w:tc>
        <w:tc>
          <w:tcPr>
            <w:tcW w:w="455" w:type="pct"/>
            <w:tcBorders>
              <w:top w:val="single" w:sz="4" w:space="0" w:color="auto"/>
              <w:left w:val="nil"/>
              <w:bottom w:val="nil"/>
              <w:right w:val="single" w:sz="4" w:space="0" w:color="auto"/>
            </w:tcBorders>
            <w:shd w:val="clear" w:color="auto" w:fill="auto"/>
            <w:vAlign w:val="center"/>
            <w:hideMark/>
          </w:tcPr>
          <w:p w14:paraId="7E8D4318" w14:textId="77777777" w:rsidR="00617362" w:rsidRPr="00997162" w:rsidRDefault="00617362" w:rsidP="00617362">
            <w:pPr>
              <w:jc w:val="center"/>
              <w:rPr>
                <w:rFonts w:cs="Arial"/>
                <w:color w:val="000000"/>
                <w:sz w:val="18"/>
                <w:szCs w:val="16"/>
              </w:rPr>
            </w:pPr>
            <w:r w:rsidRPr="00997162">
              <w:rPr>
                <w:rFonts w:cs="Arial"/>
                <w:color w:val="000000"/>
                <w:sz w:val="18"/>
                <w:szCs w:val="16"/>
              </w:rPr>
              <w:t>0,06</w:t>
            </w:r>
          </w:p>
        </w:tc>
        <w:tc>
          <w:tcPr>
            <w:tcW w:w="531" w:type="pct"/>
            <w:tcBorders>
              <w:top w:val="single" w:sz="4" w:space="0" w:color="auto"/>
              <w:left w:val="nil"/>
              <w:bottom w:val="nil"/>
              <w:right w:val="single" w:sz="4" w:space="0" w:color="auto"/>
            </w:tcBorders>
            <w:shd w:val="clear" w:color="auto" w:fill="auto"/>
            <w:vAlign w:val="center"/>
            <w:hideMark/>
          </w:tcPr>
          <w:p w14:paraId="0C53F95E" w14:textId="77777777" w:rsidR="00617362" w:rsidRPr="00997162" w:rsidRDefault="00617362" w:rsidP="00617362">
            <w:pPr>
              <w:jc w:val="right"/>
              <w:rPr>
                <w:rFonts w:cs="Arial"/>
                <w:color w:val="000000"/>
                <w:sz w:val="18"/>
                <w:szCs w:val="16"/>
              </w:rPr>
            </w:pPr>
            <w:r w:rsidRPr="00997162">
              <w:rPr>
                <w:rFonts w:cs="Arial"/>
                <w:color w:val="000000"/>
                <w:sz w:val="18"/>
                <w:szCs w:val="16"/>
              </w:rPr>
              <w:t>18.720</w:t>
            </w:r>
          </w:p>
        </w:tc>
        <w:tc>
          <w:tcPr>
            <w:tcW w:w="455" w:type="pct"/>
            <w:tcBorders>
              <w:top w:val="single" w:sz="4" w:space="0" w:color="auto"/>
              <w:left w:val="nil"/>
              <w:bottom w:val="nil"/>
              <w:right w:val="single" w:sz="4" w:space="0" w:color="auto"/>
            </w:tcBorders>
            <w:shd w:val="clear" w:color="auto" w:fill="auto"/>
            <w:vAlign w:val="center"/>
            <w:hideMark/>
          </w:tcPr>
          <w:p w14:paraId="0C923231" w14:textId="77777777" w:rsidR="00617362" w:rsidRPr="00997162" w:rsidRDefault="00617362" w:rsidP="00617362">
            <w:pPr>
              <w:jc w:val="center"/>
              <w:rPr>
                <w:rFonts w:cs="Arial"/>
                <w:color w:val="000000"/>
                <w:sz w:val="18"/>
                <w:szCs w:val="16"/>
              </w:rPr>
            </w:pPr>
            <w:r w:rsidRPr="00997162">
              <w:rPr>
                <w:rFonts w:cs="Arial"/>
                <w:color w:val="000000"/>
                <w:sz w:val="18"/>
                <w:szCs w:val="16"/>
              </w:rPr>
              <w:t>0,10</w:t>
            </w:r>
          </w:p>
        </w:tc>
        <w:tc>
          <w:tcPr>
            <w:tcW w:w="530" w:type="pct"/>
            <w:tcBorders>
              <w:top w:val="single" w:sz="4" w:space="0" w:color="auto"/>
              <w:left w:val="nil"/>
              <w:bottom w:val="nil"/>
              <w:right w:val="single" w:sz="4" w:space="0" w:color="auto"/>
            </w:tcBorders>
            <w:shd w:val="clear" w:color="auto" w:fill="auto"/>
            <w:vAlign w:val="center"/>
            <w:hideMark/>
          </w:tcPr>
          <w:p w14:paraId="5F9C2743" w14:textId="77777777" w:rsidR="00617362" w:rsidRPr="00997162" w:rsidRDefault="00617362" w:rsidP="00617362">
            <w:pPr>
              <w:jc w:val="right"/>
              <w:rPr>
                <w:rFonts w:cs="Arial"/>
                <w:color w:val="000000"/>
                <w:sz w:val="18"/>
                <w:szCs w:val="16"/>
              </w:rPr>
            </w:pPr>
            <w:r w:rsidRPr="00997162">
              <w:rPr>
                <w:rFonts w:cs="Arial"/>
                <w:color w:val="FF0000"/>
                <w:sz w:val="18"/>
                <w:szCs w:val="16"/>
              </w:rPr>
              <w:t>(48)</w:t>
            </w:r>
          </w:p>
        </w:tc>
        <w:tc>
          <w:tcPr>
            <w:tcW w:w="602" w:type="pct"/>
            <w:tcBorders>
              <w:top w:val="single" w:sz="4" w:space="0" w:color="auto"/>
              <w:left w:val="nil"/>
              <w:bottom w:val="nil"/>
              <w:right w:val="nil"/>
            </w:tcBorders>
            <w:shd w:val="clear" w:color="auto" w:fill="auto"/>
            <w:vAlign w:val="center"/>
            <w:hideMark/>
          </w:tcPr>
          <w:p w14:paraId="049B2EA7" w14:textId="77777777" w:rsidR="00617362" w:rsidRPr="00997162" w:rsidRDefault="00617362" w:rsidP="00617362">
            <w:pPr>
              <w:jc w:val="center"/>
              <w:rPr>
                <w:rFonts w:cs="Arial"/>
                <w:color w:val="000000"/>
                <w:sz w:val="18"/>
                <w:szCs w:val="16"/>
              </w:rPr>
            </w:pPr>
            <w:r w:rsidRPr="00997162">
              <w:rPr>
                <w:rFonts w:cs="Arial"/>
                <w:color w:val="FF0000"/>
                <w:sz w:val="18"/>
                <w:szCs w:val="16"/>
              </w:rPr>
              <w:t>(0,26)</w:t>
            </w:r>
          </w:p>
        </w:tc>
      </w:tr>
      <w:tr w:rsidR="00DF25BC" w:rsidRPr="00997162" w14:paraId="21862638" w14:textId="77777777" w:rsidTr="00DF25BC">
        <w:trPr>
          <w:trHeight w:val="255"/>
        </w:trPr>
        <w:tc>
          <w:tcPr>
            <w:tcW w:w="1896" w:type="pct"/>
            <w:tcBorders>
              <w:top w:val="nil"/>
              <w:left w:val="nil"/>
              <w:bottom w:val="nil"/>
              <w:right w:val="single" w:sz="4" w:space="0" w:color="auto"/>
            </w:tcBorders>
            <w:shd w:val="clear" w:color="auto" w:fill="auto"/>
            <w:noWrap/>
            <w:vAlign w:val="center"/>
            <w:hideMark/>
          </w:tcPr>
          <w:p w14:paraId="12A02813" w14:textId="77777777" w:rsidR="00617362" w:rsidRPr="00997162" w:rsidRDefault="00617362" w:rsidP="00DF25BC">
            <w:pPr>
              <w:ind w:left="67"/>
              <w:jc w:val="left"/>
              <w:rPr>
                <w:rFonts w:cs="Arial"/>
                <w:color w:val="333333"/>
                <w:sz w:val="18"/>
                <w:szCs w:val="16"/>
              </w:rPr>
            </w:pPr>
            <w:r w:rsidRPr="00997162">
              <w:rPr>
                <w:rFonts w:cs="Arial"/>
                <w:color w:val="333333"/>
                <w:sz w:val="18"/>
                <w:szCs w:val="16"/>
              </w:rPr>
              <w:t>Tributos a Recuperar/Compensar</w:t>
            </w:r>
          </w:p>
        </w:tc>
        <w:tc>
          <w:tcPr>
            <w:tcW w:w="531" w:type="pct"/>
            <w:tcBorders>
              <w:top w:val="nil"/>
              <w:left w:val="nil"/>
              <w:bottom w:val="nil"/>
              <w:right w:val="single" w:sz="4" w:space="0" w:color="auto"/>
            </w:tcBorders>
            <w:shd w:val="clear" w:color="auto" w:fill="auto"/>
            <w:vAlign w:val="center"/>
            <w:hideMark/>
          </w:tcPr>
          <w:p w14:paraId="252E0CAA" w14:textId="77777777" w:rsidR="00617362" w:rsidRPr="00997162" w:rsidRDefault="00617362" w:rsidP="00617362">
            <w:pPr>
              <w:jc w:val="right"/>
              <w:rPr>
                <w:rFonts w:cs="Arial"/>
                <w:color w:val="000000"/>
                <w:sz w:val="18"/>
                <w:szCs w:val="16"/>
              </w:rPr>
            </w:pPr>
            <w:r w:rsidRPr="00997162">
              <w:rPr>
                <w:rFonts w:cs="Arial"/>
                <w:color w:val="000000"/>
                <w:sz w:val="18"/>
                <w:szCs w:val="16"/>
              </w:rPr>
              <w:t>1.060</w:t>
            </w:r>
          </w:p>
        </w:tc>
        <w:tc>
          <w:tcPr>
            <w:tcW w:w="455" w:type="pct"/>
            <w:tcBorders>
              <w:top w:val="nil"/>
              <w:left w:val="nil"/>
              <w:bottom w:val="nil"/>
              <w:right w:val="single" w:sz="4" w:space="0" w:color="auto"/>
            </w:tcBorders>
            <w:shd w:val="clear" w:color="auto" w:fill="auto"/>
            <w:vAlign w:val="center"/>
            <w:hideMark/>
          </w:tcPr>
          <w:p w14:paraId="72A88C3A" w14:textId="77777777" w:rsidR="00617362" w:rsidRPr="00997162" w:rsidRDefault="00617362" w:rsidP="00617362">
            <w:pPr>
              <w:jc w:val="center"/>
              <w:rPr>
                <w:rFonts w:cs="Arial"/>
                <w:color w:val="000000"/>
                <w:sz w:val="18"/>
                <w:szCs w:val="16"/>
              </w:rPr>
            </w:pPr>
            <w:r w:rsidRPr="00997162">
              <w:rPr>
                <w:rFonts w:cs="Arial"/>
                <w:color w:val="000000"/>
                <w:sz w:val="18"/>
                <w:szCs w:val="16"/>
              </w:rPr>
              <w:t>0,00</w:t>
            </w:r>
          </w:p>
        </w:tc>
        <w:tc>
          <w:tcPr>
            <w:tcW w:w="531" w:type="pct"/>
            <w:tcBorders>
              <w:top w:val="nil"/>
              <w:left w:val="nil"/>
              <w:bottom w:val="nil"/>
              <w:right w:val="single" w:sz="4" w:space="0" w:color="auto"/>
            </w:tcBorders>
            <w:shd w:val="clear" w:color="auto" w:fill="auto"/>
            <w:vAlign w:val="center"/>
            <w:hideMark/>
          </w:tcPr>
          <w:p w14:paraId="47188F4C" w14:textId="77777777" w:rsidR="00617362" w:rsidRPr="00997162" w:rsidRDefault="00617362" w:rsidP="00617362">
            <w:pPr>
              <w:jc w:val="right"/>
              <w:rPr>
                <w:rFonts w:cs="Arial"/>
                <w:color w:val="000000"/>
                <w:sz w:val="18"/>
                <w:szCs w:val="16"/>
              </w:rPr>
            </w:pPr>
            <w:r w:rsidRPr="00997162">
              <w:rPr>
                <w:rFonts w:cs="Arial"/>
                <w:color w:val="000000"/>
                <w:sz w:val="18"/>
                <w:szCs w:val="16"/>
              </w:rPr>
              <w:t>1.384</w:t>
            </w:r>
          </w:p>
        </w:tc>
        <w:tc>
          <w:tcPr>
            <w:tcW w:w="455" w:type="pct"/>
            <w:tcBorders>
              <w:top w:val="nil"/>
              <w:left w:val="nil"/>
              <w:bottom w:val="nil"/>
              <w:right w:val="single" w:sz="4" w:space="0" w:color="auto"/>
            </w:tcBorders>
            <w:shd w:val="clear" w:color="auto" w:fill="auto"/>
            <w:vAlign w:val="center"/>
            <w:hideMark/>
          </w:tcPr>
          <w:p w14:paraId="143E24C3" w14:textId="77777777" w:rsidR="00617362" w:rsidRPr="00997162" w:rsidRDefault="00617362" w:rsidP="00617362">
            <w:pPr>
              <w:jc w:val="center"/>
              <w:rPr>
                <w:rFonts w:cs="Arial"/>
                <w:color w:val="000000"/>
                <w:sz w:val="18"/>
                <w:szCs w:val="16"/>
              </w:rPr>
            </w:pPr>
            <w:r w:rsidRPr="00997162">
              <w:rPr>
                <w:rFonts w:cs="Arial"/>
                <w:color w:val="000000"/>
                <w:sz w:val="18"/>
                <w:szCs w:val="16"/>
              </w:rPr>
              <w:t>0,01</w:t>
            </w:r>
          </w:p>
        </w:tc>
        <w:tc>
          <w:tcPr>
            <w:tcW w:w="530" w:type="pct"/>
            <w:tcBorders>
              <w:top w:val="nil"/>
              <w:left w:val="nil"/>
              <w:bottom w:val="nil"/>
              <w:right w:val="single" w:sz="4" w:space="0" w:color="auto"/>
            </w:tcBorders>
            <w:shd w:val="clear" w:color="auto" w:fill="auto"/>
            <w:vAlign w:val="center"/>
            <w:hideMark/>
          </w:tcPr>
          <w:p w14:paraId="2F1511A0" w14:textId="77777777" w:rsidR="00617362" w:rsidRPr="00997162" w:rsidRDefault="00617362" w:rsidP="00011091">
            <w:pPr>
              <w:ind w:hanging="75"/>
              <w:jc w:val="right"/>
              <w:rPr>
                <w:rFonts w:cs="Arial"/>
                <w:color w:val="000000"/>
                <w:sz w:val="18"/>
                <w:szCs w:val="16"/>
              </w:rPr>
            </w:pPr>
            <w:r w:rsidRPr="00997162">
              <w:rPr>
                <w:rFonts w:cs="Arial"/>
                <w:color w:val="FF0000"/>
                <w:sz w:val="18"/>
                <w:szCs w:val="16"/>
              </w:rPr>
              <w:t>(324)</w:t>
            </w:r>
          </w:p>
        </w:tc>
        <w:tc>
          <w:tcPr>
            <w:tcW w:w="602" w:type="pct"/>
            <w:tcBorders>
              <w:top w:val="nil"/>
              <w:left w:val="nil"/>
              <w:bottom w:val="nil"/>
              <w:right w:val="nil"/>
            </w:tcBorders>
            <w:shd w:val="clear" w:color="auto" w:fill="auto"/>
            <w:vAlign w:val="center"/>
            <w:hideMark/>
          </w:tcPr>
          <w:p w14:paraId="5651F739" w14:textId="77777777" w:rsidR="00617362" w:rsidRPr="00997162" w:rsidRDefault="00617362" w:rsidP="00617362">
            <w:pPr>
              <w:jc w:val="center"/>
              <w:rPr>
                <w:rFonts w:cs="Arial"/>
                <w:color w:val="000000"/>
                <w:sz w:val="18"/>
                <w:szCs w:val="16"/>
              </w:rPr>
            </w:pPr>
            <w:r w:rsidRPr="00997162">
              <w:rPr>
                <w:rFonts w:cs="Arial"/>
                <w:color w:val="FF0000"/>
                <w:sz w:val="18"/>
                <w:szCs w:val="16"/>
              </w:rPr>
              <w:t>(23,40)</w:t>
            </w:r>
          </w:p>
        </w:tc>
      </w:tr>
      <w:tr w:rsidR="00DF25BC" w:rsidRPr="00997162" w14:paraId="11FA9F7B" w14:textId="77777777" w:rsidTr="00DF25BC">
        <w:trPr>
          <w:trHeight w:val="255"/>
        </w:trPr>
        <w:tc>
          <w:tcPr>
            <w:tcW w:w="1896" w:type="pct"/>
            <w:tcBorders>
              <w:top w:val="nil"/>
              <w:left w:val="nil"/>
              <w:bottom w:val="nil"/>
              <w:right w:val="single" w:sz="4" w:space="0" w:color="auto"/>
            </w:tcBorders>
            <w:shd w:val="clear" w:color="auto" w:fill="auto"/>
            <w:noWrap/>
            <w:vAlign w:val="center"/>
            <w:hideMark/>
          </w:tcPr>
          <w:p w14:paraId="3274E406" w14:textId="77777777" w:rsidR="00617362" w:rsidRPr="00997162" w:rsidRDefault="00617362" w:rsidP="00DF25BC">
            <w:pPr>
              <w:ind w:left="67"/>
              <w:jc w:val="left"/>
              <w:rPr>
                <w:rFonts w:cs="Arial"/>
                <w:color w:val="333333"/>
                <w:sz w:val="18"/>
                <w:szCs w:val="16"/>
              </w:rPr>
            </w:pPr>
            <w:r w:rsidRPr="00997162">
              <w:rPr>
                <w:rFonts w:cs="Arial"/>
                <w:color w:val="333333"/>
                <w:sz w:val="18"/>
                <w:szCs w:val="16"/>
              </w:rPr>
              <w:t>Depósitos Rest. e Val.Vinculados - a Receber</w:t>
            </w:r>
          </w:p>
        </w:tc>
        <w:tc>
          <w:tcPr>
            <w:tcW w:w="531" w:type="pct"/>
            <w:tcBorders>
              <w:top w:val="nil"/>
              <w:left w:val="nil"/>
              <w:bottom w:val="nil"/>
              <w:right w:val="single" w:sz="4" w:space="0" w:color="auto"/>
            </w:tcBorders>
            <w:shd w:val="clear" w:color="auto" w:fill="auto"/>
            <w:vAlign w:val="center"/>
            <w:hideMark/>
          </w:tcPr>
          <w:p w14:paraId="495C7E11" w14:textId="77777777" w:rsidR="00617362" w:rsidRPr="00997162" w:rsidRDefault="00617362" w:rsidP="00617362">
            <w:pPr>
              <w:jc w:val="right"/>
              <w:rPr>
                <w:rFonts w:cs="Arial"/>
                <w:color w:val="000000"/>
                <w:sz w:val="18"/>
                <w:szCs w:val="16"/>
              </w:rPr>
            </w:pPr>
            <w:r w:rsidRPr="00997162">
              <w:rPr>
                <w:rFonts w:cs="Arial"/>
                <w:color w:val="000000"/>
                <w:sz w:val="18"/>
                <w:szCs w:val="16"/>
              </w:rPr>
              <w:t>1.072.337</w:t>
            </w:r>
          </w:p>
        </w:tc>
        <w:tc>
          <w:tcPr>
            <w:tcW w:w="455" w:type="pct"/>
            <w:tcBorders>
              <w:top w:val="nil"/>
              <w:left w:val="nil"/>
              <w:bottom w:val="nil"/>
              <w:right w:val="single" w:sz="4" w:space="0" w:color="auto"/>
            </w:tcBorders>
            <w:shd w:val="clear" w:color="auto" w:fill="auto"/>
            <w:vAlign w:val="center"/>
            <w:hideMark/>
          </w:tcPr>
          <w:p w14:paraId="7C5D1B61" w14:textId="77777777" w:rsidR="00617362" w:rsidRPr="00997162" w:rsidRDefault="00617362" w:rsidP="00617362">
            <w:pPr>
              <w:jc w:val="center"/>
              <w:rPr>
                <w:rFonts w:cs="Arial"/>
                <w:color w:val="000000"/>
                <w:sz w:val="18"/>
                <w:szCs w:val="16"/>
              </w:rPr>
            </w:pPr>
            <w:r w:rsidRPr="00997162">
              <w:rPr>
                <w:rFonts w:cs="Arial"/>
                <w:color w:val="000000"/>
                <w:sz w:val="18"/>
                <w:szCs w:val="16"/>
              </w:rPr>
              <w:t>3,27</w:t>
            </w:r>
          </w:p>
        </w:tc>
        <w:tc>
          <w:tcPr>
            <w:tcW w:w="531" w:type="pct"/>
            <w:tcBorders>
              <w:top w:val="nil"/>
              <w:left w:val="nil"/>
              <w:bottom w:val="nil"/>
              <w:right w:val="single" w:sz="4" w:space="0" w:color="auto"/>
            </w:tcBorders>
            <w:shd w:val="clear" w:color="auto" w:fill="auto"/>
            <w:vAlign w:val="center"/>
            <w:hideMark/>
          </w:tcPr>
          <w:p w14:paraId="1AF043D7" w14:textId="77777777" w:rsidR="00617362" w:rsidRPr="00997162" w:rsidRDefault="00617362" w:rsidP="00617362">
            <w:pPr>
              <w:jc w:val="right"/>
              <w:rPr>
                <w:rFonts w:cs="Arial"/>
                <w:color w:val="000000"/>
                <w:sz w:val="18"/>
                <w:szCs w:val="16"/>
              </w:rPr>
            </w:pPr>
            <w:r w:rsidRPr="00997162">
              <w:rPr>
                <w:rFonts w:cs="Arial"/>
                <w:color w:val="000000"/>
                <w:sz w:val="18"/>
                <w:szCs w:val="16"/>
              </w:rPr>
              <w:t>-</w:t>
            </w:r>
          </w:p>
        </w:tc>
        <w:tc>
          <w:tcPr>
            <w:tcW w:w="455" w:type="pct"/>
            <w:tcBorders>
              <w:top w:val="nil"/>
              <w:left w:val="nil"/>
              <w:bottom w:val="nil"/>
              <w:right w:val="single" w:sz="4" w:space="0" w:color="auto"/>
            </w:tcBorders>
            <w:shd w:val="clear" w:color="auto" w:fill="auto"/>
            <w:vAlign w:val="center"/>
            <w:hideMark/>
          </w:tcPr>
          <w:p w14:paraId="0E673C4A" w14:textId="77777777" w:rsidR="00617362" w:rsidRPr="00997162" w:rsidRDefault="00617362" w:rsidP="00617362">
            <w:pPr>
              <w:jc w:val="center"/>
              <w:rPr>
                <w:rFonts w:cs="Arial"/>
                <w:color w:val="000000"/>
                <w:sz w:val="18"/>
                <w:szCs w:val="16"/>
              </w:rPr>
            </w:pPr>
            <w:r w:rsidRPr="00997162">
              <w:rPr>
                <w:rFonts w:cs="Arial"/>
                <w:color w:val="000000"/>
                <w:sz w:val="18"/>
                <w:szCs w:val="16"/>
              </w:rPr>
              <w:t>-</w:t>
            </w:r>
          </w:p>
        </w:tc>
        <w:tc>
          <w:tcPr>
            <w:tcW w:w="530" w:type="pct"/>
            <w:tcBorders>
              <w:top w:val="nil"/>
              <w:left w:val="nil"/>
              <w:bottom w:val="nil"/>
              <w:right w:val="single" w:sz="4" w:space="0" w:color="auto"/>
            </w:tcBorders>
            <w:shd w:val="clear" w:color="auto" w:fill="auto"/>
            <w:vAlign w:val="center"/>
            <w:hideMark/>
          </w:tcPr>
          <w:p w14:paraId="2980AAAA" w14:textId="77777777" w:rsidR="00617362" w:rsidRPr="00997162" w:rsidRDefault="00617362" w:rsidP="00011091">
            <w:pPr>
              <w:ind w:hanging="75"/>
              <w:jc w:val="right"/>
              <w:rPr>
                <w:rFonts w:cs="Arial"/>
                <w:color w:val="000000"/>
                <w:sz w:val="18"/>
                <w:szCs w:val="16"/>
              </w:rPr>
            </w:pPr>
            <w:r w:rsidRPr="00997162">
              <w:rPr>
                <w:rFonts w:cs="Arial"/>
                <w:color w:val="000000"/>
                <w:sz w:val="18"/>
                <w:szCs w:val="16"/>
              </w:rPr>
              <w:t>1.072.337</w:t>
            </w:r>
          </w:p>
        </w:tc>
        <w:tc>
          <w:tcPr>
            <w:tcW w:w="602" w:type="pct"/>
            <w:tcBorders>
              <w:top w:val="nil"/>
              <w:left w:val="nil"/>
              <w:bottom w:val="nil"/>
              <w:right w:val="nil"/>
            </w:tcBorders>
            <w:shd w:val="clear" w:color="auto" w:fill="auto"/>
            <w:vAlign w:val="center"/>
            <w:hideMark/>
          </w:tcPr>
          <w:p w14:paraId="4820160C" w14:textId="77777777" w:rsidR="00617362" w:rsidRPr="00997162" w:rsidRDefault="00617362" w:rsidP="00617362">
            <w:pPr>
              <w:jc w:val="center"/>
              <w:rPr>
                <w:rFonts w:cs="Arial"/>
                <w:color w:val="000000"/>
                <w:sz w:val="18"/>
                <w:szCs w:val="16"/>
              </w:rPr>
            </w:pPr>
            <w:r w:rsidRPr="00997162">
              <w:rPr>
                <w:rFonts w:cs="Arial"/>
                <w:color w:val="000000"/>
                <w:sz w:val="18"/>
                <w:szCs w:val="16"/>
              </w:rPr>
              <w:t>-</w:t>
            </w:r>
          </w:p>
        </w:tc>
      </w:tr>
      <w:tr w:rsidR="00DF25BC" w:rsidRPr="00997162" w14:paraId="695BED20" w14:textId="77777777" w:rsidTr="00DF25BC">
        <w:trPr>
          <w:trHeight w:val="255"/>
        </w:trPr>
        <w:tc>
          <w:tcPr>
            <w:tcW w:w="1896" w:type="pct"/>
            <w:tcBorders>
              <w:top w:val="nil"/>
              <w:left w:val="nil"/>
              <w:bottom w:val="nil"/>
              <w:right w:val="single" w:sz="4" w:space="0" w:color="auto"/>
            </w:tcBorders>
            <w:shd w:val="clear" w:color="auto" w:fill="auto"/>
            <w:noWrap/>
            <w:vAlign w:val="center"/>
            <w:hideMark/>
          </w:tcPr>
          <w:p w14:paraId="56C4F258" w14:textId="77777777" w:rsidR="00617362" w:rsidRPr="00997162" w:rsidRDefault="00617362" w:rsidP="00DF25BC">
            <w:pPr>
              <w:ind w:left="67"/>
              <w:jc w:val="left"/>
              <w:rPr>
                <w:rFonts w:cs="Arial"/>
                <w:color w:val="333333"/>
                <w:sz w:val="18"/>
                <w:szCs w:val="16"/>
              </w:rPr>
            </w:pPr>
            <w:r w:rsidRPr="00997162">
              <w:rPr>
                <w:rFonts w:cs="Arial"/>
                <w:color w:val="333333"/>
                <w:sz w:val="18"/>
                <w:szCs w:val="16"/>
              </w:rPr>
              <w:t>Créditos Previdenciários a Receber a CP</w:t>
            </w:r>
          </w:p>
        </w:tc>
        <w:tc>
          <w:tcPr>
            <w:tcW w:w="531" w:type="pct"/>
            <w:tcBorders>
              <w:top w:val="nil"/>
              <w:left w:val="nil"/>
              <w:bottom w:val="nil"/>
              <w:right w:val="single" w:sz="4" w:space="0" w:color="auto"/>
            </w:tcBorders>
            <w:shd w:val="clear" w:color="auto" w:fill="auto"/>
            <w:vAlign w:val="center"/>
            <w:hideMark/>
          </w:tcPr>
          <w:p w14:paraId="5C9210CE" w14:textId="77777777" w:rsidR="00617362" w:rsidRPr="00997162" w:rsidRDefault="00617362" w:rsidP="00DF25BC">
            <w:pPr>
              <w:ind w:left="-74"/>
              <w:jc w:val="right"/>
              <w:rPr>
                <w:rFonts w:cs="Arial"/>
                <w:color w:val="000000"/>
                <w:sz w:val="18"/>
                <w:szCs w:val="16"/>
              </w:rPr>
            </w:pPr>
            <w:r w:rsidRPr="00997162">
              <w:rPr>
                <w:rFonts w:cs="Arial"/>
                <w:color w:val="000000"/>
                <w:sz w:val="18"/>
                <w:szCs w:val="16"/>
              </w:rPr>
              <w:t>12.872.670</w:t>
            </w:r>
          </w:p>
        </w:tc>
        <w:tc>
          <w:tcPr>
            <w:tcW w:w="455" w:type="pct"/>
            <w:tcBorders>
              <w:top w:val="nil"/>
              <w:left w:val="nil"/>
              <w:bottom w:val="nil"/>
              <w:right w:val="single" w:sz="4" w:space="0" w:color="auto"/>
            </w:tcBorders>
            <w:shd w:val="clear" w:color="auto" w:fill="auto"/>
            <w:vAlign w:val="center"/>
            <w:hideMark/>
          </w:tcPr>
          <w:p w14:paraId="6A9B8BD2" w14:textId="77777777" w:rsidR="00617362" w:rsidRPr="00997162" w:rsidRDefault="00617362" w:rsidP="00617362">
            <w:pPr>
              <w:jc w:val="center"/>
              <w:rPr>
                <w:rFonts w:cs="Arial"/>
                <w:color w:val="000000"/>
                <w:sz w:val="18"/>
                <w:szCs w:val="16"/>
              </w:rPr>
            </w:pPr>
            <w:r w:rsidRPr="00997162">
              <w:rPr>
                <w:rFonts w:cs="Arial"/>
                <w:color w:val="000000"/>
                <w:sz w:val="18"/>
                <w:szCs w:val="16"/>
              </w:rPr>
              <w:t>39,31</w:t>
            </w:r>
          </w:p>
        </w:tc>
        <w:tc>
          <w:tcPr>
            <w:tcW w:w="531" w:type="pct"/>
            <w:tcBorders>
              <w:top w:val="nil"/>
              <w:left w:val="nil"/>
              <w:bottom w:val="nil"/>
              <w:right w:val="single" w:sz="4" w:space="0" w:color="auto"/>
            </w:tcBorders>
            <w:shd w:val="clear" w:color="auto" w:fill="auto"/>
            <w:vAlign w:val="center"/>
            <w:hideMark/>
          </w:tcPr>
          <w:p w14:paraId="6C4FE116" w14:textId="77777777" w:rsidR="00617362" w:rsidRPr="00997162" w:rsidRDefault="00617362" w:rsidP="00617362">
            <w:pPr>
              <w:jc w:val="right"/>
              <w:rPr>
                <w:rFonts w:cs="Arial"/>
                <w:color w:val="000000"/>
                <w:sz w:val="18"/>
                <w:szCs w:val="16"/>
              </w:rPr>
            </w:pPr>
            <w:r w:rsidRPr="00997162">
              <w:rPr>
                <w:rFonts w:cs="Arial"/>
                <w:color w:val="000000"/>
                <w:sz w:val="18"/>
                <w:szCs w:val="16"/>
              </w:rPr>
              <w:t>209</w:t>
            </w:r>
          </w:p>
        </w:tc>
        <w:tc>
          <w:tcPr>
            <w:tcW w:w="455" w:type="pct"/>
            <w:tcBorders>
              <w:top w:val="nil"/>
              <w:left w:val="nil"/>
              <w:bottom w:val="nil"/>
              <w:right w:val="single" w:sz="4" w:space="0" w:color="auto"/>
            </w:tcBorders>
            <w:shd w:val="clear" w:color="auto" w:fill="auto"/>
            <w:vAlign w:val="center"/>
            <w:hideMark/>
          </w:tcPr>
          <w:p w14:paraId="4F7AF51D" w14:textId="77777777" w:rsidR="00617362" w:rsidRPr="00997162" w:rsidRDefault="00617362" w:rsidP="00617362">
            <w:pPr>
              <w:jc w:val="center"/>
              <w:rPr>
                <w:rFonts w:cs="Arial"/>
                <w:color w:val="000000"/>
                <w:sz w:val="18"/>
                <w:szCs w:val="16"/>
              </w:rPr>
            </w:pPr>
            <w:r w:rsidRPr="00997162">
              <w:rPr>
                <w:rFonts w:cs="Arial"/>
                <w:color w:val="000000"/>
                <w:sz w:val="18"/>
                <w:szCs w:val="16"/>
              </w:rPr>
              <w:t>0,00</w:t>
            </w:r>
          </w:p>
        </w:tc>
        <w:tc>
          <w:tcPr>
            <w:tcW w:w="530" w:type="pct"/>
            <w:tcBorders>
              <w:top w:val="nil"/>
              <w:left w:val="nil"/>
              <w:bottom w:val="nil"/>
              <w:right w:val="single" w:sz="4" w:space="0" w:color="auto"/>
            </w:tcBorders>
            <w:shd w:val="clear" w:color="auto" w:fill="auto"/>
            <w:vAlign w:val="center"/>
            <w:hideMark/>
          </w:tcPr>
          <w:p w14:paraId="3B1A3792" w14:textId="77777777" w:rsidR="00617362" w:rsidRPr="00997162" w:rsidRDefault="00617362" w:rsidP="00011091">
            <w:pPr>
              <w:ind w:hanging="75"/>
              <w:jc w:val="right"/>
              <w:rPr>
                <w:rFonts w:cs="Arial"/>
                <w:color w:val="000000"/>
                <w:sz w:val="18"/>
                <w:szCs w:val="16"/>
              </w:rPr>
            </w:pPr>
            <w:r w:rsidRPr="00997162">
              <w:rPr>
                <w:rFonts w:cs="Arial"/>
                <w:color w:val="000000"/>
                <w:sz w:val="18"/>
                <w:szCs w:val="16"/>
              </w:rPr>
              <w:t>12.872.462</w:t>
            </w:r>
          </w:p>
        </w:tc>
        <w:tc>
          <w:tcPr>
            <w:tcW w:w="602" w:type="pct"/>
            <w:tcBorders>
              <w:top w:val="nil"/>
              <w:left w:val="nil"/>
              <w:bottom w:val="nil"/>
              <w:right w:val="nil"/>
            </w:tcBorders>
            <w:shd w:val="clear" w:color="auto" w:fill="auto"/>
            <w:vAlign w:val="center"/>
            <w:hideMark/>
          </w:tcPr>
          <w:p w14:paraId="77D2B44D" w14:textId="29C6293C" w:rsidR="00617362" w:rsidRPr="00997162" w:rsidRDefault="00DF25BC" w:rsidP="00DF25BC">
            <w:pPr>
              <w:jc w:val="center"/>
              <w:rPr>
                <w:rFonts w:cs="Arial"/>
                <w:color w:val="000000"/>
                <w:sz w:val="18"/>
                <w:szCs w:val="16"/>
              </w:rPr>
            </w:pPr>
            <w:r w:rsidRPr="00DF25BC">
              <w:rPr>
                <w:rFonts w:cs="Arial"/>
                <w:color w:val="000000"/>
                <w:sz w:val="18"/>
                <w:szCs w:val="16"/>
              </w:rPr>
              <w:t>6159072,73</w:t>
            </w:r>
          </w:p>
        </w:tc>
      </w:tr>
      <w:tr w:rsidR="00DF25BC" w:rsidRPr="00997162" w14:paraId="7F1279D8" w14:textId="77777777" w:rsidTr="00DF25BC">
        <w:trPr>
          <w:trHeight w:val="255"/>
        </w:trPr>
        <w:tc>
          <w:tcPr>
            <w:tcW w:w="1896" w:type="pct"/>
            <w:tcBorders>
              <w:top w:val="nil"/>
              <w:left w:val="nil"/>
              <w:bottom w:val="nil"/>
              <w:right w:val="single" w:sz="4" w:space="0" w:color="auto"/>
            </w:tcBorders>
            <w:shd w:val="clear" w:color="auto" w:fill="auto"/>
            <w:noWrap/>
            <w:vAlign w:val="center"/>
            <w:hideMark/>
          </w:tcPr>
          <w:p w14:paraId="06A4C7E9" w14:textId="77777777" w:rsidR="00617362" w:rsidRPr="00997162" w:rsidRDefault="00617362" w:rsidP="00DF25BC">
            <w:pPr>
              <w:ind w:left="67"/>
              <w:jc w:val="left"/>
              <w:rPr>
                <w:rFonts w:cs="Arial"/>
                <w:color w:val="333333"/>
                <w:sz w:val="18"/>
                <w:szCs w:val="16"/>
              </w:rPr>
            </w:pPr>
            <w:r w:rsidRPr="00997162">
              <w:rPr>
                <w:rFonts w:cs="Arial"/>
                <w:color w:val="333333"/>
                <w:sz w:val="18"/>
                <w:szCs w:val="16"/>
              </w:rPr>
              <w:t>Outros Créditos a Receber e Val.a CP</w:t>
            </w:r>
          </w:p>
        </w:tc>
        <w:tc>
          <w:tcPr>
            <w:tcW w:w="531" w:type="pct"/>
            <w:tcBorders>
              <w:top w:val="nil"/>
              <w:left w:val="nil"/>
              <w:bottom w:val="nil"/>
              <w:right w:val="single" w:sz="4" w:space="0" w:color="auto"/>
            </w:tcBorders>
            <w:shd w:val="clear" w:color="auto" w:fill="auto"/>
            <w:vAlign w:val="center"/>
            <w:hideMark/>
          </w:tcPr>
          <w:p w14:paraId="7A95DC9B" w14:textId="77777777" w:rsidR="00617362" w:rsidRPr="00997162" w:rsidRDefault="00617362" w:rsidP="00DF25BC">
            <w:pPr>
              <w:ind w:left="-74"/>
              <w:jc w:val="right"/>
              <w:rPr>
                <w:rFonts w:cs="Arial"/>
                <w:color w:val="000000"/>
                <w:sz w:val="18"/>
                <w:szCs w:val="16"/>
              </w:rPr>
            </w:pPr>
            <w:r w:rsidRPr="00997162">
              <w:rPr>
                <w:rFonts w:cs="Arial"/>
                <w:color w:val="000000"/>
                <w:sz w:val="18"/>
                <w:szCs w:val="16"/>
              </w:rPr>
              <w:t>18.782.489</w:t>
            </w:r>
          </w:p>
        </w:tc>
        <w:tc>
          <w:tcPr>
            <w:tcW w:w="455" w:type="pct"/>
            <w:tcBorders>
              <w:top w:val="nil"/>
              <w:left w:val="nil"/>
              <w:bottom w:val="nil"/>
              <w:right w:val="single" w:sz="4" w:space="0" w:color="auto"/>
            </w:tcBorders>
            <w:shd w:val="clear" w:color="auto" w:fill="auto"/>
            <w:vAlign w:val="center"/>
            <w:hideMark/>
          </w:tcPr>
          <w:p w14:paraId="623D1187" w14:textId="77777777" w:rsidR="00617362" w:rsidRPr="00997162" w:rsidRDefault="00617362" w:rsidP="00617362">
            <w:pPr>
              <w:jc w:val="center"/>
              <w:rPr>
                <w:rFonts w:cs="Arial"/>
                <w:color w:val="000000"/>
                <w:sz w:val="18"/>
                <w:szCs w:val="16"/>
              </w:rPr>
            </w:pPr>
            <w:r w:rsidRPr="00997162">
              <w:rPr>
                <w:rFonts w:cs="Arial"/>
                <w:color w:val="000000"/>
                <w:sz w:val="18"/>
                <w:szCs w:val="16"/>
              </w:rPr>
              <w:t>57,36</w:t>
            </w:r>
          </w:p>
        </w:tc>
        <w:tc>
          <w:tcPr>
            <w:tcW w:w="531" w:type="pct"/>
            <w:tcBorders>
              <w:top w:val="nil"/>
              <w:left w:val="nil"/>
              <w:bottom w:val="nil"/>
              <w:right w:val="single" w:sz="4" w:space="0" w:color="auto"/>
            </w:tcBorders>
            <w:shd w:val="clear" w:color="auto" w:fill="auto"/>
            <w:vAlign w:val="center"/>
            <w:hideMark/>
          </w:tcPr>
          <w:p w14:paraId="5BD6658C" w14:textId="77777777" w:rsidR="00617362" w:rsidRPr="00997162" w:rsidRDefault="00617362" w:rsidP="00011091">
            <w:pPr>
              <w:ind w:hanging="65"/>
              <w:jc w:val="right"/>
              <w:rPr>
                <w:rFonts w:cs="Arial"/>
                <w:color w:val="000000"/>
                <w:sz w:val="18"/>
                <w:szCs w:val="16"/>
              </w:rPr>
            </w:pPr>
            <w:r w:rsidRPr="00997162">
              <w:rPr>
                <w:rFonts w:cs="Arial"/>
                <w:color w:val="000000"/>
                <w:sz w:val="18"/>
                <w:szCs w:val="16"/>
              </w:rPr>
              <w:t>18.703.715</w:t>
            </w:r>
          </w:p>
        </w:tc>
        <w:tc>
          <w:tcPr>
            <w:tcW w:w="455" w:type="pct"/>
            <w:tcBorders>
              <w:top w:val="nil"/>
              <w:left w:val="nil"/>
              <w:bottom w:val="nil"/>
              <w:right w:val="single" w:sz="4" w:space="0" w:color="auto"/>
            </w:tcBorders>
            <w:shd w:val="clear" w:color="auto" w:fill="auto"/>
            <w:vAlign w:val="center"/>
            <w:hideMark/>
          </w:tcPr>
          <w:p w14:paraId="4B028F37" w14:textId="77777777" w:rsidR="00617362" w:rsidRPr="00997162" w:rsidRDefault="00617362" w:rsidP="00617362">
            <w:pPr>
              <w:jc w:val="center"/>
              <w:rPr>
                <w:rFonts w:cs="Arial"/>
                <w:color w:val="000000"/>
                <w:sz w:val="18"/>
                <w:szCs w:val="16"/>
              </w:rPr>
            </w:pPr>
            <w:r w:rsidRPr="00997162">
              <w:rPr>
                <w:rFonts w:cs="Arial"/>
                <w:color w:val="000000"/>
                <w:sz w:val="18"/>
                <w:szCs w:val="16"/>
              </w:rPr>
              <w:t>99,89</w:t>
            </w:r>
          </w:p>
        </w:tc>
        <w:tc>
          <w:tcPr>
            <w:tcW w:w="530" w:type="pct"/>
            <w:tcBorders>
              <w:top w:val="nil"/>
              <w:left w:val="nil"/>
              <w:bottom w:val="nil"/>
              <w:right w:val="single" w:sz="4" w:space="0" w:color="auto"/>
            </w:tcBorders>
            <w:shd w:val="clear" w:color="auto" w:fill="auto"/>
            <w:vAlign w:val="center"/>
            <w:hideMark/>
          </w:tcPr>
          <w:p w14:paraId="3C3D0546" w14:textId="77777777" w:rsidR="00617362" w:rsidRPr="00997162" w:rsidRDefault="00617362" w:rsidP="00011091">
            <w:pPr>
              <w:ind w:hanging="75"/>
              <w:jc w:val="right"/>
              <w:rPr>
                <w:rFonts w:cs="Arial"/>
                <w:color w:val="000000"/>
                <w:sz w:val="18"/>
                <w:szCs w:val="16"/>
              </w:rPr>
            </w:pPr>
            <w:r w:rsidRPr="00997162">
              <w:rPr>
                <w:rFonts w:cs="Arial"/>
                <w:color w:val="000000"/>
                <w:sz w:val="18"/>
                <w:szCs w:val="16"/>
              </w:rPr>
              <w:t>78.774</w:t>
            </w:r>
          </w:p>
        </w:tc>
        <w:tc>
          <w:tcPr>
            <w:tcW w:w="602" w:type="pct"/>
            <w:tcBorders>
              <w:top w:val="nil"/>
              <w:left w:val="nil"/>
              <w:bottom w:val="nil"/>
              <w:right w:val="nil"/>
            </w:tcBorders>
            <w:shd w:val="clear" w:color="auto" w:fill="auto"/>
            <w:vAlign w:val="center"/>
            <w:hideMark/>
          </w:tcPr>
          <w:p w14:paraId="0C003589" w14:textId="77777777" w:rsidR="00617362" w:rsidRPr="00997162" w:rsidRDefault="00617362" w:rsidP="00617362">
            <w:pPr>
              <w:jc w:val="center"/>
              <w:rPr>
                <w:rFonts w:cs="Arial"/>
                <w:color w:val="000000"/>
                <w:sz w:val="18"/>
                <w:szCs w:val="16"/>
              </w:rPr>
            </w:pPr>
            <w:r w:rsidRPr="00997162">
              <w:rPr>
                <w:rFonts w:cs="Arial"/>
                <w:color w:val="000000"/>
                <w:sz w:val="18"/>
                <w:szCs w:val="16"/>
              </w:rPr>
              <w:t>0,42</w:t>
            </w:r>
          </w:p>
        </w:tc>
      </w:tr>
      <w:tr w:rsidR="00DF25BC" w:rsidRPr="00997162" w14:paraId="21D61D1C" w14:textId="77777777" w:rsidTr="00DF25BC">
        <w:trPr>
          <w:trHeight w:val="255"/>
        </w:trPr>
        <w:tc>
          <w:tcPr>
            <w:tcW w:w="1896" w:type="pct"/>
            <w:tcBorders>
              <w:top w:val="nil"/>
              <w:left w:val="nil"/>
              <w:bottom w:val="single" w:sz="4" w:space="0" w:color="auto"/>
              <w:right w:val="single" w:sz="4" w:space="0" w:color="auto"/>
            </w:tcBorders>
            <w:shd w:val="clear" w:color="auto" w:fill="auto"/>
            <w:noWrap/>
            <w:vAlign w:val="center"/>
            <w:hideMark/>
          </w:tcPr>
          <w:p w14:paraId="02D952B3" w14:textId="77777777" w:rsidR="00617362" w:rsidRPr="00997162" w:rsidRDefault="00617362" w:rsidP="00DF25BC">
            <w:pPr>
              <w:ind w:left="67"/>
              <w:jc w:val="left"/>
              <w:rPr>
                <w:rFonts w:cs="Arial"/>
                <w:color w:val="333333"/>
                <w:sz w:val="18"/>
                <w:szCs w:val="16"/>
              </w:rPr>
            </w:pPr>
            <w:r w:rsidRPr="00997162">
              <w:rPr>
                <w:rFonts w:cs="Arial"/>
                <w:color w:val="333333"/>
                <w:sz w:val="18"/>
                <w:szCs w:val="16"/>
              </w:rPr>
              <w:t>(-) Ajuste de Perdas de Demais Créditos e Val.a CP</w:t>
            </w:r>
          </w:p>
        </w:tc>
        <w:tc>
          <w:tcPr>
            <w:tcW w:w="531" w:type="pct"/>
            <w:tcBorders>
              <w:top w:val="nil"/>
              <w:left w:val="nil"/>
              <w:bottom w:val="single" w:sz="4" w:space="0" w:color="auto"/>
              <w:right w:val="single" w:sz="4" w:space="0" w:color="auto"/>
            </w:tcBorders>
            <w:shd w:val="clear" w:color="auto" w:fill="auto"/>
            <w:vAlign w:val="center"/>
            <w:hideMark/>
          </w:tcPr>
          <w:p w14:paraId="664660FC" w14:textId="77777777" w:rsidR="00617362" w:rsidRPr="00997162" w:rsidRDefault="00617362" w:rsidP="00617362">
            <w:pPr>
              <w:jc w:val="right"/>
              <w:rPr>
                <w:rFonts w:cs="Arial"/>
                <w:color w:val="000000"/>
                <w:sz w:val="18"/>
                <w:szCs w:val="16"/>
              </w:rPr>
            </w:pPr>
            <w:r w:rsidRPr="00997162">
              <w:rPr>
                <w:rFonts w:cs="Arial"/>
                <w:color w:val="FF0000"/>
                <w:sz w:val="18"/>
                <w:szCs w:val="16"/>
              </w:rPr>
              <w:t>(555)</w:t>
            </w:r>
          </w:p>
        </w:tc>
        <w:tc>
          <w:tcPr>
            <w:tcW w:w="455" w:type="pct"/>
            <w:tcBorders>
              <w:top w:val="nil"/>
              <w:left w:val="nil"/>
              <w:bottom w:val="single" w:sz="4" w:space="0" w:color="auto"/>
              <w:right w:val="single" w:sz="4" w:space="0" w:color="auto"/>
            </w:tcBorders>
            <w:shd w:val="clear" w:color="auto" w:fill="auto"/>
            <w:vAlign w:val="center"/>
            <w:hideMark/>
          </w:tcPr>
          <w:p w14:paraId="35039A16" w14:textId="77777777" w:rsidR="00617362" w:rsidRPr="00997162" w:rsidRDefault="00617362" w:rsidP="00617362">
            <w:pPr>
              <w:jc w:val="center"/>
              <w:rPr>
                <w:rFonts w:cs="Arial"/>
                <w:color w:val="000000"/>
                <w:sz w:val="18"/>
                <w:szCs w:val="16"/>
              </w:rPr>
            </w:pPr>
            <w:r w:rsidRPr="00997162">
              <w:rPr>
                <w:rFonts w:cs="Arial"/>
                <w:color w:val="FF0000"/>
                <w:sz w:val="18"/>
                <w:szCs w:val="16"/>
              </w:rPr>
              <w:t>(0,00)</w:t>
            </w:r>
          </w:p>
        </w:tc>
        <w:tc>
          <w:tcPr>
            <w:tcW w:w="531" w:type="pct"/>
            <w:tcBorders>
              <w:top w:val="nil"/>
              <w:left w:val="nil"/>
              <w:bottom w:val="single" w:sz="4" w:space="0" w:color="auto"/>
              <w:right w:val="single" w:sz="4" w:space="0" w:color="auto"/>
            </w:tcBorders>
            <w:shd w:val="clear" w:color="auto" w:fill="auto"/>
            <w:vAlign w:val="center"/>
            <w:hideMark/>
          </w:tcPr>
          <w:p w14:paraId="663B161B" w14:textId="77777777" w:rsidR="00617362" w:rsidRPr="00997162" w:rsidRDefault="00617362" w:rsidP="00617362">
            <w:pPr>
              <w:jc w:val="right"/>
              <w:rPr>
                <w:rFonts w:cs="Arial"/>
                <w:color w:val="000000"/>
                <w:sz w:val="18"/>
                <w:szCs w:val="16"/>
              </w:rPr>
            </w:pPr>
            <w:r w:rsidRPr="00997162">
              <w:rPr>
                <w:rFonts w:cs="Arial"/>
                <w:color w:val="FF0000"/>
                <w:sz w:val="18"/>
                <w:szCs w:val="16"/>
              </w:rPr>
              <w:t>(517)</w:t>
            </w:r>
          </w:p>
        </w:tc>
        <w:tc>
          <w:tcPr>
            <w:tcW w:w="455" w:type="pct"/>
            <w:tcBorders>
              <w:top w:val="nil"/>
              <w:left w:val="nil"/>
              <w:bottom w:val="single" w:sz="4" w:space="0" w:color="auto"/>
              <w:right w:val="single" w:sz="4" w:space="0" w:color="auto"/>
            </w:tcBorders>
            <w:shd w:val="clear" w:color="auto" w:fill="auto"/>
            <w:vAlign w:val="center"/>
            <w:hideMark/>
          </w:tcPr>
          <w:p w14:paraId="03CBFB07" w14:textId="77777777" w:rsidR="00617362" w:rsidRPr="00997162" w:rsidRDefault="00617362" w:rsidP="00617362">
            <w:pPr>
              <w:jc w:val="center"/>
              <w:rPr>
                <w:rFonts w:cs="Arial"/>
                <w:color w:val="000000"/>
                <w:sz w:val="18"/>
                <w:szCs w:val="16"/>
              </w:rPr>
            </w:pPr>
            <w:r w:rsidRPr="00997162">
              <w:rPr>
                <w:rFonts w:cs="Arial"/>
                <w:color w:val="FF0000"/>
                <w:sz w:val="18"/>
                <w:szCs w:val="16"/>
              </w:rPr>
              <w:t>(0,00)</w:t>
            </w:r>
          </w:p>
        </w:tc>
        <w:tc>
          <w:tcPr>
            <w:tcW w:w="530" w:type="pct"/>
            <w:tcBorders>
              <w:top w:val="nil"/>
              <w:left w:val="nil"/>
              <w:bottom w:val="single" w:sz="4" w:space="0" w:color="auto"/>
              <w:right w:val="single" w:sz="4" w:space="0" w:color="auto"/>
            </w:tcBorders>
            <w:shd w:val="clear" w:color="auto" w:fill="auto"/>
            <w:vAlign w:val="center"/>
            <w:hideMark/>
          </w:tcPr>
          <w:p w14:paraId="436A00A1" w14:textId="77777777" w:rsidR="00617362" w:rsidRPr="00997162" w:rsidRDefault="00617362" w:rsidP="00011091">
            <w:pPr>
              <w:ind w:hanging="75"/>
              <w:jc w:val="right"/>
              <w:rPr>
                <w:rFonts w:cs="Arial"/>
                <w:color w:val="000000"/>
                <w:sz w:val="18"/>
                <w:szCs w:val="16"/>
              </w:rPr>
            </w:pPr>
            <w:r w:rsidRPr="00997162">
              <w:rPr>
                <w:rFonts w:cs="Arial"/>
                <w:color w:val="FF0000"/>
                <w:sz w:val="18"/>
                <w:szCs w:val="16"/>
              </w:rPr>
              <w:t>(38)</w:t>
            </w:r>
          </w:p>
        </w:tc>
        <w:tc>
          <w:tcPr>
            <w:tcW w:w="602" w:type="pct"/>
            <w:tcBorders>
              <w:top w:val="nil"/>
              <w:left w:val="nil"/>
              <w:bottom w:val="single" w:sz="4" w:space="0" w:color="auto"/>
              <w:right w:val="nil"/>
            </w:tcBorders>
            <w:shd w:val="clear" w:color="auto" w:fill="auto"/>
            <w:vAlign w:val="center"/>
            <w:hideMark/>
          </w:tcPr>
          <w:p w14:paraId="54A6E619" w14:textId="77777777" w:rsidR="00617362" w:rsidRPr="00997162" w:rsidRDefault="00617362" w:rsidP="00617362">
            <w:pPr>
              <w:jc w:val="center"/>
              <w:rPr>
                <w:rFonts w:cs="Arial"/>
                <w:color w:val="000000"/>
                <w:sz w:val="18"/>
                <w:szCs w:val="16"/>
              </w:rPr>
            </w:pPr>
            <w:r w:rsidRPr="00997162">
              <w:rPr>
                <w:rFonts w:cs="Arial"/>
                <w:color w:val="000000"/>
                <w:sz w:val="18"/>
                <w:szCs w:val="16"/>
              </w:rPr>
              <w:t>7,30</w:t>
            </w:r>
          </w:p>
        </w:tc>
      </w:tr>
      <w:tr w:rsidR="00DF25BC" w:rsidRPr="00011091" w14:paraId="79593138" w14:textId="77777777" w:rsidTr="00DF25BC">
        <w:trPr>
          <w:trHeight w:val="255"/>
        </w:trPr>
        <w:tc>
          <w:tcPr>
            <w:tcW w:w="1896" w:type="pct"/>
            <w:tcBorders>
              <w:top w:val="single" w:sz="4" w:space="0" w:color="auto"/>
              <w:left w:val="nil"/>
              <w:bottom w:val="single" w:sz="4" w:space="0" w:color="auto"/>
              <w:right w:val="single" w:sz="4" w:space="0" w:color="auto"/>
            </w:tcBorders>
            <w:shd w:val="clear" w:color="auto" w:fill="auto"/>
            <w:noWrap/>
            <w:vAlign w:val="center"/>
          </w:tcPr>
          <w:p w14:paraId="2E276E59" w14:textId="77777777" w:rsidR="00617362" w:rsidRPr="00011091" w:rsidRDefault="00617362" w:rsidP="00617362">
            <w:pPr>
              <w:jc w:val="center"/>
              <w:rPr>
                <w:rFonts w:cs="Arial"/>
                <w:b/>
                <w:color w:val="333333"/>
                <w:sz w:val="18"/>
                <w:szCs w:val="16"/>
              </w:rPr>
            </w:pPr>
            <w:r w:rsidRPr="00011091">
              <w:rPr>
                <w:rFonts w:cs="Arial"/>
                <w:b/>
                <w:color w:val="333333"/>
                <w:sz w:val="18"/>
                <w:szCs w:val="16"/>
              </w:rPr>
              <w:t>Total</w:t>
            </w:r>
          </w:p>
        </w:tc>
        <w:tc>
          <w:tcPr>
            <w:tcW w:w="531" w:type="pct"/>
            <w:tcBorders>
              <w:top w:val="single" w:sz="4" w:space="0" w:color="auto"/>
              <w:left w:val="nil"/>
              <w:bottom w:val="single" w:sz="4" w:space="0" w:color="auto"/>
              <w:right w:val="single" w:sz="4" w:space="0" w:color="auto"/>
            </w:tcBorders>
            <w:shd w:val="clear" w:color="auto" w:fill="auto"/>
            <w:vAlign w:val="center"/>
          </w:tcPr>
          <w:p w14:paraId="39C1287F" w14:textId="77777777" w:rsidR="00617362" w:rsidRPr="00011091" w:rsidRDefault="00617362" w:rsidP="00CC5384">
            <w:pPr>
              <w:ind w:left="-74"/>
              <w:jc w:val="right"/>
              <w:rPr>
                <w:rFonts w:cs="Arial"/>
                <w:b/>
                <w:color w:val="FF0000"/>
                <w:sz w:val="18"/>
                <w:szCs w:val="16"/>
              </w:rPr>
            </w:pPr>
            <w:r w:rsidRPr="00011091">
              <w:rPr>
                <w:rFonts w:cs="Arial"/>
                <w:b/>
                <w:color w:val="000000"/>
                <w:sz w:val="18"/>
                <w:szCs w:val="16"/>
              </w:rPr>
              <w:t>32.746.674</w:t>
            </w:r>
          </w:p>
        </w:tc>
        <w:tc>
          <w:tcPr>
            <w:tcW w:w="455" w:type="pct"/>
            <w:tcBorders>
              <w:top w:val="single" w:sz="4" w:space="0" w:color="auto"/>
              <w:left w:val="nil"/>
              <w:bottom w:val="single" w:sz="4" w:space="0" w:color="auto"/>
              <w:right w:val="single" w:sz="4" w:space="0" w:color="auto"/>
            </w:tcBorders>
            <w:shd w:val="clear" w:color="auto" w:fill="auto"/>
            <w:vAlign w:val="center"/>
          </w:tcPr>
          <w:p w14:paraId="423B53A6" w14:textId="77777777" w:rsidR="00617362" w:rsidRPr="00011091" w:rsidRDefault="00617362" w:rsidP="00617362">
            <w:pPr>
              <w:jc w:val="center"/>
              <w:rPr>
                <w:rFonts w:cs="Arial"/>
                <w:b/>
                <w:color w:val="FF0000"/>
                <w:sz w:val="18"/>
                <w:szCs w:val="16"/>
              </w:rPr>
            </w:pPr>
            <w:r w:rsidRPr="00011091">
              <w:rPr>
                <w:rFonts w:cs="Arial"/>
                <w:b/>
                <w:color w:val="000000"/>
                <w:sz w:val="18"/>
                <w:szCs w:val="16"/>
              </w:rPr>
              <w:t>100,00</w:t>
            </w:r>
          </w:p>
        </w:tc>
        <w:tc>
          <w:tcPr>
            <w:tcW w:w="531" w:type="pct"/>
            <w:tcBorders>
              <w:top w:val="single" w:sz="4" w:space="0" w:color="auto"/>
              <w:left w:val="nil"/>
              <w:bottom w:val="single" w:sz="4" w:space="0" w:color="auto"/>
              <w:right w:val="single" w:sz="4" w:space="0" w:color="auto"/>
            </w:tcBorders>
            <w:shd w:val="clear" w:color="auto" w:fill="auto"/>
            <w:vAlign w:val="center"/>
          </w:tcPr>
          <w:p w14:paraId="7904D407" w14:textId="77777777" w:rsidR="00617362" w:rsidRPr="00011091" w:rsidRDefault="00617362" w:rsidP="00011091">
            <w:pPr>
              <w:ind w:hanging="65"/>
              <w:jc w:val="right"/>
              <w:rPr>
                <w:rFonts w:cs="Arial"/>
                <w:b/>
                <w:color w:val="FF0000"/>
                <w:sz w:val="18"/>
                <w:szCs w:val="16"/>
              </w:rPr>
            </w:pPr>
            <w:r w:rsidRPr="00011091">
              <w:rPr>
                <w:rFonts w:cs="Arial"/>
                <w:b/>
                <w:color w:val="000000"/>
                <w:sz w:val="18"/>
                <w:szCs w:val="16"/>
              </w:rPr>
              <w:t>18.723.511</w:t>
            </w:r>
          </w:p>
        </w:tc>
        <w:tc>
          <w:tcPr>
            <w:tcW w:w="455" w:type="pct"/>
            <w:tcBorders>
              <w:top w:val="single" w:sz="4" w:space="0" w:color="auto"/>
              <w:left w:val="nil"/>
              <w:bottom w:val="single" w:sz="4" w:space="0" w:color="auto"/>
              <w:right w:val="single" w:sz="4" w:space="0" w:color="auto"/>
            </w:tcBorders>
            <w:shd w:val="clear" w:color="auto" w:fill="auto"/>
            <w:vAlign w:val="center"/>
          </w:tcPr>
          <w:p w14:paraId="494710BF" w14:textId="77777777" w:rsidR="00617362" w:rsidRPr="00011091" w:rsidRDefault="00617362" w:rsidP="00617362">
            <w:pPr>
              <w:jc w:val="center"/>
              <w:rPr>
                <w:rFonts w:cs="Arial"/>
                <w:b/>
                <w:color w:val="FF0000"/>
                <w:sz w:val="18"/>
                <w:szCs w:val="16"/>
              </w:rPr>
            </w:pPr>
            <w:r w:rsidRPr="00011091">
              <w:rPr>
                <w:rFonts w:cs="Arial"/>
                <w:b/>
                <w:color w:val="000000"/>
                <w:sz w:val="18"/>
                <w:szCs w:val="16"/>
              </w:rPr>
              <w:t>100,00</w:t>
            </w:r>
          </w:p>
        </w:tc>
        <w:tc>
          <w:tcPr>
            <w:tcW w:w="530" w:type="pct"/>
            <w:tcBorders>
              <w:top w:val="single" w:sz="4" w:space="0" w:color="auto"/>
              <w:left w:val="nil"/>
              <w:bottom w:val="single" w:sz="4" w:space="0" w:color="auto"/>
              <w:right w:val="single" w:sz="4" w:space="0" w:color="auto"/>
            </w:tcBorders>
            <w:shd w:val="clear" w:color="auto" w:fill="auto"/>
            <w:vAlign w:val="center"/>
          </w:tcPr>
          <w:p w14:paraId="465A4122" w14:textId="77777777" w:rsidR="00617362" w:rsidRPr="00011091" w:rsidRDefault="00617362" w:rsidP="00011091">
            <w:pPr>
              <w:ind w:hanging="75"/>
              <w:jc w:val="right"/>
              <w:rPr>
                <w:rFonts w:cs="Arial"/>
                <w:b/>
                <w:color w:val="FF0000"/>
                <w:sz w:val="18"/>
                <w:szCs w:val="16"/>
              </w:rPr>
            </w:pPr>
            <w:r w:rsidRPr="00011091">
              <w:rPr>
                <w:rFonts w:cs="Arial"/>
                <w:b/>
                <w:color w:val="000000"/>
                <w:sz w:val="18"/>
                <w:szCs w:val="16"/>
              </w:rPr>
              <w:t>14.023.163</w:t>
            </w:r>
          </w:p>
        </w:tc>
        <w:tc>
          <w:tcPr>
            <w:tcW w:w="602" w:type="pct"/>
            <w:tcBorders>
              <w:top w:val="single" w:sz="4" w:space="0" w:color="auto"/>
              <w:left w:val="nil"/>
              <w:bottom w:val="single" w:sz="4" w:space="0" w:color="auto"/>
              <w:right w:val="nil"/>
            </w:tcBorders>
            <w:shd w:val="clear" w:color="auto" w:fill="auto"/>
            <w:vAlign w:val="center"/>
          </w:tcPr>
          <w:p w14:paraId="0F8195B6" w14:textId="77777777" w:rsidR="00617362" w:rsidRPr="00011091" w:rsidRDefault="00617362" w:rsidP="00617362">
            <w:pPr>
              <w:jc w:val="center"/>
              <w:rPr>
                <w:rFonts w:cs="Arial"/>
                <w:b/>
                <w:color w:val="000000"/>
                <w:sz w:val="18"/>
                <w:szCs w:val="16"/>
              </w:rPr>
            </w:pPr>
            <w:r w:rsidRPr="00011091">
              <w:rPr>
                <w:rFonts w:cs="Arial"/>
                <w:b/>
                <w:color w:val="000000"/>
                <w:sz w:val="18"/>
                <w:szCs w:val="16"/>
              </w:rPr>
              <w:t>74,90</w:t>
            </w:r>
          </w:p>
        </w:tc>
      </w:tr>
    </w:tbl>
    <w:p w14:paraId="6DC223D5" w14:textId="77777777" w:rsidR="00617362" w:rsidRDefault="00617362" w:rsidP="00EF01A1">
      <w:pPr>
        <w:pStyle w:val="1-FONTE8ESQ"/>
      </w:pPr>
      <w:r>
        <w:t xml:space="preserve">Fonte: </w:t>
      </w:r>
      <w:r w:rsidRPr="00C9564B">
        <w:rPr>
          <w:i/>
        </w:rPr>
        <w:t>Business Objects</w:t>
      </w:r>
    </w:p>
    <w:p w14:paraId="4BE59133" w14:textId="77777777" w:rsidR="00617362" w:rsidRDefault="00617362" w:rsidP="00617362">
      <w:pPr>
        <w:pStyle w:val="1-REL11"/>
      </w:pPr>
      <w:bookmarkStart w:id="389" w:name="_Hlk167353623"/>
      <w:r>
        <w:t xml:space="preserve">As contas que mais impactaram esse subgrupo foram: </w:t>
      </w:r>
      <w:r w:rsidRPr="00D20456">
        <w:t xml:space="preserve">Depósitos Restituíveis </w:t>
      </w:r>
      <w:r>
        <w:t>e</w:t>
      </w:r>
      <w:r w:rsidRPr="00D20456">
        <w:t xml:space="preserve"> Valores Vinculados </w:t>
      </w:r>
      <w:r>
        <w:t>a</w:t>
      </w:r>
      <w:r w:rsidRPr="00D20456">
        <w:t xml:space="preserve"> Receber</w:t>
      </w:r>
      <w:r>
        <w:t xml:space="preserve">, com uma participação de 3,27%; </w:t>
      </w:r>
      <w:r w:rsidRPr="00D20456">
        <w:t xml:space="preserve">Créditos Previdenciários </w:t>
      </w:r>
      <w:r>
        <w:t>a</w:t>
      </w:r>
      <w:r w:rsidRPr="00D20456">
        <w:t xml:space="preserve"> Receber </w:t>
      </w:r>
      <w:r>
        <w:t>a</w:t>
      </w:r>
      <w:r w:rsidRPr="00D20456">
        <w:t xml:space="preserve"> Curto Prazo</w:t>
      </w:r>
      <w:r>
        <w:t xml:space="preserve">, detendo 39,31% do subgrupo analisado; e </w:t>
      </w:r>
      <w:r w:rsidRPr="00D20456">
        <w:t xml:space="preserve">Outros Créditos </w:t>
      </w:r>
      <w:r>
        <w:t>a</w:t>
      </w:r>
      <w:r w:rsidRPr="00D20456">
        <w:t xml:space="preserve"> Receber </w:t>
      </w:r>
      <w:r>
        <w:t>e</w:t>
      </w:r>
      <w:r w:rsidRPr="00D20456">
        <w:t xml:space="preserve"> Valores </w:t>
      </w:r>
      <w:r>
        <w:t>a</w:t>
      </w:r>
      <w:r w:rsidRPr="00D20456">
        <w:t xml:space="preserve"> Curto Prazo</w:t>
      </w:r>
      <w:r>
        <w:t>, que apresentou 57,36% de participação</w:t>
      </w:r>
      <w:bookmarkEnd w:id="389"/>
      <w:r>
        <w:t>.</w:t>
      </w:r>
    </w:p>
    <w:p w14:paraId="41001DE1" w14:textId="77777777" w:rsidR="00617362" w:rsidRDefault="00617362" w:rsidP="00617362">
      <w:pPr>
        <w:pStyle w:val="1-REL11"/>
      </w:pPr>
      <w:bookmarkStart w:id="390" w:name="_Hlk167353643"/>
      <w:r>
        <w:t xml:space="preserve">Os </w:t>
      </w:r>
      <w:r w:rsidRPr="00EA7B2B">
        <w:t xml:space="preserve">Depósitos Restituíveis </w:t>
      </w:r>
      <w:r>
        <w:t>e</w:t>
      </w:r>
      <w:r w:rsidRPr="00EA7B2B">
        <w:t xml:space="preserve"> Valores Vinculados</w:t>
      </w:r>
      <w:r>
        <w:t xml:space="preserve"> a</w:t>
      </w:r>
      <w:r w:rsidRPr="00EA7B2B">
        <w:t xml:space="preserve"> Receber</w:t>
      </w:r>
      <w:r>
        <w:t xml:space="preserve"> </w:t>
      </w:r>
      <w:bookmarkEnd w:id="390"/>
      <w:r>
        <w:t>c</w:t>
      </w:r>
      <w:r w:rsidRPr="004622EE">
        <w:t>ompreende</w:t>
      </w:r>
      <w:r>
        <w:t>m</w:t>
      </w:r>
      <w:r w:rsidRPr="004622EE">
        <w:t xml:space="preserve"> os valores de depósitos e cauções efetuados pela entidade para garantia de contratos, bem como para direito de uso, exploração temporária de bens ou de natureza judicial, depósitos compulsórios e demais recursos vinculados, realizáveis no curto prazo.</w:t>
      </w:r>
      <w:r>
        <w:t xml:space="preserve"> Essa conta </w:t>
      </w:r>
      <w:bookmarkStart w:id="391" w:name="_Hlk167353688"/>
      <w:r>
        <w:t xml:space="preserve">não apresentava saldo em 2022, já em 2023 totalizou R$ 1,07 bilhão. Trata-se da contabilização do fundo de reserva, realizada pelo Tribunal do Justiça do Estado de Goiás (TJ/GO) em 2023, que abarca o valor remanescente dos depósitos judiciais repassados ao Estado, conforme </w:t>
      </w:r>
      <w:r w:rsidRPr="001A3FD5">
        <w:t xml:space="preserve">a Lei </w:t>
      </w:r>
      <w:r>
        <w:t>E</w:t>
      </w:r>
      <w:r w:rsidRPr="001A3FD5">
        <w:t>stadual nº</w:t>
      </w:r>
      <w:r>
        <w:t> </w:t>
      </w:r>
      <w:r w:rsidRPr="001A3FD5">
        <w:t>20.557</w:t>
      </w:r>
      <w:r>
        <w:t xml:space="preserve">, de 11 de setembro de </w:t>
      </w:r>
      <w:r w:rsidRPr="001A3FD5">
        <w:t>2019</w:t>
      </w:r>
      <w:bookmarkEnd w:id="391"/>
      <w:r>
        <w:t>. O assunto será abordado em tópico específico.</w:t>
      </w:r>
    </w:p>
    <w:p w14:paraId="3C871E19" w14:textId="77777777" w:rsidR="00617362" w:rsidRDefault="00617362" w:rsidP="00617362">
      <w:pPr>
        <w:pStyle w:val="1-REL11"/>
      </w:pPr>
      <w:bookmarkStart w:id="392" w:name="_Hlk167353795"/>
      <w:r>
        <w:t>Sobre os Créditos Previdenciários a Receber a Curto Prazo, notou-se um expressivo aumento em seu saldo quando comparado a 2022, na ordem de R$ 12,87 bilhões, incremento observado especificamente em Cobertura a Insuficiência Financeira – Benefícios Concedidos</w:t>
      </w:r>
      <w:bookmarkEnd w:id="392"/>
      <w:r>
        <w:t xml:space="preserve">. Tal fato decorre da contabilização das contrapartidas das provisões matemáticas previdenciárias instituídas em 2023, lançadas em contas de cobertura de insuficiência financeira. </w:t>
      </w:r>
      <w:r w:rsidRPr="00DD5D4E">
        <w:t xml:space="preserve">Ao apresentar a insuficiência financeira para cobrir as despesas com os benefícios previdenciários, o </w:t>
      </w:r>
      <w:r>
        <w:t>Regime Próprio de Previdência Social (</w:t>
      </w:r>
      <w:r w:rsidRPr="00DD5D4E">
        <w:t>RRPS</w:t>
      </w:r>
      <w:r>
        <w:t>)</w:t>
      </w:r>
      <w:r w:rsidRPr="00DD5D4E">
        <w:t xml:space="preserve"> reconheceu créditos previdenciários a receber</w:t>
      </w:r>
      <w:r>
        <w:t xml:space="preserve"> </w:t>
      </w:r>
      <w:r w:rsidRPr="00DD5D4E">
        <w:t xml:space="preserve">no </w:t>
      </w:r>
      <w:r>
        <w:t>A</w:t>
      </w:r>
      <w:r w:rsidRPr="00DD5D4E">
        <w:t xml:space="preserve">tivo </w:t>
      </w:r>
      <w:r>
        <w:t>C</w:t>
      </w:r>
      <w:r w:rsidRPr="00DD5D4E">
        <w:t xml:space="preserve">irculante e no </w:t>
      </w:r>
      <w:r>
        <w:t>N</w:t>
      </w:r>
      <w:r w:rsidRPr="00DD5D4E">
        <w:t xml:space="preserve">ão </w:t>
      </w:r>
      <w:r>
        <w:t>C</w:t>
      </w:r>
      <w:r w:rsidRPr="00DD5D4E">
        <w:t>irculante.</w:t>
      </w:r>
      <w:r>
        <w:t xml:space="preserve"> O assunto será abordado em tópico específico.</w:t>
      </w:r>
    </w:p>
    <w:p w14:paraId="269A8B5C" w14:textId="77777777" w:rsidR="00617362" w:rsidRDefault="00617362" w:rsidP="00617362">
      <w:pPr>
        <w:pStyle w:val="1-REL11"/>
      </w:pPr>
      <w:bookmarkStart w:id="393" w:name="_Hlk167353810"/>
      <w:r>
        <w:t xml:space="preserve">Quanto aos </w:t>
      </w:r>
      <w:r w:rsidRPr="00D20456">
        <w:t xml:space="preserve">Outros Créditos </w:t>
      </w:r>
      <w:r>
        <w:t>a</w:t>
      </w:r>
      <w:r w:rsidRPr="00D20456">
        <w:t xml:space="preserve"> Receber </w:t>
      </w:r>
      <w:r>
        <w:t>e</w:t>
      </w:r>
      <w:r w:rsidRPr="00D20456">
        <w:t xml:space="preserve"> Valores </w:t>
      </w:r>
      <w:r>
        <w:t>a</w:t>
      </w:r>
      <w:r w:rsidRPr="00D20456">
        <w:t xml:space="preserve"> Curto Prazo</w:t>
      </w:r>
      <w:bookmarkEnd w:id="393"/>
      <w:r>
        <w:t>, que c</w:t>
      </w:r>
      <w:r w:rsidRPr="004525A1">
        <w:t>ompreende os outros créditos e valores realizáveis no curto prazo provenientes de direitos obtidos junto a diversos devedores</w:t>
      </w:r>
      <w:r>
        <w:t xml:space="preserve">, </w:t>
      </w:r>
      <w:bookmarkStart w:id="394" w:name="_Hlk167353853"/>
      <w:r>
        <w:t xml:space="preserve">observou-se um aumento do saldo de R$ 78,77 milhões em relação ao ano de 2022, totalizando R$ 18,78 bilhões em 2023. A maior representatividade, no referido grupo de contas, </w:t>
      </w:r>
      <w:r>
        <w:lastRenderedPageBreak/>
        <w:t>é de créditos a receber decorrentes de infrações legais e contratuais (créditos a receber de auto de infração de impostos e de multas por descumprimento de obrigações acessórias).</w:t>
      </w:r>
      <w:bookmarkEnd w:id="394"/>
    </w:p>
    <w:p w14:paraId="11E11FF1" w14:textId="77777777" w:rsidR="00617362" w:rsidRDefault="00617362" w:rsidP="00117967">
      <w:pPr>
        <w:pStyle w:val="Ttulo4"/>
      </w:pPr>
      <w:r>
        <w:t>Estoques</w:t>
      </w:r>
    </w:p>
    <w:p w14:paraId="04931A06" w14:textId="77777777" w:rsidR="00617362" w:rsidRDefault="00617362" w:rsidP="00617362">
      <w:pPr>
        <w:pStyle w:val="1-REL11"/>
      </w:pPr>
      <w:bookmarkStart w:id="395" w:name="_Hlk167353938"/>
      <w:bookmarkStart w:id="396" w:name="_Hlk165363366"/>
      <w:r>
        <w:t xml:space="preserve">O subgrupo </w:t>
      </w:r>
      <w:r w:rsidRPr="00073127">
        <w:t xml:space="preserve">de contas </w:t>
      </w:r>
      <w:r>
        <w:t>E</w:t>
      </w:r>
      <w:r w:rsidRPr="00073127">
        <w:t xml:space="preserve">stoques </w:t>
      </w:r>
      <w:bookmarkEnd w:id="395"/>
      <w:r>
        <w:t>abrange</w:t>
      </w:r>
      <w:r w:rsidRPr="00073127">
        <w:t xml:space="preserve"> o valor dos bens adquiridos, produzidos ou em processo de elaboração pela entidade com o objetivo de venda ou utilização própria no curso normal das atividades e</w:t>
      </w:r>
      <w:r>
        <w:t xml:space="preserve">, </w:t>
      </w:r>
      <w:bookmarkStart w:id="397" w:name="_Hlk167353967"/>
      <w:r>
        <w:t>apesar da imaterialidade do saldo final no exercício em análise,</w:t>
      </w:r>
      <w:r w:rsidRPr="00073127">
        <w:t xml:space="preserve"> apresentou um aumento </w:t>
      </w:r>
      <w:r>
        <w:t xml:space="preserve">expressivo </w:t>
      </w:r>
      <w:r w:rsidRPr="00073127">
        <w:t>de 175,93%</w:t>
      </w:r>
      <w:r w:rsidRPr="00331BDD">
        <w:t xml:space="preserve"> </w:t>
      </w:r>
      <w:r w:rsidRPr="00073127">
        <w:t>em relação a 2022</w:t>
      </w:r>
      <w:r>
        <w:t xml:space="preserve">, </w:t>
      </w:r>
      <w:r w:rsidRPr="00073127">
        <w:t xml:space="preserve">ou seja, </w:t>
      </w:r>
      <w:r>
        <w:t xml:space="preserve">um </w:t>
      </w:r>
      <w:r w:rsidRPr="00073127">
        <w:t>incremento de</w:t>
      </w:r>
      <w:r>
        <w:t xml:space="preserve"> </w:t>
      </w:r>
      <w:r w:rsidRPr="00073127">
        <w:t>R$</w:t>
      </w:r>
      <w:r>
        <w:t> </w:t>
      </w:r>
      <w:r w:rsidRPr="00073127">
        <w:t>500,17 milhões, totalizando R$</w:t>
      </w:r>
      <w:r>
        <w:t> </w:t>
      </w:r>
      <w:r w:rsidRPr="00073127">
        <w:t>784,46 milhões em 2023</w:t>
      </w:r>
      <w:bookmarkEnd w:id="397"/>
      <w:r w:rsidRPr="00073127">
        <w:t>.</w:t>
      </w:r>
      <w:r>
        <w:t xml:space="preserve"> O Estoque está assim composto:</w:t>
      </w:r>
    </w:p>
    <w:p w14:paraId="1A5A17DF" w14:textId="16A5A926" w:rsidR="00617362" w:rsidRDefault="00617362" w:rsidP="00ED3571">
      <w:pPr>
        <w:pStyle w:val="0-TABELA"/>
      </w:pPr>
      <w:bookmarkStart w:id="398" w:name="_Toc167871816"/>
      <w:r>
        <w:t>Estoque – Material de Consumo</w:t>
      </w:r>
      <w:bookmarkEnd w:id="398"/>
    </w:p>
    <w:p w14:paraId="0D5288A0" w14:textId="77777777" w:rsidR="00617362" w:rsidRPr="00650E37" w:rsidRDefault="00617362" w:rsidP="00617362">
      <w:pPr>
        <w:pStyle w:val="0-EmR"/>
        <w:rPr>
          <w:lang w:eastAsia="en-US"/>
        </w:rPr>
      </w:pPr>
      <w:r>
        <w:rPr>
          <w:lang w:eastAsia="en-US"/>
        </w:rPr>
        <w:t>R$ 1</w:t>
      </w:r>
    </w:p>
    <w:tbl>
      <w:tblPr>
        <w:tblW w:w="5000" w:type="pct"/>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769"/>
        <w:gridCol w:w="1594"/>
        <w:gridCol w:w="990"/>
      </w:tblGrid>
      <w:tr w:rsidR="00617362" w:rsidRPr="00D546D5" w14:paraId="1094B94A" w14:textId="77777777" w:rsidTr="00761101">
        <w:trPr>
          <w:trHeight w:val="284"/>
          <w:tblHeader/>
        </w:trPr>
        <w:tc>
          <w:tcPr>
            <w:tcW w:w="3619" w:type="pct"/>
            <w:tcBorders>
              <w:top w:val="single" w:sz="4" w:space="0" w:color="auto"/>
              <w:bottom w:val="single" w:sz="4" w:space="0" w:color="auto"/>
              <w:right w:val="single" w:sz="4" w:space="0" w:color="auto"/>
            </w:tcBorders>
            <w:shd w:val="clear" w:color="auto" w:fill="A1F2FD"/>
            <w:noWrap/>
            <w:vAlign w:val="center"/>
            <w:hideMark/>
          </w:tcPr>
          <w:p w14:paraId="325027F6" w14:textId="77777777" w:rsidR="00617362" w:rsidRPr="00D546D5" w:rsidRDefault="00617362" w:rsidP="00617362">
            <w:pPr>
              <w:jc w:val="center"/>
              <w:rPr>
                <w:rFonts w:cs="Arial"/>
                <w:b/>
                <w:bCs/>
                <w:color w:val="000000"/>
                <w:sz w:val="20"/>
                <w:szCs w:val="20"/>
              </w:rPr>
            </w:pPr>
            <w:r w:rsidRPr="00D546D5">
              <w:rPr>
                <w:rFonts w:cs="Arial"/>
                <w:b/>
                <w:bCs/>
                <w:color w:val="000000"/>
                <w:sz w:val="20"/>
                <w:szCs w:val="20"/>
              </w:rPr>
              <w:t>Conta</w:t>
            </w:r>
          </w:p>
        </w:tc>
        <w:tc>
          <w:tcPr>
            <w:tcW w:w="852" w:type="pct"/>
            <w:tcBorders>
              <w:top w:val="single" w:sz="4" w:space="0" w:color="auto"/>
              <w:left w:val="single" w:sz="4" w:space="0" w:color="auto"/>
              <w:bottom w:val="single" w:sz="4" w:space="0" w:color="auto"/>
              <w:right w:val="single" w:sz="4" w:space="0" w:color="auto"/>
            </w:tcBorders>
            <w:shd w:val="clear" w:color="auto" w:fill="A1F2FD"/>
            <w:noWrap/>
            <w:vAlign w:val="center"/>
            <w:hideMark/>
          </w:tcPr>
          <w:p w14:paraId="4819C6EF" w14:textId="77777777" w:rsidR="00617362" w:rsidRPr="00D546D5" w:rsidRDefault="00617362" w:rsidP="00617362">
            <w:pPr>
              <w:jc w:val="center"/>
              <w:rPr>
                <w:rFonts w:cs="Arial"/>
                <w:b/>
                <w:bCs/>
                <w:color w:val="000000"/>
                <w:sz w:val="20"/>
                <w:szCs w:val="20"/>
              </w:rPr>
            </w:pPr>
            <w:r w:rsidRPr="00D546D5">
              <w:rPr>
                <w:rFonts w:cs="Arial"/>
                <w:b/>
                <w:bCs/>
                <w:color w:val="000000"/>
                <w:sz w:val="20"/>
                <w:szCs w:val="20"/>
              </w:rPr>
              <w:t>Valor</w:t>
            </w:r>
          </w:p>
        </w:tc>
        <w:tc>
          <w:tcPr>
            <w:tcW w:w="529" w:type="pct"/>
            <w:tcBorders>
              <w:top w:val="single" w:sz="4" w:space="0" w:color="auto"/>
              <w:left w:val="single" w:sz="4" w:space="0" w:color="auto"/>
              <w:bottom w:val="single" w:sz="4" w:space="0" w:color="auto"/>
            </w:tcBorders>
            <w:shd w:val="clear" w:color="auto" w:fill="A1F2FD"/>
            <w:noWrap/>
            <w:vAlign w:val="center"/>
            <w:hideMark/>
          </w:tcPr>
          <w:p w14:paraId="1FF18C01" w14:textId="77777777" w:rsidR="00617362" w:rsidRPr="00D546D5" w:rsidRDefault="00617362" w:rsidP="00617362">
            <w:pPr>
              <w:jc w:val="center"/>
              <w:rPr>
                <w:rFonts w:cs="Arial"/>
                <w:b/>
                <w:bCs/>
                <w:color w:val="000000"/>
                <w:sz w:val="20"/>
                <w:szCs w:val="20"/>
              </w:rPr>
            </w:pPr>
            <w:r w:rsidRPr="00D546D5">
              <w:rPr>
                <w:rFonts w:cs="Arial"/>
                <w:b/>
                <w:bCs/>
                <w:color w:val="000000"/>
                <w:sz w:val="20"/>
                <w:szCs w:val="20"/>
              </w:rPr>
              <w:t>AV %</w:t>
            </w:r>
          </w:p>
        </w:tc>
      </w:tr>
      <w:tr w:rsidR="00617362" w:rsidRPr="00D546D5" w14:paraId="7E2CF732" w14:textId="77777777" w:rsidTr="00761101">
        <w:trPr>
          <w:trHeight w:val="284"/>
        </w:trPr>
        <w:tc>
          <w:tcPr>
            <w:tcW w:w="3619" w:type="pct"/>
            <w:tcBorders>
              <w:top w:val="single" w:sz="4" w:space="0" w:color="auto"/>
              <w:right w:val="single" w:sz="4" w:space="0" w:color="auto"/>
            </w:tcBorders>
            <w:shd w:val="clear" w:color="auto" w:fill="auto"/>
            <w:noWrap/>
            <w:vAlign w:val="center"/>
            <w:hideMark/>
          </w:tcPr>
          <w:p w14:paraId="349504D4" w14:textId="77777777" w:rsidR="00617362" w:rsidRPr="00D546D5" w:rsidRDefault="00617362" w:rsidP="00761101">
            <w:pPr>
              <w:ind w:left="67"/>
              <w:jc w:val="left"/>
              <w:rPr>
                <w:rFonts w:cs="Arial"/>
                <w:color w:val="000000"/>
                <w:sz w:val="20"/>
                <w:szCs w:val="20"/>
              </w:rPr>
            </w:pPr>
            <w:r w:rsidRPr="00D546D5">
              <w:rPr>
                <w:rFonts w:cs="Arial"/>
                <w:color w:val="000000"/>
                <w:sz w:val="20"/>
                <w:szCs w:val="20"/>
              </w:rPr>
              <w:t>Material Educacional e Cultural (Distribuição Gratuita)</w:t>
            </w:r>
          </w:p>
        </w:tc>
        <w:tc>
          <w:tcPr>
            <w:tcW w:w="852" w:type="pct"/>
            <w:tcBorders>
              <w:top w:val="single" w:sz="4" w:space="0" w:color="auto"/>
              <w:left w:val="single" w:sz="4" w:space="0" w:color="auto"/>
              <w:bottom w:val="nil"/>
              <w:right w:val="single" w:sz="4" w:space="0" w:color="auto"/>
            </w:tcBorders>
            <w:shd w:val="clear" w:color="auto" w:fill="auto"/>
            <w:noWrap/>
            <w:vAlign w:val="center"/>
            <w:hideMark/>
          </w:tcPr>
          <w:p w14:paraId="53E714A7" w14:textId="77777777" w:rsidR="00617362" w:rsidRPr="00D546D5" w:rsidRDefault="00617362" w:rsidP="00617362">
            <w:pPr>
              <w:jc w:val="right"/>
              <w:rPr>
                <w:rFonts w:cs="Arial"/>
                <w:color w:val="000000"/>
                <w:sz w:val="20"/>
                <w:szCs w:val="20"/>
              </w:rPr>
            </w:pPr>
            <w:r w:rsidRPr="00D546D5">
              <w:rPr>
                <w:rFonts w:cs="Arial"/>
                <w:color w:val="000000"/>
                <w:sz w:val="20"/>
                <w:szCs w:val="20"/>
              </w:rPr>
              <w:t>384.691.127</w:t>
            </w:r>
          </w:p>
        </w:tc>
        <w:tc>
          <w:tcPr>
            <w:tcW w:w="529" w:type="pct"/>
            <w:tcBorders>
              <w:top w:val="single" w:sz="4" w:space="0" w:color="auto"/>
              <w:left w:val="single" w:sz="4" w:space="0" w:color="auto"/>
            </w:tcBorders>
            <w:shd w:val="clear" w:color="auto" w:fill="auto"/>
            <w:noWrap/>
            <w:vAlign w:val="center"/>
            <w:hideMark/>
          </w:tcPr>
          <w:p w14:paraId="63102A20" w14:textId="77777777" w:rsidR="00617362" w:rsidRPr="00D546D5" w:rsidRDefault="00617362" w:rsidP="00617362">
            <w:pPr>
              <w:jc w:val="center"/>
              <w:rPr>
                <w:rFonts w:cs="Arial"/>
                <w:color w:val="000000"/>
                <w:sz w:val="20"/>
                <w:szCs w:val="20"/>
              </w:rPr>
            </w:pPr>
            <w:r w:rsidRPr="00D546D5">
              <w:rPr>
                <w:rFonts w:cs="Arial"/>
                <w:color w:val="000000"/>
                <w:sz w:val="20"/>
                <w:szCs w:val="20"/>
              </w:rPr>
              <w:t>49,04</w:t>
            </w:r>
          </w:p>
        </w:tc>
      </w:tr>
      <w:tr w:rsidR="00617362" w:rsidRPr="00D546D5" w14:paraId="766ED356" w14:textId="77777777" w:rsidTr="00761101">
        <w:trPr>
          <w:trHeight w:val="284"/>
        </w:trPr>
        <w:tc>
          <w:tcPr>
            <w:tcW w:w="3619" w:type="pct"/>
            <w:tcBorders>
              <w:right w:val="single" w:sz="4" w:space="0" w:color="auto"/>
            </w:tcBorders>
            <w:shd w:val="clear" w:color="auto" w:fill="auto"/>
            <w:noWrap/>
            <w:vAlign w:val="center"/>
            <w:hideMark/>
          </w:tcPr>
          <w:p w14:paraId="1E1436BF" w14:textId="77777777" w:rsidR="00617362" w:rsidRPr="00D546D5" w:rsidRDefault="00617362" w:rsidP="00761101">
            <w:pPr>
              <w:ind w:left="67"/>
              <w:jc w:val="left"/>
              <w:rPr>
                <w:rFonts w:cs="Arial"/>
                <w:color w:val="000000"/>
                <w:sz w:val="20"/>
                <w:szCs w:val="20"/>
              </w:rPr>
            </w:pPr>
            <w:r w:rsidRPr="00D546D5">
              <w:rPr>
                <w:rFonts w:cs="Arial"/>
                <w:color w:val="000000"/>
                <w:sz w:val="20"/>
                <w:szCs w:val="20"/>
              </w:rPr>
              <w:t>Material Laboratorial</w:t>
            </w:r>
          </w:p>
        </w:tc>
        <w:tc>
          <w:tcPr>
            <w:tcW w:w="852" w:type="pct"/>
            <w:tcBorders>
              <w:top w:val="nil"/>
              <w:left w:val="single" w:sz="4" w:space="0" w:color="auto"/>
              <w:bottom w:val="nil"/>
              <w:right w:val="single" w:sz="4" w:space="0" w:color="auto"/>
            </w:tcBorders>
            <w:shd w:val="clear" w:color="auto" w:fill="auto"/>
            <w:noWrap/>
            <w:vAlign w:val="center"/>
            <w:hideMark/>
          </w:tcPr>
          <w:p w14:paraId="0885015A" w14:textId="77777777" w:rsidR="00617362" w:rsidRPr="00D546D5" w:rsidRDefault="00617362" w:rsidP="00617362">
            <w:pPr>
              <w:jc w:val="right"/>
              <w:rPr>
                <w:rFonts w:cs="Arial"/>
                <w:color w:val="000000"/>
                <w:sz w:val="20"/>
                <w:szCs w:val="20"/>
              </w:rPr>
            </w:pPr>
            <w:r w:rsidRPr="00D546D5">
              <w:rPr>
                <w:rFonts w:cs="Arial"/>
                <w:color w:val="000000"/>
                <w:sz w:val="20"/>
                <w:szCs w:val="20"/>
              </w:rPr>
              <w:t>161.571.388</w:t>
            </w:r>
          </w:p>
        </w:tc>
        <w:tc>
          <w:tcPr>
            <w:tcW w:w="529" w:type="pct"/>
            <w:tcBorders>
              <w:left w:val="single" w:sz="4" w:space="0" w:color="auto"/>
            </w:tcBorders>
            <w:shd w:val="clear" w:color="auto" w:fill="auto"/>
            <w:noWrap/>
            <w:vAlign w:val="center"/>
            <w:hideMark/>
          </w:tcPr>
          <w:p w14:paraId="71918381" w14:textId="77777777" w:rsidR="00617362" w:rsidRPr="00D546D5" w:rsidRDefault="00617362" w:rsidP="00617362">
            <w:pPr>
              <w:jc w:val="center"/>
              <w:rPr>
                <w:rFonts w:cs="Arial"/>
                <w:color w:val="000000"/>
                <w:sz w:val="20"/>
                <w:szCs w:val="20"/>
              </w:rPr>
            </w:pPr>
            <w:r w:rsidRPr="00D546D5">
              <w:rPr>
                <w:rFonts w:cs="Arial"/>
                <w:color w:val="000000"/>
                <w:sz w:val="20"/>
                <w:szCs w:val="20"/>
              </w:rPr>
              <w:t>20,60</w:t>
            </w:r>
          </w:p>
        </w:tc>
      </w:tr>
      <w:tr w:rsidR="00617362" w:rsidRPr="00D546D5" w14:paraId="7ABAF9E6" w14:textId="77777777" w:rsidTr="00761101">
        <w:trPr>
          <w:trHeight w:val="284"/>
        </w:trPr>
        <w:tc>
          <w:tcPr>
            <w:tcW w:w="3619" w:type="pct"/>
            <w:tcBorders>
              <w:right w:val="single" w:sz="4" w:space="0" w:color="auto"/>
            </w:tcBorders>
            <w:shd w:val="clear" w:color="auto" w:fill="auto"/>
            <w:noWrap/>
            <w:vAlign w:val="center"/>
            <w:hideMark/>
          </w:tcPr>
          <w:p w14:paraId="14AE849A" w14:textId="77777777" w:rsidR="00617362" w:rsidRPr="00D546D5" w:rsidRDefault="00617362" w:rsidP="00761101">
            <w:pPr>
              <w:ind w:left="67"/>
              <w:jc w:val="left"/>
              <w:rPr>
                <w:rFonts w:cs="Arial"/>
                <w:color w:val="000000"/>
                <w:sz w:val="20"/>
                <w:szCs w:val="20"/>
              </w:rPr>
            </w:pPr>
            <w:r w:rsidRPr="00D546D5">
              <w:rPr>
                <w:rFonts w:cs="Arial"/>
                <w:color w:val="000000"/>
                <w:sz w:val="20"/>
                <w:szCs w:val="20"/>
              </w:rPr>
              <w:t>Medicamentos</w:t>
            </w:r>
          </w:p>
        </w:tc>
        <w:tc>
          <w:tcPr>
            <w:tcW w:w="852" w:type="pct"/>
            <w:tcBorders>
              <w:top w:val="nil"/>
              <w:left w:val="single" w:sz="4" w:space="0" w:color="auto"/>
              <w:bottom w:val="nil"/>
              <w:right w:val="single" w:sz="4" w:space="0" w:color="auto"/>
            </w:tcBorders>
            <w:shd w:val="clear" w:color="auto" w:fill="auto"/>
            <w:noWrap/>
            <w:vAlign w:val="center"/>
            <w:hideMark/>
          </w:tcPr>
          <w:p w14:paraId="0621D341" w14:textId="77777777" w:rsidR="00617362" w:rsidRPr="00D546D5" w:rsidRDefault="00617362" w:rsidP="00617362">
            <w:pPr>
              <w:jc w:val="right"/>
              <w:rPr>
                <w:rFonts w:cs="Arial"/>
                <w:color w:val="000000"/>
                <w:sz w:val="20"/>
                <w:szCs w:val="20"/>
              </w:rPr>
            </w:pPr>
            <w:r w:rsidRPr="00D546D5">
              <w:rPr>
                <w:rFonts w:cs="Arial"/>
                <w:color w:val="000000"/>
                <w:sz w:val="20"/>
                <w:szCs w:val="20"/>
              </w:rPr>
              <w:t>77.544.034</w:t>
            </w:r>
          </w:p>
        </w:tc>
        <w:tc>
          <w:tcPr>
            <w:tcW w:w="529" w:type="pct"/>
            <w:tcBorders>
              <w:left w:val="single" w:sz="4" w:space="0" w:color="auto"/>
            </w:tcBorders>
            <w:shd w:val="clear" w:color="auto" w:fill="auto"/>
            <w:noWrap/>
            <w:vAlign w:val="center"/>
            <w:hideMark/>
          </w:tcPr>
          <w:p w14:paraId="5AB206C7" w14:textId="77777777" w:rsidR="00617362" w:rsidRPr="00D546D5" w:rsidRDefault="00617362" w:rsidP="00617362">
            <w:pPr>
              <w:jc w:val="center"/>
              <w:rPr>
                <w:rFonts w:cs="Arial"/>
                <w:color w:val="000000"/>
                <w:sz w:val="20"/>
                <w:szCs w:val="20"/>
              </w:rPr>
            </w:pPr>
            <w:r w:rsidRPr="00D546D5">
              <w:rPr>
                <w:rFonts w:cs="Arial"/>
                <w:color w:val="000000"/>
                <w:sz w:val="20"/>
                <w:szCs w:val="20"/>
              </w:rPr>
              <w:t>9,88</w:t>
            </w:r>
          </w:p>
        </w:tc>
      </w:tr>
      <w:tr w:rsidR="00617362" w:rsidRPr="00D546D5" w14:paraId="5CD87A8F" w14:textId="77777777" w:rsidTr="00761101">
        <w:trPr>
          <w:trHeight w:val="284"/>
        </w:trPr>
        <w:tc>
          <w:tcPr>
            <w:tcW w:w="3619" w:type="pct"/>
            <w:tcBorders>
              <w:right w:val="single" w:sz="4" w:space="0" w:color="auto"/>
            </w:tcBorders>
            <w:shd w:val="clear" w:color="auto" w:fill="auto"/>
            <w:noWrap/>
            <w:vAlign w:val="center"/>
            <w:hideMark/>
          </w:tcPr>
          <w:p w14:paraId="7211E530" w14:textId="77777777" w:rsidR="00617362" w:rsidRPr="00D546D5" w:rsidRDefault="00617362" w:rsidP="00761101">
            <w:pPr>
              <w:ind w:left="67"/>
              <w:jc w:val="left"/>
              <w:rPr>
                <w:rFonts w:cs="Arial"/>
                <w:color w:val="000000"/>
                <w:sz w:val="20"/>
                <w:szCs w:val="20"/>
              </w:rPr>
            </w:pPr>
            <w:r w:rsidRPr="00D546D5">
              <w:rPr>
                <w:rFonts w:cs="Arial"/>
                <w:color w:val="000000"/>
                <w:sz w:val="20"/>
                <w:szCs w:val="20"/>
              </w:rPr>
              <w:t>Medicamentos para Distribuição Gratuita</w:t>
            </w:r>
          </w:p>
        </w:tc>
        <w:tc>
          <w:tcPr>
            <w:tcW w:w="852" w:type="pct"/>
            <w:tcBorders>
              <w:top w:val="nil"/>
              <w:left w:val="single" w:sz="4" w:space="0" w:color="auto"/>
              <w:bottom w:val="nil"/>
              <w:right w:val="single" w:sz="4" w:space="0" w:color="auto"/>
            </w:tcBorders>
            <w:shd w:val="clear" w:color="auto" w:fill="auto"/>
            <w:noWrap/>
            <w:vAlign w:val="center"/>
            <w:hideMark/>
          </w:tcPr>
          <w:p w14:paraId="33924D5C" w14:textId="77777777" w:rsidR="00617362" w:rsidRPr="00D546D5" w:rsidRDefault="00617362" w:rsidP="00617362">
            <w:pPr>
              <w:jc w:val="right"/>
              <w:rPr>
                <w:rFonts w:cs="Arial"/>
                <w:color w:val="000000"/>
                <w:sz w:val="20"/>
                <w:szCs w:val="20"/>
              </w:rPr>
            </w:pPr>
            <w:r w:rsidRPr="00D546D5">
              <w:rPr>
                <w:rFonts w:cs="Arial"/>
                <w:color w:val="000000"/>
                <w:sz w:val="20"/>
                <w:szCs w:val="20"/>
              </w:rPr>
              <w:t>36.385.518</w:t>
            </w:r>
          </w:p>
        </w:tc>
        <w:tc>
          <w:tcPr>
            <w:tcW w:w="529" w:type="pct"/>
            <w:tcBorders>
              <w:left w:val="single" w:sz="4" w:space="0" w:color="auto"/>
            </w:tcBorders>
            <w:shd w:val="clear" w:color="auto" w:fill="auto"/>
            <w:noWrap/>
            <w:vAlign w:val="center"/>
            <w:hideMark/>
          </w:tcPr>
          <w:p w14:paraId="0EAEA40F" w14:textId="77777777" w:rsidR="00617362" w:rsidRPr="00D546D5" w:rsidRDefault="00617362" w:rsidP="00617362">
            <w:pPr>
              <w:jc w:val="center"/>
              <w:rPr>
                <w:rFonts w:cs="Arial"/>
                <w:color w:val="000000"/>
                <w:sz w:val="20"/>
                <w:szCs w:val="20"/>
              </w:rPr>
            </w:pPr>
            <w:r w:rsidRPr="00D546D5">
              <w:rPr>
                <w:rFonts w:cs="Arial"/>
                <w:color w:val="000000"/>
                <w:sz w:val="20"/>
                <w:szCs w:val="20"/>
              </w:rPr>
              <w:t>4,64</w:t>
            </w:r>
          </w:p>
        </w:tc>
      </w:tr>
      <w:tr w:rsidR="00617362" w:rsidRPr="00D546D5" w14:paraId="51D9014D" w14:textId="77777777" w:rsidTr="00761101">
        <w:trPr>
          <w:trHeight w:val="284"/>
        </w:trPr>
        <w:tc>
          <w:tcPr>
            <w:tcW w:w="3619" w:type="pct"/>
            <w:tcBorders>
              <w:right w:val="single" w:sz="4" w:space="0" w:color="auto"/>
            </w:tcBorders>
            <w:shd w:val="clear" w:color="auto" w:fill="auto"/>
            <w:noWrap/>
            <w:vAlign w:val="center"/>
            <w:hideMark/>
          </w:tcPr>
          <w:p w14:paraId="77E2B91B" w14:textId="77777777" w:rsidR="00617362" w:rsidRPr="00D546D5" w:rsidRDefault="00617362" w:rsidP="00761101">
            <w:pPr>
              <w:ind w:left="67"/>
              <w:jc w:val="left"/>
              <w:rPr>
                <w:rFonts w:cs="Arial"/>
                <w:color w:val="000000"/>
                <w:sz w:val="20"/>
                <w:szCs w:val="20"/>
              </w:rPr>
            </w:pPr>
            <w:r w:rsidRPr="00D546D5">
              <w:rPr>
                <w:rFonts w:cs="Arial"/>
                <w:color w:val="000000"/>
                <w:sz w:val="20"/>
                <w:szCs w:val="20"/>
              </w:rPr>
              <w:t>Gêneros Alimentícios</w:t>
            </w:r>
          </w:p>
        </w:tc>
        <w:tc>
          <w:tcPr>
            <w:tcW w:w="852" w:type="pct"/>
            <w:tcBorders>
              <w:top w:val="nil"/>
              <w:left w:val="single" w:sz="4" w:space="0" w:color="auto"/>
              <w:bottom w:val="nil"/>
              <w:right w:val="single" w:sz="4" w:space="0" w:color="auto"/>
            </w:tcBorders>
            <w:shd w:val="clear" w:color="auto" w:fill="auto"/>
            <w:noWrap/>
            <w:vAlign w:val="center"/>
            <w:hideMark/>
          </w:tcPr>
          <w:p w14:paraId="4FE435FF" w14:textId="77777777" w:rsidR="00617362" w:rsidRPr="00D546D5" w:rsidRDefault="00617362" w:rsidP="00617362">
            <w:pPr>
              <w:jc w:val="right"/>
              <w:rPr>
                <w:rFonts w:cs="Arial"/>
                <w:color w:val="000000"/>
                <w:sz w:val="20"/>
                <w:szCs w:val="20"/>
              </w:rPr>
            </w:pPr>
            <w:r w:rsidRPr="00D546D5">
              <w:rPr>
                <w:rFonts w:cs="Arial"/>
                <w:color w:val="000000"/>
                <w:sz w:val="20"/>
                <w:szCs w:val="20"/>
              </w:rPr>
              <w:t>19.438.189</w:t>
            </w:r>
          </w:p>
        </w:tc>
        <w:tc>
          <w:tcPr>
            <w:tcW w:w="529" w:type="pct"/>
            <w:tcBorders>
              <w:left w:val="single" w:sz="4" w:space="0" w:color="auto"/>
            </w:tcBorders>
            <w:shd w:val="clear" w:color="auto" w:fill="auto"/>
            <w:noWrap/>
            <w:vAlign w:val="center"/>
            <w:hideMark/>
          </w:tcPr>
          <w:p w14:paraId="00F854C7" w14:textId="77777777" w:rsidR="00617362" w:rsidRPr="00D546D5" w:rsidRDefault="00617362" w:rsidP="00617362">
            <w:pPr>
              <w:jc w:val="center"/>
              <w:rPr>
                <w:rFonts w:cs="Arial"/>
                <w:color w:val="000000"/>
                <w:sz w:val="20"/>
                <w:szCs w:val="20"/>
              </w:rPr>
            </w:pPr>
            <w:r w:rsidRPr="00D546D5">
              <w:rPr>
                <w:rFonts w:cs="Arial"/>
                <w:color w:val="000000"/>
                <w:sz w:val="20"/>
                <w:szCs w:val="20"/>
              </w:rPr>
              <w:t>2,48</w:t>
            </w:r>
          </w:p>
        </w:tc>
      </w:tr>
      <w:tr w:rsidR="00617362" w:rsidRPr="00D546D5" w14:paraId="53A9C41B" w14:textId="77777777" w:rsidTr="00761101">
        <w:trPr>
          <w:trHeight w:val="284"/>
        </w:trPr>
        <w:tc>
          <w:tcPr>
            <w:tcW w:w="3619" w:type="pct"/>
            <w:tcBorders>
              <w:right w:val="single" w:sz="4" w:space="0" w:color="auto"/>
            </w:tcBorders>
            <w:shd w:val="clear" w:color="auto" w:fill="auto"/>
            <w:noWrap/>
            <w:vAlign w:val="center"/>
            <w:hideMark/>
          </w:tcPr>
          <w:p w14:paraId="0D13CADB" w14:textId="77777777" w:rsidR="00617362" w:rsidRPr="00D546D5" w:rsidRDefault="00617362" w:rsidP="00761101">
            <w:pPr>
              <w:ind w:left="67"/>
              <w:jc w:val="left"/>
              <w:rPr>
                <w:rFonts w:cs="Arial"/>
                <w:color w:val="000000"/>
                <w:sz w:val="20"/>
                <w:szCs w:val="20"/>
              </w:rPr>
            </w:pPr>
            <w:r w:rsidRPr="00D546D5">
              <w:rPr>
                <w:rFonts w:cs="Arial"/>
                <w:color w:val="000000"/>
                <w:sz w:val="20"/>
                <w:szCs w:val="20"/>
              </w:rPr>
              <w:t>Material Educativo e Cultural</w:t>
            </w:r>
          </w:p>
        </w:tc>
        <w:tc>
          <w:tcPr>
            <w:tcW w:w="852" w:type="pct"/>
            <w:tcBorders>
              <w:top w:val="nil"/>
              <w:left w:val="single" w:sz="4" w:space="0" w:color="auto"/>
              <w:bottom w:val="nil"/>
              <w:right w:val="single" w:sz="4" w:space="0" w:color="auto"/>
            </w:tcBorders>
            <w:shd w:val="clear" w:color="auto" w:fill="auto"/>
            <w:noWrap/>
            <w:vAlign w:val="center"/>
            <w:hideMark/>
          </w:tcPr>
          <w:p w14:paraId="4B59F75E" w14:textId="77777777" w:rsidR="00617362" w:rsidRPr="00D546D5" w:rsidRDefault="00617362" w:rsidP="00617362">
            <w:pPr>
              <w:jc w:val="right"/>
              <w:rPr>
                <w:rFonts w:cs="Arial"/>
                <w:color w:val="000000"/>
                <w:sz w:val="20"/>
                <w:szCs w:val="20"/>
              </w:rPr>
            </w:pPr>
            <w:r w:rsidRPr="00D546D5">
              <w:rPr>
                <w:rFonts w:cs="Arial"/>
                <w:color w:val="000000"/>
                <w:sz w:val="20"/>
                <w:szCs w:val="20"/>
              </w:rPr>
              <w:t>15.093.885</w:t>
            </w:r>
          </w:p>
        </w:tc>
        <w:tc>
          <w:tcPr>
            <w:tcW w:w="529" w:type="pct"/>
            <w:tcBorders>
              <w:left w:val="single" w:sz="4" w:space="0" w:color="auto"/>
            </w:tcBorders>
            <w:shd w:val="clear" w:color="auto" w:fill="auto"/>
            <w:noWrap/>
            <w:vAlign w:val="center"/>
            <w:hideMark/>
          </w:tcPr>
          <w:p w14:paraId="5573B9BF" w14:textId="77777777" w:rsidR="00617362" w:rsidRPr="00D546D5" w:rsidRDefault="00617362" w:rsidP="00617362">
            <w:pPr>
              <w:jc w:val="center"/>
              <w:rPr>
                <w:rFonts w:cs="Arial"/>
                <w:color w:val="000000"/>
                <w:sz w:val="20"/>
                <w:szCs w:val="20"/>
              </w:rPr>
            </w:pPr>
            <w:r w:rsidRPr="00D546D5">
              <w:rPr>
                <w:rFonts w:cs="Arial"/>
                <w:color w:val="000000"/>
                <w:sz w:val="20"/>
                <w:szCs w:val="20"/>
              </w:rPr>
              <w:t>1,92</w:t>
            </w:r>
          </w:p>
        </w:tc>
      </w:tr>
      <w:tr w:rsidR="00617362" w:rsidRPr="00D546D5" w14:paraId="16AA89CD" w14:textId="77777777" w:rsidTr="00761101">
        <w:trPr>
          <w:trHeight w:val="284"/>
        </w:trPr>
        <w:tc>
          <w:tcPr>
            <w:tcW w:w="3619" w:type="pct"/>
            <w:tcBorders>
              <w:right w:val="single" w:sz="4" w:space="0" w:color="auto"/>
            </w:tcBorders>
            <w:shd w:val="clear" w:color="auto" w:fill="auto"/>
            <w:noWrap/>
            <w:vAlign w:val="center"/>
            <w:hideMark/>
          </w:tcPr>
          <w:p w14:paraId="32D512FB" w14:textId="77777777" w:rsidR="00617362" w:rsidRPr="00D546D5" w:rsidRDefault="00617362" w:rsidP="00761101">
            <w:pPr>
              <w:ind w:left="67"/>
              <w:jc w:val="left"/>
              <w:rPr>
                <w:rFonts w:cs="Arial"/>
                <w:color w:val="000000"/>
                <w:sz w:val="20"/>
                <w:szCs w:val="20"/>
              </w:rPr>
            </w:pPr>
            <w:r w:rsidRPr="00D546D5">
              <w:rPr>
                <w:rFonts w:cs="Arial"/>
                <w:color w:val="000000"/>
                <w:sz w:val="20"/>
                <w:szCs w:val="20"/>
              </w:rPr>
              <w:t>Material Esportivo (Distribuição Gratuita)</w:t>
            </w:r>
          </w:p>
        </w:tc>
        <w:tc>
          <w:tcPr>
            <w:tcW w:w="852" w:type="pct"/>
            <w:tcBorders>
              <w:top w:val="nil"/>
              <w:left w:val="single" w:sz="4" w:space="0" w:color="auto"/>
              <w:bottom w:val="nil"/>
              <w:right w:val="single" w:sz="4" w:space="0" w:color="auto"/>
            </w:tcBorders>
            <w:shd w:val="clear" w:color="auto" w:fill="auto"/>
            <w:noWrap/>
            <w:vAlign w:val="center"/>
            <w:hideMark/>
          </w:tcPr>
          <w:p w14:paraId="3345F27D" w14:textId="77777777" w:rsidR="00617362" w:rsidRPr="00D546D5" w:rsidRDefault="00617362" w:rsidP="00617362">
            <w:pPr>
              <w:jc w:val="right"/>
              <w:rPr>
                <w:rFonts w:cs="Arial"/>
                <w:color w:val="000000"/>
                <w:sz w:val="20"/>
                <w:szCs w:val="20"/>
              </w:rPr>
            </w:pPr>
            <w:r w:rsidRPr="00D546D5">
              <w:rPr>
                <w:rFonts w:cs="Arial"/>
                <w:color w:val="000000"/>
                <w:sz w:val="20"/>
                <w:szCs w:val="20"/>
              </w:rPr>
              <w:t>11.588.980</w:t>
            </w:r>
          </w:p>
        </w:tc>
        <w:tc>
          <w:tcPr>
            <w:tcW w:w="529" w:type="pct"/>
            <w:tcBorders>
              <w:left w:val="single" w:sz="4" w:space="0" w:color="auto"/>
            </w:tcBorders>
            <w:shd w:val="clear" w:color="auto" w:fill="auto"/>
            <w:noWrap/>
            <w:vAlign w:val="center"/>
            <w:hideMark/>
          </w:tcPr>
          <w:p w14:paraId="1D746DF1" w14:textId="77777777" w:rsidR="00617362" w:rsidRPr="00D546D5" w:rsidRDefault="00617362" w:rsidP="00617362">
            <w:pPr>
              <w:jc w:val="center"/>
              <w:rPr>
                <w:rFonts w:cs="Arial"/>
                <w:color w:val="000000"/>
                <w:sz w:val="20"/>
                <w:szCs w:val="20"/>
              </w:rPr>
            </w:pPr>
            <w:r w:rsidRPr="00D546D5">
              <w:rPr>
                <w:rFonts w:cs="Arial"/>
                <w:color w:val="000000"/>
                <w:sz w:val="20"/>
                <w:szCs w:val="20"/>
              </w:rPr>
              <w:t>1,48</w:t>
            </w:r>
          </w:p>
        </w:tc>
      </w:tr>
      <w:tr w:rsidR="00617362" w:rsidRPr="00D546D5" w14:paraId="18E263DF" w14:textId="77777777" w:rsidTr="00761101">
        <w:trPr>
          <w:trHeight w:val="284"/>
        </w:trPr>
        <w:tc>
          <w:tcPr>
            <w:tcW w:w="3619" w:type="pct"/>
            <w:tcBorders>
              <w:right w:val="single" w:sz="4" w:space="0" w:color="auto"/>
            </w:tcBorders>
            <w:shd w:val="clear" w:color="auto" w:fill="auto"/>
            <w:noWrap/>
            <w:vAlign w:val="center"/>
            <w:hideMark/>
          </w:tcPr>
          <w:p w14:paraId="27752962" w14:textId="77777777" w:rsidR="00617362" w:rsidRPr="00D546D5" w:rsidRDefault="00617362" w:rsidP="00761101">
            <w:pPr>
              <w:ind w:left="67"/>
              <w:jc w:val="left"/>
              <w:rPr>
                <w:rFonts w:cs="Arial"/>
                <w:color w:val="000000"/>
                <w:sz w:val="20"/>
                <w:szCs w:val="20"/>
              </w:rPr>
            </w:pPr>
            <w:r w:rsidRPr="00D546D5">
              <w:rPr>
                <w:rFonts w:cs="Arial"/>
                <w:color w:val="000000"/>
                <w:sz w:val="20"/>
                <w:szCs w:val="20"/>
              </w:rPr>
              <w:t>Material Esportivo</w:t>
            </w:r>
          </w:p>
        </w:tc>
        <w:tc>
          <w:tcPr>
            <w:tcW w:w="852" w:type="pct"/>
            <w:tcBorders>
              <w:top w:val="nil"/>
              <w:left w:val="single" w:sz="4" w:space="0" w:color="auto"/>
              <w:bottom w:val="nil"/>
              <w:right w:val="single" w:sz="4" w:space="0" w:color="auto"/>
            </w:tcBorders>
            <w:shd w:val="clear" w:color="auto" w:fill="auto"/>
            <w:noWrap/>
            <w:vAlign w:val="center"/>
            <w:hideMark/>
          </w:tcPr>
          <w:p w14:paraId="54C15903" w14:textId="77777777" w:rsidR="00617362" w:rsidRPr="00D546D5" w:rsidRDefault="00617362" w:rsidP="00617362">
            <w:pPr>
              <w:jc w:val="right"/>
              <w:rPr>
                <w:rFonts w:cs="Arial"/>
                <w:color w:val="000000"/>
                <w:sz w:val="20"/>
                <w:szCs w:val="20"/>
              </w:rPr>
            </w:pPr>
            <w:r w:rsidRPr="00D546D5">
              <w:rPr>
                <w:rFonts w:cs="Arial"/>
                <w:color w:val="000000"/>
                <w:sz w:val="20"/>
                <w:szCs w:val="20"/>
              </w:rPr>
              <w:t>11.312.023</w:t>
            </w:r>
          </w:p>
        </w:tc>
        <w:tc>
          <w:tcPr>
            <w:tcW w:w="529" w:type="pct"/>
            <w:tcBorders>
              <w:left w:val="single" w:sz="4" w:space="0" w:color="auto"/>
            </w:tcBorders>
            <w:shd w:val="clear" w:color="auto" w:fill="auto"/>
            <w:noWrap/>
            <w:vAlign w:val="center"/>
            <w:hideMark/>
          </w:tcPr>
          <w:p w14:paraId="18809BB6" w14:textId="77777777" w:rsidR="00617362" w:rsidRPr="00D546D5" w:rsidRDefault="00617362" w:rsidP="00617362">
            <w:pPr>
              <w:jc w:val="center"/>
              <w:rPr>
                <w:rFonts w:cs="Arial"/>
                <w:color w:val="000000"/>
                <w:sz w:val="20"/>
                <w:szCs w:val="20"/>
              </w:rPr>
            </w:pPr>
            <w:r w:rsidRPr="00D546D5">
              <w:rPr>
                <w:rFonts w:cs="Arial"/>
                <w:color w:val="000000"/>
                <w:sz w:val="20"/>
                <w:szCs w:val="20"/>
              </w:rPr>
              <w:t>1,44</w:t>
            </w:r>
          </w:p>
        </w:tc>
      </w:tr>
      <w:tr w:rsidR="00617362" w:rsidRPr="00D546D5" w14:paraId="07F8F51C" w14:textId="77777777" w:rsidTr="00761101">
        <w:trPr>
          <w:trHeight w:val="284"/>
        </w:trPr>
        <w:tc>
          <w:tcPr>
            <w:tcW w:w="3619" w:type="pct"/>
            <w:tcBorders>
              <w:right w:val="single" w:sz="4" w:space="0" w:color="auto"/>
            </w:tcBorders>
            <w:shd w:val="clear" w:color="auto" w:fill="auto"/>
            <w:noWrap/>
            <w:vAlign w:val="center"/>
            <w:hideMark/>
          </w:tcPr>
          <w:p w14:paraId="401E11D1" w14:textId="77777777" w:rsidR="00617362" w:rsidRPr="00D546D5" w:rsidRDefault="00617362" w:rsidP="00761101">
            <w:pPr>
              <w:ind w:left="67"/>
              <w:jc w:val="left"/>
              <w:rPr>
                <w:rFonts w:cs="Arial"/>
                <w:color w:val="000000"/>
                <w:sz w:val="20"/>
                <w:szCs w:val="20"/>
              </w:rPr>
            </w:pPr>
            <w:r w:rsidRPr="00D546D5">
              <w:rPr>
                <w:rFonts w:cs="Arial"/>
                <w:color w:val="000000"/>
                <w:sz w:val="20"/>
                <w:szCs w:val="20"/>
              </w:rPr>
              <w:t>Material Destinado a Assistência Social</w:t>
            </w:r>
          </w:p>
        </w:tc>
        <w:tc>
          <w:tcPr>
            <w:tcW w:w="852" w:type="pct"/>
            <w:tcBorders>
              <w:top w:val="nil"/>
              <w:left w:val="single" w:sz="4" w:space="0" w:color="auto"/>
              <w:bottom w:val="nil"/>
              <w:right w:val="single" w:sz="4" w:space="0" w:color="auto"/>
            </w:tcBorders>
            <w:shd w:val="clear" w:color="auto" w:fill="auto"/>
            <w:noWrap/>
            <w:vAlign w:val="center"/>
            <w:hideMark/>
          </w:tcPr>
          <w:p w14:paraId="5C9E546B" w14:textId="77777777" w:rsidR="00617362" w:rsidRPr="00D546D5" w:rsidRDefault="00617362" w:rsidP="00617362">
            <w:pPr>
              <w:jc w:val="right"/>
              <w:rPr>
                <w:rFonts w:cs="Arial"/>
                <w:color w:val="000000"/>
                <w:sz w:val="20"/>
                <w:szCs w:val="20"/>
              </w:rPr>
            </w:pPr>
            <w:r w:rsidRPr="00D546D5">
              <w:rPr>
                <w:rFonts w:cs="Arial"/>
                <w:color w:val="000000"/>
                <w:sz w:val="20"/>
                <w:szCs w:val="20"/>
              </w:rPr>
              <w:t>9.140.121</w:t>
            </w:r>
          </w:p>
        </w:tc>
        <w:tc>
          <w:tcPr>
            <w:tcW w:w="529" w:type="pct"/>
            <w:tcBorders>
              <w:left w:val="single" w:sz="4" w:space="0" w:color="auto"/>
            </w:tcBorders>
            <w:shd w:val="clear" w:color="auto" w:fill="auto"/>
            <w:noWrap/>
            <w:vAlign w:val="center"/>
            <w:hideMark/>
          </w:tcPr>
          <w:p w14:paraId="41197060" w14:textId="77777777" w:rsidR="00617362" w:rsidRPr="00D546D5" w:rsidRDefault="00617362" w:rsidP="00617362">
            <w:pPr>
              <w:jc w:val="center"/>
              <w:rPr>
                <w:rFonts w:cs="Arial"/>
                <w:color w:val="000000"/>
                <w:sz w:val="20"/>
                <w:szCs w:val="20"/>
              </w:rPr>
            </w:pPr>
            <w:r w:rsidRPr="00D546D5">
              <w:rPr>
                <w:rFonts w:cs="Arial"/>
                <w:color w:val="000000"/>
                <w:sz w:val="20"/>
                <w:szCs w:val="20"/>
              </w:rPr>
              <w:t>1,17</w:t>
            </w:r>
          </w:p>
        </w:tc>
      </w:tr>
      <w:tr w:rsidR="00617362" w:rsidRPr="00D546D5" w14:paraId="4A8C4A4C" w14:textId="77777777" w:rsidTr="00761101">
        <w:trPr>
          <w:trHeight w:val="284"/>
        </w:trPr>
        <w:tc>
          <w:tcPr>
            <w:tcW w:w="3619" w:type="pct"/>
            <w:tcBorders>
              <w:right w:val="single" w:sz="4" w:space="0" w:color="auto"/>
            </w:tcBorders>
            <w:shd w:val="clear" w:color="auto" w:fill="auto"/>
            <w:noWrap/>
            <w:vAlign w:val="center"/>
            <w:hideMark/>
          </w:tcPr>
          <w:p w14:paraId="74DFEBAA" w14:textId="77777777" w:rsidR="00617362" w:rsidRPr="00D546D5" w:rsidRDefault="00617362" w:rsidP="00761101">
            <w:pPr>
              <w:ind w:left="67"/>
              <w:jc w:val="left"/>
              <w:rPr>
                <w:rFonts w:cs="Arial"/>
                <w:color w:val="000000"/>
                <w:sz w:val="20"/>
                <w:szCs w:val="20"/>
              </w:rPr>
            </w:pPr>
            <w:r w:rsidRPr="00D546D5">
              <w:rPr>
                <w:rFonts w:cs="Arial"/>
                <w:color w:val="000000"/>
                <w:sz w:val="20"/>
                <w:szCs w:val="20"/>
              </w:rPr>
              <w:t>Material de Expediente</w:t>
            </w:r>
          </w:p>
        </w:tc>
        <w:tc>
          <w:tcPr>
            <w:tcW w:w="852" w:type="pct"/>
            <w:tcBorders>
              <w:top w:val="nil"/>
              <w:left w:val="single" w:sz="4" w:space="0" w:color="auto"/>
              <w:bottom w:val="nil"/>
              <w:right w:val="single" w:sz="4" w:space="0" w:color="auto"/>
            </w:tcBorders>
            <w:shd w:val="clear" w:color="auto" w:fill="auto"/>
            <w:noWrap/>
            <w:vAlign w:val="center"/>
            <w:hideMark/>
          </w:tcPr>
          <w:p w14:paraId="4D60D750" w14:textId="77777777" w:rsidR="00617362" w:rsidRPr="00D546D5" w:rsidRDefault="00617362" w:rsidP="00617362">
            <w:pPr>
              <w:jc w:val="right"/>
              <w:rPr>
                <w:rFonts w:cs="Arial"/>
                <w:color w:val="000000"/>
                <w:sz w:val="20"/>
                <w:szCs w:val="20"/>
              </w:rPr>
            </w:pPr>
            <w:r w:rsidRPr="00D546D5">
              <w:rPr>
                <w:rFonts w:cs="Arial"/>
                <w:color w:val="000000"/>
                <w:sz w:val="20"/>
                <w:szCs w:val="20"/>
              </w:rPr>
              <w:t>8.193.015</w:t>
            </w:r>
          </w:p>
        </w:tc>
        <w:tc>
          <w:tcPr>
            <w:tcW w:w="529" w:type="pct"/>
            <w:tcBorders>
              <w:left w:val="single" w:sz="4" w:space="0" w:color="auto"/>
            </w:tcBorders>
            <w:shd w:val="clear" w:color="auto" w:fill="auto"/>
            <w:noWrap/>
            <w:vAlign w:val="center"/>
            <w:hideMark/>
          </w:tcPr>
          <w:p w14:paraId="1730E9F6" w14:textId="77777777" w:rsidR="00617362" w:rsidRPr="00D546D5" w:rsidRDefault="00617362" w:rsidP="00617362">
            <w:pPr>
              <w:jc w:val="center"/>
              <w:rPr>
                <w:rFonts w:cs="Arial"/>
                <w:color w:val="000000"/>
                <w:sz w:val="20"/>
                <w:szCs w:val="20"/>
              </w:rPr>
            </w:pPr>
            <w:r w:rsidRPr="00D546D5">
              <w:rPr>
                <w:rFonts w:cs="Arial"/>
                <w:color w:val="000000"/>
                <w:sz w:val="20"/>
                <w:szCs w:val="20"/>
              </w:rPr>
              <w:t>1,04</w:t>
            </w:r>
          </w:p>
        </w:tc>
      </w:tr>
      <w:tr w:rsidR="00617362" w:rsidRPr="00D546D5" w14:paraId="5EFBEEC7" w14:textId="77777777" w:rsidTr="00761101">
        <w:trPr>
          <w:trHeight w:val="284"/>
        </w:trPr>
        <w:tc>
          <w:tcPr>
            <w:tcW w:w="3619" w:type="pct"/>
            <w:tcBorders>
              <w:bottom w:val="single" w:sz="4" w:space="0" w:color="auto"/>
              <w:right w:val="single" w:sz="4" w:space="0" w:color="auto"/>
            </w:tcBorders>
            <w:shd w:val="clear" w:color="auto" w:fill="auto"/>
            <w:noWrap/>
            <w:vAlign w:val="center"/>
          </w:tcPr>
          <w:p w14:paraId="030B2DD7" w14:textId="77777777" w:rsidR="00617362" w:rsidRPr="00D546D5" w:rsidRDefault="00617362" w:rsidP="00761101">
            <w:pPr>
              <w:ind w:left="67"/>
              <w:jc w:val="left"/>
              <w:rPr>
                <w:rFonts w:cs="Arial"/>
                <w:color w:val="000000"/>
                <w:sz w:val="20"/>
                <w:szCs w:val="20"/>
              </w:rPr>
            </w:pPr>
            <w:r w:rsidRPr="00D546D5">
              <w:rPr>
                <w:rFonts w:cs="Arial"/>
                <w:color w:val="000000"/>
                <w:sz w:val="20"/>
                <w:szCs w:val="20"/>
              </w:rPr>
              <w:t>Outros</w:t>
            </w:r>
          </w:p>
        </w:tc>
        <w:tc>
          <w:tcPr>
            <w:tcW w:w="852" w:type="pct"/>
            <w:tcBorders>
              <w:top w:val="nil"/>
              <w:left w:val="single" w:sz="4" w:space="0" w:color="auto"/>
              <w:bottom w:val="single" w:sz="4" w:space="0" w:color="auto"/>
              <w:right w:val="single" w:sz="4" w:space="0" w:color="auto"/>
            </w:tcBorders>
            <w:shd w:val="clear" w:color="auto" w:fill="auto"/>
            <w:noWrap/>
            <w:vAlign w:val="center"/>
          </w:tcPr>
          <w:p w14:paraId="5EEA379E" w14:textId="77777777" w:rsidR="00617362" w:rsidRPr="00D546D5" w:rsidRDefault="00617362" w:rsidP="00617362">
            <w:pPr>
              <w:jc w:val="right"/>
              <w:rPr>
                <w:rFonts w:cs="Arial"/>
                <w:color w:val="000000"/>
                <w:sz w:val="20"/>
                <w:szCs w:val="20"/>
              </w:rPr>
            </w:pPr>
            <w:r w:rsidRPr="00D546D5">
              <w:rPr>
                <w:rFonts w:cs="Arial"/>
                <w:color w:val="000000"/>
                <w:sz w:val="20"/>
                <w:szCs w:val="20"/>
              </w:rPr>
              <w:t>49.511.083</w:t>
            </w:r>
          </w:p>
        </w:tc>
        <w:tc>
          <w:tcPr>
            <w:tcW w:w="529" w:type="pct"/>
            <w:tcBorders>
              <w:left w:val="single" w:sz="4" w:space="0" w:color="auto"/>
              <w:bottom w:val="single" w:sz="4" w:space="0" w:color="auto"/>
            </w:tcBorders>
            <w:shd w:val="clear" w:color="auto" w:fill="auto"/>
            <w:noWrap/>
            <w:vAlign w:val="center"/>
          </w:tcPr>
          <w:p w14:paraId="5A64902D" w14:textId="77777777" w:rsidR="00617362" w:rsidRPr="00D546D5" w:rsidRDefault="00617362" w:rsidP="00617362">
            <w:pPr>
              <w:jc w:val="center"/>
              <w:rPr>
                <w:rFonts w:cs="Arial"/>
                <w:color w:val="000000"/>
                <w:sz w:val="20"/>
                <w:szCs w:val="20"/>
              </w:rPr>
            </w:pPr>
            <w:r w:rsidRPr="00D546D5">
              <w:rPr>
                <w:rFonts w:cs="Arial"/>
                <w:color w:val="000000"/>
                <w:sz w:val="20"/>
                <w:szCs w:val="20"/>
              </w:rPr>
              <w:t>6,31</w:t>
            </w:r>
          </w:p>
        </w:tc>
      </w:tr>
      <w:tr w:rsidR="00617362" w:rsidRPr="00D546D5" w14:paraId="6BB24D6F" w14:textId="77777777" w:rsidTr="00761101">
        <w:trPr>
          <w:trHeight w:val="284"/>
        </w:trPr>
        <w:tc>
          <w:tcPr>
            <w:tcW w:w="3619" w:type="pct"/>
            <w:tcBorders>
              <w:top w:val="single" w:sz="4" w:space="0" w:color="auto"/>
              <w:bottom w:val="single" w:sz="4" w:space="0" w:color="auto"/>
              <w:right w:val="single" w:sz="4" w:space="0" w:color="auto"/>
            </w:tcBorders>
            <w:shd w:val="clear" w:color="auto" w:fill="auto"/>
            <w:noWrap/>
            <w:vAlign w:val="center"/>
          </w:tcPr>
          <w:p w14:paraId="02043FBC" w14:textId="77777777" w:rsidR="00617362" w:rsidRPr="00D546D5" w:rsidRDefault="00617362" w:rsidP="00617362">
            <w:pPr>
              <w:jc w:val="center"/>
              <w:rPr>
                <w:rFonts w:cs="Arial"/>
                <w:b/>
                <w:color w:val="000000"/>
                <w:sz w:val="20"/>
                <w:szCs w:val="20"/>
              </w:rPr>
            </w:pPr>
            <w:r w:rsidRPr="00D546D5">
              <w:rPr>
                <w:rFonts w:cs="Arial"/>
                <w:b/>
                <w:color w:val="000000"/>
                <w:sz w:val="20"/>
                <w:szCs w:val="20"/>
              </w:rPr>
              <w:t>Total</w:t>
            </w:r>
          </w:p>
        </w:tc>
        <w:tc>
          <w:tcPr>
            <w:tcW w:w="85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80DB0F0" w14:textId="77777777" w:rsidR="00617362" w:rsidRPr="00D546D5" w:rsidRDefault="00617362" w:rsidP="00617362">
            <w:pPr>
              <w:jc w:val="right"/>
              <w:rPr>
                <w:rFonts w:cs="Arial"/>
                <w:b/>
                <w:color w:val="000000"/>
                <w:sz w:val="20"/>
                <w:szCs w:val="20"/>
              </w:rPr>
            </w:pPr>
            <w:r w:rsidRPr="00D546D5">
              <w:rPr>
                <w:rFonts w:cs="Arial"/>
                <w:b/>
                <w:color w:val="000000"/>
                <w:sz w:val="20"/>
                <w:szCs w:val="20"/>
              </w:rPr>
              <w:t>784.469.363</w:t>
            </w:r>
          </w:p>
        </w:tc>
        <w:tc>
          <w:tcPr>
            <w:tcW w:w="529" w:type="pct"/>
            <w:tcBorders>
              <w:top w:val="single" w:sz="4" w:space="0" w:color="auto"/>
              <w:left w:val="single" w:sz="4" w:space="0" w:color="auto"/>
              <w:bottom w:val="single" w:sz="4" w:space="0" w:color="auto"/>
            </w:tcBorders>
            <w:shd w:val="clear" w:color="auto" w:fill="auto"/>
            <w:noWrap/>
            <w:vAlign w:val="center"/>
          </w:tcPr>
          <w:p w14:paraId="4049D662" w14:textId="77777777" w:rsidR="00617362" w:rsidRPr="00D546D5" w:rsidRDefault="00617362" w:rsidP="00617362">
            <w:pPr>
              <w:jc w:val="center"/>
              <w:rPr>
                <w:rFonts w:cs="Arial"/>
                <w:b/>
                <w:color w:val="000000"/>
                <w:sz w:val="20"/>
                <w:szCs w:val="20"/>
              </w:rPr>
            </w:pPr>
            <w:r w:rsidRPr="00D546D5">
              <w:rPr>
                <w:rFonts w:cs="Arial"/>
                <w:b/>
                <w:color w:val="000000"/>
                <w:sz w:val="20"/>
                <w:szCs w:val="20"/>
              </w:rPr>
              <w:t>100,00</w:t>
            </w:r>
          </w:p>
        </w:tc>
      </w:tr>
    </w:tbl>
    <w:p w14:paraId="32518161" w14:textId="77777777" w:rsidR="00617362" w:rsidRDefault="00617362" w:rsidP="00EF01A1">
      <w:pPr>
        <w:pStyle w:val="1-FONTE8ESQ"/>
      </w:pPr>
      <w:r>
        <w:t xml:space="preserve">Fonte: </w:t>
      </w:r>
      <w:r w:rsidRPr="00C9564B">
        <w:rPr>
          <w:i/>
        </w:rPr>
        <w:t>Business Objects</w:t>
      </w:r>
    </w:p>
    <w:p w14:paraId="7BDD28FF" w14:textId="77777777" w:rsidR="00617362" w:rsidRDefault="00617362" w:rsidP="00617362">
      <w:pPr>
        <w:pStyle w:val="1-REL11"/>
      </w:pPr>
      <w:bookmarkStart w:id="399" w:name="_Hlk167354071"/>
      <w:r>
        <w:t>Dentre as contas que compuseram o Estoque, as mais representativas em 2023 foram Material Educacional e Cultural (49,04%), Material Laboratorial (20,60%) e Medicamentos (9,88%), alocados nas unidades orçamentárias ligadas a Educação, Saúde e Segurança Pública.</w:t>
      </w:r>
      <w:bookmarkEnd w:id="399"/>
    </w:p>
    <w:p w14:paraId="6E7AB8C4" w14:textId="77777777" w:rsidR="00617362" w:rsidRDefault="00617362" w:rsidP="00617362">
      <w:pPr>
        <w:pStyle w:val="1-REL11"/>
      </w:pPr>
      <w:bookmarkStart w:id="400" w:name="_Hlk167354093"/>
      <w:r>
        <w:t xml:space="preserve">Salienta-se que </w:t>
      </w:r>
      <w:bookmarkEnd w:id="400"/>
      <w:r>
        <w:t xml:space="preserve">a conta contábil </w:t>
      </w:r>
      <w:r w:rsidRPr="00831C09">
        <w:t>1.1.5.6.1.05.06.00.00</w:t>
      </w:r>
      <w:r>
        <w:t xml:space="preserve"> - </w:t>
      </w:r>
      <w:bookmarkStart w:id="401" w:name="_Hlk167354110"/>
      <w:r>
        <w:t>Material Laboratorial apresentou um aumento de R$ 150,54 milhões quando comparada a 2022, isso representa, em termos percentuais, evolução de 1.365,26%, totalizando R$ 161,57 milhões no período analisado</w:t>
      </w:r>
      <w:bookmarkEnd w:id="401"/>
      <w:r>
        <w:t xml:space="preserve">. </w:t>
      </w:r>
      <w:bookmarkStart w:id="402" w:name="_Hlk167354146"/>
      <w:r>
        <w:t>O aumento originou-se, principalmente, de incorporação de material de consumo em estoques nas UOs 2950 - Fundo Estadual de Segurança Pública (Funesp) e 2901- Gabinete do Secretário da Segurança Pública, no mês de fevereiro de 2023.</w:t>
      </w:r>
      <w:bookmarkEnd w:id="396"/>
      <w:bookmarkEnd w:id="402"/>
    </w:p>
    <w:p w14:paraId="750F3A66" w14:textId="77777777" w:rsidR="00617362" w:rsidRDefault="00617362" w:rsidP="00617362">
      <w:pPr>
        <w:pStyle w:val="1-REL11"/>
      </w:pPr>
      <w:r w:rsidRPr="00895274">
        <w:t>Com o intuito de apurar o real fato gerador de tal aumento, foi realizado questionamento, via e-mail, junto a Secret</w:t>
      </w:r>
      <w:r>
        <w:t>a</w:t>
      </w:r>
      <w:r w:rsidRPr="00895274">
        <w:t>ria</w:t>
      </w:r>
      <w:r>
        <w:t xml:space="preserve"> de Estado</w:t>
      </w:r>
      <w:r w:rsidRPr="00895274">
        <w:t xml:space="preserve"> da Economia</w:t>
      </w:r>
      <w:r>
        <w:t xml:space="preserve"> (ECONOMIA)</w:t>
      </w:r>
      <w:r w:rsidRPr="00895274">
        <w:t xml:space="preserve"> que</w:t>
      </w:r>
      <w:r>
        <w:t>,</w:t>
      </w:r>
      <w:r w:rsidRPr="00895274">
        <w:t xml:space="preserve"> por sua vez</w:t>
      </w:r>
      <w:r>
        <w:t>,</w:t>
      </w:r>
      <w:r w:rsidRPr="00895274">
        <w:t xml:space="preserve"> repassou a demanda à Secretaria de Estado da Segurança Pública (SSP-GO).</w:t>
      </w:r>
    </w:p>
    <w:p w14:paraId="64405D5A" w14:textId="77777777" w:rsidR="00617362" w:rsidRDefault="00617362" w:rsidP="00617362">
      <w:pPr>
        <w:pStyle w:val="1-REL11"/>
      </w:pPr>
      <w:r w:rsidRPr="00895274">
        <w:lastRenderedPageBreak/>
        <w:t>A SSP-GO, via Coordenadoria Administrativa da Superintendência da Polícia Técnico Científica (SPTC), alegou que a Polícia</w:t>
      </w:r>
      <w:r w:rsidRPr="00FE1717">
        <w:t xml:space="preserve"> Técnico-Científica do Estado de Goiás recebeu, por meio do processo</w:t>
      </w:r>
      <w:r>
        <w:t xml:space="preserve"> SEI nº</w:t>
      </w:r>
      <w:r w:rsidRPr="00FE1717">
        <w:t xml:space="preserve"> 202200016038803, </w:t>
      </w:r>
      <w:r>
        <w:t xml:space="preserve">uma doação de </w:t>
      </w:r>
      <w:r w:rsidRPr="00FE1717">
        <w:t>diversos itens do Ministério da Justiça e Segurança Pública. Os itens incluíam Envelopes de Segurança, Lacres de Segurança e Sacos Mortuários.</w:t>
      </w:r>
    </w:p>
    <w:p w14:paraId="144A411B" w14:textId="77777777" w:rsidR="00617362" w:rsidRDefault="00617362" w:rsidP="00617362">
      <w:pPr>
        <w:pStyle w:val="1-REL11"/>
      </w:pPr>
      <w:r w:rsidRPr="00FE1717">
        <w:t xml:space="preserve">Para a devida entrada desses itens no Almoxarifado, foi necessário realizar um “Ajuste de Estoque” via </w:t>
      </w:r>
      <w:r>
        <w:t>Sistema de Gestão de Material (</w:t>
      </w:r>
      <w:r w:rsidRPr="00FE1717">
        <w:t>Sigmate</w:t>
      </w:r>
      <w:r w:rsidRPr="003F03CB">
        <w:t xml:space="preserve">). No entanto, </w:t>
      </w:r>
      <w:bookmarkStart w:id="403" w:name="_Hlk167354409"/>
      <w:r w:rsidRPr="003F03CB">
        <w:t>durante</w:t>
      </w:r>
      <w:r w:rsidRPr="00FE1717">
        <w:t xml:space="preserve"> o lançamento dos itens </w:t>
      </w:r>
      <w:bookmarkEnd w:id="403"/>
      <w:r>
        <w:t>Sacos Mortuários</w:t>
      </w:r>
      <w:r w:rsidRPr="00FE1717">
        <w:t xml:space="preserve"> </w:t>
      </w:r>
      <w:r>
        <w:t xml:space="preserve">de </w:t>
      </w:r>
      <w:r w:rsidRPr="00FE1717">
        <w:t>60</w:t>
      </w:r>
      <w:r>
        <w:t>x</w:t>
      </w:r>
      <w:r w:rsidRPr="00FE1717">
        <w:t>150cm e</w:t>
      </w:r>
      <w:r>
        <w:t xml:space="preserve"> de</w:t>
      </w:r>
      <w:r w:rsidRPr="00FE1717">
        <w:t xml:space="preserve"> 90</w:t>
      </w:r>
      <w:r>
        <w:t>x</w:t>
      </w:r>
      <w:r w:rsidRPr="00FE1717">
        <w:t>220cm</w:t>
      </w:r>
      <w:bookmarkStart w:id="404" w:name="_Hlk167354418"/>
      <w:r w:rsidRPr="00FE1717">
        <w:t>, ocorreu um erro material</w:t>
      </w:r>
      <w:bookmarkEnd w:id="404"/>
      <w:r w:rsidRPr="00FE1717">
        <w:t xml:space="preserve">. </w:t>
      </w:r>
      <w:bookmarkStart w:id="405" w:name="_Hlk167354433"/>
      <w:r w:rsidRPr="00FE1717">
        <w:t>O valor total d</w:t>
      </w:r>
      <w:r>
        <w:t xml:space="preserve">a doação </w:t>
      </w:r>
      <w:r w:rsidRPr="00FE1717">
        <w:t xml:space="preserve">foi lançado como valor unitário, que foi automaticamente multiplicado pela quantidade total. Isso resultou </w:t>
      </w:r>
      <w:r>
        <w:t>em uma distorção de R$ 177,98 milhões nos estoques de material de consumo – material laboratorial.</w:t>
      </w:r>
    </w:p>
    <w:bookmarkEnd w:id="405"/>
    <w:p w14:paraId="7FB06280" w14:textId="77777777" w:rsidR="00617362" w:rsidRPr="00A44226" w:rsidRDefault="00617362" w:rsidP="00617362">
      <w:pPr>
        <w:pStyle w:val="1-REL11"/>
      </w:pPr>
      <w:r w:rsidRPr="00BB4436">
        <w:t>Após</w:t>
      </w:r>
      <w:r>
        <w:t xml:space="preserve"> o questionamento desta Unidade Técnica e a </w:t>
      </w:r>
      <w:r w:rsidRPr="00BB4436">
        <w:t>identifica</w:t>
      </w:r>
      <w:r>
        <w:t>ção</w:t>
      </w:r>
      <w:r w:rsidRPr="00BB4436">
        <w:t xml:space="preserve"> </w:t>
      </w:r>
      <w:r>
        <w:t xml:space="preserve">do que motivou o </w:t>
      </w:r>
      <w:r w:rsidRPr="00BB4436">
        <w:t>e</w:t>
      </w:r>
      <w:r>
        <w:t>rro</w:t>
      </w:r>
      <w:r w:rsidRPr="00BB4436">
        <w:t>,</w:t>
      </w:r>
      <w:r>
        <w:t xml:space="preserve"> a Coordenadoria da SPTC informou que </w:t>
      </w:r>
      <w:r w:rsidRPr="00BB4436">
        <w:t>foram realizados os Ajustes de Estoque nº 582737 e 582741, com lançamento dos valores unitários corretos.</w:t>
      </w:r>
      <w:r>
        <w:t xml:space="preserve"> </w:t>
      </w:r>
      <w:bookmarkStart w:id="406" w:name="_Hlk167354450"/>
      <w:r>
        <w:t xml:space="preserve">Conforme apuração no sistema SCG, </w:t>
      </w:r>
      <w:r w:rsidRPr="00A44226">
        <w:t>os lançamentos de correção foram realizados nos movimentos contábeis do dia 06/05/2024.</w:t>
      </w:r>
      <w:bookmarkEnd w:id="406"/>
    </w:p>
    <w:p w14:paraId="2CBFC375" w14:textId="77777777" w:rsidR="00617362" w:rsidRDefault="00617362" w:rsidP="00617362">
      <w:pPr>
        <w:pStyle w:val="1-REL11"/>
      </w:pPr>
      <w:r w:rsidRPr="00A44226">
        <w:t>Ressalta-se que uma distorção tão substancial e não usual de 281</w:t>
      </w:r>
      <w:r>
        <w:t>.</w:t>
      </w:r>
      <w:r w:rsidRPr="00A44226">
        <w:t>409,86% não foi percebida pela Comissão de Inventário da SSP-GO, tampouco pelo contador da UO, que é o responsável pela supervisão de todos os lançamentos contábeis, ainda que sejam feitos via integração de sistemas e, como última linha de defesa, também não foi detectada pela CGE e pela ECONOMIA.</w:t>
      </w:r>
    </w:p>
    <w:p w14:paraId="53BA3C30" w14:textId="77777777" w:rsidR="00617362" w:rsidRPr="00A44226" w:rsidRDefault="00617362" w:rsidP="00617362">
      <w:pPr>
        <w:pStyle w:val="1-REL11"/>
      </w:pPr>
      <w:r w:rsidRPr="00A44226">
        <w:t xml:space="preserve">De acordo com o Decreto </w:t>
      </w:r>
      <w:r>
        <w:t xml:space="preserve">Estadual </w:t>
      </w:r>
      <w:r w:rsidRPr="00A44226">
        <w:t>nº 9.585, de 26 de dezembro de 2019, art. 72, inciso IV, compete à ECONOMIA</w:t>
      </w:r>
      <w:r w:rsidRPr="00A44226">
        <w:rPr>
          <w:rFonts w:cs="Arial"/>
          <w:color w:val="000000"/>
        </w:rPr>
        <w:t xml:space="preserve"> “supervisionar o registro e controle contábil do patrimônio do Estado”. Ou seja, apesar de bastante material no universo da conta contábil que afetou, o erro não foi detectado por nenhum controle interno da sistemática contábil da UO </w:t>
      </w:r>
      <w:r>
        <w:rPr>
          <w:rFonts w:cs="Arial"/>
          <w:color w:val="000000"/>
        </w:rPr>
        <w:t>ou</w:t>
      </w:r>
      <w:r w:rsidRPr="00A44226">
        <w:rPr>
          <w:rFonts w:cs="Arial"/>
          <w:color w:val="000000"/>
        </w:rPr>
        <w:t xml:space="preserve"> do Estado.</w:t>
      </w:r>
    </w:p>
    <w:p w14:paraId="2AA3F1BA" w14:textId="77777777" w:rsidR="00617362" w:rsidRPr="00A44226" w:rsidRDefault="00617362" w:rsidP="00617362">
      <w:pPr>
        <w:pStyle w:val="1-REL11"/>
      </w:pPr>
      <w:r w:rsidRPr="00A44226">
        <w:t xml:space="preserve">Pelo exposto, </w:t>
      </w:r>
      <w:bookmarkStart w:id="407" w:name="_Hlk167354493"/>
      <w:r w:rsidRPr="00A44226">
        <w:t>visando a mitigação dos riscos observados</w:t>
      </w:r>
      <w:bookmarkEnd w:id="407"/>
      <w:r w:rsidRPr="00A44226">
        <w:t xml:space="preserve">, torna-se necessário </w:t>
      </w:r>
      <w:bookmarkStart w:id="408" w:name="_Hlk167111904"/>
      <w:r w:rsidRPr="00A44226">
        <w:t>a revisão do processo de incorporação de ativos de estoques de bens de consumo que não envolvam execução orçamentária, a exemplo das doações, via sistema Sigmate. Destaca-se também a necessidade de treinamento adicional para a equipe responsável</w:t>
      </w:r>
      <w:r>
        <w:t>, inclusive de procedimentos de análise e fechamento de balanços, bem como a melhoria dos</w:t>
      </w:r>
      <w:r w:rsidRPr="00A44226">
        <w:t xml:space="preserve"> controles internos</w:t>
      </w:r>
      <w:bookmarkEnd w:id="408"/>
      <w:r w:rsidRPr="00A44226">
        <w:t>.</w:t>
      </w:r>
    </w:p>
    <w:p w14:paraId="6E7D42CF" w14:textId="77777777" w:rsidR="00617362" w:rsidRPr="00A44226" w:rsidRDefault="00617362" w:rsidP="00617362">
      <w:pPr>
        <w:pStyle w:val="1-REL11"/>
      </w:pPr>
      <w:r w:rsidRPr="00A44226">
        <w:t>Sendo assim, em conformidade com as análises realizadas ficou evidenciada a seguinte irregularidade:</w:t>
      </w:r>
    </w:p>
    <w:p w14:paraId="56790206" w14:textId="77777777" w:rsidR="00617362" w:rsidRPr="00A44226" w:rsidRDefault="00617362" w:rsidP="00E460D5">
      <w:pPr>
        <w:pStyle w:val="0-ACH-TIT"/>
      </w:pPr>
      <w:r w:rsidRPr="00A44226">
        <w:t>&gt;&gt; Inconsistência nos saldos dos estoques</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617362" w:rsidRPr="00A44226" w14:paraId="33E359A9" w14:textId="77777777" w:rsidTr="00617362">
        <w:trPr>
          <w:trHeight w:val="629"/>
          <w:jc w:val="center"/>
        </w:trPr>
        <w:tc>
          <w:tcPr>
            <w:tcW w:w="6237" w:type="dxa"/>
            <w:tcBorders>
              <w:top w:val="single" w:sz="4" w:space="0" w:color="auto"/>
              <w:left w:val="nil"/>
              <w:bottom w:val="single" w:sz="4" w:space="0" w:color="auto"/>
              <w:right w:val="nil"/>
            </w:tcBorders>
            <w:vAlign w:val="center"/>
            <w:hideMark/>
          </w:tcPr>
          <w:p w14:paraId="7B4F7FB6" w14:textId="407A209A" w:rsidR="00617362" w:rsidRPr="00A44226" w:rsidRDefault="00B575F8" w:rsidP="00D546D5">
            <w:pPr>
              <w:pStyle w:val="0-ACH-TXT"/>
            </w:pPr>
            <w:r w:rsidRPr="00B575F8">
              <w:t>O saldo dos estoques de material de consumo - bens do almoxarifado foram superavaliados nas Demonstrações Contábeis de 2023 devido a erro material no registro de itens recebidos em doação (incorporação de ativos) realizados via Sistema de Gestão de Materiais (Sigmate).</w:t>
            </w:r>
          </w:p>
        </w:tc>
      </w:tr>
    </w:tbl>
    <w:p w14:paraId="33F37BA4" w14:textId="798FAC81" w:rsidR="00617362" w:rsidRDefault="00B575F8" w:rsidP="00617362">
      <w:pPr>
        <w:pStyle w:val="1-REL11"/>
      </w:pPr>
      <w:r>
        <w:lastRenderedPageBreak/>
        <w:t xml:space="preserve">Portanto, sugere-se </w:t>
      </w:r>
      <w:r w:rsidRPr="00B575F8">
        <w:t>ao Tribunal de Contas de Goiás que recomende ao Governo do estado de Goiás, por meio das Secretarias de Estado da Administração e da Economia que adotem providências com vistas a: a) revisar os controles internos relacionados ao processo de incorporação de ativos de estoques de bens de consumo que não envolvam execução orçamentária, a exemplo das doações, via sistema Sigmate, e b) promover treinamento adicional para as equipes responsáveis pelos lançamentos, conciliação e fechamento de balanços para que detectem tais distorções.</w:t>
      </w:r>
    </w:p>
    <w:p w14:paraId="1EDB14DA" w14:textId="77777777" w:rsidR="00617362" w:rsidRDefault="00617362" w:rsidP="00117967">
      <w:pPr>
        <w:pStyle w:val="Ttulo4"/>
      </w:pPr>
      <w:bookmarkStart w:id="409" w:name="_Hlk167354601"/>
      <w:r>
        <w:t>Ativo Realizável a Longo Prazo</w:t>
      </w:r>
    </w:p>
    <w:bookmarkEnd w:id="409"/>
    <w:p w14:paraId="55BBB39B" w14:textId="77777777" w:rsidR="00617362" w:rsidRDefault="00617362" w:rsidP="00617362">
      <w:pPr>
        <w:pStyle w:val="1-REL11"/>
      </w:pPr>
      <w:r>
        <w:t xml:space="preserve">O subgrupo </w:t>
      </w:r>
      <w:r w:rsidRPr="00073127">
        <w:t xml:space="preserve">de contas </w:t>
      </w:r>
      <w:r>
        <w:t>Ativo Realizável a Longo Prazo</w:t>
      </w:r>
      <w:r w:rsidRPr="00073127">
        <w:t xml:space="preserve"> </w:t>
      </w:r>
      <w:r>
        <w:t>compreende</w:t>
      </w:r>
      <w:r w:rsidRPr="00073127">
        <w:t xml:space="preserve"> </w:t>
      </w:r>
      <w:r w:rsidRPr="00073A38">
        <w:t xml:space="preserve">os bens, direitos e despesas antecipadas realizáveis no longo prazo </w:t>
      </w:r>
      <w:r w:rsidRPr="00073127">
        <w:t>e</w:t>
      </w:r>
      <w:r>
        <w:t xml:space="preserve">, no BP do estado de Goiás, </w:t>
      </w:r>
      <w:bookmarkStart w:id="410" w:name="_Hlk167354729"/>
      <w:r>
        <w:t>foi o subgrupo do Ativo que apresentou o maior saldo em 2023, inclusive com a maior evolução em relação a 2022.</w:t>
      </w:r>
      <w:r w:rsidRPr="00073127">
        <w:t xml:space="preserve"> </w:t>
      </w:r>
      <w:r>
        <w:t xml:space="preserve">Demonstrando </w:t>
      </w:r>
      <w:r w:rsidRPr="00073127">
        <w:t>um incremento de R$</w:t>
      </w:r>
      <w:r>
        <w:t xml:space="preserve"> 112</w:t>
      </w:r>
      <w:r w:rsidRPr="00073127">
        <w:t>,1</w:t>
      </w:r>
      <w:r>
        <w:t>0</w:t>
      </w:r>
      <w:r w:rsidRPr="00073127">
        <w:t xml:space="preserve"> </w:t>
      </w:r>
      <w:r>
        <w:t>bilhões</w:t>
      </w:r>
      <w:r w:rsidRPr="00073127">
        <w:t xml:space="preserve"> em relação a 2022, aumento de </w:t>
      </w:r>
      <w:r>
        <w:t>913,30</w:t>
      </w:r>
      <w:r w:rsidRPr="00073127">
        <w:t>%</w:t>
      </w:r>
      <w:r>
        <w:t>. Esse subgrupo</w:t>
      </w:r>
      <w:r w:rsidRPr="00073127">
        <w:t xml:space="preserve"> </w:t>
      </w:r>
      <w:r>
        <w:t>t</w:t>
      </w:r>
      <w:r w:rsidRPr="00073127">
        <w:t>otaliz</w:t>
      </w:r>
      <w:r>
        <w:t>ou</w:t>
      </w:r>
      <w:r w:rsidRPr="00073127">
        <w:t xml:space="preserve"> R$</w:t>
      </w:r>
      <w:r>
        <w:t xml:space="preserve"> 124</w:t>
      </w:r>
      <w:r w:rsidRPr="00073127">
        <w:t>,</w:t>
      </w:r>
      <w:r>
        <w:t>38</w:t>
      </w:r>
      <w:r w:rsidRPr="00073127">
        <w:t xml:space="preserve"> </w:t>
      </w:r>
      <w:r>
        <w:t xml:space="preserve">bilhões </w:t>
      </w:r>
      <w:r w:rsidRPr="00073127">
        <w:t>em 2023</w:t>
      </w:r>
      <w:r>
        <w:t>, o que representa 49,53% do Ativo Total</w:t>
      </w:r>
      <w:bookmarkEnd w:id="410"/>
      <w:r>
        <w:t>, e está assim composto:</w:t>
      </w:r>
    </w:p>
    <w:p w14:paraId="1CE614EE" w14:textId="4E02FBFD" w:rsidR="00617362" w:rsidRDefault="00617362" w:rsidP="00ED3571">
      <w:pPr>
        <w:pStyle w:val="0-TABELA"/>
      </w:pPr>
      <w:bookmarkStart w:id="411" w:name="_Toc167871817"/>
      <w:r>
        <w:t>Ativo Realizável a Longo Prazo</w:t>
      </w:r>
      <w:r w:rsidR="008F68DF">
        <w:t xml:space="preserve"> </w:t>
      </w:r>
      <w:r w:rsidR="008F68DF" w:rsidRPr="00D67E49">
        <w:t>– 2023 x 2022</w:t>
      </w:r>
      <w:bookmarkEnd w:id="411"/>
    </w:p>
    <w:p w14:paraId="41BDBD36" w14:textId="77777777" w:rsidR="00617362" w:rsidRPr="000332A7" w:rsidRDefault="00617362" w:rsidP="00617362">
      <w:pPr>
        <w:pStyle w:val="1-REL11"/>
        <w:spacing w:after="0"/>
        <w:jc w:val="right"/>
        <w:rPr>
          <w:sz w:val="16"/>
          <w:szCs w:val="16"/>
        </w:rPr>
      </w:pPr>
      <w:r w:rsidRPr="000332A7">
        <w:rPr>
          <w:sz w:val="16"/>
          <w:szCs w:val="16"/>
          <w:lang w:eastAsia="en-US"/>
        </w:rPr>
        <w:t>R$ mil</w:t>
      </w:r>
    </w:p>
    <w:tbl>
      <w:tblPr>
        <w:tblW w:w="5000" w:type="pct"/>
        <w:tblLayout w:type="fixed"/>
        <w:tblCellMar>
          <w:left w:w="70" w:type="dxa"/>
          <w:right w:w="70" w:type="dxa"/>
        </w:tblCellMar>
        <w:tblLook w:val="04A0" w:firstRow="1" w:lastRow="0" w:firstColumn="1" w:lastColumn="0" w:noHBand="0" w:noVBand="1"/>
      </w:tblPr>
      <w:tblGrid>
        <w:gridCol w:w="3830"/>
        <w:gridCol w:w="1135"/>
        <w:gridCol w:w="707"/>
        <w:gridCol w:w="991"/>
        <w:gridCol w:w="707"/>
        <w:gridCol w:w="1137"/>
        <w:gridCol w:w="846"/>
      </w:tblGrid>
      <w:tr w:rsidR="00F3087B" w:rsidRPr="00F3087B" w14:paraId="65C1662D" w14:textId="77777777" w:rsidTr="008F68DF">
        <w:trPr>
          <w:trHeight w:val="255"/>
          <w:tblHeader/>
        </w:trPr>
        <w:tc>
          <w:tcPr>
            <w:tcW w:w="2047" w:type="pct"/>
            <w:vMerge w:val="restart"/>
            <w:tcBorders>
              <w:top w:val="single" w:sz="4" w:space="0" w:color="auto"/>
              <w:left w:val="nil"/>
              <w:right w:val="single" w:sz="4" w:space="0" w:color="auto"/>
            </w:tcBorders>
            <w:shd w:val="clear" w:color="auto" w:fill="A1F2FD"/>
            <w:vAlign w:val="center"/>
            <w:hideMark/>
          </w:tcPr>
          <w:p w14:paraId="271096C9" w14:textId="77777777" w:rsidR="00F3087B" w:rsidRPr="00F3087B" w:rsidRDefault="00F3087B" w:rsidP="00617362">
            <w:pPr>
              <w:jc w:val="center"/>
              <w:rPr>
                <w:rFonts w:cs="Arial"/>
                <w:b/>
                <w:bCs/>
                <w:color w:val="000000"/>
                <w:sz w:val="18"/>
                <w:szCs w:val="18"/>
              </w:rPr>
            </w:pPr>
            <w:r w:rsidRPr="00F3087B">
              <w:rPr>
                <w:rFonts w:cs="Arial"/>
                <w:b/>
                <w:bCs/>
                <w:color w:val="000000"/>
                <w:sz w:val="18"/>
                <w:szCs w:val="18"/>
              </w:rPr>
              <w:t>Composição</w:t>
            </w:r>
          </w:p>
        </w:tc>
        <w:tc>
          <w:tcPr>
            <w:tcW w:w="607" w:type="pct"/>
            <w:vMerge w:val="restart"/>
            <w:tcBorders>
              <w:top w:val="single" w:sz="4" w:space="0" w:color="auto"/>
              <w:left w:val="single" w:sz="4" w:space="0" w:color="auto"/>
              <w:right w:val="single" w:sz="4" w:space="0" w:color="auto"/>
            </w:tcBorders>
            <w:shd w:val="clear" w:color="auto" w:fill="A1F2FD"/>
            <w:vAlign w:val="center"/>
            <w:hideMark/>
          </w:tcPr>
          <w:p w14:paraId="42757283" w14:textId="77777777" w:rsidR="00F3087B" w:rsidRPr="00F3087B" w:rsidRDefault="00F3087B" w:rsidP="00617362">
            <w:pPr>
              <w:jc w:val="center"/>
              <w:rPr>
                <w:rFonts w:cs="Arial"/>
                <w:b/>
                <w:bCs/>
                <w:color w:val="000000"/>
                <w:sz w:val="18"/>
                <w:szCs w:val="18"/>
              </w:rPr>
            </w:pPr>
            <w:r w:rsidRPr="00F3087B">
              <w:rPr>
                <w:rFonts w:cs="Arial"/>
                <w:b/>
                <w:bCs/>
                <w:color w:val="000000"/>
                <w:sz w:val="18"/>
                <w:szCs w:val="18"/>
              </w:rPr>
              <w:t>2023</w:t>
            </w:r>
          </w:p>
        </w:tc>
        <w:tc>
          <w:tcPr>
            <w:tcW w:w="378" w:type="pct"/>
            <w:tcBorders>
              <w:top w:val="single" w:sz="4" w:space="0" w:color="auto"/>
              <w:left w:val="nil"/>
              <w:right w:val="single" w:sz="4" w:space="0" w:color="auto"/>
            </w:tcBorders>
            <w:shd w:val="clear" w:color="auto" w:fill="A1F2FD"/>
            <w:vAlign w:val="center"/>
            <w:hideMark/>
          </w:tcPr>
          <w:p w14:paraId="2EB6EF19" w14:textId="77777777" w:rsidR="00F3087B" w:rsidRPr="00F3087B" w:rsidRDefault="00F3087B" w:rsidP="00617362">
            <w:pPr>
              <w:jc w:val="center"/>
              <w:rPr>
                <w:rFonts w:cs="Arial"/>
                <w:b/>
                <w:bCs/>
                <w:color w:val="000000"/>
                <w:sz w:val="18"/>
                <w:szCs w:val="18"/>
              </w:rPr>
            </w:pPr>
            <w:r w:rsidRPr="00F3087B">
              <w:rPr>
                <w:rFonts w:cs="Arial"/>
                <w:b/>
                <w:bCs/>
                <w:color w:val="000000"/>
                <w:sz w:val="18"/>
                <w:szCs w:val="18"/>
              </w:rPr>
              <w:t>AV 2023</w:t>
            </w:r>
          </w:p>
        </w:tc>
        <w:tc>
          <w:tcPr>
            <w:tcW w:w="530" w:type="pct"/>
            <w:vMerge w:val="restart"/>
            <w:tcBorders>
              <w:top w:val="single" w:sz="4" w:space="0" w:color="auto"/>
              <w:left w:val="single" w:sz="4" w:space="0" w:color="auto"/>
              <w:right w:val="single" w:sz="4" w:space="0" w:color="auto"/>
            </w:tcBorders>
            <w:shd w:val="clear" w:color="auto" w:fill="A1F2FD"/>
            <w:vAlign w:val="center"/>
            <w:hideMark/>
          </w:tcPr>
          <w:p w14:paraId="3AFF4DF3" w14:textId="77777777" w:rsidR="00F3087B" w:rsidRPr="00F3087B" w:rsidRDefault="00F3087B" w:rsidP="00617362">
            <w:pPr>
              <w:jc w:val="center"/>
              <w:rPr>
                <w:rFonts w:cs="Arial"/>
                <w:b/>
                <w:bCs/>
                <w:color w:val="000000"/>
                <w:sz w:val="18"/>
                <w:szCs w:val="18"/>
              </w:rPr>
            </w:pPr>
            <w:r w:rsidRPr="00F3087B">
              <w:rPr>
                <w:rFonts w:cs="Arial"/>
                <w:b/>
                <w:bCs/>
                <w:color w:val="000000"/>
                <w:sz w:val="18"/>
                <w:szCs w:val="18"/>
              </w:rPr>
              <w:t>2022</w:t>
            </w:r>
          </w:p>
        </w:tc>
        <w:tc>
          <w:tcPr>
            <w:tcW w:w="378" w:type="pct"/>
            <w:tcBorders>
              <w:top w:val="single" w:sz="4" w:space="0" w:color="auto"/>
              <w:left w:val="nil"/>
              <w:right w:val="single" w:sz="4" w:space="0" w:color="auto"/>
            </w:tcBorders>
            <w:shd w:val="clear" w:color="auto" w:fill="A1F2FD"/>
            <w:vAlign w:val="center"/>
            <w:hideMark/>
          </w:tcPr>
          <w:p w14:paraId="6F5E4222" w14:textId="77777777" w:rsidR="00F3087B" w:rsidRPr="00F3087B" w:rsidRDefault="00F3087B" w:rsidP="00617362">
            <w:pPr>
              <w:jc w:val="center"/>
              <w:rPr>
                <w:rFonts w:cs="Arial"/>
                <w:b/>
                <w:bCs/>
                <w:color w:val="000000"/>
                <w:sz w:val="18"/>
                <w:szCs w:val="18"/>
              </w:rPr>
            </w:pPr>
            <w:r w:rsidRPr="00F3087B">
              <w:rPr>
                <w:rFonts w:cs="Arial"/>
                <w:b/>
                <w:bCs/>
                <w:color w:val="000000"/>
                <w:sz w:val="18"/>
                <w:szCs w:val="18"/>
              </w:rPr>
              <w:t>AV 2022</w:t>
            </w:r>
          </w:p>
        </w:tc>
        <w:tc>
          <w:tcPr>
            <w:tcW w:w="1060" w:type="pct"/>
            <w:gridSpan w:val="2"/>
            <w:tcBorders>
              <w:top w:val="single" w:sz="4" w:space="0" w:color="auto"/>
              <w:left w:val="nil"/>
              <w:bottom w:val="single" w:sz="4" w:space="0" w:color="auto"/>
            </w:tcBorders>
            <w:shd w:val="clear" w:color="auto" w:fill="A1F2FD"/>
            <w:vAlign w:val="center"/>
            <w:hideMark/>
          </w:tcPr>
          <w:p w14:paraId="0E1C10E9" w14:textId="77777777" w:rsidR="00F3087B" w:rsidRPr="00F3087B" w:rsidRDefault="00F3087B" w:rsidP="00617362">
            <w:pPr>
              <w:jc w:val="center"/>
              <w:rPr>
                <w:rFonts w:cs="Arial"/>
                <w:b/>
                <w:bCs/>
                <w:color w:val="000000"/>
                <w:sz w:val="18"/>
                <w:szCs w:val="18"/>
              </w:rPr>
            </w:pPr>
            <w:r w:rsidRPr="00F3087B">
              <w:rPr>
                <w:rFonts w:cs="Arial"/>
                <w:b/>
                <w:bCs/>
                <w:color w:val="000000"/>
                <w:sz w:val="18"/>
                <w:szCs w:val="18"/>
              </w:rPr>
              <w:t>∆ 2023 x 2022</w:t>
            </w:r>
          </w:p>
        </w:tc>
      </w:tr>
      <w:tr w:rsidR="00F3087B" w:rsidRPr="000332A7" w14:paraId="185D7FA6" w14:textId="77777777" w:rsidTr="008F68DF">
        <w:trPr>
          <w:trHeight w:val="255"/>
          <w:tblHeader/>
        </w:trPr>
        <w:tc>
          <w:tcPr>
            <w:tcW w:w="2047" w:type="pct"/>
            <w:vMerge/>
            <w:tcBorders>
              <w:left w:val="nil"/>
              <w:right w:val="single" w:sz="4" w:space="0" w:color="auto"/>
            </w:tcBorders>
            <w:shd w:val="clear" w:color="auto" w:fill="A1F2FD"/>
            <w:vAlign w:val="center"/>
            <w:hideMark/>
          </w:tcPr>
          <w:p w14:paraId="4779BAA4" w14:textId="77777777" w:rsidR="00F3087B" w:rsidRPr="000332A7" w:rsidRDefault="00F3087B" w:rsidP="00617362">
            <w:pPr>
              <w:jc w:val="left"/>
              <w:rPr>
                <w:rFonts w:cs="Arial"/>
                <w:b/>
                <w:bCs/>
                <w:color w:val="000000"/>
                <w:sz w:val="16"/>
                <w:szCs w:val="16"/>
              </w:rPr>
            </w:pPr>
          </w:p>
        </w:tc>
        <w:tc>
          <w:tcPr>
            <w:tcW w:w="607" w:type="pct"/>
            <w:vMerge/>
            <w:tcBorders>
              <w:left w:val="single" w:sz="4" w:space="0" w:color="auto"/>
              <w:right w:val="single" w:sz="4" w:space="0" w:color="auto"/>
            </w:tcBorders>
            <w:shd w:val="clear" w:color="auto" w:fill="A1F2FD"/>
            <w:vAlign w:val="center"/>
            <w:hideMark/>
          </w:tcPr>
          <w:p w14:paraId="23FA0DCE" w14:textId="77777777" w:rsidR="00F3087B" w:rsidRPr="000332A7" w:rsidRDefault="00F3087B" w:rsidP="00617362">
            <w:pPr>
              <w:jc w:val="left"/>
              <w:rPr>
                <w:rFonts w:cs="Arial"/>
                <w:b/>
                <w:bCs/>
                <w:color w:val="000000"/>
                <w:sz w:val="16"/>
                <w:szCs w:val="16"/>
              </w:rPr>
            </w:pPr>
          </w:p>
        </w:tc>
        <w:tc>
          <w:tcPr>
            <w:tcW w:w="378" w:type="pct"/>
            <w:tcBorders>
              <w:left w:val="nil"/>
              <w:right w:val="single" w:sz="4" w:space="0" w:color="auto"/>
            </w:tcBorders>
            <w:shd w:val="clear" w:color="auto" w:fill="A1F2FD"/>
            <w:vAlign w:val="center"/>
            <w:hideMark/>
          </w:tcPr>
          <w:p w14:paraId="4AF064B6" w14:textId="77777777" w:rsidR="00F3087B" w:rsidRPr="00F3087B" w:rsidRDefault="00F3087B" w:rsidP="00617362">
            <w:pPr>
              <w:jc w:val="center"/>
              <w:rPr>
                <w:rFonts w:cs="Arial"/>
                <w:b/>
                <w:bCs/>
                <w:color w:val="000000"/>
                <w:sz w:val="18"/>
                <w:szCs w:val="16"/>
              </w:rPr>
            </w:pPr>
            <w:r w:rsidRPr="00F3087B">
              <w:rPr>
                <w:rFonts w:cs="Arial"/>
                <w:b/>
                <w:bCs/>
                <w:color w:val="000000"/>
                <w:sz w:val="18"/>
                <w:szCs w:val="16"/>
              </w:rPr>
              <w:t>%</w:t>
            </w:r>
          </w:p>
        </w:tc>
        <w:tc>
          <w:tcPr>
            <w:tcW w:w="530" w:type="pct"/>
            <w:vMerge/>
            <w:tcBorders>
              <w:left w:val="single" w:sz="4" w:space="0" w:color="auto"/>
              <w:right w:val="single" w:sz="4" w:space="0" w:color="auto"/>
            </w:tcBorders>
            <w:shd w:val="clear" w:color="auto" w:fill="A1F2FD"/>
            <w:vAlign w:val="center"/>
            <w:hideMark/>
          </w:tcPr>
          <w:p w14:paraId="035481E6" w14:textId="77777777" w:rsidR="00F3087B" w:rsidRPr="00F3087B" w:rsidRDefault="00F3087B" w:rsidP="00617362">
            <w:pPr>
              <w:jc w:val="left"/>
              <w:rPr>
                <w:rFonts w:cs="Arial"/>
                <w:b/>
                <w:bCs/>
                <w:color w:val="000000"/>
                <w:sz w:val="18"/>
                <w:szCs w:val="16"/>
              </w:rPr>
            </w:pPr>
          </w:p>
        </w:tc>
        <w:tc>
          <w:tcPr>
            <w:tcW w:w="378" w:type="pct"/>
            <w:tcBorders>
              <w:left w:val="nil"/>
              <w:right w:val="single" w:sz="4" w:space="0" w:color="auto"/>
            </w:tcBorders>
            <w:shd w:val="clear" w:color="auto" w:fill="A1F2FD"/>
            <w:vAlign w:val="center"/>
            <w:hideMark/>
          </w:tcPr>
          <w:p w14:paraId="5C07F79F" w14:textId="77777777" w:rsidR="00F3087B" w:rsidRPr="00F3087B" w:rsidRDefault="00F3087B" w:rsidP="00617362">
            <w:pPr>
              <w:jc w:val="center"/>
              <w:rPr>
                <w:rFonts w:cs="Arial"/>
                <w:b/>
                <w:bCs/>
                <w:color w:val="000000"/>
                <w:sz w:val="18"/>
                <w:szCs w:val="16"/>
              </w:rPr>
            </w:pPr>
            <w:r w:rsidRPr="00F3087B">
              <w:rPr>
                <w:rFonts w:cs="Arial"/>
                <w:b/>
                <w:bCs/>
                <w:color w:val="000000"/>
                <w:sz w:val="18"/>
                <w:szCs w:val="16"/>
              </w:rPr>
              <w:t>%</w:t>
            </w:r>
          </w:p>
        </w:tc>
        <w:tc>
          <w:tcPr>
            <w:tcW w:w="608" w:type="pct"/>
            <w:tcBorders>
              <w:top w:val="single" w:sz="4" w:space="0" w:color="auto"/>
              <w:left w:val="nil"/>
              <w:right w:val="single" w:sz="4" w:space="0" w:color="auto"/>
            </w:tcBorders>
            <w:shd w:val="clear" w:color="auto" w:fill="A1F2FD"/>
            <w:vAlign w:val="center"/>
            <w:hideMark/>
          </w:tcPr>
          <w:p w14:paraId="38B368E7" w14:textId="77777777" w:rsidR="00F3087B" w:rsidRPr="00F3087B" w:rsidRDefault="00F3087B" w:rsidP="00617362">
            <w:pPr>
              <w:jc w:val="center"/>
              <w:rPr>
                <w:rFonts w:cs="Arial"/>
                <w:b/>
                <w:bCs/>
                <w:color w:val="000000"/>
                <w:sz w:val="18"/>
                <w:szCs w:val="16"/>
              </w:rPr>
            </w:pPr>
            <w:r w:rsidRPr="00F3087B">
              <w:rPr>
                <w:rFonts w:cs="Arial"/>
                <w:b/>
                <w:bCs/>
                <w:color w:val="000000"/>
                <w:sz w:val="18"/>
                <w:szCs w:val="16"/>
              </w:rPr>
              <w:t xml:space="preserve">R$ </w:t>
            </w:r>
          </w:p>
        </w:tc>
        <w:tc>
          <w:tcPr>
            <w:tcW w:w="451" w:type="pct"/>
            <w:tcBorders>
              <w:top w:val="single" w:sz="4" w:space="0" w:color="auto"/>
              <w:left w:val="nil"/>
              <w:right w:val="nil"/>
            </w:tcBorders>
            <w:shd w:val="clear" w:color="auto" w:fill="A1F2FD"/>
            <w:vAlign w:val="center"/>
            <w:hideMark/>
          </w:tcPr>
          <w:p w14:paraId="55CC441A" w14:textId="77777777" w:rsidR="00F3087B" w:rsidRPr="00F3087B" w:rsidRDefault="00F3087B" w:rsidP="00617362">
            <w:pPr>
              <w:jc w:val="center"/>
              <w:rPr>
                <w:rFonts w:cs="Arial"/>
                <w:b/>
                <w:bCs/>
                <w:color w:val="000000"/>
                <w:sz w:val="18"/>
                <w:szCs w:val="16"/>
              </w:rPr>
            </w:pPr>
            <w:r w:rsidRPr="00F3087B">
              <w:rPr>
                <w:rFonts w:cs="Arial"/>
                <w:b/>
                <w:bCs/>
                <w:color w:val="000000"/>
                <w:sz w:val="18"/>
                <w:szCs w:val="16"/>
              </w:rPr>
              <w:t>%</w:t>
            </w:r>
          </w:p>
        </w:tc>
      </w:tr>
      <w:tr w:rsidR="00F3087B" w:rsidRPr="000332A7" w14:paraId="52B143AA" w14:textId="77777777" w:rsidTr="008F68DF">
        <w:trPr>
          <w:trHeight w:val="255"/>
          <w:tblHeader/>
        </w:trPr>
        <w:tc>
          <w:tcPr>
            <w:tcW w:w="2047" w:type="pct"/>
            <w:vMerge/>
            <w:tcBorders>
              <w:left w:val="nil"/>
              <w:bottom w:val="single" w:sz="4" w:space="0" w:color="auto"/>
              <w:right w:val="single" w:sz="4" w:space="0" w:color="auto"/>
            </w:tcBorders>
            <w:shd w:val="clear" w:color="auto" w:fill="A1F2FD"/>
            <w:vAlign w:val="center"/>
          </w:tcPr>
          <w:p w14:paraId="23DC2D45" w14:textId="77777777" w:rsidR="00F3087B" w:rsidRPr="000332A7" w:rsidRDefault="00F3087B" w:rsidP="00F3087B">
            <w:pPr>
              <w:jc w:val="left"/>
              <w:rPr>
                <w:rFonts w:cs="Arial"/>
                <w:b/>
                <w:bCs/>
                <w:color w:val="000000"/>
                <w:sz w:val="16"/>
                <w:szCs w:val="16"/>
              </w:rPr>
            </w:pPr>
          </w:p>
        </w:tc>
        <w:tc>
          <w:tcPr>
            <w:tcW w:w="607" w:type="pct"/>
            <w:tcBorders>
              <w:left w:val="single" w:sz="4" w:space="0" w:color="auto"/>
              <w:bottom w:val="single" w:sz="4" w:space="0" w:color="auto"/>
              <w:right w:val="single" w:sz="4" w:space="0" w:color="auto"/>
            </w:tcBorders>
            <w:shd w:val="clear" w:color="auto" w:fill="A1F2FD"/>
            <w:vAlign w:val="center"/>
          </w:tcPr>
          <w:p w14:paraId="50C16CAF" w14:textId="1D5FC61A" w:rsidR="00F3087B" w:rsidRPr="000332A7" w:rsidRDefault="00F3087B" w:rsidP="00F3087B">
            <w:pPr>
              <w:jc w:val="center"/>
              <w:rPr>
                <w:rFonts w:cs="Arial"/>
                <w:b/>
                <w:bCs/>
                <w:color w:val="000000"/>
                <w:sz w:val="16"/>
                <w:szCs w:val="16"/>
              </w:rPr>
            </w:pPr>
            <w:r w:rsidRPr="003B30CD">
              <w:rPr>
                <w:rFonts w:cs="Arial"/>
                <w:b/>
                <w:bCs/>
                <w:color w:val="000000"/>
                <w:sz w:val="18"/>
                <w:szCs w:val="18"/>
              </w:rPr>
              <w:t>(a)</w:t>
            </w:r>
          </w:p>
        </w:tc>
        <w:tc>
          <w:tcPr>
            <w:tcW w:w="378" w:type="pct"/>
            <w:tcBorders>
              <w:left w:val="nil"/>
              <w:bottom w:val="single" w:sz="4" w:space="0" w:color="auto"/>
              <w:right w:val="single" w:sz="4" w:space="0" w:color="auto"/>
            </w:tcBorders>
            <w:shd w:val="clear" w:color="auto" w:fill="A1F2FD"/>
            <w:vAlign w:val="center"/>
          </w:tcPr>
          <w:p w14:paraId="27734D64" w14:textId="7E3F91B5" w:rsidR="00F3087B" w:rsidRPr="00F3087B" w:rsidRDefault="00F3087B" w:rsidP="00F3087B">
            <w:pPr>
              <w:jc w:val="center"/>
              <w:rPr>
                <w:rFonts w:cs="Arial"/>
                <w:b/>
                <w:bCs/>
                <w:color w:val="000000"/>
                <w:sz w:val="18"/>
                <w:szCs w:val="16"/>
              </w:rPr>
            </w:pPr>
            <w:r w:rsidRPr="003B30CD">
              <w:rPr>
                <w:rFonts w:cs="Arial"/>
                <w:b/>
                <w:bCs/>
                <w:color w:val="000000"/>
                <w:sz w:val="18"/>
                <w:szCs w:val="18"/>
              </w:rPr>
              <w:t>(b)</w:t>
            </w:r>
          </w:p>
        </w:tc>
        <w:tc>
          <w:tcPr>
            <w:tcW w:w="530" w:type="pct"/>
            <w:tcBorders>
              <w:left w:val="single" w:sz="4" w:space="0" w:color="auto"/>
              <w:bottom w:val="single" w:sz="4" w:space="0" w:color="auto"/>
              <w:right w:val="single" w:sz="4" w:space="0" w:color="auto"/>
            </w:tcBorders>
            <w:shd w:val="clear" w:color="auto" w:fill="A1F2FD"/>
            <w:vAlign w:val="center"/>
          </w:tcPr>
          <w:p w14:paraId="0D6CCAAD" w14:textId="67C5CAC8" w:rsidR="00F3087B" w:rsidRPr="00F3087B" w:rsidRDefault="00F3087B" w:rsidP="00F3087B">
            <w:pPr>
              <w:jc w:val="center"/>
              <w:rPr>
                <w:rFonts w:cs="Arial"/>
                <w:b/>
                <w:bCs/>
                <w:color w:val="000000"/>
                <w:sz w:val="18"/>
                <w:szCs w:val="16"/>
              </w:rPr>
            </w:pPr>
            <w:r w:rsidRPr="003B30CD">
              <w:rPr>
                <w:rFonts w:cs="Arial"/>
                <w:b/>
                <w:bCs/>
                <w:color w:val="000000"/>
                <w:sz w:val="18"/>
                <w:szCs w:val="18"/>
              </w:rPr>
              <w:t>(c)</w:t>
            </w:r>
          </w:p>
        </w:tc>
        <w:tc>
          <w:tcPr>
            <w:tcW w:w="378" w:type="pct"/>
            <w:tcBorders>
              <w:left w:val="nil"/>
              <w:bottom w:val="single" w:sz="4" w:space="0" w:color="auto"/>
              <w:right w:val="single" w:sz="4" w:space="0" w:color="auto"/>
            </w:tcBorders>
            <w:shd w:val="clear" w:color="auto" w:fill="A1F2FD"/>
            <w:vAlign w:val="center"/>
          </w:tcPr>
          <w:p w14:paraId="21A7FE0E" w14:textId="2A014894" w:rsidR="00F3087B" w:rsidRPr="00F3087B" w:rsidRDefault="00F3087B" w:rsidP="00F3087B">
            <w:pPr>
              <w:jc w:val="center"/>
              <w:rPr>
                <w:rFonts w:cs="Arial"/>
                <w:b/>
                <w:bCs/>
                <w:color w:val="000000"/>
                <w:sz w:val="18"/>
                <w:szCs w:val="16"/>
              </w:rPr>
            </w:pPr>
            <w:r w:rsidRPr="003B30CD">
              <w:rPr>
                <w:rFonts w:cs="Arial"/>
                <w:b/>
                <w:bCs/>
                <w:color w:val="000000"/>
                <w:sz w:val="18"/>
                <w:szCs w:val="18"/>
              </w:rPr>
              <w:t>(d)</w:t>
            </w:r>
          </w:p>
        </w:tc>
        <w:tc>
          <w:tcPr>
            <w:tcW w:w="608" w:type="pct"/>
            <w:tcBorders>
              <w:top w:val="nil"/>
              <w:left w:val="nil"/>
              <w:bottom w:val="single" w:sz="4" w:space="0" w:color="auto"/>
              <w:right w:val="single" w:sz="4" w:space="0" w:color="auto"/>
            </w:tcBorders>
            <w:shd w:val="clear" w:color="auto" w:fill="A1F2FD"/>
            <w:vAlign w:val="center"/>
          </w:tcPr>
          <w:p w14:paraId="44CA2332" w14:textId="4007C7E0" w:rsidR="00F3087B" w:rsidRPr="00F3087B" w:rsidRDefault="00F3087B" w:rsidP="00F3087B">
            <w:pPr>
              <w:jc w:val="center"/>
              <w:rPr>
                <w:rFonts w:cs="Arial"/>
                <w:b/>
                <w:bCs/>
                <w:color w:val="000000"/>
                <w:sz w:val="18"/>
                <w:szCs w:val="16"/>
              </w:rPr>
            </w:pPr>
            <w:r w:rsidRPr="003B30CD">
              <w:rPr>
                <w:rFonts w:cs="Arial"/>
                <w:b/>
                <w:bCs/>
                <w:color w:val="000000"/>
                <w:sz w:val="18"/>
                <w:szCs w:val="18"/>
              </w:rPr>
              <w:t>(e) =</w:t>
            </w:r>
            <w:r>
              <w:rPr>
                <w:rFonts w:cs="Arial"/>
                <w:b/>
                <w:bCs/>
                <w:color w:val="000000"/>
                <w:sz w:val="18"/>
                <w:szCs w:val="18"/>
              </w:rPr>
              <w:t xml:space="preserve"> </w:t>
            </w:r>
            <w:r w:rsidRPr="003B30CD">
              <w:rPr>
                <w:rFonts w:cs="Arial"/>
                <w:b/>
                <w:bCs/>
                <w:color w:val="000000"/>
                <w:sz w:val="18"/>
                <w:szCs w:val="18"/>
              </w:rPr>
              <w:t>(a-</w:t>
            </w:r>
            <w:r w:rsidR="008022D1">
              <w:rPr>
                <w:rFonts w:cs="Arial"/>
                <w:b/>
                <w:bCs/>
                <w:color w:val="000000"/>
                <w:sz w:val="18"/>
                <w:szCs w:val="18"/>
              </w:rPr>
              <w:t>c</w:t>
            </w:r>
            <w:r w:rsidRPr="003B30CD">
              <w:rPr>
                <w:rFonts w:cs="Arial"/>
                <w:b/>
                <w:bCs/>
                <w:color w:val="000000"/>
                <w:sz w:val="18"/>
                <w:szCs w:val="18"/>
              </w:rPr>
              <w:t>)</w:t>
            </w:r>
          </w:p>
        </w:tc>
        <w:tc>
          <w:tcPr>
            <w:tcW w:w="451" w:type="pct"/>
            <w:tcBorders>
              <w:top w:val="nil"/>
              <w:left w:val="nil"/>
              <w:bottom w:val="single" w:sz="4" w:space="0" w:color="auto"/>
              <w:right w:val="nil"/>
            </w:tcBorders>
            <w:shd w:val="clear" w:color="auto" w:fill="A1F2FD"/>
            <w:vAlign w:val="center"/>
          </w:tcPr>
          <w:p w14:paraId="19B51347" w14:textId="4C006249" w:rsidR="00F3087B" w:rsidRPr="00F3087B" w:rsidRDefault="00F3087B" w:rsidP="00F3087B">
            <w:pPr>
              <w:ind w:left="-80" w:right="-77"/>
              <w:jc w:val="center"/>
              <w:rPr>
                <w:rFonts w:cs="Arial"/>
                <w:b/>
                <w:bCs/>
                <w:color w:val="000000"/>
                <w:sz w:val="18"/>
                <w:szCs w:val="16"/>
              </w:rPr>
            </w:pPr>
            <w:r w:rsidRPr="003B30CD">
              <w:rPr>
                <w:rFonts w:cs="Arial"/>
                <w:b/>
                <w:bCs/>
                <w:color w:val="000000"/>
                <w:sz w:val="18"/>
                <w:szCs w:val="18"/>
              </w:rPr>
              <w:t>(f)=(e/c)</w:t>
            </w:r>
          </w:p>
        </w:tc>
      </w:tr>
      <w:tr w:rsidR="00617362" w:rsidRPr="008F68DF" w14:paraId="3FF7D158" w14:textId="77777777" w:rsidTr="008F68DF">
        <w:trPr>
          <w:trHeight w:val="255"/>
        </w:trPr>
        <w:tc>
          <w:tcPr>
            <w:tcW w:w="2047" w:type="pct"/>
            <w:tcBorders>
              <w:top w:val="single" w:sz="4" w:space="0" w:color="auto"/>
              <w:left w:val="nil"/>
              <w:bottom w:val="nil"/>
              <w:right w:val="single" w:sz="4" w:space="0" w:color="auto"/>
            </w:tcBorders>
            <w:shd w:val="clear" w:color="auto" w:fill="auto"/>
            <w:noWrap/>
            <w:vAlign w:val="center"/>
            <w:hideMark/>
          </w:tcPr>
          <w:p w14:paraId="55F6D3DA" w14:textId="77777777" w:rsidR="00617362" w:rsidRPr="008F68DF" w:rsidRDefault="00617362" w:rsidP="00617362">
            <w:pPr>
              <w:jc w:val="left"/>
              <w:rPr>
                <w:rFonts w:cs="Arial"/>
                <w:color w:val="333333"/>
                <w:sz w:val="18"/>
                <w:szCs w:val="16"/>
              </w:rPr>
            </w:pPr>
            <w:r w:rsidRPr="008F68DF">
              <w:rPr>
                <w:rFonts w:cs="Arial"/>
                <w:color w:val="333333"/>
                <w:sz w:val="18"/>
                <w:szCs w:val="16"/>
              </w:rPr>
              <w:t>Créditos a Longo Prazo</w:t>
            </w:r>
          </w:p>
        </w:tc>
        <w:tc>
          <w:tcPr>
            <w:tcW w:w="607" w:type="pct"/>
            <w:tcBorders>
              <w:top w:val="single" w:sz="4" w:space="0" w:color="auto"/>
              <w:left w:val="nil"/>
              <w:bottom w:val="nil"/>
              <w:right w:val="single" w:sz="4" w:space="0" w:color="auto"/>
            </w:tcBorders>
            <w:shd w:val="clear" w:color="auto" w:fill="auto"/>
            <w:noWrap/>
            <w:vAlign w:val="center"/>
            <w:hideMark/>
          </w:tcPr>
          <w:p w14:paraId="792A3626" w14:textId="77777777" w:rsidR="00617362" w:rsidRPr="008F68DF" w:rsidRDefault="00617362" w:rsidP="008F68DF">
            <w:pPr>
              <w:ind w:hanging="75"/>
              <w:jc w:val="right"/>
              <w:rPr>
                <w:rFonts w:cs="Arial"/>
                <w:color w:val="000000"/>
                <w:sz w:val="18"/>
                <w:szCs w:val="16"/>
              </w:rPr>
            </w:pPr>
            <w:r w:rsidRPr="008F68DF">
              <w:rPr>
                <w:rFonts w:cs="Arial"/>
                <w:color w:val="000000"/>
                <w:sz w:val="18"/>
                <w:szCs w:val="16"/>
              </w:rPr>
              <w:t>122.039.021</w:t>
            </w:r>
          </w:p>
        </w:tc>
        <w:tc>
          <w:tcPr>
            <w:tcW w:w="378" w:type="pct"/>
            <w:tcBorders>
              <w:top w:val="single" w:sz="4" w:space="0" w:color="auto"/>
              <w:left w:val="nil"/>
              <w:bottom w:val="nil"/>
              <w:right w:val="single" w:sz="4" w:space="0" w:color="auto"/>
            </w:tcBorders>
            <w:shd w:val="clear" w:color="auto" w:fill="auto"/>
            <w:noWrap/>
            <w:vAlign w:val="center"/>
            <w:hideMark/>
          </w:tcPr>
          <w:p w14:paraId="636C357B" w14:textId="77777777" w:rsidR="00617362" w:rsidRPr="008F68DF" w:rsidRDefault="00617362" w:rsidP="00617362">
            <w:pPr>
              <w:jc w:val="center"/>
              <w:rPr>
                <w:rFonts w:cs="Arial"/>
                <w:color w:val="000000"/>
                <w:sz w:val="18"/>
                <w:szCs w:val="16"/>
              </w:rPr>
            </w:pPr>
            <w:r w:rsidRPr="008F68DF">
              <w:rPr>
                <w:rFonts w:cs="Arial"/>
                <w:color w:val="000000"/>
                <w:sz w:val="18"/>
                <w:szCs w:val="16"/>
              </w:rPr>
              <w:t>98,12</w:t>
            </w:r>
          </w:p>
        </w:tc>
        <w:tc>
          <w:tcPr>
            <w:tcW w:w="530" w:type="pct"/>
            <w:tcBorders>
              <w:top w:val="single" w:sz="4" w:space="0" w:color="auto"/>
              <w:left w:val="nil"/>
              <w:bottom w:val="nil"/>
              <w:right w:val="single" w:sz="4" w:space="0" w:color="auto"/>
            </w:tcBorders>
            <w:shd w:val="clear" w:color="auto" w:fill="auto"/>
            <w:noWrap/>
            <w:vAlign w:val="center"/>
            <w:hideMark/>
          </w:tcPr>
          <w:p w14:paraId="494C9C41" w14:textId="77777777" w:rsidR="00617362" w:rsidRPr="008F68DF" w:rsidRDefault="00617362" w:rsidP="008F68DF">
            <w:pPr>
              <w:ind w:hanging="73"/>
              <w:jc w:val="right"/>
              <w:rPr>
                <w:rFonts w:cs="Arial"/>
                <w:color w:val="000000"/>
                <w:sz w:val="18"/>
                <w:szCs w:val="16"/>
              </w:rPr>
            </w:pPr>
            <w:r w:rsidRPr="008F68DF">
              <w:rPr>
                <w:rFonts w:cs="Arial"/>
                <w:color w:val="000000"/>
                <w:sz w:val="18"/>
                <w:szCs w:val="16"/>
              </w:rPr>
              <w:t>10.408.247</w:t>
            </w:r>
          </w:p>
        </w:tc>
        <w:tc>
          <w:tcPr>
            <w:tcW w:w="378" w:type="pct"/>
            <w:tcBorders>
              <w:top w:val="single" w:sz="4" w:space="0" w:color="auto"/>
              <w:left w:val="nil"/>
              <w:bottom w:val="nil"/>
              <w:right w:val="single" w:sz="4" w:space="0" w:color="auto"/>
            </w:tcBorders>
            <w:shd w:val="clear" w:color="auto" w:fill="auto"/>
            <w:noWrap/>
            <w:vAlign w:val="center"/>
            <w:hideMark/>
          </w:tcPr>
          <w:p w14:paraId="1B134B06" w14:textId="77777777" w:rsidR="00617362" w:rsidRPr="008F68DF" w:rsidRDefault="00617362" w:rsidP="00617362">
            <w:pPr>
              <w:jc w:val="center"/>
              <w:rPr>
                <w:rFonts w:cs="Arial"/>
                <w:color w:val="000000"/>
                <w:sz w:val="18"/>
                <w:szCs w:val="16"/>
              </w:rPr>
            </w:pPr>
            <w:r w:rsidRPr="008F68DF">
              <w:rPr>
                <w:rFonts w:cs="Arial"/>
                <w:color w:val="000000"/>
                <w:sz w:val="18"/>
                <w:szCs w:val="16"/>
              </w:rPr>
              <w:t>84,79</w:t>
            </w:r>
          </w:p>
        </w:tc>
        <w:tc>
          <w:tcPr>
            <w:tcW w:w="608" w:type="pct"/>
            <w:tcBorders>
              <w:top w:val="single" w:sz="4" w:space="0" w:color="auto"/>
              <w:left w:val="nil"/>
              <w:bottom w:val="nil"/>
              <w:right w:val="single" w:sz="4" w:space="0" w:color="auto"/>
            </w:tcBorders>
            <w:shd w:val="clear" w:color="auto" w:fill="auto"/>
            <w:noWrap/>
            <w:vAlign w:val="center"/>
            <w:hideMark/>
          </w:tcPr>
          <w:p w14:paraId="4E31DDC0" w14:textId="77777777" w:rsidR="00617362" w:rsidRPr="008F68DF" w:rsidRDefault="00617362" w:rsidP="008F68DF">
            <w:pPr>
              <w:ind w:hanging="75"/>
              <w:jc w:val="right"/>
              <w:rPr>
                <w:rFonts w:cs="Arial"/>
                <w:color w:val="000000"/>
                <w:sz w:val="18"/>
                <w:szCs w:val="16"/>
              </w:rPr>
            </w:pPr>
            <w:r w:rsidRPr="008F68DF">
              <w:rPr>
                <w:rFonts w:cs="Arial"/>
                <w:color w:val="000000"/>
                <w:sz w:val="18"/>
                <w:szCs w:val="16"/>
              </w:rPr>
              <w:t>111.630.774</w:t>
            </w:r>
          </w:p>
        </w:tc>
        <w:tc>
          <w:tcPr>
            <w:tcW w:w="451" w:type="pct"/>
            <w:tcBorders>
              <w:top w:val="single" w:sz="4" w:space="0" w:color="auto"/>
              <w:left w:val="nil"/>
              <w:bottom w:val="nil"/>
              <w:right w:val="nil"/>
            </w:tcBorders>
            <w:shd w:val="clear" w:color="auto" w:fill="auto"/>
            <w:noWrap/>
            <w:vAlign w:val="center"/>
            <w:hideMark/>
          </w:tcPr>
          <w:p w14:paraId="6A14EDE8" w14:textId="77777777" w:rsidR="00617362" w:rsidRPr="008F68DF" w:rsidRDefault="00617362" w:rsidP="00617362">
            <w:pPr>
              <w:ind w:hanging="78"/>
              <w:jc w:val="center"/>
              <w:rPr>
                <w:rFonts w:cs="Arial"/>
                <w:color w:val="000000"/>
                <w:sz w:val="18"/>
                <w:szCs w:val="16"/>
              </w:rPr>
            </w:pPr>
            <w:r w:rsidRPr="008F68DF">
              <w:rPr>
                <w:rFonts w:cs="Arial"/>
                <w:color w:val="000000"/>
                <w:sz w:val="18"/>
                <w:szCs w:val="16"/>
              </w:rPr>
              <w:t>1072,52</w:t>
            </w:r>
          </w:p>
        </w:tc>
      </w:tr>
      <w:tr w:rsidR="00617362" w:rsidRPr="008F68DF" w14:paraId="1F19593A" w14:textId="77777777" w:rsidTr="008F68DF">
        <w:trPr>
          <w:trHeight w:val="255"/>
        </w:trPr>
        <w:tc>
          <w:tcPr>
            <w:tcW w:w="2047" w:type="pct"/>
            <w:tcBorders>
              <w:top w:val="nil"/>
              <w:left w:val="nil"/>
              <w:bottom w:val="nil"/>
              <w:right w:val="single" w:sz="4" w:space="0" w:color="auto"/>
            </w:tcBorders>
            <w:shd w:val="clear" w:color="auto" w:fill="auto"/>
            <w:noWrap/>
            <w:vAlign w:val="center"/>
            <w:hideMark/>
          </w:tcPr>
          <w:p w14:paraId="212704AC" w14:textId="77777777" w:rsidR="00617362" w:rsidRPr="008F68DF" w:rsidRDefault="00617362" w:rsidP="00617362">
            <w:pPr>
              <w:jc w:val="left"/>
              <w:rPr>
                <w:rFonts w:cs="Arial"/>
                <w:color w:val="333333"/>
                <w:sz w:val="18"/>
                <w:szCs w:val="16"/>
              </w:rPr>
            </w:pPr>
            <w:r w:rsidRPr="008F68DF">
              <w:rPr>
                <w:rFonts w:cs="Arial"/>
                <w:color w:val="333333"/>
                <w:sz w:val="18"/>
                <w:szCs w:val="16"/>
              </w:rPr>
              <w:t>Demais Créditos e Valores a Longo Prazo</w:t>
            </w:r>
          </w:p>
        </w:tc>
        <w:tc>
          <w:tcPr>
            <w:tcW w:w="607" w:type="pct"/>
            <w:tcBorders>
              <w:top w:val="nil"/>
              <w:left w:val="nil"/>
              <w:bottom w:val="nil"/>
              <w:right w:val="single" w:sz="4" w:space="0" w:color="auto"/>
            </w:tcBorders>
            <w:shd w:val="clear" w:color="auto" w:fill="auto"/>
            <w:noWrap/>
            <w:vAlign w:val="center"/>
            <w:hideMark/>
          </w:tcPr>
          <w:p w14:paraId="70EAFCF1" w14:textId="77777777" w:rsidR="00617362" w:rsidRPr="008F68DF" w:rsidRDefault="00617362" w:rsidP="008F68DF">
            <w:pPr>
              <w:ind w:hanging="75"/>
              <w:jc w:val="right"/>
              <w:rPr>
                <w:rFonts w:cs="Arial"/>
                <w:color w:val="000000"/>
                <w:sz w:val="18"/>
                <w:szCs w:val="16"/>
              </w:rPr>
            </w:pPr>
            <w:r w:rsidRPr="008F68DF">
              <w:rPr>
                <w:rFonts w:cs="Arial"/>
                <w:color w:val="000000"/>
                <w:sz w:val="18"/>
                <w:szCs w:val="16"/>
              </w:rPr>
              <w:t>1.976.872</w:t>
            </w:r>
          </w:p>
        </w:tc>
        <w:tc>
          <w:tcPr>
            <w:tcW w:w="378" w:type="pct"/>
            <w:tcBorders>
              <w:top w:val="nil"/>
              <w:left w:val="nil"/>
              <w:bottom w:val="nil"/>
              <w:right w:val="single" w:sz="4" w:space="0" w:color="auto"/>
            </w:tcBorders>
            <w:shd w:val="clear" w:color="auto" w:fill="auto"/>
            <w:noWrap/>
            <w:vAlign w:val="center"/>
            <w:hideMark/>
          </w:tcPr>
          <w:p w14:paraId="01F6AE2E" w14:textId="77777777" w:rsidR="00617362" w:rsidRPr="008F68DF" w:rsidRDefault="00617362" w:rsidP="00617362">
            <w:pPr>
              <w:jc w:val="center"/>
              <w:rPr>
                <w:rFonts w:cs="Arial"/>
                <w:color w:val="000000"/>
                <w:sz w:val="18"/>
                <w:szCs w:val="16"/>
              </w:rPr>
            </w:pPr>
            <w:r w:rsidRPr="008F68DF">
              <w:rPr>
                <w:rFonts w:cs="Arial"/>
                <w:color w:val="000000"/>
                <w:sz w:val="18"/>
                <w:szCs w:val="16"/>
              </w:rPr>
              <w:t>1,59</w:t>
            </w:r>
          </w:p>
        </w:tc>
        <w:tc>
          <w:tcPr>
            <w:tcW w:w="530" w:type="pct"/>
            <w:tcBorders>
              <w:top w:val="nil"/>
              <w:left w:val="nil"/>
              <w:bottom w:val="nil"/>
              <w:right w:val="single" w:sz="4" w:space="0" w:color="auto"/>
            </w:tcBorders>
            <w:shd w:val="clear" w:color="auto" w:fill="auto"/>
            <w:noWrap/>
            <w:vAlign w:val="center"/>
            <w:hideMark/>
          </w:tcPr>
          <w:p w14:paraId="6F84BB4D" w14:textId="77777777" w:rsidR="00617362" w:rsidRPr="008F68DF" w:rsidRDefault="00617362" w:rsidP="008F68DF">
            <w:pPr>
              <w:ind w:hanging="73"/>
              <w:jc w:val="right"/>
              <w:rPr>
                <w:rFonts w:cs="Arial"/>
                <w:color w:val="000000"/>
                <w:sz w:val="18"/>
                <w:szCs w:val="16"/>
              </w:rPr>
            </w:pPr>
            <w:r w:rsidRPr="008F68DF">
              <w:rPr>
                <w:rFonts w:cs="Arial"/>
                <w:color w:val="000000"/>
                <w:sz w:val="18"/>
                <w:szCs w:val="16"/>
              </w:rPr>
              <w:t>1.753.457</w:t>
            </w:r>
          </w:p>
        </w:tc>
        <w:tc>
          <w:tcPr>
            <w:tcW w:w="378" w:type="pct"/>
            <w:tcBorders>
              <w:top w:val="nil"/>
              <w:left w:val="nil"/>
              <w:bottom w:val="nil"/>
              <w:right w:val="single" w:sz="4" w:space="0" w:color="auto"/>
            </w:tcBorders>
            <w:shd w:val="clear" w:color="auto" w:fill="auto"/>
            <w:noWrap/>
            <w:vAlign w:val="center"/>
            <w:hideMark/>
          </w:tcPr>
          <w:p w14:paraId="521279B3" w14:textId="77777777" w:rsidR="00617362" w:rsidRPr="008F68DF" w:rsidRDefault="00617362" w:rsidP="00617362">
            <w:pPr>
              <w:jc w:val="center"/>
              <w:rPr>
                <w:rFonts w:cs="Arial"/>
                <w:color w:val="000000"/>
                <w:sz w:val="18"/>
                <w:szCs w:val="16"/>
              </w:rPr>
            </w:pPr>
            <w:r w:rsidRPr="008F68DF">
              <w:rPr>
                <w:rFonts w:cs="Arial"/>
                <w:color w:val="000000"/>
                <w:sz w:val="18"/>
                <w:szCs w:val="16"/>
              </w:rPr>
              <w:t>14,29</w:t>
            </w:r>
          </w:p>
        </w:tc>
        <w:tc>
          <w:tcPr>
            <w:tcW w:w="608" w:type="pct"/>
            <w:tcBorders>
              <w:top w:val="nil"/>
              <w:left w:val="nil"/>
              <w:bottom w:val="nil"/>
              <w:right w:val="single" w:sz="4" w:space="0" w:color="auto"/>
            </w:tcBorders>
            <w:shd w:val="clear" w:color="auto" w:fill="auto"/>
            <w:noWrap/>
            <w:vAlign w:val="center"/>
            <w:hideMark/>
          </w:tcPr>
          <w:p w14:paraId="29D3BB32" w14:textId="77777777" w:rsidR="00617362" w:rsidRPr="008F68DF" w:rsidRDefault="00617362" w:rsidP="008F68DF">
            <w:pPr>
              <w:ind w:hanging="75"/>
              <w:jc w:val="right"/>
              <w:rPr>
                <w:rFonts w:cs="Arial"/>
                <w:color w:val="000000"/>
                <w:sz w:val="18"/>
                <w:szCs w:val="16"/>
              </w:rPr>
            </w:pPr>
            <w:r w:rsidRPr="008F68DF">
              <w:rPr>
                <w:rFonts w:cs="Arial"/>
                <w:color w:val="000000"/>
                <w:sz w:val="18"/>
                <w:szCs w:val="16"/>
              </w:rPr>
              <w:t>223.415</w:t>
            </w:r>
          </w:p>
        </w:tc>
        <w:tc>
          <w:tcPr>
            <w:tcW w:w="451" w:type="pct"/>
            <w:tcBorders>
              <w:top w:val="nil"/>
              <w:left w:val="nil"/>
              <w:bottom w:val="nil"/>
              <w:right w:val="nil"/>
            </w:tcBorders>
            <w:shd w:val="clear" w:color="auto" w:fill="auto"/>
            <w:noWrap/>
            <w:vAlign w:val="center"/>
            <w:hideMark/>
          </w:tcPr>
          <w:p w14:paraId="3AC1279C" w14:textId="77777777" w:rsidR="00617362" w:rsidRPr="008F68DF" w:rsidRDefault="00617362" w:rsidP="00617362">
            <w:pPr>
              <w:jc w:val="center"/>
              <w:rPr>
                <w:rFonts w:cs="Arial"/>
                <w:color w:val="000000"/>
                <w:sz w:val="18"/>
                <w:szCs w:val="16"/>
              </w:rPr>
            </w:pPr>
            <w:r w:rsidRPr="008F68DF">
              <w:rPr>
                <w:rFonts w:cs="Arial"/>
                <w:color w:val="000000"/>
                <w:sz w:val="18"/>
                <w:szCs w:val="16"/>
              </w:rPr>
              <w:t>12,74</w:t>
            </w:r>
          </w:p>
        </w:tc>
      </w:tr>
      <w:tr w:rsidR="00617362" w:rsidRPr="008F68DF" w14:paraId="79FE3D2B" w14:textId="77777777" w:rsidTr="008F68DF">
        <w:trPr>
          <w:trHeight w:val="255"/>
        </w:trPr>
        <w:tc>
          <w:tcPr>
            <w:tcW w:w="2047" w:type="pct"/>
            <w:tcBorders>
              <w:top w:val="nil"/>
              <w:left w:val="nil"/>
              <w:bottom w:val="nil"/>
              <w:right w:val="single" w:sz="4" w:space="0" w:color="auto"/>
            </w:tcBorders>
            <w:shd w:val="clear" w:color="auto" w:fill="auto"/>
            <w:noWrap/>
            <w:vAlign w:val="center"/>
          </w:tcPr>
          <w:p w14:paraId="2A80B979" w14:textId="77777777" w:rsidR="00617362" w:rsidRPr="008F68DF" w:rsidRDefault="00617362" w:rsidP="00617362">
            <w:pPr>
              <w:jc w:val="left"/>
              <w:rPr>
                <w:rFonts w:cs="Arial"/>
                <w:color w:val="333333"/>
                <w:sz w:val="18"/>
                <w:szCs w:val="16"/>
              </w:rPr>
            </w:pPr>
            <w:r w:rsidRPr="008F68DF">
              <w:rPr>
                <w:rFonts w:cs="Arial"/>
                <w:color w:val="333333"/>
                <w:sz w:val="18"/>
                <w:szCs w:val="16"/>
              </w:rPr>
              <w:t>Investimentos e Aplic. Temporárias a LP</w:t>
            </w:r>
          </w:p>
        </w:tc>
        <w:tc>
          <w:tcPr>
            <w:tcW w:w="607" w:type="pct"/>
            <w:tcBorders>
              <w:top w:val="nil"/>
              <w:left w:val="nil"/>
              <w:bottom w:val="nil"/>
              <w:right w:val="single" w:sz="4" w:space="0" w:color="auto"/>
            </w:tcBorders>
            <w:shd w:val="clear" w:color="auto" w:fill="auto"/>
            <w:noWrap/>
            <w:vAlign w:val="center"/>
          </w:tcPr>
          <w:p w14:paraId="275821AA" w14:textId="77777777" w:rsidR="00617362" w:rsidRPr="008F68DF" w:rsidRDefault="00617362" w:rsidP="008F68DF">
            <w:pPr>
              <w:ind w:hanging="75"/>
              <w:jc w:val="right"/>
              <w:rPr>
                <w:rFonts w:cs="Arial"/>
                <w:color w:val="000000"/>
                <w:sz w:val="18"/>
                <w:szCs w:val="16"/>
              </w:rPr>
            </w:pPr>
            <w:r w:rsidRPr="008F68DF">
              <w:rPr>
                <w:rFonts w:cs="Arial"/>
                <w:color w:val="000000"/>
                <w:sz w:val="18"/>
                <w:szCs w:val="16"/>
              </w:rPr>
              <w:t>5</w:t>
            </w:r>
          </w:p>
        </w:tc>
        <w:tc>
          <w:tcPr>
            <w:tcW w:w="378" w:type="pct"/>
            <w:tcBorders>
              <w:top w:val="nil"/>
              <w:left w:val="nil"/>
              <w:bottom w:val="nil"/>
              <w:right w:val="single" w:sz="4" w:space="0" w:color="auto"/>
            </w:tcBorders>
            <w:shd w:val="clear" w:color="auto" w:fill="auto"/>
            <w:noWrap/>
            <w:vAlign w:val="center"/>
          </w:tcPr>
          <w:p w14:paraId="7B102DE7" w14:textId="77777777" w:rsidR="00617362" w:rsidRPr="008F68DF" w:rsidRDefault="00617362" w:rsidP="00617362">
            <w:pPr>
              <w:jc w:val="center"/>
              <w:rPr>
                <w:rFonts w:cs="Arial"/>
                <w:color w:val="000000"/>
                <w:sz w:val="18"/>
                <w:szCs w:val="16"/>
              </w:rPr>
            </w:pPr>
            <w:r w:rsidRPr="008F68DF">
              <w:rPr>
                <w:rFonts w:cs="Arial"/>
                <w:color w:val="000000"/>
                <w:sz w:val="18"/>
                <w:szCs w:val="16"/>
              </w:rPr>
              <w:t>0,00</w:t>
            </w:r>
          </w:p>
        </w:tc>
        <w:tc>
          <w:tcPr>
            <w:tcW w:w="530" w:type="pct"/>
            <w:tcBorders>
              <w:top w:val="nil"/>
              <w:left w:val="nil"/>
              <w:bottom w:val="nil"/>
              <w:right w:val="single" w:sz="4" w:space="0" w:color="auto"/>
            </w:tcBorders>
            <w:shd w:val="clear" w:color="auto" w:fill="auto"/>
            <w:noWrap/>
            <w:vAlign w:val="center"/>
          </w:tcPr>
          <w:p w14:paraId="36BDEB22" w14:textId="77777777" w:rsidR="00617362" w:rsidRPr="008F68DF" w:rsidRDefault="00617362" w:rsidP="008F68DF">
            <w:pPr>
              <w:ind w:hanging="73"/>
              <w:jc w:val="right"/>
              <w:rPr>
                <w:rFonts w:cs="Arial"/>
                <w:color w:val="000000"/>
                <w:sz w:val="18"/>
                <w:szCs w:val="16"/>
              </w:rPr>
            </w:pPr>
            <w:r w:rsidRPr="008F68DF">
              <w:rPr>
                <w:rFonts w:cs="Arial"/>
                <w:color w:val="000000"/>
                <w:sz w:val="18"/>
                <w:szCs w:val="16"/>
              </w:rPr>
              <w:t>5</w:t>
            </w:r>
          </w:p>
        </w:tc>
        <w:tc>
          <w:tcPr>
            <w:tcW w:w="378" w:type="pct"/>
            <w:tcBorders>
              <w:top w:val="nil"/>
              <w:left w:val="nil"/>
              <w:bottom w:val="nil"/>
              <w:right w:val="single" w:sz="4" w:space="0" w:color="auto"/>
            </w:tcBorders>
            <w:shd w:val="clear" w:color="auto" w:fill="auto"/>
            <w:noWrap/>
            <w:vAlign w:val="center"/>
          </w:tcPr>
          <w:p w14:paraId="2EF246B4" w14:textId="77777777" w:rsidR="00617362" w:rsidRPr="008F68DF" w:rsidRDefault="00617362" w:rsidP="00617362">
            <w:pPr>
              <w:jc w:val="center"/>
              <w:rPr>
                <w:rFonts w:cs="Arial"/>
                <w:color w:val="000000"/>
                <w:sz w:val="18"/>
                <w:szCs w:val="16"/>
              </w:rPr>
            </w:pPr>
            <w:r w:rsidRPr="008F68DF">
              <w:rPr>
                <w:rFonts w:cs="Arial"/>
                <w:color w:val="000000"/>
                <w:sz w:val="18"/>
                <w:szCs w:val="16"/>
              </w:rPr>
              <w:t>0,00</w:t>
            </w:r>
          </w:p>
        </w:tc>
        <w:tc>
          <w:tcPr>
            <w:tcW w:w="608" w:type="pct"/>
            <w:tcBorders>
              <w:top w:val="nil"/>
              <w:left w:val="nil"/>
              <w:bottom w:val="nil"/>
              <w:right w:val="single" w:sz="4" w:space="0" w:color="auto"/>
            </w:tcBorders>
            <w:shd w:val="clear" w:color="auto" w:fill="auto"/>
            <w:noWrap/>
            <w:vAlign w:val="center"/>
          </w:tcPr>
          <w:p w14:paraId="1F8F2895" w14:textId="77777777" w:rsidR="00617362" w:rsidRPr="008F68DF" w:rsidRDefault="00617362" w:rsidP="008F68DF">
            <w:pPr>
              <w:ind w:hanging="75"/>
              <w:jc w:val="right"/>
              <w:rPr>
                <w:rFonts w:cs="Arial"/>
                <w:color w:val="000000"/>
                <w:sz w:val="18"/>
                <w:szCs w:val="16"/>
              </w:rPr>
            </w:pPr>
            <w:r w:rsidRPr="008F68DF">
              <w:rPr>
                <w:rFonts w:cs="Arial"/>
                <w:color w:val="000000"/>
                <w:sz w:val="18"/>
                <w:szCs w:val="16"/>
              </w:rPr>
              <w:t>-</w:t>
            </w:r>
          </w:p>
        </w:tc>
        <w:tc>
          <w:tcPr>
            <w:tcW w:w="451" w:type="pct"/>
            <w:tcBorders>
              <w:top w:val="nil"/>
              <w:left w:val="nil"/>
              <w:bottom w:val="nil"/>
              <w:right w:val="nil"/>
            </w:tcBorders>
            <w:shd w:val="clear" w:color="auto" w:fill="auto"/>
            <w:noWrap/>
            <w:vAlign w:val="center"/>
          </w:tcPr>
          <w:p w14:paraId="521490A7" w14:textId="77777777" w:rsidR="00617362" w:rsidRPr="008F68DF" w:rsidRDefault="00617362" w:rsidP="00617362">
            <w:pPr>
              <w:jc w:val="center"/>
              <w:rPr>
                <w:rFonts w:cs="Arial"/>
                <w:color w:val="000000"/>
                <w:sz w:val="18"/>
                <w:szCs w:val="16"/>
              </w:rPr>
            </w:pPr>
            <w:r w:rsidRPr="008F68DF">
              <w:rPr>
                <w:rFonts w:cs="Arial"/>
                <w:color w:val="000000"/>
                <w:sz w:val="18"/>
                <w:szCs w:val="16"/>
              </w:rPr>
              <w:t>-</w:t>
            </w:r>
          </w:p>
        </w:tc>
      </w:tr>
      <w:tr w:rsidR="00617362" w:rsidRPr="008F68DF" w14:paraId="4B6F6A2B" w14:textId="77777777" w:rsidTr="008F68DF">
        <w:trPr>
          <w:trHeight w:val="255"/>
        </w:trPr>
        <w:tc>
          <w:tcPr>
            <w:tcW w:w="2047" w:type="pct"/>
            <w:tcBorders>
              <w:top w:val="nil"/>
              <w:left w:val="nil"/>
              <w:bottom w:val="nil"/>
              <w:right w:val="single" w:sz="4" w:space="0" w:color="auto"/>
            </w:tcBorders>
            <w:shd w:val="clear" w:color="auto" w:fill="auto"/>
            <w:noWrap/>
            <w:vAlign w:val="center"/>
            <w:hideMark/>
          </w:tcPr>
          <w:p w14:paraId="297D870B" w14:textId="77777777" w:rsidR="00617362" w:rsidRPr="008F68DF" w:rsidRDefault="00617362" w:rsidP="00617362">
            <w:pPr>
              <w:jc w:val="left"/>
              <w:rPr>
                <w:rFonts w:cs="Arial"/>
                <w:color w:val="333333"/>
                <w:sz w:val="18"/>
                <w:szCs w:val="16"/>
              </w:rPr>
            </w:pPr>
            <w:r w:rsidRPr="008F68DF">
              <w:rPr>
                <w:rFonts w:cs="Arial"/>
                <w:color w:val="333333"/>
                <w:sz w:val="18"/>
                <w:szCs w:val="16"/>
              </w:rPr>
              <w:t>Estoques</w:t>
            </w:r>
          </w:p>
        </w:tc>
        <w:tc>
          <w:tcPr>
            <w:tcW w:w="607" w:type="pct"/>
            <w:tcBorders>
              <w:top w:val="nil"/>
              <w:left w:val="nil"/>
              <w:bottom w:val="nil"/>
              <w:right w:val="single" w:sz="4" w:space="0" w:color="auto"/>
            </w:tcBorders>
            <w:shd w:val="clear" w:color="auto" w:fill="auto"/>
            <w:noWrap/>
            <w:vAlign w:val="center"/>
            <w:hideMark/>
          </w:tcPr>
          <w:p w14:paraId="4FB2848A" w14:textId="77777777" w:rsidR="00617362" w:rsidRPr="008F68DF" w:rsidRDefault="00617362" w:rsidP="008F68DF">
            <w:pPr>
              <w:ind w:hanging="75"/>
              <w:jc w:val="right"/>
              <w:rPr>
                <w:rFonts w:cs="Arial"/>
                <w:color w:val="000000"/>
                <w:sz w:val="18"/>
                <w:szCs w:val="16"/>
              </w:rPr>
            </w:pPr>
            <w:r w:rsidRPr="008F68DF">
              <w:rPr>
                <w:rFonts w:cs="Arial"/>
                <w:color w:val="000000"/>
                <w:sz w:val="18"/>
                <w:szCs w:val="16"/>
              </w:rPr>
              <w:t>362.864</w:t>
            </w:r>
          </w:p>
        </w:tc>
        <w:tc>
          <w:tcPr>
            <w:tcW w:w="378" w:type="pct"/>
            <w:tcBorders>
              <w:top w:val="nil"/>
              <w:left w:val="nil"/>
              <w:bottom w:val="nil"/>
              <w:right w:val="single" w:sz="4" w:space="0" w:color="auto"/>
            </w:tcBorders>
            <w:shd w:val="clear" w:color="auto" w:fill="auto"/>
            <w:noWrap/>
            <w:vAlign w:val="center"/>
            <w:hideMark/>
          </w:tcPr>
          <w:p w14:paraId="0E939048" w14:textId="77777777" w:rsidR="00617362" w:rsidRPr="008F68DF" w:rsidRDefault="00617362" w:rsidP="00617362">
            <w:pPr>
              <w:jc w:val="center"/>
              <w:rPr>
                <w:rFonts w:cs="Arial"/>
                <w:color w:val="000000"/>
                <w:sz w:val="18"/>
                <w:szCs w:val="16"/>
              </w:rPr>
            </w:pPr>
            <w:r w:rsidRPr="008F68DF">
              <w:rPr>
                <w:rFonts w:cs="Arial"/>
                <w:color w:val="000000"/>
                <w:sz w:val="18"/>
                <w:szCs w:val="16"/>
              </w:rPr>
              <w:t>0,29</w:t>
            </w:r>
          </w:p>
        </w:tc>
        <w:tc>
          <w:tcPr>
            <w:tcW w:w="530" w:type="pct"/>
            <w:tcBorders>
              <w:top w:val="nil"/>
              <w:left w:val="nil"/>
              <w:bottom w:val="nil"/>
              <w:right w:val="single" w:sz="4" w:space="0" w:color="auto"/>
            </w:tcBorders>
            <w:shd w:val="clear" w:color="auto" w:fill="auto"/>
            <w:noWrap/>
            <w:vAlign w:val="center"/>
            <w:hideMark/>
          </w:tcPr>
          <w:p w14:paraId="4E12CE15" w14:textId="77777777" w:rsidR="00617362" w:rsidRPr="008F68DF" w:rsidRDefault="00617362" w:rsidP="008F68DF">
            <w:pPr>
              <w:ind w:hanging="73"/>
              <w:jc w:val="right"/>
              <w:rPr>
                <w:rFonts w:cs="Arial"/>
                <w:color w:val="000000"/>
                <w:sz w:val="18"/>
                <w:szCs w:val="16"/>
              </w:rPr>
            </w:pPr>
            <w:r w:rsidRPr="008F68DF">
              <w:rPr>
                <w:rFonts w:cs="Arial"/>
                <w:color w:val="000000"/>
                <w:sz w:val="18"/>
                <w:szCs w:val="16"/>
              </w:rPr>
              <w:t>112.967</w:t>
            </w:r>
          </w:p>
        </w:tc>
        <w:tc>
          <w:tcPr>
            <w:tcW w:w="378" w:type="pct"/>
            <w:tcBorders>
              <w:top w:val="nil"/>
              <w:left w:val="nil"/>
              <w:bottom w:val="nil"/>
              <w:right w:val="single" w:sz="4" w:space="0" w:color="auto"/>
            </w:tcBorders>
            <w:shd w:val="clear" w:color="auto" w:fill="auto"/>
            <w:noWrap/>
            <w:vAlign w:val="center"/>
            <w:hideMark/>
          </w:tcPr>
          <w:p w14:paraId="4278D0BF" w14:textId="77777777" w:rsidR="00617362" w:rsidRPr="008F68DF" w:rsidRDefault="00617362" w:rsidP="00617362">
            <w:pPr>
              <w:jc w:val="center"/>
              <w:rPr>
                <w:rFonts w:cs="Arial"/>
                <w:color w:val="000000"/>
                <w:sz w:val="18"/>
                <w:szCs w:val="16"/>
              </w:rPr>
            </w:pPr>
            <w:r w:rsidRPr="008F68DF">
              <w:rPr>
                <w:rFonts w:cs="Arial"/>
                <w:color w:val="000000"/>
                <w:sz w:val="18"/>
                <w:szCs w:val="16"/>
              </w:rPr>
              <w:t>0,92</w:t>
            </w:r>
          </w:p>
        </w:tc>
        <w:tc>
          <w:tcPr>
            <w:tcW w:w="608" w:type="pct"/>
            <w:tcBorders>
              <w:top w:val="nil"/>
              <w:left w:val="nil"/>
              <w:bottom w:val="nil"/>
              <w:right w:val="single" w:sz="4" w:space="0" w:color="auto"/>
            </w:tcBorders>
            <w:shd w:val="clear" w:color="auto" w:fill="auto"/>
            <w:noWrap/>
            <w:vAlign w:val="center"/>
            <w:hideMark/>
          </w:tcPr>
          <w:p w14:paraId="2FED166A" w14:textId="77777777" w:rsidR="00617362" w:rsidRPr="008F68DF" w:rsidRDefault="00617362" w:rsidP="008F68DF">
            <w:pPr>
              <w:ind w:hanging="75"/>
              <w:jc w:val="right"/>
              <w:rPr>
                <w:rFonts w:cs="Arial"/>
                <w:color w:val="000000"/>
                <w:sz w:val="18"/>
                <w:szCs w:val="16"/>
              </w:rPr>
            </w:pPr>
            <w:r w:rsidRPr="008F68DF">
              <w:rPr>
                <w:rFonts w:cs="Arial"/>
                <w:color w:val="000000"/>
                <w:sz w:val="18"/>
                <w:szCs w:val="16"/>
              </w:rPr>
              <w:t>249.897</w:t>
            </w:r>
          </w:p>
        </w:tc>
        <w:tc>
          <w:tcPr>
            <w:tcW w:w="451" w:type="pct"/>
            <w:tcBorders>
              <w:top w:val="nil"/>
              <w:left w:val="nil"/>
              <w:bottom w:val="nil"/>
              <w:right w:val="nil"/>
            </w:tcBorders>
            <w:shd w:val="clear" w:color="auto" w:fill="auto"/>
            <w:noWrap/>
            <w:vAlign w:val="center"/>
            <w:hideMark/>
          </w:tcPr>
          <w:p w14:paraId="3581B0FB" w14:textId="77777777" w:rsidR="00617362" w:rsidRPr="008F68DF" w:rsidRDefault="00617362" w:rsidP="00617362">
            <w:pPr>
              <w:jc w:val="center"/>
              <w:rPr>
                <w:rFonts w:cs="Arial"/>
                <w:color w:val="000000"/>
                <w:sz w:val="18"/>
                <w:szCs w:val="16"/>
              </w:rPr>
            </w:pPr>
            <w:r w:rsidRPr="008F68DF">
              <w:rPr>
                <w:rFonts w:cs="Arial"/>
                <w:color w:val="000000"/>
                <w:sz w:val="18"/>
                <w:szCs w:val="16"/>
              </w:rPr>
              <w:t>221,21</w:t>
            </w:r>
          </w:p>
        </w:tc>
      </w:tr>
      <w:tr w:rsidR="00617362" w:rsidRPr="008F68DF" w14:paraId="685E3293" w14:textId="77777777" w:rsidTr="008F68DF">
        <w:trPr>
          <w:trHeight w:val="255"/>
        </w:trPr>
        <w:tc>
          <w:tcPr>
            <w:tcW w:w="2047" w:type="pct"/>
            <w:tcBorders>
              <w:top w:val="single" w:sz="4" w:space="0" w:color="auto"/>
              <w:left w:val="nil"/>
              <w:bottom w:val="single" w:sz="4" w:space="0" w:color="auto"/>
              <w:right w:val="single" w:sz="4" w:space="0" w:color="auto"/>
            </w:tcBorders>
            <w:shd w:val="clear" w:color="auto" w:fill="auto"/>
            <w:noWrap/>
            <w:vAlign w:val="center"/>
          </w:tcPr>
          <w:p w14:paraId="0C48DD6C" w14:textId="77777777" w:rsidR="00617362" w:rsidRPr="008F68DF" w:rsidRDefault="00617362" w:rsidP="00617362">
            <w:pPr>
              <w:jc w:val="center"/>
              <w:rPr>
                <w:rFonts w:cs="Arial"/>
                <w:b/>
                <w:color w:val="333333"/>
                <w:sz w:val="18"/>
                <w:szCs w:val="16"/>
              </w:rPr>
            </w:pPr>
            <w:r w:rsidRPr="008F68DF">
              <w:rPr>
                <w:rFonts w:cs="Arial"/>
                <w:b/>
                <w:color w:val="333333"/>
                <w:sz w:val="18"/>
                <w:szCs w:val="16"/>
              </w:rPr>
              <w:t>Total</w:t>
            </w:r>
          </w:p>
        </w:tc>
        <w:tc>
          <w:tcPr>
            <w:tcW w:w="607" w:type="pct"/>
            <w:tcBorders>
              <w:top w:val="single" w:sz="4" w:space="0" w:color="auto"/>
              <w:left w:val="nil"/>
              <w:bottom w:val="single" w:sz="4" w:space="0" w:color="auto"/>
              <w:right w:val="single" w:sz="4" w:space="0" w:color="auto"/>
            </w:tcBorders>
            <w:shd w:val="clear" w:color="auto" w:fill="auto"/>
            <w:noWrap/>
            <w:vAlign w:val="center"/>
          </w:tcPr>
          <w:p w14:paraId="62633DFE" w14:textId="77777777" w:rsidR="00617362" w:rsidRPr="008F68DF" w:rsidRDefault="00617362" w:rsidP="008F68DF">
            <w:pPr>
              <w:ind w:hanging="75"/>
              <w:jc w:val="right"/>
              <w:rPr>
                <w:rFonts w:cs="Arial"/>
                <w:b/>
                <w:color w:val="000000"/>
                <w:sz w:val="18"/>
                <w:szCs w:val="16"/>
              </w:rPr>
            </w:pPr>
            <w:r w:rsidRPr="008F68DF">
              <w:rPr>
                <w:rFonts w:cs="Arial"/>
                <w:b/>
                <w:color w:val="000000"/>
                <w:sz w:val="18"/>
                <w:szCs w:val="16"/>
              </w:rPr>
              <w:t>124.378.762</w:t>
            </w:r>
          </w:p>
        </w:tc>
        <w:tc>
          <w:tcPr>
            <w:tcW w:w="378" w:type="pct"/>
            <w:tcBorders>
              <w:top w:val="single" w:sz="4" w:space="0" w:color="auto"/>
              <w:left w:val="nil"/>
              <w:bottom w:val="single" w:sz="4" w:space="0" w:color="auto"/>
              <w:right w:val="single" w:sz="4" w:space="0" w:color="auto"/>
            </w:tcBorders>
            <w:shd w:val="clear" w:color="auto" w:fill="auto"/>
            <w:noWrap/>
            <w:vAlign w:val="center"/>
          </w:tcPr>
          <w:p w14:paraId="144E173D" w14:textId="77777777" w:rsidR="00617362" w:rsidRPr="008F68DF" w:rsidRDefault="00617362" w:rsidP="00617362">
            <w:pPr>
              <w:ind w:hanging="73"/>
              <w:jc w:val="center"/>
              <w:rPr>
                <w:rFonts w:cs="Arial"/>
                <w:b/>
                <w:color w:val="000000"/>
                <w:sz w:val="18"/>
                <w:szCs w:val="16"/>
              </w:rPr>
            </w:pPr>
            <w:r w:rsidRPr="008F68DF">
              <w:rPr>
                <w:rFonts w:cs="Arial"/>
                <w:b/>
                <w:color w:val="000000"/>
                <w:sz w:val="18"/>
                <w:szCs w:val="16"/>
              </w:rPr>
              <w:t>100,00</w:t>
            </w:r>
          </w:p>
        </w:tc>
        <w:tc>
          <w:tcPr>
            <w:tcW w:w="530" w:type="pct"/>
            <w:tcBorders>
              <w:top w:val="single" w:sz="4" w:space="0" w:color="auto"/>
              <w:left w:val="nil"/>
              <w:bottom w:val="single" w:sz="4" w:space="0" w:color="auto"/>
              <w:right w:val="single" w:sz="4" w:space="0" w:color="auto"/>
            </w:tcBorders>
            <w:shd w:val="clear" w:color="auto" w:fill="auto"/>
            <w:noWrap/>
            <w:vAlign w:val="center"/>
          </w:tcPr>
          <w:p w14:paraId="12DE2A19" w14:textId="77777777" w:rsidR="00617362" w:rsidRPr="008F68DF" w:rsidRDefault="00617362" w:rsidP="008F68DF">
            <w:pPr>
              <w:ind w:hanging="73"/>
              <w:jc w:val="right"/>
              <w:rPr>
                <w:rFonts w:cs="Arial"/>
                <w:b/>
                <w:color w:val="000000"/>
                <w:sz w:val="18"/>
                <w:szCs w:val="16"/>
              </w:rPr>
            </w:pPr>
            <w:r w:rsidRPr="008F68DF">
              <w:rPr>
                <w:rFonts w:cs="Arial"/>
                <w:b/>
                <w:color w:val="000000"/>
                <w:sz w:val="18"/>
                <w:szCs w:val="16"/>
              </w:rPr>
              <w:t>12.274.676</w:t>
            </w:r>
          </w:p>
        </w:tc>
        <w:tc>
          <w:tcPr>
            <w:tcW w:w="378" w:type="pct"/>
            <w:tcBorders>
              <w:top w:val="single" w:sz="4" w:space="0" w:color="auto"/>
              <w:left w:val="nil"/>
              <w:bottom w:val="single" w:sz="4" w:space="0" w:color="auto"/>
              <w:right w:val="single" w:sz="4" w:space="0" w:color="auto"/>
            </w:tcBorders>
            <w:shd w:val="clear" w:color="auto" w:fill="auto"/>
            <w:noWrap/>
            <w:vAlign w:val="center"/>
          </w:tcPr>
          <w:p w14:paraId="7001B7A1" w14:textId="77777777" w:rsidR="00617362" w:rsidRPr="008F68DF" w:rsidRDefault="00617362" w:rsidP="00617362">
            <w:pPr>
              <w:jc w:val="center"/>
              <w:rPr>
                <w:rFonts w:cs="Arial"/>
                <w:b/>
                <w:color w:val="000000"/>
                <w:sz w:val="18"/>
                <w:szCs w:val="16"/>
              </w:rPr>
            </w:pPr>
            <w:r w:rsidRPr="008F68DF">
              <w:rPr>
                <w:rFonts w:cs="Arial"/>
                <w:b/>
                <w:color w:val="000000"/>
                <w:sz w:val="18"/>
                <w:szCs w:val="16"/>
              </w:rPr>
              <w:t>100,00</w:t>
            </w:r>
          </w:p>
        </w:tc>
        <w:tc>
          <w:tcPr>
            <w:tcW w:w="608" w:type="pct"/>
            <w:tcBorders>
              <w:top w:val="single" w:sz="4" w:space="0" w:color="auto"/>
              <w:left w:val="nil"/>
              <w:bottom w:val="single" w:sz="4" w:space="0" w:color="auto"/>
              <w:right w:val="single" w:sz="4" w:space="0" w:color="auto"/>
            </w:tcBorders>
            <w:shd w:val="clear" w:color="auto" w:fill="auto"/>
            <w:noWrap/>
            <w:vAlign w:val="center"/>
          </w:tcPr>
          <w:p w14:paraId="0CEE7E52" w14:textId="77777777" w:rsidR="00617362" w:rsidRPr="008F68DF" w:rsidRDefault="00617362" w:rsidP="008F68DF">
            <w:pPr>
              <w:ind w:hanging="75"/>
              <w:jc w:val="right"/>
              <w:rPr>
                <w:rFonts w:cs="Arial"/>
                <w:b/>
                <w:color w:val="000000"/>
                <w:sz w:val="18"/>
                <w:szCs w:val="16"/>
              </w:rPr>
            </w:pPr>
            <w:r w:rsidRPr="008F68DF">
              <w:rPr>
                <w:rFonts w:cs="Arial"/>
                <w:b/>
                <w:color w:val="000000"/>
                <w:sz w:val="18"/>
                <w:szCs w:val="16"/>
              </w:rPr>
              <w:t>112.104.086</w:t>
            </w:r>
          </w:p>
        </w:tc>
        <w:tc>
          <w:tcPr>
            <w:tcW w:w="451" w:type="pct"/>
            <w:tcBorders>
              <w:top w:val="single" w:sz="4" w:space="0" w:color="auto"/>
              <w:left w:val="nil"/>
              <w:bottom w:val="single" w:sz="4" w:space="0" w:color="auto"/>
              <w:right w:val="nil"/>
            </w:tcBorders>
            <w:shd w:val="clear" w:color="auto" w:fill="auto"/>
            <w:noWrap/>
            <w:vAlign w:val="center"/>
          </w:tcPr>
          <w:p w14:paraId="3470D9BF" w14:textId="77777777" w:rsidR="00617362" w:rsidRPr="008F68DF" w:rsidRDefault="00617362" w:rsidP="00617362">
            <w:pPr>
              <w:jc w:val="center"/>
              <w:rPr>
                <w:rFonts w:cs="Arial"/>
                <w:b/>
                <w:color w:val="000000"/>
                <w:sz w:val="18"/>
                <w:szCs w:val="16"/>
              </w:rPr>
            </w:pPr>
            <w:r w:rsidRPr="008F68DF">
              <w:rPr>
                <w:rFonts w:cs="Arial"/>
                <w:b/>
                <w:color w:val="000000"/>
                <w:sz w:val="18"/>
                <w:szCs w:val="16"/>
              </w:rPr>
              <w:t>913,30</w:t>
            </w:r>
          </w:p>
        </w:tc>
      </w:tr>
    </w:tbl>
    <w:p w14:paraId="00C72878" w14:textId="77777777" w:rsidR="00617362" w:rsidRDefault="00617362" w:rsidP="00EF01A1">
      <w:pPr>
        <w:pStyle w:val="1-FONTE8ESQ"/>
      </w:pPr>
      <w:r>
        <w:t xml:space="preserve">Fonte: </w:t>
      </w:r>
      <w:r w:rsidRPr="00C9564B">
        <w:rPr>
          <w:i/>
        </w:rPr>
        <w:t>Business Objects</w:t>
      </w:r>
    </w:p>
    <w:p w14:paraId="736828C1" w14:textId="77777777" w:rsidR="00617362" w:rsidRDefault="00617362" w:rsidP="00617362">
      <w:pPr>
        <w:pStyle w:val="1-REL11"/>
      </w:pPr>
      <w:bookmarkStart w:id="412" w:name="_Hlk167354796"/>
      <w:r>
        <w:t xml:space="preserve">Dentre as contas que integraram esse subgrupo, as mais relevantes foram: Créditos a Longo Prazo, com saldo de R$ 122,03 bilhões em 2023, o que corresponde a 98,12% do total do subgrupo e Demais </w:t>
      </w:r>
      <w:r w:rsidRPr="00D20456">
        <w:t>Créditos</w:t>
      </w:r>
      <w:r>
        <w:t xml:space="preserve"> e Valores a Longo Prazo, com saldo de R$ 1,98 bilhão no exercício e 1,59% de participação no Ativo Realizável a Longo Prazo.</w:t>
      </w:r>
    </w:p>
    <w:bookmarkEnd w:id="412"/>
    <w:p w14:paraId="7DF077E9" w14:textId="77777777" w:rsidR="00617362" w:rsidRDefault="00617362" w:rsidP="00617362">
      <w:pPr>
        <w:pStyle w:val="1-REL11"/>
      </w:pPr>
      <w:r>
        <w:t xml:space="preserve">Quanto aos Créditos a Longo Prazo, foi evidenciado um </w:t>
      </w:r>
      <w:r w:rsidRPr="00EC428E">
        <w:t xml:space="preserve">significativo </w:t>
      </w:r>
      <w:r>
        <w:t xml:space="preserve">acréscimo nos saldos das contas em 2023, de R$ 111,63 bilhões, o que representa um aumento de 1072,52% em relação a 2022. Essa conta é composta por </w:t>
      </w:r>
      <w:r w:rsidRPr="00E635EE">
        <w:t>Dívida Ativa de Longo Prazo e Créditos Previdenciários do RPPS</w:t>
      </w:r>
      <w:r>
        <w:t>.</w:t>
      </w:r>
    </w:p>
    <w:p w14:paraId="0D351E82" w14:textId="77777777" w:rsidR="00617362" w:rsidRDefault="00617362" w:rsidP="00617362">
      <w:pPr>
        <w:pStyle w:val="1-REL11"/>
      </w:pPr>
      <w:bookmarkStart w:id="413" w:name="_Hlk167354850"/>
      <w:r>
        <w:t xml:space="preserve">Em relação à Dívida Ativa de Longo Prazo, notou-se uma redução de 31,90% em relação a 2022 e saldo líquido, após a dedução de ajustes de perdas de crédito a longo prazo, de R$ 7,08 bilhões em 2023. Já os Créditos Previdenciários do RPPS, instituídos em 2023, totalizaram R$ 114,95 bilhões em 2023, o que representou 94,19% dos Créditos a Longo Prazo e 45,78% </w:t>
      </w:r>
      <w:r>
        <w:lastRenderedPageBreak/>
        <w:t>do Ativo Total</w:t>
      </w:r>
      <w:bookmarkEnd w:id="413"/>
      <w:r>
        <w:t xml:space="preserve">. </w:t>
      </w:r>
      <w:bookmarkStart w:id="414" w:name="_Hlk167354946"/>
      <w:r>
        <w:t>Destaca-se que o registro dos créditos previdenciários do RPSS a receber advém do valor atual dos aportes para cobertura do déficit atuarial de benefícios concedidos e a conceder e foi realizado em observância ao IPC nº 14 da STN</w:t>
      </w:r>
      <w:bookmarkEnd w:id="414"/>
      <w:r>
        <w:t>, conforme BGE de 2023</w:t>
      </w:r>
      <w:r w:rsidRPr="009A21C7">
        <w:t>.</w:t>
      </w:r>
      <w:r>
        <w:t xml:space="preserve"> </w:t>
      </w:r>
      <w:r w:rsidRPr="009A21C7">
        <w:t>O</w:t>
      </w:r>
      <w:r>
        <w:t>s</w:t>
      </w:r>
      <w:r w:rsidRPr="009A21C7">
        <w:t xml:space="preserve"> assunto</w:t>
      </w:r>
      <w:r>
        <w:t>s levantados</w:t>
      </w:r>
      <w:r w:rsidRPr="009A21C7">
        <w:t xml:space="preserve"> ser</w:t>
      </w:r>
      <w:r>
        <w:t>ão tratados</w:t>
      </w:r>
      <w:r w:rsidRPr="009A21C7">
        <w:t xml:space="preserve"> em tópico</w:t>
      </w:r>
      <w:r>
        <w:t>s</w:t>
      </w:r>
      <w:r w:rsidRPr="009A21C7">
        <w:t xml:space="preserve"> específico</w:t>
      </w:r>
      <w:r>
        <w:t>s</w:t>
      </w:r>
      <w:r w:rsidRPr="009A21C7">
        <w:t>.</w:t>
      </w:r>
    </w:p>
    <w:p w14:paraId="49E01441" w14:textId="77777777" w:rsidR="00617362" w:rsidRDefault="00617362" w:rsidP="00617362">
      <w:pPr>
        <w:pStyle w:val="1-REL11"/>
      </w:pPr>
      <w:r>
        <w:t>Sobre a conta Demais Créditos e Valores a Longo Prazo, que apresentou um aumento de 12,74% em relação ao ano anterior, é relevante salientar que a concentração dos saldos está em Outros Créditos a Receber e Valores a Longo Prazo – créditos a receber de entidades estaduais e créditos a receber apurados pelos órgãos e entidades.</w:t>
      </w:r>
    </w:p>
    <w:p w14:paraId="3475CFD7" w14:textId="77777777" w:rsidR="00617362" w:rsidRDefault="00617362" w:rsidP="00617362">
      <w:pPr>
        <w:pStyle w:val="1-REL11"/>
      </w:pPr>
      <w:r>
        <w:t>Referente a variação do saldo, em relação a 2022, destaca-se a r</w:t>
      </w:r>
      <w:r w:rsidRPr="00C866F0">
        <w:t>eclassificação</w:t>
      </w:r>
      <w:r w:rsidRPr="004E74A6">
        <w:t xml:space="preserve"> de circulante para não circulante</w:t>
      </w:r>
      <w:r>
        <w:t xml:space="preserve"> </w:t>
      </w:r>
      <w:r w:rsidRPr="00C866F0">
        <w:t>do direito a receber devido</w:t>
      </w:r>
      <w:r>
        <w:t xml:space="preserve"> </w:t>
      </w:r>
      <w:r w:rsidRPr="00C866F0">
        <w:t xml:space="preserve">ao </w:t>
      </w:r>
      <w:r>
        <w:t>e</w:t>
      </w:r>
      <w:r w:rsidRPr="00C866F0">
        <w:t xml:space="preserve">stado de Goiás pela </w:t>
      </w:r>
      <w:r>
        <w:t>Empresa Estadual de Processamento de Dados de Goiás (</w:t>
      </w:r>
      <w:r w:rsidRPr="00C866F0">
        <w:t>Prodago</w:t>
      </w:r>
      <w:r>
        <w:t xml:space="preserve"> - em liquidação)</w:t>
      </w:r>
      <w:r w:rsidRPr="00C866F0">
        <w:t xml:space="preserve"> no montante de R$</w:t>
      </w:r>
      <w:r>
        <w:t xml:space="preserve">  </w:t>
      </w:r>
      <w:r w:rsidRPr="00C866F0">
        <w:t>223</w:t>
      </w:r>
      <w:r>
        <w:t>,</w:t>
      </w:r>
      <w:r w:rsidRPr="00C866F0">
        <w:t>13</w:t>
      </w:r>
      <w:r>
        <w:t> milhões</w:t>
      </w:r>
      <w:r w:rsidRPr="00C866F0">
        <w:t xml:space="preserve">, tendo em vista </w:t>
      </w:r>
      <w:r>
        <w:t xml:space="preserve">o diferimento da dívida junto ao Estado, que permanecerá sendo discutida </w:t>
      </w:r>
      <w:r w:rsidRPr="006A32FA">
        <w:t>visando a saída mais eficiente do ponto de vista econômico, a fim de não onerar ainda mais o passivo da empresa</w:t>
      </w:r>
      <w:r w:rsidRPr="00C866F0">
        <w:t>, conforme Despacho nº</w:t>
      </w:r>
      <w:r>
        <w:t> </w:t>
      </w:r>
      <w:r w:rsidRPr="00C866F0">
        <w:t>37/2023/SEAD/DELE (202000003003685).</w:t>
      </w:r>
    </w:p>
    <w:p w14:paraId="26B336DC" w14:textId="77777777" w:rsidR="00617362" w:rsidRPr="003C10F1" w:rsidRDefault="00617362" w:rsidP="00117967">
      <w:pPr>
        <w:pStyle w:val="Ttulo4"/>
      </w:pPr>
      <w:r w:rsidRPr="003C10F1">
        <w:t>Dívida Ativa</w:t>
      </w:r>
    </w:p>
    <w:p w14:paraId="444C61E6" w14:textId="77777777" w:rsidR="00617362" w:rsidRDefault="00617362" w:rsidP="00617362">
      <w:pPr>
        <w:pStyle w:val="1-REL11"/>
      </w:pPr>
      <w:r w:rsidRPr="003C10F1">
        <w:t>O registro da dívida ativa tem função de evidenciar a arrecadação e o estoque de créditos em favor da Fazenda Pública que se tornaram exigíveis após vencido o prazo de pagamento. Tais créditos, depois de apurados como líquidos e certos, são inscritos em dívida ativa do Estado. Portanto, trata-se de uma potencial fonte de fluxo de caixa.</w:t>
      </w:r>
    </w:p>
    <w:p w14:paraId="41549570" w14:textId="77777777" w:rsidR="00617362" w:rsidRPr="002E35F6" w:rsidRDefault="00617362" w:rsidP="00617362">
      <w:pPr>
        <w:pStyle w:val="1-REL11"/>
      </w:pPr>
      <w:r w:rsidRPr="002E35F6">
        <w:t>Ademais, a dívida ativa se distingue, quanto à origem, em Tributária, que é relativa a tributos e respectivos adicionais e multas, e em Não Tributária, proveniente dos demais créditos da Fazenda Pública.</w:t>
      </w:r>
    </w:p>
    <w:p w14:paraId="64F5BE34" w14:textId="77777777" w:rsidR="00617362" w:rsidRPr="004E00DA" w:rsidRDefault="00617362" w:rsidP="00617362">
      <w:pPr>
        <w:pStyle w:val="1-REL11"/>
      </w:pPr>
      <w:r w:rsidRPr="004E00DA">
        <w:t>Estes créditos devem ser registrados inicialmente como dívida ativa de longo prazo, tendo em vista que o inadimplemento torna incerto o prazo para realização do crédito. Contudo, caso o ente tenha condições de estimar com razoável certeza o montante de créditos inscritos em dívida ativa com expectativa de recebimento em até 12 meses da data das demonstrações contábeis,</w:t>
      </w:r>
      <w:r w:rsidRPr="00225863">
        <w:rPr>
          <w:highlight w:val="yellow"/>
        </w:rPr>
        <w:t xml:space="preserve"> </w:t>
      </w:r>
      <w:r w:rsidRPr="004E00DA">
        <w:t>esta parcela poderá ser reclassificada para o Ativo Circulante, por exemplo, nos casos de parcelamento ou renegociação da dívida ativa onde são fixados datas e valores para recebimentos futuros.</w:t>
      </w:r>
    </w:p>
    <w:p w14:paraId="428ECCE6" w14:textId="77777777" w:rsidR="00617362" w:rsidRDefault="00617362" w:rsidP="00617362">
      <w:pPr>
        <w:pStyle w:val="1-REL11"/>
      </w:pPr>
      <w:r w:rsidRPr="004E00DA">
        <w:t xml:space="preserve">A movimentação do saldo da conta ocorre, por acréscimo, através da inscrição de novos créditos, como também pela atualização monetária, juros, multas e outros encargos moratórios sobre os créditos já inscritos em dívida ativa. Quanto à redução de saldo, poderá ocorrer pelas baixas, normalmente pelos recebimentos, abatimentos, remissões, anistias, cancelamentos ou compensação de créditos, como também pelo ajuste </w:t>
      </w:r>
      <w:r>
        <w:t>de</w:t>
      </w:r>
      <w:r w:rsidRPr="004E00DA">
        <w:t xml:space="preserve"> perdas da dívida ativa em função da significativa probabilidade de não </w:t>
      </w:r>
      <w:r w:rsidRPr="002E35F6">
        <w:t>realização do direito de receber de tais valores.</w:t>
      </w:r>
    </w:p>
    <w:p w14:paraId="7B575EA1" w14:textId="77777777" w:rsidR="00617362" w:rsidRDefault="00617362" w:rsidP="00617362">
      <w:pPr>
        <w:pStyle w:val="Ttulo5"/>
      </w:pPr>
      <w:r>
        <w:lastRenderedPageBreak/>
        <w:t>Ajuste de Perdas de Dívida Ativa</w:t>
      </w:r>
    </w:p>
    <w:p w14:paraId="61D646D7" w14:textId="77777777" w:rsidR="00617362" w:rsidRDefault="00617362" w:rsidP="00617362">
      <w:pPr>
        <w:pStyle w:val="1-REL11"/>
      </w:pPr>
      <w:r>
        <w:t>Em relação aos ajustes para perdas da dívida ativa, o item 5.2.5. do MCASP (9ª Edição) não define metodologia para cálculo, todavia estabelece que esta deve ser fundamentada em estudos especializados que delineiem e qualifiquem os créditos inscritos, de modo a não superestimar e nem subavaliar o patrimônio real do ente público. Nesse sentido, por meio da Nota Técnica nº 4/2021 – SRC</w:t>
      </w:r>
      <w:r>
        <w:rPr>
          <w:rStyle w:val="Refdenotaderodap"/>
        </w:rPr>
        <w:footnoteReference w:id="23"/>
      </w:r>
      <w:r>
        <w:t xml:space="preserve"> da Superintendência de Recuperação de Créditos (SRC), o estado de Goiás definiu a metodologia a ser aplicada.</w:t>
      </w:r>
    </w:p>
    <w:p w14:paraId="746885C9" w14:textId="77777777" w:rsidR="00617362" w:rsidRDefault="00617362" w:rsidP="00617362">
      <w:pPr>
        <w:pStyle w:val="1-REL11"/>
      </w:pPr>
      <w:r>
        <w:t xml:space="preserve">A metodologia estabelecida considera 7 dimensões inerentes ao Processo Administrativo Tributário (PAT), quais sejam: a) a </w:t>
      </w:r>
      <w:r w:rsidRPr="00FC7AAD">
        <w:t xml:space="preserve">faixa de valor do </w:t>
      </w:r>
      <w:r>
        <w:t xml:space="preserve">PAT na data de geração do relatório, b) o </w:t>
      </w:r>
      <w:r w:rsidRPr="00FC7AAD">
        <w:t>tipo de exigibilidade</w:t>
      </w:r>
      <w:r>
        <w:t xml:space="preserve">, ICMS, ITCD, IPVA e Pena Pecuniária, c) a </w:t>
      </w:r>
      <w:r w:rsidRPr="00FC7AAD">
        <w:t>idade do auto de infração</w:t>
      </w:r>
      <w:r>
        <w:t xml:space="preserve">, d) a </w:t>
      </w:r>
      <w:r w:rsidRPr="00FC7AAD">
        <w:t>situação cadastral</w:t>
      </w:r>
      <w:r>
        <w:t xml:space="preserve"> do contribuinte, e) o </w:t>
      </w:r>
      <w:r w:rsidRPr="00FC7AAD">
        <w:t xml:space="preserve">status </w:t>
      </w:r>
      <w:r>
        <w:t xml:space="preserve">de </w:t>
      </w:r>
      <w:r w:rsidRPr="00FC7AAD">
        <w:t>ajuizamento</w:t>
      </w:r>
      <w:r>
        <w:t xml:space="preserve">, se incluído ou não em execução fiscal, f) a </w:t>
      </w:r>
      <w:r w:rsidRPr="00FC7AAD">
        <w:t>faixa de valor da dívida</w:t>
      </w:r>
      <w:r>
        <w:t xml:space="preserve">, razão entre o débito e a média de faturamento do contribuinte, e g) a </w:t>
      </w:r>
      <w:r w:rsidRPr="00FC7AAD">
        <w:t>solidariedade</w:t>
      </w:r>
      <w:r>
        <w:t>, ou seja, se o processo possui sujeito passivo coobrigado.</w:t>
      </w:r>
    </w:p>
    <w:p w14:paraId="68E16E7F" w14:textId="77777777" w:rsidR="00617362" w:rsidRPr="002E35F6" w:rsidRDefault="00617362" w:rsidP="00617362">
      <w:pPr>
        <w:pStyle w:val="1-REL11"/>
      </w:pPr>
      <w:r>
        <w:t>Por conseguinte, para o cálculo da probabilidade de recebimento e consequente mensuração dos ajustes para perdas da dívida ativa, ainda são aplicados pesos e notas para cada uma das dimensões, conforme estabelecido na Nota Técnica nº 4/2021 – SRC.</w:t>
      </w:r>
    </w:p>
    <w:p w14:paraId="2B58EF5B" w14:textId="77777777" w:rsidR="00617362" w:rsidRPr="004E00DA" w:rsidRDefault="00617362" w:rsidP="00617362">
      <w:pPr>
        <w:pStyle w:val="1-REL11"/>
      </w:pPr>
      <w:r w:rsidRPr="004E00DA">
        <w:t>Os dados de 202</w:t>
      </w:r>
      <w:r>
        <w:t>3</w:t>
      </w:r>
      <w:r w:rsidRPr="004E00DA">
        <w:t>, contidos no BP, apresentaram a seguinte composição:</w:t>
      </w:r>
    </w:p>
    <w:p w14:paraId="0DE33B25" w14:textId="047681DE" w:rsidR="00617362" w:rsidRPr="004E00DA" w:rsidRDefault="00617362" w:rsidP="00ED3571">
      <w:pPr>
        <w:pStyle w:val="0-TABELA"/>
      </w:pPr>
      <w:bookmarkStart w:id="415" w:name="_Toc135332531"/>
      <w:bookmarkStart w:id="416" w:name="_Ref165979139"/>
      <w:bookmarkStart w:id="417" w:name="_Toc167871818"/>
      <w:r w:rsidRPr="004E00DA">
        <w:t>Dívida Ativa</w:t>
      </w:r>
      <w:bookmarkEnd w:id="415"/>
      <w:bookmarkEnd w:id="416"/>
      <w:r w:rsidR="001C4542">
        <w:t xml:space="preserve"> </w:t>
      </w:r>
      <w:r w:rsidR="001C4542" w:rsidRPr="00D67E49">
        <w:t>– 2023 x 2022</w:t>
      </w:r>
      <w:bookmarkEnd w:id="417"/>
    </w:p>
    <w:p w14:paraId="6160C00C" w14:textId="77777777" w:rsidR="00617362" w:rsidRPr="000F7BD9" w:rsidRDefault="00617362" w:rsidP="00617362">
      <w:pPr>
        <w:pStyle w:val="0-EmR1"/>
      </w:pPr>
      <w:r w:rsidRPr="000F7BD9">
        <w:t>R$ 1</w:t>
      </w:r>
    </w:p>
    <w:tbl>
      <w:tblPr>
        <w:tblW w:w="5000" w:type="pct"/>
        <w:tblCellMar>
          <w:left w:w="70" w:type="dxa"/>
          <w:right w:w="70" w:type="dxa"/>
        </w:tblCellMar>
        <w:tblLook w:val="04A0" w:firstRow="1" w:lastRow="0" w:firstColumn="1" w:lastColumn="0" w:noHBand="0" w:noVBand="1"/>
      </w:tblPr>
      <w:tblGrid>
        <w:gridCol w:w="3622"/>
        <w:gridCol w:w="1685"/>
        <w:gridCol w:w="1684"/>
        <w:gridCol w:w="1571"/>
        <w:gridCol w:w="791"/>
      </w:tblGrid>
      <w:tr w:rsidR="001C4542" w:rsidRPr="000F7BD9" w14:paraId="54FACAEC" w14:textId="77777777" w:rsidTr="00EF01A1">
        <w:trPr>
          <w:trHeight w:val="300"/>
          <w:tblHeader/>
        </w:trPr>
        <w:tc>
          <w:tcPr>
            <w:tcW w:w="1936" w:type="pct"/>
            <w:vMerge w:val="restart"/>
            <w:tcBorders>
              <w:top w:val="single" w:sz="4" w:space="0" w:color="auto"/>
              <w:left w:val="nil"/>
              <w:right w:val="single" w:sz="4" w:space="0" w:color="auto"/>
            </w:tcBorders>
            <w:shd w:val="clear" w:color="000000" w:fill="A1F2FD"/>
            <w:noWrap/>
            <w:vAlign w:val="center"/>
            <w:hideMark/>
          </w:tcPr>
          <w:p w14:paraId="57B482BF" w14:textId="77777777" w:rsidR="001C4542" w:rsidRPr="000F7BD9" w:rsidRDefault="001C4542" w:rsidP="00617362">
            <w:pPr>
              <w:jc w:val="center"/>
              <w:rPr>
                <w:rFonts w:cs="Arial"/>
                <w:b/>
                <w:bCs/>
                <w:color w:val="000000"/>
                <w:sz w:val="18"/>
                <w:szCs w:val="18"/>
              </w:rPr>
            </w:pPr>
            <w:r w:rsidRPr="000F7BD9">
              <w:rPr>
                <w:rFonts w:cs="Arial"/>
                <w:b/>
                <w:bCs/>
                <w:color w:val="000000"/>
                <w:sz w:val="18"/>
                <w:szCs w:val="18"/>
              </w:rPr>
              <w:t>Composição</w:t>
            </w:r>
          </w:p>
        </w:tc>
        <w:tc>
          <w:tcPr>
            <w:tcW w:w="901" w:type="pct"/>
            <w:vMerge w:val="restart"/>
            <w:tcBorders>
              <w:top w:val="single" w:sz="4" w:space="0" w:color="auto"/>
              <w:left w:val="single" w:sz="4" w:space="0" w:color="auto"/>
              <w:bottom w:val="single" w:sz="4" w:space="0" w:color="000000"/>
              <w:right w:val="single" w:sz="4" w:space="0" w:color="auto"/>
            </w:tcBorders>
            <w:shd w:val="clear" w:color="000000" w:fill="A1F2FD"/>
            <w:noWrap/>
            <w:vAlign w:val="center"/>
            <w:hideMark/>
          </w:tcPr>
          <w:p w14:paraId="4308B2ED" w14:textId="77777777" w:rsidR="001C4542" w:rsidRPr="000F7BD9" w:rsidRDefault="001C4542" w:rsidP="00617362">
            <w:pPr>
              <w:jc w:val="center"/>
              <w:rPr>
                <w:rFonts w:cs="Arial"/>
                <w:b/>
                <w:bCs/>
                <w:color w:val="000000"/>
                <w:sz w:val="18"/>
                <w:szCs w:val="18"/>
              </w:rPr>
            </w:pPr>
            <w:r w:rsidRPr="000F7BD9">
              <w:rPr>
                <w:rFonts w:cs="Arial"/>
                <w:b/>
                <w:bCs/>
                <w:color w:val="000000"/>
                <w:sz w:val="18"/>
                <w:szCs w:val="18"/>
              </w:rPr>
              <w:t>2023</w:t>
            </w:r>
          </w:p>
        </w:tc>
        <w:tc>
          <w:tcPr>
            <w:tcW w:w="900" w:type="pct"/>
            <w:vMerge w:val="restart"/>
            <w:tcBorders>
              <w:top w:val="single" w:sz="4" w:space="0" w:color="auto"/>
              <w:left w:val="single" w:sz="4" w:space="0" w:color="auto"/>
              <w:bottom w:val="single" w:sz="4" w:space="0" w:color="000000"/>
              <w:right w:val="single" w:sz="4" w:space="0" w:color="auto"/>
            </w:tcBorders>
            <w:shd w:val="clear" w:color="000000" w:fill="A1F2FD"/>
            <w:noWrap/>
            <w:vAlign w:val="center"/>
            <w:hideMark/>
          </w:tcPr>
          <w:p w14:paraId="3FC50A43" w14:textId="77777777" w:rsidR="001C4542" w:rsidRPr="000F7BD9" w:rsidRDefault="001C4542" w:rsidP="00617362">
            <w:pPr>
              <w:jc w:val="center"/>
              <w:rPr>
                <w:rFonts w:cs="Arial"/>
                <w:b/>
                <w:bCs/>
                <w:color w:val="000000"/>
                <w:sz w:val="18"/>
                <w:szCs w:val="18"/>
              </w:rPr>
            </w:pPr>
            <w:r w:rsidRPr="000F7BD9">
              <w:rPr>
                <w:rFonts w:cs="Arial"/>
                <w:b/>
                <w:bCs/>
                <w:color w:val="000000"/>
                <w:sz w:val="18"/>
                <w:szCs w:val="18"/>
              </w:rPr>
              <w:t>2022</w:t>
            </w:r>
          </w:p>
        </w:tc>
        <w:tc>
          <w:tcPr>
            <w:tcW w:w="1263" w:type="pct"/>
            <w:gridSpan w:val="2"/>
            <w:tcBorders>
              <w:top w:val="single" w:sz="4" w:space="0" w:color="auto"/>
              <w:left w:val="nil"/>
              <w:bottom w:val="single" w:sz="4" w:space="0" w:color="auto"/>
              <w:right w:val="nil"/>
            </w:tcBorders>
            <w:shd w:val="clear" w:color="000000" w:fill="A1F2FD"/>
            <w:noWrap/>
            <w:vAlign w:val="center"/>
            <w:hideMark/>
          </w:tcPr>
          <w:p w14:paraId="05276FDB" w14:textId="77777777" w:rsidR="001C4542" w:rsidRPr="000F7BD9" w:rsidRDefault="001C4542" w:rsidP="00617362">
            <w:pPr>
              <w:jc w:val="center"/>
              <w:rPr>
                <w:rFonts w:cs="Arial"/>
                <w:b/>
                <w:bCs/>
                <w:color w:val="000000"/>
                <w:sz w:val="18"/>
                <w:szCs w:val="18"/>
              </w:rPr>
            </w:pPr>
            <w:r>
              <w:rPr>
                <w:rFonts w:cs="Arial"/>
                <w:b/>
                <w:bCs/>
                <w:color w:val="000000"/>
                <w:sz w:val="18"/>
                <w:szCs w:val="18"/>
              </w:rPr>
              <w:t>∆</w:t>
            </w:r>
            <w:r w:rsidRPr="000F7BD9">
              <w:rPr>
                <w:rFonts w:cs="Arial"/>
                <w:b/>
                <w:bCs/>
                <w:color w:val="000000"/>
                <w:sz w:val="18"/>
                <w:szCs w:val="18"/>
              </w:rPr>
              <w:t xml:space="preserve"> 2023 x 2022</w:t>
            </w:r>
          </w:p>
        </w:tc>
      </w:tr>
      <w:tr w:rsidR="001C4542" w:rsidRPr="000F7BD9" w14:paraId="0D571619" w14:textId="77777777" w:rsidTr="00EF01A1">
        <w:trPr>
          <w:trHeight w:val="255"/>
          <w:tblHeader/>
        </w:trPr>
        <w:tc>
          <w:tcPr>
            <w:tcW w:w="1936" w:type="pct"/>
            <w:vMerge/>
            <w:tcBorders>
              <w:left w:val="nil"/>
              <w:right w:val="single" w:sz="4" w:space="0" w:color="auto"/>
            </w:tcBorders>
            <w:vAlign w:val="center"/>
            <w:hideMark/>
          </w:tcPr>
          <w:p w14:paraId="34479993" w14:textId="77777777" w:rsidR="001C4542" w:rsidRPr="000F7BD9" w:rsidRDefault="001C4542" w:rsidP="00617362">
            <w:pPr>
              <w:jc w:val="left"/>
              <w:rPr>
                <w:rFonts w:cs="Arial"/>
                <w:b/>
                <w:bCs/>
                <w:color w:val="000000"/>
                <w:sz w:val="18"/>
                <w:szCs w:val="18"/>
              </w:rPr>
            </w:pPr>
          </w:p>
        </w:tc>
        <w:tc>
          <w:tcPr>
            <w:tcW w:w="901" w:type="pct"/>
            <w:vMerge/>
            <w:tcBorders>
              <w:top w:val="single" w:sz="4" w:space="0" w:color="auto"/>
              <w:left w:val="single" w:sz="4" w:space="0" w:color="auto"/>
              <w:right w:val="single" w:sz="4" w:space="0" w:color="auto"/>
            </w:tcBorders>
            <w:vAlign w:val="center"/>
            <w:hideMark/>
          </w:tcPr>
          <w:p w14:paraId="39DB6E13" w14:textId="77777777" w:rsidR="001C4542" w:rsidRPr="000F7BD9" w:rsidRDefault="001C4542" w:rsidP="00617362">
            <w:pPr>
              <w:jc w:val="left"/>
              <w:rPr>
                <w:rFonts w:cs="Arial"/>
                <w:b/>
                <w:bCs/>
                <w:color w:val="000000"/>
                <w:sz w:val="18"/>
                <w:szCs w:val="18"/>
              </w:rPr>
            </w:pPr>
          </w:p>
        </w:tc>
        <w:tc>
          <w:tcPr>
            <w:tcW w:w="900" w:type="pct"/>
            <w:vMerge/>
            <w:tcBorders>
              <w:top w:val="single" w:sz="4" w:space="0" w:color="auto"/>
              <w:left w:val="single" w:sz="4" w:space="0" w:color="auto"/>
              <w:right w:val="single" w:sz="4" w:space="0" w:color="auto"/>
            </w:tcBorders>
            <w:vAlign w:val="center"/>
            <w:hideMark/>
          </w:tcPr>
          <w:p w14:paraId="321AA84B" w14:textId="77777777" w:rsidR="001C4542" w:rsidRPr="000F7BD9" w:rsidRDefault="001C4542" w:rsidP="00617362">
            <w:pPr>
              <w:jc w:val="left"/>
              <w:rPr>
                <w:rFonts w:cs="Arial"/>
                <w:b/>
                <w:bCs/>
                <w:color w:val="000000"/>
                <w:sz w:val="18"/>
                <w:szCs w:val="18"/>
              </w:rPr>
            </w:pPr>
          </w:p>
        </w:tc>
        <w:tc>
          <w:tcPr>
            <w:tcW w:w="840" w:type="pct"/>
            <w:tcBorders>
              <w:top w:val="nil"/>
              <w:left w:val="nil"/>
              <w:right w:val="single" w:sz="4" w:space="0" w:color="auto"/>
            </w:tcBorders>
            <w:shd w:val="clear" w:color="000000" w:fill="A1F2FD"/>
            <w:noWrap/>
            <w:vAlign w:val="center"/>
            <w:hideMark/>
          </w:tcPr>
          <w:p w14:paraId="43B71379" w14:textId="77777777" w:rsidR="001C4542" w:rsidRPr="000F7BD9" w:rsidRDefault="001C4542" w:rsidP="00617362">
            <w:pPr>
              <w:jc w:val="center"/>
              <w:rPr>
                <w:rFonts w:cs="Arial"/>
                <w:b/>
                <w:bCs/>
                <w:color w:val="000000"/>
                <w:sz w:val="18"/>
                <w:szCs w:val="18"/>
              </w:rPr>
            </w:pPr>
            <w:r w:rsidRPr="000F7BD9">
              <w:rPr>
                <w:rFonts w:cs="Arial"/>
                <w:b/>
                <w:bCs/>
                <w:color w:val="000000"/>
                <w:sz w:val="18"/>
                <w:szCs w:val="18"/>
              </w:rPr>
              <w:t>R$</w:t>
            </w:r>
          </w:p>
        </w:tc>
        <w:tc>
          <w:tcPr>
            <w:tcW w:w="423" w:type="pct"/>
            <w:tcBorders>
              <w:top w:val="nil"/>
              <w:left w:val="nil"/>
              <w:right w:val="nil"/>
            </w:tcBorders>
            <w:shd w:val="clear" w:color="000000" w:fill="A1F2FD"/>
            <w:vAlign w:val="center"/>
            <w:hideMark/>
          </w:tcPr>
          <w:p w14:paraId="6172D4B5" w14:textId="77777777" w:rsidR="001C4542" w:rsidRPr="000F7BD9" w:rsidRDefault="001C4542" w:rsidP="00617362">
            <w:pPr>
              <w:jc w:val="center"/>
              <w:rPr>
                <w:rFonts w:cs="Arial"/>
                <w:b/>
                <w:bCs/>
                <w:color w:val="000000"/>
                <w:sz w:val="18"/>
                <w:szCs w:val="18"/>
              </w:rPr>
            </w:pPr>
            <w:r w:rsidRPr="000F7BD9">
              <w:rPr>
                <w:rFonts w:cs="Arial"/>
                <w:b/>
                <w:bCs/>
                <w:color w:val="000000"/>
                <w:sz w:val="18"/>
                <w:szCs w:val="18"/>
              </w:rPr>
              <w:t>%</w:t>
            </w:r>
          </w:p>
        </w:tc>
      </w:tr>
      <w:tr w:rsidR="001C4542" w:rsidRPr="000F7BD9" w14:paraId="72208F40" w14:textId="77777777" w:rsidTr="00EF01A1">
        <w:trPr>
          <w:trHeight w:val="255"/>
          <w:tblHeader/>
        </w:trPr>
        <w:tc>
          <w:tcPr>
            <w:tcW w:w="1936" w:type="pct"/>
            <w:vMerge/>
            <w:tcBorders>
              <w:left w:val="nil"/>
              <w:bottom w:val="single" w:sz="4" w:space="0" w:color="000000"/>
              <w:right w:val="single" w:sz="4" w:space="0" w:color="auto"/>
            </w:tcBorders>
            <w:shd w:val="clear" w:color="auto" w:fill="A1F2FD"/>
            <w:vAlign w:val="center"/>
          </w:tcPr>
          <w:p w14:paraId="4B1DFB40" w14:textId="77777777" w:rsidR="001C4542" w:rsidRPr="000F7BD9" w:rsidRDefault="001C4542" w:rsidP="001C4542">
            <w:pPr>
              <w:jc w:val="left"/>
              <w:rPr>
                <w:rFonts w:cs="Arial"/>
                <w:b/>
                <w:bCs/>
                <w:color w:val="000000"/>
                <w:sz w:val="18"/>
                <w:szCs w:val="18"/>
              </w:rPr>
            </w:pPr>
          </w:p>
        </w:tc>
        <w:tc>
          <w:tcPr>
            <w:tcW w:w="901" w:type="pct"/>
            <w:tcBorders>
              <w:left w:val="single" w:sz="4" w:space="0" w:color="auto"/>
              <w:bottom w:val="single" w:sz="4" w:space="0" w:color="000000"/>
              <w:right w:val="single" w:sz="4" w:space="0" w:color="auto"/>
            </w:tcBorders>
            <w:shd w:val="clear" w:color="auto" w:fill="A1F2FD"/>
            <w:vAlign w:val="center"/>
          </w:tcPr>
          <w:p w14:paraId="583C97EC" w14:textId="19186F91" w:rsidR="001C4542" w:rsidRPr="000F7BD9" w:rsidRDefault="001C4542" w:rsidP="001C4542">
            <w:pPr>
              <w:jc w:val="center"/>
              <w:rPr>
                <w:rFonts w:cs="Arial"/>
                <w:b/>
                <w:bCs/>
                <w:color w:val="000000"/>
                <w:sz w:val="18"/>
                <w:szCs w:val="18"/>
              </w:rPr>
            </w:pPr>
            <w:r>
              <w:rPr>
                <w:rFonts w:cs="Arial"/>
                <w:b/>
                <w:bCs/>
                <w:color w:val="000000"/>
              </w:rPr>
              <w:t>(a)</w:t>
            </w:r>
          </w:p>
        </w:tc>
        <w:tc>
          <w:tcPr>
            <w:tcW w:w="900" w:type="pct"/>
            <w:tcBorders>
              <w:left w:val="single" w:sz="4" w:space="0" w:color="auto"/>
              <w:bottom w:val="single" w:sz="4" w:space="0" w:color="000000"/>
              <w:right w:val="single" w:sz="4" w:space="0" w:color="auto"/>
            </w:tcBorders>
            <w:shd w:val="clear" w:color="auto" w:fill="A1F2FD"/>
            <w:vAlign w:val="center"/>
          </w:tcPr>
          <w:p w14:paraId="279D1220" w14:textId="597CC6D8" w:rsidR="001C4542" w:rsidRPr="000F7BD9" w:rsidRDefault="001C4542" w:rsidP="001C4542">
            <w:pPr>
              <w:jc w:val="center"/>
              <w:rPr>
                <w:rFonts w:cs="Arial"/>
                <w:b/>
                <w:bCs/>
                <w:color w:val="000000"/>
                <w:sz w:val="18"/>
                <w:szCs w:val="18"/>
              </w:rPr>
            </w:pPr>
            <w:r>
              <w:rPr>
                <w:rFonts w:cs="Arial"/>
                <w:b/>
                <w:bCs/>
                <w:color w:val="000000"/>
              </w:rPr>
              <w:t>(b)</w:t>
            </w:r>
          </w:p>
        </w:tc>
        <w:tc>
          <w:tcPr>
            <w:tcW w:w="840" w:type="pct"/>
            <w:tcBorders>
              <w:left w:val="nil"/>
              <w:bottom w:val="single" w:sz="4" w:space="0" w:color="auto"/>
              <w:right w:val="single" w:sz="4" w:space="0" w:color="auto"/>
            </w:tcBorders>
            <w:shd w:val="clear" w:color="auto" w:fill="A1F2FD"/>
            <w:noWrap/>
            <w:vAlign w:val="center"/>
          </w:tcPr>
          <w:p w14:paraId="4FCD23D9" w14:textId="2A48AF9A" w:rsidR="001C4542" w:rsidRPr="000F7BD9" w:rsidRDefault="001C4542" w:rsidP="001C4542">
            <w:pPr>
              <w:jc w:val="center"/>
              <w:rPr>
                <w:rFonts w:cs="Arial"/>
                <w:b/>
                <w:bCs/>
                <w:color w:val="000000"/>
                <w:sz w:val="18"/>
                <w:szCs w:val="18"/>
              </w:rPr>
            </w:pPr>
            <w:r w:rsidRPr="00D75414">
              <w:rPr>
                <w:rFonts w:cs="Arial"/>
                <w:b/>
                <w:bCs/>
                <w:color w:val="000000"/>
              </w:rPr>
              <w:t>(c) = (</w:t>
            </w:r>
            <w:r>
              <w:rPr>
                <w:rFonts w:cs="Arial"/>
                <w:b/>
                <w:bCs/>
                <w:color w:val="000000"/>
              </w:rPr>
              <w:t>a-b</w:t>
            </w:r>
            <w:r w:rsidRPr="00D75414">
              <w:rPr>
                <w:rFonts w:cs="Arial"/>
                <w:b/>
                <w:bCs/>
                <w:color w:val="000000"/>
              </w:rPr>
              <w:t>)</w:t>
            </w:r>
          </w:p>
        </w:tc>
        <w:tc>
          <w:tcPr>
            <w:tcW w:w="423" w:type="pct"/>
            <w:tcBorders>
              <w:left w:val="nil"/>
              <w:bottom w:val="single" w:sz="4" w:space="0" w:color="auto"/>
              <w:right w:val="nil"/>
            </w:tcBorders>
            <w:shd w:val="clear" w:color="auto" w:fill="A1F2FD"/>
            <w:vAlign w:val="center"/>
          </w:tcPr>
          <w:p w14:paraId="0BE52DF4" w14:textId="05CCC8C7" w:rsidR="001C4542" w:rsidRPr="000F7BD9" w:rsidRDefault="008022D1" w:rsidP="001C4542">
            <w:pPr>
              <w:jc w:val="center"/>
              <w:rPr>
                <w:rFonts w:cs="Arial"/>
                <w:b/>
                <w:bCs/>
                <w:color w:val="000000"/>
                <w:sz w:val="18"/>
                <w:szCs w:val="18"/>
              </w:rPr>
            </w:pPr>
            <w:r>
              <w:rPr>
                <w:rFonts w:cs="Arial"/>
                <w:b/>
                <w:bCs/>
                <w:color w:val="000000"/>
                <w:sz w:val="18"/>
                <w:szCs w:val="18"/>
              </w:rPr>
              <w:t xml:space="preserve">(d) = </w:t>
            </w:r>
            <w:r w:rsidRPr="004C6EF5">
              <w:rPr>
                <w:rFonts w:cs="Arial"/>
                <w:b/>
                <w:bCs/>
                <w:color w:val="000000"/>
                <w:sz w:val="18"/>
                <w:szCs w:val="18"/>
              </w:rPr>
              <w:t>(</w:t>
            </w:r>
            <w:r>
              <w:rPr>
                <w:rFonts w:cs="Arial"/>
                <w:b/>
                <w:bCs/>
                <w:color w:val="000000"/>
                <w:sz w:val="18"/>
                <w:szCs w:val="18"/>
              </w:rPr>
              <w:t>c/b</w:t>
            </w:r>
            <w:r w:rsidRPr="004C6EF5">
              <w:rPr>
                <w:rFonts w:cs="Arial"/>
                <w:b/>
                <w:bCs/>
                <w:color w:val="000000"/>
                <w:sz w:val="18"/>
                <w:szCs w:val="18"/>
              </w:rPr>
              <w:t>)</w:t>
            </w:r>
          </w:p>
        </w:tc>
      </w:tr>
      <w:tr w:rsidR="00617362" w:rsidRPr="000F7BD9" w14:paraId="3ED6BE99" w14:textId="77777777" w:rsidTr="001C4542">
        <w:trPr>
          <w:trHeight w:val="255"/>
          <w:tblHeader/>
        </w:trPr>
        <w:tc>
          <w:tcPr>
            <w:tcW w:w="1936" w:type="pct"/>
            <w:tcBorders>
              <w:top w:val="nil"/>
              <w:left w:val="nil"/>
              <w:bottom w:val="nil"/>
              <w:right w:val="single" w:sz="4" w:space="0" w:color="auto"/>
            </w:tcBorders>
            <w:shd w:val="clear" w:color="auto" w:fill="auto"/>
            <w:noWrap/>
            <w:vAlign w:val="center"/>
            <w:hideMark/>
          </w:tcPr>
          <w:p w14:paraId="60F77799" w14:textId="77777777" w:rsidR="00617362" w:rsidRPr="000F7BD9" w:rsidRDefault="00617362" w:rsidP="00617362">
            <w:pPr>
              <w:jc w:val="left"/>
              <w:rPr>
                <w:rFonts w:cs="Arial"/>
                <w:color w:val="000000"/>
                <w:sz w:val="18"/>
                <w:szCs w:val="18"/>
              </w:rPr>
            </w:pPr>
            <w:r w:rsidRPr="000F7BD9">
              <w:rPr>
                <w:rFonts w:cs="Arial"/>
                <w:color w:val="000000"/>
                <w:sz w:val="18"/>
                <w:szCs w:val="18"/>
              </w:rPr>
              <w:t>Dívida Ativa - Tributária</w:t>
            </w:r>
          </w:p>
        </w:tc>
        <w:tc>
          <w:tcPr>
            <w:tcW w:w="901" w:type="pct"/>
            <w:tcBorders>
              <w:top w:val="nil"/>
              <w:left w:val="nil"/>
              <w:bottom w:val="nil"/>
              <w:right w:val="single" w:sz="4" w:space="0" w:color="auto"/>
            </w:tcBorders>
            <w:shd w:val="clear" w:color="auto" w:fill="auto"/>
            <w:noWrap/>
            <w:vAlign w:val="center"/>
            <w:hideMark/>
          </w:tcPr>
          <w:p w14:paraId="10B42378" w14:textId="77777777" w:rsidR="00617362" w:rsidRPr="000F7BD9" w:rsidRDefault="00617362" w:rsidP="00617362">
            <w:pPr>
              <w:jc w:val="right"/>
              <w:rPr>
                <w:rFonts w:cs="Arial"/>
                <w:color w:val="000000"/>
                <w:sz w:val="18"/>
                <w:szCs w:val="18"/>
              </w:rPr>
            </w:pPr>
            <w:r w:rsidRPr="000F7BD9">
              <w:rPr>
                <w:rFonts w:cs="Arial"/>
                <w:color w:val="000000"/>
                <w:sz w:val="18"/>
                <w:szCs w:val="18"/>
              </w:rPr>
              <w:t>59.573.207.248</w:t>
            </w:r>
          </w:p>
        </w:tc>
        <w:tc>
          <w:tcPr>
            <w:tcW w:w="900" w:type="pct"/>
            <w:tcBorders>
              <w:top w:val="nil"/>
              <w:left w:val="nil"/>
              <w:bottom w:val="nil"/>
              <w:right w:val="single" w:sz="4" w:space="0" w:color="auto"/>
            </w:tcBorders>
            <w:shd w:val="clear" w:color="auto" w:fill="auto"/>
            <w:noWrap/>
            <w:vAlign w:val="center"/>
            <w:hideMark/>
          </w:tcPr>
          <w:p w14:paraId="69C161DF" w14:textId="77777777" w:rsidR="00617362" w:rsidRPr="000F7BD9" w:rsidRDefault="00617362" w:rsidP="00617362">
            <w:pPr>
              <w:jc w:val="right"/>
              <w:rPr>
                <w:rFonts w:cs="Arial"/>
                <w:color w:val="000000"/>
                <w:sz w:val="18"/>
                <w:szCs w:val="18"/>
              </w:rPr>
            </w:pPr>
            <w:r w:rsidRPr="000F7BD9">
              <w:rPr>
                <w:rFonts w:cs="Arial"/>
                <w:color w:val="000000"/>
                <w:sz w:val="18"/>
                <w:szCs w:val="18"/>
              </w:rPr>
              <w:t>66.773.223.788</w:t>
            </w:r>
          </w:p>
        </w:tc>
        <w:tc>
          <w:tcPr>
            <w:tcW w:w="840" w:type="pct"/>
            <w:tcBorders>
              <w:top w:val="nil"/>
              <w:left w:val="nil"/>
              <w:bottom w:val="nil"/>
              <w:right w:val="single" w:sz="4" w:space="0" w:color="auto"/>
            </w:tcBorders>
            <w:shd w:val="clear" w:color="auto" w:fill="auto"/>
            <w:noWrap/>
            <w:vAlign w:val="center"/>
            <w:hideMark/>
          </w:tcPr>
          <w:p w14:paraId="3AD49974" w14:textId="77777777" w:rsidR="00617362" w:rsidRPr="000F7BD9" w:rsidRDefault="00617362" w:rsidP="00617362">
            <w:pPr>
              <w:jc w:val="right"/>
              <w:rPr>
                <w:rFonts w:cs="Arial"/>
                <w:color w:val="000000"/>
                <w:sz w:val="18"/>
                <w:szCs w:val="18"/>
              </w:rPr>
            </w:pPr>
            <w:r w:rsidRPr="000F7BD9">
              <w:rPr>
                <w:rFonts w:cs="Arial"/>
                <w:color w:val="FF0000"/>
                <w:sz w:val="18"/>
                <w:szCs w:val="18"/>
              </w:rPr>
              <w:t>(7.200.016.540)</w:t>
            </w:r>
          </w:p>
        </w:tc>
        <w:tc>
          <w:tcPr>
            <w:tcW w:w="423" w:type="pct"/>
            <w:tcBorders>
              <w:top w:val="nil"/>
              <w:left w:val="nil"/>
              <w:bottom w:val="nil"/>
              <w:right w:val="nil"/>
            </w:tcBorders>
            <w:shd w:val="clear" w:color="auto" w:fill="auto"/>
            <w:noWrap/>
            <w:vAlign w:val="center"/>
            <w:hideMark/>
          </w:tcPr>
          <w:p w14:paraId="090FD122" w14:textId="77777777" w:rsidR="00617362" w:rsidRPr="000F7BD9" w:rsidRDefault="00617362" w:rsidP="00617362">
            <w:pPr>
              <w:jc w:val="center"/>
              <w:rPr>
                <w:rFonts w:cs="Arial"/>
                <w:color w:val="000000"/>
                <w:sz w:val="18"/>
                <w:szCs w:val="18"/>
              </w:rPr>
            </w:pPr>
            <w:r w:rsidRPr="000F7BD9">
              <w:rPr>
                <w:rFonts w:cs="Arial"/>
                <w:color w:val="FF0000"/>
                <w:sz w:val="18"/>
                <w:szCs w:val="18"/>
              </w:rPr>
              <w:t>(10,78)</w:t>
            </w:r>
          </w:p>
        </w:tc>
      </w:tr>
      <w:tr w:rsidR="00617362" w:rsidRPr="000F7BD9" w14:paraId="405920D8" w14:textId="77777777" w:rsidTr="001C4542">
        <w:trPr>
          <w:trHeight w:val="255"/>
          <w:tblHeader/>
        </w:trPr>
        <w:tc>
          <w:tcPr>
            <w:tcW w:w="1936" w:type="pct"/>
            <w:tcBorders>
              <w:top w:val="nil"/>
              <w:left w:val="nil"/>
              <w:bottom w:val="nil"/>
              <w:right w:val="single" w:sz="4" w:space="0" w:color="auto"/>
            </w:tcBorders>
            <w:shd w:val="clear" w:color="auto" w:fill="auto"/>
            <w:noWrap/>
            <w:vAlign w:val="center"/>
            <w:hideMark/>
          </w:tcPr>
          <w:p w14:paraId="4F5AC4BB" w14:textId="77777777" w:rsidR="00617362" w:rsidRPr="000F7BD9" w:rsidRDefault="00617362" w:rsidP="00617362">
            <w:pPr>
              <w:jc w:val="left"/>
              <w:rPr>
                <w:rFonts w:cs="Arial"/>
                <w:color w:val="000000"/>
                <w:sz w:val="18"/>
                <w:szCs w:val="18"/>
              </w:rPr>
            </w:pPr>
            <w:r w:rsidRPr="000F7BD9">
              <w:rPr>
                <w:rFonts w:cs="Arial"/>
                <w:color w:val="000000"/>
                <w:sz w:val="18"/>
                <w:szCs w:val="18"/>
              </w:rPr>
              <w:t>Dívida Ativa - Não Tributária</w:t>
            </w:r>
          </w:p>
        </w:tc>
        <w:tc>
          <w:tcPr>
            <w:tcW w:w="901" w:type="pct"/>
            <w:tcBorders>
              <w:top w:val="nil"/>
              <w:left w:val="nil"/>
              <w:bottom w:val="nil"/>
              <w:right w:val="single" w:sz="4" w:space="0" w:color="auto"/>
            </w:tcBorders>
            <w:shd w:val="clear" w:color="auto" w:fill="auto"/>
            <w:noWrap/>
            <w:vAlign w:val="center"/>
            <w:hideMark/>
          </w:tcPr>
          <w:p w14:paraId="683A08E8" w14:textId="77777777" w:rsidR="00617362" w:rsidRPr="000F7BD9" w:rsidRDefault="00617362" w:rsidP="00617362">
            <w:pPr>
              <w:jc w:val="right"/>
              <w:rPr>
                <w:rFonts w:cs="Arial"/>
                <w:color w:val="000000"/>
                <w:sz w:val="18"/>
                <w:szCs w:val="18"/>
              </w:rPr>
            </w:pPr>
            <w:r w:rsidRPr="000F7BD9">
              <w:rPr>
                <w:rFonts w:cs="Arial"/>
                <w:color w:val="000000"/>
                <w:sz w:val="18"/>
                <w:szCs w:val="18"/>
              </w:rPr>
              <w:t>550.803.966</w:t>
            </w:r>
          </w:p>
        </w:tc>
        <w:tc>
          <w:tcPr>
            <w:tcW w:w="900" w:type="pct"/>
            <w:tcBorders>
              <w:top w:val="nil"/>
              <w:left w:val="nil"/>
              <w:bottom w:val="nil"/>
              <w:right w:val="single" w:sz="4" w:space="0" w:color="auto"/>
            </w:tcBorders>
            <w:shd w:val="clear" w:color="auto" w:fill="auto"/>
            <w:noWrap/>
            <w:vAlign w:val="center"/>
            <w:hideMark/>
          </w:tcPr>
          <w:p w14:paraId="1574975B" w14:textId="77777777" w:rsidR="00617362" w:rsidRPr="000F7BD9" w:rsidRDefault="00617362" w:rsidP="00617362">
            <w:pPr>
              <w:jc w:val="right"/>
              <w:rPr>
                <w:rFonts w:cs="Arial"/>
                <w:color w:val="000000"/>
                <w:sz w:val="18"/>
                <w:szCs w:val="18"/>
              </w:rPr>
            </w:pPr>
            <w:r w:rsidRPr="000F7BD9">
              <w:rPr>
                <w:rFonts w:cs="Arial"/>
                <w:color w:val="000000"/>
                <w:sz w:val="18"/>
                <w:szCs w:val="18"/>
              </w:rPr>
              <w:t>491.792.244</w:t>
            </w:r>
          </w:p>
        </w:tc>
        <w:tc>
          <w:tcPr>
            <w:tcW w:w="840" w:type="pct"/>
            <w:tcBorders>
              <w:top w:val="nil"/>
              <w:left w:val="nil"/>
              <w:bottom w:val="nil"/>
              <w:right w:val="single" w:sz="4" w:space="0" w:color="auto"/>
            </w:tcBorders>
            <w:shd w:val="clear" w:color="auto" w:fill="auto"/>
            <w:noWrap/>
            <w:vAlign w:val="center"/>
            <w:hideMark/>
          </w:tcPr>
          <w:p w14:paraId="34DF4731" w14:textId="77777777" w:rsidR="00617362" w:rsidRPr="000F7BD9" w:rsidRDefault="00617362" w:rsidP="00617362">
            <w:pPr>
              <w:jc w:val="right"/>
              <w:rPr>
                <w:rFonts w:cs="Arial"/>
                <w:color w:val="000000"/>
                <w:sz w:val="18"/>
                <w:szCs w:val="18"/>
              </w:rPr>
            </w:pPr>
            <w:r w:rsidRPr="000F7BD9">
              <w:rPr>
                <w:rFonts w:cs="Arial"/>
                <w:color w:val="000000"/>
                <w:sz w:val="18"/>
                <w:szCs w:val="18"/>
              </w:rPr>
              <w:t>59.011.722</w:t>
            </w:r>
          </w:p>
        </w:tc>
        <w:tc>
          <w:tcPr>
            <w:tcW w:w="423" w:type="pct"/>
            <w:tcBorders>
              <w:top w:val="nil"/>
              <w:left w:val="nil"/>
              <w:bottom w:val="nil"/>
              <w:right w:val="nil"/>
            </w:tcBorders>
            <w:shd w:val="clear" w:color="auto" w:fill="auto"/>
            <w:noWrap/>
            <w:vAlign w:val="center"/>
            <w:hideMark/>
          </w:tcPr>
          <w:p w14:paraId="74BAE110" w14:textId="77777777" w:rsidR="00617362" w:rsidRPr="000F7BD9" w:rsidRDefault="00617362" w:rsidP="00617362">
            <w:pPr>
              <w:jc w:val="center"/>
              <w:rPr>
                <w:rFonts w:cs="Arial"/>
                <w:color w:val="000000"/>
                <w:sz w:val="18"/>
                <w:szCs w:val="18"/>
              </w:rPr>
            </w:pPr>
            <w:r w:rsidRPr="000F7BD9">
              <w:rPr>
                <w:rFonts w:cs="Arial"/>
                <w:color w:val="000000"/>
                <w:sz w:val="18"/>
                <w:szCs w:val="18"/>
              </w:rPr>
              <w:t>12,00</w:t>
            </w:r>
          </w:p>
        </w:tc>
      </w:tr>
      <w:tr w:rsidR="00617362" w:rsidRPr="000F7BD9" w14:paraId="618174F8" w14:textId="77777777" w:rsidTr="001C4542">
        <w:trPr>
          <w:trHeight w:val="255"/>
          <w:tblHeader/>
        </w:trPr>
        <w:tc>
          <w:tcPr>
            <w:tcW w:w="1936" w:type="pct"/>
            <w:tcBorders>
              <w:top w:val="nil"/>
              <w:left w:val="nil"/>
              <w:bottom w:val="nil"/>
              <w:right w:val="single" w:sz="4" w:space="0" w:color="auto"/>
            </w:tcBorders>
            <w:shd w:val="clear" w:color="auto" w:fill="auto"/>
            <w:noWrap/>
            <w:vAlign w:val="center"/>
            <w:hideMark/>
          </w:tcPr>
          <w:p w14:paraId="364DC607" w14:textId="77777777" w:rsidR="00617362" w:rsidRPr="000F7BD9" w:rsidRDefault="00617362" w:rsidP="00617362">
            <w:pPr>
              <w:jc w:val="center"/>
              <w:rPr>
                <w:rFonts w:cs="Arial"/>
                <w:b/>
                <w:bCs/>
                <w:color w:val="000000"/>
                <w:sz w:val="18"/>
                <w:szCs w:val="18"/>
              </w:rPr>
            </w:pPr>
            <w:r w:rsidRPr="000F7BD9">
              <w:rPr>
                <w:rFonts w:cs="Arial"/>
                <w:b/>
                <w:bCs/>
                <w:color w:val="000000"/>
                <w:sz w:val="18"/>
                <w:szCs w:val="18"/>
              </w:rPr>
              <w:t>Subtotal</w:t>
            </w:r>
          </w:p>
        </w:tc>
        <w:tc>
          <w:tcPr>
            <w:tcW w:w="901" w:type="pct"/>
            <w:tcBorders>
              <w:top w:val="nil"/>
              <w:left w:val="nil"/>
              <w:bottom w:val="nil"/>
              <w:right w:val="single" w:sz="4" w:space="0" w:color="auto"/>
            </w:tcBorders>
            <w:shd w:val="clear" w:color="auto" w:fill="auto"/>
            <w:noWrap/>
            <w:vAlign w:val="center"/>
            <w:hideMark/>
          </w:tcPr>
          <w:p w14:paraId="60B2BFED" w14:textId="77777777" w:rsidR="00617362" w:rsidRPr="000F7BD9" w:rsidRDefault="00617362" w:rsidP="00617362">
            <w:pPr>
              <w:jc w:val="right"/>
              <w:rPr>
                <w:rFonts w:cs="Arial"/>
                <w:b/>
                <w:bCs/>
                <w:color w:val="000000"/>
                <w:sz w:val="18"/>
                <w:szCs w:val="18"/>
              </w:rPr>
            </w:pPr>
            <w:r w:rsidRPr="000F7BD9">
              <w:rPr>
                <w:rFonts w:cs="Arial"/>
                <w:b/>
                <w:bCs/>
                <w:color w:val="000000"/>
                <w:sz w:val="18"/>
                <w:szCs w:val="18"/>
              </w:rPr>
              <w:t>60.124.011.215</w:t>
            </w:r>
          </w:p>
        </w:tc>
        <w:tc>
          <w:tcPr>
            <w:tcW w:w="900" w:type="pct"/>
            <w:tcBorders>
              <w:top w:val="nil"/>
              <w:left w:val="nil"/>
              <w:bottom w:val="nil"/>
              <w:right w:val="single" w:sz="4" w:space="0" w:color="auto"/>
            </w:tcBorders>
            <w:shd w:val="clear" w:color="auto" w:fill="auto"/>
            <w:noWrap/>
            <w:vAlign w:val="center"/>
            <w:hideMark/>
          </w:tcPr>
          <w:p w14:paraId="4479C894" w14:textId="77777777" w:rsidR="00617362" w:rsidRPr="000F7BD9" w:rsidRDefault="00617362" w:rsidP="00617362">
            <w:pPr>
              <w:jc w:val="right"/>
              <w:rPr>
                <w:rFonts w:cs="Arial"/>
                <w:b/>
                <w:bCs/>
                <w:color w:val="000000"/>
                <w:sz w:val="18"/>
                <w:szCs w:val="18"/>
              </w:rPr>
            </w:pPr>
            <w:r w:rsidRPr="000F7BD9">
              <w:rPr>
                <w:rFonts w:cs="Arial"/>
                <w:b/>
                <w:bCs/>
                <w:color w:val="000000"/>
                <w:sz w:val="18"/>
                <w:szCs w:val="18"/>
              </w:rPr>
              <w:t>67.265.016.032</w:t>
            </w:r>
          </w:p>
        </w:tc>
        <w:tc>
          <w:tcPr>
            <w:tcW w:w="840" w:type="pct"/>
            <w:tcBorders>
              <w:top w:val="nil"/>
              <w:left w:val="nil"/>
              <w:bottom w:val="nil"/>
              <w:right w:val="single" w:sz="4" w:space="0" w:color="auto"/>
            </w:tcBorders>
            <w:shd w:val="clear" w:color="auto" w:fill="auto"/>
            <w:noWrap/>
            <w:vAlign w:val="center"/>
            <w:hideMark/>
          </w:tcPr>
          <w:p w14:paraId="0F10BBAC" w14:textId="77777777" w:rsidR="00617362" w:rsidRPr="000F7BD9" w:rsidRDefault="00617362" w:rsidP="00617362">
            <w:pPr>
              <w:jc w:val="right"/>
              <w:rPr>
                <w:rFonts w:cs="Arial"/>
                <w:b/>
                <w:bCs/>
                <w:color w:val="000000"/>
                <w:sz w:val="18"/>
                <w:szCs w:val="18"/>
              </w:rPr>
            </w:pPr>
            <w:r w:rsidRPr="000F7BD9">
              <w:rPr>
                <w:rFonts w:cs="Arial"/>
                <w:b/>
                <w:bCs/>
                <w:color w:val="FF0000"/>
                <w:sz w:val="18"/>
                <w:szCs w:val="18"/>
              </w:rPr>
              <w:t>(7.141.004.818)</w:t>
            </w:r>
          </w:p>
        </w:tc>
        <w:tc>
          <w:tcPr>
            <w:tcW w:w="423" w:type="pct"/>
            <w:tcBorders>
              <w:top w:val="nil"/>
              <w:left w:val="nil"/>
              <w:bottom w:val="nil"/>
              <w:right w:val="nil"/>
            </w:tcBorders>
            <w:shd w:val="clear" w:color="auto" w:fill="auto"/>
            <w:noWrap/>
            <w:vAlign w:val="center"/>
            <w:hideMark/>
          </w:tcPr>
          <w:p w14:paraId="0FFC6A2A" w14:textId="77777777" w:rsidR="00617362" w:rsidRPr="000F7BD9" w:rsidRDefault="00617362" w:rsidP="00617362">
            <w:pPr>
              <w:jc w:val="center"/>
              <w:rPr>
                <w:rFonts w:cs="Arial"/>
                <w:b/>
                <w:bCs/>
                <w:color w:val="000000"/>
                <w:sz w:val="18"/>
                <w:szCs w:val="18"/>
              </w:rPr>
            </w:pPr>
            <w:r w:rsidRPr="000F7BD9">
              <w:rPr>
                <w:rFonts w:cs="Arial"/>
                <w:b/>
                <w:bCs/>
                <w:color w:val="FF0000"/>
                <w:sz w:val="18"/>
                <w:szCs w:val="18"/>
              </w:rPr>
              <w:t>(10,62)</w:t>
            </w:r>
          </w:p>
        </w:tc>
      </w:tr>
      <w:tr w:rsidR="00617362" w:rsidRPr="000F7BD9" w14:paraId="2003825C" w14:textId="77777777" w:rsidTr="001C4542">
        <w:trPr>
          <w:trHeight w:val="255"/>
          <w:tblHeader/>
        </w:trPr>
        <w:tc>
          <w:tcPr>
            <w:tcW w:w="1936" w:type="pct"/>
            <w:tcBorders>
              <w:top w:val="nil"/>
              <w:left w:val="nil"/>
              <w:bottom w:val="nil"/>
              <w:right w:val="single" w:sz="4" w:space="0" w:color="auto"/>
            </w:tcBorders>
            <w:shd w:val="clear" w:color="auto" w:fill="auto"/>
            <w:noWrap/>
            <w:vAlign w:val="center"/>
            <w:hideMark/>
          </w:tcPr>
          <w:p w14:paraId="3E713246" w14:textId="77777777" w:rsidR="00617362" w:rsidRPr="000F7BD9" w:rsidRDefault="00617362" w:rsidP="00617362">
            <w:pPr>
              <w:jc w:val="left"/>
              <w:rPr>
                <w:rFonts w:cs="Arial"/>
                <w:color w:val="000000"/>
                <w:sz w:val="18"/>
                <w:szCs w:val="18"/>
              </w:rPr>
            </w:pPr>
            <w:r w:rsidRPr="000F7BD9">
              <w:rPr>
                <w:rFonts w:cs="Arial"/>
                <w:color w:val="000000"/>
                <w:sz w:val="18"/>
                <w:szCs w:val="18"/>
              </w:rPr>
              <w:t>(-) Ajustes para Perdas da Dívida Ativa</w:t>
            </w:r>
          </w:p>
        </w:tc>
        <w:tc>
          <w:tcPr>
            <w:tcW w:w="901" w:type="pct"/>
            <w:tcBorders>
              <w:top w:val="nil"/>
              <w:left w:val="nil"/>
              <w:bottom w:val="nil"/>
              <w:right w:val="single" w:sz="4" w:space="0" w:color="auto"/>
            </w:tcBorders>
            <w:shd w:val="clear" w:color="auto" w:fill="auto"/>
            <w:noWrap/>
            <w:vAlign w:val="center"/>
            <w:hideMark/>
          </w:tcPr>
          <w:p w14:paraId="17A27BA7" w14:textId="77777777" w:rsidR="00617362" w:rsidRPr="000F7BD9" w:rsidRDefault="00617362" w:rsidP="00617362">
            <w:pPr>
              <w:jc w:val="right"/>
              <w:rPr>
                <w:rFonts w:cs="Arial"/>
                <w:color w:val="000000"/>
                <w:sz w:val="18"/>
                <w:szCs w:val="18"/>
              </w:rPr>
            </w:pPr>
            <w:r w:rsidRPr="000F7BD9">
              <w:rPr>
                <w:rFonts w:cs="Arial"/>
                <w:color w:val="FF0000"/>
                <w:sz w:val="18"/>
                <w:szCs w:val="18"/>
              </w:rPr>
              <w:t>(52.721.703.647)</w:t>
            </w:r>
          </w:p>
        </w:tc>
        <w:tc>
          <w:tcPr>
            <w:tcW w:w="900" w:type="pct"/>
            <w:tcBorders>
              <w:top w:val="nil"/>
              <w:left w:val="nil"/>
              <w:bottom w:val="nil"/>
              <w:right w:val="single" w:sz="4" w:space="0" w:color="auto"/>
            </w:tcBorders>
            <w:shd w:val="clear" w:color="auto" w:fill="auto"/>
            <w:noWrap/>
            <w:vAlign w:val="center"/>
            <w:hideMark/>
          </w:tcPr>
          <w:p w14:paraId="4F6E6F70" w14:textId="77777777" w:rsidR="00617362" w:rsidRPr="000F7BD9" w:rsidRDefault="00617362" w:rsidP="00617362">
            <w:pPr>
              <w:jc w:val="right"/>
              <w:rPr>
                <w:rFonts w:cs="Arial"/>
                <w:color w:val="000000"/>
                <w:sz w:val="18"/>
                <w:szCs w:val="18"/>
              </w:rPr>
            </w:pPr>
            <w:r w:rsidRPr="000F7BD9">
              <w:rPr>
                <w:rFonts w:cs="Arial"/>
                <w:color w:val="FF0000"/>
                <w:sz w:val="18"/>
                <w:szCs w:val="18"/>
              </w:rPr>
              <w:t>(56.523.405.866)</w:t>
            </w:r>
          </w:p>
        </w:tc>
        <w:tc>
          <w:tcPr>
            <w:tcW w:w="840" w:type="pct"/>
            <w:tcBorders>
              <w:top w:val="nil"/>
              <w:left w:val="nil"/>
              <w:bottom w:val="nil"/>
              <w:right w:val="single" w:sz="4" w:space="0" w:color="auto"/>
            </w:tcBorders>
            <w:shd w:val="clear" w:color="auto" w:fill="auto"/>
            <w:noWrap/>
            <w:vAlign w:val="center"/>
            <w:hideMark/>
          </w:tcPr>
          <w:p w14:paraId="5AB5F740" w14:textId="77777777" w:rsidR="00617362" w:rsidRPr="000F7BD9" w:rsidRDefault="00617362" w:rsidP="00617362">
            <w:pPr>
              <w:jc w:val="right"/>
              <w:rPr>
                <w:rFonts w:cs="Arial"/>
                <w:color w:val="000000"/>
                <w:sz w:val="18"/>
                <w:szCs w:val="18"/>
              </w:rPr>
            </w:pPr>
            <w:r w:rsidRPr="000F7BD9">
              <w:rPr>
                <w:rFonts w:cs="Arial"/>
                <w:color w:val="FF0000"/>
                <w:sz w:val="18"/>
                <w:szCs w:val="18"/>
              </w:rPr>
              <w:t>(3.801.702.219)</w:t>
            </w:r>
          </w:p>
        </w:tc>
        <w:tc>
          <w:tcPr>
            <w:tcW w:w="423" w:type="pct"/>
            <w:tcBorders>
              <w:top w:val="nil"/>
              <w:left w:val="nil"/>
              <w:bottom w:val="nil"/>
              <w:right w:val="nil"/>
            </w:tcBorders>
            <w:shd w:val="clear" w:color="auto" w:fill="auto"/>
            <w:noWrap/>
            <w:vAlign w:val="center"/>
            <w:hideMark/>
          </w:tcPr>
          <w:p w14:paraId="11DB2ABE" w14:textId="77777777" w:rsidR="00617362" w:rsidRPr="000F7BD9" w:rsidRDefault="00617362" w:rsidP="00617362">
            <w:pPr>
              <w:jc w:val="center"/>
              <w:rPr>
                <w:rFonts w:cs="Arial"/>
                <w:color w:val="000000"/>
                <w:sz w:val="18"/>
                <w:szCs w:val="18"/>
              </w:rPr>
            </w:pPr>
            <w:r w:rsidRPr="000F7BD9">
              <w:rPr>
                <w:rFonts w:cs="Arial"/>
                <w:color w:val="FF0000"/>
                <w:sz w:val="18"/>
                <w:szCs w:val="18"/>
              </w:rPr>
              <w:t>(6,73)</w:t>
            </w:r>
          </w:p>
        </w:tc>
      </w:tr>
      <w:tr w:rsidR="00617362" w:rsidRPr="000F7BD9" w14:paraId="66EBBBAD" w14:textId="77777777" w:rsidTr="001C4542">
        <w:trPr>
          <w:trHeight w:val="255"/>
          <w:tblHeader/>
        </w:trPr>
        <w:tc>
          <w:tcPr>
            <w:tcW w:w="1936" w:type="pct"/>
            <w:tcBorders>
              <w:top w:val="single" w:sz="4" w:space="0" w:color="auto"/>
              <w:left w:val="nil"/>
              <w:bottom w:val="single" w:sz="4" w:space="0" w:color="auto"/>
              <w:right w:val="single" w:sz="4" w:space="0" w:color="auto"/>
            </w:tcBorders>
            <w:shd w:val="clear" w:color="auto" w:fill="auto"/>
            <w:noWrap/>
            <w:vAlign w:val="center"/>
            <w:hideMark/>
          </w:tcPr>
          <w:p w14:paraId="41ACB3E7" w14:textId="77777777" w:rsidR="00617362" w:rsidRPr="000F7BD9" w:rsidRDefault="00617362" w:rsidP="00617362">
            <w:pPr>
              <w:jc w:val="center"/>
              <w:rPr>
                <w:rFonts w:cs="Arial"/>
                <w:b/>
                <w:bCs/>
                <w:color w:val="000000"/>
                <w:sz w:val="18"/>
                <w:szCs w:val="18"/>
              </w:rPr>
            </w:pPr>
            <w:r w:rsidRPr="000F7BD9">
              <w:rPr>
                <w:rFonts w:cs="Arial"/>
                <w:b/>
                <w:bCs/>
                <w:color w:val="000000"/>
                <w:sz w:val="18"/>
                <w:szCs w:val="18"/>
              </w:rPr>
              <w:t>Total</w:t>
            </w:r>
          </w:p>
        </w:tc>
        <w:tc>
          <w:tcPr>
            <w:tcW w:w="901" w:type="pct"/>
            <w:tcBorders>
              <w:top w:val="single" w:sz="4" w:space="0" w:color="auto"/>
              <w:left w:val="nil"/>
              <w:bottom w:val="single" w:sz="4" w:space="0" w:color="auto"/>
              <w:right w:val="single" w:sz="4" w:space="0" w:color="auto"/>
            </w:tcBorders>
            <w:shd w:val="clear" w:color="auto" w:fill="auto"/>
            <w:noWrap/>
            <w:vAlign w:val="center"/>
            <w:hideMark/>
          </w:tcPr>
          <w:p w14:paraId="197E6C67" w14:textId="77777777" w:rsidR="00617362" w:rsidRPr="000F7BD9" w:rsidRDefault="00617362" w:rsidP="00617362">
            <w:pPr>
              <w:jc w:val="right"/>
              <w:rPr>
                <w:rFonts w:cs="Arial"/>
                <w:b/>
                <w:bCs/>
                <w:color w:val="000000"/>
                <w:sz w:val="18"/>
                <w:szCs w:val="18"/>
              </w:rPr>
            </w:pPr>
            <w:r w:rsidRPr="000F7BD9">
              <w:rPr>
                <w:rFonts w:cs="Arial"/>
                <w:b/>
                <w:bCs/>
                <w:color w:val="000000"/>
                <w:sz w:val="18"/>
                <w:szCs w:val="18"/>
              </w:rPr>
              <w:t>7.402.307.568</w:t>
            </w:r>
          </w:p>
        </w:tc>
        <w:tc>
          <w:tcPr>
            <w:tcW w:w="900" w:type="pct"/>
            <w:tcBorders>
              <w:top w:val="single" w:sz="4" w:space="0" w:color="auto"/>
              <w:left w:val="nil"/>
              <w:bottom w:val="single" w:sz="4" w:space="0" w:color="auto"/>
              <w:right w:val="single" w:sz="4" w:space="0" w:color="auto"/>
            </w:tcBorders>
            <w:shd w:val="clear" w:color="auto" w:fill="auto"/>
            <w:noWrap/>
            <w:vAlign w:val="center"/>
            <w:hideMark/>
          </w:tcPr>
          <w:p w14:paraId="221169D6" w14:textId="77777777" w:rsidR="00617362" w:rsidRPr="000F7BD9" w:rsidRDefault="00617362" w:rsidP="00617362">
            <w:pPr>
              <w:jc w:val="right"/>
              <w:rPr>
                <w:rFonts w:cs="Arial"/>
                <w:b/>
                <w:bCs/>
                <w:color w:val="000000"/>
                <w:sz w:val="18"/>
                <w:szCs w:val="18"/>
              </w:rPr>
            </w:pPr>
            <w:r w:rsidRPr="000F7BD9">
              <w:rPr>
                <w:rFonts w:cs="Arial"/>
                <w:b/>
                <w:bCs/>
                <w:color w:val="000000"/>
                <w:sz w:val="18"/>
                <w:szCs w:val="18"/>
              </w:rPr>
              <w:t>10.741.610.166</w:t>
            </w:r>
          </w:p>
        </w:tc>
        <w:tc>
          <w:tcPr>
            <w:tcW w:w="840" w:type="pct"/>
            <w:tcBorders>
              <w:top w:val="single" w:sz="4" w:space="0" w:color="auto"/>
              <w:left w:val="nil"/>
              <w:bottom w:val="single" w:sz="4" w:space="0" w:color="auto"/>
              <w:right w:val="single" w:sz="4" w:space="0" w:color="auto"/>
            </w:tcBorders>
            <w:shd w:val="clear" w:color="auto" w:fill="auto"/>
            <w:noWrap/>
            <w:vAlign w:val="center"/>
            <w:hideMark/>
          </w:tcPr>
          <w:p w14:paraId="1115F5FC" w14:textId="77777777" w:rsidR="00617362" w:rsidRPr="000F7BD9" w:rsidRDefault="00617362" w:rsidP="00617362">
            <w:pPr>
              <w:jc w:val="right"/>
              <w:rPr>
                <w:rFonts w:cs="Arial"/>
                <w:b/>
                <w:bCs/>
                <w:color w:val="000000"/>
                <w:sz w:val="18"/>
                <w:szCs w:val="18"/>
              </w:rPr>
            </w:pPr>
            <w:r w:rsidRPr="000F7BD9">
              <w:rPr>
                <w:rFonts w:cs="Arial"/>
                <w:b/>
                <w:bCs/>
                <w:color w:val="FF0000"/>
                <w:sz w:val="18"/>
                <w:szCs w:val="18"/>
              </w:rPr>
              <w:t>(3.339.302.598)</w:t>
            </w:r>
          </w:p>
        </w:tc>
        <w:tc>
          <w:tcPr>
            <w:tcW w:w="423" w:type="pct"/>
            <w:tcBorders>
              <w:top w:val="single" w:sz="4" w:space="0" w:color="auto"/>
              <w:left w:val="nil"/>
              <w:bottom w:val="single" w:sz="4" w:space="0" w:color="auto"/>
              <w:right w:val="nil"/>
            </w:tcBorders>
            <w:shd w:val="clear" w:color="auto" w:fill="auto"/>
            <w:noWrap/>
            <w:vAlign w:val="center"/>
            <w:hideMark/>
          </w:tcPr>
          <w:p w14:paraId="128A83B7" w14:textId="77777777" w:rsidR="00617362" w:rsidRPr="000F7BD9" w:rsidRDefault="00617362" w:rsidP="00617362">
            <w:pPr>
              <w:jc w:val="center"/>
              <w:rPr>
                <w:rFonts w:cs="Arial"/>
                <w:b/>
                <w:bCs/>
                <w:color w:val="000000"/>
                <w:sz w:val="18"/>
                <w:szCs w:val="18"/>
              </w:rPr>
            </w:pPr>
            <w:r w:rsidRPr="000F7BD9">
              <w:rPr>
                <w:rFonts w:cs="Arial"/>
                <w:b/>
                <w:bCs/>
                <w:color w:val="FF0000"/>
                <w:sz w:val="18"/>
                <w:szCs w:val="18"/>
              </w:rPr>
              <w:t>(31,09)</w:t>
            </w:r>
          </w:p>
        </w:tc>
      </w:tr>
    </w:tbl>
    <w:p w14:paraId="7C8BBE86" w14:textId="77777777" w:rsidR="00617362" w:rsidRPr="000F7BD9" w:rsidRDefault="00617362" w:rsidP="00EF01A1">
      <w:pPr>
        <w:pStyle w:val="1-FONTE8ESQ"/>
      </w:pPr>
      <w:r w:rsidRPr="000F7BD9">
        <w:t>Fonte: Balanço Patrimonial - Anexo 14</w:t>
      </w:r>
      <w:r>
        <w:t xml:space="preserve"> (BGE 2023)</w:t>
      </w:r>
    </w:p>
    <w:p w14:paraId="1819235A" w14:textId="77777777" w:rsidR="00617362" w:rsidRPr="000F7BD9" w:rsidRDefault="00617362" w:rsidP="00617362">
      <w:pPr>
        <w:pStyle w:val="1-REL11"/>
      </w:pPr>
      <w:bookmarkStart w:id="418" w:name="_Hlk134201535"/>
      <w:r>
        <w:t>Em 2023, h</w:t>
      </w:r>
      <w:r w:rsidRPr="000F7BD9">
        <w:t>ouve um</w:t>
      </w:r>
      <w:r>
        <w:t xml:space="preserve"> </w:t>
      </w:r>
      <w:bookmarkStart w:id="419" w:name="_Hlk167355584"/>
      <w:r>
        <w:t>decréscimo</w:t>
      </w:r>
      <w:r w:rsidRPr="000F7BD9">
        <w:t xml:space="preserve"> nominal bruto no estoque da dívida ativa de R$ 7,14</w:t>
      </w:r>
      <w:r>
        <w:t xml:space="preserve"> bilhões</w:t>
      </w:r>
      <w:r w:rsidRPr="000F7BD9">
        <w:t xml:space="preserve"> </w:t>
      </w:r>
      <w:r>
        <w:t>em relação ao exercício anterior</w:t>
      </w:r>
      <w:r w:rsidRPr="000F7BD9">
        <w:t xml:space="preserve">, </w:t>
      </w:r>
      <w:r>
        <w:t xml:space="preserve">representando uma redução </w:t>
      </w:r>
      <w:r w:rsidRPr="000F7BD9">
        <w:t>de 10,62%</w:t>
      </w:r>
      <w:r>
        <w:t xml:space="preserve"> e resultando em um saldo de R$ 60,12 bilhões no período</w:t>
      </w:r>
      <w:r w:rsidRPr="000F7BD9">
        <w:t>.</w:t>
      </w:r>
    </w:p>
    <w:bookmarkEnd w:id="418"/>
    <w:bookmarkEnd w:id="419"/>
    <w:p w14:paraId="176DF32A" w14:textId="77777777" w:rsidR="00617362" w:rsidRPr="00225863" w:rsidRDefault="00617362" w:rsidP="00617362">
      <w:pPr>
        <w:pStyle w:val="1-REL11"/>
        <w:rPr>
          <w:highlight w:val="yellow"/>
        </w:rPr>
      </w:pPr>
      <w:r w:rsidRPr="0053458A">
        <w:t xml:space="preserve">Em relação ao </w:t>
      </w:r>
      <w:bookmarkStart w:id="420" w:name="_Hlk167355643"/>
      <w:r w:rsidRPr="0053458A">
        <w:t>montante registrado como ajuste para perdas no exercício</w:t>
      </w:r>
      <w:r>
        <w:t>, notou-se uma</w:t>
      </w:r>
      <w:r w:rsidRPr="005344EB">
        <w:t xml:space="preserve"> diminuição de 6,73% </w:t>
      </w:r>
      <w:bookmarkEnd w:id="420"/>
      <w:r w:rsidRPr="005344EB">
        <w:t>em comparação com o exercício de 2022</w:t>
      </w:r>
      <w:r w:rsidRPr="00E01EF5">
        <w:t xml:space="preserve"> </w:t>
      </w:r>
      <w:bookmarkStart w:id="421" w:name="_Hlk167355698"/>
      <w:r w:rsidRPr="00E01EF5">
        <w:t>e seu saldo</w:t>
      </w:r>
      <w:r>
        <w:t xml:space="preserve">, R$ 52,72 bilhões, </w:t>
      </w:r>
      <w:r w:rsidRPr="00E01EF5">
        <w:lastRenderedPageBreak/>
        <w:t>representou 87,69% do estoque dos créditos a receber</w:t>
      </w:r>
      <w:bookmarkEnd w:id="421"/>
      <w:r w:rsidRPr="00E01EF5">
        <w:t>.</w:t>
      </w:r>
      <w:r>
        <w:t xml:space="preserve"> </w:t>
      </w:r>
      <w:bookmarkStart w:id="422" w:name="_Hlk167355725"/>
      <w:r>
        <w:t>Como resultado</w:t>
      </w:r>
      <w:r w:rsidRPr="00E01EF5">
        <w:t xml:space="preserve">, o saldo da </w:t>
      </w:r>
      <w:r>
        <w:t>d</w:t>
      </w:r>
      <w:r w:rsidRPr="00E01EF5">
        <w:t xml:space="preserve">ívida </w:t>
      </w:r>
      <w:r>
        <w:t>a</w:t>
      </w:r>
      <w:r w:rsidRPr="00E01EF5">
        <w:t xml:space="preserve">tiva </w:t>
      </w:r>
      <w:r>
        <w:t>l</w:t>
      </w:r>
      <w:r w:rsidRPr="00E01EF5">
        <w:t>íquida</w:t>
      </w:r>
      <w:r>
        <w:t xml:space="preserve"> reduziu-se em 31,09% em relação a 2022, totalizando R$ 7,40 bilhões em 2023.</w:t>
      </w:r>
      <w:bookmarkEnd w:id="422"/>
    </w:p>
    <w:p w14:paraId="5E552D04" w14:textId="77777777" w:rsidR="005B6463" w:rsidRPr="00DF0DAB" w:rsidRDefault="005B6463" w:rsidP="005B6463">
      <w:pPr>
        <w:pStyle w:val="Ttulo5"/>
      </w:pPr>
      <w:r w:rsidRPr="00DF0DAB">
        <w:t>Estoque, Arrecadação e Baixas da Dívida Ativa</w:t>
      </w:r>
    </w:p>
    <w:p w14:paraId="04ACCCAC" w14:textId="77777777" w:rsidR="005B6463" w:rsidRPr="00993453" w:rsidRDefault="005B6463" w:rsidP="005B6463">
      <w:pPr>
        <w:pStyle w:val="1-REL11"/>
      </w:pPr>
      <w:r w:rsidRPr="00DF0DAB">
        <w:t xml:space="preserve">Nos últimos cinco exercícios o </w:t>
      </w:r>
      <w:r w:rsidRPr="00DF0DAB">
        <w:rPr>
          <w:rFonts w:cs="Arial"/>
        </w:rPr>
        <w:t>e</w:t>
      </w:r>
      <w:r w:rsidRPr="00DF0DAB">
        <w:t>stoque da dívida ativa apresentou o seguinte comportamento:</w:t>
      </w:r>
    </w:p>
    <w:p w14:paraId="74348A45" w14:textId="29AF9E4A" w:rsidR="005B6463" w:rsidRPr="002E018D" w:rsidRDefault="005B6463" w:rsidP="00B000B6">
      <w:pPr>
        <w:pStyle w:val="0-GRFICO"/>
        <w:numPr>
          <w:ilvl w:val="0"/>
          <w:numId w:val="38"/>
        </w:numPr>
      </w:pPr>
      <w:bookmarkStart w:id="423" w:name="_Toc135332560"/>
      <w:bookmarkStart w:id="424" w:name="_Toc167825118"/>
      <w:r w:rsidRPr="002E018D">
        <w:t>Estoque da Dívida Ativa</w:t>
      </w:r>
      <w:bookmarkEnd w:id="423"/>
      <w:r w:rsidR="001653D7">
        <w:t xml:space="preserve"> –  2019 a 2023</w:t>
      </w:r>
      <w:bookmarkEnd w:id="424"/>
    </w:p>
    <w:p w14:paraId="1EA96437" w14:textId="77777777" w:rsidR="005B6463" w:rsidRPr="00993453" w:rsidRDefault="005B6463" w:rsidP="00653B38">
      <w:pPr>
        <w:pStyle w:val="1-FONTEcentralizado"/>
      </w:pPr>
      <w:r>
        <w:rPr>
          <w:noProof/>
        </w:rPr>
        <w:drawing>
          <wp:inline distT="0" distB="0" distL="0" distR="0" wp14:anchorId="7A7F29CE" wp14:editId="7B73BA38">
            <wp:extent cx="5939155" cy="3194685"/>
            <wp:effectExtent l="0" t="0" r="156845" b="158115"/>
            <wp:docPr id="10" name="Gráfico 10">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r w:rsidRPr="00993453">
        <w:t>Fonte: Balanço Patrimonial – Anexo 14</w:t>
      </w:r>
      <w:r>
        <w:t xml:space="preserve"> (BGE 2023)</w:t>
      </w:r>
    </w:p>
    <w:p w14:paraId="6376623A" w14:textId="77777777" w:rsidR="005B6463" w:rsidRPr="00225863" w:rsidRDefault="005B6463" w:rsidP="005B6463">
      <w:pPr>
        <w:pStyle w:val="1-REL11"/>
        <w:rPr>
          <w:highlight w:val="yellow"/>
        </w:rPr>
      </w:pPr>
      <w:r w:rsidRPr="00CC18ED">
        <w:t xml:space="preserve">O gráfico acima demonstra que </w:t>
      </w:r>
      <w:r>
        <w:t xml:space="preserve">até 2022 </w:t>
      </w:r>
      <w:r w:rsidRPr="00CC18ED">
        <w:t>o estoque bruto da dívida ativa apresentava evolução sistemática de seu saldo</w:t>
      </w:r>
      <w:r>
        <w:t>, no entanto</w:t>
      </w:r>
      <w:r w:rsidRPr="00CC18ED">
        <w:t xml:space="preserve">, </w:t>
      </w:r>
      <w:r>
        <w:t xml:space="preserve">em </w:t>
      </w:r>
      <w:r w:rsidRPr="00CC18ED">
        <w:t xml:space="preserve">2023, </w:t>
      </w:r>
      <w:r>
        <w:t xml:space="preserve">observou-se </w:t>
      </w:r>
      <w:r w:rsidRPr="00CC18ED">
        <w:t>uma queda de 10,7</w:t>
      </w:r>
      <w:r>
        <w:t>0</w:t>
      </w:r>
      <w:r w:rsidRPr="00CC18ED">
        <w:t>% no</w:t>
      </w:r>
      <w:r>
        <w:t xml:space="preserve"> referido </w:t>
      </w:r>
      <w:r w:rsidRPr="00CC18ED">
        <w:t>estoq</w:t>
      </w:r>
      <w:r>
        <w:t xml:space="preserve">ue </w:t>
      </w:r>
      <w:r w:rsidRPr="00CC18ED">
        <w:t>em relação ao exercício anterior</w:t>
      </w:r>
      <w:r>
        <w:t>.</w:t>
      </w:r>
    </w:p>
    <w:p w14:paraId="4FA33984" w14:textId="77777777" w:rsidR="005B6463" w:rsidRPr="00225863" w:rsidRDefault="005B6463" w:rsidP="005B6463">
      <w:pPr>
        <w:pStyle w:val="1-REL11"/>
        <w:rPr>
          <w:highlight w:val="yellow"/>
        </w:rPr>
      </w:pPr>
      <w:r w:rsidRPr="009D4689">
        <w:t xml:space="preserve">De acordo com informações apresentadas pela Gerência de Gestão de Créditos de Órgãos e Entidades Estaduais da </w:t>
      </w:r>
      <w:r>
        <w:t>ECONOMIA</w:t>
      </w:r>
      <w:r w:rsidRPr="009D4689">
        <w:t xml:space="preserve">, por meio do Despacho nº </w:t>
      </w:r>
      <w:r>
        <w:t>46</w:t>
      </w:r>
      <w:r w:rsidRPr="009D4689">
        <w:t>/202</w:t>
      </w:r>
      <w:r>
        <w:t>4</w:t>
      </w:r>
      <w:r w:rsidRPr="009D4689">
        <w:t xml:space="preserve"> (</w:t>
      </w:r>
      <w:r>
        <w:t>p</w:t>
      </w:r>
      <w:r w:rsidRPr="009D4689">
        <w:t>rocesso</w:t>
      </w:r>
      <w:r>
        <w:t xml:space="preserve"> SEI</w:t>
      </w:r>
      <w:r w:rsidRPr="009D4689">
        <w:t xml:space="preserve"> nº</w:t>
      </w:r>
      <w:r>
        <w:t> </w:t>
      </w:r>
      <w:r w:rsidRPr="00C56A39">
        <w:t>202300004090115</w:t>
      </w:r>
      <w:r w:rsidRPr="009D4689">
        <w:t>, evento 2</w:t>
      </w:r>
      <w:r>
        <w:t>6</w:t>
      </w:r>
      <w:r w:rsidRPr="009D4689">
        <w:t xml:space="preserve">), </w:t>
      </w:r>
      <w:r w:rsidRPr="00E74F50">
        <w:t>destacam-se os principais fatores que provocaram as movimentações no estoque da dívida ativa em 202</w:t>
      </w:r>
      <w:r w:rsidRPr="00F232C3">
        <w:t>3:</w:t>
      </w:r>
    </w:p>
    <w:p w14:paraId="43E24CC0" w14:textId="77777777" w:rsidR="005B6463" w:rsidRPr="006D1B76" w:rsidRDefault="005B6463" w:rsidP="00B000B6">
      <w:pPr>
        <w:pStyle w:val="1-REL11"/>
        <w:numPr>
          <w:ilvl w:val="0"/>
          <w:numId w:val="42"/>
        </w:numPr>
        <w:spacing w:before="0" w:after="120" w:line="240" w:lineRule="auto"/>
        <w:ind w:left="714" w:hanging="357"/>
      </w:pPr>
      <w:r w:rsidRPr="006D1B76">
        <w:t>Ajustes referentes a acréscimos, reduções, juros e correções monetárias, incorporando-se R$</w:t>
      </w:r>
      <w:r>
        <w:t> 2</w:t>
      </w:r>
      <w:r w:rsidRPr="006D1B76">
        <w:t>,</w:t>
      </w:r>
      <w:r>
        <w:t>79</w:t>
      </w:r>
      <w:r w:rsidRPr="006D1B76">
        <w:t xml:space="preserve"> bilhões ao estoque da dívida ativa;</w:t>
      </w:r>
    </w:p>
    <w:p w14:paraId="5BA74CBF" w14:textId="77777777" w:rsidR="005B6463" w:rsidRPr="006D1B76" w:rsidRDefault="005B6463" w:rsidP="00B000B6">
      <w:pPr>
        <w:pStyle w:val="1-REL11"/>
        <w:numPr>
          <w:ilvl w:val="0"/>
          <w:numId w:val="42"/>
        </w:numPr>
        <w:spacing w:before="0" w:after="120" w:line="240" w:lineRule="auto"/>
      </w:pPr>
      <w:r>
        <w:t>I</w:t>
      </w:r>
      <w:r w:rsidRPr="006D1B76">
        <w:t>nscr</w:t>
      </w:r>
      <w:r>
        <w:t xml:space="preserve">ição </w:t>
      </w:r>
      <w:r w:rsidRPr="006D1B76">
        <w:t>em dívida ativ</w:t>
      </w:r>
      <w:r>
        <w:t>a de cerca</w:t>
      </w:r>
      <w:r w:rsidRPr="006D1B76">
        <w:t xml:space="preserve"> de 1</w:t>
      </w:r>
      <w:r>
        <w:t>,</w:t>
      </w:r>
      <w:r w:rsidRPr="006D1B76">
        <w:t>10</w:t>
      </w:r>
      <w:r>
        <w:t xml:space="preserve"> milhão de</w:t>
      </w:r>
      <w:r w:rsidRPr="006D1B76">
        <w:t xml:space="preserve"> PATs, que totalizaram o valor de R$</w:t>
      </w:r>
      <w:r>
        <w:t> </w:t>
      </w:r>
      <w:r w:rsidRPr="006D1B76">
        <w:t>7</w:t>
      </w:r>
      <w:r>
        <w:t>,</w:t>
      </w:r>
      <w:r w:rsidRPr="006D1B76">
        <w:t>82</w:t>
      </w:r>
      <w:r>
        <w:t xml:space="preserve"> bilhões;</w:t>
      </w:r>
    </w:p>
    <w:p w14:paraId="3C3823EA" w14:textId="77777777" w:rsidR="005B6463" w:rsidRPr="00CA63D5" w:rsidRDefault="005B6463" w:rsidP="00B000B6">
      <w:pPr>
        <w:pStyle w:val="1-REL11"/>
        <w:numPr>
          <w:ilvl w:val="0"/>
          <w:numId w:val="42"/>
        </w:numPr>
        <w:spacing w:before="0" w:after="120" w:line="240" w:lineRule="auto"/>
        <w:ind w:left="714" w:hanging="357"/>
      </w:pPr>
      <w:r>
        <w:t>E</w:t>
      </w:r>
      <w:r w:rsidRPr="00CA63D5">
        <w:t>xtinç</w:t>
      </w:r>
      <w:r>
        <w:t>ão</w:t>
      </w:r>
      <w:r w:rsidRPr="00CA63D5">
        <w:t xml:space="preserve"> por pagamento</w:t>
      </w:r>
      <w:r>
        <w:t xml:space="preserve"> no montante de</w:t>
      </w:r>
      <w:r w:rsidRPr="00CA63D5">
        <w:t xml:space="preserve"> R$ 429,9</w:t>
      </w:r>
      <w:r>
        <w:t>5</w:t>
      </w:r>
      <w:r w:rsidRPr="00CA63D5">
        <w:t xml:space="preserve"> milhões;</w:t>
      </w:r>
    </w:p>
    <w:p w14:paraId="50C68A65" w14:textId="77777777" w:rsidR="005B6463" w:rsidRPr="00184B3C" w:rsidRDefault="005B6463" w:rsidP="00B000B6">
      <w:pPr>
        <w:pStyle w:val="1-REL11"/>
        <w:numPr>
          <w:ilvl w:val="0"/>
          <w:numId w:val="42"/>
        </w:numPr>
        <w:spacing w:before="0" w:after="120" w:line="240" w:lineRule="auto"/>
      </w:pPr>
      <w:r w:rsidRPr="00184B3C">
        <w:lastRenderedPageBreak/>
        <w:t>Extinção por prescrição no montante de R$</w:t>
      </w:r>
      <w:r>
        <w:t> 1</w:t>
      </w:r>
      <w:r w:rsidRPr="00184B3C">
        <w:t>,</w:t>
      </w:r>
      <w:r>
        <w:t>00</w:t>
      </w:r>
      <w:r w:rsidRPr="00184B3C">
        <w:t xml:space="preserve"> bi</w:t>
      </w:r>
      <w:r>
        <w:t>lhão</w:t>
      </w:r>
      <w:r w:rsidRPr="00184B3C">
        <w:t>;</w:t>
      </w:r>
    </w:p>
    <w:p w14:paraId="6BB81BFB" w14:textId="77777777" w:rsidR="005B6463" w:rsidRDefault="005B6463" w:rsidP="00B000B6">
      <w:pPr>
        <w:pStyle w:val="1-REL11"/>
        <w:numPr>
          <w:ilvl w:val="0"/>
          <w:numId w:val="42"/>
        </w:numPr>
        <w:spacing w:before="0" w:after="120" w:line="240" w:lineRule="auto"/>
      </w:pPr>
      <w:r w:rsidRPr="00F53C7D">
        <w:t xml:space="preserve">Extinção do crédito tributário em decorrência de decisões administrativas irreformáveis ou decisões judiciais </w:t>
      </w:r>
      <w:r>
        <w:t>transitadas</w:t>
      </w:r>
      <w:r w:rsidRPr="00F53C7D">
        <w:t xml:space="preserve"> em julgado que totalizaram R$ 302,46 milhões;</w:t>
      </w:r>
    </w:p>
    <w:p w14:paraId="11165D7A" w14:textId="77777777" w:rsidR="005B6463" w:rsidRDefault="005B6463" w:rsidP="00B000B6">
      <w:pPr>
        <w:pStyle w:val="1-REL11"/>
        <w:numPr>
          <w:ilvl w:val="0"/>
          <w:numId w:val="42"/>
        </w:numPr>
        <w:spacing w:before="0" w:after="120" w:line="240" w:lineRule="auto"/>
      </w:pPr>
      <w:r>
        <w:t>Baixa pela aplicação do Tema 1062/STF no valor de R$ 7,71 bilhões;</w:t>
      </w:r>
    </w:p>
    <w:p w14:paraId="220CDD60" w14:textId="77777777" w:rsidR="005B6463" w:rsidRPr="00F53C7D" w:rsidRDefault="005B6463" w:rsidP="00B000B6">
      <w:pPr>
        <w:pStyle w:val="1-REL11"/>
        <w:numPr>
          <w:ilvl w:val="0"/>
          <w:numId w:val="42"/>
        </w:numPr>
        <w:spacing w:before="0" w:after="120" w:line="240" w:lineRule="auto"/>
      </w:pPr>
      <w:r>
        <w:t>Baixa pela</w:t>
      </w:r>
      <w:r w:rsidRPr="00364234">
        <w:t xml:space="preserve"> aplicação do limitador da multa previsto na Lei</w:t>
      </w:r>
      <w:r>
        <w:t xml:space="preserve"> Estadual</w:t>
      </w:r>
      <w:r w:rsidRPr="00364234">
        <w:t xml:space="preserve"> nº</w:t>
      </w:r>
      <w:r>
        <w:t> </w:t>
      </w:r>
      <w:r w:rsidRPr="00364234">
        <w:t>21.842</w:t>
      </w:r>
      <w:r>
        <w:t xml:space="preserve">, de 11 de abril de </w:t>
      </w:r>
      <w:r w:rsidRPr="00364234">
        <w:t>2023</w:t>
      </w:r>
      <w:r>
        <w:t>, no montante de R$ 8,27 bilhões;</w:t>
      </w:r>
    </w:p>
    <w:p w14:paraId="62956D5C" w14:textId="77777777" w:rsidR="005B6463" w:rsidRPr="00FB455F" w:rsidRDefault="005B6463" w:rsidP="00B000B6">
      <w:pPr>
        <w:pStyle w:val="1-REL11"/>
        <w:numPr>
          <w:ilvl w:val="0"/>
          <w:numId w:val="42"/>
        </w:numPr>
        <w:spacing w:before="0" w:after="120" w:line="240" w:lineRule="auto"/>
        <w:ind w:left="714" w:hanging="357"/>
      </w:pPr>
      <w:r w:rsidRPr="00FB455F">
        <w:t>Baixa alusiva às anistias concedidas no valor de R$ 92,44 milhões</w:t>
      </w:r>
      <w:r>
        <w:t>.</w:t>
      </w:r>
    </w:p>
    <w:p w14:paraId="19915930" w14:textId="77777777" w:rsidR="005B6463" w:rsidRPr="000D4DB7" w:rsidRDefault="005B6463" w:rsidP="005B6463">
      <w:pPr>
        <w:pStyle w:val="1-REL11"/>
      </w:pPr>
      <w:r>
        <w:t>Diante dos fatores supracitados, é pertinente destacar o</w:t>
      </w:r>
      <w:r w:rsidRPr="0077687E">
        <w:t xml:space="preserve"> Tema 1062</w:t>
      </w:r>
      <w:r>
        <w:t>/</w:t>
      </w:r>
      <w:r w:rsidRPr="0077687E">
        <w:t>STF</w:t>
      </w:r>
      <w:r>
        <w:t xml:space="preserve">, que </w:t>
      </w:r>
      <w:r w:rsidRPr="0077687E">
        <w:t xml:space="preserve">se refere a uma tese de repercussão geral fixada pelo Supremo Tribunal Federal (STF) em outubro de 2019. A tese estabelece que os </w:t>
      </w:r>
      <w:r>
        <w:t>e</w:t>
      </w:r>
      <w:r w:rsidRPr="0077687E">
        <w:t>stados-membros e o Distrito Federal po</w:t>
      </w:r>
      <w:r>
        <w:t>ssam</w:t>
      </w:r>
      <w:r w:rsidRPr="0077687E">
        <w:t xml:space="preserve"> legislar sobre índices de correção monetária e taxas de juros de mora incidentes sobre seus créditos fiscais, desde que se limitem aos percentuais estabelecidos pela União para os mesmos fins</w:t>
      </w:r>
      <w:r w:rsidRPr="000D4DB7">
        <w:t>. A União utiliza a Taxa SELIC acumulada de forma simples para correção monetária e juros.</w:t>
      </w:r>
    </w:p>
    <w:p w14:paraId="78173617" w14:textId="77777777" w:rsidR="005B6463" w:rsidRDefault="005B6463" w:rsidP="005B6463">
      <w:pPr>
        <w:pStyle w:val="1-REL11"/>
        <w:rPr>
          <w:highlight w:val="yellow"/>
        </w:rPr>
      </w:pPr>
      <w:r w:rsidRPr="004F136C">
        <w:t>Para se a</w:t>
      </w:r>
      <w:r>
        <w:t>moldar</w:t>
      </w:r>
      <w:r w:rsidRPr="004F136C">
        <w:t xml:space="preserve"> a essa decisão, o estado de Goiás editou a Lei</w:t>
      </w:r>
      <w:r>
        <w:t xml:space="preserve"> Estadual </w:t>
      </w:r>
      <w:r w:rsidRPr="004F136C">
        <w:t>nº 21.004</w:t>
      </w:r>
      <w:r>
        <w:t xml:space="preserve">, de 14 de maio de </w:t>
      </w:r>
      <w:r w:rsidRPr="004F136C">
        <w:t>2021</w:t>
      </w:r>
      <w:r>
        <w:t>,</w:t>
      </w:r>
      <w:r w:rsidRPr="004F136C">
        <w:t xml:space="preserve"> que</w:t>
      </w:r>
      <w:r>
        <w:t xml:space="preserve">, segundo o Despacho nº 46/2024 da </w:t>
      </w:r>
      <w:r w:rsidRPr="009D4689">
        <w:t>Gerência de Gestão de Créditos de Órgãos e Entidades Estaduais da ECONOMIA</w:t>
      </w:r>
      <w:r>
        <w:t>, página 10 (evento 26):</w:t>
      </w:r>
    </w:p>
    <w:p w14:paraId="2D82FE47" w14:textId="77777777" w:rsidR="005B6463" w:rsidRPr="0010457E" w:rsidRDefault="005B6463" w:rsidP="005B6463">
      <w:pPr>
        <w:pStyle w:val="Citao"/>
        <w:rPr>
          <w:sz w:val="20"/>
        </w:rPr>
      </w:pPr>
      <w:r w:rsidRPr="0010457E">
        <w:rPr>
          <w:sz w:val="20"/>
        </w:rPr>
        <w:t>(...) alinha o Código Tributário Estadual ao entendimento do STF, fixando a Taxa SELIC como percentual a ser imputado ao crédito tributário a título de correção monetária e juros. E o entendimento era de que até 30/06/2021 aplicava-se a legislação vigente à época, que corrige o crédito tributário pelo índice IGP-DI e juros de 0,5% ao mês e a partir de 01/07/2021, os créditos são atualizados pela Taxa SELIC, que tem característica dúbia de juros e correção monetária.</w:t>
      </w:r>
    </w:p>
    <w:p w14:paraId="1561AF41" w14:textId="77777777" w:rsidR="005B6463" w:rsidRDefault="005B6463" w:rsidP="005B6463">
      <w:pPr>
        <w:pStyle w:val="1-REL11"/>
      </w:pPr>
      <w:r w:rsidRPr="00AB34E7">
        <w:t>Ainda segundo o documento, em 2023, a ECONOMIA passou a adotar administrativamente o Tema 1062</w:t>
      </w:r>
      <w:r>
        <w:t>/STF</w:t>
      </w:r>
      <w:r w:rsidRPr="00AB34E7">
        <w:t xml:space="preserve"> e </w:t>
      </w:r>
      <w:r>
        <w:t xml:space="preserve">o </w:t>
      </w:r>
      <w:r w:rsidRPr="00AB34E7">
        <w:t xml:space="preserve">aplicou em cerca </w:t>
      </w:r>
      <w:r>
        <w:t xml:space="preserve">de </w:t>
      </w:r>
      <w:r w:rsidRPr="00AB34E7">
        <w:t>11</w:t>
      </w:r>
      <w:r>
        <w:t xml:space="preserve"> mil</w:t>
      </w:r>
      <w:r w:rsidRPr="00AB34E7">
        <w:t xml:space="preserve"> processos</w:t>
      </w:r>
      <w:r>
        <w:t xml:space="preserve">, incorrendo em uma redução da dívida ativa de R$ 7,71 bilhões. Além disso, o despacho afirma </w:t>
      </w:r>
      <w:r w:rsidRPr="00315E38">
        <w:t>que para o exercício de 2024, está prevista a aplicação do Tema 1062</w:t>
      </w:r>
      <w:r>
        <w:t>/STF</w:t>
      </w:r>
      <w:r w:rsidRPr="00315E38">
        <w:t xml:space="preserve"> em toda a base de processos, sendo que cerca de 1</w:t>
      </w:r>
      <w:r>
        <w:t>,</w:t>
      </w:r>
      <w:r w:rsidRPr="00315E38">
        <w:t>1</w:t>
      </w:r>
      <w:r>
        <w:t> milhão</w:t>
      </w:r>
      <w:r w:rsidRPr="00315E38">
        <w:t xml:space="preserve"> estão inscritos em dívida ativa, o que resultará numa redução estimada de R$</w:t>
      </w:r>
      <w:r>
        <w:t> </w:t>
      </w:r>
      <w:r w:rsidRPr="00315E38">
        <w:t>8</w:t>
      </w:r>
      <w:r>
        <w:t>,</w:t>
      </w:r>
      <w:r w:rsidRPr="00315E38">
        <w:t>88</w:t>
      </w:r>
      <w:r>
        <w:t> bilhões no estoque.</w:t>
      </w:r>
    </w:p>
    <w:p w14:paraId="5F8D12B3" w14:textId="77777777" w:rsidR="005B6463" w:rsidRPr="00EA3242" w:rsidRDefault="005B6463" w:rsidP="005B6463">
      <w:pPr>
        <w:pStyle w:val="1-REL11"/>
      </w:pPr>
      <w:r>
        <w:t>Outro ponto relevante é quanto a</w:t>
      </w:r>
      <w:r w:rsidRPr="00722063">
        <w:t xml:space="preserve"> Lei nº 21.842/2023, que entrou em vigor em 11/04/2023</w:t>
      </w:r>
      <w:r>
        <w:t xml:space="preserve"> e</w:t>
      </w:r>
      <w:r w:rsidRPr="00722063">
        <w:t xml:space="preserve"> adicionou o </w:t>
      </w:r>
      <w:r>
        <w:t>§</w:t>
      </w:r>
      <w:r w:rsidRPr="00722063">
        <w:t xml:space="preserve"> 12 ao art. 71 do Código Tributário Estadual. Este parágrafo limita o valor da multa a 1% do valor total das operações de saídas e prestações de serviços realizadas nos 12 meses anteriores à lavratura do auto de infração. Em 2023,</w:t>
      </w:r>
      <w:r>
        <w:t xml:space="preserve"> a ECONOMIA, por meio do Despacho nº 46/2024, informa que</w:t>
      </w:r>
      <w:r w:rsidRPr="00722063">
        <w:t xml:space="preserve"> </w:t>
      </w:r>
      <w:r>
        <w:t>a</w:t>
      </w:r>
      <w:r w:rsidRPr="00722063">
        <w:t xml:space="preserve"> limitação foi aplicada</w:t>
      </w:r>
      <w:r>
        <w:t xml:space="preserve"> em, aproximadamente, </w:t>
      </w:r>
      <w:r w:rsidRPr="00722063">
        <w:t>70</w:t>
      </w:r>
      <w:r>
        <w:t xml:space="preserve"> </w:t>
      </w:r>
      <w:r w:rsidRPr="00722063">
        <w:t>processos</w:t>
      </w:r>
      <w:r>
        <w:t xml:space="preserve"> de maiores valores</w:t>
      </w:r>
      <w:r w:rsidRPr="00722063">
        <w:t xml:space="preserve">, </w:t>
      </w:r>
      <w:r>
        <w:t>resultando em uma baixa de</w:t>
      </w:r>
      <w:r w:rsidRPr="00722063">
        <w:t xml:space="preserve"> R$</w:t>
      </w:r>
      <w:r>
        <w:t> </w:t>
      </w:r>
      <w:r w:rsidRPr="00722063">
        <w:t>8</w:t>
      </w:r>
      <w:r>
        <w:t>,</w:t>
      </w:r>
      <w:r w:rsidRPr="00722063">
        <w:t>27</w:t>
      </w:r>
      <w:r>
        <w:t xml:space="preserve"> bilhões</w:t>
      </w:r>
      <w:r w:rsidRPr="00722063">
        <w:t>. Para 2024, espera-se que a limitação seja implementada em toda a base da dívida ativa que se adequ</w:t>
      </w:r>
      <w:r>
        <w:t>e</w:t>
      </w:r>
      <w:r w:rsidRPr="00722063">
        <w:t xml:space="preserve"> aos requisitos legais, atingindo cerca de 6.300 processos, com um valor estimado de</w:t>
      </w:r>
      <w:r>
        <w:t xml:space="preserve"> baixa de</w:t>
      </w:r>
      <w:r w:rsidRPr="00722063">
        <w:t xml:space="preserve"> R$ </w:t>
      </w:r>
      <w:r>
        <w:t>R$ </w:t>
      </w:r>
      <w:r w:rsidRPr="00722063">
        <w:t>6</w:t>
      </w:r>
      <w:r>
        <w:t>,</w:t>
      </w:r>
      <w:r w:rsidRPr="00722063">
        <w:t>98</w:t>
      </w:r>
      <w:r>
        <w:t xml:space="preserve"> bilhões</w:t>
      </w:r>
      <w:r w:rsidRPr="00722063">
        <w:t>.</w:t>
      </w:r>
    </w:p>
    <w:p w14:paraId="42133ECF" w14:textId="77777777" w:rsidR="005B6463" w:rsidRPr="00195D4D" w:rsidRDefault="005B6463" w:rsidP="005B6463">
      <w:pPr>
        <w:pStyle w:val="1-REL11"/>
      </w:pPr>
      <w:r w:rsidRPr="00195D4D">
        <w:lastRenderedPageBreak/>
        <w:t>Adicionalmente, foram encaminhadas informações gerenciais dando ênfase ao contexto processual, fase de cobrança e a situação cadastral do contribuinte em que se encontram os créditos inscritos:</w:t>
      </w:r>
    </w:p>
    <w:p w14:paraId="5DB26B42" w14:textId="77777777" w:rsidR="00FB59F5" w:rsidRDefault="005B6463" w:rsidP="00ED3571">
      <w:pPr>
        <w:pStyle w:val="0-TABELA"/>
      </w:pPr>
      <w:bookmarkStart w:id="425" w:name="_Ref165970796"/>
      <w:bookmarkStart w:id="426" w:name="_Ref167696821"/>
      <w:bookmarkStart w:id="427" w:name="_Toc167871819"/>
      <w:r w:rsidRPr="00445617">
        <w:t>Dívida Ativa – Situação Processual dos Créditos Inscritos</w:t>
      </w:r>
      <w:bookmarkEnd w:id="425"/>
      <w:r w:rsidR="00FB59F5">
        <w:t xml:space="preserve"> </w:t>
      </w:r>
      <w:r w:rsidR="00FB59F5" w:rsidRPr="00D67E49">
        <w:t>– 2023 x 2022</w:t>
      </w:r>
      <w:bookmarkEnd w:id="426"/>
      <w:bookmarkEnd w:id="427"/>
    </w:p>
    <w:p w14:paraId="55365F96" w14:textId="77777777" w:rsidR="005B6463" w:rsidRPr="00893593" w:rsidRDefault="005B6463" w:rsidP="005B6463">
      <w:pPr>
        <w:pStyle w:val="0-EmR"/>
        <w:rPr>
          <w:highlight w:val="red"/>
        </w:rPr>
      </w:pPr>
      <w:r>
        <w:t xml:space="preserve">R$ </w:t>
      </w:r>
      <w:r w:rsidRPr="00584A25">
        <w:t>mil</w:t>
      </w:r>
    </w:p>
    <w:tbl>
      <w:tblPr>
        <w:tblW w:w="5000" w:type="pct"/>
        <w:tblLayout w:type="fixed"/>
        <w:tblCellMar>
          <w:left w:w="70" w:type="dxa"/>
          <w:right w:w="70" w:type="dxa"/>
        </w:tblCellMar>
        <w:tblLook w:val="04A0" w:firstRow="1" w:lastRow="0" w:firstColumn="1" w:lastColumn="0" w:noHBand="0" w:noVBand="1"/>
      </w:tblPr>
      <w:tblGrid>
        <w:gridCol w:w="3686"/>
        <w:gridCol w:w="1136"/>
        <w:gridCol w:w="708"/>
        <w:gridCol w:w="1135"/>
        <w:gridCol w:w="707"/>
        <w:gridCol w:w="116"/>
        <w:gridCol w:w="1021"/>
        <w:gridCol w:w="118"/>
        <w:gridCol w:w="726"/>
      </w:tblGrid>
      <w:tr w:rsidR="00EF01A1" w:rsidRPr="00F3087B" w14:paraId="0D6A8693" w14:textId="77777777" w:rsidTr="00024F72">
        <w:trPr>
          <w:trHeight w:val="255"/>
          <w:tblHeader/>
        </w:trPr>
        <w:tc>
          <w:tcPr>
            <w:tcW w:w="1970" w:type="pct"/>
            <w:vMerge w:val="restart"/>
            <w:tcBorders>
              <w:top w:val="single" w:sz="4" w:space="0" w:color="auto"/>
              <w:left w:val="nil"/>
              <w:right w:val="single" w:sz="4" w:space="0" w:color="auto"/>
            </w:tcBorders>
            <w:shd w:val="clear" w:color="auto" w:fill="A1F2FD"/>
            <w:vAlign w:val="center"/>
            <w:hideMark/>
          </w:tcPr>
          <w:p w14:paraId="4FDEA442" w14:textId="18DF9AD4" w:rsidR="00EF01A1" w:rsidRPr="00F3087B" w:rsidRDefault="00EF01A1" w:rsidP="00EF01A1">
            <w:pPr>
              <w:jc w:val="center"/>
              <w:rPr>
                <w:rFonts w:cs="Arial"/>
                <w:b/>
                <w:bCs/>
                <w:color w:val="000000"/>
                <w:sz w:val="18"/>
                <w:szCs w:val="18"/>
              </w:rPr>
            </w:pPr>
            <w:r w:rsidRPr="00055D2E">
              <w:rPr>
                <w:rFonts w:cs="Arial"/>
                <w:b/>
                <w:bCs/>
                <w:color w:val="000000"/>
                <w:sz w:val="18"/>
                <w:szCs w:val="18"/>
              </w:rPr>
              <w:t>Estoque Dívida Ativa</w:t>
            </w:r>
          </w:p>
        </w:tc>
        <w:tc>
          <w:tcPr>
            <w:tcW w:w="607" w:type="pct"/>
            <w:vMerge w:val="restart"/>
            <w:tcBorders>
              <w:top w:val="single" w:sz="4" w:space="0" w:color="auto"/>
              <w:left w:val="single" w:sz="4" w:space="0" w:color="auto"/>
              <w:right w:val="single" w:sz="4" w:space="0" w:color="auto"/>
            </w:tcBorders>
            <w:shd w:val="clear" w:color="auto" w:fill="A1F2FD"/>
            <w:vAlign w:val="center"/>
            <w:hideMark/>
          </w:tcPr>
          <w:p w14:paraId="2B50575D" w14:textId="77777777" w:rsidR="00EF01A1" w:rsidRPr="00F3087B" w:rsidRDefault="00EF01A1" w:rsidP="00EF01A1">
            <w:pPr>
              <w:jc w:val="center"/>
              <w:rPr>
                <w:rFonts w:cs="Arial"/>
                <w:b/>
                <w:bCs/>
                <w:color w:val="000000"/>
                <w:sz w:val="18"/>
                <w:szCs w:val="18"/>
              </w:rPr>
            </w:pPr>
            <w:r w:rsidRPr="00F3087B">
              <w:rPr>
                <w:rFonts w:cs="Arial"/>
                <w:b/>
                <w:bCs/>
                <w:color w:val="000000"/>
                <w:sz w:val="18"/>
                <w:szCs w:val="18"/>
              </w:rPr>
              <w:t>2023</w:t>
            </w:r>
          </w:p>
        </w:tc>
        <w:tc>
          <w:tcPr>
            <w:tcW w:w="378" w:type="pct"/>
            <w:tcBorders>
              <w:top w:val="single" w:sz="4" w:space="0" w:color="auto"/>
              <w:left w:val="nil"/>
              <w:right w:val="single" w:sz="4" w:space="0" w:color="auto"/>
            </w:tcBorders>
            <w:shd w:val="clear" w:color="auto" w:fill="A1F2FD"/>
            <w:vAlign w:val="center"/>
            <w:hideMark/>
          </w:tcPr>
          <w:p w14:paraId="44344707" w14:textId="77777777" w:rsidR="00EF01A1" w:rsidRPr="00F3087B" w:rsidRDefault="00EF01A1" w:rsidP="00EF01A1">
            <w:pPr>
              <w:jc w:val="center"/>
              <w:rPr>
                <w:rFonts w:cs="Arial"/>
                <w:b/>
                <w:bCs/>
                <w:color w:val="000000"/>
                <w:sz w:val="18"/>
                <w:szCs w:val="18"/>
              </w:rPr>
            </w:pPr>
            <w:r w:rsidRPr="00F3087B">
              <w:rPr>
                <w:rFonts w:cs="Arial"/>
                <w:b/>
                <w:bCs/>
                <w:color w:val="000000"/>
                <w:sz w:val="18"/>
                <w:szCs w:val="18"/>
              </w:rPr>
              <w:t>AV 2023</w:t>
            </w:r>
          </w:p>
        </w:tc>
        <w:tc>
          <w:tcPr>
            <w:tcW w:w="607" w:type="pct"/>
            <w:vMerge w:val="restart"/>
            <w:tcBorders>
              <w:top w:val="single" w:sz="4" w:space="0" w:color="auto"/>
              <w:left w:val="single" w:sz="4" w:space="0" w:color="auto"/>
              <w:right w:val="single" w:sz="4" w:space="0" w:color="auto"/>
            </w:tcBorders>
            <w:shd w:val="clear" w:color="auto" w:fill="A1F2FD"/>
            <w:vAlign w:val="center"/>
            <w:hideMark/>
          </w:tcPr>
          <w:p w14:paraId="2495B2E2" w14:textId="77777777" w:rsidR="00EF01A1" w:rsidRPr="00F3087B" w:rsidRDefault="00EF01A1" w:rsidP="00EF01A1">
            <w:pPr>
              <w:jc w:val="center"/>
              <w:rPr>
                <w:rFonts w:cs="Arial"/>
                <w:b/>
                <w:bCs/>
                <w:color w:val="000000"/>
                <w:sz w:val="18"/>
                <w:szCs w:val="18"/>
              </w:rPr>
            </w:pPr>
            <w:r w:rsidRPr="00F3087B">
              <w:rPr>
                <w:rFonts w:cs="Arial"/>
                <w:b/>
                <w:bCs/>
                <w:color w:val="000000"/>
                <w:sz w:val="18"/>
                <w:szCs w:val="18"/>
              </w:rPr>
              <w:t>2022</w:t>
            </w:r>
          </w:p>
        </w:tc>
        <w:tc>
          <w:tcPr>
            <w:tcW w:w="378" w:type="pct"/>
            <w:tcBorders>
              <w:top w:val="single" w:sz="4" w:space="0" w:color="auto"/>
              <w:left w:val="nil"/>
              <w:right w:val="single" w:sz="4" w:space="0" w:color="auto"/>
            </w:tcBorders>
            <w:shd w:val="clear" w:color="auto" w:fill="A1F2FD"/>
            <w:vAlign w:val="center"/>
            <w:hideMark/>
          </w:tcPr>
          <w:p w14:paraId="1DFC4BB0" w14:textId="77777777" w:rsidR="00EF01A1" w:rsidRPr="00F3087B" w:rsidRDefault="00EF01A1" w:rsidP="00EF01A1">
            <w:pPr>
              <w:jc w:val="center"/>
              <w:rPr>
                <w:rFonts w:cs="Arial"/>
                <w:b/>
                <w:bCs/>
                <w:color w:val="000000"/>
                <w:sz w:val="18"/>
                <w:szCs w:val="18"/>
              </w:rPr>
            </w:pPr>
            <w:r w:rsidRPr="00F3087B">
              <w:rPr>
                <w:rFonts w:cs="Arial"/>
                <w:b/>
                <w:bCs/>
                <w:color w:val="000000"/>
                <w:sz w:val="18"/>
                <w:szCs w:val="18"/>
              </w:rPr>
              <w:t>AV 2022</w:t>
            </w:r>
          </w:p>
        </w:tc>
        <w:tc>
          <w:tcPr>
            <w:tcW w:w="1059" w:type="pct"/>
            <w:gridSpan w:val="4"/>
            <w:tcBorders>
              <w:top w:val="single" w:sz="4" w:space="0" w:color="auto"/>
              <w:left w:val="nil"/>
              <w:bottom w:val="single" w:sz="4" w:space="0" w:color="auto"/>
            </w:tcBorders>
            <w:shd w:val="clear" w:color="auto" w:fill="A1F2FD"/>
            <w:vAlign w:val="center"/>
            <w:hideMark/>
          </w:tcPr>
          <w:p w14:paraId="72F072A1" w14:textId="77777777" w:rsidR="00EF01A1" w:rsidRPr="00F3087B" w:rsidRDefault="00EF01A1" w:rsidP="00EF01A1">
            <w:pPr>
              <w:jc w:val="center"/>
              <w:rPr>
                <w:rFonts w:cs="Arial"/>
                <w:b/>
                <w:bCs/>
                <w:color w:val="000000"/>
                <w:sz w:val="18"/>
                <w:szCs w:val="18"/>
              </w:rPr>
            </w:pPr>
            <w:r w:rsidRPr="00F3087B">
              <w:rPr>
                <w:rFonts w:cs="Arial"/>
                <w:b/>
                <w:bCs/>
                <w:color w:val="000000"/>
                <w:sz w:val="18"/>
                <w:szCs w:val="18"/>
              </w:rPr>
              <w:t>∆ 2023 x 2022</w:t>
            </w:r>
          </w:p>
        </w:tc>
      </w:tr>
      <w:tr w:rsidR="00EF01A1" w:rsidRPr="000332A7" w14:paraId="2DA4F6DD" w14:textId="77777777" w:rsidTr="00024F72">
        <w:trPr>
          <w:trHeight w:val="255"/>
          <w:tblHeader/>
        </w:trPr>
        <w:tc>
          <w:tcPr>
            <w:tcW w:w="1970" w:type="pct"/>
            <w:vMerge/>
            <w:tcBorders>
              <w:left w:val="nil"/>
              <w:right w:val="single" w:sz="4" w:space="0" w:color="auto"/>
            </w:tcBorders>
            <w:shd w:val="clear" w:color="auto" w:fill="A1F2FD"/>
            <w:vAlign w:val="center"/>
            <w:hideMark/>
          </w:tcPr>
          <w:p w14:paraId="4AB96116" w14:textId="77777777" w:rsidR="00EF01A1" w:rsidRPr="000332A7" w:rsidRDefault="00EF01A1" w:rsidP="00EF01A1">
            <w:pPr>
              <w:jc w:val="left"/>
              <w:rPr>
                <w:rFonts w:cs="Arial"/>
                <w:b/>
                <w:bCs/>
                <w:color w:val="000000"/>
                <w:sz w:val="16"/>
                <w:szCs w:val="16"/>
              </w:rPr>
            </w:pPr>
          </w:p>
        </w:tc>
        <w:tc>
          <w:tcPr>
            <w:tcW w:w="607" w:type="pct"/>
            <w:vMerge/>
            <w:tcBorders>
              <w:left w:val="single" w:sz="4" w:space="0" w:color="auto"/>
              <w:right w:val="single" w:sz="4" w:space="0" w:color="auto"/>
            </w:tcBorders>
            <w:shd w:val="clear" w:color="auto" w:fill="A1F2FD"/>
            <w:vAlign w:val="center"/>
            <w:hideMark/>
          </w:tcPr>
          <w:p w14:paraId="44CE5EDC" w14:textId="77777777" w:rsidR="00EF01A1" w:rsidRPr="000332A7" w:rsidRDefault="00EF01A1" w:rsidP="00EF01A1">
            <w:pPr>
              <w:jc w:val="left"/>
              <w:rPr>
                <w:rFonts w:cs="Arial"/>
                <w:b/>
                <w:bCs/>
                <w:color w:val="000000"/>
                <w:sz w:val="16"/>
                <w:szCs w:val="16"/>
              </w:rPr>
            </w:pPr>
          </w:p>
        </w:tc>
        <w:tc>
          <w:tcPr>
            <w:tcW w:w="378" w:type="pct"/>
            <w:tcBorders>
              <w:left w:val="nil"/>
              <w:right w:val="single" w:sz="4" w:space="0" w:color="auto"/>
            </w:tcBorders>
            <w:shd w:val="clear" w:color="auto" w:fill="A1F2FD"/>
            <w:vAlign w:val="center"/>
            <w:hideMark/>
          </w:tcPr>
          <w:p w14:paraId="3C19FDE8" w14:textId="77777777" w:rsidR="00EF01A1" w:rsidRPr="00F3087B" w:rsidRDefault="00EF01A1" w:rsidP="00EF01A1">
            <w:pPr>
              <w:jc w:val="center"/>
              <w:rPr>
                <w:rFonts w:cs="Arial"/>
                <w:b/>
                <w:bCs/>
                <w:color w:val="000000"/>
                <w:sz w:val="18"/>
                <w:szCs w:val="16"/>
              </w:rPr>
            </w:pPr>
            <w:r w:rsidRPr="00F3087B">
              <w:rPr>
                <w:rFonts w:cs="Arial"/>
                <w:b/>
                <w:bCs/>
                <w:color w:val="000000"/>
                <w:sz w:val="18"/>
                <w:szCs w:val="16"/>
              </w:rPr>
              <w:t>%</w:t>
            </w:r>
          </w:p>
        </w:tc>
        <w:tc>
          <w:tcPr>
            <w:tcW w:w="607" w:type="pct"/>
            <w:vMerge/>
            <w:tcBorders>
              <w:left w:val="single" w:sz="4" w:space="0" w:color="auto"/>
              <w:right w:val="single" w:sz="4" w:space="0" w:color="auto"/>
            </w:tcBorders>
            <w:shd w:val="clear" w:color="auto" w:fill="A1F2FD"/>
            <w:vAlign w:val="center"/>
            <w:hideMark/>
          </w:tcPr>
          <w:p w14:paraId="4C2E7AE8" w14:textId="77777777" w:rsidR="00EF01A1" w:rsidRPr="00F3087B" w:rsidRDefault="00EF01A1" w:rsidP="00EF01A1">
            <w:pPr>
              <w:jc w:val="left"/>
              <w:rPr>
                <w:rFonts w:cs="Arial"/>
                <w:b/>
                <w:bCs/>
                <w:color w:val="000000"/>
                <w:sz w:val="18"/>
                <w:szCs w:val="16"/>
              </w:rPr>
            </w:pPr>
          </w:p>
        </w:tc>
        <w:tc>
          <w:tcPr>
            <w:tcW w:w="378" w:type="pct"/>
            <w:tcBorders>
              <w:left w:val="nil"/>
              <w:right w:val="single" w:sz="4" w:space="0" w:color="auto"/>
            </w:tcBorders>
            <w:shd w:val="clear" w:color="auto" w:fill="A1F2FD"/>
            <w:vAlign w:val="center"/>
            <w:hideMark/>
          </w:tcPr>
          <w:p w14:paraId="2E2DF704" w14:textId="77777777" w:rsidR="00EF01A1" w:rsidRPr="00F3087B" w:rsidRDefault="00EF01A1" w:rsidP="00EF01A1">
            <w:pPr>
              <w:jc w:val="center"/>
              <w:rPr>
                <w:rFonts w:cs="Arial"/>
                <w:b/>
                <w:bCs/>
                <w:color w:val="000000"/>
                <w:sz w:val="18"/>
                <w:szCs w:val="16"/>
              </w:rPr>
            </w:pPr>
            <w:r w:rsidRPr="00F3087B">
              <w:rPr>
                <w:rFonts w:cs="Arial"/>
                <w:b/>
                <w:bCs/>
                <w:color w:val="000000"/>
                <w:sz w:val="18"/>
                <w:szCs w:val="16"/>
              </w:rPr>
              <w:t>%</w:t>
            </w:r>
          </w:p>
        </w:tc>
        <w:tc>
          <w:tcPr>
            <w:tcW w:w="608" w:type="pct"/>
            <w:gridSpan w:val="2"/>
            <w:tcBorders>
              <w:top w:val="single" w:sz="4" w:space="0" w:color="auto"/>
              <w:left w:val="nil"/>
              <w:right w:val="single" w:sz="4" w:space="0" w:color="auto"/>
            </w:tcBorders>
            <w:shd w:val="clear" w:color="auto" w:fill="A1F2FD"/>
            <w:vAlign w:val="center"/>
            <w:hideMark/>
          </w:tcPr>
          <w:p w14:paraId="346A1B09" w14:textId="77777777" w:rsidR="00EF01A1" w:rsidRPr="00F3087B" w:rsidRDefault="00EF01A1" w:rsidP="00EF01A1">
            <w:pPr>
              <w:jc w:val="center"/>
              <w:rPr>
                <w:rFonts w:cs="Arial"/>
                <w:b/>
                <w:bCs/>
                <w:color w:val="000000"/>
                <w:sz w:val="18"/>
                <w:szCs w:val="16"/>
              </w:rPr>
            </w:pPr>
            <w:r w:rsidRPr="00F3087B">
              <w:rPr>
                <w:rFonts w:cs="Arial"/>
                <w:b/>
                <w:bCs/>
                <w:color w:val="000000"/>
                <w:sz w:val="18"/>
                <w:szCs w:val="16"/>
              </w:rPr>
              <w:t xml:space="preserve">R$ </w:t>
            </w:r>
          </w:p>
        </w:tc>
        <w:tc>
          <w:tcPr>
            <w:tcW w:w="451" w:type="pct"/>
            <w:gridSpan w:val="2"/>
            <w:tcBorders>
              <w:top w:val="single" w:sz="4" w:space="0" w:color="auto"/>
              <w:left w:val="nil"/>
              <w:right w:val="nil"/>
            </w:tcBorders>
            <w:shd w:val="clear" w:color="auto" w:fill="A1F2FD"/>
            <w:vAlign w:val="center"/>
            <w:hideMark/>
          </w:tcPr>
          <w:p w14:paraId="659C0627" w14:textId="77777777" w:rsidR="00EF01A1" w:rsidRPr="00F3087B" w:rsidRDefault="00EF01A1" w:rsidP="00EF01A1">
            <w:pPr>
              <w:jc w:val="center"/>
              <w:rPr>
                <w:rFonts w:cs="Arial"/>
                <w:b/>
                <w:bCs/>
                <w:color w:val="000000"/>
                <w:sz w:val="18"/>
                <w:szCs w:val="16"/>
              </w:rPr>
            </w:pPr>
            <w:r w:rsidRPr="00F3087B">
              <w:rPr>
                <w:rFonts w:cs="Arial"/>
                <w:b/>
                <w:bCs/>
                <w:color w:val="000000"/>
                <w:sz w:val="18"/>
                <w:szCs w:val="16"/>
              </w:rPr>
              <w:t>%</w:t>
            </w:r>
          </w:p>
        </w:tc>
      </w:tr>
      <w:tr w:rsidR="00EF01A1" w:rsidRPr="000332A7" w14:paraId="6BBDF563" w14:textId="77777777" w:rsidTr="00024F72">
        <w:trPr>
          <w:trHeight w:val="255"/>
          <w:tblHeader/>
        </w:trPr>
        <w:tc>
          <w:tcPr>
            <w:tcW w:w="1970" w:type="pct"/>
            <w:vMerge/>
            <w:tcBorders>
              <w:left w:val="nil"/>
              <w:bottom w:val="single" w:sz="4" w:space="0" w:color="auto"/>
              <w:right w:val="single" w:sz="4" w:space="0" w:color="auto"/>
            </w:tcBorders>
            <w:shd w:val="clear" w:color="auto" w:fill="A1F2FD"/>
            <w:vAlign w:val="center"/>
          </w:tcPr>
          <w:p w14:paraId="2C9F36F5" w14:textId="77777777" w:rsidR="00EF01A1" w:rsidRPr="000332A7" w:rsidRDefault="00EF01A1" w:rsidP="00EF01A1">
            <w:pPr>
              <w:jc w:val="left"/>
              <w:rPr>
                <w:rFonts w:cs="Arial"/>
                <w:b/>
                <w:bCs/>
                <w:color w:val="000000"/>
                <w:sz w:val="16"/>
                <w:szCs w:val="16"/>
              </w:rPr>
            </w:pPr>
          </w:p>
        </w:tc>
        <w:tc>
          <w:tcPr>
            <w:tcW w:w="607" w:type="pct"/>
            <w:tcBorders>
              <w:left w:val="single" w:sz="4" w:space="0" w:color="auto"/>
              <w:bottom w:val="single" w:sz="4" w:space="0" w:color="auto"/>
              <w:right w:val="single" w:sz="4" w:space="0" w:color="auto"/>
            </w:tcBorders>
            <w:shd w:val="clear" w:color="auto" w:fill="A1F2FD"/>
            <w:vAlign w:val="center"/>
          </w:tcPr>
          <w:p w14:paraId="730C1118" w14:textId="77777777" w:rsidR="00EF01A1" w:rsidRPr="000332A7" w:rsidRDefault="00EF01A1" w:rsidP="00EF01A1">
            <w:pPr>
              <w:jc w:val="center"/>
              <w:rPr>
                <w:rFonts w:cs="Arial"/>
                <w:b/>
                <w:bCs/>
                <w:color w:val="000000"/>
                <w:sz w:val="16"/>
                <w:szCs w:val="16"/>
              </w:rPr>
            </w:pPr>
            <w:r w:rsidRPr="003B30CD">
              <w:rPr>
                <w:rFonts w:cs="Arial"/>
                <w:b/>
                <w:bCs/>
                <w:color w:val="000000"/>
                <w:sz w:val="18"/>
                <w:szCs w:val="18"/>
              </w:rPr>
              <w:t>(a)</w:t>
            </w:r>
          </w:p>
        </w:tc>
        <w:tc>
          <w:tcPr>
            <w:tcW w:w="378" w:type="pct"/>
            <w:tcBorders>
              <w:left w:val="nil"/>
              <w:bottom w:val="single" w:sz="4" w:space="0" w:color="auto"/>
              <w:right w:val="single" w:sz="4" w:space="0" w:color="auto"/>
            </w:tcBorders>
            <w:shd w:val="clear" w:color="auto" w:fill="A1F2FD"/>
            <w:vAlign w:val="center"/>
          </w:tcPr>
          <w:p w14:paraId="30F8B97C" w14:textId="77777777" w:rsidR="00EF01A1" w:rsidRPr="00F3087B" w:rsidRDefault="00EF01A1" w:rsidP="00EF01A1">
            <w:pPr>
              <w:jc w:val="center"/>
              <w:rPr>
                <w:rFonts w:cs="Arial"/>
                <w:b/>
                <w:bCs/>
                <w:color w:val="000000"/>
                <w:sz w:val="18"/>
                <w:szCs w:val="16"/>
              </w:rPr>
            </w:pPr>
            <w:r w:rsidRPr="003B30CD">
              <w:rPr>
                <w:rFonts w:cs="Arial"/>
                <w:b/>
                <w:bCs/>
                <w:color w:val="000000"/>
                <w:sz w:val="18"/>
                <w:szCs w:val="18"/>
              </w:rPr>
              <w:t>(b)</w:t>
            </w:r>
          </w:p>
        </w:tc>
        <w:tc>
          <w:tcPr>
            <w:tcW w:w="607" w:type="pct"/>
            <w:tcBorders>
              <w:left w:val="single" w:sz="4" w:space="0" w:color="auto"/>
              <w:bottom w:val="single" w:sz="4" w:space="0" w:color="auto"/>
              <w:right w:val="single" w:sz="4" w:space="0" w:color="auto"/>
            </w:tcBorders>
            <w:shd w:val="clear" w:color="auto" w:fill="A1F2FD"/>
            <w:vAlign w:val="center"/>
          </w:tcPr>
          <w:p w14:paraId="50F095F3" w14:textId="77777777" w:rsidR="00EF01A1" w:rsidRPr="00F3087B" w:rsidRDefault="00EF01A1" w:rsidP="00EF01A1">
            <w:pPr>
              <w:jc w:val="center"/>
              <w:rPr>
                <w:rFonts w:cs="Arial"/>
                <w:b/>
                <w:bCs/>
                <w:color w:val="000000"/>
                <w:sz w:val="18"/>
                <w:szCs w:val="16"/>
              </w:rPr>
            </w:pPr>
            <w:r w:rsidRPr="003B30CD">
              <w:rPr>
                <w:rFonts w:cs="Arial"/>
                <w:b/>
                <w:bCs/>
                <w:color w:val="000000"/>
                <w:sz w:val="18"/>
                <w:szCs w:val="18"/>
              </w:rPr>
              <w:t>(c)</w:t>
            </w:r>
          </w:p>
        </w:tc>
        <w:tc>
          <w:tcPr>
            <w:tcW w:w="378" w:type="pct"/>
            <w:tcBorders>
              <w:left w:val="nil"/>
              <w:bottom w:val="single" w:sz="4" w:space="0" w:color="auto"/>
              <w:right w:val="single" w:sz="4" w:space="0" w:color="auto"/>
            </w:tcBorders>
            <w:shd w:val="clear" w:color="auto" w:fill="A1F2FD"/>
            <w:vAlign w:val="center"/>
          </w:tcPr>
          <w:p w14:paraId="38B56531" w14:textId="77777777" w:rsidR="00EF01A1" w:rsidRPr="00F3087B" w:rsidRDefault="00EF01A1" w:rsidP="00EF01A1">
            <w:pPr>
              <w:jc w:val="center"/>
              <w:rPr>
                <w:rFonts w:cs="Arial"/>
                <w:b/>
                <w:bCs/>
                <w:color w:val="000000"/>
                <w:sz w:val="18"/>
                <w:szCs w:val="16"/>
              </w:rPr>
            </w:pPr>
            <w:r w:rsidRPr="003B30CD">
              <w:rPr>
                <w:rFonts w:cs="Arial"/>
                <w:b/>
                <w:bCs/>
                <w:color w:val="000000"/>
                <w:sz w:val="18"/>
                <w:szCs w:val="18"/>
              </w:rPr>
              <w:t>(d)</w:t>
            </w:r>
          </w:p>
        </w:tc>
        <w:tc>
          <w:tcPr>
            <w:tcW w:w="608" w:type="pct"/>
            <w:gridSpan w:val="2"/>
            <w:tcBorders>
              <w:top w:val="nil"/>
              <w:left w:val="nil"/>
              <w:bottom w:val="single" w:sz="4" w:space="0" w:color="auto"/>
              <w:right w:val="single" w:sz="4" w:space="0" w:color="auto"/>
            </w:tcBorders>
            <w:shd w:val="clear" w:color="auto" w:fill="A1F2FD"/>
            <w:vAlign w:val="center"/>
          </w:tcPr>
          <w:p w14:paraId="21F7E171" w14:textId="77777777" w:rsidR="00EF01A1" w:rsidRPr="00F3087B" w:rsidRDefault="00EF01A1" w:rsidP="00EF01A1">
            <w:pPr>
              <w:jc w:val="center"/>
              <w:rPr>
                <w:rFonts w:cs="Arial"/>
                <w:b/>
                <w:bCs/>
                <w:color w:val="000000"/>
                <w:sz w:val="18"/>
                <w:szCs w:val="16"/>
              </w:rPr>
            </w:pPr>
            <w:r w:rsidRPr="003B30CD">
              <w:rPr>
                <w:rFonts w:cs="Arial"/>
                <w:b/>
                <w:bCs/>
                <w:color w:val="000000"/>
                <w:sz w:val="18"/>
                <w:szCs w:val="18"/>
              </w:rPr>
              <w:t>(e) =</w:t>
            </w:r>
            <w:r>
              <w:rPr>
                <w:rFonts w:cs="Arial"/>
                <w:b/>
                <w:bCs/>
                <w:color w:val="000000"/>
                <w:sz w:val="18"/>
                <w:szCs w:val="18"/>
              </w:rPr>
              <w:t xml:space="preserve"> </w:t>
            </w:r>
            <w:r w:rsidRPr="003B30CD">
              <w:rPr>
                <w:rFonts w:cs="Arial"/>
                <w:b/>
                <w:bCs/>
                <w:color w:val="000000"/>
                <w:sz w:val="18"/>
                <w:szCs w:val="18"/>
              </w:rPr>
              <w:t>(a-b)</w:t>
            </w:r>
          </w:p>
        </w:tc>
        <w:tc>
          <w:tcPr>
            <w:tcW w:w="451" w:type="pct"/>
            <w:gridSpan w:val="2"/>
            <w:tcBorders>
              <w:top w:val="nil"/>
              <w:left w:val="nil"/>
              <w:bottom w:val="single" w:sz="4" w:space="0" w:color="auto"/>
              <w:right w:val="nil"/>
            </w:tcBorders>
            <w:shd w:val="clear" w:color="auto" w:fill="A1F2FD"/>
            <w:vAlign w:val="center"/>
          </w:tcPr>
          <w:p w14:paraId="3D908152" w14:textId="77777777" w:rsidR="00EF01A1" w:rsidRPr="00F3087B" w:rsidRDefault="00EF01A1" w:rsidP="00EF01A1">
            <w:pPr>
              <w:ind w:left="-80" w:right="-77"/>
              <w:jc w:val="center"/>
              <w:rPr>
                <w:rFonts w:cs="Arial"/>
                <w:b/>
                <w:bCs/>
                <w:color w:val="000000"/>
                <w:sz w:val="18"/>
                <w:szCs w:val="16"/>
              </w:rPr>
            </w:pPr>
            <w:r w:rsidRPr="003B30CD">
              <w:rPr>
                <w:rFonts w:cs="Arial"/>
                <w:b/>
                <w:bCs/>
                <w:color w:val="000000"/>
                <w:sz w:val="18"/>
                <w:szCs w:val="18"/>
              </w:rPr>
              <w:t>(f)=(e/c)</w:t>
            </w:r>
          </w:p>
        </w:tc>
      </w:tr>
      <w:tr w:rsidR="00EF01A1" w:rsidRPr="00236F62" w14:paraId="57228F1E" w14:textId="77777777" w:rsidTr="00024F72">
        <w:trPr>
          <w:trHeight w:val="288"/>
        </w:trPr>
        <w:tc>
          <w:tcPr>
            <w:tcW w:w="1970" w:type="pct"/>
            <w:tcBorders>
              <w:top w:val="nil"/>
              <w:left w:val="nil"/>
              <w:bottom w:val="nil"/>
              <w:right w:val="single" w:sz="4" w:space="0" w:color="auto"/>
            </w:tcBorders>
            <w:shd w:val="clear" w:color="auto" w:fill="auto"/>
            <w:noWrap/>
            <w:vAlign w:val="center"/>
            <w:hideMark/>
          </w:tcPr>
          <w:p w14:paraId="5DFB83A8" w14:textId="77777777" w:rsidR="00EF01A1" w:rsidRPr="00055D2E" w:rsidRDefault="00EF01A1" w:rsidP="00EF01A1">
            <w:pPr>
              <w:jc w:val="left"/>
              <w:rPr>
                <w:rFonts w:cs="Arial"/>
                <w:b/>
                <w:bCs/>
                <w:color w:val="000000"/>
                <w:sz w:val="18"/>
                <w:szCs w:val="18"/>
              </w:rPr>
            </w:pPr>
            <w:r w:rsidRPr="00055D2E">
              <w:rPr>
                <w:rFonts w:cs="Arial"/>
                <w:b/>
                <w:bCs/>
                <w:color w:val="000000"/>
                <w:sz w:val="18"/>
                <w:szCs w:val="18"/>
              </w:rPr>
              <w:t>1- Inscritos (Total em Cobrança)</w:t>
            </w:r>
          </w:p>
        </w:tc>
        <w:tc>
          <w:tcPr>
            <w:tcW w:w="607" w:type="pct"/>
            <w:tcBorders>
              <w:top w:val="nil"/>
              <w:left w:val="nil"/>
              <w:bottom w:val="nil"/>
              <w:right w:val="single" w:sz="4" w:space="0" w:color="auto"/>
            </w:tcBorders>
            <w:shd w:val="clear" w:color="auto" w:fill="auto"/>
            <w:noWrap/>
            <w:vAlign w:val="center"/>
            <w:hideMark/>
          </w:tcPr>
          <w:p w14:paraId="14F6B33A" w14:textId="77777777" w:rsidR="00EF01A1" w:rsidRPr="00055D2E" w:rsidRDefault="00EF01A1" w:rsidP="00EF01A1">
            <w:pPr>
              <w:jc w:val="right"/>
              <w:rPr>
                <w:rFonts w:cs="Arial"/>
                <w:b/>
                <w:bCs/>
                <w:color w:val="000000"/>
                <w:sz w:val="18"/>
                <w:szCs w:val="18"/>
              </w:rPr>
            </w:pPr>
            <w:r w:rsidRPr="00055D2E">
              <w:rPr>
                <w:rFonts w:cs="Arial"/>
                <w:b/>
                <w:bCs/>
                <w:color w:val="000000"/>
                <w:sz w:val="18"/>
                <w:szCs w:val="18"/>
              </w:rPr>
              <w:t>59.748.903</w:t>
            </w:r>
          </w:p>
        </w:tc>
        <w:tc>
          <w:tcPr>
            <w:tcW w:w="378" w:type="pct"/>
            <w:tcBorders>
              <w:top w:val="nil"/>
              <w:left w:val="nil"/>
              <w:bottom w:val="nil"/>
              <w:right w:val="single" w:sz="4" w:space="0" w:color="auto"/>
            </w:tcBorders>
            <w:shd w:val="clear" w:color="auto" w:fill="auto"/>
            <w:noWrap/>
            <w:vAlign w:val="center"/>
            <w:hideMark/>
          </w:tcPr>
          <w:p w14:paraId="574680D3" w14:textId="77777777" w:rsidR="00EF01A1" w:rsidRPr="00055D2E" w:rsidRDefault="00EF01A1" w:rsidP="00EF01A1">
            <w:pPr>
              <w:jc w:val="center"/>
              <w:rPr>
                <w:rFonts w:cs="Arial"/>
                <w:b/>
                <w:bCs/>
                <w:color w:val="000000"/>
                <w:sz w:val="18"/>
                <w:szCs w:val="18"/>
              </w:rPr>
            </w:pPr>
            <w:r w:rsidRPr="00055D2E">
              <w:rPr>
                <w:rFonts w:cs="Arial"/>
                <w:b/>
                <w:bCs/>
                <w:color w:val="000000"/>
                <w:sz w:val="18"/>
                <w:szCs w:val="18"/>
              </w:rPr>
              <w:t>100,00</w:t>
            </w:r>
          </w:p>
        </w:tc>
        <w:tc>
          <w:tcPr>
            <w:tcW w:w="607" w:type="pct"/>
            <w:tcBorders>
              <w:top w:val="nil"/>
              <w:left w:val="nil"/>
              <w:bottom w:val="nil"/>
              <w:right w:val="single" w:sz="4" w:space="0" w:color="auto"/>
            </w:tcBorders>
            <w:shd w:val="clear" w:color="auto" w:fill="auto"/>
            <w:noWrap/>
            <w:vAlign w:val="center"/>
            <w:hideMark/>
          </w:tcPr>
          <w:p w14:paraId="46C906CD" w14:textId="77777777" w:rsidR="00EF01A1" w:rsidRPr="00055D2E" w:rsidRDefault="00EF01A1" w:rsidP="00EF01A1">
            <w:pPr>
              <w:jc w:val="right"/>
              <w:rPr>
                <w:rFonts w:cs="Arial"/>
                <w:b/>
                <w:bCs/>
                <w:color w:val="000000"/>
                <w:sz w:val="18"/>
                <w:szCs w:val="18"/>
              </w:rPr>
            </w:pPr>
            <w:r w:rsidRPr="00055D2E">
              <w:rPr>
                <w:rFonts w:cs="Arial"/>
                <w:b/>
                <w:bCs/>
                <w:color w:val="000000"/>
                <w:sz w:val="18"/>
                <w:szCs w:val="18"/>
              </w:rPr>
              <w:t>66.940.372</w:t>
            </w:r>
          </w:p>
        </w:tc>
        <w:tc>
          <w:tcPr>
            <w:tcW w:w="440" w:type="pct"/>
            <w:gridSpan w:val="2"/>
            <w:tcBorders>
              <w:top w:val="nil"/>
              <w:left w:val="nil"/>
              <w:bottom w:val="nil"/>
              <w:right w:val="single" w:sz="4" w:space="0" w:color="auto"/>
            </w:tcBorders>
            <w:shd w:val="clear" w:color="auto" w:fill="auto"/>
            <w:noWrap/>
            <w:vAlign w:val="center"/>
            <w:hideMark/>
          </w:tcPr>
          <w:p w14:paraId="2916D2BF" w14:textId="77777777" w:rsidR="00EF01A1" w:rsidRPr="00055D2E" w:rsidRDefault="00EF01A1" w:rsidP="00EF01A1">
            <w:pPr>
              <w:jc w:val="center"/>
              <w:rPr>
                <w:rFonts w:cs="Arial"/>
                <w:b/>
                <w:bCs/>
                <w:color w:val="000000"/>
                <w:sz w:val="18"/>
                <w:szCs w:val="18"/>
              </w:rPr>
            </w:pPr>
            <w:r w:rsidRPr="00055D2E">
              <w:rPr>
                <w:rFonts w:cs="Arial"/>
                <w:b/>
                <w:bCs/>
                <w:color w:val="000000"/>
                <w:sz w:val="18"/>
                <w:szCs w:val="18"/>
              </w:rPr>
              <w:t>100,00</w:t>
            </w:r>
          </w:p>
        </w:tc>
        <w:tc>
          <w:tcPr>
            <w:tcW w:w="609" w:type="pct"/>
            <w:gridSpan w:val="2"/>
            <w:tcBorders>
              <w:top w:val="nil"/>
              <w:left w:val="nil"/>
              <w:bottom w:val="nil"/>
              <w:right w:val="single" w:sz="4" w:space="0" w:color="auto"/>
            </w:tcBorders>
            <w:shd w:val="clear" w:color="auto" w:fill="auto"/>
            <w:noWrap/>
            <w:vAlign w:val="center"/>
            <w:hideMark/>
          </w:tcPr>
          <w:p w14:paraId="6B9FAEEB" w14:textId="77777777" w:rsidR="00EF01A1" w:rsidRPr="00055D2E" w:rsidRDefault="00EF01A1" w:rsidP="00EF01A1">
            <w:pPr>
              <w:jc w:val="right"/>
              <w:rPr>
                <w:rFonts w:cs="Arial"/>
                <w:b/>
                <w:bCs/>
                <w:color w:val="000000"/>
                <w:sz w:val="18"/>
                <w:szCs w:val="18"/>
              </w:rPr>
            </w:pPr>
            <w:r w:rsidRPr="00055D2E">
              <w:rPr>
                <w:rFonts w:cs="Arial"/>
                <w:b/>
                <w:bCs/>
                <w:color w:val="FF0000"/>
                <w:sz w:val="18"/>
                <w:szCs w:val="18"/>
              </w:rPr>
              <w:t>(7.191.469)</w:t>
            </w:r>
          </w:p>
        </w:tc>
        <w:tc>
          <w:tcPr>
            <w:tcW w:w="388" w:type="pct"/>
            <w:tcBorders>
              <w:top w:val="nil"/>
              <w:left w:val="nil"/>
              <w:bottom w:val="nil"/>
              <w:right w:val="nil"/>
            </w:tcBorders>
            <w:shd w:val="clear" w:color="auto" w:fill="auto"/>
            <w:noWrap/>
            <w:vAlign w:val="center"/>
            <w:hideMark/>
          </w:tcPr>
          <w:p w14:paraId="68065CCA" w14:textId="77777777" w:rsidR="00EF01A1" w:rsidRPr="00055D2E" w:rsidRDefault="00EF01A1" w:rsidP="00EF01A1">
            <w:pPr>
              <w:jc w:val="center"/>
              <w:rPr>
                <w:rFonts w:cs="Arial"/>
                <w:b/>
                <w:bCs/>
                <w:color w:val="000000"/>
                <w:sz w:val="18"/>
                <w:szCs w:val="18"/>
              </w:rPr>
            </w:pPr>
            <w:r w:rsidRPr="00055D2E">
              <w:rPr>
                <w:rFonts w:cs="Arial"/>
                <w:b/>
                <w:bCs/>
                <w:color w:val="FF0000"/>
                <w:sz w:val="18"/>
                <w:szCs w:val="18"/>
              </w:rPr>
              <w:t>(10,74)</w:t>
            </w:r>
          </w:p>
        </w:tc>
      </w:tr>
      <w:tr w:rsidR="00EF01A1" w:rsidRPr="00236F62" w14:paraId="20EC18C3" w14:textId="77777777" w:rsidTr="00024F72">
        <w:trPr>
          <w:trHeight w:val="288"/>
        </w:trPr>
        <w:tc>
          <w:tcPr>
            <w:tcW w:w="1970" w:type="pct"/>
            <w:tcBorders>
              <w:top w:val="nil"/>
              <w:left w:val="nil"/>
              <w:bottom w:val="nil"/>
              <w:right w:val="single" w:sz="4" w:space="0" w:color="auto"/>
            </w:tcBorders>
            <w:shd w:val="clear" w:color="auto" w:fill="auto"/>
            <w:noWrap/>
            <w:vAlign w:val="center"/>
            <w:hideMark/>
          </w:tcPr>
          <w:p w14:paraId="63D954A7" w14:textId="77777777" w:rsidR="00EF01A1" w:rsidRPr="00055D2E" w:rsidRDefault="00EF01A1" w:rsidP="00EF01A1">
            <w:pPr>
              <w:ind w:firstLine="214"/>
              <w:jc w:val="left"/>
              <w:rPr>
                <w:rFonts w:cs="Arial"/>
                <w:b/>
                <w:bCs/>
                <w:color w:val="000000"/>
                <w:sz w:val="18"/>
                <w:szCs w:val="18"/>
              </w:rPr>
            </w:pPr>
            <w:r w:rsidRPr="00055D2E">
              <w:rPr>
                <w:rFonts w:cs="Arial"/>
                <w:b/>
                <w:bCs/>
                <w:color w:val="000000"/>
                <w:sz w:val="18"/>
                <w:szCs w:val="18"/>
              </w:rPr>
              <w:t>1.1 Cobrança Judicial (Ajuizados)</w:t>
            </w:r>
          </w:p>
        </w:tc>
        <w:tc>
          <w:tcPr>
            <w:tcW w:w="607" w:type="pct"/>
            <w:tcBorders>
              <w:top w:val="nil"/>
              <w:left w:val="nil"/>
              <w:bottom w:val="nil"/>
              <w:right w:val="single" w:sz="4" w:space="0" w:color="auto"/>
            </w:tcBorders>
            <w:shd w:val="clear" w:color="auto" w:fill="auto"/>
            <w:noWrap/>
            <w:vAlign w:val="center"/>
            <w:hideMark/>
          </w:tcPr>
          <w:p w14:paraId="239173F2" w14:textId="77777777" w:rsidR="00EF01A1" w:rsidRPr="00055D2E" w:rsidRDefault="00EF01A1" w:rsidP="00EF01A1">
            <w:pPr>
              <w:jc w:val="right"/>
              <w:rPr>
                <w:rFonts w:cs="Arial"/>
                <w:b/>
                <w:bCs/>
                <w:color w:val="000000"/>
                <w:sz w:val="18"/>
                <w:szCs w:val="18"/>
              </w:rPr>
            </w:pPr>
            <w:r w:rsidRPr="00055D2E">
              <w:rPr>
                <w:rFonts w:cs="Arial"/>
                <w:b/>
                <w:bCs/>
                <w:color w:val="000000"/>
                <w:sz w:val="18"/>
                <w:szCs w:val="18"/>
              </w:rPr>
              <w:t>51.236.069</w:t>
            </w:r>
          </w:p>
        </w:tc>
        <w:tc>
          <w:tcPr>
            <w:tcW w:w="378" w:type="pct"/>
            <w:tcBorders>
              <w:top w:val="nil"/>
              <w:left w:val="nil"/>
              <w:bottom w:val="nil"/>
              <w:right w:val="single" w:sz="4" w:space="0" w:color="auto"/>
            </w:tcBorders>
            <w:shd w:val="clear" w:color="auto" w:fill="auto"/>
            <w:noWrap/>
            <w:vAlign w:val="center"/>
            <w:hideMark/>
          </w:tcPr>
          <w:p w14:paraId="1E19C642" w14:textId="77777777" w:rsidR="00EF01A1" w:rsidRPr="00055D2E" w:rsidRDefault="00EF01A1" w:rsidP="00EF01A1">
            <w:pPr>
              <w:jc w:val="center"/>
              <w:rPr>
                <w:rFonts w:cs="Arial"/>
                <w:b/>
                <w:bCs/>
                <w:color w:val="000000"/>
                <w:sz w:val="18"/>
                <w:szCs w:val="18"/>
              </w:rPr>
            </w:pPr>
            <w:r w:rsidRPr="00055D2E">
              <w:rPr>
                <w:rFonts w:cs="Arial"/>
                <w:b/>
                <w:bCs/>
                <w:color w:val="000000"/>
                <w:sz w:val="18"/>
                <w:szCs w:val="18"/>
              </w:rPr>
              <w:t>85,75</w:t>
            </w:r>
          </w:p>
        </w:tc>
        <w:tc>
          <w:tcPr>
            <w:tcW w:w="607" w:type="pct"/>
            <w:tcBorders>
              <w:top w:val="nil"/>
              <w:left w:val="nil"/>
              <w:bottom w:val="nil"/>
              <w:right w:val="single" w:sz="4" w:space="0" w:color="auto"/>
            </w:tcBorders>
            <w:shd w:val="clear" w:color="auto" w:fill="auto"/>
            <w:noWrap/>
            <w:vAlign w:val="center"/>
            <w:hideMark/>
          </w:tcPr>
          <w:p w14:paraId="5DD7A66B" w14:textId="77777777" w:rsidR="00EF01A1" w:rsidRPr="00055D2E" w:rsidRDefault="00EF01A1" w:rsidP="00EF01A1">
            <w:pPr>
              <w:jc w:val="right"/>
              <w:rPr>
                <w:rFonts w:cs="Arial"/>
                <w:b/>
                <w:bCs/>
                <w:color w:val="000000"/>
                <w:sz w:val="18"/>
                <w:szCs w:val="18"/>
              </w:rPr>
            </w:pPr>
            <w:r w:rsidRPr="00055D2E">
              <w:rPr>
                <w:rFonts w:cs="Arial"/>
                <w:b/>
                <w:bCs/>
                <w:color w:val="000000"/>
                <w:sz w:val="18"/>
                <w:szCs w:val="18"/>
              </w:rPr>
              <w:t>55.101.101</w:t>
            </w:r>
          </w:p>
        </w:tc>
        <w:tc>
          <w:tcPr>
            <w:tcW w:w="440" w:type="pct"/>
            <w:gridSpan w:val="2"/>
            <w:tcBorders>
              <w:top w:val="nil"/>
              <w:left w:val="nil"/>
              <w:bottom w:val="nil"/>
              <w:right w:val="single" w:sz="4" w:space="0" w:color="auto"/>
            </w:tcBorders>
            <w:shd w:val="clear" w:color="auto" w:fill="auto"/>
            <w:noWrap/>
            <w:vAlign w:val="center"/>
            <w:hideMark/>
          </w:tcPr>
          <w:p w14:paraId="35184BE9" w14:textId="77777777" w:rsidR="00EF01A1" w:rsidRPr="00055D2E" w:rsidRDefault="00EF01A1" w:rsidP="00EF01A1">
            <w:pPr>
              <w:jc w:val="center"/>
              <w:rPr>
                <w:rFonts w:cs="Arial"/>
                <w:b/>
                <w:bCs/>
                <w:color w:val="000000"/>
                <w:sz w:val="18"/>
                <w:szCs w:val="18"/>
              </w:rPr>
            </w:pPr>
            <w:r w:rsidRPr="00055D2E">
              <w:rPr>
                <w:rFonts w:cs="Arial"/>
                <w:b/>
                <w:bCs/>
                <w:color w:val="000000"/>
                <w:sz w:val="18"/>
                <w:szCs w:val="18"/>
              </w:rPr>
              <w:t>82,31</w:t>
            </w:r>
          </w:p>
        </w:tc>
        <w:tc>
          <w:tcPr>
            <w:tcW w:w="609" w:type="pct"/>
            <w:gridSpan w:val="2"/>
            <w:tcBorders>
              <w:top w:val="nil"/>
              <w:left w:val="nil"/>
              <w:bottom w:val="nil"/>
              <w:right w:val="single" w:sz="4" w:space="0" w:color="auto"/>
            </w:tcBorders>
            <w:shd w:val="clear" w:color="auto" w:fill="auto"/>
            <w:noWrap/>
            <w:vAlign w:val="center"/>
            <w:hideMark/>
          </w:tcPr>
          <w:p w14:paraId="0024F8D9" w14:textId="77777777" w:rsidR="00EF01A1" w:rsidRPr="00055D2E" w:rsidRDefault="00EF01A1" w:rsidP="00EF01A1">
            <w:pPr>
              <w:jc w:val="right"/>
              <w:rPr>
                <w:rFonts w:cs="Arial"/>
                <w:b/>
                <w:bCs/>
                <w:color w:val="000000"/>
                <w:sz w:val="18"/>
                <w:szCs w:val="18"/>
              </w:rPr>
            </w:pPr>
            <w:r w:rsidRPr="00055D2E">
              <w:rPr>
                <w:rFonts w:cs="Arial"/>
                <w:b/>
                <w:bCs/>
                <w:color w:val="FF0000"/>
                <w:sz w:val="18"/>
                <w:szCs w:val="18"/>
              </w:rPr>
              <w:t>(3.865.032)</w:t>
            </w:r>
          </w:p>
        </w:tc>
        <w:tc>
          <w:tcPr>
            <w:tcW w:w="388" w:type="pct"/>
            <w:tcBorders>
              <w:top w:val="nil"/>
              <w:left w:val="nil"/>
              <w:bottom w:val="nil"/>
              <w:right w:val="nil"/>
            </w:tcBorders>
            <w:shd w:val="clear" w:color="auto" w:fill="auto"/>
            <w:noWrap/>
            <w:vAlign w:val="center"/>
            <w:hideMark/>
          </w:tcPr>
          <w:p w14:paraId="256B5016" w14:textId="77777777" w:rsidR="00EF01A1" w:rsidRPr="00055D2E" w:rsidRDefault="00EF01A1" w:rsidP="00EF01A1">
            <w:pPr>
              <w:jc w:val="center"/>
              <w:rPr>
                <w:rFonts w:cs="Arial"/>
                <w:b/>
                <w:bCs/>
                <w:color w:val="000000"/>
                <w:sz w:val="18"/>
                <w:szCs w:val="18"/>
              </w:rPr>
            </w:pPr>
            <w:r w:rsidRPr="00055D2E">
              <w:rPr>
                <w:rFonts w:cs="Arial"/>
                <w:b/>
                <w:bCs/>
                <w:color w:val="FF0000"/>
                <w:sz w:val="18"/>
                <w:szCs w:val="18"/>
              </w:rPr>
              <w:t>(7,01)</w:t>
            </w:r>
          </w:p>
        </w:tc>
      </w:tr>
      <w:tr w:rsidR="00EF01A1" w:rsidRPr="00236F62" w14:paraId="5106BF0F" w14:textId="77777777" w:rsidTr="00024F72">
        <w:trPr>
          <w:trHeight w:val="288"/>
        </w:trPr>
        <w:tc>
          <w:tcPr>
            <w:tcW w:w="1970" w:type="pct"/>
            <w:tcBorders>
              <w:top w:val="nil"/>
              <w:left w:val="nil"/>
              <w:bottom w:val="nil"/>
              <w:right w:val="single" w:sz="4" w:space="0" w:color="auto"/>
            </w:tcBorders>
            <w:shd w:val="clear" w:color="auto" w:fill="auto"/>
            <w:noWrap/>
            <w:vAlign w:val="center"/>
            <w:hideMark/>
          </w:tcPr>
          <w:p w14:paraId="1C7EBE9E" w14:textId="77777777" w:rsidR="00EF01A1" w:rsidRPr="00055D2E" w:rsidRDefault="00EF01A1" w:rsidP="00EF01A1">
            <w:pPr>
              <w:ind w:firstLine="639"/>
              <w:jc w:val="left"/>
              <w:rPr>
                <w:rFonts w:cs="Arial"/>
                <w:color w:val="000000"/>
                <w:sz w:val="18"/>
                <w:szCs w:val="18"/>
              </w:rPr>
            </w:pPr>
            <w:r w:rsidRPr="00055D2E">
              <w:rPr>
                <w:rFonts w:cs="Arial"/>
                <w:color w:val="000000"/>
                <w:sz w:val="18"/>
                <w:szCs w:val="18"/>
              </w:rPr>
              <w:t>1.1.1 - Parcelados</w:t>
            </w:r>
          </w:p>
        </w:tc>
        <w:tc>
          <w:tcPr>
            <w:tcW w:w="607" w:type="pct"/>
            <w:tcBorders>
              <w:top w:val="nil"/>
              <w:left w:val="nil"/>
              <w:bottom w:val="nil"/>
              <w:right w:val="single" w:sz="4" w:space="0" w:color="auto"/>
            </w:tcBorders>
            <w:shd w:val="clear" w:color="auto" w:fill="auto"/>
            <w:noWrap/>
            <w:vAlign w:val="center"/>
            <w:hideMark/>
          </w:tcPr>
          <w:p w14:paraId="45637BB4" w14:textId="77777777" w:rsidR="00EF01A1" w:rsidRPr="00055D2E" w:rsidRDefault="00EF01A1" w:rsidP="00EF01A1">
            <w:pPr>
              <w:jc w:val="right"/>
              <w:rPr>
                <w:rFonts w:cs="Arial"/>
                <w:color w:val="000000"/>
                <w:sz w:val="18"/>
                <w:szCs w:val="18"/>
              </w:rPr>
            </w:pPr>
            <w:r w:rsidRPr="00055D2E">
              <w:rPr>
                <w:rFonts w:cs="Arial"/>
                <w:color w:val="000000"/>
                <w:sz w:val="18"/>
                <w:szCs w:val="18"/>
              </w:rPr>
              <w:t>455.210</w:t>
            </w:r>
          </w:p>
        </w:tc>
        <w:tc>
          <w:tcPr>
            <w:tcW w:w="378" w:type="pct"/>
            <w:tcBorders>
              <w:top w:val="nil"/>
              <w:left w:val="nil"/>
              <w:bottom w:val="nil"/>
              <w:right w:val="single" w:sz="4" w:space="0" w:color="auto"/>
            </w:tcBorders>
            <w:shd w:val="clear" w:color="auto" w:fill="auto"/>
            <w:noWrap/>
            <w:vAlign w:val="center"/>
            <w:hideMark/>
          </w:tcPr>
          <w:p w14:paraId="148D8D19" w14:textId="77777777" w:rsidR="00EF01A1" w:rsidRPr="00055D2E" w:rsidRDefault="00EF01A1" w:rsidP="00EF01A1">
            <w:pPr>
              <w:jc w:val="center"/>
              <w:rPr>
                <w:rFonts w:cs="Arial"/>
                <w:color w:val="000000"/>
                <w:sz w:val="18"/>
                <w:szCs w:val="18"/>
              </w:rPr>
            </w:pPr>
            <w:r w:rsidRPr="00055D2E">
              <w:rPr>
                <w:rFonts w:cs="Arial"/>
                <w:color w:val="000000"/>
                <w:sz w:val="18"/>
                <w:szCs w:val="18"/>
              </w:rPr>
              <w:t>0,76</w:t>
            </w:r>
          </w:p>
        </w:tc>
        <w:tc>
          <w:tcPr>
            <w:tcW w:w="607" w:type="pct"/>
            <w:tcBorders>
              <w:top w:val="nil"/>
              <w:left w:val="nil"/>
              <w:bottom w:val="nil"/>
              <w:right w:val="single" w:sz="4" w:space="0" w:color="auto"/>
            </w:tcBorders>
            <w:shd w:val="clear" w:color="auto" w:fill="auto"/>
            <w:noWrap/>
            <w:vAlign w:val="center"/>
            <w:hideMark/>
          </w:tcPr>
          <w:p w14:paraId="156AB05B" w14:textId="77777777" w:rsidR="00EF01A1" w:rsidRPr="00055D2E" w:rsidRDefault="00EF01A1" w:rsidP="00EF01A1">
            <w:pPr>
              <w:jc w:val="right"/>
              <w:rPr>
                <w:rFonts w:cs="Arial"/>
                <w:color w:val="000000"/>
                <w:sz w:val="18"/>
                <w:szCs w:val="18"/>
              </w:rPr>
            </w:pPr>
            <w:r w:rsidRPr="00055D2E">
              <w:rPr>
                <w:rFonts w:cs="Arial"/>
                <w:color w:val="000000"/>
                <w:sz w:val="18"/>
                <w:szCs w:val="18"/>
              </w:rPr>
              <w:t>555.759</w:t>
            </w:r>
          </w:p>
        </w:tc>
        <w:tc>
          <w:tcPr>
            <w:tcW w:w="440" w:type="pct"/>
            <w:gridSpan w:val="2"/>
            <w:tcBorders>
              <w:top w:val="nil"/>
              <w:left w:val="nil"/>
              <w:bottom w:val="nil"/>
              <w:right w:val="single" w:sz="4" w:space="0" w:color="auto"/>
            </w:tcBorders>
            <w:shd w:val="clear" w:color="auto" w:fill="auto"/>
            <w:noWrap/>
            <w:vAlign w:val="center"/>
            <w:hideMark/>
          </w:tcPr>
          <w:p w14:paraId="38FC5658" w14:textId="77777777" w:rsidR="00EF01A1" w:rsidRPr="00055D2E" w:rsidRDefault="00EF01A1" w:rsidP="00EF01A1">
            <w:pPr>
              <w:jc w:val="center"/>
              <w:rPr>
                <w:rFonts w:cs="Arial"/>
                <w:color w:val="000000"/>
                <w:sz w:val="18"/>
                <w:szCs w:val="18"/>
              </w:rPr>
            </w:pPr>
            <w:r w:rsidRPr="00055D2E">
              <w:rPr>
                <w:rFonts w:cs="Arial"/>
                <w:color w:val="000000"/>
                <w:sz w:val="18"/>
                <w:szCs w:val="18"/>
              </w:rPr>
              <w:t>0,83</w:t>
            </w:r>
          </w:p>
        </w:tc>
        <w:tc>
          <w:tcPr>
            <w:tcW w:w="609" w:type="pct"/>
            <w:gridSpan w:val="2"/>
            <w:tcBorders>
              <w:top w:val="nil"/>
              <w:left w:val="nil"/>
              <w:bottom w:val="nil"/>
              <w:right w:val="single" w:sz="4" w:space="0" w:color="auto"/>
            </w:tcBorders>
            <w:shd w:val="clear" w:color="auto" w:fill="auto"/>
            <w:noWrap/>
            <w:vAlign w:val="center"/>
            <w:hideMark/>
          </w:tcPr>
          <w:p w14:paraId="43894C27" w14:textId="77777777" w:rsidR="00EF01A1" w:rsidRPr="00055D2E" w:rsidRDefault="00EF01A1" w:rsidP="00EF01A1">
            <w:pPr>
              <w:jc w:val="right"/>
              <w:rPr>
                <w:rFonts w:cs="Arial"/>
                <w:color w:val="000000"/>
                <w:sz w:val="18"/>
                <w:szCs w:val="18"/>
              </w:rPr>
            </w:pPr>
            <w:r w:rsidRPr="00055D2E">
              <w:rPr>
                <w:rFonts w:cs="Arial"/>
                <w:color w:val="FF0000"/>
                <w:sz w:val="18"/>
                <w:szCs w:val="18"/>
              </w:rPr>
              <w:t>(100.549)</w:t>
            </w:r>
          </w:p>
        </w:tc>
        <w:tc>
          <w:tcPr>
            <w:tcW w:w="388" w:type="pct"/>
            <w:tcBorders>
              <w:top w:val="nil"/>
              <w:left w:val="nil"/>
              <w:bottom w:val="nil"/>
              <w:right w:val="nil"/>
            </w:tcBorders>
            <w:shd w:val="clear" w:color="auto" w:fill="auto"/>
            <w:noWrap/>
            <w:vAlign w:val="center"/>
            <w:hideMark/>
          </w:tcPr>
          <w:p w14:paraId="053B5A60" w14:textId="77777777" w:rsidR="00EF01A1" w:rsidRPr="00055D2E" w:rsidRDefault="00EF01A1" w:rsidP="00EF01A1">
            <w:pPr>
              <w:jc w:val="center"/>
              <w:rPr>
                <w:rFonts w:cs="Arial"/>
                <w:color w:val="000000"/>
                <w:sz w:val="18"/>
                <w:szCs w:val="18"/>
              </w:rPr>
            </w:pPr>
            <w:r w:rsidRPr="00055D2E">
              <w:rPr>
                <w:rFonts w:cs="Arial"/>
                <w:color w:val="FF0000"/>
                <w:sz w:val="18"/>
                <w:szCs w:val="18"/>
              </w:rPr>
              <w:t>(18,09)</w:t>
            </w:r>
          </w:p>
        </w:tc>
      </w:tr>
      <w:tr w:rsidR="00EF01A1" w:rsidRPr="00236F62" w14:paraId="4E382030" w14:textId="77777777" w:rsidTr="00024F72">
        <w:trPr>
          <w:trHeight w:val="288"/>
        </w:trPr>
        <w:tc>
          <w:tcPr>
            <w:tcW w:w="1970" w:type="pct"/>
            <w:tcBorders>
              <w:top w:val="nil"/>
              <w:left w:val="nil"/>
              <w:bottom w:val="nil"/>
              <w:right w:val="single" w:sz="4" w:space="0" w:color="auto"/>
            </w:tcBorders>
            <w:shd w:val="clear" w:color="auto" w:fill="auto"/>
            <w:noWrap/>
            <w:vAlign w:val="center"/>
            <w:hideMark/>
          </w:tcPr>
          <w:p w14:paraId="0ADC8668" w14:textId="77777777" w:rsidR="00EF01A1" w:rsidRPr="00055D2E" w:rsidRDefault="00EF01A1" w:rsidP="00EF01A1">
            <w:pPr>
              <w:ind w:firstLine="639"/>
              <w:jc w:val="left"/>
              <w:rPr>
                <w:rFonts w:cs="Arial"/>
                <w:color w:val="000000"/>
                <w:sz w:val="18"/>
                <w:szCs w:val="18"/>
              </w:rPr>
            </w:pPr>
            <w:r w:rsidRPr="00055D2E">
              <w:rPr>
                <w:rFonts w:cs="Arial"/>
                <w:color w:val="000000"/>
                <w:sz w:val="18"/>
                <w:szCs w:val="18"/>
              </w:rPr>
              <w:t>1.1.2 – Não Parcelados</w:t>
            </w:r>
          </w:p>
        </w:tc>
        <w:tc>
          <w:tcPr>
            <w:tcW w:w="607" w:type="pct"/>
            <w:tcBorders>
              <w:top w:val="nil"/>
              <w:left w:val="nil"/>
              <w:bottom w:val="nil"/>
              <w:right w:val="single" w:sz="4" w:space="0" w:color="auto"/>
            </w:tcBorders>
            <w:shd w:val="clear" w:color="auto" w:fill="auto"/>
            <w:noWrap/>
            <w:vAlign w:val="center"/>
            <w:hideMark/>
          </w:tcPr>
          <w:p w14:paraId="491D0318" w14:textId="77777777" w:rsidR="00EF01A1" w:rsidRPr="00055D2E" w:rsidRDefault="00EF01A1" w:rsidP="00EF01A1">
            <w:pPr>
              <w:jc w:val="right"/>
              <w:rPr>
                <w:rFonts w:cs="Arial"/>
                <w:color w:val="000000"/>
                <w:sz w:val="18"/>
                <w:szCs w:val="18"/>
              </w:rPr>
            </w:pPr>
            <w:r w:rsidRPr="00055D2E">
              <w:rPr>
                <w:rFonts w:cs="Arial"/>
                <w:color w:val="000000"/>
                <w:sz w:val="18"/>
                <w:szCs w:val="18"/>
              </w:rPr>
              <w:t>50.780.858</w:t>
            </w:r>
          </w:p>
        </w:tc>
        <w:tc>
          <w:tcPr>
            <w:tcW w:w="378" w:type="pct"/>
            <w:tcBorders>
              <w:top w:val="nil"/>
              <w:left w:val="nil"/>
              <w:bottom w:val="nil"/>
              <w:right w:val="single" w:sz="4" w:space="0" w:color="auto"/>
            </w:tcBorders>
            <w:shd w:val="clear" w:color="auto" w:fill="auto"/>
            <w:noWrap/>
            <w:vAlign w:val="center"/>
            <w:hideMark/>
          </w:tcPr>
          <w:p w14:paraId="790C9C36" w14:textId="77777777" w:rsidR="00EF01A1" w:rsidRPr="00055D2E" w:rsidRDefault="00EF01A1" w:rsidP="00EF01A1">
            <w:pPr>
              <w:jc w:val="center"/>
              <w:rPr>
                <w:rFonts w:cs="Arial"/>
                <w:color w:val="000000"/>
                <w:sz w:val="18"/>
                <w:szCs w:val="18"/>
              </w:rPr>
            </w:pPr>
            <w:r w:rsidRPr="00055D2E">
              <w:rPr>
                <w:rFonts w:cs="Arial"/>
                <w:color w:val="000000"/>
                <w:sz w:val="18"/>
                <w:szCs w:val="18"/>
              </w:rPr>
              <w:t>84,99</w:t>
            </w:r>
          </w:p>
        </w:tc>
        <w:tc>
          <w:tcPr>
            <w:tcW w:w="607" w:type="pct"/>
            <w:tcBorders>
              <w:top w:val="nil"/>
              <w:left w:val="nil"/>
              <w:bottom w:val="nil"/>
              <w:right w:val="single" w:sz="4" w:space="0" w:color="auto"/>
            </w:tcBorders>
            <w:shd w:val="clear" w:color="auto" w:fill="auto"/>
            <w:noWrap/>
            <w:vAlign w:val="center"/>
            <w:hideMark/>
          </w:tcPr>
          <w:p w14:paraId="73D1C46B" w14:textId="77777777" w:rsidR="00EF01A1" w:rsidRPr="00055D2E" w:rsidRDefault="00EF01A1" w:rsidP="00EF01A1">
            <w:pPr>
              <w:jc w:val="right"/>
              <w:rPr>
                <w:rFonts w:cs="Arial"/>
                <w:color w:val="000000"/>
                <w:sz w:val="18"/>
                <w:szCs w:val="18"/>
              </w:rPr>
            </w:pPr>
            <w:r w:rsidRPr="00055D2E">
              <w:rPr>
                <w:rFonts w:cs="Arial"/>
                <w:color w:val="000000"/>
                <w:sz w:val="18"/>
                <w:szCs w:val="18"/>
              </w:rPr>
              <w:t>54.545.342</w:t>
            </w:r>
          </w:p>
        </w:tc>
        <w:tc>
          <w:tcPr>
            <w:tcW w:w="440" w:type="pct"/>
            <w:gridSpan w:val="2"/>
            <w:tcBorders>
              <w:top w:val="nil"/>
              <w:left w:val="nil"/>
              <w:bottom w:val="nil"/>
              <w:right w:val="single" w:sz="4" w:space="0" w:color="auto"/>
            </w:tcBorders>
            <w:shd w:val="clear" w:color="auto" w:fill="auto"/>
            <w:noWrap/>
            <w:vAlign w:val="center"/>
            <w:hideMark/>
          </w:tcPr>
          <w:p w14:paraId="51692000" w14:textId="77777777" w:rsidR="00EF01A1" w:rsidRPr="00055D2E" w:rsidRDefault="00EF01A1" w:rsidP="00EF01A1">
            <w:pPr>
              <w:jc w:val="center"/>
              <w:rPr>
                <w:rFonts w:cs="Arial"/>
                <w:color w:val="000000"/>
                <w:sz w:val="18"/>
                <w:szCs w:val="18"/>
              </w:rPr>
            </w:pPr>
            <w:r w:rsidRPr="00055D2E">
              <w:rPr>
                <w:rFonts w:cs="Arial"/>
                <w:color w:val="000000"/>
                <w:sz w:val="18"/>
                <w:szCs w:val="18"/>
              </w:rPr>
              <w:t>81,48</w:t>
            </w:r>
          </w:p>
        </w:tc>
        <w:tc>
          <w:tcPr>
            <w:tcW w:w="609" w:type="pct"/>
            <w:gridSpan w:val="2"/>
            <w:tcBorders>
              <w:top w:val="nil"/>
              <w:left w:val="nil"/>
              <w:bottom w:val="nil"/>
              <w:right w:val="single" w:sz="4" w:space="0" w:color="auto"/>
            </w:tcBorders>
            <w:shd w:val="clear" w:color="auto" w:fill="auto"/>
            <w:noWrap/>
            <w:vAlign w:val="center"/>
            <w:hideMark/>
          </w:tcPr>
          <w:p w14:paraId="48FD85D4" w14:textId="77777777" w:rsidR="00EF01A1" w:rsidRPr="00055D2E" w:rsidRDefault="00EF01A1" w:rsidP="00EF01A1">
            <w:pPr>
              <w:jc w:val="right"/>
              <w:rPr>
                <w:rFonts w:cs="Arial"/>
                <w:color w:val="000000"/>
                <w:sz w:val="18"/>
                <w:szCs w:val="18"/>
              </w:rPr>
            </w:pPr>
            <w:r w:rsidRPr="00055D2E">
              <w:rPr>
                <w:rFonts w:cs="Arial"/>
                <w:color w:val="FF0000"/>
                <w:sz w:val="18"/>
                <w:szCs w:val="18"/>
              </w:rPr>
              <w:t>(3.764.484)</w:t>
            </w:r>
          </w:p>
        </w:tc>
        <w:tc>
          <w:tcPr>
            <w:tcW w:w="388" w:type="pct"/>
            <w:tcBorders>
              <w:top w:val="nil"/>
              <w:left w:val="nil"/>
              <w:bottom w:val="nil"/>
              <w:right w:val="nil"/>
            </w:tcBorders>
            <w:shd w:val="clear" w:color="auto" w:fill="auto"/>
            <w:noWrap/>
            <w:vAlign w:val="center"/>
            <w:hideMark/>
          </w:tcPr>
          <w:p w14:paraId="4103EA16" w14:textId="77777777" w:rsidR="00EF01A1" w:rsidRPr="00055D2E" w:rsidRDefault="00EF01A1" w:rsidP="00EF01A1">
            <w:pPr>
              <w:jc w:val="center"/>
              <w:rPr>
                <w:rFonts w:cs="Arial"/>
                <w:color w:val="000000"/>
                <w:sz w:val="18"/>
                <w:szCs w:val="18"/>
              </w:rPr>
            </w:pPr>
            <w:r w:rsidRPr="00055D2E">
              <w:rPr>
                <w:rFonts w:cs="Arial"/>
                <w:color w:val="FF0000"/>
                <w:sz w:val="18"/>
                <w:szCs w:val="18"/>
              </w:rPr>
              <w:t>(6,90)</w:t>
            </w:r>
          </w:p>
        </w:tc>
      </w:tr>
      <w:tr w:rsidR="00EF01A1" w:rsidRPr="00236F62" w14:paraId="7000FA00" w14:textId="77777777" w:rsidTr="00024F72">
        <w:trPr>
          <w:trHeight w:val="288"/>
        </w:trPr>
        <w:tc>
          <w:tcPr>
            <w:tcW w:w="1970" w:type="pct"/>
            <w:tcBorders>
              <w:top w:val="nil"/>
              <w:left w:val="nil"/>
              <w:bottom w:val="nil"/>
              <w:right w:val="single" w:sz="4" w:space="0" w:color="auto"/>
            </w:tcBorders>
            <w:shd w:val="clear" w:color="auto" w:fill="auto"/>
            <w:noWrap/>
            <w:vAlign w:val="center"/>
            <w:hideMark/>
          </w:tcPr>
          <w:p w14:paraId="5A37B53E" w14:textId="77777777" w:rsidR="00EF01A1" w:rsidRPr="00055D2E" w:rsidRDefault="00EF01A1" w:rsidP="00EF01A1">
            <w:pPr>
              <w:ind w:left="214"/>
              <w:jc w:val="left"/>
              <w:rPr>
                <w:rFonts w:cs="Arial"/>
                <w:b/>
                <w:bCs/>
                <w:color w:val="000000"/>
                <w:sz w:val="18"/>
                <w:szCs w:val="18"/>
              </w:rPr>
            </w:pPr>
            <w:r w:rsidRPr="00055D2E">
              <w:rPr>
                <w:rFonts w:cs="Arial"/>
                <w:b/>
                <w:bCs/>
                <w:color w:val="000000"/>
                <w:sz w:val="18"/>
                <w:szCs w:val="18"/>
              </w:rPr>
              <w:t>1.2 – Cobrança Administrativa (Não Ajuizados)</w:t>
            </w:r>
          </w:p>
        </w:tc>
        <w:tc>
          <w:tcPr>
            <w:tcW w:w="607" w:type="pct"/>
            <w:tcBorders>
              <w:top w:val="nil"/>
              <w:left w:val="nil"/>
              <w:bottom w:val="nil"/>
              <w:right w:val="single" w:sz="4" w:space="0" w:color="auto"/>
            </w:tcBorders>
            <w:shd w:val="clear" w:color="auto" w:fill="auto"/>
            <w:noWrap/>
            <w:vAlign w:val="center"/>
            <w:hideMark/>
          </w:tcPr>
          <w:p w14:paraId="2630E344" w14:textId="77777777" w:rsidR="00EF01A1" w:rsidRPr="00055D2E" w:rsidRDefault="00EF01A1" w:rsidP="00EF01A1">
            <w:pPr>
              <w:jc w:val="right"/>
              <w:rPr>
                <w:rFonts w:cs="Arial"/>
                <w:b/>
                <w:bCs/>
                <w:color w:val="000000"/>
                <w:sz w:val="18"/>
                <w:szCs w:val="18"/>
              </w:rPr>
            </w:pPr>
            <w:r w:rsidRPr="00055D2E">
              <w:rPr>
                <w:rFonts w:cs="Arial"/>
                <w:b/>
                <w:bCs/>
                <w:color w:val="000000"/>
                <w:sz w:val="18"/>
                <w:szCs w:val="18"/>
              </w:rPr>
              <w:t>8.512.834</w:t>
            </w:r>
          </w:p>
        </w:tc>
        <w:tc>
          <w:tcPr>
            <w:tcW w:w="378" w:type="pct"/>
            <w:tcBorders>
              <w:top w:val="nil"/>
              <w:left w:val="nil"/>
              <w:bottom w:val="nil"/>
              <w:right w:val="single" w:sz="4" w:space="0" w:color="auto"/>
            </w:tcBorders>
            <w:shd w:val="clear" w:color="auto" w:fill="auto"/>
            <w:noWrap/>
            <w:vAlign w:val="center"/>
            <w:hideMark/>
          </w:tcPr>
          <w:p w14:paraId="3C8B7614" w14:textId="77777777" w:rsidR="00EF01A1" w:rsidRPr="00055D2E" w:rsidRDefault="00EF01A1" w:rsidP="00EF01A1">
            <w:pPr>
              <w:jc w:val="center"/>
              <w:rPr>
                <w:rFonts w:cs="Arial"/>
                <w:b/>
                <w:bCs/>
                <w:color w:val="000000"/>
                <w:sz w:val="18"/>
                <w:szCs w:val="18"/>
              </w:rPr>
            </w:pPr>
            <w:r w:rsidRPr="00055D2E">
              <w:rPr>
                <w:rFonts w:cs="Arial"/>
                <w:b/>
                <w:bCs/>
                <w:color w:val="000000"/>
                <w:sz w:val="18"/>
                <w:szCs w:val="18"/>
              </w:rPr>
              <w:t>14,25</w:t>
            </w:r>
          </w:p>
        </w:tc>
        <w:tc>
          <w:tcPr>
            <w:tcW w:w="607" w:type="pct"/>
            <w:tcBorders>
              <w:top w:val="nil"/>
              <w:left w:val="nil"/>
              <w:bottom w:val="nil"/>
              <w:right w:val="single" w:sz="4" w:space="0" w:color="auto"/>
            </w:tcBorders>
            <w:shd w:val="clear" w:color="auto" w:fill="auto"/>
            <w:noWrap/>
            <w:vAlign w:val="center"/>
            <w:hideMark/>
          </w:tcPr>
          <w:p w14:paraId="4D3DB6F4" w14:textId="77777777" w:rsidR="00EF01A1" w:rsidRPr="00055D2E" w:rsidRDefault="00EF01A1" w:rsidP="00EF01A1">
            <w:pPr>
              <w:jc w:val="right"/>
              <w:rPr>
                <w:rFonts w:cs="Arial"/>
                <w:b/>
                <w:bCs/>
                <w:color w:val="000000"/>
                <w:sz w:val="18"/>
                <w:szCs w:val="18"/>
              </w:rPr>
            </w:pPr>
            <w:r w:rsidRPr="00055D2E">
              <w:rPr>
                <w:rFonts w:cs="Arial"/>
                <w:b/>
                <w:bCs/>
                <w:color w:val="000000"/>
                <w:sz w:val="18"/>
                <w:szCs w:val="18"/>
              </w:rPr>
              <w:t>11.839.271</w:t>
            </w:r>
          </w:p>
        </w:tc>
        <w:tc>
          <w:tcPr>
            <w:tcW w:w="440" w:type="pct"/>
            <w:gridSpan w:val="2"/>
            <w:tcBorders>
              <w:top w:val="nil"/>
              <w:left w:val="nil"/>
              <w:bottom w:val="nil"/>
              <w:right w:val="single" w:sz="4" w:space="0" w:color="auto"/>
            </w:tcBorders>
            <w:shd w:val="clear" w:color="auto" w:fill="auto"/>
            <w:noWrap/>
            <w:vAlign w:val="center"/>
            <w:hideMark/>
          </w:tcPr>
          <w:p w14:paraId="53A098BD" w14:textId="77777777" w:rsidR="00EF01A1" w:rsidRPr="00055D2E" w:rsidRDefault="00EF01A1" w:rsidP="00EF01A1">
            <w:pPr>
              <w:jc w:val="center"/>
              <w:rPr>
                <w:rFonts w:cs="Arial"/>
                <w:b/>
                <w:bCs/>
                <w:color w:val="000000"/>
                <w:sz w:val="18"/>
                <w:szCs w:val="18"/>
              </w:rPr>
            </w:pPr>
            <w:r w:rsidRPr="00055D2E">
              <w:rPr>
                <w:rFonts w:cs="Arial"/>
                <w:b/>
                <w:bCs/>
                <w:color w:val="000000"/>
                <w:sz w:val="18"/>
                <w:szCs w:val="18"/>
              </w:rPr>
              <w:t>17,69</w:t>
            </w:r>
          </w:p>
        </w:tc>
        <w:tc>
          <w:tcPr>
            <w:tcW w:w="609" w:type="pct"/>
            <w:gridSpan w:val="2"/>
            <w:tcBorders>
              <w:top w:val="nil"/>
              <w:left w:val="nil"/>
              <w:bottom w:val="nil"/>
              <w:right w:val="single" w:sz="4" w:space="0" w:color="auto"/>
            </w:tcBorders>
            <w:shd w:val="clear" w:color="auto" w:fill="auto"/>
            <w:noWrap/>
            <w:vAlign w:val="center"/>
            <w:hideMark/>
          </w:tcPr>
          <w:p w14:paraId="53106C4A" w14:textId="77777777" w:rsidR="00EF01A1" w:rsidRPr="00055D2E" w:rsidRDefault="00EF01A1" w:rsidP="00EF01A1">
            <w:pPr>
              <w:jc w:val="right"/>
              <w:rPr>
                <w:rFonts w:cs="Arial"/>
                <w:b/>
                <w:bCs/>
                <w:color w:val="000000"/>
                <w:sz w:val="18"/>
                <w:szCs w:val="18"/>
              </w:rPr>
            </w:pPr>
            <w:r w:rsidRPr="00055D2E">
              <w:rPr>
                <w:rFonts w:cs="Arial"/>
                <w:b/>
                <w:bCs/>
                <w:color w:val="FF0000"/>
                <w:sz w:val="18"/>
                <w:szCs w:val="18"/>
              </w:rPr>
              <w:t>(3.326.437)</w:t>
            </w:r>
          </w:p>
        </w:tc>
        <w:tc>
          <w:tcPr>
            <w:tcW w:w="388" w:type="pct"/>
            <w:tcBorders>
              <w:top w:val="nil"/>
              <w:left w:val="nil"/>
              <w:bottom w:val="nil"/>
              <w:right w:val="nil"/>
            </w:tcBorders>
            <w:shd w:val="clear" w:color="auto" w:fill="auto"/>
            <w:noWrap/>
            <w:vAlign w:val="center"/>
            <w:hideMark/>
          </w:tcPr>
          <w:p w14:paraId="381746B9" w14:textId="77777777" w:rsidR="00EF01A1" w:rsidRPr="00055D2E" w:rsidRDefault="00EF01A1" w:rsidP="00EF01A1">
            <w:pPr>
              <w:jc w:val="center"/>
              <w:rPr>
                <w:rFonts w:cs="Arial"/>
                <w:b/>
                <w:bCs/>
                <w:color w:val="000000"/>
                <w:sz w:val="18"/>
                <w:szCs w:val="18"/>
              </w:rPr>
            </w:pPr>
            <w:r w:rsidRPr="00055D2E">
              <w:rPr>
                <w:rFonts w:cs="Arial"/>
                <w:b/>
                <w:bCs/>
                <w:color w:val="FF0000"/>
                <w:sz w:val="18"/>
                <w:szCs w:val="18"/>
              </w:rPr>
              <w:t>(28,10)</w:t>
            </w:r>
          </w:p>
        </w:tc>
      </w:tr>
      <w:tr w:rsidR="00EF01A1" w:rsidRPr="00236F62" w14:paraId="5F046EE1" w14:textId="77777777" w:rsidTr="00024F72">
        <w:trPr>
          <w:trHeight w:val="288"/>
        </w:trPr>
        <w:tc>
          <w:tcPr>
            <w:tcW w:w="1970" w:type="pct"/>
            <w:tcBorders>
              <w:top w:val="nil"/>
              <w:left w:val="nil"/>
              <w:bottom w:val="nil"/>
              <w:right w:val="single" w:sz="4" w:space="0" w:color="auto"/>
            </w:tcBorders>
            <w:shd w:val="clear" w:color="auto" w:fill="auto"/>
            <w:noWrap/>
            <w:vAlign w:val="center"/>
            <w:hideMark/>
          </w:tcPr>
          <w:p w14:paraId="7083C72F" w14:textId="77777777" w:rsidR="00EF01A1" w:rsidRPr="00055D2E" w:rsidRDefault="00EF01A1" w:rsidP="00EF01A1">
            <w:pPr>
              <w:ind w:left="639"/>
              <w:jc w:val="left"/>
              <w:rPr>
                <w:rFonts w:cs="Arial"/>
                <w:color w:val="000000"/>
                <w:sz w:val="18"/>
                <w:szCs w:val="18"/>
              </w:rPr>
            </w:pPr>
            <w:r w:rsidRPr="00055D2E">
              <w:rPr>
                <w:rFonts w:cs="Arial"/>
                <w:color w:val="000000"/>
                <w:sz w:val="18"/>
                <w:szCs w:val="18"/>
              </w:rPr>
              <w:t>1.2.1 – Parcelados</w:t>
            </w:r>
          </w:p>
        </w:tc>
        <w:tc>
          <w:tcPr>
            <w:tcW w:w="607" w:type="pct"/>
            <w:tcBorders>
              <w:top w:val="nil"/>
              <w:left w:val="nil"/>
              <w:bottom w:val="nil"/>
              <w:right w:val="single" w:sz="4" w:space="0" w:color="auto"/>
            </w:tcBorders>
            <w:shd w:val="clear" w:color="auto" w:fill="auto"/>
            <w:noWrap/>
            <w:vAlign w:val="center"/>
            <w:hideMark/>
          </w:tcPr>
          <w:p w14:paraId="0A7D5994" w14:textId="77777777" w:rsidR="00EF01A1" w:rsidRPr="00055D2E" w:rsidRDefault="00EF01A1" w:rsidP="00EF01A1">
            <w:pPr>
              <w:jc w:val="right"/>
              <w:rPr>
                <w:rFonts w:cs="Arial"/>
                <w:color w:val="000000"/>
                <w:sz w:val="18"/>
                <w:szCs w:val="18"/>
              </w:rPr>
            </w:pPr>
            <w:r w:rsidRPr="00055D2E">
              <w:rPr>
                <w:rFonts w:cs="Arial"/>
                <w:color w:val="000000"/>
                <w:sz w:val="18"/>
                <w:szCs w:val="18"/>
              </w:rPr>
              <w:t>409.783</w:t>
            </w:r>
          </w:p>
        </w:tc>
        <w:tc>
          <w:tcPr>
            <w:tcW w:w="378" w:type="pct"/>
            <w:tcBorders>
              <w:top w:val="nil"/>
              <w:left w:val="nil"/>
              <w:bottom w:val="nil"/>
              <w:right w:val="single" w:sz="4" w:space="0" w:color="auto"/>
            </w:tcBorders>
            <w:shd w:val="clear" w:color="auto" w:fill="auto"/>
            <w:noWrap/>
            <w:vAlign w:val="center"/>
            <w:hideMark/>
          </w:tcPr>
          <w:p w14:paraId="05E22DDA" w14:textId="77777777" w:rsidR="00EF01A1" w:rsidRPr="00055D2E" w:rsidRDefault="00EF01A1" w:rsidP="00EF01A1">
            <w:pPr>
              <w:jc w:val="center"/>
              <w:rPr>
                <w:rFonts w:cs="Arial"/>
                <w:color w:val="000000"/>
                <w:sz w:val="18"/>
                <w:szCs w:val="18"/>
              </w:rPr>
            </w:pPr>
            <w:r w:rsidRPr="00055D2E">
              <w:rPr>
                <w:rFonts w:cs="Arial"/>
                <w:color w:val="000000"/>
                <w:sz w:val="18"/>
                <w:szCs w:val="18"/>
              </w:rPr>
              <w:t>0,69</w:t>
            </w:r>
          </w:p>
        </w:tc>
        <w:tc>
          <w:tcPr>
            <w:tcW w:w="607" w:type="pct"/>
            <w:tcBorders>
              <w:top w:val="nil"/>
              <w:left w:val="nil"/>
              <w:bottom w:val="nil"/>
              <w:right w:val="single" w:sz="4" w:space="0" w:color="auto"/>
            </w:tcBorders>
            <w:shd w:val="clear" w:color="auto" w:fill="auto"/>
            <w:noWrap/>
            <w:vAlign w:val="center"/>
            <w:hideMark/>
          </w:tcPr>
          <w:p w14:paraId="5105C8AE" w14:textId="77777777" w:rsidR="00EF01A1" w:rsidRPr="00055D2E" w:rsidRDefault="00EF01A1" w:rsidP="00EF01A1">
            <w:pPr>
              <w:jc w:val="right"/>
              <w:rPr>
                <w:rFonts w:cs="Arial"/>
                <w:color w:val="000000"/>
                <w:sz w:val="18"/>
                <w:szCs w:val="18"/>
              </w:rPr>
            </w:pPr>
            <w:r w:rsidRPr="00055D2E">
              <w:rPr>
                <w:rFonts w:cs="Arial"/>
                <w:color w:val="000000"/>
                <w:sz w:val="18"/>
                <w:szCs w:val="18"/>
              </w:rPr>
              <w:t>354.544</w:t>
            </w:r>
          </w:p>
        </w:tc>
        <w:tc>
          <w:tcPr>
            <w:tcW w:w="440" w:type="pct"/>
            <w:gridSpan w:val="2"/>
            <w:tcBorders>
              <w:top w:val="nil"/>
              <w:left w:val="nil"/>
              <w:bottom w:val="nil"/>
              <w:right w:val="single" w:sz="4" w:space="0" w:color="auto"/>
            </w:tcBorders>
            <w:shd w:val="clear" w:color="auto" w:fill="auto"/>
            <w:noWrap/>
            <w:vAlign w:val="center"/>
            <w:hideMark/>
          </w:tcPr>
          <w:p w14:paraId="65F095CC" w14:textId="77777777" w:rsidR="00EF01A1" w:rsidRPr="00055D2E" w:rsidRDefault="00EF01A1" w:rsidP="00EF01A1">
            <w:pPr>
              <w:jc w:val="center"/>
              <w:rPr>
                <w:rFonts w:cs="Arial"/>
                <w:color w:val="000000"/>
                <w:sz w:val="18"/>
                <w:szCs w:val="18"/>
              </w:rPr>
            </w:pPr>
            <w:r w:rsidRPr="00055D2E">
              <w:rPr>
                <w:rFonts w:cs="Arial"/>
                <w:color w:val="000000"/>
                <w:sz w:val="18"/>
                <w:szCs w:val="18"/>
              </w:rPr>
              <w:t>0,53</w:t>
            </w:r>
          </w:p>
        </w:tc>
        <w:tc>
          <w:tcPr>
            <w:tcW w:w="609" w:type="pct"/>
            <w:gridSpan w:val="2"/>
            <w:tcBorders>
              <w:top w:val="nil"/>
              <w:left w:val="nil"/>
              <w:bottom w:val="nil"/>
              <w:right w:val="single" w:sz="4" w:space="0" w:color="auto"/>
            </w:tcBorders>
            <w:shd w:val="clear" w:color="auto" w:fill="auto"/>
            <w:noWrap/>
            <w:vAlign w:val="center"/>
            <w:hideMark/>
          </w:tcPr>
          <w:p w14:paraId="59AFA41A" w14:textId="77777777" w:rsidR="00EF01A1" w:rsidRPr="00055D2E" w:rsidRDefault="00EF01A1" w:rsidP="00EF01A1">
            <w:pPr>
              <w:jc w:val="right"/>
              <w:rPr>
                <w:rFonts w:cs="Arial"/>
                <w:color w:val="000000"/>
                <w:sz w:val="18"/>
                <w:szCs w:val="18"/>
              </w:rPr>
            </w:pPr>
            <w:r w:rsidRPr="00055D2E">
              <w:rPr>
                <w:rFonts w:cs="Arial"/>
                <w:color w:val="000000"/>
                <w:sz w:val="18"/>
                <w:szCs w:val="18"/>
              </w:rPr>
              <w:t>55.239</w:t>
            </w:r>
          </w:p>
        </w:tc>
        <w:tc>
          <w:tcPr>
            <w:tcW w:w="388" w:type="pct"/>
            <w:tcBorders>
              <w:top w:val="nil"/>
              <w:left w:val="nil"/>
              <w:bottom w:val="nil"/>
              <w:right w:val="nil"/>
            </w:tcBorders>
            <w:shd w:val="clear" w:color="auto" w:fill="auto"/>
            <w:noWrap/>
            <w:vAlign w:val="center"/>
            <w:hideMark/>
          </w:tcPr>
          <w:p w14:paraId="42374FFD" w14:textId="77777777" w:rsidR="00EF01A1" w:rsidRPr="00055D2E" w:rsidRDefault="00EF01A1" w:rsidP="00EF01A1">
            <w:pPr>
              <w:jc w:val="center"/>
              <w:rPr>
                <w:rFonts w:cs="Arial"/>
                <w:color w:val="000000"/>
                <w:sz w:val="18"/>
                <w:szCs w:val="18"/>
              </w:rPr>
            </w:pPr>
            <w:r w:rsidRPr="00055D2E">
              <w:rPr>
                <w:rFonts w:cs="Arial"/>
                <w:color w:val="000000"/>
                <w:sz w:val="18"/>
                <w:szCs w:val="18"/>
              </w:rPr>
              <w:t>15,58</w:t>
            </w:r>
          </w:p>
        </w:tc>
      </w:tr>
      <w:tr w:rsidR="00EF01A1" w:rsidRPr="00236F62" w14:paraId="6CF79C4A" w14:textId="77777777" w:rsidTr="00024F72">
        <w:trPr>
          <w:trHeight w:val="288"/>
        </w:trPr>
        <w:tc>
          <w:tcPr>
            <w:tcW w:w="1970" w:type="pct"/>
            <w:tcBorders>
              <w:top w:val="nil"/>
              <w:left w:val="nil"/>
              <w:bottom w:val="single" w:sz="4" w:space="0" w:color="auto"/>
              <w:right w:val="single" w:sz="4" w:space="0" w:color="auto"/>
            </w:tcBorders>
            <w:shd w:val="clear" w:color="auto" w:fill="auto"/>
            <w:noWrap/>
            <w:vAlign w:val="center"/>
            <w:hideMark/>
          </w:tcPr>
          <w:p w14:paraId="481EA300" w14:textId="77777777" w:rsidR="00EF01A1" w:rsidRPr="00055D2E" w:rsidRDefault="00EF01A1" w:rsidP="00EF01A1">
            <w:pPr>
              <w:ind w:left="639"/>
              <w:jc w:val="left"/>
              <w:rPr>
                <w:rFonts w:cs="Arial"/>
                <w:color w:val="000000"/>
                <w:sz w:val="18"/>
                <w:szCs w:val="18"/>
              </w:rPr>
            </w:pPr>
            <w:r w:rsidRPr="00055D2E">
              <w:rPr>
                <w:rFonts w:cs="Arial"/>
                <w:color w:val="000000"/>
                <w:sz w:val="18"/>
                <w:szCs w:val="18"/>
              </w:rPr>
              <w:t>1.2.2 – Não Parcelados</w:t>
            </w:r>
          </w:p>
        </w:tc>
        <w:tc>
          <w:tcPr>
            <w:tcW w:w="607" w:type="pct"/>
            <w:tcBorders>
              <w:top w:val="nil"/>
              <w:left w:val="nil"/>
              <w:bottom w:val="single" w:sz="4" w:space="0" w:color="auto"/>
              <w:right w:val="single" w:sz="4" w:space="0" w:color="auto"/>
            </w:tcBorders>
            <w:shd w:val="clear" w:color="auto" w:fill="auto"/>
            <w:noWrap/>
            <w:vAlign w:val="center"/>
            <w:hideMark/>
          </w:tcPr>
          <w:p w14:paraId="5A601B1A" w14:textId="77777777" w:rsidR="00EF01A1" w:rsidRPr="00055D2E" w:rsidRDefault="00EF01A1" w:rsidP="00EF01A1">
            <w:pPr>
              <w:jc w:val="right"/>
              <w:rPr>
                <w:rFonts w:cs="Arial"/>
                <w:color w:val="000000"/>
                <w:sz w:val="18"/>
                <w:szCs w:val="18"/>
              </w:rPr>
            </w:pPr>
            <w:r w:rsidRPr="00055D2E">
              <w:rPr>
                <w:rFonts w:cs="Arial"/>
                <w:color w:val="000000"/>
                <w:sz w:val="18"/>
                <w:szCs w:val="18"/>
              </w:rPr>
              <w:t>8.103.051</w:t>
            </w:r>
          </w:p>
        </w:tc>
        <w:tc>
          <w:tcPr>
            <w:tcW w:w="378" w:type="pct"/>
            <w:tcBorders>
              <w:top w:val="nil"/>
              <w:left w:val="nil"/>
              <w:bottom w:val="single" w:sz="4" w:space="0" w:color="auto"/>
              <w:right w:val="single" w:sz="4" w:space="0" w:color="auto"/>
            </w:tcBorders>
            <w:shd w:val="clear" w:color="auto" w:fill="auto"/>
            <w:noWrap/>
            <w:vAlign w:val="center"/>
            <w:hideMark/>
          </w:tcPr>
          <w:p w14:paraId="33FCA810" w14:textId="77777777" w:rsidR="00EF01A1" w:rsidRPr="00055D2E" w:rsidRDefault="00EF01A1" w:rsidP="00EF01A1">
            <w:pPr>
              <w:jc w:val="center"/>
              <w:rPr>
                <w:rFonts w:cs="Arial"/>
                <w:color w:val="000000"/>
                <w:sz w:val="18"/>
                <w:szCs w:val="18"/>
              </w:rPr>
            </w:pPr>
            <w:r w:rsidRPr="00055D2E">
              <w:rPr>
                <w:rFonts w:cs="Arial"/>
                <w:color w:val="000000"/>
                <w:sz w:val="18"/>
                <w:szCs w:val="18"/>
              </w:rPr>
              <w:t>13,56</w:t>
            </w:r>
          </w:p>
        </w:tc>
        <w:tc>
          <w:tcPr>
            <w:tcW w:w="607" w:type="pct"/>
            <w:tcBorders>
              <w:top w:val="nil"/>
              <w:left w:val="nil"/>
              <w:bottom w:val="single" w:sz="4" w:space="0" w:color="auto"/>
              <w:right w:val="single" w:sz="4" w:space="0" w:color="auto"/>
            </w:tcBorders>
            <w:shd w:val="clear" w:color="auto" w:fill="auto"/>
            <w:noWrap/>
            <w:vAlign w:val="center"/>
            <w:hideMark/>
          </w:tcPr>
          <w:p w14:paraId="7EC82BB3" w14:textId="77777777" w:rsidR="00EF01A1" w:rsidRPr="00055D2E" w:rsidRDefault="00EF01A1" w:rsidP="00EF01A1">
            <w:pPr>
              <w:jc w:val="right"/>
              <w:rPr>
                <w:rFonts w:cs="Arial"/>
                <w:color w:val="000000"/>
                <w:sz w:val="18"/>
                <w:szCs w:val="18"/>
              </w:rPr>
            </w:pPr>
            <w:r w:rsidRPr="00055D2E">
              <w:rPr>
                <w:rFonts w:cs="Arial"/>
                <w:color w:val="000000"/>
                <w:sz w:val="18"/>
                <w:szCs w:val="18"/>
              </w:rPr>
              <w:t>11.484.726</w:t>
            </w:r>
          </w:p>
        </w:tc>
        <w:tc>
          <w:tcPr>
            <w:tcW w:w="440" w:type="pct"/>
            <w:gridSpan w:val="2"/>
            <w:tcBorders>
              <w:top w:val="nil"/>
              <w:left w:val="nil"/>
              <w:bottom w:val="single" w:sz="4" w:space="0" w:color="auto"/>
              <w:right w:val="single" w:sz="4" w:space="0" w:color="auto"/>
            </w:tcBorders>
            <w:shd w:val="clear" w:color="auto" w:fill="auto"/>
            <w:noWrap/>
            <w:vAlign w:val="center"/>
            <w:hideMark/>
          </w:tcPr>
          <w:p w14:paraId="60417394" w14:textId="77777777" w:rsidR="00EF01A1" w:rsidRPr="00055D2E" w:rsidRDefault="00EF01A1" w:rsidP="00EF01A1">
            <w:pPr>
              <w:jc w:val="center"/>
              <w:rPr>
                <w:rFonts w:cs="Arial"/>
                <w:color w:val="000000"/>
                <w:sz w:val="18"/>
                <w:szCs w:val="18"/>
              </w:rPr>
            </w:pPr>
            <w:r w:rsidRPr="00055D2E">
              <w:rPr>
                <w:rFonts w:cs="Arial"/>
                <w:color w:val="000000"/>
                <w:sz w:val="18"/>
                <w:szCs w:val="18"/>
              </w:rPr>
              <w:t>17,16</w:t>
            </w:r>
          </w:p>
        </w:tc>
        <w:tc>
          <w:tcPr>
            <w:tcW w:w="609" w:type="pct"/>
            <w:gridSpan w:val="2"/>
            <w:tcBorders>
              <w:top w:val="nil"/>
              <w:left w:val="nil"/>
              <w:bottom w:val="single" w:sz="4" w:space="0" w:color="auto"/>
              <w:right w:val="single" w:sz="4" w:space="0" w:color="auto"/>
            </w:tcBorders>
            <w:shd w:val="clear" w:color="auto" w:fill="auto"/>
            <w:noWrap/>
            <w:vAlign w:val="center"/>
            <w:hideMark/>
          </w:tcPr>
          <w:p w14:paraId="49FBD0DA" w14:textId="77777777" w:rsidR="00EF01A1" w:rsidRPr="00055D2E" w:rsidRDefault="00EF01A1" w:rsidP="00EF01A1">
            <w:pPr>
              <w:jc w:val="right"/>
              <w:rPr>
                <w:rFonts w:cs="Arial"/>
                <w:color w:val="000000"/>
                <w:sz w:val="18"/>
                <w:szCs w:val="18"/>
              </w:rPr>
            </w:pPr>
            <w:r w:rsidRPr="00055D2E">
              <w:rPr>
                <w:rFonts w:cs="Arial"/>
                <w:color w:val="FF0000"/>
                <w:sz w:val="18"/>
                <w:szCs w:val="18"/>
              </w:rPr>
              <w:t>(3.381.675)</w:t>
            </w:r>
          </w:p>
        </w:tc>
        <w:tc>
          <w:tcPr>
            <w:tcW w:w="388" w:type="pct"/>
            <w:tcBorders>
              <w:top w:val="nil"/>
              <w:left w:val="nil"/>
              <w:bottom w:val="single" w:sz="4" w:space="0" w:color="auto"/>
              <w:right w:val="nil"/>
            </w:tcBorders>
            <w:shd w:val="clear" w:color="auto" w:fill="auto"/>
            <w:noWrap/>
            <w:vAlign w:val="center"/>
            <w:hideMark/>
          </w:tcPr>
          <w:p w14:paraId="5C881E19" w14:textId="77777777" w:rsidR="00EF01A1" w:rsidRPr="00055D2E" w:rsidRDefault="00EF01A1" w:rsidP="00EF01A1">
            <w:pPr>
              <w:jc w:val="center"/>
              <w:rPr>
                <w:rFonts w:cs="Arial"/>
                <w:color w:val="000000"/>
                <w:sz w:val="18"/>
                <w:szCs w:val="18"/>
              </w:rPr>
            </w:pPr>
            <w:r w:rsidRPr="00055D2E">
              <w:rPr>
                <w:rFonts w:cs="Arial"/>
                <w:color w:val="FF0000"/>
                <w:sz w:val="18"/>
                <w:szCs w:val="18"/>
              </w:rPr>
              <w:t>(29,44)</w:t>
            </w:r>
          </w:p>
        </w:tc>
      </w:tr>
    </w:tbl>
    <w:p w14:paraId="7A7F5C1E" w14:textId="48A06A34" w:rsidR="00EF01A1" w:rsidRDefault="00FB59F5" w:rsidP="00EF01A1">
      <w:pPr>
        <w:pStyle w:val="1-FONTE8ESQ"/>
        <w:rPr>
          <w:rStyle w:val="fontstyle01"/>
          <w:i w:val="0"/>
          <w:iCs w:val="0"/>
        </w:rPr>
      </w:pPr>
      <w:r w:rsidRPr="00FB59F5">
        <w:t>Fonte: Despacho nº 46/2024/ECONOMIA/GCRED (BGE 2023)</w:t>
      </w:r>
    </w:p>
    <w:p w14:paraId="6BF88893" w14:textId="29544FAE" w:rsidR="00EF01A1" w:rsidRDefault="00EF01A1" w:rsidP="00EF01A1">
      <w:pPr>
        <w:pStyle w:val="1-FONTE8ESQ"/>
        <w:rPr>
          <w:rStyle w:val="fontstyle01"/>
          <w:i w:val="0"/>
          <w:iCs w:val="0"/>
        </w:rPr>
      </w:pPr>
    </w:p>
    <w:p w14:paraId="1DF8BCA1" w14:textId="165B7B39" w:rsidR="009E0DF6" w:rsidRPr="00225863" w:rsidRDefault="009E0DF6" w:rsidP="009E0DF6">
      <w:pPr>
        <w:pStyle w:val="1-REL11"/>
        <w:rPr>
          <w:highlight w:val="yellow"/>
        </w:rPr>
      </w:pPr>
      <w:r w:rsidRPr="00411933">
        <w:t xml:space="preserve">Observa-se </w:t>
      </w:r>
      <w:bookmarkStart w:id="428" w:name="_Hlk167355771"/>
      <w:r>
        <w:t xml:space="preserve">no exercício de 2023 que </w:t>
      </w:r>
      <w:r w:rsidRPr="00411933">
        <w:t xml:space="preserve">85,75% do montante inscrito </w:t>
      </w:r>
      <w:r>
        <w:t>n</w:t>
      </w:r>
      <w:r w:rsidRPr="00411933">
        <w:t>a dívida ativa está em situação de execução fiscal</w:t>
      </w:r>
      <w:bookmarkEnd w:id="428"/>
      <w:r w:rsidRPr="00411933">
        <w:t xml:space="preserve">, distribuídos em </w:t>
      </w:r>
      <w:r>
        <w:t xml:space="preserve">173.733 </w:t>
      </w:r>
      <w:r w:rsidRPr="00411933">
        <w:t xml:space="preserve">processos </w:t>
      </w:r>
      <w:r w:rsidRPr="00AD67D2">
        <w:t>ajuizados. Nota-se também que houve uma queda de 28,10% no saldo dos processos cobrados administrativamente, ou seja, não ajuizados</w:t>
      </w:r>
      <w:r>
        <w:t>,</w:t>
      </w:r>
      <w:r w:rsidRPr="00AD67D2">
        <w:t xml:space="preserve"> quando comparados a 2022.</w:t>
      </w:r>
    </w:p>
    <w:p w14:paraId="0C99EEF6" w14:textId="77777777" w:rsidR="005B6463" w:rsidRPr="00E878FD" w:rsidRDefault="005B6463" w:rsidP="00ED3571">
      <w:pPr>
        <w:pStyle w:val="0-TABELA"/>
      </w:pPr>
      <w:bookmarkStart w:id="429" w:name="_Ref165970884"/>
      <w:bookmarkStart w:id="430" w:name="_Toc167871820"/>
      <w:r w:rsidRPr="00E878FD">
        <w:t>Dívida Ativa por Tipo de Crédito e Situação Cadastral do Contribuinte</w:t>
      </w:r>
      <w:bookmarkEnd w:id="429"/>
      <w:bookmarkEnd w:id="430"/>
    </w:p>
    <w:p w14:paraId="0870F9CF" w14:textId="77777777" w:rsidR="005B6463" w:rsidRPr="00590067" w:rsidRDefault="005B6463" w:rsidP="005B6463">
      <w:pPr>
        <w:pStyle w:val="0-EmR"/>
      </w:pPr>
      <w:r>
        <w:t xml:space="preserve">R$ </w:t>
      </w:r>
      <w:r w:rsidRPr="00590067">
        <w:t>mil</w:t>
      </w:r>
    </w:p>
    <w:tbl>
      <w:tblPr>
        <w:tblW w:w="5000" w:type="pct"/>
        <w:jc w:val="center"/>
        <w:tblCellMar>
          <w:left w:w="70" w:type="dxa"/>
          <w:right w:w="70" w:type="dxa"/>
        </w:tblCellMar>
        <w:tblLook w:val="04A0" w:firstRow="1" w:lastRow="0" w:firstColumn="1" w:lastColumn="0" w:noHBand="0" w:noVBand="1"/>
      </w:tblPr>
      <w:tblGrid>
        <w:gridCol w:w="1761"/>
        <w:gridCol w:w="1202"/>
        <w:gridCol w:w="852"/>
        <w:gridCol w:w="766"/>
        <w:gridCol w:w="1017"/>
        <w:gridCol w:w="630"/>
        <w:gridCol w:w="769"/>
        <w:gridCol w:w="670"/>
        <w:gridCol w:w="1018"/>
        <w:gridCol w:w="668"/>
      </w:tblGrid>
      <w:tr w:rsidR="005B6463" w:rsidRPr="002857C5" w14:paraId="669ADB24" w14:textId="77777777" w:rsidTr="00EF01A1">
        <w:trPr>
          <w:trHeight w:val="300"/>
          <w:tblHeader/>
          <w:jc w:val="center"/>
        </w:trPr>
        <w:tc>
          <w:tcPr>
            <w:tcW w:w="941" w:type="pct"/>
            <w:vMerge w:val="restart"/>
            <w:tcBorders>
              <w:top w:val="single" w:sz="4" w:space="0" w:color="auto"/>
              <w:left w:val="nil"/>
              <w:bottom w:val="single" w:sz="4" w:space="0" w:color="auto"/>
              <w:right w:val="single" w:sz="4" w:space="0" w:color="auto"/>
            </w:tcBorders>
            <w:shd w:val="clear" w:color="000000" w:fill="A1F2FD"/>
            <w:noWrap/>
            <w:vAlign w:val="center"/>
            <w:hideMark/>
          </w:tcPr>
          <w:p w14:paraId="712C34A4" w14:textId="77777777" w:rsidR="005B6463" w:rsidRPr="00BB76E0" w:rsidRDefault="005B6463" w:rsidP="00EF01A1">
            <w:pPr>
              <w:jc w:val="center"/>
              <w:rPr>
                <w:rFonts w:cs="Arial"/>
                <w:b/>
                <w:bCs/>
                <w:color w:val="000000"/>
                <w:sz w:val="18"/>
                <w:szCs w:val="18"/>
              </w:rPr>
            </w:pPr>
            <w:r w:rsidRPr="00BB76E0">
              <w:rPr>
                <w:rFonts w:cs="Arial"/>
                <w:b/>
                <w:bCs/>
                <w:color w:val="000000"/>
                <w:sz w:val="18"/>
                <w:szCs w:val="18"/>
              </w:rPr>
              <w:t>Situação Cadastral</w:t>
            </w:r>
          </w:p>
        </w:tc>
        <w:tc>
          <w:tcPr>
            <w:tcW w:w="2389" w:type="pct"/>
            <w:gridSpan w:val="5"/>
            <w:tcBorders>
              <w:top w:val="single" w:sz="4" w:space="0" w:color="auto"/>
              <w:left w:val="nil"/>
              <w:bottom w:val="single" w:sz="4" w:space="0" w:color="auto"/>
              <w:right w:val="single" w:sz="4" w:space="0" w:color="000000"/>
            </w:tcBorders>
            <w:shd w:val="clear" w:color="000000" w:fill="A1F2FD"/>
            <w:noWrap/>
            <w:vAlign w:val="center"/>
            <w:hideMark/>
          </w:tcPr>
          <w:p w14:paraId="47EC6B7E" w14:textId="77777777" w:rsidR="005B6463" w:rsidRPr="00BB76E0" w:rsidRDefault="005B6463" w:rsidP="00EF01A1">
            <w:pPr>
              <w:jc w:val="center"/>
              <w:rPr>
                <w:rFonts w:cs="Arial"/>
                <w:b/>
                <w:bCs/>
                <w:color w:val="000000"/>
                <w:sz w:val="18"/>
                <w:szCs w:val="18"/>
              </w:rPr>
            </w:pPr>
            <w:r w:rsidRPr="00BB76E0">
              <w:rPr>
                <w:rFonts w:cs="Arial"/>
                <w:b/>
                <w:bCs/>
                <w:color w:val="000000"/>
                <w:sz w:val="18"/>
                <w:szCs w:val="18"/>
              </w:rPr>
              <w:t>Tributário</w:t>
            </w:r>
          </w:p>
        </w:tc>
        <w:tc>
          <w:tcPr>
            <w:tcW w:w="769" w:type="pct"/>
            <w:gridSpan w:val="2"/>
            <w:tcBorders>
              <w:top w:val="single" w:sz="4" w:space="0" w:color="auto"/>
              <w:left w:val="nil"/>
              <w:bottom w:val="single" w:sz="4" w:space="0" w:color="auto"/>
              <w:right w:val="single" w:sz="4" w:space="0" w:color="auto"/>
            </w:tcBorders>
            <w:shd w:val="clear" w:color="000000" w:fill="A1F2FD"/>
            <w:vAlign w:val="center"/>
            <w:hideMark/>
          </w:tcPr>
          <w:p w14:paraId="53E49A9D" w14:textId="77777777" w:rsidR="005B6463" w:rsidRPr="00BB76E0" w:rsidRDefault="005B6463" w:rsidP="00EF01A1">
            <w:pPr>
              <w:jc w:val="center"/>
              <w:rPr>
                <w:rFonts w:cs="Arial"/>
                <w:b/>
                <w:bCs/>
                <w:color w:val="000000"/>
                <w:sz w:val="18"/>
                <w:szCs w:val="18"/>
              </w:rPr>
            </w:pPr>
            <w:r w:rsidRPr="00BB76E0">
              <w:rPr>
                <w:rFonts w:cs="Arial"/>
                <w:b/>
                <w:bCs/>
                <w:color w:val="000000"/>
                <w:sz w:val="18"/>
                <w:szCs w:val="18"/>
              </w:rPr>
              <w:t>Não Tributário</w:t>
            </w:r>
          </w:p>
        </w:tc>
        <w:tc>
          <w:tcPr>
            <w:tcW w:w="901" w:type="pct"/>
            <w:gridSpan w:val="2"/>
            <w:tcBorders>
              <w:top w:val="single" w:sz="4" w:space="0" w:color="auto"/>
              <w:left w:val="nil"/>
              <w:bottom w:val="single" w:sz="4" w:space="0" w:color="auto"/>
              <w:right w:val="nil"/>
            </w:tcBorders>
            <w:shd w:val="clear" w:color="000000" w:fill="A1F2FD"/>
            <w:noWrap/>
            <w:vAlign w:val="center"/>
            <w:hideMark/>
          </w:tcPr>
          <w:p w14:paraId="040C4AB6" w14:textId="77777777" w:rsidR="005B6463" w:rsidRPr="00BB76E0" w:rsidRDefault="005B6463" w:rsidP="00EF01A1">
            <w:pPr>
              <w:jc w:val="center"/>
              <w:rPr>
                <w:rFonts w:cs="Arial"/>
                <w:b/>
                <w:bCs/>
                <w:color w:val="000000"/>
                <w:sz w:val="18"/>
                <w:szCs w:val="18"/>
              </w:rPr>
            </w:pPr>
            <w:r w:rsidRPr="00BB76E0">
              <w:rPr>
                <w:rFonts w:cs="Arial"/>
                <w:b/>
                <w:bCs/>
                <w:color w:val="000000"/>
                <w:sz w:val="18"/>
                <w:szCs w:val="18"/>
              </w:rPr>
              <w:t>Total Geral</w:t>
            </w:r>
          </w:p>
        </w:tc>
      </w:tr>
      <w:tr w:rsidR="005B6463" w:rsidRPr="002857C5" w14:paraId="3B53B44E" w14:textId="77777777" w:rsidTr="00EF01A1">
        <w:trPr>
          <w:trHeight w:val="300"/>
          <w:tblHeader/>
          <w:jc w:val="center"/>
        </w:trPr>
        <w:tc>
          <w:tcPr>
            <w:tcW w:w="941" w:type="pct"/>
            <w:vMerge/>
            <w:tcBorders>
              <w:top w:val="single" w:sz="4" w:space="0" w:color="auto"/>
              <w:left w:val="nil"/>
              <w:bottom w:val="single" w:sz="4" w:space="0" w:color="auto"/>
              <w:right w:val="single" w:sz="4" w:space="0" w:color="auto"/>
            </w:tcBorders>
            <w:vAlign w:val="center"/>
            <w:hideMark/>
          </w:tcPr>
          <w:p w14:paraId="5DD5E8AA" w14:textId="77777777" w:rsidR="005B6463" w:rsidRPr="00BB76E0" w:rsidRDefault="005B6463" w:rsidP="00EF01A1">
            <w:pPr>
              <w:jc w:val="left"/>
              <w:rPr>
                <w:rFonts w:cs="Arial"/>
                <w:b/>
                <w:bCs/>
                <w:color w:val="000000"/>
                <w:sz w:val="18"/>
                <w:szCs w:val="18"/>
              </w:rPr>
            </w:pPr>
          </w:p>
        </w:tc>
        <w:tc>
          <w:tcPr>
            <w:tcW w:w="643" w:type="pct"/>
            <w:tcBorders>
              <w:top w:val="nil"/>
              <w:left w:val="nil"/>
              <w:bottom w:val="single" w:sz="4" w:space="0" w:color="auto"/>
              <w:right w:val="single" w:sz="4" w:space="0" w:color="auto"/>
            </w:tcBorders>
            <w:shd w:val="clear" w:color="000000" w:fill="A1F2FD"/>
            <w:noWrap/>
            <w:vAlign w:val="center"/>
            <w:hideMark/>
          </w:tcPr>
          <w:p w14:paraId="724BB3DF" w14:textId="77777777" w:rsidR="005B6463" w:rsidRPr="00BB76E0" w:rsidRDefault="005B6463" w:rsidP="00EF01A1">
            <w:pPr>
              <w:jc w:val="center"/>
              <w:rPr>
                <w:rFonts w:cs="Arial"/>
                <w:b/>
                <w:bCs/>
                <w:color w:val="000000"/>
                <w:sz w:val="18"/>
                <w:szCs w:val="18"/>
              </w:rPr>
            </w:pPr>
            <w:r w:rsidRPr="00BB76E0">
              <w:rPr>
                <w:rFonts w:cs="Arial"/>
                <w:b/>
                <w:bCs/>
                <w:color w:val="000000"/>
                <w:sz w:val="18"/>
                <w:szCs w:val="18"/>
              </w:rPr>
              <w:t>ICMS</w:t>
            </w:r>
          </w:p>
        </w:tc>
        <w:tc>
          <w:tcPr>
            <w:tcW w:w="455" w:type="pct"/>
            <w:tcBorders>
              <w:top w:val="nil"/>
              <w:left w:val="nil"/>
              <w:bottom w:val="single" w:sz="4" w:space="0" w:color="auto"/>
              <w:right w:val="single" w:sz="4" w:space="0" w:color="auto"/>
            </w:tcBorders>
            <w:shd w:val="clear" w:color="000000" w:fill="A1F2FD"/>
            <w:noWrap/>
            <w:vAlign w:val="center"/>
            <w:hideMark/>
          </w:tcPr>
          <w:p w14:paraId="5D40645A" w14:textId="77777777" w:rsidR="005B6463" w:rsidRPr="00BB76E0" w:rsidRDefault="005B6463" w:rsidP="00EF01A1">
            <w:pPr>
              <w:jc w:val="center"/>
              <w:rPr>
                <w:rFonts w:cs="Arial"/>
                <w:b/>
                <w:bCs/>
                <w:color w:val="000000"/>
                <w:sz w:val="18"/>
                <w:szCs w:val="18"/>
              </w:rPr>
            </w:pPr>
            <w:r w:rsidRPr="00BB76E0">
              <w:rPr>
                <w:rFonts w:cs="Arial"/>
                <w:b/>
                <w:bCs/>
                <w:color w:val="000000"/>
                <w:sz w:val="18"/>
                <w:szCs w:val="18"/>
              </w:rPr>
              <w:t>IPVA</w:t>
            </w:r>
          </w:p>
        </w:tc>
        <w:tc>
          <w:tcPr>
            <w:tcW w:w="410" w:type="pct"/>
            <w:tcBorders>
              <w:top w:val="nil"/>
              <w:left w:val="nil"/>
              <w:bottom w:val="single" w:sz="4" w:space="0" w:color="auto"/>
              <w:right w:val="single" w:sz="4" w:space="0" w:color="auto"/>
            </w:tcBorders>
            <w:shd w:val="clear" w:color="000000" w:fill="A1F2FD"/>
            <w:noWrap/>
            <w:vAlign w:val="center"/>
            <w:hideMark/>
          </w:tcPr>
          <w:p w14:paraId="0A56B1BB" w14:textId="77777777" w:rsidR="005B6463" w:rsidRPr="00BB76E0" w:rsidRDefault="005B6463" w:rsidP="00EF01A1">
            <w:pPr>
              <w:jc w:val="center"/>
              <w:rPr>
                <w:rFonts w:cs="Arial"/>
                <w:b/>
                <w:bCs/>
                <w:color w:val="000000"/>
                <w:sz w:val="18"/>
                <w:szCs w:val="18"/>
              </w:rPr>
            </w:pPr>
            <w:r w:rsidRPr="00BB76E0">
              <w:rPr>
                <w:rFonts w:cs="Arial"/>
                <w:b/>
                <w:bCs/>
                <w:color w:val="000000"/>
                <w:sz w:val="18"/>
                <w:szCs w:val="18"/>
              </w:rPr>
              <w:t>ITCD</w:t>
            </w:r>
          </w:p>
        </w:tc>
        <w:tc>
          <w:tcPr>
            <w:tcW w:w="544" w:type="pct"/>
            <w:tcBorders>
              <w:top w:val="nil"/>
              <w:left w:val="nil"/>
              <w:bottom w:val="single" w:sz="4" w:space="0" w:color="auto"/>
              <w:right w:val="single" w:sz="4" w:space="0" w:color="auto"/>
            </w:tcBorders>
            <w:shd w:val="clear" w:color="000000" w:fill="A1F2FD"/>
            <w:noWrap/>
            <w:vAlign w:val="center"/>
            <w:hideMark/>
          </w:tcPr>
          <w:p w14:paraId="3AED0F07" w14:textId="77777777" w:rsidR="005B6463" w:rsidRPr="00BB76E0" w:rsidRDefault="005B6463" w:rsidP="00EF01A1">
            <w:pPr>
              <w:jc w:val="center"/>
              <w:rPr>
                <w:rFonts w:cs="Arial"/>
                <w:b/>
                <w:bCs/>
                <w:color w:val="000000"/>
                <w:sz w:val="18"/>
                <w:szCs w:val="18"/>
              </w:rPr>
            </w:pPr>
            <w:r w:rsidRPr="00BB76E0">
              <w:rPr>
                <w:rFonts w:cs="Arial"/>
                <w:b/>
                <w:bCs/>
                <w:color w:val="000000"/>
                <w:sz w:val="18"/>
                <w:szCs w:val="18"/>
              </w:rPr>
              <w:t>Total</w:t>
            </w:r>
          </w:p>
        </w:tc>
        <w:tc>
          <w:tcPr>
            <w:tcW w:w="337" w:type="pct"/>
            <w:tcBorders>
              <w:top w:val="nil"/>
              <w:left w:val="nil"/>
              <w:bottom w:val="single" w:sz="4" w:space="0" w:color="auto"/>
              <w:right w:val="single" w:sz="4" w:space="0" w:color="auto"/>
            </w:tcBorders>
            <w:shd w:val="clear" w:color="000000" w:fill="A1F2FD"/>
            <w:noWrap/>
            <w:vAlign w:val="center"/>
            <w:hideMark/>
          </w:tcPr>
          <w:p w14:paraId="33664CF2" w14:textId="77777777" w:rsidR="005B6463" w:rsidRPr="00BB76E0" w:rsidRDefault="005B6463" w:rsidP="00EF01A1">
            <w:pPr>
              <w:jc w:val="center"/>
              <w:rPr>
                <w:rFonts w:cs="Arial"/>
                <w:b/>
                <w:bCs/>
                <w:color w:val="000000"/>
                <w:sz w:val="18"/>
                <w:szCs w:val="18"/>
              </w:rPr>
            </w:pPr>
            <w:r w:rsidRPr="00BB76E0">
              <w:rPr>
                <w:rFonts w:cs="Arial"/>
                <w:b/>
                <w:bCs/>
                <w:color w:val="000000"/>
                <w:sz w:val="18"/>
                <w:szCs w:val="18"/>
              </w:rPr>
              <w:t>%</w:t>
            </w:r>
          </w:p>
        </w:tc>
        <w:tc>
          <w:tcPr>
            <w:tcW w:w="411" w:type="pct"/>
            <w:tcBorders>
              <w:top w:val="nil"/>
              <w:left w:val="nil"/>
              <w:bottom w:val="single" w:sz="4" w:space="0" w:color="auto"/>
              <w:right w:val="single" w:sz="4" w:space="0" w:color="auto"/>
            </w:tcBorders>
            <w:shd w:val="clear" w:color="000000" w:fill="A1F2FD"/>
            <w:noWrap/>
            <w:vAlign w:val="center"/>
            <w:hideMark/>
          </w:tcPr>
          <w:p w14:paraId="76A2ABBD" w14:textId="77777777" w:rsidR="005B6463" w:rsidRPr="00BB76E0" w:rsidRDefault="005B6463" w:rsidP="00EF01A1">
            <w:pPr>
              <w:jc w:val="center"/>
              <w:rPr>
                <w:rFonts w:cs="Arial"/>
                <w:b/>
                <w:bCs/>
                <w:color w:val="000000"/>
                <w:sz w:val="18"/>
                <w:szCs w:val="18"/>
              </w:rPr>
            </w:pPr>
            <w:r w:rsidRPr="00BB76E0">
              <w:rPr>
                <w:rFonts w:cs="Arial"/>
                <w:b/>
                <w:bCs/>
                <w:color w:val="000000"/>
                <w:sz w:val="18"/>
                <w:szCs w:val="18"/>
              </w:rPr>
              <w:t>Total</w:t>
            </w:r>
          </w:p>
        </w:tc>
        <w:tc>
          <w:tcPr>
            <w:tcW w:w="358" w:type="pct"/>
            <w:tcBorders>
              <w:top w:val="nil"/>
              <w:left w:val="nil"/>
              <w:bottom w:val="single" w:sz="4" w:space="0" w:color="auto"/>
              <w:right w:val="single" w:sz="4" w:space="0" w:color="auto"/>
            </w:tcBorders>
            <w:shd w:val="clear" w:color="000000" w:fill="A1F2FD"/>
            <w:noWrap/>
            <w:vAlign w:val="center"/>
            <w:hideMark/>
          </w:tcPr>
          <w:p w14:paraId="59A36AF8" w14:textId="77777777" w:rsidR="005B6463" w:rsidRPr="00BB76E0" w:rsidRDefault="005B6463" w:rsidP="00EF01A1">
            <w:pPr>
              <w:jc w:val="center"/>
              <w:rPr>
                <w:rFonts w:cs="Arial"/>
                <w:b/>
                <w:bCs/>
                <w:color w:val="000000"/>
                <w:sz w:val="18"/>
                <w:szCs w:val="18"/>
              </w:rPr>
            </w:pPr>
            <w:r w:rsidRPr="00BB76E0">
              <w:rPr>
                <w:rFonts w:cs="Arial"/>
                <w:b/>
                <w:bCs/>
                <w:color w:val="000000"/>
                <w:sz w:val="18"/>
                <w:szCs w:val="18"/>
              </w:rPr>
              <w:t>%</w:t>
            </w:r>
          </w:p>
        </w:tc>
        <w:tc>
          <w:tcPr>
            <w:tcW w:w="544" w:type="pct"/>
            <w:tcBorders>
              <w:top w:val="nil"/>
              <w:left w:val="nil"/>
              <w:bottom w:val="single" w:sz="4" w:space="0" w:color="auto"/>
              <w:right w:val="single" w:sz="4" w:space="0" w:color="auto"/>
            </w:tcBorders>
            <w:shd w:val="clear" w:color="000000" w:fill="A1F2FD"/>
            <w:noWrap/>
            <w:vAlign w:val="center"/>
            <w:hideMark/>
          </w:tcPr>
          <w:p w14:paraId="6D4B88ED" w14:textId="77777777" w:rsidR="005B6463" w:rsidRPr="00BB76E0" w:rsidRDefault="005B6463" w:rsidP="00EF01A1">
            <w:pPr>
              <w:jc w:val="center"/>
              <w:rPr>
                <w:rFonts w:cs="Arial"/>
                <w:b/>
                <w:bCs/>
                <w:color w:val="000000"/>
                <w:sz w:val="18"/>
                <w:szCs w:val="18"/>
              </w:rPr>
            </w:pPr>
            <w:r w:rsidRPr="00BB76E0">
              <w:rPr>
                <w:rFonts w:cs="Arial"/>
                <w:b/>
                <w:bCs/>
                <w:color w:val="000000"/>
                <w:sz w:val="18"/>
                <w:szCs w:val="18"/>
              </w:rPr>
              <w:t>Total</w:t>
            </w:r>
          </w:p>
        </w:tc>
        <w:tc>
          <w:tcPr>
            <w:tcW w:w="357" w:type="pct"/>
            <w:tcBorders>
              <w:top w:val="nil"/>
              <w:left w:val="nil"/>
              <w:bottom w:val="single" w:sz="4" w:space="0" w:color="auto"/>
              <w:right w:val="nil"/>
            </w:tcBorders>
            <w:shd w:val="clear" w:color="000000" w:fill="A1F2FD"/>
            <w:noWrap/>
            <w:vAlign w:val="center"/>
            <w:hideMark/>
          </w:tcPr>
          <w:p w14:paraId="05D0EE54" w14:textId="77777777" w:rsidR="005B6463" w:rsidRPr="00BB76E0" w:rsidRDefault="005B6463" w:rsidP="00EF01A1">
            <w:pPr>
              <w:jc w:val="center"/>
              <w:rPr>
                <w:rFonts w:cs="Arial"/>
                <w:b/>
                <w:bCs/>
                <w:color w:val="000000"/>
                <w:sz w:val="18"/>
                <w:szCs w:val="18"/>
              </w:rPr>
            </w:pPr>
            <w:r w:rsidRPr="00BB76E0">
              <w:rPr>
                <w:rFonts w:cs="Arial"/>
                <w:b/>
                <w:bCs/>
                <w:color w:val="000000"/>
                <w:sz w:val="18"/>
                <w:szCs w:val="18"/>
              </w:rPr>
              <w:t>%</w:t>
            </w:r>
          </w:p>
        </w:tc>
      </w:tr>
      <w:tr w:rsidR="005B6463" w:rsidRPr="002857C5" w14:paraId="17B36976" w14:textId="77777777" w:rsidTr="00EF01A1">
        <w:trPr>
          <w:trHeight w:val="300"/>
          <w:tblHeader/>
          <w:jc w:val="center"/>
        </w:trPr>
        <w:tc>
          <w:tcPr>
            <w:tcW w:w="941" w:type="pct"/>
            <w:tcBorders>
              <w:top w:val="nil"/>
              <w:left w:val="nil"/>
              <w:bottom w:val="nil"/>
              <w:right w:val="nil"/>
            </w:tcBorders>
            <w:shd w:val="clear" w:color="auto" w:fill="auto"/>
            <w:noWrap/>
            <w:vAlign w:val="center"/>
            <w:hideMark/>
          </w:tcPr>
          <w:p w14:paraId="1538D920" w14:textId="77777777" w:rsidR="005B6463" w:rsidRPr="000E705F" w:rsidRDefault="005B6463" w:rsidP="00EF01A1">
            <w:pPr>
              <w:jc w:val="left"/>
              <w:rPr>
                <w:rFonts w:cs="Arial"/>
                <w:bCs/>
                <w:color w:val="000000"/>
                <w:sz w:val="18"/>
                <w:szCs w:val="18"/>
              </w:rPr>
            </w:pPr>
            <w:r w:rsidRPr="000E705F">
              <w:rPr>
                <w:rFonts w:cs="Arial"/>
                <w:bCs/>
                <w:color w:val="000000"/>
                <w:sz w:val="18"/>
                <w:szCs w:val="18"/>
              </w:rPr>
              <w:t>Ativo</w:t>
            </w:r>
          </w:p>
        </w:tc>
        <w:tc>
          <w:tcPr>
            <w:tcW w:w="643" w:type="pct"/>
            <w:tcBorders>
              <w:top w:val="nil"/>
              <w:left w:val="single" w:sz="4" w:space="0" w:color="auto"/>
              <w:bottom w:val="nil"/>
              <w:right w:val="single" w:sz="4" w:space="0" w:color="auto"/>
            </w:tcBorders>
            <w:shd w:val="clear" w:color="auto" w:fill="auto"/>
            <w:noWrap/>
            <w:vAlign w:val="center"/>
            <w:hideMark/>
          </w:tcPr>
          <w:p w14:paraId="40EE4A5C" w14:textId="77777777" w:rsidR="005B6463" w:rsidRPr="00BB76E0" w:rsidRDefault="005B6463" w:rsidP="00EF01A1">
            <w:pPr>
              <w:jc w:val="center"/>
              <w:rPr>
                <w:rFonts w:cs="Arial"/>
                <w:color w:val="000000"/>
                <w:sz w:val="16"/>
                <w:szCs w:val="16"/>
              </w:rPr>
            </w:pPr>
            <w:r w:rsidRPr="00BB76E0">
              <w:rPr>
                <w:rFonts w:cs="Arial"/>
                <w:color w:val="000000"/>
                <w:sz w:val="16"/>
                <w:szCs w:val="16"/>
              </w:rPr>
              <w:t>11.552.763</w:t>
            </w:r>
          </w:p>
        </w:tc>
        <w:tc>
          <w:tcPr>
            <w:tcW w:w="455" w:type="pct"/>
            <w:tcBorders>
              <w:top w:val="nil"/>
              <w:left w:val="nil"/>
              <w:bottom w:val="nil"/>
              <w:right w:val="single" w:sz="4" w:space="0" w:color="auto"/>
            </w:tcBorders>
            <w:shd w:val="clear" w:color="auto" w:fill="auto"/>
            <w:noWrap/>
            <w:vAlign w:val="center"/>
            <w:hideMark/>
          </w:tcPr>
          <w:p w14:paraId="10A78BEF" w14:textId="77777777" w:rsidR="005B6463" w:rsidRPr="00BB76E0" w:rsidRDefault="005B6463" w:rsidP="00EF01A1">
            <w:pPr>
              <w:jc w:val="center"/>
              <w:rPr>
                <w:rFonts w:cs="Arial"/>
                <w:color w:val="000000"/>
                <w:sz w:val="16"/>
                <w:szCs w:val="16"/>
              </w:rPr>
            </w:pPr>
            <w:r w:rsidRPr="00BB76E0">
              <w:rPr>
                <w:rFonts w:cs="Arial"/>
                <w:color w:val="000000"/>
                <w:sz w:val="16"/>
                <w:szCs w:val="16"/>
              </w:rPr>
              <w:t>70.419</w:t>
            </w:r>
          </w:p>
        </w:tc>
        <w:tc>
          <w:tcPr>
            <w:tcW w:w="410" w:type="pct"/>
            <w:tcBorders>
              <w:top w:val="nil"/>
              <w:left w:val="nil"/>
              <w:bottom w:val="nil"/>
              <w:right w:val="single" w:sz="4" w:space="0" w:color="auto"/>
            </w:tcBorders>
            <w:shd w:val="clear" w:color="auto" w:fill="auto"/>
            <w:noWrap/>
            <w:vAlign w:val="center"/>
            <w:hideMark/>
          </w:tcPr>
          <w:p w14:paraId="06B00181" w14:textId="77777777" w:rsidR="005B6463" w:rsidRPr="00BB76E0" w:rsidRDefault="005B6463" w:rsidP="00EF01A1">
            <w:pPr>
              <w:jc w:val="center"/>
              <w:rPr>
                <w:rFonts w:cs="Arial"/>
                <w:color w:val="000000"/>
                <w:sz w:val="16"/>
                <w:szCs w:val="16"/>
              </w:rPr>
            </w:pPr>
            <w:r w:rsidRPr="00BB76E0">
              <w:rPr>
                <w:rFonts w:cs="Arial"/>
                <w:color w:val="000000"/>
                <w:sz w:val="16"/>
                <w:szCs w:val="16"/>
              </w:rPr>
              <w:t>141</w:t>
            </w:r>
          </w:p>
        </w:tc>
        <w:tc>
          <w:tcPr>
            <w:tcW w:w="544" w:type="pct"/>
            <w:tcBorders>
              <w:top w:val="nil"/>
              <w:left w:val="nil"/>
              <w:bottom w:val="nil"/>
              <w:right w:val="single" w:sz="4" w:space="0" w:color="auto"/>
            </w:tcBorders>
            <w:shd w:val="clear" w:color="auto" w:fill="auto"/>
            <w:noWrap/>
            <w:vAlign w:val="center"/>
            <w:hideMark/>
          </w:tcPr>
          <w:p w14:paraId="293675C0" w14:textId="77777777" w:rsidR="005B6463" w:rsidRPr="00BB76E0" w:rsidRDefault="005B6463" w:rsidP="00EF01A1">
            <w:pPr>
              <w:jc w:val="center"/>
              <w:rPr>
                <w:rFonts w:cs="Arial"/>
                <w:color w:val="000000"/>
                <w:sz w:val="16"/>
                <w:szCs w:val="16"/>
              </w:rPr>
            </w:pPr>
            <w:r w:rsidRPr="00BB76E0">
              <w:rPr>
                <w:rFonts w:cs="Arial"/>
                <w:color w:val="000000"/>
                <w:sz w:val="16"/>
                <w:szCs w:val="16"/>
              </w:rPr>
              <w:t>11.623.323</w:t>
            </w:r>
          </w:p>
        </w:tc>
        <w:tc>
          <w:tcPr>
            <w:tcW w:w="337" w:type="pct"/>
            <w:tcBorders>
              <w:top w:val="nil"/>
              <w:left w:val="nil"/>
              <w:bottom w:val="nil"/>
              <w:right w:val="single" w:sz="4" w:space="0" w:color="auto"/>
            </w:tcBorders>
            <w:shd w:val="clear" w:color="auto" w:fill="auto"/>
            <w:noWrap/>
            <w:vAlign w:val="center"/>
            <w:hideMark/>
          </w:tcPr>
          <w:p w14:paraId="29500FF5" w14:textId="77777777" w:rsidR="005B6463" w:rsidRPr="00BB76E0" w:rsidRDefault="005B6463" w:rsidP="00EF01A1">
            <w:pPr>
              <w:jc w:val="center"/>
              <w:rPr>
                <w:rFonts w:cs="Arial"/>
                <w:color w:val="000000"/>
                <w:sz w:val="16"/>
                <w:szCs w:val="16"/>
              </w:rPr>
            </w:pPr>
            <w:r w:rsidRPr="00BB76E0">
              <w:rPr>
                <w:rFonts w:cs="Arial"/>
                <w:color w:val="000000"/>
                <w:sz w:val="16"/>
                <w:szCs w:val="16"/>
              </w:rPr>
              <w:t>19,52</w:t>
            </w:r>
          </w:p>
        </w:tc>
        <w:tc>
          <w:tcPr>
            <w:tcW w:w="411" w:type="pct"/>
            <w:tcBorders>
              <w:top w:val="nil"/>
              <w:left w:val="nil"/>
              <w:bottom w:val="nil"/>
              <w:right w:val="single" w:sz="4" w:space="0" w:color="auto"/>
            </w:tcBorders>
            <w:shd w:val="clear" w:color="auto" w:fill="auto"/>
            <w:noWrap/>
            <w:vAlign w:val="center"/>
            <w:hideMark/>
          </w:tcPr>
          <w:p w14:paraId="7F80EF3C" w14:textId="77777777" w:rsidR="005B6463" w:rsidRPr="00BB76E0" w:rsidRDefault="005B6463" w:rsidP="00EF01A1">
            <w:pPr>
              <w:jc w:val="center"/>
              <w:rPr>
                <w:rFonts w:cs="Arial"/>
                <w:color w:val="000000"/>
                <w:sz w:val="16"/>
                <w:szCs w:val="16"/>
              </w:rPr>
            </w:pPr>
            <w:r w:rsidRPr="00BB76E0">
              <w:rPr>
                <w:rFonts w:cs="Arial"/>
                <w:color w:val="000000"/>
                <w:sz w:val="16"/>
                <w:szCs w:val="16"/>
              </w:rPr>
              <w:t>29.924</w:t>
            </w:r>
          </w:p>
        </w:tc>
        <w:tc>
          <w:tcPr>
            <w:tcW w:w="358" w:type="pct"/>
            <w:tcBorders>
              <w:top w:val="nil"/>
              <w:left w:val="nil"/>
              <w:bottom w:val="nil"/>
              <w:right w:val="single" w:sz="4" w:space="0" w:color="auto"/>
            </w:tcBorders>
            <w:shd w:val="clear" w:color="auto" w:fill="auto"/>
            <w:noWrap/>
            <w:vAlign w:val="center"/>
            <w:hideMark/>
          </w:tcPr>
          <w:p w14:paraId="1066CAB5" w14:textId="77777777" w:rsidR="005B6463" w:rsidRPr="00BB76E0" w:rsidRDefault="005B6463" w:rsidP="00EF01A1">
            <w:pPr>
              <w:jc w:val="center"/>
              <w:rPr>
                <w:rFonts w:cs="Arial"/>
                <w:color w:val="000000"/>
                <w:sz w:val="16"/>
                <w:szCs w:val="16"/>
              </w:rPr>
            </w:pPr>
            <w:r w:rsidRPr="00BB76E0">
              <w:rPr>
                <w:rFonts w:cs="Arial"/>
                <w:color w:val="000000"/>
                <w:sz w:val="16"/>
                <w:szCs w:val="16"/>
              </w:rPr>
              <w:t>14,28</w:t>
            </w:r>
          </w:p>
        </w:tc>
        <w:tc>
          <w:tcPr>
            <w:tcW w:w="544" w:type="pct"/>
            <w:tcBorders>
              <w:top w:val="nil"/>
              <w:left w:val="nil"/>
              <w:bottom w:val="nil"/>
              <w:right w:val="single" w:sz="4" w:space="0" w:color="auto"/>
            </w:tcBorders>
            <w:shd w:val="clear" w:color="auto" w:fill="auto"/>
            <w:noWrap/>
            <w:vAlign w:val="center"/>
            <w:hideMark/>
          </w:tcPr>
          <w:p w14:paraId="527B499C" w14:textId="77777777" w:rsidR="005B6463" w:rsidRPr="00BB76E0" w:rsidRDefault="005B6463" w:rsidP="00EF01A1">
            <w:pPr>
              <w:jc w:val="center"/>
              <w:rPr>
                <w:rFonts w:cs="Arial"/>
                <w:color w:val="000000"/>
                <w:sz w:val="16"/>
                <w:szCs w:val="16"/>
              </w:rPr>
            </w:pPr>
            <w:r w:rsidRPr="00BB76E0">
              <w:rPr>
                <w:rFonts w:cs="Arial"/>
                <w:color w:val="000000"/>
                <w:sz w:val="16"/>
                <w:szCs w:val="16"/>
              </w:rPr>
              <w:t>11.653.247</w:t>
            </w:r>
          </w:p>
        </w:tc>
        <w:tc>
          <w:tcPr>
            <w:tcW w:w="357" w:type="pct"/>
            <w:tcBorders>
              <w:top w:val="nil"/>
              <w:left w:val="nil"/>
              <w:bottom w:val="nil"/>
              <w:right w:val="nil"/>
            </w:tcBorders>
            <w:shd w:val="clear" w:color="auto" w:fill="auto"/>
            <w:noWrap/>
            <w:vAlign w:val="center"/>
            <w:hideMark/>
          </w:tcPr>
          <w:p w14:paraId="5EC3C6ED" w14:textId="77777777" w:rsidR="005B6463" w:rsidRPr="00BB76E0" w:rsidRDefault="005B6463" w:rsidP="00EF01A1">
            <w:pPr>
              <w:jc w:val="center"/>
              <w:rPr>
                <w:rFonts w:cs="Arial"/>
                <w:color w:val="000000"/>
                <w:sz w:val="16"/>
                <w:szCs w:val="16"/>
              </w:rPr>
            </w:pPr>
            <w:r w:rsidRPr="00BB76E0">
              <w:rPr>
                <w:rFonts w:cs="Arial"/>
                <w:color w:val="000000"/>
                <w:sz w:val="16"/>
                <w:szCs w:val="16"/>
              </w:rPr>
              <w:t>19,50</w:t>
            </w:r>
          </w:p>
        </w:tc>
      </w:tr>
      <w:tr w:rsidR="005B6463" w:rsidRPr="002857C5" w14:paraId="18E76C67" w14:textId="77777777" w:rsidTr="00EF01A1">
        <w:trPr>
          <w:trHeight w:val="300"/>
          <w:tblHeader/>
          <w:jc w:val="center"/>
        </w:trPr>
        <w:tc>
          <w:tcPr>
            <w:tcW w:w="941" w:type="pct"/>
            <w:tcBorders>
              <w:top w:val="nil"/>
              <w:left w:val="nil"/>
              <w:bottom w:val="nil"/>
              <w:right w:val="nil"/>
            </w:tcBorders>
            <w:shd w:val="clear" w:color="auto" w:fill="auto"/>
            <w:noWrap/>
            <w:vAlign w:val="center"/>
            <w:hideMark/>
          </w:tcPr>
          <w:p w14:paraId="58E194E7" w14:textId="77777777" w:rsidR="005B6463" w:rsidRPr="000E705F" w:rsidRDefault="005B6463" w:rsidP="00EF01A1">
            <w:pPr>
              <w:jc w:val="left"/>
              <w:rPr>
                <w:rFonts w:cs="Arial"/>
                <w:bCs/>
                <w:color w:val="000000"/>
                <w:sz w:val="18"/>
                <w:szCs w:val="18"/>
              </w:rPr>
            </w:pPr>
            <w:r w:rsidRPr="000E705F">
              <w:rPr>
                <w:rFonts w:cs="Arial"/>
                <w:bCs/>
                <w:color w:val="000000"/>
                <w:sz w:val="18"/>
                <w:szCs w:val="18"/>
              </w:rPr>
              <w:t>Baixado/Cassado/</w:t>
            </w:r>
          </w:p>
          <w:p w14:paraId="611A553B" w14:textId="77777777" w:rsidR="005B6463" w:rsidRPr="000E705F" w:rsidRDefault="005B6463" w:rsidP="00EF01A1">
            <w:pPr>
              <w:jc w:val="left"/>
              <w:rPr>
                <w:rFonts w:cs="Arial"/>
                <w:bCs/>
                <w:color w:val="000000"/>
                <w:sz w:val="18"/>
                <w:szCs w:val="18"/>
              </w:rPr>
            </w:pPr>
            <w:r w:rsidRPr="000E705F">
              <w:rPr>
                <w:rFonts w:cs="Arial"/>
                <w:bCs/>
                <w:color w:val="000000"/>
                <w:sz w:val="18"/>
                <w:szCs w:val="18"/>
              </w:rPr>
              <w:t>Paralis./Suspenso.</w:t>
            </w:r>
          </w:p>
        </w:tc>
        <w:tc>
          <w:tcPr>
            <w:tcW w:w="643" w:type="pct"/>
            <w:tcBorders>
              <w:top w:val="nil"/>
              <w:left w:val="single" w:sz="4" w:space="0" w:color="auto"/>
              <w:bottom w:val="nil"/>
              <w:right w:val="single" w:sz="4" w:space="0" w:color="auto"/>
            </w:tcBorders>
            <w:shd w:val="clear" w:color="auto" w:fill="auto"/>
            <w:noWrap/>
            <w:vAlign w:val="center"/>
            <w:hideMark/>
          </w:tcPr>
          <w:p w14:paraId="4A44A72D" w14:textId="77777777" w:rsidR="005B6463" w:rsidRPr="00BB76E0" w:rsidRDefault="005B6463" w:rsidP="00EF01A1">
            <w:pPr>
              <w:jc w:val="center"/>
              <w:rPr>
                <w:rFonts w:cs="Arial"/>
                <w:color w:val="000000"/>
                <w:sz w:val="16"/>
                <w:szCs w:val="16"/>
              </w:rPr>
            </w:pPr>
            <w:r w:rsidRPr="00BB76E0">
              <w:rPr>
                <w:rFonts w:cs="Arial"/>
                <w:color w:val="000000"/>
                <w:sz w:val="16"/>
                <w:szCs w:val="16"/>
              </w:rPr>
              <w:t>45.584.668</w:t>
            </w:r>
          </w:p>
        </w:tc>
        <w:tc>
          <w:tcPr>
            <w:tcW w:w="455" w:type="pct"/>
            <w:tcBorders>
              <w:top w:val="nil"/>
              <w:left w:val="nil"/>
              <w:bottom w:val="nil"/>
              <w:right w:val="single" w:sz="4" w:space="0" w:color="auto"/>
            </w:tcBorders>
            <w:shd w:val="clear" w:color="auto" w:fill="auto"/>
            <w:noWrap/>
            <w:vAlign w:val="center"/>
            <w:hideMark/>
          </w:tcPr>
          <w:p w14:paraId="46CE5505" w14:textId="77777777" w:rsidR="005B6463" w:rsidRPr="00BB76E0" w:rsidRDefault="005B6463" w:rsidP="00EF01A1">
            <w:pPr>
              <w:jc w:val="center"/>
              <w:rPr>
                <w:rFonts w:cs="Arial"/>
                <w:color w:val="000000"/>
                <w:sz w:val="16"/>
                <w:szCs w:val="16"/>
              </w:rPr>
            </w:pPr>
            <w:r w:rsidRPr="00BB76E0">
              <w:rPr>
                <w:rFonts w:cs="Arial"/>
                <w:color w:val="000000"/>
                <w:sz w:val="16"/>
                <w:szCs w:val="16"/>
              </w:rPr>
              <w:t>98.244</w:t>
            </w:r>
          </w:p>
        </w:tc>
        <w:tc>
          <w:tcPr>
            <w:tcW w:w="410" w:type="pct"/>
            <w:tcBorders>
              <w:top w:val="nil"/>
              <w:left w:val="nil"/>
              <w:bottom w:val="nil"/>
              <w:right w:val="single" w:sz="4" w:space="0" w:color="auto"/>
            </w:tcBorders>
            <w:shd w:val="clear" w:color="auto" w:fill="auto"/>
            <w:vAlign w:val="center"/>
            <w:hideMark/>
          </w:tcPr>
          <w:p w14:paraId="74A07B54" w14:textId="77777777" w:rsidR="005B6463" w:rsidRPr="00BB76E0" w:rsidRDefault="005B6463" w:rsidP="00EF01A1">
            <w:pPr>
              <w:jc w:val="center"/>
              <w:rPr>
                <w:rFonts w:cs="Arial"/>
                <w:color w:val="000000"/>
                <w:sz w:val="16"/>
                <w:szCs w:val="16"/>
              </w:rPr>
            </w:pPr>
            <w:r w:rsidRPr="00BB76E0">
              <w:rPr>
                <w:rFonts w:cs="Arial"/>
                <w:color w:val="000000"/>
                <w:sz w:val="16"/>
                <w:szCs w:val="16"/>
              </w:rPr>
              <w:t>554</w:t>
            </w:r>
          </w:p>
        </w:tc>
        <w:tc>
          <w:tcPr>
            <w:tcW w:w="544" w:type="pct"/>
            <w:tcBorders>
              <w:top w:val="nil"/>
              <w:left w:val="nil"/>
              <w:bottom w:val="nil"/>
              <w:right w:val="single" w:sz="4" w:space="0" w:color="auto"/>
            </w:tcBorders>
            <w:shd w:val="clear" w:color="auto" w:fill="auto"/>
            <w:noWrap/>
            <w:vAlign w:val="center"/>
            <w:hideMark/>
          </w:tcPr>
          <w:p w14:paraId="4BA82F8A" w14:textId="77777777" w:rsidR="005B6463" w:rsidRPr="00BB76E0" w:rsidRDefault="005B6463" w:rsidP="00EF01A1">
            <w:pPr>
              <w:jc w:val="center"/>
              <w:rPr>
                <w:rFonts w:cs="Arial"/>
                <w:color w:val="000000"/>
                <w:sz w:val="16"/>
                <w:szCs w:val="16"/>
              </w:rPr>
            </w:pPr>
            <w:r w:rsidRPr="00BB76E0">
              <w:rPr>
                <w:rFonts w:cs="Arial"/>
                <w:color w:val="000000"/>
                <w:sz w:val="16"/>
                <w:szCs w:val="16"/>
              </w:rPr>
              <w:t>45.683.466</w:t>
            </w:r>
          </w:p>
        </w:tc>
        <w:tc>
          <w:tcPr>
            <w:tcW w:w="337" w:type="pct"/>
            <w:tcBorders>
              <w:top w:val="nil"/>
              <w:left w:val="nil"/>
              <w:bottom w:val="nil"/>
              <w:right w:val="single" w:sz="4" w:space="0" w:color="auto"/>
            </w:tcBorders>
            <w:shd w:val="clear" w:color="auto" w:fill="auto"/>
            <w:noWrap/>
            <w:vAlign w:val="center"/>
            <w:hideMark/>
          </w:tcPr>
          <w:p w14:paraId="0E349BE0" w14:textId="77777777" w:rsidR="005B6463" w:rsidRPr="00BB76E0" w:rsidRDefault="005B6463" w:rsidP="00EF01A1">
            <w:pPr>
              <w:jc w:val="center"/>
              <w:rPr>
                <w:rFonts w:cs="Arial"/>
                <w:color w:val="000000"/>
                <w:sz w:val="16"/>
                <w:szCs w:val="16"/>
              </w:rPr>
            </w:pPr>
            <w:r w:rsidRPr="00BB76E0">
              <w:rPr>
                <w:rFonts w:cs="Arial"/>
                <w:color w:val="000000"/>
                <w:sz w:val="16"/>
                <w:szCs w:val="16"/>
              </w:rPr>
              <w:t>76,73</w:t>
            </w:r>
          </w:p>
        </w:tc>
        <w:tc>
          <w:tcPr>
            <w:tcW w:w="411" w:type="pct"/>
            <w:tcBorders>
              <w:top w:val="nil"/>
              <w:left w:val="nil"/>
              <w:bottom w:val="nil"/>
              <w:right w:val="single" w:sz="4" w:space="0" w:color="auto"/>
            </w:tcBorders>
            <w:shd w:val="clear" w:color="auto" w:fill="auto"/>
            <w:noWrap/>
            <w:vAlign w:val="center"/>
            <w:hideMark/>
          </w:tcPr>
          <w:p w14:paraId="134C9294" w14:textId="77777777" w:rsidR="005B6463" w:rsidRPr="00BB76E0" w:rsidRDefault="005B6463" w:rsidP="00EF01A1">
            <w:pPr>
              <w:jc w:val="center"/>
              <w:rPr>
                <w:rFonts w:cs="Arial"/>
                <w:color w:val="000000"/>
                <w:sz w:val="16"/>
                <w:szCs w:val="16"/>
              </w:rPr>
            </w:pPr>
            <w:r w:rsidRPr="00BB76E0">
              <w:rPr>
                <w:rFonts w:cs="Arial"/>
                <w:color w:val="000000"/>
                <w:sz w:val="16"/>
                <w:szCs w:val="16"/>
              </w:rPr>
              <w:t>43.891</w:t>
            </w:r>
          </w:p>
        </w:tc>
        <w:tc>
          <w:tcPr>
            <w:tcW w:w="358" w:type="pct"/>
            <w:tcBorders>
              <w:top w:val="nil"/>
              <w:left w:val="nil"/>
              <w:bottom w:val="nil"/>
              <w:right w:val="single" w:sz="4" w:space="0" w:color="auto"/>
            </w:tcBorders>
            <w:shd w:val="clear" w:color="auto" w:fill="auto"/>
            <w:noWrap/>
            <w:vAlign w:val="center"/>
            <w:hideMark/>
          </w:tcPr>
          <w:p w14:paraId="7BA00610" w14:textId="77777777" w:rsidR="005B6463" w:rsidRPr="00BB76E0" w:rsidRDefault="005B6463" w:rsidP="00EF01A1">
            <w:pPr>
              <w:jc w:val="center"/>
              <w:rPr>
                <w:rFonts w:cs="Arial"/>
                <w:color w:val="000000"/>
                <w:sz w:val="16"/>
                <w:szCs w:val="16"/>
              </w:rPr>
            </w:pPr>
            <w:r w:rsidRPr="00BB76E0">
              <w:rPr>
                <w:rFonts w:cs="Arial"/>
                <w:color w:val="000000"/>
                <w:sz w:val="16"/>
                <w:szCs w:val="16"/>
              </w:rPr>
              <w:t>20,95</w:t>
            </w:r>
          </w:p>
        </w:tc>
        <w:tc>
          <w:tcPr>
            <w:tcW w:w="544" w:type="pct"/>
            <w:tcBorders>
              <w:top w:val="nil"/>
              <w:left w:val="nil"/>
              <w:bottom w:val="nil"/>
              <w:right w:val="single" w:sz="4" w:space="0" w:color="auto"/>
            </w:tcBorders>
            <w:shd w:val="clear" w:color="auto" w:fill="auto"/>
            <w:noWrap/>
            <w:vAlign w:val="center"/>
            <w:hideMark/>
          </w:tcPr>
          <w:p w14:paraId="45158CE6" w14:textId="77777777" w:rsidR="005B6463" w:rsidRPr="00BB76E0" w:rsidRDefault="005B6463" w:rsidP="00EF01A1">
            <w:pPr>
              <w:jc w:val="center"/>
              <w:rPr>
                <w:rFonts w:cs="Arial"/>
                <w:color w:val="000000"/>
                <w:sz w:val="16"/>
                <w:szCs w:val="16"/>
              </w:rPr>
            </w:pPr>
            <w:r w:rsidRPr="00BB76E0">
              <w:rPr>
                <w:rFonts w:cs="Arial"/>
                <w:color w:val="000000"/>
                <w:sz w:val="16"/>
                <w:szCs w:val="16"/>
              </w:rPr>
              <w:t>45.727.357</w:t>
            </w:r>
          </w:p>
        </w:tc>
        <w:tc>
          <w:tcPr>
            <w:tcW w:w="357" w:type="pct"/>
            <w:tcBorders>
              <w:top w:val="nil"/>
              <w:left w:val="nil"/>
              <w:bottom w:val="nil"/>
              <w:right w:val="nil"/>
            </w:tcBorders>
            <w:shd w:val="clear" w:color="auto" w:fill="auto"/>
            <w:noWrap/>
            <w:vAlign w:val="center"/>
            <w:hideMark/>
          </w:tcPr>
          <w:p w14:paraId="66CB1B69" w14:textId="77777777" w:rsidR="005B6463" w:rsidRPr="00BB76E0" w:rsidRDefault="005B6463" w:rsidP="00EF01A1">
            <w:pPr>
              <w:jc w:val="center"/>
              <w:rPr>
                <w:rFonts w:cs="Arial"/>
                <w:color w:val="000000"/>
                <w:sz w:val="16"/>
                <w:szCs w:val="16"/>
              </w:rPr>
            </w:pPr>
            <w:r w:rsidRPr="00BB76E0">
              <w:rPr>
                <w:rFonts w:cs="Arial"/>
                <w:color w:val="000000"/>
                <w:sz w:val="16"/>
                <w:szCs w:val="16"/>
              </w:rPr>
              <w:t>76,53</w:t>
            </w:r>
          </w:p>
        </w:tc>
      </w:tr>
      <w:tr w:rsidR="005B6463" w:rsidRPr="002857C5" w14:paraId="577321F4" w14:textId="77777777" w:rsidTr="00EF01A1">
        <w:trPr>
          <w:trHeight w:val="300"/>
          <w:tblHeader/>
          <w:jc w:val="center"/>
        </w:trPr>
        <w:tc>
          <w:tcPr>
            <w:tcW w:w="941" w:type="pct"/>
            <w:tcBorders>
              <w:top w:val="nil"/>
              <w:left w:val="nil"/>
              <w:bottom w:val="single" w:sz="4" w:space="0" w:color="auto"/>
              <w:right w:val="nil"/>
            </w:tcBorders>
            <w:shd w:val="clear" w:color="auto" w:fill="auto"/>
            <w:noWrap/>
            <w:vAlign w:val="center"/>
            <w:hideMark/>
          </w:tcPr>
          <w:p w14:paraId="01367C6B" w14:textId="77777777" w:rsidR="005B6463" w:rsidRPr="000E705F" w:rsidRDefault="005B6463" w:rsidP="00EF01A1">
            <w:pPr>
              <w:jc w:val="left"/>
              <w:rPr>
                <w:rFonts w:cs="Arial"/>
                <w:bCs/>
                <w:color w:val="000000"/>
                <w:sz w:val="18"/>
                <w:szCs w:val="18"/>
              </w:rPr>
            </w:pPr>
            <w:r w:rsidRPr="000E705F">
              <w:rPr>
                <w:rFonts w:cs="Arial"/>
                <w:bCs/>
                <w:color w:val="000000"/>
                <w:sz w:val="18"/>
                <w:szCs w:val="18"/>
              </w:rPr>
              <w:t>Não Informado</w:t>
            </w:r>
          </w:p>
        </w:tc>
        <w:tc>
          <w:tcPr>
            <w:tcW w:w="643" w:type="pct"/>
            <w:tcBorders>
              <w:top w:val="nil"/>
              <w:left w:val="single" w:sz="4" w:space="0" w:color="auto"/>
              <w:bottom w:val="single" w:sz="4" w:space="0" w:color="auto"/>
              <w:right w:val="single" w:sz="4" w:space="0" w:color="auto"/>
            </w:tcBorders>
            <w:shd w:val="clear" w:color="auto" w:fill="auto"/>
            <w:noWrap/>
            <w:vAlign w:val="center"/>
            <w:hideMark/>
          </w:tcPr>
          <w:p w14:paraId="224FD5E9" w14:textId="77777777" w:rsidR="005B6463" w:rsidRPr="00BB76E0" w:rsidRDefault="005B6463" w:rsidP="00EF01A1">
            <w:pPr>
              <w:jc w:val="center"/>
              <w:rPr>
                <w:rFonts w:cs="Arial"/>
                <w:color w:val="000000"/>
                <w:sz w:val="16"/>
                <w:szCs w:val="16"/>
              </w:rPr>
            </w:pPr>
            <w:r w:rsidRPr="00BB76E0">
              <w:rPr>
                <w:rFonts w:cs="Arial"/>
                <w:color w:val="000000"/>
                <w:sz w:val="16"/>
                <w:szCs w:val="16"/>
              </w:rPr>
              <w:t>930.418</w:t>
            </w:r>
          </w:p>
        </w:tc>
        <w:tc>
          <w:tcPr>
            <w:tcW w:w="455" w:type="pct"/>
            <w:tcBorders>
              <w:top w:val="nil"/>
              <w:left w:val="nil"/>
              <w:bottom w:val="single" w:sz="4" w:space="0" w:color="auto"/>
              <w:right w:val="single" w:sz="4" w:space="0" w:color="auto"/>
            </w:tcBorders>
            <w:shd w:val="clear" w:color="auto" w:fill="auto"/>
            <w:noWrap/>
            <w:vAlign w:val="center"/>
            <w:hideMark/>
          </w:tcPr>
          <w:p w14:paraId="6BCE1898" w14:textId="77777777" w:rsidR="005B6463" w:rsidRPr="00BB76E0" w:rsidRDefault="005B6463" w:rsidP="00EF01A1">
            <w:pPr>
              <w:jc w:val="center"/>
              <w:rPr>
                <w:rFonts w:cs="Arial"/>
                <w:color w:val="000000"/>
                <w:sz w:val="16"/>
                <w:szCs w:val="16"/>
              </w:rPr>
            </w:pPr>
            <w:r w:rsidRPr="00BB76E0">
              <w:rPr>
                <w:rFonts w:cs="Arial"/>
                <w:color w:val="000000"/>
                <w:sz w:val="16"/>
                <w:szCs w:val="16"/>
              </w:rPr>
              <w:t>893.006</w:t>
            </w:r>
          </w:p>
        </w:tc>
        <w:tc>
          <w:tcPr>
            <w:tcW w:w="410" w:type="pct"/>
            <w:tcBorders>
              <w:top w:val="nil"/>
              <w:left w:val="nil"/>
              <w:bottom w:val="single" w:sz="4" w:space="0" w:color="auto"/>
              <w:right w:val="single" w:sz="4" w:space="0" w:color="auto"/>
            </w:tcBorders>
            <w:shd w:val="clear" w:color="auto" w:fill="auto"/>
            <w:vAlign w:val="center"/>
            <w:hideMark/>
          </w:tcPr>
          <w:p w14:paraId="5C927976" w14:textId="77777777" w:rsidR="005B6463" w:rsidRPr="00BB76E0" w:rsidRDefault="005B6463" w:rsidP="00EF01A1">
            <w:pPr>
              <w:rPr>
                <w:rFonts w:cs="Arial"/>
                <w:color w:val="000000"/>
                <w:sz w:val="16"/>
                <w:szCs w:val="16"/>
              </w:rPr>
            </w:pPr>
            <w:r w:rsidRPr="00BB76E0">
              <w:rPr>
                <w:rFonts w:cs="Arial"/>
                <w:color w:val="000000"/>
                <w:sz w:val="16"/>
                <w:szCs w:val="16"/>
              </w:rPr>
              <w:t>409.177</w:t>
            </w:r>
          </w:p>
        </w:tc>
        <w:tc>
          <w:tcPr>
            <w:tcW w:w="544" w:type="pct"/>
            <w:tcBorders>
              <w:top w:val="nil"/>
              <w:left w:val="nil"/>
              <w:bottom w:val="single" w:sz="4" w:space="0" w:color="auto"/>
              <w:right w:val="single" w:sz="4" w:space="0" w:color="auto"/>
            </w:tcBorders>
            <w:shd w:val="clear" w:color="auto" w:fill="auto"/>
            <w:noWrap/>
            <w:vAlign w:val="center"/>
            <w:hideMark/>
          </w:tcPr>
          <w:p w14:paraId="7A4A9E39" w14:textId="77777777" w:rsidR="005B6463" w:rsidRPr="00BB76E0" w:rsidRDefault="005B6463" w:rsidP="00EF01A1">
            <w:pPr>
              <w:jc w:val="center"/>
              <w:rPr>
                <w:rFonts w:cs="Arial"/>
                <w:color w:val="000000"/>
                <w:sz w:val="16"/>
                <w:szCs w:val="16"/>
              </w:rPr>
            </w:pPr>
            <w:r w:rsidRPr="00BB76E0">
              <w:rPr>
                <w:rFonts w:cs="Arial"/>
                <w:color w:val="000000"/>
                <w:sz w:val="16"/>
                <w:szCs w:val="16"/>
              </w:rPr>
              <w:t>2.232.601</w:t>
            </w:r>
          </w:p>
        </w:tc>
        <w:tc>
          <w:tcPr>
            <w:tcW w:w="337" w:type="pct"/>
            <w:tcBorders>
              <w:top w:val="nil"/>
              <w:left w:val="nil"/>
              <w:bottom w:val="single" w:sz="4" w:space="0" w:color="auto"/>
              <w:right w:val="single" w:sz="4" w:space="0" w:color="auto"/>
            </w:tcBorders>
            <w:shd w:val="clear" w:color="auto" w:fill="auto"/>
            <w:noWrap/>
            <w:vAlign w:val="center"/>
            <w:hideMark/>
          </w:tcPr>
          <w:p w14:paraId="1BA4E24D" w14:textId="77777777" w:rsidR="005B6463" w:rsidRPr="00BB76E0" w:rsidRDefault="005B6463" w:rsidP="00EF01A1">
            <w:pPr>
              <w:jc w:val="center"/>
              <w:rPr>
                <w:rFonts w:cs="Arial"/>
                <w:color w:val="000000"/>
                <w:sz w:val="16"/>
                <w:szCs w:val="16"/>
              </w:rPr>
            </w:pPr>
            <w:r w:rsidRPr="00BB76E0">
              <w:rPr>
                <w:rFonts w:cs="Arial"/>
                <w:color w:val="000000"/>
                <w:sz w:val="16"/>
                <w:szCs w:val="16"/>
              </w:rPr>
              <w:t>3,75</w:t>
            </w:r>
          </w:p>
        </w:tc>
        <w:tc>
          <w:tcPr>
            <w:tcW w:w="411" w:type="pct"/>
            <w:tcBorders>
              <w:top w:val="nil"/>
              <w:left w:val="nil"/>
              <w:bottom w:val="single" w:sz="4" w:space="0" w:color="auto"/>
              <w:right w:val="single" w:sz="4" w:space="0" w:color="auto"/>
            </w:tcBorders>
            <w:shd w:val="clear" w:color="auto" w:fill="auto"/>
            <w:noWrap/>
            <w:vAlign w:val="center"/>
            <w:hideMark/>
          </w:tcPr>
          <w:p w14:paraId="1F8A658A" w14:textId="77777777" w:rsidR="005B6463" w:rsidRPr="00BB76E0" w:rsidRDefault="005B6463" w:rsidP="00EF01A1">
            <w:pPr>
              <w:jc w:val="center"/>
              <w:rPr>
                <w:rFonts w:cs="Arial"/>
                <w:color w:val="000000"/>
                <w:sz w:val="16"/>
                <w:szCs w:val="16"/>
              </w:rPr>
            </w:pPr>
            <w:r w:rsidRPr="00BB76E0">
              <w:rPr>
                <w:rFonts w:cs="Arial"/>
                <w:color w:val="000000"/>
                <w:sz w:val="16"/>
                <w:szCs w:val="16"/>
              </w:rPr>
              <w:t>135.697</w:t>
            </w:r>
          </w:p>
        </w:tc>
        <w:tc>
          <w:tcPr>
            <w:tcW w:w="358" w:type="pct"/>
            <w:tcBorders>
              <w:top w:val="nil"/>
              <w:left w:val="nil"/>
              <w:bottom w:val="single" w:sz="4" w:space="0" w:color="auto"/>
              <w:right w:val="single" w:sz="4" w:space="0" w:color="auto"/>
            </w:tcBorders>
            <w:shd w:val="clear" w:color="auto" w:fill="auto"/>
            <w:noWrap/>
            <w:vAlign w:val="center"/>
            <w:hideMark/>
          </w:tcPr>
          <w:p w14:paraId="1B661023" w14:textId="77777777" w:rsidR="005B6463" w:rsidRPr="00BB76E0" w:rsidRDefault="005B6463" w:rsidP="00EF01A1">
            <w:pPr>
              <w:jc w:val="center"/>
              <w:rPr>
                <w:rFonts w:cs="Arial"/>
                <w:color w:val="000000"/>
                <w:sz w:val="16"/>
                <w:szCs w:val="16"/>
              </w:rPr>
            </w:pPr>
            <w:r w:rsidRPr="00BB76E0">
              <w:rPr>
                <w:rFonts w:cs="Arial"/>
                <w:color w:val="000000"/>
                <w:sz w:val="16"/>
                <w:szCs w:val="16"/>
              </w:rPr>
              <w:t>64,77</w:t>
            </w:r>
          </w:p>
        </w:tc>
        <w:tc>
          <w:tcPr>
            <w:tcW w:w="544" w:type="pct"/>
            <w:tcBorders>
              <w:top w:val="nil"/>
              <w:left w:val="nil"/>
              <w:bottom w:val="single" w:sz="4" w:space="0" w:color="auto"/>
              <w:right w:val="single" w:sz="4" w:space="0" w:color="auto"/>
            </w:tcBorders>
            <w:shd w:val="clear" w:color="auto" w:fill="auto"/>
            <w:noWrap/>
            <w:vAlign w:val="center"/>
            <w:hideMark/>
          </w:tcPr>
          <w:p w14:paraId="3585E09D" w14:textId="77777777" w:rsidR="005B6463" w:rsidRPr="00BB76E0" w:rsidRDefault="005B6463" w:rsidP="00EF01A1">
            <w:pPr>
              <w:jc w:val="center"/>
              <w:rPr>
                <w:rFonts w:cs="Arial"/>
                <w:color w:val="000000"/>
                <w:sz w:val="16"/>
                <w:szCs w:val="16"/>
              </w:rPr>
            </w:pPr>
            <w:r w:rsidRPr="00BB76E0">
              <w:rPr>
                <w:rFonts w:cs="Arial"/>
                <w:color w:val="000000"/>
                <w:sz w:val="16"/>
                <w:szCs w:val="16"/>
              </w:rPr>
              <w:t>2.368.298</w:t>
            </w:r>
          </w:p>
        </w:tc>
        <w:tc>
          <w:tcPr>
            <w:tcW w:w="357" w:type="pct"/>
            <w:tcBorders>
              <w:top w:val="nil"/>
              <w:left w:val="nil"/>
              <w:bottom w:val="single" w:sz="4" w:space="0" w:color="auto"/>
              <w:right w:val="nil"/>
            </w:tcBorders>
            <w:shd w:val="clear" w:color="auto" w:fill="auto"/>
            <w:noWrap/>
            <w:vAlign w:val="center"/>
            <w:hideMark/>
          </w:tcPr>
          <w:p w14:paraId="6C06AEF7" w14:textId="77777777" w:rsidR="005B6463" w:rsidRPr="00BB76E0" w:rsidRDefault="005B6463" w:rsidP="00EF01A1">
            <w:pPr>
              <w:jc w:val="center"/>
              <w:rPr>
                <w:rFonts w:cs="Arial"/>
                <w:color w:val="000000"/>
                <w:sz w:val="16"/>
                <w:szCs w:val="16"/>
              </w:rPr>
            </w:pPr>
            <w:r w:rsidRPr="00BB76E0">
              <w:rPr>
                <w:rFonts w:cs="Arial"/>
                <w:color w:val="000000"/>
                <w:sz w:val="16"/>
                <w:szCs w:val="16"/>
              </w:rPr>
              <w:t>3,96</w:t>
            </w:r>
          </w:p>
        </w:tc>
      </w:tr>
      <w:tr w:rsidR="005B6463" w:rsidRPr="002857C5" w14:paraId="41F57EF8" w14:textId="77777777" w:rsidTr="00EF01A1">
        <w:trPr>
          <w:trHeight w:val="300"/>
          <w:tblHeader/>
          <w:jc w:val="center"/>
        </w:trPr>
        <w:tc>
          <w:tcPr>
            <w:tcW w:w="941" w:type="pct"/>
            <w:tcBorders>
              <w:top w:val="single" w:sz="4" w:space="0" w:color="auto"/>
              <w:left w:val="nil"/>
              <w:bottom w:val="single" w:sz="4" w:space="0" w:color="auto"/>
              <w:right w:val="single" w:sz="4" w:space="0" w:color="auto"/>
            </w:tcBorders>
            <w:shd w:val="clear" w:color="auto" w:fill="auto"/>
            <w:noWrap/>
            <w:vAlign w:val="center"/>
            <w:hideMark/>
          </w:tcPr>
          <w:p w14:paraId="76EA80F4" w14:textId="77777777" w:rsidR="005B6463" w:rsidRPr="00BB76E0" w:rsidRDefault="005B6463" w:rsidP="00EF01A1">
            <w:pPr>
              <w:jc w:val="center"/>
              <w:rPr>
                <w:rFonts w:cs="Arial"/>
                <w:b/>
                <w:bCs/>
                <w:color w:val="000000"/>
                <w:sz w:val="18"/>
                <w:szCs w:val="18"/>
              </w:rPr>
            </w:pPr>
            <w:r w:rsidRPr="00BB76E0">
              <w:rPr>
                <w:rFonts w:cs="Arial"/>
                <w:b/>
                <w:bCs/>
                <w:color w:val="000000"/>
                <w:sz w:val="18"/>
                <w:szCs w:val="18"/>
              </w:rPr>
              <w:t>Total</w:t>
            </w:r>
          </w:p>
        </w:tc>
        <w:tc>
          <w:tcPr>
            <w:tcW w:w="643" w:type="pct"/>
            <w:tcBorders>
              <w:top w:val="single" w:sz="4" w:space="0" w:color="auto"/>
              <w:left w:val="nil"/>
              <w:bottom w:val="single" w:sz="4" w:space="0" w:color="auto"/>
              <w:right w:val="single" w:sz="4" w:space="0" w:color="auto"/>
            </w:tcBorders>
            <w:shd w:val="clear" w:color="auto" w:fill="auto"/>
            <w:noWrap/>
            <w:vAlign w:val="center"/>
            <w:hideMark/>
          </w:tcPr>
          <w:p w14:paraId="1D61FF63" w14:textId="77777777" w:rsidR="005B6463" w:rsidRPr="00BB76E0" w:rsidRDefault="005B6463" w:rsidP="00EF01A1">
            <w:pPr>
              <w:jc w:val="center"/>
              <w:rPr>
                <w:rFonts w:cs="Arial"/>
                <w:b/>
                <w:color w:val="000000"/>
                <w:sz w:val="16"/>
                <w:szCs w:val="16"/>
              </w:rPr>
            </w:pPr>
            <w:r w:rsidRPr="00BB76E0">
              <w:rPr>
                <w:rFonts w:cs="Arial"/>
                <w:b/>
                <w:color w:val="000000"/>
                <w:sz w:val="16"/>
                <w:szCs w:val="16"/>
              </w:rPr>
              <w:t>58.067.849</w:t>
            </w:r>
          </w:p>
        </w:tc>
        <w:tc>
          <w:tcPr>
            <w:tcW w:w="455" w:type="pct"/>
            <w:tcBorders>
              <w:top w:val="single" w:sz="4" w:space="0" w:color="auto"/>
              <w:left w:val="nil"/>
              <w:bottom w:val="single" w:sz="4" w:space="0" w:color="auto"/>
              <w:right w:val="single" w:sz="4" w:space="0" w:color="auto"/>
            </w:tcBorders>
            <w:shd w:val="clear" w:color="auto" w:fill="auto"/>
            <w:noWrap/>
            <w:vAlign w:val="center"/>
            <w:hideMark/>
          </w:tcPr>
          <w:p w14:paraId="538F3E6C" w14:textId="77777777" w:rsidR="005B6463" w:rsidRPr="00BB76E0" w:rsidRDefault="005B6463" w:rsidP="00EF01A1">
            <w:pPr>
              <w:jc w:val="center"/>
              <w:rPr>
                <w:rFonts w:cs="Arial"/>
                <w:b/>
                <w:color w:val="000000"/>
                <w:sz w:val="16"/>
                <w:szCs w:val="16"/>
              </w:rPr>
            </w:pPr>
            <w:r w:rsidRPr="00BB76E0">
              <w:rPr>
                <w:rFonts w:cs="Arial"/>
                <w:b/>
                <w:color w:val="000000"/>
                <w:sz w:val="16"/>
                <w:szCs w:val="16"/>
              </w:rPr>
              <w:t>1.061.669</w:t>
            </w:r>
          </w:p>
        </w:tc>
        <w:tc>
          <w:tcPr>
            <w:tcW w:w="410" w:type="pct"/>
            <w:tcBorders>
              <w:top w:val="single" w:sz="4" w:space="0" w:color="auto"/>
              <w:left w:val="nil"/>
              <w:bottom w:val="single" w:sz="4" w:space="0" w:color="auto"/>
              <w:right w:val="single" w:sz="4" w:space="0" w:color="auto"/>
            </w:tcBorders>
            <w:shd w:val="clear" w:color="auto" w:fill="auto"/>
            <w:noWrap/>
            <w:vAlign w:val="center"/>
            <w:hideMark/>
          </w:tcPr>
          <w:p w14:paraId="395A9DAF" w14:textId="77777777" w:rsidR="005B6463" w:rsidRPr="00BB76E0" w:rsidRDefault="005B6463" w:rsidP="00EF01A1">
            <w:pPr>
              <w:jc w:val="center"/>
              <w:rPr>
                <w:rFonts w:cs="Arial"/>
                <w:b/>
                <w:color w:val="000000"/>
                <w:sz w:val="16"/>
                <w:szCs w:val="16"/>
              </w:rPr>
            </w:pPr>
            <w:r w:rsidRPr="00BB76E0">
              <w:rPr>
                <w:rFonts w:cs="Arial"/>
                <w:b/>
                <w:color w:val="000000"/>
                <w:sz w:val="16"/>
                <w:szCs w:val="16"/>
              </w:rPr>
              <w:t>409.872</w:t>
            </w:r>
          </w:p>
        </w:tc>
        <w:tc>
          <w:tcPr>
            <w:tcW w:w="544" w:type="pct"/>
            <w:tcBorders>
              <w:top w:val="single" w:sz="4" w:space="0" w:color="auto"/>
              <w:left w:val="nil"/>
              <w:bottom w:val="single" w:sz="4" w:space="0" w:color="auto"/>
              <w:right w:val="single" w:sz="4" w:space="0" w:color="auto"/>
            </w:tcBorders>
            <w:shd w:val="clear" w:color="auto" w:fill="auto"/>
            <w:noWrap/>
            <w:vAlign w:val="center"/>
            <w:hideMark/>
          </w:tcPr>
          <w:p w14:paraId="6460245B" w14:textId="77777777" w:rsidR="005B6463" w:rsidRPr="00BB76E0" w:rsidRDefault="005B6463" w:rsidP="00EF01A1">
            <w:pPr>
              <w:jc w:val="center"/>
              <w:rPr>
                <w:rFonts w:cs="Arial"/>
                <w:b/>
                <w:color w:val="000000"/>
                <w:sz w:val="16"/>
                <w:szCs w:val="16"/>
              </w:rPr>
            </w:pPr>
            <w:r w:rsidRPr="00BB76E0">
              <w:rPr>
                <w:rFonts w:cs="Arial"/>
                <w:b/>
                <w:color w:val="000000"/>
                <w:sz w:val="16"/>
                <w:szCs w:val="16"/>
              </w:rPr>
              <w:t>59.539.390</w:t>
            </w:r>
          </w:p>
        </w:tc>
        <w:tc>
          <w:tcPr>
            <w:tcW w:w="337" w:type="pct"/>
            <w:tcBorders>
              <w:top w:val="single" w:sz="4" w:space="0" w:color="auto"/>
              <w:left w:val="nil"/>
              <w:bottom w:val="single" w:sz="4" w:space="0" w:color="auto"/>
              <w:right w:val="single" w:sz="4" w:space="0" w:color="auto"/>
            </w:tcBorders>
            <w:shd w:val="clear" w:color="auto" w:fill="auto"/>
            <w:noWrap/>
            <w:vAlign w:val="center"/>
            <w:hideMark/>
          </w:tcPr>
          <w:p w14:paraId="575F9278" w14:textId="77777777" w:rsidR="005B6463" w:rsidRPr="00BB76E0" w:rsidRDefault="005B6463" w:rsidP="00EF01A1">
            <w:pPr>
              <w:jc w:val="center"/>
              <w:rPr>
                <w:rFonts w:cs="Arial"/>
                <w:b/>
                <w:color w:val="000000"/>
                <w:sz w:val="16"/>
                <w:szCs w:val="16"/>
              </w:rPr>
            </w:pPr>
            <w:r w:rsidRPr="00BB76E0">
              <w:rPr>
                <w:rFonts w:cs="Arial"/>
                <w:b/>
                <w:color w:val="000000"/>
                <w:sz w:val="16"/>
                <w:szCs w:val="16"/>
              </w:rPr>
              <w:t>100</w:t>
            </w:r>
            <w:r w:rsidRPr="00E878FD">
              <w:rPr>
                <w:rFonts w:cs="Arial"/>
                <w:b/>
                <w:color w:val="000000"/>
                <w:sz w:val="16"/>
                <w:szCs w:val="16"/>
              </w:rPr>
              <w:t>,00</w:t>
            </w:r>
          </w:p>
        </w:tc>
        <w:tc>
          <w:tcPr>
            <w:tcW w:w="411" w:type="pct"/>
            <w:tcBorders>
              <w:top w:val="single" w:sz="4" w:space="0" w:color="auto"/>
              <w:left w:val="nil"/>
              <w:bottom w:val="single" w:sz="4" w:space="0" w:color="auto"/>
              <w:right w:val="single" w:sz="4" w:space="0" w:color="auto"/>
            </w:tcBorders>
            <w:shd w:val="clear" w:color="auto" w:fill="auto"/>
            <w:noWrap/>
            <w:vAlign w:val="center"/>
            <w:hideMark/>
          </w:tcPr>
          <w:p w14:paraId="0882F684" w14:textId="77777777" w:rsidR="005B6463" w:rsidRPr="00BB76E0" w:rsidRDefault="005B6463" w:rsidP="00EF01A1">
            <w:pPr>
              <w:jc w:val="center"/>
              <w:rPr>
                <w:rFonts w:cs="Arial"/>
                <w:b/>
                <w:color w:val="000000"/>
                <w:sz w:val="16"/>
                <w:szCs w:val="16"/>
              </w:rPr>
            </w:pPr>
            <w:r w:rsidRPr="00BB76E0">
              <w:rPr>
                <w:rFonts w:cs="Arial"/>
                <w:b/>
                <w:color w:val="000000"/>
                <w:sz w:val="16"/>
                <w:szCs w:val="16"/>
              </w:rPr>
              <w:t>209.512</w:t>
            </w:r>
          </w:p>
        </w:tc>
        <w:tc>
          <w:tcPr>
            <w:tcW w:w="358" w:type="pct"/>
            <w:tcBorders>
              <w:top w:val="single" w:sz="4" w:space="0" w:color="auto"/>
              <w:left w:val="nil"/>
              <w:bottom w:val="single" w:sz="4" w:space="0" w:color="auto"/>
              <w:right w:val="single" w:sz="4" w:space="0" w:color="auto"/>
            </w:tcBorders>
            <w:shd w:val="clear" w:color="auto" w:fill="auto"/>
            <w:noWrap/>
            <w:vAlign w:val="center"/>
            <w:hideMark/>
          </w:tcPr>
          <w:p w14:paraId="2337CF2A" w14:textId="77777777" w:rsidR="005B6463" w:rsidRPr="00BB76E0" w:rsidRDefault="005B6463" w:rsidP="00EF01A1">
            <w:pPr>
              <w:jc w:val="center"/>
              <w:rPr>
                <w:rFonts w:cs="Arial"/>
                <w:b/>
                <w:color w:val="000000"/>
                <w:sz w:val="16"/>
                <w:szCs w:val="16"/>
              </w:rPr>
            </w:pPr>
            <w:r w:rsidRPr="00BB76E0">
              <w:rPr>
                <w:rFonts w:cs="Arial"/>
                <w:b/>
                <w:color w:val="000000"/>
                <w:sz w:val="16"/>
                <w:szCs w:val="16"/>
              </w:rPr>
              <w:t>100,00</w:t>
            </w:r>
          </w:p>
        </w:tc>
        <w:tc>
          <w:tcPr>
            <w:tcW w:w="544" w:type="pct"/>
            <w:tcBorders>
              <w:top w:val="single" w:sz="4" w:space="0" w:color="auto"/>
              <w:left w:val="nil"/>
              <w:bottom w:val="single" w:sz="4" w:space="0" w:color="auto"/>
              <w:right w:val="single" w:sz="4" w:space="0" w:color="auto"/>
            </w:tcBorders>
            <w:shd w:val="clear" w:color="auto" w:fill="auto"/>
            <w:noWrap/>
            <w:vAlign w:val="center"/>
            <w:hideMark/>
          </w:tcPr>
          <w:p w14:paraId="2F13545A" w14:textId="77777777" w:rsidR="005B6463" w:rsidRPr="00BB76E0" w:rsidRDefault="005B6463" w:rsidP="00EF01A1">
            <w:pPr>
              <w:jc w:val="center"/>
              <w:rPr>
                <w:rFonts w:cs="Arial"/>
                <w:b/>
                <w:color w:val="000000"/>
                <w:sz w:val="16"/>
                <w:szCs w:val="16"/>
              </w:rPr>
            </w:pPr>
            <w:r w:rsidRPr="00BB76E0">
              <w:rPr>
                <w:rFonts w:cs="Arial"/>
                <w:b/>
                <w:color w:val="000000"/>
                <w:sz w:val="16"/>
                <w:szCs w:val="16"/>
              </w:rPr>
              <w:t>59.748.90</w:t>
            </w:r>
            <w:r>
              <w:rPr>
                <w:rFonts w:cs="Arial"/>
                <w:b/>
                <w:color w:val="000000"/>
                <w:sz w:val="16"/>
                <w:szCs w:val="16"/>
              </w:rPr>
              <w:t>3</w:t>
            </w:r>
          </w:p>
        </w:tc>
        <w:tc>
          <w:tcPr>
            <w:tcW w:w="357" w:type="pct"/>
            <w:tcBorders>
              <w:top w:val="single" w:sz="4" w:space="0" w:color="auto"/>
              <w:left w:val="nil"/>
              <w:bottom w:val="single" w:sz="4" w:space="0" w:color="auto"/>
              <w:right w:val="nil"/>
            </w:tcBorders>
            <w:shd w:val="clear" w:color="auto" w:fill="auto"/>
            <w:noWrap/>
            <w:vAlign w:val="center"/>
            <w:hideMark/>
          </w:tcPr>
          <w:p w14:paraId="1397CF39" w14:textId="77777777" w:rsidR="005B6463" w:rsidRPr="00BB76E0" w:rsidRDefault="005B6463" w:rsidP="00EF01A1">
            <w:pPr>
              <w:jc w:val="center"/>
              <w:rPr>
                <w:rFonts w:cs="Arial"/>
                <w:b/>
                <w:color w:val="000000"/>
                <w:sz w:val="16"/>
                <w:szCs w:val="16"/>
              </w:rPr>
            </w:pPr>
            <w:r w:rsidRPr="00BB76E0">
              <w:rPr>
                <w:rFonts w:cs="Arial"/>
                <w:b/>
                <w:color w:val="000000"/>
                <w:sz w:val="16"/>
                <w:szCs w:val="16"/>
              </w:rPr>
              <w:t>100,00</w:t>
            </w:r>
          </w:p>
        </w:tc>
      </w:tr>
    </w:tbl>
    <w:p w14:paraId="0214D1F4" w14:textId="77777777" w:rsidR="005B6463" w:rsidRPr="003E6428" w:rsidRDefault="005B6463" w:rsidP="00EF01A1">
      <w:pPr>
        <w:pStyle w:val="1-FONTE8ESQ"/>
        <w:rPr>
          <w:rStyle w:val="fontstyle01"/>
          <w:i w:val="0"/>
          <w:iCs w:val="0"/>
        </w:rPr>
      </w:pPr>
      <w:r w:rsidRPr="003E6428">
        <w:rPr>
          <w:rStyle w:val="fontstyle01"/>
          <w:i w:val="0"/>
          <w:iCs w:val="0"/>
        </w:rPr>
        <w:t>Fonte: Despacho Nº 46/2024/ECONOMIA/GCRED</w:t>
      </w:r>
      <w:r>
        <w:rPr>
          <w:rStyle w:val="fontstyle01"/>
          <w:i w:val="0"/>
          <w:iCs w:val="0"/>
        </w:rPr>
        <w:t xml:space="preserve"> (BGE 2023)</w:t>
      </w:r>
    </w:p>
    <w:p w14:paraId="3CFBCED4" w14:textId="4BE6E375" w:rsidR="005B6463" w:rsidRPr="00274A27" w:rsidRDefault="009E0DF6" w:rsidP="005B6463">
      <w:pPr>
        <w:pStyle w:val="1-REL11"/>
      </w:pPr>
      <w:r>
        <w:t>V</w:t>
      </w:r>
      <w:r w:rsidR="005B6463" w:rsidRPr="003F3657">
        <w:t>erifica-se que, agregando-se todos os tipos de créditos tributários, em 76,73</w:t>
      </w:r>
      <w:r w:rsidR="005B6463" w:rsidRPr="00274A27">
        <w:t>% (R$ 45,68 bilhões) do total da dívida ativa o contribuinte está com a situação cadastral Baixado/</w:t>
      </w:r>
      <w:r w:rsidR="005B6463">
        <w:t xml:space="preserve"> </w:t>
      </w:r>
      <w:r w:rsidR="005B6463" w:rsidRPr="00274A27">
        <w:t>Cassado/</w:t>
      </w:r>
      <w:r w:rsidR="005B6463">
        <w:t xml:space="preserve"> </w:t>
      </w:r>
      <w:r w:rsidR="005B6463" w:rsidRPr="00274A27">
        <w:t>Paralisado/</w:t>
      </w:r>
      <w:r w:rsidR="005B6463">
        <w:t xml:space="preserve"> </w:t>
      </w:r>
      <w:r w:rsidR="005B6463" w:rsidRPr="00274A27">
        <w:t xml:space="preserve">Suspenso, e </w:t>
      </w:r>
      <w:r w:rsidR="005B6463">
        <w:t xml:space="preserve">somente em </w:t>
      </w:r>
      <w:r w:rsidR="005B6463" w:rsidRPr="00274A27">
        <w:t>19,52% (R$ 11,62 bilhões) se encontra em situação cadastral Ativo.</w:t>
      </w:r>
    </w:p>
    <w:p w14:paraId="233A820B" w14:textId="77777777" w:rsidR="005B6463" w:rsidRPr="00274A27" w:rsidRDefault="005B6463" w:rsidP="005B6463">
      <w:pPr>
        <w:pStyle w:val="1-REL11"/>
      </w:pPr>
      <w:r w:rsidRPr="00274A27">
        <w:t>A respeito da receita com a arrecadação da dívida ativa, os dados históricos demonstram que</w:t>
      </w:r>
      <w:r>
        <w:t xml:space="preserve"> em 2023 o recebimento de créditos inscritos em dívida ativa, em relação ao estoque, apesar de </w:t>
      </w:r>
      <w:r>
        <w:lastRenderedPageBreak/>
        <w:t xml:space="preserve">ter demonstrado uma importante </w:t>
      </w:r>
      <w:bookmarkStart w:id="431" w:name="_Hlk167356233"/>
      <w:r>
        <w:t>evolução de 113,59% comparada ao ano anterior</w:t>
      </w:r>
      <w:bookmarkEnd w:id="431"/>
      <w:r>
        <w:t>, ainda</w:t>
      </w:r>
      <w:r w:rsidRPr="00274A27">
        <w:t xml:space="preserve"> é menor que 1% do seu estoque, conforme tabela abaixo:</w:t>
      </w:r>
    </w:p>
    <w:p w14:paraId="169BB079" w14:textId="19A63310" w:rsidR="005B6463" w:rsidRPr="00590067" w:rsidRDefault="005B6463" w:rsidP="00ED3571">
      <w:pPr>
        <w:pStyle w:val="0-TABELA"/>
      </w:pPr>
      <w:bookmarkStart w:id="432" w:name="_Toc135332532"/>
      <w:bookmarkStart w:id="433" w:name="_Toc167871821"/>
      <w:r w:rsidRPr="00590067">
        <w:t>Arrecadação x Estoque da Dívida Ativa</w:t>
      </w:r>
      <w:bookmarkEnd w:id="432"/>
      <w:r w:rsidR="00C45CAE" w:rsidRPr="00C45CAE">
        <w:t xml:space="preserve"> – 201</w:t>
      </w:r>
      <w:r w:rsidR="00C45CAE">
        <w:t>9</w:t>
      </w:r>
      <w:r w:rsidR="00C45CAE" w:rsidRPr="00C45CAE">
        <w:t xml:space="preserve"> a 2023</w:t>
      </w:r>
      <w:bookmarkEnd w:id="433"/>
    </w:p>
    <w:p w14:paraId="6DCDC894" w14:textId="77777777" w:rsidR="005B6463" w:rsidRPr="00590067" w:rsidRDefault="005B6463" w:rsidP="005B6463">
      <w:pPr>
        <w:pStyle w:val="0-EmR"/>
      </w:pPr>
      <w:r>
        <w:t xml:space="preserve">R$ </w:t>
      </w:r>
      <w:r w:rsidRPr="00590067">
        <w:t>mil</w:t>
      </w:r>
    </w:p>
    <w:tbl>
      <w:tblPr>
        <w:tblW w:w="5000" w:type="pct"/>
        <w:tblLayout w:type="fixed"/>
        <w:tblCellMar>
          <w:left w:w="70" w:type="dxa"/>
          <w:right w:w="70" w:type="dxa"/>
        </w:tblCellMar>
        <w:tblLook w:val="04A0" w:firstRow="1" w:lastRow="0" w:firstColumn="1" w:lastColumn="0" w:noHBand="0" w:noVBand="1"/>
      </w:tblPr>
      <w:tblGrid>
        <w:gridCol w:w="1870"/>
        <w:gridCol w:w="1870"/>
        <w:gridCol w:w="1871"/>
        <w:gridCol w:w="1871"/>
        <w:gridCol w:w="1871"/>
      </w:tblGrid>
      <w:tr w:rsidR="0005507B" w:rsidRPr="00D546D5" w14:paraId="4D680692" w14:textId="77777777" w:rsidTr="00EF01A1">
        <w:trPr>
          <w:trHeight w:val="255"/>
          <w:tblHeader/>
        </w:trPr>
        <w:tc>
          <w:tcPr>
            <w:tcW w:w="1000" w:type="pct"/>
            <w:vMerge w:val="restart"/>
            <w:tcBorders>
              <w:top w:val="single" w:sz="4" w:space="0" w:color="auto"/>
              <w:left w:val="nil"/>
              <w:right w:val="single" w:sz="4" w:space="0" w:color="auto"/>
            </w:tcBorders>
            <w:shd w:val="clear" w:color="000000" w:fill="A1F2FD"/>
            <w:noWrap/>
            <w:vAlign w:val="center"/>
            <w:hideMark/>
          </w:tcPr>
          <w:p w14:paraId="0A94BF91" w14:textId="77777777" w:rsidR="0005507B" w:rsidRPr="00D546D5" w:rsidRDefault="0005507B" w:rsidP="00EF01A1">
            <w:pPr>
              <w:jc w:val="center"/>
              <w:rPr>
                <w:rFonts w:cs="Arial"/>
                <w:b/>
                <w:bCs/>
                <w:color w:val="000000"/>
                <w:sz w:val="20"/>
                <w:szCs w:val="20"/>
              </w:rPr>
            </w:pPr>
            <w:r w:rsidRPr="00D546D5">
              <w:rPr>
                <w:rFonts w:cs="Arial"/>
                <w:b/>
                <w:bCs/>
                <w:color w:val="000000"/>
                <w:sz w:val="20"/>
                <w:szCs w:val="20"/>
              </w:rPr>
              <w:t>Exercício</w:t>
            </w:r>
          </w:p>
        </w:tc>
        <w:tc>
          <w:tcPr>
            <w:tcW w:w="1000" w:type="pct"/>
            <w:tcBorders>
              <w:top w:val="single" w:sz="4" w:space="0" w:color="auto"/>
              <w:left w:val="nil"/>
              <w:right w:val="single" w:sz="4" w:space="0" w:color="auto"/>
            </w:tcBorders>
            <w:shd w:val="clear" w:color="000000" w:fill="A1F2FD"/>
            <w:noWrap/>
            <w:vAlign w:val="center"/>
            <w:hideMark/>
          </w:tcPr>
          <w:p w14:paraId="0785E370" w14:textId="77777777" w:rsidR="0005507B" w:rsidRPr="00D546D5" w:rsidRDefault="0005507B" w:rsidP="00EF01A1">
            <w:pPr>
              <w:jc w:val="center"/>
              <w:rPr>
                <w:rFonts w:cs="Arial"/>
                <w:b/>
                <w:bCs/>
                <w:color w:val="000000"/>
                <w:sz w:val="20"/>
                <w:szCs w:val="20"/>
              </w:rPr>
            </w:pPr>
            <w:r w:rsidRPr="00D546D5">
              <w:rPr>
                <w:rFonts w:cs="Arial"/>
                <w:b/>
                <w:bCs/>
                <w:color w:val="000000"/>
                <w:sz w:val="20"/>
                <w:szCs w:val="20"/>
              </w:rPr>
              <w:t>Arrecadação</w:t>
            </w:r>
          </w:p>
        </w:tc>
        <w:tc>
          <w:tcPr>
            <w:tcW w:w="1000" w:type="pct"/>
            <w:tcBorders>
              <w:top w:val="single" w:sz="4" w:space="0" w:color="auto"/>
              <w:left w:val="nil"/>
              <w:right w:val="single" w:sz="4" w:space="0" w:color="auto"/>
            </w:tcBorders>
            <w:shd w:val="clear" w:color="000000" w:fill="A1F2FD"/>
            <w:noWrap/>
            <w:vAlign w:val="center"/>
            <w:hideMark/>
          </w:tcPr>
          <w:p w14:paraId="3672F749" w14:textId="77777777" w:rsidR="0005507B" w:rsidRPr="00D546D5" w:rsidRDefault="0005507B" w:rsidP="00EF01A1">
            <w:pPr>
              <w:jc w:val="center"/>
              <w:rPr>
                <w:rFonts w:cs="Arial"/>
                <w:b/>
                <w:bCs/>
                <w:color w:val="000000"/>
                <w:sz w:val="20"/>
                <w:szCs w:val="20"/>
              </w:rPr>
            </w:pPr>
            <w:r w:rsidRPr="00D546D5">
              <w:rPr>
                <w:rFonts w:cs="Arial"/>
                <w:b/>
                <w:bCs/>
                <w:color w:val="000000"/>
                <w:sz w:val="20"/>
                <w:szCs w:val="20"/>
              </w:rPr>
              <w:t>Estoque</w:t>
            </w:r>
          </w:p>
        </w:tc>
        <w:tc>
          <w:tcPr>
            <w:tcW w:w="1000" w:type="pct"/>
            <w:tcBorders>
              <w:top w:val="single" w:sz="4" w:space="0" w:color="auto"/>
              <w:left w:val="nil"/>
              <w:right w:val="nil"/>
            </w:tcBorders>
            <w:shd w:val="clear" w:color="000000" w:fill="A1F2FD"/>
            <w:noWrap/>
            <w:vAlign w:val="center"/>
            <w:hideMark/>
          </w:tcPr>
          <w:p w14:paraId="73857CD0" w14:textId="77777777" w:rsidR="0005507B" w:rsidRPr="00D546D5" w:rsidRDefault="0005507B" w:rsidP="00EF01A1">
            <w:pPr>
              <w:jc w:val="center"/>
              <w:rPr>
                <w:rFonts w:cs="Arial"/>
                <w:b/>
                <w:bCs/>
                <w:color w:val="000000"/>
                <w:sz w:val="20"/>
                <w:szCs w:val="20"/>
              </w:rPr>
            </w:pPr>
            <w:r w:rsidRPr="00D546D5">
              <w:rPr>
                <w:rFonts w:cs="Arial"/>
                <w:b/>
                <w:bCs/>
                <w:color w:val="000000"/>
                <w:sz w:val="20"/>
                <w:szCs w:val="20"/>
              </w:rPr>
              <w:t>Recuperação (%)</w:t>
            </w:r>
          </w:p>
        </w:tc>
        <w:tc>
          <w:tcPr>
            <w:tcW w:w="1000" w:type="pct"/>
            <w:tcBorders>
              <w:top w:val="single" w:sz="4" w:space="0" w:color="auto"/>
              <w:left w:val="single" w:sz="4" w:space="0" w:color="auto"/>
              <w:right w:val="nil"/>
            </w:tcBorders>
            <w:shd w:val="clear" w:color="000000" w:fill="A1F2FD"/>
            <w:noWrap/>
            <w:vAlign w:val="center"/>
            <w:hideMark/>
          </w:tcPr>
          <w:p w14:paraId="63123AD6" w14:textId="77777777" w:rsidR="0005507B" w:rsidRPr="00D546D5" w:rsidRDefault="0005507B" w:rsidP="00EF01A1">
            <w:pPr>
              <w:jc w:val="center"/>
              <w:rPr>
                <w:rFonts w:cs="Arial"/>
                <w:b/>
                <w:bCs/>
                <w:color w:val="000000"/>
                <w:sz w:val="20"/>
                <w:szCs w:val="20"/>
              </w:rPr>
            </w:pPr>
            <w:r w:rsidRPr="00D546D5">
              <w:rPr>
                <w:rFonts w:cs="Arial"/>
                <w:b/>
                <w:bCs/>
                <w:color w:val="000000"/>
                <w:sz w:val="20"/>
                <w:szCs w:val="20"/>
              </w:rPr>
              <w:t>Evolução da Recuperação (%)</w:t>
            </w:r>
          </w:p>
        </w:tc>
      </w:tr>
      <w:tr w:rsidR="0005507B" w:rsidRPr="00D546D5" w14:paraId="6526EE54" w14:textId="77777777" w:rsidTr="00EF01A1">
        <w:trPr>
          <w:trHeight w:val="255"/>
          <w:tblHeader/>
        </w:trPr>
        <w:tc>
          <w:tcPr>
            <w:tcW w:w="1000" w:type="pct"/>
            <w:vMerge/>
            <w:tcBorders>
              <w:left w:val="nil"/>
              <w:bottom w:val="single" w:sz="4" w:space="0" w:color="auto"/>
              <w:right w:val="single" w:sz="4" w:space="0" w:color="auto"/>
            </w:tcBorders>
            <w:shd w:val="clear" w:color="000000" w:fill="A1F2FD"/>
            <w:noWrap/>
            <w:vAlign w:val="center"/>
          </w:tcPr>
          <w:p w14:paraId="2AD0FF49" w14:textId="77777777" w:rsidR="0005507B" w:rsidRPr="00D546D5" w:rsidRDefault="0005507B" w:rsidP="00EF01A1">
            <w:pPr>
              <w:jc w:val="center"/>
              <w:rPr>
                <w:rFonts w:cs="Arial"/>
                <w:b/>
                <w:bCs/>
                <w:color w:val="000000"/>
                <w:sz w:val="20"/>
                <w:szCs w:val="20"/>
              </w:rPr>
            </w:pPr>
          </w:p>
        </w:tc>
        <w:tc>
          <w:tcPr>
            <w:tcW w:w="1000" w:type="pct"/>
            <w:tcBorders>
              <w:left w:val="nil"/>
              <w:bottom w:val="single" w:sz="4" w:space="0" w:color="auto"/>
              <w:right w:val="single" w:sz="4" w:space="0" w:color="auto"/>
            </w:tcBorders>
            <w:shd w:val="clear" w:color="000000" w:fill="A1F2FD"/>
            <w:noWrap/>
            <w:vAlign w:val="center"/>
          </w:tcPr>
          <w:p w14:paraId="2EDE4ABE" w14:textId="77777777" w:rsidR="0005507B" w:rsidRPr="00D546D5" w:rsidRDefault="0005507B" w:rsidP="00EF01A1">
            <w:pPr>
              <w:jc w:val="center"/>
              <w:rPr>
                <w:rFonts w:cs="Arial"/>
                <w:b/>
                <w:bCs/>
                <w:color w:val="000000"/>
                <w:sz w:val="20"/>
                <w:szCs w:val="20"/>
              </w:rPr>
            </w:pPr>
            <w:r w:rsidRPr="00D546D5">
              <w:rPr>
                <w:rFonts w:cs="Arial"/>
                <w:b/>
                <w:bCs/>
                <w:color w:val="000000"/>
                <w:sz w:val="20"/>
                <w:szCs w:val="20"/>
              </w:rPr>
              <w:t>(a)</w:t>
            </w:r>
          </w:p>
        </w:tc>
        <w:tc>
          <w:tcPr>
            <w:tcW w:w="1000" w:type="pct"/>
            <w:tcBorders>
              <w:left w:val="nil"/>
              <w:bottom w:val="single" w:sz="4" w:space="0" w:color="auto"/>
              <w:right w:val="single" w:sz="4" w:space="0" w:color="auto"/>
            </w:tcBorders>
            <w:shd w:val="clear" w:color="000000" w:fill="A1F2FD"/>
            <w:noWrap/>
            <w:vAlign w:val="center"/>
          </w:tcPr>
          <w:p w14:paraId="20E62FD8" w14:textId="77777777" w:rsidR="0005507B" w:rsidRPr="00D546D5" w:rsidRDefault="0005507B" w:rsidP="00EF01A1">
            <w:pPr>
              <w:jc w:val="center"/>
              <w:rPr>
                <w:rFonts w:cs="Arial"/>
                <w:b/>
                <w:bCs/>
                <w:color w:val="000000"/>
                <w:sz w:val="20"/>
                <w:szCs w:val="20"/>
              </w:rPr>
            </w:pPr>
            <w:r w:rsidRPr="00D546D5">
              <w:rPr>
                <w:rFonts w:cs="Arial"/>
                <w:b/>
                <w:bCs/>
                <w:color w:val="000000"/>
                <w:sz w:val="20"/>
                <w:szCs w:val="20"/>
              </w:rPr>
              <w:t>(b)</w:t>
            </w:r>
          </w:p>
        </w:tc>
        <w:tc>
          <w:tcPr>
            <w:tcW w:w="1000" w:type="pct"/>
            <w:tcBorders>
              <w:left w:val="nil"/>
              <w:bottom w:val="single" w:sz="4" w:space="0" w:color="auto"/>
              <w:right w:val="nil"/>
            </w:tcBorders>
            <w:shd w:val="clear" w:color="000000" w:fill="A1F2FD"/>
            <w:noWrap/>
            <w:vAlign w:val="center"/>
          </w:tcPr>
          <w:p w14:paraId="39C63C9F" w14:textId="77777777" w:rsidR="0005507B" w:rsidRPr="00D546D5" w:rsidDel="0062593C" w:rsidRDefault="0005507B" w:rsidP="00EF01A1">
            <w:pPr>
              <w:jc w:val="center"/>
              <w:rPr>
                <w:rFonts w:cs="Arial"/>
                <w:b/>
                <w:bCs/>
                <w:color w:val="000000"/>
                <w:sz w:val="20"/>
                <w:szCs w:val="20"/>
              </w:rPr>
            </w:pPr>
            <w:r w:rsidRPr="00D546D5">
              <w:rPr>
                <w:rFonts w:cs="Arial"/>
                <w:b/>
                <w:bCs/>
                <w:color w:val="000000"/>
                <w:sz w:val="20"/>
                <w:szCs w:val="20"/>
              </w:rPr>
              <w:t>(c)=(a/b)</w:t>
            </w:r>
          </w:p>
        </w:tc>
        <w:tc>
          <w:tcPr>
            <w:tcW w:w="1000" w:type="pct"/>
            <w:tcBorders>
              <w:left w:val="single" w:sz="4" w:space="0" w:color="auto"/>
              <w:bottom w:val="single" w:sz="4" w:space="0" w:color="auto"/>
              <w:right w:val="nil"/>
            </w:tcBorders>
            <w:shd w:val="clear" w:color="000000" w:fill="A1F2FD"/>
            <w:noWrap/>
            <w:vAlign w:val="center"/>
          </w:tcPr>
          <w:p w14:paraId="051080B9" w14:textId="040C0468" w:rsidR="0005507B" w:rsidRPr="00D546D5" w:rsidRDefault="0005507B" w:rsidP="00EF01A1">
            <w:pPr>
              <w:jc w:val="center"/>
              <w:rPr>
                <w:rFonts w:cs="Arial"/>
                <w:b/>
                <w:bCs/>
                <w:color w:val="000000"/>
                <w:sz w:val="20"/>
                <w:szCs w:val="20"/>
              </w:rPr>
            </w:pPr>
            <w:r w:rsidRPr="00D546D5">
              <w:rPr>
                <w:rFonts w:cs="Arial"/>
                <w:b/>
                <w:bCs/>
                <w:color w:val="000000"/>
                <w:sz w:val="20"/>
                <w:szCs w:val="20"/>
              </w:rPr>
              <w:t>(d)</w:t>
            </w:r>
          </w:p>
        </w:tc>
      </w:tr>
      <w:tr w:rsidR="005B6463" w:rsidRPr="00D546D5" w14:paraId="082EAC85" w14:textId="77777777" w:rsidTr="00EF01A1">
        <w:trPr>
          <w:trHeight w:val="255"/>
        </w:trPr>
        <w:tc>
          <w:tcPr>
            <w:tcW w:w="1000" w:type="pct"/>
            <w:tcBorders>
              <w:top w:val="nil"/>
              <w:left w:val="nil"/>
              <w:bottom w:val="nil"/>
              <w:right w:val="single" w:sz="4" w:space="0" w:color="auto"/>
            </w:tcBorders>
            <w:shd w:val="clear" w:color="auto" w:fill="auto"/>
            <w:noWrap/>
            <w:vAlign w:val="center"/>
            <w:hideMark/>
          </w:tcPr>
          <w:p w14:paraId="21920467" w14:textId="77777777" w:rsidR="005B6463" w:rsidRPr="00D546D5" w:rsidRDefault="005B6463" w:rsidP="00EF01A1">
            <w:pPr>
              <w:jc w:val="center"/>
              <w:rPr>
                <w:rFonts w:cs="Arial"/>
                <w:color w:val="000000"/>
                <w:sz w:val="20"/>
                <w:szCs w:val="20"/>
              </w:rPr>
            </w:pPr>
            <w:r w:rsidRPr="00D546D5">
              <w:rPr>
                <w:rFonts w:cs="Arial"/>
                <w:color w:val="000000"/>
                <w:sz w:val="20"/>
                <w:szCs w:val="20"/>
              </w:rPr>
              <w:t>2019</w:t>
            </w:r>
          </w:p>
        </w:tc>
        <w:tc>
          <w:tcPr>
            <w:tcW w:w="1000" w:type="pct"/>
            <w:tcBorders>
              <w:top w:val="single" w:sz="4" w:space="0" w:color="auto"/>
              <w:left w:val="nil"/>
              <w:bottom w:val="nil"/>
              <w:right w:val="single" w:sz="4" w:space="0" w:color="auto"/>
            </w:tcBorders>
            <w:shd w:val="clear" w:color="auto" w:fill="auto"/>
            <w:noWrap/>
            <w:vAlign w:val="center"/>
            <w:hideMark/>
          </w:tcPr>
          <w:p w14:paraId="79BFAEDE" w14:textId="77777777" w:rsidR="005B6463" w:rsidRPr="00D546D5" w:rsidRDefault="005B6463" w:rsidP="00EF01A1">
            <w:pPr>
              <w:jc w:val="right"/>
              <w:rPr>
                <w:rFonts w:cs="Arial"/>
                <w:color w:val="000000"/>
                <w:sz w:val="20"/>
                <w:szCs w:val="20"/>
              </w:rPr>
            </w:pPr>
            <w:r w:rsidRPr="00D546D5">
              <w:rPr>
                <w:rFonts w:cs="Arial"/>
                <w:color w:val="000000"/>
                <w:sz w:val="20"/>
                <w:szCs w:val="20"/>
              </w:rPr>
              <w:t>246.703</w:t>
            </w:r>
          </w:p>
        </w:tc>
        <w:tc>
          <w:tcPr>
            <w:tcW w:w="1000" w:type="pct"/>
            <w:tcBorders>
              <w:top w:val="single" w:sz="4" w:space="0" w:color="auto"/>
              <w:left w:val="nil"/>
              <w:bottom w:val="nil"/>
              <w:right w:val="nil"/>
            </w:tcBorders>
            <w:shd w:val="clear" w:color="auto" w:fill="auto"/>
            <w:noWrap/>
            <w:vAlign w:val="center"/>
            <w:hideMark/>
          </w:tcPr>
          <w:p w14:paraId="49A4777B" w14:textId="77777777" w:rsidR="005B6463" w:rsidRPr="00D546D5" w:rsidRDefault="005B6463" w:rsidP="00EF01A1">
            <w:pPr>
              <w:jc w:val="right"/>
              <w:rPr>
                <w:rFonts w:cs="Arial"/>
                <w:color w:val="000000"/>
                <w:sz w:val="20"/>
                <w:szCs w:val="20"/>
              </w:rPr>
            </w:pPr>
            <w:r w:rsidRPr="00D546D5">
              <w:rPr>
                <w:rFonts w:cs="Arial"/>
                <w:color w:val="000000"/>
                <w:sz w:val="20"/>
                <w:szCs w:val="20"/>
              </w:rPr>
              <w:t>46.623.029</w:t>
            </w:r>
          </w:p>
        </w:tc>
        <w:tc>
          <w:tcPr>
            <w:tcW w:w="1000" w:type="pct"/>
            <w:tcBorders>
              <w:top w:val="single" w:sz="4" w:space="0" w:color="auto"/>
              <w:left w:val="single" w:sz="4" w:space="0" w:color="auto"/>
              <w:bottom w:val="nil"/>
              <w:right w:val="single" w:sz="4" w:space="0" w:color="auto"/>
            </w:tcBorders>
            <w:shd w:val="clear" w:color="auto" w:fill="auto"/>
            <w:noWrap/>
            <w:vAlign w:val="bottom"/>
            <w:hideMark/>
          </w:tcPr>
          <w:p w14:paraId="458874D6" w14:textId="77777777" w:rsidR="005B6463" w:rsidRPr="00D546D5" w:rsidRDefault="005B6463" w:rsidP="00EF01A1">
            <w:pPr>
              <w:jc w:val="center"/>
              <w:rPr>
                <w:rFonts w:cs="Arial"/>
                <w:color w:val="000000"/>
                <w:sz w:val="20"/>
                <w:szCs w:val="20"/>
              </w:rPr>
            </w:pPr>
            <w:r w:rsidRPr="00D546D5">
              <w:rPr>
                <w:rFonts w:cs="Arial"/>
                <w:color w:val="000000"/>
                <w:sz w:val="20"/>
                <w:szCs w:val="20"/>
              </w:rPr>
              <w:t xml:space="preserve">0,53 </w:t>
            </w:r>
          </w:p>
        </w:tc>
        <w:tc>
          <w:tcPr>
            <w:tcW w:w="1000" w:type="pct"/>
            <w:tcBorders>
              <w:top w:val="nil"/>
              <w:left w:val="nil"/>
              <w:bottom w:val="nil"/>
              <w:right w:val="nil"/>
            </w:tcBorders>
            <w:shd w:val="clear" w:color="auto" w:fill="auto"/>
            <w:noWrap/>
            <w:vAlign w:val="bottom"/>
            <w:hideMark/>
          </w:tcPr>
          <w:p w14:paraId="1EF716B4" w14:textId="77777777" w:rsidR="005B6463" w:rsidRPr="00D546D5" w:rsidRDefault="005B6463" w:rsidP="00EF01A1">
            <w:pPr>
              <w:jc w:val="center"/>
              <w:rPr>
                <w:rFonts w:cs="Arial"/>
                <w:color w:val="000000"/>
                <w:sz w:val="20"/>
                <w:szCs w:val="20"/>
              </w:rPr>
            </w:pPr>
            <w:r w:rsidRPr="00D546D5">
              <w:rPr>
                <w:rFonts w:cs="Arial"/>
                <w:color w:val="FF0000"/>
                <w:sz w:val="20"/>
                <w:szCs w:val="20"/>
              </w:rPr>
              <w:t>(3,79)</w:t>
            </w:r>
          </w:p>
        </w:tc>
      </w:tr>
      <w:tr w:rsidR="005B6463" w:rsidRPr="00D546D5" w14:paraId="401C112E" w14:textId="77777777" w:rsidTr="00EF01A1">
        <w:trPr>
          <w:trHeight w:val="255"/>
        </w:trPr>
        <w:tc>
          <w:tcPr>
            <w:tcW w:w="1000" w:type="pct"/>
            <w:tcBorders>
              <w:top w:val="nil"/>
              <w:left w:val="nil"/>
              <w:bottom w:val="nil"/>
              <w:right w:val="single" w:sz="4" w:space="0" w:color="auto"/>
            </w:tcBorders>
            <w:shd w:val="clear" w:color="auto" w:fill="auto"/>
            <w:noWrap/>
            <w:vAlign w:val="center"/>
            <w:hideMark/>
          </w:tcPr>
          <w:p w14:paraId="019D157B" w14:textId="77777777" w:rsidR="005B6463" w:rsidRPr="00D546D5" w:rsidRDefault="005B6463" w:rsidP="00EF01A1">
            <w:pPr>
              <w:jc w:val="center"/>
              <w:rPr>
                <w:rFonts w:cs="Arial"/>
                <w:color w:val="000000"/>
                <w:sz w:val="20"/>
                <w:szCs w:val="20"/>
              </w:rPr>
            </w:pPr>
            <w:r w:rsidRPr="00D546D5">
              <w:rPr>
                <w:rFonts w:cs="Arial"/>
                <w:color w:val="000000"/>
                <w:sz w:val="20"/>
                <w:szCs w:val="20"/>
              </w:rPr>
              <w:t>2020</w:t>
            </w:r>
          </w:p>
        </w:tc>
        <w:tc>
          <w:tcPr>
            <w:tcW w:w="1000" w:type="pct"/>
            <w:tcBorders>
              <w:top w:val="nil"/>
              <w:left w:val="nil"/>
              <w:bottom w:val="nil"/>
              <w:right w:val="single" w:sz="4" w:space="0" w:color="auto"/>
            </w:tcBorders>
            <w:shd w:val="clear" w:color="auto" w:fill="auto"/>
            <w:noWrap/>
            <w:vAlign w:val="center"/>
            <w:hideMark/>
          </w:tcPr>
          <w:p w14:paraId="024DB4C7" w14:textId="77777777" w:rsidR="005B6463" w:rsidRPr="00D546D5" w:rsidRDefault="005B6463" w:rsidP="00EF01A1">
            <w:pPr>
              <w:jc w:val="right"/>
              <w:rPr>
                <w:rFonts w:cs="Arial"/>
                <w:color w:val="000000"/>
                <w:sz w:val="20"/>
                <w:szCs w:val="20"/>
              </w:rPr>
            </w:pPr>
            <w:r w:rsidRPr="00D546D5">
              <w:rPr>
                <w:rFonts w:cs="Arial"/>
                <w:color w:val="000000"/>
                <w:sz w:val="20"/>
                <w:szCs w:val="20"/>
              </w:rPr>
              <w:t>210.244</w:t>
            </w:r>
          </w:p>
        </w:tc>
        <w:tc>
          <w:tcPr>
            <w:tcW w:w="1000" w:type="pct"/>
            <w:tcBorders>
              <w:top w:val="nil"/>
              <w:left w:val="nil"/>
              <w:bottom w:val="nil"/>
              <w:right w:val="nil"/>
            </w:tcBorders>
            <w:shd w:val="clear" w:color="auto" w:fill="auto"/>
            <w:noWrap/>
            <w:vAlign w:val="center"/>
            <w:hideMark/>
          </w:tcPr>
          <w:p w14:paraId="7A1CE665" w14:textId="77777777" w:rsidR="005B6463" w:rsidRPr="00D546D5" w:rsidRDefault="005B6463" w:rsidP="00EF01A1">
            <w:pPr>
              <w:jc w:val="right"/>
              <w:rPr>
                <w:rFonts w:cs="Arial"/>
                <w:color w:val="000000"/>
                <w:sz w:val="20"/>
                <w:szCs w:val="20"/>
              </w:rPr>
            </w:pPr>
            <w:r w:rsidRPr="00D546D5">
              <w:rPr>
                <w:rFonts w:cs="Arial"/>
                <w:color w:val="000000"/>
                <w:sz w:val="20"/>
                <w:szCs w:val="20"/>
              </w:rPr>
              <w:t>54.888.493</w:t>
            </w:r>
          </w:p>
        </w:tc>
        <w:tc>
          <w:tcPr>
            <w:tcW w:w="1000" w:type="pct"/>
            <w:tcBorders>
              <w:top w:val="nil"/>
              <w:left w:val="single" w:sz="4" w:space="0" w:color="auto"/>
              <w:bottom w:val="nil"/>
              <w:right w:val="single" w:sz="4" w:space="0" w:color="auto"/>
            </w:tcBorders>
            <w:shd w:val="clear" w:color="auto" w:fill="auto"/>
            <w:noWrap/>
            <w:vAlign w:val="bottom"/>
            <w:hideMark/>
          </w:tcPr>
          <w:p w14:paraId="41BFAD8F" w14:textId="77777777" w:rsidR="005B6463" w:rsidRPr="00D546D5" w:rsidRDefault="005B6463" w:rsidP="00EF01A1">
            <w:pPr>
              <w:jc w:val="center"/>
              <w:rPr>
                <w:rFonts w:cs="Arial"/>
                <w:color w:val="000000"/>
                <w:sz w:val="20"/>
                <w:szCs w:val="20"/>
              </w:rPr>
            </w:pPr>
            <w:r w:rsidRPr="00D546D5">
              <w:rPr>
                <w:rFonts w:cs="Arial"/>
                <w:color w:val="000000"/>
                <w:sz w:val="20"/>
                <w:szCs w:val="20"/>
              </w:rPr>
              <w:t xml:space="preserve">0,38 </w:t>
            </w:r>
          </w:p>
        </w:tc>
        <w:tc>
          <w:tcPr>
            <w:tcW w:w="1000" w:type="pct"/>
            <w:tcBorders>
              <w:top w:val="nil"/>
              <w:left w:val="nil"/>
              <w:bottom w:val="nil"/>
              <w:right w:val="nil"/>
            </w:tcBorders>
            <w:shd w:val="clear" w:color="auto" w:fill="auto"/>
            <w:noWrap/>
            <w:vAlign w:val="bottom"/>
            <w:hideMark/>
          </w:tcPr>
          <w:p w14:paraId="717211A6" w14:textId="77777777" w:rsidR="005B6463" w:rsidRPr="00D546D5" w:rsidRDefault="005B6463" w:rsidP="00EF01A1">
            <w:pPr>
              <w:jc w:val="center"/>
              <w:rPr>
                <w:rFonts w:cs="Arial"/>
                <w:color w:val="000000"/>
                <w:sz w:val="20"/>
                <w:szCs w:val="20"/>
              </w:rPr>
            </w:pPr>
            <w:r w:rsidRPr="00D546D5">
              <w:rPr>
                <w:rFonts w:cs="Arial"/>
                <w:color w:val="FF0000"/>
                <w:sz w:val="20"/>
                <w:szCs w:val="20"/>
              </w:rPr>
              <w:t>(27,61)</w:t>
            </w:r>
          </w:p>
        </w:tc>
      </w:tr>
      <w:tr w:rsidR="005B6463" w:rsidRPr="00D546D5" w14:paraId="650CC182" w14:textId="77777777" w:rsidTr="00EF01A1">
        <w:trPr>
          <w:trHeight w:val="255"/>
        </w:trPr>
        <w:tc>
          <w:tcPr>
            <w:tcW w:w="1000" w:type="pct"/>
            <w:tcBorders>
              <w:top w:val="nil"/>
              <w:left w:val="nil"/>
              <w:bottom w:val="nil"/>
              <w:right w:val="single" w:sz="4" w:space="0" w:color="auto"/>
            </w:tcBorders>
            <w:shd w:val="clear" w:color="auto" w:fill="auto"/>
            <w:noWrap/>
            <w:vAlign w:val="center"/>
            <w:hideMark/>
          </w:tcPr>
          <w:p w14:paraId="0FCBDF91" w14:textId="77777777" w:rsidR="005B6463" w:rsidRPr="00D546D5" w:rsidRDefault="005B6463" w:rsidP="00EF01A1">
            <w:pPr>
              <w:jc w:val="center"/>
              <w:rPr>
                <w:rFonts w:cs="Arial"/>
                <w:color w:val="000000"/>
                <w:sz w:val="20"/>
                <w:szCs w:val="20"/>
              </w:rPr>
            </w:pPr>
            <w:r w:rsidRPr="00D546D5">
              <w:rPr>
                <w:rFonts w:cs="Arial"/>
                <w:color w:val="000000"/>
                <w:sz w:val="20"/>
                <w:szCs w:val="20"/>
              </w:rPr>
              <w:t>2021</w:t>
            </w:r>
          </w:p>
        </w:tc>
        <w:tc>
          <w:tcPr>
            <w:tcW w:w="1000" w:type="pct"/>
            <w:tcBorders>
              <w:top w:val="nil"/>
              <w:left w:val="nil"/>
              <w:bottom w:val="nil"/>
              <w:right w:val="single" w:sz="4" w:space="0" w:color="auto"/>
            </w:tcBorders>
            <w:shd w:val="clear" w:color="auto" w:fill="auto"/>
            <w:noWrap/>
            <w:vAlign w:val="center"/>
            <w:hideMark/>
          </w:tcPr>
          <w:p w14:paraId="1B4C6697" w14:textId="77777777" w:rsidR="005B6463" w:rsidRPr="00D546D5" w:rsidRDefault="005B6463" w:rsidP="00EF01A1">
            <w:pPr>
              <w:jc w:val="right"/>
              <w:rPr>
                <w:rFonts w:cs="Arial"/>
                <w:color w:val="000000"/>
                <w:sz w:val="20"/>
                <w:szCs w:val="20"/>
              </w:rPr>
            </w:pPr>
            <w:r w:rsidRPr="00D546D5">
              <w:rPr>
                <w:rFonts w:cs="Arial"/>
                <w:color w:val="000000"/>
                <w:sz w:val="20"/>
                <w:szCs w:val="20"/>
              </w:rPr>
              <w:t>386.744</w:t>
            </w:r>
          </w:p>
        </w:tc>
        <w:tc>
          <w:tcPr>
            <w:tcW w:w="1000" w:type="pct"/>
            <w:tcBorders>
              <w:top w:val="nil"/>
              <w:left w:val="nil"/>
              <w:bottom w:val="nil"/>
              <w:right w:val="nil"/>
            </w:tcBorders>
            <w:shd w:val="clear" w:color="auto" w:fill="auto"/>
            <w:noWrap/>
            <w:vAlign w:val="center"/>
            <w:hideMark/>
          </w:tcPr>
          <w:p w14:paraId="5D086913" w14:textId="77777777" w:rsidR="005B6463" w:rsidRPr="00D546D5" w:rsidRDefault="005B6463" w:rsidP="00EF01A1">
            <w:pPr>
              <w:jc w:val="right"/>
              <w:rPr>
                <w:rFonts w:cs="Arial"/>
                <w:color w:val="000000"/>
                <w:sz w:val="20"/>
                <w:szCs w:val="20"/>
              </w:rPr>
            </w:pPr>
            <w:r w:rsidRPr="00D546D5">
              <w:rPr>
                <w:rFonts w:cs="Arial"/>
                <w:color w:val="000000"/>
                <w:sz w:val="20"/>
                <w:szCs w:val="20"/>
              </w:rPr>
              <w:t>58.970.627</w:t>
            </w:r>
          </w:p>
        </w:tc>
        <w:tc>
          <w:tcPr>
            <w:tcW w:w="1000" w:type="pct"/>
            <w:tcBorders>
              <w:top w:val="nil"/>
              <w:left w:val="single" w:sz="4" w:space="0" w:color="auto"/>
              <w:bottom w:val="nil"/>
              <w:right w:val="single" w:sz="4" w:space="0" w:color="auto"/>
            </w:tcBorders>
            <w:shd w:val="clear" w:color="auto" w:fill="auto"/>
            <w:noWrap/>
            <w:vAlign w:val="bottom"/>
            <w:hideMark/>
          </w:tcPr>
          <w:p w14:paraId="26B3DCEA" w14:textId="77777777" w:rsidR="005B6463" w:rsidRPr="00D546D5" w:rsidRDefault="005B6463" w:rsidP="00EF01A1">
            <w:pPr>
              <w:jc w:val="center"/>
              <w:rPr>
                <w:rFonts w:cs="Arial"/>
                <w:color w:val="000000"/>
                <w:sz w:val="20"/>
                <w:szCs w:val="20"/>
              </w:rPr>
            </w:pPr>
            <w:r w:rsidRPr="00D546D5">
              <w:rPr>
                <w:rFonts w:cs="Arial"/>
                <w:color w:val="000000"/>
                <w:sz w:val="20"/>
                <w:szCs w:val="20"/>
              </w:rPr>
              <w:t xml:space="preserve">0,66 </w:t>
            </w:r>
          </w:p>
        </w:tc>
        <w:tc>
          <w:tcPr>
            <w:tcW w:w="1000" w:type="pct"/>
            <w:tcBorders>
              <w:top w:val="nil"/>
              <w:left w:val="nil"/>
              <w:bottom w:val="nil"/>
              <w:right w:val="nil"/>
            </w:tcBorders>
            <w:shd w:val="clear" w:color="auto" w:fill="auto"/>
            <w:noWrap/>
            <w:vAlign w:val="bottom"/>
            <w:hideMark/>
          </w:tcPr>
          <w:p w14:paraId="5D2EBCC5" w14:textId="77777777" w:rsidR="005B6463" w:rsidRPr="00D546D5" w:rsidRDefault="005B6463" w:rsidP="00EF01A1">
            <w:pPr>
              <w:jc w:val="center"/>
              <w:rPr>
                <w:rFonts w:cs="Arial"/>
                <w:color w:val="000000"/>
                <w:sz w:val="20"/>
                <w:szCs w:val="20"/>
              </w:rPr>
            </w:pPr>
            <w:r w:rsidRPr="00D546D5">
              <w:rPr>
                <w:rFonts w:cs="Arial"/>
                <w:color w:val="000000"/>
                <w:sz w:val="20"/>
                <w:szCs w:val="20"/>
              </w:rPr>
              <w:t>71,22</w:t>
            </w:r>
          </w:p>
        </w:tc>
      </w:tr>
      <w:tr w:rsidR="005B6463" w:rsidRPr="00D546D5" w14:paraId="1745B2F8" w14:textId="77777777" w:rsidTr="00EF01A1">
        <w:trPr>
          <w:trHeight w:val="255"/>
        </w:trPr>
        <w:tc>
          <w:tcPr>
            <w:tcW w:w="1000" w:type="pct"/>
            <w:tcBorders>
              <w:top w:val="nil"/>
              <w:left w:val="nil"/>
              <w:bottom w:val="nil"/>
              <w:right w:val="single" w:sz="4" w:space="0" w:color="auto"/>
            </w:tcBorders>
            <w:shd w:val="clear" w:color="auto" w:fill="auto"/>
            <w:noWrap/>
            <w:vAlign w:val="center"/>
            <w:hideMark/>
          </w:tcPr>
          <w:p w14:paraId="3568804E" w14:textId="77777777" w:rsidR="005B6463" w:rsidRPr="00D546D5" w:rsidRDefault="005B6463" w:rsidP="00EF01A1">
            <w:pPr>
              <w:jc w:val="center"/>
              <w:rPr>
                <w:rFonts w:cs="Arial"/>
                <w:color w:val="000000"/>
                <w:sz w:val="20"/>
                <w:szCs w:val="20"/>
              </w:rPr>
            </w:pPr>
            <w:r w:rsidRPr="00D546D5">
              <w:rPr>
                <w:rFonts w:cs="Arial"/>
                <w:color w:val="000000"/>
                <w:sz w:val="20"/>
                <w:szCs w:val="20"/>
              </w:rPr>
              <w:t>2022</w:t>
            </w:r>
          </w:p>
        </w:tc>
        <w:tc>
          <w:tcPr>
            <w:tcW w:w="1000" w:type="pct"/>
            <w:tcBorders>
              <w:top w:val="nil"/>
              <w:left w:val="nil"/>
              <w:bottom w:val="nil"/>
              <w:right w:val="single" w:sz="4" w:space="0" w:color="auto"/>
            </w:tcBorders>
            <w:shd w:val="clear" w:color="auto" w:fill="auto"/>
            <w:noWrap/>
            <w:vAlign w:val="center"/>
            <w:hideMark/>
          </w:tcPr>
          <w:p w14:paraId="050EEF48" w14:textId="77777777" w:rsidR="005B6463" w:rsidRPr="00D546D5" w:rsidRDefault="005B6463" w:rsidP="00EF01A1">
            <w:pPr>
              <w:jc w:val="right"/>
              <w:rPr>
                <w:rFonts w:cs="Arial"/>
                <w:color w:val="000000"/>
                <w:sz w:val="20"/>
                <w:szCs w:val="20"/>
              </w:rPr>
            </w:pPr>
            <w:r w:rsidRPr="00D546D5">
              <w:rPr>
                <w:rFonts w:cs="Arial"/>
                <w:color w:val="000000"/>
                <w:sz w:val="20"/>
                <w:szCs w:val="20"/>
              </w:rPr>
              <w:t>226.618</w:t>
            </w:r>
          </w:p>
        </w:tc>
        <w:tc>
          <w:tcPr>
            <w:tcW w:w="1000" w:type="pct"/>
            <w:tcBorders>
              <w:top w:val="nil"/>
              <w:left w:val="nil"/>
              <w:bottom w:val="nil"/>
              <w:right w:val="nil"/>
            </w:tcBorders>
            <w:shd w:val="clear" w:color="auto" w:fill="auto"/>
            <w:noWrap/>
            <w:vAlign w:val="center"/>
            <w:hideMark/>
          </w:tcPr>
          <w:p w14:paraId="28FE4073" w14:textId="77777777" w:rsidR="005B6463" w:rsidRPr="00D546D5" w:rsidRDefault="005B6463" w:rsidP="00EF01A1">
            <w:pPr>
              <w:jc w:val="right"/>
              <w:rPr>
                <w:rFonts w:cs="Arial"/>
                <w:color w:val="000000"/>
                <w:sz w:val="20"/>
                <w:szCs w:val="20"/>
              </w:rPr>
            </w:pPr>
            <w:r w:rsidRPr="00D546D5">
              <w:rPr>
                <w:rFonts w:cs="Arial"/>
                <w:color w:val="000000"/>
                <w:sz w:val="20"/>
                <w:szCs w:val="20"/>
              </w:rPr>
              <w:t>67.265.016</w:t>
            </w:r>
          </w:p>
        </w:tc>
        <w:tc>
          <w:tcPr>
            <w:tcW w:w="1000" w:type="pct"/>
            <w:tcBorders>
              <w:top w:val="nil"/>
              <w:left w:val="single" w:sz="4" w:space="0" w:color="auto"/>
              <w:bottom w:val="nil"/>
              <w:right w:val="single" w:sz="4" w:space="0" w:color="auto"/>
            </w:tcBorders>
            <w:shd w:val="clear" w:color="auto" w:fill="auto"/>
            <w:noWrap/>
            <w:vAlign w:val="bottom"/>
            <w:hideMark/>
          </w:tcPr>
          <w:p w14:paraId="3CFB4475" w14:textId="77777777" w:rsidR="005B6463" w:rsidRPr="00D546D5" w:rsidRDefault="005B6463" w:rsidP="00EF01A1">
            <w:pPr>
              <w:jc w:val="center"/>
              <w:rPr>
                <w:rFonts w:cs="Arial"/>
                <w:color w:val="000000"/>
                <w:sz w:val="20"/>
                <w:szCs w:val="20"/>
              </w:rPr>
            </w:pPr>
            <w:r w:rsidRPr="00D546D5">
              <w:rPr>
                <w:rFonts w:cs="Arial"/>
                <w:color w:val="000000"/>
                <w:sz w:val="20"/>
                <w:szCs w:val="20"/>
              </w:rPr>
              <w:t xml:space="preserve">0,34 </w:t>
            </w:r>
          </w:p>
        </w:tc>
        <w:tc>
          <w:tcPr>
            <w:tcW w:w="1000" w:type="pct"/>
            <w:tcBorders>
              <w:top w:val="nil"/>
              <w:left w:val="nil"/>
              <w:bottom w:val="nil"/>
              <w:right w:val="nil"/>
            </w:tcBorders>
            <w:shd w:val="clear" w:color="auto" w:fill="auto"/>
            <w:noWrap/>
            <w:vAlign w:val="bottom"/>
            <w:hideMark/>
          </w:tcPr>
          <w:p w14:paraId="0E7E1DB0" w14:textId="77777777" w:rsidR="005B6463" w:rsidRPr="00D546D5" w:rsidRDefault="005B6463" w:rsidP="00EF01A1">
            <w:pPr>
              <w:jc w:val="center"/>
              <w:rPr>
                <w:rFonts w:cs="Arial"/>
                <w:color w:val="000000"/>
                <w:sz w:val="20"/>
                <w:szCs w:val="20"/>
              </w:rPr>
            </w:pPr>
            <w:r w:rsidRPr="00D546D5">
              <w:rPr>
                <w:rFonts w:cs="Arial"/>
                <w:color w:val="FF0000"/>
                <w:sz w:val="20"/>
                <w:szCs w:val="20"/>
              </w:rPr>
              <w:t>(48,63)</w:t>
            </w:r>
          </w:p>
        </w:tc>
      </w:tr>
      <w:tr w:rsidR="005B6463" w:rsidRPr="00D546D5" w14:paraId="6176A6D9" w14:textId="77777777" w:rsidTr="00EF01A1">
        <w:trPr>
          <w:trHeight w:val="255"/>
        </w:trPr>
        <w:tc>
          <w:tcPr>
            <w:tcW w:w="1000" w:type="pct"/>
            <w:tcBorders>
              <w:top w:val="nil"/>
              <w:left w:val="nil"/>
              <w:bottom w:val="single" w:sz="4" w:space="0" w:color="auto"/>
              <w:right w:val="single" w:sz="4" w:space="0" w:color="auto"/>
            </w:tcBorders>
            <w:shd w:val="clear" w:color="auto" w:fill="auto"/>
            <w:noWrap/>
            <w:vAlign w:val="bottom"/>
            <w:hideMark/>
          </w:tcPr>
          <w:p w14:paraId="67EF9940" w14:textId="77777777" w:rsidR="005B6463" w:rsidRPr="00D546D5" w:rsidRDefault="005B6463" w:rsidP="00EF01A1">
            <w:pPr>
              <w:jc w:val="center"/>
              <w:rPr>
                <w:rFonts w:cs="Arial"/>
                <w:color w:val="000000"/>
                <w:sz w:val="20"/>
                <w:szCs w:val="20"/>
              </w:rPr>
            </w:pPr>
            <w:r w:rsidRPr="00D546D5">
              <w:rPr>
                <w:rFonts w:cs="Arial"/>
                <w:color w:val="000000"/>
                <w:sz w:val="20"/>
                <w:szCs w:val="20"/>
              </w:rPr>
              <w:t>2023</w:t>
            </w:r>
          </w:p>
        </w:tc>
        <w:tc>
          <w:tcPr>
            <w:tcW w:w="1000" w:type="pct"/>
            <w:tcBorders>
              <w:top w:val="nil"/>
              <w:left w:val="nil"/>
              <w:bottom w:val="single" w:sz="4" w:space="0" w:color="auto"/>
              <w:right w:val="single" w:sz="4" w:space="0" w:color="auto"/>
            </w:tcBorders>
            <w:shd w:val="clear" w:color="auto" w:fill="auto"/>
            <w:noWrap/>
            <w:vAlign w:val="center"/>
            <w:hideMark/>
          </w:tcPr>
          <w:p w14:paraId="6DD71F30" w14:textId="77777777" w:rsidR="005B6463" w:rsidRPr="00D546D5" w:rsidRDefault="005B6463" w:rsidP="00EF01A1">
            <w:pPr>
              <w:jc w:val="right"/>
              <w:rPr>
                <w:rFonts w:cs="Arial"/>
                <w:color w:val="000000"/>
                <w:sz w:val="20"/>
                <w:szCs w:val="20"/>
              </w:rPr>
            </w:pPr>
            <w:r w:rsidRPr="00D546D5">
              <w:rPr>
                <w:rFonts w:cs="Arial"/>
                <w:color w:val="000000"/>
                <w:sz w:val="20"/>
                <w:szCs w:val="20"/>
              </w:rPr>
              <w:t>429.949</w:t>
            </w:r>
          </w:p>
        </w:tc>
        <w:tc>
          <w:tcPr>
            <w:tcW w:w="1000" w:type="pct"/>
            <w:tcBorders>
              <w:top w:val="nil"/>
              <w:left w:val="nil"/>
              <w:bottom w:val="single" w:sz="4" w:space="0" w:color="auto"/>
              <w:right w:val="nil"/>
            </w:tcBorders>
            <w:shd w:val="clear" w:color="auto" w:fill="auto"/>
            <w:noWrap/>
            <w:vAlign w:val="center"/>
            <w:hideMark/>
          </w:tcPr>
          <w:p w14:paraId="70D466B3" w14:textId="77777777" w:rsidR="005B6463" w:rsidRPr="00D546D5" w:rsidRDefault="005B6463" w:rsidP="00EF01A1">
            <w:pPr>
              <w:jc w:val="right"/>
              <w:rPr>
                <w:rFonts w:cs="Arial"/>
                <w:color w:val="000000"/>
                <w:sz w:val="20"/>
                <w:szCs w:val="20"/>
              </w:rPr>
            </w:pPr>
            <w:r w:rsidRPr="00D546D5">
              <w:rPr>
                <w:rFonts w:cs="Arial"/>
                <w:color w:val="000000"/>
                <w:sz w:val="20"/>
                <w:szCs w:val="20"/>
              </w:rPr>
              <w:t>59.748.903</w:t>
            </w:r>
          </w:p>
        </w:tc>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1F74E162" w14:textId="77777777" w:rsidR="005B6463" w:rsidRPr="00D546D5" w:rsidRDefault="005B6463" w:rsidP="00EF01A1">
            <w:pPr>
              <w:jc w:val="center"/>
              <w:rPr>
                <w:rFonts w:cs="Arial"/>
                <w:color w:val="000000"/>
                <w:sz w:val="20"/>
                <w:szCs w:val="20"/>
              </w:rPr>
            </w:pPr>
            <w:r w:rsidRPr="00D546D5">
              <w:rPr>
                <w:rFonts w:cs="Arial"/>
                <w:color w:val="000000"/>
                <w:sz w:val="20"/>
                <w:szCs w:val="20"/>
              </w:rPr>
              <w:t xml:space="preserve">0,72 </w:t>
            </w:r>
          </w:p>
        </w:tc>
        <w:tc>
          <w:tcPr>
            <w:tcW w:w="1000" w:type="pct"/>
            <w:tcBorders>
              <w:top w:val="nil"/>
              <w:left w:val="nil"/>
              <w:bottom w:val="single" w:sz="4" w:space="0" w:color="auto"/>
              <w:right w:val="nil"/>
            </w:tcBorders>
            <w:shd w:val="clear" w:color="auto" w:fill="auto"/>
            <w:noWrap/>
            <w:vAlign w:val="bottom"/>
            <w:hideMark/>
          </w:tcPr>
          <w:p w14:paraId="61F725EC" w14:textId="77777777" w:rsidR="005B6463" w:rsidRPr="00D546D5" w:rsidRDefault="005B6463" w:rsidP="00EF01A1">
            <w:pPr>
              <w:jc w:val="center"/>
              <w:rPr>
                <w:rFonts w:cs="Arial"/>
                <w:color w:val="000000"/>
                <w:sz w:val="20"/>
                <w:szCs w:val="20"/>
              </w:rPr>
            </w:pPr>
            <w:r w:rsidRPr="00D546D5">
              <w:rPr>
                <w:rFonts w:cs="Arial"/>
                <w:color w:val="000000"/>
                <w:sz w:val="20"/>
                <w:szCs w:val="20"/>
              </w:rPr>
              <w:t>113,59</w:t>
            </w:r>
          </w:p>
        </w:tc>
      </w:tr>
    </w:tbl>
    <w:p w14:paraId="1FEBC40D" w14:textId="77777777" w:rsidR="005B6463" w:rsidRPr="00F426BE" w:rsidRDefault="005B6463" w:rsidP="00EF01A1">
      <w:pPr>
        <w:pStyle w:val="1-FONTE8ESQ"/>
      </w:pPr>
      <w:r w:rsidRPr="00F426BE">
        <w:t>Fonte:</w:t>
      </w:r>
      <w:r>
        <w:t xml:space="preserve"> </w:t>
      </w:r>
      <w:r w:rsidRPr="00F426BE">
        <w:t>Comparativo da Receita Autorizada x Receita Arrecadada</w:t>
      </w:r>
      <w:r w:rsidRPr="0062593C">
        <w:t xml:space="preserve"> </w:t>
      </w:r>
      <w:r>
        <w:t xml:space="preserve">- </w:t>
      </w:r>
      <w:r w:rsidRPr="00F426BE">
        <w:t>Anexo 10; Balanço Patrimonial - Anexo 14</w:t>
      </w:r>
      <w:r>
        <w:t xml:space="preserve"> (BGE 2023)</w:t>
      </w:r>
    </w:p>
    <w:p w14:paraId="78CF76C4" w14:textId="594A966D" w:rsidR="00F8789A" w:rsidRPr="00225863" w:rsidRDefault="005B6463" w:rsidP="00F8789A">
      <w:pPr>
        <w:pStyle w:val="1-REL11"/>
        <w:rPr>
          <w:highlight w:val="yellow"/>
        </w:rPr>
      </w:pPr>
      <w:r w:rsidRPr="00F426BE">
        <w:t>O gráfico seguinte correlaciona os percentuais recuperados frente ao volume de recursos que anualmente foram incorporados ao estoque da dívida ativa nos últimos exercícios:</w:t>
      </w:r>
    </w:p>
    <w:p w14:paraId="4A0C401A" w14:textId="77777777" w:rsidR="00F8789A" w:rsidRDefault="00F8789A" w:rsidP="004F78CE">
      <w:pPr>
        <w:pStyle w:val="0-GRFICO"/>
        <w:rPr>
          <w:lang w:eastAsia="en-US"/>
        </w:rPr>
      </w:pPr>
      <w:bookmarkStart w:id="434" w:name="_Toc167825119"/>
      <w:r w:rsidRPr="00F426BE">
        <w:rPr>
          <w:lang w:eastAsia="en-US"/>
        </w:rPr>
        <w:t>Evolução da Dívida Ativa x Recuperação de Créditos</w:t>
      </w:r>
      <w:bookmarkEnd w:id="434"/>
    </w:p>
    <w:p w14:paraId="53040BDF" w14:textId="77777777" w:rsidR="00F8789A" w:rsidRPr="0056522F" w:rsidRDefault="00F8789A" w:rsidP="00F8789A">
      <w:pPr>
        <w:pStyle w:val="0-TXT11"/>
        <w:rPr>
          <w:lang w:eastAsia="en-US"/>
        </w:rPr>
      </w:pPr>
      <w:r>
        <w:rPr>
          <w:noProof/>
        </w:rPr>
        <w:drawing>
          <wp:inline distT="0" distB="0" distL="0" distR="0" wp14:anchorId="0D8E791C" wp14:editId="2DC8F087">
            <wp:extent cx="5962650" cy="2581275"/>
            <wp:effectExtent l="0" t="0" r="152400" b="142875"/>
            <wp:docPr id="48" name="Gráfico 48">
              <a:extLst xmlns:a="http://schemas.openxmlformats.org/drawingml/2006/main">
                <a:ext uri="{FF2B5EF4-FFF2-40B4-BE49-F238E27FC236}">
                  <a16:creationId xmlns:a16="http://schemas.microsoft.com/office/drawing/2014/main" id="{00000000-0008-0000-03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5D484F77" w14:textId="77777777" w:rsidR="00F8789A" w:rsidRPr="000915D1" w:rsidRDefault="00F8789A" w:rsidP="00653B38">
      <w:pPr>
        <w:pStyle w:val="1-FONTEcentralizado"/>
      </w:pPr>
      <w:r w:rsidRPr="000915D1">
        <w:t>Fonte: Comparativo da Receita Autorizada x Receita Arrecadada</w:t>
      </w:r>
      <w:r>
        <w:t xml:space="preserve"> - </w:t>
      </w:r>
      <w:r w:rsidRPr="000915D1">
        <w:t>Anexo 10; Balanço Patrimonial - Anexo 14</w:t>
      </w:r>
      <w:r>
        <w:t xml:space="preserve"> (BGE 2023)</w:t>
      </w:r>
    </w:p>
    <w:p w14:paraId="3A1D5FD3" w14:textId="77777777" w:rsidR="00F8789A" w:rsidRDefault="00F8789A" w:rsidP="00F8789A">
      <w:pPr>
        <w:pStyle w:val="1-REL11"/>
      </w:pPr>
      <w:bookmarkStart w:id="435" w:name="_Hlk167355899"/>
      <w:r w:rsidRPr="008D4F8F">
        <w:t>Em 2023, o estoque da dívida ativa registrou uma redução significativa em comparação ao ano anterior</w:t>
      </w:r>
      <w:r>
        <w:t>.</w:t>
      </w:r>
      <w:r w:rsidRPr="002120D8">
        <w:t xml:space="preserve"> </w:t>
      </w:r>
      <w:r w:rsidRPr="008D4F8F">
        <w:t>Além disso, o percentual de recuperação de crédito em relação a esse estoque foi o mais alto da série histórica analisada</w:t>
      </w:r>
      <w:r w:rsidRPr="002120D8">
        <w:t>.</w:t>
      </w:r>
      <w:r>
        <w:t xml:space="preserve"> </w:t>
      </w:r>
      <w:r w:rsidRPr="00FC54B0">
        <w:t xml:space="preserve">A análise dos dados sugere uma melhoria no cenário de recuperação de créditos da dívida ativa </w:t>
      </w:r>
      <w:r>
        <w:t>no</w:t>
      </w:r>
      <w:r w:rsidRPr="00FC54B0">
        <w:t xml:space="preserve"> </w:t>
      </w:r>
      <w:r>
        <w:t xml:space="preserve">Estado. </w:t>
      </w:r>
      <w:r w:rsidRPr="00FC54B0">
        <w:t>No entanto, é importante observar que a redução no estoque de dívida ativa não se deveu à recuperação de créditos</w:t>
      </w:r>
      <w:r>
        <w:t>,</w:t>
      </w:r>
      <w:r w:rsidRPr="00FC54B0">
        <w:t xml:space="preserve"> </w:t>
      </w:r>
      <w:r>
        <w:t>especificamente</w:t>
      </w:r>
      <w:r w:rsidRPr="00FC54B0">
        <w:t>, mas sim a outros fatores</w:t>
      </w:r>
      <w:r>
        <w:t xml:space="preserve"> anteriormente</w:t>
      </w:r>
      <w:r w:rsidRPr="00FC54B0">
        <w:t xml:space="preserve"> mencionados</w:t>
      </w:r>
      <w:r>
        <w:t>, como extinção por prescrição e baixa</w:t>
      </w:r>
      <w:r w:rsidRPr="00FC54B0">
        <w:t xml:space="preserve"> pela aplicação do Tema 1062/STF.</w:t>
      </w:r>
      <w:bookmarkEnd w:id="435"/>
    </w:p>
    <w:p w14:paraId="13F1E218" w14:textId="77777777" w:rsidR="00F8789A" w:rsidRPr="00225863" w:rsidRDefault="00F8789A" w:rsidP="00F8789A">
      <w:pPr>
        <w:pStyle w:val="1-REL11"/>
        <w:rPr>
          <w:highlight w:val="yellow"/>
        </w:rPr>
      </w:pPr>
      <w:r w:rsidRPr="00D26E9C">
        <w:lastRenderedPageBreak/>
        <w:t>A cada exercício o Estado adota medidas visando incrementar as receitas estaduais por meio de benefícios concedidos para recuperação de créditos vencidos. Em 2017 foi criada a Lei Estadual nº 19.738, de 17 de julho de 2017, que instituiu medidas facilitadoras aos contribuintes para negociação de débitos junto à Fazenda Pública, estabelecendo redução de até 98% das multas e de 50% nos juros para pagamento à vista.</w:t>
      </w:r>
    </w:p>
    <w:p w14:paraId="417B6E49" w14:textId="77777777" w:rsidR="00F8789A" w:rsidRPr="00D26E9C" w:rsidRDefault="00F8789A" w:rsidP="00F8789A">
      <w:pPr>
        <w:pStyle w:val="1-REL11"/>
        <w:rPr>
          <w:highlight w:val="yellow"/>
        </w:rPr>
      </w:pPr>
      <w:r w:rsidRPr="00D26E9C">
        <w:t>Em 2019, conforme informado pela Subsecretaria da Receita Estadual, não houve a instituição de programas de recuperação fiscal para o ICMS, que é o tributo com maior participação na arrecadação estadual. Porém, houve a promulgação da Lei Estadual nº 20.492, de 19 de junho de 2019, que instituiu medidas facilitadoras para negociação de débitos relativos ao IPVA e</w:t>
      </w:r>
      <w:r>
        <w:t xml:space="preserve"> ao</w:t>
      </w:r>
      <w:r w:rsidRPr="00D26E9C">
        <w:t xml:space="preserve"> ITCD, estabelecendo meios de parcelamento do crédito e redução de multas (anistia), durante evento denominado Semana da Conciliação de 2019.</w:t>
      </w:r>
    </w:p>
    <w:p w14:paraId="3742CFDF" w14:textId="77777777" w:rsidR="00F8789A" w:rsidRPr="00D26E9C" w:rsidRDefault="00F8789A" w:rsidP="00F8789A">
      <w:pPr>
        <w:pStyle w:val="1-REL11"/>
      </w:pPr>
      <w:r w:rsidRPr="00D26E9C">
        <w:t>Já em 2020, a Gerência de Gestão de Créditos de Órgãos e Entidades Estaduais da ECONOMIA informou não ter ocorrido programas específicos de negociação fiscal, principalmente em função da situação sanitária de pandemia em que o país est</w:t>
      </w:r>
      <w:r>
        <w:t>ava</w:t>
      </w:r>
      <w:r w:rsidRPr="00D26E9C">
        <w:t xml:space="preserve"> convivendo, mas que foram tomadas medidas administrativas e operacionais visando incremento de recuperação de receitas inscritas.</w:t>
      </w:r>
    </w:p>
    <w:p w14:paraId="192D6053" w14:textId="77777777" w:rsidR="00F8789A" w:rsidRPr="00225863" w:rsidRDefault="00F8789A" w:rsidP="00F8789A">
      <w:pPr>
        <w:pStyle w:val="1-REL11"/>
        <w:rPr>
          <w:highlight w:val="yellow"/>
        </w:rPr>
      </w:pPr>
      <w:r w:rsidRPr="00D26E9C">
        <w:t xml:space="preserve">Para 2021, foram editadas as Leis Estaduais nº 20.939, </w:t>
      </w:r>
      <w:r>
        <w:t xml:space="preserve">de 28 </w:t>
      </w:r>
      <w:r w:rsidRPr="00D26E9C">
        <w:t>de dezembro de 2020, e nº 20.966, de 29 de janeiro de 2021, que instituíram medidas facilitadoras para negociação de débitos tributários relativos ao ICMS, IPVA e ITCD, possibilitando a redução de juros e multas além da oportunidade de realizar o parcelamento dessas dívidas. As referidas leis encontram-se vigentes</w:t>
      </w:r>
      <w:r w:rsidRPr="00042E5B">
        <w:t>.</w:t>
      </w:r>
    </w:p>
    <w:p w14:paraId="7CD52079" w14:textId="77777777" w:rsidR="00F8789A" w:rsidRDefault="00F8789A" w:rsidP="00F8789A">
      <w:pPr>
        <w:pStyle w:val="1-REL11"/>
      </w:pPr>
      <w:r>
        <w:t>E</w:t>
      </w:r>
      <w:r w:rsidRPr="00D26E9C">
        <w:t>m 2022,</w:t>
      </w:r>
      <w:r>
        <w:t xml:space="preserve"> não</w:t>
      </w:r>
      <w:r w:rsidRPr="00D26E9C">
        <w:t xml:space="preserve"> </w:t>
      </w:r>
      <w:r>
        <w:t>houve a edição de nenhuma lei especial, somente</w:t>
      </w:r>
      <w:r w:rsidRPr="00D26E9C">
        <w:t xml:space="preserve"> ações executadas que visaram maximizar a recuperação de créditos relacionadas à dívida ativa</w:t>
      </w:r>
      <w:r>
        <w:t>, dentre elas destacam-se o encaminhamento de certidões</w:t>
      </w:r>
      <w:r w:rsidRPr="00CB11D3">
        <w:t xml:space="preserve"> </w:t>
      </w:r>
      <w:r>
        <w:t>para</w:t>
      </w:r>
      <w:r w:rsidRPr="00CB11D3">
        <w:t xml:space="preserve"> protesto extrajudicial (cartórios)</w:t>
      </w:r>
      <w:r>
        <w:t>, a cobrança por meio de ligações telefônicas, e-mails, dentre outros.</w:t>
      </w:r>
    </w:p>
    <w:p w14:paraId="174BB75F" w14:textId="77777777" w:rsidR="00F8789A" w:rsidRDefault="00F8789A" w:rsidP="00F8789A">
      <w:pPr>
        <w:pStyle w:val="1-REL11"/>
      </w:pPr>
      <w:r>
        <w:t>No exercício em análise, também não houve a edição de lei específica para instituição de programa de regularização fiscal, porém, conforme a ECONOMIA, a partir de março de 2024, o estado de Goiás planeja dar início a um programa de regularização fiscal que prevê a concessão de anistia de créditos tributários com descontos de até 99%, e a remissão de créditos até o valor de R$ 35.537,57, segundo critérios a serem definidos em lei específica.</w:t>
      </w:r>
    </w:p>
    <w:p w14:paraId="4EC68343" w14:textId="77777777" w:rsidR="00F8789A" w:rsidRDefault="00F8789A" w:rsidP="00F8789A">
      <w:pPr>
        <w:pStyle w:val="1-REL11"/>
      </w:pPr>
      <w:r>
        <w:t>Apesar disso, em 2023 foram realizadas iniciativas visando a maximização da recuperação de crédito. Consoante</w:t>
      </w:r>
      <w:r w:rsidRPr="00C23A47">
        <w:t xml:space="preserve"> o </w:t>
      </w:r>
      <w:r>
        <w:t>D</w:t>
      </w:r>
      <w:r w:rsidRPr="00C23A47">
        <w:t>espacho nº 46/2024 da Gerência de Gestão de Créditos de Órgãos e Entidades Estaduais da ECONOMIA, página 1</w:t>
      </w:r>
      <w:r>
        <w:t>2 e 13</w:t>
      </w:r>
      <w:r w:rsidRPr="00C23A47">
        <w:t xml:space="preserve"> (evento 26)</w:t>
      </w:r>
      <w:r>
        <w:t>, elenca-se as ações mais relevantes:</w:t>
      </w:r>
    </w:p>
    <w:p w14:paraId="30A693AF" w14:textId="77777777" w:rsidR="00F8789A" w:rsidRPr="00486EBA" w:rsidRDefault="00F8789A" w:rsidP="00F8789A">
      <w:pPr>
        <w:pStyle w:val="Citao"/>
        <w:rPr>
          <w:sz w:val="20"/>
        </w:rPr>
      </w:pPr>
      <w:r w:rsidRPr="00486EBA">
        <w:rPr>
          <w:sz w:val="20"/>
        </w:rPr>
        <w:t xml:space="preserve">(...) saneamento rigoroso dos Processos Administrativos Tributários – PAT e Não Tributários, com o objetivo de garantir que haja a inscrição na dívida ativa apenas dos créditos que gozam de certeza e liquidez, sendo que aqueles que possuem algum vício são submetidos à apreciação do Conselho Administrativo Tributário </w:t>
      </w:r>
      <w:r w:rsidRPr="00486EBA">
        <w:rPr>
          <w:sz w:val="20"/>
        </w:rPr>
        <w:lastRenderedPageBreak/>
        <w:t>– CAT, via pedido de Revisão Extraordinária, nos termos da Lei nº 16.469/2009, para que o vício seja sanado.</w:t>
      </w:r>
    </w:p>
    <w:p w14:paraId="017C5B19" w14:textId="77777777" w:rsidR="00F8789A" w:rsidRDefault="00F8789A" w:rsidP="00F8789A">
      <w:pPr>
        <w:pStyle w:val="Citao"/>
        <w:rPr>
          <w:sz w:val="20"/>
        </w:rPr>
      </w:pPr>
    </w:p>
    <w:p w14:paraId="1ABF7C3E" w14:textId="77777777" w:rsidR="00F8789A" w:rsidRPr="00486EBA" w:rsidRDefault="00F8789A" w:rsidP="00F8789A">
      <w:pPr>
        <w:pStyle w:val="Citao"/>
        <w:rPr>
          <w:sz w:val="20"/>
        </w:rPr>
      </w:pPr>
      <w:r w:rsidRPr="00486EBA">
        <w:rPr>
          <w:sz w:val="20"/>
        </w:rPr>
        <w:t>Desta maneira, os créditos inscritos em dívida ativa gozam de certeza, liquidez e exigibilidade, requisitos fundamentais para as fases posteriores da recuperação do crédito, tais como: apontamento no cadastro de entidades de proteção ao crédito (Birôs de Crédito), CADIN estadual, protesto extrajudicial e ação de execução fiscal.</w:t>
      </w:r>
    </w:p>
    <w:p w14:paraId="3F0E05CE" w14:textId="77777777" w:rsidR="00F8789A" w:rsidRPr="00486EBA" w:rsidRDefault="00F8789A" w:rsidP="00F8789A">
      <w:pPr>
        <w:pStyle w:val="Citao"/>
        <w:rPr>
          <w:sz w:val="20"/>
        </w:rPr>
      </w:pPr>
    </w:p>
    <w:p w14:paraId="1801866B" w14:textId="55C34243" w:rsidR="00F8789A" w:rsidRDefault="00F8789A" w:rsidP="00F8789A">
      <w:pPr>
        <w:pStyle w:val="Citao"/>
        <w:rPr>
          <w:sz w:val="20"/>
        </w:rPr>
      </w:pPr>
      <w:r w:rsidRPr="00486EBA">
        <w:rPr>
          <w:sz w:val="20"/>
        </w:rPr>
        <w:t>Em 2023, foram emitidas e enviadas à PGE 5.895 petições, referentes a 30.916 PAT's, totalizando um valor de R$ 8.877.428.450,33. A título de comparação, em 2022, foram 1.185 petições, referentes a 3.269 PAT's, num valor total de R$</w:t>
      </w:r>
      <w:r>
        <w:rPr>
          <w:sz w:val="20"/>
        </w:rPr>
        <w:t> </w:t>
      </w:r>
      <w:r w:rsidRPr="00486EBA">
        <w:rPr>
          <w:sz w:val="20"/>
        </w:rPr>
        <w:t>2.851.758.139,58.</w:t>
      </w:r>
    </w:p>
    <w:p w14:paraId="3ED1F5B5" w14:textId="77777777" w:rsidR="003E640E" w:rsidRPr="00486EBA" w:rsidRDefault="003E640E" w:rsidP="00F8789A">
      <w:pPr>
        <w:pStyle w:val="Citao"/>
        <w:rPr>
          <w:sz w:val="20"/>
        </w:rPr>
      </w:pPr>
    </w:p>
    <w:p w14:paraId="42AC0DF8" w14:textId="7830DCD0" w:rsidR="00A9731B" w:rsidRDefault="00A9731B" w:rsidP="00117967">
      <w:pPr>
        <w:pStyle w:val="Ttulo4"/>
        <w:rPr>
          <w:lang w:eastAsia="en-US"/>
        </w:rPr>
      </w:pPr>
      <w:bookmarkStart w:id="436" w:name="_Ref167700991"/>
      <w:bookmarkEnd w:id="354"/>
      <w:r w:rsidRPr="00BA41CF">
        <w:rPr>
          <w:lang w:eastAsia="en-US"/>
        </w:rPr>
        <w:t>Imobilizado</w:t>
      </w:r>
      <w:bookmarkEnd w:id="436"/>
    </w:p>
    <w:p w14:paraId="2FC43C64" w14:textId="77777777" w:rsidR="008B6BEC" w:rsidRPr="009343C5" w:rsidRDefault="008B6BEC" w:rsidP="008B6BEC">
      <w:pPr>
        <w:pStyle w:val="1-REL11"/>
      </w:pPr>
      <w:r w:rsidRPr="009343C5">
        <w:t>No Ativo Imobilizado estão registrados os bens tangíveis das entidades que são utilizados na produção ou fornecimento de bens e serviços, bem como para fins administrativos e são divididos em bens móveis e imóveis.</w:t>
      </w:r>
    </w:p>
    <w:p w14:paraId="164D88EB" w14:textId="2D4CF612" w:rsidR="008B6BEC" w:rsidRPr="008A7F07" w:rsidRDefault="008B6BEC" w:rsidP="008B6BEC">
      <w:pPr>
        <w:pStyle w:val="1-REL11"/>
      </w:pPr>
      <w:r w:rsidRPr="008A7F07">
        <w:t>A Lei Federal nº</w:t>
      </w:r>
      <w:r w:rsidR="002436CE">
        <w:t> </w:t>
      </w:r>
      <w:r w:rsidRPr="008A7F07">
        <w:t>4.320, de 17 de março de 1964, que instituiu normas gerais de direito financeiro para elaboração e controle dos orçamentos e balanços da União, estados, municípios e Distrito Federal, designou capítulo específico para os aspectos relacionados à gestão contábil e patrimonial dos entes federativos, dos quais se destacam os seguintes artigos:</w:t>
      </w:r>
    </w:p>
    <w:p w14:paraId="378A68E0" w14:textId="77777777" w:rsidR="008B6BEC" w:rsidRPr="008A7F07" w:rsidRDefault="008B6BEC" w:rsidP="008B6BEC">
      <w:pPr>
        <w:pStyle w:val="1-CITAO"/>
      </w:pPr>
      <w:r w:rsidRPr="008A7F07">
        <w:t>Art. 94. Haverá registros analíticos de todos os bens de caráter permanente, com indicação dos elementos necessários para a perfeita caracterização de cada um deles e dos agentes responsáveis pela sua guarda e administração.</w:t>
      </w:r>
    </w:p>
    <w:p w14:paraId="53E63A7B" w14:textId="77777777" w:rsidR="008B6BEC" w:rsidRPr="008A7F07" w:rsidRDefault="008B6BEC" w:rsidP="008B6BEC">
      <w:pPr>
        <w:pStyle w:val="1-CITAO"/>
      </w:pPr>
    </w:p>
    <w:p w14:paraId="425E6A1C" w14:textId="77777777" w:rsidR="008B6BEC" w:rsidRPr="008A7F07" w:rsidRDefault="008B6BEC" w:rsidP="008B6BEC">
      <w:pPr>
        <w:pStyle w:val="1-CITAO"/>
        <w:rPr>
          <w:rFonts w:ascii="Times New Roman" w:hAnsi="Times New Roman"/>
        </w:rPr>
      </w:pPr>
      <w:bookmarkStart w:id="437" w:name="art95"/>
      <w:bookmarkEnd w:id="437"/>
      <w:r w:rsidRPr="008A7F07">
        <w:t>Art. 95 A contabilidade manterá registros sintéticos dos bens móveis e imóveis.</w:t>
      </w:r>
    </w:p>
    <w:p w14:paraId="3B197D74" w14:textId="77777777" w:rsidR="008B6BEC" w:rsidRPr="008A7F07" w:rsidRDefault="008B6BEC" w:rsidP="008B6BEC">
      <w:pPr>
        <w:pStyle w:val="1-CITAO"/>
      </w:pPr>
      <w:bookmarkStart w:id="438" w:name="art96"/>
      <w:bookmarkEnd w:id="438"/>
    </w:p>
    <w:p w14:paraId="5BEE9757" w14:textId="77777777" w:rsidR="008B6BEC" w:rsidRPr="008A7F07" w:rsidRDefault="008B6BEC" w:rsidP="008B6BEC">
      <w:pPr>
        <w:pStyle w:val="1-CITAO"/>
        <w:rPr>
          <w:rFonts w:ascii="Times New Roman" w:hAnsi="Times New Roman"/>
        </w:rPr>
      </w:pPr>
      <w:r w:rsidRPr="008A7F07">
        <w:t>Art. 96. O levantamento geral dos bens móveis e imóveis terá por base o inventário analítico de cada unidade administrativa e os elementos da escrituração sintética na contabilidade.</w:t>
      </w:r>
    </w:p>
    <w:p w14:paraId="6B30DA64" w14:textId="77777777" w:rsidR="008B6BEC" w:rsidRPr="008A7F07" w:rsidRDefault="008B6BEC" w:rsidP="008B6BEC">
      <w:pPr>
        <w:pStyle w:val="1-REL11"/>
      </w:pPr>
      <w:r w:rsidRPr="008A7F07">
        <w:t xml:space="preserve">Com o processo natural de evolução, inovações normativas e procedimentais foram implementadas visando adequação, padronização e convergência das práticas vigentes aos padrões estabelecidos em normas internacionais de contabilidade aplicada ao setor público, </w:t>
      </w:r>
      <w:r>
        <w:t>como</w:t>
      </w:r>
      <w:r w:rsidRPr="008A7F07">
        <w:t xml:space="preserve"> o Manual de Contabilidade Aplicada ao Setor Público (MCASP), o </w:t>
      </w:r>
      <w:bookmarkStart w:id="439" w:name="_Hlk103952787"/>
      <w:r w:rsidRPr="008A7F07">
        <w:t>Plano de Contas Aplicado ao Setor Público</w:t>
      </w:r>
      <w:bookmarkEnd w:id="439"/>
      <w:r w:rsidRPr="008A7F07">
        <w:t xml:space="preserve"> </w:t>
      </w:r>
      <w:bookmarkStart w:id="440" w:name="_Hlk103952777"/>
      <w:r w:rsidRPr="008A7F07">
        <w:t>(PCASP</w:t>
      </w:r>
      <w:bookmarkEnd w:id="440"/>
      <w:r w:rsidRPr="008A7F07">
        <w:t xml:space="preserve">), as </w:t>
      </w:r>
      <w:bookmarkStart w:id="441" w:name="_Hlk103952804"/>
      <w:r w:rsidRPr="008A7F07">
        <w:t xml:space="preserve">Normas Brasileiras de Contabilidade Aplicada ao Setor Público </w:t>
      </w:r>
      <w:bookmarkStart w:id="442" w:name="_Hlk103952796"/>
      <w:bookmarkEnd w:id="441"/>
      <w:r w:rsidRPr="008A7F07">
        <w:t>(NBC TSP</w:t>
      </w:r>
      <w:bookmarkEnd w:id="442"/>
      <w:r w:rsidRPr="008A7F07">
        <w:t>), dentre outros.</w:t>
      </w:r>
    </w:p>
    <w:p w14:paraId="4C371CD9" w14:textId="698CD48F" w:rsidR="008B6BEC" w:rsidRPr="008A7F07" w:rsidRDefault="008B6BEC" w:rsidP="008B6BEC">
      <w:pPr>
        <w:pStyle w:val="1-REL11"/>
      </w:pPr>
      <w:r w:rsidRPr="008A7F07">
        <w:t>Para o grupo do Ativo Imobilizado, o principal foco foi direcionado para o processo de padronização contábil do reconhecimento, mensuração e evidenciação dos bens móveis e imóveis, e da respectiva depreciação, amortização e exaustão, visando a consolidação das contas públicas nacionais sob a mesma base conceitual, já que a obrigação de fazer os devidos registros e controles patrimoniais estava previsto na Lei Federal nº</w:t>
      </w:r>
      <w:r w:rsidR="002436CE">
        <w:t> </w:t>
      </w:r>
      <w:r w:rsidRPr="008A7F07">
        <w:t>4.320/1964.</w:t>
      </w:r>
    </w:p>
    <w:p w14:paraId="795A87AC" w14:textId="14D23711" w:rsidR="008B6BEC" w:rsidRDefault="008B6BEC" w:rsidP="00BB5CDE">
      <w:pPr>
        <w:pStyle w:val="1-REL11"/>
        <w:spacing w:line="300" w:lineRule="auto"/>
      </w:pPr>
      <w:r>
        <w:lastRenderedPageBreak/>
        <w:t xml:space="preserve">Na Prestação de Contas Anual do Governador referente ao exercício de 2022, foi constatado que em relação aos Bens Móveis, prosseguiu-se com os registros dos procedimentos de mensuração (reavaliação, redução ao valor recuperável e depreciação), em conformidade com o cronograma existente na Instrução Normativa Intersecretarial </w:t>
      </w:r>
      <w:r w:rsidRPr="00F10233">
        <w:t>nº</w:t>
      </w:r>
      <w:r w:rsidR="002436CE">
        <w:t> </w:t>
      </w:r>
      <w:r w:rsidRPr="00F10233">
        <w:t>1/2020</w:t>
      </w:r>
      <w:r w:rsidRPr="00F10233">
        <w:rPr>
          <w:rStyle w:val="Refdenotaderodap"/>
        </w:rPr>
        <w:footnoteReference w:id="24"/>
      </w:r>
      <w:r w:rsidRPr="00F10233">
        <w:t>.</w:t>
      </w:r>
    </w:p>
    <w:p w14:paraId="2113BF55" w14:textId="77777777" w:rsidR="008B6BEC" w:rsidRDefault="008B6BEC" w:rsidP="00BB5CDE">
      <w:pPr>
        <w:pStyle w:val="1-REL11"/>
        <w:spacing w:line="300" w:lineRule="auto"/>
      </w:pPr>
      <w:r>
        <w:t>Quanto aos Bens Imóveis, detectou-se que o processo de mensuração foi iniciado e que foi concluído o processo de inventário e mensuração dos Bens de Infraestrutura e a regularização dos saldos contábeis registrados nas contas de Obras em Andamento e Outras Obras em Andamento, conforme previsão encaminhada na Prestação de Contas Anual do Governador de 2021.</w:t>
      </w:r>
    </w:p>
    <w:p w14:paraId="0D9FDE73" w14:textId="05CF9427" w:rsidR="008B6BEC" w:rsidRDefault="008B6BEC" w:rsidP="00BB5CDE">
      <w:pPr>
        <w:pStyle w:val="1-REL11"/>
        <w:spacing w:line="300" w:lineRule="auto"/>
      </w:pPr>
      <w:r>
        <w:t>Ao final do exercício de 2023, os Bens Móveis do estado de Goiás registrados totalizaram R$ 4,06 bilhões, representando 2,21% do Ativo Não Circulante. Já os Bens Imóveis atingiram a cifra de R$</w:t>
      </w:r>
      <w:r w:rsidR="002436CE">
        <w:t> </w:t>
      </w:r>
      <w:r>
        <w:t>50,86</w:t>
      </w:r>
      <w:r w:rsidR="002436CE">
        <w:t> </w:t>
      </w:r>
      <w:r>
        <w:t>bilhões, representando 27,69% do Ativo Não Circulante.</w:t>
      </w:r>
    </w:p>
    <w:p w14:paraId="49258897" w14:textId="77777777" w:rsidR="008B6BEC" w:rsidRDefault="008B6BEC" w:rsidP="00BB5CDE">
      <w:pPr>
        <w:pStyle w:val="1-REL11"/>
        <w:spacing w:line="300" w:lineRule="auto"/>
      </w:pPr>
      <w:r>
        <w:t>Apresenta-se na tabela abaixo os saldos registrados no Balanço Patrimonial dos Bens Móveis e Imóveis com a respectiva Depreciação, Redução ao Valor Recuperável e a Reserva de Reavaliação, seguido das variações entre o exercício atual e o anterior:</w:t>
      </w:r>
    </w:p>
    <w:p w14:paraId="3FF5E624" w14:textId="4A75808D" w:rsidR="008B6BEC" w:rsidRDefault="008B6BEC" w:rsidP="00ED3571">
      <w:pPr>
        <w:pStyle w:val="0-TABELA"/>
      </w:pPr>
      <w:bookmarkStart w:id="443" w:name="_Toc167871822"/>
      <w:r>
        <w:t>Bens Móveis e Imóveis</w:t>
      </w:r>
      <w:r w:rsidR="00045C15">
        <w:t xml:space="preserve"> – 2023 x 2022</w:t>
      </w:r>
      <w:bookmarkEnd w:id="443"/>
    </w:p>
    <w:p w14:paraId="578AD263" w14:textId="77777777" w:rsidR="008B6BEC" w:rsidRDefault="008B6BEC" w:rsidP="008B6BEC">
      <w:pPr>
        <w:pStyle w:val="0-EmR1"/>
      </w:pPr>
      <w:r>
        <w:t>R$ 1</w:t>
      </w:r>
    </w:p>
    <w:tbl>
      <w:tblPr>
        <w:tblW w:w="5050" w:type="pct"/>
        <w:tblBorders>
          <w:top w:val="single" w:sz="4" w:space="0" w:color="auto"/>
          <w:bottom w:val="single" w:sz="4" w:space="0" w:color="auto"/>
          <w:insideV w:val="single" w:sz="4" w:space="0" w:color="auto"/>
        </w:tblBorders>
        <w:tblCellMar>
          <w:left w:w="70" w:type="dxa"/>
          <w:right w:w="70" w:type="dxa"/>
        </w:tblCellMar>
        <w:tblLook w:val="04A0" w:firstRow="1" w:lastRow="0" w:firstColumn="1" w:lastColumn="0" w:noHBand="0" w:noVBand="1"/>
      </w:tblPr>
      <w:tblGrid>
        <w:gridCol w:w="4728"/>
        <w:gridCol w:w="1706"/>
        <w:gridCol w:w="1706"/>
        <w:gridCol w:w="1307"/>
      </w:tblGrid>
      <w:tr w:rsidR="00545DDF" w:rsidRPr="00D546D5" w14:paraId="6F3E329A" w14:textId="77777777" w:rsidTr="00BB5CDE">
        <w:trPr>
          <w:trHeight w:val="340"/>
          <w:tblHeader/>
        </w:trPr>
        <w:tc>
          <w:tcPr>
            <w:tcW w:w="2502" w:type="pct"/>
            <w:vMerge w:val="restart"/>
            <w:tcBorders>
              <w:top w:val="single" w:sz="4" w:space="0" w:color="auto"/>
              <w:bottom w:val="nil"/>
            </w:tcBorders>
            <w:shd w:val="clear" w:color="000000" w:fill="A1F2FD"/>
            <w:vAlign w:val="center"/>
            <w:hideMark/>
          </w:tcPr>
          <w:p w14:paraId="03B5FB9B" w14:textId="77777777" w:rsidR="00545DDF" w:rsidRPr="00D546D5" w:rsidRDefault="00545DDF" w:rsidP="00545DDF">
            <w:pPr>
              <w:jc w:val="center"/>
              <w:rPr>
                <w:rFonts w:cs="Arial"/>
                <w:b/>
                <w:bCs/>
                <w:color w:val="000000"/>
                <w:sz w:val="20"/>
                <w:szCs w:val="20"/>
              </w:rPr>
            </w:pPr>
            <w:r w:rsidRPr="00D546D5">
              <w:rPr>
                <w:rFonts w:cs="Arial"/>
                <w:b/>
                <w:bCs/>
                <w:color w:val="000000"/>
                <w:sz w:val="20"/>
                <w:szCs w:val="20"/>
              </w:rPr>
              <w:t>Imobilizado</w:t>
            </w:r>
          </w:p>
        </w:tc>
        <w:tc>
          <w:tcPr>
            <w:tcW w:w="903" w:type="pct"/>
            <w:tcBorders>
              <w:top w:val="single" w:sz="4" w:space="0" w:color="auto"/>
              <w:bottom w:val="nil"/>
            </w:tcBorders>
            <w:shd w:val="clear" w:color="000000" w:fill="A1F2FD"/>
            <w:vAlign w:val="center"/>
          </w:tcPr>
          <w:p w14:paraId="626F1D8D" w14:textId="7F15A8ED" w:rsidR="00545DDF" w:rsidRPr="00D546D5" w:rsidRDefault="00545DDF" w:rsidP="00545DDF">
            <w:pPr>
              <w:jc w:val="center"/>
              <w:rPr>
                <w:rFonts w:cs="Arial"/>
                <w:b/>
                <w:bCs/>
                <w:color w:val="000000"/>
                <w:sz w:val="20"/>
                <w:szCs w:val="20"/>
              </w:rPr>
            </w:pPr>
            <w:r w:rsidRPr="00D546D5">
              <w:rPr>
                <w:rFonts w:cs="Arial"/>
                <w:b/>
                <w:bCs/>
                <w:color w:val="000000"/>
                <w:sz w:val="20"/>
                <w:szCs w:val="20"/>
              </w:rPr>
              <w:t>2023</w:t>
            </w:r>
          </w:p>
        </w:tc>
        <w:tc>
          <w:tcPr>
            <w:tcW w:w="903" w:type="pct"/>
            <w:tcBorders>
              <w:top w:val="single" w:sz="4" w:space="0" w:color="auto"/>
              <w:bottom w:val="nil"/>
            </w:tcBorders>
            <w:shd w:val="clear" w:color="000000" w:fill="A1F2FD"/>
            <w:vAlign w:val="center"/>
            <w:hideMark/>
          </w:tcPr>
          <w:p w14:paraId="77822267" w14:textId="3AFEF7A4" w:rsidR="00545DDF" w:rsidRPr="00D546D5" w:rsidRDefault="00545DDF" w:rsidP="00545DDF">
            <w:pPr>
              <w:jc w:val="center"/>
              <w:rPr>
                <w:rFonts w:cs="Arial"/>
                <w:b/>
                <w:bCs/>
                <w:color w:val="000000"/>
                <w:sz w:val="20"/>
                <w:szCs w:val="20"/>
              </w:rPr>
            </w:pPr>
            <w:r w:rsidRPr="00D546D5">
              <w:rPr>
                <w:rFonts w:cs="Arial"/>
                <w:b/>
                <w:bCs/>
                <w:color w:val="000000"/>
                <w:sz w:val="20"/>
                <w:szCs w:val="20"/>
              </w:rPr>
              <w:t>2022</w:t>
            </w:r>
          </w:p>
        </w:tc>
        <w:tc>
          <w:tcPr>
            <w:tcW w:w="692" w:type="pct"/>
            <w:tcBorders>
              <w:top w:val="single" w:sz="4" w:space="0" w:color="auto"/>
              <w:bottom w:val="nil"/>
            </w:tcBorders>
            <w:shd w:val="clear" w:color="000000" w:fill="A1F2FD"/>
            <w:vAlign w:val="center"/>
            <w:hideMark/>
          </w:tcPr>
          <w:p w14:paraId="067B1238" w14:textId="77777777" w:rsidR="00545DDF" w:rsidRPr="00D546D5" w:rsidRDefault="00545DDF" w:rsidP="00545DDF">
            <w:pPr>
              <w:jc w:val="center"/>
              <w:rPr>
                <w:rFonts w:cs="Arial"/>
                <w:b/>
                <w:bCs/>
                <w:color w:val="000000"/>
                <w:sz w:val="20"/>
                <w:szCs w:val="20"/>
              </w:rPr>
            </w:pPr>
            <w:r w:rsidRPr="00D546D5">
              <w:rPr>
                <w:rFonts w:cs="Arial"/>
                <w:b/>
                <w:bCs/>
                <w:color w:val="000000"/>
                <w:sz w:val="20"/>
                <w:szCs w:val="20"/>
              </w:rPr>
              <w:t>∆ 2023 x 2022</w:t>
            </w:r>
          </w:p>
          <w:p w14:paraId="6FD59190" w14:textId="1E63ABC8" w:rsidR="00545DDF" w:rsidRPr="00D546D5" w:rsidRDefault="00545DDF" w:rsidP="00545DDF">
            <w:pPr>
              <w:jc w:val="center"/>
              <w:rPr>
                <w:rFonts w:cs="Arial"/>
                <w:b/>
                <w:bCs/>
                <w:color w:val="000000"/>
                <w:sz w:val="20"/>
                <w:szCs w:val="20"/>
              </w:rPr>
            </w:pPr>
            <w:r w:rsidRPr="00D546D5">
              <w:rPr>
                <w:rFonts w:cs="Arial"/>
                <w:b/>
                <w:bCs/>
                <w:color w:val="000000"/>
                <w:sz w:val="20"/>
                <w:szCs w:val="20"/>
              </w:rPr>
              <w:t>%</w:t>
            </w:r>
          </w:p>
        </w:tc>
      </w:tr>
      <w:tr w:rsidR="00545DDF" w:rsidRPr="00D546D5" w14:paraId="11C95539" w14:textId="77777777" w:rsidTr="00BB5CDE">
        <w:trPr>
          <w:trHeight w:val="340"/>
          <w:tblHeader/>
        </w:trPr>
        <w:tc>
          <w:tcPr>
            <w:tcW w:w="2502" w:type="pct"/>
            <w:vMerge/>
            <w:tcBorders>
              <w:top w:val="nil"/>
              <w:bottom w:val="single" w:sz="4" w:space="0" w:color="auto"/>
            </w:tcBorders>
            <w:shd w:val="clear" w:color="000000" w:fill="A1F2FD"/>
            <w:vAlign w:val="center"/>
          </w:tcPr>
          <w:p w14:paraId="60EC2525" w14:textId="77777777" w:rsidR="00545DDF" w:rsidRPr="00D546D5" w:rsidRDefault="00545DDF" w:rsidP="00545DDF">
            <w:pPr>
              <w:jc w:val="center"/>
              <w:rPr>
                <w:rFonts w:cs="Arial"/>
                <w:b/>
                <w:bCs/>
                <w:color w:val="000000"/>
                <w:sz w:val="20"/>
                <w:szCs w:val="20"/>
              </w:rPr>
            </w:pPr>
          </w:p>
        </w:tc>
        <w:tc>
          <w:tcPr>
            <w:tcW w:w="903" w:type="pct"/>
            <w:tcBorders>
              <w:top w:val="nil"/>
              <w:bottom w:val="single" w:sz="4" w:space="0" w:color="auto"/>
            </w:tcBorders>
            <w:shd w:val="clear" w:color="000000" w:fill="A1F2FD"/>
            <w:vAlign w:val="center"/>
          </w:tcPr>
          <w:p w14:paraId="78E54DBC" w14:textId="7CB25C3B" w:rsidR="00545DDF" w:rsidRPr="00D546D5" w:rsidRDefault="00545DDF" w:rsidP="00545DDF">
            <w:pPr>
              <w:jc w:val="center"/>
              <w:rPr>
                <w:rFonts w:cs="Arial"/>
                <w:b/>
                <w:bCs/>
                <w:color w:val="000000"/>
                <w:sz w:val="20"/>
                <w:szCs w:val="20"/>
              </w:rPr>
            </w:pPr>
            <w:r w:rsidRPr="00D546D5">
              <w:rPr>
                <w:rFonts w:cs="Arial"/>
                <w:b/>
                <w:bCs/>
                <w:color w:val="000000"/>
                <w:sz w:val="20"/>
                <w:szCs w:val="20"/>
              </w:rPr>
              <w:t>(</w:t>
            </w:r>
            <w:r w:rsidR="00E872AB" w:rsidRPr="00D546D5">
              <w:rPr>
                <w:rFonts w:cs="Arial"/>
                <w:b/>
                <w:bCs/>
                <w:color w:val="000000"/>
                <w:sz w:val="20"/>
                <w:szCs w:val="20"/>
              </w:rPr>
              <w:t>a</w:t>
            </w:r>
            <w:r w:rsidRPr="00D546D5">
              <w:rPr>
                <w:rFonts w:cs="Arial"/>
                <w:b/>
                <w:bCs/>
                <w:color w:val="000000"/>
                <w:sz w:val="20"/>
                <w:szCs w:val="20"/>
              </w:rPr>
              <w:t>)</w:t>
            </w:r>
          </w:p>
        </w:tc>
        <w:tc>
          <w:tcPr>
            <w:tcW w:w="903" w:type="pct"/>
            <w:tcBorders>
              <w:top w:val="nil"/>
              <w:bottom w:val="single" w:sz="4" w:space="0" w:color="auto"/>
            </w:tcBorders>
            <w:shd w:val="clear" w:color="000000" w:fill="A1F2FD"/>
            <w:vAlign w:val="center"/>
          </w:tcPr>
          <w:p w14:paraId="5E59F1B4" w14:textId="3788857C" w:rsidR="00545DDF" w:rsidRPr="00D546D5" w:rsidRDefault="00545DDF" w:rsidP="00545DDF">
            <w:pPr>
              <w:jc w:val="center"/>
              <w:rPr>
                <w:rFonts w:cs="Arial"/>
                <w:b/>
                <w:bCs/>
                <w:color w:val="000000"/>
                <w:sz w:val="20"/>
                <w:szCs w:val="20"/>
              </w:rPr>
            </w:pPr>
            <w:r w:rsidRPr="00D546D5">
              <w:rPr>
                <w:rFonts w:cs="Arial"/>
                <w:b/>
                <w:bCs/>
                <w:color w:val="000000"/>
                <w:sz w:val="20"/>
                <w:szCs w:val="20"/>
              </w:rPr>
              <w:t>(</w:t>
            </w:r>
            <w:r w:rsidR="00E872AB" w:rsidRPr="00D546D5">
              <w:rPr>
                <w:rFonts w:cs="Arial"/>
                <w:b/>
                <w:bCs/>
                <w:color w:val="000000"/>
                <w:sz w:val="20"/>
                <w:szCs w:val="20"/>
              </w:rPr>
              <w:t>b</w:t>
            </w:r>
            <w:r w:rsidRPr="00D546D5">
              <w:rPr>
                <w:rFonts w:cs="Arial"/>
                <w:b/>
                <w:bCs/>
                <w:color w:val="000000"/>
                <w:sz w:val="20"/>
                <w:szCs w:val="20"/>
              </w:rPr>
              <w:t>)</w:t>
            </w:r>
          </w:p>
        </w:tc>
        <w:tc>
          <w:tcPr>
            <w:tcW w:w="692" w:type="pct"/>
            <w:tcBorders>
              <w:top w:val="nil"/>
              <w:bottom w:val="single" w:sz="4" w:space="0" w:color="auto"/>
            </w:tcBorders>
            <w:shd w:val="clear" w:color="000000" w:fill="A1F2FD"/>
            <w:vAlign w:val="center"/>
          </w:tcPr>
          <w:p w14:paraId="2DF45764" w14:textId="581BA774" w:rsidR="00545DDF" w:rsidRPr="00D546D5" w:rsidRDefault="00545DDF" w:rsidP="008B0C1A">
            <w:pPr>
              <w:ind w:left="-134" w:right="-120"/>
              <w:jc w:val="center"/>
              <w:rPr>
                <w:rFonts w:cs="Arial"/>
                <w:b/>
                <w:bCs/>
                <w:color w:val="000000"/>
                <w:sz w:val="20"/>
                <w:szCs w:val="20"/>
              </w:rPr>
            </w:pPr>
            <w:r w:rsidRPr="00D546D5">
              <w:rPr>
                <w:rFonts w:cs="Arial"/>
                <w:b/>
                <w:bCs/>
                <w:color w:val="000000"/>
                <w:sz w:val="20"/>
                <w:szCs w:val="20"/>
              </w:rPr>
              <w:t>(c) = ((a-b)/b)</w:t>
            </w:r>
          </w:p>
        </w:tc>
      </w:tr>
      <w:tr w:rsidR="00545DDF" w:rsidRPr="00D546D5" w14:paraId="59A1DA07" w14:textId="77777777" w:rsidTr="00BB5CDE">
        <w:trPr>
          <w:trHeight w:val="340"/>
        </w:trPr>
        <w:tc>
          <w:tcPr>
            <w:tcW w:w="2502" w:type="pct"/>
            <w:tcBorders>
              <w:top w:val="single" w:sz="4" w:space="0" w:color="auto"/>
            </w:tcBorders>
            <w:shd w:val="clear" w:color="auto" w:fill="auto"/>
            <w:noWrap/>
            <w:vAlign w:val="center"/>
            <w:hideMark/>
          </w:tcPr>
          <w:p w14:paraId="4028305C" w14:textId="33DCEE84" w:rsidR="00545DDF" w:rsidRPr="00221593" w:rsidRDefault="00545DDF" w:rsidP="00545DDF">
            <w:pPr>
              <w:jc w:val="left"/>
              <w:rPr>
                <w:rFonts w:cs="Arial"/>
                <w:sz w:val="20"/>
                <w:szCs w:val="20"/>
              </w:rPr>
            </w:pPr>
            <w:r w:rsidRPr="00221593">
              <w:rPr>
                <w:rFonts w:cs="Arial"/>
                <w:b/>
                <w:bCs/>
                <w:iCs/>
                <w:sz w:val="20"/>
                <w:szCs w:val="20"/>
              </w:rPr>
              <w:t>1.2.3.0.0.00 - Imobilizado</w:t>
            </w:r>
          </w:p>
        </w:tc>
        <w:tc>
          <w:tcPr>
            <w:tcW w:w="903" w:type="pct"/>
            <w:tcBorders>
              <w:top w:val="single" w:sz="4" w:space="0" w:color="auto"/>
            </w:tcBorders>
            <w:vAlign w:val="center"/>
          </w:tcPr>
          <w:p w14:paraId="401D5EA0" w14:textId="4B734211" w:rsidR="00545DDF" w:rsidRPr="00D546D5" w:rsidRDefault="00545DDF" w:rsidP="00545DDF">
            <w:pPr>
              <w:jc w:val="right"/>
              <w:rPr>
                <w:rFonts w:cs="Arial"/>
                <w:b/>
                <w:bCs/>
                <w:sz w:val="20"/>
                <w:szCs w:val="20"/>
              </w:rPr>
            </w:pPr>
            <w:r w:rsidRPr="00D546D5">
              <w:rPr>
                <w:rFonts w:cs="Arial"/>
                <w:b/>
                <w:bCs/>
                <w:sz w:val="20"/>
                <w:szCs w:val="20"/>
              </w:rPr>
              <w:t>52.782.825.516</w:t>
            </w:r>
          </w:p>
        </w:tc>
        <w:tc>
          <w:tcPr>
            <w:tcW w:w="903" w:type="pct"/>
            <w:tcBorders>
              <w:top w:val="single" w:sz="4" w:space="0" w:color="auto"/>
            </w:tcBorders>
            <w:shd w:val="clear" w:color="auto" w:fill="auto"/>
            <w:noWrap/>
            <w:vAlign w:val="center"/>
            <w:hideMark/>
          </w:tcPr>
          <w:p w14:paraId="60D42159" w14:textId="0FE4304B" w:rsidR="00545DDF" w:rsidRPr="00D546D5" w:rsidRDefault="00545DDF" w:rsidP="00545DDF">
            <w:pPr>
              <w:jc w:val="right"/>
              <w:rPr>
                <w:rFonts w:cs="Arial"/>
                <w:sz w:val="20"/>
                <w:szCs w:val="20"/>
              </w:rPr>
            </w:pPr>
            <w:r w:rsidRPr="00D546D5">
              <w:rPr>
                <w:rFonts w:cs="Arial"/>
                <w:b/>
                <w:bCs/>
                <w:sz w:val="20"/>
                <w:szCs w:val="20"/>
              </w:rPr>
              <w:t>39.864.152.024</w:t>
            </w:r>
          </w:p>
        </w:tc>
        <w:tc>
          <w:tcPr>
            <w:tcW w:w="692" w:type="pct"/>
            <w:tcBorders>
              <w:top w:val="single" w:sz="4" w:space="0" w:color="auto"/>
            </w:tcBorders>
            <w:shd w:val="clear" w:color="auto" w:fill="auto"/>
            <w:noWrap/>
            <w:vAlign w:val="center"/>
            <w:hideMark/>
          </w:tcPr>
          <w:p w14:paraId="1842E6ED" w14:textId="7FDA8CBD" w:rsidR="00545DDF" w:rsidRPr="00D546D5" w:rsidRDefault="00545DDF" w:rsidP="00545DDF">
            <w:pPr>
              <w:jc w:val="center"/>
              <w:rPr>
                <w:rFonts w:cs="Arial"/>
                <w:sz w:val="20"/>
                <w:szCs w:val="20"/>
              </w:rPr>
            </w:pPr>
            <w:r w:rsidRPr="00D546D5">
              <w:rPr>
                <w:rFonts w:cs="Arial"/>
                <w:b/>
                <w:bCs/>
                <w:sz w:val="20"/>
                <w:szCs w:val="20"/>
              </w:rPr>
              <w:t>32,41%</w:t>
            </w:r>
          </w:p>
        </w:tc>
      </w:tr>
      <w:tr w:rsidR="00545DDF" w:rsidRPr="00D546D5" w14:paraId="772F2B8D" w14:textId="77777777" w:rsidTr="00BB5CDE">
        <w:trPr>
          <w:trHeight w:val="340"/>
        </w:trPr>
        <w:tc>
          <w:tcPr>
            <w:tcW w:w="2502" w:type="pct"/>
            <w:shd w:val="clear" w:color="auto" w:fill="auto"/>
            <w:noWrap/>
            <w:vAlign w:val="center"/>
            <w:hideMark/>
          </w:tcPr>
          <w:p w14:paraId="313626C5" w14:textId="487966D3" w:rsidR="00545DDF" w:rsidRPr="00D546D5" w:rsidRDefault="00545DDF" w:rsidP="00545DDF">
            <w:pPr>
              <w:ind w:left="217"/>
              <w:jc w:val="left"/>
              <w:rPr>
                <w:rFonts w:cs="Arial"/>
                <w:color w:val="000000"/>
                <w:sz w:val="20"/>
                <w:szCs w:val="20"/>
              </w:rPr>
            </w:pPr>
            <w:r w:rsidRPr="00D546D5">
              <w:rPr>
                <w:rFonts w:cs="Arial"/>
                <w:color w:val="000000"/>
                <w:sz w:val="20"/>
                <w:szCs w:val="20"/>
              </w:rPr>
              <w:t>1.2.3.1.1.00 - Bens Móveis</w:t>
            </w:r>
          </w:p>
        </w:tc>
        <w:tc>
          <w:tcPr>
            <w:tcW w:w="903" w:type="pct"/>
            <w:vAlign w:val="center"/>
          </w:tcPr>
          <w:p w14:paraId="14A17E31" w14:textId="1FBA5707" w:rsidR="00545DDF" w:rsidRPr="00D546D5" w:rsidRDefault="00545DDF" w:rsidP="00545DDF">
            <w:pPr>
              <w:jc w:val="right"/>
              <w:rPr>
                <w:rFonts w:cs="Arial"/>
                <w:color w:val="000000"/>
                <w:sz w:val="20"/>
                <w:szCs w:val="20"/>
              </w:rPr>
            </w:pPr>
            <w:r w:rsidRPr="00D546D5">
              <w:rPr>
                <w:rFonts w:cs="Arial"/>
                <w:color w:val="000000"/>
                <w:sz w:val="20"/>
                <w:szCs w:val="20"/>
              </w:rPr>
              <w:t>4.063.107.766</w:t>
            </w:r>
          </w:p>
        </w:tc>
        <w:tc>
          <w:tcPr>
            <w:tcW w:w="903" w:type="pct"/>
            <w:shd w:val="clear" w:color="auto" w:fill="auto"/>
            <w:noWrap/>
            <w:vAlign w:val="center"/>
            <w:hideMark/>
          </w:tcPr>
          <w:p w14:paraId="057A2072" w14:textId="41C3EE80" w:rsidR="00545DDF" w:rsidRPr="00D546D5" w:rsidRDefault="00545DDF" w:rsidP="00545DDF">
            <w:pPr>
              <w:jc w:val="right"/>
              <w:rPr>
                <w:rFonts w:cs="Arial"/>
                <w:color w:val="000000"/>
                <w:sz w:val="20"/>
                <w:szCs w:val="20"/>
              </w:rPr>
            </w:pPr>
            <w:r w:rsidRPr="00D546D5">
              <w:rPr>
                <w:rFonts w:cs="Arial"/>
                <w:color w:val="000000"/>
                <w:sz w:val="20"/>
                <w:szCs w:val="20"/>
              </w:rPr>
              <w:t>3.556.458.701</w:t>
            </w:r>
          </w:p>
        </w:tc>
        <w:tc>
          <w:tcPr>
            <w:tcW w:w="692" w:type="pct"/>
            <w:shd w:val="clear" w:color="auto" w:fill="auto"/>
            <w:noWrap/>
            <w:vAlign w:val="center"/>
            <w:hideMark/>
          </w:tcPr>
          <w:p w14:paraId="394A6C72" w14:textId="39A2B69C" w:rsidR="00545DDF" w:rsidRPr="00D546D5" w:rsidRDefault="00545DDF" w:rsidP="00545DDF">
            <w:pPr>
              <w:jc w:val="center"/>
              <w:rPr>
                <w:rFonts w:cs="Arial"/>
                <w:color w:val="000000"/>
                <w:sz w:val="20"/>
                <w:szCs w:val="20"/>
              </w:rPr>
            </w:pPr>
            <w:r w:rsidRPr="00D546D5">
              <w:rPr>
                <w:rFonts w:cs="Arial"/>
                <w:color w:val="000000"/>
                <w:sz w:val="20"/>
                <w:szCs w:val="20"/>
              </w:rPr>
              <w:t>14,25%</w:t>
            </w:r>
          </w:p>
        </w:tc>
      </w:tr>
      <w:tr w:rsidR="00545DDF" w:rsidRPr="00D546D5" w14:paraId="672A7699" w14:textId="77777777" w:rsidTr="00BB5CDE">
        <w:trPr>
          <w:trHeight w:val="340"/>
        </w:trPr>
        <w:tc>
          <w:tcPr>
            <w:tcW w:w="2502" w:type="pct"/>
            <w:shd w:val="clear" w:color="auto" w:fill="auto"/>
            <w:noWrap/>
            <w:vAlign w:val="center"/>
            <w:hideMark/>
          </w:tcPr>
          <w:p w14:paraId="67A6ADC4" w14:textId="2B9EC0D1" w:rsidR="00545DDF" w:rsidRPr="00D546D5" w:rsidRDefault="00545DDF" w:rsidP="00545DDF">
            <w:pPr>
              <w:ind w:left="217"/>
              <w:jc w:val="left"/>
              <w:rPr>
                <w:rFonts w:cs="Arial"/>
                <w:color w:val="000000"/>
                <w:sz w:val="20"/>
                <w:szCs w:val="20"/>
              </w:rPr>
            </w:pPr>
            <w:r w:rsidRPr="00D546D5">
              <w:rPr>
                <w:rFonts w:cs="Arial"/>
                <w:color w:val="000000"/>
                <w:sz w:val="20"/>
                <w:szCs w:val="20"/>
              </w:rPr>
              <w:t>1.2.3.8.1.01 - (-) Dep. Acumulada - Móveis</w:t>
            </w:r>
          </w:p>
        </w:tc>
        <w:tc>
          <w:tcPr>
            <w:tcW w:w="903" w:type="pct"/>
            <w:vAlign w:val="center"/>
          </w:tcPr>
          <w:p w14:paraId="5C432666" w14:textId="4AA95AA5" w:rsidR="00545DDF" w:rsidRPr="00D546D5" w:rsidRDefault="00545DDF" w:rsidP="00545DDF">
            <w:pPr>
              <w:jc w:val="right"/>
              <w:rPr>
                <w:rFonts w:cs="Arial"/>
                <w:color w:val="FF0000"/>
                <w:sz w:val="20"/>
                <w:szCs w:val="20"/>
              </w:rPr>
            </w:pPr>
            <w:r w:rsidRPr="00D546D5">
              <w:rPr>
                <w:rFonts w:cs="Arial"/>
                <w:color w:val="FF0000"/>
                <w:sz w:val="20"/>
                <w:szCs w:val="20"/>
              </w:rPr>
              <w:t>(1.143.842.734)</w:t>
            </w:r>
          </w:p>
        </w:tc>
        <w:tc>
          <w:tcPr>
            <w:tcW w:w="903" w:type="pct"/>
            <w:shd w:val="clear" w:color="auto" w:fill="auto"/>
            <w:noWrap/>
            <w:vAlign w:val="center"/>
            <w:hideMark/>
          </w:tcPr>
          <w:p w14:paraId="006527A0" w14:textId="1272E18A" w:rsidR="00545DDF" w:rsidRPr="00D546D5" w:rsidRDefault="00545DDF" w:rsidP="00545DDF">
            <w:pPr>
              <w:jc w:val="right"/>
              <w:rPr>
                <w:rFonts w:cs="Arial"/>
                <w:color w:val="FF0000"/>
                <w:sz w:val="20"/>
                <w:szCs w:val="20"/>
              </w:rPr>
            </w:pPr>
            <w:r w:rsidRPr="00D546D5">
              <w:rPr>
                <w:rFonts w:cs="Arial"/>
                <w:color w:val="FF0000"/>
                <w:sz w:val="20"/>
                <w:szCs w:val="20"/>
              </w:rPr>
              <w:t>(551.624.114)</w:t>
            </w:r>
          </w:p>
        </w:tc>
        <w:tc>
          <w:tcPr>
            <w:tcW w:w="692" w:type="pct"/>
            <w:shd w:val="clear" w:color="auto" w:fill="auto"/>
            <w:noWrap/>
            <w:vAlign w:val="center"/>
            <w:hideMark/>
          </w:tcPr>
          <w:p w14:paraId="7FEDF705" w14:textId="0632E1D3" w:rsidR="00545DDF" w:rsidRPr="00D546D5" w:rsidRDefault="00545DDF" w:rsidP="00545DDF">
            <w:pPr>
              <w:jc w:val="center"/>
              <w:rPr>
                <w:rFonts w:cs="Arial"/>
                <w:color w:val="000000"/>
                <w:sz w:val="20"/>
                <w:szCs w:val="20"/>
              </w:rPr>
            </w:pPr>
            <w:r w:rsidRPr="00D546D5">
              <w:rPr>
                <w:rFonts w:cs="Arial"/>
                <w:color w:val="000000"/>
                <w:sz w:val="20"/>
                <w:szCs w:val="20"/>
              </w:rPr>
              <w:t>107,36%</w:t>
            </w:r>
          </w:p>
        </w:tc>
      </w:tr>
      <w:tr w:rsidR="00545DDF" w:rsidRPr="00D546D5" w14:paraId="44DC1927" w14:textId="77777777" w:rsidTr="00BB5CDE">
        <w:trPr>
          <w:trHeight w:val="340"/>
        </w:trPr>
        <w:tc>
          <w:tcPr>
            <w:tcW w:w="2502" w:type="pct"/>
            <w:shd w:val="clear" w:color="auto" w:fill="auto"/>
            <w:noWrap/>
            <w:vAlign w:val="center"/>
            <w:hideMark/>
          </w:tcPr>
          <w:p w14:paraId="6314A81E" w14:textId="5B27F981" w:rsidR="00545DDF" w:rsidRPr="00D546D5" w:rsidRDefault="00545DDF" w:rsidP="00545DDF">
            <w:pPr>
              <w:ind w:left="217"/>
              <w:jc w:val="left"/>
              <w:rPr>
                <w:rFonts w:cs="Arial"/>
                <w:color w:val="000000"/>
                <w:sz w:val="20"/>
                <w:szCs w:val="20"/>
              </w:rPr>
            </w:pPr>
            <w:r w:rsidRPr="00D546D5">
              <w:rPr>
                <w:rFonts w:cs="Arial"/>
                <w:color w:val="000000"/>
                <w:sz w:val="20"/>
                <w:szCs w:val="20"/>
              </w:rPr>
              <w:t>1.2.3.2.1.00 - Bens Imóveis</w:t>
            </w:r>
          </w:p>
        </w:tc>
        <w:tc>
          <w:tcPr>
            <w:tcW w:w="903" w:type="pct"/>
            <w:vAlign w:val="center"/>
          </w:tcPr>
          <w:p w14:paraId="031FC5FE" w14:textId="5E074122" w:rsidR="00545DDF" w:rsidRPr="00D546D5" w:rsidRDefault="00545DDF" w:rsidP="00545DDF">
            <w:pPr>
              <w:jc w:val="right"/>
              <w:rPr>
                <w:rFonts w:cs="Arial"/>
                <w:color w:val="000000"/>
                <w:sz w:val="20"/>
                <w:szCs w:val="20"/>
              </w:rPr>
            </w:pPr>
            <w:r w:rsidRPr="00D546D5">
              <w:rPr>
                <w:rFonts w:cs="Arial"/>
                <w:color w:val="000000"/>
                <w:sz w:val="20"/>
                <w:szCs w:val="20"/>
              </w:rPr>
              <w:t>50.863.098.891</w:t>
            </w:r>
          </w:p>
        </w:tc>
        <w:tc>
          <w:tcPr>
            <w:tcW w:w="903" w:type="pct"/>
            <w:shd w:val="clear" w:color="auto" w:fill="auto"/>
            <w:noWrap/>
            <w:vAlign w:val="center"/>
            <w:hideMark/>
          </w:tcPr>
          <w:p w14:paraId="2A826D41" w14:textId="17250AE6" w:rsidR="00545DDF" w:rsidRPr="00D546D5" w:rsidRDefault="00545DDF" w:rsidP="00545DDF">
            <w:pPr>
              <w:jc w:val="right"/>
              <w:rPr>
                <w:rFonts w:cs="Arial"/>
                <w:color w:val="FF0000"/>
                <w:sz w:val="20"/>
                <w:szCs w:val="20"/>
              </w:rPr>
            </w:pPr>
            <w:r w:rsidRPr="00D546D5">
              <w:rPr>
                <w:rFonts w:cs="Arial"/>
                <w:color w:val="000000"/>
                <w:sz w:val="20"/>
                <w:szCs w:val="20"/>
              </w:rPr>
              <w:t>37.084.494.697</w:t>
            </w:r>
          </w:p>
        </w:tc>
        <w:tc>
          <w:tcPr>
            <w:tcW w:w="692" w:type="pct"/>
            <w:shd w:val="clear" w:color="auto" w:fill="auto"/>
            <w:noWrap/>
            <w:vAlign w:val="center"/>
            <w:hideMark/>
          </w:tcPr>
          <w:p w14:paraId="45901E02" w14:textId="34E9BDCE" w:rsidR="00545DDF" w:rsidRPr="00D546D5" w:rsidRDefault="00545DDF" w:rsidP="00545DDF">
            <w:pPr>
              <w:jc w:val="center"/>
              <w:rPr>
                <w:rFonts w:cs="Arial"/>
                <w:color w:val="000000"/>
                <w:sz w:val="20"/>
                <w:szCs w:val="20"/>
              </w:rPr>
            </w:pPr>
            <w:r w:rsidRPr="00D546D5">
              <w:rPr>
                <w:rFonts w:cs="Arial"/>
                <w:color w:val="000000"/>
                <w:sz w:val="20"/>
                <w:szCs w:val="20"/>
              </w:rPr>
              <w:t>37,15%</w:t>
            </w:r>
          </w:p>
        </w:tc>
      </w:tr>
      <w:tr w:rsidR="00545DDF" w:rsidRPr="00D546D5" w14:paraId="14F7FB87" w14:textId="77777777" w:rsidTr="00BB5CDE">
        <w:trPr>
          <w:trHeight w:val="340"/>
        </w:trPr>
        <w:tc>
          <w:tcPr>
            <w:tcW w:w="2502" w:type="pct"/>
            <w:tcBorders>
              <w:bottom w:val="nil"/>
            </w:tcBorders>
            <w:shd w:val="clear" w:color="auto" w:fill="auto"/>
            <w:noWrap/>
            <w:vAlign w:val="center"/>
            <w:hideMark/>
          </w:tcPr>
          <w:p w14:paraId="4ABDD29F" w14:textId="1C7022AC" w:rsidR="00545DDF" w:rsidRPr="00D546D5" w:rsidRDefault="00545DDF" w:rsidP="00545DDF">
            <w:pPr>
              <w:ind w:left="217"/>
              <w:jc w:val="left"/>
              <w:rPr>
                <w:rFonts w:cs="Arial"/>
                <w:color w:val="000000"/>
                <w:sz w:val="20"/>
                <w:szCs w:val="20"/>
              </w:rPr>
            </w:pPr>
            <w:r w:rsidRPr="00D546D5">
              <w:rPr>
                <w:rFonts w:cs="Arial"/>
                <w:color w:val="000000"/>
                <w:sz w:val="20"/>
                <w:szCs w:val="20"/>
              </w:rPr>
              <w:t>1.2.3.8.1.02 - (-) Dep. Acumulada - Imóveis</w:t>
            </w:r>
          </w:p>
        </w:tc>
        <w:tc>
          <w:tcPr>
            <w:tcW w:w="903" w:type="pct"/>
            <w:tcBorders>
              <w:bottom w:val="nil"/>
            </w:tcBorders>
            <w:vAlign w:val="center"/>
          </w:tcPr>
          <w:p w14:paraId="67488E6F" w14:textId="575AA358" w:rsidR="00545DDF" w:rsidRPr="00D546D5" w:rsidRDefault="00545DDF" w:rsidP="00545DDF">
            <w:pPr>
              <w:jc w:val="right"/>
              <w:rPr>
                <w:rFonts w:cs="Arial"/>
                <w:color w:val="FF0000"/>
                <w:sz w:val="20"/>
                <w:szCs w:val="20"/>
              </w:rPr>
            </w:pPr>
            <w:r w:rsidRPr="00D546D5">
              <w:rPr>
                <w:rFonts w:cs="Arial"/>
                <w:color w:val="FF0000"/>
                <w:sz w:val="20"/>
                <w:szCs w:val="20"/>
              </w:rPr>
              <w:t>(164.824.090)</w:t>
            </w:r>
          </w:p>
        </w:tc>
        <w:tc>
          <w:tcPr>
            <w:tcW w:w="903" w:type="pct"/>
            <w:tcBorders>
              <w:bottom w:val="nil"/>
            </w:tcBorders>
            <w:shd w:val="clear" w:color="auto" w:fill="auto"/>
            <w:noWrap/>
            <w:vAlign w:val="center"/>
            <w:hideMark/>
          </w:tcPr>
          <w:p w14:paraId="6F45F55A" w14:textId="74FB49BB" w:rsidR="00545DDF" w:rsidRPr="00D546D5" w:rsidRDefault="00545DDF" w:rsidP="00545DDF">
            <w:pPr>
              <w:jc w:val="right"/>
              <w:rPr>
                <w:rFonts w:cs="Arial"/>
                <w:color w:val="000000"/>
                <w:sz w:val="20"/>
                <w:szCs w:val="20"/>
              </w:rPr>
            </w:pPr>
            <w:r w:rsidRPr="00D546D5">
              <w:rPr>
                <w:rFonts w:cs="Arial"/>
                <w:color w:val="FF0000"/>
                <w:sz w:val="20"/>
                <w:szCs w:val="20"/>
              </w:rPr>
              <w:t>(225.177.260)</w:t>
            </w:r>
          </w:p>
        </w:tc>
        <w:tc>
          <w:tcPr>
            <w:tcW w:w="692" w:type="pct"/>
            <w:tcBorders>
              <w:bottom w:val="nil"/>
            </w:tcBorders>
            <w:shd w:val="clear" w:color="auto" w:fill="auto"/>
            <w:noWrap/>
            <w:vAlign w:val="center"/>
            <w:hideMark/>
          </w:tcPr>
          <w:p w14:paraId="2D363E12" w14:textId="4CBF7898" w:rsidR="00545DDF" w:rsidRPr="00D546D5" w:rsidRDefault="00545DDF" w:rsidP="00545DDF">
            <w:pPr>
              <w:jc w:val="center"/>
              <w:rPr>
                <w:rFonts w:cs="Arial"/>
                <w:color w:val="000000"/>
                <w:sz w:val="20"/>
                <w:szCs w:val="20"/>
              </w:rPr>
            </w:pPr>
            <w:r w:rsidRPr="00D546D5">
              <w:rPr>
                <w:rFonts w:cs="Arial"/>
                <w:color w:val="000000"/>
                <w:sz w:val="20"/>
                <w:szCs w:val="20"/>
              </w:rPr>
              <w:t>-26,80%</w:t>
            </w:r>
          </w:p>
        </w:tc>
      </w:tr>
      <w:tr w:rsidR="00545DDF" w:rsidRPr="00D546D5" w14:paraId="519C7E57" w14:textId="77777777" w:rsidTr="00BB5CDE">
        <w:trPr>
          <w:trHeight w:val="340"/>
        </w:trPr>
        <w:tc>
          <w:tcPr>
            <w:tcW w:w="2502" w:type="pct"/>
            <w:tcBorders>
              <w:top w:val="nil"/>
              <w:bottom w:val="nil"/>
            </w:tcBorders>
            <w:shd w:val="clear" w:color="auto" w:fill="auto"/>
            <w:noWrap/>
            <w:vAlign w:val="center"/>
            <w:hideMark/>
          </w:tcPr>
          <w:p w14:paraId="08792C5C" w14:textId="0C362FD7" w:rsidR="00545DDF" w:rsidRPr="00D546D5" w:rsidRDefault="00545DDF" w:rsidP="00545DDF">
            <w:pPr>
              <w:ind w:left="217"/>
              <w:jc w:val="left"/>
              <w:rPr>
                <w:rFonts w:cs="Arial"/>
                <w:color w:val="000000"/>
                <w:sz w:val="20"/>
                <w:szCs w:val="20"/>
              </w:rPr>
            </w:pPr>
            <w:r w:rsidRPr="00D546D5">
              <w:rPr>
                <w:rFonts w:cs="Arial"/>
                <w:color w:val="000000"/>
                <w:sz w:val="20"/>
                <w:szCs w:val="20"/>
              </w:rPr>
              <w:t xml:space="preserve">1.2.3.9.1.02 - (-) Red. valor recuperável - Imóveis </w:t>
            </w:r>
          </w:p>
        </w:tc>
        <w:tc>
          <w:tcPr>
            <w:tcW w:w="903" w:type="pct"/>
            <w:tcBorders>
              <w:top w:val="nil"/>
              <w:bottom w:val="nil"/>
            </w:tcBorders>
            <w:vAlign w:val="center"/>
          </w:tcPr>
          <w:p w14:paraId="722C4DD6" w14:textId="4B3959AF" w:rsidR="00545DDF" w:rsidRPr="00D546D5" w:rsidRDefault="00545DDF" w:rsidP="00545DDF">
            <w:pPr>
              <w:jc w:val="right"/>
              <w:rPr>
                <w:rFonts w:cs="Arial"/>
                <w:color w:val="000000"/>
                <w:sz w:val="20"/>
                <w:szCs w:val="20"/>
              </w:rPr>
            </w:pPr>
            <w:r w:rsidRPr="00D546D5">
              <w:rPr>
                <w:rFonts w:cs="Arial"/>
                <w:color w:val="FF0000"/>
                <w:sz w:val="20"/>
                <w:szCs w:val="20"/>
              </w:rPr>
              <w:t>(834.714.317)</w:t>
            </w:r>
          </w:p>
        </w:tc>
        <w:tc>
          <w:tcPr>
            <w:tcW w:w="903" w:type="pct"/>
            <w:tcBorders>
              <w:top w:val="nil"/>
              <w:bottom w:val="nil"/>
            </w:tcBorders>
            <w:shd w:val="clear" w:color="auto" w:fill="auto"/>
            <w:noWrap/>
            <w:vAlign w:val="center"/>
            <w:hideMark/>
          </w:tcPr>
          <w:p w14:paraId="2BA76F62" w14:textId="658D20B3" w:rsidR="00545DDF" w:rsidRPr="00D546D5" w:rsidRDefault="00545DDF" w:rsidP="00545DDF">
            <w:pPr>
              <w:jc w:val="right"/>
              <w:rPr>
                <w:rFonts w:cs="Arial"/>
                <w:color w:val="000000"/>
                <w:sz w:val="20"/>
                <w:szCs w:val="20"/>
              </w:rPr>
            </w:pPr>
            <w:r w:rsidRPr="00D546D5">
              <w:rPr>
                <w:rFonts w:cs="Arial"/>
                <w:color w:val="000000"/>
                <w:sz w:val="20"/>
                <w:szCs w:val="20"/>
              </w:rPr>
              <w:t>-</w:t>
            </w:r>
          </w:p>
        </w:tc>
        <w:tc>
          <w:tcPr>
            <w:tcW w:w="692" w:type="pct"/>
            <w:tcBorders>
              <w:top w:val="nil"/>
              <w:bottom w:val="nil"/>
            </w:tcBorders>
            <w:shd w:val="clear" w:color="auto" w:fill="auto"/>
            <w:noWrap/>
            <w:vAlign w:val="center"/>
            <w:hideMark/>
          </w:tcPr>
          <w:p w14:paraId="3D3FBF59" w14:textId="6718D5DE" w:rsidR="00545DDF" w:rsidRPr="00D546D5" w:rsidRDefault="00545DDF" w:rsidP="00545DDF">
            <w:pPr>
              <w:jc w:val="center"/>
              <w:rPr>
                <w:rFonts w:cs="Arial"/>
                <w:color w:val="000000"/>
                <w:sz w:val="20"/>
                <w:szCs w:val="20"/>
              </w:rPr>
            </w:pPr>
            <w:r w:rsidRPr="00D546D5">
              <w:rPr>
                <w:rFonts w:cs="Arial"/>
                <w:color w:val="000000"/>
                <w:sz w:val="20"/>
                <w:szCs w:val="20"/>
              </w:rPr>
              <w:t>100,00%</w:t>
            </w:r>
          </w:p>
        </w:tc>
      </w:tr>
      <w:tr w:rsidR="00545DDF" w:rsidRPr="00D546D5" w14:paraId="61ABB8E2" w14:textId="77777777" w:rsidTr="00BB5CDE">
        <w:trPr>
          <w:trHeight w:val="340"/>
        </w:trPr>
        <w:tc>
          <w:tcPr>
            <w:tcW w:w="2502" w:type="pct"/>
            <w:tcBorders>
              <w:top w:val="nil"/>
              <w:bottom w:val="single" w:sz="4" w:space="0" w:color="auto"/>
            </w:tcBorders>
            <w:shd w:val="clear" w:color="auto" w:fill="auto"/>
            <w:noWrap/>
            <w:vAlign w:val="center"/>
          </w:tcPr>
          <w:p w14:paraId="727ECE8A" w14:textId="0BD74DBE" w:rsidR="00545DDF" w:rsidRPr="00D546D5" w:rsidRDefault="00545DDF" w:rsidP="00545DDF">
            <w:pPr>
              <w:jc w:val="left"/>
              <w:rPr>
                <w:rFonts w:cs="Arial"/>
                <w:sz w:val="20"/>
                <w:szCs w:val="20"/>
              </w:rPr>
            </w:pPr>
            <w:r w:rsidRPr="00D546D5">
              <w:rPr>
                <w:rFonts w:cs="Arial"/>
                <w:b/>
                <w:bCs/>
                <w:i/>
                <w:iCs/>
                <w:sz w:val="20"/>
                <w:szCs w:val="20"/>
              </w:rPr>
              <w:t>2.3.</w:t>
            </w:r>
            <w:r w:rsidRPr="00221593">
              <w:rPr>
                <w:rFonts w:cs="Arial"/>
                <w:b/>
                <w:bCs/>
                <w:iCs/>
                <w:sz w:val="20"/>
                <w:szCs w:val="20"/>
              </w:rPr>
              <w:t>6.1.0.00 - Reserva de Reavaliação</w:t>
            </w:r>
          </w:p>
        </w:tc>
        <w:tc>
          <w:tcPr>
            <w:tcW w:w="903" w:type="pct"/>
            <w:tcBorders>
              <w:top w:val="nil"/>
              <w:bottom w:val="single" w:sz="4" w:space="0" w:color="auto"/>
            </w:tcBorders>
            <w:vAlign w:val="center"/>
          </w:tcPr>
          <w:p w14:paraId="78922DD4" w14:textId="72326BEF" w:rsidR="00545DDF" w:rsidRPr="00D546D5" w:rsidRDefault="00545DDF" w:rsidP="00545DDF">
            <w:pPr>
              <w:jc w:val="right"/>
              <w:rPr>
                <w:rFonts w:cs="Arial"/>
                <w:b/>
                <w:bCs/>
                <w:sz w:val="20"/>
                <w:szCs w:val="20"/>
              </w:rPr>
            </w:pPr>
            <w:r w:rsidRPr="00D546D5">
              <w:rPr>
                <w:rFonts w:cs="Arial"/>
                <w:b/>
                <w:bCs/>
                <w:sz w:val="20"/>
                <w:szCs w:val="20"/>
              </w:rPr>
              <w:t>10.915.401.594</w:t>
            </w:r>
          </w:p>
        </w:tc>
        <w:tc>
          <w:tcPr>
            <w:tcW w:w="903" w:type="pct"/>
            <w:tcBorders>
              <w:top w:val="nil"/>
              <w:bottom w:val="single" w:sz="4" w:space="0" w:color="auto"/>
            </w:tcBorders>
            <w:shd w:val="clear" w:color="auto" w:fill="auto"/>
            <w:noWrap/>
            <w:vAlign w:val="center"/>
          </w:tcPr>
          <w:p w14:paraId="05C671C2" w14:textId="28B310A4" w:rsidR="00545DDF" w:rsidRPr="00D546D5" w:rsidRDefault="00545DDF" w:rsidP="00545DDF">
            <w:pPr>
              <w:jc w:val="right"/>
              <w:rPr>
                <w:rFonts w:cs="Arial"/>
                <w:sz w:val="20"/>
                <w:szCs w:val="20"/>
              </w:rPr>
            </w:pPr>
            <w:r w:rsidRPr="00D546D5">
              <w:rPr>
                <w:rFonts w:cs="Arial"/>
                <w:b/>
                <w:bCs/>
                <w:sz w:val="20"/>
                <w:szCs w:val="20"/>
              </w:rPr>
              <w:t>256.455.653</w:t>
            </w:r>
          </w:p>
        </w:tc>
        <w:tc>
          <w:tcPr>
            <w:tcW w:w="692" w:type="pct"/>
            <w:tcBorders>
              <w:top w:val="nil"/>
              <w:bottom w:val="single" w:sz="4" w:space="0" w:color="auto"/>
            </w:tcBorders>
            <w:shd w:val="clear" w:color="auto" w:fill="auto"/>
            <w:noWrap/>
            <w:vAlign w:val="center"/>
          </w:tcPr>
          <w:p w14:paraId="045C3D63" w14:textId="5560BB36" w:rsidR="00545DDF" w:rsidRPr="00D546D5" w:rsidRDefault="00545DDF" w:rsidP="00545DDF">
            <w:pPr>
              <w:jc w:val="center"/>
              <w:rPr>
                <w:rFonts w:cs="Arial"/>
                <w:sz w:val="20"/>
                <w:szCs w:val="20"/>
              </w:rPr>
            </w:pPr>
            <w:r w:rsidRPr="00D546D5">
              <w:rPr>
                <w:rFonts w:cs="Arial"/>
                <w:b/>
                <w:bCs/>
                <w:sz w:val="20"/>
                <w:szCs w:val="20"/>
              </w:rPr>
              <w:t>4156,25%</w:t>
            </w:r>
          </w:p>
        </w:tc>
      </w:tr>
    </w:tbl>
    <w:p w14:paraId="2A9736B3" w14:textId="77777777" w:rsidR="008B6BEC" w:rsidRDefault="008B6BEC" w:rsidP="00EF01A1">
      <w:pPr>
        <w:pStyle w:val="1-FONTE8ESQ"/>
      </w:pPr>
      <w:r>
        <w:t>Fonte: SCG</w:t>
      </w:r>
    </w:p>
    <w:p w14:paraId="5AFB2A64" w14:textId="77777777" w:rsidR="008B6BEC" w:rsidRDefault="008B6BEC" w:rsidP="008B6BEC">
      <w:pPr>
        <w:pStyle w:val="Ttulo5"/>
        <w:spacing w:before="440" w:after="220"/>
      </w:pPr>
      <w:r>
        <w:lastRenderedPageBreak/>
        <w:t>Inventário</w:t>
      </w:r>
    </w:p>
    <w:p w14:paraId="709613BE" w14:textId="77777777" w:rsidR="008B6BEC" w:rsidRPr="002A2A58" w:rsidRDefault="008B6BEC" w:rsidP="008B6BEC">
      <w:pPr>
        <w:pStyle w:val="1-REL11"/>
      </w:pPr>
      <w:r>
        <w:t xml:space="preserve">O controle e conferência dos Bens Móveis é realizado por cada Poder e Órgão Autônomo em seus respectivos sistemas de informática e, posteriormente, registrados no SCG para possibilitar </w:t>
      </w:r>
      <w:r w:rsidRPr="002A2A58">
        <w:t>a consolidação total dos bens móveis pertencentes ao estado de Goiás.</w:t>
      </w:r>
    </w:p>
    <w:p w14:paraId="488062EC" w14:textId="77777777" w:rsidR="008B6BEC" w:rsidRPr="002A2A58" w:rsidRDefault="008B6BEC" w:rsidP="008B6BEC">
      <w:pPr>
        <w:pStyle w:val="1-REL11"/>
      </w:pPr>
      <w:r w:rsidRPr="002A2A58">
        <w:t>O Poder Executivo utiliza o Sistema de Patrimônio Mobiliário (SPM) que possibilita consultas individuais e/ou consolidadas dos bens móveis.</w:t>
      </w:r>
    </w:p>
    <w:p w14:paraId="005FDE2A" w14:textId="7A17430F" w:rsidR="008B6BEC" w:rsidRPr="002A2A58" w:rsidRDefault="008B6BEC" w:rsidP="008B6BEC">
      <w:pPr>
        <w:pStyle w:val="1-REL11"/>
      </w:pPr>
      <w:r w:rsidRPr="002A2A58">
        <w:t xml:space="preserve">Ao acessar o SPM, foram identificadas alterações retroativas no descritivo de bens móveis que afetaram o inventário já fechado pela comissão inventariante. Por exemplo, ao acessar o SPM </w:t>
      </w:r>
      <w:r w:rsidRPr="002A2A58">
        <w:sym w:font="Symbol" w:char="F0AE"/>
      </w:r>
      <w:r w:rsidRPr="002A2A58">
        <w:t xml:space="preserve"> Inventário </w:t>
      </w:r>
      <w:r w:rsidRPr="002A2A58">
        <w:sym w:font="Symbol" w:char="F0AE"/>
      </w:r>
      <w:r w:rsidRPr="002A2A58">
        <w:t xml:space="preserve"> Analítico da Secretaria de Estado de Desenvolvimento Social (Seds) no dia 15/04/2024 e, posteriormente, no dia 16/05/2024, e gerar em ambas as datas um relatório de inventário para a posição 31/12/2023, foram detectados bens que, sob o mesmo número de tombamento, apresentam descrições diferentes, que alteram completamente o que o bem é. É o caso do número de tombamento 002315353, que no relatório do dia 15/04/2024 estava descrito como um veículo </w:t>
      </w:r>
      <w:r w:rsidR="00552E2C" w:rsidRPr="002A2A58">
        <w:t xml:space="preserve">Ford Ranger </w:t>
      </w:r>
      <w:r w:rsidRPr="002A2A58">
        <w:t xml:space="preserve">e no relatório do dia 16/05/2024 passou a ser um </w:t>
      </w:r>
      <w:r w:rsidR="00552E2C" w:rsidRPr="002A2A58">
        <w:t>Renault Sandero</w:t>
      </w:r>
      <w:r w:rsidRPr="002A2A58">
        <w:t>, ambos para a posição 31/12/2023.</w:t>
      </w:r>
    </w:p>
    <w:p w14:paraId="78DAB058" w14:textId="77777777" w:rsidR="008B6BEC" w:rsidRPr="002A2A58" w:rsidRDefault="008B6BEC" w:rsidP="008B6BEC">
      <w:pPr>
        <w:pStyle w:val="1-REL11"/>
      </w:pPr>
      <w:r w:rsidRPr="002A2A58">
        <w:t>Tal situação demonstra fragilidade no quesito controle interno, uma vez que um bem pode ser trocado por outro sem nenhuma restrição e isso modifica a composição dos bens de uma UO inclusive para exercícios financeiros já fechados. Tal situação atinge a integridade dos relatórios gerados no SPM.</w:t>
      </w:r>
    </w:p>
    <w:p w14:paraId="78AC1DEC" w14:textId="09A9DBEB" w:rsidR="008B6BEC" w:rsidRPr="002A2A58" w:rsidRDefault="008B6BEC" w:rsidP="00E460D5">
      <w:pPr>
        <w:pStyle w:val="0-ACH-TIT"/>
      </w:pPr>
      <w:r w:rsidRPr="002A2A58">
        <w:t xml:space="preserve">&gt;&gt; </w:t>
      </w:r>
      <w:r w:rsidR="00861B58" w:rsidRPr="00861B58">
        <w:t>Deficiências na integridade do sistema SPM</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8B6BEC" w:rsidRPr="002A2A58" w14:paraId="1B78A9D2" w14:textId="77777777" w:rsidTr="000C319C">
        <w:trPr>
          <w:trHeight w:val="629"/>
          <w:jc w:val="center"/>
        </w:trPr>
        <w:tc>
          <w:tcPr>
            <w:tcW w:w="6237" w:type="dxa"/>
            <w:vAlign w:val="center"/>
            <w:hideMark/>
          </w:tcPr>
          <w:p w14:paraId="7E04DBFE" w14:textId="61D1E702" w:rsidR="008B6BEC" w:rsidRPr="002A2A58" w:rsidRDefault="00861B58" w:rsidP="006E6638">
            <w:pPr>
              <w:pStyle w:val="0-ACH-TXT"/>
            </w:pPr>
            <w:r w:rsidRPr="00861B58">
              <w:t>Possibilidade de alteração retroativa da descrição dos Bens Móveis, alterando a base de dados de períodos contábeis já encerrados, afetando a integridade dos dados do sistema e dos relatórios por ele produzidos.</w:t>
            </w:r>
          </w:p>
        </w:tc>
      </w:tr>
    </w:tbl>
    <w:p w14:paraId="7F178B37" w14:textId="184C6022" w:rsidR="008B6BEC" w:rsidRPr="00BF330E" w:rsidRDefault="0001006C" w:rsidP="008B6BEC">
      <w:pPr>
        <w:tabs>
          <w:tab w:val="left" w:pos="2835"/>
        </w:tabs>
        <w:spacing w:before="200" w:after="200" w:line="276" w:lineRule="auto"/>
        <w:rPr>
          <w:rFonts w:eastAsia="Calibri"/>
        </w:rPr>
      </w:pPr>
      <w:r>
        <w:t xml:space="preserve">Portanto, sugere-se ao </w:t>
      </w:r>
      <w:r w:rsidRPr="0001006C">
        <w:t>Tribunal de Contas do Estado de Goiás, que determine ao Governo do Estado de Goiás, por meio da Secretaria de Estado da Administração, que adote providências imediatas para criação de travas no sistema SPM, que impeçam a alteração de dados de forma retroativa.</w:t>
      </w:r>
    </w:p>
    <w:p w14:paraId="4544CA72" w14:textId="77777777" w:rsidR="008B6BEC" w:rsidRDefault="008B6BEC" w:rsidP="008B6BEC">
      <w:pPr>
        <w:pStyle w:val="1-REL11"/>
      </w:pPr>
      <w:r>
        <w:t xml:space="preserve">Quanto aos Bens Imóveis, eles são arrolados em </w:t>
      </w:r>
      <w:r w:rsidRPr="005E6488">
        <w:t xml:space="preserve">planilhas do </w:t>
      </w:r>
      <w:r>
        <w:t xml:space="preserve">Microsoft </w:t>
      </w:r>
      <w:r w:rsidRPr="005E6488">
        <w:t>Excel,</w:t>
      </w:r>
      <w:r>
        <w:t xml:space="preserve"> contendo o código do imóvel, município, número da matrícula de certidão cartorária, tamanho da área e data de aquisição ou incorporação, que foram formatadas pela Secretaria de Estado da Administração (Sead) e distribuídas às UOs do </w:t>
      </w:r>
      <w:r w:rsidRPr="005E6488">
        <w:t>Poder Executivo</w:t>
      </w:r>
      <w:r>
        <w:t>. Além da criação da planilha, cabe também à Sead a instrução de preenchimento para posterior consolidação geral do Estado.</w:t>
      </w:r>
    </w:p>
    <w:p w14:paraId="7B174EDA" w14:textId="77777777" w:rsidR="008B6BEC" w:rsidRDefault="008B6BEC" w:rsidP="008B6BEC">
      <w:pPr>
        <w:pStyle w:val="1-REL11"/>
      </w:pPr>
      <w:r>
        <w:t xml:space="preserve">Ressalta-se que durante a análise da presente Prestação de Contas, este Serviço teve acesso ao inventário correspondente às UOs da esfera do Poder Executivo estadual. Quanto aos demais </w:t>
      </w:r>
      <w:r>
        <w:lastRenderedPageBreak/>
        <w:t>Órgãos e Poderes Autônomos, os inventários serão individualmente analisados nas Prestações de Contas Anuais dos Gestores no Serviço de Fiscalização de Contas dos Gestores.</w:t>
      </w:r>
    </w:p>
    <w:p w14:paraId="4839006C" w14:textId="77777777" w:rsidR="008B6BEC" w:rsidRDefault="008B6BEC" w:rsidP="008B6BEC">
      <w:pPr>
        <w:pStyle w:val="1-REL11"/>
      </w:pPr>
      <w:r>
        <w:t>Não foi possível consolidar os dados apresentados nos inventários. Ao proceder a tentativa de analisar individualmente cada planilha, esta Unidade Técnica deparou-se com dados distorcidos que não conferem com os registros contábeis no SCG.</w:t>
      </w:r>
    </w:p>
    <w:p w14:paraId="4DD2198F" w14:textId="57FE4F0A" w:rsidR="008B6BEC" w:rsidRDefault="008B6BEC" w:rsidP="008B6BEC">
      <w:pPr>
        <w:pStyle w:val="1-REL11"/>
      </w:pPr>
      <w:r>
        <w:t>Por exemplo, a Secretaria de Estado da Casa Militar, UO 1600, apresenta em sua Planilha de Inventário de 2023, que foi modificada em 17/05/2024, o valor de R$</w:t>
      </w:r>
      <w:r w:rsidR="002436CE">
        <w:t> </w:t>
      </w:r>
      <w:r>
        <w:t>122,39</w:t>
      </w:r>
      <w:r w:rsidR="002436CE">
        <w:t> </w:t>
      </w:r>
      <w:r>
        <w:t>milhões como valor de reavaliação de seus imóveis. Em consulta ao SCG, a conta contábil 2.3.6.1.1.01.03 – Reserva de Reavaliação de Bens Imóveis apresenta valor de R$</w:t>
      </w:r>
      <w:r w:rsidR="002436CE">
        <w:t> </w:t>
      </w:r>
      <w:r>
        <w:t>92,38</w:t>
      </w:r>
      <w:r w:rsidR="002436CE">
        <w:t> </w:t>
      </w:r>
      <w:r>
        <w:t>milhões.</w:t>
      </w:r>
    </w:p>
    <w:p w14:paraId="102B5320" w14:textId="3006B0CC" w:rsidR="008B6BEC" w:rsidRDefault="008B6BEC" w:rsidP="008B6BEC">
      <w:pPr>
        <w:pStyle w:val="1-REL11"/>
      </w:pPr>
      <w:r>
        <w:t>A Universidade Estadual de Goiás, UO 4062, apresenta em sua Planilha de Inventário de 2023, que foi modificada em 14/05/2024, o valor de R$</w:t>
      </w:r>
      <w:r w:rsidR="002436CE">
        <w:t> </w:t>
      </w:r>
      <w:r w:rsidRPr="00AC17E0">
        <w:t>613</w:t>
      </w:r>
      <w:r>
        <w:t>,</w:t>
      </w:r>
      <w:r w:rsidRPr="00AC17E0">
        <w:t>12</w:t>
      </w:r>
      <w:r w:rsidR="002436CE">
        <w:t> </w:t>
      </w:r>
      <w:r>
        <w:t>milhões como valor contábil do exercício atual de seus imóveis. Em consulta ao SCG, a conta contábil 1.3.2.1 – Bens Imóveis apresenta valor de R$</w:t>
      </w:r>
      <w:r w:rsidR="002436CE">
        <w:t> </w:t>
      </w:r>
      <w:r>
        <w:t>620,19</w:t>
      </w:r>
      <w:r w:rsidR="002436CE">
        <w:t> </w:t>
      </w:r>
      <w:r>
        <w:t>milhões.</w:t>
      </w:r>
    </w:p>
    <w:p w14:paraId="6920B3BC" w14:textId="77777777" w:rsidR="008B6BEC" w:rsidRDefault="008B6BEC" w:rsidP="008B6BEC">
      <w:pPr>
        <w:pStyle w:val="1-REL11"/>
      </w:pPr>
      <w:r>
        <w:t>Ressalta-se que diversas outras inconsistências foram identificadas para diversas outras unidades orçamentárias, de forma que para esta Unidade Técnica, por tempestividade, sequer foi possível calcular as diferenças entre o inventário consolidado e os registros contábeis.</w:t>
      </w:r>
    </w:p>
    <w:p w14:paraId="269C2D95" w14:textId="77777777" w:rsidR="008B6BEC" w:rsidRDefault="008B6BEC" w:rsidP="008B6BEC">
      <w:pPr>
        <w:pStyle w:val="1-REL11"/>
      </w:pPr>
      <w:r>
        <w:t xml:space="preserve">Por outro lado, a Superintendência Central de Patrimônio Imobiliário (departamento da Sead), por meio da </w:t>
      </w:r>
      <w:r w:rsidRPr="000E107F">
        <w:t>Nota Explicativa nº 3/2024 SEAD/SUPATI-02867</w:t>
      </w:r>
      <w:r>
        <w:t xml:space="preserve"> declara:</w:t>
      </w:r>
    </w:p>
    <w:p w14:paraId="508D7163" w14:textId="77777777" w:rsidR="008B6BEC" w:rsidRDefault="008B6BEC" w:rsidP="008B6BEC">
      <w:pPr>
        <w:pStyle w:val="1-CITAO"/>
        <w:rPr>
          <w:u w:val="single"/>
        </w:rPr>
      </w:pPr>
      <w:r w:rsidRPr="005F10DF">
        <w:t xml:space="preserve">2.2 </w:t>
      </w:r>
      <w:r w:rsidRPr="005F10DF">
        <w:rPr>
          <w:u w:val="single"/>
        </w:rPr>
        <w:t>CAPACITAÇÃO</w:t>
      </w:r>
    </w:p>
    <w:p w14:paraId="5D43CF03" w14:textId="77777777" w:rsidR="008B6BEC" w:rsidRPr="005F10DF" w:rsidRDefault="008B6BEC" w:rsidP="008B6BEC">
      <w:pPr>
        <w:pStyle w:val="1-CITAO"/>
      </w:pPr>
    </w:p>
    <w:p w14:paraId="0D697D16" w14:textId="77777777" w:rsidR="008B6BEC" w:rsidRDefault="008B6BEC" w:rsidP="008B6BEC">
      <w:pPr>
        <w:pStyle w:val="1-CITAO"/>
      </w:pPr>
      <w:r>
        <w:t>Em setembro de 2023, promoveu- se a capacitação, realizada tanto de forma presencial, no Auditório da AGRODEFESA - Antiga METAGO, quanto de forma online, por meio de reuniões conduzidas através da plataforma Zoom. Estas reuniões foram registradas e posteriormente disponibilizadas na plaforma YouTube. No dia 16 de novembro de 2023, específicamente, foi divulgado o "Treinamento – Procedimentos do Inventário de bens móveis e imóveis 2023", também realizado de forma online, no formato live streaming, inclusive sendo disponibilizado no canal da Escola de Governo da plataforma anteriormente citada, sendo relacionado ao processo SEI 202300005028988.</w:t>
      </w:r>
    </w:p>
    <w:p w14:paraId="22F0640D" w14:textId="77777777" w:rsidR="008B6BEC" w:rsidRDefault="008B6BEC" w:rsidP="008B6BEC">
      <w:pPr>
        <w:pStyle w:val="1-REL11"/>
      </w:pPr>
      <w:r>
        <w:t>Apesar do treinamento disposto aos órgãos, as p</w:t>
      </w:r>
      <w:r w:rsidRPr="00D775DF">
        <w:t xml:space="preserve">lanilhas </w:t>
      </w:r>
      <w:r>
        <w:t>foram</w:t>
      </w:r>
      <w:r w:rsidRPr="00D775DF">
        <w:t xml:space="preserve"> preenchidas sem metodologia padronizada, falta clareza nas informações</w:t>
      </w:r>
      <w:r>
        <w:t>, o título da coluna não condiz com os dados inseridos nas células, os dados podem ser modificados a qualquer momento por não possuir trava de segurança da informação, inclusive a data da última modificação observada por esta Unidade Técnica foi no dia 17/05/2024</w:t>
      </w:r>
      <w:r w:rsidRPr="00D775DF">
        <w:t>.</w:t>
      </w:r>
      <w:r>
        <w:t xml:space="preserve"> Os lançamentos contábeis também foram feitos de forma inconsistente pelas UOs, tendo ocorrido lançamentos contábeis líquidos da soma entre redução ao valor recuperável do ativo e reavaliação, e lançamentos contábeis de cada fato em separado.</w:t>
      </w:r>
    </w:p>
    <w:p w14:paraId="7B3AFCE4" w14:textId="77777777" w:rsidR="008B6BEC" w:rsidRDefault="008B6BEC" w:rsidP="008B6BEC">
      <w:pPr>
        <w:pStyle w:val="1-REL11"/>
      </w:pPr>
      <w:r>
        <w:t xml:space="preserve">Ademais, desde o exercício de 2019, o Estado tem se comprometido em implementar um sistema de informações que possibilite o controle do patrimônio imobiliário e tem reforçado essa </w:t>
      </w:r>
      <w:r>
        <w:lastRenderedPageBreak/>
        <w:t>necessidade de implementação ao longos dos anos. Porém, sempre projeta a conclusão dos trabalhos para o exercício seguinte e não deixa claro em que fase está a construção desse projeto.</w:t>
      </w:r>
    </w:p>
    <w:p w14:paraId="2104C38C" w14:textId="77777777" w:rsidR="008B6BEC" w:rsidRDefault="008B6BEC" w:rsidP="008B6BEC">
      <w:pPr>
        <w:pStyle w:val="1-REL11"/>
      </w:pPr>
      <w:r>
        <w:t>É incontestável a relevância de um sistema que apresente, com transparência e clareza, o controle patrimonial, buscando a eficiência operacional e aprimoramento da gestão pública, com diretrizes claras quanto à guarda e conservação dos bens imóveis, que possua dados precisos de identificação de registro e que seja integrado ao SCG e Siofi-Net.</w:t>
      </w:r>
    </w:p>
    <w:p w14:paraId="4ECE8A21" w14:textId="18697209" w:rsidR="008B6BEC" w:rsidRPr="002A20DD" w:rsidRDefault="008B6BEC" w:rsidP="00E460D5">
      <w:pPr>
        <w:pStyle w:val="0-ACH-TIT"/>
      </w:pPr>
      <w:r>
        <w:t xml:space="preserve">&gt;&gt; </w:t>
      </w:r>
      <w:r w:rsidR="00C06032" w:rsidRPr="00C06032">
        <w:t>Inexistência de sistema para gestão e controle do patrimônio imóvel do estado de Goiás</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8B6BEC" w:rsidRPr="00D45205" w14:paraId="69303466" w14:textId="77777777" w:rsidTr="000C319C">
        <w:trPr>
          <w:trHeight w:val="629"/>
          <w:jc w:val="center"/>
        </w:trPr>
        <w:tc>
          <w:tcPr>
            <w:tcW w:w="6237" w:type="dxa"/>
            <w:vAlign w:val="center"/>
            <w:hideMark/>
          </w:tcPr>
          <w:p w14:paraId="6495FDA3" w14:textId="7C957C54" w:rsidR="008B6BEC" w:rsidRPr="00152B41" w:rsidRDefault="00C06032" w:rsidP="00D546D5">
            <w:pPr>
              <w:pStyle w:val="0-ACH-TXT"/>
            </w:pPr>
            <w:r w:rsidRPr="00C06032">
              <w:t>Inventário de Bens imóveis arrolados em planilhas do excel, com dados distorcidos, não conferindo com os registros contábeis no SCG, sem metodologia padronizada de preenchimento, impossibilitando a consolidação e falta de controles internos da informação.</w:t>
            </w:r>
          </w:p>
        </w:tc>
      </w:tr>
    </w:tbl>
    <w:p w14:paraId="26F68D75" w14:textId="77777777" w:rsidR="00663A94" w:rsidRDefault="00C06032" w:rsidP="00663A94">
      <w:pPr>
        <w:pStyle w:val="1-REL11"/>
      </w:pPr>
      <w:r>
        <w:t xml:space="preserve">Portanto, sugere-se ao </w:t>
      </w:r>
      <w:r w:rsidRPr="0001006C">
        <w:t xml:space="preserve">Tribunal de Contas do Estado de Goiás, </w:t>
      </w:r>
      <w:r w:rsidR="00663A94" w:rsidRPr="00663A94">
        <w:t>que determine ao Governo do Estado de Goiás, por meio da Secretaria de Estado da Administração, que adote providências imediatas para implementação, ainda no exercício de 2024, de sistema de informática capaz de apresentar o inventário de todos os bens imóveis do Estado, suas movimentações, controle, guarda e conservação, nos termos do art. 2º, inciso II, alínea a do Decreto Estadual nº 10.437, de 09 de abril de 2024.</w:t>
      </w:r>
    </w:p>
    <w:p w14:paraId="1C8A9B87" w14:textId="34BBE2BF" w:rsidR="008B6BEC" w:rsidRDefault="008B6BEC" w:rsidP="00663A94">
      <w:pPr>
        <w:pStyle w:val="1-REL11"/>
      </w:pPr>
      <w:r>
        <w:t>Por fim, segundo a Nota Explicativa n</w:t>
      </w:r>
      <w:r>
        <w:rPr>
          <w:rFonts w:cs="Arial"/>
        </w:rPr>
        <w:t>º</w:t>
      </w:r>
      <w:r w:rsidR="002436CE">
        <w:t> </w:t>
      </w:r>
      <w:r>
        <w:t>3/2024 SEAD/SUPATI-02867, o E</w:t>
      </w:r>
      <w:r w:rsidRPr="00506C9B">
        <w:t xml:space="preserve">stado conseguiu inventariar 100% dos imóveis identificados e de forma descentralizada. Em consulta ao SCG no exercício de 2023, foi encontrado o saldo final consolidado dos Bens Imóveis (1.2.3.2.1.00.00.00.00 - Bens Imóveis) que compõem o </w:t>
      </w:r>
      <w:r>
        <w:t>p</w:t>
      </w:r>
      <w:r w:rsidRPr="00506C9B">
        <w:t>atrimônio de todos os Poderes e Órgãos Autônomos do Estado de Goiás, totalizando a cifra de R$ 50,86 bilhões.</w:t>
      </w:r>
    </w:p>
    <w:p w14:paraId="0C7D47B6" w14:textId="77777777" w:rsidR="008B6BEC" w:rsidRDefault="008B6BEC" w:rsidP="008B6BEC">
      <w:pPr>
        <w:pStyle w:val="Ttulo5"/>
        <w:spacing w:before="440" w:after="220"/>
      </w:pPr>
      <w:r>
        <w:t>Reavaliação dos Bens Imóveis</w:t>
      </w:r>
    </w:p>
    <w:p w14:paraId="3D34D767" w14:textId="77777777" w:rsidR="008B6BEC" w:rsidRDefault="008B6BEC" w:rsidP="008B6BEC">
      <w:pPr>
        <w:pStyle w:val="1-REL11"/>
      </w:pPr>
      <w:r>
        <w:t>O</w:t>
      </w:r>
      <w:r w:rsidRPr="006C6C6A">
        <w:t xml:space="preserve">s bens imóveis registrados no Ativo Imobilizado </w:t>
      </w:r>
      <w:r>
        <w:t>foram</w:t>
      </w:r>
      <w:r w:rsidRPr="006C6C6A">
        <w:t xml:space="preserve"> reavaliados</w:t>
      </w:r>
      <w:r>
        <w:t xml:space="preserve"> a fim de </w:t>
      </w:r>
      <w:r w:rsidRPr="006C6C6A">
        <w:t>preservar o conceito de uso e o Princípio da Continuidade das atividades operacionais da entidade.</w:t>
      </w:r>
    </w:p>
    <w:p w14:paraId="2F384C6E" w14:textId="77777777" w:rsidR="008B6BEC" w:rsidRDefault="008B6BEC" w:rsidP="008B6BEC">
      <w:pPr>
        <w:pStyle w:val="1-REL11"/>
      </w:pPr>
      <w:r w:rsidRPr="006C6C6A">
        <w:t>O valor da reavaliação é a diferença entre o valor contábil líquido do bem e o valor de mercado ou de consenso, com base em laudo técnico. O valor contábil líquido pode ser entendido como o valor do bem registrado na contabilidade, em determinada data, deduzido da correspondente depreciação, amortização ou exaustão acumulada.</w:t>
      </w:r>
    </w:p>
    <w:p w14:paraId="1DD8F2C7" w14:textId="4C360DE7" w:rsidR="008B6BEC" w:rsidRDefault="008B6BEC" w:rsidP="008B6BEC">
      <w:pPr>
        <w:pStyle w:val="1-REL11"/>
      </w:pPr>
      <w:r>
        <w:t xml:space="preserve">De acordo com a da </w:t>
      </w:r>
      <w:r w:rsidRPr="000E107F">
        <w:t>Nota Explicativa nº</w:t>
      </w:r>
      <w:r w:rsidR="002436CE">
        <w:t> </w:t>
      </w:r>
      <w:r w:rsidRPr="000E107F">
        <w:t>3/2024 SEAD/SUPATI-02867</w:t>
      </w:r>
      <w:r>
        <w:t xml:space="preserve">, durante o exercício de 2023, 62,87% dos imóveis de propriedade do estado passaram por Reavaliação. </w:t>
      </w:r>
      <w:r w:rsidR="00226E55">
        <w:t xml:space="preserve">Considerando os saldos de encerramento de 2022 (R$ 256,46 milhões) e de 2023 (R$10.91 bilhões) percebe-se </w:t>
      </w:r>
      <w:r>
        <w:t xml:space="preserve">um aumento </w:t>
      </w:r>
      <w:r w:rsidR="00226E55">
        <w:t xml:space="preserve">de </w:t>
      </w:r>
      <w:r>
        <w:t>R$</w:t>
      </w:r>
      <w:r w:rsidR="002436CE">
        <w:t> </w:t>
      </w:r>
      <w:r>
        <w:t>10,66</w:t>
      </w:r>
      <w:r w:rsidR="002436CE">
        <w:t> </w:t>
      </w:r>
      <w:r>
        <w:t xml:space="preserve">bilhões em 2.3.6.1.1.01.03.00.00 – Reserva de Reavaliação de </w:t>
      </w:r>
      <w:r>
        <w:lastRenderedPageBreak/>
        <w:t xml:space="preserve">Bens Imóveis, acréscimo equivalente a </w:t>
      </w:r>
      <w:r w:rsidR="00406E7C" w:rsidRPr="00406E7C">
        <w:t>4156,25%</w:t>
      </w:r>
      <w:r>
        <w:t xml:space="preserve"> e, em contraponto, </w:t>
      </w:r>
      <w:r w:rsidR="00226E55">
        <w:t>variação de</w:t>
      </w:r>
      <w:r>
        <w:t xml:space="preserve"> R$</w:t>
      </w:r>
      <w:r w:rsidR="002436CE">
        <w:t> </w:t>
      </w:r>
      <w:r>
        <w:t>371,82</w:t>
      </w:r>
      <w:r w:rsidR="002436CE">
        <w:t> </w:t>
      </w:r>
      <w:r>
        <w:t xml:space="preserve">milhões de depreciação </w:t>
      </w:r>
      <w:r w:rsidRPr="001B10D3">
        <w:t>3.3.3.1.1.01.02.00.00</w:t>
      </w:r>
      <w:r>
        <w:t xml:space="preserve"> – </w:t>
      </w:r>
      <w:r w:rsidRPr="001B10D3">
        <w:t xml:space="preserve">Depreciação </w:t>
      </w:r>
      <w:r>
        <w:t>d</w:t>
      </w:r>
      <w:r w:rsidRPr="001B10D3">
        <w:t xml:space="preserve">e Bens Imóveis </w:t>
      </w:r>
      <w:r>
        <w:t>–</w:t>
      </w:r>
      <w:r w:rsidRPr="001B10D3">
        <w:t xml:space="preserve"> Consolidação</w:t>
      </w:r>
      <w:r>
        <w:t>.</w:t>
      </w:r>
    </w:p>
    <w:p w14:paraId="26E67577" w14:textId="77777777" w:rsidR="008B6BEC" w:rsidRDefault="008B6BEC" w:rsidP="008B6BEC">
      <w:pPr>
        <w:pStyle w:val="1-REL11"/>
      </w:pPr>
      <w:r>
        <w:t>Ao acessar as planilhas de Excel, em que são relacionados os bens imóveis sob guarda das UOs na esfera do Poder Executivo, constatou-se que algumas unidades orçamentárias lançaram a reavaliação em sua totalidade no Patrimônio Líquido e a parcela negativa no ajuste de redução  ao valor recuperável no Ativo, enquanto que outras unidades gestoras somaram os dois valores e realizaram apenas um registro pelo valor líquido no PL, se positivo, ou no Ativo, se negativo.</w:t>
      </w:r>
    </w:p>
    <w:p w14:paraId="72352068" w14:textId="3CBD3581" w:rsidR="008B6BEC" w:rsidRDefault="008B6BEC" w:rsidP="008B6BEC">
      <w:pPr>
        <w:pStyle w:val="1-REL11"/>
      </w:pPr>
      <w:r>
        <w:t>No inventário, via Excel, foi encontrado o computo total do valor dos bens imóveis em R$ 24,06 bilhões, a depreciação em R$ 119,35</w:t>
      </w:r>
      <w:r w:rsidR="002436CE">
        <w:t> </w:t>
      </w:r>
      <w:r>
        <w:t>milhões, a reavaliação em R$ 12,15</w:t>
      </w:r>
      <w:r w:rsidR="002436CE">
        <w:t> </w:t>
      </w:r>
      <w:r>
        <w:t>bilhões e a parcela diminutiva da reavaliação somou R$ 1,13</w:t>
      </w:r>
      <w:r w:rsidR="002436CE">
        <w:t> </w:t>
      </w:r>
      <w:r>
        <w:t>bilhão.</w:t>
      </w:r>
    </w:p>
    <w:p w14:paraId="7B292F3D" w14:textId="77777777" w:rsidR="008B6BEC" w:rsidRDefault="008B6BEC" w:rsidP="008B6BEC">
      <w:pPr>
        <w:pStyle w:val="1-REL11"/>
      </w:pPr>
      <w:r>
        <w:t>Devido a inconsistências encontradas no preenchimento das planilhas entre os órgãos do Poder Executivo e a ausência do inventário dos demais Poderes e Órgãos Autônomos não foi possível chegar a um valor final do inventário de Bens Imóveis e confirmá-lo no saldo consolidado no SCG.</w:t>
      </w:r>
    </w:p>
    <w:p w14:paraId="760621EE" w14:textId="77777777" w:rsidR="008B6BEC" w:rsidRDefault="008B6BEC" w:rsidP="008B6BEC">
      <w:pPr>
        <w:pStyle w:val="1-REL11"/>
      </w:pPr>
      <w:r>
        <w:t>Tal evidência corrobora com o apontamento anterior acerca da necessidade de implementação de um sistema capaz de apresentar dados consistentes e de forma transparente com a finalidade de controle.</w:t>
      </w:r>
    </w:p>
    <w:p w14:paraId="6450A184" w14:textId="77777777" w:rsidR="008B6BEC" w:rsidRDefault="008B6BEC" w:rsidP="008B6BEC">
      <w:pPr>
        <w:pStyle w:val="Ttulo5"/>
        <w:spacing w:before="440" w:after="220"/>
      </w:pPr>
      <w:r>
        <w:t>Imóveis não Localizados</w:t>
      </w:r>
    </w:p>
    <w:p w14:paraId="0451411D" w14:textId="455484B3" w:rsidR="008B6BEC" w:rsidRDefault="008B6BEC" w:rsidP="008B6BEC">
      <w:pPr>
        <w:pStyle w:val="1-REL11"/>
      </w:pPr>
      <w:r>
        <w:t xml:space="preserve">Na Prestação de Contas do Governo referente ao exercício de 2022, foi informado por meio de </w:t>
      </w:r>
      <w:r w:rsidRPr="009642CC">
        <w:t>Nota Explicativa nº</w:t>
      </w:r>
      <w:r w:rsidR="002436CE">
        <w:t> </w:t>
      </w:r>
      <w:r w:rsidRPr="009642CC">
        <w:t>1/2023 SEAD/SUPAT</w:t>
      </w:r>
      <w:r>
        <w:t xml:space="preserve"> que não foram encontradas os endereços de 267 certidões de matrículas de imóveis de propriedade do Estado, avaliadas em R$</w:t>
      </w:r>
      <w:r w:rsidR="002436CE">
        <w:t> </w:t>
      </w:r>
      <w:r>
        <w:t>1,16</w:t>
      </w:r>
      <w:r w:rsidR="002436CE">
        <w:t> </w:t>
      </w:r>
      <w:r>
        <w:t>bilhão e que foi aberto processo administrativo sugerindo a instituição de comissão para apurar os fatos e possíveis responsabilidades.</w:t>
      </w:r>
    </w:p>
    <w:p w14:paraId="3C3BA830" w14:textId="656CEF16" w:rsidR="008B6BEC" w:rsidRDefault="008B6BEC" w:rsidP="008B6BEC">
      <w:pPr>
        <w:pStyle w:val="1-REL11"/>
      </w:pPr>
      <w:r w:rsidRPr="000E107F">
        <w:t>No BGE do exercício em análise (</w:t>
      </w:r>
      <w:r>
        <w:t>p</w:t>
      </w:r>
      <w:r w:rsidRPr="000E107F">
        <w:t>rocesso nº</w:t>
      </w:r>
      <w:r w:rsidR="002436CE">
        <w:t> </w:t>
      </w:r>
      <w:r w:rsidRPr="000E107F">
        <w:t xml:space="preserve">202300047001912, evento 21, </w:t>
      </w:r>
      <w:r w:rsidR="00CA6F24">
        <w:t xml:space="preserve">em seu </w:t>
      </w:r>
      <w:r w:rsidRPr="000E107F">
        <w:t xml:space="preserve">item 3.3.1.2.3 Imobilizado – Ativo Não Circulante) foram encaminhados dados sobre os trabalhos efetuados relacionados ao Imobilizado estadual. </w:t>
      </w:r>
      <w:r>
        <w:t xml:space="preserve">Dentre às </w:t>
      </w:r>
      <w:r w:rsidRPr="000E107F">
        <w:t>informações encaminhadas, ressalta-se a Nota Explicativa nº</w:t>
      </w:r>
      <w:r w:rsidR="002436CE">
        <w:t> </w:t>
      </w:r>
      <w:r w:rsidRPr="000E107F">
        <w:t>3/2024 SEAD/SUPATI-02867, que trouxe esclarecimentos acerca do inventário patrimonial realizado em 2023 do Poder Executivo estadual, destacando-se:</w:t>
      </w:r>
    </w:p>
    <w:p w14:paraId="57B00B2F" w14:textId="77777777" w:rsidR="008B6BEC" w:rsidRDefault="008B6BEC" w:rsidP="008B6BEC">
      <w:pPr>
        <w:pStyle w:val="1-CITAO"/>
      </w:pPr>
      <w:r>
        <w:t>[...]</w:t>
      </w:r>
    </w:p>
    <w:p w14:paraId="17A9EA6F" w14:textId="77777777" w:rsidR="008B6BEC" w:rsidRDefault="008B6BEC" w:rsidP="008B6BEC">
      <w:pPr>
        <w:pStyle w:val="1-CITAO"/>
      </w:pPr>
    </w:p>
    <w:p w14:paraId="6C936E6D" w14:textId="77777777" w:rsidR="008B6BEC" w:rsidRDefault="008B6BEC" w:rsidP="008B6BEC">
      <w:pPr>
        <w:pStyle w:val="1-CITAO"/>
      </w:pPr>
      <w:r w:rsidRPr="008A1447">
        <w:t xml:space="preserve">É relevante assinalar que um total de </w:t>
      </w:r>
      <w:r w:rsidRPr="00AD2853">
        <w:rPr>
          <w:b/>
          <w:u w:val="single"/>
        </w:rPr>
        <w:t>38</w:t>
      </w:r>
      <w:r w:rsidRPr="007F2D8A">
        <w:rPr>
          <w:u w:val="single"/>
        </w:rPr>
        <w:t xml:space="preserve"> certidões de matrículas foram inativadas em razão de eventos de remembramentos de registros, nos quais as certidões originais deixam de existir para dar origem a uma nova certidão, mediante a unificação de áreas, ou em decorrência da identificação de duplicidade de registros</w:t>
      </w:r>
      <w:r w:rsidRPr="008A1447">
        <w:t>.</w:t>
      </w:r>
    </w:p>
    <w:p w14:paraId="6F003E16" w14:textId="77777777" w:rsidR="008B6BEC" w:rsidRPr="008A1447" w:rsidRDefault="008B6BEC" w:rsidP="008B6BEC">
      <w:pPr>
        <w:pStyle w:val="1-CITAO"/>
      </w:pPr>
    </w:p>
    <w:p w14:paraId="775AC0CF" w14:textId="77777777" w:rsidR="008B6BEC" w:rsidRDefault="008B6BEC" w:rsidP="008B6BEC">
      <w:pPr>
        <w:pStyle w:val="1-CITAO"/>
      </w:pPr>
      <w:r w:rsidRPr="008A1447">
        <w:t xml:space="preserve">Ademais, </w:t>
      </w:r>
      <w:r w:rsidRPr="005368E9">
        <w:rPr>
          <w:u w:val="single"/>
        </w:rPr>
        <w:t xml:space="preserve">a comissão de Inventário da Secretaria de Estado Administração, não logrou êxito na localização de </w:t>
      </w:r>
      <w:r w:rsidRPr="00AD2853">
        <w:rPr>
          <w:b/>
          <w:u w:val="single"/>
        </w:rPr>
        <w:t>266</w:t>
      </w:r>
      <w:r w:rsidRPr="005368E9">
        <w:rPr>
          <w:u w:val="single"/>
        </w:rPr>
        <w:t xml:space="preserve"> certidões de matrículas referentes a imóveis de propriedade do Estado de Goiás</w:t>
      </w:r>
      <w:r w:rsidRPr="008A1447">
        <w:t>. Diversos fatores contribuíram para essa situação, sendo a imprecisão das informações constantes nas certidões o principal obstáculo que impossibilitou tais localizações. Cumpre ressaltar que foram empreendidos todos os esforços cabíveis, inclusive mediante pesquisas em cartórios municipais e realizações de pesquisa de campo, com o intuito de obter informações junto a indivíduos nos respectivos munícipios.</w:t>
      </w:r>
      <w:r>
        <w:t xml:space="preserve"> (grifos nossos)</w:t>
      </w:r>
    </w:p>
    <w:p w14:paraId="6FA3B7E9" w14:textId="77777777" w:rsidR="008B6BEC" w:rsidRDefault="008B6BEC" w:rsidP="008B6BEC">
      <w:pPr>
        <w:pStyle w:val="1-REL11"/>
      </w:pPr>
      <w:r>
        <w:t xml:space="preserve">A supracitada </w:t>
      </w:r>
      <w:r w:rsidRPr="00266AEE">
        <w:t>NE</w:t>
      </w:r>
      <w:r>
        <w:t xml:space="preserve"> informa que não foram encontradas as localizações (endereços) de 266 </w:t>
      </w:r>
      <w:r w:rsidRPr="00020085">
        <w:t>certidões de matrículas de imóveis de propriedade do Estado</w:t>
      </w:r>
      <w:r>
        <w:t>, portanto, uma a menos em relação ao exercício anterior e não deixa claro se essa redução trata-se de algum endereço encontrado.</w:t>
      </w:r>
    </w:p>
    <w:p w14:paraId="76D36971" w14:textId="77777777" w:rsidR="008B6BEC" w:rsidRDefault="008B6BEC" w:rsidP="008B6BEC">
      <w:pPr>
        <w:pStyle w:val="1-REL11"/>
      </w:pPr>
      <w:r>
        <w:t xml:space="preserve">Compulsando os lançamentos na conta </w:t>
      </w:r>
      <w:r w:rsidRPr="00020085">
        <w:t>1.2.3.2.1.99.05.01.00</w:t>
      </w:r>
      <w:r>
        <w:t xml:space="preserve"> – Bens Imóveis não Localizados, foi registrada a baixa do valor de R$ 13,03 milhões na UO 1801 – Sead, inferindo-se que esse registro seja relativo à localização pontual de um imóvel.</w:t>
      </w:r>
    </w:p>
    <w:p w14:paraId="2781015F" w14:textId="215FC4DE" w:rsidR="008B6BEC" w:rsidRDefault="008B6BEC" w:rsidP="008B6BEC">
      <w:pPr>
        <w:pStyle w:val="1-REL11"/>
      </w:pPr>
      <w:r>
        <w:t xml:space="preserve">Foi consultado, via SEI, </w:t>
      </w:r>
      <w:r w:rsidRPr="00266AEE">
        <w:t>o resultado dos trabalhos acerca do Processo Administrativo nº</w:t>
      </w:r>
      <w:r>
        <w:t> </w:t>
      </w:r>
      <w:r w:rsidRPr="00266AEE">
        <w:t xml:space="preserve">202200005023643, </w:t>
      </w:r>
      <w:r>
        <w:t xml:space="preserve">protocolado com a </w:t>
      </w:r>
      <w:r w:rsidRPr="0069789A">
        <w:t>suge</w:t>
      </w:r>
      <w:r>
        <w:t>stão de</w:t>
      </w:r>
      <w:r w:rsidRPr="0069789A">
        <w:t xml:space="preserve"> instituição de </w:t>
      </w:r>
      <w:r>
        <w:t xml:space="preserve">uma </w:t>
      </w:r>
      <w:r w:rsidRPr="0069789A">
        <w:t>comissão Intersecretarial com membros da Sea</w:t>
      </w:r>
      <w:r>
        <w:t>d</w:t>
      </w:r>
      <w:r w:rsidRPr="0069789A">
        <w:t>, PGE</w:t>
      </w:r>
      <w:r>
        <w:t xml:space="preserve"> </w:t>
      </w:r>
      <w:r w:rsidRPr="0069789A">
        <w:t xml:space="preserve">e CGE </w:t>
      </w:r>
      <w:r>
        <w:t>objetivando</w:t>
      </w:r>
      <w:r w:rsidRPr="0069789A">
        <w:t xml:space="preserve"> </w:t>
      </w:r>
      <w:r>
        <w:t>assegurar a completa identificação e registro das 267 certidões imobiliárias</w:t>
      </w:r>
      <w:r w:rsidRPr="00266AEE">
        <w:t xml:space="preserve"> de propriedade do </w:t>
      </w:r>
      <w:r>
        <w:t>e</w:t>
      </w:r>
      <w:r w:rsidRPr="00266AEE">
        <w:t>stado de Goiás, avaliadas em R$</w:t>
      </w:r>
      <w:r>
        <w:t> </w:t>
      </w:r>
      <w:r w:rsidRPr="00266AEE">
        <w:t>1</w:t>
      </w:r>
      <w:r>
        <w:t>,</w:t>
      </w:r>
      <w:r w:rsidRPr="00266AEE">
        <w:t>16</w:t>
      </w:r>
      <w:r w:rsidR="002436CE">
        <w:t> </w:t>
      </w:r>
      <w:r>
        <w:t>bilhão</w:t>
      </w:r>
      <w:r w:rsidRPr="00266AEE">
        <w:t xml:space="preserve">, bem como </w:t>
      </w:r>
      <w:r w:rsidRPr="0069789A">
        <w:t>apurar possíveis responsabilidades</w:t>
      </w:r>
      <w:r>
        <w:t xml:space="preserve"> e</w:t>
      </w:r>
      <w:r w:rsidRPr="00266AEE">
        <w:t xml:space="preserve"> a</w:t>
      </w:r>
      <w:r>
        <w:t>presentar a</w:t>
      </w:r>
      <w:r w:rsidRPr="00266AEE">
        <w:t xml:space="preserve"> conclusão </w:t>
      </w:r>
      <w:r>
        <w:t xml:space="preserve">final </w:t>
      </w:r>
      <w:r w:rsidRPr="00266AEE">
        <w:t xml:space="preserve">dos trabalhos </w:t>
      </w:r>
      <w:r>
        <w:t>de busca de identificação de endereços</w:t>
      </w:r>
      <w:r w:rsidRPr="00266AEE">
        <w:t>.</w:t>
      </w:r>
      <w:r>
        <w:t xml:space="preserve"> </w:t>
      </w:r>
      <w:r w:rsidRPr="00890AA4">
        <w:t>Porém, nada consta nesse processo (</w:t>
      </w:r>
      <w:r>
        <w:t>nº</w:t>
      </w:r>
      <w:r w:rsidR="002436CE">
        <w:t> </w:t>
      </w:r>
      <w:r w:rsidRPr="00890AA4">
        <w:t>202200005023643), não houve movimentação e nem ação empreendida pelos agentes.</w:t>
      </w:r>
    </w:p>
    <w:p w14:paraId="1B1E73F4" w14:textId="77777777" w:rsidR="008B6BEC" w:rsidRDefault="008B6BEC" w:rsidP="008B6BEC">
      <w:pPr>
        <w:pStyle w:val="1-REL11"/>
      </w:pPr>
      <w:r>
        <w:t>Diante disso, foram solicitadas maiores informações à Sead, que disponibilizou os arquivos (em formato PDF) das laudas que compõem o processo SEI nº </w:t>
      </w:r>
      <w:r w:rsidRPr="00807AF0">
        <w:t>202300005000699</w:t>
      </w:r>
      <w:r>
        <w:t xml:space="preserve">, </w:t>
      </w:r>
      <w:r w:rsidRPr="00807AF0">
        <w:t>o</w:t>
      </w:r>
      <w:r>
        <w:t>nde</w:t>
      </w:r>
      <w:r w:rsidRPr="00807AF0">
        <w:t xml:space="preserve"> </w:t>
      </w:r>
      <w:r>
        <w:t xml:space="preserve">tem </w:t>
      </w:r>
      <w:r w:rsidRPr="00807AF0">
        <w:t>s</w:t>
      </w:r>
      <w:r>
        <w:t>i</w:t>
      </w:r>
      <w:r w:rsidRPr="00807AF0">
        <w:t>do analisada a situação dos imóveis não localizados</w:t>
      </w:r>
      <w:r>
        <w:t>.</w:t>
      </w:r>
    </w:p>
    <w:p w14:paraId="7A531454" w14:textId="5CBBAE82" w:rsidR="008B6BEC" w:rsidRDefault="008B6BEC" w:rsidP="008B6BEC">
      <w:pPr>
        <w:pStyle w:val="1-REL11"/>
      </w:pPr>
      <w:r>
        <w:t>A Ata nº</w:t>
      </w:r>
      <w:r w:rsidR="002436CE">
        <w:t> </w:t>
      </w:r>
      <w:r>
        <w:t>01 da Reunião com o Grupo de Trabalho Balanço Patrimonial, que consta do processo supracitado, apresenta os trabalhos realizados pela Comissão e os diversos desafios encontrados pelos membros, destaca-se o relato de que a maioria das certidões de matrícula são da década de 40, que as informações são vagas não tendo parâmetros para que a equipe técnica localize com precisão a área e algumas dessas áreas estão perdidas em meio ao pasto de fazendas no interior do estado de Goiás.</w:t>
      </w:r>
    </w:p>
    <w:p w14:paraId="603FDFA9" w14:textId="303E2D6D" w:rsidR="008B6BEC" w:rsidRDefault="008B6BEC" w:rsidP="008B6BEC">
      <w:pPr>
        <w:pStyle w:val="1-REL11"/>
      </w:pPr>
      <w:r>
        <w:t>Com a leitura da Ata, depreende-se que os trabalhos não foram concluídos e não restou claro a definição dos próximos passos a serem empreendidos pela equipe na busca da solução de ter em mãos 266 certidões imobiliárias sob propriedade do Estado (</w:t>
      </w:r>
      <w:r w:rsidRPr="00266AEE">
        <w:t>R$</w:t>
      </w:r>
      <w:r>
        <w:t> </w:t>
      </w:r>
      <w:r w:rsidRPr="00266AEE">
        <w:t>1</w:t>
      </w:r>
      <w:r>
        <w:t>,</w:t>
      </w:r>
      <w:r w:rsidRPr="00266AEE">
        <w:t>1</w:t>
      </w:r>
      <w:r>
        <w:t>4</w:t>
      </w:r>
      <w:r w:rsidR="002436CE">
        <w:t> </w:t>
      </w:r>
      <w:r>
        <w:t>bilhão), sem identificação suficiente para registro no inventário patrimonial. Ressalta-se, porém, que o valor está contabilizado no Ativo do Estado (</w:t>
      </w:r>
      <w:r w:rsidRPr="00020085">
        <w:t>1.2.3.2.1.99.05.01.00</w:t>
      </w:r>
      <w:r>
        <w:t xml:space="preserve"> – Bens Imóveis não Localizados).</w:t>
      </w:r>
    </w:p>
    <w:p w14:paraId="0D744E0F" w14:textId="77777777" w:rsidR="008B6BEC" w:rsidRDefault="008B6BEC" w:rsidP="008B6BEC">
      <w:pPr>
        <w:pStyle w:val="1-REL11"/>
      </w:pPr>
      <w:r>
        <w:lastRenderedPageBreak/>
        <w:t xml:space="preserve">Apesar dos esforços empreendidos pela comissão e das justificativas decorrentes das limitações impostas pelos dados imprecisos das 266 certidões, encontra-se pendente a conclusão dos trabalhos, </w:t>
      </w:r>
      <w:r w:rsidRPr="00F00E12">
        <w:t>uma vez que não se esclareceu o tratamento que será dado a esses imóveis não localizados, se serão executados outros métodos na tentativa realista de localização dos mesmos ou se serão baixados da contabilidade do Estado. Ess</w:t>
      </w:r>
      <w:r>
        <w:t>a</w:t>
      </w:r>
      <w:r w:rsidRPr="00F00E12">
        <w:t xml:space="preserve"> situação já se arrasta há pelo menos 2 </w:t>
      </w:r>
      <w:r>
        <w:t>exercícios</w:t>
      </w:r>
      <w:r w:rsidRPr="00F00E12">
        <w:t xml:space="preserve">, </w:t>
      </w:r>
      <w:r>
        <w:t>pois</w:t>
      </w:r>
      <w:r w:rsidRPr="00F00E12">
        <w:t xml:space="preserve"> o inventário dos bens imóveis teve início em 2022.</w:t>
      </w:r>
    </w:p>
    <w:p w14:paraId="41E34BFF" w14:textId="77777777" w:rsidR="008B6BEC" w:rsidRDefault="008B6BEC" w:rsidP="008B6BEC">
      <w:pPr>
        <w:pStyle w:val="1-REL11"/>
      </w:pPr>
      <w:r w:rsidRPr="006C106C">
        <w:t xml:space="preserve">Sendo assim, em conformidade com as análises realizadas ficou evidenciada a seguinte </w:t>
      </w:r>
      <w:r>
        <w:t>distorção</w:t>
      </w:r>
      <w:r w:rsidRPr="006C106C">
        <w:t>:</w:t>
      </w:r>
    </w:p>
    <w:p w14:paraId="47E75878" w14:textId="1A40579C" w:rsidR="008B6BEC" w:rsidRPr="002A20DD" w:rsidRDefault="008B6BEC" w:rsidP="00E460D5">
      <w:pPr>
        <w:pStyle w:val="0-ACH-TIT"/>
      </w:pPr>
      <w:r>
        <w:t xml:space="preserve">&gt;&gt; </w:t>
      </w:r>
      <w:bookmarkStart w:id="444" w:name="_Hlk167262811"/>
      <w:r w:rsidR="00103D0F" w:rsidRPr="00103D0F">
        <w:t>Desconhecimento da localização de imóveis constante de 266 certidões imobiliárias</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8B6BEC" w:rsidRPr="00D45205" w14:paraId="6F26A88A" w14:textId="77777777" w:rsidTr="000C319C">
        <w:trPr>
          <w:trHeight w:val="629"/>
          <w:jc w:val="center"/>
        </w:trPr>
        <w:tc>
          <w:tcPr>
            <w:tcW w:w="6237" w:type="dxa"/>
            <w:vAlign w:val="center"/>
            <w:hideMark/>
          </w:tcPr>
          <w:p w14:paraId="1139BD7A" w14:textId="60F90D28" w:rsidR="008B6BEC" w:rsidRPr="00D546D5" w:rsidRDefault="00103D0F" w:rsidP="00D546D5">
            <w:pPr>
              <w:pStyle w:val="0-ACH-TXT"/>
            </w:pPr>
            <w:r w:rsidRPr="00103D0F">
              <w:t>Não localização de imóveis constantes de 266 certidões imobiliárias de propriedade do Estado.</w:t>
            </w:r>
          </w:p>
        </w:tc>
      </w:tr>
    </w:tbl>
    <w:p w14:paraId="38C7FF55" w14:textId="76769CFF" w:rsidR="00103D0F" w:rsidRDefault="00103D0F" w:rsidP="008B6BEC">
      <w:pPr>
        <w:pStyle w:val="1-REL11"/>
      </w:pPr>
      <w:r>
        <w:t xml:space="preserve">Portanto, sugere-se ao </w:t>
      </w:r>
      <w:r w:rsidRPr="00103D0F">
        <w:t>Tribunal de Contas do Estado de Goiás que determine ao Governo do Estado de Goiás, por meio da Secretaria de Estado da Administração, que apresente o Relatório Conclusivo da Comissão Intersecretarial (Sead, PGE e CGE)  quanto as providências adotadas para identificação, regularização, reconciliação contábil e/ou baixa dos bens imóveis constantes na relação das 266 certidões imobiliárias.</w:t>
      </w:r>
    </w:p>
    <w:bookmarkEnd w:id="444"/>
    <w:p w14:paraId="1CCB3B95" w14:textId="77777777" w:rsidR="008B6BEC" w:rsidRDefault="008B6BEC" w:rsidP="008B6BEC">
      <w:pPr>
        <w:pStyle w:val="Ttulo5"/>
        <w:spacing w:before="440" w:after="220"/>
      </w:pPr>
      <w:r>
        <w:t>Iquego</w:t>
      </w:r>
    </w:p>
    <w:p w14:paraId="3BB97DB9" w14:textId="03346B1E" w:rsidR="008B6BEC" w:rsidRDefault="008B6BEC" w:rsidP="008B6BEC">
      <w:pPr>
        <w:pStyle w:val="1-REL11"/>
      </w:pPr>
      <w:r w:rsidRPr="00265240">
        <w:t>No BGE 2023 (</w:t>
      </w:r>
      <w:r>
        <w:t>p</w:t>
      </w:r>
      <w:r w:rsidRPr="00265240">
        <w:t>rocesso nº</w:t>
      </w:r>
      <w:r w:rsidR="002436CE">
        <w:t> </w:t>
      </w:r>
      <w:r w:rsidRPr="00265240">
        <w:t xml:space="preserve">202300047001912, evento 21, </w:t>
      </w:r>
      <w:r w:rsidR="00CA6F24">
        <w:t xml:space="preserve">em seu </w:t>
      </w:r>
      <w:r w:rsidRPr="00265240">
        <w:t xml:space="preserve">item 3.3.1.2.5 Demonstrativo do Ativo Imobilizado e Intangível), foram encaminhados dados sobre os trabalhos efetuados relacionados ao Imobilizado estadual e a seguinte </w:t>
      </w:r>
      <w:r>
        <w:t>n</w:t>
      </w:r>
      <w:r w:rsidRPr="00265240">
        <w:t>ota:</w:t>
      </w:r>
    </w:p>
    <w:p w14:paraId="5618FDB2" w14:textId="6F46889B" w:rsidR="008B6BEC" w:rsidRDefault="008B6BEC" w:rsidP="008B6BEC">
      <w:pPr>
        <w:pStyle w:val="1-CITAO"/>
      </w:pPr>
      <w:r>
        <w:t>O valor negativo, evidenciado para o item “Instalações”, no valor de R$ 6,711</w:t>
      </w:r>
      <w:r w:rsidR="002436CE">
        <w:t> </w:t>
      </w:r>
      <w:r>
        <w:t>milhões, conforme Tabela 83, se deve a erro no registro de depreciação, por parte da Unidade Orçamentária 2890 – IQUEGO, conforme Nota Técnica nº 5/2024 – IQUEGO/CONT-18529.</w:t>
      </w:r>
    </w:p>
    <w:p w14:paraId="17C96730" w14:textId="77777777" w:rsidR="008B6BEC" w:rsidRDefault="008B6BEC" w:rsidP="008B6BEC">
      <w:pPr>
        <w:pStyle w:val="1-REL11"/>
      </w:pPr>
      <w:r>
        <w:t xml:space="preserve">A Iquego emitiu a </w:t>
      </w:r>
      <w:r w:rsidRPr="00F010A8">
        <w:t>Nota Técnica nº 5/2024 - IQUEGO/CONT-18529</w:t>
      </w:r>
      <w:r>
        <w:rPr>
          <w:rStyle w:val="Refdenotaderodap"/>
        </w:rPr>
        <w:footnoteReference w:id="25"/>
      </w:r>
      <w:r>
        <w:t>:</w:t>
      </w:r>
    </w:p>
    <w:p w14:paraId="248867E4" w14:textId="77777777" w:rsidR="008B6BEC" w:rsidRDefault="008B6BEC" w:rsidP="008B6BEC">
      <w:pPr>
        <w:pStyle w:val="1-CITAO"/>
      </w:pPr>
      <w:r>
        <w:t>[...]</w:t>
      </w:r>
    </w:p>
    <w:p w14:paraId="20066C4C" w14:textId="77777777" w:rsidR="008B6BEC" w:rsidRDefault="008B6BEC" w:rsidP="008B6BEC">
      <w:pPr>
        <w:pStyle w:val="1-CITAO"/>
      </w:pPr>
    </w:p>
    <w:p w14:paraId="31756A9D" w14:textId="3E3994C4" w:rsidR="008B6BEC" w:rsidRDefault="008B6BEC" w:rsidP="008B6BEC">
      <w:pPr>
        <w:pStyle w:val="1-CITAO"/>
      </w:pPr>
      <w:r>
        <w:t>Em 2021, ocorreu a alienação dos bens imóveis, após uma avaliação patrimonial que identificou através de Laudo de Avaliação Patrimonial a necessidade de registrar uma baixa no valor de $R</w:t>
      </w:r>
      <w:r w:rsidR="002436CE">
        <w:t> </w:t>
      </w:r>
      <w:r>
        <w:t>6.711.170,50 (Seis milhões, setecentos e onze mil, cento e setenta reais e cinquenta centavos), correspondente à depreciação dos imóveis e instalações.</w:t>
      </w:r>
    </w:p>
    <w:p w14:paraId="0087DC0F" w14:textId="77777777" w:rsidR="008B6BEC" w:rsidRDefault="008B6BEC" w:rsidP="008B6BEC">
      <w:pPr>
        <w:pStyle w:val="1-CITAO"/>
      </w:pPr>
      <w:r>
        <w:lastRenderedPageBreak/>
        <w:cr/>
        <w:t>[...]</w:t>
      </w:r>
    </w:p>
    <w:p w14:paraId="7711E8D0" w14:textId="77777777" w:rsidR="008B6BEC" w:rsidRDefault="008B6BEC" w:rsidP="008B6BEC">
      <w:pPr>
        <w:pStyle w:val="1-CITAO"/>
      </w:pPr>
    </w:p>
    <w:p w14:paraId="051D6AB4" w14:textId="77777777" w:rsidR="008B6BEC" w:rsidRDefault="008B6BEC" w:rsidP="008B6BEC">
      <w:pPr>
        <w:pStyle w:val="1-CITAO"/>
      </w:pPr>
      <w:r>
        <w:t>Após a revisão realizada em 2021 nos bens imóveis e instalações, foi identificada a necessidade de reverter a baixa, em resposta a uma ressalva destacada no Relatório dos Auditores Independentes. Essa reversão foi efetivada no final de 2022 na contabilidade societária, enquanto na contabilidade pública, a reversão só pôde ser realizada no exercício de 2023.</w:t>
      </w:r>
    </w:p>
    <w:p w14:paraId="54933310" w14:textId="77777777" w:rsidR="008B6BEC" w:rsidRDefault="008B6BEC" w:rsidP="008B6BEC">
      <w:pPr>
        <w:pStyle w:val="1-CITAO"/>
      </w:pPr>
    </w:p>
    <w:p w14:paraId="2E1AC514" w14:textId="77777777" w:rsidR="008B6BEC" w:rsidRDefault="008B6BEC" w:rsidP="008B6BEC">
      <w:pPr>
        <w:pStyle w:val="1-CITAO"/>
      </w:pPr>
      <w:r>
        <w:t xml:space="preserve">Durante o processo de lançamento da reversão da depreciação no Sistema de Contabilidade Governamental (SCG), </w:t>
      </w:r>
      <w:r w:rsidRPr="003D7BA2">
        <w:rPr>
          <w:u w:val="single"/>
        </w:rPr>
        <w:t>ocorreu um equívoco ao registrar a depreciação na conta de "Instalação"</w:t>
      </w:r>
      <w:r>
        <w:t xml:space="preserve">, inicialmente interpretada como uma conta de bens imóveis. Após uma análise mais detalhada, verificou-se que esta conta se refere, na verdade, aos bens móveis presentes nas instalações, como mesas, cadeiras, entre outros. É essencial destacar que a nomenclatura da conta foi corrigida e que, para o exercício de 2024, </w:t>
      </w:r>
      <w:r w:rsidRPr="003D7BA2">
        <w:rPr>
          <w:u w:val="single"/>
        </w:rPr>
        <w:t>foram tomadas as medidas necessárias para transferir adequadamente a depreciação para a conta correta no Sistema de Contabilidade de Goiás</w:t>
      </w:r>
      <w:r w:rsidRPr="00E8504E">
        <w:t>. (</w:t>
      </w:r>
      <w:r>
        <w:t>Grifos nossos)</w:t>
      </w:r>
    </w:p>
    <w:p w14:paraId="5407690E" w14:textId="77777777" w:rsidR="008B6BEC" w:rsidRDefault="008B6BEC" w:rsidP="008B6BEC">
      <w:pPr>
        <w:pStyle w:val="1-REL11"/>
      </w:pPr>
      <w:r>
        <w:t xml:space="preserve">A  Iquego reconhece a necessidade de tomar medidas para transferir a depreciação para a conta correta. No dia 06/05/2024, foi feita consulta no SCG, conta contábil </w:t>
      </w:r>
      <w:r w:rsidRPr="001F1640">
        <w:t>1.2.3.8.1.02.07.01.00</w:t>
      </w:r>
      <w:r>
        <w:t xml:space="preserve"> – Depreciação Acumulada de Instalações e foi constatado que o saldo negativo de R$ </w:t>
      </w:r>
      <w:r w:rsidRPr="001F1640">
        <w:t>6.711.170,50</w:t>
      </w:r>
      <w:r>
        <w:t xml:space="preserve"> permanecia inalterado.</w:t>
      </w:r>
    </w:p>
    <w:p w14:paraId="3B56214B" w14:textId="77777777" w:rsidR="008B6BEC" w:rsidRDefault="008B6BEC" w:rsidP="008B6BEC">
      <w:pPr>
        <w:pStyle w:val="1-REL11"/>
      </w:pPr>
      <w:r>
        <w:t xml:space="preserve">No dia 20/05/2024 foi consultado novamente o saldo da conta </w:t>
      </w:r>
      <w:r w:rsidRPr="001F1640">
        <w:t>1.2.3.8.1.02.07.01.00</w:t>
      </w:r>
      <w:r>
        <w:t xml:space="preserve"> – Depreciação Acumulada de Instalações e foram encontradas várias Notas de Lançamentos reclassificando o saldo. Tais lançamentos ocorreram com data retroativa, constando a data do lançamento como sendo o dia 30/04/2024.</w:t>
      </w:r>
    </w:p>
    <w:p w14:paraId="7248009A" w14:textId="77777777" w:rsidR="008B6BEC" w:rsidRDefault="008B6BEC" w:rsidP="008B6BEC">
      <w:pPr>
        <w:pStyle w:val="1-REL11"/>
      </w:pPr>
      <w:r>
        <w:t xml:space="preserve">Com isso, constata-se que a Iquego adotou providências no exercício de 2024 para corrigir o saldo negativo de </w:t>
      </w:r>
      <w:r w:rsidRPr="00A86067">
        <w:t>R$ 6.711.170,50 em Instalações (1.2.3.2.1.07.01.00.00 - Instalações e 1.2.3.8.1.02.07.01.00 – (-) Depreciação Acumulada de Instalações)</w:t>
      </w:r>
      <w:r>
        <w:t>, apesar do saldo em 31/12/2023 estar errado.</w:t>
      </w:r>
    </w:p>
    <w:bookmarkEnd w:id="355"/>
    <w:bookmarkEnd w:id="356"/>
    <w:p w14:paraId="4C66CF43" w14:textId="77777777" w:rsidR="006B0CD0" w:rsidRPr="00F576B8" w:rsidRDefault="006B0CD0" w:rsidP="00117967">
      <w:pPr>
        <w:pStyle w:val="Ttulo4"/>
        <w:rPr>
          <w:lang w:eastAsia="en-US"/>
        </w:rPr>
      </w:pPr>
      <w:r w:rsidRPr="00F576B8">
        <w:rPr>
          <w:lang w:eastAsia="en-US"/>
        </w:rPr>
        <w:t>Intangível</w:t>
      </w:r>
    </w:p>
    <w:p w14:paraId="78C33502" w14:textId="77777777" w:rsidR="003A6FB5" w:rsidRDefault="003A6FB5" w:rsidP="003A6FB5">
      <w:pPr>
        <w:pStyle w:val="1-REL11"/>
      </w:pPr>
      <w:bookmarkStart w:id="445" w:name="_Toc129942510"/>
      <w:r w:rsidRPr="00587662">
        <w:t>O Ativo Intangível compreende os direitos que tenham por objeto bens incorpóreos destinados a manutenção da entidade ou exercidos com essa finalidade</w:t>
      </w:r>
      <w:r>
        <w:t xml:space="preserve"> e estão representados na tabela abaixo:</w:t>
      </w:r>
    </w:p>
    <w:p w14:paraId="73D59665" w14:textId="561F9083" w:rsidR="003A6FB5" w:rsidRPr="0076796D" w:rsidRDefault="003A6FB5" w:rsidP="00ED3571">
      <w:pPr>
        <w:pStyle w:val="0-TABELA"/>
      </w:pPr>
      <w:bookmarkStart w:id="446" w:name="_Toc167871823"/>
      <w:r w:rsidRPr="0076796D">
        <w:t>Intangível</w:t>
      </w:r>
      <w:r w:rsidR="00026A4E">
        <w:t xml:space="preserve"> – 2023 x 2022</w:t>
      </w:r>
      <w:bookmarkEnd w:id="446"/>
    </w:p>
    <w:p w14:paraId="63F794E7" w14:textId="77777777" w:rsidR="003A6FB5" w:rsidRPr="00DC42FD" w:rsidRDefault="003A6FB5" w:rsidP="003A6FB5">
      <w:pPr>
        <w:pStyle w:val="0-EmR"/>
      </w:pPr>
      <w:r>
        <w:t>R$ mil</w:t>
      </w:r>
    </w:p>
    <w:tbl>
      <w:tblPr>
        <w:tblW w:w="5000" w:type="pct"/>
        <w:tblCellMar>
          <w:left w:w="70" w:type="dxa"/>
          <w:right w:w="70" w:type="dxa"/>
        </w:tblCellMar>
        <w:tblLook w:val="04A0" w:firstRow="1" w:lastRow="0" w:firstColumn="1" w:lastColumn="0" w:noHBand="0" w:noVBand="1"/>
      </w:tblPr>
      <w:tblGrid>
        <w:gridCol w:w="3662"/>
        <w:gridCol w:w="1157"/>
        <w:gridCol w:w="710"/>
        <w:gridCol w:w="996"/>
        <w:gridCol w:w="705"/>
        <w:gridCol w:w="1129"/>
        <w:gridCol w:w="989"/>
      </w:tblGrid>
      <w:tr w:rsidR="00E36F55" w:rsidRPr="006D5B62" w14:paraId="28AFB7A7" w14:textId="77777777" w:rsidTr="009432A1">
        <w:trPr>
          <w:trHeight w:val="255"/>
          <w:tblHeader/>
        </w:trPr>
        <w:tc>
          <w:tcPr>
            <w:tcW w:w="1958" w:type="pct"/>
            <w:vMerge w:val="restart"/>
            <w:tcBorders>
              <w:top w:val="single" w:sz="4" w:space="0" w:color="auto"/>
              <w:left w:val="nil"/>
              <w:bottom w:val="single" w:sz="4" w:space="0" w:color="auto"/>
              <w:right w:val="single" w:sz="4" w:space="0" w:color="auto"/>
            </w:tcBorders>
            <w:shd w:val="clear" w:color="auto" w:fill="A1F2FD"/>
            <w:vAlign w:val="center"/>
            <w:hideMark/>
          </w:tcPr>
          <w:p w14:paraId="2C1857A2" w14:textId="77777777" w:rsidR="00E36F55" w:rsidRPr="006D5B62" w:rsidRDefault="00E36F55" w:rsidP="003A6FB5">
            <w:pPr>
              <w:jc w:val="center"/>
              <w:rPr>
                <w:rFonts w:cs="Arial"/>
                <w:b/>
                <w:bCs/>
                <w:color w:val="000000"/>
                <w:sz w:val="18"/>
                <w:szCs w:val="18"/>
              </w:rPr>
            </w:pPr>
            <w:r w:rsidRPr="006D5B62">
              <w:rPr>
                <w:rFonts w:cs="Arial"/>
                <w:b/>
                <w:bCs/>
                <w:color w:val="000000"/>
                <w:sz w:val="18"/>
                <w:szCs w:val="18"/>
              </w:rPr>
              <w:t>Composição</w:t>
            </w:r>
          </w:p>
        </w:tc>
        <w:tc>
          <w:tcPr>
            <w:tcW w:w="619"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3CE6A30A" w14:textId="77777777" w:rsidR="00E36F55" w:rsidRPr="006D5B62" w:rsidRDefault="00E36F55" w:rsidP="003A6FB5">
            <w:pPr>
              <w:jc w:val="center"/>
              <w:rPr>
                <w:rFonts w:cs="Arial"/>
                <w:b/>
                <w:bCs/>
                <w:color w:val="000000"/>
                <w:sz w:val="18"/>
                <w:szCs w:val="18"/>
              </w:rPr>
            </w:pPr>
            <w:r w:rsidRPr="006D5B62">
              <w:rPr>
                <w:rFonts w:cs="Arial"/>
                <w:b/>
                <w:bCs/>
                <w:color w:val="000000"/>
                <w:sz w:val="18"/>
                <w:szCs w:val="18"/>
              </w:rPr>
              <w:t>2023</w:t>
            </w:r>
          </w:p>
        </w:tc>
        <w:tc>
          <w:tcPr>
            <w:tcW w:w="380" w:type="pct"/>
            <w:vMerge w:val="restart"/>
            <w:tcBorders>
              <w:top w:val="single" w:sz="4" w:space="0" w:color="auto"/>
              <w:left w:val="nil"/>
              <w:right w:val="single" w:sz="4" w:space="0" w:color="auto"/>
            </w:tcBorders>
            <w:shd w:val="clear" w:color="auto" w:fill="A1F2FD"/>
            <w:vAlign w:val="center"/>
            <w:hideMark/>
          </w:tcPr>
          <w:p w14:paraId="33B30D74" w14:textId="77777777" w:rsidR="00FC7E7A" w:rsidRPr="006D5B62" w:rsidRDefault="00E36F55" w:rsidP="003A6FB5">
            <w:pPr>
              <w:jc w:val="center"/>
              <w:rPr>
                <w:rFonts w:cs="Arial"/>
                <w:b/>
                <w:bCs/>
                <w:color w:val="000000"/>
                <w:sz w:val="18"/>
                <w:szCs w:val="18"/>
              </w:rPr>
            </w:pPr>
            <w:r w:rsidRPr="006D5B62">
              <w:rPr>
                <w:rFonts w:cs="Arial"/>
                <w:b/>
                <w:bCs/>
                <w:color w:val="000000"/>
                <w:sz w:val="18"/>
                <w:szCs w:val="18"/>
              </w:rPr>
              <w:t xml:space="preserve">AV 2023 </w:t>
            </w:r>
          </w:p>
          <w:p w14:paraId="77099185" w14:textId="4EEB4B42" w:rsidR="00E36F55" w:rsidRPr="006D5B62" w:rsidRDefault="00E36F55" w:rsidP="003A6FB5">
            <w:pPr>
              <w:jc w:val="center"/>
              <w:rPr>
                <w:rFonts w:cs="Arial"/>
                <w:b/>
                <w:bCs/>
                <w:color w:val="000000"/>
                <w:sz w:val="18"/>
                <w:szCs w:val="18"/>
              </w:rPr>
            </w:pPr>
            <w:r w:rsidRPr="006D5B62">
              <w:rPr>
                <w:rFonts w:cs="Arial"/>
                <w:b/>
                <w:bCs/>
                <w:color w:val="000000"/>
                <w:sz w:val="18"/>
                <w:szCs w:val="18"/>
              </w:rPr>
              <w:t>%</w:t>
            </w:r>
          </w:p>
        </w:tc>
        <w:tc>
          <w:tcPr>
            <w:tcW w:w="533"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452081D1" w14:textId="77777777" w:rsidR="00E36F55" w:rsidRPr="006D5B62" w:rsidRDefault="00E36F55" w:rsidP="003A6FB5">
            <w:pPr>
              <w:jc w:val="center"/>
              <w:rPr>
                <w:rFonts w:cs="Arial"/>
                <w:b/>
                <w:bCs/>
                <w:color w:val="000000"/>
                <w:sz w:val="18"/>
                <w:szCs w:val="18"/>
              </w:rPr>
            </w:pPr>
            <w:r w:rsidRPr="006D5B62">
              <w:rPr>
                <w:rFonts w:cs="Arial"/>
                <w:b/>
                <w:bCs/>
                <w:color w:val="000000"/>
                <w:sz w:val="18"/>
                <w:szCs w:val="18"/>
              </w:rPr>
              <w:t>2022</w:t>
            </w:r>
          </w:p>
        </w:tc>
        <w:tc>
          <w:tcPr>
            <w:tcW w:w="377" w:type="pct"/>
            <w:vMerge w:val="restart"/>
            <w:tcBorders>
              <w:top w:val="single" w:sz="4" w:space="0" w:color="auto"/>
              <w:left w:val="nil"/>
              <w:right w:val="single" w:sz="4" w:space="0" w:color="auto"/>
            </w:tcBorders>
            <w:shd w:val="clear" w:color="auto" w:fill="A1F2FD"/>
            <w:vAlign w:val="center"/>
            <w:hideMark/>
          </w:tcPr>
          <w:p w14:paraId="5B678B1A" w14:textId="77777777" w:rsidR="00FC7E7A" w:rsidRPr="006D5B62" w:rsidRDefault="00E36F55" w:rsidP="0099185A">
            <w:pPr>
              <w:jc w:val="center"/>
              <w:rPr>
                <w:rFonts w:cs="Arial"/>
                <w:b/>
                <w:bCs/>
                <w:color w:val="000000"/>
                <w:sz w:val="18"/>
                <w:szCs w:val="18"/>
              </w:rPr>
            </w:pPr>
            <w:r w:rsidRPr="006D5B62">
              <w:rPr>
                <w:rFonts w:cs="Arial"/>
                <w:b/>
                <w:bCs/>
                <w:color w:val="000000"/>
                <w:sz w:val="18"/>
                <w:szCs w:val="18"/>
              </w:rPr>
              <w:t xml:space="preserve">AV 2022 </w:t>
            </w:r>
          </w:p>
          <w:p w14:paraId="0B211B5A" w14:textId="52BA980A" w:rsidR="00E36F55" w:rsidRPr="006D5B62" w:rsidRDefault="00E36F55" w:rsidP="003A6FB5">
            <w:pPr>
              <w:jc w:val="center"/>
              <w:rPr>
                <w:rFonts w:cs="Arial"/>
                <w:b/>
                <w:bCs/>
                <w:color w:val="000000"/>
                <w:sz w:val="18"/>
                <w:szCs w:val="18"/>
              </w:rPr>
            </w:pPr>
            <w:r w:rsidRPr="006D5B62">
              <w:rPr>
                <w:rFonts w:cs="Arial"/>
                <w:b/>
                <w:bCs/>
                <w:color w:val="000000"/>
                <w:sz w:val="18"/>
                <w:szCs w:val="18"/>
              </w:rPr>
              <w:t>%</w:t>
            </w:r>
          </w:p>
        </w:tc>
        <w:tc>
          <w:tcPr>
            <w:tcW w:w="1133" w:type="pct"/>
            <w:gridSpan w:val="2"/>
            <w:tcBorders>
              <w:top w:val="single" w:sz="4" w:space="0" w:color="auto"/>
              <w:left w:val="nil"/>
              <w:bottom w:val="single" w:sz="4" w:space="0" w:color="auto"/>
              <w:right w:val="single" w:sz="4" w:space="0" w:color="auto"/>
            </w:tcBorders>
            <w:shd w:val="clear" w:color="auto" w:fill="A1F2FD"/>
            <w:vAlign w:val="center"/>
            <w:hideMark/>
          </w:tcPr>
          <w:p w14:paraId="1022F8CE" w14:textId="553BCCAB" w:rsidR="00E36F55" w:rsidRPr="006D5B62" w:rsidRDefault="00E36F55" w:rsidP="003A6FB5">
            <w:pPr>
              <w:jc w:val="center"/>
              <w:rPr>
                <w:rFonts w:cs="Arial"/>
                <w:b/>
                <w:bCs/>
                <w:color w:val="000000"/>
                <w:sz w:val="18"/>
                <w:szCs w:val="18"/>
              </w:rPr>
            </w:pPr>
            <w:r w:rsidRPr="006D5B62">
              <w:rPr>
                <w:rFonts w:cs="Arial"/>
                <w:b/>
                <w:bCs/>
                <w:color w:val="000000"/>
                <w:sz w:val="18"/>
                <w:szCs w:val="18"/>
              </w:rPr>
              <w:t>∆ 2023 x 2022</w:t>
            </w:r>
          </w:p>
        </w:tc>
      </w:tr>
      <w:tr w:rsidR="00E36F55" w:rsidRPr="006D5B62" w14:paraId="257652EC" w14:textId="77777777" w:rsidTr="009432A1">
        <w:trPr>
          <w:trHeight w:val="255"/>
          <w:tblHeader/>
        </w:trPr>
        <w:tc>
          <w:tcPr>
            <w:tcW w:w="1958" w:type="pct"/>
            <w:vMerge/>
            <w:tcBorders>
              <w:top w:val="single" w:sz="4" w:space="0" w:color="auto"/>
              <w:left w:val="nil"/>
              <w:bottom w:val="single" w:sz="4" w:space="0" w:color="auto"/>
              <w:right w:val="single" w:sz="4" w:space="0" w:color="auto"/>
            </w:tcBorders>
            <w:shd w:val="clear" w:color="auto" w:fill="A1F2FD"/>
            <w:vAlign w:val="center"/>
          </w:tcPr>
          <w:p w14:paraId="4416EF09" w14:textId="77777777" w:rsidR="00E36F55" w:rsidRPr="006D5B62" w:rsidRDefault="00E36F55" w:rsidP="003A6FB5">
            <w:pPr>
              <w:jc w:val="left"/>
              <w:rPr>
                <w:rFonts w:cs="Arial"/>
                <w:b/>
                <w:bCs/>
                <w:color w:val="000000"/>
                <w:sz w:val="18"/>
                <w:szCs w:val="18"/>
              </w:rPr>
            </w:pPr>
          </w:p>
        </w:tc>
        <w:tc>
          <w:tcPr>
            <w:tcW w:w="619" w:type="pct"/>
            <w:vMerge/>
            <w:tcBorders>
              <w:top w:val="single" w:sz="4" w:space="0" w:color="auto"/>
              <w:left w:val="single" w:sz="4" w:space="0" w:color="auto"/>
              <w:right w:val="single" w:sz="4" w:space="0" w:color="auto"/>
            </w:tcBorders>
            <w:shd w:val="clear" w:color="auto" w:fill="A1F2FD"/>
            <w:vAlign w:val="center"/>
          </w:tcPr>
          <w:p w14:paraId="3EDCFF37" w14:textId="77777777" w:rsidR="00E36F55" w:rsidRPr="006D5B62" w:rsidRDefault="00E36F55" w:rsidP="003A6FB5">
            <w:pPr>
              <w:jc w:val="left"/>
              <w:rPr>
                <w:rFonts w:cs="Arial"/>
                <w:b/>
                <w:bCs/>
                <w:color w:val="000000"/>
                <w:sz w:val="18"/>
                <w:szCs w:val="18"/>
              </w:rPr>
            </w:pPr>
          </w:p>
        </w:tc>
        <w:tc>
          <w:tcPr>
            <w:tcW w:w="380" w:type="pct"/>
            <w:vMerge/>
            <w:tcBorders>
              <w:left w:val="nil"/>
              <w:right w:val="single" w:sz="4" w:space="0" w:color="auto"/>
            </w:tcBorders>
            <w:shd w:val="clear" w:color="auto" w:fill="A1F2FD"/>
            <w:vAlign w:val="center"/>
          </w:tcPr>
          <w:p w14:paraId="3F37BDBE" w14:textId="77777777" w:rsidR="00E36F55" w:rsidRPr="006D5B62" w:rsidRDefault="00E36F55" w:rsidP="003A6FB5">
            <w:pPr>
              <w:jc w:val="center"/>
              <w:rPr>
                <w:rFonts w:cs="Arial"/>
                <w:b/>
                <w:bCs/>
                <w:color w:val="000000"/>
                <w:sz w:val="18"/>
                <w:szCs w:val="18"/>
              </w:rPr>
            </w:pPr>
          </w:p>
        </w:tc>
        <w:tc>
          <w:tcPr>
            <w:tcW w:w="533" w:type="pct"/>
            <w:vMerge/>
            <w:tcBorders>
              <w:top w:val="single" w:sz="4" w:space="0" w:color="auto"/>
              <w:left w:val="single" w:sz="4" w:space="0" w:color="auto"/>
              <w:right w:val="single" w:sz="4" w:space="0" w:color="auto"/>
            </w:tcBorders>
            <w:shd w:val="clear" w:color="auto" w:fill="A1F2FD"/>
            <w:vAlign w:val="center"/>
          </w:tcPr>
          <w:p w14:paraId="5876F6EB" w14:textId="77777777" w:rsidR="00E36F55" w:rsidRPr="006D5B62" w:rsidRDefault="00E36F55" w:rsidP="003A6FB5">
            <w:pPr>
              <w:jc w:val="left"/>
              <w:rPr>
                <w:rFonts w:cs="Arial"/>
                <w:b/>
                <w:bCs/>
                <w:color w:val="000000"/>
                <w:sz w:val="18"/>
                <w:szCs w:val="18"/>
              </w:rPr>
            </w:pPr>
          </w:p>
        </w:tc>
        <w:tc>
          <w:tcPr>
            <w:tcW w:w="377" w:type="pct"/>
            <w:vMerge/>
            <w:tcBorders>
              <w:left w:val="nil"/>
              <w:right w:val="single" w:sz="4" w:space="0" w:color="auto"/>
            </w:tcBorders>
            <w:shd w:val="clear" w:color="auto" w:fill="A1F2FD"/>
            <w:vAlign w:val="center"/>
          </w:tcPr>
          <w:p w14:paraId="66EB677E" w14:textId="77777777" w:rsidR="00E36F55" w:rsidRPr="006D5B62" w:rsidRDefault="00E36F55" w:rsidP="003A6FB5">
            <w:pPr>
              <w:jc w:val="center"/>
              <w:rPr>
                <w:rFonts w:cs="Arial"/>
                <w:b/>
                <w:bCs/>
                <w:color w:val="000000"/>
                <w:sz w:val="18"/>
                <w:szCs w:val="18"/>
              </w:rPr>
            </w:pPr>
          </w:p>
        </w:tc>
        <w:tc>
          <w:tcPr>
            <w:tcW w:w="604" w:type="pct"/>
            <w:tcBorders>
              <w:top w:val="nil"/>
              <w:left w:val="nil"/>
              <w:right w:val="single" w:sz="4" w:space="0" w:color="auto"/>
            </w:tcBorders>
            <w:shd w:val="clear" w:color="auto" w:fill="A1F2FD"/>
            <w:vAlign w:val="center"/>
          </w:tcPr>
          <w:p w14:paraId="6FEE299B" w14:textId="660BC443" w:rsidR="00E36F55" w:rsidRPr="006D5B62" w:rsidRDefault="00E36F55" w:rsidP="003A6FB5">
            <w:pPr>
              <w:jc w:val="center"/>
              <w:rPr>
                <w:rFonts w:cs="Arial"/>
                <w:b/>
                <w:bCs/>
                <w:color w:val="000000"/>
                <w:sz w:val="18"/>
                <w:szCs w:val="18"/>
              </w:rPr>
            </w:pPr>
            <w:r w:rsidRPr="006D5B62">
              <w:rPr>
                <w:rFonts w:cs="Arial"/>
                <w:b/>
                <w:bCs/>
                <w:color w:val="000000"/>
                <w:sz w:val="18"/>
                <w:szCs w:val="18"/>
              </w:rPr>
              <w:t>R$</w:t>
            </w:r>
          </w:p>
        </w:tc>
        <w:tc>
          <w:tcPr>
            <w:tcW w:w="529" w:type="pct"/>
            <w:tcBorders>
              <w:top w:val="nil"/>
              <w:left w:val="nil"/>
              <w:right w:val="nil"/>
            </w:tcBorders>
            <w:shd w:val="clear" w:color="auto" w:fill="A1F2FD"/>
            <w:vAlign w:val="center"/>
          </w:tcPr>
          <w:p w14:paraId="1EBF2189" w14:textId="307E9510" w:rsidR="00E36F55" w:rsidRPr="006D5B62" w:rsidRDefault="00E36F55" w:rsidP="003A6FB5">
            <w:pPr>
              <w:jc w:val="center"/>
              <w:rPr>
                <w:rFonts w:cs="Arial"/>
                <w:b/>
                <w:bCs/>
                <w:color w:val="000000"/>
                <w:sz w:val="18"/>
                <w:szCs w:val="18"/>
              </w:rPr>
            </w:pPr>
            <w:r w:rsidRPr="006D5B62">
              <w:rPr>
                <w:rFonts w:cs="Arial"/>
                <w:b/>
                <w:bCs/>
                <w:color w:val="000000"/>
                <w:sz w:val="18"/>
                <w:szCs w:val="18"/>
              </w:rPr>
              <w:t>%</w:t>
            </w:r>
          </w:p>
        </w:tc>
      </w:tr>
      <w:tr w:rsidR="00E36F55" w:rsidRPr="006D5B62" w14:paraId="5B066BA8" w14:textId="77777777" w:rsidTr="009432A1">
        <w:trPr>
          <w:trHeight w:val="255"/>
          <w:tblHeader/>
        </w:trPr>
        <w:tc>
          <w:tcPr>
            <w:tcW w:w="1958" w:type="pct"/>
            <w:vMerge/>
            <w:tcBorders>
              <w:top w:val="single" w:sz="4" w:space="0" w:color="auto"/>
              <w:left w:val="nil"/>
              <w:bottom w:val="single" w:sz="4" w:space="0" w:color="auto"/>
              <w:right w:val="single" w:sz="4" w:space="0" w:color="auto"/>
            </w:tcBorders>
            <w:shd w:val="clear" w:color="auto" w:fill="A1F2FD"/>
            <w:vAlign w:val="center"/>
            <w:hideMark/>
          </w:tcPr>
          <w:p w14:paraId="782539B6" w14:textId="77777777" w:rsidR="003A6FB5" w:rsidRPr="006D5B62" w:rsidRDefault="003A6FB5" w:rsidP="003A6FB5">
            <w:pPr>
              <w:jc w:val="left"/>
              <w:rPr>
                <w:rFonts w:cs="Arial"/>
                <w:b/>
                <w:bCs/>
                <w:color w:val="000000"/>
                <w:sz w:val="18"/>
                <w:szCs w:val="18"/>
              </w:rPr>
            </w:pPr>
          </w:p>
        </w:tc>
        <w:tc>
          <w:tcPr>
            <w:tcW w:w="619" w:type="pct"/>
            <w:tcBorders>
              <w:left w:val="single" w:sz="4" w:space="0" w:color="auto"/>
              <w:bottom w:val="single" w:sz="4" w:space="0" w:color="auto"/>
              <w:right w:val="single" w:sz="4" w:space="0" w:color="auto"/>
            </w:tcBorders>
            <w:shd w:val="clear" w:color="auto" w:fill="A1F2FD"/>
            <w:vAlign w:val="center"/>
            <w:hideMark/>
          </w:tcPr>
          <w:p w14:paraId="4723F639" w14:textId="22DCF26A" w:rsidR="003A6FB5" w:rsidRPr="006D5B62" w:rsidRDefault="00E36F55" w:rsidP="003A6FB5">
            <w:pPr>
              <w:jc w:val="center"/>
              <w:rPr>
                <w:rFonts w:cs="Arial"/>
                <w:b/>
                <w:bCs/>
                <w:color w:val="000000"/>
                <w:sz w:val="18"/>
                <w:szCs w:val="18"/>
              </w:rPr>
            </w:pPr>
            <w:r w:rsidRPr="006D5B62">
              <w:rPr>
                <w:rFonts w:cs="Arial"/>
                <w:b/>
                <w:bCs/>
                <w:color w:val="000000"/>
                <w:sz w:val="18"/>
                <w:szCs w:val="18"/>
              </w:rPr>
              <w:t>(a)</w:t>
            </w:r>
          </w:p>
        </w:tc>
        <w:tc>
          <w:tcPr>
            <w:tcW w:w="380" w:type="pct"/>
            <w:tcBorders>
              <w:left w:val="nil"/>
              <w:bottom w:val="single" w:sz="4" w:space="0" w:color="auto"/>
              <w:right w:val="single" w:sz="4" w:space="0" w:color="auto"/>
            </w:tcBorders>
            <w:shd w:val="clear" w:color="auto" w:fill="A1F2FD"/>
            <w:vAlign w:val="center"/>
            <w:hideMark/>
          </w:tcPr>
          <w:p w14:paraId="49A9D354" w14:textId="6B71FA0C" w:rsidR="003A6FB5" w:rsidRPr="006D5B62" w:rsidRDefault="00E36F55" w:rsidP="003A6FB5">
            <w:pPr>
              <w:jc w:val="center"/>
              <w:rPr>
                <w:rFonts w:cs="Arial"/>
                <w:b/>
                <w:bCs/>
                <w:color w:val="000000"/>
                <w:sz w:val="18"/>
                <w:szCs w:val="18"/>
              </w:rPr>
            </w:pPr>
            <w:r w:rsidRPr="006D5B62">
              <w:rPr>
                <w:rFonts w:cs="Arial"/>
                <w:b/>
                <w:bCs/>
                <w:color w:val="000000"/>
                <w:sz w:val="18"/>
                <w:szCs w:val="18"/>
              </w:rPr>
              <w:t>(b)</w:t>
            </w:r>
          </w:p>
        </w:tc>
        <w:tc>
          <w:tcPr>
            <w:tcW w:w="533" w:type="pct"/>
            <w:tcBorders>
              <w:left w:val="single" w:sz="4" w:space="0" w:color="auto"/>
              <w:bottom w:val="single" w:sz="4" w:space="0" w:color="auto"/>
              <w:right w:val="single" w:sz="4" w:space="0" w:color="auto"/>
            </w:tcBorders>
            <w:shd w:val="clear" w:color="auto" w:fill="A1F2FD"/>
            <w:vAlign w:val="center"/>
            <w:hideMark/>
          </w:tcPr>
          <w:p w14:paraId="131D2991" w14:textId="6D9F0487" w:rsidR="003A6FB5" w:rsidRPr="006D5B62" w:rsidRDefault="00E36F55" w:rsidP="003A6FB5">
            <w:pPr>
              <w:jc w:val="center"/>
              <w:rPr>
                <w:rFonts w:cs="Arial"/>
                <w:b/>
                <w:bCs/>
                <w:color w:val="000000"/>
                <w:sz w:val="18"/>
                <w:szCs w:val="18"/>
              </w:rPr>
            </w:pPr>
            <w:r w:rsidRPr="006D5B62">
              <w:rPr>
                <w:rFonts w:cs="Arial"/>
                <w:b/>
                <w:bCs/>
                <w:color w:val="000000"/>
                <w:sz w:val="18"/>
                <w:szCs w:val="18"/>
              </w:rPr>
              <w:t>(c)</w:t>
            </w:r>
          </w:p>
        </w:tc>
        <w:tc>
          <w:tcPr>
            <w:tcW w:w="377" w:type="pct"/>
            <w:tcBorders>
              <w:left w:val="nil"/>
              <w:bottom w:val="single" w:sz="4" w:space="0" w:color="auto"/>
              <w:right w:val="single" w:sz="4" w:space="0" w:color="auto"/>
            </w:tcBorders>
            <w:shd w:val="clear" w:color="auto" w:fill="A1F2FD"/>
            <w:vAlign w:val="center"/>
            <w:hideMark/>
          </w:tcPr>
          <w:p w14:paraId="60D0504D" w14:textId="1C4D7D14" w:rsidR="003A6FB5" w:rsidRPr="006D5B62" w:rsidRDefault="00E36F55" w:rsidP="003A6FB5">
            <w:pPr>
              <w:jc w:val="center"/>
              <w:rPr>
                <w:rFonts w:cs="Arial"/>
                <w:b/>
                <w:bCs/>
                <w:color w:val="000000"/>
                <w:sz w:val="18"/>
                <w:szCs w:val="18"/>
              </w:rPr>
            </w:pPr>
            <w:r w:rsidRPr="006D5B62">
              <w:rPr>
                <w:rFonts w:cs="Arial"/>
                <w:b/>
                <w:bCs/>
                <w:color w:val="000000"/>
                <w:sz w:val="18"/>
                <w:szCs w:val="18"/>
              </w:rPr>
              <w:t>(d)</w:t>
            </w:r>
          </w:p>
        </w:tc>
        <w:tc>
          <w:tcPr>
            <w:tcW w:w="604" w:type="pct"/>
            <w:tcBorders>
              <w:left w:val="nil"/>
              <w:bottom w:val="single" w:sz="4" w:space="0" w:color="auto"/>
              <w:right w:val="single" w:sz="4" w:space="0" w:color="auto"/>
            </w:tcBorders>
            <w:shd w:val="clear" w:color="auto" w:fill="A1F2FD"/>
            <w:vAlign w:val="center"/>
            <w:hideMark/>
          </w:tcPr>
          <w:p w14:paraId="32A595C1" w14:textId="21494CC4" w:rsidR="003A6FB5" w:rsidRPr="006D5B62" w:rsidRDefault="00E36F55" w:rsidP="00E36F55">
            <w:pPr>
              <w:ind w:left="-107" w:right="-117"/>
              <w:jc w:val="center"/>
              <w:rPr>
                <w:rFonts w:cs="Arial"/>
                <w:b/>
                <w:bCs/>
                <w:color w:val="000000"/>
                <w:sz w:val="18"/>
                <w:szCs w:val="18"/>
              </w:rPr>
            </w:pPr>
            <w:r w:rsidRPr="006D5B62">
              <w:rPr>
                <w:rFonts w:cs="Arial"/>
                <w:b/>
                <w:bCs/>
                <w:color w:val="000000"/>
                <w:sz w:val="18"/>
                <w:szCs w:val="18"/>
              </w:rPr>
              <w:t>(e) = (a-</w:t>
            </w:r>
            <w:r w:rsidR="000A561C">
              <w:rPr>
                <w:rFonts w:cs="Arial"/>
                <w:b/>
                <w:bCs/>
                <w:color w:val="000000"/>
                <w:sz w:val="18"/>
                <w:szCs w:val="18"/>
              </w:rPr>
              <w:t>c</w:t>
            </w:r>
            <w:r w:rsidRPr="006D5B62">
              <w:rPr>
                <w:rFonts w:cs="Arial"/>
                <w:b/>
                <w:bCs/>
                <w:color w:val="000000"/>
                <w:sz w:val="18"/>
                <w:szCs w:val="18"/>
              </w:rPr>
              <w:t>)</w:t>
            </w:r>
          </w:p>
        </w:tc>
        <w:tc>
          <w:tcPr>
            <w:tcW w:w="529" w:type="pct"/>
            <w:tcBorders>
              <w:left w:val="nil"/>
              <w:bottom w:val="single" w:sz="4" w:space="0" w:color="auto"/>
              <w:right w:val="nil"/>
            </w:tcBorders>
            <w:shd w:val="clear" w:color="auto" w:fill="A1F2FD"/>
            <w:vAlign w:val="center"/>
            <w:hideMark/>
          </w:tcPr>
          <w:p w14:paraId="156EE9A7" w14:textId="02B8AA0F" w:rsidR="00E36F55" w:rsidRPr="006D5B62" w:rsidRDefault="00E36F55" w:rsidP="00E36F55">
            <w:pPr>
              <w:ind w:left="-75" w:right="-76"/>
              <w:jc w:val="center"/>
              <w:rPr>
                <w:rFonts w:cs="Arial"/>
                <w:b/>
                <w:bCs/>
                <w:color w:val="000000"/>
                <w:sz w:val="18"/>
                <w:szCs w:val="18"/>
              </w:rPr>
            </w:pPr>
            <w:r w:rsidRPr="006D5B62">
              <w:rPr>
                <w:rFonts w:cs="Arial"/>
                <w:b/>
                <w:bCs/>
                <w:color w:val="000000"/>
                <w:sz w:val="18"/>
                <w:szCs w:val="18"/>
              </w:rPr>
              <w:t>(f) = (e/c)</w:t>
            </w:r>
          </w:p>
        </w:tc>
      </w:tr>
      <w:tr w:rsidR="003A6FB5" w:rsidRPr="006D5B62" w14:paraId="00CABB03" w14:textId="77777777" w:rsidTr="0099185A">
        <w:trPr>
          <w:trHeight w:val="255"/>
        </w:trPr>
        <w:tc>
          <w:tcPr>
            <w:tcW w:w="1958" w:type="pct"/>
            <w:tcBorders>
              <w:top w:val="nil"/>
              <w:left w:val="nil"/>
              <w:bottom w:val="nil"/>
              <w:right w:val="single" w:sz="4" w:space="0" w:color="auto"/>
            </w:tcBorders>
            <w:shd w:val="clear" w:color="auto" w:fill="auto"/>
            <w:noWrap/>
            <w:vAlign w:val="center"/>
            <w:hideMark/>
          </w:tcPr>
          <w:p w14:paraId="205CEA85" w14:textId="77777777" w:rsidR="003A6FB5" w:rsidRPr="006D5B62" w:rsidRDefault="003A6FB5" w:rsidP="005545E1">
            <w:pPr>
              <w:ind w:left="72"/>
              <w:jc w:val="left"/>
              <w:rPr>
                <w:rFonts w:cs="Arial"/>
                <w:color w:val="333333"/>
                <w:sz w:val="18"/>
                <w:szCs w:val="18"/>
              </w:rPr>
            </w:pPr>
            <w:r w:rsidRPr="006D5B62">
              <w:rPr>
                <w:rFonts w:cs="Arial"/>
                <w:color w:val="333333"/>
                <w:sz w:val="18"/>
                <w:szCs w:val="18"/>
              </w:rPr>
              <w:t>Softwares</w:t>
            </w:r>
          </w:p>
        </w:tc>
        <w:tc>
          <w:tcPr>
            <w:tcW w:w="619" w:type="pct"/>
            <w:tcBorders>
              <w:top w:val="nil"/>
              <w:left w:val="nil"/>
              <w:bottom w:val="nil"/>
              <w:right w:val="single" w:sz="4" w:space="0" w:color="auto"/>
            </w:tcBorders>
            <w:shd w:val="clear" w:color="auto" w:fill="auto"/>
            <w:noWrap/>
            <w:vAlign w:val="center"/>
            <w:hideMark/>
          </w:tcPr>
          <w:p w14:paraId="279DA5AB" w14:textId="77777777" w:rsidR="003A6FB5" w:rsidRPr="006D5B62" w:rsidRDefault="003A6FB5" w:rsidP="003A6FB5">
            <w:pPr>
              <w:jc w:val="right"/>
              <w:rPr>
                <w:rFonts w:cs="Arial"/>
                <w:color w:val="000000"/>
                <w:sz w:val="18"/>
                <w:szCs w:val="18"/>
              </w:rPr>
            </w:pPr>
            <w:r w:rsidRPr="006D5B62">
              <w:rPr>
                <w:rFonts w:cs="Arial"/>
                <w:color w:val="000000"/>
                <w:sz w:val="18"/>
                <w:szCs w:val="18"/>
              </w:rPr>
              <w:t>296.627</w:t>
            </w:r>
          </w:p>
        </w:tc>
        <w:tc>
          <w:tcPr>
            <w:tcW w:w="380" w:type="pct"/>
            <w:tcBorders>
              <w:top w:val="nil"/>
              <w:left w:val="nil"/>
              <w:bottom w:val="nil"/>
              <w:right w:val="single" w:sz="4" w:space="0" w:color="auto"/>
            </w:tcBorders>
            <w:shd w:val="clear" w:color="auto" w:fill="auto"/>
            <w:noWrap/>
            <w:vAlign w:val="center"/>
            <w:hideMark/>
          </w:tcPr>
          <w:p w14:paraId="65E9512F" w14:textId="77777777" w:rsidR="003A6FB5" w:rsidRPr="006D5B62" w:rsidRDefault="003A6FB5" w:rsidP="003A6FB5">
            <w:pPr>
              <w:jc w:val="center"/>
              <w:rPr>
                <w:rFonts w:cs="Arial"/>
                <w:color w:val="000000"/>
                <w:sz w:val="18"/>
                <w:szCs w:val="18"/>
              </w:rPr>
            </w:pPr>
            <w:r w:rsidRPr="006D5B62">
              <w:rPr>
                <w:rFonts w:cs="Arial"/>
                <w:color w:val="000000"/>
                <w:sz w:val="18"/>
                <w:szCs w:val="18"/>
              </w:rPr>
              <w:t>94,32</w:t>
            </w:r>
          </w:p>
        </w:tc>
        <w:tc>
          <w:tcPr>
            <w:tcW w:w="533" w:type="pct"/>
            <w:tcBorders>
              <w:top w:val="nil"/>
              <w:left w:val="nil"/>
              <w:bottom w:val="nil"/>
              <w:right w:val="single" w:sz="4" w:space="0" w:color="auto"/>
            </w:tcBorders>
            <w:shd w:val="clear" w:color="auto" w:fill="auto"/>
            <w:noWrap/>
            <w:vAlign w:val="center"/>
            <w:hideMark/>
          </w:tcPr>
          <w:p w14:paraId="42DC5D87" w14:textId="77777777" w:rsidR="003A6FB5" w:rsidRPr="006D5B62" w:rsidRDefault="003A6FB5" w:rsidP="003A6FB5">
            <w:pPr>
              <w:jc w:val="right"/>
              <w:rPr>
                <w:rFonts w:cs="Arial"/>
                <w:color w:val="000000"/>
                <w:sz w:val="18"/>
                <w:szCs w:val="18"/>
              </w:rPr>
            </w:pPr>
            <w:r w:rsidRPr="006D5B62">
              <w:rPr>
                <w:rFonts w:cs="Arial"/>
                <w:color w:val="000000"/>
                <w:sz w:val="18"/>
                <w:szCs w:val="18"/>
              </w:rPr>
              <w:t>218.358</w:t>
            </w:r>
          </w:p>
        </w:tc>
        <w:tc>
          <w:tcPr>
            <w:tcW w:w="377" w:type="pct"/>
            <w:tcBorders>
              <w:top w:val="nil"/>
              <w:left w:val="nil"/>
              <w:bottom w:val="nil"/>
              <w:right w:val="single" w:sz="4" w:space="0" w:color="auto"/>
            </w:tcBorders>
            <w:shd w:val="clear" w:color="auto" w:fill="auto"/>
            <w:noWrap/>
            <w:vAlign w:val="center"/>
            <w:hideMark/>
          </w:tcPr>
          <w:p w14:paraId="1AFCDBA3" w14:textId="77777777" w:rsidR="003A6FB5" w:rsidRPr="006D5B62" w:rsidRDefault="003A6FB5" w:rsidP="003A6FB5">
            <w:pPr>
              <w:jc w:val="center"/>
              <w:rPr>
                <w:rFonts w:cs="Arial"/>
                <w:color w:val="000000"/>
                <w:sz w:val="18"/>
                <w:szCs w:val="18"/>
              </w:rPr>
            </w:pPr>
            <w:r w:rsidRPr="006D5B62">
              <w:rPr>
                <w:rFonts w:cs="Arial"/>
                <w:color w:val="000000"/>
                <w:sz w:val="18"/>
                <w:szCs w:val="18"/>
              </w:rPr>
              <w:t>97,53</w:t>
            </w:r>
          </w:p>
        </w:tc>
        <w:tc>
          <w:tcPr>
            <w:tcW w:w="604" w:type="pct"/>
            <w:tcBorders>
              <w:top w:val="nil"/>
              <w:left w:val="nil"/>
              <w:bottom w:val="nil"/>
              <w:right w:val="single" w:sz="4" w:space="0" w:color="auto"/>
            </w:tcBorders>
            <w:shd w:val="clear" w:color="auto" w:fill="auto"/>
            <w:noWrap/>
            <w:vAlign w:val="center"/>
            <w:hideMark/>
          </w:tcPr>
          <w:p w14:paraId="7182BCA7" w14:textId="77777777" w:rsidR="003A6FB5" w:rsidRPr="006D5B62" w:rsidRDefault="003A6FB5" w:rsidP="003A6FB5">
            <w:pPr>
              <w:jc w:val="right"/>
              <w:rPr>
                <w:rFonts w:cs="Arial"/>
                <w:color w:val="000000"/>
                <w:sz w:val="18"/>
                <w:szCs w:val="18"/>
              </w:rPr>
            </w:pPr>
            <w:r w:rsidRPr="006D5B62">
              <w:rPr>
                <w:rFonts w:cs="Arial"/>
                <w:color w:val="000000"/>
                <w:sz w:val="18"/>
                <w:szCs w:val="18"/>
              </w:rPr>
              <w:t>78.269</w:t>
            </w:r>
          </w:p>
        </w:tc>
        <w:tc>
          <w:tcPr>
            <w:tcW w:w="529" w:type="pct"/>
            <w:tcBorders>
              <w:top w:val="nil"/>
              <w:left w:val="nil"/>
              <w:bottom w:val="nil"/>
              <w:right w:val="nil"/>
            </w:tcBorders>
            <w:shd w:val="clear" w:color="auto" w:fill="auto"/>
            <w:noWrap/>
            <w:vAlign w:val="center"/>
            <w:hideMark/>
          </w:tcPr>
          <w:p w14:paraId="3F8C3499" w14:textId="77777777" w:rsidR="003A6FB5" w:rsidRPr="006D5B62" w:rsidRDefault="003A6FB5" w:rsidP="003A6FB5">
            <w:pPr>
              <w:jc w:val="center"/>
              <w:rPr>
                <w:rFonts w:cs="Arial"/>
                <w:color w:val="000000"/>
                <w:sz w:val="18"/>
                <w:szCs w:val="18"/>
              </w:rPr>
            </w:pPr>
            <w:r w:rsidRPr="006D5B62">
              <w:rPr>
                <w:rFonts w:cs="Arial"/>
                <w:color w:val="000000"/>
                <w:sz w:val="18"/>
                <w:szCs w:val="18"/>
              </w:rPr>
              <w:t>35,84</w:t>
            </w:r>
          </w:p>
        </w:tc>
      </w:tr>
      <w:tr w:rsidR="003A6FB5" w:rsidRPr="006D5B62" w14:paraId="2A5E358E" w14:textId="77777777" w:rsidTr="0099185A">
        <w:trPr>
          <w:trHeight w:val="255"/>
        </w:trPr>
        <w:tc>
          <w:tcPr>
            <w:tcW w:w="1958" w:type="pct"/>
            <w:tcBorders>
              <w:top w:val="nil"/>
              <w:left w:val="nil"/>
              <w:bottom w:val="nil"/>
              <w:right w:val="single" w:sz="4" w:space="0" w:color="auto"/>
            </w:tcBorders>
            <w:shd w:val="clear" w:color="auto" w:fill="auto"/>
            <w:noWrap/>
            <w:vAlign w:val="center"/>
            <w:hideMark/>
          </w:tcPr>
          <w:p w14:paraId="7C750501" w14:textId="77777777" w:rsidR="003A6FB5" w:rsidRPr="006D5B62" w:rsidRDefault="003A6FB5" w:rsidP="005545E1">
            <w:pPr>
              <w:ind w:left="72"/>
              <w:jc w:val="left"/>
              <w:rPr>
                <w:rFonts w:cs="Arial"/>
                <w:color w:val="333333"/>
                <w:sz w:val="18"/>
                <w:szCs w:val="18"/>
              </w:rPr>
            </w:pPr>
            <w:r w:rsidRPr="006D5B62">
              <w:rPr>
                <w:rFonts w:cs="Arial"/>
                <w:color w:val="333333"/>
                <w:sz w:val="18"/>
                <w:szCs w:val="18"/>
              </w:rPr>
              <w:t>Softwares em Desenvolvimento</w:t>
            </w:r>
          </w:p>
        </w:tc>
        <w:tc>
          <w:tcPr>
            <w:tcW w:w="619" w:type="pct"/>
            <w:tcBorders>
              <w:top w:val="nil"/>
              <w:left w:val="nil"/>
              <w:bottom w:val="nil"/>
              <w:right w:val="single" w:sz="4" w:space="0" w:color="auto"/>
            </w:tcBorders>
            <w:shd w:val="clear" w:color="auto" w:fill="auto"/>
            <w:noWrap/>
            <w:vAlign w:val="center"/>
            <w:hideMark/>
          </w:tcPr>
          <w:p w14:paraId="304DE9EE" w14:textId="77777777" w:rsidR="003A6FB5" w:rsidRPr="006D5B62" w:rsidRDefault="003A6FB5" w:rsidP="003A6FB5">
            <w:pPr>
              <w:jc w:val="right"/>
              <w:rPr>
                <w:rFonts w:cs="Arial"/>
                <w:color w:val="000000"/>
                <w:sz w:val="18"/>
                <w:szCs w:val="18"/>
              </w:rPr>
            </w:pPr>
            <w:r w:rsidRPr="006D5B62">
              <w:rPr>
                <w:rFonts w:cs="Arial"/>
                <w:color w:val="000000"/>
                <w:sz w:val="18"/>
                <w:szCs w:val="18"/>
              </w:rPr>
              <w:t>24.318</w:t>
            </w:r>
          </w:p>
        </w:tc>
        <w:tc>
          <w:tcPr>
            <w:tcW w:w="380" w:type="pct"/>
            <w:tcBorders>
              <w:top w:val="nil"/>
              <w:left w:val="nil"/>
              <w:bottom w:val="nil"/>
              <w:right w:val="single" w:sz="4" w:space="0" w:color="auto"/>
            </w:tcBorders>
            <w:shd w:val="clear" w:color="auto" w:fill="auto"/>
            <w:noWrap/>
            <w:vAlign w:val="center"/>
            <w:hideMark/>
          </w:tcPr>
          <w:p w14:paraId="38142A80" w14:textId="77777777" w:rsidR="003A6FB5" w:rsidRPr="006D5B62" w:rsidRDefault="003A6FB5" w:rsidP="003A6FB5">
            <w:pPr>
              <w:jc w:val="center"/>
              <w:rPr>
                <w:rFonts w:cs="Arial"/>
                <w:color w:val="000000"/>
                <w:sz w:val="18"/>
                <w:szCs w:val="18"/>
              </w:rPr>
            </w:pPr>
            <w:r w:rsidRPr="006D5B62">
              <w:rPr>
                <w:rFonts w:cs="Arial"/>
                <w:color w:val="000000"/>
                <w:sz w:val="18"/>
                <w:szCs w:val="18"/>
              </w:rPr>
              <w:t>7,73</w:t>
            </w:r>
          </w:p>
        </w:tc>
        <w:tc>
          <w:tcPr>
            <w:tcW w:w="533" w:type="pct"/>
            <w:tcBorders>
              <w:top w:val="nil"/>
              <w:left w:val="nil"/>
              <w:bottom w:val="nil"/>
              <w:right w:val="single" w:sz="4" w:space="0" w:color="auto"/>
            </w:tcBorders>
            <w:shd w:val="clear" w:color="auto" w:fill="auto"/>
            <w:noWrap/>
            <w:vAlign w:val="center"/>
            <w:hideMark/>
          </w:tcPr>
          <w:p w14:paraId="78AF3E92" w14:textId="77777777" w:rsidR="003A6FB5" w:rsidRPr="006D5B62" w:rsidRDefault="003A6FB5" w:rsidP="00DB1541">
            <w:pPr>
              <w:ind w:left="-180"/>
              <w:jc w:val="right"/>
              <w:rPr>
                <w:rFonts w:cs="Arial"/>
                <w:color w:val="000000"/>
                <w:sz w:val="18"/>
                <w:szCs w:val="18"/>
              </w:rPr>
            </w:pPr>
            <w:r w:rsidRPr="006D5B62">
              <w:rPr>
                <w:rFonts w:cs="Arial"/>
                <w:color w:val="000000"/>
                <w:sz w:val="18"/>
                <w:szCs w:val="18"/>
              </w:rPr>
              <w:t>11.447</w:t>
            </w:r>
          </w:p>
        </w:tc>
        <w:tc>
          <w:tcPr>
            <w:tcW w:w="377" w:type="pct"/>
            <w:tcBorders>
              <w:top w:val="nil"/>
              <w:left w:val="nil"/>
              <w:bottom w:val="nil"/>
              <w:right w:val="single" w:sz="4" w:space="0" w:color="auto"/>
            </w:tcBorders>
            <w:shd w:val="clear" w:color="auto" w:fill="auto"/>
            <w:noWrap/>
            <w:vAlign w:val="center"/>
            <w:hideMark/>
          </w:tcPr>
          <w:p w14:paraId="76007194" w14:textId="77777777" w:rsidR="003A6FB5" w:rsidRPr="006D5B62" w:rsidRDefault="003A6FB5" w:rsidP="003A6FB5">
            <w:pPr>
              <w:jc w:val="center"/>
              <w:rPr>
                <w:rFonts w:cs="Arial"/>
                <w:color w:val="000000"/>
                <w:sz w:val="18"/>
                <w:szCs w:val="18"/>
              </w:rPr>
            </w:pPr>
            <w:r w:rsidRPr="006D5B62">
              <w:rPr>
                <w:rFonts w:cs="Arial"/>
                <w:color w:val="000000"/>
                <w:sz w:val="18"/>
                <w:szCs w:val="18"/>
              </w:rPr>
              <w:t>5,11</w:t>
            </w:r>
          </w:p>
        </w:tc>
        <w:tc>
          <w:tcPr>
            <w:tcW w:w="604" w:type="pct"/>
            <w:tcBorders>
              <w:top w:val="nil"/>
              <w:left w:val="nil"/>
              <w:bottom w:val="nil"/>
              <w:right w:val="single" w:sz="4" w:space="0" w:color="auto"/>
            </w:tcBorders>
            <w:shd w:val="clear" w:color="auto" w:fill="auto"/>
            <w:noWrap/>
            <w:vAlign w:val="center"/>
            <w:hideMark/>
          </w:tcPr>
          <w:p w14:paraId="0A12356D" w14:textId="77777777" w:rsidR="003A6FB5" w:rsidRPr="006D5B62" w:rsidRDefault="003A6FB5" w:rsidP="003A6FB5">
            <w:pPr>
              <w:jc w:val="right"/>
              <w:rPr>
                <w:rFonts w:cs="Arial"/>
                <w:color w:val="000000"/>
                <w:sz w:val="18"/>
                <w:szCs w:val="18"/>
              </w:rPr>
            </w:pPr>
            <w:r w:rsidRPr="006D5B62">
              <w:rPr>
                <w:rFonts w:cs="Arial"/>
                <w:color w:val="000000"/>
                <w:sz w:val="18"/>
                <w:szCs w:val="18"/>
              </w:rPr>
              <w:t>12.871</w:t>
            </w:r>
          </w:p>
        </w:tc>
        <w:tc>
          <w:tcPr>
            <w:tcW w:w="529" w:type="pct"/>
            <w:tcBorders>
              <w:top w:val="nil"/>
              <w:left w:val="nil"/>
              <w:bottom w:val="nil"/>
              <w:right w:val="nil"/>
            </w:tcBorders>
            <w:shd w:val="clear" w:color="auto" w:fill="auto"/>
            <w:noWrap/>
            <w:vAlign w:val="center"/>
            <w:hideMark/>
          </w:tcPr>
          <w:p w14:paraId="77985768" w14:textId="77777777" w:rsidR="003A6FB5" w:rsidRPr="006D5B62" w:rsidRDefault="003A6FB5" w:rsidP="003A6FB5">
            <w:pPr>
              <w:jc w:val="center"/>
              <w:rPr>
                <w:rFonts w:cs="Arial"/>
                <w:color w:val="000000"/>
                <w:sz w:val="18"/>
                <w:szCs w:val="18"/>
              </w:rPr>
            </w:pPr>
            <w:r w:rsidRPr="006D5B62">
              <w:rPr>
                <w:rFonts w:cs="Arial"/>
                <w:color w:val="000000"/>
                <w:sz w:val="18"/>
                <w:szCs w:val="18"/>
              </w:rPr>
              <w:t>112,44</w:t>
            </w:r>
          </w:p>
        </w:tc>
      </w:tr>
      <w:tr w:rsidR="003A6FB5" w:rsidRPr="006D5B62" w14:paraId="656DE447" w14:textId="77777777" w:rsidTr="0099185A">
        <w:trPr>
          <w:trHeight w:val="255"/>
        </w:trPr>
        <w:tc>
          <w:tcPr>
            <w:tcW w:w="1958" w:type="pct"/>
            <w:tcBorders>
              <w:top w:val="nil"/>
              <w:left w:val="nil"/>
              <w:bottom w:val="nil"/>
              <w:right w:val="single" w:sz="4" w:space="0" w:color="auto"/>
            </w:tcBorders>
            <w:shd w:val="clear" w:color="auto" w:fill="auto"/>
            <w:noWrap/>
            <w:vAlign w:val="center"/>
            <w:hideMark/>
          </w:tcPr>
          <w:p w14:paraId="7B395D54" w14:textId="3F4530ED" w:rsidR="003A6FB5" w:rsidRPr="006D5B62" w:rsidRDefault="003A6FB5" w:rsidP="005545E1">
            <w:pPr>
              <w:ind w:left="72"/>
              <w:jc w:val="left"/>
              <w:rPr>
                <w:rFonts w:cs="Arial"/>
                <w:color w:val="333333"/>
                <w:sz w:val="18"/>
                <w:szCs w:val="18"/>
              </w:rPr>
            </w:pPr>
            <w:r w:rsidRPr="006D5B62">
              <w:rPr>
                <w:rFonts w:cs="Arial"/>
                <w:color w:val="333333"/>
                <w:sz w:val="18"/>
                <w:szCs w:val="18"/>
              </w:rPr>
              <w:lastRenderedPageBreak/>
              <w:t xml:space="preserve">Marcas, Direitos </w:t>
            </w:r>
            <w:r w:rsidR="00E36F55" w:rsidRPr="006D5B62">
              <w:rPr>
                <w:rFonts w:cs="Arial"/>
                <w:color w:val="333333"/>
                <w:sz w:val="18"/>
                <w:szCs w:val="18"/>
              </w:rPr>
              <w:t>e</w:t>
            </w:r>
            <w:r w:rsidRPr="006D5B62">
              <w:rPr>
                <w:rFonts w:cs="Arial"/>
                <w:color w:val="333333"/>
                <w:sz w:val="18"/>
                <w:szCs w:val="18"/>
              </w:rPr>
              <w:t xml:space="preserve"> Patentes Industriais</w:t>
            </w:r>
          </w:p>
        </w:tc>
        <w:tc>
          <w:tcPr>
            <w:tcW w:w="619" w:type="pct"/>
            <w:tcBorders>
              <w:top w:val="nil"/>
              <w:left w:val="nil"/>
              <w:bottom w:val="nil"/>
              <w:right w:val="single" w:sz="4" w:space="0" w:color="auto"/>
            </w:tcBorders>
            <w:shd w:val="clear" w:color="auto" w:fill="auto"/>
            <w:noWrap/>
            <w:vAlign w:val="center"/>
            <w:hideMark/>
          </w:tcPr>
          <w:p w14:paraId="62BE4A10" w14:textId="77777777" w:rsidR="003A6FB5" w:rsidRPr="006D5B62" w:rsidRDefault="003A6FB5" w:rsidP="003A6FB5">
            <w:pPr>
              <w:jc w:val="right"/>
              <w:rPr>
                <w:rFonts w:cs="Arial"/>
                <w:color w:val="000000"/>
                <w:sz w:val="18"/>
                <w:szCs w:val="18"/>
              </w:rPr>
            </w:pPr>
            <w:r w:rsidRPr="006D5B62">
              <w:rPr>
                <w:rFonts w:cs="Arial"/>
                <w:color w:val="000000"/>
                <w:sz w:val="18"/>
                <w:szCs w:val="18"/>
              </w:rPr>
              <w:t>5</w:t>
            </w:r>
          </w:p>
        </w:tc>
        <w:tc>
          <w:tcPr>
            <w:tcW w:w="380" w:type="pct"/>
            <w:tcBorders>
              <w:top w:val="nil"/>
              <w:left w:val="nil"/>
              <w:bottom w:val="nil"/>
              <w:right w:val="single" w:sz="4" w:space="0" w:color="auto"/>
            </w:tcBorders>
            <w:shd w:val="clear" w:color="auto" w:fill="auto"/>
            <w:noWrap/>
            <w:vAlign w:val="center"/>
            <w:hideMark/>
          </w:tcPr>
          <w:p w14:paraId="392C2D0B" w14:textId="00A30D78" w:rsidR="003A6FB5" w:rsidRPr="006D5B62" w:rsidRDefault="00E872AB" w:rsidP="003A6FB5">
            <w:pPr>
              <w:jc w:val="center"/>
              <w:rPr>
                <w:rFonts w:cs="Arial"/>
                <w:color w:val="000000"/>
                <w:sz w:val="18"/>
                <w:szCs w:val="18"/>
              </w:rPr>
            </w:pPr>
            <w:r w:rsidRPr="006D5B62">
              <w:rPr>
                <w:rFonts w:cs="Arial"/>
                <w:color w:val="000000"/>
                <w:sz w:val="18"/>
                <w:szCs w:val="18"/>
              </w:rPr>
              <w:t>-</w:t>
            </w:r>
          </w:p>
        </w:tc>
        <w:tc>
          <w:tcPr>
            <w:tcW w:w="533" w:type="pct"/>
            <w:tcBorders>
              <w:top w:val="nil"/>
              <w:left w:val="nil"/>
              <w:bottom w:val="nil"/>
              <w:right w:val="single" w:sz="4" w:space="0" w:color="auto"/>
            </w:tcBorders>
            <w:shd w:val="clear" w:color="auto" w:fill="auto"/>
            <w:noWrap/>
            <w:vAlign w:val="center"/>
            <w:hideMark/>
          </w:tcPr>
          <w:p w14:paraId="6EC8C1AE" w14:textId="77777777" w:rsidR="003A6FB5" w:rsidRPr="006D5B62" w:rsidRDefault="003A6FB5" w:rsidP="003A6FB5">
            <w:pPr>
              <w:jc w:val="right"/>
              <w:rPr>
                <w:rFonts w:cs="Arial"/>
                <w:color w:val="000000"/>
                <w:sz w:val="18"/>
                <w:szCs w:val="18"/>
              </w:rPr>
            </w:pPr>
            <w:r w:rsidRPr="006D5B62">
              <w:rPr>
                <w:rFonts w:cs="Arial"/>
                <w:color w:val="000000"/>
                <w:sz w:val="18"/>
                <w:szCs w:val="18"/>
              </w:rPr>
              <w:t>5</w:t>
            </w:r>
          </w:p>
        </w:tc>
        <w:tc>
          <w:tcPr>
            <w:tcW w:w="377" w:type="pct"/>
            <w:tcBorders>
              <w:top w:val="nil"/>
              <w:left w:val="nil"/>
              <w:bottom w:val="nil"/>
              <w:right w:val="single" w:sz="4" w:space="0" w:color="auto"/>
            </w:tcBorders>
            <w:shd w:val="clear" w:color="auto" w:fill="auto"/>
            <w:noWrap/>
            <w:vAlign w:val="center"/>
            <w:hideMark/>
          </w:tcPr>
          <w:p w14:paraId="26BB2361" w14:textId="7E358380" w:rsidR="003A6FB5" w:rsidRPr="006D5B62" w:rsidRDefault="00E872AB" w:rsidP="003A6FB5">
            <w:pPr>
              <w:jc w:val="center"/>
              <w:rPr>
                <w:rFonts w:cs="Arial"/>
                <w:color w:val="000000"/>
                <w:sz w:val="18"/>
                <w:szCs w:val="18"/>
              </w:rPr>
            </w:pPr>
            <w:r w:rsidRPr="006D5B62">
              <w:rPr>
                <w:rFonts w:cs="Arial"/>
                <w:color w:val="000000"/>
                <w:sz w:val="18"/>
                <w:szCs w:val="18"/>
              </w:rPr>
              <w:t>-</w:t>
            </w:r>
          </w:p>
        </w:tc>
        <w:tc>
          <w:tcPr>
            <w:tcW w:w="604" w:type="pct"/>
            <w:tcBorders>
              <w:top w:val="nil"/>
              <w:left w:val="nil"/>
              <w:bottom w:val="nil"/>
              <w:right w:val="single" w:sz="4" w:space="0" w:color="auto"/>
            </w:tcBorders>
            <w:shd w:val="clear" w:color="auto" w:fill="auto"/>
            <w:noWrap/>
            <w:vAlign w:val="center"/>
            <w:hideMark/>
          </w:tcPr>
          <w:p w14:paraId="7448FAC1" w14:textId="77777777" w:rsidR="003A6FB5" w:rsidRPr="006D5B62" w:rsidRDefault="003A6FB5" w:rsidP="003A6FB5">
            <w:pPr>
              <w:jc w:val="right"/>
              <w:rPr>
                <w:rFonts w:cs="Arial"/>
                <w:color w:val="000000"/>
                <w:sz w:val="18"/>
                <w:szCs w:val="18"/>
              </w:rPr>
            </w:pPr>
            <w:r w:rsidRPr="006D5B62">
              <w:rPr>
                <w:rFonts w:cs="Arial"/>
                <w:color w:val="000000"/>
                <w:sz w:val="18"/>
                <w:szCs w:val="18"/>
              </w:rPr>
              <w:t>-</w:t>
            </w:r>
          </w:p>
        </w:tc>
        <w:tc>
          <w:tcPr>
            <w:tcW w:w="529" w:type="pct"/>
            <w:tcBorders>
              <w:top w:val="nil"/>
              <w:left w:val="nil"/>
              <w:bottom w:val="nil"/>
              <w:right w:val="nil"/>
            </w:tcBorders>
            <w:shd w:val="clear" w:color="auto" w:fill="auto"/>
            <w:noWrap/>
            <w:vAlign w:val="center"/>
            <w:hideMark/>
          </w:tcPr>
          <w:p w14:paraId="2EC8B8FF" w14:textId="77777777" w:rsidR="003A6FB5" w:rsidRPr="006D5B62" w:rsidRDefault="003A6FB5" w:rsidP="003A6FB5">
            <w:pPr>
              <w:jc w:val="center"/>
              <w:rPr>
                <w:rFonts w:cs="Arial"/>
                <w:color w:val="000000"/>
                <w:sz w:val="18"/>
                <w:szCs w:val="18"/>
              </w:rPr>
            </w:pPr>
            <w:r w:rsidRPr="006D5B62">
              <w:rPr>
                <w:rFonts w:cs="Arial"/>
                <w:color w:val="000000"/>
                <w:sz w:val="18"/>
                <w:szCs w:val="18"/>
              </w:rPr>
              <w:t>-</w:t>
            </w:r>
          </w:p>
        </w:tc>
      </w:tr>
      <w:tr w:rsidR="003A6FB5" w:rsidRPr="006D5B62" w14:paraId="14F57868" w14:textId="77777777" w:rsidTr="0099185A">
        <w:trPr>
          <w:trHeight w:val="255"/>
        </w:trPr>
        <w:tc>
          <w:tcPr>
            <w:tcW w:w="1958" w:type="pct"/>
            <w:tcBorders>
              <w:top w:val="nil"/>
              <w:left w:val="nil"/>
              <w:bottom w:val="nil"/>
              <w:right w:val="single" w:sz="4" w:space="0" w:color="auto"/>
            </w:tcBorders>
            <w:shd w:val="clear" w:color="auto" w:fill="auto"/>
            <w:noWrap/>
            <w:vAlign w:val="center"/>
            <w:hideMark/>
          </w:tcPr>
          <w:p w14:paraId="43DB693C" w14:textId="77777777" w:rsidR="003A6FB5" w:rsidRPr="006D5B62" w:rsidRDefault="003A6FB5" w:rsidP="005545E1">
            <w:pPr>
              <w:ind w:left="72"/>
              <w:jc w:val="left"/>
              <w:rPr>
                <w:rFonts w:cs="Arial"/>
                <w:color w:val="333333"/>
                <w:sz w:val="18"/>
                <w:szCs w:val="18"/>
              </w:rPr>
            </w:pPr>
            <w:r w:rsidRPr="006D5B62">
              <w:rPr>
                <w:rFonts w:cs="Arial"/>
                <w:color w:val="333333"/>
                <w:sz w:val="18"/>
                <w:szCs w:val="18"/>
              </w:rPr>
              <w:t>Direito de Uso de Imóveis</w:t>
            </w:r>
          </w:p>
        </w:tc>
        <w:tc>
          <w:tcPr>
            <w:tcW w:w="619" w:type="pct"/>
            <w:tcBorders>
              <w:top w:val="nil"/>
              <w:left w:val="nil"/>
              <w:bottom w:val="nil"/>
              <w:right w:val="single" w:sz="4" w:space="0" w:color="auto"/>
            </w:tcBorders>
            <w:shd w:val="clear" w:color="auto" w:fill="auto"/>
            <w:noWrap/>
            <w:vAlign w:val="center"/>
            <w:hideMark/>
          </w:tcPr>
          <w:p w14:paraId="5360FCC9" w14:textId="77777777" w:rsidR="003A6FB5" w:rsidRPr="006D5B62" w:rsidRDefault="003A6FB5" w:rsidP="003A6FB5">
            <w:pPr>
              <w:jc w:val="right"/>
              <w:rPr>
                <w:rFonts w:cs="Arial"/>
                <w:color w:val="000000"/>
                <w:sz w:val="18"/>
                <w:szCs w:val="18"/>
              </w:rPr>
            </w:pPr>
            <w:r w:rsidRPr="006D5B62">
              <w:rPr>
                <w:rFonts w:cs="Arial"/>
                <w:color w:val="000000"/>
                <w:sz w:val="18"/>
                <w:szCs w:val="18"/>
              </w:rPr>
              <w:t>10.989</w:t>
            </w:r>
          </w:p>
        </w:tc>
        <w:tc>
          <w:tcPr>
            <w:tcW w:w="380" w:type="pct"/>
            <w:tcBorders>
              <w:top w:val="nil"/>
              <w:left w:val="nil"/>
              <w:bottom w:val="nil"/>
              <w:right w:val="single" w:sz="4" w:space="0" w:color="auto"/>
            </w:tcBorders>
            <w:shd w:val="clear" w:color="auto" w:fill="auto"/>
            <w:noWrap/>
            <w:vAlign w:val="center"/>
            <w:hideMark/>
          </w:tcPr>
          <w:p w14:paraId="4ACE8AA1" w14:textId="77777777" w:rsidR="003A6FB5" w:rsidRPr="006D5B62" w:rsidRDefault="003A6FB5" w:rsidP="003A6FB5">
            <w:pPr>
              <w:jc w:val="center"/>
              <w:rPr>
                <w:rFonts w:cs="Arial"/>
                <w:color w:val="000000"/>
                <w:sz w:val="18"/>
                <w:szCs w:val="18"/>
              </w:rPr>
            </w:pPr>
            <w:r w:rsidRPr="006D5B62">
              <w:rPr>
                <w:rFonts w:cs="Arial"/>
                <w:color w:val="000000"/>
                <w:sz w:val="18"/>
                <w:szCs w:val="18"/>
              </w:rPr>
              <w:t>3,49</w:t>
            </w:r>
          </w:p>
        </w:tc>
        <w:tc>
          <w:tcPr>
            <w:tcW w:w="533" w:type="pct"/>
            <w:tcBorders>
              <w:top w:val="nil"/>
              <w:left w:val="nil"/>
              <w:bottom w:val="nil"/>
              <w:right w:val="single" w:sz="4" w:space="0" w:color="auto"/>
            </w:tcBorders>
            <w:shd w:val="clear" w:color="auto" w:fill="auto"/>
            <w:noWrap/>
            <w:vAlign w:val="center"/>
            <w:hideMark/>
          </w:tcPr>
          <w:p w14:paraId="70A913A2" w14:textId="77777777" w:rsidR="003A6FB5" w:rsidRPr="006D5B62" w:rsidRDefault="003A6FB5" w:rsidP="003A6FB5">
            <w:pPr>
              <w:jc w:val="right"/>
              <w:rPr>
                <w:rFonts w:cs="Arial"/>
                <w:color w:val="000000"/>
                <w:sz w:val="18"/>
                <w:szCs w:val="18"/>
              </w:rPr>
            </w:pPr>
            <w:r w:rsidRPr="006D5B62">
              <w:rPr>
                <w:rFonts w:cs="Arial"/>
                <w:color w:val="000000"/>
                <w:sz w:val="18"/>
                <w:szCs w:val="18"/>
              </w:rPr>
              <w:t>10.989</w:t>
            </w:r>
          </w:p>
        </w:tc>
        <w:tc>
          <w:tcPr>
            <w:tcW w:w="377" w:type="pct"/>
            <w:tcBorders>
              <w:top w:val="nil"/>
              <w:left w:val="nil"/>
              <w:bottom w:val="nil"/>
              <w:right w:val="single" w:sz="4" w:space="0" w:color="auto"/>
            </w:tcBorders>
            <w:shd w:val="clear" w:color="auto" w:fill="auto"/>
            <w:noWrap/>
            <w:vAlign w:val="center"/>
            <w:hideMark/>
          </w:tcPr>
          <w:p w14:paraId="21632331" w14:textId="77777777" w:rsidR="003A6FB5" w:rsidRPr="006D5B62" w:rsidRDefault="003A6FB5" w:rsidP="003A6FB5">
            <w:pPr>
              <w:jc w:val="center"/>
              <w:rPr>
                <w:rFonts w:cs="Arial"/>
                <w:color w:val="000000"/>
                <w:sz w:val="18"/>
                <w:szCs w:val="18"/>
              </w:rPr>
            </w:pPr>
            <w:r w:rsidRPr="006D5B62">
              <w:rPr>
                <w:rFonts w:cs="Arial"/>
                <w:color w:val="000000"/>
                <w:sz w:val="18"/>
                <w:szCs w:val="18"/>
              </w:rPr>
              <w:t>4,91</w:t>
            </w:r>
          </w:p>
        </w:tc>
        <w:tc>
          <w:tcPr>
            <w:tcW w:w="604" w:type="pct"/>
            <w:tcBorders>
              <w:top w:val="nil"/>
              <w:left w:val="nil"/>
              <w:bottom w:val="nil"/>
              <w:right w:val="single" w:sz="4" w:space="0" w:color="auto"/>
            </w:tcBorders>
            <w:shd w:val="clear" w:color="auto" w:fill="auto"/>
            <w:noWrap/>
            <w:vAlign w:val="center"/>
            <w:hideMark/>
          </w:tcPr>
          <w:p w14:paraId="7349D3A8" w14:textId="77777777" w:rsidR="003A6FB5" w:rsidRPr="006D5B62" w:rsidRDefault="003A6FB5" w:rsidP="003A6FB5">
            <w:pPr>
              <w:jc w:val="right"/>
              <w:rPr>
                <w:rFonts w:cs="Arial"/>
                <w:color w:val="000000"/>
                <w:sz w:val="18"/>
                <w:szCs w:val="18"/>
              </w:rPr>
            </w:pPr>
            <w:r w:rsidRPr="006D5B62">
              <w:rPr>
                <w:rFonts w:cs="Arial"/>
                <w:color w:val="000000"/>
                <w:sz w:val="18"/>
                <w:szCs w:val="18"/>
              </w:rPr>
              <w:t>-</w:t>
            </w:r>
          </w:p>
        </w:tc>
        <w:tc>
          <w:tcPr>
            <w:tcW w:w="529" w:type="pct"/>
            <w:tcBorders>
              <w:top w:val="nil"/>
              <w:left w:val="nil"/>
              <w:bottom w:val="nil"/>
              <w:right w:val="nil"/>
            </w:tcBorders>
            <w:shd w:val="clear" w:color="auto" w:fill="auto"/>
            <w:noWrap/>
            <w:vAlign w:val="center"/>
            <w:hideMark/>
          </w:tcPr>
          <w:p w14:paraId="7249D175" w14:textId="77777777" w:rsidR="003A6FB5" w:rsidRPr="006D5B62" w:rsidRDefault="003A6FB5" w:rsidP="003A6FB5">
            <w:pPr>
              <w:jc w:val="center"/>
              <w:rPr>
                <w:rFonts w:cs="Arial"/>
                <w:color w:val="000000"/>
                <w:sz w:val="18"/>
                <w:szCs w:val="18"/>
              </w:rPr>
            </w:pPr>
            <w:r w:rsidRPr="006D5B62">
              <w:rPr>
                <w:rFonts w:cs="Arial"/>
                <w:color w:val="000000"/>
                <w:sz w:val="18"/>
                <w:szCs w:val="18"/>
              </w:rPr>
              <w:t>-</w:t>
            </w:r>
          </w:p>
        </w:tc>
      </w:tr>
      <w:tr w:rsidR="003A6FB5" w:rsidRPr="006D5B62" w14:paraId="350DEACB" w14:textId="77777777" w:rsidTr="0099185A">
        <w:trPr>
          <w:trHeight w:val="255"/>
        </w:trPr>
        <w:tc>
          <w:tcPr>
            <w:tcW w:w="1958" w:type="pct"/>
            <w:tcBorders>
              <w:top w:val="nil"/>
              <w:left w:val="nil"/>
              <w:bottom w:val="single" w:sz="4" w:space="0" w:color="auto"/>
              <w:right w:val="single" w:sz="4" w:space="0" w:color="auto"/>
            </w:tcBorders>
            <w:shd w:val="clear" w:color="auto" w:fill="auto"/>
            <w:noWrap/>
            <w:vAlign w:val="center"/>
            <w:hideMark/>
          </w:tcPr>
          <w:p w14:paraId="2818EDD9" w14:textId="77777777" w:rsidR="003A6FB5" w:rsidRPr="006D5B62" w:rsidRDefault="003A6FB5" w:rsidP="005545E1">
            <w:pPr>
              <w:ind w:left="72"/>
              <w:jc w:val="left"/>
              <w:rPr>
                <w:rFonts w:cs="Arial"/>
                <w:color w:val="333333"/>
                <w:sz w:val="18"/>
                <w:szCs w:val="18"/>
              </w:rPr>
            </w:pPr>
            <w:r w:rsidRPr="006D5B62">
              <w:rPr>
                <w:rFonts w:cs="Arial"/>
                <w:color w:val="333333"/>
                <w:sz w:val="18"/>
                <w:szCs w:val="18"/>
              </w:rPr>
              <w:t>(-) Amortização Acumulada</w:t>
            </w:r>
          </w:p>
        </w:tc>
        <w:tc>
          <w:tcPr>
            <w:tcW w:w="619" w:type="pct"/>
            <w:tcBorders>
              <w:top w:val="nil"/>
              <w:left w:val="nil"/>
              <w:bottom w:val="single" w:sz="4" w:space="0" w:color="auto"/>
              <w:right w:val="single" w:sz="4" w:space="0" w:color="auto"/>
            </w:tcBorders>
            <w:shd w:val="clear" w:color="auto" w:fill="auto"/>
            <w:noWrap/>
            <w:vAlign w:val="center"/>
            <w:hideMark/>
          </w:tcPr>
          <w:p w14:paraId="5F695CEC" w14:textId="77777777" w:rsidR="003A6FB5" w:rsidRPr="006D5B62" w:rsidRDefault="003A6FB5" w:rsidP="003A6FB5">
            <w:pPr>
              <w:jc w:val="right"/>
              <w:rPr>
                <w:rFonts w:cs="Arial"/>
                <w:color w:val="000000"/>
                <w:sz w:val="18"/>
                <w:szCs w:val="18"/>
              </w:rPr>
            </w:pPr>
            <w:r w:rsidRPr="006D5B62">
              <w:rPr>
                <w:rFonts w:cs="Arial"/>
                <w:color w:val="FF0000"/>
                <w:sz w:val="18"/>
                <w:szCs w:val="18"/>
              </w:rPr>
              <w:t>(17.441)</w:t>
            </w:r>
          </w:p>
        </w:tc>
        <w:tc>
          <w:tcPr>
            <w:tcW w:w="380" w:type="pct"/>
            <w:tcBorders>
              <w:top w:val="nil"/>
              <w:left w:val="nil"/>
              <w:bottom w:val="single" w:sz="4" w:space="0" w:color="auto"/>
              <w:right w:val="single" w:sz="4" w:space="0" w:color="auto"/>
            </w:tcBorders>
            <w:shd w:val="clear" w:color="auto" w:fill="auto"/>
            <w:noWrap/>
            <w:vAlign w:val="center"/>
            <w:hideMark/>
          </w:tcPr>
          <w:p w14:paraId="681EA153" w14:textId="77777777" w:rsidR="003A6FB5" w:rsidRPr="006D5B62" w:rsidRDefault="003A6FB5" w:rsidP="003A6FB5">
            <w:pPr>
              <w:jc w:val="center"/>
              <w:rPr>
                <w:rFonts w:cs="Arial"/>
                <w:color w:val="000000"/>
                <w:sz w:val="18"/>
                <w:szCs w:val="18"/>
              </w:rPr>
            </w:pPr>
            <w:r w:rsidRPr="006D5B62">
              <w:rPr>
                <w:rFonts w:cs="Arial"/>
                <w:color w:val="FF0000"/>
                <w:sz w:val="18"/>
                <w:szCs w:val="18"/>
              </w:rPr>
              <w:t>(5,55)</w:t>
            </w:r>
          </w:p>
        </w:tc>
        <w:tc>
          <w:tcPr>
            <w:tcW w:w="533" w:type="pct"/>
            <w:tcBorders>
              <w:top w:val="nil"/>
              <w:left w:val="nil"/>
              <w:bottom w:val="single" w:sz="4" w:space="0" w:color="auto"/>
              <w:right w:val="single" w:sz="4" w:space="0" w:color="auto"/>
            </w:tcBorders>
            <w:shd w:val="clear" w:color="auto" w:fill="auto"/>
            <w:noWrap/>
            <w:vAlign w:val="center"/>
            <w:hideMark/>
          </w:tcPr>
          <w:p w14:paraId="7A1FD3F3" w14:textId="77777777" w:rsidR="003A6FB5" w:rsidRPr="006D5B62" w:rsidRDefault="003A6FB5" w:rsidP="003A6FB5">
            <w:pPr>
              <w:jc w:val="right"/>
              <w:rPr>
                <w:rFonts w:cs="Arial"/>
                <w:color w:val="000000"/>
                <w:sz w:val="18"/>
                <w:szCs w:val="18"/>
              </w:rPr>
            </w:pPr>
            <w:r w:rsidRPr="006D5B62">
              <w:rPr>
                <w:rFonts w:cs="Arial"/>
                <w:color w:val="FF0000"/>
                <w:sz w:val="18"/>
                <w:szCs w:val="18"/>
              </w:rPr>
              <w:t>(16.913)</w:t>
            </w:r>
          </w:p>
        </w:tc>
        <w:tc>
          <w:tcPr>
            <w:tcW w:w="377" w:type="pct"/>
            <w:tcBorders>
              <w:top w:val="nil"/>
              <w:left w:val="nil"/>
              <w:bottom w:val="single" w:sz="4" w:space="0" w:color="auto"/>
              <w:right w:val="single" w:sz="4" w:space="0" w:color="auto"/>
            </w:tcBorders>
            <w:shd w:val="clear" w:color="auto" w:fill="auto"/>
            <w:noWrap/>
            <w:vAlign w:val="center"/>
            <w:hideMark/>
          </w:tcPr>
          <w:p w14:paraId="32131993" w14:textId="77777777" w:rsidR="003A6FB5" w:rsidRPr="006D5B62" w:rsidRDefault="003A6FB5" w:rsidP="003A6FB5">
            <w:pPr>
              <w:jc w:val="center"/>
              <w:rPr>
                <w:rFonts w:cs="Arial"/>
                <w:color w:val="000000"/>
                <w:sz w:val="18"/>
                <w:szCs w:val="18"/>
              </w:rPr>
            </w:pPr>
            <w:r w:rsidRPr="006D5B62">
              <w:rPr>
                <w:rFonts w:cs="Arial"/>
                <w:color w:val="FF0000"/>
                <w:sz w:val="18"/>
                <w:szCs w:val="18"/>
              </w:rPr>
              <w:t>(7,55)</w:t>
            </w:r>
          </w:p>
        </w:tc>
        <w:tc>
          <w:tcPr>
            <w:tcW w:w="604" w:type="pct"/>
            <w:tcBorders>
              <w:top w:val="nil"/>
              <w:left w:val="nil"/>
              <w:bottom w:val="single" w:sz="4" w:space="0" w:color="auto"/>
              <w:right w:val="single" w:sz="4" w:space="0" w:color="auto"/>
            </w:tcBorders>
            <w:shd w:val="clear" w:color="auto" w:fill="auto"/>
            <w:noWrap/>
            <w:vAlign w:val="center"/>
            <w:hideMark/>
          </w:tcPr>
          <w:p w14:paraId="21C8DF77" w14:textId="77777777" w:rsidR="003A6FB5" w:rsidRPr="006D5B62" w:rsidRDefault="003A6FB5" w:rsidP="003A6FB5">
            <w:pPr>
              <w:jc w:val="right"/>
              <w:rPr>
                <w:rFonts w:cs="Arial"/>
                <w:color w:val="000000"/>
                <w:sz w:val="18"/>
                <w:szCs w:val="18"/>
              </w:rPr>
            </w:pPr>
            <w:r w:rsidRPr="006D5B62">
              <w:rPr>
                <w:rFonts w:cs="Arial"/>
                <w:color w:val="FF0000"/>
                <w:sz w:val="18"/>
                <w:szCs w:val="18"/>
              </w:rPr>
              <w:t>(528)</w:t>
            </w:r>
          </w:p>
        </w:tc>
        <w:tc>
          <w:tcPr>
            <w:tcW w:w="529" w:type="pct"/>
            <w:tcBorders>
              <w:top w:val="nil"/>
              <w:left w:val="nil"/>
              <w:bottom w:val="single" w:sz="4" w:space="0" w:color="auto"/>
              <w:right w:val="nil"/>
            </w:tcBorders>
            <w:shd w:val="clear" w:color="auto" w:fill="auto"/>
            <w:noWrap/>
            <w:vAlign w:val="center"/>
            <w:hideMark/>
          </w:tcPr>
          <w:p w14:paraId="3231A183" w14:textId="77777777" w:rsidR="003A6FB5" w:rsidRPr="006D5B62" w:rsidRDefault="003A6FB5" w:rsidP="003A6FB5">
            <w:pPr>
              <w:jc w:val="center"/>
              <w:rPr>
                <w:rFonts w:cs="Arial"/>
                <w:color w:val="000000"/>
                <w:sz w:val="18"/>
                <w:szCs w:val="18"/>
              </w:rPr>
            </w:pPr>
            <w:r w:rsidRPr="006D5B62">
              <w:rPr>
                <w:rFonts w:cs="Arial"/>
                <w:color w:val="000000"/>
                <w:sz w:val="18"/>
                <w:szCs w:val="18"/>
              </w:rPr>
              <w:t>3,12</w:t>
            </w:r>
          </w:p>
        </w:tc>
      </w:tr>
      <w:tr w:rsidR="003A6FB5" w:rsidRPr="006D5B62" w14:paraId="2A52FF25" w14:textId="77777777" w:rsidTr="0099185A">
        <w:trPr>
          <w:trHeight w:val="255"/>
        </w:trPr>
        <w:tc>
          <w:tcPr>
            <w:tcW w:w="1958" w:type="pct"/>
            <w:tcBorders>
              <w:top w:val="single" w:sz="4" w:space="0" w:color="auto"/>
              <w:left w:val="nil"/>
              <w:bottom w:val="single" w:sz="4" w:space="0" w:color="auto"/>
              <w:right w:val="single" w:sz="4" w:space="0" w:color="auto"/>
            </w:tcBorders>
            <w:shd w:val="clear" w:color="auto" w:fill="auto"/>
            <w:noWrap/>
            <w:vAlign w:val="center"/>
          </w:tcPr>
          <w:p w14:paraId="71F53D2B" w14:textId="77777777" w:rsidR="003A6FB5" w:rsidRPr="006D5B62" w:rsidRDefault="003A6FB5" w:rsidP="003A6FB5">
            <w:pPr>
              <w:jc w:val="center"/>
              <w:rPr>
                <w:rFonts w:cs="Arial"/>
                <w:b/>
                <w:color w:val="333333"/>
                <w:sz w:val="18"/>
                <w:szCs w:val="18"/>
              </w:rPr>
            </w:pPr>
            <w:r w:rsidRPr="006D5B62">
              <w:rPr>
                <w:rFonts w:cs="Arial"/>
                <w:b/>
                <w:color w:val="333333"/>
                <w:sz w:val="18"/>
                <w:szCs w:val="18"/>
              </w:rPr>
              <w:t>Total</w:t>
            </w:r>
          </w:p>
        </w:tc>
        <w:tc>
          <w:tcPr>
            <w:tcW w:w="619" w:type="pct"/>
            <w:tcBorders>
              <w:top w:val="single" w:sz="4" w:space="0" w:color="auto"/>
              <w:left w:val="nil"/>
              <w:bottom w:val="single" w:sz="4" w:space="0" w:color="auto"/>
              <w:right w:val="single" w:sz="4" w:space="0" w:color="auto"/>
            </w:tcBorders>
            <w:shd w:val="clear" w:color="auto" w:fill="auto"/>
            <w:noWrap/>
            <w:vAlign w:val="center"/>
          </w:tcPr>
          <w:p w14:paraId="68388923" w14:textId="77777777" w:rsidR="003A6FB5" w:rsidRPr="006D5B62" w:rsidRDefault="003A6FB5" w:rsidP="003A6FB5">
            <w:pPr>
              <w:jc w:val="right"/>
              <w:rPr>
                <w:rFonts w:cs="Arial"/>
                <w:b/>
                <w:color w:val="FF0000"/>
                <w:sz w:val="18"/>
                <w:szCs w:val="18"/>
              </w:rPr>
            </w:pPr>
            <w:r w:rsidRPr="006D5B62">
              <w:rPr>
                <w:rFonts w:cs="Arial"/>
                <w:b/>
                <w:color w:val="000000"/>
                <w:sz w:val="18"/>
                <w:szCs w:val="18"/>
              </w:rPr>
              <w:t>314.497</w:t>
            </w:r>
          </w:p>
        </w:tc>
        <w:tc>
          <w:tcPr>
            <w:tcW w:w="380" w:type="pct"/>
            <w:tcBorders>
              <w:top w:val="single" w:sz="4" w:space="0" w:color="auto"/>
              <w:left w:val="nil"/>
              <w:bottom w:val="single" w:sz="4" w:space="0" w:color="auto"/>
              <w:right w:val="single" w:sz="4" w:space="0" w:color="auto"/>
            </w:tcBorders>
            <w:shd w:val="clear" w:color="auto" w:fill="auto"/>
            <w:noWrap/>
            <w:vAlign w:val="center"/>
          </w:tcPr>
          <w:p w14:paraId="5BF200EB" w14:textId="77777777" w:rsidR="003A6FB5" w:rsidRPr="006D5B62" w:rsidRDefault="003A6FB5" w:rsidP="003A6FB5">
            <w:pPr>
              <w:jc w:val="center"/>
              <w:rPr>
                <w:rFonts w:cs="Arial"/>
                <w:b/>
                <w:color w:val="FF0000"/>
                <w:sz w:val="18"/>
                <w:szCs w:val="18"/>
              </w:rPr>
            </w:pPr>
            <w:r w:rsidRPr="006D5B62">
              <w:rPr>
                <w:rFonts w:cs="Arial"/>
                <w:b/>
                <w:color w:val="000000"/>
                <w:sz w:val="18"/>
                <w:szCs w:val="18"/>
              </w:rPr>
              <w:t>100,00</w:t>
            </w:r>
          </w:p>
        </w:tc>
        <w:tc>
          <w:tcPr>
            <w:tcW w:w="533" w:type="pct"/>
            <w:tcBorders>
              <w:top w:val="single" w:sz="4" w:space="0" w:color="auto"/>
              <w:left w:val="nil"/>
              <w:bottom w:val="single" w:sz="4" w:space="0" w:color="auto"/>
              <w:right w:val="single" w:sz="4" w:space="0" w:color="auto"/>
            </w:tcBorders>
            <w:shd w:val="clear" w:color="auto" w:fill="auto"/>
            <w:noWrap/>
            <w:vAlign w:val="center"/>
          </w:tcPr>
          <w:p w14:paraId="6E1A2537" w14:textId="77777777" w:rsidR="003A6FB5" w:rsidRPr="006D5B62" w:rsidRDefault="003A6FB5" w:rsidP="003A6FB5">
            <w:pPr>
              <w:jc w:val="right"/>
              <w:rPr>
                <w:rFonts w:cs="Arial"/>
                <w:b/>
                <w:color w:val="FF0000"/>
                <w:sz w:val="18"/>
                <w:szCs w:val="18"/>
              </w:rPr>
            </w:pPr>
            <w:r w:rsidRPr="006D5B62">
              <w:rPr>
                <w:rFonts w:cs="Arial"/>
                <w:b/>
                <w:color w:val="000000"/>
                <w:sz w:val="18"/>
                <w:szCs w:val="18"/>
              </w:rPr>
              <w:t>223.885</w:t>
            </w:r>
          </w:p>
        </w:tc>
        <w:tc>
          <w:tcPr>
            <w:tcW w:w="377" w:type="pct"/>
            <w:tcBorders>
              <w:top w:val="single" w:sz="4" w:space="0" w:color="auto"/>
              <w:left w:val="nil"/>
              <w:bottom w:val="single" w:sz="4" w:space="0" w:color="auto"/>
              <w:right w:val="single" w:sz="4" w:space="0" w:color="auto"/>
            </w:tcBorders>
            <w:shd w:val="clear" w:color="auto" w:fill="auto"/>
            <w:noWrap/>
            <w:vAlign w:val="center"/>
          </w:tcPr>
          <w:p w14:paraId="7C1293C1" w14:textId="77777777" w:rsidR="003A6FB5" w:rsidRPr="006D5B62" w:rsidRDefault="003A6FB5" w:rsidP="003A6FB5">
            <w:pPr>
              <w:jc w:val="center"/>
              <w:rPr>
                <w:rFonts w:cs="Arial"/>
                <w:b/>
                <w:color w:val="FF0000"/>
                <w:sz w:val="18"/>
                <w:szCs w:val="18"/>
              </w:rPr>
            </w:pPr>
            <w:r w:rsidRPr="006D5B62">
              <w:rPr>
                <w:rFonts w:cs="Arial"/>
                <w:b/>
                <w:color w:val="000000"/>
                <w:sz w:val="18"/>
                <w:szCs w:val="18"/>
              </w:rPr>
              <w:t>100,00</w:t>
            </w:r>
          </w:p>
        </w:tc>
        <w:tc>
          <w:tcPr>
            <w:tcW w:w="604" w:type="pct"/>
            <w:tcBorders>
              <w:top w:val="single" w:sz="4" w:space="0" w:color="auto"/>
              <w:left w:val="nil"/>
              <w:bottom w:val="single" w:sz="4" w:space="0" w:color="auto"/>
              <w:right w:val="single" w:sz="4" w:space="0" w:color="auto"/>
            </w:tcBorders>
            <w:shd w:val="clear" w:color="auto" w:fill="auto"/>
            <w:noWrap/>
            <w:vAlign w:val="center"/>
          </w:tcPr>
          <w:p w14:paraId="6FBB5F27" w14:textId="77777777" w:rsidR="003A6FB5" w:rsidRPr="006D5B62" w:rsidRDefault="003A6FB5" w:rsidP="003A6FB5">
            <w:pPr>
              <w:jc w:val="right"/>
              <w:rPr>
                <w:rFonts w:cs="Arial"/>
                <w:b/>
                <w:color w:val="FF0000"/>
                <w:sz w:val="18"/>
                <w:szCs w:val="18"/>
              </w:rPr>
            </w:pPr>
            <w:r w:rsidRPr="006D5B62">
              <w:rPr>
                <w:rFonts w:cs="Arial"/>
                <w:b/>
                <w:color w:val="000000"/>
                <w:sz w:val="18"/>
                <w:szCs w:val="18"/>
              </w:rPr>
              <w:t>90.612</w:t>
            </w:r>
          </w:p>
        </w:tc>
        <w:tc>
          <w:tcPr>
            <w:tcW w:w="529" w:type="pct"/>
            <w:tcBorders>
              <w:top w:val="single" w:sz="4" w:space="0" w:color="auto"/>
              <w:left w:val="nil"/>
              <w:bottom w:val="single" w:sz="4" w:space="0" w:color="auto"/>
              <w:right w:val="nil"/>
            </w:tcBorders>
            <w:shd w:val="clear" w:color="auto" w:fill="auto"/>
            <w:noWrap/>
            <w:vAlign w:val="center"/>
          </w:tcPr>
          <w:p w14:paraId="023E47BE" w14:textId="77777777" w:rsidR="003A6FB5" w:rsidRPr="006D5B62" w:rsidRDefault="003A6FB5" w:rsidP="003A6FB5">
            <w:pPr>
              <w:jc w:val="center"/>
              <w:rPr>
                <w:rFonts w:cs="Arial"/>
                <w:b/>
                <w:color w:val="000000"/>
                <w:sz w:val="18"/>
                <w:szCs w:val="18"/>
              </w:rPr>
            </w:pPr>
            <w:r w:rsidRPr="006D5B62">
              <w:rPr>
                <w:rFonts w:cs="Arial"/>
                <w:b/>
                <w:color w:val="000000"/>
                <w:sz w:val="18"/>
                <w:szCs w:val="18"/>
              </w:rPr>
              <w:t>40,47</w:t>
            </w:r>
          </w:p>
        </w:tc>
      </w:tr>
    </w:tbl>
    <w:p w14:paraId="4D12EDFC" w14:textId="77777777" w:rsidR="003A6FB5" w:rsidRDefault="003A6FB5" w:rsidP="00EF01A1">
      <w:pPr>
        <w:pStyle w:val="1-FONTE8ESQ"/>
        <w:rPr>
          <w:lang w:eastAsia="en-US"/>
        </w:rPr>
      </w:pPr>
      <w:r w:rsidRPr="00DC42FD">
        <w:rPr>
          <w:lang w:eastAsia="en-US"/>
        </w:rPr>
        <w:t xml:space="preserve">Fonte: </w:t>
      </w:r>
      <w:r w:rsidRPr="00C9564B">
        <w:rPr>
          <w:i/>
          <w:lang w:eastAsia="en-US"/>
        </w:rPr>
        <w:t>Business Objects</w:t>
      </w:r>
    </w:p>
    <w:p w14:paraId="6A40A839" w14:textId="77777777" w:rsidR="003A6FB5" w:rsidRPr="00587662" w:rsidRDefault="003A6FB5" w:rsidP="003A6FB5">
      <w:pPr>
        <w:pStyle w:val="1-REL11"/>
        <w:rPr>
          <w:lang w:eastAsia="en-US"/>
        </w:rPr>
      </w:pPr>
      <w:r>
        <w:rPr>
          <w:lang w:eastAsia="en-US"/>
        </w:rPr>
        <w:t>Esse subgrupo representa 0,12% do Ativo do estado de Goiás e 0,17% do Ativo não Circulante, tendo registrado um crescimento de 40,47% em relação ao exercício de 2022.</w:t>
      </w:r>
    </w:p>
    <w:p w14:paraId="4D827E14" w14:textId="2AF8D0F6" w:rsidR="003A6FB5" w:rsidRDefault="003A6FB5" w:rsidP="003A6FB5">
      <w:pPr>
        <w:pStyle w:val="1-REL11"/>
      </w:pPr>
      <w:r w:rsidRPr="00B54996">
        <w:t>Em consulta ao Demonstrativo Sintético da Movimentação do Ativo Intangível e do Ativo Diferido</w:t>
      </w:r>
      <w:r>
        <w:t xml:space="preserve"> e no Movimento por Conta Contábil/SCG,</w:t>
      </w:r>
      <w:r w:rsidRPr="00B54996">
        <w:t xml:space="preserve"> verificou-se que </w:t>
      </w:r>
      <w:r>
        <w:t>o aumento decorre da incorporação patrimonial n</w:t>
      </w:r>
      <w:r w:rsidRPr="00B54996">
        <w:t>as</w:t>
      </w:r>
      <w:r>
        <w:t xml:space="preserve"> contas </w:t>
      </w:r>
      <w:r w:rsidRPr="00B54996">
        <w:t>1.2.4.1.1.01.00.00.00 Softwares</w:t>
      </w:r>
      <w:r w:rsidRPr="00587662">
        <w:t xml:space="preserve"> – R$</w:t>
      </w:r>
      <w:r>
        <w:t> </w:t>
      </w:r>
      <w:r w:rsidRPr="00587662">
        <w:t>78,2</w:t>
      </w:r>
      <w:r>
        <w:t>7</w:t>
      </w:r>
      <w:r w:rsidR="003E74F2">
        <w:t> </w:t>
      </w:r>
      <w:r w:rsidR="00755658">
        <w:t>milhões</w:t>
      </w:r>
      <w:r w:rsidRPr="00587662">
        <w:t xml:space="preserve"> e</w:t>
      </w:r>
      <w:r>
        <w:t xml:space="preserve"> </w:t>
      </w:r>
      <w:r w:rsidRPr="00B54996">
        <w:t>1.2.4.1.1.02.00.00.00</w:t>
      </w:r>
      <w:r w:rsidRPr="00587662">
        <w:t xml:space="preserve"> </w:t>
      </w:r>
      <w:r>
        <w:t>S</w:t>
      </w:r>
      <w:r w:rsidRPr="00587662">
        <w:t xml:space="preserve">oftwares em </w:t>
      </w:r>
      <w:r>
        <w:t>D</w:t>
      </w:r>
      <w:r w:rsidRPr="00587662">
        <w:t>esenvolvimento – R$</w:t>
      </w:r>
      <w:r w:rsidR="003E74F2">
        <w:t> </w:t>
      </w:r>
      <w:r w:rsidRPr="00587662">
        <w:t>12,87</w:t>
      </w:r>
      <w:r w:rsidR="003E74F2">
        <w:t> </w:t>
      </w:r>
      <w:r w:rsidR="00755658">
        <w:t>milhões</w:t>
      </w:r>
      <w:r>
        <w:t>, totalizando uma elevação</w:t>
      </w:r>
      <w:r w:rsidRPr="00B54996">
        <w:t xml:space="preserve"> de R$</w:t>
      </w:r>
      <w:r w:rsidR="003E74F2">
        <w:t> </w:t>
      </w:r>
      <w:r w:rsidRPr="00B54996">
        <w:t>90,61</w:t>
      </w:r>
      <w:r w:rsidR="003E74F2">
        <w:t> </w:t>
      </w:r>
      <w:r w:rsidR="00755658">
        <w:t>milhões</w:t>
      </w:r>
      <w:r>
        <w:t xml:space="preserve"> no subgrupo Intangível.</w:t>
      </w:r>
    </w:p>
    <w:p w14:paraId="26753F91" w14:textId="77777777" w:rsidR="002A33B4" w:rsidRPr="002A33B4" w:rsidRDefault="002A33B4" w:rsidP="003A6FB5">
      <w:pPr>
        <w:pStyle w:val="1-REL11"/>
        <w:rPr>
          <w:sz w:val="6"/>
          <w:szCs w:val="6"/>
          <w:highlight w:val="lightGray"/>
        </w:rPr>
      </w:pPr>
    </w:p>
    <w:p w14:paraId="2B71167C" w14:textId="0D41CF7D" w:rsidR="006B0CD0" w:rsidRDefault="006B0CD0" w:rsidP="00A224E9">
      <w:pPr>
        <w:pStyle w:val="Ttulo3"/>
      </w:pPr>
      <w:bookmarkStart w:id="447" w:name="_Toc167871710"/>
      <w:r w:rsidRPr="00856683">
        <w:t>Passivo</w:t>
      </w:r>
      <w:bookmarkEnd w:id="445"/>
      <w:bookmarkEnd w:id="447"/>
    </w:p>
    <w:p w14:paraId="75106159" w14:textId="77777777" w:rsidR="006B7928" w:rsidRPr="001B3AFB" w:rsidRDefault="006B7928" w:rsidP="006B7928">
      <w:pPr>
        <w:pStyle w:val="1-REL11"/>
      </w:pPr>
      <w:r w:rsidRPr="001B3AFB">
        <w:t xml:space="preserve">O Passivo compreende as obrigações </w:t>
      </w:r>
      <w:r>
        <w:t xml:space="preserve">presentes </w:t>
      </w:r>
      <w:r w:rsidRPr="001B3AFB">
        <w:t>do ente, oriundas de eventos passados, cuja extinção deva resultar na saída de recursos. Em 202</w:t>
      </w:r>
      <w:r>
        <w:t>3,</w:t>
      </w:r>
      <w:r w:rsidRPr="001B3AFB">
        <w:t xml:space="preserve"> o Passivo apresentou a seguinte estrutura:</w:t>
      </w:r>
    </w:p>
    <w:p w14:paraId="107377BD" w14:textId="2B7A14A9" w:rsidR="006B7928" w:rsidRPr="005425A4" w:rsidRDefault="006B7928" w:rsidP="00ED3571">
      <w:pPr>
        <w:pStyle w:val="0-TABELA"/>
      </w:pPr>
      <w:bookmarkStart w:id="448" w:name="_Toc135332533"/>
      <w:bookmarkStart w:id="449" w:name="_Toc167871824"/>
      <w:r w:rsidRPr="005425A4">
        <w:t>Composição do Passivo</w:t>
      </w:r>
      <w:bookmarkEnd w:id="448"/>
      <w:r w:rsidR="00D21055">
        <w:t xml:space="preserve"> 2023 x 2022</w:t>
      </w:r>
      <w:bookmarkEnd w:id="449"/>
    </w:p>
    <w:p w14:paraId="38C5506C" w14:textId="372E6330" w:rsidR="006B7928" w:rsidRDefault="006B7928" w:rsidP="00DB1541">
      <w:pPr>
        <w:pStyle w:val="0-EmR1"/>
      </w:pPr>
      <w:r w:rsidRPr="008E421F">
        <w:t>R$ mil</w:t>
      </w:r>
    </w:p>
    <w:tbl>
      <w:tblPr>
        <w:tblW w:w="5003" w:type="pct"/>
        <w:tblLayout w:type="fixed"/>
        <w:tblCellMar>
          <w:left w:w="70" w:type="dxa"/>
          <w:right w:w="70" w:type="dxa"/>
        </w:tblCellMar>
        <w:tblLook w:val="04A0" w:firstRow="1" w:lastRow="0" w:firstColumn="1" w:lastColumn="0" w:noHBand="0" w:noVBand="1"/>
      </w:tblPr>
      <w:tblGrid>
        <w:gridCol w:w="3542"/>
        <w:gridCol w:w="1136"/>
        <w:gridCol w:w="707"/>
        <w:gridCol w:w="1136"/>
        <w:gridCol w:w="711"/>
        <w:gridCol w:w="1276"/>
        <w:gridCol w:w="846"/>
      </w:tblGrid>
      <w:tr w:rsidR="000E3F92" w:rsidRPr="000E3F92" w14:paraId="60E538E3" w14:textId="77777777" w:rsidTr="00666825">
        <w:trPr>
          <w:trHeight w:val="477"/>
          <w:tblHeader/>
        </w:trPr>
        <w:tc>
          <w:tcPr>
            <w:tcW w:w="1894" w:type="pct"/>
            <w:vMerge w:val="restart"/>
            <w:tcBorders>
              <w:top w:val="single" w:sz="4" w:space="0" w:color="auto"/>
              <w:left w:val="nil"/>
              <w:bottom w:val="single" w:sz="4" w:space="0" w:color="auto"/>
              <w:right w:val="single" w:sz="4" w:space="0" w:color="auto"/>
            </w:tcBorders>
            <w:shd w:val="clear" w:color="auto" w:fill="A1F2FD"/>
            <w:vAlign w:val="center"/>
            <w:hideMark/>
          </w:tcPr>
          <w:p w14:paraId="110261FC"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Composição</w:t>
            </w:r>
          </w:p>
        </w:tc>
        <w:tc>
          <w:tcPr>
            <w:tcW w:w="607"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2375C9FB"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2023</w:t>
            </w:r>
          </w:p>
        </w:tc>
        <w:tc>
          <w:tcPr>
            <w:tcW w:w="378" w:type="pct"/>
            <w:vMerge w:val="restart"/>
            <w:tcBorders>
              <w:top w:val="single" w:sz="4" w:space="0" w:color="auto"/>
              <w:left w:val="nil"/>
              <w:right w:val="single" w:sz="4" w:space="0" w:color="auto"/>
            </w:tcBorders>
            <w:shd w:val="clear" w:color="auto" w:fill="A1F2FD"/>
            <w:vAlign w:val="center"/>
            <w:hideMark/>
          </w:tcPr>
          <w:p w14:paraId="78D255F5"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 xml:space="preserve">AV 2023 </w:t>
            </w:r>
          </w:p>
          <w:p w14:paraId="3838858D"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w:t>
            </w:r>
          </w:p>
        </w:tc>
        <w:tc>
          <w:tcPr>
            <w:tcW w:w="607"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6B683B47"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2022</w:t>
            </w:r>
          </w:p>
        </w:tc>
        <w:tc>
          <w:tcPr>
            <w:tcW w:w="380" w:type="pct"/>
            <w:vMerge w:val="restart"/>
            <w:tcBorders>
              <w:top w:val="single" w:sz="4" w:space="0" w:color="auto"/>
              <w:left w:val="nil"/>
              <w:right w:val="single" w:sz="4" w:space="0" w:color="auto"/>
            </w:tcBorders>
            <w:shd w:val="clear" w:color="auto" w:fill="A1F2FD"/>
            <w:vAlign w:val="center"/>
            <w:hideMark/>
          </w:tcPr>
          <w:p w14:paraId="18B6F075"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 xml:space="preserve">AV 2022 </w:t>
            </w:r>
          </w:p>
          <w:p w14:paraId="3D336E14"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w:t>
            </w:r>
          </w:p>
        </w:tc>
        <w:tc>
          <w:tcPr>
            <w:tcW w:w="1135" w:type="pct"/>
            <w:gridSpan w:val="2"/>
            <w:tcBorders>
              <w:top w:val="single" w:sz="4" w:space="0" w:color="auto"/>
              <w:left w:val="nil"/>
              <w:bottom w:val="single" w:sz="4" w:space="0" w:color="auto"/>
              <w:right w:val="single" w:sz="4" w:space="0" w:color="auto"/>
            </w:tcBorders>
            <w:shd w:val="clear" w:color="auto" w:fill="A1F2FD"/>
            <w:vAlign w:val="center"/>
            <w:hideMark/>
          </w:tcPr>
          <w:p w14:paraId="7912CA3B"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 2023 x 2022</w:t>
            </w:r>
          </w:p>
        </w:tc>
      </w:tr>
      <w:tr w:rsidR="000E3F92" w:rsidRPr="000E3F92" w14:paraId="64EF3EE1" w14:textId="77777777" w:rsidTr="002A33B4">
        <w:trPr>
          <w:trHeight w:val="340"/>
          <w:tblHeader/>
        </w:trPr>
        <w:tc>
          <w:tcPr>
            <w:tcW w:w="1894" w:type="pct"/>
            <w:vMerge/>
            <w:tcBorders>
              <w:top w:val="single" w:sz="4" w:space="0" w:color="auto"/>
              <w:left w:val="nil"/>
              <w:bottom w:val="single" w:sz="4" w:space="0" w:color="auto"/>
              <w:right w:val="single" w:sz="4" w:space="0" w:color="auto"/>
            </w:tcBorders>
            <w:shd w:val="clear" w:color="auto" w:fill="A1F2FD"/>
            <w:vAlign w:val="center"/>
          </w:tcPr>
          <w:p w14:paraId="54C43541" w14:textId="77777777" w:rsidR="006B7928" w:rsidRPr="000E3F92" w:rsidRDefault="006B7928" w:rsidP="00DB1541">
            <w:pPr>
              <w:jc w:val="left"/>
              <w:rPr>
                <w:rFonts w:cs="Arial"/>
                <w:b/>
                <w:bCs/>
                <w:color w:val="000000"/>
                <w:sz w:val="18"/>
                <w:szCs w:val="18"/>
              </w:rPr>
            </w:pPr>
          </w:p>
        </w:tc>
        <w:tc>
          <w:tcPr>
            <w:tcW w:w="607" w:type="pct"/>
            <w:vMerge/>
            <w:tcBorders>
              <w:top w:val="single" w:sz="4" w:space="0" w:color="auto"/>
              <w:left w:val="single" w:sz="4" w:space="0" w:color="auto"/>
              <w:right w:val="single" w:sz="4" w:space="0" w:color="auto"/>
            </w:tcBorders>
            <w:shd w:val="clear" w:color="auto" w:fill="A1F2FD"/>
            <w:vAlign w:val="center"/>
          </w:tcPr>
          <w:p w14:paraId="063BE1D2" w14:textId="77777777" w:rsidR="006B7928" w:rsidRPr="000E3F92" w:rsidRDefault="006B7928" w:rsidP="00DB1541">
            <w:pPr>
              <w:jc w:val="left"/>
              <w:rPr>
                <w:rFonts w:cs="Arial"/>
                <w:b/>
                <w:bCs/>
                <w:color w:val="000000"/>
                <w:sz w:val="18"/>
                <w:szCs w:val="18"/>
              </w:rPr>
            </w:pPr>
          </w:p>
        </w:tc>
        <w:tc>
          <w:tcPr>
            <w:tcW w:w="378" w:type="pct"/>
            <w:vMerge/>
            <w:tcBorders>
              <w:left w:val="nil"/>
              <w:right w:val="single" w:sz="4" w:space="0" w:color="auto"/>
            </w:tcBorders>
            <w:shd w:val="clear" w:color="auto" w:fill="A1F2FD"/>
            <w:vAlign w:val="center"/>
          </w:tcPr>
          <w:p w14:paraId="4252FBA6" w14:textId="77777777" w:rsidR="006B7928" w:rsidRPr="000E3F92" w:rsidRDefault="006B7928" w:rsidP="00DB1541">
            <w:pPr>
              <w:jc w:val="center"/>
              <w:rPr>
                <w:rFonts w:cs="Arial"/>
                <w:b/>
                <w:bCs/>
                <w:color w:val="000000"/>
                <w:sz w:val="18"/>
                <w:szCs w:val="18"/>
              </w:rPr>
            </w:pPr>
          </w:p>
        </w:tc>
        <w:tc>
          <w:tcPr>
            <w:tcW w:w="607" w:type="pct"/>
            <w:vMerge/>
            <w:tcBorders>
              <w:top w:val="single" w:sz="4" w:space="0" w:color="auto"/>
              <w:left w:val="single" w:sz="4" w:space="0" w:color="auto"/>
              <w:right w:val="single" w:sz="4" w:space="0" w:color="auto"/>
            </w:tcBorders>
            <w:shd w:val="clear" w:color="auto" w:fill="A1F2FD"/>
            <w:vAlign w:val="center"/>
          </w:tcPr>
          <w:p w14:paraId="048CD84A" w14:textId="77777777" w:rsidR="006B7928" w:rsidRPr="000E3F92" w:rsidRDefault="006B7928" w:rsidP="00DB1541">
            <w:pPr>
              <w:jc w:val="left"/>
              <w:rPr>
                <w:rFonts w:cs="Arial"/>
                <w:b/>
                <w:bCs/>
                <w:color w:val="000000"/>
                <w:sz w:val="18"/>
                <w:szCs w:val="18"/>
              </w:rPr>
            </w:pPr>
          </w:p>
        </w:tc>
        <w:tc>
          <w:tcPr>
            <w:tcW w:w="380" w:type="pct"/>
            <w:vMerge/>
            <w:tcBorders>
              <w:left w:val="nil"/>
              <w:right w:val="single" w:sz="4" w:space="0" w:color="auto"/>
            </w:tcBorders>
            <w:shd w:val="clear" w:color="auto" w:fill="A1F2FD"/>
            <w:vAlign w:val="center"/>
          </w:tcPr>
          <w:p w14:paraId="2A523F37" w14:textId="77777777" w:rsidR="006B7928" w:rsidRPr="000E3F92" w:rsidRDefault="006B7928" w:rsidP="00DB1541">
            <w:pPr>
              <w:jc w:val="center"/>
              <w:rPr>
                <w:rFonts w:cs="Arial"/>
                <w:b/>
                <w:bCs/>
                <w:color w:val="000000"/>
                <w:sz w:val="18"/>
                <w:szCs w:val="18"/>
              </w:rPr>
            </w:pPr>
          </w:p>
        </w:tc>
        <w:tc>
          <w:tcPr>
            <w:tcW w:w="682" w:type="pct"/>
            <w:tcBorders>
              <w:top w:val="nil"/>
              <w:left w:val="nil"/>
              <w:right w:val="single" w:sz="4" w:space="0" w:color="auto"/>
            </w:tcBorders>
            <w:shd w:val="clear" w:color="auto" w:fill="A1F2FD"/>
            <w:vAlign w:val="center"/>
          </w:tcPr>
          <w:p w14:paraId="304FDA87"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R$</w:t>
            </w:r>
          </w:p>
        </w:tc>
        <w:tc>
          <w:tcPr>
            <w:tcW w:w="453" w:type="pct"/>
            <w:tcBorders>
              <w:top w:val="nil"/>
              <w:left w:val="nil"/>
              <w:right w:val="nil"/>
            </w:tcBorders>
            <w:shd w:val="clear" w:color="auto" w:fill="A1F2FD"/>
            <w:vAlign w:val="center"/>
          </w:tcPr>
          <w:p w14:paraId="027F33B4"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w:t>
            </w:r>
          </w:p>
        </w:tc>
      </w:tr>
      <w:tr w:rsidR="000E3F92" w:rsidRPr="000E3F92" w14:paraId="3DA616BE" w14:textId="77777777" w:rsidTr="002A33B4">
        <w:trPr>
          <w:trHeight w:val="340"/>
          <w:tblHeader/>
        </w:trPr>
        <w:tc>
          <w:tcPr>
            <w:tcW w:w="1894" w:type="pct"/>
            <w:vMerge/>
            <w:tcBorders>
              <w:top w:val="single" w:sz="4" w:space="0" w:color="auto"/>
              <w:left w:val="nil"/>
              <w:bottom w:val="single" w:sz="4" w:space="0" w:color="auto"/>
              <w:right w:val="single" w:sz="4" w:space="0" w:color="auto"/>
            </w:tcBorders>
            <w:shd w:val="clear" w:color="auto" w:fill="A1F2FD"/>
            <w:vAlign w:val="center"/>
            <w:hideMark/>
          </w:tcPr>
          <w:p w14:paraId="494C2A50" w14:textId="77777777" w:rsidR="006B7928" w:rsidRPr="000E3F92" w:rsidRDefault="006B7928" w:rsidP="00DB1541">
            <w:pPr>
              <w:jc w:val="left"/>
              <w:rPr>
                <w:rFonts w:cs="Arial"/>
                <w:b/>
                <w:bCs/>
                <w:color w:val="000000"/>
                <w:sz w:val="18"/>
                <w:szCs w:val="18"/>
              </w:rPr>
            </w:pPr>
          </w:p>
        </w:tc>
        <w:tc>
          <w:tcPr>
            <w:tcW w:w="607" w:type="pct"/>
            <w:tcBorders>
              <w:left w:val="single" w:sz="4" w:space="0" w:color="auto"/>
              <w:bottom w:val="single" w:sz="4" w:space="0" w:color="auto"/>
              <w:right w:val="single" w:sz="4" w:space="0" w:color="auto"/>
            </w:tcBorders>
            <w:shd w:val="clear" w:color="auto" w:fill="A1F2FD"/>
            <w:vAlign w:val="center"/>
            <w:hideMark/>
          </w:tcPr>
          <w:p w14:paraId="0A00111D"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(a)</w:t>
            </w:r>
          </w:p>
        </w:tc>
        <w:tc>
          <w:tcPr>
            <w:tcW w:w="378" w:type="pct"/>
            <w:tcBorders>
              <w:left w:val="nil"/>
              <w:bottom w:val="single" w:sz="4" w:space="0" w:color="auto"/>
              <w:right w:val="single" w:sz="4" w:space="0" w:color="auto"/>
            </w:tcBorders>
            <w:shd w:val="clear" w:color="auto" w:fill="A1F2FD"/>
            <w:vAlign w:val="center"/>
            <w:hideMark/>
          </w:tcPr>
          <w:p w14:paraId="3F9D350A"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(b)</w:t>
            </w:r>
          </w:p>
        </w:tc>
        <w:tc>
          <w:tcPr>
            <w:tcW w:w="607" w:type="pct"/>
            <w:tcBorders>
              <w:left w:val="single" w:sz="4" w:space="0" w:color="auto"/>
              <w:bottom w:val="single" w:sz="4" w:space="0" w:color="auto"/>
              <w:right w:val="single" w:sz="4" w:space="0" w:color="auto"/>
            </w:tcBorders>
            <w:shd w:val="clear" w:color="auto" w:fill="A1F2FD"/>
            <w:vAlign w:val="center"/>
            <w:hideMark/>
          </w:tcPr>
          <w:p w14:paraId="0D08A09F"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(c)</w:t>
            </w:r>
          </w:p>
        </w:tc>
        <w:tc>
          <w:tcPr>
            <w:tcW w:w="380" w:type="pct"/>
            <w:tcBorders>
              <w:left w:val="nil"/>
              <w:bottom w:val="single" w:sz="4" w:space="0" w:color="auto"/>
              <w:right w:val="single" w:sz="4" w:space="0" w:color="auto"/>
            </w:tcBorders>
            <w:shd w:val="clear" w:color="auto" w:fill="A1F2FD"/>
            <w:vAlign w:val="center"/>
            <w:hideMark/>
          </w:tcPr>
          <w:p w14:paraId="1F069B07"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(d)</w:t>
            </w:r>
          </w:p>
        </w:tc>
        <w:tc>
          <w:tcPr>
            <w:tcW w:w="682" w:type="pct"/>
            <w:tcBorders>
              <w:left w:val="nil"/>
              <w:bottom w:val="single" w:sz="4" w:space="0" w:color="auto"/>
              <w:right w:val="single" w:sz="4" w:space="0" w:color="auto"/>
            </w:tcBorders>
            <w:shd w:val="clear" w:color="auto" w:fill="A1F2FD"/>
            <w:vAlign w:val="center"/>
            <w:hideMark/>
          </w:tcPr>
          <w:p w14:paraId="5B7615E9" w14:textId="6F38EE39" w:rsidR="006B7928" w:rsidRPr="000E3F92" w:rsidRDefault="006B7928" w:rsidP="00DB1541">
            <w:pPr>
              <w:ind w:left="-107" w:right="-117"/>
              <w:jc w:val="center"/>
              <w:rPr>
                <w:rFonts w:cs="Arial"/>
                <w:b/>
                <w:bCs/>
                <w:color w:val="000000"/>
                <w:sz w:val="18"/>
                <w:szCs w:val="18"/>
              </w:rPr>
            </w:pPr>
            <w:r w:rsidRPr="000E3F92">
              <w:rPr>
                <w:rFonts w:cs="Arial"/>
                <w:b/>
                <w:bCs/>
                <w:color w:val="000000"/>
                <w:sz w:val="18"/>
                <w:szCs w:val="18"/>
              </w:rPr>
              <w:t>(e) = (a-</w:t>
            </w:r>
            <w:r w:rsidR="002A33B4">
              <w:rPr>
                <w:rFonts w:cs="Arial"/>
                <w:b/>
                <w:bCs/>
                <w:color w:val="000000"/>
                <w:sz w:val="18"/>
                <w:szCs w:val="18"/>
              </w:rPr>
              <w:t>c</w:t>
            </w:r>
            <w:r w:rsidRPr="000E3F92">
              <w:rPr>
                <w:rFonts w:cs="Arial"/>
                <w:b/>
                <w:bCs/>
                <w:color w:val="000000"/>
                <w:sz w:val="18"/>
                <w:szCs w:val="18"/>
              </w:rPr>
              <w:t>)</w:t>
            </w:r>
          </w:p>
        </w:tc>
        <w:tc>
          <w:tcPr>
            <w:tcW w:w="453" w:type="pct"/>
            <w:tcBorders>
              <w:left w:val="nil"/>
              <w:bottom w:val="single" w:sz="4" w:space="0" w:color="auto"/>
              <w:right w:val="nil"/>
            </w:tcBorders>
            <w:shd w:val="clear" w:color="auto" w:fill="A1F2FD"/>
            <w:vAlign w:val="center"/>
            <w:hideMark/>
          </w:tcPr>
          <w:p w14:paraId="5C337897" w14:textId="77777777" w:rsidR="006B7928" w:rsidRPr="000E3F92" w:rsidRDefault="006B7928" w:rsidP="00DB1541">
            <w:pPr>
              <w:ind w:left="-75" w:right="-76"/>
              <w:jc w:val="center"/>
              <w:rPr>
                <w:rFonts w:cs="Arial"/>
                <w:b/>
                <w:bCs/>
                <w:color w:val="000000"/>
                <w:sz w:val="18"/>
                <w:szCs w:val="18"/>
              </w:rPr>
            </w:pPr>
            <w:r w:rsidRPr="000E3F92">
              <w:rPr>
                <w:rFonts w:cs="Arial"/>
                <w:b/>
                <w:bCs/>
                <w:color w:val="000000"/>
                <w:sz w:val="18"/>
                <w:szCs w:val="18"/>
              </w:rPr>
              <w:t>(f) = (e/c)</w:t>
            </w:r>
          </w:p>
        </w:tc>
      </w:tr>
      <w:tr w:rsidR="000E3F92" w:rsidRPr="000E3F92" w14:paraId="69E438A5" w14:textId="77777777" w:rsidTr="002A33B4">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hideMark/>
          </w:tcPr>
          <w:p w14:paraId="6871E406" w14:textId="77777777" w:rsidR="006B7928" w:rsidRPr="000E3F92" w:rsidRDefault="006B7928" w:rsidP="00DB1541">
            <w:pPr>
              <w:jc w:val="left"/>
              <w:rPr>
                <w:rFonts w:cs="Arial"/>
                <w:b/>
                <w:bCs/>
                <w:color w:val="000000"/>
                <w:sz w:val="18"/>
                <w:szCs w:val="18"/>
              </w:rPr>
            </w:pPr>
            <w:r w:rsidRPr="000E3F92">
              <w:rPr>
                <w:rFonts w:cs="Arial"/>
                <w:b/>
                <w:bCs/>
                <w:color w:val="000000"/>
                <w:sz w:val="18"/>
                <w:szCs w:val="18"/>
              </w:rPr>
              <w:t xml:space="preserve">Passivo Circulante </w:t>
            </w:r>
          </w:p>
        </w:tc>
        <w:tc>
          <w:tcPr>
            <w:tcW w:w="607" w:type="pct"/>
            <w:tcBorders>
              <w:top w:val="nil"/>
              <w:left w:val="nil"/>
              <w:bottom w:val="nil"/>
              <w:right w:val="single" w:sz="4" w:space="0" w:color="auto"/>
            </w:tcBorders>
            <w:shd w:val="clear" w:color="auto" w:fill="auto"/>
            <w:noWrap/>
            <w:vAlign w:val="center"/>
            <w:hideMark/>
          </w:tcPr>
          <w:p w14:paraId="74459DFB" w14:textId="77777777" w:rsidR="006B7928" w:rsidRPr="000E3F92" w:rsidRDefault="006B7928" w:rsidP="00DB1541">
            <w:pPr>
              <w:jc w:val="right"/>
              <w:rPr>
                <w:rFonts w:cs="Arial"/>
                <w:b/>
                <w:bCs/>
                <w:color w:val="000000"/>
                <w:sz w:val="18"/>
                <w:szCs w:val="18"/>
              </w:rPr>
            </w:pPr>
            <w:r w:rsidRPr="000E3F92">
              <w:rPr>
                <w:rFonts w:cs="Arial"/>
                <w:b/>
                <w:bCs/>
                <w:color w:val="000000"/>
                <w:sz w:val="18"/>
                <w:szCs w:val="18"/>
              </w:rPr>
              <w:t>17.186.749</w:t>
            </w:r>
          </w:p>
        </w:tc>
        <w:tc>
          <w:tcPr>
            <w:tcW w:w="378" w:type="pct"/>
            <w:tcBorders>
              <w:top w:val="nil"/>
              <w:left w:val="nil"/>
              <w:bottom w:val="nil"/>
              <w:right w:val="single" w:sz="4" w:space="0" w:color="auto"/>
            </w:tcBorders>
            <w:shd w:val="clear" w:color="auto" w:fill="auto"/>
            <w:noWrap/>
            <w:vAlign w:val="center"/>
            <w:hideMark/>
          </w:tcPr>
          <w:p w14:paraId="2DCAA44A"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5,95</w:t>
            </w:r>
          </w:p>
        </w:tc>
        <w:tc>
          <w:tcPr>
            <w:tcW w:w="607" w:type="pct"/>
            <w:tcBorders>
              <w:top w:val="nil"/>
              <w:left w:val="nil"/>
              <w:bottom w:val="nil"/>
              <w:right w:val="single" w:sz="4" w:space="0" w:color="auto"/>
            </w:tcBorders>
            <w:shd w:val="clear" w:color="auto" w:fill="auto"/>
            <w:noWrap/>
            <w:vAlign w:val="center"/>
            <w:hideMark/>
          </w:tcPr>
          <w:p w14:paraId="520D7955" w14:textId="77777777" w:rsidR="006B7928" w:rsidRPr="000E3F92" w:rsidRDefault="006B7928" w:rsidP="00DB1541">
            <w:pPr>
              <w:jc w:val="right"/>
              <w:rPr>
                <w:rFonts w:cs="Arial"/>
                <w:b/>
                <w:bCs/>
                <w:color w:val="000000"/>
                <w:sz w:val="18"/>
                <w:szCs w:val="18"/>
              </w:rPr>
            </w:pPr>
            <w:r w:rsidRPr="000E3F92">
              <w:rPr>
                <w:rFonts w:cs="Arial"/>
                <w:b/>
                <w:bCs/>
                <w:color w:val="000000"/>
                <w:sz w:val="18"/>
                <w:szCs w:val="18"/>
              </w:rPr>
              <w:t>3.191.576</w:t>
            </w:r>
          </w:p>
        </w:tc>
        <w:tc>
          <w:tcPr>
            <w:tcW w:w="380" w:type="pct"/>
            <w:tcBorders>
              <w:top w:val="nil"/>
              <w:left w:val="nil"/>
              <w:bottom w:val="nil"/>
              <w:right w:val="single" w:sz="4" w:space="0" w:color="auto"/>
            </w:tcBorders>
            <w:shd w:val="clear" w:color="auto" w:fill="auto"/>
            <w:noWrap/>
            <w:vAlign w:val="center"/>
            <w:hideMark/>
          </w:tcPr>
          <w:p w14:paraId="69F49289"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11,70</w:t>
            </w:r>
          </w:p>
        </w:tc>
        <w:tc>
          <w:tcPr>
            <w:tcW w:w="682" w:type="pct"/>
            <w:tcBorders>
              <w:top w:val="nil"/>
              <w:left w:val="nil"/>
              <w:bottom w:val="nil"/>
              <w:right w:val="single" w:sz="4" w:space="0" w:color="auto"/>
            </w:tcBorders>
            <w:shd w:val="clear" w:color="auto" w:fill="auto"/>
            <w:noWrap/>
            <w:vAlign w:val="center"/>
            <w:hideMark/>
          </w:tcPr>
          <w:p w14:paraId="66A677BF" w14:textId="77777777" w:rsidR="006B7928" w:rsidRPr="000E3F92" w:rsidRDefault="006B7928" w:rsidP="00DB1541">
            <w:pPr>
              <w:jc w:val="right"/>
              <w:rPr>
                <w:rFonts w:cs="Arial"/>
                <w:b/>
                <w:bCs/>
                <w:color w:val="000000"/>
                <w:sz w:val="18"/>
                <w:szCs w:val="18"/>
              </w:rPr>
            </w:pPr>
            <w:r w:rsidRPr="000E3F92">
              <w:rPr>
                <w:rFonts w:cs="Arial"/>
                <w:b/>
                <w:bCs/>
                <w:color w:val="000000"/>
                <w:sz w:val="18"/>
                <w:szCs w:val="18"/>
              </w:rPr>
              <w:t>13.995.173</w:t>
            </w:r>
          </w:p>
        </w:tc>
        <w:tc>
          <w:tcPr>
            <w:tcW w:w="453" w:type="pct"/>
            <w:tcBorders>
              <w:top w:val="nil"/>
              <w:left w:val="nil"/>
              <w:bottom w:val="nil"/>
              <w:right w:val="nil"/>
            </w:tcBorders>
            <w:shd w:val="clear" w:color="auto" w:fill="auto"/>
            <w:noWrap/>
            <w:vAlign w:val="center"/>
            <w:hideMark/>
          </w:tcPr>
          <w:p w14:paraId="1B4CBC65"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438,50</w:t>
            </w:r>
          </w:p>
        </w:tc>
      </w:tr>
      <w:tr w:rsidR="000E3F92" w:rsidRPr="000E3F92" w14:paraId="4AF42D5B" w14:textId="77777777" w:rsidTr="002A33B4">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hideMark/>
          </w:tcPr>
          <w:p w14:paraId="735DF67E"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t xml:space="preserve">Obrigações Trabalhistas, Previd. e </w:t>
            </w:r>
          </w:p>
          <w:p w14:paraId="76C636D5"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t xml:space="preserve">Assistenciais a Pagar </w:t>
            </w:r>
          </w:p>
        </w:tc>
        <w:tc>
          <w:tcPr>
            <w:tcW w:w="607" w:type="pct"/>
            <w:tcBorders>
              <w:top w:val="nil"/>
              <w:left w:val="nil"/>
              <w:bottom w:val="nil"/>
              <w:right w:val="single" w:sz="4" w:space="0" w:color="auto"/>
            </w:tcBorders>
            <w:shd w:val="clear" w:color="auto" w:fill="auto"/>
            <w:noWrap/>
            <w:vAlign w:val="center"/>
            <w:hideMark/>
          </w:tcPr>
          <w:p w14:paraId="2D327B59" w14:textId="77777777" w:rsidR="006B7928" w:rsidRPr="000E3F92" w:rsidRDefault="006B7928" w:rsidP="00DB1541">
            <w:pPr>
              <w:jc w:val="right"/>
              <w:rPr>
                <w:rFonts w:cs="Arial"/>
                <w:color w:val="000000"/>
                <w:sz w:val="18"/>
                <w:szCs w:val="18"/>
              </w:rPr>
            </w:pPr>
            <w:r w:rsidRPr="000E3F92">
              <w:rPr>
                <w:rFonts w:cs="Arial"/>
                <w:color w:val="000000"/>
                <w:sz w:val="18"/>
                <w:szCs w:val="18"/>
              </w:rPr>
              <w:t>345.034</w:t>
            </w:r>
          </w:p>
        </w:tc>
        <w:tc>
          <w:tcPr>
            <w:tcW w:w="378" w:type="pct"/>
            <w:tcBorders>
              <w:top w:val="nil"/>
              <w:left w:val="nil"/>
              <w:bottom w:val="nil"/>
              <w:right w:val="single" w:sz="4" w:space="0" w:color="auto"/>
            </w:tcBorders>
            <w:shd w:val="clear" w:color="auto" w:fill="auto"/>
            <w:noWrap/>
            <w:vAlign w:val="center"/>
            <w:hideMark/>
          </w:tcPr>
          <w:p w14:paraId="04B2C374" w14:textId="77777777" w:rsidR="006B7928" w:rsidRPr="000E3F92" w:rsidRDefault="006B7928" w:rsidP="00DB1541">
            <w:pPr>
              <w:jc w:val="center"/>
              <w:rPr>
                <w:rFonts w:cs="Arial"/>
                <w:color w:val="000000"/>
                <w:sz w:val="18"/>
                <w:szCs w:val="18"/>
              </w:rPr>
            </w:pPr>
            <w:r w:rsidRPr="000E3F92">
              <w:rPr>
                <w:rFonts w:cs="Arial"/>
                <w:color w:val="000000"/>
                <w:sz w:val="18"/>
                <w:szCs w:val="18"/>
              </w:rPr>
              <w:t>0,12</w:t>
            </w:r>
          </w:p>
        </w:tc>
        <w:tc>
          <w:tcPr>
            <w:tcW w:w="607" w:type="pct"/>
            <w:tcBorders>
              <w:top w:val="nil"/>
              <w:left w:val="nil"/>
              <w:bottom w:val="nil"/>
              <w:right w:val="single" w:sz="4" w:space="0" w:color="auto"/>
            </w:tcBorders>
            <w:shd w:val="clear" w:color="auto" w:fill="auto"/>
            <w:noWrap/>
            <w:vAlign w:val="center"/>
            <w:hideMark/>
          </w:tcPr>
          <w:p w14:paraId="5900DC81" w14:textId="77777777" w:rsidR="006B7928" w:rsidRPr="000E3F92" w:rsidRDefault="006B7928" w:rsidP="00DB1541">
            <w:pPr>
              <w:jc w:val="right"/>
              <w:rPr>
                <w:rFonts w:cs="Arial"/>
                <w:color w:val="000000"/>
                <w:sz w:val="18"/>
                <w:szCs w:val="18"/>
              </w:rPr>
            </w:pPr>
            <w:r w:rsidRPr="000E3F92">
              <w:rPr>
                <w:rFonts w:cs="Arial"/>
                <w:color w:val="000000"/>
                <w:sz w:val="18"/>
                <w:szCs w:val="18"/>
              </w:rPr>
              <w:t>406.920</w:t>
            </w:r>
          </w:p>
        </w:tc>
        <w:tc>
          <w:tcPr>
            <w:tcW w:w="380" w:type="pct"/>
            <w:tcBorders>
              <w:top w:val="nil"/>
              <w:left w:val="nil"/>
              <w:bottom w:val="nil"/>
              <w:right w:val="single" w:sz="4" w:space="0" w:color="auto"/>
            </w:tcBorders>
            <w:shd w:val="clear" w:color="auto" w:fill="auto"/>
            <w:noWrap/>
            <w:vAlign w:val="center"/>
            <w:hideMark/>
          </w:tcPr>
          <w:p w14:paraId="111836E1" w14:textId="77777777" w:rsidR="006B7928" w:rsidRPr="000E3F92" w:rsidRDefault="006B7928" w:rsidP="00DB1541">
            <w:pPr>
              <w:jc w:val="center"/>
              <w:rPr>
                <w:rFonts w:cs="Arial"/>
                <w:color w:val="000000"/>
                <w:sz w:val="18"/>
                <w:szCs w:val="18"/>
              </w:rPr>
            </w:pPr>
            <w:r w:rsidRPr="000E3F92">
              <w:rPr>
                <w:rFonts w:cs="Arial"/>
                <w:color w:val="000000"/>
                <w:sz w:val="18"/>
                <w:szCs w:val="18"/>
              </w:rPr>
              <w:t>1,49</w:t>
            </w:r>
          </w:p>
        </w:tc>
        <w:tc>
          <w:tcPr>
            <w:tcW w:w="682" w:type="pct"/>
            <w:tcBorders>
              <w:top w:val="nil"/>
              <w:left w:val="nil"/>
              <w:bottom w:val="nil"/>
              <w:right w:val="single" w:sz="4" w:space="0" w:color="auto"/>
            </w:tcBorders>
            <w:shd w:val="clear" w:color="auto" w:fill="auto"/>
            <w:noWrap/>
            <w:vAlign w:val="center"/>
            <w:hideMark/>
          </w:tcPr>
          <w:p w14:paraId="68FE0C6F" w14:textId="77777777" w:rsidR="006B7928" w:rsidRPr="000E3F92" w:rsidRDefault="006B7928" w:rsidP="00DB1541">
            <w:pPr>
              <w:jc w:val="right"/>
              <w:rPr>
                <w:rFonts w:cs="Arial"/>
                <w:color w:val="000000"/>
                <w:sz w:val="18"/>
                <w:szCs w:val="18"/>
              </w:rPr>
            </w:pPr>
            <w:r w:rsidRPr="000E3F92">
              <w:rPr>
                <w:rFonts w:cs="Arial"/>
                <w:color w:val="FF0000"/>
                <w:sz w:val="18"/>
                <w:szCs w:val="18"/>
              </w:rPr>
              <w:t>(61.886)</w:t>
            </w:r>
          </w:p>
        </w:tc>
        <w:tc>
          <w:tcPr>
            <w:tcW w:w="453" w:type="pct"/>
            <w:tcBorders>
              <w:top w:val="nil"/>
              <w:left w:val="nil"/>
              <w:bottom w:val="nil"/>
              <w:right w:val="nil"/>
            </w:tcBorders>
            <w:shd w:val="clear" w:color="auto" w:fill="auto"/>
            <w:noWrap/>
            <w:vAlign w:val="center"/>
            <w:hideMark/>
          </w:tcPr>
          <w:p w14:paraId="752FEF17" w14:textId="77777777" w:rsidR="006B7928" w:rsidRPr="000E3F92" w:rsidRDefault="006B7928" w:rsidP="00DB1541">
            <w:pPr>
              <w:jc w:val="center"/>
              <w:rPr>
                <w:rFonts w:cs="Arial"/>
                <w:color w:val="000000"/>
                <w:sz w:val="18"/>
                <w:szCs w:val="18"/>
              </w:rPr>
            </w:pPr>
            <w:r w:rsidRPr="000E3F92">
              <w:rPr>
                <w:rFonts w:cs="Arial"/>
                <w:color w:val="FF0000"/>
                <w:sz w:val="18"/>
                <w:szCs w:val="18"/>
              </w:rPr>
              <w:t>(15,21)</w:t>
            </w:r>
          </w:p>
        </w:tc>
      </w:tr>
      <w:tr w:rsidR="000E3F92" w:rsidRPr="000E3F92" w14:paraId="2D4D3718" w14:textId="77777777" w:rsidTr="002A33B4">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hideMark/>
          </w:tcPr>
          <w:p w14:paraId="147CDA65"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t>Empréstimos e Financiamentos</w:t>
            </w:r>
          </w:p>
        </w:tc>
        <w:tc>
          <w:tcPr>
            <w:tcW w:w="607" w:type="pct"/>
            <w:tcBorders>
              <w:top w:val="nil"/>
              <w:left w:val="nil"/>
              <w:bottom w:val="nil"/>
              <w:right w:val="single" w:sz="4" w:space="0" w:color="auto"/>
            </w:tcBorders>
            <w:shd w:val="clear" w:color="auto" w:fill="auto"/>
            <w:noWrap/>
            <w:vAlign w:val="center"/>
            <w:hideMark/>
          </w:tcPr>
          <w:p w14:paraId="14D32278" w14:textId="77777777" w:rsidR="006B7928" w:rsidRPr="000E3F92" w:rsidRDefault="006B7928" w:rsidP="00DB1541">
            <w:pPr>
              <w:jc w:val="right"/>
              <w:rPr>
                <w:rFonts w:cs="Arial"/>
                <w:color w:val="000000"/>
                <w:sz w:val="18"/>
                <w:szCs w:val="18"/>
              </w:rPr>
            </w:pPr>
            <w:r w:rsidRPr="000E3F92">
              <w:rPr>
                <w:rFonts w:cs="Arial"/>
                <w:color w:val="000000"/>
                <w:sz w:val="18"/>
                <w:szCs w:val="18"/>
              </w:rPr>
              <w:t>1.236.907</w:t>
            </w:r>
          </w:p>
        </w:tc>
        <w:tc>
          <w:tcPr>
            <w:tcW w:w="378" w:type="pct"/>
            <w:tcBorders>
              <w:top w:val="nil"/>
              <w:left w:val="nil"/>
              <w:bottom w:val="nil"/>
              <w:right w:val="single" w:sz="4" w:space="0" w:color="auto"/>
            </w:tcBorders>
            <w:shd w:val="clear" w:color="auto" w:fill="auto"/>
            <w:noWrap/>
            <w:vAlign w:val="center"/>
            <w:hideMark/>
          </w:tcPr>
          <w:p w14:paraId="02DE1DE7" w14:textId="77777777" w:rsidR="006B7928" w:rsidRPr="000E3F92" w:rsidRDefault="006B7928" w:rsidP="00DB1541">
            <w:pPr>
              <w:jc w:val="center"/>
              <w:rPr>
                <w:rFonts w:cs="Arial"/>
                <w:color w:val="000000"/>
                <w:sz w:val="18"/>
                <w:szCs w:val="18"/>
              </w:rPr>
            </w:pPr>
            <w:r w:rsidRPr="000E3F92">
              <w:rPr>
                <w:rFonts w:cs="Arial"/>
                <w:color w:val="000000"/>
                <w:sz w:val="18"/>
                <w:szCs w:val="18"/>
              </w:rPr>
              <w:t>0,43</w:t>
            </w:r>
          </w:p>
        </w:tc>
        <w:tc>
          <w:tcPr>
            <w:tcW w:w="607" w:type="pct"/>
            <w:tcBorders>
              <w:top w:val="nil"/>
              <w:left w:val="nil"/>
              <w:bottom w:val="nil"/>
              <w:right w:val="single" w:sz="4" w:space="0" w:color="auto"/>
            </w:tcBorders>
            <w:shd w:val="clear" w:color="auto" w:fill="auto"/>
            <w:noWrap/>
            <w:vAlign w:val="center"/>
            <w:hideMark/>
          </w:tcPr>
          <w:p w14:paraId="1E2DE543" w14:textId="77777777" w:rsidR="006B7928" w:rsidRPr="000E3F92" w:rsidRDefault="006B7928" w:rsidP="00DB1541">
            <w:pPr>
              <w:jc w:val="right"/>
              <w:rPr>
                <w:rFonts w:cs="Arial"/>
                <w:color w:val="000000"/>
                <w:sz w:val="18"/>
                <w:szCs w:val="18"/>
              </w:rPr>
            </w:pPr>
            <w:r w:rsidRPr="000E3F92">
              <w:rPr>
                <w:rFonts w:cs="Arial"/>
                <w:color w:val="000000"/>
                <w:sz w:val="18"/>
                <w:szCs w:val="18"/>
              </w:rPr>
              <w:t>1.136.973</w:t>
            </w:r>
          </w:p>
        </w:tc>
        <w:tc>
          <w:tcPr>
            <w:tcW w:w="380" w:type="pct"/>
            <w:tcBorders>
              <w:top w:val="nil"/>
              <w:left w:val="nil"/>
              <w:bottom w:val="nil"/>
              <w:right w:val="single" w:sz="4" w:space="0" w:color="auto"/>
            </w:tcBorders>
            <w:shd w:val="clear" w:color="auto" w:fill="auto"/>
            <w:noWrap/>
            <w:vAlign w:val="center"/>
            <w:hideMark/>
          </w:tcPr>
          <w:p w14:paraId="61C0F39D" w14:textId="77777777" w:rsidR="006B7928" w:rsidRPr="000E3F92" w:rsidRDefault="006B7928" w:rsidP="00DB1541">
            <w:pPr>
              <w:jc w:val="center"/>
              <w:rPr>
                <w:rFonts w:cs="Arial"/>
                <w:color w:val="000000"/>
                <w:sz w:val="18"/>
                <w:szCs w:val="18"/>
              </w:rPr>
            </w:pPr>
            <w:r w:rsidRPr="000E3F92">
              <w:rPr>
                <w:rFonts w:cs="Arial"/>
                <w:color w:val="000000"/>
                <w:sz w:val="18"/>
                <w:szCs w:val="18"/>
              </w:rPr>
              <w:t>4,17</w:t>
            </w:r>
          </w:p>
        </w:tc>
        <w:tc>
          <w:tcPr>
            <w:tcW w:w="682" w:type="pct"/>
            <w:tcBorders>
              <w:top w:val="nil"/>
              <w:left w:val="nil"/>
              <w:bottom w:val="nil"/>
              <w:right w:val="single" w:sz="4" w:space="0" w:color="auto"/>
            </w:tcBorders>
            <w:shd w:val="clear" w:color="auto" w:fill="auto"/>
            <w:noWrap/>
            <w:vAlign w:val="center"/>
            <w:hideMark/>
          </w:tcPr>
          <w:p w14:paraId="424EA853" w14:textId="77777777" w:rsidR="006B7928" w:rsidRPr="000E3F92" w:rsidRDefault="006B7928" w:rsidP="00DB1541">
            <w:pPr>
              <w:jc w:val="right"/>
              <w:rPr>
                <w:rFonts w:cs="Arial"/>
                <w:color w:val="000000"/>
                <w:sz w:val="18"/>
                <w:szCs w:val="18"/>
              </w:rPr>
            </w:pPr>
            <w:r w:rsidRPr="000E3F92">
              <w:rPr>
                <w:rFonts w:cs="Arial"/>
                <w:color w:val="000000"/>
                <w:sz w:val="18"/>
                <w:szCs w:val="18"/>
              </w:rPr>
              <w:t>99.934</w:t>
            </w:r>
          </w:p>
        </w:tc>
        <w:tc>
          <w:tcPr>
            <w:tcW w:w="453" w:type="pct"/>
            <w:tcBorders>
              <w:top w:val="nil"/>
              <w:left w:val="nil"/>
              <w:bottom w:val="nil"/>
              <w:right w:val="nil"/>
            </w:tcBorders>
            <w:shd w:val="clear" w:color="auto" w:fill="auto"/>
            <w:noWrap/>
            <w:vAlign w:val="center"/>
            <w:hideMark/>
          </w:tcPr>
          <w:p w14:paraId="5E9C4D45" w14:textId="77777777" w:rsidR="006B7928" w:rsidRPr="000E3F92" w:rsidRDefault="006B7928" w:rsidP="00DB1541">
            <w:pPr>
              <w:jc w:val="center"/>
              <w:rPr>
                <w:rFonts w:cs="Arial"/>
                <w:color w:val="000000"/>
                <w:sz w:val="18"/>
                <w:szCs w:val="18"/>
              </w:rPr>
            </w:pPr>
            <w:r w:rsidRPr="000E3F92">
              <w:rPr>
                <w:rFonts w:cs="Arial"/>
                <w:color w:val="000000"/>
                <w:sz w:val="18"/>
                <w:szCs w:val="18"/>
              </w:rPr>
              <w:t>8,79</w:t>
            </w:r>
          </w:p>
        </w:tc>
      </w:tr>
      <w:tr w:rsidR="000E3F92" w:rsidRPr="000E3F92" w14:paraId="7073DBBF" w14:textId="77777777" w:rsidTr="002A33B4">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hideMark/>
          </w:tcPr>
          <w:p w14:paraId="06476432"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t>Fornecedores e Contas a Pagar</w:t>
            </w:r>
          </w:p>
        </w:tc>
        <w:tc>
          <w:tcPr>
            <w:tcW w:w="607" w:type="pct"/>
            <w:tcBorders>
              <w:top w:val="nil"/>
              <w:left w:val="nil"/>
              <w:bottom w:val="nil"/>
              <w:right w:val="single" w:sz="4" w:space="0" w:color="auto"/>
            </w:tcBorders>
            <w:shd w:val="clear" w:color="auto" w:fill="auto"/>
            <w:noWrap/>
            <w:vAlign w:val="center"/>
            <w:hideMark/>
          </w:tcPr>
          <w:p w14:paraId="7BDB88C9" w14:textId="77777777" w:rsidR="006B7928" w:rsidRPr="000E3F92" w:rsidRDefault="006B7928" w:rsidP="00DB1541">
            <w:pPr>
              <w:jc w:val="right"/>
              <w:rPr>
                <w:rFonts w:cs="Arial"/>
                <w:color w:val="000000"/>
                <w:sz w:val="18"/>
                <w:szCs w:val="18"/>
              </w:rPr>
            </w:pPr>
            <w:r w:rsidRPr="000E3F92">
              <w:rPr>
                <w:rFonts w:cs="Arial"/>
                <w:color w:val="000000"/>
                <w:sz w:val="18"/>
                <w:szCs w:val="18"/>
              </w:rPr>
              <w:t>325.328</w:t>
            </w:r>
          </w:p>
        </w:tc>
        <w:tc>
          <w:tcPr>
            <w:tcW w:w="378" w:type="pct"/>
            <w:tcBorders>
              <w:top w:val="nil"/>
              <w:left w:val="nil"/>
              <w:bottom w:val="nil"/>
              <w:right w:val="single" w:sz="4" w:space="0" w:color="auto"/>
            </w:tcBorders>
            <w:shd w:val="clear" w:color="auto" w:fill="auto"/>
            <w:noWrap/>
            <w:vAlign w:val="center"/>
            <w:hideMark/>
          </w:tcPr>
          <w:p w14:paraId="301B70D2" w14:textId="77777777" w:rsidR="006B7928" w:rsidRPr="000E3F92" w:rsidRDefault="006B7928" w:rsidP="00DB1541">
            <w:pPr>
              <w:jc w:val="center"/>
              <w:rPr>
                <w:rFonts w:cs="Arial"/>
                <w:color w:val="000000"/>
                <w:sz w:val="18"/>
                <w:szCs w:val="18"/>
              </w:rPr>
            </w:pPr>
            <w:r w:rsidRPr="000E3F92">
              <w:rPr>
                <w:rFonts w:cs="Arial"/>
                <w:color w:val="000000"/>
                <w:sz w:val="18"/>
                <w:szCs w:val="18"/>
              </w:rPr>
              <w:t>0,11</w:t>
            </w:r>
          </w:p>
        </w:tc>
        <w:tc>
          <w:tcPr>
            <w:tcW w:w="607" w:type="pct"/>
            <w:tcBorders>
              <w:top w:val="nil"/>
              <w:left w:val="nil"/>
              <w:bottom w:val="nil"/>
              <w:right w:val="single" w:sz="4" w:space="0" w:color="auto"/>
            </w:tcBorders>
            <w:shd w:val="clear" w:color="auto" w:fill="auto"/>
            <w:noWrap/>
            <w:vAlign w:val="center"/>
            <w:hideMark/>
          </w:tcPr>
          <w:p w14:paraId="27C3EE0D" w14:textId="77777777" w:rsidR="006B7928" w:rsidRPr="000E3F92" w:rsidRDefault="006B7928" w:rsidP="00DB1541">
            <w:pPr>
              <w:jc w:val="right"/>
              <w:rPr>
                <w:rFonts w:cs="Arial"/>
                <w:color w:val="000000"/>
                <w:sz w:val="18"/>
                <w:szCs w:val="18"/>
              </w:rPr>
            </w:pPr>
            <w:r w:rsidRPr="000E3F92">
              <w:rPr>
                <w:rFonts w:cs="Arial"/>
                <w:color w:val="000000"/>
                <w:sz w:val="18"/>
                <w:szCs w:val="18"/>
              </w:rPr>
              <w:t>333.395</w:t>
            </w:r>
          </w:p>
        </w:tc>
        <w:tc>
          <w:tcPr>
            <w:tcW w:w="380" w:type="pct"/>
            <w:tcBorders>
              <w:top w:val="nil"/>
              <w:left w:val="nil"/>
              <w:bottom w:val="nil"/>
              <w:right w:val="single" w:sz="4" w:space="0" w:color="auto"/>
            </w:tcBorders>
            <w:shd w:val="clear" w:color="auto" w:fill="auto"/>
            <w:noWrap/>
            <w:vAlign w:val="center"/>
            <w:hideMark/>
          </w:tcPr>
          <w:p w14:paraId="22902052" w14:textId="77777777" w:rsidR="006B7928" w:rsidRPr="000E3F92" w:rsidRDefault="006B7928" w:rsidP="00DB1541">
            <w:pPr>
              <w:jc w:val="center"/>
              <w:rPr>
                <w:rFonts w:cs="Arial"/>
                <w:color w:val="000000"/>
                <w:sz w:val="18"/>
                <w:szCs w:val="18"/>
              </w:rPr>
            </w:pPr>
            <w:r w:rsidRPr="000E3F92">
              <w:rPr>
                <w:rFonts w:cs="Arial"/>
                <w:color w:val="000000"/>
                <w:sz w:val="18"/>
                <w:szCs w:val="18"/>
              </w:rPr>
              <w:t>1,22</w:t>
            </w:r>
          </w:p>
        </w:tc>
        <w:tc>
          <w:tcPr>
            <w:tcW w:w="682" w:type="pct"/>
            <w:tcBorders>
              <w:top w:val="nil"/>
              <w:left w:val="nil"/>
              <w:bottom w:val="nil"/>
              <w:right w:val="single" w:sz="4" w:space="0" w:color="auto"/>
            </w:tcBorders>
            <w:shd w:val="clear" w:color="auto" w:fill="auto"/>
            <w:noWrap/>
            <w:vAlign w:val="center"/>
            <w:hideMark/>
          </w:tcPr>
          <w:p w14:paraId="0E34BB17" w14:textId="77777777" w:rsidR="006B7928" w:rsidRPr="000E3F92" w:rsidRDefault="006B7928" w:rsidP="00DB1541">
            <w:pPr>
              <w:jc w:val="right"/>
              <w:rPr>
                <w:rFonts w:cs="Arial"/>
                <w:color w:val="000000"/>
                <w:sz w:val="18"/>
                <w:szCs w:val="18"/>
              </w:rPr>
            </w:pPr>
            <w:r w:rsidRPr="000E3F92">
              <w:rPr>
                <w:rFonts w:cs="Arial"/>
                <w:color w:val="FF0000"/>
                <w:sz w:val="18"/>
                <w:szCs w:val="18"/>
              </w:rPr>
              <w:t>(8.066)</w:t>
            </w:r>
          </w:p>
        </w:tc>
        <w:tc>
          <w:tcPr>
            <w:tcW w:w="453" w:type="pct"/>
            <w:tcBorders>
              <w:top w:val="nil"/>
              <w:left w:val="nil"/>
              <w:bottom w:val="nil"/>
              <w:right w:val="nil"/>
            </w:tcBorders>
            <w:shd w:val="clear" w:color="auto" w:fill="auto"/>
            <w:noWrap/>
            <w:vAlign w:val="center"/>
            <w:hideMark/>
          </w:tcPr>
          <w:p w14:paraId="17FA17E8" w14:textId="77777777" w:rsidR="006B7928" w:rsidRPr="000E3F92" w:rsidRDefault="006B7928" w:rsidP="00DB1541">
            <w:pPr>
              <w:jc w:val="center"/>
              <w:rPr>
                <w:rFonts w:cs="Arial"/>
                <w:color w:val="000000"/>
                <w:sz w:val="18"/>
                <w:szCs w:val="18"/>
              </w:rPr>
            </w:pPr>
            <w:r w:rsidRPr="000E3F92">
              <w:rPr>
                <w:rFonts w:cs="Arial"/>
                <w:color w:val="FF0000"/>
                <w:sz w:val="18"/>
                <w:szCs w:val="18"/>
              </w:rPr>
              <w:t>(2,42)</w:t>
            </w:r>
          </w:p>
        </w:tc>
      </w:tr>
      <w:tr w:rsidR="000E3F92" w:rsidRPr="000E3F92" w14:paraId="05E0185B" w14:textId="77777777" w:rsidTr="002A33B4">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hideMark/>
          </w:tcPr>
          <w:p w14:paraId="27C21EA2"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t>Obrigações Fiscais a Curto prazo</w:t>
            </w:r>
          </w:p>
        </w:tc>
        <w:tc>
          <w:tcPr>
            <w:tcW w:w="607" w:type="pct"/>
            <w:tcBorders>
              <w:top w:val="nil"/>
              <w:left w:val="nil"/>
              <w:bottom w:val="nil"/>
              <w:right w:val="single" w:sz="4" w:space="0" w:color="auto"/>
            </w:tcBorders>
            <w:shd w:val="clear" w:color="auto" w:fill="auto"/>
            <w:noWrap/>
            <w:vAlign w:val="center"/>
            <w:hideMark/>
          </w:tcPr>
          <w:p w14:paraId="5D1DE439" w14:textId="77777777" w:rsidR="006B7928" w:rsidRPr="000E3F92" w:rsidRDefault="006B7928" w:rsidP="00DB1541">
            <w:pPr>
              <w:jc w:val="right"/>
              <w:rPr>
                <w:rFonts w:cs="Arial"/>
                <w:color w:val="000000"/>
                <w:sz w:val="18"/>
                <w:szCs w:val="18"/>
              </w:rPr>
            </w:pPr>
            <w:r w:rsidRPr="000E3F92">
              <w:rPr>
                <w:rFonts w:cs="Arial"/>
                <w:color w:val="000000"/>
                <w:sz w:val="18"/>
                <w:szCs w:val="18"/>
              </w:rPr>
              <w:t>15.748</w:t>
            </w:r>
          </w:p>
        </w:tc>
        <w:tc>
          <w:tcPr>
            <w:tcW w:w="378" w:type="pct"/>
            <w:tcBorders>
              <w:top w:val="nil"/>
              <w:left w:val="nil"/>
              <w:bottom w:val="nil"/>
              <w:right w:val="single" w:sz="4" w:space="0" w:color="auto"/>
            </w:tcBorders>
            <w:shd w:val="clear" w:color="auto" w:fill="auto"/>
            <w:noWrap/>
            <w:vAlign w:val="center"/>
            <w:hideMark/>
          </w:tcPr>
          <w:p w14:paraId="5EC94176" w14:textId="77777777" w:rsidR="006B7928" w:rsidRPr="000E3F92" w:rsidRDefault="006B7928" w:rsidP="00DB1541">
            <w:pPr>
              <w:jc w:val="center"/>
              <w:rPr>
                <w:rFonts w:cs="Arial"/>
                <w:color w:val="000000"/>
                <w:sz w:val="18"/>
                <w:szCs w:val="18"/>
              </w:rPr>
            </w:pPr>
            <w:r w:rsidRPr="000E3F92">
              <w:rPr>
                <w:rFonts w:cs="Arial"/>
                <w:color w:val="000000"/>
                <w:sz w:val="18"/>
                <w:szCs w:val="18"/>
              </w:rPr>
              <w:t>0,01</w:t>
            </w:r>
          </w:p>
        </w:tc>
        <w:tc>
          <w:tcPr>
            <w:tcW w:w="607" w:type="pct"/>
            <w:tcBorders>
              <w:top w:val="nil"/>
              <w:left w:val="nil"/>
              <w:bottom w:val="nil"/>
              <w:right w:val="single" w:sz="4" w:space="0" w:color="auto"/>
            </w:tcBorders>
            <w:shd w:val="clear" w:color="auto" w:fill="auto"/>
            <w:noWrap/>
            <w:vAlign w:val="center"/>
            <w:hideMark/>
          </w:tcPr>
          <w:p w14:paraId="69E13524" w14:textId="77777777" w:rsidR="006B7928" w:rsidRPr="000E3F92" w:rsidRDefault="006B7928" w:rsidP="00DB1541">
            <w:pPr>
              <w:jc w:val="right"/>
              <w:rPr>
                <w:rFonts w:cs="Arial"/>
                <w:color w:val="000000"/>
                <w:sz w:val="18"/>
                <w:szCs w:val="18"/>
              </w:rPr>
            </w:pPr>
            <w:r w:rsidRPr="000E3F92">
              <w:rPr>
                <w:rFonts w:cs="Arial"/>
                <w:color w:val="000000"/>
                <w:sz w:val="18"/>
                <w:szCs w:val="18"/>
              </w:rPr>
              <w:t>17.773</w:t>
            </w:r>
          </w:p>
        </w:tc>
        <w:tc>
          <w:tcPr>
            <w:tcW w:w="380" w:type="pct"/>
            <w:tcBorders>
              <w:top w:val="nil"/>
              <w:left w:val="nil"/>
              <w:bottom w:val="nil"/>
              <w:right w:val="single" w:sz="4" w:space="0" w:color="auto"/>
            </w:tcBorders>
            <w:shd w:val="clear" w:color="auto" w:fill="auto"/>
            <w:noWrap/>
            <w:vAlign w:val="center"/>
            <w:hideMark/>
          </w:tcPr>
          <w:p w14:paraId="7FC087C8" w14:textId="77777777" w:rsidR="006B7928" w:rsidRPr="000E3F92" w:rsidRDefault="006B7928" w:rsidP="00DB1541">
            <w:pPr>
              <w:jc w:val="center"/>
              <w:rPr>
                <w:rFonts w:cs="Arial"/>
                <w:color w:val="000000"/>
                <w:sz w:val="18"/>
                <w:szCs w:val="18"/>
              </w:rPr>
            </w:pPr>
            <w:r w:rsidRPr="000E3F92">
              <w:rPr>
                <w:rFonts w:cs="Arial"/>
                <w:color w:val="000000"/>
                <w:sz w:val="18"/>
                <w:szCs w:val="18"/>
              </w:rPr>
              <w:t>0,07</w:t>
            </w:r>
          </w:p>
        </w:tc>
        <w:tc>
          <w:tcPr>
            <w:tcW w:w="682" w:type="pct"/>
            <w:tcBorders>
              <w:top w:val="nil"/>
              <w:left w:val="nil"/>
              <w:bottom w:val="nil"/>
              <w:right w:val="single" w:sz="4" w:space="0" w:color="auto"/>
            </w:tcBorders>
            <w:shd w:val="clear" w:color="auto" w:fill="auto"/>
            <w:noWrap/>
            <w:vAlign w:val="center"/>
            <w:hideMark/>
          </w:tcPr>
          <w:p w14:paraId="1825FE77" w14:textId="77777777" w:rsidR="006B7928" w:rsidRPr="000E3F92" w:rsidRDefault="006B7928" w:rsidP="00DB1541">
            <w:pPr>
              <w:jc w:val="right"/>
              <w:rPr>
                <w:rFonts w:cs="Arial"/>
                <w:color w:val="000000"/>
                <w:sz w:val="18"/>
                <w:szCs w:val="18"/>
              </w:rPr>
            </w:pPr>
            <w:r w:rsidRPr="000E3F92">
              <w:rPr>
                <w:rFonts w:cs="Arial"/>
                <w:color w:val="FF0000"/>
                <w:sz w:val="18"/>
                <w:szCs w:val="18"/>
              </w:rPr>
              <w:t>(2.025)</w:t>
            </w:r>
          </w:p>
        </w:tc>
        <w:tc>
          <w:tcPr>
            <w:tcW w:w="453" w:type="pct"/>
            <w:tcBorders>
              <w:top w:val="nil"/>
              <w:left w:val="nil"/>
              <w:bottom w:val="nil"/>
              <w:right w:val="nil"/>
            </w:tcBorders>
            <w:shd w:val="clear" w:color="auto" w:fill="auto"/>
            <w:noWrap/>
            <w:vAlign w:val="center"/>
            <w:hideMark/>
          </w:tcPr>
          <w:p w14:paraId="049FE9FC" w14:textId="77777777" w:rsidR="006B7928" w:rsidRPr="000E3F92" w:rsidRDefault="006B7928" w:rsidP="00DB1541">
            <w:pPr>
              <w:jc w:val="center"/>
              <w:rPr>
                <w:rFonts w:cs="Arial"/>
                <w:color w:val="000000"/>
                <w:sz w:val="18"/>
                <w:szCs w:val="18"/>
              </w:rPr>
            </w:pPr>
            <w:r w:rsidRPr="000E3F92">
              <w:rPr>
                <w:rFonts w:cs="Arial"/>
                <w:color w:val="FF0000"/>
                <w:sz w:val="18"/>
                <w:szCs w:val="18"/>
              </w:rPr>
              <w:t>(11,39)</w:t>
            </w:r>
          </w:p>
        </w:tc>
      </w:tr>
      <w:tr w:rsidR="000E3F92" w:rsidRPr="000E3F92" w14:paraId="7C102F8F" w14:textId="77777777" w:rsidTr="002A33B4">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hideMark/>
          </w:tcPr>
          <w:p w14:paraId="01130A31"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t>Transferências Fiscais a Curto Prazo</w:t>
            </w:r>
          </w:p>
        </w:tc>
        <w:tc>
          <w:tcPr>
            <w:tcW w:w="607" w:type="pct"/>
            <w:tcBorders>
              <w:top w:val="nil"/>
              <w:left w:val="nil"/>
              <w:bottom w:val="nil"/>
              <w:right w:val="single" w:sz="4" w:space="0" w:color="auto"/>
            </w:tcBorders>
            <w:shd w:val="clear" w:color="auto" w:fill="auto"/>
            <w:noWrap/>
            <w:vAlign w:val="center"/>
            <w:hideMark/>
          </w:tcPr>
          <w:p w14:paraId="527AB6F1" w14:textId="77777777" w:rsidR="006B7928" w:rsidRPr="000E3F92" w:rsidRDefault="006B7928" w:rsidP="00DB1541">
            <w:pPr>
              <w:jc w:val="right"/>
              <w:rPr>
                <w:rFonts w:cs="Arial"/>
                <w:color w:val="000000"/>
                <w:sz w:val="18"/>
                <w:szCs w:val="18"/>
              </w:rPr>
            </w:pPr>
            <w:r w:rsidRPr="000E3F92">
              <w:rPr>
                <w:rFonts w:cs="Arial"/>
                <w:color w:val="000000"/>
                <w:sz w:val="18"/>
                <w:szCs w:val="18"/>
              </w:rPr>
              <w:t>201.591</w:t>
            </w:r>
          </w:p>
        </w:tc>
        <w:tc>
          <w:tcPr>
            <w:tcW w:w="378" w:type="pct"/>
            <w:tcBorders>
              <w:top w:val="nil"/>
              <w:left w:val="nil"/>
              <w:bottom w:val="nil"/>
              <w:right w:val="single" w:sz="4" w:space="0" w:color="auto"/>
            </w:tcBorders>
            <w:shd w:val="clear" w:color="auto" w:fill="auto"/>
            <w:noWrap/>
            <w:vAlign w:val="center"/>
            <w:hideMark/>
          </w:tcPr>
          <w:p w14:paraId="48C91DC8" w14:textId="77777777" w:rsidR="006B7928" w:rsidRPr="000E3F92" w:rsidRDefault="006B7928" w:rsidP="00DB1541">
            <w:pPr>
              <w:jc w:val="center"/>
              <w:rPr>
                <w:rFonts w:cs="Arial"/>
                <w:color w:val="000000"/>
                <w:sz w:val="18"/>
                <w:szCs w:val="18"/>
              </w:rPr>
            </w:pPr>
            <w:r w:rsidRPr="000E3F92">
              <w:rPr>
                <w:rFonts w:cs="Arial"/>
                <w:color w:val="000000"/>
                <w:sz w:val="18"/>
                <w:szCs w:val="18"/>
              </w:rPr>
              <w:t>0,07</w:t>
            </w:r>
          </w:p>
        </w:tc>
        <w:tc>
          <w:tcPr>
            <w:tcW w:w="607" w:type="pct"/>
            <w:tcBorders>
              <w:top w:val="nil"/>
              <w:left w:val="nil"/>
              <w:bottom w:val="nil"/>
              <w:right w:val="single" w:sz="4" w:space="0" w:color="auto"/>
            </w:tcBorders>
            <w:shd w:val="clear" w:color="auto" w:fill="auto"/>
            <w:noWrap/>
            <w:vAlign w:val="center"/>
            <w:hideMark/>
          </w:tcPr>
          <w:p w14:paraId="66886BFA" w14:textId="77777777" w:rsidR="006B7928" w:rsidRPr="000E3F92" w:rsidRDefault="006B7928" w:rsidP="00DB1541">
            <w:pPr>
              <w:jc w:val="right"/>
              <w:rPr>
                <w:rFonts w:cs="Arial"/>
                <w:color w:val="000000"/>
                <w:sz w:val="18"/>
                <w:szCs w:val="18"/>
              </w:rPr>
            </w:pPr>
            <w:r w:rsidRPr="000E3F92">
              <w:rPr>
                <w:rFonts w:cs="Arial"/>
                <w:color w:val="000000"/>
                <w:sz w:val="18"/>
                <w:szCs w:val="18"/>
              </w:rPr>
              <w:t>179.523</w:t>
            </w:r>
          </w:p>
        </w:tc>
        <w:tc>
          <w:tcPr>
            <w:tcW w:w="380" w:type="pct"/>
            <w:tcBorders>
              <w:top w:val="nil"/>
              <w:left w:val="nil"/>
              <w:bottom w:val="nil"/>
              <w:right w:val="single" w:sz="4" w:space="0" w:color="auto"/>
            </w:tcBorders>
            <w:shd w:val="clear" w:color="auto" w:fill="auto"/>
            <w:noWrap/>
            <w:vAlign w:val="center"/>
            <w:hideMark/>
          </w:tcPr>
          <w:p w14:paraId="1AA34C5C" w14:textId="77777777" w:rsidR="006B7928" w:rsidRPr="000E3F92" w:rsidRDefault="006B7928" w:rsidP="00DB1541">
            <w:pPr>
              <w:jc w:val="center"/>
              <w:rPr>
                <w:rFonts w:cs="Arial"/>
                <w:color w:val="000000"/>
                <w:sz w:val="18"/>
                <w:szCs w:val="18"/>
              </w:rPr>
            </w:pPr>
            <w:r w:rsidRPr="000E3F92">
              <w:rPr>
                <w:rFonts w:cs="Arial"/>
                <w:color w:val="000000"/>
                <w:sz w:val="18"/>
                <w:szCs w:val="18"/>
              </w:rPr>
              <w:t>0,66</w:t>
            </w:r>
          </w:p>
        </w:tc>
        <w:tc>
          <w:tcPr>
            <w:tcW w:w="682" w:type="pct"/>
            <w:tcBorders>
              <w:top w:val="nil"/>
              <w:left w:val="nil"/>
              <w:bottom w:val="nil"/>
              <w:right w:val="single" w:sz="4" w:space="0" w:color="auto"/>
            </w:tcBorders>
            <w:shd w:val="clear" w:color="auto" w:fill="auto"/>
            <w:noWrap/>
            <w:vAlign w:val="center"/>
            <w:hideMark/>
          </w:tcPr>
          <w:p w14:paraId="05B5268A" w14:textId="77777777" w:rsidR="006B7928" w:rsidRPr="000E3F92" w:rsidRDefault="006B7928" w:rsidP="00DB1541">
            <w:pPr>
              <w:jc w:val="right"/>
              <w:rPr>
                <w:rFonts w:cs="Arial"/>
                <w:color w:val="000000"/>
                <w:sz w:val="18"/>
                <w:szCs w:val="18"/>
              </w:rPr>
            </w:pPr>
            <w:r w:rsidRPr="000E3F92">
              <w:rPr>
                <w:rFonts w:cs="Arial"/>
                <w:color w:val="000000"/>
                <w:sz w:val="18"/>
                <w:szCs w:val="18"/>
              </w:rPr>
              <w:t>22.068</w:t>
            </w:r>
          </w:p>
        </w:tc>
        <w:tc>
          <w:tcPr>
            <w:tcW w:w="453" w:type="pct"/>
            <w:tcBorders>
              <w:top w:val="nil"/>
              <w:left w:val="nil"/>
              <w:bottom w:val="nil"/>
              <w:right w:val="nil"/>
            </w:tcBorders>
            <w:shd w:val="clear" w:color="auto" w:fill="auto"/>
            <w:noWrap/>
            <w:vAlign w:val="center"/>
            <w:hideMark/>
          </w:tcPr>
          <w:p w14:paraId="119429B1" w14:textId="77777777" w:rsidR="006B7928" w:rsidRPr="000E3F92" w:rsidRDefault="006B7928" w:rsidP="00DB1541">
            <w:pPr>
              <w:jc w:val="center"/>
              <w:rPr>
                <w:rFonts w:cs="Arial"/>
                <w:color w:val="000000"/>
                <w:sz w:val="18"/>
                <w:szCs w:val="18"/>
              </w:rPr>
            </w:pPr>
            <w:r w:rsidRPr="000E3F92">
              <w:rPr>
                <w:rFonts w:cs="Arial"/>
                <w:color w:val="000000"/>
                <w:sz w:val="18"/>
                <w:szCs w:val="18"/>
              </w:rPr>
              <w:t>12,29</w:t>
            </w:r>
          </w:p>
        </w:tc>
      </w:tr>
      <w:tr w:rsidR="000E3F92" w:rsidRPr="000E3F92" w14:paraId="209C036F" w14:textId="77777777" w:rsidTr="002A33B4">
        <w:tblPrEx>
          <w:jc w:val="center"/>
        </w:tblPrEx>
        <w:trPr>
          <w:trHeight w:val="340"/>
          <w:jc w:val="center"/>
        </w:trPr>
        <w:tc>
          <w:tcPr>
            <w:tcW w:w="1894" w:type="pct"/>
            <w:tcBorders>
              <w:top w:val="nil"/>
              <w:left w:val="nil"/>
              <w:bottom w:val="nil"/>
              <w:right w:val="nil"/>
            </w:tcBorders>
            <w:shd w:val="clear" w:color="auto" w:fill="auto"/>
            <w:noWrap/>
            <w:vAlign w:val="center"/>
            <w:hideMark/>
          </w:tcPr>
          <w:p w14:paraId="13FD6D00"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t>Provisões a Curto Prazo</w:t>
            </w:r>
          </w:p>
        </w:tc>
        <w:tc>
          <w:tcPr>
            <w:tcW w:w="607" w:type="pct"/>
            <w:tcBorders>
              <w:top w:val="nil"/>
              <w:left w:val="single" w:sz="4" w:space="0" w:color="auto"/>
              <w:bottom w:val="nil"/>
              <w:right w:val="single" w:sz="4" w:space="0" w:color="auto"/>
            </w:tcBorders>
            <w:shd w:val="clear" w:color="auto" w:fill="auto"/>
            <w:noWrap/>
            <w:vAlign w:val="center"/>
            <w:hideMark/>
          </w:tcPr>
          <w:p w14:paraId="7C4B49C6" w14:textId="77777777" w:rsidR="006B7928" w:rsidRPr="000E3F92" w:rsidRDefault="006B7928" w:rsidP="00DB1541">
            <w:pPr>
              <w:jc w:val="right"/>
              <w:rPr>
                <w:rFonts w:cs="Arial"/>
                <w:color w:val="000000"/>
                <w:sz w:val="18"/>
                <w:szCs w:val="18"/>
              </w:rPr>
            </w:pPr>
            <w:r w:rsidRPr="000E3F92">
              <w:rPr>
                <w:rFonts w:cs="Arial"/>
                <w:color w:val="000000"/>
                <w:sz w:val="18"/>
                <w:szCs w:val="18"/>
              </w:rPr>
              <w:t>1.334</w:t>
            </w:r>
          </w:p>
        </w:tc>
        <w:tc>
          <w:tcPr>
            <w:tcW w:w="378" w:type="pct"/>
            <w:tcBorders>
              <w:top w:val="nil"/>
              <w:left w:val="nil"/>
              <w:bottom w:val="nil"/>
              <w:right w:val="single" w:sz="4" w:space="0" w:color="auto"/>
            </w:tcBorders>
            <w:shd w:val="clear" w:color="auto" w:fill="auto"/>
            <w:noWrap/>
            <w:vAlign w:val="center"/>
            <w:hideMark/>
          </w:tcPr>
          <w:p w14:paraId="6F5A3AA5" w14:textId="77777777" w:rsidR="006B7928" w:rsidRPr="000E3F92" w:rsidRDefault="006B7928" w:rsidP="00DB1541">
            <w:pPr>
              <w:jc w:val="center"/>
              <w:rPr>
                <w:rFonts w:cs="Arial"/>
                <w:color w:val="000000"/>
                <w:sz w:val="18"/>
                <w:szCs w:val="18"/>
              </w:rPr>
            </w:pPr>
            <w:r w:rsidRPr="000E3F92">
              <w:rPr>
                <w:rFonts w:cs="Arial"/>
                <w:color w:val="000000"/>
                <w:sz w:val="18"/>
                <w:szCs w:val="18"/>
              </w:rPr>
              <w:t>0,00</w:t>
            </w:r>
          </w:p>
        </w:tc>
        <w:tc>
          <w:tcPr>
            <w:tcW w:w="607" w:type="pct"/>
            <w:tcBorders>
              <w:top w:val="nil"/>
              <w:left w:val="nil"/>
              <w:bottom w:val="nil"/>
              <w:right w:val="single" w:sz="4" w:space="0" w:color="auto"/>
            </w:tcBorders>
            <w:shd w:val="clear" w:color="auto" w:fill="auto"/>
            <w:noWrap/>
            <w:vAlign w:val="center"/>
            <w:hideMark/>
          </w:tcPr>
          <w:p w14:paraId="7388C6BF" w14:textId="77777777" w:rsidR="006B7928" w:rsidRPr="000E3F92" w:rsidRDefault="006B7928" w:rsidP="00DB1541">
            <w:pPr>
              <w:jc w:val="right"/>
              <w:rPr>
                <w:rFonts w:cs="Arial"/>
                <w:color w:val="000000"/>
                <w:sz w:val="18"/>
                <w:szCs w:val="18"/>
              </w:rPr>
            </w:pPr>
            <w:r w:rsidRPr="000E3F92">
              <w:rPr>
                <w:rFonts w:cs="Arial"/>
                <w:color w:val="000000"/>
                <w:sz w:val="18"/>
                <w:szCs w:val="18"/>
              </w:rPr>
              <w:t>1.334</w:t>
            </w:r>
          </w:p>
        </w:tc>
        <w:tc>
          <w:tcPr>
            <w:tcW w:w="380" w:type="pct"/>
            <w:tcBorders>
              <w:top w:val="nil"/>
              <w:left w:val="nil"/>
              <w:bottom w:val="nil"/>
              <w:right w:val="single" w:sz="4" w:space="0" w:color="auto"/>
            </w:tcBorders>
            <w:shd w:val="clear" w:color="auto" w:fill="auto"/>
            <w:noWrap/>
            <w:vAlign w:val="center"/>
            <w:hideMark/>
          </w:tcPr>
          <w:p w14:paraId="613D827F" w14:textId="77777777" w:rsidR="006B7928" w:rsidRPr="000E3F92" w:rsidRDefault="006B7928" w:rsidP="00DB1541">
            <w:pPr>
              <w:jc w:val="center"/>
              <w:rPr>
                <w:rFonts w:cs="Arial"/>
                <w:color w:val="000000"/>
                <w:sz w:val="18"/>
                <w:szCs w:val="18"/>
              </w:rPr>
            </w:pPr>
            <w:r w:rsidRPr="000E3F92">
              <w:rPr>
                <w:rFonts w:cs="Arial"/>
                <w:color w:val="000000"/>
                <w:sz w:val="18"/>
                <w:szCs w:val="18"/>
              </w:rPr>
              <w:t>0,00</w:t>
            </w:r>
          </w:p>
        </w:tc>
        <w:tc>
          <w:tcPr>
            <w:tcW w:w="682" w:type="pct"/>
            <w:tcBorders>
              <w:top w:val="nil"/>
              <w:left w:val="nil"/>
              <w:bottom w:val="nil"/>
              <w:right w:val="single" w:sz="4" w:space="0" w:color="auto"/>
            </w:tcBorders>
            <w:shd w:val="clear" w:color="auto" w:fill="auto"/>
            <w:noWrap/>
            <w:vAlign w:val="center"/>
            <w:hideMark/>
          </w:tcPr>
          <w:p w14:paraId="0FC43EBF" w14:textId="77777777" w:rsidR="006B7928" w:rsidRPr="000E3F92" w:rsidRDefault="006B7928" w:rsidP="00DB1541">
            <w:pPr>
              <w:jc w:val="right"/>
              <w:rPr>
                <w:rFonts w:cs="Arial"/>
                <w:color w:val="000000"/>
                <w:sz w:val="18"/>
                <w:szCs w:val="18"/>
              </w:rPr>
            </w:pPr>
            <w:r w:rsidRPr="000E3F92">
              <w:rPr>
                <w:rFonts w:cs="Arial"/>
                <w:color w:val="000000"/>
                <w:sz w:val="18"/>
                <w:szCs w:val="18"/>
              </w:rPr>
              <w:t>-</w:t>
            </w:r>
          </w:p>
        </w:tc>
        <w:tc>
          <w:tcPr>
            <w:tcW w:w="453" w:type="pct"/>
            <w:tcBorders>
              <w:top w:val="nil"/>
              <w:left w:val="nil"/>
              <w:bottom w:val="nil"/>
              <w:right w:val="nil"/>
            </w:tcBorders>
            <w:shd w:val="clear" w:color="auto" w:fill="auto"/>
            <w:noWrap/>
            <w:vAlign w:val="center"/>
            <w:hideMark/>
          </w:tcPr>
          <w:p w14:paraId="76A7DB7B" w14:textId="77777777" w:rsidR="006B7928" w:rsidRPr="000E3F92" w:rsidRDefault="006B7928" w:rsidP="00DB1541">
            <w:pPr>
              <w:jc w:val="center"/>
              <w:rPr>
                <w:rFonts w:cs="Arial"/>
                <w:color w:val="000000"/>
                <w:sz w:val="18"/>
                <w:szCs w:val="18"/>
              </w:rPr>
            </w:pPr>
            <w:r w:rsidRPr="000E3F92">
              <w:rPr>
                <w:rFonts w:cs="Arial"/>
                <w:color w:val="000000"/>
                <w:sz w:val="18"/>
                <w:szCs w:val="18"/>
              </w:rPr>
              <w:t>-</w:t>
            </w:r>
          </w:p>
        </w:tc>
      </w:tr>
      <w:tr w:rsidR="000E3F92" w:rsidRPr="000E3F92" w14:paraId="0CEF157F" w14:textId="77777777" w:rsidTr="002A33B4">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hideMark/>
          </w:tcPr>
          <w:p w14:paraId="1C3C75A5"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t xml:space="preserve">Adiantamento de Clientes e Demais </w:t>
            </w:r>
          </w:p>
          <w:p w14:paraId="5679F6E2"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t>Obrigações a Curto Prazo</w:t>
            </w:r>
          </w:p>
        </w:tc>
        <w:tc>
          <w:tcPr>
            <w:tcW w:w="607" w:type="pct"/>
            <w:tcBorders>
              <w:top w:val="nil"/>
              <w:left w:val="nil"/>
              <w:bottom w:val="nil"/>
              <w:right w:val="single" w:sz="4" w:space="0" w:color="auto"/>
            </w:tcBorders>
            <w:shd w:val="clear" w:color="auto" w:fill="auto"/>
            <w:noWrap/>
            <w:vAlign w:val="center"/>
            <w:hideMark/>
          </w:tcPr>
          <w:p w14:paraId="200121EE" w14:textId="77777777" w:rsidR="006B7928" w:rsidRPr="000E3F92" w:rsidRDefault="006B7928" w:rsidP="00DB1541">
            <w:pPr>
              <w:jc w:val="right"/>
              <w:rPr>
                <w:rFonts w:cs="Arial"/>
                <w:color w:val="000000"/>
                <w:sz w:val="18"/>
                <w:szCs w:val="18"/>
              </w:rPr>
            </w:pPr>
            <w:r w:rsidRPr="000E3F92">
              <w:rPr>
                <w:rFonts w:cs="Arial"/>
                <w:color w:val="000000"/>
                <w:sz w:val="18"/>
                <w:szCs w:val="18"/>
              </w:rPr>
              <w:t>15.060.806</w:t>
            </w:r>
          </w:p>
        </w:tc>
        <w:tc>
          <w:tcPr>
            <w:tcW w:w="378" w:type="pct"/>
            <w:tcBorders>
              <w:top w:val="nil"/>
              <w:left w:val="nil"/>
              <w:bottom w:val="nil"/>
              <w:right w:val="single" w:sz="4" w:space="0" w:color="auto"/>
            </w:tcBorders>
            <w:shd w:val="clear" w:color="auto" w:fill="auto"/>
            <w:noWrap/>
            <w:vAlign w:val="center"/>
            <w:hideMark/>
          </w:tcPr>
          <w:p w14:paraId="667F7B87" w14:textId="77777777" w:rsidR="006B7928" w:rsidRPr="000E3F92" w:rsidRDefault="006B7928" w:rsidP="00DB1541">
            <w:pPr>
              <w:jc w:val="center"/>
              <w:rPr>
                <w:rFonts w:cs="Arial"/>
                <w:color w:val="000000"/>
                <w:sz w:val="18"/>
                <w:szCs w:val="18"/>
              </w:rPr>
            </w:pPr>
            <w:r w:rsidRPr="000E3F92">
              <w:rPr>
                <w:rFonts w:cs="Arial"/>
                <w:color w:val="000000"/>
                <w:sz w:val="18"/>
                <w:szCs w:val="18"/>
              </w:rPr>
              <w:t>5,21</w:t>
            </w:r>
          </w:p>
        </w:tc>
        <w:tc>
          <w:tcPr>
            <w:tcW w:w="607" w:type="pct"/>
            <w:tcBorders>
              <w:top w:val="nil"/>
              <w:left w:val="nil"/>
              <w:bottom w:val="nil"/>
              <w:right w:val="single" w:sz="4" w:space="0" w:color="auto"/>
            </w:tcBorders>
            <w:shd w:val="clear" w:color="auto" w:fill="auto"/>
            <w:noWrap/>
            <w:vAlign w:val="center"/>
            <w:hideMark/>
          </w:tcPr>
          <w:p w14:paraId="43B2E29A" w14:textId="77777777" w:rsidR="006B7928" w:rsidRPr="000E3F92" w:rsidRDefault="006B7928" w:rsidP="00DB1541">
            <w:pPr>
              <w:jc w:val="right"/>
              <w:rPr>
                <w:rFonts w:cs="Arial"/>
                <w:color w:val="000000"/>
                <w:sz w:val="18"/>
                <w:szCs w:val="18"/>
              </w:rPr>
            </w:pPr>
            <w:r w:rsidRPr="000E3F92">
              <w:rPr>
                <w:rFonts w:cs="Arial"/>
                <w:color w:val="000000"/>
                <w:sz w:val="18"/>
                <w:szCs w:val="18"/>
              </w:rPr>
              <w:t>1.115.658</w:t>
            </w:r>
          </w:p>
        </w:tc>
        <w:tc>
          <w:tcPr>
            <w:tcW w:w="380" w:type="pct"/>
            <w:tcBorders>
              <w:top w:val="nil"/>
              <w:left w:val="nil"/>
              <w:bottom w:val="nil"/>
              <w:right w:val="single" w:sz="4" w:space="0" w:color="auto"/>
            </w:tcBorders>
            <w:shd w:val="clear" w:color="auto" w:fill="auto"/>
            <w:noWrap/>
            <w:vAlign w:val="center"/>
            <w:hideMark/>
          </w:tcPr>
          <w:p w14:paraId="40AC11C0" w14:textId="77777777" w:rsidR="006B7928" w:rsidRPr="000E3F92" w:rsidRDefault="006B7928" w:rsidP="00DB1541">
            <w:pPr>
              <w:jc w:val="center"/>
              <w:rPr>
                <w:rFonts w:cs="Arial"/>
                <w:color w:val="000000"/>
                <w:sz w:val="18"/>
                <w:szCs w:val="18"/>
              </w:rPr>
            </w:pPr>
            <w:r w:rsidRPr="000E3F92">
              <w:rPr>
                <w:rFonts w:cs="Arial"/>
                <w:color w:val="000000"/>
                <w:sz w:val="18"/>
                <w:szCs w:val="18"/>
              </w:rPr>
              <w:t>4,09</w:t>
            </w:r>
          </w:p>
        </w:tc>
        <w:tc>
          <w:tcPr>
            <w:tcW w:w="682" w:type="pct"/>
            <w:tcBorders>
              <w:top w:val="nil"/>
              <w:left w:val="nil"/>
              <w:bottom w:val="nil"/>
              <w:right w:val="single" w:sz="4" w:space="0" w:color="auto"/>
            </w:tcBorders>
            <w:shd w:val="clear" w:color="auto" w:fill="auto"/>
            <w:noWrap/>
            <w:vAlign w:val="center"/>
            <w:hideMark/>
          </w:tcPr>
          <w:p w14:paraId="2431CA7E" w14:textId="77777777" w:rsidR="006B7928" w:rsidRPr="000E3F92" w:rsidRDefault="006B7928" w:rsidP="00DB1541">
            <w:pPr>
              <w:jc w:val="right"/>
              <w:rPr>
                <w:rFonts w:cs="Arial"/>
                <w:color w:val="000000"/>
                <w:sz w:val="18"/>
                <w:szCs w:val="18"/>
              </w:rPr>
            </w:pPr>
            <w:r w:rsidRPr="000E3F92">
              <w:rPr>
                <w:rFonts w:cs="Arial"/>
                <w:color w:val="000000"/>
                <w:sz w:val="18"/>
                <w:szCs w:val="18"/>
              </w:rPr>
              <w:t>13.945.148</w:t>
            </w:r>
          </w:p>
        </w:tc>
        <w:tc>
          <w:tcPr>
            <w:tcW w:w="453" w:type="pct"/>
            <w:tcBorders>
              <w:top w:val="nil"/>
              <w:left w:val="nil"/>
              <w:bottom w:val="nil"/>
              <w:right w:val="nil"/>
            </w:tcBorders>
            <w:shd w:val="clear" w:color="auto" w:fill="auto"/>
            <w:noWrap/>
            <w:vAlign w:val="center"/>
            <w:hideMark/>
          </w:tcPr>
          <w:p w14:paraId="25321227" w14:textId="77777777" w:rsidR="006B7928" w:rsidRPr="000E3F92" w:rsidRDefault="006B7928" w:rsidP="00DB1541">
            <w:pPr>
              <w:jc w:val="center"/>
              <w:rPr>
                <w:rFonts w:cs="Arial"/>
                <w:color w:val="000000"/>
                <w:sz w:val="18"/>
                <w:szCs w:val="18"/>
              </w:rPr>
            </w:pPr>
            <w:r w:rsidRPr="000E3F92">
              <w:rPr>
                <w:rFonts w:cs="Arial"/>
                <w:color w:val="000000"/>
                <w:sz w:val="18"/>
                <w:szCs w:val="18"/>
              </w:rPr>
              <w:t>1249,95</w:t>
            </w:r>
          </w:p>
        </w:tc>
      </w:tr>
      <w:tr w:rsidR="000E3F92" w:rsidRPr="000E3F92" w14:paraId="0FD7BBAB" w14:textId="77777777" w:rsidTr="002A33B4">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hideMark/>
          </w:tcPr>
          <w:p w14:paraId="4B186CDF" w14:textId="77777777" w:rsidR="006B7928" w:rsidRPr="000E3F92" w:rsidRDefault="006B7928" w:rsidP="00DB1541">
            <w:pPr>
              <w:jc w:val="left"/>
              <w:rPr>
                <w:rFonts w:cs="Arial"/>
                <w:b/>
                <w:bCs/>
                <w:color w:val="000000"/>
                <w:sz w:val="18"/>
                <w:szCs w:val="18"/>
              </w:rPr>
            </w:pPr>
            <w:r w:rsidRPr="000E3F92">
              <w:rPr>
                <w:rFonts w:cs="Arial"/>
                <w:b/>
                <w:bCs/>
                <w:color w:val="000000"/>
                <w:sz w:val="18"/>
                <w:szCs w:val="18"/>
              </w:rPr>
              <w:t>Passivo Não Circulante</w:t>
            </w:r>
          </w:p>
        </w:tc>
        <w:tc>
          <w:tcPr>
            <w:tcW w:w="607" w:type="pct"/>
            <w:tcBorders>
              <w:top w:val="nil"/>
              <w:left w:val="nil"/>
              <w:bottom w:val="nil"/>
              <w:right w:val="single" w:sz="4" w:space="0" w:color="auto"/>
            </w:tcBorders>
            <w:shd w:val="clear" w:color="auto" w:fill="auto"/>
            <w:noWrap/>
            <w:vAlign w:val="center"/>
            <w:hideMark/>
          </w:tcPr>
          <w:p w14:paraId="031588A6" w14:textId="77777777" w:rsidR="006B7928" w:rsidRPr="000E3F92" w:rsidRDefault="006B7928" w:rsidP="000E3F92">
            <w:pPr>
              <w:ind w:left="-66"/>
              <w:jc w:val="right"/>
              <w:rPr>
                <w:rFonts w:cs="Arial"/>
                <w:b/>
                <w:bCs/>
                <w:color w:val="000000"/>
                <w:sz w:val="18"/>
                <w:szCs w:val="18"/>
              </w:rPr>
            </w:pPr>
            <w:r w:rsidRPr="000E3F92">
              <w:rPr>
                <w:rFonts w:cs="Arial"/>
                <w:b/>
                <w:bCs/>
                <w:color w:val="000000"/>
                <w:sz w:val="18"/>
                <w:szCs w:val="18"/>
              </w:rPr>
              <w:t>271.817.838</w:t>
            </w:r>
          </w:p>
        </w:tc>
        <w:tc>
          <w:tcPr>
            <w:tcW w:w="378" w:type="pct"/>
            <w:tcBorders>
              <w:top w:val="nil"/>
              <w:left w:val="nil"/>
              <w:bottom w:val="nil"/>
              <w:right w:val="single" w:sz="4" w:space="0" w:color="auto"/>
            </w:tcBorders>
            <w:shd w:val="clear" w:color="auto" w:fill="auto"/>
            <w:noWrap/>
            <w:vAlign w:val="center"/>
            <w:hideMark/>
          </w:tcPr>
          <w:p w14:paraId="6C27EF6A"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94,05</w:t>
            </w:r>
          </w:p>
        </w:tc>
        <w:tc>
          <w:tcPr>
            <w:tcW w:w="607" w:type="pct"/>
            <w:tcBorders>
              <w:top w:val="nil"/>
              <w:left w:val="nil"/>
              <w:bottom w:val="nil"/>
              <w:right w:val="single" w:sz="4" w:space="0" w:color="auto"/>
            </w:tcBorders>
            <w:shd w:val="clear" w:color="auto" w:fill="auto"/>
            <w:noWrap/>
            <w:vAlign w:val="center"/>
            <w:hideMark/>
          </w:tcPr>
          <w:p w14:paraId="5318AEAB" w14:textId="77777777" w:rsidR="006B7928" w:rsidRPr="000E3F92" w:rsidRDefault="006B7928" w:rsidP="00DB1541">
            <w:pPr>
              <w:jc w:val="right"/>
              <w:rPr>
                <w:rFonts w:cs="Arial"/>
                <w:b/>
                <w:bCs/>
                <w:color w:val="000000"/>
                <w:sz w:val="18"/>
                <w:szCs w:val="18"/>
              </w:rPr>
            </w:pPr>
            <w:r w:rsidRPr="000E3F92">
              <w:rPr>
                <w:rFonts w:cs="Arial"/>
                <w:b/>
                <w:bCs/>
                <w:color w:val="000000"/>
                <w:sz w:val="18"/>
                <w:szCs w:val="18"/>
              </w:rPr>
              <w:t>24.076.818</w:t>
            </w:r>
          </w:p>
        </w:tc>
        <w:tc>
          <w:tcPr>
            <w:tcW w:w="380" w:type="pct"/>
            <w:tcBorders>
              <w:top w:val="nil"/>
              <w:left w:val="nil"/>
              <w:bottom w:val="nil"/>
              <w:right w:val="single" w:sz="4" w:space="0" w:color="auto"/>
            </w:tcBorders>
            <w:shd w:val="clear" w:color="auto" w:fill="auto"/>
            <w:noWrap/>
            <w:vAlign w:val="center"/>
            <w:hideMark/>
          </w:tcPr>
          <w:p w14:paraId="74F1BBF2"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88,30</w:t>
            </w:r>
          </w:p>
        </w:tc>
        <w:tc>
          <w:tcPr>
            <w:tcW w:w="682" w:type="pct"/>
            <w:tcBorders>
              <w:top w:val="nil"/>
              <w:left w:val="nil"/>
              <w:bottom w:val="nil"/>
              <w:right w:val="single" w:sz="4" w:space="0" w:color="auto"/>
            </w:tcBorders>
            <w:shd w:val="clear" w:color="auto" w:fill="auto"/>
            <w:noWrap/>
            <w:vAlign w:val="center"/>
            <w:hideMark/>
          </w:tcPr>
          <w:p w14:paraId="78C42D58" w14:textId="77777777" w:rsidR="006B7928" w:rsidRPr="000E3F92" w:rsidRDefault="006B7928" w:rsidP="000E3F92">
            <w:pPr>
              <w:ind w:left="-67"/>
              <w:jc w:val="right"/>
              <w:rPr>
                <w:rFonts w:cs="Arial"/>
                <w:b/>
                <w:bCs/>
                <w:color w:val="000000"/>
                <w:sz w:val="18"/>
                <w:szCs w:val="18"/>
              </w:rPr>
            </w:pPr>
            <w:r w:rsidRPr="000E3F92">
              <w:rPr>
                <w:rFonts w:cs="Arial"/>
                <w:b/>
                <w:bCs/>
                <w:color w:val="000000"/>
                <w:sz w:val="18"/>
                <w:szCs w:val="18"/>
              </w:rPr>
              <w:t>247.741.019</w:t>
            </w:r>
          </w:p>
        </w:tc>
        <w:tc>
          <w:tcPr>
            <w:tcW w:w="453" w:type="pct"/>
            <w:tcBorders>
              <w:top w:val="nil"/>
              <w:left w:val="nil"/>
              <w:bottom w:val="nil"/>
              <w:right w:val="nil"/>
            </w:tcBorders>
            <w:shd w:val="clear" w:color="auto" w:fill="auto"/>
            <w:noWrap/>
            <w:vAlign w:val="center"/>
            <w:hideMark/>
          </w:tcPr>
          <w:p w14:paraId="190C81AE"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1028,96</w:t>
            </w:r>
          </w:p>
        </w:tc>
      </w:tr>
      <w:tr w:rsidR="000E3F92" w:rsidRPr="000E3F92" w14:paraId="42E959BF" w14:textId="77777777" w:rsidTr="002A33B4">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hideMark/>
          </w:tcPr>
          <w:p w14:paraId="62473F39"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t>Obrigações Trabalhistas, Previd. e</w:t>
            </w:r>
          </w:p>
          <w:p w14:paraId="62515F12"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t xml:space="preserve"> Assistenciais a Pagar L.P.</w:t>
            </w:r>
          </w:p>
        </w:tc>
        <w:tc>
          <w:tcPr>
            <w:tcW w:w="607" w:type="pct"/>
            <w:tcBorders>
              <w:top w:val="nil"/>
              <w:left w:val="nil"/>
              <w:bottom w:val="nil"/>
              <w:right w:val="single" w:sz="4" w:space="0" w:color="auto"/>
            </w:tcBorders>
            <w:shd w:val="clear" w:color="auto" w:fill="auto"/>
            <w:noWrap/>
            <w:vAlign w:val="center"/>
            <w:hideMark/>
          </w:tcPr>
          <w:p w14:paraId="66B92EEC" w14:textId="77777777" w:rsidR="006B7928" w:rsidRPr="000E3F92" w:rsidRDefault="006B7928" w:rsidP="00DB1541">
            <w:pPr>
              <w:jc w:val="right"/>
              <w:rPr>
                <w:rFonts w:cs="Arial"/>
                <w:color w:val="000000"/>
                <w:sz w:val="18"/>
                <w:szCs w:val="18"/>
              </w:rPr>
            </w:pPr>
            <w:r w:rsidRPr="000E3F92">
              <w:rPr>
                <w:rFonts w:cs="Arial"/>
                <w:color w:val="000000"/>
                <w:sz w:val="18"/>
                <w:szCs w:val="18"/>
              </w:rPr>
              <w:t>634.732</w:t>
            </w:r>
          </w:p>
        </w:tc>
        <w:tc>
          <w:tcPr>
            <w:tcW w:w="378" w:type="pct"/>
            <w:tcBorders>
              <w:top w:val="nil"/>
              <w:left w:val="nil"/>
              <w:bottom w:val="nil"/>
              <w:right w:val="single" w:sz="4" w:space="0" w:color="auto"/>
            </w:tcBorders>
            <w:shd w:val="clear" w:color="auto" w:fill="auto"/>
            <w:noWrap/>
            <w:vAlign w:val="center"/>
            <w:hideMark/>
          </w:tcPr>
          <w:p w14:paraId="6949F776" w14:textId="77777777" w:rsidR="006B7928" w:rsidRPr="000E3F92" w:rsidRDefault="006B7928" w:rsidP="00DB1541">
            <w:pPr>
              <w:jc w:val="center"/>
              <w:rPr>
                <w:rFonts w:cs="Arial"/>
                <w:color w:val="000000"/>
                <w:sz w:val="18"/>
                <w:szCs w:val="18"/>
              </w:rPr>
            </w:pPr>
            <w:r w:rsidRPr="000E3F92">
              <w:rPr>
                <w:rFonts w:cs="Arial"/>
                <w:color w:val="000000"/>
                <w:sz w:val="18"/>
                <w:szCs w:val="18"/>
              </w:rPr>
              <w:t>0,22</w:t>
            </w:r>
          </w:p>
        </w:tc>
        <w:tc>
          <w:tcPr>
            <w:tcW w:w="607" w:type="pct"/>
            <w:tcBorders>
              <w:top w:val="nil"/>
              <w:left w:val="nil"/>
              <w:bottom w:val="nil"/>
              <w:right w:val="single" w:sz="4" w:space="0" w:color="auto"/>
            </w:tcBorders>
            <w:shd w:val="clear" w:color="auto" w:fill="auto"/>
            <w:noWrap/>
            <w:vAlign w:val="center"/>
            <w:hideMark/>
          </w:tcPr>
          <w:p w14:paraId="55A76101" w14:textId="77777777" w:rsidR="006B7928" w:rsidRPr="000E3F92" w:rsidRDefault="006B7928" w:rsidP="00DB1541">
            <w:pPr>
              <w:jc w:val="right"/>
              <w:rPr>
                <w:rFonts w:cs="Arial"/>
                <w:color w:val="000000"/>
                <w:sz w:val="18"/>
                <w:szCs w:val="18"/>
              </w:rPr>
            </w:pPr>
            <w:r w:rsidRPr="000E3F92">
              <w:rPr>
                <w:rFonts w:cs="Arial"/>
                <w:color w:val="000000"/>
                <w:sz w:val="18"/>
                <w:szCs w:val="18"/>
              </w:rPr>
              <w:t>838.119</w:t>
            </w:r>
          </w:p>
        </w:tc>
        <w:tc>
          <w:tcPr>
            <w:tcW w:w="380" w:type="pct"/>
            <w:tcBorders>
              <w:top w:val="nil"/>
              <w:left w:val="nil"/>
              <w:bottom w:val="nil"/>
              <w:right w:val="single" w:sz="4" w:space="0" w:color="auto"/>
            </w:tcBorders>
            <w:shd w:val="clear" w:color="auto" w:fill="auto"/>
            <w:noWrap/>
            <w:vAlign w:val="center"/>
            <w:hideMark/>
          </w:tcPr>
          <w:p w14:paraId="114135DD" w14:textId="77777777" w:rsidR="006B7928" w:rsidRPr="000E3F92" w:rsidRDefault="006B7928" w:rsidP="00DB1541">
            <w:pPr>
              <w:jc w:val="center"/>
              <w:rPr>
                <w:rFonts w:cs="Arial"/>
                <w:color w:val="000000"/>
                <w:sz w:val="18"/>
                <w:szCs w:val="18"/>
              </w:rPr>
            </w:pPr>
            <w:r w:rsidRPr="000E3F92">
              <w:rPr>
                <w:rFonts w:cs="Arial"/>
                <w:color w:val="000000"/>
                <w:sz w:val="18"/>
                <w:szCs w:val="18"/>
              </w:rPr>
              <w:t>3,07</w:t>
            </w:r>
          </w:p>
        </w:tc>
        <w:tc>
          <w:tcPr>
            <w:tcW w:w="682" w:type="pct"/>
            <w:tcBorders>
              <w:top w:val="nil"/>
              <w:left w:val="nil"/>
              <w:bottom w:val="nil"/>
              <w:right w:val="single" w:sz="4" w:space="0" w:color="auto"/>
            </w:tcBorders>
            <w:shd w:val="clear" w:color="auto" w:fill="auto"/>
            <w:noWrap/>
            <w:vAlign w:val="center"/>
            <w:hideMark/>
          </w:tcPr>
          <w:p w14:paraId="0DBC123D" w14:textId="77777777" w:rsidR="006B7928" w:rsidRPr="000E3F92" w:rsidRDefault="006B7928" w:rsidP="00DB1541">
            <w:pPr>
              <w:jc w:val="right"/>
              <w:rPr>
                <w:rFonts w:cs="Arial"/>
                <w:color w:val="000000"/>
                <w:sz w:val="18"/>
                <w:szCs w:val="18"/>
              </w:rPr>
            </w:pPr>
            <w:r w:rsidRPr="000E3F92">
              <w:rPr>
                <w:rFonts w:cs="Arial"/>
                <w:color w:val="FF0000"/>
                <w:sz w:val="18"/>
                <w:szCs w:val="18"/>
              </w:rPr>
              <w:t>(203.386)</w:t>
            </w:r>
          </w:p>
        </w:tc>
        <w:tc>
          <w:tcPr>
            <w:tcW w:w="453" w:type="pct"/>
            <w:tcBorders>
              <w:top w:val="nil"/>
              <w:left w:val="nil"/>
              <w:bottom w:val="nil"/>
              <w:right w:val="nil"/>
            </w:tcBorders>
            <w:shd w:val="clear" w:color="auto" w:fill="auto"/>
            <w:noWrap/>
            <w:vAlign w:val="center"/>
            <w:hideMark/>
          </w:tcPr>
          <w:p w14:paraId="0314756C" w14:textId="77777777" w:rsidR="006B7928" w:rsidRPr="000E3F92" w:rsidRDefault="006B7928" w:rsidP="00DB1541">
            <w:pPr>
              <w:jc w:val="center"/>
              <w:rPr>
                <w:rFonts w:cs="Arial"/>
                <w:color w:val="000000"/>
                <w:sz w:val="18"/>
                <w:szCs w:val="18"/>
              </w:rPr>
            </w:pPr>
            <w:r w:rsidRPr="000E3F92">
              <w:rPr>
                <w:rFonts w:cs="Arial"/>
                <w:color w:val="FF0000"/>
                <w:sz w:val="18"/>
                <w:szCs w:val="18"/>
              </w:rPr>
              <w:t>(24,27)</w:t>
            </w:r>
          </w:p>
        </w:tc>
      </w:tr>
      <w:tr w:rsidR="000E3F92" w:rsidRPr="000E3F92" w14:paraId="18256666" w14:textId="77777777" w:rsidTr="002A33B4">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hideMark/>
          </w:tcPr>
          <w:p w14:paraId="0D24BFFF"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lastRenderedPageBreak/>
              <w:t>Empréstimos e Financiamentos a Longo Prazo</w:t>
            </w:r>
          </w:p>
        </w:tc>
        <w:tc>
          <w:tcPr>
            <w:tcW w:w="607" w:type="pct"/>
            <w:tcBorders>
              <w:top w:val="nil"/>
              <w:left w:val="nil"/>
              <w:bottom w:val="nil"/>
              <w:right w:val="single" w:sz="4" w:space="0" w:color="auto"/>
            </w:tcBorders>
            <w:shd w:val="clear" w:color="auto" w:fill="auto"/>
            <w:noWrap/>
            <w:vAlign w:val="center"/>
            <w:hideMark/>
          </w:tcPr>
          <w:p w14:paraId="55E64851" w14:textId="77777777" w:rsidR="006B7928" w:rsidRPr="000E3F92" w:rsidRDefault="006B7928" w:rsidP="00DB1541">
            <w:pPr>
              <w:jc w:val="right"/>
              <w:rPr>
                <w:rFonts w:cs="Arial"/>
                <w:color w:val="000000"/>
                <w:sz w:val="18"/>
                <w:szCs w:val="18"/>
              </w:rPr>
            </w:pPr>
            <w:r w:rsidRPr="000E3F92">
              <w:rPr>
                <w:rFonts w:cs="Arial"/>
                <w:color w:val="000000"/>
                <w:sz w:val="18"/>
                <w:szCs w:val="18"/>
              </w:rPr>
              <w:t>23.230.026</w:t>
            </w:r>
          </w:p>
        </w:tc>
        <w:tc>
          <w:tcPr>
            <w:tcW w:w="378" w:type="pct"/>
            <w:tcBorders>
              <w:top w:val="nil"/>
              <w:left w:val="nil"/>
              <w:bottom w:val="nil"/>
              <w:right w:val="single" w:sz="4" w:space="0" w:color="auto"/>
            </w:tcBorders>
            <w:shd w:val="clear" w:color="auto" w:fill="auto"/>
            <w:noWrap/>
            <w:vAlign w:val="center"/>
            <w:hideMark/>
          </w:tcPr>
          <w:p w14:paraId="7E712B7B" w14:textId="77777777" w:rsidR="006B7928" w:rsidRPr="000E3F92" w:rsidRDefault="006B7928" w:rsidP="00DB1541">
            <w:pPr>
              <w:jc w:val="center"/>
              <w:rPr>
                <w:rFonts w:cs="Arial"/>
                <w:color w:val="000000"/>
                <w:sz w:val="18"/>
                <w:szCs w:val="18"/>
              </w:rPr>
            </w:pPr>
            <w:r w:rsidRPr="000E3F92">
              <w:rPr>
                <w:rFonts w:cs="Arial"/>
                <w:color w:val="000000"/>
                <w:sz w:val="18"/>
                <w:szCs w:val="18"/>
              </w:rPr>
              <w:t>8,04</w:t>
            </w:r>
          </w:p>
        </w:tc>
        <w:tc>
          <w:tcPr>
            <w:tcW w:w="607" w:type="pct"/>
            <w:tcBorders>
              <w:top w:val="nil"/>
              <w:left w:val="nil"/>
              <w:bottom w:val="nil"/>
              <w:right w:val="single" w:sz="4" w:space="0" w:color="auto"/>
            </w:tcBorders>
            <w:shd w:val="clear" w:color="auto" w:fill="auto"/>
            <w:noWrap/>
            <w:vAlign w:val="center"/>
            <w:hideMark/>
          </w:tcPr>
          <w:p w14:paraId="569E08A4" w14:textId="77777777" w:rsidR="006B7928" w:rsidRPr="000E3F92" w:rsidRDefault="006B7928" w:rsidP="00DB1541">
            <w:pPr>
              <w:jc w:val="right"/>
              <w:rPr>
                <w:rFonts w:cs="Arial"/>
                <w:color w:val="000000"/>
                <w:sz w:val="18"/>
                <w:szCs w:val="18"/>
              </w:rPr>
            </w:pPr>
            <w:r w:rsidRPr="000E3F92">
              <w:rPr>
                <w:rFonts w:cs="Arial"/>
                <w:color w:val="000000"/>
                <w:sz w:val="18"/>
                <w:szCs w:val="18"/>
              </w:rPr>
              <w:t>21.922.496</w:t>
            </w:r>
          </w:p>
        </w:tc>
        <w:tc>
          <w:tcPr>
            <w:tcW w:w="380" w:type="pct"/>
            <w:tcBorders>
              <w:top w:val="nil"/>
              <w:left w:val="nil"/>
              <w:bottom w:val="nil"/>
              <w:right w:val="single" w:sz="4" w:space="0" w:color="auto"/>
            </w:tcBorders>
            <w:shd w:val="clear" w:color="auto" w:fill="auto"/>
            <w:noWrap/>
            <w:vAlign w:val="center"/>
            <w:hideMark/>
          </w:tcPr>
          <w:p w14:paraId="07BE5845" w14:textId="77777777" w:rsidR="006B7928" w:rsidRPr="000E3F92" w:rsidRDefault="006B7928" w:rsidP="00DB1541">
            <w:pPr>
              <w:jc w:val="center"/>
              <w:rPr>
                <w:rFonts w:cs="Arial"/>
                <w:color w:val="000000"/>
                <w:sz w:val="18"/>
                <w:szCs w:val="18"/>
              </w:rPr>
            </w:pPr>
            <w:r w:rsidRPr="000E3F92">
              <w:rPr>
                <w:rFonts w:cs="Arial"/>
                <w:color w:val="000000"/>
                <w:sz w:val="18"/>
                <w:szCs w:val="18"/>
              </w:rPr>
              <w:t>80,40</w:t>
            </w:r>
          </w:p>
        </w:tc>
        <w:tc>
          <w:tcPr>
            <w:tcW w:w="682" w:type="pct"/>
            <w:tcBorders>
              <w:top w:val="nil"/>
              <w:left w:val="nil"/>
              <w:bottom w:val="nil"/>
              <w:right w:val="single" w:sz="4" w:space="0" w:color="auto"/>
            </w:tcBorders>
            <w:shd w:val="clear" w:color="auto" w:fill="auto"/>
            <w:noWrap/>
            <w:vAlign w:val="center"/>
            <w:hideMark/>
          </w:tcPr>
          <w:p w14:paraId="2C4CF6A1" w14:textId="77777777" w:rsidR="006B7928" w:rsidRPr="000E3F92" w:rsidRDefault="006B7928" w:rsidP="00DB1541">
            <w:pPr>
              <w:jc w:val="right"/>
              <w:rPr>
                <w:rFonts w:cs="Arial"/>
                <w:color w:val="000000"/>
                <w:sz w:val="18"/>
                <w:szCs w:val="18"/>
              </w:rPr>
            </w:pPr>
            <w:r w:rsidRPr="000E3F92">
              <w:rPr>
                <w:rFonts w:cs="Arial"/>
                <w:color w:val="000000"/>
                <w:sz w:val="18"/>
                <w:szCs w:val="18"/>
              </w:rPr>
              <w:t>1.307.530</w:t>
            </w:r>
          </w:p>
        </w:tc>
        <w:tc>
          <w:tcPr>
            <w:tcW w:w="453" w:type="pct"/>
            <w:tcBorders>
              <w:top w:val="nil"/>
              <w:left w:val="nil"/>
              <w:bottom w:val="nil"/>
              <w:right w:val="nil"/>
            </w:tcBorders>
            <w:shd w:val="clear" w:color="auto" w:fill="auto"/>
            <w:noWrap/>
            <w:vAlign w:val="center"/>
            <w:hideMark/>
          </w:tcPr>
          <w:p w14:paraId="1F9E54BC" w14:textId="77777777" w:rsidR="006B7928" w:rsidRPr="000E3F92" w:rsidRDefault="006B7928" w:rsidP="00DB1541">
            <w:pPr>
              <w:jc w:val="center"/>
              <w:rPr>
                <w:rFonts w:cs="Arial"/>
                <w:color w:val="000000"/>
                <w:sz w:val="18"/>
                <w:szCs w:val="18"/>
              </w:rPr>
            </w:pPr>
            <w:r w:rsidRPr="000E3F92">
              <w:rPr>
                <w:rFonts w:cs="Arial"/>
                <w:color w:val="000000"/>
                <w:sz w:val="18"/>
                <w:szCs w:val="18"/>
              </w:rPr>
              <w:t>5,96</w:t>
            </w:r>
          </w:p>
        </w:tc>
      </w:tr>
      <w:tr w:rsidR="000E3F92" w:rsidRPr="000E3F92" w14:paraId="2EDF9F47" w14:textId="77777777" w:rsidTr="002A33B4">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hideMark/>
          </w:tcPr>
          <w:p w14:paraId="6DD61013"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t>Fornecedores e Contas a Pagar a Longo Prazo</w:t>
            </w:r>
          </w:p>
        </w:tc>
        <w:tc>
          <w:tcPr>
            <w:tcW w:w="607" w:type="pct"/>
            <w:tcBorders>
              <w:top w:val="nil"/>
              <w:left w:val="nil"/>
              <w:bottom w:val="nil"/>
              <w:right w:val="single" w:sz="4" w:space="0" w:color="auto"/>
            </w:tcBorders>
            <w:shd w:val="clear" w:color="auto" w:fill="auto"/>
            <w:noWrap/>
            <w:vAlign w:val="center"/>
            <w:hideMark/>
          </w:tcPr>
          <w:p w14:paraId="48338B82" w14:textId="77777777" w:rsidR="006B7928" w:rsidRPr="000E3F92" w:rsidRDefault="006B7928" w:rsidP="00DB1541">
            <w:pPr>
              <w:jc w:val="right"/>
              <w:rPr>
                <w:rFonts w:cs="Arial"/>
                <w:color w:val="000000"/>
                <w:sz w:val="18"/>
                <w:szCs w:val="18"/>
              </w:rPr>
            </w:pPr>
            <w:r w:rsidRPr="000E3F92">
              <w:rPr>
                <w:rFonts w:cs="Arial"/>
                <w:color w:val="000000"/>
                <w:sz w:val="18"/>
                <w:szCs w:val="18"/>
              </w:rPr>
              <w:t>569.004</w:t>
            </w:r>
          </w:p>
        </w:tc>
        <w:tc>
          <w:tcPr>
            <w:tcW w:w="378" w:type="pct"/>
            <w:tcBorders>
              <w:top w:val="nil"/>
              <w:left w:val="nil"/>
              <w:bottom w:val="nil"/>
              <w:right w:val="single" w:sz="4" w:space="0" w:color="auto"/>
            </w:tcBorders>
            <w:shd w:val="clear" w:color="auto" w:fill="auto"/>
            <w:noWrap/>
            <w:vAlign w:val="center"/>
            <w:hideMark/>
          </w:tcPr>
          <w:p w14:paraId="7C7BD590" w14:textId="77777777" w:rsidR="006B7928" w:rsidRPr="000E3F92" w:rsidRDefault="006B7928" w:rsidP="00DB1541">
            <w:pPr>
              <w:jc w:val="center"/>
              <w:rPr>
                <w:rFonts w:cs="Arial"/>
                <w:color w:val="000000"/>
                <w:sz w:val="18"/>
                <w:szCs w:val="18"/>
              </w:rPr>
            </w:pPr>
            <w:r w:rsidRPr="000E3F92">
              <w:rPr>
                <w:rFonts w:cs="Arial"/>
                <w:color w:val="000000"/>
                <w:sz w:val="18"/>
                <w:szCs w:val="18"/>
              </w:rPr>
              <w:t>0,20</w:t>
            </w:r>
          </w:p>
        </w:tc>
        <w:tc>
          <w:tcPr>
            <w:tcW w:w="607" w:type="pct"/>
            <w:tcBorders>
              <w:top w:val="nil"/>
              <w:left w:val="nil"/>
              <w:bottom w:val="nil"/>
              <w:right w:val="single" w:sz="4" w:space="0" w:color="auto"/>
            </w:tcBorders>
            <w:shd w:val="clear" w:color="auto" w:fill="auto"/>
            <w:noWrap/>
            <w:vAlign w:val="center"/>
            <w:hideMark/>
          </w:tcPr>
          <w:p w14:paraId="35BCDF43" w14:textId="77777777" w:rsidR="006B7928" w:rsidRPr="000E3F92" w:rsidRDefault="006B7928" w:rsidP="00DB1541">
            <w:pPr>
              <w:jc w:val="right"/>
              <w:rPr>
                <w:rFonts w:cs="Arial"/>
                <w:color w:val="000000"/>
                <w:sz w:val="18"/>
                <w:szCs w:val="18"/>
              </w:rPr>
            </w:pPr>
            <w:r w:rsidRPr="000E3F92">
              <w:rPr>
                <w:rFonts w:cs="Arial"/>
                <w:color w:val="000000"/>
                <w:sz w:val="18"/>
                <w:szCs w:val="18"/>
              </w:rPr>
              <w:t>529.048</w:t>
            </w:r>
          </w:p>
        </w:tc>
        <w:tc>
          <w:tcPr>
            <w:tcW w:w="380" w:type="pct"/>
            <w:tcBorders>
              <w:top w:val="nil"/>
              <w:left w:val="nil"/>
              <w:bottom w:val="nil"/>
              <w:right w:val="single" w:sz="4" w:space="0" w:color="auto"/>
            </w:tcBorders>
            <w:shd w:val="clear" w:color="auto" w:fill="auto"/>
            <w:noWrap/>
            <w:vAlign w:val="center"/>
            <w:hideMark/>
          </w:tcPr>
          <w:p w14:paraId="29CDE130" w14:textId="77777777" w:rsidR="006B7928" w:rsidRPr="000E3F92" w:rsidRDefault="006B7928" w:rsidP="00DB1541">
            <w:pPr>
              <w:jc w:val="center"/>
              <w:rPr>
                <w:rFonts w:cs="Arial"/>
                <w:color w:val="000000"/>
                <w:sz w:val="18"/>
                <w:szCs w:val="18"/>
              </w:rPr>
            </w:pPr>
            <w:r w:rsidRPr="000E3F92">
              <w:rPr>
                <w:rFonts w:cs="Arial"/>
                <w:color w:val="000000"/>
                <w:sz w:val="18"/>
                <w:szCs w:val="18"/>
              </w:rPr>
              <w:t>1,94</w:t>
            </w:r>
          </w:p>
        </w:tc>
        <w:tc>
          <w:tcPr>
            <w:tcW w:w="682" w:type="pct"/>
            <w:tcBorders>
              <w:top w:val="nil"/>
              <w:left w:val="nil"/>
              <w:bottom w:val="nil"/>
              <w:right w:val="single" w:sz="4" w:space="0" w:color="auto"/>
            </w:tcBorders>
            <w:shd w:val="clear" w:color="auto" w:fill="auto"/>
            <w:noWrap/>
            <w:vAlign w:val="center"/>
            <w:hideMark/>
          </w:tcPr>
          <w:p w14:paraId="5A44ABBA" w14:textId="77777777" w:rsidR="006B7928" w:rsidRPr="000E3F92" w:rsidRDefault="006B7928" w:rsidP="00DB1541">
            <w:pPr>
              <w:jc w:val="right"/>
              <w:rPr>
                <w:rFonts w:cs="Arial"/>
                <w:color w:val="000000"/>
                <w:sz w:val="18"/>
                <w:szCs w:val="18"/>
              </w:rPr>
            </w:pPr>
            <w:r w:rsidRPr="000E3F92">
              <w:rPr>
                <w:rFonts w:cs="Arial"/>
                <w:color w:val="000000"/>
                <w:sz w:val="18"/>
                <w:szCs w:val="18"/>
              </w:rPr>
              <w:t>39.955</w:t>
            </w:r>
          </w:p>
        </w:tc>
        <w:tc>
          <w:tcPr>
            <w:tcW w:w="453" w:type="pct"/>
            <w:tcBorders>
              <w:top w:val="nil"/>
              <w:left w:val="nil"/>
              <w:bottom w:val="nil"/>
              <w:right w:val="nil"/>
            </w:tcBorders>
            <w:shd w:val="clear" w:color="auto" w:fill="auto"/>
            <w:noWrap/>
            <w:vAlign w:val="center"/>
            <w:hideMark/>
          </w:tcPr>
          <w:p w14:paraId="177CEEBE" w14:textId="77777777" w:rsidR="006B7928" w:rsidRPr="000E3F92" w:rsidRDefault="006B7928" w:rsidP="00DB1541">
            <w:pPr>
              <w:jc w:val="center"/>
              <w:rPr>
                <w:rFonts w:cs="Arial"/>
                <w:color w:val="000000"/>
                <w:sz w:val="18"/>
                <w:szCs w:val="18"/>
              </w:rPr>
            </w:pPr>
            <w:r w:rsidRPr="000E3F92">
              <w:rPr>
                <w:rFonts w:cs="Arial"/>
                <w:color w:val="000000"/>
                <w:sz w:val="18"/>
                <w:szCs w:val="18"/>
              </w:rPr>
              <w:t>7,55</w:t>
            </w:r>
          </w:p>
        </w:tc>
      </w:tr>
      <w:tr w:rsidR="000E3F92" w:rsidRPr="000E3F92" w14:paraId="075234FE" w14:textId="77777777" w:rsidTr="002A33B4">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hideMark/>
          </w:tcPr>
          <w:p w14:paraId="53EE3FBB"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t>Obrigações Fiscais a Longo Prazo</w:t>
            </w:r>
          </w:p>
        </w:tc>
        <w:tc>
          <w:tcPr>
            <w:tcW w:w="607" w:type="pct"/>
            <w:tcBorders>
              <w:top w:val="nil"/>
              <w:left w:val="nil"/>
              <w:bottom w:val="nil"/>
              <w:right w:val="single" w:sz="4" w:space="0" w:color="auto"/>
            </w:tcBorders>
            <w:shd w:val="clear" w:color="auto" w:fill="auto"/>
            <w:noWrap/>
            <w:vAlign w:val="center"/>
            <w:hideMark/>
          </w:tcPr>
          <w:p w14:paraId="760FDA13" w14:textId="77777777" w:rsidR="006B7928" w:rsidRPr="000E3F92" w:rsidRDefault="006B7928" w:rsidP="00DB1541">
            <w:pPr>
              <w:jc w:val="right"/>
              <w:rPr>
                <w:rFonts w:cs="Arial"/>
                <w:color w:val="000000"/>
                <w:sz w:val="18"/>
                <w:szCs w:val="18"/>
              </w:rPr>
            </w:pPr>
            <w:r w:rsidRPr="000E3F92">
              <w:rPr>
                <w:rFonts w:cs="Arial"/>
                <w:color w:val="000000"/>
                <w:sz w:val="18"/>
                <w:szCs w:val="18"/>
              </w:rPr>
              <w:t xml:space="preserve">-  </w:t>
            </w:r>
          </w:p>
        </w:tc>
        <w:tc>
          <w:tcPr>
            <w:tcW w:w="378" w:type="pct"/>
            <w:tcBorders>
              <w:top w:val="nil"/>
              <w:left w:val="nil"/>
              <w:bottom w:val="nil"/>
              <w:right w:val="single" w:sz="4" w:space="0" w:color="auto"/>
            </w:tcBorders>
            <w:shd w:val="clear" w:color="auto" w:fill="auto"/>
            <w:noWrap/>
            <w:vAlign w:val="center"/>
            <w:hideMark/>
          </w:tcPr>
          <w:p w14:paraId="592DEF61" w14:textId="77777777" w:rsidR="006B7928" w:rsidRPr="000E3F92" w:rsidRDefault="006B7928" w:rsidP="00DB1541">
            <w:pPr>
              <w:jc w:val="center"/>
              <w:rPr>
                <w:rFonts w:cs="Arial"/>
                <w:color w:val="000000"/>
                <w:sz w:val="18"/>
                <w:szCs w:val="18"/>
              </w:rPr>
            </w:pPr>
            <w:r w:rsidRPr="000E3F92">
              <w:rPr>
                <w:rFonts w:cs="Arial"/>
                <w:color w:val="000000"/>
                <w:sz w:val="18"/>
                <w:szCs w:val="18"/>
              </w:rPr>
              <w:t>-</w:t>
            </w:r>
          </w:p>
        </w:tc>
        <w:tc>
          <w:tcPr>
            <w:tcW w:w="607" w:type="pct"/>
            <w:tcBorders>
              <w:top w:val="nil"/>
              <w:left w:val="nil"/>
              <w:bottom w:val="nil"/>
              <w:right w:val="single" w:sz="4" w:space="0" w:color="auto"/>
            </w:tcBorders>
            <w:shd w:val="clear" w:color="auto" w:fill="auto"/>
            <w:noWrap/>
            <w:vAlign w:val="center"/>
            <w:hideMark/>
          </w:tcPr>
          <w:p w14:paraId="52454C68" w14:textId="77777777" w:rsidR="006B7928" w:rsidRPr="000E3F92" w:rsidRDefault="006B7928" w:rsidP="00DB1541">
            <w:pPr>
              <w:jc w:val="right"/>
              <w:rPr>
                <w:rFonts w:cs="Arial"/>
                <w:color w:val="000000"/>
                <w:sz w:val="18"/>
                <w:szCs w:val="18"/>
              </w:rPr>
            </w:pPr>
            <w:r w:rsidRPr="000E3F92">
              <w:rPr>
                <w:rFonts w:cs="Arial"/>
                <w:color w:val="000000"/>
                <w:sz w:val="18"/>
                <w:szCs w:val="18"/>
              </w:rPr>
              <w:t>6.035</w:t>
            </w:r>
          </w:p>
        </w:tc>
        <w:tc>
          <w:tcPr>
            <w:tcW w:w="380" w:type="pct"/>
            <w:tcBorders>
              <w:top w:val="nil"/>
              <w:left w:val="nil"/>
              <w:bottom w:val="nil"/>
              <w:right w:val="single" w:sz="4" w:space="0" w:color="auto"/>
            </w:tcBorders>
            <w:shd w:val="clear" w:color="auto" w:fill="auto"/>
            <w:noWrap/>
            <w:vAlign w:val="center"/>
            <w:hideMark/>
          </w:tcPr>
          <w:p w14:paraId="47910866" w14:textId="77777777" w:rsidR="006B7928" w:rsidRPr="000E3F92" w:rsidRDefault="006B7928" w:rsidP="00DB1541">
            <w:pPr>
              <w:jc w:val="center"/>
              <w:rPr>
                <w:rFonts w:cs="Arial"/>
                <w:color w:val="000000"/>
                <w:sz w:val="18"/>
                <w:szCs w:val="18"/>
              </w:rPr>
            </w:pPr>
            <w:r w:rsidRPr="000E3F92">
              <w:rPr>
                <w:rFonts w:cs="Arial"/>
                <w:color w:val="000000"/>
                <w:sz w:val="18"/>
                <w:szCs w:val="18"/>
              </w:rPr>
              <w:t>0,02</w:t>
            </w:r>
          </w:p>
        </w:tc>
        <w:tc>
          <w:tcPr>
            <w:tcW w:w="682" w:type="pct"/>
            <w:tcBorders>
              <w:top w:val="nil"/>
              <w:left w:val="nil"/>
              <w:bottom w:val="nil"/>
              <w:right w:val="single" w:sz="4" w:space="0" w:color="auto"/>
            </w:tcBorders>
            <w:shd w:val="clear" w:color="auto" w:fill="auto"/>
            <w:noWrap/>
            <w:vAlign w:val="center"/>
            <w:hideMark/>
          </w:tcPr>
          <w:p w14:paraId="21FC09FF" w14:textId="77777777" w:rsidR="006B7928" w:rsidRPr="000E3F92" w:rsidRDefault="006B7928" w:rsidP="00DB1541">
            <w:pPr>
              <w:jc w:val="right"/>
              <w:rPr>
                <w:rFonts w:cs="Arial"/>
                <w:color w:val="000000"/>
                <w:sz w:val="18"/>
                <w:szCs w:val="18"/>
              </w:rPr>
            </w:pPr>
            <w:r w:rsidRPr="000E3F92">
              <w:rPr>
                <w:rFonts w:cs="Arial"/>
                <w:color w:val="FF0000"/>
                <w:sz w:val="18"/>
                <w:szCs w:val="18"/>
              </w:rPr>
              <w:t>(6.035)</w:t>
            </w:r>
          </w:p>
        </w:tc>
        <w:tc>
          <w:tcPr>
            <w:tcW w:w="453" w:type="pct"/>
            <w:tcBorders>
              <w:top w:val="nil"/>
              <w:left w:val="nil"/>
              <w:bottom w:val="nil"/>
              <w:right w:val="nil"/>
            </w:tcBorders>
            <w:shd w:val="clear" w:color="auto" w:fill="auto"/>
            <w:noWrap/>
            <w:vAlign w:val="center"/>
            <w:hideMark/>
          </w:tcPr>
          <w:p w14:paraId="5D18466A" w14:textId="77777777" w:rsidR="006B7928" w:rsidRPr="000E3F92" w:rsidRDefault="006B7928" w:rsidP="00DB1541">
            <w:pPr>
              <w:jc w:val="center"/>
              <w:rPr>
                <w:rFonts w:cs="Arial"/>
                <w:color w:val="000000"/>
                <w:sz w:val="18"/>
                <w:szCs w:val="18"/>
              </w:rPr>
            </w:pPr>
            <w:r w:rsidRPr="000E3F92">
              <w:rPr>
                <w:rFonts w:cs="Arial"/>
                <w:color w:val="FF0000"/>
                <w:sz w:val="18"/>
                <w:szCs w:val="18"/>
              </w:rPr>
              <w:t>(100,00)</w:t>
            </w:r>
          </w:p>
        </w:tc>
      </w:tr>
      <w:tr w:rsidR="000E3F92" w:rsidRPr="000E3F92" w14:paraId="28513899" w14:textId="77777777" w:rsidTr="002A33B4">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hideMark/>
          </w:tcPr>
          <w:p w14:paraId="77C797A3"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t>Provisões a Longo Prazo</w:t>
            </w:r>
          </w:p>
        </w:tc>
        <w:tc>
          <w:tcPr>
            <w:tcW w:w="607" w:type="pct"/>
            <w:tcBorders>
              <w:top w:val="nil"/>
              <w:left w:val="nil"/>
              <w:bottom w:val="nil"/>
              <w:right w:val="single" w:sz="4" w:space="0" w:color="auto"/>
            </w:tcBorders>
            <w:shd w:val="clear" w:color="auto" w:fill="auto"/>
            <w:noWrap/>
            <w:vAlign w:val="center"/>
            <w:hideMark/>
          </w:tcPr>
          <w:p w14:paraId="3F113E3A" w14:textId="77777777" w:rsidR="006B7928" w:rsidRPr="000E3F92" w:rsidRDefault="006B7928" w:rsidP="002A33B4">
            <w:pPr>
              <w:ind w:hanging="70"/>
              <w:jc w:val="right"/>
              <w:rPr>
                <w:rFonts w:cs="Arial"/>
                <w:color w:val="000000"/>
                <w:sz w:val="18"/>
                <w:szCs w:val="18"/>
              </w:rPr>
            </w:pPr>
            <w:r w:rsidRPr="000E3F92">
              <w:rPr>
                <w:rFonts w:cs="Arial"/>
                <w:color w:val="000000"/>
                <w:sz w:val="18"/>
                <w:szCs w:val="18"/>
              </w:rPr>
              <w:t>244.763.851</w:t>
            </w:r>
          </w:p>
        </w:tc>
        <w:tc>
          <w:tcPr>
            <w:tcW w:w="378" w:type="pct"/>
            <w:tcBorders>
              <w:top w:val="nil"/>
              <w:left w:val="nil"/>
              <w:bottom w:val="nil"/>
              <w:right w:val="single" w:sz="4" w:space="0" w:color="auto"/>
            </w:tcBorders>
            <w:shd w:val="clear" w:color="auto" w:fill="auto"/>
            <w:noWrap/>
            <w:vAlign w:val="center"/>
            <w:hideMark/>
          </w:tcPr>
          <w:p w14:paraId="138D1436" w14:textId="77777777" w:rsidR="006B7928" w:rsidRPr="000E3F92" w:rsidRDefault="006B7928" w:rsidP="00DB1541">
            <w:pPr>
              <w:jc w:val="center"/>
              <w:rPr>
                <w:rFonts w:cs="Arial"/>
                <w:color w:val="000000"/>
                <w:sz w:val="18"/>
                <w:szCs w:val="18"/>
              </w:rPr>
            </w:pPr>
            <w:r w:rsidRPr="000E3F92">
              <w:rPr>
                <w:rFonts w:cs="Arial"/>
                <w:color w:val="000000"/>
                <w:sz w:val="18"/>
                <w:szCs w:val="18"/>
              </w:rPr>
              <w:t>84,69</w:t>
            </w:r>
          </w:p>
        </w:tc>
        <w:tc>
          <w:tcPr>
            <w:tcW w:w="607" w:type="pct"/>
            <w:tcBorders>
              <w:top w:val="nil"/>
              <w:left w:val="nil"/>
              <w:bottom w:val="nil"/>
              <w:right w:val="single" w:sz="4" w:space="0" w:color="auto"/>
            </w:tcBorders>
            <w:shd w:val="clear" w:color="auto" w:fill="auto"/>
            <w:noWrap/>
            <w:vAlign w:val="center"/>
            <w:hideMark/>
          </w:tcPr>
          <w:p w14:paraId="264D06A1" w14:textId="77777777" w:rsidR="006B7928" w:rsidRPr="000E3F92" w:rsidRDefault="006B7928" w:rsidP="00DB1541">
            <w:pPr>
              <w:jc w:val="right"/>
              <w:rPr>
                <w:rFonts w:cs="Arial"/>
                <w:color w:val="000000"/>
                <w:sz w:val="18"/>
                <w:szCs w:val="18"/>
              </w:rPr>
            </w:pPr>
            <w:r w:rsidRPr="000E3F92">
              <w:rPr>
                <w:rFonts w:cs="Arial"/>
                <w:color w:val="000000"/>
                <w:sz w:val="18"/>
                <w:szCs w:val="18"/>
              </w:rPr>
              <w:t>580.457</w:t>
            </w:r>
          </w:p>
        </w:tc>
        <w:tc>
          <w:tcPr>
            <w:tcW w:w="380" w:type="pct"/>
            <w:tcBorders>
              <w:top w:val="nil"/>
              <w:left w:val="nil"/>
              <w:bottom w:val="nil"/>
              <w:right w:val="single" w:sz="4" w:space="0" w:color="auto"/>
            </w:tcBorders>
            <w:shd w:val="clear" w:color="auto" w:fill="auto"/>
            <w:noWrap/>
            <w:vAlign w:val="center"/>
            <w:hideMark/>
          </w:tcPr>
          <w:p w14:paraId="74040C00" w14:textId="77777777" w:rsidR="006B7928" w:rsidRPr="000E3F92" w:rsidRDefault="006B7928" w:rsidP="00DB1541">
            <w:pPr>
              <w:jc w:val="center"/>
              <w:rPr>
                <w:rFonts w:cs="Arial"/>
                <w:color w:val="000000"/>
                <w:sz w:val="18"/>
                <w:szCs w:val="18"/>
              </w:rPr>
            </w:pPr>
            <w:r w:rsidRPr="000E3F92">
              <w:rPr>
                <w:rFonts w:cs="Arial"/>
                <w:color w:val="000000"/>
                <w:sz w:val="18"/>
                <w:szCs w:val="18"/>
              </w:rPr>
              <w:t>2,13</w:t>
            </w:r>
          </w:p>
        </w:tc>
        <w:tc>
          <w:tcPr>
            <w:tcW w:w="682" w:type="pct"/>
            <w:tcBorders>
              <w:top w:val="nil"/>
              <w:left w:val="nil"/>
              <w:bottom w:val="nil"/>
              <w:right w:val="single" w:sz="4" w:space="0" w:color="auto"/>
            </w:tcBorders>
            <w:shd w:val="clear" w:color="auto" w:fill="auto"/>
            <w:noWrap/>
            <w:vAlign w:val="center"/>
            <w:hideMark/>
          </w:tcPr>
          <w:p w14:paraId="5A4D6112" w14:textId="77777777" w:rsidR="006B7928" w:rsidRPr="000E3F92" w:rsidRDefault="006B7928" w:rsidP="00DB1541">
            <w:pPr>
              <w:jc w:val="right"/>
              <w:rPr>
                <w:rFonts w:cs="Arial"/>
                <w:color w:val="000000"/>
                <w:sz w:val="18"/>
                <w:szCs w:val="18"/>
              </w:rPr>
            </w:pPr>
            <w:r w:rsidRPr="000E3F92">
              <w:rPr>
                <w:rFonts w:cs="Arial"/>
                <w:color w:val="000000"/>
                <w:sz w:val="18"/>
                <w:szCs w:val="18"/>
              </w:rPr>
              <w:t>244.183.395</w:t>
            </w:r>
          </w:p>
        </w:tc>
        <w:tc>
          <w:tcPr>
            <w:tcW w:w="453" w:type="pct"/>
            <w:tcBorders>
              <w:top w:val="nil"/>
              <w:left w:val="nil"/>
              <w:bottom w:val="nil"/>
              <w:right w:val="nil"/>
            </w:tcBorders>
            <w:shd w:val="clear" w:color="auto" w:fill="auto"/>
            <w:noWrap/>
            <w:vAlign w:val="center"/>
            <w:hideMark/>
          </w:tcPr>
          <w:p w14:paraId="6591E028" w14:textId="77777777" w:rsidR="006B7928" w:rsidRPr="000E3F92" w:rsidRDefault="006B7928" w:rsidP="002A33B4">
            <w:pPr>
              <w:ind w:hanging="74"/>
              <w:jc w:val="center"/>
              <w:rPr>
                <w:rFonts w:cs="Arial"/>
                <w:color w:val="000000"/>
                <w:sz w:val="18"/>
                <w:szCs w:val="18"/>
              </w:rPr>
            </w:pPr>
            <w:r w:rsidRPr="000E3F92">
              <w:rPr>
                <w:rFonts w:cs="Arial"/>
                <w:color w:val="000000"/>
                <w:sz w:val="18"/>
                <w:szCs w:val="18"/>
              </w:rPr>
              <w:t>42067,47</w:t>
            </w:r>
          </w:p>
        </w:tc>
      </w:tr>
      <w:tr w:rsidR="000E3F92" w:rsidRPr="000E3F92" w14:paraId="22137B75" w14:textId="77777777" w:rsidTr="002A33B4">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hideMark/>
          </w:tcPr>
          <w:p w14:paraId="4EF505CC" w14:textId="77777777" w:rsidR="006B7928" w:rsidRPr="000E3F92" w:rsidRDefault="006B7928" w:rsidP="00DB1541">
            <w:pPr>
              <w:ind w:left="215"/>
              <w:jc w:val="left"/>
              <w:rPr>
                <w:rFonts w:cs="Arial"/>
                <w:color w:val="000000"/>
                <w:sz w:val="18"/>
                <w:szCs w:val="18"/>
              </w:rPr>
            </w:pPr>
            <w:r w:rsidRPr="000E3F92">
              <w:rPr>
                <w:rFonts w:cs="Arial"/>
                <w:color w:val="000000"/>
                <w:sz w:val="18"/>
                <w:szCs w:val="18"/>
              </w:rPr>
              <w:t>Demais Obrigações a Longo Prazo</w:t>
            </w:r>
          </w:p>
        </w:tc>
        <w:tc>
          <w:tcPr>
            <w:tcW w:w="607" w:type="pct"/>
            <w:tcBorders>
              <w:top w:val="nil"/>
              <w:left w:val="nil"/>
              <w:bottom w:val="nil"/>
              <w:right w:val="single" w:sz="4" w:space="0" w:color="auto"/>
            </w:tcBorders>
            <w:shd w:val="clear" w:color="auto" w:fill="auto"/>
            <w:noWrap/>
            <w:vAlign w:val="center"/>
            <w:hideMark/>
          </w:tcPr>
          <w:p w14:paraId="28EC3023" w14:textId="77777777" w:rsidR="006B7928" w:rsidRPr="000E3F92" w:rsidRDefault="006B7928" w:rsidP="00DB1541">
            <w:pPr>
              <w:jc w:val="right"/>
              <w:rPr>
                <w:rFonts w:cs="Arial"/>
                <w:color w:val="000000"/>
                <w:sz w:val="18"/>
                <w:szCs w:val="18"/>
              </w:rPr>
            </w:pPr>
            <w:r w:rsidRPr="000E3F92">
              <w:rPr>
                <w:rFonts w:cs="Arial"/>
                <w:color w:val="000000"/>
                <w:sz w:val="18"/>
                <w:szCs w:val="18"/>
              </w:rPr>
              <w:t>2.620.225</w:t>
            </w:r>
          </w:p>
        </w:tc>
        <w:tc>
          <w:tcPr>
            <w:tcW w:w="378" w:type="pct"/>
            <w:tcBorders>
              <w:top w:val="nil"/>
              <w:left w:val="nil"/>
              <w:bottom w:val="nil"/>
              <w:right w:val="single" w:sz="4" w:space="0" w:color="auto"/>
            </w:tcBorders>
            <w:shd w:val="clear" w:color="auto" w:fill="auto"/>
            <w:noWrap/>
            <w:vAlign w:val="center"/>
            <w:hideMark/>
          </w:tcPr>
          <w:p w14:paraId="07FF7E11" w14:textId="77777777" w:rsidR="006B7928" w:rsidRPr="000E3F92" w:rsidRDefault="006B7928" w:rsidP="00DB1541">
            <w:pPr>
              <w:jc w:val="center"/>
              <w:rPr>
                <w:rFonts w:cs="Arial"/>
                <w:color w:val="000000"/>
                <w:sz w:val="18"/>
                <w:szCs w:val="18"/>
              </w:rPr>
            </w:pPr>
            <w:r w:rsidRPr="000E3F92">
              <w:rPr>
                <w:rFonts w:cs="Arial"/>
                <w:color w:val="000000"/>
                <w:sz w:val="18"/>
                <w:szCs w:val="18"/>
              </w:rPr>
              <w:t>0,91</w:t>
            </w:r>
          </w:p>
        </w:tc>
        <w:tc>
          <w:tcPr>
            <w:tcW w:w="607" w:type="pct"/>
            <w:tcBorders>
              <w:top w:val="nil"/>
              <w:left w:val="nil"/>
              <w:bottom w:val="nil"/>
              <w:right w:val="single" w:sz="4" w:space="0" w:color="auto"/>
            </w:tcBorders>
            <w:shd w:val="clear" w:color="auto" w:fill="auto"/>
            <w:noWrap/>
            <w:vAlign w:val="center"/>
            <w:hideMark/>
          </w:tcPr>
          <w:p w14:paraId="6F94135C" w14:textId="77777777" w:rsidR="006B7928" w:rsidRPr="000E3F92" w:rsidRDefault="006B7928" w:rsidP="00DB1541">
            <w:pPr>
              <w:jc w:val="right"/>
              <w:rPr>
                <w:rFonts w:cs="Arial"/>
                <w:color w:val="000000"/>
                <w:sz w:val="18"/>
                <w:szCs w:val="18"/>
              </w:rPr>
            </w:pPr>
            <w:r w:rsidRPr="000E3F92">
              <w:rPr>
                <w:rFonts w:cs="Arial"/>
                <w:color w:val="000000"/>
                <w:sz w:val="18"/>
                <w:szCs w:val="18"/>
              </w:rPr>
              <w:t>200.665</w:t>
            </w:r>
          </w:p>
        </w:tc>
        <w:tc>
          <w:tcPr>
            <w:tcW w:w="380" w:type="pct"/>
            <w:tcBorders>
              <w:top w:val="nil"/>
              <w:left w:val="nil"/>
              <w:bottom w:val="nil"/>
              <w:right w:val="single" w:sz="4" w:space="0" w:color="auto"/>
            </w:tcBorders>
            <w:shd w:val="clear" w:color="auto" w:fill="auto"/>
            <w:noWrap/>
            <w:vAlign w:val="center"/>
            <w:hideMark/>
          </w:tcPr>
          <w:p w14:paraId="1EB7B1AD" w14:textId="77777777" w:rsidR="006B7928" w:rsidRPr="000E3F92" w:rsidRDefault="006B7928" w:rsidP="00DB1541">
            <w:pPr>
              <w:jc w:val="center"/>
              <w:rPr>
                <w:rFonts w:cs="Arial"/>
                <w:color w:val="000000"/>
                <w:sz w:val="18"/>
                <w:szCs w:val="18"/>
              </w:rPr>
            </w:pPr>
            <w:r w:rsidRPr="000E3F92">
              <w:rPr>
                <w:rFonts w:cs="Arial"/>
                <w:color w:val="000000"/>
                <w:sz w:val="18"/>
                <w:szCs w:val="18"/>
              </w:rPr>
              <w:t>0,74</w:t>
            </w:r>
          </w:p>
        </w:tc>
        <w:tc>
          <w:tcPr>
            <w:tcW w:w="682" w:type="pct"/>
            <w:tcBorders>
              <w:top w:val="nil"/>
              <w:left w:val="nil"/>
              <w:bottom w:val="nil"/>
              <w:right w:val="single" w:sz="4" w:space="0" w:color="auto"/>
            </w:tcBorders>
            <w:shd w:val="clear" w:color="auto" w:fill="auto"/>
            <w:noWrap/>
            <w:vAlign w:val="center"/>
            <w:hideMark/>
          </w:tcPr>
          <w:p w14:paraId="0827FA11" w14:textId="77777777" w:rsidR="006B7928" w:rsidRPr="000E3F92" w:rsidRDefault="006B7928" w:rsidP="00DB1541">
            <w:pPr>
              <w:jc w:val="right"/>
              <w:rPr>
                <w:rFonts w:cs="Arial"/>
                <w:color w:val="000000"/>
                <w:sz w:val="18"/>
                <w:szCs w:val="18"/>
              </w:rPr>
            </w:pPr>
            <w:r w:rsidRPr="000E3F92">
              <w:rPr>
                <w:rFonts w:cs="Arial"/>
                <w:color w:val="000000"/>
                <w:sz w:val="18"/>
                <w:szCs w:val="18"/>
              </w:rPr>
              <w:t>2.419.560</w:t>
            </w:r>
          </w:p>
        </w:tc>
        <w:tc>
          <w:tcPr>
            <w:tcW w:w="453" w:type="pct"/>
            <w:tcBorders>
              <w:top w:val="nil"/>
              <w:left w:val="nil"/>
              <w:bottom w:val="nil"/>
              <w:right w:val="nil"/>
            </w:tcBorders>
            <w:shd w:val="clear" w:color="auto" w:fill="auto"/>
            <w:noWrap/>
            <w:vAlign w:val="center"/>
            <w:hideMark/>
          </w:tcPr>
          <w:p w14:paraId="00B104D8" w14:textId="77777777" w:rsidR="006B7928" w:rsidRPr="000E3F92" w:rsidRDefault="006B7928" w:rsidP="00DB1541">
            <w:pPr>
              <w:jc w:val="center"/>
              <w:rPr>
                <w:rFonts w:cs="Arial"/>
                <w:color w:val="000000"/>
                <w:sz w:val="18"/>
                <w:szCs w:val="18"/>
              </w:rPr>
            </w:pPr>
            <w:r w:rsidRPr="000E3F92">
              <w:rPr>
                <w:rFonts w:cs="Arial"/>
                <w:color w:val="000000"/>
                <w:sz w:val="18"/>
                <w:szCs w:val="18"/>
              </w:rPr>
              <w:t>1205,77</w:t>
            </w:r>
          </w:p>
        </w:tc>
      </w:tr>
      <w:tr w:rsidR="000E3F92" w:rsidRPr="000E3F92" w14:paraId="52CEDF16" w14:textId="77777777" w:rsidTr="00666825">
        <w:tblPrEx>
          <w:jc w:val="center"/>
        </w:tblPrEx>
        <w:trPr>
          <w:trHeight w:val="331"/>
          <w:jc w:val="center"/>
        </w:trPr>
        <w:tc>
          <w:tcPr>
            <w:tcW w:w="1894" w:type="pct"/>
            <w:tcBorders>
              <w:top w:val="single" w:sz="4" w:space="0" w:color="auto"/>
              <w:left w:val="nil"/>
              <w:bottom w:val="single" w:sz="4" w:space="0" w:color="auto"/>
              <w:right w:val="single" w:sz="4" w:space="0" w:color="auto"/>
            </w:tcBorders>
            <w:shd w:val="clear" w:color="auto" w:fill="auto"/>
            <w:vAlign w:val="center"/>
            <w:hideMark/>
          </w:tcPr>
          <w:p w14:paraId="6073F8B1"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Total</w:t>
            </w:r>
          </w:p>
        </w:tc>
        <w:tc>
          <w:tcPr>
            <w:tcW w:w="607" w:type="pct"/>
            <w:tcBorders>
              <w:top w:val="single" w:sz="4" w:space="0" w:color="auto"/>
              <w:left w:val="nil"/>
              <w:bottom w:val="single" w:sz="4" w:space="0" w:color="auto"/>
              <w:right w:val="single" w:sz="4" w:space="0" w:color="auto"/>
            </w:tcBorders>
            <w:shd w:val="clear" w:color="auto" w:fill="auto"/>
            <w:noWrap/>
            <w:vAlign w:val="center"/>
            <w:hideMark/>
          </w:tcPr>
          <w:p w14:paraId="5C1884B0" w14:textId="77777777" w:rsidR="006B7928" w:rsidRPr="000E3F92" w:rsidRDefault="006B7928" w:rsidP="000E3F92">
            <w:pPr>
              <w:ind w:left="-66"/>
              <w:jc w:val="right"/>
              <w:rPr>
                <w:rFonts w:cs="Arial"/>
                <w:b/>
                <w:bCs/>
                <w:color w:val="000000"/>
                <w:sz w:val="18"/>
                <w:szCs w:val="18"/>
              </w:rPr>
            </w:pPr>
            <w:r w:rsidRPr="000E3F92">
              <w:rPr>
                <w:rFonts w:cs="Arial"/>
                <w:b/>
                <w:bCs/>
                <w:color w:val="000000"/>
                <w:sz w:val="18"/>
                <w:szCs w:val="18"/>
              </w:rPr>
              <w:t>289.004.586</w:t>
            </w:r>
          </w:p>
        </w:tc>
        <w:tc>
          <w:tcPr>
            <w:tcW w:w="378" w:type="pct"/>
            <w:tcBorders>
              <w:top w:val="single" w:sz="4" w:space="0" w:color="auto"/>
              <w:left w:val="nil"/>
              <w:bottom w:val="single" w:sz="4" w:space="0" w:color="auto"/>
              <w:right w:val="single" w:sz="4" w:space="0" w:color="auto"/>
            </w:tcBorders>
            <w:shd w:val="clear" w:color="auto" w:fill="auto"/>
            <w:noWrap/>
            <w:vAlign w:val="center"/>
            <w:hideMark/>
          </w:tcPr>
          <w:p w14:paraId="33A74920"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100,00</w:t>
            </w:r>
          </w:p>
        </w:tc>
        <w:tc>
          <w:tcPr>
            <w:tcW w:w="607" w:type="pct"/>
            <w:tcBorders>
              <w:top w:val="single" w:sz="4" w:space="0" w:color="auto"/>
              <w:left w:val="nil"/>
              <w:bottom w:val="single" w:sz="4" w:space="0" w:color="auto"/>
              <w:right w:val="single" w:sz="4" w:space="0" w:color="auto"/>
            </w:tcBorders>
            <w:shd w:val="clear" w:color="auto" w:fill="auto"/>
            <w:noWrap/>
            <w:vAlign w:val="center"/>
            <w:hideMark/>
          </w:tcPr>
          <w:p w14:paraId="33AD2DC3" w14:textId="77777777" w:rsidR="006B7928" w:rsidRPr="000E3F92" w:rsidRDefault="006B7928" w:rsidP="000E3F92">
            <w:pPr>
              <w:ind w:left="-65"/>
              <w:jc w:val="right"/>
              <w:rPr>
                <w:rFonts w:cs="Arial"/>
                <w:b/>
                <w:bCs/>
                <w:color w:val="000000"/>
                <w:sz w:val="18"/>
                <w:szCs w:val="18"/>
              </w:rPr>
            </w:pPr>
            <w:r w:rsidRPr="000E3F92">
              <w:rPr>
                <w:rFonts w:cs="Arial"/>
                <w:b/>
                <w:bCs/>
                <w:color w:val="000000"/>
                <w:sz w:val="18"/>
                <w:szCs w:val="18"/>
              </w:rPr>
              <w:t>27.268.394</w:t>
            </w:r>
          </w:p>
        </w:tc>
        <w:tc>
          <w:tcPr>
            <w:tcW w:w="380" w:type="pct"/>
            <w:tcBorders>
              <w:top w:val="single" w:sz="4" w:space="0" w:color="auto"/>
              <w:left w:val="nil"/>
              <w:bottom w:val="single" w:sz="4" w:space="0" w:color="auto"/>
              <w:right w:val="single" w:sz="4" w:space="0" w:color="auto"/>
            </w:tcBorders>
            <w:shd w:val="clear" w:color="auto" w:fill="auto"/>
            <w:noWrap/>
            <w:vAlign w:val="center"/>
            <w:hideMark/>
          </w:tcPr>
          <w:p w14:paraId="15C16337"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100,00</w:t>
            </w:r>
          </w:p>
        </w:tc>
        <w:tc>
          <w:tcPr>
            <w:tcW w:w="682" w:type="pct"/>
            <w:tcBorders>
              <w:top w:val="single" w:sz="4" w:space="0" w:color="auto"/>
              <w:left w:val="nil"/>
              <w:bottom w:val="single" w:sz="4" w:space="0" w:color="auto"/>
              <w:right w:val="single" w:sz="4" w:space="0" w:color="auto"/>
            </w:tcBorders>
            <w:shd w:val="clear" w:color="auto" w:fill="auto"/>
            <w:noWrap/>
            <w:vAlign w:val="center"/>
            <w:hideMark/>
          </w:tcPr>
          <w:p w14:paraId="3707F27F" w14:textId="77777777" w:rsidR="006B7928" w:rsidRPr="000E3F92" w:rsidRDefault="006B7928" w:rsidP="000E3F92">
            <w:pPr>
              <w:ind w:left="-67"/>
              <w:jc w:val="right"/>
              <w:rPr>
                <w:rFonts w:cs="Arial"/>
                <w:b/>
                <w:bCs/>
                <w:color w:val="000000"/>
                <w:sz w:val="18"/>
                <w:szCs w:val="18"/>
              </w:rPr>
            </w:pPr>
            <w:r w:rsidRPr="000E3F92">
              <w:rPr>
                <w:rFonts w:cs="Arial"/>
                <w:b/>
                <w:bCs/>
                <w:color w:val="000000"/>
                <w:sz w:val="18"/>
                <w:szCs w:val="18"/>
              </w:rPr>
              <w:t>261.736.192</w:t>
            </w:r>
          </w:p>
        </w:tc>
        <w:tc>
          <w:tcPr>
            <w:tcW w:w="453" w:type="pct"/>
            <w:tcBorders>
              <w:top w:val="single" w:sz="4" w:space="0" w:color="auto"/>
              <w:left w:val="nil"/>
              <w:bottom w:val="single" w:sz="4" w:space="0" w:color="auto"/>
              <w:right w:val="nil"/>
            </w:tcBorders>
            <w:shd w:val="clear" w:color="auto" w:fill="auto"/>
            <w:noWrap/>
            <w:vAlign w:val="center"/>
            <w:hideMark/>
          </w:tcPr>
          <w:p w14:paraId="46EED0D9" w14:textId="77777777" w:rsidR="006B7928" w:rsidRPr="000E3F92" w:rsidRDefault="006B7928" w:rsidP="00DB1541">
            <w:pPr>
              <w:jc w:val="center"/>
              <w:rPr>
                <w:rFonts w:cs="Arial"/>
                <w:b/>
                <w:bCs/>
                <w:color w:val="000000"/>
                <w:sz w:val="18"/>
                <w:szCs w:val="18"/>
              </w:rPr>
            </w:pPr>
            <w:r w:rsidRPr="000E3F92">
              <w:rPr>
                <w:rFonts w:cs="Arial"/>
                <w:b/>
                <w:bCs/>
                <w:color w:val="000000"/>
                <w:sz w:val="18"/>
                <w:szCs w:val="18"/>
              </w:rPr>
              <w:t>959,85</w:t>
            </w:r>
          </w:p>
        </w:tc>
      </w:tr>
    </w:tbl>
    <w:p w14:paraId="6551290E" w14:textId="77777777" w:rsidR="006B7928" w:rsidRPr="004805AA" w:rsidRDefault="006B7928" w:rsidP="006B7928">
      <w:pPr>
        <w:pStyle w:val="1-FONTE8ESQ"/>
      </w:pPr>
      <w:r w:rsidRPr="004805AA">
        <w:t>Fonte: Balanço Patrimonial - Anexo 14</w:t>
      </w:r>
      <w:r>
        <w:t xml:space="preserve"> (BGE 2023)</w:t>
      </w:r>
    </w:p>
    <w:p w14:paraId="75A0E4A9" w14:textId="1B57F5A7" w:rsidR="006B7928" w:rsidRDefault="006B7928" w:rsidP="00666825">
      <w:pPr>
        <w:pStyle w:val="1-REL11"/>
        <w:widowControl w:val="0"/>
        <w:spacing w:before="280" w:after="240" w:line="324" w:lineRule="auto"/>
      </w:pPr>
      <w:bookmarkStart w:id="450" w:name="_Hlk134202779"/>
      <w:r w:rsidRPr="004C3CE4">
        <w:t xml:space="preserve">O Passivo </w:t>
      </w:r>
      <w:r>
        <w:t>T</w:t>
      </w:r>
      <w:r w:rsidRPr="004C3CE4">
        <w:t xml:space="preserve">otal </w:t>
      </w:r>
      <w:bookmarkStart w:id="451" w:name="_Hlk167356608"/>
      <w:r>
        <w:t xml:space="preserve">apresentou um </w:t>
      </w:r>
      <w:r w:rsidRPr="003C45D2">
        <w:t xml:space="preserve">aumento </w:t>
      </w:r>
      <w:r>
        <w:t xml:space="preserve">expressivo </w:t>
      </w:r>
      <w:r w:rsidRPr="004C3CE4">
        <w:t xml:space="preserve">de </w:t>
      </w:r>
      <w:r>
        <w:t>959,85</w:t>
      </w:r>
      <w:r w:rsidRPr="004C3CE4">
        <w:t>% em relação a 202</w:t>
      </w:r>
      <w:r>
        <w:t>2,</w:t>
      </w:r>
      <w:r w:rsidRPr="004C3CE4">
        <w:t xml:space="preserve"> </w:t>
      </w:r>
      <w:r>
        <w:t>o que representa um crescimento de aproximadamente R$ 261,74 bilhões</w:t>
      </w:r>
      <w:bookmarkEnd w:id="451"/>
      <w:r>
        <w:t xml:space="preserve">. </w:t>
      </w:r>
      <w:bookmarkStart w:id="452" w:name="_Hlk167356712"/>
      <w:r>
        <w:t xml:space="preserve">Com relação à composição do Passivo, 5,95% dos saldos estão alocados no Passivo Circulante, enquanto o Passivo Não Circulante representa a maior parte, com 94,05%. </w:t>
      </w:r>
      <w:bookmarkEnd w:id="452"/>
      <w:r>
        <w:t>O quadro financeiro reflete a distribuição das obrigações do Estado no exercício de 2023.</w:t>
      </w:r>
    </w:p>
    <w:p w14:paraId="38711AC9" w14:textId="77777777" w:rsidR="006B7928" w:rsidRPr="00C61A6F" w:rsidRDefault="006B7928" w:rsidP="00666825">
      <w:pPr>
        <w:pStyle w:val="1-REL11"/>
        <w:spacing w:before="280" w:after="240" w:line="324" w:lineRule="auto"/>
      </w:pPr>
      <w:bookmarkStart w:id="453" w:name="_Hlk167356960"/>
      <w:r w:rsidRPr="00C61A6F">
        <w:t xml:space="preserve">No </w:t>
      </w:r>
      <w:r>
        <w:t>grupo Passivo Circulante, os saldos estão majoritariamente concentrados em dois subgrupos</w:t>
      </w:r>
      <w:bookmarkEnd w:id="453"/>
      <w:r>
        <w:t xml:space="preserve"> de contas, o primeiro é o subgrupo </w:t>
      </w:r>
      <w:bookmarkStart w:id="454" w:name="_Hlk167356968"/>
      <w:r>
        <w:t>Empréstimos e Financiamentos</w:t>
      </w:r>
      <w:bookmarkEnd w:id="454"/>
      <w:r>
        <w:t xml:space="preserve">, que demonstrou um crescimento de 8,79% em relação ao ano de 2022 e detém 0,43% do Passivo Total. O segundo é o subgrupo </w:t>
      </w:r>
      <w:bookmarkStart w:id="455" w:name="_Hlk167356981"/>
      <w:r>
        <w:t>D</w:t>
      </w:r>
      <w:r w:rsidRPr="003B1D7D">
        <w:t xml:space="preserve">emais </w:t>
      </w:r>
      <w:r>
        <w:t>O</w:t>
      </w:r>
      <w:r w:rsidRPr="003B1D7D">
        <w:t xml:space="preserve">brigações </w:t>
      </w:r>
      <w:r>
        <w:t>a</w:t>
      </w:r>
      <w:r w:rsidRPr="003B1D7D">
        <w:t xml:space="preserve"> </w:t>
      </w:r>
      <w:r>
        <w:t>C</w:t>
      </w:r>
      <w:r w:rsidRPr="003B1D7D">
        <w:t xml:space="preserve">urto </w:t>
      </w:r>
      <w:r>
        <w:t>P</w:t>
      </w:r>
      <w:r w:rsidRPr="003B1D7D">
        <w:t>razo</w:t>
      </w:r>
      <w:bookmarkEnd w:id="455"/>
      <w:r>
        <w:t xml:space="preserve">, que </w:t>
      </w:r>
      <w:bookmarkStart w:id="456" w:name="_Hlk167357771"/>
      <w:r>
        <w:t>apresentou um incremento significativo de 1.249% em relação ao ano anterior, representando 5,21% do Passivo Total</w:t>
      </w:r>
      <w:bookmarkEnd w:id="456"/>
      <w:r>
        <w:t>.</w:t>
      </w:r>
    </w:p>
    <w:p w14:paraId="661D605E" w14:textId="77777777" w:rsidR="006B7928" w:rsidRDefault="006B7928" w:rsidP="00666825">
      <w:pPr>
        <w:pStyle w:val="1-REL11"/>
        <w:spacing w:before="280" w:after="240" w:line="324" w:lineRule="auto"/>
      </w:pPr>
      <w:bookmarkStart w:id="457" w:name="_Hlk167356996"/>
      <w:r w:rsidRPr="008152F8">
        <w:t xml:space="preserve">Quanto ao grupo Passivo </w:t>
      </w:r>
      <w:r>
        <w:t>N</w:t>
      </w:r>
      <w:r w:rsidRPr="008152F8">
        <w:t xml:space="preserve">ão </w:t>
      </w:r>
      <w:r>
        <w:t>C</w:t>
      </w:r>
      <w:r w:rsidRPr="008152F8">
        <w:t>irculante</w:t>
      </w:r>
      <w:bookmarkEnd w:id="457"/>
      <w:r w:rsidRPr="008152F8">
        <w:t xml:space="preserve">, notou-se um </w:t>
      </w:r>
      <w:r>
        <w:t>importante</w:t>
      </w:r>
      <w:r w:rsidRPr="008152F8">
        <w:t xml:space="preserve"> aumento dos saldos na ordem de 1028,96% em relação ao período anterior, </w:t>
      </w:r>
      <w:r>
        <w:t>com maior volume nominal demonstrado nos subgrupos de contas Empréstimos e Financiamentos a Longo Prazo, Provisões a Longo Prazo e Demais Obrigações a Longo Prazo.</w:t>
      </w:r>
    </w:p>
    <w:p w14:paraId="1006DDB4" w14:textId="77777777" w:rsidR="006B7928" w:rsidRDefault="006B7928" w:rsidP="00666825">
      <w:pPr>
        <w:pStyle w:val="1-REL11"/>
        <w:spacing w:before="280" w:after="240" w:line="324" w:lineRule="auto"/>
      </w:pPr>
      <w:r>
        <w:t>Já o subgrupo Empréstimos e Financiamentos a Longo Prazo exibiu um aumento de 5,96% em relação a 2022, acréscimo de R$ 1,31 bilhão, e representa 8,04% do Passivo Total. Por sua vez, o subgrupo Provisões a Longo Prazo registrou uma evolução de 42067,47% no seu saldo</w:t>
      </w:r>
      <w:r w:rsidRPr="00206350">
        <w:t xml:space="preserve"> </w:t>
      </w:r>
      <w:r>
        <w:t>em relação ao mesmo período do exercício anterior, aumento de R$ 244,18 bilhões e participação de 84,69% no Passivo Total, sendo assim o mais representativo de todo Balanço Patrimonial.</w:t>
      </w:r>
    </w:p>
    <w:p w14:paraId="7273F6EA" w14:textId="77777777" w:rsidR="006B7928" w:rsidRPr="00212280" w:rsidRDefault="006B7928" w:rsidP="00666825">
      <w:pPr>
        <w:pStyle w:val="1-REL11"/>
        <w:spacing w:before="280" w:after="240" w:line="324" w:lineRule="auto"/>
      </w:pPr>
      <w:r>
        <w:lastRenderedPageBreak/>
        <w:t>Por fim, destaca-se o subgrupo Demais Obrigações a Longo Prazo que evidenciou um acréscimo de 1205,77% em seu saldo quando comparado a 2022, incremento de R$ 2,42 bilhões, representando 0,91% do Passivo Total.</w:t>
      </w:r>
    </w:p>
    <w:bookmarkEnd w:id="450"/>
    <w:p w14:paraId="65D45582" w14:textId="24A7FD2C" w:rsidR="006B7928" w:rsidRDefault="006B7928" w:rsidP="00666825">
      <w:pPr>
        <w:pStyle w:val="1-REL11"/>
        <w:spacing w:before="280" w:after="240" w:line="324" w:lineRule="auto"/>
      </w:pPr>
      <w:r w:rsidRPr="00212280">
        <w:t>As movimentações patrimoniais de maior relevância ocorridas nos passivos estaduais serão melhor detalhadas nos itens subsequentes.</w:t>
      </w:r>
    </w:p>
    <w:p w14:paraId="5BA8568D" w14:textId="77777777" w:rsidR="002A33B4" w:rsidRPr="00666825" w:rsidRDefault="002A33B4" w:rsidP="00BB5CDE">
      <w:pPr>
        <w:pStyle w:val="1-REL11"/>
        <w:spacing w:after="240" w:line="300" w:lineRule="auto"/>
        <w:rPr>
          <w:sz w:val="6"/>
          <w:szCs w:val="6"/>
        </w:rPr>
      </w:pPr>
    </w:p>
    <w:p w14:paraId="1DE148A6" w14:textId="77777777" w:rsidR="006B7928" w:rsidRPr="00212280" w:rsidRDefault="006B7928" w:rsidP="00117967">
      <w:pPr>
        <w:pStyle w:val="Ttulo4"/>
      </w:pPr>
      <w:bookmarkStart w:id="458" w:name="_Hlk167357084"/>
      <w:r w:rsidRPr="00212280">
        <w:t>Empréstimos e Financiamentos de Curto e Longo Prazos</w:t>
      </w:r>
    </w:p>
    <w:bookmarkEnd w:id="458"/>
    <w:p w14:paraId="66ACDBC6" w14:textId="77777777" w:rsidR="006B7928" w:rsidRPr="001061B7" w:rsidRDefault="006B7928" w:rsidP="00BB5CDE">
      <w:pPr>
        <w:pStyle w:val="1-REL11"/>
        <w:spacing w:after="240" w:line="300" w:lineRule="auto"/>
      </w:pPr>
      <w:r w:rsidRPr="001061B7">
        <w:t>Nestes subgrupos estão compreendid</w:t>
      </w:r>
      <w:r>
        <w:t>as</w:t>
      </w:r>
      <w:r w:rsidRPr="001061B7">
        <w:t xml:space="preserve"> as obrigações financeiras </w:t>
      </w:r>
      <w:r>
        <w:t xml:space="preserve">externas e internas </w:t>
      </w:r>
      <w:r w:rsidRPr="001061B7">
        <w:t>d</w:t>
      </w:r>
      <w:r>
        <w:t>o estado de Goiás</w:t>
      </w:r>
      <w:r w:rsidRPr="001061B7">
        <w:t xml:space="preserve"> </w:t>
      </w:r>
      <w:r>
        <w:t>decorrentes</w:t>
      </w:r>
      <w:r w:rsidRPr="001061B7">
        <w:t xml:space="preserve"> de empréstimos</w:t>
      </w:r>
      <w:r>
        <w:t xml:space="preserve"> com vencimentos no curto e longo prazos.</w:t>
      </w:r>
      <w:r w:rsidRPr="001061B7">
        <w:t xml:space="preserve"> </w:t>
      </w:r>
      <w:r w:rsidRPr="008A2B92">
        <w:t>Inclui também as compras realizadas diretamente com o fornecedor</w:t>
      </w:r>
      <w:r>
        <w:t>.</w:t>
      </w:r>
    </w:p>
    <w:p w14:paraId="1078221C" w14:textId="36384023" w:rsidR="006B7928" w:rsidRDefault="006B7928" w:rsidP="00BB5CDE">
      <w:pPr>
        <w:pStyle w:val="1-REL11"/>
        <w:spacing w:after="240" w:line="300" w:lineRule="auto"/>
      </w:pPr>
      <w:r w:rsidRPr="001061B7">
        <w:t>Em 202</w:t>
      </w:r>
      <w:r>
        <w:t>3,</w:t>
      </w:r>
      <w:r w:rsidRPr="001061B7">
        <w:t xml:space="preserve"> o saldo consolidado destas rubricas apresentou a seguinte composição:</w:t>
      </w:r>
    </w:p>
    <w:p w14:paraId="65BB74F4" w14:textId="333DAF89" w:rsidR="00AC4490" w:rsidRPr="007073B3" w:rsidRDefault="00AC4490" w:rsidP="00ED3571">
      <w:pPr>
        <w:pStyle w:val="0-TABELA"/>
      </w:pPr>
      <w:bookmarkStart w:id="459" w:name="_Toc167871825"/>
      <w:r w:rsidRPr="007073B3">
        <w:t>Empréstimos e Financiamentos</w:t>
      </w:r>
      <w:r w:rsidR="00D21055">
        <w:t xml:space="preserve"> 2023 x 2022</w:t>
      </w:r>
      <w:bookmarkEnd w:id="459"/>
    </w:p>
    <w:p w14:paraId="18509088" w14:textId="77777777" w:rsidR="00DB1541" w:rsidRDefault="00DB1541" w:rsidP="00DB1541">
      <w:pPr>
        <w:pStyle w:val="0-EmR1"/>
      </w:pPr>
      <w:r w:rsidRPr="008E421F">
        <w:t>R$ mil</w:t>
      </w:r>
    </w:p>
    <w:tbl>
      <w:tblPr>
        <w:tblW w:w="5003" w:type="pct"/>
        <w:tblLayout w:type="fixed"/>
        <w:tblCellMar>
          <w:left w:w="70" w:type="dxa"/>
          <w:right w:w="70" w:type="dxa"/>
        </w:tblCellMar>
        <w:tblLook w:val="04A0" w:firstRow="1" w:lastRow="0" w:firstColumn="1" w:lastColumn="0" w:noHBand="0" w:noVBand="1"/>
      </w:tblPr>
      <w:tblGrid>
        <w:gridCol w:w="3543"/>
        <w:gridCol w:w="1136"/>
        <w:gridCol w:w="707"/>
        <w:gridCol w:w="1278"/>
        <w:gridCol w:w="707"/>
        <w:gridCol w:w="1134"/>
        <w:gridCol w:w="849"/>
      </w:tblGrid>
      <w:tr w:rsidR="00DB1541" w:rsidRPr="000E3F92" w14:paraId="65EE170E" w14:textId="77777777" w:rsidTr="00BB5CDE">
        <w:trPr>
          <w:trHeight w:val="340"/>
          <w:tblHeader/>
        </w:trPr>
        <w:tc>
          <w:tcPr>
            <w:tcW w:w="1894" w:type="pct"/>
            <w:vMerge w:val="restart"/>
            <w:tcBorders>
              <w:top w:val="single" w:sz="4" w:space="0" w:color="auto"/>
              <w:left w:val="nil"/>
              <w:bottom w:val="single" w:sz="4" w:space="0" w:color="auto"/>
              <w:right w:val="single" w:sz="4" w:space="0" w:color="auto"/>
            </w:tcBorders>
            <w:shd w:val="clear" w:color="auto" w:fill="A1F2FD"/>
            <w:vAlign w:val="center"/>
            <w:hideMark/>
          </w:tcPr>
          <w:p w14:paraId="65C56867" w14:textId="77777777" w:rsidR="00DB1541" w:rsidRPr="000E3F92" w:rsidRDefault="00DB1541" w:rsidP="00DB1541">
            <w:pPr>
              <w:jc w:val="center"/>
              <w:rPr>
                <w:rFonts w:cs="Arial"/>
                <w:b/>
                <w:bCs/>
                <w:color w:val="000000"/>
                <w:sz w:val="18"/>
                <w:szCs w:val="18"/>
              </w:rPr>
            </w:pPr>
            <w:r w:rsidRPr="000E3F92">
              <w:rPr>
                <w:rFonts w:cs="Arial"/>
                <w:b/>
                <w:bCs/>
                <w:color w:val="000000"/>
                <w:sz w:val="18"/>
                <w:szCs w:val="18"/>
              </w:rPr>
              <w:t>Composição</w:t>
            </w:r>
          </w:p>
        </w:tc>
        <w:tc>
          <w:tcPr>
            <w:tcW w:w="607"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61431DB2" w14:textId="77777777" w:rsidR="00DB1541" w:rsidRPr="000E3F92" w:rsidRDefault="00DB1541" w:rsidP="00DB1541">
            <w:pPr>
              <w:jc w:val="center"/>
              <w:rPr>
                <w:rFonts w:cs="Arial"/>
                <w:b/>
                <w:bCs/>
                <w:color w:val="000000"/>
                <w:sz w:val="18"/>
                <w:szCs w:val="18"/>
              </w:rPr>
            </w:pPr>
            <w:r w:rsidRPr="000E3F92">
              <w:rPr>
                <w:rFonts w:cs="Arial"/>
                <w:b/>
                <w:bCs/>
                <w:color w:val="000000"/>
                <w:sz w:val="18"/>
                <w:szCs w:val="18"/>
              </w:rPr>
              <w:t>2023</w:t>
            </w:r>
          </w:p>
        </w:tc>
        <w:tc>
          <w:tcPr>
            <w:tcW w:w="378" w:type="pct"/>
            <w:vMerge w:val="restart"/>
            <w:tcBorders>
              <w:top w:val="single" w:sz="4" w:space="0" w:color="auto"/>
              <w:left w:val="nil"/>
              <w:right w:val="single" w:sz="4" w:space="0" w:color="auto"/>
            </w:tcBorders>
            <w:shd w:val="clear" w:color="auto" w:fill="A1F2FD"/>
            <w:vAlign w:val="center"/>
            <w:hideMark/>
          </w:tcPr>
          <w:p w14:paraId="66D70D2E" w14:textId="77777777" w:rsidR="00DB1541" w:rsidRPr="000E3F92" w:rsidRDefault="00DB1541" w:rsidP="00DB1541">
            <w:pPr>
              <w:jc w:val="center"/>
              <w:rPr>
                <w:rFonts w:cs="Arial"/>
                <w:b/>
                <w:bCs/>
                <w:color w:val="000000"/>
                <w:sz w:val="18"/>
                <w:szCs w:val="18"/>
              </w:rPr>
            </w:pPr>
            <w:r w:rsidRPr="000E3F92">
              <w:rPr>
                <w:rFonts w:cs="Arial"/>
                <w:b/>
                <w:bCs/>
                <w:color w:val="000000"/>
                <w:sz w:val="18"/>
                <w:szCs w:val="18"/>
              </w:rPr>
              <w:t xml:space="preserve">AV 2023 </w:t>
            </w:r>
          </w:p>
          <w:p w14:paraId="63217D8B" w14:textId="77777777" w:rsidR="00DB1541" w:rsidRPr="000E3F92" w:rsidRDefault="00DB1541" w:rsidP="00DB1541">
            <w:pPr>
              <w:jc w:val="center"/>
              <w:rPr>
                <w:rFonts w:cs="Arial"/>
                <w:b/>
                <w:bCs/>
                <w:color w:val="000000"/>
                <w:sz w:val="18"/>
                <w:szCs w:val="18"/>
              </w:rPr>
            </w:pPr>
            <w:r w:rsidRPr="000E3F92">
              <w:rPr>
                <w:rFonts w:cs="Arial"/>
                <w:b/>
                <w:bCs/>
                <w:color w:val="000000"/>
                <w:sz w:val="18"/>
                <w:szCs w:val="18"/>
              </w:rPr>
              <w:t>%</w:t>
            </w:r>
          </w:p>
        </w:tc>
        <w:tc>
          <w:tcPr>
            <w:tcW w:w="683"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16DA238D" w14:textId="77777777" w:rsidR="00DB1541" w:rsidRPr="000E3F92" w:rsidRDefault="00DB1541" w:rsidP="00DB1541">
            <w:pPr>
              <w:jc w:val="center"/>
              <w:rPr>
                <w:rFonts w:cs="Arial"/>
                <w:b/>
                <w:bCs/>
                <w:color w:val="000000"/>
                <w:sz w:val="18"/>
                <w:szCs w:val="18"/>
              </w:rPr>
            </w:pPr>
            <w:r w:rsidRPr="000E3F92">
              <w:rPr>
                <w:rFonts w:cs="Arial"/>
                <w:b/>
                <w:bCs/>
                <w:color w:val="000000"/>
                <w:sz w:val="18"/>
                <w:szCs w:val="18"/>
              </w:rPr>
              <w:t>2022</w:t>
            </w:r>
          </w:p>
        </w:tc>
        <w:tc>
          <w:tcPr>
            <w:tcW w:w="378" w:type="pct"/>
            <w:vMerge w:val="restart"/>
            <w:tcBorders>
              <w:top w:val="single" w:sz="4" w:space="0" w:color="auto"/>
              <w:left w:val="nil"/>
              <w:right w:val="single" w:sz="4" w:space="0" w:color="auto"/>
            </w:tcBorders>
            <w:shd w:val="clear" w:color="auto" w:fill="A1F2FD"/>
            <w:vAlign w:val="center"/>
            <w:hideMark/>
          </w:tcPr>
          <w:p w14:paraId="49929AD5" w14:textId="77777777" w:rsidR="00DB1541" w:rsidRPr="000E3F92" w:rsidRDefault="00DB1541" w:rsidP="00DB1541">
            <w:pPr>
              <w:jc w:val="center"/>
              <w:rPr>
                <w:rFonts w:cs="Arial"/>
                <w:b/>
                <w:bCs/>
                <w:color w:val="000000"/>
                <w:sz w:val="18"/>
                <w:szCs w:val="18"/>
              </w:rPr>
            </w:pPr>
            <w:r w:rsidRPr="000E3F92">
              <w:rPr>
                <w:rFonts w:cs="Arial"/>
                <w:b/>
                <w:bCs/>
                <w:color w:val="000000"/>
                <w:sz w:val="18"/>
                <w:szCs w:val="18"/>
              </w:rPr>
              <w:t xml:space="preserve">AV 2022 </w:t>
            </w:r>
          </w:p>
          <w:p w14:paraId="184AC994" w14:textId="77777777" w:rsidR="00DB1541" w:rsidRPr="000E3F92" w:rsidRDefault="00DB1541" w:rsidP="00DB1541">
            <w:pPr>
              <w:jc w:val="center"/>
              <w:rPr>
                <w:rFonts w:cs="Arial"/>
                <w:b/>
                <w:bCs/>
                <w:color w:val="000000"/>
                <w:sz w:val="18"/>
                <w:szCs w:val="18"/>
              </w:rPr>
            </w:pPr>
            <w:r w:rsidRPr="000E3F92">
              <w:rPr>
                <w:rFonts w:cs="Arial"/>
                <w:b/>
                <w:bCs/>
                <w:color w:val="000000"/>
                <w:sz w:val="18"/>
                <w:szCs w:val="18"/>
              </w:rPr>
              <w:t>%</w:t>
            </w:r>
          </w:p>
        </w:tc>
        <w:tc>
          <w:tcPr>
            <w:tcW w:w="1060" w:type="pct"/>
            <w:gridSpan w:val="2"/>
            <w:tcBorders>
              <w:top w:val="single" w:sz="4" w:space="0" w:color="auto"/>
              <w:left w:val="nil"/>
              <w:bottom w:val="single" w:sz="4" w:space="0" w:color="auto"/>
              <w:right w:val="single" w:sz="4" w:space="0" w:color="auto"/>
            </w:tcBorders>
            <w:shd w:val="clear" w:color="auto" w:fill="A1F2FD"/>
            <w:vAlign w:val="center"/>
            <w:hideMark/>
          </w:tcPr>
          <w:p w14:paraId="0823F156" w14:textId="77777777" w:rsidR="00DB1541" w:rsidRPr="000E3F92" w:rsidRDefault="00DB1541" w:rsidP="00DB1541">
            <w:pPr>
              <w:jc w:val="center"/>
              <w:rPr>
                <w:rFonts w:cs="Arial"/>
                <w:b/>
                <w:bCs/>
                <w:color w:val="000000"/>
                <w:sz w:val="18"/>
                <w:szCs w:val="18"/>
              </w:rPr>
            </w:pPr>
            <w:r w:rsidRPr="000E3F92">
              <w:rPr>
                <w:rFonts w:cs="Arial"/>
                <w:b/>
                <w:bCs/>
                <w:color w:val="000000"/>
                <w:sz w:val="18"/>
                <w:szCs w:val="18"/>
              </w:rPr>
              <w:t>∆ 2023 x 2022</w:t>
            </w:r>
          </w:p>
        </w:tc>
      </w:tr>
      <w:tr w:rsidR="00DB1541" w:rsidRPr="000E3F92" w14:paraId="1496C750" w14:textId="77777777" w:rsidTr="00BB5CDE">
        <w:trPr>
          <w:trHeight w:val="340"/>
          <w:tblHeader/>
        </w:trPr>
        <w:tc>
          <w:tcPr>
            <w:tcW w:w="1894" w:type="pct"/>
            <w:vMerge/>
            <w:tcBorders>
              <w:top w:val="single" w:sz="4" w:space="0" w:color="auto"/>
              <w:left w:val="nil"/>
              <w:bottom w:val="single" w:sz="4" w:space="0" w:color="auto"/>
              <w:right w:val="single" w:sz="4" w:space="0" w:color="auto"/>
            </w:tcBorders>
            <w:shd w:val="clear" w:color="auto" w:fill="A1F2FD"/>
            <w:vAlign w:val="center"/>
          </w:tcPr>
          <w:p w14:paraId="79F7515E" w14:textId="77777777" w:rsidR="00DB1541" w:rsidRPr="000E3F92" w:rsidRDefault="00DB1541" w:rsidP="00DB1541">
            <w:pPr>
              <w:jc w:val="left"/>
              <w:rPr>
                <w:rFonts w:cs="Arial"/>
                <w:b/>
                <w:bCs/>
                <w:color w:val="000000"/>
                <w:sz w:val="18"/>
                <w:szCs w:val="18"/>
              </w:rPr>
            </w:pPr>
          </w:p>
        </w:tc>
        <w:tc>
          <w:tcPr>
            <w:tcW w:w="607" w:type="pct"/>
            <w:vMerge/>
            <w:tcBorders>
              <w:top w:val="single" w:sz="4" w:space="0" w:color="auto"/>
              <w:left w:val="single" w:sz="4" w:space="0" w:color="auto"/>
              <w:right w:val="single" w:sz="4" w:space="0" w:color="auto"/>
            </w:tcBorders>
            <w:shd w:val="clear" w:color="auto" w:fill="A1F2FD"/>
            <w:vAlign w:val="center"/>
          </w:tcPr>
          <w:p w14:paraId="1FF988D3" w14:textId="77777777" w:rsidR="00DB1541" w:rsidRPr="000E3F92" w:rsidRDefault="00DB1541" w:rsidP="00DB1541">
            <w:pPr>
              <w:jc w:val="left"/>
              <w:rPr>
                <w:rFonts w:cs="Arial"/>
                <w:b/>
                <w:bCs/>
                <w:color w:val="000000"/>
                <w:sz w:val="18"/>
                <w:szCs w:val="18"/>
              </w:rPr>
            </w:pPr>
          </w:p>
        </w:tc>
        <w:tc>
          <w:tcPr>
            <w:tcW w:w="378" w:type="pct"/>
            <w:vMerge/>
            <w:tcBorders>
              <w:left w:val="nil"/>
              <w:right w:val="single" w:sz="4" w:space="0" w:color="auto"/>
            </w:tcBorders>
            <w:shd w:val="clear" w:color="auto" w:fill="A1F2FD"/>
            <w:vAlign w:val="center"/>
          </w:tcPr>
          <w:p w14:paraId="4302BBED" w14:textId="77777777" w:rsidR="00DB1541" w:rsidRPr="000E3F92" w:rsidRDefault="00DB1541" w:rsidP="00DB1541">
            <w:pPr>
              <w:jc w:val="center"/>
              <w:rPr>
                <w:rFonts w:cs="Arial"/>
                <w:b/>
                <w:bCs/>
                <w:color w:val="000000"/>
                <w:sz w:val="18"/>
                <w:szCs w:val="18"/>
              </w:rPr>
            </w:pPr>
          </w:p>
        </w:tc>
        <w:tc>
          <w:tcPr>
            <w:tcW w:w="683" w:type="pct"/>
            <w:vMerge/>
            <w:tcBorders>
              <w:top w:val="single" w:sz="4" w:space="0" w:color="auto"/>
              <w:left w:val="single" w:sz="4" w:space="0" w:color="auto"/>
              <w:right w:val="single" w:sz="4" w:space="0" w:color="auto"/>
            </w:tcBorders>
            <w:shd w:val="clear" w:color="auto" w:fill="A1F2FD"/>
            <w:vAlign w:val="center"/>
          </w:tcPr>
          <w:p w14:paraId="5AF0528E" w14:textId="77777777" w:rsidR="00DB1541" w:rsidRPr="000E3F92" w:rsidRDefault="00DB1541" w:rsidP="00DB1541">
            <w:pPr>
              <w:jc w:val="left"/>
              <w:rPr>
                <w:rFonts w:cs="Arial"/>
                <w:b/>
                <w:bCs/>
                <w:color w:val="000000"/>
                <w:sz w:val="18"/>
                <w:szCs w:val="18"/>
              </w:rPr>
            </w:pPr>
          </w:p>
        </w:tc>
        <w:tc>
          <w:tcPr>
            <w:tcW w:w="378" w:type="pct"/>
            <w:vMerge/>
            <w:tcBorders>
              <w:left w:val="nil"/>
              <w:right w:val="single" w:sz="4" w:space="0" w:color="auto"/>
            </w:tcBorders>
            <w:shd w:val="clear" w:color="auto" w:fill="A1F2FD"/>
            <w:vAlign w:val="center"/>
          </w:tcPr>
          <w:p w14:paraId="509BFB29" w14:textId="77777777" w:rsidR="00DB1541" w:rsidRPr="000E3F92" w:rsidRDefault="00DB1541" w:rsidP="00DB1541">
            <w:pPr>
              <w:jc w:val="center"/>
              <w:rPr>
                <w:rFonts w:cs="Arial"/>
                <w:b/>
                <w:bCs/>
                <w:color w:val="000000"/>
                <w:sz w:val="18"/>
                <w:szCs w:val="18"/>
              </w:rPr>
            </w:pPr>
          </w:p>
        </w:tc>
        <w:tc>
          <w:tcPr>
            <w:tcW w:w="606" w:type="pct"/>
            <w:tcBorders>
              <w:top w:val="nil"/>
              <w:left w:val="nil"/>
              <w:right w:val="single" w:sz="4" w:space="0" w:color="auto"/>
            </w:tcBorders>
            <w:shd w:val="clear" w:color="auto" w:fill="A1F2FD"/>
            <w:vAlign w:val="center"/>
          </w:tcPr>
          <w:p w14:paraId="0AFF2B1D" w14:textId="77777777" w:rsidR="00DB1541" w:rsidRPr="000E3F92" w:rsidRDefault="00DB1541" w:rsidP="00DB1541">
            <w:pPr>
              <w:jc w:val="center"/>
              <w:rPr>
                <w:rFonts w:cs="Arial"/>
                <w:b/>
                <w:bCs/>
                <w:color w:val="000000"/>
                <w:sz w:val="18"/>
                <w:szCs w:val="18"/>
              </w:rPr>
            </w:pPr>
            <w:r w:rsidRPr="000E3F92">
              <w:rPr>
                <w:rFonts w:cs="Arial"/>
                <w:b/>
                <w:bCs/>
                <w:color w:val="000000"/>
                <w:sz w:val="18"/>
                <w:szCs w:val="18"/>
              </w:rPr>
              <w:t>R$</w:t>
            </w:r>
          </w:p>
        </w:tc>
        <w:tc>
          <w:tcPr>
            <w:tcW w:w="454" w:type="pct"/>
            <w:tcBorders>
              <w:top w:val="nil"/>
              <w:left w:val="nil"/>
              <w:right w:val="nil"/>
            </w:tcBorders>
            <w:shd w:val="clear" w:color="auto" w:fill="A1F2FD"/>
            <w:vAlign w:val="center"/>
          </w:tcPr>
          <w:p w14:paraId="7A25BB7E" w14:textId="77777777" w:rsidR="00DB1541" w:rsidRPr="000E3F92" w:rsidRDefault="00DB1541" w:rsidP="00DB1541">
            <w:pPr>
              <w:jc w:val="center"/>
              <w:rPr>
                <w:rFonts w:cs="Arial"/>
                <w:b/>
                <w:bCs/>
                <w:color w:val="000000"/>
                <w:sz w:val="18"/>
                <w:szCs w:val="18"/>
              </w:rPr>
            </w:pPr>
            <w:r w:rsidRPr="000E3F92">
              <w:rPr>
                <w:rFonts w:cs="Arial"/>
                <w:b/>
                <w:bCs/>
                <w:color w:val="000000"/>
                <w:sz w:val="18"/>
                <w:szCs w:val="18"/>
              </w:rPr>
              <w:t>%</w:t>
            </w:r>
          </w:p>
        </w:tc>
      </w:tr>
      <w:tr w:rsidR="00DB1541" w:rsidRPr="000E3F92" w14:paraId="6E3D3563" w14:textId="77777777" w:rsidTr="00BB5CDE">
        <w:trPr>
          <w:trHeight w:val="340"/>
          <w:tblHeader/>
        </w:trPr>
        <w:tc>
          <w:tcPr>
            <w:tcW w:w="1894" w:type="pct"/>
            <w:vMerge/>
            <w:tcBorders>
              <w:top w:val="single" w:sz="4" w:space="0" w:color="auto"/>
              <w:left w:val="nil"/>
              <w:bottom w:val="single" w:sz="4" w:space="0" w:color="auto"/>
              <w:right w:val="single" w:sz="4" w:space="0" w:color="auto"/>
            </w:tcBorders>
            <w:shd w:val="clear" w:color="auto" w:fill="A1F2FD"/>
            <w:vAlign w:val="center"/>
            <w:hideMark/>
          </w:tcPr>
          <w:p w14:paraId="77690952" w14:textId="77777777" w:rsidR="00DB1541" w:rsidRPr="000E3F92" w:rsidRDefault="00DB1541" w:rsidP="00DB1541">
            <w:pPr>
              <w:jc w:val="left"/>
              <w:rPr>
                <w:rFonts w:cs="Arial"/>
                <w:b/>
                <w:bCs/>
                <w:color w:val="000000"/>
                <w:sz w:val="18"/>
                <w:szCs w:val="18"/>
              </w:rPr>
            </w:pPr>
          </w:p>
        </w:tc>
        <w:tc>
          <w:tcPr>
            <w:tcW w:w="607" w:type="pct"/>
            <w:tcBorders>
              <w:left w:val="single" w:sz="4" w:space="0" w:color="auto"/>
              <w:bottom w:val="single" w:sz="4" w:space="0" w:color="auto"/>
              <w:right w:val="single" w:sz="4" w:space="0" w:color="auto"/>
            </w:tcBorders>
            <w:shd w:val="clear" w:color="auto" w:fill="A1F2FD"/>
            <w:vAlign w:val="center"/>
            <w:hideMark/>
          </w:tcPr>
          <w:p w14:paraId="13979703" w14:textId="77777777" w:rsidR="00DB1541" w:rsidRPr="000E3F92" w:rsidRDefault="00DB1541" w:rsidP="00DB1541">
            <w:pPr>
              <w:jc w:val="center"/>
              <w:rPr>
                <w:rFonts w:cs="Arial"/>
                <w:b/>
                <w:bCs/>
                <w:color w:val="000000"/>
                <w:sz w:val="18"/>
                <w:szCs w:val="18"/>
              </w:rPr>
            </w:pPr>
            <w:r w:rsidRPr="000E3F92">
              <w:rPr>
                <w:rFonts w:cs="Arial"/>
                <w:b/>
                <w:bCs/>
                <w:color w:val="000000"/>
                <w:sz w:val="18"/>
                <w:szCs w:val="18"/>
              </w:rPr>
              <w:t>(a)</w:t>
            </w:r>
          </w:p>
        </w:tc>
        <w:tc>
          <w:tcPr>
            <w:tcW w:w="378" w:type="pct"/>
            <w:tcBorders>
              <w:left w:val="nil"/>
              <w:bottom w:val="single" w:sz="4" w:space="0" w:color="auto"/>
              <w:right w:val="single" w:sz="4" w:space="0" w:color="auto"/>
            </w:tcBorders>
            <w:shd w:val="clear" w:color="auto" w:fill="A1F2FD"/>
            <w:vAlign w:val="center"/>
            <w:hideMark/>
          </w:tcPr>
          <w:p w14:paraId="39890A42" w14:textId="77777777" w:rsidR="00DB1541" w:rsidRPr="000E3F92" w:rsidRDefault="00DB1541" w:rsidP="00DB1541">
            <w:pPr>
              <w:jc w:val="center"/>
              <w:rPr>
                <w:rFonts w:cs="Arial"/>
                <w:b/>
                <w:bCs/>
                <w:color w:val="000000"/>
                <w:sz w:val="18"/>
                <w:szCs w:val="18"/>
              </w:rPr>
            </w:pPr>
            <w:r w:rsidRPr="000E3F92">
              <w:rPr>
                <w:rFonts w:cs="Arial"/>
                <w:b/>
                <w:bCs/>
                <w:color w:val="000000"/>
                <w:sz w:val="18"/>
                <w:szCs w:val="18"/>
              </w:rPr>
              <w:t>(b)</w:t>
            </w:r>
          </w:p>
        </w:tc>
        <w:tc>
          <w:tcPr>
            <w:tcW w:w="683" w:type="pct"/>
            <w:tcBorders>
              <w:left w:val="single" w:sz="4" w:space="0" w:color="auto"/>
              <w:bottom w:val="single" w:sz="4" w:space="0" w:color="auto"/>
              <w:right w:val="single" w:sz="4" w:space="0" w:color="auto"/>
            </w:tcBorders>
            <w:shd w:val="clear" w:color="auto" w:fill="A1F2FD"/>
            <w:vAlign w:val="center"/>
            <w:hideMark/>
          </w:tcPr>
          <w:p w14:paraId="595B5A58" w14:textId="77777777" w:rsidR="00DB1541" w:rsidRPr="000E3F92" w:rsidRDefault="00DB1541" w:rsidP="00DB1541">
            <w:pPr>
              <w:jc w:val="center"/>
              <w:rPr>
                <w:rFonts w:cs="Arial"/>
                <w:b/>
                <w:bCs/>
                <w:color w:val="000000"/>
                <w:sz w:val="18"/>
                <w:szCs w:val="18"/>
              </w:rPr>
            </w:pPr>
            <w:r w:rsidRPr="000E3F92">
              <w:rPr>
                <w:rFonts w:cs="Arial"/>
                <w:b/>
                <w:bCs/>
                <w:color w:val="000000"/>
                <w:sz w:val="18"/>
                <w:szCs w:val="18"/>
              </w:rPr>
              <w:t>(c)</w:t>
            </w:r>
          </w:p>
        </w:tc>
        <w:tc>
          <w:tcPr>
            <w:tcW w:w="378" w:type="pct"/>
            <w:tcBorders>
              <w:left w:val="nil"/>
              <w:bottom w:val="single" w:sz="4" w:space="0" w:color="auto"/>
              <w:right w:val="single" w:sz="4" w:space="0" w:color="auto"/>
            </w:tcBorders>
            <w:shd w:val="clear" w:color="auto" w:fill="A1F2FD"/>
            <w:vAlign w:val="center"/>
            <w:hideMark/>
          </w:tcPr>
          <w:p w14:paraId="20A5D00A" w14:textId="77777777" w:rsidR="00DB1541" w:rsidRPr="000E3F92" w:rsidRDefault="00DB1541" w:rsidP="00DB1541">
            <w:pPr>
              <w:jc w:val="center"/>
              <w:rPr>
                <w:rFonts w:cs="Arial"/>
                <w:b/>
                <w:bCs/>
                <w:color w:val="000000"/>
                <w:sz w:val="18"/>
                <w:szCs w:val="18"/>
              </w:rPr>
            </w:pPr>
            <w:r w:rsidRPr="000E3F92">
              <w:rPr>
                <w:rFonts w:cs="Arial"/>
                <w:b/>
                <w:bCs/>
                <w:color w:val="000000"/>
                <w:sz w:val="18"/>
                <w:szCs w:val="18"/>
              </w:rPr>
              <w:t>(d)</w:t>
            </w:r>
          </w:p>
        </w:tc>
        <w:tc>
          <w:tcPr>
            <w:tcW w:w="606" w:type="pct"/>
            <w:tcBorders>
              <w:left w:val="nil"/>
              <w:bottom w:val="single" w:sz="4" w:space="0" w:color="auto"/>
              <w:right w:val="single" w:sz="4" w:space="0" w:color="auto"/>
            </w:tcBorders>
            <w:shd w:val="clear" w:color="auto" w:fill="A1F2FD"/>
            <w:vAlign w:val="center"/>
            <w:hideMark/>
          </w:tcPr>
          <w:p w14:paraId="142AE2F5" w14:textId="77777777" w:rsidR="00DB1541" w:rsidRPr="000E3F92" w:rsidRDefault="00DB1541" w:rsidP="00DB1541">
            <w:pPr>
              <w:ind w:left="-107" w:right="-117"/>
              <w:jc w:val="center"/>
              <w:rPr>
                <w:rFonts w:cs="Arial"/>
                <w:b/>
                <w:bCs/>
                <w:color w:val="000000"/>
                <w:sz w:val="18"/>
                <w:szCs w:val="18"/>
              </w:rPr>
            </w:pPr>
            <w:r w:rsidRPr="000E3F92">
              <w:rPr>
                <w:rFonts w:cs="Arial"/>
                <w:b/>
                <w:bCs/>
                <w:color w:val="000000"/>
                <w:sz w:val="18"/>
                <w:szCs w:val="18"/>
              </w:rPr>
              <w:t>(e) = (a-b)</w:t>
            </w:r>
          </w:p>
        </w:tc>
        <w:tc>
          <w:tcPr>
            <w:tcW w:w="454" w:type="pct"/>
            <w:tcBorders>
              <w:left w:val="nil"/>
              <w:bottom w:val="single" w:sz="4" w:space="0" w:color="auto"/>
              <w:right w:val="nil"/>
            </w:tcBorders>
            <w:shd w:val="clear" w:color="auto" w:fill="A1F2FD"/>
            <w:vAlign w:val="center"/>
            <w:hideMark/>
          </w:tcPr>
          <w:p w14:paraId="4C5183E1" w14:textId="77777777" w:rsidR="00DB1541" w:rsidRPr="000E3F92" w:rsidRDefault="00DB1541" w:rsidP="00DB1541">
            <w:pPr>
              <w:ind w:left="-75" w:right="-76"/>
              <w:jc w:val="center"/>
              <w:rPr>
                <w:rFonts w:cs="Arial"/>
                <w:b/>
                <w:bCs/>
                <w:color w:val="000000"/>
                <w:sz w:val="18"/>
                <w:szCs w:val="18"/>
              </w:rPr>
            </w:pPr>
            <w:r w:rsidRPr="000E3F92">
              <w:rPr>
                <w:rFonts w:cs="Arial"/>
                <w:b/>
                <w:bCs/>
                <w:color w:val="000000"/>
                <w:sz w:val="18"/>
                <w:szCs w:val="18"/>
              </w:rPr>
              <w:t>(f) = (e/c)</w:t>
            </w:r>
          </w:p>
        </w:tc>
      </w:tr>
      <w:tr w:rsidR="00713E4B" w:rsidRPr="003C6C6A" w14:paraId="25546916" w14:textId="77777777" w:rsidTr="00BB5CDE">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tcPr>
          <w:p w14:paraId="3D361153" w14:textId="118E382D" w:rsidR="00713E4B" w:rsidRPr="003C6C6A" w:rsidRDefault="00713E4B" w:rsidP="00713E4B">
            <w:pPr>
              <w:jc w:val="left"/>
              <w:rPr>
                <w:rFonts w:cs="Arial"/>
                <w:b/>
                <w:bCs/>
                <w:color w:val="000000"/>
                <w:sz w:val="18"/>
                <w:szCs w:val="18"/>
              </w:rPr>
            </w:pPr>
            <w:r w:rsidRPr="003C6C6A">
              <w:rPr>
                <w:rFonts w:cs="Arial"/>
                <w:b/>
                <w:bCs/>
                <w:color w:val="000000"/>
                <w:sz w:val="18"/>
                <w:szCs w:val="18"/>
              </w:rPr>
              <w:t>Passivo Circulante</w:t>
            </w:r>
          </w:p>
        </w:tc>
        <w:tc>
          <w:tcPr>
            <w:tcW w:w="607" w:type="pct"/>
            <w:tcBorders>
              <w:top w:val="nil"/>
              <w:left w:val="nil"/>
              <w:bottom w:val="nil"/>
              <w:right w:val="single" w:sz="4" w:space="0" w:color="auto"/>
            </w:tcBorders>
            <w:shd w:val="clear" w:color="auto" w:fill="auto"/>
            <w:noWrap/>
            <w:vAlign w:val="center"/>
          </w:tcPr>
          <w:p w14:paraId="5E436874" w14:textId="180DC541" w:rsidR="00713E4B" w:rsidRPr="003C6C6A" w:rsidRDefault="00713E4B" w:rsidP="00713E4B">
            <w:pPr>
              <w:jc w:val="right"/>
              <w:rPr>
                <w:rFonts w:cs="Arial"/>
                <w:b/>
                <w:bCs/>
                <w:color w:val="000000"/>
                <w:sz w:val="18"/>
                <w:szCs w:val="18"/>
              </w:rPr>
            </w:pPr>
            <w:r w:rsidRPr="003C6C6A">
              <w:rPr>
                <w:rFonts w:cs="Arial"/>
                <w:b/>
                <w:bCs/>
                <w:color w:val="000000"/>
                <w:sz w:val="18"/>
                <w:szCs w:val="18"/>
              </w:rPr>
              <w:t>1.236.907</w:t>
            </w:r>
          </w:p>
        </w:tc>
        <w:tc>
          <w:tcPr>
            <w:tcW w:w="378" w:type="pct"/>
            <w:tcBorders>
              <w:top w:val="nil"/>
              <w:left w:val="nil"/>
              <w:bottom w:val="nil"/>
              <w:right w:val="single" w:sz="4" w:space="0" w:color="auto"/>
            </w:tcBorders>
            <w:shd w:val="clear" w:color="auto" w:fill="auto"/>
            <w:noWrap/>
            <w:vAlign w:val="center"/>
          </w:tcPr>
          <w:p w14:paraId="5B0B1908" w14:textId="63551D36" w:rsidR="00713E4B" w:rsidRPr="003C6C6A" w:rsidRDefault="00713E4B" w:rsidP="00713E4B">
            <w:pPr>
              <w:jc w:val="center"/>
              <w:rPr>
                <w:rFonts w:cs="Arial"/>
                <w:b/>
                <w:bCs/>
                <w:color w:val="000000"/>
                <w:sz w:val="18"/>
                <w:szCs w:val="18"/>
              </w:rPr>
            </w:pPr>
            <w:r w:rsidRPr="003C6C6A">
              <w:rPr>
                <w:rFonts w:cs="Arial"/>
                <w:b/>
                <w:bCs/>
                <w:color w:val="000000"/>
                <w:sz w:val="18"/>
                <w:szCs w:val="18"/>
              </w:rPr>
              <w:t>5,06</w:t>
            </w:r>
          </w:p>
        </w:tc>
        <w:tc>
          <w:tcPr>
            <w:tcW w:w="683" w:type="pct"/>
            <w:tcBorders>
              <w:top w:val="nil"/>
              <w:left w:val="nil"/>
              <w:bottom w:val="nil"/>
              <w:right w:val="single" w:sz="4" w:space="0" w:color="auto"/>
            </w:tcBorders>
            <w:shd w:val="clear" w:color="auto" w:fill="auto"/>
            <w:noWrap/>
            <w:vAlign w:val="center"/>
          </w:tcPr>
          <w:p w14:paraId="53CC4184" w14:textId="534E8F36" w:rsidR="00713E4B" w:rsidRPr="003C6C6A" w:rsidRDefault="00713E4B" w:rsidP="00713E4B">
            <w:pPr>
              <w:jc w:val="right"/>
              <w:rPr>
                <w:rFonts w:cs="Arial"/>
                <w:b/>
                <w:bCs/>
                <w:color w:val="000000"/>
                <w:sz w:val="18"/>
                <w:szCs w:val="18"/>
              </w:rPr>
            </w:pPr>
            <w:r w:rsidRPr="003C6C6A">
              <w:rPr>
                <w:rFonts w:cs="Arial"/>
                <w:b/>
                <w:bCs/>
                <w:color w:val="000000"/>
                <w:sz w:val="18"/>
                <w:szCs w:val="18"/>
              </w:rPr>
              <w:t>1.136.973</w:t>
            </w:r>
          </w:p>
        </w:tc>
        <w:tc>
          <w:tcPr>
            <w:tcW w:w="378" w:type="pct"/>
            <w:tcBorders>
              <w:top w:val="nil"/>
              <w:left w:val="nil"/>
              <w:bottom w:val="nil"/>
              <w:right w:val="single" w:sz="4" w:space="0" w:color="auto"/>
            </w:tcBorders>
            <w:shd w:val="clear" w:color="auto" w:fill="auto"/>
            <w:noWrap/>
            <w:vAlign w:val="center"/>
          </w:tcPr>
          <w:p w14:paraId="5DFA3739" w14:textId="07D8E85B" w:rsidR="00713E4B" w:rsidRPr="003C6C6A" w:rsidRDefault="00713E4B" w:rsidP="00713E4B">
            <w:pPr>
              <w:jc w:val="center"/>
              <w:rPr>
                <w:rFonts w:cs="Arial"/>
                <w:b/>
                <w:bCs/>
                <w:color w:val="000000"/>
                <w:sz w:val="18"/>
                <w:szCs w:val="18"/>
              </w:rPr>
            </w:pPr>
            <w:r w:rsidRPr="003C6C6A">
              <w:rPr>
                <w:rFonts w:cs="Arial"/>
                <w:b/>
                <w:bCs/>
                <w:color w:val="000000"/>
                <w:sz w:val="18"/>
                <w:szCs w:val="18"/>
              </w:rPr>
              <w:t>4,93</w:t>
            </w:r>
          </w:p>
        </w:tc>
        <w:tc>
          <w:tcPr>
            <w:tcW w:w="606" w:type="pct"/>
            <w:tcBorders>
              <w:top w:val="nil"/>
              <w:left w:val="nil"/>
              <w:bottom w:val="nil"/>
              <w:right w:val="single" w:sz="4" w:space="0" w:color="auto"/>
            </w:tcBorders>
            <w:shd w:val="clear" w:color="auto" w:fill="auto"/>
            <w:noWrap/>
            <w:vAlign w:val="center"/>
          </w:tcPr>
          <w:p w14:paraId="6325707A" w14:textId="2756A774" w:rsidR="00713E4B" w:rsidRPr="003C6C6A" w:rsidRDefault="00713E4B" w:rsidP="00713E4B">
            <w:pPr>
              <w:jc w:val="right"/>
              <w:rPr>
                <w:rFonts w:cs="Arial"/>
                <w:b/>
                <w:bCs/>
                <w:color w:val="000000"/>
                <w:sz w:val="18"/>
                <w:szCs w:val="18"/>
              </w:rPr>
            </w:pPr>
            <w:r w:rsidRPr="003C6C6A">
              <w:rPr>
                <w:rFonts w:cs="Arial"/>
                <w:b/>
                <w:bCs/>
                <w:color w:val="000000"/>
                <w:sz w:val="18"/>
                <w:szCs w:val="18"/>
              </w:rPr>
              <w:t>99.934</w:t>
            </w:r>
          </w:p>
        </w:tc>
        <w:tc>
          <w:tcPr>
            <w:tcW w:w="454" w:type="pct"/>
            <w:tcBorders>
              <w:top w:val="nil"/>
              <w:left w:val="nil"/>
              <w:bottom w:val="nil"/>
              <w:right w:val="nil"/>
            </w:tcBorders>
            <w:shd w:val="clear" w:color="auto" w:fill="auto"/>
            <w:noWrap/>
            <w:vAlign w:val="center"/>
          </w:tcPr>
          <w:p w14:paraId="2E58F24E" w14:textId="4262D00D" w:rsidR="00713E4B" w:rsidRPr="003C6C6A" w:rsidRDefault="00713E4B" w:rsidP="00713E4B">
            <w:pPr>
              <w:jc w:val="center"/>
              <w:rPr>
                <w:rFonts w:cs="Arial"/>
                <w:b/>
                <w:bCs/>
                <w:color w:val="000000"/>
                <w:sz w:val="18"/>
                <w:szCs w:val="18"/>
              </w:rPr>
            </w:pPr>
            <w:r w:rsidRPr="003C6C6A">
              <w:rPr>
                <w:rFonts w:cs="Arial"/>
                <w:b/>
                <w:bCs/>
                <w:color w:val="000000"/>
                <w:sz w:val="18"/>
                <w:szCs w:val="18"/>
              </w:rPr>
              <w:t>8,79</w:t>
            </w:r>
          </w:p>
        </w:tc>
      </w:tr>
      <w:tr w:rsidR="00713E4B" w:rsidRPr="003C6C6A" w14:paraId="56A1261E" w14:textId="77777777" w:rsidTr="00BB5CDE">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tcPr>
          <w:p w14:paraId="4CC6C563" w14:textId="63D4646D" w:rsidR="00713E4B" w:rsidRPr="003C6C6A" w:rsidRDefault="00713E4B" w:rsidP="00713E4B">
            <w:pPr>
              <w:ind w:left="215"/>
              <w:jc w:val="left"/>
              <w:rPr>
                <w:rFonts w:cs="Arial"/>
                <w:color w:val="000000"/>
                <w:sz w:val="18"/>
                <w:szCs w:val="18"/>
              </w:rPr>
            </w:pPr>
            <w:r w:rsidRPr="003C6C6A">
              <w:rPr>
                <w:rFonts w:cs="Arial"/>
                <w:color w:val="000000"/>
                <w:sz w:val="18"/>
                <w:szCs w:val="18"/>
              </w:rPr>
              <w:t xml:space="preserve">Empréstimos a Curto Prazo - Interno </w:t>
            </w:r>
          </w:p>
        </w:tc>
        <w:tc>
          <w:tcPr>
            <w:tcW w:w="607" w:type="pct"/>
            <w:tcBorders>
              <w:top w:val="nil"/>
              <w:left w:val="nil"/>
              <w:bottom w:val="nil"/>
              <w:right w:val="single" w:sz="4" w:space="0" w:color="auto"/>
            </w:tcBorders>
            <w:shd w:val="clear" w:color="auto" w:fill="auto"/>
            <w:noWrap/>
            <w:vAlign w:val="center"/>
          </w:tcPr>
          <w:p w14:paraId="008F4A79" w14:textId="661DA467" w:rsidR="00713E4B" w:rsidRPr="003C6C6A" w:rsidRDefault="00713E4B" w:rsidP="00713E4B">
            <w:pPr>
              <w:jc w:val="right"/>
              <w:rPr>
                <w:rFonts w:cs="Arial"/>
                <w:color w:val="000000"/>
                <w:sz w:val="18"/>
                <w:szCs w:val="18"/>
              </w:rPr>
            </w:pPr>
            <w:r w:rsidRPr="003C6C6A">
              <w:rPr>
                <w:rFonts w:cs="Arial"/>
                <w:color w:val="000000"/>
                <w:sz w:val="18"/>
                <w:szCs w:val="18"/>
              </w:rPr>
              <w:t>1.233.111</w:t>
            </w:r>
          </w:p>
        </w:tc>
        <w:tc>
          <w:tcPr>
            <w:tcW w:w="378" w:type="pct"/>
            <w:tcBorders>
              <w:top w:val="nil"/>
              <w:left w:val="nil"/>
              <w:bottom w:val="nil"/>
              <w:right w:val="single" w:sz="4" w:space="0" w:color="auto"/>
            </w:tcBorders>
            <w:shd w:val="clear" w:color="auto" w:fill="auto"/>
            <w:noWrap/>
            <w:vAlign w:val="center"/>
          </w:tcPr>
          <w:p w14:paraId="1428BFD4" w14:textId="1A38F875" w:rsidR="00713E4B" w:rsidRPr="003C6C6A" w:rsidRDefault="00713E4B" w:rsidP="00713E4B">
            <w:pPr>
              <w:jc w:val="center"/>
              <w:rPr>
                <w:rFonts w:cs="Arial"/>
                <w:color w:val="000000"/>
                <w:sz w:val="18"/>
                <w:szCs w:val="18"/>
              </w:rPr>
            </w:pPr>
            <w:r w:rsidRPr="003C6C6A">
              <w:rPr>
                <w:rFonts w:cs="Arial"/>
                <w:color w:val="000000"/>
                <w:sz w:val="18"/>
                <w:szCs w:val="18"/>
              </w:rPr>
              <w:t>5,04</w:t>
            </w:r>
          </w:p>
        </w:tc>
        <w:tc>
          <w:tcPr>
            <w:tcW w:w="683" w:type="pct"/>
            <w:tcBorders>
              <w:top w:val="nil"/>
              <w:left w:val="nil"/>
              <w:bottom w:val="nil"/>
              <w:right w:val="single" w:sz="4" w:space="0" w:color="auto"/>
            </w:tcBorders>
            <w:shd w:val="clear" w:color="auto" w:fill="auto"/>
            <w:noWrap/>
            <w:vAlign w:val="center"/>
          </w:tcPr>
          <w:p w14:paraId="7A53E082" w14:textId="16A06FB5" w:rsidR="00713E4B" w:rsidRPr="003C6C6A" w:rsidRDefault="00713E4B" w:rsidP="00713E4B">
            <w:pPr>
              <w:jc w:val="right"/>
              <w:rPr>
                <w:rFonts w:cs="Arial"/>
                <w:color w:val="000000"/>
                <w:sz w:val="18"/>
                <w:szCs w:val="18"/>
              </w:rPr>
            </w:pPr>
            <w:r w:rsidRPr="003C6C6A">
              <w:rPr>
                <w:rFonts w:cs="Arial"/>
                <w:color w:val="000000"/>
                <w:sz w:val="18"/>
                <w:szCs w:val="18"/>
              </w:rPr>
              <w:t>1.132.882</w:t>
            </w:r>
          </w:p>
        </w:tc>
        <w:tc>
          <w:tcPr>
            <w:tcW w:w="378" w:type="pct"/>
            <w:tcBorders>
              <w:top w:val="nil"/>
              <w:left w:val="nil"/>
              <w:bottom w:val="nil"/>
              <w:right w:val="single" w:sz="4" w:space="0" w:color="auto"/>
            </w:tcBorders>
            <w:shd w:val="clear" w:color="auto" w:fill="auto"/>
            <w:noWrap/>
            <w:vAlign w:val="center"/>
          </w:tcPr>
          <w:p w14:paraId="7ED8E547" w14:textId="23EA2602" w:rsidR="00713E4B" w:rsidRPr="003C6C6A" w:rsidRDefault="00713E4B" w:rsidP="00713E4B">
            <w:pPr>
              <w:jc w:val="center"/>
              <w:rPr>
                <w:rFonts w:cs="Arial"/>
                <w:color w:val="000000"/>
                <w:sz w:val="18"/>
                <w:szCs w:val="18"/>
              </w:rPr>
            </w:pPr>
            <w:r w:rsidRPr="003C6C6A">
              <w:rPr>
                <w:rFonts w:cs="Arial"/>
                <w:color w:val="000000"/>
                <w:sz w:val="18"/>
                <w:szCs w:val="18"/>
              </w:rPr>
              <w:t>4,91</w:t>
            </w:r>
          </w:p>
        </w:tc>
        <w:tc>
          <w:tcPr>
            <w:tcW w:w="606" w:type="pct"/>
            <w:tcBorders>
              <w:top w:val="nil"/>
              <w:left w:val="nil"/>
              <w:bottom w:val="nil"/>
              <w:right w:val="single" w:sz="4" w:space="0" w:color="auto"/>
            </w:tcBorders>
            <w:shd w:val="clear" w:color="auto" w:fill="auto"/>
            <w:noWrap/>
            <w:vAlign w:val="center"/>
          </w:tcPr>
          <w:p w14:paraId="61E0DBBD" w14:textId="68C0D77E" w:rsidR="00713E4B" w:rsidRPr="003C6C6A" w:rsidRDefault="00713E4B" w:rsidP="00713E4B">
            <w:pPr>
              <w:jc w:val="right"/>
              <w:rPr>
                <w:rFonts w:cs="Arial"/>
                <w:color w:val="000000"/>
                <w:sz w:val="18"/>
                <w:szCs w:val="18"/>
              </w:rPr>
            </w:pPr>
            <w:r w:rsidRPr="003C6C6A">
              <w:rPr>
                <w:rFonts w:cs="Arial"/>
                <w:color w:val="000000"/>
                <w:sz w:val="18"/>
                <w:szCs w:val="18"/>
              </w:rPr>
              <w:t>100.229</w:t>
            </w:r>
          </w:p>
        </w:tc>
        <w:tc>
          <w:tcPr>
            <w:tcW w:w="454" w:type="pct"/>
            <w:tcBorders>
              <w:top w:val="nil"/>
              <w:left w:val="nil"/>
              <w:bottom w:val="nil"/>
              <w:right w:val="nil"/>
            </w:tcBorders>
            <w:shd w:val="clear" w:color="auto" w:fill="auto"/>
            <w:noWrap/>
            <w:vAlign w:val="center"/>
          </w:tcPr>
          <w:p w14:paraId="0A5AC0BF" w14:textId="4917E287" w:rsidR="00713E4B" w:rsidRPr="003C6C6A" w:rsidRDefault="00713E4B" w:rsidP="00713E4B">
            <w:pPr>
              <w:jc w:val="center"/>
              <w:rPr>
                <w:rFonts w:cs="Arial"/>
                <w:color w:val="000000"/>
                <w:sz w:val="18"/>
                <w:szCs w:val="18"/>
              </w:rPr>
            </w:pPr>
            <w:r w:rsidRPr="003C6C6A">
              <w:rPr>
                <w:rFonts w:cs="Arial"/>
                <w:color w:val="000000"/>
                <w:sz w:val="18"/>
                <w:szCs w:val="18"/>
              </w:rPr>
              <w:t>8,85</w:t>
            </w:r>
          </w:p>
        </w:tc>
      </w:tr>
      <w:tr w:rsidR="00713E4B" w:rsidRPr="003C6C6A" w14:paraId="29265145" w14:textId="77777777" w:rsidTr="00BB5CDE">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tcPr>
          <w:p w14:paraId="7F4038B7" w14:textId="345A2225" w:rsidR="00713E4B" w:rsidRPr="003C6C6A" w:rsidRDefault="00713E4B" w:rsidP="00713E4B">
            <w:pPr>
              <w:ind w:left="215"/>
              <w:jc w:val="left"/>
              <w:rPr>
                <w:rFonts w:cs="Arial"/>
                <w:color w:val="000000"/>
                <w:sz w:val="18"/>
                <w:szCs w:val="18"/>
              </w:rPr>
            </w:pPr>
            <w:r w:rsidRPr="003C6C6A">
              <w:rPr>
                <w:rFonts w:cs="Arial"/>
                <w:color w:val="000000"/>
                <w:sz w:val="18"/>
                <w:szCs w:val="18"/>
              </w:rPr>
              <w:t>Empréstimos a Curto Prazo - Externo</w:t>
            </w:r>
          </w:p>
        </w:tc>
        <w:tc>
          <w:tcPr>
            <w:tcW w:w="607" w:type="pct"/>
            <w:tcBorders>
              <w:top w:val="nil"/>
              <w:left w:val="nil"/>
              <w:bottom w:val="nil"/>
              <w:right w:val="single" w:sz="4" w:space="0" w:color="auto"/>
            </w:tcBorders>
            <w:shd w:val="clear" w:color="auto" w:fill="auto"/>
            <w:noWrap/>
            <w:vAlign w:val="center"/>
          </w:tcPr>
          <w:p w14:paraId="5DCCD34B" w14:textId="00DCBBC3" w:rsidR="00713E4B" w:rsidRPr="003C6C6A" w:rsidRDefault="00713E4B" w:rsidP="00713E4B">
            <w:pPr>
              <w:jc w:val="right"/>
              <w:rPr>
                <w:rFonts w:cs="Arial"/>
                <w:color w:val="000000"/>
                <w:sz w:val="18"/>
                <w:szCs w:val="18"/>
              </w:rPr>
            </w:pPr>
            <w:r w:rsidRPr="003C6C6A">
              <w:rPr>
                <w:rFonts w:cs="Arial"/>
                <w:color w:val="000000"/>
                <w:sz w:val="18"/>
                <w:szCs w:val="18"/>
              </w:rPr>
              <w:t>3.796</w:t>
            </w:r>
          </w:p>
        </w:tc>
        <w:tc>
          <w:tcPr>
            <w:tcW w:w="378" w:type="pct"/>
            <w:tcBorders>
              <w:top w:val="nil"/>
              <w:left w:val="nil"/>
              <w:bottom w:val="nil"/>
              <w:right w:val="single" w:sz="4" w:space="0" w:color="auto"/>
            </w:tcBorders>
            <w:shd w:val="clear" w:color="auto" w:fill="auto"/>
            <w:noWrap/>
            <w:vAlign w:val="center"/>
          </w:tcPr>
          <w:p w14:paraId="15D2C62E" w14:textId="2F1BE4E8" w:rsidR="00713E4B" w:rsidRPr="003C6C6A" w:rsidRDefault="00713E4B" w:rsidP="00713E4B">
            <w:pPr>
              <w:jc w:val="center"/>
              <w:rPr>
                <w:rFonts w:cs="Arial"/>
                <w:color w:val="000000"/>
                <w:sz w:val="18"/>
                <w:szCs w:val="18"/>
              </w:rPr>
            </w:pPr>
            <w:r w:rsidRPr="003C6C6A">
              <w:rPr>
                <w:rFonts w:cs="Arial"/>
                <w:color w:val="000000"/>
                <w:sz w:val="18"/>
                <w:szCs w:val="18"/>
              </w:rPr>
              <w:t>0,02</w:t>
            </w:r>
          </w:p>
        </w:tc>
        <w:tc>
          <w:tcPr>
            <w:tcW w:w="683" w:type="pct"/>
            <w:tcBorders>
              <w:top w:val="nil"/>
              <w:left w:val="nil"/>
              <w:bottom w:val="nil"/>
              <w:right w:val="single" w:sz="4" w:space="0" w:color="auto"/>
            </w:tcBorders>
            <w:shd w:val="clear" w:color="auto" w:fill="auto"/>
            <w:noWrap/>
            <w:vAlign w:val="center"/>
          </w:tcPr>
          <w:p w14:paraId="520995B2" w14:textId="5C29738B" w:rsidR="00713E4B" w:rsidRPr="003C6C6A" w:rsidRDefault="00713E4B" w:rsidP="00713E4B">
            <w:pPr>
              <w:jc w:val="right"/>
              <w:rPr>
                <w:rFonts w:cs="Arial"/>
                <w:color w:val="000000"/>
                <w:sz w:val="18"/>
                <w:szCs w:val="18"/>
              </w:rPr>
            </w:pPr>
            <w:r w:rsidRPr="003C6C6A">
              <w:rPr>
                <w:rFonts w:cs="Arial"/>
                <w:color w:val="000000"/>
                <w:sz w:val="18"/>
                <w:szCs w:val="18"/>
              </w:rPr>
              <w:t>4.091</w:t>
            </w:r>
          </w:p>
        </w:tc>
        <w:tc>
          <w:tcPr>
            <w:tcW w:w="378" w:type="pct"/>
            <w:tcBorders>
              <w:top w:val="nil"/>
              <w:left w:val="nil"/>
              <w:bottom w:val="nil"/>
              <w:right w:val="single" w:sz="4" w:space="0" w:color="auto"/>
            </w:tcBorders>
            <w:shd w:val="clear" w:color="auto" w:fill="auto"/>
            <w:noWrap/>
            <w:vAlign w:val="center"/>
          </w:tcPr>
          <w:p w14:paraId="54C0B657" w14:textId="3D4289FA" w:rsidR="00713E4B" w:rsidRPr="003C6C6A" w:rsidRDefault="00713E4B" w:rsidP="00713E4B">
            <w:pPr>
              <w:jc w:val="center"/>
              <w:rPr>
                <w:rFonts w:cs="Arial"/>
                <w:color w:val="000000"/>
                <w:sz w:val="18"/>
                <w:szCs w:val="18"/>
              </w:rPr>
            </w:pPr>
            <w:r w:rsidRPr="003C6C6A">
              <w:rPr>
                <w:rFonts w:cs="Arial"/>
                <w:color w:val="000000"/>
                <w:sz w:val="18"/>
                <w:szCs w:val="18"/>
              </w:rPr>
              <w:t>0,02</w:t>
            </w:r>
          </w:p>
        </w:tc>
        <w:tc>
          <w:tcPr>
            <w:tcW w:w="606" w:type="pct"/>
            <w:tcBorders>
              <w:top w:val="nil"/>
              <w:left w:val="nil"/>
              <w:bottom w:val="nil"/>
              <w:right w:val="single" w:sz="4" w:space="0" w:color="auto"/>
            </w:tcBorders>
            <w:shd w:val="clear" w:color="auto" w:fill="auto"/>
            <w:noWrap/>
            <w:vAlign w:val="center"/>
          </w:tcPr>
          <w:p w14:paraId="001FF7EF" w14:textId="3CB42253" w:rsidR="00713E4B" w:rsidRPr="003C6C6A" w:rsidRDefault="00713E4B" w:rsidP="00713E4B">
            <w:pPr>
              <w:jc w:val="right"/>
              <w:rPr>
                <w:rFonts w:cs="Arial"/>
                <w:color w:val="000000"/>
                <w:sz w:val="18"/>
                <w:szCs w:val="18"/>
              </w:rPr>
            </w:pPr>
            <w:r w:rsidRPr="003C6C6A">
              <w:rPr>
                <w:rFonts w:cs="Arial"/>
                <w:color w:val="FF0000"/>
                <w:sz w:val="18"/>
                <w:szCs w:val="18"/>
              </w:rPr>
              <w:t>(295)</w:t>
            </w:r>
          </w:p>
        </w:tc>
        <w:tc>
          <w:tcPr>
            <w:tcW w:w="454" w:type="pct"/>
            <w:tcBorders>
              <w:top w:val="nil"/>
              <w:left w:val="nil"/>
              <w:bottom w:val="nil"/>
              <w:right w:val="nil"/>
            </w:tcBorders>
            <w:shd w:val="clear" w:color="auto" w:fill="auto"/>
            <w:noWrap/>
            <w:vAlign w:val="center"/>
          </w:tcPr>
          <w:p w14:paraId="65773482" w14:textId="65959035" w:rsidR="00713E4B" w:rsidRPr="003C6C6A" w:rsidRDefault="00713E4B" w:rsidP="00713E4B">
            <w:pPr>
              <w:jc w:val="center"/>
              <w:rPr>
                <w:rFonts w:cs="Arial"/>
                <w:color w:val="000000"/>
                <w:sz w:val="18"/>
                <w:szCs w:val="18"/>
              </w:rPr>
            </w:pPr>
            <w:r w:rsidRPr="003C6C6A">
              <w:rPr>
                <w:rFonts w:cs="Arial"/>
                <w:color w:val="FF0000"/>
                <w:sz w:val="18"/>
                <w:szCs w:val="18"/>
              </w:rPr>
              <w:t>(7,22)</w:t>
            </w:r>
          </w:p>
        </w:tc>
      </w:tr>
      <w:tr w:rsidR="00713E4B" w:rsidRPr="003C6C6A" w14:paraId="7E1BA20C" w14:textId="77777777" w:rsidTr="00BB5CDE">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tcPr>
          <w:p w14:paraId="3E089776" w14:textId="35CA3B17" w:rsidR="00713E4B" w:rsidRPr="003C6C6A" w:rsidRDefault="00713E4B" w:rsidP="00713E4B">
            <w:pPr>
              <w:jc w:val="left"/>
              <w:rPr>
                <w:rFonts w:cs="Arial"/>
                <w:b/>
                <w:bCs/>
                <w:color w:val="000000"/>
                <w:sz w:val="18"/>
                <w:szCs w:val="18"/>
              </w:rPr>
            </w:pPr>
            <w:r w:rsidRPr="003C6C6A">
              <w:rPr>
                <w:rFonts w:cs="Arial"/>
                <w:b/>
                <w:bCs/>
                <w:color w:val="000000"/>
                <w:sz w:val="18"/>
                <w:szCs w:val="18"/>
              </w:rPr>
              <w:t>Passivo Não Circulante</w:t>
            </w:r>
          </w:p>
        </w:tc>
        <w:tc>
          <w:tcPr>
            <w:tcW w:w="607" w:type="pct"/>
            <w:tcBorders>
              <w:top w:val="nil"/>
              <w:left w:val="nil"/>
              <w:bottom w:val="nil"/>
              <w:right w:val="single" w:sz="4" w:space="0" w:color="auto"/>
            </w:tcBorders>
            <w:shd w:val="clear" w:color="auto" w:fill="auto"/>
            <w:noWrap/>
            <w:vAlign w:val="center"/>
          </w:tcPr>
          <w:p w14:paraId="6AA76A13" w14:textId="2A49A22C" w:rsidR="00713E4B" w:rsidRPr="003C6C6A" w:rsidRDefault="00713E4B" w:rsidP="00713E4B">
            <w:pPr>
              <w:jc w:val="right"/>
              <w:rPr>
                <w:rFonts w:cs="Arial"/>
                <w:b/>
                <w:bCs/>
                <w:color w:val="000000"/>
                <w:sz w:val="18"/>
                <w:szCs w:val="18"/>
              </w:rPr>
            </w:pPr>
            <w:r w:rsidRPr="003C6C6A">
              <w:rPr>
                <w:rFonts w:cs="Arial"/>
                <w:b/>
                <w:bCs/>
                <w:color w:val="000000"/>
                <w:sz w:val="18"/>
                <w:szCs w:val="18"/>
              </w:rPr>
              <w:t>23.230.026</w:t>
            </w:r>
          </w:p>
        </w:tc>
        <w:tc>
          <w:tcPr>
            <w:tcW w:w="378" w:type="pct"/>
            <w:tcBorders>
              <w:top w:val="nil"/>
              <w:left w:val="nil"/>
              <w:bottom w:val="nil"/>
              <w:right w:val="single" w:sz="4" w:space="0" w:color="auto"/>
            </w:tcBorders>
            <w:shd w:val="clear" w:color="auto" w:fill="auto"/>
            <w:noWrap/>
            <w:vAlign w:val="center"/>
          </w:tcPr>
          <w:p w14:paraId="339D3D6F" w14:textId="65DF2A07" w:rsidR="00713E4B" w:rsidRPr="003C6C6A" w:rsidRDefault="00713E4B" w:rsidP="00713E4B">
            <w:pPr>
              <w:jc w:val="center"/>
              <w:rPr>
                <w:rFonts w:cs="Arial"/>
                <w:b/>
                <w:bCs/>
                <w:color w:val="000000"/>
                <w:sz w:val="18"/>
                <w:szCs w:val="18"/>
              </w:rPr>
            </w:pPr>
            <w:r w:rsidRPr="003C6C6A">
              <w:rPr>
                <w:rFonts w:cs="Arial"/>
                <w:b/>
                <w:bCs/>
                <w:color w:val="000000"/>
                <w:sz w:val="18"/>
                <w:szCs w:val="18"/>
              </w:rPr>
              <w:t>94,94</w:t>
            </w:r>
          </w:p>
        </w:tc>
        <w:tc>
          <w:tcPr>
            <w:tcW w:w="683" w:type="pct"/>
            <w:tcBorders>
              <w:top w:val="nil"/>
              <w:left w:val="nil"/>
              <w:bottom w:val="nil"/>
              <w:right w:val="single" w:sz="4" w:space="0" w:color="auto"/>
            </w:tcBorders>
            <w:shd w:val="clear" w:color="auto" w:fill="auto"/>
            <w:noWrap/>
            <w:vAlign w:val="center"/>
          </w:tcPr>
          <w:p w14:paraId="324A9FB2" w14:textId="3D5C49A7" w:rsidR="00713E4B" w:rsidRPr="003C6C6A" w:rsidRDefault="00713E4B" w:rsidP="00713E4B">
            <w:pPr>
              <w:jc w:val="right"/>
              <w:rPr>
                <w:rFonts w:cs="Arial"/>
                <w:b/>
                <w:bCs/>
                <w:color w:val="000000"/>
                <w:sz w:val="18"/>
                <w:szCs w:val="18"/>
              </w:rPr>
            </w:pPr>
            <w:r w:rsidRPr="003C6C6A">
              <w:rPr>
                <w:rFonts w:cs="Arial"/>
                <w:b/>
                <w:bCs/>
                <w:color w:val="000000"/>
                <w:sz w:val="18"/>
                <w:szCs w:val="18"/>
              </w:rPr>
              <w:t>21.922.496</w:t>
            </w:r>
          </w:p>
        </w:tc>
        <w:tc>
          <w:tcPr>
            <w:tcW w:w="378" w:type="pct"/>
            <w:tcBorders>
              <w:top w:val="nil"/>
              <w:left w:val="nil"/>
              <w:bottom w:val="nil"/>
              <w:right w:val="single" w:sz="4" w:space="0" w:color="auto"/>
            </w:tcBorders>
            <w:shd w:val="clear" w:color="auto" w:fill="auto"/>
            <w:noWrap/>
            <w:vAlign w:val="center"/>
          </w:tcPr>
          <w:p w14:paraId="73DD375E" w14:textId="18824FDB" w:rsidR="00713E4B" w:rsidRPr="003C6C6A" w:rsidRDefault="00713E4B" w:rsidP="00713E4B">
            <w:pPr>
              <w:jc w:val="center"/>
              <w:rPr>
                <w:rFonts w:cs="Arial"/>
                <w:b/>
                <w:bCs/>
                <w:color w:val="000000"/>
                <w:sz w:val="18"/>
                <w:szCs w:val="18"/>
              </w:rPr>
            </w:pPr>
            <w:r w:rsidRPr="003C6C6A">
              <w:rPr>
                <w:rFonts w:cs="Arial"/>
                <w:b/>
                <w:bCs/>
                <w:color w:val="000000"/>
                <w:sz w:val="18"/>
                <w:szCs w:val="18"/>
              </w:rPr>
              <w:t>95,07</w:t>
            </w:r>
          </w:p>
        </w:tc>
        <w:tc>
          <w:tcPr>
            <w:tcW w:w="606" w:type="pct"/>
            <w:tcBorders>
              <w:top w:val="nil"/>
              <w:left w:val="nil"/>
              <w:bottom w:val="nil"/>
              <w:right w:val="single" w:sz="4" w:space="0" w:color="auto"/>
            </w:tcBorders>
            <w:shd w:val="clear" w:color="auto" w:fill="auto"/>
            <w:noWrap/>
            <w:vAlign w:val="center"/>
          </w:tcPr>
          <w:p w14:paraId="08A20AD6" w14:textId="5A3E4346" w:rsidR="00713E4B" w:rsidRPr="003C6C6A" w:rsidRDefault="00713E4B" w:rsidP="00713E4B">
            <w:pPr>
              <w:jc w:val="right"/>
              <w:rPr>
                <w:rFonts w:cs="Arial"/>
                <w:b/>
                <w:bCs/>
                <w:color w:val="000000"/>
                <w:sz w:val="18"/>
                <w:szCs w:val="18"/>
              </w:rPr>
            </w:pPr>
            <w:r w:rsidRPr="003C6C6A">
              <w:rPr>
                <w:rFonts w:cs="Arial"/>
                <w:b/>
                <w:bCs/>
                <w:color w:val="000000"/>
                <w:sz w:val="18"/>
                <w:szCs w:val="18"/>
              </w:rPr>
              <w:t>1.307.530</w:t>
            </w:r>
          </w:p>
        </w:tc>
        <w:tc>
          <w:tcPr>
            <w:tcW w:w="454" w:type="pct"/>
            <w:tcBorders>
              <w:top w:val="nil"/>
              <w:left w:val="nil"/>
              <w:bottom w:val="nil"/>
              <w:right w:val="nil"/>
            </w:tcBorders>
            <w:shd w:val="clear" w:color="auto" w:fill="auto"/>
            <w:noWrap/>
            <w:vAlign w:val="center"/>
          </w:tcPr>
          <w:p w14:paraId="4B86669E" w14:textId="21A7AF8B" w:rsidR="00713E4B" w:rsidRPr="003C6C6A" w:rsidRDefault="00713E4B" w:rsidP="00713E4B">
            <w:pPr>
              <w:jc w:val="center"/>
              <w:rPr>
                <w:rFonts w:cs="Arial"/>
                <w:b/>
                <w:bCs/>
                <w:color w:val="000000"/>
                <w:sz w:val="18"/>
                <w:szCs w:val="18"/>
              </w:rPr>
            </w:pPr>
            <w:r w:rsidRPr="003C6C6A">
              <w:rPr>
                <w:rFonts w:cs="Arial"/>
                <w:b/>
                <w:bCs/>
                <w:color w:val="000000"/>
                <w:sz w:val="18"/>
                <w:szCs w:val="18"/>
              </w:rPr>
              <w:t>5,96</w:t>
            </w:r>
          </w:p>
        </w:tc>
      </w:tr>
      <w:tr w:rsidR="00713E4B" w:rsidRPr="003C6C6A" w14:paraId="09A65760" w14:textId="77777777" w:rsidTr="00BB5CDE">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tcPr>
          <w:p w14:paraId="0524A0B9" w14:textId="39063C8A" w:rsidR="00713E4B" w:rsidRPr="003C6C6A" w:rsidRDefault="00713E4B" w:rsidP="00713E4B">
            <w:pPr>
              <w:ind w:left="215"/>
              <w:jc w:val="left"/>
              <w:rPr>
                <w:rFonts w:cs="Arial"/>
                <w:color w:val="000000"/>
                <w:sz w:val="18"/>
                <w:szCs w:val="18"/>
              </w:rPr>
            </w:pPr>
            <w:r w:rsidRPr="003C6C6A">
              <w:rPr>
                <w:rFonts w:cs="Arial"/>
                <w:color w:val="000000"/>
                <w:sz w:val="18"/>
                <w:szCs w:val="18"/>
              </w:rPr>
              <w:t xml:space="preserve">Empréstimos a Longo Prazo - Interno </w:t>
            </w:r>
          </w:p>
        </w:tc>
        <w:tc>
          <w:tcPr>
            <w:tcW w:w="607" w:type="pct"/>
            <w:tcBorders>
              <w:top w:val="nil"/>
              <w:left w:val="nil"/>
              <w:bottom w:val="nil"/>
              <w:right w:val="single" w:sz="4" w:space="0" w:color="auto"/>
            </w:tcBorders>
            <w:shd w:val="clear" w:color="auto" w:fill="auto"/>
            <w:noWrap/>
            <w:vAlign w:val="center"/>
          </w:tcPr>
          <w:p w14:paraId="69367E25" w14:textId="3F4D5A31" w:rsidR="00713E4B" w:rsidRPr="003C6C6A" w:rsidRDefault="00713E4B" w:rsidP="00713E4B">
            <w:pPr>
              <w:jc w:val="right"/>
              <w:rPr>
                <w:rFonts w:cs="Arial"/>
                <w:color w:val="000000"/>
                <w:sz w:val="18"/>
                <w:szCs w:val="18"/>
              </w:rPr>
            </w:pPr>
            <w:r w:rsidRPr="003C6C6A">
              <w:rPr>
                <w:rFonts w:cs="Arial"/>
                <w:color w:val="000000"/>
                <w:sz w:val="18"/>
                <w:szCs w:val="18"/>
              </w:rPr>
              <w:t>20.923.380</w:t>
            </w:r>
          </w:p>
        </w:tc>
        <w:tc>
          <w:tcPr>
            <w:tcW w:w="378" w:type="pct"/>
            <w:tcBorders>
              <w:top w:val="nil"/>
              <w:left w:val="nil"/>
              <w:bottom w:val="nil"/>
              <w:right w:val="single" w:sz="4" w:space="0" w:color="auto"/>
            </w:tcBorders>
            <w:shd w:val="clear" w:color="auto" w:fill="auto"/>
            <w:noWrap/>
            <w:vAlign w:val="center"/>
          </w:tcPr>
          <w:p w14:paraId="6A924055" w14:textId="1589DE66" w:rsidR="00713E4B" w:rsidRPr="003C6C6A" w:rsidRDefault="00713E4B" w:rsidP="00713E4B">
            <w:pPr>
              <w:jc w:val="center"/>
              <w:rPr>
                <w:rFonts w:cs="Arial"/>
                <w:color w:val="000000"/>
                <w:sz w:val="18"/>
                <w:szCs w:val="18"/>
              </w:rPr>
            </w:pPr>
            <w:r w:rsidRPr="003C6C6A">
              <w:rPr>
                <w:rFonts w:cs="Arial"/>
                <w:color w:val="000000"/>
                <w:sz w:val="18"/>
                <w:szCs w:val="18"/>
              </w:rPr>
              <w:t>85,52</w:t>
            </w:r>
          </w:p>
        </w:tc>
        <w:tc>
          <w:tcPr>
            <w:tcW w:w="683" w:type="pct"/>
            <w:tcBorders>
              <w:top w:val="nil"/>
              <w:left w:val="nil"/>
              <w:bottom w:val="nil"/>
              <w:right w:val="single" w:sz="4" w:space="0" w:color="auto"/>
            </w:tcBorders>
            <w:shd w:val="clear" w:color="auto" w:fill="auto"/>
            <w:noWrap/>
            <w:vAlign w:val="center"/>
          </w:tcPr>
          <w:p w14:paraId="07BAF67E" w14:textId="6525A54D" w:rsidR="00713E4B" w:rsidRPr="003C6C6A" w:rsidRDefault="00713E4B" w:rsidP="00713E4B">
            <w:pPr>
              <w:jc w:val="right"/>
              <w:rPr>
                <w:rFonts w:cs="Arial"/>
                <w:color w:val="000000"/>
                <w:sz w:val="18"/>
                <w:szCs w:val="18"/>
              </w:rPr>
            </w:pPr>
            <w:r w:rsidRPr="003C6C6A">
              <w:rPr>
                <w:rFonts w:cs="Arial"/>
                <w:color w:val="000000"/>
                <w:sz w:val="18"/>
                <w:szCs w:val="18"/>
              </w:rPr>
              <w:t>19.432.632</w:t>
            </w:r>
          </w:p>
        </w:tc>
        <w:tc>
          <w:tcPr>
            <w:tcW w:w="378" w:type="pct"/>
            <w:tcBorders>
              <w:top w:val="nil"/>
              <w:left w:val="nil"/>
              <w:bottom w:val="nil"/>
              <w:right w:val="single" w:sz="4" w:space="0" w:color="auto"/>
            </w:tcBorders>
            <w:shd w:val="clear" w:color="auto" w:fill="auto"/>
            <w:noWrap/>
            <w:vAlign w:val="center"/>
          </w:tcPr>
          <w:p w14:paraId="2A8EEBAF" w14:textId="7043684A" w:rsidR="00713E4B" w:rsidRPr="003C6C6A" w:rsidRDefault="00713E4B" w:rsidP="00713E4B">
            <w:pPr>
              <w:jc w:val="center"/>
              <w:rPr>
                <w:rFonts w:cs="Arial"/>
                <w:color w:val="000000"/>
                <w:sz w:val="18"/>
                <w:szCs w:val="18"/>
              </w:rPr>
            </w:pPr>
            <w:r w:rsidRPr="003C6C6A">
              <w:rPr>
                <w:rFonts w:cs="Arial"/>
                <w:color w:val="000000"/>
                <w:sz w:val="18"/>
                <w:szCs w:val="18"/>
              </w:rPr>
              <w:t>84,27</w:t>
            </w:r>
          </w:p>
        </w:tc>
        <w:tc>
          <w:tcPr>
            <w:tcW w:w="606" w:type="pct"/>
            <w:tcBorders>
              <w:top w:val="nil"/>
              <w:left w:val="nil"/>
              <w:bottom w:val="nil"/>
              <w:right w:val="single" w:sz="4" w:space="0" w:color="auto"/>
            </w:tcBorders>
            <w:shd w:val="clear" w:color="auto" w:fill="auto"/>
            <w:noWrap/>
            <w:vAlign w:val="center"/>
          </w:tcPr>
          <w:p w14:paraId="47F45CFC" w14:textId="6504DF9C" w:rsidR="00713E4B" w:rsidRPr="003C6C6A" w:rsidRDefault="00713E4B" w:rsidP="00713E4B">
            <w:pPr>
              <w:jc w:val="right"/>
              <w:rPr>
                <w:rFonts w:cs="Arial"/>
                <w:color w:val="000000"/>
                <w:sz w:val="18"/>
                <w:szCs w:val="18"/>
              </w:rPr>
            </w:pPr>
            <w:r w:rsidRPr="003C6C6A">
              <w:rPr>
                <w:rFonts w:cs="Arial"/>
                <w:color w:val="000000"/>
                <w:sz w:val="18"/>
                <w:szCs w:val="18"/>
              </w:rPr>
              <w:t>1.490.747</w:t>
            </w:r>
          </w:p>
        </w:tc>
        <w:tc>
          <w:tcPr>
            <w:tcW w:w="454" w:type="pct"/>
            <w:tcBorders>
              <w:top w:val="nil"/>
              <w:left w:val="nil"/>
              <w:bottom w:val="nil"/>
              <w:right w:val="nil"/>
            </w:tcBorders>
            <w:shd w:val="clear" w:color="auto" w:fill="auto"/>
            <w:noWrap/>
            <w:vAlign w:val="center"/>
          </w:tcPr>
          <w:p w14:paraId="04A0032C" w14:textId="07033FEA" w:rsidR="00713E4B" w:rsidRPr="003C6C6A" w:rsidRDefault="00713E4B" w:rsidP="00713E4B">
            <w:pPr>
              <w:jc w:val="center"/>
              <w:rPr>
                <w:rFonts w:cs="Arial"/>
                <w:color w:val="000000"/>
                <w:sz w:val="18"/>
                <w:szCs w:val="18"/>
              </w:rPr>
            </w:pPr>
            <w:r w:rsidRPr="003C6C6A">
              <w:rPr>
                <w:rFonts w:cs="Arial"/>
                <w:color w:val="000000"/>
                <w:sz w:val="18"/>
                <w:szCs w:val="18"/>
              </w:rPr>
              <w:t>7,67</w:t>
            </w:r>
          </w:p>
        </w:tc>
      </w:tr>
      <w:tr w:rsidR="00713E4B" w:rsidRPr="003C6C6A" w14:paraId="5213668E" w14:textId="77777777" w:rsidTr="00BB5CDE">
        <w:tblPrEx>
          <w:jc w:val="center"/>
        </w:tblPrEx>
        <w:trPr>
          <w:trHeight w:val="340"/>
          <w:jc w:val="center"/>
        </w:trPr>
        <w:tc>
          <w:tcPr>
            <w:tcW w:w="1894" w:type="pct"/>
            <w:tcBorders>
              <w:top w:val="nil"/>
              <w:left w:val="nil"/>
              <w:bottom w:val="nil"/>
              <w:right w:val="single" w:sz="4" w:space="0" w:color="auto"/>
            </w:tcBorders>
            <w:shd w:val="clear" w:color="auto" w:fill="auto"/>
            <w:noWrap/>
            <w:vAlign w:val="center"/>
          </w:tcPr>
          <w:p w14:paraId="4D72ADAE" w14:textId="22B79820" w:rsidR="00713E4B" w:rsidRPr="003C6C6A" w:rsidRDefault="00713E4B" w:rsidP="00713E4B">
            <w:pPr>
              <w:ind w:left="215"/>
              <w:jc w:val="left"/>
              <w:rPr>
                <w:rFonts w:cs="Arial"/>
                <w:color w:val="000000"/>
                <w:sz w:val="18"/>
                <w:szCs w:val="18"/>
              </w:rPr>
            </w:pPr>
            <w:r w:rsidRPr="003C6C6A">
              <w:rPr>
                <w:rFonts w:cs="Arial"/>
                <w:color w:val="000000"/>
                <w:sz w:val="18"/>
                <w:szCs w:val="18"/>
              </w:rPr>
              <w:t>Empréstimos a Longo Prazo - Externo</w:t>
            </w:r>
          </w:p>
        </w:tc>
        <w:tc>
          <w:tcPr>
            <w:tcW w:w="607" w:type="pct"/>
            <w:tcBorders>
              <w:top w:val="nil"/>
              <w:left w:val="nil"/>
              <w:bottom w:val="nil"/>
              <w:right w:val="single" w:sz="4" w:space="0" w:color="auto"/>
            </w:tcBorders>
            <w:shd w:val="clear" w:color="auto" w:fill="auto"/>
            <w:noWrap/>
            <w:vAlign w:val="center"/>
          </w:tcPr>
          <w:p w14:paraId="437DC1B4" w14:textId="7853CC3A" w:rsidR="00713E4B" w:rsidRPr="003C6C6A" w:rsidRDefault="00713E4B" w:rsidP="00713E4B">
            <w:pPr>
              <w:jc w:val="right"/>
              <w:rPr>
                <w:rFonts w:cs="Arial"/>
                <w:color w:val="000000"/>
                <w:sz w:val="18"/>
                <w:szCs w:val="18"/>
              </w:rPr>
            </w:pPr>
            <w:r w:rsidRPr="003C6C6A">
              <w:rPr>
                <w:rFonts w:cs="Arial"/>
                <w:color w:val="000000"/>
                <w:sz w:val="18"/>
                <w:szCs w:val="18"/>
              </w:rPr>
              <w:t>2.306.646</w:t>
            </w:r>
          </w:p>
        </w:tc>
        <w:tc>
          <w:tcPr>
            <w:tcW w:w="378" w:type="pct"/>
            <w:tcBorders>
              <w:top w:val="nil"/>
              <w:left w:val="nil"/>
              <w:bottom w:val="nil"/>
              <w:right w:val="single" w:sz="4" w:space="0" w:color="auto"/>
            </w:tcBorders>
            <w:shd w:val="clear" w:color="auto" w:fill="auto"/>
            <w:noWrap/>
            <w:vAlign w:val="center"/>
          </w:tcPr>
          <w:p w14:paraId="4A7CF9E5" w14:textId="41CECDA6" w:rsidR="00713E4B" w:rsidRPr="003C6C6A" w:rsidRDefault="00713E4B" w:rsidP="00713E4B">
            <w:pPr>
              <w:jc w:val="center"/>
              <w:rPr>
                <w:rFonts w:cs="Arial"/>
                <w:color w:val="000000"/>
                <w:sz w:val="18"/>
                <w:szCs w:val="18"/>
              </w:rPr>
            </w:pPr>
            <w:r w:rsidRPr="003C6C6A">
              <w:rPr>
                <w:rFonts w:cs="Arial"/>
                <w:color w:val="000000"/>
                <w:sz w:val="18"/>
                <w:szCs w:val="18"/>
              </w:rPr>
              <w:t>9,43</w:t>
            </w:r>
          </w:p>
        </w:tc>
        <w:tc>
          <w:tcPr>
            <w:tcW w:w="683" w:type="pct"/>
            <w:tcBorders>
              <w:top w:val="nil"/>
              <w:left w:val="nil"/>
              <w:bottom w:val="nil"/>
              <w:right w:val="single" w:sz="4" w:space="0" w:color="auto"/>
            </w:tcBorders>
            <w:shd w:val="clear" w:color="auto" w:fill="auto"/>
            <w:noWrap/>
            <w:vAlign w:val="center"/>
          </w:tcPr>
          <w:p w14:paraId="378BA86C" w14:textId="35B42775" w:rsidR="00713E4B" w:rsidRPr="003C6C6A" w:rsidRDefault="00713E4B" w:rsidP="00713E4B">
            <w:pPr>
              <w:jc w:val="right"/>
              <w:rPr>
                <w:rFonts w:cs="Arial"/>
                <w:color w:val="000000"/>
                <w:sz w:val="18"/>
                <w:szCs w:val="18"/>
              </w:rPr>
            </w:pPr>
            <w:r w:rsidRPr="003C6C6A">
              <w:rPr>
                <w:rFonts w:cs="Arial"/>
                <w:color w:val="000000"/>
                <w:sz w:val="18"/>
                <w:szCs w:val="18"/>
              </w:rPr>
              <w:t>2.489.863</w:t>
            </w:r>
          </w:p>
        </w:tc>
        <w:tc>
          <w:tcPr>
            <w:tcW w:w="378" w:type="pct"/>
            <w:tcBorders>
              <w:top w:val="nil"/>
              <w:left w:val="nil"/>
              <w:bottom w:val="nil"/>
              <w:right w:val="single" w:sz="4" w:space="0" w:color="auto"/>
            </w:tcBorders>
            <w:shd w:val="clear" w:color="auto" w:fill="auto"/>
            <w:noWrap/>
            <w:vAlign w:val="center"/>
          </w:tcPr>
          <w:p w14:paraId="03C91619" w14:textId="5B5A7849" w:rsidR="00713E4B" w:rsidRPr="003C6C6A" w:rsidRDefault="00713E4B" w:rsidP="00713E4B">
            <w:pPr>
              <w:jc w:val="center"/>
              <w:rPr>
                <w:rFonts w:cs="Arial"/>
                <w:color w:val="000000"/>
                <w:sz w:val="18"/>
                <w:szCs w:val="18"/>
              </w:rPr>
            </w:pPr>
            <w:r w:rsidRPr="003C6C6A">
              <w:rPr>
                <w:rFonts w:cs="Arial"/>
                <w:color w:val="000000"/>
                <w:sz w:val="18"/>
                <w:szCs w:val="18"/>
              </w:rPr>
              <w:t>10,80</w:t>
            </w:r>
          </w:p>
        </w:tc>
        <w:tc>
          <w:tcPr>
            <w:tcW w:w="606" w:type="pct"/>
            <w:tcBorders>
              <w:top w:val="nil"/>
              <w:left w:val="nil"/>
              <w:bottom w:val="nil"/>
              <w:right w:val="single" w:sz="4" w:space="0" w:color="auto"/>
            </w:tcBorders>
            <w:shd w:val="clear" w:color="auto" w:fill="auto"/>
            <w:noWrap/>
            <w:vAlign w:val="center"/>
          </w:tcPr>
          <w:p w14:paraId="54616EE9" w14:textId="38C57EFB" w:rsidR="00713E4B" w:rsidRPr="003C6C6A" w:rsidRDefault="00713E4B" w:rsidP="00713E4B">
            <w:pPr>
              <w:jc w:val="right"/>
              <w:rPr>
                <w:rFonts w:cs="Arial"/>
                <w:color w:val="000000"/>
                <w:sz w:val="18"/>
                <w:szCs w:val="18"/>
              </w:rPr>
            </w:pPr>
            <w:r w:rsidRPr="003C6C6A">
              <w:rPr>
                <w:rFonts w:cs="Arial"/>
                <w:color w:val="FF0000"/>
                <w:sz w:val="18"/>
                <w:szCs w:val="18"/>
              </w:rPr>
              <w:t>(183.217)</w:t>
            </w:r>
          </w:p>
        </w:tc>
        <w:tc>
          <w:tcPr>
            <w:tcW w:w="454" w:type="pct"/>
            <w:tcBorders>
              <w:top w:val="nil"/>
              <w:left w:val="nil"/>
              <w:bottom w:val="nil"/>
              <w:right w:val="nil"/>
            </w:tcBorders>
            <w:shd w:val="clear" w:color="auto" w:fill="auto"/>
            <w:noWrap/>
            <w:vAlign w:val="center"/>
          </w:tcPr>
          <w:p w14:paraId="38E8B278" w14:textId="0BA543B2" w:rsidR="00713E4B" w:rsidRPr="003C6C6A" w:rsidRDefault="00713E4B" w:rsidP="00713E4B">
            <w:pPr>
              <w:jc w:val="center"/>
              <w:rPr>
                <w:rFonts w:cs="Arial"/>
                <w:color w:val="000000"/>
                <w:sz w:val="18"/>
                <w:szCs w:val="18"/>
              </w:rPr>
            </w:pPr>
            <w:r w:rsidRPr="003C6C6A">
              <w:rPr>
                <w:rFonts w:cs="Arial"/>
                <w:color w:val="FF0000"/>
                <w:sz w:val="18"/>
                <w:szCs w:val="18"/>
              </w:rPr>
              <w:t>(7,36)</w:t>
            </w:r>
          </w:p>
        </w:tc>
      </w:tr>
      <w:tr w:rsidR="00713E4B" w:rsidRPr="003C6C6A" w14:paraId="082BE61C" w14:textId="77777777" w:rsidTr="00BB5CDE">
        <w:tblPrEx>
          <w:jc w:val="center"/>
        </w:tblPrEx>
        <w:trPr>
          <w:trHeight w:val="340"/>
          <w:jc w:val="center"/>
        </w:trPr>
        <w:tc>
          <w:tcPr>
            <w:tcW w:w="1894" w:type="pct"/>
            <w:tcBorders>
              <w:top w:val="single" w:sz="4" w:space="0" w:color="auto"/>
              <w:left w:val="nil"/>
              <w:bottom w:val="single" w:sz="4" w:space="0" w:color="auto"/>
              <w:right w:val="single" w:sz="4" w:space="0" w:color="auto"/>
            </w:tcBorders>
            <w:shd w:val="clear" w:color="auto" w:fill="auto"/>
            <w:vAlign w:val="center"/>
          </w:tcPr>
          <w:p w14:paraId="6737DB18" w14:textId="53722D9E" w:rsidR="00713E4B" w:rsidRPr="003C6C6A" w:rsidRDefault="00713E4B" w:rsidP="00713E4B">
            <w:pPr>
              <w:jc w:val="center"/>
              <w:rPr>
                <w:rFonts w:cs="Arial"/>
                <w:b/>
                <w:bCs/>
                <w:color w:val="000000"/>
                <w:sz w:val="18"/>
                <w:szCs w:val="18"/>
              </w:rPr>
            </w:pPr>
            <w:r w:rsidRPr="003C6C6A">
              <w:rPr>
                <w:rFonts w:cs="Arial"/>
                <w:b/>
                <w:bCs/>
                <w:color w:val="000000"/>
                <w:sz w:val="18"/>
                <w:szCs w:val="18"/>
              </w:rPr>
              <w:t>Total</w:t>
            </w:r>
          </w:p>
        </w:tc>
        <w:tc>
          <w:tcPr>
            <w:tcW w:w="607" w:type="pct"/>
            <w:tcBorders>
              <w:top w:val="single" w:sz="4" w:space="0" w:color="auto"/>
              <w:left w:val="nil"/>
              <w:bottom w:val="single" w:sz="4" w:space="0" w:color="auto"/>
              <w:right w:val="single" w:sz="4" w:space="0" w:color="auto"/>
            </w:tcBorders>
            <w:shd w:val="clear" w:color="auto" w:fill="auto"/>
            <w:noWrap/>
            <w:vAlign w:val="center"/>
          </w:tcPr>
          <w:p w14:paraId="64DD23F3" w14:textId="5E4CDCF0" w:rsidR="00713E4B" w:rsidRPr="003C6C6A" w:rsidRDefault="00713E4B" w:rsidP="00713E4B">
            <w:pPr>
              <w:ind w:left="-66"/>
              <w:jc w:val="right"/>
              <w:rPr>
                <w:rFonts w:cs="Arial"/>
                <w:b/>
                <w:bCs/>
                <w:color w:val="000000"/>
                <w:sz w:val="18"/>
                <w:szCs w:val="18"/>
              </w:rPr>
            </w:pPr>
            <w:r w:rsidRPr="003C6C6A">
              <w:rPr>
                <w:rFonts w:cs="Arial"/>
                <w:b/>
                <w:bCs/>
                <w:color w:val="000000"/>
                <w:sz w:val="18"/>
                <w:szCs w:val="18"/>
              </w:rPr>
              <w:t>24.466.933</w:t>
            </w:r>
          </w:p>
        </w:tc>
        <w:tc>
          <w:tcPr>
            <w:tcW w:w="378" w:type="pct"/>
            <w:tcBorders>
              <w:top w:val="single" w:sz="4" w:space="0" w:color="auto"/>
              <w:left w:val="nil"/>
              <w:bottom w:val="single" w:sz="4" w:space="0" w:color="auto"/>
              <w:right w:val="single" w:sz="4" w:space="0" w:color="auto"/>
            </w:tcBorders>
            <w:shd w:val="clear" w:color="auto" w:fill="auto"/>
            <w:noWrap/>
            <w:vAlign w:val="center"/>
          </w:tcPr>
          <w:p w14:paraId="12B90143" w14:textId="45C4DB86" w:rsidR="00713E4B" w:rsidRPr="003C6C6A" w:rsidRDefault="00713E4B" w:rsidP="00713E4B">
            <w:pPr>
              <w:jc w:val="center"/>
              <w:rPr>
                <w:rFonts w:cs="Arial"/>
                <w:b/>
                <w:bCs/>
                <w:color w:val="000000"/>
                <w:sz w:val="18"/>
                <w:szCs w:val="18"/>
              </w:rPr>
            </w:pPr>
            <w:r w:rsidRPr="003C6C6A">
              <w:rPr>
                <w:rFonts w:cs="Arial"/>
                <w:b/>
                <w:bCs/>
                <w:color w:val="000000"/>
                <w:sz w:val="18"/>
                <w:szCs w:val="18"/>
              </w:rPr>
              <w:t>100,00</w:t>
            </w:r>
          </w:p>
        </w:tc>
        <w:tc>
          <w:tcPr>
            <w:tcW w:w="683" w:type="pct"/>
            <w:tcBorders>
              <w:top w:val="single" w:sz="4" w:space="0" w:color="auto"/>
              <w:left w:val="nil"/>
              <w:bottom w:val="single" w:sz="4" w:space="0" w:color="auto"/>
              <w:right w:val="single" w:sz="4" w:space="0" w:color="auto"/>
            </w:tcBorders>
            <w:shd w:val="clear" w:color="auto" w:fill="auto"/>
            <w:noWrap/>
            <w:vAlign w:val="center"/>
          </w:tcPr>
          <w:p w14:paraId="5E7234F7" w14:textId="2C267295" w:rsidR="00713E4B" w:rsidRPr="003C6C6A" w:rsidRDefault="00713E4B" w:rsidP="00713E4B">
            <w:pPr>
              <w:ind w:left="-65"/>
              <w:jc w:val="right"/>
              <w:rPr>
                <w:rFonts w:cs="Arial"/>
                <w:b/>
                <w:bCs/>
                <w:color w:val="000000"/>
                <w:sz w:val="18"/>
                <w:szCs w:val="18"/>
              </w:rPr>
            </w:pPr>
            <w:r w:rsidRPr="003C6C6A">
              <w:rPr>
                <w:rFonts w:cs="Arial"/>
                <w:b/>
                <w:bCs/>
                <w:color w:val="000000"/>
                <w:sz w:val="18"/>
                <w:szCs w:val="18"/>
              </w:rPr>
              <w:t>23.059.469</w:t>
            </w:r>
          </w:p>
        </w:tc>
        <w:tc>
          <w:tcPr>
            <w:tcW w:w="378" w:type="pct"/>
            <w:tcBorders>
              <w:top w:val="single" w:sz="4" w:space="0" w:color="auto"/>
              <w:left w:val="nil"/>
              <w:bottom w:val="single" w:sz="4" w:space="0" w:color="auto"/>
              <w:right w:val="single" w:sz="4" w:space="0" w:color="auto"/>
            </w:tcBorders>
            <w:shd w:val="clear" w:color="auto" w:fill="auto"/>
            <w:noWrap/>
            <w:vAlign w:val="center"/>
          </w:tcPr>
          <w:p w14:paraId="5E66C876" w14:textId="5A067BDE" w:rsidR="00713E4B" w:rsidRPr="003C6C6A" w:rsidRDefault="00713E4B" w:rsidP="00713E4B">
            <w:pPr>
              <w:jc w:val="center"/>
              <w:rPr>
                <w:rFonts w:cs="Arial"/>
                <w:b/>
                <w:bCs/>
                <w:color w:val="000000"/>
                <w:sz w:val="18"/>
                <w:szCs w:val="18"/>
              </w:rPr>
            </w:pPr>
            <w:r w:rsidRPr="003C6C6A">
              <w:rPr>
                <w:rFonts w:cs="Arial"/>
                <w:b/>
                <w:color w:val="000000"/>
                <w:sz w:val="18"/>
                <w:szCs w:val="18"/>
              </w:rPr>
              <w:t>100,00</w:t>
            </w:r>
          </w:p>
        </w:tc>
        <w:tc>
          <w:tcPr>
            <w:tcW w:w="606" w:type="pct"/>
            <w:tcBorders>
              <w:top w:val="single" w:sz="4" w:space="0" w:color="auto"/>
              <w:left w:val="nil"/>
              <w:bottom w:val="single" w:sz="4" w:space="0" w:color="auto"/>
              <w:right w:val="single" w:sz="4" w:space="0" w:color="auto"/>
            </w:tcBorders>
            <w:shd w:val="clear" w:color="auto" w:fill="auto"/>
            <w:noWrap/>
            <w:vAlign w:val="center"/>
          </w:tcPr>
          <w:p w14:paraId="282543D1" w14:textId="45CAE743" w:rsidR="00713E4B" w:rsidRPr="003C6C6A" w:rsidRDefault="00713E4B" w:rsidP="00713E4B">
            <w:pPr>
              <w:ind w:left="-67"/>
              <w:jc w:val="right"/>
              <w:rPr>
                <w:rFonts w:cs="Arial"/>
                <w:b/>
                <w:bCs/>
                <w:color w:val="000000"/>
                <w:sz w:val="18"/>
                <w:szCs w:val="18"/>
              </w:rPr>
            </w:pPr>
            <w:r w:rsidRPr="003C6C6A">
              <w:rPr>
                <w:rFonts w:cs="Arial"/>
                <w:b/>
                <w:bCs/>
                <w:color w:val="000000"/>
                <w:sz w:val="18"/>
                <w:szCs w:val="18"/>
              </w:rPr>
              <w:t>1.407.463</w:t>
            </w:r>
          </w:p>
        </w:tc>
        <w:tc>
          <w:tcPr>
            <w:tcW w:w="454" w:type="pct"/>
            <w:tcBorders>
              <w:top w:val="single" w:sz="4" w:space="0" w:color="auto"/>
              <w:left w:val="nil"/>
              <w:bottom w:val="single" w:sz="4" w:space="0" w:color="auto"/>
              <w:right w:val="nil"/>
            </w:tcBorders>
            <w:shd w:val="clear" w:color="auto" w:fill="auto"/>
            <w:noWrap/>
            <w:vAlign w:val="center"/>
          </w:tcPr>
          <w:p w14:paraId="38A76073" w14:textId="1416D999" w:rsidR="00713E4B" w:rsidRPr="003C6C6A" w:rsidRDefault="00713E4B" w:rsidP="00713E4B">
            <w:pPr>
              <w:jc w:val="center"/>
              <w:rPr>
                <w:rFonts w:cs="Arial"/>
                <w:b/>
                <w:bCs/>
                <w:color w:val="000000"/>
                <w:sz w:val="18"/>
                <w:szCs w:val="18"/>
              </w:rPr>
            </w:pPr>
            <w:r w:rsidRPr="003C6C6A">
              <w:rPr>
                <w:rFonts w:cs="Arial"/>
                <w:b/>
                <w:bCs/>
                <w:color w:val="000000"/>
                <w:sz w:val="18"/>
                <w:szCs w:val="18"/>
              </w:rPr>
              <w:t>6,10</w:t>
            </w:r>
          </w:p>
        </w:tc>
      </w:tr>
    </w:tbl>
    <w:p w14:paraId="0E57D9F2" w14:textId="77777777" w:rsidR="006B7928" w:rsidRPr="002C72B9" w:rsidRDefault="006B7928" w:rsidP="006B7928">
      <w:pPr>
        <w:pStyle w:val="0-FONTEBALANO"/>
      </w:pPr>
      <w:r w:rsidRPr="002C72B9">
        <w:t>Fonte: Balanço Patrimonial - Anexo 14</w:t>
      </w:r>
      <w:r>
        <w:t xml:space="preserve"> (BGE 2023)</w:t>
      </w:r>
    </w:p>
    <w:p w14:paraId="5B50C066" w14:textId="77777777" w:rsidR="006B7928" w:rsidRDefault="006B7928" w:rsidP="00BB5CDE">
      <w:pPr>
        <w:pStyle w:val="1-REL11"/>
        <w:spacing w:after="240" w:line="300" w:lineRule="auto"/>
      </w:pPr>
      <w:r>
        <w:t>Ao comparar com o período anterior,</w:t>
      </w:r>
      <w:r w:rsidRPr="002C72B9">
        <w:t xml:space="preserve"> </w:t>
      </w:r>
      <w:bookmarkStart w:id="460" w:name="_Hlk167357216"/>
      <w:r w:rsidRPr="002C72B9">
        <w:t xml:space="preserve">houve um acréscimo </w:t>
      </w:r>
      <w:r w:rsidRPr="000E3F72">
        <w:t xml:space="preserve">de 6,10% nos </w:t>
      </w:r>
      <w:r w:rsidRPr="000106E9">
        <w:t xml:space="preserve">saldos </w:t>
      </w:r>
      <w:bookmarkEnd w:id="460"/>
      <w:r w:rsidRPr="000106E9">
        <w:t>des</w:t>
      </w:r>
      <w:r>
        <w:t>t</w:t>
      </w:r>
      <w:r w:rsidRPr="000106E9">
        <w:t>es subgrupos de contas</w:t>
      </w:r>
      <w:r>
        <w:t>.</w:t>
      </w:r>
      <w:r w:rsidRPr="000106E9">
        <w:t xml:space="preserve"> </w:t>
      </w:r>
      <w:bookmarkStart w:id="461" w:name="_Hlk167357241"/>
      <w:r>
        <w:t>Observa-se também,</w:t>
      </w:r>
      <w:r w:rsidRPr="000E3F72">
        <w:t xml:space="preserve"> </w:t>
      </w:r>
      <w:r>
        <w:t xml:space="preserve">um incremento </w:t>
      </w:r>
      <w:r w:rsidRPr="000E3F72">
        <w:t xml:space="preserve">de </w:t>
      </w:r>
      <w:r>
        <w:t>8,79</w:t>
      </w:r>
      <w:r w:rsidRPr="000E3F72">
        <w:t xml:space="preserve">% </w:t>
      </w:r>
      <w:r w:rsidRPr="000106E9">
        <w:t>n</w:t>
      </w:r>
      <w:r>
        <w:t>o</w:t>
      </w:r>
      <w:r w:rsidRPr="000106E9">
        <w:t xml:space="preserve">s </w:t>
      </w:r>
      <w:r>
        <w:t xml:space="preserve">empréstimos </w:t>
      </w:r>
      <w:r w:rsidRPr="000106E9">
        <w:t>de curto prazo e crescimento de 5,96% nos compromissos de longo prazo</w:t>
      </w:r>
      <w:bookmarkEnd w:id="461"/>
      <w:r w:rsidRPr="000106E9">
        <w:t>.</w:t>
      </w:r>
    </w:p>
    <w:p w14:paraId="43F1FEB1" w14:textId="77777777" w:rsidR="006B7928" w:rsidRPr="001A1581" w:rsidRDefault="006B7928" w:rsidP="00BB5CDE">
      <w:pPr>
        <w:pStyle w:val="1-REL11"/>
        <w:spacing w:after="240" w:line="300" w:lineRule="auto"/>
      </w:pPr>
      <w:r>
        <w:t xml:space="preserve">É importante salientar que </w:t>
      </w:r>
      <w:bookmarkStart w:id="462" w:name="_Hlk167357311"/>
      <w:r>
        <w:t>a dívida com empréstimos e financiamentos está concentrada nas operações internas de longo prazo, abrangendo 85,52% de todos os empréstimos e financiamentos que o Estado possui, e totalizam R$ 20,92 bilhões</w:t>
      </w:r>
      <w:bookmarkEnd w:id="462"/>
      <w:r>
        <w:t xml:space="preserve">. Destaca-se ainda que a conta Empréstimos a Longo Prazo - Interno demonstrou um acréscimo de 7,67% (R$ 1,49 bilhões) em seu saldo quando comparado a 2022. Esse aumento se justifica pela atualização monetária da </w:t>
      </w:r>
      <w:r>
        <w:lastRenderedPageBreak/>
        <w:t>dívida e, principalmente, reclassificação da dívida pública do circulante para o não circulante devido a contrato de refinanciamento conforme Lei Complementar nº 159, de 19 de maio de 2017, art. 9º A.</w:t>
      </w:r>
    </w:p>
    <w:p w14:paraId="35C4ACE2" w14:textId="2DE670D4" w:rsidR="006B7928" w:rsidRPr="00A54B82" w:rsidRDefault="006B7928" w:rsidP="00BB5CDE">
      <w:pPr>
        <w:pStyle w:val="1-REL11"/>
        <w:spacing w:after="240" w:line="300" w:lineRule="auto"/>
      </w:pPr>
      <w:r w:rsidRPr="003B0487">
        <w:t xml:space="preserve">De forma detalhada, apresentando os aspectos correlacionados à Gestão Fiscal referente às obrigações contraídas pelo Estado ao longo dos exercícios, bem como pelos reflexos econômicos e legais em função do Regime de Recuperação Fiscal aderido pelo Estado, este </w:t>
      </w:r>
      <w:r w:rsidRPr="00A54B82">
        <w:t xml:space="preserve">assunto é tratado no Capítulo </w:t>
      </w:r>
      <w:r>
        <w:fldChar w:fldCharType="begin"/>
      </w:r>
      <w:r>
        <w:instrText xml:space="preserve"> REF _Ref167690559 \w \h </w:instrText>
      </w:r>
      <w:r>
        <w:fldChar w:fldCharType="separate"/>
      </w:r>
      <w:r w:rsidR="0099185A">
        <w:t>4</w:t>
      </w:r>
      <w:r>
        <w:fldChar w:fldCharType="end"/>
      </w:r>
      <w:r w:rsidRPr="00A54B82">
        <w:t xml:space="preserve"> </w:t>
      </w:r>
      <w:r>
        <w:fldChar w:fldCharType="begin"/>
      </w:r>
      <w:r>
        <w:instrText xml:space="preserve"> REF _Ref167690585 \h </w:instrText>
      </w:r>
      <w:r>
        <w:fldChar w:fldCharType="separate"/>
      </w:r>
      <w:r w:rsidR="0099185A" w:rsidRPr="00B215AC">
        <w:t>Gestão Fiscal</w:t>
      </w:r>
      <w:r>
        <w:fldChar w:fldCharType="end"/>
      </w:r>
      <w:r>
        <w:t xml:space="preserve"> </w:t>
      </w:r>
      <w:r w:rsidRPr="00A54B82">
        <w:t>deste Relatório.</w:t>
      </w:r>
    </w:p>
    <w:p w14:paraId="2B4E37E8" w14:textId="77777777" w:rsidR="002C16A6" w:rsidRPr="00A54B82" w:rsidRDefault="002C16A6" w:rsidP="00117967">
      <w:pPr>
        <w:pStyle w:val="Ttulo4"/>
      </w:pPr>
      <w:bookmarkStart w:id="463" w:name="_Hlk166573835"/>
      <w:r w:rsidRPr="00A54B82">
        <w:t>Demais Obrigações a Curto Prazo</w:t>
      </w:r>
    </w:p>
    <w:bookmarkEnd w:id="463"/>
    <w:p w14:paraId="72C3802B" w14:textId="77777777" w:rsidR="002C16A6" w:rsidRDefault="002C16A6" w:rsidP="002C16A6">
      <w:pPr>
        <w:pStyle w:val="1-REL11"/>
      </w:pPr>
      <w:r>
        <w:t xml:space="preserve">Esse subgrupo </w:t>
      </w:r>
      <w:r w:rsidRPr="002A1882">
        <w:t>abrange as obrigações junto a terceiros que não puderam ser classificadas nos demais subgrupos do Passivo Circulante</w:t>
      </w:r>
      <w:r>
        <w:t>, inclusive os precatórios decorrentes dessas obrigações, com vencimento no curto prazo.</w:t>
      </w:r>
    </w:p>
    <w:p w14:paraId="5118D700" w14:textId="6E28AA2D" w:rsidR="002C16A6" w:rsidRDefault="002C16A6" w:rsidP="002C16A6">
      <w:pPr>
        <w:pStyle w:val="1-REL11"/>
      </w:pPr>
      <w:r w:rsidRPr="002A1882">
        <w:t xml:space="preserve">No ano de 2023, </w:t>
      </w:r>
      <w:bookmarkStart w:id="464" w:name="_Hlk167357813"/>
      <w:r w:rsidRPr="002A1882">
        <w:t>a composição do saldo consolidado dessas rubricas foi a seguinte</w:t>
      </w:r>
      <w:bookmarkEnd w:id="464"/>
      <w:r w:rsidRPr="002A1882">
        <w:t>:</w:t>
      </w:r>
    </w:p>
    <w:p w14:paraId="79797CFF" w14:textId="7702E1BC" w:rsidR="00760EDC" w:rsidRPr="007073B3" w:rsidRDefault="009025D4" w:rsidP="00ED3571">
      <w:pPr>
        <w:pStyle w:val="0-TABELA"/>
      </w:pPr>
      <w:bookmarkStart w:id="465" w:name="_Toc167871826"/>
      <w:r>
        <w:t>Demais Obrigações a Curto Prazo</w:t>
      </w:r>
      <w:r w:rsidRPr="007073B3">
        <w:t xml:space="preserve"> </w:t>
      </w:r>
      <w:r w:rsidR="00D21055">
        <w:t>2023 x 2022</w:t>
      </w:r>
      <w:bookmarkEnd w:id="465"/>
    </w:p>
    <w:p w14:paraId="44BD3354" w14:textId="77777777" w:rsidR="00760EDC" w:rsidRDefault="00760EDC" w:rsidP="00760EDC">
      <w:pPr>
        <w:pStyle w:val="0-EmR1"/>
      </w:pPr>
      <w:r w:rsidRPr="008E421F">
        <w:t>R$ mil</w:t>
      </w:r>
    </w:p>
    <w:tbl>
      <w:tblPr>
        <w:tblW w:w="5003" w:type="pct"/>
        <w:tblLayout w:type="fixed"/>
        <w:tblCellMar>
          <w:left w:w="70" w:type="dxa"/>
          <w:right w:w="70" w:type="dxa"/>
        </w:tblCellMar>
        <w:tblLook w:val="04A0" w:firstRow="1" w:lastRow="0" w:firstColumn="1" w:lastColumn="0" w:noHBand="0" w:noVBand="1"/>
      </w:tblPr>
      <w:tblGrid>
        <w:gridCol w:w="3542"/>
        <w:gridCol w:w="1137"/>
        <w:gridCol w:w="707"/>
        <w:gridCol w:w="1278"/>
        <w:gridCol w:w="707"/>
        <w:gridCol w:w="1134"/>
        <w:gridCol w:w="849"/>
      </w:tblGrid>
      <w:tr w:rsidR="00760EDC" w:rsidRPr="000E3F92" w14:paraId="35A6F60B" w14:textId="77777777" w:rsidTr="0099185A">
        <w:trPr>
          <w:trHeight w:val="255"/>
          <w:tblHeader/>
        </w:trPr>
        <w:tc>
          <w:tcPr>
            <w:tcW w:w="1893" w:type="pct"/>
            <w:vMerge w:val="restart"/>
            <w:tcBorders>
              <w:top w:val="single" w:sz="4" w:space="0" w:color="auto"/>
              <w:left w:val="nil"/>
              <w:bottom w:val="single" w:sz="4" w:space="0" w:color="auto"/>
              <w:right w:val="single" w:sz="4" w:space="0" w:color="auto"/>
            </w:tcBorders>
            <w:shd w:val="clear" w:color="auto" w:fill="A1F2FD"/>
            <w:vAlign w:val="center"/>
            <w:hideMark/>
          </w:tcPr>
          <w:p w14:paraId="2966FE8D" w14:textId="77777777" w:rsidR="00760EDC" w:rsidRPr="000E3F92" w:rsidRDefault="00760EDC" w:rsidP="00D21055">
            <w:pPr>
              <w:jc w:val="center"/>
              <w:rPr>
                <w:rFonts w:cs="Arial"/>
                <w:b/>
                <w:bCs/>
                <w:color w:val="000000"/>
                <w:sz w:val="18"/>
                <w:szCs w:val="18"/>
              </w:rPr>
            </w:pPr>
            <w:r w:rsidRPr="000E3F92">
              <w:rPr>
                <w:rFonts w:cs="Arial"/>
                <w:b/>
                <w:bCs/>
                <w:color w:val="000000"/>
                <w:sz w:val="18"/>
                <w:szCs w:val="18"/>
              </w:rPr>
              <w:t>Composição</w:t>
            </w:r>
          </w:p>
        </w:tc>
        <w:tc>
          <w:tcPr>
            <w:tcW w:w="608"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6F402350" w14:textId="77777777" w:rsidR="00760EDC" w:rsidRPr="000E3F92" w:rsidRDefault="00760EDC" w:rsidP="00D21055">
            <w:pPr>
              <w:jc w:val="center"/>
              <w:rPr>
                <w:rFonts w:cs="Arial"/>
                <w:b/>
                <w:bCs/>
                <w:color w:val="000000"/>
                <w:sz w:val="18"/>
                <w:szCs w:val="18"/>
              </w:rPr>
            </w:pPr>
            <w:r w:rsidRPr="000E3F92">
              <w:rPr>
                <w:rFonts w:cs="Arial"/>
                <w:b/>
                <w:bCs/>
                <w:color w:val="000000"/>
                <w:sz w:val="18"/>
                <w:szCs w:val="18"/>
              </w:rPr>
              <w:t>2023</w:t>
            </w:r>
          </w:p>
        </w:tc>
        <w:tc>
          <w:tcPr>
            <w:tcW w:w="378" w:type="pct"/>
            <w:vMerge w:val="restart"/>
            <w:tcBorders>
              <w:top w:val="single" w:sz="4" w:space="0" w:color="auto"/>
              <w:left w:val="nil"/>
              <w:right w:val="single" w:sz="4" w:space="0" w:color="auto"/>
            </w:tcBorders>
            <w:shd w:val="clear" w:color="auto" w:fill="A1F2FD"/>
            <w:vAlign w:val="center"/>
            <w:hideMark/>
          </w:tcPr>
          <w:p w14:paraId="0A97A7D5" w14:textId="77777777" w:rsidR="00760EDC" w:rsidRPr="000E3F92" w:rsidRDefault="00760EDC" w:rsidP="00D21055">
            <w:pPr>
              <w:jc w:val="center"/>
              <w:rPr>
                <w:rFonts w:cs="Arial"/>
                <w:b/>
                <w:bCs/>
                <w:color w:val="000000"/>
                <w:sz w:val="18"/>
                <w:szCs w:val="18"/>
              </w:rPr>
            </w:pPr>
            <w:r w:rsidRPr="000E3F92">
              <w:rPr>
                <w:rFonts w:cs="Arial"/>
                <w:b/>
                <w:bCs/>
                <w:color w:val="000000"/>
                <w:sz w:val="18"/>
                <w:szCs w:val="18"/>
              </w:rPr>
              <w:t xml:space="preserve">AV 2023 </w:t>
            </w:r>
          </w:p>
          <w:p w14:paraId="770E3BEA" w14:textId="77777777" w:rsidR="00760EDC" w:rsidRPr="000E3F92" w:rsidRDefault="00760EDC" w:rsidP="00D21055">
            <w:pPr>
              <w:jc w:val="center"/>
              <w:rPr>
                <w:rFonts w:cs="Arial"/>
                <w:b/>
                <w:bCs/>
                <w:color w:val="000000"/>
                <w:sz w:val="18"/>
                <w:szCs w:val="18"/>
              </w:rPr>
            </w:pPr>
            <w:r w:rsidRPr="000E3F92">
              <w:rPr>
                <w:rFonts w:cs="Arial"/>
                <w:b/>
                <w:bCs/>
                <w:color w:val="000000"/>
                <w:sz w:val="18"/>
                <w:szCs w:val="18"/>
              </w:rPr>
              <w:t>%</w:t>
            </w:r>
          </w:p>
        </w:tc>
        <w:tc>
          <w:tcPr>
            <w:tcW w:w="683"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781D8048" w14:textId="77777777" w:rsidR="00760EDC" w:rsidRPr="000E3F92" w:rsidRDefault="00760EDC" w:rsidP="00D21055">
            <w:pPr>
              <w:jc w:val="center"/>
              <w:rPr>
                <w:rFonts w:cs="Arial"/>
                <w:b/>
                <w:bCs/>
                <w:color w:val="000000"/>
                <w:sz w:val="18"/>
                <w:szCs w:val="18"/>
              </w:rPr>
            </w:pPr>
            <w:r w:rsidRPr="000E3F92">
              <w:rPr>
                <w:rFonts w:cs="Arial"/>
                <w:b/>
                <w:bCs/>
                <w:color w:val="000000"/>
                <w:sz w:val="18"/>
                <w:szCs w:val="18"/>
              </w:rPr>
              <w:t>2022</w:t>
            </w:r>
          </w:p>
        </w:tc>
        <w:tc>
          <w:tcPr>
            <w:tcW w:w="378" w:type="pct"/>
            <w:vMerge w:val="restart"/>
            <w:tcBorders>
              <w:top w:val="single" w:sz="4" w:space="0" w:color="auto"/>
              <w:left w:val="nil"/>
              <w:right w:val="single" w:sz="4" w:space="0" w:color="auto"/>
            </w:tcBorders>
            <w:shd w:val="clear" w:color="auto" w:fill="A1F2FD"/>
            <w:vAlign w:val="center"/>
            <w:hideMark/>
          </w:tcPr>
          <w:p w14:paraId="1ECF4929" w14:textId="77777777" w:rsidR="00760EDC" w:rsidRPr="000E3F92" w:rsidRDefault="00760EDC" w:rsidP="00D21055">
            <w:pPr>
              <w:jc w:val="center"/>
              <w:rPr>
                <w:rFonts w:cs="Arial"/>
                <w:b/>
                <w:bCs/>
                <w:color w:val="000000"/>
                <w:sz w:val="18"/>
                <w:szCs w:val="18"/>
              </w:rPr>
            </w:pPr>
            <w:r w:rsidRPr="000E3F92">
              <w:rPr>
                <w:rFonts w:cs="Arial"/>
                <w:b/>
                <w:bCs/>
                <w:color w:val="000000"/>
                <w:sz w:val="18"/>
                <w:szCs w:val="18"/>
              </w:rPr>
              <w:t xml:space="preserve">AV 2022 </w:t>
            </w:r>
          </w:p>
          <w:p w14:paraId="11367F3E" w14:textId="77777777" w:rsidR="00760EDC" w:rsidRPr="000E3F92" w:rsidRDefault="00760EDC" w:rsidP="00D21055">
            <w:pPr>
              <w:jc w:val="center"/>
              <w:rPr>
                <w:rFonts w:cs="Arial"/>
                <w:b/>
                <w:bCs/>
                <w:color w:val="000000"/>
                <w:sz w:val="18"/>
                <w:szCs w:val="18"/>
              </w:rPr>
            </w:pPr>
            <w:r w:rsidRPr="000E3F92">
              <w:rPr>
                <w:rFonts w:cs="Arial"/>
                <w:b/>
                <w:bCs/>
                <w:color w:val="000000"/>
                <w:sz w:val="18"/>
                <w:szCs w:val="18"/>
              </w:rPr>
              <w:t>%</w:t>
            </w:r>
          </w:p>
        </w:tc>
        <w:tc>
          <w:tcPr>
            <w:tcW w:w="1060" w:type="pct"/>
            <w:gridSpan w:val="2"/>
            <w:tcBorders>
              <w:top w:val="single" w:sz="4" w:space="0" w:color="auto"/>
              <w:left w:val="nil"/>
              <w:bottom w:val="single" w:sz="4" w:space="0" w:color="auto"/>
              <w:right w:val="single" w:sz="4" w:space="0" w:color="auto"/>
            </w:tcBorders>
            <w:shd w:val="clear" w:color="auto" w:fill="A1F2FD"/>
            <w:vAlign w:val="center"/>
            <w:hideMark/>
          </w:tcPr>
          <w:p w14:paraId="72BC1CBA" w14:textId="77777777" w:rsidR="00760EDC" w:rsidRPr="000E3F92" w:rsidRDefault="00760EDC" w:rsidP="00D21055">
            <w:pPr>
              <w:jc w:val="center"/>
              <w:rPr>
                <w:rFonts w:cs="Arial"/>
                <w:b/>
                <w:bCs/>
                <w:color w:val="000000"/>
                <w:sz w:val="18"/>
                <w:szCs w:val="18"/>
              </w:rPr>
            </w:pPr>
            <w:r w:rsidRPr="000E3F92">
              <w:rPr>
                <w:rFonts w:cs="Arial"/>
                <w:b/>
                <w:bCs/>
                <w:color w:val="000000"/>
                <w:sz w:val="18"/>
                <w:szCs w:val="18"/>
              </w:rPr>
              <w:t>∆ 2023 x 2022</w:t>
            </w:r>
          </w:p>
        </w:tc>
      </w:tr>
      <w:tr w:rsidR="00760EDC" w:rsidRPr="000E3F92" w14:paraId="61B19780" w14:textId="77777777" w:rsidTr="0099185A">
        <w:trPr>
          <w:trHeight w:val="255"/>
          <w:tblHeader/>
        </w:trPr>
        <w:tc>
          <w:tcPr>
            <w:tcW w:w="1893" w:type="pct"/>
            <w:vMerge/>
            <w:tcBorders>
              <w:top w:val="single" w:sz="4" w:space="0" w:color="auto"/>
              <w:left w:val="nil"/>
              <w:bottom w:val="single" w:sz="4" w:space="0" w:color="auto"/>
              <w:right w:val="single" w:sz="4" w:space="0" w:color="auto"/>
            </w:tcBorders>
            <w:shd w:val="clear" w:color="auto" w:fill="A1F2FD"/>
            <w:vAlign w:val="center"/>
          </w:tcPr>
          <w:p w14:paraId="6139E22E" w14:textId="77777777" w:rsidR="00760EDC" w:rsidRPr="000E3F92" w:rsidRDefault="00760EDC" w:rsidP="00D21055">
            <w:pPr>
              <w:jc w:val="left"/>
              <w:rPr>
                <w:rFonts w:cs="Arial"/>
                <w:b/>
                <w:bCs/>
                <w:color w:val="000000"/>
                <w:sz w:val="18"/>
                <w:szCs w:val="18"/>
              </w:rPr>
            </w:pPr>
          </w:p>
        </w:tc>
        <w:tc>
          <w:tcPr>
            <w:tcW w:w="608" w:type="pct"/>
            <w:vMerge/>
            <w:tcBorders>
              <w:top w:val="single" w:sz="4" w:space="0" w:color="auto"/>
              <w:left w:val="single" w:sz="4" w:space="0" w:color="auto"/>
              <w:right w:val="single" w:sz="4" w:space="0" w:color="auto"/>
            </w:tcBorders>
            <w:shd w:val="clear" w:color="auto" w:fill="A1F2FD"/>
            <w:vAlign w:val="center"/>
          </w:tcPr>
          <w:p w14:paraId="04A6E4EB" w14:textId="77777777" w:rsidR="00760EDC" w:rsidRPr="000E3F92" w:rsidRDefault="00760EDC" w:rsidP="00D21055">
            <w:pPr>
              <w:jc w:val="left"/>
              <w:rPr>
                <w:rFonts w:cs="Arial"/>
                <w:b/>
                <w:bCs/>
                <w:color w:val="000000"/>
                <w:sz w:val="18"/>
                <w:szCs w:val="18"/>
              </w:rPr>
            </w:pPr>
          </w:p>
        </w:tc>
        <w:tc>
          <w:tcPr>
            <w:tcW w:w="378" w:type="pct"/>
            <w:vMerge/>
            <w:tcBorders>
              <w:left w:val="nil"/>
              <w:right w:val="single" w:sz="4" w:space="0" w:color="auto"/>
            </w:tcBorders>
            <w:shd w:val="clear" w:color="auto" w:fill="A1F2FD"/>
            <w:vAlign w:val="center"/>
          </w:tcPr>
          <w:p w14:paraId="11A8B58F" w14:textId="77777777" w:rsidR="00760EDC" w:rsidRPr="000E3F92" w:rsidRDefault="00760EDC" w:rsidP="00D21055">
            <w:pPr>
              <w:jc w:val="center"/>
              <w:rPr>
                <w:rFonts w:cs="Arial"/>
                <w:b/>
                <w:bCs/>
                <w:color w:val="000000"/>
                <w:sz w:val="18"/>
                <w:szCs w:val="18"/>
              </w:rPr>
            </w:pPr>
          </w:p>
        </w:tc>
        <w:tc>
          <w:tcPr>
            <w:tcW w:w="683" w:type="pct"/>
            <w:vMerge/>
            <w:tcBorders>
              <w:top w:val="single" w:sz="4" w:space="0" w:color="auto"/>
              <w:left w:val="single" w:sz="4" w:space="0" w:color="auto"/>
              <w:right w:val="single" w:sz="4" w:space="0" w:color="auto"/>
            </w:tcBorders>
            <w:shd w:val="clear" w:color="auto" w:fill="A1F2FD"/>
            <w:vAlign w:val="center"/>
          </w:tcPr>
          <w:p w14:paraId="1049EC8B" w14:textId="77777777" w:rsidR="00760EDC" w:rsidRPr="000E3F92" w:rsidRDefault="00760EDC" w:rsidP="00D21055">
            <w:pPr>
              <w:jc w:val="left"/>
              <w:rPr>
                <w:rFonts w:cs="Arial"/>
                <w:b/>
                <w:bCs/>
                <w:color w:val="000000"/>
                <w:sz w:val="18"/>
                <w:szCs w:val="18"/>
              </w:rPr>
            </w:pPr>
          </w:p>
        </w:tc>
        <w:tc>
          <w:tcPr>
            <w:tcW w:w="378" w:type="pct"/>
            <w:vMerge/>
            <w:tcBorders>
              <w:left w:val="nil"/>
              <w:right w:val="single" w:sz="4" w:space="0" w:color="auto"/>
            </w:tcBorders>
            <w:shd w:val="clear" w:color="auto" w:fill="A1F2FD"/>
            <w:vAlign w:val="center"/>
          </w:tcPr>
          <w:p w14:paraId="7F044FCF" w14:textId="77777777" w:rsidR="00760EDC" w:rsidRPr="000E3F92" w:rsidRDefault="00760EDC" w:rsidP="00D21055">
            <w:pPr>
              <w:jc w:val="center"/>
              <w:rPr>
                <w:rFonts w:cs="Arial"/>
                <w:b/>
                <w:bCs/>
                <w:color w:val="000000"/>
                <w:sz w:val="18"/>
                <w:szCs w:val="18"/>
              </w:rPr>
            </w:pPr>
          </w:p>
        </w:tc>
        <w:tc>
          <w:tcPr>
            <w:tcW w:w="606" w:type="pct"/>
            <w:tcBorders>
              <w:top w:val="nil"/>
              <w:left w:val="nil"/>
              <w:right w:val="single" w:sz="4" w:space="0" w:color="auto"/>
            </w:tcBorders>
            <w:shd w:val="clear" w:color="auto" w:fill="A1F2FD"/>
            <w:vAlign w:val="center"/>
          </w:tcPr>
          <w:p w14:paraId="6376A4B2" w14:textId="77777777" w:rsidR="00760EDC" w:rsidRPr="000E3F92" w:rsidRDefault="00760EDC" w:rsidP="00D21055">
            <w:pPr>
              <w:jc w:val="center"/>
              <w:rPr>
                <w:rFonts w:cs="Arial"/>
                <w:b/>
                <w:bCs/>
                <w:color w:val="000000"/>
                <w:sz w:val="18"/>
                <w:szCs w:val="18"/>
              </w:rPr>
            </w:pPr>
            <w:r w:rsidRPr="000E3F92">
              <w:rPr>
                <w:rFonts w:cs="Arial"/>
                <w:b/>
                <w:bCs/>
                <w:color w:val="000000"/>
                <w:sz w:val="18"/>
                <w:szCs w:val="18"/>
              </w:rPr>
              <w:t>R$</w:t>
            </w:r>
          </w:p>
        </w:tc>
        <w:tc>
          <w:tcPr>
            <w:tcW w:w="454" w:type="pct"/>
            <w:tcBorders>
              <w:top w:val="nil"/>
              <w:left w:val="nil"/>
              <w:right w:val="nil"/>
            </w:tcBorders>
            <w:shd w:val="clear" w:color="auto" w:fill="A1F2FD"/>
            <w:vAlign w:val="center"/>
          </w:tcPr>
          <w:p w14:paraId="59991B1A" w14:textId="77777777" w:rsidR="00760EDC" w:rsidRPr="000E3F92" w:rsidRDefault="00760EDC" w:rsidP="00D21055">
            <w:pPr>
              <w:jc w:val="center"/>
              <w:rPr>
                <w:rFonts w:cs="Arial"/>
                <w:b/>
                <w:bCs/>
                <w:color w:val="000000"/>
                <w:sz w:val="18"/>
                <w:szCs w:val="18"/>
              </w:rPr>
            </w:pPr>
            <w:r w:rsidRPr="000E3F92">
              <w:rPr>
                <w:rFonts w:cs="Arial"/>
                <w:b/>
                <w:bCs/>
                <w:color w:val="000000"/>
                <w:sz w:val="18"/>
                <w:szCs w:val="18"/>
              </w:rPr>
              <w:t>%</w:t>
            </w:r>
          </w:p>
        </w:tc>
      </w:tr>
      <w:tr w:rsidR="00760EDC" w:rsidRPr="000E3F92" w14:paraId="31C64178" w14:textId="77777777" w:rsidTr="0099185A">
        <w:trPr>
          <w:trHeight w:val="255"/>
          <w:tblHeader/>
        </w:trPr>
        <w:tc>
          <w:tcPr>
            <w:tcW w:w="1893" w:type="pct"/>
            <w:vMerge/>
            <w:tcBorders>
              <w:top w:val="single" w:sz="4" w:space="0" w:color="auto"/>
              <w:left w:val="nil"/>
              <w:bottom w:val="single" w:sz="4" w:space="0" w:color="auto"/>
              <w:right w:val="single" w:sz="4" w:space="0" w:color="auto"/>
            </w:tcBorders>
            <w:shd w:val="clear" w:color="auto" w:fill="A1F2FD"/>
            <w:vAlign w:val="center"/>
            <w:hideMark/>
          </w:tcPr>
          <w:p w14:paraId="750DE848" w14:textId="77777777" w:rsidR="00760EDC" w:rsidRPr="000E3F92" w:rsidRDefault="00760EDC" w:rsidP="00D21055">
            <w:pPr>
              <w:jc w:val="left"/>
              <w:rPr>
                <w:rFonts w:cs="Arial"/>
                <w:b/>
                <w:bCs/>
                <w:color w:val="000000"/>
                <w:sz w:val="18"/>
                <w:szCs w:val="18"/>
              </w:rPr>
            </w:pPr>
          </w:p>
        </w:tc>
        <w:tc>
          <w:tcPr>
            <w:tcW w:w="608" w:type="pct"/>
            <w:tcBorders>
              <w:left w:val="single" w:sz="4" w:space="0" w:color="auto"/>
              <w:bottom w:val="single" w:sz="4" w:space="0" w:color="auto"/>
              <w:right w:val="single" w:sz="4" w:space="0" w:color="auto"/>
            </w:tcBorders>
            <w:shd w:val="clear" w:color="auto" w:fill="A1F2FD"/>
            <w:vAlign w:val="center"/>
            <w:hideMark/>
          </w:tcPr>
          <w:p w14:paraId="319509BE" w14:textId="77777777" w:rsidR="00760EDC" w:rsidRPr="000E3F92" w:rsidRDefault="00760EDC" w:rsidP="00D21055">
            <w:pPr>
              <w:jc w:val="center"/>
              <w:rPr>
                <w:rFonts w:cs="Arial"/>
                <w:b/>
                <w:bCs/>
                <w:color w:val="000000"/>
                <w:sz w:val="18"/>
                <w:szCs w:val="18"/>
              </w:rPr>
            </w:pPr>
            <w:r w:rsidRPr="000E3F92">
              <w:rPr>
                <w:rFonts w:cs="Arial"/>
                <w:b/>
                <w:bCs/>
                <w:color w:val="000000"/>
                <w:sz w:val="18"/>
                <w:szCs w:val="18"/>
              </w:rPr>
              <w:t>(a)</w:t>
            </w:r>
          </w:p>
        </w:tc>
        <w:tc>
          <w:tcPr>
            <w:tcW w:w="378" w:type="pct"/>
            <w:tcBorders>
              <w:left w:val="nil"/>
              <w:bottom w:val="single" w:sz="4" w:space="0" w:color="auto"/>
              <w:right w:val="single" w:sz="4" w:space="0" w:color="auto"/>
            </w:tcBorders>
            <w:shd w:val="clear" w:color="auto" w:fill="A1F2FD"/>
            <w:vAlign w:val="center"/>
            <w:hideMark/>
          </w:tcPr>
          <w:p w14:paraId="3DA393F7" w14:textId="77777777" w:rsidR="00760EDC" w:rsidRPr="000E3F92" w:rsidRDefault="00760EDC" w:rsidP="00D21055">
            <w:pPr>
              <w:jc w:val="center"/>
              <w:rPr>
                <w:rFonts w:cs="Arial"/>
                <w:b/>
                <w:bCs/>
                <w:color w:val="000000"/>
                <w:sz w:val="18"/>
                <w:szCs w:val="18"/>
              </w:rPr>
            </w:pPr>
            <w:r w:rsidRPr="000E3F92">
              <w:rPr>
                <w:rFonts w:cs="Arial"/>
                <w:b/>
                <w:bCs/>
                <w:color w:val="000000"/>
                <w:sz w:val="18"/>
                <w:szCs w:val="18"/>
              </w:rPr>
              <w:t>(b)</w:t>
            </w:r>
          </w:p>
        </w:tc>
        <w:tc>
          <w:tcPr>
            <w:tcW w:w="683" w:type="pct"/>
            <w:tcBorders>
              <w:left w:val="single" w:sz="4" w:space="0" w:color="auto"/>
              <w:bottom w:val="single" w:sz="4" w:space="0" w:color="auto"/>
              <w:right w:val="single" w:sz="4" w:space="0" w:color="auto"/>
            </w:tcBorders>
            <w:shd w:val="clear" w:color="auto" w:fill="A1F2FD"/>
            <w:vAlign w:val="center"/>
            <w:hideMark/>
          </w:tcPr>
          <w:p w14:paraId="477051AF" w14:textId="77777777" w:rsidR="00760EDC" w:rsidRPr="000E3F92" w:rsidRDefault="00760EDC" w:rsidP="00D21055">
            <w:pPr>
              <w:jc w:val="center"/>
              <w:rPr>
                <w:rFonts w:cs="Arial"/>
                <w:b/>
                <w:bCs/>
                <w:color w:val="000000"/>
                <w:sz w:val="18"/>
                <w:szCs w:val="18"/>
              </w:rPr>
            </w:pPr>
            <w:r w:rsidRPr="000E3F92">
              <w:rPr>
                <w:rFonts w:cs="Arial"/>
                <w:b/>
                <w:bCs/>
                <w:color w:val="000000"/>
                <w:sz w:val="18"/>
                <w:szCs w:val="18"/>
              </w:rPr>
              <w:t>(c)</w:t>
            </w:r>
          </w:p>
        </w:tc>
        <w:tc>
          <w:tcPr>
            <w:tcW w:w="378" w:type="pct"/>
            <w:tcBorders>
              <w:left w:val="nil"/>
              <w:bottom w:val="single" w:sz="4" w:space="0" w:color="auto"/>
              <w:right w:val="single" w:sz="4" w:space="0" w:color="auto"/>
            </w:tcBorders>
            <w:shd w:val="clear" w:color="auto" w:fill="A1F2FD"/>
            <w:vAlign w:val="center"/>
            <w:hideMark/>
          </w:tcPr>
          <w:p w14:paraId="3AFA7014" w14:textId="77777777" w:rsidR="00760EDC" w:rsidRPr="000E3F92" w:rsidRDefault="00760EDC" w:rsidP="00D21055">
            <w:pPr>
              <w:jc w:val="center"/>
              <w:rPr>
                <w:rFonts w:cs="Arial"/>
                <w:b/>
                <w:bCs/>
                <w:color w:val="000000"/>
                <w:sz w:val="18"/>
                <w:szCs w:val="18"/>
              </w:rPr>
            </w:pPr>
            <w:r w:rsidRPr="000E3F92">
              <w:rPr>
                <w:rFonts w:cs="Arial"/>
                <w:b/>
                <w:bCs/>
                <w:color w:val="000000"/>
                <w:sz w:val="18"/>
                <w:szCs w:val="18"/>
              </w:rPr>
              <w:t>(d)</w:t>
            </w:r>
          </w:p>
        </w:tc>
        <w:tc>
          <w:tcPr>
            <w:tcW w:w="606" w:type="pct"/>
            <w:tcBorders>
              <w:left w:val="nil"/>
              <w:bottom w:val="single" w:sz="4" w:space="0" w:color="auto"/>
              <w:right w:val="single" w:sz="4" w:space="0" w:color="auto"/>
            </w:tcBorders>
            <w:shd w:val="clear" w:color="auto" w:fill="A1F2FD"/>
            <w:vAlign w:val="center"/>
            <w:hideMark/>
          </w:tcPr>
          <w:p w14:paraId="34AA9060" w14:textId="77777777" w:rsidR="00760EDC" w:rsidRPr="000E3F92" w:rsidRDefault="00760EDC" w:rsidP="00D21055">
            <w:pPr>
              <w:ind w:left="-107" w:right="-117"/>
              <w:jc w:val="center"/>
              <w:rPr>
                <w:rFonts w:cs="Arial"/>
                <w:b/>
                <w:bCs/>
                <w:color w:val="000000"/>
                <w:sz w:val="18"/>
                <w:szCs w:val="18"/>
              </w:rPr>
            </w:pPr>
            <w:r w:rsidRPr="000E3F92">
              <w:rPr>
                <w:rFonts w:cs="Arial"/>
                <w:b/>
                <w:bCs/>
                <w:color w:val="000000"/>
                <w:sz w:val="18"/>
                <w:szCs w:val="18"/>
              </w:rPr>
              <w:t>(e) = (a-b)</w:t>
            </w:r>
          </w:p>
        </w:tc>
        <w:tc>
          <w:tcPr>
            <w:tcW w:w="454" w:type="pct"/>
            <w:tcBorders>
              <w:left w:val="nil"/>
              <w:bottom w:val="single" w:sz="4" w:space="0" w:color="auto"/>
              <w:right w:val="nil"/>
            </w:tcBorders>
            <w:shd w:val="clear" w:color="auto" w:fill="A1F2FD"/>
            <w:vAlign w:val="center"/>
            <w:hideMark/>
          </w:tcPr>
          <w:p w14:paraId="0E7175F0" w14:textId="77777777" w:rsidR="00760EDC" w:rsidRPr="000E3F92" w:rsidRDefault="00760EDC" w:rsidP="00D21055">
            <w:pPr>
              <w:ind w:left="-75" w:right="-76"/>
              <w:jc w:val="center"/>
              <w:rPr>
                <w:rFonts w:cs="Arial"/>
                <w:b/>
                <w:bCs/>
                <w:color w:val="000000"/>
                <w:sz w:val="18"/>
                <w:szCs w:val="18"/>
              </w:rPr>
            </w:pPr>
            <w:r w:rsidRPr="000E3F92">
              <w:rPr>
                <w:rFonts w:cs="Arial"/>
                <w:b/>
                <w:bCs/>
                <w:color w:val="000000"/>
                <w:sz w:val="18"/>
                <w:szCs w:val="18"/>
              </w:rPr>
              <w:t>(f) = (e/c)</w:t>
            </w:r>
          </w:p>
        </w:tc>
      </w:tr>
      <w:tr w:rsidR="00A033FD" w:rsidRPr="002A1882" w14:paraId="412B3811" w14:textId="77777777" w:rsidTr="0099185A">
        <w:trPr>
          <w:trHeight w:val="300"/>
        </w:trPr>
        <w:tc>
          <w:tcPr>
            <w:tcW w:w="1893" w:type="pct"/>
            <w:tcBorders>
              <w:top w:val="single" w:sz="4" w:space="0" w:color="auto"/>
              <w:left w:val="nil"/>
              <w:bottom w:val="nil"/>
              <w:right w:val="single" w:sz="4" w:space="0" w:color="auto"/>
            </w:tcBorders>
            <w:shd w:val="clear" w:color="auto" w:fill="auto"/>
            <w:noWrap/>
            <w:vAlign w:val="center"/>
            <w:hideMark/>
          </w:tcPr>
          <w:p w14:paraId="33682EEB" w14:textId="77777777" w:rsidR="002C16A6" w:rsidRPr="002A1882" w:rsidRDefault="002C16A6" w:rsidP="00D21055">
            <w:pPr>
              <w:jc w:val="left"/>
              <w:rPr>
                <w:rFonts w:cs="Arial"/>
                <w:color w:val="000000"/>
                <w:sz w:val="18"/>
                <w:szCs w:val="18"/>
              </w:rPr>
            </w:pPr>
            <w:r w:rsidRPr="002A1882">
              <w:rPr>
                <w:rFonts w:cs="Arial"/>
                <w:color w:val="000000"/>
                <w:sz w:val="18"/>
                <w:szCs w:val="18"/>
              </w:rPr>
              <w:t>Adiantamento de Clientes</w:t>
            </w:r>
          </w:p>
        </w:tc>
        <w:tc>
          <w:tcPr>
            <w:tcW w:w="608" w:type="pct"/>
            <w:tcBorders>
              <w:top w:val="single" w:sz="4" w:space="0" w:color="auto"/>
              <w:left w:val="nil"/>
              <w:bottom w:val="nil"/>
              <w:right w:val="single" w:sz="4" w:space="0" w:color="auto"/>
            </w:tcBorders>
            <w:shd w:val="clear" w:color="auto" w:fill="auto"/>
            <w:noWrap/>
            <w:vAlign w:val="center"/>
            <w:hideMark/>
          </w:tcPr>
          <w:p w14:paraId="3EDCB587" w14:textId="77777777" w:rsidR="002C16A6" w:rsidRPr="002A1882" w:rsidRDefault="002C16A6" w:rsidP="00D21055">
            <w:pPr>
              <w:jc w:val="right"/>
              <w:rPr>
                <w:rFonts w:cs="Arial"/>
                <w:color w:val="000000"/>
                <w:sz w:val="18"/>
                <w:szCs w:val="18"/>
              </w:rPr>
            </w:pPr>
            <w:r w:rsidRPr="002A1882">
              <w:rPr>
                <w:rFonts w:cs="Arial"/>
                <w:color w:val="000000"/>
                <w:sz w:val="18"/>
                <w:szCs w:val="18"/>
              </w:rPr>
              <w:t>6.021</w:t>
            </w:r>
          </w:p>
        </w:tc>
        <w:tc>
          <w:tcPr>
            <w:tcW w:w="378" w:type="pct"/>
            <w:tcBorders>
              <w:top w:val="single" w:sz="4" w:space="0" w:color="auto"/>
              <w:left w:val="nil"/>
              <w:bottom w:val="nil"/>
              <w:right w:val="single" w:sz="4" w:space="0" w:color="auto"/>
            </w:tcBorders>
            <w:shd w:val="clear" w:color="auto" w:fill="auto"/>
            <w:noWrap/>
            <w:vAlign w:val="center"/>
            <w:hideMark/>
          </w:tcPr>
          <w:p w14:paraId="342CD2D0" w14:textId="77777777" w:rsidR="002C16A6" w:rsidRPr="002A1882" w:rsidRDefault="002C16A6" w:rsidP="00D21055">
            <w:pPr>
              <w:jc w:val="center"/>
              <w:rPr>
                <w:rFonts w:cs="Arial"/>
                <w:color w:val="000000"/>
                <w:sz w:val="18"/>
                <w:szCs w:val="18"/>
              </w:rPr>
            </w:pPr>
            <w:r w:rsidRPr="002A1882">
              <w:rPr>
                <w:rFonts w:cs="Arial"/>
                <w:color w:val="000000"/>
                <w:sz w:val="18"/>
                <w:szCs w:val="18"/>
              </w:rPr>
              <w:t>0,04</w:t>
            </w:r>
          </w:p>
        </w:tc>
        <w:tc>
          <w:tcPr>
            <w:tcW w:w="683" w:type="pct"/>
            <w:tcBorders>
              <w:top w:val="single" w:sz="4" w:space="0" w:color="auto"/>
              <w:left w:val="nil"/>
              <w:bottom w:val="nil"/>
              <w:right w:val="single" w:sz="4" w:space="0" w:color="auto"/>
            </w:tcBorders>
            <w:shd w:val="clear" w:color="auto" w:fill="auto"/>
            <w:noWrap/>
            <w:vAlign w:val="center"/>
            <w:hideMark/>
          </w:tcPr>
          <w:p w14:paraId="36A03614" w14:textId="77777777" w:rsidR="002C16A6" w:rsidRPr="002A1882" w:rsidRDefault="002C16A6" w:rsidP="00D21055">
            <w:pPr>
              <w:jc w:val="right"/>
              <w:rPr>
                <w:rFonts w:cs="Arial"/>
                <w:color w:val="000000"/>
                <w:sz w:val="18"/>
                <w:szCs w:val="18"/>
              </w:rPr>
            </w:pPr>
            <w:r w:rsidRPr="002A1882">
              <w:rPr>
                <w:rFonts w:cs="Arial"/>
                <w:color w:val="000000"/>
                <w:sz w:val="18"/>
                <w:szCs w:val="18"/>
              </w:rPr>
              <w:t>6.021</w:t>
            </w:r>
          </w:p>
        </w:tc>
        <w:tc>
          <w:tcPr>
            <w:tcW w:w="378" w:type="pct"/>
            <w:tcBorders>
              <w:top w:val="single" w:sz="4" w:space="0" w:color="auto"/>
              <w:left w:val="nil"/>
              <w:bottom w:val="nil"/>
              <w:right w:val="single" w:sz="4" w:space="0" w:color="auto"/>
            </w:tcBorders>
            <w:shd w:val="clear" w:color="auto" w:fill="auto"/>
            <w:noWrap/>
            <w:vAlign w:val="center"/>
            <w:hideMark/>
          </w:tcPr>
          <w:p w14:paraId="3B475FCD" w14:textId="77777777" w:rsidR="002C16A6" w:rsidRPr="002A1882" w:rsidRDefault="002C16A6" w:rsidP="00D21055">
            <w:pPr>
              <w:jc w:val="center"/>
              <w:rPr>
                <w:rFonts w:cs="Arial"/>
                <w:color w:val="000000"/>
                <w:sz w:val="18"/>
                <w:szCs w:val="18"/>
              </w:rPr>
            </w:pPr>
            <w:r w:rsidRPr="002A1882">
              <w:rPr>
                <w:rFonts w:cs="Arial"/>
                <w:color w:val="000000"/>
                <w:sz w:val="18"/>
                <w:szCs w:val="18"/>
              </w:rPr>
              <w:t>0,54</w:t>
            </w:r>
          </w:p>
        </w:tc>
        <w:tc>
          <w:tcPr>
            <w:tcW w:w="606" w:type="pct"/>
            <w:tcBorders>
              <w:top w:val="single" w:sz="4" w:space="0" w:color="auto"/>
              <w:left w:val="nil"/>
              <w:bottom w:val="nil"/>
              <w:right w:val="single" w:sz="4" w:space="0" w:color="auto"/>
            </w:tcBorders>
            <w:shd w:val="clear" w:color="auto" w:fill="auto"/>
            <w:noWrap/>
            <w:vAlign w:val="center"/>
            <w:hideMark/>
          </w:tcPr>
          <w:p w14:paraId="3C3320B4" w14:textId="77777777" w:rsidR="002C16A6" w:rsidRPr="002A1882" w:rsidRDefault="002C16A6" w:rsidP="00D21055">
            <w:pPr>
              <w:jc w:val="right"/>
              <w:rPr>
                <w:rFonts w:cs="Arial"/>
                <w:b/>
                <w:bCs/>
                <w:color w:val="000000"/>
                <w:sz w:val="18"/>
                <w:szCs w:val="18"/>
              </w:rPr>
            </w:pPr>
            <w:r>
              <w:rPr>
                <w:rFonts w:cs="Arial"/>
                <w:b/>
                <w:bCs/>
                <w:color w:val="000000"/>
                <w:sz w:val="18"/>
                <w:szCs w:val="18"/>
              </w:rPr>
              <w:t>-</w:t>
            </w:r>
          </w:p>
        </w:tc>
        <w:tc>
          <w:tcPr>
            <w:tcW w:w="454" w:type="pct"/>
            <w:tcBorders>
              <w:top w:val="nil"/>
              <w:left w:val="nil"/>
              <w:bottom w:val="nil"/>
              <w:right w:val="nil"/>
            </w:tcBorders>
            <w:shd w:val="clear" w:color="auto" w:fill="auto"/>
            <w:noWrap/>
            <w:vAlign w:val="center"/>
            <w:hideMark/>
          </w:tcPr>
          <w:p w14:paraId="107A5C14" w14:textId="77777777" w:rsidR="002C16A6" w:rsidRPr="002A1882" w:rsidRDefault="002C16A6" w:rsidP="00D21055">
            <w:pPr>
              <w:jc w:val="center"/>
              <w:rPr>
                <w:rFonts w:cs="Arial"/>
                <w:color w:val="000000"/>
                <w:sz w:val="18"/>
                <w:szCs w:val="18"/>
              </w:rPr>
            </w:pPr>
            <w:r>
              <w:rPr>
                <w:rFonts w:cs="Arial"/>
                <w:color w:val="000000"/>
                <w:sz w:val="18"/>
                <w:szCs w:val="18"/>
              </w:rPr>
              <w:t>-</w:t>
            </w:r>
          </w:p>
        </w:tc>
      </w:tr>
      <w:tr w:rsidR="00A033FD" w:rsidRPr="002A1882" w14:paraId="28CED1BC" w14:textId="77777777" w:rsidTr="0099185A">
        <w:trPr>
          <w:trHeight w:val="300"/>
        </w:trPr>
        <w:tc>
          <w:tcPr>
            <w:tcW w:w="1893" w:type="pct"/>
            <w:tcBorders>
              <w:top w:val="nil"/>
              <w:left w:val="nil"/>
              <w:bottom w:val="nil"/>
              <w:right w:val="single" w:sz="4" w:space="0" w:color="auto"/>
            </w:tcBorders>
            <w:shd w:val="clear" w:color="auto" w:fill="auto"/>
            <w:noWrap/>
            <w:vAlign w:val="center"/>
            <w:hideMark/>
          </w:tcPr>
          <w:p w14:paraId="3212C4FC" w14:textId="77777777" w:rsidR="002C16A6" w:rsidRPr="002A1882" w:rsidRDefault="002C16A6" w:rsidP="00D21055">
            <w:pPr>
              <w:jc w:val="left"/>
              <w:rPr>
                <w:rFonts w:cs="Arial"/>
                <w:color w:val="000000"/>
                <w:sz w:val="18"/>
                <w:szCs w:val="18"/>
              </w:rPr>
            </w:pPr>
            <w:r w:rsidRPr="002A1882">
              <w:rPr>
                <w:rFonts w:cs="Arial"/>
                <w:color w:val="000000"/>
                <w:sz w:val="18"/>
                <w:szCs w:val="18"/>
              </w:rPr>
              <w:t>Valores Restituíveis</w:t>
            </w:r>
          </w:p>
        </w:tc>
        <w:tc>
          <w:tcPr>
            <w:tcW w:w="608" w:type="pct"/>
            <w:tcBorders>
              <w:top w:val="nil"/>
              <w:left w:val="nil"/>
              <w:bottom w:val="nil"/>
              <w:right w:val="single" w:sz="4" w:space="0" w:color="auto"/>
            </w:tcBorders>
            <w:shd w:val="clear" w:color="auto" w:fill="auto"/>
            <w:noWrap/>
            <w:vAlign w:val="center"/>
            <w:hideMark/>
          </w:tcPr>
          <w:p w14:paraId="151BC51A" w14:textId="77777777" w:rsidR="002C16A6" w:rsidRPr="002A1882" w:rsidRDefault="002C16A6" w:rsidP="00D21055">
            <w:pPr>
              <w:jc w:val="right"/>
              <w:rPr>
                <w:rFonts w:cs="Arial"/>
                <w:color w:val="000000"/>
                <w:sz w:val="18"/>
                <w:szCs w:val="18"/>
              </w:rPr>
            </w:pPr>
            <w:r w:rsidRPr="002A1882">
              <w:rPr>
                <w:rFonts w:cs="Arial"/>
                <w:color w:val="000000"/>
                <w:sz w:val="18"/>
                <w:szCs w:val="18"/>
              </w:rPr>
              <w:t>466.534</w:t>
            </w:r>
          </w:p>
        </w:tc>
        <w:tc>
          <w:tcPr>
            <w:tcW w:w="378" w:type="pct"/>
            <w:tcBorders>
              <w:top w:val="nil"/>
              <w:left w:val="nil"/>
              <w:bottom w:val="nil"/>
              <w:right w:val="single" w:sz="4" w:space="0" w:color="auto"/>
            </w:tcBorders>
            <w:shd w:val="clear" w:color="auto" w:fill="auto"/>
            <w:noWrap/>
            <w:vAlign w:val="center"/>
            <w:hideMark/>
          </w:tcPr>
          <w:p w14:paraId="656529D8" w14:textId="77777777" w:rsidR="002C16A6" w:rsidRPr="002A1882" w:rsidRDefault="002C16A6" w:rsidP="00D21055">
            <w:pPr>
              <w:jc w:val="center"/>
              <w:rPr>
                <w:rFonts w:cs="Arial"/>
                <w:color w:val="000000"/>
                <w:sz w:val="18"/>
                <w:szCs w:val="18"/>
              </w:rPr>
            </w:pPr>
            <w:r w:rsidRPr="002A1882">
              <w:rPr>
                <w:rFonts w:cs="Arial"/>
                <w:color w:val="000000"/>
                <w:sz w:val="18"/>
                <w:szCs w:val="18"/>
              </w:rPr>
              <w:t>3,10</w:t>
            </w:r>
          </w:p>
        </w:tc>
        <w:tc>
          <w:tcPr>
            <w:tcW w:w="683" w:type="pct"/>
            <w:tcBorders>
              <w:top w:val="nil"/>
              <w:left w:val="nil"/>
              <w:bottom w:val="nil"/>
              <w:right w:val="single" w:sz="4" w:space="0" w:color="auto"/>
            </w:tcBorders>
            <w:shd w:val="clear" w:color="auto" w:fill="auto"/>
            <w:noWrap/>
            <w:vAlign w:val="center"/>
            <w:hideMark/>
          </w:tcPr>
          <w:p w14:paraId="75033488" w14:textId="77777777" w:rsidR="002C16A6" w:rsidRPr="002A1882" w:rsidRDefault="002C16A6" w:rsidP="00D21055">
            <w:pPr>
              <w:jc w:val="right"/>
              <w:rPr>
                <w:rFonts w:cs="Arial"/>
                <w:color w:val="000000"/>
                <w:sz w:val="18"/>
                <w:szCs w:val="18"/>
              </w:rPr>
            </w:pPr>
            <w:r w:rsidRPr="002A1882">
              <w:rPr>
                <w:rFonts w:cs="Arial"/>
                <w:color w:val="000000"/>
                <w:sz w:val="18"/>
                <w:szCs w:val="18"/>
              </w:rPr>
              <w:t>282.409</w:t>
            </w:r>
          </w:p>
        </w:tc>
        <w:tc>
          <w:tcPr>
            <w:tcW w:w="378" w:type="pct"/>
            <w:tcBorders>
              <w:top w:val="nil"/>
              <w:left w:val="nil"/>
              <w:bottom w:val="nil"/>
              <w:right w:val="single" w:sz="4" w:space="0" w:color="auto"/>
            </w:tcBorders>
            <w:shd w:val="clear" w:color="auto" w:fill="auto"/>
            <w:noWrap/>
            <w:vAlign w:val="center"/>
            <w:hideMark/>
          </w:tcPr>
          <w:p w14:paraId="17034948" w14:textId="77777777" w:rsidR="002C16A6" w:rsidRPr="002A1882" w:rsidRDefault="002C16A6" w:rsidP="00D21055">
            <w:pPr>
              <w:jc w:val="center"/>
              <w:rPr>
                <w:rFonts w:cs="Arial"/>
                <w:color w:val="000000"/>
                <w:sz w:val="18"/>
                <w:szCs w:val="18"/>
              </w:rPr>
            </w:pPr>
            <w:r w:rsidRPr="002A1882">
              <w:rPr>
                <w:rFonts w:cs="Arial"/>
                <w:color w:val="000000"/>
                <w:sz w:val="18"/>
                <w:szCs w:val="18"/>
              </w:rPr>
              <w:t>25,31</w:t>
            </w:r>
          </w:p>
        </w:tc>
        <w:tc>
          <w:tcPr>
            <w:tcW w:w="606" w:type="pct"/>
            <w:tcBorders>
              <w:top w:val="nil"/>
              <w:left w:val="nil"/>
              <w:bottom w:val="nil"/>
              <w:right w:val="single" w:sz="4" w:space="0" w:color="auto"/>
            </w:tcBorders>
            <w:shd w:val="clear" w:color="auto" w:fill="auto"/>
            <w:noWrap/>
            <w:vAlign w:val="center"/>
            <w:hideMark/>
          </w:tcPr>
          <w:p w14:paraId="741F1D01" w14:textId="77777777" w:rsidR="002C16A6" w:rsidRPr="002A1882" w:rsidRDefault="002C16A6" w:rsidP="00D21055">
            <w:pPr>
              <w:jc w:val="right"/>
              <w:rPr>
                <w:rFonts w:cs="Arial"/>
                <w:color w:val="000000"/>
                <w:sz w:val="18"/>
                <w:szCs w:val="18"/>
              </w:rPr>
            </w:pPr>
            <w:r w:rsidRPr="002A1882">
              <w:rPr>
                <w:rFonts w:cs="Arial"/>
                <w:color w:val="000000"/>
                <w:sz w:val="18"/>
                <w:szCs w:val="18"/>
              </w:rPr>
              <w:t>184.125</w:t>
            </w:r>
          </w:p>
        </w:tc>
        <w:tc>
          <w:tcPr>
            <w:tcW w:w="454" w:type="pct"/>
            <w:tcBorders>
              <w:top w:val="nil"/>
              <w:left w:val="nil"/>
              <w:bottom w:val="nil"/>
              <w:right w:val="nil"/>
            </w:tcBorders>
            <w:shd w:val="clear" w:color="auto" w:fill="auto"/>
            <w:noWrap/>
            <w:vAlign w:val="center"/>
            <w:hideMark/>
          </w:tcPr>
          <w:p w14:paraId="68A8A500" w14:textId="77777777" w:rsidR="002C16A6" w:rsidRPr="002A1882" w:rsidRDefault="002C16A6" w:rsidP="00D21055">
            <w:pPr>
              <w:jc w:val="center"/>
              <w:rPr>
                <w:rFonts w:cs="Arial"/>
                <w:color w:val="000000"/>
                <w:sz w:val="18"/>
                <w:szCs w:val="18"/>
              </w:rPr>
            </w:pPr>
            <w:r w:rsidRPr="002A1882">
              <w:rPr>
                <w:rFonts w:cs="Arial"/>
                <w:color w:val="000000"/>
                <w:sz w:val="18"/>
                <w:szCs w:val="18"/>
              </w:rPr>
              <w:t>65,20</w:t>
            </w:r>
          </w:p>
        </w:tc>
      </w:tr>
      <w:tr w:rsidR="00A033FD" w:rsidRPr="002A1882" w14:paraId="3EEF06B1" w14:textId="77777777" w:rsidTr="0099185A">
        <w:trPr>
          <w:trHeight w:val="300"/>
        </w:trPr>
        <w:tc>
          <w:tcPr>
            <w:tcW w:w="1893" w:type="pct"/>
            <w:tcBorders>
              <w:top w:val="nil"/>
              <w:left w:val="nil"/>
              <w:bottom w:val="nil"/>
              <w:right w:val="single" w:sz="4" w:space="0" w:color="auto"/>
            </w:tcBorders>
            <w:shd w:val="clear" w:color="auto" w:fill="auto"/>
            <w:noWrap/>
            <w:vAlign w:val="center"/>
            <w:hideMark/>
          </w:tcPr>
          <w:p w14:paraId="2150DFE2" w14:textId="77777777" w:rsidR="002C16A6" w:rsidRPr="002A1882" w:rsidRDefault="002C16A6" w:rsidP="00D21055">
            <w:pPr>
              <w:jc w:val="left"/>
              <w:rPr>
                <w:rFonts w:cs="Arial"/>
                <w:color w:val="000000"/>
                <w:sz w:val="18"/>
                <w:szCs w:val="18"/>
              </w:rPr>
            </w:pPr>
            <w:r w:rsidRPr="002A1882">
              <w:rPr>
                <w:rFonts w:cs="Arial"/>
                <w:color w:val="000000"/>
                <w:sz w:val="18"/>
                <w:szCs w:val="18"/>
              </w:rPr>
              <w:t>Outras Obrigações a Curto Prazo</w:t>
            </w:r>
          </w:p>
        </w:tc>
        <w:tc>
          <w:tcPr>
            <w:tcW w:w="608" w:type="pct"/>
            <w:tcBorders>
              <w:top w:val="nil"/>
              <w:left w:val="nil"/>
              <w:bottom w:val="nil"/>
              <w:right w:val="single" w:sz="4" w:space="0" w:color="auto"/>
            </w:tcBorders>
            <w:shd w:val="clear" w:color="auto" w:fill="auto"/>
            <w:noWrap/>
            <w:vAlign w:val="center"/>
            <w:hideMark/>
          </w:tcPr>
          <w:p w14:paraId="36A998A0" w14:textId="77777777" w:rsidR="002C16A6" w:rsidRPr="002A1882" w:rsidRDefault="002C16A6" w:rsidP="00D21055">
            <w:pPr>
              <w:jc w:val="right"/>
              <w:rPr>
                <w:rFonts w:cs="Arial"/>
                <w:color w:val="000000"/>
                <w:sz w:val="18"/>
                <w:szCs w:val="18"/>
              </w:rPr>
            </w:pPr>
            <w:r w:rsidRPr="002A1882">
              <w:rPr>
                <w:rFonts w:cs="Arial"/>
                <w:color w:val="000000"/>
                <w:sz w:val="18"/>
                <w:szCs w:val="18"/>
              </w:rPr>
              <w:t>14.588.251</w:t>
            </w:r>
          </w:p>
        </w:tc>
        <w:tc>
          <w:tcPr>
            <w:tcW w:w="378" w:type="pct"/>
            <w:tcBorders>
              <w:top w:val="nil"/>
              <w:left w:val="nil"/>
              <w:bottom w:val="nil"/>
              <w:right w:val="single" w:sz="4" w:space="0" w:color="auto"/>
            </w:tcBorders>
            <w:shd w:val="clear" w:color="auto" w:fill="auto"/>
            <w:noWrap/>
            <w:vAlign w:val="center"/>
            <w:hideMark/>
          </w:tcPr>
          <w:p w14:paraId="2350FC75" w14:textId="77777777" w:rsidR="002C16A6" w:rsidRPr="002A1882" w:rsidRDefault="002C16A6" w:rsidP="00D21055">
            <w:pPr>
              <w:jc w:val="center"/>
              <w:rPr>
                <w:rFonts w:cs="Arial"/>
                <w:color w:val="000000"/>
                <w:sz w:val="18"/>
                <w:szCs w:val="18"/>
              </w:rPr>
            </w:pPr>
            <w:r w:rsidRPr="002A1882">
              <w:rPr>
                <w:rFonts w:cs="Arial"/>
                <w:color w:val="000000"/>
                <w:sz w:val="18"/>
                <w:szCs w:val="18"/>
              </w:rPr>
              <w:t>96,86</w:t>
            </w:r>
          </w:p>
        </w:tc>
        <w:tc>
          <w:tcPr>
            <w:tcW w:w="683" w:type="pct"/>
            <w:tcBorders>
              <w:top w:val="nil"/>
              <w:left w:val="nil"/>
              <w:bottom w:val="nil"/>
              <w:right w:val="single" w:sz="4" w:space="0" w:color="auto"/>
            </w:tcBorders>
            <w:shd w:val="clear" w:color="auto" w:fill="auto"/>
            <w:noWrap/>
            <w:vAlign w:val="center"/>
            <w:hideMark/>
          </w:tcPr>
          <w:p w14:paraId="74F1CF2B" w14:textId="77777777" w:rsidR="002C16A6" w:rsidRPr="002A1882" w:rsidRDefault="002C16A6" w:rsidP="00D21055">
            <w:pPr>
              <w:jc w:val="right"/>
              <w:rPr>
                <w:rFonts w:cs="Arial"/>
                <w:color w:val="000000"/>
                <w:sz w:val="18"/>
                <w:szCs w:val="18"/>
              </w:rPr>
            </w:pPr>
            <w:r w:rsidRPr="002A1882">
              <w:rPr>
                <w:rFonts w:cs="Arial"/>
                <w:color w:val="000000"/>
                <w:sz w:val="18"/>
                <w:szCs w:val="18"/>
              </w:rPr>
              <w:t>827.228</w:t>
            </w:r>
          </w:p>
        </w:tc>
        <w:tc>
          <w:tcPr>
            <w:tcW w:w="378" w:type="pct"/>
            <w:tcBorders>
              <w:top w:val="nil"/>
              <w:left w:val="nil"/>
              <w:bottom w:val="nil"/>
              <w:right w:val="single" w:sz="4" w:space="0" w:color="auto"/>
            </w:tcBorders>
            <w:shd w:val="clear" w:color="auto" w:fill="auto"/>
            <w:noWrap/>
            <w:vAlign w:val="center"/>
            <w:hideMark/>
          </w:tcPr>
          <w:p w14:paraId="7BA5AD70" w14:textId="77777777" w:rsidR="002C16A6" w:rsidRPr="002A1882" w:rsidRDefault="002C16A6" w:rsidP="00D21055">
            <w:pPr>
              <w:jc w:val="center"/>
              <w:rPr>
                <w:rFonts w:cs="Arial"/>
                <w:color w:val="000000"/>
                <w:sz w:val="18"/>
                <w:szCs w:val="18"/>
              </w:rPr>
            </w:pPr>
            <w:r w:rsidRPr="002A1882">
              <w:rPr>
                <w:rFonts w:cs="Arial"/>
                <w:color w:val="000000"/>
                <w:sz w:val="18"/>
                <w:szCs w:val="18"/>
              </w:rPr>
              <w:t>74,15</w:t>
            </w:r>
          </w:p>
        </w:tc>
        <w:tc>
          <w:tcPr>
            <w:tcW w:w="606" w:type="pct"/>
            <w:tcBorders>
              <w:top w:val="nil"/>
              <w:left w:val="nil"/>
              <w:bottom w:val="nil"/>
              <w:right w:val="single" w:sz="4" w:space="0" w:color="auto"/>
            </w:tcBorders>
            <w:shd w:val="clear" w:color="auto" w:fill="auto"/>
            <w:noWrap/>
            <w:vAlign w:val="center"/>
            <w:hideMark/>
          </w:tcPr>
          <w:p w14:paraId="1DFB959B" w14:textId="77777777" w:rsidR="002C16A6" w:rsidRPr="002A1882" w:rsidRDefault="002C16A6" w:rsidP="00D21055">
            <w:pPr>
              <w:jc w:val="right"/>
              <w:rPr>
                <w:rFonts w:cs="Arial"/>
                <w:color w:val="000000"/>
                <w:sz w:val="18"/>
                <w:szCs w:val="18"/>
              </w:rPr>
            </w:pPr>
            <w:r w:rsidRPr="002A1882">
              <w:rPr>
                <w:rFonts w:cs="Arial"/>
                <w:color w:val="000000"/>
                <w:sz w:val="18"/>
                <w:szCs w:val="18"/>
              </w:rPr>
              <w:t>13.761.023</w:t>
            </w:r>
          </w:p>
        </w:tc>
        <w:tc>
          <w:tcPr>
            <w:tcW w:w="454" w:type="pct"/>
            <w:tcBorders>
              <w:top w:val="nil"/>
              <w:left w:val="nil"/>
              <w:bottom w:val="nil"/>
              <w:right w:val="nil"/>
            </w:tcBorders>
            <w:shd w:val="clear" w:color="auto" w:fill="auto"/>
            <w:noWrap/>
            <w:vAlign w:val="center"/>
            <w:hideMark/>
          </w:tcPr>
          <w:p w14:paraId="57A70EC9" w14:textId="77777777" w:rsidR="002C16A6" w:rsidRPr="002A1882" w:rsidRDefault="002C16A6" w:rsidP="00D21055">
            <w:pPr>
              <w:jc w:val="center"/>
              <w:rPr>
                <w:rFonts w:cs="Arial"/>
                <w:color w:val="000000"/>
                <w:sz w:val="18"/>
                <w:szCs w:val="18"/>
              </w:rPr>
            </w:pPr>
            <w:r w:rsidRPr="002A1882">
              <w:rPr>
                <w:rFonts w:cs="Arial"/>
                <w:color w:val="000000"/>
                <w:sz w:val="18"/>
                <w:szCs w:val="18"/>
              </w:rPr>
              <w:t>1663,51</w:t>
            </w:r>
          </w:p>
        </w:tc>
      </w:tr>
      <w:tr w:rsidR="00A033FD" w:rsidRPr="002A1882" w14:paraId="2C73853A" w14:textId="77777777" w:rsidTr="0099185A">
        <w:trPr>
          <w:trHeight w:val="300"/>
        </w:trPr>
        <w:tc>
          <w:tcPr>
            <w:tcW w:w="1893" w:type="pct"/>
            <w:tcBorders>
              <w:top w:val="single" w:sz="4" w:space="0" w:color="auto"/>
              <w:left w:val="nil"/>
              <w:bottom w:val="single" w:sz="4" w:space="0" w:color="auto"/>
              <w:right w:val="single" w:sz="4" w:space="0" w:color="auto"/>
            </w:tcBorders>
            <w:shd w:val="clear" w:color="auto" w:fill="auto"/>
            <w:vAlign w:val="center"/>
            <w:hideMark/>
          </w:tcPr>
          <w:p w14:paraId="72E08DB0" w14:textId="77777777" w:rsidR="002C16A6" w:rsidRPr="002A1882" w:rsidRDefault="002C16A6" w:rsidP="00D21055">
            <w:pPr>
              <w:jc w:val="center"/>
              <w:rPr>
                <w:rFonts w:cs="Arial"/>
                <w:b/>
                <w:bCs/>
                <w:color w:val="000000"/>
                <w:sz w:val="18"/>
                <w:szCs w:val="18"/>
              </w:rPr>
            </w:pPr>
            <w:r w:rsidRPr="002A1882">
              <w:rPr>
                <w:rFonts w:cs="Arial"/>
                <w:b/>
                <w:bCs/>
                <w:color w:val="000000"/>
                <w:sz w:val="18"/>
                <w:szCs w:val="18"/>
              </w:rPr>
              <w:t>Total</w:t>
            </w:r>
          </w:p>
        </w:tc>
        <w:tc>
          <w:tcPr>
            <w:tcW w:w="608" w:type="pct"/>
            <w:tcBorders>
              <w:top w:val="single" w:sz="4" w:space="0" w:color="auto"/>
              <w:left w:val="nil"/>
              <w:bottom w:val="single" w:sz="4" w:space="0" w:color="auto"/>
              <w:right w:val="single" w:sz="4" w:space="0" w:color="auto"/>
            </w:tcBorders>
            <w:shd w:val="clear" w:color="auto" w:fill="auto"/>
            <w:noWrap/>
            <w:vAlign w:val="center"/>
            <w:hideMark/>
          </w:tcPr>
          <w:p w14:paraId="2BA88D87" w14:textId="77777777" w:rsidR="002C16A6" w:rsidRPr="002A1882" w:rsidRDefault="002C16A6" w:rsidP="00D21055">
            <w:pPr>
              <w:jc w:val="right"/>
              <w:rPr>
                <w:rFonts w:cs="Arial"/>
                <w:b/>
                <w:bCs/>
                <w:color w:val="000000"/>
                <w:sz w:val="18"/>
                <w:szCs w:val="18"/>
              </w:rPr>
            </w:pPr>
            <w:r w:rsidRPr="002A1882">
              <w:rPr>
                <w:rFonts w:cs="Arial"/>
                <w:b/>
                <w:bCs/>
                <w:color w:val="000000"/>
                <w:sz w:val="18"/>
                <w:szCs w:val="18"/>
              </w:rPr>
              <w:t>15.060.806</w:t>
            </w:r>
          </w:p>
        </w:tc>
        <w:tc>
          <w:tcPr>
            <w:tcW w:w="378" w:type="pct"/>
            <w:tcBorders>
              <w:top w:val="single" w:sz="4" w:space="0" w:color="auto"/>
              <w:left w:val="nil"/>
              <w:bottom w:val="single" w:sz="4" w:space="0" w:color="auto"/>
              <w:right w:val="single" w:sz="4" w:space="0" w:color="auto"/>
            </w:tcBorders>
            <w:shd w:val="clear" w:color="auto" w:fill="auto"/>
            <w:noWrap/>
            <w:vAlign w:val="center"/>
            <w:hideMark/>
          </w:tcPr>
          <w:p w14:paraId="7C4A3FCB" w14:textId="77777777" w:rsidR="002C16A6" w:rsidRPr="002A1882" w:rsidRDefault="002C16A6" w:rsidP="00D21055">
            <w:pPr>
              <w:jc w:val="center"/>
              <w:rPr>
                <w:rFonts w:cs="Arial"/>
                <w:b/>
                <w:bCs/>
                <w:color w:val="000000"/>
                <w:sz w:val="18"/>
                <w:szCs w:val="18"/>
              </w:rPr>
            </w:pPr>
            <w:r w:rsidRPr="002A1882">
              <w:rPr>
                <w:rFonts w:cs="Arial"/>
                <w:b/>
                <w:bCs/>
                <w:color w:val="000000"/>
                <w:sz w:val="18"/>
                <w:szCs w:val="18"/>
              </w:rPr>
              <w:t>100,00</w:t>
            </w:r>
          </w:p>
        </w:tc>
        <w:tc>
          <w:tcPr>
            <w:tcW w:w="683" w:type="pct"/>
            <w:tcBorders>
              <w:top w:val="single" w:sz="4" w:space="0" w:color="auto"/>
              <w:left w:val="nil"/>
              <w:bottom w:val="single" w:sz="4" w:space="0" w:color="auto"/>
              <w:right w:val="single" w:sz="4" w:space="0" w:color="auto"/>
            </w:tcBorders>
            <w:shd w:val="clear" w:color="auto" w:fill="auto"/>
            <w:noWrap/>
            <w:vAlign w:val="center"/>
            <w:hideMark/>
          </w:tcPr>
          <w:p w14:paraId="477E4116" w14:textId="77777777" w:rsidR="002C16A6" w:rsidRPr="002A1882" w:rsidRDefault="002C16A6" w:rsidP="00D21055">
            <w:pPr>
              <w:jc w:val="right"/>
              <w:rPr>
                <w:rFonts w:cs="Arial"/>
                <w:b/>
                <w:bCs/>
                <w:color w:val="000000"/>
                <w:sz w:val="18"/>
                <w:szCs w:val="18"/>
              </w:rPr>
            </w:pPr>
            <w:r w:rsidRPr="002A1882">
              <w:rPr>
                <w:rFonts w:cs="Arial"/>
                <w:b/>
                <w:bCs/>
                <w:color w:val="000000"/>
                <w:sz w:val="18"/>
                <w:szCs w:val="18"/>
              </w:rPr>
              <w:t>1.115.658</w:t>
            </w:r>
          </w:p>
        </w:tc>
        <w:tc>
          <w:tcPr>
            <w:tcW w:w="378" w:type="pct"/>
            <w:tcBorders>
              <w:top w:val="single" w:sz="4" w:space="0" w:color="auto"/>
              <w:left w:val="nil"/>
              <w:bottom w:val="single" w:sz="4" w:space="0" w:color="auto"/>
              <w:right w:val="single" w:sz="4" w:space="0" w:color="auto"/>
            </w:tcBorders>
            <w:shd w:val="clear" w:color="auto" w:fill="auto"/>
            <w:noWrap/>
            <w:vAlign w:val="center"/>
            <w:hideMark/>
          </w:tcPr>
          <w:p w14:paraId="5193CA06" w14:textId="77777777" w:rsidR="002C16A6" w:rsidRPr="002A1882" w:rsidRDefault="002C16A6" w:rsidP="00D21055">
            <w:pPr>
              <w:jc w:val="center"/>
              <w:rPr>
                <w:rFonts w:cs="Arial"/>
                <w:b/>
                <w:bCs/>
                <w:color w:val="000000"/>
                <w:sz w:val="18"/>
                <w:szCs w:val="18"/>
              </w:rPr>
            </w:pPr>
            <w:r w:rsidRPr="002A1882">
              <w:rPr>
                <w:rFonts w:cs="Arial"/>
                <w:b/>
                <w:bCs/>
                <w:color w:val="000000"/>
                <w:sz w:val="18"/>
                <w:szCs w:val="18"/>
              </w:rPr>
              <w:t>100,00</w:t>
            </w:r>
          </w:p>
        </w:tc>
        <w:tc>
          <w:tcPr>
            <w:tcW w:w="606" w:type="pct"/>
            <w:tcBorders>
              <w:top w:val="single" w:sz="4" w:space="0" w:color="auto"/>
              <w:left w:val="nil"/>
              <w:bottom w:val="single" w:sz="4" w:space="0" w:color="auto"/>
              <w:right w:val="single" w:sz="4" w:space="0" w:color="auto"/>
            </w:tcBorders>
            <w:shd w:val="clear" w:color="auto" w:fill="auto"/>
            <w:noWrap/>
            <w:vAlign w:val="center"/>
            <w:hideMark/>
          </w:tcPr>
          <w:p w14:paraId="2DBA2AA3" w14:textId="77777777" w:rsidR="002C16A6" w:rsidRPr="002A1882" w:rsidRDefault="002C16A6" w:rsidP="00D21055">
            <w:pPr>
              <w:jc w:val="right"/>
              <w:rPr>
                <w:rFonts w:cs="Arial"/>
                <w:b/>
                <w:bCs/>
                <w:color w:val="000000"/>
                <w:sz w:val="18"/>
                <w:szCs w:val="18"/>
              </w:rPr>
            </w:pPr>
            <w:r w:rsidRPr="002A1882">
              <w:rPr>
                <w:rFonts w:cs="Arial"/>
                <w:b/>
                <w:bCs/>
                <w:color w:val="000000"/>
                <w:sz w:val="18"/>
                <w:szCs w:val="18"/>
              </w:rPr>
              <w:t>13.945.148</w:t>
            </w:r>
          </w:p>
        </w:tc>
        <w:tc>
          <w:tcPr>
            <w:tcW w:w="454" w:type="pct"/>
            <w:tcBorders>
              <w:top w:val="single" w:sz="4" w:space="0" w:color="auto"/>
              <w:left w:val="nil"/>
              <w:bottom w:val="single" w:sz="4" w:space="0" w:color="auto"/>
              <w:right w:val="nil"/>
            </w:tcBorders>
            <w:shd w:val="clear" w:color="auto" w:fill="auto"/>
            <w:noWrap/>
            <w:vAlign w:val="center"/>
            <w:hideMark/>
          </w:tcPr>
          <w:p w14:paraId="5A027C9D" w14:textId="77777777" w:rsidR="002C16A6" w:rsidRPr="002A1882" w:rsidRDefault="002C16A6" w:rsidP="00D21055">
            <w:pPr>
              <w:jc w:val="center"/>
              <w:rPr>
                <w:rFonts w:cs="Arial"/>
                <w:b/>
                <w:bCs/>
                <w:color w:val="000000"/>
                <w:sz w:val="18"/>
                <w:szCs w:val="18"/>
              </w:rPr>
            </w:pPr>
            <w:r w:rsidRPr="002A1882">
              <w:rPr>
                <w:rFonts w:cs="Arial"/>
                <w:b/>
                <w:bCs/>
                <w:color w:val="000000"/>
                <w:sz w:val="18"/>
                <w:szCs w:val="18"/>
              </w:rPr>
              <w:t>1249,95</w:t>
            </w:r>
          </w:p>
        </w:tc>
      </w:tr>
    </w:tbl>
    <w:p w14:paraId="66CAD504" w14:textId="77777777" w:rsidR="002C16A6" w:rsidRPr="002C72B9" w:rsidRDefault="002C16A6" w:rsidP="002C16A6">
      <w:pPr>
        <w:pStyle w:val="1-FONTE8ESQ"/>
      </w:pPr>
      <w:r w:rsidRPr="002C72B9">
        <w:t>Fonte: Balanço Patrimonial - Anexo 14</w:t>
      </w:r>
      <w:r>
        <w:t xml:space="preserve"> (BGE 2023)</w:t>
      </w:r>
    </w:p>
    <w:p w14:paraId="0E5AD738" w14:textId="77777777" w:rsidR="002C16A6" w:rsidRDefault="002C16A6" w:rsidP="002C16A6">
      <w:pPr>
        <w:pStyle w:val="1-REL11"/>
      </w:pPr>
      <w:r w:rsidRPr="00073C74">
        <w:t>As contas de Adiantamento de Clientes compreendem as obrigações por recebimento antecipado de valores provenientes da venda a termo de bens e serviços. No exercício de 2023 não foi constatada nenhuma</w:t>
      </w:r>
      <w:r>
        <w:t xml:space="preserve"> movimentação nessa conta que possui o montante de R$ 6,02 milhões. Em análise realizada através do sistema SCG </w:t>
      </w:r>
      <w:r w:rsidRPr="00EA3CA5">
        <w:t>constatou-se que o saldo é proveniente da UO 2890</w:t>
      </w:r>
      <w:r>
        <w:t xml:space="preserve"> </w:t>
      </w:r>
      <w:r w:rsidRPr="00EA3CA5">
        <w:t>-</w:t>
      </w:r>
      <w:r>
        <w:t xml:space="preserve"> </w:t>
      </w:r>
      <w:r w:rsidRPr="00EA3CA5">
        <w:t>Iquego e manteve-se inalterado desde o ano de 202</w:t>
      </w:r>
      <w:r>
        <w:t>1.</w:t>
      </w:r>
    </w:p>
    <w:p w14:paraId="4DFF2DE0" w14:textId="77777777" w:rsidR="002C16A6" w:rsidRDefault="002C16A6" w:rsidP="002C16A6">
      <w:pPr>
        <w:pStyle w:val="1-REL11"/>
      </w:pPr>
      <w:r>
        <w:t>O grupo de contas Valores Restituíveis abrangem</w:t>
      </w:r>
      <w:r w:rsidRPr="00EB55E5">
        <w:t xml:space="preserve"> os valores de terceiros ou retenções em nome deles, quando a entidade do setor público for fiel deposit</w:t>
      </w:r>
      <w:r>
        <w:t>á</w:t>
      </w:r>
      <w:r w:rsidRPr="00EB55E5">
        <w:t>ria, exigíveis no curto prazo</w:t>
      </w:r>
      <w:r>
        <w:t>. No ano de 2023, essas contas evidenciaram um aumento em seus saldos de 65,20% (R$ 184,12 milhões) em relação ao ano de 2022, resultando em montante de R$ 466,53 milhões. Esse incremento resulta, principalmente, do aumento de saldo da conta Depósitos e Cauções que demonstrou um acréscimo de R$ 173,49 milhões (70,12%) quando comparado ao ano anterior, totalizando R$ 420,90 milhões em 2023.</w:t>
      </w:r>
    </w:p>
    <w:p w14:paraId="518FBC7F" w14:textId="22D205C9" w:rsidR="002C16A6" w:rsidRDefault="002C16A6" w:rsidP="002C16A6">
      <w:pPr>
        <w:pStyle w:val="1-REL11"/>
      </w:pPr>
      <w:r>
        <w:lastRenderedPageBreak/>
        <w:t>A conta Depósitos e Cauções r</w:t>
      </w:r>
      <w:r w:rsidRPr="00D573EF">
        <w:t>egistra os valores das obrigações exigíveis contraídas com o recebimento de depósitos e/ou cauções vinculados a contratos ou outros instrumentos, para garantias de operações espec</w:t>
      </w:r>
      <w:r>
        <w:t>í</w:t>
      </w:r>
      <w:r w:rsidRPr="00D573EF">
        <w:t>ficas</w:t>
      </w:r>
      <w:r>
        <w:t xml:space="preserve">. </w:t>
      </w:r>
      <w:r w:rsidRPr="008250AF">
        <w:t>No entanto, apurou-se que os lançamentos se referem a registros de apólices de seguro-garantia e não de caução financeira</w:t>
      </w:r>
      <w:r>
        <w:t>.</w:t>
      </w:r>
      <w:r w:rsidRPr="008250AF">
        <w:t xml:space="preserve"> </w:t>
      </w:r>
      <w:r>
        <w:t xml:space="preserve">O assunto foi tratado no item </w:t>
      </w:r>
      <w:r>
        <w:rPr>
          <w:highlight w:val="yellow"/>
        </w:rPr>
        <w:fldChar w:fldCharType="begin"/>
      </w:r>
      <w:r>
        <w:instrText xml:space="preserve"> REF _Ref167691466 \r \h </w:instrText>
      </w:r>
      <w:r>
        <w:rPr>
          <w:highlight w:val="yellow"/>
        </w:rPr>
      </w:r>
      <w:r>
        <w:rPr>
          <w:highlight w:val="yellow"/>
        </w:rPr>
        <w:fldChar w:fldCharType="separate"/>
      </w:r>
      <w:r w:rsidR="0099185A">
        <w:t xml:space="preserve">6.1.1.1 </w:t>
      </w:r>
      <w:r>
        <w:rPr>
          <w:highlight w:val="yellow"/>
        </w:rPr>
        <w:fldChar w:fldCharType="end"/>
      </w:r>
      <w:r>
        <w:rPr>
          <w:highlight w:val="yellow"/>
        </w:rPr>
        <w:fldChar w:fldCharType="begin"/>
      </w:r>
      <w:r>
        <w:rPr>
          <w:highlight w:val="yellow"/>
        </w:rPr>
        <w:instrText xml:space="preserve"> REF _Ref167691466 \h </w:instrText>
      </w:r>
      <w:r>
        <w:rPr>
          <w:highlight w:val="yellow"/>
        </w:rPr>
      </w:r>
      <w:r>
        <w:rPr>
          <w:highlight w:val="yellow"/>
        </w:rPr>
        <w:fldChar w:fldCharType="separate"/>
      </w:r>
      <w:r w:rsidR="0099185A">
        <w:t>Caixa e Equivalentes de Caixa</w:t>
      </w:r>
      <w:r>
        <w:rPr>
          <w:highlight w:val="yellow"/>
        </w:rPr>
        <w:fldChar w:fldCharType="end"/>
      </w:r>
      <w:r w:rsidRPr="002C16A6">
        <w:t>.</w:t>
      </w:r>
    </w:p>
    <w:p w14:paraId="123F30FA" w14:textId="707CD8C0" w:rsidR="002C16A6" w:rsidRDefault="002C16A6" w:rsidP="002C16A6">
      <w:pPr>
        <w:pStyle w:val="1-REL11"/>
      </w:pPr>
      <w:r>
        <w:t xml:space="preserve">Ainda no subgrupo </w:t>
      </w:r>
      <w:r w:rsidRPr="00316B1B">
        <w:t>Demais Obrigações a Curto Prazo</w:t>
      </w:r>
      <w:r>
        <w:t xml:space="preserve">, </w:t>
      </w:r>
      <w:bookmarkStart w:id="466" w:name="_Hlk167357910"/>
      <w:r>
        <w:t>o grupo de contas Outras Obrigações a Curto Prazo, que r</w:t>
      </w:r>
      <w:r w:rsidRPr="005C603E">
        <w:t>egistra as obrigações a curto prazo não classificadas em itens anteriores</w:t>
      </w:r>
      <w:r w:rsidRPr="00316B1B">
        <w:t>,</w:t>
      </w:r>
      <w:r>
        <w:t xml:space="preserve"> apresentou uma evolução de 1663,51% (13,76 bilhões) nos saldos quando comparado a 2022. No exercício de 2023, </w:t>
      </w:r>
      <w:r w:rsidRPr="00316B1B">
        <w:t>apresentou</w:t>
      </w:r>
      <w:r>
        <w:t xml:space="preserve"> a seguinte </w:t>
      </w:r>
      <w:r w:rsidRPr="00316B1B">
        <w:t>distribuição do saldo consolidado</w:t>
      </w:r>
      <w:r>
        <w:t>:</w:t>
      </w:r>
      <w:bookmarkEnd w:id="466"/>
    </w:p>
    <w:p w14:paraId="70CA0077" w14:textId="3E06000C" w:rsidR="004F78CE" w:rsidRDefault="002C16A6" w:rsidP="00ED3571">
      <w:pPr>
        <w:pStyle w:val="0-TABELA"/>
      </w:pPr>
      <w:bookmarkStart w:id="467" w:name="_Toc167871827"/>
      <w:r>
        <w:t>Outras Obrigações a Curto Prazo</w:t>
      </w:r>
      <w:r w:rsidR="00D21055">
        <w:t xml:space="preserve"> 2023 x 2022</w:t>
      </w:r>
      <w:bookmarkEnd w:id="467"/>
    </w:p>
    <w:p w14:paraId="0B81505B" w14:textId="77777777" w:rsidR="00F10233" w:rsidRDefault="00F10233" w:rsidP="00F10233">
      <w:pPr>
        <w:pStyle w:val="0-EmR1"/>
      </w:pPr>
      <w:r w:rsidRPr="008E421F">
        <w:t>R$ mil</w:t>
      </w:r>
    </w:p>
    <w:tbl>
      <w:tblPr>
        <w:tblW w:w="5003" w:type="pct"/>
        <w:tblLayout w:type="fixed"/>
        <w:tblCellMar>
          <w:left w:w="70" w:type="dxa"/>
          <w:right w:w="70" w:type="dxa"/>
        </w:tblCellMar>
        <w:tblLook w:val="04A0" w:firstRow="1" w:lastRow="0" w:firstColumn="1" w:lastColumn="0" w:noHBand="0" w:noVBand="1"/>
      </w:tblPr>
      <w:tblGrid>
        <w:gridCol w:w="3542"/>
        <w:gridCol w:w="1136"/>
        <w:gridCol w:w="709"/>
        <w:gridCol w:w="1134"/>
        <w:gridCol w:w="709"/>
        <w:gridCol w:w="1134"/>
        <w:gridCol w:w="990"/>
      </w:tblGrid>
      <w:tr w:rsidR="00F10233" w:rsidRPr="000E3F92" w14:paraId="0E6E0B9F" w14:textId="77777777" w:rsidTr="00F10233">
        <w:trPr>
          <w:trHeight w:val="255"/>
          <w:tblHeader/>
        </w:trPr>
        <w:tc>
          <w:tcPr>
            <w:tcW w:w="1893" w:type="pct"/>
            <w:vMerge w:val="restart"/>
            <w:tcBorders>
              <w:top w:val="single" w:sz="4" w:space="0" w:color="auto"/>
              <w:left w:val="nil"/>
              <w:bottom w:val="single" w:sz="4" w:space="0" w:color="auto"/>
              <w:right w:val="single" w:sz="4" w:space="0" w:color="auto"/>
            </w:tcBorders>
            <w:shd w:val="clear" w:color="auto" w:fill="A1F2FD"/>
            <w:vAlign w:val="center"/>
            <w:hideMark/>
          </w:tcPr>
          <w:p w14:paraId="7AF45EAA" w14:textId="77777777" w:rsidR="00F10233" w:rsidRPr="000E3F92" w:rsidRDefault="00F10233" w:rsidP="0099185A">
            <w:pPr>
              <w:jc w:val="center"/>
              <w:rPr>
                <w:rFonts w:cs="Arial"/>
                <w:b/>
                <w:bCs/>
                <w:color w:val="000000"/>
                <w:sz w:val="18"/>
                <w:szCs w:val="18"/>
              </w:rPr>
            </w:pPr>
            <w:r w:rsidRPr="000E3F92">
              <w:rPr>
                <w:rFonts w:cs="Arial"/>
                <w:b/>
                <w:bCs/>
                <w:color w:val="000000"/>
                <w:sz w:val="18"/>
                <w:szCs w:val="18"/>
              </w:rPr>
              <w:t>Composição</w:t>
            </w:r>
          </w:p>
        </w:tc>
        <w:tc>
          <w:tcPr>
            <w:tcW w:w="607"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0BE09506" w14:textId="77777777" w:rsidR="00F10233" w:rsidRPr="000E3F92" w:rsidRDefault="00F10233" w:rsidP="0099185A">
            <w:pPr>
              <w:jc w:val="center"/>
              <w:rPr>
                <w:rFonts w:cs="Arial"/>
                <w:b/>
                <w:bCs/>
                <w:color w:val="000000"/>
                <w:sz w:val="18"/>
                <w:szCs w:val="18"/>
              </w:rPr>
            </w:pPr>
            <w:r w:rsidRPr="000E3F92">
              <w:rPr>
                <w:rFonts w:cs="Arial"/>
                <w:b/>
                <w:bCs/>
                <w:color w:val="000000"/>
                <w:sz w:val="18"/>
                <w:szCs w:val="18"/>
              </w:rPr>
              <w:t>2023</w:t>
            </w:r>
          </w:p>
        </w:tc>
        <w:tc>
          <w:tcPr>
            <w:tcW w:w="379" w:type="pct"/>
            <w:vMerge w:val="restart"/>
            <w:tcBorders>
              <w:top w:val="single" w:sz="4" w:space="0" w:color="auto"/>
              <w:left w:val="nil"/>
              <w:right w:val="single" w:sz="4" w:space="0" w:color="auto"/>
            </w:tcBorders>
            <w:shd w:val="clear" w:color="auto" w:fill="A1F2FD"/>
            <w:vAlign w:val="center"/>
            <w:hideMark/>
          </w:tcPr>
          <w:p w14:paraId="41C1C4FF" w14:textId="77777777" w:rsidR="00F10233" w:rsidRPr="000E3F92" w:rsidRDefault="00F10233" w:rsidP="0099185A">
            <w:pPr>
              <w:jc w:val="center"/>
              <w:rPr>
                <w:rFonts w:cs="Arial"/>
                <w:b/>
                <w:bCs/>
                <w:color w:val="000000"/>
                <w:sz w:val="18"/>
                <w:szCs w:val="18"/>
              </w:rPr>
            </w:pPr>
            <w:r w:rsidRPr="000E3F92">
              <w:rPr>
                <w:rFonts w:cs="Arial"/>
                <w:b/>
                <w:bCs/>
                <w:color w:val="000000"/>
                <w:sz w:val="18"/>
                <w:szCs w:val="18"/>
              </w:rPr>
              <w:t xml:space="preserve">AV 2023 </w:t>
            </w:r>
          </w:p>
          <w:p w14:paraId="41AF3EDB" w14:textId="77777777" w:rsidR="00F10233" w:rsidRPr="000E3F92" w:rsidRDefault="00F10233" w:rsidP="0099185A">
            <w:pPr>
              <w:jc w:val="center"/>
              <w:rPr>
                <w:rFonts w:cs="Arial"/>
                <w:b/>
                <w:bCs/>
                <w:color w:val="000000"/>
                <w:sz w:val="18"/>
                <w:szCs w:val="18"/>
              </w:rPr>
            </w:pPr>
            <w:r w:rsidRPr="000E3F92">
              <w:rPr>
                <w:rFonts w:cs="Arial"/>
                <w:b/>
                <w:bCs/>
                <w:color w:val="000000"/>
                <w:sz w:val="18"/>
                <w:szCs w:val="18"/>
              </w:rPr>
              <w:t>%</w:t>
            </w:r>
          </w:p>
        </w:tc>
        <w:tc>
          <w:tcPr>
            <w:tcW w:w="606"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7B0B37B0" w14:textId="77777777" w:rsidR="00F10233" w:rsidRPr="000E3F92" w:rsidRDefault="00F10233" w:rsidP="0099185A">
            <w:pPr>
              <w:jc w:val="center"/>
              <w:rPr>
                <w:rFonts w:cs="Arial"/>
                <w:b/>
                <w:bCs/>
                <w:color w:val="000000"/>
                <w:sz w:val="18"/>
                <w:szCs w:val="18"/>
              </w:rPr>
            </w:pPr>
            <w:r w:rsidRPr="000E3F92">
              <w:rPr>
                <w:rFonts w:cs="Arial"/>
                <w:b/>
                <w:bCs/>
                <w:color w:val="000000"/>
                <w:sz w:val="18"/>
                <w:szCs w:val="18"/>
              </w:rPr>
              <w:t>2022</w:t>
            </w:r>
          </w:p>
        </w:tc>
        <w:tc>
          <w:tcPr>
            <w:tcW w:w="379" w:type="pct"/>
            <w:vMerge w:val="restart"/>
            <w:tcBorders>
              <w:top w:val="single" w:sz="4" w:space="0" w:color="auto"/>
              <w:left w:val="nil"/>
              <w:right w:val="single" w:sz="4" w:space="0" w:color="auto"/>
            </w:tcBorders>
            <w:shd w:val="clear" w:color="auto" w:fill="A1F2FD"/>
            <w:vAlign w:val="center"/>
            <w:hideMark/>
          </w:tcPr>
          <w:p w14:paraId="78645CDC" w14:textId="77777777" w:rsidR="00F10233" w:rsidRPr="000E3F92" w:rsidRDefault="00F10233" w:rsidP="0099185A">
            <w:pPr>
              <w:jc w:val="center"/>
              <w:rPr>
                <w:rFonts w:cs="Arial"/>
                <w:b/>
                <w:bCs/>
                <w:color w:val="000000"/>
                <w:sz w:val="18"/>
                <w:szCs w:val="18"/>
              </w:rPr>
            </w:pPr>
            <w:r w:rsidRPr="000E3F92">
              <w:rPr>
                <w:rFonts w:cs="Arial"/>
                <w:b/>
                <w:bCs/>
                <w:color w:val="000000"/>
                <w:sz w:val="18"/>
                <w:szCs w:val="18"/>
              </w:rPr>
              <w:t xml:space="preserve">AV 2022 </w:t>
            </w:r>
          </w:p>
          <w:p w14:paraId="3D4B62ED" w14:textId="77777777" w:rsidR="00F10233" w:rsidRPr="000E3F92" w:rsidRDefault="00F10233" w:rsidP="0099185A">
            <w:pPr>
              <w:jc w:val="center"/>
              <w:rPr>
                <w:rFonts w:cs="Arial"/>
                <w:b/>
                <w:bCs/>
                <w:color w:val="000000"/>
                <w:sz w:val="18"/>
                <w:szCs w:val="18"/>
              </w:rPr>
            </w:pPr>
            <w:r w:rsidRPr="000E3F92">
              <w:rPr>
                <w:rFonts w:cs="Arial"/>
                <w:b/>
                <w:bCs/>
                <w:color w:val="000000"/>
                <w:sz w:val="18"/>
                <w:szCs w:val="18"/>
              </w:rPr>
              <w:t>%</w:t>
            </w:r>
          </w:p>
        </w:tc>
        <w:tc>
          <w:tcPr>
            <w:tcW w:w="1135" w:type="pct"/>
            <w:gridSpan w:val="2"/>
            <w:tcBorders>
              <w:top w:val="single" w:sz="4" w:space="0" w:color="auto"/>
              <w:left w:val="nil"/>
              <w:bottom w:val="single" w:sz="4" w:space="0" w:color="auto"/>
              <w:right w:val="single" w:sz="4" w:space="0" w:color="auto"/>
            </w:tcBorders>
            <w:shd w:val="clear" w:color="auto" w:fill="A1F2FD"/>
            <w:vAlign w:val="center"/>
            <w:hideMark/>
          </w:tcPr>
          <w:p w14:paraId="101EF372" w14:textId="77777777" w:rsidR="00F10233" w:rsidRPr="000E3F92" w:rsidRDefault="00F10233" w:rsidP="0099185A">
            <w:pPr>
              <w:jc w:val="center"/>
              <w:rPr>
                <w:rFonts w:cs="Arial"/>
                <w:b/>
                <w:bCs/>
                <w:color w:val="000000"/>
                <w:sz w:val="18"/>
                <w:szCs w:val="18"/>
              </w:rPr>
            </w:pPr>
            <w:r w:rsidRPr="000E3F92">
              <w:rPr>
                <w:rFonts w:cs="Arial"/>
                <w:b/>
                <w:bCs/>
                <w:color w:val="000000"/>
                <w:sz w:val="18"/>
                <w:szCs w:val="18"/>
              </w:rPr>
              <w:t>∆ 2023 x 2022</w:t>
            </w:r>
          </w:p>
        </w:tc>
      </w:tr>
      <w:tr w:rsidR="00F10233" w:rsidRPr="000E3F92" w14:paraId="143FF857" w14:textId="77777777" w:rsidTr="00F10233">
        <w:trPr>
          <w:trHeight w:val="255"/>
          <w:tblHeader/>
        </w:trPr>
        <w:tc>
          <w:tcPr>
            <w:tcW w:w="1893" w:type="pct"/>
            <w:vMerge/>
            <w:tcBorders>
              <w:top w:val="single" w:sz="4" w:space="0" w:color="auto"/>
              <w:left w:val="nil"/>
              <w:bottom w:val="single" w:sz="4" w:space="0" w:color="auto"/>
              <w:right w:val="single" w:sz="4" w:space="0" w:color="auto"/>
            </w:tcBorders>
            <w:shd w:val="clear" w:color="auto" w:fill="A1F2FD"/>
            <w:vAlign w:val="center"/>
          </w:tcPr>
          <w:p w14:paraId="2EC096DF" w14:textId="77777777" w:rsidR="00F10233" w:rsidRPr="000E3F92" w:rsidRDefault="00F10233" w:rsidP="0099185A">
            <w:pPr>
              <w:jc w:val="left"/>
              <w:rPr>
                <w:rFonts w:cs="Arial"/>
                <w:b/>
                <w:bCs/>
                <w:color w:val="000000"/>
                <w:sz w:val="18"/>
                <w:szCs w:val="18"/>
              </w:rPr>
            </w:pPr>
          </w:p>
        </w:tc>
        <w:tc>
          <w:tcPr>
            <w:tcW w:w="607" w:type="pct"/>
            <w:vMerge/>
            <w:tcBorders>
              <w:top w:val="single" w:sz="4" w:space="0" w:color="auto"/>
              <w:left w:val="single" w:sz="4" w:space="0" w:color="auto"/>
              <w:right w:val="single" w:sz="4" w:space="0" w:color="auto"/>
            </w:tcBorders>
            <w:shd w:val="clear" w:color="auto" w:fill="A1F2FD"/>
            <w:vAlign w:val="center"/>
          </w:tcPr>
          <w:p w14:paraId="2D68C720" w14:textId="77777777" w:rsidR="00F10233" w:rsidRPr="000E3F92" w:rsidRDefault="00F10233" w:rsidP="0099185A">
            <w:pPr>
              <w:jc w:val="left"/>
              <w:rPr>
                <w:rFonts w:cs="Arial"/>
                <w:b/>
                <w:bCs/>
                <w:color w:val="000000"/>
                <w:sz w:val="18"/>
                <w:szCs w:val="18"/>
              </w:rPr>
            </w:pPr>
          </w:p>
        </w:tc>
        <w:tc>
          <w:tcPr>
            <w:tcW w:w="379" w:type="pct"/>
            <w:vMerge/>
            <w:tcBorders>
              <w:left w:val="nil"/>
              <w:right w:val="single" w:sz="4" w:space="0" w:color="auto"/>
            </w:tcBorders>
            <w:shd w:val="clear" w:color="auto" w:fill="A1F2FD"/>
            <w:vAlign w:val="center"/>
          </w:tcPr>
          <w:p w14:paraId="27ABCF7F" w14:textId="77777777" w:rsidR="00F10233" w:rsidRPr="000E3F92" w:rsidRDefault="00F10233" w:rsidP="0099185A">
            <w:pPr>
              <w:jc w:val="center"/>
              <w:rPr>
                <w:rFonts w:cs="Arial"/>
                <w:b/>
                <w:bCs/>
                <w:color w:val="000000"/>
                <w:sz w:val="18"/>
                <w:szCs w:val="18"/>
              </w:rPr>
            </w:pPr>
          </w:p>
        </w:tc>
        <w:tc>
          <w:tcPr>
            <w:tcW w:w="606" w:type="pct"/>
            <w:vMerge/>
            <w:tcBorders>
              <w:top w:val="single" w:sz="4" w:space="0" w:color="auto"/>
              <w:left w:val="single" w:sz="4" w:space="0" w:color="auto"/>
              <w:right w:val="single" w:sz="4" w:space="0" w:color="auto"/>
            </w:tcBorders>
            <w:shd w:val="clear" w:color="auto" w:fill="A1F2FD"/>
            <w:vAlign w:val="center"/>
          </w:tcPr>
          <w:p w14:paraId="05440FCF" w14:textId="77777777" w:rsidR="00F10233" w:rsidRPr="000E3F92" w:rsidRDefault="00F10233" w:rsidP="0099185A">
            <w:pPr>
              <w:jc w:val="left"/>
              <w:rPr>
                <w:rFonts w:cs="Arial"/>
                <w:b/>
                <w:bCs/>
                <w:color w:val="000000"/>
                <w:sz w:val="18"/>
                <w:szCs w:val="18"/>
              </w:rPr>
            </w:pPr>
          </w:p>
        </w:tc>
        <w:tc>
          <w:tcPr>
            <w:tcW w:w="379" w:type="pct"/>
            <w:vMerge/>
            <w:tcBorders>
              <w:left w:val="nil"/>
              <w:right w:val="single" w:sz="4" w:space="0" w:color="auto"/>
            </w:tcBorders>
            <w:shd w:val="clear" w:color="auto" w:fill="A1F2FD"/>
            <w:vAlign w:val="center"/>
          </w:tcPr>
          <w:p w14:paraId="1F1F356B" w14:textId="77777777" w:rsidR="00F10233" w:rsidRPr="000E3F92" w:rsidRDefault="00F10233" w:rsidP="0099185A">
            <w:pPr>
              <w:jc w:val="center"/>
              <w:rPr>
                <w:rFonts w:cs="Arial"/>
                <w:b/>
                <w:bCs/>
                <w:color w:val="000000"/>
                <w:sz w:val="18"/>
                <w:szCs w:val="18"/>
              </w:rPr>
            </w:pPr>
          </w:p>
        </w:tc>
        <w:tc>
          <w:tcPr>
            <w:tcW w:w="606" w:type="pct"/>
            <w:tcBorders>
              <w:top w:val="nil"/>
              <w:left w:val="nil"/>
              <w:right w:val="single" w:sz="4" w:space="0" w:color="auto"/>
            </w:tcBorders>
            <w:shd w:val="clear" w:color="auto" w:fill="A1F2FD"/>
            <w:vAlign w:val="center"/>
          </w:tcPr>
          <w:p w14:paraId="0B510CB6" w14:textId="77777777" w:rsidR="00F10233" w:rsidRPr="000E3F92" w:rsidRDefault="00F10233" w:rsidP="0099185A">
            <w:pPr>
              <w:jc w:val="center"/>
              <w:rPr>
                <w:rFonts w:cs="Arial"/>
                <w:b/>
                <w:bCs/>
                <w:color w:val="000000"/>
                <w:sz w:val="18"/>
                <w:szCs w:val="18"/>
              </w:rPr>
            </w:pPr>
            <w:r w:rsidRPr="000E3F92">
              <w:rPr>
                <w:rFonts w:cs="Arial"/>
                <w:b/>
                <w:bCs/>
                <w:color w:val="000000"/>
                <w:sz w:val="18"/>
                <w:szCs w:val="18"/>
              </w:rPr>
              <w:t>R$</w:t>
            </w:r>
          </w:p>
        </w:tc>
        <w:tc>
          <w:tcPr>
            <w:tcW w:w="529" w:type="pct"/>
            <w:tcBorders>
              <w:top w:val="nil"/>
              <w:left w:val="nil"/>
              <w:right w:val="nil"/>
            </w:tcBorders>
            <w:shd w:val="clear" w:color="auto" w:fill="A1F2FD"/>
            <w:vAlign w:val="center"/>
          </w:tcPr>
          <w:p w14:paraId="3F61567E" w14:textId="77777777" w:rsidR="00F10233" w:rsidRPr="000E3F92" w:rsidRDefault="00F10233" w:rsidP="0099185A">
            <w:pPr>
              <w:jc w:val="center"/>
              <w:rPr>
                <w:rFonts w:cs="Arial"/>
                <w:b/>
                <w:bCs/>
                <w:color w:val="000000"/>
                <w:sz w:val="18"/>
                <w:szCs w:val="18"/>
              </w:rPr>
            </w:pPr>
            <w:r w:rsidRPr="000E3F92">
              <w:rPr>
                <w:rFonts w:cs="Arial"/>
                <w:b/>
                <w:bCs/>
                <w:color w:val="000000"/>
                <w:sz w:val="18"/>
                <w:szCs w:val="18"/>
              </w:rPr>
              <w:t>%</w:t>
            </w:r>
          </w:p>
        </w:tc>
      </w:tr>
      <w:tr w:rsidR="00F10233" w:rsidRPr="000E3F92" w14:paraId="57EDCCF8" w14:textId="77777777" w:rsidTr="00F10233">
        <w:trPr>
          <w:trHeight w:val="255"/>
          <w:tblHeader/>
        </w:trPr>
        <w:tc>
          <w:tcPr>
            <w:tcW w:w="1893" w:type="pct"/>
            <w:vMerge/>
            <w:tcBorders>
              <w:top w:val="single" w:sz="4" w:space="0" w:color="auto"/>
              <w:left w:val="nil"/>
              <w:bottom w:val="single" w:sz="4" w:space="0" w:color="auto"/>
              <w:right w:val="single" w:sz="4" w:space="0" w:color="auto"/>
            </w:tcBorders>
            <w:shd w:val="clear" w:color="auto" w:fill="A1F2FD"/>
            <w:vAlign w:val="center"/>
            <w:hideMark/>
          </w:tcPr>
          <w:p w14:paraId="7526EFE7" w14:textId="77777777" w:rsidR="00F10233" w:rsidRPr="000E3F92" w:rsidRDefault="00F10233" w:rsidP="0099185A">
            <w:pPr>
              <w:jc w:val="left"/>
              <w:rPr>
                <w:rFonts w:cs="Arial"/>
                <w:b/>
                <w:bCs/>
                <w:color w:val="000000"/>
                <w:sz w:val="18"/>
                <w:szCs w:val="18"/>
              </w:rPr>
            </w:pPr>
          </w:p>
        </w:tc>
        <w:tc>
          <w:tcPr>
            <w:tcW w:w="607" w:type="pct"/>
            <w:tcBorders>
              <w:left w:val="single" w:sz="4" w:space="0" w:color="auto"/>
              <w:bottom w:val="single" w:sz="4" w:space="0" w:color="auto"/>
              <w:right w:val="single" w:sz="4" w:space="0" w:color="auto"/>
            </w:tcBorders>
            <w:shd w:val="clear" w:color="auto" w:fill="A1F2FD"/>
            <w:vAlign w:val="center"/>
            <w:hideMark/>
          </w:tcPr>
          <w:p w14:paraId="71CE6A00" w14:textId="77777777" w:rsidR="00F10233" w:rsidRPr="000E3F92" w:rsidRDefault="00F10233" w:rsidP="0099185A">
            <w:pPr>
              <w:jc w:val="center"/>
              <w:rPr>
                <w:rFonts w:cs="Arial"/>
                <w:b/>
                <w:bCs/>
                <w:color w:val="000000"/>
                <w:sz w:val="18"/>
                <w:szCs w:val="18"/>
              </w:rPr>
            </w:pPr>
            <w:r w:rsidRPr="000E3F92">
              <w:rPr>
                <w:rFonts w:cs="Arial"/>
                <w:b/>
                <w:bCs/>
                <w:color w:val="000000"/>
                <w:sz w:val="18"/>
                <w:szCs w:val="18"/>
              </w:rPr>
              <w:t>(a)</w:t>
            </w:r>
          </w:p>
        </w:tc>
        <w:tc>
          <w:tcPr>
            <w:tcW w:w="379" w:type="pct"/>
            <w:tcBorders>
              <w:left w:val="nil"/>
              <w:bottom w:val="single" w:sz="4" w:space="0" w:color="auto"/>
              <w:right w:val="single" w:sz="4" w:space="0" w:color="auto"/>
            </w:tcBorders>
            <w:shd w:val="clear" w:color="auto" w:fill="A1F2FD"/>
            <w:vAlign w:val="center"/>
            <w:hideMark/>
          </w:tcPr>
          <w:p w14:paraId="16C57039" w14:textId="77777777" w:rsidR="00F10233" w:rsidRPr="000E3F92" w:rsidRDefault="00F10233" w:rsidP="0099185A">
            <w:pPr>
              <w:jc w:val="center"/>
              <w:rPr>
                <w:rFonts w:cs="Arial"/>
                <w:b/>
                <w:bCs/>
                <w:color w:val="000000"/>
                <w:sz w:val="18"/>
                <w:szCs w:val="18"/>
              </w:rPr>
            </w:pPr>
            <w:r w:rsidRPr="000E3F92">
              <w:rPr>
                <w:rFonts w:cs="Arial"/>
                <w:b/>
                <w:bCs/>
                <w:color w:val="000000"/>
                <w:sz w:val="18"/>
                <w:szCs w:val="18"/>
              </w:rPr>
              <w:t>(b)</w:t>
            </w:r>
          </w:p>
        </w:tc>
        <w:tc>
          <w:tcPr>
            <w:tcW w:w="606" w:type="pct"/>
            <w:tcBorders>
              <w:left w:val="single" w:sz="4" w:space="0" w:color="auto"/>
              <w:bottom w:val="single" w:sz="4" w:space="0" w:color="auto"/>
              <w:right w:val="single" w:sz="4" w:space="0" w:color="auto"/>
            </w:tcBorders>
            <w:shd w:val="clear" w:color="auto" w:fill="A1F2FD"/>
            <w:vAlign w:val="center"/>
            <w:hideMark/>
          </w:tcPr>
          <w:p w14:paraId="2F6EF5AD" w14:textId="77777777" w:rsidR="00F10233" w:rsidRPr="000E3F92" w:rsidRDefault="00F10233" w:rsidP="0099185A">
            <w:pPr>
              <w:jc w:val="center"/>
              <w:rPr>
                <w:rFonts w:cs="Arial"/>
                <w:b/>
                <w:bCs/>
                <w:color w:val="000000"/>
                <w:sz w:val="18"/>
                <w:szCs w:val="18"/>
              </w:rPr>
            </w:pPr>
            <w:r w:rsidRPr="000E3F92">
              <w:rPr>
                <w:rFonts w:cs="Arial"/>
                <w:b/>
                <w:bCs/>
                <w:color w:val="000000"/>
                <w:sz w:val="18"/>
                <w:szCs w:val="18"/>
              </w:rPr>
              <w:t>(c)</w:t>
            </w:r>
          </w:p>
        </w:tc>
        <w:tc>
          <w:tcPr>
            <w:tcW w:w="379" w:type="pct"/>
            <w:tcBorders>
              <w:left w:val="nil"/>
              <w:bottom w:val="single" w:sz="4" w:space="0" w:color="auto"/>
              <w:right w:val="single" w:sz="4" w:space="0" w:color="auto"/>
            </w:tcBorders>
            <w:shd w:val="clear" w:color="auto" w:fill="A1F2FD"/>
            <w:vAlign w:val="center"/>
            <w:hideMark/>
          </w:tcPr>
          <w:p w14:paraId="4ED3C5D0" w14:textId="77777777" w:rsidR="00F10233" w:rsidRPr="000E3F92" w:rsidRDefault="00F10233" w:rsidP="0099185A">
            <w:pPr>
              <w:jc w:val="center"/>
              <w:rPr>
                <w:rFonts w:cs="Arial"/>
                <w:b/>
                <w:bCs/>
                <w:color w:val="000000"/>
                <w:sz w:val="18"/>
                <w:szCs w:val="18"/>
              </w:rPr>
            </w:pPr>
            <w:r w:rsidRPr="000E3F92">
              <w:rPr>
                <w:rFonts w:cs="Arial"/>
                <w:b/>
                <w:bCs/>
                <w:color w:val="000000"/>
                <w:sz w:val="18"/>
                <w:szCs w:val="18"/>
              </w:rPr>
              <w:t>(d)</w:t>
            </w:r>
          </w:p>
        </w:tc>
        <w:tc>
          <w:tcPr>
            <w:tcW w:w="606" w:type="pct"/>
            <w:tcBorders>
              <w:left w:val="nil"/>
              <w:bottom w:val="single" w:sz="4" w:space="0" w:color="auto"/>
              <w:right w:val="single" w:sz="4" w:space="0" w:color="auto"/>
            </w:tcBorders>
            <w:shd w:val="clear" w:color="auto" w:fill="A1F2FD"/>
            <w:vAlign w:val="center"/>
            <w:hideMark/>
          </w:tcPr>
          <w:p w14:paraId="2D589FD8" w14:textId="77777777" w:rsidR="00F10233" w:rsidRPr="000E3F92" w:rsidRDefault="00F10233" w:rsidP="0099185A">
            <w:pPr>
              <w:ind w:left="-107" w:right="-117"/>
              <w:jc w:val="center"/>
              <w:rPr>
                <w:rFonts w:cs="Arial"/>
                <w:b/>
                <w:bCs/>
                <w:color w:val="000000"/>
                <w:sz w:val="18"/>
                <w:szCs w:val="18"/>
              </w:rPr>
            </w:pPr>
            <w:r w:rsidRPr="000E3F92">
              <w:rPr>
                <w:rFonts w:cs="Arial"/>
                <w:b/>
                <w:bCs/>
                <w:color w:val="000000"/>
                <w:sz w:val="18"/>
                <w:szCs w:val="18"/>
              </w:rPr>
              <w:t>(e) = (a-b)</w:t>
            </w:r>
          </w:p>
        </w:tc>
        <w:tc>
          <w:tcPr>
            <w:tcW w:w="529" w:type="pct"/>
            <w:tcBorders>
              <w:left w:val="nil"/>
              <w:bottom w:val="single" w:sz="4" w:space="0" w:color="auto"/>
              <w:right w:val="nil"/>
            </w:tcBorders>
            <w:shd w:val="clear" w:color="auto" w:fill="A1F2FD"/>
            <w:vAlign w:val="center"/>
            <w:hideMark/>
          </w:tcPr>
          <w:p w14:paraId="3BF8EECC" w14:textId="77777777" w:rsidR="00F10233" w:rsidRPr="000E3F92" w:rsidRDefault="00F10233" w:rsidP="0099185A">
            <w:pPr>
              <w:ind w:left="-75" w:right="-76"/>
              <w:jc w:val="center"/>
              <w:rPr>
                <w:rFonts w:cs="Arial"/>
                <w:b/>
                <w:bCs/>
                <w:color w:val="000000"/>
                <w:sz w:val="18"/>
                <w:szCs w:val="18"/>
              </w:rPr>
            </w:pPr>
            <w:r w:rsidRPr="000E3F92">
              <w:rPr>
                <w:rFonts w:cs="Arial"/>
                <w:b/>
                <w:bCs/>
                <w:color w:val="000000"/>
                <w:sz w:val="18"/>
                <w:szCs w:val="18"/>
              </w:rPr>
              <w:t>(f) = (e/c)</w:t>
            </w:r>
          </w:p>
        </w:tc>
      </w:tr>
      <w:tr w:rsidR="00F10233" w:rsidRPr="00F739AC" w14:paraId="318E6B69" w14:textId="77777777" w:rsidTr="00F10233">
        <w:trPr>
          <w:trHeight w:val="300"/>
        </w:trPr>
        <w:tc>
          <w:tcPr>
            <w:tcW w:w="1893" w:type="pct"/>
            <w:tcBorders>
              <w:top w:val="nil"/>
              <w:left w:val="nil"/>
              <w:bottom w:val="nil"/>
              <w:right w:val="single" w:sz="4" w:space="0" w:color="auto"/>
            </w:tcBorders>
            <w:shd w:val="clear" w:color="auto" w:fill="auto"/>
            <w:noWrap/>
            <w:vAlign w:val="center"/>
            <w:hideMark/>
          </w:tcPr>
          <w:p w14:paraId="7E069A2F" w14:textId="77777777" w:rsidR="004F78CE" w:rsidRPr="001F3EBC" w:rsidRDefault="004F78CE" w:rsidP="00D21055">
            <w:pPr>
              <w:jc w:val="left"/>
              <w:rPr>
                <w:rFonts w:cs="Arial"/>
                <w:color w:val="000000"/>
                <w:sz w:val="18"/>
                <w:szCs w:val="18"/>
              </w:rPr>
            </w:pPr>
            <w:r w:rsidRPr="001F3EBC">
              <w:rPr>
                <w:rFonts w:cs="Arial"/>
                <w:color w:val="000000"/>
                <w:sz w:val="18"/>
                <w:szCs w:val="18"/>
              </w:rPr>
              <w:t>Indenizaç</w:t>
            </w:r>
            <w:r>
              <w:rPr>
                <w:rFonts w:cs="Arial"/>
                <w:color w:val="000000"/>
                <w:sz w:val="18"/>
                <w:szCs w:val="18"/>
              </w:rPr>
              <w:t>ões</w:t>
            </w:r>
            <w:r w:rsidRPr="001F3EBC">
              <w:rPr>
                <w:rFonts w:cs="Arial"/>
                <w:color w:val="000000"/>
                <w:sz w:val="18"/>
                <w:szCs w:val="18"/>
              </w:rPr>
              <w:t xml:space="preserve"> e Restituições</w:t>
            </w:r>
          </w:p>
        </w:tc>
        <w:tc>
          <w:tcPr>
            <w:tcW w:w="607" w:type="pct"/>
            <w:tcBorders>
              <w:top w:val="nil"/>
              <w:left w:val="nil"/>
              <w:bottom w:val="nil"/>
              <w:right w:val="single" w:sz="4" w:space="0" w:color="auto"/>
            </w:tcBorders>
            <w:shd w:val="clear" w:color="auto" w:fill="auto"/>
            <w:noWrap/>
            <w:vAlign w:val="center"/>
            <w:hideMark/>
          </w:tcPr>
          <w:p w14:paraId="5E560A16" w14:textId="77777777" w:rsidR="004F78CE" w:rsidRPr="001F3EBC" w:rsidRDefault="004F78CE" w:rsidP="00D21055">
            <w:pPr>
              <w:jc w:val="right"/>
              <w:rPr>
                <w:rFonts w:cs="Arial"/>
                <w:color w:val="000000"/>
                <w:sz w:val="18"/>
                <w:szCs w:val="18"/>
              </w:rPr>
            </w:pPr>
            <w:r w:rsidRPr="001F3EBC">
              <w:rPr>
                <w:rFonts w:cs="Arial"/>
                <w:color w:val="000000"/>
                <w:sz w:val="18"/>
                <w:szCs w:val="18"/>
              </w:rPr>
              <w:t>1.074.126</w:t>
            </w:r>
          </w:p>
        </w:tc>
        <w:tc>
          <w:tcPr>
            <w:tcW w:w="379" w:type="pct"/>
            <w:tcBorders>
              <w:top w:val="nil"/>
              <w:left w:val="nil"/>
              <w:bottom w:val="nil"/>
              <w:right w:val="single" w:sz="4" w:space="0" w:color="auto"/>
            </w:tcBorders>
            <w:shd w:val="clear" w:color="auto" w:fill="auto"/>
            <w:noWrap/>
            <w:vAlign w:val="center"/>
            <w:hideMark/>
          </w:tcPr>
          <w:p w14:paraId="25CDE880" w14:textId="77777777" w:rsidR="004F78CE" w:rsidRPr="001F3EBC" w:rsidRDefault="004F78CE" w:rsidP="00D21055">
            <w:pPr>
              <w:jc w:val="center"/>
              <w:rPr>
                <w:rFonts w:cs="Arial"/>
                <w:color w:val="000000"/>
                <w:sz w:val="18"/>
                <w:szCs w:val="18"/>
              </w:rPr>
            </w:pPr>
            <w:r w:rsidRPr="001F3EBC">
              <w:rPr>
                <w:rFonts w:cs="Arial"/>
                <w:color w:val="000000"/>
                <w:sz w:val="18"/>
                <w:szCs w:val="18"/>
              </w:rPr>
              <w:t>7,36</w:t>
            </w:r>
          </w:p>
        </w:tc>
        <w:tc>
          <w:tcPr>
            <w:tcW w:w="606" w:type="pct"/>
            <w:tcBorders>
              <w:top w:val="nil"/>
              <w:left w:val="nil"/>
              <w:bottom w:val="nil"/>
              <w:right w:val="single" w:sz="4" w:space="0" w:color="auto"/>
            </w:tcBorders>
            <w:shd w:val="clear" w:color="auto" w:fill="auto"/>
            <w:noWrap/>
            <w:vAlign w:val="center"/>
            <w:hideMark/>
          </w:tcPr>
          <w:p w14:paraId="675D4FAA" w14:textId="77777777" w:rsidR="004F78CE" w:rsidRPr="001F3EBC" w:rsidRDefault="004F78CE" w:rsidP="00D21055">
            <w:pPr>
              <w:jc w:val="right"/>
              <w:rPr>
                <w:rFonts w:cs="Arial"/>
                <w:color w:val="000000"/>
                <w:sz w:val="18"/>
                <w:szCs w:val="18"/>
              </w:rPr>
            </w:pPr>
            <w:r w:rsidRPr="001F3EBC">
              <w:rPr>
                <w:rFonts w:cs="Arial"/>
                <w:color w:val="000000"/>
                <w:sz w:val="18"/>
                <w:szCs w:val="18"/>
              </w:rPr>
              <w:t>953</w:t>
            </w:r>
          </w:p>
        </w:tc>
        <w:tc>
          <w:tcPr>
            <w:tcW w:w="379" w:type="pct"/>
            <w:tcBorders>
              <w:top w:val="nil"/>
              <w:left w:val="nil"/>
              <w:bottom w:val="nil"/>
              <w:right w:val="single" w:sz="4" w:space="0" w:color="auto"/>
            </w:tcBorders>
            <w:shd w:val="clear" w:color="auto" w:fill="auto"/>
            <w:noWrap/>
            <w:vAlign w:val="center"/>
            <w:hideMark/>
          </w:tcPr>
          <w:p w14:paraId="01C60C72" w14:textId="77777777" w:rsidR="004F78CE" w:rsidRPr="001F3EBC" w:rsidRDefault="004F78CE" w:rsidP="00D21055">
            <w:pPr>
              <w:jc w:val="center"/>
              <w:rPr>
                <w:rFonts w:cs="Arial"/>
                <w:color w:val="000000"/>
                <w:sz w:val="18"/>
                <w:szCs w:val="18"/>
              </w:rPr>
            </w:pPr>
            <w:r w:rsidRPr="001F3EBC">
              <w:rPr>
                <w:rFonts w:cs="Arial"/>
                <w:color w:val="000000"/>
                <w:sz w:val="18"/>
                <w:szCs w:val="18"/>
              </w:rPr>
              <w:t>0,12</w:t>
            </w:r>
          </w:p>
        </w:tc>
        <w:tc>
          <w:tcPr>
            <w:tcW w:w="606" w:type="pct"/>
            <w:tcBorders>
              <w:top w:val="nil"/>
              <w:left w:val="nil"/>
              <w:bottom w:val="nil"/>
              <w:right w:val="single" w:sz="4" w:space="0" w:color="auto"/>
            </w:tcBorders>
            <w:shd w:val="clear" w:color="auto" w:fill="auto"/>
            <w:noWrap/>
            <w:vAlign w:val="center"/>
            <w:hideMark/>
          </w:tcPr>
          <w:p w14:paraId="25D8232B" w14:textId="77777777" w:rsidR="004F78CE" w:rsidRPr="00E57417" w:rsidRDefault="004F78CE" w:rsidP="00D21055">
            <w:pPr>
              <w:jc w:val="right"/>
              <w:rPr>
                <w:rFonts w:cs="Arial"/>
                <w:bCs/>
                <w:color w:val="000000"/>
                <w:sz w:val="18"/>
                <w:szCs w:val="18"/>
              </w:rPr>
            </w:pPr>
            <w:r w:rsidRPr="00E57417">
              <w:rPr>
                <w:rFonts w:cs="Arial"/>
                <w:bCs/>
                <w:color w:val="000000"/>
                <w:sz w:val="18"/>
                <w:szCs w:val="18"/>
              </w:rPr>
              <w:t>1.073.173</w:t>
            </w:r>
          </w:p>
        </w:tc>
        <w:tc>
          <w:tcPr>
            <w:tcW w:w="529" w:type="pct"/>
            <w:tcBorders>
              <w:top w:val="nil"/>
              <w:left w:val="nil"/>
              <w:bottom w:val="nil"/>
              <w:right w:val="nil"/>
            </w:tcBorders>
            <w:shd w:val="clear" w:color="auto" w:fill="auto"/>
            <w:noWrap/>
            <w:vAlign w:val="center"/>
            <w:hideMark/>
          </w:tcPr>
          <w:p w14:paraId="6FC9F379" w14:textId="77777777" w:rsidR="004F78CE" w:rsidRPr="001F3EBC" w:rsidRDefault="004F78CE" w:rsidP="00F10233">
            <w:pPr>
              <w:ind w:left="-72"/>
              <w:jc w:val="center"/>
              <w:rPr>
                <w:rFonts w:cs="Arial"/>
                <w:color w:val="000000"/>
                <w:sz w:val="18"/>
                <w:szCs w:val="18"/>
              </w:rPr>
            </w:pPr>
            <w:r w:rsidRPr="001F3EBC">
              <w:rPr>
                <w:rFonts w:cs="Arial"/>
                <w:color w:val="000000"/>
                <w:sz w:val="18"/>
                <w:szCs w:val="18"/>
              </w:rPr>
              <w:t>112602,88</w:t>
            </w:r>
          </w:p>
        </w:tc>
      </w:tr>
      <w:tr w:rsidR="00F10233" w:rsidRPr="00F739AC" w14:paraId="7421BA78" w14:textId="77777777" w:rsidTr="00F10233">
        <w:trPr>
          <w:trHeight w:val="300"/>
        </w:trPr>
        <w:tc>
          <w:tcPr>
            <w:tcW w:w="1893" w:type="pct"/>
            <w:tcBorders>
              <w:top w:val="nil"/>
              <w:left w:val="nil"/>
              <w:bottom w:val="nil"/>
              <w:right w:val="single" w:sz="4" w:space="0" w:color="auto"/>
            </w:tcBorders>
            <w:shd w:val="clear" w:color="auto" w:fill="auto"/>
            <w:noWrap/>
            <w:vAlign w:val="center"/>
            <w:hideMark/>
          </w:tcPr>
          <w:p w14:paraId="3FBB57C3" w14:textId="77777777" w:rsidR="004F78CE" w:rsidRPr="001F3EBC" w:rsidRDefault="004F78CE" w:rsidP="00D21055">
            <w:pPr>
              <w:jc w:val="left"/>
              <w:rPr>
                <w:rFonts w:cs="Arial"/>
                <w:color w:val="000000"/>
                <w:sz w:val="18"/>
                <w:szCs w:val="18"/>
              </w:rPr>
            </w:pPr>
            <w:r w:rsidRPr="001F3EBC">
              <w:rPr>
                <w:rFonts w:cs="Arial"/>
                <w:color w:val="000000"/>
                <w:sz w:val="18"/>
                <w:szCs w:val="18"/>
              </w:rPr>
              <w:t>Diárias a Pagar</w:t>
            </w:r>
          </w:p>
        </w:tc>
        <w:tc>
          <w:tcPr>
            <w:tcW w:w="607" w:type="pct"/>
            <w:tcBorders>
              <w:top w:val="nil"/>
              <w:left w:val="nil"/>
              <w:bottom w:val="nil"/>
              <w:right w:val="single" w:sz="4" w:space="0" w:color="auto"/>
            </w:tcBorders>
            <w:shd w:val="clear" w:color="auto" w:fill="auto"/>
            <w:noWrap/>
            <w:vAlign w:val="center"/>
            <w:hideMark/>
          </w:tcPr>
          <w:p w14:paraId="1122ABA9" w14:textId="77777777" w:rsidR="004F78CE" w:rsidRPr="001F3EBC" w:rsidRDefault="004F78CE" w:rsidP="00D21055">
            <w:pPr>
              <w:jc w:val="right"/>
              <w:rPr>
                <w:rFonts w:cs="Arial"/>
                <w:color w:val="000000"/>
                <w:sz w:val="18"/>
                <w:szCs w:val="18"/>
              </w:rPr>
            </w:pPr>
            <w:r w:rsidRPr="001F3EBC">
              <w:rPr>
                <w:rFonts w:cs="Arial"/>
                <w:color w:val="000000"/>
                <w:sz w:val="18"/>
                <w:szCs w:val="18"/>
              </w:rPr>
              <w:t>61</w:t>
            </w:r>
          </w:p>
        </w:tc>
        <w:tc>
          <w:tcPr>
            <w:tcW w:w="379" w:type="pct"/>
            <w:tcBorders>
              <w:top w:val="nil"/>
              <w:left w:val="nil"/>
              <w:bottom w:val="nil"/>
              <w:right w:val="single" w:sz="4" w:space="0" w:color="auto"/>
            </w:tcBorders>
            <w:shd w:val="clear" w:color="auto" w:fill="auto"/>
            <w:noWrap/>
            <w:vAlign w:val="center"/>
            <w:hideMark/>
          </w:tcPr>
          <w:p w14:paraId="7A20215F" w14:textId="77777777" w:rsidR="004F78CE" w:rsidRPr="001F3EBC" w:rsidRDefault="004F78CE" w:rsidP="00D21055">
            <w:pPr>
              <w:jc w:val="center"/>
              <w:rPr>
                <w:rFonts w:cs="Arial"/>
                <w:color w:val="000000"/>
                <w:sz w:val="18"/>
                <w:szCs w:val="18"/>
              </w:rPr>
            </w:pPr>
            <w:r w:rsidRPr="001F3EBC">
              <w:rPr>
                <w:rFonts w:cs="Arial"/>
                <w:color w:val="000000"/>
                <w:sz w:val="18"/>
                <w:szCs w:val="18"/>
              </w:rPr>
              <w:t>0,00</w:t>
            </w:r>
          </w:p>
        </w:tc>
        <w:tc>
          <w:tcPr>
            <w:tcW w:w="606" w:type="pct"/>
            <w:tcBorders>
              <w:top w:val="nil"/>
              <w:left w:val="nil"/>
              <w:bottom w:val="nil"/>
              <w:right w:val="single" w:sz="4" w:space="0" w:color="auto"/>
            </w:tcBorders>
            <w:shd w:val="clear" w:color="auto" w:fill="auto"/>
            <w:noWrap/>
            <w:vAlign w:val="center"/>
            <w:hideMark/>
          </w:tcPr>
          <w:p w14:paraId="3DAD3572" w14:textId="77777777" w:rsidR="004F78CE" w:rsidRPr="001F3EBC" w:rsidRDefault="004F78CE" w:rsidP="00D21055">
            <w:pPr>
              <w:jc w:val="right"/>
              <w:rPr>
                <w:rFonts w:cs="Arial"/>
                <w:color w:val="000000"/>
                <w:sz w:val="18"/>
                <w:szCs w:val="18"/>
              </w:rPr>
            </w:pPr>
            <w:r w:rsidRPr="001F3EBC">
              <w:rPr>
                <w:rFonts w:cs="Arial"/>
                <w:color w:val="000000"/>
                <w:sz w:val="18"/>
                <w:szCs w:val="18"/>
              </w:rPr>
              <w:t>32</w:t>
            </w:r>
          </w:p>
        </w:tc>
        <w:tc>
          <w:tcPr>
            <w:tcW w:w="379" w:type="pct"/>
            <w:tcBorders>
              <w:top w:val="nil"/>
              <w:left w:val="nil"/>
              <w:bottom w:val="nil"/>
              <w:right w:val="single" w:sz="4" w:space="0" w:color="auto"/>
            </w:tcBorders>
            <w:shd w:val="clear" w:color="auto" w:fill="auto"/>
            <w:noWrap/>
            <w:vAlign w:val="center"/>
            <w:hideMark/>
          </w:tcPr>
          <w:p w14:paraId="38E81AAD" w14:textId="77777777" w:rsidR="004F78CE" w:rsidRPr="001F3EBC" w:rsidRDefault="004F78CE" w:rsidP="00D21055">
            <w:pPr>
              <w:jc w:val="center"/>
              <w:rPr>
                <w:rFonts w:cs="Arial"/>
                <w:color w:val="000000"/>
                <w:sz w:val="18"/>
                <w:szCs w:val="18"/>
              </w:rPr>
            </w:pPr>
            <w:r w:rsidRPr="001F3EBC">
              <w:rPr>
                <w:rFonts w:cs="Arial"/>
                <w:color w:val="000000"/>
                <w:sz w:val="18"/>
                <w:szCs w:val="18"/>
              </w:rPr>
              <w:t>0,00</w:t>
            </w:r>
          </w:p>
        </w:tc>
        <w:tc>
          <w:tcPr>
            <w:tcW w:w="606" w:type="pct"/>
            <w:tcBorders>
              <w:top w:val="nil"/>
              <w:left w:val="nil"/>
              <w:bottom w:val="nil"/>
              <w:right w:val="single" w:sz="4" w:space="0" w:color="auto"/>
            </w:tcBorders>
            <w:shd w:val="clear" w:color="auto" w:fill="auto"/>
            <w:noWrap/>
            <w:vAlign w:val="center"/>
            <w:hideMark/>
          </w:tcPr>
          <w:p w14:paraId="3B542488" w14:textId="77777777" w:rsidR="004F78CE" w:rsidRPr="00E57417" w:rsidRDefault="004F78CE" w:rsidP="00D21055">
            <w:pPr>
              <w:jc w:val="right"/>
              <w:rPr>
                <w:rFonts w:cs="Arial"/>
                <w:bCs/>
                <w:color w:val="000000"/>
                <w:sz w:val="18"/>
                <w:szCs w:val="18"/>
              </w:rPr>
            </w:pPr>
            <w:r w:rsidRPr="00E57417">
              <w:rPr>
                <w:rFonts w:cs="Arial"/>
                <w:bCs/>
                <w:color w:val="000000"/>
                <w:sz w:val="18"/>
                <w:szCs w:val="18"/>
              </w:rPr>
              <w:t>29</w:t>
            </w:r>
          </w:p>
        </w:tc>
        <w:tc>
          <w:tcPr>
            <w:tcW w:w="529" w:type="pct"/>
            <w:tcBorders>
              <w:top w:val="nil"/>
              <w:left w:val="nil"/>
              <w:bottom w:val="nil"/>
              <w:right w:val="nil"/>
            </w:tcBorders>
            <w:shd w:val="clear" w:color="auto" w:fill="auto"/>
            <w:noWrap/>
            <w:vAlign w:val="center"/>
            <w:hideMark/>
          </w:tcPr>
          <w:p w14:paraId="260A4C66" w14:textId="77777777" w:rsidR="004F78CE" w:rsidRPr="001F3EBC" w:rsidRDefault="004F78CE" w:rsidP="00D21055">
            <w:pPr>
              <w:jc w:val="center"/>
              <w:rPr>
                <w:rFonts w:cs="Arial"/>
                <w:color w:val="000000"/>
                <w:sz w:val="18"/>
                <w:szCs w:val="18"/>
              </w:rPr>
            </w:pPr>
            <w:r w:rsidRPr="001F3EBC">
              <w:rPr>
                <w:rFonts w:cs="Arial"/>
                <w:color w:val="000000"/>
                <w:sz w:val="18"/>
                <w:szCs w:val="18"/>
              </w:rPr>
              <w:t>89,67</w:t>
            </w:r>
          </w:p>
        </w:tc>
      </w:tr>
      <w:tr w:rsidR="00F10233" w:rsidRPr="00F739AC" w14:paraId="669DD486" w14:textId="77777777" w:rsidTr="00F10233">
        <w:trPr>
          <w:trHeight w:val="300"/>
        </w:trPr>
        <w:tc>
          <w:tcPr>
            <w:tcW w:w="1893" w:type="pct"/>
            <w:tcBorders>
              <w:top w:val="nil"/>
              <w:left w:val="nil"/>
              <w:bottom w:val="nil"/>
              <w:right w:val="single" w:sz="4" w:space="0" w:color="auto"/>
            </w:tcBorders>
            <w:shd w:val="clear" w:color="auto" w:fill="auto"/>
            <w:noWrap/>
            <w:vAlign w:val="center"/>
            <w:hideMark/>
          </w:tcPr>
          <w:p w14:paraId="4CFB907E" w14:textId="77777777" w:rsidR="004F78CE" w:rsidRPr="001F3EBC" w:rsidRDefault="004F78CE" w:rsidP="00D21055">
            <w:pPr>
              <w:jc w:val="left"/>
              <w:rPr>
                <w:rFonts w:cs="Arial"/>
                <w:color w:val="000000"/>
                <w:sz w:val="18"/>
                <w:szCs w:val="18"/>
              </w:rPr>
            </w:pPr>
            <w:r w:rsidRPr="001F3EBC">
              <w:rPr>
                <w:rFonts w:cs="Arial"/>
                <w:color w:val="000000"/>
                <w:sz w:val="18"/>
                <w:szCs w:val="18"/>
              </w:rPr>
              <w:t>Suprimentos de Fundos a Pagar</w:t>
            </w:r>
          </w:p>
        </w:tc>
        <w:tc>
          <w:tcPr>
            <w:tcW w:w="607" w:type="pct"/>
            <w:tcBorders>
              <w:top w:val="nil"/>
              <w:left w:val="nil"/>
              <w:bottom w:val="nil"/>
              <w:right w:val="single" w:sz="4" w:space="0" w:color="auto"/>
            </w:tcBorders>
            <w:shd w:val="clear" w:color="auto" w:fill="auto"/>
            <w:noWrap/>
            <w:vAlign w:val="center"/>
            <w:hideMark/>
          </w:tcPr>
          <w:p w14:paraId="69E31833" w14:textId="77777777" w:rsidR="004F78CE" w:rsidRPr="001F3EBC" w:rsidRDefault="004F78CE" w:rsidP="00D21055">
            <w:pPr>
              <w:jc w:val="right"/>
              <w:rPr>
                <w:rFonts w:cs="Arial"/>
                <w:color w:val="000000"/>
                <w:sz w:val="18"/>
                <w:szCs w:val="18"/>
              </w:rPr>
            </w:pPr>
            <w:r w:rsidRPr="001F3EBC">
              <w:rPr>
                <w:rFonts w:cs="Arial"/>
                <w:color w:val="000000"/>
                <w:sz w:val="18"/>
                <w:szCs w:val="18"/>
              </w:rPr>
              <w:t>3</w:t>
            </w:r>
          </w:p>
        </w:tc>
        <w:tc>
          <w:tcPr>
            <w:tcW w:w="379" w:type="pct"/>
            <w:tcBorders>
              <w:top w:val="nil"/>
              <w:left w:val="nil"/>
              <w:bottom w:val="nil"/>
              <w:right w:val="single" w:sz="4" w:space="0" w:color="auto"/>
            </w:tcBorders>
            <w:shd w:val="clear" w:color="auto" w:fill="auto"/>
            <w:noWrap/>
            <w:vAlign w:val="center"/>
            <w:hideMark/>
          </w:tcPr>
          <w:p w14:paraId="482441FB" w14:textId="77777777" w:rsidR="004F78CE" w:rsidRPr="001F3EBC" w:rsidRDefault="004F78CE" w:rsidP="00D21055">
            <w:pPr>
              <w:jc w:val="center"/>
              <w:rPr>
                <w:rFonts w:cs="Arial"/>
                <w:color w:val="000000"/>
                <w:sz w:val="18"/>
                <w:szCs w:val="18"/>
              </w:rPr>
            </w:pPr>
            <w:r w:rsidRPr="001F3EBC">
              <w:rPr>
                <w:rFonts w:cs="Arial"/>
                <w:color w:val="000000"/>
                <w:sz w:val="18"/>
                <w:szCs w:val="18"/>
              </w:rPr>
              <w:t>0,00</w:t>
            </w:r>
          </w:p>
        </w:tc>
        <w:tc>
          <w:tcPr>
            <w:tcW w:w="606" w:type="pct"/>
            <w:tcBorders>
              <w:top w:val="nil"/>
              <w:left w:val="nil"/>
              <w:bottom w:val="nil"/>
              <w:right w:val="single" w:sz="4" w:space="0" w:color="auto"/>
            </w:tcBorders>
            <w:shd w:val="clear" w:color="auto" w:fill="auto"/>
            <w:noWrap/>
            <w:vAlign w:val="center"/>
            <w:hideMark/>
          </w:tcPr>
          <w:p w14:paraId="320411C7" w14:textId="77777777" w:rsidR="004F78CE" w:rsidRPr="001F3EBC" w:rsidRDefault="004F78CE" w:rsidP="00D21055">
            <w:pPr>
              <w:jc w:val="right"/>
              <w:rPr>
                <w:rFonts w:cs="Arial"/>
                <w:color w:val="000000"/>
                <w:sz w:val="18"/>
                <w:szCs w:val="18"/>
              </w:rPr>
            </w:pPr>
            <w:r w:rsidRPr="001F3EBC">
              <w:rPr>
                <w:rFonts w:cs="Arial"/>
                <w:color w:val="000000"/>
                <w:sz w:val="18"/>
                <w:szCs w:val="18"/>
              </w:rPr>
              <w:t>7</w:t>
            </w:r>
          </w:p>
        </w:tc>
        <w:tc>
          <w:tcPr>
            <w:tcW w:w="379" w:type="pct"/>
            <w:tcBorders>
              <w:top w:val="nil"/>
              <w:left w:val="nil"/>
              <w:bottom w:val="nil"/>
              <w:right w:val="single" w:sz="4" w:space="0" w:color="auto"/>
            </w:tcBorders>
            <w:shd w:val="clear" w:color="auto" w:fill="auto"/>
            <w:noWrap/>
            <w:vAlign w:val="center"/>
            <w:hideMark/>
          </w:tcPr>
          <w:p w14:paraId="612ABFBB" w14:textId="77777777" w:rsidR="004F78CE" w:rsidRPr="001F3EBC" w:rsidRDefault="004F78CE" w:rsidP="00D21055">
            <w:pPr>
              <w:jc w:val="center"/>
              <w:rPr>
                <w:rFonts w:cs="Arial"/>
                <w:color w:val="000000"/>
                <w:sz w:val="18"/>
                <w:szCs w:val="18"/>
              </w:rPr>
            </w:pPr>
            <w:r w:rsidRPr="001F3EBC">
              <w:rPr>
                <w:rFonts w:cs="Arial"/>
                <w:color w:val="000000"/>
                <w:sz w:val="18"/>
                <w:szCs w:val="18"/>
              </w:rPr>
              <w:t>0,00</w:t>
            </w:r>
          </w:p>
        </w:tc>
        <w:tc>
          <w:tcPr>
            <w:tcW w:w="606" w:type="pct"/>
            <w:tcBorders>
              <w:top w:val="nil"/>
              <w:left w:val="nil"/>
              <w:bottom w:val="nil"/>
              <w:right w:val="single" w:sz="4" w:space="0" w:color="auto"/>
            </w:tcBorders>
            <w:shd w:val="clear" w:color="auto" w:fill="auto"/>
            <w:noWrap/>
            <w:vAlign w:val="center"/>
            <w:hideMark/>
          </w:tcPr>
          <w:p w14:paraId="400A4ADD" w14:textId="77777777" w:rsidR="004F78CE" w:rsidRPr="00E57417" w:rsidRDefault="004F78CE" w:rsidP="00D21055">
            <w:pPr>
              <w:jc w:val="right"/>
              <w:rPr>
                <w:rFonts w:cs="Arial"/>
                <w:bCs/>
                <w:color w:val="000000"/>
                <w:sz w:val="18"/>
                <w:szCs w:val="18"/>
              </w:rPr>
            </w:pPr>
            <w:r w:rsidRPr="00E57417">
              <w:rPr>
                <w:rFonts w:cs="Arial"/>
                <w:bCs/>
                <w:color w:val="FF0000"/>
                <w:sz w:val="18"/>
                <w:szCs w:val="18"/>
              </w:rPr>
              <w:t>(4)</w:t>
            </w:r>
          </w:p>
        </w:tc>
        <w:tc>
          <w:tcPr>
            <w:tcW w:w="529" w:type="pct"/>
            <w:tcBorders>
              <w:top w:val="nil"/>
              <w:left w:val="nil"/>
              <w:bottom w:val="nil"/>
              <w:right w:val="nil"/>
            </w:tcBorders>
            <w:shd w:val="clear" w:color="auto" w:fill="auto"/>
            <w:noWrap/>
            <w:vAlign w:val="center"/>
            <w:hideMark/>
          </w:tcPr>
          <w:p w14:paraId="65E6E9A2" w14:textId="77777777" w:rsidR="004F78CE" w:rsidRPr="001F3EBC" w:rsidRDefault="004F78CE" w:rsidP="00D21055">
            <w:pPr>
              <w:jc w:val="center"/>
              <w:rPr>
                <w:rFonts w:cs="Arial"/>
                <w:color w:val="000000"/>
                <w:sz w:val="18"/>
                <w:szCs w:val="18"/>
              </w:rPr>
            </w:pPr>
            <w:r w:rsidRPr="001F3EBC">
              <w:rPr>
                <w:rFonts w:cs="Arial"/>
                <w:color w:val="FF0000"/>
                <w:sz w:val="18"/>
                <w:szCs w:val="18"/>
              </w:rPr>
              <w:t>(61,12)</w:t>
            </w:r>
          </w:p>
        </w:tc>
      </w:tr>
      <w:tr w:rsidR="00F10233" w:rsidRPr="00F739AC" w14:paraId="17742CB7" w14:textId="77777777" w:rsidTr="00F10233">
        <w:trPr>
          <w:trHeight w:val="300"/>
        </w:trPr>
        <w:tc>
          <w:tcPr>
            <w:tcW w:w="1893" w:type="pct"/>
            <w:tcBorders>
              <w:top w:val="nil"/>
              <w:left w:val="nil"/>
              <w:bottom w:val="nil"/>
              <w:right w:val="single" w:sz="4" w:space="0" w:color="auto"/>
            </w:tcBorders>
            <w:shd w:val="clear" w:color="auto" w:fill="auto"/>
            <w:noWrap/>
            <w:vAlign w:val="center"/>
            <w:hideMark/>
          </w:tcPr>
          <w:p w14:paraId="4FEF0F5E" w14:textId="77777777" w:rsidR="004F78CE" w:rsidRPr="001F3EBC" w:rsidRDefault="004F78CE" w:rsidP="00D21055">
            <w:pPr>
              <w:jc w:val="left"/>
              <w:rPr>
                <w:rFonts w:cs="Arial"/>
                <w:color w:val="000000"/>
                <w:sz w:val="18"/>
                <w:szCs w:val="18"/>
              </w:rPr>
            </w:pPr>
            <w:r w:rsidRPr="001F3EBC">
              <w:rPr>
                <w:rFonts w:cs="Arial"/>
                <w:color w:val="000000"/>
                <w:sz w:val="18"/>
                <w:szCs w:val="18"/>
              </w:rPr>
              <w:t>Subvenções a Pagar</w:t>
            </w:r>
          </w:p>
        </w:tc>
        <w:tc>
          <w:tcPr>
            <w:tcW w:w="607" w:type="pct"/>
            <w:tcBorders>
              <w:top w:val="nil"/>
              <w:left w:val="nil"/>
              <w:bottom w:val="nil"/>
              <w:right w:val="single" w:sz="4" w:space="0" w:color="auto"/>
            </w:tcBorders>
            <w:shd w:val="clear" w:color="auto" w:fill="auto"/>
            <w:noWrap/>
            <w:vAlign w:val="center"/>
            <w:hideMark/>
          </w:tcPr>
          <w:p w14:paraId="212D5833" w14:textId="77777777" w:rsidR="004F78CE" w:rsidRPr="001F3EBC" w:rsidRDefault="004F78CE" w:rsidP="00D21055">
            <w:pPr>
              <w:jc w:val="right"/>
              <w:rPr>
                <w:rFonts w:cs="Arial"/>
                <w:color w:val="000000"/>
                <w:sz w:val="18"/>
                <w:szCs w:val="18"/>
              </w:rPr>
            </w:pPr>
            <w:r w:rsidRPr="001F3EBC">
              <w:rPr>
                <w:rFonts w:cs="Arial"/>
                <w:color w:val="000000"/>
                <w:sz w:val="18"/>
                <w:szCs w:val="18"/>
              </w:rPr>
              <w:t>292.493</w:t>
            </w:r>
          </w:p>
        </w:tc>
        <w:tc>
          <w:tcPr>
            <w:tcW w:w="379" w:type="pct"/>
            <w:tcBorders>
              <w:top w:val="nil"/>
              <w:left w:val="nil"/>
              <w:bottom w:val="nil"/>
              <w:right w:val="single" w:sz="4" w:space="0" w:color="auto"/>
            </w:tcBorders>
            <w:shd w:val="clear" w:color="auto" w:fill="auto"/>
            <w:noWrap/>
            <w:vAlign w:val="center"/>
            <w:hideMark/>
          </w:tcPr>
          <w:p w14:paraId="639D6834" w14:textId="77777777" w:rsidR="004F78CE" w:rsidRPr="001F3EBC" w:rsidRDefault="004F78CE" w:rsidP="00D21055">
            <w:pPr>
              <w:jc w:val="center"/>
              <w:rPr>
                <w:rFonts w:cs="Arial"/>
                <w:color w:val="000000"/>
                <w:sz w:val="18"/>
                <w:szCs w:val="18"/>
              </w:rPr>
            </w:pPr>
            <w:r w:rsidRPr="001F3EBC">
              <w:rPr>
                <w:rFonts w:cs="Arial"/>
                <w:color w:val="000000"/>
                <w:sz w:val="18"/>
                <w:szCs w:val="18"/>
              </w:rPr>
              <w:t>2,00</w:t>
            </w:r>
          </w:p>
        </w:tc>
        <w:tc>
          <w:tcPr>
            <w:tcW w:w="606" w:type="pct"/>
            <w:tcBorders>
              <w:top w:val="nil"/>
              <w:left w:val="nil"/>
              <w:bottom w:val="nil"/>
              <w:right w:val="single" w:sz="4" w:space="0" w:color="auto"/>
            </w:tcBorders>
            <w:shd w:val="clear" w:color="auto" w:fill="auto"/>
            <w:noWrap/>
            <w:vAlign w:val="center"/>
            <w:hideMark/>
          </w:tcPr>
          <w:p w14:paraId="28B37E44" w14:textId="77777777" w:rsidR="004F78CE" w:rsidRPr="001F3EBC" w:rsidRDefault="004F78CE" w:rsidP="00D21055">
            <w:pPr>
              <w:jc w:val="right"/>
              <w:rPr>
                <w:rFonts w:cs="Arial"/>
                <w:color w:val="000000"/>
                <w:sz w:val="18"/>
                <w:szCs w:val="18"/>
              </w:rPr>
            </w:pPr>
            <w:r w:rsidRPr="001F3EBC">
              <w:rPr>
                <w:rFonts w:cs="Arial"/>
                <w:color w:val="000000"/>
                <w:sz w:val="18"/>
                <w:szCs w:val="18"/>
              </w:rPr>
              <w:t>412.639</w:t>
            </w:r>
          </w:p>
        </w:tc>
        <w:tc>
          <w:tcPr>
            <w:tcW w:w="379" w:type="pct"/>
            <w:tcBorders>
              <w:top w:val="nil"/>
              <w:left w:val="nil"/>
              <w:bottom w:val="nil"/>
              <w:right w:val="single" w:sz="4" w:space="0" w:color="auto"/>
            </w:tcBorders>
            <w:shd w:val="clear" w:color="auto" w:fill="auto"/>
            <w:noWrap/>
            <w:vAlign w:val="center"/>
            <w:hideMark/>
          </w:tcPr>
          <w:p w14:paraId="08FFB559" w14:textId="77777777" w:rsidR="004F78CE" w:rsidRPr="001F3EBC" w:rsidRDefault="004F78CE" w:rsidP="00D21055">
            <w:pPr>
              <w:jc w:val="center"/>
              <w:rPr>
                <w:rFonts w:cs="Arial"/>
                <w:color w:val="000000"/>
                <w:sz w:val="18"/>
                <w:szCs w:val="18"/>
              </w:rPr>
            </w:pPr>
            <w:r w:rsidRPr="001F3EBC">
              <w:rPr>
                <w:rFonts w:cs="Arial"/>
                <w:color w:val="000000"/>
                <w:sz w:val="18"/>
                <w:szCs w:val="18"/>
              </w:rPr>
              <w:t>49,88</w:t>
            </w:r>
          </w:p>
        </w:tc>
        <w:tc>
          <w:tcPr>
            <w:tcW w:w="606" w:type="pct"/>
            <w:tcBorders>
              <w:top w:val="nil"/>
              <w:left w:val="nil"/>
              <w:bottom w:val="nil"/>
              <w:right w:val="single" w:sz="4" w:space="0" w:color="auto"/>
            </w:tcBorders>
            <w:shd w:val="clear" w:color="auto" w:fill="auto"/>
            <w:noWrap/>
            <w:vAlign w:val="center"/>
            <w:hideMark/>
          </w:tcPr>
          <w:p w14:paraId="54DCC51D" w14:textId="77777777" w:rsidR="004F78CE" w:rsidRPr="00E57417" w:rsidRDefault="004F78CE" w:rsidP="00D21055">
            <w:pPr>
              <w:jc w:val="right"/>
              <w:rPr>
                <w:rFonts w:cs="Arial"/>
                <w:bCs/>
                <w:color w:val="000000"/>
                <w:sz w:val="18"/>
                <w:szCs w:val="18"/>
              </w:rPr>
            </w:pPr>
            <w:r w:rsidRPr="00E57417">
              <w:rPr>
                <w:rFonts w:cs="Arial"/>
                <w:bCs/>
                <w:color w:val="FF0000"/>
                <w:sz w:val="18"/>
                <w:szCs w:val="18"/>
              </w:rPr>
              <w:t>(120.146)</w:t>
            </w:r>
          </w:p>
        </w:tc>
        <w:tc>
          <w:tcPr>
            <w:tcW w:w="529" w:type="pct"/>
            <w:tcBorders>
              <w:top w:val="nil"/>
              <w:left w:val="nil"/>
              <w:bottom w:val="nil"/>
              <w:right w:val="nil"/>
            </w:tcBorders>
            <w:shd w:val="clear" w:color="auto" w:fill="auto"/>
            <w:noWrap/>
            <w:vAlign w:val="center"/>
            <w:hideMark/>
          </w:tcPr>
          <w:p w14:paraId="3482C2B3" w14:textId="77777777" w:rsidR="004F78CE" w:rsidRPr="001F3EBC" w:rsidRDefault="004F78CE" w:rsidP="00D21055">
            <w:pPr>
              <w:jc w:val="center"/>
              <w:rPr>
                <w:rFonts w:cs="Arial"/>
                <w:color w:val="000000"/>
                <w:sz w:val="18"/>
                <w:szCs w:val="18"/>
              </w:rPr>
            </w:pPr>
            <w:r w:rsidRPr="001F3EBC">
              <w:rPr>
                <w:rFonts w:cs="Arial"/>
                <w:color w:val="FF0000"/>
                <w:sz w:val="18"/>
                <w:szCs w:val="18"/>
              </w:rPr>
              <w:t>(29,12)</w:t>
            </w:r>
          </w:p>
        </w:tc>
      </w:tr>
      <w:tr w:rsidR="00F10233" w:rsidRPr="00F739AC" w14:paraId="10EC8937" w14:textId="77777777" w:rsidTr="00F10233">
        <w:trPr>
          <w:trHeight w:val="300"/>
        </w:trPr>
        <w:tc>
          <w:tcPr>
            <w:tcW w:w="1893" w:type="pct"/>
            <w:tcBorders>
              <w:top w:val="nil"/>
              <w:left w:val="nil"/>
              <w:bottom w:val="nil"/>
              <w:right w:val="single" w:sz="4" w:space="0" w:color="auto"/>
            </w:tcBorders>
            <w:shd w:val="clear" w:color="auto" w:fill="auto"/>
            <w:noWrap/>
            <w:vAlign w:val="center"/>
            <w:hideMark/>
          </w:tcPr>
          <w:p w14:paraId="5EE41A3B" w14:textId="77777777" w:rsidR="004F78CE" w:rsidRPr="001F3EBC" w:rsidRDefault="004F78CE" w:rsidP="00D21055">
            <w:pPr>
              <w:jc w:val="left"/>
              <w:rPr>
                <w:rFonts w:cs="Arial"/>
                <w:color w:val="000000"/>
                <w:sz w:val="18"/>
                <w:szCs w:val="18"/>
              </w:rPr>
            </w:pPr>
            <w:r w:rsidRPr="001F3EBC">
              <w:rPr>
                <w:rFonts w:cs="Arial"/>
                <w:color w:val="000000"/>
                <w:sz w:val="18"/>
                <w:szCs w:val="18"/>
              </w:rPr>
              <w:t>Transferências Orçamentárias a Liberar</w:t>
            </w:r>
          </w:p>
        </w:tc>
        <w:tc>
          <w:tcPr>
            <w:tcW w:w="607" w:type="pct"/>
            <w:tcBorders>
              <w:top w:val="nil"/>
              <w:left w:val="nil"/>
              <w:bottom w:val="nil"/>
              <w:right w:val="single" w:sz="4" w:space="0" w:color="auto"/>
            </w:tcBorders>
            <w:shd w:val="clear" w:color="auto" w:fill="auto"/>
            <w:noWrap/>
            <w:vAlign w:val="center"/>
            <w:hideMark/>
          </w:tcPr>
          <w:p w14:paraId="6FCF3AA6" w14:textId="77777777" w:rsidR="004F78CE" w:rsidRPr="001F3EBC" w:rsidRDefault="004F78CE" w:rsidP="00D21055">
            <w:pPr>
              <w:jc w:val="right"/>
              <w:rPr>
                <w:rFonts w:cs="Arial"/>
                <w:color w:val="000000"/>
                <w:sz w:val="18"/>
                <w:szCs w:val="18"/>
              </w:rPr>
            </w:pPr>
            <w:r w:rsidRPr="001F3EBC">
              <w:rPr>
                <w:rFonts w:cs="Arial"/>
                <w:color w:val="000000"/>
                <w:sz w:val="18"/>
                <w:szCs w:val="18"/>
              </w:rPr>
              <w:t>16.095</w:t>
            </w:r>
          </w:p>
        </w:tc>
        <w:tc>
          <w:tcPr>
            <w:tcW w:w="379" w:type="pct"/>
            <w:tcBorders>
              <w:top w:val="nil"/>
              <w:left w:val="nil"/>
              <w:bottom w:val="nil"/>
              <w:right w:val="single" w:sz="4" w:space="0" w:color="auto"/>
            </w:tcBorders>
            <w:shd w:val="clear" w:color="auto" w:fill="auto"/>
            <w:noWrap/>
            <w:vAlign w:val="center"/>
            <w:hideMark/>
          </w:tcPr>
          <w:p w14:paraId="7C09DDC0" w14:textId="77777777" w:rsidR="004F78CE" w:rsidRPr="001F3EBC" w:rsidRDefault="004F78CE" w:rsidP="00D21055">
            <w:pPr>
              <w:jc w:val="center"/>
              <w:rPr>
                <w:rFonts w:cs="Arial"/>
                <w:color w:val="000000"/>
                <w:sz w:val="18"/>
                <w:szCs w:val="18"/>
              </w:rPr>
            </w:pPr>
            <w:r w:rsidRPr="001F3EBC">
              <w:rPr>
                <w:rFonts w:cs="Arial"/>
                <w:color w:val="000000"/>
                <w:sz w:val="18"/>
                <w:szCs w:val="18"/>
              </w:rPr>
              <w:t>0,11</w:t>
            </w:r>
          </w:p>
        </w:tc>
        <w:tc>
          <w:tcPr>
            <w:tcW w:w="606" w:type="pct"/>
            <w:tcBorders>
              <w:top w:val="nil"/>
              <w:left w:val="nil"/>
              <w:bottom w:val="nil"/>
              <w:right w:val="single" w:sz="4" w:space="0" w:color="auto"/>
            </w:tcBorders>
            <w:shd w:val="clear" w:color="auto" w:fill="auto"/>
            <w:noWrap/>
            <w:vAlign w:val="center"/>
            <w:hideMark/>
          </w:tcPr>
          <w:p w14:paraId="218CFAE0" w14:textId="77777777" w:rsidR="004F78CE" w:rsidRPr="001F3EBC" w:rsidRDefault="004F78CE" w:rsidP="00D21055">
            <w:pPr>
              <w:jc w:val="right"/>
              <w:rPr>
                <w:rFonts w:cs="Arial"/>
                <w:color w:val="000000"/>
                <w:sz w:val="18"/>
                <w:szCs w:val="18"/>
              </w:rPr>
            </w:pPr>
            <w:r w:rsidRPr="001F3EBC">
              <w:rPr>
                <w:rFonts w:cs="Arial"/>
                <w:color w:val="000000"/>
                <w:sz w:val="18"/>
                <w:szCs w:val="18"/>
              </w:rPr>
              <w:t>8.102</w:t>
            </w:r>
          </w:p>
        </w:tc>
        <w:tc>
          <w:tcPr>
            <w:tcW w:w="379" w:type="pct"/>
            <w:tcBorders>
              <w:top w:val="nil"/>
              <w:left w:val="nil"/>
              <w:bottom w:val="nil"/>
              <w:right w:val="single" w:sz="4" w:space="0" w:color="auto"/>
            </w:tcBorders>
            <w:shd w:val="clear" w:color="auto" w:fill="auto"/>
            <w:noWrap/>
            <w:vAlign w:val="center"/>
            <w:hideMark/>
          </w:tcPr>
          <w:p w14:paraId="38811B0C" w14:textId="77777777" w:rsidR="004F78CE" w:rsidRPr="001F3EBC" w:rsidRDefault="004F78CE" w:rsidP="00D21055">
            <w:pPr>
              <w:jc w:val="center"/>
              <w:rPr>
                <w:rFonts w:cs="Arial"/>
                <w:color w:val="000000"/>
                <w:sz w:val="18"/>
                <w:szCs w:val="18"/>
              </w:rPr>
            </w:pPr>
            <w:r w:rsidRPr="001F3EBC">
              <w:rPr>
                <w:rFonts w:cs="Arial"/>
                <w:color w:val="000000"/>
                <w:sz w:val="18"/>
                <w:szCs w:val="18"/>
              </w:rPr>
              <w:t>0,98</w:t>
            </w:r>
          </w:p>
        </w:tc>
        <w:tc>
          <w:tcPr>
            <w:tcW w:w="606" w:type="pct"/>
            <w:tcBorders>
              <w:top w:val="nil"/>
              <w:left w:val="nil"/>
              <w:bottom w:val="nil"/>
              <w:right w:val="single" w:sz="4" w:space="0" w:color="auto"/>
            </w:tcBorders>
            <w:shd w:val="clear" w:color="auto" w:fill="auto"/>
            <w:noWrap/>
            <w:vAlign w:val="center"/>
            <w:hideMark/>
          </w:tcPr>
          <w:p w14:paraId="4BF773A0" w14:textId="77777777" w:rsidR="004F78CE" w:rsidRPr="00E57417" w:rsidRDefault="004F78CE" w:rsidP="00D21055">
            <w:pPr>
              <w:jc w:val="right"/>
              <w:rPr>
                <w:rFonts w:cs="Arial"/>
                <w:bCs/>
                <w:color w:val="000000"/>
                <w:sz w:val="18"/>
                <w:szCs w:val="18"/>
              </w:rPr>
            </w:pPr>
            <w:r w:rsidRPr="00E57417">
              <w:rPr>
                <w:rFonts w:cs="Arial"/>
                <w:bCs/>
                <w:color w:val="000000"/>
                <w:sz w:val="18"/>
                <w:szCs w:val="18"/>
              </w:rPr>
              <w:t>7.993</w:t>
            </w:r>
          </w:p>
        </w:tc>
        <w:tc>
          <w:tcPr>
            <w:tcW w:w="529" w:type="pct"/>
            <w:tcBorders>
              <w:top w:val="nil"/>
              <w:left w:val="nil"/>
              <w:bottom w:val="nil"/>
              <w:right w:val="nil"/>
            </w:tcBorders>
            <w:shd w:val="clear" w:color="auto" w:fill="auto"/>
            <w:noWrap/>
            <w:vAlign w:val="center"/>
            <w:hideMark/>
          </w:tcPr>
          <w:p w14:paraId="6F1B99EA" w14:textId="77777777" w:rsidR="004F78CE" w:rsidRPr="001F3EBC" w:rsidRDefault="004F78CE" w:rsidP="00D21055">
            <w:pPr>
              <w:jc w:val="center"/>
              <w:rPr>
                <w:rFonts w:cs="Arial"/>
                <w:color w:val="000000"/>
                <w:sz w:val="18"/>
                <w:szCs w:val="18"/>
              </w:rPr>
            </w:pPr>
            <w:r w:rsidRPr="001F3EBC">
              <w:rPr>
                <w:rFonts w:cs="Arial"/>
                <w:color w:val="000000"/>
                <w:sz w:val="18"/>
                <w:szCs w:val="18"/>
              </w:rPr>
              <w:t>98,65</w:t>
            </w:r>
          </w:p>
        </w:tc>
      </w:tr>
      <w:tr w:rsidR="00F10233" w:rsidRPr="00F739AC" w14:paraId="3D7378B3" w14:textId="77777777" w:rsidTr="00F10233">
        <w:trPr>
          <w:trHeight w:val="300"/>
        </w:trPr>
        <w:tc>
          <w:tcPr>
            <w:tcW w:w="1893" w:type="pct"/>
            <w:tcBorders>
              <w:top w:val="nil"/>
              <w:left w:val="nil"/>
              <w:bottom w:val="nil"/>
              <w:right w:val="single" w:sz="4" w:space="0" w:color="auto"/>
            </w:tcBorders>
            <w:shd w:val="clear" w:color="auto" w:fill="auto"/>
            <w:noWrap/>
            <w:vAlign w:val="center"/>
            <w:hideMark/>
          </w:tcPr>
          <w:p w14:paraId="5D58C956" w14:textId="77777777" w:rsidR="004F78CE" w:rsidRPr="001F3EBC" w:rsidRDefault="004F78CE" w:rsidP="00D21055">
            <w:pPr>
              <w:jc w:val="left"/>
              <w:rPr>
                <w:rFonts w:cs="Arial"/>
                <w:color w:val="000000"/>
                <w:sz w:val="18"/>
                <w:szCs w:val="18"/>
              </w:rPr>
            </w:pPr>
            <w:r w:rsidRPr="001F3EBC">
              <w:rPr>
                <w:rFonts w:cs="Arial"/>
                <w:color w:val="000000"/>
                <w:sz w:val="18"/>
                <w:szCs w:val="18"/>
              </w:rPr>
              <w:t xml:space="preserve">Demais Obrigações </w:t>
            </w:r>
            <w:r>
              <w:rPr>
                <w:rFonts w:cs="Arial"/>
                <w:color w:val="000000"/>
                <w:sz w:val="18"/>
                <w:szCs w:val="18"/>
              </w:rPr>
              <w:t>a</w:t>
            </w:r>
            <w:r w:rsidRPr="001F3EBC">
              <w:rPr>
                <w:rFonts w:cs="Arial"/>
                <w:color w:val="000000"/>
                <w:sz w:val="18"/>
                <w:szCs w:val="18"/>
              </w:rPr>
              <w:t xml:space="preserve"> Curto Prazo</w:t>
            </w:r>
          </w:p>
        </w:tc>
        <w:tc>
          <w:tcPr>
            <w:tcW w:w="607" w:type="pct"/>
            <w:tcBorders>
              <w:top w:val="nil"/>
              <w:left w:val="nil"/>
              <w:bottom w:val="nil"/>
              <w:right w:val="single" w:sz="4" w:space="0" w:color="auto"/>
            </w:tcBorders>
            <w:shd w:val="clear" w:color="auto" w:fill="auto"/>
            <w:noWrap/>
            <w:vAlign w:val="center"/>
            <w:hideMark/>
          </w:tcPr>
          <w:p w14:paraId="3230D796" w14:textId="77777777" w:rsidR="004F78CE" w:rsidRPr="001F3EBC" w:rsidRDefault="004F78CE" w:rsidP="00D21055">
            <w:pPr>
              <w:jc w:val="right"/>
              <w:rPr>
                <w:rFonts w:cs="Arial"/>
                <w:color w:val="000000"/>
                <w:sz w:val="18"/>
                <w:szCs w:val="18"/>
              </w:rPr>
            </w:pPr>
            <w:r w:rsidRPr="001F3EBC">
              <w:rPr>
                <w:rFonts w:cs="Arial"/>
                <w:color w:val="000000"/>
                <w:sz w:val="18"/>
                <w:szCs w:val="18"/>
              </w:rPr>
              <w:t>333.005</w:t>
            </w:r>
          </w:p>
        </w:tc>
        <w:tc>
          <w:tcPr>
            <w:tcW w:w="379" w:type="pct"/>
            <w:tcBorders>
              <w:top w:val="nil"/>
              <w:left w:val="nil"/>
              <w:bottom w:val="nil"/>
              <w:right w:val="single" w:sz="4" w:space="0" w:color="auto"/>
            </w:tcBorders>
            <w:shd w:val="clear" w:color="auto" w:fill="auto"/>
            <w:noWrap/>
            <w:vAlign w:val="center"/>
            <w:hideMark/>
          </w:tcPr>
          <w:p w14:paraId="16CB6C30" w14:textId="77777777" w:rsidR="004F78CE" w:rsidRPr="001F3EBC" w:rsidRDefault="004F78CE" w:rsidP="00D21055">
            <w:pPr>
              <w:jc w:val="center"/>
              <w:rPr>
                <w:rFonts w:cs="Arial"/>
                <w:color w:val="000000"/>
                <w:sz w:val="18"/>
                <w:szCs w:val="18"/>
              </w:rPr>
            </w:pPr>
            <w:r w:rsidRPr="001F3EBC">
              <w:rPr>
                <w:rFonts w:cs="Arial"/>
                <w:color w:val="000000"/>
                <w:sz w:val="18"/>
                <w:szCs w:val="18"/>
              </w:rPr>
              <w:t>2,28</w:t>
            </w:r>
          </w:p>
        </w:tc>
        <w:tc>
          <w:tcPr>
            <w:tcW w:w="606" w:type="pct"/>
            <w:tcBorders>
              <w:top w:val="nil"/>
              <w:left w:val="nil"/>
              <w:bottom w:val="nil"/>
              <w:right w:val="single" w:sz="4" w:space="0" w:color="auto"/>
            </w:tcBorders>
            <w:shd w:val="clear" w:color="auto" w:fill="auto"/>
            <w:noWrap/>
            <w:vAlign w:val="center"/>
            <w:hideMark/>
          </w:tcPr>
          <w:p w14:paraId="150226FC" w14:textId="77777777" w:rsidR="004F78CE" w:rsidRPr="001F3EBC" w:rsidRDefault="004F78CE" w:rsidP="00D21055">
            <w:pPr>
              <w:jc w:val="right"/>
              <w:rPr>
                <w:rFonts w:cs="Arial"/>
                <w:color w:val="000000"/>
                <w:sz w:val="18"/>
                <w:szCs w:val="18"/>
              </w:rPr>
            </w:pPr>
            <w:r w:rsidRPr="001F3EBC">
              <w:rPr>
                <w:rFonts w:cs="Arial"/>
                <w:color w:val="000000"/>
                <w:sz w:val="18"/>
                <w:szCs w:val="18"/>
              </w:rPr>
              <w:t>405.495</w:t>
            </w:r>
          </w:p>
        </w:tc>
        <w:tc>
          <w:tcPr>
            <w:tcW w:w="379" w:type="pct"/>
            <w:tcBorders>
              <w:top w:val="nil"/>
              <w:left w:val="nil"/>
              <w:bottom w:val="nil"/>
              <w:right w:val="single" w:sz="4" w:space="0" w:color="auto"/>
            </w:tcBorders>
            <w:shd w:val="clear" w:color="auto" w:fill="auto"/>
            <w:noWrap/>
            <w:vAlign w:val="center"/>
            <w:hideMark/>
          </w:tcPr>
          <w:p w14:paraId="0E9E5835" w14:textId="77777777" w:rsidR="004F78CE" w:rsidRPr="001F3EBC" w:rsidRDefault="004F78CE" w:rsidP="00D21055">
            <w:pPr>
              <w:jc w:val="center"/>
              <w:rPr>
                <w:rFonts w:cs="Arial"/>
                <w:color w:val="000000"/>
                <w:sz w:val="18"/>
                <w:szCs w:val="18"/>
              </w:rPr>
            </w:pPr>
            <w:r w:rsidRPr="001F3EBC">
              <w:rPr>
                <w:rFonts w:cs="Arial"/>
                <w:color w:val="000000"/>
                <w:sz w:val="18"/>
                <w:szCs w:val="18"/>
              </w:rPr>
              <w:t>49,02</w:t>
            </w:r>
          </w:p>
        </w:tc>
        <w:tc>
          <w:tcPr>
            <w:tcW w:w="606" w:type="pct"/>
            <w:tcBorders>
              <w:top w:val="nil"/>
              <w:left w:val="nil"/>
              <w:bottom w:val="nil"/>
              <w:right w:val="single" w:sz="4" w:space="0" w:color="auto"/>
            </w:tcBorders>
            <w:shd w:val="clear" w:color="auto" w:fill="auto"/>
            <w:noWrap/>
            <w:vAlign w:val="center"/>
            <w:hideMark/>
          </w:tcPr>
          <w:p w14:paraId="6BAAA7BE" w14:textId="77777777" w:rsidR="004F78CE" w:rsidRPr="00E57417" w:rsidRDefault="004F78CE" w:rsidP="00D21055">
            <w:pPr>
              <w:jc w:val="right"/>
              <w:rPr>
                <w:rFonts w:cs="Arial"/>
                <w:bCs/>
                <w:color w:val="000000"/>
                <w:sz w:val="18"/>
                <w:szCs w:val="18"/>
              </w:rPr>
            </w:pPr>
            <w:r w:rsidRPr="00E57417">
              <w:rPr>
                <w:rFonts w:cs="Arial"/>
                <w:bCs/>
                <w:color w:val="FF0000"/>
                <w:sz w:val="18"/>
                <w:szCs w:val="18"/>
              </w:rPr>
              <w:t>(72.490)</w:t>
            </w:r>
          </w:p>
        </w:tc>
        <w:tc>
          <w:tcPr>
            <w:tcW w:w="529" w:type="pct"/>
            <w:tcBorders>
              <w:top w:val="nil"/>
              <w:left w:val="nil"/>
              <w:bottom w:val="nil"/>
              <w:right w:val="nil"/>
            </w:tcBorders>
            <w:shd w:val="clear" w:color="auto" w:fill="auto"/>
            <w:noWrap/>
            <w:vAlign w:val="center"/>
            <w:hideMark/>
          </w:tcPr>
          <w:p w14:paraId="0CF21099" w14:textId="77777777" w:rsidR="004F78CE" w:rsidRPr="001F3EBC" w:rsidRDefault="004F78CE" w:rsidP="00D21055">
            <w:pPr>
              <w:jc w:val="center"/>
              <w:rPr>
                <w:rFonts w:cs="Arial"/>
                <w:color w:val="000000"/>
                <w:sz w:val="18"/>
                <w:szCs w:val="18"/>
              </w:rPr>
            </w:pPr>
            <w:r w:rsidRPr="001F3EBC">
              <w:rPr>
                <w:rFonts w:cs="Arial"/>
                <w:color w:val="FF0000"/>
                <w:sz w:val="18"/>
                <w:szCs w:val="18"/>
              </w:rPr>
              <w:t>(17,88)</w:t>
            </w:r>
          </w:p>
        </w:tc>
      </w:tr>
      <w:tr w:rsidR="00F10233" w:rsidRPr="00F739AC" w14:paraId="0C031111" w14:textId="77777777" w:rsidTr="00F10233">
        <w:trPr>
          <w:trHeight w:val="300"/>
        </w:trPr>
        <w:tc>
          <w:tcPr>
            <w:tcW w:w="1893" w:type="pct"/>
            <w:tcBorders>
              <w:top w:val="nil"/>
              <w:left w:val="nil"/>
              <w:bottom w:val="nil"/>
              <w:right w:val="single" w:sz="4" w:space="0" w:color="auto"/>
            </w:tcBorders>
            <w:shd w:val="clear" w:color="auto" w:fill="auto"/>
            <w:noWrap/>
            <w:vAlign w:val="center"/>
            <w:hideMark/>
          </w:tcPr>
          <w:p w14:paraId="11EA50EF" w14:textId="77777777" w:rsidR="004F78CE" w:rsidRPr="00F739AC" w:rsidRDefault="004F78CE" w:rsidP="00D21055">
            <w:pPr>
              <w:jc w:val="left"/>
              <w:rPr>
                <w:rFonts w:cs="Arial"/>
                <w:color w:val="000000"/>
                <w:sz w:val="18"/>
                <w:szCs w:val="18"/>
              </w:rPr>
            </w:pPr>
            <w:r w:rsidRPr="001F3EBC">
              <w:rPr>
                <w:rFonts w:cs="Arial"/>
                <w:color w:val="000000"/>
                <w:sz w:val="18"/>
                <w:szCs w:val="18"/>
              </w:rPr>
              <w:t>Obrigação de Cobertura de Déficit</w:t>
            </w:r>
          </w:p>
          <w:p w14:paraId="652F957F" w14:textId="77777777" w:rsidR="004F78CE" w:rsidRPr="001F3EBC" w:rsidRDefault="004F78CE" w:rsidP="00D21055">
            <w:pPr>
              <w:jc w:val="left"/>
              <w:rPr>
                <w:rFonts w:cs="Arial"/>
                <w:color w:val="000000"/>
                <w:sz w:val="18"/>
                <w:szCs w:val="18"/>
              </w:rPr>
            </w:pPr>
            <w:r w:rsidRPr="001F3EBC">
              <w:rPr>
                <w:rFonts w:cs="Arial"/>
                <w:color w:val="000000"/>
                <w:sz w:val="18"/>
                <w:szCs w:val="18"/>
              </w:rPr>
              <w:t>Financeiro RPPS</w:t>
            </w:r>
            <w:r>
              <w:rPr>
                <w:rFonts w:cs="Arial"/>
                <w:color w:val="000000"/>
                <w:sz w:val="18"/>
                <w:szCs w:val="18"/>
              </w:rPr>
              <w:t xml:space="preserve"> </w:t>
            </w:r>
            <w:r w:rsidRPr="001F3EBC">
              <w:rPr>
                <w:rFonts w:cs="Arial"/>
                <w:color w:val="000000"/>
                <w:sz w:val="18"/>
                <w:szCs w:val="18"/>
              </w:rPr>
              <w:t>- Fundo em Repartição</w:t>
            </w:r>
          </w:p>
        </w:tc>
        <w:tc>
          <w:tcPr>
            <w:tcW w:w="607" w:type="pct"/>
            <w:tcBorders>
              <w:top w:val="nil"/>
              <w:left w:val="nil"/>
              <w:bottom w:val="nil"/>
              <w:right w:val="single" w:sz="4" w:space="0" w:color="auto"/>
            </w:tcBorders>
            <w:shd w:val="clear" w:color="auto" w:fill="auto"/>
            <w:noWrap/>
            <w:vAlign w:val="center"/>
            <w:hideMark/>
          </w:tcPr>
          <w:p w14:paraId="6D871D93" w14:textId="77777777" w:rsidR="004F78CE" w:rsidRPr="001F3EBC" w:rsidRDefault="004F78CE" w:rsidP="00D21055">
            <w:pPr>
              <w:jc w:val="right"/>
              <w:rPr>
                <w:rFonts w:cs="Arial"/>
                <w:color w:val="000000"/>
                <w:sz w:val="18"/>
                <w:szCs w:val="18"/>
              </w:rPr>
            </w:pPr>
            <w:r w:rsidRPr="001F3EBC">
              <w:rPr>
                <w:rFonts w:cs="Arial"/>
                <w:color w:val="000000"/>
                <w:sz w:val="18"/>
                <w:szCs w:val="18"/>
              </w:rPr>
              <w:t>12.872.468</w:t>
            </w:r>
          </w:p>
        </w:tc>
        <w:tc>
          <w:tcPr>
            <w:tcW w:w="379" w:type="pct"/>
            <w:tcBorders>
              <w:top w:val="nil"/>
              <w:left w:val="nil"/>
              <w:bottom w:val="nil"/>
              <w:right w:val="single" w:sz="4" w:space="0" w:color="auto"/>
            </w:tcBorders>
            <w:shd w:val="clear" w:color="auto" w:fill="auto"/>
            <w:noWrap/>
            <w:vAlign w:val="center"/>
            <w:hideMark/>
          </w:tcPr>
          <w:p w14:paraId="73867494" w14:textId="77777777" w:rsidR="004F78CE" w:rsidRPr="001F3EBC" w:rsidRDefault="004F78CE" w:rsidP="00D21055">
            <w:pPr>
              <w:jc w:val="center"/>
              <w:rPr>
                <w:rFonts w:cs="Arial"/>
                <w:color w:val="000000"/>
                <w:sz w:val="18"/>
                <w:szCs w:val="18"/>
              </w:rPr>
            </w:pPr>
            <w:r w:rsidRPr="001F3EBC">
              <w:rPr>
                <w:rFonts w:cs="Arial"/>
                <w:color w:val="000000"/>
                <w:sz w:val="18"/>
                <w:szCs w:val="18"/>
              </w:rPr>
              <w:t>88,24</w:t>
            </w:r>
          </w:p>
        </w:tc>
        <w:tc>
          <w:tcPr>
            <w:tcW w:w="606" w:type="pct"/>
            <w:tcBorders>
              <w:top w:val="nil"/>
              <w:left w:val="nil"/>
              <w:bottom w:val="nil"/>
              <w:right w:val="single" w:sz="4" w:space="0" w:color="auto"/>
            </w:tcBorders>
            <w:shd w:val="clear" w:color="auto" w:fill="auto"/>
            <w:noWrap/>
            <w:vAlign w:val="center"/>
            <w:hideMark/>
          </w:tcPr>
          <w:p w14:paraId="08334C6D" w14:textId="77777777" w:rsidR="004F78CE" w:rsidRPr="001F3EBC" w:rsidRDefault="004F78CE" w:rsidP="00D21055">
            <w:pPr>
              <w:jc w:val="right"/>
              <w:rPr>
                <w:rFonts w:cs="Arial"/>
                <w:color w:val="000000"/>
                <w:sz w:val="18"/>
                <w:szCs w:val="18"/>
              </w:rPr>
            </w:pPr>
            <w:r>
              <w:rPr>
                <w:rFonts w:cs="Arial"/>
                <w:color w:val="000000"/>
                <w:sz w:val="18"/>
                <w:szCs w:val="18"/>
              </w:rPr>
              <w:t>-</w:t>
            </w:r>
          </w:p>
        </w:tc>
        <w:tc>
          <w:tcPr>
            <w:tcW w:w="379" w:type="pct"/>
            <w:tcBorders>
              <w:top w:val="nil"/>
              <w:left w:val="nil"/>
              <w:bottom w:val="nil"/>
              <w:right w:val="single" w:sz="4" w:space="0" w:color="auto"/>
            </w:tcBorders>
            <w:shd w:val="clear" w:color="auto" w:fill="auto"/>
            <w:noWrap/>
            <w:vAlign w:val="center"/>
            <w:hideMark/>
          </w:tcPr>
          <w:p w14:paraId="3307B269" w14:textId="77777777" w:rsidR="004F78CE" w:rsidRPr="001F3EBC" w:rsidRDefault="004F78CE" w:rsidP="00D21055">
            <w:pPr>
              <w:jc w:val="center"/>
              <w:rPr>
                <w:rFonts w:cs="Arial"/>
                <w:color w:val="000000"/>
                <w:sz w:val="18"/>
                <w:szCs w:val="18"/>
              </w:rPr>
            </w:pPr>
            <w:r w:rsidRPr="001F3EBC">
              <w:rPr>
                <w:rFonts w:cs="Arial"/>
                <w:color w:val="000000"/>
                <w:sz w:val="18"/>
                <w:szCs w:val="18"/>
              </w:rPr>
              <w:t>-</w:t>
            </w:r>
          </w:p>
        </w:tc>
        <w:tc>
          <w:tcPr>
            <w:tcW w:w="606" w:type="pct"/>
            <w:tcBorders>
              <w:top w:val="nil"/>
              <w:left w:val="nil"/>
              <w:bottom w:val="nil"/>
              <w:right w:val="single" w:sz="4" w:space="0" w:color="auto"/>
            </w:tcBorders>
            <w:shd w:val="clear" w:color="auto" w:fill="auto"/>
            <w:noWrap/>
            <w:vAlign w:val="center"/>
            <w:hideMark/>
          </w:tcPr>
          <w:p w14:paraId="4954448E" w14:textId="77777777" w:rsidR="004F78CE" w:rsidRPr="00E57417" w:rsidRDefault="004F78CE" w:rsidP="00D21055">
            <w:pPr>
              <w:jc w:val="right"/>
              <w:rPr>
                <w:rFonts w:cs="Arial"/>
                <w:bCs/>
                <w:color w:val="000000"/>
                <w:sz w:val="18"/>
                <w:szCs w:val="18"/>
              </w:rPr>
            </w:pPr>
            <w:r w:rsidRPr="00E57417">
              <w:rPr>
                <w:rFonts w:cs="Arial"/>
                <w:bCs/>
                <w:color w:val="000000"/>
                <w:sz w:val="18"/>
                <w:szCs w:val="18"/>
              </w:rPr>
              <w:t>12.872.468</w:t>
            </w:r>
          </w:p>
        </w:tc>
        <w:tc>
          <w:tcPr>
            <w:tcW w:w="529" w:type="pct"/>
            <w:tcBorders>
              <w:top w:val="nil"/>
              <w:left w:val="nil"/>
              <w:bottom w:val="nil"/>
              <w:right w:val="nil"/>
            </w:tcBorders>
            <w:shd w:val="clear" w:color="auto" w:fill="auto"/>
            <w:noWrap/>
            <w:vAlign w:val="center"/>
            <w:hideMark/>
          </w:tcPr>
          <w:p w14:paraId="40D6D055" w14:textId="77777777" w:rsidR="004F78CE" w:rsidRPr="001F3EBC" w:rsidRDefault="004F78CE" w:rsidP="00D21055">
            <w:pPr>
              <w:jc w:val="center"/>
              <w:rPr>
                <w:rFonts w:cs="Arial"/>
                <w:color w:val="000000"/>
                <w:sz w:val="18"/>
                <w:szCs w:val="18"/>
              </w:rPr>
            </w:pPr>
            <w:r w:rsidRPr="001F3EBC">
              <w:rPr>
                <w:rFonts w:cs="Arial"/>
                <w:color w:val="000000"/>
                <w:sz w:val="18"/>
                <w:szCs w:val="18"/>
              </w:rPr>
              <w:t>100,00</w:t>
            </w:r>
          </w:p>
        </w:tc>
      </w:tr>
      <w:tr w:rsidR="00F10233" w:rsidRPr="00F739AC" w14:paraId="61C9F292" w14:textId="77777777" w:rsidTr="00F10233">
        <w:trPr>
          <w:trHeight w:val="300"/>
        </w:trPr>
        <w:tc>
          <w:tcPr>
            <w:tcW w:w="1893" w:type="pct"/>
            <w:tcBorders>
              <w:top w:val="single" w:sz="4" w:space="0" w:color="auto"/>
              <w:left w:val="nil"/>
              <w:bottom w:val="single" w:sz="4" w:space="0" w:color="auto"/>
              <w:right w:val="single" w:sz="4" w:space="0" w:color="auto"/>
            </w:tcBorders>
            <w:shd w:val="clear" w:color="auto" w:fill="auto"/>
            <w:vAlign w:val="center"/>
            <w:hideMark/>
          </w:tcPr>
          <w:p w14:paraId="6CB277E3" w14:textId="77777777" w:rsidR="004F78CE" w:rsidRPr="001F3EBC" w:rsidRDefault="004F78CE" w:rsidP="00D21055">
            <w:pPr>
              <w:jc w:val="center"/>
              <w:rPr>
                <w:rFonts w:cs="Arial"/>
                <w:b/>
                <w:bCs/>
                <w:color w:val="000000"/>
                <w:sz w:val="18"/>
                <w:szCs w:val="18"/>
              </w:rPr>
            </w:pPr>
            <w:r w:rsidRPr="001F3EBC">
              <w:rPr>
                <w:rFonts w:cs="Arial"/>
                <w:b/>
                <w:bCs/>
                <w:color w:val="000000"/>
                <w:sz w:val="18"/>
                <w:szCs w:val="18"/>
              </w:rPr>
              <w:t>Total</w:t>
            </w:r>
          </w:p>
        </w:tc>
        <w:tc>
          <w:tcPr>
            <w:tcW w:w="607" w:type="pct"/>
            <w:tcBorders>
              <w:top w:val="single" w:sz="4" w:space="0" w:color="auto"/>
              <w:left w:val="nil"/>
              <w:bottom w:val="single" w:sz="4" w:space="0" w:color="auto"/>
              <w:right w:val="single" w:sz="4" w:space="0" w:color="auto"/>
            </w:tcBorders>
            <w:shd w:val="clear" w:color="auto" w:fill="auto"/>
            <w:noWrap/>
            <w:vAlign w:val="center"/>
            <w:hideMark/>
          </w:tcPr>
          <w:p w14:paraId="15AE40F2" w14:textId="77777777" w:rsidR="004F78CE" w:rsidRPr="001F3EBC" w:rsidRDefault="004F78CE" w:rsidP="00D21055">
            <w:pPr>
              <w:jc w:val="right"/>
              <w:rPr>
                <w:rFonts w:cs="Arial"/>
                <w:b/>
                <w:bCs/>
                <w:color w:val="000000"/>
                <w:sz w:val="18"/>
                <w:szCs w:val="18"/>
              </w:rPr>
            </w:pPr>
            <w:r w:rsidRPr="001F3EBC">
              <w:rPr>
                <w:rFonts w:cs="Arial"/>
                <w:b/>
                <w:bCs/>
                <w:color w:val="000000"/>
                <w:sz w:val="18"/>
                <w:szCs w:val="18"/>
              </w:rPr>
              <w:t>14.588.251</w:t>
            </w:r>
          </w:p>
        </w:tc>
        <w:tc>
          <w:tcPr>
            <w:tcW w:w="379" w:type="pct"/>
            <w:tcBorders>
              <w:top w:val="single" w:sz="4" w:space="0" w:color="auto"/>
              <w:left w:val="nil"/>
              <w:bottom w:val="single" w:sz="4" w:space="0" w:color="auto"/>
              <w:right w:val="single" w:sz="4" w:space="0" w:color="auto"/>
            </w:tcBorders>
            <w:shd w:val="clear" w:color="auto" w:fill="auto"/>
            <w:noWrap/>
            <w:vAlign w:val="center"/>
            <w:hideMark/>
          </w:tcPr>
          <w:p w14:paraId="58FE3298" w14:textId="77777777" w:rsidR="004F78CE" w:rsidRPr="001F3EBC" w:rsidRDefault="004F78CE" w:rsidP="00D21055">
            <w:pPr>
              <w:jc w:val="center"/>
              <w:rPr>
                <w:rFonts w:cs="Arial"/>
                <w:b/>
                <w:bCs/>
                <w:color w:val="000000"/>
                <w:sz w:val="18"/>
                <w:szCs w:val="18"/>
              </w:rPr>
            </w:pPr>
            <w:r w:rsidRPr="001F3EBC">
              <w:rPr>
                <w:rFonts w:cs="Arial"/>
                <w:b/>
                <w:bCs/>
                <w:color w:val="000000"/>
                <w:sz w:val="18"/>
                <w:szCs w:val="18"/>
              </w:rPr>
              <w:t>100,00</w:t>
            </w:r>
          </w:p>
        </w:tc>
        <w:tc>
          <w:tcPr>
            <w:tcW w:w="606" w:type="pct"/>
            <w:tcBorders>
              <w:top w:val="single" w:sz="4" w:space="0" w:color="auto"/>
              <w:left w:val="nil"/>
              <w:bottom w:val="single" w:sz="4" w:space="0" w:color="auto"/>
              <w:right w:val="single" w:sz="4" w:space="0" w:color="auto"/>
            </w:tcBorders>
            <w:shd w:val="clear" w:color="auto" w:fill="auto"/>
            <w:noWrap/>
            <w:vAlign w:val="center"/>
            <w:hideMark/>
          </w:tcPr>
          <w:p w14:paraId="2AE7D147" w14:textId="77777777" w:rsidR="004F78CE" w:rsidRPr="001F3EBC" w:rsidRDefault="004F78CE" w:rsidP="00D21055">
            <w:pPr>
              <w:jc w:val="right"/>
              <w:rPr>
                <w:rFonts w:cs="Arial"/>
                <w:b/>
                <w:bCs/>
                <w:color w:val="000000"/>
                <w:sz w:val="18"/>
                <w:szCs w:val="18"/>
              </w:rPr>
            </w:pPr>
            <w:r w:rsidRPr="001F3EBC">
              <w:rPr>
                <w:rFonts w:cs="Arial"/>
                <w:b/>
                <w:bCs/>
                <w:color w:val="000000"/>
                <w:sz w:val="18"/>
                <w:szCs w:val="18"/>
              </w:rPr>
              <w:t>827.228</w:t>
            </w:r>
          </w:p>
        </w:tc>
        <w:tc>
          <w:tcPr>
            <w:tcW w:w="379" w:type="pct"/>
            <w:tcBorders>
              <w:top w:val="single" w:sz="4" w:space="0" w:color="auto"/>
              <w:left w:val="nil"/>
              <w:bottom w:val="single" w:sz="4" w:space="0" w:color="auto"/>
              <w:right w:val="single" w:sz="4" w:space="0" w:color="auto"/>
            </w:tcBorders>
            <w:shd w:val="clear" w:color="auto" w:fill="auto"/>
            <w:noWrap/>
            <w:vAlign w:val="center"/>
            <w:hideMark/>
          </w:tcPr>
          <w:p w14:paraId="1A546564" w14:textId="77777777" w:rsidR="004F78CE" w:rsidRPr="001F3EBC" w:rsidRDefault="004F78CE" w:rsidP="00D21055">
            <w:pPr>
              <w:jc w:val="center"/>
              <w:rPr>
                <w:rFonts w:cs="Arial"/>
                <w:b/>
                <w:bCs/>
                <w:color w:val="000000"/>
                <w:sz w:val="18"/>
                <w:szCs w:val="18"/>
              </w:rPr>
            </w:pPr>
            <w:r w:rsidRPr="001F3EBC">
              <w:rPr>
                <w:rFonts w:cs="Arial"/>
                <w:b/>
                <w:bCs/>
                <w:color w:val="000000"/>
                <w:sz w:val="18"/>
                <w:szCs w:val="18"/>
              </w:rPr>
              <w:t>100,00</w:t>
            </w:r>
          </w:p>
        </w:tc>
        <w:tc>
          <w:tcPr>
            <w:tcW w:w="606" w:type="pct"/>
            <w:tcBorders>
              <w:top w:val="single" w:sz="4" w:space="0" w:color="auto"/>
              <w:left w:val="nil"/>
              <w:bottom w:val="single" w:sz="4" w:space="0" w:color="auto"/>
              <w:right w:val="single" w:sz="4" w:space="0" w:color="auto"/>
            </w:tcBorders>
            <w:shd w:val="clear" w:color="auto" w:fill="auto"/>
            <w:noWrap/>
            <w:vAlign w:val="center"/>
            <w:hideMark/>
          </w:tcPr>
          <w:p w14:paraId="32C26394" w14:textId="77777777" w:rsidR="004F78CE" w:rsidRPr="001F3EBC" w:rsidRDefault="004F78CE" w:rsidP="00D21055">
            <w:pPr>
              <w:jc w:val="right"/>
              <w:rPr>
                <w:rFonts w:cs="Arial"/>
                <w:b/>
                <w:bCs/>
                <w:color w:val="000000"/>
                <w:sz w:val="18"/>
                <w:szCs w:val="18"/>
              </w:rPr>
            </w:pPr>
            <w:r w:rsidRPr="001F3EBC">
              <w:rPr>
                <w:rFonts w:cs="Arial"/>
                <w:b/>
                <w:bCs/>
                <w:color w:val="000000"/>
                <w:sz w:val="18"/>
                <w:szCs w:val="18"/>
              </w:rPr>
              <w:t>13.761.023</w:t>
            </w:r>
          </w:p>
        </w:tc>
        <w:tc>
          <w:tcPr>
            <w:tcW w:w="529" w:type="pct"/>
            <w:tcBorders>
              <w:top w:val="single" w:sz="4" w:space="0" w:color="auto"/>
              <w:left w:val="nil"/>
              <w:bottom w:val="single" w:sz="4" w:space="0" w:color="auto"/>
              <w:right w:val="nil"/>
            </w:tcBorders>
            <w:shd w:val="clear" w:color="auto" w:fill="auto"/>
            <w:noWrap/>
            <w:vAlign w:val="center"/>
            <w:hideMark/>
          </w:tcPr>
          <w:p w14:paraId="6672EBB8" w14:textId="77777777" w:rsidR="004F78CE" w:rsidRPr="001F3EBC" w:rsidRDefault="004F78CE" w:rsidP="00D21055">
            <w:pPr>
              <w:jc w:val="center"/>
              <w:rPr>
                <w:rFonts w:cs="Arial"/>
                <w:b/>
                <w:bCs/>
                <w:color w:val="000000"/>
                <w:sz w:val="18"/>
                <w:szCs w:val="18"/>
              </w:rPr>
            </w:pPr>
            <w:r w:rsidRPr="001F3EBC">
              <w:rPr>
                <w:rFonts w:cs="Arial"/>
                <w:b/>
                <w:bCs/>
                <w:color w:val="000000"/>
                <w:sz w:val="18"/>
                <w:szCs w:val="18"/>
              </w:rPr>
              <w:t>1663,51</w:t>
            </w:r>
          </w:p>
        </w:tc>
      </w:tr>
    </w:tbl>
    <w:p w14:paraId="1B6BA721" w14:textId="77777777" w:rsidR="004F78CE" w:rsidRPr="005600A8" w:rsidRDefault="004F78CE" w:rsidP="004F78CE">
      <w:pPr>
        <w:pStyle w:val="1-FONTE8ESQ"/>
      </w:pPr>
      <w:bookmarkStart w:id="468" w:name="_Hlk166586223"/>
      <w:r w:rsidRPr="005600A8">
        <w:t>Fonte: Balanço Patrimonial - Anexo 14</w:t>
      </w:r>
      <w:r>
        <w:t xml:space="preserve"> (BGE 2023)</w:t>
      </w:r>
    </w:p>
    <w:bookmarkEnd w:id="468"/>
    <w:p w14:paraId="0BF75989" w14:textId="77777777" w:rsidR="004F78CE" w:rsidRDefault="004F78CE" w:rsidP="004F78CE">
      <w:pPr>
        <w:pStyle w:val="1-REL11"/>
        <w:rPr>
          <w:rFonts w:eastAsia="Times New Roman"/>
          <w:iCs/>
        </w:rPr>
      </w:pPr>
      <w:r w:rsidRPr="00B37537">
        <w:rPr>
          <w:rFonts w:eastAsia="Times New Roman"/>
          <w:iCs/>
        </w:rPr>
        <w:t>Dentro deste conjunto de contas, as mais significativas para análise em 2023 foram Indenizaç</w:t>
      </w:r>
      <w:r>
        <w:rPr>
          <w:rFonts w:eastAsia="Times New Roman"/>
          <w:iCs/>
        </w:rPr>
        <w:t>ões</w:t>
      </w:r>
      <w:r w:rsidRPr="00B37537">
        <w:rPr>
          <w:rFonts w:eastAsia="Times New Roman"/>
          <w:iCs/>
        </w:rPr>
        <w:t xml:space="preserve"> e Restituições, Demais Obrigações </w:t>
      </w:r>
      <w:r>
        <w:rPr>
          <w:rFonts w:eastAsia="Times New Roman"/>
          <w:iCs/>
        </w:rPr>
        <w:t>a</w:t>
      </w:r>
      <w:r w:rsidRPr="00B37537">
        <w:rPr>
          <w:rFonts w:eastAsia="Times New Roman"/>
          <w:iCs/>
        </w:rPr>
        <w:t xml:space="preserve"> Curto Prazo </w:t>
      </w:r>
      <w:bookmarkStart w:id="469" w:name="_Hlk167358185"/>
      <w:r w:rsidRPr="00B37537">
        <w:rPr>
          <w:rFonts w:eastAsia="Times New Roman"/>
          <w:iCs/>
        </w:rPr>
        <w:t>e Obrigação de Cobertura de Déficit Financeiro RPPS- Fundo de Repartição</w:t>
      </w:r>
      <w:bookmarkEnd w:id="469"/>
      <w:r w:rsidRPr="00B37537">
        <w:rPr>
          <w:rFonts w:eastAsia="Times New Roman"/>
          <w:iCs/>
        </w:rPr>
        <w:t>. As participações dessas contas foram de 7,36%, 2,28% e 88,24% respectivamente.</w:t>
      </w:r>
    </w:p>
    <w:p w14:paraId="2B328741" w14:textId="77777777" w:rsidR="004F78CE" w:rsidRDefault="004F78CE" w:rsidP="004F78CE">
      <w:pPr>
        <w:pStyle w:val="1-REL11"/>
        <w:rPr>
          <w:rFonts w:eastAsia="Times New Roman"/>
          <w:iCs/>
        </w:rPr>
      </w:pPr>
      <w:bookmarkStart w:id="470" w:name="_Hlk167176586"/>
      <w:r w:rsidRPr="00DD5014">
        <w:rPr>
          <w:rFonts w:eastAsia="Times New Roman"/>
          <w:iCs/>
        </w:rPr>
        <w:t>Em 2023, as Indenizações e Restituições tiveram um aumento significativo de R$ 1,07 bilhão, o que representa um incremento de 112</w:t>
      </w:r>
      <w:r>
        <w:rPr>
          <w:rFonts w:eastAsia="Times New Roman"/>
          <w:iCs/>
        </w:rPr>
        <w:t>.</w:t>
      </w:r>
      <w:r w:rsidRPr="00DD5014">
        <w:rPr>
          <w:rFonts w:eastAsia="Times New Roman"/>
          <w:iCs/>
        </w:rPr>
        <w:t>602,88%. Esse crescimento expressivo é atribuído à contabilização do valor do Fundo de Reserva de depósitos judiciais, estabelecido no mesmo ano pelo TJ/GO. A utilização desse fundo está diretamente ligada aos valores de depósitos judiciais que o Estado acessou, em conformidade com o IPC nº15 da STN</w:t>
      </w:r>
      <w:r>
        <w:rPr>
          <w:rFonts w:eastAsia="Times New Roman"/>
          <w:iCs/>
        </w:rPr>
        <w:t>.</w:t>
      </w:r>
      <w:r w:rsidRPr="00DD5014">
        <w:rPr>
          <w:rFonts w:eastAsia="Times New Roman"/>
          <w:iCs/>
        </w:rPr>
        <w:t xml:space="preserve"> Este assunto será abordado em tópico específico.</w:t>
      </w:r>
    </w:p>
    <w:bookmarkEnd w:id="470"/>
    <w:p w14:paraId="4C7BA214" w14:textId="77777777" w:rsidR="004F78CE" w:rsidRDefault="004F78CE" w:rsidP="004F78CE">
      <w:pPr>
        <w:pStyle w:val="1-REL11"/>
        <w:rPr>
          <w:rFonts w:eastAsia="Times New Roman"/>
          <w:iCs/>
        </w:rPr>
      </w:pPr>
      <w:r>
        <w:rPr>
          <w:rFonts w:eastAsia="Times New Roman"/>
          <w:iCs/>
        </w:rPr>
        <w:t>As Demais Obrigações de Curto Prazo, que r</w:t>
      </w:r>
      <w:r w:rsidRPr="00A5421E">
        <w:rPr>
          <w:rFonts w:eastAsia="Times New Roman"/>
          <w:iCs/>
        </w:rPr>
        <w:t>egistra</w:t>
      </w:r>
      <w:r>
        <w:rPr>
          <w:rFonts w:eastAsia="Times New Roman"/>
          <w:iCs/>
        </w:rPr>
        <w:t>m</w:t>
      </w:r>
      <w:r w:rsidRPr="00A5421E">
        <w:rPr>
          <w:rFonts w:eastAsia="Times New Roman"/>
          <w:iCs/>
        </w:rPr>
        <w:t xml:space="preserve"> as obrigações a curto prazo não classificadas em itens anteriores</w:t>
      </w:r>
      <w:r>
        <w:rPr>
          <w:rFonts w:eastAsia="Times New Roman"/>
          <w:iCs/>
        </w:rPr>
        <w:t xml:space="preserve">, apresentaram uma redução em seus saldos de 17,88% no montante de R$ 72,49 milhões. Um dos fatores determinantes para esse decréscimo em 2023 foi a redução de 19,67% (R$ 55,71 milhões) no saldo da conta Garantias, que contempla as </w:t>
      </w:r>
      <w:r>
        <w:rPr>
          <w:rFonts w:eastAsia="Times New Roman"/>
          <w:iCs/>
        </w:rPr>
        <w:lastRenderedPageBreak/>
        <w:t xml:space="preserve">obrigações contraídas por entradas extraorçamentárias com dedução de receitas. Destaca-se também </w:t>
      </w:r>
      <w:r w:rsidRPr="00F678EF">
        <w:rPr>
          <w:rFonts w:eastAsia="Times New Roman"/>
          <w:iCs/>
        </w:rPr>
        <w:t xml:space="preserve">a </w:t>
      </w:r>
      <w:r>
        <w:rPr>
          <w:rFonts w:eastAsia="Times New Roman"/>
          <w:iCs/>
        </w:rPr>
        <w:t>redução</w:t>
      </w:r>
      <w:r w:rsidRPr="00F678EF">
        <w:rPr>
          <w:rFonts w:eastAsia="Times New Roman"/>
          <w:iCs/>
        </w:rPr>
        <w:t xml:space="preserve"> de</w:t>
      </w:r>
      <w:r>
        <w:rPr>
          <w:rFonts w:eastAsia="Times New Roman"/>
          <w:iCs/>
        </w:rPr>
        <w:t xml:space="preserve"> 99,86% (R$ 44,77 milhões) da conta </w:t>
      </w:r>
      <w:r w:rsidRPr="00F678EF">
        <w:rPr>
          <w:rFonts w:eastAsia="Times New Roman"/>
          <w:iCs/>
        </w:rPr>
        <w:t>Outros Depósitos</w:t>
      </w:r>
      <w:r>
        <w:rPr>
          <w:rFonts w:eastAsia="Times New Roman"/>
          <w:iCs/>
        </w:rPr>
        <w:t>, que tratavam de obrigações do Ipasgo e foram baixadas do Balanço Patrimonial do Estado em virtude de extinção dessa autarquia, conforme Lei Estadual n</w:t>
      </w:r>
      <w:r>
        <w:rPr>
          <w:rFonts w:eastAsia="Times New Roman" w:cs="Arial"/>
          <w:iCs/>
        </w:rPr>
        <w:t>º</w:t>
      </w:r>
      <w:r>
        <w:rPr>
          <w:rFonts w:eastAsia="Times New Roman"/>
          <w:iCs/>
        </w:rPr>
        <w:t xml:space="preserve"> 21.880, de 20 de abril de 2023.</w:t>
      </w:r>
    </w:p>
    <w:p w14:paraId="3E05AE76" w14:textId="2246B537" w:rsidR="004F78CE" w:rsidRDefault="004F78CE" w:rsidP="004F78CE">
      <w:pPr>
        <w:pStyle w:val="1-REL11"/>
      </w:pPr>
      <w:r w:rsidRPr="001F0C8C">
        <w:t>Por fim,</w:t>
      </w:r>
      <w:r>
        <w:t xml:space="preserve"> a conta que mais impactou o subgrupo das Demais Obrigações a Curto Prazo, foi a </w:t>
      </w:r>
      <w:bookmarkStart w:id="471" w:name="_Hlk167358351"/>
      <w:r>
        <w:t xml:space="preserve">Obrigação de Cobertura de Déficit Financeiro RPPS – Benefícios Concedidos, instituída no ano de 2023 em consonância com o IPC nº14 da STN e com montante total de R$ 12,87 bilhões. </w:t>
      </w:r>
      <w:bookmarkEnd w:id="471"/>
      <w:r>
        <w:t>Essa conta c</w:t>
      </w:r>
      <w:r w:rsidRPr="00C846E6">
        <w:t xml:space="preserve">ompreende as obrigações do </w:t>
      </w:r>
      <w:r>
        <w:t>e</w:t>
      </w:r>
      <w:r w:rsidRPr="00C846E6">
        <w:t xml:space="preserve">nte com os regimes próprios de previdência, referente ao déficit financeiro do Fundo </w:t>
      </w:r>
      <w:r w:rsidRPr="007656E4">
        <w:t>em Repartição, assunto que será abordado no tópico Provisões Matemáticas Previdenciárias</w:t>
      </w:r>
      <w:r>
        <w:t>.</w:t>
      </w:r>
    </w:p>
    <w:p w14:paraId="0DA2B72E" w14:textId="77777777" w:rsidR="009432A1" w:rsidRDefault="009432A1" w:rsidP="004F78CE">
      <w:pPr>
        <w:pStyle w:val="1-REL11"/>
      </w:pPr>
    </w:p>
    <w:p w14:paraId="7B02AC7F" w14:textId="77777777" w:rsidR="004F78CE" w:rsidRDefault="004F78CE" w:rsidP="00117967">
      <w:pPr>
        <w:pStyle w:val="Ttulo4"/>
      </w:pPr>
      <w:bookmarkStart w:id="472" w:name="_Hlk167358382"/>
      <w:r w:rsidRPr="00CC1ED4">
        <w:t>Provis</w:t>
      </w:r>
      <w:r>
        <w:t xml:space="preserve">ões a Longo Prazo </w:t>
      </w:r>
    </w:p>
    <w:bookmarkEnd w:id="472"/>
    <w:p w14:paraId="30A076DA" w14:textId="77777777" w:rsidR="004F78CE" w:rsidRDefault="004F78CE" w:rsidP="00877518">
      <w:pPr>
        <w:pStyle w:val="1-REL11"/>
        <w:spacing w:after="160" w:line="264" w:lineRule="auto"/>
      </w:pPr>
      <w:r>
        <w:t>O subgrupo Provisões a Longo Prazo c</w:t>
      </w:r>
      <w:r w:rsidRPr="00B924C5">
        <w:t>ompreende os passivos de prazo ou de valor incertos, com probabilidade de ocorrerem no longo prazo</w:t>
      </w:r>
      <w:r>
        <w:t xml:space="preserve">. As contas que compuseram este subgrupo, em </w:t>
      </w:r>
      <w:r w:rsidRPr="002A1882">
        <w:t xml:space="preserve">2023, </w:t>
      </w:r>
      <w:r>
        <w:t>foram</w:t>
      </w:r>
      <w:r w:rsidRPr="002A1882">
        <w:t>:</w:t>
      </w:r>
    </w:p>
    <w:p w14:paraId="16FC66A2" w14:textId="7DE8C978" w:rsidR="004F78CE" w:rsidRDefault="004F78CE" w:rsidP="00ED3571">
      <w:pPr>
        <w:pStyle w:val="0-TABELA"/>
      </w:pPr>
      <w:bookmarkStart w:id="473" w:name="_Toc167871828"/>
      <w:r w:rsidRPr="008C350C">
        <w:t>Provisões a Longo Prazo</w:t>
      </w:r>
      <w:r>
        <w:t xml:space="preserve"> </w:t>
      </w:r>
      <w:r w:rsidRPr="00D67E49">
        <w:t>– 2023 x 2022</w:t>
      </w:r>
      <w:bookmarkEnd w:id="473"/>
    </w:p>
    <w:p w14:paraId="2EB10955" w14:textId="77777777" w:rsidR="004919AF" w:rsidRDefault="004919AF" w:rsidP="004919AF">
      <w:pPr>
        <w:pStyle w:val="0-EmR1"/>
      </w:pPr>
      <w:r w:rsidRPr="008E421F">
        <w:t>R$ mil</w:t>
      </w:r>
    </w:p>
    <w:tbl>
      <w:tblPr>
        <w:tblW w:w="5003" w:type="pct"/>
        <w:tblLayout w:type="fixed"/>
        <w:tblCellMar>
          <w:left w:w="70" w:type="dxa"/>
          <w:right w:w="70" w:type="dxa"/>
        </w:tblCellMar>
        <w:tblLook w:val="04A0" w:firstRow="1" w:lastRow="0" w:firstColumn="1" w:lastColumn="0" w:noHBand="0" w:noVBand="1"/>
      </w:tblPr>
      <w:tblGrid>
        <w:gridCol w:w="3400"/>
        <w:gridCol w:w="1278"/>
        <w:gridCol w:w="709"/>
        <w:gridCol w:w="1134"/>
        <w:gridCol w:w="709"/>
        <w:gridCol w:w="1136"/>
        <w:gridCol w:w="988"/>
      </w:tblGrid>
      <w:tr w:rsidR="004919AF" w:rsidRPr="000E3F92" w14:paraId="5C1EE2EF" w14:textId="77777777" w:rsidTr="004919AF">
        <w:trPr>
          <w:trHeight w:val="255"/>
          <w:tblHeader/>
        </w:trPr>
        <w:tc>
          <w:tcPr>
            <w:tcW w:w="1817" w:type="pct"/>
            <w:vMerge w:val="restart"/>
            <w:tcBorders>
              <w:top w:val="single" w:sz="4" w:space="0" w:color="auto"/>
              <w:left w:val="nil"/>
              <w:bottom w:val="single" w:sz="4" w:space="0" w:color="auto"/>
              <w:right w:val="single" w:sz="4" w:space="0" w:color="auto"/>
            </w:tcBorders>
            <w:shd w:val="clear" w:color="auto" w:fill="A1F2FD"/>
            <w:vAlign w:val="center"/>
            <w:hideMark/>
          </w:tcPr>
          <w:p w14:paraId="58BFE0E3" w14:textId="77777777" w:rsidR="004919AF" w:rsidRPr="000E3F92" w:rsidRDefault="004919AF" w:rsidP="0099185A">
            <w:pPr>
              <w:jc w:val="center"/>
              <w:rPr>
                <w:rFonts w:cs="Arial"/>
                <w:b/>
                <w:bCs/>
                <w:color w:val="000000"/>
                <w:sz w:val="18"/>
                <w:szCs w:val="18"/>
              </w:rPr>
            </w:pPr>
            <w:r w:rsidRPr="000E3F92">
              <w:rPr>
                <w:rFonts w:cs="Arial"/>
                <w:b/>
                <w:bCs/>
                <w:color w:val="000000"/>
                <w:sz w:val="18"/>
                <w:szCs w:val="18"/>
              </w:rPr>
              <w:t>Composição</w:t>
            </w:r>
          </w:p>
        </w:tc>
        <w:tc>
          <w:tcPr>
            <w:tcW w:w="683"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54234A97" w14:textId="77777777" w:rsidR="004919AF" w:rsidRPr="000E3F92" w:rsidRDefault="004919AF" w:rsidP="0099185A">
            <w:pPr>
              <w:jc w:val="center"/>
              <w:rPr>
                <w:rFonts w:cs="Arial"/>
                <w:b/>
                <w:bCs/>
                <w:color w:val="000000"/>
                <w:sz w:val="18"/>
                <w:szCs w:val="18"/>
              </w:rPr>
            </w:pPr>
            <w:r w:rsidRPr="000E3F92">
              <w:rPr>
                <w:rFonts w:cs="Arial"/>
                <w:b/>
                <w:bCs/>
                <w:color w:val="000000"/>
                <w:sz w:val="18"/>
                <w:szCs w:val="18"/>
              </w:rPr>
              <w:t>2023</w:t>
            </w:r>
          </w:p>
        </w:tc>
        <w:tc>
          <w:tcPr>
            <w:tcW w:w="379" w:type="pct"/>
            <w:vMerge w:val="restart"/>
            <w:tcBorders>
              <w:top w:val="single" w:sz="4" w:space="0" w:color="auto"/>
              <w:left w:val="nil"/>
              <w:right w:val="single" w:sz="4" w:space="0" w:color="auto"/>
            </w:tcBorders>
            <w:shd w:val="clear" w:color="auto" w:fill="A1F2FD"/>
            <w:vAlign w:val="center"/>
            <w:hideMark/>
          </w:tcPr>
          <w:p w14:paraId="68F172CC" w14:textId="77777777" w:rsidR="004919AF" w:rsidRPr="000E3F92" w:rsidRDefault="004919AF" w:rsidP="0099185A">
            <w:pPr>
              <w:jc w:val="center"/>
              <w:rPr>
                <w:rFonts w:cs="Arial"/>
                <w:b/>
                <w:bCs/>
                <w:color w:val="000000"/>
                <w:sz w:val="18"/>
                <w:szCs w:val="18"/>
              </w:rPr>
            </w:pPr>
            <w:r w:rsidRPr="000E3F92">
              <w:rPr>
                <w:rFonts w:cs="Arial"/>
                <w:b/>
                <w:bCs/>
                <w:color w:val="000000"/>
                <w:sz w:val="18"/>
                <w:szCs w:val="18"/>
              </w:rPr>
              <w:t xml:space="preserve">AV 2023 </w:t>
            </w:r>
          </w:p>
          <w:p w14:paraId="11CDE430" w14:textId="77777777" w:rsidR="004919AF" w:rsidRPr="000E3F92" w:rsidRDefault="004919AF" w:rsidP="0099185A">
            <w:pPr>
              <w:jc w:val="center"/>
              <w:rPr>
                <w:rFonts w:cs="Arial"/>
                <w:b/>
                <w:bCs/>
                <w:color w:val="000000"/>
                <w:sz w:val="18"/>
                <w:szCs w:val="18"/>
              </w:rPr>
            </w:pPr>
            <w:r w:rsidRPr="000E3F92">
              <w:rPr>
                <w:rFonts w:cs="Arial"/>
                <w:b/>
                <w:bCs/>
                <w:color w:val="000000"/>
                <w:sz w:val="18"/>
                <w:szCs w:val="18"/>
              </w:rPr>
              <w:t>%</w:t>
            </w:r>
          </w:p>
        </w:tc>
        <w:tc>
          <w:tcPr>
            <w:tcW w:w="606"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22B7C461" w14:textId="77777777" w:rsidR="004919AF" w:rsidRPr="000E3F92" w:rsidRDefault="004919AF" w:rsidP="0099185A">
            <w:pPr>
              <w:jc w:val="center"/>
              <w:rPr>
                <w:rFonts w:cs="Arial"/>
                <w:b/>
                <w:bCs/>
                <w:color w:val="000000"/>
                <w:sz w:val="18"/>
                <w:szCs w:val="18"/>
              </w:rPr>
            </w:pPr>
            <w:r w:rsidRPr="000E3F92">
              <w:rPr>
                <w:rFonts w:cs="Arial"/>
                <w:b/>
                <w:bCs/>
                <w:color w:val="000000"/>
                <w:sz w:val="18"/>
                <w:szCs w:val="18"/>
              </w:rPr>
              <w:t>2022</w:t>
            </w:r>
          </w:p>
        </w:tc>
        <w:tc>
          <w:tcPr>
            <w:tcW w:w="379" w:type="pct"/>
            <w:vMerge w:val="restart"/>
            <w:tcBorders>
              <w:top w:val="single" w:sz="4" w:space="0" w:color="auto"/>
              <w:left w:val="nil"/>
              <w:right w:val="single" w:sz="4" w:space="0" w:color="auto"/>
            </w:tcBorders>
            <w:shd w:val="clear" w:color="auto" w:fill="A1F2FD"/>
            <w:vAlign w:val="center"/>
            <w:hideMark/>
          </w:tcPr>
          <w:p w14:paraId="7EF586E4" w14:textId="77777777" w:rsidR="004919AF" w:rsidRPr="000E3F92" w:rsidRDefault="004919AF" w:rsidP="0099185A">
            <w:pPr>
              <w:jc w:val="center"/>
              <w:rPr>
                <w:rFonts w:cs="Arial"/>
                <w:b/>
                <w:bCs/>
                <w:color w:val="000000"/>
                <w:sz w:val="18"/>
                <w:szCs w:val="18"/>
              </w:rPr>
            </w:pPr>
            <w:r w:rsidRPr="000E3F92">
              <w:rPr>
                <w:rFonts w:cs="Arial"/>
                <w:b/>
                <w:bCs/>
                <w:color w:val="000000"/>
                <w:sz w:val="18"/>
                <w:szCs w:val="18"/>
              </w:rPr>
              <w:t xml:space="preserve">AV 2022 </w:t>
            </w:r>
          </w:p>
          <w:p w14:paraId="2C44C7E0" w14:textId="77777777" w:rsidR="004919AF" w:rsidRPr="000E3F92" w:rsidRDefault="004919AF" w:rsidP="0099185A">
            <w:pPr>
              <w:jc w:val="center"/>
              <w:rPr>
                <w:rFonts w:cs="Arial"/>
                <w:b/>
                <w:bCs/>
                <w:color w:val="000000"/>
                <w:sz w:val="18"/>
                <w:szCs w:val="18"/>
              </w:rPr>
            </w:pPr>
            <w:r w:rsidRPr="000E3F92">
              <w:rPr>
                <w:rFonts w:cs="Arial"/>
                <w:b/>
                <w:bCs/>
                <w:color w:val="000000"/>
                <w:sz w:val="18"/>
                <w:szCs w:val="18"/>
              </w:rPr>
              <w:t>%</w:t>
            </w:r>
          </w:p>
        </w:tc>
        <w:tc>
          <w:tcPr>
            <w:tcW w:w="1135" w:type="pct"/>
            <w:gridSpan w:val="2"/>
            <w:tcBorders>
              <w:top w:val="single" w:sz="4" w:space="0" w:color="auto"/>
              <w:left w:val="nil"/>
              <w:bottom w:val="single" w:sz="4" w:space="0" w:color="auto"/>
              <w:right w:val="single" w:sz="4" w:space="0" w:color="auto"/>
            </w:tcBorders>
            <w:shd w:val="clear" w:color="auto" w:fill="A1F2FD"/>
            <w:vAlign w:val="center"/>
            <w:hideMark/>
          </w:tcPr>
          <w:p w14:paraId="65B49757" w14:textId="77777777" w:rsidR="004919AF" w:rsidRPr="000E3F92" w:rsidRDefault="004919AF" w:rsidP="0099185A">
            <w:pPr>
              <w:jc w:val="center"/>
              <w:rPr>
                <w:rFonts w:cs="Arial"/>
                <w:b/>
                <w:bCs/>
                <w:color w:val="000000"/>
                <w:sz w:val="18"/>
                <w:szCs w:val="18"/>
              </w:rPr>
            </w:pPr>
            <w:r w:rsidRPr="000E3F92">
              <w:rPr>
                <w:rFonts w:cs="Arial"/>
                <w:b/>
                <w:bCs/>
                <w:color w:val="000000"/>
                <w:sz w:val="18"/>
                <w:szCs w:val="18"/>
              </w:rPr>
              <w:t>∆ 2023 x 2022</w:t>
            </w:r>
          </w:p>
        </w:tc>
      </w:tr>
      <w:tr w:rsidR="004919AF" w:rsidRPr="000E3F92" w14:paraId="310CB909" w14:textId="77777777" w:rsidTr="004919AF">
        <w:trPr>
          <w:trHeight w:val="255"/>
          <w:tblHeader/>
        </w:trPr>
        <w:tc>
          <w:tcPr>
            <w:tcW w:w="1817" w:type="pct"/>
            <w:vMerge/>
            <w:tcBorders>
              <w:top w:val="single" w:sz="4" w:space="0" w:color="auto"/>
              <w:left w:val="nil"/>
              <w:bottom w:val="single" w:sz="4" w:space="0" w:color="auto"/>
              <w:right w:val="single" w:sz="4" w:space="0" w:color="auto"/>
            </w:tcBorders>
            <w:shd w:val="clear" w:color="auto" w:fill="A1F2FD"/>
            <w:vAlign w:val="center"/>
          </w:tcPr>
          <w:p w14:paraId="27F4CE1B" w14:textId="77777777" w:rsidR="004919AF" w:rsidRPr="000E3F92" w:rsidRDefault="004919AF" w:rsidP="0099185A">
            <w:pPr>
              <w:jc w:val="left"/>
              <w:rPr>
                <w:rFonts w:cs="Arial"/>
                <w:b/>
                <w:bCs/>
                <w:color w:val="000000"/>
                <w:sz w:val="18"/>
                <w:szCs w:val="18"/>
              </w:rPr>
            </w:pPr>
          </w:p>
        </w:tc>
        <w:tc>
          <w:tcPr>
            <w:tcW w:w="683" w:type="pct"/>
            <w:vMerge/>
            <w:tcBorders>
              <w:top w:val="single" w:sz="4" w:space="0" w:color="auto"/>
              <w:left w:val="single" w:sz="4" w:space="0" w:color="auto"/>
              <w:right w:val="single" w:sz="4" w:space="0" w:color="auto"/>
            </w:tcBorders>
            <w:shd w:val="clear" w:color="auto" w:fill="A1F2FD"/>
            <w:vAlign w:val="center"/>
          </w:tcPr>
          <w:p w14:paraId="7593AF22" w14:textId="77777777" w:rsidR="004919AF" w:rsidRPr="000E3F92" w:rsidRDefault="004919AF" w:rsidP="0099185A">
            <w:pPr>
              <w:jc w:val="left"/>
              <w:rPr>
                <w:rFonts w:cs="Arial"/>
                <w:b/>
                <w:bCs/>
                <w:color w:val="000000"/>
                <w:sz w:val="18"/>
                <w:szCs w:val="18"/>
              </w:rPr>
            </w:pPr>
          </w:p>
        </w:tc>
        <w:tc>
          <w:tcPr>
            <w:tcW w:w="379" w:type="pct"/>
            <w:vMerge/>
            <w:tcBorders>
              <w:left w:val="nil"/>
              <w:right w:val="single" w:sz="4" w:space="0" w:color="auto"/>
            </w:tcBorders>
            <w:shd w:val="clear" w:color="auto" w:fill="A1F2FD"/>
            <w:vAlign w:val="center"/>
          </w:tcPr>
          <w:p w14:paraId="3DB29693" w14:textId="77777777" w:rsidR="004919AF" w:rsidRPr="000E3F92" w:rsidRDefault="004919AF" w:rsidP="0099185A">
            <w:pPr>
              <w:jc w:val="center"/>
              <w:rPr>
                <w:rFonts w:cs="Arial"/>
                <w:b/>
                <w:bCs/>
                <w:color w:val="000000"/>
                <w:sz w:val="18"/>
                <w:szCs w:val="18"/>
              </w:rPr>
            </w:pPr>
          </w:p>
        </w:tc>
        <w:tc>
          <w:tcPr>
            <w:tcW w:w="606" w:type="pct"/>
            <w:vMerge/>
            <w:tcBorders>
              <w:top w:val="single" w:sz="4" w:space="0" w:color="auto"/>
              <w:left w:val="single" w:sz="4" w:space="0" w:color="auto"/>
              <w:right w:val="single" w:sz="4" w:space="0" w:color="auto"/>
            </w:tcBorders>
            <w:shd w:val="clear" w:color="auto" w:fill="A1F2FD"/>
            <w:vAlign w:val="center"/>
          </w:tcPr>
          <w:p w14:paraId="07475C8C" w14:textId="77777777" w:rsidR="004919AF" w:rsidRPr="000E3F92" w:rsidRDefault="004919AF" w:rsidP="0099185A">
            <w:pPr>
              <w:jc w:val="left"/>
              <w:rPr>
                <w:rFonts w:cs="Arial"/>
                <w:b/>
                <w:bCs/>
                <w:color w:val="000000"/>
                <w:sz w:val="18"/>
                <w:szCs w:val="18"/>
              </w:rPr>
            </w:pPr>
          </w:p>
        </w:tc>
        <w:tc>
          <w:tcPr>
            <w:tcW w:w="379" w:type="pct"/>
            <w:vMerge/>
            <w:tcBorders>
              <w:left w:val="nil"/>
              <w:right w:val="single" w:sz="4" w:space="0" w:color="auto"/>
            </w:tcBorders>
            <w:shd w:val="clear" w:color="auto" w:fill="A1F2FD"/>
            <w:vAlign w:val="center"/>
          </w:tcPr>
          <w:p w14:paraId="57B623DA" w14:textId="77777777" w:rsidR="004919AF" w:rsidRPr="000E3F92" w:rsidRDefault="004919AF" w:rsidP="0099185A">
            <w:pPr>
              <w:jc w:val="center"/>
              <w:rPr>
                <w:rFonts w:cs="Arial"/>
                <w:b/>
                <w:bCs/>
                <w:color w:val="000000"/>
                <w:sz w:val="18"/>
                <w:szCs w:val="18"/>
              </w:rPr>
            </w:pPr>
          </w:p>
        </w:tc>
        <w:tc>
          <w:tcPr>
            <w:tcW w:w="607" w:type="pct"/>
            <w:tcBorders>
              <w:top w:val="nil"/>
              <w:left w:val="nil"/>
              <w:right w:val="single" w:sz="4" w:space="0" w:color="auto"/>
            </w:tcBorders>
            <w:shd w:val="clear" w:color="auto" w:fill="A1F2FD"/>
            <w:vAlign w:val="center"/>
          </w:tcPr>
          <w:p w14:paraId="018A367E" w14:textId="77777777" w:rsidR="004919AF" w:rsidRPr="000E3F92" w:rsidRDefault="004919AF" w:rsidP="0099185A">
            <w:pPr>
              <w:jc w:val="center"/>
              <w:rPr>
                <w:rFonts w:cs="Arial"/>
                <w:b/>
                <w:bCs/>
                <w:color w:val="000000"/>
                <w:sz w:val="18"/>
                <w:szCs w:val="18"/>
              </w:rPr>
            </w:pPr>
            <w:r w:rsidRPr="000E3F92">
              <w:rPr>
                <w:rFonts w:cs="Arial"/>
                <w:b/>
                <w:bCs/>
                <w:color w:val="000000"/>
                <w:sz w:val="18"/>
                <w:szCs w:val="18"/>
              </w:rPr>
              <w:t>R$</w:t>
            </w:r>
          </w:p>
        </w:tc>
        <w:tc>
          <w:tcPr>
            <w:tcW w:w="528" w:type="pct"/>
            <w:tcBorders>
              <w:top w:val="nil"/>
              <w:left w:val="nil"/>
              <w:right w:val="nil"/>
            </w:tcBorders>
            <w:shd w:val="clear" w:color="auto" w:fill="A1F2FD"/>
            <w:vAlign w:val="center"/>
          </w:tcPr>
          <w:p w14:paraId="2E594083" w14:textId="77777777" w:rsidR="004919AF" w:rsidRPr="000E3F92" w:rsidRDefault="004919AF" w:rsidP="0099185A">
            <w:pPr>
              <w:jc w:val="center"/>
              <w:rPr>
                <w:rFonts w:cs="Arial"/>
                <w:b/>
                <w:bCs/>
                <w:color w:val="000000"/>
                <w:sz w:val="18"/>
                <w:szCs w:val="18"/>
              </w:rPr>
            </w:pPr>
            <w:r w:rsidRPr="000E3F92">
              <w:rPr>
                <w:rFonts w:cs="Arial"/>
                <w:b/>
                <w:bCs/>
                <w:color w:val="000000"/>
                <w:sz w:val="18"/>
                <w:szCs w:val="18"/>
              </w:rPr>
              <w:t>%</w:t>
            </w:r>
          </w:p>
        </w:tc>
      </w:tr>
      <w:tr w:rsidR="004919AF" w:rsidRPr="000E3F92" w14:paraId="682DBAF5" w14:textId="77777777" w:rsidTr="004919AF">
        <w:trPr>
          <w:trHeight w:val="255"/>
          <w:tblHeader/>
        </w:trPr>
        <w:tc>
          <w:tcPr>
            <w:tcW w:w="1817" w:type="pct"/>
            <w:vMerge/>
            <w:tcBorders>
              <w:top w:val="single" w:sz="4" w:space="0" w:color="auto"/>
              <w:left w:val="nil"/>
              <w:bottom w:val="single" w:sz="4" w:space="0" w:color="auto"/>
              <w:right w:val="single" w:sz="4" w:space="0" w:color="auto"/>
            </w:tcBorders>
            <w:shd w:val="clear" w:color="auto" w:fill="A1F2FD"/>
            <w:vAlign w:val="center"/>
            <w:hideMark/>
          </w:tcPr>
          <w:p w14:paraId="50234C46" w14:textId="77777777" w:rsidR="004919AF" w:rsidRPr="000E3F92" w:rsidRDefault="004919AF" w:rsidP="0099185A">
            <w:pPr>
              <w:jc w:val="left"/>
              <w:rPr>
                <w:rFonts w:cs="Arial"/>
                <w:b/>
                <w:bCs/>
                <w:color w:val="000000"/>
                <w:sz w:val="18"/>
                <w:szCs w:val="18"/>
              </w:rPr>
            </w:pPr>
          </w:p>
        </w:tc>
        <w:tc>
          <w:tcPr>
            <w:tcW w:w="683" w:type="pct"/>
            <w:tcBorders>
              <w:left w:val="single" w:sz="4" w:space="0" w:color="auto"/>
              <w:bottom w:val="single" w:sz="4" w:space="0" w:color="auto"/>
              <w:right w:val="single" w:sz="4" w:space="0" w:color="auto"/>
            </w:tcBorders>
            <w:shd w:val="clear" w:color="auto" w:fill="A1F2FD"/>
            <w:vAlign w:val="center"/>
            <w:hideMark/>
          </w:tcPr>
          <w:p w14:paraId="7531EBE3" w14:textId="77777777" w:rsidR="004919AF" w:rsidRPr="000E3F92" w:rsidRDefault="004919AF" w:rsidP="0099185A">
            <w:pPr>
              <w:jc w:val="center"/>
              <w:rPr>
                <w:rFonts w:cs="Arial"/>
                <w:b/>
                <w:bCs/>
                <w:color w:val="000000"/>
                <w:sz w:val="18"/>
                <w:szCs w:val="18"/>
              </w:rPr>
            </w:pPr>
            <w:r w:rsidRPr="000E3F92">
              <w:rPr>
                <w:rFonts w:cs="Arial"/>
                <w:b/>
                <w:bCs/>
                <w:color w:val="000000"/>
                <w:sz w:val="18"/>
                <w:szCs w:val="18"/>
              </w:rPr>
              <w:t>(a)</w:t>
            </w:r>
          </w:p>
        </w:tc>
        <w:tc>
          <w:tcPr>
            <w:tcW w:w="379" w:type="pct"/>
            <w:tcBorders>
              <w:left w:val="nil"/>
              <w:bottom w:val="single" w:sz="4" w:space="0" w:color="auto"/>
              <w:right w:val="single" w:sz="4" w:space="0" w:color="auto"/>
            </w:tcBorders>
            <w:shd w:val="clear" w:color="auto" w:fill="A1F2FD"/>
            <w:vAlign w:val="center"/>
            <w:hideMark/>
          </w:tcPr>
          <w:p w14:paraId="17334C84" w14:textId="77777777" w:rsidR="004919AF" w:rsidRPr="000E3F92" w:rsidRDefault="004919AF" w:rsidP="0099185A">
            <w:pPr>
              <w:jc w:val="center"/>
              <w:rPr>
                <w:rFonts w:cs="Arial"/>
                <w:b/>
                <w:bCs/>
                <w:color w:val="000000"/>
                <w:sz w:val="18"/>
                <w:szCs w:val="18"/>
              </w:rPr>
            </w:pPr>
            <w:r w:rsidRPr="000E3F92">
              <w:rPr>
                <w:rFonts w:cs="Arial"/>
                <w:b/>
                <w:bCs/>
                <w:color w:val="000000"/>
                <w:sz w:val="18"/>
                <w:szCs w:val="18"/>
              </w:rPr>
              <w:t>(b)</w:t>
            </w:r>
          </w:p>
        </w:tc>
        <w:tc>
          <w:tcPr>
            <w:tcW w:w="606" w:type="pct"/>
            <w:tcBorders>
              <w:left w:val="single" w:sz="4" w:space="0" w:color="auto"/>
              <w:bottom w:val="single" w:sz="4" w:space="0" w:color="auto"/>
              <w:right w:val="single" w:sz="4" w:space="0" w:color="auto"/>
            </w:tcBorders>
            <w:shd w:val="clear" w:color="auto" w:fill="A1F2FD"/>
            <w:vAlign w:val="center"/>
            <w:hideMark/>
          </w:tcPr>
          <w:p w14:paraId="260B30E8" w14:textId="77777777" w:rsidR="004919AF" w:rsidRPr="000E3F92" w:rsidRDefault="004919AF" w:rsidP="0099185A">
            <w:pPr>
              <w:jc w:val="center"/>
              <w:rPr>
                <w:rFonts w:cs="Arial"/>
                <w:b/>
                <w:bCs/>
                <w:color w:val="000000"/>
                <w:sz w:val="18"/>
                <w:szCs w:val="18"/>
              </w:rPr>
            </w:pPr>
            <w:r w:rsidRPr="000E3F92">
              <w:rPr>
                <w:rFonts w:cs="Arial"/>
                <w:b/>
                <w:bCs/>
                <w:color w:val="000000"/>
                <w:sz w:val="18"/>
                <w:szCs w:val="18"/>
              </w:rPr>
              <w:t>(c)</w:t>
            </w:r>
          </w:p>
        </w:tc>
        <w:tc>
          <w:tcPr>
            <w:tcW w:w="379" w:type="pct"/>
            <w:tcBorders>
              <w:left w:val="nil"/>
              <w:bottom w:val="single" w:sz="4" w:space="0" w:color="auto"/>
              <w:right w:val="single" w:sz="4" w:space="0" w:color="auto"/>
            </w:tcBorders>
            <w:shd w:val="clear" w:color="auto" w:fill="A1F2FD"/>
            <w:vAlign w:val="center"/>
            <w:hideMark/>
          </w:tcPr>
          <w:p w14:paraId="165FFCAA" w14:textId="77777777" w:rsidR="004919AF" w:rsidRPr="000E3F92" w:rsidRDefault="004919AF" w:rsidP="0099185A">
            <w:pPr>
              <w:jc w:val="center"/>
              <w:rPr>
                <w:rFonts w:cs="Arial"/>
                <w:b/>
                <w:bCs/>
                <w:color w:val="000000"/>
                <w:sz w:val="18"/>
                <w:szCs w:val="18"/>
              </w:rPr>
            </w:pPr>
            <w:r w:rsidRPr="000E3F92">
              <w:rPr>
                <w:rFonts w:cs="Arial"/>
                <w:b/>
                <w:bCs/>
                <w:color w:val="000000"/>
                <w:sz w:val="18"/>
                <w:szCs w:val="18"/>
              </w:rPr>
              <w:t>(d)</w:t>
            </w:r>
          </w:p>
        </w:tc>
        <w:tc>
          <w:tcPr>
            <w:tcW w:w="607" w:type="pct"/>
            <w:tcBorders>
              <w:left w:val="nil"/>
              <w:bottom w:val="single" w:sz="4" w:space="0" w:color="auto"/>
              <w:right w:val="single" w:sz="4" w:space="0" w:color="auto"/>
            </w:tcBorders>
            <w:shd w:val="clear" w:color="auto" w:fill="A1F2FD"/>
            <w:vAlign w:val="center"/>
            <w:hideMark/>
          </w:tcPr>
          <w:p w14:paraId="7B6CCB10" w14:textId="77777777" w:rsidR="004919AF" w:rsidRPr="000E3F92" w:rsidRDefault="004919AF" w:rsidP="0099185A">
            <w:pPr>
              <w:ind w:left="-107" w:right="-117"/>
              <w:jc w:val="center"/>
              <w:rPr>
                <w:rFonts w:cs="Arial"/>
                <w:b/>
                <w:bCs/>
                <w:color w:val="000000"/>
                <w:sz w:val="18"/>
                <w:szCs w:val="18"/>
              </w:rPr>
            </w:pPr>
            <w:r w:rsidRPr="000E3F92">
              <w:rPr>
                <w:rFonts w:cs="Arial"/>
                <w:b/>
                <w:bCs/>
                <w:color w:val="000000"/>
                <w:sz w:val="18"/>
                <w:szCs w:val="18"/>
              </w:rPr>
              <w:t>(e) = (a-b)</w:t>
            </w:r>
          </w:p>
        </w:tc>
        <w:tc>
          <w:tcPr>
            <w:tcW w:w="528" w:type="pct"/>
            <w:tcBorders>
              <w:left w:val="nil"/>
              <w:bottom w:val="single" w:sz="4" w:space="0" w:color="auto"/>
              <w:right w:val="nil"/>
            </w:tcBorders>
            <w:shd w:val="clear" w:color="auto" w:fill="A1F2FD"/>
            <w:vAlign w:val="center"/>
            <w:hideMark/>
          </w:tcPr>
          <w:p w14:paraId="17B725B1" w14:textId="77777777" w:rsidR="004919AF" w:rsidRPr="000E3F92" w:rsidRDefault="004919AF" w:rsidP="0099185A">
            <w:pPr>
              <w:ind w:left="-75" w:right="-76"/>
              <w:jc w:val="center"/>
              <w:rPr>
                <w:rFonts w:cs="Arial"/>
                <w:b/>
                <w:bCs/>
                <w:color w:val="000000"/>
                <w:sz w:val="18"/>
                <w:szCs w:val="18"/>
              </w:rPr>
            </w:pPr>
            <w:r w:rsidRPr="000E3F92">
              <w:rPr>
                <w:rFonts w:cs="Arial"/>
                <w:b/>
                <w:bCs/>
                <w:color w:val="000000"/>
                <w:sz w:val="18"/>
                <w:szCs w:val="18"/>
              </w:rPr>
              <w:t>(f) = (e/c)</w:t>
            </w:r>
          </w:p>
        </w:tc>
      </w:tr>
      <w:tr w:rsidR="004F78CE" w:rsidRPr="004F7801" w14:paraId="54D06791" w14:textId="77777777" w:rsidTr="004919AF">
        <w:trPr>
          <w:trHeight w:val="300"/>
        </w:trPr>
        <w:tc>
          <w:tcPr>
            <w:tcW w:w="1817" w:type="pct"/>
            <w:tcBorders>
              <w:top w:val="nil"/>
              <w:left w:val="nil"/>
              <w:bottom w:val="nil"/>
              <w:right w:val="single" w:sz="4" w:space="0" w:color="auto"/>
            </w:tcBorders>
            <w:shd w:val="clear" w:color="auto" w:fill="auto"/>
            <w:noWrap/>
            <w:vAlign w:val="center"/>
            <w:hideMark/>
          </w:tcPr>
          <w:p w14:paraId="444855B8" w14:textId="77777777" w:rsidR="004F78CE" w:rsidRPr="004F7801" w:rsidRDefault="004F78CE" w:rsidP="00D21055">
            <w:pPr>
              <w:jc w:val="left"/>
              <w:rPr>
                <w:rFonts w:cs="Arial"/>
                <w:color w:val="000000"/>
                <w:sz w:val="18"/>
                <w:szCs w:val="18"/>
              </w:rPr>
            </w:pPr>
            <w:r w:rsidRPr="004F7801">
              <w:rPr>
                <w:rFonts w:cs="Arial"/>
                <w:color w:val="000000"/>
                <w:sz w:val="18"/>
                <w:szCs w:val="18"/>
              </w:rPr>
              <w:t xml:space="preserve">Provisão para Riscos Trabalhistas a </w:t>
            </w:r>
            <w:r>
              <w:rPr>
                <w:rFonts w:cs="Arial"/>
                <w:color w:val="000000"/>
                <w:sz w:val="18"/>
                <w:szCs w:val="18"/>
              </w:rPr>
              <w:t>LP</w:t>
            </w:r>
          </w:p>
        </w:tc>
        <w:tc>
          <w:tcPr>
            <w:tcW w:w="683" w:type="pct"/>
            <w:tcBorders>
              <w:top w:val="nil"/>
              <w:left w:val="nil"/>
              <w:bottom w:val="nil"/>
              <w:right w:val="single" w:sz="4" w:space="0" w:color="auto"/>
            </w:tcBorders>
            <w:shd w:val="clear" w:color="auto" w:fill="auto"/>
            <w:noWrap/>
            <w:vAlign w:val="center"/>
            <w:hideMark/>
          </w:tcPr>
          <w:p w14:paraId="260D3AE1" w14:textId="77777777" w:rsidR="004F78CE" w:rsidRPr="004F7801" w:rsidRDefault="004F78CE" w:rsidP="00D21055">
            <w:pPr>
              <w:jc w:val="right"/>
              <w:rPr>
                <w:rFonts w:cs="Arial"/>
                <w:color w:val="000000"/>
                <w:sz w:val="18"/>
                <w:szCs w:val="18"/>
              </w:rPr>
            </w:pPr>
            <w:r w:rsidRPr="004F7801">
              <w:rPr>
                <w:rFonts w:cs="Arial"/>
                <w:color w:val="000000"/>
                <w:sz w:val="18"/>
                <w:szCs w:val="18"/>
              </w:rPr>
              <w:t>18.821</w:t>
            </w:r>
          </w:p>
        </w:tc>
        <w:tc>
          <w:tcPr>
            <w:tcW w:w="379" w:type="pct"/>
            <w:tcBorders>
              <w:top w:val="nil"/>
              <w:left w:val="nil"/>
              <w:bottom w:val="nil"/>
              <w:right w:val="single" w:sz="4" w:space="0" w:color="auto"/>
            </w:tcBorders>
            <w:shd w:val="clear" w:color="auto" w:fill="auto"/>
            <w:noWrap/>
            <w:vAlign w:val="center"/>
            <w:hideMark/>
          </w:tcPr>
          <w:p w14:paraId="649884B4" w14:textId="77777777" w:rsidR="004F78CE" w:rsidRPr="004F7801" w:rsidRDefault="004F78CE" w:rsidP="00D21055">
            <w:pPr>
              <w:jc w:val="center"/>
              <w:rPr>
                <w:rFonts w:cs="Arial"/>
                <w:color w:val="000000"/>
                <w:sz w:val="18"/>
                <w:szCs w:val="18"/>
              </w:rPr>
            </w:pPr>
            <w:r w:rsidRPr="004F7801">
              <w:rPr>
                <w:rFonts w:cs="Arial"/>
                <w:color w:val="000000"/>
                <w:sz w:val="18"/>
                <w:szCs w:val="18"/>
              </w:rPr>
              <w:t>0,01</w:t>
            </w:r>
          </w:p>
        </w:tc>
        <w:tc>
          <w:tcPr>
            <w:tcW w:w="606" w:type="pct"/>
            <w:tcBorders>
              <w:top w:val="nil"/>
              <w:left w:val="nil"/>
              <w:bottom w:val="nil"/>
              <w:right w:val="single" w:sz="4" w:space="0" w:color="auto"/>
            </w:tcBorders>
            <w:shd w:val="clear" w:color="auto" w:fill="auto"/>
            <w:noWrap/>
            <w:vAlign w:val="center"/>
            <w:hideMark/>
          </w:tcPr>
          <w:p w14:paraId="4A27EBB8" w14:textId="77777777" w:rsidR="004F78CE" w:rsidRPr="004F7801" w:rsidRDefault="004F78CE" w:rsidP="00D21055">
            <w:pPr>
              <w:jc w:val="right"/>
              <w:rPr>
                <w:rFonts w:cs="Arial"/>
                <w:color w:val="000000"/>
                <w:sz w:val="18"/>
                <w:szCs w:val="18"/>
              </w:rPr>
            </w:pPr>
            <w:r w:rsidRPr="004F7801">
              <w:rPr>
                <w:rFonts w:cs="Arial"/>
                <w:color w:val="000000"/>
                <w:sz w:val="18"/>
                <w:szCs w:val="18"/>
              </w:rPr>
              <w:t>18.215</w:t>
            </w:r>
          </w:p>
        </w:tc>
        <w:tc>
          <w:tcPr>
            <w:tcW w:w="379" w:type="pct"/>
            <w:tcBorders>
              <w:top w:val="nil"/>
              <w:left w:val="nil"/>
              <w:bottom w:val="nil"/>
              <w:right w:val="single" w:sz="4" w:space="0" w:color="auto"/>
            </w:tcBorders>
            <w:shd w:val="clear" w:color="auto" w:fill="auto"/>
            <w:noWrap/>
            <w:vAlign w:val="center"/>
            <w:hideMark/>
          </w:tcPr>
          <w:p w14:paraId="788AD51F" w14:textId="77777777" w:rsidR="004F78CE" w:rsidRPr="004F7801" w:rsidRDefault="004F78CE" w:rsidP="00D21055">
            <w:pPr>
              <w:jc w:val="center"/>
              <w:rPr>
                <w:rFonts w:cs="Arial"/>
                <w:color w:val="000000"/>
                <w:sz w:val="18"/>
                <w:szCs w:val="18"/>
              </w:rPr>
            </w:pPr>
            <w:r w:rsidRPr="004F7801">
              <w:rPr>
                <w:rFonts w:cs="Arial"/>
                <w:color w:val="000000"/>
                <w:sz w:val="18"/>
                <w:szCs w:val="18"/>
              </w:rPr>
              <w:t>3,14</w:t>
            </w:r>
          </w:p>
        </w:tc>
        <w:tc>
          <w:tcPr>
            <w:tcW w:w="607" w:type="pct"/>
            <w:tcBorders>
              <w:top w:val="nil"/>
              <w:left w:val="nil"/>
              <w:bottom w:val="nil"/>
              <w:right w:val="single" w:sz="4" w:space="0" w:color="auto"/>
            </w:tcBorders>
            <w:shd w:val="clear" w:color="auto" w:fill="auto"/>
            <w:noWrap/>
            <w:vAlign w:val="center"/>
            <w:hideMark/>
          </w:tcPr>
          <w:p w14:paraId="011EF9F5" w14:textId="77777777" w:rsidR="004F78CE" w:rsidRPr="004F7801" w:rsidRDefault="004F78CE" w:rsidP="004919AF">
            <w:pPr>
              <w:ind w:left="-70"/>
              <w:jc w:val="right"/>
              <w:rPr>
                <w:rFonts w:cs="Arial"/>
                <w:bCs/>
                <w:color w:val="000000"/>
                <w:sz w:val="18"/>
                <w:szCs w:val="18"/>
              </w:rPr>
            </w:pPr>
            <w:r w:rsidRPr="004F7801">
              <w:rPr>
                <w:rFonts w:cs="Arial"/>
                <w:bCs/>
                <w:color w:val="000000"/>
                <w:sz w:val="18"/>
                <w:szCs w:val="18"/>
              </w:rPr>
              <w:t>606</w:t>
            </w:r>
          </w:p>
        </w:tc>
        <w:tc>
          <w:tcPr>
            <w:tcW w:w="528" w:type="pct"/>
            <w:tcBorders>
              <w:top w:val="nil"/>
              <w:left w:val="nil"/>
              <w:bottom w:val="nil"/>
              <w:right w:val="nil"/>
            </w:tcBorders>
            <w:shd w:val="clear" w:color="auto" w:fill="auto"/>
            <w:noWrap/>
            <w:vAlign w:val="center"/>
            <w:hideMark/>
          </w:tcPr>
          <w:p w14:paraId="1C67CA81" w14:textId="77777777" w:rsidR="004F78CE" w:rsidRPr="004F7801" w:rsidRDefault="004F78CE" w:rsidP="00D21055">
            <w:pPr>
              <w:jc w:val="center"/>
              <w:rPr>
                <w:rFonts w:cs="Arial"/>
                <w:color w:val="000000"/>
                <w:sz w:val="18"/>
                <w:szCs w:val="18"/>
              </w:rPr>
            </w:pPr>
            <w:r w:rsidRPr="004F7801">
              <w:rPr>
                <w:rFonts w:cs="Arial"/>
                <w:color w:val="000000"/>
                <w:sz w:val="18"/>
                <w:szCs w:val="18"/>
              </w:rPr>
              <w:t>3,33</w:t>
            </w:r>
          </w:p>
        </w:tc>
      </w:tr>
      <w:tr w:rsidR="004F78CE" w:rsidRPr="004F7801" w14:paraId="1A196666" w14:textId="77777777" w:rsidTr="004919AF">
        <w:trPr>
          <w:trHeight w:val="300"/>
        </w:trPr>
        <w:tc>
          <w:tcPr>
            <w:tcW w:w="1817" w:type="pct"/>
            <w:tcBorders>
              <w:top w:val="nil"/>
              <w:left w:val="nil"/>
              <w:bottom w:val="nil"/>
              <w:right w:val="single" w:sz="4" w:space="0" w:color="auto"/>
            </w:tcBorders>
            <w:shd w:val="clear" w:color="auto" w:fill="auto"/>
            <w:noWrap/>
            <w:vAlign w:val="center"/>
            <w:hideMark/>
          </w:tcPr>
          <w:p w14:paraId="5A220D90" w14:textId="77777777" w:rsidR="004F78CE" w:rsidRPr="004F7801" w:rsidRDefault="004F78CE" w:rsidP="00D21055">
            <w:pPr>
              <w:jc w:val="left"/>
              <w:rPr>
                <w:rFonts w:cs="Arial"/>
                <w:color w:val="000000"/>
                <w:sz w:val="18"/>
                <w:szCs w:val="18"/>
              </w:rPr>
            </w:pPr>
            <w:r w:rsidRPr="004F7801">
              <w:rPr>
                <w:rFonts w:cs="Arial"/>
                <w:color w:val="000000"/>
                <w:sz w:val="18"/>
                <w:szCs w:val="18"/>
              </w:rPr>
              <w:t>Provisões Matemáticas Previ</w:t>
            </w:r>
            <w:r>
              <w:rPr>
                <w:rFonts w:cs="Arial"/>
                <w:color w:val="000000"/>
                <w:sz w:val="18"/>
                <w:szCs w:val="18"/>
              </w:rPr>
              <w:t>d.</w:t>
            </w:r>
            <w:r w:rsidRPr="004F7801">
              <w:rPr>
                <w:rFonts w:cs="Arial"/>
                <w:color w:val="000000"/>
                <w:sz w:val="18"/>
                <w:szCs w:val="18"/>
              </w:rPr>
              <w:t xml:space="preserve"> a </w:t>
            </w:r>
            <w:r>
              <w:rPr>
                <w:rFonts w:cs="Arial"/>
                <w:color w:val="000000"/>
                <w:sz w:val="18"/>
                <w:szCs w:val="18"/>
              </w:rPr>
              <w:t>LP</w:t>
            </w:r>
          </w:p>
        </w:tc>
        <w:tc>
          <w:tcPr>
            <w:tcW w:w="683" w:type="pct"/>
            <w:tcBorders>
              <w:top w:val="nil"/>
              <w:left w:val="nil"/>
              <w:bottom w:val="nil"/>
              <w:right w:val="single" w:sz="4" w:space="0" w:color="auto"/>
            </w:tcBorders>
            <w:shd w:val="clear" w:color="auto" w:fill="auto"/>
            <w:noWrap/>
            <w:vAlign w:val="center"/>
            <w:hideMark/>
          </w:tcPr>
          <w:p w14:paraId="676F3469" w14:textId="77777777" w:rsidR="004F78CE" w:rsidRPr="004F7801" w:rsidRDefault="004F78CE" w:rsidP="00D21055">
            <w:pPr>
              <w:jc w:val="right"/>
              <w:rPr>
                <w:rFonts w:cs="Arial"/>
                <w:color w:val="000000"/>
                <w:sz w:val="18"/>
                <w:szCs w:val="18"/>
              </w:rPr>
            </w:pPr>
            <w:r w:rsidRPr="004F7801">
              <w:rPr>
                <w:rFonts w:cs="Arial"/>
                <w:color w:val="000000"/>
                <w:sz w:val="18"/>
                <w:szCs w:val="18"/>
              </w:rPr>
              <w:t>128.354.850</w:t>
            </w:r>
          </w:p>
        </w:tc>
        <w:tc>
          <w:tcPr>
            <w:tcW w:w="379" w:type="pct"/>
            <w:tcBorders>
              <w:top w:val="nil"/>
              <w:left w:val="nil"/>
              <w:bottom w:val="nil"/>
              <w:right w:val="single" w:sz="4" w:space="0" w:color="auto"/>
            </w:tcBorders>
            <w:shd w:val="clear" w:color="auto" w:fill="auto"/>
            <w:noWrap/>
            <w:vAlign w:val="center"/>
            <w:hideMark/>
          </w:tcPr>
          <w:p w14:paraId="303A9DF3" w14:textId="77777777" w:rsidR="004F78CE" w:rsidRPr="004F7801" w:rsidRDefault="004F78CE" w:rsidP="00D21055">
            <w:pPr>
              <w:jc w:val="center"/>
              <w:rPr>
                <w:rFonts w:cs="Arial"/>
                <w:color w:val="000000"/>
                <w:sz w:val="18"/>
                <w:szCs w:val="18"/>
              </w:rPr>
            </w:pPr>
            <w:r w:rsidRPr="004F7801">
              <w:rPr>
                <w:rFonts w:cs="Arial"/>
                <w:color w:val="000000"/>
                <w:sz w:val="18"/>
                <w:szCs w:val="18"/>
              </w:rPr>
              <w:t>52,44</w:t>
            </w:r>
          </w:p>
        </w:tc>
        <w:tc>
          <w:tcPr>
            <w:tcW w:w="606" w:type="pct"/>
            <w:tcBorders>
              <w:top w:val="nil"/>
              <w:left w:val="nil"/>
              <w:bottom w:val="nil"/>
              <w:right w:val="single" w:sz="4" w:space="0" w:color="auto"/>
            </w:tcBorders>
            <w:shd w:val="clear" w:color="auto" w:fill="auto"/>
            <w:noWrap/>
            <w:vAlign w:val="center"/>
            <w:hideMark/>
          </w:tcPr>
          <w:p w14:paraId="53CA4C24" w14:textId="77777777" w:rsidR="004F78CE" w:rsidRPr="004F7801" w:rsidRDefault="004F78CE" w:rsidP="00D21055">
            <w:pPr>
              <w:jc w:val="right"/>
              <w:rPr>
                <w:rFonts w:cs="Arial"/>
                <w:color w:val="000000"/>
                <w:sz w:val="18"/>
                <w:szCs w:val="18"/>
              </w:rPr>
            </w:pPr>
            <w:r>
              <w:rPr>
                <w:rFonts w:cs="Arial"/>
                <w:color w:val="000000"/>
                <w:sz w:val="18"/>
                <w:szCs w:val="18"/>
              </w:rPr>
              <w:t>-</w:t>
            </w:r>
          </w:p>
        </w:tc>
        <w:tc>
          <w:tcPr>
            <w:tcW w:w="379" w:type="pct"/>
            <w:tcBorders>
              <w:top w:val="nil"/>
              <w:left w:val="nil"/>
              <w:bottom w:val="nil"/>
              <w:right w:val="single" w:sz="4" w:space="0" w:color="auto"/>
            </w:tcBorders>
            <w:shd w:val="clear" w:color="auto" w:fill="auto"/>
            <w:noWrap/>
            <w:vAlign w:val="center"/>
            <w:hideMark/>
          </w:tcPr>
          <w:p w14:paraId="12D7EB41" w14:textId="77777777" w:rsidR="004F78CE" w:rsidRPr="004F7801" w:rsidRDefault="004F78CE" w:rsidP="00D21055">
            <w:pPr>
              <w:jc w:val="center"/>
              <w:rPr>
                <w:rFonts w:cs="Arial"/>
                <w:color w:val="000000"/>
                <w:sz w:val="18"/>
                <w:szCs w:val="18"/>
              </w:rPr>
            </w:pPr>
            <w:r>
              <w:rPr>
                <w:rFonts w:cs="Arial"/>
                <w:color w:val="000000"/>
                <w:sz w:val="18"/>
                <w:szCs w:val="18"/>
              </w:rPr>
              <w:t>-</w:t>
            </w:r>
          </w:p>
        </w:tc>
        <w:tc>
          <w:tcPr>
            <w:tcW w:w="607" w:type="pct"/>
            <w:tcBorders>
              <w:top w:val="nil"/>
              <w:left w:val="nil"/>
              <w:bottom w:val="nil"/>
              <w:right w:val="single" w:sz="4" w:space="0" w:color="auto"/>
            </w:tcBorders>
            <w:shd w:val="clear" w:color="auto" w:fill="auto"/>
            <w:noWrap/>
            <w:vAlign w:val="center"/>
            <w:hideMark/>
          </w:tcPr>
          <w:p w14:paraId="0068DEDB" w14:textId="77777777" w:rsidR="004F78CE" w:rsidRPr="004F7801" w:rsidRDefault="004F78CE" w:rsidP="004919AF">
            <w:pPr>
              <w:ind w:left="-70"/>
              <w:jc w:val="right"/>
              <w:rPr>
                <w:rFonts w:cs="Arial"/>
                <w:bCs/>
                <w:color w:val="000000"/>
                <w:sz w:val="18"/>
                <w:szCs w:val="18"/>
              </w:rPr>
            </w:pPr>
            <w:r w:rsidRPr="004F7801">
              <w:rPr>
                <w:rFonts w:cs="Arial"/>
                <w:bCs/>
                <w:color w:val="000000"/>
                <w:sz w:val="18"/>
                <w:szCs w:val="18"/>
              </w:rPr>
              <w:t>128.354.850</w:t>
            </w:r>
          </w:p>
        </w:tc>
        <w:tc>
          <w:tcPr>
            <w:tcW w:w="528" w:type="pct"/>
            <w:tcBorders>
              <w:top w:val="nil"/>
              <w:left w:val="nil"/>
              <w:bottom w:val="nil"/>
              <w:right w:val="nil"/>
            </w:tcBorders>
            <w:shd w:val="clear" w:color="auto" w:fill="auto"/>
            <w:noWrap/>
            <w:vAlign w:val="center"/>
            <w:hideMark/>
          </w:tcPr>
          <w:p w14:paraId="523A1A8D" w14:textId="77777777" w:rsidR="004F78CE" w:rsidRPr="004F7801" w:rsidRDefault="004F78CE" w:rsidP="00D21055">
            <w:pPr>
              <w:jc w:val="center"/>
              <w:rPr>
                <w:rFonts w:cs="Arial"/>
                <w:color w:val="000000"/>
                <w:sz w:val="18"/>
                <w:szCs w:val="18"/>
              </w:rPr>
            </w:pPr>
            <w:r w:rsidRPr="004F7801">
              <w:rPr>
                <w:rFonts w:cs="Arial"/>
                <w:color w:val="000000"/>
                <w:sz w:val="18"/>
                <w:szCs w:val="18"/>
              </w:rPr>
              <w:t>100,00</w:t>
            </w:r>
          </w:p>
        </w:tc>
      </w:tr>
      <w:tr w:rsidR="004F78CE" w:rsidRPr="004F7801" w14:paraId="5D4153DD" w14:textId="77777777" w:rsidTr="004919AF">
        <w:trPr>
          <w:trHeight w:val="300"/>
        </w:trPr>
        <w:tc>
          <w:tcPr>
            <w:tcW w:w="1817" w:type="pct"/>
            <w:tcBorders>
              <w:top w:val="nil"/>
              <w:left w:val="nil"/>
              <w:bottom w:val="nil"/>
              <w:right w:val="single" w:sz="4" w:space="0" w:color="auto"/>
            </w:tcBorders>
            <w:shd w:val="clear" w:color="auto" w:fill="auto"/>
            <w:noWrap/>
            <w:vAlign w:val="center"/>
            <w:hideMark/>
          </w:tcPr>
          <w:p w14:paraId="5B7A0A61" w14:textId="77777777" w:rsidR="004F78CE" w:rsidRPr="004F7801" w:rsidRDefault="004F78CE" w:rsidP="00D21055">
            <w:pPr>
              <w:jc w:val="left"/>
              <w:rPr>
                <w:rFonts w:cs="Arial"/>
                <w:color w:val="000000"/>
                <w:sz w:val="18"/>
                <w:szCs w:val="18"/>
              </w:rPr>
            </w:pPr>
            <w:r w:rsidRPr="004F7801">
              <w:rPr>
                <w:rFonts w:cs="Arial"/>
                <w:color w:val="000000"/>
                <w:sz w:val="18"/>
                <w:szCs w:val="18"/>
              </w:rPr>
              <w:t xml:space="preserve">Provisão para Riscos Fiscais a </w:t>
            </w:r>
            <w:r>
              <w:rPr>
                <w:rFonts w:cs="Arial"/>
                <w:color w:val="000000"/>
                <w:sz w:val="18"/>
                <w:szCs w:val="18"/>
              </w:rPr>
              <w:t>LP</w:t>
            </w:r>
          </w:p>
        </w:tc>
        <w:tc>
          <w:tcPr>
            <w:tcW w:w="683" w:type="pct"/>
            <w:tcBorders>
              <w:top w:val="nil"/>
              <w:left w:val="nil"/>
              <w:bottom w:val="nil"/>
              <w:right w:val="single" w:sz="4" w:space="0" w:color="auto"/>
            </w:tcBorders>
            <w:shd w:val="clear" w:color="auto" w:fill="auto"/>
            <w:noWrap/>
            <w:vAlign w:val="center"/>
            <w:hideMark/>
          </w:tcPr>
          <w:p w14:paraId="73ED1555" w14:textId="77777777" w:rsidR="004F78CE" w:rsidRPr="004F7801" w:rsidRDefault="004F78CE" w:rsidP="00D21055">
            <w:pPr>
              <w:jc w:val="right"/>
              <w:rPr>
                <w:rFonts w:cs="Arial"/>
                <w:color w:val="000000"/>
                <w:sz w:val="18"/>
                <w:szCs w:val="18"/>
              </w:rPr>
            </w:pPr>
            <w:r w:rsidRPr="004F7801">
              <w:rPr>
                <w:rFonts w:cs="Arial"/>
                <w:color w:val="000000"/>
                <w:sz w:val="18"/>
                <w:szCs w:val="18"/>
              </w:rPr>
              <w:t>30.579</w:t>
            </w:r>
          </w:p>
        </w:tc>
        <w:tc>
          <w:tcPr>
            <w:tcW w:w="379" w:type="pct"/>
            <w:tcBorders>
              <w:top w:val="nil"/>
              <w:left w:val="nil"/>
              <w:bottom w:val="nil"/>
              <w:right w:val="single" w:sz="4" w:space="0" w:color="auto"/>
            </w:tcBorders>
            <w:shd w:val="clear" w:color="auto" w:fill="auto"/>
            <w:noWrap/>
            <w:vAlign w:val="center"/>
            <w:hideMark/>
          </w:tcPr>
          <w:p w14:paraId="695865DF" w14:textId="77777777" w:rsidR="004F78CE" w:rsidRPr="004F7801" w:rsidRDefault="004F78CE" w:rsidP="00D21055">
            <w:pPr>
              <w:jc w:val="center"/>
              <w:rPr>
                <w:rFonts w:cs="Arial"/>
                <w:color w:val="000000"/>
                <w:sz w:val="18"/>
                <w:szCs w:val="18"/>
              </w:rPr>
            </w:pPr>
            <w:r w:rsidRPr="004F7801">
              <w:rPr>
                <w:rFonts w:cs="Arial"/>
                <w:color w:val="000000"/>
                <w:sz w:val="18"/>
                <w:szCs w:val="18"/>
              </w:rPr>
              <w:t>0,01</w:t>
            </w:r>
          </w:p>
        </w:tc>
        <w:tc>
          <w:tcPr>
            <w:tcW w:w="606" w:type="pct"/>
            <w:tcBorders>
              <w:top w:val="nil"/>
              <w:left w:val="nil"/>
              <w:bottom w:val="nil"/>
              <w:right w:val="single" w:sz="4" w:space="0" w:color="auto"/>
            </w:tcBorders>
            <w:shd w:val="clear" w:color="auto" w:fill="auto"/>
            <w:noWrap/>
            <w:vAlign w:val="center"/>
            <w:hideMark/>
          </w:tcPr>
          <w:p w14:paraId="7F490FEC" w14:textId="77777777" w:rsidR="004F78CE" w:rsidRPr="004F7801" w:rsidRDefault="004F78CE" w:rsidP="00D21055">
            <w:pPr>
              <w:jc w:val="right"/>
              <w:rPr>
                <w:rFonts w:cs="Arial"/>
                <w:color w:val="000000"/>
                <w:sz w:val="18"/>
                <w:szCs w:val="18"/>
              </w:rPr>
            </w:pPr>
            <w:r w:rsidRPr="004F7801">
              <w:rPr>
                <w:rFonts w:cs="Arial"/>
                <w:color w:val="000000"/>
                <w:sz w:val="18"/>
                <w:szCs w:val="18"/>
              </w:rPr>
              <w:t>16.601</w:t>
            </w:r>
          </w:p>
        </w:tc>
        <w:tc>
          <w:tcPr>
            <w:tcW w:w="379" w:type="pct"/>
            <w:tcBorders>
              <w:top w:val="nil"/>
              <w:left w:val="nil"/>
              <w:bottom w:val="nil"/>
              <w:right w:val="single" w:sz="4" w:space="0" w:color="auto"/>
            </w:tcBorders>
            <w:shd w:val="clear" w:color="auto" w:fill="auto"/>
            <w:noWrap/>
            <w:vAlign w:val="center"/>
            <w:hideMark/>
          </w:tcPr>
          <w:p w14:paraId="30F4D0DD" w14:textId="77777777" w:rsidR="004F78CE" w:rsidRPr="004F7801" w:rsidRDefault="004F78CE" w:rsidP="00D21055">
            <w:pPr>
              <w:jc w:val="center"/>
              <w:rPr>
                <w:rFonts w:cs="Arial"/>
                <w:color w:val="000000"/>
                <w:sz w:val="18"/>
                <w:szCs w:val="18"/>
              </w:rPr>
            </w:pPr>
            <w:r w:rsidRPr="004F7801">
              <w:rPr>
                <w:rFonts w:cs="Arial"/>
                <w:color w:val="000000"/>
                <w:sz w:val="18"/>
                <w:szCs w:val="18"/>
              </w:rPr>
              <w:t>2,86</w:t>
            </w:r>
          </w:p>
        </w:tc>
        <w:tc>
          <w:tcPr>
            <w:tcW w:w="607" w:type="pct"/>
            <w:tcBorders>
              <w:top w:val="nil"/>
              <w:left w:val="nil"/>
              <w:bottom w:val="nil"/>
              <w:right w:val="single" w:sz="4" w:space="0" w:color="auto"/>
            </w:tcBorders>
            <w:shd w:val="clear" w:color="auto" w:fill="auto"/>
            <w:noWrap/>
            <w:vAlign w:val="center"/>
            <w:hideMark/>
          </w:tcPr>
          <w:p w14:paraId="3AFD7924" w14:textId="77777777" w:rsidR="004F78CE" w:rsidRPr="004F7801" w:rsidRDefault="004F78CE" w:rsidP="004919AF">
            <w:pPr>
              <w:ind w:left="-70"/>
              <w:jc w:val="right"/>
              <w:rPr>
                <w:rFonts w:cs="Arial"/>
                <w:bCs/>
                <w:color w:val="000000"/>
                <w:sz w:val="18"/>
                <w:szCs w:val="18"/>
              </w:rPr>
            </w:pPr>
            <w:r w:rsidRPr="004F7801">
              <w:rPr>
                <w:rFonts w:cs="Arial"/>
                <w:bCs/>
                <w:color w:val="000000"/>
                <w:sz w:val="18"/>
                <w:szCs w:val="18"/>
              </w:rPr>
              <w:t>13.978</w:t>
            </w:r>
          </w:p>
        </w:tc>
        <w:tc>
          <w:tcPr>
            <w:tcW w:w="528" w:type="pct"/>
            <w:tcBorders>
              <w:top w:val="nil"/>
              <w:left w:val="nil"/>
              <w:bottom w:val="nil"/>
              <w:right w:val="nil"/>
            </w:tcBorders>
            <w:shd w:val="clear" w:color="auto" w:fill="auto"/>
            <w:noWrap/>
            <w:vAlign w:val="center"/>
            <w:hideMark/>
          </w:tcPr>
          <w:p w14:paraId="291D1F2A" w14:textId="77777777" w:rsidR="004F78CE" w:rsidRPr="004F7801" w:rsidRDefault="004F78CE" w:rsidP="00D21055">
            <w:pPr>
              <w:jc w:val="center"/>
              <w:rPr>
                <w:rFonts w:cs="Arial"/>
                <w:color w:val="000000"/>
                <w:sz w:val="18"/>
                <w:szCs w:val="18"/>
              </w:rPr>
            </w:pPr>
            <w:r w:rsidRPr="004F7801">
              <w:rPr>
                <w:rFonts w:cs="Arial"/>
                <w:color w:val="000000"/>
                <w:sz w:val="18"/>
                <w:szCs w:val="18"/>
              </w:rPr>
              <w:t>84,20</w:t>
            </w:r>
          </w:p>
        </w:tc>
      </w:tr>
      <w:tr w:rsidR="004F78CE" w:rsidRPr="004F7801" w14:paraId="49BBD69B" w14:textId="77777777" w:rsidTr="004919AF">
        <w:trPr>
          <w:trHeight w:val="300"/>
        </w:trPr>
        <w:tc>
          <w:tcPr>
            <w:tcW w:w="1817" w:type="pct"/>
            <w:tcBorders>
              <w:top w:val="nil"/>
              <w:left w:val="nil"/>
              <w:bottom w:val="nil"/>
              <w:right w:val="single" w:sz="4" w:space="0" w:color="auto"/>
            </w:tcBorders>
            <w:shd w:val="clear" w:color="auto" w:fill="auto"/>
            <w:noWrap/>
            <w:vAlign w:val="center"/>
            <w:hideMark/>
          </w:tcPr>
          <w:p w14:paraId="2E3B3BAC" w14:textId="77777777" w:rsidR="004F78CE" w:rsidRPr="004F7801" w:rsidRDefault="004F78CE" w:rsidP="00D21055">
            <w:pPr>
              <w:jc w:val="left"/>
              <w:rPr>
                <w:rFonts w:cs="Arial"/>
                <w:color w:val="000000"/>
                <w:sz w:val="18"/>
                <w:szCs w:val="18"/>
              </w:rPr>
            </w:pPr>
            <w:r w:rsidRPr="004F7801">
              <w:rPr>
                <w:rFonts w:cs="Arial"/>
                <w:color w:val="000000"/>
                <w:sz w:val="18"/>
                <w:szCs w:val="18"/>
              </w:rPr>
              <w:t xml:space="preserve">Provisão para Riscos Cíveis a </w:t>
            </w:r>
            <w:r>
              <w:rPr>
                <w:rFonts w:cs="Arial"/>
                <w:color w:val="000000"/>
                <w:sz w:val="18"/>
                <w:szCs w:val="18"/>
              </w:rPr>
              <w:t>L.P</w:t>
            </w:r>
          </w:p>
        </w:tc>
        <w:tc>
          <w:tcPr>
            <w:tcW w:w="683" w:type="pct"/>
            <w:tcBorders>
              <w:top w:val="nil"/>
              <w:left w:val="nil"/>
              <w:bottom w:val="nil"/>
              <w:right w:val="single" w:sz="4" w:space="0" w:color="auto"/>
            </w:tcBorders>
            <w:shd w:val="clear" w:color="auto" w:fill="auto"/>
            <w:noWrap/>
            <w:vAlign w:val="center"/>
            <w:hideMark/>
          </w:tcPr>
          <w:p w14:paraId="316D0F06" w14:textId="77777777" w:rsidR="004F78CE" w:rsidRPr="004F7801" w:rsidRDefault="004F78CE" w:rsidP="00D21055">
            <w:pPr>
              <w:jc w:val="right"/>
              <w:rPr>
                <w:rFonts w:cs="Arial"/>
                <w:color w:val="000000"/>
                <w:sz w:val="18"/>
                <w:szCs w:val="18"/>
              </w:rPr>
            </w:pPr>
            <w:r w:rsidRPr="004F7801">
              <w:rPr>
                <w:rFonts w:cs="Arial"/>
                <w:color w:val="000000"/>
                <w:sz w:val="18"/>
                <w:szCs w:val="18"/>
              </w:rPr>
              <w:t>578.964</w:t>
            </w:r>
          </w:p>
        </w:tc>
        <w:tc>
          <w:tcPr>
            <w:tcW w:w="379" w:type="pct"/>
            <w:tcBorders>
              <w:top w:val="nil"/>
              <w:left w:val="nil"/>
              <w:bottom w:val="nil"/>
              <w:right w:val="single" w:sz="4" w:space="0" w:color="auto"/>
            </w:tcBorders>
            <w:shd w:val="clear" w:color="auto" w:fill="auto"/>
            <w:noWrap/>
            <w:vAlign w:val="center"/>
            <w:hideMark/>
          </w:tcPr>
          <w:p w14:paraId="3FE63558" w14:textId="77777777" w:rsidR="004F78CE" w:rsidRPr="004F7801" w:rsidRDefault="004F78CE" w:rsidP="00D21055">
            <w:pPr>
              <w:jc w:val="center"/>
              <w:rPr>
                <w:rFonts w:cs="Arial"/>
                <w:color w:val="000000"/>
                <w:sz w:val="18"/>
                <w:szCs w:val="18"/>
              </w:rPr>
            </w:pPr>
            <w:r w:rsidRPr="004F7801">
              <w:rPr>
                <w:rFonts w:cs="Arial"/>
                <w:color w:val="000000"/>
                <w:sz w:val="18"/>
                <w:szCs w:val="18"/>
              </w:rPr>
              <w:t>0,24</w:t>
            </w:r>
          </w:p>
        </w:tc>
        <w:tc>
          <w:tcPr>
            <w:tcW w:w="606" w:type="pct"/>
            <w:tcBorders>
              <w:top w:val="nil"/>
              <w:left w:val="nil"/>
              <w:bottom w:val="nil"/>
              <w:right w:val="single" w:sz="4" w:space="0" w:color="auto"/>
            </w:tcBorders>
            <w:shd w:val="clear" w:color="auto" w:fill="auto"/>
            <w:noWrap/>
            <w:vAlign w:val="center"/>
            <w:hideMark/>
          </w:tcPr>
          <w:p w14:paraId="7D99347A" w14:textId="77777777" w:rsidR="004F78CE" w:rsidRPr="004F7801" w:rsidRDefault="004F78CE" w:rsidP="00D21055">
            <w:pPr>
              <w:jc w:val="right"/>
              <w:rPr>
                <w:rFonts w:cs="Arial"/>
                <w:color w:val="000000"/>
                <w:sz w:val="18"/>
                <w:szCs w:val="18"/>
              </w:rPr>
            </w:pPr>
            <w:r w:rsidRPr="004F7801">
              <w:rPr>
                <w:rFonts w:cs="Arial"/>
                <w:color w:val="000000"/>
                <w:sz w:val="18"/>
                <w:szCs w:val="18"/>
              </w:rPr>
              <w:t>112.357</w:t>
            </w:r>
          </w:p>
        </w:tc>
        <w:tc>
          <w:tcPr>
            <w:tcW w:w="379" w:type="pct"/>
            <w:tcBorders>
              <w:top w:val="nil"/>
              <w:left w:val="nil"/>
              <w:bottom w:val="nil"/>
              <w:right w:val="single" w:sz="4" w:space="0" w:color="auto"/>
            </w:tcBorders>
            <w:shd w:val="clear" w:color="auto" w:fill="auto"/>
            <w:noWrap/>
            <w:vAlign w:val="center"/>
            <w:hideMark/>
          </w:tcPr>
          <w:p w14:paraId="797F1F68" w14:textId="77777777" w:rsidR="004F78CE" w:rsidRPr="004F7801" w:rsidRDefault="004F78CE" w:rsidP="00D21055">
            <w:pPr>
              <w:jc w:val="center"/>
              <w:rPr>
                <w:rFonts w:cs="Arial"/>
                <w:color w:val="000000"/>
                <w:sz w:val="18"/>
                <w:szCs w:val="18"/>
              </w:rPr>
            </w:pPr>
            <w:r w:rsidRPr="004F7801">
              <w:rPr>
                <w:rFonts w:cs="Arial"/>
                <w:color w:val="000000"/>
                <w:sz w:val="18"/>
                <w:szCs w:val="18"/>
              </w:rPr>
              <w:t>19,36</w:t>
            </w:r>
          </w:p>
        </w:tc>
        <w:tc>
          <w:tcPr>
            <w:tcW w:w="607" w:type="pct"/>
            <w:tcBorders>
              <w:top w:val="nil"/>
              <w:left w:val="nil"/>
              <w:bottom w:val="nil"/>
              <w:right w:val="single" w:sz="4" w:space="0" w:color="auto"/>
            </w:tcBorders>
            <w:shd w:val="clear" w:color="auto" w:fill="auto"/>
            <w:noWrap/>
            <w:vAlign w:val="center"/>
            <w:hideMark/>
          </w:tcPr>
          <w:p w14:paraId="1CE4D8FC" w14:textId="77777777" w:rsidR="004F78CE" w:rsidRPr="004F7801" w:rsidRDefault="004F78CE" w:rsidP="004919AF">
            <w:pPr>
              <w:ind w:left="-70"/>
              <w:jc w:val="right"/>
              <w:rPr>
                <w:rFonts w:cs="Arial"/>
                <w:bCs/>
                <w:color w:val="000000"/>
                <w:sz w:val="18"/>
                <w:szCs w:val="18"/>
              </w:rPr>
            </w:pPr>
            <w:r w:rsidRPr="004F7801">
              <w:rPr>
                <w:rFonts w:cs="Arial"/>
                <w:bCs/>
                <w:color w:val="000000"/>
                <w:sz w:val="18"/>
                <w:szCs w:val="18"/>
              </w:rPr>
              <w:t>466.607</w:t>
            </w:r>
          </w:p>
        </w:tc>
        <w:tc>
          <w:tcPr>
            <w:tcW w:w="528" w:type="pct"/>
            <w:tcBorders>
              <w:top w:val="nil"/>
              <w:left w:val="nil"/>
              <w:bottom w:val="nil"/>
              <w:right w:val="nil"/>
            </w:tcBorders>
            <w:shd w:val="clear" w:color="auto" w:fill="auto"/>
            <w:noWrap/>
            <w:vAlign w:val="center"/>
            <w:hideMark/>
          </w:tcPr>
          <w:p w14:paraId="12650D4C" w14:textId="77777777" w:rsidR="004F78CE" w:rsidRPr="004F7801" w:rsidRDefault="004F78CE" w:rsidP="00D21055">
            <w:pPr>
              <w:jc w:val="center"/>
              <w:rPr>
                <w:rFonts w:cs="Arial"/>
                <w:color w:val="000000"/>
                <w:sz w:val="18"/>
                <w:szCs w:val="18"/>
              </w:rPr>
            </w:pPr>
            <w:r w:rsidRPr="004F7801">
              <w:rPr>
                <w:rFonts w:cs="Arial"/>
                <w:color w:val="000000"/>
                <w:sz w:val="18"/>
                <w:szCs w:val="18"/>
              </w:rPr>
              <w:t>415,29</w:t>
            </w:r>
          </w:p>
        </w:tc>
      </w:tr>
      <w:tr w:rsidR="004F78CE" w:rsidRPr="004F7801" w14:paraId="0DF34AC0" w14:textId="77777777" w:rsidTr="004919AF">
        <w:trPr>
          <w:trHeight w:val="300"/>
        </w:trPr>
        <w:tc>
          <w:tcPr>
            <w:tcW w:w="1817" w:type="pct"/>
            <w:tcBorders>
              <w:top w:val="nil"/>
              <w:left w:val="nil"/>
              <w:bottom w:val="nil"/>
              <w:right w:val="single" w:sz="4" w:space="0" w:color="auto"/>
            </w:tcBorders>
            <w:shd w:val="clear" w:color="auto" w:fill="auto"/>
            <w:noWrap/>
            <w:vAlign w:val="center"/>
            <w:hideMark/>
          </w:tcPr>
          <w:p w14:paraId="4624C26A" w14:textId="77777777" w:rsidR="004F78CE" w:rsidRPr="004F7801" w:rsidRDefault="004F78CE" w:rsidP="00D21055">
            <w:pPr>
              <w:jc w:val="left"/>
              <w:rPr>
                <w:rFonts w:cs="Arial"/>
                <w:color w:val="000000"/>
                <w:sz w:val="18"/>
                <w:szCs w:val="18"/>
              </w:rPr>
            </w:pPr>
            <w:r w:rsidRPr="004F7801">
              <w:rPr>
                <w:rFonts w:cs="Arial"/>
                <w:color w:val="000000"/>
                <w:sz w:val="18"/>
                <w:szCs w:val="18"/>
              </w:rPr>
              <w:t xml:space="preserve">Outras Provisões de </w:t>
            </w:r>
            <w:r>
              <w:rPr>
                <w:rFonts w:cs="Arial"/>
                <w:color w:val="000000"/>
                <w:sz w:val="18"/>
                <w:szCs w:val="18"/>
              </w:rPr>
              <w:t>LP</w:t>
            </w:r>
          </w:p>
        </w:tc>
        <w:tc>
          <w:tcPr>
            <w:tcW w:w="683" w:type="pct"/>
            <w:tcBorders>
              <w:top w:val="nil"/>
              <w:left w:val="nil"/>
              <w:bottom w:val="nil"/>
              <w:right w:val="single" w:sz="4" w:space="0" w:color="auto"/>
            </w:tcBorders>
            <w:shd w:val="clear" w:color="auto" w:fill="auto"/>
            <w:noWrap/>
            <w:vAlign w:val="center"/>
            <w:hideMark/>
          </w:tcPr>
          <w:p w14:paraId="0B4328A3" w14:textId="77777777" w:rsidR="004F78CE" w:rsidRPr="004F7801" w:rsidRDefault="004F78CE" w:rsidP="00D21055">
            <w:pPr>
              <w:jc w:val="right"/>
              <w:rPr>
                <w:rFonts w:cs="Arial"/>
                <w:color w:val="000000"/>
                <w:sz w:val="18"/>
                <w:szCs w:val="18"/>
              </w:rPr>
            </w:pPr>
            <w:r w:rsidRPr="004F7801">
              <w:rPr>
                <w:rFonts w:cs="Arial"/>
                <w:color w:val="000000"/>
                <w:sz w:val="18"/>
                <w:szCs w:val="18"/>
              </w:rPr>
              <w:t>115.780.638</w:t>
            </w:r>
          </w:p>
        </w:tc>
        <w:tc>
          <w:tcPr>
            <w:tcW w:w="379" w:type="pct"/>
            <w:tcBorders>
              <w:top w:val="nil"/>
              <w:left w:val="nil"/>
              <w:bottom w:val="nil"/>
              <w:right w:val="single" w:sz="4" w:space="0" w:color="auto"/>
            </w:tcBorders>
            <w:shd w:val="clear" w:color="auto" w:fill="auto"/>
            <w:noWrap/>
            <w:vAlign w:val="center"/>
            <w:hideMark/>
          </w:tcPr>
          <w:p w14:paraId="2A7ABDAC" w14:textId="77777777" w:rsidR="004F78CE" w:rsidRPr="004F7801" w:rsidRDefault="004F78CE" w:rsidP="00D21055">
            <w:pPr>
              <w:jc w:val="center"/>
              <w:rPr>
                <w:rFonts w:cs="Arial"/>
                <w:color w:val="000000"/>
                <w:sz w:val="18"/>
                <w:szCs w:val="18"/>
              </w:rPr>
            </w:pPr>
            <w:r w:rsidRPr="004F7801">
              <w:rPr>
                <w:rFonts w:cs="Arial"/>
                <w:color w:val="000000"/>
                <w:sz w:val="18"/>
                <w:szCs w:val="18"/>
              </w:rPr>
              <w:t>47,30</w:t>
            </w:r>
          </w:p>
        </w:tc>
        <w:tc>
          <w:tcPr>
            <w:tcW w:w="606" w:type="pct"/>
            <w:tcBorders>
              <w:top w:val="nil"/>
              <w:left w:val="nil"/>
              <w:bottom w:val="nil"/>
              <w:right w:val="single" w:sz="4" w:space="0" w:color="auto"/>
            </w:tcBorders>
            <w:shd w:val="clear" w:color="auto" w:fill="auto"/>
            <w:noWrap/>
            <w:vAlign w:val="center"/>
            <w:hideMark/>
          </w:tcPr>
          <w:p w14:paraId="41CB3BC3" w14:textId="77777777" w:rsidR="004F78CE" w:rsidRPr="004F7801" w:rsidRDefault="004F78CE" w:rsidP="00D21055">
            <w:pPr>
              <w:jc w:val="right"/>
              <w:rPr>
                <w:rFonts w:cs="Arial"/>
                <w:color w:val="000000"/>
                <w:sz w:val="18"/>
                <w:szCs w:val="18"/>
              </w:rPr>
            </w:pPr>
            <w:r w:rsidRPr="004F7801">
              <w:rPr>
                <w:rFonts w:cs="Arial"/>
                <w:color w:val="000000"/>
                <w:sz w:val="18"/>
                <w:szCs w:val="18"/>
              </w:rPr>
              <w:t>433.284</w:t>
            </w:r>
          </w:p>
        </w:tc>
        <w:tc>
          <w:tcPr>
            <w:tcW w:w="379" w:type="pct"/>
            <w:tcBorders>
              <w:top w:val="nil"/>
              <w:left w:val="nil"/>
              <w:bottom w:val="nil"/>
              <w:right w:val="single" w:sz="4" w:space="0" w:color="auto"/>
            </w:tcBorders>
            <w:shd w:val="clear" w:color="auto" w:fill="auto"/>
            <w:noWrap/>
            <w:vAlign w:val="center"/>
            <w:hideMark/>
          </w:tcPr>
          <w:p w14:paraId="2CC07E3C" w14:textId="77777777" w:rsidR="004F78CE" w:rsidRPr="004F7801" w:rsidRDefault="004F78CE" w:rsidP="00D21055">
            <w:pPr>
              <w:jc w:val="center"/>
              <w:rPr>
                <w:rFonts w:cs="Arial"/>
                <w:color w:val="000000"/>
                <w:sz w:val="18"/>
                <w:szCs w:val="18"/>
              </w:rPr>
            </w:pPr>
            <w:r w:rsidRPr="004F7801">
              <w:rPr>
                <w:rFonts w:cs="Arial"/>
                <w:color w:val="000000"/>
                <w:sz w:val="18"/>
                <w:szCs w:val="18"/>
              </w:rPr>
              <w:t>74,65</w:t>
            </w:r>
          </w:p>
        </w:tc>
        <w:tc>
          <w:tcPr>
            <w:tcW w:w="607" w:type="pct"/>
            <w:tcBorders>
              <w:top w:val="nil"/>
              <w:left w:val="nil"/>
              <w:bottom w:val="nil"/>
              <w:right w:val="single" w:sz="4" w:space="0" w:color="auto"/>
            </w:tcBorders>
            <w:shd w:val="clear" w:color="auto" w:fill="auto"/>
            <w:noWrap/>
            <w:vAlign w:val="center"/>
            <w:hideMark/>
          </w:tcPr>
          <w:p w14:paraId="6FB787D4" w14:textId="77777777" w:rsidR="004F78CE" w:rsidRPr="004F7801" w:rsidRDefault="004F78CE" w:rsidP="004919AF">
            <w:pPr>
              <w:ind w:left="-70"/>
              <w:jc w:val="right"/>
              <w:rPr>
                <w:rFonts w:cs="Arial"/>
                <w:bCs/>
                <w:color w:val="000000"/>
                <w:sz w:val="18"/>
                <w:szCs w:val="18"/>
              </w:rPr>
            </w:pPr>
            <w:r w:rsidRPr="004F7801">
              <w:rPr>
                <w:rFonts w:cs="Arial"/>
                <w:bCs/>
                <w:color w:val="000000"/>
                <w:sz w:val="18"/>
                <w:szCs w:val="18"/>
              </w:rPr>
              <w:t>115.347.354</w:t>
            </w:r>
          </w:p>
        </w:tc>
        <w:tc>
          <w:tcPr>
            <w:tcW w:w="528" w:type="pct"/>
            <w:tcBorders>
              <w:top w:val="nil"/>
              <w:left w:val="nil"/>
              <w:bottom w:val="nil"/>
              <w:right w:val="nil"/>
            </w:tcBorders>
            <w:shd w:val="clear" w:color="auto" w:fill="auto"/>
            <w:noWrap/>
            <w:vAlign w:val="center"/>
            <w:hideMark/>
          </w:tcPr>
          <w:p w14:paraId="6EE2CD85" w14:textId="3082D739" w:rsidR="004F78CE" w:rsidRPr="004F7801" w:rsidRDefault="004F78CE" w:rsidP="00D21055">
            <w:pPr>
              <w:jc w:val="center"/>
              <w:rPr>
                <w:rFonts w:cs="Arial"/>
                <w:color w:val="000000"/>
                <w:sz w:val="18"/>
                <w:szCs w:val="18"/>
              </w:rPr>
            </w:pPr>
            <w:bookmarkStart w:id="474" w:name="_Hlk166749708"/>
            <w:r w:rsidRPr="004F7801">
              <w:rPr>
                <w:rFonts w:cs="Arial"/>
                <w:color w:val="000000"/>
                <w:sz w:val="18"/>
                <w:szCs w:val="18"/>
              </w:rPr>
              <w:t>26621,63</w:t>
            </w:r>
            <w:bookmarkEnd w:id="474"/>
          </w:p>
        </w:tc>
      </w:tr>
      <w:tr w:rsidR="004F78CE" w:rsidRPr="004F7801" w14:paraId="6B6B11A0" w14:textId="77777777" w:rsidTr="004919AF">
        <w:trPr>
          <w:trHeight w:val="300"/>
        </w:trPr>
        <w:tc>
          <w:tcPr>
            <w:tcW w:w="1817" w:type="pct"/>
            <w:tcBorders>
              <w:top w:val="single" w:sz="4" w:space="0" w:color="auto"/>
              <w:left w:val="nil"/>
              <w:bottom w:val="single" w:sz="4" w:space="0" w:color="auto"/>
              <w:right w:val="single" w:sz="4" w:space="0" w:color="auto"/>
            </w:tcBorders>
            <w:shd w:val="clear" w:color="auto" w:fill="auto"/>
            <w:vAlign w:val="center"/>
            <w:hideMark/>
          </w:tcPr>
          <w:p w14:paraId="49875CB9" w14:textId="77777777" w:rsidR="004F78CE" w:rsidRPr="004F7801" w:rsidRDefault="004F78CE" w:rsidP="00D21055">
            <w:pPr>
              <w:jc w:val="center"/>
              <w:rPr>
                <w:rFonts w:cs="Arial"/>
                <w:b/>
                <w:bCs/>
                <w:color w:val="000000"/>
                <w:sz w:val="18"/>
                <w:szCs w:val="18"/>
              </w:rPr>
            </w:pPr>
            <w:r w:rsidRPr="004F7801">
              <w:rPr>
                <w:rFonts w:cs="Arial"/>
                <w:b/>
                <w:bCs/>
                <w:color w:val="000000"/>
                <w:sz w:val="18"/>
                <w:szCs w:val="18"/>
              </w:rPr>
              <w:t>Total</w:t>
            </w:r>
          </w:p>
        </w:tc>
        <w:tc>
          <w:tcPr>
            <w:tcW w:w="683" w:type="pct"/>
            <w:tcBorders>
              <w:top w:val="single" w:sz="4" w:space="0" w:color="auto"/>
              <w:left w:val="nil"/>
              <w:bottom w:val="single" w:sz="4" w:space="0" w:color="auto"/>
              <w:right w:val="single" w:sz="4" w:space="0" w:color="auto"/>
            </w:tcBorders>
            <w:shd w:val="clear" w:color="auto" w:fill="auto"/>
            <w:noWrap/>
            <w:vAlign w:val="center"/>
            <w:hideMark/>
          </w:tcPr>
          <w:p w14:paraId="68FD0F27" w14:textId="77777777" w:rsidR="004F78CE" w:rsidRPr="004F7801" w:rsidRDefault="004F78CE" w:rsidP="00D21055">
            <w:pPr>
              <w:jc w:val="right"/>
              <w:rPr>
                <w:rFonts w:cs="Arial"/>
                <w:b/>
                <w:bCs/>
                <w:color w:val="000000"/>
                <w:sz w:val="18"/>
                <w:szCs w:val="18"/>
              </w:rPr>
            </w:pPr>
            <w:r w:rsidRPr="004F7801">
              <w:rPr>
                <w:rFonts w:cs="Arial"/>
                <w:b/>
                <w:bCs/>
                <w:color w:val="000000"/>
                <w:sz w:val="18"/>
                <w:szCs w:val="18"/>
              </w:rPr>
              <w:t>244.763.851</w:t>
            </w:r>
          </w:p>
        </w:tc>
        <w:tc>
          <w:tcPr>
            <w:tcW w:w="379" w:type="pct"/>
            <w:tcBorders>
              <w:top w:val="single" w:sz="4" w:space="0" w:color="auto"/>
              <w:left w:val="nil"/>
              <w:bottom w:val="single" w:sz="4" w:space="0" w:color="auto"/>
              <w:right w:val="single" w:sz="4" w:space="0" w:color="auto"/>
            </w:tcBorders>
            <w:shd w:val="clear" w:color="auto" w:fill="auto"/>
            <w:noWrap/>
            <w:vAlign w:val="center"/>
            <w:hideMark/>
          </w:tcPr>
          <w:p w14:paraId="4F3B453A" w14:textId="77777777" w:rsidR="004F78CE" w:rsidRPr="004F7801" w:rsidRDefault="004F78CE" w:rsidP="00D21055">
            <w:pPr>
              <w:jc w:val="center"/>
              <w:rPr>
                <w:rFonts w:cs="Arial"/>
                <w:b/>
                <w:bCs/>
                <w:color w:val="000000"/>
                <w:sz w:val="18"/>
                <w:szCs w:val="18"/>
              </w:rPr>
            </w:pPr>
            <w:r w:rsidRPr="004F7801">
              <w:rPr>
                <w:rFonts w:cs="Arial"/>
                <w:b/>
                <w:bCs/>
                <w:color w:val="000000"/>
                <w:sz w:val="18"/>
                <w:szCs w:val="18"/>
              </w:rPr>
              <w:t>100,00</w:t>
            </w:r>
          </w:p>
        </w:tc>
        <w:tc>
          <w:tcPr>
            <w:tcW w:w="606" w:type="pct"/>
            <w:tcBorders>
              <w:top w:val="single" w:sz="4" w:space="0" w:color="auto"/>
              <w:left w:val="nil"/>
              <w:bottom w:val="single" w:sz="4" w:space="0" w:color="auto"/>
              <w:right w:val="single" w:sz="4" w:space="0" w:color="auto"/>
            </w:tcBorders>
            <w:shd w:val="clear" w:color="auto" w:fill="auto"/>
            <w:noWrap/>
            <w:vAlign w:val="center"/>
            <w:hideMark/>
          </w:tcPr>
          <w:p w14:paraId="2FDB97CA" w14:textId="77777777" w:rsidR="004F78CE" w:rsidRPr="004F7801" w:rsidRDefault="004F78CE" w:rsidP="00D21055">
            <w:pPr>
              <w:jc w:val="right"/>
              <w:rPr>
                <w:rFonts w:cs="Arial"/>
                <w:b/>
                <w:bCs/>
                <w:color w:val="000000"/>
                <w:sz w:val="18"/>
                <w:szCs w:val="18"/>
              </w:rPr>
            </w:pPr>
            <w:r w:rsidRPr="004F7801">
              <w:rPr>
                <w:rFonts w:cs="Arial"/>
                <w:b/>
                <w:bCs/>
                <w:color w:val="000000"/>
                <w:sz w:val="18"/>
                <w:szCs w:val="18"/>
              </w:rPr>
              <w:t>580.457</w:t>
            </w:r>
          </w:p>
        </w:tc>
        <w:tc>
          <w:tcPr>
            <w:tcW w:w="379" w:type="pct"/>
            <w:tcBorders>
              <w:top w:val="single" w:sz="4" w:space="0" w:color="auto"/>
              <w:left w:val="nil"/>
              <w:bottom w:val="single" w:sz="4" w:space="0" w:color="auto"/>
              <w:right w:val="single" w:sz="4" w:space="0" w:color="auto"/>
            </w:tcBorders>
            <w:shd w:val="clear" w:color="auto" w:fill="auto"/>
            <w:noWrap/>
            <w:vAlign w:val="center"/>
            <w:hideMark/>
          </w:tcPr>
          <w:p w14:paraId="165AF26F" w14:textId="77777777" w:rsidR="004F78CE" w:rsidRPr="004F7801" w:rsidRDefault="004F78CE" w:rsidP="00D21055">
            <w:pPr>
              <w:jc w:val="center"/>
              <w:rPr>
                <w:rFonts w:cs="Arial"/>
                <w:b/>
                <w:bCs/>
                <w:color w:val="000000"/>
                <w:sz w:val="18"/>
                <w:szCs w:val="18"/>
              </w:rPr>
            </w:pPr>
            <w:r w:rsidRPr="004F7801">
              <w:rPr>
                <w:rFonts w:cs="Arial"/>
                <w:b/>
                <w:bCs/>
                <w:color w:val="000000"/>
                <w:sz w:val="18"/>
                <w:szCs w:val="18"/>
              </w:rPr>
              <w:t>100,00</w:t>
            </w:r>
          </w:p>
        </w:tc>
        <w:tc>
          <w:tcPr>
            <w:tcW w:w="607" w:type="pct"/>
            <w:tcBorders>
              <w:top w:val="single" w:sz="4" w:space="0" w:color="auto"/>
              <w:left w:val="nil"/>
              <w:bottom w:val="single" w:sz="4" w:space="0" w:color="auto"/>
              <w:right w:val="single" w:sz="4" w:space="0" w:color="auto"/>
            </w:tcBorders>
            <w:shd w:val="clear" w:color="auto" w:fill="auto"/>
            <w:noWrap/>
            <w:vAlign w:val="center"/>
            <w:hideMark/>
          </w:tcPr>
          <w:p w14:paraId="3A133BD4" w14:textId="77777777" w:rsidR="004F78CE" w:rsidRPr="004F7801" w:rsidRDefault="004F78CE" w:rsidP="004919AF">
            <w:pPr>
              <w:ind w:left="-70"/>
              <w:jc w:val="right"/>
              <w:rPr>
                <w:rFonts w:cs="Arial"/>
                <w:b/>
                <w:bCs/>
                <w:color w:val="000000"/>
                <w:sz w:val="18"/>
                <w:szCs w:val="18"/>
              </w:rPr>
            </w:pPr>
            <w:r w:rsidRPr="004F7801">
              <w:rPr>
                <w:rFonts w:cs="Arial"/>
                <w:b/>
                <w:bCs/>
                <w:color w:val="000000"/>
                <w:sz w:val="18"/>
                <w:szCs w:val="18"/>
              </w:rPr>
              <w:t>244.183.395</w:t>
            </w:r>
          </w:p>
        </w:tc>
        <w:tc>
          <w:tcPr>
            <w:tcW w:w="528" w:type="pct"/>
            <w:tcBorders>
              <w:top w:val="single" w:sz="4" w:space="0" w:color="auto"/>
              <w:left w:val="nil"/>
              <w:bottom w:val="single" w:sz="4" w:space="0" w:color="auto"/>
              <w:right w:val="nil"/>
            </w:tcBorders>
            <w:shd w:val="clear" w:color="auto" w:fill="auto"/>
            <w:noWrap/>
            <w:vAlign w:val="center"/>
            <w:hideMark/>
          </w:tcPr>
          <w:p w14:paraId="0EEB1401" w14:textId="77777777" w:rsidR="004F78CE" w:rsidRPr="004F7801" w:rsidRDefault="004F78CE" w:rsidP="00D21055">
            <w:pPr>
              <w:jc w:val="center"/>
              <w:rPr>
                <w:rFonts w:cs="Arial"/>
                <w:b/>
                <w:bCs/>
                <w:color w:val="000000"/>
                <w:sz w:val="18"/>
                <w:szCs w:val="18"/>
              </w:rPr>
            </w:pPr>
            <w:r w:rsidRPr="004F7801">
              <w:rPr>
                <w:rFonts w:cs="Arial"/>
                <w:b/>
                <w:bCs/>
                <w:color w:val="000000"/>
                <w:sz w:val="18"/>
                <w:szCs w:val="18"/>
              </w:rPr>
              <w:t>42067,47</w:t>
            </w:r>
          </w:p>
        </w:tc>
      </w:tr>
    </w:tbl>
    <w:p w14:paraId="059007DC" w14:textId="77777777" w:rsidR="004F78CE" w:rsidRPr="001F0C8C" w:rsidRDefault="004F78CE" w:rsidP="004F78CE">
      <w:pPr>
        <w:pStyle w:val="1-FNT-GRAFICO"/>
      </w:pPr>
      <w:r w:rsidRPr="008C350C">
        <w:t>Fonte: Balanço Patrimonial - Anexo 14</w:t>
      </w:r>
      <w:r>
        <w:t xml:space="preserve"> (BGE 2023)</w:t>
      </w:r>
    </w:p>
    <w:p w14:paraId="437A05C1" w14:textId="77777777" w:rsidR="009432A1" w:rsidRDefault="009432A1" w:rsidP="004F78CE">
      <w:pPr>
        <w:pStyle w:val="1-REL11"/>
      </w:pPr>
      <w:bookmarkStart w:id="475" w:name="_Hlk166824183"/>
    </w:p>
    <w:p w14:paraId="018A4995" w14:textId="456B6121" w:rsidR="004F78CE" w:rsidRPr="00395EA0" w:rsidRDefault="004F78CE" w:rsidP="004F78CE">
      <w:pPr>
        <w:pStyle w:val="1-REL11"/>
      </w:pPr>
      <w:r w:rsidRPr="00047970">
        <w:t xml:space="preserve">Em 2023, este subgrupo, que é o mais significativo de todo o </w:t>
      </w:r>
      <w:r>
        <w:t>P</w:t>
      </w:r>
      <w:r w:rsidRPr="00047970">
        <w:t>assivo</w:t>
      </w:r>
      <w:r>
        <w:t xml:space="preserve"> com 84,69% de participação</w:t>
      </w:r>
      <w:r w:rsidRPr="00047970">
        <w:t>,</w:t>
      </w:r>
      <w:r>
        <w:t xml:space="preserve"> </w:t>
      </w:r>
      <w:r w:rsidRPr="00047970">
        <w:t>registrou um saldo de R$</w:t>
      </w:r>
      <w:r>
        <w:t> </w:t>
      </w:r>
      <w:r w:rsidRPr="00047970">
        <w:t xml:space="preserve"> 244,76 bilhões</w:t>
      </w:r>
      <w:r>
        <w:t xml:space="preserve">. Os grupos de </w:t>
      </w:r>
      <w:bookmarkStart w:id="476" w:name="_Hlk167358577"/>
      <w:r>
        <w:t>contas que mais contribuíram foram Provisões Matemáticas Previdenciárias a Longo Prazo e Outras Provisões de Longo Prazo, representando respectivamente 52,44% e 47,30% do total das Provisões a Longo Prazo.</w:t>
      </w:r>
    </w:p>
    <w:bookmarkEnd w:id="475"/>
    <w:bookmarkEnd w:id="476"/>
    <w:p w14:paraId="3135979F" w14:textId="786C2EC4" w:rsidR="004F78CE" w:rsidRDefault="00877518" w:rsidP="00877518">
      <w:pPr>
        <w:pStyle w:val="1-REL11"/>
        <w:spacing w:after="160"/>
      </w:pPr>
      <w:r>
        <w:t>A</w:t>
      </w:r>
      <w:r w:rsidRPr="005F68D7">
        <w:t xml:space="preserve">s </w:t>
      </w:r>
      <w:r>
        <w:t>P</w:t>
      </w:r>
      <w:r w:rsidRPr="005F68D7">
        <w:t>ro</w:t>
      </w:r>
      <w:r>
        <w:t>visões Matemáticas Previdenciárias de Longo Prazo se apresentaram da seguinte forma</w:t>
      </w:r>
      <w:r w:rsidR="004F78CE">
        <w:t>:</w:t>
      </w:r>
    </w:p>
    <w:p w14:paraId="700674F8" w14:textId="77777777" w:rsidR="004F78CE" w:rsidRDefault="004F78CE" w:rsidP="00C9564B">
      <w:pPr>
        <w:pStyle w:val="0-GRFICO"/>
      </w:pPr>
      <w:bookmarkStart w:id="477" w:name="_Toc167825120"/>
      <w:r>
        <w:lastRenderedPageBreak/>
        <w:t>P</w:t>
      </w:r>
      <w:r w:rsidRPr="005F68D7">
        <w:t>ro</w:t>
      </w:r>
      <w:r>
        <w:t>visões Matemáticas Previdenciárias de Longo Prazo</w:t>
      </w:r>
      <w:bookmarkEnd w:id="477"/>
    </w:p>
    <w:p w14:paraId="42C23B01" w14:textId="77777777" w:rsidR="004F78CE" w:rsidRDefault="004F78CE" w:rsidP="00653B38">
      <w:pPr>
        <w:pStyle w:val="1-FONTEcentralizado"/>
      </w:pPr>
      <w:r>
        <w:rPr>
          <w:noProof/>
        </w:rPr>
        <w:drawing>
          <wp:inline distT="0" distB="0" distL="0" distR="0" wp14:anchorId="3B84D7D7" wp14:editId="61F9F138">
            <wp:extent cx="5953125" cy="2170706"/>
            <wp:effectExtent l="0" t="0" r="142875" b="153670"/>
            <wp:docPr id="8" name="Gráfico 8">
              <a:extLst xmlns:a="http://schemas.openxmlformats.org/drawingml/2006/main">
                <a:ext uri="{FF2B5EF4-FFF2-40B4-BE49-F238E27FC236}">
                  <a16:creationId xmlns:a16="http://schemas.microsoft.com/office/drawing/2014/main" id="{792778FA-6ACA-4386-AF61-0F96DB5F238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r w:rsidRPr="008C350C">
        <w:t>Fonte: Balanço Patrimonial - Anexo 14</w:t>
      </w:r>
      <w:r>
        <w:t xml:space="preserve"> (BGE 2023)</w:t>
      </w:r>
    </w:p>
    <w:p w14:paraId="46C73F15" w14:textId="4C854AB9" w:rsidR="00877518" w:rsidRDefault="00877518" w:rsidP="004F78CE">
      <w:pPr>
        <w:pStyle w:val="1-REL11"/>
      </w:pPr>
      <w:r>
        <w:t>A</w:t>
      </w:r>
      <w:r w:rsidRPr="005F68D7">
        <w:t xml:space="preserve">s </w:t>
      </w:r>
      <w:bookmarkStart w:id="478" w:name="_Hlk167358630"/>
      <w:r>
        <w:t>P</w:t>
      </w:r>
      <w:r w:rsidRPr="005F68D7">
        <w:t>ro</w:t>
      </w:r>
      <w:r>
        <w:t xml:space="preserve">visões Matemáticas Previdenciárias de Longo Prazo </w:t>
      </w:r>
      <w:bookmarkEnd w:id="478"/>
      <w:r>
        <w:t>englobam</w:t>
      </w:r>
      <w:r w:rsidRPr="00DA0FC0">
        <w:t xml:space="preserve"> os passivos de prazo ou de valor incertos, relacionados a futuros benefícios previdenciários a serem pagos aos contribuintes, com probabilidade de ocorrerem no longo prazo.</w:t>
      </w:r>
      <w:r>
        <w:t xml:space="preserve"> Esse grupo de contas evidenciou, em 2023, </w:t>
      </w:r>
      <w:bookmarkStart w:id="479" w:name="_Hlk167358797"/>
      <w:r>
        <w:t xml:space="preserve">um incremento de R$ 128,35 bilhões </w:t>
      </w:r>
      <w:bookmarkEnd w:id="479"/>
      <w:r>
        <w:t xml:space="preserve">e está dividido entre Fundo </w:t>
      </w:r>
      <w:r w:rsidRPr="0053303F">
        <w:t>em Repartição - Provisões de Benefícios Concedidos</w:t>
      </w:r>
      <w:r>
        <w:t xml:space="preserve">, Provisões de Benefícios a Conceder e </w:t>
      </w:r>
      <w:r w:rsidRPr="0053303F">
        <w:t>Fundo em Capitalização - Provisões de Benefícios a Conceder</w:t>
      </w:r>
      <w:r>
        <w:t>.</w:t>
      </w:r>
    </w:p>
    <w:p w14:paraId="305E5C9F" w14:textId="5DB368C5" w:rsidR="004F78CE" w:rsidRDefault="004F78CE" w:rsidP="004F78CE">
      <w:pPr>
        <w:pStyle w:val="1-REL11"/>
      </w:pPr>
      <w:r>
        <w:t xml:space="preserve">A conta </w:t>
      </w:r>
      <w:r w:rsidRPr="005E7EBF">
        <w:t>Fundo em Repartição - Provisões de Benefícios Concedidos</w:t>
      </w:r>
      <w:r>
        <w:t xml:space="preserve"> c</w:t>
      </w:r>
      <w:r w:rsidRPr="005E7EBF">
        <w:t>ompreende, de acordo com o resultado da avaliação atuarial, a provisão matemática correspondente ao valor presente l</w:t>
      </w:r>
      <w:r>
        <w:t>í</w:t>
      </w:r>
      <w:r w:rsidRPr="005E7EBF">
        <w:t>quido das prestações futuras dos benefícios já concedidos aos assistidos e beneficiários em gozo de benefício de prestação continuada.</w:t>
      </w:r>
      <w:r>
        <w:t xml:space="preserve"> Por conseguinte, a conta Fundo em Repartição - Provisões de Benefícios a Conceder registra a provisão matemática correspondente ao valor presente dos benefícios a conceder dos participantes do Fundo Financeiro do RPPS.</w:t>
      </w:r>
    </w:p>
    <w:p w14:paraId="2F140FA3" w14:textId="77777777" w:rsidR="004F78CE" w:rsidRDefault="004F78CE" w:rsidP="004F78CE">
      <w:pPr>
        <w:pStyle w:val="1-REL11"/>
        <w:rPr>
          <w:rFonts w:eastAsia="Times New Roman"/>
          <w:iCs/>
          <w:highlight w:val="red"/>
        </w:rPr>
      </w:pPr>
      <w:r>
        <w:t xml:space="preserve">Finalmente, a conta Fundo em Capitalização - Provisões de Benefícios a Conceder, que compreende, </w:t>
      </w:r>
      <w:r w:rsidRPr="0052642D">
        <w:t xml:space="preserve">com </w:t>
      </w:r>
      <w:r>
        <w:t>base n</w:t>
      </w:r>
      <w:r w:rsidRPr="0052642D">
        <w:t>o resultado da avaliação atuarial, a provisão matemática correspondente ao valor presente líquido das prestações futuras dos benef</w:t>
      </w:r>
      <w:r>
        <w:t>í</w:t>
      </w:r>
      <w:r w:rsidRPr="0052642D">
        <w:t xml:space="preserve">cios a conceder </w:t>
      </w:r>
      <w:r>
        <w:t>aos participantes do Fundo Previdenciário do RPPS</w:t>
      </w:r>
      <w:r w:rsidRPr="0052642D">
        <w:t>.</w:t>
      </w:r>
      <w:r>
        <w:t xml:space="preserve"> Ressalta-se que os saldos das contas evidenciados no gráfico acima estão líquidos </w:t>
      </w:r>
      <w:r w:rsidRPr="006116CB">
        <w:t xml:space="preserve">do valor presente das contribuições futuras </w:t>
      </w:r>
      <w:r>
        <w:t xml:space="preserve">que serão realizadas pelos inativos, pensionistas e </w:t>
      </w:r>
      <w:r w:rsidRPr="006116CB">
        <w:t>servidores ativos</w:t>
      </w:r>
      <w:r>
        <w:t>, conforme avaliação atuarial. Além disso, os saldos também estão deduzidos do valor presente das futuras compensações previdenciárias expressas</w:t>
      </w:r>
      <w:r w:rsidRPr="006116CB">
        <w:t xml:space="preserve"> </w:t>
      </w:r>
      <w:r>
        <w:t xml:space="preserve">no art. 11 da Portaria MPS </w:t>
      </w:r>
      <w:r w:rsidRPr="007827FA">
        <w:t>nº 403/2008.</w:t>
      </w:r>
      <w:r w:rsidRPr="00405B81">
        <w:rPr>
          <w:rFonts w:eastAsia="Times New Roman"/>
          <w:iCs/>
        </w:rPr>
        <w:t xml:space="preserve"> Este assunto será abordado em tópico específico.</w:t>
      </w:r>
    </w:p>
    <w:p w14:paraId="2FA8ABD2" w14:textId="77777777" w:rsidR="004F78CE" w:rsidRDefault="004F78CE" w:rsidP="004F78CE">
      <w:pPr>
        <w:pStyle w:val="1-REL11"/>
        <w:rPr>
          <w:rFonts w:eastAsia="Times New Roman"/>
          <w:iCs/>
        </w:rPr>
      </w:pPr>
      <w:r>
        <w:rPr>
          <w:rFonts w:eastAsia="Times New Roman"/>
          <w:iCs/>
        </w:rPr>
        <w:t>Ainda quanto ao subgrupo Provisões a Longo Prazo</w:t>
      </w:r>
      <w:bookmarkStart w:id="480" w:name="_Hlk167358878"/>
      <w:r>
        <w:rPr>
          <w:rFonts w:eastAsia="Times New Roman"/>
          <w:iCs/>
        </w:rPr>
        <w:t xml:space="preserve">, o grupo de contas </w:t>
      </w:r>
      <w:r w:rsidRPr="007A2EE5">
        <w:rPr>
          <w:rFonts w:eastAsia="Times New Roman"/>
          <w:iCs/>
        </w:rPr>
        <w:t>Outras Provisões de Longo Prazo</w:t>
      </w:r>
      <w:r>
        <w:rPr>
          <w:rFonts w:eastAsia="Times New Roman"/>
          <w:iCs/>
        </w:rPr>
        <w:t xml:space="preserve"> apresentou um expressivo aumento em 2023 na ordem de R$ 115,35 bilhões (</w:t>
      </w:r>
      <w:r w:rsidRPr="00732550">
        <w:rPr>
          <w:rFonts w:eastAsia="Times New Roman"/>
          <w:iCs/>
        </w:rPr>
        <w:t>26</w:t>
      </w:r>
      <w:r>
        <w:rPr>
          <w:rFonts w:eastAsia="Times New Roman"/>
          <w:iCs/>
        </w:rPr>
        <w:t>.</w:t>
      </w:r>
      <w:r w:rsidRPr="00732550">
        <w:rPr>
          <w:rFonts w:eastAsia="Times New Roman"/>
          <w:iCs/>
        </w:rPr>
        <w:t>621,63</w:t>
      </w:r>
      <w:r>
        <w:rPr>
          <w:rFonts w:eastAsia="Times New Roman"/>
          <w:iCs/>
        </w:rPr>
        <w:t xml:space="preserve"> %) </w:t>
      </w:r>
      <w:bookmarkEnd w:id="480"/>
      <w:r>
        <w:rPr>
          <w:rFonts w:eastAsia="Times New Roman"/>
          <w:iCs/>
        </w:rPr>
        <w:t>e está evidenciado da seguinte forma:</w:t>
      </w:r>
    </w:p>
    <w:p w14:paraId="74D45554" w14:textId="703EECEB" w:rsidR="004F78CE" w:rsidRPr="008F52FC" w:rsidRDefault="004F78CE" w:rsidP="00ED3571">
      <w:pPr>
        <w:pStyle w:val="0-TABELA"/>
      </w:pPr>
      <w:bookmarkStart w:id="481" w:name="_Toc167871829"/>
      <w:r>
        <w:lastRenderedPageBreak/>
        <w:t xml:space="preserve">Outras Provisões de Longo Prazo </w:t>
      </w:r>
      <w:r w:rsidRPr="00D67E49">
        <w:t>– 2023 x 2022</w:t>
      </w:r>
      <w:bookmarkEnd w:id="481"/>
    </w:p>
    <w:p w14:paraId="7DF459FF" w14:textId="77777777" w:rsidR="00D10B63" w:rsidRDefault="00D10B63" w:rsidP="00D10B63">
      <w:pPr>
        <w:pStyle w:val="0-EmR1"/>
      </w:pPr>
      <w:r w:rsidRPr="008E421F">
        <w:t>R$ mil</w:t>
      </w:r>
    </w:p>
    <w:tbl>
      <w:tblPr>
        <w:tblW w:w="5003" w:type="pct"/>
        <w:tblLayout w:type="fixed"/>
        <w:tblCellMar>
          <w:left w:w="70" w:type="dxa"/>
          <w:right w:w="70" w:type="dxa"/>
        </w:tblCellMar>
        <w:tblLook w:val="04A0" w:firstRow="1" w:lastRow="0" w:firstColumn="1" w:lastColumn="0" w:noHBand="0" w:noVBand="1"/>
      </w:tblPr>
      <w:tblGrid>
        <w:gridCol w:w="3686"/>
        <w:gridCol w:w="1186"/>
        <w:gridCol w:w="799"/>
        <w:gridCol w:w="939"/>
        <w:gridCol w:w="761"/>
        <w:gridCol w:w="1134"/>
        <w:gridCol w:w="849"/>
      </w:tblGrid>
      <w:tr w:rsidR="00D10B63" w:rsidRPr="000E3F92" w14:paraId="184AB6CA" w14:textId="77777777" w:rsidTr="009432A1">
        <w:trPr>
          <w:trHeight w:val="397"/>
          <w:tblHeader/>
        </w:trPr>
        <w:tc>
          <w:tcPr>
            <w:tcW w:w="1970" w:type="pct"/>
            <w:vMerge w:val="restart"/>
            <w:tcBorders>
              <w:top w:val="single" w:sz="4" w:space="0" w:color="auto"/>
              <w:left w:val="nil"/>
              <w:bottom w:val="single" w:sz="4" w:space="0" w:color="auto"/>
              <w:right w:val="single" w:sz="4" w:space="0" w:color="auto"/>
            </w:tcBorders>
            <w:shd w:val="clear" w:color="auto" w:fill="A1F2FD"/>
            <w:vAlign w:val="center"/>
            <w:hideMark/>
          </w:tcPr>
          <w:p w14:paraId="222D8300" w14:textId="77777777" w:rsidR="00D10B63" w:rsidRPr="000E3F92" w:rsidRDefault="00D10B63" w:rsidP="0099185A">
            <w:pPr>
              <w:jc w:val="center"/>
              <w:rPr>
                <w:rFonts w:cs="Arial"/>
                <w:b/>
                <w:bCs/>
                <w:color w:val="000000"/>
                <w:sz w:val="18"/>
                <w:szCs w:val="18"/>
              </w:rPr>
            </w:pPr>
            <w:r w:rsidRPr="000E3F92">
              <w:rPr>
                <w:rFonts w:cs="Arial"/>
                <w:b/>
                <w:bCs/>
                <w:color w:val="000000"/>
                <w:sz w:val="18"/>
                <w:szCs w:val="18"/>
              </w:rPr>
              <w:t>Composição</w:t>
            </w:r>
          </w:p>
        </w:tc>
        <w:tc>
          <w:tcPr>
            <w:tcW w:w="634"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4707581D" w14:textId="77777777" w:rsidR="00D10B63" w:rsidRPr="000E3F92" w:rsidRDefault="00D10B63" w:rsidP="0099185A">
            <w:pPr>
              <w:jc w:val="center"/>
              <w:rPr>
                <w:rFonts w:cs="Arial"/>
                <w:b/>
                <w:bCs/>
                <w:color w:val="000000"/>
                <w:sz w:val="18"/>
                <w:szCs w:val="18"/>
              </w:rPr>
            </w:pPr>
            <w:r w:rsidRPr="000E3F92">
              <w:rPr>
                <w:rFonts w:cs="Arial"/>
                <w:b/>
                <w:bCs/>
                <w:color w:val="000000"/>
                <w:sz w:val="18"/>
                <w:szCs w:val="18"/>
              </w:rPr>
              <w:t>2023</w:t>
            </w:r>
          </w:p>
        </w:tc>
        <w:tc>
          <w:tcPr>
            <w:tcW w:w="427" w:type="pct"/>
            <w:vMerge w:val="restart"/>
            <w:tcBorders>
              <w:top w:val="single" w:sz="4" w:space="0" w:color="auto"/>
              <w:left w:val="nil"/>
              <w:right w:val="single" w:sz="4" w:space="0" w:color="auto"/>
            </w:tcBorders>
            <w:shd w:val="clear" w:color="auto" w:fill="A1F2FD"/>
            <w:vAlign w:val="center"/>
            <w:hideMark/>
          </w:tcPr>
          <w:p w14:paraId="7FCC2474" w14:textId="77777777" w:rsidR="00D10B63" w:rsidRPr="000E3F92" w:rsidRDefault="00D10B63" w:rsidP="0099185A">
            <w:pPr>
              <w:jc w:val="center"/>
              <w:rPr>
                <w:rFonts w:cs="Arial"/>
                <w:b/>
                <w:bCs/>
                <w:color w:val="000000"/>
                <w:sz w:val="18"/>
                <w:szCs w:val="18"/>
              </w:rPr>
            </w:pPr>
            <w:r w:rsidRPr="000E3F92">
              <w:rPr>
                <w:rFonts w:cs="Arial"/>
                <w:b/>
                <w:bCs/>
                <w:color w:val="000000"/>
                <w:sz w:val="18"/>
                <w:szCs w:val="18"/>
              </w:rPr>
              <w:t xml:space="preserve">AV 2023 </w:t>
            </w:r>
          </w:p>
          <w:p w14:paraId="559F60C3" w14:textId="77777777" w:rsidR="00D10B63" w:rsidRPr="000E3F92" w:rsidRDefault="00D10B63" w:rsidP="0099185A">
            <w:pPr>
              <w:jc w:val="center"/>
              <w:rPr>
                <w:rFonts w:cs="Arial"/>
                <w:b/>
                <w:bCs/>
                <w:color w:val="000000"/>
                <w:sz w:val="18"/>
                <w:szCs w:val="18"/>
              </w:rPr>
            </w:pPr>
            <w:r w:rsidRPr="000E3F92">
              <w:rPr>
                <w:rFonts w:cs="Arial"/>
                <w:b/>
                <w:bCs/>
                <w:color w:val="000000"/>
                <w:sz w:val="18"/>
                <w:szCs w:val="18"/>
              </w:rPr>
              <w:t>%</w:t>
            </w:r>
          </w:p>
        </w:tc>
        <w:tc>
          <w:tcPr>
            <w:tcW w:w="502"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5E5004F6" w14:textId="77777777" w:rsidR="00D10B63" w:rsidRPr="000E3F92" w:rsidRDefault="00D10B63" w:rsidP="0099185A">
            <w:pPr>
              <w:jc w:val="center"/>
              <w:rPr>
                <w:rFonts w:cs="Arial"/>
                <w:b/>
                <w:bCs/>
                <w:color w:val="000000"/>
                <w:sz w:val="18"/>
                <w:szCs w:val="18"/>
              </w:rPr>
            </w:pPr>
            <w:r w:rsidRPr="000E3F92">
              <w:rPr>
                <w:rFonts w:cs="Arial"/>
                <w:b/>
                <w:bCs/>
                <w:color w:val="000000"/>
                <w:sz w:val="18"/>
                <w:szCs w:val="18"/>
              </w:rPr>
              <w:t>2022</w:t>
            </w:r>
          </w:p>
        </w:tc>
        <w:tc>
          <w:tcPr>
            <w:tcW w:w="407" w:type="pct"/>
            <w:vMerge w:val="restart"/>
            <w:tcBorders>
              <w:top w:val="single" w:sz="4" w:space="0" w:color="auto"/>
              <w:left w:val="nil"/>
              <w:right w:val="single" w:sz="4" w:space="0" w:color="auto"/>
            </w:tcBorders>
            <w:shd w:val="clear" w:color="auto" w:fill="A1F2FD"/>
            <w:vAlign w:val="center"/>
            <w:hideMark/>
          </w:tcPr>
          <w:p w14:paraId="3EDB2F54" w14:textId="77777777" w:rsidR="00D10B63" w:rsidRPr="000E3F92" w:rsidRDefault="00D10B63" w:rsidP="0099185A">
            <w:pPr>
              <w:jc w:val="center"/>
              <w:rPr>
                <w:rFonts w:cs="Arial"/>
                <w:b/>
                <w:bCs/>
                <w:color w:val="000000"/>
                <w:sz w:val="18"/>
                <w:szCs w:val="18"/>
              </w:rPr>
            </w:pPr>
            <w:r w:rsidRPr="000E3F92">
              <w:rPr>
                <w:rFonts w:cs="Arial"/>
                <w:b/>
                <w:bCs/>
                <w:color w:val="000000"/>
                <w:sz w:val="18"/>
                <w:szCs w:val="18"/>
              </w:rPr>
              <w:t xml:space="preserve">AV 2022 </w:t>
            </w:r>
          </w:p>
          <w:p w14:paraId="79B37ACF" w14:textId="77777777" w:rsidR="00D10B63" w:rsidRPr="000E3F92" w:rsidRDefault="00D10B63" w:rsidP="0099185A">
            <w:pPr>
              <w:jc w:val="center"/>
              <w:rPr>
                <w:rFonts w:cs="Arial"/>
                <w:b/>
                <w:bCs/>
                <w:color w:val="000000"/>
                <w:sz w:val="18"/>
                <w:szCs w:val="18"/>
              </w:rPr>
            </w:pPr>
            <w:r w:rsidRPr="000E3F92">
              <w:rPr>
                <w:rFonts w:cs="Arial"/>
                <w:b/>
                <w:bCs/>
                <w:color w:val="000000"/>
                <w:sz w:val="18"/>
                <w:szCs w:val="18"/>
              </w:rPr>
              <w:t>%</w:t>
            </w:r>
          </w:p>
        </w:tc>
        <w:tc>
          <w:tcPr>
            <w:tcW w:w="1060" w:type="pct"/>
            <w:gridSpan w:val="2"/>
            <w:tcBorders>
              <w:top w:val="single" w:sz="4" w:space="0" w:color="auto"/>
              <w:left w:val="nil"/>
              <w:bottom w:val="single" w:sz="4" w:space="0" w:color="auto"/>
              <w:right w:val="single" w:sz="4" w:space="0" w:color="auto"/>
            </w:tcBorders>
            <w:shd w:val="clear" w:color="auto" w:fill="A1F2FD"/>
            <w:vAlign w:val="center"/>
            <w:hideMark/>
          </w:tcPr>
          <w:p w14:paraId="757B5A78" w14:textId="77777777" w:rsidR="00D10B63" w:rsidRPr="000E3F92" w:rsidRDefault="00D10B63" w:rsidP="0099185A">
            <w:pPr>
              <w:jc w:val="center"/>
              <w:rPr>
                <w:rFonts w:cs="Arial"/>
                <w:b/>
                <w:bCs/>
                <w:color w:val="000000"/>
                <w:sz w:val="18"/>
                <w:szCs w:val="18"/>
              </w:rPr>
            </w:pPr>
            <w:r w:rsidRPr="000E3F92">
              <w:rPr>
                <w:rFonts w:cs="Arial"/>
                <w:b/>
                <w:bCs/>
                <w:color w:val="000000"/>
                <w:sz w:val="18"/>
                <w:szCs w:val="18"/>
              </w:rPr>
              <w:t>∆ 2023 x 2022</w:t>
            </w:r>
          </w:p>
        </w:tc>
      </w:tr>
      <w:tr w:rsidR="00D10B63" w:rsidRPr="000E3F92" w14:paraId="0E2D9663" w14:textId="77777777" w:rsidTr="009432A1">
        <w:trPr>
          <w:trHeight w:val="397"/>
          <w:tblHeader/>
        </w:trPr>
        <w:tc>
          <w:tcPr>
            <w:tcW w:w="1970" w:type="pct"/>
            <w:vMerge/>
            <w:tcBorders>
              <w:top w:val="single" w:sz="4" w:space="0" w:color="auto"/>
              <w:left w:val="nil"/>
              <w:bottom w:val="single" w:sz="4" w:space="0" w:color="auto"/>
              <w:right w:val="single" w:sz="4" w:space="0" w:color="auto"/>
            </w:tcBorders>
            <w:shd w:val="clear" w:color="auto" w:fill="A1F2FD"/>
            <w:vAlign w:val="center"/>
          </w:tcPr>
          <w:p w14:paraId="05532D57" w14:textId="77777777" w:rsidR="00D10B63" w:rsidRPr="000E3F92" w:rsidRDefault="00D10B63" w:rsidP="0099185A">
            <w:pPr>
              <w:jc w:val="left"/>
              <w:rPr>
                <w:rFonts w:cs="Arial"/>
                <w:b/>
                <w:bCs/>
                <w:color w:val="000000"/>
                <w:sz w:val="18"/>
                <w:szCs w:val="18"/>
              </w:rPr>
            </w:pPr>
          </w:p>
        </w:tc>
        <w:tc>
          <w:tcPr>
            <w:tcW w:w="634" w:type="pct"/>
            <w:vMerge/>
            <w:tcBorders>
              <w:top w:val="single" w:sz="4" w:space="0" w:color="auto"/>
              <w:left w:val="single" w:sz="4" w:space="0" w:color="auto"/>
              <w:right w:val="single" w:sz="4" w:space="0" w:color="auto"/>
            </w:tcBorders>
            <w:shd w:val="clear" w:color="auto" w:fill="A1F2FD"/>
            <w:vAlign w:val="center"/>
          </w:tcPr>
          <w:p w14:paraId="62FF20CB" w14:textId="77777777" w:rsidR="00D10B63" w:rsidRPr="000E3F92" w:rsidRDefault="00D10B63" w:rsidP="0099185A">
            <w:pPr>
              <w:jc w:val="left"/>
              <w:rPr>
                <w:rFonts w:cs="Arial"/>
                <w:b/>
                <w:bCs/>
                <w:color w:val="000000"/>
                <w:sz w:val="18"/>
                <w:szCs w:val="18"/>
              </w:rPr>
            </w:pPr>
          </w:p>
        </w:tc>
        <w:tc>
          <w:tcPr>
            <w:tcW w:w="427" w:type="pct"/>
            <w:vMerge/>
            <w:tcBorders>
              <w:left w:val="nil"/>
              <w:right w:val="single" w:sz="4" w:space="0" w:color="auto"/>
            </w:tcBorders>
            <w:shd w:val="clear" w:color="auto" w:fill="A1F2FD"/>
            <w:vAlign w:val="center"/>
          </w:tcPr>
          <w:p w14:paraId="709A02CE" w14:textId="77777777" w:rsidR="00D10B63" w:rsidRPr="000E3F92" w:rsidRDefault="00D10B63" w:rsidP="0099185A">
            <w:pPr>
              <w:jc w:val="center"/>
              <w:rPr>
                <w:rFonts w:cs="Arial"/>
                <w:b/>
                <w:bCs/>
                <w:color w:val="000000"/>
                <w:sz w:val="18"/>
                <w:szCs w:val="18"/>
              </w:rPr>
            </w:pPr>
          </w:p>
        </w:tc>
        <w:tc>
          <w:tcPr>
            <w:tcW w:w="502" w:type="pct"/>
            <w:vMerge/>
            <w:tcBorders>
              <w:top w:val="single" w:sz="4" w:space="0" w:color="auto"/>
              <w:left w:val="single" w:sz="4" w:space="0" w:color="auto"/>
              <w:right w:val="single" w:sz="4" w:space="0" w:color="auto"/>
            </w:tcBorders>
            <w:shd w:val="clear" w:color="auto" w:fill="A1F2FD"/>
            <w:vAlign w:val="center"/>
          </w:tcPr>
          <w:p w14:paraId="5F6A8ABA" w14:textId="77777777" w:rsidR="00D10B63" w:rsidRPr="000E3F92" w:rsidRDefault="00D10B63" w:rsidP="0099185A">
            <w:pPr>
              <w:jc w:val="left"/>
              <w:rPr>
                <w:rFonts w:cs="Arial"/>
                <w:b/>
                <w:bCs/>
                <w:color w:val="000000"/>
                <w:sz w:val="18"/>
                <w:szCs w:val="18"/>
              </w:rPr>
            </w:pPr>
          </w:p>
        </w:tc>
        <w:tc>
          <w:tcPr>
            <w:tcW w:w="407" w:type="pct"/>
            <w:vMerge/>
            <w:tcBorders>
              <w:left w:val="nil"/>
              <w:right w:val="single" w:sz="4" w:space="0" w:color="auto"/>
            </w:tcBorders>
            <w:shd w:val="clear" w:color="auto" w:fill="A1F2FD"/>
            <w:vAlign w:val="center"/>
          </w:tcPr>
          <w:p w14:paraId="1558DF02" w14:textId="77777777" w:rsidR="00D10B63" w:rsidRPr="000E3F92" w:rsidRDefault="00D10B63" w:rsidP="0099185A">
            <w:pPr>
              <w:jc w:val="center"/>
              <w:rPr>
                <w:rFonts w:cs="Arial"/>
                <w:b/>
                <w:bCs/>
                <w:color w:val="000000"/>
                <w:sz w:val="18"/>
                <w:szCs w:val="18"/>
              </w:rPr>
            </w:pPr>
          </w:p>
        </w:tc>
        <w:tc>
          <w:tcPr>
            <w:tcW w:w="606" w:type="pct"/>
            <w:tcBorders>
              <w:top w:val="nil"/>
              <w:left w:val="nil"/>
              <w:right w:val="single" w:sz="4" w:space="0" w:color="auto"/>
            </w:tcBorders>
            <w:shd w:val="clear" w:color="auto" w:fill="A1F2FD"/>
            <w:vAlign w:val="center"/>
          </w:tcPr>
          <w:p w14:paraId="0D70169D" w14:textId="77777777" w:rsidR="00D10B63" w:rsidRPr="000E3F92" w:rsidRDefault="00D10B63" w:rsidP="0099185A">
            <w:pPr>
              <w:jc w:val="center"/>
              <w:rPr>
                <w:rFonts w:cs="Arial"/>
                <w:b/>
                <w:bCs/>
                <w:color w:val="000000"/>
                <w:sz w:val="18"/>
                <w:szCs w:val="18"/>
              </w:rPr>
            </w:pPr>
            <w:r w:rsidRPr="000E3F92">
              <w:rPr>
                <w:rFonts w:cs="Arial"/>
                <w:b/>
                <w:bCs/>
                <w:color w:val="000000"/>
                <w:sz w:val="18"/>
                <w:szCs w:val="18"/>
              </w:rPr>
              <w:t>R$</w:t>
            </w:r>
          </w:p>
        </w:tc>
        <w:tc>
          <w:tcPr>
            <w:tcW w:w="454" w:type="pct"/>
            <w:tcBorders>
              <w:top w:val="nil"/>
              <w:left w:val="nil"/>
              <w:right w:val="nil"/>
            </w:tcBorders>
            <w:shd w:val="clear" w:color="auto" w:fill="A1F2FD"/>
            <w:vAlign w:val="center"/>
          </w:tcPr>
          <w:p w14:paraId="20203212" w14:textId="77777777" w:rsidR="00D10B63" w:rsidRPr="000E3F92" w:rsidRDefault="00D10B63" w:rsidP="0099185A">
            <w:pPr>
              <w:jc w:val="center"/>
              <w:rPr>
                <w:rFonts w:cs="Arial"/>
                <w:b/>
                <w:bCs/>
                <w:color w:val="000000"/>
                <w:sz w:val="18"/>
                <w:szCs w:val="18"/>
              </w:rPr>
            </w:pPr>
            <w:r w:rsidRPr="000E3F92">
              <w:rPr>
                <w:rFonts w:cs="Arial"/>
                <w:b/>
                <w:bCs/>
                <w:color w:val="000000"/>
                <w:sz w:val="18"/>
                <w:szCs w:val="18"/>
              </w:rPr>
              <w:t>%</w:t>
            </w:r>
          </w:p>
        </w:tc>
      </w:tr>
      <w:tr w:rsidR="00D10B63" w:rsidRPr="000E3F92" w14:paraId="6E7203D4" w14:textId="77777777" w:rsidTr="009432A1">
        <w:trPr>
          <w:trHeight w:val="397"/>
          <w:tblHeader/>
        </w:trPr>
        <w:tc>
          <w:tcPr>
            <w:tcW w:w="1970" w:type="pct"/>
            <w:vMerge/>
            <w:tcBorders>
              <w:top w:val="single" w:sz="4" w:space="0" w:color="auto"/>
              <w:left w:val="nil"/>
              <w:bottom w:val="single" w:sz="4" w:space="0" w:color="auto"/>
              <w:right w:val="single" w:sz="4" w:space="0" w:color="auto"/>
            </w:tcBorders>
            <w:shd w:val="clear" w:color="auto" w:fill="A1F2FD"/>
            <w:vAlign w:val="center"/>
            <w:hideMark/>
          </w:tcPr>
          <w:p w14:paraId="05EF1023" w14:textId="77777777" w:rsidR="00D10B63" w:rsidRPr="000E3F92" w:rsidRDefault="00D10B63" w:rsidP="0099185A">
            <w:pPr>
              <w:jc w:val="left"/>
              <w:rPr>
                <w:rFonts w:cs="Arial"/>
                <w:b/>
                <w:bCs/>
                <w:color w:val="000000"/>
                <w:sz w:val="18"/>
                <w:szCs w:val="18"/>
              </w:rPr>
            </w:pPr>
          </w:p>
        </w:tc>
        <w:tc>
          <w:tcPr>
            <w:tcW w:w="634" w:type="pct"/>
            <w:tcBorders>
              <w:left w:val="single" w:sz="4" w:space="0" w:color="auto"/>
              <w:bottom w:val="single" w:sz="4" w:space="0" w:color="auto"/>
              <w:right w:val="single" w:sz="4" w:space="0" w:color="auto"/>
            </w:tcBorders>
            <w:shd w:val="clear" w:color="auto" w:fill="A1F2FD"/>
            <w:vAlign w:val="center"/>
            <w:hideMark/>
          </w:tcPr>
          <w:p w14:paraId="3F4ABCB9" w14:textId="77777777" w:rsidR="00D10B63" w:rsidRPr="000E3F92" w:rsidRDefault="00D10B63" w:rsidP="0099185A">
            <w:pPr>
              <w:jc w:val="center"/>
              <w:rPr>
                <w:rFonts w:cs="Arial"/>
                <w:b/>
                <w:bCs/>
                <w:color w:val="000000"/>
                <w:sz w:val="18"/>
                <w:szCs w:val="18"/>
              </w:rPr>
            </w:pPr>
            <w:r w:rsidRPr="000E3F92">
              <w:rPr>
                <w:rFonts w:cs="Arial"/>
                <w:b/>
                <w:bCs/>
                <w:color w:val="000000"/>
                <w:sz w:val="18"/>
                <w:szCs w:val="18"/>
              </w:rPr>
              <w:t>(a)</w:t>
            </w:r>
          </w:p>
        </w:tc>
        <w:tc>
          <w:tcPr>
            <w:tcW w:w="427" w:type="pct"/>
            <w:tcBorders>
              <w:left w:val="nil"/>
              <w:bottom w:val="single" w:sz="4" w:space="0" w:color="auto"/>
              <w:right w:val="single" w:sz="4" w:space="0" w:color="auto"/>
            </w:tcBorders>
            <w:shd w:val="clear" w:color="auto" w:fill="A1F2FD"/>
            <w:vAlign w:val="center"/>
            <w:hideMark/>
          </w:tcPr>
          <w:p w14:paraId="3136CCEA" w14:textId="77777777" w:rsidR="00D10B63" w:rsidRPr="000E3F92" w:rsidRDefault="00D10B63" w:rsidP="0099185A">
            <w:pPr>
              <w:jc w:val="center"/>
              <w:rPr>
                <w:rFonts w:cs="Arial"/>
                <w:b/>
                <w:bCs/>
                <w:color w:val="000000"/>
                <w:sz w:val="18"/>
                <w:szCs w:val="18"/>
              </w:rPr>
            </w:pPr>
            <w:r w:rsidRPr="000E3F92">
              <w:rPr>
                <w:rFonts w:cs="Arial"/>
                <w:b/>
                <w:bCs/>
                <w:color w:val="000000"/>
                <w:sz w:val="18"/>
                <w:szCs w:val="18"/>
              </w:rPr>
              <w:t>(b)</w:t>
            </w:r>
          </w:p>
        </w:tc>
        <w:tc>
          <w:tcPr>
            <w:tcW w:w="502" w:type="pct"/>
            <w:tcBorders>
              <w:left w:val="single" w:sz="4" w:space="0" w:color="auto"/>
              <w:bottom w:val="single" w:sz="4" w:space="0" w:color="auto"/>
              <w:right w:val="single" w:sz="4" w:space="0" w:color="auto"/>
            </w:tcBorders>
            <w:shd w:val="clear" w:color="auto" w:fill="A1F2FD"/>
            <w:vAlign w:val="center"/>
            <w:hideMark/>
          </w:tcPr>
          <w:p w14:paraId="1E600055" w14:textId="77777777" w:rsidR="00D10B63" w:rsidRPr="000E3F92" w:rsidRDefault="00D10B63" w:rsidP="0099185A">
            <w:pPr>
              <w:jc w:val="center"/>
              <w:rPr>
                <w:rFonts w:cs="Arial"/>
                <w:b/>
                <w:bCs/>
                <w:color w:val="000000"/>
                <w:sz w:val="18"/>
                <w:szCs w:val="18"/>
              </w:rPr>
            </w:pPr>
            <w:r w:rsidRPr="000E3F92">
              <w:rPr>
                <w:rFonts w:cs="Arial"/>
                <w:b/>
                <w:bCs/>
                <w:color w:val="000000"/>
                <w:sz w:val="18"/>
                <w:szCs w:val="18"/>
              </w:rPr>
              <w:t>(c)</w:t>
            </w:r>
          </w:p>
        </w:tc>
        <w:tc>
          <w:tcPr>
            <w:tcW w:w="407" w:type="pct"/>
            <w:tcBorders>
              <w:left w:val="nil"/>
              <w:bottom w:val="single" w:sz="4" w:space="0" w:color="auto"/>
              <w:right w:val="single" w:sz="4" w:space="0" w:color="auto"/>
            </w:tcBorders>
            <w:shd w:val="clear" w:color="auto" w:fill="A1F2FD"/>
            <w:vAlign w:val="center"/>
            <w:hideMark/>
          </w:tcPr>
          <w:p w14:paraId="63F96FC1" w14:textId="77777777" w:rsidR="00D10B63" w:rsidRPr="000E3F92" w:rsidRDefault="00D10B63" w:rsidP="0099185A">
            <w:pPr>
              <w:jc w:val="center"/>
              <w:rPr>
                <w:rFonts w:cs="Arial"/>
                <w:b/>
                <w:bCs/>
                <w:color w:val="000000"/>
                <w:sz w:val="18"/>
                <w:szCs w:val="18"/>
              </w:rPr>
            </w:pPr>
            <w:r w:rsidRPr="000E3F92">
              <w:rPr>
                <w:rFonts w:cs="Arial"/>
                <w:b/>
                <w:bCs/>
                <w:color w:val="000000"/>
                <w:sz w:val="18"/>
                <w:szCs w:val="18"/>
              </w:rPr>
              <w:t>(d)</w:t>
            </w:r>
          </w:p>
        </w:tc>
        <w:tc>
          <w:tcPr>
            <w:tcW w:w="606" w:type="pct"/>
            <w:tcBorders>
              <w:left w:val="nil"/>
              <w:bottom w:val="single" w:sz="4" w:space="0" w:color="auto"/>
              <w:right w:val="single" w:sz="4" w:space="0" w:color="auto"/>
            </w:tcBorders>
            <w:shd w:val="clear" w:color="auto" w:fill="A1F2FD"/>
            <w:vAlign w:val="center"/>
            <w:hideMark/>
          </w:tcPr>
          <w:p w14:paraId="734125C3" w14:textId="77777777" w:rsidR="00D10B63" w:rsidRPr="000E3F92" w:rsidRDefault="00D10B63" w:rsidP="0099185A">
            <w:pPr>
              <w:ind w:left="-107" w:right="-117"/>
              <w:jc w:val="center"/>
              <w:rPr>
                <w:rFonts w:cs="Arial"/>
                <w:b/>
                <w:bCs/>
                <w:color w:val="000000"/>
                <w:sz w:val="18"/>
                <w:szCs w:val="18"/>
              </w:rPr>
            </w:pPr>
            <w:r w:rsidRPr="000E3F92">
              <w:rPr>
                <w:rFonts w:cs="Arial"/>
                <w:b/>
                <w:bCs/>
                <w:color w:val="000000"/>
                <w:sz w:val="18"/>
                <w:szCs w:val="18"/>
              </w:rPr>
              <w:t>(e) = (a-b)</w:t>
            </w:r>
          </w:p>
        </w:tc>
        <w:tc>
          <w:tcPr>
            <w:tcW w:w="454" w:type="pct"/>
            <w:tcBorders>
              <w:left w:val="nil"/>
              <w:bottom w:val="single" w:sz="4" w:space="0" w:color="auto"/>
              <w:right w:val="nil"/>
            </w:tcBorders>
            <w:shd w:val="clear" w:color="auto" w:fill="A1F2FD"/>
            <w:vAlign w:val="center"/>
            <w:hideMark/>
          </w:tcPr>
          <w:p w14:paraId="2552A433" w14:textId="77777777" w:rsidR="00D10B63" w:rsidRPr="000E3F92" w:rsidRDefault="00D10B63" w:rsidP="0099185A">
            <w:pPr>
              <w:ind w:left="-75" w:right="-76"/>
              <w:jc w:val="center"/>
              <w:rPr>
                <w:rFonts w:cs="Arial"/>
                <w:b/>
                <w:bCs/>
                <w:color w:val="000000"/>
                <w:sz w:val="18"/>
                <w:szCs w:val="18"/>
              </w:rPr>
            </w:pPr>
            <w:r w:rsidRPr="000E3F92">
              <w:rPr>
                <w:rFonts w:cs="Arial"/>
                <w:b/>
                <w:bCs/>
                <w:color w:val="000000"/>
                <w:sz w:val="18"/>
                <w:szCs w:val="18"/>
              </w:rPr>
              <w:t>(f) = (e/c)</w:t>
            </w:r>
          </w:p>
        </w:tc>
      </w:tr>
      <w:tr w:rsidR="004F78CE" w:rsidRPr="00770892" w14:paraId="508B5F5D" w14:textId="77777777" w:rsidTr="009432A1">
        <w:trPr>
          <w:trHeight w:val="397"/>
        </w:trPr>
        <w:tc>
          <w:tcPr>
            <w:tcW w:w="1970" w:type="pct"/>
            <w:tcBorders>
              <w:top w:val="nil"/>
              <w:left w:val="nil"/>
              <w:bottom w:val="nil"/>
              <w:right w:val="single" w:sz="4" w:space="0" w:color="auto"/>
            </w:tcBorders>
            <w:shd w:val="clear" w:color="auto" w:fill="auto"/>
            <w:noWrap/>
            <w:vAlign w:val="center"/>
            <w:hideMark/>
          </w:tcPr>
          <w:p w14:paraId="1FBC4B61" w14:textId="77777777" w:rsidR="004F78CE" w:rsidRPr="00770892" w:rsidRDefault="004F78CE" w:rsidP="00D21055">
            <w:pPr>
              <w:jc w:val="left"/>
              <w:rPr>
                <w:rFonts w:cs="Arial"/>
                <w:color w:val="000000"/>
                <w:sz w:val="18"/>
                <w:szCs w:val="18"/>
              </w:rPr>
            </w:pPr>
            <w:r w:rsidRPr="00770892">
              <w:rPr>
                <w:rFonts w:cs="Arial"/>
                <w:color w:val="000000"/>
                <w:sz w:val="18"/>
                <w:szCs w:val="18"/>
              </w:rPr>
              <w:t>Outras Provisões a Longo Prazo</w:t>
            </w:r>
          </w:p>
        </w:tc>
        <w:tc>
          <w:tcPr>
            <w:tcW w:w="634" w:type="pct"/>
            <w:tcBorders>
              <w:top w:val="nil"/>
              <w:left w:val="nil"/>
              <w:bottom w:val="nil"/>
              <w:right w:val="single" w:sz="4" w:space="0" w:color="auto"/>
            </w:tcBorders>
            <w:shd w:val="clear" w:color="auto" w:fill="auto"/>
            <w:noWrap/>
            <w:vAlign w:val="center"/>
            <w:hideMark/>
          </w:tcPr>
          <w:p w14:paraId="15A4884E" w14:textId="77777777" w:rsidR="004F78CE" w:rsidRPr="00770892" w:rsidRDefault="004F78CE" w:rsidP="00D21055">
            <w:pPr>
              <w:jc w:val="right"/>
              <w:rPr>
                <w:rFonts w:cs="Arial"/>
                <w:color w:val="000000"/>
                <w:sz w:val="18"/>
                <w:szCs w:val="18"/>
              </w:rPr>
            </w:pPr>
            <w:r w:rsidRPr="00770892">
              <w:rPr>
                <w:rFonts w:cs="Arial"/>
                <w:color w:val="000000"/>
                <w:sz w:val="18"/>
                <w:szCs w:val="18"/>
              </w:rPr>
              <w:t>829.926</w:t>
            </w:r>
          </w:p>
        </w:tc>
        <w:tc>
          <w:tcPr>
            <w:tcW w:w="427" w:type="pct"/>
            <w:tcBorders>
              <w:top w:val="nil"/>
              <w:left w:val="nil"/>
              <w:bottom w:val="nil"/>
              <w:right w:val="single" w:sz="4" w:space="0" w:color="auto"/>
            </w:tcBorders>
            <w:shd w:val="clear" w:color="auto" w:fill="auto"/>
            <w:noWrap/>
            <w:vAlign w:val="center"/>
            <w:hideMark/>
          </w:tcPr>
          <w:p w14:paraId="640DD76C" w14:textId="77777777" w:rsidR="004F78CE" w:rsidRPr="00770892" w:rsidRDefault="004F78CE" w:rsidP="00D21055">
            <w:pPr>
              <w:jc w:val="center"/>
              <w:rPr>
                <w:rFonts w:cs="Arial"/>
                <w:color w:val="000000"/>
                <w:sz w:val="18"/>
                <w:szCs w:val="18"/>
              </w:rPr>
            </w:pPr>
            <w:r w:rsidRPr="00770892">
              <w:rPr>
                <w:rFonts w:cs="Arial"/>
                <w:color w:val="000000"/>
                <w:sz w:val="18"/>
                <w:szCs w:val="18"/>
              </w:rPr>
              <w:t>0,72</w:t>
            </w:r>
          </w:p>
        </w:tc>
        <w:tc>
          <w:tcPr>
            <w:tcW w:w="502" w:type="pct"/>
            <w:tcBorders>
              <w:top w:val="nil"/>
              <w:left w:val="nil"/>
              <w:bottom w:val="nil"/>
              <w:right w:val="single" w:sz="4" w:space="0" w:color="auto"/>
            </w:tcBorders>
            <w:shd w:val="clear" w:color="auto" w:fill="auto"/>
            <w:noWrap/>
            <w:vAlign w:val="center"/>
            <w:hideMark/>
          </w:tcPr>
          <w:p w14:paraId="020E4831" w14:textId="77777777" w:rsidR="004F78CE" w:rsidRPr="00770892" w:rsidRDefault="004F78CE" w:rsidP="00D21055">
            <w:pPr>
              <w:jc w:val="right"/>
              <w:rPr>
                <w:rFonts w:cs="Arial"/>
                <w:color w:val="000000"/>
                <w:sz w:val="18"/>
                <w:szCs w:val="18"/>
              </w:rPr>
            </w:pPr>
            <w:r w:rsidRPr="00770892">
              <w:rPr>
                <w:rFonts w:cs="Arial"/>
                <w:color w:val="000000"/>
                <w:sz w:val="18"/>
                <w:szCs w:val="18"/>
              </w:rPr>
              <w:t>433.284</w:t>
            </w:r>
          </w:p>
        </w:tc>
        <w:tc>
          <w:tcPr>
            <w:tcW w:w="407" w:type="pct"/>
            <w:tcBorders>
              <w:top w:val="nil"/>
              <w:left w:val="nil"/>
              <w:bottom w:val="nil"/>
              <w:right w:val="single" w:sz="4" w:space="0" w:color="auto"/>
            </w:tcBorders>
            <w:shd w:val="clear" w:color="auto" w:fill="auto"/>
            <w:noWrap/>
            <w:vAlign w:val="center"/>
            <w:hideMark/>
          </w:tcPr>
          <w:p w14:paraId="78F4403C" w14:textId="77777777" w:rsidR="004F78CE" w:rsidRPr="00770892" w:rsidRDefault="004F78CE" w:rsidP="00D21055">
            <w:pPr>
              <w:jc w:val="center"/>
              <w:rPr>
                <w:rFonts w:cs="Arial"/>
                <w:color w:val="000000"/>
                <w:sz w:val="18"/>
                <w:szCs w:val="18"/>
              </w:rPr>
            </w:pPr>
            <w:r w:rsidRPr="00770892">
              <w:rPr>
                <w:rFonts w:cs="Arial"/>
                <w:color w:val="000000"/>
                <w:sz w:val="18"/>
                <w:szCs w:val="18"/>
              </w:rPr>
              <w:t>100,00</w:t>
            </w:r>
          </w:p>
        </w:tc>
        <w:tc>
          <w:tcPr>
            <w:tcW w:w="606" w:type="pct"/>
            <w:tcBorders>
              <w:top w:val="nil"/>
              <w:left w:val="nil"/>
              <w:bottom w:val="nil"/>
              <w:right w:val="single" w:sz="4" w:space="0" w:color="auto"/>
            </w:tcBorders>
            <w:shd w:val="clear" w:color="auto" w:fill="auto"/>
            <w:noWrap/>
            <w:vAlign w:val="center"/>
            <w:hideMark/>
          </w:tcPr>
          <w:p w14:paraId="4D514618" w14:textId="77777777" w:rsidR="004F78CE" w:rsidRPr="00770892" w:rsidRDefault="004F78CE" w:rsidP="00D21055">
            <w:pPr>
              <w:jc w:val="right"/>
              <w:rPr>
                <w:rFonts w:cs="Arial"/>
                <w:color w:val="000000"/>
                <w:sz w:val="18"/>
                <w:szCs w:val="18"/>
              </w:rPr>
            </w:pPr>
            <w:r w:rsidRPr="00770892">
              <w:rPr>
                <w:rFonts w:cs="Arial"/>
                <w:color w:val="000000"/>
                <w:sz w:val="18"/>
                <w:szCs w:val="18"/>
              </w:rPr>
              <w:t>396.642</w:t>
            </w:r>
          </w:p>
        </w:tc>
        <w:tc>
          <w:tcPr>
            <w:tcW w:w="454" w:type="pct"/>
            <w:tcBorders>
              <w:top w:val="nil"/>
              <w:left w:val="nil"/>
              <w:bottom w:val="nil"/>
              <w:right w:val="nil"/>
            </w:tcBorders>
            <w:shd w:val="clear" w:color="auto" w:fill="auto"/>
            <w:noWrap/>
            <w:vAlign w:val="center"/>
            <w:hideMark/>
          </w:tcPr>
          <w:p w14:paraId="41FAE0B5" w14:textId="77777777" w:rsidR="004F78CE" w:rsidRPr="00770892" w:rsidRDefault="004F78CE" w:rsidP="00D21055">
            <w:pPr>
              <w:jc w:val="center"/>
              <w:rPr>
                <w:rFonts w:cs="Arial"/>
                <w:color w:val="000000"/>
                <w:sz w:val="18"/>
                <w:szCs w:val="18"/>
              </w:rPr>
            </w:pPr>
            <w:r w:rsidRPr="00770892">
              <w:rPr>
                <w:rFonts w:cs="Arial"/>
                <w:color w:val="000000"/>
                <w:sz w:val="18"/>
                <w:szCs w:val="18"/>
              </w:rPr>
              <w:t>91,54</w:t>
            </w:r>
          </w:p>
        </w:tc>
      </w:tr>
      <w:tr w:rsidR="004F78CE" w:rsidRPr="00770892" w14:paraId="11B052D3" w14:textId="77777777" w:rsidTr="009432A1">
        <w:trPr>
          <w:trHeight w:val="397"/>
        </w:trPr>
        <w:tc>
          <w:tcPr>
            <w:tcW w:w="1970" w:type="pct"/>
            <w:tcBorders>
              <w:top w:val="nil"/>
              <w:left w:val="nil"/>
              <w:bottom w:val="nil"/>
              <w:right w:val="single" w:sz="4" w:space="0" w:color="auto"/>
            </w:tcBorders>
            <w:shd w:val="clear" w:color="auto" w:fill="auto"/>
            <w:vAlign w:val="center"/>
            <w:hideMark/>
          </w:tcPr>
          <w:p w14:paraId="0DD643F0" w14:textId="77777777" w:rsidR="004F78CE" w:rsidRPr="00770892" w:rsidRDefault="004F78CE" w:rsidP="00D21055">
            <w:pPr>
              <w:jc w:val="left"/>
              <w:rPr>
                <w:rFonts w:cs="Arial"/>
                <w:color w:val="000000"/>
                <w:sz w:val="18"/>
                <w:szCs w:val="18"/>
              </w:rPr>
            </w:pPr>
            <w:r w:rsidRPr="00770892">
              <w:rPr>
                <w:rFonts w:cs="Arial"/>
                <w:color w:val="000000"/>
                <w:sz w:val="18"/>
                <w:szCs w:val="18"/>
              </w:rPr>
              <w:t xml:space="preserve">Valor </w:t>
            </w:r>
            <w:r>
              <w:rPr>
                <w:rFonts w:cs="Arial"/>
                <w:color w:val="000000"/>
                <w:sz w:val="18"/>
                <w:szCs w:val="18"/>
              </w:rPr>
              <w:t>A</w:t>
            </w:r>
            <w:r w:rsidRPr="00770892">
              <w:rPr>
                <w:rFonts w:cs="Arial"/>
                <w:color w:val="000000"/>
                <w:sz w:val="18"/>
                <w:szCs w:val="18"/>
              </w:rPr>
              <w:t xml:space="preserve">tual da Obrigação com Amortização de </w:t>
            </w:r>
            <w:r>
              <w:rPr>
                <w:rFonts w:cs="Arial"/>
                <w:color w:val="000000"/>
                <w:sz w:val="18"/>
                <w:szCs w:val="18"/>
              </w:rPr>
              <w:t>D</w:t>
            </w:r>
            <w:r w:rsidRPr="00770892">
              <w:rPr>
                <w:rFonts w:cs="Arial"/>
                <w:color w:val="000000"/>
                <w:sz w:val="18"/>
                <w:szCs w:val="18"/>
              </w:rPr>
              <w:t xml:space="preserve">éficit </w:t>
            </w:r>
            <w:r>
              <w:rPr>
                <w:rFonts w:cs="Arial"/>
                <w:color w:val="000000"/>
                <w:sz w:val="18"/>
                <w:szCs w:val="18"/>
              </w:rPr>
              <w:t>A</w:t>
            </w:r>
            <w:r w:rsidRPr="00770892">
              <w:rPr>
                <w:rFonts w:cs="Arial"/>
                <w:color w:val="000000"/>
                <w:sz w:val="18"/>
                <w:szCs w:val="18"/>
              </w:rPr>
              <w:t>tuarial - Benefícios Concedidos</w:t>
            </w:r>
          </w:p>
        </w:tc>
        <w:tc>
          <w:tcPr>
            <w:tcW w:w="634" w:type="pct"/>
            <w:tcBorders>
              <w:top w:val="nil"/>
              <w:left w:val="nil"/>
              <w:bottom w:val="nil"/>
              <w:right w:val="single" w:sz="4" w:space="0" w:color="auto"/>
            </w:tcBorders>
            <w:shd w:val="clear" w:color="auto" w:fill="auto"/>
            <w:noWrap/>
            <w:vAlign w:val="center"/>
            <w:hideMark/>
          </w:tcPr>
          <w:p w14:paraId="6FF8F6CC" w14:textId="77777777" w:rsidR="004F78CE" w:rsidRPr="00770892" w:rsidRDefault="004F78CE" w:rsidP="00D21055">
            <w:pPr>
              <w:jc w:val="right"/>
              <w:rPr>
                <w:rFonts w:cs="Arial"/>
                <w:color w:val="000000"/>
                <w:sz w:val="18"/>
                <w:szCs w:val="18"/>
              </w:rPr>
            </w:pPr>
            <w:r w:rsidRPr="00770892">
              <w:rPr>
                <w:rFonts w:cs="Arial"/>
                <w:color w:val="000000"/>
                <w:sz w:val="18"/>
                <w:szCs w:val="18"/>
              </w:rPr>
              <w:t>68.501.404</w:t>
            </w:r>
          </w:p>
        </w:tc>
        <w:tc>
          <w:tcPr>
            <w:tcW w:w="427" w:type="pct"/>
            <w:tcBorders>
              <w:top w:val="nil"/>
              <w:left w:val="nil"/>
              <w:bottom w:val="nil"/>
              <w:right w:val="single" w:sz="4" w:space="0" w:color="auto"/>
            </w:tcBorders>
            <w:shd w:val="clear" w:color="auto" w:fill="auto"/>
            <w:noWrap/>
            <w:vAlign w:val="center"/>
            <w:hideMark/>
          </w:tcPr>
          <w:p w14:paraId="3D20DB2F" w14:textId="77777777" w:rsidR="004F78CE" w:rsidRPr="00770892" w:rsidRDefault="004F78CE" w:rsidP="00D21055">
            <w:pPr>
              <w:jc w:val="center"/>
              <w:rPr>
                <w:rFonts w:cs="Arial"/>
                <w:color w:val="000000"/>
                <w:sz w:val="18"/>
                <w:szCs w:val="18"/>
              </w:rPr>
            </w:pPr>
            <w:r w:rsidRPr="00770892">
              <w:rPr>
                <w:rFonts w:cs="Arial"/>
                <w:color w:val="000000"/>
                <w:sz w:val="18"/>
                <w:szCs w:val="18"/>
              </w:rPr>
              <w:t>59,16</w:t>
            </w:r>
          </w:p>
        </w:tc>
        <w:tc>
          <w:tcPr>
            <w:tcW w:w="502" w:type="pct"/>
            <w:tcBorders>
              <w:top w:val="nil"/>
              <w:left w:val="nil"/>
              <w:bottom w:val="nil"/>
              <w:right w:val="single" w:sz="4" w:space="0" w:color="auto"/>
            </w:tcBorders>
            <w:shd w:val="clear" w:color="auto" w:fill="auto"/>
            <w:noWrap/>
            <w:vAlign w:val="center"/>
            <w:hideMark/>
          </w:tcPr>
          <w:p w14:paraId="30856348" w14:textId="77777777" w:rsidR="004F78CE" w:rsidRPr="00770892" w:rsidRDefault="004F78CE" w:rsidP="00D21055">
            <w:pPr>
              <w:jc w:val="right"/>
              <w:rPr>
                <w:rFonts w:cs="Arial"/>
                <w:color w:val="000000"/>
                <w:sz w:val="18"/>
                <w:szCs w:val="18"/>
              </w:rPr>
            </w:pPr>
            <w:r>
              <w:rPr>
                <w:rFonts w:cs="Arial"/>
                <w:color w:val="000000"/>
                <w:sz w:val="18"/>
                <w:szCs w:val="18"/>
              </w:rPr>
              <w:t>-</w:t>
            </w:r>
          </w:p>
        </w:tc>
        <w:tc>
          <w:tcPr>
            <w:tcW w:w="407" w:type="pct"/>
            <w:tcBorders>
              <w:top w:val="nil"/>
              <w:left w:val="nil"/>
              <w:bottom w:val="nil"/>
              <w:right w:val="single" w:sz="4" w:space="0" w:color="auto"/>
            </w:tcBorders>
            <w:shd w:val="clear" w:color="auto" w:fill="auto"/>
            <w:noWrap/>
            <w:vAlign w:val="center"/>
            <w:hideMark/>
          </w:tcPr>
          <w:p w14:paraId="083E8665" w14:textId="77777777" w:rsidR="004F78CE" w:rsidRPr="00770892" w:rsidRDefault="004F78CE" w:rsidP="00D21055">
            <w:pPr>
              <w:jc w:val="center"/>
              <w:rPr>
                <w:rFonts w:cs="Arial"/>
                <w:color w:val="000000"/>
                <w:sz w:val="18"/>
                <w:szCs w:val="18"/>
              </w:rPr>
            </w:pPr>
            <w:r w:rsidRPr="00770892">
              <w:rPr>
                <w:rFonts w:cs="Arial"/>
                <w:color w:val="000000"/>
                <w:sz w:val="18"/>
                <w:szCs w:val="18"/>
              </w:rPr>
              <w:t>-</w:t>
            </w:r>
          </w:p>
        </w:tc>
        <w:tc>
          <w:tcPr>
            <w:tcW w:w="606" w:type="pct"/>
            <w:tcBorders>
              <w:top w:val="nil"/>
              <w:left w:val="nil"/>
              <w:bottom w:val="nil"/>
              <w:right w:val="single" w:sz="4" w:space="0" w:color="auto"/>
            </w:tcBorders>
            <w:shd w:val="clear" w:color="auto" w:fill="auto"/>
            <w:noWrap/>
            <w:vAlign w:val="center"/>
            <w:hideMark/>
          </w:tcPr>
          <w:p w14:paraId="61B67DDF" w14:textId="77777777" w:rsidR="004F78CE" w:rsidRPr="00770892" w:rsidRDefault="004F78CE" w:rsidP="00D21055">
            <w:pPr>
              <w:jc w:val="right"/>
              <w:rPr>
                <w:rFonts w:cs="Arial"/>
                <w:color w:val="000000"/>
                <w:sz w:val="18"/>
                <w:szCs w:val="18"/>
              </w:rPr>
            </w:pPr>
            <w:r w:rsidRPr="00770892">
              <w:rPr>
                <w:rFonts w:cs="Arial"/>
                <w:color w:val="000000"/>
                <w:sz w:val="18"/>
                <w:szCs w:val="18"/>
              </w:rPr>
              <w:t>68.501.404</w:t>
            </w:r>
          </w:p>
        </w:tc>
        <w:tc>
          <w:tcPr>
            <w:tcW w:w="454" w:type="pct"/>
            <w:tcBorders>
              <w:top w:val="nil"/>
              <w:left w:val="nil"/>
              <w:bottom w:val="nil"/>
              <w:right w:val="nil"/>
            </w:tcBorders>
            <w:shd w:val="clear" w:color="auto" w:fill="auto"/>
            <w:noWrap/>
            <w:vAlign w:val="center"/>
            <w:hideMark/>
          </w:tcPr>
          <w:p w14:paraId="3107C228" w14:textId="77777777" w:rsidR="004F78CE" w:rsidRPr="00770892" w:rsidRDefault="004F78CE" w:rsidP="00D21055">
            <w:pPr>
              <w:jc w:val="center"/>
              <w:rPr>
                <w:rFonts w:cs="Arial"/>
                <w:color w:val="000000"/>
                <w:sz w:val="18"/>
                <w:szCs w:val="18"/>
              </w:rPr>
            </w:pPr>
            <w:r w:rsidRPr="00770892">
              <w:rPr>
                <w:rFonts w:cs="Arial"/>
                <w:color w:val="000000"/>
                <w:sz w:val="18"/>
                <w:szCs w:val="18"/>
              </w:rPr>
              <w:t>100,00</w:t>
            </w:r>
          </w:p>
        </w:tc>
      </w:tr>
      <w:tr w:rsidR="004F78CE" w:rsidRPr="00770892" w14:paraId="09A31CF6" w14:textId="77777777" w:rsidTr="009432A1">
        <w:trPr>
          <w:trHeight w:val="397"/>
        </w:trPr>
        <w:tc>
          <w:tcPr>
            <w:tcW w:w="1970" w:type="pct"/>
            <w:tcBorders>
              <w:top w:val="nil"/>
              <w:left w:val="nil"/>
              <w:bottom w:val="nil"/>
              <w:right w:val="single" w:sz="4" w:space="0" w:color="auto"/>
            </w:tcBorders>
            <w:shd w:val="clear" w:color="auto" w:fill="auto"/>
            <w:vAlign w:val="center"/>
            <w:hideMark/>
          </w:tcPr>
          <w:p w14:paraId="34661769" w14:textId="77777777" w:rsidR="004F78CE" w:rsidRPr="00770892" w:rsidRDefault="004F78CE" w:rsidP="00D21055">
            <w:pPr>
              <w:jc w:val="left"/>
              <w:rPr>
                <w:rFonts w:cs="Arial"/>
                <w:color w:val="000000"/>
                <w:sz w:val="18"/>
                <w:szCs w:val="18"/>
              </w:rPr>
            </w:pPr>
            <w:r w:rsidRPr="00770892">
              <w:rPr>
                <w:rFonts w:cs="Arial"/>
                <w:color w:val="000000"/>
                <w:sz w:val="18"/>
                <w:szCs w:val="18"/>
              </w:rPr>
              <w:t xml:space="preserve">Valor </w:t>
            </w:r>
            <w:r>
              <w:rPr>
                <w:rFonts w:cs="Arial"/>
                <w:color w:val="000000"/>
                <w:sz w:val="18"/>
                <w:szCs w:val="18"/>
              </w:rPr>
              <w:t>A</w:t>
            </w:r>
            <w:r w:rsidRPr="00770892">
              <w:rPr>
                <w:rFonts w:cs="Arial"/>
                <w:color w:val="000000"/>
                <w:sz w:val="18"/>
                <w:szCs w:val="18"/>
              </w:rPr>
              <w:t xml:space="preserve">tual da Obrigação com Amortização de Déficit </w:t>
            </w:r>
            <w:r>
              <w:rPr>
                <w:rFonts w:cs="Arial"/>
                <w:color w:val="000000"/>
                <w:sz w:val="18"/>
                <w:szCs w:val="18"/>
              </w:rPr>
              <w:t>A</w:t>
            </w:r>
            <w:r w:rsidRPr="00770892">
              <w:rPr>
                <w:rFonts w:cs="Arial"/>
                <w:color w:val="000000"/>
                <w:sz w:val="18"/>
                <w:szCs w:val="18"/>
              </w:rPr>
              <w:t xml:space="preserve">tuarial </w:t>
            </w:r>
            <w:r>
              <w:rPr>
                <w:rFonts w:cs="Arial"/>
                <w:color w:val="000000"/>
                <w:sz w:val="18"/>
                <w:szCs w:val="18"/>
              </w:rPr>
              <w:t xml:space="preserve">- </w:t>
            </w:r>
            <w:r w:rsidRPr="00770892">
              <w:rPr>
                <w:rFonts w:cs="Arial"/>
                <w:color w:val="000000"/>
                <w:sz w:val="18"/>
                <w:szCs w:val="18"/>
              </w:rPr>
              <w:t>Benefícios a Conceder</w:t>
            </w:r>
          </w:p>
        </w:tc>
        <w:tc>
          <w:tcPr>
            <w:tcW w:w="634" w:type="pct"/>
            <w:tcBorders>
              <w:top w:val="nil"/>
              <w:left w:val="nil"/>
              <w:bottom w:val="nil"/>
              <w:right w:val="single" w:sz="4" w:space="0" w:color="auto"/>
            </w:tcBorders>
            <w:shd w:val="clear" w:color="auto" w:fill="auto"/>
            <w:noWrap/>
            <w:vAlign w:val="center"/>
            <w:hideMark/>
          </w:tcPr>
          <w:p w14:paraId="4B9CD7CF" w14:textId="77777777" w:rsidR="004F78CE" w:rsidRPr="00770892" w:rsidRDefault="004F78CE" w:rsidP="00D21055">
            <w:pPr>
              <w:jc w:val="right"/>
              <w:rPr>
                <w:rFonts w:cs="Arial"/>
                <w:color w:val="000000"/>
                <w:sz w:val="18"/>
                <w:szCs w:val="18"/>
              </w:rPr>
            </w:pPr>
            <w:r w:rsidRPr="00770892">
              <w:rPr>
                <w:rFonts w:cs="Arial"/>
                <w:color w:val="000000"/>
                <w:sz w:val="18"/>
                <w:szCs w:val="18"/>
              </w:rPr>
              <w:t>46.449.308</w:t>
            </w:r>
          </w:p>
        </w:tc>
        <w:tc>
          <w:tcPr>
            <w:tcW w:w="427" w:type="pct"/>
            <w:tcBorders>
              <w:top w:val="nil"/>
              <w:left w:val="nil"/>
              <w:bottom w:val="nil"/>
              <w:right w:val="single" w:sz="4" w:space="0" w:color="auto"/>
            </w:tcBorders>
            <w:shd w:val="clear" w:color="auto" w:fill="auto"/>
            <w:noWrap/>
            <w:vAlign w:val="center"/>
            <w:hideMark/>
          </w:tcPr>
          <w:p w14:paraId="5B0FF0AC" w14:textId="77777777" w:rsidR="004F78CE" w:rsidRPr="00770892" w:rsidRDefault="004F78CE" w:rsidP="00D21055">
            <w:pPr>
              <w:jc w:val="center"/>
              <w:rPr>
                <w:rFonts w:cs="Arial"/>
                <w:color w:val="000000"/>
                <w:sz w:val="18"/>
                <w:szCs w:val="18"/>
              </w:rPr>
            </w:pPr>
            <w:r w:rsidRPr="00770892">
              <w:rPr>
                <w:rFonts w:cs="Arial"/>
                <w:color w:val="000000"/>
                <w:sz w:val="18"/>
                <w:szCs w:val="18"/>
              </w:rPr>
              <w:t>40,12</w:t>
            </w:r>
          </w:p>
        </w:tc>
        <w:tc>
          <w:tcPr>
            <w:tcW w:w="502" w:type="pct"/>
            <w:tcBorders>
              <w:top w:val="nil"/>
              <w:left w:val="nil"/>
              <w:bottom w:val="nil"/>
              <w:right w:val="single" w:sz="4" w:space="0" w:color="auto"/>
            </w:tcBorders>
            <w:shd w:val="clear" w:color="auto" w:fill="auto"/>
            <w:noWrap/>
            <w:vAlign w:val="center"/>
            <w:hideMark/>
          </w:tcPr>
          <w:p w14:paraId="0D90D379" w14:textId="77777777" w:rsidR="004F78CE" w:rsidRPr="00770892" w:rsidRDefault="004F78CE" w:rsidP="00D21055">
            <w:pPr>
              <w:jc w:val="right"/>
              <w:rPr>
                <w:rFonts w:cs="Arial"/>
                <w:color w:val="000000"/>
                <w:sz w:val="18"/>
                <w:szCs w:val="18"/>
              </w:rPr>
            </w:pPr>
            <w:r>
              <w:rPr>
                <w:rFonts w:cs="Arial"/>
                <w:color w:val="000000"/>
                <w:sz w:val="18"/>
                <w:szCs w:val="18"/>
              </w:rPr>
              <w:t>-</w:t>
            </w:r>
          </w:p>
        </w:tc>
        <w:tc>
          <w:tcPr>
            <w:tcW w:w="407" w:type="pct"/>
            <w:tcBorders>
              <w:top w:val="nil"/>
              <w:left w:val="nil"/>
              <w:bottom w:val="nil"/>
              <w:right w:val="single" w:sz="4" w:space="0" w:color="auto"/>
            </w:tcBorders>
            <w:shd w:val="clear" w:color="auto" w:fill="auto"/>
            <w:noWrap/>
            <w:vAlign w:val="center"/>
            <w:hideMark/>
          </w:tcPr>
          <w:p w14:paraId="080D8C65" w14:textId="77777777" w:rsidR="004F78CE" w:rsidRPr="00770892" w:rsidRDefault="004F78CE" w:rsidP="00D21055">
            <w:pPr>
              <w:jc w:val="center"/>
              <w:rPr>
                <w:rFonts w:cs="Arial"/>
                <w:color w:val="000000"/>
                <w:sz w:val="18"/>
                <w:szCs w:val="18"/>
              </w:rPr>
            </w:pPr>
            <w:r w:rsidRPr="00770892">
              <w:rPr>
                <w:rFonts w:cs="Arial"/>
                <w:color w:val="000000"/>
                <w:sz w:val="18"/>
                <w:szCs w:val="18"/>
              </w:rPr>
              <w:t>-</w:t>
            </w:r>
          </w:p>
        </w:tc>
        <w:tc>
          <w:tcPr>
            <w:tcW w:w="606" w:type="pct"/>
            <w:tcBorders>
              <w:top w:val="nil"/>
              <w:left w:val="nil"/>
              <w:bottom w:val="nil"/>
              <w:right w:val="single" w:sz="4" w:space="0" w:color="auto"/>
            </w:tcBorders>
            <w:shd w:val="clear" w:color="auto" w:fill="auto"/>
            <w:noWrap/>
            <w:vAlign w:val="center"/>
            <w:hideMark/>
          </w:tcPr>
          <w:p w14:paraId="0ACFC474" w14:textId="77777777" w:rsidR="004F78CE" w:rsidRPr="00770892" w:rsidRDefault="004F78CE" w:rsidP="00D21055">
            <w:pPr>
              <w:jc w:val="right"/>
              <w:rPr>
                <w:rFonts w:cs="Arial"/>
                <w:color w:val="000000"/>
                <w:sz w:val="18"/>
                <w:szCs w:val="18"/>
              </w:rPr>
            </w:pPr>
            <w:r w:rsidRPr="00770892">
              <w:rPr>
                <w:rFonts w:cs="Arial"/>
                <w:color w:val="000000"/>
                <w:sz w:val="18"/>
                <w:szCs w:val="18"/>
              </w:rPr>
              <w:t>46.449.308</w:t>
            </w:r>
          </w:p>
        </w:tc>
        <w:tc>
          <w:tcPr>
            <w:tcW w:w="454" w:type="pct"/>
            <w:tcBorders>
              <w:top w:val="nil"/>
              <w:left w:val="nil"/>
              <w:bottom w:val="nil"/>
              <w:right w:val="nil"/>
            </w:tcBorders>
            <w:shd w:val="clear" w:color="auto" w:fill="auto"/>
            <w:noWrap/>
            <w:vAlign w:val="center"/>
            <w:hideMark/>
          </w:tcPr>
          <w:p w14:paraId="5FB04DBC" w14:textId="77777777" w:rsidR="004F78CE" w:rsidRPr="00770892" w:rsidRDefault="004F78CE" w:rsidP="00D21055">
            <w:pPr>
              <w:jc w:val="center"/>
              <w:rPr>
                <w:rFonts w:cs="Arial"/>
                <w:color w:val="000000"/>
                <w:sz w:val="18"/>
                <w:szCs w:val="18"/>
              </w:rPr>
            </w:pPr>
            <w:r w:rsidRPr="00770892">
              <w:rPr>
                <w:rFonts w:cs="Arial"/>
                <w:color w:val="000000"/>
                <w:sz w:val="18"/>
                <w:szCs w:val="18"/>
              </w:rPr>
              <w:t>100,00</w:t>
            </w:r>
          </w:p>
        </w:tc>
      </w:tr>
      <w:tr w:rsidR="004F78CE" w:rsidRPr="00770892" w14:paraId="58B7552C" w14:textId="77777777" w:rsidTr="009432A1">
        <w:trPr>
          <w:trHeight w:val="397"/>
        </w:trPr>
        <w:tc>
          <w:tcPr>
            <w:tcW w:w="1970" w:type="pct"/>
            <w:tcBorders>
              <w:top w:val="single" w:sz="4" w:space="0" w:color="auto"/>
              <w:left w:val="nil"/>
              <w:bottom w:val="single" w:sz="4" w:space="0" w:color="auto"/>
              <w:right w:val="single" w:sz="4" w:space="0" w:color="auto"/>
            </w:tcBorders>
            <w:shd w:val="clear" w:color="auto" w:fill="auto"/>
            <w:vAlign w:val="center"/>
            <w:hideMark/>
          </w:tcPr>
          <w:p w14:paraId="519ABFEA" w14:textId="77777777" w:rsidR="004F78CE" w:rsidRPr="00770892" w:rsidRDefault="004F78CE" w:rsidP="00D21055">
            <w:pPr>
              <w:jc w:val="center"/>
              <w:rPr>
                <w:rFonts w:cs="Arial"/>
                <w:b/>
                <w:bCs/>
                <w:color w:val="000000"/>
                <w:sz w:val="18"/>
                <w:szCs w:val="18"/>
              </w:rPr>
            </w:pPr>
            <w:r w:rsidRPr="00770892">
              <w:rPr>
                <w:rFonts w:cs="Arial"/>
                <w:b/>
                <w:bCs/>
                <w:color w:val="000000"/>
                <w:sz w:val="18"/>
                <w:szCs w:val="18"/>
              </w:rPr>
              <w:t>Total</w:t>
            </w:r>
          </w:p>
        </w:tc>
        <w:tc>
          <w:tcPr>
            <w:tcW w:w="634" w:type="pct"/>
            <w:tcBorders>
              <w:top w:val="single" w:sz="4" w:space="0" w:color="auto"/>
              <w:left w:val="nil"/>
              <w:bottom w:val="single" w:sz="4" w:space="0" w:color="auto"/>
              <w:right w:val="single" w:sz="4" w:space="0" w:color="auto"/>
            </w:tcBorders>
            <w:shd w:val="clear" w:color="auto" w:fill="auto"/>
            <w:noWrap/>
            <w:vAlign w:val="center"/>
            <w:hideMark/>
          </w:tcPr>
          <w:p w14:paraId="38C156D7" w14:textId="77777777" w:rsidR="004F78CE" w:rsidRPr="00770892" w:rsidRDefault="004F78CE" w:rsidP="00D21055">
            <w:pPr>
              <w:jc w:val="right"/>
              <w:rPr>
                <w:rFonts w:cs="Arial"/>
                <w:b/>
                <w:bCs/>
                <w:color w:val="000000"/>
                <w:sz w:val="18"/>
                <w:szCs w:val="18"/>
              </w:rPr>
            </w:pPr>
            <w:r w:rsidRPr="00770892">
              <w:rPr>
                <w:rFonts w:cs="Arial"/>
                <w:b/>
                <w:bCs/>
                <w:color w:val="000000"/>
                <w:sz w:val="18"/>
                <w:szCs w:val="18"/>
              </w:rPr>
              <w:t>115.780.638</w:t>
            </w:r>
          </w:p>
        </w:tc>
        <w:tc>
          <w:tcPr>
            <w:tcW w:w="427" w:type="pct"/>
            <w:tcBorders>
              <w:top w:val="single" w:sz="4" w:space="0" w:color="auto"/>
              <w:left w:val="nil"/>
              <w:bottom w:val="single" w:sz="4" w:space="0" w:color="auto"/>
              <w:right w:val="single" w:sz="4" w:space="0" w:color="auto"/>
            </w:tcBorders>
            <w:shd w:val="clear" w:color="auto" w:fill="auto"/>
            <w:noWrap/>
            <w:vAlign w:val="center"/>
            <w:hideMark/>
          </w:tcPr>
          <w:p w14:paraId="6C2D3FFB" w14:textId="77777777" w:rsidR="004F78CE" w:rsidRPr="00770892" w:rsidRDefault="004F78CE" w:rsidP="00D21055">
            <w:pPr>
              <w:jc w:val="center"/>
              <w:rPr>
                <w:rFonts w:cs="Arial"/>
                <w:b/>
                <w:bCs/>
                <w:color w:val="000000"/>
                <w:sz w:val="18"/>
                <w:szCs w:val="18"/>
              </w:rPr>
            </w:pPr>
            <w:r w:rsidRPr="00770892">
              <w:rPr>
                <w:rFonts w:cs="Arial"/>
                <w:b/>
                <w:bCs/>
                <w:color w:val="000000"/>
                <w:sz w:val="18"/>
                <w:szCs w:val="18"/>
              </w:rPr>
              <w:t>100,00</w:t>
            </w:r>
          </w:p>
        </w:tc>
        <w:tc>
          <w:tcPr>
            <w:tcW w:w="502" w:type="pct"/>
            <w:tcBorders>
              <w:top w:val="single" w:sz="4" w:space="0" w:color="auto"/>
              <w:left w:val="nil"/>
              <w:bottom w:val="single" w:sz="4" w:space="0" w:color="auto"/>
              <w:right w:val="single" w:sz="4" w:space="0" w:color="auto"/>
            </w:tcBorders>
            <w:shd w:val="clear" w:color="auto" w:fill="auto"/>
            <w:noWrap/>
            <w:vAlign w:val="center"/>
            <w:hideMark/>
          </w:tcPr>
          <w:p w14:paraId="1EFC8422" w14:textId="77777777" w:rsidR="004F78CE" w:rsidRPr="00770892" w:rsidRDefault="004F78CE" w:rsidP="00D21055">
            <w:pPr>
              <w:jc w:val="right"/>
              <w:rPr>
                <w:rFonts w:cs="Arial"/>
                <w:b/>
                <w:bCs/>
                <w:color w:val="000000"/>
                <w:sz w:val="18"/>
                <w:szCs w:val="18"/>
              </w:rPr>
            </w:pPr>
            <w:r w:rsidRPr="00770892">
              <w:rPr>
                <w:rFonts w:cs="Arial"/>
                <w:b/>
                <w:bCs/>
                <w:color w:val="000000"/>
                <w:sz w:val="18"/>
                <w:szCs w:val="18"/>
              </w:rPr>
              <w:t>433.284</w:t>
            </w:r>
          </w:p>
        </w:tc>
        <w:tc>
          <w:tcPr>
            <w:tcW w:w="407" w:type="pct"/>
            <w:tcBorders>
              <w:top w:val="single" w:sz="4" w:space="0" w:color="auto"/>
              <w:left w:val="nil"/>
              <w:bottom w:val="single" w:sz="4" w:space="0" w:color="auto"/>
              <w:right w:val="single" w:sz="4" w:space="0" w:color="auto"/>
            </w:tcBorders>
            <w:shd w:val="clear" w:color="auto" w:fill="auto"/>
            <w:noWrap/>
            <w:vAlign w:val="center"/>
            <w:hideMark/>
          </w:tcPr>
          <w:p w14:paraId="5865E13F" w14:textId="77777777" w:rsidR="004F78CE" w:rsidRPr="00770892" w:rsidRDefault="004F78CE" w:rsidP="00D21055">
            <w:pPr>
              <w:jc w:val="center"/>
              <w:rPr>
                <w:rFonts w:cs="Arial"/>
                <w:b/>
                <w:bCs/>
                <w:color w:val="000000"/>
                <w:sz w:val="18"/>
                <w:szCs w:val="18"/>
              </w:rPr>
            </w:pPr>
            <w:r w:rsidRPr="00770892">
              <w:rPr>
                <w:rFonts w:cs="Arial"/>
                <w:b/>
                <w:bCs/>
                <w:color w:val="000000"/>
                <w:sz w:val="18"/>
                <w:szCs w:val="18"/>
              </w:rPr>
              <w:t>100,00</w:t>
            </w:r>
          </w:p>
        </w:tc>
        <w:tc>
          <w:tcPr>
            <w:tcW w:w="606" w:type="pct"/>
            <w:tcBorders>
              <w:top w:val="single" w:sz="4" w:space="0" w:color="auto"/>
              <w:left w:val="nil"/>
              <w:bottom w:val="single" w:sz="4" w:space="0" w:color="auto"/>
              <w:right w:val="single" w:sz="4" w:space="0" w:color="auto"/>
            </w:tcBorders>
            <w:shd w:val="clear" w:color="auto" w:fill="auto"/>
            <w:noWrap/>
            <w:vAlign w:val="center"/>
            <w:hideMark/>
          </w:tcPr>
          <w:p w14:paraId="577F0002" w14:textId="77777777" w:rsidR="004F78CE" w:rsidRPr="00770892" w:rsidRDefault="004F78CE" w:rsidP="0099185A">
            <w:pPr>
              <w:ind w:left="-67"/>
              <w:jc w:val="right"/>
              <w:rPr>
                <w:rFonts w:cs="Arial"/>
                <w:b/>
                <w:bCs/>
                <w:color w:val="000000"/>
                <w:sz w:val="18"/>
                <w:szCs w:val="18"/>
              </w:rPr>
            </w:pPr>
            <w:r w:rsidRPr="00770892">
              <w:rPr>
                <w:rFonts w:cs="Arial"/>
                <w:b/>
                <w:bCs/>
                <w:color w:val="000000"/>
                <w:sz w:val="18"/>
                <w:szCs w:val="18"/>
              </w:rPr>
              <w:t>115.347.354</w:t>
            </w:r>
          </w:p>
        </w:tc>
        <w:tc>
          <w:tcPr>
            <w:tcW w:w="454" w:type="pct"/>
            <w:tcBorders>
              <w:top w:val="single" w:sz="4" w:space="0" w:color="auto"/>
              <w:left w:val="nil"/>
              <w:bottom w:val="single" w:sz="4" w:space="0" w:color="auto"/>
              <w:right w:val="nil"/>
            </w:tcBorders>
            <w:shd w:val="clear" w:color="auto" w:fill="auto"/>
            <w:noWrap/>
            <w:vAlign w:val="center"/>
            <w:hideMark/>
          </w:tcPr>
          <w:p w14:paraId="3E302990" w14:textId="54B98973" w:rsidR="004F78CE" w:rsidRPr="00770892" w:rsidRDefault="00D10B63" w:rsidP="00D10B63">
            <w:pPr>
              <w:ind w:hanging="62"/>
              <w:jc w:val="center"/>
              <w:rPr>
                <w:rFonts w:cs="Arial"/>
                <w:b/>
                <w:bCs/>
                <w:color w:val="000000"/>
                <w:sz w:val="18"/>
                <w:szCs w:val="18"/>
              </w:rPr>
            </w:pPr>
            <w:r w:rsidRPr="00D10B63">
              <w:rPr>
                <w:rFonts w:cs="Arial"/>
                <w:b/>
                <w:bCs/>
                <w:color w:val="000000"/>
                <w:sz w:val="18"/>
                <w:szCs w:val="18"/>
              </w:rPr>
              <w:t>26621,63</w:t>
            </w:r>
          </w:p>
        </w:tc>
      </w:tr>
    </w:tbl>
    <w:p w14:paraId="0C4B6D5A" w14:textId="77777777" w:rsidR="004F78CE" w:rsidRDefault="004F78CE" w:rsidP="004F78CE">
      <w:pPr>
        <w:pStyle w:val="1-FONTE8ESQ"/>
      </w:pPr>
      <w:bookmarkStart w:id="482" w:name="_Hlk166773547"/>
      <w:r w:rsidRPr="008C350C">
        <w:t>Fonte: Balanço Patrimonial - Anexo 14</w:t>
      </w:r>
    </w:p>
    <w:bookmarkEnd w:id="482"/>
    <w:p w14:paraId="44AECC8B" w14:textId="77777777" w:rsidR="004F78CE" w:rsidRDefault="004F78CE" w:rsidP="009432A1">
      <w:pPr>
        <w:pStyle w:val="1-REL11"/>
        <w:spacing w:line="324" w:lineRule="auto"/>
        <w:rPr>
          <w:rFonts w:eastAsia="Times New Roman"/>
          <w:iCs/>
        </w:rPr>
      </w:pPr>
      <w:r>
        <w:rPr>
          <w:rFonts w:eastAsia="Times New Roman"/>
          <w:iCs/>
        </w:rPr>
        <w:t xml:space="preserve">No exercício de 2023, </w:t>
      </w:r>
      <w:r w:rsidRPr="00402030">
        <w:rPr>
          <w:rFonts w:eastAsia="Times New Roman"/>
          <w:iCs/>
        </w:rPr>
        <w:t xml:space="preserve">houve um aumento significativo de 91,54% nas Outras Provisões a Longo Prazo, resultando em um acréscimo de R$ </w:t>
      </w:r>
      <w:r>
        <w:rPr>
          <w:rFonts w:eastAsia="Times New Roman"/>
          <w:iCs/>
        </w:rPr>
        <w:t>433</w:t>
      </w:r>
      <w:r w:rsidRPr="00402030">
        <w:rPr>
          <w:rFonts w:eastAsia="Times New Roman"/>
          <w:iCs/>
        </w:rPr>
        <w:t>,</w:t>
      </w:r>
      <w:r>
        <w:rPr>
          <w:rFonts w:eastAsia="Times New Roman"/>
          <w:iCs/>
        </w:rPr>
        <w:t>28</w:t>
      </w:r>
      <w:r w:rsidRPr="00402030">
        <w:rPr>
          <w:rFonts w:eastAsia="Times New Roman"/>
          <w:iCs/>
        </w:rPr>
        <w:t xml:space="preserve"> milhões em relação a 2022, totalizando R$</w:t>
      </w:r>
      <w:r>
        <w:rPr>
          <w:rFonts w:eastAsia="Times New Roman"/>
          <w:iCs/>
        </w:rPr>
        <w:t> </w:t>
      </w:r>
      <w:r w:rsidRPr="00402030">
        <w:rPr>
          <w:rFonts w:eastAsia="Times New Roman"/>
          <w:iCs/>
        </w:rPr>
        <w:t>829,93 milhões. Esse aumento pode ser atribuído a dois fatores principais.</w:t>
      </w:r>
      <w:r>
        <w:rPr>
          <w:rFonts w:eastAsia="Times New Roman"/>
          <w:iCs/>
        </w:rPr>
        <w:t xml:space="preserve"> O primeiro se refere ao provisionamento do Depósito Judicial recebido pelo Estado das ações judiciais que o estado faz parte, no montante de R$ 123,81 milhões. Outro fator foi o reconhecimento da provisão para perdas em investimentos avaliados por equivalência patrimonial nas situações em que o PL das empresas é negativo, conforme recomenda o </w:t>
      </w:r>
      <w:r w:rsidRPr="00F31FEC">
        <w:rPr>
          <w:rFonts w:eastAsia="Times New Roman"/>
          <w:iCs/>
        </w:rPr>
        <w:t>NBC TSP 18</w:t>
      </w:r>
      <w:r>
        <w:rPr>
          <w:rFonts w:eastAsia="Times New Roman"/>
          <w:iCs/>
        </w:rPr>
        <w:t xml:space="preserve"> e MCASP 9ª edição. No caso em comento, os investimentos avaliados por equivalência patrimonial que apresentaram PL negativo no exercício em análise foram os realizados nas empresas Prodago em Liquidação e Iquego, com provisões respectivas de R$ 252,49 milhões e R$ 20,34 milhões.</w:t>
      </w:r>
    </w:p>
    <w:p w14:paraId="00E9C8D7" w14:textId="25E4F797" w:rsidR="004F78CE" w:rsidRDefault="004F78CE" w:rsidP="009432A1">
      <w:pPr>
        <w:pStyle w:val="1-REL11"/>
        <w:spacing w:line="324" w:lineRule="auto"/>
        <w:rPr>
          <w:rFonts w:eastAsia="Times New Roman"/>
          <w:iCs/>
        </w:rPr>
      </w:pPr>
      <w:r>
        <w:rPr>
          <w:rFonts w:eastAsia="Times New Roman"/>
          <w:iCs/>
        </w:rPr>
        <w:t xml:space="preserve">Quanto às provisões registradas nas contas </w:t>
      </w:r>
      <w:bookmarkStart w:id="483" w:name="_Hlk167358936"/>
      <w:r w:rsidRPr="007425CB">
        <w:rPr>
          <w:rFonts w:eastAsia="Times New Roman"/>
          <w:iCs/>
        </w:rPr>
        <w:t xml:space="preserve">Valor Atual da Obrigação com Amortização de Déficit Atuarial - Benefícios Concedidos </w:t>
      </w:r>
      <w:r>
        <w:rPr>
          <w:rFonts w:eastAsia="Times New Roman"/>
          <w:iCs/>
        </w:rPr>
        <w:t xml:space="preserve">e </w:t>
      </w:r>
      <w:r w:rsidRPr="00AD0CB4">
        <w:rPr>
          <w:rFonts w:eastAsia="Times New Roman"/>
          <w:iCs/>
        </w:rPr>
        <w:t>a Conceder</w:t>
      </w:r>
      <w:r>
        <w:rPr>
          <w:rFonts w:eastAsia="Times New Roman"/>
          <w:iCs/>
        </w:rPr>
        <w:t xml:space="preserve">, nota-se que foram incorporadas ao Balanço Patrimonial em 2023 e possuem saldos de R$ 68,50 bilhões e R$ 46,45 bilhões respectivamente, totalizando R$ 114,95 bilhões. Tais registros são oriundos do cálculo da Provisão Matemática Previdenciária conforme IPC nº14 – STN e </w:t>
      </w:r>
      <w:r w:rsidRPr="00405B81">
        <w:rPr>
          <w:rFonts w:eastAsia="Times New Roman"/>
          <w:iCs/>
        </w:rPr>
        <w:t xml:space="preserve">serão tratados </w:t>
      </w:r>
      <w:r>
        <w:rPr>
          <w:rFonts w:eastAsia="Times New Roman"/>
          <w:iCs/>
        </w:rPr>
        <w:t>em</w:t>
      </w:r>
      <w:r w:rsidRPr="00405B81">
        <w:rPr>
          <w:rFonts w:eastAsia="Times New Roman"/>
          <w:iCs/>
        </w:rPr>
        <w:t xml:space="preserve"> tópico específico.</w:t>
      </w:r>
    </w:p>
    <w:p w14:paraId="5BFB238F" w14:textId="77777777" w:rsidR="009432A1" w:rsidRDefault="009432A1" w:rsidP="009432A1">
      <w:pPr>
        <w:pStyle w:val="1-REL11"/>
        <w:spacing w:line="324" w:lineRule="auto"/>
        <w:rPr>
          <w:rFonts w:eastAsia="Times New Roman"/>
          <w:iCs/>
        </w:rPr>
      </w:pPr>
    </w:p>
    <w:p w14:paraId="23CA9981" w14:textId="77777777" w:rsidR="004F78CE" w:rsidRDefault="004F78CE" w:rsidP="00117967">
      <w:pPr>
        <w:pStyle w:val="Ttulo4"/>
      </w:pPr>
      <w:bookmarkStart w:id="484" w:name="_Hlk167359022"/>
      <w:bookmarkEnd w:id="483"/>
      <w:r>
        <w:t>Demais Obrigações de Longo Prazo</w:t>
      </w:r>
    </w:p>
    <w:bookmarkEnd w:id="484"/>
    <w:p w14:paraId="2E6FA296" w14:textId="60591263" w:rsidR="004F78CE" w:rsidRDefault="004F78CE" w:rsidP="009432A1">
      <w:pPr>
        <w:pStyle w:val="1-REL11"/>
        <w:spacing w:line="324" w:lineRule="auto"/>
      </w:pPr>
      <w:r w:rsidRPr="00E833DC">
        <w:t>O subgrupo Demais Obrigações de Longo Prazo compreende as obrigações da entidade junto a</w:t>
      </w:r>
      <w:r>
        <w:t xml:space="preserve"> </w:t>
      </w:r>
      <w:r w:rsidRPr="00E833DC">
        <w:t>terceiros não inclusas nos subgrupos anteriores, inclusive os precatórios decorrentes dessas obrigações, com vencimento no longo prazo. Em 2023, as contas do compuseram este subgrupo foram as seguintes:</w:t>
      </w:r>
    </w:p>
    <w:p w14:paraId="54234E55" w14:textId="77777777" w:rsidR="009432A1" w:rsidRPr="00E833DC" w:rsidRDefault="009432A1" w:rsidP="009432A1">
      <w:pPr>
        <w:pStyle w:val="1-REL11"/>
        <w:spacing w:line="324" w:lineRule="auto"/>
      </w:pPr>
    </w:p>
    <w:p w14:paraId="0BBD26BB" w14:textId="5C87D07D" w:rsidR="004F78CE" w:rsidRDefault="004F78CE" w:rsidP="00ED3571">
      <w:pPr>
        <w:pStyle w:val="0-TABELA"/>
      </w:pPr>
      <w:bookmarkStart w:id="485" w:name="_Toc167871830"/>
      <w:r>
        <w:t>Demais Obrigações de Longo Prazo</w:t>
      </w:r>
      <w:r w:rsidR="00223D1D">
        <w:t xml:space="preserve"> </w:t>
      </w:r>
      <w:r w:rsidR="00223D1D" w:rsidRPr="00D67E49">
        <w:t>– 2023 x 2022</w:t>
      </w:r>
      <w:bookmarkEnd w:id="485"/>
      <w:r>
        <w:t xml:space="preserve"> </w:t>
      </w:r>
    </w:p>
    <w:p w14:paraId="4929F005" w14:textId="77777777" w:rsidR="0099185A" w:rsidRDefault="0099185A" w:rsidP="0099185A">
      <w:pPr>
        <w:pStyle w:val="0-EmR1"/>
      </w:pPr>
      <w:r w:rsidRPr="008E421F">
        <w:t>R$ mil</w:t>
      </w:r>
    </w:p>
    <w:tbl>
      <w:tblPr>
        <w:tblW w:w="5003" w:type="pct"/>
        <w:tblLayout w:type="fixed"/>
        <w:tblCellMar>
          <w:left w:w="70" w:type="dxa"/>
          <w:right w:w="70" w:type="dxa"/>
        </w:tblCellMar>
        <w:tblLook w:val="04A0" w:firstRow="1" w:lastRow="0" w:firstColumn="1" w:lastColumn="0" w:noHBand="0" w:noVBand="1"/>
      </w:tblPr>
      <w:tblGrid>
        <w:gridCol w:w="3676"/>
        <w:gridCol w:w="9"/>
        <w:gridCol w:w="1134"/>
        <w:gridCol w:w="898"/>
        <w:gridCol w:w="939"/>
        <w:gridCol w:w="6"/>
        <w:gridCol w:w="756"/>
        <w:gridCol w:w="1109"/>
        <w:gridCol w:w="24"/>
        <w:gridCol w:w="803"/>
      </w:tblGrid>
      <w:tr w:rsidR="0099185A" w:rsidRPr="000E3F92" w14:paraId="0C358A22" w14:textId="77777777" w:rsidTr="0099185A">
        <w:trPr>
          <w:trHeight w:val="255"/>
          <w:tblHeader/>
        </w:trPr>
        <w:tc>
          <w:tcPr>
            <w:tcW w:w="1970" w:type="pct"/>
            <w:gridSpan w:val="2"/>
            <w:vMerge w:val="restart"/>
            <w:tcBorders>
              <w:top w:val="single" w:sz="4" w:space="0" w:color="auto"/>
              <w:left w:val="nil"/>
              <w:bottom w:val="single" w:sz="4" w:space="0" w:color="auto"/>
              <w:right w:val="single" w:sz="4" w:space="0" w:color="auto"/>
            </w:tcBorders>
            <w:shd w:val="clear" w:color="auto" w:fill="A1F2FD"/>
            <w:vAlign w:val="center"/>
            <w:hideMark/>
          </w:tcPr>
          <w:p w14:paraId="68E9C409" w14:textId="77777777" w:rsidR="0099185A" w:rsidRPr="000E3F92" w:rsidRDefault="0099185A" w:rsidP="0099185A">
            <w:pPr>
              <w:jc w:val="center"/>
              <w:rPr>
                <w:rFonts w:cs="Arial"/>
                <w:b/>
                <w:bCs/>
                <w:color w:val="000000"/>
                <w:sz w:val="18"/>
                <w:szCs w:val="18"/>
              </w:rPr>
            </w:pPr>
            <w:r w:rsidRPr="000E3F92">
              <w:rPr>
                <w:rFonts w:cs="Arial"/>
                <w:b/>
                <w:bCs/>
                <w:color w:val="000000"/>
                <w:sz w:val="18"/>
                <w:szCs w:val="18"/>
              </w:rPr>
              <w:t>Composição</w:t>
            </w:r>
          </w:p>
        </w:tc>
        <w:tc>
          <w:tcPr>
            <w:tcW w:w="606"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6B126D66" w14:textId="77777777" w:rsidR="0099185A" w:rsidRPr="000E3F92" w:rsidRDefault="0099185A" w:rsidP="0099185A">
            <w:pPr>
              <w:jc w:val="center"/>
              <w:rPr>
                <w:rFonts w:cs="Arial"/>
                <w:b/>
                <w:bCs/>
                <w:color w:val="000000"/>
                <w:sz w:val="18"/>
                <w:szCs w:val="18"/>
              </w:rPr>
            </w:pPr>
            <w:r w:rsidRPr="000E3F92">
              <w:rPr>
                <w:rFonts w:cs="Arial"/>
                <w:b/>
                <w:bCs/>
                <w:color w:val="000000"/>
                <w:sz w:val="18"/>
                <w:szCs w:val="18"/>
              </w:rPr>
              <w:t>2023</w:t>
            </w:r>
          </w:p>
        </w:tc>
        <w:tc>
          <w:tcPr>
            <w:tcW w:w="480" w:type="pct"/>
            <w:vMerge w:val="restart"/>
            <w:tcBorders>
              <w:top w:val="single" w:sz="4" w:space="0" w:color="auto"/>
              <w:left w:val="nil"/>
              <w:right w:val="single" w:sz="4" w:space="0" w:color="auto"/>
            </w:tcBorders>
            <w:shd w:val="clear" w:color="auto" w:fill="A1F2FD"/>
            <w:vAlign w:val="center"/>
            <w:hideMark/>
          </w:tcPr>
          <w:p w14:paraId="3CFBE3FB" w14:textId="77777777" w:rsidR="0099185A" w:rsidRPr="000E3F92" w:rsidRDefault="0099185A" w:rsidP="0099185A">
            <w:pPr>
              <w:jc w:val="center"/>
              <w:rPr>
                <w:rFonts w:cs="Arial"/>
                <w:b/>
                <w:bCs/>
                <w:color w:val="000000"/>
                <w:sz w:val="18"/>
                <w:szCs w:val="18"/>
              </w:rPr>
            </w:pPr>
            <w:r w:rsidRPr="000E3F92">
              <w:rPr>
                <w:rFonts w:cs="Arial"/>
                <w:b/>
                <w:bCs/>
                <w:color w:val="000000"/>
                <w:sz w:val="18"/>
                <w:szCs w:val="18"/>
              </w:rPr>
              <w:t xml:space="preserve">AV 2023 </w:t>
            </w:r>
          </w:p>
          <w:p w14:paraId="2665ECD3" w14:textId="77777777" w:rsidR="0099185A" w:rsidRPr="000E3F92" w:rsidRDefault="0099185A" w:rsidP="0099185A">
            <w:pPr>
              <w:jc w:val="center"/>
              <w:rPr>
                <w:rFonts w:cs="Arial"/>
                <w:b/>
                <w:bCs/>
                <w:color w:val="000000"/>
                <w:sz w:val="18"/>
                <w:szCs w:val="18"/>
              </w:rPr>
            </w:pPr>
            <w:r w:rsidRPr="000E3F92">
              <w:rPr>
                <w:rFonts w:cs="Arial"/>
                <w:b/>
                <w:bCs/>
                <w:color w:val="000000"/>
                <w:sz w:val="18"/>
                <w:szCs w:val="18"/>
              </w:rPr>
              <w:t>%</w:t>
            </w:r>
          </w:p>
        </w:tc>
        <w:tc>
          <w:tcPr>
            <w:tcW w:w="502" w:type="pct"/>
            <w:vMerge w:val="restart"/>
            <w:tcBorders>
              <w:top w:val="single" w:sz="4" w:space="0" w:color="auto"/>
              <w:left w:val="single" w:sz="4" w:space="0" w:color="auto"/>
              <w:bottom w:val="single" w:sz="4" w:space="0" w:color="auto"/>
              <w:right w:val="single" w:sz="4" w:space="0" w:color="auto"/>
            </w:tcBorders>
            <w:shd w:val="clear" w:color="auto" w:fill="A1F2FD"/>
            <w:vAlign w:val="center"/>
            <w:hideMark/>
          </w:tcPr>
          <w:p w14:paraId="2F3B2FEC" w14:textId="77777777" w:rsidR="0099185A" w:rsidRPr="000E3F92" w:rsidRDefault="0099185A" w:rsidP="0099185A">
            <w:pPr>
              <w:jc w:val="center"/>
              <w:rPr>
                <w:rFonts w:cs="Arial"/>
                <w:b/>
                <w:bCs/>
                <w:color w:val="000000"/>
                <w:sz w:val="18"/>
                <w:szCs w:val="18"/>
              </w:rPr>
            </w:pPr>
            <w:r w:rsidRPr="000E3F92">
              <w:rPr>
                <w:rFonts w:cs="Arial"/>
                <w:b/>
                <w:bCs/>
                <w:color w:val="000000"/>
                <w:sz w:val="18"/>
                <w:szCs w:val="18"/>
              </w:rPr>
              <w:t>2022</w:t>
            </w:r>
          </w:p>
        </w:tc>
        <w:tc>
          <w:tcPr>
            <w:tcW w:w="407" w:type="pct"/>
            <w:gridSpan w:val="2"/>
            <w:vMerge w:val="restart"/>
            <w:tcBorders>
              <w:top w:val="single" w:sz="4" w:space="0" w:color="auto"/>
              <w:left w:val="nil"/>
              <w:right w:val="single" w:sz="4" w:space="0" w:color="auto"/>
            </w:tcBorders>
            <w:shd w:val="clear" w:color="auto" w:fill="A1F2FD"/>
            <w:vAlign w:val="center"/>
            <w:hideMark/>
          </w:tcPr>
          <w:p w14:paraId="0CAA3F56" w14:textId="77777777" w:rsidR="0099185A" w:rsidRPr="000E3F92" w:rsidRDefault="0099185A" w:rsidP="0099185A">
            <w:pPr>
              <w:jc w:val="center"/>
              <w:rPr>
                <w:rFonts w:cs="Arial"/>
                <w:b/>
                <w:bCs/>
                <w:color w:val="000000"/>
                <w:sz w:val="18"/>
                <w:szCs w:val="18"/>
              </w:rPr>
            </w:pPr>
            <w:r w:rsidRPr="000E3F92">
              <w:rPr>
                <w:rFonts w:cs="Arial"/>
                <w:b/>
                <w:bCs/>
                <w:color w:val="000000"/>
                <w:sz w:val="18"/>
                <w:szCs w:val="18"/>
              </w:rPr>
              <w:t xml:space="preserve">AV 2022 </w:t>
            </w:r>
          </w:p>
          <w:p w14:paraId="7A4C8E78" w14:textId="77777777" w:rsidR="0099185A" w:rsidRPr="000E3F92" w:rsidRDefault="0099185A" w:rsidP="0099185A">
            <w:pPr>
              <w:jc w:val="center"/>
              <w:rPr>
                <w:rFonts w:cs="Arial"/>
                <w:b/>
                <w:bCs/>
                <w:color w:val="000000"/>
                <w:sz w:val="18"/>
                <w:szCs w:val="18"/>
              </w:rPr>
            </w:pPr>
            <w:r w:rsidRPr="000E3F92">
              <w:rPr>
                <w:rFonts w:cs="Arial"/>
                <w:b/>
                <w:bCs/>
                <w:color w:val="000000"/>
                <w:sz w:val="18"/>
                <w:szCs w:val="18"/>
              </w:rPr>
              <w:t>%</w:t>
            </w:r>
          </w:p>
        </w:tc>
        <w:tc>
          <w:tcPr>
            <w:tcW w:w="1035" w:type="pct"/>
            <w:gridSpan w:val="3"/>
            <w:tcBorders>
              <w:top w:val="single" w:sz="4" w:space="0" w:color="auto"/>
              <w:left w:val="nil"/>
              <w:bottom w:val="single" w:sz="4" w:space="0" w:color="auto"/>
              <w:right w:val="single" w:sz="4" w:space="0" w:color="auto"/>
            </w:tcBorders>
            <w:shd w:val="clear" w:color="auto" w:fill="A1F2FD"/>
            <w:vAlign w:val="center"/>
            <w:hideMark/>
          </w:tcPr>
          <w:p w14:paraId="660295B1" w14:textId="77777777" w:rsidR="0099185A" w:rsidRPr="000E3F92" w:rsidRDefault="0099185A" w:rsidP="0099185A">
            <w:pPr>
              <w:jc w:val="center"/>
              <w:rPr>
                <w:rFonts w:cs="Arial"/>
                <w:b/>
                <w:bCs/>
                <w:color w:val="000000"/>
                <w:sz w:val="18"/>
                <w:szCs w:val="18"/>
              </w:rPr>
            </w:pPr>
            <w:r w:rsidRPr="000E3F92">
              <w:rPr>
                <w:rFonts w:cs="Arial"/>
                <w:b/>
                <w:bCs/>
                <w:color w:val="000000"/>
                <w:sz w:val="18"/>
                <w:szCs w:val="18"/>
              </w:rPr>
              <w:t>∆ 2023 x 2022</w:t>
            </w:r>
          </w:p>
        </w:tc>
      </w:tr>
      <w:tr w:rsidR="0099185A" w:rsidRPr="000E3F92" w14:paraId="361D56B6" w14:textId="77777777" w:rsidTr="0099185A">
        <w:trPr>
          <w:trHeight w:val="255"/>
          <w:tblHeader/>
        </w:trPr>
        <w:tc>
          <w:tcPr>
            <w:tcW w:w="1970" w:type="pct"/>
            <w:gridSpan w:val="2"/>
            <w:vMerge/>
            <w:tcBorders>
              <w:top w:val="single" w:sz="4" w:space="0" w:color="auto"/>
              <w:left w:val="nil"/>
              <w:bottom w:val="single" w:sz="4" w:space="0" w:color="auto"/>
              <w:right w:val="single" w:sz="4" w:space="0" w:color="auto"/>
            </w:tcBorders>
            <w:shd w:val="clear" w:color="auto" w:fill="A1F2FD"/>
            <w:vAlign w:val="center"/>
          </w:tcPr>
          <w:p w14:paraId="7D01043A" w14:textId="77777777" w:rsidR="0099185A" w:rsidRPr="000E3F92" w:rsidRDefault="0099185A" w:rsidP="0099185A">
            <w:pPr>
              <w:jc w:val="left"/>
              <w:rPr>
                <w:rFonts w:cs="Arial"/>
                <w:b/>
                <w:bCs/>
                <w:color w:val="000000"/>
                <w:sz w:val="18"/>
                <w:szCs w:val="18"/>
              </w:rPr>
            </w:pPr>
          </w:p>
        </w:tc>
        <w:tc>
          <w:tcPr>
            <w:tcW w:w="606" w:type="pct"/>
            <w:vMerge/>
            <w:tcBorders>
              <w:top w:val="single" w:sz="4" w:space="0" w:color="auto"/>
              <w:left w:val="single" w:sz="4" w:space="0" w:color="auto"/>
              <w:right w:val="single" w:sz="4" w:space="0" w:color="auto"/>
            </w:tcBorders>
            <w:shd w:val="clear" w:color="auto" w:fill="A1F2FD"/>
            <w:vAlign w:val="center"/>
          </w:tcPr>
          <w:p w14:paraId="2B0C2905" w14:textId="77777777" w:rsidR="0099185A" w:rsidRPr="000E3F92" w:rsidRDefault="0099185A" w:rsidP="0099185A">
            <w:pPr>
              <w:jc w:val="left"/>
              <w:rPr>
                <w:rFonts w:cs="Arial"/>
                <w:b/>
                <w:bCs/>
                <w:color w:val="000000"/>
                <w:sz w:val="18"/>
                <w:szCs w:val="18"/>
              </w:rPr>
            </w:pPr>
          </w:p>
        </w:tc>
        <w:tc>
          <w:tcPr>
            <w:tcW w:w="480" w:type="pct"/>
            <w:vMerge/>
            <w:tcBorders>
              <w:left w:val="nil"/>
              <w:right w:val="single" w:sz="4" w:space="0" w:color="auto"/>
            </w:tcBorders>
            <w:shd w:val="clear" w:color="auto" w:fill="A1F2FD"/>
            <w:vAlign w:val="center"/>
          </w:tcPr>
          <w:p w14:paraId="0C8E79B7" w14:textId="77777777" w:rsidR="0099185A" w:rsidRPr="000E3F92" w:rsidRDefault="0099185A" w:rsidP="0099185A">
            <w:pPr>
              <w:jc w:val="center"/>
              <w:rPr>
                <w:rFonts w:cs="Arial"/>
                <w:b/>
                <w:bCs/>
                <w:color w:val="000000"/>
                <w:sz w:val="18"/>
                <w:szCs w:val="18"/>
              </w:rPr>
            </w:pPr>
          </w:p>
        </w:tc>
        <w:tc>
          <w:tcPr>
            <w:tcW w:w="502" w:type="pct"/>
            <w:vMerge/>
            <w:tcBorders>
              <w:top w:val="single" w:sz="4" w:space="0" w:color="auto"/>
              <w:left w:val="single" w:sz="4" w:space="0" w:color="auto"/>
              <w:right w:val="single" w:sz="4" w:space="0" w:color="auto"/>
            </w:tcBorders>
            <w:shd w:val="clear" w:color="auto" w:fill="A1F2FD"/>
            <w:vAlign w:val="center"/>
          </w:tcPr>
          <w:p w14:paraId="50E00D3D" w14:textId="77777777" w:rsidR="0099185A" w:rsidRPr="000E3F92" w:rsidRDefault="0099185A" w:rsidP="0099185A">
            <w:pPr>
              <w:jc w:val="left"/>
              <w:rPr>
                <w:rFonts w:cs="Arial"/>
                <w:b/>
                <w:bCs/>
                <w:color w:val="000000"/>
                <w:sz w:val="18"/>
                <w:szCs w:val="18"/>
              </w:rPr>
            </w:pPr>
          </w:p>
        </w:tc>
        <w:tc>
          <w:tcPr>
            <w:tcW w:w="407" w:type="pct"/>
            <w:gridSpan w:val="2"/>
            <w:vMerge/>
            <w:tcBorders>
              <w:left w:val="nil"/>
              <w:right w:val="single" w:sz="4" w:space="0" w:color="auto"/>
            </w:tcBorders>
            <w:shd w:val="clear" w:color="auto" w:fill="A1F2FD"/>
            <w:vAlign w:val="center"/>
          </w:tcPr>
          <w:p w14:paraId="3E68B9FF" w14:textId="77777777" w:rsidR="0099185A" w:rsidRPr="000E3F92" w:rsidRDefault="0099185A" w:rsidP="0099185A">
            <w:pPr>
              <w:jc w:val="center"/>
              <w:rPr>
                <w:rFonts w:cs="Arial"/>
                <w:b/>
                <w:bCs/>
                <w:color w:val="000000"/>
                <w:sz w:val="18"/>
                <w:szCs w:val="18"/>
              </w:rPr>
            </w:pPr>
          </w:p>
        </w:tc>
        <w:tc>
          <w:tcPr>
            <w:tcW w:w="606" w:type="pct"/>
            <w:gridSpan w:val="2"/>
            <w:tcBorders>
              <w:top w:val="nil"/>
              <w:left w:val="nil"/>
              <w:right w:val="single" w:sz="4" w:space="0" w:color="auto"/>
            </w:tcBorders>
            <w:shd w:val="clear" w:color="auto" w:fill="A1F2FD"/>
            <w:vAlign w:val="center"/>
          </w:tcPr>
          <w:p w14:paraId="52B4477F" w14:textId="77777777" w:rsidR="0099185A" w:rsidRPr="000E3F92" w:rsidRDefault="0099185A" w:rsidP="0099185A">
            <w:pPr>
              <w:jc w:val="center"/>
              <w:rPr>
                <w:rFonts w:cs="Arial"/>
                <w:b/>
                <w:bCs/>
                <w:color w:val="000000"/>
                <w:sz w:val="18"/>
                <w:szCs w:val="18"/>
              </w:rPr>
            </w:pPr>
            <w:r w:rsidRPr="000E3F92">
              <w:rPr>
                <w:rFonts w:cs="Arial"/>
                <w:b/>
                <w:bCs/>
                <w:color w:val="000000"/>
                <w:sz w:val="18"/>
                <w:szCs w:val="18"/>
              </w:rPr>
              <w:t>R$</w:t>
            </w:r>
          </w:p>
        </w:tc>
        <w:tc>
          <w:tcPr>
            <w:tcW w:w="429" w:type="pct"/>
            <w:tcBorders>
              <w:top w:val="nil"/>
              <w:left w:val="nil"/>
              <w:right w:val="nil"/>
            </w:tcBorders>
            <w:shd w:val="clear" w:color="auto" w:fill="A1F2FD"/>
            <w:vAlign w:val="center"/>
          </w:tcPr>
          <w:p w14:paraId="6927C780" w14:textId="77777777" w:rsidR="0099185A" w:rsidRPr="000E3F92" w:rsidRDefault="0099185A" w:rsidP="0099185A">
            <w:pPr>
              <w:jc w:val="center"/>
              <w:rPr>
                <w:rFonts w:cs="Arial"/>
                <w:b/>
                <w:bCs/>
                <w:color w:val="000000"/>
                <w:sz w:val="18"/>
                <w:szCs w:val="18"/>
              </w:rPr>
            </w:pPr>
            <w:r w:rsidRPr="000E3F92">
              <w:rPr>
                <w:rFonts w:cs="Arial"/>
                <w:b/>
                <w:bCs/>
                <w:color w:val="000000"/>
                <w:sz w:val="18"/>
                <w:szCs w:val="18"/>
              </w:rPr>
              <w:t>%</w:t>
            </w:r>
          </w:p>
        </w:tc>
      </w:tr>
      <w:tr w:rsidR="0099185A" w:rsidRPr="000E3F92" w14:paraId="7F66BAC7" w14:textId="77777777" w:rsidTr="0099185A">
        <w:trPr>
          <w:trHeight w:val="255"/>
          <w:tblHeader/>
        </w:trPr>
        <w:tc>
          <w:tcPr>
            <w:tcW w:w="1970" w:type="pct"/>
            <w:gridSpan w:val="2"/>
            <w:vMerge/>
            <w:tcBorders>
              <w:top w:val="single" w:sz="4" w:space="0" w:color="auto"/>
              <w:left w:val="nil"/>
              <w:bottom w:val="single" w:sz="4" w:space="0" w:color="auto"/>
              <w:right w:val="single" w:sz="4" w:space="0" w:color="auto"/>
            </w:tcBorders>
            <w:shd w:val="clear" w:color="auto" w:fill="A1F2FD"/>
            <w:vAlign w:val="center"/>
            <w:hideMark/>
          </w:tcPr>
          <w:p w14:paraId="1E945C76" w14:textId="77777777" w:rsidR="0099185A" w:rsidRPr="000E3F92" w:rsidRDefault="0099185A" w:rsidP="0099185A">
            <w:pPr>
              <w:jc w:val="left"/>
              <w:rPr>
                <w:rFonts w:cs="Arial"/>
                <w:b/>
                <w:bCs/>
                <w:color w:val="000000"/>
                <w:sz w:val="18"/>
                <w:szCs w:val="18"/>
              </w:rPr>
            </w:pPr>
          </w:p>
        </w:tc>
        <w:tc>
          <w:tcPr>
            <w:tcW w:w="606" w:type="pct"/>
            <w:tcBorders>
              <w:left w:val="single" w:sz="4" w:space="0" w:color="auto"/>
              <w:bottom w:val="single" w:sz="4" w:space="0" w:color="auto"/>
              <w:right w:val="single" w:sz="4" w:space="0" w:color="auto"/>
            </w:tcBorders>
            <w:shd w:val="clear" w:color="auto" w:fill="A1F2FD"/>
            <w:vAlign w:val="center"/>
            <w:hideMark/>
          </w:tcPr>
          <w:p w14:paraId="3CABD443" w14:textId="77777777" w:rsidR="0099185A" w:rsidRPr="000E3F92" w:rsidRDefault="0099185A" w:rsidP="0099185A">
            <w:pPr>
              <w:jc w:val="center"/>
              <w:rPr>
                <w:rFonts w:cs="Arial"/>
                <w:b/>
                <w:bCs/>
                <w:color w:val="000000"/>
                <w:sz w:val="18"/>
                <w:szCs w:val="18"/>
              </w:rPr>
            </w:pPr>
            <w:r w:rsidRPr="000E3F92">
              <w:rPr>
                <w:rFonts w:cs="Arial"/>
                <w:b/>
                <w:bCs/>
                <w:color w:val="000000"/>
                <w:sz w:val="18"/>
                <w:szCs w:val="18"/>
              </w:rPr>
              <w:t>(a)</w:t>
            </w:r>
          </w:p>
        </w:tc>
        <w:tc>
          <w:tcPr>
            <w:tcW w:w="480" w:type="pct"/>
            <w:tcBorders>
              <w:left w:val="nil"/>
              <w:bottom w:val="single" w:sz="4" w:space="0" w:color="auto"/>
              <w:right w:val="single" w:sz="4" w:space="0" w:color="auto"/>
            </w:tcBorders>
            <w:shd w:val="clear" w:color="auto" w:fill="A1F2FD"/>
            <w:vAlign w:val="center"/>
            <w:hideMark/>
          </w:tcPr>
          <w:p w14:paraId="26FAED6D" w14:textId="77777777" w:rsidR="0099185A" w:rsidRPr="000E3F92" w:rsidRDefault="0099185A" w:rsidP="0099185A">
            <w:pPr>
              <w:jc w:val="center"/>
              <w:rPr>
                <w:rFonts w:cs="Arial"/>
                <w:b/>
                <w:bCs/>
                <w:color w:val="000000"/>
                <w:sz w:val="18"/>
                <w:szCs w:val="18"/>
              </w:rPr>
            </w:pPr>
            <w:r w:rsidRPr="000E3F92">
              <w:rPr>
                <w:rFonts w:cs="Arial"/>
                <w:b/>
                <w:bCs/>
                <w:color w:val="000000"/>
                <w:sz w:val="18"/>
                <w:szCs w:val="18"/>
              </w:rPr>
              <w:t>(b)</w:t>
            </w:r>
          </w:p>
        </w:tc>
        <w:tc>
          <w:tcPr>
            <w:tcW w:w="502" w:type="pct"/>
            <w:tcBorders>
              <w:left w:val="single" w:sz="4" w:space="0" w:color="auto"/>
              <w:bottom w:val="single" w:sz="4" w:space="0" w:color="auto"/>
              <w:right w:val="single" w:sz="4" w:space="0" w:color="auto"/>
            </w:tcBorders>
            <w:shd w:val="clear" w:color="auto" w:fill="A1F2FD"/>
            <w:vAlign w:val="center"/>
            <w:hideMark/>
          </w:tcPr>
          <w:p w14:paraId="03733556" w14:textId="77777777" w:rsidR="0099185A" w:rsidRPr="000E3F92" w:rsidRDefault="0099185A" w:rsidP="0099185A">
            <w:pPr>
              <w:jc w:val="center"/>
              <w:rPr>
                <w:rFonts w:cs="Arial"/>
                <w:b/>
                <w:bCs/>
                <w:color w:val="000000"/>
                <w:sz w:val="18"/>
                <w:szCs w:val="18"/>
              </w:rPr>
            </w:pPr>
            <w:r w:rsidRPr="000E3F92">
              <w:rPr>
                <w:rFonts w:cs="Arial"/>
                <w:b/>
                <w:bCs/>
                <w:color w:val="000000"/>
                <w:sz w:val="18"/>
                <w:szCs w:val="18"/>
              </w:rPr>
              <w:t>(c)</w:t>
            </w:r>
          </w:p>
        </w:tc>
        <w:tc>
          <w:tcPr>
            <w:tcW w:w="407" w:type="pct"/>
            <w:gridSpan w:val="2"/>
            <w:tcBorders>
              <w:left w:val="nil"/>
              <w:bottom w:val="single" w:sz="4" w:space="0" w:color="auto"/>
              <w:right w:val="single" w:sz="4" w:space="0" w:color="auto"/>
            </w:tcBorders>
            <w:shd w:val="clear" w:color="auto" w:fill="A1F2FD"/>
            <w:vAlign w:val="center"/>
            <w:hideMark/>
          </w:tcPr>
          <w:p w14:paraId="75D1C356" w14:textId="77777777" w:rsidR="0099185A" w:rsidRPr="000E3F92" w:rsidRDefault="0099185A" w:rsidP="0099185A">
            <w:pPr>
              <w:jc w:val="center"/>
              <w:rPr>
                <w:rFonts w:cs="Arial"/>
                <w:b/>
                <w:bCs/>
                <w:color w:val="000000"/>
                <w:sz w:val="18"/>
                <w:szCs w:val="18"/>
              </w:rPr>
            </w:pPr>
            <w:r w:rsidRPr="000E3F92">
              <w:rPr>
                <w:rFonts w:cs="Arial"/>
                <w:b/>
                <w:bCs/>
                <w:color w:val="000000"/>
                <w:sz w:val="18"/>
                <w:szCs w:val="18"/>
              </w:rPr>
              <w:t>(d)</w:t>
            </w:r>
          </w:p>
        </w:tc>
        <w:tc>
          <w:tcPr>
            <w:tcW w:w="606" w:type="pct"/>
            <w:gridSpan w:val="2"/>
            <w:tcBorders>
              <w:left w:val="nil"/>
              <w:bottom w:val="single" w:sz="4" w:space="0" w:color="auto"/>
              <w:right w:val="single" w:sz="4" w:space="0" w:color="auto"/>
            </w:tcBorders>
            <w:shd w:val="clear" w:color="auto" w:fill="A1F2FD"/>
            <w:vAlign w:val="center"/>
            <w:hideMark/>
          </w:tcPr>
          <w:p w14:paraId="0B3FA2B2" w14:textId="77777777" w:rsidR="0099185A" w:rsidRPr="000E3F92" w:rsidRDefault="0099185A" w:rsidP="0099185A">
            <w:pPr>
              <w:ind w:left="-107" w:right="-117"/>
              <w:jc w:val="center"/>
              <w:rPr>
                <w:rFonts w:cs="Arial"/>
                <w:b/>
                <w:bCs/>
                <w:color w:val="000000"/>
                <w:sz w:val="18"/>
                <w:szCs w:val="18"/>
              </w:rPr>
            </w:pPr>
            <w:r w:rsidRPr="000E3F92">
              <w:rPr>
                <w:rFonts w:cs="Arial"/>
                <w:b/>
                <w:bCs/>
                <w:color w:val="000000"/>
                <w:sz w:val="18"/>
                <w:szCs w:val="18"/>
              </w:rPr>
              <w:t>(e) = (a-b)</w:t>
            </w:r>
          </w:p>
        </w:tc>
        <w:tc>
          <w:tcPr>
            <w:tcW w:w="429" w:type="pct"/>
            <w:tcBorders>
              <w:left w:val="nil"/>
              <w:bottom w:val="single" w:sz="4" w:space="0" w:color="auto"/>
              <w:right w:val="nil"/>
            </w:tcBorders>
            <w:shd w:val="clear" w:color="auto" w:fill="A1F2FD"/>
            <w:vAlign w:val="center"/>
            <w:hideMark/>
          </w:tcPr>
          <w:p w14:paraId="2351423C" w14:textId="77777777" w:rsidR="0099185A" w:rsidRPr="000E3F92" w:rsidRDefault="0099185A" w:rsidP="0099185A">
            <w:pPr>
              <w:ind w:left="-75" w:right="-76"/>
              <w:jc w:val="center"/>
              <w:rPr>
                <w:rFonts w:cs="Arial"/>
                <w:b/>
                <w:bCs/>
                <w:color w:val="000000"/>
                <w:sz w:val="18"/>
                <w:szCs w:val="18"/>
              </w:rPr>
            </w:pPr>
            <w:r w:rsidRPr="000E3F92">
              <w:rPr>
                <w:rFonts w:cs="Arial"/>
                <w:b/>
                <w:bCs/>
                <w:color w:val="000000"/>
                <w:sz w:val="18"/>
                <w:szCs w:val="18"/>
              </w:rPr>
              <w:t>(f) = (e/c)</w:t>
            </w:r>
          </w:p>
        </w:tc>
      </w:tr>
      <w:tr w:rsidR="004F78CE" w:rsidRPr="0099185A" w14:paraId="4D00D2AE" w14:textId="77777777" w:rsidTr="0099185A">
        <w:trPr>
          <w:trHeight w:val="300"/>
        </w:trPr>
        <w:tc>
          <w:tcPr>
            <w:tcW w:w="1965" w:type="pct"/>
            <w:tcBorders>
              <w:top w:val="nil"/>
              <w:left w:val="nil"/>
              <w:bottom w:val="nil"/>
              <w:right w:val="single" w:sz="4" w:space="0" w:color="auto"/>
            </w:tcBorders>
            <w:shd w:val="clear" w:color="auto" w:fill="auto"/>
            <w:noWrap/>
            <w:vAlign w:val="center"/>
            <w:hideMark/>
          </w:tcPr>
          <w:p w14:paraId="4AD4F200" w14:textId="77777777" w:rsidR="004F78CE" w:rsidRPr="0099185A" w:rsidRDefault="004F78CE" w:rsidP="00D21055">
            <w:pPr>
              <w:jc w:val="left"/>
              <w:rPr>
                <w:rFonts w:cs="Arial"/>
                <w:color w:val="000000"/>
                <w:sz w:val="18"/>
                <w:szCs w:val="18"/>
              </w:rPr>
            </w:pPr>
            <w:r w:rsidRPr="0099185A">
              <w:rPr>
                <w:rFonts w:cs="Arial"/>
                <w:color w:val="000000"/>
                <w:sz w:val="18"/>
                <w:szCs w:val="18"/>
              </w:rPr>
              <w:t>Valores Restituíveis</w:t>
            </w:r>
          </w:p>
        </w:tc>
        <w:tc>
          <w:tcPr>
            <w:tcW w:w="611" w:type="pct"/>
            <w:gridSpan w:val="2"/>
            <w:tcBorders>
              <w:top w:val="nil"/>
              <w:left w:val="nil"/>
              <w:bottom w:val="nil"/>
              <w:right w:val="single" w:sz="4" w:space="0" w:color="auto"/>
            </w:tcBorders>
            <w:shd w:val="clear" w:color="auto" w:fill="auto"/>
            <w:noWrap/>
            <w:vAlign w:val="center"/>
            <w:hideMark/>
          </w:tcPr>
          <w:p w14:paraId="6654C124" w14:textId="77777777" w:rsidR="004F78CE" w:rsidRPr="0099185A" w:rsidRDefault="004F78CE" w:rsidP="00D21055">
            <w:pPr>
              <w:jc w:val="right"/>
              <w:rPr>
                <w:rFonts w:cs="Arial"/>
                <w:color w:val="000000"/>
                <w:sz w:val="18"/>
                <w:szCs w:val="18"/>
              </w:rPr>
            </w:pPr>
            <w:r w:rsidRPr="0099185A">
              <w:rPr>
                <w:rFonts w:cs="Arial"/>
                <w:color w:val="000000"/>
                <w:sz w:val="18"/>
                <w:szCs w:val="18"/>
              </w:rPr>
              <w:t>200.665</w:t>
            </w:r>
          </w:p>
        </w:tc>
        <w:tc>
          <w:tcPr>
            <w:tcW w:w="480" w:type="pct"/>
            <w:tcBorders>
              <w:top w:val="nil"/>
              <w:left w:val="nil"/>
              <w:bottom w:val="nil"/>
              <w:right w:val="single" w:sz="4" w:space="0" w:color="auto"/>
            </w:tcBorders>
            <w:shd w:val="clear" w:color="auto" w:fill="auto"/>
            <w:noWrap/>
            <w:vAlign w:val="center"/>
            <w:hideMark/>
          </w:tcPr>
          <w:p w14:paraId="5C82656E" w14:textId="77777777" w:rsidR="004F78CE" w:rsidRPr="0099185A" w:rsidRDefault="004F78CE" w:rsidP="00D21055">
            <w:pPr>
              <w:jc w:val="center"/>
              <w:rPr>
                <w:rFonts w:cs="Arial"/>
                <w:color w:val="000000"/>
                <w:sz w:val="18"/>
                <w:szCs w:val="18"/>
              </w:rPr>
            </w:pPr>
            <w:r w:rsidRPr="0099185A">
              <w:rPr>
                <w:rFonts w:cs="Arial"/>
                <w:color w:val="000000"/>
                <w:sz w:val="18"/>
                <w:szCs w:val="18"/>
              </w:rPr>
              <w:t>7,66</w:t>
            </w:r>
          </w:p>
        </w:tc>
        <w:tc>
          <w:tcPr>
            <w:tcW w:w="505" w:type="pct"/>
            <w:gridSpan w:val="2"/>
            <w:tcBorders>
              <w:top w:val="nil"/>
              <w:left w:val="nil"/>
              <w:bottom w:val="nil"/>
              <w:right w:val="single" w:sz="4" w:space="0" w:color="auto"/>
            </w:tcBorders>
            <w:shd w:val="clear" w:color="auto" w:fill="auto"/>
            <w:noWrap/>
            <w:vAlign w:val="center"/>
            <w:hideMark/>
          </w:tcPr>
          <w:p w14:paraId="117A279F" w14:textId="77777777" w:rsidR="004F78CE" w:rsidRPr="0099185A" w:rsidRDefault="004F78CE" w:rsidP="00D21055">
            <w:pPr>
              <w:jc w:val="right"/>
              <w:rPr>
                <w:rFonts w:cs="Arial"/>
                <w:color w:val="000000"/>
                <w:sz w:val="18"/>
                <w:szCs w:val="18"/>
              </w:rPr>
            </w:pPr>
            <w:r w:rsidRPr="0099185A">
              <w:rPr>
                <w:rFonts w:cs="Arial"/>
                <w:color w:val="000000"/>
                <w:sz w:val="18"/>
                <w:szCs w:val="18"/>
              </w:rPr>
              <w:t>200.665</w:t>
            </w:r>
          </w:p>
        </w:tc>
        <w:tc>
          <w:tcPr>
            <w:tcW w:w="404" w:type="pct"/>
            <w:tcBorders>
              <w:top w:val="nil"/>
              <w:left w:val="nil"/>
              <w:bottom w:val="nil"/>
              <w:right w:val="single" w:sz="4" w:space="0" w:color="auto"/>
            </w:tcBorders>
            <w:shd w:val="clear" w:color="auto" w:fill="auto"/>
            <w:noWrap/>
            <w:vAlign w:val="center"/>
            <w:hideMark/>
          </w:tcPr>
          <w:p w14:paraId="164EBF81" w14:textId="77777777" w:rsidR="004F78CE" w:rsidRPr="0099185A" w:rsidRDefault="004F78CE" w:rsidP="00D21055">
            <w:pPr>
              <w:jc w:val="center"/>
              <w:rPr>
                <w:rFonts w:cs="Arial"/>
                <w:color w:val="000000"/>
                <w:sz w:val="18"/>
                <w:szCs w:val="18"/>
              </w:rPr>
            </w:pPr>
            <w:r w:rsidRPr="0099185A">
              <w:rPr>
                <w:rFonts w:cs="Arial"/>
                <w:color w:val="000000"/>
                <w:sz w:val="18"/>
                <w:szCs w:val="18"/>
              </w:rPr>
              <w:t>100,00</w:t>
            </w:r>
          </w:p>
        </w:tc>
        <w:tc>
          <w:tcPr>
            <w:tcW w:w="593" w:type="pct"/>
            <w:tcBorders>
              <w:top w:val="nil"/>
              <w:left w:val="nil"/>
              <w:bottom w:val="nil"/>
              <w:right w:val="single" w:sz="4" w:space="0" w:color="auto"/>
            </w:tcBorders>
            <w:shd w:val="clear" w:color="auto" w:fill="auto"/>
            <w:noWrap/>
            <w:vAlign w:val="center"/>
            <w:hideMark/>
          </w:tcPr>
          <w:p w14:paraId="661568F0" w14:textId="77777777" w:rsidR="004F78CE" w:rsidRPr="0099185A" w:rsidRDefault="004F78CE" w:rsidP="00D21055">
            <w:pPr>
              <w:jc w:val="right"/>
              <w:rPr>
                <w:rFonts w:cs="Arial"/>
                <w:color w:val="000000"/>
                <w:sz w:val="18"/>
                <w:szCs w:val="18"/>
              </w:rPr>
            </w:pPr>
            <w:r w:rsidRPr="0099185A">
              <w:rPr>
                <w:rFonts w:cs="Arial"/>
                <w:color w:val="000000"/>
                <w:sz w:val="18"/>
                <w:szCs w:val="18"/>
              </w:rPr>
              <w:t>-</w:t>
            </w:r>
          </w:p>
        </w:tc>
        <w:tc>
          <w:tcPr>
            <w:tcW w:w="442" w:type="pct"/>
            <w:gridSpan w:val="2"/>
            <w:tcBorders>
              <w:top w:val="nil"/>
              <w:left w:val="nil"/>
              <w:bottom w:val="nil"/>
              <w:right w:val="nil"/>
            </w:tcBorders>
            <w:shd w:val="clear" w:color="auto" w:fill="auto"/>
            <w:noWrap/>
            <w:vAlign w:val="center"/>
            <w:hideMark/>
          </w:tcPr>
          <w:p w14:paraId="5E67BE6A" w14:textId="77777777" w:rsidR="004F78CE" w:rsidRPr="0099185A" w:rsidRDefault="004F78CE" w:rsidP="00D21055">
            <w:pPr>
              <w:jc w:val="center"/>
              <w:rPr>
                <w:rFonts w:cs="Arial"/>
                <w:color w:val="000000"/>
                <w:sz w:val="18"/>
                <w:szCs w:val="18"/>
              </w:rPr>
            </w:pPr>
            <w:r w:rsidRPr="0099185A">
              <w:rPr>
                <w:rFonts w:cs="Arial"/>
                <w:color w:val="000000"/>
                <w:sz w:val="18"/>
                <w:szCs w:val="18"/>
              </w:rPr>
              <w:t>-</w:t>
            </w:r>
          </w:p>
        </w:tc>
      </w:tr>
      <w:tr w:rsidR="004F78CE" w:rsidRPr="0099185A" w14:paraId="0A8773AE" w14:textId="77777777" w:rsidTr="0099185A">
        <w:trPr>
          <w:trHeight w:val="300"/>
        </w:trPr>
        <w:tc>
          <w:tcPr>
            <w:tcW w:w="1965" w:type="pct"/>
            <w:tcBorders>
              <w:top w:val="nil"/>
              <w:left w:val="nil"/>
              <w:bottom w:val="nil"/>
              <w:right w:val="single" w:sz="4" w:space="0" w:color="auto"/>
            </w:tcBorders>
            <w:shd w:val="clear" w:color="auto" w:fill="auto"/>
            <w:vAlign w:val="center"/>
            <w:hideMark/>
          </w:tcPr>
          <w:p w14:paraId="339F45D0" w14:textId="77777777" w:rsidR="004F78CE" w:rsidRPr="0099185A" w:rsidRDefault="004F78CE" w:rsidP="00D21055">
            <w:pPr>
              <w:jc w:val="left"/>
              <w:rPr>
                <w:rFonts w:cs="Arial"/>
                <w:color w:val="000000"/>
                <w:sz w:val="18"/>
                <w:szCs w:val="18"/>
              </w:rPr>
            </w:pPr>
            <w:r w:rsidRPr="0099185A">
              <w:rPr>
                <w:rFonts w:cs="Arial"/>
                <w:color w:val="000000"/>
                <w:sz w:val="18"/>
                <w:szCs w:val="18"/>
              </w:rPr>
              <w:t>Outras Obrigações a Longo Prazo</w:t>
            </w:r>
          </w:p>
        </w:tc>
        <w:tc>
          <w:tcPr>
            <w:tcW w:w="611" w:type="pct"/>
            <w:gridSpan w:val="2"/>
            <w:tcBorders>
              <w:top w:val="nil"/>
              <w:left w:val="nil"/>
              <w:bottom w:val="nil"/>
              <w:right w:val="single" w:sz="4" w:space="0" w:color="auto"/>
            </w:tcBorders>
            <w:shd w:val="clear" w:color="auto" w:fill="auto"/>
            <w:noWrap/>
            <w:vAlign w:val="center"/>
            <w:hideMark/>
          </w:tcPr>
          <w:p w14:paraId="004605EC" w14:textId="77777777" w:rsidR="004F78CE" w:rsidRPr="0099185A" w:rsidRDefault="004F78CE" w:rsidP="00D21055">
            <w:pPr>
              <w:jc w:val="right"/>
              <w:rPr>
                <w:rFonts w:cs="Arial"/>
                <w:color w:val="000000"/>
                <w:sz w:val="18"/>
                <w:szCs w:val="18"/>
              </w:rPr>
            </w:pPr>
            <w:r w:rsidRPr="0099185A">
              <w:rPr>
                <w:rFonts w:cs="Arial"/>
                <w:color w:val="000000"/>
                <w:sz w:val="18"/>
                <w:szCs w:val="18"/>
              </w:rPr>
              <w:t>2.419.560</w:t>
            </w:r>
          </w:p>
        </w:tc>
        <w:tc>
          <w:tcPr>
            <w:tcW w:w="480" w:type="pct"/>
            <w:tcBorders>
              <w:top w:val="nil"/>
              <w:left w:val="nil"/>
              <w:bottom w:val="nil"/>
              <w:right w:val="single" w:sz="4" w:space="0" w:color="auto"/>
            </w:tcBorders>
            <w:shd w:val="clear" w:color="auto" w:fill="auto"/>
            <w:noWrap/>
            <w:vAlign w:val="center"/>
            <w:hideMark/>
          </w:tcPr>
          <w:p w14:paraId="195DDB8B" w14:textId="77777777" w:rsidR="004F78CE" w:rsidRPr="0099185A" w:rsidRDefault="004F78CE" w:rsidP="00D21055">
            <w:pPr>
              <w:jc w:val="center"/>
              <w:rPr>
                <w:rFonts w:cs="Arial"/>
                <w:color w:val="000000"/>
                <w:sz w:val="18"/>
                <w:szCs w:val="18"/>
              </w:rPr>
            </w:pPr>
            <w:r w:rsidRPr="0099185A">
              <w:rPr>
                <w:rFonts w:cs="Arial"/>
                <w:color w:val="000000"/>
                <w:sz w:val="18"/>
                <w:szCs w:val="18"/>
              </w:rPr>
              <w:t>92,34</w:t>
            </w:r>
          </w:p>
        </w:tc>
        <w:tc>
          <w:tcPr>
            <w:tcW w:w="505" w:type="pct"/>
            <w:gridSpan w:val="2"/>
            <w:tcBorders>
              <w:top w:val="nil"/>
              <w:left w:val="nil"/>
              <w:bottom w:val="nil"/>
              <w:right w:val="single" w:sz="4" w:space="0" w:color="auto"/>
            </w:tcBorders>
            <w:shd w:val="clear" w:color="auto" w:fill="auto"/>
            <w:noWrap/>
            <w:vAlign w:val="center"/>
            <w:hideMark/>
          </w:tcPr>
          <w:p w14:paraId="40BC2ECD" w14:textId="77777777" w:rsidR="004F78CE" w:rsidRPr="0099185A" w:rsidRDefault="004F78CE" w:rsidP="00D21055">
            <w:pPr>
              <w:jc w:val="right"/>
              <w:rPr>
                <w:rFonts w:cs="Arial"/>
                <w:color w:val="000000"/>
                <w:sz w:val="18"/>
                <w:szCs w:val="18"/>
              </w:rPr>
            </w:pPr>
            <w:r w:rsidRPr="0099185A">
              <w:rPr>
                <w:rFonts w:cs="Arial"/>
                <w:color w:val="000000"/>
                <w:sz w:val="18"/>
                <w:szCs w:val="18"/>
              </w:rPr>
              <w:t>-</w:t>
            </w:r>
          </w:p>
        </w:tc>
        <w:tc>
          <w:tcPr>
            <w:tcW w:w="404" w:type="pct"/>
            <w:tcBorders>
              <w:top w:val="nil"/>
              <w:left w:val="nil"/>
              <w:bottom w:val="nil"/>
              <w:right w:val="single" w:sz="4" w:space="0" w:color="auto"/>
            </w:tcBorders>
            <w:shd w:val="clear" w:color="auto" w:fill="auto"/>
            <w:noWrap/>
            <w:vAlign w:val="center"/>
            <w:hideMark/>
          </w:tcPr>
          <w:p w14:paraId="0E5C4560" w14:textId="77777777" w:rsidR="004F78CE" w:rsidRPr="0099185A" w:rsidRDefault="004F78CE" w:rsidP="00D21055">
            <w:pPr>
              <w:jc w:val="center"/>
              <w:rPr>
                <w:rFonts w:cs="Arial"/>
                <w:color w:val="000000"/>
                <w:sz w:val="18"/>
                <w:szCs w:val="18"/>
              </w:rPr>
            </w:pPr>
            <w:r w:rsidRPr="0099185A">
              <w:rPr>
                <w:rFonts w:cs="Arial"/>
                <w:color w:val="000000"/>
                <w:sz w:val="18"/>
                <w:szCs w:val="18"/>
              </w:rPr>
              <w:t>-</w:t>
            </w:r>
          </w:p>
        </w:tc>
        <w:tc>
          <w:tcPr>
            <w:tcW w:w="593" w:type="pct"/>
            <w:tcBorders>
              <w:top w:val="nil"/>
              <w:left w:val="nil"/>
              <w:bottom w:val="nil"/>
              <w:right w:val="single" w:sz="4" w:space="0" w:color="auto"/>
            </w:tcBorders>
            <w:shd w:val="clear" w:color="auto" w:fill="auto"/>
            <w:noWrap/>
            <w:vAlign w:val="center"/>
            <w:hideMark/>
          </w:tcPr>
          <w:p w14:paraId="04DE23D5" w14:textId="77777777" w:rsidR="004F78CE" w:rsidRPr="0099185A" w:rsidRDefault="004F78CE" w:rsidP="00D21055">
            <w:pPr>
              <w:jc w:val="right"/>
              <w:rPr>
                <w:rFonts w:cs="Arial"/>
                <w:color w:val="000000"/>
                <w:sz w:val="18"/>
                <w:szCs w:val="18"/>
              </w:rPr>
            </w:pPr>
            <w:r w:rsidRPr="0099185A">
              <w:rPr>
                <w:rFonts w:cs="Arial"/>
                <w:color w:val="000000"/>
                <w:sz w:val="18"/>
                <w:szCs w:val="18"/>
              </w:rPr>
              <w:t>2.419.560</w:t>
            </w:r>
          </w:p>
        </w:tc>
        <w:tc>
          <w:tcPr>
            <w:tcW w:w="442" w:type="pct"/>
            <w:gridSpan w:val="2"/>
            <w:tcBorders>
              <w:top w:val="nil"/>
              <w:left w:val="nil"/>
              <w:bottom w:val="nil"/>
              <w:right w:val="nil"/>
            </w:tcBorders>
            <w:shd w:val="clear" w:color="auto" w:fill="auto"/>
            <w:noWrap/>
            <w:vAlign w:val="center"/>
            <w:hideMark/>
          </w:tcPr>
          <w:p w14:paraId="59115F72" w14:textId="77777777" w:rsidR="004F78CE" w:rsidRPr="0099185A" w:rsidRDefault="004F78CE" w:rsidP="00D21055">
            <w:pPr>
              <w:jc w:val="center"/>
              <w:rPr>
                <w:rFonts w:cs="Arial"/>
                <w:color w:val="000000"/>
                <w:sz w:val="18"/>
                <w:szCs w:val="18"/>
              </w:rPr>
            </w:pPr>
            <w:r w:rsidRPr="0099185A">
              <w:rPr>
                <w:rFonts w:cs="Arial"/>
                <w:color w:val="000000"/>
                <w:sz w:val="18"/>
                <w:szCs w:val="18"/>
              </w:rPr>
              <w:t>100,00</w:t>
            </w:r>
          </w:p>
        </w:tc>
      </w:tr>
      <w:tr w:rsidR="004F78CE" w:rsidRPr="0099185A" w14:paraId="3C1E8576" w14:textId="77777777" w:rsidTr="0099185A">
        <w:trPr>
          <w:trHeight w:val="300"/>
        </w:trPr>
        <w:tc>
          <w:tcPr>
            <w:tcW w:w="1965" w:type="pct"/>
            <w:tcBorders>
              <w:top w:val="single" w:sz="4" w:space="0" w:color="auto"/>
              <w:left w:val="nil"/>
              <w:bottom w:val="single" w:sz="4" w:space="0" w:color="auto"/>
              <w:right w:val="single" w:sz="4" w:space="0" w:color="auto"/>
            </w:tcBorders>
            <w:shd w:val="clear" w:color="auto" w:fill="auto"/>
            <w:vAlign w:val="center"/>
            <w:hideMark/>
          </w:tcPr>
          <w:p w14:paraId="096D96D5" w14:textId="77777777" w:rsidR="004F78CE" w:rsidRPr="0099185A" w:rsidRDefault="004F78CE" w:rsidP="00D21055">
            <w:pPr>
              <w:jc w:val="center"/>
              <w:rPr>
                <w:rFonts w:cs="Arial"/>
                <w:b/>
                <w:bCs/>
                <w:color w:val="000000"/>
                <w:sz w:val="18"/>
                <w:szCs w:val="18"/>
              </w:rPr>
            </w:pPr>
            <w:r w:rsidRPr="0099185A">
              <w:rPr>
                <w:rFonts w:cs="Arial"/>
                <w:b/>
                <w:bCs/>
                <w:color w:val="000000"/>
                <w:sz w:val="18"/>
                <w:szCs w:val="18"/>
              </w:rPr>
              <w:t>Total</w:t>
            </w:r>
          </w:p>
        </w:tc>
        <w:tc>
          <w:tcPr>
            <w:tcW w:w="611" w:type="pct"/>
            <w:gridSpan w:val="2"/>
            <w:tcBorders>
              <w:top w:val="single" w:sz="4" w:space="0" w:color="auto"/>
              <w:left w:val="nil"/>
              <w:bottom w:val="single" w:sz="4" w:space="0" w:color="auto"/>
              <w:right w:val="single" w:sz="4" w:space="0" w:color="auto"/>
            </w:tcBorders>
            <w:shd w:val="clear" w:color="auto" w:fill="auto"/>
            <w:noWrap/>
            <w:vAlign w:val="center"/>
            <w:hideMark/>
          </w:tcPr>
          <w:p w14:paraId="4C401AD5" w14:textId="77777777" w:rsidR="004F78CE" w:rsidRPr="0099185A" w:rsidRDefault="004F78CE" w:rsidP="00D21055">
            <w:pPr>
              <w:jc w:val="right"/>
              <w:rPr>
                <w:rFonts w:cs="Arial"/>
                <w:b/>
                <w:bCs/>
                <w:color w:val="000000"/>
                <w:sz w:val="18"/>
                <w:szCs w:val="18"/>
              </w:rPr>
            </w:pPr>
            <w:r w:rsidRPr="0099185A">
              <w:rPr>
                <w:rFonts w:cs="Arial"/>
                <w:b/>
                <w:bCs/>
                <w:color w:val="000000"/>
                <w:sz w:val="18"/>
                <w:szCs w:val="18"/>
              </w:rPr>
              <w:t>2.620.225</w:t>
            </w:r>
          </w:p>
        </w:tc>
        <w:tc>
          <w:tcPr>
            <w:tcW w:w="480" w:type="pct"/>
            <w:tcBorders>
              <w:top w:val="single" w:sz="4" w:space="0" w:color="auto"/>
              <w:left w:val="nil"/>
              <w:bottom w:val="single" w:sz="4" w:space="0" w:color="auto"/>
              <w:right w:val="single" w:sz="4" w:space="0" w:color="auto"/>
            </w:tcBorders>
            <w:shd w:val="clear" w:color="auto" w:fill="auto"/>
            <w:noWrap/>
            <w:vAlign w:val="center"/>
            <w:hideMark/>
          </w:tcPr>
          <w:p w14:paraId="525232B9" w14:textId="77777777" w:rsidR="004F78CE" w:rsidRPr="0099185A" w:rsidRDefault="004F78CE" w:rsidP="00D21055">
            <w:pPr>
              <w:jc w:val="center"/>
              <w:rPr>
                <w:rFonts w:cs="Arial"/>
                <w:b/>
                <w:bCs/>
                <w:color w:val="000000"/>
                <w:sz w:val="18"/>
                <w:szCs w:val="18"/>
              </w:rPr>
            </w:pPr>
            <w:r w:rsidRPr="0099185A">
              <w:rPr>
                <w:rFonts w:cs="Arial"/>
                <w:b/>
                <w:bCs/>
                <w:color w:val="000000"/>
                <w:sz w:val="18"/>
                <w:szCs w:val="18"/>
              </w:rPr>
              <w:t>100,00</w:t>
            </w:r>
          </w:p>
        </w:tc>
        <w:tc>
          <w:tcPr>
            <w:tcW w:w="505" w:type="pct"/>
            <w:gridSpan w:val="2"/>
            <w:tcBorders>
              <w:top w:val="single" w:sz="4" w:space="0" w:color="auto"/>
              <w:left w:val="nil"/>
              <w:bottom w:val="single" w:sz="4" w:space="0" w:color="auto"/>
              <w:right w:val="single" w:sz="4" w:space="0" w:color="auto"/>
            </w:tcBorders>
            <w:shd w:val="clear" w:color="auto" w:fill="auto"/>
            <w:noWrap/>
            <w:vAlign w:val="center"/>
            <w:hideMark/>
          </w:tcPr>
          <w:p w14:paraId="3670B8C7" w14:textId="77777777" w:rsidR="004F78CE" w:rsidRPr="0099185A" w:rsidRDefault="004F78CE" w:rsidP="00D21055">
            <w:pPr>
              <w:jc w:val="right"/>
              <w:rPr>
                <w:rFonts w:cs="Arial"/>
                <w:b/>
                <w:bCs/>
                <w:color w:val="000000"/>
                <w:sz w:val="18"/>
                <w:szCs w:val="18"/>
              </w:rPr>
            </w:pPr>
            <w:r w:rsidRPr="0099185A">
              <w:rPr>
                <w:rFonts w:cs="Arial"/>
                <w:b/>
                <w:bCs/>
                <w:color w:val="000000"/>
                <w:sz w:val="18"/>
                <w:szCs w:val="18"/>
              </w:rPr>
              <w:t>200.665</w:t>
            </w:r>
          </w:p>
        </w:tc>
        <w:tc>
          <w:tcPr>
            <w:tcW w:w="404" w:type="pct"/>
            <w:tcBorders>
              <w:top w:val="single" w:sz="4" w:space="0" w:color="auto"/>
              <w:left w:val="nil"/>
              <w:bottom w:val="single" w:sz="4" w:space="0" w:color="auto"/>
              <w:right w:val="single" w:sz="4" w:space="0" w:color="auto"/>
            </w:tcBorders>
            <w:shd w:val="clear" w:color="auto" w:fill="auto"/>
            <w:noWrap/>
            <w:vAlign w:val="center"/>
            <w:hideMark/>
          </w:tcPr>
          <w:p w14:paraId="1D6D6E68" w14:textId="77777777" w:rsidR="004F78CE" w:rsidRPr="0099185A" w:rsidRDefault="004F78CE" w:rsidP="00D21055">
            <w:pPr>
              <w:jc w:val="center"/>
              <w:rPr>
                <w:rFonts w:cs="Arial"/>
                <w:b/>
                <w:bCs/>
                <w:color w:val="000000"/>
                <w:sz w:val="18"/>
                <w:szCs w:val="18"/>
              </w:rPr>
            </w:pPr>
            <w:r w:rsidRPr="0099185A">
              <w:rPr>
                <w:rFonts w:cs="Arial"/>
                <w:b/>
                <w:bCs/>
                <w:color w:val="000000"/>
                <w:sz w:val="18"/>
                <w:szCs w:val="18"/>
              </w:rPr>
              <w:t>100,00</w:t>
            </w:r>
          </w:p>
        </w:tc>
        <w:tc>
          <w:tcPr>
            <w:tcW w:w="593" w:type="pct"/>
            <w:tcBorders>
              <w:top w:val="single" w:sz="4" w:space="0" w:color="auto"/>
              <w:left w:val="nil"/>
              <w:bottom w:val="single" w:sz="4" w:space="0" w:color="auto"/>
              <w:right w:val="single" w:sz="4" w:space="0" w:color="auto"/>
            </w:tcBorders>
            <w:shd w:val="clear" w:color="auto" w:fill="auto"/>
            <w:noWrap/>
            <w:vAlign w:val="center"/>
            <w:hideMark/>
          </w:tcPr>
          <w:p w14:paraId="0A314388" w14:textId="77777777" w:rsidR="004F78CE" w:rsidRPr="0099185A" w:rsidRDefault="004F78CE" w:rsidP="00D21055">
            <w:pPr>
              <w:jc w:val="right"/>
              <w:rPr>
                <w:rFonts w:cs="Arial"/>
                <w:b/>
                <w:bCs/>
                <w:color w:val="000000"/>
                <w:sz w:val="18"/>
                <w:szCs w:val="18"/>
              </w:rPr>
            </w:pPr>
            <w:r w:rsidRPr="0099185A">
              <w:rPr>
                <w:rFonts w:cs="Arial"/>
                <w:b/>
                <w:bCs/>
                <w:color w:val="000000"/>
                <w:sz w:val="18"/>
                <w:szCs w:val="18"/>
              </w:rPr>
              <w:t>2.419.560</w:t>
            </w:r>
          </w:p>
        </w:tc>
        <w:tc>
          <w:tcPr>
            <w:tcW w:w="442" w:type="pct"/>
            <w:gridSpan w:val="2"/>
            <w:tcBorders>
              <w:top w:val="single" w:sz="4" w:space="0" w:color="auto"/>
              <w:left w:val="nil"/>
              <w:bottom w:val="single" w:sz="4" w:space="0" w:color="auto"/>
              <w:right w:val="nil"/>
            </w:tcBorders>
            <w:shd w:val="clear" w:color="auto" w:fill="auto"/>
            <w:noWrap/>
            <w:vAlign w:val="center"/>
            <w:hideMark/>
          </w:tcPr>
          <w:p w14:paraId="1EF87147" w14:textId="77777777" w:rsidR="004F78CE" w:rsidRPr="0099185A" w:rsidRDefault="004F78CE" w:rsidP="00D21055">
            <w:pPr>
              <w:jc w:val="right"/>
              <w:rPr>
                <w:rFonts w:cs="Arial"/>
                <w:b/>
                <w:bCs/>
                <w:color w:val="000000"/>
                <w:sz w:val="18"/>
                <w:szCs w:val="18"/>
              </w:rPr>
            </w:pPr>
            <w:r w:rsidRPr="0099185A">
              <w:rPr>
                <w:rFonts w:cs="Arial"/>
                <w:b/>
                <w:bCs/>
                <w:color w:val="000000"/>
                <w:sz w:val="18"/>
                <w:szCs w:val="18"/>
              </w:rPr>
              <w:t>1205,77</w:t>
            </w:r>
          </w:p>
        </w:tc>
      </w:tr>
    </w:tbl>
    <w:p w14:paraId="79F2E372" w14:textId="77777777" w:rsidR="004F78CE" w:rsidRDefault="004F78CE" w:rsidP="004F78CE">
      <w:pPr>
        <w:pStyle w:val="1-FONTE8ESQ"/>
      </w:pPr>
      <w:r w:rsidRPr="00E23A64">
        <w:t>Fonte: Balanço Patrimonial - Anexo 14</w:t>
      </w:r>
      <w:r>
        <w:t xml:space="preserve"> (BGE 2023)</w:t>
      </w:r>
    </w:p>
    <w:p w14:paraId="760C759C" w14:textId="77777777" w:rsidR="004F78CE" w:rsidRDefault="004F78CE" w:rsidP="004F78CE">
      <w:pPr>
        <w:pStyle w:val="1-REL11"/>
      </w:pPr>
      <w:r>
        <w:t>No exercício analisado</w:t>
      </w:r>
      <w:r w:rsidRPr="00047970">
        <w:t>, este subgrupo</w:t>
      </w:r>
      <w:r>
        <w:t xml:space="preserve"> </w:t>
      </w:r>
      <w:bookmarkStart w:id="486" w:name="_Hlk167359107"/>
      <w:r>
        <w:t>apresentou uma evolução de 1205,77% (R$ 2,42 bilhões) em relação ao ano anterior</w:t>
      </w:r>
      <w:bookmarkEnd w:id="486"/>
      <w:r>
        <w:t xml:space="preserve">, incorrendo em um saldo </w:t>
      </w:r>
      <w:r w:rsidRPr="00047970">
        <w:t>de R$</w:t>
      </w:r>
      <w:r>
        <w:t> </w:t>
      </w:r>
      <w:r w:rsidRPr="00047970">
        <w:t xml:space="preserve"> </w:t>
      </w:r>
      <w:r>
        <w:t>2,62</w:t>
      </w:r>
      <w:r w:rsidRPr="00047970">
        <w:t xml:space="preserve"> bilhões</w:t>
      </w:r>
      <w:r>
        <w:t xml:space="preserve">, o que corresponde a 0,91% do Passivo Total. As contas que integraram as Demais Obrigações de Longo Prazo foram </w:t>
      </w:r>
      <w:r w:rsidRPr="001B7851">
        <w:t xml:space="preserve">Valores Restituíveis </w:t>
      </w:r>
      <w:r>
        <w:t xml:space="preserve">e </w:t>
      </w:r>
      <w:r w:rsidRPr="001B7851">
        <w:t>Outras Obrigações a Longo Prazo</w:t>
      </w:r>
      <w:r>
        <w:t>, representando respectivamente 7,66% e 92,34 % do total das Demais Obrigações de Longo Prazo.</w:t>
      </w:r>
    </w:p>
    <w:p w14:paraId="5708E2C6" w14:textId="77777777" w:rsidR="004F78CE" w:rsidRDefault="004F78CE" w:rsidP="004F78CE">
      <w:pPr>
        <w:pStyle w:val="1-REL11"/>
      </w:pPr>
      <w:r w:rsidRPr="00EE6359">
        <w:t xml:space="preserve">O </w:t>
      </w:r>
      <w:r>
        <w:t>grupo</w:t>
      </w:r>
      <w:r w:rsidRPr="00EE6359">
        <w:t xml:space="preserve"> de contas Valores Restituíveis, responsável pelo registro de valores pertencentes a terceiros ou retenções realizadas em seu nome, quando a entidade pública atua como fiel depositária, com vencimentos a longo prazo, manteve-se inalterado em relação ao ano de 2022. Este conjunto inclui obrigaç</w:t>
      </w:r>
      <w:r>
        <w:t>ões</w:t>
      </w:r>
      <w:r w:rsidRPr="00EE6359">
        <w:t xml:space="preserve"> extraorçamentária</w:t>
      </w:r>
      <w:r>
        <w:t>s</w:t>
      </w:r>
      <w:r w:rsidRPr="00EE6359">
        <w:t xml:space="preserve"> referente</w:t>
      </w:r>
      <w:r>
        <w:t>s</w:t>
      </w:r>
      <w:r w:rsidRPr="00EE6359">
        <w:t xml:space="preserve"> a depósitos recebidos por ordem judicial.</w:t>
      </w:r>
    </w:p>
    <w:p w14:paraId="3B4AD14D" w14:textId="6C1C5502" w:rsidR="004F78CE" w:rsidRPr="00D92C03" w:rsidRDefault="004F78CE" w:rsidP="00D92C03">
      <w:pPr>
        <w:pStyle w:val="1-REL11"/>
      </w:pPr>
      <w:r w:rsidRPr="00DD5014">
        <w:t xml:space="preserve">Quanto </w:t>
      </w:r>
      <w:r>
        <w:t>à</w:t>
      </w:r>
      <w:r w:rsidRPr="00DD5014">
        <w:t xml:space="preserve">s </w:t>
      </w:r>
      <w:bookmarkStart w:id="487" w:name="_Hlk167359197"/>
      <w:r w:rsidRPr="00DD5014">
        <w:t>Outras Obrigações a Longo Prazo, destaca-se que a mesma foi constituída em 2023 e totaliza R$ 2,42 bilhões, 92,34% do subgrupo</w:t>
      </w:r>
      <w:bookmarkEnd w:id="487"/>
      <w:r w:rsidRPr="00DD5014">
        <w:t xml:space="preserve">. Abrangendo as outras obrigações não classificáveis em grupos específicos, com vencimento no longo prazo, esse conjunto de contas </w:t>
      </w:r>
      <w:bookmarkStart w:id="488" w:name="_Hlk167359236"/>
      <w:r w:rsidRPr="003F0769">
        <w:t>está composto pelo valor de depósitos judiciais acessados pelo Estado em ações que o ente não faz parte, e foram lançados em contrapartida a Variação Patrimonial Diminutiva – Incorporação de Passivos</w:t>
      </w:r>
      <w:bookmarkEnd w:id="488"/>
      <w:r w:rsidRPr="003F0769">
        <w:t xml:space="preserve">. Vale ressaltar que 79,13% dos depósitos judiciais estão depositados </w:t>
      </w:r>
      <w:r>
        <w:t xml:space="preserve">em </w:t>
      </w:r>
      <w:r w:rsidRPr="003F0769">
        <w:t>conta do Banco do Brasil</w:t>
      </w:r>
      <w:r w:rsidR="00D92C03">
        <w:t>.</w:t>
      </w:r>
    </w:p>
    <w:p w14:paraId="404C3F34" w14:textId="77777777" w:rsidR="004F78CE" w:rsidRDefault="004F78CE" w:rsidP="00117967">
      <w:pPr>
        <w:pStyle w:val="Ttulo4"/>
      </w:pPr>
      <w:bookmarkStart w:id="489" w:name="_Ref167704316"/>
      <w:bookmarkStart w:id="490" w:name="_Hlk167359280"/>
      <w:r w:rsidRPr="00CC1ED4">
        <w:t>Provisão Matemática Previdenciária</w:t>
      </w:r>
      <w:bookmarkEnd w:id="489"/>
    </w:p>
    <w:bookmarkEnd w:id="490"/>
    <w:p w14:paraId="48218BA0" w14:textId="77777777" w:rsidR="004F78CE" w:rsidRPr="003F0769" w:rsidRDefault="004F78CE" w:rsidP="004F78CE">
      <w:pPr>
        <w:tabs>
          <w:tab w:val="left" w:pos="2835"/>
        </w:tabs>
        <w:spacing w:before="200" w:after="200" w:line="276" w:lineRule="auto"/>
        <w:rPr>
          <w:rFonts w:eastAsia="Calibri"/>
        </w:rPr>
      </w:pPr>
      <w:r w:rsidRPr="003F0769">
        <w:rPr>
          <w:rFonts w:eastAsia="Calibri"/>
        </w:rPr>
        <w:t>Sobre a perspectiva da Gestão Patrimonial, a normatização contábil aplicada ao RPPS e Sistema de Proteção Social dos Militares (SPSM) tem como objetivo promover a correta apresentação do patrimônio das unidades gestoras, bem como a compreensão das causas de suas respectivas mutações, de forma a evidenciar a capacidade do ente público em garantir o seu equilíbrio financeiro e atuarial.</w:t>
      </w:r>
    </w:p>
    <w:p w14:paraId="49F65BE1" w14:textId="77777777" w:rsidR="004F78CE" w:rsidRPr="003F0769" w:rsidRDefault="004F78CE" w:rsidP="004F78CE">
      <w:pPr>
        <w:tabs>
          <w:tab w:val="left" w:pos="2835"/>
        </w:tabs>
        <w:spacing w:before="200" w:after="200" w:line="276" w:lineRule="auto"/>
        <w:rPr>
          <w:rFonts w:eastAsia="Calibri"/>
        </w:rPr>
      </w:pPr>
      <w:r w:rsidRPr="003F0769">
        <w:rPr>
          <w:rFonts w:eastAsia="Calibri"/>
        </w:rPr>
        <w:t xml:space="preserve">A Provisão Matemática Previdenciária representa o total dos recursos necessários ao pagamento dos compromissos dos planos de benefícios, calculados atuarialmente, em determinada data e a valor presente. Na apuração, considera-se o valor líquido entre as projeções dos benefícios a </w:t>
      </w:r>
      <w:r w:rsidRPr="003F0769">
        <w:rPr>
          <w:rFonts w:eastAsia="Calibri"/>
        </w:rPr>
        <w:lastRenderedPageBreak/>
        <w:t>serem pagos e as contribuições previdenciárias e aportes a serem recebidos pelo RPPS e SPSM,</w:t>
      </w:r>
      <w:r w:rsidRPr="003F0769">
        <w:rPr>
          <w:rFonts w:eastAsia="Calibri"/>
          <w:highlight w:val="yellow"/>
        </w:rPr>
        <w:t xml:space="preserve"> </w:t>
      </w:r>
      <w:r w:rsidRPr="003F0769">
        <w:rPr>
          <w:rFonts w:eastAsia="Calibri"/>
        </w:rPr>
        <w:t>relativamente a toda massa de segurados e beneficiários sob sua responsabilidade.</w:t>
      </w:r>
    </w:p>
    <w:p w14:paraId="0B2FB004" w14:textId="77777777" w:rsidR="004F78CE" w:rsidRPr="003F0769" w:rsidRDefault="004F78CE" w:rsidP="004F78CE">
      <w:pPr>
        <w:tabs>
          <w:tab w:val="left" w:pos="2835"/>
        </w:tabs>
        <w:spacing w:before="200" w:after="200" w:line="276" w:lineRule="auto"/>
        <w:rPr>
          <w:rFonts w:eastAsia="Calibri"/>
          <w:highlight w:val="yellow"/>
        </w:rPr>
      </w:pPr>
      <w:r w:rsidRPr="003F0769">
        <w:rPr>
          <w:rFonts w:eastAsia="Calibri"/>
        </w:rPr>
        <w:t>Essa avaliação e/ou reavaliação atuarial consiste em estudo técnico desenvolvido com base nas características biométricas, demográficas e econômicas da população analisada, cujo objetivo é estabelecer, de forma suficiente e adequada, os recursos necessários para a garantia dos pagamentos dos benefícios previstos pelo plano, além de subsidiar o preenchimento do Demonstrativo de Resultados da Avaliação Atuarial (DRAA), o serviço de contabilidade do ente, o Projeto de Lei de Diretrizes Orçamentárias, e outros institutos legais.</w:t>
      </w:r>
    </w:p>
    <w:p w14:paraId="3F8044CC" w14:textId="77777777" w:rsidR="004F78CE" w:rsidRPr="003F0769" w:rsidRDefault="004F78CE" w:rsidP="004F78CE">
      <w:pPr>
        <w:tabs>
          <w:tab w:val="left" w:pos="2835"/>
        </w:tabs>
        <w:spacing w:before="200" w:after="200" w:line="276" w:lineRule="auto"/>
        <w:rPr>
          <w:rFonts w:eastAsia="Calibri"/>
        </w:rPr>
      </w:pPr>
      <w:r w:rsidRPr="003F0769">
        <w:rPr>
          <w:rFonts w:eastAsia="Calibri"/>
        </w:rPr>
        <w:t xml:space="preserve">Os resultados encontrados </w:t>
      </w:r>
      <w:r>
        <w:rPr>
          <w:rFonts w:eastAsia="Calibri"/>
        </w:rPr>
        <w:t>n</w:t>
      </w:r>
      <w:r w:rsidRPr="003F0769">
        <w:rPr>
          <w:rFonts w:eastAsia="Calibri"/>
        </w:rPr>
        <w:t>essas avaliações e/ou reavaliações atuariais constituirão as Provisões Matemáticas Previdenciárias, um dos principais pontos de destaque da contabilidade previdenciária pública, pois além de atender ao Princípio Contábil da Prudência, consolida a recomendada boa prática contábil, promovendo maior transparência quanto aos compromissos previdenciários assumidos pelo ente público perante seus servidores e beneficiários, e principalmente à sociedade e demais usuários da informação de caráter geral.</w:t>
      </w:r>
    </w:p>
    <w:p w14:paraId="36DC1A8E" w14:textId="77777777" w:rsidR="004F78CE" w:rsidRPr="003F0769" w:rsidRDefault="004F78CE" w:rsidP="004F78CE">
      <w:pPr>
        <w:tabs>
          <w:tab w:val="left" w:pos="2835"/>
        </w:tabs>
        <w:spacing w:before="200" w:after="200" w:line="276" w:lineRule="auto"/>
        <w:rPr>
          <w:rFonts w:eastAsia="Calibri"/>
        </w:rPr>
      </w:pPr>
      <w:r w:rsidRPr="003F0769">
        <w:rPr>
          <w:rFonts w:eastAsia="Calibri"/>
        </w:rPr>
        <w:t>Essas provisões deverão ser registradas no Passivo</w:t>
      </w:r>
      <w:r w:rsidRPr="003F0769">
        <w:rPr>
          <w:rFonts w:eastAsia="Calibri"/>
          <w:i/>
        </w:rPr>
        <w:t xml:space="preserve"> </w:t>
      </w:r>
      <w:r w:rsidRPr="003F0769">
        <w:rPr>
          <w:rFonts w:eastAsia="Calibri"/>
        </w:rPr>
        <w:t>Não Circulante, no desdobramento da conta 2.2.7.2.0.00.00 - Provisões Matemáticas Previdenciárias a Longo Prazo, observando o detalhamento analítico estabelecido no plano de contas aplicável ao RPPS e SPSM, ter como data base o último dia do exercício anterior ao da exigência de sua apresentação, além de conter uma análise comparativa entre os resultados das três últimas avaliações atuariais, dentre outras exigências.</w:t>
      </w:r>
    </w:p>
    <w:p w14:paraId="34F38843" w14:textId="77777777" w:rsidR="004F78CE" w:rsidRPr="003F0769" w:rsidRDefault="004F78CE" w:rsidP="004F78CE">
      <w:pPr>
        <w:tabs>
          <w:tab w:val="left" w:pos="2835"/>
        </w:tabs>
        <w:spacing w:before="200" w:after="200" w:line="276" w:lineRule="auto"/>
        <w:rPr>
          <w:rFonts w:eastAsia="Calibri"/>
        </w:rPr>
      </w:pPr>
      <w:r w:rsidRPr="003F0769">
        <w:rPr>
          <w:rFonts w:eastAsia="Calibri"/>
        </w:rPr>
        <w:t>Ainda, segundo a legislação previdenciária, no caso em que a avaliação indicar déficit atuarial, o ente deverá apresentar plano de amortização para o seu equacionamento, a ser implementado por lei de sua iniciativa.</w:t>
      </w:r>
    </w:p>
    <w:p w14:paraId="7DBF4189" w14:textId="77777777" w:rsidR="004F78CE" w:rsidRPr="00E40C7C" w:rsidRDefault="004F78CE" w:rsidP="004F78CE">
      <w:pPr>
        <w:pStyle w:val="Ttulo5"/>
        <w:tabs>
          <w:tab w:val="clear" w:pos="426"/>
          <w:tab w:val="left" w:pos="0"/>
        </w:tabs>
        <w:autoSpaceDN w:val="0"/>
        <w:spacing w:before="240"/>
      </w:pPr>
      <w:r w:rsidRPr="00E40C7C">
        <w:t>Contexto Normativo Legal</w:t>
      </w:r>
    </w:p>
    <w:p w14:paraId="2D4224C0" w14:textId="77777777" w:rsidR="004F78CE" w:rsidRPr="003F0769" w:rsidRDefault="004F78CE" w:rsidP="004F78CE">
      <w:pPr>
        <w:tabs>
          <w:tab w:val="left" w:pos="2835"/>
        </w:tabs>
        <w:spacing w:before="200" w:after="200" w:line="276" w:lineRule="auto"/>
        <w:rPr>
          <w:rFonts w:eastAsia="Calibri"/>
        </w:rPr>
      </w:pPr>
      <w:r w:rsidRPr="003F0769">
        <w:rPr>
          <w:rFonts w:eastAsia="Calibri"/>
        </w:rPr>
        <w:t>A base normativa utilizada para constituição das projeções atuariais e respectivas provisões matemáticas é extensa, destacando-se:</w:t>
      </w:r>
    </w:p>
    <w:p w14:paraId="5D889684" w14:textId="77777777" w:rsidR="004F78CE" w:rsidRPr="003F0769" w:rsidRDefault="004F78CE" w:rsidP="00B000B6">
      <w:pPr>
        <w:numPr>
          <w:ilvl w:val="0"/>
          <w:numId w:val="41"/>
        </w:numPr>
        <w:autoSpaceDE w:val="0"/>
        <w:autoSpaceDN w:val="0"/>
        <w:adjustRightInd w:val="0"/>
        <w:spacing w:after="120"/>
        <w:ind w:left="714" w:hanging="357"/>
        <w:jc w:val="left"/>
        <w:rPr>
          <w:rFonts w:cs="Arial"/>
        </w:rPr>
      </w:pPr>
      <w:r w:rsidRPr="003F0769">
        <w:rPr>
          <w:rFonts w:cs="Arial"/>
        </w:rPr>
        <w:t>Constituição Federal de 1988;</w:t>
      </w:r>
    </w:p>
    <w:p w14:paraId="5C032BB4" w14:textId="77777777" w:rsidR="004F78CE" w:rsidRPr="003F0769" w:rsidRDefault="004F78CE" w:rsidP="00B000B6">
      <w:pPr>
        <w:numPr>
          <w:ilvl w:val="0"/>
          <w:numId w:val="41"/>
        </w:numPr>
        <w:autoSpaceDE w:val="0"/>
        <w:autoSpaceDN w:val="0"/>
        <w:adjustRightInd w:val="0"/>
        <w:spacing w:after="120"/>
        <w:ind w:left="714" w:hanging="357"/>
        <w:jc w:val="left"/>
        <w:rPr>
          <w:rFonts w:cs="Arial"/>
        </w:rPr>
      </w:pPr>
      <w:r w:rsidRPr="003F0769">
        <w:rPr>
          <w:rFonts w:cs="Arial"/>
        </w:rPr>
        <w:t>Emenda Constitucional Federal nº 103/2019;</w:t>
      </w:r>
    </w:p>
    <w:p w14:paraId="00B08BDC" w14:textId="77777777" w:rsidR="004F78CE" w:rsidRPr="003F0769" w:rsidRDefault="004F78CE" w:rsidP="00B000B6">
      <w:pPr>
        <w:numPr>
          <w:ilvl w:val="0"/>
          <w:numId w:val="41"/>
        </w:numPr>
        <w:autoSpaceDE w:val="0"/>
        <w:autoSpaceDN w:val="0"/>
        <w:adjustRightInd w:val="0"/>
        <w:spacing w:after="120"/>
        <w:ind w:left="714" w:hanging="357"/>
        <w:jc w:val="left"/>
        <w:rPr>
          <w:rFonts w:cs="Arial"/>
        </w:rPr>
      </w:pPr>
      <w:r w:rsidRPr="003F0769">
        <w:rPr>
          <w:rFonts w:cs="Arial"/>
        </w:rPr>
        <w:t>Lei Federal nº 9.717/1998;</w:t>
      </w:r>
    </w:p>
    <w:p w14:paraId="0FF226E1" w14:textId="77777777" w:rsidR="004F78CE" w:rsidRPr="003F0769" w:rsidRDefault="004F78CE" w:rsidP="00B000B6">
      <w:pPr>
        <w:numPr>
          <w:ilvl w:val="0"/>
          <w:numId w:val="41"/>
        </w:numPr>
        <w:autoSpaceDE w:val="0"/>
        <w:autoSpaceDN w:val="0"/>
        <w:adjustRightInd w:val="0"/>
        <w:spacing w:after="120"/>
        <w:ind w:left="714" w:hanging="357"/>
        <w:jc w:val="left"/>
        <w:rPr>
          <w:rFonts w:cs="Arial"/>
        </w:rPr>
      </w:pPr>
      <w:r w:rsidRPr="003F0769">
        <w:rPr>
          <w:rFonts w:cs="Arial"/>
        </w:rPr>
        <w:t>Lei Federal nº 10.887/2004;</w:t>
      </w:r>
    </w:p>
    <w:p w14:paraId="57CA42CE" w14:textId="77777777" w:rsidR="004F78CE" w:rsidRPr="003F0769" w:rsidRDefault="004F78CE" w:rsidP="00B000B6">
      <w:pPr>
        <w:numPr>
          <w:ilvl w:val="0"/>
          <w:numId w:val="41"/>
        </w:numPr>
        <w:autoSpaceDE w:val="0"/>
        <w:autoSpaceDN w:val="0"/>
        <w:adjustRightInd w:val="0"/>
        <w:spacing w:after="120"/>
        <w:ind w:left="714" w:hanging="357"/>
        <w:jc w:val="left"/>
        <w:rPr>
          <w:rFonts w:cs="Arial"/>
        </w:rPr>
      </w:pPr>
      <w:r w:rsidRPr="003F0769">
        <w:rPr>
          <w:rFonts w:cs="Arial"/>
        </w:rPr>
        <w:t>Lei Complementar Federal nº 101/2000;</w:t>
      </w:r>
    </w:p>
    <w:p w14:paraId="0571BF9B" w14:textId="77777777" w:rsidR="004F78CE" w:rsidRPr="003F0769" w:rsidRDefault="004F78CE" w:rsidP="00B000B6">
      <w:pPr>
        <w:numPr>
          <w:ilvl w:val="0"/>
          <w:numId w:val="41"/>
        </w:numPr>
        <w:autoSpaceDE w:val="0"/>
        <w:autoSpaceDN w:val="0"/>
        <w:adjustRightInd w:val="0"/>
        <w:spacing w:after="120"/>
        <w:ind w:left="714" w:hanging="357"/>
        <w:jc w:val="left"/>
        <w:rPr>
          <w:rFonts w:cs="Arial"/>
        </w:rPr>
      </w:pPr>
      <w:r w:rsidRPr="003F0769">
        <w:rPr>
          <w:rFonts w:cs="Arial"/>
        </w:rPr>
        <w:t>Emenda Constitucional Estadual nº 65/2019;</w:t>
      </w:r>
    </w:p>
    <w:p w14:paraId="77D0422C" w14:textId="77777777" w:rsidR="004F78CE" w:rsidRPr="003F0769" w:rsidRDefault="004F78CE" w:rsidP="00B000B6">
      <w:pPr>
        <w:numPr>
          <w:ilvl w:val="0"/>
          <w:numId w:val="41"/>
        </w:numPr>
        <w:autoSpaceDE w:val="0"/>
        <w:autoSpaceDN w:val="0"/>
        <w:adjustRightInd w:val="0"/>
        <w:spacing w:after="120"/>
        <w:ind w:left="714" w:hanging="357"/>
        <w:jc w:val="left"/>
        <w:rPr>
          <w:rFonts w:cs="Arial"/>
        </w:rPr>
      </w:pPr>
      <w:r w:rsidRPr="003F0769">
        <w:rPr>
          <w:rFonts w:cs="Arial"/>
        </w:rPr>
        <w:t>Lei Complementar Estadual nº 66/2009;</w:t>
      </w:r>
    </w:p>
    <w:p w14:paraId="0B8779EA" w14:textId="77777777" w:rsidR="004F78CE" w:rsidRPr="003F0769" w:rsidRDefault="004F78CE" w:rsidP="00B000B6">
      <w:pPr>
        <w:numPr>
          <w:ilvl w:val="0"/>
          <w:numId w:val="41"/>
        </w:numPr>
        <w:autoSpaceDE w:val="0"/>
        <w:autoSpaceDN w:val="0"/>
        <w:adjustRightInd w:val="0"/>
        <w:spacing w:after="120"/>
        <w:ind w:left="714" w:hanging="357"/>
        <w:jc w:val="left"/>
        <w:rPr>
          <w:rFonts w:cs="Arial"/>
        </w:rPr>
      </w:pPr>
      <w:r w:rsidRPr="003F0769">
        <w:rPr>
          <w:rFonts w:cs="Arial"/>
        </w:rPr>
        <w:t>Lei Complementar Estadual nº 59/2006;</w:t>
      </w:r>
    </w:p>
    <w:p w14:paraId="675CB715" w14:textId="77777777" w:rsidR="004F78CE" w:rsidRPr="003F0769" w:rsidRDefault="004F78CE" w:rsidP="00B000B6">
      <w:pPr>
        <w:numPr>
          <w:ilvl w:val="0"/>
          <w:numId w:val="41"/>
        </w:numPr>
        <w:autoSpaceDE w:val="0"/>
        <w:autoSpaceDN w:val="0"/>
        <w:adjustRightInd w:val="0"/>
        <w:spacing w:after="120"/>
        <w:ind w:left="714" w:hanging="357"/>
        <w:jc w:val="left"/>
        <w:rPr>
          <w:rFonts w:cs="Arial"/>
        </w:rPr>
      </w:pPr>
      <w:r w:rsidRPr="003F0769">
        <w:rPr>
          <w:rFonts w:cs="Arial"/>
        </w:rPr>
        <w:lastRenderedPageBreak/>
        <w:t>Lei Estadual nº 19.179/2015;</w:t>
      </w:r>
    </w:p>
    <w:p w14:paraId="6AE89FDB" w14:textId="77777777" w:rsidR="004F78CE" w:rsidRPr="003F0769" w:rsidRDefault="004F78CE" w:rsidP="00B000B6">
      <w:pPr>
        <w:numPr>
          <w:ilvl w:val="0"/>
          <w:numId w:val="41"/>
        </w:numPr>
        <w:autoSpaceDE w:val="0"/>
        <w:autoSpaceDN w:val="0"/>
        <w:adjustRightInd w:val="0"/>
        <w:spacing w:after="120"/>
        <w:ind w:left="714" w:hanging="357"/>
        <w:jc w:val="left"/>
        <w:rPr>
          <w:rFonts w:cs="Arial"/>
        </w:rPr>
      </w:pPr>
      <w:r w:rsidRPr="003F0769">
        <w:rPr>
          <w:rFonts w:cs="Arial"/>
        </w:rPr>
        <w:t>Lei Complementar Estadual nº 124/2016;</w:t>
      </w:r>
    </w:p>
    <w:p w14:paraId="79497EBB" w14:textId="77777777" w:rsidR="004F78CE" w:rsidRPr="003F0769" w:rsidRDefault="004F78CE" w:rsidP="00B000B6">
      <w:pPr>
        <w:numPr>
          <w:ilvl w:val="0"/>
          <w:numId w:val="41"/>
        </w:numPr>
        <w:autoSpaceDE w:val="0"/>
        <w:autoSpaceDN w:val="0"/>
        <w:adjustRightInd w:val="0"/>
        <w:spacing w:after="120"/>
        <w:ind w:left="714" w:hanging="357"/>
        <w:jc w:val="left"/>
        <w:rPr>
          <w:rFonts w:cs="Arial"/>
        </w:rPr>
      </w:pPr>
      <w:r w:rsidRPr="003F0769">
        <w:rPr>
          <w:rFonts w:cs="Arial"/>
        </w:rPr>
        <w:t>Portaria MF nº 464/2018;</w:t>
      </w:r>
    </w:p>
    <w:p w14:paraId="138FB49D" w14:textId="77777777" w:rsidR="004F78CE" w:rsidRPr="003F0769" w:rsidRDefault="004F78CE" w:rsidP="00B000B6">
      <w:pPr>
        <w:numPr>
          <w:ilvl w:val="0"/>
          <w:numId w:val="41"/>
        </w:numPr>
        <w:autoSpaceDE w:val="0"/>
        <w:autoSpaceDN w:val="0"/>
        <w:adjustRightInd w:val="0"/>
        <w:spacing w:after="120"/>
        <w:jc w:val="left"/>
        <w:rPr>
          <w:rFonts w:cs="Arial"/>
        </w:rPr>
      </w:pPr>
      <w:r w:rsidRPr="003F0769">
        <w:rPr>
          <w:rFonts w:cs="Arial"/>
        </w:rPr>
        <w:t>Lei Ordinária nº 20.850/2020;</w:t>
      </w:r>
    </w:p>
    <w:p w14:paraId="0B109513" w14:textId="77777777" w:rsidR="004F78CE" w:rsidRPr="003F0769" w:rsidRDefault="004F78CE" w:rsidP="00B000B6">
      <w:pPr>
        <w:numPr>
          <w:ilvl w:val="0"/>
          <w:numId w:val="41"/>
        </w:numPr>
        <w:autoSpaceDE w:val="0"/>
        <w:autoSpaceDN w:val="0"/>
        <w:adjustRightInd w:val="0"/>
        <w:spacing w:after="120"/>
        <w:jc w:val="left"/>
        <w:rPr>
          <w:rFonts w:cs="Arial"/>
        </w:rPr>
      </w:pPr>
      <w:r w:rsidRPr="003F0769">
        <w:rPr>
          <w:rFonts w:cs="Arial"/>
        </w:rPr>
        <w:t>Lei Complementar Estadual nº 161/2020;</w:t>
      </w:r>
    </w:p>
    <w:p w14:paraId="1633A98F" w14:textId="77777777" w:rsidR="004F78CE" w:rsidRPr="003F0769" w:rsidRDefault="004F78CE" w:rsidP="00B000B6">
      <w:pPr>
        <w:numPr>
          <w:ilvl w:val="0"/>
          <w:numId w:val="41"/>
        </w:numPr>
        <w:autoSpaceDE w:val="0"/>
        <w:autoSpaceDN w:val="0"/>
        <w:adjustRightInd w:val="0"/>
        <w:spacing w:after="120"/>
        <w:jc w:val="left"/>
        <w:rPr>
          <w:rFonts w:cs="Arial"/>
        </w:rPr>
      </w:pPr>
      <w:r w:rsidRPr="003F0769">
        <w:rPr>
          <w:rFonts w:cs="Arial"/>
        </w:rPr>
        <w:t>Emenda Constitucional Estadual nº 71/2021;</w:t>
      </w:r>
    </w:p>
    <w:p w14:paraId="56FC9A81" w14:textId="77777777" w:rsidR="004F78CE" w:rsidRPr="003F0769" w:rsidRDefault="004F78CE" w:rsidP="00B000B6">
      <w:pPr>
        <w:numPr>
          <w:ilvl w:val="0"/>
          <w:numId w:val="41"/>
        </w:numPr>
        <w:autoSpaceDE w:val="0"/>
        <w:autoSpaceDN w:val="0"/>
        <w:adjustRightInd w:val="0"/>
        <w:spacing w:after="120"/>
        <w:jc w:val="left"/>
        <w:rPr>
          <w:rFonts w:cs="Arial"/>
        </w:rPr>
      </w:pPr>
      <w:r w:rsidRPr="003F0769">
        <w:rPr>
          <w:rFonts w:cs="Arial"/>
        </w:rPr>
        <w:t>Portaria MTP nº 1.467/2022;</w:t>
      </w:r>
    </w:p>
    <w:p w14:paraId="33C0329C" w14:textId="77777777" w:rsidR="004F78CE" w:rsidRPr="003F0769" w:rsidRDefault="004F78CE" w:rsidP="00B000B6">
      <w:pPr>
        <w:numPr>
          <w:ilvl w:val="0"/>
          <w:numId w:val="41"/>
        </w:numPr>
        <w:autoSpaceDE w:val="0"/>
        <w:autoSpaceDN w:val="0"/>
        <w:adjustRightInd w:val="0"/>
        <w:spacing w:after="120"/>
        <w:jc w:val="left"/>
        <w:rPr>
          <w:rFonts w:cs="Arial"/>
        </w:rPr>
      </w:pPr>
      <w:r w:rsidRPr="003F0769">
        <w:rPr>
          <w:rFonts w:cs="Arial"/>
        </w:rPr>
        <w:t>Lei Complementar Estadual nº 175/2022;</w:t>
      </w:r>
    </w:p>
    <w:p w14:paraId="6F626C27" w14:textId="77777777" w:rsidR="004F78CE" w:rsidRPr="003F0769" w:rsidRDefault="004F78CE" w:rsidP="00B000B6">
      <w:pPr>
        <w:numPr>
          <w:ilvl w:val="0"/>
          <w:numId w:val="41"/>
        </w:numPr>
        <w:autoSpaceDE w:val="0"/>
        <w:autoSpaceDN w:val="0"/>
        <w:adjustRightInd w:val="0"/>
        <w:spacing w:after="120"/>
        <w:jc w:val="left"/>
        <w:rPr>
          <w:rFonts w:cs="Arial"/>
        </w:rPr>
      </w:pPr>
      <w:r w:rsidRPr="003F0769">
        <w:rPr>
          <w:rFonts w:cs="Arial"/>
        </w:rPr>
        <w:t>Portaria MPS nº 3.289/2023.</w:t>
      </w:r>
    </w:p>
    <w:p w14:paraId="2DDBFA12" w14:textId="77777777" w:rsidR="004F78CE" w:rsidRPr="003F0769" w:rsidRDefault="004F78CE" w:rsidP="004F78CE">
      <w:pPr>
        <w:tabs>
          <w:tab w:val="left" w:pos="2835"/>
        </w:tabs>
        <w:spacing w:before="200" w:after="200" w:line="276" w:lineRule="auto"/>
        <w:rPr>
          <w:rFonts w:eastAsia="Calibri"/>
        </w:rPr>
      </w:pPr>
      <w:r w:rsidRPr="003F0769">
        <w:rPr>
          <w:rFonts w:eastAsia="Calibri"/>
        </w:rPr>
        <w:t>As normas gerais de contabilidade aplicáveis ao RPPS, incluindo o nível de detalhamento do Plano de Contas Aplicado ao Setor Público (PCASP), estão estabelecidas pela Portaria MPS nº 509/2013. Segundo a portaria supracitada:</w:t>
      </w:r>
    </w:p>
    <w:p w14:paraId="6B155F93" w14:textId="77777777" w:rsidR="004F78CE" w:rsidRPr="003F0769" w:rsidRDefault="004F78CE" w:rsidP="004F78CE">
      <w:pPr>
        <w:ind w:left="2268"/>
        <w:rPr>
          <w:iCs/>
        </w:rPr>
      </w:pPr>
      <w:r w:rsidRPr="003F0769">
        <w:rPr>
          <w:iCs/>
        </w:rPr>
        <w:t>Art. 1° Os procedimentos contábeis aplicados aos Regimes Próprios de Previdência Social - RPPS dos servidores públicos da União, dos Estados, do Distrito Federal e dos Municípios deverão observar o previsto no Manual de Contabilidade Aplicada ao Setor Público - MCASP, aprovado pela Secretaria do Tesouro Nacional.</w:t>
      </w:r>
    </w:p>
    <w:p w14:paraId="2E007ED8" w14:textId="77777777" w:rsidR="004F78CE" w:rsidRPr="003F0769" w:rsidRDefault="004F78CE" w:rsidP="004F78CE">
      <w:pPr>
        <w:ind w:left="2268"/>
        <w:rPr>
          <w:iCs/>
        </w:rPr>
      </w:pPr>
    </w:p>
    <w:p w14:paraId="640EE26F" w14:textId="77777777" w:rsidR="004F78CE" w:rsidRPr="003F0769" w:rsidRDefault="004F78CE" w:rsidP="004F78CE">
      <w:pPr>
        <w:ind w:left="2268"/>
        <w:rPr>
          <w:iCs/>
        </w:rPr>
      </w:pPr>
      <w:r w:rsidRPr="003F0769">
        <w:rPr>
          <w:iCs/>
        </w:rPr>
        <w:t>Art. 2° Os RPPS adotarão as contas a estes aplicáveis, especificadas no Plano de Contas Aplicado ao Setor Público – PCASP estendido até o 7º nível de classificação, conforme a versão atualizada do Anexo III da Instrução de Procedimentos Contábeis no 00 (IPC 00) da Secretaria do Tesouro Nacional.</w:t>
      </w:r>
    </w:p>
    <w:p w14:paraId="2A119E7B" w14:textId="77777777" w:rsidR="004F78CE" w:rsidRPr="003F0769" w:rsidRDefault="004F78CE" w:rsidP="004F78CE">
      <w:pPr>
        <w:tabs>
          <w:tab w:val="left" w:pos="2835"/>
        </w:tabs>
        <w:spacing w:before="200" w:after="200" w:line="276" w:lineRule="auto"/>
        <w:rPr>
          <w:rFonts w:eastAsia="Calibri"/>
        </w:rPr>
      </w:pPr>
      <w:r w:rsidRPr="003F0769">
        <w:rPr>
          <w:rFonts w:eastAsia="Calibri"/>
        </w:rPr>
        <w:t>Em 2018, a STN editou a instrução de procedimentos contábeis IPC 14 – Procedimentos Contábeis Relativos ao RPPS</w:t>
      </w:r>
      <w:r w:rsidRPr="003F0769">
        <w:rPr>
          <w:rFonts w:eastAsia="Calibri"/>
          <w:vertAlign w:val="superscript"/>
        </w:rPr>
        <w:footnoteReference w:id="26"/>
      </w:r>
      <w:r w:rsidRPr="003F0769">
        <w:rPr>
          <w:rFonts w:eastAsia="Calibri"/>
        </w:rPr>
        <w:t xml:space="preserve"> com o objetivo de orientar os profissionais de contabilidade e da área previdenciária quanto à contabilização e gestão de recursos dos RPPS, em conformidade com as normas publicadas pelo Ministério da Previdência Social (MPS). e com o MCASP.</w:t>
      </w:r>
    </w:p>
    <w:p w14:paraId="00F9AC94" w14:textId="77777777" w:rsidR="004F78CE" w:rsidRPr="003F0769" w:rsidRDefault="004F78CE" w:rsidP="004F78CE">
      <w:pPr>
        <w:tabs>
          <w:tab w:val="left" w:pos="2835"/>
        </w:tabs>
        <w:spacing w:before="200" w:after="200" w:line="276" w:lineRule="auto"/>
        <w:rPr>
          <w:rFonts w:eastAsia="Calibri"/>
        </w:rPr>
      </w:pPr>
      <w:r w:rsidRPr="003F0769">
        <w:rPr>
          <w:rFonts w:eastAsia="Calibri"/>
        </w:rPr>
        <w:t>A IPC 14 foi atualizada em 2022 e trouxe importantes alterações, dentre elas se destacam:</w:t>
      </w:r>
    </w:p>
    <w:p w14:paraId="055E5FB8" w14:textId="77777777" w:rsidR="004F78CE" w:rsidRPr="003F0769" w:rsidRDefault="004F78CE" w:rsidP="00736A8C">
      <w:pPr>
        <w:numPr>
          <w:ilvl w:val="0"/>
          <w:numId w:val="48"/>
        </w:numPr>
        <w:tabs>
          <w:tab w:val="left" w:pos="2835"/>
        </w:tabs>
        <w:spacing w:before="120" w:after="120" w:line="264" w:lineRule="auto"/>
        <w:ind w:left="714" w:hanging="357"/>
        <w:rPr>
          <w:rFonts w:eastAsia="Calibri"/>
        </w:rPr>
      </w:pPr>
      <w:r w:rsidRPr="003F0769">
        <w:rPr>
          <w:rFonts w:eastAsia="Calibri"/>
        </w:rPr>
        <w:t>Padronização das Fontes ou Destinações de Recursos, específicas para vinculação dos recursos do RPPS, conforme Portaria STN n° 710/2021;</w:t>
      </w:r>
    </w:p>
    <w:p w14:paraId="108AC0EF" w14:textId="77777777" w:rsidR="004F78CE" w:rsidRPr="003F0769" w:rsidRDefault="004F78CE" w:rsidP="00736A8C">
      <w:pPr>
        <w:numPr>
          <w:ilvl w:val="0"/>
          <w:numId w:val="48"/>
        </w:numPr>
        <w:tabs>
          <w:tab w:val="left" w:pos="2835"/>
        </w:tabs>
        <w:spacing w:before="120" w:after="120" w:line="264" w:lineRule="auto"/>
        <w:ind w:left="714" w:hanging="357"/>
        <w:rPr>
          <w:rFonts w:eastAsia="Calibri"/>
        </w:rPr>
      </w:pPr>
      <w:r w:rsidRPr="003F0769">
        <w:rPr>
          <w:rFonts w:eastAsia="Calibri"/>
        </w:rPr>
        <w:t>Detalhamento/</w:t>
      </w:r>
      <w:r>
        <w:rPr>
          <w:rFonts w:eastAsia="Calibri"/>
        </w:rPr>
        <w:t>a</w:t>
      </w:r>
      <w:r w:rsidRPr="003F0769">
        <w:rPr>
          <w:rFonts w:eastAsia="Calibri"/>
        </w:rPr>
        <w:t>dequação de classificações orçamentárias por natureza da receita e da despesa;</w:t>
      </w:r>
    </w:p>
    <w:p w14:paraId="36183A71" w14:textId="77777777" w:rsidR="004F78CE" w:rsidRPr="003F0769" w:rsidRDefault="004F78CE" w:rsidP="00736A8C">
      <w:pPr>
        <w:numPr>
          <w:ilvl w:val="0"/>
          <w:numId w:val="48"/>
        </w:numPr>
        <w:tabs>
          <w:tab w:val="left" w:pos="2835"/>
        </w:tabs>
        <w:spacing w:before="120" w:after="120" w:line="264" w:lineRule="auto"/>
        <w:ind w:left="714" w:hanging="357"/>
        <w:rPr>
          <w:rFonts w:eastAsia="Calibri"/>
        </w:rPr>
      </w:pPr>
      <w:r w:rsidRPr="003F0769">
        <w:rPr>
          <w:rFonts w:eastAsia="Calibri"/>
        </w:rPr>
        <w:t>Atualização dos procedimentos quanto às aplicações financeiras de liquidez imediata classificadas como Caixa e Equivalentes de Caixa;</w:t>
      </w:r>
    </w:p>
    <w:p w14:paraId="5A86E2AA" w14:textId="77777777" w:rsidR="004F78CE" w:rsidRPr="003F0769" w:rsidRDefault="004F78CE" w:rsidP="00736A8C">
      <w:pPr>
        <w:numPr>
          <w:ilvl w:val="0"/>
          <w:numId w:val="48"/>
        </w:numPr>
        <w:tabs>
          <w:tab w:val="left" w:pos="2835"/>
        </w:tabs>
        <w:spacing w:before="120" w:after="120" w:line="264" w:lineRule="auto"/>
        <w:ind w:left="714" w:hanging="357"/>
        <w:rPr>
          <w:rFonts w:eastAsia="Calibri"/>
        </w:rPr>
      </w:pPr>
      <w:r w:rsidRPr="003F0769">
        <w:rPr>
          <w:rFonts w:eastAsia="Calibri"/>
        </w:rPr>
        <w:lastRenderedPageBreak/>
        <w:t>Investimentos do RPPS: registros, mensuração, redução a valor recuperável;</w:t>
      </w:r>
    </w:p>
    <w:p w14:paraId="03B2691B" w14:textId="77777777" w:rsidR="004F78CE" w:rsidRPr="003F0769" w:rsidRDefault="004F78CE" w:rsidP="00736A8C">
      <w:pPr>
        <w:numPr>
          <w:ilvl w:val="0"/>
          <w:numId w:val="48"/>
        </w:numPr>
        <w:tabs>
          <w:tab w:val="left" w:pos="2835"/>
        </w:tabs>
        <w:spacing w:before="120" w:after="120" w:line="264" w:lineRule="auto"/>
        <w:ind w:left="714" w:hanging="357"/>
        <w:rPr>
          <w:rFonts w:eastAsia="Calibri"/>
        </w:rPr>
      </w:pPr>
      <w:r w:rsidRPr="003F0769">
        <w:rPr>
          <w:rFonts w:eastAsia="Calibri"/>
        </w:rPr>
        <w:t>Taxa de Administração, em conformidade com art. 84 da Portaria MTP nº 1.467/2022;</w:t>
      </w:r>
    </w:p>
    <w:p w14:paraId="6E76E003" w14:textId="77777777" w:rsidR="004F78CE" w:rsidRPr="003F0769" w:rsidRDefault="004F78CE" w:rsidP="00736A8C">
      <w:pPr>
        <w:numPr>
          <w:ilvl w:val="0"/>
          <w:numId w:val="48"/>
        </w:numPr>
        <w:tabs>
          <w:tab w:val="left" w:pos="2835"/>
        </w:tabs>
        <w:spacing w:before="120" w:after="120" w:line="264" w:lineRule="auto"/>
        <w:ind w:left="714" w:hanging="357"/>
        <w:rPr>
          <w:rFonts w:eastAsia="Calibri"/>
        </w:rPr>
      </w:pPr>
      <w:r w:rsidRPr="003F0769">
        <w:rPr>
          <w:rFonts w:eastAsia="Calibri"/>
        </w:rPr>
        <w:t>Provisões Matemáticas: método de financiamento e evidenciação;</w:t>
      </w:r>
    </w:p>
    <w:p w14:paraId="617CBD90" w14:textId="77777777" w:rsidR="004F78CE" w:rsidRPr="003F0769" w:rsidRDefault="004F78CE" w:rsidP="00736A8C">
      <w:pPr>
        <w:numPr>
          <w:ilvl w:val="0"/>
          <w:numId w:val="48"/>
        </w:numPr>
        <w:tabs>
          <w:tab w:val="left" w:pos="2835"/>
        </w:tabs>
        <w:spacing w:before="120" w:after="120" w:line="264" w:lineRule="auto"/>
        <w:ind w:left="714" w:hanging="357"/>
        <w:rPr>
          <w:rFonts w:eastAsia="Calibri"/>
        </w:rPr>
      </w:pPr>
      <w:r w:rsidRPr="003F0769">
        <w:rPr>
          <w:rFonts w:eastAsia="Calibri"/>
        </w:rPr>
        <w:t>Amortização do Déficit Atuarial: alteração da metodologia de registro e inclusão de rotina no caso de receitas vinculadas por lei para este fim;</w:t>
      </w:r>
    </w:p>
    <w:p w14:paraId="09811B80" w14:textId="77777777" w:rsidR="004F78CE" w:rsidRPr="003F0769" w:rsidRDefault="004F78CE" w:rsidP="00736A8C">
      <w:pPr>
        <w:numPr>
          <w:ilvl w:val="0"/>
          <w:numId w:val="48"/>
        </w:numPr>
        <w:tabs>
          <w:tab w:val="left" w:pos="2835"/>
        </w:tabs>
        <w:spacing w:before="120" w:after="120" w:line="264" w:lineRule="auto"/>
        <w:ind w:left="714" w:hanging="357"/>
        <w:rPr>
          <w:rFonts w:eastAsia="Calibri"/>
        </w:rPr>
      </w:pPr>
      <w:r w:rsidRPr="003F0769">
        <w:rPr>
          <w:rFonts w:eastAsia="Calibri"/>
        </w:rPr>
        <w:t>Inclusão dos procedimentos quanto aos Empréstimos Consignados a Segurados;</w:t>
      </w:r>
    </w:p>
    <w:p w14:paraId="3908BD57" w14:textId="77777777" w:rsidR="004F78CE" w:rsidRPr="003F0769" w:rsidRDefault="004F78CE" w:rsidP="00736A8C">
      <w:pPr>
        <w:numPr>
          <w:ilvl w:val="0"/>
          <w:numId w:val="48"/>
        </w:numPr>
        <w:tabs>
          <w:tab w:val="left" w:pos="2835"/>
        </w:tabs>
        <w:spacing w:before="120" w:after="120" w:line="264" w:lineRule="auto"/>
        <w:ind w:left="714" w:hanging="357"/>
        <w:rPr>
          <w:rFonts w:eastAsia="Calibri"/>
        </w:rPr>
      </w:pPr>
      <w:r w:rsidRPr="003F0769">
        <w:rPr>
          <w:rFonts w:eastAsia="Calibri"/>
        </w:rPr>
        <w:t>Inclusão dos procedimentos quanto aos Fundos Garantidores, para Oscilação de Riscos e Reservas Atuariais;</w:t>
      </w:r>
    </w:p>
    <w:p w14:paraId="1F548328" w14:textId="77777777" w:rsidR="004F78CE" w:rsidRPr="003F0769" w:rsidRDefault="004F78CE" w:rsidP="00736A8C">
      <w:pPr>
        <w:numPr>
          <w:ilvl w:val="0"/>
          <w:numId w:val="48"/>
        </w:numPr>
        <w:tabs>
          <w:tab w:val="left" w:pos="2835"/>
        </w:tabs>
        <w:spacing w:before="120" w:after="120" w:line="264" w:lineRule="auto"/>
        <w:ind w:left="714" w:hanging="357"/>
        <w:rPr>
          <w:rFonts w:eastAsia="Calibri"/>
        </w:rPr>
      </w:pPr>
      <w:r w:rsidRPr="003F0769">
        <w:rPr>
          <w:rFonts w:eastAsia="Calibri"/>
        </w:rPr>
        <w:t xml:space="preserve">Inclusão de contas para melhor evidenciação do passivo atuarial no </w:t>
      </w:r>
      <w:r>
        <w:rPr>
          <w:rFonts w:eastAsia="Calibri"/>
        </w:rPr>
        <w:t>e</w:t>
      </w:r>
      <w:r w:rsidRPr="003F0769">
        <w:rPr>
          <w:rFonts w:eastAsia="Calibri"/>
        </w:rPr>
        <w:t>nte.</w:t>
      </w:r>
    </w:p>
    <w:p w14:paraId="08385320" w14:textId="77777777" w:rsidR="004F78CE" w:rsidRPr="003F0769" w:rsidRDefault="004F78CE" w:rsidP="004F78CE">
      <w:pPr>
        <w:tabs>
          <w:tab w:val="left" w:pos="2835"/>
        </w:tabs>
        <w:spacing w:before="200" w:after="200" w:line="276" w:lineRule="auto"/>
        <w:rPr>
          <w:rFonts w:eastAsia="Calibri"/>
        </w:rPr>
      </w:pPr>
      <w:r w:rsidRPr="003F0769">
        <w:rPr>
          <w:rFonts w:eastAsia="Calibri"/>
        </w:rPr>
        <w:t>Outro dispositivo bastante relevante para a análise do tema é a NBC TSP 15 aprovada e publicada pelo CFC em 2018. A norma estabelece a contabilização e divulgação dos benefícios a empregados no setor público brasileiro, convergindo com os padrões internacionais estabelecidos pela IPSAS 39.</w:t>
      </w:r>
    </w:p>
    <w:p w14:paraId="73D9B1F0" w14:textId="77777777" w:rsidR="004F78CE" w:rsidRPr="003F0769" w:rsidRDefault="004F78CE" w:rsidP="004F78CE">
      <w:pPr>
        <w:tabs>
          <w:tab w:val="left" w:pos="2835"/>
        </w:tabs>
        <w:spacing w:before="200" w:after="200" w:line="276" w:lineRule="auto"/>
        <w:rPr>
          <w:rFonts w:eastAsia="Calibri"/>
        </w:rPr>
      </w:pPr>
      <w:r w:rsidRPr="003F0769">
        <w:rPr>
          <w:rFonts w:eastAsia="Calibri"/>
        </w:rPr>
        <w:t>Salienta-se que a NBC TSP 15 possui dimensão mais ampla que o escopo dos RPPS, trazendo o tratamento contábil aplicável a todo e qualquer tipo de benefício concedido a empregados. Ademais, a norma traz alguns conceitos e procedimentos que não têm aplicabilidade imediata para o setor público brasileiro, ante ao regramento legal vigente, tanto previdenciário quanto administrativo. Segundo o MCASP, 9ª edição, pg.399, a norma requer que a entidade reconheça o passivo atuarial e sua evidenciação no Balanço Patrimonial, em atendimento ao regime de competência:</w:t>
      </w:r>
    </w:p>
    <w:p w14:paraId="018C30B0" w14:textId="77777777" w:rsidR="004F78CE" w:rsidRPr="003F0769" w:rsidRDefault="004F78CE" w:rsidP="004F78CE">
      <w:pPr>
        <w:ind w:left="2268"/>
        <w:rPr>
          <w:iCs/>
        </w:rPr>
      </w:pPr>
      <w:r w:rsidRPr="003F0769">
        <w:rPr>
          <w:iCs/>
        </w:rPr>
        <w:t>a. Um passivo, quando o empregado presta um serviço em troca de benefícios que serão pagos no futuro; e</w:t>
      </w:r>
    </w:p>
    <w:p w14:paraId="7A348402" w14:textId="77777777" w:rsidR="004F78CE" w:rsidRPr="003F0769" w:rsidRDefault="004F78CE" w:rsidP="004F78CE">
      <w:pPr>
        <w:ind w:left="2268"/>
        <w:rPr>
          <w:iCs/>
        </w:rPr>
      </w:pPr>
      <w:r w:rsidRPr="003F0769">
        <w:rPr>
          <w:iCs/>
        </w:rPr>
        <w:t>b. Uma despesa, quando a entidade se utiliza dos benefícios econômicos ou potencial de serviços advindos do serviço prestado pelo empregado em troca de benefícios a esse empregado.</w:t>
      </w:r>
    </w:p>
    <w:p w14:paraId="4BB94A25" w14:textId="77777777" w:rsidR="004F78CE" w:rsidRPr="003F0769" w:rsidRDefault="004F78CE" w:rsidP="004F78CE">
      <w:pPr>
        <w:tabs>
          <w:tab w:val="left" w:pos="2835"/>
        </w:tabs>
        <w:spacing w:before="200" w:after="200" w:line="276" w:lineRule="auto"/>
        <w:rPr>
          <w:rFonts w:eastAsia="Calibri"/>
        </w:rPr>
      </w:pPr>
      <w:r w:rsidRPr="003F0769">
        <w:rPr>
          <w:rFonts w:eastAsia="Calibri"/>
          <w:iCs/>
        </w:rPr>
        <w:t>A NBC TSP 15 deve ser aplicada pela entidade empregadora do setor público, com o fim de contabilizar todos os benefícios a empregados. A exceção ao estabelecido nesta norma refere-se apenas a transações baseadas em ações. O termo empregado compreende todos os servidores que possuam vínculo laboral com uma entidade do setor público, sejam ocupantes de cargos, empregos, funções públicas ou qualquer outra forma de prestação de serviços, civil ou militar.</w:t>
      </w:r>
    </w:p>
    <w:p w14:paraId="1E5E57C4" w14:textId="77777777" w:rsidR="004F78CE" w:rsidRPr="003F0769" w:rsidRDefault="004F78CE" w:rsidP="004F78CE">
      <w:pPr>
        <w:tabs>
          <w:tab w:val="left" w:pos="2835"/>
        </w:tabs>
        <w:spacing w:before="200" w:after="200" w:line="276" w:lineRule="auto"/>
        <w:rPr>
          <w:rFonts w:eastAsia="Calibri"/>
        </w:rPr>
      </w:pPr>
      <w:r w:rsidRPr="003F0769">
        <w:rPr>
          <w:rFonts w:eastAsia="Calibri"/>
          <w:iCs/>
        </w:rPr>
        <w:t>O foco da análise consiste em tratar dos benefícios pós-emprego, na modalidade de plano de benefício definido, que é o que se aplica diretamente ao RPPS.</w:t>
      </w:r>
    </w:p>
    <w:p w14:paraId="2459CA61" w14:textId="77777777" w:rsidR="004F78CE" w:rsidRPr="003F0769" w:rsidRDefault="004F78CE" w:rsidP="004F78CE">
      <w:pPr>
        <w:pStyle w:val="Ttulo5"/>
        <w:tabs>
          <w:tab w:val="clear" w:pos="426"/>
          <w:tab w:val="left" w:pos="0"/>
        </w:tabs>
        <w:autoSpaceDN w:val="0"/>
        <w:spacing w:before="240"/>
      </w:pPr>
      <w:r w:rsidRPr="003F0769">
        <w:lastRenderedPageBreak/>
        <w:t>Situação Patrimonial no Estado de Goiás</w:t>
      </w:r>
    </w:p>
    <w:p w14:paraId="23B5AC5A" w14:textId="77777777" w:rsidR="004F78CE" w:rsidRPr="003F0769" w:rsidRDefault="004F78CE" w:rsidP="004F78CE">
      <w:pPr>
        <w:tabs>
          <w:tab w:val="left" w:pos="2835"/>
        </w:tabs>
        <w:spacing w:before="200" w:after="200" w:line="276" w:lineRule="auto"/>
        <w:rPr>
          <w:rFonts w:eastAsia="Calibri"/>
        </w:rPr>
      </w:pPr>
      <w:r w:rsidRPr="003F0769">
        <w:rPr>
          <w:rFonts w:eastAsia="Calibri"/>
        </w:rPr>
        <w:t xml:space="preserve">Na análise da Prestação de Contas Anual de 2023, identificou-se importantes alterações quanto ao tratamento contábil e atuarial das provisões matemáticas previdenciárias e evidenciação da situação financeira e atuarial do RPPS e do SPSM do </w:t>
      </w:r>
      <w:r>
        <w:rPr>
          <w:rFonts w:eastAsia="Calibri"/>
        </w:rPr>
        <w:t>e</w:t>
      </w:r>
      <w:r w:rsidRPr="003F0769">
        <w:rPr>
          <w:rFonts w:eastAsia="Calibri"/>
        </w:rPr>
        <w:t>stado de Goiás. Tais mudanças, conforme Nota Explicativa nº 5/2024 GOIASPREV/GECONT, buscam adequação às normas vigentes e serão tratadas a seguir.</w:t>
      </w:r>
    </w:p>
    <w:p w14:paraId="0BA1CC9E" w14:textId="77777777" w:rsidR="004F78CE" w:rsidRPr="003F0769" w:rsidRDefault="004F78CE" w:rsidP="004F78CE">
      <w:pPr>
        <w:tabs>
          <w:tab w:val="left" w:pos="2835"/>
        </w:tabs>
        <w:spacing w:before="200" w:after="200" w:line="276" w:lineRule="auto"/>
        <w:rPr>
          <w:rFonts w:eastAsia="Calibri"/>
        </w:rPr>
      </w:pPr>
      <w:r w:rsidRPr="003F0769">
        <w:rPr>
          <w:rFonts w:eastAsia="Calibri"/>
        </w:rPr>
        <w:t>Para demonstrar a real situação patrimonial e financeira do RPPS, deve-se seguir a regulamentação da Portaria MTP nº 1.467/2022 e a IPC 14, que tratam das reservas matemáticas previdenciárias e suas provisões.</w:t>
      </w:r>
    </w:p>
    <w:p w14:paraId="59338DA8" w14:textId="77777777" w:rsidR="004F78CE" w:rsidRPr="003F0769" w:rsidRDefault="004F78CE" w:rsidP="004F78CE">
      <w:pPr>
        <w:tabs>
          <w:tab w:val="left" w:pos="2835"/>
        </w:tabs>
        <w:spacing w:before="200" w:after="200" w:line="276" w:lineRule="auto"/>
        <w:rPr>
          <w:rFonts w:eastAsia="Calibri"/>
        </w:rPr>
      </w:pPr>
      <w:r w:rsidRPr="003F0769">
        <w:rPr>
          <w:rFonts w:eastAsia="Calibri"/>
        </w:rPr>
        <w:t>Consoante o § 1º do art. 31 da Portaria MTP nº 1.467/2022, a apuração do custo normal dos benefícios avaliados em regime financeiro de capitalização e o financiamento gradual do custo dos benefícios futuros deverá ser estruturado durante toda a vida laboral do servidor, por meio de um dos seguintes métodos atuariais de financiamento: Crédito Unitário Projetado (CUP), Idade Normal de Entrada, Prêmio Nivelado Individual e Agregado/Ortodoxo.</w:t>
      </w:r>
    </w:p>
    <w:p w14:paraId="29CE5214" w14:textId="77777777" w:rsidR="004F78CE" w:rsidRPr="003F0769" w:rsidRDefault="004F78CE" w:rsidP="004F78CE">
      <w:pPr>
        <w:tabs>
          <w:tab w:val="left" w:pos="2835"/>
        </w:tabs>
        <w:spacing w:before="200" w:after="200" w:line="276" w:lineRule="auto"/>
        <w:rPr>
          <w:rFonts w:eastAsia="Calibri"/>
        </w:rPr>
      </w:pPr>
      <w:r w:rsidRPr="003F0769">
        <w:rPr>
          <w:rFonts w:eastAsia="Calibri"/>
        </w:rPr>
        <w:t>Conforme a NBC TSP 15, item 59 e 69, a contabilização de planos de benefício definido pela entidade envolve os seguintes passos:</w:t>
      </w:r>
    </w:p>
    <w:p w14:paraId="6B2FA041" w14:textId="77777777" w:rsidR="004F78CE" w:rsidRPr="00221593" w:rsidRDefault="004F78CE" w:rsidP="004F78CE">
      <w:pPr>
        <w:ind w:left="2268"/>
        <w:rPr>
          <w:iCs/>
          <w:sz w:val="20"/>
          <w:szCs w:val="20"/>
        </w:rPr>
      </w:pPr>
      <w:r w:rsidRPr="00221593">
        <w:rPr>
          <w:iCs/>
          <w:sz w:val="20"/>
          <w:szCs w:val="20"/>
        </w:rPr>
        <w:t>59. (...)</w:t>
      </w:r>
    </w:p>
    <w:p w14:paraId="1D23D966" w14:textId="77777777" w:rsidR="004F78CE" w:rsidRPr="00221593" w:rsidRDefault="004F78CE" w:rsidP="004F78CE">
      <w:pPr>
        <w:ind w:left="2268"/>
        <w:rPr>
          <w:iCs/>
          <w:sz w:val="20"/>
          <w:szCs w:val="20"/>
        </w:rPr>
      </w:pPr>
      <w:r w:rsidRPr="00221593">
        <w:rPr>
          <w:iCs/>
          <w:sz w:val="20"/>
          <w:szCs w:val="20"/>
        </w:rPr>
        <w:t>(a) determinar o déficit ou o superávit. Isso envolve:</w:t>
      </w:r>
    </w:p>
    <w:p w14:paraId="0357D43B" w14:textId="77777777" w:rsidR="004F78CE" w:rsidRPr="00221593" w:rsidRDefault="004F78CE" w:rsidP="004F78CE">
      <w:pPr>
        <w:ind w:left="2268"/>
        <w:rPr>
          <w:iCs/>
          <w:sz w:val="20"/>
          <w:szCs w:val="20"/>
        </w:rPr>
      </w:pPr>
      <w:r w:rsidRPr="00221593">
        <w:rPr>
          <w:iCs/>
          <w:sz w:val="20"/>
          <w:szCs w:val="20"/>
        </w:rPr>
        <w:t>(i) utilizar uma técnica atuarial, o método de crédito unitário projetado, para estimar de maneira confiável o custo final para a entidade do benefício obtido pelos empregados em troca dos serviços prestados nos períodos corrente e anteriores (ver itens 69 a 71). Isso exige que a entidade determine quanto do benefício deve ser atribuível aos períodos corrente e anteriores (ver itens 72 a 76) e que faça estimativas (premissas atuariais) acerca de variáveis demográficas (tais como rotatividade e mortalidade de empregados) e variáveis financeiras (tais como futuros aumentos nos salários e nos custos médicos), que afetarão o custo do benefício (ver itens 77 a100);</w:t>
      </w:r>
    </w:p>
    <w:p w14:paraId="5B759B6C" w14:textId="77777777" w:rsidR="004F78CE" w:rsidRPr="00221593" w:rsidRDefault="004F78CE" w:rsidP="004F78CE">
      <w:pPr>
        <w:ind w:left="2268"/>
        <w:rPr>
          <w:iCs/>
          <w:sz w:val="20"/>
          <w:szCs w:val="20"/>
        </w:rPr>
      </w:pPr>
    </w:p>
    <w:p w14:paraId="49D85CB8" w14:textId="77777777" w:rsidR="004F78CE" w:rsidRPr="00221593" w:rsidRDefault="004F78CE" w:rsidP="004F78CE">
      <w:pPr>
        <w:ind w:left="2268"/>
        <w:rPr>
          <w:iCs/>
          <w:sz w:val="20"/>
          <w:szCs w:val="20"/>
        </w:rPr>
      </w:pPr>
      <w:r w:rsidRPr="00221593">
        <w:rPr>
          <w:iCs/>
          <w:sz w:val="20"/>
          <w:szCs w:val="20"/>
        </w:rPr>
        <w:t>[...]</w:t>
      </w:r>
    </w:p>
    <w:p w14:paraId="0C69DA8F" w14:textId="77777777" w:rsidR="004F78CE" w:rsidRPr="00221593" w:rsidRDefault="004F78CE" w:rsidP="004F78CE">
      <w:pPr>
        <w:ind w:left="2268"/>
        <w:rPr>
          <w:iCs/>
          <w:sz w:val="20"/>
          <w:szCs w:val="20"/>
        </w:rPr>
      </w:pPr>
    </w:p>
    <w:p w14:paraId="53F26003" w14:textId="77777777" w:rsidR="004F78CE" w:rsidRPr="00221593" w:rsidRDefault="004F78CE" w:rsidP="004F78CE">
      <w:pPr>
        <w:ind w:left="2268"/>
        <w:rPr>
          <w:iCs/>
          <w:sz w:val="20"/>
          <w:szCs w:val="20"/>
        </w:rPr>
      </w:pPr>
      <w:r w:rsidRPr="00221593">
        <w:rPr>
          <w:iCs/>
          <w:sz w:val="20"/>
          <w:szCs w:val="20"/>
        </w:rPr>
        <w:t>69. A entidade deve utilizar o método de crédito unitário projetado para determinar o valor presente das obrigações de benefício definido e o respectivo custo do serviço corrente e, quando aplicável, o custo do serviço passado.</w:t>
      </w:r>
    </w:p>
    <w:p w14:paraId="145A388C" w14:textId="77777777" w:rsidR="004F78CE" w:rsidRPr="003F0769" w:rsidRDefault="004F78CE" w:rsidP="00D92C03">
      <w:pPr>
        <w:tabs>
          <w:tab w:val="left" w:pos="2835"/>
        </w:tabs>
        <w:spacing w:before="200" w:after="200" w:line="264" w:lineRule="auto"/>
        <w:rPr>
          <w:rFonts w:eastAsia="Calibri"/>
        </w:rPr>
      </w:pPr>
      <w:r w:rsidRPr="003F0769">
        <w:rPr>
          <w:rFonts w:eastAsia="Calibri"/>
        </w:rPr>
        <w:t>Pelo exposto, conclui-se que a norma orienta a utilização do método do CUP para determinar o valor presente das obrigações de benefício definido e o respectivo custo do serviço corrente e, quando aplicável, o custo do serviço passado.</w:t>
      </w:r>
    </w:p>
    <w:p w14:paraId="64380416" w14:textId="77777777" w:rsidR="004F78CE" w:rsidRPr="003F0769" w:rsidRDefault="004F78CE" w:rsidP="00D92C03">
      <w:pPr>
        <w:tabs>
          <w:tab w:val="left" w:pos="2835"/>
        </w:tabs>
        <w:spacing w:before="200" w:after="200" w:line="264" w:lineRule="auto"/>
        <w:rPr>
          <w:rFonts w:eastAsia="Calibri"/>
        </w:rPr>
      </w:pPr>
      <w:r w:rsidRPr="003F0769">
        <w:rPr>
          <w:rFonts w:eastAsia="Calibri"/>
        </w:rPr>
        <w:t>Ademais, a fim de compatibilizar os aspectos contábeis e de gestão atuarial dos RPPS, a entidade poderá adotar um método de financiamento atuarial para fins de gestão desde que permitido pela legislação previdenciária e evidenciar tal fato em notas explicativas, inclusive demonstrando os efeitos e o impacto de tal fato.</w:t>
      </w:r>
    </w:p>
    <w:p w14:paraId="5401A6CB" w14:textId="77777777" w:rsidR="004F78CE" w:rsidRPr="003F0769" w:rsidRDefault="004F78CE" w:rsidP="00D92C03">
      <w:pPr>
        <w:tabs>
          <w:tab w:val="left" w:pos="2835"/>
        </w:tabs>
        <w:spacing w:before="200" w:after="200" w:line="264" w:lineRule="auto"/>
        <w:rPr>
          <w:rFonts w:eastAsia="Calibri"/>
        </w:rPr>
      </w:pPr>
      <w:r w:rsidRPr="003F0769">
        <w:rPr>
          <w:rFonts w:eastAsia="Calibri"/>
        </w:rPr>
        <w:lastRenderedPageBreak/>
        <w:t xml:space="preserve">Nesse caso, se o plano de custeio do RPPS estiver definido com base em outro método de financiamento diferente do CUP, será necessário a produção de um relatório atuarial, de fins contábeis, para subsidiar o contador quanto às análises e registros. Deverá haver o ajuste metodológico no </w:t>
      </w:r>
      <w:r w:rsidRPr="003F0769">
        <w:rPr>
          <w:rFonts w:eastAsia="Calibri" w:cs="Arial"/>
        </w:rPr>
        <w:t>ente (consolidação das DCs) quanto ao método de financiamento atuarial</w:t>
      </w:r>
      <w:r w:rsidRPr="003F0769">
        <w:rPr>
          <w:rFonts w:eastAsia="Calibri"/>
        </w:rPr>
        <w:t xml:space="preserve"> através da e</w:t>
      </w:r>
      <w:r w:rsidRPr="003F0769">
        <w:rPr>
          <w:rFonts w:eastAsia="Calibri" w:cs="Arial"/>
        </w:rPr>
        <w:t>videnciação em n</w:t>
      </w:r>
      <w:r w:rsidRPr="003F0769">
        <w:rPr>
          <w:rFonts w:eastAsia="Calibri"/>
        </w:rPr>
        <w:t xml:space="preserve">otas </w:t>
      </w:r>
      <w:r w:rsidRPr="003F0769">
        <w:rPr>
          <w:rFonts w:eastAsia="Calibri" w:cs="Arial"/>
        </w:rPr>
        <w:t>e</w:t>
      </w:r>
      <w:r w:rsidRPr="003F0769">
        <w:rPr>
          <w:rFonts w:eastAsia="Calibri"/>
        </w:rPr>
        <w:t>xplicativas</w:t>
      </w:r>
      <w:r w:rsidRPr="003F0769">
        <w:rPr>
          <w:rFonts w:eastAsia="Calibri" w:cs="Arial"/>
        </w:rPr>
        <w:t xml:space="preserve"> e registros em contas de controle.</w:t>
      </w:r>
    </w:p>
    <w:p w14:paraId="5E689BAD" w14:textId="77777777" w:rsidR="004F78CE" w:rsidRPr="003F0769" w:rsidRDefault="004F78CE" w:rsidP="00D92C03">
      <w:pPr>
        <w:tabs>
          <w:tab w:val="left" w:pos="2835"/>
        </w:tabs>
        <w:spacing w:before="200" w:after="200" w:line="264" w:lineRule="auto"/>
        <w:rPr>
          <w:rFonts w:eastAsia="Calibri"/>
        </w:rPr>
      </w:pPr>
      <w:r w:rsidRPr="003F0769">
        <w:rPr>
          <w:rFonts w:eastAsia="Calibri"/>
        </w:rPr>
        <w:t xml:space="preserve">Quanto a esse aspecto, </w:t>
      </w:r>
      <w:bookmarkStart w:id="491" w:name="_Hlk167359531"/>
      <w:r w:rsidRPr="003F0769">
        <w:rPr>
          <w:rFonts w:eastAsia="Calibri"/>
        </w:rPr>
        <w:t>a Goiasprev</w:t>
      </w:r>
      <w:bookmarkEnd w:id="491"/>
      <w:r w:rsidRPr="003F0769">
        <w:rPr>
          <w:rFonts w:eastAsia="Calibri"/>
        </w:rPr>
        <w:t xml:space="preserve">, por meio da Nota Técnica nº 1/2024 GADP/DAP/GOIASPREV, </w:t>
      </w:r>
      <w:bookmarkStart w:id="492" w:name="_Hlk167359546"/>
      <w:r w:rsidRPr="003F0769">
        <w:rPr>
          <w:rFonts w:eastAsia="Calibri"/>
        </w:rPr>
        <w:t>declarou que, para fins de alinhar às normas contábeis aplicadas ao setor público, o método utilizado para a avaliação financeira e atuarial do RPPS</w:t>
      </w:r>
      <w:r>
        <w:rPr>
          <w:rFonts w:eastAsia="Calibri"/>
        </w:rPr>
        <w:t xml:space="preserve"> </w:t>
      </w:r>
      <w:r w:rsidRPr="003F0769">
        <w:rPr>
          <w:rFonts w:eastAsia="Calibri"/>
        </w:rPr>
        <w:t>e SPSM</w:t>
      </w:r>
      <w:r>
        <w:rPr>
          <w:rFonts w:eastAsia="Calibri"/>
        </w:rPr>
        <w:t xml:space="preserve"> do Estado</w:t>
      </w:r>
      <w:r w:rsidRPr="003F0769">
        <w:rPr>
          <w:rFonts w:eastAsia="Calibri"/>
        </w:rPr>
        <w:t xml:space="preserve"> foi o CUP e para fins</w:t>
      </w:r>
      <w:r>
        <w:rPr>
          <w:rFonts w:eastAsia="Calibri"/>
        </w:rPr>
        <w:t xml:space="preserve"> </w:t>
      </w:r>
      <w:r w:rsidRPr="003F0769">
        <w:rPr>
          <w:rFonts w:eastAsia="Calibri"/>
        </w:rPr>
        <w:t xml:space="preserve"> gerenciais, o método agregado/ortodoxo, uma vez que este reflete a realidade dos regimes de maneira mais assertiva, preservando a real situação do equilíbrio financeiro-atuarial. O cálculo das provisões matemáticas por esse método levou em consideração a legislação em vigor na data focal da avaliação atuarial, Lei Complementar Estadual nº 161</w:t>
      </w:r>
      <w:r>
        <w:rPr>
          <w:rFonts w:eastAsia="Calibri"/>
        </w:rPr>
        <w:t xml:space="preserve">, de 30 de dezembro de </w:t>
      </w:r>
      <w:r w:rsidRPr="003F0769">
        <w:rPr>
          <w:rFonts w:eastAsia="Calibri"/>
        </w:rPr>
        <w:t>2020.</w:t>
      </w:r>
    </w:p>
    <w:bookmarkEnd w:id="492"/>
    <w:p w14:paraId="6E292532" w14:textId="77777777" w:rsidR="004F78CE" w:rsidRPr="003F0769" w:rsidRDefault="004F78CE" w:rsidP="00D92C03">
      <w:pPr>
        <w:tabs>
          <w:tab w:val="left" w:pos="2835"/>
        </w:tabs>
        <w:spacing w:before="200" w:after="200" w:line="264" w:lineRule="auto"/>
        <w:rPr>
          <w:rFonts w:eastAsia="Calibri"/>
        </w:rPr>
      </w:pPr>
      <w:r w:rsidRPr="003F0769">
        <w:rPr>
          <w:rFonts w:eastAsia="Calibri"/>
        </w:rPr>
        <w:t>Sendo assim, em atendimento ao § 3º do art. 26 da Portaria MTP nº 1467/2022, a Goiasprev apresentou, em nota explicativa às demonstrações contábeis, tabelas comparativas contendo as avaliações atuariais pelo método agregado/ortodoxo e pelo método CUP (Nota Técnica nº 1/2024 GADP/DAP/GOIASPREV):</w:t>
      </w:r>
    </w:p>
    <w:p w14:paraId="6DCFE32E" w14:textId="77777777" w:rsidR="0099185A" w:rsidRPr="003F0769" w:rsidRDefault="0099185A" w:rsidP="0099185A">
      <w:pPr>
        <w:pStyle w:val="0-FIGURA"/>
      </w:pPr>
      <w:bookmarkStart w:id="493" w:name="_Toc167825124"/>
      <w:r w:rsidRPr="003F0769">
        <w:t xml:space="preserve">Quadro </w:t>
      </w:r>
      <w:r w:rsidRPr="0099185A">
        <w:rPr>
          <w:rFonts w:eastAsia="Times New Roman"/>
          <w:szCs w:val="20"/>
        </w:rPr>
        <w:t>Comparativo</w:t>
      </w:r>
      <w:r w:rsidRPr="003F0769">
        <w:t>: Fundo Financeiro do RPPS</w:t>
      </w:r>
      <w:bookmarkEnd w:id="493"/>
    </w:p>
    <w:p w14:paraId="5B4B576B" w14:textId="77777777" w:rsidR="0099185A" w:rsidRPr="003F0769" w:rsidRDefault="0099185A" w:rsidP="0099185A">
      <w:pPr>
        <w:tabs>
          <w:tab w:val="left" w:pos="2835"/>
        </w:tabs>
        <w:spacing w:before="200" w:after="200" w:line="276" w:lineRule="auto"/>
        <w:jc w:val="center"/>
        <w:rPr>
          <w:rFonts w:eastAsia="Calibri"/>
        </w:rPr>
      </w:pPr>
      <w:r w:rsidRPr="003F0769">
        <w:rPr>
          <w:rFonts w:eastAsia="Calibri"/>
          <w:noProof/>
        </w:rPr>
        <w:drawing>
          <wp:inline distT="0" distB="0" distL="0" distR="0" wp14:anchorId="73F38807" wp14:editId="6E519EB8">
            <wp:extent cx="3754755" cy="2800350"/>
            <wp:effectExtent l="0" t="0" r="0" b="0"/>
            <wp:docPr id="1142150374"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150374" name="Imagem 1" descr="Tabela&#10;&#10;Descrição gerada automaticamente"/>
                    <pic:cNvPicPr/>
                  </pic:nvPicPr>
                  <pic:blipFill>
                    <a:blip r:embed="rId63"/>
                    <a:stretch>
                      <a:fillRect/>
                    </a:stretch>
                  </pic:blipFill>
                  <pic:spPr>
                    <a:xfrm>
                      <a:off x="0" y="0"/>
                      <a:ext cx="3780672" cy="2819679"/>
                    </a:xfrm>
                    <a:prstGeom prst="rect">
                      <a:avLst/>
                    </a:prstGeom>
                  </pic:spPr>
                </pic:pic>
              </a:graphicData>
            </a:graphic>
          </wp:inline>
        </w:drawing>
      </w:r>
    </w:p>
    <w:p w14:paraId="74657983" w14:textId="7EEABAF8" w:rsidR="0099185A" w:rsidRDefault="0099185A" w:rsidP="0099185A">
      <w:pPr>
        <w:ind w:left="2552"/>
        <w:jc w:val="left"/>
        <w:rPr>
          <w:rFonts w:cs="Arial"/>
          <w:sz w:val="16"/>
          <w:szCs w:val="16"/>
        </w:rPr>
      </w:pPr>
      <w:r w:rsidRPr="003F0769">
        <w:rPr>
          <w:rFonts w:cs="Arial"/>
          <w:sz w:val="16"/>
          <w:szCs w:val="16"/>
        </w:rPr>
        <w:t>Fonte: Nota Técnica nº 1/2024 GADP/DAP/GOIASPREV</w:t>
      </w:r>
    </w:p>
    <w:p w14:paraId="0E13C85D" w14:textId="77777777" w:rsidR="0056640B" w:rsidRPr="003F0769" w:rsidRDefault="0056640B" w:rsidP="0056640B">
      <w:pPr>
        <w:pStyle w:val="1-REL11"/>
      </w:pPr>
    </w:p>
    <w:p w14:paraId="5EFF8B87" w14:textId="77777777" w:rsidR="007B0E26" w:rsidRPr="003F0769" w:rsidRDefault="007B0E26" w:rsidP="007B0E26">
      <w:pPr>
        <w:pStyle w:val="0-FIGURA"/>
      </w:pPr>
      <w:bookmarkStart w:id="494" w:name="_Toc167825125"/>
      <w:r w:rsidRPr="003F0769">
        <w:rPr>
          <w:noProof/>
        </w:rPr>
        <w:lastRenderedPageBreak/>
        <w:drawing>
          <wp:anchor distT="0" distB="0" distL="114300" distR="114300" simplePos="0" relativeHeight="251673600" behindDoc="1" locked="0" layoutInCell="1" allowOverlap="1" wp14:anchorId="131E33E2" wp14:editId="41B2FD8B">
            <wp:simplePos x="0" y="0"/>
            <wp:positionH relativeFrom="margin">
              <wp:posOffset>796290</wp:posOffset>
            </wp:positionH>
            <wp:positionV relativeFrom="paragraph">
              <wp:posOffset>334010</wp:posOffset>
            </wp:positionV>
            <wp:extent cx="3786505" cy="3457575"/>
            <wp:effectExtent l="0" t="0" r="4445" b="9525"/>
            <wp:wrapTopAndBottom/>
            <wp:docPr id="1583636754"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3636754" name="Imagem 1" descr="Tabela&#10;&#10;Descrição gerada automaticamente"/>
                    <pic:cNvPicPr/>
                  </pic:nvPicPr>
                  <pic:blipFill>
                    <a:blip r:embed="rId64" cstate="print">
                      <a:extLst>
                        <a:ext uri="{28A0092B-C50C-407E-A947-70E740481C1C}">
                          <a14:useLocalDpi xmlns:a14="http://schemas.microsoft.com/office/drawing/2010/main" val="0"/>
                        </a:ext>
                      </a:extLst>
                    </a:blip>
                    <a:stretch>
                      <a:fillRect/>
                    </a:stretch>
                  </pic:blipFill>
                  <pic:spPr>
                    <a:xfrm>
                      <a:off x="0" y="0"/>
                      <a:ext cx="3786505" cy="3457575"/>
                    </a:xfrm>
                    <a:prstGeom prst="rect">
                      <a:avLst/>
                    </a:prstGeom>
                  </pic:spPr>
                </pic:pic>
              </a:graphicData>
            </a:graphic>
            <wp14:sizeRelH relativeFrom="page">
              <wp14:pctWidth>0</wp14:pctWidth>
            </wp14:sizeRelH>
            <wp14:sizeRelV relativeFrom="page">
              <wp14:pctHeight>0</wp14:pctHeight>
            </wp14:sizeRelV>
          </wp:anchor>
        </w:drawing>
      </w:r>
      <w:r w:rsidRPr="003F0769">
        <w:t>Quadro Comparativo: Fundo Financeiro do SPSM/GO</w:t>
      </w:r>
      <w:bookmarkEnd w:id="494"/>
    </w:p>
    <w:p w14:paraId="0C9895AF" w14:textId="77777777" w:rsidR="007B0E26" w:rsidRPr="003F0769" w:rsidRDefault="007B0E26" w:rsidP="007B0E26">
      <w:pPr>
        <w:widowControl w:val="0"/>
        <w:rPr>
          <w:rFonts w:cs="Arial"/>
          <w:szCs w:val="24"/>
        </w:rPr>
      </w:pPr>
    </w:p>
    <w:p w14:paraId="54B313AB" w14:textId="77777777" w:rsidR="007B0E26" w:rsidRPr="003F0769" w:rsidRDefault="007B0E26" w:rsidP="007B0E26">
      <w:pPr>
        <w:spacing w:after="120"/>
        <w:ind w:left="2410" w:right="-74"/>
        <w:jc w:val="left"/>
        <w:rPr>
          <w:rFonts w:eastAsia="Calibri"/>
          <w:w w:val="109"/>
          <w:sz w:val="16"/>
          <w:szCs w:val="16"/>
        </w:rPr>
      </w:pPr>
      <w:r w:rsidRPr="003F0769">
        <w:rPr>
          <w:rFonts w:eastAsia="Calibri"/>
          <w:w w:val="109"/>
          <w:sz w:val="16"/>
          <w:szCs w:val="16"/>
        </w:rPr>
        <w:t>Fonte: Nota Técnica nº 1/2024 GADP/DAP/GOIASPREV</w:t>
      </w:r>
    </w:p>
    <w:p w14:paraId="750670B1" w14:textId="77777777" w:rsidR="007B0E26" w:rsidRPr="003F0769" w:rsidRDefault="007B0E26" w:rsidP="007B0E26">
      <w:pPr>
        <w:tabs>
          <w:tab w:val="left" w:pos="2835"/>
        </w:tabs>
        <w:spacing w:before="200" w:after="200" w:line="276" w:lineRule="auto"/>
        <w:rPr>
          <w:rFonts w:eastAsia="Calibri"/>
        </w:rPr>
      </w:pPr>
      <w:r w:rsidRPr="003F0769">
        <w:rPr>
          <w:rFonts w:eastAsia="Calibri"/>
        </w:rPr>
        <w:t>Após a definição do método de financiamento e realização avaliação atuarial, passa-se ao registro das provisões matemáticas previdenciárias que visam demonstrar a real situação patrimonial e financeira do RPPS. Com esse propósito, o ente deve seguir a regulamentação realizada pelos normativos do</w:t>
      </w:r>
      <w:r>
        <w:rPr>
          <w:rFonts w:eastAsia="Calibri"/>
        </w:rPr>
        <w:t>s</w:t>
      </w:r>
      <w:r w:rsidRPr="003F0769">
        <w:rPr>
          <w:rFonts w:eastAsia="Calibri"/>
        </w:rPr>
        <w:t xml:space="preserve"> Ministérios da Previdência</w:t>
      </w:r>
      <w:r>
        <w:rPr>
          <w:rFonts w:eastAsia="Calibri"/>
        </w:rPr>
        <w:t xml:space="preserve"> e </w:t>
      </w:r>
      <w:r w:rsidRPr="003F0769">
        <w:rPr>
          <w:rFonts w:eastAsia="Calibri"/>
        </w:rPr>
        <w:t>Economia, especificamente quanto a reservas matemáticas previdenciárias e suas respectivas provisões.</w:t>
      </w:r>
    </w:p>
    <w:p w14:paraId="751AEE5F" w14:textId="77777777" w:rsidR="0056640B" w:rsidRPr="003F0769" w:rsidRDefault="0056640B" w:rsidP="0056640B">
      <w:pPr>
        <w:tabs>
          <w:tab w:val="left" w:pos="2835"/>
        </w:tabs>
        <w:spacing w:before="200" w:after="200" w:line="276" w:lineRule="auto"/>
        <w:rPr>
          <w:rFonts w:eastAsia="Calibri"/>
        </w:rPr>
      </w:pPr>
      <w:r w:rsidRPr="003F0769">
        <w:rPr>
          <w:rFonts w:eastAsia="Calibri"/>
        </w:rPr>
        <w:t xml:space="preserve">Salienta-se que </w:t>
      </w:r>
      <w:bookmarkStart w:id="495" w:name="_Hlk167359956"/>
      <w:r w:rsidRPr="003F0769">
        <w:rPr>
          <w:rFonts w:eastAsia="Calibri"/>
        </w:rPr>
        <w:t>as contas contábeis para registro das Provisões Matemáticas Previdenciárias (passivo atuarial) estão posicionadas no Passivo Não Circulante e correspondem às obrigações de longo prazo, conforme Plano de Contas aplicável ao RPPS, contabilizadas em consonância com a IPC 14.</w:t>
      </w:r>
    </w:p>
    <w:bookmarkEnd w:id="495"/>
    <w:p w14:paraId="2537AAB3" w14:textId="77777777" w:rsidR="0056640B" w:rsidRPr="003F0769" w:rsidRDefault="0056640B" w:rsidP="006E6638">
      <w:pPr>
        <w:tabs>
          <w:tab w:val="left" w:pos="2835"/>
        </w:tabs>
        <w:spacing w:before="200" w:after="200" w:line="300" w:lineRule="auto"/>
        <w:rPr>
          <w:rFonts w:ascii="ArialMT" w:eastAsia="Calibri" w:hAnsi="ArialMT"/>
        </w:rPr>
      </w:pPr>
      <w:r w:rsidRPr="003F0769">
        <w:rPr>
          <w:rFonts w:ascii="ArialMT" w:eastAsia="Calibri" w:hAnsi="ArialMT"/>
        </w:rPr>
        <w:t xml:space="preserve">O processo de escrituração dos Fundos Financeiros do RPPS (UO 1780) e do SPSM (UO 1781), classificados como planos financeiros, segundo as normas vigentes, são estruturados para que não apresentem impacto no resultado atuarial. Nesse sentido é importante destacar que Provisão Matemática Previdenciária do RPPS em 2021 impactava o Patrimônio Líquido do Estado, tendo em vista a adoção do não registro da cobertura de insuficiência financeira nos planos financeiros. Já no ano de 2022, o estoque de cobertura de insuficiência financeira passou a ser lançado </w:t>
      </w:r>
      <w:r w:rsidRPr="003F0769">
        <w:rPr>
          <w:rFonts w:ascii="ArialMT" w:eastAsia="Calibri" w:hAnsi="ArialMT"/>
        </w:rPr>
        <w:lastRenderedPageBreak/>
        <w:t>contra as contas benefícios concedidos e a conceder de forma a não impactar o resultado atuarial.</w:t>
      </w:r>
    </w:p>
    <w:p w14:paraId="639C55FD" w14:textId="77777777" w:rsidR="0056640B" w:rsidRPr="003F0769" w:rsidRDefault="0056640B" w:rsidP="006E6638">
      <w:pPr>
        <w:tabs>
          <w:tab w:val="left" w:pos="2835"/>
        </w:tabs>
        <w:spacing w:before="200" w:after="200" w:line="300" w:lineRule="auto"/>
        <w:rPr>
          <w:rFonts w:ascii="ArialMT" w:eastAsia="Calibri" w:hAnsi="ArialMT"/>
        </w:rPr>
      </w:pPr>
      <w:r w:rsidRPr="003F0769">
        <w:rPr>
          <w:rFonts w:ascii="ArialMT" w:eastAsia="Calibri" w:hAnsi="ArialMT"/>
        </w:rPr>
        <w:t>Por conseguinte, em 2023, as alterações de provisões e suas contribuições foram realizadas em contrapartida às contas de cobertura de insuficiência financeira (contas 1.1.3.6.2.06.xx e 1.2.1.1.2.06.xx, para benefícios concedidos, e o 1.2.1.1.2.06.xx, para benefícios a conceder), em conformidade com os Relatórios de Avaliação Atuarial de cada regime.</w:t>
      </w:r>
    </w:p>
    <w:p w14:paraId="7F9BB741" w14:textId="77777777" w:rsidR="0056640B" w:rsidRPr="003F0769" w:rsidRDefault="0056640B" w:rsidP="006E6638">
      <w:pPr>
        <w:tabs>
          <w:tab w:val="left" w:pos="2835"/>
        </w:tabs>
        <w:spacing w:before="200" w:after="200" w:line="300" w:lineRule="auto"/>
        <w:rPr>
          <w:rFonts w:eastAsia="Calibri"/>
        </w:rPr>
      </w:pPr>
      <w:r w:rsidRPr="003F0769">
        <w:rPr>
          <w:rFonts w:eastAsia="Calibri"/>
        </w:rPr>
        <w:t>Ressalta-se que, conforme a Portaria MF nº 464/2018, § 1º, a responsabilidade pela cobertura de eventuais insuficiências financeiras do respectivo RPPS pertence ao próprio ente. Utilizando contas de natureza intraorçamentária, essa obrigação deverá ser evidenciada, assim como o direito no regime de previdência, de modo que no Balanço Patrimonial do Estado estejam reconhecidos tanto o direito, quanto a respectiva obrigação.</w:t>
      </w:r>
    </w:p>
    <w:p w14:paraId="13D22B7B" w14:textId="77777777" w:rsidR="0056640B" w:rsidRPr="003F0769" w:rsidRDefault="0056640B" w:rsidP="006E6638">
      <w:pPr>
        <w:tabs>
          <w:tab w:val="left" w:pos="2835"/>
        </w:tabs>
        <w:spacing w:before="200" w:after="200" w:line="300" w:lineRule="auto"/>
        <w:rPr>
          <w:rFonts w:eastAsia="Calibri"/>
        </w:rPr>
      </w:pPr>
      <w:r w:rsidRPr="003F0769">
        <w:rPr>
          <w:rFonts w:ascii="ArialMT" w:eastAsia="Calibri" w:hAnsi="ArialMT"/>
        </w:rPr>
        <w:t>A representação das contas do Ativo que foram afetadas após os lançamentos das provisões matemáticas previdenciárias no Balanço Patrimonial de 2023 está descrita abaixo:</w:t>
      </w:r>
    </w:p>
    <w:p w14:paraId="00DAD2B2" w14:textId="77777777" w:rsidR="0056640B" w:rsidRPr="003F0769" w:rsidRDefault="0056640B" w:rsidP="00ED3571">
      <w:pPr>
        <w:pStyle w:val="0-TABELA"/>
      </w:pPr>
      <w:bookmarkStart w:id="496" w:name="_Toc167871831"/>
      <w:r w:rsidRPr="003F0769">
        <w:t>Provisões Matemáticas Previdenciárias - Contas do Ativo</w:t>
      </w:r>
      <w:bookmarkEnd w:id="496"/>
    </w:p>
    <w:p w14:paraId="65D1B54D" w14:textId="77777777" w:rsidR="0056640B" w:rsidRPr="003F0769" w:rsidRDefault="0056640B" w:rsidP="0056640B">
      <w:pPr>
        <w:spacing w:before="120" w:line="276" w:lineRule="auto"/>
        <w:jc w:val="right"/>
        <w:rPr>
          <w:rFonts w:cs="Arial"/>
          <w:w w:val="95"/>
          <w:sz w:val="16"/>
          <w:szCs w:val="16"/>
        </w:rPr>
      </w:pPr>
      <w:r w:rsidRPr="003F0769">
        <w:rPr>
          <w:rFonts w:cs="Arial"/>
          <w:w w:val="95"/>
          <w:sz w:val="16"/>
          <w:szCs w:val="16"/>
        </w:rPr>
        <w:t>R$ mil</w:t>
      </w:r>
    </w:p>
    <w:tbl>
      <w:tblPr>
        <w:tblW w:w="5000" w:type="pct"/>
        <w:tblCellMar>
          <w:left w:w="70" w:type="dxa"/>
          <w:right w:w="70" w:type="dxa"/>
        </w:tblCellMar>
        <w:tblLook w:val="04A0" w:firstRow="1" w:lastRow="0" w:firstColumn="1" w:lastColumn="0" w:noHBand="0" w:noVBand="1"/>
      </w:tblPr>
      <w:tblGrid>
        <w:gridCol w:w="8100"/>
        <w:gridCol w:w="1253"/>
      </w:tblGrid>
      <w:tr w:rsidR="0056640B" w:rsidRPr="006E6638" w14:paraId="790028BA" w14:textId="77777777" w:rsidTr="00D92C03">
        <w:trPr>
          <w:trHeight w:val="340"/>
          <w:tblHeader/>
        </w:trPr>
        <w:tc>
          <w:tcPr>
            <w:tcW w:w="4379" w:type="pct"/>
            <w:vMerge w:val="restart"/>
            <w:tcBorders>
              <w:top w:val="single" w:sz="4" w:space="0" w:color="auto"/>
              <w:left w:val="nil"/>
              <w:bottom w:val="single" w:sz="4" w:space="0" w:color="000000"/>
              <w:right w:val="nil"/>
            </w:tcBorders>
            <w:shd w:val="clear" w:color="000000" w:fill="A1F2FD"/>
            <w:vAlign w:val="center"/>
            <w:hideMark/>
          </w:tcPr>
          <w:p w14:paraId="3925457B" w14:textId="77777777" w:rsidR="0056640B" w:rsidRPr="006E6638" w:rsidRDefault="0056640B" w:rsidP="001E7576">
            <w:pPr>
              <w:jc w:val="center"/>
              <w:rPr>
                <w:rFonts w:cs="Arial"/>
                <w:b/>
                <w:bCs/>
                <w:color w:val="000000"/>
                <w:sz w:val="20"/>
                <w:szCs w:val="18"/>
              </w:rPr>
            </w:pPr>
            <w:r w:rsidRPr="006E6638">
              <w:rPr>
                <w:rFonts w:cs="Arial"/>
                <w:b/>
                <w:bCs/>
                <w:color w:val="000000"/>
                <w:sz w:val="20"/>
                <w:szCs w:val="18"/>
              </w:rPr>
              <w:t>Conta Contábil</w:t>
            </w:r>
          </w:p>
        </w:tc>
        <w:tc>
          <w:tcPr>
            <w:tcW w:w="621" w:type="pct"/>
            <w:vMerge w:val="restart"/>
            <w:tcBorders>
              <w:top w:val="single" w:sz="4" w:space="0" w:color="auto"/>
              <w:left w:val="single" w:sz="4" w:space="0" w:color="auto"/>
              <w:bottom w:val="single" w:sz="4" w:space="0" w:color="auto"/>
              <w:right w:val="nil"/>
            </w:tcBorders>
            <w:shd w:val="clear" w:color="000000" w:fill="A1F2FD"/>
            <w:vAlign w:val="center"/>
            <w:hideMark/>
          </w:tcPr>
          <w:p w14:paraId="65E7644F" w14:textId="77777777" w:rsidR="0056640B" w:rsidRPr="006E6638" w:rsidRDefault="0056640B" w:rsidP="001E7576">
            <w:pPr>
              <w:jc w:val="center"/>
              <w:rPr>
                <w:rFonts w:cs="Arial"/>
                <w:b/>
                <w:bCs/>
                <w:color w:val="000000"/>
                <w:sz w:val="20"/>
                <w:szCs w:val="18"/>
              </w:rPr>
            </w:pPr>
            <w:r w:rsidRPr="006E6638">
              <w:rPr>
                <w:rFonts w:cs="Arial"/>
                <w:b/>
                <w:bCs/>
                <w:color w:val="000000"/>
                <w:sz w:val="20"/>
                <w:szCs w:val="18"/>
              </w:rPr>
              <w:t>Valor</w:t>
            </w:r>
          </w:p>
        </w:tc>
      </w:tr>
      <w:tr w:rsidR="0056640B" w:rsidRPr="006E6638" w14:paraId="2575541B" w14:textId="77777777" w:rsidTr="00D92C03">
        <w:trPr>
          <w:trHeight w:val="340"/>
        </w:trPr>
        <w:tc>
          <w:tcPr>
            <w:tcW w:w="4379" w:type="pct"/>
            <w:vMerge/>
            <w:tcBorders>
              <w:top w:val="nil"/>
              <w:left w:val="nil"/>
              <w:bottom w:val="single" w:sz="4" w:space="0" w:color="000000"/>
              <w:right w:val="nil"/>
            </w:tcBorders>
            <w:vAlign w:val="center"/>
            <w:hideMark/>
          </w:tcPr>
          <w:p w14:paraId="16275558" w14:textId="77777777" w:rsidR="0056640B" w:rsidRPr="006E6638" w:rsidRDefault="0056640B" w:rsidP="001E7576">
            <w:pPr>
              <w:jc w:val="left"/>
              <w:rPr>
                <w:rFonts w:cs="Arial"/>
                <w:b/>
                <w:bCs/>
                <w:color w:val="000000"/>
                <w:sz w:val="20"/>
                <w:szCs w:val="18"/>
              </w:rPr>
            </w:pPr>
          </w:p>
        </w:tc>
        <w:tc>
          <w:tcPr>
            <w:tcW w:w="621" w:type="pct"/>
            <w:vMerge/>
            <w:tcBorders>
              <w:top w:val="nil"/>
              <w:left w:val="single" w:sz="4" w:space="0" w:color="auto"/>
              <w:bottom w:val="single" w:sz="4" w:space="0" w:color="auto"/>
              <w:right w:val="nil"/>
            </w:tcBorders>
            <w:vAlign w:val="center"/>
            <w:hideMark/>
          </w:tcPr>
          <w:p w14:paraId="7E01C87D" w14:textId="77777777" w:rsidR="0056640B" w:rsidRPr="006E6638" w:rsidRDefault="0056640B" w:rsidP="001E7576">
            <w:pPr>
              <w:jc w:val="left"/>
              <w:rPr>
                <w:rFonts w:cs="Arial"/>
                <w:b/>
                <w:bCs/>
                <w:color w:val="000000"/>
                <w:sz w:val="20"/>
                <w:szCs w:val="18"/>
              </w:rPr>
            </w:pPr>
          </w:p>
        </w:tc>
      </w:tr>
      <w:tr w:rsidR="0056640B" w:rsidRPr="006E6638" w14:paraId="12FCFBB2" w14:textId="77777777" w:rsidTr="00D92C03">
        <w:trPr>
          <w:trHeight w:val="340"/>
        </w:trPr>
        <w:tc>
          <w:tcPr>
            <w:tcW w:w="4379" w:type="pct"/>
            <w:tcBorders>
              <w:top w:val="nil"/>
              <w:left w:val="nil"/>
              <w:bottom w:val="nil"/>
              <w:right w:val="nil"/>
            </w:tcBorders>
            <w:shd w:val="clear" w:color="auto" w:fill="auto"/>
            <w:vAlign w:val="center"/>
            <w:hideMark/>
          </w:tcPr>
          <w:p w14:paraId="21284A7B" w14:textId="77777777" w:rsidR="0056640B" w:rsidRPr="006E6638" w:rsidRDefault="0056640B" w:rsidP="001E7576">
            <w:pPr>
              <w:jc w:val="left"/>
              <w:rPr>
                <w:rFonts w:cs="Arial"/>
                <w:b/>
                <w:bCs/>
                <w:color w:val="000000"/>
                <w:sz w:val="20"/>
                <w:szCs w:val="18"/>
              </w:rPr>
            </w:pPr>
            <w:r w:rsidRPr="006E6638">
              <w:rPr>
                <w:rFonts w:cs="Arial"/>
                <w:b/>
                <w:bCs/>
                <w:color w:val="000000"/>
                <w:sz w:val="20"/>
                <w:szCs w:val="18"/>
              </w:rPr>
              <w:t>1.1.3.6.2.06.01.01.00 - Cobertura da Insuficiência Financeira - Benefícios Concedidos</w:t>
            </w:r>
          </w:p>
        </w:tc>
        <w:tc>
          <w:tcPr>
            <w:tcW w:w="621" w:type="pct"/>
            <w:tcBorders>
              <w:top w:val="nil"/>
              <w:left w:val="single" w:sz="4" w:space="0" w:color="auto"/>
              <w:bottom w:val="nil"/>
              <w:right w:val="nil"/>
            </w:tcBorders>
            <w:shd w:val="clear" w:color="auto" w:fill="auto"/>
            <w:noWrap/>
            <w:vAlign w:val="center"/>
            <w:hideMark/>
          </w:tcPr>
          <w:p w14:paraId="21BE0CC7" w14:textId="77777777" w:rsidR="0056640B" w:rsidRPr="006E6638" w:rsidRDefault="0056640B" w:rsidP="001E7576">
            <w:pPr>
              <w:jc w:val="right"/>
              <w:rPr>
                <w:rFonts w:cs="Arial"/>
                <w:b/>
                <w:bCs/>
                <w:color w:val="000000"/>
                <w:sz w:val="20"/>
                <w:szCs w:val="18"/>
              </w:rPr>
            </w:pPr>
            <w:r w:rsidRPr="006E6638">
              <w:rPr>
                <w:rFonts w:cs="Arial"/>
                <w:b/>
                <w:bCs/>
                <w:color w:val="000000"/>
                <w:sz w:val="20"/>
                <w:szCs w:val="18"/>
              </w:rPr>
              <w:t>12.872.468</w:t>
            </w:r>
          </w:p>
        </w:tc>
      </w:tr>
      <w:tr w:rsidR="0056640B" w:rsidRPr="006E6638" w14:paraId="0C02F29C" w14:textId="77777777" w:rsidTr="00D92C03">
        <w:trPr>
          <w:trHeight w:val="340"/>
        </w:trPr>
        <w:tc>
          <w:tcPr>
            <w:tcW w:w="4379" w:type="pct"/>
            <w:tcBorders>
              <w:top w:val="nil"/>
              <w:left w:val="nil"/>
              <w:bottom w:val="nil"/>
              <w:right w:val="single" w:sz="4" w:space="0" w:color="auto"/>
            </w:tcBorders>
            <w:shd w:val="clear" w:color="auto" w:fill="auto"/>
            <w:vAlign w:val="center"/>
            <w:hideMark/>
          </w:tcPr>
          <w:p w14:paraId="0E50A77F" w14:textId="77777777" w:rsidR="0056640B" w:rsidRPr="006E6638" w:rsidRDefault="0056640B" w:rsidP="001E7576">
            <w:pPr>
              <w:ind w:firstLine="361"/>
              <w:jc w:val="left"/>
              <w:rPr>
                <w:rFonts w:cs="Arial"/>
                <w:color w:val="000000"/>
                <w:sz w:val="20"/>
                <w:szCs w:val="18"/>
              </w:rPr>
            </w:pPr>
            <w:r w:rsidRPr="006E6638">
              <w:rPr>
                <w:rFonts w:cs="Arial"/>
                <w:color w:val="000000"/>
                <w:sz w:val="20"/>
                <w:szCs w:val="18"/>
              </w:rPr>
              <w:t>Fundo Financeiro do RPPS – 1780</w:t>
            </w:r>
          </w:p>
        </w:tc>
        <w:tc>
          <w:tcPr>
            <w:tcW w:w="621" w:type="pct"/>
            <w:tcBorders>
              <w:top w:val="nil"/>
              <w:left w:val="nil"/>
              <w:bottom w:val="nil"/>
              <w:right w:val="nil"/>
            </w:tcBorders>
            <w:shd w:val="clear" w:color="auto" w:fill="auto"/>
            <w:noWrap/>
            <w:vAlign w:val="center"/>
            <w:hideMark/>
          </w:tcPr>
          <w:p w14:paraId="47365FB8" w14:textId="77777777" w:rsidR="0056640B" w:rsidRPr="006E6638" w:rsidRDefault="0056640B" w:rsidP="001E7576">
            <w:pPr>
              <w:jc w:val="right"/>
              <w:rPr>
                <w:rFonts w:cs="Arial"/>
                <w:color w:val="000000"/>
                <w:sz w:val="20"/>
                <w:szCs w:val="18"/>
              </w:rPr>
            </w:pPr>
            <w:r w:rsidRPr="006E6638">
              <w:rPr>
                <w:rFonts w:cs="Arial"/>
                <w:color w:val="000000"/>
                <w:sz w:val="20"/>
                <w:szCs w:val="18"/>
              </w:rPr>
              <w:t>9.528.924</w:t>
            </w:r>
          </w:p>
        </w:tc>
      </w:tr>
      <w:tr w:rsidR="0056640B" w:rsidRPr="006E6638" w14:paraId="1F59D9EE" w14:textId="77777777" w:rsidTr="00D92C03">
        <w:trPr>
          <w:trHeight w:val="340"/>
        </w:trPr>
        <w:tc>
          <w:tcPr>
            <w:tcW w:w="4379" w:type="pct"/>
            <w:tcBorders>
              <w:top w:val="nil"/>
              <w:left w:val="nil"/>
              <w:bottom w:val="nil"/>
              <w:right w:val="single" w:sz="4" w:space="0" w:color="auto"/>
            </w:tcBorders>
            <w:shd w:val="clear" w:color="auto" w:fill="auto"/>
            <w:vAlign w:val="center"/>
            <w:hideMark/>
          </w:tcPr>
          <w:p w14:paraId="6821F933" w14:textId="77777777" w:rsidR="0056640B" w:rsidRPr="006E6638" w:rsidRDefault="0056640B" w:rsidP="001E7576">
            <w:pPr>
              <w:ind w:firstLine="361"/>
              <w:jc w:val="left"/>
              <w:rPr>
                <w:rFonts w:cs="Arial"/>
                <w:color w:val="000000"/>
                <w:sz w:val="20"/>
                <w:szCs w:val="18"/>
              </w:rPr>
            </w:pPr>
            <w:r w:rsidRPr="006E6638">
              <w:rPr>
                <w:rFonts w:cs="Arial"/>
                <w:color w:val="000000"/>
                <w:sz w:val="20"/>
                <w:szCs w:val="18"/>
              </w:rPr>
              <w:t>Fundo Financeiro do SPSM – 1781</w:t>
            </w:r>
          </w:p>
        </w:tc>
        <w:tc>
          <w:tcPr>
            <w:tcW w:w="621" w:type="pct"/>
            <w:tcBorders>
              <w:top w:val="nil"/>
              <w:left w:val="nil"/>
              <w:bottom w:val="nil"/>
              <w:right w:val="nil"/>
            </w:tcBorders>
            <w:shd w:val="clear" w:color="auto" w:fill="auto"/>
            <w:noWrap/>
            <w:vAlign w:val="center"/>
            <w:hideMark/>
          </w:tcPr>
          <w:p w14:paraId="7A621202" w14:textId="77777777" w:rsidR="0056640B" w:rsidRPr="006E6638" w:rsidRDefault="0056640B" w:rsidP="001E7576">
            <w:pPr>
              <w:jc w:val="right"/>
              <w:rPr>
                <w:rFonts w:cs="Arial"/>
                <w:color w:val="000000"/>
                <w:sz w:val="20"/>
                <w:szCs w:val="18"/>
              </w:rPr>
            </w:pPr>
            <w:r w:rsidRPr="006E6638">
              <w:rPr>
                <w:rFonts w:cs="Arial"/>
                <w:color w:val="000000"/>
                <w:sz w:val="20"/>
                <w:szCs w:val="18"/>
              </w:rPr>
              <w:t>3.343.544</w:t>
            </w:r>
          </w:p>
        </w:tc>
      </w:tr>
      <w:tr w:rsidR="0056640B" w:rsidRPr="006E6638" w14:paraId="63355040" w14:textId="77777777" w:rsidTr="00D92C03">
        <w:trPr>
          <w:trHeight w:val="340"/>
        </w:trPr>
        <w:tc>
          <w:tcPr>
            <w:tcW w:w="4379" w:type="pct"/>
            <w:tcBorders>
              <w:top w:val="nil"/>
              <w:left w:val="nil"/>
              <w:bottom w:val="nil"/>
              <w:right w:val="single" w:sz="4" w:space="0" w:color="auto"/>
            </w:tcBorders>
            <w:shd w:val="clear" w:color="auto" w:fill="auto"/>
            <w:vAlign w:val="center"/>
            <w:hideMark/>
          </w:tcPr>
          <w:p w14:paraId="550A3509" w14:textId="77777777" w:rsidR="0056640B" w:rsidRPr="006E6638" w:rsidRDefault="0056640B" w:rsidP="001E7576">
            <w:pPr>
              <w:jc w:val="left"/>
              <w:rPr>
                <w:rFonts w:cs="Arial"/>
                <w:b/>
                <w:bCs/>
                <w:color w:val="000000"/>
                <w:sz w:val="20"/>
                <w:szCs w:val="18"/>
              </w:rPr>
            </w:pPr>
            <w:r w:rsidRPr="006E6638">
              <w:rPr>
                <w:rFonts w:cs="Arial"/>
                <w:b/>
                <w:bCs/>
                <w:color w:val="000000"/>
                <w:sz w:val="20"/>
                <w:szCs w:val="18"/>
              </w:rPr>
              <w:t>1.2.1.1.2.06.96.01.01 - Valor Atual dos Aportes para Cobertura do Déficit - Benefícios Concedidos</w:t>
            </w:r>
          </w:p>
        </w:tc>
        <w:tc>
          <w:tcPr>
            <w:tcW w:w="621" w:type="pct"/>
            <w:tcBorders>
              <w:top w:val="nil"/>
              <w:left w:val="nil"/>
              <w:bottom w:val="nil"/>
              <w:right w:val="nil"/>
            </w:tcBorders>
            <w:shd w:val="clear" w:color="auto" w:fill="auto"/>
            <w:noWrap/>
            <w:vAlign w:val="center"/>
            <w:hideMark/>
          </w:tcPr>
          <w:p w14:paraId="03A16F3E" w14:textId="77777777" w:rsidR="0056640B" w:rsidRPr="006E6638" w:rsidRDefault="0056640B" w:rsidP="001E7576">
            <w:pPr>
              <w:jc w:val="right"/>
              <w:rPr>
                <w:rFonts w:cs="Arial"/>
                <w:b/>
                <w:bCs/>
                <w:color w:val="000000"/>
                <w:sz w:val="20"/>
                <w:szCs w:val="18"/>
              </w:rPr>
            </w:pPr>
            <w:r w:rsidRPr="006E6638">
              <w:rPr>
                <w:rFonts w:cs="Arial"/>
                <w:b/>
                <w:bCs/>
                <w:color w:val="000000"/>
                <w:sz w:val="20"/>
                <w:szCs w:val="18"/>
              </w:rPr>
              <w:t>68.501.404</w:t>
            </w:r>
          </w:p>
        </w:tc>
      </w:tr>
      <w:tr w:rsidR="0056640B" w:rsidRPr="006E6638" w14:paraId="0F84AE93" w14:textId="77777777" w:rsidTr="00D92C03">
        <w:trPr>
          <w:trHeight w:val="340"/>
        </w:trPr>
        <w:tc>
          <w:tcPr>
            <w:tcW w:w="4379" w:type="pct"/>
            <w:tcBorders>
              <w:top w:val="nil"/>
              <w:left w:val="nil"/>
              <w:bottom w:val="nil"/>
              <w:right w:val="single" w:sz="4" w:space="0" w:color="auto"/>
            </w:tcBorders>
            <w:shd w:val="clear" w:color="auto" w:fill="auto"/>
            <w:vAlign w:val="center"/>
            <w:hideMark/>
          </w:tcPr>
          <w:p w14:paraId="0F547FF8" w14:textId="77777777" w:rsidR="0056640B" w:rsidRPr="006E6638" w:rsidRDefault="0056640B" w:rsidP="001E7576">
            <w:pPr>
              <w:ind w:firstLine="361"/>
              <w:jc w:val="left"/>
              <w:rPr>
                <w:rFonts w:cs="Arial"/>
                <w:color w:val="000000"/>
                <w:sz w:val="20"/>
                <w:szCs w:val="18"/>
              </w:rPr>
            </w:pPr>
            <w:r w:rsidRPr="006E6638">
              <w:rPr>
                <w:rFonts w:cs="Arial"/>
                <w:color w:val="000000"/>
                <w:sz w:val="20"/>
                <w:szCs w:val="18"/>
              </w:rPr>
              <w:t>Fundo Financeiro do RPPS – 1780</w:t>
            </w:r>
          </w:p>
        </w:tc>
        <w:tc>
          <w:tcPr>
            <w:tcW w:w="621" w:type="pct"/>
            <w:tcBorders>
              <w:top w:val="nil"/>
              <w:left w:val="nil"/>
              <w:bottom w:val="nil"/>
              <w:right w:val="nil"/>
            </w:tcBorders>
            <w:shd w:val="clear" w:color="auto" w:fill="auto"/>
            <w:noWrap/>
            <w:vAlign w:val="center"/>
            <w:hideMark/>
          </w:tcPr>
          <w:p w14:paraId="37BE02F8" w14:textId="77777777" w:rsidR="0056640B" w:rsidRPr="006E6638" w:rsidRDefault="0056640B" w:rsidP="001E7576">
            <w:pPr>
              <w:jc w:val="right"/>
              <w:rPr>
                <w:rFonts w:cs="Arial"/>
                <w:color w:val="000000"/>
                <w:sz w:val="20"/>
                <w:szCs w:val="18"/>
              </w:rPr>
            </w:pPr>
            <w:r w:rsidRPr="006E6638">
              <w:rPr>
                <w:rFonts w:cs="Arial"/>
                <w:color w:val="000000"/>
                <w:sz w:val="20"/>
                <w:szCs w:val="18"/>
              </w:rPr>
              <w:t>45.392.655</w:t>
            </w:r>
          </w:p>
        </w:tc>
      </w:tr>
      <w:tr w:rsidR="0056640B" w:rsidRPr="006E6638" w14:paraId="74086FB3" w14:textId="77777777" w:rsidTr="00D92C03">
        <w:trPr>
          <w:trHeight w:val="340"/>
        </w:trPr>
        <w:tc>
          <w:tcPr>
            <w:tcW w:w="4379" w:type="pct"/>
            <w:tcBorders>
              <w:top w:val="nil"/>
              <w:left w:val="nil"/>
              <w:bottom w:val="nil"/>
              <w:right w:val="single" w:sz="4" w:space="0" w:color="auto"/>
            </w:tcBorders>
            <w:shd w:val="clear" w:color="auto" w:fill="auto"/>
            <w:vAlign w:val="center"/>
            <w:hideMark/>
          </w:tcPr>
          <w:p w14:paraId="702A0601" w14:textId="77777777" w:rsidR="0056640B" w:rsidRPr="006E6638" w:rsidRDefault="0056640B" w:rsidP="001E7576">
            <w:pPr>
              <w:ind w:firstLine="361"/>
              <w:jc w:val="left"/>
              <w:rPr>
                <w:rFonts w:cs="Arial"/>
                <w:color w:val="000000"/>
                <w:sz w:val="20"/>
                <w:szCs w:val="18"/>
              </w:rPr>
            </w:pPr>
            <w:r w:rsidRPr="006E6638">
              <w:rPr>
                <w:rFonts w:cs="Arial"/>
                <w:color w:val="000000"/>
                <w:sz w:val="20"/>
                <w:szCs w:val="18"/>
              </w:rPr>
              <w:t>Fundo Financeiro do SPSM – 1781</w:t>
            </w:r>
          </w:p>
        </w:tc>
        <w:tc>
          <w:tcPr>
            <w:tcW w:w="621" w:type="pct"/>
            <w:tcBorders>
              <w:top w:val="nil"/>
              <w:left w:val="nil"/>
              <w:bottom w:val="nil"/>
              <w:right w:val="nil"/>
            </w:tcBorders>
            <w:shd w:val="clear" w:color="auto" w:fill="auto"/>
            <w:noWrap/>
            <w:vAlign w:val="center"/>
            <w:hideMark/>
          </w:tcPr>
          <w:p w14:paraId="173554F1" w14:textId="77777777" w:rsidR="0056640B" w:rsidRPr="006E6638" w:rsidRDefault="0056640B" w:rsidP="001E7576">
            <w:pPr>
              <w:jc w:val="right"/>
              <w:rPr>
                <w:rFonts w:cs="Arial"/>
                <w:color w:val="000000"/>
                <w:sz w:val="20"/>
                <w:szCs w:val="18"/>
              </w:rPr>
            </w:pPr>
            <w:r w:rsidRPr="006E6638">
              <w:rPr>
                <w:rFonts w:cs="Arial"/>
                <w:color w:val="000000"/>
                <w:sz w:val="20"/>
                <w:szCs w:val="18"/>
              </w:rPr>
              <w:t>23.108.749</w:t>
            </w:r>
          </w:p>
        </w:tc>
      </w:tr>
      <w:tr w:rsidR="0056640B" w:rsidRPr="006E6638" w14:paraId="1BAEA4AB" w14:textId="77777777" w:rsidTr="00D92C03">
        <w:trPr>
          <w:trHeight w:val="340"/>
        </w:trPr>
        <w:tc>
          <w:tcPr>
            <w:tcW w:w="4379" w:type="pct"/>
            <w:tcBorders>
              <w:top w:val="nil"/>
              <w:left w:val="nil"/>
              <w:bottom w:val="nil"/>
              <w:right w:val="single" w:sz="4" w:space="0" w:color="auto"/>
            </w:tcBorders>
            <w:shd w:val="clear" w:color="auto" w:fill="auto"/>
            <w:vAlign w:val="center"/>
            <w:hideMark/>
          </w:tcPr>
          <w:p w14:paraId="02B2112E" w14:textId="77777777" w:rsidR="0056640B" w:rsidRPr="006E6638" w:rsidRDefault="0056640B" w:rsidP="001E7576">
            <w:pPr>
              <w:jc w:val="left"/>
              <w:rPr>
                <w:rFonts w:cs="Arial"/>
                <w:b/>
                <w:bCs/>
                <w:color w:val="000000"/>
                <w:sz w:val="20"/>
                <w:szCs w:val="18"/>
              </w:rPr>
            </w:pPr>
            <w:r w:rsidRPr="006E6638">
              <w:rPr>
                <w:rFonts w:cs="Arial"/>
                <w:b/>
                <w:bCs/>
                <w:color w:val="000000"/>
                <w:sz w:val="20"/>
                <w:szCs w:val="18"/>
              </w:rPr>
              <w:t>1.2.1.1.2.06.96.01.02 - Valor Atual dos Aportes para Cobertura do Déficit - Benefícios a Conceder</w:t>
            </w:r>
          </w:p>
        </w:tc>
        <w:tc>
          <w:tcPr>
            <w:tcW w:w="621" w:type="pct"/>
            <w:tcBorders>
              <w:top w:val="nil"/>
              <w:left w:val="nil"/>
              <w:bottom w:val="nil"/>
              <w:right w:val="nil"/>
            </w:tcBorders>
            <w:shd w:val="clear" w:color="auto" w:fill="auto"/>
            <w:noWrap/>
            <w:vAlign w:val="center"/>
            <w:hideMark/>
          </w:tcPr>
          <w:p w14:paraId="0449BB9A" w14:textId="77777777" w:rsidR="0056640B" w:rsidRPr="006E6638" w:rsidRDefault="0056640B" w:rsidP="001E7576">
            <w:pPr>
              <w:jc w:val="right"/>
              <w:rPr>
                <w:rFonts w:cs="Arial"/>
                <w:b/>
                <w:bCs/>
                <w:color w:val="000000"/>
                <w:sz w:val="20"/>
                <w:szCs w:val="18"/>
              </w:rPr>
            </w:pPr>
            <w:r w:rsidRPr="006E6638">
              <w:rPr>
                <w:rFonts w:cs="Arial"/>
                <w:b/>
                <w:bCs/>
                <w:color w:val="000000"/>
                <w:sz w:val="20"/>
                <w:szCs w:val="18"/>
              </w:rPr>
              <w:t>46.449.308</w:t>
            </w:r>
          </w:p>
        </w:tc>
      </w:tr>
      <w:tr w:rsidR="0056640B" w:rsidRPr="006E6638" w14:paraId="6D2176D5" w14:textId="77777777" w:rsidTr="00D92C03">
        <w:trPr>
          <w:trHeight w:val="340"/>
        </w:trPr>
        <w:tc>
          <w:tcPr>
            <w:tcW w:w="4379" w:type="pct"/>
            <w:tcBorders>
              <w:top w:val="nil"/>
              <w:left w:val="nil"/>
              <w:bottom w:val="nil"/>
              <w:right w:val="single" w:sz="4" w:space="0" w:color="auto"/>
            </w:tcBorders>
            <w:shd w:val="clear" w:color="auto" w:fill="auto"/>
            <w:vAlign w:val="center"/>
            <w:hideMark/>
          </w:tcPr>
          <w:p w14:paraId="15EFF48E" w14:textId="77777777" w:rsidR="0056640B" w:rsidRPr="006E6638" w:rsidRDefault="0056640B" w:rsidP="001E7576">
            <w:pPr>
              <w:ind w:firstLine="361"/>
              <w:jc w:val="left"/>
              <w:rPr>
                <w:rFonts w:cs="Arial"/>
                <w:color w:val="000000"/>
                <w:sz w:val="20"/>
                <w:szCs w:val="18"/>
              </w:rPr>
            </w:pPr>
            <w:r w:rsidRPr="006E6638">
              <w:rPr>
                <w:rFonts w:cs="Arial"/>
                <w:color w:val="000000"/>
                <w:sz w:val="20"/>
                <w:szCs w:val="18"/>
              </w:rPr>
              <w:t>Fundo Financeiro do RPPS – 1780</w:t>
            </w:r>
          </w:p>
        </w:tc>
        <w:tc>
          <w:tcPr>
            <w:tcW w:w="621" w:type="pct"/>
            <w:tcBorders>
              <w:top w:val="nil"/>
              <w:left w:val="nil"/>
              <w:bottom w:val="nil"/>
              <w:right w:val="nil"/>
            </w:tcBorders>
            <w:shd w:val="clear" w:color="auto" w:fill="auto"/>
            <w:noWrap/>
            <w:vAlign w:val="center"/>
            <w:hideMark/>
          </w:tcPr>
          <w:p w14:paraId="318597E8" w14:textId="77777777" w:rsidR="0056640B" w:rsidRPr="006E6638" w:rsidRDefault="0056640B" w:rsidP="001E7576">
            <w:pPr>
              <w:jc w:val="right"/>
              <w:rPr>
                <w:rFonts w:cs="Arial"/>
                <w:color w:val="000000"/>
                <w:sz w:val="20"/>
                <w:szCs w:val="18"/>
              </w:rPr>
            </w:pPr>
            <w:r w:rsidRPr="006E6638">
              <w:rPr>
                <w:rFonts w:cs="Arial"/>
                <w:color w:val="000000"/>
                <w:sz w:val="20"/>
                <w:szCs w:val="18"/>
              </w:rPr>
              <w:t>29.937.652</w:t>
            </w:r>
          </w:p>
        </w:tc>
      </w:tr>
      <w:tr w:rsidR="0056640B" w:rsidRPr="006E6638" w14:paraId="426BB2F5" w14:textId="77777777" w:rsidTr="00D92C03">
        <w:trPr>
          <w:trHeight w:val="340"/>
        </w:trPr>
        <w:tc>
          <w:tcPr>
            <w:tcW w:w="4379" w:type="pct"/>
            <w:tcBorders>
              <w:top w:val="nil"/>
              <w:left w:val="nil"/>
              <w:bottom w:val="nil"/>
              <w:right w:val="single" w:sz="4" w:space="0" w:color="auto"/>
            </w:tcBorders>
            <w:shd w:val="clear" w:color="auto" w:fill="auto"/>
            <w:vAlign w:val="center"/>
            <w:hideMark/>
          </w:tcPr>
          <w:p w14:paraId="37D8BFE1" w14:textId="77777777" w:rsidR="0056640B" w:rsidRPr="006E6638" w:rsidRDefault="0056640B" w:rsidP="001E7576">
            <w:pPr>
              <w:ind w:firstLine="361"/>
              <w:jc w:val="left"/>
              <w:rPr>
                <w:rFonts w:cs="Arial"/>
                <w:color w:val="000000"/>
                <w:sz w:val="20"/>
                <w:szCs w:val="18"/>
              </w:rPr>
            </w:pPr>
            <w:r w:rsidRPr="006E6638">
              <w:rPr>
                <w:rFonts w:cs="Arial"/>
                <w:color w:val="000000"/>
                <w:sz w:val="20"/>
                <w:szCs w:val="18"/>
              </w:rPr>
              <w:t>Fundo Financeiro do SPSM – 1781</w:t>
            </w:r>
          </w:p>
        </w:tc>
        <w:tc>
          <w:tcPr>
            <w:tcW w:w="621" w:type="pct"/>
            <w:tcBorders>
              <w:top w:val="nil"/>
              <w:left w:val="nil"/>
              <w:bottom w:val="nil"/>
              <w:right w:val="nil"/>
            </w:tcBorders>
            <w:shd w:val="clear" w:color="auto" w:fill="auto"/>
            <w:noWrap/>
            <w:vAlign w:val="center"/>
            <w:hideMark/>
          </w:tcPr>
          <w:p w14:paraId="1145EB97" w14:textId="77777777" w:rsidR="0056640B" w:rsidRPr="006E6638" w:rsidRDefault="0056640B" w:rsidP="001E7576">
            <w:pPr>
              <w:jc w:val="right"/>
              <w:rPr>
                <w:rFonts w:cs="Arial"/>
                <w:color w:val="000000"/>
                <w:sz w:val="20"/>
                <w:szCs w:val="18"/>
              </w:rPr>
            </w:pPr>
            <w:r w:rsidRPr="006E6638">
              <w:rPr>
                <w:rFonts w:cs="Arial"/>
                <w:color w:val="000000"/>
                <w:sz w:val="20"/>
                <w:szCs w:val="18"/>
              </w:rPr>
              <w:t>16.511.656</w:t>
            </w:r>
          </w:p>
        </w:tc>
      </w:tr>
      <w:tr w:rsidR="0056640B" w:rsidRPr="006E6638" w14:paraId="00F39340" w14:textId="77777777" w:rsidTr="00D92C03">
        <w:trPr>
          <w:trHeight w:val="340"/>
        </w:trPr>
        <w:tc>
          <w:tcPr>
            <w:tcW w:w="4379" w:type="pct"/>
            <w:tcBorders>
              <w:top w:val="single" w:sz="4" w:space="0" w:color="auto"/>
              <w:left w:val="nil"/>
              <w:bottom w:val="nil"/>
              <w:right w:val="single" w:sz="4" w:space="0" w:color="auto"/>
            </w:tcBorders>
            <w:shd w:val="clear" w:color="auto" w:fill="auto"/>
            <w:noWrap/>
            <w:vAlign w:val="center"/>
            <w:hideMark/>
          </w:tcPr>
          <w:p w14:paraId="38BD3633" w14:textId="77777777" w:rsidR="0056640B" w:rsidRPr="006E6638" w:rsidRDefault="0056640B" w:rsidP="001E7576">
            <w:pPr>
              <w:jc w:val="center"/>
              <w:rPr>
                <w:rFonts w:cs="Arial"/>
                <w:b/>
                <w:bCs/>
                <w:color w:val="000000"/>
                <w:sz w:val="20"/>
                <w:szCs w:val="18"/>
              </w:rPr>
            </w:pPr>
            <w:r w:rsidRPr="006E6638">
              <w:rPr>
                <w:rFonts w:cs="Arial"/>
                <w:b/>
                <w:bCs/>
                <w:color w:val="000000"/>
                <w:sz w:val="20"/>
                <w:szCs w:val="18"/>
              </w:rPr>
              <w:t>Total</w:t>
            </w:r>
          </w:p>
        </w:tc>
        <w:tc>
          <w:tcPr>
            <w:tcW w:w="621" w:type="pct"/>
            <w:tcBorders>
              <w:top w:val="single" w:sz="4" w:space="0" w:color="auto"/>
              <w:left w:val="nil"/>
              <w:bottom w:val="nil"/>
              <w:right w:val="nil"/>
            </w:tcBorders>
            <w:shd w:val="clear" w:color="auto" w:fill="auto"/>
            <w:noWrap/>
            <w:vAlign w:val="center"/>
            <w:hideMark/>
          </w:tcPr>
          <w:p w14:paraId="4DD50A29" w14:textId="77777777" w:rsidR="0056640B" w:rsidRPr="006E6638" w:rsidRDefault="0056640B" w:rsidP="001E7576">
            <w:pPr>
              <w:jc w:val="right"/>
              <w:rPr>
                <w:rFonts w:cs="Arial"/>
                <w:b/>
                <w:bCs/>
                <w:color w:val="000000"/>
                <w:sz w:val="20"/>
                <w:szCs w:val="18"/>
              </w:rPr>
            </w:pPr>
            <w:r w:rsidRPr="006E6638">
              <w:rPr>
                <w:rFonts w:cs="Arial"/>
                <w:b/>
                <w:bCs/>
                <w:color w:val="000000"/>
                <w:sz w:val="20"/>
                <w:szCs w:val="18"/>
              </w:rPr>
              <w:t>127.823.180</w:t>
            </w:r>
          </w:p>
        </w:tc>
      </w:tr>
      <w:tr w:rsidR="0056640B" w:rsidRPr="006E6638" w14:paraId="29CDE647" w14:textId="77777777" w:rsidTr="00D92C03">
        <w:trPr>
          <w:trHeight w:val="340"/>
        </w:trPr>
        <w:tc>
          <w:tcPr>
            <w:tcW w:w="4379" w:type="pct"/>
            <w:tcBorders>
              <w:top w:val="nil"/>
              <w:left w:val="nil"/>
              <w:bottom w:val="nil"/>
              <w:right w:val="single" w:sz="4" w:space="0" w:color="auto"/>
            </w:tcBorders>
            <w:shd w:val="clear" w:color="auto" w:fill="auto"/>
            <w:vAlign w:val="center"/>
            <w:hideMark/>
          </w:tcPr>
          <w:p w14:paraId="1B64B540" w14:textId="77777777" w:rsidR="0056640B" w:rsidRPr="006E6638" w:rsidRDefault="0056640B" w:rsidP="001E7576">
            <w:pPr>
              <w:ind w:firstLine="361"/>
              <w:jc w:val="left"/>
              <w:rPr>
                <w:rFonts w:cs="Arial"/>
                <w:color w:val="000000"/>
                <w:sz w:val="20"/>
                <w:szCs w:val="18"/>
              </w:rPr>
            </w:pPr>
            <w:r w:rsidRPr="006E6638">
              <w:rPr>
                <w:rFonts w:cs="Arial"/>
                <w:color w:val="000000"/>
                <w:sz w:val="20"/>
                <w:szCs w:val="18"/>
              </w:rPr>
              <w:t>Fundo Financeiro do RPPS – 1780</w:t>
            </w:r>
          </w:p>
        </w:tc>
        <w:tc>
          <w:tcPr>
            <w:tcW w:w="621" w:type="pct"/>
            <w:tcBorders>
              <w:top w:val="nil"/>
              <w:left w:val="nil"/>
              <w:bottom w:val="nil"/>
              <w:right w:val="nil"/>
            </w:tcBorders>
            <w:shd w:val="clear" w:color="auto" w:fill="auto"/>
            <w:noWrap/>
            <w:vAlign w:val="center"/>
            <w:hideMark/>
          </w:tcPr>
          <w:p w14:paraId="018A182B" w14:textId="77777777" w:rsidR="0056640B" w:rsidRPr="006E6638" w:rsidRDefault="0056640B" w:rsidP="001E7576">
            <w:pPr>
              <w:jc w:val="right"/>
              <w:rPr>
                <w:rFonts w:cs="Arial"/>
                <w:color w:val="000000"/>
                <w:sz w:val="20"/>
                <w:szCs w:val="18"/>
              </w:rPr>
            </w:pPr>
            <w:r w:rsidRPr="006E6638">
              <w:rPr>
                <w:rFonts w:cs="Arial"/>
                <w:color w:val="000000"/>
                <w:sz w:val="20"/>
                <w:szCs w:val="18"/>
              </w:rPr>
              <w:t>84.859.231</w:t>
            </w:r>
          </w:p>
        </w:tc>
      </w:tr>
      <w:tr w:rsidR="0056640B" w:rsidRPr="006E6638" w14:paraId="3946B214" w14:textId="77777777" w:rsidTr="00D92C03">
        <w:trPr>
          <w:trHeight w:val="340"/>
        </w:trPr>
        <w:tc>
          <w:tcPr>
            <w:tcW w:w="4379" w:type="pct"/>
            <w:tcBorders>
              <w:top w:val="nil"/>
              <w:left w:val="nil"/>
              <w:bottom w:val="single" w:sz="4" w:space="0" w:color="auto"/>
              <w:right w:val="single" w:sz="4" w:space="0" w:color="auto"/>
            </w:tcBorders>
            <w:shd w:val="clear" w:color="auto" w:fill="auto"/>
            <w:vAlign w:val="center"/>
            <w:hideMark/>
          </w:tcPr>
          <w:p w14:paraId="5B07F9E9" w14:textId="77777777" w:rsidR="0056640B" w:rsidRPr="006E6638" w:rsidRDefault="0056640B" w:rsidP="001E7576">
            <w:pPr>
              <w:ind w:firstLine="361"/>
              <w:jc w:val="left"/>
              <w:rPr>
                <w:rFonts w:cs="Arial"/>
                <w:color w:val="000000"/>
                <w:sz w:val="20"/>
                <w:szCs w:val="18"/>
              </w:rPr>
            </w:pPr>
            <w:r w:rsidRPr="006E6638">
              <w:rPr>
                <w:rFonts w:cs="Arial"/>
                <w:color w:val="000000"/>
                <w:sz w:val="20"/>
                <w:szCs w:val="18"/>
              </w:rPr>
              <w:t>Fundo Financeiro do SPSM – 1781</w:t>
            </w:r>
          </w:p>
        </w:tc>
        <w:tc>
          <w:tcPr>
            <w:tcW w:w="621" w:type="pct"/>
            <w:tcBorders>
              <w:top w:val="nil"/>
              <w:left w:val="nil"/>
              <w:bottom w:val="single" w:sz="4" w:space="0" w:color="auto"/>
              <w:right w:val="nil"/>
            </w:tcBorders>
            <w:shd w:val="clear" w:color="auto" w:fill="auto"/>
            <w:noWrap/>
            <w:vAlign w:val="center"/>
            <w:hideMark/>
          </w:tcPr>
          <w:p w14:paraId="5C0B519C" w14:textId="77777777" w:rsidR="0056640B" w:rsidRPr="006E6638" w:rsidRDefault="0056640B" w:rsidP="001E7576">
            <w:pPr>
              <w:jc w:val="right"/>
              <w:rPr>
                <w:rFonts w:cs="Arial"/>
                <w:color w:val="000000"/>
                <w:sz w:val="20"/>
                <w:szCs w:val="18"/>
              </w:rPr>
            </w:pPr>
            <w:r w:rsidRPr="006E6638">
              <w:rPr>
                <w:rFonts w:cs="Arial"/>
                <w:color w:val="000000"/>
                <w:sz w:val="20"/>
                <w:szCs w:val="18"/>
              </w:rPr>
              <w:t>42.963.949</w:t>
            </w:r>
          </w:p>
        </w:tc>
      </w:tr>
    </w:tbl>
    <w:p w14:paraId="682A6C06" w14:textId="77777777" w:rsidR="0056640B" w:rsidRPr="003F0769" w:rsidRDefault="0056640B" w:rsidP="0056640B">
      <w:pPr>
        <w:ind w:right="-71"/>
        <w:jc w:val="left"/>
        <w:rPr>
          <w:sz w:val="16"/>
          <w:szCs w:val="16"/>
        </w:rPr>
      </w:pPr>
      <w:r w:rsidRPr="003F0769">
        <w:rPr>
          <w:sz w:val="16"/>
          <w:szCs w:val="16"/>
        </w:rPr>
        <w:t>Fonte: Nota Explicativa nº 5/2024 GOIASPREV/GECONT e SCG</w:t>
      </w:r>
    </w:p>
    <w:p w14:paraId="3E7F1C50" w14:textId="77777777" w:rsidR="0056640B" w:rsidRPr="003F0769" w:rsidRDefault="0056640B" w:rsidP="0056640B">
      <w:pPr>
        <w:tabs>
          <w:tab w:val="left" w:pos="2835"/>
        </w:tabs>
        <w:spacing w:before="200" w:after="200" w:line="276" w:lineRule="auto"/>
        <w:rPr>
          <w:rFonts w:eastAsia="Calibri"/>
        </w:rPr>
      </w:pPr>
      <w:r w:rsidRPr="003F0769">
        <w:rPr>
          <w:rFonts w:eastAsia="Calibri"/>
        </w:rPr>
        <w:t>A representação das contas do Passivo que foram afetadas após os lançamentos das provisões matemáticas previdenciárias no Balanço Patrimonial de 2023 está descrita abaixo:</w:t>
      </w:r>
    </w:p>
    <w:p w14:paraId="2D6E05C0" w14:textId="77777777" w:rsidR="0056640B" w:rsidRPr="003F0769" w:rsidRDefault="0056640B" w:rsidP="00ED3571">
      <w:pPr>
        <w:pStyle w:val="0-TABELA"/>
      </w:pPr>
      <w:bookmarkStart w:id="497" w:name="_Toc167871832"/>
      <w:r w:rsidRPr="003F0769">
        <w:lastRenderedPageBreak/>
        <w:t>Provisões Matemáticas Previdenciárias – Contas do Passivo</w:t>
      </w:r>
      <w:bookmarkEnd w:id="497"/>
    </w:p>
    <w:p w14:paraId="70DF64AC" w14:textId="77777777" w:rsidR="0056640B" w:rsidRPr="003F0769" w:rsidRDefault="0056640B" w:rsidP="0056640B">
      <w:pPr>
        <w:spacing w:before="120" w:line="276" w:lineRule="auto"/>
        <w:jc w:val="right"/>
        <w:rPr>
          <w:rFonts w:cs="Arial"/>
          <w:w w:val="95"/>
          <w:sz w:val="16"/>
          <w:szCs w:val="16"/>
        </w:rPr>
      </w:pPr>
      <w:r w:rsidRPr="003F0769">
        <w:rPr>
          <w:rFonts w:cs="Arial"/>
          <w:w w:val="95"/>
          <w:sz w:val="16"/>
          <w:szCs w:val="16"/>
        </w:rPr>
        <w:t>R$ mil</w:t>
      </w:r>
    </w:p>
    <w:tbl>
      <w:tblPr>
        <w:tblW w:w="5000" w:type="pct"/>
        <w:tblCellMar>
          <w:left w:w="70" w:type="dxa"/>
          <w:right w:w="70" w:type="dxa"/>
        </w:tblCellMar>
        <w:tblLook w:val="04A0" w:firstRow="1" w:lastRow="0" w:firstColumn="1" w:lastColumn="0" w:noHBand="0" w:noVBand="1"/>
      </w:tblPr>
      <w:tblGrid>
        <w:gridCol w:w="8085"/>
        <w:gridCol w:w="1268"/>
      </w:tblGrid>
      <w:tr w:rsidR="0056640B" w:rsidRPr="003F0769" w14:paraId="6E92762D" w14:textId="77777777" w:rsidTr="001E7576">
        <w:trPr>
          <w:trHeight w:val="288"/>
          <w:tblHeader/>
        </w:trPr>
        <w:tc>
          <w:tcPr>
            <w:tcW w:w="4322" w:type="pct"/>
            <w:vMerge w:val="restart"/>
            <w:tcBorders>
              <w:top w:val="single" w:sz="4" w:space="0" w:color="auto"/>
              <w:left w:val="nil"/>
              <w:bottom w:val="single" w:sz="4" w:space="0" w:color="000000"/>
              <w:right w:val="nil"/>
            </w:tcBorders>
            <w:shd w:val="clear" w:color="000000" w:fill="A1F2FD"/>
            <w:vAlign w:val="center"/>
            <w:hideMark/>
          </w:tcPr>
          <w:p w14:paraId="45261717" w14:textId="77777777" w:rsidR="0056640B" w:rsidRPr="003F0769" w:rsidRDefault="0056640B" w:rsidP="001E7576">
            <w:pPr>
              <w:jc w:val="center"/>
              <w:rPr>
                <w:rFonts w:cs="Arial"/>
                <w:b/>
                <w:bCs/>
                <w:color w:val="000000"/>
                <w:sz w:val="18"/>
                <w:szCs w:val="18"/>
              </w:rPr>
            </w:pPr>
            <w:r w:rsidRPr="003F0769">
              <w:rPr>
                <w:rFonts w:cs="Arial"/>
                <w:b/>
                <w:bCs/>
                <w:color w:val="000000"/>
                <w:sz w:val="18"/>
                <w:szCs w:val="18"/>
              </w:rPr>
              <w:t>Conta Contábil</w:t>
            </w:r>
          </w:p>
        </w:tc>
        <w:tc>
          <w:tcPr>
            <w:tcW w:w="678" w:type="pct"/>
            <w:vMerge w:val="restart"/>
            <w:tcBorders>
              <w:top w:val="single" w:sz="4" w:space="0" w:color="auto"/>
              <w:left w:val="single" w:sz="4" w:space="0" w:color="auto"/>
              <w:bottom w:val="single" w:sz="4" w:space="0" w:color="auto"/>
              <w:right w:val="nil"/>
            </w:tcBorders>
            <w:shd w:val="clear" w:color="000000" w:fill="A1F2FD"/>
            <w:vAlign w:val="center"/>
            <w:hideMark/>
          </w:tcPr>
          <w:p w14:paraId="6150A9E4" w14:textId="77777777" w:rsidR="0056640B" w:rsidRPr="003F0769" w:rsidRDefault="0056640B" w:rsidP="001E7576">
            <w:pPr>
              <w:jc w:val="center"/>
              <w:rPr>
                <w:rFonts w:cs="Arial"/>
                <w:b/>
                <w:bCs/>
                <w:color w:val="000000"/>
                <w:sz w:val="18"/>
                <w:szCs w:val="18"/>
              </w:rPr>
            </w:pPr>
            <w:r w:rsidRPr="003F0769">
              <w:rPr>
                <w:rFonts w:cs="Arial"/>
                <w:b/>
                <w:bCs/>
                <w:color w:val="000000"/>
                <w:sz w:val="18"/>
                <w:szCs w:val="18"/>
              </w:rPr>
              <w:t>Valor</w:t>
            </w:r>
          </w:p>
        </w:tc>
      </w:tr>
      <w:tr w:rsidR="0056640B" w:rsidRPr="003F0769" w14:paraId="245315AD" w14:textId="77777777" w:rsidTr="001E7576">
        <w:trPr>
          <w:trHeight w:val="253"/>
        </w:trPr>
        <w:tc>
          <w:tcPr>
            <w:tcW w:w="4322" w:type="pct"/>
            <w:vMerge/>
            <w:tcBorders>
              <w:top w:val="single" w:sz="4" w:space="0" w:color="auto"/>
              <w:left w:val="nil"/>
              <w:bottom w:val="single" w:sz="4" w:space="0" w:color="000000"/>
              <w:right w:val="nil"/>
            </w:tcBorders>
            <w:vAlign w:val="center"/>
            <w:hideMark/>
          </w:tcPr>
          <w:p w14:paraId="03CCA133" w14:textId="77777777" w:rsidR="0056640B" w:rsidRPr="003F0769" w:rsidRDefault="0056640B" w:rsidP="001E7576">
            <w:pPr>
              <w:jc w:val="left"/>
              <w:rPr>
                <w:rFonts w:cs="Arial"/>
                <w:b/>
                <w:bCs/>
                <w:color w:val="000000"/>
                <w:sz w:val="18"/>
                <w:szCs w:val="18"/>
              </w:rPr>
            </w:pPr>
          </w:p>
        </w:tc>
        <w:tc>
          <w:tcPr>
            <w:tcW w:w="678" w:type="pct"/>
            <w:vMerge/>
            <w:tcBorders>
              <w:top w:val="single" w:sz="4" w:space="0" w:color="auto"/>
              <w:left w:val="single" w:sz="4" w:space="0" w:color="auto"/>
              <w:bottom w:val="single" w:sz="4" w:space="0" w:color="auto"/>
              <w:right w:val="nil"/>
            </w:tcBorders>
            <w:vAlign w:val="center"/>
            <w:hideMark/>
          </w:tcPr>
          <w:p w14:paraId="5C50D6F3" w14:textId="77777777" w:rsidR="0056640B" w:rsidRPr="003F0769" w:rsidRDefault="0056640B" w:rsidP="001E7576">
            <w:pPr>
              <w:jc w:val="left"/>
              <w:rPr>
                <w:rFonts w:cs="Arial"/>
                <w:b/>
                <w:bCs/>
                <w:color w:val="000000"/>
                <w:sz w:val="18"/>
                <w:szCs w:val="18"/>
              </w:rPr>
            </w:pPr>
          </w:p>
        </w:tc>
      </w:tr>
      <w:tr w:rsidR="0056640B" w:rsidRPr="003F0769" w14:paraId="68FB7B1B" w14:textId="77777777" w:rsidTr="001E7576">
        <w:trPr>
          <w:trHeight w:val="288"/>
        </w:trPr>
        <w:tc>
          <w:tcPr>
            <w:tcW w:w="4322" w:type="pct"/>
            <w:tcBorders>
              <w:top w:val="nil"/>
              <w:left w:val="nil"/>
              <w:bottom w:val="nil"/>
              <w:right w:val="nil"/>
            </w:tcBorders>
            <w:shd w:val="clear" w:color="auto" w:fill="auto"/>
            <w:vAlign w:val="center"/>
            <w:hideMark/>
          </w:tcPr>
          <w:p w14:paraId="227348D1" w14:textId="77777777" w:rsidR="0056640B" w:rsidRPr="003F0769" w:rsidRDefault="0056640B" w:rsidP="001E7576">
            <w:pPr>
              <w:jc w:val="left"/>
              <w:rPr>
                <w:rFonts w:cs="Arial"/>
                <w:b/>
                <w:bCs/>
                <w:color w:val="000000"/>
                <w:sz w:val="18"/>
                <w:szCs w:val="18"/>
              </w:rPr>
            </w:pPr>
            <w:r w:rsidRPr="003F0769">
              <w:rPr>
                <w:rFonts w:cs="Arial"/>
                <w:b/>
                <w:bCs/>
                <w:color w:val="000000"/>
                <w:sz w:val="18"/>
                <w:szCs w:val="18"/>
              </w:rPr>
              <w:t>2.2.7.2.1.01.00 - Plano Financeiro - Provisões dos Benefícios Concedidos</w:t>
            </w:r>
          </w:p>
        </w:tc>
        <w:tc>
          <w:tcPr>
            <w:tcW w:w="678" w:type="pct"/>
            <w:tcBorders>
              <w:top w:val="nil"/>
              <w:left w:val="single" w:sz="4" w:space="0" w:color="auto"/>
              <w:bottom w:val="nil"/>
              <w:right w:val="nil"/>
            </w:tcBorders>
            <w:shd w:val="clear" w:color="auto" w:fill="auto"/>
            <w:noWrap/>
            <w:vAlign w:val="center"/>
            <w:hideMark/>
          </w:tcPr>
          <w:p w14:paraId="3BBD51E4" w14:textId="77777777" w:rsidR="0056640B" w:rsidRPr="003F0769" w:rsidRDefault="0056640B" w:rsidP="001E7576">
            <w:pPr>
              <w:jc w:val="right"/>
              <w:rPr>
                <w:rFonts w:cs="Arial"/>
                <w:b/>
                <w:bCs/>
                <w:color w:val="000000"/>
                <w:sz w:val="18"/>
                <w:szCs w:val="18"/>
              </w:rPr>
            </w:pPr>
            <w:r w:rsidRPr="003F0769">
              <w:rPr>
                <w:rFonts w:cs="Arial"/>
                <w:b/>
                <w:bCs/>
                <w:color w:val="000000"/>
                <w:sz w:val="18"/>
                <w:szCs w:val="18"/>
              </w:rPr>
              <w:t>81.373.874</w:t>
            </w:r>
          </w:p>
        </w:tc>
      </w:tr>
      <w:tr w:rsidR="0056640B" w:rsidRPr="003F0769" w14:paraId="2764857E"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12AEAE80" w14:textId="77777777" w:rsidR="0056640B" w:rsidRPr="003F0769" w:rsidRDefault="0056640B" w:rsidP="001E7576">
            <w:pPr>
              <w:ind w:firstLine="361"/>
              <w:jc w:val="left"/>
              <w:rPr>
                <w:rFonts w:cs="Arial"/>
                <w:color w:val="000000"/>
                <w:sz w:val="18"/>
                <w:szCs w:val="18"/>
              </w:rPr>
            </w:pPr>
            <w:r w:rsidRPr="003F0769">
              <w:rPr>
                <w:rFonts w:cs="Arial"/>
                <w:color w:val="000000"/>
                <w:sz w:val="18"/>
                <w:szCs w:val="18"/>
              </w:rPr>
              <w:t>Fundo Financeiro do RPPS – 1780</w:t>
            </w:r>
          </w:p>
        </w:tc>
        <w:tc>
          <w:tcPr>
            <w:tcW w:w="678" w:type="pct"/>
            <w:tcBorders>
              <w:top w:val="nil"/>
              <w:left w:val="nil"/>
              <w:bottom w:val="nil"/>
              <w:right w:val="nil"/>
            </w:tcBorders>
            <w:shd w:val="clear" w:color="auto" w:fill="auto"/>
            <w:noWrap/>
            <w:vAlign w:val="center"/>
            <w:hideMark/>
          </w:tcPr>
          <w:p w14:paraId="5269295C" w14:textId="77777777" w:rsidR="0056640B" w:rsidRPr="003F0769" w:rsidRDefault="0056640B" w:rsidP="001E7576">
            <w:pPr>
              <w:jc w:val="right"/>
              <w:rPr>
                <w:rFonts w:cs="Arial"/>
                <w:color w:val="000000"/>
                <w:sz w:val="18"/>
                <w:szCs w:val="18"/>
              </w:rPr>
            </w:pPr>
            <w:r w:rsidRPr="003F0769">
              <w:rPr>
                <w:rFonts w:cs="Arial"/>
                <w:color w:val="000000"/>
                <w:sz w:val="18"/>
                <w:szCs w:val="18"/>
              </w:rPr>
              <w:t>54.921.580</w:t>
            </w:r>
          </w:p>
        </w:tc>
      </w:tr>
      <w:tr w:rsidR="0056640B" w:rsidRPr="003F0769" w14:paraId="1EC9A569"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5661E8CC" w14:textId="77777777" w:rsidR="0056640B" w:rsidRPr="003F0769" w:rsidRDefault="0056640B" w:rsidP="001E7576">
            <w:pPr>
              <w:ind w:firstLine="361"/>
              <w:jc w:val="left"/>
              <w:rPr>
                <w:rFonts w:cs="Arial"/>
                <w:color w:val="000000"/>
                <w:sz w:val="18"/>
                <w:szCs w:val="18"/>
              </w:rPr>
            </w:pPr>
            <w:r w:rsidRPr="003F0769">
              <w:rPr>
                <w:rFonts w:cs="Arial"/>
                <w:color w:val="000000"/>
                <w:sz w:val="18"/>
                <w:szCs w:val="18"/>
              </w:rPr>
              <w:t>Fundo Financeiro do SPSM – 1781</w:t>
            </w:r>
          </w:p>
        </w:tc>
        <w:tc>
          <w:tcPr>
            <w:tcW w:w="678" w:type="pct"/>
            <w:tcBorders>
              <w:top w:val="nil"/>
              <w:left w:val="nil"/>
              <w:bottom w:val="nil"/>
              <w:right w:val="nil"/>
            </w:tcBorders>
            <w:shd w:val="clear" w:color="auto" w:fill="auto"/>
            <w:noWrap/>
            <w:vAlign w:val="center"/>
            <w:hideMark/>
          </w:tcPr>
          <w:p w14:paraId="052CB287" w14:textId="77777777" w:rsidR="0056640B" w:rsidRPr="003F0769" w:rsidRDefault="0056640B" w:rsidP="001E7576">
            <w:pPr>
              <w:jc w:val="right"/>
              <w:rPr>
                <w:rFonts w:cs="Arial"/>
                <w:color w:val="000000"/>
                <w:sz w:val="18"/>
                <w:szCs w:val="18"/>
              </w:rPr>
            </w:pPr>
            <w:r w:rsidRPr="003F0769">
              <w:rPr>
                <w:rFonts w:cs="Arial"/>
                <w:color w:val="000000"/>
                <w:sz w:val="18"/>
                <w:szCs w:val="18"/>
              </w:rPr>
              <w:t>26.452.294</w:t>
            </w:r>
          </w:p>
        </w:tc>
      </w:tr>
      <w:tr w:rsidR="0056640B" w:rsidRPr="003F0769" w14:paraId="182A0114" w14:textId="77777777" w:rsidTr="001E7576">
        <w:trPr>
          <w:trHeight w:val="209"/>
        </w:trPr>
        <w:tc>
          <w:tcPr>
            <w:tcW w:w="4322" w:type="pct"/>
            <w:tcBorders>
              <w:top w:val="nil"/>
              <w:left w:val="nil"/>
              <w:bottom w:val="nil"/>
              <w:right w:val="single" w:sz="4" w:space="0" w:color="auto"/>
            </w:tcBorders>
            <w:shd w:val="clear" w:color="auto" w:fill="auto"/>
            <w:vAlign w:val="center"/>
            <w:hideMark/>
          </w:tcPr>
          <w:p w14:paraId="38DB61BF" w14:textId="77777777" w:rsidR="0056640B" w:rsidRPr="003F0769" w:rsidRDefault="0056640B" w:rsidP="001E7576">
            <w:pPr>
              <w:jc w:val="left"/>
              <w:rPr>
                <w:rFonts w:cs="Arial"/>
                <w:b/>
                <w:bCs/>
                <w:color w:val="000000"/>
                <w:sz w:val="18"/>
                <w:szCs w:val="18"/>
              </w:rPr>
            </w:pPr>
            <w:r w:rsidRPr="003F0769">
              <w:rPr>
                <w:rFonts w:cs="Arial"/>
                <w:b/>
                <w:bCs/>
                <w:color w:val="000000"/>
                <w:sz w:val="18"/>
                <w:szCs w:val="18"/>
              </w:rPr>
              <w:t>2.2.7.2.1.01.01 - Aposentadorias/Pensões/Outros Benefícios Concedidos do Plano</w:t>
            </w:r>
          </w:p>
        </w:tc>
        <w:tc>
          <w:tcPr>
            <w:tcW w:w="678" w:type="pct"/>
            <w:tcBorders>
              <w:top w:val="nil"/>
              <w:left w:val="nil"/>
              <w:bottom w:val="nil"/>
              <w:right w:val="nil"/>
            </w:tcBorders>
            <w:shd w:val="clear" w:color="auto" w:fill="auto"/>
            <w:noWrap/>
            <w:vAlign w:val="center"/>
            <w:hideMark/>
          </w:tcPr>
          <w:p w14:paraId="5341A37E" w14:textId="77777777" w:rsidR="0056640B" w:rsidRPr="003F0769" w:rsidRDefault="0056640B" w:rsidP="001E7576">
            <w:pPr>
              <w:jc w:val="right"/>
              <w:rPr>
                <w:rFonts w:cs="Arial"/>
                <w:b/>
                <w:bCs/>
                <w:color w:val="000000"/>
                <w:sz w:val="18"/>
                <w:szCs w:val="18"/>
              </w:rPr>
            </w:pPr>
            <w:r w:rsidRPr="003F0769">
              <w:rPr>
                <w:rFonts w:cs="Arial"/>
                <w:b/>
                <w:bCs/>
                <w:color w:val="000000"/>
                <w:sz w:val="18"/>
                <w:szCs w:val="18"/>
              </w:rPr>
              <w:t>90.843.019</w:t>
            </w:r>
          </w:p>
        </w:tc>
      </w:tr>
      <w:tr w:rsidR="0056640B" w:rsidRPr="003F0769" w14:paraId="647917CC"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1E7809C0" w14:textId="77777777" w:rsidR="0056640B" w:rsidRPr="003F0769" w:rsidRDefault="0056640B" w:rsidP="001E7576">
            <w:pPr>
              <w:ind w:firstLine="361"/>
              <w:jc w:val="left"/>
              <w:rPr>
                <w:rFonts w:cs="Arial"/>
                <w:color w:val="000000"/>
                <w:sz w:val="18"/>
                <w:szCs w:val="18"/>
              </w:rPr>
            </w:pPr>
            <w:r w:rsidRPr="003F0769">
              <w:rPr>
                <w:rFonts w:cs="Arial"/>
                <w:color w:val="000000"/>
                <w:sz w:val="18"/>
                <w:szCs w:val="18"/>
              </w:rPr>
              <w:t>Fundo Financeiro do RPPS – 1780</w:t>
            </w:r>
          </w:p>
        </w:tc>
        <w:tc>
          <w:tcPr>
            <w:tcW w:w="678" w:type="pct"/>
            <w:tcBorders>
              <w:top w:val="nil"/>
              <w:left w:val="nil"/>
              <w:bottom w:val="nil"/>
              <w:right w:val="nil"/>
            </w:tcBorders>
            <w:shd w:val="clear" w:color="auto" w:fill="auto"/>
            <w:noWrap/>
            <w:vAlign w:val="center"/>
            <w:hideMark/>
          </w:tcPr>
          <w:p w14:paraId="7E1AC80A" w14:textId="77777777" w:rsidR="0056640B" w:rsidRPr="003F0769" w:rsidRDefault="0056640B" w:rsidP="001E7576">
            <w:pPr>
              <w:jc w:val="right"/>
              <w:rPr>
                <w:rFonts w:cs="Arial"/>
                <w:color w:val="000000"/>
                <w:sz w:val="18"/>
                <w:szCs w:val="18"/>
              </w:rPr>
            </w:pPr>
            <w:r w:rsidRPr="003F0769">
              <w:rPr>
                <w:rFonts w:cs="Arial"/>
                <w:color w:val="000000"/>
                <w:sz w:val="18"/>
                <w:szCs w:val="18"/>
              </w:rPr>
              <w:t>61.287.384</w:t>
            </w:r>
          </w:p>
        </w:tc>
      </w:tr>
      <w:tr w:rsidR="0056640B" w:rsidRPr="003F0769" w14:paraId="7D879146"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1492EA2B" w14:textId="77777777" w:rsidR="0056640B" w:rsidRPr="003F0769" w:rsidRDefault="0056640B" w:rsidP="001E7576">
            <w:pPr>
              <w:ind w:firstLine="361"/>
              <w:jc w:val="left"/>
              <w:rPr>
                <w:rFonts w:cs="Arial"/>
                <w:color w:val="000000"/>
                <w:sz w:val="18"/>
                <w:szCs w:val="18"/>
              </w:rPr>
            </w:pPr>
            <w:r w:rsidRPr="003F0769">
              <w:rPr>
                <w:rFonts w:cs="Arial"/>
                <w:color w:val="000000"/>
                <w:sz w:val="18"/>
                <w:szCs w:val="18"/>
              </w:rPr>
              <w:t>Fundo Financeiro do SPSM – 1781</w:t>
            </w:r>
          </w:p>
        </w:tc>
        <w:tc>
          <w:tcPr>
            <w:tcW w:w="678" w:type="pct"/>
            <w:tcBorders>
              <w:top w:val="nil"/>
              <w:left w:val="nil"/>
              <w:bottom w:val="nil"/>
              <w:right w:val="nil"/>
            </w:tcBorders>
            <w:shd w:val="clear" w:color="auto" w:fill="auto"/>
            <w:noWrap/>
            <w:vAlign w:val="center"/>
            <w:hideMark/>
          </w:tcPr>
          <w:p w14:paraId="632E2D2A" w14:textId="77777777" w:rsidR="0056640B" w:rsidRPr="003F0769" w:rsidRDefault="0056640B" w:rsidP="001E7576">
            <w:pPr>
              <w:jc w:val="right"/>
              <w:rPr>
                <w:rFonts w:cs="Arial"/>
                <w:color w:val="000000"/>
                <w:sz w:val="18"/>
                <w:szCs w:val="18"/>
              </w:rPr>
            </w:pPr>
            <w:r w:rsidRPr="003F0769">
              <w:rPr>
                <w:rFonts w:cs="Arial"/>
                <w:color w:val="000000"/>
                <w:sz w:val="18"/>
                <w:szCs w:val="18"/>
              </w:rPr>
              <w:t>29.555.635</w:t>
            </w:r>
          </w:p>
        </w:tc>
      </w:tr>
      <w:tr w:rsidR="0056640B" w:rsidRPr="003F0769" w14:paraId="0B472DBE"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54DD35A5" w14:textId="77777777" w:rsidR="0056640B" w:rsidRPr="003F0769" w:rsidRDefault="0056640B" w:rsidP="001E7576">
            <w:pPr>
              <w:jc w:val="left"/>
              <w:rPr>
                <w:rFonts w:cs="Arial"/>
                <w:b/>
                <w:bCs/>
                <w:color w:val="000000"/>
                <w:sz w:val="18"/>
                <w:szCs w:val="18"/>
              </w:rPr>
            </w:pPr>
            <w:r w:rsidRPr="003F0769">
              <w:rPr>
                <w:rFonts w:cs="Arial"/>
                <w:b/>
                <w:bCs/>
                <w:color w:val="000000"/>
                <w:sz w:val="18"/>
                <w:szCs w:val="18"/>
              </w:rPr>
              <w:t xml:space="preserve">2.2.7.2.1.01.03 - </w:t>
            </w:r>
            <w:r w:rsidRPr="003F0769">
              <w:rPr>
                <w:rFonts w:cs="Arial"/>
                <w:b/>
                <w:bCs/>
                <w:sz w:val="18"/>
                <w:szCs w:val="18"/>
              </w:rPr>
              <w:t>(-)</w:t>
            </w:r>
            <w:r w:rsidRPr="003F0769">
              <w:rPr>
                <w:rFonts w:cs="Arial"/>
                <w:b/>
                <w:bCs/>
                <w:color w:val="000000"/>
                <w:sz w:val="18"/>
                <w:szCs w:val="18"/>
              </w:rPr>
              <w:t xml:space="preserve"> Contribuições do Aposentado para o Plano Financeiro</w:t>
            </w:r>
          </w:p>
        </w:tc>
        <w:tc>
          <w:tcPr>
            <w:tcW w:w="678" w:type="pct"/>
            <w:tcBorders>
              <w:top w:val="nil"/>
              <w:left w:val="nil"/>
              <w:bottom w:val="nil"/>
              <w:right w:val="nil"/>
            </w:tcBorders>
            <w:shd w:val="clear" w:color="auto" w:fill="auto"/>
            <w:noWrap/>
            <w:vAlign w:val="center"/>
            <w:hideMark/>
          </w:tcPr>
          <w:p w14:paraId="455FE7AA" w14:textId="77777777" w:rsidR="0056640B" w:rsidRPr="003F0769" w:rsidRDefault="0056640B" w:rsidP="001E7576">
            <w:pPr>
              <w:jc w:val="right"/>
              <w:rPr>
                <w:rFonts w:cs="Arial"/>
                <w:b/>
                <w:bCs/>
                <w:color w:val="000000"/>
                <w:sz w:val="18"/>
                <w:szCs w:val="18"/>
              </w:rPr>
            </w:pPr>
            <w:r w:rsidRPr="003F0769">
              <w:rPr>
                <w:rFonts w:cs="Arial"/>
                <w:b/>
                <w:bCs/>
                <w:color w:val="FF0000"/>
                <w:sz w:val="18"/>
                <w:szCs w:val="18"/>
              </w:rPr>
              <w:t>(7.261.447)</w:t>
            </w:r>
          </w:p>
        </w:tc>
      </w:tr>
      <w:tr w:rsidR="0056640B" w:rsidRPr="003F0769" w14:paraId="15817EF8"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44B2825A" w14:textId="77777777" w:rsidR="0056640B" w:rsidRPr="003F0769" w:rsidRDefault="0056640B" w:rsidP="001E7576">
            <w:pPr>
              <w:ind w:firstLine="361"/>
              <w:jc w:val="left"/>
              <w:rPr>
                <w:rFonts w:cs="Arial"/>
                <w:color w:val="000000"/>
                <w:sz w:val="18"/>
                <w:szCs w:val="18"/>
              </w:rPr>
            </w:pPr>
            <w:r w:rsidRPr="003F0769">
              <w:rPr>
                <w:rFonts w:cs="Arial"/>
                <w:color w:val="000000"/>
                <w:sz w:val="18"/>
                <w:szCs w:val="18"/>
              </w:rPr>
              <w:t>Fundo Financeiro do RPPS – 1780</w:t>
            </w:r>
          </w:p>
        </w:tc>
        <w:tc>
          <w:tcPr>
            <w:tcW w:w="678" w:type="pct"/>
            <w:tcBorders>
              <w:top w:val="nil"/>
              <w:left w:val="nil"/>
              <w:bottom w:val="nil"/>
              <w:right w:val="nil"/>
            </w:tcBorders>
            <w:shd w:val="clear" w:color="auto" w:fill="auto"/>
            <w:noWrap/>
            <w:vAlign w:val="center"/>
            <w:hideMark/>
          </w:tcPr>
          <w:p w14:paraId="0F3F969B" w14:textId="77777777" w:rsidR="0056640B" w:rsidRPr="003F0769" w:rsidRDefault="0056640B" w:rsidP="001E7576">
            <w:pPr>
              <w:jc w:val="right"/>
              <w:rPr>
                <w:rFonts w:cs="Arial"/>
                <w:color w:val="000000"/>
                <w:sz w:val="18"/>
                <w:szCs w:val="18"/>
              </w:rPr>
            </w:pPr>
            <w:r w:rsidRPr="003F0769">
              <w:rPr>
                <w:rFonts w:cs="Arial"/>
                <w:color w:val="FF0000"/>
                <w:sz w:val="18"/>
                <w:szCs w:val="18"/>
              </w:rPr>
              <w:t>(5.090.125)</w:t>
            </w:r>
          </w:p>
        </w:tc>
      </w:tr>
      <w:tr w:rsidR="0056640B" w:rsidRPr="003F0769" w14:paraId="6CE4926F"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23F0AE96" w14:textId="77777777" w:rsidR="0056640B" w:rsidRPr="003F0769" w:rsidRDefault="0056640B" w:rsidP="001E7576">
            <w:pPr>
              <w:ind w:firstLine="361"/>
              <w:jc w:val="left"/>
              <w:rPr>
                <w:rFonts w:cs="Arial"/>
                <w:color w:val="000000"/>
                <w:sz w:val="18"/>
                <w:szCs w:val="18"/>
              </w:rPr>
            </w:pPr>
            <w:r w:rsidRPr="003F0769">
              <w:rPr>
                <w:rFonts w:cs="Arial"/>
                <w:color w:val="000000"/>
                <w:sz w:val="18"/>
                <w:szCs w:val="18"/>
              </w:rPr>
              <w:t>Fundo Financeiro do SPSM – 1781</w:t>
            </w:r>
          </w:p>
        </w:tc>
        <w:tc>
          <w:tcPr>
            <w:tcW w:w="678" w:type="pct"/>
            <w:tcBorders>
              <w:top w:val="nil"/>
              <w:left w:val="nil"/>
              <w:bottom w:val="nil"/>
              <w:right w:val="nil"/>
            </w:tcBorders>
            <w:shd w:val="clear" w:color="auto" w:fill="auto"/>
            <w:noWrap/>
            <w:vAlign w:val="center"/>
            <w:hideMark/>
          </w:tcPr>
          <w:p w14:paraId="636676B3" w14:textId="77777777" w:rsidR="0056640B" w:rsidRPr="003F0769" w:rsidRDefault="0056640B" w:rsidP="001E7576">
            <w:pPr>
              <w:jc w:val="right"/>
              <w:rPr>
                <w:rFonts w:cs="Arial"/>
                <w:color w:val="000000"/>
                <w:sz w:val="18"/>
                <w:szCs w:val="18"/>
              </w:rPr>
            </w:pPr>
            <w:r w:rsidRPr="003F0769">
              <w:rPr>
                <w:rFonts w:cs="Arial"/>
                <w:color w:val="FF0000"/>
                <w:sz w:val="18"/>
                <w:szCs w:val="18"/>
              </w:rPr>
              <w:t>(2.171.322)</w:t>
            </w:r>
          </w:p>
        </w:tc>
      </w:tr>
      <w:tr w:rsidR="0056640B" w:rsidRPr="003F0769" w14:paraId="2D39E64A"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17D28B43" w14:textId="77777777" w:rsidR="0056640B" w:rsidRPr="003F0769" w:rsidRDefault="0056640B" w:rsidP="001E7576">
            <w:pPr>
              <w:jc w:val="left"/>
              <w:rPr>
                <w:rFonts w:cs="Arial"/>
                <w:b/>
                <w:bCs/>
                <w:color w:val="000000"/>
                <w:sz w:val="18"/>
                <w:szCs w:val="18"/>
              </w:rPr>
            </w:pPr>
            <w:r w:rsidRPr="003F0769">
              <w:rPr>
                <w:rFonts w:cs="Arial"/>
                <w:b/>
                <w:bCs/>
                <w:color w:val="000000"/>
                <w:sz w:val="18"/>
                <w:szCs w:val="18"/>
              </w:rPr>
              <w:t xml:space="preserve">2.2.7.2.1.01.04 - </w:t>
            </w:r>
            <w:r w:rsidRPr="003F0769">
              <w:rPr>
                <w:rFonts w:cs="Arial"/>
                <w:b/>
                <w:bCs/>
                <w:sz w:val="18"/>
                <w:szCs w:val="18"/>
              </w:rPr>
              <w:t>(-)</w:t>
            </w:r>
            <w:r w:rsidRPr="003F0769">
              <w:rPr>
                <w:rFonts w:cs="Arial"/>
                <w:b/>
                <w:bCs/>
                <w:color w:val="000000"/>
                <w:sz w:val="18"/>
                <w:szCs w:val="18"/>
              </w:rPr>
              <w:t xml:space="preserve"> Contribuições do Pensionista para o Plano Financeiro</w:t>
            </w:r>
          </w:p>
        </w:tc>
        <w:tc>
          <w:tcPr>
            <w:tcW w:w="678" w:type="pct"/>
            <w:tcBorders>
              <w:top w:val="nil"/>
              <w:left w:val="nil"/>
              <w:bottom w:val="nil"/>
              <w:right w:val="nil"/>
            </w:tcBorders>
            <w:shd w:val="clear" w:color="auto" w:fill="auto"/>
            <w:noWrap/>
            <w:vAlign w:val="center"/>
            <w:hideMark/>
          </w:tcPr>
          <w:p w14:paraId="03354237" w14:textId="77777777" w:rsidR="0056640B" w:rsidRPr="003F0769" w:rsidRDefault="0056640B" w:rsidP="001E7576">
            <w:pPr>
              <w:jc w:val="right"/>
              <w:rPr>
                <w:rFonts w:cs="Arial"/>
                <w:b/>
                <w:bCs/>
                <w:color w:val="000000"/>
                <w:sz w:val="18"/>
                <w:szCs w:val="18"/>
              </w:rPr>
            </w:pPr>
            <w:r w:rsidRPr="003F0769">
              <w:rPr>
                <w:rFonts w:cs="Arial"/>
                <w:b/>
                <w:bCs/>
                <w:color w:val="FF0000"/>
                <w:sz w:val="18"/>
                <w:szCs w:val="18"/>
              </w:rPr>
              <w:t>(1.938.034)</w:t>
            </w:r>
          </w:p>
        </w:tc>
      </w:tr>
      <w:tr w:rsidR="0056640B" w:rsidRPr="003F0769" w14:paraId="25921731"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2144621B" w14:textId="77777777" w:rsidR="0056640B" w:rsidRPr="003F0769" w:rsidRDefault="0056640B" w:rsidP="001E7576">
            <w:pPr>
              <w:ind w:firstLine="361"/>
              <w:jc w:val="left"/>
              <w:rPr>
                <w:rFonts w:cs="Arial"/>
                <w:color w:val="000000"/>
                <w:sz w:val="18"/>
                <w:szCs w:val="18"/>
              </w:rPr>
            </w:pPr>
            <w:r w:rsidRPr="003F0769">
              <w:rPr>
                <w:rFonts w:cs="Arial"/>
                <w:color w:val="000000"/>
                <w:sz w:val="18"/>
                <w:szCs w:val="18"/>
              </w:rPr>
              <w:t>Fundo Financeiro do RPPS – 1780</w:t>
            </w:r>
          </w:p>
        </w:tc>
        <w:tc>
          <w:tcPr>
            <w:tcW w:w="678" w:type="pct"/>
            <w:tcBorders>
              <w:top w:val="nil"/>
              <w:left w:val="nil"/>
              <w:bottom w:val="nil"/>
              <w:right w:val="nil"/>
            </w:tcBorders>
            <w:shd w:val="clear" w:color="auto" w:fill="auto"/>
            <w:noWrap/>
            <w:vAlign w:val="center"/>
            <w:hideMark/>
          </w:tcPr>
          <w:p w14:paraId="57745949" w14:textId="77777777" w:rsidR="0056640B" w:rsidRPr="003F0769" w:rsidRDefault="0056640B" w:rsidP="001E7576">
            <w:pPr>
              <w:jc w:val="right"/>
              <w:rPr>
                <w:rFonts w:cs="Arial"/>
                <w:color w:val="000000"/>
                <w:sz w:val="18"/>
                <w:szCs w:val="18"/>
              </w:rPr>
            </w:pPr>
            <w:r w:rsidRPr="003F0769">
              <w:rPr>
                <w:rFonts w:cs="Arial"/>
                <w:color w:val="FF0000"/>
                <w:sz w:val="18"/>
                <w:szCs w:val="18"/>
              </w:rPr>
              <w:t>(1.006.015)</w:t>
            </w:r>
          </w:p>
        </w:tc>
      </w:tr>
      <w:tr w:rsidR="0056640B" w:rsidRPr="003F0769" w14:paraId="7BDD924B"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70908C30" w14:textId="77777777" w:rsidR="0056640B" w:rsidRPr="003F0769" w:rsidRDefault="0056640B" w:rsidP="001E7576">
            <w:pPr>
              <w:ind w:firstLine="361"/>
              <w:jc w:val="left"/>
              <w:rPr>
                <w:rFonts w:cs="Arial"/>
                <w:color w:val="000000"/>
                <w:sz w:val="18"/>
                <w:szCs w:val="18"/>
              </w:rPr>
            </w:pPr>
            <w:r w:rsidRPr="003F0769">
              <w:rPr>
                <w:rFonts w:cs="Arial"/>
                <w:color w:val="000000"/>
                <w:sz w:val="18"/>
                <w:szCs w:val="18"/>
              </w:rPr>
              <w:t>Fundo Financeiro do SPSM – 1781</w:t>
            </w:r>
          </w:p>
        </w:tc>
        <w:tc>
          <w:tcPr>
            <w:tcW w:w="678" w:type="pct"/>
            <w:tcBorders>
              <w:top w:val="nil"/>
              <w:left w:val="nil"/>
              <w:bottom w:val="nil"/>
              <w:right w:val="nil"/>
            </w:tcBorders>
            <w:shd w:val="clear" w:color="auto" w:fill="auto"/>
            <w:noWrap/>
            <w:vAlign w:val="center"/>
            <w:hideMark/>
          </w:tcPr>
          <w:p w14:paraId="745F0206" w14:textId="77777777" w:rsidR="0056640B" w:rsidRPr="003F0769" w:rsidRDefault="0056640B" w:rsidP="001E7576">
            <w:pPr>
              <w:jc w:val="right"/>
              <w:rPr>
                <w:rFonts w:cs="Arial"/>
                <w:color w:val="000000"/>
                <w:sz w:val="18"/>
                <w:szCs w:val="18"/>
              </w:rPr>
            </w:pPr>
            <w:r w:rsidRPr="003F0769">
              <w:rPr>
                <w:rFonts w:cs="Arial"/>
                <w:color w:val="FF0000"/>
                <w:sz w:val="18"/>
                <w:szCs w:val="18"/>
              </w:rPr>
              <w:t>(932.019)</w:t>
            </w:r>
          </w:p>
        </w:tc>
      </w:tr>
      <w:tr w:rsidR="0056640B" w:rsidRPr="003F0769" w14:paraId="31D2513B"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7E4239A8" w14:textId="77777777" w:rsidR="0056640B" w:rsidRPr="003F0769" w:rsidRDefault="0056640B" w:rsidP="001E7576">
            <w:pPr>
              <w:jc w:val="left"/>
              <w:rPr>
                <w:rFonts w:cs="Arial"/>
                <w:b/>
                <w:bCs/>
                <w:color w:val="000000"/>
                <w:sz w:val="18"/>
                <w:szCs w:val="18"/>
              </w:rPr>
            </w:pPr>
            <w:r w:rsidRPr="003F0769">
              <w:rPr>
                <w:rFonts w:cs="Arial"/>
                <w:b/>
                <w:bCs/>
                <w:color w:val="000000"/>
                <w:sz w:val="18"/>
                <w:szCs w:val="18"/>
              </w:rPr>
              <w:t xml:space="preserve">2.2.7.2.1.01.05 - </w:t>
            </w:r>
            <w:r w:rsidRPr="003F0769">
              <w:rPr>
                <w:rFonts w:cs="Arial"/>
                <w:b/>
                <w:bCs/>
                <w:sz w:val="18"/>
                <w:szCs w:val="18"/>
              </w:rPr>
              <w:t>(-)</w:t>
            </w:r>
            <w:r w:rsidRPr="003F0769">
              <w:rPr>
                <w:rFonts w:cs="Arial"/>
                <w:b/>
                <w:bCs/>
                <w:color w:val="000000"/>
                <w:sz w:val="18"/>
                <w:szCs w:val="18"/>
              </w:rPr>
              <w:t xml:space="preserve"> Compensação Previdenciária do Plano Financeiro</w:t>
            </w:r>
          </w:p>
        </w:tc>
        <w:tc>
          <w:tcPr>
            <w:tcW w:w="678" w:type="pct"/>
            <w:tcBorders>
              <w:top w:val="nil"/>
              <w:left w:val="nil"/>
              <w:bottom w:val="nil"/>
              <w:right w:val="nil"/>
            </w:tcBorders>
            <w:shd w:val="clear" w:color="auto" w:fill="auto"/>
            <w:noWrap/>
            <w:vAlign w:val="center"/>
            <w:hideMark/>
          </w:tcPr>
          <w:p w14:paraId="4DAAF052" w14:textId="77777777" w:rsidR="0056640B" w:rsidRPr="003F0769" w:rsidRDefault="0056640B" w:rsidP="001E7576">
            <w:pPr>
              <w:jc w:val="right"/>
              <w:rPr>
                <w:rFonts w:cs="Arial"/>
                <w:b/>
                <w:bCs/>
                <w:color w:val="000000"/>
                <w:sz w:val="18"/>
                <w:szCs w:val="18"/>
              </w:rPr>
            </w:pPr>
            <w:r w:rsidRPr="003F0769">
              <w:rPr>
                <w:rFonts w:cs="Arial"/>
                <w:b/>
                <w:bCs/>
                <w:color w:val="FF0000"/>
                <w:sz w:val="18"/>
                <w:szCs w:val="18"/>
              </w:rPr>
              <w:t>(269.664)</w:t>
            </w:r>
          </w:p>
        </w:tc>
      </w:tr>
      <w:tr w:rsidR="0056640B" w:rsidRPr="003F0769" w14:paraId="30C79F55"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6C831D4C" w14:textId="77777777" w:rsidR="0056640B" w:rsidRPr="003F0769" w:rsidRDefault="0056640B" w:rsidP="001E7576">
            <w:pPr>
              <w:ind w:firstLine="361"/>
              <w:jc w:val="left"/>
              <w:rPr>
                <w:rFonts w:cs="Arial"/>
                <w:color w:val="000000"/>
                <w:sz w:val="18"/>
                <w:szCs w:val="18"/>
              </w:rPr>
            </w:pPr>
            <w:r w:rsidRPr="003F0769">
              <w:rPr>
                <w:rFonts w:cs="Arial"/>
                <w:color w:val="000000"/>
                <w:sz w:val="18"/>
                <w:szCs w:val="18"/>
              </w:rPr>
              <w:t>Fundo Financeiro do RPPS – 1780</w:t>
            </w:r>
          </w:p>
        </w:tc>
        <w:tc>
          <w:tcPr>
            <w:tcW w:w="678" w:type="pct"/>
            <w:tcBorders>
              <w:top w:val="nil"/>
              <w:left w:val="nil"/>
              <w:bottom w:val="nil"/>
              <w:right w:val="nil"/>
            </w:tcBorders>
            <w:shd w:val="clear" w:color="auto" w:fill="auto"/>
            <w:noWrap/>
            <w:vAlign w:val="center"/>
            <w:hideMark/>
          </w:tcPr>
          <w:p w14:paraId="7D07D6C8" w14:textId="77777777" w:rsidR="0056640B" w:rsidRPr="003F0769" w:rsidRDefault="0056640B" w:rsidP="001E7576">
            <w:pPr>
              <w:jc w:val="right"/>
              <w:rPr>
                <w:rFonts w:cs="Arial"/>
                <w:color w:val="000000"/>
                <w:sz w:val="18"/>
                <w:szCs w:val="18"/>
              </w:rPr>
            </w:pPr>
            <w:r w:rsidRPr="003F0769">
              <w:rPr>
                <w:rFonts w:cs="Arial"/>
                <w:color w:val="FF0000"/>
                <w:sz w:val="18"/>
                <w:szCs w:val="18"/>
              </w:rPr>
              <w:t>(269.664)</w:t>
            </w:r>
          </w:p>
        </w:tc>
      </w:tr>
      <w:tr w:rsidR="0056640B" w:rsidRPr="003F0769" w14:paraId="3AEFB81F"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75385046" w14:textId="77777777" w:rsidR="0056640B" w:rsidRPr="003F0769" w:rsidRDefault="0056640B" w:rsidP="001E7576">
            <w:pPr>
              <w:ind w:firstLine="361"/>
              <w:jc w:val="left"/>
              <w:rPr>
                <w:rFonts w:cs="Arial"/>
                <w:color w:val="000000"/>
                <w:sz w:val="18"/>
                <w:szCs w:val="18"/>
              </w:rPr>
            </w:pPr>
            <w:r w:rsidRPr="003F0769">
              <w:rPr>
                <w:rFonts w:cs="Arial"/>
                <w:color w:val="000000"/>
                <w:sz w:val="18"/>
                <w:szCs w:val="18"/>
              </w:rPr>
              <w:t>Fundo Financeiro do SPSM – 1781</w:t>
            </w:r>
          </w:p>
        </w:tc>
        <w:tc>
          <w:tcPr>
            <w:tcW w:w="678" w:type="pct"/>
            <w:tcBorders>
              <w:top w:val="nil"/>
              <w:left w:val="nil"/>
              <w:bottom w:val="nil"/>
              <w:right w:val="nil"/>
            </w:tcBorders>
            <w:shd w:val="clear" w:color="auto" w:fill="auto"/>
            <w:noWrap/>
            <w:vAlign w:val="center"/>
            <w:hideMark/>
          </w:tcPr>
          <w:p w14:paraId="0C6C89D0" w14:textId="77777777" w:rsidR="0056640B" w:rsidRPr="003F0769" w:rsidRDefault="0056640B" w:rsidP="001E7576">
            <w:pPr>
              <w:jc w:val="right"/>
              <w:rPr>
                <w:rFonts w:cs="Arial"/>
                <w:color w:val="000000"/>
                <w:sz w:val="18"/>
                <w:szCs w:val="18"/>
              </w:rPr>
            </w:pPr>
            <w:r>
              <w:rPr>
                <w:rFonts w:cs="Arial"/>
                <w:color w:val="000000"/>
                <w:sz w:val="18"/>
                <w:szCs w:val="18"/>
              </w:rPr>
              <w:t>-</w:t>
            </w:r>
          </w:p>
        </w:tc>
      </w:tr>
      <w:tr w:rsidR="0056640B" w:rsidRPr="003F0769" w14:paraId="55253623"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197742A6" w14:textId="77777777" w:rsidR="0056640B" w:rsidRPr="003F0769" w:rsidRDefault="0056640B" w:rsidP="001E7576">
            <w:pPr>
              <w:jc w:val="left"/>
              <w:rPr>
                <w:rFonts w:cs="Arial"/>
                <w:b/>
                <w:bCs/>
                <w:color w:val="000000"/>
                <w:sz w:val="18"/>
                <w:szCs w:val="18"/>
              </w:rPr>
            </w:pPr>
            <w:r w:rsidRPr="003F0769">
              <w:rPr>
                <w:rFonts w:cs="Arial"/>
                <w:b/>
                <w:bCs/>
                <w:color w:val="000000"/>
                <w:sz w:val="18"/>
                <w:szCs w:val="18"/>
              </w:rPr>
              <w:t>2.2.7.2.1.02.00 - Plano Financeiro - Provisões dos Benefícios a Conceder</w:t>
            </w:r>
          </w:p>
        </w:tc>
        <w:tc>
          <w:tcPr>
            <w:tcW w:w="678" w:type="pct"/>
            <w:tcBorders>
              <w:top w:val="nil"/>
              <w:left w:val="nil"/>
              <w:bottom w:val="nil"/>
              <w:right w:val="nil"/>
            </w:tcBorders>
            <w:shd w:val="clear" w:color="auto" w:fill="auto"/>
            <w:noWrap/>
            <w:vAlign w:val="center"/>
            <w:hideMark/>
          </w:tcPr>
          <w:p w14:paraId="0F44956D" w14:textId="77777777" w:rsidR="0056640B" w:rsidRPr="003F0769" w:rsidRDefault="0056640B" w:rsidP="001E7576">
            <w:pPr>
              <w:jc w:val="right"/>
              <w:rPr>
                <w:rFonts w:cs="Arial"/>
                <w:b/>
                <w:bCs/>
                <w:color w:val="000000"/>
                <w:sz w:val="18"/>
                <w:szCs w:val="18"/>
              </w:rPr>
            </w:pPr>
            <w:r w:rsidRPr="003F0769">
              <w:rPr>
                <w:rFonts w:cs="Arial"/>
                <w:b/>
                <w:bCs/>
                <w:color w:val="000000"/>
                <w:sz w:val="18"/>
                <w:szCs w:val="18"/>
              </w:rPr>
              <w:t>46.449.306</w:t>
            </w:r>
          </w:p>
        </w:tc>
      </w:tr>
      <w:tr w:rsidR="0056640B" w:rsidRPr="003F0769" w14:paraId="2D6D569E"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0F9AB7C2" w14:textId="77777777" w:rsidR="0056640B" w:rsidRPr="003F0769" w:rsidRDefault="0056640B" w:rsidP="001E7576">
            <w:pPr>
              <w:ind w:firstLine="502"/>
              <w:jc w:val="left"/>
              <w:rPr>
                <w:rFonts w:cs="Arial"/>
                <w:color w:val="000000"/>
                <w:sz w:val="18"/>
                <w:szCs w:val="18"/>
              </w:rPr>
            </w:pPr>
            <w:r w:rsidRPr="003F0769">
              <w:rPr>
                <w:rFonts w:cs="Arial"/>
                <w:color w:val="000000"/>
                <w:sz w:val="18"/>
                <w:szCs w:val="18"/>
              </w:rPr>
              <w:t>Fundo Financeiro do RPPS – 1780</w:t>
            </w:r>
          </w:p>
        </w:tc>
        <w:tc>
          <w:tcPr>
            <w:tcW w:w="678" w:type="pct"/>
            <w:tcBorders>
              <w:top w:val="nil"/>
              <w:left w:val="nil"/>
              <w:bottom w:val="nil"/>
              <w:right w:val="nil"/>
            </w:tcBorders>
            <w:shd w:val="clear" w:color="auto" w:fill="auto"/>
            <w:noWrap/>
            <w:vAlign w:val="center"/>
            <w:hideMark/>
          </w:tcPr>
          <w:p w14:paraId="3D883530" w14:textId="77777777" w:rsidR="0056640B" w:rsidRPr="003F0769" w:rsidRDefault="0056640B" w:rsidP="001E7576">
            <w:pPr>
              <w:jc w:val="right"/>
              <w:rPr>
                <w:rFonts w:cs="Arial"/>
                <w:color w:val="000000"/>
                <w:sz w:val="18"/>
                <w:szCs w:val="18"/>
              </w:rPr>
            </w:pPr>
            <w:r w:rsidRPr="003F0769">
              <w:rPr>
                <w:rFonts w:cs="Arial"/>
                <w:color w:val="000000"/>
                <w:sz w:val="18"/>
                <w:szCs w:val="18"/>
              </w:rPr>
              <w:t>29.937.651</w:t>
            </w:r>
          </w:p>
        </w:tc>
      </w:tr>
      <w:tr w:rsidR="0056640B" w:rsidRPr="003F0769" w14:paraId="168F6CF9"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56A0BF9E" w14:textId="77777777" w:rsidR="0056640B" w:rsidRPr="003F0769" w:rsidRDefault="0056640B" w:rsidP="001E7576">
            <w:pPr>
              <w:ind w:firstLine="502"/>
              <w:jc w:val="left"/>
              <w:rPr>
                <w:rFonts w:cs="Arial"/>
                <w:color w:val="000000"/>
                <w:sz w:val="18"/>
                <w:szCs w:val="18"/>
              </w:rPr>
            </w:pPr>
            <w:r w:rsidRPr="003F0769">
              <w:rPr>
                <w:rFonts w:cs="Arial"/>
                <w:color w:val="000000"/>
                <w:sz w:val="18"/>
                <w:szCs w:val="18"/>
              </w:rPr>
              <w:t>Fundo Financeiro do SPSM – 1781</w:t>
            </w:r>
          </w:p>
        </w:tc>
        <w:tc>
          <w:tcPr>
            <w:tcW w:w="678" w:type="pct"/>
            <w:tcBorders>
              <w:top w:val="nil"/>
              <w:left w:val="nil"/>
              <w:bottom w:val="nil"/>
              <w:right w:val="nil"/>
            </w:tcBorders>
            <w:shd w:val="clear" w:color="auto" w:fill="auto"/>
            <w:noWrap/>
            <w:vAlign w:val="center"/>
            <w:hideMark/>
          </w:tcPr>
          <w:p w14:paraId="6FE3F087" w14:textId="77777777" w:rsidR="0056640B" w:rsidRPr="003F0769" w:rsidRDefault="0056640B" w:rsidP="001E7576">
            <w:pPr>
              <w:jc w:val="right"/>
              <w:rPr>
                <w:rFonts w:cs="Arial"/>
                <w:color w:val="000000"/>
                <w:sz w:val="18"/>
                <w:szCs w:val="18"/>
              </w:rPr>
            </w:pPr>
            <w:r w:rsidRPr="003F0769">
              <w:rPr>
                <w:rFonts w:cs="Arial"/>
                <w:color w:val="000000"/>
                <w:sz w:val="18"/>
                <w:szCs w:val="18"/>
              </w:rPr>
              <w:t>16.511.655</w:t>
            </w:r>
          </w:p>
        </w:tc>
      </w:tr>
      <w:tr w:rsidR="0056640B" w:rsidRPr="003F0769" w14:paraId="54189446" w14:textId="77777777" w:rsidTr="001E7576">
        <w:trPr>
          <w:trHeight w:val="356"/>
        </w:trPr>
        <w:tc>
          <w:tcPr>
            <w:tcW w:w="4322" w:type="pct"/>
            <w:tcBorders>
              <w:top w:val="nil"/>
              <w:left w:val="nil"/>
              <w:bottom w:val="nil"/>
              <w:right w:val="single" w:sz="4" w:space="0" w:color="auto"/>
            </w:tcBorders>
            <w:shd w:val="clear" w:color="auto" w:fill="auto"/>
            <w:vAlign w:val="center"/>
            <w:hideMark/>
          </w:tcPr>
          <w:p w14:paraId="17543EBD" w14:textId="77777777" w:rsidR="0056640B" w:rsidRPr="003F0769" w:rsidRDefault="0056640B" w:rsidP="001E7576">
            <w:pPr>
              <w:jc w:val="left"/>
              <w:rPr>
                <w:rFonts w:cs="Arial"/>
                <w:b/>
                <w:bCs/>
                <w:color w:val="000000"/>
                <w:sz w:val="18"/>
                <w:szCs w:val="18"/>
              </w:rPr>
            </w:pPr>
            <w:r w:rsidRPr="003F0769">
              <w:rPr>
                <w:rFonts w:cs="Arial"/>
                <w:b/>
                <w:bCs/>
                <w:color w:val="000000"/>
                <w:sz w:val="18"/>
                <w:szCs w:val="18"/>
              </w:rPr>
              <w:t>2.2.7.2.1.02.01 - Aposentadorias/Pensões/Outros Benefícios a Concedidos do Plano</w:t>
            </w:r>
          </w:p>
        </w:tc>
        <w:tc>
          <w:tcPr>
            <w:tcW w:w="678" w:type="pct"/>
            <w:tcBorders>
              <w:top w:val="nil"/>
              <w:left w:val="nil"/>
              <w:bottom w:val="nil"/>
              <w:right w:val="nil"/>
            </w:tcBorders>
            <w:shd w:val="clear" w:color="auto" w:fill="auto"/>
            <w:noWrap/>
            <w:vAlign w:val="center"/>
            <w:hideMark/>
          </w:tcPr>
          <w:p w14:paraId="15F78791" w14:textId="77777777" w:rsidR="0056640B" w:rsidRPr="003F0769" w:rsidRDefault="0056640B" w:rsidP="001E7576">
            <w:pPr>
              <w:jc w:val="right"/>
              <w:rPr>
                <w:rFonts w:cs="Arial"/>
                <w:b/>
                <w:bCs/>
                <w:color w:val="000000"/>
                <w:sz w:val="18"/>
                <w:szCs w:val="18"/>
              </w:rPr>
            </w:pPr>
            <w:r w:rsidRPr="003F0769">
              <w:rPr>
                <w:rFonts w:cs="Arial"/>
                <w:b/>
                <w:bCs/>
                <w:color w:val="000000"/>
                <w:sz w:val="18"/>
                <w:szCs w:val="18"/>
              </w:rPr>
              <w:t>67.078.440</w:t>
            </w:r>
          </w:p>
        </w:tc>
      </w:tr>
      <w:tr w:rsidR="0056640B" w:rsidRPr="003F0769" w14:paraId="725C7AC3"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4DFD3006" w14:textId="77777777" w:rsidR="0056640B" w:rsidRPr="003F0769" w:rsidRDefault="0056640B" w:rsidP="001E7576">
            <w:pPr>
              <w:ind w:firstLine="502"/>
              <w:jc w:val="left"/>
              <w:rPr>
                <w:rFonts w:cs="Arial"/>
                <w:color w:val="000000"/>
                <w:sz w:val="18"/>
                <w:szCs w:val="18"/>
              </w:rPr>
            </w:pPr>
            <w:r w:rsidRPr="003F0769">
              <w:rPr>
                <w:rFonts w:cs="Arial"/>
                <w:color w:val="000000"/>
                <w:sz w:val="18"/>
                <w:szCs w:val="18"/>
              </w:rPr>
              <w:t>Fundo Financeiro do RPPS – 1780</w:t>
            </w:r>
          </w:p>
        </w:tc>
        <w:tc>
          <w:tcPr>
            <w:tcW w:w="678" w:type="pct"/>
            <w:tcBorders>
              <w:top w:val="nil"/>
              <w:left w:val="nil"/>
              <w:bottom w:val="nil"/>
              <w:right w:val="nil"/>
            </w:tcBorders>
            <w:shd w:val="clear" w:color="auto" w:fill="auto"/>
            <w:noWrap/>
            <w:vAlign w:val="center"/>
            <w:hideMark/>
          </w:tcPr>
          <w:p w14:paraId="052833EB" w14:textId="77777777" w:rsidR="0056640B" w:rsidRPr="003F0769" w:rsidRDefault="0056640B" w:rsidP="001E7576">
            <w:pPr>
              <w:jc w:val="right"/>
              <w:rPr>
                <w:rFonts w:cs="Arial"/>
                <w:color w:val="000000"/>
                <w:sz w:val="18"/>
                <w:szCs w:val="18"/>
              </w:rPr>
            </w:pPr>
            <w:r w:rsidRPr="003F0769">
              <w:rPr>
                <w:rFonts w:cs="Arial"/>
                <w:color w:val="000000"/>
                <w:sz w:val="18"/>
                <w:szCs w:val="18"/>
              </w:rPr>
              <w:t>42.373.592</w:t>
            </w:r>
          </w:p>
        </w:tc>
      </w:tr>
      <w:tr w:rsidR="0056640B" w:rsidRPr="003F0769" w14:paraId="554424D6"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60DE741D" w14:textId="77777777" w:rsidR="0056640B" w:rsidRPr="003F0769" w:rsidRDefault="0056640B" w:rsidP="001E7576">
            <w:pPr>
              <w:ind w:firstLine="502"/>
              <w:jc w:val="left"/>
              <w:rPr>
                <w:rFonts w:cs="Arial"/>
                <w:color w:val="000000"/>
                <w:sz w:val="18"/>
                <w:szCs w:val="18"/>
              </w:rPr>
            </w:pPr>
            <w:r w:rsidRPr="003F0769">
              <w:rPr>
                <w:rFonts w:cs="Arial"/>
                <w:color w:val="000000"/>
                <w:sz w:val="18"/>
                <w:szCs w:val="18"/>
              </w:rPr>
              <w:t>Fundo Financeiro do SPSM – 1781</w:t>
            </w:r>
          </w:p>
        </w:tc>
        <w:tc>
          <w:tcPr>
            <w:tcW w:w="678" w:type="pct"/>
            <w:tcBorders>
              <w:top w:val="nil"/>
              <w:left w:val="nil"/>
              <w:bottom w:val="nil"/>
              <w:right w:val="nil"/>
            </w:tcBorders>
            <w:shd w:val="clear" w:color="auto" w:fill="auto"/>
            <w:noWrap/>
            <w:vAlign w:val="center"/>
            <w:hideMark/>
          </w:tcPr>
          <w:p w14:paraId="51195E51" w14:textId="77777777" w:rsidR="0056640B" w:rsidRPr="003F0769" w:rsidRDefault="0056640B" w:rsidP="001E7576">
            <w:pPr>
              <w:jc w:val="right"/>
              <w:rPr>
                <w:rFonts w:cs="Arial"/>
                <w:color w:val="000000"/>
                <w:sz w:val="18"/>
                <w:szCs w:val="18"/>
              </w:rPr>
            </w:pPr>
            <w:r w:rsidRPr="003F0769">
              <w:rPr>
                <w:rFonts w:cs="Arial"/>
                <w:color w:val="000000"/>
                <w:sz w:val="18"/>
                <w:szCs w:val="18"/>
              </w:rPr>
              <w:t>24.704.848</w:t>
            </w:r>
          </w:p>
        </w:tc>
      </w:tr>
      <w:tr w:rsidR="0056640B" w:rsidRPr="003F0769" w14:paraId="425DA030"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324616A9" w14:textId="77777777" w:rsidR="0056640B" w:rsidRPr="003F0769" w:rsidRDefault="0056640B" w:rsidP="001E7576">
            <w:pPr>
              <w:jc w:val="left"/>
              <w:rPr>
                <w:rFonts w:cs="Arial"/>
                <w:b/>
                <w:bCs/>
                <w:color w:val="000000"/>
                <w:sz w:val="18"/>
                <w:szCs w:val="18"/>
              </w:rPr>
            </w:pPr>
            <w:r w:rsidRPr="003F0769">
              <w:rPr>
                <w:rFonts w:cs="Arial"/>
                <w:b/>
                <w:bCs/>
                <w:color w:val="000000"/>
                <w:sz w:val="18"/>
                <w:szCs w:val="18"/>
              </w:rPr>
              <w:t>2.2.7.2.1.02.02 (-) Contribuições do Ente para o Plano Financeiro</w:t>
            </w:r>
          </w:p>
        </w:tc>
        <w:tc>
          <w:tcPr>
            <w:tcW w:w="678" w:type="pct"/>
            <w:tcBorders>
              <w:top w:val="nil"/>
              <w:left w:val="nil"/>
              <w:bottom w:val="nil"/>
              <w:right w:val="nil"/>
            </w:tcBorders>
            <w:shd w:val="clear" w:color="auto" w:fill="auto"/>
            <w:noWrap/>
            <w:vAlign w:val="center"/>
            <w:hideMark/>
          </w:tcPr>
          <w:p w14:paraId="45E020F8" w14:textId="77777777" w:rsidR="0056640B" w:rsidRPr="003F0769" w:rsidRDefault="0056640B" w:rsidP="001E7576">
            <w:pPr>
              <w:jc w:val="right"/>
              <w:rPr>
                <w:rFonts w:cs="Arial"/>
                <w:b/>
                <w:bCs/>
                <w:color w:val="000000"/>
                <w:sz w:val="18"/>
                <w:szCs w:val="18"/>
              </w:rPr>
            </w:pPr>
            <w:r w:rsidRPr="003F0769">
              <w:rPr>
                <w:rFonts w:cs="Arial"/>
                <w:b/>
                <w:bCs/>
                <w:color w:val="FF0000"/>
                <w:sz w:val="18"/>
                <w:szCs w:val="18"/>
              </w:rPr>
              <w:t>(5.290.615)</w:t>
            </w:r>
          </w:p>
        </w:tc>
      </w:tr>
      <w:tr w:rsidR="0056640B" w:rsidRPr="003F0769" w14:paraId="77297D20"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1CD71FF7" w14:textId="77777777" w:rsidR="0056640B" w:rsidRPr="003F0769" w:rsidRDefault="0056640B" w:rsidP="001E7576">
            <w:pPr>
              <w:ind w:firstLine="502"/>
              <w:jc w:val="left"/>
              <w:rPr>
                <w:rFonts w:cs="Arial"/>
                <w:color w:val="000000"/>
                <w:sz w:val="18"/>
                <w:szCs w:val="18"/>
              </w:rPr>
            </w:pPr>
            <w:r w:rsidRPr="003F0769">
              <w:rPr>
                <w:rFonts w:cs="Arial"/>
                <w:color w:val="000000"/>
                <w:sz w:val="18"/>
                <w:szCs w:val="18"/>
              </w:rPr>
              <w:t>Fundo Financeiro do RPPS – 1780</w:t>
            </w:r>
          </w:p>
        </w:tc>
        <w:tc>
          <w:tcPr>
            <w:tcW w:w="678" w:type="pct"/>
            <w:tcBorders>
              <w:top w:val="nil"/>
              <w:left w:val="nil"/>
              <w:bottom w:val="nil"/>
              <w:right w:val="nil"/>
            </w:tcBorders>
            <w:shd w:val="clear" w:color="auto" w:fill="auto"/>
            <w:noWrap/>
            <w:vAlign w:val="center"/>
            <w:hideMark/>
          </w:tcPr>
          <w:p w14:paraId="03F207FF" w14:textId="77777777" w:rsidR="0056640B" w:rsidRPr="003F0769" w:rsidRDefault="0056640B" w:rsidP="001E7576">
            <w:pPr>
              <w:jc w:val="right"/>
              <w:rPr>
                <w:rFonts w:cs="Arial"/>
                <w:color w:val="000000"/>
                <w:sz w:val="18"/>
                <w:szCs w:val="18"/>
              </w:rPr>
            </w:pPr>
            <w:r w:rsidRPr="003F0769">
              <w:rPr>
                <w:rFonts w:cs="Arial"/>
                <w:color w:val="FF0000"/>
                <w:sz w:val="18"/>
                <w:szCs w:val="18"/>
              </w:rPr>
              <w:t>(5.290.615)</w:t>
            </w:r>
          </w:p>
        </w:tc>
      </w:tr>
      <w:tr w:rsidR="0056640B" w:rsidRPr="003F0769" w14:paraId="514A92BC"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0DB23D5F" w14:textId="77777777" w:rsidR="0056640B" w:rsidRPr="003F0769" w:rsidRDefault="0056640B" w:rsidP="001E7576">
            <w:pPr>
              <w:ind w:firstLine="502"/>
              <w:jc w:val="left"/>
              <w:rPr>
                <w:rFonts w:cs="Arial"/>
                <w:color w:val="000000"/>
                <w:sz w:val="18"/>
                <w:szCs w:val="18"/>
              </w:rPr>
            </w:pPr>
            <w:r w:rsidRPr="003F0769">
              <w:rPr>
                <w:rFonts w:cs="Arial"/>
                <w:color w:val="000000"/>
                <w:sz w:val="18"/>
                <w:szCs w:val="18"/>
              </w:rPr>
              <w:t>Fundo Financeiro do SPSM – 1781</w:t>
            </w:r>
          </w:p>
        </w:tc>
        <w:tc>
          <w:tcPr>
            <w:tcW w:w="678" w:type="pct"/>
            <w:tcBorders>
              <w:top w:val="nil"/>
              <w:left w:val="nil"/>
              <w:bottom w:val="nil"/>
              <w:right w:val="nil"/>
            </w:tcBorders>
            <w:shd w:val="clear" w:color="auto" w:fill="auto"/>
            <w:noWrap/>
            <w:vAlign w:val="center"/>
            <w:hideMark/>
          </w:tcPr>
          <w:p w14:paraId="09E92C06" w14:textId="77777777" w:rsidR="0056640B" w:rsidRPr="003F0769" w:rsidRDefault="0056640B" w:rsidP="001E7576">
            <w:pPr>
              <w:jc w:val="right"/>
              <w:rPr>
                <w:rFonts w:cs="Arial"/>
                <w:color w:val="000000"/>
                <w:sz w:val="18"/>
                <w:szCs w:val="18"/>
              </w:rPr>
            </w:pPr>
            <w:r>
              <w:rPr>
                <w:rFonts w:cs="Arial"/>
                <w:color w:val="000000"/>
                <w:sz w:val="18"/>
                <w:szCs w:val="18"/>
              </w:rPr>
              <w:t>-</w:t>
            </w:r>
          </w:p>
        </w:tc>
      </w:tr>
      <w:tr w:rsidR="0056640B" w:rsidRPr="003F0769" w14:paraId="6A652FF9"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34EC04BF" w14:textId="77777777" w:rsidR="0056640B" w:rsidRPr="003F0769" w:rsidRDefault="0056640B" w:rsidP="001E7576">
            <w:pPr>
              <w:jc w:val="left"/>
              <w:rPr>
                <w:rFonts w:cs="Arial"/>
                <w:b/>
                <w:bCs/>
                <w:color w:val="000000"/>
                <w:sz w:val="18"/>
                <w:szCs w:val="18"/>
              </w:rPr>
            </w:pPr>
            <w:r w:rsidRPr="003F0769">
              <w:rPr>
                <w:rFonts w:cs="Arial"/>
                <w:b/>
                <w:bCs/>
                <w:color w:val="000000"/>
                <w:sz w:val="18"/>
                <w:szCs w:val="18"/>
              </w:rPr>
              <w:t>2.2.7.2.1.02.03 (-) Contribuições do Ativo para o Plano Financeiro</w:t>
            </w:r>
          </w:p>
        </w:tc>
        <w:tc>
          <w:tcPr>
            <w:tcW w:w="678" w:type="pct"/>
            <w:tcBorders>
              <w:top w:val="nil"/>
              <w:left w:val="nil"/>
              <w:bottom w:val="nil"/>
              <w:right w:val="nil"/>
            </w:tcBorders>
            <w:shd w:val="clear" w:color="auto" w:fill="auto"/>
            <w:noWrap/>
            <w:vAlign w:val="center"/>
            <w:hideMark/>
          </w:tcPr>
          <w:p w14:paraId="5D7EF40B" w14:textId="77777777" w:rsidR="0056640B" w:rsidRPr="003F0769" w:rsidRDefault="0056640B" w:rsidP="001E7576">
            <w:pPr>
              <w:jc w:val="right"/>
              <w:rPr>
                <w:rFonts w:cs="Arial"/>
                <w:b/>
                <w:bCs/>
                <w:color w:val="000000"/>
                <w:sz w:val="18"/>
                <w:szCs w:val="18"/>
              </w:rPr>
            </w:pPr>
            <w:r w:rsidRPr="003F0769">
              <w:rPr>
                <w:rFonts w:cs="Arial"/>
                <w:b/>
                <w:bCs/>
                <w:color w:val="FF0000"/>
                <w:sz w:val="18"/>
                <w:szCs w:val="18"/>
              </w:rPr>
              <w:t>(15.152.075)</w:t>
            </w:r>
          </w:p>
        </w:tc>
      </w:tr>
      <w:tr w:rsidR="0056640B" w:rsidRPr="003F0769" w14:paraId="15D2DFA2"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46EE4577" w14:textId="77777777" w:rsidR="0056640B" w:rsidRPr="003F0769" w:rsidRDefault="0056640B" w:rsidP="001E7576">
            <w:pPr>
              <w:ind w:firstLine="502"/>
              <w:jc w:val="left"/>
              <w:rPr>
                <w:rFonts w:cs="Arial"/>
                <w:color w:val="000000"/>
                <w:sz w:val="18"/>
                <w:szCs w:val="18"/>
              </w:rPr>
            </w:pPr>
            <w:r w:rsidRPr="003F0769">
              <w:rPr>
                <w:rFonts w:cs="Arial"/>
                <w:color w:val="000000"/>
                <w:sz w:val="18"/>
                <w:szCs w:val="18"/>
              </w:rPr>
              <w:t>Fundo Financeiro do RPPS – 1780</w:t>
            </w:r>
          </w:p>
        </w:tc>
        <w:tc>
          <w:tcPr>
            <w:tcW w:w="678" w:type="pct"/>
            <w:tcBorders>
              <w:top w:val="nil"/>
              <w:left w:val="nil"/>
              <w:bottom w:val="nil"/>
              <w:right w:val="nil"/>
            </w:tcBorders>
            <w:shd w:val="clear" w:color="auto" w:fill="auto"/>
            <w:noWrap/>
            <w:vAlign w:val="center"/>
            <w:hideMark/>
          </w:tcPr>
          <w:p w14:paraId="3DEBB02F" w14:textId="77777777" w:rsidR="0056640B" w:rsidRPr="003F0769" w:rsidRDefault="0056640B" w:rsidP="001E7576">
            <w:pPr>
              <w:jc w:val="right"/>
              <w:rPr>
                <w:rFonts w:cs="Arial"/>
                <w:color w:val="000000"/>
                <w:sz w:val="18"/>
                <w:szCs w:val="18"/>
              </w:rPr>
            </w:pPr>
            <w:r w:rsidRPr="003F0769">
              <w:rPr>
                <w:rFonts w:cs="Arial"/>
                <w:color w:val="FF0000"/>
                <w:sz w:val="18"/>
                <w:szCs w:val="18"/>
              </w:rPr>
              <w:t>(6.958.882)</w:t>
            </w:r>
          </w:p>
        </w:tc>
      </w:tr>
      <w:tr w:rsidR="0056640B" w:rsidRPr="003F0769" w14:paraId="4621012A"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55D9F42F" w14:textId="77777777" w:rsidR="0056640B" w:rsidRPr="003F0769" w:rsidRDefault="0056640B" w:rsidP="001E7576">
            <w:pPr>
              <w:ind w:firstLine="502"/>
              <w:jc w:val="left"/>
              <w:rPr>
                <w:rFonts w:cs="Arial"/>
                <w:color w:val="000000"/>
                <w:sz w:val="18"/>
                <w:szCs w:val="18"/>
              </w:rPr>
            </w:pPr>
            <w:r w:rsidRPr="003F0769">
              <w:rPr>
                <w:rFonts w:cs="Arial"/>
                <w:color w:val="000000"/>
                <w:sz w:val="18"/>
                <w:szCs w:val="18"/>
              </w:rPr>
              <w:t>Fundo Financeiro do SPSM – 1781</w:t>
            </w:r>
          </w:p>
        </w:tc>
        <w:tc>
          <w:tcPr>
            <w:tcW w:w="678" w:type="pct"/>
            <w:tcBorders>
              <w:top w:val="nil"/>
              <w:left w:val="nil"/>
              <w:bottom w:val="nil"/>
              <w:right w:val="nil"/>
            </w:tcBorders>
            <w:shd w:val="clear" w:color="auto" w:fill="auto"/>
            <w:noWrap/>
            <w:vAlign w:val="center"/>
            <w:hideMark/>
          </w:tcPr>
          <w:p w14:paraId="2579A0F8" w14:textId="77777777" w:rsidR="0056640B" w:rsidRPr="003F0769" w:rsidRDefault="0056640B" w:rsidP="001E7576">
            <w:pPr>
              <w:jc w:val="right"/>
              <w:rPr>
                <w:rFonts w:cs="Arial"/>
                <w:color w:val="000000"/>
                <w:sz w:val="18"/>
                <w:szCs w:val="18"/>
              </w:rPr>
            </w:pPr>
            <w:r w:rsidRPr="003F0769">
              <w:rPr>
                <w:rFonts w:cs="Arial"/>
                <w:color w:val="FF0000"/>
                <w:sz w:val="18"/>
                <w:szCs w:val="18"/>
              </w:rPr>
              <w:t>(8.193.193)</w:t>
            </w:r>
          </w:p>
        </w:tc>
      </w:tr>
      <w:tr w:rsidR="0056640B" w:rsidRPr="003F0769" w14:paraId="70914942"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7B369580" w14:textId="77777777" w:rsidR="0056640B" w:rsidRPr="003F0769" w:rsidRDefault="0056640B" w:rsidP="001E7576">
            <w:pPr>
              <w:jc w:val="left"/>
              <w:rPr>
                <w:rFonts w:cs="Arial"/>
                <w:b/>
                <w:bCs/>
                <w:color w:val="000000"/>
                <w:sz w:val="18"/>
                <w:szCs w:val="18"/>
              </w:rPr>
            </w:pPr>
            <w:r w:rsidRPr="003F0769">
              <w:rPr>
                <w:rFonts w:cs="Arial"/>
                <w:b/>
                <w:bCs/>
                <w:color w:val="000000"/>
                <w:sz w:val="18"/>
                <w:szCs w:val="18"/>
              </w:rPr>
              <w:t>2.2.7.2.1.02.04 (-) Compensação Previdenciária do Plano Financeiro</w:t>
            </w:r>
          </w:p>
        </w:tc>
        <w:tc>
          <w:tcPr>
            <w:tcW w:w="678" w:type="pct"/>
            <w:tcBorders>
              <w:top w:val="nil"/>
              <w:left w:val="nil"/>
              <w:bottom w:val="nil"/>
              <w:right w:val="nil"/>
            </w:tcBorders>
            <w:shd w:val="clear" w:color="auto" w:fill="auto"/>
            <w:noWrap/>
            <w:vAlign w:val="center"/>
            <w:hideMark/>
          </w:tcPr>
          <w:p w14:paraId="78124941" w14:textId="77777777" w:rsidR="0056640B" w:rsidRPr="003F0769" w:rsidRDefault="0056640B" w:rsidP="001E7576">
            <w:pPr>
              <w:jc w:val="right"/>
              <w:rPr>
                <w:rFonts w:cs="Arial"/>
                <w:b/>
                <w:bCs/>
                <w:color w:val="000000"/>
                <w:sz w:val="18"/>
                <w:szCs w:val="18"/>
              </w:rPr>
            </w:pPr>
            <w:r w:rsidRPr="003F0769">
              <w:rPr>
                <w:rFonts w:cs="Arial"/>
                <w:b/>
                <w:bCs/>
                <w:color w:val="FF0000"/>
                <w:sz w:val="18"/>
                <w:szCs w:val="18"/>
              </w:rPr>
              <w:t>(186.444)</w:t>
            </w:r>
          </w:p>
        </w:tc>
      </w:tr>
      <w:tr w:rsidR="0056640B" w:rsidRPr="003F0769" w14:paraId="6D660CE1"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10B4528E" w14:textId="77777777" w:rsidR="0056640B" w:rsidRPr="003F0769" w:rsidRDefault="0056640B" w:rsidP="001E7576">
            <w:pPr>
              <w:ind w:firstLine="502"/>
              <w:jc w:val="left"/>
              <w:rPr>
                <w:rFonts w:cs="Arial"/>
                <w:color w:val="000000"/>
                <w:sz w:val="18"/>
                <w:szCs w:val="18"/>
              </w:rPr>
            </w:pPr>
            <w:r w:rsidRPr="003F0769">
              <w:rPr>
                <w:rFonts w:cs="Arial"/>
                <w:color w:val="000000"/>
                <w:sz w:val="18"/>
                <w:szCs w:val="18"/>
              </w:rPr>
              <w:t>Fundo Financeiro do RPPS – 1780</w:t>
            </w:r>
          </w:p>
        </w:tc>
        <w:tc>
          <w:tcPr>
            <w:tcW w:w="678" w:type="pct"/>
            <w:tcBorders>
              <w:top w:val="nil"/>
              <w:left w:val="nil"/>
              <w:bottom w:val="nil"/>
              <w:right w:val="nil"/>
            </w:tcBorders>
            <w:shd w:val="clear" w:color="auto" w:fill="auto"/>
            <w:noWrap/>
            <w:vAlign w:val="center"/>
            <w:hideMark/>
          </w:tcPr>
          <w:p w14:paraId="70CFC283" w14:textId="77777777" w:rsidR="0056640B" w:rsidRPr="003F0769" w:rsidRDefault="0056640B" w:rsidP="001E7576">
            <w:pPr>
              <w:jc w:val="right"/>
              <w:rPr>
                <w:rFonts w:cs="Arial"/>
                <w:color w:val="000000"/>
                <w:sz w:val="18"/>
                <w:szCs w:val="18"/>
              </w:rPr>
            </w:pPr>
            <w:r w:rsidRPr="003F0769">
              <w:rPr>
                <w:rFonts w:cs="Arial"/>
                <w:color w:val="FF0000"/>
                <w:sz w:val="18"/>
                <w:szCs w:val="18"/>
              </w:rPr>
              <w:t>(186.444)</w:t>
            </w:r>
          </w:p>
        </w:tc>
      </w:tr>
      <w:tr w:rsidR="0056640B" w:rsidRPr="003F0769" w14:paraId="1AE3E62A"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7F090626" w14:textId="77777777" w:rsidR="0056640B" w:rsidRPr="003F0769" w:rsidRDefault="0056640B" w:rsidP="001E7576">
            <w:pPr>
              <w:ind w:firstLine="502"/>
              <w:jc w:val="left"/>
              <w:rPr>
                <w:rFonts w:cs="Arial"/>
                <w:color w:val="000000"/>
                <w:sz w:val="18"/>
                <w:szCs w:val="18"/>
              </w:rPr>
            </w:pPr>
            <w:r w:rsidRPr="003F0769">
              <w:rPr>
                <w:rFonts w:cs="Arial"/>
                <w:color w:val="000000"/>
                <w:sz w:val="18"/>
                <w:szCs w:val="18"/>
              </w:rPr>
              <w:t>Fundo Financeiro do SPSM – 1781</w:t>
            </w:r>
          </w:p>
        </w:tc>
        <w:tc>
          <w:tcPr>
            <w:tcW w:w="678" w:type="pct"/>
            <w:tcBorders>
              <w:top w:val="nil"/>
              <w:left w:val="nil"/>
              <w:bottom w:val="nil"/>
              <w:right w:val="nil"/>
            </w:tcBorders>
            <w:shd w:val="clear" w:color="auto" w:fill="auto"/>
            <w:noWrap/>
            <w:vAlign w:val="center"/>
            <w:hideMark/>
          </w:tcPr>
          <w:p w14:paraId="183DEE19" w14:textId="77777777" w:rsidR="0056640B" w:rsidRPr="003F0769" w:rsidRDefault="0056640B" w:rsidP="001E7576">
            <w:pPr>
              <w:jc w:val="right"/>
              <w:rPr>
                <w:rFonts w:cs="Arial"/>
                <w:color w:val="000000"/>
                <w:sz w:val="18"/>
                <w:szCs w:val="18"/>
              </w:rPr>
            </w:pPr>
            <w:r>
              <w:rPr>
                <w:rFonts w:cs="Arial"/>
                <w:color w:val="000000"/>
                <w:sz w:val="18"/>
                <w:szCs w:val="18"/>
              </w:rPr>
              <w:t>-</w:t>
            </w:r>
          </w:p>
        </w:tc>
      </w:tr>
      <w:tr w:rsidR="0056640B" w:rsidRPr="003F0769" w14:paraId="62A377E7" w14:textId="77777777" w:rsidTr="001E7576">
        <w:trPr>
          <w:trHeight w:val="130"/>
        </w:trPr>
        <w:tc>
          <w:tcPr>
            <w:tcW w:w="4322" w:type="pct"/>
            <w:tcBorders>
              <w:top w:val="single" w:sz="4" w:space="0" w:color="auto"/>
              <w:left w:val="nil"/>
              <w:bottom w:val="nil"/>
              <w:right w:val="single" w:sz="4" w:space="0" w:color="auto"/>
            </w:tcBorders>
            <w:shd w:val="clear" w:color="auto" w:fill="auto"/>
            <w:noWrap/>
            <w:vAlign w:val="center"/>
            <w:hideMark/>
          </w:tcPr>
          <w:p w14:paraId="34018BC3" w14:textId="77777777" w:rsidR="0056640B" w:rsidRPr="003F0769" w:rsidRDefault="0056640B" w:rsidP="001E7576">
            <w:pPr>
              <w:jc w:val="center"/>
              <w:rPr>
                <w:rFonts w:cs="Arial"/>
                <w:b/>
                <w:bCs/>
                <w:color w:val="000000"/>
                <w:sz w:val="18"/>
                <w:szCs w:val="18"/>
              </w:rPr>
            </w:pPr>
            <w:r w:rsidRPr="003F0769">
              <w:rPr>
                <w:rFonts w:cs="Arial"/>
                <w:b/>
                <w:bCs/>
                <w:color w:val="000000"/>
                <w:sz w:val="18"/>
                <w:szCs w:val="18"/>
              </w:rPr>
              <w:t>Total</w:t>
            </w:r>
          </w:p>
        </w:tc>
        <w:tc>
          <w:tcPr>
            <w:tcW w:w="678" w:type="pct"/>
            <w:tcBorders>
              <w:top w:val="single" w:sz="4" w:space="0" w:color="auto"/>
              <w:left w:val="nil"/>
              <w:bottom w:val="nil"/>
              <w:right w:val="nil"/>
            </w:tcBorders>
            <w:shd w:val="clear" w:color="auto" w:fill="auto"/>
            <w:noWrap/>
            <w:vAlign w:val="center"/>
            <w:hideMark/>
          </w:tcPr>
          <w:p w14:paraId="3A5B7BA7" w14:textId="77777777" w:rsidR="0056640B" w:rsidRPr="003F0769" w:rsidRDefault="0056640B" w:rsidP="001E7576">
            <w:pPr>
              <w:jc w:val="right"/>
              <w:rPr>
                <w:rFonts w:cs="Arial"/>
                <w:b/>
                <w:bCs/>
                <w:color w:val="000000"/>
                <w:sz w:val="18"/>
                <w:szCs w:val="18"/>
              </w:rPr>
            </w:pPr>
            <w:r w:rsidRPr="003F0769">
              <w:rPr>
                <w:rFonts w:cs="Arial"/>
                <w:b/>
                <w:bCs/>
                <w:color w:val="000000"/>
                <w:sz w:val="18"/>
                <w:szCs w:val="18"/>
              </w:rPr>
              <w:t>127.823.180</w:t>
            </w:r>
          </w:p>
        </w:tc>
      </w:tr>
      <w:tr w:rsidR="0056640B" w:rsidRPr="003F0769" w14:paraId="5CBBE944" w14:textId="77777777" w:rsidTr="001E7576">
        <w:trPr>
          <w:trHeight w:val="288"/>
        </w:trPr>
        <w:tc>
          <w:tcPr>
            <w:tcW w:w="4322" w:type="pct"/>
            <w:tcBorders>
              <w:top w:val="nil"/>
              <w:left w:val="nil"/>
              <w:bottom w:val="nil"/>
              <w:right w:val="single" w:sz="4" w:space="0" w:color="auto"/>
            </w:tcBorders>
            <w:shd w:val="clear" w:color="auto" w:fill="auto"/>
            <w:vAlign w:val="center"/>
            <w:hideMark/>
          </w:tcPr>
          <w:p w14:paraId="343BC8A3" w14:textId="77777777" w:rsidR="0056640B" w:rsidRPr="003F0769" w:rsidRDefault="0056640B" w:rsidP="001E7576">
            <w:pPr>
              <w:ind w:firstLine="502"/>
              <w:jc w:val="left"/>
              <w:rPr>
                <w:rFonts w:cs="Arial"/>
                <w:color w:val="000000"/>
                <w:sz w:val="18"/>
                <w:szCs w:val="18"/>
              </w:rPr>
            </w:pPr>
            <w:r w:rsidRPr="003F0769">
              <w:rPr>
                <w:rFonts w:cs="Arial"/>
                <w:color w:val="000000"/>
                <w:sz w:val="18"/>
                <w:szCs w:val="18"/>
              </w:rPr>
              <w:t>Fundo Financeiro do RPPS – 1780</w:t>
            </w:r>
          </w:p>
        </w:tc>
        <w:tc>
          <w:tcPr>
            <w:tcW w:w="678" w:type="pct"/>
            <w:tcBorders>
              <w:top w:val="nil"/>
              <w:left w:val="nil"/>
              <w:bottom w:val="nil"/>
              <w:right w:val="nil"/>
            </w:tcBorders>
            <w:shd w:val="clear" w:color="auto" w:fill="auto"/>
            <w:noWrap/>
            <w:vAlign w:val="center"/>
            <w:hideMark/>
          </w:tcPr>
          <w:p w14:paraId="748CE862" w14:textId="77777777" w:rsidR="0056640B" w:rsidRPr="003F0769" w:rsidRDefault="0056640B" w:rsidP="001E7576">
            <w:pPr>
              <w:jc w:val="right"/>
              <w:rPr>
                <w:rFonts w:cs="Arial"/>
                <w:color w:val="000000"/>
                <w:sz w:val="18"/>
                <w:szCs w:val="18"/>
              </w:rPr>
            </w:pPr>
            <w:r w:rsidRPr="003F0769">
              <w:rPr>
                <w:rFonts w:cs="Arial"/>
                <w:color w:val="000000"/>
                <w:sz w:val="18"/>
                <w:szCs w:val="18"/>
              </w:rPr>
              <w:t>84.859.231</w:t>
            </w:r>
          </w:p>
        </w:tc>
      </w:tr>
      <w:tr w:rsidR="0056640B" w:rsidRPr="003F0769" w14:paraId="54ADA52D" w14:textId="77777777" w:rsidTr="001E7576">
        <w:trPr>
          <w:trHeight w:val="288"/>
        </w:trPr>
        <w:tc>
          <w:tcPr>
            <w:tcW w:w="4322" w:type="pct"/>
            <w:tcBorders>
              <w:top w:val="nil"/>
              <w:left w:val="nil"/>
              <w:bottom w:val="single" w:sz="4" w:space="0" w:color="auto"/>
              <w:right w:val="single" w:sz="4" w:space="0" w:color="auto"/>
            </w:tcBorders>
            <w:shd w:val="clear" w:color="auto" w:fill="auto"/>
            <w:vAlign w:val="center"/>
            <w:hideMark/>
          </w:tcPr>
          <w:p w14:paraId="2FF0C4AC" w14:textId="77777777" w:rsidR="0056640B" w:rsidRPr="003F0769" w:rsidRDefault="0056640B" w:rsidP="001E7576">
            <w:pPr>
              <w:ind w:firstLine="502"/>
              <w:jc w:val="left"/>
              <w:rPr>
                <w:rFonts w:cs="Arial"/>
                <w:color w:val="000000"/>
                <w:sz w:val="18"/>
                <w:szCs w:val="18"/>
              </w:rPr>
            </w:pPr>
            <w:r w:rsidRPr="003F0769">
              <w:rPr>
                <w:rFonts w:cs="Arial"/>
                <w:color w:val="000000"/>
                <w:sz w:val="18"/>
                <w:szCs w:val="18"/>
              </w:rPr>
              <w:t>Fundo Financeiro do SPSM – 1781</w:t>
            </w:r>
          </w:p>
        </w:tc>
        <w:tc>
          <w:tcPr>
            <w:tcW w:w="678" w:type="pct"/>
            <w:tcBorders>
              <w:top w:val="nil"/>
              <w:left w:val="nil"/>
              <w:bottom w:val="single" w:sz="4" w:space="0" w:color="auto"/>
              <w:right w:val="nil"/>
            </w:tcBorders>
            <w:shd w:val="clear" w:color="auto" w:fill="auto"/>
            <w:noWrap/>
            <w:vAlign w:val="center"/>
            <w:hideMark/>
          </w:tcPr>
          <w:p w14:paraId="42B5D4B3" w14:textId="77777777" w:rsidR="0056640B" w:rsidRPr="003F0769" w:rsidRDefault="0056640B" w:rsidP="001E7576">
            <w:pPr>
              <w:jc w:val="right"/>
              <w:rPr>
                <w:rFonts w:cs="Arial"/>
                <w:color w:val="000000"/>
                <w:sz w:val="18"/>
                <w:szCs w:val="18"/>
              </w:rPr>
            </w:pPr>
            <w:r w:rsidRPr="003F0769">
              <w:rPr>
                <w:rFonts w:cs="Arial"/>
                <w:color w:val="000000"/>
                <w:sz w:val="18"/>
                <w:szCs w:val="18"/>
              </w:rPr>
              <w:t>42.963.949</w:t>
            </w:r>
          </w:p>
        </w:tc>
      </w:tr>
    </w:tbl>
    <w:p w14:paraId="24A69A7F" w14:textId="77777777" w:rsidR="0056640B" w:rsidRPr="003F0769" w:rsidRDefault="0056640B" w:rsidP="0056640B">
      <w:pPr>
        <w:ind w:right="-71"/>
        <w:jc w:val="left"/>
        <w:rPr>
          <w:sz w:val="16"/>
          <w:szCs w:val="16"/>
        </w:rPr>
      </w:pPr>
      <w:r w:rsidRPr="003F0769">
        <w:rPr>
          <w:sz w:val="16"/>
          <w:szCs w:val="16"/>
        </w:rPr>
        <w:t>Fonte: Nota Explicativa nº 5/2024 GOIASPREV/GECONT e SCG</w:t>
      </w:r>
    </w:p>
    <w:p w14:paraId="2681CA3D" w14:textId="77777777" w:rsidR="0056640B" w:rsidRPr="003F0769" w:rsidRDefault="0056640B" w:rsidP="0056640B">
      <w:pPr>
        <w:tabs>
          <w:tab w:val="left" w:pos="2835"/>
        </w:tabs>
        <w:spacing w:before="200" w:after="200" w:line="276" w:lineRule="auto"/>
        <w:rPr>
          <w:rFonts w:eastAsia="Calibri"/>
        </w:rPr>
      </w:pPr>
      <w:r w:rsidRPr="003F0769">
        <w:rPr>
          <w:rFonts w:eastAsia="Calibri"/>
        </w:rPr>
        <w:t xml:space="preserve">No ano de 2023, como se observa nas tabelas acima, ao apresentar a insuficiência financeira para cobrir as despesas com os benefícios previdenciários, o RPPS reconheceu como Créditos Previdenciários a Receber, no Ativo Circulante e no Não Circulante, os valores de R$ 12,87  bilhões e R$ 114,95 bilhões, respectivamente. Os valores também foram reconhecidos </w:t>
      </w:r>
      <w:r w:rsidRPr="003F0769">
        <w:rPr>
          <w:rFonts w:eastAsia="Calibri"/>
        </w:rPr>
        <w:lastRenderedPageBreak/>
        <w:t>no ente devedor como obrigação para aportes financeiros para sua cobertura, em atendimento aos itens 200 e 201 da IPC 14. Assim, o RPPS reconheceu os créditos a receber relativos à cobertura da insuficiência financeira.</w:t>
      </w:r>
    </w:p>
    <w:p w14:paraId="5C38404E" w14:textId="77777777" w:rsidR="0056640B" w:rsidRPr="003F0769" w:rsidRDefault="0056640B" w:rsidP="0056640B">
      <w:pPr>
        <w:tabs>
          <w:tab w:val="left" w:pos="2835"/>
        </w:tabs>
        <w:spacing w:before="200" w:after="200" w:line="276" w:lineRule="auto"/>
        <w:rPr>
          <w:rFonts w:eastAsia="Calibri"/>
        </w:rPr>
      </w:pPr>
      <w:r>
        <w:rPr>
          <w:rFonts w:eastAsia="Calibri"/>
        </w:rPr>
        <w:t xml:space="preserve">Quanto aos registros </w:t>
      </w:r>
      <w:r w:rsidRPr="003F0769">
        <w:rPr>
          <w:rFonts w:eastAsia="Calibri"/>
        </w:rPr>
        <w:t>patrimoniais relativos ao Fundo de Capitalização, estruturado para apresentar resultado atuarial</w:t>
      </w:r>
      <w:r>
        <w:rPr>
          <w:rFonts w:eastAsia="Calibri"/>
        </w:rPr>
        <w:t>, ressalta-se que a</w:t>
      </w:r>
      <w:r w:rsidRPr="003F0769">
        <w:rPr>
          <w:rFonts w:eastAsia="Calibri"/>
        </w:rPr>
        <w:t>s contas de provisões matemáticas aplicáveis ao Plano Previdenciário são: 2.2.7.2.1.03.xx – Plano Previdenciário - Provisões de Benefícios Concedidos; 2.2.7.2.1.04.xx – Plano Previdenciário - Provisões de Benefícios a Conceder; e 2.2.7.2.1.05.xx – Plano Previdenciário - Plano de Amortização.</w:t>
      </w:r>
      <w:r>
        <w:rPr>
          <w:rFonts w:eastAsia="Calibri"/>
        </w:rPr>
        <w:t xml:space="preserve"> Já</w:t>
      </w:r>
      <w:r w:rsidRPr="003F0769">
        <w:rPr>
          <w:rFonts w:eastAsia="Calibri"/>
        </w:rPr>
        <w:t xml:space="preserve"> </w:t>
      </w:r>
      <w:r>
        <w:rPr>
          <w:rFonts w:eastAsia="Calibri"/>
        </w:rPr>
        <w:t>para as</w:t>
      </w:r>
      <w:r w:rsidRPr="003F0769">
        <w:rPr>
          <w:rFonts w:eastAsia="Calibri"/>
        </w:rPr>
        <w:t xml:space="preserve"> contrapartidas, utiliza-se o subtítulo contábil 3.9.7.2.1.xx.xx – VPD de Provisões Matemáticas Previdenciárias a Longo Prazo. Destaca-se </w:t>
      </w:r>
      <w:r>
        <w:rPr>
          <w:rFonts w:eastAsia="Calibri"/>
        </w:rPr>
        <w:t xml:space="preserve">também </w:t>
      </w:r>
      <w:r w:rsidRPr="003F0769">
        <w:rPr>
          <w:rFonts w:eastAsia="Calibri"/>
        </w:rPr>
        <w:t>que</w:t>
      </w:r>
      <w:r>
        <w:rPr>
          <w:rFonts w:eastAsia="Calibri"/>
        </w:rPr>
        <w:t xml:space="preserve"> a</w:t>
      </w:r>
      <w:r w:rsidRPr="003F0769">
        <w:rPr>
          <w:rFonts w:eastAsia="Calibri"/>
        </w:rPr>
        <w:t xml:space="preserve"> atualização do estoque de provisão matemática em 2023 gerou um aumento no déficit previdenciário de R$ 196,52 milhões, totalizando R$ 531,67 milhões, e foi registrado corretamente em provisões para benefícios a conceder e o déficit previdenciário de exercícios anteriores (R$  335,14 milhões) em ajustes de exercícios anteriores no PL.</w:t>
      </w:r>
    </w:p>
    <w:p w14:paraId="7507C860" w14:textId="77777777" w:rsidR="0056640B" w:rsidRPr="003F0769" w:rsidRDefault="0056640B" w:rsidP="0056640B">
      <w:pPr>
        <w:tabs>
          <w:tab w:val="left" w:pos="2835"/>
        </w:tabs>
        <w:spacing w:before="200" w:after="200" w:line="276" w:lineRule="auto"/>
        <w:rPr>
          <w:rFonts w:eastAsia="Calibri"/>
        </w:rPr>
      </w:pPr>
      <w:r w:rsidRPr="00316342">
        <w:rPr>
          <w:rFonts w:eastAsia="Calibri"/>
        </w:rPr>
        <w:t>É importante destacar que as provisões atuariais anuais foram calculadas com uma data focal em 31 de dezembro, coincidindo com o ano civil. Essas provisões referem-se ao cálculo dos custos e compromissos associados ao plano de benefícios do RPPS e do SPSM. As obrigações desses planos começarão no primeiro dia do exercício subsequente. Esta prática está em conformidade com o estabelecido no artigo 26 da Portaria MTP nº 1.467/2022.</w:t>
      </w:r>
      <w:bookmarkStart w:id="498" w:name="_Hlk134202986"/>
    </w:p>
    <w:p w14:paraId="469EF520" w14:textId="77777777" w:rsidR="0056640B" w:rsidRPr="003F0769" w:rsidRDefault="0056640B" w:rsidP="0056640B">
      <w:pPr>
        <w:tabs>
          <w:tab w:val="left" w:pos="2835"/>
        </w:tabs>
        <w:spacing w:before="200" w:after="200" w:line="276" w:lineRule="auto"/>
        <w:rPr>
          <w:rFonts w:eastAsia="Calibri"/>
        </w:rPr>
      </w:pPr>
      <w:r w:rsidRPr="003F0769">
        <w:rPr>
          <w:rFonts w:eastAsia="Calibri"/>
        </w:rPr>
        <w:t>Salienta-se que os registros contábeis provenientes da mudança de metodologia de avaliação no cálculo da Provisão Matemática Previdenciária (método agregado/ortodoxo para o método crédito unitário projetado) foram determinantes para a situação líquida patrimonial deficitária do Estado. A exemplo da conta Ajuste de Exercícios Anteriores - 2.3.7.1.1.03.02 que sofreu uma redução no valor de R$ 124,46 bilhões proveniente de tais fatos.</w:t>
      </w:r>
    </w:p>
    <w:p w14:paraId="5B2E95FA" w14:textId="77777777" w:rsidR="0056640B" w:rsidRPr="003F0769" w:rsidRDefault="0056640B" w:rsidP="0056640B">
      <w:pPr>
        <w:tabs>
          <w:tab w:val="left" w:pos="2835"/>
        </w:tabs>
        <w:spacing w:before="200" w:after="200" w:line="276" w:lineRule="auto"/>
        <w:rPr>
          <w:rFonts w:eastAsia="Calibri"/>
          <w:highlight w:val="yellow"/>
        </w:rPr>
      </w:pPr>
      <w:r w:rsidRPr="003F0769">
        <w:rPr>
          <w:rFonts w:eastAsia="Calibri"/>
        </w:rPr>
        <w:t xml:space="preserve">Assim, </w:t>
      </w:r>
      <w:bookmarkStart w:id="499" w:name="_Hlk167360174"/>
      <w:r w:rsidRPr="003F0769">
        <w:rPr>
          <w:rFonts w:eastAsia="Calibri"/>
        </w:rPr>
        <w:t xml:space="preserve">pelas consultas efetuadas nas demonstrações oficiais e no SCG foi possível verificar que os registros das Provisões Matemáticas Previdenciárias realizados em 2023 estão em consonância com os instrumentos legais e normativos pertinentes e que, devido aos ajustes </w:t>
      </w:r>
      <w:bookmarkStart w:id="500" w:name="_Hlk134202993"/>
      <w:bookmarkEnd w:id="498"/>
      <w:r w:rsidRPr="003F0769">
        <w:rPr>
          <w:rFonts w:eastAsia="Calibri"/>
        </w:rPr>
        <w:t>efetuados, a situação líquida patrimonial apresentada, apesar de deficitária no Balanço Patrimonial do Estado, reflete a projeção previdenciária atuarial.</w:t>
      </w:r>
    </w:p>
    <w:bookmarkEnd w:id="499"/>
    <w:bookmarkEnd w:id="500"/>
    <w:p w14:paraId="253C915B" w14:textId="77777777" w:rsidR="0056640B" w:rsidRPr="003F0769" w:rsidRDefault="0056640B" w:rsidP="0056640B">
      <w:pPr>
        <w:tabs>
          <w:tab w:val="left" w:pos="2835"/>
        </w:tabs>
        <w:spacing w:before="200" w:after="200" w:line="276" w:lineRule="auto"/>
        <w:rPr>
          <w:rFonts w:eastAsia="Calibri"/>
        </w:rPr>
      </w:pPr>
      <w:r w:rsidRPr="003F0769">
        <w:rPr>
          <w:rFonts w:eastAsia="Calibri"/>
        </w:rPr>
        <w:t xml:space="preserve">Ademais, atendendo a previsão do art. 24 da Lei Complementar </w:t>
      </w:r>
      <w:r>
        <w:rPr>
          <w:rFonts w:eastAsia="Calibri"/>
        </w:rPr>
        <w:t xml:space="preserve">Estadual </w:t>
      </w:r>
      <w:r w:rsidRPr="003F0769">
        <w:rPr>
          <w:rFonts w:eastAsia="Calibri"/>
        </w:rPr>
        <w:t>nº 66</w:t>
      </w:r>
      <w:r>
        <w:rPr>
          <w:rFonts w:eastAsia="Calibri"/>
        </w:rPr>
        <w:t>,</w:t>
      </w:r>
      <w:r w:rsidRPr="003F0769">
        <w:rPr>
          <w:rFonts w:eastAsia="Calibri"/>
        </w:rPr>
        <w:t xml:space="preserve"> de</w:t>
      </w:r>
      <w:r>
        <w:rPr>
          <w:rFonts w:eastAsia="Calibri"/>
        </w:rPr>
        <w:t xml:space="preserve"> 27 de janeiro de</w:t>
      </w:r>
      <w:r w:rsidRPr="003F0769">
        <w:rPr>
          <w:rFonts w:eastAsia="Calibri"/>
        </w:rPr>
        <w:t xml:space="preserve"> 2009, </w:t>
      </w:r>
      <w:bookmarkStart w:id="501" w:name="_Hlk134203352"/>
      <w:r w:rsidRPr="003F0769">
        <w:rPr>
          <w:rFonts w:eastAsia="Calibri"/>
        </w:rPr>
        <w:t>a Goiasprev public</w:t>
      </w:r>
      <w:r>
        <w:rPr>
          <w:rFonts w:eastAsia="Calibri"/>
        </w:rPr>
        <w:t>ou</w:t>
      </w:r>
      <w:r w:rsidRPr="003F0769">
        <w:rPr>
          <w:rFonts w:eastAsia="Calibri"/>
        </w:rPr>
        <w:t xml:space="preserve"> os Relatórios das Avaliações Atuariais dos últimos exercícios </w:t>
      </w:r>
      <w:bookmarkEnd w:id="501"/>
      <w:r w:rsidRPr="003F0769">
        <w:rPr>
          <w:rFonts w:eastAsia="Calibri"/>
        </w:rPr>
        <w:t>em seu site</w:t>
      </w:r>
      <w:r w:rsidRPr="003F0769">
        <w:rPr>
          <w:rFonts w:eastAsia="Calibri"/>
          <w:vertAlign w:val="superscript"/>
        </w:rPr>
        <w:footnoteReference w:id="27"/>
      </w:r>
      <w:r w:rsidRPr="003F0769">
        <w:rPr>
          <w:rFonts w:eastAsia="Calibri"/>
        </w:rPr>
        <w:t>. Isso contribui com a transparência e proporciona melhor análise e tomada de decisão dos usuários dessas informações.</w:t>
      </w:r>
    </w:p>
    <w:p w14:paraId="1FA11B5D" w14:textId="77777777" w:rsidR="0056640B" w:rsidRPr="003F0769" w:rsidRDefault="0056640B" w:rsidP="0056640B">
      <w:pPr>
        <w:tabs>
          <w:tab w:val="left" w:pos="2835"/>
        </w:tabs>
        <w:spacing w:before="200" w:after="200" w:line="276" w:lineRule="auto"/>
        <w:rPr>
          <w:rFonts w:eastAsia="Calibri"/>
        </w:rPr>
      </w:pPr>
      <w:r w:rsidRPr="003F0769">
        <w:rPr>
          <w:rFonts w:eastAsia="Calibri"/>
        </w:rPr>
        <w:t>Ressalta-se ainda que há uma gama de dados e informações relevantes contidas nos relatórios de avaliação atuarial dos regimes previdenciários do estado de Goiás, dos quais destacam-se alguns pontos dispostos nos pareceres atuariais publicados em fevereiro de 2024:</w:t>
      </w:r>
    </w:p>
    <w:p w14:paraId="02A38752" w14:textId="77777777" w:rsidR="0056640B" w:rsidRPr="003F0769" w:rsidRDefault="0056640B" w:rsidP="00736A8C">
      <w:pPr>
        <w:numPr>
          <w:ilvl w:val="0"/>
          <w:numId w:val="49"/>
        </w:numPr>
        <w:tabs>
          <w:tab w:val="left" w:pos="2835"/>
        </w:tabs>
        <w:spacing w:before="200" w:after="200" w:line="276" w:lineRule="auto"/>
        <w:rPr>
          <w:rFonts w:eastAsia="Calibri"/>
        </w:rPr>
      </w:pPr>
      <w:r w:rsidRPr="003F0769">
        <w:rPr>
          <w:rFonts w:eastAsia="Calibri"/>
        </w:rPr>
        <w:lastRenderedPageBreak/>
        <w:t>Os resultados apresentados demonstram que vem sendo realizado um grande volume de aportes do Tesouro Estadual para cobertura da insuficiência financeira do Fundo Financeiro do RPPS;</w:t>
      </w:r>
    </w:p>
    <w:p w14:paraId="568B01AC" w14:textId="77777777" w:rsidR="0056640B" w:rsidRPr="003F0769" w:rsidRDefault="0056640B" w:rsidP="00736A8C">
      <w:pPr>
        <w:numPr>
          <w:ilvl w:val="0"/>
          <w:numId w:val="49"/>
        </w:numPr>
        <w:tabs>
          <w:tab w:val="left" w:pos="2835"/>
        </w:tabs>
        <w:spacing w:before="200" w:after="200" w:line="276" w:lineRule="auto"/>
        <w:rPr>
          <w:rFonts w:eastAsia="Calibri"/>
        </w:rPr>
      </w:pPr>
      <w:r w:rsidRPr="003F0769">
        <w:rPr>
          <w:rFonts w:eastAsia="Calibri"/>
        </w:rPr>
        <w:t>Há um forte desequilíbrio demográfico na proporção ativos/beneficiários, acentuado com a segregação de massa do RPPS e do SPSM e com tendência de agravamento no decorrer dos anos em virtude da perspectiva do aumento da expectativa de sobrevida dos segurados. Em suma, a propensão é que a despesa previdenciária evolua gradativamente e a receita reduza, havendo cada vez mais a necessidade de aumento de participação financeira do ente federativo, haja vista que o número de participantes ativos tende a reduzir e o de aposentadorias e pensões aumentar;</w:t>
      </w:r>
    </w:p>
    <w:p w14:paraId="2DCBF5C2" w14:textId="77777777" w:rsidR="0056640B" w:rsidRPr="003F0769" w:rsidRDefault="0056640B" w:rsidP="00736A8C">
      <w:pPr>
        <w:numPr>
          <w:ilvl w:val="0"/>
          <w:numId w:val="49"/>
        </w:numPr>
        <w:tabs>
          <w:tab w:val="left" w:pos="2835"/>
        </w:tabs>
        <w:spacing w:before="200" w:after="200" w:line="276" w:lineRule="auto"/>
        <w:rPr>
          <w:rFonts w:eastAsia="Calibri"/>
        </w:rPr>
      </w:pPr>
      <w:r w:rsidRPr="003F0769">
        <w:rPr>
          <w:rFonts w:eastAsia="Calibri"/>
        </w:rPr>
        <w:t>O plano de custeio do RPPS, ajustado com novas premissas, está alinhado às diretrizes da EC nº 103/2019 e da Lei Complementar nº 161/2020, além da EC nº 71/2021, que amplia a faixa de isenção das contribuições de aposentados e pensionistas. Estes agora contribuem sobre proventos que excedam o maior valor entre R$ 3.000,00 e um salário-mínimo em caso de déficit atuarial. A contribuição adicional dos aposentados e pensionistas, junto com as dos ativos e do ente federativo, ajuda a reduzir o desequilíbrio financeiro e atuarial, sendo crucial a arrecadação pontual dessas receitas e a cobrança de valores atrasados para o cumprimento das obrigações;</w:t>
      </w:r>
    </w:p>
    <w:p w14:paraId="049FEEE5" w14:textId="77777777" w:rsidR="0056640B" w:rsidRPr="003F0769" w:rsidRDefault="0056640B" w:rsidP="00736A8C">
      <w:pPr>
        <w:numPr>
          <w:ilvl w:val="0"/>
          <w:numId w:val="49"/>
        </w:numPr>
        <w:tabs>
          <w:tab w:val="left" w:pos="2835"/>
        </w:tabs>
        <w:spacing w:before="200" w:after="200" w:line="276" w:lineRule="auto"/>
        <w:rPr>
          <w:rFonts w:eastAsia="Calibri"/>
        </w:rPr>
      </w:pPr>
      <w:r w:rsidRPr="003F0769">
        <w:rPr>
          <w:rFonts w:eastAsia="Calibri"/>
        </w:rPr>
        <w:t>Reforça-se a urgência na tomada de medidas que permitam a completude dos dados cadastrais, no mínimo dos moldes solicitados pelo MPS, a fim de trazer precisão nos resultados no que diz respeito as estimativas da Alego, TCE/GO, TCM/GO, MP/GO e TJ/GO. Há um elevado impacto nos resultados financeiros realizados decorrentes desses Poderes e Órgãos Autônomos, o que implica no desajuste dos fluxos atuariais em função do desconhecimento desses dados cadastrais.</w:t>
      </w:r>
    </w:p>
    <w:p w14:paraId="069C6B63" w14:textId="77777777" w:rsidR="0056640B" w:rsidRPr="003F0769" w:rsidRDefault="0056640B" w:rsidP="0056640B">
      <w:pPr>
        <w:tabs>
          <w:tab w:val="left" w:pos="2835"/>
        </w:tabs>
        <w:spacing w:before="200" w:after="200" w:line="276" w:lineRule="auto"/>
        <w:rPr>
          <w:rFonts w:eastAsia="Calibri"/>
        </w:rPr>
      </w:pPr>
      <w:r w:rsidRPr="003F0769">
        <w:rPr>
          <w:rFonts w:eastAsia="Calibri"/>
        </w:rPr>
        <w:t xml:space="preserve">A respeito do último ponto elencado, em razão das ponderações </w:t>
      </w:r>
      <w:bookmarkStart w:id="502" w:name="_Hlk167360487"/>
      <w:r w:rsidRPr="003F0769">
        <w:rPr>
          <w:rFonts w:eastAsia="Calibri"/>
        </w:rPr>
        <w:t xml:space="preserve">de que os cálculos das projeções atuariais e respectivas </w:t>
      </w:r>
      <w:r w:rsidRPr="003F0769">
        <w:rPr>
          <w:rFonts w:eastAsia="Calibri"/>
          <w:iCs/>
        </w:rPr>
        <w:t>Provisões Matemáticas Previdenciárias</w:t>
      </w:r>
      <w:r w:rsidRPr="003F0769">
        <w:rPr>
          <w:rFonts w:eastAsia="Calibri"/>
        </w:rPr>
        <w:t xml:space="preserve"> estejam sendo baseadas apenas nos bancos de dados dos segurados civis ativos, inativos e pensionistas do Poder Executivo e da Defensoria Pública</w:t>
      </w:r>
      <w:bookmarkEnd w:id="502"/>
      <w:r w:rsidRPr="003F0769">
        <w:rPr>
          <w:rFonts w:eastAsia="Calibri"/>
        </w:rPr>
        <w:t>, frisa-se que os relatórios da Unidade Técnica dos últimos exercícios já enfatizavam</w:t>
      </w:r>
      <w:r>
        <w:rPr>
          <w:rFonts w:eastAsia="Calibri"/>
        </w:rPr>
        <w:t>,</w:t>
      </w:r>
      <w:r w:rsidRPr="003F0769">
        <w:rPr>
          <w:rFonts w:eastAsia="Calibri"/>
        </w:rPr>
        <w:t xml:space="preserve"> e r</w:t>
      </w:r>
      <w:bookmarkStart w:id="503" w:name="_Hlk167360305"/>
      <w:r w:rsidRPr="003F0769">
        <w:rPr>
          <w:rFonts w:eastAsia="Calibri"/>
        </w:rPr>
        <w:t xml:space="preserve">eitera-se, a necessidade da Egrégia Corte de Contas determinar aos demais Poderes e Órgãos Autônomos do Estado que procedam aos estudos e ações necessárias para criar, atualizar e/ou aperfeiçoar sua respectiva base de dados cadastral de segurados civis ativos, inativos e pensionistas, apresentando-as tempestivamente à entidade responsável pela elaboração do </w:t>
      </w:r>
      <w:r w:rsidRPr="003F0769">
        <w:rPr>
          <w:rFonts w:eastAsia="Calibri"/>
          <w:iCs/>
        </w:rPr>
        <w:t>Relatório de Avaliação Atuarial do Estado</w:t>
      </w:r>
      <w:r w:rsidRPr="003F0769">
        <w:rPr>
          <w:rFonts w:eastAsia="Calibri"/>
        </w:rPr>
        <w:t>, com vistas a propiciar informações completas, transparentes e com representação fidedigna nas demonstrações contábeis consolidadas estaduais.</w:t>
      </w:r>
    </w:p>
    <w:bookmarkEnd w:id="503"/>
    <w:p w14:paraId="39D05E2D" w14:textId="042DE933" w:rsidR="0056640B" w:rsidRDefault="0056640B" w:rsidP="0056640B">
      <w:pPr>
        <w:tabs>
          <w:tab w:val="left" w:pos="2835"/>
        </w:tabs>
        <w:spacing w:before="200" w:after="200" w:line="276" w:lineRule="auto"/>
        <w:rPr>
          <w:rFonts w:eastAsia="Calibri"/>
        </w:rPr>
      </w:pPr>
      <w:r w:rsidRPr="003F0769">
        <w:rPr>
          <w:rFonts w:eastAsia="Calibri"/>
        </w:rPr>
        <w:t>Sendo assim, em conformidade com as análises realizadas ficou evidenciada a seguinte irregularidade:</w:t>
      </w:r>
    </w:p>
    <w:p w14:paraId="2FAE8359" w14:textId="77777777" w:rsidR="0056640B" w:rsidRPr="003F0769" w:rsidRDefault="0056640B" w:rsidP="001E7576">
      <w:pPr>
        <w:tabs>
          <w:tab w:val="left" w:pos="2835"/>
        </w:tabs>
        <w:spacing w:before="200" w:after="200" w:line="276" w:lineRule="auto"/>
        <w:rPr>
          <w:rFonts w:eastAsia="Calibri"/>
        </w:rPr>
      </w:pPr>
    </w:p>
    <w:p w14:paraId="54F1AEE5" w14:textId="6F3F5D31" w:rsidR="0056640B" w:rsidRPr="003F0769" w:rsidRDefault="0056640B" w:rsidP="00E460D5">
      <w:pPr>
        <w:pStyle w:val="0-ACH-TIT"/>
      </w:pPr>
      <w:r w:rsidRPr="003F0769">
        <w:t xml:space="preserve">&gt;&gt; </w:t>
      </w:r>
      <w:r w:rsidR="002D0DA1" w:rsidRPr="002D0DA1">
        <w:t>Insuficiência das Provisões Matemáticas Previdenciárias</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56640B" w:rsidRPr="00D45205" w14:paraId="17FB1DE8" w14:textId="77777777" w:rsidTr="001E7576">
        <w:trPr>
          <w:trHeight w:val="629"/>
          <w:jc w:val="center"/>
        </w:trPr>
        <w:tc>
          <w:tcPr>
            <w:tcW w:w="6237" w:type="dxa"/>
            <w:vAlign w:val="center"/>
            <w:hideMark/>
          </w:tcPr>
          <w:p w14:paraId="59150F5C" w14:textId="3AA5AF4E" w:rsidR="0056640B" w:rsidRPr="00152B41" w:rsidRDefault="002D0DA1" w:rsidP="00D546D5">
            <w:pPr>
              <w:pStyle w:val="0-ACH-TXT"/>
            </w:pPr>
            <w:r w:rsidRPr="002D0DA1">
              <w:rPr>
                <w:w w:val="109"/>
              </w:rPr>
              <w:t>O Relatório de Avaliação Atuarial que dá base aos lançamentos contábeis referentes às Provisões Matemáticas Previdenciárias não contempla a base de dados dos servidores dos Poderes Judiciário e Legislativo, Ministério Público, Tribunal de Contas do Estado e dos Municípios, mantendo as Provisões Matemáticas Previdenciárias subavaliadas.</w:t>
            </w:r>
          </w:p>
        </w:tc>
      </w:tr>
    </w:tbl>
    <w:p w14:paraId="000BC867" w14:textId="15A1D703" w:rsidR="0056640B" w:rsidRPr="003F0769" w:rsidRDefault="002D0DA1" w:rsidP="0056640B">
      <w:pPr>
        <w:tabs>
          <w:tab w:val="left" w:pos="2835"/>
        </w:tabs>
        <w:spacing w:before="200" w:after="200" w:line="276" w:lineRule="auto"/>
        <w:rPr>
          <w:rFonts w:eastAsia="Calibri"/>
        </w:rPr>
      </w:pPr>
      <w:r>
        <w:t xml:space="preserve">Portanto, sugere-se </w:t>
      </w:r>
      <w:r w:rsidRPr="002D0DA1">
        <w:rPr>
          <w:rFonts w:eastAsia="Calibri"/>
        </w:rPr>
        <w:t>ao Tribunal de Contas do Estado de Goiás que determine ao TJ/GO, Alego, MP/GO, TCE/GO e TCM/GO que, apresente na prestação de Contas dos Gestores do exercício de 2024, Relatório de Avaliação Atuarial referente a sua base de servidores, nos moldes da Lei nº 9.714, de 27 de novembro de 1998, e demais normas técnicas e jurídicas correlatas do MPS, encaminhando concomitante e tempestivamente à Goiasprev, para que a unidade gestora do RPPS possa realizar os devidos registros contábeis.</w:t>
      </w:r>
    </w:p>
    <w:p w14:paraId="5F13D36F" w14:textId="422D66A6" w:rsidR="0056640B" w:rsidRDefault="0056640B" w:rsidP="0056640B">
      <w:pPr>
        <w:tabs>
          <w:tab w:val="left" w:pos="2835"/>
        </w:tabs>
        <w:spacing w:before="200" w:after="200" w:line="276" w:lineRule="auto"/>
        <w:rPr>
          <w:rFonts w:eastAsia="Calibri"/>
        </w:rPr>
      </w:pPr>
      <w:r w:rsidRPr="003F0769">
        <w:rPr>
          <w:rFonts w:eastAsia="Calibri"/>
        </w:rPr>
        <w:t xml:space="preserve">Outrossim, destaca-se que os aspectos relacionados à gestão fiscal previdenciária do Estado estão apresentados no Capítulo </w:t>
      </w:r>
      <w:r w:rsidR="00E176F9">
        <w:rPr>
          <w:rFonts w:eastAsia="Calibri"/>
        </w:rPr>
        <w:fldChar w:fldCharType="begin"/>
      </w:r>
      <w:r w:rsidR="00E176F9">
        <w:rPr>
          <w:rFonts w:eastAsia="Calibri"/>
        </w:rPr>
        <w:instrText xml:space="preserve"> REF _Ref167704751 \w \h </w:instrText>
      </w:r>
      <w:r w:rsidR="00E176F9">
        <w:rPr>
          <w:rFonts w:eastAsia="Calibri"/>
        </w:rPr>
      </w:r>
      <w:r w:rsidR="00E176F9">
        <w:rPr>
          <w:rFonts w:eastAsia="Calibri"/>
        </w:rPr>
        <w:fldChar w:fldCharType="separate"/>
      </w:r>
      <w:r w:rsidR="00E176F9">
        <w:rPr>
          <w:rFonts w:eastAsia="Calibri"/>
        </w:rPr>
        <w:t>4</w:t>
      </w:r>
      <w:r w:rsidR="00E176F9">
        <w:rPr>
          <w:rFonts w:eastAsia="Calibri"/>
        </w:rPr>
        <w:fldChar w:fldCharType="end"/>
      </w:r>
      <w:r w:rsidR="00E176F9">
        <w:rPr>
          <w:rFonts w:eastAsia="Calibri"/>
        </w:rPr>
        <w:t xml:space="preserve"> </w:t>
      </w:r>
      <w:r w:rsidR="00E176F9" w:rsidRPr="006E6638">
        <w:t>–</w:t>
      </w:r>
      <w:r w:rsidR="00E176F9">
        <w:rPr>
          <w:rFonts w:eastAsia="Calibri"/>
        </w:rPr>
        <w:t xml:space="preserve"> </w:t>
      </w:r>
      <w:r w:rsidR="00E176F9">
        <w:rPr>
          <w:rFonts w:eastAsia="Calibri"/>
        </w:rPr>
        <w:fldChar w:fldCharType="begin"/>
      </w:r>
      <w:r w:rsidR="00E176F9">
        <w:rPr>
          <w:rFonts w:eastAsia="Calibri"/>
        </w:rPr>
        <w:instrText xml:space="preserve"> REF _Ref167704759 \h </w:instrText>
      </w:r>
      <w:r w:rsidR="00E176F9">
        <w:rPr>
          <w:rFonts w:eastAsia="Calibri"/>
        </w:rPr>
      </w:r>
      <w:r w:rsidR="00E176F9">
        <w:rPr>
          <w:rFonts w:eastAsia="Calibri"/>
        </w:rPr>
        <w:fldChar w:fldCharType="separate"/>
      </w:r>
      <w:r w:rsidR="00E176F9" w:rsidRPr="00B215AC">
        <w:t>Gestão Fiscal</w:t>
      </w:r>
      <w:r w:rsidR="00E176F9">
        <w:rPr>
          <w:rFonts w:eastAsia="Calibri"/>
        </w:rPr>
        <w:fldChar w:fldCharType="end"/>
      </w:r>
      <w:r w:rsidR="00E176F9">
        <w:rPr>
          <w:rFonts w:eastAsia="Calibri"/>
        </w:rPr>
        <w:t xml:space="preserve"> </w:t>
      </w:r>
      <w:r w:rsidRPr="003F0769">
        <w:rPr>
          <w:rFonts w:eastAsia="Calibri"/>
        </w:rPr>
        <w:t>deste Relatório.</w:t>
      </w:r>
    </w:p>
    <w:p w14:paraId="6E54BAB6" w14:textId="77777777" w:rsidR="00E176F9" w:rsidRPr="00A52EB1" w:rsidRDefault="00E176F9" w:rsidP="00117967">
      <w:pPr>
        <w:pStyle w:val="Ttulo4"/>
      </w:pPr>
      <w:bookmarkStart w:id="504" w:name="_Toc135332732"/>
      <w:r w:rsidRPr="00A52EB1">
        <w:t>Depósitos Judiciais</w:t>
      </w:r>
      <w:bookmarkEnd w:id="504"/>
      <w:r w:rsidRPr="00A52EB1">
        <w:t xml:space="preserve"> </w:t>
      </w:r>
    </w:p>
    <w:p w14:paraId="438BC1B2" w14:textId="77777777" w:rsidR="00E176F9" w:rsidRDefault="00E176F9" w:rsidP="00E176F9">
      <w:pPr>
        <w:pStyle w:val="1-REL11"/>
      </w:pPr>
      <w:r>
        <w:t xml:space="preserve">Esta seção tem o objetivo de analisar os aspectos contábeis relacionados aos recursos provenientes de </w:t>
      </w:r>
      <w:r w:rsidRPr="00C74580">
        <w:t>depósitos judiciais</w:t>
      </w:r>
      <w:r>
        <w:t xml:space="preserve"> originados de processos vinculados ao Poder Judiciário estadual, repassados ao Estado para custeio da previdência social e ao pagamento de precatórios, à luz das orientações contidas na IPC 15 – Depósitos Judiciais e Extrajudiciais, emitida pela STN, que visa padronizar os preceitos contidos na legislação pertinente, especialmente em relação à </w:t>
      </w:r>
      <w:r w:rsidRPr="00C74580">
        <w:t>Lei Complementar nº 151, de 5 de agosto de 2015</w:t>
      </w:r>
      <w:r>
        <w:t xml:space="preserve">, a </w:t>
      </w:r>
      <w:r w:rsidRPr="00C74580">
        <w:t>Emenda Constitucional nº 94, de 15 de dezembro de 2016</w:t>
      </w:r>
      <w:r>
        <w:t xml:space="preserve">, a </w:t>
      </w:r>
      <w:r w:rsidRPr="00C74580">
        <w:t>Emenda Constitucional nº 99, de 14 de dezembro de 2017</w:t>
      </w:r>
      <w:r>
        <w:t>, bem como à</w:t>
      </w:r>
      <w:r w:rsidRPr="00C74580">
        <w:t xml:space="preserve"> Lei Estadual nº</w:t>
      </w:r>
      <w:r>
        <w:t> </w:t>
      </w:r>
      <w:r w:rsidRPr="00C74580">
        <w:t>20.557</w:t>
      </w:r>
      <w:r>
        <w:t xml:space="preserve">, de </w:t>
      </w:r>
      <w:r w:rsidRPr="00C74580">
        <w:t>11 de setembro</w:t>
      </w:r>
      <w:r>
        <w:t xml:space="preserve"> de</w:t>
      </w:r>
      <w:r w:rsidRPr="00C74580">
        <w:t xml:space="preserve"> 2019</w:t>
      </w:r>
      <w:r>
        <w:t>, alterada pela Lei Estadual nº 21.821, de 22 de março de 2023.</w:t>
      </w:r>
    </w:p>
    <w:p w14:paraId="63929185" w14:textId="77777777" w:rsidR="00E176F9" w:rsidRDefault="00E176F9" w:rsidP="00E176F9">
      <w:pPr>
        <w:pStyle w:val="1-REL11"/>
      </w:pPr>
      <w:r>
        <w:t xml:space="preserve">Como regra geral, 70% dos recursos provenientes de </w:t>
      </w:r>
      <w:r w:rsidRPr="00C74580">
        <w:t>depósitos judiciais</w:t>
      </w:r>
      <w:r>
        <w:t xml:space="preserve"> então existentes podem ser transferidos para o Tesouro Estadual, cujos registros devem ser </w:t>
      </w:r>
      <w:r w:rsidRPr="00C74580">
        <w:t>segrega</w:t>
      </w:r>
      <w:r>
        <w:t>dos</w:t>
      </w:r>
      <w:r w:rsidRPr="00C74580">
        <w:t xml:space="preserve"> entre os depósitos de lides n</w:t>
      </w:r>
      <w:r>
        <w:t>a</w:t>
      </w:r>
      <w:r w:rsidRPr="00C74580">
        <w:t>s quais o ente público é parte e os depósitos de lides de terceiros</w:t>
      </w:r>
      <w:r>
        <w:t>, e os 30% restantes constituirão o Fundo de Reserva legalmente previsto.</w:t>
      </w:r>
    </w:p>
    <w:p w14:paraId="08E57C94" w14:textId="77777777" w:rsidR="00E176F9" w:rsidRPr="000C19DE" w:rsidRDefault="00E176F9" w:rsidP="00E176F9">
      <w:pPr>
        <w:pStyle w:val="1-REL11"/>
      </w:pPr>
      <w:r>
        <w:t>Após expedição de determinações nos Pareceres Prévios das Prestações de Contas Anuais do Governador de 2019 e 2020, cujas análises técnicas concluíram pelo seu não atendimento, o Parecer Prévio das Contas Anuais do Governador de 2021</w:t>
      </w:r>
      <w:r>
        <w:rPr>
          <w:rStyle w:val="Refdenotaderodap"/>
        </w:rPr>
        <w:footnoteReference w:id="28"/>
      </w:r>
      <w:r>
        <w:t xml:space="preserve"> emitiu nova determinação (letra “c”, item 1) ao </w:t>
      </w:r>
      <w:r w:rsidRPr="000C19DE">
        <w:t xml:space="preserve">TJ/GO para concluir até o final de 2023, com colaboração do Poder Executivo, a </w:t>
      </w:r>
      <w:r w:rsidRPr="000C19DE">
        <w:lastRenderedPageBreak/>
        <w:t>identificação das partes, objeto e montante das lides, de maneira a possibilitar a conciliação dos valores utilizados pelo Estado, a título de Depósitos Judiciais, nos termos da IPC 15</w:t>
      </w:r>
      <w:r>
        <w:t xml:space="preserve"> - Depósitos Judiciais e Extrajudiciais</w:t>
      </w:r>
      <w:r w:rsidRPr="000C19DE">
        <w:t>.</w:t>
      </w:r>
    </w:p>
    <w:p w14:paraId="66E8E466" w14:textId="77777777" w:rsidR="00E176F9" w:rsidRDefault="00E176F9" w:rsidP="00E176F9">
      <w:pPr>
        <w:pStyle w:val="1-REL11"/>
      </w:pPr>
      <w:r>
        <w:t xml:space="preserve">Em atendimento à determinação acima referenciada, </w:t>
      </w:r>
      <w:r w:rsidRPr="007953B4">
        <w:t>apresent</w:t>
      </w:r>
      <w:r>
        <w:t xml:space="preserve">ou-se, </w:t>
      </w:r>
      <w:r w:rsidRPr="007953B4">
        <w:t>no BGE de 2023 (</w:t>
      </w:r>
      <w:r>
        <w:t xml:space="preserve">Processo nº 202300047001912, </w:t>
      </w:r>
      <w:r w:rsidRPr="007953B4">
        <w:t xml:space="preserve">evento 21), item </w:t>
      </w:r>
      <w:r>
        <w:t xml:space="preserve">4.2.3 Contabilização dos Depósitos Judiciais, os valores e contas contábeis utilizados para registro dos saldos acessados pelo Estado, segregando </w:t>
      </w:r>
      <w:r w:rsidRPr="00C74580">
        <w:t>os depósitos de lides n</w:t>
      </w:r>
      <w:r>
        <w:t>a</w:t>
      </w:r>
      <w:r w:rsidRPr="00C74580">
        <w:t>s quais o ente público é parte</w:t>
      </w:r>
      <w:r>
        <w:t xml:space="preserve"> (R$ 123,81 milhões)</w:t>
      </w:r>
      <w:r w:rsidRPr="00C74580">
        <w:t xml:space="preserve"> e os depósitos de lides de terceiros</w:t>
      </w:r>
      <w:r>
        <w:t xml:space="preserve"> (R$ 2,42 bilhões), bem como os saldos registrados como Fundo de Reserva, no montante de R$ 1,07 bilhão.</w:t>
      </w:r>
    </w:p>
    <w:p w14:paraId="0F8F0476" w14:textId="77777777" w:rsidR="00E176F9" w:rsidRDefault="00E176F9" w:rsidP="00E176F9">
      <w:pPr>
        <w:pStyle w:val="1-REL11"/>
      </w:pPr>
      <w:r>
        <w:t xml:space="preserve">Em relação aos dados relativos aos registros contábeis efetuados, considera-se que as instruções contidas na </w:t>
      </w:r>
      <w:r w:rsidRPr="000C19DE">
        <w:t>IPC 15</w:t>
      </w:r>
      <w:r>
        <w:t xml:space="preserve"> - Depósitos Judiciais e Extrajudiciais foram atendidas. Contudo, ressalta-se que existe a necessidade de que seja verificado os aspectos relacionados à integridade e a fidedignidade da documentação que amparou os registros contábeis efetuados pois, nos autos em análise, foram encaminhados dados sintéticos por meio de planilha eletrônica.</w:t>
      </w:r>
    </w:p>
    <w:p w14:paraId="7CAAC974" w14:textId="77777777" w:rsidR="00E176F9" w:rsidRDefault="00E176F9" w:rsidP="00E176F9">
      <w:pPr>
        <w:pStyle w:val="1-REL11"/>
      </w:pPr>
      <w:r>
        <w:t>Registra-se ainda que, conforme apresentado no Tabela 3 – Informações apresentadas pela CAIXA em 31/12/2023 (BGE, pag. 187), há a informação de que existe saldo a recompor do Fundo de Reserva gerido naquela instituição, no valor de R$ 17,68 milhões.</w:t>
      </w:r>
    </w:p>
    <w:p w14:paraId="3EFF55E3" w14:textId="20C80545" w:rsidR="00E176F9" w:rsidRPr="00477290" w:rsidRDefault="00E176F9" w:rsidP="00E460D5">
      <w:pPr>
        <w:pStyle w:val="0-ACH-TIT"/>
      </w:pPr>
      <w:r w:rsidRPr="00477290">
        <w:t xml:space="preserve">&gt;&gt; </w:t>
      </w:r>
      <w:r w:rsidR="004C1849" w:rsidRPr="004C1849">
        <w:t>Insuficiência da documentação que ampara os registros contábeis efetuados, bem como a demonstração de recomposição do saldo do Fundo de Reserva constituído na Caixa Econômica Federal (CEF)</w:t>
      </w:r>
    </w:p>
    <w:tbl>
      <w:tblPr>
        <w:tblW w:w="6237"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6237"/>
      </w:tblGrid>
      <w:tr w:rsidR="00E176F9" w:rsidRPr="009C6508" w14:paraId="26A0B0F9" w14:textId="77777777" w:rsidTr="00F47865">
        <w:trPr>
          <w:trHeight w:val="629"/>
          <w:jc w:val="center"/>
        </w:trPr>
        <w:tc>
          <w:tcPr>
            <w:tcW w:w="6237" w:type="dxa"/>
            <w:vAlign w:val="center"/>
            <w:hideMark/>
          </w:tcPr>
          <w:tbl>
            <w:tblPr>
              <w:tblW w:w="0" w:type="auto"/>
              <w:tblBorders>
                <w:top w:val="nil"/>
                <w:left w:val="nil"/>
                <w:bottom w:val="nil"/>
                <w:right w:val="nil"/>
              </w:tblBorders>
              <w:tblLook w:val="0000" w:firstRow="0" w:lastRow="0" w:firstColumn="0" w:lastColumn="0" w:noHBand="0" w:noVBand="0"/>
            </w:tblPr>
            <w:tblGrid>
              <w:gridCol w:w="6097"/>
            </w:tblGrid>
            <w:tr w:rsidR="00E176F9" w:rsidRPr="00477290" w14:paraId="5040082F" w14:textId="77777777" w:rsidTr="00F47865">
              <w:trPr>
                <w:trHeight w:val="319"/>
              </w:trPr>
              <w:tc>
                <w:tcPr>
                  <w:tcW w:w="0" w:type="auto"/>
                  <w:tcBorders>
                    <w:bottom w:val="nil"/>
                  </w:tcBorders>
                </w:tcPr>
                <w:p w14:paraId="648EAAEC" w14:textId="4287B8E8" w:rsidR="00E176F9" w:rsidRPr="00477290" w:rsidRDefault="004C1849" w:rsidP="00D546D5">
                  <w:pPr>
                    <w:pStyle w:val="0-ACH-TXT"/>
                    <w:rPr>
                      <w:u w:val="single"/>
                    </w:rPr>
                  </w:pPr>
                  <w:r w:rsidRPr="004C1849">
                    <w:t>Ausência de documentação que ampara o registro dos valores repassados ao Estado a título de Depósitos Judiciais, bem como do Fundo de Reserva constituído.</w:t>
                  </w:r>
                </w:p>
              </w:tc>
            </w:tr>
          </w:tbl>
          <w:p w14:paraId="4386D4DB" w14:textId="77777777" w:rsidR="00E176F9" w:rsidRPr="00477290" w:rsidRDefault="00E176F9" w:rsidP="00F47865">
            <w:pPr>
              <w:pStyle w:val="Default"/>
              <w:jc w:val="both"/>
              <w:rPr>
                <w:caps/>
              </w:rPr>
            </w:pPr>
          </w:p>
        </w:tc>
      </w:tr>
    </w:tbl>
    <w:p w14:paraId="7DB20B02" w14:textId="629CD60C" w:rsidR="00E176F9" w:rsidRDefault="00E176F9" w:rsidP="00E176F9">
      <w:pPr>
        <w:pStyle w:val="1-REL11"/>
      </w:pPr>
      <w:r w:rsidRPr="00477290">
        <w:t xml:space="preserve">Portanto, sugere-se </w:t>
      </w:r>
      <w:r w:rsidR="004C1849" w:rsidRPr="004C1849">
        <w:t>ao Tribunal de Contas do Estado de Goiás que determine ao Tribunal de Justiça do Estado de Goiás que encaminhe, na Prestação de Contas Anual do Gestor do exercício de 2023, a documentação comprobatória que amparou os registros contábeis efetuados dos valores repassados ao Estado a título de Depósitos Judiciais e do Fundo de Reserva legalmente constituído em cada instituição financeira custodiante, com as informações segregadas dos depósitos de lides nas quais o ente público é parte e os depósitos de lides de terceiros.</w:t>
      </w:r>
    </w:p>
    <w:p w14:paraId="32CCCE23" w14:textId="1DBDE558" w:rsidR="006B0CD0" w:rsidRDefault="00E176F9" w:rsidP="00537801">
      <w:pPr>
        <w:pStyle w:val="1-REL11"/>
      </w:pPr>
      <w:r>
        <w:t xml:space="preserve">Adicionalmente, sugere-se </w:t>
      </w:r>
      <w:bookmarkStart w:id="505" w:name="_Toc129942511"/>
      <w:r w:rsidR="00537801" w:rsidRPr="00537801">
        <w:t xml:space="preserve">ao Tribunal de Contas do Estado de Goiás que determine ao Governo do </w:t>
      </w:r>
      <w:r w:rsidR="00B92DDA">
        <w:t>e</w:t>
      </w:r>
      <w:r w:rsidR="00537801" w:rsidRPr="00537801">
        <w:t xml:space="preserve">stado de </w:t>
      </w:r>
      <w:r w:rsidR="00B92DDA" w:rsidRPr="00537801">
        <w:t>Goiás</w:t>
      </w:r>
      <w:r w:rsidR="00537801" w:rsidRPr="00537801">
        <w:t xml:space="preserve">, por meio da Secretaria de Estado da Economia, que demonstre, na Prestação de Contas Anual do Gestor do exercício de 2023, a recomposição do saldo do Fundo de Reserva constituído na CEF, nos termos no inciso IV, do art. 4º, da LC nº 151/2015. </w:t>
      </w:r>
      <w:r w:rsidR="006B0CD0" w:rsidRPr="00331C24">
        <w:t>Patrimônio Líquido</w:t>
      </w:r>
      <w:bookmarkEnd w:id="505"/>
    </w:p>
    <w:p w14:paraId="6EA0F4D6" w14:textId="3B00A47B" w:rsidR="00FD386F" w:rsidRDefault="00FD386F" w:rsidP="00FD386F">
      <w:pPr>
        <w:pStyle w:val="1-REL11"/>
      </w:pPr>
      <w:r w:rsidRPr="005B1F7C">
        <w:lastRenderedPageBreak/>
        <w:t>Este grupo compreende o valor residual dos ativos depois de deduzidos todos os passivos. Em 2023</w:t>
      </w:r>
      <w:r>
        <w:t>,</w:t>
      </w:r>
      <w:r w:rsidRPr="005B1F7C">
        <w:t xml:space="preserve"> o Patrimônio Líquido apresentou a seguinte estrutura:</w:t>
      </w:r>
    </w:p>
    <w:p w14:paraId="1CAEB4FB" w14:textId="75DB0990" w:rsidR="00AF411F" w:rsidRPr="002951A8" w:rsidRDefault="00AF411F" w:rsidP="00ED3571">
      <w:pPr>
        <w:pStyle w:val="0-TABELA"/>
      </w:pPr>
      <w:bookmarkStart w:id="506" w:name="_Toc167871833"/>
      <w:r w:rsidRPr="002951A8">
        <w:t>Patrimônio Líquido</w:t>
      </w:r>
      <w:r w:rsidR="00F60889">
        <w:t xml:space="preserve"> </w:t>
      </w:r>
      <w:r w:rsidR="00F60889" w:rsidRPr="00D67E49">
        <w:t>– 2023 x 2022</w:t>
      </w:r>
      <w:bookmarkEnd w:id="506"/>
    </w:p>
    <w:p w14:paraId="2A26A962" w14:textId="7561C0A5" w:rsidR="00AF411F" w:rsidRPr="000F7BD9" w:rsidRDefault="00AF411F" w:rsidP="00AF411F">
      <w:pPr>
        <w:pStyle w:val="0-EmR1"/>
      </w:pPr>
      <w:r w:rsidRPr="00C3784F">
        <w:t>R$ mil</w:t>
      </w:r>
    </w:p>
    <w:tbl>
      <w:tblPr>
        <w:tblW w:w="5000" w:type="pct"/>
        <w:tblCellMar>
          <w:left w:w="70" w:type="dxa"/>
          <w:right w:w="70" w:type="dxa"/>
        </w:tblCellMar>
        <w:tblLook w:val="04A0" w:firstRow="1" w:lastRow="0" w:firstColumn="1" w:lastColumn="0" w:noHBand="0" w:noVBand="1"/>
      </w:tblPr>
      <w:tblGrid>
        <w:gridCol w:w="3597"/>
        <w:gridCol w:w="1661"/>
        <w:gridCol w:w="1661"/>
        <w:gridCol w:w="1549"/>
        <w:gridCol w:w="885"/>
      </w:tblGrid>
      <w:tr w:rsidR="00AF411F" w:rsidRPr="00534707" w14:paraId="5E561938" w14:textId="77777777" w:rsidTr="00AF411F">
        <w:trPr>
          <w:trHeight w:val="300"/>
          <w:tblHeader/>
        </w:trPr>
        <w:tc>
          <w:tcPr>
            <w:tcW w:w="1923" w:type="pct"/>
            <w:vMerge w:val="restart"/>
            <w:tcBorders>
              <w:top w:val="single" w:sz="4" w:space="0" w:color="auto"/>
              <w:left w:val="nil"/>
              <w:right w:val="single" w:sz="4" w:space="0" w:color="auto"/>
            </w:tcBorders>
            <w:shd w:val="clear" w:color="000000" w:fill="A1F2FD"/>
            <w:noWrap/>
            <w:vAlign w:val="center"/>
            <w:hideMark/>
          </w:tcPr>
          <w:p w14:paraId="283CD3B1" w14:textId="77777777" w:rsidR="00AF411F" w:rsidRPr="00534707" w:rsidRDefault="00AF411F" w:rsidP="001E7576">
            <w:pPr>
              <w:jc w:val="center"/>
              <w:rPr>
                <w:rFonts w:cs="Arial"/>
                <w:b/>
                <w:bCs/>
                <w:color w:val="000000"/>
                <w:sz w:val="20"/>
                <w:szCs w:val="18"/>
              </w:rPr>
            </w:pPr>
            <w:r w:rsidRPr="00534707">
              <w:rPr>
                <w:rFonts w:cs="Arial"/>
                <w:b/>
                <w:bCs/>
                <w:color w:val="000000"/>
                <w:sz w:val="20"/>
                <w:szCs w:val="18"/>
              </w:rPr>
              <w:t>Composição</w:t>
            </w:r>
          </w:p>
        </w:tc>
        <w:tc>
          <w:tcPr>
            <w:tcW w:w="888" w:type="pct"/>
            <w:vMerge w:val="restart"/>
            <w:tcBorders>
              <w:top w:val="single" w:sz="4" w:space="0" w:color="auto"/>
              <w:left w:val="single" w:sz="4" w:space="0" w:color="auto"/>
              <w:bottom w:val="single" w:sz="4" w:space="0" w:color="000000"/>
              <w:right w:val="single" w:sz="4" w:space="0" w:color="auto"/>
            </w:tcBorders>
            <w:shd w:val="clear" w:color="000000" w:fill="A1F2FD"/>
            <w:noWrap/>
            <w:vAlign w:val="center"/>
            <w:hideMark/>
          </w:tcPr>
          <w:p w14:paraId="409204E4" w14:textId="77777777" w:rsidR="00AF411F" w:rsidRPr="00534707" w:rsidRDefault="00AF411F" w:rsidP="001E7576">
            <w:pPr>
              <w:jc w:val="center"/>
              <w:rPr>
                <w:rFonts w:cs="Arial"/>
                <w:b/>
                <w:bCs/>
                <w:color w:val="000000"/>
                <w:sz w:val="20"/>
                <w:szCs w:val="18"/>
              </w:rPr>
            </w:pPr>
            <w:r w:rsidRPr="00534707">
              <w:rPr>
                <w:rFonts w:cs="Arial"/>
                <w:b/>
                <w:bCs/>
                <w:color w:val="000000"/>
                <w:sz w:val="20"/>
                <w:szCs w:val="18"/>
              </w:rPr>
              <w:t>2023</w:t>
            </w:r>
          </w:p>
        </w:tc>
        <w:tc>
          <w:tcPr>
            <w:tcW w:w="888" w:type="pct"/>
            <w:vMerge w:val="restart"/>
            <w:tcBorders>
              <w:top w:val="single" w:sz="4" w:space="0" w:color="auto"/>
              <w:left w:val="single" w:sz="4" w:space="0" w:color="auto"/>
              <w:bottom w:val="single" w:sz="4" w:space="0" w:color="000000"/>
              <w:right w:val="single" w:sz="4" w:space="0" w:color="auto"/>
            </w:tcBorders>
            <w:shd w:val="clear" w:color="000000" w:fill="A1F2FD"/>
            <w:noWrap/>
            <w:vAlign w:val="center"/>
            <w:hideMark/>
          </w:tcPr>
          <w:p w14:paraId="3CD285A1" w14:textId="77777777" w:rsidR="00AF411F" w:rsidRPr="00534707" w:rsidRDefault="00AF411F" w:rsidP="001E7576">
            <w:pPr>
              <w:jc w:val="center"/>
              <w:rPr>
                <w:rFonts w:cs="Arial"/>
                <w:b/>
                <w:bCs/>
                <w:color w:val="000000"/>
                <w:sz w:val="20"/>
                <w:szCs w:val="18"/>
              </w:rPr>
            </w:pPr>
            <w:r w:rsidRPr="00534707">
              <w:rPr>
                <w:rFonts w:cs="Arial"/>
                <w:b/>
                <w:bCs/>
                <w:color w:val="000000"/>
                <w:sz w:val="20"/>
                <w:szCs w:val="18"/>
              </w:rPr>
              <w:t>2022</w:t>
            </w:r>
          </w:p>
        </w:tc>
        <w:tc>
          <w:tcPr>
            <w:tcW w:w="1301" w:type="pct"/>
            <w:gridSpan w:val="2"/>
            <w:tcBorders>
              <w:top w:val="single" w:sz="4" w:space="0" w:color="auto"/>
              <w:left w:val="nil"/>
              <w:bottom w:val="single" w:sz="4" w:space="0" w:color="auto"/>
              <w:right w:val="nil"/>
            </w:tcBorders>
            <w:shd w:val="clear" w:color="000000" w:fill="A1F2FD"/>
            <w:noWrap/>
            <w:vAlign w:val="center"/>
            <w:hideMark/>
          </w:tcPr>
          <w:p w14:paraId="735D536B" w14:textId="77777777" w:rsidR="00AF411F" w:rsidRPr="00534707" w:rsidRDefault="00AF411F" w:rsidP="001E7576">
            <w:pPr>
              <w:jc w:val="center"/>
              <w:rPr>
                <w:rFonts w:cs="Arial"/>
                <w:b/>
                <w:bCs/>
                <w:color w:val="000000"/>
                <w:sz w:val="20"/>
                <w:szCs w:val="18"/>
              </w:rPr>
            </w:pPr>
            <w:r w:rsidRPr="00534707">
              <w:rPr>
                <w:rFonts w:cs="Arial"/>
                <w:b/>
                <w:bCs/>
                <w:color w:val="000000"/>
                <w:sz w:val="20"/>
                <w:szCs w:val="18"/>
              </w:rPr>
              <w:t>∆ 2023 x 2022</w:t>
            </w:r>
          </w:p>
        </w:tc>
      </w:tr>
      <w:tr w:rsidR="00AF411F" w:rsidRPr="00534707" w14:paraId="743FC0CD" w14:textId="77777777" w:rsidTr="00AF411F">
        <w:trPr>
          <w:trHeight w:val="255"/>
          <w:tblHeader/>
        </w:trPr>
        <w:tc>
          <w:tcPr>
            <w:tcW w:w="1923" w:type="pct"/>
            <w:vMerge/>
            <w:tcBorders>
              <w:left w:val="nil"/>
              <w:right w:val="single" w:sz="4" w:space="0" w:color="auto"/>
            </w:tcBorders>
            <w:vAlign w:val="center"/>
            <w:hideMark/>
          </w:tcPr>
          <w:p w14:paraId="2812622C" w14:textId="77777777" w:rsidR="00AF411F" w:rsidRPr="00534707" w:rsidRDefault="00AF411F" w:rsidP="001E7576">
            <w:pPr>
              <w:jc w:val="left"/>
              <w:rPr>
                <w:rFonts w:cs="Arial"/>
                <w:b/>
                <w:bCs/>
                <w:color w:val="000000"/>
                <w:sz w:val="20"/>
                <w:szCs w:val="18"/>
              </w:rPr>
            </w:pPr>
          </w:p>
        </w:tc>
        <w:tc>
          <w:tcPr>
            <w:tcW w:w="888" w:type="pct"/>
            <w:vMerge/>
            <w:tcBorders>
              <w:top w:val="single" w:sz="4" w:space="0" w:color="auto"/>
              <w:left w:val="single" w:sz="4" w:space="0" w:color="auto"/>
              <w:right w:val="single" w:sz="4" w:space="0" w:color="auto"/>
            </w:tcBorders>
            <w:vAlign w:val="center"/>
            <w:hideMark/>
          </w:tcPr>
          <w:p w14:paraId="644CE9E1" w14:textId="77777777" w:rsidR="00AF411F" w:rsidRPr="00534707" w:rsidRDefault="00AF411F" w:rsidP="001E7576">
            <w:pPr>
              <w:jc w:val="left"/>
              <w:rPr>
                <w:rFonts w:cs="Arial"/>
                <w:b/>
                <w:bCs/>
                <w:color w:val="000000"/>
                <w:sz w:val="20"/>
                <w:szCs w:val="18"/>
              </w:rPr>
            </w:pPr>
          </w:p>
        </w:tc>
        <w:tc>
          <w:tcPr>
            <w:tcW w:w="888" w:type="pct"/>
            <w:vMerge/>
            <w:tcBorders>
              <w:top w:val="single" w:sz="4" w:space="0" w:color="auto"/>
              <w:left w:val="single" w:sz="4" w:space="0" w:color="auto"/>
              <w:right w:val="single" w:sz="4" w:space="0" w:color="auto"/>
            </w:tcBorders>
            <w:vAlign w:val="center"/>
            <w:hideMark/>
          </w:tcPr>
          <w:p w14:paraId="75B549E8" w14:textId="77777777" w:rsidR="00AF411F" w:rsidRPr="00534707" w:rsidRDefault="00AF411F" w:rsidP="001E7576">
            <w:pPr>
              <w:jc w:val="left"/>
              <w:rPr>
                <w:rFonts w:cs="Arial"/>
                <w:b/>
                <w:bCs/>
                <w:color w:val="000000"/>
                <w:sz w:val="20"/>
                <w:szCs w:val="18"/>
              </w:rPr>
            </w:pPr>
          </w:p>
        </w:tc>
        <w:tc>
          <w:tcPr>
            <w:tcW w:w="828" w:type="pct"/>
            <w:tcBorders>
              <w:top w:val="nil"/>
              <w:left w:val="nil"/>
              <w:right w:val="single" w:sz="4" w:space="0" w:color="auto"/>
            </w:tcBorders>
            <w:shd w:val="clear" w:color="000000" w:fill="A1F2FD"/>
            <w:noWrap/>
            <w:vAlign w:val="center"/>
            <w:hideMark/>
          </w:tcPr>
          <w:p w14:paraId="46E13C12" w14:textId="77777777" w:rsidR="00AF411F" w:rsidRPr="00534707" w:rsidRDefault="00AF411F" w:rsidP="001E7576">
            <w:pPr>
              <w:jc w:val="center"/>
              <w:rPr>
                <w:rFonts w:cs="Arial"/>
                <w:b/>
                <w:bCs/>
                <w:color w:val="000000"/>
                <w:sz w:val="20"/>
                <w:szCs w:val="18"/>
              </w:rPr>
            </w:pPr>
            <w:r w:rsidRPr="00534707">
              <w:rPr>
                <w:rFonts w:cs="Arial"/>
                <w:b/>
                <w:bCs/>
                <w:color w:val="000000"/>
                <w:sz w:val="20"/>
                <w:szCs w:val="18"/>
              </w:rPr>
              <w:t>R$</w:t>
            </w:r>
          </w:p>
        </w:tc>
        <w:tc>
          <w:tcPr>
            <w:tcW w:w="473" w:type="pct"/>
            <w:tcBorders>
              <w:top w:val="nil"/>
              <w:left w:val="nil"/>
              <w:right w:val="nil"/>
            </w:tcBorders>
            <w:shd w:val="clear" w:color="000000" w:fill="A1F2FD"/>
            <w:vAlign w:val="center"/>
            <w:hideMark/>
          </w:tcPr>
          <w:p w14:paraId="49CA62DE" w14:textId="77777777" w:rsidR="00AF411F" w:rsidRPr="00534707" w:rsidRDefault="00AF411F" w:rsidP="001E7576">
            <w:pPr>
              <w:jc w:val="center"/>
              <w:rPr>
                <w:rFonts w:cs="Arial"/>
                <w:b/>
                <w:bCs/>
                <w:color w:val="000000"/>
                <w:sz w:val="20"/>
                <w:szCs w:val="18"/>
              </w:rPr>
            </w:pPr>
            <w:r w:rsidRPr="00534707">
              <w:rPr>
                <w:rFonts w:cs="Arial"/>
                <w:b/>
                <w:bCs/>
                <w:color w:val="000000"/>
                <w:sz w:val="20"/>
                <w:szCs w:val="18"/>
              </w:rPr>
              <w:t>%</w:t>
            </w:r>
          </w:p>
        </w:tc>
      </w:tr>
      <w:tr w:rsidR="00A86AAC" w:rsidRPr="00534707" w14:paraId="2582C51E" w14:textId="77777777" w:rsidTr="00AF411F">
        <w:trPr>
          <w:trHeight w:val="255"/>
          <w:tblHeader/>
        </w:trPr>
        <w:tc>
          <w:tcPr>
            <w:tcW w:w="1923" w:type="pct"/>
            <w:vMerge/>
            <w:tcBorders>
              <w:left w:val="nil"/>
              <w:bottom w:val="single" w:sz="4" w:space="0" w:color="000000"/>
              <w:right w:val="single" w:sz="4" w:space="0" w:color="auto"/>
            </w:tcBorders>
            <w:shd w:val="clear" w:color="auto" w:fill="A1F2FD"/>
            <w:vAlign w:val="center"/>
          </w:tcPr>
          <w:p w14:paraId="4CD476BA" w14:textId="77777777" w:rsidR="00A86AAC" w:rsidRPr="00534707" w:rsidRDefault="00A86AAC" w:rsidP="00A86AAC">
            <w:pPr>
              <w:jc w:val="left"/>
              <w:rPr>
                <w:rFonts w:cs="Arial"/>
                <w:b/>
                <w:bCs/>
                <w:color w:val="000000"/>
                <w:sz w:val="20"/>
                <w:szCs w:val="18"/>
              </w:rPr>
            </w:pPr>
          </w:p>
        </w:tc>
        <w:tc>
          <w:tcPr>
            <w:tcW w:w="888" w:type="pct"/>
            <w:tcBorders>
              <w:left w:val="single" w:sz="4" w:space="0" w:color="auto"/>
              <w:bottom w:val="single" w:sz="4" w:space="0" w:color="000000"/>
              <w:right w:val="single" w:sz="4" w:space="0" w:color="auto"/>
            </w:tcBorders>
            <w:shd w:val="clear" w:color="auto" w:fill="A1F2FD"/>
            <w:vAlign w:val="center"/>
          </w:tcPr>
          <w:p w14:paraId="0DDB99F6" w14:textId="77777777" w:rsidR="00A86AAC" w:rsidRPr="00534707" w:rsidRDefault="00A86AAC" w:rsidP="00A86AAC">
            <w:pPr>
              <w:jc w:val="center"/>
              <w:rPr>
                <w:rFonts w:cs="Arial"/>
                <w:b/>
                <w:bCs/>
                <w:color w:val="000000"/>
                <w:sz w:val="20"/>
                <w:szCs w:val="18"/>
              </w:rPr>
            </w:pPr>
            <w:r w:rsidRPr="00534707">
              <w:rPr>
                <w:rFonts w:cs="Arial"/>
                <w:b/>
                <w:bCs/>
                <w:color w:val="000000"/>
                <w:sz w:val="20"/>
                <w:szCs w:val="18"/>
              </w:rPr>
              <w:t>(a)</w:t>
            </w:r>
          </w:p>
        </w:tc>
        <w:tc>
          <w:tcPr>
            <w:tcW w:w="888" w:type="pct"/>
            <w:tcBorders>
              <w:left w:val="single" w:sz="4" w:space="0" w:color="auto"/>
              <w:bottom w:val="single" w:sz="4" w:space="0" w:color="000000"/>
              <w:right w:val="single" w:sz="4" w:space="0" w:color="auto"/>
            </w:tcBorders>
            <w:shd w:val="clear" w:color="auto" w:fill="A1F2FD"/>
            <w:vAlign w:val="center"/>
          </w:tcPr>
          <w:p w14:paraId="3CAE246B" w14:textId="77777777" w:rsidR="00A86AAC" w:rsidRPr="00534707" w:rsidRDefault="00A86AAC" w:rsidP="00A86AAC">
            <w:pPr>
              <w:jc w:val="center"/>
              <w:rPr>
                <w:rFonts w:cs="Arial"/>
                <w:b/>
                <w:bCs/>
                <w:color w:val="000000"/>
                <w:sz w:val="20"/>
                <w:szCs w:val="18"/>
              </w:rPr>
            </w:pPr>
            <w:r w:rsidRPr="00534707">
              <w:rPr>
                <w:rFonts w:cs="Arial"/>
                <w:b/>
                <w:bCs/>
                <w:color w:val="000000"/>
                <w:sz w:val="20"/>
                <w:szCs w:val="18"/>
              </w:rPr>
              <w:t>(b)</w:t>
            </w:r>
          </w:p>
        </w:tc>
        <w:tc>
          <w:tcPr>
            <w:tcW w:w="828" w:type="pct"/>
            <w:tcBorders>
              <w:left w:val="nil"/>
              <w:bottom w:val="single" w:sz="4" w:space="0" w:color="auto"/>
              <w:right w:val="single" w:sz="4" w:space="0" w:color="auto"/>
            </w:tcBorders>
            <w:shd w:val="clear" w:color="auto" w:fill="A1F2FD"/>
            <w:noWrap/>
            <w:vAlign w:val="center"/>
          </w:tcPr>
          <w:p w14:paraId="7FB80398" w14:textId="2C55DE5E" w:rsidR="00A86AAC" w:rsidRPr="00534707" w:rsidRDefault="00A86AAC" w:rsidP="00A86AAC">
            <w:pPr>
              <w:jc w:val="center"/>
              <w:rPr>
                <w:rFonts w:cs="Arial"/>
                <w:b/>
                <w:bCs/>
                <w:color w:val="000000"/>
                <w:sz w:val="20"/>
                <w:szCs w:val="18"/>
              </w:rPr>
            </w:pPr>
            <w:r w:rsidRPr="00534707">
              <w:rPr>
                <w:rFonts w:cs="Arial"/>
                <w:b/>
                <w:bCs/>
                <w:color w:val="000000"/>
                <w:sz w:val="20"/>
                <w:szCs w:val="18"/>
              </w:rPr>
              <w:t>(c) = (a-b)</w:t>
            </w:r>
          </w:p>
        </w:tc>
        <w:tc>
          <w:tcPr>
            <w:tcW w:w="473" w:type="pct"/>
            <w:tcBorders>
              <w:left w:val="nil"/>
              <w:bottom w:val="single" w:sz="4" w:space="0" w:color="auto"/>
              <w:right w:val="nil"/>
            </w:tcBorders>
            <w:shd w:val="clear" w:color="auto" w:fill="A1F2FD"/>
            <w:vAlign w:val="center"/>
          </w:tcPr>
          <w:p w14:paraId="516EDF8B" w14:textId="151E3FB0" w:rsidR="00A86AAC" w:rsidRPr="00534707" w:rsidRDefault="00A86AAC" w:rsidP="00A86AAC">
            <w:pPr>
              <w:ind w:right="-71" w:hanging="29"/>
              <w:jc w:val="center"/>
              <w:rPr>
                <w:rFonts w:cs="Arial"/>
                <w:b/>
                <w:bCs/>
                <w:color w:val="000000"/>
                <w:sz w:val="20"/>
                <w:szCs w:val="18"/>
              </w:rPr>
            </w:pPr>
            <w:r>
              <w:rPr>
                <w:rFonts w:cs="Arial"/>
                <w:b/>
                <w:bCs/>
                <w:color w:val="000000"/>
                <w:sz w:val="18"/>
                <w:szCs w:val="18"/>
              </w:rPr>
              <w:t>(d) = (c/b</w:t>
            </w:r>
            <w:r w:rsidRPr="004C6EF5">
              <w:rPr>
                <w:rFonts w:cs="Arial"/>
                <w:b/>
                <w:bCs/>
                <w:color w:val="000000"/>
                <w:sz w:val="18"/>
                <w:szCs w:val="18"/>
              </w:rPr>
              <w:t>)</w:t>
            </w:r>
          </w:p>
        </w:tc>
      </w:tr>
      <w:tr w:rsidR="00A86AAC" w:rsidRPr="00534707" w14:paraId="1CC0626C" w14:textId="77777777" w:rsidTr="001E7576">
        <w:trPr>
          <w:trHeight w:val="255"/>
          <w:tblHeader/>
        </w:trPr>
        <w:tc>
          <w:tcPr>
            <w:tcW w:w="1923" w:type="pct"/>
            <w:tcBorders>
              <w:top w:val="nil"/>
              <w:left w:val="nil"/>
              <w:bottom w:val="nil"/>
              <w:right w:val="single" w:sz="4" w:space="0" w:color="auto"/>
            </w:tcBorders>
            <w:shd w:val="clear" w:color="auto" w:fill="auto"/>
            <w:noWrap/>
            <w:vAlign w:val="center"/>
          </w:tcPr>
          <w:p w14:paraId="24D0DFC6" w14:textId="192F4609" w:rsidR="00A86AAC" w:rsidRPr="00534707" w:rsidRDefault="00A86AAC" w:rsidP="00A86AAC">
            <w:pPr>
              <w:ind w:left="73"/>
              <w:jc w:val="left"/>
              <w:rPr>
                <w:rFonts w:cs="Arial"/>
                <w:color w:val="000000"/>
                <w:sz w:val="20"/>
                <w:szCs w:val="18"/>
              </w:rPr>
            </w:pPr>
            <w:r w:rsidRPr="00534707">
              <w:rPr>
                <w:rFonts w:cs="Arial"/>
                <w:bCs/>
                <w:color w:val="000000"/>
                <w:sz w:val="20"/>
                <w:szCs w:val="18"/>
              </w:rPr>
              <w:t>Patrimônio Social e Capital Social</w:t>
            </w:r>
          </w:p>
        </w:tc>
        <w:tc>
          <w:tcPr>
            <w:tcW w:w="888" w:type="pct"/>
            <w:tcBorders>
              <w:top w:val="nil"/>
              <w:left w:val="nil"/>
              <w:bottom w:val="nil"/>
              <w:right w:val="single" w:sz="4" w:space="0" w:color="auto"/>
            </w:tcBorders>
            <w:shd w:val="clear" w:color="auto" w:fill="auto"/>
            <w:noWrap/>
            <w:vAlign w:val="center"/>
          </w:tcPr>
          <w:p w14:paraId="7C257A87" w14:textId="6FBD362E" w:rsidR="00A86AAC" w:rsidRPr="00534707" w:rsidRDefault="00A86AAC" w:rsidP="00A86AAC">
            <w:pPr>
              <w:jc w:val="right"/>
              <w:rPr>
                <w:rFonts w:cs="Arial"/>
                <w:color w:val="000000"/>
                <w:sz w:val="20"/>
                <w:szCs w:val="18"/>
              </w:rPr>
            </w:pPr>
            <w:r w:rsidRPr="00534707">
              <w:rPr>
                <w:rFonts w:cs="Arial"/>
                <w:bCs/>
                <w:color w:val="000000"/>
                <w:sz w:val="20"/>
                <w:szCs w:val="18"/>
              </w:rPr>
              <w:t>419.740</w:t>
            </w:r>
          </w:p>
        </w:tc>
        <w:tc>
          <w:tcPr>
            <w:tcW w:w="888" w:type="pct"/>
            <w:tcBorders>
              <w:top w:val="nil"/>
              <w:left w:val="nil"/>
              <w:bottom w:val="nil"/>
              <w:right w:val="single" w:sz="4" w:space="0" w:color="auto"/>
            </w:tcBorders>
            <w:shd w:val="clear" w:color="auto" w:fill="auto"/>
            <w:noWrap/>
            <w:vAlign w:val="center"/>
          </w:tcPr>
          <w:p w14:paraId="44DA97CF" w14:textId="1A088FB1" w:rsidR="00A86AAC" w:rsidRPr="00534707" w:rsidRDefault="00A86AAC" w:rsidP="00A86AAC">
            <w:pPr>
              <w:jc w:val="right"/>
              <w:rPr>
                <w:rFonts w:cs="Arial"/>
                <w:color w:val="000000"/>
                <w:sz w:val="20"/>
                <w:szCs w:val="18"/>
              </w:rPr>
            </w:pPr>
            <w:r w:rsidRPr="00534707">
              <w:rPr>
                <w:rFonts w:cs="Arial"/>
                <w:bCs/>
                <w:color w:val="000000"/>
                <w:sz w:val="20"/>
                <w:szCs w:val="18"/>
              </w:rPr>
              <w:t>419.740</w:t>
            </w:r>
          </w:p>
        </w:tc>
        <w:tc>
          <w:tcPr>
            <w:tcW w:w="828" w:type="pct"/>
            <w:tcBorders>
              <w:top w:val="nil"/>
              <w:left w:val="nil"/>
              <w:bottom w:val="nil"/>
              <w:right w:val="single" w:sz="4" w:space="0" w:color="auto"/>
            </w:tcBorders>
            <w:shd w:val="clear" w:color="auto" w:fill="auto"/>
            <w:noWrap/>
            <w:vAlign w:val="center"/>
          </w:tcPr>
          <w:p w14:paraId="10FEC954" w14:textId="42A68C5D" w:rsidR="00A86AAC" w:rsidRPr="00534707" w:rsidRDefault="00A86AAC" w:rsidP="00A86AAC">
            <w:pPr>
              <w:jc w:val="right"/>
              <w:rPr>
                <w:rFonts w:cs="Arial"/>
                <w:color w:val="000000"/>
                <w:sz w:val="20"/>
                <w:szCs w:val="18"/>
              </w:rPr>
            </w:pPr>
            <w:r w:rsidRPr="00534707">
              <w:rPr>
                <w:rFonts w:cs="Arial"/>
                <w:bCs/>
                <w:color w:val="000000"/>
                <w:sz w:val="20"/>
                <w:szCs w:val="18"/>
              </w:rPr>
              <w:t>-</w:t>
            </w:r>
          </w:p>
        </w:tc>
        <w:tc>
          <w:tcPr>
            <w:tcW w:w="473" w:type="pct"/>
            <w:tcBorders>
              <w:top w:val="nil"/>
              <w:left w:val="nil"/>
              <w:bottom w:val="nil"/>
              <w:right w:val="nil"/>
            </w:tcBorders>
            <w:shd w:val="clear" w:color="auto" w:fill="auto"/>
            <w:noWrap/>
            <w:vAlign w:val="center"/>
          </w:tcPr>
          <w:p w14:paraId="197E48ED" w14:textId="2C909464" w:rsidR="00A86AAC" w:rsidRPr="00534707" w:rsidRDefault="00A86AAC" w:rsidP="00A86AAC">
            <w:pPr>
              <w:jc w:val="center"/>
              <w:rPr>
                <w:rFonts w:cs="Arial"/>
                <w:color w:val="000000"/>
                <w:sz w:val="20"/>
                <w:szCs w:val="18"/>
              </w:rPr>
            </w:pPr>
            <w:r w:rsidRPr="00534707">
              <w:rPr>
                <w:rFonts w:cs="Arial"/>
                <w:bCs/>
                <w:color w:val="000000"/>
                <w:sz w:val="20"/>
                <w:szCs w:val="18"/>
              </w:rPr>
              <w:t>-</w:t>
            </w:r>
          </w:p>
        </w:tc>
      </w:tr>
      <w:tr w:rsidR="00A86AAC" w:rsidRPr="00534707" w14:paraId="35442767" w14:textId="77777777" w:rsidTr="001E7576">
        <w:trPr>
          <w:trHeight w:val="255"/>
          <w:tblHeader/>
        </w:trPr>
        <w:tc>
          <w:tcPr>
            <w:tcW w:w="1923" w:type="pct"/>
            <w:tcBorders>
              <w:top w:val="nil"/>
              <w:left w:val="nil"/>
              <w:bottom w:val="nil"/>
              <w:right w:val="single" w:sz="4" w:space="0" w:color="auto"/>
            </w:tcBorders>
            <w:shd w:val="clear" w:color="auto" w:fill="auto"/>
            <w:noWrap/>
            <w:vAlign w:val="center"/>
          </w:tcPr>
          <w:p w14:paraId="1B8C972A" w14:textId="3CC4D4E8" w:rsidR="00A86AAC" w:rsidRPr="00534707" w:rsidRDefault="00A86AAC" w:rsidP="00A86AAC">
            <w:pPr>
              <w:ind w:left="73"/>
              <w:jc w:val="left"/>
              <w:rPr>
                <w:rFonts w:cs="Arial"/>
                <w:color w:val="000000"/>
                <w:sz w:val="20"/>
                <w:szCs w:val="18"/>
              </w:rPr>
            </w:pPr>
            <w:r w:rsidRPr="00534707">
              <w:rPr>
                <w:rFonts w:cs="Arial"/>
                <w:bCs/>
                <w:color w:val="000000"/>
                <w:sz w:val="20"/>
                <w:szCs w:val="18"/>
              </w:rPr>
              <w:t>Reservas de Capital</w:t>
            </w:r>
          </w:p>
        </w:tc>
        <w:tc>
          <w:tcPr>
            <w:tcW w:w="888" w:type="pct"/>
            <w:tcBorders>
              <w:top w:val="nil"/>
              <w:left w:val="nil"/>
              <w:bottom w:val="nil"/>
              <w:right w:val="single" w:sz="4" w:space="0" w:color="auto"/>
            </w:tcBorders>
            <w:shd w:val="clear" w:color="auto" w:fill="auto"/>
            <w:noWrap/>
            <w:vAlign w:val="center"/>
          </w:tcPr>
          <w:p w14:paraId="7B8FD622" w14:textId="3DF4C70C" w:rsidR="00A86AAC" w:rsidRPr="00534707" w:rsidRDefault="00A86AAC" w:rsidP="00A86AAC">
            <w:pPr>
              <w:jc w:val="right"/>
              <w:rPr>
                <w:rFonts w:cs="Arial"/>
                <w:color w:val="000000"/>
                <w:sz w:val="20"/>
                <w:szCs w:val="18"/>
              </w:rPr>
            </w:pPr>
            <w:r w:rsidRPr="00534707">
              <w:rPr>
                <w:rFonts w:cs="Arial"/>
                <w:bCs/>
                <w:color w:val="000000"/>
                <w:sz w:val="20"/>
                <w:szCs w:val="18"/>
              </w:rPr>
              <w:t>240.002</w:t>
            </w:r>
          </w:p>
        </w:tc>
        <w:tc>
          <w:tcPr>
            <w:tcW w:w="888" w:type="pct"/>
            <w:tcBorders>
              <w:top w:val="nil"/>
              <w:left w:val="nil"/>
              <w:bottom w:val="nil"/>
              <w:right w:val="single" w:sz="4" w:space="0" w:color="auto"/>
            </w:tcBorders>
            <w:shd w:val="clear" w:color="auto" w:fill="auto"/>
            <w:noWrap/>
            <w:vAlign w:val="center"/>
          </w:tcPr>
          <w:p w14:paraId="5816D92D" w14:textId="73340B88" w:rsidR="00A86AAC" w:rsidRPr="00534707" w:rsidRDefault="00A86AAC" w:rsidP="00A86AAC">
            <w:pPr>
              <w:jc w:val="right"/>
              <w:rPr>
                <w:rFonts w:cs="Arial"/>
                <w:color w:val="000000"/>
                <w:sz w:val="20"/>
                <w:szCs w:val="18"/>
              </w:rPr>
            </w:pPr>
            <w:r w:rsidRPr="00534707">
              <w:rPr>
                <w:rFonts w:cs="Arial"/>
                <w:bCs/>
                <w:color w:val="000000"/>
                <w:sz w:val="20"/>
                <w:szCs w:val="18"/>
              </w:rPr>
              <w:t>240.002</w:t>
            </w:r>
          </w:p>
        </w:tc>
        <w:tc>
          <w:tcPr>
            <w:tcW w:w="828" w:type="pct"/>
            <w:tcBorders>
              <w:top w:val="nil"/>
              <w:left w:val="nil"/>
              <w:bottom w:val="nil"/>
              <w:right w:val="single" w:sz="4" w:space="0" w:color="auto"/>
            </w:tcBorders>
            <w:shd w:val="clear" w:color="auto" w:fill="auto"/>
            <w:noWrap/>
            <w:vAlign w:val="center"/>
          </w:tcPr>
          <w:p w14:paraId="7F9672E1" w14:textId="7BCEFEA5" w:rsidR="00A86AAC" w:rsidRPr="00534707" w:rsidRDefault="00A86AAC" w:rsidP="00A86AAC">
            <w:pPr>
              <w:jc w:val="right"/>
              <w:rPr>
                <w:rFonts w:cs="Arial"/>
                <w:color w:val="000000"/>
                <w:sz w:val="20"/>
                <w:szCs w:val="18"/>
              </w:rPr>
            </w:pPr>
            <w:r w:rsidRPr="00534707">
              <w:rPr>
                <w:rFonts w:cs="Arial"/>
                <w:bCs/>
                <w:color w:val="000000"/>
                <w:sz w:val="20"/>
                <w:szCs w:val="18"/>
              </w:rPr>
              <w:t>-</w:t>
            </w:r>
          </w:p>
        </w:tc>
        <w:tc>
          <w:tcPr>
            <w:tcW w:w="473" w:type="pct"/>
            <w:tcBorders>
              <w:top w:val="nil"/>
              <w:left w:val="nil"/>
              <w:bottom w:val="nil"/>
              <w:right w:val="nil"/>
            </w:tcBorders>
            <w:shd w:val="clear" w:color="auto" w:fill="auto"/>
            <w:noWrap/>
            <w:vAlign w:val="center"/>
          </w:tcPr>
          <w:p w14:paraId="49C21248" w14:textId="19E74332" w:rsidR="00A86AAC" w:rsidRPr="00534707" w:rsidRDefault="00A86AAC" w:rsidP="00A86AAC">
            <w:pPr>
              <w:jc w:val="center"/>
              <w:rPr>
                <w:rFonts w:cs="Arial"/>
                <w:color w:val="000000"/>
                <w:sz w:val="20"/>
                <w:szCs w:val="18"/>
              </w:rPr>
            </w:pPr>
            <w:r w:rsidRPr="00534707">
              <w:rPr>
                <w:rFonts w:cs="Arial"/>
                <w:bCs/>
                <w:color w:val="000000"/>
                <w:sz w:val="20"/>
                <w:szCs w:val="18"/>
              </w:rPr>
              <w:t>-</w:t>
            </w:r>
          </w:p>
        </w:tc>
      </w:tr>
      <w:tr w:rsidR="00A86AAC" w:rsidRPr="00534707" w14:paraId="0F33A8B5" w14:textId="77777777" w:rsidTr="001E7576">
        <w:trPr>
          <w:trHeight w:val="255"/>
          <w:tblHeader/>
        </w:trPr>
        <w:tc>
          <w:tcPr>
            <w:tcW w:w="1923" w:type="pct"/>
            <w:tcBorders>
              <w:top w:val="nil"/>
              <w:left w:val="nil"/>
              <w:bottom w:val="nil"/>
              <w:right w:val="single" w:sz="4" w:space="0" w:color="auto"/>
            </w:tcBorders>
            <w:shd w:val="clear" w:color="auto" w:fill="auto"/>
            <w:noWrap/>
            <w:vAlign w:val="center"/>
          </w:tcPr>
          <w:p w14:paraId="12A86CB1" w14:textId="01026ACC" w:rsidR="00A86AAC" w:rsidRPr="00534707" w:rsidRDefault="00A86AAC" w:rsidP="00A86AAC">
            <w:pPr>
              <w:ind w:left="73"/>
              <w:jc w:val="left"/>
              <w:rPr>
                <w:rFonts w:cs="Arial"/>
                <w:b/>
                <w:bCs/>
                <w:color w:val="000000"/>
                <w:sz w:val="20"/>
                <w:szCs w:val="18"/>
              </w:rPr>
            </w:pPr>
            <w:r w:rsidRPr="00534707">
              <w:rPr>
                <w:rFonts w:cs="Arial"/>
                <w:bCs/>
                <w:color w:val="000000"/>
                <w:sz w:val="20"/>
                <w:szCs w:val="18"/>
              </w:rPr>
              <w:t>Ajustes de Avaliação Patrimonial</w:t>
            </w:r>
          </w:p>
        </w:tc>
        <w:tc>
          <w:tcPr>
            <w:tcW w:w="888" w:type="pct"/>
            <w:tcBorders>
              <w:top w:val="nil"/>
              <w:left w:val="nil"/>
              <w:bottom w:val="nil"/>
              <w:right w:val="single" w:sz="4" w:space="0" w:color="auto"/>
            </w:tcBorders>
            <w:shd w:val="clear" w:color="auto" w:fill="auto"/>
            <w:noWrap/>
            <w:vAlign w:val="center"/>
          </w:tcPr>
          <w:p w14:paraId="625E86B5" w14:textId="0EF2FAA9" w:rsidR="00A86AAC" w:rsidRPr="00534707" w:rsidRDefault="00A86AAC" w:rsidP="00A86AAC">
            <w:pPr>
              <w:jc w:val="right"/>
              <w:rPr>
                <w:rFonts w:cs="Arial"/>
                <w:b/>
                <w:bCs/>
                <w:color w:val="000000"/>
                <w:sz w:val="20"/>
                <w:szCs w:val="18"/>
              </w:rPr>
            </w:pPr>
            <w:r w:rsidRPr="00534707">
              <w:rPr>
                <w:rFonts w:cs="Arial"/>
                <w:bCs/>
                <w:color w:val="000000"/>
                <w:sz w:val="20"/>
                <w:szCs w:val="18"/>
              </w:rPr>
              <w:t>10.598</w:t>
            </w:r>
          </w:p>
        </w:tc>
        <w:tc>
          <w:tcPr>
            <w:tcW w:w="888" w:type="pct"/>
            <w:tcBorders>
              <w:top w:val="nil"/>
              <w:left w:val="nil"/>
              <w:bottom w:val="nil"/>
              <w:right w:val="single" w:sz="4" w:space="0" w:color="auto"/>
            </w:tcBorders>
            <w:shd w:val="clear" w:color="auto" w:fill="auto"/>
            <w:noWrap/>
            <w:vAlign w:val="center"/>
          </w:tcPr>
          <w:p w14:paraId="5F62C7BC" w14:textId="434EA845" w:rsidR="00A86AAC" w:rsidRPr="00534707" w:rsidRDefault="00A86AAC" w:rsidP="00A86AAC">
            <w:pPr>
              <w:jc w:val="right"/>
              <w:rPr>
                <w:rFonts w:cs="Arial"/>
                <w:b/>
                <w:bCs/>
                <w:color w:val="000000"/>
                <w:sz w:val="20"/>
                <w:szCs w:val="18"/>
              </w:rPr>
            </w:pPr>
            <w:r w:rsidRPr="00534707">
              <w:rPr>
                <w:rFonts w:cs="Arial"/>
                <w:bCs/>
                <w:color w:val="000000"/>
                <w:sz w:val="20"/>
                <w:szCs w:val="18"/>
              </w:rPr>
              <w:t>10.598</w:t>
            </w:r>
          </w:p>
        </w:tc>
        <w:tc>
          <w:tcPr>
            <w:tcW w:w="828" w:type="pct"/>
            <w:tcBorders>
              <w:top w:val="nil"/>
              <w:left w:val="nil"/>
              <w:bottom w:val="nil"/>
              <w:right w:val="single" w:sz="4" w:space="0" w:color="auto"/>
            </w:tcBorders>
            <w:shd w:val="clear" w:color="auto" w:fill="auto"/>
            <w:noWrap/>
            <w:vAlign w:val="center"/>
          </w:tcPr>
          <w:p w14:paraId="6B956C68" w14:textId="24A8C36C" w:rsidR="00A86AAC" w:rsidRPr="00534707" w:rsidRDefault="00A86AAC" w:rsidP="00A86AAC">
            <w:pPr>
              <w:jc w:val="right"/>
              <w:rPr>
                <w:rFonts w:cs="Arial"/>
                <w:b/>
                <w:bCs/>
                <w:color w:val="000000"/>
                <w:sz w:val="20"/>
                <w:szCs w:val="18"/>
              </w:rPr>
            </w:pPr>
            <w:r w:rsidRPr="00534707">
              <w:rPr>
                <w:rFonts w:cs="Arial"/>
                <w:bCs/>
                <w:color w:val="000000"/>
                <w:sz w:val="20"/>
                <w:szCs w:val="18"/>
              </w:rPr>
              <w:t>-</w:t>
            </w:r>
          </w:p>
        </w:tc>
        <w:tc>
          <w:tcPr>
            <w:tcW w:w="473" w:type="pct"/>
            <w:tcBorders>
              <w:top w:val="nil"/>
              <w:left w:val="nil"/>
              <w:bottom w:val="nil"/>
              <w:right w:val="nil"/>
            </w:tcBorders>
            <w:shd w:val="clear" w:color="auto" w:fill="auto"/>
            <w:noWrap/>
            <w:vAlign w:val="center"/>
          </w:tcPr>
          <w:p w14:paraId="5E6CCE50" w14:textId="20619679" w:rsidR="00A86AAC" w:rsidRPr="00534707" w:rsidRDefault="00A86AAC" w:rsidP="00A86AAC">
            <w:pPr>
              <w:jc w:val="center"/>
              <w:rPr>
                <w:rFonts w:cs="Arial"/>
                <w:b/>
                <w:bCs/>
                <w:color w:val="000000"/>
                <w:sz w:val="20"/>
                <w:szCs w:val="18"/>
              </w:rPr>
            </w:pPr>
            <w:r w:rsidRPr="00534707">
              <w:rPr>
                <w:rFonts w:cs="Arial"/>
                <w:bCs/>
                <w:color w:val="000000"/>
                <w:sz w:val="20"/>
                <w:szCs w:val="18"/>
              </w:rPr>
              <w:t>-</w:t>
            </w:r>
          </w:p>
        </w:tc>
      </w:tr>
      <w:tr w:rsidR="00A86AAC" w:rsidRPr="00534707" w14:paraId="1FD39228" w14:textId="77777777" w:rsidTr="001E7576">
        <w:trPr>
          <w:trHeight w:val="255"/>
          <w:tblHeader/>
        </w:trPr>
        <w:tc>
          <w:tcPr>
            <w:tcW w:w="1923" w:type="pct"/>
            <w:tcBorders>
              <w:top w:val="nil"/>
              <w:left w:val="nil"/>
              <w:bottom w:val="nil"/>
              <w:right w:val="single" w:sz="4" w:space="0" w:color="auto"/>
            </w:tcBorders>
            <w:shd w:val="clear" w:color="auto" w:fill="auto"/>
            <w:noWrap/>
            <w:vAlign w:val="center"/>
          </w:tcPr>
          <w:p w14:paraId="4BDBF2D5" w14:textId="7053610E" w:rsidR="00A86AAC" w:rsidRPr="00534707" w:rsidRDefault="00A86AAC" w:rsidP="00A86AAC">
            <w:pPr>
              <w:ind w:left="73"/>
              <w:jc w:val="left"/>
              <w:rPr>
                <w:rFonts w:cs="Arial"/>
                <w:color w:val="000000"/>
                <w:sz w:val="20"/>
                <w:szCs w:val="18"/>
              </w:rPr>
            </w:pPr>
            <w:r w:rsidRPr="00534707">
              <w:rPr>
                <w:rFonts w:cs="Arial"/>
                <w:bCs/>
                <w:color w:val="000000"/>
                <w:sz w:val="20"/>
                <w:szCs w:val="18"/>
              </w:rPr>
              <w:t>Reservas de Lucros</w:t>
            </w:r>
          </w:p>
        </w:tc>
        <w:tc>
          <w:tcPr>
            <w:tcW w:w="888" w:type="pct"/>
            <w:tcBorders>
              <w:top w:val="nil"/>
              <w:left w:val="nil"/>
              <w:bottom w:val="nil"/>
              <w:right w:val="single" w:sz="4" w:space="0" w:color="auto"/>
            </w:tcBorders>
            <w:shd w:val="clear" w:color="auto" w:fill="auto"/>
            <w:noWrap/>
            <w:vAlign w:val="center"/>
          </w:tcPr>
          <w:p w14:paraId="4FFFAF5E" w14:textId="4B94EFAF" w:rsidR="00A86AAC" w:rsidRPr="00534707" w:rsidRDefault="00A86AAC" w:rsidP="00A86AAC">
            <w:pPr>
              <w:jc w:val="right"/>
              <w:rPr>
                <w:rFonts w:cs="Arial"/>
                <w:color w:val="000000"/>
                <w:sz w:val="20"/>
                <w:szCs w:val="18"/>
              </w:rPr>
            </w:pPr>
            <w:r w:rsidRPr="00534707">
              <w:rPr>
                <w:rFonts w:cs="Arial"/>
                <w:bCs/>
                <w:color w:val="000000"/>
                <w:sz w:val="20"/>
                <w:szCs w:val="18"/>
              </w:rPr>
              <w:t>212.407</w:t>
            </w:r>
          </w:p>
        </w:tc>
        <w:tc>
          <w:tcPr>
            <w:tcW w:w="888" w:type="pct"/>
            <w:tcBorders>
              <w:top w:val="nil"/>
              <w:left w:val="nil"/>
              <w:bottom w:val="nil"/>
              <w:right w:val="single" w:sz="4" w:space="0" w:color="auto"/>
            </w:tcBorders>
            <w:shd w:val="clear" w:color="auto" w:fill="auto"/>
            <w:noWrap/>
            <w:vAlign w:val="center"/>
          </w:tcPr>
          <w:p w14:paraId="1EF788C2" w14:textId="60BA36BE" w:rsidR="00A86AAC" w:rsidRPr="00534707" w:rsidRDefault="00A86AAC" w:rsidP="00A86AAC">
            <w:pPr>
              <w:jc w:val="right"/>
              <w:rPr>
                <w:rFonts w:cs="Arial"/>
                <w:color w:val="000000"/>
                <w:sz w:val="20"/>
                <w:szCs w:val="18"/>
              </w:rPr>
            </w:pPr>
            <w:r w:rsidRPr="00534707">
              <w:rPr>
                <w:rFonts w:cs="Arial"/>
                <w:bCs/>
                <w:color w:val="000000"/>
                <w:sz w:val="20"/>
                <w:szCs w:val="18"/>
              </w:rPr>
              <w:t>13.572</w:t>
            </w:r>
          </w:p>
        </w:tc>
        <w:tc>
          <w:tcPr>
            <w:tcW w:w="828" w:type="pct"/>
            <w:tcBorders>
              <w:top w:val="nil"/>
              <w:left w:val="nil"/>
              <w:bottom w:val="nil"/>
              <w:right w:val="single" w:sz="4" w:space="0" w:color="auto"/>
            </w:tcBorders>
            <w:shd w:val="clear" w:color="auto" w:fill="auto"/>
            <w:noWrap/>
            <w:vAlign w:val="center"/>
          </w:tcPr>
          <w:p w14:paraId="19464BA0" w14:textId="51D3BB6E" w:rsidR="00A86AAC" w:rsidRPr="00534707" w:rsidRDefault="00A86AAC" w:rsidP="00A86AAC">
            <w:pPr>
              <w:jc w:val="right"/>
              <w:rPr>
                <w:rFonts w:cs="Arial"/>
                <w:color w:val="000000"/>
                <w:sz w:val="20"/>
                <w:szCs w:val="18"/>
              </w:rPr>
            </w:pPr>
            <w:r w:rsidRPr="00534707">
              <w:rPr>
                <w:rFonts w:cs="Arial"/>
                <w:bCs/>
                <w:color w:val="000000"/>
                <w:sz w:val="20"/>
                <w:szCs w:val="18"/>
              </w:rPr>
              <w:t>198.835</w:t>
            </w:r>
          </w:p>
        </w:tc>
        <w:tc>
          <w:tcPr>
            <w:tcW w:w="473" w:type="pct"/>
            <w:tcBorders>
              <w:top w:val="nil"/>
              <w:left w:val="nil"/>
              <w:bottom w:val="nil"/>
              <w:right w:val="nil"/>
            </w:tcBorders>
            <w:shd w:val="clear" w:color="auto" w:fill="auto"/>
            <w:noWrap/>
            <w:vAlign w:val="center"/>
          </w:tcPr>
          <w:p w14:paraId="38D0081A" w14:textId="660E8F03" w:rsidR="00A86AAC" w:rsidRPr="00534707" w:rsidRDefault="00A86AAC" w:rsidP="00A86AAC">
            <w:pPr>
              <w:jc w:val="center"/>
              <w:rPr>
                <w:rFonts w:cs="Arial"/>
                <w:color w:val="000000"/>
                <w:sz w:val="20"/>
                <w:szCs w:val="18"/>
              </w:rPr>
            </w:pPr>
            <w:r w:rsidRPr="00534707">
              <w:rPr>
                <w:rFonts w:cs="Arial"/>
                <w:bCs/>
                <w:color w:val="000000"/>
                <w:sz w:val="20"/>
                <w:szCs w:val="18"/>
              </w:rPr>
              <w:t>1465,08</w:t>
            </w:r>
          </w:p>
        </w:tc>
      </w:tr>
      <w:tr w:rsidR="00A86AAC" w:rsidRPr="00534707" w14:paraId="44A5176B" w14:textId="77777777" w:rsidTr="00FD386F">
        <w:trPr>
          <w:trHeight w:val="255"/>
          <w:tblHeader/>
        </w:trPr>
        <w:tc>
          <w:tcPr>
            <w:tcW w:w="1923" w:type="pct"/>
            <w:tcBorders>
              <w:top w:val="nil"/>
              <w:left w:val="nil"/>
              <w:right w:val="single" w:sz="4" w:space="0" w:color="auto"/>
            </w:tcBorders>
            <w:shd w:val="clear" w:color="auto" w:fill="auto"/>
            <w:noWrap/>
            <w:vAlign w:val="center"/>
          </w:tcPr>
          <w:p w14:paraId="0ED96701" w14:textId="7CB86353" w:rsidR="00A86AAC" w:rsidRPr="00534707" w:rsidRDefault="00A86AAC" w:rsidP="00A86AAC">
            <w:pPr>
              <w:ind w:left="73"/>
              <w:jc w:val="left"/>
              <w:rPr>
                <w:rFonts w:cs="Arial"/>
                <w:color w:val="000000"/>
                <w:sz w:val="20"/>
                <w:szCs w:val="18"/>
              </w:rPr>
            </w:pPr>
            <w:r w:rsidRPr="00534707">
              <w:rPr>
                <w:rFonts w:cs="Arial"/>
                <w:bCs/>
                <w:color w:val="000000"/>
                <w:sz w:val="20"/>
                <w:szCs w:val="18"/>
              </w:rPr>
              <w:t>Demais Reservas</w:t>
            </w:r>
          </w:p>
        </w:tc>
        <w:tc>
          <w:tcPr>
            <w:tcW w:w="888" w:type="pct"/>
            <w:tcBorders>
              <w:top w:val="nil"/>
              <w:left w:val="nil"/>
              <w:right w:val="single" w:sz="4" w:space="0" w:color="auto"/>
            </w:tcBorders>
            <w:shd w:val="clear" w:color="auto" w:fill="auto"/>
            <w:noWrap/>
            <w:vAlign w:val="center"/>
          </w:tcPr>
          <w:p w14:paraId="45514271" w14:textId="2436C6D8" w:rsidR="00A86AAC" w:rsidRPr="00534707" w:rsidRDefault="00A86AAC" w:rsidP="00A86AAC">
            <w:pPr>
              <w:jc w:val="right"/>
              <w:rPr>
                <w:rFonts w:cs="Arial"/>
                <w:color w:val="FF0000"/>
                <w:sz w:val="20"/>
                <w:szCs w:val="18"/>
              </w:rPr>
            </w:pPr>
            <w:r w:rsidRPr="00534707">
              <w:rPr>
                <w:rFonts w:cs="Arial"/>
                <w:bCs/>
                <w:color w:val="000000"/>
                <w:sz w:val="20"/>
                <w:szCs w:val="18"/>
              </w:rPr>
              <w:t>10.915.402</w:t>
            </w:r>
          </w:p>
        </w:tc>
        <w:tc>
          <w:tcPr>
            <w:tcW w:w="888" w:type="pct"/>
            <w:tcBorders>
              <w:top w:val="nil"/>
              <w:left w:val="nil"/>
              <w:right w:val="single" w:sz="4" w:space="0" w:color="auto"/>
            </w:tcBorders>
            <w:shd w:val="clear" w:color="auto" w:fill="auto"/>
            <w:noWrap/>
            <w:vAlign w:val="center"/>
          </w:tcPr>
          <w:p w14:paraId="596EC1EA" w14:textId="496D1D3A" w:rsidR="00A86AAC" w:rsidRPr="00534707" w:rsidRDefault="00A86AAC" w:rsidP="00A86AAC">
            <w:pPr>
              <w:jc w:val="right"/>
              <w:rPr>
                <w:rFonts w:cs="Arial"/>
                <w:color w:val="FF0000"/>
                <w:sz w:val="20"/>
                <w:szCs w:val="18"/>
              </w:rPr>
            </w:pPr>
            <w:r w:rsidRPr="00534707">
              <w:rPr>
                <w:rFonts w:cs="Arial"/>
                <w:bCs/>
                <w:color w:val="000000"/>
                <w:sz w:val="20"/>
                <w:szCs w:val="18"/>
              </w:rPr>
              <w:t>256.456</w:t>
            </w:r>
          </w:p>
        </w:tc>
        <w:tc>
          <w:tcPr>
            <w:tcW w:w="828" w:type="pct"/>
            <w:tcBorders>
              <w:top w:val="nil"/>
              <w:left w:val="nil"/>
              <w:right w:val="single" w:sz="4" w:space="0" w:color="auto"/>
            </w:tcBorders>
            <w:shd w:val="clear" w:color="auto" w:fill="auto"/>
            <w:noWrap/>
            <w:vAlign w:val="center"/>
          </w:tcPr>
          <w:p w14:paraId="0912182F" w14:textId="7ABF1865" w:rsidR="00A86AAC" w:rsidRPr="00534707" w:rsidRDefault="00A86AAC" w:rsidP="00A86AAC">
            <w:pPr>
              <w:jc w:val="right"/>
              <w:rPr>
                <w:rFonts w:cs="Arial"/>
                <w:color w:val="FF0000"/>
                <w:sz w:val="20"/>
                <w:szCs w:val="18"/>
              </w:rPr>
            </w:pPr>
            <w:r w:rsidRPr="00534707">
              <w:rPr>
                <w:rFonts w:cs="Arial"/>
                <w:bCs/>
                <w:color w:val="000000"/>
                <w:sz w:val="20"/>
                <w:szCs w:val="18"/>
              </w:rPr>
              <w:t>10.658.946</w:t>
            </w:r>
          </w:p>
        </w:tc>
        <w:tc>
          <w:tcPr>
            <w:tcW w:w="473" w:type="pct"/>
            <w:tcBorders>
              <w:top w:val="nil"/>
              <w:left w:val="nil"/>
              <w:right w:val="nil"/>
            </w:tcBorders>
            <w:shd w:val="clear" w:color="auto" w:fill="auto"/>
            <w:noWrap/>
            <w:vAlign w:val="center"/>
          </w:tcPr>
          <w:p w14:paraId="16368550" w14:textId="7B55760B" w:rsidR="00A86AAC" w:rsidRPr="00534707" w:rsidRDefault="00A86AAC" w:rsidP="00A86AAC">
            <w:pPr>
              <w:jc w:val="center"/>
              <w:rPr>
                <w:rFonts w:cs="Arial"/>
                <w:color w:val="FF0000"/>
                <w:sz w:val="20"/>
                <w:szCs w:val="18"/>
              </w:rPr>
            </w:pPr>
            <w:r w:rsidRPr="00534707">
              <w:rPr>
                <w:rFonts w:cs="Arial"/>
                <w:bCs/>
                <w:color w:val="000000"/>
                <w:sz w:val="20"/>
                <w:szCs w:val="18"/>
              </w:rPr>
              <w:t>4156,25</w:t>
            </w:r>
          </w:p>
        </w:tc>
      </w:tr>
      <w:tr w:rsidR="00A86AAC" w:rsidRPr="00534707" w14:paraId="198D7BD4" w14:textId="77777777" w:rsidTr="00FD386F">
        <w:trPr>
          <w:trHeight w:val="255"/>
          <w:tblHeader/>
        </w:trPr>
        <w:tc>
          <w:tcPr>
            <w:tcW w:w="1923" w:type="pct"/>
            <w:tcBorders>
              <w:top w:val="nil"/>
              <w:left w:val="nil"/>
              <w:bottom w:val="single" w:sz="4" w:space="0" w:color="auto"/>
              <w:right w:val="single" w:sz="4" w:space="0" w:color="auto"/>
            </w:tcBorders>
            <w:shd w:val="clear" w:color="auto" w:fill="auto"/>
            <w:noWrap/>
            <w:vAlign w:val="center"/>
          </w:tcPr>
          <w:p w14:paraId="0C80370C" w14:textId="125CA035" w:rsidR="00A86AAC" w:rsidRPr="00534707" w:rsidRDefault="00A86AAC" w:rsidP="00A86AAC">
            <w:pPr>
              <w:ind w:left="73"/>
              <w:jc w:val="left"/>
              <w:rPr>
                <w:rFonts w:cs="Arial"/>
                <w:color w:val="000000"/>
                <w:sz w:val="20"/>
                <w:szCs w:val="18"/>
              </w:rPr>
            </w:pPr>
            <w:r w:rsidRPr="00534707">
              <w:rPr>
                <w:rFonts w:cs="Arial"/>
                <w:bCs/>
                <w:color w:val="000000"/>
                <w:sz w:val="20"/>
                <w:szCs w:val="18"/>
              </w:rPr>
              <w:t>Resultados Acumulados</w:t>
            </w:r>
          </w:p>
        </w:tc>
        <w:tc>
          <w:tcPr>
            <w:tcW w:w="888" w:type="pct"/>
            <w:tcBorders>
              <w:top w:val="nil"/>
              <w:left w:val="nil"/>
              <w:bottom w:val="single" w:sz="4" w:space="0" w:color="auto"/>
              <w:right w:val="single" w:sz="4" w:space="0" w:color="auto"/>
            </w:tcBorders>
            <w:shd w:val="clear" w:color="auto" w:fill="auto"/>
            <w:noWrap/>
            <w:vAlign w:val="center"/>
          </w:tcPr>
          <w:p w14:paraId="2DCC6C4D" w14:textId="31C28A1C" w:rsidR="00A86AAC" w:rsidRPr="00534707" w:rsidRDefault="00A86AAC" w:rsidP="00A86AAC">
            <w:pPr>
              <w:jc w:val="right"/>
              <w:rPr>
                <w:rFonts w:cs="Arial"/>
                <w:color w:val="FF0000"/>
                <w:sz w:val="20"/>
                <w:szCs w:val="18"/>
              </w:rPr>
            </w:pPr>
            <w:r w:rsidRPr="00534707">
              <w:rPr>
                <w:rFonts w:cs="Arial"/>
                <w:bCs/>
                <w:color w:val="FF0000"/>
                <w:sz w:val="20"/>
                <w:szCs w:val="18"/>
              </w:rPr>
              <w:t>(49.707.027)</w:t>
            </w:r>
          </w:p>
        </w:tc>
        <w:tc>
          <w:tcPr>
            <w:tcW w:w="888" w:type="pct"/>
            <w:tcBorders>
              <w:top w:val="nil"/>
              <w:left w:val="nil"/>
              <w:bottom w:val="single" w:sz="4" w:space="0" w:color="auto"/>
              <w:right w:val="single" w:sz="4" w:space="0" w:color="auto"/>
            </w:tcBorders>
            <w:shd w:val="clear" w:color="auto" w:fill="auto"/>
            <w:noWrap/>
            <w:vAlign w:val="center"/>
          </w:tcPr>
          <w:p w14:paraId="16638E82" w14:textId="209B4FC5" w:rsidR="00A86AAC" w:rsidRPr="00534707" w:rsidRDefault="00A86AAC" w:rsidP="00A86AAC">
            <w:pPr>
              <w:jc w:val="right"/>
              <w:rPr>
                <w:rFonts w:cs="Arial"/>
                <w:color w:val="FF0000"/>
                <w:sz w:val="20"/>
                <w:szCs w:val="18"/>
              </w:rPr>
            </w:pPr>
            <w:r w:rsidRPr="00534707">
              <w:rPr>
                <w:rFonts w:cs="Arial"/>
                <w:bCs/>
                <w:color w:val="000000"/>
                <w:sz w:val="20"/>
                <w:szCs w:val="18"/>
              </w:rPr>
              <w:t>78.016.665</w:t>
            </w:r>
          </w:p>
        </w:tc>
        <w:tc>
          <w:tcPr>
            <w:tcW w:w="828" w:type="pct"/>
            <w:tcBorders>
              <w:top w:val="nil"/>
              <w:left w:val="nil"/>
              <w:bottom w:val="single" w:sz="4" w:space="0" w:color="auto"/>
              <w:right w:val="single" w:sz="4" w:space="0" w:color="auto"/>
            </w:tcBorders>
            <w:shd w:val="clear" w:color="auto" w:fill="auto"/>
            <w:noWrap/>
            <w:vAlign w:val="center"/>
          </w:tcPr>
          <w:p w14:paraId="045EBE1D" w14:textId="770D1AE4" w:rsidR="00A86AAC" w:rsidRPr="00534707" w:rsidRDefault="00A86AAC" w:rsidP="00A86AAC">
            <w:pPr>
              <w:jc w:val="right"/>
              <w:rPr>
                <w:rFonts w:cs="Arial"/>
                <w:color w:val="FF0000"/>
                <w:sz w:val="20"/>
                <w:szCs w:val="18"/>
              </w:rPr>
            </w:pPr>
            <w:r w:rsidRPr="00534707">
              <w:rPr>
                <w:rFonts w:cs="Arial"/>
                <w:bCs/>
                <w:color w:val="FF0000"/>
                <w:sz w:val="20"/>
                <w:szCs w:val="18"/>
              </w:rPr>
              <w:t>(127.723.692)</w:t>
            </w:r>
          </w:p>
        </w:tc>
        <w:tc>
          <w:tcPr>
            <w:tcW w:w="473" w:type="pct"/>
            <w:tcBorders>
              <w:top w:val="nil"/>
              <w:left w:val="nil"/>
              <w:bottom w:val="single" w:sz="4" w:space="0" w:color="auto"/>
              <w:right w:val="nil"/>
            </w:tcBorders>
            <w:shd w:val="clear" w:color="auto" w:fill="auto"/>
            <w:noWrap/>
            <w:vAlign w:val="center"/>
          </w:tcPr>
          <w:p w14:paraId="41B00A72" w14:textId="0614045F" w:rsidR="00A86AAC" w:rsidRPr="00534707" w:rsidRDefault="00A86AAC" w:rsidP="00A86AAC">
            <w:pPr>
              <w:jc w:val="center"/>
              <w:rPr>
                <w:rFonts w:cs="Arial"/>
                <w:color w:val="FF0000"/>
                <w:sz w:val="20"/>
                <w:szCs w:val="18"/>
              </w:rPr>
            </w:pPr>
            <w:r w:rsidRPr="00534707">
              <w:rPr>
                <w:rFonts w:cs="Arial"/>
                <w:bCs/>
                <w:color w:val="FF0000"/>
                <w:sz w:val="20"/>
                <w:szCs w:val="18"/>
              </w:rPr>
              <w:t>(163,71)</w:t>
            </w:r>
          </w:p>
        </w:tc>
      </w:tr>
      <w:tr w:rsidR="00A86AAC" w:rsidRPr="00534707" w14:paraId="72415B6A" w14:textId="77777777" w:rsidTr="00FD386F">
        <w:trPr>
          <w:trHeight w:val="255"/>
          <w:tblHeader/>
        </w:trPr>
        <w:tc>
          <w:tcPr>
            <w:tcW w:w="1923" w:type="pct"/>
            <w:tcBorders>
              <w:top w:val="single" w:sz="4" w:space="0" w:color="auto"/>
              <w:left w:val="nil"/>
              <w:bottom w:val="single" w:sz="4" w:space="0" w:color="auto"/>
              <w:right w:val="single" w:sz="4" w:space="0" w:color="auto"/>
            </w:tcBorders>
            <w:shd w:val="clear" w:color="auto" w:fill="auto"/>
            <w:noWrap/>
            <w:vAlign w:val="center"/>
          </w:tcPr>
          <w:p w14:paraId="63D42145" w14:textId="7DE3FE46" w:rsidR="00A86AAC" w:rsidRPr="00534707" w:rsidRDefault="00A86AAC" w:rsidP="00A86AAC">
            <w:pPr>
              <w:jc w:val="center"/>
              <w:rPr>
                <w:rFonts w:cs="Arial"/>
                <w:color w:val="000000"/>
                <w:sz w:val="20"/>
                <w:szCs w:val="18"/>
              </w:rPr>
            </w:pPr>
            <w:r w:rsidRPr="00534707">
              <w:rPr>
                <w:rFonts w:cs="Arial"/>
                <w:b/>
                <w:bCs/>
                <w:color w:val="000000"/>
                <w:sz w:val="20"/>
                <w:szCs w:val="18"/>
              </w:rPr>
              <w:t>Total</w:t>
            </w:r>
          </w:p>
        </w:tc>
        <w:tc>
          <w:tcPr>
            <w:tcW w:w="888" w:type="pct"/>
            <w:tcBorders>
              <w:top w:val="single" w:sz="4" w:space="0" w:color="auto"/>
              <w:left w:val="nil"/>
              <w:bottom w:val="single" w:sz="4" w:space="0" w:color="auto"/>
              <w:right w:val="single" w:sz="4" w:space="0" w:color="auto"/>
            </w:tcBorders>
            <w:shd w:val="clear" w:color="auto" w:fill="auto"/>
            <w:noWrap/>
            <w:vAlign w:val="center"/>
          </w:tcPr>
          <w:p w14:paraId="5C0D492E" w14:textId="1C790787" w:rsidR="00A86AAC" w:rsidRPr="00534707" w:rsidRDefault="00A86AAC" w:rsidP="00A86AAC">
            <w:pPr>
              <w:jc w:val="right"/>
              <w:rPr>
                <w:rFonts w:cs="Arial"/>
                <w:color w:val="FF0000"/>
                <w:sz w:val="20"/>
                <w:szCs w:val="18"/>
              </w:rPr>
            </w:pPr>
            <w:r w:rsidRPr="00534707">
              <w:rPr>
                <w:rFonts w:cs="Arial"/>
                <w:b/>
                <w:bCs/>
                <w:color w:val="FF0000"/>
                <w:sz w:val="20"/>
                <w:szCs w:val="18"/>
              </w:rPr>
              <w:t>(37.908.878)</w:t>
            </w:r>
          </w:p>
        </w:tc>
        <w:tc>
          <w:tcPr>
            <w:tcW w:w="888" w:type="pct"/>
            <w:tcBorders>
              <w:top w:val="single" w:sz="4" w:space="0" w:color="auto"/>
              <w:left w:val="nil"/>
              <w:bottom w:val="single" w:sz="4" w:space="0" w:color="auto"/>
              <w:right w:val="single" w:sz="4" w:space="0" w:color="auto"/>
            </w:tcBorders>
            <w:shd w:val="clear" w:color="auto" w:fill="auto"/>
            <w:noWrap/>
            <w:vAlign w:val="center"/>
          </w:tcPr>
          <w:p w14:paraId="04BD3FE2" w14:textId="4AF82E52" w:rsidR="00A86AAC" w:rsidRPr="00534707" w:rsidRDefault="00A86AAC" w:rsidP="00A86AAC">
            <w:pPr>
              <w:jc w:val="right"/>
              <w:rPr>
                <w:rFonts w:cs="Arial"/>
                <w:color w:val="FF0000"/>
                <w:sz w:val="20"/>
                <w:szCs w:val="18"/>
              </w:rPr>
            </w:pPr>
            <w:r w:rsidRPr="00534707">
              <w:rPr>
                <w:rFonts w:cs="Arial"/>
                <w:b/>
                <w:bCs/>
                <w:color w:val="000000"/>
                <w:sz w:val="20"/>
                <w:szCs w:val="18"/>
              </w:rPr>
              <w:t>78.957.032</w:t>
            </w:r>
          </w:p>
        </w:tc>
        <w:tc>
          <w:tcPr>
            <w:tcW w:w="828" w:type="pct"/>
            <w:tcBorders>
              <w:top w:val="single" w:sz="4" w:space="0" w:color="auto"/>
              <w:left w:val="nil"/>
              <w:bottom w:val="single" w:sz="4" w:space="0" w:color="auto"/>
              <w:right w:val="single" w:sz="4" w:space="0" w:color="auto"/>
            </w:tcBorders>
            <w:shd w:val="clear" w:color="auto" w:fill="auto"/>
            <w:noWrap/>
            <w:vAlign w:val="center"/>
          </w:tcPr>
          <w:p w14:paraId="6B48703B" w14:textId="168A2FD4" w:rsidR="00A86AAC" w:rsidRPr="00534707" w:rsidRDefault="00A86AAC" w:rsidP="00A86AAC">
            <w:pPr>
              <w:jc w:val="right"/>
              <w:rPr>
                <w:rFonts w:cs="Arial"/>
                <w:color w:val="FF0000"/>
                <w:sz w:val="20"/>
                <w:szCs w:val="18"/>
              </w:rPr>
            </w:pPr>
            <w:r w:rsidRPr="00534707">
              <w:rPr>
                <w:rFonts w:cs="Arial"/>
                <w:b/>
                <w:bCs/>
                <w:color w:val="FF0000"/>
                <w:sz w:val="20"/>
                <w:szCs w:val="18"/>
              </w:rPr>
              <w:t>(116.865.910)</w:t>
            </w:r>
          </w:p>
        </w:tc>
        <w:tc>
          <w:tcPr>
            <w:tcW w:w="473" w:type="pct"/>
            <w:tcBorders>
              <w:top w:val="single" w:sz="4" w:space="0" w:color="auto"/>
              <w:left w:val="nil"/>
              <w:bottom w:val="single" w:sz="4" w:space="0" w:color="auto"/>
              <w:right w:val="nil"/>
            </w:tcBorders>
            <w:shd w:val="clear" w:color="auto" w:fill="auto"/>
            <w:noWrap/>
            <w:vAlign w:val="center"/>
          </w:tcPr>
          <w:p w14:paraId="55066AF0" w14:textId="5D5A4628" w:rsidR="00A86AAC" w:rsidRPr="00534707" w:rsidRDefault="00A86AAC" w:rsidP="00A86AAC">
            <w:pPr>
              <w:jc w:val="center"/>
              <w:rPr>
                <w:rFonts w:cs="Arial"/>
                <w:color w:val="FF0000"/>
                <w:sz w:val="20"/>
                <w:szCs w:val="18"/>
              </w:rPr>
            </w:pPr>
            <w:r w:rsidRPr="00534707">
              <w:rPr>
                <w:rFonts w:cs="Arial"/>
                <w:b/>
                <w:bCs/>
                <w:color w:val="FF0000"/>
                <w:sz w:val="20"/>
                <w:szCs w:val="18"/>
              </w:rPr>
              <w:t>(148,01)</w:t>
            </w:r>
          </w:p>
        </w:tc>
      </w:tr>
    </w:tbl>
    <w:p w14:paraId="5B6E5AF8" w14:textId="6640C4FC" w:rsidR="00AF411F" w:rsidRDefault="00AF411F" w:rsidP="00AF411F">
      <w:pPr>
        <w:pStyle w:val="1-FONTE8ESQ"/>
      </w:pPr>
      <w:r w:rsidRPr="000F7BD9">
        <w:t>Fonte: Balanço Patrimonial - Anexo 14</w:t>
      </w:r>
      <w:r>
        <w:t xml:space="preserve"> (BGE 2023)</w:t>
      </w:r>
    </w:p>
    <w:p w14:paraId="5E880DB0" w14:textId="5DF3BB67" w:rsidR="006B0CD0" w:rsidRDefault="006B0CD0" w:rsidP="00940B40">
      <w:pPr>
        <w:pStyle w:val="0-EmR1"/>
      </w:pPr>
    </w:p>
    <w:p w14:paraId="058853CC" w14:textId="77777777" w:rsidR="00EB7FD1" w:rsidRDefault="00EB7FD1" w:rsidP="00EB7FD1">
      <w:pPr>
        <w:pStyle w:val="1-REL11"/>
        <w:rPr>
          <w:highlight w:val="yellow"/>
        </w:rPr>
      </w:pPr>
      <w:bookmarkStart w:id="507" w:name="_Toc129942512"/>
      <w:r w:rsidRPr="0016674E">
        <w:t xml:space="preserve">Em relação a 2022, o Patrimônio Líquido </w:t>
      </w:r>
      <w:r>
        <w:t xml:space="preserve">do estado de Goiás </w:t>
      </w:r>
      <w:r w:rsidRPr="0016674E">
        <w:t>apresentou</w:t>
      </w:r>
      <w:r>
        <w:t xml:space="preserve"> uma</w:t>
      </w:r>
      <w:r w:rsidRPr="0016674E">
        <w:t xml:space="preserve"> importante redução</w:t>
      </w:r>
      <w:r>
        <w:t xml:space="preserve"> de </w:t>
      </w:r>
      <w:r w:rsidRPr="006609DA">
        <w:t>R$ 116,86 bilhões</w:t>
      </w:r>
      <w:r>
        <w:t>,</w:t>
      </w:r>
      <w:r w:rsidRPr="006609DA">
        <w:t xml:space="preserve"> </w:t>
      </w:r>
      <w:r w:rsidRPr="00A26381">
        <w:t>148,01%</w:t>
      </w:r>
      <w:r>
        <w:t xml:space="preserve">, </w:t>
      </w:r>
      <w:r w:rsidRPr="0016674E">
        <w:t>tornando</w:t>
      </w:r>
      <w:r>
        <w:t>-se</w:t>
      </w:r>
      <w:r w:rsidRPr="0016674E">
        <w:t xml:space="preserve"> negativo</w:t>
      </w:r>
      <w:r>
        <w:t xml:space="preserve"> (Passivo a Descoberto</w:t>
      </w:r>
      <w:r w:rsidRPr="0016674E">
        <w:t>) em R$</w:t>
      </w:r>
      <w:r>
        <w:t> </w:t>
      </w:r>
      <w:r w:rsidRPr="0016674E">
        <w:t>37,91</w:t>
      </w:r>
      <w:r>
        <w:t> </w:t>
      </w:r>
      <w:r w:rsidRPr="00E833DC">
        <w:t>bilhões.</w:t>
      </w:r>
      <w:r>
        <w:t xml:space="preserve"> Os subgrupos de contas que mais impactaram a situação líquida no período foram os seguintes: Reservas de Lucros, Demais Reservas, Resultados Acumulados.</w:t>
      </w:r>
    </w:p>
    <w:p w14:paraId="5A037161" w14:textId="77777777" w:rsidR="00EB7FD1" w:rsidRDefault="00EB7FD1" w:rsidP="00EB7FD1">
      <w:pPr>
        <w:pStyle w:val="1-REL11"/>
      </w:pPr>
      <w:r w:rsidRPr="00EE6359">
        <w:t xml:space="preserve">O </w:t>
      </w:r>
      <w:r>
        <w:t>subgrupo Reservas de Lucros</w:t>
      </w:r>
      <w:r w:rsidRPr="00EE6359">
        <w:t xml:space="preserve"> </w:t>
      </w:r>
      <w:r>
        <w:t>c</w:t>
      </w:r>
      <w:r w:rsidRPr="006609DA">
        <w:t>ompreende as reservas constituídas com parcelas do lucro líquido das entidades para finalidades especificas.</w:t>
      </w:r>
      <w:r>
        <w:t xml:space="preserve"> Esse conjunto contas apresentou um aumento significativo de </w:t>
      </w:r>
      <w:r w:rsidRPr="00290B67">
        <w:t xml:space="preserve">1465,08% </w:t>
      </w:r>
      <w:r>
        <w:t xml:space="preserve">em 2023, quando comparado em </w:t>
      </w:r>
      <w:r w:rsidRPr="00290B67">
        <w:t>202</w:t>
      </w:r>
      <w:r>
        <w:t>2, totalizando R$ 212,41 milhões</w:t>
      </w:r>
      <w:r w:rsidRPr="00290B67">
        <w:t>.</w:t>
      </w:r>
      <w:r>
        <w:t xml:space="preserve"> O registro responsável por esse acréscimo foi a constituição de Reserva de Lucros para Expansão do tipo Subvenção para Investimento no valor de R$ 198.83 milhões na UO 4094 – Agência Goiânia de Habitação S/A, quando da consolidação, conforme </w:t>
      </w:r>
      <w:r w:rsidRPr="00F10ED4">
        <w:t>CPC 07</w:t>
      </w:r>
      <w:r w:rsidRPr="007E2D4B">
        <w:rPr>
          <w:color w:val="FF0000"/>
        </w:rPr>
        <w:t xml:space="preserve"> </w:t>
      </w:r>
      <w:r>
        <w:t>e art. 30 da Lei n</w:t>
      </w:r>
      <w:r>
        <w:rPr>
          <w:rFonts w:cs="Arial"/>
        </w:rPr>
        <w:t>º</w:t>
      </w:r>
      <w:r>
        <w:t xml:space="preserve"> 12.973, de 13 de maio de 2014. Ressalta-se que a </w:t>
      </w:r>
      <w:r w:rsidRPr="00346701">
        <w:t xml:space="preserve">Subvenção para Investimento </w:t>
      </w:r>
      <w:r>
        <w:t>foi instituída com base no termo de compromisso para execução do programa Protege Aluguel Social.</w:t>
      </w:r>
    </w:p>
    <w:p w14:paraId="51217FE3" w14:textId="77777777" w:rsidR="00EB7FD1" w:rsidRDefault="00EB7FD1" w:rsidP="00EB7FD1">
      <w:pPr>
        <w:pStyle w:val="1-REL11"/>
      </w:pPr>
      <w:r>
        <w:t xml:space="preserve">Em 2023, as Demais Reservas evidenciaram </w:t>
      </w:r>
      <w:r w:rsidRPr="007E2D4B">
        <w:t>um aumento substancial de 4156,25%</w:t>
      </w:r>
      <w:r>
        <w:t>, em comparação ao ano anterior, o que corresponde a um acréscimo</w:t>
      </w:r>
      <w:r w:rsidRPr="007E2D4B">
        <w:t xml:space="preserve"> de R$</w:t>
      </w:r>
      <w:r>
        <w:t> 10,66 bilhões, totalizando R$ 10,91 bilhões no período analisado</w:t>
      </w:r>
      <w:r w:rsidRPr="007E2D4B">
        <w:t>.</w:t>
      </w:r>
      <w:r w:rsidRPr="00F526FF">
        <w:t xml:space="preserve"> </w:t>
      </w:r>
      <w:r>
        <w:t>Este subgrupo é composto pelas</w:t>
      </w:r>
      <w:r w:rsidRPr="00F526FF">
        <w:t xml:space="preserve"> reservas não classificadas como reservas de capital ou de lucro, inclusive aquelas que terão seus saldos realizados por terem sido extintas pela legislação.</w:t>
      </w:r>
      <w:r>
        <w:t xml:space="preserve"> </w:t>
      </w:r>
      <w:r w:rsidRPr="00F64D79">
        <w:t>O aumento desse subgrupo foi determinado pela Reserva de Reavaliação</w:t>
      </w:r>
      <w:r>
        <w:t>.</w:t>
      </w:r>
    </w:p>
    <w:p w14:paraId="0D3405A7" w14:textId="77777777" w:rsidR="00EB7FD1" w:rsidRDefault="00EB7FD1" w:rsidP="00EB7FD1">
      <w:pPr>
        <w:pStyle w:val="1-REL11"/>
      </w:pPr>
      <w:r>
        <w:t>A Reserva de Reavaliação compreende</w:t>
      </w:r>
      <w:r w:rsidRPr="00F64D79">
        <w:t xml:space="preserve"> a contrapartida dos </w:t>
      </w:r>
      <w:r>
        <w:t>acréscimos</w:t>
      </w:r>
      <w:r w:rsidRPr="00F64D79">
        <w:t xml:space="preserve"> de valor atribuídos a elementos do ativo. Esses aumentos são calculados pela diferença entre o valor do laudo e o valor anterior (custo original mais eventuais reavaliações anteriores), nos casos permitidos pela legislação vigente</w:t>
      </w:r>
      <w:r>
        <w:t xml:space="preserve">. </w:t>
      </w:r>
    </w:p>
    <w:p w14:paraId="0B4D56E9" w14:textId="1293858C" w:rsidR="00EB7FD1" w:rsidRDefault="00EB7FD1" w:rsidP="00EB7FD1">
      <w:pPr>
        <w:pStyle w:val="1-REL11"/>
      </w:pPr>
      <w:r>
        <w:lastRenderedPageBreak/>
        <w:t>No ano de 2023, o e</w:t>
      </w:r>
      <w:r w:rsidRPr="00F64D79">
        <w:t xml:space="preserve">stado de Goiás realizou inventário patrimonial para cumprir os termos do Decreto </w:t>
      </w:r>
      <w:r>
        <w:t xml:space="preserve">Estadual </w:t>
      </w:r>
      <w:r w:rsidRPr="00F64D79">
        <w:t>nº 9.063</w:t>
      </w:r>
      <w:r>
        <w:t xml:space="preserve">, de 04 de outubro de </w:t>
      </w:r>
      <w:r w:rsidRPr="00F64D79">
        <w:t>2017</w:t>
      </w:r>
      <w:r>
        <w:t>, que</w:t>
      </w:r>
      <w:r w:rsidRPr="00F64D79">
        <w:t xml:space="preserve"> regulamenta a realização de inventário dos bens imóveis que fazem parte do patrimônio público no âmbito da Administração direta, autárquica, fundacional e dos fundos especiais do Poder Executivo.</w:t>
      </w:r>
      <w:r>
        <w:t xml:space="preserve"> A reavaliação dos bens imóveis refletiu em um incremento de R$ 10,66 bilhões nas contas reservas de reavaliação </w:t>
      </w:r>
      <w:r w:rsidRPr="00BC67C2">
        <w:t>de bens imóveis, isso representa um acréscimo de 4270,01% no valor da reserva</w:t>
      </w:r>
      <w:r w:rsidRPr="008F665A">
        <w:t xml:space="preserve">. </w:t>
      </w:r>
      <w:bookmarkStart w:id="508" w:name="_Hlk167701107"/>
      <w:r w:rsidRPr="008F665A">
        <w:t>O assunto foi abordado no tópico</w:t>
      </w:r>
      <w:r>
        <w:t xml:space="preserve"> </w:t>
      </w:r>
      <w:r>
        <w:fldChar w:fldCharType="begin"/>
      </w:r>
      <w:r>
        <w:instrText xml:space="preserve"> REF _Ref167700991 \w \h </w:instrText>
      </w:r>
      <w:r>
        <w:fldChar w:fldCharType="separate"/>
      </w:r>
      <w:r w:rsidR="00534707">
        <w:t xml:space="preserve">6.1.1.7 </w:t>
      </w:r>
      <w:r>
        <w:fldChar w:fldCharType="end"/>
      </w:r>
      <w:r>
        <w:t xml:space="preserve">– </w:t>
      </w:r>
      <w:r>
        <w:fldChar w:fldCharType="begin"/>
      </w:r>
      <w:r>
        <w:instrText xml:space="preserve"> REF _Ref167700991 \h </w:instrText>
      </w:r>
      <w:r>
        <w:fldChar w:fldCharType="separate"/>
      </w:r>
      <w:r w:rsidR="00534707" w:rsidRPr="00BA41CF">
        <w:rPr>
          <w:lang w:eastAsia="en-US"/>
        </w:rPr>
        <w:t>Imobilizado</w:t>
      </w:r>
      <w:r>
        <w:fldChar w:fldCharType="end"/>
      </w:r>
    </w:p>
    <w:bookmarkEnd w:id="508"/>
    <w:p w14:paraId="13C626C7" w14:textId="7E41928F" w:rsidR="00EB7FD1" w:rsidRDefault="00EB7FD1" w:rsidP="00EB7FD1">
      <w:pPr>
        <w:rPr>
          <w:rFonts w:eastAsia="Calibri"/>
        </w:rPr>
      </w:pPr>
      <w:r w:rsidRPr="008E161C">
        <w:rPr>
          <w:rFonts w:eastAsia="Calibri"/>
        </w:rPr>
        <w:t>Os Resultados Acumulados são compostos pelo saldo remanescente dos lucros ou prejuízos líquidos das empresas e os superávits ou déficits acumulados da administração direta, autarquias, fundações e fundos. Em 2023, as contas do compuseram este subgrupo foram as seguintes:</w:t>
      </w:r>
    </w:p>
    <w:p w14:paraId="33DCE994" w14:textId="747B0935" w:rsidR="003C6FD7" w:rsidRPr="002951A8" w:rsidRDefault="003C6FD7" w:rsidP="00ED3571">
      <w:pPr>
        <w:pStyle w:val="0-TABELA"/>
      </w:pPr>
      <w:bookmarkStart w:id="509" w:name="_Toc167871834"/>
      <w:r w:rsidRPr="002951A8">
        <w:t>Patrimônio Líquido</w:t>
      </w:r>
      <w:r w:rsidR="003001DB">
        <w:t xml:space="preserve"> </w:t>
      </w:r>
      <w:r w:rsidR="003001DB" w:rsidRPr="00D67E49">
        <w:t>– 2023 x 2022</w:t>
      </w:r>
      <w:bookmarkEnd w:id="509"/>
    </w:p>
    <w:p w14:paraId="3CF9AE07" w14:textId="77777777" w:rsidR="003C6FD7" w:rsidRPr="000F7BD9" w:rsidRDefault="003C6FD7" w:rsidP="003C6FD7">
      <w:pPr>
        <w:pStyle w:val="0-EmR1"/>
      </w:pPr>
      <w:r w:rsidRPr="00C3784F">
        <w:t>R$ mil</w:t>
      </w:r>
    </w:p>
    <w:tbl>
      <w:tblPr>
        <w:tblW w:w="5000" w:type="pct"/>
        <w:tblCellMar>
          <w:left w:w="70" w:type="dxa"/>
          <w:right w:w="70" w:type="dxa"/>
        </w:tblCellMar>
        <w:tblLook w:val="04A0" w:firstRow="1" w:lastRow="0" w:firstColumn="1" w:lastColumn="0" w:noHBand="0" w:noVBand="1"/>
      </w:tblPr>
      <w:tblGrid>
        <w:gridCol w:w="4155"/>
        <w:gridCol w:w="1481"/>
        <w:gridCol w:w="1482"/>
        <w:gridCol w:w="1261"/>
        <w:gridCol w:w="974"/>
      </w:tblGrid>
      <w:tr w:rsidR="003C6FD7" w:rsidRPr="00FD386F" w14:paraId="37338BB9" w14:textId="77777777" w:rsidTr="00491DF1">
        <w:trPr>
          <w:trHeight w:val="300"/>
          <w:tblHeader/>
        </w:trPr>
        <w:tc>
          <w:tcPr>
            <w:tcW w:w="2221" w:type="pct"/>
            <w:vMerge w:val="restart"/>
            <w:tcBorders>
              <w:top w:val="single" w:sz="4" w:space="0" w:color="auto"/>
              <w:left w:val="nil"/>
              <w:right w:val="single" w:sz="4" w:space="0" w:color="auto"/>
            </w:tcBorders>
            <w:shd w:val="clear" w:color="000000" w:fill="A1F2FD"/>
            <w:noWrap/>
            <w:vAlign w:val="center"/>
            <w:hideMark/>
          </w:tcPr>
          <w:p w14:paraId="51962586" w14:textId="77777777" w:rsidR="003C6FD7" w:rsidRPr="00FD386F" w:rsidRDefault="003C6FD7" w:rsidP="0093325D">
            <w:pPr>
              <w:jc w:val="center"/>
              <w:rPr>
                <w:rFonts w:cs="Arial"/>
                <w:b/>
                <w:bCs/>
                <w:color w:val="000000"/>
                <w:sz w:val="18"/>
                <w:szCs w:val="18"/>
              </w:rPr>
            </w:pPr>
            <w:r w:rsidRPr="00FD386F">
              <w:rPr>
                <w:rFonts w:cs="Arial"/>
                <w:b/>
                <w:bCs/>
                <w:color w:val="000000"/>
                <w:sz w:val="18"/>
                <w:szCs w:val="18"/>
              </w:rPr>
              <w:t>Composição</w:t>
            </w:r>
          </w:p>
        </w:tc>
        <w:tc>
          <w:tcPr>
            <w:tcW w:w="801" w:type="pct"/>
            <w:vMerge w:val="restart"/>
            <w:tcBorders>
              <w:top w:val="single" w:sz="4" w:space="0" w:color="auto"/>
              <w:left w:val="single" w:sz="4" w:space="0" w:color="auto"/>
              <w:bottom w:val="single" w:sz="4" w:space="0" w:color="000000"/>
              <w:right w:val="single" w:sz="4" w:space="0" w:color="auto"/>
            </w:tcBorders>
            <w:shd w:val="clear" w:color="000000" w:fill="A1F2FD"/>
            <w:noWrap/>
            <w:vAlign w:val="center"/>
            <w:hideMark/>
          </w:tcPr>
          <w:p w14:paraId="082A5D80" w14:textId="77777777" w:rsidR="003C6FD7" w:rsidRPr="00FD386F" w:rsidRDefault="003C6FD7" w:rsidP="0093325D">
            <w:pPr>
              <w:jc w:val="center"/>
              <w:rPr>
                <w:rFonts w:cs="Arial"/>
                <w:b/>
                <w:bCs/>
                <w:color w:val="000000"/>
                <w:sz w:val="18"/>
                <w:szCs w:val="18"/>
              </w:rPr>
            </w:pPr>
            <w:r w:rsidRPr="00FD386F">
              <w:rPr>
                <w:rFonts w:cs="Arial"/>
                <w:b/>
                <w:bCs/>
                <w:color w:val="000000"/>
                <w:sz w:val="18"/>
                <w:szCs w:val="18"/>
              </w:rPr>
              <w:t>2023</w:t>
            </w:r>
          </w:p>
        </w:tc>
        <w:tc>
          <w:tcPr>
            <w:tcW w:w="801" w:type="pct"/>
            <w:vMerge w:val="restart"/>
            <w:tcBorders>
              <w:top w:val="single" w:sz="4" w:space="0" w:color="auto"/>
              <w:left w:val="single" w:sz="4" w:space="0" w:color="auto"/>
              <w:bottom w:val="single" w:sz="4" w:space="0" w:color="000000"/>
              <w:right w:val="single" w:sz="4" w:space="0" w:color="auto"/>
            </w:tcBorders>
            <w:shd w:val="clear" w:color="000000" w:fill="A1F2FD"/>
            <w:noWrap/>
            <w:vAlign w:val="center"/>
            <w:hideMark/>
          </w:tcPr>
          <w:p w14:paraId="5C51A67B" w14:textId="77777777" w:rsidR="003C6FD7" w:rsidRPr="00FD386F" w:rsidRDefault="003C6FD7" w:rsidP="0093325D">
            <w:pPr>
              <w:jc w:val="center"/>
              <w:rPr>
                <w:rFonts w:cs="Arial"/>
                <w:b/>
                <w:bCs/>
                <w:color w:val="000000"/>
                <w:sz w:val="18"/>
                <w:szCs w:val="18"/>
              </w:rPr>
            </w:pPr>
            <w:r w:rsidRPr="00FD386F">
              <w:rPr>
                <w:rFonts w:cs="Arial"/>
                <w:b/>
                <w:bCs/>
                <w:color w:val="000000"/>
                <w:sz w:val="18"/>
                <w:szCs w:val="18"/>
              </w:rPr>
              <w:t>2022</w:t>
            </w:r>
          </w:p>
        </w:tc>
        <w:tc>
          <w:tcPr>
            <w:tcW w:w="1177" w:type="pct"/>
            <w:gridSpan w:val="2"/>
            <w:tcBorders>
              <w:top w:val="single" w:sz="4" w:space="0" w:color="auto"/>
              <w:left w:val="nil"/>
              <w:bottom w:val="single" w:sz="4" w:space="0" w:color="auto"/>
              <w:right w:val="nil"/>
            </w:tcBorders>
            <w:shd w:val="clear" w:color="000000" w:fill="A1F2FD"/>
            <w:noWrap/>
            <w:vAlign w:val="center"/>
            <w:hideMark/>
          </w:tcPr>
          <w:p w14:paraId="436C9240" w14:textId="77777777" w:rsidR="003C6FD7" w:rsidRPr="00FD386F" w:rsidRDefault="003C6FD7" w:rsidP="0093325D">
            <w:pPr>
              <w:jc w:val="center"/>
              <w:rPr>
                <w:rFonts w:cs="Arial"/>
                <w:b/>
                <w:bCs/>
                <w:color w:val="000000"/>
                <w:sz w:val="18"/>
                <w:szCs w:val="18"/>
              </w:rPr>
            </w:pPr>
            <w:r w:rsidRPr="00FD386F">
              <w:rPr>
                <w:rFonts w:cs="Arial"/>
                <w:b/>
                <w:bCs/>
                <w:color w:val="000000"/>
                <w:sz w:val="18"/>
                <w:szCs w:val="18"/>
              </w:rPr>
              <w:t>∆ 2023 x 2022</w:t>
            </w:r>
          </w:p>
        </w:tc>
      </w:tr>
      <w:tr w:rsidR="003C6FD7" w:rsidRPr="00FD386F" w14:paraId="66CE5FC7" w14:textId="77777777" w:rsidTr="008022D1">
        <w:trPr>
          <w:trHeight w:val="255"/>
          <w:tblHeader/>
        </w:trPr>
        <w:tc>
          <w:tcPr>
            <w:tcW w:w="2221" w:type="pct"/>
            <w:vMerge/>
            <w:tcBorders>
              <w:left w:val="nil"/>
              <w:right w:val="single" w:sz="4" w:space="0" w:color="auto"/>
            </w:tcBorders>
            <w:vAlign w:val="center"/>
            <w:hideMark/>
          </w:tcPr>
          <w:p w14:paraId="4F841651" w14:textId="77777777" w:rsidR="003C6FD7" w:rsidRPr="00FD386F" w:rsidRDefault="003C6FD7" w:rsidP="0093325D">
            <w:pPr>
              <w:jc w:val="left"/>
              <w:rPr>
                <w:rFonts w:cs="Arial"/>
                <w:b/>
                <w:bCs/>
                <w:color w:val="000000"/>
                <w:sz w:val="18"/>
                <w:szCs w:val="18"/>
              </w:rPr>
            </w:pPr>
          </w:p>
        </w:tc>
        <w:tc>
          <w:tcPr>
            <w:tcW w:w="801" w:type="pct"/>
            <w:vMerge/>
            <w:tcBorders>
              <w:top w:val="single" w:sz="4" w:space="0" w:color="auto"/>
              <w:left w:val="single" w:sz="4" w:space="0" w:color="auto"/>
              <w:right w:val="single" w:sz="4" w:space="0" w:color="auto"/>
            </w:tcBorders>
            <w:vAlign w:val="center"/>
            <w:hideMark/>
          </w:tcPr>
          <w:p w14:paraId="195900AA" w14:textId="77777777" w:rsidR="003C6FD7" w:rsidRPr="00FD386F" w:rsidRDefault="003C6FD7" w:rsidP="0093325D">
            <w:pPr>
              <w:jc w:val="left"/>
              <w:rPr>
                <w:rFonts w:cs="Arial"/>
                <w:b/>
                <w:bCs/>
                <w:color w:val="000000"/>
                <w:sz w:val="18"/>
                <w:szCs w:val="18"/>
              </w:rPr>
            </w:pPr>
          </w:p>
        </w:tc>
        <w:tc>
          <w:tcPr>
            <w:tcW w:w="801" w:type="pct"/>
            <w:vMerge/>
            <w:tcBorders>
              <w:top w:val="single" w:sz="4" w:space="0" w:color="auto"/>
              <w:left w:val="single" w:sz="4" w:space="0" w:color="auto"/>
              <w:right w:val="single" w:sz="4" w:space="0" w:color="auto"/>
            </w:tcBorders>
            <w:vAlign w:val="center"/>
            <w:hideMark/>
          </w:tcPr>
          <w:p w14:paraId="067B2811" w14:textId="77777777" w:rsidR="003C6FD7" w:rsidRPr="00FD386F" w:rsidRDefault="003C6FD7" w:rsidP="0093325D">
            <w:pPr>
              <w:jc w:val="left"/>
              <w:rPr>
                <w:rFonts w:cs="Arial"/>
                <w:b/>
                <w:bCs/>
                <w:color w:val="000000"/>
                <w:sz w:val="18"/>
                <w:szCs w:val="18"/>
              </w:rPr>
            </w:pPr>
          </w:p>
        </w:tc>
        <w:tc>
          <w:tcPr>
            <w:tcW w:w="648" w:type="pct"/>
            <w:tcBorders>
              <w:top w:val="nil"/>
              <w:left w:val="nil"/>
              <w:right w:val="single" w:sz="4" w:space="0" w:color="auto"/>
            </w:tcBorders>
            <w:shd w:val="clear" w:color="000000" w:fill="A1F2FD"/>
            <w:noWrap/>
            <w:vAlign w:val="center"/>
            <w:hideMark/>
          </w:tcPr>
          <w:p w14:paraId="3DBCD165" w14:textId="77777777" w:rsidR="003C6FD7" w:rsidRPr="00FD386F" w:rsidRDefault="003C6FD7" w:rsidP="0093325D">
            <w:pPr>
              <w:jc w:val="center"/>
              <w:rPr>
                <w:rFonts w:cs="Arial"/>
                <w:b/>
                <w:bCs/>
                <w:color w:val="000000"/>
                <w:sz w:val="18"/>
                <w:szCs w:val="18"/>
              </w:rPr>
            </w:pPr>
            <w:r w:rsidRPr="00FD386F">
              <w:rPr>
                <w:rFonts w:cs="Arial"/>
                <w:b/>
                <w:bCs/>
                <w:color w:val="000000"/>
                <w:sz w:val="18"/>
                <w:szCs w:val="18"/>
              </w:rPr>
              <w:t>R$</w:t>
            </w:r>
          </w:p>
        </w:tc>
        <w:tc>
          <w:tcPr>
            <w:tcW w:w="529" w:type="pct"/>
            <w:tcBorders>
              <w:top w:val="nil"/>
              <w:left w:val="nil"/>
              <w:right w:val="nil"/>
            </w:tcBorders>
            <w:shd w:val="clear" w:color="000000" w:fill="A1F2FD"/>
            <w:vAlign w:val="center"/>
            <w:hideMark/>
          </w:tcPr>
          <w:p w14:paraId="0FB9D288" w14:textId="77777777" w:rsidR="003C6FD7" w:rsidRPr="00FD386F" w:rsidRDefault="003C6FD7" w:rsidP="0093325D">
            <w:pPr>
              <w:jc w:val="center"/>
              <w:rPr>
                <w:rFonts w:cs="Arial"/>
                <w:b/>
                <w:bCs/>
                <w:color w:val="000000"/>
                <w:sz w:val="18"/>
                <w:szCs w:val="18"/>
              </w:rPr>
            </w:pPr>
            <w:r w:rsidRPr="00FD386F">
              <w:rPr>
                <w:rFonts w:cs="Arial"/>
                <w:b/>
                <w:bCs/>
                <w:color w:val="000000"/>
                <w:sz w:val="18"/>
                <w:szCs w:val="18"/>
              </w:rPr>
              <w:t>%</w:t>
            </w:r>
          </w:p>
        </w:tc>
      </w:tr>
      <w:tr w:rsidR="008022D1" w:rsidRPr="00FD386F" w14:paraId="0B74EE2C" w14:textId="77777777" w:rsidTr="008022D1">
        <w:trPr>
          <w:trHeight w:val="255"/>
          <w:tblHeader/>
        </w:trPr>
        <w:tc>
          <w:tcPr>
            <w:tcW w:w="2221" w:type="pct"/>
            <w:vMerge/>
            <w:tcBorders>
              <w:left w:val="nil"/>
              <w:bottom w:val="single" w:sz="4" w:space="0" w:color="000000"/>
              <w:right w:val="single" w:sz="4" w:space="0" w:color="auto"/>
            </w:tcBorders>
            <w:shd w:val="clear" w:color="auto" w:fill="A1F2FD"/>
            <w:vAlign w:val="center"/>
          </w:tcPr>
          <w:p w14:paraId="163D5439" w14:textId="77777777" w:rsidR="008022D1" w:rsidRPr="00FD386F" w:rsidRDefault="008022D1" w:rsidP="008022D1">
            <w:pPr>
              <w:jc w:val="left"/>
              <w:rPr>
                <w:rFonts w:cs="Arial"/>
                <w:b/>
                <w:bCs/>
                <w:color w:val="000000"/>
                <w:sz w:val="18"/>
                <w:szCs w:val="18"/>
              </w:rPr>
            </w:pPr>
          </w:p>
        </w:tc>
        <w:tc>
          <w:tcPr>
            <w:tcW w:w="801" w:type="pct"/>
            <w:tcBorders>
              <w:left w:val="single" w:sz="4" w:space="0" w:color="auto"/>
              <w:bottom w:val="single" w:sz="4" w:space="0" w:color="000000"/>
              <w:right w:val="single" w:sz="4" w:space="0" w:color="auto"/>
            </w:tcBorders>
            <w:shd w:val="clear" w:color="auto" w:fill="A1F2FD"/>
            <w:vAlign w:val="center"/>
          </w:tcPr>
          <w:p w14:paraId="49D4DD02" w14:textId="77777777" w:rsidR="008022D1" w:rsidRPr="00FD386F" w:rsidRDefault="008022D1" w:rsidP="008022D1">
            <w:pPr>
              <w:jc w:val="center"/>
              <w:rPr>
                <w:rFonts w:cs="Arial"/>
                <w:b/>
                <w:bCs/>
                <w:color w:val="000000"/>
                <w:sz w:val="18"/>
                <w:szCs w:val="18"/>
              </w:rPr>
            </w:pPr>
            <w:r w:rsidRPr="00FD386F">
              <w:rPr>
                <w:rFonts w:cs="Arial"/>
                <w:b/>
                <w:bCs/>
                <w:color w:val="000000"/>
                <w:sz w:val="18"/>
                <w:szCs w:val="18"/>
              </w:rPr>
              <w:t>(a)</w:t>
            </w:r>
          </w:p>
        </w:tc>
        <w:tc>
          <w:tcPr>
            <w:tcW w:w="801" w:type="pct"/>
            <w:tcBorders>
              <w:left w:val="single" w:sz="4" w:space="0" w:color="auto"/>
              <w:bottom w:val="single" w:sz="4" w:space="0" w:color="000000"/>
              <w:right w:val="single" w:sz="4" w:space="0" w:color="auto"/>
            </w:tcBorders>
            <w:shd w:val="clear" w:color="auto" w:fill="A1F2FD"/>
            <w:vAlign w:val="center"/>
          </w:tcPr>
          <w:p w14:paraId="062F6874" w14:textId="77777777" w:rsidR="008022D1" w:rsidRPr="00FD386F" w:rsidRDefault="008022D1" w:rsidP="008022D1">
            <w:pPr>
              <w:jc w:val="center"/>
              <w:rPr>
                <w:rFonts w:cs="Arial"/>
                <w:b/>
                <w:bCs/>
                <w:color w:val="000000"/>
                <w:sz w:val="18"/>
                <w:szCs w:val="18"/>
              </w:rPr>
            </w:pPr>
            <w:r w:rsidRPr="00FD386F">
              <w:rPr>
                <w:rFonts w:cs="Arial"/>
                <w:b/>
                <w:bCs/>
                <w:color w:val="000000"/>
                <w:sz w:val="18"/>
                <w:szCs w:val="18"/>
              </w:rPr>
              <w:t>(b)</w:t>
            </w:r>
          </w:p>
        </w:tc>
        <w:tc>
          <w:tcPr>
            <w:tcW w:w="648" w:type="pct"/>
            <w:tcBorders>
              <w:left w:val="nil"/>
              <w:bottom w:val="single" w:sz="4" w:space="0" w:color="auto"/>
              <w:right w:val="single" w:sz="4" w:space="0" w:color="auto"/>
            </w:tcBorders>
            <w:shd w:val="clear" w:color="auto" w:fill="A1F2FD"/>
            <w:noWrap/>
          </w:tcPr>
          <w:p w14:paraId="63C6CBA2" w14:textId="7BEAA339" w:rsidR="008022D1" w:rsidRPr="008022D1" w:rsidRDefault="008022D1" w:rsidP="008022D1">
            <w:pPr>
              <w:jc w:val="center"/>
              <w:rPr>
                <w:rFonts w:cs="Arial"/>
                <w:b/>
                <w:bCs/>
                <w:color w:val="000000"/>
                <w:sz w:val="18"/>
                <w:szCs w:val="20"/>
              </w:rPr>
            </w:pPr>
            <w:r w:rsidRPr="008022D1">
              <w:rPr>
                <w:b/>
                <w:sz w:val="18"/>
                <w:szCs w:val="20"/>
              </w:rPr>
              <w:t>(c) = (a-b)</w:t>
            </w:r>
          </w:p>
        </w:tc>
        <w:tc>
          <w:tcPr>
            <w:tcW w:w="529" w:type="pct"/>
            <w:tcBorders>
              <w:left w:val="nil"/>
              <w:bottom w:val="single" w:sz="4" w:space="0" w:color="auto"/>
              <w:right w:val="nil"/>
            </w:tcBorders>
            <w:shd w:val="clear" w:color="auto" w:fill="A1F2FD"/>
          </w:tcPr>
          <w:p w14:paraId="5C7EE71B" w14:textId="09DB7C0A" w:rsidR="008022D1" w:rsidRPr="008022D1" w:rsidRDefault="008022D1" w:rsidP="008022D1">
            <w:pPr>
              <w:ind w:left="-101" w:right="-71"/>
              <w:jc w:val="center"/>
              <w:rPr>
                <w:rFonts w:cs="Arial"/>
                <w:b/>
                <w:bCs/>
                <w:color w:val="000000"/>
                <w:sz w:val="18"/>
                <w:szCs w:val="20"/>
              </w:rPr>
            </w:pPr>
            <w:r w:rsidRPr="008022D1">
              <w:rPr>
                <w:b/>
                <w:sz w:val="18"/>
                <w:szCs w:val="20"/>
              </w:rPr>
              <w:t xml:space="preserve">(d) = </w:t>
            </w:r>
            <w:r>
              <w:rPr>
                <w:b/>
                <w:sz w:val="18"/>
                <w:szCs w:val="20"/>
              </w:rPr>
              <w:t>(</w:t>
            </w:r>
            <w:r w:rsidRPr="008022D1">
              <w:rPr>
                <w:b/>
                <w:sz w:val="18"/>
                <w:szCs w:val="20"/>
              </w:rPr>
              <w:t>c/b)</w:t>
            </w:r>
          </w:p>
        </w:tc>
      </w:tr>
      <w:tr w:rsidR="00491DF1" w:rsidRPr="00FD386F" w14:paraId="4FF00550" w14:textId="77777777" w:rsidTr="008022D1">
        <w:trPr>
          <w:trHeight w:val="255"/>
          <w:tblHeader/>
        </w:trPr>
        <w:tc>
          <w:tcPr>
            <w:tcW w:w="2221" w:type="pct"/>
            <w:tcBorders>
              <w:top w:val="nil"/>
              <w:left w:val="nil"/>
              <w:bottom w:val="nil"/>
              <w:right w:val="single" w:sz="4" w:space="0" w:color="auto"/>
            </w:tcBorders>
            <w:shd w:val="clear" w:color="auto" w:fill="auto"/>
            <w:noWrap/>
            <w:vAlign w:val="center"/>
          </w:tcPr>
          <w:p w14:paraId="1FE1CF06" w14:textId="61923337" w:rsidR="00491DF1" w:rsidRPr="00FD386F" w:rsidRDefault="00491DF1" w:rsidP="00491DF1">
            <w:pPr>
              <w:ind w:left="73"/>
              <w:jc w:val="left"/>
              <w:rPr>
                <w:rFonts w:cs="Arial"/>
                <w:color w:val="000000"/>
                <w:sz w:val="18"/>
                <w:szCs w:val="18"/>
              </w:rPr>
            </w:pPr>
            <w:r w:rsidRPr="00055847">
              <w:rPr>
                <w:rFonts w:cs="Arial"/>
                <w:color w:val="000000"/>
                <w:sz w:val="18"/>
                <w:szCs w:val="18"/>
              </w:rPr>
              <w:t>Resultado do Exercício</w:t>
            </w:r>
          </w:p>
        </w:tc>
        <w:tc>
          <w:tcPr>
            <w:tcW w:w="801" w:type="pct"/>
            <w:tcBorders>
              <w:top w:val="nil"/>
              <w:left w:val="nil"/>
              <w:bottom w:val="nil"/>
              <w:right w:val="single" w:sz="4" w:space="0" w:color="auto"/>
            </w:tcBorders>
            <w:shd w:val="clear" w:color="auto" w:fill="auto"/>
            <w:noWrap/>
            <w:vAlign w:val="center"/>
          </w:tcPr>
          <w:p w14:paraId="34CFE622" w14:textId="40C3BC57" w:rsidR="00491DF1" w:rsidRPr="00FD386F" w:rsidRDefault="00491DF1" w:rsidP="00491DF1">
            <w:pPr>
              <w:jc w:val="right"/>
              <w:rPr>
                <w:rFonts w:cs="Arial"/>
                <w:color w:val="000000"/>
                <w:sz w:val="18"/>
                <w:szCs w:val="18"/>
              </w:rPr>
            </w:pPr>
            <w:r w:rsidRPr="00055847">
              <w:rPr>
                <w:rFonts w:cs="Arial"/>
                <w:color w:val="FF0000"/>
                <w:sz w:val="18"/>
                <w:szCs w:val="18"/>
              </w:rPr>
              <w:t>(1.966.588)</w:t>
            </w:r>
          </w:p>
        </w:tc>
        <w:tc>
          <w:tcPr>
            <w:tcW w:w="801" w:type="pct"/>
            <w:tcBorders>
              <w:top w:val="nil"/>
              <w:left w:val="nil"/>
              <w:bottom w:val="nil"/>
              <w:right w:val="single" w:sz="4" w:space="0" w:color="auto"/>
            </w:tcBorders>
            <w:shd w:val="clear" w:color="auto" w:fill="auto"/>
            <w:noWrap/>
            <w:vAlign w:val="center"/>
          </w:tcPr>
          <w:p w14:paraId="26BC6EBC" w14:textId="301D3D02" w:rsidR="00491DF1" w:rsidRPr="00FD386F" w:rsidRDefault="00491DF1" w:rsidP="00491DF1">
            <w:pPr>
              <w:jc w:val="right"/>
              <w:rPr>
                <w:rFonts w:cs="Arial"/>
                <w:color w:val="000000"/>
                <w:sz w:val="18"/>
                <w:szCs w:val="18"/>
              </w:rPr>
            </w:pPr>
            <w:r w:rsidRPr="00055847">
              <w:rPr>
                <w:rFonts w:cs="Arial"/>
                <w:color w:val="000000"/>
                <w:sz w:val="18"/>
                <w:szCs w:val="18"/>
              </w:rPr>
              <w:t>33.690.273</w:t>
            </w:r>
          </w:p>
        </w:tc>
        <w:tc>
          <w:tcPr>
            <w:tcW w:w="648" w:type="pct"/>
            <w:tcBorders>
              <w:top w:val="nil"/>
              <w:left w:val="nil"/>
              <w:bottom w:val="nil"/>
              <w:right w:val="single" w:sz="4" w:space="0" w:color="auto"/>
            </w:tcBorders>
            <w:shd w:val="clear" w:color="auto" w:fill="auto"/>
            <w:noWrap/>
            <w:vAlign w:val="center"/>
          </w:tcPr>
          <w:p w14:paraId="25F0E79C" w14:textId="6CBA42AD" w:rsidR="00491DF1" w:rsidRPr="00FD386F" w:rsidRDefault="00491DF1" w:rsidP="00491DF1">
            <w:pPr>
              <w:jc w:val="right"/>
              <w:rPr>
                <w:rFonts w:cs="Arial"/>
                <w:color w:val="000000"/>
                <w:sz w:val="18"/>
                <w:szCs w:val="18"/>
              </w:rPr>
            </w:pPr>
            <w:r w:rsidRPr="00055847">
              <w:rPr>
                <w:rFonts w:cs="Arial"/>
                <w:color w:val="FF0000"/>
                <w:sz w:val="18"/>
                <w:szCs w:val="18"/>
              </w:rPr>
              <w:t>(35.656.861)</w:t>
            </w:r>
          </w:p>
        </w:tc>
        <w:tc>
          <w:tcPr>
            <w:tcW w:w="529" w:type="pct"/>
            <w:tcBorders>
              <w:top w:val="nil"/>
              <w:left w:val="nil"/>
              <w:bottom w:val="nil"/>
              <w:right w:val="nil"/>
            </w:tcBorders>
            <w:shd w:val="clear" w:color="auto" w:fill="auto"/>
            <w:noWrap/>
            <w:vAlign w:val="center"/>
          </w:tcPr>
          <w:p w14:paraId="25F1FFD3" w14:textId="409CD598" w:rsidR="00491DF1" w:rsidRPr="00FD386F" w:rsidRDefault="00491DF1" w:rsidP="00491DF1">
            <w:pPr>
              <w:jc w:val="center"/>
              <w:rPr>
                <w:rFonts w:cs="Arial"/>
                <w:color w:val="000000"/>
                <w:sz w:val="18"/>
                <w:szCs w:val="18"/>
              </w:rPr>
            </w:pPr>
            <w:r w:rsidRPr="00055847">
              <w:rPr>
                <w:rFonts w:cs="Arial"/>
                <w:color w:val="FF0000"/>
                <w:sz w:val="18"/>
                <w:szCs w:val="18"/>
              </w:rPr>
              <w:t>(105,84)</w:t>
            </w:r>
          </w:p>
        </w:tc>
      </w:tr>
      <w:tr w:rsidR="00491DF1" w:rsidRPr="00FD386F" w14:paraId="7113E9D4" w14:textId="77777777" w:rsidTr="008022D1">
        <w:trPr>
          <w:trHeight w:val="255"/>
          <w:tblHeader/>
        </w:trPr>
        <w:tc>
          <w:tcPr>
            <w:tcW w:w="2221" w:type="pct"/>
            <w:tcBorders>
              <w:top w:val="nil"/>
              <w:left w:val="nil"/>
              <w:bottom w:val="nil"/>
              <w:right w:val="single" w:sz="4" w:space="0" w:color="auto"/>
            </w:tcBorders>
            <w:shd w:val="clear" w:color="auto" w:fill="auto"/>
            <w:noWrap/>
            <w:vAlign w:val="center"/>
          </w:tcPr>
          <w:p w14:paraId="4608A8BA" w14:textId="5BBAEDAD" w:rsidR="00491DF1" w:rsidRPr="00FD386F" w:rsidRDefault="00491DF1" w:rsidP="00491DF1">
            <w:pPr>
              <w:ind w:left="73"/>
              <w:jc w:val="left"/>
              <w:rPr>
                <w:rFonts w:cs="Arial"/>
                <w:color w:val="000000"/>
                <w:sz w:val="18"/>
                <w:szCs w:val="18"/>
              </w:rPr>
            </w:pPr>
            <w:r w:rsidRPr="00055847">
              <w:rPr>
                <w:rFonts w:cs="Arial"/>
                <w:color w:val="000000"/>
                <w:sz w:val="18"/>
                <w:szCs w:val="18"/>
              </w:rPr>
              <w:t>Resultados Acumulados de Exercícios Anteriores</w:t>
            </w:r>
          </w:p>
        </w:tc>
        <w:tc>
          <w:tcPr>
            <w:tcW w:w="801" w:type="pct"/>
            <w:tcBorders>
              <w:top w:val="nil"/>
              <w:left w:val="nil"/>
              <w:bottom w:val="nil"/>
              <w:right w:val="single" w:sz="4" w:space="0" w:color="auto"/>
            </w:tcBorders>
            <w:shd w:val="clear" w:color="auto" w:fill="auto"/>
            <w:noWrap/>
            <w:vAlign w:val="center"/>
          </w:tcPr>
          <w:p w14:paraId="553DB92B" w14:textId="2D3CEE4D" w:rsidR="00491DF1" w:rsidRPr="00FD386F" w:rsidRDefault="00491DF1" w:rsidP="00491DF1">
            <w:pPr>
              <w:jc w:val="right"/>
              <w:rPr>
                <w:rFonts w:cs="Arial"/>
                <w:color w:val="000000"/>
                <w:sz w:val="18"/>
                <w:szCs w:val="18"/>
              </w:rPr>
            </w:pPr>
            <w:r w:rsidRPr="00055847">
              <w:rPr>
                <w:rFonts w:cs="Arial"/>
                <w:color w:val="000000"/>
                <w:sz w:val="18"/>
                <w:szCs w:val="18"/>
              </w:rPr>
              <w:t>77.397.002</w:t>
            </w:r>
          </w:p>
        </w:tc>
        <w:tc>
          <w:tcPr>
            <w:tcW w:w="801" w:type="pct"/>
            <w:tcBorders>
              <w:top w:val="nil"/>
              <w:left w:val="nil"/>
              <w:bottom w:val="nil"/>
              <w:right w:val="single" w:sz="4" w:space="0" w:color="auto"/>
            </w:tcBorders>
            <w:shd w:val="clear" w:color="auto" w:fill="auto"/>
            <w:noWrap/>
            <w:vAlign w:val="center"/>
          </w:tcPr>
          <w:p w14:paraId="3BF5790B" w14:textId="158EBB65" w:rsidR="00491DF1" w:rsidRPr="00FD386F" w:rsidRDefault="00491DF1" w:rsidP="00491DF1">
            <w:pPr>
              <w:jc w:val="right"/>
              <w:rPr>
                <w:rFonts w:cs="Arial"/>
                <w:color w:val="000000"/>
                <w:sz w:val="18"/>
                <w:szCs w:val="18"/>
              </w:rPr>
            </w:pPr>
            <w:r w:rsidRPr="00055847">
              <w:rPr>
                <w:rFonts w:cs="Arial"/>
                <w:color w:val="FF0000"/>
                <w:sz w:val="18"/>
                <w:szCs w:val="18"/>
              </w:rPr>
              <w:t>(47.525.283)</w:t>
            </w:r>
          </w:p>
        </w:tc>
        <w:tc>
          <w:tcPr>
            <w:tcW w:w="648" w:type="pct"/>
            <w:tcBorders>
              <w:top w:val="nil"/>
              <w:left w:val="nil"/>
              <w:bottom w:val="nil"/>
              <w:right w:val="single" w:sz="4" w:space="0" w:color="auto"/>
            </w:tcBorders>
            <w:shd w:val="clear" w:color="auto" w:fill="auto"/>
            <w:noWrap/>
            <w:vAlign w:val="center"/>
          </w:tcPr>
          <w:p w14:paraId="53316D57" w14:textId="1FB7C6BE" w:rsidR="00491DF1" w:rsidRPr="00FD386F" w:rsidRDefault="00491DF1" w:rsidP="00491DF1">
            <w:pPr>
              <w:jc w:val="right"/>
              <w:rPr>
                <w:rFonts w:cs="Arial"/>
                <w:color w:val="000000"/>
                <w:sz w:val="18"/>
                <w:szCs w:val="18"/>
              </w:rPr>
            </w:pPr>
            <w:r w:rsidRPr="00055847">
              <w:rPr>
                <w:rFonts w:cs="Arial"/>
                <w:color w:val="000000"/>
                <w:sz w:val="18"/>
                <w:szCs w:val="18"/>
              </w:rPr>
              <w:t>124.922.285</w:t>
            </w:r>
          </w:p>
        </w:tc>
        <w:tc>
          <w:tcPr>
            <w:tcW w:w="529" w:type="pct"/>
            <w:tcBorders>
              <w:top w:val="nil"/>
              <w:left w:val="nil"/>
              <w:bottom w:val="nil"/>
              <w:right w:val="nil"/>
            </w:tcBorders>
            <w:shd w:val="clear" w:color="auto" w:fill="auto"/>
            <w:noWrap/>
            <w:vAlign w:val="center"/>
          </w:tcPr>
          <w:p w14:paraId="2A3C9459" w14:textId="68503193" w:rsidR="00491DF1" w:rsidRPr="00FD386F" w:rsidRDefault="00491DF1" w:rsidP="00491DF1">
            <w:pPr>
              <w:jc w:val="center"/>
              <w:rPr>
                <w:rFonts w:cs="Arial"/>
                <w:color w:val="000000"/>
                <w:sz w:val="18"/>
                <w:szCs w:val="18"/>
              </w:rPr>
            </w:pPr>
            <w:r w:rsidRPr="00055847">
              <w:rPr>
                <w:rFonts w:cs="Arial"/>
                <w:color w:val="000000"/>
                <w:sz w:val="18"/>
                <w:szCs w:val="18"/>
              </w:rPr>
              <w:t>262,85</w:t>
            </w:r>
          </w:p>
        </w:tc>
      </w:tr>
      <w:tr w:rsidR="00491DF1" w:rsidRPr="00FD386F" w14:paraId="5B62DF02" w14:textId="77777777" w:rsidTr="008022D1">
        <w:trPr>
          <w:trHeight w:val="255"/>
          <w:tblHeader/>
        </w:trPr>
        <w:tc>
          <w:tcPr>
            <w:tcW w:w="2221" w:type="pct"/>
            <w:tcBorders>
              <w:top w:val="nil"/>
              <w:left w:val="nil"/>
              <w:bottom w:val="nil"/>
              <w:right w:val="single" w:sz="4" w:space="0" w:color="auto"/>
            </w:tcBorders>
            <w:shd w:val="clear" w:color="auto" w:fill="auto"/>
            <w:noWrap/>
            <w:vAlign w:val="center"/>
          </w:tcPr>
          <w:p w14:paraId="23FE5F81" w14:textId="678ACA56" w:rsidR="00491DF1" w:rsidRPr="00FD386F" w:rsidRDefault="00491DF1" w:rsidP="00491DF1">
            <w:pPr>
              <w:ind w:left="73"/>
              <w:jc w:val="left"/>
              <w:rPr>
                <w:rFonts w:cs="Arial"/>
                <w:b/>
                <w:bCs/>
                <w:color w:val="000000"/>
                <w:sz w:val="18"/>
                <w:szCs w:val="18"/>
              </w:rPr>
            </w:pPr>
            <w:r w:rsidRPr="00055847">
              <w:rPr>
                <w:rFonts w:cs="Arial"/>
                <w:color w:val="000000"/>
                <w:sz w:val="18"/>
                <w:szCs w:val="18"/>
              </w:rPr>
              <w:t>Ajustes de Exercícios Anteriores</w:t>
            </w:r>
          </w:p>
        </w:tc>
        <w:tc>
          <w:tcPr>
            <w:tcW w:w="801" w:type="pct"/>
            <w:tcBorders>
              <w:top w:val="nil"/>
              <w:left w:val="nil"/>
              <w:bottom w:val="nil"/>
              <w:right w:val="single" w:sz="4" w:space="0" w:color="auto"/>
            </w:tcBorders>
            <w:shd w:val="clear" w:color="auto" w:fill="auto"/>
            <w:noWrap/>
            <w:vAlign w:val="center"/>
          </w:tcPr>
          <w:p w14:paraId="70A2AA82" w14:textId="528141B3" w:rsidR="00491DF1" w:rsidRPr="00FD386F" w:rsidRDefault="00491DF1" w:rsidP="00491DF1">
            <w:pPr>
              <w:jc w:val="right"/>
              <w:rPr>
                <w:rFonts w:cs="Arial"/>
                <w:b/>
                <w:bCs/>
                <w:color w:val="000000"/>
                <w:sz w:val="18"/>
                <w:szCs w:val="18"/>
              </w:rPr>
            </w:pPr>
            <w:r w:rsidRPr="00055847">
              <w:rPr>
                <w:rFonts w:cs="Arial"/>
                <w:color w:val="FF0000"/>
                <w:sz w:val="18"/>
                <w:szCs w:val="18"/>
              </w:rPr>
              <w:t>(125.137.441)</w:t>
            </w:r>
          </w:p>
        </w:tc>
        <w:tc>
          <w:tcPr>
            <w:tcW w:w="801" w:type="pct"/>
            <w:tcBorders>
              <w:top w:val="nil"/>
              <w:left w:val="nil"/>
              <w:bottom w:val="nil"/>
              <w:right w:val="single" w:sz="4" w:space="0" w:color="auto"/>
            </w:tcBorders>
            <w:shd w:val="clear" w:color="auto" w:fill="auto"/>
            <w:noWrap/>
            <w:vAlign w:val="center"/>
          </w:tcPr>
          <w:p w14:paraId="2B74247B" w14:textId="43C23E8D" w:rsidR="00491DF1" w:rsidRPr="00FD386F" w:rsidRDefault="00491DF1" w:rsidP="00491DF1">
            <w:pPr>
              <w:jc w:val="right"/>
              <w:rPr>
                <w:rFonts w:cs="Arial"/>
                <w:b/>
                <w:bCs/>
                <w:color w:val="000000"/>
                <w:sz w:val="18"/>
                <w:szCs w:val="18"/>
              </w:rPr>
            </w:pPr>
            <w:r w:rsidRPr="00055847">
              <w:rPr>
                <w:rFonts w:cs="Arial"/>
                <w:color w:val="000000"/>
                <w:sz w:val="18"/>
                <w:szCs w:val="18"/>
              </w:rPr>
              <w:t>91.851.674</w:t>
            </w:r>
          </w:p>
        </w:tc>
        <w:tc>
          <w:tcPr>
            <w:tcW w:w="648" w:type="pct"/>
            <w:tcBorders>
              <w:top w:val="nil"/>
              <w:left w:val="nil"/>
              <w:bottom w:val="nil"/>
              <w:right w:val="single" w:sz="4" w:space="0" w:color="auto"/>
            </w:tcBorders>
            <w:shd w:val="clear" w:color="auto" w:fill="auto"/>
            <w:noWrap/>
            <w:vAlign w:val="center"/>
          </w:tcPr>
          <w:p w14:paraId="21A841DA" w14:textId="0DE68EDA" w:rsidR="00491DF1" w:rsidRPr="00FD386F" w:rsidRDefault="00491DF1" w:rsidP="00491DF1">
            <w:pPr>
              <w:jc w:val="right"/>
              <w:rPr>
                <w:rFonts w:cs="Arial"/>
                <w:b/>
                <w:bCs/>
                <w:color w:val="000000"/>
                <w:sz w:val="18"/>
                <w:szCs w:val="18"/>
              </w:rPr>
            </w:pPr>
            <w:r w:rsidRPr="00055847">
              <w:rPr>
                <w:rFonts w:cs="Arial"/>
                <w:color w:val="FF0000"/>
                <w:sz w:val="18"/>
                <w:szCs w:val="18"/>
              </w:rPr>
              <w:t>(216.989.115)</w:t>
            </w:r>
          </w:p>
        </w:tc>
        <w:tc>
          <w:tcPr>
            <w:tcW w:w="529" w:type="pct"/>
            <w:tcBorders>
              <w:top w:val="nil"/>
              <w:left w:val="nil"/>
              <w:bottom w:val="nil"/>
              <w:right w:val="nil"/>
            </w:tcBorders>
            <w:shd w:val="clear" w:color="auto" w:fill="auto"/>
            <w:noWrap/>
            <w:vAlign w:val="center"/>
          </w:tcPr>
          <w:p w14:paraId="4EF30064" w14:textId="6102FCB0" w:rsidR="00491DF1" w:rsidRPr="00FD386F" w:rsidRDefault="00491DF1" w:rsidP="00491DF1">
            <w:pPr>
              <w:jc w:val="center"/>
              <w:rPr>
                <w:rFonts w:cs="Arial"/>
                <w:b/>
                <w:bCs/>
                <w:color w:val="000000"/>
                <w:sz w:val="18"/>
                <w:szCs w:val="18"/>
              </w:rPr>
            </w:pPr>
            <w:r w:rsidRPr="00055847">
              <w:rPr>
                <w:rFonts w:cs="Arial"/>
                <w:color w:val="FF0000"/>
                <w:sz w:val="18"/>
                <w:szCs w:val="18"/>
              </w:rPr>
              <w:t>(236,24)</w:t>
            </w:r>
          </w:p>
        </w:tc>
      </w:tr>
      <w:tr w:rsidR="00491DF1" w:rsidRPr="00FD386F" w14:paraId="63721840" w14:textId="77777777" w:rsidTr="008022D1">
        <w:trPr>
          <w:trHeight w:val="255"/>
          <w:tblHeader/>
        </w:trPr>
        <w:tc>
          <w:tcPr>
            <w:tcW w:w="2221" w:type="pct"/>
            <w:tcBorders>
              <w:top w:val="single" w:sz="4" w:space="0" w:color="auto"/>
              <w:left w:val="nil"/>
              <w:bottom w:val="single" w:sz="4" w:space="0" w:color="auto"/>
              <w:right w:val="single" w:sz="4" w:space="0" w:color="auto"/>
            </w:tcBorders>
            <w:shd w:val="clear" w:color="auto" w:fill="auto"/>
            <w:noWrap/>
            <w:vAlign w:val="center"/>
          </w:tcPr>
          <w:p w14:paraId="33D350EF" w14:textId="77777777" w:rsidR="00491DF1" w:rsidRPr="00FD386F" w:rsidRDefault="00491DF1" w:rsidP="00491DF1">
            <w:pPr>
              <w:jc w:val="center"/>
              <w:rPr>
                <w:rFonts w:cs="Arial"/>
                <w:color w:val="000000"/>
                <w:sz w:val="18"/>
                <w:szCs w:val="18"/>
              </w:rPr>
            </w:pPr>
            <w:r w:rsidRPr="00FD386F">
              <w:rPr>
                <w:rFonts w:cs="Arial"/>
                <w:b/>
                <w:bCs/>
                <w:color w:val="000000"/>
                <w:sz w:val="18"/>
                <w:szCs w:val="18"/>
              </w:rPr>
              <w:t>Total</w:t>
            </w:r>
          </w:p>
        </w:tc>
        <w:tc>
          <w:tcPr>
            <w:tcW w:w="801" w:type="pct"/>
            <w:tcBorders>
              <w:top w:val="single" w:sz="4" w:space="0" w:color="auto"/>
              <w:left w:val="nil"/>
              <w:bottom w:val="single" w:sz="4" w:space="0" w:color="auto"/>
              <w:right w:val="single" w:sz="4" w:space="0" w:color="auto"/>
            </w:tcBorders>
            <w:shd w:val="clear" w:color="auto" w:fill="auto"/>
            <w:noWrap/>
            <w:vAlign w:val="center"/>
          </w:tcPr>
          <w:p w14:paraId="4CD4A30F" w14:textId="52530B44" w:rsidR="00491DF1" w:rsidRPr="00FD386F" w:rsidRDefault="00491DF1" w:rsidP="00491DF1">
            <w:pPr>
              <w:jc w:val="right"/>
              <w:rPr>
                <w:rFonts w:cs="Arial"/>
                <w:color w:val="FF0000"/>
                <w:sz w:val="18"/>
                <w:szCs w:val="18"/>
              </w:rPr>
            </w:pPr>
            <w:r w:rsidRPr="00055847">
              <w:rPr>
                <w:rFonts w:cs="Arial"/>
                <w:b/>
                <w:bCs/>
                <w:color w:val="FF0000"/>
                <w:sz w:val="18"/>
                <w:szCs w:val="18"/>
              </w:rPr>
              <w:t>(49.707.027)</w:t>
            </w:r>
          </w:p>
        </w:tc>
        <w:tc>
          <w:tcPr>
            <w:tcW w:w="801" w:type="pct"/>
            <w:tcBorders>
              <w:top w:val="single" w:sz="4" w:space="0" w:color="auto"/>
              <w:left w:val="nil"/>
              <w:bottom w:val="single" w:sz="4" w:space="0" w:color="auto"/>
              <w:right w:val="single" w:sz="4" w:space="0" w:color="auto"/>
            </w:tcBorders>
            <w:shd w:val="clear" w:color="auto" w:fill="auto"/>
            <w:noWrap/>
            <w:vAlign w:val="center"/>
          </w:tcPr>
          <w:p w14:paraId="1480662C" w14:textId="56E3FF80" w:rsidR="00491DF1" w:rsidRPr="00FD386F" w:rsidRDefault="00491DF1" w:rsidP="00491DF1">
            <w:pPr>
              <w:jc w:val="right"/>
              <w:rPr>
                <w:rFonts w:cs="Arial"/>
                <w:color w:val="FF0000"/>
                <w:sz w:val="18"/>
                <w:szCs w:val="18"/>
              </w:rPr>
            </w:pPr>
            <w:r w:rsidRPr="00055847">
              <w:rPr>
                <w:rFonts w:cs="Arial"/>
                <w:b/>
                <w:bCs/>
                <w:color w:val="000000"/>
                <w:sz w:val="18"/>
                <w:szCs w:val="18"/>
              </w:rPr>
              <w:t>78.016.665</w:t>
            </w:r>
          </w:p>
        </w:tc>
        <w:tc>
          <w:tcPr>
            <w:tcW w:w="648" w:type="pct"/>
            <w:tcBorders>
              <w:top w:val="single" w:sz="4" w:space="0" w:color="auto"/>
              <w:left w:val="nil"/>
              <w:bottom w:val="single" w:sz="4" w:space="0" w:color="auto"/>
              <w:right w:val="single" w:sz="4" w:space="0" w:color="auto"/>
            </w:tcBorders>
            <w:shd w:val="clear" w:color="auto" w:fill="auto"/>
            <w:noWrap/>
            <w:vAlign w:val="center"/>
          </w:tcPr>
          <w:p w14:paraId="1CDC52CB" w14:textId="03CDBC80" w:rsidR="00491DF1" w:rsidRPr="00FD386F" w:rsidRDefault="00491DF1" w:rsidP="00491DF1">
            <w:pPr>
              <w:jc w:val="right"/>
              <w:rPr>
                <w:rFonts w:cs="Arial"/>
                <w:color w:val="FF0000"/>
                <w:sz w:val="18"/>
                <w:szCs w:val="18"/>
              </w:rPr>
            </w:pPr>
            <w:r w:rsidRPr="00055847">
              <w:rPr>
                <w:rFonts w:cs="Arial"/>
                <w:b/>
                <w:bCs/>
                <w:color w:val="FF0000"/>
                <w:sz w:val="18"/>
                <w:szCs w:val="18"/>
              </w:rPr>
              <w:t>(127.723.692)</w:t>
            </w:r>
          </w:p>
        </w:tc>
        <w:tc>
          <w:tcPr>
            <w:tcW w:w="529" w:type="pct"/>
            <w:tcBorders>
              <w:top w:val="single" w:sz="4" w:space="0" w:color="auto"/>
              <w:left w:val="nil"/>
              <w:bottom w:val="single" w:sz="4" w:space="0" w:color="auto"/>
              <w:right w:val="nil"/>
            </w:tcBorders>
            <w:shd w:val="clear" w:color="auto" w:fill="auto"/>
            <w:noWrap/>
            <w:vAlign w:val="center"/>
          </w:tcPr>
          <w:p w14:paraId="4B61010C" w14:textId="06C53CAA" w:rsidR="00491DF1" w:rsidRPr="00FD386F" w:rsidRDefault="00491DF1" w:rsidP="00491DF1">
            <w:pPr>
              <w:jc w:val="center"/>
              <w:rPr>
                <w:rFonts w:cs="Arial"/>
                <w:color w:val="FF0000"/>
                <w:sz w:val="18"/>
                <w:szCs w:val="18"/>
              </w:rPr>
            </w:pPr>
            <w:r w:rsidRPr="00055847">
              <w:rPr>
                <w:rFonts w:cs="Arial"/>
                <w:b/>
                <w:bCs/>
                <w:color w:val="FF0000"/>
                <w:sz w:val="18"/>
                <w:szCs w:val="18"/>
              </w:rPr>
              <w:t>(163,71)</w:t>
            </w:r>
          </w:p>
        </w:tc>
      </w:tr>
    </w:tbl>
    <w:p w14:paraId="2B1948DC" w14:textId="77777777" w:rsidR="003C6FD7" w:rsidRDefault="003C6FD7" w:rsidP="003C6FD7">
      <w:pPr>
        <w:pStyle w:val="1-FONTE8ESQ"/>
      </w:pPr>
      <w:r w:rsidRPr="000F7BD9">
        <w:t>Fonte: Balanço Patrimonial - Anexo 14</w:t>
      </w:r>
      <w:r>
        <w:t xml:space="preserve"> (BGE 2023)</w:t>
      </w:r>
    </w:p>
    <w:p w14:paraId="1B5C6D6E" w14:textId="042E45D1" w:rsidR="003C6FD7" w:rsidRDefault="003C6FD7">
      <w:pPr>
        <w:jc w:val="left"/>
        <w:rPr>
          <w:rFonts w:eastAsia="Calibri"/>
        </w:rPr>
      </w:pPr>
    </w:p>
    <w:p w14:paraId="76B105D4" w14:textId="77777777" w:rsidR="00E0789D" w:rsidRDefault="00E0789D" w:rsidP="00E0789D">
      <w:pPr>
        <w:pStyle w:val="1-REL11"/>
      </w:pPr>
      <w:r>
        <w:t>Quanto aos</w:t>
      </w:r>
      <w:r w:rsidRPr="008E161C">
        <w:t xml:space="preserve"> Resu</w:t>
      </w:r>
      <w:r>
        <w:t xml:space="preserve">ltados do Exercício, notou-se uma redução de 105,84% (R$ 35,66 bilhões) no seu saldo, em relação a 2022, o que incorreu em déficit de R$ 1,97 bilhão. Os Resultados do Exercício abrangem os </w:t>
      </w:r>
      <w:r w:rsidRPr="004E55B0">
        <w:t>superávit</w:t>
      </w:r>
      <w:r>
        <w:t>s</w:t>
      </w:r>
      <w:r w:rsidRPr="004E55B0">
        <w:t xml:space="preserve"> ou déficit</w:t>
      </w:r>
      <w:r>
        <w:t>s</w:t>
      </w:r>
      <w:r w:rsidRPr="004E55B0">
        <w:t xml:space="preserve"> da administração direta, autarquias, fundações e fundos</w:t>
      </w:r>
      <w:r>
        <w:t xml:space="preserve"> bem como os lucros e prejuízos líquidos das empresas estatais. No exercício de 2023, o resultado da </w:t>
      </w:r>
      <w:r w:rsidRPr="004E55B0">
        <w:t>administração direta, autarquias, fundações e fundos</w:t>
      </w:r>
      <w:r>
        <w:t xml:space="preserve"> foi deficitário em R$ 2,14 bilhões, já o resultado das empresas estatais apresentou lucro de R$ 176,77 milhões.</w:t>
      </w:r>
    </w:p>
    <w:p w14:paraId="0039873D" w14:textId="77777777" w:rsidR="00E0789D" w:rsidRDefault="00E0789D" w:rsidP="00E0789D">
      <w:pPr>
        <w:pStyle w:val="1-REL11"/>
      </w:pPr>
      <w:r>
        <w:rPr>
          <w:rFonts w:cs="Arial"/>
          <w:color w:val="000000"/>
        </w:rPr>
        <w:t xml:space="preserve">Os </w:t>
      </w:r>
      <w:r w:rsidRPr="00F20D20">
        <w:rPr>
          <w:rFonts w:cs="Arial"/>
          <w:color w:val="000000"/>
        </w:rPr>
        <w:t>Resultados Acumulados de Exercícios Anteriores</w:t>
      </w:r>
      <w:r>
        <w:rPr>
          <w:rFonts w:cs="Arial"/>
          <w:color w:val="000000"/>
        </w:rPr>
        <w:t xml:space="preserve"> apresentaram um incremento 262,85% (R$ 124,92 bilhões) no seu saldo, em relação ao ano anterior, totalizando R$ 77,40 bilhões em 2023. Esse grupo de contas </w:t>
      </w:r>
      <w:r w:rsidRPr="003D74F9">
        <w:rPr>
          <w:rFonts w:cs="Arial"/>
          <w:color w:val="000000"/>
        </w:rPr>
        <w:t>engloba tanto os superávits ou déficits</w:t>
      </w:r>
      <w:r>
        <w:rPr>
          <w:rFonts w:cs="Arial"/>
          <w:color w:val="000000"/>
        </w:rPr>
        <w:t xml:space="preserve"> acumulados de exercícios anteriores</w:t>
      </w:r>
      <w:r w:rsidRPr="003D74F9">
        <w:rPr>
          <w:rFonts w:cs="Arial"/>
          <w:color w:val="000000"/>
        </w:rPr>
        <w:t xml:space="preserve"> provenientes da administração direta, autarquias, fundações e fundos, quanto os lucros líquidos e prejuízos</w:t>
      </w:r>
      <w:r>
        <w:rPr>
          <w:rFonts w:cs="Arial"/>
          <w:color w:val="000000"/>
        </w:rPr>
        <w:t xml:space="preserve"> acumulados de exercícios anteriores</w:t>
      </w:r>
      <w:r w:rsidRPr="003D74F9">
        <w:rPr>
          <w:rFonts w:cs="Arial"/>
          <w:color w:val="000000"/>
        </w:rPr>
        <w:t xml:space="preserve"> das </w:t>
      </w:r>
      <w:r>
        <w:rPr>
          <w:rFonts w:cs="Arial"/>
          <w:color w:val="000000"/>
        </w:rPr>
        <w:t>estatais</w:t>
      </w:r>
      <w:r w:rsidRPr="003D74F9">
        <w:rPr>
          <w:rFonts w:cs="Arial"/>
          <w:color w:val="000000"/>
        </w:rPr>
        <w:t>.</w:t>
      </w:r>
      <w:r>
        <w:rPr>
          <w:rFonts w:cs="Arial"/>
          <w:color w:val="000000"/>
        </w:rPr>
        <w:t xml:space="preserve"> Em</w:t>
      </w:r>
      <w:r>
        <w:t xml:space="preserve"> 2023 o resultado acumulado da </w:t>
      </w:r>
      <w:r w:rsidRPr="004E55B0">
        <w:t>administração direta, autarquias, fundações e fundos</w:t>
      </w:r>
      <w:r>
        <w:t xml:space="preserve"> foi superavitário de R$ 78,04 bilhões, por sua vez o resultado das empresas estatais apresentou prejuízo de R$ 642,34 milhões.</w:t>
      </w:r>
    </w:p>
    <w:p w14:paraId="3A05CDF5" w14:textId="316DFB12" w:rsidR="00E0789D" w:rsidRDefault="00E0789D" w:rsidP="0093325D">
      <w:pPr>
        <w:pStyle w:val="1-REL11"/>
      </w:pPr>
      <w:r>
        <w:t xml:space="preserve">Por fim, os </w:t>
      </w:r>
      <w:r w:rsidRPr="005D5E87">
        <w:t>Ajustes de Exercícios Anteriores</w:t>
      </w:r>
      <w:r>
        <w:t xml:space="preserve"> r</w:t>
      </w:r>
      <w:r w:rsidRPr="005D5E87">
        <w:t>egistra</w:t>
      </w:r>
      <w:r>
        <w:t>m</w:t>
      </w:r>
      <w:r w:rsidRPr="005D5E87">
        <w:t xml:space="preserve"> o saldo decorrente de efeitos da mudança de critério contábil ou da retificação de erro imputável a determinado exercício anterior, e que não possam ser atribuídos a fatos subsequentes. São registrados</w:t>
      </w:r>
      <w:r>
        <w:t xml:space="preserve"> nessas</w:t>
      </w:r>
      <w:r w:rsidRPr="005D5E87">
        <w:t xml:space="preserve"> conta</w:t>
      </w:r>
      <w:r>
        <w:t>s,</w:t>
      </w:r>
      <w:r w:rsidRPr="005D5E87">
        <w:t xml:space="preserve"> os ajustes da </w:t>
      </w:r>
      <w:r w:rsidRPr="005D5E87">
        <w:lastRenderedPageBreak/>
        <w:t>administração direta, autarquias, fundações e fundos.</w:t>
      </w:r>
      <w:r>
        <w:t xml:space="preserve"> No ano de 2023, esse grupo de contas apresentou uma redução em seus saldos de 236,24% (R$ 216,99 bilhões) em relação a 2022, totalizando um saldo negativo de R$ 125,14 bilhões. O decréscimo no saldo da conta </w:t>
      </w:r>
      <w:r w:rsidRPr="002642A9">
        <w:t>se deve</w:t>
      </w:r>
      <w:r>
        <w:t xml:space="preserve">, principalmente, </w:t>
      </w:r>
      <w:r w:rsidRPr="002642A9">
        <w:t>aos registros d</w:t>
      </w:r>
      <w:r>
        <w:t>a</w:t>
      </w:r>
      <w:r w:rsidRPr="002642A9">
        <w:t xml:space="preserve"> </w:t>
      </w:r>
      <w:r w:rsidRPr="005735BE">
        <w:t>mudança de metodologia de avaliação</w:t>
      </w:r>
      <w:r>
        <w:t xml:space="preserve"> no cálculo</w:t>
      </w:r>
      <w:r w:rsidRPr="005735BE">
        <w:t xml:space="preserve"> </w:t>
      </w:r>
      <w:r>
        <w:t xml:space="preserve">da </w:t>
      </w:r>
      <w:r w:rsidRPr="002642A9">
        <w:t>Provisão Matemática Previdenciária, no valor de R$</w:t>
      </w:r>
      <w:r>
        <w:t> </w:t>
      </w:r>
      <w:r w:rsidRPr="002642A9">
        <w:t xml:space="preserve">124,46 bilhões </w:t>
      </w:r>
      <w:r>
        <w:t>realizados na</w:t>
      </w:r>
      <w:r w:rsidRPr="002642A9">
        <w:t xml:space="preserve"> conta contábil 2.3.7.1.1.03.02, em observância</w:t>
      </w:r>
      <w:r>
        <w:t xml:space="preserve"> ao</w:t>
      </w:r>
      <w:r w:rsidRPr="002642A9">
        <w:t xml:space="preserve"> IPC nº 14 – STN (Nota Explicativa nº 5/2024 GOIASPREV/GECONT)</w:t>
      </w:r>
      <w:r>
        <w:t xml:space="preserve">. </w:t>
      </w:r>
      <w:r w:rsidRPr="00625434">
        <w:t xml:space="preserve">O assunto </w:t>
      </w:r>
      <w:r w:rsidRPr="00625434">
        <w:rPr>
          <w:rFonts w:eastAsia="Times New Roman"/>
          <w:iCs/>
        </w:rPr>
        <w:t xml:space="preserve">foi tratado no tópico </w:t>
      </w:r>
      <w:r>
        <w:rPr>
          <w:rFonts w:eastAsia="Times New Roman"/>
          <w:iCs/>
        </w:rPr>
        <w:fldChar w:fldCharType="begin"/>
      </w:r>
      <w:r>
        <w:rPr>
          <w:rFonts w:eastAsia="Times New Roman"/>
          <w:iCs/>
        </w:rPr>
        <w:instrText xml:space="preserve"> REF _Ref167704316 \w \h </w:instrText>
      </w:r>
      <w:r>
        <w:rPr>
          <w:rFonts w:eastAsia="Times New Roman"/>
          <w:iCs/>
        </w:rPr>
      </w:r>
      <w:r>
        <w:rPr>
          <w:rFonts w:eastAsia="Times New Roman"/>
          <w:iCs/>
        </w:rPr>
        <w:fldChar w:fldCharType="separate"/>
      </w:r>
      <w:r w:rsidR="00534707">
        <w:rPr>
          <w:rFonts w:eastAsia="Times New Roman"/>
          <w:iCs/>
        </w:rPr>
        <w:t xml:space="preserve">6.1.2.5 </w:t>
      </w:r>
      <w:r>
        <w:rPr>
          <w:rFonts w:eastAsia="Times New Roman"/>
          <w:iCs/>
        </w:rPr>
        <w:fldChar w:fldCharType="end"/>
      </w:r>
      <w:r>
        <w:t xml:space="preserve">– </w:t>
      </w:r>
      <w:r>
        <w:rPr>
          <w:rFonts w:eastAsia="Times New Roman"/>
          <w:iCs/>
        </w:rPr>
        <w:fldChar w:fldCharType="begin"/>
      </w:r>
      <w:r>
        <w:rPr>
          <w:rFonts w:eastAsia="Times New Roman"/>
          <w:iCs/>
        </w:rPr>
        <w:instrText xml:space="preserve"> REF _Ref167704316 \h </w:instrText>
      </w:r>
      <w:r>
        <w:rPr>
          <w:rFonts w:eastAsia="Times New Roman"/>
          <w:iCs/>
        </w:rPr>
      </w:r>
      <w:r>
        <w:rPr>
          <w:rFonts w:eastAsia="Times New Roman"/>
          <w:iCs/>
        </w:rPr>
        <w:fldChar w:fldCharType="separate"/>
      </w:r>
      <w:r w:rsidR="00534707" w:rsidRPr="00CC1ED4">
        <w:t>Provisão Matemática Previdenciária</w:t>
      </w:r>
      <w:r>
        <w:rPr>
          <w:rFonts w:eastAsia="Times New Roman"/>
          <w:iCs/>
        </w:rPr>
        <w:fldChar w:fldCharType="end"/>
      </w:r>
      <w:r w:rsidR="0093325D">
        <w:rPr>
          <w:rFonts w:eastAsia="Times New Roman"/>
          <w:iCs/>
        </w:rPr>
        <w:t>.</w:t>
      </w:r>
    </w:p>
    <w:p w14:paraId="664CB7AC" w14:textId="79903273" w:rsidR="006B0CD0" w:rsidRPr="00311E13" w:rsidRDefault="006B0CD0" w:rsidP="006B0CD0">
      <w:pPr>
        <w:pStyle w:val="Ttulo2"/>
      </w:pPr>
      <w:bookmarkStart w:id="510" w:name="_Toc129942513"/>
      <w:bookmarkStart w:id="511" w:name="_Toc167871711"/>
      <w:bookmarkEnd w:id="507"/>
      <w:r w:rsidRPr="00311E13">
        <w:t>Plano de Implantação dos Procedimentos Contábeis Patrimoniais (PIPCP)</w:t>
      </w:r>
      <w:bookmarkEnd w:id="510"/>
      <w:bookmarkEnd w:id="511"/>
    </w:p>
    <w:p w14:paraId="4149DC84" w14:textId="1D153263" w:rsidR="003A7D20" w:rsidRPr="00D60069" w:rsidRDefault="003A7D20" w:rsidP="003A7D20">
      <w:pPr>
        <w:pStyle w:val="1-REL11"/>
      </w:pPr>
      <w:r w:rsidRPr="00D60069">
        <w:t xml:space="preserve">A Secretaria do Tesouro Nacional (STN) emitiu, em 24 de setembro de 2015, a Portaria STN nº 548, estabelecendo prazos-limite obrigatórios relativos à implantação dos Procedimentos Contábeis Patrimoniais na União, nos </w:t>
      </w:r>
      <w:r>
        <w:t>e</w:t>
      </w:r>
      <w:r w:rsidRPr="00D60069">
        <w:t xml:space="preserve">stados, no Distrito Federal e nos </w:t>
      </w:r>
      <w:r>
        <w:t>m</w:t>
      </w:r>
      <w:r w:rsidRPr="00D60069">
        <w:t>unicípios brasileiros, em continuidade ao processo de convergência da contabilidade pública aos padrões internacionais, com o principal objetivo de se criar uma base conceitual e procedimentos uniformes para fins da consolidação das contas públicas nacionais.</w:t>
      </w:r>
    </w:p>
    <w:p w14:paraId="499D81CE" w14:textId="77777777" w:rsidR="003A7D20" w:rsidRPr="00D60069" w:rsidRDefault="003A7D20" w:rsidP="003A7D20">
      <w:pPr>
        <w:pStyle w:val="1-REL11"/>
      </w:pPr>
      <w:r w:rsidRPr="00D60069">
        <w:t>Para isso, foi criado um cronograma escalonado para cada tipo de procedimento, recomendando que cada ente da Federação estabelecesse sua própria linha de ação, destacando-se que os prazos estabelecidos não implicavam prorrogação da aplicabilidade nas normas contidas no MCASP e que não haveria impedimento para sua implantação antes das datas estipuladas, bem como não restringia a atuação do</w:t>
      </w:r>
      <w:r>
        <w:t>s</w:t>
      </w:r>
      <w:r w:rsidRPr="00D60069">
        <w:t xml:space="preserve"> órgãos de controle para exigir prazos mais exíguos.</w:t>
      </w:r>
    </w:p>
    <w:p w14:paraId="3A898B1C" w14:textId="77777777" w:rsidR="003A7D20" w:rsidRPr="00D60069" w:rsidRDefault="003A7D20" w:rsidP="003A7D20">
      <w:pPr>
        <w:pStyle w:val="1-REL11"/>
      </w:pPr>
      <w:r w:rsidRPr="00D60069">
        <w:t xml:space="preserve">Registra-se que, a partir da </w:t>
      </w:r>
      <w:r>
        <w:t>P</w:t>
      </w:r>
      <w:r w:rsidRPr="00D60069">
        <w:t xml:space="preserve">restação de </w:t>
      </w:r>
      <w:r>
        <w:t>C</w:t>
      </w:r>
      <w:r w:rsidRPr="00D60069">
        <w:t>ontas</w:t>
      </w:r>
      <w:r>
        <w:t xml:space="preserve"> do Governador</w:t>
      </w:r>
      <w:r w:rsidRPr="00D60069">
        <w:t xml:space="preserve"> do exercício de 2020, o Estado deve encaminhar </w:t>
      </w:r>
      <w:r>
        <w:t xml:space="preserve">a esta Corte de Contas </w:t>
      </w:r>
      <w:r w:rsidRPr="00D60069">
        <w:t>as informações referentes ao estágio atual do Plano de Implantação dos Procedimentos Contábeis Patrimoniais</w:t>
      </w:r>
      <w:r>
        <w:t xml:space="preserve"> (PIPCP)</w:t>
      </w:r>
      <w:r w:rsidRPr="00D60069">
        <w:t>, conforme item 25, Anexo Único, Resolução Normativa</w:t>
      </w:r>
      <w:r>
        <w:t xml:space="preserve"> TCE/GO</w:t>
      </w:r>
      <w:r w:rsidRPr="00D60069">
        <w:t xml:space="preserve"> nº 7, de 29 de agosto de 2018.</w:t>
      </w:r>
    </w:p>
    <w:p w14:paraId="49AA91C1" w14:textId="77777777" w:rsidR="003A7D20" w:rsidRPr="00F24CF2" w:rsidRDefault="003A7D20" w:rsidP="003A7D20">
      <w:pPr>
        <w:pStyle w:val="1-REL11"/>
      </w:pPr>
      <w:r w:rsidRPr="00F24CF2">
        <w:t xml:space="preserve">Desde a Prestação de Contas Anual </w:t>
      </w:r>
      <w:r>
        <w:t xml:space="preserve">do Governador </w:t>
      </w:r>
      <w:r w:rsidRPr="00F24CF2">
        <w:t xml:space="preserve">referente ao exercício de 2020, essa </w:t>
      </w:r>
      <w:r>
        <w:t>U</w:t>
      </w:r>
      <w:r w:rsidRPr="00F24CF2">
        <w:t xml:space="preserve">nidade </w:t>
      </w:r>
      <w:r>
        <w:t>T</w:t>
      </w:r>
      <w:r w:rsidRPr="00F24CF2">
        <w:t>écnica tem analisado as informações prestadas com foco no estágio em que se encontram os procedimentos</w:t>
      </w:r>
      <w:r>
        <w:t xml:space="preserve">, respeitando </w:t>
      </w:r>
      <w:r w:rsidRPr="00F24CF2">
        <w:t xml:space="preserve">o prazo-limite e obrigatoriedade de registros contábeis para os </w:t>
      </w:r>
      <w:r>
        <w:t>e</w:t>
      </w:r>
      <w:r w:rsidRPr="00F24CF2">
        <w:t>stados até o exercício de 2022.</w:t>
      </w:r>
    </w:p>
    <w:p w14:paraId="2FA67820" w14:textId="77777777" w:rsidR="003A7D20" w:rsidRDefault="003A7D20" w:rsidP="003A7D20">
      <w:pPr>
        <w:pStyle w:val="1-REL11"/>
      </w:pPr>
      <w:r w:rsidRPr="00FF7467">
        <w:t>Todos os itens do</w:t>
      </w:r>
      <w:r>
        <w:t xml:space="preserve"> cronograma fixados no</w:t>
      </w:r>
      <w:r w:rsidRPr="00FF7467">
        <w:t xml:space="preserve"> PIPCP foram implantados, exceto o 9.</w:t>
      </w:r>
      <w:r>
        <w:t> Reconhecimento, mensuração e evidenciação dos bens do patrimônio cultural; respectiva depreciação, amortização ou exaustão; reavaliação e redução ao valor recuperável, pois o art. 1º da Portaria STN nº 10.300, de 1º de dezembro de 2022, suspendeu o prazo de implantação do referido PIPCP, aguardando edição de norma contábil específica pelo Conselho Federal de Contabilidade (CFC).</w:t>
      </w:r>
    </w:p>
    <w:p w14:paraId="205B2364" w14:textId="77777777" w:rsidR="003A7D20" w:rsidRDefault="003A7D20" w:rsidP="003A7D20">
      <w:pPr>
        <w:pStyle w:val="1-REL11"/>
      </w:pPr>
      <w:r>
        <w:lastRenderedPageBreak/>
        <w:t>Além do item 9, os itens 14, 16 e 19 da Portaria STN nº 548/2015 (14.Reconhecimento, mensuração e evidenciação das demais obrigações por competência; 16. Outros ativos intangíveis e eventuais amortização e redução a valor recuperável; e item 19.Reconhecimento, mensuração e evidenciação dos demais aspectos referentes aos procedimentos patrimoniais estabelecidos nas IPSAS, NBC TSP e MCASP) estão aguardando a definição pela STN e CFC dos respectivos atos normativos para sua implantação.</w:t>
      </w:r>
    </w:p>
    <w:p w14:paraId="63697CE8" w14:textId="77777777" w:rsidR="003A7D20" w:rsidRDefault="003A7D20" w:rsidP="003A7D20">
      <w:pPr>
        <w:pStyle w:val="1-REL11"/>
      </w:pPr>
      <w:r>
        <w:t xml:space="preserve">A STN expediu a Portaria nº 1.569 no dia 11 de dezembro de 2023, incluindo no </w:t>
      </w:r>
      <w:r w:rsidRPr="00351E96">
        <w:t>Anexo I da Portaria STN nº</w:t>
      </w:r>
      <w:r>
        <w:t> </w:t>
      </w:r>
      <w:r w:rsidRPr="00351E96">
        <w:t>548</w:t>
      </w:r>
      <w:r>
        <w:t xml:space="preserve">/15 outros </w:t>
      </w:r>
      <w:r w:rsidRPr="00351E96">
        <w:t xml:space="preserve">procedimentos patrimoniais a serem </w:t>
      </w:r>
      <w:r>
        <w:t>empreendidos</w:t>
      </w:r>
      <w:r w:rsidRPr="00351E96">
        <w:t>, bem</w:t>
      </w:r>
      <w:r>
        <w:t xml:space="preserve"> </w:t>
      </w:r>
      <w:r w:rsidRPr="00351E96">
        <w:t xml:space="preserve">como os prazos </w:t>
      </w:r>
      <w:r>
        <w:t>que</w:t>
      </w:r>
      <w:r w:rsidRPr="00351E96">
        <w:t xml:space="preserve"> deverão ser obrigatoriamente seguidos p</w:t>
      </w:r>
      <w:r>
        <w:t xml:space="preserve">or todos </w:t>
      </w:r>
      <w:r w:rsidRPr="00351E96">
        <w:t>os entes da Federação</w:t>
      </w:r>
      <w:r>
        <w:t xml:space="preserve"> até 2032.</w:t>
      </w:r>
    </w:p>
    <w:p w14:paraId="60E9B85B" w14:textId="77777777" w:rsidR="003A7D20" w:rsidRDefault="003A7D20" w:rsidP="003A7D20">
      <w:pPr>
        <w:pStyle w:val="1-REL11"/>
      </w:pPr>
      <w:r>
        <w:t>Em virtude da promulgação da Portaria da STN nº 1.569/2023, a Superintendência Central de Contabilidade divulgou a</w:t>
      </w:r>
      <w:r w:rsidRPr="004B3F66">
        <w:t xml:space="preserve"> Nota Técnica nº</w:t>
      </w:r>
      <w:r>
        <w:t> </w:t>
      </w:r>
      <w:r w:rsidRPr="004B3F66">
        <w:t>2/2024 - ECONOMIA/SCC-15698</w:t>
      </w:r>
      <w:r>
        <w:t>, reconhecendo a importância da implantação dos procedimentos e do cumprimento dos respectivos prazos.</w:t>
      </w:r>
    </w:p>
    <w:p w14:paraId="0152605E" w14:textId="77777777" w:rsidR="003A7D20" w:rsidRPr="00700080" w:rsidRDefault="003A7D20" w:rsidP="003A7D20">
      <w:pPr>
        <w:pStyle w:val="1-REL11"/>
      </w:pPr>
      <w:r>
        <w:t xml:space="preserve">No quadro abaixo é apresentado o cronograma fixado pela Portaria da STN nº 1.569/2023 com prazo de implantação e registros contábeis até o exercício de 2031 no âmbito de estados e a situação atual </w:t>
      </w:r>
      <w:r w:rsidRPr="00700080">
        <w:t>do processo de atendimento à norma</w:t>
      </w:r>
      <w:r>
        <w:t xml:space="preserve"> no estado de Goiás:</w:t>
      </w:r>
    </w:p>
    <w:p w14:paraId="50479970" w14:textId="77777777" w:rsidR="003A7D20" w:rsidRDefault="003A7D20" w:rsidP="00AD6A34">
      <w:pPr>
        <w:pStyle w:val="0-T-QUADRO"/>
        <w:numPr>
          <w:ilvl w:val="0"/>
          <w:numId w:val="36"/>
        </w:numPr>
        <w:spacing w:before="440" w:after="120"/>
        <w:ind w:left="568" w:right="0" w:hanging="284"/>
      </w:pPr>
      <w:bookmarkStart w:id="512" w:name="_Toc167825122"/>
      <w:r w:rsidRPr="00700080">
        <w:t xml:space="preserve">Cronograma PIPCP com Prazo de Implantação e Registros Contábeis </w:t>
      </w:r>
      <w:r>
        <w:t>a</w:t>
      </w:r>
      <w:r w:rsidRPr="00700080">
        <w:t>té 2031</w:t>
      </w:r>
      <w:bookmarkEnd w:id="512"/>
    </w:p>
    <w:tbl>
      <w:tblPr>
        <w:tblW w:w="5000" w:type="pct"/>
        <w:tblCellMar>
          <w:left w:w="70" w:type="dxa"/>
          <w:right w:w="70" w:type="dxa"/>
        </w:tblCellMar>
        <w:tblLook w:val="04A0" w:firstRow="1" w:lastRow="0" w:firstColumn="1" w:lastColumn="0" w:noHBand="0" w:noVBand="1"/>
      </w:tblPr>
      <w:tblGrid>
        <w:gridCol w:w="524"/>
        <w:gridCol w:w="2642"/>
        <w:gridCol w:w="1760"/>
        <w:gridCol w:w="1743"/>
        <w:gridCol w:w="1549"/>
        <w:gridCol w:w="1125"/>
      </w:tblGrid>
      <w:tr w:rsidR="003A7D20" w:rsidRPr="0073415E" w14:paraId="6D0D8CD3" w14:textId="77777777" w:rsidTr="00B32D66">
        <w:trPr>
          <w:cantSplit/>
          <w:trHeight w:val="300"/>
          <w:tblHeader/>
        </w:trPr>
        <w:tc>
          <w:tcPr>
            <w:tcW w:w="280"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65D64CBB" w14:textId="77777777" w:rsidR="003A7D20" w:rsidRPr="0073415E" w:rsidRDefault="003A7D20" w:rsidP="00B32D66">
            <w:pPr>
              <w:jc w:val="center"/>
              <w:rPr>
                <w:rFonts w:cs="Arial"/>
                <w:b/>
                <w:bCs/>
                <w:color w:val="000000"/>
                <w:sz w:val="16"/>
                <w:szCs w:val="16"/>
              </w:rPr>
            </w:pPr>
            <w:r w:rsidRPr="0073415E">
              <w:rPr>
                <w:rFonts w:cs="Arial"/>
                <w:b/>
                <w:bCs/>
                <w:color w:val="000000"/>
                <w:sz w:val="16"/>
                <w:szCs w:val="16"/>
              </w:rPr>
              <w:t>Item</w:t>
            </w:r>
          </w:p>
        </w:tc>
        <w:tc>
          <w:tcPr>
            <w:tcW w:w="1414"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694A8E94" w14:textId="77777777" w:rsidR="003A7D20" w:rsidRPr="0073415E" w:rsidRDefault="003A7D20" w:rsidP="00B32D66">
            <w:pPr>
              <w:jc w:val="center"/>
              <w:rPr>
                <w:rFonts w:cs="Arial"/>
                <w:b/>
                <w:bCs/>
                <w:color w:val="000000"/>
                <w:sz w:val="16"/>
                <w:szCs w:val="16"/>
              </w:rPr>
            </w:pPr>
            <w:r w:rsidRPr="0073415E">
              <w:rPr>
                <w:rFonts w:cs="Arial"/>
                <w:b/>
                <w:bCs/>
                <w:color w:val="000000"/>
                <w:sz w:val="16"/>
                <w:szCs w:val="16"/>
              </w:rPr>
              <w:t>Procedimento</w:t>
            </w:r>
          </w:p>
        </w:tc>
        <w:tc>
          <w:tcPr>
            <w:tcW w:w="942"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6C4CAC23" w14:textId="77777777" w:rsidR="003A7D20" w:rsidRPr="0073415E" w:rsidRDefault="003A7D20" w:rsidP="00B32D66">
            <w:pPr>
              <w:jc w:val="center"/>
              <w:rPr>
                <w:rFonts w:cs="Arial"/>
                <w:b/>
                <w:bCs/>
                <w:color w:val="000000"/>
                <w:sz w:val="16"/>
                <w:szCs w:val="16"/>
              </w:rPr>
            </w:pPr>
            <w:r w:rsidRPr="0073415E">
              <w:rPr>
                <w:rFonts w:cs="Arial"/>
                <w:b/>
                <w:bCs/>
                <w:color w:val="000000"/>
                <w:sz w:val="16"/>
                <w:szCs w:val="16"/>
              </w:rPr>
              <w:t>Preparação de sistemas e outras providências de implantação (até)</w:t>
            </w:r>
          </w:p>
        </w:tc>
        <w:tc>
          <w:tcPr>
            <w:tcW w:w="933"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5474BBE4" w14:textId="77777777" w:rsidR="003A7D20" w:rsidRPr="0073415E" w:rsidRDefault="003A7D20" w:rsidP="00B32D66">
            <w:pPr>
              <w:jc w:val="center"/>
              <w:rPr>
                <w:rFonts w:cs="Arial"/>
                <w:b/>
                <w:bCs/>
                <w:color w:val="000000"/>
                <w:sz w:val="16"/>
                <w:szCs w:val="16"/>
              </w:rPr>
            </w:pPr>
            <w:r w:rsidRPr="0073415E">
              <w:rPr>
                <w:rFonts w:cs="Arial"/>
                <w:b/>
                <w:bCs/>
                <w:color w:val="000000"/>
                <w:sz w:val="16"/>
                <w:szCs w:val="16"/>
              </w:rPr>
              <w:t xml:space="preserve">Obrigatoriedade dos registros contábeis </w:t>
            </w:r>
            <w:r w:rsidRPr="0073415E">
              <w:rPr>
                <w:rFonts w:cs="Arial"/>
                <w:b/>
                <w:bCs/>
                <w:color w:val="000000"/>
                <w:sz w:val="16"/>
                <w:szCs w:val="16"/>
              </w:rPr>
              <w:br/>
              <w:t>(a partir de)</w:t>
            </w:r>
          </w:p>
        </w:tc>
        <w:tc>
          <w:tcPr>
            <w:tcW w:w="829" w:type="pct"/>
            <w:vMerge w:val="restart"/>
            <w:tcBorders>
              <w:top w:val="single" w:sz="4" w:space="0" w:color="auto"/>
              <w:left w:val="single" w:sz="4" w:space="0" w:color="auto"/>
              <w:bottom w:val="single" w:sz="4" w:space="0" w:color="000000"/>
              <w:right w:val="single" w:sz="4" w:space="0" w:color="auto"/>
            </w:tcBorders>
            <w:shd w:val="clear" w:color="000000" w:fill="A1F2FD"/>
            <w:vAlign w:val="center"/>
            <w:hideMark/>
          </w:tcPr>
          <w:p w14:paraId="1D58F95D" w14:textId="77777777" w:rsidR="003A7D20" w:rsidRPr="0073415E" w:rsidRDefault="003A7D20" w:rsidP="00B32D66">
            <w:pPr>
              <w:jc w:val="center"/>
              <w:rPr>
                <w:rFonts w:cs="Arial"/>
                <w:b/>
                <w:bCs/>
                <w:color w:val="000000"/>
                <w:sz w:val="16"/>
                <w:szCs w:val="16"/>
              </w:rPr>
            </w:pPr>
            <w:r w:rsidRPr="0073415E">
              <w:rPr>
                <w:rFonts w:cs="Arial"/>
                <w:b/>
                <w:bCs/>
                <w:color w:val="000000"/>
                <w:sz w:val="16"/>
                <w:szCs w:val="16"/>
              </w:rPr>
              <w:t>Verificação pelo Siconfi (a partir de)</w:t>
            </w:r>
          </w:p>
        </w:tc>
        <w:tc>
          <w:tcPr>
            <w:tcW w:w="602" w:type="pct"/>
            <w:vMerge w:val="restart"/>
            <w:tcBorders>
              <w:top w:val="single" w:sz="4" w:space="0" w:color="auto"/>
              <w:left w:val="single" w:sz="4" w:space="0" w:color="auto"/>
              <w:bottom w:val="single" w:sz="4" w:space="0" w:color="auto"/>
              <w:right w:val="single" w:sz="4" w:space="0" w:color="auto"/>
            </w:tcBorders>
            <w:shd w:val="clear" w:color="000000" w:fill="A1F2FD"/>
            <w:vAlign w:val="center"/>
            <w:hideMark/>
          </w:tcPr>
          <w:p w14:paraId="79632EF6" w14:textId="77777777" w:rsidR="003A7D20" w:rsidRPr="0073415E" w:rsidRDefault="003A7D20" w:rsidP="00B32D66">
            <w:pPr>
              <w:jc w:val="center"/>
              <w:rPr>
                <w:rFonts w:cs="Arial"/>
                <w:b/>
                <w:bCs/>
                <w:color w:val="000000"/>
                <w:sz w:val="16"/>
                <w:szCs w:val="16"/>
              </w:rPr>
            </w:pPr>
            <w:r w:rsidRPr="0073415E">
              <w:rPr>
                <w:rFonts w:cs="Arial"/>
                <w:b/>
                <w:bCs/>
                <w:color w:val="000000"/>
                <w:sz w:val="16"/>
                <w:szCs w:val="16"/>
              </w:rPr>
              <w:t>Situação</w:t>
            </w:r>
          </w:p>
        </w:tc>
      </w:tr>
      <w:tr w:rsidR="003A7D20" w:rsidRPr="0073415E" w14:paraId="078F8E5E" w14:textId="77777777" w:rsidTr="00B32D66">
        <w:trPr>
          <w:cantSplit/>
          <w:trHeight w:val="253"/>
        </w:trPr>
        <w:tc>
          <w:tcPr>
            <w:tcW w:w="280" w:type="pct"/>
            <w:vMerge/>
            <w:tcBorders>
              <w:top w:val="single" w:sz="4" w:space="0" w:color="auto"/>
              <w:left w:val="single" w:sz="4" w:space="0" w:color="auto"/>
              <w:bottom w:val="single" w:sz="4" w:space="0" w:color="auto"/>
              <w:right w:val="single" w:sz="4" w:space="0" w:color="auto"/>
            </w:tcBorders>
            <w:vAlign w:val="center"/>
            <w:hideMark/>
          </w:tcPr>
          <w:p w14:paraId="3BE0656D" w14:textId="77777777" w:rsidR="003A7D20" w:rsidRPr="0073415E" w:rsidRDefault="003A7D20" w:rsidP="00B32D66">
            <w:pPr>
              <w:jc w:val="left"/>
              <w:rPr>
                <w:rFonts w:cs="Arial"/>
                <w:b/>
                <w:bCs/>
                <w:color w:val="000000"/>
                <w:sz w:val="16"/>
                <w:szCs w:val="16"/>
              </w:rPr>
            </w:pPr>
          </w:p>
        </w:tc>
        <w:tc>
          <w:tcPr>
            <w:tcW w:w="1414" w:type="pct"/>
            <w:vMerge/>
            <w:tcBorders>
              <w:top w:val="single" w:sz="4" w:space="0" w:color="auto"/>
              <w:left w:val="single" w:sz="4" w:space="0" w:color="auto"/>
              <w:bottom w:val="single" w:sz="4" w:space="0" w:color="auto"/>
              <w:right w:val="single" w:sz="4" w:space="0" w:color="auto"/>
            </w:tcBorders>
            <w:vAlign w:val="center"/>
            <w:hideMark/>
          </w:tcPr>
          <w:p w14:paraId="2A9FDA4B" w14:textId="77777777" w:rsidR="003A7D20" w:rsidRPr="0073415E" w:rsidRDefault="003A7D20" w:rsidP="00B32D66">
            <w:pPr>
              <w:jc w:val="left"/>
              <w:rPr>
                <w:rFonts w:cs="Arial"/>
                <w:b/>
                <w:bCs/>
                <w:color w:val="000000"/>
                <w:sz w:val="16"/>
                <w:szCs w:val="16"/>
              </w:rPr>
            </w:pPr>
          </w:p>
        </w:tc>
        <w:tc>
          <w:tcPr>
            <w:tcW w:w="942" w:type="pct"/>
            <w:vMerge/>
            <w:tcBorders>
              <w:top w:val="single" w:sz="4" w:space="0" w:color="auto"/>
              <w:left w:val="single" w:sz="4" w:space="0" w:color="auto"/>
              <w:bottom w:val="single" w:sz="4" w:space="0" w:color="auto"/>
              <w:right w:val="single" w:sz="4" w:space="0" w:color="auto"/>
            </w:tcBorders>
            <w:vAlign w:val="center"/>
            <w:hideMark/>
          </w:tcPr>
          <w:p w14:paraId="518644F7" w14:textId="77777777" w:rsidR="003A7D20" w:rsidRPr="0073415E" w:rsidRDefault="003A7D20" w:rsidP="00B32D66">
            <w:pPr>
              <w:jc w:val="left"/>
              <w:rPr>
                <w:rFonts w:cs="Arial"/>
                <w:b/>
                <w:bCs/>
                <w:color w:val="000000"/>
                <w:sz w:val="16"/>
                <w:szCs w:val="16"/>
              </w:rPr>
            </w:pPr>
          </w:p>
        </w:tc>
        <w:tc>
          <w:tcPr>
            <w:tcW w:w="933" w:type="pct"/>
            <w:vMerge/>
            <w:tcBorders>
              <w:top w:val="single" w:sz="4" w:space="0" w:color="auto"/>
              <w:left w:val="single" w:sz="4" w:space="0" w:color="auto"/>
              <w:bottom w:val="single" w:sz="4" w:space="0" w:color="auto"/>
              <w:right w:val="single" w:sz="4" w:space="0" w:color="auto"/>
            </w:tcBorders>
            <w:vAlign w:val="center"/>
            <w:hideMark/>
          </w:tcPr>
          <w:p w14:paraId="271089C7" w14:textId="77777777" w:rsidR="003A7D20" w:rsidRPr="0073415E" w:rsidRDefault="003A7D20" w:rsidP="00B32D66">
            <w:pPr>
              <w:jc w:val="left"/>
              <w:rPr>
                <w:rFonts w:cs="Arial"/>
                <w:b/>
                <w:bCs/>
                <w:color w:val="000000"/>
                <w:sz w:val="16"/>
                <w:szCs w:val="16"/>
              </w:rPr>
            </w:pPr>
          </w:p>
        </w:tc>
        <w:tc>
          <w:tcPr>
            <w:tcW w:w="829" w:type="pct"/>
            <w:vMerge/>
            <w:tcBorders>
              <w:top w:val="single" w:sz="4" w:space="0" w:color="auto"/>
              <w:left w:val="single" w:sz="4" w:space="0" w:color="auto"/>
              <w:bottom w:val="single" w:sz="4" w:space="0" w:color="000000"/>
              <w:right w:val="single" w:sz="4" w:space="0" w:color="auto"/>
            </w:tcBorders>
            <w:vAlign w:val="center"/>
            <w:hideMark/>
          </w:tcPr>
          <w:p w14:paraId="40826D29" w14:textId="77777777" w:rsidR="003A7D20" w:rsidRPr="0073415E" w:rsidRDefault="003A7D20" w:rsidP="00B32D66">
            <w:pPr>
              <w:jc w:val="left"/>
              <w:rPr>
                <w:rFonts w:cs="Arial"/>
                <w:b/>
                <w:bCs/>
                <w:color w:val="000000"/>
                <w:sz w:val="16"/>
                <w:szCs w:val="16"/>
              </w:rPr>
            </w:pPr>
          </w:p>
        </w:tc>
        <w:tc>
          <w:tcPr>
            <w:tcW w:w="602" w:type="pct"/>
            <w:vMerge/>
            <w:tcBorders>
              <w:top w:val="single" w:sz="4" w:space="0" w:color="auto"/>
              <w:left w:val="single" w:sz="4" w:space="0" w:color="auto"/>
              <w:bottom w:val="single" w:sz="4" w:space="0" w:color="auto"/>
              <w:right w:val="single" w:sz="4" w:space="0" w:color="auto"/>
            </w:tcBorders>
            <w:vAlign w:val="center"/>
            <w:hideMark/>
          </w:tcPr>
          <w:p w14:paraId="66A29DE0" w14:textId="77777777" w:rsidR="003A7D20" w:rsidRPr="0073415E" w:rsidRDefault="003A7D20" w:rsidP="00B32D66">
            <w:pPr>
              <w:jc w:val="left"/>
              <w:rPr>
                <w:rFonts w:cs="Arial"/>
                <w:b/>
                <w:bCs/>
                <w:color w:val="000000"/>
                <w:sz w:val="16"/>
                <w:szCs w:val="16"/>
              </w:rPr>
            </w:pPr>
          </w:p>
        </w:tc>
      </w:tr>
      <w:tr w:rsidR="003A7D20" w:rsidRPr="0073415E" w14:paraId="7C706D14" w14:textId="77777777" w:rsidTr="00B32D66">
        <w:trPr>
          <w:cantSplit/>
          <w:trHeight w:val="45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29556685" w14:textId="77777777" w:rsidR="003A7D20" w:rsidRPr="0073415E" w:rsidRDefault="003A7D20" w:rsidP="00B32D66">
            <w:pPr>
              <w:jc w:val="center"/>
              <w:rPr>
                <w:rFonts w:cs="Arial"/>
                <w:color w:val="000000"/>
                <w:sz w:val="16"/>
                <w:szCs w:val="16"/>
              </w:rPr>
            </w:pPr>
            <w:r w:rsidRPr="0073415E">
              <w:rPr>
                <w:rFonts w:cs="Arial"/>
                <w:color w:val="000000"/>
                <w:sz w:val="16"/>
                <w:szCs w:val="16"/>
              </w:rPr>
              <w:t>20</w:t>
            </w:r>
          </w:p>
        </w:tc>
        <w:tc>
          <w:tcPr>
            <w:tcW w:w="1414" w:type="pct"/>
            <w:tcBorders>
              <w:top w:val="nil"/>
              <w:left w:val="nil"/>
              <w:bottom w:val="single" w:sz="4" w:space="0" w:color="auto"/>
              <w:right w:val="single" w:sz="4" w:space="0" w:color="auto"/>
            </w:tcBorders>
            <w:shd w:val="clear" w:color="auto" w:fill="auto"/>
            <w:vAlign w:val="center"/>
            <w:hideMark/>
          </w:tcPr>
          <w:p w14:paraId="4C4AC2E6" w14:textId="77777777" w:rsidR="003A7D20" w:rsidRPr="0073415E" w:rsidRDefault="003A7D20" w:rsidP="00B32D66">
            <w:pPr>
              <w:rPr>
                <w:rFonts w:cs="Arial"/>
                <w:color w:val="000000"/>
                <w:sz w:val="16"/>
                <w:szCs w:val="16"/>
              </w:rPr>
            </w:pPr>
            <w:r w:rsidRPr="0073415E">
              <w:rPr>
                <w:rFonts w:cs="Arial"/>
                <w:color w:val="000000"/>
                <w:sz w:val="16"/>
                <w:szCs w:val="16"/>
              </w:rPr>
              <w:t>Reconhecimento, mensuração e evidenciação dos benefícios sociais</w:t>
            </w:r>
          </w:p>
        </w:tc>
        <w:tc>
          <w:tcPr>
            <w:tcW w:w="942" w:type="pct"/>
            <w:tcBorders>
              <w:top w:val="nil"/>
              <w:left w:val="nil"/>
              <w:bottom w:val="single" w:sz="4" w:space="0" w:color="auto"/>
              <w:right w:val="single" w:sz="4" w:space="0" w:color="auto"/>
            </w:tcBorders>
            <w:shd w:val="clear" w:color="auto" w:fill="auto"/>
            <w:vAlign w:val="center"/>
            <w:hideMark/>
          </w:tcPr>
          <w:p w14:paraId="6B23CF70" w14:textId="77777777" w:rsidR="003A7D20" w:rsidRPr="0073415E" w:rsidRDefault="003A7D20" w:rsidP="00B32D66">
            <w:pPr>
              <w:jc w:val="center"/>
              <w:rPr>
                <w:rFonts w:cs="Arial"/>
                <w:color w:val="000000"/>
                <w:sz w:val="16"/>
                <w:szCs w:val="16"/>
              </w:rPr>
            </w:pPr>
            <w:r w:rsidRPr="0073415E">
              <w:rPr>
                <w:rFonts w:cs="Arial"/>
                <w:color w:val="000000"/>
                <w:sz w:val="16"/>
                <w:szCs w:val="16"/>
              </w:rPr>
              <w:t>31/12/2025</w:t>
            </w:r>
          </w:p>
        </w:tc>
        <w:tc>
          <w:tcPr>
            <w:tcW w:w="933" w:type="pct"/>
            <w:tcBorders>
              <w:top w:val="nil"/>
              <w:left w:val="nil"/>
              <w:bottom w:val="single" w:sz="4" w:space="0" w:color="auto"/>
              <w:right w:val="single" w:sz="4" w:space="0" w:color="auto"/>
            </w:tcBorders>
            <w:shd w:val="clear" w:color="auto" w:fill="auto"/>
            <w:vAlign w:val="center"/>
            <w:hideMark/>
          </w:tcPr>
          <w:p w14:paraId="57D9EC61" w14:textId="77777777" w:rsidR="003A7D20" w:rsidRPr="0073415E" w:rsidRDefault="003A7D20" w:rsidP="00B32D66">
            <w:pPr>
              <w:jc w:val="center"/>
              <w:rPr>
                <w:rFonts w:cs="Arial"/>
                <w:color w:val="000000"/>
                <w:sz w:val="16"/>
                <w:szCs w:val="16"/>
              </w:rPr>
            </w:pPr>
            <w:r w:rsidRPr="0073415E">
              <w:rPr>
                <w:rFonts w:cs="Arial"/>
                <w:color w:val="000000"/>
                <w:sz w:val="16"/>
                <w:szCs w:val="16"/>
              </w:rPr>
              <w:t>01/01/2026</w:t>
            </w:r>
          </w:p>
        </w:tc>
        <w:tc>
          <w:tcPr>
            <w:tcW w:w="829" w:type="pct"/>
            <w:tcBorders>
              <w:top w:val="nil"/>
              <w:left w:val="nil"/>
              <w:bottom w:val="single" w:sz="4" w:space="0" w:color="auto"/>
              <w:right w:val="single" w:sz="4" w:space="0" w:color="auto"/>
            </w:tcBorders>
            <w:shd w:val="clear" w:color="auto" w:fill="auto"/>
            <w:vAlign w:val="center"/>
            <w:hideMark/>
          </w:tcPr>
          <w:p w14:paraId="063EB4B3" w14:textId="77777777" w:rsidR="00C66579" w:rsidRDefault="003A7D20" w:rsidP="00B32D66">
            <w:pPr>
              <w:jc w:val="center"/>
              <w:rPr>
                <w:rFonts w:cs="Arial"/>
                <w:color w:val="000000"/>
                <w:sz w:val="16"/>
                <w:szCs w:val="16"/>
              </w:rPr>
            </w:pPr>
            <w:r w:rsidRPr="0073415E">
              <w:rPr>
                <w:rFonts w:cs="Arial"/>
                <w:color w:val="000000"/>
                <w:sz w:val="16"/>
                <w:szCs w:val="16"/>
              </w:rPr>
              <w:t xml:space="preserve">2027 </w:t>
            </w:r>
          </w:p>
          <w:p w14:paraId="5E4E2645" w14:textId="3F785416" w:rsidR="003A7D20" w:rsidRPr="0073415E" w:rsidRDefault="003A7D20" w:rsidP="00B32D66">
            <w:pPr>
              <w:jc w:val="center"/>
              <w:rPr>
                <w:rFonts w:cs="Arial"/>
                <w:color w:val="000000"/>
                <w:sz w:val="16"/>
                <w:szCs w:val="16"/>
              </w:rPr>
            </w:pPr>
            <w:r w:rsidRPr="0073415E">
              <w:rPr>
                <w:rFonts w:cs="Arial"/>
                <w:color w:val="000000"/>
                <w:sz w:val="16"/>
                <w:szCs w:val="16"/>
              </w:rPr>
              <w:t>(dados de 2026)</w:t>
            </w:r>
          </w:p>
        </w:tc>
        <w:tc>
          <w:tcPr>
            <w:tcW w:w="602" w:type="pct"/>
            <w:tcBorders>
              <w:top w:val="nil"/>
              <w:left w:val="nil"/>
              <w:bottom w:val="single" w:sz="4" w:space="0" w:color="auto"/>
              <w:right w:val="single" w:sz="4" w:space="0" w:color="auto"/>
            </w:tcBorders>
            <w:shd w:val="clear" w:color="auto" w:fill="auto"/>
            <w:noWrap/>
            <w:vAlign w:val="center"/>
            <w:hideMark/>
          </w:tcPr>
          <w:p w14:paraId="771F0785" w14:textId="77777777" w:rsidR="003A7D20" w:rsidRPr="0073415E" w:rsidRDefault="003A7D20" w:rsidP="00B32D66">
            <w:pPr>
              <w:jc w:val="center"/>
              <w:rPr>
                <w:rFonts w:cs="Arial"/>
                <w:color w:val="000000"/>
                <w:sz w:val="16"/>
                <w:szCs w:val="16"/>
              </w:rPr>
            </w:pPr>
            <w:r w:rsidRPr="0073415E">
              <w:rPr>
                <w:rFonts w:cs="Arial"/>
                <w:color w:val="000000"/>
                <w:sz w:val="16"/>
                <w:szCs w:val="16"/>
              </w:rPr>
              <w:t>Não iniciado</w:t>
            </w:r>
          </w:p>
        </w:tc>
      </w:tr>
      <w:tr w:rsidR="003A7D20" w:rsidRPr="0073415E" w14:paraId="43BC170C" w14:textId="77777777" w:rsidTr="00B32D66">
        <w:trPr>
          <w:cantSplit/>
          <w:trHeight w:val="675"/>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00158A89" w14:textId="77777777" w:rsidR="003A7D20" w:rsidRPr="0073415E" w:rsidRDefault="003A7D20" w:rsidP="00B32D66">
            <w:pPr>
              <w:jc w:val="center"/>
              <w:rPr>
                <w:rFonts w:cs="Arial"/>
                <w:color w:val="000000"/>
                <w:sz w:val="16"/>
                <w:szCs w:val="16"/>
              </w:rPr>
            </w:pPr>
            <w:r w:rsidRPr="0073415E">
              <w:rPr>
                <w:rFonts w:cs="Arial"/>
                <w:color w:val="000000"/>
                <w:sz w:val="16"/>
                <w:szCs w:val="16"/>
              </w:rPr>
              <w:t>21</w:t>
            </w:r>
          </w:p>
        </w:tc>
        <w:tc>
          <w:tcPr>
            <w:tcW w:w="1414" w:type="pct"/>
            <w:tcBorders>
              <w:top w:val="nil"/>
              <w:left w:val="nil"/>
              <w:bottom w:val="single" w:sz="4" w:space="0" w:color="auto"/>
              <w:right w:val="single" w:sz="4" w:space="0" w:color="auto"/>
            </w:tcBorders>
            <w:shd w:val="clear" w:color="auto" w:fill="auto"/>
            <w:vAlign w:val="center"/>
            <w:hideMark/>
          </w:tcPr>
          <w:p w14:paraId="55705D65" w14:textId="77777777" w:rsidR="003A7D20" w:rsidRPr="0073415E" w:rsidRDefault="003A7D20" w:rsidP="00B32D66">
            <w:pPr>
              <w:rPr>
                <w:rFonts w:cs="Arial"/>
                <w:color w:val="000000"/>
                <w:sz w:val="16"/>
                <w:szCs w:val="16"/>
              </w:rPr>
            </w:pPr>
            <w:r w:rsidRPr="0073415E">
              <w:rPr>
                <w:rFonts w:cs="Arial"/>
                <w:color w:val="000000"/>
                <w:sz w:val="16"/>
                <w:szCs w:val="16"/>
              </w:rPr>
              <w:t>Reconhecimento, mensuração e evidenciação dos instrumentos financeiros</w:t>
            </w:r>
          </w:p>
        </w:tc>
        <w:tc>
          <w:tcPr>
            <w:tcW w:w="942" w:type="pct"/>
            <w:tcBorders>
              <w:top w:val="nil"/>
              <w:left w:val="nil"/>
              <w:bottom w:val="single" w:sz="4" w:space="0" w:color="auto"/>
              <w:right w:val="single" w:sz="4" w:space="0" w:color="auto"/>
            </w:tcBorders>
            <w:shd w:val="clear" w:color="auto" w:fill="auto"/>
            <w:vAlign w:val="center"/>
            <w:hideMark/>
          </w:tcPr>
          <w:p w14:paraId="52BBCB4D" w14:textId="77777777" w:rsidR="003A7D20" w:rsidRPr="0073415E" w:rsidRDefault="003A7D20" w:rsidP="00B32D66">
            <w:pPr>
              <w:jc w:val="center"/>
              <w:rPr>
                <w:rFonts w:cs="Arial"/>
                <w:color w:val="000000"/>
                <w:sz w:val="16"/>
                <w:szCs w:val="16"/>
              </w:rPr>
            </w:pPr>
            <w:r w:rsidRPr="0073415E">
              <w:rPr>
                <w:rFonts w:cs="Arial"/>
                <w:color w:val="000000"/>
                <w:sz w:val="16"/>
                <w:szCs w:val="16"/>
              </w:rPr>
              <w:t>31/12/2026</w:t>
            </w:r>
          </w:p>
        </w:tc>
        <w:tc>
          <w:tcPr>
            <w:tcW w:w="933" w:type="pct"/>
            <w:tcBorders>
              <w:top w:val="nil"/>
              <w:left w:val="nil"/>
              <w:bottom w:val="single" w:sz="4" w:space="0" w:color="auto"/>
              <w:right w:val="single" w:sz="4" w:space="0" w:color="auto"/>
            </w:tcBorders>
            <w:shd w:val="clear" w:color="auto" w:fill="auto"/>
            <w:vAlign w:val="center"/>
            <w:hideMark/>
          </w:tcPr>
          <w:p w14:paraId="097327C3" w14:textId="77777777" w:rsidR="003A7D20" w:rsidRPr="0073415E" w:rsidRDefault="003A7D20" w:rsidP="00B32D66">
            <w:pPr>
              <w:jc w:val="center"/>
              <w:rPr>
                <w:rFonts w:cs="Arial"/>
                <w:color w:val="000000"/>
                <w:sz w:val="16"/>
                <w:szCs w:val="16"/>
              </w:rPr>
            </w:pPr>
            <w:r w:rsidRPr="0073415E">
              <w:rPr>
                <w:rFonts w:cs="Arial"/>
                <w:color w:val="000000"/>
                <w:sz w:val="16"/>
                <w:szCs w:val="16"/>
              </w:rPr>
              <w:t>01/01/2027</w:t>
            </w:r>
          </w:p>
        </w:tc>
        <w:tc>
          <w:tcPr>
            <w:tcW w:w="829" w:type="pct"/>
            <w:tcBorders>
              <w:top w:val="nil"/>
              <w:left w:val="nil"/>
              <w:bottom w:val="single" w:sz="4" w:space="0" w:color="auto"/>
              <w:right w:val="single" w:sz="4" w:space="0" w:color="auto"/>
            </w:tcBorders>
            <w:shd w:val="clear" w:color="auto" w:fill="auto"/>
            <w:vAlign w:val="center"/>
            <w:hideMark/>
          </w:tcPr>
          <w:p w14:paraId="68B61271" w14:textId="77777777" w:rsidR="00C66579" w:rsidRDefault="003A7D20" w:rsidP="00B32D66">
            <w:pPr>
              <w:jc w:val="center"/>
              <w:rPr>
                <w:rFonts w:cs="Arial"/>
                <w:color w:val="000000"/>
                <w:sz w:val="16"/>
                <w:szCs w:val="16"/>
              </w:rPr>
            </w:pPr>
            <w:r w:rsidRPr="0073415E">
              <w:rPr>
                <w:rFonts w:cs="Arial"/>
                <w:color w:val="000000"/>
                <w:sz w:val="16"/>
                <w:szCs w:val="16"/>
              </w:rPr>
              <w:t xml:space="preserve">2028 </w:t>
            </w:r>
          </w:p>
          <w:p w14:paraId="21C90EB3" w14:textId="2AC528AC" w:rsidR="003A7D20" w:rsidRPr="0073415E" w:rsidRDefault="003A7D20" w:rsidP="00B32D66">
            <w:pPr>
              <w:jc w:val="center"/>
              <w:rPr>
                <w:rFonts w:cs="Arial"/>
                <w:color w:val="000000"/>
                <w:sz w:val="16"/>
                <w:szCs w:val="16"/>
              </w:rPr>
            </w:pPr>
            <w:r w:rsidRPr="0073415E">
              <w:rPr>
                <w:rFonts w:cs="Arial"/>
                <w:color w:val="000000"/>
                <w:sz w:val="16"/>
                <w:szCs w:val="16"/>
              </w:rPr>
              <w:t>(dados de 2027)</w:t>
            </w:r>
          </w:p>
        </w:tc>
        <w:tc>
          <w:tcPr>
            <w:tcW w:w="602" w:type="pct"/>
            <w:tcBorders>
              <w:top w:val="nil"/>
              <w:left w:val="nil"/>
              <w:bottom w:val="single" w:sz="4" w:space="0" w:color="auto"/>
              <w:right w:val="single" w:sz="4" w:space="0" w:color="auto"/>
            </w:tcBorders>
            <w:shd w:val="clear" w:color="auto" w:fill="auto"/>
            <w:noWrap/>
            <w:vAlign w:val="center"/>
            <w:hideMark/>
          </w:tcPr>
          <w:p w14:paraId="3945BEF9" w14:textId="77777777" w:rsidR="003A7D20" w:rsidRPr="0073415E" w:rsidRDefault="003A7D20" w:rsidP="00B32D66">
            <w:pPr>
              <w:jc w:val="center"/>
              <w:rPr>
                <w:rFonts w:cs="Arial"/>
                <w:color w:val="000000"/>
                <w:sz w:val="16"/>
                <w:szCs w:val="16"/>
              </w:rPr>
            </w:pPr>
            <w:r w:rsidRPr="0073415E">
              <w:rPr>
                <w:rFonts w:cs="Arial"/>
                <w:color w:val="000000"/>
                <w:sz w:val="16"/>
                <w:szCs w:val="16"/>
              </w:rPr>
              <w:t>Não iniciado</w:t>
            </w:r>
          </w:p>
        </w:tc>
      </w:tr>
      <w:tr w:rsidR="003A7D20" w:rsidRPr="0073415E" w14:paraId="7DA4F48D" w14:textId="77777777" w:rsidTr="00B32D66">
        <w:trPr>
          <w:cantSplit/>
          <w:trHeight w:val="45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21CCF0DE" w14:textId="77777777" w:rsidR="003A7D20" w:rsidRPr="0073415E" w:rsidRDefault="003A7D20" w:rsidP="00B32D66">
            <w:pPr>
              <w:jc w:val="center"/>
              <w:rPr>
                <w:rFonts w:cs="Arial"/>
                <w:color w:val="000000"/>
                <w:sz w:val="16"/>
                <w:szCs w:val="16"/>
              </w:rPr>
            </w:pPr>
            <w:r w:rsidRPr="0073415E">
              <w:rPr>
                <w:rFonts w:cs="Arial"/>
                <w:color w:val="000000"/>
                <w:sz w:val="16"/>
                <w:szCs w:val="16"/>
              </w:rPr>
              <w:t>22</w:t>
            </w:r>
          </w:p>
        </w:tc>
        <w:tc>
          <w:tcPr>
            <w:tcW w:w="1414" w:type="pct"/>
            <w:tcBorders>
              <w:top w:val="nil"/>
              <w:left w:val="nil"/>
              <w:bottom w:val="single" w:sz="4" w:space="0" w:color="auto"/>
              <w:right w:val="single" w:sz="4" w:space="0" w:color="auto"/>
            </w:tcBorders>
            <w:shd w:val="clear" w:color="auto" w:fill="auto"/>
            <w:vAlign w:val="center"/>
            <w:hideMark/>
          </w:tcPr>
          <w:p w14:paraId="4E412F64" w14:textId="77777777" w:rsidR="003A7D20" w:rsidRPr="0073415E" w:rsidRDefault="003A7D20" w:rsidP="00B32D66">
            <w:pPr>
              <w:rPr>
                <w:rFonts w:cs="Arial"/>
                <w:color w:val="000000"/>
                <w:sz w:val="16"/>
                <w:szCs w:val="16"/>
              </w:rPr>
            </w:pPr>
            <w:r w:rsidRPr="0073415E">
              <w:rPr>
                <w:rFonts w:cs="Arial"/>
                <w:color w:val="000000"/>
                <w:sz w:val="16"/>
                <w:szCs w:val="16"/>
              </w:rPr>
              <w:t>Reconhecimento, mensuração e evidenciação Arrendamentos</w:t>
            </w:r>
          </w:p>
        </w:tc>
        <w:tc>
          <w:tcPr>
            <w:tcW w:w="942" w:type="pct"/>
            <w:tcBorders>
              <w:top w:val="nil"/>
              <w:left w:val="nil"/>
              <w:bottom w:val="single" w:sz="4" w:space="0" w:color="auto"/>
              <w:right w:val="single" w:sz="4" w:space="0" w:color="auto"/>
            </w:tcBorders>
            <w:shd w:val="clear" w:color="auto" w:fill="auto"/>
            <w:vAlign w:val="center"/>
            <w:hideMark/>
          </w:tcPr>
          <w:p w14:paraId="35C3F8C1" w14:textId="77777777" w:rsidR="003A7D20" w:rsidRPr="0073415E" w:rsidRDefault="003A7D20" w:rsidP="00B32D66">
            <w:pPr>
              <w:jc w:val="center"/>
              <w:rPr>
                <w:rFonts w:cs="Arial"/>
                <w:color w:val="000000"/>
                <w:sz w:val="16"/>
                <w:szCs w:val="16"/>
              </w:rPr>
            </w:pPr>
            <w:r w:rsidRPr="0073415E">
              <w:rPr>
                <w:rFonts w:cs="Arial"/>
                <w:color w:val="000000"/>
                <w:sz w:val="16"/>
                <w:szCs w:val="16"/>
              </w:rPr>
              <w:t>31/12/2027</w:t>
            </w:r>
          </w:p>
        </w:tc>
        <w:tc>
          <w:tcPr>
            <w:tcW w:w="933" w:type="pct"/>
            <w:tcBorders>
              <w:top w:val="nil"/>
              <w:left w:val="nil"/>
              <w:bottom w:val="single" w:sz="4" w:space="0" w:color="auto"/>
              <w:right w:val="single" w:sz="4" w:space="0" w:color="auto"/>
            </w:tcBorders>
            <w:shd w:val="clear" w:color="auto" w:fill="auto"/>
            <w:vAlign w:val="center"/>
            <w:hideMark/>
          </w:tcPr>
          <w:p w14:paraId="3A2ACD65" w14:textId="77777777" w:rsidR="003A7D20" w:rsidRPr="0073415E" w:rsidRDefault="003A7D20" w:rsidP="00B32D66">
            <w:pPr>
              <w:jc w:val="center"/>
              <w:rPr>
                <w:rFonts w:cs="Arial"/>
                <w:color w:val="000000"/>
                <w:sz w:val="16"/>
                <w:szCs w:val="16"/>
              </w:rPr>
            </w:pPr>
            <w:r w:rsidRPr="0073415E">
              <w:rPr>
                <w:rFonts w:cs="Arial"/>
                <w:color w:val="000000"/>
                <w:sz w:val="16"/>
                <w:szCs w:val="16"/>
              </w:rPr>
              <w:t>01/01/2028</w:t>
            </w:r>
          </w:p>
        </w:tc>
        <w:tc>
          <w:tcPr>
            <w:tcW w:w="829" w:type="pct"/>
            <w:tcBorders>
              <w:top w:val="nil"/>
              <w:left w:val="nil"/>
              <w:bottom w:val="single" w:sz="4" w:space="0" w:color="auto"/>
              <w:right w:val="single" w:sz="4" w:space="0" w:color="auto"/>
            </w:tcBorders>
            <w:shd w:val="clear" w:color="auto" w:fill="auto"/>
            <w:vAlign w:val="center"/>
            <w:hideMark/>
          </w:tcPr>
          <w:p w14:paraId="58361944" w14:textId="77777777" w:rsidR="00C66579" w:rsidRDefault="003A7D20" w:rsidP="00B32D66">
            <w:pPr>
              <w:jc w:val="center"/>
              <w:rPr>
                <w:rFonts w:cs="Arial"/>
                <w:color w:val="000000"/>
                <w:sz w:val="16"/>
                <w:szCs w:val="16"/>
              </w:rPr>
            </w:pPr>
            <w:r w:rsidRPr="0073415E">
              <w:rPr>
                <w:rFonts w:cs="Arial"/>
                <w:color w:val="000000"/>
                <w:sz w:val="16"/>
                <w:szCs w:val="16"/>
              </w:rPr>
              <w:t xml:space="preserve">2029 </w:t>
            </w:r>
          </w:p>
          <w:p w14:paraId="171667E5" w14:textId="15256F93" w:rsidR="003A7D20" w:rsidRPr="0073415E" w:rsidRDefault="003A7D20" w:rsidP="00B32D66">
            <w:pPr>
              <w:jc w:val="center"/>
              <w:rPr>
                <w:rFonts w:cs="Arial"/>
                <w:color w:val="000000"/>
                <w:sz w:val="16"/>
                <w:szCs w:val="16"/>
              </w:rPr>
            </w:pPr>
            <w:r w:rsidRPr="0073415E">
              <w:rPr>
                <w:rFonts w:cs="Arial"/>
                <w:color w:val="000000"/>
                <w:sz w:val="16"/>
                <w:szCs w:val="16"/>
              </w:rPr>
              <w:t>(dados de 2028)</w:t>
            </w:r>
          </w:p>
        </w:tc>
        <w:tc>
          <w:tcPr>
            <w:tcW w:w="602" w:type="pct"/>
            <w:tcBorders>
              <w:top w:val="nil"/>
              <w:left w:val="nil"/>
              <w:bottom w:val="single" w:sz="4" w:space="0" w:color="auto"/>
              <w:right w:val="single" w:sz="4" w:space="0" w:color="auto"/>
            </w:tcBorders>
            <w:shd w:val="clear" w:color="auto" w:fill="auto"/>
            <w:noWrap/>
            <w:vAlign w:val="center"/>
            <w:hideMark/>
          </w:tcPr>
          <w:p w14:paraId="519C8B9D" w14:textId="77777777" w:rsidR="003A7D20" w:rsidRPr="0073415E" w:rsidRDefault="003A7D20" w:rsidP="00B32D66">
            <w:pPr>
              <w:jc w:val="center"/>
              <w:rPr>
                <w:rFonts w:cs="Arial"/>
                <w:color w:val="000000"/>
                <w:sz w:val="16"/>
                <w:szCs w:val="16"/>
              </w:rPr>
            </w:pPr>
            <w:r w:rsidRPr="0073415E">
              <w:rPr>
                <w:rFonts w:cs="Arial"/>
                <w:color w:val="000000"/>
                <w:sz w:val="16"/>
                <w:szCs w:val="16"/>
              </w:rPr>
              <w:t>Não iniciado</w:t>
            </w:r>
          </w:p>
        </w:tc>
      </w:tr>
      <w:tr w:rsidR="003A7D20" w:rsidRPr="0073415E" w14:paraId="76798D85" w14:textId="77777777" w:rsidTr="00B32D66">
        <w:trPr>
          <w:cantSplit/>
          <w:trHeight w:val="90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3C46C25A" w14:textId="77777777" w:rsidR="003A7D20" w:rsidRPr="0073415E" w:rsidRDefault="003A7D20" w:rsidP="00B32D66">
            <w:pPr>
              <w:jc w:val="center"/>
              <w:rPr>
                <w:rFonts w:cs="Arial"/>
                <w:color w:val="000000"/>
                <w:sz w:val="16"/>
                <w:szCs w:val="16"/>
              </w:rPr>
            </w:pPr>
            <w:r w:rsidRPr="0073415E">
              <w:rPr>
                <w:rFonts w:cs="Arial"/>
                <w:color w:val="000000"/>
                <w:sz w:val="16"/>
                <w:szCs w:val="16"/>
              </w:rPr>
              <w:t>23</w:t>
            </w:r>
          </w:p>
        </w:tc>
        <w:tc>
          <w:tcPr>
            <w:tcW w:w="1414" w:type="pct"/>
            <w:tcBorders>
              <w:top w:val="nil"/>
              <w:left w:val="nil"/>
              <w:bottom w:val="single" w:sz="4" w:space="0" w:color="auto"/>
              <w:right w:val="single" w:sz="4" w:space="0" w:color="auto"/>
            </w:tcBorders>
            <w:shd w:val="clear" w:color="auto" w:fill="auto"/>
            <w:vAlign w:val="center"/>
            <w:hideMark/>
          </w:tcPr>
          <w:p w14:paraId="019ADDBA" w14:textId="77777777" w:rsidR="003A7D20" w:rsidRPr="0073415E" w:rsidRDefault="003A7D20" w:rsidP="00B32D66">
            <w:pPr>
              <w:rPr>
                <w:rFonts w:cs="Arial"/>
                <w:color w:val="000000"/>
                <w:sz w:val="16"/>
                <w:szCs w:val="16"/>
              </w:rPr>
            </w:pPr>
            <w:r w:rsidRPr="0073415E">
              <w:rPr>
                <w:rFonts w:cs="Arial"/>
                <w:color w:val="000000"/>
                <w:sz w:val="16"/>
                <w:szCs w:val="16"/>
              </w:rPr>
              <w:t>Reconhecimento, mensuração e evidenciação Ativos Não Circulantes Mantidos para Venda e Operações Descontinuadas</w:t>
            </w:r>
          </w:p>
        </w:tc>
        <w:tc>
          <w:tcPr>
            <w:tcW w:w="942" w:type="pct"/>
            <w:tcBorders>
              <w:top w:val="nil"/>
              <w:left w:val="nil"/>
              <w:bottom w:val="single" w:sz="4" w:space="0" w:color="auto"/>
              <w:right w:val="single" w:sz="4" w:space="0" w:color="auto"/>
            </w:tcBorders>
            <w:shd w:val="clear" w:color="auto" w:fill="auto"/>
            <w:vAlign w:val="center"/>
            <w:hideMark/>
          </w:tcPr>
          <w:p w14:paraId="2D38D2AE" w14:textId="77777777" w:rsidR="003A7D20" w:rsidRPr="0073415E" w:rsidRDefault="003A7D20" w:rsidP="00B32D66">
            <w:pPr>
              <w:jc w:val="center"/>
              <w:rPr>
                <w:rFonts w:cs="Arial"/>
                <w:color w:val="000000"/>
                <w:sz w:val="16"/>
                <w:szCs w:val="16"/>
              </w:rPr>
            </w:pPr>
            <w:r w:rsidRPr="0073415E">
              <w:rPr>
                <w:rFonts w:cs="Arial"/>
                <w:color w:val="000000"/>
                <w:sz w:val="16"/>
                <w:szCs w:val="16"/>
              </w:rPr>
              <w:t>31/12/2027</w:t>
            </w:r>
          </w:p>
        </w:tc>
        <w:tc>
          <w:tcPr>
            <w:tcW w:w="933" w:type="pct"/>
            <w:tcBorders>
              <w:top w:val="nil"/>
              <w:left w:val="nil"/>
              <w:bottom w:val="single" w:sz="4" w:space="0" w:color="auto"/>
              <w:right w:val="single" w:sz="4" w:space="0" w:color="auto"/>
            </w:tcBorders>
            <w:shd w:val="clear" w:color="auto" w:fill="auto"/>
            <w:vAlign w:val="center"/>
            <w:hideMark/>
          </w:tcPr>
          <w:p w14:paraId="77F73A32" w14:textId="77777777" w:rsidR="003A7D20" w:rsidRPr="0073415E" w:rsidRDefault="003A7D20" w:rsidP="00B32D66">
            <w:pPr>
              <w:jc w:val="center"/>
              <w:rPr>
                <w:rFonts w:cs="Arial"/>
                <w:color w:val="000000"/>
                <w:sz w:val="16"/>
                <w:szCs w:val="16"/>
              </w:rPr>
            </w:pPr>
            <w:r w:rsidRPr="0073415E">
              <w:rPr>
                <w:rFonts w:cs="Arial"/>
                <w:color w:val="000000"/>
                <w:sz w:val="16"/>
                <w:szCs w:val="16"/>
              </w:rPr>
              <w:t>01/01/2028</w:t>
            </w:r>
          </w:p>
        </w:tc>
        <w:tc>
          <w:tcPr>
            <w:tcW w:w="829" w:type="pct"/>
            <w:tcBorders>
              <w:top w:val="nil"/>
              <w:left w:val="nil"/>
              <w:bottom w:val="single" w:sz="4" w:space="0" w:color="auto"/>
              <w:right w:val="single" w:sz="4" w:space="0" w:color="auto"/>
            </w:tcBorders>
            <w:shd w:val="clear" w:color="auto" w:fill="auto"/>
            <w:vAlign w:val="center"/>
            <w:hideMark/>
          </w:tcPr>
          <w:p w14:paraId="608B3E60" w14:textId="77777777" w:rsidR="00C66579" w:rsidRDefault="003A7D20" w:rsidP="00B32D66">
            <w:pPr>
              <w:jc w:val="center"/>
              <w:rPr>
                <w:rFonts w:cs="Arial"/>
                <w:color w:val="000000"/>
                <w:sz w:val="16"/>
                <w:szCs w:val="16"/>
              </w:rPr>
            </w:pPr>
            <w:r w:rsidRPr="0073415E">
              <w:rPr>
                <w:rFonts w:cs="Arial"/>
                <w:color w:val="000000"/>
                <w:sz w:val="16"/>
                <w:szCs w:val="16"/>
              </w:rPr>
              <w:t>2029</w:t>
            </w:r>
          </w:p>
          <w:p w14:paraId="62808576" w14:textId="1B211E11" w:rsidR="003A7D20" w:rsidRPr="0073415E" w:rsidRDefault="003A7D20" w:rsidP="00B32D66">
            <w:pPr>
              <w:jc w:val="center"/>
              <w:rPr>
                <w:rFonts w:cs="Arial"/>
                <w:color w:val="000000"/>
                <w:sz w:val="16"/>
                <w:szCs w:val="16"/>
              </w:rPr>
            </w:pPr>
            <w:r w:rsidRPr="0073415E">
              <w:rPr>
                <w:rFonts w:cs="Arial"/>
                <w:color w:val="000000"/>
                <w:sz w:val="16"/>
                <w:szCs w:val="16"/>
              </w:rPr>
              <w:t xml:space="preserve"> (dados de 2028)</w:t>
            </w:r>
          </w:p>
        </w:tc>
        <w:tc>
          <w:tcPr>
            <w:tcW w:w="602" w:type="pct"/>
            <w:tcBorders>
              <w:top w:val="nil"/>
              <w:left w:val="nil"/>
              <w:bottom w:val="single" w:sz="4" w:space="0" w:color="auto"/>
              <w:right w:val="single" w:sz="4" w:space="0" w:color="auto"/>
            </w:tcBorders>
            <w:shd w:val="clear" w:color="auto" w:fill="auto"/>
            <w:noWrap/>
            <w:vAlign w:val="center"/>
            <w:hideMark/>
          </w:tcPr>
          <w:p w14:paraId="778CFAAC" w14:textId="77777777" w:rsidR="003A7D20" w:rsidRPr="0073415E" w:rsidRDefault="003A7D20" w:rsidP="00B32D66">
            <w:pPr>
              <w:jc w:val="center"/>
              <w:rPr>
                <w:rFonts w:cs="Arial"/>
                <w:color w:val="000000"/>
                <w:sz w:val="16"/>
                <w:szCs w:val="16"/>
              </w:rPr>
            </w:pPr>
            <w:r w:rsidRPr="0073415E">
              <w:rPr>
                <w:rFonts w:cs="Arial"/>
                <w:color w:val="000000"/>
                <w:sz w:val="16"/>
                <w:szCs w:val="16"/>
              </w:rPr>
              <w:t>Não iniciado</w:t>
            </w:r>
          </w:p>
        </w:tc>
      </w:tr>
      <w:tr w:rsidR="003A7D20" w:rsidRPr="0073415E" w14:paraId="2E782185" w14:textId="77777777" w:rsidTr="00B32D66">
        <w:trPr>
          <w:cantSplit/>
          <w:trHeight w:val="45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30371D08" w14:textId="77777777" w:rsidR="003A7D20" w:rsidRPr="0073415E" w:rsidRDefault="003A7D20" w:rsidP="00B32D66">
            <w:pPr>
              <w:jc w:val="center"/>
              <w:rPr>
                <w:rFonts w:cs="Arial"/>
                <w:color w:val="000000"/>
                <w:sz w:val="16"/>
                <w:szCs w:val="16"/>
              </w:rPr>
            </w:pPr>
            <w:r w:rsidRPr="0073415E">
              <w:rPr>
                <w:rFonts w:cs="Arial"/>
                <w:color w:val="000000"/>
                <w:sz w:val="16"/>
                <w:szCs w:val="16"/>
              </w:rPr>
              <w:t>24</w:t>
            </w:r>
          </w:p>
        </w:tc>
        <w:tc>
          <w:tcPr>
            <w:tcW w:w="1414" w:type="pct"/>
            <w:tcBorders>
              <w:top w:val="nil"/>
              <w:left w:val="nil"/>
              <w:bottom w:val="single" w:sz="4" w:space="0" w:color="auto"/>
              <w:right w:val="single" w:sz="4" w:space="0" w:color="auto"/>
            </w:tcBorders>
            <w:shd w:val="clear" w:color="auto" w:fill="auto"/>
            <w:vAlign w:val="center"/>
            <w:hideMark/>
          </w:tcPr>
          <w:p w14:paraId="4D617D2B" w14:textId="77777777" w:rsidR="003A7D20" w:rsidRPr="0073415E" w:rsidRDefault="003A7D20" w:rsidP="00B32D66">
            <w:pPr>
              <w:rPr>
                <w:rFonts w:cs="Arial"/>
                <w:color w:val="000000"/>
                <w:sz w:val="16"/>
                <w:szCs w:val="16"/>
              </w:rPr>
            </w:pPr>
            <w:r w:rsidRPr="0073415E">
              <w:rPr>
                <w:rFonts w:cs="Arial"/>
                <w:color w:val="000000"/>
                <w:sz w:val="16"/>
                <w:szCs w:val="16"/>
              </w:rPr>
              <w:t>NBCT SP 07 (R1) - Ativo Imobilizado Propriedade, Planta e Equipamento</w:t>
            </w:r>
          </w:p>
        </w:tc>
        <w:tc>
          <w:tcPr>
            <w:tcW w:w="942" w:type="pct"/>
            <w:tcBorders>
              <w:top w:val="nil"/>
              <w:left w:val="nil"/>
              <w:bottom w:val="single" w:sz="4" w:space="0" w:color="auto"/>
              <w:right w:val="single" w:sz="4" w:space="0" w:color="auto"/>
            </w:tcBorders>
            <w:shd w:val="clear" w:color="auto" w:fill="auto"/>
            <w:vAlign w:val="center"/>
            <w:hideMark/>
          </w:tcPr>
          <w:p w14:paraId="300BBC7B" w14:textId="77777777" w:rsidR="003A7D20" w:rsidRPr="0073415E" w:rsidRDefault="003A7D20" w:rsidP="00B32D66">
            <w:pPr>
              <w:jc w:val="center"/>
              <w:rPr>
                <w:rFonts w:cs="Arial"/>
                <w:color w:val="000000"/>
                <w:sz w:val="16"/>
                <w:szCs w:val="16"/>
              </w:rPr>
            </w:pPr>
            <w:r w:rsidRPr="0073415E">
              <w:rPr>
                <w:rFonts w:cs="Arial"/>
                <w:color w:val="000000"/>
                <w:sz w:val="16"/>
                <w:szCs w:val="16"/>
              </w:rPr>
              <w:t>31/12/2027</w:t>
            </w:r>
          </w:p>
        </w:tc>
        <w:tc>
          <w:tcPr>
            <w:tcW w:w="933" w:type="pct"/>
            <w:tcBorders>
              <w:top w:val="nil"/>
              <w:left w:val="nil"/>
              <w:bottom w:val="single" w:sz="4" w:space="0" w:color="auto"/>
              <w:right w:val="single" w:sz="4" w:space="0" w:color="auto"/>
            </w:tcBorders>
            <w:shd w:val="clear" w:color="auto" w:fill="auto"/>
            <w:vAlign w:val="center"/>
            <w:hideMark/>
          </w:tcPr>
          <w:p w14:paraId="4D4A76B3" w14:textId="77777777" w:rsidR="003A7D20" w:rsidRPr="0073415E" w:rsidRDefault="003A7D20" w:rsidP="00B32D66">
            <w:pPr>
              <w:jc w:val="center"/>
              <w:rPr>
                <w:rFonts w:cs="Arial"/>
                <w:color w:val="000000"/>
                <w:sz w:val="16"/>
                <w:szCs w:val="16"/>
              </w:rPr>
            </w:pPr>
            <w:r w:rsidRPr="0073415E">
              <w:rPr>
                <w:rFonts w:cs="Arial"/>
                <w:color w:val="000000"/>
                <w:sz w:val="16"/>
                <w:szCs w:val="16"/>
              </w:rPr>
              <w:t>01/01/2028</w:t>
            </w:r>
          </w:p>
        </w:tc>
        <w:tc>
          <w:tcPr>
            <w:tcW w:w="829" w:type="pct"/>
            <w:tcBorders>
              <w:top w:val="nil"/>
              <w:left w:val="nil"/>
              <w:bottom w:val="single" w:sz="4" w:space="0" w:color="auto"/>
              <w:right w:val="single" w:sz="4" w:space="0" w:color="auto"/>
            </w:tcBorders>
            <w:shd w:val="clear" w:color="auto" w:fill="auto"/>
            <w:vAlign w:val="center"/>
            <w:hideMark/>
          </w:tcPr>
          <w:p w14:paraId="50A2D044" w14:textId="77777777" w:rsidR="00C66579" w:rsidRDefault="003A7D20" w:rsidP="00B32D66">
            <w:pPr>
              <w:jc w:val="center"/>
              <w:rPr>
                <w:rFonts w:cs="Arial"/>
                <w:color w:val="000000"/>
                <w:sz w:val="16"/>
                <w:szCs w:val="16"/>
              </w:rPr>
            </w:pPr>
            <w:r w:rsidRPr="0073415E">
              <w:rPr>
                <w:rFonts w:cs="Arial"/>
                <w:color w:val="000000"/>
                <w:sz w:val="16"/>
                <w:szCs w:val="16"/>
              </w:rPr>
              <w:t>2029</w:t>
            </w:r>
          </w:p>
          <w:p w14:paraId="3CB89DD3" w14:textId="6BC71CA5" w:rsidR="003A7D20" w:rsidRPr="0073415E" w:rsidRDefault="003A7D20" w:rsidP="00B32D66">
            <w:pPr>
              <w:jc w:val="center"/>
              <w:rPr>
                <w:rFonts w:cs="Arial"/>
                <w:color w:val="000000"/>
                <w:sz w:val="16"/>
                <w:szCs w:val="16"/>
              </w:rPr>
            </w:pPr>
            <w:r w:rsidRPr="0073415E">
              <w:rPr>
                <w:rFonts w:cs="Arial"/>
                <w:color w:val="000000"/>
                <w:sz w:val="16"/>
                <w:szCs w:val="16"/>
              </w:rPr>
              <w:t xml:space="preserve"> (dados de 2028)</w:t>
            </w:r>
          </w:p>
        </w:tc>
        <w:tc>
          <w:tcPr>
            <w:tcW w:w="602" w:type="pct"/>
            <w:tcBorders>
              <w:top w:val="nil"/>
              <w:left w:val="nil"/>
              <w:bottom w:val="single" w:sz="4" w:space="0" w:color="auto"/>
              <w:right w:val="single" w:sz="4" w:space="0" w:color="auto"/>
            </w:tcBorders>
            <w:shd w:val="clear" w:color="auto" w:fill="auto"/>
            <w:noWrap/>
            <w:vAlign w:val="center"/>
            <w:hideMark/>
          </w:tcPr>
          <w:p w14:paraId="118B779B" w14:textId="77777777" w:rsidR="003A7D20" w:rsidRPr="0073415E" w:rsidRDefault="003A7D20" w:rsidP="00B32D66">
            <w:pPr>
              <w:jc w:val="center"/>
              <w:rPr>
                <w:rFonts w:cs="Arial"/>
                <w:color w:val="000000"/>
                <w:sz w:val="16"/>
                <w:szCs w:val="16"/>
              </w:rPr>
            </w:pPr>
            <w:r w:rsidRPr="0073415E">
              <w:rPr>
                <w:rFonts w:cs="Arial"/>
                <w:color w:val="000000"/>
                <w:sz w:val="16"/>
                <w:szCs w:val="16"/>
              </w:rPr>
              <w:t>Não iniciado</w:t>
            </w:r>
          </w:p>
        </w:tc>
      </w:tr>
      <w:tr w:rsidR="003A7D20" w:rsidRPr="0073415E" w14:paraId="62F1075A" w14:textId="77777777" w:rsidTr="00B32D66">
        <w:trPr>
          <w:cantSplit/>
          <w:trHeight w:val="45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51AAA53C" w14:textId="77777777" w:rsidR="003A7D20" w:rsidRPr="0073415E" w:rsidRDefault="003A7D20" w:rsidP="00B32D66">
            <w:pPr>
              <w:jc w:val="center"/>
              <w:rPr>
                <w:rFonts w:cs="Arial"/>
                <w:color w:val="000000"/>
                <w:sz w:val="16"/>
                <w:szCs w:val="16"/>
              </w:rPr>
            </w:pPr>
            <w:r w:rsidRPr="0073415E">
              <w:rPr>
                <w:rFonts w:cs="Arial"/>
                <w:color w:val="000000"/>
                <w:sz w:val="16"/>
                <w:szCs w:val="16"/>
              </w:rPr>
              <w:t>25</w:t>
            </w:r>
          </w:p>
        </w:tc>
        <w:tc>
          <w:tcPr>
            <w:tcW w:w="1414" w:type="pct"/>
            <w:tcBorders>
              <w:top w:val="nil"/>
              <w:left w:val="nil"/>
              <w:bottom w:val="single" w:sz="4" w:space="0" w:color="auto"/>
              <w:right w:val="single" w:sz="4" w:space="0" w:color="auto"/>
            </w:tcBorders>
            <w:shd w:val="clear" w:color="auto" w:fill="auto"/>
            <w:vAlign w:val="center"/>
            <w:hideMark/>
          </w:tcPr>
          <w:p w14:paraId="1A91D84C" w14:textId="77777777" w:rsidR="003A7D20" w:rsidRPr="0073415E" w:rsidRDefault="003A7D20" w:rsidP="00B32D66">
            <w:pPr>
              <w:rPr>
                <w:rFonts w:cs="Arial"/>
                <w:color w:val="000000"/>
                <w:sz w:val="16"/>
                <w:szCs w:val="16"/>
              </w:rPr>
            </w:pPr>
            <w:r w:rsidRPr="0073415E">
              <w:rPr>
                <w:rFonts w:cs="Arial"/>
                <w:color w:val="000000"/>
                <w:sz w:val="16"/>
                <w:szCs w:val="16"/>
              </w:rPr>
              <w:t>NBCT SP Estrutura Conceitual (R1)</w:t>
            </w:r>
          </w:p>
        </w:tc>
        <w:tc>
          <w:tcPr>
            <w:tcW w:w="942" w:type="pct"/>
            <w:tcBorders>
              <w:top w:val="nil"/>
              <w:left w:val="nil"/>
              <w:bottom w:val="single" w:sz="4" w:space="0" w:color="auto"/>
              <w:right w:val="single" w:sz="4" w:space="0" w:color="auto"/>
            </w:tcBorders>
            <w:shd w:val="clear" w:color="auto" w:fill="auto"/>
            <w:vAlign w:val="center"/>
            <w:hideMark/>
          </w:tcPr>
          <w:p w14:paraId="6823ABDB" w14:textId="77777777" w:rsidR="003A7D20" w:rsidRPr="0073415E" w:rsidRDefault="003A7D20" w:rsidP="00B32D66">
            <w:pPr>
              <w:jc w:val="center"/>
              <w:rPr>
                <w:rFonts w:cs="Arial"/>
                <w:color w:val="000000"/>
                <w:sz w:val="16"/>
                <w:szCs w:val="16"/>
              </w:rPr>
            </w:pPr>
            <w:r w:rsidRPr="0073415E">
              <w:rPr>
                <w:rFonts w:cs="Arial"/>
                <w:color w:val="000000"/>
                <w:sz w:val="16"/>
                <w:szCs w:val="16"/>
              </w:rPr>
              <w:t>31/12/2029</w:t>
            </w:r>
          </w:p>
        </w:tc>
        <w:tc>
          <w:tcPr>
            <w:tcW w:w="933" w:type="pct"/>
            <w:tcBorders>
              <w:top w:val="nil"/>
              <w:left w:val="nil"/>
              <w:bottom w:val="single" w:sz="4" w:space="0" w:color="auto"/>
              <w:right w:val="single" w:sz="4" w:space="0" w:color="auto"/>
            </w:tcBorders>
            <w:shd w:val="clear" w:color="auto" w:fill="auto"/>
            <w:vAlign w:val="center"/>
            <w:hideMark/>
          </w:tcPr>
          <w:p w14:paraId="3B84DF01" w14:textId="77777777" w:rsidR="003A7D20" w:rsidRPr="0073415E" w:rsidRDefault="003A7D20" w:rsidP="00B32D66">
            <w:pPr>
              <w:jc w:val="center"/>
              <w:rPr>
                <w:rFonts w:cs="Arial"/>
                <w:color w:val="000000"/>
                <w:sz w:val="16"/>
                <w:szCs w:val="16"/>
              </w:rPr>
            </w:pPr>
            <w:r w:rsidRPr="0073415E">
              <w:rPr>
                <w:rFonts w:cs="Arial"/>
                <w:color w:val="000000"/>
                <w:sz w:val="16"/>
                <w:szCs w:val="16"/>
              </w:rPr>
              <w:t>01/01/2030</w:t>
            </w:r>
          </w:p>
        </w:tc>
        <w:tc>
          <w:tcPr>
            <w:tcW w:w="829" w:type="pct"/>
            <w:tcBorders>
              <w:top w:val="nil"/>
              <w:left w:val="nil"/>
              <w:bottom w:val="single" w:sz="4" w:space="0" w:color="auto"/>
              <w:right w:val="single" w:sz="4" w:space="0" w:color="auto"/>
            </w:tcBorders>
            <w:shd w:val="clear" w:color="auto" w:fill="auto"/>
            <w:vAlign w:val="center"/>
            <w:hideMark/>
          </w:tcPr>
          <w:p w14:paraId="4E39DDA9" w14:textId="77777777" w:rsidR="00A72FE5" w:rsidRDefault="003A7D20" w:rsidP="00B32D66">
            <w:pPr>
              <w:jc w:val="center"/>
              <w:rPr>
                <w:rFonts w:cs="Arial"/>
                <w:color w:val="000000"/>
                <w:sz w:val="16"/>
                <w:szCs w:val="16"/>
              </w:rPr>
            </w:pPr>
            <w:r w:rsidRPr="0073415E">
              <w:rPr>
                <w:rFonts w:cs="Arial"/>
                <w:color w:val="000000"/>
                <w:sz w:val="16"/>
                <w:szCs w:val="16"/>
              </w:rPr>
              <w:t xml:space="preserve">2031 </w:t>
            </w:r>
          </w:p>
          <w:p w14:paraId="736BF929" w14:textId="7229F21B" w:rsidR="003A7D20" w:rsidRPr="0073415E" w:rsidRDefault="003A7D20" w:rsidP="00B32D66">
            <w:pPr>
              <w:jc w:val="center"/>
              <w:rPr>
                <w:rFonts w:cs="Arial"/>
                <w:color w:val="000000"/>
                <w:sz w:val="16"/>
                <w:szCs w:val="16"/>
              </w:rPr>
            </w:pPr>
            <w:r w:rsidRPr="0073415E">
              <w:rPr>
                <w:rFonts w:cs="Arial"/>
                <w:color w:val="000000"/>
                <w:sz w:val="16"/>
                <w:szCs w:val="16"/>
              </w:rPr>
              <w:t>(dados de 2030)</w:t>
            </w:r>
          </w:p>
        </w:tc>
        <w:tc>
          <w:tcPr>
            <w:tcW w:w="602" w:type="pct"/>
            <w:tcBorders>
              <w:top w:val="nil"/>
              <w:left w:val="nil"/>
              <w:bottom w:val="single" w:sz="4" w:space="0" w:color="auto"/>
              <w:right w:val="single" w:sz="4" w:space="0" w:color="auto"/>
            </w:tcBorders>
            <w:shd w:val="clear" w:color="auto" w:fill="auto"/>
            <w:noWrap/>
            <w:vAlign w:val="center"/>
            <w:hideMark/>
          </w:tcPr>
          <w:p w14:paraId="104284E5" w14:textId="77777777" w:rsidR="003A7D20" w:rsidRPr="0073415E" w:rsidRDefault="003A7D20" w:rsidP="00B32D66">
            <w:pPr>
              <w:jc w:val="center"/>
              <w:rPr>
                <w:rFonts w:cs="Arial"/>
                <w:color w:val="000000"/>
                <w:sz w:val="16"/>
                <w:szCs w:val="16"/>
              </w:rPr>
            </w:pPr>
            <w:r w:rsidRPr="0073415E">
              <w:rPr>
                <w:rFonts w:cs="Arial"/>
                <w:color w:val="000000"/>
                <w:sz w:val="16"/>
                <w:szCs w:val="16"/>
              </w:rPr>
              <w:t>Não iniciado</w:t>
            </w:r>
          </w:p>
        </w:tc>
      </w:tr>
      <w:tr w:rsidR="003A7D20" w:rsidRPr="0073415E" w14:paraId="04F1BD5E" w14:textId="77777777" w:rsidTr="00B32D66">
        <w:trPr>
          <w:cantSplit/>
          <w:trHeight w:val="45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53B3F072" w14:textId="77777777" w:rsidR="003A7D20" w:rsidRPr="0073415E" w:rsidRDefault="003A7D20" w:rsidP="00B32D66">
            <w:pPr>
              <w:jc w:val="center"/>
              <w:rPr>
                <w:rFonts w:cs="Arial"/>
                <w:color w:val="000000"/>
                <w:sz w:val="16"/>
                <w:szCs w:val="16"/>
              </w:rPr>
            </w:pPr>
            <w:r w:rsidRPr="0073415E">
              <w:rPr>
                <w:rFonts w:cs="Arial"/>
                <w:color w:val="000000"/>
                <w:sz w:val="16"/>
                <w:szCs w:val="16"/>
              </w:rPr>
              <w:t>26</w:t>
            </w:r>
          </w:p>
        </w:tc>
        <w:tc>
          <w:tcPr>
            <w:tcW w:w="1414" w:type="pct"/>
            <w:tcBorders>
              <w:top w:val="nil"/>
              <w:left w:val="nil"/>
              <w:bottom w:val="single" w:sz="4" w:space="0" w:color="auto"/>
              <w:right w:val="single" w:sz="4" w:space="0" w:color="auto"/>
            </w:tcBorders>
            <w:shd w:val="clear" w:color="auto" w:fill="auto"/>
            <w:vAlign w:val="center"/>
            <w:hideMark/>
          </w:tcPr>
          <w:p w14:paraId="391C1CB5" w14:textId="77777777" w:rsidR="003A7D20" w:rsidRPr="0073415E" w:rsidRDefault="003A7D20" w:rsidP="00B32D66">
            <w:pPr>
              <w:rPr>
                <w:rFonts w:cs="Arial"/>
                <w:color w:val="000000"/>
                <w:sz w:val="16"/>
                <w:szCs w:val="16"/>
              </w:rPr>
            </w:pPr>
            <w:r w:rsidRPr="0073415E">
              <w:rPr>
                <w:rFonts w:cs="Arial"/>
                <w:color w:val="000000"/>
                <w:sz w:val="16"/>
                <w:szCs w:val="16"/>
              </w:rPr>
              <w:t>Reconhecimento, mensuração e evidenciação Receita</w:t>
            </w:r>
          </w:p>
        </w:tc>
        <w:tc>
          <w:tcPr>
            <w:tcW w:w="942" w:type="pct"/>
            <w:tcBorders>
              <w:top w:val="nil"/>
              <w:left w:val="nil"/>
              <w:bottom w:val="single" w:sz="4" w:space="0" w:color="auto"/>
              <w:right w:val="single" w:sz="4" w:space="0" w:color="auto"/>
            </w:tcBorders>
            <w:shd w:val="clear" w:color="auto" w:fill="auto"/>
            <w:vAlign w:val="center"/>
            <w:hideMark/>
          </w:tcPr>
          <w:p w14:paraId="068616B0" w14:textId="77777777" w:rsidR="003A7D20" w:rsidRPr="0073415E" w:rsidRDefault="003A7D20" w:rsidP="00B32D66">
            <w:pPr>
              <w:jc w:val="center"/>
              <w:rPr>
                <w:rFonts w:cs="Arial"/>
                <w:color w:val="000000"/>
                <w:sz w:val="16"/>
                <w:szCs w:val="16"/>
              </w:rPr>
            </w:pPr>
            <w:r w:rsidRPr="0073415E">
              <w:rPr>
                <w:rFonts w:cs="Arial"/>
                <w:color w:val="000000"/>
                <w:sz w:val="16"/>
                <w:szCs w:val="16"/>
              </w:rPr>
              <w:t>31/12/2029</w:t>
            </w:r>
          </w:p>
        </w:tc>
        <w:tc>
          <w:tcPr>
            <w:tcW w:w="933" w:type="pct"/>
            <w:tcBorders>
              <w:top w:val="nil"/>
              <w:left w:val="nil"/>
              <w:bottom w:val="single" w:sz="4" w:space="0" w:color="auto"/>
              <w:right w:val="single" w:sz="4" w:space="0" w:color="auto"/>
            </w:tcBorders>
            <w:shd w:val="clear" w:color="auto" w:fill="auto"/>
            <w:vAlign w:val="center"/>
            <w:hideMark/>
          </w:tcPr>
          <w:p w14:paraId="612103A0" w14:textId="77777777" w:rsidR="003A7D20" w:rsidRPr="0073415E" w:rsidRDefault="003A7D20" w:rsidP="00B32D66">
            <w:pPr>
              <w:jc w:val="center"/>
              <w:rPr>
                <w:rFonts w:cs="Arial"/>
                <w:color w:val="000000"/>
                <w:sz w:val="16"/>
                <w:szCs w:val="16"/>
              </w:rPr>
            </w:pPr>
            <w:r w:rsidRPr="0073415E">
              <w:rPr>
                <w:rFonts w:cs="Arial"/>
                <w:color w:val="000000"/>
                <w:sz w:val="16"/>
                <w:szCs w:val="16"/>
              </w:rPr>
              <w:t>01/01/2030</w:t>
            </w:r>
          </w:p>
        </w:tc>
        <w:tc>
          <w:tcPr>
            <w:tcW w:w="829" w:type="pct"/>
            <w:tcBorders>
              <w:top w:val="nil"/>
              <w:left w:val="nil"/>
              <w:bottom w:val="single" w:sz="4" w:space="0" w:color="auto"/>
              <w:right w:val="single" w:sz="4" w:space="0" w:color="auto"/>
            </w:tcBorders>
            <w:shd w:val="clear" w:color="auto" w:fill="auto"/>
            <w:vAlign w:val="center"/>
            <w:hideMark/>
          </w:tcPr>
          <w:p w14:paraId="481A44C1" w14:textId="77777777" w:rsidR="00A72FE5" w:rsidRDefault="003A7D20" w:rsidP="00B32D66">
            <w:pPr>
              <w:jc w:val="center"/>
              <w:rPr>
                <w:rFonts w:cs="Arial"/>
                <w:color w:val="000000"/>
                <w:sz w:val="16"/>
                <w:szCs w:val="16"/>
              </w:rPr>
            </w:pPr>
            <w:r w:rsidRPr="0073415E">
              <w:rPr>
                <w:rFonts w:cs="Arial"/>
                <w:color w:val="000000"/>
                <w:sz w:val="16"/>
                <w:szCs w:val="16"/>
              </w:rPr>
              <w:t xml:space="preserve">2031 </w:t>
            </w:r>
          </w:p>
          <w:p w14:paraId="4A94F8FA" w14:textId="061754BB" w:rsidR="003A7D20" w:rsidRPr="0073415E" w:rsidRDefault="003A7D20" w:rsidP="00B32D66">
            <w:pPr>
              <w:jc w:val="center"/>
              <w:rPr>
                <w:rFonts w:cs="Arial"/>
                <w:color w:val="000000"/>
                <w:sz w:val="16"/>
                <w:szCs w:val="16"/>
              </w:rPr>
            </w:pPr>
            <w:r w:rsidRPr="0073415E">
              <w:rPr>
                <w:rFonts w:cs="Arial"/>
                <w:color w:val="000000"/>
                <w:sz w:val="16"/>
                <w:szCs w:val="16"/>
              </w:rPr>
              <w:t>(dados de 2030)</w:t>
            </w:r>
          </w:p>
        </w:tc>
        <w:tc>
          <w:tcPr>
            <w:tcW w:w="602" w:type="pct"/>
            <w:tcBorders>
              <w:top w:val="nil"/>
              <w:left w:val="nil"/>
              <w:bottom w:val="single" w:sz="4" w:space="0" w:color="auto"/>
              <w:right w:val="single" w:sz="4" w:space="0" w:color="auto"/>
            </w:tcBorders>
            <w:shd w:val="clear" w:color="auto" w:fill="auto"/>
            <w:noWrap/>
            <w:vAlign w:val="center"/>
            <w:hideMark/>
          </w:tcPr>
          <w:p w14:paraId="50205F38" w14:textId="77777777" w:rsidR="003A7D20" w:rsidRPr="0073415E" w:rsidRDefault="003A7D20" w:rsidP="00B32D66">
            <w:pPr>
              <w:jc w:val="center"/>
              <w:rPr>
                <w:rFonts w:cs="Arial"/>
                <w:color w:val="000000"/>
                <w:sz w:val="16"/>
                <w:szCs w:val="16"/>
              </w:rPr>
            </w:pPr>
            <w:r w:rsidRPr="0073415E">
              <w:rPr>
                <w:rFonts w:cs="Arial"/>
                <w:color w:val="000000"/>
                <w:sz w:val="16"/>
                <w:szCs w:val="16"/>
              </w:rPr>
              <w:t>Não iniciado</w:t>
            </w:r>
          </w:p>
        </w:tc>
      </w:tr>
      <w:tr w:rsidR="003A7D20" w:rsidRPr="0073415E" w14:paraId="06C31430" w14:textId="77777777" w:rsidTr="00B32D66">
        <w:trPr>
          <w:cantSplit/>
          <w:trHeight w:val="450"/>
        </w:trPr>
        <w:tc>
          <w:tcPr>
            <w:tcW w:w="280" w:type="pct"/>
            <w:tcBorders>
              <w:top w:val="nil"/>
              <w:left w:val="single" w:sz="4" w:space="0" w:color="auto"/>
              <w:bottom w:val="single" w:sz="4" w:space="0" w:color="auto"/>
              <w:right w:val="single" w:sz="4" w:space="0" w:color="auto"/>
            </w:tcBorders>
            <w:shd w:val="clear" w:color="auto" w:fill="auto"/>
            <w:noWrap/>
            <w:vAlign w:val="center"/>
            <w:hideMark/>
          </w:tcPr>
          <w:p w14:paraId="48FA6057" w14:textId="77777777" w:rsidR="003A7D20" w:rsidRPr="0073415E" w:rsidRDefault="003A7D20" w:rsidP="00B32D66">
            <w:pPr>
              <w:jc w:val="center"/>
              <w:rPr>
                <w:rFonts w:cs="Arial"/>
                <w:color w:val="000000"/>
                <w:sz w:val="16"/>
                <w:szCs w:val="16"/>
              </w:rPr>
            </w:pPr>
            <w:r w:rsidRPr="0073415E">
              <w:rPr>
                <w:rFonts w:cs="Arial"/>
                <w:color w:val="000000"/>
                <w:sz w:val="16"/>
                <w:szCs w:val="16"/>
              </w:rPr>
              <w:t>27</w:t>
            </w:r>
          </w:p>
        </w:tc>
        <w:tc>
          <w:tcPr>
            <w:tcW w:w="1414" w:type="pct"/>
            <w:tcBorders>
              <w:top w:val="nil"/>
              <w:left w:val="nil"/>
              <w:bottom w:val="single" w:sz="4" w:space="0" w:color="auto"/>
              <w:right w:val="single" w:sz="4" w:space="0" w:color="auto"/>
            </w:tcBorders>
            <w:shd w:val="clear" w:color="auto" w:fill="auto"/>
            <w:vAlign w:val="center"/>
            <w:hideMark/>
          </w:tcPr>
          <w:p w14:paraId="484ED55A" w14:textId="77777777" w:rsidR="003A7D20" w:rsidRPr="0073415E" w:rsidRDefault="003A7D20" w:rsidP="00B32D66">
            <w:pPr>
              <w:rPr>
                <w:rFonts w:cs="Arial"/>
                <w:color w:val="000000"/>
                <w:sz w:val="16"/>
                <w:szCs w:val="16"/>
              </w:rPr>
            </w:pPr>
            <w:r w:rsidRPr="0073415E">
              <w:rPr>
                <w:rFonts w:cs="Arial"/>
                <w:color w:val="000000"/>
                <w:sz w:val="16"/>
                <w:szCs w:val="16"/>
              </w:rPr>
              <w:t>Despesas de Transferência</w:t>
            </w:r>
          </w:p>
        </w:tc>
        <w:tc>
          <w:tcPr>
            <w:tcW w:w="942" w:type="pct"/>
            <w:tcBorders>
              <w:top w:val="nil"/>
              <w:left w:val="nil"/>
              <w:bottom w:val="single" w:sz="4" w:space="0" w:color="auto"/>
              <w:right w:val="single" w:sz="4" w:space="0" w:color="auto"/>
            </w:tcBorders>
            <w:shd w:val="clear" w:color="auto" w:fill="auto"/>
            <w:vAlign w:val="center"/>
            <w:hideMark/>
          </w:tcPr>
          <w:p w14:paraId="135BBF2E" w14:textId="77777777" w:rsidR="003A7D20" w:rsidRPr="0073415E" w:rsidRDefault="003A7D20" w:rsidP="00B32D66">
            <w:pPr>
              <w:jc w:val="center"/>
              <w:rPr>
                <w:rFonts w:cs="Arial"/>
                <w:color w:val="000000"/>
                <w:sz w:val="16"/>
                <w:szCs w:val="16"/>
              </w:rPr>
            </w:pPr>
            <w:r w:rsidRPr="0073415E">
              <w:rPr>
                <w:rFonts w:cs="Arial"/>
                <w:color w:val="000000"/>
                <w:sz w:val="16"/>
                <w:szCs w:val="16"/>
              </w:rPr>
              <w:t>31/12/2029</w:t>
            </w:r>
          </w:p>
        </w:tc>
        <w:tc>
          <w:tcPr>
            <w:tcW w:w="933" w:type="pct"/>
            <w:tcBorders>
              <w:top w:val="nil"/>
              <w:left w:val="nil"/>
              <w:bottom w:val="single" w:sz="4" w:space="0" w:color="auto"/>
              <w:right w:val="single" w:sz="4" w:space="0" w:color="auto"/>
            </w:tcBorders>
            <w:shd w:val="clear" w:color="auto" w:fill="auto"/>
            <w:vAlign w:val="center"/>
            <w:hideMark/>
          </w:tcPr>
          <w:p w14:paraId="41C20740" w14:textId="77777777" w:rsidR="003A7D20" w:rsidRPr="0073415E" w:rsidRDefault="003A7D20" w:rsidP="00B32D66">
            <w:pPr>
              <w:jc w:val="center"/>
              <w:rPr>
                <w:rFonts w:cs="Arial"/>
                <w:color w:val="000000"/>
                <w:sz w:val="16"/>
                <w:szCs w:val="16"/>
              </w:rPr>
            </w:pPr>
            <w:r w:rsidRPr="0073415E">
              <w:rPr>
                <w:rFonts w:cs="Arial"/>
                <w:color w:val="000000"/>
                <w:sz w:val="16"/>
                <w:szCs w:val="16"/>
              </w:rPr>
              <w:t>01/01/2030</w:t>
            </w:r>
          </w:p>
        </w:tc>
        <w:tc>
          <w:tcPr>
            <w:tcW w:w="829" w:type="pct"/>
            <w:tcBorders>
              <w:top w:val="nil"/>
              <w:left w:val="nil"/>
              <w:bottom w:val="single" w:sz="4" w:space="0" w:color="auto"/>
              <w:right w:val="single" w:sz="4" w:space="0" w:color="auto"/>
            </w:tcBorders>
            <w:shd w:val="clear" w:color="auto" w:fill="auto"/>
            <w:vAlign w:val="center"/>
            <w:hideMark/>
          </w:tcPr>
          <w:p w14:paraId="7EE957F8" w14:textId="77777777" w:rsidR="00A72FE5" w:rsidRDefault="003A7D20" w:rsidP="00B32D66">
            <w:pPr>
              <w:jc w:val="center"/>
              <w:rPr>
                <w:rFonts w:cs="Arial"/>
                <w:color w:val="000000"/>
                <w:sz w:val="16"/>
                <w:szCs w:val="16"/>
              </w:rPr>
            </w:pPr>
            <w:r w:rsidRPr="0073415E">
              <w:rPr>
                <w:rFonts w:cs="Arial"/>
                <w:color w:val="000000"/>
                <w:sz w:val="16"/>
                <w:szCs w:val="16"/>
              </w:rPr>
              <w:t xml:space="preserve">2031 </w:t>
            </w:r>
          </w:p>
          <w:p w14:paraId="4B9CFD4A" w14:textId="21095AB3" w:rsidR="003A7D20" w:rsidRPr="0073415E" w:rsidRDefault="003A7D20" w:rsidP="00B32D66">
            <w:pPr>
              <w:jc w:val="center"/>
              <w:rPr>
                <w:rFonts w:cs="Arial"/>
                <w:color w:val="000000"/>
                <w:sz w:val="16"/>
                <w:szCs w:val="16"/>
              </w:rPr>
            </w:pPr>
            <w:r w:rsidRPr="0073415E">
              <w:rPr>
                <w:rFonts w:cs="Arial"/>
                <w:color w:val="000000"/>
                <w:sz w:val="16"/>
                <w:szCs w:val="16"/>
              </w:rPr>
              <w:t>(dados de 2030)</w:t>
            </w:r>
          </w:p>
        </w:tc>
        <w:tc>
          <w:tcPr>
            <w:tcW w:w="602" w:type="pct"/>
            <w:tcBorders>
              <w:top w:val="nil"/>
              <w:left w:val="nil"/>
              <w:bottom w:val="single" w:sz="4" w:space="0" w:color="auto"/>
              <w:right w:val="single" w:sz="4" w:space="0" w:color="auto"/>
            </w:tcBorders>
            <w:shd w:val="clear" w:color="auto" w:fill="auto"/>
            <w:noWrap/>
            <w:vAlign w:val="center"/>
            <w:hideMark/>
          </w:tcPr>
          <w:p w14:paraId="60ADCDF5" w14:textId="77777777" w:rsidR="003A7D20" w:rsidRPr="0073415E" w:rsidRDefault="003A7D20" w:rsidP="00B32D66">
            <w:pPr>
              <w:jc w:val="center"/>
              <w:rPr>
                <w:rFonts w:cs="Arial"/>
                <w:color w:val="000000"/>
                <w:sz w:val="16"/>
                <w:szCs w:val="16"/>
              </w:rPr>
            </w:pPr>
            <w:r w:rsidRPr="0073415E">
              <w:rPr>
                <w:rFonts w:cs="Arial"/>
                <w:color w:val="000000"/>
                <w:sz w:val="16"/>
                <w:szCs w:val="16"/>
              </w:rPr>
              <w:t>Não iniciado</w:t>
            </w:r>
          </w:p>
        </w:tc>
      </w:tr>
    </w:tbl>
    <w:p w14:paraId="04EA234C" w14:textId="77777777" w:rsidR="003A7D20" w:rsidRPr="00700080" w:rsidRDefault="003A7D20" w:rsidP="00EF01A1">
      <w:pPr>
        <w:pStyle w:val="1-FONTE8ESQ"/>
      </w:pPr>
      <w:r w:rsidRPr="00700080">
        <w:t>Fonte: Quadro Resumo contido na Portaria STN nº 1.569/</w:t>
      </w:r>
      <w:r>
        <w:t>20</w:t>
      </w:r>
      <w:r w:rsidRPr="00700080">
        <w:t>23</w:t>
      </w:r>
    </w:p>
    <w:p w14:paraId="2558D462" w14:textId="7A8D21F5" w:rsidR="003A7D20" w:rsidRDefault="003A7D20" w:rsidP="003A7D20">
      <w:pPr>
        <w:pStyle w:val="1-REL11"/>
      </w:pPr>
      <w:bookmarkStart w:id="513" w:name="_Hlk134203587"/>
      <w:r w:rsidRPr="00884EB0">
        <w:lastRenderedPageBreak/>
        <w:t>Considerando que dos 15 itens da</w:t>
      </w:r>
      <w:r>
        <w:t xml:space="preserve"> </w:t>
      </w:r>
      <w:r w:rsidRPr="00884EB0">
        <w:t>Portaria STN nº 548/2015, com prazo de implantação e respectivos registros contábeis até o exercício de 2022, 11 foram implantados e apenas 4 estão pendentes de implantação por motivo de suspensão ou por ausência de definição de prazos por parte da STN</w:t>
      </w:r>
      <w:r>
        <w:t>/CFC</w:t>
      </w:r>
      <w:r w:rsidRPr="00884EB0">
        <w:t>, tal situação será monitorada oportunamente em conjunto com os 8 novos procedimentos trazidos pela Portaria da STN nº 1.569/</w:t>
      </w:r>
      <w:r>
        <w:t>20</w:t>
      </w:r>
      <w:r w:rsidRPr="00884EB0">
        <w:t>23.</w:t>
      </w:r>
      <w:bookmarkEnd w:id="513"/>
    </w:p>
    <w:p w14:paraId="135CB688" w14:textId="64B9CE3B" w:rsidR="00534707" w:rsidRDefault="00534707" w:rsidP="003A7D20">
      <w:pPr>
        <w:pStyle w:val="1-REL11"/>
      </w:pPr>
    </w:p>
    <w:p w14:paraId="4729A11F" w14:textId="6CA3F39E" w:rsidR="00534707" w:rsidRDefault="00534707" w:rsidP="003A7D20">
      <w:pPr>
        <w:pStyle w:val="1-REL11"/>
      </w:pPr>
    </w:p>
    <w:p w14:paraId="68C5EC48" w14:textId="01AD3E4C" w:rsidR="00534707" w:rsidRDefault="00534707" w:rsidP="003A7D20">
      <w:pPr>
        <w:pStyle w:val="1-REL11"/>
      </w:pPr>
    </w:p>
    <w:p w14:paraId="6E3B8D33" w14:textId="58F3125F" w:rsidR="00534707" w:rsidRDefault="00534707" w:rsidP="003A7D20">
      <w:pPr>
        <w:pStyle w:val="1-REL11"/>
      </w:pPr>
    </w:p>
    <w:p w14:paraId="0014BF00" w14:textId="5B9896C7" w:rsidR="00534707" w:rsidRDefault="00534707" w:rsidP="003A7D20">
      <w:pPr>
        <w:pStyle w:val="1-REL11"/>
      </w:pPr>
    </w:p>
    <w:p w14:paraId="07DD3C0B" w14:textId="12989D45" w:rsidR="00534707" w:rsidRDefault="00534707" w:rsidP="003A7D20">
      <w:pPr>
        <w:pStyle w:val="1-REL11"/>
      </w:pPr>
    </w:p>
    <w:p w14:paraId="03D6278D" w14:textId="710F441C" w:rsidR="00534707" w:rsidRDefault="00534707" w:rsidP="003A7D20">
      <w:pPr>
        <w:pStyle w:val="1-REL11"/>
      </w:pPr>
    </w:p>
    <w:p w14:paraId="71B4D955" w14:textId="406F803D" w:rsidR="00534707" w:rsidRDefault="00534707" w:rsidP="003A7D20">
      <w:pPr>
        <w:pStyle w:val="1-REL11"/>
      </w:pPr>
    </w:p>
    <w:p w14:paraId="109779BB" w14:textId="38D6BE38" w:rsidR="00534707" w:rsidRDefault="00534707" w:rsidP="003A7D20">
      <w:pPr>
        <w:pStyle w:val="1-REL11"/>
      </w:pPr>
    </w:p>
    <w:p w14:paraId="214C2B3C" w14:textId="77777777" w:rsidR="00534707" w:rsidRPr="00884EB0" w:rsidRDefault="00534707" w:rsidP="003A7D20">
      <w:pPr>
        <w:pStyle w:val="1-REL11"/>
      </w:pPr>
    </w:p>
    <w:p w14:paraId="27FCB462" w14:textId="3DDC4A66" w:rsidR="00562FC2" w:rsidRPr="00B215AC" w:rsidRDefault="00562FC2" w:rsidP="00B34DAE">
      <w:pPr>
        <w:pStyle w:val="0-TXT11"/>
        <w:rPr>
          <w:rFonts w:cs="Times New Roman"/>
          <w:color w:val="FF0000"/>
        </w:rPr>
        <w:sectPr w:rsidR="00562FC2" w:rsidRPr="00B215AC" w:rsidSect="00C57A3A">
          <w:footerReference w:type="default" r:id="rId65"/>
          <w:footnotePr>
            <w:numRestart w:val="eachSect"/>
          </w:footnotePr>
          <w:pgSz w:w="11905" w:h="16837"/>
          <w:pgMar w:top="1134" w:right="851" w:bottom="1134" w:left="1701" w:header="720" w:footer="720" w:gutter="0"/>
          <w:cols w:space="720"/>
          <w:noEndnote/>
        </w:sectPr>
      </w:pPr>
    </w:p>
    <w:p w14:paraId="24A0E5E0" w14:textId="77777777" w:rsidR="00B34DAE" w:rsidRPr="00B215AC" w:rsidRDefault="00B34DAE" w:rsidP="00B34DAE">
      <w:pPr>
        <w:pStyle w:val="0-TXT11"/>
        <w:rPr>
          <w:rFonts w:cs="Times New Roman"/>
          <w:color w:val="FF0000"/>
        </w:rPr>
      </w:pPr>
    </w:p>
    <w:p w14:paraId="4B9F86C9" w14:textId="77777777" w:rsidR="00B34DAE" w:rsidRPr="00B215AC" w:rsidRDefault="00B34DAE" w:rsidP="00B34DAE">
      <w:pPr>
        <w:pStyle w:val="0-TXT11"/>
        <w:rPr>
          <w:rFonts w:cs="Times New Roman"/>
          <w:color w:val="FF0000"/>
        </w:rPr>
      </w:pPr>
    </w:p>
    <w:p w14:paraId="4202A0A4" w14:textId="77777777" w:rsidR="00B34DAE" w:rsidRPr="00B215AC" w:rsidRDefault="00B34DAE" w:rsidP="00B34DAE">
      <w:pPr>
        <w:pStyle w:val="0-TXT11"/>
        <w:rPr>
          <w:rFonts w:cs="Times New Roman"/>
          <w:color w:val="FF0000"/>
        </w:rPr>
      </w:pPr>
    </w:p>
    <w:p w14:paraId="79D98253" w14:textId="77777777" w:rsidR="00B34DAE" w:rsidRPr="00B215AC" w:rsidRDefault="00B34DAE" w:rsidP="00B34DAE">
      <w:pPr>
        <w:pStyle w:val="0-TXT11"/>
        <w:rPr>
          <w:rFonts w:cs="Times New Roman"/>
          <w:color w:val="FF0000"/>
        </w:rPr>
      </w:pPr>
    </w:p>
    <w:p w14:paraId="2869A6AF" w14:textId="77777777" w:rsidR="00B34DAE" w:rsidRPr="00B215AC" w:rsidRDefault="00B34DAE" w:rsidP="00B34DAE">
      <w:pPr>
        <w:pStyle w:val="0-TXT11"/>
        <w:rPr>
          <w:rFonts w:cs="Times New Roman"/>
          <w:color w:val="FF0000"/>
        </w:rPr>
      </w:pPr>
    </w:p>
    <w:p w14:paraId="782C5D37" w14:textId="77777777" w:rsidR="00B34DAE" w:rsidRPr="00B215AC" w:rsidRDefault="00B34DAE" w:rsidP="00B34DAE">
      <w:pPr>
        <w:pStyle w:val="0-TXT11"/>
        <w:rPr>
          <w:rFonts w:cs="Times New Roman"/>
          <w:color w:val="FF0000"/>
        </w:rPr>
      </w:pPr>
    </w:p>
    <w:p w14:paraId="5900F86C" w14:textId="77777777" w:rsidR="00B34DAE" w:rsidRPr="00B215AC" w:rsidRDefault="00B34DAE" w:rsidP="00B34DAE">
      <w:pPr>
        <w:pStyle w:val="0-TXT11"/>
        <w:rPr>
          <w:rFonts w:cs="Times New Roman"/>
          <w:color w:val="FF0000"/>
        </w:rPr>
      </w:pPr>
    </w:p>
    <w:p w14:paraId="15472160" w14:textId="77777777" w:rsidR="00B34DAE" w:rsidRPr="00B215AC" w:rsidRDefault="00B34DAE" w:rsidP="00B34DAE">
      <w:pPr>
        <w:pStyle w:val="0-TXT11"/>
        <w:rPr>
          <w:rFonts w:cs="Times New Roman"/>
          <w:color w:val="FF0000"/>
        </w:rPr>
      </w:pPr>
    </w:p>
    <w:p w14:paraId="64D8270E" w14:textId="77777777" w:rsidR="00B34DAE" w:rsidRPr="00B215AC" w:rsidRDefault="00B34DAE" w:rsidP="00B34DAE">
      <w:pPr>
        <w:pStyle w:val="0-TXT11"/>
        <w:rPr>
          <w:rFonts w:cs="Times New Roman"/>
          <w:color w:val="FF0000"/>
        </w:rPr>
      </w:pPr>
    </w:p>
    <w:p w14:paraId="535F335B" w14:textId="77777777" w:rsidR="00B34DAE" w:rsidRPr="00B215AC" w:rsidRDefault="00B34DAE" w:rsidP="00B34DAE">
      <w:pPr>
        <w:pStyle w:val="0-TXT11"/>
        <w:rPr>
          <w:rFonts w:cs="Times New Roman"/>
          <w:color w:val="FF0000"/>
        </w:rPr>
      </w:pPr>
    </w:p>
    <w:p w14:paraId="0641F9C9" w14:textId="77777777" w:rsidR="00B34DAE" w:rsidRPr="00B215AC" w:rsidRDefault="00B34DAE" w:rsidP="00B34DAE">
      <w:pPr>
        <w:pStyle w:val="0-TXT11"/>
        <w:rPr>
          <w:rFonts w:cs="Times New Roman"/>
          <w:color w:val="FF0000"/>
        </w:rPr>
      </w:pPr>
    </w:p>
    <w:p w14:paraId="2C1851B0" w14:textId="77777777" w:rsidR="00B34DAE" w:rsidRPr="00B215AC" w:rsidRDefault="00B34DAE" w:rsidP="00B34DAE">
      <w:pPr>
        <w:pStyle w:val="0-TXT11"/>
        <w:rPr>
          <w:rFonts w:cs="Times New Roman"/>
          <w:color w:val="FF0000"/>
        </w:rPr>
      </w:pPr>
    </w:p>
    <w:p w14:paraId="3C029339" w14:textId="77777777" w:rsidR="00B34DAE" w:rsidRPr="00B215AC" w:rsidRDefault="00B34DAE" w:rsidP="00B34DAE">
      <w:pPr>
        <w:pStyle w:val="0-TXT11"/>
        <w:rPr>
          <w:rFonts w:cs="Times New Roman"/>
          <w:color w:val="FF0000"/>
        </w:rPr>
      </w:pPr>
    </w:p>
    <w:p w14:paraId="2BB4463B" w14:textId="666D2B70" w:rsidR="001204B3" w:rsidRPr="00B215AC" w:rsidRDefault="001204B3" w:rsidP="001204B3">
      <w:pPr>
        <w:pStyle w:val="0-TXT11"/>
        <w:rPr>
          <w:rFonts w:cs="Times New Roman"/>
          <w:color w:val="FF0000"/>
        </w:rPr>
      </w:pPr>
    </w:p>
    <w:p w14:paraId="0528595C" w14:textId="77F8C096" w:rsidR="001204B3" w:rsidRPr="00B215AC" w:rsidRDefault="001204B3" w:rsidP="001204B3">
      <w:pPr>
        <w:pStyle w:val="0-TXT11"/>
        <w:rPr>
          <w:rFonts w:cs="Times New Roman"/>
          <w:color w:val="FF0000"/>
        </w:rPr>
      </w:pPr>
    </w:p>
    <w:p w14:paraId="1D01341A" w14:textId="52389BCA" w:rsidR="001204B3" w:rsidRPr="00B215AC" w:rsidRDefault="001204B3" w:rsidP="001204B3">
      <w:pPr>
        <w:pStyle w:val="0-TXT11"/>
        <w:rPr>
          <w:rFonts w:cs="Times New Roman"/>
          <w:color w:val="FF0000"/>
        </w:rPr>
      </w:pPr>
    </w:p>
    <w:p w14:paraId="60BD861F" w14:textId="61CF491F" w:rsidR="001204B3" w:rsidRPr="00B215AC" w:rsidRDefault="001204B3" w:rsidP="001204B3">
      <w:pPr>
        <w:pStyle w:val="0-TXT11"/>
        <w:rPr>
          <w:rFonts w:cs="Times New Roman"/>
          <w:color w:val="FF0000"/>
        </w:rPr>
      </w:pPr>
    </w:p>
    <w:p w14:paraId="68351FBF" w14:textId="590FDB65" w:rsidR="001204B3" w:rsidRPr="00B215AC" w:rsidRDefault="001204B3" w:rsidP="001204B3">
      <w:pPr>
        <w:pStyle w:val="0-TXT11"/>
        <w:rPr>
          <w:rFonts w:cs="Times New Roman"/>
          <w:color w:val="FF0000"/>
        </w:rPr>
      </w:pPr>
    </w:p>
    <w:p w14:paraId="506098F1" w14:textId="24D83AEE" w:rsidR="001204B3" w:rsidRPr="00B215AC" w:rsidRDefault="001204B3" w:rsidP="001204B3">
      <w:pPr>
        <w:pStyle w:val="0-TXT11"/>
        <w:rPr>
          <w:rFonts w:cs="Times New Roman"/>
          <w:color w:val="FF0000"/>
        </w:rPr>
      </w:pPr>
    </w:p>
    <w:p w14:paraId="66D4B5A7" w14:textId="77777777" w:rsidR="008C387A" w:rsidRPr="009A2084" w:rsidRDefault="008C387A" w:rsidP="008C387A">
      <w:pPr>
        <w:pStyle w:val="0-TXT11"/>
        <w:rPr>
          <w:rFonts w:cs="Times New Roman"/>
        </w:rPr>
      </w:pPr>
    </w:p>
    <w:p w14:paraId="0949B0B9" w14:textId="77777777" w:rsidR="008C387A" w:rsidRPr="009A2084" w:rsidRDefault="008C387A" w:rsidP="008C387A">
      <w:pPr>
        <w:pStyle w:val="0-TXT11"/>
        <w:rPr>
          <w:rFonts w:cs="Times New Roman"/>
        </w:rPr>
      </w:pPr>
    </w:p>
    <w:p w14:paraId="6B0D4FA5" w14:textId="77777777" w:rsidR="008C387A" w:rsidRPr="009A2084" w:rsidRDefault="008C387A" w:rsidP="008C387A">
      <w:pPr>
        <w:pStyle w:val="Ttulo"/>
        <w:rPr>
          <w:color w:val="auto"/>
        </w:rPr>
      </w:pPr>
    </w:p>
    <w:p w14:paraId="78B54DBF" w14:textId="1BAEEE31" w:rsidR="008C387A" w:rsidRPr="009A2084" w:rsidRDefault="008C387A" w:rsidP="008C387A">
      <w:pPr>
        <w:pStyle w:val="1-REL11"/>
        <w:jc w:val="right"/>
        <w:rPr>
          <w:sz w:val="96"/>
          <w:szCs w:val="96"/>
        </w:rPr>
      </w:pPr>
      <w:r w:rsidRPr="009A2084">
        <w:rPr>
          <w:sz w:val="96"/>
          <w:szCs w:val="96"/>
        </w:rPr>
        <w:t>7</w:t>
      </w:r>
    </w:p>
    <w:p w14:paraId="79AFF96E" w14:textId="77777777" w:rsidR="00E175C4" w:rsidRPr="00E175C4" w:rsidRDefault="00E175C4" w:rsidP="00E175C4">
      <w:pPr>
        <w:pStyle w:val="0-TXT11"/>
        <w:ind w:right="-2"/>
        <w:jc w:val="right"/>
        <w:rPr>
          <w:rFonts w:cs="Times New Roman"/>
          <w:sz w:val="48"/>
          <w:szCs w:val="48"/>
        </w:rPr>
      </w:pPr>
      <w:r w:rsidRPr="00E175C4">
        <w:rPr>
          <w:rFonts w:cs="Times New Roman"/>
          <w:sz w:val="48"/>
          <w:szCs w:val="48"/>
        </w:rPr>
        <w:t>Monitoramento das Recomendações do TCE/GO no Parecer Prévio de Exercícios Anteriores</w:t>
      </w:r>
    </w:p>
    <w:p w14:paraId="34BCB1FF" w14:textId="77777777" w:rsidR="001204B3" w:rsidRPr="009A2084" w:rsidRDefault="001204B3" w:rsidP="001204B3">
      <w:pPr>
        <w:pStyle w:val="0-TXT11"/>
        <w:ind w:right="-2"/>
        <w:rPr>
          <w:rFonts w:cs="Times New Roman"/>
        </w:rPr>
      </w:pPr>
    </w:p>
    <w:p w14:paraId="46054C64" w14:textId="77777777" w:rsidR="001204B3" w:rsidRPr="009A2084" w:rsidRDefault="001204B3" w:rsidP="001204B3">
      <w:pPr>
        <w:pStyle w:val="0-TXT11"/>
        <w:ind w:right="-2"/>
        <w:rPr>
          <w:rFonts w:cs="Times New Roman"/>
        </w:rPr>
      </w:pPr>
    </w:p>
    <w:p w14:paraId="49D6B3B8" w14:textId="77777777" w:rsidR="00B34DAE" w:rsidRPr="009A2084" w:rsidRDefault="00B34DAE" w:rsidP="00B34DAE">
      <w:pPr>
        <w:pStyle w:val="0-TXT11"/>
        <w:rPr>
          <w:rFonts w:cs="Times New Roman"/>
        </w:rPr>
      </w:pPr>
    </w:p>
    <w:p w14:paraId="4CB974A8" w14:textId="77777777" w:rsidR="00B34DAE" w:rsidRPr="009A2084" w:rsidRDefault="00B34DAE" w:rsidP="00B34DAE">
      <w:pPr>
        <w:pStyle w:val="0-TXT11"/>
        <w:rPr>
          <w:rFonts w:cs="Times New Roman"/>
        </w:rPr>
      </w:pPr>
    </w:p>
    <w:p w14:paraId="01BD3092" w14:textId="77777777" w:rsidR="00B34DAE" w:rsidRPr="00B215AC" w:rsidRDefault="00B34DAE" w:rsidP="00B34DAE">
      <w:pPr>
        <w:pStyle w:val="0-TXT11"/>
        <w:rPr>
          <w:rFonts w:cs="Times New Roman"/>
          <w:color w:val="FF0000"/>
        </w:rPr>
      </w:pPr>
    </w:p>
    <w:p w14:paraId="51FCF4DB" w14:textId="77777777" w:rsidR="00B34DAE" w:rsidRPr="00B215AC" w:rsidRDefault="00B34DAE" w:rsidP="00B34DAE">
      <w:pPr>
        <w:pStyle w:val="0-TXT11"/>
        <w:rPr>
          <w:rFonts w:cs="Times New Roman"/>
          <w:color w:val="FF0000"/>
        </w:rPr>
      </w:pPr>
    </w:p>
    <w:p w14:paraId="704A48A7" w14:textId="77777777" w:rsidR="00B34DAE" w:rsidRPr="00B215AC" w:rsidRDefault="00B34DAE" w:rsidP="00B34DAE">
      <w:pPr>
        <w:pStyle w:val="0-TXT11"/>
        <w:rPr>
          <w:rFonts w:cs="Times New Roman"/>
          <w:color w:val="FF0000"/>
        </w:rPr>
      </w:pPr>
    </w:p>
    <w:p w14:paraId="6CD2305E" w14:textId="77777777" w:rsidR="00B34DAE" w:rsidRPr="00B215AC" w:rsidRDefault="00B34DAE" w:rsidP="00B34DAE">
      <w:pPr>
        <w:pStyle w:val="0-TXT11"/>
        <w:rPr>
          <w:rFonts w:cs="Times New Roman"/>
          <w:color w:val="FF0000"/>
        </w:rPr>
      </w:pPr>
    </w:p>
    <w:p w14:paraId="330017E9" w14:textId="77777777" w:rsidR="00B34DAE" w:rsidRPr="00B215AC" w:rsidRDefault="00B34DAE" w:rsidP="00B34DAE">
      <w:pPr>
        <w:pStyle w:val="0-TXT11"/>
        <w:ind w:right="-2"/>
        <w:rPr>
          <w:rFonts w:cs="Times New Roman"/>
          <w:color w:val="FF0000"/>
        </w:rPr>
      </w:pPr>
    </w:p>
    <w:p w14:paraId="25A2032A" w14:textId="77777777" w:rsidR="00B34DAE" w:rsidRPr="00B215AC" w:rsidRDefault="00B34DAE" w:rsidP="00B34DAE">
      <w:pPr>
        <w:pStyle w:val="0-TXT11"/>
        <w:ind w:right="-2"/>
        <w:rPr>
          <w:rFonts w:cs="Times New Roman"/>
          <w:color w:val="FF0000"/>
        </w:rPr>
      </w:pPr>
    </w:p>
    <w:p w14:paraId="53601A9A" w14:textId="77777777" w:rsidR="00B34DAE" w:rsidRPr="00B215AC" w:rsidRDefault="00B34DAE" w:rsidP="00B34DAE">
      <w:pPr>
        <w:pStyle w:val="0-TXT11"/>
        <w:ind w:right="-2"/>
        <w:rPr>
          <w:rFonts w:cs="Times New Roman"/>
          <w:color w:val="FF0000"/>
        </w:rPr>
      </w:pPr>
    </w:p>
    <w:p w14:paraId="28E97690" w14:textId="77777777" w:rsidR="00B34DAE" w:rsidRPr="00B215AC" w:rsidRDefault="00B34DAE" w:rsidP="00B34DAE">
      <w:pPr>
        <w:pStyle w:val="0-TXT11"/>
        <w:ind w:right="-2"/>
        <w:rPr>
          <w:rFonts w:cs="Times New Roman"/>
          <w:color w:val="FF0000"/>
        </w:rPr>
      </w:pPr>
    </w:p>
    <w:p w14:paraId="1F764C61" w14:textId="77777777" w:rsidR="00B34DAE" w:rsidRPr="00B215AC" w:rsidRDefault="00B34DAE" w:rsidP="00B34DAE">
      <w:pPr>
        <w:pStyle w:val="0-TXT11"/>
        <w:ind w:right="-2"/>
        <w:rPr>
          <w:rFonts w:cs="Times New Roman"/>
          <w:color w:val="FF0000"/>
        </w:rPr>
        <w:sectPr w:rsidR="00B34DAE" w:rsidRPr="00B215AC" w:rsidSect="00C57A3A">
          <w:footerReference w:type="default" r:id="rId66"/>
          <w:footnotePr>
            <w:numRestart w:val="eachSect"/>
          </w:footnotePr>
          <w:pgSz w:w="11905" w:h="16837"/>
          <w:pgMar w:top="1134" w:right="851" w:bottom="1134" w:left="1701" w:header="720" w:footer="720" w:gutter="0"/>
          <w:cols w:space="720"/>
          <w:noEndnote/>
        </w:sectPr>
      </w:pPr>
    </w:p>
    <w:p w14:paraId="0BE62C06" w14:textId="77777777" w:rsidR="00E175C4" w:rsidRDefault="00E175C4" w:rsidP="00E175C4">
      <w:pPr>
        <w:pStyle w:val="Ttulo1"/>
      </w:pPr>
      <w:bookmarkStart w:id="514" w:name="_Toc511305623"/>
      <w:bookmarkStart w:id="515" w:name="_Toc511381644"/>
      <w:bookmarkStart w:id="516" w:name="_Toc167871712"/>
      <w:r>
        <w:lastRenderedPageBreak/>
        <w:t xml:space="preserve">Monitoramento das </w:t>
      </w:r>
      <w:r w:rsidRPr="00264F4C">
        <w:t>Recomendações do TCE</w:t>
      </w:r>
      <w:r>
        <w:t>/</w:t>
      </w:r>
      <w:r w:rsidRPr="00264F4C">
        <w:t>G</w:t>
      </w:r>
      <w:r>
        <w:t>O</w:t>
      </w:r>
      <w:r w:rsidRPr="00264F4C">
        <w:t xml:space="preserve"> </w:t>
      </w:r>
      <w:bookmarkEnd w:id="514"/>
      <w:bookmarkEnd w:id="515"/>
      <w:r>
        <w:t>no Parecer Prévio de Exercícios Anteriores</w:t>
      </w:r>
      <w:bookmarkEnd w:id="516"/>
    </w:p>
    <w:p w14:paraId="29B11451" w14:textId="77777777" w:rsidR="007E51A1" w:rsidRDefault="007E51A1" w:rsidP="007E51A1">
      <w:pPr>
        <w:pStyle w:val="1-REL11"/>
      </w:pPr>
      <w:r w:rsidRPr="009C5F3C">
        <w:t>O TCE</w:t>
      </w:r>
      <w:r>
        <w:t>/</w:t>
      </w:r>
      <w:r w:rsidRPr="009C5F3C">
        <w:t>GO, quando da emissão do Parecer Prévio relativo à</w:t>
      </w:r>
      <w:r>
        <w:t xml:space="preserve"> Prestação de</w:t>
      </w:r>
      <w:r w:rsidRPr="009C5F3C">
        <w:t xml:space="preserve"> Contas do Governador do exercício de 20</w:t>
      </w:r>
      <w:r>
        <w:t xml:space="preserve">22, </w:t>
      </w:r>
      <w:r w:rsidRPr="002D5D7C">
        <w:t xml:space="preserve">em </w:t>
      </w:r>
      <w:r>
        <w:t>02</w:t>
      </w:r>
      <w:r w:rsidRPr="002D5D7C">
        <w:t>/0</w:t>
      </w:r>
      <w:r>
        <w:t>6</w:t>
      </w:r>
      <w:r w:rsidRPr="002D5D7C">
        <w:t>/20</w:t>
      </w:r>
      <w:r>
        <w:t>23</w:t>
      </w:r>
      <w:r w:rsidRPr="002D5D7C">
        <w:t>,</w:t>
      </w:r>
      <w:r w:rsidRPr="009C5F3C">
        <w:t xml:space="preserve"> </w:t>
      </w:r>
      <w:r>
        <w:t>expediu</w:t>
      </w:r>
      <w:r w:rsidRPr="009C5F3C">
        <w:t xml:space="preserve"> </w:t>
      </w:r>
      <w:r>
        <w:t>7</w:t>
      </w:r>
      <w:r w:rsidRPr="009C5F3C">
        <w:t xml:space="preserve"> recomendações ao Governo do </w:t>
      </w:r>
      <w:r>
        <w:t>es</w:t>
      </w:r>
      <w:r w:rsidRPr="009C5F3C">
        <w:t>tado de Goiás</w:t>
      </w:r>
      <w:r>
        <w:t>, 4 recomendações direcionadas a</w:t>
      </w:r>
      <w:r w:rsidRPr="002D5D7C">
        <w:t>os</w:t>
      </w:r>
      <w:r>
        <w:t xml:space="preserve"> </w:t>
      </w:r>
      <w:r w:rsidRPr="002D5D7C">
        <w:t>Poderes e Órgãos Autônomos</w:t>
      </w:r>
      <w:r>
        <w:t xml:space="preserve"> e 1 recomendação de trabalho conjunto entre o Tribunal de Justiça do Estado de Goiás (TJ/GO) e a Secretaria de Estado da Economia (ECONOMIA).</w:t>
      </w:r>
    </w:p>
    <w:p w14:paraId="09652013" w14:textId="77777777" w:rsidR="007E51A1" w:rsidRDefault="007E51A1" w:rsidP="007E51A1">
      <w:pPr>
        <w:pStyle w:val="1-REL11"/>
      </w:pPr>
      <w:r>
        <w:t>O Parecer Prévio tramita na Assembleia Legislativa de Goiás desde o dia 14/06/2023, a</w:t>
      </w:r>
      <w:r w:rsidRPr="00320702">
        <w:t>pensada ao processo n</w:t>
      </w:r>
      <w:r>
        <w:t>º</w:t>
      </w:r>
      <w:r w:rsidRPr="00320702">
        <w:t xml:space="preserve"> 494/23</w:t>
      </w:r>
      <w:r>
        <w:t>, proposição nº 1.081/23.</w:t>
      </w:r>
      <w:r>
        <w:rPr>
          <w:rStyle w:val="Refdenotaderodap"/>
        </w:rPr>
        <w:footnoteReference w:id="29"/>
      </w:r>
    </w:p>
    <w:p w14:paraId="078C38AC" w14:textId="77777777" w:rsidR="007E51A1" w:rsidRPr="00372263" w:rsidRDefault="007E51A1" w:rsidP="007E51A1">
      <w:pPr>
        <w:pStyle w:val="1-REL11"/>
      </w:pPr>
      <w:r w:rsidRPr="00372263">
        <w:t>A Controladoria-Geral do Estado (CGE), então, emitiu expedientes aos órgãos/entidades pertencentes ao Governo Estado, informando-lhes acerca do teor do parecer e solicitando que os mesmos tomassem as providências pertinentes ao saneamento das recomendações exaradas pelo TCE/GO.</w:t>
      </w:r>
    </w:p>
    <w:p w14:paraId="2966C1B4" w14:textId="77777777" w:rsidR="007E51A1" w:rsidRPr="00F366DF" w:rsidRDefault="007E51A1" w:rsidP="007E51A1">
      <w:pPr>
        <w:pStyle w:val="1-REL11"/>
      </w:pPr>
      <w:r w:rsidRPr="004016FF">
        <w:t>As respostas a tais expedientes estão dispostas no Relatório do Órgão Central do Sistema de Controle Interno Exercício 2023 Volume I, Capítulo 11 - Recomendações Expedidas pelo Tribunal de Contas do Estado de Goiás no Parecer Prévio sobre as Contas do Governador referentes ao Exercício 2022 (processo nº 202300047001912, evento 11, pág. 323), encaminhado ao TCE/GO juntamente com a Prestação de Contas do Governador do exercício 2023.</w:t>
      </w:r>
    </w:p>
    <w:p w14:paraId="6621D81A" w14:textId="77777777" w:rsidR="007E51A1" w:rsidRPr="00F97490" w:rsidRDefault="007E51A1" w:rsidP="007E51A1">
      <w:pPr>
        <w:pStyle w:val="1-REL11"/>
      </w:pPr>
      <w:r w:rsidRPr="00F97490">
        <w:t xml:space="preserve">Sintetiza-se, nas tabelas abaixo, o nível de atendimento das </w:t>
      </w:r>
      <w:r>
        <w:t>r</w:t>
      </w:r>
      <w:r w:rsidRPr="00F97490">
        <w:t>ecomendações expedidas ao Governo do Estado exaradas no Parecer Prévio sobre a</w:t>
      </w:r>
      <w:r>
        <w:t xml:space="preserve"> Prestação de</w:t>
      </w:r>
      <w:r w:rsidRPr="00F97490">
        <w:t xml:space="preserve"> Contas do Governador do exercício de 2022</w:t>
      </w:r>
      <w:r>
        <w:t>:</w:t>
      </w:r>
    </w:p>
    <w:p w14:paraId="3B6C42C0" w14:textId="77777777" w:rsidR="007E51A1" w:rsidRPr="00276688" w:rsidRDefault="007E51A1" w:rsidP="00736A8C">
      <w:pPr>
        <w:pStyle w:val="0-TABELA"/>
        <w:numPr>
          <w:ilvl w:val="0"/>
          <w:numId w:val="55"/>
        </w:numPr>
        <w:tabs>
          <w:tab w:val="clear" w:pos="1560"/>
          <w:tab w:val="left" w:pos="1134"/>
        </w:tabs>
        <w:ind w:left="0" w:firstLine="0"/>
      </w:pPr>
      <w:bookmarkStart w:id="517" w:name="_Toc167871835"/>
      <w:r w:rsidRPr="00276688">
        <w:t xml:space="preserve">Atendimento às </w:t>
      </w:r>
      <w:r>
        <w:t>Recomendações</w:t>
      </w:r>
      <w:r w:rsidRPr="00276688">
        <w:t xml:space="preserve"> do Parecer Prévio 2022</w:t>
      </w:r>
      <w:bookmarkEnd w:id="517"/>
    </w:p>
    <w:p w14:paraId="43498968" w14:textId="77777777" w:rsidR="007E51A1" w:rsidRPr="00601A92" w:rsidRDefault="007E51A1" w:rsidP="007E51A1">
      <w:pPr>
        <w:pStyle w:val="1-emR1-8ptDIR"/>
        <w:jc w:val="both"/>
        <w:rPr>
          <w:highlight w:val="lightGray"/>
        </w:rPr>
      </w:pPr>
    </w:p>
    <w:tbl>
      <w:tblPr>
        <w:tblW w:w="5000" w:type="pct"/>
        <w:tblCellMar>
          <w:left w:w="70" w:type="dxa"/>
          <w:right w:w="70" w:type="dxa"/>
        </w:tblCellMar>
        <w:tblLook w:val="04A0" w:firstRow="1" w:lastRow="0" w:firstColumn="1" w:lastColumn="0" w:noHBand="0" w:noVBand="1"/>
      </w:tblPr>
      <w:tblGrid>
        <w:gridCol w:w="2599"/>
        <w:gridCol w:w="4379"/>
        <w:gridCol w:w="1485"/>
        <w:gridCol w:w="890"/>
      </w:tblGrid>
      <w:tr w:rsidR="007E51A1" w:rsidRPr="00AF27D9" w14:paraId="48EA0E46" w14:textId="77777777" w:rsidTr="007E51A1">
        <w:trPr>
          <w:trHeight w:val="300"/>
          <w:tblHeader/>
        </w:trPr>
        <w:tc>
          <w:tcPr>
            <w:tcW w:w="1389" w:type="pct"/>
            <w:tcBorders>
              <w:top w:val="single" w:sz="4" w:space="0" w:color="auto"/>
              <w:left w:val="nil"/>
              <w:bottom w:val="single" w:sz="4" w:space="0" w:color="auto"/>
              <w:right w:val="single" w:sz="4" w:space="0" w:color="auto"/>
            </w:tcBorders>
            <w:shd w:val="clear" w:color="auto" w:fill="A1F2FD"/>
            <w:vAlign w:val="center"/>
            <w:hideMark/>
          </w:tcPr>
          <w:p w14:paraId="77292375" w14:textId="77777777" w:rsidR="007E51A1" w:rsidRPr="00AF27D9" w:rsidRDefault="007E51A1" w:rsidP="007E51A1">
            <w:pPr>
              <w:jc w:val="center"/>
              <w:rPr>
                <w:rFonts w:cs="Arial"/>
                <w:b/>
                <w:bCs/>
                <w:color w:val="000000"/>
              </w:rPr>
            </w:pPr>
            <w:r w:rsidRPr="00AF27D9">
              <w:rPr>
                <w:rFonts w:cs="Arial"/>
                <w:b/>
                <w:bCs/>
                <w:color w:val="000000"/>
              </w:rPr>
              <w:t>Situação</w:t>
            </w:r>
          </w:p>
        </w:tc>
        <w:tc>
          <w:tcPr>
            <w:tcW w:w="2341" w:type="pct"/>
            <w:tcBorders>
              <w:top w:val="single" w:sz="4" w:space="0" w:color="auto"/>
              <w:left w:val="nil"/>
              <w:bottom w:val="single" w:sz="4" w:space="0" w:color="auto"/>
              <w:right w:val="single" w:sz="4" w:space="0" w:color="auto"/>
            </w:tcBorders>
            <w:shd w:val="clear" w:color="auto" w:fill="A1F2FD"/>
            <w:vAlign w:val="center"/>
            <w:hideMark/>
          </w:tcPr>
          <w:p w14:paraId="0042470E" w14:textId="77777777" w:rsidR="007E51A1" w:rsidRPr="00AF27D9" w:rsidRDefault="007E51A1" w:rsidP="007E51A1">
            <w:pPr>
              <w:jc w:val="center"/>
              <w:rPr>
                <w:rFonts w:cs="Arial"/>
                <w:b/>
                <w:bCs/>
                <w:color w:val="000000"/>
              </w:rPr>
            </w:pPr>
            <w:r w:rsidRPr="00AF27D9">
              <w:rPr>
                <w:rFonts w:cs="Arial"/>
                <w:b/>
                <w:bCs/>
                <w:color w:val="000000"/>
              </w:rPr>
              <w:t>Recomendações</w:t>
            </w:r>
          </w:p>
        </w:tc>
        <w:tc>
          <w:tcPr>
            <w:tcW w:w="794" w:type="pct"/>
            <w:tcBorders>
              <w:top w:val="single" w:sz="4" w:space="0" w:color="auto"/>
              <w:left w:val="nil"/>
              <w:bottom w:val="single" w:sz="4" w:space="0" w:color="auto"/>
              <w:right w:val="single" w:sz="4" w:space="0" w:color="auto"/>
            </w:tcBorders>
            <w:shd w:val="clear" w:color="auto" w:fill="A1F2FD"/>
            <w:vAlign w:val="center"/>
            <w:hideMark/>
          </w:tcPr>
          <w:p w14:paraId="09AC87D5" w14:textId="77777777" w:rsidR="007E51A1" w:rsidRPr="00AF27D9" w:rsidRDefault="007E51A1" w:rsidP="007E51A1">
            <w:pPr>
              <w:jc w:val="center"/>
              <w:rPr>
                <w:rFonts w:cs="Arial"/>
                <w:b/>
                <w:bCs/>
                <w:color w:val="000000"/>
              </w:rPr>
            </w:pPr>
            <w:r w:rsidRPr="00AF27D9">
              <w:rPr>
                <w:rFonts w:cs="Arial"/>
                <w:b/>
                <w:bCs/>
                <w:color w:val="000000"/>
              </w:rPr>
              <w:t>Quantidade</w:t>
            </w:r>
          </w:p>
        </w:tc>
        <w:tc>
          <w:tcPr>
            <w:tcW w:w="476" w:type="pct"/>
            <w:tcBorders>
              <w:top w:val="single" w:sz="4" w:space="0" w:color="auto"/>
              <w:left w:val="nil"/>
              <w:bottom w:val="single" w:sz="4" w:space="0" w:color="auto"/>
              <w:right w:val="nil"/>
            </w:tcBorders>
            <w:shd w:val="clear" w:color="auto" w:fill="A1F2FD"/>
            <w:vAlign w:val="center"/>
            <w:hideMark/>
          </w:tcPr>
          <w:p w14:paraId="3AE39C25" w14:textId="77777777" w:rsidR="007E51A1" w:rsidRPr="00AF27D9" w:rsidRDefault="007E51A1" w:rsidP="007E51A1">
            <w:pPr>
              <w:jc w:val="center"/>
              <w:rPr>
                <w:rFonts w:cs="Arial"/>
                <w:b/>
                <w:bCs/>
                <w:color w:val="000000"/>
              </w:rPr>
            </w:pPr>
            <w:r w:rsidRPr="00AF27D9">
              <w:rPr>
                <w:rFonts w:cs="Arial"/>
                <w:b/>
                <w:bCs/>
                <w:color w:val="000000"/>
              </w:rPr>
              <w:t>%</w:t>
            </w:r>
          </w:p>
        </w:tc>
      </w:tr>
      <w:tr w:rsidR="007E51A1" w:rsidRPr="00AF27D9" w14:paraId="2E2B4747" w14:textId="77777777" w:rsidTr="007E51A1">
        <w:trPr>
          <w:trHeight w:val="285"/>
        </w:trPr>
        <w:tc>
          <w:tcPr>
            <w:tcW w:w="1389" w:type="pct"/>
            <w:tcBorders>
              <w:top w:val="nil"/>
              <w:left w:val="nil"/>
              <w:bottom w:val="nil"/>
              <w:right w:val="single" w:sz="4" w:space="0" w:color="auto"/>
            </w:tcBorders>
            <w:shd w:val="clear" w:color="auto" w:fill="auto"/>
            <w:noWrap/>
            <w:vAlign w:val="center"/>
            <w:hideMark/>
          </w:tcPr>
          <w:p w14:paraId="563271FD" w14:textId="77777777" w:rsidR="007E51A1" w:rsidRPr="00AF27D9" w:rsidRDefault="007E51A1" w:rsidP="007E51A1">
            <w:pPr>
              <w:rPr>
                <w:rFonts w:cs="Arial"/>
                <w:color w:val="000000"/>
              </w:rPr>
            </w:pPr>
            <w:r w:rsidRPr="00AF27D9">
              <w:rPr>
                <w:rFonts w:cs="Arial"/>
                <w:color w:val="000000"/>
              </w:rPr>
              <w:t>Atendida</w:t>
            </w:r>
          </w:p>
        </w:tc>
        <w:tc>
          <w:tcPr>
            <w:tcW w:w="2341" w:type="pct"/>
            <w:tcBorders>
              <w:top w:val="nil"/>
              <w:left w:val="nil"/>
              <w:bottom w:val="nil"/>
              <w:right w:val="single" w:sz="4" w:space="0" w:color="auto"/>
            </w:tcBorders>
            <w:shd w:val="clear" w:color="auto" w:fill="auto"/>
          </w:tcPr>
          <w:p w14:paraId="684BD997" w14:textId="77777777" w:rsidR="007E51A1" w:rsidRPr="00AF27D9" w:rsidRDefault="007E51A1" w:rsidP="007E51A1">
            <w:pPr>
              <w:jc w:val="center"/>
              <w:rPr>
                <w:rFonts w:cs="Arial"/>
                <w:color w:val="000000"/>
              </w:rPr>
            </w:pPr>
            <w:r>
              <w:rPr>
                <w:rFonts w:cs="Arial"/>
                <w:color w:val="000000"/>
              </w:rPr>
              <w:t>1, 2, 3, 4, 5, 6</w:t>
            </w:r>
          </w:p>
        </w:tc>
        <w:tc>
          <w:tcPr>
            <w:tcW w:w="794" w:type="pct"/>
            <w:tcBorders>
              <w:top w:val="nil"/>
              <w:left w:val="nil"/>
              <w:bottom w:val="nil"/>
              <w:right w:val="single" w:sz="4" w:space="0" w:color="auto"/>
            </w:tcBorders>
            <w:shd w:val="clear" w:color="auto" w:fill="auto"/>
            <w:noWrap/>
            <w:hideMark/>
          </w:tcPr>
          <w:p w14:paraId="40E75829" w14:textId="77777777" w:rsidR="007E51A1" w:rsidRPr="00AF27D9" w:rsidRDefault="007E51A1" w:rsidP="007E51A1">
            <w:pPr>
              <w:jc w:val="center"/>
              <w:rPr>
                <w:rFonts w:cs="Arial"/>
                <w:color w:val="000000"/>
              </w:rPr>
            </w:pPr>
            <w:r>
              <w:rPr>
                <w:rFonts w:cs="Arial"/>
                <w:color w:val="000000"/>
              </w:rPr>
              <w:t>6</w:t>
            </w:r>
          </w:p>
        </w:tc>
        <w:tc>
          <w:tcPr>
            <w:tcW w:w="476" w:type="pct"/>
            <w:tcBorders>
              <w:top w:val="nil"/>
              <w:left w:val="nil"/>
              <w:bottom w:val="nil"/>
              <w:right w:val="nil"/>
            </w:tcBorders>
            <w:shd w:val="clear" w:color="auto" w:fill="auto"/>
            <w:noWrap/>
            <w:hideMark/>
          </w:tcPr>
          <w:p w14:paraId="062E02BA" w14:textId="77777777" w:rsidR="007E51A1" w:rsidRPr="00AF27D9" w:rsidRDefault="007E51A1" w:rsidP="007E51A1">
            <w:pPr>
              <w:jc w:val="center"/>
              <w:rPr>
                <w:rFonts w:cs="Arial"/>
                <w:color w:val="000000"/>
              </w:rPr>
            </w:pPr>
            <w:r>
              <w:rPr>
                <w:rFonts w:cs="Arial"/>
                <w:color w:val="000000"/>
              </w:rPr>
              <w:t>50,00</w:t>
            </w:r>
          </w:p>
        </w:tc>
      </w:tr>
      <w:tr w:rsidR="007E51A1" w:rsidRPr="00AF27D9" w14:paraId="0B6CF952" w14:textId="77777777" w:rsidTr="007E51A1">
        <w:trPr>
          <w:trHeight w:val="285"/>
        </w:trPr>
        <w:tc>
          <w:tcPr>
            <w:tcW w:w="1389" w:type="pct"/>
            <w:tcBorders>
              <w:top w:val="nil"/>
              <w:left w:val="nil"/>
              <w:bottom w:val="nil"/>
              <w:right w:val="single" w:sz="4" w:space="0" w:color="auto"/>
            </w:tcBorders>
            <w:shd w:val="clear" w:color="auto" w:fill="auto"/>
            <w:noWrap/>
            <w:vAlign w:val="center"/>
            <w:hideMark/>
          </w:tcPr>
          <w:p w14:paraId="4D5A40FD" w14:textId="77777777" w:rsidR="007E51A1" w:rsidRPr="00AF27D9" w:rsidRDefault="007E51A1" w:rsidP="007E51A1">
            <w:pPr>
              <w:rPr>
                <w:rFonts w:cs="Arial"/>
                <w:color w:val="000000"/>
              </w:rPr>
            </w:pPr>
            <w:r w:rsidRPr="00AF27D9">
              <w:rPr>
                <w:rFonts w:cs="Arial"/>
                <w:color w:val="000000"/>
              </w:rPr>
              <w:t>Parcialmente Atendida</w:t>
            </w:r>
          </w:p>
        </w:tc>
        <w:tc>
          <w:tcPr>
            <w:tcW w:w="2341" w:type="pct"/>
            <w:tcBorders>
              <w:top w:val="nil"/>
              <w:left w:val="nil"/>
              <w:bottom w:val="nil"/>
              <w:right w:val="single" w:sz="4" w:space="0" w:color="auto"/>
            </w:tcBorders>
            <w:shd w:val="clear" w:color="auto" w:fill="auto"/>
          </w:tcPr>
          <w:p w14:paraId="1A7C0DB8" w14:textId="77777777" w:rsidR="007E51A1" w:rsidRPr="00AF27D9" w:rsidRDefault="007E51A1" w:rsidP="007E51A1">
            <w:pPr>
              <w:jc w:val="center"/>
              <w:rPr>
                <w:rFonts w:cs="Arial"/>
                <w:color w:val="000000"/>
              </w:rPr>
            </w:pPr>
            <w:r>
              <w:rPr>
                <w:rFonts w:cs="Arial"/>
                <w:color w:val="000000"/>
              </w:rPr>
              <w:t>11</w:t>
            </w:r>
          </w:p>
        </w:tc>
        <w:tc>
          <w:tcPr>
            <w:tcW w:w="794" w:type="pct"/>
            <w:tcBorders>
              <w:top w:val="nil"/>
              <w:left w:val="nil"/>
              <w:bottom w:val="nil"/>
              <w:right w:val="single" w:sz="4" w:space="0" w:color="auto"/>
            </w:tcBorders>
            <w:shd w:val="clear" w:color="auto" w:fill="auto"/>
            <w:noWrap/>
            <w:hideMark/>
          </w:tcPr>
          <w:p w14:paraId="2426FD39" w14:textId="77777777" w:rsidR="007E51A1" w:rsidRPr="00AF27D9" w:rsidRDefault="007E51A1" w:rsidP="007E51A1">
            <w:pPr>
              <w:jc w:val="center"/>
              <w:rPr>
                <w:rFonts w:cs="Arial"/>
                <w:color w:val="000000"/>
              </w:rPr>
            </w:pPr>
            <w:r>
              <w:rPr>
                <w:rFonts w:cs="Arial"/>
                <w:color w:val="000000"/>
              </w:rPr>
              <w:t>1</w:t>
            </w:r>
          </w:p>
        </w:tc>
        <w:tc>
          <w:tcPr>
            <w:tcW w:w="476" w:type="pct"/>
            <w:tcBorders>
              <w:top w:val="nil"/>
              <w:left w:val="nil"/>
              <w:bottom w:val="nil"/>
              <w:right w:val="nil"/>
            </w:tcBorders>
            <w:shd w:val="clear" w:color="auto" w:fill="auto"/>
            <w:noWrap/>
            <w:hideMark/>
          </w:tcPr>
          <w:p w14:paraId="06CD4216" w14:textId="77777777" w:rsidR="007E51A1" w:rsidRPr="00AF27D9" w:rsidRDefault="007E51A1" w:rsidP="007E51A1">
            <w:pPr>
              <w:jc w:val="center"/>
              <w:rPr>
                <w:rFonts w:cs="Arial"/>
                <w:color w:val="000000"/>
              </w:rPr>
            </w:pPr>
            <w:r>
              <w:rPr>
                <w:rFonts w:cs="Arial"/>
                <w:color w:val="000000"/>
              </w:rPr>
              <w:t>8,33</w:t>
            </w:r>
          </w:p>
        </w:tc>
      </w:tr>
      <w:tr w:rsidR="007E51A1" w:rsidRPr="00AF27D9" w14:paraId="5D7CED2D" w14:textId="77777777" w:rsidTr="007E51A1">
        <w:trPr>
          <w:trHeight w:val="285"/>
        </w:trPr>
        <w:tc>
          <w:tcPr>
            <w:tcW w:w="1389" w:type="pct"/>
            <w:tcBorders>
              <w:top w:val="nil"/>
              <w:left w:val="nil"/>
              <w:right w:val="single" w:sz="4" w:space="0" w:color="auto"/>
            </w:tcBorders>
            <w:shd w:val="clear" w:color="auto" w:fill="auto"/>
            <w:noWrap/>
            <w:vAlign w:val="center"/>
            <w:hideMark/>
          </w:tcPr>
          <w:p w14:paraId="6EA58286" w14:textId="77777777" w:rsidR="007E51A1" w:rsidRPr="00AF27D9" w:rsidRDefault="007E51A1" w:rsidP="007E51A1">
            <w:pPr>
              <w:rPr>
                <w:rFonts w:cs="Arial"/>
                <w:color w:val="000000"/>
              </w:rPr>
            </w:pPr>
            <w:r w:rsidRPr="00AF27D9">
              <w:rPr>
                <w:rFonts w:cs="Arial"/>
                <w:color w:val="000000"/>
              </w:rPr>
              <w:t>Não atendida</w:t>
            </w:r>
          </w:p>
        </w:tc>
        <w:tc>
          <w:tcPr>
            <w:tcW w:w="2341" w:type="pct"/>
            <w:tcBorders>
              <w:top w:val="nil"/>
              <w:left w:val="nil"/>
              <w:right w:val="single" w:sz="4" w:space="0" w:color="auto"/>
            </w:tcBorders>
            <w:shd w:val="clear" w:color="auto" w:fill="auto"/>
          </w:tcPr>
          <w:p w14:paraId="5E8D304F" w14:textId="77777777" w:rsidR="007E51A1" w:rsidRPr="00AF27D9" w:rsidRDefault="007E51A1" w:rsidP="007E51A1">
            <w:pPr>
              <w:jc w:val="center"/>
              <w:rPr>
                <w:rFonts w:cs="Arial"/>
                <w:color w:val="000000"/>
              </w:rPr>
            </w:pPr>
            <w:r>
              <w:rPr>
                <w:rFonts w:cs="Arial"/>
                <w:color w:val="000000"/>
              </w:rPr>
              <w:t>7, 8, 9, 12</w:t>
            </w:r>
          </w:p>
        </w:tc>
        <w:tc>
          <w:tcPr>
            <w:tcW w:w="794" w:type="pct"/>
            <w:tcBorders>
              <w:top w:val="nil"/>
              <w:left w:val="nil"/>
              <w:right w:val="single" w:sz="4" w:space="0" w:color="auto"/>
            </w:tcBorders>
            <w:shd w:val="clear" w:color="auto" w:fill="auto"/>
            <w:noWrap/>
            <w:hideMark/>
          </w:tcPr>
          <w:p w14:paraId="69833A9C" w14:textId="77777777" w:rsidR="007E51A1" w:rsidRPr="00AF27D9" w:rsidRDefault="007E51A1" w:rsidP="007E51A1">
            <w:pPr>
              <w:jc w:val="center"/>
              <w:rPr>
                <w:rFonts w:cs="Arial"/>
                <w:color w:val="000000"/>
              </w:rPr>
            </w:pPr>
            <w:r>
              <w:rPr>
                <w:rFonts w:cs="Arial"/>
                <w:color w:val="000000"/>
              </w:rPr>
              <w:t>4</w:t>
            </w:r>
          </w:p>
        </w:tc>
        <w:tc>
          <w:tcPr>
            <w:tcW w:w="476" w:type="pct"/>
            <w:tcBorders>
              <w:top w:val="nil"/>
              <w:left w:val="nil"/>
              <w:right w:val="nil"/>
            </w:tcBorders>
            <w:shd w:val="clear" w:color="auto" w:fill="auto"/>
            <w:noWrap/>
            <w:hideMark/>
          </w:tcPr>
          <w:p w14:paraId="6A6C72CC" w14:textId="77777777" w:rsidR="007E51A1" w:rsidRPr="00AF27D9" w:rsidRDefault="007E51A1" w:rsidP="007E51A1">
            <w:pPr>
              <w:jc w:val="center"/>
              <w:rPr>
                <w:rFonts w:cs="Arial"/>
                <w:color w:val="000000"/>
              </w:rPr>
            </w:pPr>
            <w:r>
              <w:rPr>
                <w:rFonts w:cs="Arial"/>
                <w:color w:val="000000"/>
              </w:rPr>
              <w:t>33,33</w:t>
            </w:r>
          </w:p>
        </w:tc>
      </w:tr>
      <w:tr w:rsidR="007E51A1" w:rsidRPr="00AF27D9" w14:paraId="610B7FF7" w14:textId="77777777" w:rsidTr="007E51A1">
        <w:trPr>
          <w:trHeight w:val="285"/>
        </w:trPr>
        <w:tc>
          <w:tcPr>
            <w:tcW w:w="1389" w:type="pct"/>
            <w:tcBorders>
              <w:left w:val="nil"/>
              <w:bottom w:val="single" w:sz="4" w:space="0" w:color="auto"/>
              <w:right w:val="single" w:sz="4" w:space="0" w:color="auto"/>
            </w:tcBorders>
            <w:shd w:val="clear" w:color="auto" w:fill="auto"/>
            <w:noWrap/>
            <w:vAlign w:val="center"/>
          </w:tcPr>
          <w:p w14:paraId="1CA3B4DC" w14:textId="77777777" w:rsidR="007E51A1" w:rsidRPr="00AF27D9" w:rsidRDefault="007E51A1" w:rsidP="007E51A1">
            <w:pPr>
              <w:rPr>
                <w:rFonts w:cs="Arial"/>
                <w:color w:val="000000"/>
              </w:rPr>
            </w:pPr>
            <w:r w:rsidRPr="00AF27D9">
              <w:rPr>
                <w:rFonts w:cs="Arial"/>
                <w:color w:val="000000"/>
              </w:rPr>
              <w:t>Em análise</w:t>
            </w:r>
          </w:p>
        </w:tc>
        <w:tc>
          <w:tcPr>
            <w:tcW w:w="2341" w:type="pct"/>
            <w:tcBorders>
              <w:left w:val="nil"/>
              <w:bottom w:val="single" w:sz="4" w:space="0" w:color="auto"/>
              <w:right w:val="single" w:sz="4" w:space="0" w:color="auto"/>
            </w:tcBorders>
            <w:shd w:val="clear" w:color="auto" w:fill="auto"/>
          </w:tcPr>
          <w:p w14:paraId="4F5E29C6" w14:textId="77777777" w:rsidR="007E51A1" w:rsidRPr="00AF27D9" w:rsidRDefault="007E51A1" w:rsidP="007E51A1">
            <w:pPr>
              <w:jc w:val="center"/>
            </w:pPr>
            <w:r>
              <w:t>12</w:t>
            </w:r>
          </w:p>
        </w:tc>
        <w:tc>
          <w:tcPr>
            <w:tcW w:w="794" w:type="pct"/>
            <w:tcBorders>
              <w:left w:val="nil"/>
              <w:bottom w:val="single" w:sz="4" w:space="0" w:color="auto"/>
              <w:right w:val="single" w:sz="4" w:space="0" w:color="auto"/>
            </w:tcBorders>
            <w:shd w:val="clear" w:color="auto" w:fill="auto"/>
            <w:noWrap/>
          </w:tcPr>
          <w:p w14:paraId="6A756034" w14:textId="77777777" w:rsidR="007E51A1" w:rsidRPr="00AF27D9" w:rsidRDefault="007E51A1" w:rsidP="007E51A1">
            <w:pPr>
              <w:jc w:val="center"/>
            </w:pPr>
            <w:r>
              <w:t>1</w:t>
            </w:r>
          </w:p>
        </w:tc>
        <w:tc>
          <w:tcPr>
            <w:tcW w:w="476" w:type="pct"/>
            <w:tcBorders>
              <w:left w:val="nil"/>
              <w:bottom w:val="nil"/>
              <w:right w:val="nil"/>
            </w:tcBorders>
            <w:shd w:val="clear" w:color="auto" w:fill="auto"/>
            <w:noWrap/>
          </w:tcPr>
          <w:p w14:paraId="33F88B79" w14:textId="77777777" w:rsidR="007E51A1" w:rsidRPr="00AF27D9" w:rsidRDefault="007E51A1" w:rsidP="007E51A1">
            <w:pPr>
              <w:jc w:val="center"/>
            </w:pPr>
            <w:r>
              <w:t>8,33</w:t>
            </w:r>
          </w:p>
        </w:tc>
      </w:tr>
      <w:tr w:rsidR="007E51A1" w:rsidRPr="00AF27D9" w14:paraId="21F5AFB5" w14:textId="77777777" w:rsidTr="007E51A1">
        <w:trPr>
          <w:trHeight w:val="300"/>
        </w:trPr>
        <w:tc>
          <w:tcPr>
            <w:tcW w:w="3730" w:type="pct"/>
            <w:gridSpan w:val="2"/>
            <w:tcBorders>
              <w:top w:val="single" w:sz="4" w:space="0" w:color="auto"/>
              <w:left w:val="nil"/>
              <w:bottom w:val="single" w:sz="4" w:space="0" w:color="auto"/>
              <w:right w:val="single" w:sz="4" w:space="0" w:color="auto"/>
            </w:tcBorders>
            <w:shd w:val="clear" w:color="auto" w:fill="auto"/>
            <w:noWrap/>
            <w:vAlign w:val="center"/>
            <w:hideMark/>
          </w:tcPr>
          <w:p w14:paraId="11390CDC" w14:textId="77777777" w:rsidR="007E51A1" w:rsidRPr="00AF27D9" w:rsidRDefault="007E51A1" w:rsidP="007E51A1">
            <w:pPr>
              <w:jc w:val="center"/>
              <w:rPr>
                <w:rFonts w:cs="Arial"/>
                <w:b/>
                <w:bCs/>
                <w:color w:val="000000"/>
              </w:rPr>
            </w:pPr>
            <w:r w:rsidRPr="00AF27D9">
              <w:rPr>
                <w:rFonts w:cs="Arial"/>
                <w:b/>
                <w:bCs/>
                <w:color w:val="000000"/>
              </w:rPr>
              <w:t>Total</w:t>
            </w:r>
          </w:p>
        </w:tc>
        <w:tc>
          <w:tcPr>
            <w:tcW w:w="794" w:type="pct"/>
            <w:tcBorders>
              <w:top w:val="nil"/>
              <w:left w:val="nil"/>
              <w:bottom w:val="single" w:sz="4" w:space="0" w:color="auto"/>
              <w:right w:val="single" w:sz="4" w:space="0" w:color="auto"/>
            </w:tcBorders>
            <w:shd w:val="clear" w:color="auto" w:fill="auto"/>
            <w:noWrap/>
            <w:vAlign w:val="center"/>
            <w:hideMark/>
          </w:tcPr>
          <w:p w14:paraId="54AF1D80" w14:textId="77777777" w:rsidR="007E51A1" w:rsidRPr="00AF27D9" w:rsidRDefault="007E51A1" w:rsidP="007E51A1">
            <w:pPr>
              <w:jc w:val="center"/>
              <w:rPr>
                <w:rFonts w:cs="Arial"/>
                <w:b/>
                <w:bCs/>
                <w:color w:val="000000"/>
              </w:rPr>
            </w:pPr>
            <w:r>
              <w:rPr>
                <w:rFonts w:cs="Arial"/>
                <w:b/>
                <w:bCs/>
                <w:color w:val="000000"/>
              </w:rPr>
              <w:t>12</w:t>
            </w:r>
          </w:p>
        </w:tc>
        <w:tc>
          <w:tcPr>
            <w:tcW w:w="476" w:type="pct"/>
            <w:tcBorders>
              <w:top w:val="single" w:sz="4" w:space="0" w:color="auto"/>
              <w:left w:val="nil"/>
              <w:bottom w:val="single" w:sz="4" w:space="0" w:color="auto"/>
              <w:right w:val="nil"/>
            </w:tcBorders>
            <w:shd w:val="clear" w:color="auto" w:fill="auto"/>
            <w:noWrap/>
            <w:vAlign w:val="center"/>
            <w:hideMark/>
          </w:tcPr>
          <w:p w14:paraId="5D0B9F93" w14:textId="77777777" w:rsidR="007E51A1" w:rsidRPr="00AF27D9" w:rsidRDefault="007E51A1" w:rsidP="007E51A1">
            <w:pPr>
              <w:jc w:val="center"/>
              <w:rPr>
                <w:rFonts w:cs="Arial"/>
                <w:b/>
                <w:bCs/>
                <w:color w:val="000000"/>
              </w:rPr>
            </w:pPr>
            <w:r w:rsidRPr="00AF27D9">
              <w:rPr>
                <w:rFonts w:cs="Arial"/>
                <w:b/>
                <w:bCs/>
                <w:color w:val="000000"/>
              </w:rPr>
              <w:t>100,</w:t>
            </w:r>
            <w:r>
              <w:rPr>
                <w:rFonts w:cs="Arial"/>
                <w:b/>
                <w:bCs/>
                <w:color w:val="000000"/>
              </w:rPr>
              <w:t>0</w:t>
            </w:r>
            <w:r w:rsidRPr="00AF27D9">
              <w:rPr>
                <w:rFonts w:cs="Arial"/>
                <w:b/>
                <w:bCs/>
                <w:color w:val="000000"/>
              </w:rPr>
              <w:t>0</w:t>
            </w:r>
          </w:p>
        </w:tc>
      </w:tr>
    </w:tbl>
    <w:p w14:paraId="69627C68" w14:textId="77777777" w:rsidR="007E51A1" w:rsidRDefault="007E51A1" w:rsidP="007E51A1">
      <w:pPr>
        <w:pStyle w:val="1-FONTE8ESQ"/>
        <w:rPr>
          <w:highlight w:val="lightGray"/>
        </w:rPr>
      </w:pPr>
      <w:r w:rsidRPr="00AF27D9">
        <w:t>Fonte: Elaboração pela Unidade Técnica</w:t>
      </w:r>
    </w:p>
    <w:p w14:paraId="75CA59F7" w14:textId="1B8557A1" w:rsidR="007E51A1" w:rsidRDefault="007E51A1" w:rsidP="007E51A1"/>
    <w:p w14:paraId="4E002BF3" w14:textId="77777777" w:rsidR="007E51A1" w:rsidRPr="00783DE2" w:rsidRDefault="007E51A1" w:rsidP="007E51A1">
      <w:pPr>
        <w:pStyle w:val="1-REL11"/>
      </w:pPr>
      <w:r w:rsidRPr="00783DE2">
        <w:lastRenderedPageBreak/>
        <w:t>Apresenta-se na tabela seguinte histórico de cumprimento pelo Estado das recomendações e determinações estabelecidas pelo TCE/GO nos Pareceres Prévios das Prestações de Contas do Governador dos exercícios de 2020, 2021 e 2022:</w:t>
      </w:r>
    </w:p>
    <w:p w14:paraId="77A2D88C" w14:textId="77777777" w:rsidR="007E51A1" w:rsidRPr="00783DE2" w:rsidRDefault="007E51A1" w:rsidP="00736A8C">
      <w:pPr>
        <w:pStyle w:val="0-TABELA"/>
        <w:numPr>
          <w:ilvl w:val="0"/>
          <w:numId w:val="55"/>
        </w:numPr>
        <w:tabs>
          <w:tab w:val="clear" w:pos="1560"/>
          <w:tab w:val="left" w:pos="1134"/>
        </w:tabs>
        <w:ind w:left="0" w:firstLine="0"/>
      </w:pPr>
      <w:bookmarkStart w:id="518" w:name="_Toc167871836"/>
      <w:r w:rsidRPr="00783DE2">
        <w:t>Histórico de Atendimento de Determinações</w:t>
      </w:r>
      <w:bookmarkEnd w:id="518"/>
    </w:p>
    <w:tbl>
      <w:tblPr>
        <w:tblW w:w="5000" w:type="pct"/>
        <w:tblCellMar>
          <w:left w:w="70" w:type="dxa"/>
          <w:right w:w="70" w:type="dxa"/>
        </w:tblCellMar>
        <w:tblLook w:val="04A0" w:firstRow="1" w:lastRow="0" w:firstColumn="1" w:lastColumn="0" w:noHBand="0" w:noVBand="1"/>
      </w:tblPr>
      <w:tblGrid>
        <w:gridCol w:w="2354"/>
        <w:gridCol w:w="1545"/>
        <w:gridCol w:w="813"/>
        <w:gridCol w:w="1518"/>
        <w:gridCol w:w="813"/>
        <w:gridCol w:w="1537"/>
        <w:gridCol w:w="773"/>
      </w:tblGrid>
      <w:tr w:rsidR="007E51A1" w:rsidRPr="0032339A" w14:paraId="5D4FB62C" w14:textId="77777777" w:rsidTr="007E51A1">
        <w:trPr>
          <w:trHeight w:val="300"/>
          <w:tblHeader/>
        </w:trPr>
        <w:tc>
          <w:tcPr>
            <w:tcW w:w="1151" w:type="pct"/>
            <w:vMerge w:val="restart"/>
            <w:tcBorders>
              <w:top w:val="single" w:sz="4" w:space="0" w:color="auto"/>
              <w:left w:val="nil"/>
              <w:bottom w:val="single" w:sz="4" w:space="0" w:color="000000"/>
              <w:right w:val="nil"/>
            </w:tcBorders>
            <w:shd w:val="clear" w:color="000000" w:fill="A1F2FD"/>
            <w:vAlign w:val="center"/>
            <w:hideMark/>
          </w:tcPr>
          <w:p w14:paraId="3D5A79CE" w14:textId="77777777" w:rsidR="007E51A1" w:rsidRPr="0032339A" w:rsidRDefault="007E51A1" w:rsidP="007E51A1">
            <w:pPr>
              <w:jc w:val="center"/>
              <w:rPr>
                <w:rFonts w:cs="Arial"/>
                <w:b/>
                <w:bCs/>
                <w:color w:val="000000"/>
              </w:rPr>
            </w:pPr>
            <w:r w:rsidRPr="0032339A">
              <w:rPr>
                <w:rFonts w:cs="Arial"/>
                <w:b/>
                <w:bCs/>
                <w:color w:val="000000"/>
              </w:rPr>
              <w:t>Situação</w:t>
            </w:r>
          </w:p>
        </w:tc>
        <w:tc>
          <w:tcPr>
            <w:tcW w:w="1282" w:type="pct"/>
            <w:gridSpan w:val="2"/>
            <w:tcBorders>
              <w:top w:val="single" w:sz="4" w:space="0" w:color="auto"/>
              <w:left w:val="single" w:sz="4" w:space="0" w:color="auto"/>
              <w:bottom w:val="nil"/>
              <w:right w:val="single" w:sz="4" w:space="0" w:color="000000"/>
            </w:tcBorders>
            <w:shd w:val="clear" w:color="000000" w:fill="A1F2FD"/>
            <w:vAlign w:val="center"/>
            <w:hideMark/>
          </w:tcPr>
          <w:p w14:paraId="52FFB2EB" w14:textId="77777777" w:rsidR="007E51A1" w:rsidRPr="0032339A" w:rsidRDefault="007E51A1" w:rsidP="007E51A1">
            <w:pPr>
              <w:jc w:val="center"/>
              <w:rPr>
                <w:rFonts w:cs="Arial"/>
                <w:b/>
                <w:bCs/>
                <w:color w:val="000000"/>
              </w:rPr>
            </w:pPr>
            <w:r w:rsidRPr="0032339A">
              <w:rPr>
                <w:rFonts w:cs="Arial"/>
                <w:b/>
                <w:bCs/>
                <w:color w:val="000000"/>
              </w:rPr>
              <w:t>Contas de 2020</w:t>
            </w:r>
          </w:p>
        </w:tc>
        <w:tc>
          <w:tcPr>
            <w:tcW w:w="1282" w:type="pct"/>
            <w:gridSpan w:val="2"/>
            <w:tcBorders>
              <w:top w:val="single" w:sz="4" w:space="0" w:color="auto"/>
              <w:left w:val="nil"/>
              <w:bottom w:val="single" w:sz="4" w:space="0" w:color="auto"/>
              <w:right w:val="single" w:sz="4" w:space="0" w:color="000000"/>
            </w:tcBorders>
            <w:shd w:val="clear" w:color="000000" w:fill="A1F2FD"/>
            <w:vAlign w:val="center"/>
            <w:hideMark/>
          </w:tcPr>
          <w:p w14:paraId="367FCE78" w14:textId="77777777" w:rsidR="007E51A1" w:rsidRPr="0032339A" w:rsidRDefault="007E51A1" w:rsidP="007E51A1">
            <w:pPr>
              <w:jc w:val="center"/>
              <w:rPr>
                <w:rFonts w:cs="Arial"/>
                <w:b/>
                <w:bCs/>
                <w:color w:val="000000"/>
              </w:rPr>
            </w:pPr>
            <w:r w:rsidRPr="0032339A">
              <w:rPr>
                <w:rFonts w:cs="Arial"/>
                <w:b/>
                <w:bCs/>
                <w:color w:val="000000"/>
              </w:rPr>
              <w:t>Contas de 2021</w:t>
            </w:r>
          </w:p>
        </w:tc>
        <w:tc>
          <w:tcPr>
            <w:tcW w:w="1285" w:type="pct"/>
            <w:gridSpan w:val="2"/>
            <w:tcBorders>
              <w:top w:val="single" w:sz="4" w:space="0" w:color="auto"/>
              <w:left w:val="nil"/>
              <w:bottom w:val="nil"/>
              <w:right w:val="nil"/>
            </w:tcBorders>
            <w:shd w:val="clear" w:color="000000" w:fill="A1F2FD"/>
            <w:vAlign w:val="center"/>
            <w:hideMark/>
          </w:tcPr>
          <w:p w14:paraId="6020970D" w14:textId="77777777" w:rsidR="007E51A1" w:rsidRPr="0032339A" w:rsidRDefault="007E51A1" w:rsidP="007E51A1">
            <w:pPr>
              <w:jc w:val="center"/>
              <w:rPr>
                <w:rFonts w:cs="Arial"/>
                <w:b/>
                <w:bCs/>
                <w:color w:val="000000"/>
              </w:rPr>
            </w:pPr>
            <w:r w:rsidRPr="0032339A">
              <w:rPr>
                <w:rFonts w:cs="Arial"/>
                <w:b/>
                <w:bCs/>
                <w:color w:val="000000"/>
              </w:rPr>
              <w:t>Contas de 2022</w:t>
            </w:r>
          </w:p>
        </w:tc>
      </w:tr>
      <w:tr w:rsidR="007E51A1" w:rsidRPr="0032339A" w14:paraId="1257B091" w14:textId="77777777" w:rsidTr="007E51A1">
        <w:trPr>
          <w:trHeight w:val="300"/>
          <w:tblHeader/>
        </w:trPr>
        <w:tc>
          <w:tcPr>
            <w:tcW w:w="1151" w:type="pct"/>
            <w:vMerge/>
            <w:tcBorders>
              <w:top w:val="single" w:sz="4" w:space="0" w:color="auto"/>
              <w:left w:val="nil"/>
              <w:bottom w:val="single" w:sz="4" w:space="0" w:color="000000"/>
              <w:right w:val="nil"/>
            </w:tcBorders>
            <w:vAlign w:val="center"/>
            <w:hideMark/>
          </w:tcPr>
          <w:p w14:paraId="560C97C4" w14:textId="77777777" w:rsidR="007E51A1" w:rsidRPr="0032339A" w:rsidRDefault="007E51A1" w:rsidP="007E51A1">
            <w:pPr>
              <w:jc w:val="left"/>
              <w:rPr>
                <w:rFonts w:cs="Arial"/>
                <w:b/>
                <w:bCs/>
                <w:color w:val="000000"/>
              </w:rPr>
            </w:pPr>
          </w:p>
        </w:tc>
        <w:tc>
          <w:tcPr>
            <w:tcW w:w="844" w:type="pct"/>
            <w:tcBorders>
              <w:top w:val="single" w:sz="4" w:space="0" w:color="auto"/>
              <w:left w:val="single" w:sz="4" w:space="0" w:color="auto"/>
              <w:bottom w:val="single" w:sz="4" w:space="0" w:color="auto"/>
              <w:right w:val="single" w:sz="4" w:space="0" w:color="auto"/>
            </w:tcBorders>
            <w:shd w:val="clear" w:color="000000" w:fill="A1F2FD"/>
            <w:vAlign w:val="center"/>
            <w:hideMark/>
          </w:tcPr>
          <w:p w14:paraId="3C27159E" w14:textId="77777777" w:rsidR="007E51A1" w:rsidRPr="0032339A" w:rsidRDefault="007E51A1" w:rsidP="007E51A1">
            <w:pPr>
              <w:jc w:val="center"/>
              <w:rPr>
                <w:rFonts w:cs="Arial"/>
                <w:b/>
                <w:bCs/>
                <w:color w:val="000000"/>
              </w:rPr>
            </w:pPr>
            <w:r w:rsidRPr="0032339A">
              <w:rPr>
                <w:rFonts w:cs="Arial"/>
                <w:b/>
                <w:bCs/>
                <w:color w:val="000000"/>
              </w:rPr>
              <w:t>Quantidade</w:t>
            </w:r>
          </w:p>
        </w:tc>
        <w:tc>
          <w:tcPr>
            <w:tcW w:w="438" w:type="pct"/>
            <w:tcBorders>
              <w:top w:val="single" w:sz="4" w:space="0" w:color="auto"/>
              <w:left w:val="nil"/>
              <w:bottom w:val="single" w:sz="4" w:space="0" w:color="auto"/>
              <w:right w:val="single" w:sz="4" w:space="0" w:color="auto"/>
            </w:tcBorders>
            <w:shd w:val="clear" w:color="000000" w:fill="A1F2FD"/>
            <w:vAlign w:val="center"/>
            <w:hideMark/>
          </w:tcPr>
          <w:p w14:paraId="427518F4" w14:textId="77777777" w:rsidR="007E51A1" w:rsidRPr="0032339A" w:rsidRDefault="007E51A1" w:rsidP="007E51A1">
            <w:pPr>
              <w:jc w:val="center"/>
              <w:rPr>
                <w:rFonts w:cs="Arial"/>
                <w:b/>
                <w:bCs/>
                <w:color w:val="000000"/>
              </w:rPr>
            </w:pPr>
            <w:r w:rsidRPr="0032339A">
              <w:rPr>
                <w:rFonts w:cs="Arial"/>
                <w:b/>
                <w:bCs/>
                <w:color w:val="000000"/>
              </w:rPr>
              <w:t>%</w:t>
            </w:r>
          </w:p>
        </w:tc>
        <w:tc>
          <w:tcPr>
            <w:tcW w:w="844" w:type="pct"/>
            <w:tcBorders>
              <w:top w:val="nil"/>
              <w:left w:val="nil"/>
              <w:bottom w:val="single" w:sz="4" w:space="0" w:color="auto"/>
              <w:right w:val="single" w:sz="4" w:space="0" w:color="auto"/>
            </w:tcBorders>
            <w:shd w:val="clear" w:color="000000" w:fill="A1F2FD"/>
            <w:noWrap/>
            <w:vAlign w:val="center"/>
            <w:hideMark/>
          </w:tcPr>
          <w:p w14:paraId="214B1837" w14:textId="77777777" w:rsidR="007E51A1" w:rsidRPr="0032339A" w:rsidRDefault="007E51A1" w:rsidP="007E51A1">
            <w:pPr>
              <w:jc w:val="center"/>
              <w:rPr>
                <w:rFonts w:cs="Arial"/>
                <w:b/>
                <w:bCs/>
                <w:color w:val="000000"/>
              </w:rPr>
            </w:pPr>
            <w:r w:rsidRPr="0032339A">
              <w:rPr>
                <w:rFonts w:cs="Arial"/>
                <w:b/>
                <w:bCs/>
                <w:color w:val="000000"/>
              </w:rPr>
              <w:t>Quantidade</w:t>
            </w:r>
          </w:p>
        </w:tc>
        <w:tc>
          <w:tcPr>
            <w:tcW w:w="438" w:type="pct"/>
            <w:tcBorders>
              <w:top w:val="nil"/>
              <w:left w:val="nil"/>
              <w:bottom w:val="single" w:sz="4" w:space="0" w:color="auto"/>
              <w:right w:val="single" w:sz="4" w:space="0" w:color="auto"/>
            </w:tcBorders>
            <w:shd w:val="clear" w:color="000000" w:fill="A1F2FD"/>
            <w:vAlign w:val="center"/>
            <w:hideMark/>
          </w:tcPr>
          <w:p w14:paraId="58ECCC12" w14:textId="77777777" w:rsidR="007E51A1" w:rsidRPr="0032339A" w:rsidRDefault="007E51A1" w:rsidP="007E51A1">
            <w:pPr>
              <w:jc w:val="center"/>
              <w:rPr>
                <w:rFonts w:cs="Arial"/>
                <w:b/>
                <w:bCs/>
                <w:color w:val="000000"/>
              </w:rPr>
            </w:pPr>
            <w:r w:rsidRPr="0032339A">
              <w:rPr>
                <w:rFonts w:cs="Arial"/>
                <w:b/>
                <w:bCs/>
                <w:color w:val="000000"/>
              </w:rPr>
              <w:t>%</w:t>
            </w:r>
          </w:p>
        </w:tc>
        <w:tc>
          <w:tcPr>
            <w:tcW w:w="854" w:type="pct"/>
            <w:tcBorders>
              <w:top w:val="single" w:sz="4" w:space="0" w:color="auto"/>
              <w:left w:val="nil"/>
              <w:bottom w:val="single" w:sz="4" w:space="0" w:color="auto"/>
              <w:right w:val="single" w:sz="4" w:space="0" w:color="auto"/>
            </w:tcBorders>
            <w:shd w:val="clear" w:color="000000" w:fill="A1F2FD"/>
            <w:noWrap/>
            <w:vAlign w:val="center"/>
            <w:hideMark/>
          </w:tcPr>
          <w:p w14:paraId="0F5DC36E" w14:textId="77777777" w:rsidR="007E51A1" w:rsidRPr="0032339A" w:rsidRDefault="007E51A1" w:rsidP="007E51A1">
            <w:pPr>
              <w:jc w:val="center"/>
              <w:rPr>
                <w:rFonts w:cs="Arial"/>
                <w:b/>
                <w:bCs/>
                <w:color w:val="000000"/>
              </w:rPr>
            </w:pPr>
            <w:r w:rsidRPr="0032339A">
              <w:rPr>
                <w:rFonts w:cs="Arial"/>
                <w:b/>
                <w:bCs/>
                <w:color w:val="000000"/>
              </w:rPr>
              <w:t>Quantidade</w:t>
            </w:r>
          </w:p>
        </w:tc>
        <w:tc>
          <w:tcPr>
            <w:tcW w:w="431" w:type="pct"/>
            <w:tcBorders>
              <w:top w:val="single" w:sz="4" w:space="0" w:color="auto"/>
              <w:left w:val="nil"/>
              <w:bottom w:val="single" w:sz="4" w:space="0" w:color="auto"/>
              <w:right w:val="nil"/>
            </w:tcBorders>
            <w:shd w:val="clear" w:color="000000" w:fill="A1F2FD"/>
            <w:vAlign w:val="center"/>
            <w:hideMark/>
          </w:tcPr>
          <w:p w14:paraId="1B1F143A" w14:textId="77777777" w:rsidR="007E51A1" w:rsidRPr="0032339A" w:rsidRDefault="007E51A1" w:rsidP="007E51A1">
            <w:pPr>
              <w:jc w:val="center"/>
              <w:rPr>
                <w:rFonts w:cs="Arial"/>
                <w:b/>
                <w:bCs/>
                <w:color w:val="000000"/>
              </w:rPr>
            </w:pPr>
            <w:r w:rsidRPr="0032339A">
              <w:rPr>
                <w:rFonts w:cs="Arial"/>
                <w:b/>
                <w:bCs/>
                <w:color w:val="000000"/>
              </w:rPr>
              <w:t>%</w:t>
            </w:r>
          </w:p>
        </w:tc>
      </w:tr>
      <w:tr w:rsidR="007E51A1" w:rsidRPr="0032339A" w14:paraId="28E1F0D7" w14:textId="77777777" w:rsidTr="007E51A1">
        <w:trPr>
          <w:trHeight w:val="300"/>
        </w:trPr>
        <w:tc>
          <w:tcPr>
            <w:tcW w:w="1151" w:type="pct"/>
            <w:tcBorders>
              <w:top w:val="nil"/>
              <w:left w:val="nil"/>
              <w:bottom w:val="nil"/>
              <w:right w:val="nil"/>
            </w:tcBorders>
            <w:shd w:val="clear" w:color="auto" w:fill="auto"/>
            <w:noWrap/>
            <w:vAlign w:val="center"/>
            <w:hideMark/>
          </w:tcPr>
          <w:p w14:paraId="491D66B1" w14:textId="77777777" w:rsidR="007E51A1" w:rsidRPr="0032339A" w:rsidRDefault="007E51A1" w:rsidP="007E51A1">
            <w:pPr>
              <w:rPr>
                <w:rFonts w:cs="Arial"/>
                <w:color w:val="000000"/>
              </w:rPr>
            </w:pPr>
            <w:r w:rsidRPr="0032339A">
              <w:rPr>
                <w:rFonts w:cs="Arial"/>
                <w:color w:val="000000"/>
              </w:rPr>
              <w:t>Atendida</w:t>
            </w:r>
          </w:p>
        </w:tc>
        <w:tc>
          <w:tcPr>
            <w:tcW w:w="844" w:type="pct"/>
            <w:tcBorders>
              <w:top w:val="nil"/>
              <w:left w:val="single" w:sz="4" w:space="0" w:color="auto"/>
              <w:bottom w:val="nil"/>
              <w:right w:val="single" w:sz="4" w:space="0" w:color="auto"/>
            </w:tcBorders>
            <w:shd w:val="clear" w:color="auto" w:fill="auto"/>
            <w:noWrap/>
            <w:vAlign w:val="center"/>
            <w:hideMark/>
          </w:tcPr>
          <w:p w14:paraId="07F9811A" w14:textId="77777777" w:rsidR="007E51A1" w:rsidRPr="0032339A" w:rsidRDefault="007E51A1" w:rsidP="007E51A1">
            <w:pPr>
              <w:jc w:val="center"/>
              <w:rPr>
                <w:rFonts w:cs="Arial"/>
                <w:color w:val="000000"/>
              </w:rPr>
            </w:pPr>
            <w:r w:rsidRPr="0032339A">
              <w:rPr>
                <w:rFonts w:cs="Arial"/>
                <w:color w:val="000000"/>
              </w:rPr>
              <w:t>9</w:t>
            </w:r>
          </w:p>
        </w:tc>
        <w:tc>
          <w:tcPr>
            <w:tcW w:w="438" w:type="pct"/>
            <w:tcBorders>
              <w:top w:val="nil"/>
              <w:left w:val="nil"/>
              <w:bottom w:val="nil"/>
              <w:right w:val="single" w:sz="4" w:space="0" w:color="auto"/>
            </w:tcBorders>
            <w:shd w:val="clear" w:color="auto" w:fill="auto"/>
            <w:noWrap/>
            <w:vAlign w:val="center"/>
            <w:hideMark/>
          </w:tcPr>
          <w:p w14:paraId="09DA6C09" w14:textId="77777777" w:rsidR="007E51A1" w:rsidRPr="0032339A" w:rsidRDefault="007E51A1" w:rsidP="007E51A1">
            <w:pPr>
              <w:jc w:val="center"/>
              <w:rPr>
                <w:rFonts w:cs="Arial"/>
                <w:color w:val="000000"/>
              </w:rPr>
            </w:pPr>
            <w:r w:rsidRPr="0032339A">
              <w:rPr>
                <w:rFonts w:cs="Arial"/>
                <w:color w:val="000000"/>
              </w:rPr>
              <w:t>52,94</w:t>
            </w:r>
          </w:p>
        </w:tc>
        <w:tc>
          <w:tcPr>
            <w:tcW w:w="844" w:type="pct"/>
            <w:tcBorders>
              <w:top w:val="nil"/>
              <w:left w:val="nil"/>
              <w:bottom w:val="nil"/>
              <w:right w:val="single" w:sz="4" w:space="0" w:color="auto"/>
            </w:tcBorders>
            <w:shd w:val="clear" w:color="auto" w:fill="auto"/>
            <w:noWrap/>
            <w:vAlign w:val="center"/>
            <w:hideMark/>
          </w:tcPr>
          <w:p w14:paraId="1B6F417B" w14:textId="77777777" w:rsidR="007E51A1" w:rsidRPr="0032339A" w:rsidRDefault="007E51A1" w:rsidP="007E51A1">
            <w:pPr>
              <w:jc w:val="center"/>
              <w:rPr>
                <w:rFonts w:cs="Arial"/>
                <w:color w:val="000000"/>
              </w:rPr>
            </w:pPr>
            <w:r w:rsidRPr="0032339A">
              <w:rPr>
                <w:rFonts w:cs="Arial"/>
                <w:color w:val="000000"/>
              </w:rPr>
              <w:t>4</w:t>
            </w:r>
          </w:p>
        </w:tc>
        <w:tc>
          <w:tcPr>
            <w:tcW w:w="438" w:type="pct"/>
            <w:tcBorders>
              <w:top w:val="nil"/>
              <w:left w:val="nil"/>
              <w:bottom w:val="nil"/>
              <w:right w:val="single" w:sz="4" w:space="0" w:color="auto"/>
            </w:tcBorders>
            <w:shd w:val="clear" w:color="auto" w:fill="auto"/>
            <w:noWrap/>
            <w:vAlign w:val="center"/>
            <w:hideMark/>
          </w:tcPr>
          <w:p w14:paraId="162FC59B" w14:textId="77777777" w:rsidR="007E51A1" w:rsidRPr="0032339A" w:rsidRDefault="007E51A1" w:rsidP="007E51A1">
            <w:pPr>
              <w:jc w:val="center"/>
              <w:rPr>
                <w:rFonts w:cs="Arial"/>
                <w:color w:val="000000"/>
              </w:rPr>
            </w:pPr>
            <w:r w:rsidRPr="0032339A">
              <w:rPr>
                <w:rFonts w:cs="Arial"/>
                <w:color w:val="000000"/>
              </w:rPr>
              <w:t>80,00</w:t>
            </w:r>
          </w:p>
        </w:tc>
        <w:tc>
          <w:tcPr>
            <w:tcW w:w="854" w:type="pct"/>
            <w:tcBorders>
              <w:top w:val="nil"/>
              <w:left w:val="nil"/>
              <w:bottom w:val="nil"/>
              <w:right w:val="single" w:sz="4" w:space="0" w:color="auto"/>
            </w:tcBorders>
            <w:shd w:val="clear" w:color="auto" w:fill="auto"/>
            <w:noWrap/>
            <w:vAlign w:val="center"/>
            <w:hideMark/>
          </w:tcPr>
          <w:p w14:paraId="41BC8E72" w14:textId="77777777" w:rsidR="007E51A1" w:rsidRPr="0032339A" w:rsidRDefault="007E51A1" w:rsidP="007E51A1">
            <w:pPr>
              <w:jc w:val="center"/>
              <w:rPr>
                <w:rFonts w:cs="Arial"/>
                <w:color w:val="000000"/>
              </w:rPr>
            </w:pPr>
            <w:r>
              <w:rPr>
                <w:rFonts w:cs="Arial"/>
                <w:color w:val="000000"/>
              </w:rPr>
              <w:t>-</w:t>
            </w:r>
          </w:p>
        </w:tc>
        <w:tc>
          <w:tcPr>
            <w:tcW w:w="431" w:type="pct"/>
            <w:tcBorders>
              <w:top w:val="nil"/>
              <w:left w:val="nil"/>
              <w:bottom w:val="nil"/>
              <w:right w:val="nil"/>
            </w:tcBorders>
            <w:shd w:val="clear" w:color="auto" w:fill="auto"/>
            <w:noWrap/>
            <w:vAlign w:val="center"/>
            <w:hideMark/>
          </w:tcPr>
          <w:p w14:paraId="79B17BA9" w14:textId="77777777" w:rsidR="007E51A1" w:rsidRPr="0032339A" w:rsidRDefault="007E51A1" w:rsidP="007E51A1">
            <w:pPr>
              <w:jc w:val="center"/>
              <w:rPr>
                <w:rFonts w:cs="Arial"/>
                <w:color w:val="000000"/>
              </w:rPr>
            </w:pPr>
            <w:r>
              <w:rPr>
                <w:rFonts w:cs="Arial"/>
                <w:color w:val="000000"/>
              </w:rPr>
              <w:t>-</w:t>
            </w:r>
          </w:p>
        </w:tc>
      </w:tr>
      <w:tr w:rsidR="007E51A1" w:rsidRPr="0032339A" w14:paraId="5D7BA038" w14:textId="77777777" w:rsidTr="007E51A1">
        <w:trPr>
          <w:trHeight w:val="300"/>
        </w:trPr>
        <w:tc>
          <w:tcPr>
            <w:tcW w:w="1151" w:type="pct"/>
            <w:tcBorders>
              <w:top w:val="nil"/>
              <w:left w:val="nil"/>
              <w:bottom w:val="nil"/>
              <w:right w:val="nil"/>
            </w:tcBorders>
            <w:shd w:val="clear" w:color="auto" w:fill="auto"/>
            <w:noWrap/>
            <w:vAlign w:val="center"/>
            <w:hideMark/>
          </w:tcPr>
          <w:p w14:paraId="7EE1380D" w14:textId="77777777" w:rsidR="007E51A1" w:rsidRPr="0032339A" w:rsidRDefault="007E51A1" w:rsidP="007E51A1">
            <w:pPr>
              <w:rPr>
                <w:rFonts w:cs="Arial"/>
                <w:color w:val="000000"/>
              </w:rPr>
            </w:pPr>
            <w:r w:rsidRPr="0032339A">
              <w:rPr>
                <w:rFonts w:cs="Arial"/>
                <w:color w:val="000000"/>
              </w:rPr>
              <w:t>Parcialmente Atendida</w:t>
            </w:r>
          </w:p>
        </w:tc>
        <w:tc>
          <w:tcPr>
            <w:tcW w:w="844" w:type="pct"/>
            <w:tcBorders>
              <w:top w:val="nil"/>
              <w:left w:val="single" w:sz="4" w:space="0" w:color="auto"/>
              <w:bottom w:val="nil"/>
              <w:right w:val="single" w:sz="4" w:space="0" w:color="auto"/>
            </w:tcBorders>
            <w:shd w:val="clear" w:color="auto" w:fill="auto"/>
            <w:noWrap/>
            <w:vAlign w:val="center"/>
            <w:hideMark/>
          </w:tcPr>
          <w:p w14:paraId="213043A9" w14:textId="77777777" w:rsidR="007E51A1" w:rsidRPr="0032339A" w:rsidRDefault="007E51A1" w:rsidP="007E51A1">
            <w:pPr>
              <w:jc w:val="center"/>
              <w:rPr>
                <w:rFonts w:cs="Arial"/>
                <w:color w:val="000000"/>
              </w:rPr>
            </w:pPr>
            <w:r w:rsidRPr="0032339A">
              <w:rPr>
                <w:rFonts w:cs="Arial"/>
                <w:color w:val="000000"/>
              </w:rPr>
              <w:t>6</w:t>
            </w:r>
          </w:p>
        </w:tc>
        <w:tc>
          <w:tcPr>
            <w:tcW w:w="438" w:type="pct"/>
            <w:tcBorders>
              <w:top w:val="nil"/>
              <w:left w:val="nil"/>
              <w:bottom w:val="nil"/>
              <w:right w:val="single" w:sz="4" w:space="0" w:color="auto"/>
            </w:tcBorders>
            <w:shd w:val="clear" w:color="auto" w:fill="auto"/>
            <w:noWrap/>
            <w:vAlign w:val="center"/>
            <w:hideMark/>
          </w:tcPr>
          <w:p w14:paraId="53A06477" w14:textId="77777777" w:rsidR="007E51A1" w:rsidRPr="0032339A" w:rsidRDefault="007E51A1" w:rsidP="007E51A1">
            <w:pPr>
              <w:jc w:val="center"/>
              <w:rPr>
                <w:rFonts w:cs="Arial"/>
                <w:color w:val="000000"/>
              </w:rPr>
            </w:pPr>
            <w:r w:rsidRPr="0032339A">
              <w:rPr>
                <w:rFonts w:cs="Arial"/>
                <w:color w:val="000000"/>
              </w:rPr>
              <w:t>35,29</w:t>
            </w:r>
          </w:p>
        </w:tc>
        <w:tc>
          <w:tcPr>
            <w:tcW w:w="844" w:type="pct"/>
            <w:tcBorders>
              <w:top w:val="nil"/>
              <w:left w:val="nil"/>
              <w:bottom w:val="nil"/>
              <w:right w:val="single" w:sz="4" w:space="0" w:color="auto"/>
            </w:tcBorders>
            <w:shd w:val="clear" w:color="auto" w:fill="auto"/>
            <w:noWrap/>
            <w:vAlign w:val="center"/>
            <w:hideMark/>
          </w:tcPr>
          <w:p w14:paraId="4B3AFA4D" w14:textId="77777777" w:rsidR="007E51A1" w:rsidRPr="0032339A" w:rsidRDefault="007E51A1" w:rsidP="007E51A1">
            <w:pPr>
              <w:jc w:val="center"/>
              <w:rPr>
                <w:rFonts w:cs="Arial"/>
                <w:color w:val="000000"/>
              </w:rPr>
            </w:pPr>
            <w:r>
              <w:rPr>
                <w:rFonts w:cs="Arial"/>
                <w:color w:val="000000"/>
              </w:rPr>
              <w:t>-</w:t>
            </w:r>
          </w:p>
        </w:tc>
        <w:tc>
          <w:tcPr>
            <w:tcW w:w="438" w:type="pct"/>
            <w:tcBorders>
              <w:top w:val="nil"/>
              <w:left w:val="nil"/>
              <w:bottom w:val="nil"/>
              <w:right w:val="single" w:sz="4" w:space="0" w:color="auto"/>
            </w:tcBorders>
            <w:shd w:val="clear" w:color="auto" w:fill="auto"/>
            <w:noWrap/>
            <w:vAlign w:val="center"/>
            <w:hideMark/>
          </w:tcPr>
          <w:p w14:paraId="30A14A58" w14:textId="77777777" w:rsidR="007E51A1" w:rsidRPr="0032339A" w:rsidRDefault="007E51A1" w:rsidP="007E51A1">
            <w:pPr>
              <w:jc w:val="center"/>
              <w:rPr>
                <w:rFonts w:cs="Arial"/>
                <w:color w:val="000000"/>
              </w:rPr>
            </w:pPr>
            <w:r>
              <w:rPr>
                <w:rFonts w:cs="Arial"/>
                <w:color w:val="000000"/>
              </w:rPr>
              <w:t>-</w:t>
            </w:r>
          </w:p>
        </w:tc>
        <w:tc>
          <w:tcPr>
            <w:tcW w:w="854" w:type="pct"/>
            <w:tcBorders>
              <w:top w:val="nil"/>
              <w:left w:val="nil"/>
              <w:bottom w:val="nil"/>
              <w:right w:val="single" w:sz="4" w:space="0" w:color="auto"/>
            </w:tcBorders>
            <w:shd w:val="clear" w:color="auto" w:fill="auto"/>
            <w:noWrap/>
            <w:vAlign w:val="center"/>
            <w:hideMark/>
          </w:tcPr>
          <w:p w14:paraId="36ADDACD" w14:textId="77777777" w:rsidR="007E51A1" w:rsidRPr="0032339A" w:rsidRDefault="007E51A1" w:rsidP="007E51A1">
            <w:pPr>
              <w:jc w:val="center"/>
              <w:rPr>
                <w:rFonts w:cs="Arial"/>
                <w:color w:val="000000"/>
              </w:rPr>
            </w:pPr>
            <w:r>
              <w:rPr>
                <w:rFonts w:cs="Arial"/>
                <w:color w:val="000000"/>
              </w:rPr>
              <w:t>-</w:t>
            </w:r>
          </w:p>
        </w:tc>
        <w:tc>
          <w:tcPr>
            <w:tcW w:w="431" w:type="pct"/>
            <w:tcBorders>
              <w:top w:val="nil"/>
              <w:left w:val="nil"/>
              <w:bottom w:val="nil"/>
              <w:right w:val="nil"/>
            </w:tcBorders>
            <w:shd w:val="clear" w:color="auto" w:fill="auto"/>
            <w:noWrap/>
            <w:vAlign w:val="center"/>
            <w:hideMark/>
          </w:tcPr>
          <w:p w14:paraId="46AFB33A" w14:textId="77777777" w:rsidR="007E51A1" w:rsidRPr="0032339A" w:rsidRDefault="007E51A1" w:rsidP="007E51A1">
            <w:pPr>
              <w:jc w:val="center"/>
              <w:rPr>
                <w:rFonts w:cs="Arial"/>
                <w:color w:val="000000"/>
              </w:rPr>
            </w:pPr>
            <w:r>
              <w:rPr>
                <w:rFonts w:cs="Arial"/>
                <w:color w:val="000000"/>
              </w:rPr>
              <w:t>-</w:t>
            </w:r>
          </w:p>
        </w:tc>
      </w:tr>
      <w:tr w:rsidR="007E51A1" w:rsidRPr="0032339A" w14:paraId="1A2E9ED9" w14:textId="77777777" w:rsidTr="007E51A1">
        <w:trPr>
          <w:trHeight w:val="300"/>
        </w:trPr>
        <w:tc>
          <w:tcPr>
            <w:tcW w:w="1151" w:type="pct"/>
            <w:tcBorders>
              <w:top w:val="nil"/>
              <w:left w:val="nil"/>
              <w:bottom w:val="nil"/>
              <w:right w:val="nil"/>
            </w:tcBorders>
            <w:shd w:val="clear" w:color="auto" w:fill="auto"/>
            <w:noWrap/>
            <w:vAlign w:val="center"/>
            <w:hideMark/>
          </w:tcPr>
          <w:p w14:paraId="6ABE709D" w14:textId="77777777" w:rsidR="007E51A1" w:rsidRPr="0032339A" w:rsidRDefault="007E51A1" w:rsidP="007E51A1">
            <w:pPr>
              <w:rPr>
                <w:rFonts w:cs="Arial"/>
                <w:color w:val="000000"/>
              </w:rPr>
            </w:pPr>
            <w:r w:rsidRPr="0032339A">
              <w:rPr>
                <w:rFonts w:cs="Arial"/>
                <w:color w:val="000000"/>
              </w:rPr>
              <w:t>Não atendida</w:t>
            </w:r>
          </w:p>
        </w:tc>
        <w:tc>
          <w:tcPr>
            <w:tcW w:w="844" w:type="pct"/>
            <w:tcBorders>
              <w:top w:val="nil"/>
              <w:left w:val="single" w:sz="4" w:space="0" w:color="auto"/>
              <w:bottom w:val="nil"/>
              <w:right w:val="single" w:sz="4" w:space="0" w:color="auto"/>
            </w:tcBorders>
            <w:shd w:val="clear" w:color="auto" w:fill="auto"/>
            <w:noWrap/>
            <w:vAlign w:val="center"/>
            <w:hideMark/>
          </w:tcPr>
          <w:p w14:paraId="26F322EF" w14:textId="77777777" w:rsidR="007E51A1" w:rsidRPr="0032339A" w:rsidRDefault="007E51A1" w:rsidP="007E51A1">
            <w:pPr>
              <w:jc w:val="center"/>
              <w:rPr>
                <w:rFonts w:cs="Arial"/>
                <w:color w:val="000000"/>
              </w:rPr>
            </w:pPr>
            <w:r w:rsidRPr="0032339A">
              <w:rPr>
                <w:rFonts w:cs="Arial"/>
                <w:color w:val="000000"/>
              </w:rPr>
              <w:t>2</w:t>
            </w:r>
          </w:p>
        </w:tc>
        <w:tc>
          <w:tcPr>
            <w:tcW w:w="438" w:type="pct"/>
            <w:tcBorders>
              <w:top w:val="nil"/>
              <w:left w:val="nil"/>
              <w:bottom w:val="nil"/>
              <w:right w:val="single" w:sz="4" w:space="0" w:color="auto"/>
            </w:tcBorders>
            <w:shd w:val="clear" w:color="auto" w:fill="auto"/>
            <w:noWrap/>
            <w:vAlign w:val="center"/>
            <w:hideMark/>
          </w:tcPr>
          <w:p w14:paraId="588FF3E1" w14:textId="77777777" w:rsidR="007E51A1" w:rsidRPr="0032339A" w:rsidRDefault="007E51A1" w:rsidP="007E51A1">
            <w:pPr>
              <w:jc w:val="center"/>
              <w:rPr>
                <w:rFonts w:cs="Arial"/>
                <w:color w:val="000000"/>
              </w:rPr>
            </w:pPr>
            <w:r w:rsidRPr="0032339A">
              <w:rPr>
                <w:rFonts w:cs="Arial"/>
                <w:color w:val="000000"/>
              </w:rPr>
              <w:t>11,76</w:t>
            </w:r>
          </w:p>
        </w:tc>
        <w:tc>
          <w:tcPr>
            <w:tcW w:w="844" w:type="pct"/>
            <w:tcBorders>
              <w:top w:val="nil"/>
              <w:left w:val="nil"/>
              <w:bottom w:val="nil"/>
              <w:right w:val="single" w:sz="4" w:space="0" w:color="auto"/>
            </w:tcBorders>
            <w:shd w:val="clear" w:color="auto" w:fill="auto"/>
            <w:noWrap/>
            <w:vAlign w:val="center"/>
            <w:hideMark/>
          </w:tcPr>
          <w:p w14:paraId="258BDC67" w14:textId="77777777" w:rsidR="007E51A1" w:rsidRPr="0032339A" w:rsidRDefault="007E51A1" w:rsidP="007E51A1">
            <w:pPr>
              <w:jc w:val="center"/>
              <w:rPr>
                <w:rFonts w:cs="Arial"/>
                <w:color w:val="000000"/>
              </w:rPr>
            </w:pPr>
            <w:r w:rsidRPr="0032339A">
              <w:rPr>
                <w:rFonts w:cs="Arial"/>
                <w:color w:val="000000"/>
              </w:rPr>
              <w:t>1</w:t>
            </w:r>
          </w:p>
        </w:tc>
        <w:tc>
          <w:tcPr>
            <w:tcW w:w="438" w:type="pct"/>
            <w:tcBorders>
              <w:top w:val="nil"/>
              <w:left w:val="nil"/>
              <w:bottom w:val="nil"/>
              <w:right w:val="single" w:sz="4" w:space="0" w:color="auto"/>
            </w:tcBorders>
            <w:shd w:val="clear" w:color="auto" w:fill="auto"/>
            <w:noWrap/>
            <w:vAlign w:val="center"/>
            <w:hideMark/>
          </w:tcPr>
          <w:p w14:paraId="019310D9" w14:textId="77777777" w:rsidR="007E51A1" w:rsidRPr="0032339A" w:rsidRDefault="007E51A1" w:rsidP="007E51A1">
            <w:pPr>
              <w:jc w:val="center"/>
              <w:rPr>
                <w:rFonts w:cs="Arial"/>
                <w:color w:val="000000"/>
              </w:rPr>
            </w:pPr>
            <w:r w:rsidRPr="0032339A">
              <w:rPr>
                <w:rFonts w:cs="Arial"/>
                <w:color w:val="000000"/>
              </w:rPr>
              <w:t>20,00</w:t>
            </w:r>
          </w:p>
        </w:tc>
        <w:tc>
          <w:tcPr>
            <w:tcW w:w="854" w:type="pct"/>
            <w:tcBorders>
              <w:top w:val="nil"/>
              <w:left w:val="nil"/>
              <w:bottom w:val="nil"/>
              <w:right w:val="single" w:sz="4" w:space="0" w:color="auto"/>
            </w:tcBorders>
            <w:shd w:val="clear" w:color="auto" w:fill="auto"/>
            <w:noWrap/>
            <w:vAlign w:val="center"/>
            <w:hideMark/>
          </w:tcPr>
          <w:p w14:paraId="01F9F581" w14:textId="77777777" w:rsidR="007E51A1" w:rsidRPr="0032339A" w:rsidRDefault="007E51A1" w:rsidP="007E51A1">
            <w:pPr>
              <w:jc w:val="center"/>
              <w:rPr>
                <w:rFonts w:cs="Arial"/>
                <w:color w:val="000000"/>
              </w:rPr>
            </w:pPr>
            <w:r>
              <w:rPr>
                <w:rFonts w:cs="Arial"/>
                <w:color w:val="000000"/>
              </w:rPr>
              <w:t>-</w:t>
            </w:r>
          </w:p>
        </w:tc>
        <w:tc>
          <w:tcPr>
            <w:tcW w:w="431" w:type="pct"/>
            <w:tcBorders>
              <w:top w:val="nil"/>
              <w:left w:val="nil"/>
              <w:bottom w:val="nil"/>
              <w:right w:val="nil"/>
            </w:tcBorders>
            <w:shd w:val="clear" w:color="auto" w:fill="auto"/>
            <w:noWrap/>
            <w:vAlign w:val="center"/>
            <w:hideMark/>
          </w:tcPr>
          <w:p w14:paraId="6D4C10D5" w14:textId="77777777" w:rsidR="007E51A1" w:rsidRPr="0032339A" w:rsidRDefault="007E51A1" w:rsidP="007E51A1">
            <w:pPr>
              <w:jc w:val="center"/>
              <w:rPr>
                <w:rFonts w:cs="Arial"/>
                <w:color w:val="000000"/>
              </w:rPr>
            </w:pPr>
            <w:r>
              <w:rPr>
                <w:rFonts w:cs="Arial"/>
                <w:color w:val="000000"/>
              </w:rPr>
              <w:t>-</w:t>
            </w:r>
          </w:p>
        </w:tc>
      </w:tr>
      <w:tr w:rsidR="007E51A1" w:rsidRPr="0032339A" w14:paraId="432259A8" w14:textId="77777777" w:rsidTr="007E51A1">
        <w:trPr>
          <w:trHeight w:val="300"/>
        </w:trPr>
        <w:tc>
          <w:tcPr>
            <w:tcW w:w="1151" w:type="pct"/>
            <w:tcBorders>
              <w:top w:val="single" w:sz="4" w:space="0" w:color="auto"/>
              <w:left w:val="nil"/>
              <w:bottom w:val="single" w:sz="4" w:space="0" w:color="auto"/>
              <w:right w:val="nil"/>
            </w:tcBorders>
            <w:shd w:val="clear" w:color="auto" w:fill="auto"/>
            <w:noWrap/>
            <w:vAlign w:val="center"/>
            <w:hideMark/>
          </w:tcPr>
          <w:p w14:paraId="09909F83" w14:textId="77777777" w:rsidR="007E51A1" w:rsidRPr="0032339A" w:rsidRDefault="007E51A1" w:rsidP="007E51A1">
            <w:pPr>
              <w:jc w:val="center"/>
              <w:rPr>
                <w:rFonts w:cs="Arial"/>
                <w:b/>
                <w:bCs/>
                <w:color w:val="000000"/>
              </w:rPr>
            </w:pPr>
            <w:r w:rsidRPr="0032339A">
              <w:rPr>
                <w:rFonts w:cs="Arial"/>
                <w:b/>
                <w:bCs/>
                <w:color w:val="000000"/>
              </w:rPr>
              <w:t>Total</w:t>
            </w:r>
          </w:p>
        </w:tc>
        <w:tc>
          <w:tcPr>
            <w:tcW w:w="8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440C4E" w14:textId="77777777" w:rsidR="007E51A1" w:rsidRPr="0032339A" w:rsidRDefault="007E51A1" w:rsidP="007E51A1">
            <w:pPr>
              <w:jc w:val="center"/>
              <w:rPr>
                <w:rFonts w:cs="Arial"/>
                <w:b/>
                <w:bCs/>
                <w:color w:val="000000"/>
              </w:rPr>
            </w:pPr>
            <w:r w:rsidRPr="0032339A">
              <w:rPr>
                <w:rFonts w:cs="Arial"/>
                <w:b/>
                <w:bCs/>
                <w:color w:val="000000"/>
              </w:rPr>
              <w:t>17</w:t>
            </w:r>
          </w:p>
        </w:tc>
        <w:tc>
          <w:tcPr>
            <w:tcW w:w="438" w:type="pct"/>
            <w:tcBorders>
              <w:top w:val="single" w:sz="4" w:space="0" w:color="auto"/>
              <w:left w:val="nil"/>
              <w:bottom w:val="single" w:sz="4" w:space="0" w:color="auto"/>
              <w:right w:val="single" w:sz="4" w:space="0" w:color="auto"/>
            </w:tcBorders>
            <w:shd w:val="clear" w:color="auto" w:fill="auto"/>
            <w:noWrap/>
            <w:vAlign w:val="center"/>
            <w:hideMark/>
          </w:tcPr>
          <w:p w14:paraId="2998CA27" w14:textId="77777777" w:rsidR="007E51A1" w:rsidRPr="0032339A" w:rsidRDefault="007E51A1" w:rsidP="007E51A1">
            <w:pPr>
              <w:jc w:val="center"/>
              <w:rPr>
                <w:rFonts w:cs="Arial"/>
                <w:b/>
                <w:bCs/>
                <w:color w:val="000000"/>
              </w:rPr>
            </w:pPr>
            <w:r w:rsidRPr="0032339A">
              <w:rPr>
                <w:rFonts w:cs="Arial"/>
                <w:b/>
                <w:bCs/>
                <w:color w:val="000000"/>
              </w:rPr>
              <w:t>100,00</w:t>
            </w:r>
          </w:p>
        </w:tc>
        <w:tc>
          <w:tcPr>
            <w:tcW w:w="844" w:type="pct"/>
            <w:tcBorders>
              <w:top w:val="single" w:sz="4" w:space="0" w:color="auto"/>
              <w:left w:val="nil"/>
              <w:bottom w:val="single" w:sz="4" w:space="0" w:color="auto"/>
              <w:right w:val="single" w:sz="4" w:space="0" w:color="auto"/>
            </w:tcBorders>
            <w:shd w:val="clear" w:color="auto" w:fill="auto"/>
            <w:noWrap/>
            <w:vAlign w:val="center"/>
            <w:hideMark/>
          </w:tcPr>
          <w:p w14:paraId="65900E63" w14:textId="77777777" w:rsidR="007E51A1" w:rsidRPr="0032339A" w:rsidRDefault="007E51A1" w:rsidP="007E51A1">
            <w:pPr>
              <w:jc w:val="center"/>
              <w:rPr>
                <w:rFonts w:cs="Arial"/>
                <w:b/>
                <w:bCs/>
                <w:color w:val="000000"/>
              </w:rPr>
            </w:pPr>
            <w:r w:rsidRPr="0032339A">
              <w:rPr>
                <w:rFonts w:cs="Arial"/>
                <w:b/>
                <w:bCs/>
                <w:color w:val="000000"/>
              </w:rPr>
              <w:t>5</w:t>
            </w:r>
          </w:p>
        </w:tc>
        <w:tc>
          <w:tcPr>
            <w:tcW w:w="438" w:type="pct"/>
            <w:tcBorders>
              <w:top w:val="single" w:sz="4" w:space="0" w:color="auto"/>
              <w:left w:val="nil"/>
              <w:bottom w:val="single" w:sz="4" w:space="0" w:color="auto"/>
              <w:right w:val="single" w:sz="4" w:space="0" w:color="auto"/>
            </w:tcBorders>
            <w:shd w:val="clear" w:color="auto" w:fill="auto"/>
            <w:noWrap/>
            <w:vAlign w:val="center"/>
            <w:hideMark/>
          </w:tcPr>
          <w:p w14:paraId="6284CC19" w14:textId="77777777" w:rsidR="007E51A1" w:rsidRPr="0032339A" w:rsidRDefault="007E51A1" w:rsidP="007E51A1">
            <w:pPr>
              <w:jc w:val="center"/>
              <w:rPr>
                <w:rFonts w:cs="Arial"/>
                <w:b/>
                <w:bCs/>
                <w:color w:val="000000"/>
              </w:rPr>
            </w:pPr>
            <w:r w:rsidRPr="0032339A">
              <w:rPr>
                <w:rFonts w:cs="Arial"/>
                <w:b/>
                <w:bCs/>
                <w:color w:val="000000"/>
              </w:rPr>
              <w:t>100,00</w:t>
            </w:r>
          </w:p>
        </w:tc>
        <w:tc>
          <w:tcPr>
            <w:tcW w:w="854" w:type="pct"/>
            <w:tcBorders>
              <w:top w:val="single" w:sz="4" w:space="0" w:color="auto"/>
              <w:left w:val="nil"/>
              <w:bottom w:val="single" w:sz="4" w:space="0" w:color="auto"/>
              <w:right w:val="single" w:sz="4" w:space="0" w:color="auto"/>
            </w:tcBorders>
            <w:shd w:val="clear" w:color="auto" w:fill="auto"/>
            <w:noWrap/>
            <w:vAlign w:val="center"/>
            <w:hideMark/>
          </w:tcPr>
          <w:p w14:paraId="1B96B6A6" w14:textId="77777777" w:rsidR="007E51A1" w:rsidRPr="0032339A" w:rsidRDefault="007E51A1" w:rsidP="007E51A1">
            <w:pPr>
              <w:jc w:val="center"/>
              <w:rPr>
                <w:rFonts w:cs="Arial"/>
                <w:b/>
                <w:bCs/>
                <w:color w:val="000000"/>
              </w:rPr>
            </w:pPr>
            <w:r>
              <w:rPr>
                <w:rFonts w:cs="Arial"/>
                <w:b/>
                <w:bCs/>
                <w:color w:val="000000"/>
              </w:rPr>
              <w:t>-</w:t>
            </w:r>
          </w:p>
        </w:tc>
        <w:tc>
          <w:tcPr>
            <w:tcW w:w="431" w:type="pct"/>
            <w:tcBorders>
              <w:top w:val="single" w:sz="4" w:space="0" w:color="auto"/>
              <w:left w:val="nil"/>
              <w:bottom w:val="single" w:sz="4" w:space="0" w:color="auto"/>
              <w:right w:val="single" w:sz="4" w:space="0" w:color="auto"/>
            </w:tcBorders>
            <w:shd w:val="clear" w:color="auto" w:fill="auto"/>
            <w:noWrap/>
            <w:vAlign w:val="center"/>
            <w:hideMark/>
          </w:tcPr>
          <w:p w14:paraId="7FE9B06E" w14:textId="77777777" w:rsidR="007E51A1" w:rsidRPr="0032339A" w:rsidRDefault="007E51A1" w:rsidP="007E51A1">
            <w:pPr>
              <w:jc w:val="center"/>
              <w:rPr>
                <w:rFonts w:cs="Arial"/>
                <w:b/>
                <w:bCs/>
                <w:color w:val="000000"/>
              </w:rPr>
            </w:pPr>
            <w:r>
              <w:rPr>
                <w:rFonts w:cs="Arial"/>
                <w:b/>
                <w:bCs/>
                <w:color w:val="000000"/>
              </w:rPr>
              <w:t>-</w:t>
            </w:r>
          </w:p>
        </w:tc>
      </w:tr>
    </w:tbl>
    <w:p w14:paraId="17D658E0" w14:textId="77777777" w:rsidR="007E51A1" w:rsidRPr="00FD2F4D" w:rsidRDefault="007E51A1" w:rsidP="007E51A1">
      <w:pPr>
        <w:pStyle w:val="1-FONTE8ESQ"/>
      </w:pPr>
      <w:r w:rsidRPr="00FD2F4D">
        <w:t xml:space="preserve">Fonte: </w:t>
      </w:r>
      <w:r>
        <w:t>E</w:t>
      </w:r>
      <w:r w:rsidRPr="00FD2F4D">
        <w:t>laboração pela Unidade Técnica</w:t>
      </w:r>
    </w:p>
    <w:p w14:paraId="151C50DC" w14:textId="77777777" w:rsidR="007E51A1" w:rsidRPr="00FD2F4D" w:rsidRDefault="007E51A1" w:rsidP="00736A8C">
      <w:pPr>
        <w:pStyle w:val="0-TABELA"/>
        <w:numPr>
          <w:ilvl w:val="0"/>
          <w:numId w:val="55"/>
        </w:numPr>
        <w:tabs>
          <w:tab w:val="clear" w:pos="1560"/>
          <w:tab w:val="left" w:pos="1134"/>
        </w:tabs>
        <w:ind w:left="0" w:firstLine="0"/>
      </w:pPr>
      <w:bookmarkStart w:id="519" w:name="_Toc167871837"/>
      <w:r w:rsidRPr="00FD2F4D">
        <w:t>Histórico de Atendimento de Recomendações</w:t>
      </w:r>
      <w:bookmarkEnd w:id="519"/>
    </w:p>
    <w:tbl>
      <w:tblPr>
        <w:tblW w:w="5000" w:type="pct"/>
        <w:tblCellMar>
          <w:left w:w="70" w:type="dxa"/>
          <w:right w:w="70" w:type="dxa"/>
        </w:tblCellMar>
        <w:tblLook w:val="04A0" w:firstRow="1" w:lastRow="0" w:firstColumn="1" w:lastColumn="0" w:noHBand="0" w:noVBand="1"/>
      </w:tblPr>
      <w:tblGrid>
        <w:gridCol w:w="2354"/>
        <w:gridCol w:w="1464"/>
        <w:gridCol w:w="813"/>
        <w:gridCol w:w="1465"/>
        <w:gridCol w:w="887"/>
        <w:gridCol w:w="1483"/>
        <w:gridCol w:w="887"/>
      </w:tblGrid>
      <w:tr w:rsidR="007E51A1" w:rsidRPr="00FD2F4D" w14:paraId="5E070AB7" w14:textId="77777777" w:rsidTr="007E51A1">
        <w:trPr>
          <w:trHeight w:val="300"/>
          <w:tblHeader/>
        </w:trPr>
        <w:tc>
          <w:tcPr>
            <w:tcW w:w="1004" w:type="pct"/>
            <w:vMerge w:val="restart"/>
            <w:tcBorders>
              <w:top w:val="single" w:sz="4" w:space="0" w:color="auto"/>
              <w:left w:val="nil"/>
              <w:bottom w:val="single" w:sz="4" w:space="0" w:color="000000"/>
              <w:right w:val="nil"/>
            </w:tcBorders>
            <w:shd w:val="clear" w:color="000000" w:fill="A1F2FD"/>
            <w:vAlign w:val="center"/>
            <w:hideMark/>
          </w:tcPr>
          <w:p w14:paraId="7A56C655" w14:textId="77777777" w:rsidR="007E51A1" w:rsidRPr="00FD2F4D" w:rsidRDefault="007E51A1" w:rsidP="007E51A1">
            <w:pPr>
              <w:jc w:val="center"/>
              <w:rPr>
                <w:rFonts w:cs="Arial"/>
                <w:b/>
                <w:bCs/>
                <w:color w:val="000000"/>
              </w:rPr>
            </w:pPr>
            <w:r w:rsidRPr="00FD2F4D">
              <w:rPr>
                <w:rFonts w:cs="Arial"/>
                <w:b/>
                <w:bCs/>
                <w:color w:val="000000"/>
              </w:rPr>
              <w:t>Situação</w:t>
            </w:r>
          </w:p>
        </w:tc>
        <w:tc>
          <w:tcPr>
            <w:tcW w:w="1329" w:type="pct"/>
            <w:gridSpan w:val="2"/>
            <w:tcBorders>
              <w:top w:val="single" w:sz="4" w:space="0" w:color="auto"/>
              <w:left w:val="single" w:sz="4" w:space="0" w:color="auto"/>
              <w:bottom w:val="single" w:sz="4" w:space="0" w:color="auto"/>
              <w:right w:val="single" w:sz="4" w:space="0" w:color="000000"/>
            </w:tcBorders>
            <w:shd w:val="clear" w:color="000000" w:fill="A1F2FD"/>
            <w:vAlign w:val="center"/>
            <w:hideMark/>
          </w:tcPr>
          <w:p w14:paraId="6E03B6D8" w14:textId="77777777" w:rsidR="007E51A1" w:rsidRPr="00FD2F4D" w:rsidRDefault="007E51A1" w:rsidP="007E51A1">
            <w:pPr>
              <w:jc w:val="center"/>
              <w:rPr>
                <w:rFonts w:cs="Arial"/>
                <w:b/>
                <w:bCs/>
                <w:color w:val="000000"/>
              </w:rPr>
            </w:pPr>
            <w:r w:rsidRPr="00FD2F4D">
              <w:rPr>
                <w:rFonts w:cs="Arial"/>
                <w:b/>
                <w:bCs/>
                <w:color w:val="000000"/>
              </w:rPr>
              <w:t>Contas de 2020</w:t>
            </w:r>
          </w:p>
        </w:tc>
        <w:tc>
          <w:tcPr>
            <w:tcW w:w="1329" w:type="pct"/>
            <w:gridSpan w:val="2"/>
            <w:tcBorders>
              <w:top w:val="single" w:sz="4" w:space="0" w:color="auto"/>
              <w:left w:val="nil"/>
              <w:bottom w:val="single" w:sz="4" w:space="0" w:color="auto"/>
              <w:right w:val="single" w:sz="4" w:space="0" w:color="000000"/>
            </w:tcBorders>
            <w:shd w:val="clear" w:color="000000" w:fill="A1F2FD"/>
            <w:vAlign w:val="center"/>
            <w:hideMark/>
          </w:tcPr>
          <w:p w14:paraId="1F8A6200" w14:textId="77777777" w:rsidR="007E51A1" w:rsidRPr="00FD2F4D" w:rsidRDefault="007E51A1" w:rsidP="007E51A1">
            <w:pPr>
              <w:jc w:val="center"/>
              <w:rPr>
                <w:rFonts w:cs="Arial"/>
                <w:b/>
                <w:bCs/>
                <w:color w:val="000000"/>
              </w:rPr>
            </w:pPr>
            <w:r w:rsidRPr="00FD2F4D">
              <w:rPr>
                <w:rFonts w:cs="Arial"/>
                <w:b/>
                <w:bCs/>
                <w:color w:val="000000"/>
              </w:rPr>
              <w:t>Contas de 2021</w:t>
            </w:r>
          </w:p>
        </w:tc>
        <w:tc>
          <w:tcPr>
            <w:tcW w:w="1338" w:type="pct"/>
            <w:gridSpan w:val="2"/>
            <w:tcBorders>
              <w:top w:val="single" w:sz="4" w:space="0" w:color="auto"/>
              <w:left w:val="nil"/>
              <w:bottom w:val="single" w:sz="4" w:space="0" w:color="auto"/>
              <w:right w:val="nil"/>
            </w:tcBorders>
            <w:shd w:val="clear" w:color="000000" w:fill="A1F2FD"/>
            <w:vAlign w:val="center"/>
            <w:hideMark/>
          </w:tcPr>
          <w:p w14:paraId="1ADE5246" w14:textId="77777777" w:rsidR="007E51A1" w:rsidRPr="00FD2F4D" w:rsidRDefault="007E51A1" w:rsidP="007E51A1">
            <w:pPr>
              <w:jc w:val="center"/>
              <w:rPr>
                <w:rFonts w:cs="Arial"/>
                <w:b/>
                <w:bCs/>
                <w:color w:val="000000"/>
              </w:rPr>
            </w:pPr>
            <w:r w:rsidRPr="00FD2F4D">
              <w:rPr>
                <w:rFonts w:cs="Arial"/>
                <w:b/>
                <w:bCs/>
                <w:color w:val="000000"/>
              </w:rPr>
              <w:t>Contas de 2022</w:t>
            </w:r>
          </w:p>
        </w:tc>
      </w:tr>
      <w:tr w:rsidR="007E51A1" w:rsidRPr="00FD2F4D" w14:paraId="61FC8F0A" w14:textId="77777777" w:rsidTr="007E51A1">
        <w:trPr>
          <w:trHeight w:val="300"/>
          <w:tblHeader/>
        </w:trPr>
        <w:tc>
          <w:tcPr>
            <w:tcW w:w="1004" w:type="pct"/>
            <w:vMerge/>
            <w:tcBorders>
              <w:top w:val="single" w:sz="4" w:space="0" w:color="auto"/>
              <w:left w:val="nil"/>
              <w:bottom w:val="single" w:sz="4" w:space="0" w:color="000000"/>
              <w:right w:val="nil"/>
            </w:tcBorders>
            <w:vAlign w:val="center"/>
            <w:hideMark/>
          </w:tcPr>
          <w:p w14:paraId="4F32ECAA" w14:textId="77777777" w:rsidR="007E51A1" w:rsidRPr="00FD2F4D" w:rsidRDefault="007E51A1" w:rsidP="007E51A1">
            <w:pPr>
              <w:jc w:val="left"/>
              <w:rPr>
                <w:rFonts w:cs="Arial"/>
                <w:b/>
                <w:bCs/>
                <w:color w:val="000000"/>
              </w:rPr>
            </w:pPr>
          </w:p>
        </w:tc>
        <w:tc>
          <w:tcPr>
            <w:tcW w:w="937" w:type="pct"/>
            <w:tcBorders>
              <w:top w:val="nil"/>
              <w:left w:val="single" w:sz="4" w:space="0" w:color="auto"/>
              <w:bottom w:val="single" w:sz="4" w:space="0" w:color="auto"/>
              <w:right w:val="single" w:sz="4" w:space="0" w:color="auto"/>
            </w:tcBorders>
            <w:shd w:val="clear" w:color="000000" w:fill="A1F2FD"/>
            <w:vAlign w:val="center"/>
            <w:hideMark/>
          </w:tcPr>
          <w:p w14:paraId="6FAE1BF5" w14:textId="77777777" w:rsidR="007E51A1" w:rsidRPr="00FD2F4D" w:rsidRDefault="007E51A1" w:rsidP="007E51A1">
            <w:pPr>
              <w:jc w:val="center"/>
              <w:rPr>
                <w:rFonts w:cs="Arial"/>
                <w:b/>
                <w:bCs/>
                <w:color w:val="000000"/>
              </w:rPr>
            </w:pPr>
            <w:r w:rsidRPr="00FD2F4D">
              <w:rPr>
                <w:rFonts w:cs="Arial"/>
                <w:b/>
                <w:bCs/>
                <w:color w:val="000000"/>
              </w:rPr>
              <w:t>Quantidade</w:t>
            </w:r>
          </w:p>
        </w:tc>
        <w:tc>
          <w:tcPr>
            <w:tcW w:w="392" w:type="pct"/>
            <w:tcBorders>
              <w:top w:val="nil"/>
              <w:left w:val="nil"/>
              <w:bottom w:val="single" w:sz="4" w:space="0" w:color="auto"/>
              <w:right w:val="single" w:sz="4" w:space="0" w:color="auto"/>
            </w:tcBorders>
            <w:shd w:val="clear" w:color="000000" w:fill="A1F2FD"/>
            <w:vAlign w:val="center"/>
            <w:hideMark/>
          </w:tcPr>
          <w:p w14:paraId="05737CEB" w14:textId="77777777" w:rsidR="007E51A1" w:rsidRPr="00FD2F4D" w:rsidRDefault="007E51A1" w:rsidP="007E51A1">
            <w:pPr>
              <w:jc w:val="center"/>
              <w:rPr>
                <w:rFonts w:cs="Arial"/>
                <w:b/>
                <w:bCs/>
                <w:color w:val="000000"/>
              </w:rPr>
            </w:pPr>
            <w:r w:rsidRPr="00FD2F4D">
              <w:rPr>
                <w:rFonts w:cs="Arial"/>
                <w:b/>
                <w:bCs/>
                <w:color w:val="000000"/>
              </w:rPr>
              <w:t>%</w:t>
            </w:r>
          </w:p>
        </w:tc>
        <w:tc>
          <w:tcPr>
            <w:tcW w:w="937" w:type="pct"/>
            <w:tcBorders>
              <w:top w:val="nil"/>
              <w:left w:val="nil"/>
              <w:bottom w:val="single" w:sz="4" w:space="0" w:color="auto"/>
              <w:right w:val="single" w:sz="4" w:space="0" w:color="auto"/>
            </w:tcBorders>
            <w:shd w:val="clear" w:color="000000" w:fill="A1F2FD"/>
            <w:noWrap/>
            <w:vAlign w:val="center"/>
            <w:hideMark/>
          </w:tcPr>
          <w:p w14:paraId="3A8C010A" w14:textId="77777777" w:rsidR="007E51A1" w:rsidRPr="00FD2F4D" w:rsidRDefault="007E51A1" w:rsidP="007E51A1">
            <w:pPr>
              <w:jc w:val="center"/>
              <w:rPr>
                <w:rFonts w:cs="Arial"/>
                <w:b/>
                <w:bCs/>
                <w:color w:val="000000"/>
              </w:rPr>
            </w:pPr>
            <w:r w:rsidRPr="00FD2F4D">
              <w:rPr>
                <w:rFonts w:cs="Arial"/>
                <w:b/>
                <w:bCs/>
                <w:color w:val="000000"/>
              </w:rPr>
              <w:t>Quantidade</w:t>
            </w:r>
          </w:p>
        </w:tc>
        <w:tc>
          <w:tcPr>
            <w:tcW w:w="392" w:type="pct"/>
            <w:tcBorders>
              <w:top w:val="nil"/>
              <w:left w:val="nil"/>
              <w:bottom w:val="single" w:sz="4" w:space="0" w:color="auto"/>
              <w:right w:val="single" w:sz="4" w:space="0" w:color="auto"/>
            </w:tcBorders>
            <w:shd w:val="clear" w:color="000000" w:fill="A1F2FD"/>
            <w:vAlign w:val="center"/>
            <w:hideMark/>
          </w:tcPr>
          <w:p w14:paraId="2810A2EB" w14:textId="77777777" w:rsidR="007E51A1" w:rsidRPr="00FD2F4D" w:rsidRDefault="007E51A1" w:rsidP="007E51A1">
            <w:pPr>
              <w:jc w:val="center"/>
              <w:rPr>
                <w:rFonts w:cs="Arial"/>
                <w:b/>
                <w:bCs/>
                <w:color w:val="000000"/>
              </w:rPr>
            </w:pPr>
            <w:r w:rsidRPr="00FD2F4D">
              <w:rPr>
                <w:rFonts w:cs="Arial"/>
                <w:b/>
                <w:bCs/>
                <w:color w:val="000000"/>
              </w:rPr>
              <w:t>%</w:t>
            </w:r>
          </w:p>
        </w:tc>
        <w:tc>
          <w:tcPr>
            <w:tcW w:w="947" w:type="pct"/>
            <w:tcBorders>
              <w:top w:val="nil"/>
              <w:left w:val="nil"/>
              <w:bottom w:val="single" w:sz="4" w:space="0" w:color="auto"/>
              <w:right w:val="single" w:sz="4" w:space="0" w:color="auto"/>
            </w:tcBorders>
            <w:shd w:val="clear" w:color="000000" w:fill="A1F2FD"/>
            <w:noWrap/>
            <w:vAlign w:val="center"/>
            <w:hideMark/>
          </w:tcPr>
          <w:p w14:paraId="2146D363" w14:textId="77777777" w:rsidR="007E51A1" w:rsidRPr="00FD2F4D" w:rsidRDefault="007E51A1" w:rsidP="007E51A1">
            <w:pPr>
              <w:jc w:val="center"/>
              <w:rPr>
                <w:rFonts w:cs="Arial"/>
                <w:b/>
                <w:bCs/>
                <w:color w:val="000000"/>
              </w:rPr>
            </w:pPr>
            <w:r w:rsidRPr="00FD2F4D">
              <w:rPr>
                <w:rFonts w:cs="Arial"/>
                <w:b/>
                <w:bCs/>
                <w:color w:val="000000"/>
              </w:rPr>
              <w:t>Quantidade</w:t>
            </w:r>
          </w:p>
        </w:tc>
        <w:tc>
          <w:tcPr>
            <w:tcW w:w="392" w:type="pct"/>
            <w:tcBorders>
              <w:top w:val="nil"/>
              <w:left w:val="nil"/>
              <w:bottom w:val="single" w:sz="4" w:space="0" w:color="auto"/>
              <w:right w:val="nil"/>
            </w:tcBorders>
            <w:shd w:val="clear" w:color="000000" w:fill="A1F2FD"/>
            <w:vAlign w:val="center"/>
            <w:hideMark/>
          </w:tcPr>
          <w:p w14:paraId="3528316A" w14:textId="77777777" w:rsidR="007E51A1" w:rsidRPr="00FD2F4D" w:rsidRDefault="007E51A1" w:rsidP="007E51A1">
            <w:pPr>
              <w:jc w:val="center"/>
              <w:rPr>
                <w:rFonts w:cs="Arial"/>
                <w:b/>
                <w:bCs/>
                <w:color w:val="000000"/>
              </w:rPr>
            </w:pPr>
            <w:r w:rsidRPr="00FD2F4D">
              <w:rPr>
                <w:rFonts w:cs="Arial"/>
                <w:b/>
                <w:bCs/>
                <w:color w:val="000000"/>
              </w:rPr>
              <w:t>%</w:t>
            </w:r>
          </w:p>
        </w:tc>
      </w:tr>
      <w:tr w:rsidR="007E51A1" w:rsidRPr="00FD2F4D" w14:paraId="644855E7" w14:textId="77777777" w:rsidTr="007E51A1">
        <w:trPr>
          <w:trHeight w:val="300"/>
        </w:trPr>
        <w:tc>
          <w:tcPr>
            <w:tcW w:w="1004" w:type="pct"/>
            <w:tcBorders>
              <w:top w:val="nil"/>
              <w:left w:val="nil"/>
              <w:bottom w:val="nil"/>
              <w:right w:val="nil"/>
            </w:tcBorders>
            <w:shd w:val="clear" w:color="auto" w:fill="auto"/>
            <w:noWrap/>
            <w:vAlign w:val="center"/>
            <w:hideMark/>
          </w:tcPr>
          <w:p w14:paraId="3108632D" w14:textId="77777777" w:rsidR="007E51A1" w:rsidRPr="00FD2F4D" w:rsidRDefault="007E51A1" w:rsidP="007E51A1">
            <w:pPr>
              <w:rPr>
                <w:rFonts w:cs="Arial"/>
                <w:color w:val="000000"/>
              </w:rPr>
            </w:pPr>
            <w:r w:rsidRPr="00FD2F4D">
              <w:rPr>
                <w:rFonts w:cs="Arial"/>
                <w:color w:val="000000"/>
              </w:rPr>
              <w:t>Atendida</w:t>
            </w:r>
          </w:p>
        </w:tc>
        <w:tc>
          <w:tcPr>
            <w:tcW w:w="937" w:type="pct"/>
            <w:tcBorders>
              <w:top w:val="nil"/>
              <w:left w:val="single" w:sz="4" w:space="0" w:color="auto"/>
              <w:bottom w:val="nil"/>
              <w:right w:val="single" w:sz="4" w:space="0" w:color="auto"/>
            </w:tcBorders>
            <w:shd w:val="clear" w:color="auto" w:fill="auto"/>
            <w:noWrap/>
            <w:vAlign w:val="center"/>
            <w:hideMark/>
          </w:tcPr>
          <w:p w14:paraId="29D18872" w14:textId="77777777" w:rsidR="007E51A1" w:rsidRPr="00FD2F4D" w:rsidRDefault="007E51A1" w:rsidP="007E51A1">
            <w:pPr>
              <w:jc w:val="center"/>
              <w:rPr>
                <w:rFonts w:cs="Arial"/>
                <w:color w:val="000000"/>
              </w:rPr>
            </w:pPr>
            <w:r w:rsidRPr="00FD2F4D">
              <w:rPr>
                <w:rFonts w:cs="Arial"/>
                <w:color w:val="000000"/>
              </w:rPr>
              <w:t>1</w:t>
            </w:r>
          </w:p>
        </w:tc>
        <w:tc>
          <w:tcPr>
            <w:tcW w:w="392" w:type="pct"/>
            <w:tcBorders>
              <w:top w:val="nil"/>
              <w:left w:val="nil"/>
              <w:bottom w:val="nil"/>
              <w:right w:val="single" w:sz="4" w:space="0" w:color="auto"/>
            </w:tcBorders>
            <w:shd w:val="clear" w:color="auto" w:fill="auto"/>
            <w:noWrap/>
            <w:vAlign w:val="center"/>
            <w:hideMark/>
          </w:tcPr>
          <w:p w14:paraId="666C41BF" w14:textId="77777777" w:rsidR="007E51A1" w:rsidRPr="00FD2F4D" w:rsidRDefault="007E51A1" w:rsidP="007E51A1">
            <w:pPr>
              <w:jc w:val="center"/>
              <w:rPr>
                <w:rFonts w:cs="Arial"/>
                <w:color w:val="000000"/>
              </w:rPr>
            </w:pPr>
            <w:r w:rsidRPr="00FD2F4D">
              <w:rPr>
                <w:rFonts w:cs="Arial"/>
                <w:color w:val="000000"/>
              </w:rPr>
              <w:t>25,00</w:t>
            </w:r>
          </w:p>
        </w:tc>
        <w:tc>
          <w:tcPr>
            <w:tcW w:w="937" w:type="pct"/>
            <w:tcBorders>
              <w:top w:val="nil"/>
              <w:left w:val="nil"/>
              <w:bottom w:val="nil"/>
              <w:right w:val="single" w:sz="4" w:space="0" w:color="auto"/>
            </w:tcBorders>
            <w:shd w:val="clear" w:color="auto" w:fill="auto"/>
            <w:noWrap/>
            <w:vAlign w:val="center"/>
            <w:hideMark/>
          </w:tcPr>
          <w:p w14:paraId="62232F66" w14:textId="77777777" w:rsidR="007E51A1" w:rsidRPr="00FD2F4D" w:rsidRDefault="007E51A1" w:rsidP="007E51A1">
            <w:pPr>
              <w:jc w:val="center"/>
              <w:rPr>
                <w:rFonts w:cs="Arial"/>
                <w:color w:val="000000"/>
              </w:rPr>
            </w:pPr>
            <w:r w:rsidRPr="00FD2F4D">
              <w:rPr>
                <w:rFonts w:cs="Arial"/>
                <w:color w:val="000000"/>
              </w:rPr>
              <w:t>9</w:t>
            </w:r>
          </w:p>
        </w:tc>
        <w:tc>
          <w:tcPr>
            <w:tcW w:w="392" w:type="pct"/>
            <w:tcBorders>
              <w:top w:val="nil"/>
              <w:left w:val="nil"/>
              <w:bottom w:val="nil"/>
              <w:right w:val="single" w:sz="4" w:space="0" w:color="auto"/>
            </w:tcBorders>
            <w:shd w:val="clear" w:color="auto" w:fill="auto"/>
            <w:noWrap/>
            <w:vAlign w:val="center"/>
            <w:hideMark/>
          </w:tcPr>
          <w:p w14:paraId="7ADE5549" w14:textId="77777777" w:rsidR="007E51A1" w:rsidRPr="00FD2F4D" w:rsidRDefault="007E51A1" w:rsidP="007E51A1">
            <w:pPr>
              <w:jc w:val="center"/>
              <w:rPr>
                <w:rFonts w:cs="Arial"/>
                <w:color w:val="000000"/>
              </w:rPr>
            </w:pPr>
            <w:r w:rsidRPr="00FD2F4D">
              <w:rPr>
                <w:rFonts w:cs="Arial"/>
                <w:color w:val="000000"/>
              </w:rPr>
              <w:t>75,00%</w:t>
            </w:r>
          </w:p>
        </w:tc>
        <w:tc>
          <w:tcPr>
            <w:tcW w:w="947" w:type="pct"/>
            <w:tcBorders>
              <w:top w:val="nil"/>
              <w:left w:val="nil"/>
              <w:bottom w:val="nil"/>
              <w:right w:val="single" w:sz="4" w:space="0" w:color="auto"/>
            </w:tcBorders>
            <w:shd w:val="clear" w:color="auto" w:fill="auto"/>
            <w:noWrap/>
            <w:vAlign w:val="center"/>
            <w:hideMark/>
          </w:tcPr>
          <w:p w14:paraId="3E7ACDAD" w14:textId="77777777" w:rsidR="007E51A1" w:rsidRPr="00FD2F4D" w:rsidRDefault="007E51A1" w:rsidP="007E51A1">
            <w:pPr>
              <w:jc w:val="center"/>
              <w:rPr>
                <w:rFonts w:cs="Arial"/>
                <w:color w:val="000000"/>
              </w:rPr>
            </w:pPr>
            <w:r w:rsidRPr="00FD2F4D">
              <w:rPr>
                <w:rFonts w:cs="Arial"/>
                <w:color w:val="000000"/>
              </w:rPr>
              <w:t>6</w:t>
            </w:r>
          </w:p>
        </w:tc>
        <w:tc>
          <w:tcPr>
            <w:tcW w:w="392" w:type="pct"/>
            <w:tcBorders>
              <w:top w:val="nil"/>
              <w:left w:val="nil"/>
              <w:bottom w:val="nil"/>
              <w:right w:val="nil"/>
            </w:tcBorders>
            <w:shd w:val="clear" w:color="auto" w:fill="auto"/>
            <w:noWrap/>
            <w:vAlign w:val="center"/>
            <w:hideMark/>
          </w:tcPr>
          <w:p w14:paraId="08313EF1" w14:textId="77777777" w:rsidR="007E51A1" w:rsidRPr="00FD2F4D" w:rsidRDefault="007E51A1" w:rsidP="007E51A1">
            <w:pPr>
              <w:jc w:val="center"/>
              <w:rPr>
                <w:rFonts w:cs="Arial"/>
                <w:color w:val="000000"/>
              </w:rPr>
            </w:pPr>
            <w:r w:rsidRPr="00FD2F4D">
              <w:rPr>
                <w:rFonts w:cs="Arial"/>
                <w:color w:val="000000"/>
              </w:rPr>
              <w:t>50,00%</w:t>
            </w:r>
          </w:p>
        </w:tc>
      </w:tr>
      <w:tr w:rsidR="007E51A1" w:rsidRPr="00FD2F4D" w14:paraId="35F4F0DC" w14:textId="77777777" w:rsidTr="007E51A1">
        <w:trPr>
          <w:trHeight w:val="300"/>
        </w:trPr>
        <w:tc>
          <w:tcPr>
            <w:tcW w:w="1004" w:type="pct"/>
            <w:tcBorders>
              <w:top w:val="nil"/>
              <w:left w:val="nil"/>
              <w:bottom w:val="nil"/>
              <w:right w:val="nil"/>
            </w:tcBorders>
            <w:shd w:val="clear" w:color="auto" w:fill="auto"/>
            <w:noWrap/>
            <w:vAlign w:val="center"/>
            <w:hideMark/>
          </w:tcPr>
          <w:p w14:paraId="46145B28" w14:textId="77777777" w:rsidR="007E51A1" w:rsidRPr="00FD2F4D" w:rsidRDefault="007E51A1" w:rsidP="007E51A1">
            <w:pPr>
              <w:rPr>
                <w:rFonts w:cs="Arial"/>
                <w:color w:val="000000"/>
              </w:rPr>
            </w:pPr>
            <w:r w:rsidRPr="00FD2F4D">
              <w:rPr>
                <w:rFonts w:cs="Arial"/>
                <w:color w:val="000000"/>
              </w:rPr>
              <w:t>Parcialmente Atendida</w:t>
            </w:r>
          </w:p>
        </w:tc>
        <w:tc>
          <w:tcPr>
            <w:tcW w:w="937" w:type="pct"/>
            <w:tcBorders>
              <w:top w:val="nil"/>
              <w:left w:val="single" w:sz="4" w:space="0" w:color="auto"/>
              <w:bottom w:val="nil"/>
              <w:right w:val="single" w:sz="4" w:space="0" w:color="auto"/>
            </w:tcBorders>
            <w:shd w:val="clear" w:color="auto" w:fill="auto"/>
            <w:noWrap/>
            <w:vAlign w:val="center"/>
            <w:hideMark/>
          </w:tcPr>
          <w:p w14:paraId="15F9D803" w14:textId="77777777" w:rsidR="007E51A1" w:rsidRPr="00FD2F4D" w:rsidRDefault="007E51A1" w:rsidP="007E51A1">
            <w:pPr>
              <w:jc w:val="center"/>
              <w:rPr>
                <w:rFonts w:cs="Arial"/>
                <w:color w:val="000000"/>
              </w:rPr>
            </w:pPr>
            <w:r w:rsidRPr="00FD2F4D">
              <w:rPr>
                <w:rFonts w:cs="Arial"/>
                <w:color w:val="000000"/>
              </w:rPr>
              <w:t>3</w:t>
            </w:r>
          </w:p>
        </w:tc>
        <w:tc>
          <w:tcPr>
            <w:tcW w:w="392" w:type="pct"/>
            <w:tcBorders>
              <w:top w:val="nil"/>
              <w:left w:val="nil"/>
              <w:bottom w:val="nil"/>
              <w:right w:val="single" w:sz="4" w:space="0" w:color="auto"/>
            </w:tcBorders>
            <w:shd w:val="clear" w:color="auto" w:fill="auto"/>
            <w:noWrap/>
            <w:vAlign w:val="center"/>
            <w:hideMark/>
          </w:tcPr>
          <w:p w14:paraId="2CE0B3B2" w14:textId="77777777" w:rsidR="007E51A1" w:rsidRPr="00FD2F4D" w:rsidRDefault="007E51A1" w:rsidP="007E51A1">
            <w:pPr>
              <w:jc w:val="center"/>
              <w:rPr>
                <w:rFonts w:cs="Arial"/>
                <w:color w:val="000000"/>
              </w:rPr>
            </w:pPr>
            <w:r w:rsidRPr="00FD2F4D">
              <w:rPr>
                <w:rFonts w:cs="Arial"/>
                <w:color w:val="000000"/>
              </w:rPr>
              <w:t>75,00</w:t>
            </w:r>
          </w:p>
        </w:tc>
        <w:tc>
          <w:tcPr>
            <w:tcW w:w="937" w:type="pct"/>
            <w:tcBorders>
              <w:top w:val="nil"/>
              <w:left w:val="nil"/>
              <w:bottom w:val="nil"/>
              <w:right w:val="single" w:sz="4" w:space="0" w:color="auto"/>
            </w:tcBorders>
            <w:shd w:val="clear" w:color="auto" w:fill="auto"/>
            <w:noWrap/>
            <w:vAlign w:val="center"/>
            <w:hideMark/>
          </w:tcPr>
          <w:p w14:paraId="435A8DE1" w14:textId="77777777" w:rsidR="007E51A1" w:rsidRPr="00FD2F4D" w:rsidRDefault="007E51A1" w:rsidP="007E51A1">
            <w:pPr>
              <w:jc w:val="center"/>
              <w:rPr>
                <w:rFonts w:cs="Arial"/>
                <w:color w:val="000000"/>
              </w:rPr>
            </w:pPr>
            <w:r w:rsidRPr="00FD2F4D">
              <w:rPr>
                <w:rFonts w:cs="Arial"/>
                <w:color w:val="000000"/>
              </w:rPr>
              <w:t>1</w:t>
            </w:r>
          </w:p>
        </w:tc>
        <w:tc>
          <w:tcPr>
            <w:tcW w:w="392" w:type="pct"/>
            <w:tcBorders>
              <w:top w:val="nil"/>
              <w:left w:val="nil"/>
              <w:bottom w:val="nil"/>
              <w:right w:val="single" w:sz="4" w:space="0" w:color="auto"/>
            </w:tcBorders>
            <w:shd w:val="clear" w:color="auto" w:fill="auto"/>
            <w:noWrap/>
            <w:vAlign w:val="center"/>
            <w:hideMark/>
          </w:tcPr>
          <w:p w14:paraId="0401BEE4" w14:textId="77777777" w:rsidR="007E51A1" w:rsidRPr="00FD2F4D" w:rsidRDefault="007E51A1" w:rsidP="007E51A1">
            <w:pPr>
              <w:jc w:val="center"/>
              <w:rPr>
                <w:rFonts w:cs="Arial"/>
                <w:color w:val="000000"/>
              </w:rPr>
            </w:pPr>
            <w:r w:rsidRPr="00FD2F4D">
              <w:rPr>
                <w:rFonts w:cs="Arial"/>
                <w:color w:val="000000"/>
              </w:rPr>
              <w:t>8,33%</w:t>
            </w:r>
          </w:p>
        </w:tc>
        <w:tc>
          <w:tcPr>
            <w:tcW w:w="947" w:type="pct"/>
            <w:tcBorders>
              <w:top w:val="nil"/>
              <w:left w:val="nil"/>
              <w:bottom w:val="nil"/>
              <w:right w:val="single" w:sz="4" w:space="0" w:color="auto"/>
            </w:tcBorders>
            <w:shd w:val="clear" w:color="auto" w:fill="auto"/>
            <w:noWrap/>
            <w:vAlign w:val="center"/>
            <w:hideMark/>
          </w:tcPr>
          <w:p w14:paraId="5204F59D" w14:textId="77777777" w:rsidR="007E51A1" w:rsidRPr="00FD2F4D" w:rsidRDefault="007E51A1" w:rsidP="007E51A1">
            <w:pPr>
              <w:jc w:val="center"/>
              <w:rPr>
                <w:rFonts w:cs="Arial"/>
                <w:color w:val="000000"/>
              </w:rPr>
            </w:pPr>
            <w:r w:rsidRPr="00FD2F4D">
              <w:rPr>
                <w:rFonts w:cs="Arial"/>
                <w:color w:val="000000"/>
              </w:rPr>
              <w:t>1</w:t>
            </w:r>
          </w:p>
        </w:tc>
        <w:tc>
          <w:tcPr>
            <w:tcW w:w="392" w:type="pct"/>
            <w:tcBorders>
              <w:top w:val="nil"/>
              <w:left w:val="nil"/>
              <w:bottom w:val="nil"/>
              <w:right w:val="nil"/>
            </w:tcBorders>
            <w:shd w:val="clear" w:color="auto" w:fill="auto"/>
            <w:noWrap/>
            <w:vAlign w:val="center"/>
            <w:hideMark/>
          </w:tcPr>
          <w:p w14:paraId="234F5823" w14:textId="77777777" w:rsidR="007E51A1" w:rsidRPr="00FD2F4D" w:rsidRDefault="007E51A1" w:rsidP="007E51A1">
            <w:pPr>
              <w:jc w:val="center"/>
              <w:rPr>
                <w:rFonts w:cs="Arial"/>
                <w:color w:val="000000"/>
              </w:rPr>
            </w:pPr>
            <w:r w:rsidRPr="00FD2F4D">
              <w:rPr>
                <w:rFonts w:cs="Arial"/>
                <w:color w:val="000000"/>
              </w:rPr>
              <w:t>8,33%</w:t>
            </w:r>
          </w:p>
        </w:tc>
      </w:tr>
      <w:tr w:rsidR="007E51A1" w:rsidRPr="00FD2F4D" w14:paraId="43499315" w14:textId="77777777" w:rsidTr="007E51A1">
        <w:trPr>
          <w:trHeight w:val="300"/>
        </w:trPr>
        <w:tc>
          <w:tcPr>
            <w:tcW w:w="1004" w:type="pct"/>
            <w:tcBorders>
              <w:top w:val="nil"/>
              <w:left w:val="nil"/>
              <w:bottom w:val="nil"/>
              <w:right w:val="nil"/>
            </w:tcBorders>
            <w:shd w:val="clear" w:color="auto" w:fill="auto"/>
            <w:noWrap/>
            <w:vAlign w:val="center"/>
            <w:hideMark/>
          </w:tcPr>
          <w:p w14:paraId="10C8FFF7" w14:textId="77777777" w:rsidR="007E51A1" w:rsidRPr="00FD2F4D" w:rsidRDefault="007E51A1" w:rsidP="007E51A1">
            <w:pPr>
              <w:rPr>
                <w:rFonts w:cs="Arial"/>
                <w:color w:val="000000"/>
              </w:rPr>
            </w:pPr>
            <w:r w:rsidRPr="00FD2F4D">
              <w:rPr>
                <w:rFonts w:cs="Arial"/>
                <w:color w:val="000000"/>
              </w:rPr>
              <w:t>Não atendida</w:t>
            </w:r>
          </w:p>
        </w:tc>
        <w:tc>
          <w:tcPr>
            <w:tcW w:w="937" w:type="pct"/>
            <w:tcBorders>
              <w:top w:val="nil"/>
              <w:left w:val="single" w:sz="4" w:space="0" w:color="auto"/>
              <w:bottom w:val="nil"/>
              <w:right w:val="single" w:sz="4" w:space="0" w:color="auto"/>
            </w:tcBorders>
            <w:shd w:val="clear" w:color="auto" w:fill="auto"/>
            <w:noWrap/>
            <w:vAlign w:val="center"/>
            <w:hideMark/>
          </w:tcPr>
          <w:p w14:paraId="0A106A9E" w14:textId="77777777" w:rsidR="007E51A1" w:rsidRPr="00FD2F4D" w:rsidRDefault="007E51A1" w:rsidP="007E51A1">
            <w:pPr>
              <w:jc w:val="center"/>
              <w:rPr>
                <w:rFonts w:cs="Arial"/>
                <w:color w:val="000000"/>
              </w:rPr>
            </w:pPr>
            <w:r w:rsidRPr="00FD2F4D">
              <w:rPr>
                <w:rFonts w:cs="Arial"/>
                <w:color w:val="000000"/>
              </w:rPr>
              <w:t>0</w:t>
            </w:r>
          </w:p>
        </w:tc>
        <w:tc>
          <w:tcPr>
            <w:tcW w:w="392" w:type="pct"/>
            <w:tcBorders>
              <w:top w:val="nil"/>
              <w:left w:val="nil"/>
              <w:bottom w:val="nil"/>
              <w:right w:val="single" w:sz="4" w:space="0" w:color="auto"/>
            </w:tcBorders>
            <w:shd w:val="clear" w:color="auto" w:fill="auto"/>
            <w:noWrap/>
            <w:vAlign w:val="center"/>
            <w:hideMark/>
          </w:tcPr>
          <w:p w14:paraId="32D6F89B" w14:textId="77777777" w:rsidR="007E51A1" w:rsidRPr="00FD2F4D" w:rsidRDefault="007E51A1" w:rsidP="007E51A1">
            <w:pPr>
              <w:jc w:val="center"/>
              <w:rPr>
                <w:rFonts w:cs="Arial"/>
                <w:color w:val="000000"/>
              </w:rPr>
            </w:pPr>
            <w:r>
              <w:rPr>
                <w:rFonts w:cs="Arial"/>
                <w:color w:val="000000"/>
              </w:rPr>
              <w:t>-</w:t>
            </w:r>
          </w:p>
        </w:tc>
        <w:tc>
          <w:tcPr>
            <w:tcW w:w="937" w:type="pct"/>
            <w:tcBorders>
              <w:top w:val="nil"/>
              <w:left w:val="nil"/>
              <w:bottom w:val="nil"/>
              <w:right w:val="single" w:sz="4" w:space="0" w:color="auto"/>
            </w:tcBorders>
            <w:shd w:val="clear" w:color="auto" w:fill="auto"/>
            <w:noWrap/>
            <w:vAlign w:val="center"/>
            <w:hideMark/>
          </w:tcPr>
          <w:p w14:paraId="7C0C178A" w14:textId="77777777" w:rsidR="007E51A1" w:rsidRPr="00FD2F4D" w:rsidRDefault="007E51A1" w:rsidP="007E51A1">
            <w:pPr>
              <w:jc w:val="center"/>
              <w:rPr>
                <w:rFonts w:cs="Arial"/>
                <w:color w:val="000000"/>
              </w:rPr>
            </w:pPr>
            <w:r w:rsidRPr="00FD2F4D">
              <w:rPr>
                <w:rFonts w:cs="Arial"/>
                <w:color w:val="000000"/>
              </w:rPr>
              <w:t>2</w:t>
            </w:r>
          </w:p>
        </w:tc>
        <w:tc>
          <w:tcPr>
            <w:tcW w:w="392" w:type="pct"/>
            <w:tcBorders>
              <w:top w:val="nil"/>
              <w:left w:val="nil"/>
              <w:bottom w:val="nil"/>
              <w:right w:val="single" w:sz="4" w:space="0" w:color="auto"/>
            </w:tcBorders>
            <w:shd w:val="clear" w:color="auto" w:fill="auto"/>
            <w:noWrap/>
            <w:vAlign w:val="center"/>
            <w:hideMark/>
          </w:tcPr>
          <w:p w14:paraId="76F0030A" w14:textId="77777777" w:rsidR="007E51A1" w:rsidRPr="00FD2F4D" w:rsidRDefault="007E51A1" w:rsidP="007E51A1">
            <w:pPr>
              <w:jc w:val="center"/>
              <w:rPr>
                <w:rFonts w:cs="Arial"/>
                <w:color w:val="000000"/>
              </w:rPr>
            </w:pPr>
            <w:r w:rsidRPr="00FD2F4D">
              <w:rPr>
                <w:rFonts w:cs="Arial"/>
                <w:color w:val="000000"/>
              </w:rPr>
              <w:t>16,67%</w:t>
            </w:r>
          </w:p>
        </w:tc>
        <w:tc>
          <w:tcPr>
            <w:tcW w:w="947" w:type="pct"/>
            <w:tcBorders>
              <w:top w:val="nil"/>
              <w:left w:val="nil"/>
              <w:bottom w:val="nil"/>
              <w:right w:val="single" w:sz="4" w:space="0" w:color="auto"/>
            </w:tcBorders>
            <w:shd w:val="clear" w:color="auto" w:fill="auto"/>
            <w:noWrap/>
            <w:vAlign w:val="center"/>
            <w:hideMark/>
          </w:tcPr>
          <w:p w14:paraId="70B184DA" w14:textId="77777777" w:rsidR="007E51A1" w:rsidRPr="00FD2F4D" w:rsidRDefault="007E51A1" w:rsidP="007E51A1">
            <w:pPr>
              <w:jc w:val="center"/>
              <w:rPr>
                <w:rFonts w:cs="Arial"/>
                <w:color w:val="000000"/>
              </w:rPr>
            </w:pPr>
            <w:r w:rsidRPr="00FD2F4D">
              <w:rPr>
                <w:rFonts w:cs="Arial"/>
                <w:color w:val="000000"/>
              </w:rPr>
              <w:t>4</w:t>
            </w:r>
          </w:p>
        </w:tc>
        <w:tc>
          <w:tcPr>
            <w:tcW w:w="392" w:type="pct"/>
            <w:tcBorders>
              <w:top w:val="nil"/>
              <w:left w:val="nil"/>
              <w:bottom w:val="nil"/>
              <w:right w:val="nil"/>
            </w:tcBorders>
            <w:shd w:val="clear" w:color="auto" w:fill="auto"/>
            <w:noWrap/>
            <w:vAlign w:val="center"/>
            <w:hideMark/>
          </w:tcPr>
          <w:p w14:paraId="65428086" w14:textId="77777777" w:rsidR="007E51A1" w:rsidRPr="00FD2F4D" w:rsidRDefault="007E51A1" w:rsidP="007E51A1">
            <w:pPr>
              <w:jc w:val="center"/>
              <w:rPr>
                <w:rFonts w:cs="Arial"/>
                <w:color w:val="000000"/>
              </w:rPr>
            </w:pPr>
            <w:r w:rsidRPr="00FD2F4D">
              <w:rPr>
                <w:rFonts w:cs="Arial"/>
                <w:color w:val="000000"/>
              </w:rPr>
              <w:t>33,33%</w:t>
            </w:r>
          </w:p>
        </w:tc>
      </w:tr>
      <w:tr w:rsidR="007E51A1" w:rsidRPr="00FD2F4D" w14:paraId="7532CE63" w14:textId="77777777" w:rsidTr="007E51A1">
        <w:trPr>
          <w:trHeight w:val="300"/>
        </w:trPr>
        <w:tc>
          <w:tcPr>
            <w:tcW w:w="1004" w:type="pct"/>
            <w:tcBorders>
              <w:top w:val="nil"/>
              <w:left w:val="nil"/>
              <w:bottom w:val="nil"/>
              <w:right w:val="nil"/>
            </w:tcBorders>
            <w:shd w:val="clear" w:color="auto" w:fill="auto"/>
            <w:noWrap/>
            <w:vAlign w:val="center"/>
            <w:hideMark/>
          </w:tcPr>
          <w:p w14:paraId="789C76E0" w14:textId="77777777" w:rsidR="007E51A1" w:rsidRPr="00FD2F4D" w:rsidRDefault="007E51A1" w:rsidP="007E51A1">
            <w:pPr>
              <w:rPr>
                <w:rFonts w:cs="Arial"/>
                <w:color w:val="000000"/>
              </w:rPr>
            </w:pPr>
            <w:r w:rsidRPr="00FD2F4D">
              <w:rPr>
                <w:rFonts w:cs="Arial"/>
                <w:color w:val="000000"/>
              </w:rPr>
              <w:t>Em análise</w:t>
            </w:r>
          </w:p>
        </w:tc>
        <w:tc>
          <w:tcPr>
            <w:tcW w:w="937" w:type="pct"/>
            <w:tcBorders>
              <w:top w:val="nil"/>
              <w:left w:val="single" w:sz="4" w:space="0" w:color="auto"/>
              <w:bottom w:val="nil"/>
              <w:right w:val="single" w:sz="4" w:space="0" w:color="auto"/>
            </w:tcBorders>
            <w:shd w:val="clear" w:color="auto" w:fill="auto"/>
            <w:noWrap/>
            <w:vAlign w:val="center"/>
            <w:hideMark/>
          </w:tcPr>
          <w:p w14:paraId="25895EF2" w14:textId="77777777" w:rsidR="007E51A1" w:rsidRPr="00FD2F4D" w:rsidRDefault="007E51A1" w:rsidP="007E51A1">
            <w:pPr>
              <w:jc w:val="center"/>
              <w:rPr>
                <w:rFonts w:cs="Arial"/>
                <w:color w:val="000000"/>
              </w:rPr>
            </w:pPr>
            <w:r w:rsidRPr="00FD2F4D">
              <w:rPr>
                <w:rFonts w:cs="Arial"/>
                <w:color w:val="000000"/>
              </w:rPr>
              <w:t>0</w:t>
            </w:r>
          </w:p>
        </w:tc>
        <w:tc>
          <w:tcPr>
            <w:tcW w:w="392" w:type="pct"/>
            <w:tcBorders>
              <w:top w:val="nil"/>
              <w:left w:val="nil"/>
              <w:bottom w:val="nil"/>
              <w:right w:val="single" w:sz="4" w:space="0" w:color="auto"/>
            </w:tcBorders>
            <w:shd w:val="clear" w:color="auto" w:fill="auto"/>
            <w:noWrap/>
            <w:vAlign w:val="center"/>
            <w:hideMark/>
          </w:tcPr>
          <w:p w14:paraId="220C2F3A" w14:textId="77777777" w:rsidR="007E51A1" w:rsidRPr="00FD2F4D" w:rsidRDefault="007E51A1" w:rsidP="007E51A1">
            <w:pPr>
              <w:jc w:val="center"/>
              <w:rPr>
                <w:rFonts w:cs="Arial"/>
                <w:color w:val="000000"/>
              </w:rPr>
            </w:pPr>
            <w:r>
              <w:rPr>
                <w:rFonts w:cs="Arial"/>
                <w:color w:val="000000"/>
              </w:rPr>
              <w:t>-</w:t>
            </w:r>
          </w:p>
        </w:tc>
        <w:tc>
          <w:tcPr>
            <w:tcW w:w="937" w:type="pct"/>
            <w:tcBorders>
              <w:top w:val="nil"/>
              <w:left w:val="nil"/>
              <w:bottom w:val="nil"/>
              <w:right w:val="single" w:sz="4" w:space="0" w:color="auto"/>
            </w:tcBorders>
            <w:shd w:val="clear" w:color="auto" w:fill="auto"/>
            <w:noWrap/>
            <w:vAlign w:val="center"/>
            <w:hideMark/>
          </w:tcPr>
          <w:p w14:paraId="487C7838" w14:textId="77777777" w:rsidR="007E51A1" w:rsidRPr="00FD2F4D" w:rsidRDefault="007E51A1" w:rsidP="007E51A1">
            <w:pPr>
              <w:jc w:val="center"/>
              <w:rPr>
                <w:rFonts w:cs="Arial"/>
                <w:color w:val="000000"/>
              </w:rPr>
            </w:pPr>
            <w:r>
              <w:rPr>
                <w:rFonts w:cs="Arial"/>
                <w:color w:val="000000"/>
              </w:rPr>
              <w:t>-</w:t>
            </w:r>
          </w:p>
        </w:tc>
        <w:tc>
          <w:tcPr>
            <w:tcW w:w="392" w:type="pct"/>
            <w:tcBorders>
              <w:top w:val="nil"/>
              <w:left w:val="nil"/>
              <w:bottom w:val="nil"/>
              <w:right w:val="single" w:sz="4" w:space="0" w:color="auto"/>
            </w:tcBorders>
            <w:shd w:val="clear" w:color="auto" w:fill="auto"/>
            <w:noWrap/>
            <w:vAlign w:val="center"/>
            <w:hideMark/>
          </w:tcPr>
          <w:p w14:paraId="6A1CE65D" w14:textId="77777777" w:rsidR="007E51A1" w:rsidRPr="00FD2F4D" w:rsidRDefault="007E51A1" w:rsidP="007E51A1">
            <w:pPr>
              <w:jc w:val="center"/>
              <w:rPr>
                <w:rFonts w:cs="Arial"/>
                <w:color w:val="000000"/>
              </w:rPr>
            </w:pPr>
            <w:r>
              <w:rPr>
                <w:rFonts w:cs="Arial"/>
                <w:color w:val="000000"/>
              </w:rPr>
              <w:t>-</w:t>
            </w:r>
          </w:p>
        </w:tc>
        <w:tc>
          <w:tcPr>
            <w:tcW w:w="947" w:type="pct"/>
            <w:tcBorders>
              <w:top w:val="nil"/>
              <w:left w:val="nil"/>
              <w:bottom w:val="nil"/>
              <w:right w:val="single" w:sz="4" w:space="0" w:color="auto"/>
            </w:tcBorders>
            <w:shd w:val="clear" w:color="auto" w:fill="auto"/>
            <w:noWrap/>
            <w:vAlign w:val="center"/>
            <w:hideMark/>
          </w:tcPr>
          <w:p w14:paraId="71BE7ECF" w14:textId="77777777" w:rsidR="007E51A1" w:rsidRPr="00FD2F4D" w:rsidRDefault="007E51A1" w:rsidP="007E51A1">
            <w:pPr>
              <w:jc w:val="center"/>
              <w:rPr>
                <w:rFonts w:cs="Arial"/>
                <w:color w:val="000000"/>
              </w:rPr>
            </w:pPr>
            <w:r w:rsidRPr="00FD2F4D">
              <w:rPr>
                <w:rFonts w:cs="Arial"/>
                <w:color w:val="000000"/>
              </w:rPr>
              <w:t>1</w:t>
            </w:r>
          </w:p>
        </w:tc>
        <w:tc>
          <w:tcPr>
            <w:tcW w:w="392" w:type="pct"/>
            <w:tcBorders>
              <w:top w:val="nil"/>
              <w:left w:val="nil"/>
              <w:bottom w:val="nil"/>
              <w:right w:val="nil"/>
            </w:tcBorders>
            <w:shd w:val="clear" w:color="auto" w:fill="auto"/>
            <w:noWrap/>
            <w:vAlign w:val="center"/>
            <w:hideMark/>
          </w:tcPr>
          <w:p w14:paraId="3413C329" w14:textId="77777777" w:rsidR="007E51A1" w:rsidRPr="00FD2F4D" w:rsidRDefault="007E51A1" w:rsidP="007E51A1">
            <w:pPr>
              <w:jc w:val="center"/>
              <w:rPr>
                <w:rFonts w:cs="Arial"/>
                <w:color w:val="000000"/>
              </w:rPr>
            </w:pPr>
            <w:r w:rsidRPr="00FD2F4D">
              <w:rPr>
                <w:rFonts w:cs="Arial"/>
                <w:color w:val="000000"/>
              </w:rPr>
              <w:t>8,33%</w:t>
            </w:r>
          </w:p>
        </w:tc>
      </w:tr>
      <w:tr w:rsidR="007E51A1" w:rsidRPr="00FD2F4D" w14:paraId="4628B758" w14:textId="77777777" w:rsidTr="007E51A1">
        <w:trPr>
          <w:trHeight w:val="300"/>
        </w:trPr>
        <w:tc>
          <w:tcPr>
            <w:tcW w:w="1004" w:type="pct"/>
            <w:tcBorders>
              <w:top w:val="single" w:sz="4" w:space="0" w:color="auto"/>
              <w:left w:val="nil"/>
              <w:bottom w:val="single" w:sz="4" w:space="0" w:color="auto"/>
              <w:right w:val="nil"/>
            </w:tcBorders>
            <w:shd w:val="clear" w:color="auto" w:fill="auto"/>
            <w:noWrap/>
            <w:vAlign w:val="center"/>
            <w:hideMark/>
          </w:tcPr>
          <w:p w14:paraId="3924ABA5" w14:textId="77777777" w:rsidR="007E51A1" w:rsidRPr="00FD2F4D" w:rsidRDefault="007E51A1" w:rsidP="007E51A1">
            <w:pPr>
              <w:jc w:val="center"/>
              <w:rPr>
                <w:rFonts w:cs="Arial"/>
                <w:b/>
                <w:bCs/>
                <w:color w:val="000000"/>
              </w:rPr>
            </w:pPr>
            <w:r w:rsidRPr="00FD2F4D">
              <w:rPr>
                <w:rFonts w:cs="Arial"/>
                <w:b/>
                <w:bCs/>
                <w:color w:val="000000"/>
              </w:rPr>
              <w:t>Total</w:t>
            </w:r>
          </w:p>
        </w:tc>
        <w:tc>
          <w:tcPr>
            <w:tcW w:w="93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D9A033" w14:textId="77777777" w:rsidR="007E51A1" w:rsidRPr="00FD2F4D" w:rsidRDefault="007E51A1" w:rsidP="007E51A1">
            <w:pPr>
              <w:jc w:val="center"/>
              <w:rPr>
                <w:rFonts w:cs="Arial"/>
                <w:b/>
                <w:bCs/>
                <w:color w:val="000000"/>
              </w:rPr>
            </w:pPr>
            <w:r w:rsidRPr="00FD2F4D">
              <w:rPr>
                <w:rFonts w:cs="Arial"/>
                <w:b/>
                <w:bCs/>
                <w:color w:val="000000"/>
              </w:rPr>
              <w:t>4</w:t>
            </w:r>
          </w:p>
        </w:tc>
        <w:tc>
          <w:tcPr>
            <w:tcW w:w="392" w:type="pct"/>
            <w:tcBorders>
              <w:top w:val="single" w:sz="4" w:space="0" w:color="auto"/>
              <w:left w:val="nil"/>
              <w:bottom w:val="single" w:sz="4" w:space="0" w:color="auto"/>
              <w:right w:val="single" w:sz="4" w:space="0" w:color="auto"/>
            </w:tcBorders>
            <w:shd w:val="clear" w:color="auto" w:fill="auto"/>
            <w:noWrap/>
            <w:vAlign w:val="center"/>
            <w:hideMark/>
          </w:tcPr>
          <w:p w14:paraId="0DE39467" w14:textId="77777777" w:rsidR="007E51A1" w:rsidRPr="00FD2F4D" w:rsidRDefault="007E51A1" w:rsidP="007E51A1">
            <w:pPr>
              <w:jc w:val="center"/>
              <w:rPr>
                <w:rFonts w:cs="Arial"/>
                <w:b/>
                <w:bCs/>
                <w:color w:val="000000"/>
              </w:rPr>
            </w:pPr>
            <w:r w:rsidRPr="00FD2F4D">
              <w:rPr>
                <w:rFonts w:cs="Arial"/>
                <w:b/>
                <w:bCs/>
                <w:color w:val="000000"/>
              </w:rPr>
              <w:t>100,00</w:t>
            </w:r>
          </w:p>
        </w:tc>
        <w:tc>
          <w:tcPr>
            <w:tcW w:w="937" w:type="pct"/>
            <w:tcBorders>
              <w:top w:val="single" w:sz="4" w:space="0" w:color="auto"/>
              <w:left w:val="nil"/>
              <w:bottom w:val="single" w:sz="4" w:space="0" w:color="auto"/>
              <w:right w:val="single" w:sz="4" w:space="0" w:color="auto"/>
            </w:tcBorders>
            <w:shd w:val="clear" w:color="auto" w:fill="auto"/>
            <w:noWrap/>
            <w:vAlign w:val="center"/>
            <w:hideMark/>
          </w:tcPr>
          <w:p w14:paraId="6EC0FF05" w14:textId="77777777" w:rsidR="007E51A1" w:rsidRPr="00FD2F4D" w:rsidRDefault="007E51A1" w:rsidP="007E51A1">
            <w:pPr>
              <w:jc w:val="center"/>
              <w:rPr>
                <w:rFonts w:cs="Arial"/>
                <w:b/>
                <w:bCs/>
                <w:color w:val="000000"/>
              </w:rPr>
            </w:pPr>
            <w:r w:rsidRPr="00FD2F4D">
              <w:rPr>
                <w:rFonts w:cs="Arial"/>
                <w:b/>
                <w:bCs/>
                <w:color w:val="000000"/>
              </w:rPr>
              <w:t>12</w:t>
            </w:r>
          </w:p>
        </w:tc>
        <w:tc>
          <w:tcPr>
            <w:tcW w:w="392" w:type="pct"/>
            <w:tcBorders>
              <w:top w:val="single" w:sz="4" w:space="0" w:color="auto"/>
              <w:left w:val="nil"/>
              <w:bottom w:val="single" w:sz="4" w:space="0" w:color="auto"/>
              <w:right w:val="single" w:sz="4" w:space="0" w:color="auto"/>
            </w:tcBorders>
            <w:shd w:val="clear" w:color="auto" w:fill="auto"/>
            <w:noWrap/>
            <w:vAlign w:val="center"/>
            <w:hideMark/>
          </w:tcPr>
          <w:p w14:paraId="7D044738" w14:textId="77777777" w:rsidR="007E51A1" w:rsidRPr="00FD2F4D" w:rsidRDefault="007E51A1" w:rsidP="007E51A1">
            <w:pPr>
              <w:jc w:val="center"/>
              <w:rPr>
                <w:rFonts w:cs="Arial"/>
                <w:b/>
                <w:bCs/>
                <w:color w:val="000000"/>
              </w:rPr>
            </w:pPr>
            <w:r w:rsidRPr="00FD2F4D">
              <w:rPr>
                <w:rFonts w:cs="Arial"/>
                <w:b/>
                <w:bCs/>
                <w:color w:val="000000"/>
              </w:rPr>
              <w:t>100,00</w:t>
            </w:r>
          </w:p>
        </w:tc>
        <w:tc>
          <w:tcPr>
            <w:tcW w:w="947" w:type="pct"/>
            <w:tcBorders>
              <w:top w:val="single" w:sz="4" w:space="0" w:color="auto"/>
              <w:left w:val="nil"/>
              <w:bottom w:val="single" w:sz="4" w:space="0" w:color="auto"/>
              <w:right w:val="single" w:sz="4" w:space="0" w:color="auto"/>
            </w:tcBorders>
            <w:shd w:val="clear" w:color="auto" w:fill="auto"/>
            <w:noWrap/>
            <w:vAlign w:val="center"/>
            <w:hideMark/>
          </w:tcPr>
          <w:p w14:paraId="282D1878" w14:textId="77777777" w:rsidR="007E51A1" w:rsidRPr="00FD2F4D" w:rsidRDefault="007E51A1" w:rsidP="007E51A1">
            <w:pPr>
              <w:jc w:val="center"/>
              <w:rPr>
                <w:rFonts w:cs="Arial"/>
                <w:b/>
                <w:bCs/>
                <w:color w:val="000000"/>
              </w:rPr>
            </w:pPr>
            <w:r w:rsidRPr="00FD2F4D">
              <w:rPr>
                <w:rFonts w:cs="Arial"/>
                <w:b/>
                <w:bCs/>
                <w:color w:val="000000"/>
              </w:rPr>
              <w:t>12</w:t>
            </w:r>
          </w:p>
        </w:tc>
        <w:tc>
          <w:tcPr>
            <w:tcW w:w="392" w:type="pct"/>
            <w:tcBorders>
              <w:top w:val="single" w:sz="4" w:space="0" w:color="auto"/>
              <w:left w:val="nil"/>
              <w:bottom w:val="single" w:sz="4" w:space="0" w:color="auto"/>
              <w:right w:val="single" w:sz="4" w:space="0" w:color="auto"/>
            </w:tcBorders>
            <w:shd w:val="clear" w:color="auto" w:fill="auto"/>
            <w:noWrap/>
            <w:vAlign w:val="center"/>
            <w:hideMark/>
          </w:tcPr>
          <w:p w14:paraId="65108770" w14:textId="77777777" w:rsidR="007E51A1" w:rsidRPr="00FD2F4D" w:rsidRDefault="007E51A1" w:rsidP="007E51A1">
            <w:pPr>
              <w:jc w:val="center"/>
              <w:rPr>
                <w:rFonts w:cs="Arial"/>
                <w:b/>
                <w:bCs/>
                <w:color w:val="000000"/>
              </w:rPr>
            </w:pPr>
            <w:r w:rsidRPr="00FD2F4D">
              <w:rPr>
                <w:rFonts w:cs="Arial"/>
                <w:b/>
                <w:bCs/>
                <w:color w:val="000000"/>
              </w:rPr>
              <w:t>100,00</w:t>
            </w:r>
          </w:p>
        </w:tc>
      </w:tr>
    </w:tbl>
    <w:p w14:paraId="230E74C6" w14:textId="77777777" w:rsidR="007E51A1" w:rsidRPr="00A40240" w:rsidRDefault="007E51A1" w:rsidP="007E51A1">
      <w:pPr>
        <w:pStyle w:val="1-FONTE8ESQ"/>
      </w:pPr>
      <w:r w:rsidRPr="00A40240">
        <w:t>Fonte:</w:t>
      </w:r>
      <w:r>
        <w:t xml:space="preserve"> </w:t>
      </w:r>
      <w:r w:rsidRPr="00A40240">
        <w:t>Elaboração pela Unidade Técnica</w:t>
      </w:r>
    </w:p>
    <w:p w14:paraId="7CA2A68B" w14:textId="77777777" w:rsidR="007E51A1" w:rsidRPr="00276688" w:rsidRDefault="007E51A1" w:rsidP="007E51A1">
      <w:pPr>
        <w:pStyle w:val="1-REL11"/>
      </w:pPr>
      <w:r w:rsidRPr="00276688">
        <w:t>Na sequência, procede-se à análise desta Unidade Técnica, de forma individualizada, sobre os apontamentos do Parecer Prévio do exercício de 2022, exibindo as justificativas apresentadas e as ações realizadas frente às recomendações emitidas.</w:t>
      </w:r>
    </w:p>
    <w:p w14:paraId="06DC21CE" w14:textId="77777777" w:rsidR="007E51A1" w:rsidRPr="00E209DE" w:rsidRDefault="007E51A1" w:rsidP="007E51A1">
      <w:pPr>
        <w:pStyle w:val="Ttulo2"/>
      </w:pPr>
      <w:bookmarkStart w:id="520" w:name="_Toc167871713"/>
      <w:r w:rsidRPr="00E209DE">
        <w:t xml:space="preserve">Análise do Cumprimento das </w:t>
      </w:r>
      <w:r>
        <w:t>Recomendações do Parecer Prévio de 2022</w:t>
      </w:r>
      <w:bookmarkEnd w:id="520"/>
    </w:p>
    <w:p w14:paraId="4936D3E8" w14:textId="77777777" w:rsidR="007E51A1" w:rsidRPr="007E51A1" w:rsidRDefault="007E51A1" w:rsidP="007E51A1"/>
    <w:p w14:paraId="576C5873" w14:textId="32E993B5" w:rsidR="007E51A1" w:rsidRPr="00843E26" w:rsidRDefault="00E175C4" w:rsidP="00F21627">
      <w:pPr>
        <w:pStyle w:val="2-ITEM"/>
        <w:numPr>
          <w:ilvl w:val="0"/>
          <w:numId w:val="0"/>
        </w:numPr>
        <w:tabs>
          <w:tab w:val="clear" w:pos="2835"/>
          <w:tab w:val="left" w:pos="284"/>
        </w:tabs>
        <w:outlineLvl w:val="3"/>
        <w:rPr>
          <w:b/>
          <w:u w:val="single"/>
        </w:rPr>
      </w:pPr>
      <w:r>
        <w:rPr>
          <w:b/>
          <w:u w:val="single"/>
        </w:rPr>
        <w:t>Recomendações</w:t>
      </w:r>
      <w:r w:rsidR="007E51A1" w:rsidRPr="00843E26">
        <w:rPr>
          <w:b/>
          <w:u w:val="single"/>
        </w:rPr>
        <w:t xml:space="preserve"> ao Governo do </w:t>
      </w:r>
      <w:r>
        <w:rPr>
          <w:b/>
          <w:u w:val="single"/>
        </w:rPr>
        <w:t>e</w:t>
      </w:r>
      <w:r w:rsidR="007E51A1" w:rsidRPr="00843E26">
        <w:rPr>
          <w:b/>
          <w:u w:val="single"/>
        </w:rPr>
        <w:t>stado de Goiás:</w:t>
      </w:r>
    </w:p>
    <w:p w14:paraId="758CDB99" w14:textId="0E44773C" w:rsidR="007E51A1" w:rsidRPr="003D3223" w:rsidRDefault="007E51A1" w:rsidP="00736A8C">
      <w:pPr>
        <w:pStyle w:val="1-REL11"/>
        <w:numPr>
          <w:ilvl w:val="0"/>
          <w:numId w:val="56"/>
        </w:numPr>
      </w:pPr>
      <w:r w:rsidRPr="00E175C4">
        <w:rPr>
          <w:b/>
        </w:rPr>
        <w:t>Promova</w:t>
      </w:r>
      <w:r w:rsidRPr="003D3223">
        <w:t xml:space="preserve"> melhorias relacionadas à transparência no ANEXO 11A – Demonstrativo</w:t>
      </w:r>
      <w:r>
        <w:t xml:space="preserve"> de Créditos Adicionais Abertos (Lei Federal nº 4.320/64), com o intuito de evidenciar a Unidade Orçamentária em que foi apurado o saldo utilizado para abertura de crédito adicional, tendo como fonte o superávit financeiro, à outra Unidade, mantendo-se a situação Superávit Financeiro Diretamente Arrecadado para os casos em que a origem e a aplicação dos recursos tenha sido a própria Unidade </w:t>
      </w:r>
      <w:r w:rsidRPr="003D3223">
        <w:t>Orçamentária.</w:t>
      </w:r>
    </w:p>
    <w:p w14:paraId="37D1688E" w14:textId="77777777" w:rsidR="007E51A1" w:rsidRPr="00ED4F66" w:rsidRDefault="007E51A1" w:rsidP="007E51A1">
      <w:pPr>
        <w:pStyle w:val="1-REL11"/>
      </w:pPr>
      <w:r>
        <w:lastRenderedPageBreak/>
        <w:t>Em consulta ao Anexo 11A, emitido via sistema SCG, foi possível constatar que foi criada uma coluna que exibe o código da unidade orçamentária de origem do recurso utilizado para abertura do crédito adicional, para todos as fontes utilizadas no exercício.</w:t>
      </w:r>
    </w:p>
    <w:p w14:paraId="77A4DFAE" w14:textId="1CA6462B" w:rsidR="007E51A1" w:rsidRPr="003D3223" w:rsidRDefault="007E51A1" w:rsidP="007E51A1">
      <w:pPr>
        <w:pStyle w:val="1-REL11"/>
      </w:pPr>
      <w:r w:rsidRPr="003D3223">
        <w:rPr>
          <w:b/>
        </w:rPr>
        <w:t>Situação</w:t>
      </w:r>
      <w:r w:rsidRPr="003D3223">
        <w:t>:</w:t>
      </w:r>
      <w:r>
        <w:t xml:space="preserve"> </w:t>
      </w:r>
      <w:r w:rsidR="00323860" w:rsidRPr="00323860">
        <w:rPr>
          <w:b/>
        </w:rPr>
        <w:t>A</w:t>
      </w:r>
      <w:r w:rsidR="00E175C4" w:rsidRPr="00A15E74">
        <w:rPr>
          <w:b/>
        </w:rPr>
        <w:t>tendida</w:t>
      </w:r>
    </w:p>
    <w:p w14:paraId="0B261D16" w14:textId="77777777" w:rsidR="007E51A1" w:rsidRDefault="007E51A1" w:rsidP="007E51A1">
      <w:pPr>
        <w:pStyle w:val="1-REL11"/>
        <w:rPr>
          <w:highlight w:val="lightGray"/>
        </w:rPr>
      </w:pPr>
    </w:p>
    <w:p w14:paraId="503686AB" w14:textId="0EFC631F" w:rsidR="007E51A1" w:rsidRPr="00465751" w:rsidRDefault="007E51A1" w:rsidP="00736A8C">
      <w:pPr>
        <w:pStyle w:val="1-REL11"/>
        <w:numPr>
          <w:ilvl w:val="0"/>
          <w:numId w:val="56"/>
        </w:numPr>
      </w:pPr>
      <w:r w:rsidRPr="00304AE6">
        <w:rPr>
          <w:b/>
        </w:rPr>
        <w:t>Fiscalize</w:t>
      </w:r>
      <w:r w:rsidRPr="00465751">
        <w:t xml:space="preserve"> e </w:t>
      </w:r>
      <w:r w:rsidRPr="00304AE6">
        <w:rPr>
          <w:b/>
        </w:rPr>
        <w:t>valide</w:t>
      </w:r>
      <w:r w:rsidRPr="00465751">
        <w:t>, por meio da Goiasprev, com fundamento no artigo 2º, § 10º Lei Complementar Estadual nº 66, de 27 de janeiro de 2009, se os pagamentos de passivos aos inativos e pensionistas reconhecidos administrativa ou judicialmente possuem ou não natureza previdenciária, promovendo mecanismos, na classificação da despesa, capazes de segregar essa informação, se for o caso, em razão da execução de despesas com inativos e pensionistas fora do órgão previdenciário.</w:t>
      </w:r>
    </w:p>
    <w:p w14:paraId="56D9385E" w14:textId="77777777" w:rsidR="007E51A1" w:rsidRPr="0092003B" w:rsidRDefault="007E51A1" w:rsidP="007E51A1">
      <w:pPr>
        <w:pStyle w:val="1-REL11"/>
      </w:pPr>
      <w:r w:rsidRPr="0092003B">
        <w:t>Por meio da Nota Técnica nº 1/2023 – GOIASPREV/ASES – 15857 (202300047001912, evento 15, fls. 322-325), a Goiasprev informou, em síntese, que enviou ofício à ECONOMIA para identificar os pagamentos de despesas previdenciárias realizados pelos Poderes e Órgãos</w:t>
      </w:r>
      <w:r>
        <w:t xml:space="preserve"> Autônomos</w:t>
      </w:r>
      <w:r w:rsidRPr="0092003B">
        <w:t xml:space="preserve"> fora das unidades orçamentárias da Goiasprev, após a identificação dos Poderes e Órgãos</w:t>
      </w:r>
      <w:r>
        <w:t xml:space="preserve"> Autônomos</w:t>
      </w:r>
      <w:r w:rsidRPr="0092003B">
        <w:t>, fora realizada notificação por meio de ofício.</w:t>
      </w:r>
    </w:p>
    <w:p w14:paraId="66545DB7" w14:textId="77777777" w:rsidR="007E51A1" w:rsidRPr="0092003B" w:rsidRDefault="007E51A1" w:rsidP="007E51A1">
      <w:pPr>
        <w:pStyle w:val="1-REL11"/>
      </w:pPr>
      <w:r w:rsidRPr="0092003B">
        <w:t>Informou também que o teor dos ofícios expedidos são no sentido de que os pagamentos de despesas previdenciárias decorrentes de decisões judiciais e administrativas devem ser executados nas unidades orçamentárias do RPPS/GO, administradas pela Goiasprev. Nos casos em que os pagamentos dessas decisões não se referirem a despesas previdenciárias, eles devem ser executados e suportados pelo orçamento do próprio órgão ou poder.</w:t>
      </w:r>
    </w:p>
    <w:p w14:paraId="4D9C2114" w14:textId="77777777" w:rsidR="007E51A1" w:rsidRPr="0092003B" w:rsidRDefault="007E51A1" w:rsidP="007E51A1">
      <w:pPr>
        <w:pStyle w:val="1-REL11"/>
      </w:pPr>
      <w:r w:rsidRPr="0092003B">
        <w:t>Afirmou que o Poder Judiciário, Ministério Público, Agência Goiana de Infraestrutura e Transportes e Secretaria de Estado da Educação responderam aos ofícios informando a regularidade ou a adequação dos registros.</w:t>
      </w:r>
    </w:p>
    <w:p w14:paraId="79ADCFCF" w14:textId="77777777" w:rsidR="007E51A1" w:rsidRPr="0092003B" w:rsidRDefault="007E51A1" w:rsidP="007E51A1">
      <w:pPr>
        <w:pStyle w:val="1-REL11"/>
      </w:pPr>
      <w:r w:rsidRPr="0092003B">
        <w:t xml:space="preserve">Ressaltou que a Secretaria de Estado da Saúde </w:t>
      </w:r>
      <w:r>
        <w:t>(</w:t>
      </w:r>
      <w:r w:rsidRPr="0092003B">
        <w:t>SES</w:t>
      </w:r>
      <w:r>
        <w:t>)</w:t>
      </w:r>
      <w:r w:rsidRPr="0092003B">
        <w:t xml:space="preserve">, Secretaria de Estado da Segurança Pública </w:t>
      </w:r>
      <w:r>
        <w:t>(</w:t>
      </w:r>
      <w:r w:rsidRPr="0092003B">
        <w:t>SSP</w:t>
      </w:r>
      <w:r>
        <w:t>)</w:t>
      </w:r>
      <w:r w:rsidRPr="0092003B">
        <w:t xml:space="preserve">, Indústria Química do Estado de Goiás </w:t>
      </w:r>
      <w:r>
        <w:t>(</w:t>
      </w:r>
      <w:r w:rsidRPr="0092003B">
        <w:t>Iquego</w:t>
      </w:r>
      <w:r>
        <w:t>)</w:t>
      </w:r>
      <w:r w:rsidRPr="0092003B">
        <w:t xml:space="preserve">, Tribunal de Contas dos Municípios do Estado de Goiás </w:t>
      </w:r>
      <w:r>
        <w:t>(</w:t>
      </w:r>
      <w:r w:rsidRPr="0092003B">
        <w:t>TCM/GO</w:t>
      </w:r>
      <w:r>
        <w:t>)</w:t>
      </w:r>
      <w:r w:rsidRPr="0092003B">
        <w:t xml:space="preserve"> e Assembleia Legislativa não haviam se manifestado até a elaboração da nota técnica.</w:t>
      </w:r>
    </w:p>
    <w:p w14:paraId="1C0A2659" w14:textId="77777777" w:rsidR="007E51A1" w:rsidRPr="0092003B" w:rsidRDefault="007E51A1" w:rsidP="007E51A1">
      <w:pPr>
        <w:pStyle w:val="1-REL11"/>
      </w:pPr>
      <w:r w:rsidRPr="0092003B">
        <w:t>Esclareceu que a Lei Complementar nº 167, de 07 de dezembro de 2021, que dispõe sobre a adequação da unidade de gestora única do Regime Próprio de Previdência Social, está em implantação.</w:t>
      </w:r>
    </w:p>
    <w:p w14:paraId="4C6DD868" w14:textId="77777777" w:rsidR="007E51A1" w:rsidRPr="0092003B" w:rsidRDefault="007E51A1" w:rsidP="007E51A1">
      <w:pPr>
        <w:pStyle w:val="1-REL11"/>
      </w:pPr>
      <w:r w:rsidRPr="0092003B">
        <w:t xml:space="preserve">Por fim, alegou que, considerando a independência e autonomia dos Poderes e Órgãos </w:t>
      </w:r>
      <w:r>
        <w:t>Autônomos</w:t>
      </w:r>
      <w:r w:rsidRPr="0092003B">
        <w:t xml:space="preserve">, escapa da Goiasprev a fiscalização e execução de tais despesas dentro dos respectivos Poderes e Órgãos </w:t>
      </w:r>
      <w:r>
        <w:t>Autônomos</w:t>
      </w:r>
      <w:r w:rsidRPr="0092003B">
        <w:t>.</w:t>
      </w:r>
    </w:p>
    <w:p w14:paraId="2D13F0D7" w14:textId="77777777" w:rsidR="007E51A1" w:rsidRPr="0092003B" w:rsidRDefault="007E51A1" w:rsidP="007E51A1">
      <w:pPr>
        <w:pStyle w:val="1-REL11"/>
      </w:pPr>
      <w:r w:rsidRPr="0092003B">
        <w:lastRenderedPageBreak/>
        <w:t xml:space="preserve">Após análise das informações prestadas, constata-se que a Goiasprev adotou as medidas ao seu alcance para fiscalizar </w:t>
      </w:r>
      <w:r>
        <w:t xml:space="preserve">se </w:t>
      </w:r>
      <w:r w:rsidRPr="0092003B">
        <w:t>os pagamentos de passivos aos inativos e pensionistas reconhecidos administrativa ou judicialmente, possuem ou não natureza previdenciária</w:t>
      </w:r>
      <w:r>
        <w:t>.</w:t>
      </w:r>
    </w:p>
    <w:p w14:paraId="710B2086" w14:textId="092C42D5" w:rsidR="007E51A1" w:rsidRPr="00B0655C" w:rsidRDefault="007E51A1" w:rsidP="007E51A1">
      <w:pPr>
        <w:pStyle w:val="1-REL11"/>
      </w:pPr>
      <w:r w:rsidRPr="00465751">
        <w:rPr>
          <w:b/>
        </w:rPr>
        <w:t>Situação</w:t>
      </w:r>
      <w:r w:rsidRPr="00465751">
        <w:t xml:space="preserve">: </w:t>
      </w:r>
      <w:r w:rsidR="00323860" w:rsidRPr="00323860">
        <w:rPr>
          <w:b/>
        </w:rPr>
        <w:t>A</w:t>
      </w:r>
      <w:r w:rsidRPr="000160A8">
        <w:rPr>
          <w:b/>
        </w:rPr>
        <w:t>tendida</w:t>
      </w:r>
    </w:p>
    <w:p w14:paraId="52EBAC44" w14:textId="77777777" w:rsidR="007E51A1" w:rsidRDefault="007E51A1" w:rsidP="007E51A1">
      <w:pPr>
        <w:pStyle w:val="1-REL11"/>
        <w:rPr>
          <w:highlight w:val="lightGray"/>
        </w:rPr>
      </w:pPr>
    </w:p>
    <w:p w14:paraId="363C82A6" w14:textId="01DD734F" w:rsidR="007E51A1" w:rsidRPr="00B56397" w:rsidRDefault="007E51A1" w:rsidP="00736A8C">
      <w:pPr>
        <w:pStyle w:val="1-REL11"/>
        <w:numPr>
          <w:ilvl w:val="0"/>
          <w:numId w:val="56"/>
        </w:numPr>
      </w:pPr>
      <w:r w:rsidRPr="00304AE6">
        <w:rPr>
          <w:b/>
        </w:rPr>
        <w:t>Tome conhecimento</w:t>
      </w:r>
      <w:r w:rsidRPr="00B56397">
        <w:t xml:space="preserve"> das questões debatidas no Relatório de Auditoria Operacional nº 1/2023 desta Corte (processo nº 202200047003022), e proceda ao monitoramento e à fiscalização das ações desenvolvidas no âmbito do programa Ampliação do Acesso à Água Tratada e da Coleta e Tratamento e Esgoto, garantindo uma prestação de serviços conforme preconizado pelo novo marco regulatório de saneamento básico e suas metas de universalização de acesso à água tratada, coleta e tratamento de esgoto.</w:t>
      </w:r>
    </w:p>
    <w:p w14:paraId="4A6CDAE4" w14:textId="77777777" w:rsidR="007E51A1" w:rsidRPr="003B7533" w:rsidRDefault="007E51A1" w:rsidP="007E51A1">
      <w:pPr>
        <w:pStyle w:val="1-REL11"/>
      </w:pPr>
      <w:r w:rsidRPr="003B7533">
        <w:t>Conforme Nota Técnica da Secretaria de Estado de Infraestrutura (processo SEI nº 202311867001247), a Saneago está adaptando sistemas de gestão e planejamento para alinhar-se ao Novo Marco Regulatório, de acordo com as diretrizes do Plano Plurianual do Estado.</w:t>
      </w:r>
    </w:p>
    <w:p w14:paraId="4D164CB2" w14:textId="77777777" w:rsidR="007E51A1" w:rsidRDefault="007E51A1" w:rsidP="007E51A1">
      <w:pPr>
        <w:pStyle w:val="1-REL11"/>
      </w:pPr>
      <w:r w:rsidRPr="003B7533">
        <w:t xml:space="preserve">Ademais, </w:t>
      </w:r>
      <w:r>
        <w:t xml:space="preserve">informa que </w:t>
      </w:r>
      <w:r w:rsidRPr="003B7533">
        <w:t>a empresa está consolidando sua aderência aos Planos de Gestão do Prestador e Termos Aditivos dos contratos, conforme Acórdão TCE nº 1821/2023, e busca outras oportunidades de investimento, incluindo Parcerias Público-Privadas (PPPs), que permitirá a execução de investimentos significativos no setor de esgotamento sanitário, contribuindo para a universalização da coleta e tratamento de esgoto em Goiás até 2033.</w:t>
      </w:r>
    </w:p>
    <w:p w14:paraId="6B8929C5" w14:textId="77777777" w:rsidR="007E51A1" w:rsidRPr="00B56397" w:rsidRDefault="007E51A1" w:rsidP="007E51A1">
      <w:pPr>
        <w:pStyle w:val="1-REL11"/>
      </w:pPr>
      <w:r w:rsidRPr="00B56397">
        <w:t>Tal recomendação não é possível de ser monitorada por meio desta Unidade Técnica, devendo o mesmo ser efetuado no processo nº 202200047003022</w:t>
      </w:r>
      <w:r>
        <w:t xml:space="preserve"> ou derivado dele</w:t>
      </w:r>
      <w:r w:rsidRPr="00B56397">
        <w:t>, de responsabilidade da Gerência de Fiscalização do Eixo Social.</w:t>
      </w:r>
    </w:p>
    <w:p w14:paraId="081453FF" w14:textId="4DB2FC9D" w:rsidR="007E51A1" w:rsidRPr="00C77B91" w:rsidRDefault="007E51A1" w:rsidP="007E51A1">
      <w:pPr>
        <w:pStyle w:val="1-REL11"/>
      </w:pPr>
      <w:r w:rsidRPr="00B56397">
        <w:rPr>
          <w:b/>
        </w:rPr>
        <w:t>Situação</w:t>
      </w:r>
      <w:r w:rsidRPr="00B56397">
        <w:t>:</w:t>
      </w:r>
      <w:r>
        <w:t xml:space="preserve"> </w:t>
      </w:r>
      <w:r w:rsidR="00323860" w:rsidRPr="00323860">
        <w:rPr>
          <w:b/>
        </w:rPr>
        <w:t>A</w:t>
      </w:r>
      <w:r w:rsidR="00E175C4" w:rsidRPr="000160A8">
        <w:rPr>
          <w:b/>
        </w:rPr>
        <w:t>tendida</w:t>
      </w:r>
    </w:p>
    <w:p w14:paraId="0EE700A2" w14:textId="77777777" w:rsidR="007E51A1" w:rsidRPr="00601A92" w:rsidRDefault="007E51A1" w:rsidP="007E51A1">
      <w:pPr>
        <w:pStyle w:val="1-REL11"/>
        <w:rPr>
          <w:highlight w:val="lightGray"/>
        </w:rPr>
      </w:pPr>
    </w:p>
    <w:p w14:paraId="4F0FF3A8" w14:textId="716E74CE" w:rsidR="007E51A1" w:rsidRPr="0092003B" w:rsidRDefault="007E51A1" w:rsidP="00736A8C">
      <w:pPr>
        <w:pStyle w:val="1-REL11"/>
        <w:numPr>
          <w:ilvl w:val="0"/>
          <w:numId w:val="56"/>
        </w:numPr>
      </w:pPr>
      <w:r w:rsidRPr="00304AE6">
        <w:rPr>
          <w:b/>
        </w:rPr>
        <w:t>Promova</w:t>
      </w:r>
      <w:r w:rsidR="00304AE6">
        <w:t>,</w:t>
      </w:r>
      <w:r w:rsidRPr="0092003B">
        <w:t xml:space="preserve"> a partir de amplo debate, com participação dos Demais Poderes e Órgãos Autônomos, as soluções para os problemas relacionados com a performance dos sistemas eletrônicos de gestão orçamentária, financeira, patrimonial e contábil do Estado, observando, para tanto, as determinações desta Corte de Contas constantes do Acórdão nº 1094/2023, (processo nº 202200047000392), em razão das dificuldades apresentadas pelos sistemas que compõem o SIAFIC de Goiás, com destaque para o SIOFINet (Sistema de Elaboração e Execução Orçamentária e Financeira do Estado </w:t>
      </w:r>
      <w:r w:rsidRPr="0092003B">
        <w:lastRenderedPageBreak/>
        <w:t>de Goiás), de modo que sejam minimizados os riscos que ameaçam processos e procedimentos relevantes dos órgãos que integram a administração estadual.</w:t>
      </w:r>
    </w:p>
    <w:p w14:paraId="320365B3" w14:textId="77777777" w:rsidR="007E51A1" w:rsidRPr="0092003B" w:rsidRDefault="007E51A1" w:rsidP="007E51A1">
      <w:pPr>
        <w:pStyle w:val="1-REL11"/>
      </w:pPr>
      <w:r w:rsidRPr="0092003B">
        <w:t xml:space="preserve">Por meio do Parecer Técnico SGG/STI-21186 nº 1/2024 (202300047001912, evento 15, fls. 357-369), a Secretaria Geral de Governo (SGG), informou, em síntese, que a Subsecretaria do Tesouro Estadual já apontava que os sistemas informatizados que executam os processos de planejamento, execução orçamentária, financeira e contábil do </w:t>
      </w:r>
      <w:r>
        <w:t>e</w:t>
      </w:r>
      <w:r w:rsidRPr="0092003B">
        <w:t>stado de Goiás encontram-se em vários estágios do ciclo de vida, alguns já na fase final de vida útil, tanto tecnológica como conceitual.</w:t>
      </w:r>
    </w:p>
    <w:p w14:paraId="47614C8F" w14:textId="77777777" w:rsidR="007E51A1" w:rsidRPr="0092003B" w:rsidRDefault="007E51A1" w:rsidP="007E51A1">
      <w:pPr>
        <w:pStyle w:val="1-REL11"/>
      </w:pPr>
      <w:r w:rsidRPr="0092003B">
        <w:t>Ressaltou que a coexistência de diversos sistemas com diferentes níveis de maturidade tem acarretado baixo índice de integração, refletindo-se em falta de confiabilidade da informação produzida e acompanhamento deficiente das informações, dificultando o processo de gestão financeira do Estado.</w:t>
      </w:r>
    </w:p>
    <w:p w14:paraId="7AC2DD31" w14:textId="77777777" w:rsidR="007E51A1" w:rsidRPr="0092003B" w:rsidRDefault="007E51A1" w:rsidP="007E51A1">
      <w:pPr>
        <w:pStyle w:val="1-REL11"/>
      </w:pPr>
      <w:r w:rsidRPr="0092003B">
        <w:t xml:space="preserve">Informou ainda que para enfrentar essas deficiências, a SGG e a ECONOMIA criaram um Grupo Técnico de Trabalho por meio da Portaria Intersecretarial nº 003/2023 para análise e elaboração de plano de ação detalhado contendo as metas e ações que deverão ser desenvolvidas para o cumprimento das recomendações expedidas pelo </w:t>
      </w:r>
      <w:r>
        <w:t>TCE/GO</w:t>
      </w:r>
      <w:r w:rsidRPr="0092003B">
        <w:t>.</w:t>
      </w:r>
    </w:p>
    <w:p w14:paraId="20AC9970" w14:textId="77777777" w:rsidR="007E51A1" w:rsidRPr="0092003B" w:rsidRDefault="007E51A1" w:rsidP="007E51A1">
      <w:pPr>
        <w:pStyle w:val="1-REL11"/>
      </w:pPr>
      <w:r w:rsidRPr="0092003B">
        <w:t>Asseverou que antes de estabelecer o plano de ação, é necessário compreender a origem multifatorial dos problemas apontados pelo TCE</w:t>
      </w:r>
      <w:r>
        <w:t>/GO</w:t>
      </w:r>
      <w:r w:rsidRPr="0092003B">
        <w:t>, que podem ser de caráter processual, gerencial ou tecnológico. Entre os fatores críticos, destacou que os sistemas foram desenvolvidos isoladamente e com poucas interfaces de integração, o que compromete a qualidade da informação. Além disso, a sobrecarga dos usuários de negócio, responsáveis tanto pela gestão do negócio quanto pela evolução dos sistemas, resulta em atrasos e especificações deficientes.</w:t>
      </w:r>
    </w:p>
    <w:p w14:paraId="18872240" w14:textId="77777777" w:rsidR="007E51A1" w:rsidRPr="0092003B" w:rsidRDefault="007E51A1" w:rsidP="00323860">
      <w:pPr>
        <w:pStyle w:val="1-REL11"/>
        <w:spacing w:after="0" w:line="240" w:lineRule="auto"/>
      </w:pPr>
      <w:r w:rsidRPr="0092003B">
        <w:t>Sustentou que o plano de ação, baseado no diagnóstico, está organizado em ações estruturantes, evolutivas e imediatas, e inclui atividades como a contratação de consultoria externa, a modernização dos sistemas corporativos, a melhoria do atendimento às demandas do Siofi</w:t>
      </w:r>
      <w:r>
        <w:t>-Net</w:t>
      </w:r>
      <w:r w:rsidRPr="0092003B">
        <w:t xml:space="preserve"> e a diminuição do consumo de recursos de infraestrutura.</w:t>
      </w:r>
    </w:p>
    <w:p w14:paraId="1339AC72" w14:textId="77777777" w:rsidR="007E51A1" w:rsidRPr="0092003B" w:rsidRDefault="007E51A1" w:rsidP="00323860">
      <w:pPr>
        <w:pStyle w:val="1-REL11"/>
        <w:spacing w:after="0"/>
      </w:pPr>
      <w:r w:rsidRPr="0092003B">
        <w:t>Finalizou destacando a importância da infraestrutura de TI, que historicamente sofreu com limitações orçamentárias, e enfatizou a experiência bem-sucedida na implementação da Nova Contabilidade Pública no Estado de Goiás.</w:t>
      </w:r>
    </w:p>
    <w:p w14:paraId="269957EC" w14:textId="77777777" w:rsidR="007E51A1" w:rsidRPr="0092003B" w:rsidRDefault="007E51A1" w:rsidP="00323860">
      <w:pPr>
        <w:pStyle w:val="1-REL11"/>
        <w:spacing w:after="0" w:line="240" w:lineRule="auto"/>
        <w:rPr>
          <w:highlight w:val="yellow"/>
        </w:rPr>
      </w:pPr>
      <w:r w:rsidRPr="0092003B">
        <w:t xml:space="preserve">Analisando as informações prestadas, verifica-se que foi criado grupo de trabalho com representantes da SGG e ECONOMIA, embora sem a participação de outros Poderes ou Órgãos Autônomos, o Governo do </w:t>
      </w:r>
      <w:r>
        <w:t>e</w:t>
      </w:r>
      <w:r w:rsidRPr="0092003B">
        <w:t>stado de Goiás iniciou estudos com objetivo de obter soluções para os problemas de performance dos sistemas eletrônicos de gestão orçamentária, financeira, patrimonial e contábil do Estado.</w:t>
      </w:r>
    </w:p>
    <w:p w14:paraId="63CECFA6" w14:textId="16BD52B7" w:rsidR="007E51A1" w:rsidRPr="007D7797" w:rsidRDefault="007E51A1" w:rsidP="007E51A1">
      <w:pPr>
        <w:pStyle w:val="1-REL11"/>
      </w:pPr>
      <w:r w:rsidRPr="00372263">
        <w:rPr>
          <w:b/>
        </w:rPr>
        <w:t>Situação</w:t>
      </w:r>
      <w:r w:rsidRPr="00372263">
        <w:t xml:space="preserve">: </w:t>
      </w:r>
      <w:r w:rsidRPr="00372263">
        <w:rPr>
          <w:b/>
        </w:rPr>
        <w:t>Atendida</w:t>
      </w:r>
    </w:p>
    <w:p w14:paraId="12A1478F" w14:textId="25B5A132" w:rsidR="007E51A1" w:rsidRDefault="007E51A1" w:rsidP="00736A8C">
      <w:pPr>
        <w:pStyle w:val="1-REL11"/>
        <w:numPr>
          <w:ilvl w:val="0"/>
          <w:numId w:val="56"/>
        </w:numPr>
      </w:pPr>
      <w:r w:rsidRPr="00304AE6">
        <w:rPr>
          <w:b/>
        </w:rPr>
        <w:lastRenderedPageBreak/>
        <w:t>Divulgue</w:t>
      </w:r>
      <w:r w:rsidRPr="006E7FB8">
        <w:t>, em tempo real, no sítio eletrônico do RRF, o estágio de execução das</w:t>
      </w:r>
      <w:r>
        <w:t xml:space="preserve"> alienações de imóveis projetadas pelo Plano de Recuperação Fiscal</w:t>
      </w:r>
      <w:r w:rsidRPr="006E7FB8">
        <w:t>.</w:t>
      </w:r>
    </w:p>
    <w:p w14:paraId="5042F890" w14:textId="77777777" w:rsidR="007E51A1" w:rsidRPr="00313B00" w:rsidRDefault="007E51A1" w:rsidP="007E51A1">
      <w:pPr>
        <w:pStyle w:val="1-REL11"/>
      </w:pPr>
      <w:r>
        <w:t>A ECONOMIA possui portal (</w:t>
      </w:r>
      <w:r w:rsidRPr="00425566">
        <w:t>https://goias.gov.br/economia/rrf/</w:t>
      </w:r>
      <w:r>
        <w:t xml:space="preserve">) </w:t>
      </w:r>
      <w:r>
        <w:rPr>
          <w:rStyle w:val="Hyperlink"/>
          <w:color w:val="auto"/>
          <w:u w:val="none"/>
        </w:rPr>
        <w:t xml:space="preserve">no qual dá </w:t>
      </w:r>
      <w:r>
        <w:t>publicidade aos atos relacionados aos desdobramentos do Regime de Recuperação Fiscal (RRF), onde disponibiliza o acompanhamento das alienações de imóveis previstas no Plano de Recuperação Fiscal (PRF) por meio da opção Planilha de Alienações.</w:t>
      </w:r>
    </w:p>
    <w:p w14:paraId="34468E52" w14:textId="77777777" w:rsidR="007E51A1" w:rsidRDefault="007E51A1" w:rsidP="007E51A1">
      <w:pPr>
        <w:pStyle w:val="1-REL11"/>
      </w:pPr>
      <w:r>
        <w:t xml:space="preserve">Registra-se que, por meio da Nota Técnica nº 3/2023 – SEAD/SUPATI </w:t>
      </w:r>
      <w:r w:rsidRPr="00590AC3">
        <w:t>(</w:t>
      </w:r>
      <w:r>
        <w:t>p</w:t>
      </w:r>
      <w:r w:rsidRPr="00590AC3">
        <w:t>rocesso nº 202300047001912, evento 11, fl. 357),</w:t>
      </w:r>
      <w:r>
        <w:t xml:space="preserve"> a Superintendência Central de Patrimônio Imobiliário (SUPATI) ponderou sobre a complexidade do levantamento das informações e dos diversos fatores que envolvem as alienações de imóveis públicos e sugeriu que a divulgação em tempo real desses dados fosse substituída pelo acompanhamento mensal, alternativa que esta Unidade Técnica entende ser razoável.</w:t>
      </w:r>
    </w:p>
    <w:p w14:paraId="11CEA9BF" w14:textId="6BA7F091" w:rsidR="007E51A1" w:rsidRPr="006E7FB8" w:rsidRDefault="007E51A1" w:rsidP="007E51A1">
      <w:pPr>
        <w:pStyle w:val="1-REL11"/>
      </w:pPr>
      <w:r w:rsidRPr="006E7FB8">
        <w:rPr>
          <w:b/>
        </w:rPr>
        <w:t>Situação</w:t>
      </w:r>
      <w:r w:rsidRPr="006E7FB8">
        <w:t xml:space="preserve">: </w:t>
      </w:r>
      <w:r w:rsidR="00323860" w:rsidRPr="00323860">
        <w:rPr>
          <w:b/>
        </w:rPr>
        <w:t>A</w:t>
      </w:r>
      <w:r w:rsidR="00E175C4" w:rsidRPr="004C5F4A">
        <w:rPr>
          <w:b/>
        </w:rPr>
        <w:t>tendida</w:t>
      </w:r>
    </w:p>
    <w:p w14:paraId="4052C294" w14:textId="77777777" w:rsidR="007E51A1" w:rsidRPr="00601A92" w:rsidRDefault="007E51A1" w:rsidP="007E51A1">
      <w:pPr>
        <w:pStyle w:val="1-REL11"/>
        <w:rPr>
          <w:highlight w:val="lightGray"/>
        </w:rPr>
      </w:pPr>
    </w:p>
    <w:p w14:paraId="41FF7877" w14:textId="7DF3F2F2" w:rsidR="007E51A1" w:rsidRDefault="007E51A1" w:rsidP="00736A8C">
      <w:pPr>
        <w:pStyle w:val="1-REL11"/>
        <w:numPr>
          <w:ilvl w:val="0"/>
          <w:numId w:val="56"/>
        </w:numPr>
      </w:pPr>
      <w:r w:rsidRPr="00304AE6">
        <w:rPr>
          <w:b/>
        </w:rPr>
        <w:t>Promova</w:t>
      </w:r>
      <w:r w:rsidRPr="00B1641F">
        <w:t xml:space="preserve"> melhoria contínua no Portal Eletrônico do RRF, por meio da divulgação em</w:t>
      </w:r>
      <w:r>
        <w:t xml:space="preserve"> painéis específicos de: (i) informações atualizadas sobre os indicadores relacionados à Capacidade de Pagamento - CAPAG do Estado; (ii) movimentação do saldo de ressalva dos Poderes e Órgãos; (iii) evolução do teto de gastos; (iv) evolução da execução do contrato de refinanciamento da dívida</w:t>
      </w:r>
      <w:r w:rsidRPr="00B1641F">
        <w:t>.</w:t>
      </w:r>
    </w:p>
    <w:p w14:paraId="00BD38C3" w14:textId="77777777" w:rsidR="007E51A1" w:rsidRDefault="007E51A1" w:rsidP="007E51A1">
      <w:pPr>
        <w:pStyle w:val="1-REL11"/>
      </w:pPr>
      <w:r>
        <w:t xml:space="preserve">A Assessoria Especial de Monitoramento Fiscal e Planejamento Financeiro (AEMFPF), junto à ECONOMIA, emitiu a Nota Técnica nº 2/2024 – ECONOMIA/AEMFPF-20177 (processo nº </w:t>
      </w:r>
      <w:r w:rsidRPr="00590AC3">
        <w:t>202300047001912, evento 11</w:t>
      </w:r>
      <w:r>
        <w:t>, fls. 356 a 359) na qual encaminha informações a respeito da recomendação em análise.</w:t>
      </w:r>
    </w:p>
    <w:p w14:paraId="763747E9" w14:textId="77777777" w:rsidR="007E51A1" w:rsidRDefault="007E51A1" w:rsidP="007E51A1">
      <w:pPr>
        <w:pStyle w:val="1-REL11"/>
      </w:pPr>
      <w:r>
        <w:t>Em relação ao item (i), informa que a Secretaria do Tesouro Nacional (STN) determinou que os estados que optaram por aderir ao RRF tivessem suas notas de Capacidade de Pagamento (Capag) rebaixadas para nota C, nos termos do art. 6º da Portaria ME nº 5.623/2022 e art. 31 da Portaria STN nº 10.464/2022. Desta forma, o Estado vem divulgando no portal do RRF (</w:t>
      </w:r>
      <w:r w:rsidRPr="00425566">
        <w:t>https://goias.gov.br/economia/rrf/</w:t>
      </w:r>
      <w:r>
        <w:t>), opção Painéis de Acompanhamento/Painel Capag, os mesmos dados oficiais disponibilizados no site do Tesouro Nacional.</w:t>
      </w:r>
    </w:p>
    <w:p w14:paraId="41CEA2E4" w14:textId="77777777" w:rsidR="007E51A1" w:rsidRDefault="007E51A1" w:rsidP="007E51A1">
      <w:pPr>
        <w:pStyle w:val="1-REL11"/>
      </w:pPr>
      <w:r>
        <w:t>Quanto ao item (ii), a AEMFPF destaca que o acompanhamento do saldo de ressalvas é gerido mediante computo de duas metodologias diferentes. A primeira, realizada pelo Conselho de Supervisão do Regime de Recuperação Fiscal (CSRRF), ligado à STN, refere-se ao saldo em que já foi deliberada toda a documentação e impactos financeiros que por ventura violem o art. 8º da Lei Complementar nº 159, de 19 de maio de 2017, ou seja, é a etapa final do processo.</w:t>
      </w:r>
    </w:p>
    <w:p w14:paraId="2F4BE3C3" w14:textId="77777777" w:rsidR="007E51A1" w:rsidRDefault="007E51A1" w:rsidP="007E51A1">
      <w:pPr>
        <w:pStyle w:val="1-REL11"/>
      </w:pPr>
      <w:r>
        <w:lastRenderedPageBreak/>
        <w:t>Já a segunda é realizada pela AEMFPF e é ato anterior às análises realizadas pelo CSRRF, ou seja, trata-se de um processo de controle prévio das ressalvas para monitoramento do saldo consolidado do Estado, que é levado em consideração para fins de deliberação do CSRRF. Desta forma, a AEMFPF entende que a divulgação pública do saldo de reserva de cada Poder e Órgão Autônomo poderia ocasionar um incentivo à execução de despesas, face ao receio da utilização do saldo de reserva pelos demais Poderes e Órgãos Autônomos.</w:t>
      </w:r>
    </w:p>
    <w:p w14:paraId="0D6D8F01" w14:textId="77777777" w:rsidR="007E51A1" w:rsidRDefault="007E51A1" w:rsidP="007E51A1">
      <w:pPr>
        <w:pStyle w:val="1-REL11"/>
      </w:pPr>
      <w:r>
        <w:t>Assim, sugeriu-se que os referidos saldos não fossem apresentados publicamente no portal do RRF, mas que cada um dos Poderes e Órgãos Autônomos tenha acesso mediante link privativo e que os saldos de todos sejam disponibilizados apenas ao TCE/GO.</w:t>
      </w:r>
    </w:p>
    <w:p w14:paraId="3F13C0B3" w14:textId="77777777" w:rsidR="007E51A1" w:rsidRDefault="007E51A1" w:rsidP="007E51A1">
      <w:pPr>
        <w:pStyle w:val="1-REL11"/>
      </w:pPr>
      <w:r>
        <w:t>Esta Unidade Técnica entende que as justificativas apresentadas pela AEMFPF são razoáveis e estão de acordo com sua proposição. Em tempo, registra-se que foi efetuado contato com os responsáveis pela AEMFPF e que o link com as informações de todos os Poderes e Órgãos Autônomos foi disponibilizado à equipe técnica da Gerência de Fiscalização de Contas.</w:t>
      </w:r>
    </w:p>
    <w:p w14:paraId="73D47ABA" w14:textId="77777777" w:rsidR="007E51A1" w:rsidRDefault="007E51A1" w:rsidP="007E51A1">
      <w:pPr>
        <w:pStyle w:val="1-REL11"/>
      </w:pPr>
      <w:r>
        <w:t xml:space="preserve">O item </w:t>
      </w:r>
      <w:r w:rsidRPr="001B0E80">
        <w:t xml:space="preserve">(iii) </w:t>
      </w:r>
      <w:r>
        <w:t>da recomendação tem situação semelhante à tratada no item anterior, ou seja, existe a preocupação com a publicação individualizada dos dados. Assim, está sendo divulgado no portal do RRF apenas a informação consolidada formalmente encaminhada e aprovada pela STN, e os dados atualizados e individualizados estão sendo publicados em link privativo.</w:t>
      </w:r>
    </w:p>
    <w:p w14:paraId="39751A65" w14:textId="77777777" w:rsidR="007E51A1" w:rsidRPr="00601A92" w:rsidRDefault="007E51A1" w:rsidP="007E51A1">
      <w:pPr>
        <w:pStyle w:val="1-REL11"/>
        <w:rPr>
          <w:highlight w:val="lightGray"/>
        </w:rPr>
      </w:pPr>
      <w:r>
        <w:t>E em relação ao item (iv), que trata da evolução da execução do contrato de refinanciamento da dívida, sua informação está sendo publicada no portal do RRF, na opção Painéis de Acompanhamento/Contrato nº 255/2021/CAF.</w:t>
      </w:r>
    </w:p>
    <w:p w14:paraId="5C827306" w14:textId="6FAB2B9C" w:rsidR="007E51A1" w:rsidRDefault="007E51A1" w:rsidP="007E51A1">
      <w:pPr>
        <w:pStyle w:val="1-REL11"/>
      </w:pPr>
      <w:r w:rsidRPr="003F1C2A">
        <w:rPr>
          <w:b/>
        </w:rPr>
        <w:t>Situação</w:t>
      </w:r>
      <w:r w:rsidRPr="003F1C2A">
        <w:t xml:space="preserve">: </w:t>
      </w:r>
      <w:r w:rsidR="00323860" w:rsidRPr="00323860">
        <w:rPr>
          <w:b/>
        </w:rPr>
        <w:t>A</w:t>
      </w:r>
      <w:r w:rsidR="00304AE6" w:rsidRPr="005430E1">
        <w:rPr>
          <w:b/>
        </w:rPr>
        <w:t>tendida</w:t>
      </w:r>
    </w:p>
    <w:p w14:paraId="1383A152" w14:textId="77777777" w:rsidR="007E51A1" w:rsidRDefault="007E51A1" w:rsidP="007E51A1">
      <w:pPr>
        <w:pStyle w:val="1-REL11"/>
      </w:pPr>
    </w:p>
    <w:p w14:paraId="3BD08F18" w14:textId="2A12D962" w:rsidR="007E51A1" w:rsidRDefault="007E51A1" w:rsidP="00736A8C">
      <w:pPr>
        <w:pStyle w:val="1-REL11"/>
        <w:numPr>
          <w:ilvl w:val="0"/>
          <w:numId w:val="56"/>
        </w:numPr>
      </w:pPr>
      <w:r>
        <w:t>Viabilize a contabilização das renúncias e a sistemática automatização dos cálculos, para conferir fidedignidade e transparência às informações relativas à renúncia de receitas no estado</w:t>
      </w:r>
      <w:r w:rsidRPr="00B1641F">
        <w:t>.</w:t>
      </w:r>
    </w:p>
    <w:p w14:paraId="4B0E706C" w14:textId="77777777" w:rsidR="007E51A1" w:rsidRDefault="007E51A1" w:rsidP="007E51A1">
      <w:pPr>
        <w:pStyle w:val="1-REL11"/>
      </w:pPr>
      <w:r>
        <w:t xml:space="preserve">Conforme analisado em item </w:t>
      </w:r>
      <w:r w:rsidRPr="00C10A77">
        <w:t>específico deste Relatório, em</w:t>
      </w:r>
      <w:r w:rsidRPr="00E033E8">
        <w:t xml:space="preserve"> que pese a evolução das informações e registros inerentes </w:t>
      </w:r>
      <w:r>
        <w:t>aos benefícios fiscais apurados nos últimos anos</w:t>
      </w:r>
      <w:r w:rsidRPr="00E033E8">
        <w:t>, melhorias ainda precisam ser implementadas para a adequada</w:t>
      </w:r>
      <w:r>
        <w:t xml:space="preserve"> evidenciação e registro da renúncia de receita estadual. Ainda existe divergência entre os valores oficialmente publicados e os registrados contabilmente, principalmente em virtude de problemática referente às informações encaminhadas pelo contribuinte através da Escrituração Fiscal Digital (EFD), que prejudicam a contabilização do montante renunciado ainda no próprio exercício</w:t>
      </w:r>
      <w:r w:rsidRPr="00477290">
        <w:t>.</w:t>
      </w:r>
    </w:p>
    <w:p w14:paraId="03FBBDDF" w14:textId="77777777" w:rsidR="007E51A1" w:rsidRDefault="007E51A1" w:rsidP="007E51A1">
      <w:pPr>
        <w:pStyle w:val="1-REL11"/>
      </w:pPr>
      <w:r>
        <w:t xml:space="preserve">Apurou-se também que não estão sendo completamente observadas as instruções previstas </w:t>
      </w:r>
      <w:r w:rsidRPr="00477290">
        <w:t xml:space="preserve">no </w:t>
      </w:r>
      <w:r>
        <w:t>Manual de Contabilidade Aplicada ao Setor Público (</w:t>
      </w:r>
      <w:r w:rsidRPr="00477290">
        <w:t>MCAS</w:t>
      </w:r>
      <w:r>
        <w:t xml:space="preserve">P), pois </w:t>
      </w:r>
      <w:r w:rsidRPr="00854AD2">
        <w:t xml:space="preserve">não foram encontrados </w:t>
      </w:r>
      <w:r w:rsidRPr="00854AD2">
        <w:lastRenderedPageBreak/>
        <w:t>registros da renúncia de receita em contas contábeis de natureza orçamentária e patrimonial</w:t>
      </w:r>
      <w:r>
        <w:t>, apenas em natureza de controle, e os benefícios fiscais apurados e registrados ainda não contemplam todas as exigências da IPC 16 – Benefícios Fiscais, estando adstritos apenas às renúncias de natureza tributária, ou seja, ainda não existem registros referentes aos benefícios fiscais de natureza financeira e creditícia.</w:t>
      </w:r>
    </w:p>
    <w:p w14:paraId="6BAFD74C" w14:textId="77777777" w:rsidR="007E51A1" w:rsidRDefault="007E51A1" w:rsidP="007E51A1">
      <w:pPr>
        <w:pStyle w:val="1-REL11"/>
      </w:pPr>
      <w:r>
        <w:t>Assim, entende-se que não houve evolução do cenário apresentado na Prestação de Contas Anual do Governador referente ao exercício de 2022.</w:t>
      </w:r>
    </w:p>
    <w:p w14:paraId="53E35CCB" w14:textId="4D8C76DF" w:rsidR="007E51A1" w:rsidRDefault="007E51A1" w:rsidP="007E51A1">
      <w:pPr>
        <w:pStyle w:val="1-REL11"/>
      </w:pPr>
      <w:r w:rsidRPr="003F1C2A">
        <w:rPr>
          <w:b/>
        </w:rPr>
        <w:t>Situação</w:t>
      </w:r>
      <w:r w:rsidRPr="003F1C2A">
        <w:t xml:space="preserve">: </w:t>
      </w:r>
      <w:r w:rsidR="00323860">
        <w:rPr>
          <w:b/>
        </w:rPr>
        <w:t>N</w:t>
      </w:r>
      <w:r w:rsidR="00304AE6" w:rsidRPr="00042DE8">
        <w:rPr>
          <w:b/>
        </w:rPr>
        <w:t xml:space="preserve">ão </w:t>
      </w:r>
      <w:r>
        <w:rPr>
          <w:b/>
        </w:rPr>
        <w:t>a</w:t>
      </w:r>
      <w:r w:rsidRPr="00042DE8">
        <w:rPr>
          <w:b/>
        </w:rPr>
        <w:t>tendida</w:t>
      </w:r>
    </w:p>
    <w:p w14:paraId="4465C3B2" w14:textId="77777777" w:rsidR="007E51A1" w:rsidRPr="003F1C2A" w:rsidRDefault="007E51A1" w:rsidP="007E51A1">
      <w:pPr>
        <w:pStyle w:val="1-REL11"/>
      </w:pPr>
    </w:p>
    <w:p w14:paraId="0F116380" w14:textId="77777777" w:rsidR="007E51A1" w:rsidRPr="008B5D7F" w:rsidRDefault="007E51A1" w:rsidP="00F21627">
      <w:pPr>
        <w:pStyle w:val="2-ITEM"/>
        <w:numPr>
          <w:ilvl w:val="0"/>
          <w:numId w:val="0"/>
        </w:numPr>
        <w:tabs>
          <w:tab w:val="clear" w:pos="2835"/>
          <w:tab w:val="left" w:pos="284"/>
        </w:tabs>
        <w:outlineLvl w:val="3"/>
        <w:rPr>
          <w:b/>
          <w:u w:val="single"/>
        </w:rPr>
      </w:pPr>
      <w:r w:rsidRPr="008B5D7F">
        <w:rPr>
          <w:b/>
          <w:u w:val="single"/>
        </w:rPr>
        <w:t>Recomendações aos Poderes e Órgãos Autônomos</w:t>
      </w:r>
      <w:r>
        <w:rPr>
          <w:b/>
          <w:u w:val="single"/>
        </w:rPr>
        <w:t>:</w:t>
      </w:r>
    </w:p>
    <w:p w14:paraId="2922E531" w14:textId="0DF969AC" w:rsidR="007E51A1" w:rsidRDefault="007E51A1" w:rsidP="00736A8C">
      <w:pPr>
        <w:pStyle w:val="1-REL11"/>
        <w:numPr>
          <w:ilvl w:val="0"/>
          <w:numId w:val="56"/>
        </w:numPr>
      </w:pPr>
      <w:r w:rsidRPr="003F4779">
        <w:t>Adotem providências para equalizar a existência de fontes de recursos com saldo negativo, divulgando em notas explicativas os saldos negativos das fontes que não foram regularizadas e suas razões.</w:t>
      </w:r>
    </w:p>
    <w:p w14:paraId="3ABF4B6A" w14:textId="77777777" w:rsidR="007E51A1" w:rsidRPr="00BA78B9" w:rsidRDefault="007E51A1" w:rsidP="007E51A1">
      <w:pPr>
        <w:pStyle w:val="1-REL11"/>
      </w:pPr>
      <w:r w:rsidRPr="00BA78B9">
        <w:t>Embora os maiores valores de fontes negativas estejam no Poder Executivo, cabe à todos os Poderes e Órgãos Autônomos promover</w:t>
      </w:r>
      <w:r>
        <w:t>em</w:t>
      </w:r>
      <w:r w:rsidRPr="00BA78B9">
        <w:t xml:space="preserve"> a conformidade contábil de todos os atos e fatos da gestão orçamentária, financeira e patrimonial.</w:t>
      </w:r>
    </w:p>
    <w:p w14:paraId="57BCE757" w14:textId="77777777" w:rsidR="007E51A1" w:rsidRPr="00BA78B9" w:rsidRDefault="007E51A1" w:rsidP="007E51A1">
      <w:pPr>
        <w:pStyle w:val="1-REL11"/>
      </w:pPr>
      <w:r w:rsidRPr="00BA78B9">
        <w:t xml:space="preserve">Apesar de ter sido objeto de apontamento no Relatório sobre a Prestação de Contas do Governador </w:t>
      </w:r>
      <w:r>
        <w:t>do exercício de</w:t>
      </w:r>
      <w:r w:rsidRPr="00BA78B9">
        <w:t xml:space="preserve"> 2022 (pág. 124/125), o saldo insuficiente encontrado sob gestão do </w:t>
      </w:r>
      <w:r>
        <w:t>TJ/GO</w:t>
      </w:r>
      <w:r w:rsidRPr="00BA78B9">
        <w:t xml:space="preserve"> permaneceu inalterado.</w:t>
      </w:r>
    </w:p>
    <w:p w14:paraId="0503D98A" w14:textId="77777777" w:rsidR="007E51A1" w:rsidRPr="00BA78B9" w:rsidRDefault="007E51A1" w:rsidP="007E51A1">
      <w:pPr>
        <w:pStyle w:val="1-REL11"/>
      </w:pPr>
      <w:r w:rsidRPr="00BA78B9">
        <w:t>Assim, entende-se que não houve evolução do cenário apresentado na Prestação de Contas Anual do Governador referente ao exercício de 2022</w:t>
      </w:r>
      <w:r>
        <w:t xml:space="preserve"> e tal recomendação passará a ser monitorada pela Serviço de Fiscalização de Contas de Gestores, no âmbito da Prestação de Contas Anual do TJ/GO.</w:t>
      </w:r>
    </w:p>
    <w:p w14:paraId="7FBD29F1" w14:textId="542CDCF7" w:rsidR="007E51A1" w:rsidRPr="00BB7F40" w:rsidRDefault="007E51A1" w:rsidP="007E51A1">
      <w:pPr>
        <w:pStyle w:val="1-REL11"/>
      </w:pPr>
      <w:r w:rsidRPr="00BA78B9">
        <w:rPr>
          <w:b/>
        </w:rPr>
        <w:t>Situação</w:t>
      </w:r>
      <w:r w:rsidRPr="00BA78B9">
        <w:t>:</w:t>
      </w:r>
      <w:r w:rsidR="00323860">
        <w:t xml:space="preserve"> </w:t>
      </w:r>
      <w:r w:rsidR="00323860" w:rsidRPr="00323860">
        <w:rPr>
          <w:b/>
        </w:rPr>
        <w:t>N</w:t>
      </w:r>
      <w:r w:rsidR="00304AE6" w:rsidRPr="001D2659">
        <w:rPr>
          <w:b/>
        </w:rPr>
        <w:t>ã</w:t>
      </w:r>
      <w:r w:rsidR="00304AE6" w:rsidRPr="00BA78B9">
        <w:rPr>
          <w:b/>
        </w:rPr>
        <w:t xml:space="preserve">o </w:t>
      </w:r>
      <w:r w:rsidRPr="00BA78B9">
        <w:rPr>
          <w:b/>
        </w:rPr>
        <w:t>atendida</w:t>
      </w:r>
    </w:p>
    <w:p w14:paraId="16FF0634" w14:textId="77777777" w:rsidR="007E51A1" w:rsidRPr="00601A92" w:rsidRDefault="007E51A1" w:rsidP="007E51A1">
      <w:pPr>
        <w:pStyle w:val="1-REL11"/>
        <w:rPr>
          <w:highlight w:val="lightGray"/>
        </w:rPr>
      </w:pPr>
    </w:p>
    <w:p w14:paraId="509DB1E9" w14:textId="249A9B62" w:rsidR="007E51A1" w:rsidRPr="00180EF4" w:rsidRDefault="007E51A1" w:rsidP="00736A8C">
      <w:pPr>
        <w:pStyle w:val="1-REL11"/>
        <w:numPr>
          <w:ilvl w:val="0"/>
          <w:numId w:val="56"/>
        </w:numPr>
      </w:pPr>
      <w:r w:rsidRPr="00304AE6">
        <w:rPr>
          <w:b/>
        </w:rPr>
        <w:t>Realizem</w:t>
      </w:r>
      <w:r w:rsidRPr="00180EF4">
        <w:t xml:space="preserve"> os estudos e desenvolvam ações necessárias para criar, atualizar e/ou aperfeiçoar a base de dados cadastrais, em razão de os cálculos das projeções atuariais e respectivas Provisões Matemáticas Previdenciárias estarem sendo baseadas apenas nos bancos de dados dos segurados civis ativos, inativos e pensionistas do Poder Executivo e da Defensoria Pública.</w:t>
      </w:r>
    </w:p>
    <w:p w14:paraId="4CBF1A40" w14:textId="77777777" w:rsidR="007E51A1" w:rsidRPr="00112F2C" w:rsidRDefault="007E51A1" w:rsidP="007E51A1">
      <w:pPr>
        <w:pStyle w:val="1-REL11"/>
        <w:rPr>
          <w:highlight w:val="yellow"/>
        </w:rPr>
      </w:pPr>
      <w:r>
        <w:t>O</w:t>
      </w:r>
      <w:r w:rsidRPr="003F0769">
        <w:t>s pareceres atuariais publicados em fevereiro de 2024</w:t>
      </w:r>
      <w:r>
        <w:t xml:space="preserve"> r</w:t>
      </w:r>
      <w:r w:rsidRPr="003F0769">
        <w:t>eforça</w:t>
      </w:r>
      <w:r>
        <w:t>ram</w:t>
      </w:r>
      <w:r w:rsidRPr="003F0769">
        <w:t xml:space="preserve"> a urgência na tomada de medidas que permitam a completude dos dados cadastrais, no mínimo dos moldes solicitados </w:t>
      </w:r>
      <w:r w:rsidRPr="003F0769">
        <w:lastRenderedPageBreak/>
        <w:t>pelo M</w:t>
      </w:r>
      <w:r>
        <w:t xml:space="preserve">inistério de </w:t>
      </w:r>
      <w:r w:rsidRPr="003F0769">
        <w:t>P</w:t>
      </w:r>
      <w:r>
        <w:t xml:space="preserve">revidência </w:t>
      </w:r>
      <w:r w:rsidRPr="003F0769">
        <w:t>S</w:t>
      </w:r>
      <w:r>
        <w:t>ocial</w:t>
      </w:r>
      <w:r w:rsidRPr="003F0769">
        <w:t>, a fim de trazer precisão nos resultados no que diz respeito as estimativas da Alego, TCE/GO, TCM/GO, MP/GO e TJ/GO. Há um elevado impacto nos resultados financeiros realizados decorrentes desses Poderes e Órgãos Autônomos, o que implica no desajuste dos fluxos atuariais em função do desconhecimento desses dados cadastrais</w:t>
      </w:r>
      <w:r>
        <w:t>.</w:t>
      </w:r>
    </w:p>
    <w:p w14:paraId="5A5EE496" w14:textId="35F173A1" w:rsidR="007E51A1" w:rsidRPr="00664E6E" w:rsidRDefault="007E51A1" w:rsidP="007E51A1">
      <w:pPr>
        <w:pStyle w:val="1-REL11"/>
      </w:pPr>
      <w:r w:rsidRPr="001D2659">
        <w:rPr>
          <w:b/>
        </w:rPr>
        <w:t>Situação</w:t>
      </w:r>
      <w:r w:rsidRPr="001D2659">
        <w:t xml:space="preserve">: </w:t>
      </w:r>
      <w:r w:rsidRPr="001D2659">
        <w:rPr>
          <w:b/>
        </w:rPr>
        <w:t>Não atendida</w:t>
      </w:r>
    </w:p>
    <w:p w14:paraId="05743872" w14:textId="77777777" w:rsidR="007E51A1" w:rsidRPr="00601A92" w:rsidRDefault="007E51A1" w:rsidP="007E51A1">
      <w:pPr>
        <w:pStyle w:val="1-REL11"/>
        <w:rPr>
          <w:highlight w:val="lightGray"/>
        </w:rPr>
      </w:pPr>
    </w:p>
    <w:p w14:paraId="56A61ABF" w14:textId="0F73D2A3" w:rsidR="007E51A1" w:rsidRPr="0092003B" w:rsidRDefault="007E51A1" w:rsidP="00736A8C">
      <w:pPr>
        <w:pStyle w:val="1-REL11"/>
        <w:numPr>
          <w:ilvl w:val="0"/>
          <w:numId w:val="56"/>
        </w:numPr>
      </w:pPr>
      <w:r w:rsidRPr="00304AE6">
        <w:rPr>
          <w:b/>
        </w:rPr>
        <w:t>Regulamentem</w:t>
      </w:r>
      <w:r w:rsidRPr="0092003B">
        <w:t xml:space="preserve"> a Ordem Cronológica de Pagamentos no âmbito de suas atuações ou adotar formalmente o Decreto Estadual nº 9.561/2019, em razão do não cumprimento da recomendação expedida na análise das contas referentes ao exercício de 2021.</w:t>
      </w:r>
    </w:p>
    <w:p w14:paraId="3D5CE71B" w14:textId="77777777" w:rsidR="007E51A1" w:rsidRDefault="007E51A1" w:rsidP="007E51A1">
      <w:pPr>
        <w:pStyle w:val="1-REL11"/>
      </w:pPr>
      <w:r>
        <w:t>Por tratar-se de recomendação expedida aos demais Poderes e Órgãos Autônomos estaduais, seu monitoramento será realizado na respectiva Prestação de Contas Anual dos Gestores referente ao exercício de 2023.</w:t>
      </w:r>
    </w:p>
    <w:p w14:paraId="301AC8DB" w14:textId="0835E6E3" w:rsidR="007E51A1" w:rsidRDefault="007E51A1" w:rsidP="007E51A1">
      <w:pPr>
        <w:pStyle w:val="1-REL11"/>
      </w:pPr>
      <w:r>
        <w:rPr>
          <w:b/>
        </w:rPr>
        <w:t>Situação</w:t>
      </w:r>
      <w:r>
        <w:t xml:space="preserve">: </w:t>
      </w:r>
      <w:r w:rsidR="00323860" w:rsidRPr="00323860">
        <w:rPr>
          <w:b/>
        </w:rPr>
        <w:t>E</w:t>
      </w:r>
      <w:r w:rsidR="00304AE6">
        <w:rPr>
          <w:b/>
        </w:rPr>
        <w:t xml:space="preserve">m </w:t>
      </w:r>
      <w:r>
        <w:rPr>
          <w:b/>
        </w:rPr>
        <w:t>análise</w:t>
      </w:r>
    </w:p>
    <w:p w14:paraId="0E984F6E" w14:textId="77777777" w:rsidR="007E51A1" w:rsidRPr="00601A92" w:rsidRDefault="007E51A1" w:rsidP="007E51A1">
      <w:pPr>
        <w:pStyle w:val="1-REL11"/>
        <w:rPr>
          <w:highlight w:val="lightGray"/>
        </w:rPr>
      </w:pPr>
    </w:p>
    <w:p w14:paraId="042BE896" w14:textId="75EA548F" w:rsidR="007E51A1" w:rsidRPr="003F4779" w:rsidRDefault="007E51A1" w:rsidP="00736A8C">
      <w:pPr>
        <w:pStyle w:val="1-REL11"/>
        <w:numPr>
          <w:ilvl w:val="0"/>
          <w:numId w:val="56"/>
        </w:numPr>
      </w:pPr>
      <w:r w:rsidRPr="00030A98">
        <w:t>Encaminhem previamente à Assessoria de Monitoramento Fiscal e Planejamento</w:t>
      </w:r>
      <w:r>
        <w:t xml:space="preserve"> Financeiro da Secretaria de Estado da Economia os projetos ou atos administrativos que tragam potencial impacto orçamentário e financeiro, para fins de análise e mitigação dos riscos de descumprimento das vedações do art. 8º da LC nº 159/2017 (item 2.2 Da publicidade dos atos relacionados aos desdobramentos do Plano de Recuperação Fiscal).</w:t>
      </w:r>
    </w:p>
    <w:p w14:paraId="238669C2" w14:textId="77777777" w:rsidR="007E51A1" w:rsidRDefault="007E51A1" w:rsidP="007E51A1">
      <w:pPr>
        <w:pStyle w:val="1-REL11"/>
      </w:pPr>
      <w:r>
        <w:t>Para análise desta recomendação, solicitou-se informações à AEMFPF que, por meio do Despacho nº 121/2024/ECONOMIA/AEMFPF-20177 (processo nº 202300047001912, evento 270), relatou que a maioria dos projetos dessa natureza foi previamente por ela conhecido, porém, no anexo elaborado que detalha todos projetos e atos administrativos do exercício de 2023 (processo nº 202300047001912, evento 272), na coluna “MOMENTO”, identificou-se situações que possuem a informação “Projeto enviado para a CSRRF sem conhecimento da Assessoria”, ou seja, nem todos os projetos e atos administrativos que impactam as contas públicas foram previamente comunicados à AEMFPF.</w:t>
      </w:r>
    </w:p>
    <w:p w14:paraId="7693F1D8" w14:textId="6EA83A84" w:rsidR="007E51A1" w:rsidRPr="00D40E15" w:rsidRDefault="007E51A1" w:rsidP="007E51A1">
      <w:pPr>
        <w:pStyle w:val="1-REL11"/>
      </w:pPr>
      <w:r w:rsidRPr="00D40E15">
        <w:rPr>
          <w:b/>
        </w:rPr>
        <w:t>Situação</w:t>
      </w:r>
      <w:r w:rsidRPr="00D40E15">
        <w:t xml:space="preserve">: </w:t>
      </w:r>
      <w:r w:rsidR="00323860" w:rsidRPr="00323860">
        <w:rPr>
          <w:b/>
        </w:rPr>
        <w:t>P</w:t>
      </w:r>
      <w:r w:rsidR="00304AE6" w:rsidRPr="003D71FC">
        <w:rPr>
          <w:b/>
        </w:rPr>
        <w:t xml:space="preserve">arcialmente </w:t>
      </w:r>
      <w:r w:rsidRPr="003D71FC">
        <w:rPr>
          <w:b/>
        </w:rPr>
        <w:t>atendida</w:t>
      </w:r>
    </w:p>
    <w:p w14:paraId="55C8388B" w14:textId="4F9089C3" w:rsidR="007E51A1" w:rsidRDefault="007E51A1" w:rsidP="007E51A1">
      <w:pPr>
        <w:pStyle w:val="1-REL11"/>
        <w:rPr>
          <w:highlight w:val="lightGray"/>
        </w:rPr>
      </w:pPr>
    </w:p>
    <w:p w14:paraId="7701E96F" w14:textId="77777777" w:rsidR="00323860" w:rsidRPr="00601A92" w:rsidRDefault="00323860" w:rsidP="007E51A1">
      <w:pPr>
        <w:pStyle w:val="1-REL11"/>
        <w:rPr>
          <w:highlight w:val="lightGray"/>
        </w:rPr>
      </w:pPr>
    </w:p>
    <w:p w14:paraId="7D2E04C2" w14:textId="549CB625" w:rsidR="007E51A1" w:rsidRPr="00304AE6" w:rsidRDefault="007E51A1" w:rsidP="00F21627">
      <w:pPr>
        <w:pStyle w:val="2-ITEM"/>
        <w:numPr>
          <w:ilvl w:val="0"/>
          <w:numId w:val="0"/>
        </w:numPr>
        <w:outlineLvl w:val="3"/>
        <w:rPr>
          <w:b/>
          <w:u w:val="single"/>
        </w:rPr>
      </w:pPr>
      <w:r w:rsidRPr="00304AE6">
        <w:rPr>
          <w:b/>
          <w:u w:val="single"/>
        </w:rPr>
        <w:lastRenderedPageBreak/>
        <w:t>Recomendação ao Tribunal de Justiça do Estado e Goiás e à Secretaria de Estado da Economia</w:t>
      </w:r>
      <w:r w:rsidR="00304AE6">
        <w:rPr>
          <w:b/>
          <w:u w:val="single"/>
        </w:rPr>
        <w:t>:</w:t>
      </w:r>
    </w:p>
    <w:p w14:paraId="697985A1" w14:textId="48112878" w:rsidR="007E51A1" w:rsidRPr="0092003B" w:rsidRDefault="007E51A1" w:rsidP="00736A8C">
      <w:pPr>
        <w:pStyle w:val="1-REL11"/>
        <w:numPr>
          <w:ilvl w:val="0"/>
          <w:numId w:val="56"/>
        </w:numPr>
      </w:pPr>
      <w:r w:rsidRPr="00304AE6">
        <w:rPr>
          <w:b/>
        </w:rPr>
        <w:t>Adotem</w:t>
      </w:r>
      <w:r w:rsidRPr="0092003B">
        <w:t>, em tempo hábil, as providências necessárias para que a integração entre os sistemas contábil (Secretaria de Economia) e de gestão de precatórios (Tribunal de Justiça) se concretizem no prazo programado.</w:t>
      </w:r>
    </w:p>
    <w:p w14:paraId="760854C4" w14:textId="77777777" w:rsidR="007E51A1" w:rsidRDefault="007E51A1" w:rsidP="007E51A1">
      <w:pPr>
        <w:pStyle w:val="1-REL11"/>
      </w:pPr>
      <w:r w:rsidRPr="0092003B">
        <w:t>Conforme informado no documento BGE 2023, item 2.4.1.3 Integração do SCG</w:t>
      </w:r>
      <w:r>
        <w:t xml:space="preserve"> com os Sistemas de Precatórios do TJ/GO (Processo nº 202300047001912, evento 21, fls. 68), o Departamento de Precatórios do TJ/GO e a Superintendência Central de Contabilidade vinculada à ECONOMIA emitiram a Nota Explicativa Conjunta nº 01/2024 comunicando que o processo de integração encontra-se com 75% de suas atividades concluídas, no entanto houve a necessidade de reorganização e adequação da estrutura analítica do projeto, que tem previsão de conclusão em junho de 2024.</w:t>
      </w:r>
    </w:p>
    <w:p w14:paraId="38A8D6E5" w14:textId="7A43C6E6" w:rsidR="007E51A1" w:rsidRPr="00166A09" w:rsidRDefault="007E51A1" w:rsidP="007E51A1">
      <w:pPr>
        <w:pStyle w:val="1-REL11"/>
      </w:pPr>
      <w:r>
        <w:rPr>
          <w:b/>
        </w:rPr>
        <w:t>Situação</w:t>
      </w:r>
      <w:r>
        <w:t xml:space="preserve">: </w:t>
      </w:r>
      <w:r w:rsidR="00323860" w:rsidRPr="00323860">
        <w:rPr>
          <w:b/>
        </w:rPr>
        <w:t>N</w:t>
      </w:r>
      <w:r w:rsidR="00304AE6" w:rsidRPr="00810D03">
        <w:rPr>
          <w:b/>
        </w:rPr>
        <w:t xml:space="preserve">ão </w:t>
      </w:r>
      <w:r w:rsidRPr="00810D03">
        <w:rPr>
          <w:b/>
        </w:rPr>
        <w:t>atendida</w:t>
      </w:r>
    </w:p>
    <w:p w14:paraId="2BDBB5ED" w14:textId="77777777" w:rsidR="007E51A1" w:rsidRPr="007E51A1" w:rsidRDefault="007E51A1" w:rsidP="007E51A1"/>
    <w:p w14:paraId="0697055F" w14:textId="77777777" w:rsidR="00ED79A3" w:rsidRDefault="00ED79A3" w:rsidP="00234FA0">
      <w:pPr>
        <w:pStyle w:val="1-REL11"/>
      </w:pPr>
    </w:p>
    <w:p w14:paraId="3921D7A8" w14:textId="77777777" w:rsidR="005D7CAC" w:rsidRPr="00B215AC" w:rsidRDefault="005D7CAC" w:rsidP="00B523B9">
      <w:pPr>
        <w:pStyle w:val="1-REL11"/>
        <w:rPr>
          <w:color w:val="FF0000"/>
        </w:rPr>
      </w:pPr>
    </w:p>
    <w:p w14:paraId="625B15E1" w14:textId="77777777" w:rsidR="009A745A" w:rsidRPr="00B215AC" w:rsidRDefault="009A745A" w:rsidP="00D41C97">
      <w:pPr>
        <w:pStyle w:val="0-TXT11"/>
        <w:rPr>
          <w:rFonts w:cs="Times New Roman"/>
          <w:color w:val="FF0000"/>
        </w:rPr>
        <w:sectPr w:rsidR="009A745A" w:rsidRPr="00B215AC" w:rsidSect="00C57A3A">
          <w:footerReference w:type="default" r:id="rId67"/>
          <w:footnotePr>
            <w:numRestart w:val="eachSect"/>
          </w:footnotePr>
          <w:pgSz w:w="11905" w:h="16837"/>
          <w:pgMar w:top="1134" w:right="851" w:bottom="1134" w:left="1701" w:header="720" w:footer="720" w:gutter="0"/>
          <w:cols w:space="720"/>
          <w:noEndnote/>
        </w:sectPr>
      </w:pPr>
    </w:p>
    <w:p w14:paraId="5B634E60" w14:textId="77777777" w:rsidR="00FA2C07" w:rsidRPr="00B215AC" w:rsidRDefault="00FA2C07" w:rsidP="00FA2C07">
      <w:pPr>
        <w:pStyle w:val="0-TXT11"/>
        <w:rPr>
          <w:rFonts w:cs="Times New Roman"/>
          <w:color w:val="FF0000"/>
        </w:rPr>
      </w:pPr>
    </w:p>
    <w:p w14:paraId="0BC29976" w14:textId="77777777" w:rsidR="00FA2C07" w:rsidRPr="00B215AC" w:rsidRDefault="00FA2C07" w:rsidP="00FA2C07">
      <w:pPr>
        <w:pStyle w:val="0-TXT11"/>
        <w:rPr>
          <w:rFonts w:cs="Times New Roman"/>
          <w:color w:val="FF0000"/>
        </w:rPr>
      </w:pPr>
    </w:p>
    <w:p w14:paraId="4385FC83" w14:textId="77777777" w:rsidR="00FA2C07" w:rsidRPr="00B215AC" w:rsidRDefault="00FA2C07" w:rsidP="00FA2C07">
      <w:pPr>
        <w:pStyle w:val="0-TXT11"/>
        <w:rPr>
          <w:rFonts w:cs="Times New Roman"/>
          <w:color w:val="FF0000"/>
        </w:rPr>
      </w:pPr>
    </w:p>
    <w:p w14:paraId="063513B9" w14:textId="77777777" w:rsidR="00FA2C07" w:rsidRPr="00B215AC" w:rsidRDefault="00FA2C07" w:rsidP="00FA2C07">
      <w:pPr>
        <w:pStyle w:val="0-TXT11"/>
        <w:rPr>
          <w:rFonts w:cs="Times New Roman"/>
          <w:color w:val="FF0000"/>
        </w:rPr>
      </w:pPr>
    </w:p>
    <w:p w14:paraId="3D42436C" w14:textId="77777777" w:rsidR="00FA2C07" w:rsidRPr="00B215AC" w:rsidRDefault="00FA2C07" w:rsidP="00FA2C07">
      <w:pPr>
        <w:pStyle w:val="0-TXT11"/>
        <w:rPr>
          <w:rFonts w:cs="Times New Roman"/>
          <w:color w:val="FF0000"/>
        </w:rPr>
      </w:pPr>
    </w:p>
    <w:p w14:paraId="32216E50" w14:textId="77777777" w:rsidR="00FA2C07" w:rsidRPr="00B215AC" w:rsidRDefault="00FA2C07" w:rsidP="00FA2C07">
      <w:pPr>
        <w:pStyle w:val="0-TXT11"/>
        <w:rPr>
          <w:rFonts w:cs="Times New Roman"/>
          <w:color w:val="FF0000"/>
        </w:rPr>
      </w:pPr>
    </w:p>
    <w:p w14:paraId="4791B201" w14:textId="77777777" w:rsidR="00FA2C07" w:rsidRPr="00B215AC" w:rsidRDefault="00FA2C07" w:rsidP="00FA2C07">
      <w:pPr>
        <w:pStyle w:val="0-TXT11"/>
        <w:rPr>
          <w:rFonts w:cs="Times New Roman"/>
          <w:color w:val="FF0000"/>
        </w:rPr>
      </w:pPr>
    </w:p>
    <w:p w14:paraId="3B669A05" w14:textId="77777777" w:rsidR="00FA2C07" w:rsidRPr="00B215AC" w:rsidRDefault="00FA2C07" w:rsidP="00FA2C07">
      <w:pPr>
        <w:pStyle w:val="0-TXT11"/>
        <w:rPr>
          <w:rFonts w:cs="Times New Roman"/>
          <w:color w:val="FF0000"/>
        </w:rPr>
      </w:pPr>
    </w:p>
    <w:p w14:paraId="6A2F7A7F" w14:textId="77777777" w:rsidR="00FA2C07" w:rsidRPr="00B215AC" w:rsidRDefault="00FA2C07" w:rsidP="00FA2C07">
      <w:pPr>
        <w:pStyle w:val="0-TXT11"/>
        <w:rPr>
          <w:rFonts w:cs="Times New Roman"/>
          <w:color w:val="FF0000"/>
        </w:rPr>
      </w:pPr>
    </w:p>
    <w:p w14:paraId="3A7B3B52" w14:textId="77777777" w:rsidR="00FA2C07" w:rsidRPr="00B215AC" w:rsidRDefault="00FA2C07" w:rsidP="00FA2C07">
      <w:pPr>
        <w:pStyle w:val="0-TXT11"/>
        <w:rPr>
          <w:rFonts w:cs="Times New Roman"/>
          <w:color w:val="FF0000"/>
        </w:rPr>
      </w:pPr>
    </w:p>
    <w:p w14:paraId="249F82D2" w14:textId="77777777" w:rsidR="00FA2C07" w:rsidRPr="00B215AC" w:rsidRDefault="00FA2C07" w:rsidP="00FA2C07">
      <w:pPr>
        <w:pStyle w:val="0-TXT11"/>
        <w:rPr>
          <w:rFonts w:cs="Times New Roman"/>
          <w:color w:val="FF0000"/>
        </w:rPr>
      </w:pPr>
    </w:p>
    <w:p w14:paraId="166A7773" w14:textId="77777777" w:rsidR="00FA2C07" w:rsidRPr="00B215AC" w:rsidRDefault="00FA2C07" w:rsidP="00FA2C07">
      <w:pPr>
        <w:pStyle w:val="0-TXT11"/>
        <w:rPr>
          <w:rFonts w:cs="Times New Roman"/>
          <w:color w:val="FF0000"/>
        </w:rPr>
      </w:pPr>
    </w:p>
    <w:p w14:paraId="0D75435C" w14:textId="77777777" w:rsidR="00FA2C07" w:rsidRPr="00B215AC" w:rsidRDefault="00FA2C07" w:rsidP="00FA2C07">
      <w:pPr>
        <w:pStyle w:val="0-TXT11"/>
        <w:rPr>
          <w:rFonts w:cs="Times New Roman"/>
          <w:color w:val="FF0000"/>
        </w:rPr>
      </w:pPr>
    </w:p>
    <w:p w14:paraId="66A5C5F5" w14:textId="77777777" w:rsidR="00FA2C07" w:rsidRPr="00B215AC" w:rsidRDefault="00FA2C07" w:rsidP="00FA2C07">
      <w:pPr>
        <w:pStyle w:val="0-TXT11"/>
        <w:rPr>
          <w:rFonts w:cs="Times New Roman"/>
          <w:color w:val="FF0000"/>
        </w:rPr>
      </w:pPr>
    </w:p>
    <w:p w14:paraId="00A84849" w14:textId="77777777" w:rsidR="00FA2C07" w:rsidRPr="00B215AC" w:rsidRDefault="00FA2C07" w:rsidP="00FA2C07">
      <w:pPr>
        <w:pStyle w:val="0-TXT11"/>
        <w:rPr>
          <w:rFonts w:cs="Times New Roman"/>
          <w:color w:val="FF0000"/>
        </w:rPr>
      </w:pPr>
    </w:p>
    <w:p w14:paraId="52E9CACC" w14:textId="77777777" w:rsidR="00FA2C07" w:rsidRPr="00B215AC" w:rsidRDefault="00FA2C07" w:rsidP="00FA2C07">
      <w:pPr>
        <w:pStyle w:val="0-TXT11"/>
        <w:rPr>
          <w:rFonts w:cs="Times New Roman"/>
          <w:color w:val="FF0000"/>
        </w:rPr>
      </w:pPr>
    </w:p>
    <w:p w14:paraId="6E15C960" w14:textId="77777777" w:rsidR="00FA2C07" w:rsidRPr="00B215AC" w:rsidRDefault="00FA2C07" w:rsidP="00FA2C07">
      <w:pPr>
        <w:pStyle w:val="0-TXT11"/>
        <w:rPr>
          <w:rFonts w:cs="Times New Roman"/>
          <w:color w:val="FF0000"/>
        </w:rPr>
      </w:pPr>
    </w:p>
    <w:p w14:paraId="54DB684D" w14:textId="77777777" w:rsidR="00FA2C07" w:rsidRPr="00B215AC" w:rsidRDefault="00FA2C07" w:rsidP="00FA2C07">
      <w:pPr>
        <w:pStyle w:val="0-TXT11"/>
        <w:rPr>
          <w:rFonts w:cs="Times New Roman"/>
          <w:color w:val="FF0000"/>
        </w:rPr>
      </w:pPr>
    </w:p>
    <w:p w14:paraId="003D38B4" w14:textId="77777777" w:rsidR="00FA2C07" w:rsidRPr="00B215AC" w:rsidRDefault="00FA2C07" w:rsidP="00FA2C07">
      <w:pPr>
        <w:pStyle w:val="0-TXT11"/>
        <w:rPr>
          <w:rFonts w:cs="Times New Roman"/>
          <w:color w:val="FF0000"/>
        </w:rPr>
      </w:pPr>
    </w:p>
    <w:p w14:paraId="47B505FD" w14:textId="40029181" w:rsidR="00FA2C07" w:rsidRPr="00B215AC" w:rsidRDefault="00FA2C07" w:rsidP="00FA2C07">
      <w:pPr>
        <w:pStyle w:val="0-TXT11"/>
        <w:rPr>
          <w:rFonts w:cs="Times New Roman"/>
          <w:color w:val="FF0000"/>
        </w:rPr>
      </w:pPr>
    </w:p>
    <w:p w14:paraId="3D94E37F" w14:textId="77777777" w:rsidR="0003203F" w:rsidRPr="00B215AC" w:rsidRDefault="0003203F" w:rsidP="00FA2C07">
      <w:pPr>
        <w:pStyle w:val="0-TXT11"/>
        <w:rPr>
          <w:rFonts w:cs="Times New Roman"/>
          <w:color w:val="FF0000"/>
        </w:rPr>
      </w:pPr>
    </w:p>
    <w:p w14:paraId="06B3A863" w14:textId="77777777" w:rsidR="00FA2C07" w:rsidRPr="00B215AC" w:rsidRDefault="00FA2C07" w:rsidP="00FA2C07">
      <w:pPr>
        <w:pStyle w:val="0-TXT11"/>
        <w:rPr>
          <w:rFonts w:cs="Times New Roman"/>
          <w:color w:val="FF0000"/>
        </w:rPr>
      </w:pPr>
    </w:p>
    <w:p w14:paraId="354F87ED" w14:textId="77777777" w:rsidR="0045275B" w:rsidRPr="00B215AC" w:rsidRDefault="0045275B" w:rsidP="00FA2C07">
      <w:pPr>
        <w:pStyle w:val="0-TXT11"/>
        <w:rPr>
          <w:rFonts w:cs="Times New Roman"/>
          <w:color w:val="FF0000"/>
        </w:rPr>
      </w:pPr>
    </w:p>
    <w:p w14:paraId="471E5E26" w14:textId="77777777" w:rsidR="00FA2C07" w:rsidRPr="00ED79A3" w:rsidRDefault="00FA2C07" w:rsidP="00FA2C07">
      <w:pPr>
        <w:pStyle w:val="0-TXT11"/>
        <w:rPr>
          <w:rFonts w:cs="Times New Roman"/>
        </w:rPr>
      </w:pPr>
    </w:p>
    <w:p w14:paraId="730EA37B" w14:textId="77777777" w:rsidR="00FA2C07" w:rsidRPr="00ED79A3" w:rsidRDefault="00FA2C07" w:rsidP="00FA2C07">
      <w:pPr>
        <w:pStyle w:val="0-TXT11"/>
        <w:rPr>
          <w:rFonts w:cs="Times New Roman"/>
        </w:rPr>
      </w:pPr>
    </w:p>
    <w:p w14:paraId="13A2910F" w14:textId="77777777" w:rsidR="00FA2C07" w:rsidRPr="00ED79A3" w:rsidRDefault="00FA2C07" w:rsidP="00FA2C07">
      <w:pPr>
        <w:pStyle w:val="0-TXT11"/>
        <w:rPr>
          <w:rFonts w:cs="Times New Roman"/>
        </w:rPr>
      </w:pPr>
    </w:p>
    <w:p w14:paraId="5EA3AB2A" w14:textId="77777777" w:rsidR="00FA2C07" w:rsidRPr="00ED79A3" w:rsidRDefault="00FA2C07" w:rsidP="00FA2C07">
      <w:pPr>
        <w:pStyle w:val="Ttulo"/>
        <w:rPr>
          <w:color w:val="auto"/>
        </w:rPr>
      </w:pPr>
    </w:p>
    <w:p w14:paraId="0174228F" w14:textId="77777777" w:rsidR="00FA2C07" w:rsidRPr="00ED79A3" w:rsidRDefault="00FA2C07" w:rsidP="00FA2C07">
      <w:pPr>
        <w:pStyle w:val="0-TXT11"/>
        <w:jc w:val="right"/>
        <w:rPr>
          <w:rFonts w:cs="Times New Roman"/>
          <w:sz w:val="48"/>
          <w:szCs w:val="48"/>
        </w:rPr>
      </w:pPr>
      <w:r w:rsidRPr="00ED79A3">
        <w:rPr>
          <w:rFonts w:cs="Times New Roman"/>
          <w:sz w:val="48"/>
          <w:szCs w:val="48"/>
        </w:rPr>
        <w:t>Conclusão</w:t>
      </w:r>
    </w:p>
    <w:p w14:paraId="5F5E81A4" w14:textId="77777777" w:rsidR="00FA2C07" w:rsidRPr="00B215AC" w:rsidRDefault="00FA2C07" w:rsidP="00FA2C07">
      <w:pPr>
        <w:pStyle w:val="0-TXT11"/>
        <w:ind w:right="-2"/>
        <w:rPr>
          <w:rFonts w:cs="Times New Roman"/>
          <w:color w:val="FF0000"/>
        </w:rPr>
      </w:pPr>
    </w:p>
    <w:p w14:paraId="47A06B89" w14:textId="77777777" w:rsidR="00FA2C07" w:rsidRPr="00B215AC" w:rsidRDefault="00FA2C07" w:rsidP="00FA2C07">
      <w:pPr>
        <w:pStyle w:val="0-TXT11"/>
        <w:ind w:right="-2"/>
        <w:rPr>
          <w:rFonts w:cs="Times New Roman"/>
          <w:color w:val="FF0000"/>
        </w:rPr>
      </w:pPr>
    </w:p>
    <w:p w14:paraId="704A4ED8" w14:textId="77777777" w:rsidR="00FA2C07" w:rsidRPr="00B215AC" w:rsidRDefault="00FA2C07" w:rsidP="00FA2C07">
      <w:pPr>
        <w:pStyle w:val="0-TXT11"/>
        <w:ind w:right="-2"/>
        <w:rPr>
          <w:rFonts w:cs="Times New Roman"/>
          <w:color w:val="FF0000"/>
        </w:rPr>
      </w:pPr>
    </w:p>
    <w:p w14:paraId="6DBF99C5" w14:textId="77777777" w:rsidR="00FA2C07" w:rsidRPr="00B215AC" w:rsidRDefault="00FA2C07" w:rsidP="00FA2C07">
      <w:pPr>
        <w:pStyle w:val="0-TXT11"/>
        <w:ind w:right="-2"/>
        <w:rPr>
          <w:rFonts w:cs="Times New Roman"/>
          <w:color w:val="FF0000"/>
        </w:rPr>
      </w:pPr>
    </w:p>
    <w:p w14:paraId="6A7B0A95" w14:textId="77777777" w:rsidR="00FA2C07" w:rsidRPr="00B215AC" w:rsidRDefault="00FA2C07" w:rsidP="00FA2C07">
      <w:pPr>
        <w:pStyle w:val="0-TXT11"/>
        <w:ind w:right="-2"/>
        <w:rPr>
          <w:rFonts w:cs="Times New Roman"/>
          <w:color w:val="FF0000"/>
        </w:rPr>
        <w:sectPr w:rsidR="00FA2C07" w:rsidRPr="00B215AC" w:rsidSect="00C57A3A">
          <w:footerReference w:type="default" r:id="rId68"/>
          <w:footnotePr>
            <w:numRestart w:val="eachSect"/>
          </w:footnotePr>
          <w:pgSz w:w="11905" w:h="16837"/>
          <w:pgMar w:top="1134" w:right="851" w:bottom="1134" w:left="1701" w:header="720" w:footer="720" w:gutter="0"/>
          <w:cols w:space="720"/>
          <w:noEndnote/>
        </w:sectPr>
      </w:pPr>
    </w:p>
    <w:p w14:paraId="222F777C" w14:textId="77777777" w:rsidR="005D2E52" w:rsidRPr="00ED79A3" w:rsidRDefault="005D2E52" w:rsidP="005D2E52">
      <w:pPr>
        <w:pStyle w:val="1-REL11"/>
      </w:pPr>
    </w:p>
    <w:p w14:paraId="0D51E540" w14:textId="51862467" w:rsidR="00D41C97" w:rsidRPr="00ED79A3" w:rsidRDefault="00D41C97" w:rsidP="00D41C97">
      <w:pPr>
        <w:pStyle w:val="Ttulo"/>
        <w:rPr>
          <w:color w:val="auto"/>
        </w:rPr>
      </w:pPr>
      <w:r w:rsidRPr="00ED79A3">
        <w:rPr>
          <w:color w:val="auto"/>
        </w:rPr>
        <w:t>Conclusão</w:t>
      </w:r>
    </w:p>
    <w:p w14:paraId="6D9E1D52" w14:textId="77777777" w:rsidR="00736A8C" w:rsidRPr="001D3B73" w:rsidRDefault="00736A8C" w:rsidP="00736A8C">
      <w:pPr>
        <w:pStyle w:val="1-REL11"/>
      </w:pPr>
      <w:r w:rsidRPr="001D3B73">
        <w:t>O presente texto representa o esforço de formulação sintética e ordenada do resultado dos trabalhos, em conformidade com as dimensões, metodologia e procedimentos adotados. Em consonância com os objetivos e propósitos institucionais e técnicos apontados na introdução deste Relatório, as análises assumem uma visão conjunta e sistematizada, tendo em vista o caráter amplo e integrado da gestão governamental.</w:t>
      </w:r>
    </w:p>
    <w:p w14:paraId="65D7BDB6" w14:textId="77777777" w:rsidR="00736A8C" w:rsidRPr="001D3B73" w:rsidRDefault="00736A8C" w:rsidP="00736A8C">
      <w:pPr>
        <w:pStyle w:val="1-REL11"/>
      </w:pPr>
      <w:r w:rsidRPr="001D3B73">
        <w:t>Assim, o escopo e a constituição das verificações compreendem, sinteticamente, as dimensões formais, legais, orçamentárias, financeiras e patrimoniais da gestão, em harmonia com o arcabouço legal e técnico delineado nas Constituições Federal e Estadual, relativo à atuação do Tribunal de Contas na fiscalização das contas públicas.</w:t>
      </w:r>
    </w:p>
    <w:p w14:paraId="2095D0C0" w14:textId="77777777" w:rsidR="00736A8C" w:rsidRPr="001D3B73" w:rsidRDefault="00736A8C" w:rsidP="00736A8C">
      <w:pPr>
        <w:pStyle w:val="1-REL11"/>
      </w:pPr>
      <w:r w:rsidRPr="001D3B73">
        <w:t>Nessa perspectiva, os exames e análises abrangeram, fundamentalmente, as seguintes dimensões: Gestão Orçamentária e Financeira; Gestão Fiscal e Gestão Patrimonial. De forma particular e destacada, foram apresentadas as análises do cumprimento dos índices e limites estabelecidos nas Constituições Federal e Estadual.</w:t>
      </w:r>
    </w:p>
    <w:p w14:paraId="2E76233A" w14:textId="77777777" w:rsidR="00736A8C" w:rsidRPr="001D3B73" w:rsidRDefault="00736A8C" w:rsidP="00736A8C">
      <w:pPr>
        <w:pStyle w:val="1-REL11"/>
      </w:pPr>
      <w:r w:rsidRPr="001D3B73">
        <w:t>Fo</w:t>
      </w:r>
      <w:r>
        <w:t>i</w:t>
      </w:r>
      <w:r w:rsidRPr="001D3B73">
        <w:t xml:space="preserve"> também inserid</w:t>
      </w:r>
      <w:r>
        <w:t>o</w:t>
      </w:r>
      <w:r w:rsidRPr="001D3B73">
        <w:t xml:space="preserve"> </w:t>
      </w:r>
      <w:r>
        <w:t>monitoramento</w:t>
      </w:r>
      <w:r w:rsidRPr="001D3B73">
        <w:t xml:space="preserve"> das recomendações contidas no Parecer Prévio sobre a</w:t>
      </w:r>
      <w:r>
        <w:t xml:space="preserve"> Prestação de</w:t>
      </w:r>
      <w:r w:rsidRPr="001D3B73">
        <w:t xml:space="preserve"> Contas</w:t>
      </w:r>
      <w:r>
        <w:t xml:space="preserve"> do Governador do exercício</w:t>
      </w:r>
      <w:r w:rsidRPr="001D3B73">
        <w:t xml:space="preserve"> de 2021.</w:t>
      </w:r>
    </w:p>
    <w:p w14:paraId="05323ADF" w14:textId="77777777" w:rsidR="00736A8C" w:rsidRPr="001D3B73" w:rsidRDefault="00736A8C" w:rsidP="00736A8C">
      <w:pPr>
        <w:pStyle w:val="1-REL11"/>
      </w:pPr>
      <w:r w:rsidRPr="001D3B73">
        <w:t xml:space="preserve">Nesse contexto, com o </w:t>
      </w:r>
      <w:r>
        <w:t>objetivo</w:t>
      </w:r>
      <w:r w:rsidRPr="001D3B73">
        <w:t xml:space="preserve"> de proporcionar uma visão geral e sincrônica em harmonia com</w:t>
      </w:r>
      <w:r>
        <w:t xml:space="preserve"> </w:t>
      </w:r>
      <w:r w:rsidRPr="001D3B73">
        <w:t>a estruturação do presente Relatório, as conclusões contemplam a disposição dos capítulos, de maneira a especificar as principais constatações, em conformidade com as situações encontradas e os critérios circunscritos.</w:t>
      </w:r>
    </w:p>
    <w:p w14:paraId="73092578" w14:textId="77777777" w:rsidR="00736A8C" w:rsidRPr="001D3B73" w:rsidRDefault="00736A8C" w:rsidP="00736A8C">
      <w:pPr>
        <w:pStyle w:val="1-REL11"/>
      </w:pPr>
    </w:p>
    <w:p w14:paraId="40EF7018" w14:textId="77777777" w:rsidR="00736A8C" w:rsidRDefault="00736A8C" w:rsidP="00736A8C">
      <w:pPr>
        <w:pStyle w:val="0-TITSN"/>
      </w:pPr>
      <w:r w:rsidRPr="004503D8">
        <w:t>Capítulo 1 – Conjuntura Econômica</w:t>
      </w:r>
    </w:p>
    <w:p w14:paraId="3CAC1A2B" w14:textId="77777777" w:rsidR="00736A8C" w:rsidRPr="00736A8C" w:rsidRDefault="00736A8C" w:rsidP="00736A8C">
      <w:pPr>
        <w:pStyle w:val="1-REL11"/>
      </w:pPr>
      <w:r w:rsidRPr="00736A8C">
        <w:t>Neste capítulo foi apresentado o comportamento dos grandes setores do PIB goiano, inflação, mercado de trabalho e comércio exterior goiano, comparando os resultados em nível nacional e estadual, de acordo com dados do IMB e do IBGE.</w:t>
      </w:r>
    </w:p>
    <w:p w14:paraId="3174A81B" w14:textId="77777777" w:rsidR="00736A8C" w:rsidRPr="00736A8C" w:rsidRDefault="00736A8C" w:rsidP="00736A8C">
      <w:pPr>
        <w:pStyle w:val="1-REL11"/>
      </w:pPr>
      <w:r w:rsidRPr="00736A8C">
        <w:t xml:space="preserve">Restou verificado no </w:t>
      </w:r>
      <w:r w:rsidRPr="00736A8C">
        <w:rPr>
          <w:b/>
        </w:rPr>
        <w:t>Comportamento dos grandes setores do PIB Goiano</w:t>
      </w:r>
      <w:r w:rsidRPr="00736A8C">
        <w:t xml:space="preserve"> (item 1.1) que o PIB de Goiás foi estimado em 4,4% para 2023. Em termos comparativos, o PIB nacional avançou 2,9% no mesmo período. </w:t>
      </w:r>
    </w:p>
    <w:p w14:paraId="6361EE65" w14:textId="77777777" w:rsidR="00736A8C" w:rsidRPr="00736A8C" w:rsidRDefault="00736A8C" w:rsidP="00736A8C">
      <w:pPr>
        <w:pStyle w:val="1-REL11"/>
      </w:pPr>
      <w:r w:rsidRPr="00736A8C">
        <w:t xml:space="preserve">Os três setores (agropecuária, indústria e serviços) encerraram o ano com taxas positivas. A agropecuária teve crescimento de 12,9% no ano de 2023, sendo influenciada pela lavoura temporária, com destaque para o bom desempenho do milho, da soja e da cana-de-açúcar. A indústria goiana encerrou o ano com uma taxa positiva de 3,8%, na comparação com o mesmo </w:t>
      </w:r>
      <w:r w:rsidRPr="00736A8C">
        <w:lastRenderedPageBreak/>
        <w:t>período do ano anterior. Já o setor de Serviços cresceu 2,2% como resultado das atividades prestadas às famílias, de informação e comunicação, profissionais e administrativos, transporte e turismo.</w:t>
      </w:r>
    </w:p>
    <w:p w14:paraId="3F0389AF" w14:textId="77777777" w:rsidR="00736A8C" w:rsidRPr="00736A8C" w:rsidRDefault="00736A8C" w:rsidP="00736A8C">
      <w:pPr>
        <w:pStyle w:val="1-REL11"/>
      </w:pPr>
      <w:r w:rsidRPr="00736A8C">
        <w:t xml:space="preserve">A </w:t>
      </w:r>
      <w:r w:rsidRPr="00736A8C">
        <w:rPr>
          <w:b/>
        </w:rPr>
        <w:t>Inflação</w:t>
      </w:r>
      <w:r w:rsidRPr="00736A8C">
        <w:t xml:space="preserve"> (item 1.2) na capital do estado de Goiás foi de 3,82%, o menor desde 2018, enquanto que a inflação acumulada no Brasil foi de 4,62%. O Grupo de Produtos que teve maior elevação de preços em Goiânia foi Educação (8,96%). Porém, por pesar de maneira diferente na cesta de bens de consumo dos goianienses, o maior impacto na inflação em Goiânia provem do grupo de Transportes.</w:t>
      </w:r>
    </w:p>
    <w:p w14:paraId="05C5D51F" w14:textId="77777777" w:rsidR="00736A8C" w:rsidRPr="00736A8C" w:rsidRDefault="00736A8C" w:rsidP="00736A8C">
      <w:pPr>
        <w:pStyle w:val="1-REL11"/>
      </w:pPr>
      <w:r w:rsidRPr="00736A8C">
        <w:t>O grupo de itens que possui peso significativo no cálculo de apuração da inflação é o de alimentos, computando 15,1% na cesta de consumo. A redução dos preços dos alimentos pode ter sido um fator determinante para a contenção do índice geral de inflação.</w:t>
      </w:r>
    </w:p>
    <w:p w14:paraId="118DB1E0" w14:textId="77777777" w:rsidR="00736A8C" w:rsidRPr="00736A8C" w:rsidRDefault="00736A8C" w:rsidP="00736A8C">
      <w:pPr>
        <w:pStyle w:val="1-REL11"/>
      </w:pPr>
      <w:r w:rsidRPr="00736A8C">
        <w:t xml:space="preserve">Quanto ao </w:t>
      </w:r>
      <w:r w:rsidRPr="00736A8C">
        <w:rPr>
          <w:b/>
        </w:rPr>
        <w:t>Mercado de Trabalho</w:t>
      </w:r>
      <w:r w:rsidRPr="00736A8C">
        <w:t xml:space="preserve"> (item 1.3), o Estado apresentou um número total de 3,88 milhões de pessoas ocupadas. Os dados apontam que, de 204 mil pessoas empregadas, 132 mil pessoas foram contratadas com carteira assinada e 72 mil sem carteira assinada. </w:t>
      </w:r>
    </w:p>
    <w:p w14:paraId="03ED86EA" w14:textId="77777777" w:rsidR="00736A8C" w:rsidRPr="00736A8C" w:rsidRDefault="00736A8C" w:rsidP="00736A8C">
      <w:pPr>
        <w:pStyle w:val="1-REL11"/>
      </w:pPr>
      <w:r w:rsidRPr="00736A8C">
        <w:t>Dos setores da economia goiana, o que mais expandiu em 2023 foi o de Serviços, com um crescimento de 157 mil pessoas (8,5%). Já a taxa de desocupação registrou 5,8% no mesmo período, a menor dos últimos 10 anos.</w:t>
      </w:r>
    </w:p>
    <w:p w14:paraId="4A5D7CC0" w14:textId="77777777" w:rsidR="00736A8C" w:rsidRPr="00736A8C" w:rsidRDefault="00736A8C" w:rsidP="00736A8C">
      <w:pPr>
        <w:pStyle w:val="1-REL11"/>
      </w:pPr>
      <w:r w:rsidRPr="00736A8C">
        <w:t xml:space="preserve">Na seção </w:t>
      </w:r>
      <w:r w:rsidRPr="00736A8C">
        <w:rPr>
          <w:b/>
        </w:rPr>
        <w:t>Comércio Exterior Goiano</w:t>
      </w:r>
      <w:r w:rsidRPr="00736A8C">
        <w:t xml:space="preserve"> (item 1.4), conforme dados do Ministério da Economia, Indústria, Comércio Exterior e Serviços, apontou-se que a balança comercial goiana fechou o ano de 2023 com saldo positivo de US$ 9,09 bilhões, acréscimo de 11,3% em relação a 2022. </w:t>
      </w:r>
    </w:p>
    <w:p w14:paraId="7F879EFF" w14:textId="77777777" w:rsidR="00736A8C" w:rsidRPr="00736A8C" w:rsidRDefault="00736A8C" w:rsidP="00736A8C">
      <w:pPr>
        <w:pStyle w:val="1-REL11"/>
      </w:pPr>
      <w:r w:rsidRPr="00736A8C">
        <w:t>Dentre os países destinatários, a China foi o principal parceiro comercial do estado de Goiás, representando 57,4% do volume exportado. Em seguida, estão o Vietnã e a Indonésia com participação de 4,7% e 3,9%, respectivamente. Os produtos de maior representatividade na exportação decorrem do agronegócio, representando 96,9% do volume total exportado pelo Estado.</w:t>
      </w:r>
    </w:p>
    <w:p w14:paraId="10EBA742" w14:textId="77777777" w:rsidR="00736A8C" w:rsidRPr="00736A8C" w:rsidRDefault="00736A8C" w:rsidP="00736A8C">
      <w:pPr>
        <w:pStyle w:val="1-REL11"/>
      </w:pPr>
    </w:p>
    <w:p w14:paraId="3B7C43F4" w14:textId="77777777" w:rsidR="00736A8C" w:rsidRPr="00736A8C" w:rsidRDefault="00736A8C" w:rsidP="00736A8C">
      <w:pPr>
        <w:pStyle w:val="0-TITSN"/>
      </w:pPr>
      <w:r w:rsidRPr="00736A8C">
        <w:t>Capítulo 2 – Ação Setorial Governo</w:t>
      </w:r>
    </w:p>
    <w:p w14:paraId="2947AB3A" w14:textId="77777777" w:rsidR="00736A8C" w:rsidRPr="00736A8C" w:rsidRDefault="00736A8C" w:rsidP="00736A8C">
      <w:pPr>
        <w:pStyle w:val="1-REL11"/>
        <w:rPr>
          <w:rFonts w:cs="Arial"/>
        </w:rPr>
      </w:pPr>
      <w:r w:rsidRPr="00736A8C">
        <w:t>Este capítulo foi construído em caráter descritivo e informativo e buscou oferecer elementos técnicos em relação aos eixos e objetivos estratégicos e programas temáticos do PPA 2020-2023, por meio dos quais destacam-se as realizações do governo e os efeitos da atuação estatal para a sociedade.</w:t>
      </w:r>
    </w:p>
    <w:p w14:paraId="3D80A3C4" w14:textId="77777777" w:rsidR="00736A8C" w:rsidRPr="00736A8C" w:rsidRDefault="00736A8C" w:rsidP="00736A8C">
      <w:pPr>
        <w:pStyle w:val="1-REL11"/>
      </w:pPr>
      <w:r w:rsidRPr="00736A8C">
        <w:t>O PPA 2020-2023 do Estado de Goiás foi instituído pela Lei Estadual nº 20.755/2020 e estrutura-se em:</w:t>
      </w:r>
    </w:p>
    <w:p w14:paraId="0B176BED" w14:textId="77777777" w:rsidR="00736A8C" w:rsidRPr="00736A8C" w:rsidRDefault="00736A8C" w:rsidP="00736A8C">
      <w:pPr>
        <w:pStyle w:val="1-REL11"/>
        <w:numPr>
          <w:ilvl w:val="0"/>
          <w:numId w:val="44"/>
        </w:numPr>
        <w:tabs>
          <w:tab w:val="clear" w:pos="2835"/>
          <w:tab w:val="left" w:pos="426"/>
        </w:tabs>
        <w:ind w:left="0" w:firstLine="0"/>
      </w:pPr>
      <w:r w:rsidRPr="00736A8C">
        <w:t>Eixos Estratégicos;</w:t>
      </w:r>
    </w:p>
    <w:p w14:paraId="1C940EC9" w14:textId="77777777" w:rsidR="00736A8C" w:rsidRPr="00736A8C" w:rsidRDefault="00736A8C" w:rsidP="00736A8C">
      <w:pPr>
        <w:pStyle w:val="1-REL11"/>
        <w:numPr>
          <w:ilvl w:val="0"/>
          <w:numId w:val="44"/>
        </w:numPr>
        <w:tabs>
          <w:tab w:val="clear" w:pos="2835"/>
          <w:tab w:val="left" w:pos="426"/>
        </w:tabs>
        <w:ind w:left="0" w:firstLine="0"/>
      </w:pPr>
      <w:r w:rsidRPr="00736A8C">
        <w:lastRenderedPageBreak/>
        <w:t>Objetivos Estratégicos;</w:t>
      </w:r>
    </w:p>
    <w:p w14:paraId="7707E485" w14:textId="77777777" w:rsidR="00736A8C" w:rsidRPr="00736A8C" w:rsidRDefault="00736A8C" w:rsidP="00736A8C">
      <w:pPr>
        <w:pStyle w:val="1-REL11"/>
        <w:numPr>
          <w:ilvl w:val="0"/>
          <w:numId w:val="44"/>
        </w:numPr>
        <w:tabs>
          <w:tab w:val="clear" w:pos="2835"/>
          <w:tab w:val="left" w:pos="426"/>
        </w:tabs>
        <w:ind w:left="0" w:firstLine="0"/>
      </w:pPr>
      <w:r w:rsidRPr="00736A8C">
        <w:t>Programas:</w:t>
      </w:r>
    </w:p>
    <w:p w14:paraId="04D6C8AB" w14:textId="77777777" w:rsidR="00736A8C" w:rsidRPr="00736A8C" w:rsidRDefault="00736A8C" w:rsidP="00736A8C">
      <w:pPr>
        <w:pStyle w:val="1-REL11"/>
        <w:numPr>
          <w:ilvl w:val="1"/>
          <w:numId w:val="44"/>
        </w:numPr>
        <w:tabs>
          <w:tab w:val="clear" w:pos="2835"/>
          <w:tab w:val="left" w:pos="993"/>
        </w:tabs>
        <w:ind w:left="426" w:firstLine="0"/>
      </w:pPr>
      <w:r w:rsidRPr="00736A8C">
        <w:t>Finalísticos;</w:t>
      </w:r>
    </w:p>
    <w:p w14:paraId="3EDCEF75" w14:textId="77777777" w:rsidR="00736A8C" w:rsidRPr="00736A8C" w:rsidRDefault="00736A8C" w:rsidP="00736A8C">
      <w:pPr>
        <w:pStyle w:val="1-REL11"/>
        <w:numPr>
          <w:ilvl w:val="1"/>
          <w:numId w:val="44"/>
        </w:numPr>
        <w:tabs>
          <w:tab w:val="clear" w:pos="2835"/>
          <w:tab w:val="left" w:pos="993"/>
        </w:tabs>
        <w:ind w:left="0" w:firstLine="426"/>
      </w:pPr>
      <w:r w:rsidRPr="00736A8C">
        <w:t>De Gestão; e</w:t>
      </w:r>
    </w:p>
    <w:p w14:paraId="3CDB4335" w14:textId="77777777" w:rsidR="00736A8C" w:rsidRPr="00736A8C" w:rsidRDefault="00736A8C" w:rsidP="00736A8C">
      <w:pPr>
        <w:pStyle w:val="1-REL11"/>
        <w:numPr>
          <w:ilvl w:val="1"/>
          <w:numId w:val="44"/>
        </w:numPr>
        <w:tabs>
          <w:tab w:val="clear" w:pos="2835"/>
          <w:tab w:val="left" w:pos="993"/>
        </w:tabs>
        <w:ind w:left="0" w:firstLine="426"/>
      </w:pPr>
      <w:r w:rsidRPr="00736A8C">
        <w:t>Especiais.</w:t>
      </w:r>
    </w:p>
    <w:p w14:paraId="42AE0AB7" w14:textId="77777777" w:rsidR="00736A8C" w:rsidRPr="00736A8C" w:rsidRDefault="00736A8C" w:rsidP="00736A8C">
      <w:pPr>
        <w:pStyle w:val="1-REL11"/>
      </w:pPr>
      <w:r w:rsidRPr="00736A8C">
        <w:t>São 8 Eixos Estratégicos, 18 Objetivos Estratégicos, 43 Programas Finalísticos e 5 Programas de Gestão e Especiais definidos para o PPA 2020-2023. A Reserva de Contingência e Reserva do RPPS não integram os Eixos Estratégicos do PPA.</w:t>
      </w:r>
    </w:p>
    <w:p w14:paraId="29DDECBE" w14:textId="77777777" w:rsidR="00736A8C" w:rsidRPr="00736A8C" w:rsidRDefault="00736A8C" w:rsidP="00736A8C">
      <w:pPr>
        <w:pStyle w:val="1-REL11"/>
      </w:pPr>
      <w:r w:rsidRPr="00736A8C">
        <w:t>Para o exercício financeiro de 2023 foi orçado o valor total de R$ 39,95 bilhões. O valor total de despesas executadas foi de R$ 39.420.594.475,73, o que representa 98,68% do valor orçado e 82,95% do valor autorizado.</w:t>
      </w:r>
    </w:p>
    <w:p w14:paraId="41CFFBD5" w14:textId="77777777" w:rsidR="00736A8C" w:rsidRPr="00736A8C" w:rsidRDefault="00736A8C" w:rsidP="00736A8C">
      <w:pPr>
        <w:pStyle w:val="1-REL11"/>
      </w:pPr>
      <w:r w:rsidRPr="00736A8C">
        <w:t>O Eixo Estratégico 2 - Goiás da Governança e Gestão Transformadora foi o eixo estratégico de maior representatividade na execução da despesa, tendo alcançado 73,38% do total de despesas empenhadas.</w:t>
      </w:r>
    </w:p>
    <w:p w14:paraId="62FCE6CE" w14:textId="77777777" w:rsidR="00736A8C" w:rsidRPr="00736A8C" w:rsidRDefault="00736A8C" w:rsidP="00736A8C">
      <w:pPr>
        <w:pStyle w:val="1-REL11"/>
      </w:pPr>
      <w:r w:rsidRPr="00736A8C">
        <w:t>Quando apartados os recursos dos Programas Finalísticos, o Eixo Estratégico 6 - Goiás da Saúde Integral foi o que abarcou maior parte do recursos orçados e despesas executadas, representando 10,09% do valor total inicialmente orçado e 10,45% do total das despesas empenhadas no exercício.</w:t>
      </w:r>
    </w:p>
    <w:p w14:paraId="1B2F512B" w14:textId="77777777" w:rsidR="00736A8C" w:rsidRPr="00736A8C" w:rsidRDefault="00736A8C" w:rsidP="00736A8C">
      <w:pPr>
        <w:pStyle w:val="1-REL11"/>
      </w:pPr>
      <w:r w:rsidRPr="00736A8C">
        <w:t>Os Programas Finalísticos representaram 29,04% do total de despesas orçadas, enquanto os Programas de Gestão e Especiais representaram 65,87% do total orçado.</w:t>
      </w:r>
    </w:p>
    <w:p w14:paraId="01499A6B" w14:textId="77777777" w:rsidR="00736A8C" w:rsidRPr="00736A8C" w:rsidRDefault="00736A8C" w:rsidP="00736A8C">
      <w:pPr>
        <w:pStyle w:val="1-REL11"/>
      </w:pPr>
      <w:r w:rsidRPr="00736A8C">
        <w:t>Dentre os Programas Finalísticos, 4 programas se destacaram por terem respondido por 70,69% dos recursos orçados e 71,06% da despesa executada no exercício de 2023. São eles:</w:t>
      </w:r>
    </w:p>
    <w:p w14:paraId="7FB5AC65" w14:textId="77777777" w:rsidR="00736A8C" w:rsidRPr="00736A8C" w:rsidRDefault="00736A8C" w:rsidP="00736A8C">
      <w:pPr>
        <w:pStyle w:val="1-REL11"/>
        <w:numPr>
          <w:ilvl w:val="0"/>
          <w:numId w:val="44"/>
        </w:numPr>
        <w:tabs>
          <w:tab w:val="clear" w:pos="2835"/>
          <w:tab w:val="left" w:pos="567"/>
        </w:tabs>
        <w:ind w:left="0" w:firstLine="0"/>
      </w:pPr>
      <w:r w:rsidRPr="00736A8C">
        <w:t>Saúde Integral [1043];</w:t>
      </w:r>
    </w:p>
    <w:p w14:paraId="77A3A15D" w14:textId="77777777" w:rsidR="00736A8C" w:rsidRPr="00736A8C" w:rsidRDefault="00736A8C" w:rsidP="00736A8C">
      <w:pPr>
        <w:pStyle w:val="1-REL11"/>
        <w:numPr>
          <w:ilvl w:val="0"/>
          <w:numId w:val="44"/>
        </w:numPr>
        <w:tabs>
          <w:tab w:val="clear" w:pos="2835"/>
          <w:tab w:val="left" w:pos="567"/>
        </w:tabs>
        <w:ind w:left="0" w:firstLine="0"/>
      </w:pPr>
      <w:r w:rsidRPr="00736A8C">
        <w:t>M.O.V.E. Goiás [1025];</w:t>
      </w:r>
    </w:p>
    <w:p w14:paraId="5B727022" w14:textId="77777777" w:rsidR="00736A8C" w:rsidRPr="00736A8C" w:rsidRDefault="00736A8C" w:rsidP="00736A8C">
      <w:pPr>
        <w:pStyle w:val="1-REL11"/>
        <w:numPr>
          <w:ilvl w:val="0"/>
          <w:numId w:val="44"/>
        </w:numPr>
        <w:tabs>
          <w:tab w:val="clear" w:pos="2835"/>
          <w:tab w:val="left" w:pos="567"/>
        </w:tabs>
        <w:ind w:left="0" w:firstLine="0"/>
      </w:pPr>
      <w:r w:rsidRPr="00736A8C">
        <w:t>Rotas da Produção e do Turismo [1041]; e</w:t>
      </w:r>
    </w:p>
    <w:p w14:paraId="5044B239" w14:textId="77777777" w:rsidR="00736A8C" w:rsidRPr="00736A8C" w:rsidRDefault="00736A8C" w:rsidP="00736A8C">
      <w:pPr>
        <w:pStyle w:val="1-REL11"/>
        <w:numPr>
          <w:ilvl w:val="0"/>
          <w:numId w:val="44"/>
        </w:numPr>
        <w:tabs>
          <w:tab w:val="clear" w:pos="2835"/>
          <w:tab w:val="left" w:pos="567"/>
        </w:tabs>
        <w:ind w:left="0" w:firstLine="0"/>
      </w:pPr>
      <w:r w:rsidRPr="00736A8C">
        <w:t>Educação que Queremos [1008].</w:t>
      </w:r>
    </w:p>
    <w:p w14:paraId="767627CB" w14:textId="77777777" w:rsidR="00736A8C" w:rsidRPr="00736A8C" w:rsidRDefault="00736A8C" w:rsidP="00736A8C">
      <w:pPr>
        <w:pStyle w:val="1-REL11"/>
      </w:pPr>
      <w:r w:rsidRPr="00736A8C">
        <w:rPr>
          <w:rFonts w:cs="Arial"/>
        </w:rPr>
        <w:t xml:space="preserve">Já em relação aos Programas de Gestão e Especiais, os Programas Administrativos, cujos recursos são destinados ao pagamento de pessoal e encargos sociais, representaram a maior parte </w:t>
      </w:r>
      <w:r w:rsidRPr="00736A8C">
        <w:t>do orçamento, 41,49% do total orçado, seguido pelos Encargos Especiais, que representaram 24,38% do orçamento.</w:t>
      </w:r>
    </w:p>
    <w:p w14:paraId="2DE196F3" w14:textId="77777777" w:rsidR="00736A8C" w:rsidRPr="00736A8C" w:rsidRDefault="00736A8C" w:rsidP="00736A8C">
      <w:pPr>
        <w:pStyle w:val="1-REL11"/>
        <w:rPr>
          <w:lang w:eastAsia="en-US"/>
        </w:rPr>
      </w:pPr>
      <w:r w:rsidRPr="00736A8C">
        <w:lastRenderedPageBreak/>
        <w:t>As Reservas Estaduais foram compostas por 2 tipos, para as quais foi orçado o montante total de R$ 2.013.989.000,00, o que correspondeu a 5,09% do orçamento para 2023. Não houve execução orçamentária direta em nenhuma das reservas, apenas reduções para abertura de créditos</w:t>
      </w:r>
      <w:r w:rsidRPr="00736A8C">
        <w:rPr>
          <w:lang w:eastAsia="en-US"/>
        </w:rPr>
        <w:t xml:space="preserve"> adicionais no valor total de R$ 667.730.270,72.</w:t>
      </w:r>
    </w:p>
    <w:p w14:paraId="4268BA06" w14:textId="77777777" w:rsidR="00736A8C" w:rsidRPr="00736A8C" w:rsidRDefault="00736A8C" w:rsidP="00736A8C">
      <w:pPr>
        <w:pStyle w:val="1-REL11"/>
      </w:pPr>
    </w:p>
    <w:p w14:paraId="46B5588A" w14:textId="77777777" w:rsidR="00736A8C" w:rsidRPr="00736A8C" w:rsidRDefault="00736A8C" w:rsidP="00736A8C">
      <w:pPr>
        <w:pStyle w:val="0-TITSN"/>
      </w:pPr>
      <w:r w:rsidRPr="00736A8C">
        <w:t>Capítulo 3 – Gestão Orçamentária e Financeira</w:t>
      </w:r>
    </w:p>
    <w:p w14:paraId="3612703D" w14:textId="77777777" w:rsidR="00736A8C" w:rsidRPr="00736A8C" w:rsidRDefault="00736A8C" w:rsidP="00736A8C">
      <w:pPr>
        <w:pStyle w:val="1-REL11"/>
      </w:pPr>
      <w:r w:rsidRPr="00736A8C">
        <w:t xml:space="preserve">Inicialmente, o </w:t>
      </w:r>
      <w:r w:rsidRPr="00736A8C">
        <w:rPr>
          <w:b/>
        </w:rPr>
        <w:t>Orçamento</w:t>
      </w:r>
      <w:r w:rsidRPr="00736A8C">
        <w:t xml:space="preserve"> (item 3.1) para 2023 estimou a receita e fixou a despesa em R$ 39,95 bilhões, em que foram considerados os recursos de todas as fontes e observado o princípio do equilíbrio orçamentário.</w:t>
      </w:r>
    </w:p>
    <w:p w14:paraId="7C68A049" w14:textId="77777777" w:rsidR="00736A8C" w:rsidRPr="00736A8C" w:rsidRDefault="00736A8C" w:rsidP="00736A8C">
      <w:pPr>
        <w:pStyle w:val="1-REL11"/>
      </w:pPr>
      <w:r w:rsidRPr="00736A8C">
        <w:t>O</w:t>
      </w:r>
      <w:r w:rsidRPr="00736A8C">
        <w:rPr>
          <w:b/>
          <w:i/>
        </w:rPr>
        <w:t xml:space="preserve"> </w:t>
      </w:r>
      <w:r w:rsidRPr="00736A8C">
        <w:rPr>
          <w:b/>
        </w:rPr>
        <w:t>Resultado da Execução Orçamentária</w:t>
      </w:r>
      <w:r w:rsidRPr="00736A8C">
        <w:rPr>
          <w:b/>
          <w:i/>
        </w:rPr>
        <w:t xml:space="preserve"> </w:t>
      </w:r>
      <w:r w:rsidRPr="00736A8C">
        <w:t>(item 3.2) do exercício apresentou um superávit de R$ 2,56 bilhões, apurado pelo confronto das receitas arrecadadas (R$ 41,98 bilhões) com as despesas empenhadas (R$ 39,42 bilhões) no período.</w:t>
      </w:r>
    </w:p>
    <w:p w14:paraId="54D9FF56" w14:textId="77777777" w:rsidR="00736A8C" w:rsidRPr="00736A8C" w:rsidRDefault="00736A8C" w:rsidP="00736A8C">
      <w:pPr>
        <w:pStyle w:val="1-REL11"/>
      </w:pPr>
      <w:r w:rsidRPr="00736A8C">
        <w:t xml:space="preserve">A </w:t>
      </w:r>
      <w:r w:rsidRPr="00736A8C">
        <w:rPr>
          <w:b/>
        </w:rPr>
        <w:t>Receita</w:t>
      </w:r>
      <w:r w:rsidRPr="00736A8C">
        <w:t xml:space="preserve"> (item 3.3) arrecadada apresentou resultado 2,51% superior à sua previsão inicial, perfazendo, em termos nominais, um excesso de arrecadação na ordem de R$ 1,03 bilhão. Em relação ao total arrecadado, as maiores fontes de arrecadação foram de Impostos, Taxas e Contribuições de Melhoria (52,91%) e Transferências Correntes (23,15%), compostas em sua maioria por transferência de recursos da União.</w:t>
      </w:r>
    </w:p>
    <w:p w14:paraId="4A2578F5" w14:textId="77777777" w:rsidR="00736A8C" w:rsidRPr="00736A8C" w:rsidRDefault="00736A8C" w:rsidP="00736A8C">
      <w:pPr>
        <w:pStyle w:val="1-REL11"/>
      </w:pPr>
      <w:r w:rsidRPr="00736A8C">
        <w:t xml:space="preserve">Em relação à </w:t>
      </w:r>
      <w:r w:rsidRPr="00736A8C">
        <w:rPr>
          <w:b/>
        </w:rPr>
        <w:t>Despesa</w:t>
      </w:r>
      <w:r w:rsidRPr="00736A8C">
        <w:t xml:space="preserve"> (item 3.4), empenhou-se 82,95% do orçamento autorizado para o exercício. Fatores que devem ter contribuído para esse percentual de gastos, eventualmente baixo frente aos valores orçados, foram a arrecadação inferior em 2023 bem como a necessidade de contingenciamento de gastos no exercício em virtude do possível descumprimento do Teto de Gastos relativos à LC nº 156/2016. Ademais, as Despesas Correntes, que estão relacionadas com o custeio e manutenção das atividades do ente, atingiram 88,77% do valor orçado, tendo como maior volume nominal e percentual de execução as despesas do grupo Pessoal e Encargos Sociais. Já o empenho das Despesas de Capital, que são aquelas que contribuem para a formação ou aquisição de um bem de capital, alcançou 61,10% do valor orçado, sendo que a rubrica com melhor desempenho percentual foi Amortização da Dívida (99,52%), e a de maior volume nominal foi Investimentos.</w:t>
      </w:r>
    </w:p>
    <w:p w14:paraId="1A9E2C5E" w14:textId="77777777" w:rsidR="00736A8C" w:rsidRPr="00736A8C" w:rsidRDefault="00736A8C" w:rsidP="00736A8C">
      <w:pPr>
        <w:pStyle w:val="1-REL11"/>
      </w:pPr>
      <w:r w:rsidRPr="00736A8C">
        <w:t xml:space="preserve">Verificou-se que o total empenhado com </w:t>
      </w:r>
      <w:r w:rsidRPr="00736A8C">
        <w:rPr>
          <w:b/>
        </w:rPr>
        <w:t>Gastos com Publicidade e Propaganda</w:t>
      </w:r>
      <w:r w:rsidRPr="00736A8C">
        <w:t xml:space="preserve"> (item 3.4.1) foi de R$ 150,55 milhões, valor que correspondeu a 0,39% da RCL e 0,38% do total de despesas empenhadas no período. Em relação a 2022, houve aumento de 47,08% dos gastos realizados.</w:t>
      </w:r>
    </w:p>
    <w:p w14:paraId="4118D210" w14:textId="77777777" w:rsidR="00736A8C" w:rsidRPr="00736A8C" w:rsidRDefault="00736A8C" w:rsidP="00736A8C">
      <w:pPr>
        <w:pStyle w:val="1-REL11"/>
      </w:pPr>
      <w:r w:rsidRPr="00736A8C">
        <w:t xml:space="preserve">Quanto à </w:t>
      </w:r>
      <w:r w:rsidRPr="00736A8C">
        <w:rPr>
          <w:b/>
        </w:rPr>
        <w:t>Regra de Ouro</w:t>
      </w:r>
      <w:r w:rsidRPr="00736A8C">
        <w:t xml:space="preserve"> (item 3.5), constatou-se que não foram realizadas receitas provenientes de operações de crédito no exercício, logo a Regra de Outro apresenta-se cumprida. </w:t>
      </w:r>
    </w:p>
    <w:p w14:paraId="703F8753" w14:textId="77777777" w:rsidR="00736A8C" w:rsidRPr="00736A8C" w:rsidRDefault="00736A8C" w:rsidP="00736A8C">
      <w:pPr>
        <w:pStyle w:val="1-REL11"/>
      </w:pPr>
      <w:r w:rsidRPr="00736A8C">
        <w:t xml:space="preserve">Por fim, durante o exercício ocorreram </w:t>
      </w:r>
      <w:r w:rsidRPr="00736A8C">
        <w:rPr>
          <w:b/>
        </w:rPr>
        <w:t>Alterações Orçamentárias</w:t>
      </w:r>
      <w:r w:rsidRPr="00736A8C">
        <w:t xml:space="preserve"> (item 3.6) que acarretaram um acréscimo de R$ 7,93 bilhões (20,02%) em relação ao orçamento inicial. Dos </w:t>
      </w:r>
      <w:r w:rsidRPr="00736A8C">
        <w:rPr>
          <w:b/>
        </w:rPr>
        <w:t xml:space="preserve">Créditos </w:t>
      </w:r>
      <w:r w:rsidRPr="00736A8C">
        <w:rPr>
          <w:b/>
        </w:rPr>
        <w:lastRenderedPageBreak/>
        <w:t>Adicionais</w:t>
      </w:r>
      <w:r w:rsidRPr="00736A8C">
        <w:t xml:space="preserve"> (item 3.6.1) abertos, 97,81% foram de natureza Suplementar e 2,19% Especial, sendo que as principais origens de recursos foram a Anulação de Dotação e o Superávit Financeiro, tanto o apurado no Tesouro como os diretamente arrecadados pela unidades orçamentárias. Durante o exercício, observou-se que foram abertos créditos adicionais no valor total R$ 9,48 milhões tendo como fonte de recursos o Superávit de Cancelamento de Restos a Pagar, fato inédito na execução orçamentária estadual, no qual identificou-se a necessidade de melhorias relacionadas à transparência nos procedimentos de abertura e formalização dos atos praticados. </w:t>
      </w:r>
    </w:p>
    <w:p w14:paraId="50378159" w14:textId="77777777" w:rsidR="00736A8C" w:rsidRPr="00736A8C" w:rsidRDefault="00736A8C" w:rsidP="00736A8C">
      <w:pPr>
        <w:pStyle w:val="1-REL11"/>
      </w:pPr>
    </w:p>
    <w:p w14:paraId="7C6A1975" w14:textId="77777777" w:rsidR="00736A8C" w:rsidRPr="00736A8C" w:rsidRDefault="00736A8C" w:rsidP="00736A8C">
      <w:pPr>
        <w:pStyle w:val="0-TITSN"/>
      </w:pPr>
      <w:r w:rsidRPr="00736A8C">
        <w:t>Capítulo 4 – Gestão Fiscal</w:t>
      </w:r>
    </w:p>
    <w:p w14:paraId="0D5F8D73" w14:textId="77777777" w:rsidR="00736A8C" w:rsidRPr="00736A8C" w:rsidRDefault="00736A8C" w:rsidP="00736A8C">
      <w:pPr>
        <w:pStyle w:val="1-REL11"/>
      </w:pPr>
      <w:r w:rsidRPr="00736A8C">
        <w:t xml:space="preserve">A </w:t>
      </w:r>
      <w:r w:rsidRPr="00736A8C">
        <w:rPr>
          <w:b/>
        </w:rPr>
        <w:t>Receita Corrente Líquida - RCL</w:t>
      </w:r>
      <w:r w:rsidRPr="00736A8C">
        <w:t xml:space="preserve"> (item 4.1.1) alcançou a montante de R$ 38,36 bilhões, portanto, um aumento nominal de 3,22% em relação ao ano anterior, e inferior a inflação acumulada em dezembro/2023 de 4,62%, calculada pelo IPCA. Ainda contribuíram para o baixo incremento da RCL a exclusão das receitas oriundas do Ipasgo, da ordem de R$ 1,26 bilhão, que deixaram de fazer parte da RCL a partir de 05/2023 em função de sua extinção dada pela Lei Estadual nº 21.880/2023. Contudo, o valor de R$ 680 milhões compôs a RCL no período de janeiro/2023 a abril/2023.</w:t>
      </w:r>
    </w:p>
    <w:p w14:paraId="25C236A4" w14:textId="77777777" w:rsidR="00736A8C" w:rsidRPr="00736A8C" w:rsidRDefault="00736A8C" w:rsidP="00736A8C">
      <w:pPr>
        <w:pStyle w:val="1-REL11"/>
      </w:pPr>
      <w:r w:rsidRPr="00736A8C">
        <w:t>Por outro lado, o estado de Goiás recebeu compensação financeira das perdas com arrecadação de ICMS – art. 3º, § 4º, Lei Complementar Federal nº 194/2022, no montante de R$ 1,24 bilhão entre março/2023 e dezembro/2023. Destaca-se que a arrecadação destinada ao Fundo de Proteção Social do Estado de Goiás (Protege Goiás) foi afetada pelas mudanças de alíquotas do ICMS referente aos combustíveis, comunicação e energia elétrica promovida pela LC nº 194/2022. A arrecadação em 2023 alcançou R$ 333,56 milhões, ante R$ 995,91 milhões em 2022.</w:t>
      </w:r>
    </w:p>
    <w:p w14:paraId="26B6FE75" w14:textId="77777777" w:rsidR="00736A8C" w:rsidRPr="00736A8C" w:rsidRDefault="00736A8C" w:rsidP="00736A8C">
      <w:pPr>
        <w:pStyle w:val="1-REL11"/>
      </w:pPr>
      <w:r w:rsidRPr="00736A8C">
        <w:t>O Fundo Estadual de Infraestrutura (Fundeinfra), criado pela Lei Estadual nº 21.670/2022, cuja arrecadação no exercício de 2023 auferiu o montante de R$ 967 milhões, teve por objetivo a eventual recomposição da capacidade de arrecadação de ICMS delineadas no art. 5º da referida lei e cujos recursos devem ser destinados para infraestrutura dos transportes.</w:t>
      </w:r>
    </w:p>
    <w:p w14:paraId="554C8FEA" w14:textId="77777777" w:rsidR="00736A8C" w:rsidRPr="00736A8C" w:rsidRDefault="00736A8C" w:rsidP="00736A8C">
      <w:pPr>
        <w:pStyle w:val="1-REL11"/>
      </w:pPr>
      <w:r w:rsidRPr="00736A8C">
        <w:t xml:space="preserve">Com base na Resolução nº 09/2016, LRF e LCE nº 112/2014, constata-se que todos os Poderes e Órgãos Autônomos cumpriram os limites da LRF relacionado à </w:t>
      </w:r>
      <w:r w:rsidRPr="00736A8C">
        <w:rPr>
          <w:b/>
        </w:rPr>
        <w:t>Despesa com Pessoal</w:t>
      </w:r>
      <w:r w:rsidRPr="00736A8C">
        <w:t xml:space="preserve"> (item 4.2). Contudo, os relatórios de gestão fiscal referente ao 3º quadrimestre de 2023 estão em trâmite nesta Corte de Contas, sem decisão de mérito até a elaboração deste relatório.</w:t>
      </w:r>
    </w:p>
    <w:p w14:paraId="7539F3CC" w14:textId="77777777" w:rsidR="00736A8C" w:rsidRPr="00736A8C" w:rsidRDefault="00736A8C" w:rsidP="00736A8C">
      <w:pPr>
        <w:pStyle w:val="1-REL11"/>
      </w:pPr>
      <w:r w:rsidRPr="00736A8C">
        <w:t xml:space="preserve">A repartição dos limites de despesas com pessoal dos órgãos vinculados ao </w:t>
      </w:r>
      <w:r w:rsidRPr="00736A8C">
        <w:rPr>
          <w:b/>
        </w:rPr>
        <w:t>Poder Legislativo</w:t>
      </w:r>
      <w:r w:rsidRPr="00736A8C">
        <w:t xml:space="preserve"> (item 4.2.1.2), instituída pelo artigo 2º da LCE nº 112/2014,que atribuiu o limite de 1,50% para a Assembleia Legislativa, 1,35% para o Tribunal de Contas do Estado e 0,55% para o Tribunal de Contas dos Municípios, perfazendo assim, o limite total de 3,40% da RCL, vem sendo considerado nas análises desde o 3º quadrimestre de 2021.</w:t>
      </w:r>
    </w:p>
    <w:p w14:paraId="4B4AD99C" w14:textId="77777777" w:rsidR="00736A8C" w:rsidRPr="00736A8C" w:rsidRDefault="00736A8C" w:rsidP="00736A8C">
      <w:pPr>
        <w:pStyle w:val="1-REL11"/>
      </w:pPr>
      <w:r w:rsidRPr="00736A8C">
        <w:lastRenderedPageBreak/>
        <w:t xml:space="preserve">O </w:t>
      </w:r>
      <w:r w:rsidRPr="00736A8C">
        <w:rPr>
          <w:b/>
        </w:rPr>
        <w:t xml:space="preserve">Resumo do Limite da Despesa com Pessoal </w:t>
      </w:r>
      <w:r w:rsidRPr="00736A8C">
        <w:t>(item 4.2.3) demonstrou que o Poder Executivo apresentou o percentual de gastos com pessoal de 43,23% da RCL em 2023. Portanto, abaixo do limite de 48,60% permitido pelo artigo 20, II “c”, combinado com artigo 20, §4º, todos da LRF.</w:t>
      </w:r>
    </w:p>
    <w:p w14:paraId="118B234C" w14:textId="77777777" w:rsidR="00736A8C" w:rsidRPr="00736A8C" w:rsidRDefault="00736A8C" w:rsidP="00736A8C">
      <w:pPr>
        <w:pStyle w:val="1-REL11"/>
      </w:pPr>
      <w:r w:rsidRPr="00736A8C">
        <w:t xml:space="preserve">Já o Poder Judiciário apresentou o percentual de gastos com pessoal de 4,33% da RCL. Portanto, dentro do limite de 6,00% permitido pelo artigo 20, II, “b” combinado com artigo 20, §1º, todos da LRF. </w:t>
      </w:r>
    </w:p>
    <w:p w14:paraId="21D5C41F" w14:textId="77777777" w:rsidR="00736A8C" w:rsidRPr="00736A8C" w:rsidRDefault="00736A8C" w:rsidP="00736A8C">
      <w:pPr>
        <w:pStyle w:val="1-REL11"/>
      </w:pPr>
      <w:r w:rsidRPr="00736A8C">
        <w:t>A Assembleia Legislativa apresentou o percentual de gastos com pessoal de 1,27% da RCL, portanto, abaixo do limite máximo de 1,50% conferido pelo artigo 2º da LCE nº 112/2014, e artigo 20, II, “a”, combinado com §1º do mesmo art. 20 da LRF.</w:t>
      </w:r>
    </w:p>
    <w:p w14:paraId="20D1A4DE" w14:textId="77777777" w:rsidR="00736A8C" w:rsidRPr="00736A8C" w:rsidRDefault="00736A8C" w:rsidP="00736A8C">
      <w:pPr>
        <w:pStyle w:val="1-REL11"/>
      </w:pPr>
      <w:r w:rsidRPr="00736A8C">
        <w:t>O Ministério Público Estadual apresentou o percentual de gastos com pessoal de 1,66% da RCL, permitido pelo artigo 20, II, “d”, da LRF, portanto, dentro do limite atribuído para o Órgão Ministerial, que é de 2,00% da RCL.</w:t>
      </w:r>
    </w:p>
    <w:p w14:paraId="25AE96B1" w14:textId="77777777" w:rsidR="00736A8C" w:rsidRPr="00736A8C" w:rsidRDefault="00736A8C" w:rsidP="00736A8C">
      <w:pPr>
        <w:pStyle w:val="1-REL11"/>
      </w:pPr>
      <w:r w:rsidRPr="00736A8C">
        <w:t>O Tribunal de Contas do Estado apresentou percentual de gastos com pessoal de 0,83% da RCL e está, portanto, dentro do limite máximo de 1,35% da RCL permitido pela LRF.</w:t>
      </w:r>
    </w:p>
    <w:p w14:paraId="35D7C710" w14:textId="77777777" w:rsidR="00736A8C" w:rsidRPr="00736A8C" w:rsidRDefault="00736A8C" w:rsidP="00736A8C">
      <w:pPr>
        <w:pStyle w:val="1-REL11"/>
      </w:pPr>
      <w:r w:rsidRPr="00736A8C">
        <w:t>E o Tribunal de Contas dos Municípios teve percentual de gastos com pessoal de 0,44% da RCL e está dentro do teto de 0,55%, com fundamento no artigo 2º da LCE nº 112/2014, e artigo 20, II, “a”, combinado com artigo §1º do mesmo art. 20 da LRF.</w:t>
      </w:r>
    </w:p>
    <w:p w14:paraId="31FC8495" w14:textId="77777777" w:rsidR="00736A8C" w:rsidRPr="00736A8C" w:rsidRDefault="00736A8C" w:rsidP="00736A8C">
      <w:pPr>
        <w:pStyle w:val="1-REL11"/>
      </w:pPr>
      <w:r w:rsidRPr="00736A8C">
        <w:t xml:space="preserve">Em 2023, a </w:t>
      </w:r>
      <w:r w:rsidRPr="00736A8C">
        <w:rPr>
          <w:b/>
        </w:rPr>
        <w:t>Evolução da Despesa com Pessoal dos Poderes e Órgãos Autônomos</w:t>
      </w:r>
      <w:r w:rsidRPr="00736A8C">
        <w:t xml:space="preserve"> (item 4.2.4) demonstrou que a despesa de pessoal do Estado aumentou 10,41% em relação ao exercício financeiro de 2022, portanto, bem acima da inflação (IPCA) do período de 4,62% e do próprio crescimento da RCL. Embora as revisões salariais ocorridas no exercício de 2023 tenham sido parceladas e pagas 2,92% em maio/2023 e 2,92% em outubro/2023, os dados mostram que o impacto na despesa com pessoal superou o próprio índice de inflação para revisão salarial dos servidores públicos.</w:t>
      </w:r>
    </w:p>
    <w:p w14:paraId="3F7724D1" w14:textId="77777777" w:rsidR="00736A8C" w:rsidRPr="00736A8C" w:rsidRDefault="00736A8C" w:rsidP="00736A8C">
      <w:pPr>
        <w:pStyle w:val="1-REL11"/>
      </w:pPr>
      <w:r w:rsidRPr="00736A8C">
        <w:t>As despesas líquidas globais com despesa de pessoal atingiram 51,77% da RCL, abaixo do limite máximo a ser despendido com pessoal de 60,00%. A expansão da despesa com pessoal versus RCL aumentou e passou de 48,35% em 2022 para 51,77% em 2023, correspondendo ao aumento nominal de R$ 1,87 bilhão. Nos últimos dois anos (2022 e 2023) a despesa com pessoal consolidada do estado de Goiás está desalinhada com a performance da arrecadação. Portanto, os gastos alocados com recursos humanos estão percentualmente superiores a RCL e isso sinaliza que o estado de Goiás, embora esteja no RRF, poderá ter problemas com desiquilíbrio fiscal nos anos à frente, tendo em vista que 51,77% da RCL são despendidos com pessoal.</w:t>
      </w:r>
    </w:p>
    <w:p w14:paraId="58CC33DA" w14:textId="77777777" w:rsidR="00736A8C" w:rsidRPr="00736A8C" w:rsidRDefault="00736A8C" w:rsidP="00736A8C">
      <w:pPr>
        <w:pStyle w:val="1-REL11"/>
      </w:pPr>
      <w:r w:rsidRPr="00736A8C">
        <w:t xml:space="preserve">Com uma análise individual dos Poderes e Órgãos Autônomos, verifica-se que todos apresentaram elevação de gastos com pessoal entre 2022/2023 que superaram o percentual de elevação de 3,13% da RCL do mesmo período. O aumento nos gastos com pessoal com relação a 2022 do Poder Executivo atingiu 10,04%, a Alego 15,76%, o TCE 7,01%, o TCM 6,23%, o </w:t>
      </w:r>
      <w:r w:rsidRPr="00736A8C">
        <w:lastRenderedPageBreak/>
        <w:t>Poder Judiciário 13,97% e o Ministério Público 10,41%. É significativo informar que a Defensoria Pública Estadual vem tendo gastos com pessoal que se distancia da realidade de todos os Poderes e Órgãos Autônomos do estado de Goiás. Embora os gastos com pessoal da DPE representem 0,28% da RCL de Goiás, observa-se que o aumento nominal em comparação a 2022 corresponde a 29,70%.</w:t>
      </w:r>
    </w:p>
    <w:p w14:paraId="2CEE0870" w14:textId="77777777" w:rsidR="00736A8C" w:rsidRPr="00736A8C" w:rsidRDefault="00736A8C" w:rsidP="00736A8C">
      <w:pPr>
        <w:pStyle w:val="1-REL11"/>
      </w:pPr>
      <w:r w:rsidRPr="00736A8C">
        <w:t xml:space="preserve">A análise da </w:t>
      </w:r>
      <w:r w:rsidRPr="00736A8C">
        <w:rPr>
          <w:b/>
        </w:rPr>
        <w:t>Despesa com Pessoal Bruta</w:t>
      </w:r>
      <w:r w:rsidRPr="00736A8C">
        <w:t xml:space="preserve"> (item 4.2.6) sempre contempla as despesas líquidas. Apura-se a despesa bruta e o art. 19 da LRF permite que algumas despesas sejam excluídas, e o resultado é definido como despesa líquida com pessoal, sendo que esses dados são utilizados para apuração dos limites definidos no art. 20, inciso II, da LRF. Todavia, os gastos brutos são mais condizentes com a realidade tendo em conta que despesas relevantes decorrentes de decisão judicial, despesas de exercícios anteriores e despesas previdenciárias relacionadas aos descontos efetuados dos servidores ativos, inativos e pensionistas no montante de R$ 4,34 bilhões são excluídas da despesa bruta com pessoal. Portanto, a análise contemplando a despesa bruta com pessoal do estado de Goiás alcança 63,10% da RCL.</w:t>
      </w:r>
    </w:p>
    <w:p w14:paraId="42C68D26" w14:textId="77777777" w:rsidR="00736A8C" w:rsidRPr="00736A8C" w:rsidRDefault="00736A8C" w:rsidP="00736A8C">
      <w:pPr>
        <w:pStyle w:val="1-REL11"/>
      </w:pPr>
      <w:r w:rsidRPr="00736A8C">
        <w:t xml:space="preserve">A </w:t>
      </w:r>
      <w:r w:rsidRPr="00736A8C">
        <w:rPr>
          <w:b/>
        </w:rPr>
        <w:t>Apuração da Dívida Pública Consolidada</w:t>
      </w:r>
      <w:r w:rsidRPr="00736A8C">
        <w:t xml:space="preserve"> (item 4.3.2) constatou que a dívida bruta foi majorada em R$ 1,16 bilhão no período 2022/2023, e em 2023 o Estado passou a pagar à União 11,11% do serviço mensal dos contratos integrantes do RRF. A incorporação dos débitos efetuadas por meio do regime de recuperação fiscal da qual o estado de Goiás foi submetido, e fundamentados no artigo 23 LC nº 178/2021 e artigo 9º da LC nº 159/2017 são feitas no Contrato nº 255/2021. Esse contrato tinha um saldo devedor de R$ 6,85 bilhões em 31/12/2022 e passou para um saldo devedor de R$ 8,86 bilhões em 31/12/2023, portanto, um aumento de R$ 2,01 bilhões.</w:t>
      </w:r>
    </w:p>
    <w:p w14:paraId="5621CA30" w14:textId="77777777" w:rsidR="00736A8C" w:rsidRPr="00736A8C" w:rsidRDefault="00736A8C" w:rsidP="00736A8C">
      <w:pPr>
        <w:pStyle w:val="1-REL11"/>
      </w:pPr>
      <w:r w:rsidRPr="00736A8C">
        <w:t>A Dívida Consolidada Líquida (DCL) de R$ 12,10 bilhões representa 29,53% da RCL. A DCL reduziu R$ 768,92 milhões em relação ao exercício de 2022, por consequência do aumento de disponibilidade financeira de R$ 1,94 bilhão no mesmo período. Assim, considerando que o limite para a dívida consolidada líquida definido pela Resolução do Senado Federal nº 40/2001 é de 200% da RCL, têm-se por consequência que Goiás obedeceu ao limite legal de endividamento.</w:t>
      </w:r>
    </w:p>
    <w:p w14:paraId="6956760A" w14:textId="77777777" w:rsidR="00736A8C" w:rsidRPr="00736A8C" w:rsidRDefault="00736A8C" w:rsidP="00736A8C">
      <w:pPr>
        <w:pStyle w:val="1-REL11"/>
      </w:pPr>
      <w:r w:rsidRPr="00736A8C">
        <w:t>Considerando os passivos contingentes (Fundo de Aporte à Celg e ações judiciais envolvendo os programas financeiros relacionados ao Protege, Fomentar e Produzir), a Dívida Consolidada Líquida de Goiás potencialmente totaliza R$ 53,31 bilhões, equivalendo a 138,97% da RCL.</w:t>
      </w:r>
    </w:p>
    <w:p w14:paraId="34FB5F56" w14:textId="77777777" w:rsidR="00736A8C" w:rsidRPr="00736A8C" w:rsidRDefault="00736A8C" w:rsidP="00736A8C">
      <w:pPr>
        <w:pStyle w:val="1-REL11"/>
      </w:pPr>
      <w:r w:rsidRPr="00736A8C">
        <w:t xml:space="preserve">Constatou-se que o estado de Goiás não realizou </w:t>
      </w:r>
      <w:r w:rsidRPr="00736A8C">
        <w:rPr>
          <w:b/>
        </w:rPr>
        <w:t>Operações de Crédito</w:t>
      </w:r>
      <w:r w:rsidRPr="00736A8C">
        <w:t xml:space="preserve"> (item 4.4) no exercício de 2023.</w:t>
      </w:r>
    </w:p>
    <w:p w14:paraId="2A8529D4" w14:textId="77777777" w:rsidR="00736A8C" w:rsidRPr="00736A8C" w:rsidRDefault="00736A8C" w:rsidP="00736A8C">
      <w:pPr>
        <w:pStyle w:val="1-REL11"/>
      </w:pPr>
      <w:r w:rsidRPr="00736A8C">
        <w:t xml:space="preserve">Quanto ao </w:t>
      </w:r>
      <w:r w:rsidRPr="00736A8C">
        <w:rPr>
          <w:b/>
        </w:rPr>
        <w:t>Serviço da Dívida</w:t>
      </w:r>
      <w:r w:rsidRPr="00736A8C">
        <w:t xml:space="preserve"> (item 4.5), registre-se que em 2023 o Estado passou a pagar à União 11,11% do serviço mensal dos contratos integrantes do RRF, com fundamento no art. 9º, LC nº 159/2017. Dos valores despendidos de R$ 485,40 milhões, o saldo de R$ 178,44 milhões se refere a amortização de dívida, e R$ 306,95 milhões trata-se de juros sobre a dívida que foram pagos usando a compensação por perdas de ICMS, nos termos da LC nº 194/2022 e LC nº </w:t>
      </w:r>
      <w:r w:rsidRPr="00736A8C">
        <w:lastRenderedPageBreak/>
        <w:t>201/2023. Além disso, foram adicionados à dívida o pagamento de R$ 558,54 milhões de precatórios, resultando no montante de R$ 1,47 bilhão.</w:t>
      </w:r>
    </w:p>
    <w:p w14:paraId="51A27DB6" w14:textId="77777777" w:rsidR="00736A8C" w:rsidRPr="00736A8C" w:rsidRDefault="00736A8C" w:rsidP="00736A8C">
      <w:pPr>
        <w:pStyle w:val="1-REL11"/>
      </w:pPr>
      <w:r w:rsidRPr="00736A8C">
        <w:t xml:space="preserve">Quanto aos </w:t>
      </w:r>
      <w:r w:rsidRPr="00736A8C">
        <w:rPr>
          <w:b/>
        </w:rPr>
        <w:t>Precatórios</w:t>
      </w:r>
      <w:r w:rsidRPr="00736A8C">
        <w:t xml:space="preserve"> (item 4.9), a Emenda Constitucional nº 109/2021 estabeleceu a data de 31/12//2029 para que os débitos oriundos de precatórios sejam quitados, e o artigo 3º da mesma Lei afirmou que o débito deve ser corrigido pela taxa Selic. Em 2023, houve repasse de R$ 558,54 milhões para pagamentos de precatórios, entretanto, ainda existem débitos de R$ 996,91 milhões em 31/12/2023.</w:t>
      </w:r>
    </w:p>
    <w:p w14:paraId="61BD84D5" w14:textId="77777777" w:rsidR="00736A8C" w:rsidRPr="00736A8C" w:rsidRDefault="00736A8C" w:rsidP="00736A8C">
      <w:pPr>
        <w:pStyle w:val="1-REL11"/>
      </w:pPr>
      <w:r w:rsidRPr="00736A8C">
        <w:t xml:space="preserve">A respeito das </w:t>
      </w:r>
      <w:r w:rsidRPr="00736A8C">
        <w:rPr>
          <w:b/>
        </w:rPr>
        <w:t>Metas Fiscais Estabelecidas na LDO</w:t>
      </w:r>
      <w:r w:rsidRPr="00736A8C">
        <w:t xml:space="preserve"> (item 4.10), definidas pela Lei Estadual nº 21.527/2022, previa resultado primário de R$ 1,20 bilhão e resultado nominal de R$ 572,89 milhões. Quanto ao resultado nominal, observou-se, ao final de 2023, um superávit de R$ 768,92 milhões na metodologia abaixo da linha, portanto, dentro da meta estabelecida pela lei nº 21.527/2022. O resultado primário obtido foi um superávit de R$ 1,53 bilhão.</w:t>
      </w:r>
    </w:p>
    <w:p w14:paraId="3E9DD7CA" w14:textId="77777777" w:rsidR="00736A8C" w:rsidRPr="00736A8C" w:rsidRDefault="00736A8C" w:rsidP="00736A8C">
      <w:pPr>
        <w:pStyle w:val="1-REL11"/>
      </w:pPr>
      <w:r w:rsidRPr="00736A8C">
        <w:t xml:space="preserve">Os demonstrativos de previdência dos servidores estão subdivididos em 5 relatórios: Fundo em Capitalização (Plano Previdenciário), Fundo em Repartição (Plano Financeiro), Administração do Regime Próprio de Previdência dos Servidores – RPPS, Benefícios Previdenciário Mantidos pelo Tesouro e Receitas e Despesas associadas às Pensões e aos Inativos Militares (Sistema de Proteção Social dos Militares), e o </w:t>
      </w:r>
      <w:r w:rsidRPr="00736A8C">
        <w:rPr>
          <w:b/>
        </w:rPr>
        <w:t>Resumo Previdenciário</w:t>
      </w:r>
      <w:r w:rsidRPr="00736A8C">
        <w:t xml:space="preserve"> (item 4.11.7) demonstra que, de forma consolidada, o sistema previdenciário apresenta déficit de R$ 4,63 bilhões no exercício financeiro de 2023.</w:t>
      </w:r>
    </w:p>
    <w:p w14:paraId="486C3640" w14:textId="77777777" w:rsidR="00736A8C" w:rsidRPr="00736A8C" w:rsidRDefault="00736A8C" w:rsidP="00736A8C">
      <w:pPr>
        <w:pStyle w:val="1-REL11"/>
      </w:pPr>
      <w:r w:rsidRPr="00736A8C">
        <w:t>De acordo com o relatório atuarial elaborado pela Goiasprev, o déficit previdenciário do Fundo Financeiro continuará crescendo até o exercício de 2032, quando atingirá a ordem anual de R$ 4,94 bilhões. Com relação à despesa, é possível observar que o valor máximo se dará em 2032, quando atingirá R$ 6,72 bilhões no ano.</w:t>
      </w:r>
    </w:p>
    <w:p w14:paraId="7A6A153B" w14:textId="77777777" w:rsidR="00736A8C" w:rsidRPr="00736A8C" w:rsidRDefault="00736A8C" w:rsidP="00736A8C">
      <w:pPr>
        <w:pStyle w:val="1-REL11"/>
      </w:pPr>
      <w:r w:rsidRPr="00736A8C">
        <w:t>Ainda de acordo com o relatório de avaliação atuarial do Fundo Financeiro do SPSM, a necessidade de financiamento do SPSM continuará crescendo até o exercício de 2045, quando atingirá a ordem anual de R$ 3,13 bilhões. Com relação à despesa, é possível observar que o valor máximo também se dará em 2045, quando atingirá R$ 3,55 bilhões no ano.</w:t>
      </w:r>
    </w:p>
    <w:p w14:paraId="52BD6C6C" w14:textId="77777777" w:rsidR="00736A8C" w:rsidRPr="00736A8C" w:rsidRDefault="00736A8C" w:rsidP="00736A8C">
      <w:pPr>
        <w:pStyle w:val="1-REL11"/>
      </w:pPr>
      <w:r w:rsidRPr="00736A8C">
        <w:t xml:space="preserve">O </w:t>
      </w:r>
      <w:r w:rsidRPr="00736A8C">
        <w:rPr>
          <w:b/>
        </w:rPr>
        <w:t>Plano Previdenciário</w:t>
      </w:r>
      <w:r w:rsidRPr="00736A8C">
        <w:t xml:space="preserve"> (item 4.11.2) possui resultado positivo e não teve despesas empenhadas. O Fundo Previdenciário do RPPS/GO (item 4.11.7), que teve início operacional a partir de novembro de 2020, possui saldo de R$ 263,47 milhões em 31/12/2023, compostos pelas contribuições normais e dos respectivos rendimentos financeiros obtidos no período.</w:t>
      </w:r>
    </w:p>
    <w:p w14:paraId="47F54BF7" w14:textId="77777777" w:rsidR="00736A8C" w:rsidRPr="00736A8C" w:rsidRDefault="00736A8C" w:rsidP="00736A8C">
      <w:pPr>
        <w:pStyle w:val="1-REL11"/>
      </w:pPr>
      <w:r w:rsidRPr="00736A8C">
        <w:t xml:space="preserve">Para manter o equilíbrio entre as receitas e despesas previdenciárias, os </w:t>
      </w:r>
      <w:r w:rsidRPr="00736A8C">
        <w:rPr>
          <w:b/>
        </w:rPr>
        <w:t>Aportes Efetuados pelo Tesouro Estadual</w:t>
      </w:r>
      <w:r w:rsidRPr="00736A8C">
        <w:t xml:space="preserve"> (item 4.11.8) foram de R$ 4,89 bilhões no exercício de 2023. Dos valores aportados, R$ 323 milhões referem-se aos Poderes Judiciário e Legislativo, bem como o Ministério Público e Tribunais de Contas. O Tesouro Estadual utilizou R$ 790,60 milhões de recursos provenientes da alienação da Celg Transmissão para os pagamentos de benefícios previdenciários dos servidores ativos, inativos e pensionistas no exercício financeiro em análise.</w:t>
      </w:r>
    </w:p>
    <w:p w14:paraId="28702FAE" w14:textId="77777777" w:rsidR="00736A8C" w:rsidRPr="00736A8C" w:rsidRDefault="00736A8C" w:rsidP="00736A8C">
      <w:pPr>
        <w:pStyle w:val="1-REL11"/>
      </w:pPr>
      <w:r w:rsidRPr="00736A8C">
        <w:lastRenderedPageBreak/>
        <w:t xml:space="preserve">A respeito do </w:t>
      </w:r>
      <w:r w:rsidRPr="00736A8C">
        <w:rPr>
          <w:b/>
        </w:rPr>
        <w:t>Déficit Previdenciário dos Outros Poderes e Órgão Autônomos</w:t>
      </w:r>
      <w:r w:rsidRPr="00736A8C">
        <w:t xml:space="preserve"> (item 4.11.9), recursos da ordem de R$ 412,17 milhões foram pagos aos inativos e pensionistas dos outros Poderes e Órgãos Autônomos em 2023. Tais recursos não estão sendo efetuados pelo órgão previdenciário estadual, resultando em subavaliação do déficit previdenciário em Goiás. Contudo, destaca-se esses pagamentos são permitidos pela LCE nº 167/2021.</w:t>
      </w:r>
    </w:p>
    <w:p w14:paraId="72E1DDBB" w14:textId="77777777" w:rsidR="00736A8C" w:rsidRPr="00736A8C" w:rsidRDefault="00736A8C" w:rsidP="00736A8C">
      <w:pPr>
        <w:pStyle w:val="1-REL11"/>
      </w:pPr>
      <w:r w:rsidRPr="00736A8C">
        <w:t xml:space="preserve">Quanto ao </w:t>
      </w:r>
      <w:r w:rsidRPr="00736A8C">
        <w:rPr>
          <w:b/>
        </w:rPr>
        <w:t>Acompanhamento de Outros Aspectos da LRF</w:t>
      </w:r>
      <w:r w:rsidRPr="00736A8C">
        <w:t xml:space="preserve"> (item 4.13), com relação à análise dos </w:t>
      </w:r>
      <w:r w:rsidRPr="00736A8C">
        <w:rPr>
          <w:b/>
        </w:rPr>
        <w:t>Restos a Pagar</w:t>
      </w:r>
      <w:r w:rsidRPr="00736A8C">
        <w:t xml:space="preserve"> (item 4.13.1), o exercício de 2023 iniciou com um saldo de RP proveniente de exercícios anteriores de R$ 2,33 bilhões, sendo pagos no exercício R$ 1,35 bilhões e cancelados R$ 266,70 milhões (RPP), restando ao final de 2023 o montante de R$ 716,50 milhões de RP de exercícios anteriores que, somados à inscrição no exercício (R$ 1,47 bilhão), totalizaram R$ 2,19 bilhões.</w:t>
      </w:r>
    </w:p>
    <w:p w14:paraId="5E043FA0" w14:textId="77777777" w:rsidR="00736A8C" w:rsidRPr="00736A8C" w:rsidRDefault="00736A8C" w:rsidP="00736A8C">
      <w:pPr>
        <w:pStyle w:val="1-REL11"/>
      </w:pPr>
      <w:r w:rsidRPr="00736A8C">
        <w:t xml:space="preserve">Além dos RPs, as </w:t>
      </w:r>
      <w:r w:rsidRPr="00736A8C">
        <w:rPr>
          <w:b/>
        </w:rPr>
        <w:t>Demais Obrigações Financeiras</w:t>
      </w:r>
      <w:r w:rsidRPr="00736A8C">
        <w:t xml:space="preserve"> (item 4.13.2) são obrigações que não transitaram pela execução orçamentária e, consequentemente, não foram inscritas em RP e necessitam de disponibilidade de caixa para o seu pagamento imediato. Estas foram constituídas por depósitos e consignações (R$ 1,74 bilhão), sendo que R$ 56,57 milhões não possuem valor correspondente registrado no ativo, além de obrigações incorridas e que não foram registradas orçamentariamente ou que tiveram a liquidação e/ou empenho cancelado no exercício de 2023 no montante de R$ 124,45 milhões (Obrigações por Competência).</w:t>
      </w:r>
    </w:p>
    <w:p w14:paraId="6409BE28" w14:textId="77777777" w:rsidR="00736A8C" w:rsidRPr="00736A8C" w:rsidRDefault="00736A8C" w:rsidP="00736A8C">
      <w:pPr>
        <w:pStyle w:val="1-REL11"/>
      </w:pPr>
      <w:r w:rsidRPr="00736A8C">
        <w:t xml:space="preserve">No que diz respeito à </w:t>
      </w:r>
      <w:r w:rsidRPr="00736A8C">
        <w:rPr>
          <w:b/>
        </w:rPr>
        <w:t>Disponibilidade de Caixa e Restos a Pagar</w:t>
      </w:r>
      <w:r w:rsidRPr="00736A8C">
        <w:rPr>
          <w:b/>
          <w:i/>
        </w:rPr>
        <w:t xml:space="preserve"> </w:t>
      </w:r>
      <w:r w:rsidRPr="00736A8C">
        <w:t xml:space="preserve">(item 4.13.3), em que pese o fato de haver disponibilidade para arcar com o saldo de RP, algumas fontes de recursos apresentaram saldo negativo na ordem de R$ 5,62 milhões, sendo que 80,49% estão no Poder Executivo. Todavia, o saldo negativo destas fontes, neste momento, não possui materialidade, vez que representa menos que 0,01% do saldo existente na CUTE (R$ 11,13 bilhões). </w:t>
      </w:r>
    </w:p>
    <w:p w14:paraId="64D0E6FC" w14:textId="77777777" w:rsidR="00736A8C" w:rsidRPr="00736A8C" w:rsidRDefault="00736A8C" w:rsidP="00736A8C">
      <w:pPr>
        <w:pStyle w:val="1-REL11"/>
      </w:pPr>
      <w:r w:rsidRPr="00736A8C">
        <w:t>Em relação às fontes negativas, sugere-se que seja determinado à todos os Poderes e Órgãos Autônomos que adotem providências para equalizar eventuais fontes negativas, divulgando em notas explicativas os saldos negativos das fontes que não foram regularizadas e suas razões.</w:t>
      </w:r>
    </w:p>
    <w:p w14:paraId="3D3A4550" w14:textId="77777777" w:rsidR="00736A8C" w:rsidRPr="00736A8C" w:rsidRDefault="00736A8C" w:rsidP="00736A8C">
      <w:pPr>
        <w:pStyle w:val="1-REL11"/>
      </w:pPr>
      <w:r w:rsidRPr="00736A8C">
        <w:t xml:space="preserve">Em relação a </w:t>
      </w:r>
      <w:r w:rsidRPr="00736A8C">
        <w:rPr>
          <w:b/>
        </w:rPr>
        <w:t>CUTE</w:t>
      </w:r>
      <w:r w:rsidRPr="00736A8C">
        <w:rPr>
          <w:b/>
          <w:i/>
        </w:rPr>
        <w:t xml:space="preserve"> </w:t>
      </w:r>
      <w:r w:rsidRPr="00736A8C">
        <w:t>(item 4.14), verificou-se que a maior parte do total registrado em Caixa e Equivalentes de Caixa (R$ 15,47 bilhões), R$ 11,13 bilhões (71,90%) estão na CUTE, onde R$ 10,99 bilhões constam em aplicações financeiras. Do total do saldo da CUTE (R$ 11,13 bilhões), R$ 8,52 bilhões está aplicado em CDB/RDB e R$ 138,08 milhões em conta corrente, sendo o saldo compatível com os extratos apresentados. Quanto às reversões de saldo ao Tesouro, estas totalizaram R$ 1 bilhão e não foram identificadas reversões que comprometessem o pagamento de RP.</w:t>
      </w:r>
    </w:p>
    <w:p w14:paraId="7F81D9E3" w14:textId="77777777" w:rsidR="00736A8C" w:rsidRPr="00736A8C" w:rsidRDefault="00736A8C" w:rsidP="00736A8C">
      <w:pPr>
        <w:pStyle w:val="1-REL11"/>
      </w:pPr>
      <w:r w:rsidRPr="00736A8C">
        <w:t xml:space="preserve">A respeito do </w:t>
      </w:r>
      <w:r w:rsidRPr="00736A8C">
        <w:rPr>
          <w:b/>
        </w:rPr>
        <w:t>Teto de Gastos</w:t>
      </w:r>
      <w:r w:rsidRPr="00736A8C">
        <w:t xml:space="preserve"> (item 4.15), abordou-se o panorama relativo aos regimes aos quais o Estado está sujeito. O primeiro, previsto na LC nº 156/2016, teve como objetivo limitar o crescimento das despesas primárias correntes durante o período de 2021 a 2023 e, inicialmente, apresentou resultado insatisfatório (furo do teto) na ordem de R$ 399,02 milhões. Porém, em virtude de decisão proferida no âmbito da ACO nº 3.651, não transitada em julgado, efetuou-se </w:t>
      </w:r>
      <w:r w:rsidRPr="00736A8C">
        <w:lastRenderedPageBreak/>
        <w:t xml:space="preserve">novos cálculos que demonstraram que o Estado conseguiu cumprir o referido limite, apresentando uma folga de R$ 981,10 milhões, situação que está sujeita a alteração e que também precisa ser validada pela STN. Já em relação ao RRF, previsto na LC nº 159/2017 e que tem vigência durante o período de 2022 a 2023, o Estado vem cumprindo os limites de gastos até então apurados. </w:t>
      </w:r>
    </w:p>
    <w:p w14:paraId="3390D2C6" w14:textId="77777777" w:rsidR="00736A8C" w:rsidRPr="00736A8C" w:rsidRDefault="00736A8C" w:rsidP="00736A8C">
      <w:pPr>
        <w:pStyle w:val="1-REL11"/>
      </w:pPr>
      <w:r w:rsidRPr="00736A8C">
        <w:t xml:space="preserve">No exame da </w:t>
      </w:r>
      <w:r w:rsidRPr="00736A8C">
        <w:rPr>
          <w:b/>
        </w:rPr>
        <w:t>Renúncia de Receita</w:t>
      </w:r>
      <w:r w:rsidRPr="00736A8C">
        <w:t xml:space="preserve"> (item 4.16), verificou-se que os valores estimados apresentam um volume que representa aproximadamente 60% da receita tributária prevista para as metas fiscais anuais, e vislumbrou-se pela necessidade de melhorias na transparência quando da elaboração do Anexo I – Anexo de Metas Fiscais da LDO. Em relação à renúncia efetivamente concedida, demonstrou-se que essa equivale a 38,55% da receita tributária bruta e 61,33% da receita tributária líquida. Quanto a sua evidenciação e registro, percebeu-se a necessidade de melhorias nas informações publicadas no Portal de Transparência do Estado e da realização de estudos sobre a viabilidade de efetuar os registros contábeis contemplando todas as instruções previstas no MCAPS e na IPC 16 – Benefícios Fiscais.</w:t>
      </w:r>
    </w:p>
    <w:p w14:paraId="55F2D2C4" w14:textId="77777777" w:rsidR="00736A8C" w:rsidRPr="00736A8C" w:rsidRDefault="00736A8C" w:rsidP="00736A8C">
      <w:pPr>
        <w:pStyle w:val="1-REL11"/>
      </w:pPr>
    </w:p>
    <w:p w14:paraId="5F8C8510" w14:textId="77777777" w:rsidR="00736A8C" w:rsidRPr="00736A8C" w:rsidRDefault="00736A8C" w:rsidP="00736A8C">
      <w:pPr>
        <w:pStyle w:val="0-TITSN"/>
      </w:pPr>
      <w:r w:rsidRPr="00736A8C">
        <w:t>Capítulo 5 – Vinculações Constitucionais</w:t>
      </w:r>
    </w:p>
    <w:p w14:paraId="2CD9AB2D" w14:textId="77777777" w:rsidR="00736A8C" w:rsidRPr="00736A8C" w:rsidRDefault="00736A8C" w:rsidP="00736A8C">
      <w:pPr>
        <w:pStyle w:val="1-REL11"/>
      </w:pPr>
      <w:r w:rsidRPr="00736A8C">
        <w:t xml:space="preserve">No que diz respeito a </w:t>
      </w:r>
      <w:r w:rsidRPr="00736A8C">
        <w:rPr>
          <w:b/>
        </w:rPr>
        <w:t>Destinação de Receita aos Municípios</w:t>
      </w:r>
      <w:r w:rsidRPr="00736A8C">
        <w:t xml:space="preserve"> (item 5.1), conforme os percentuais previstos na legislação, do montante arrecadado, R$ 7,63 bilhões devem ser destinados aos municípios goianos, tendo sido efetivamente repassado, conforme Anexo 10A, o montante de R$ 7,90 bilhões, R$ 34,26 milhões (0,55%) a mais.</w:t>
      </w:r>
    </w:p>
    <w:p w14:paraId="3588BA8F" w14:textId="77777777" w:rsidR="00736A8C" w:rsidRPr="00736A8C" w:rsidRDefault="00736A8C" w:rsidP="00736A8C">
      <w:pPr>
        <w:pStyle w:val="1-REL11"/>
      </w:pPr>
      <w:r w:rsidRPr="00736A8C">
        <w:t>Solicitada conciliação entre o Demonstrativo de Repasses aos Municípios e de Repasses ao Fundeb e as naturezas de receita constantes no Anexo 10 do SCG, a resposta apresentada não demonstrou a base de cálculo dos tributos com base nas naturezas de receitas do Anexo 10A, bem como também não considerou todas as naturezas de receitas dos repasses aos municípios (dedução) no caso do ICMS, ou seja, segundo o Anexo 10A, foram repassados R$ 6,27 bilhões aos municípios, enquanto a nota técnica informa repasse de R$ 4,89 bilhões, o que também diverge das informações divulgadas de R$ 6,31 bilhões, não sendo possível identificar a causa das supostas divergências.</w:t>
      </w:r>
    </w:p>
    <w:p w14:paraId="5969D84A" w14:textId="77777777" w:rsidR="00736A8C" w:rsidRPr="00736A8C" w:rsidRDefault="00736A8C" w:rsidP="00736A8C">
      <w:pPr>
        <w:pStyle w:val="1-REL11"/>
      </w:pPr>
      <w:r w:rsidRPr="00736A8C">
        <w:t xml:space="preserve">Quanto a </w:t>
      </w:r>
      <w:r w:rsidRPr="00736A8C">
        <w:rPr>
          <w:b/>
        </w:rPr>
        <w:t>Aplicação de Receita na Educação</w:t>
      </w:r>
      <w:r w:rsidRPr="00736A8C">
        <w:t xml:space="preserve"> (item 5.2) a despesa executada na Função Educação no exercício de 2023 alcançou o montante de R$ 6,41 bilhões, o que representa 16,26% do total de despesa empenhada pelo Estado no exercício. A subfunção Educação Básica foi responsável por 68,02% das despesas empenhadas na Função Educação e compreende valores destinados a programas que contemplam, simultaneamente, mais de uma etapa da educação básica. Apenas 5,22% da despesa executada nesta função foi aplicada em Investimentos, tendo sido aplicada 94,78% da despesa empenhada em Despesas Correntes.</w:t>
      </w:r>
    </w:p>
    <w:p w14:paraId="4C9B6EA4" w14:textId="77777777" w:rsidR="00736A8C" w:rsidRPr="00736A8C" w:rsidRDefault="00736A8C" w:rsidP="00736A8C">
      <w:pPr>
        <w:pStyle w:val="1-REL11"/>
      </w:pPr>
      <w:r w:rsidRPr="00736A8C">
        <w:t xml:space="preserve">Em relação ao </w:t>
      </w:r>
      <w:r w:rsidRPr="00736A8C">
        <w:rPr>
          <w:b/>
        </w:rPr>
        <w:t>Fundeb</w:t>
      </w:r>
      <w:r w:rsidRPr="00736A8C">
        <w:t xml:space="preserve">, observou-se uma diferença de R$ 10,95 milhões a menor entre o que deveria ter sido repassado ao fundo e o que efetivamente foi repassado de acordo com o Anexo </w:t>
      </w:r>
      <w:r w:rsidRPr="00736A8C">
        <w:lastRenderedPageBreak/>
        <w:t>8 do RREO. No BGE o Estado alega que o repasse ao Fundeb foi R$ 10,71 milhões a menor e que esta diferença será objeto de repasse complementar, após apuração em Portaria Interministerial MEC/ME.</w:t>
      </w:r>
    </w:p>
    <w:p w14:paraId="01F068AB" w14:textId="77777777" w:rsidR="00736A8C" w:rsidRPr="00736A8C" w:rsidRDefault="00736A8C" w:rsidP="00736A8C">
      <w:pPr>
        <w:pStyle w:val="1-REL11"/>
      </w:pPr>
      <w:r w:rsidRPr="00736A8C">
        <w:t xml:space="preserve">Conforme exigência da CF/88, art. 212-A, inciso XI, o Estado deverá aplicar, no mínimo, 70% dos recursos do Fundeb na </w:t>
      </w:r>
      <w:r w:rsidRPr="00736A8C">
        <w:rPr>
          <w:b/>
        </w:rPr>
        <w:t>remuneração dos profissionais da educação básica</w:t>
      </w:r>
      <w:r w:rsidRPr="00736A8C">
        <w:t xml:space="preserve"> em efetivo exercício. Em 2023 o valor aplicado foi de R$ 2,49 bilhões, acima do mínimo exigido, performando 70,08% dos recursos do fundo.</w:t>
      </w:r>
    </w:p>
    <w:p w14:paraId="7EEC087D" w14:textId="77777777" w:rsidR="00736A8C" w:rsidRPr="00736A8C" w:rsidRDefault="00736A8C" w:rsidP="00736A8C">
      <w:pPr>
        <w:pStyle w:val="1-REL11"/>
        <w:rPr>
          <w:bCs/>
        </w:rPr>
      </w:pPr>
      <w:r w:rsidRPr="00736A8C">
        <w:rPr>
          <w:bCs/>
        </w:rPr>
        <w:t xml:space="preserve">De acordo com a Lei nº 14.113/2020, art. 25, caput e § 3º, os recursos do Fundeb deverão ser utilizados no </w:t>
      </w:r>
      <w:r w:rsidRPr="00736A8C">
        <w:rPr>
          <w:b/>
          <w:bCs/>
        </w:rPr>
        <w:t>exercício financeiro em que lhes forem creditados</w:t>
      </w:r>
      <w:r w:rsidRPr="00736A8C">
        <w:rPr>
          <w:bCs/>
        </w:rPr>
        <w:t>, sendo permitido que, no máximo, 10% desses recursos sejam utilizados no 1º quadrimestre do exercício subsequente. Em 2023, R$ 321,07 milhões, ou seja, 8,97% dos recursos recebidos no exercício não foram aplicados, portanto, dentro do limite da lei.</w:t>
      </w:r>
    </w:p>
    <w:p w14:paraId="400E8F3C" w14:textId="77777777" w:rsidR="00736A8C" w:rsidRPr="00736A8C" w:rsidRDefault="00736A8C" w:rsidP="00736A8C">
      <w:pPr>
        <w:pStyle w:val="1-REL11"/>
      </w:pPr>
      <w:r w:rsidRPr="00736A8C">
        <w:t xml:space="preserve">O valor mínimo a ser aplicado em MDE no exercício de 2023 é de R$ 7,39 bilhões, o que representa 25% do total da Receita Líquida de Impostos (R$ 29,57 bilhões). As despesas totais consideradas para cálculo do </w:t>
      </w:r>
      <w:r w:rsidRPr="00736A8C">
        <w:rPr>
          <w:b/>
        </w:rPr>
        <w:t>limite mínimo de aplicação de recursos em MDE</w:t>
      </w:r>
      <w:r w:rsidRPr="00736A8C">
        <w:t xml:space="preserve"> em 2023 atingiu R$ 7,84 bilhões, tendo o percentual de aplicação no exercício financeiro de 2023 atingido 26,52%, ou seja, acima do mínimo exigido de 25%.</w:t>
      </w:r>
    </w:p>
    <w:p w14:paraId="0999C9E4" w14:textId="77777777" w:rsidR="00736A8C" w:rsidRPr="00736A8C" w:rsidRDefault="00736A8C" w:rsidP="00736A8C">
      <w:pPr>
        <w:pStyle w:val="1-REL11"/>
      </w:pPr>
      <w:r w:rsidRPr="00736A8C">
        <w:t xml:space="preserve">O valor empenhado relativo a </w:t>
      </w:r>
      <w:r w:rsidRPr="00736A8C">
        <w:rPr>
          <w:b/>
        </w:rPr>
        <w:t>emendas parlamentares impositivas</w:t>
      </w:r>
      <w:r w:rsidRPr="00736A8C">
        <w:t xml:space="preserve"> foi de R$ 89,77 milhões, incluída como MDE e computada como despesa para o cálculo do limite mínimo de aplicação de recursos em MDE, tendo representado, em relação a esta, 1,14%.</w:t>
      </w:r>
    </w:p>
    <w:p w14:paraId="6BE2E22D" w14:textId="77777777" w:rsidR="00736A8C" w:rsidRDefault="00736A8C" w:rsidP="00736A8C">
      <w:pPr>
        <w:pStyle w:val="1-REL11"/>
      </w:pPr>
      <w:r w:rsidRPr="00736A8C">
        <w:t xml:space="preserve">Por fim, em relação a </w:t>
      </w:r>
      <w:r w:rsidRPr="00736A8C">
        <w:rPr>
          <w:b/>
        </w:rPr>
        <w:t>Aplicação de Receita na Saúde</w:t>
      </w:r>
      <w:r w:rsidRPr="00736A8C">
        <w:t xml:space="preserve"> (item 5.3) a despesa executada na Função Saúde no exercício de 2023 alcançou o montante de R$ 5,01 bilhões, o que representa 12,72% do total de despesa empenhada pelo Estado no exercício. A subfunção Assistência Hospitalar e Ambulatorial foi responsável por 67,62% das despesas empenhadas nesta função e compreende as ações destinadas à cobertura de despesas com internações hospitalares e tratamento ambulatorial, incluindo exames de laboratório necessários</w:t>
      </w:r>
      <w:r w:rsidRPr="00286727">
        <w:t xml:space="preserve"> ao diagnóstico e tratamento de doenças</w:t>
      </w:r>
      <w:r>
        <w:t>.</w:t>
      </w:r>
    </w:p>
    <w:p w14:paraId="7A0BDAF2" w14:textId="77777777" w:rsidR="00736A8C" w:rsidRDefault="00736A8C" w:rsidP="00736A8C">
      <w:pPr>
        <w:pStyle w:val="1-REL11"/>
      </w:pPr>
      <w:r w:rsidRPr="00B113B2">
        <w:t>Durante</w:t>
      </w:r>
      <w:r w:rsidRPr="006E4380">
        <w:t xml:space="preserve"> o exercício de 2023, 17 </w:t>
      </w:r>
      <w:r>
        <w:t xml:space="preserve">entidades, entre </w:t>
      </w:r>
      <w:r w:rsidRPr="001437AE">
        <w:rPr>
          <w:b/>
        </w:rPr>
        <w:t>OSs e OSCs</w:t>
      </w:r>
      <w:r>
        <w:t>,</w:t>
      </w:r>
      <w:r w:rsidRPr="006E4380">
        <w:t xml:space="preserve"> receberam repasse de recursos estaduais na Função Saúde</w:t>
      </w:r>
      <w:r>
        <w:t xml:space="preserve">, totalizando o </w:t>
      </w:r>
      <w:r w:rsidRPr="00A93239">
        <w:t>montante de R$ 2,87 bilhões</w:t>
      </w:r>
      <w:r>
        <w:t xml:space="preserve"> em despesas empenhadas, representando 57,19 % do total de despesas empenhas na Função Saúde em 2023.</w:t>
      </w:r>
    </w:p>
    <w:p w14:paraId="33DB66D5" w14:textId="77777777" w:rsidR="00736A8C" w:rsidRPr="00CA1220" w:rsidRDefault="00736A8C" w:rsidP="00736A8C">
      <w:pPr>
        <w:pStyle w:val="1-REL11"/>
      </w:pPr>
      <w:r>
        <w:t xml:space="preserve">Deste valor total, 80,34% (R$ 2,30 bilhões) foi incluído como ASPS e computado como despesa para o cálculo do limite mínimo de aplicação de recursos em ASPS, tendo representado, em </w:t>
      </w:r>
      <w:r w:rsidRPr="00CA1220">
        <w:t xml:space="preserve">relação a esta, </w:t>
      </w:r>
      <w:r>
        <w:t>55,02</w:t>
      </w:r>
      <w:r w:rsidRPr="00CA1220">
        <w:t>%.</w:t>
      </w:r>
    </w:p>
    <w:p w14:paraId="0304C908" w14:textId="77777777" w:rsidR="00736A8C" w:rsidRDefault="00736A8C" w:rsidP="00736A8C">
      <w:pPr>
        <w:pStyle w:val="1-REL11"/>
      </w:pPr>
      <w:r w:rsidRPr="00D67D91">
        <w:t xml:space="preserve">O Estado não apresenta consistência na publicação das OSs e OSCs com as quais mantém conexão de execução de despesas, tampouco em relação aos valores a elas transferidos, uma </w:t>
      </w:r>
      <w:r w:rsidRPr="00D67D91">
        <w:lastRenderedPageBreak/>
        <w:t>vez que foram necessárias a junção de informações de diversas fontes para se compor o universo de entidades beneficiárias de recursos públicos estaduais e foram identificadas diferenças materiais na divulgação dos valores repassados a elas</w:t>
      </w:r>
      <w:r>
        <w:t>.</w:t>
      </w:r>
    </w:p>
    <w:p w14:paraId="69A0EE9A" w14:textId="77777777" w:rsidR="00736A8C" w:rsidRDefault="00736A8C" w:rsidP="00736A8C">
      <w:pPr>
        <w:pStyle w:val="1-REL11"/>
        <w:rPr>
          <w:highlight w:val="yellow"/>
        </w:rPr>
      </w:pPr>
      <w:r>
        <w:t>O</w:t>
      </w:r>
      <w:r w:rsidRPr="00AB48F4">
        <w:t xml:space="preserve"> </w:t>
      </w:r>
      <w:r w:rsidRPr="007418A3">
        <w:rPr>
          <w:b/>
        </w:rPr>
        <w:t>valor mínimo a ser aplicado em ASPS</w:t>
      </w:r>
      <w:r w:rsidRPr="00AB48F4">
        <w:t xml:space="preserve"> no exercício de 2023 é de R$ 3,55 bilhões (</w:t>
      </w:r>
      <w:r>
        <w:t>Receita Líquida de Impostos</w:t>
      </w:r>
      <w:r w:rsidRPr="00F81F77">
        <w:t xml:space="preserve"> x 12%)</w:t>
      </w:r>
      <w:r>
        <w:t xml:space="preserve">. </w:t>
      </w:r>
      <w:r w:rsidRPr="000B11F7">
        <w:t>A despesa executada com ASPS</w:t>
      </w:r>
      <w:r>
        <w:t xml:space="preserve"> em 2023 alcançou o valor de R$ 4,19 bilhões. Portanto, o percentual de aplicação no exercício financeiro de 2023 atingiu 14,00%, ou seja, acima do mínimo exigido de 12%.</w:t>
      </w:r>
    </w:p>
    <w:p w14:paraId="5DEE7AB7" w14:textId="77777777" w:rsidR="00736A8C" w:rsidRDefault="00736A8C" w:rsidP="00736A8C">
      <w:pPr>
        <w:pStyle w:val="1-REL11"/>
      </w:pPr>
      <w:r>
        <w:t xml:space="preserve">O valor </w:t>
      </w:r>
      <w:r w:rsidRPr="009E65F9">
        <w:t>empenhado</w:t>
      </w:r>
      <w:r w:rsidRPr="000952E8">
        <w:t xml:space="preserve"> </w:t>
      </w:r>
      <w:r>
        <w:t xml:space="preserve">relativo a </w:t>
      </w:r>
      <w:r w:rsidRPr="002420D4">
        <w:rPr>
          <w:b/>
        </w:rPr>
        <w:t>emendas parlamentares impositivas</w:t>
      </w:r>
      <w:r>
        <w:t xml:space="preserve"> foi de </w:t>
      </w:r>
      <w:r w:rsidRPr="009E65F9">
        <w:t>R$</w:t>
      </w:r>
      <w:r>
        <w:t xml:space="preserve"> 223,61 milhões, </w:t>
      </w:r>
      <w:r w:rsidRPr="00E4202D">
        <w:t xml:space="preserve">incluída como </w:t>
      </w:r>
      <w:r>
        <w:t>ASPS</w:t>
      </w:r>
      <w:r w:rsidRPr="00E4202D">
        <w:t xml:space="preserve"> e computada como despesa para o cálculo do limite mínimo de aplicação de recursos em </w:t>
      </w:r>
      <w:r>
        <w:t>ASPS</w:t>
      </w:r>
      <w:r w:rsidRPr="00E4202D">
        <w:t xml:space="preserve">, tendo representado, em relação a esta, </w:t>
      </w:r>
      <w:r>
        <w:t>5,34</w:t>
      </w:r>
      <w:r w:rsidRPr="00E4202D">
        <w:t>%.</w:t>
      </w:r>
    </w:p>
    <w:p w14:paraId="20E6971F" w14:textId="77777777" w:rsidR="00736A8C" w:rsidRDefault="00736A8C" w:rsidP="00736A8C">
      <w:pPr>
        <w:pStyle w:val="1-REL11"/>
        <w:ind w:left="142"/>
      </w:pPr>
    </w:p>
    <w:p w14:paraId="49405588" w14:textId="77777777" w:rsidR="00736A8C" w:rsidRDefault="00736A8C" w:rsidP="00736A8C">
      <w:pPr>
        <w:pStyle w:val="0-TITSN"/>
      </w:pPr>
      <w:r w:rsidRPr="00BD3D1F">
        <w:t>Capítulo 6 – Gestão Patrimonial</w:t>
      </w:r>
    </w:p>
    <w:p w14:paraId="441E1102" w14:textId="77777777" w:rsidR="00736A8C" w:rsidRPr="00736A8C" w:rsidRDefault="00736A8C" w:rsidP="00736A8C">
      <w:pPr>
        <w:pStyle w:val="1-REL11"/>
      </w:pPr>
      <w:r w:rsidRPr="00736A8C">
        <w:t xml:space="preserve">O </w:t>
      </w:r>
      <w:r w:rsidRPr="00736A8C">
        <w:rPr>
          <w:b/>
        </w:rPr>
        <w:t>Ativo</w:t>
      </w:r>
      <w:r w:rsidRPr="00736A8C">
        <w:t xml:space="preserve"> </w:t>
      </w:r>
      <w:r w:rsidRPr="00736A8C">
        <w:rPr>
          <w:b/>
        </w:rPr>
        <w:t>Total</w:t>
      </w:r>
      <w:r w:rsidRPr="00736A8C">
        <w:t xml:space="preserve"> (item 6.1.1) apresentou um crescimento de 136,38% em relação a 2022. Do valor total, 26,84% estão alocados no Ativo Circulante e 73,16% no Ativo Não Circulante. No grupo Ativo Circulante os saldos estão concentrados em três subgrupos: Créditos a Curto Prazo, Demais Créditos e Valores a Curto Prazo e Caixa e Equivalentes de Caixa. Por sua vez, no Ativo Não Circulante o destaque é para o Realizável a Longo Prazo e Imobilizado.</w:t>
      </w:r>
    </w:p>
    <w:p w14:paraId="507F41F5" w14:textId="77777777" w:rsidR="00736A8C" w:rsidRPr="00736A8C" w:rsidRDefault="00736A8C" w:rsidP="00736A8C">
      <w:pPr>
        <w:pStyle w:val="1-REL11"/>
      </w:pPr>
      <w:r w:rsidRPr="00736A8C">
        <w:t xml:space="preserve">O subgrupo </w:t>
      </w:r>
      <w:r w:rsidRPr="00736A8C">
        <w:rPr>
          <w:b/>
        </w:rPr>
        <w:t>Caixa e Equivalentes de Caixa</w:t>
      </w:r>
      <w:r w:rsidRPr="00736A8C">
        <w:rPr>
          <w:b/>
          <w:i/>
        </w:rPr>
        <w:t xml:space="preserve"> </w:t>
      </w:r>
      <w:r w:rsidRPr="00736A8C">
        <w:t>(item 6.1.1.1) apresentou um crescimento de R$ 2,26 bilhões (aumento de 17,11% em relação a 2022), totalizando o montante de R$ 15,47 bilhões e está composto dos grupos de contas Caixa e Equivalentes de Caixa em Moeda Nacional e Depósitos Restituíveis e Valores Vinculados, com respectivas participações de 96,98% e 3,02%. O grupo de contas Caixa e Equivalentes de Caixa em Moeda Nacional evidenciou um incremento de 16,06% em 2023, totalizando R$ 15,06 bilhões, e apresentou como contas de maior destaque a Conta Única do Tesouro – CUTE e Aplicações Financeiras de Liquidez Imediata – Uso Geral (assunto abordado de forma detalhada no Capítulo 4 – Gestão Fiscal).</w:t>
      </w:r>
    </w:p>
    <w:p w14:paraId="3D1231BD" w14:textId="77777777" w:rsidR="00736A8C" w:rsidRPr="00736A8C" w:rsidRDefault="00736A8C" w:rsidP="00736A8C">
      <w:pPr>
        <w:pStyle w:val="1-REL11"/>
      </w:pPr>
      <w:r w:rsidRPr="00736A8C">
        <w:t>Em relação aos Depósitos Restituíveis e Valores Vinculados, notou-se uma importante evolução nos saldos quando comparado com 2022, na ordem de 65,20%, totalizando R$ 466,53 milhões no exercício de 2023. Esse aumento se originou, principalmente, da conta Garantias – Caução em Títulos. No entanto, apurou-se que os lançamentos se referem a registros de apólices de seguro-garantia e não de caução financeira, e sendo assim devem ser tratados de forma distinta do que foi constatado no exercício de referência. O seguro-garantia é um contrato vinculado ao objeto principal que o protege contra risco de inadimplemento das obrigações garantidas. Todavia, este pode ou não se realizar e não está sujeito a controle por parte da administração, portanto, não atende aos conceitos de ativo, passivo, tampouco aos respectivos critérios de reconhecimento estabelecidos no MCASP 9ª edição. Dessa forma, tanto o valor do Ativo quando do Passivo estão superavaliados.</w:t>
      </w:r>
    </w:p>
    <w:p w14:paraId="7E0B026A" w14:textId="77777777" w:rsidR="00736A8C" w:rsidRPr="00736A8C" w:rsidRDefault="00736A8C" w:rsidP="00736A8C">
      <w:pPr>
        <w:pStyle w:val="1-REL11"/>
      </w:pPr>
      <w:r w:rsidRPr="00736A8C">
        <w:lastRenderedPageBreak/>
        <w:t xml:space="preserve">No exercício, o subgrupo de contas </w:t>
      </w:r>
      <w:r w:rsidRPr="00736A8C">
        <w:rPr>
          <w:b/>
        </w:rPr>
        <w:t>Créditos a Curto Prazo</w:t>
      </w:r>
      <w:r w:rsidRPr="00736A8C">
        <w:t xml:space="preserve"> </w:t>
      </w:r>
      <w:bookmarkStart w:id="521" w:name="_Hlk167349027"/>
      <w:r w:rsidRPr="00736A8C">
        <w:t xml:space="preserve">(item 6.1.1.2) </w:t>
      </w:r>
      <w:bookmarkEnd w:id="521"/>
      <w:r w:rsidRPr="00736A8C">
        <w:t>registrou um incremento no saldo de 16,89% quando comparado a 2022, totalizando R$ 17,79 bilhões. Do saldo constituído, 98,20% advém do reconhecimento dos créditos tributários a receber de impostos, que totalizaram R$ 17,47 bilhões (incremento de 17,40 % em relação a 2022) e são compostos pelos créditos tributários do IPVA, ITCMD e especialmente do ICMS. Quanto a dívida ativa tributária de curto prazo, notou-se um aumento substancial no saldo de 692,28% em relação ao ano de 2022, oriundos, principalmente, da reclassificação da dívida ativa com impostos – ICMS. Este aumento foi acompanhado pelo incremento nas contas de ajustes de perdas de créditos a curto prazo, na ordem de 796,84%.</w:t>
      </w:r>
    </w:p>
    <w:p w14:paraId="076885C9" w14:textId="77777777" w:rsidR="00736A8C" w:rsidRPr="00736A8C" w:rsidRDefault="00736A8C" w:rsidP="00736A8C">
      <w:pPr>
        <w:pStyle w:val="1-REL11"/>
      </w:pPr>
      <w:r w:rsidRPr="00736A8C">
        <w:t xml:space="preserve">Quanto aos </w:t>
      </w:r>
      <w:r w:rsidRPr="00736A8C">
        <w:rPr>
          <w:b/>
        </w:rPr>
        <w:t>Demais Créditos e Valores a Curto Prazo</w:t>
      </w:r>
      <w:r w:rsidRPr="00736A8C">
        <w:t xml:space="preserve"> (item 6.1.1.3), notou-se um incremento de R$ 14,02 bilhões em relação a 2022, ou seja, aumento de 74,90%, totalizando R$ 32,75 bilhões em 2023, maior saldo dentre as contas do Ativo Circulante. As contas que mais impactaram esse subgrupo foram: Depósitos Restituíveis e Valores Vinculados a Receber, com uma participação de 3,27%; Créditos Previdenciários a Receber a Curto Prazo, detendo 39,31% do subgrupo analisado; e Outros Créditos a Receber e Valores a Curto Prazo, que apresentou 57,36% de participação. A conta Depósitos Restituíveis e Valores Vinculados a Receber, inexistente em 2022, somou R$ 1,07 bilhão em 2023 devido à contabilização do fundo de reserva pelo TJ/GO, relacionado aos depósitos judiciais repassados ao Estado conforme a Lei Estadual nº 20.557/2019.</w:t>
      </w:r>
    </w:p>
    <w:p w14:paraId="4FE12B70" w14:textId="77777777" w:rsidR="00736A8C" w:rsidRPr="00736A8C" w:rsidRDefault="00736A8C" w:rsidP="00736A8C">
      <w:pPr>
        <w:pStyle w:val="1-REL11"/>
      </w:pPr>
      <w:r w:rsidRPr="00736A8C">
        <w:t>Sobre os Créditos Previdenciários a Receber a Curto Prazo, notou-se um expressivo aumento em seu saldo quando comparado a 2022, na ordem de R$ 12,87. bilhões, incremento observado especificamente em Cobertura a Insuficiência Financeira – Benefícios Concedidos. Quanto aos Outros Créditos a Receber e Valores a Curto Prazo, observou-se um aumento do saldo de R$ 78,77 milhões em relação ao ano de 2022, totalizando R$ 18,78 bilhões em 2023. A maior representatividade é de créditos a receber decorrentes de infrações legais e contratuais (créditos a receber de auto de infração de impostos e de multas por descumprimento de obrigações acessórias).</w:t>
      </w:r>
    </w:p>
    <w:p w14:paraId="0C4C431A" w14:textId="77777777" w:rsidR="00736A8C" w:rsidRPr="00736A8C" w:rsidRDefault="00736A8C" w:rsidP="00736A8C">
      <w:pPr>
        <w:pStyle w:val="1-REL11"/>
      </w:pPr>
      <w:r w:rsidRPr="00736A8C">
        <w:t xml:space="preserve">O subgrupo de contas </w:t>
      </w:r>
      <w:r w:rsidRPr="00736A8C">
        <w:rPr>
          <w:b/>
        </w:rPr>
        <w:t>Estoques</w:t>
      </w:r>
      <w:r w:rsidRPr="00736A8C">
        <w:t xml:space="preserve"> (item 6.1.1.4) apresentou um aumento expressivo de 175,93% em relação a 2022, ou seja, um incremento de R$ 500,17 milhões, totalizando R$ 784,46 milhões em 2023. Dentre as contas que compuseram este subgrupo, as mais representativas foram: Material Educacional e Cultural (49,04%), Material Laboratorial (20,60%) e Medicamentos (9,88%), alocados nas unidades orçamentárias ligadas a Educação, Saúde e Segurança Pública. </w:t>
      </w:r>
    </w:p>
    <w:p w14:paraId="64B706FF" w14:textId="77777777" w:rsidR="00736A8C" w:rsidRPr="00736A8C" w:rsidRDefault="00736A8C" w:rsidP="00736A8C">
      <w:pPr>
        <w:pStyle w:val="1-REL11"/>
      </w:pPr>
      <w:r w:rsidRPr="00736A8C">
        <w:t>Salienta-se que o Material Laboratorial apresentou um aumento de R$ 150,54 milhões em 2023 em comparação a 2022, representando um crescimento de 1.365,26%, totalizando R$ 161,57 milhões. Esse aumento se deve principalmente à incorporação de material de consumo em estoques por doação nas unidades Funesp e Gabinete do Secretário da Segurança Pública em fevereiro de 2023. No entanto, um erro material ao lançar os itens resultou em uma distorção de R$ 177,98 milhões nos estoques. As correções foram feitas em 06/05/2024.</w:t>
      </w:r>
    </w:p>
    <w:p w14:paraId="5C945A93" w14:textId="77777777" w:rsidR="00736A8C" w:rsidRPr="00736A8C" w:rsidRDefault="00736A8C" w:rsidP="00736A8C">
      <w:pPr>
        <w:pStyle w:val="1-REL11"/>
      </w:pPr>
      <w:r w:rsidRPr="00736A8C">
        <w:lastRenderedPageBreak/>
        <w:t xml:space="preserve">O </w:t>
      </w:r>
      <w:r w:rsidRPr="00736A8C">
        <w:rPr>
          <w:b/>
        </w:rPr>
        <w:t>Ativo Realizável a Longo Prazo</w:t>
      </w:r>
      <w:r w:rsidRPr="00736A8C">
        <w:rPr>
          <w:b/>
          <w:i/>
        </w:rPr>
        <w:t xml:space="preserve"> </w:t>
      </w:r>
      <w:r w:rsidRPr="00736A8C">
        <w:t xml:space="preserve">(item 6.1.1.5) foi o subgrupo do Ativo que apresentou o maior saldo em 2023, inclusive com a maior evolução em relação a 2022, demonstrando um incremento de R$ 112,10 bilhões em relação a 2022, aumento de 913,30%. Esse subgrupo totalizou R$ 124,38 bilhões em 2023, o que representa 49,53% do Ativo Total. Dentre as contas que o integraram, as mais relevantes foram: Créditos a Longo Prazo, com saldo de R$ 122,03 bilhões em 2023, o que corresponde a 98,12% do total do subgrupo e Demais Créditos e Valores a Longo Prazo, com saldo de R$ 1,98 bilhão no exercício e 1,59% de participação no Ativo Realizável a Longo Prazo. </w:t>
      </w:r>
    </w:p>
    <w:p w14:paraId="42638F7F" w14:textId="314CCA30" w:rsidR="00736A8C" w:rsidRPr="00736A8C" w:rsidRDefault="00736A8C" w:rsidP="00736A8C">
      <w:pPr>
        <w:pStyle w:val="1-REL11"/>
      </w:pPr>
      <w:r w:rsidRPr="00736A8C">
        <w:t>Em 2023, a Dívida Ativa de Longo Prazo reduziu 31,90% em relação a 2022, com saldo líquido de R$ 7,08 bilhões. Os Créditos Previdenciários do RPPS, instituídos em 2023, totalizaram R$ 114,95 bilhões, representando 94,19% dos Créditos a Longo Prazo e 45,78% do Ativo Total. Esses créditos refletem os aportes para cobrir o déficit atuarial de benefícios, em conformidade à IPC nº 14 – Procedimentos Contábeis Relativos ao RPPS da STN.</w:t>
      </w:r>
    </w:p>
    <w:p w14:paraId="0084C9AA" w14:textId="77777777" w:rsidR="00736A8C" w:rsidRPr="00736A8C" w:rsidRDefault="00736A8C" w:rsidP="00736A8C">
      <w:pPr>
        <w:pStyle w:val="1-REL11"/>
      </w:pPr>
      <w:r w:rsidRPr="00736A8C">
        <w:t xml:space="preserve">A </w:t>
      </w:r>
      <w:r w:rsidRPr="00736A8C">
        <w:rPr>
          <w:b/>
        </w:rPr>
        <w:t>Dívida Ativa</w:t>
      </w:r>
      <w:r w:rsidRPr="00736A8C">
        <w:t xml:space="preserve"> (item 6.1.1.6) apresentou um decréscimo de R$ 7,14 bilhões, ou 10,62% em relação ao ano anterior, resultando em um saldo de R$ 60,12 bilhões em 2023. O ajuste para perdas no exercício diminuiu 6,73%, totalizando R$ 52,72 bilhões, que representam 87,69% dos créditos a receber. Consequentemente, o saldo da dívida ativa líquida caiu 31,09% em comparação a 2022, totalizando R$ 7,40 bilhões em 2023.</w:t>
      </w:r>
    </w:p>
    <w:p w14:paraId="01394006" w14:textId="77777777" w:rsidR="00736A8C" w:rsidRPr="00736A8C" w:rsidRDefault="00736A8C" w:rsidP="00736A8C">
      <w:pPr>
        <w:pStyle w:val="1-REL11"/>
      </w:pPr>
      <w:r w:rsidRPr="00736A8C">
        <w:t>Ressalta-se que o estoque da dívida ativa registrou uma redução significativa em comparação ao ano anterior. Além disso, o percentual de recuperação de crédito em relação a esse estoque foi o mais alto da série histórica analisada (0,72%, evolução de 113,59% comparada ao ano anterior). A análise dos dados sugere uma melhoria no cenário de recuperação de créditos da dívida ativa no Estado. No entanto, é importante observar que a redução no estoque de dívida ativa não se deveu à recuperação de créditos, especificamente, mas sim a outros fatores, como extinção por prescrição e baixa pela aplicação do Tema 1062/STF.</w:t>
      </w:r>
    </w:p>
    <w:p w14:paraId="0C59E1AD" w14:textId="77777777" w:rsidR="00736A8C" w:rsidRPr="00736A8C" w:rsidRDefault="00736A8C" w:rsidP="00736A8C">
      <w:pPr>
        <w:pStyle w:val="1-REL11"/>
      </w:pPr>
      <w:r w:rsidRPr="00736A8C">
        <w:t xml:space="preserve">Quanto ao </w:t>
      </w:r>
      <w:r w:rsidRPr="00736A8C">
        <w:rPr>
          <w:b/>
          <w:bCs/>
          <w:iCs/>
        </w:rPr>
        <w:t>Imobilizado</w:t>
      </w:r>
      <w:r w:rsidRPr="00736A8C">
        <w:rPr>
          <w:b/>
          <w:bCs/>
          <w:i/>
          <w:iCs/>
        </w:rPr>
        <w:t xml:space="preserve"> </w:t>
      </w:r>
      <w:r w:rsidRPr="00736A8C">
        <w:t>(item 6.1.1.7), durante o exercício de 2023, os Bens Móveis do estado de Goiás registrados totalizaram R$ 4,06 bilhões, representando 2,21% do Ativo Não Circulante. Já os Bens Imóveis atingiram a cifra de R$ 50,86 bilhões, representando 27,69% do Ativo Não Circulante.</w:t>
      </w:r>
    </w:p>
    <w:p w14:paraId="6F33715D" w14:textId="77777777" w:rsidR="00736A8C" w:rsidRPr="00736A8C" w:rsidRDefault="00736A8C" w:rsidP="00736A8C">
      <w:pPr>
        <w:pStyle w:val="1-REL11"/>
      </w:pPr>
      <w:r w:rsidRPr="00736A8C">
        <w:t xml:space="preserve">Consultando o inventário de bens móveis no SPM em datas distintas, foi possível constatar a fragilidade de controle e integridade desse sistema. Dentre os achados destaca-se: alteração na descrição de identificação de bens posterior ao fechamento com data retroativa; bens com identificação imprecisa; e bens arrolados no inventário com duplicidade de registros e alguns inexistentes no pátio da UO. </w:t>
      </w:r>
    </w:p>
    <w:p w14:paraId="2390E13D" w14:textId="77777777" w:rsidR="00736A8C" w:rsidRPr="00736A8C" w:rsidRDefault="00736A8C" w:rsidP="00736A8C">
      <w:pPr>
        <w:pStyle w:val="1-REL11"/>
      </w:pPr>
      <w:r w:rsidRPr="00736A8C">
        <w:t xml:space="preserve">Segundo a Nota Explicativa nº 3/2024 SEAD/SUPATI-02867, o Estado conseguiu inventariar 100% dos imóveis identificados e de forma descentralizada. Os Bens imóveis são arrolados em planilhas do Microsoft Excel, formatadas e distribuídas às UOs, esfera do Poder Executivo, pela </w:t>
      </w:r>
      <w:r w:rsidRPr="00736A8C">
        <w:lastRenderedPageBreak/>
        <w:t>Sead. Porém não foi possível consolidar os inventários apresentados, deparou-se com dados distorcidos que não conferem com os registros contábeis no SCG.</w:t>
      </w:r>
    </w:p>
    <w:p w14:paraId="081DA3A0" w14:textId="77777777" w:rsidR="00736A8C" w:rsidRPr="00736A8C" w:rsidRDefault="00736A8C" w:rsidP="00736A8C">
      <w:pPr>
        <w:pStyle w:val="1-REL11"/>
      </w:pPr>
      <w:r w:rsidRPr="00736A8C">
        <w:t xml:space="preserve">Ainda conforme a Nota Explicativa nº 3/2024 SEAD/SUPATI-02867, durante o exercício de 2023 62,87% dos imóveis de propriedade do estado passaram por Reavaliação, gerando um aumento do saldo contábil de R$ 10,66 bilhões em Reserva de Reavaliação de Bens Imóveis. Também foram registrados R$ 371,82 milhões de Depreciação de Bens Imóveis. </w:t>
      </w:r>
    </w:p>
    <w:p w14:paraId="741AE905" w14:textId="77777777" w:rsidR="00736A8C" w:rsidRPr="00736A8C" w:rsidRDefault="00736A8C" w:rsidP="00736A8C">
      <w:pPr>
        <w:pStyle w:val="1-REL11"/>
      </w:pPr>
      <w:r w:rsidRPr="00736A8C">
        <w:t>Cumpre informar que a não localização (desde o exercício de 2022) de 266 certidões de matrículas de imóveis de propriedade do Estado, avaliadas em R$ 1,14 bilhão, perdura na presente Prestação de Contas. Os trabalhos realizados pela comissão intersecretarial (Sead, PGE e CGE) não foram concluídos e nem deixou claro qual tratamento será dado a esses imóveis não localizados.</w:t>
      </w:r>
    </w:p>
    <w:p w14:paraId="476A51FD" w14:textId="77777777" w:rsidR="00736A8C" w:rsidRPr="00736A8C" w:rsidRDefault="00736A8C" w:rsidP="00736A8C">
      <w:pPr>
        <w:pStyle w:val="1-REL11"/>
      </w:pPr>
      <w:r w:rsidRPr="00736A8C">
        <w:t xml:space="preserve">O subgrupo </w:t>
      </w:r>
      <w:r w:rsidRPr="00736A8C">
        <w:rPr>
          <w:b/>
          <w:bCs/>
          <w:iCs/>
        </w:rPr>
        <w:t>Intangível</w:t>
      </w:r>
      <w:r w:rsidRPr="00736A8C">
        <w:t xml:space="preserve"> (item 6.1.1.8) teve um aumento de R$ 90,61 milhões (40,47%) em relação ao exercício anterior, decorrente da incorporação patrimonial nas rubricas correspondentes a Softwares e Softwares em desenvolvimento.</w:t>
      </w:r>
    </w:p>
    <w:p w14:paraId="54D82369" w14:textId="77777777" w:rsidR="00736A8C" w:rsidRPr="00736A8C" w:rsidRDefault="00736A8C" w:rsidP="00736A8C">
      <w:pPr>
        <w:pStyle w:val="1-REL11"/>
      </w:pPr>
      <w:r w:rsidRPr="00736A8C">
        <w:t xml:space="preserve">Já o </w:t>
      </w:r>
      <w:r w:rsidRPr="00736A8C">
        <w:rPr>
          <w:b/>
        </w:rPr>
        <w:t>Passivo</w:t>
      </w:r>
      <w:r w:rsidRPr="00736A8C">
        <w:t xml:space="preserve"> (item 6.1.2) apresentou um aumento expressivo de 959,85% em relação a 2022, crescimento de aproximadamente R$ 261,74 bilhões. Com relação à composição, 5,95% dos saldos estão alocados no Passivo Circulante, enquanto o Passivo Não Circulante representa a maior parte, com 94,05%. No grupo Passivo Circulante, os saldos estão majoritariamente concentrados em dois subgrupos: Empréstimos e Financiamentos e Demais Obrigações a Curto Prazo. Quanto ao grupo Passivo Não Circulante, o maior volume nominal foi demonstrado nos subgrupos de contas Empréstimos e Financiamentos a Longo Prazo, Provisões a Longo Prazo e Demais Obrigações a Longo Prazo.</w:t>
      </w:r>
    </w:p>
    <w:p w14:paraId="02D35E72" w14:textId="77777777" w:rsidR="00736A8C" w:rsidRPr="00736A8C" w:rsidRDefault="00736A8C" w:rsidP="00736A8C">
      <w:pPr>
        <w:pStyle w:val="1-REL11"/>
      </w:pPr>
      <w:r w:rsidRPr="00736A8C">
        <w:t>Em relação aos</w:t>
      </w:r>
      <w:r w:rsidRPr="00736A8C">
        <w:rPr>
          <w:b/>
          <w:i/>
        </w:rPr>
        <w:t xml:space="preserve"> </w:t>
      </w:r>
      <w:r w:rsidRPr="00736A8C">
        <w:rPr>
          <w:b/>
        </w:rPr>
        <w:t>Empréstimos e Financiamentos de Curto e Longo Prazos</w:t>
      </w:r>
      <w:r w:rsidRPr="00736A8C">
        <w:rPr>
          <w:b/>
          <w:i/>
        </w:rPr>
        <w:t xml:space="preserve"> </w:t>
      </w:r>
      <w:r w:rsidRPr="00736A8C">
        <w:t>(item 6.1.2.1) houve um acréscimo de 6,10% nos saldos, composto pelo incremento de 8,79% nos empréstimos de curto prazo e crescimento de 5,96% nos compromissos de longo prazo. A dívida com empréstimos e financiamentos está concentrada nas operações internas de longo prazo, abrangendo 85,52% de todos os empréstimos e financiamentos que o Estado possui, e totalizam R$ 20,92 bilhões. Além disso, destaca-se que a conta Empréstimos a Longo Prazo - Interno aumentou 7,67% (R$ 1,49 bilhão) em relação a 2022, e esse acréscimo deve-se à atualização monetária da dívida e à reclassificação da dívida pública do Ativo Circulante para o Ativo Não Circulante, conforme o contrato de refinanciamento estabelecido pela Lei Complementar nº 159, de 19 de maio de 2017, art. 9º A.</w:t>
      </w:r>
    </w:p>
    <w:p w14:paraId="01DAF317" w14:textId="77777777" w:rsidR="00736A8C" w:rsidRPr="00736A8C" w:rsidRDefault="00736A8C" w:rsidP="00736A8C">
      <w:pPr>
        <w:pStyle w:val="1-REL11"/>
        <w:rPr>
          <w:rFonts w:eastAsia="Times New Roman"/>
          <w:iCs/>
        </w:rPr>
      </w:pPr>
      <w:r w:rsidRPr="00736A8C">
        <w:t>O subgrupo</w:t>
      </w:r>
      <w:r w:rsidRPr="00736A8C">
        <w:rPr>
          <w:b/>
        </w:rPr>
        <w:t xml:space="preserve"> Demais Obrigações a Curto Prazo </w:t>
      </w:r>
      <w:r w:rsidRPr="00736A8C">
        <w:t>(item 6.1.2.2) apresentou um incremento significativo de 1.249% em relação ao ano anterior, com destaque para os depósitos de cauções, assunto tratado no item 6.1.1.1. Caixa e Equivalentes de Caixas. Ressalta-se também a rubrica Outras Obrigações a Curto Prazo, que apresentou uma evolução de 1.663,51% (13,76 bilhões) nos saldos quando comparado a 2022 e abarca contas como Indenizações e Restituições e</w:t>
      </w:r>
      <w:r w:rsidRPr="00736A8C">
        <w:rPr>
          <w:rFonts w:eastAsia="Times New Roman"/>
          <w:iCs/>
        </w:rPr>
        <w:t xml:space="preserve"> Obrigação de Cobertura de Déficit Financeiro RPPS - Fundo de Repartição. Nessa última, </w:t>
      </w:r>
      <w:r w:rsidRPr="00736A8C">
        <w:rPr>
          <w:rFonts w:eastAsia="Times New Roman"/>
          <w:iCs/>
        </w:rPr>
        <w:lastRenderedPageBreak/>
        <w:t xml:space="preserve">destaca-se a obrigação de Cobertura de Déficit Financeiro RPPS – Benefícios Concedidos, instituída no ano de 2023 em consonância com o IPC nº14 - </w:t>
      </w:r>
      <w:r w:rsidRPr="00736A8C">
        <w:t>Procedimentos Contábeis Relativos ao RPPS</w:t>
      </w:r>
      <w:r w:rsidRPr="00736A8C">
        <w:rPr>
          <w:rFonts w:eastAsia="Times New Roman"/>
          <w:iCs/>
        </w:rPr>
        <w:t xml:space="preserve"> da STN e com montante total de R$ 12,87 bilhões.</w:t>
      </w:r>
    </w:p>
    <w:p w14:paraId="47AC6B43" w14:textId="77777777" w:rsidR="00736A8C" w:rsidRPr="00736A8C" w:rsidRDefault="00736A8C" w:rsidP="00736A8C">
      <w:pPr>
        <w:pStyle w:val="1-REL11"/>
        <w:rPr>
          <w:rFonts w:eastAsia="Times New Roman"/>
          <w:iCs/>
        </w:rPr>
      </w:pPr>
      <w:r w:rsidRPr="00736A8C">
        <w:rPr>
          <w:rFonts w:eastAsia="Times New Roman"/>
          <w:iCs/>
        </w:rPr>
        <w:t>Quanto à</w:t>
      </w:r>
      <w:r w:rsidRPr="00736A8C">
        <w:rPr>
          <w:rFonts w:eastAsia="Times New Roman"/>
          <w:i/>
          <w:iCs/>
        </w:rPr>
        <w:t>s</w:t>
      </w:r>
      <w:r w:rsidRPr="00736A8C">
        <w:rPr>
          <w:rFonts w:eastAsia="Times New Roman"/>
          <w:b/>
          <w:i/>
          <w:iCs/>
        </w:rPr>
        <w:t xml:space="preserve"> </w:t>
      </w:r>
      <w:r w:rsidRPr="00736A8C">
        <w:rPr>
          <w:rFonts w:eastAsia="Times New Roman"/>
          <w:b/>
          <w:iCs/>
        </w:rPr>
        <w:t>Provisões a Longo Prazo</w:t>
      </w:r>
      <w:r w:rsidRPr="00736A8C">
        <w:rPr>
          <w:rFonts w:eastAsia="Times New Roman"/>
          <w:b/>
          <w:i/>
          <w:iCs/>
        </w:rPr>
        <w:t xml:space="preserve"> </w:t>
      </w:r>
      <w:r w:rsidRPr="00736A8C">
        <w:rPr>
          <w:rFonts w:eastAsia="Times New Roman"/>
          <w:iCs/>
        </w:rPr>
        <w:t xml:space="preserve">(item 6.1.2.3), subgrupo mais representativo de todo o Passivo com 84,69%, as contas mais relevantes foram Provisões Matemáticas Previdenciárias a Longo Prazo e Outras Provisões de Longo Prazo, representando respectivamente 52,44% e 47,30% do total. As </w:t>
      </w:r>
      <w:r w:rsidRPr="00736A8C">
        <w:t>Provisões Matemáticas Previdenciárias de Longo Prazo apresentaram um incremento de R$ 128,35 bilhões e estão divididas entre Fundo em Repartição - Provisões de Benefícios Concedidos, Provisões de Benefícios a Conceder e Fundo em Capitalização - Provisões de Benefícios a Conceder. Já</w:t>
      </w:r>
      <w:r w:rsidRPr="00736A8C">
        <w:rPr>
          <w:rFonts w:eastAsia="Times New Roman"/>
          <w:iCs/>
        </w:rPr>
        <w:t xml:space="preserve"> o grupo de contas Outras Provisões de Longo Prazo apresentou um expressivo aumento em 2023 na ordem de R$ 115,35 bilhões (26.621,63 %). Nesse grupo de contas o destaque é a conta Valor Atual da Obrigação com Amortização de Déficit Atuarial - Benefícios Concedidos e a Conceder, que foram incorporadas no BP em 2023 e possuem saldos de R$ 68,50 bilhões e R$ 46,45 bilhões respectivamente, totalizando R$ 114,95 bilhões. Tais registros também são oriundos do cálculo da Provisão Matemática Previdenciária, em conformidade com a IPC nº14 - </w:t>
      </w:r>
      <w:r w:rsidRPr="00736A8C">
        <w:t>Procedimentos Contábeis Relativos ao RPPS</w:t>
      </w:r>
      <w:r w:rsidRPr="00736A8C">
        <w:rPr>
          <w:rFonts w:eastAsia="Times New Roman"/>
          <w:iCs/>
        </w:rPr>
        <w:t xml:space="preserve"> da STN.</w:t>
      </w:r>
    </w:p>
    <w:p w14:paraId="3C9BB2C4" w14:textId="77777777" w:rsidR="00736A8C" w:rsidRPr="00736A8C" w:rsidRDefault="00736A8C" w:rsidP="00736A8C">
      <w:pPr>
        <w:pStyle w:val="1-REL11"/>
      </w:pPr>
      <w:r w:rsidRPr="00736A8C">
        <w:t>As</w:t>
      </w:r>
      <w:r w:rsidRPr="00736A8C">
        <w:rPr>
          <w:b/>
          <w:i/>
        </w:rPr>
        <w:t xml:space="preserve"> </w:t>
      </w:r>
      <w:r w:rsidRPr="00736A8C">
        <w:rPr>
          <w:b/>
        </w:rPr>
        <w:t>Demais Obrigações de Longo Prazo</w:t>
      </w:r>
      <w:r w:rsidRPr="00736A8C">
        <w:rPr>
          <w:i/>
        </w:rPr>
        <w:t xml:space="preserve"> </w:t>
      </w:r>
      <w:r w:rsidRPr="00736A8C">
        <w:t>(item 6.1.2.4) apresentaram uma evolução de 1.205,77% (R$ 2,42 bilhões) em relação ao ano anterior. A conta de maior participação e relevância no grupo foi Outras Obrigações a Longo Prazo, constituída em 2023 e totaliza R$ 2,42 bilhões, 92,34% do subgrupo e está composto pelo valor de depósitos judiciais acessados pelo Estado em ações que o ente não faz parte, e foram lançados em contrapartida a Variação Patrimonial Diminutiva – Incorporação de Passivos.</w:t>
      </w:r>
    </w:p>
    <w:p w14:paraId="3C25DBB3" w14:textId="77777777" w:rsidR="00736A8C" w:rsidRPr="00736A8C" w:rsidRDefault="00736A8C" w:rsidP="00736A8C">
      <w:pPr>
        <w:pStyle w:val="1-REL11"/>
      </w:pPr>
      <w:r w:rsidRPr="00736A8C">
        <w:t>No que tange à</w:t>
      </w:r>
      <w:r w:rsidRPr="00736A8C">
        <w:rPr>
          <w:b/>
          <w:i/>
        </w:rPr>
        <w:t xml:space="preserve"> </w:t>
      </w:r>
      <w:r w:rsidRPr="00736A8C">
        <w:rPr>
          <w:b/>
        </w:rPr>
        <w:t>Provisão Matemática Previdenciária</w:t>
      </w:r>
      <w:r w:rsidRPr="00736A8C">
        <w:rPr>
          <w:b/>
          <w:i/>
        </w:rPr>
        <w:t xml:space="preserve"> </w:t>
      </w:r>
      <w:r w:rsidRPr="00736A8C">
        <w:t xml:space="preserve">(item 6.1.2.5), o estado de Goiás, para fins de alinhar às normas contábeis aplicadas ao setor público, passou a utilizar o método do Crédito Unitário Projetado (CUP) para a avaliação financeira e atuarial do RPPS e SPSM. Já com propósito gerencial, ainda usam o método agregado/ortodoxo, uma vez que este reflete a realidade dos regimes de maneira mais assertiva, preservando a real situação do equilíbrio financeiro-atuarial. O cálculo das provisões matemáticas por esse método levou em consideração a legislação em vigor na data focal da avaliação atuarial, Lei Complementar Estadual nº 161, de 30 de dezembro de 2020. </w:t>
      </w:r>
    </w:p>
    <w:p w14:paraId="136A3B58" w14:textId="77777777" w:rsidR="00736A8C" w:rsidRPr="00736A8C" w:rsidRDefault="00736A8C" w:rsidP="00736A8C">
      <w:pPr>
        <w:pStyle w:val="1-REL11"/>
      </w:pPr>
      <w:r w:rsidRPr="00736A8C">
        <w:t xml:space="preserve">Pelas consultas efetuadas foi possível verificar que os registros das Provisões Matemáticas Previdenciárias realizados em 2023 estão em consonância com os instrumentos legais e normativos pertinentes e que, devido aos ajustes efetuados, a situação líquida patrimonial apresentada, apesar de deficitária no Balanço Patrimonial do Estado, reflete a projeção previdenciária atuarial. </w:t>
      </w:r>
    </w:p>
    <w:p w14:paraId="6D736639" w14:textId="77777777" w:rsidR="00736A8C" w:rsidRPr="00736A8C" w:rsidRDefault="00736A8C" w:rsidP="00736A8C">
      <w:pPr>
        <w:pStyle w:val="1-REL11"/>
      </w:pPr>
      <w:r w:rsidRPr="00736A8C">
        <w:t xml:space="preserve">Além disso, os Relatórios de Avaliação Atuarial expuseram a situação de que os cálculos das projeções atuariais e respectivas </w:t>
      </w:r>
      <w:r w:rsidRPr="00736A8C">
        <w:rPr>
          <w:iCs/>
        </w:rPr>
        <w:t>Provisões Matemáticas Previdenciárias</w:t>
      </w:r>
      <w:r w:rsidRPr="00736A8C">
        <w:t xml:space="preserve"> estão sendo baseados </w:t>
      </w:r>
      <w:r w:rsidRPr="00736A8C">
        <w:lastRenderedPageBreak/>
        <w:t>apenas nos bancos de dados dos segurados civis ativos, inativos e pensionistas do Poder Executivo e da Defensoria Pública.</w:t>
      </w:r>
    </w:p>
    <w:p w14:paraId="7F258EF1" w14:textId="77777777" w:rsidR="00736A8C" w:rsidRPr="00736A8C" w:rsidRDefault="00736A8C" w:rsidP="00736A8C">
      <w:pPr>
        <w:pStyle w:val="1-REL11"/>
      </w:pPr>
      <w:r w:rsidRPr="00736A8C">
        <w:t xml:space="preserve">A respeito dos </w:t>
      </w:r>
      <w:r w:rsidRPr="00736A8C">
        <w:rPr>
          <w:b/>
        </w:rPr>
        <w:t>Depósitos Judiciais</w:t>
      </w:r>
      <w:r w:rsidRPr="00736A8C">
        <w:t xml:space="preserve"> (item 6.1.2.6), apresentou-se os valores e contas contábeis utilizados para registro dos saldos acessados pelo Estado, segregando os depósitos de lides nas quais o ente público é parte (R$ 123,81 milhões) e os depósitos de lides de terceiros (R$ 2,42 bilhões), bem como os saldos registrados como Fundo de Reserva, no montante de R$ 1,07 bilhão, em atendimento as instruções contidas na IPC 15 - Depósitos Judiciais e Extrajudiciais foram atendidas. Porém, existe a necessidade de verificação da documentação comprobatória que amparou os registros contábeis efetuados, bem como a demonstração de recomposição do saldo do Fundo de Reserva constituído na CEF, nos termos no inciso IV, do art. 4º, da LC nº 151/2015.</w:t>
      </w:r>
    </w:p>
    <w:p w14:paraId="5EE9A5AA" w14:textId="77777777" w:rsidR="00736A8C" w:rsidRPr="00736A8C" w:rsidRDefault="00736A8C" w:rsidP="00736A8C">
      <w:pPr>
        <w:pStyle w:val="1-REL11"/>
      </w:pPr>
      <w:r w:rsidRPr="00736A8C">
        <w:t xml:space="preserve">Em 2023, o </w:t>
      </w:r>
      <w:r w:rsidRPr="00736A8C">
        <w:rPr>
          <w:b/>
        </w:rPr>
        <w:t>Patrimônio Líquido</w:t>
      </w:r>
      <w:r w:rsidRPr="00736A8C">
        <w:rPr>
          <w:b/>
          <w:i/>
        </w:rPr>
        <w:t xml:space="preserve"> </w:t>
      </w:r>
      <w:r w:rsidRPr="00736A8C">
        <w:t>(6.1.3) do estado de Goiás sofreu uma redução significativa de R$ 116,86 bilhões (148,01%) em comparação a 2022, resultando em um saldo negativo de R$ 37,91 bilhões. Os principais subgrupos que impactaram essa diminuição foram as Reservas de Lucros, Demais Reservas, e Resultados Acumulados. As Reservas de Lucros aumentaram 1.465,08%, totalizando R$ 212,41 milhões, principalmente devido à constituição de Reserva de Lucros para Expansão pela Agência Goiânia de Habitação S/A. As Demais Reservas subiram 4.156,25%, chegando a R$ 10,91 bilhões, impulsionadas pela reavaliação de bens imóveis conforme o Decreto Estadual nº 9.063/2017.</w:t>
      </w:r>
    </w:p>
    <w:p w14:paraId="44855D2C" w14:textId="77777777" w:rsidR="00736A8C" w:rsidRPr="00736A8C" w:rsidRDefault="00736A8C" w:rsidP="00736A8C">
      <w:pPr>
        <w:pStyle w:val="1-REL11"/>
      </w:pPr>
      <w:r w:rsidRPr="00736A8C">
        <w:t>Os Resultados Acumulados apresentaram um déficit de R$ 49,71 bilhões, com uma redução de 163,71% em relação a 2022. Este déficit inclui uma baixa de 105,84% nos Resultados do Exercício e um aumento de 262,85% nos Resultados Acumulados de Exercícios Anteriores, totalizando R$ 77,40 bilhões. Por outro lado, os Ajustes de Exercícios Anteriores mostraram uma queda de 236,24%, totalizando um saldo negativo de R$ 125,14 bilhões, principalmente devido a mudanças na metodologia de avaliação da Provisão Matemática Previdenciária.</w:t>
      </w:r>
    </w:p>
    <w:p w14:paraId="4B5448D6" w14:textId="77777777" w:rsidR="00736A8C" w:rsidRPr="00736A8C" w:rsidRDefault="00736A8C" w:rsidP="00736A8C">
      <w:pPr>
        <w:pStyle w:val="1-REL11"/>
      </w:pPr>
      <w:r w:rsidRPr="00736A8C">
        <w:t xml:space="preserve">Por fim, a Portaria da STN nº 1.569/2023 apresentou 8 novos procedimentos no cronograma do </w:t>
      </w:r>
      <w:r w:rsidRPr="00736A8C">
        <w:rPr>
          <w:b/>
          <w:bCs/>
          <w:iCs/>
        </w:rPr>
        <w:t>Plano de Implantação dos Procedimentos Contábeis Patrimoniais</w:t>
      </w:r>
      <w:r w:rsidRPr="00736A8C">
        <w:rPr>
          <w:b/>
          <w:bCs/>
          <w:i/>
          <w:iCs/>
        </w:rPr>
        <w:t xml:space="preserve"> </w:t>
      </w:r>
      <w:r w:rsidRPr="00736A8C">
        <w:t>(item 6.2), que deverão ser implementados até 2031 e serão objeto de monitoramento nas próximas prestações de contas.</w:t>
      </w:r>
    </w:p>
    <w:p w14:paraId="7B7B0A23" w14:textId="77777777" w:rsidR="00736A8C" w:rsidRPr="00736A8C" w:rsidRDefault="00736A8C" w:rsidP="00736A8C">
      <w:pPr>
        <w:pStyle w:val="1-REL11"/>
      </w:pPr>
    </w:p>
    <w:p w14:paraId="3A40DD19" w14:textId="77777777" w:rsidR="00736A8C" w:rsidRPr="00736A8C" w:rsidRDefault="00736A8C" w:rsidP="00736A8C">
      <w:pPr>
        <w:pStyle w:val="0-TITSN"/>
      </w:pPr>
      <w:r w:rsidRPr="00736A8C">
        <w:t>Capítulo 7 – Monitoramento das Recomendações do TCE/GO no Parecer Prévio de Exercício Anteriores</w:t>
      </w:r>
    </w:p>
    <w:p w14:paraId="656ECFA3" w14:textId="77777777" w:rsidR="00736A8C" w:rsidRPr="00736A8C" w:rsidRDefault="00736A8C" w:rsidP="00736A8C">
      <w:pPr>
        <w:pStyle w:val="1-REL11"/>
      </w:pPr>
      <w:r w:rsidRPr="00736A8C">
        <w:t>O TCE/GO, quando da emissão do Parecer Prévio relativo à Prestação de Contas do Governador do exercício de 2022, em 02/06/2021, expediu 7 recomendações ao Governo do estado de Goiás, 4 recomendações direcionadas aos Poderes e Órgãos Autônomos e 1 recomendação de trabalho conjunto entre o Tribunal de Justiça do Estado de Goiás (TJ/GO) e a Secretaria de Estado da Economia (ECONOMIA).</w:t>
      </w:r>
    </w:p>
    <w:p w14:paraId="67208BF6" w14:textId="77777777" w:rsidR="00736A8C" w:rsidRPr="00736A8C" w:rsidRDefault="00736A8C" w:rsidP="00736A8C">
      <w:pPr>
        <w:pStyle w:val="1-REL11"/>
      </w:pPr>
      <w:r w:rsidRPr="00736A8C">
        <w:lastRenderedPageBreak/>
        <w:t>O Parecer Prévio tramita na Assembleia Legislativa de Goiás desde o dia 14/06/2023, apensada ao processo nº 494/23, proposição nº 1.081/23.</w:t>
      </w:r>
    </w:p>
    <w:p w14:paraId="66A63DD9" w14:textId="77777777" w:rsidR="00736A8C" w:rsidRPr="00736A8C" w:rsidRDefault="00736A8C" w:rsidP="00736A8C">
      <w:pPr>
        <w:pStyle w:val="1-REL11"/>
      </w:pPr>
      <w:r w:rsidRPr="00736A8C">
        <w:t>Das 12 recomendações expedidas no Parecer Prévio acerca da Prestação de Contas do Governador do exercício de 2022, 6 (50,00%) foram atendidas, 1 (8,33%) foi parcialmente atendida, 4 (33,33%) não foram atendidas e 1 (8,33%) permanece sob análise futura.</w:t>
      </w:r>
    </w:p>
    <w:p w14:paraId="129F93BD" w14:textId="77777777" w:rsidR="00736A8C" w:rsidRPr="00736A8C" w:rsidRDefault="00736A8C" w:rsidP="00736A8C">
      <w:pPr>
        <w:pStyle w:val="1-REL11"/>
      </w:pPr>
      <w:r w:rsidRPr="00736A8C">
        <w:t>Ante todo o exposto, considerando o caráter integrado e contínuo da gestão governamental, e dos exames realizados no objeto Prestação de Contas do Governador do exercício de 2023, conclui-se que está retratada a sistematização dos problemas que abrangeram a administração pública em 2023, envolvendo o planejamento, a execução orçamentária e financeira, a gestão fiscal e patrimonial do estado de Goiás, identificados no exíguo tempo disponibilizado a esta Unidade Técnica para análise.</w:t>
      </w:r>
    </w:p>
    <w:p w14:paraId="0EF36E57" w14:textId="68BB7A5A" w:rsidR="00736A8C" w:rsidRDefault="00736A8C" w:rsidP="00736A8C">
      <w:pPr>
        <w:pStyle w:val="1-REL11"/>
      </w:pPr>
      <w:r w:rsidRPr="00736A8C">
        <w:t>Considerando os achados apresentados neste Relatório Técnico, o quadro seguinte consolida</w:t>
      </w:r>
      <w:r w:rsidRPr="002D73F3">
        <w:t xml:space="preserve"> as irregularidades e impropriedades</w:t>
      </w:r>
      <w:r>
        <w:t>:</w:t>
      </w:r>
    </w:p>
    <w:p w14:paraId="7B51B352" w14:textId="77777777" w:rsidR="00D1337E" w:rsidRDefault="00D1337E" w:rsidP="00736A8C">
      <w:pPr>
        <w:pStyle w:val="1-REL11"/>
      </w:pPr>
    </w:p>
    <w:p w14:paraId="2BDCA752" w14:textId="77777777" w:rsidR="00736A8C" w:rsidRDefault="00736A8C" w:rsidP="00D1337E">
      <w:pPr>
        <w:pStyle w:val="0-T-QUADRO"/>
        <w:spacing w:after="240"/>
        <w:ind w:left="0" w:firstLine="0"/>
      </w:pPr>
      <w:bookmarkStart w:id="522" w:name="_Toc135332593"/>
      <w:bookmarkStart w:id="523" w:name="_Toc167825123"/>
      <w:r>
        <w:t>Achados da Análise da Prestação de Contas do Governador 202</w:t>
      </w:r>
      <w:bookmarkEnd w:id="522"/>
      <w:r>
        <w:t>3</w:t>
      </w:r>
      <w:bookmarkEnd w:id="5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343"/>
      </w:tblGrid>
      <w:tr w:rsidR="00736A8C" w:rsidRPr="004D0E95" w14:paraId="1ACFB888" w14:textId="77777777" w:rsidTr="00BE34DB">
        <w:trPr>
          <w:trHeight w:val="284"/>
          <w:tblHeader/>
        </w:trPr>
        <w:tc>
          <w:tcPr>
            <w:tcW w:w="5000" w:type="pct"/>
            <w:tcBorders>
              <w:bottom w:val="single" w:sz="4" w:space="0" w:color="auto"/>
            </w:tcBorders>
            <w:shd w:val="clear" w:color="000000" w:fill="A1F2FD"/>
            <w:tcMar>
              <w:top w:w="57" w:type="dxa"/>
              <w:bottom w:w="57" w:type="dxa"/>
            </w:tcMar>
            <w:vAlign w:val="center"/>
          </w:tcPr>
          <w:p w14:paraId="4B0BB29B" w14:textId="77777777" w:rsidR="00736A8C" w:rsidRPr="004D0E95" w:rsidRDefault="00736A8C" w:rsidP="00BE34DB">
            <w:pPr>
              <w:rPr>
                <w:rFonts w:cs="Arial"/>
                <w:b/>
                <w:bCs/>
                <w:color w:val="000000"/>
              </w:rPr>
            </w:pPr>
            <w:r w:rsidRPr="004D0E95">
              <w:rPr>
                <w:rFonts w:cs="Arial"/>
                <w:b/>
                <w:bCs/>
                <w:color w:val="000000"/>
              </w:rPr>
              <w:t>Itens do Relatório</w:t>
            </w:r>
          </w:p>
        </w:tc>
      </w:tr>
      <w:tr w:rsidR="00736A8C" w:rsidRPr="004D0E95" w14:paraId="100BE0EA"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2DE6F32D" w14:textId="77777777" w:rsidR="00736A8C" w:rsidRPr="004D0E95" w:rsidRDefault="00736A8C" w:rsidP="00BE34DB">
            <w:pPr>
              <w:rPr>
                <w:rFonts w:cs="Arial"/>
                <w:color w:val="000000"/>
              </w:rPr>
            </w:pPr>
            <w:r w:rsidRPr="004D0E95">
              <w:rPr>
                <w:rFonts w:cs="Arial"/>
                <w:color w:val="000000"/>
              </w:rPr>
              <w:t>3.6.1 Créditos Adicionais</w:t>
            </w:r>
          </w:p>
        </w:tc>
      </w:tr>
      <w:tr w:rsidR="00736A8C" w:rsidRPr="004D0E95" w14:paraId="17452E60" w14:textId="77777777" w:rsidTr="00BE34DB">
        <w:trPr>
          <w:trHeight w:val="1524"/>
        </w:trPr>
        <w:tc>
          <w:tcPr>
            <w:tcW w:w="5000" w:type="pct"/>
            <w:tcBorders>
              <w:bottom w:val="single" w:sz="4" w:space="0" w:color="auto"/>
            </w:tcBorders>
            <w:shd w:val="clear" w:color="auto" w:fill="auto"/>
            <w:tcMar>
              <w:top w:w="57" w:type="dxa"/>
              <w:bottom w:w="57" w:type="dxa"/>
            </w:tcMar>
            <w:vAlign w:val="center"/>
          </w:tcPr>
          <w:p w14:paraId="32C02323" w14:textId="77777777" w:rsidR="00736A8C" w:rsidRPr="004D0E95" w:rsidRDefault="00736A8C" w:rsidP="00D1337E">
            <w:pPr>
              <w:spacing w:line="276" w:lineRule="auto"/>
              <w:rPr>
                <w:rFonts w:cs="Arial"/>
                <w:b/>
              </w:rPr>
            </w:pPr>
            <w:r w:rsidRPr="004D0E95">
              <w:rPr>
                <w:rFonts w:cs="Arial"/>
                <w:b/>
              </w:rPr>
              <w:t>Deficiência na transparência na abertura de créditos adicionais tendo como fonte de recursos o superávit de cancelamento de restos a pagar</w:t>
            </w:r>
          </w:p>
          <w:p w14:paraId="1010BD0D" w14:textId="77777777" w:rsidR="00736A8C" w:rsidRPr="004D0E95" w:rsidRDefault="00736A8C" w:rsidP="00BE34DB">
            <w:pPr>
              <w:rPr>
                <w:rFonts w:cs="Arial"/>
                <w:b/>
                <w:color w:val="000000"/>
              </w:rPr>
            </w:pPr>
          </w:p>
          <w:p w14:paraId="6D314C33" w14:textId="77777777" w:rsidR="00736A8C" w:rsidRPr="004D0E95" w:rsidRDefault="00736A8C" w:rsidP="00D1337E">
            <w:pPr>
              <w:pStyle w:val="1-REL11"/>
              <w:spacing w:after="0"/>
              <w:rPr>
                <w:rFonts w:cs="Arial"/>
                <w:color w:val="000000"/>
                <w:sz w:val="20"/>
                <w:szCs w:val="20"/>
              </w:rPr>
            </w:pPr>
            <w:r w:rsidRPr="004D0E95">
              <w:rPr>
                <w:rFonts w:cs="Arial"/>
                <w:sz w:val="20"/>
                <w:szCs w:val="20"/>
              </w:rPr>
              <w:t>Nos decretos/portarias orçamentárias de aberturas de créditos adicionais tendo como fonte de recursos o superávit de cancelamento de restos a pagar, não são demonstrados o número do documento de cancelamento dos restos a pagar e suas respectivas justificativas com embasamento legal, o empenho de origem, as unidades orçamentárias envolvidas, o código das fontes de recursos utilizadas, além de outras informações que possam ser úteis para a completa identificação dos atos praticados.</w:t>
            </w:r>
          </w:p>
        </w:tc>
      </w:tr>
      <w:tr w:rsidR="00736A8C" w:rsidRPr="004D0E95" w14:paraId="2525D73B" w14:textId="77777777" w:rsidTr="00BE34DB">
        <w:trPr>
          <w:trHeight w:val="209"/>
        </w:trPr>
        <w:tc>
          <w:tcPr>
            <w:tcW w:w="5000" w:type="pct"/>
            <w:tcBorders>
              <w:top w:val="single" w:sz="4" w:space="0" w:color="auto"/>
              <w:left w:val="nil"/>
              <w:bottom w:val="single" w:sz="4" w:space="0" w:color="auto"/>
              <w:right w:val="nil"/>
            </w:tcBorders>
            <w:shd w:val="clear" w:color="auto" w:fill="auto"/>
            <w:tcMar>
              <w:top w:w="57" w:type="dxa"/>
              <w:bottom w:w="57" w:type="dxa"/>
            </w:tcMar>
            <w:vAlign w:val="center"/>
          </w:tcPr>
          <w:p w14:paraId="5410D770" w14:textId="77777777" w:rsidR="00736A8C" w:rsidRPr="004D0E95" w:rsidRDefault="00736A8C" w:rsidP="00BE34DB">
            <w:pPr>
              <w:rPr>
                <w:rFonts w:cs="Arial"/>
                <w:color w:val="000000"/>
              </w:rPr>
            </w:pPr>
          </w:p>
        </w:tc>
      </w:tr>
      <w:tr w:rsidR="00736A8C" w:rsidRPr="004D0E95" w14:paraId="2873E75F" w14:textId="77777777" w:rsidTr="00BE34DB">
        <w:trPr>
          <w:trHeight w:val="284"/>
        </w:trPr>
        <w:tc>
          <w:tcPr>
            <w:tcW w:w="5000" w:type="pct"/>
            <w:tcBorders>
              <w:top w:val="single" w:sz="4" w:space="0" w:color="auto"/>
            </w:tcBorders>
            <w:shd w:val="clear" w:color="auto" w:fill="auto"/>
            <w:tcMar>
              <w:top w:w="57" w:type="dxa"/>
              <w:bottom w:w="57" w:type="dxa"/>
            </w:tcMar>
            <w:vAlign w:val="center"/>
          </w:tcPr>
          <w:p w14:paraId="37BEA95B" w14:textId="77777777" w:rsidR="00736A8C" w:rsidRPr="004D0E95" w:rsidRDefault="00736A8C" w:rsidP="00BE34DB">
            <w:pPr>
              <w:rPr>
                <w:rFonts w:cs="Arial"/>
                <w:color w:val="000000"/>
              </w:rPr>
            </w:pPr>
            <w:r w:rsidRPr="004D0E95">
              <w:rPr>
                <w:rFonts w:cs="Arial"/>
                <w:color w:val="000000"/>
              </w:rPr>
              <w:t>4.5.1 Apuração do Serviço da Dívida</w:t>
            </w:r>
          </w:p>
        </w:tc>
      </w:tr>
      <w:tr w:rsidR="00736A8C" w:rsidRPr="004D0E95" w14:paraId="6A70BAE8"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017FDCCA" w14:textId="77777777" w:rsidR="00736A8C" w:rsidRPr="004D0E95" w:rsidRDefault="00736A8C" w:rsidP="00D1337E">
            <w:pPr>
              <w:spacing w:line="276" w:lineRule="auto"/>
              <w:rPr>
                <w:rFonts w:cs="Arial"/>
                <w:b/>
                <w:color w:val="000000"/>
              </w:rPr>
            </w:pPr>
            <w:r w:rsidRPr="004D0E95">
              <w:rPr>
                <w:rFonts w:cs="Arial"/>
                <w:b/>
                <w:color w:val="000000"/>
              </w:rPr>
              <w:t>Empenhos das amortizações e dos juros da dívida estadual em desacordo com a metodologia exigida do Manual Técnico do Orçamento e Portaria Interministerial nº 163/2001</w:t>
            </w:r>
          </w:p>
          <w:p w14:paraId="2145EA7B" w14:textId="77777777" w:rsidR="00736A8C" w:rsidRPr="004D0E95" w:rsidRDefault="00736A8C" w:rsidP="00BE34DB">
            <w:pPr>
              <w:rPr>
                <w:rFonts w:cs="Arial"/>
                <w:color w:val="000000"/>
              </w:rPr>
            </w:pPr>
          </w:p>
          <w:p w14:paraId="124133E6" w14:textId="77777777" w:rsidR="00736A8C" w:rsidRPr="004D0E95" w:rsidRDefault="00736A8C" w:rsidP="00D1337E">
            <w:pPr>
              <w:spacing w:line="276" w:lineRule="auto"/>
              <w:rPr>
                <w:rFonts w:cs="Arial"/>
                <w:color w:val="000000"/>
              </w:rPr>
            </w:pPr>
            <w:r w:rsidRPr="004D0E95">
              <w:rPr>
                <w:rFonts w:cs="Arial"/>
                <w:color w:val="000000"/>
              </w:rPr>
              <w:t>Empenhos da amortização e dos juros da dívida executados pelo Tesouro Estadual e pelas empresas dependentes fora das naturezas de despesa determinadas pela metodologia do Manual Técnico do Orçamento e Portaria Interministerial nº 163, de 04 de maio de 2001.</w:t>
            </w:r>
          </w:p>
        </w:tc>
      </w:tr>
      <w:tr w:rsidR="00736A8C" w:rsidRPr="004D0E95" w14:paraId="2350413D" w14:textId="77777777" w:rsidTr="00BE34DB">
        <w:trPr>
          <w:trHeight w:val="284"/>
        </w:trPr>
        <w:tc>
          <w:tcPr>
            <w:tcW w:w="5000" w:type="pct"/>
            <w:tcBorders>
              <w:top w:val="nil"/>
              <w:left w:val="nil"/>
              <w:bottom w:val="single" w:sz="4" w:space="0" w:color="auto"/>
              <w:right w:val="nil"/>
            </w:tcBorders>
            <w:shd w:val="clear" w:color="auto" w:fill="auto"/>
            <w:tcMar>
              <w:top w:w="57" w:type="dxa"/>
              <w:bottom w:w="57" w:type="dxa"/>
            </w:tcMar>
            <w:vAlign w:val="center"/>
          </w:tcPr>
          <w:p w14:paraId="01BF4F42" w14:textId="77777777" w:rsidR="00736A8C" w:rsidRPr="004D0E95" w:rsidRDefault="00736A8C" w:rsidP="00BE34DB">
            <w:pPr>
              <w:rPr>
                <w:rFonts w:cs="Arial"/>
                <w:color w:val="000000"/>
              </w:rPr>
            </w:pPr>
          </w:p>
        </w:tc>
      </w:tr>
      <w:tr w:rsidR="00736A8C" w:rsidRPr="004D0E95" w14:paraId="2B8DDC68" w14:textId="77777777" w:rsidTr="00BE34DB">
        <w:trPr>
          <w:trHeight w:val="284"/>
        </w:trPr>
        <w:tc>
          <w:tcPr>
            <w:tcW w:w="5000" w:type="pct"/>
            <w:tcBorders>
              <w:top w:val="single" w:sz="4" w:space="0" w:color="auto"/>
            </w:tcBorders>
            <w:shd w:val="clear" w:color="auto" w:fill="auto"/>
            <w:tcMar>
              <w:top w:w="57" w:type="dxa"/>
              <w:bottom w:w="57" w:type="dxa"/>
            </w:tcMar>
            <w:vAlign w:val="center"/>
          </w:tcPr>
          <w:p w14:paraId="58E385B8" w14:textId="77777777" w:rsidR="00736A8C" w:rsidRPr="004D0E95" w:rsidRDefault="00736A8C" w:rsidP="00BE34DB">
            <w:pPr>
              <w:rPr>
                <w:rFonts w:cs="Arial"/>
                <w:color w:val="000000"/>
              </w:rPr>
            </w:pPr>
            <w:r w:rsidRPr="004D0E95">
              <w:rPr>
                <w:rFonts w:cs="Arial"/>
                <w:color w:val="000000"/>
              </w:rPr>
              <w:lastRenderedPageBreak/>
              <w:t>4.9.1 Precatórios sob o Prisma da LRF</w:t>
            </w:r>
          </w:p>
        </w:tc>
      </w:tr>
      <w:tr w:rsidR="00736A8C" w:rsidRPr="004D0E95" w14:paraId="495960BA"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7C4D3F38" w14:textId="77777777" w:rsidR="00736A8C" w:rsidRPr="004D0E95" w:rsidRDefault="00736A8C" w:rsidP="00BE34DB">
            <w:pPr>
              <w:pStyle w:val="0-ACH-TIT"/>
              <w:ind w:left="67"/>
              <w:rPr>
                <w:rFonts w:cs="Arial"/>
                <w:sz w:val="20"/>
                <w:szCs w:val="20"/>
              </w:rPr>
            </w:pPr>
            <w:r w:rsidRPr="004D0E95">
              <w:rPr>
                <w:rFonts w:cs="Arial"/>
                <w:sz w:val="20"/>
                <w:szCs w:val="20"/>
              </w:rPr>
              <w:t>Deficiência nas informações do Portal de Transparência dos Precatórios administrado pelo Tribunal de Justiça do Estado de Goiás</w:t>
            </w:r>
          </w:p>
          <w:p w14:paraId="3A7F4573" w14:textId="77777777" w:rsidR="00736A8C" w:rsidRPr="004D0E95" w:rsidRDefault="00736A8C" w:rsidP="00BE34DB">
            <w:pPr>
              <w:rPr>
                <w:rFonts w:cs="Arial"/>
                <w:b/>
                <w:color w:val="000000"/>
              </w:rPr>
            </w:pPr>
          </w:p>
          <w:p w14:paraId="3F981B3A" w14:textId="77777777" w:rsidR="00736A8C" w:rsidRPr="004D0E95" w:rsidRDefault="00736A8C" w:rsidP="00BE34DB">
            <w:pPr>
              <w:pStyle w:val="Default"/>
              <w:jc w:val="both"/>
              <w:rPr>
                <w:color w:val="000000"/>
              </w:rPr>
            </w:pPr>
            <w:r w:rsidRPr="004D0E95">
              <w:t>O Portal de Transparência do TJ/GO relacionado aos precatórios apresenta informações esparsas e confusas, ausência de relatórios sintéticos, informações em dados abertos, orçamento do ano, inscrições, recursos recebidos do Tesouro, pagamentos preferenciais, número de processos, ano de inscrição, deságio, entre outros critérios estabelecidos pela lei.</w:t>
            </w:r>
          </w:p>
        </w:tc>
      </w:tr>
      <w:tr w:rsidR="00736A8C" w:rsidRPr="004D0E95" w14:paraId="393BCDDE" w14:textId="77777777" w:rsidTr="00BE34DB">
        <w:trPr>
          <w:trHeight w:val="284"/>
        </w:trPr>
        <w:tc>
          <w:tcPr>
            <w:tcW w:w="5000" w:type="pct"/>
            <w:tcBorders>
              <w:left w:val="nil"/>
              <w:right w:val="nil"/>
            </w:tcBorders>
            <w:shd w:val="clear" w:color="auto" w:fill="auto"/>
            <w:tcMar>
              <w:top w:w="57" w:type="dxa"/>
              <w:bottom w:w="57" w:type="dxa"/>
            </w:tcMar>
            <w:vAlign w:val="center"/>
          </w:tcPr>
          <w:p w14:paraId="04E0A58D" w14:textId="77777777" w:rsidR="00736A8C" w:rsidRPr="004D0E95" w:rsidRDefault="00736A8C" w:rsidP="00BE34DB">
            <w:pPr>
              <w:rPr>
                <w:rFonts w:cs="Arial"/>
                <w:color w:val="000000"/>
              </w:rPr>
            </w:pPr>
          </w:p>
        </w:tc>
      </w:tr>
      <w:tr w:rsidR="00736A8C" w:rsidRPr="004D0E95" w14:paraId="5A40037F" w14:textId="77777777" w:rsidTr="00BE34DB">
        <w:trPr>
          <w:trHeight w:val="284"/>
        </w:trPr>
        <w:tc>
          <w:tcPr>
            <w:tcW w:w="5000" w:type="pct"/>
            <w:shd w:val="clear" w:color="auto" w:fill="auto"/>
            <w:tcMar>
              <w:top w:w="57" w:type="dxa"/>
              <w:bottom w:w="57" w:type="dxa"/>
            </w:tcMar>
            <w:vAlign w:val="center"/>
          </w:tcPr>
          <w:p w14:paraId="4655879A" w14:textId="77777777" w:rsidR="00736A8C" w:rsidRPr="004D0E95" w:rsidRDefault="00736A8C" w:rsidP="00BE34DB">
            <w:pPr>
              <w:rPr>
                <w:rFonts w:cs="Arial"/>
              </w:rPr>
            </w:pPr>
            <w:r w:rsidRPr="004D0E95">
              <w:rPr>
                <w:rFonts w:cs="Arial"/>
              </w:rPr>
              <w:t>4.11.2 Plano Previdenciário</w:t>
            </w:r>
          </w:p>
        </w:tc>
      </w:tr>
      <w:tr w:rsidR="00736A8C" w:rsidRPr="004D0E95" w14:paraId="151F9791"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64D31632" w14:textId="77777777" w:rsidR="00736A8C" w:rsidRPr="004D0E95" w:rsidRDefault="00736A8C" w:rsidP="00BE34DB">
            <w:pPr>
              <w:rPr>
                <w:rFonts w:cs="Arial"/>
                <w:b/>
              </w:rPr>
            </w:pPr>
            <w:r w:rsidRPr="004D0E95">
              <w:rPr>
                <w:rFonts w:cs="Arial"/>
                <w:b/>
              </w:rPr>
              <w:t>Ausência de registro no sistema orçamentário das receitas patrimoniais oriundas da variação positiva ou negativa dos investimentos e aplicações financeiras na contabilidade do Fundo Previdenciário</w:t>
            </w:r>
          </w:p>
          <w:p w14:paraId="11076E0F" w14:textId="77777777" w:rsidR="00736A8C" w:rsidRPr="004D0E95" w:rsidRDefault="00736A8C" w:rsidP="00BE34DB">
            <w:pPr>
              <w:rPr>
                <w:rFonts w:cs="Arial"/>
              </w:rPr>
            </w:pPr>
          </w:p>
          <w:p w14:paraId="6515EC85" w14:textId="77777777" w:rsidR="00736A8C" w:rsidRPr="004D0E95" w:rsidRDefault="00736A8C" w:rsidP="00BE34DB">
            <w:pPr>
              <w:rPr>
                <w:rFonts w:cs="Arial"/>
              </w:rPr>
            </w:pPr>
            <w:r w:rsidRPr="004D0E95">
              <w:rPr>
                <w:rFonts w:cs="Arial"/>
              </w:rPr>
              <w:t>Ausência de registro contábil no sistema orçamentário do Fundo Previdenciário das receitas ou despesas patrimoniais advindas da variação positiva ou negativa dos investimentos e aplicações financeira, conforme IPC 14 e a Nota Técnica SEI nº 6675/23/ME da Secretaria do Tesouro Nacional.</w:t>
            </w:r>
          </w:p>
        </w:tc>
      </w:tr>
      <w:tr w:rsidR="00736A8C" w:rsidRPr="004D0E95" w14:paraId="2339F9F7" w14:textId="77777777" w:rsidTr="00D1337E">
        <w:trPr>
          <w:trHeight w:val="284"/>
        </w:trPr>
        <w:tc>
          <w:tcPr>
            <w:tcW w:w="5000" w:type="pct"/>
            <w:tcBorders>
              <w:left w:val="nil"/>
              <w:bottom w:val="single" w:sz="4" w:space="0" w:color="auto"/>
              <w:right w:val="nil"/>
            </w:tcBorders>
            <w:shd w:val="clear" w:color="auto" w:fill="auto"/>
            <w:tcMar>
              <w:top w:w="57" w:type="dxa"/>
              <w:bottom w:w="57" w:type="dxa"/>
            </w:tcMar>
            <w:vAlign w:val="center"/>
          </w:tcPr>
          <w:p w14:paraId="780642B4" w14:textId="77777777" w:rsidR="00736A8C" w:rsidRPr="004D0E95" w:rsidRDefault="00736A8C" w:rsidP="00BE34DB">
            <w:pPr>
              <w:rPr>
                <w:rFonts w:cs="Arial"/>
                <w:b/>
              </w:rPr>
            </w:pPr>
          </w:p>
        </w:tc>
      </w:tr>
      <w:tr w:rsidR="00736A8C" w:rsidRPr="004D0E95" w14:paraId="1AF52FED" w14:textId="77777777" w:rsidTr="00D1337E">
        <w:trPr>
          <w:trHeight w:val="284"/>
        </w:trPr>
        <w:tc>
          <w:tcPr>
            <w:tcW w:w="5000" w:type="pct"/>
            <w:tcBorders>
              <w:top w:val="single" w:sz="4" w:space="0" w:color="auto"/>
            </w:tcBorders>
            <w:shd w:val="clear" w:color="auto" w:fill="auto"/>
            <w:tcMar>
              <w:top w:w="57" w:type="dxa"/>
              <w:bottom w:w="57" w:type="dxa"/>
            </w:tcMar>
            <w:vAlign w:val="center"/>
          </w:tcPr>
          <w:p w14:paraId="023734E7" w14:textId="77777777" w:rsidR="00736A8C" w:rsidRPr="004D0E95" w:rsidRDefault="00736A8C" w:rsidP="00BE34DB">
            <w:pPr>
              <w:rPr>
                <w:rFonts w:cs="Arial"/>
              </w:rPr>
            </w:pPr>
            <w:r w:rsidRPr="004D0E95">
              <w:rPr>
                <w:rFonts w:cs="Arial"/>
              </w:rPr>
              <w:t>4.11.6 Sistema de Proteção dos Militares</w:t>
            </w:r>
          </w:p>
        </w:tc>
      </w:tr>
      <w:tr w:rsidR="00736A8C" w:rsidRPr="004D0E95" w14:paraId="7CB41BA6"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4B3C5ECE" w14:textId="77777777" w:rsidR="00736A8C" w:rsidRPr="004D0E95" w:rsidRDefault="00736A8C" w:rsidP="00BE34DB">
            <w:pPr>
              <w:rPr>
                <w:rFonts w:cs="Arial"/>
                <w:b/>
              </w:rPr>
            </w:pPr>
            <w:r w:rsidRPr="004D0E95">
              <w:rPr>
                <w:rFonts w:cs="Arial"/>
                <w:b/>
              </w:rPr>
              <w:t>Deficiência nos registros contábeis dos repasse do Tesouro Estadual para pagamentos das demandas judiciais (RPV)</w:t>
            </w:r>
          </w:p>
          <w:p w14:paraId="660DEF28" w14:textId="77777777" w:rsidR="00736A8C" w:rsidRPr="004D0E95" w:rsidRDefault="00736A8C" w:rsidP="00BE34DB">
            <w:pPr>
              <w:rPr>
                <w:rFonts w:cs="Arial"/>
                <w:b/>
              </w:rPr>
            </w:pPr>
          </w:p>
          <w:p w14:paraId="3F9CC811" w14:textId="77777777" w:rsidR="00736A8C" w:rsidRPr="004D0E95" w:rsidRDefault="00736A8C" w:rsidP="00BE34DB">
            <w:pPr>
              <w:rPr>
                <w:rFonts w:cs="Arial"/>
                <w:b/>
              </w:rPr>
            </w:pPr>
            <w:r w:rsidRPr="004D0E95">
              <w:rPr>
                <w:rFonts w:cs="Arial"/>
              </w:rPr>
              <w:t>Os repasses efetuados pelo Tesouro Estadual das insuficiências financeiras para as UOs 1780 – Fundo Financeiro e 1781 – Fundo Financeiro Militar relacionadas às demandas judiciais (RPV)  na conta contábil 4.5.1.1.2.01.00.00.00 (cota recebida) prejudica a transparência, uma vez que existe conta contábil específica para registro de insuficiências financeiras.</w:t>
            </w:r>
          </w:p>
        </w:tc>
      </w:tr>
      <w:tr w:rsidR="00736A8C" w:rsidRPr="004D0E95" w14:paraId="1C97CA1E" w14:textId="77777777" w:rsidTr="00BE34DB">
        <w:trPr>
          <w:trHeight w:val="284"/>
        </w:trPr>
        <w:tc>
          <w:tcPr>
            <w:tcW w:w="5000" w:type="pct"/>
            <w:tcBorders>
              <w:left w:val="nil"/>
              <w:right w:val="nil"/>
            </w:tcBorders>
            <w:shd w:val="clear" w:color="auto" w:fill="auto"/>
            <w:tcMar>
              <w:top w:w="57" w:type="dxa"/>
              <w:bottom w:w="57" w:type="dxa"/>
            </w:tcMar>
            <w:vAlign w:val="center"/>
          </w:tcPr>
          <w:p w14:paraId="2495A997" w14:textId="77777777" w:rsidR="00736A8C" w:rsidRPr="004D0E95" w:rsidRDefault="00736A8C" w:rsidP="00BE34DB">
            <w:pPr>
              <w:rPr>
                <w:rFonts w:cs="Arial"/>
                <w:b/>
              </w:rPr>
            </w:pPr>
          </w:p>
        </w:tc>
      </w:tr>
      <w:tr w:rsidR="00736A8C" w:rsidRPr="004D0E95" w14:paraId="39D0791F" w14:textId="77777777" w:rsidTr="00BE34DB">
        <w:trPr>
          <w:trHeight w:val="284"/>
        </w:trPr>
        <w:tc>
          <w:tcPr>
            <w:tcW w:w="5000" w:type="pct"/>
            <w:shd w:val="clear" w:color="auto" w:fill="auto"/>
            <w:tcMar>
              <w:top w:w="57" w:type="dxa"/>
              <w:bottom w:w="57" w:type="dxa"/>
            </w:tcMar>
            <w:vAlign w:val="center"/>
          </w:tcPr>
          <w:p w14:paraId="0631A696" w14:textId="77777777" w:rsidR="00736A8C" w:rsidRPr="004D0E95" w:rsidRDefault="00736A8C" w:rsidP="00BE34DB">
            <w:pPr>
              <w:rPr>
                <w:rFonts w:cs="Arial"/>
              </w:rPr>
            </w:pPr>
            <w:r w:rsidRPr="004D0E95">
              <w:rPr>
                <w:rFonts w:cs="Arial"/>
              </w:rPr>
              <w:t>4.13.3 Disponibilidade de Caixa e Restos a Pagar</w:t>
            </w:r>
          </w:p>
        </w:tc>
      </w:tr>
      <w:tr w:rsidR="00736A8C" w:rsidRPr="004D0E95" w14:paraId="748A5424"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0DC36FAF" w14:textId="77777777" w:rsidR="00736A8C" w:rsidRPr="004D0E95" w:rsidRDefault="00736A8C" w:rsidP="00BE34DB">
            <w:pPr>
              <w:rPr>
                <w:rFonts w:cs="Arial"/>
                <w:b/>
              </w:rPr>
            </w:pPr>
            <w:r w:rsidRPr="004D0E95">
              <w:rPr>
                <w:rFonts w:cs="Arial"/>
                <w:b/>
              </w:rPr>
              <w:t>Fontes de Recursos com Saldo Negativo</w:t>
            </w:r>
          </w:p>
          <w:p w14:paraId="1DA042C0" w14:textId="77777777" w:rsidR="00736A8C" w:rsidRPr="004D0E95" w:rsidRDefault="00736A8C" w:rsidP="00BE34DB">
            <w:pPr>
              <w:rPr>
                <w:rFonts w:cs="Arial"/>
                <w:b/>
              </w:rPr>
            </w:pPr>
          </w:p>
          <w:p w14:paraId="282D7FBE" w14:textId="77777777" w:rsidR="00736A8C" w:rsidRPr="004D0E95" w:rsidRDefault="00736A8C" w:rsidP="00BE34DB">
            <w:pPr>
              <w:rPr>
                <w:rFonts w:cs="Arial"/>
              </w:rPr>
            </w:pPr>
            <w:r w:rsidRPr="004D0E95">
              <w:rPr>
                <w:rFonts w:cs="Arial"/>
              </w:rPr>
              <w:t>Existência de fontes de recursos com saldo negativo.</w:t>
            </w:r>
          </w:p>
        </w:tc>
      </w:tr>
      <w:tr w:rsidR="00736A8C" w:rsidRPr="004D0E95" w14:paraId="78AC1D98" w14:textId="77777777" w:rsidTr="00BE34DB">
        <w:trPr>
          <w:trHeight w:val="284"/>
        </w:trPr>
        <w:tc>
          <w:tcPr>
            <w:tcW w:w="5000" w:type="pct"/>
            <w:tcBorders>
              <w:left w:val="nil"/>
              <w:right w:val="nil"/>
            </w:tcBorders>
            <w:shd w:val="clear" w:color="auto" w:fill="auto"/>
            <w:tcMar>
              <w:top w:w="57" w:type="dxa"/>
              <w:bottom w:w="57" w:type="dxa"/>
            </w:tcMar>
            <w:vAlign w:val="center"/>
          </w:tcPr>
          <w:p w14:paraId="79CAEB27" w14:textId="77777777" w:rsidR="00736A8C" w:rsidRPr="004D0E95" w:rsidRDefault="00736A8C" w:rsidP="00BE34DB">
            <w:pPr>
              <w:rPr>
                <w:rFonts w:cs="Arial"/>
                <w:b/>
              </w:rPr>
            </w:pPr>
          </w:p>
        </w:tc>
      </w:tr>
      <w:tr w:rsidR="00736A8C" w:rsidRPr="004D0E95" w14:paraId="3632BF06" w14:textId="77777777" w:rsidTr="00BE34DB">
        <w:trPr>
          <w:trHeight w:val="284"/>
        </w:trPr>
        <w:tc>
          <w:tcPr>
            <w:tcW w:w="5000" w:type="pct"/>
            <w:shd w:val="clear" w:color="auto" w:fill="auto"/>
            <w:tcMar>
              <w:top w:w="57" w:type="dxa"/>
              <w:bottom w:w="57" w:type="dxa"/>
            </w:tcMar>
            <w:vAlign w:val="center"/>
          </w:tcPr>
          <w:p w14:paraId="7DF835BE" w14:textId="77777777" w:rsidR="00736A8C" w:rsidRPr="004D0E95" w:rsidRDefault="00736A8C" w:rsidP="00BE34DB">
            <w:pPr>
              <w:rPr>
                <w:rFonts w:cs="Arial"/>
              </w:rPr>
            </w:pPr>
            <w:r w:rsidRPr="004D0E95">
              <w:rPr>
                <w:rFonts w:cs="Arial"/>
              </w:rPr>
              <w:t>4.15.2 Lei Complementar Federal nº 159/2017</w:t>
            </w:r>
          </w:p>
        </w:tc>
      </w:tr>
      <w:tr w:rsidR="00736A8C" w:rsidRPr="004D0E95" w14:paraId="486DD5F1"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53D70C8A" w14:textId="77777777" w:rsidR="00736A8C" w:rsidRPr="004D0E95" w:rsidRDefault="00736A8C" w:rsidP="00BE34DB">
            <w:pPr>
              <w:rPr>
                <w:rFonts w:cs="Arial"/>
                <w:b/>
              </w:rPr>
            </w:pPr>
            <w:r w:rsidRPr="004D0E95">
              <w:rPr>
                <w:rFonts w:cs="Arial"/>
                <w:b/>
              </w:rPr>
              <w:t>Deficiência no encaminhamento à AEMFPF todos os projetos e atos administrativos que possam impactar orçamentária e financeiramente as contas públicas estaduais</w:t>
            </w:r>
          </w:p>
          <w:p w14:paraId="7C08EF48" w14:textId="77777777" w:rsidR="00736A8C" w:rsidRPr="004D0E95" w:rsidRDefault="00736A8C" w:rsidP="00BE34DB">
            <w:pPr>
              <w:rPr>
                <w:rFonts w:cs="Arial"/>
                <w:b/>
              </w:rPr>
            </w:pPr>
          </w:p>
          <w:p w14:paraId="7DD0A599" w14:textId="77777777" w:rsidR="00736A8C" w:rsidRPr="004D0E95" w:rsidRDefault="00736A8C" w:rsidP="00BE34DB">
            <w:pPr>
              <w:rPr>
                <w:rFonts w:cs="Arial"/>
              </w:rPr>
            </w:pPr>
            <w:r w:rsidRPr="004D0E95">
              <w:rPr>
                <w:rFonts w:cs="Arial"/>
              </w:rPr>
              <w:lastRenderedPageBreak/>
              <w:t>Ausência de encaminhamento prévio à Assessoria de Monitoramento Fiscal e Planejamento Financeiro da Secretaria de Estado da Economia da totalidade dos projetos e atos administrativos que tragam potencial impacto orçamentário e financeiro nas contas públicas estaduais, para fins de análise e mitigação dos riscos de descumprimento das vedações do art. 8º da LC nº 159/2017 (RRF).</w:t>
            </w:r>
          </w:p>
        </w:tc>
      </w:tr>
      <w:tr w:rsidR="00736A8C" w:rsidRPr="004D0E95" w14:paraId="2217EE77" w14:textId="77777777" w:rsidTr="00BE34DB">
        <w:trPr>
          <w:trHeight w:val="284"/>
        </w:trPr>
        <w:tc>
          <w:tcPr>
            <w:tcW w:w="5000" w:type="pct"/>
            <w:tcBorders>
              <w:left w:val="nil"/>
              <w:right w:val="nil"/>
            </w:tcBorders>
            <w:shd w:val="clear" w:color="auto" w:fill="auto"/>
            <w:tcMar>
              <w:top w:w="57" w:type="dxa"/>
              <w:bottom w:w="57" w:type="dxa"/>
            </w:tcMar>
            <w:vAlign w:val="center"/>
          </w:tcPr>
          <w:p w14:paraId="38B56607" w14:textId="77777777" w:rsidR="00736A8C" w:rsidRPr="004D0E95" w:rsidRDefault="00736A8C" w:rsidP="00BE34DB">
            <w:pPr>
              <w:rPr>
                <w:rFonts w:cs="Arial"/>
                <w:b/>
              </w:rPr>
            </w:pPr>
          </w:p>
        </w:tc>
      </w:tr>
      <w:tr w:rsidR="00736A8C" w:rsidRPr="004D0E95" w14:paraId="01731A76" w14:textId="77777777" w:rsidTr="00BE34DB">
        <w:trPr>
          <w:trHeight w:val="284"/>
        </w:trPr>
        <w:tc>
          <w:tcPr>
            <w:tcW w:w="5000" w:type="pct"/>
            <w:shd w:val="clear" w:color="auto" w:fill="auto"/>
            <w:tcMar>
              <w:top w:w="57" w:type="dxa"/>
              <w:bottom w:w="57" w:type="dxa"/>
            </w:tcMar>
            <w:vAlign w:val="center"/>
          </w:tcPr>
          <w:p w14:paraId="0B240F7E" w14:textId="77777777" w:rsidR="00736A8C" w:rsidRPr="004D0E95" w:rsidRDefault="00736A8C" w:rsidP="00BE34DB">
            <w:pPr>
              <w:rPr>
                <w:rFonts w:cs="Arial"/>
              </w:rPr>
            </w:pPr>
            <w:r w:rsidRPr="004D0E95">
              <w:rPr>
                <w:rFonts w:cs="Arial"/>
              </w:rPr>
              <w:t>4.16.1 Estimativa da Renúncia de Receita</w:t>
            </w:r>
          </w:p>
        </w:tc>
      </w:tr>
      <w:tr w:rsidR="00736A8C" w:rsidRPr="004D0E95" w14:paraId="0BF405D5"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37CAD17F" w14:textId="77777777" w:rsidR="00736A8C" w:rsidRPr="004D0E95" w:rsidRDefault="00736A8C" w:rsidP="00BE34DB">
            <w:pPr>
              <w:rPr>
                <w:rFonts w:cs="Arial"/>
                <w:b/>
              </w:rPr>
            </w:pPr>
            <w:r w:rsidRPr="004D0E95">
              <w:rPr>
                <w:rFonts w:cs="Arial"/>
                <w:b/>
              </w:rPr>
              <w:t>Deficiência  na transparência da concessão ou ampliação de benefícios fiscais</w:t>
            </w:r>
          </w:p>
          <w:p w14:paraId="7AD3CA8E" w14:textId="77777777" w:rsidR="00736A8C" w:rsidRPr="004D0E95" w:rsidRDefault="00736A8C" w:rsidP="00BE34DB">
            <w:pPr>
              <w:rPr>
                <w:rFonts w:cs="Arial"/>
                <w:b/>
              </w:rPr>
            </w:pPr>
          </w:p>
          <w:p w14:paraId="2A0E9197" w14:textId="77777777" w:rsidR="00736A8C" w:rsidRPr="004D0E95" w:rsidRDefault="00736A8C" w:rsidP="00BE34DB">
            <w:pPr>
              <w:rPr>
                <w:rFonts w:cs="Arial"/>
              </w:rPr>
            </w:pPr>
            <w:r w:rsidRPr="004D0E95">
              <w:rPr>
                <w:rFonts w:cs="Arial"/>
              </w:rPr>
              <w:t>Não foi identificado, no Anexo de Metas Fiscais da LDO, quadro demonstrando o impacto orçamentário e financeiro da renúncia na previsão da receita e nas metas de resultados fiscais, nos termos do inciso I, art. 14, da LRF; e no projeto de LOA, também não foi identificado quadro demonstrativo regionalizado do efeito, sobre as receitas e despesas, das renúncias a serem concedidas, nos termos do § 6º, do art. 165 da CF/88.</w:t>
            </w:r>
          </w:p>
        </w:tc>
      </w:tr>
      <w:tr w:rsidR="00736A8C" w:rsidRPr="004D0E95" w14:paraId="5D512B0D" w14:textId="77777777" w:rsidTr="00BE34DB">
        <w:trPr>
          <w:trHeight w:val="284"/>
        </w:trPr>
        <w:tc>
          <w:tcPr>
            <w:tcW w:w="5000" w:type="pct"/>
            <w:tcBorders>
              <w:left w:val="nil"/>
              <w:right w:val="nil"/>
            </w:tcBorders>
            <w:shd w:val="clear" w:color="auto" w:fill="auto"/>
            <w:tcMar>
              <w:top w:w="57" w:type="dxa"/>
              <w:bottom w:w="57" w:type="dxa"/>
            </w:tcMar>
            <w:vAlign w:val="center"/>
          </w:tcPr>
          <w:p w14:paraId="2B9063CB" w14:textId="77777777" w:rsidR="00736A8C" w:rsidRPr="004D0E95" w:rsidRDefault="00736A8C" w:rsidP="00BE34DB">
            <w:pPr>
              <w:rPr>
                <w:rFonts w:cs="Arial"/>
                <w:b/>
              </w:rPr>
            </w:pPr>
          </w:p>
        </w:tc>
      </w:tr>
      <w:tr w:rsidR="00736A8C" w:rsidRPr="004D0E95" w14:paraId="69E5123B" w14:textId="77777777" w:rsidTr="00BE34DB">
        <w:trPr>
          <w:trHeight w:val="284"/>
        </w:trPr>
        <w:tc>
          <w:tcPr>
            <w:tcW w:w="5000" w:type="pct"/>
            <w:shd w:val="clear" w:color="auto" w:fill="auto"/>
            <w:tcMar>
              <w:top w:w="57" w:type="dxa"/>
              <w:bottom w:w="57" w:type="dxa"/>
            </w:tcMar>
            <w:vAlign w:val="center"/>
          </w:tcPr>
          <w:p w14:paraId="0DED766E" w14:textId="77777777" w:rsidR="00736A8C" w:rsidRPr="004D0E95" w:rsidRDefault="00736A8C" w:rsidP="00BE34DB">
            <w:pPr>
              <w:rPr>
                <w:rFonts w:cs="Arial"/>
              </w:rPr>
            </w:pPr>
            <w:r w:rsidRPr="004D0E95">
              <w:rPr>
                <w:rFonts w:cs="Arial"/>
              </w:rPr>
              <w:t>4.16.3 Evidenciação e Registro da Receita</w:t>
            </w:r>
          </w:p>
        </w:tc>
      </w:tr>
      <w:tr w:rsidR="00736A8C" w:rsidRPr="004D0E95" w14:paraId="4AF22EC0"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13F94B16" w14:textId="77777777" w:rsidR="00736A8C" w:rsidRPr="004D0E95" w:rsidRDefault="00736A8C" w:rsidP="00BE34DB">
            <w:pPr>
              <w:rPr>
                <w:rFonts w:cs="Arial"/>
                <w:b/>
              </w:rPr>
            </w:pPr>
            <w:r w:rsidRPr="004D0E95">
              <w:rPr>
                <w:rFonts w:cs="Arial"/>
                <w:b/>
              </w:rPr>
              <w:t>Deficiência na transparência e fidedignidade na divulgação e registro dos dados oficiais referentes aos benefícios fiscais concedidos</w:t>
            </w:r>
          </w:p>
          <w:p w14:paraId="5DC242D0" w14:textId="77777777" w:rsidR="00736A8C" w:rsidRPr="004D0E95" w:rsidRDefault="00736A8C" w:rsidP="00BE34DB">
            <w:pPr>
              <w:rPr>
                <w:rFonts w:cs="Arial"/>
                <w:b/>
              </w:rPr>
            </w:pPr>
          </w:p>
          <w:p w14:paraId="008A0BC5" w14:textId="77777777" w:rsidR="00736A8C" w:rsidRPr="004D0E95" w:rsidRDefault="00736A8C" w:rsidP="00BE34DB">
            <w:pPr>
              <w:rPr>
                <w:rFonts w:cs="Arial"/>
              </w:rPr>
            </w:pPr>
            <w:r w:rsidRPr="004D0E95">
              <w:rPr>
                <w:rFonts w:cs="Arial"/>
              </w:rPr>
              <w:t>As informações publicadas no Portal de Transparência divergem dos valores oficialmente apurados após o fechamento de cada exercício. Também se faz necessário apresentar estudos sobre a viabilidade de efetuar os registros contábeis contemplando todas instruções previstas no MCAPS e na IPC 16 – Benefícios Fiscais.</w:t>
            </w:r>
          </w:p>
        </w:tc>
      </w:tr>
      <w:tr w:rsidR="00736A8C" w:rsidRPr="004D0E95" w14:paraId="1E7C6D89" w14:textId="77777777" w:rsidTr="00BE34DB">
        <w:trPr>
          <w:trHeight w:val="284"/>
        </w:trPr>
        <w:tc>
          <w:tcPr>
            <w:tcW w:w="5000" w:type="pct"/>
            <w:tcBorders>
              <w:left w:val="nil"/>
              <w:right w:val="nil"/>
            </w:tcBorders>
            <w:shd w:val="clear" w:color="auto" w:fill="auto"/>
            <w:tcMar>
              <w:top w:w="57" w:type="dxa"/>
              <w:bottom w:w="57" w:type="dxa"/>
            </w:tcMar>
            <w:vAlign w:val="center"/>
          </w:tcPr>
          <w:p w14:paraId="47F85FB5" w14:textId="77777777" w:rsidR="00736A8C" w:rsidRPr="004D0E95" w:rsidRDefault="00736A8C" w:rsidP="00BE34DB">
            <w:pPr>
              <w:rPr>
                <w:rFonts w:cs="Arial"/>
                <w:b/>
              </w:rPr>
            </w:pPr>
          </w:p>
        </w:tc>
      </w:tr>
      <w:tr w:rsidR="00736A8C" w:rsidRPr="004D0E95" w14:paraId="05AD7433" w14:textId="77777777" w:rsidTr="00BE34DB">
        <w:trPr>
          <w:trHeight w:val="284"/>
        </w:trPr>
        <w:tc>
          <w:tcPr>
            <w:tcW w:w="5000" w:type="pct"/>
            <w:shd w:val="clear" w:color="auto" w:fill="auto"/>
            <w:tcMar>
              <w:top w:w="57" w:type="dxa"/>
              <w:bottom w:w="57" w:type="dxa"/>
            </w:tcMar>
            <w:vAlign w:val="center"/>
          </w:tcPr>
          <w:p w14:paraId="2682DEE3" w14:textId="77777777" w:rsidR="00736A8C" w:rsidRPr="004D0E95" w:rsidRDefault="00736A8C" w:rsidP="00BE34DB">
            <w:pPr>
              <w:rPr>
                <w:rFonts w:cs="Arial"/>
              </w:rPr>
            </w:pPr>
            <w:r w:rsidRPr="004D0E95">
              <w:rPr>
                <w:rFonts w:cs="Arial"/>
              </w:rPr>
              <w:t>5.1 Destinação de Receita aos Municípios</w:t>
            </w:r>
          </w:p>
        </w:tc>
      </w:tr>
      <w:tr w:rsidR="00736A8C" w:rsidRPr="004D0E95" w14:paraId="02E3D40C"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6A4F71D0" w14:textId="77777777" w:rsidR="00736A8C" w:rsidRPr="004D0E95" w:rsidRDefault="00736A8C" w:rsidP="00BE34DB">
            <w:pPr>
              <w:rPr>
                <w:rFonts w:cs="Arial"/>
                <w:b/>
              </w:rPr>
            </w:pPr>
            <w:r w:rsidRPr="004D0E95">
              <w:rPr>
                <w:rFonts w:cs="Arial"/>
                <w:b/>
              </w:rPr>
              <w:t>Deficiência na transparência da apuração da base de cálculo da destinação constitucional de recursos aos municípios</w:t>
            </w:r>
          </w:p>
          <w:p w14:paraId="04CE15A1" w14:textId="77777777" w:rsidR="00736A8C" w:rsidRPr="004D0E95" w:rsidRDefault="00736A8C" w:rsidP="00BE34DB">
            <w:pPr>
              <w:rPr>
                <w:rFonts w:cs="Arial"/>
                <w:b/>
              </w:rPr>
            </w:pPr>
          </w:p>
          <w:p w14:paraId="71206587" w14:textId="77777777" w:rsidR="00736A8C" w:rsidRPr="004D0E95" w:rsidRDefault="00736A8C" w:rsidP="00BE34DB">
            <w:pPr>
              <w:rPr>
                <w:rFonts w:cs="Arial"/>
              </w:rPr>
            </w:pPr>
            <w:r w:rsidRPr="004D0E95">
              <w:rPr>
                <w:rFonts w:cs="Arial"/>
              </w:rPr>
              <w:t>Ausência de transparência quanto a publicação disposta no art. 8º da LC nº 63/1990, quanto a base de cálculo das transferência aos municípios estabelecida pelo art. 107 da Constituição Estadual, o que impossibilita a conciliação entre os recursos efetivamente repassados e os que deveriam ter sido repassados tomando por base o Anexo 10A.</w:t>
            </w:r>
          </w:p>
        </w:tc>
      </w:tr>
      <w:tr w:rsidR="00736A8C" w:rsidRPr="004D0E95" w14:paraId="3B5CF2A8" w14:textId="77777777" w:rsidTr="00BE34DB">
        <w:trPr>
          <w:trHeight w:val="284"/>
        </w:trPr>
        <w:tc>
          <w:tcPr>
            <w:tcW w:w="5000" w:type="pct"/>
            <w:tcBorders>
              <w:left w:val="nil"/>
              <w:right w:val="nil"/>
            </w:tcBorders>
            <w:shd w:val="clear" w:color="auto" w:fill="auto"/>
            <w:tcMar>
              <w:top w:w="57" w:type="dxa"/>
              <w:bottom w:w="57" w:type="dxa"/>
            </w:tcMar>
            <w:vAlign w:val="center"/>
          </w:tcPr>
          <w:p w14:paraId="794A8854" w14:textId="77777777" w:rsidR="00736A8C" w:rsidRPr="004D0E95" w:rsidRDefault="00736A8C" w:rsidP="00BE34DB">
            <w:pPr>
              <w:rPr>
                <w:rFonts w:cs="Arial"/>
                <w:b/>
              </w:rPr>
            </w:pPr>
          </w:p>
        </w:tc>
      </w:tr>
      <w:tr w:rsidR="00736A8C" w:rsidRPr="004D0E95" w14:paraId="665B231D" w14:textId="77777777" w:rsidTr="00BE34DB">
        <w:trPr>
          <w:trHeight w:val="284"/>
        </w:trPr>
        <w:tc>
          <w:tcPr>
            <w:tcW w:w="5000" w:type="pct"/>
            <w:shd w:val="clear" w:color="auto" w:fill="auto"/>
            <w:tcMar>
              <w:top w:w="57" w:type="dxa"/>
              <w:bottom w:w="57" w:type="dxa"/>
            </w:tcMar>
            <w:vAlign w:val="center"/>
          </w:tcPr>
          <w:p w14:paraId="77D5F669" w14:textId="77777777" w:rsidR="00736A8C" w:rsidRPr="004D0E95" w:rsidRDefault="00736A8C" w:rsidP="00BE34DB">
            <w:pPr>
              <w:rPr>
                <w:rFonts w:cs="Arial"/>
              </w:rPr>
            </w:pPr>
            <w:r w:rsidRPr="004D0E95">
              <w:rPr>
                <w:rFonts w:cs="Arial"/>
              </w:rPr>
              <w:t>5.3.2 Despesas Executadas por meio de OSs e OSCs</w:t>
            </w:r>
          </w:p>
        </w:tc>
      </w:tr>
      <w:tr w:rsidR="00736A8C" w:rsidRPr="004D0E95" w14:paraId="2F710E88"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515EEADF" w14:textId="77777777" w:rsidR="00736A8C" w:rsidRPr="004D0E95" w:rsidRDefault="00736A8C" w:rsidP="00BE34DB">
            <w:pPr>
              <w:rPr>
                <w:rFonts w:cs="Arial"/>
                <w:b/>
              </w:rPr>
            </w:pPr>
            <w:r w:rsidRPr="004D0E95">
              <w:rPr>
                <w:rFonts w:cs="Arial"/>
                <w:b/>
              </w:rPr>
              <w:t>Divergência de informações quanto às despesas executadas tendo como beneficiários OSs e OSCs</w:t>
            </w:r>
          </w:p>
          <w:p w14:paraId="416556F6" w14:textId="77777777" w:rsidR="00736A8C" w:rsidRPr="004D0E95" w:rsidRDefault="00736A8C" w:rsidP="00BE34DB">
            <w:pPr>
              <w:rPr>
                <w:rFonts w:cs="Arial"/>
                <w:b/>
              </w:rPr>
            </w:pPr>
          </w:p>
          <w:p w14:paraId="67C5EF0F" w14:textId="77777777" w:rsidR="00736A8C" w:rsidRPr="004D0E95" w:rsidRDefault="00736A8C" w:rsidP="00BE34DB">
            <w:pPr>
              <w:rPr>
                <w:rFonts w:cs="Arial"/>
              </w:rPr>
            </w:pPr>
            <w:r w:rsidRPr="004D0E95">
              <w:rPr>
                <w:rFonts w:cs="Arial"/>
              </w:rPr>
              <w:t>As informações publicadas apresentam divergências quanto a divulgação das OSs e OSCs com as quais mantém conexão de execução de despesas e seus respectivos valores.</w:t>
            </w:r>
          </w:p>
        </w:tc>
      </w:tr>
      <w:tr w:rsidR="00736A8C" w:rsidRPr="004D0E95" w14:paraId="0CD9BD03" w14:textId="77777777" w:rsidTr="00BE34DB">
        <w:trPr>
          <w:trHeight w:val="284"/>
        </w:trPr>
        <w:tc>
          <w:tcPr>
            <w:tcW w:w="5000" w:type="pct"/>
            <w:tcBorders>
              <w:left w:val="nil"/>
              <w:right w:val="nil"/>
            </w:tcBorders>
            <w:shd w:val="clear" w:color="auto" w:fill="auto"/>
            <w:tcMar>
              <w:top w:w="57" w:type="dxa"/>
              <w:bottom w:w="57" w:type="dxa"/>
            </w:tcMar>
            <w:vAlign w:val="center"/>
          </w:tcPr>
          <w:p w14:paraId="1F474974" w14:textId="77777777" w:rsidR="00736A8C" w:rsidRPr="004D0E95" w:rsidRDefault="00736A8C" w:rsidP="00BE34DB">
            <w:pPr>
              <w:rPr>
                <w:rFonts w:cs="Arial"/>
                <w:b/>
              </w:rPr>
            </w:pPr>
          </w:p>
        </w:tc>
      </w:tr>
      <w:tr w:rsidR="00736A8C" w:rsidRPr="004D0E95" w14:paraId="3DF774BE" w14:textId="77777777" w:rsidTr="00BE34DB">
        <w:trPr>
          <w:trHeight w:val="284"/>
        </w:trPr>
        <w:tc>
          <w:tcPr>
            <w:tcW w:w="5000" w:type="pct"/>
            <w:shd w:val="clear" w:color="auto" w:fill="auto"/>
            <w:tcMar>
              <w:top w:w="57" w:type="dxa"/>
              <w:bottom w:w="57" w:type="dxa"/>
            </w:tcMar>
            <w:vAlign w:val="center"/>
          </w:tcPr>
          <w:p w14:paraId="1834D5B6" w14:textId="77777777" w:rsidR="00736A8C" w:rsidRPr="004D0E95" w:rsidRDefault="00736A8C" w:rsidP="00BE34DB">
            <w:pPr>
              <w:rPr>
                <w:rFonts w:cs="Arial"/>
              </w:rPr>
            </w:pPr>
            <w:r w:rsidRPr="004D0E95">
              <w:rPr>
                <w:rFonts w:cs="Arial"/>
              </w:rPr>
              <w:t>6.1.1.1 Caixa e Equivalentes de Caixa</w:t>
            </w:r>
          </w:p>
        </w:tc>
      </w:tr>
      <w:tr w:rsidR="00736A8C" w:rsidRPr="004D0E95" w14:paraId="24FE0893"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59467DC1" w14:textId="77777777" w:rsidR="00736A8C" w:rsidRPr="004D0E95" w:rsidRDefault="00736A8C" w:rsidP="00BE34DB">
            <w:pPr>
              <w:rPr>
                <w:rFonts w:cs="Arial"/>
                <w:b/>
              </w:rPr>
            </w:pPr>
            <w:r w:rsidRPr="004D0E95">
              <w:rPr>
                <w:rFonts w:cs="Arial"/>
                <w:b/>
              </w:rPr>
              <w:t>Reconhecimento indevido de Seguros-Garantia como Ativo no Subsistema Patrimonial</w:t>
            </w:r>
          </w:p>
          <w:p w14:paraId="00534210" w14:textId="77777777" w:rsidR="00736A8C" w:rsidRPr="004D0E95" w:rsidRDefault="00736A8C" w:rsidP="00BE34DB">
            <w:pPr>
              <w:rPr>
                <w:rFonts w:cs="Arial"/>
                <w:b/>
              </w:rPr>
            </w:pPr>
          </w:p>
          <w:p w14:paraId="151A1756" w14:textId="77777777" w:rsidR="00736A8C" w:rsidRPr="004D0E95" w:rsidRDefault="00736A8C" w:rsidP="00BE34DB">
            <w:pPr>
              <w:rPr>
                <w:rFonts w:cs="Arial"/>
              </w:rPr>
            </w:pPr>
            <w:r w:rsidRPr="004D0E95">
              <w:rPr>
                <w:rFonts w:cs="Arial"/>
              </w:rPr>
              <w:t>Registro contábil indevido de seguros-garantia no subsistema patrimonial, tornando Ativo e Passivo superavaliados.</w:t>
            </w:r>
          </w:p>
        </w:tc>
      </w:tr>
      <w:tr w:rsidR="00736A8C" w:rsidRPr="004D0E95" w14:paraId="30FF8637" w14:textId="77777777" w:rsidTr="00BE34DB">
        <w:trPr>
          <w:trHeight w:val="284"/>
        </w:trPr>
        <w:tc>
          <w:tcPr>
            <w:tcW w:w="5000" w:type="pct"/>
            <w:tcBorders>
              <w:left w:val="nil"/>
              <w:right w:val="nil"/>
            </w:tcBorders>
            <w:shd w:val="clear" w:color="auto" w:fill="auto"/>
            <w:tcMar>
              <w:top w:w="57" w:type="dxa"/>
              <w:bottom w:w="57" w:type="dxa"/>
            </w:tcMar>
            <w:vAlign w:val="center"/>
          </w:tcPr>
          <w:p w14:paraId="409BB870" w14:textId="77777777" w:rsidR="00736A8C" w:rsidRPr="004D0E95" w:rsidRDefault="00736A8C" w:rsidP="00BE34DB">
            <w:pPr>
              <w:rPr>
                <w:rFonts w:cs="Arial"/>
                <w:b/>
              </w:rPr>
            </w:pPr>
          </w:p>
        </w:tc>
      </w:tr>
      <w:tr w:rsidR="00736A8C" w:rsidRPr="004D0E95" w14:paraId="2C82F2D1" w14:textId="77777777" w:rsidTr="00BE34DB">
        <w:trPr>
          <w:trHeight w:val="284"/>
        </w:trPr>
        <w:tc>
          <w:tcPr>
            <w:tcW w:w="5000" w:type="pct"/>
            <w:shd w:val="clear" w:color="auto" w:fill="auto"/>
            <w:tcMar>
              <w:top w:w="57" w:type="dxa"/>
              <w:bottom w:w="57" w:type="dxa"/>
            </w:tcMar>
            <w:vAlign w:val="center"/>
          </w:tcPr>
          <w:p w14:paraId="55CCCA8A" w14:textId="77777777" w:rsidR="00736A8C" w:rsidRPr="004D0E95" w:rsidRDefault="00736A8C" w:rsidP="00BE34DB">
            <w:pPr>
              <w:rPr>
                <w:rFonts w:cs="Arial"/>
              </w:rPr>
            </w:pPr>
            <w:r w:rsidRPr="004D0E95">
              <w:rPr>
                <w:rFonts w:cs="Arial"/>
              </w:rPr>
              <w:t>6.1.1.4 Estoques</w:t>
            </w:r>
          </w:p>
        </w:tc>
      </w:tr>
      <w:tr w:rsidR="00736A8C" w:rsidRPr="004D0E95" w14:paraId="451BC786"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36A9F7DF" w14:textId="77777777" w:rsidR="00736A8C" w:rsidRPr="004D0E95" w:rsidRDefault="00736A8C" w:rsidP="00BE34DB">
            <w:pPr>
              <w:rPr>
                <w:rFonts w:cs="Arial"/>
                <w:b/>
              </w:rPr>
            </w:pPr>
            <w:r w:rsidRPr="004D0E95">
              <w:rPr>
                <w:rFonts w:cs="Arial"/>
                <w:b/>
              </w:rPr>
              <w:t>Inconsistência nos saldos dos estoques</w:t>
            </w:r>
          </w:p>
          <w:p w14:paraId="3196E57A" w14:textId="77777777" w:rsidR="00736A8C" w:rsidRPr="004D0E95" w:rsidRDefault="00736A8C" w:rsidP="00BE34DB">
            <w:pPr>
              <w:rPr>
                <w:rFonts w:cs="Arial"/>
                <w:b/>
              </w:rPr>
            </w:pPr>
          </w:p>
          <w:p w14:paraId="04EE4D65" w14:textId="77777777" w:rsidR="00736A8C" w:rsidRPr="004D0E95" w:rsidRDefault="00736A8C" w:rsidP="00BE34DB">
            <w:pPr>
              <w:rPr>
                <w:rFonts w:cs="Arial"/>
              </w:rPr>
            </w:pPr>
            <w:r w:rsidRPr="004D0E95">
              <w:rPr>
                <w:rFonts w:cs="Arial"/>
              </w:rPr>
              <w:t>O saldo dos estoques de material de consumo - bens do almoxarifado foram superavaliados nas Demonstrações Contábeis de 2023 devido a erro material no registro de itens recebidos em doação (incorporação de ativos) realizados via Sistema de Gestão de Materiais (Sigmate).</w:t>
            </w:r>
          </w:p>
        </w:tc>
      </w:tr>
      <w:tr w:rsidR="00736A8C" w:rsidRPr="004D0E95" w14:paraId="18A3C3CA" w14:textId="77777777" w:rsidTr="00BE34DB">
        <w:trPr>
          <w:trHeight w:val="284"/>
        </w:trPr>
        <w:tc>
          <w:tcPr>
            <w:tcW w:w="5000" w:type="pct"/>
            <w:tcBorders>
              <w:left w:val="nil"/>
              <w:right w:val="nil"/>
            </w:tcBorders>
            <w:shd w:val="clear" w:color="auto" w:fill="auto"/>
            <w:tcMar>
              <w:top w:w="57" w:type="dxa"/>
              <w:bottom w:w="57" w:type="dxa"/>
            </w:tcMar>
            <w:vAlign w:val="center"/>
          </w:tcPr>
          <w:p w14:paraId="55C2437C" w14:textId="77777777" w:rsidR="00736A8C" w:rsidRPr="004D0E95" w:rsidRDefault="00736A8C" w:rsidP="00BE34DB">
            <w:pPr>
              <w:rPr>
                <w:rFonts w:cs="Arial"/>
                <w:b/>
              </w:rPr>
            </w:pPr>
          </w:p>
        </w:tc>
      </w:tr>
      <w:tr w:rsidR="00736A8C" w:rsidRPr="004D0E95" w14:paraId="1B2CEE2B" w14:textId="77777777" w:rsidTr="00BE34DB">
        <w:trPr>
          <w:trHeight w:val="284"/>
        </w:trPr>
        <w:tc>
          <w:tcPr>
            <w:tcW w:w="5000" w:type="pct"/>
            <w:shd w:val="clear" w:color="auto" w:fill="auto"/>
            <w:tcMar>
              <w:top w:w="57" w:type="dxa"/>
              <w:bottom w:w="57" w:type="dxa"/>
            </w:tcMar>
            <w:vAlign w:val="center"/>
          </w:tcPr>
          <w:p w14:paraId="5D9AEAC2" w14:textId="77777777" w:rsidR="00736A8C" w:rsidRPr="004D0E95" w:rsidRDefault="00736A8C" w:rsidP="00BE34DB">
            <w:pPr>
              <w:rPr>
                <w:rFonts w:cs="Arial"/>
              </w:rPr>
            </w:pPr>
            <w:r w:rsidRPr="004D0E95">
              <w:rPr>
                <w:rFonts w:cs="Arial"/>
              </w:rPr>
              <w:t>6.1.1.7.1 Inventário</w:t>
            </w:r>
          </w:p>
        </w:tc>
      </w:tr>
      <w:tr w:rsidR="00736A8C" w:rsidRPr="004D0E95" w14:paraId="6143C716"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25B9AB5C" w14:textId="77777777" w:rsidR="00736A8C" w:rsidRPr="004D0E95" w:rsidRDefault="00736A8C" w:rsidP="00BE34DB">
            <w:pPr>
              <w:rPr>
                <w:rFonts w:cs="Arial"/>
                <w:b/>
              </w:rPr>
            </w:pPr>
            <w:r w:rsidRPr="004D0E95">
              <w:rPr>
                <w:rFonts w:cs="Arial"/>
                <w:b/>
              </w:rPr>
              <w:t>Deficiências na integridade do sistema SPM</w:t>
            </w:r>
          </w:p>
          <w:p w14:paraId="5EEFA3B0" w14:textId="77777777" w:rsidR="00736A8C" w:rsidRPr="004D0E95" w:rsidRDefault="00736A8C" w:rsidP="00BE34DB">
            <w:pPr>
              <w:rPr>
                <w:rFonts w:cs="Arial"/>
                <w:b/>
              </w:rPr>
            </w:pPr>
          </w:p>
          <w:p w14:paraId="2A678AC7" w14:textId="77777777" w:rsidR="00736A8C" w:rsidRPr="004D0E95" w:rsidRDefault="00736A8C" w:rsidP="00BE34DB">
            <w:pPr>
              <w:rPr>
                <w:rFonts w:cs="Arial"/>
              </w:rPr>
            </w:pPr>
            <w:r w:rsidRPr="004D0E95">
              <w:rPr>
                <w:rFonts w:cs="Arial"/>
              </w:rPr>
              <w:t>Possibilidade de alteração retroativa da descrição dos Bens Móveis, alterando a base de dados de períodos contábeis já encerrados, afetando a integridade dos dados do sistema e dos relatórios por ele produzidos.</w:t>
            </w:r>
          </w:p>
        </w:tc>
      </w:tr>
      <w:tr w:rsidR="00736A8C" w:rsidRPr="004D0E95" w14:paraId="3AC39DD9" w14:textId="77777777" w:rsidTr="00BE34DB">
        <w:trPr>
          <w:trHeight w:val="284"/>
        </w:trPr>
        <w:tc>
          <w:tcPr>
            <w:tcW w:w="5000" w:type="pct"/>
            <w:tcBorders>
              <w:left w:val="nil"/>
              <w:right w:val="nil"/>
            </w:tcBorders>
            <w:shd w:val="clear" w:color="auto" w:fill="auto"/>
            <w:tcMar>
              <w:top w:w="57" w:type="dxa"/>
              <w:bottom w:w="57" w:type="dxa"/>
            </w:tcMar>
            <w:vAlign w:val="center"/>
          </w:tcPr>
          <w:p w14:paraId="00398C2F" w14:textId="77777777" w:rsidR="00736A8C" w:rsidRPr="004D0E95" w:rsidRDefault="00736A8C" w:rsidP="00BE34DB">
            <w:pPr>
              <w:rPr>
                <w:rFonts w:cs="Arial"/>
                <w:b/>
              </w:rPr>
            </w:pPr>
          </w:p>
        </w:tc>
      </w:tr>
      <w:tr w:rsidR="00736A8C" w:rsidRPr="004D0E95" w14:paraId="66D04027" w14:textId="77777777" w:rsidTr="00BE34DB">
        <w:trPr>
          <w:trHeight w:val="284"/>
        </w:trPr>
        <w:tc>
          <w:tcPr>
            <w:tcW w:w="5000" w:type="pct"/>
            <w:shd w:val="clear" w:color="auto" w:fill="auto"/>
            <w:tcMar>
              <w:top w:w="57" w:type="dxa"/>
              <w:bottom w:w="57" w:type="dxa"/>
            </w:tcMar>
            <w:vAlign w:val="center"/>
          </w:tcPr>
          <w:p w14:paraId="7D8B5F34" w14:textId="77777777" w:rsidR="00736A8C" w:rsidRPr="004D0E95" w:rsidRDefault="00736A8C" w:rsidP="00BE34DB">
            <w:pPr>
              <w:rPr>
                <w:rFonts w:cs="Arial"/>
              </w:rPr>
            </w:pPr>
            <w:r w:rsidRPr="004D0E95">
              <w:rPr>
                <w:rFonts w:cs="Arial"/>
              </w:rPr>
              <w:t>6.1.1.7.1 Inventário</w:t>
            </w:r>
          </w:p>
        </w:tc>
      </w:tr>
      <w:tr w:rsidR="00736A8C" w:rsidRPr="004D0E95" w14:paraId="213F8DF0"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5E3A1885" w14:textId="77777777" w:rsidR="00736A8C" w:rsidRPr="004D0E95" w:rsidRDefault="00736A8C" w:rsidP="00BE34DB">
            <w:pPr>
              <w:rPr>
                <w:rFonts w:cs="Arial"/>
                <w:b/>
              </w:rPr>
            </w:pPr>
            <w:r w:rsidRPr="004D0E95">
              <w:rPr>
                <w:rFonts w:cs="Arial"/>
                <w:b/>
              </w:rPr>
              <w:t>Inexistência de sistema para gestão e controle do patrimônio imóvel do estado de Goiás</w:t>
            </w:r>
          </w:p>
          <w:p w14:paraId="75CB85EC" w14:textId="77777777" w:rsidR="00736A8C" w:rsidRPr="004D0E95" w:rsidRDefault="00736A8C" w:rsidP="00BE34DB">
            <w:pPr>
              <w:rPr>
                <w:rFonts w:cs="Arial"/>
                <w:b/>
              </w:rPr>
            </w:pPr>
          </w:p>
          <w:p w14:paraId="1BDDA63F" w14:textId="77777777" w:rsidR="00736A8C" w:rsidRPr="004D0E95" w:rsidRDefault="00736A8C" w:rsidP="00BE34DB">
            <w:pPr>
              <w:rPr>
                <w:rFonts w:cs="Arial"/>
              </w:rPr>
            </w:pPr>
            <w:r w:rsidRPr="004D0E95">
              <w:rPr>
                <w:rFonts w:cs="Arial"/>
              </w:rPr>
              <w:t>Inventário de Bens imóveis arrolados em planilhas do excel, com dados distorcidos, não conferindo com os registros contábeis no SCG, sem metodologia padronizada de preenchimento, impossibilitando a consolidação e falta de controles internos da informação.</w:t>
            </w:r>
          </w:p>
        </w:tc>
      </w:tr>
      <w:tr w:rsidR="00736A8C" w:rsidRPr="004D0E95" w14:paraId="71AF38A8" w14:textId="77777777" w:rsidTr="00BE34DB">
        <w:trPr>
          <w:trHeight w:val="284"/>
        </w:trPr>
        <w:tc>
          <w:tcPr>
            <w:tcW w:w="5000" w:type="pct"/>
            <w:tcBorders>
              <w:left w:val="nil"/>
              <w:right w:val="nil"/>
            </w:tcBorders>
            <w:shd w:val="clear" w:color="auto" w:fill="auto"/>
            <w:tcMar>
              <w:top w:w="57" w:type="dxa"/>
              <w:bottom w:w="57" w:type="dxa"/>
            </w:tcMar>
            <w:vAlign w:val="center"/>
          </w:tcPr>
          <w:p w14:paraId="1E34FBDE" w14:textId="77777777" w:rsidR="00736A8C" w:rsidRPr="004D0E95" w:rsidRDefault="00736A8C" w:rsidP="00BE34DB">
            <w:pPr>
              <w:rPr>
                <w:rFonts w:cs="Arial"/>
                <w:b/>
              </w:rPr>
            </w:pPr>
          </w:p>
        </w:tc>
      </w:tr>
      <w:tr w:rsidR="00736A8C" w:rsidRPr="004D0E95" w14:paraId="0579AF6B" w14:textId="77777777" w:rsidTr="00BE34DB">
        <w:trPr>
          <w:trHeight w:val="284"/>
        </w:trPr>
        <w:tc>
          <w:tcPr>
            <w:tcW w:w="5000" w:type="pct"/>
            <w:shd w:val="clear" w:color="auto" w:fill="auto"/>
            <w:tcMar>
              <w:top w:w="57" w:type="dxa"/>
              <w:bottom w:w="57" w:type="dxa"/>
            </w:tcMar>
            <w:vAlign w:val="center"/>
          </w:tcPr>
          <w:p w14:paraId="6A1D6A08" w14:textId="77777777" w:rsidR="00736A8C" w:rsidRPr="004D0E95" w:rsidRDefault="00736A8C" w:rsidP="00BE34DB">
            <w:pPr>
              <w:rPr>
                <w:rFonts w:cs="Arial"/>
              </w:rPr>
            </w:pPr>
            <w:r w:rsidRPr="004D0E95">
              <w:rPr>
                <w:rFonts w:cs="Arial"/>
              </w:rPr>
              <w:t>6.1.1.7.3 Imóveis não Localizados</w:t>
            </w:r>
          </w:p>
        </w:tc>
      </w:tr>
      <w:tr w:rsidR="00736A8C" w:rsidRPr="004D0E95" w14:paraId="6A4F7E83"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284B4EAD" w14:textId="77777777" w:rsidR="00736A8C" w:rsidRPr="004D0E95" w:rsidRDefault="00736A8C" w:rsidP="00BE34DB">
            <w:pPr>
              <w:rPr>
                <w:rFonts w:cs="Arial"/>
                <w:b/>
              </w:rPr>
            </w:pPr>
            <w:r w:rsidRPr="004D0E95">
              <w:rPr>
                <w:rFonts w:cs="Arial"/>
                <w:b/>
              </w:rPr>
              <w:t>Desconhecimento da localização de imóveis constante de 266 certidões imobiliárias</w:t>
            </w:r>
          </w:p>
          <w:p w14:paraId="6C15FC2A" w14:textId="77777777" w:rsidR="00736A8C" w:rsidRPr="004D0E95" w:rsidRDefault="00736A8C" w:rsidP="00BE34DB">
            <w:pPr>
              <w:rPr>
                <w:rFonts w:cs="Arial"/>
                <w:b/>
              </w:rPr>
            </w:pPr>
          </w:p>
          <w:p w14:paraId="2277D5BD" w14:textId="77777777" w:rsidR="00736A8C" w:rsidRPr="004D0E95" w:rsidRDefault="00736A8C" w:rsidP="00BE34DB">
            <w:pPr>
              <w:rPr>
                <w:rFonts w:cs="Arial"/>
              </w:rPr>
            </w:pPr>
            <w:r w:rsidRPr="004D0E95">
              <w:rPr>
                <w:rFonts w:cs="Arial"/>
              </w:rPr>
              <w:t>Não localização de imóveis constantes de 266 certidões imobiliárias de propriedade do Estado.</w:t>
            </w:r>
          </w:p>
        </w:tc>
      </w:tr>
      <w:tr w:rsidR="00736A8C" w:rsidRPr="004D0E95" w14:paraId="753F6C3D" w14:textId="77777777" w:rsidTr="00BE34DB">
        <w:trPr>
          <w:trHeight w:val="284"/>
        </w:trPr>
        <w:tc>
          <w:tcPr>
            <w:tcW w:w="5000" w:type="pct"/>
            <w:tcBorders>
              <w:left w:val="nil"/>
              <w:right w:val="nil"/>
            </w:tcBorders>
            <w:shd w:val="clear" w:color="auto" w:fill="auto"/>
            <w:tcMar>
              <w:top w:w="57" w:type="dxa"/>
              <w:bottom w:w="57" w:type="dxa"/>
            </w:tcMar>
            <w:vAlign w:val="center"/>
          </w:tcPr>
          <w:p w14:paraId="06B5530A" w14:textId="77777777" w:rsidR="00736A8C" w:rsidRPr="004D0E95" w:rsidRDefault="00736A8C" w:rsidP="00BE34DB">
            <w:pPr>
              <w:rPr>
                <w:rFonts w:cs="Arial"/>
                <w:b/>
              </w:rPr>
            </w:pPr>
          </w:p>
        </w:tc>
      </w:tr>
      <w:tr w:rsidR="00736A8C" w:rsidRPr="004D0E95" w14:paraId="2F8D1266" w14:textId="77777777" w:rsidTr="00BE34DB">
        <w:trPr>
          <w:trHeight w:val="284"/>
        </w:trPr>
        <w:tc>
          <w:tcPr>
            <w:tcW w:w="5000" w:type="pct"/>
            <w:shd w:val="clear" w:color="auto" w:fill="auto"/>
            <w:tcMar>
              <w:top w:w="57" w:type="dxa"/>
              <w:bottom w:w="57" w:type="dxa"/>
            </w:tcMar>
            <w:vAlign w:val="center"/>
          </w:tcPr>
          <w:p w14:paraId="1D28568D" w14:textId="77777777" w:rsidR="00736A8C" w:rsidRPr="004D0E95" w:rsidRDefault="00736A8C" w:rsidP="00BE34DB">
            <w:pPr>
              <w:rPr>
                <w:rFonts w:cs="Arial"/>
              </w:rPr>
            </w:pPr>
            <w:r w:rsidRPr="004D0E95">
              <w:rPr>
                <w:rFonts w:cs="Arial"/>
              </w:rPr>
              <w:t>6.1.2.5.2 Situação Patrimonial no Estado de Goiás</w:t>
            </w:r>
          </w:p>
        </w:tc>
      </w:tr>
      <w:tr w:rsidR="00736A8C" w:rsidRPr="004D0E95" w14:paraId="12633A5D"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5207AF37" w14:textId="77777777" w:rsidR="00736A8C" w:rsidRPr="004D0E95" w:rsidRDefault="00736A8C" w:rsidP="00BE34DB">
            <w:pPr>
              <w:rPr>
                <w:rFonts w:cs="Arial"/>
                <w:b/>
              </w:rPr>
            </w:pPr>
            <w:r w:rsidRPr="004D0E95">
              <w:rPr>
                <w:rFonts w:cs="Arial"/>
                <w:b/>
              </w:rPr>
              <w:t>Insuficiência das Provisões Matemáticas Previdenciárias</w:t>
            </w:r>
          </w:p>
          <w:p w14:paraId="0BD9BADC" w14:textId="77777777" w:rsidR="00736A8C" w:rsidRPr="004D0E95" w:rsidRDefault="00736A8C" w:rsidP="00BE34DB">
            <w:pPr>
              <w:rPr>
                <w:rFonts w:cs="Arial"/>
                <w:b/>
              </w:rPr>
            </w:pPr>
          </w:p>
          <w:p w14:paraId="3AE23049" w14:textId="77777777" w:rsidR="00736A8C" w:rsidRPr="004D0E95" w:rsidRDefault="00736A8C" w:rsidP="00BE34DB">
            <w:pPr>
              <w:rPr>
                <w:rFonts w:cs="Arial"/>
              </w:rPr>
            </w:pPr>
            <w:r w:rsidRPr="004D0E95">
              <w:rPr>
                <w:rFonts w:cs="Arial"/>
              </w:rPr>
              <w:lastRenderedPageBreak/>
              <w:t>O Relatório de Avaliação Atuarial que dá base aos lançamentos contábeis referentes às Provisões Matemáticas Previdenciárias não contempla a base de dados dos servidores dos Poderes Judiciário e Legislativo, Ministério Público, Tribunal de Contas do Estado e dos Municípios, mantendo as Provisões Matemáticas Previdenciárias subavaliadas.</w:t>
            </w:r>
          </w:p>
        </w:tc>
      </w:tr>
      <w:tr w:rsidR="00736A8C" w:rsidRPr="004D0E95" w14:paraId="5E774B1B" w14:textId="77777777" w:rsidTr="00BE34DB">
        <w:trPr>
          <w:trHeight w:val="284"/>
        </w:trPr>
        <w:tc>
          <w:tcPr>
            <w:tcW w:w="5000" w:type="pct"/>
            <w:tcBorders>
              <w:left w:val="nil"/>
              <w:right w:val="nil"/>
            </w:tcBorders>
            <w:shd w:val="clear" w:color="auto" w:fill="auto"/>
            <w:tcMar>
              <w:top w:w="57" w:type="dxa"/>
              <w:bottom w:w="57" w:type="dxa"/>
            </w:tcMar>
            <w:vAlign w:val="center"/>
          </w:tcPr>
          <w:p w14:paraId="03C2AD19" w14:textId="77777777" w:rsidR="00736A8C" w:rsidRPr="004D0E95" w:rsidRDefault="00736A8C" w:rsidP="00BE34DB">
            <w:pPr>
              <w:rPr>
                <w:rFonts w:cs="Arial"/>
                <w:b/>
              </w:rPr>
            </w:pPr>
          </w:p>
        </w:tc>
      </w:tr>
      <w:tr w:rsidR="00736A8C" w:rsidRPr="004D0E95" w14:paraId="2951F7CF" w14:textId="77777777" w:rsidTr="00BE34DB">
        <w:trPr>
          <w:trHeight w:val="284"/>
        </w:trPr>
        <w:tc>
          <w:tcPr>
            <w:tcW w:w="5000" w:type="pct"/>
            <w:shd w:val="clear" w:color="auto" w:fill="auto"/>
            <w:tcMar>
              <w:top w:w="57" w:type="dxa"/>
              <w:bottom w:w="57" w:type="dxa"/>
            </w:tcMar>
            <w:vAlign w:val="center"/>
          </w:tcPr>
          <w:p w14:paraId="21893F66" w14:textId="77777777" w:rsidR="00736A8C" w:rsidRPr="004D0E95" w:rsidRDefault="00736A8C" w:rsidP="00BE34DB">
            <w:pPr>
              <w:rPr>
                <w:rFonts w:cs="Arial"/>
              </w:rPr>
            </w:pPr>
            <w:r w:rsidRPr="004D0E95">
              <w:rPr>
                <w:rFonts w:cs="Arial"/>
              </w:rPr>
              <w:t>6.1.2.6 Depósitos Judiciais</w:t>
            </w:r>
          </w:p>
        </w:tc>
      </w:tr>
      <w:tr w:rsidR="00736A8C" w:rsidRPr="004D0E95" w14:paraId="25AC1849" w14:textId="77777777" w:rsidTr="00BE34DB">
        <w:trPr>
          <w:trHeight w:val="284"/>
        </w:trPr>
        <w:tc>
          <w:tcPr>
            <w:tcW w:w="5000" w:type="pct"/>
            <w:tcBorders>
              <w:bottom w:val="single" w:sz="4" w:space="0" w:color="auto"/>
            </w:tcBorders>
            <w:shd w:val="clear" w:color="auto" w:fill="auto"/>
            <w:tcMar>
              <w:top w:w="57" w:type="dxa"/>
              <w:bottom w:w="57" w:type="dxa"/>
            </w:tcMar>
            <w:vAlign w:val="center"/>
          </w:tcPr>
          <w:p w14:paraId="489C8C2D" w14:textId="77777777" w:rsidR="00736A8C" w:rsidRPr="004D0E95" w:rsidRDefault="00736A8C" w:rsidP="00BE34DB">
            <w:pPr>
              <w:rPr>
                <w:rFonts w:cs="Arial"/>
                <w:b/>
              </w:rPr>
            </w:pPr>
            <w:r w:rsidRPr="004D0E95">
              <w:rPr>
                <w:rFonts w:cs="Arial"/>
                <w:b/>
              </w:rPr>
              <w:t>Insuficiência da documentação que ampara os registros contábeis efetuados, bem como a demonstração de recomposição do saldo do Fundo de Reserva constituído na Caixa Econômica Federal (CEF)</w:t>
            </w:r>
          </w:p>
          <w:p w14:paraId="38BA7B3B" w14:textId="77777777" w:rsidR="00736A8C" w:rsidRPr="004D0E95" w:rsidRDefault="00736A8C" w:rsidP="00BE34DB">
            <w:pPr>
              <w:rPr>
                <w:rFonts w:cs="Arial"/>
                <w:b/>
              </w:rPr>
            </w:pPr>
          </w:p>
          <w:p w14:paraId="65165AF3" w14:textId="77777777" w:rsidR="00736A8C" w:rsidRPr="004D0E95" w:rsidRDefault="00736A8C" w:rsidP="00BE34DB">
            <w:pPr>
              <w:rPr>
                <w:rFonts w:cs="Arial"/>
              </w:rPr>
            </w:pPr>
            <w:r w:rsidRPr="004D0E95">
              <w:rPr>
                <w:rFonts w:cs="Arial"/>
              </w:rPr>
              <w:t>Ausência de documentação que ampara o registro dos valores repassados ao Estado a título de Depósitos Judiciais, bem como do Fundo de Reserva constituído.</w:t>
            </w:r>
          </w:p>
        </w:tc>
      </w:tr>
    </w:tbl>
    <w:p w14:paraId="562C7399" w14:textId="77777777" w:rsidR="00736A8C" w:rsidRDefault="00736A8C" w:rsidP="00736A8C">
      <w:pPr>
        <w:pStyle w:val="1-REL11"/>
      </w:pPr>
    </w:p>
    <w:p w14:paraId="025B8E93" w14:textId="77777777" w:rsidR="00736A8C" w:rsidRPr="00B215AC" w:rsidRDefault="00736A8C" w:rsidP="00736A8C">
      <w:pPr>
        <w:pStyle w:val="0-TXT11"/>
        <w:rPr>
          <w:rFonts w:cs="Times New Roman"/>
          <w:color w:val="FF0000"/>
        </w:rPr>
      </w:pPr>
    </w:p>
    <w:p w14:paraId="0D7956A7" w14:textId="77777777" w:rsidR="00736A8C" w:rsidRPr="00B215AC" w:rsidRDefault="00736A8C" w:rsidP="00736A8C">
      <w:pPr>
        <w:pStyle w:val="0-TXT11"/>
        <w:rPr>
          <w:rFonts w:cs="Times New Roman"/>
          <w:color w:val="FF0000"/>
        </w:rPr>
        <w:sectPr w:rsidR="00736A8C" w:rsidRPr="00B215AC" w:rsidSect="00C57A3A">
          <w:footerReference w:type="default" r:id="rId69"/>
          <w:footnotePr>
            <w:numRestart w:val="eachSect"/>
          </w:footnotePr>
          <w:pgSz w:w="11905" w:h="16837"/>
          <w:pgMar w:top="1134" w:right="851" w:bottom="1134" w:left="1701" w:header="720" w:footer="720" w:gutter="0"/>
          <w:cols w:space="720"/>
          <w:noEndnote/>
        </w:sectPr>
      </w:pPr>
    </w:p>
    <w:p w14:paraId="7CF9E9B2" w14:textId="77777777" w:rsidR="000520BD" w:rsidRPr="00B215AC" w:rsidRDefault="000520BD" w:rsidP="00170A9A">
      <w:pPr>
        <w:pStyle w:val="0-TXT11"/>
        <w:rPr>
          <w:rFonts w:cs="Times New Roman"/>
          <w:color w:val="FF0000"/>
        </w:rPr>
        <w:sectPr w:rsidR="000520BD" w:rsidRPr="00B215AC" w:rsidSect="00C57A3A">
          <w:footerReference w:type="default" r:id="rId70"/>
          <w:footnotePr>
            <w:numRestart w:val="eachSect"/>
          </w:footnotePr>
          <w:pgSz w:w="11905" w:h="16837"/>
          <w:pgMar w:top="1134" w:right="851" w:bottom="1134" w:left="1701" w:header="720" w:footer="720" w:gutter="0"/>
          <w:cols w:space="720"/>
          <w:noEndnote/>
        </w:sectPr>
      </w:pPr>
    </w:p>
    <w:p w14:paraId="1A8750D2" w14:textId="77777777" w:rsidR="000520BD" w:rsidRPr="00B215AC" w:rsidRDefault="000520BD" w:rsidP="000520BD">
      <w:pPr>
        <w:pStyle w:val="0-TXT11"/>
        <w:rPr>
          <w:rFonts w:cs="Times New Roman"/>
          <w:color w:val="FF0000"/>
        </w:rPr>
      </w:pPr>
    </w:p>
    <w:p w14:paraId="54344534" w14:textId="77777777" w:rsidR="000520BD" w:rsidRPr="00B215AC" w:rsidRDefault="000520BD" w:rsidP="000520BD">
      <w:pPr>
        <w:pStyle w:val="0-TXT11"/>
        <w:rPr>
          <w:rFonts w:cs="Times New Roman"/>
          <w:color w:val="FF0000"/>
        </w:rPr>
      </w:pPr>
    </w:p>
    <w:p w14:paraId="744FCF94" w14:textId="77777777" w:rsidR="000520BD" w:rsidRPr="00B215AC" w:rsidRDefault="000520BD" w:rsidP="000520BD">
      <w:pPr>
        <w:pStyle w:val="0-TXT11"/>
        <w:rPr>
          <w:rFonts w:cs="Times New Roman"/>
          <w:color w:val="FF0000"/>
        </w:rPr>
      </w:pPr>
    </w:p>
    <w:p w14:paraId="34DB4BFD" w14:textId="77777777" w:rsidR="000520BD" w:rsidRPr="00B215AC" w:rsidRDefault="000520BD" w:rsidP="000520BD">
      <w:pPr>
        <w:pStyle w:val="0-TXT11"/>
        <w:rPr>
          <w:rFonts w:cs="Times New Roman"/>
          <w:color w:val="FF0000"/>
        </w:rPr>
      </w:pPr>
    </w:p>
    <w:p w14:paraId="5BFF000D" w14:textId="77777777" w:rsidR="000520BD" w:rsidRPr="00B215AC" w:rsidRDefault="000520BD" w:rsidP="000520BD">
      <w:pPr>
        <w:pStyle w:val="0-TXT11"/>
        <w:rPr>
          <w:rFonts w:cs="Times New Roman"/>
          <w:color w:val="FF0000"/>
        </w:rPr>
      </w:pPr>
    </w:p>
    <w:p w14:paraId="60B1D613" w14:textId="77777777" w:rsidR="000520BD" w:rsidRPr="00B215AC" w:rsidRDefault="000520BD" w:rsidP="000520BD">
      <w:pPr>
        <w:pStyle w:val="0-TXT11"/>
        <w:rPr>
          <w:rFonts w:cs="Times New Roman"/>
          <w:color w:val="FF0000"/>
        </w:rPr>
      </w:pPr>
    </w:p>
    <w:p w14:paraId="216E9190" w14:textId="77777777" w:rsidR="000520BD" w:rsidRPr="00B215AC" w:rsidRDefault="000520BD" w:rsidP="000520BD">
      <w:pPr>
        <w:pStyle w:val="0-TXT11"/>
        <w:rPr>
          <w:rFonts w:cs="Times New Roman"/>
          <w:color w:val="FF0000"/>
        </w:rPr>
      </w:pPr>
    </w:p>
    <w:p w14:paraId="29D3020D" w14:textId="77777777" w:rsidR="000520BD" w:rsidRPr="00B215AC" w:rsidRDefault="000520BD" w:rsidP="000520BD">
      <w:pPr>
        <w:pStyle w:val="0-TXT11"/>
        <w:rPr>
          <w:rFonts w:cs="Times New Roman"/>
          <w:color w:val="FF0000"/>
        </w:rPr>
      </w:pPr>
    </w:p>
    <w:p w14:paraId="1F02842B" w14:textId="77777777" w:rsidR="000520BD" w:rsidRPr="00B215AC" w:rsidRDefault="000520BD" w:rsidP="000520BD">
      <w:pPr>
        <w:pStyle w:val="0-TXT11"/>
        <w:rPr>
          <w:rFonts w:cs="Times New Roman"/>
          <w:color w:val="FF0000"/>
        </w:rPr>
      </w:pPr>
    </w:p>
    <w:p w14:paraId="3E951820" w14:textId="77777777" w:rsidR="000520BD" w:rsidRPr="00B215AC" w:rsidRDefault="000520BD" w:rsidP="000520BD">
      <w:pPr>
        <w:pStyle w:val="0-TXT11"/>
        <w:rPr>
          <w:rFonts w:cs="Times New Roman"/>
          <w:color w:val="FF0000"/>
        </w:rPr>
      </w:pPr>
    </w:p>
    <w:p w14:paraId="78CB476F" w14:textId="77777777" w:rsidR="000520BD" w:rsidRPr="00B215AC" w:rsidRDefault="000520BD" w:rsidP="000520BD">
      <w:pPr>
        <w:pStyle w:val="0-TXT11"/>
        <w:rPr>
          <w:rFonts w:cs="Times New Roman"/>
          <w:color w:val="FF0000"/>
        </w:rPr>
      </w:pPr>
    </w:p>
    <w:p w14:paraId="298055ED" w14:textId="77777777" w:rsidR="000520BD" w:rsidRPr="00B215AC" w:rsidRDefault="000520BD" w:rsidP="000520BD">
      <w:pPr>
        <w:pStyle w:val="0-TXT11"/>
        <w:rPr>
          <w:rFonts w:cs="Times New Roman"/>
          <w:color w:val="FF0000"/>
        </w:rPr>
      </w:pPr>
    </w:p>
    <w:p w14:paraId="3B6D2E74" w14:textId="77777777" w:rsidR="000520BD" w:rsidRPr="00B215AC" w:rsidRDefault="000520BD" w:rsidP="000520BD">
      <w:pPr>
        <w:pStyle w:val="0-TXT11"/>
        <w:rPr>
          <w:rFonts w:cs="Times New Roman"/>
          <w:color w:val="FF0000"/>
        </w:rPr>
      </w:pPr>
    </w:p>
    <w:p w14:paraId="669BEB4F" w14:textId="77777777" w:rsidR="000520BD" w:rsidRPr="00B215AC" w:rsidRDefault="000520BD" w:rsidP="000520BD">
      <w:pPr>
        <w:pStyle w:val="0-TXT11"/>
        <w:rPr>
          <w:rFonts w:cs="Times New Roman"/>
          <w:color w:val="FF0000"/>
        </w:rPr>
      </w:pPr>
    </w:p>
    <w:p w14:paraId="069F275F" w14:textId="77777777" w:rsidR="000520BD" w:rsidRPr="00B215AC" w:rsidRDefault="000520BD" w:rsidP="000520BD">
      <w:pPr>
        <w:pStyle w:val="0-TXT11"/>
        <w:rPr>
          <w:rFonts w:cs="Times New Roman"/>
          <w:color w:val="FF0000"/>
        </w:rPr>
      </w:pPr>
    </w:p>
    <w:p w14:paraId="22B609AE" w14:textId="77777777" w:rsidR="000520BD" w:rsidRPr="00B215AC" w:rsidRDefault="000520BD" w:rsidP="000520BD">
      <w:pPr>
        <w:pStyle w:val="0-TXT11"/>
        <w:rPr>
          <w:rFonts w:cs="Times New Roman"/>
          <w:color w:val="FF0000"/>
        </w:rPr>
      </w:pPr>
    </w:p>
    <w:p w14:paraId="3C9E2B75" w14:textId="77777777" w:rsidR="000520BD" w:rsidRPr="00B215AC" w:rsidRDefault="000520BD" w:rsidP="000520BD">
      <w:pPr>
        <w:pStyle w:val="0-TXT11"/>
        <w:rPr>
          <w:rFonts w:cs="Times New Roman"/>
          <w:color w:val="FF0000"/>
        </w:rPr>
      </w:pPr>
    </w:p>
    <w:p w14:paraId="1AF5F9C7" w14:textId="77777777" w:rsidR="000520BD" w:rsidRPr="00B215AC" w:rsidRDefault="000520BD" w:rsidP="000520BD">
      <w:pPr>
        <w:pStyle w:val="0-TXT11"/>
        <w:rPr>
          <w:rFonts w:cs="Times New Roman"/>
          <w:color w:val="FF0000"/>
        </w:rPr>
      </w:pPr>
    </w:p>
    <w:p w14:paraId="697C0BB3" w14:textId="77777777" w:rsidR="000520BD" w:rsidRPr="00B215AC" w:rsidRDefault="000520BD" w:rsidP="000520BD">
      <w:pPr>
        <w:pStyle w:val="0-TXT11"/>
        <w:rPr>
          <w:rFonts w:cs="Times New Roman"/>
          <w:color w:val="FF0000"/>
        </w:rPr>
      </w:pPr>
    </w:p>
    <w:p w14:paraId="56D9CC02" w14:textId="77777777" w:rsidR="000520BD" w:rsidRPr="00B215AC" w:rsidRDefault="000520BD" w:rsidP="000520BD">
      <w:pPr>
        <w:pStyle w:val="0-TXT11"/>
        <w:rPr>
          <w:rFonts w:cs="Times New Roman"/>
          <w:color w:val="FF0000"/>
        </w:rPr>
      </w:pPr>
    </w:p>
    <w:p w14:paraId="7C745DD6" w14:textId="77777777" w:rsidR="000520BD" w:rsidRPr="00B215AC" w:rsidRDefault="000520BD" w:rsidP="000520BD">
      <w:pPr>
        <w:pStyle w:val="0-TXT11"/>
        <w:rPr>
          <w:rFonts w:cs="Times New Roman"/>
          <w:color w:val="FF0000"/>
        </w:rPr>
      </w:pPr>
    </w:p>
    <w:p w14:paraId="1740D747" w14:textId="77777777" w:rsidR="000520BD" w:rsidRPr="00B215AC" w:rsidRDefault="000520BD" w:rsidP="000520BD">
      <w:pPr>
        <w:pStyle w:val="0-TXT11"/>
        <w:rPr>
          <w:rFonts w:cs="Times New Roman"/>
          <w:color w:val="FF0000"/>
        </w:rPr>
      </w:pPr>
    </w:p>
    <w:p w14:paraId="2D8F6E13" w14:textId="77777777" w:rsidR="000520BD" w:rsidRPr="00B215AC" w:rsidRDefault="000520BD" w:rsidP="000520BD">
      <w:pPr>
        <w:pStyle w:val="0-TXT11"/>
        <w:rPr>
          <w:rFonts w:cs="Times New Roman"/>
          <w:color w:val="FF0000"/>
        </w:rPr>
      </w:pPr>
    </w:p>
    <w:p w14:paraId="727E99FA" w14:textId="77777777" w:rsidR="000520BD" w:rsidRPr="00ED79A3" w:rsidRDefault="000520BD" w:rsidP="000520BD">
      <w:pPr>
        <w:pStyle w:val="0-TXT11"/>
        <w:rPr>
          <w:rFonts w:cs="Times New Roman"/>
        </w:rPr>
      </w:pPr>
    </w:p>
    <w:p w14:paraId="7DE60C2B" w14:textId="77777777" w:rsidR="000520BD" w:rsidRPr="00ED79A3" w:rsidRDefault="000520BD" w:rsidP="000520BD">
      <w:pPr>
        <w:pStyle w:val="0-TXT11"/>
        <w:rPr>
          <w:rFonts w:cs="Times New Roman"/>
        </w:rPr>
      </w:pPr>
    </w:p>
    <w:p w14:paraId="7D6DD3AA" w14:textId="77777777" w:rsidR="000520BD" w:rsidRPr="00ED79A3" w:rsidRDefault="000520BD" w:rsidP="000520BD">
      <w:pPr>
        <w:pStyle w:val="Ttulo"/>
        <w:rPr>
          <w:color w:val="auto"/>
        </w:rPr>
      </w:pPr>
    </w:p>
    <w:p w14:paraId="795E1F4F" w14:textId="523C7B1F" w:rsidR="000520BD" w:rsidRPr="00ED79A3" w:rsidRDefault="000520BD" w:rsidP="0003203F">
      <w:pPr>
        <w:pStyle w:val="1-CAPTULO"/>
        <w:numPr>
          <w:ilvl w:val="0"/>
          <w:numId w:val="0"/>
        </w:numPr>
      </w:pPr>
    </w:p>
    <w:p w14:paraId="2AE411F6" w14:textId="77777777" w:rsidR="000520BD" w:rsidRPr="00ED79A3" w:rsidRDefault="000520BD" w:rsidP="000520BD">
      <w:pPr>
        <w:pStyle w:val="0-TXT11"/>
        <w:jc w:val="right"/>
        <w:rPr>
          <w:rFonts w:cs="Times New Roman"/>
          <w:sz w:val="48"/>
          <w:szCs w:val="48"/>
        </w:rPr>
      </w:pPr>
      <w:r w:rsidRPr="00ED79A3">
        <w:rPr>
          <w:rFonts w:cs="Times New Roman"/>
          <w:sz w:val="48"/>
          <w:szCs w:val="48"/>
        </w:rPr>
        <w:t>Propostas de Determinações e Recomendações</w:t>
      </w:r>
    </w:p>
    <w:p w14:paraId="0A91D260" w14:textId="77777777" w:rsidR="000520BD" w:rsidRPr="00ED79A3" w:rsidRDefault="000520BD" w:rsidP="000520BD">
      <w:pPr>
        <w:pStyle w:val="0-TXT11"/>
        <w:ind w:right="-2"/>
        <w:rPr>
          <w:rFonts w:cs="Times New Roman"/>
        </w:rPr>
      </w:pPr>
    </w:p>
    <w:p w14:paraId="174075B5" w14:textId="77777777" w:rsidR="000520BD" w:rsidRPr="00ED79A3" w:rsidRDefault="000520BD" w:rsidP="000520BD">
      <w:pPr>
        <w:pStyle w:val="0-TXT11"/>
        <w:ind w:right="-2"/>
        <w:rPr>
          <w:rFonts w:cs="Times New Roman"/>
        </w:rPr>
      </w:pPr>
    </w:p>
    <w:p w14:paraId="1EF06983" w14:textId="77777777" w:rsidR="000520BD" w:rsidRPr="00B215AC" w:rsidRDefault="000520BD" w:rsidP="000520BD">
      <w:pPr>
        <w:pStyle w:val="0-TXT11"/>
        <w:ind w:right="-2"/>
        <w:rPr>
          <w:rFonts w:cs="Times New Roman"/>
          <w:color w:val="FF0000"/>
        </w:rPr>
      </w:pPr>
    </w:p>
    <w:p w14:paraId="080C8861" w14:textId="77777777" w:rsidR="000520BD" w:rsidRPr="00B215AC" w:rsidRDefault="000520BD" w:rsidP="000520BD">
      <w:pPr>
        <w:pStyle w:val="0-TXT11"/>
        <w:ind w:right="-2"/>
        <w:rPr>
          <w:rFonts w:cs="Times New Roman"/>
          <w:color w:val="FF0000"/>
        </w:rPr>
      </w:pPr>
    </w:p>
    <w:p w14:paraId="63D8B725" w14:textId="77777777" w:rsidR="000520BD" w:rsidRPr="00B215AC" w:rsidRDefault="000520BD" w:rsidP="000520BD">
      <w:pPr>
        <w:pStyle w:val="0-TXT11"/>
        <w:ind w:right="-2"/>
        <w:rPr>
          <w:rFonts w:cs="Times New Roman"/>
          <w:color w:val="FF0000"/>
        </w:rPr>
        <w:sectPr w:rsidR="000520BD" w:rsidRPr="00B215AC" w:rsidSect="00C57A3A">
          <w:footerReference w:type="default" r:id="rId71"/>
          <w:footnotePr>
            <w:numRestart w:val="eachSect"/>
          </w:footnotePr>
          <w:pgSz w:w="11905" w:h="16837"/>
          <w:pgMar w:top="1134" w:right="851" w:bottom="1134" w:left="1701" w:header="720" w:footer="720" w:gutter="0"/>
          <w:cols w:space="720"/>
          <w:noEndnote/>
        </w:sectPr>
      </w:pPr>
    </w:p>
    <w:p w14:paraId="0BF6F257" w14:textId="77777777" w:rsidR="000520BD" w:rsidRPr="00B215AC" w:rsidRDefault="000520BD" w:rsidP="00170A9A">
      <w:pPr>
        <w:pStyle w:val="0-TXT11"/>
        <w:rPr>
          <w:rFonts w:cs="Times New Roman"/>
          <w:color w:val="FF0000"/>
        </w:rPr>
      </w:pPr>
    </w:p>
    <w:p w14:paraId="1BBBBCAA" w14:textId="77777777" w:rsidR="00170A9A" w:rsidRPr="00ED79A3" w:rsidRDefault="00170A9A" w:rsidP="00170A9A">
      <w:pPr>
        <w:pStyle w:val="Ttulo"/>
        <w:rPr>
          <w:color w:val="auto"/>
        </w:rPr>
      </w:pPr>
      <w:r w:rsidRPr="00ED79A3">
        <w:rPr>
          <w:color w:val="auto"/>
        </w:rPr>
        <w:t>Propostas de Determinações e Recomendações</w:t>
      </w:r>
    </w:p>
    <w:p w14:paraId="1B0EC02D" w14:textId="77777777" w:rsidR="00FE1E15" w:rsidRPr="00897D28" w:rsidRDefault="00FE1E15" w:rsidP="00FE1E15">
      <w:pPr>
        <w:pStyle w:val="1-REL11"/>
        <w:rPr>
          <w:highlight w:val="yellow"/>
        </w:rPr>
      </w:pPr>
      <w:r w:rsidRPr="00897D28">
        <w:t xml:space="preserve">Assim, esta Unidade Técnica sugere ao Conselheiro Relator que, quando da elaboração de sua proposta de Parecer Prévio, observe as </w:t>
      </w:r>
      <w:r>
        <w:t xml:space="preserve">determinações e </w:t>
      </w:r>
      <w:r w:rsidRPr="007E6587">
        <w:t>recomendações a</w:t>
      </w:r>
      <w:r w:rsidRPr="00897D28">
        <w:t>qui indicadas.</w:t>
      </w:r>
    </w:p>
    <w:p w14:paraId="1FEF2F6E" w14:textId="77777777" w:rsidR="00FE1E15" w:rsidRPr="00897D28" w:rsidRDefault="00FE1E15" w:rsidP="00FE1E15">
      <w:pPr>
        <w:pStyle w:val="1-REL11"/>
        <w:rPr>
          <w:highlight w:val="yellow"/>
        </w:rPr>
      </w:pPr>
    </w:p>
    <w:p w14:paraId="35FB4177" w14:textId="77777777" w:rsidR="00FE1E15" w:rsidRPr="00B53689" w:rsidRDefault="00FE1E15" w:rsidP="00FE1E15">
      <w:pPr>
        <w:pStyle w:val="1-REL11"/>
        <w:rPr>
          <w:u w:val="single"/>
        </w:rPr>
      </w:pPr>
      <w:r w:rsidRPr="00B53689">
        <w:rPr>
          <w:u w:val="single"/>
        </w:rPr>
        <w:t>Determinações ao Governo do Estado de Goiás:</w:t>
      </w:r>
    </w:p>
    <w:p w14:paraId="030B360B" w14:textId="77777777" w:rsidR="00FE1E15" w:rsidRDefault="00FE1E15" w:rsidP="00FE1E15">
      <w:pPr>
        <w:pStyle w:val="1-REL11"/>
        <w:numPr>
          <w:ilvl w:val="0"/>
          <w:numId w:val="40"/>
        </w:numPr>
      </w:pPr>
      <w:r w:rsidRPr="00B53689">
        <w:t xml:space="preserve">Por meio da Secretaria de Estado da Economia, na abertura de créditos adicionais tendo como fonte de recursos o superávit de cancelamento de restos a pagar, </w:t>
      </w:r>
      <w:r w:rsidRPr="00B53689">
        <w:rPr>
          <w:b/>
        </w:rPr>
        <w:t>demonstre</w:t>
      </w:r>
      <w:r w:rsidRPr="00B53689">
        <w:t xml:space="preserve"> nos decretos/portarias orçamentárias o número do documento que efetivou o cancelamento dos restos a pagar e suas respectivas justificativas com embasamento legal, o empenho de origem, as UOs envolvidas, o código das fontes de recursos utilizadas, além de outras informações que possam ser úteis para a identificação dos atos praticados (</w:t>
      </w:r>
      <w:r>
        <w:t>i</w:t>
      </w:r>
      <w:r w:rsidRPr="00B53689">
        <w:t>tem 3.6.1 Créditos Adicionais);</w:t>
      </w:r>
    </w:p>
    <w:p w14:paraId="6025063B" w14:textId="77777777" w:rsidR="00FE1E15" w:rsidRDefault="00FE1E15" w:rsidP="00FE1E15">
      <w:pPr>
        <w:pStyle w:val="1-REL11"/>
        <w:numPr>
          <w:ilvl w:val="0"/>
          <w:numId w:val="40"/>
        </w:numPr>
      </w:pPr>
      <w:r>
        <w:rPr>
          <w:b/>
        </w:rPr>
        <w:t>A</w:t>
      </w:r>
      <w:r w:rsidRPr="006537DD">
        <w:rPr>
          <w:b/>
        </w:rPr>
        <w:t>dote</w:t>
      </w:r>
      <w:r w:rsidRPr="00EC46F1">
        <w:t>, imediatamente, providências com vistas a efetuar os empenhos de amortização da dívida estadual e de pagamentos de juros sob as naturezas de despesa 4.6 - Amortização de Dívida e 3.2 – Juros e Encargos da Dívida, respectivamente. em obediência à metodologia exigida pelo MTO e Portaria Interministerial nº 163/2001</w:t>
      </w:r>
      <w:r>
        <w:t xml:space="preserve"> (item </w:t>
      </w:r>
      <w:r w:rsidRPr="006537DD">
        <w:t>4.5.1 Apuração do Serviço da Dívida</w:t>
      </w:r>
      <w:r>
        <w:t>);</w:t>
      </w:r>
    </w:p>
    <w:p w14:paraId="076CF528" w14:textId="77777777" w:rsidR="00FE1E15" w:rsidRDefault="00FE1E15" w:rsidP="00FE1E15">
      <w:pPr>
        <w:pStyle w:val="1-REL11"/>
        <w:numPr>
          <w:ilvl w:val="0"/>
          <w:numId w:val="40"/>
        </w:numPr>
      </w:pPr>
      <w:r>
        <w:t>P</w:t>
      </w:r>
      <w:r w:rsidRPr="006537DD">
        <w:t xml:space="preserve">or meio da Goiás Previdência, </w:t>
      </w:r>
      <w:r w:rsidRPr="006537DD">
        <w:rPr>
          <w:b/>
        </w:rPr>
        <w:t>adote</w:t>
      </w:r>
      <w:r w:rsidRPr="006537DD">
        <w:t xml:space="preserve">, imediatamente, providências com vistas </w:t>
      </w:r>
      <w:r>
        <w:t xml:space="preserve">a </w:t>
      </w:r>
      <w:r w:rsidRPr="006537DD">
        <w:t>promover o registro contábil no sistema orçamentário do Fundo Previdenciário das receitas ou despesas patrimoniais advindas da variação positiva ou negativa dos investimentos e aplicações financeiras, utilizando as orientações contidas no IPC 14 e a Nota Técnica SEI nº 6675/23/ME elaborada pela STN</w:t>
      </w:r>
      <w:r>
        <w:t xml:space="preserve"> (item </w:t>
      </w:r>
      <w:r w:rsidRPr="006537DD">
        <w:t>4.11.2 Plano Previdenciário</w:t>
      </w:r>
      <w:r>
        <w:t>);</w:t>
      </w:r>
    </w:p>
    <w:p w14:paraId="7A05C357" w14:textId="77777777" w:rsidR="00FE1E15" w:rsidRDefault="00FE1E15" w:rsidP="00FE1E15">
      <w:pPr>
        <w:pStyle w:val="1-REL11"/>
        <w:numPr>
          <w:ilvl w:val="0"/>
          <w:numId w:val="40"/>
        </w:numPr>
      </w:pPr>
      <w:r>
        <w:t>P</w:t>
      </w:r>
      <w:r w:rsidRPr="006537DD">
        <w:t xml:space="preserve">or meio da Secretaria de Estado da Economia, </w:t>
      </w:r>
      <w:r w:rsidRPr="006537DD">
        <w:rPr>
          <w:b/>
        </w:rPr>
        <w:t>adote</w:t>
      </w:r>
      <w:r w:rsidRPr="006537DD">
        <w:t>, na elaboração do Anexo I – Anexo de Metas Fiscais da LDO de 2026, providências com vistas a apresentar quadros demonstrando o impacto orçamentário e financeiro da renúncia na previsão da receita e nas metas dos resultados fiscais, no exercício que iniciar sua vigência e nos dois seguintes, nos termos do inciso I, art. 14, da LRF; e</w:t>
      </w:r>
      <w:r>
        <w:t>,</w:t>
      </w:r>
      <w:r w:rsidRPr="006537DD">
        <w:t xml:space="preserve"> na elaboração do projeto de LOA de 2026, apresentar quadro demonstrativo regionalizado do efeito, sobre as receitas e despesas, das renúncias a serem concedidas, nos termos do § 6º, do art. 165 da CF/88</w:t>
      </w:r>
      <w:r>
        <w:t xml:space="preserve"> (item </w:t>
      </w:r>
      <w:r w:rsidRPr="006537DD">
        <w:t>4.16.1 Estimativa da Renúncia de Receita</w:t>
      </w:r>
      <w:r>
        <w:t>);</w:t>
      </w:r>
    </w:p>
    <w:p w14:paraId="4A23C934" w14:textId="77777777" w:rsidR="00FE1E15" w:rsidRDefault="00FE1E15" w:rsidP="00FE1E15">
      <w:pPr>
        <w:pStyle w:val="1-REL11"/>
        <w:numPr>
          <w:ilvl w:val="0"/>
          <w:numId w:val="40"/>
        </w:numPr>
      </w:pPr>
      <w:r>
        <w:t>P</w:t>
      </w:r>
      <w:r w:rsidRPr="00BE243A">
        <w:t xml:space="preserve">or meio da Secretaria de Estado da Economia, em até 40 dias após a publicação do Parecer Prévio relativo à Prestação de Contas do Governador do exercício de 2023, </w:t>
      </w:r>
      <w:r w:rsidRPr="00BE243A">
        <w:rPr>
          <w:b/>
        </w:rPr>
        <w:t>passe a publicar</w:t>
      </w:r>
      <w:r w:rsidRPr="00BE243A">
        <w:t xml:space="preserve"> em seu site, com fulcro nas naturezas de receitas dispostas no Anexo 10A, a base de cálculo utilizada para as transferências mencionadas no art. 107 </w:t>
      </w:r>
      <w:r w:rsidRPr="00BE243A">
        <w:lastRenderedPageBreak/>
        <w:t>da Constituição Estadual de modo a atender integralmente o disposto no art. 8º da LC nº 63/1990</w:t>
      </w:r>
      <w:r>
        <w:t xml:space="preserve"> (item </w:t>
      </w:r>
      <w:r w:rsidRPr="00BE243A">
        <w:t>5.1 Destinação de Receita aos Municípios</w:t>
      </w:r>
      <w:r>
        <w:t>);</w:t>
      </w:r>
    </w:p>
    <w:p w14:paraId="59EABF9C" w14:textId="77777777" w:rsidR="00FE1E15" w:rsidRDefault="00FE1E15" w:rsidP="00FE1E15">
      <w:pPr>
        <w:pStyle w:val="1-REL11"/>
        <w:numPr>
          <w:ilvl w:val="0"/>
          <w:numId w:val="40"/>
        </w:numPr>
      </w:pPr>
      <w:r>
        <w:t>P</w:t>
      </w:r>
      <w:r w:rsidRPr="00BE243A">
        <w:t xml:space="preserve">or meio da Secretaria de Estado da Saúde, </w:t>
      </w:r>
      <w:r w:rsidRPr="00BE243A">
        <w:rPr>
          <w:b/>
        </w:rPr>
        <w:t>adote</w:t>
      </w:r>
      <w:r w:rsidRPr="00BE243A">
        <w:t xml:space="preserve"> providências imediatas com vistas a identificar corretamente, consolidar e padronizar as informações relacionadas às OSs e OSCs que recebem recursos públicos estaduais em todas as fontes oficiais de informação, inclusive nas que são enviadas diretamente a esta Corte de Contas</w:t>
      </w:r>
      <w:r>
        <w:t xml:space="preserve"> (item </w:t>
      </w:r>
      <w:r w:rsidRPr="00BE243A">
        <w:t>5.3.2 Despesas Executadas por meio de OSs e OSCs</w:t>
      </w:r>
      <w:r>
        <w:t>);</w:t>
      </w:r>
    </w:p>
    <w:p w14:paraId="1DC596D8" w14:textId="77777777" w:rsidR="00FE1E15" w:rsidRDefault="00FE1E15" w:rsidP="00FE1E15">
      <w:pPr>
        <w:pStyle w:val="1-REL11"/>
        <w:numPr>
          <w:ilvl w:val="0"/>
          <w:numId w:val="40"/>
        </w:numPr>
      </w:pPr>
      <w:r>
        <w:t>P</w:t>
      </w:r>
      <w:r w:rsidRPr="00BE243A">
        <w:t xml:space="preserve">or meio da Secretaria de Estado da Economia, </w:t>
      </w:r>
      <w:r w:rsidRPr="00BE243A">
        <w:rPr>
          <w:b/>
        </w:rPr>
        <w:t>providencie</w:t>
      </w:r>
      <w:r w:rsidRPr="00BE243A">
        <w:t xml:space="preserve">, até o final do exercício financeiro de 2024, a normatização acerca da classificação e reclassificação </w:t>
      </w:r>
      <w:r>
        <w:t xml:space="preserve">contábil </w:t>
      </w:r>
      <w:r w:rsidRPr="00BE243A">
        <w:t>dos valores referentes ao registro de seguros-garantia</w:t>
      </w:r>
      <w:r>
        <w:t xml:space="preserve"> (item </w:t>
      </w:r>
      <w:r w:rsidRPr="00BE243A">
        <w:t>6.1.1.1 Caixa e Equivalentes de Caixa</w:t>
      </w:r>
      <w:r>
        <w:t>);</w:t>
      </w:r>
    </w:p>
    <w:p w14:paraId="4038A7C6" w14:textId="77777777" w:rsidR="00FE1E15" w:rsidRDefault="00FE1E15" w:rsidP="00FE1E15">
      <w:pPr>
        <w:pStyle w:val="1-REL11"/>
        <w:numPr>
          <w:ilvl w:val="0"/>
          <w:numId w:val="40"/>
        </w:numPr>
      </w:pPr>
      <w:r>
        <w:t>P</w:t>
      </w:r>
      <w:r w:rsidRPr="00BC6630">
        <w:t xml:space="preserve">or meio da Secretaria de Estado da Administração, </w:t>
      </w:r>
      <w:r w:rsidRPr="00BC6630">
        <w:rPr>
          <w:b/>
        </w:rPr>
        <w:t>adote</w:t>
      </w:r>
      <w:r w:rsidRPr="00BC6630">
        <w:t xml:space="preserve"> providências imediatas para </w:t>
      </w:r>
      <w:r>
        <w:t xml:space="preserve">a </w:t>
      </w:r>
      <w:r w:rsidRPr="00BC6630">
        <w:t>criação de travas no sistema SPM que impeçam a alteração de dados de forma retroativa</w:t>
      </w:r>
      <w:r>
        <w:t xml:space="preserve"> (item </w:t>
      </w:r>
      <w:r w:rsidRPr="00BC6630">
        <w:t>6.1.1.7.1 Inventário</w:t>
      </w:r>
      <w:r>
        <w:t>);</w:t>
      </w:r>
    </w:p>
    <w:p w14:paraId="58891F76" w14:textId="77777777" w:rsidR="00FE1E15" w:rsidRDefault="00FE1E15" w:rsidP="00FE1E15">
      <w:pPr>
        <w:pStyle w:val="1-REL11"/>
        <w:numPr>
          <w:ilvl w:val="0"/>
          <w:numId w:val="40"/>
        </w:numPr>
      </w:pPr>
      <w:r>
        <w:t>P</w:t>
      </w:r>
      <w:r w:rsidRPr="00BC6630">
        <w:t xml:space="preserve">or meio da Secretaria de Estado da Administração, </w:t>
      </w:r>
      <w:r w:rsidRPr="00BC6630">
        <w:rPr>
          <w:b/>
        </w:rPr>
        <w:t>adote</w:t>
      </w:r>
      <w:r w:rsidRPr="00BC6630">
        <w:t xml:space="preserve"> providências imediatas para implementação, ainda no exercício de 2024, de sistema de informática capaz de apresentar o inventário de todos os bens imóveis do Estado, suas movimentações, controle, guarda e conservação, nos termos do art. 2º, inciso II, alínea a do Decreto Estadual nº 10.437, de 09 de abril de 2024</w:t>
      </w:r>
      <w:r>
        <w:t xml:space="preserve"> (item </w:t>
      </w:r>
      <w:r w:rsidRPr="00BC6630">
        <w:t>6.1.1.7.1 Inventário</w:t>
      </w:r>
      <w:r>
        <w:t>);</w:t>
      </w:r>
    </w:p>
    <w:p w14:paraId="1F88C51D" w14:textId="77777777" w:rsidR="00FE1E15" w:rsidRDefault="00FE1E15" w:rsidP="00FE1E15">
      <w:pPr>
        <w:pStyle w:val="1-REL11"/>
        <w:numPr>
          <w:ilvl w:val="0"/>
          <w:numId w:val="40"/>
        </w:numPr>
      </w:pPr>
      <w:r>
        <w:t>P</w:t>
      </w:r>
      <w:r w:rsidRPr="00BC6630">
        <w:t xml:space="preserve">or meio da Secretaria de Estado da Administração, </w:t>
      </w:r>
      <w:r w:rsidRPr="00BC6630">
        <w:rPr>
          <w:b/>
        </w:rPr>
        <w:t>apresente</w:t>
      </w:r>
      <w:r w:rsidRPr="00BC6630">
        <w:t xml:space="preserve"> o Relatório Conclusivo da Comissão Intersecretarial (Sead, PGE e CGE) quanto </w:t>
      </w:r>
      <w:r>
        <w:t>à</w:t>
      </w:r>
      <w:r w:rsidRPr="00BC6630">
        <w:t>s providências adotadas para identificação, regularização, reconciliação contábil e/ou baixa dos bens imóveis constantes na relação das 266 certidões imobiliárias</w:t>
      </w:r>
      <w:r>
        <w:t xml:space="preserve"> de imóveis não encontrados (item </w:t>
      </w:r>
      <w:r w:rsidRPr="00BC6630">
        <w:t>6.1.1.7.3 Imóveis não Localizados</w:t>
      </w:r>
      <w:r>
        <w:t>);</w:t>
      </w:r>
    </w:p>
    <w:p w14:paraId="5CFEBBCE" w14:textId="77777777" w:rsidR="00FE1E15" w:rsidRPr="00EC46F1" w:rsidRDefault="00FE1E15" w:rsidP="00FE1E15">
      <w:pPr>
        <w:pStyle w:val="1-REL11"/>
        <w:numPr>
          <w:ilvl w:val="0"/>
          <w:numId w:val="40"/>
        </w:numPr>
      </w:pPr>
      <w:r>
        <w:t>P</w:t>
      </w:r>
      <w:r w:rsidRPr="00BC6630">
        <w:t xml:space="preserve">or meio da Secretaria de Estado da Economia, </w:t>
      </w:r>
      <w:r w:rsidRPr="00BC6630">
        <w:rPr>
          <w:b/>
        </w:rPr>
        <w:t>demonstre</w:t>
      </w:r>
      <w:r w:rsidRPr="00BC6630">
        <w:t>, na Prestação de Contas Anual do Gestor do exercício de 2023, a recomposição do saldo do Fundo de Reserva constituído na CEF, nos termos no inciso IV, do art. 4º, da LC nº 151/2015</w:t>
      </w:r>
      <w:r>
        <w:t xml:space="preserve"> (item </w:t>
      </w:r>
      <w:r w:rsidRPr="00BC6630">
        <w:t>6.1.2.6 Depósitos Judiciais</w:t>
      </w:r>
      <w:r>
        <w:t>);</w:t>
      </w:r>
    </w:p>
    <w:p w14:paraId="3377B89C" w14:textId="77777777" w:rsidR="00FE1E15" w:rsidRDefault="00FE1E15" w:rsidP="00FE1E15">
      <w:pPr>
        <w:pStyle w:val="1-REL11"/>
        <w:rPr>
          <w:highlight w:val="yellow"/>
          <w:u w:val="single"/>
        </w:rPr>
      </w:pPr>
    </w:p>
    <w:p w14:paraId="12F20C4C" w14:textId="77777777" w:rsidR="00FE1E15" w:rsidRDefault="00FE1E15" w:rsidP="00FE1E15">
      <w:pPr>
        <w:pStyle w:val="1-REL11"/>
        <w:rPr>
          <w:highlight w:val="yellow"/>
          <w:u w:val="single"/>
        </w:rPr>
      </w:pPr>
      <w:r w:rsidRPr="00B53689">
        <w:rPr>
          <w:u w:val="single"/>
        </w:rPr>
        <w:t>Determinações ao</w:t>
      </w:r>
      <w:r>
        <w:rPr>
          <w:u w:val="single"/>
        </w:rPr>
        <w:t>s Poderes e Órgãos Autônomos</w:t>
      </w:r>
      <w:r w:rsidRPr="00B53689">
        <w:rPr>
          <w:u w:val="single"/>
        </w:rPr>
        <w:t>:</w:t>
      </w:r>
    </w:p>
    <w:p w14:paraId="6ACE67FE" w14:textId="77777777" w:rsidR="00FE1E15" w:rsidRDefault="00FE1E15" w:rsidP="00FE1E15">
      <w:pPr>
        <w:pStyle w:val="1-REL11"/>
        <w:numPr>
          <w:ilvl w:val="0"/>
          <w:numId w:val="40"/>
        </w:numPr>
      </w:pPr>
      <w:r>
        <w:t>A</w:t>
      </w:r>
      <w:r w:rsidRPr="00247B67">
        <w:t>o Tribunal de Justiça do Estado de Goiás que</w:t>
      </w:r>
      <w:r>
        <w:t>,</w:t>
      </w:r>
      <w:r w:rsidRPr="00247B67">
        <w:t xml:space="preserve"> até o final do exercício financeiro de 2024, </w:t>
      </w:r>
      <w:r w:rsidRPr="00F513E0">
        <w:rPr>
          <w:b/>
        </w:rPr>
        <w:t>reformule</w:t>
      </w:r>
      <w:r w:rsidRPr="00247B67">
        <w:t xml:space="preserve"> o Portal de Transparência relacionado aos precatórios, disponibilizando relatórios sintéticos, informações em dados abertos, recursos recebidos do Tesouro</w:t>
      </w:r>
      <w:r>
        <w:t xml:space="preserve"> Estadual</w:t>
      </w:r>
      <w:r w:rsidRPr="00247B67">
        <w:t xml:space="preserve">, bem como orçamento do ano, inscrições, pagamentos preferenciais, pagamentos aos beneficiários, número de processos, ano de inscrição, deságio, além de </w:t>
      </w:r>
      <w:r w:rsidRPr="00247B67">
        <w:lastRenderedPageBreak/>
        <w:t>outras informações necessárias a completa transparência do assunto</w:t>
      </w:r>
      <w:r>
        <w:t xml:space="preserve"> (item </w:t>
      </w:r>
      <w:r w:rsidRPr="00F513E0">
        <w:t>4.9.1 Precatórios sob o Prisma da LRF</w:t>
      </w:r>
      <w:r>
        <w:t>);</w:t>
      </w:r>
    </w:p>
    <w:p w14:paraId="0B7877CF" w14:textId="77777777" w:rsidR="00FE1E15" w:rsidRDefault="00FE1E15" w:rsidP="00FE1E15">
      <w:pPr>
        <w:pStyle w:val="1-REL11"/>
        <w:numPr>
          <w:ilvl w:val="0"/>
          <w:numId w:val="40"/>
        </w:numPr>
      </w:pPr>
      <w:r>
        <w:t>A</w:t>
      </w:r>
      <w:r w:rsidRPr="00F513E0">
        <w:t xml:space="preserve">o Tribunal de Justiça do Estado de Goiás que </w:t>
      </w:r>
      <w:r w:rsidRPr="00F513E0">
        <w:rPr>
          <w:b/>
        </w:rPr>
        <w:t>adote</w:t>
      </w:r>
      <w:r w:rsidRPr="00F513E0">
        <w:t xml:space="preserve"> providências imediatas de forma a regularizar a existência de fontes de recursos com saldos negativos</w:t>
      </w:r>
      <w:r>
        <w:t xml:space="preserve"> (item </w:t>
      </w:r>
      <w:r w:rsidRPr="00F513E0">
        <w:t>4.13.3 Disponibilidade de Caixa e Restos a Pagar</w:t>
      </w:r>
      <w:r>
        <w:t>);</w:t>
      </w:r>
    </w:p>
    <w:p w14:paraId="2798EF7B" w14:textId="77777777" w:rsidR="00FE1E15" w:rsidRDefault="00FE1E15" w:rsidP="00FE1E15">
      <w:pPr>
        <w:pStyle w:val="1-REL11"/>
        <w:numPr>
          <w:ilvl w:val="0"/>
          <w:numId w:val="40"/>
        </w:numPr>
      </w:pPr>
      <w:r>
        <w:t>A</w:t>
      </w:r>
      <w:r w:rsidRPr="00F513E0">
        <w:t xml:space="preserve"> todos os Poderes e Órgãos Autônomos que </w:t>
      </w:r>
      <w:r w:rsidRPr="00F513E0">
        <w:rPr>
          <w:b/>
        </w:rPr>
        <w:t>encaminhem</w:t>
      </w:r>
      <w:r w:rsidRPr="00F513E0">
        <w:t>, de forma prévia, todos os projetos que possam impactar orçamentária e financeiramente as contas públicas estaduais à AEMFPF junto à ECONOMIA, para serem analisados e mitigados os riscos inerentes às vedações previstas no art. 8º da LC nº 159/2017, e assim evitar, consequentemente, uma possível extinção do RRF</w:t>
      </w:r>
      <w:r>
        <w:t xml:space="preserve"> (Item </w:t>
      </w:r>
      <w:r w:rsidRPr="00F513E0">
        <w:t>4.15.2 Lei Complementar Federal nº 159/2017</w:t>
      </w:r>
      <w:r>
        <w:t>);</w:t>
      </w:r>
    </w:p>
    <w:p w14:paraId="31280CC3" w14:textId="77777777" w:rsidR="00FE1E15" w:rsidRDefault="00FE1E15" w:rsidP="00FE1E15">
      <w:pPr>
        <w:pStyle w:val="1-REL11"/>
        <w:numPr>
          <w:ilvl w:val="0"/>
          <w:numId w:val="40"/>
        </w:numPr>
      </w:pPr>
      <w:r>
        <w:t>A</w:t>
      </w:r>
      <w:r w:rsidRPr="00DC6F36">
        <w:t xml:space="preserve">o TJ/GO, Alego, MP/GO, TCE/GO e TCM/GO que </w:t>
      </w:r>
      <w:r w:rsidRPr="00DC6F36">
        <w:rPr>
          <w:b/>
        </w:rPr>
        <w:t>apresente</w:t>
      </w:r>
      <w:r>
        <w:rPr>
          <w:b/>
        </w:rPr>
        <w:t>m,</w:t>
      </w:r>
      <w:r w:rsidRPr="00DC6F36">
        <w:t xml:space="preserve"> na </w:t>
      </w:r>
      <w:r>
        <w:t>P</w:t>
      </w:r>
      <w:r w:rsidRPr="00DC6F36">
        <w:t>restação de Contas dos Gestores do exercício de 2024, Relatório de Avaliação Atuarial referente a sua base de servidores, nos moldes da Lei nº 9.714, de 27 de novembro de 1998, e demais normas técnicas e jurídicas correlatas do MPS, encaminhando concomitante e tempestivamente à Goiasprev, para que a unidade gestora do RPPS possa realizar os devidos registros contábeis</w:t>
      </w:r>
      <w:r>
        <w:t xml:space="preserve"> (item </w:t>
      </w:r>
      <w:r w:rsidRPr="00DC6F36">
        <w:t>6.1.2.5.2 Situação Patrimonial no Estado de Goiás</w:t>
      </w:r>
      <w:r>
        <w:t>);</w:t>
      </w:r>
    </w:p>
    <w:p w14:paraId="687E6ED4" w14:textId="77777777" w:rsidR="00FE1E15" w:rsidRPr="00247B67" w:rsidRDefault="00FE1E15" w:rsidP="00FE1E15">
      <w:pPr>
        <w:pStyle w:val="1-REL11"/>
        <w:numPr>
          <w:ilvl w:val="0"/>
          <w:numId w:val="40"/>
        </w:numPr>
      </w:pPr>
      <w:r>
        <w:t>A</w:t>
      </w:r>
      <w:r w:rsidRPr="00DC6F36">
        <w:t xml:space="preserve">o Tribunal de Justiça do Estado de Goiás que </w:t>
      </w:r>
      <w:r w:rsidRPr="00DC6F36">
        <w:rPr>
          <w:b/>
        </w:rPr>
        <w:t>encaminhe</w:t>
      </w:r>
      <w:r w:rsidRPr="00DC6F36">
        <w:t>, na Prestação de Contas Anual do Gestor do exercício de 2023, a documentação comprobatória que amparou os registros contábeis efetuados dos valores repassados ao Estado a título de Depósitos Judiciais e do Fundo de Reserva legalmente constituído em cada instituição financeira custodiante, com as informações segregadas dos depósitos de lides nas quais o ente público é parte e os depósitos de lides de terceiros</w:t>
      </w:r>
      <w:r>
        <w:t xml:space="preserve"> (item </w:t>
      </w:r>
      <w:r w:rsidRPr="00DC6F36">
        <w:t>6.1.2.6 Depósitos Judiciais</w:t>
      </w:r>
      <w:r>
        <w:t>);</w:t>
      </w:r>
    </w:p>
    <w:p w14:paraId="556E9AA0" w14:textId="77777777" w:rsidR="00FE1E15" w:rsidRDefault="00FE1E15" w:rsidP="00FE1E15">
      <w:pPr>
        <w:pStyle w:val="1-REL11"/>
        <w:rPr>
          <w:highlight w:val="yellow"/>
          <w:u w:val="single"/>
        </w:rPr>
      </w:pPr>
    </w:p>
    <w:p w14:paraId="0F2EBD47" w14:textId="77777777" w:rsidR="00FE1E15" w:rsidRPr="00DC6F36" w:rsidRDefault="00FE1E15" w:rsidP="00FE1E15">
      <w:pPr>
        <w:pStyle w:val="1-REL11"/>
        <w:rPr>
          <w:u w:val="single"/>
        </w:rPr>
      </w:pPr>
      <w:r w:rsidRPr="00DC6F36">
        <w:rPr>
          <w:u w:val="single"/>
        </w:rPr>
        <w:t>Recomendações aos Governo do Estado de Goiás:</w:t>
      </w:r>
    </w:p>
    <w:p w14:paraId="0F1FF568" w14:textId="77777777" w:rsidR="00FE1E15" w:rsidRDefault="00FE1E15" w:rsidP="00FE1E15">
      <w:pPr>
        <w:pStyle w:val="1-REL11"/>
        <w:numPr>
          <w:ilvl w:val="0"/>
          <w:numId w:val="40"/>
        </w:numPr>
      </w:pPr>
      <w:r>
        <w:t>P</w:t>
      </w:r>
      <w:r w:rsidRPr="00DC6F36">
        <w:t xml:space="preserve">or meio da Goiás Previdência, </w:t>
      </w:r>
      <w:r w:rsidRPr="00DC6F36">
        <w:rPr>
          <w:b/>
        </w:rPr>
        <w:t>adote</w:t>
      </w:r>
      <w:r w:rsidRPr="00DC6F36">
        <w:t xml:space="preserve"> providências com vistas a concentrar o registro contábil das insuficiências financeiras da UO 1780 – Fundo Financeiro e 1781 – Fundo Financeiro Militar relacionadas às demandas judiciais (RPV) na conta contábil 4.5.1.3.2.01.01.00.00, com o objetivo de dar total transparência à </w:t>
      </w:r>
      <w:r>
        <w:t xml:space="preserve">cobertura de </w:t>
      </w:r>
      <w:r w:rsidRPr="00DC6F36">
        <w:t>insuficiência financeira repassada pelo Tesouro Estadual</w:t>
      </w:r>
      <w:r>
        <w:t xml:space="preserve"> (item </w:t>
      </w:r>
      <w:r w:rsidRPr="00DC6F36">
        <w:t>4.11.6 Sistema de Proteção dos Militares</w:t>
      </w:r>
      <w:r>
        <w:t>);</w:t>
      </w:r>
    </w:p>
    <w:p w14:paraId="58165B7D" w14:textId="77777777" w:rsidR="00FE1E15" w:rsidRDefault="00FE1E15" w:rsidP="00FE1E15">
      <w:pPr>
        <w:pStyle w:val="1-REL11"/>
        <w:numPr>
          <w:ilvl w:val="0"/>
          <w:numId w:val="40"/>
        </w:numPr>
      </w:pPr>
      <w:r>
        <w:t>P</w:t>
      </w:r>
      <w:r w:rsidRPr="00DC6F36">
        <w:t xml:space="preserve">or meio da Secretaria de Estado da Economia, </w:t>
      </w:r>
      <w:r w:rsidRPr="00DC6F36">
        <w:rPr>
          <w:b/>
        </w:rPr>
        <w:t>adote</w:t>
      </w:r>
      <w:r w:rsidRPr="00DC6F36">
        <w:t xml:space="preserve"> providências com vistas a, na divulgação dos benefícios fiscais concedidos através do Portal de Transparência, atualizar tempestivamente as informações publicadas com os valores oficialmente apurados após o fechamento de cada exercício, incluindo os dados de todos os tributos e modalidades de benefícios fiscais concedidos, efetuando a contabilização, no exercício </w:t>
      </w:r>
      <w:r w:rsidRPr="00DC6F36">
        <w:lastRenderedPageBreak/>
        <w:t xml:space="preserve">seguinte, das eventuais diferenças apuradas e detalhando os procedimentos adotados em Notas Explicativas. Adicionalmente, </w:t>
      </w:r>
      <w:r w:rsidRPr="008F378C">
        <w:rPr>
          <w:b/>
        </w:rPr>
        <w:t>apresente</w:t>
      </w:r>
      <w:r w:rsidRPr="00DC6F36">
        <w:t>, na Prestação de Contas Anual do Governador de 2024, estudos sobre a viabilidade de efetuar os registros contábeis contemplando todas as instruções previstas no MCAPS e na IPC 16 – Benefícios Fiscais</w:t>
      </w:r>
      <w:r>
        <w:t xml:space="preserve"> (item </w:t>
      </w:r>
      <w:r w:rsidRPr="00DC6F36">
        <w:t>4.16.3 Evidenciação e Registro da Receita</w:t>
      </w:r>
      <w:r>
        <w:t>);</w:t>
      </w:r>
    </w:p>
    <w:p w14:paraId="6CC0B9E7" w14:textId="77777777" w:rsidR="00FE1E15" w:rsidRDefault="00FE1E15" w:rsidP="00FE1E15">
      <w:pPr>
        <w:pStyle w:val="1-REL11"/>
        <w:numPr>
          <w:ilvl w:val="0"/>
          <w:numId w:val="40"/>
        </w:numPr>
      </w:pPr>
      <w:r>
        <w:t>P</w:t>
      </w:r>
      <w:r w:rsidRPr="00DC6F36">
        <w:t>or meio das Secretarias de Estado da Administração e da Economia</w:t>
      </w:r>
      <w:r>
        <w:t>,</w:t>
      </w:r>
      <w:r w:rsidRPr="00DC6F36">
        <w:t xml:space="preserve"> </w:t>
      </w:r>
      <w:r w:rsidRPr="00DC6F36">
        <w:rPr>
          <w:b/>
        </w:rPr>
        <w:t>adote</w:t>
      </w:r>
      <w:r w:rsidRPr="00DC6F36">
        <w:t xml:space="preserve"> providências com vistas a: a) revisar os controles internos relacionados ao processo de incorporação de ativos de estoques de bens de consumo que não envolvam execução orçamentária, a exemplo das doações, via sistema Sigmate, e b) promover treinamento adicional para as equipes responsáveis pelos lançamentos, conciliação e fechamento de balanços para que detectem tais distorções</w:t>
      </w:r>
      <w:r>
        <w:t xml:space="preserve"> (item </w:t>
      </w:r>
      <w:r w:rsidRPr="00DC6F36">
        <w:t>6.1.1.4 Estoques</w:t>
      </w:r>
      <w:r>
        <w:t>).</w:t>
      </w:r>
    </w:p>
    <w:p w14:paraId="46CAD9B1" w14:textId="77777777" w:rsidR="0045275B" w:rsidRPr="00B215AC" w:rsidRDefault="0045275B" w:rsidP="00B523B9">
      <w:pPr>
        <w:pStyle w:val="1-REL11"/>
        <w:rPr>
          <w:color w:val="FF0000"/>
        </w:rPr>
      </w:pPr>
    </w:p>
    <w:p w14:paraId="6F0E4698" w14:textId="77777777" w:rsidR="00A254A8" w:rsidRPr="00B215AC" w:rsidRDefault="00A254A8" w:rsidP="00B523B9">
      <w:pPr>
        <w:pStyle w:val="1-REL11"/>
        <w:rPr>
          <w:color w:val="FF0000"/>
        </w:rPr>
        <w:sectPr w:rsidR="00A254A8" w:rsidRPr="00B215AC" w:rsidSect="00C57A3A">
          <w:footerReference w:type="default" r:id="rId72"/>
          <w:footnotePr>
            <w:numRestart w:val="eachSect"/>
          </w:footnotePr>
          <w:pgSz w:w="11905" w:h="16837"/>
          <w:pgMar w:top="1134" w:right="851" w:bottom="1134" w:left="1701" w:header="720" w:footer="720" w:gutter="0"/>
          <w:cols w:space="720"/>
          <w:noEndnote/>
        </w:sectPr>
      </w:pPr>
    </w:p>
    <w:p w14:paraId="11B7399F" w14:textId="77777777" w:rsidR="00924D71" w:rsidRPr="00B215AC" w:rsidRDefault="00924D71" w:rsidP="00924D71">
      <w:pPr>
        <w:pStyle w:val="0-TXT11"/>
        <w:rPr>
          <w:rFonts w:cs="Times New Roman"/>
          <w:color w:val="FF0000"/>
        </w:rPr>
      </w:pPr>
    </w:p>
    <w:p w14:paraId="3D2A3ABD" w14:textId="77777777" w:rsidR="00924D71" w:rsidRPr="00B215AC" w:rsidRDefault="00924D71" w:rsidP="00924D71">
      <w:pPr>
        <w:pStyle w:val="0-TXT11"/>
        <w:rPr>
          <w:rFonts w:cs="Times New Roman"/>
          <w:color w:val="FF0000"/>
        </w:rPr>
      </w:pPr>
    </w:p>
    <w:p w14:paraId="181C446C" w14:textId="77777777" w:rsidR="00924D71" w:rsidRPr="00B215AC" w:rsidRDefault="00924D71" w:rsidP="00924D71">
      <w:pPr>
        <w:pStyle w:val="0-TXT11"/>
        <w:rPr>
          <w:rFonts w:cs="Times New Roman"/>
          <w:color w:val="FF0000"/>
        </w:rPr>
      </w:pPr>
    </w:p>
    <w:p w14:paraId="0F799BF5" w14:textId="77777777" w:rsidR="00924D71" w:rsidRPr="00B215AC" w:rsidRDefault="00924D71" w:rsidP="00924D71">
      <w:pPr>
        <w:pStyle w:val="0-TXT11"/>
        <w:rPr>
          <w:rFonts w:cs="Times New Roman"/>
          <w:color w:val="FF0000"/>
        </w:rPr>
      </w:pPr>
    </w:p>
    <w:p w14:paraId="4760CCBC" w14:textId="77777777" w:rsidR="00924D71" w:rsidRPr="00B215AC" w:rsidRDefault="00924D71" w:rsidP="00924D71">
      <w:pPr>
        <w:pStyle w:val="0-TXT11"/>
        <w:rPr>
          <w:rFonts w:cs="Times New Roman"/>
          <w:color w:val="FF0000"/>
        </w:rPr>
      </w:pPr>
    </w:p>
    <w:p w14:paraId="679B341E" w14:textId="77777777" w:rsidR="00924D71" w:rsidRPr="00B215AC" w:rsidRDefault="00924D71" w:rsidP="00924D71">
      <w:pPr>
        <w:pStyle w:val="0-TXT11"/>
        <w:rPr>
          <w:rFonts w:cs="Times New Roman"/>
          <w:color w:val="FF0000"/>
        </w:rPr>
      </w:pPr>
    </w:p>
    <w:p w14:paraId="482B4B59" w14:textId="77777777" w:rsidR="00924D71" w:rsidRPr="00B215AC" w:rsidRDefault="00924D71" w:rsidP="00924D71">
      <w:pPr>
        <w:pStyle w:val="0-TXT11"/>
        <w:rPr>
          <w:rFonts w:cs="Times New Roman"/>
          <w:color w:val="FF0000"/>
        </w:rPr>
      </w:pPr>
    </w:p>
    <w:p w14:paraId="3FF6771D" w14:textId="77777777" w:rsidR="00924D71" w:rsidRPr="00B215AC" w:rsidRDefault="00924D71" w:rsidP="00924D71">
      <w:pPr>
        <w:pStyle w:val="0-TXT11"/>
        <w:rPr>
          <w:rFonts w:cs="Times New Roman"/>
          <w:color w:val="FF0000"/>
        </w:rPr>
      </w:pPr>
    </w:p>
    <w:p w14:paraId="6D446EF2" w14:textId="77777777" w:rsidR="00924D71" w:rsidRPr="00B215AC" w:rsidRDefault="00924D71" w:rsidP="00924D71">
      <w:pPr>
        <w:pStyle w:val="0-TXT11"/>
        <w:rPr>
          <w:rFonts w:cs="Times New Roman"/>
          <w:color w:val="FF0000"/>
        </w:rPr>
      </w:pPr>
    </w:p>
    <w:p w14:paraId="75612AD4" w14:textId="77777777" w:rsidR="00924D71" w:rsidRPr="00B215AC" w:rsidRDefault="00924D71" w:rsidP="00924D71">
      <w:pPr>
        <w:pStyle w:val="0-TXT11"/>
        <w:rPr>
          <w:rFonts w:cs="Times New Roman"/>
          <w:color w:val="FF0000"/>
        </w:rPr>
      </w:pPr>
    </w:p>
    <w:p w14:paraId="2BB4FD07" w14:textId="77777777" w:rsidR="00924D71" w:rsidRPr="00B215AC" w:rsidRDefault="00924D71" w:rsidP="00924D71">
      <w:pPr>
        <w:pStyle w:val="0-TXT11"/>
        <w:rPr>
          <w:rFonts w:cs="Times New Roman"/>
          <w:color w:val="FF0000"/>
        </w:rPr>
      </w:pPr>
    </w:p>
    <w:p w14:paraId="595BD2AD" w14:textId="77777777" w:rsidR="00924D71" w:rsidRPr="00B215AC" w:rsidRDefault="00924D71" w:rsidP="00924D71">
      <w:pPr>
        <w:pStyle w:val="0-TXT11"/>
        <w:rPr>
          <w:rFonts w:cs="Times New Roman"/>
          <w:color w:val="FF0000"/>
        </w:rPr>
      </w:pPr>
    </w:p>
    <w:p w14:paraId="32AE2E96" w14:textId="77777777" w:rsidR="00924D71" w:rsidRPr="00B215AC" w:rsidRDefault="00924D71" w:rsidP="00924D71">
      <w:pPr>
        <w:pStyle w:val="0-TXT11"/>
        <w:rPr>
          <w:rFonts w:cs="Times New Roman"/>
          <w:color w:val="FF0000"/>
        </w:rPr>
      </w:pPr>
    </w:p>
    <w:p w14:paraId="5F3DEE02" w14:textId="77777777" w:rsidR="00924D71" w:rsidRPr="00B215AC" w:rsidRDefault="00924D71" w:rsidP="00924D71">
      <w:pPr>
        <w:pStyle w:val="0-TXT11"/>
        <w:rPr>
          <w:rFonts w:cs="Times New Roman"/>
          <w:color w:val="FF0000"/>
        </w:rPr>
      </w:pPr>
    </w:p>
    <w:p w14:paraId="65E0A16F" w14:textId="77777777" w:rsidR="00924D71" w:rsidRPr="00B215AC" w:rsidRDefault="00924D71" w:rsidP="00924D71">
      <w:pPr>
        <w:pStyle w:val="0-TXT11"/>
        <w:rPr>
          <w:rFonts w:cs="Times New Roman"/>
          <w:color w:val="FF0000"/>
        </w:rPr>
      </w:pPr>
    </w:p>
    <w:p w14:paraId="759E0FF0" w14:textId="77777777" w:rsidR="00924D71" w:rsidRPr="00B215AC" w:rsidRDefault="00924D71" w:rsidP="00924D71">
      <w:pPr>
        <w:pStyle w:val="0-TXT11"/>
        <w:rPr>
          <w:rFonts w:cs="Times New Roman"/>
          <w:color w:val="FF0000"/>
        </w:rPr>
      </w:pPr>
    </w:p>
    <w:p w14:paraId="4BD66A9D" w14:textId="77777777" w:rsidR="00924D71" w:rsidRPr="00B215AC" w:rsidRDefault="00924D71" w:rsidP="00924D71">
      <w:pPr>
        <w:pStyle w:val="0-TXT11"/>
        <w:rPr>
          <w:rFonts w:cs="Times New Roman"/>
          <w:color w:val="FF0000"/>
        </w:rPr>
      </w:pPr>
    </w:p>
    <w:p w14:paraId="7BC4EFC2" w14:textId="77777777" w:rsidR="00924D71" w:rsidRPr="00ED79A3" w:rsidRDefault="00924D71" w:rsidP="00924D71">
      <w:pPr>
        <w:pStyle w:val="0-TXT11"/>
        <w:rPr>
          <w:rFonts w:cs="Times New Roman"/>
        </w:rPr>
      </w:pPr>
    </w:p>
    <w:p w14:paraId="4D2EE6CD" w14:textId="77777777" w:rsidR="00924D71" w:rsidRPr="00ED79A3" w:rsidRDefault="00924D71" w:rsidP="00924D71">
      <w:pPr>
        <w:pStyle w:val="0-TXT11"/>
        <w:rPr>
          <w:rFonts w:cs="Times New Roman"/>
        </w:rPr>
      </w:pPr>
    </w:p>
    <w:p w14:paraId="1B593418" w14:textId="77777777" w:rsidR="00924D71" w:rsidRPr="00ED79A3" w:rsidRDefault="00924D71" w:rsidP="00924D71">
      <w:pPr>
        <w:pStyle w:val="0-TXT11"/>
        <w:rPr>
          <w:rFonts w:cs="Times New Roman"/>
        </w:rPr>
      </w:pPr>
    </w:p>
    <w:p w14:paraId="48304C98" w14:textId="77777777" w:rsidR="00924D71" w:rsidRPr="00ED79A3" w:rsidRDefault="00924D71" w:rsidP="00924D71">
      <w:pPr>
        <w:pStyle w:val="0-TXT11"/>
        <w:rPr>
          <w:rFonts w:cs="Times New Roman"/>
        </w:rPr>
      </w:pPr>
    </w:p>
    <w:p w14:paraId="7FF72ED1" w14:textId="77777777" w:rsidR="00924D71" w:rsidRPr="00ED79A3" w:rsidRDefault="00924D71" w:rsidP="00924D71">
      <w:pPr>
        <w:pStyle w:val="0-TXT11"/>
        <w:rPr>
          <w:rFonts w:cs="Times New Roman"/>
        </w:rPr>
      </w:pPr>
    </w:p>
    <w:p w14:paraId="48CC12B1" w14:textId="77777777" w:rsidR="00924D71" w:rsidRPr="00ED79A3" w:rsidRDefault="00924D71" w:rsidP="00924D71">
      <w:pPr>
        <w:pStyle w:val="0-TXT11"/>
        <w:rPr>
          <w:rFonts w:cs="Times New Roman"/>
        </w:rPr>
      </w:pPr>
    </w:p>
    <w:p w14:paraId="57F5F96D" w14:textId="77777777" w:rsidR="00924D71" w:rsidRPr="00ED79A3" w:rsidRDefault="00924D71" w:rsidP="00924D71">
      <w:pPr>
        <w:pStyle w:val="0-TXT11"/>
        <w:rPr>
          <w:rFonts w:cs="Times New Roman"/>
        </w:rPr>
      </w:pPr>
    </w:p>
    <w:p w14:paraId="126E9E5F" w14:textId="77777777" w:rsidR="00924D71" w:rsidRPr="00ED79A3" w:rsidRDefault="00924D71" w:rsidP="00924D71">
      <w:pPr>
        <w:pStyle w:val="Ttulo"/>
        <w:rPr>
          <w:color w:val="auto"/>
        </w:rPr>
      </w:pPr>
    </w:p>
    <w:p w14:paraId="38BE58D6" w14:textId="77777777" w:rsidR="00924D71" w:rsidRPr="00ED79A3" w:rsidRDefault="00924D71" w:rsidP="00924D71">
      <w:pPr>
        <w:pStyle w:val="0-TXT11"/>
        <w:jc w:val="right"/>
        <w:rPr>
          <w:rFonts w:cs="Times New Roman"/>
          <w:sz w:val="48"/>
          <w:szCs w:val="48"/>
        </w:rPr>
      </w:pPr>
    </w:p>
    <w:p w14:paraId="7962D7AA" w14:textId="77777777" w:rsidR="00924D71" w:rsidRPr="00ED79A3" w:rsidRDefault="00924D71" w:rsidP="00924D71">
      <w:pPr>
        <w:pStyle w:val="0-TXT11"/>
        <w:jc w:val="right"/>
        <w:rPr>
          <w:rFonts w:cs="Times New Roman"/>
          <w:sz w:val="48"/>
          <w:szCs w:val="48"/>
        </w:rPr>
      </w:pPr>
      <w:r w:rsidRPr="00ED79A3">
        <w:rPr>
          <w:rFonts w:cs="Times New Roman"/>
          <w:sz w:val="48"/>
          <w:szCs w:val="48"/>
        </w:rPr>
        <w:t>Encaminhamento</w:t>
      </w:r>
    </w:p>
    <w:p w14:paraId="5FF8915D" w14:textId="77777777" w:rsidR="00924D71" w:rsidRPr="00B215AC" w:rsidRDefault="00924D71" w:rsidP="00924D71">
      <w:pPr>
        <w:pStyle w:val="0-TXT11"/>
        <w:ind w:right="-2"/>
        <w:rPr>
          <w:rFonts w:cs="Times New Roman"/>
          <w:color w:val="FF0000"/>
        </w:rPr>
      </w:pPr>
    </w:p>
    <w:p w14:paraId="5DED7952" w14:textId="77777777" w:rsidR="00924D71" w:rsidRPr="00B215AC" w:rsidRDefault="00924D71" w:rsidP="00924D71">
      <w:pPr>
        <w:pStyle w:val="0-TXT11"/>
        <w:ind w:right="-2"/>
        <w:rPr>
          <w:rFonts w:cs="Times New Roman"/>
          <w:color w:val="FF0000"/>
        </w:rPr>
      </w:pPr>
    </w:p>
    <w:p w14:paraId="7A542523" w14:textId="77777777" w:rsidR="00924D71" w:rsidRPr="00B215AC" w:rsidRDefault="00924D71" w:rsidP="00924D71">
      <w:pPr>
        <w:pStyle w:val="0-TXT11"/>
        <w:ind w:right="-2"/>
        <w:rPr>
          <w:rFonts w:cs="Times New Roman"/>
          <w:color w:val="FF0000"/>
        </w:rPr>
      </w:pPr>
    </w:p>
    <w:p w14:paraId="0921B491" w14:textId="77777777" w:rsidR="00924D71" w:rsidRPr="00B215AC" w:rsidRDefault="00924D71" w:rsidP="00924D71">
      <w:pPr>
        <w:pStyle w:val="0-TXT11"/>
        <w:ind w:right="-2"/>
        <w:rPr>
          <w:rFonts w:cs="Times New Roman"/>
          <w:color w:val="FF0000"/>
        </w:rPr>
      </w:pPr>
    </w:p>
    <w:p w14:paraId="6D18D419" w14:textId="77777777" w:rsidR="00924D71" w:rsidRPr="00B215AC" w:rsidRDefault="00924D71" w:rsidP="00924D71">
      <w:pPr>
        <w:pStyle w:val="0-TXT11"/>
        <w:ind w:right="-2"/>
        <w:rPr>
          <w:rFonts w:cs="Times New Roman"/>
          <w:color w:val="FF0000"/>
        </w:rPr>
        <w:sectPr w:rsidR="00924D71" w:rsidRPr="00B215AC" w:rsidSect="00C57A3A">
          <w:footerReference w:type="default" r:id="rId73"/>
          <w:footnotePr>
            <w:numRestart w:val="eachSect"/>
          </w:footnotePr>
          <w:pgSz w:w="11905" w:h="16837"/>
          <w:pgMar w:top="1134" w:right="851" w:bottom="1134" w:left="1701" w:header="720" w:footer="720" w:gutter="0"/>
          <w:cols w:space="720"/>
          <w:noEndnote/>
        </w:sectPr>
      </w:pPr>
    </w:p>
    <w:p w14:paraId="38E02E6F" w14:textId="77777777" w:rsidR="00ED79A3" w:rsidRPr="00ED79A3" w:rsidRDefault="00ED79A3" w:rsidP="00ED79A3">
      <w:pPr>
        <w:pStyle w:val="1-REL11"/>
      </w:pPr>
    </w:p>
    <w:p w14:paraId="6C8DB07A" w14:textId="52343B9F" w:rsidR="00D41C97" w:rsidRPr="00ED79A3" w:rsidRDefault="00D41C97" w:rsidP="00D41C97">
      <w:pPr>
        <w:pStyle w:val="Ttulo"/>
        <w:rPr>
          <w:color w:val="auto"/>
        </w:rPr>
      </w:pPr>
      <w:r w:rsidRPr="00ED79A3">
        <w:rPr>
          <w:color w:val="auto"/>
        </w:rPr>
        <w:t>Encaminhamento</w:t>
      </w:r>
    </w:p>
    <w:p w14:paraId="79AB2EB6" w14:textId="77777777" w:rsidR="00596F2F" w:rsidRPr="00BF602E" w:rsidRDefault="00596F2F" w:rsidP="00596F2F">
      <w:pPr>
        <w:pStyle w:val="1-REL11"/>
      </w:pPr>
      <w:r w:rsidRPr="00BF602E">
        <w:t>O Relatório Técnico sobre a</w:t>
      </w:r>
      <w:r>
        <w:t xml:space="preserve"> Prestação de</w:t>
      </w:r>
      <w:r w:rsidRPr="00BF602E">
        <w:t xml:space="preserve"> Contas do Govern</w:t>
      </w:r>
      <w:r>
        <w:t>ador</w:t>
      </w:r>
      <w:r w:rsidRPr="00BF602E">
        <w:t xml:space="preserve"> do Estado do Goiás contém o resultado das análises efetuadas na gestão dos recursos estaduais, relativamente ao exercício de 202</w:t>
      </w:r>
      <w:r>
        <w:t>3</w:t>
      </w:r>
      <w:r w:rsidRPr="00BF602E">
        <w:t>, em confronto com as normas constitucionais</w:t>
      </w:r>
      <w:r w:rsidRPr="000D4CA9">
        <w:t>, legais, regulamentares e de execução orçamentária, patrimonial e financeira dos orçamentos públicos, bem assim com o Plano Plurianual, a Lei de Diretrizes Orçamentárias, Lei Orçamentária Anual e a Lei de Responsabilidade Fiscal.</w:t>
      </w:r>
    </w:p>
    <w:p w14:paraId="372BEB03" w14:textId="77777777" w:rsidR="00596F2F" w:rsidRPr="00BF602E" w:rsidRDefault="00596F2F" w:rsidP="00596F2F">
      <w:pPr>
        <w:pStyle w:val="1-REL11"/>
      </w:pPr>
      <w:r w:rsidRPr="00BF602E">
        <w:t xml:space="preserve">Valendo-se da legitimidade presumida dos documentos e informações constantes do processo, ressalvadas as irregularidades e impropriedades ora apontadas, considera-se finalizado o presente exame e encaminha-se este Relatório Técnico, contendo as conclusões e propostas de encaminhamento ao Conselheiro Relator, Excelentíssimo Senhor </w:t>
      </w:r>
      <w:r>
        <w:t>Helder Valin Barbosa</w:t>
      </w:r>
      <w:r w:rsidRPr="00BF602E">
        <w:t>, para subsidiar a elaboração do Parecer Prévio na apreciação da</w:t>
      </w:r>
      <w:r>
        <w:t xml:space="preserve"> Prestação de</w:t>
      </w:r>
      <w:r w:rsidRPr="00BF602E">
        <w:t xml:space="preserve"> Contas do Governador, exercício de 202</w:t>
      </w:r>
      <w:r>
        <w:t>3</w:t>
      </w:r>
      <w:r w:rsidRPr="00BF602E">
        <w:t>, nos termos do inciso I, do art. 26 da Constituição Estadual.</w:t>
      </w:r>
    </w:p>
    <w:p w14:paraId="2AE3A556" w14:textId="77777777" w:rsidR="00596F2F" w:rsidRPr="00E31727" w:rsidRDefault="00596F2F" w:rsidP="00596F2F">
      <w:pPr>
        <w:pStyle w:val="1-REL11"/>
      </w:pPr>
      <w:r w:rsidRPr="00E31727">
        <w:t>Serviço de</w:t>
      </w:r>
      <w:r>
        <w:t xml:space="preserve"> Fiscalização de</w:t>
      </w:r>
      <w:r w:rsidRPr="00E31727">
        <w:t xml:space="preserve"> Contas do Governo do Tribunal de Contas do Estado de Goiás, em Goiânia, aos </w:t>
      </w:r>
      <w:r>
        <w:t>28</w:t>
      </w:r>
      <w:r w:rsidRPr="00E31727">
        <w:t xml:space="preserve"> de maio de 202</w:t>
      </w:r>
      <w:r>
        <w:t>4</w:t>
      </w:r>
      <w:r w:rsidRPr="00E31727">
        <w:t>.</w:t>
      </w:r>
    </w:p>
    <w:p w14:paraId="7A4AA683" w14:textId="77777777" w:rsidR="00596F2F" w:rsidRPr="00E31727" w:rsidRDefault="00596F2F" w:rsidP="00596F2F">
      <w:pPr>
        <w:pStyle w:val="0-TXT11"/>
        <w:rPr>
          <w:rFonts w:cs="Times New Roman"/>
        </w:rPr>
        <w:sectPr w:rsidR="00596F2F" w:rsidRPr="00E31727" w:rsidSect="00924D71">
          <w:footerReference w:type="default" r:id="rId74"/>
          <w:footnotePr>
            <w:numRestart w:val="eachSect"/>
          </w:footnotePr>
          <w:pgSz w:w="11905" w:h="16837"/>
          <w:pgMar w:top="1134" w:right="851" w:bottom="1134" w:left="1701" w:header="720" w:footer="529" w:gutter="0"/>
          <w:cols w:space="720"/>
          <w:noEndnote/>
        </w:sectPr>
      </w:pPr>
    </w:p>
    <w:p w14:paraId="1CE2DA5D" w14:textId="77777777" w:rsidR="00596F2F" w:rsidRPr="00B215AC" w:rsidRDefault="00596F2F" w:rsidP="00596F2F">
      <w:pPr>
        <w:pStyle w:val="0-TXT11"/>
        <w:rPr>
          <w:rFonts w:cs="Times New Roman"/>
          <w:color w:val="FF0000"/>
        </w:rPr>
      </w:pPr>
    </w:p>
    <w:p w14:paraId="45DFF57B" w14:textId="77777777" w:rsidR="00596F2F" w:rsidRPr="00E31727" w:rsidRDefault="00596F2F" w:rsidP="00596F2F">
      <w:pPr>
        <w:pStyle w:val="0-TXT11"/>
        <w:rPr>
          <w:rFonts w:cs="Times New Roman"/>
        </w:rPr>
      </w:pPr>
    </w:p>
    <w:tbl>
      <w:tblPr>
        <w:tblStyle w:val="Tabelacomgrade"/>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565"/>
        <w:gridCol w:w="4111"/>
      </w:tblGrid>
      <w:tr w:rsidR="00596F2F" w:rsidRPr="00E31727" w14:paraId="6EE92010" w14:textId="77777777" w:rsidTr="00142754">
        <w:trPr>
          <w:trHeight w:val="1134"/>
        </w:trPr>
        <w:tc>
          <w:tcPr>
            <w:tcW w:w="4675" w:type="dxa"/>
          </w:tcPr>
          <w:p w14:paraId="3BD94567" w14:textId="77777777" w:rsidR="00596F2F" w:rsidRPr="00E31727" w:rsidRDefault="00596F2F" w:rsidP="00142754">
            <w:pPr>
              <w:jc w:val="center"/>
            </w:pPr>
            <w:r>
              <w:t>Carlos Antônio de Freitas Júnior</w:t>
            </w:r>
            <w:r w:rsidRPr="00E31727">
              <w:t>,</w:t>
            </w:r>
            <w:r w:rsidRPr="00E31727">
              <w:br/>
            </w:r>
            <w:r w:rsidRPr="00E31727">
              <w:rPr>
                <w:b/>
                <w:bCs/>
              </w:rPr>
              <w:t>Analista de Controle Externo</w:t>
            </w:r>
          </w:p>
        </w:tc>
        <w:tc>
          <w:tcPr>
            <w:tcW w:w="565" w:type="dxa"/>
          </w:tcPr>
          <w:p w14:paraId="19485278" w14:textId="77777777" w:rsidR="00596F2F" w:rsidRPr="00E31727" w:rsidRDefault="00596F2F" w:rsidP="00142754"/>
        </w:tc>
        <w:tc>
          <w:tcPr>
            <w:tcW w:w="4111" w:type="dxa"/>
          </w:tcPr>
          <w:p w14:paraId="0690751A" w14:textId="77777777" w:rsidR="00596F2F" w:rsidRPr="00E31727" w:rsidRDefault="00596F2F" w:rsidP="00142754">
            <w:pPr>
              <w:jc w:val="center"/>
            </w:pPr>
            <w:r w:rsidRPr="00E31727">
              <w:t>Denize Faleiro Valtuille,</w:t>
            </w:r>
            <w:r w:rsidRPr="00E31727">
              <w:br/>
            </w:r>
            <w:r w:rsidRPr="00E31727">
              <w:rPr>
                <w:b/>
                <w:bCs/>
              </w:rPr>
              <w:t>Analista de Controle Externo</w:t>
            </w:r>
          </w:p>
        </w:tc>
      </w:tr>
      <w:tr w:rsidR="00596F2F" w:rsidRPr="00E31727" w14:paraId="69157417" w14:textId="77777777" w:rsidTr="00142754">
        <w:trPr>
          <w:trHeight w:val="1134"/>
        </w:trPr>
        <w:tc>
          <w:tcPr>
            <w:tcW w:w="4675" w:type="dxa"/>
          </w:tcPr>
          <w:p w14:paraId="007FF9CE" w14:textId="77777777" w:rsidR="00596F2F" w:rsidRPr="00E31727" w:rsidRDefault="00596F2F" w:rsidP="00142754">
            <w:pPr>
              <w:jc w:val="center"/>
            </w:pPr>
            <w:r w:rsidRPr="00E31727">
              <w:t>Juarez Batista Rodrigues,</w:t>
            </w:r>
            <w:r w:rsidRPr="00E31727">
              <w:br/>
            </w:r>
            <w:r w:rsidRPr="00E31727">
              <w:rPr>
                <w:b/>
                <w:bCs/>
              </w:rPr>
              <w:t>Analista de Controle Externo</w:t>
            </w:r>
          </w:p>
        </w:tc>
        <w:tc>
          <w:tcPr>
            <w:tcW w:w="565" w:type="dxa"/>
          </w:tcPr>
          <w:p w14:paraId="489F0E34" w14:textId="77777777" w:rsidR="00596F2F" w:rsidRPr="00E31727" w:rsidRDefault="00596F2F" w:rsidP="00142754"/>
        </w:tc>
        <w:tc>
          <w:tcPr>
            <w:tcW w:w="4111" w:type="dxa"/>
          </w:tcPr>
          <w:p w14:paraId="18F0CDD7" w14:textId="77777777" w:rsidR="00596F2F" w:rsidRPr="00E31727" w:rsidRDefault="00596F2F" w:rsidP="00142754">
            <w:pPr>
              <w:jc w:val="center"/>
            </w:pPr>
            <w:r>
              <w:t>Pollyanna Fideles Costa Custódio</w:t>
            </w:r>
            <w:r w:rsidRPr="00E31727">
              <w:t>,</w:t>
            </w:r>
            <w:r w:rsidRPr="00E31727">
              <w:br/>
            </w:r>
            <w:r w:rsidRPr="00E31727">
              <w:rPr>
                <w:b/>
                <w:bCs/>
              </w:rPr>
              <w:t>Analista de Controle Externo</w:t>
            </w:r>
          </w:p>
        </w:tc>
      </w:tr>
      <w:tr w:rsidR="00596F2F" w:rsidRPr="00E31727" w14:paraId="377184BA" w14:textId="77777777" w:rsidTr="00142754">
        <w:trPr>
          <w:trHeight w:val="1453"/>
        </w:trPr>
        <w:tc>
          <w:tcPr>
            <w:tcW w:w="4675" w:type="dxa"/>
          </w:tcPr>
          <w:p w14:paraId="77137F07" w14:textId="77777777" w:rsidR="00596F2F" w:rsidRPr="00E31727" w:rsidRDefault="00596F2F" w:rsidP="00142754">
            <w:pPr>
              <w:jc w:val="center"/>
            </w:pPr>
            <w:r w:rsidRPr="00E31727">
              <w:t>Stanley Gonçalves Torres,</w:t>
            </w:r>
            <w:r w:rsidRPr="00E31727">
              <w:br/>
            </w:r>
            <w:r w:rsidRPr="00E31727">
              <w:rPr>
                <w:b/>
                <w:bCs/>
              </w:rPr>
              <w:t>Analista de Controle Externo</w:t>
            </w:r>
          </w:p>
        </w:tc>
        <w:tc>
          <w:tcPr>
            <w:tcW w:w="565" w:type="dxa"/>
          </w:tcPr>
          <w:p w14:paraId="41FD263B" w14:textId="77777777" w:rsidR="00596F2F" w:rsidRPr="00E31727" w:rsidRDefault="00596F2F" w:rsidP="00142754">
            <w:pPr>
              <w:jc w:val="center"/>
            </w:pPr>
          </w:p>
        </w:tc>
        <w:tc>
          <w:tcPr>
            <w:tcW w:w="4111" w:type="dxa"/>
          </w:tcPr>
          <w:p w14:paraId="27B0747C" w14:textId="77777777" w:rsidR="00596F2F" w:rsidRPr="00E31727" w:rsidRDefault="00596F2F" w:rsidP="00142754">
            <w:pPr>
              <w:jc w:val="center"/>
            </w:pPr>
          </w:p>
        </w:tc>
      </w:tr>
      <w:tr w:rsidR="00596F2F" w:rsidRPr="00E31727" w14:paraId="6BE83BB5" w14:textId="77777777" w:rsidTr="00142754">
        <w:trPr>
          <w:trHeight w:val="1158"/>
        </w:trPr>
        <w:tc>
          <w:tcPr>
            <w:tcW w:w="9351" w:type="dxa"/>
            <w:gridSpan w:val="3"/>
          </w:tcPr>
          <w:p w14:paraId="18FD9895" w14:textId="77777777" w:rsidR="00596F2F" w:rsidRPr="00E31727" w:rsidRDefault="00596F2F" w:rsidP="00142754">
            <w:pPr>
              <w:jc w:val="center"/>
            </w:pPr>
            <w:r w:rsidRPr="00E31727">
              <w:t>Carolina Oliveira da Silva,</w:t>
            </w:r>
          </w:p>
          <w:p w14:paraId="53D34AC5" w14:textId="77777777" w:rsidR="00596F2F" w:rsidRPr="00E31727" w:rsidRDefault="00596F2F" w:rsidP="00142754">
            <w:pPr>
              <w:jc w:val="center"/>
            </w:pPr>
            <w:r w:rsidRPr="00E31727">
              <w:rPr>
                <w:b/>
                <w:bCs/>
              </w:rPr>
              <w:t>Chefe do Serviço de Fiscalização de Contas de Governo</w:t>
            </w:r>
          </w:p>
        </w:tc>
      </w:tr>
      <w:tr w:rsidR="00596F2F" w:rsidRPr="00E31727" w14:paraId="32E5B2F7" w14:textId="77777777" w:rsidTr="00142754">
        <w:trPr>
          <w:trHeight w:val="966"/>
        </w:trPr>
        <w:tc>
          <w:tcPr>
            <w:tcW w:w="9351" w:type="dxa"/>
            <w:gridSpan w:val="3"/>
          </w:tcPr>
          <w:p w14:paraId="47478E48" w14:textId="77777777" w:rsidR="00596F2F" w:rsidRPr="00E31727" w:rsidRDefault="00596F2F" w:rsidP="00142754">
            <w:pPr>
              <w:jc w:val="center"/>
            </w:pPr>
            <w:r w:rsidRPr="00E31727">
              <w:t>André Pinheiro de Magalhães,</w:t>
            </w:r>
          </w:p>
          <w:p w14:paraId="1F2A3FFE" w14:textId="77777777" w:rsidR="00596F2F" w:rsidRPr="00E31727" w:rsidRDefault="00596F2F" w:rsidP="00142754">
            <w:pPr>
              <w:jc w:val="center"/>
              <w:rPr>
                <w:b/>
                <w:bCs/>
              </w:rPr>
            </w:pPr>
            <w:r w:rsidRPr="00E31727">
              <w:rPr>
                <w:b/>
                <w:bCs/>
              </w:rPr>
              <w:t>Gerente de Fiscalização de Contas</w:t>
            </w:r>
          </w:p>
        </w:tc>
      </w:tr>
    </w:tbl>
    <w:p w14:paraId="3CF49AA6" w14:textId="77777777" w:rsidR="00AB228C" w:rsidRPr="00B215AC" w:rsidRDefault="00AB228C" w:rsidP="008C499C">
      <w:pPr>
        <w:pStyle w:val="0-TXT11"/>
        <w:rPr>
          <w:rFonts w:cs="Times New Roman"/>
          <w:color w:val="FF0000"/>
        </w:rPr>
      </w:pPr>
    </w:p>
    <w:sectPr w:rsidR="00AB228C" w:rsidRPr="00B215AC" w:rsidSect="00A8434F">
      <w:footerReference w:type="default" r:id="rId75"/>
      <w:footnotePr>
        <w:numRestart w:val="eachSect"/>
      </w:footnotePr>
      <w:type w:val="continuous"/>
      <w:pgSz w:w="11905" w:h="16837"/>
      <w:pgMar w:top="1134" w:right="851" w:bottom="1134" w:left="1701" w:header="720" w:footer="529"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90FA7D" w14:textId="77777777" w:rsidR="00BD5B06" w:rsidRDefault="00BD5B06">
      <w:r>
        <w:separator/>
      </w:r>
    </w:p>
  </w:endnote>
  <w:endnote w:type="continuationSeparator" w:id="0">
    <w:p w14:paraId="769B195A" w14:textId="77777777" w:rsidR="00BD5B06" w:rsidRDefault="00BD5B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w:altName w:val="Yu Gothic"/>
    <w:charset w:val="80"/>
    <w:family w:val="auto"/>
    <w:pitch w:val="default"/>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valon">
    <w:altName w:val="Times New Roman"/>
    <w:panose1 w:val="00000000000000000000"/>
    <w:charset w:val="00"/>
    <w:family w:val="roman"/>
    <w:notTrueType/>
    <w:pitch w:val="default"/>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Ecofont Vera Sans">
    <w:altName w:val="Calibri"/>
    <w:charset w:val="00"/>
    <w:family w:val="swiss"/>
    <w:pitch w:val="variable"/>
    <w:sig w:usb0="800000AF" w:usb1="1000204A"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GMJKHA+Arial">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ndale Sans UI">
    <w:altName w:val="Times New Roman"/>
    <w:charset w:val="00"/>
    <w:family w:val="auto"/>
    <w:pitch w:val="variable"/>
  </w:font>
  <w:font w:name="SimSun, 宋体">
    <w:charset w:val="00"/>
    <w:family w:val="auto"/>
    <w:pitch w:val="variable"/>
  </w:font>
  <w:font w:name="Mangal">
    <w:panose1 w:val="00000400000000000000"/>
    <w:charset w:val="00"/>
    <w:family w:val="roman"/>
    <w:pitch w:val="variable"/>
    <w:sig w:usb0="00008003" w:usb1="00000000" w:usb2="00000000" w:usb3="00000000" w:csb0="00000001" w:csb1="00000000"/>
  </w:font>
  <w:font w:name="OpenSymbol, 'Arial Unicode MS'">
    <w:charset w:val="00"/>
    <w:family w:val="auto"/>
    <w:pitch w:val="variable"/>
  </w:font>
  <w:font w:name="StarSymbol, 'Arial Unicode MS'">
    <w:altName w:val="Segoe UI Symbol"/>
    <w:charset w:val="02"/>
    <w:family w:val="auto"/>
    <w:pitch w:val="default"/>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ItalicMT">
    <w:altName w:val="Arial"/>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Swiss721BT-LightCondensed">
    <w:panose1 w:val="00000000000000000000"/>
    <w:charset w:val="00"/>
    <w:family w:val="swiss"/>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Rasa">
    <w:altName w:val="Calibri"/>
    <w:charset w:val="00"/>
    <w:family w:val="auto"/>
    <w:pitch w:val="default"/>
  </w:font>
  <w:font w:name="Arial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90931416"/>
      <w:docPartObj>
        <w:docPartGallery w:val="Page Numbers (Bottom of Page)"/>
        <w:docPartUnique/>
      </w:docPartObj>
    </w:sdtPr>
    <w:sdtContent>
      <w:p w14:paraId="68626617" w14:textId="77777777" w:rsidR="00BD5B06" w:rsidRDefault="00BD5B06">
        <w:pPr>
          <w:jc w:val="center"/>
        </w:pPr>
        <w:r>
          <w:fldChar w:fldCharType="begin"/>
        </w:r>
        <w:r>
          <w:instrText xml:space="preserve"> PAGE   \* MERGEFORMAT </w:instrText>
        </w:r>
        <w:r>
          <w:fldChar w:fldCharType="separate"/>
        </w:r>
        <w:r>
          <w:rPr>
            <w:noProof/>
          </w:rPr>
          <w:t>xxiii</w:t>
        </w:r>
        <w:r>
          <w:rPr>
            <w:noProof/>
          </w:rPr>
          <w:fldChar w:fldCharType="end"/>
        </w:r>
      </w:p>
    </w:sdtContent>
  </w:sdt>
  <w:p w14:paraId="21F36403" w14:textId="77777777" w:rsidR="00BD5B06" w:rsidRDefault="00BD5B06" w:rsidP="00224096">
    <w:pPr>
      <w:tabs>
        <w:tab w:val="left" w:pos="8339"/>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10554793"/>
      <w:docPartObj>
        <w:docPartGallery w:val="Page Numbers (Bottom of Page)"/>
        <w:docPartUnique/>
      </w:docPartObj>
    </w:sdtPr>
    <w:sdtContent>
      <w:p w14:paraId="34D944DC" w14:textId="77777777" w:rsidR="00BD5B06" w:rsidRDefault="00BD5B06">
        <w:pPr>
          <w:jc w:val="center"/>
        </w:pPr>
        <w:r>
          <w:fldChar w:fldCharType="begin"/>
        </w:r>
        <w:r>
          <w:instrText xml:space="preserve"> PAGE   \* MERGEFORMAT </w:instrText>
        </w:r>
        <w:r>
          <w:fldChar w:fldCharType="separate"/>
        </w:r>
        <w:r>
          <w:rPr>
            <w:noProof/>
          </w:rPr>
          <w:t>iv</w:t>
        </w:r>
        <w:r>
          <w:rPr>
            <w:noProof/>
          </w:rPr>
          <w:fldChar w:fldCharType="end"/>
        </w:r>
      </w:p>
    </w:sdtContent>
  </w:sdt>
  <w:p w14:paraId="0E336A31" w14:textId="77777777" w:rsidR="00BD5B06" w:rsidRDefault="00BD5B06"/>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4E5238" w14:textId="77777777" w:rsidR="00BD5B06" w:rsidRDefault="00BD5B06" w:rsidP="00633C2D"/>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355"/>
      <w:gridCol w:w="5281"/>
      <w:gridCol w:w="4052"/>
    </w:tblGrid>
    <w:tr w:rsidR="00BD5B06" w14:paraId="255D7DF1" w14:textId="77777777" w:rsidTr="00633C2D">
      <w:trPr>
        <w:trHeight w:val="709"/>
      </w:trPr>
      <w:tc>
        <w:tcPr>
          <w:tcW w:w="2503" w:type="pct"/>
        </w:tcPr>
        <w:tbl>
          <w:tblPr>
            <w:tblW w:w="5000"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5152"/>
            <w:gridCol w:w="3950"/>
          </w:tblGrid>
          <w:tr w:rsidR="00BD5B06" w14:paraId="33D3D0F6" w14:textId="77777777" w:rsidTr="00633C2D">
            <w:trPr>
              <w:trHeight w:val="709"/>
            </w:trPr>
            <w:tc>
              <w:tcPr>
                <w:tcW w:w="2830" w:type="pct"/>
                <w:vAlign w:val="bottom"/>
              </w:tcPr>
              <w:p w14:paraId="3E035236" w14:textId="77777777" w:rsidR="00BD5B06" w:rsidRDefault="00BD5B06" w:rsidP="00633C2D">
                <w:pPr>
                  <w:spacing w:before="60"/>
                  <w:jc w:val="left"/>
                  <w:rPr>
                    <w:rFonts w:ascii="Century Gothic" w:eastAsia="Batang" w:hAnsi="Century Gothic" w:cs="Tahoma"/>
                  </w:rPr>
                </w:pPr>
                <w:r>
                  <w:rPr>
                    <w:rFonts w:ascii="Century Gothic" w:eastAsia="Batang" w:hAnsi="Century Gothic" w:cs="Tahoma"/>
                  </w:rPr>
                  <w:t>Introdução</w:t>
                </w:r>
              </w:p>
              <w:p w14:paraId="03B4E5CB" w14:textId="4158A00E" w:rsidR="00BD5B06" w:rsidRPr="002F5314" w:rsidRDefault="00BD5B06" w:rsidP="00633C2D">
                <w:pPr>
                  <w:spacing w:before="60"/>
                  <w:jc w:val="left"/>
                  <w:rPr>
                    <w:rFonts w:ascii="Century Gothic" w:eastAsia="Batang" w:hAnsi="Century Gothic" w:cs="Tahoma"/>
                  </w:rPr>
                </w:pPr>
              </w:p>
            </w:tc>
            <w:tc>
              <w:tcPr>
                <w:tcW w:w="2170" w:type="pct"/>
              </w:tcPr>
              <w:p w14:paraId="4DE0601B" w14:textId="77777777" w:rsidR="00BD5B06" w:rsidRPr="00C82C1E" w:rsidRDefault="00BD5B06" w:rsidP="00633C2D">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27</w:t>
                </w:r>
                <w:r w:rsidRPr="00C82C1E">
                  <w:rPr>
                    <w:sz w:val="24"/>
                    <w:szCs w:val="24"/>
                  </w:rPr>
                  <w:fldChar w:fldCharType="end"/>
                </w:r>
              </w:p>
            </w:tc>
          </w:tr>
        </w:tbl>
        <w:p w14:paraId="60044F72" w14:textId="77777777" w:rsidR="00BD5B06" w:rsidRPr="00867D5E" w:rsidRDefault="00BD5B06" w:rsidP="00633C2D">
          <w:pPr>
            <w:spacing w:before="60"/>
          </w:pPr>
        </w:p>
      </w:tc>
      <w:tc>
        <w:tcPr>
          <w:tcW w:w="1413" w:type="pct"/>
        </w:tcPr>
        <w:p w14:paraId="2068BFB4" w14:textId="77777777" w:rsidR="00BD5B06" w:rsidRPr="00867D5E" w:rsidRDefault="00BD5B06" w:rsidP="00633C2D">
          <w:pPr>
            <w:tabs>
              <w:tab w:val="left" w:pos="1455"/>
            </w:tabs>
          </w:pPr>
        </w:p>
      </w:tc>
      <w:tc>
        <w:tcPr>
          <w:tcW w:w="1084" w:type="pct"/>
        </w:tcPr>
        <w:p w14:paraId="6D8F1675" w14:textId="77777777" w:rsidR="00BD5B06" w:rsidRPr="00C82C1E" w:rsidRDefault="00BD5B06" w:rsidP="00633C2D">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27</w:t>
          </w:r>
          <w:r w:rsidRPr="00C82C1E">
            <w:rPr>
              <w:sz w:val="24"/>
              <w:szCs w:val="24"/>
            </w:rPr>
            <w:fldChar w:fldCharType="end"/>
          </w:r>
        </w:p>
      </w:tc>
    </w:tr>
  </w:tbl>
  <w:p w14:paraId="0EB54EB6" w14:textId="77777777" w:rsidR="00BD5B06" w:rsidRDefault="00BD5B06" w:rsidP="00633C2D">
    <w:pPr>
      <w:tabs>
        <w:tab w:val="left" w:pos="8339"/>
      </w:tabs>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45304498"/>
      <w:docPartObj>
        <w:docPartGallery w:val="Page Numbers (Bottom of Page)"/>
        <w:docPartUnique/>
      </w:docPartObj>
    </w:sdtPr>
    <w:sdtContent>
      <w:p w14:paraId="1E69B142" w14:textId="77777777" w:rsidR="00BD5B06" w:rsidRDefault="00BD5B06">
        <w:pPr>
          <w:jc w:val="center"/>
        </w:pPr>
        <w:r>
          <w:fldChar w:fldCharType="begin"/>
        </w:r>
        <w:r>
          <w:instrText xml:space="preserve"> PAGE   \* MERGEFORMAT </w:instrText>
        </w:r>
        <w:r>
          <w:fldChar w:fldCharType="separate"/>
        </w:r>
        <w:r>
          <w:rPr>
            <w:noProof/>
          </w:rPr>
          <w:t>iv</w:t>
        </w:r>
        <w:r>
          <w:rPr>
            <w:noProof/>
          </w:rPr>
          <w:fldChar w:fldCharType="end"/>
        </w:r>
      </w:p>
    </w:sdtContent>
  </w:sdt>
  <w:p w14:paraId="57C20160" w14:textId="77777777" w:rsidR="00BD5B06" w:rsidRDefault="00BD5B06"/>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354"/>
      <w:gridCol w:w="5281"/>
      <w:gridCol w:w="4051"/>
    </w:tblGrid>
    <w:tr w:rsidR="00BD5B06" w14:paraId="1777A670" w14:textId="77777777" w:rsidTr="002F5314">
      <w:trPr>
        <w:trHeight w:val="709"/>
      </w:trPr>
      <w:tc>
        <w:tcPr>
          <w:tcW w:w="2503" w:type="pct"/>
        </w:tcPr>
        <w:tbl>
          <w:tblPr>
            <w:tblW w:w="5000"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5151"/>
            <w:gridCol w:w="3950"/>
          </w:tblGrid>
          <w:tr w:rsidR="00BD5B06" w14:paraId="3A4610C0" w14:textId="77777777" w:rsidTr="00633C2D">
            <w:trPr>
              <w:trHeight w:val="709"/>
            </w:trPr>
            <w:tc>
              <w:tcPr>
                <w:tcW w:w="2830" w:type="pct"/>
                <w:vAlign w:val="bottom"/>
              </w:tcPr>
              <w:p w14:paraId="66A20DDB" w14:textId="77777777" w:rsidR="00BD5B06" w:rsidRDefault="00BD5B06" w:rsidP="00633C2D">
                <w:pPr>
                  <w:jc w:val="left"/>
                </w:pPr>
              </w:p>
              <w:p w14:paraId="71FA842A" w14:textId="0E40A506" w:rsidR="00BD5B06" w:rsidRPr="002F5314" w:rsidRDefault="00BD5B06" w:rsidP="00633C2D">
                <w:pPr>
                  <w:spacing w:before="60"/>
                  <w:jc w:val="left"/>
                  <w:rPr>
                    <w:rFonts w:ascii="Century Gothic" w:eastAsia="Batang" w:hAnsi="Century Gothic" w:cs="Tahoma"/>
                  </w:rPr>
                </w:pPr>
                <w:r>
                  <w:rPr>
                    <w:rFonts w:ascii="Century Gothic" w:eastAsia="Batang" w:hAnsi="Century Gothic" w:cs="Tahoma"/>
                  </w:rPr>
                  <w:fldChar w:fldCharType="begin"/>
                </w:r>
                <w:r>
                  <w:rPr>
                    <w:rFonts w:ascii="Century Gothic" w:eastAsia="Batang" w:hAnsi="Century Gothic" w:cs="Tahoma"/>
                  </w:rPr>
                  <w:instrText xml:space="preserve"> STYLEREF  Título </w:instrText>
                </w:r>
                <w:r>
                  <w:rPr>
                    <w:rFonts w:ascii="Century Gothic" w:eastAsia="Batang" w:hAnsi="Century Gothic" w:cs="Tahoma"/>
                  </w:rPr>
                  <w:fldChar w:fldCharType="separate"/>
                </w:r>
                <w:r w:rsidR="00E666EC">
                  <w:rPr>
                    <w:rFonts w:ascii="Century Gothic" w:eastAsia="Batang" w:hAnsi="Century Gothic" w:cs="Tahoma"/>
                    <w:noProof/>
                  </w:rPr>
                  <w:t>Introdução</w:t>
                </w:r>
                <w:r>
                  <w:rPr>
                    <w:rFonts w:ascii="Century Gothic" w:eastAsia="Batang" w:hAnsi="Century Gothic" w:cs="Tahoma"/>
                  </w:rPr>
                  <w:fldChar w:fldCharType="end"/>
                </w:r>
              </w:p>
            </w:tc>
            <w:tc>
              <w:tcPr>
                <w:tcW w:w="2170" w:type="pct"/>
              </w:tcPr>
              <w:p w14:paraId="32AD37E5"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13</w:t>
                </w:r>
                <w:r w:rsidRPr="00C82C1E">
                  <w:rPr>
                    <w:sz w:val="24"/>
                    <w:szCs w:val="24"/>
                  </w:rPr>
                  <w:fldChar w:fldCharType="end"/>
                </w:r>
              </w:p>
            </w:tc>
          </w:tr>
        </w:tbl>
        <w:p w14:paraId="2CFD774F" w14:textId="77777777" w:rsidR="00BD5B06" w:rsidRPr="00867D5E" w:rsidRDefault="00BD5B06" w:rsidP="002F5314">
          <w:pPr>
            <w:spacing w:before="60"/>
          </w:pPr>
        </w:p>
      </w:tc>
      <w:tc>
        <w:tcPr>
          <w:tcW w:w="1413" w:type="pct"/>
        </w:tcPr>
        <w:p w14:paraId="12D6D836" w14:textId="77777777" w:rsidR="00BD5B06" w:rsidRPr="00867D5E" w:rsidRDefault="00BD5B06" w:rsidP="002F5314">
          <w:pPr>
            <w:tabs>
              <w:tab w:val="left" w:pos="1455"/>
            </w:tabs>
          </w:pPr>
        </w:p>
      </w:tc>
      <w:tc>
        <w:tcPr>
          <w:tcW w:w="1084" w:type="pct"/>
        </w:tcPr>
        <w:p w14:paraId="5731402B"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noProof/>
              <w:sz w:val="24"/>
              <w:szCs w:val="24"/>
            </w:rPr>
            <w:t>26</w:t>
          </w:r>
          <w:r w:rsidRPr="00C82C1E">
            <w:rPr>
              <w:sz w:val="24"/>
              <w:szCs w:val="24"/>
            </w:rPr>
            <w:fldChar w:fldCharType="end"/>
          </w:r>
        </w:p>
      </w:tc>
    </w:tr>
  </w:tbl>
  <w:p w14:paraId="6438D0FB" w14:textId="77777777" w:rsidR="00BD5B06" w:rsidRDefault="00BD5B06" w:rsidP="002F5314"/>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354"/>
      <w:gridCol w:w="5281"/>
      <w:gridCol w:w="4051"/>
    </w:tblGrid>
    <w:tr w:rsidR="00BD5B06" w14:paraId="16164ADE"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124"/>
            <w:gridCol w:w="5151"/>
            <w:gridCol w:w="3952"/>
          </w:tblGrid>
          <w:tr w:rsidR="00BD5B06" w14:paraId="4EDFA976" w14:textId="77777777" w:rsidTr="00874EF4">
            <w:trPr>
              <w:trHeight w:val="709"/>
            </w:trPr>
            <w:tc>
              <w:tcPr>
                <w:tcW w:w="2503" w:type="pct"/>
              </w:tcPr>
              <w:p w14:paraId="4E09EDE6" w14:textId="77777777" w:rsidR="00BD5B06" w:rsidRDefault="00BD5B06"/>
              <w:tbl>
                <w:tblPr>
                  <w:tblW w:w="5000"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5021"/>
                  <w:gridCol w:w="3850"/>
                </w:tblGrid>
                <w:tr w:rsidR="00BD5B06" w14:paraId="294BBE86" w14:textId="77777777" w:rsidTr="000E282A">
                  <w:trPr>
                    <w:trHeight w:val="709"/>
                  </w:trPr>
                  <w:tc>
                    <w:tcPr>
                      <w:tcW w:w="2830" w:type="pct"/>
                      <w:vAlign w:val="bottom"/>
                    </w:tcPr>
                    <w:p w14:paraId="6DF880DF" w14:textId="7ED4DD76" w:rsidR="00BD5B06" w:rsidRPr="002F5314" w:rsidRDefault="00BD5B06" w:rsidP="000E282A">
                      <w:pPr>
                        <w:spacing w:before="60"/>
                        <w:jc w:val="left"/>
                        <w:rPr>
                          <w:rFonts w:ascii="Century Gothic" w:eastAsia="Batang" w:hAnsi="Century Gothic" w:cs="Tahoma"/>
                        </w:rPr>
                      </w:pPr>
                      <w:r>
                        <w:rPr>
                          <w:rFonts w:ascii="Century Gothic" w:eastAsia="Batang" w:hAnsi="Century Gothic" w:cs="Tahoma"/>
                        </w:rPr>
                        <w:t>Conjuntura Econômica</w:t>
                      </w:r>
                    </w:p>
                  </w:tc>
                  <w:tc>
                    <w:tcPr>
                      <w:tcW w:w="2170" w:type="pct"/>
                    </w:tcPr>
                    <w:p w14:paraId="7174CF90"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59D8F438" w14:textId="77777777" w:rsidR="00BD5B06" w:rsidRPr="00867D5E" w:rsidRDefault="00BD5B06" w:rsidP="002F5314">
                <w:pPr>
                  <w:spacing w:before="60"/>
                </w:pPr>
              </w:p>
            </w:tc>
            <w:tc>
              <w:tcPr>
                <w:tcW w:w="1413" w:type="pct"/>
              </w:tcPr>
              <w:p w14:paraId="731DE481" w14:textId="77777777" w:rsidR="00BD5B06" w:rsidRPr="00867D5E" w:rsidRDefault="00BD5B06" w:rsidP="002F5314">
                <w:pPr>
                  <w:tabs>
                    <w:tab w:val="left" w:pos="1455"/>
                  </w:tabs>
                </w:pPr>
              </w:p>
            </w:tc>
            <w:tc>
              <w:tcPr>
                <w:tcW w:w="1084" w:type="pct"/>
              </w:tcPr>
              <w:p w14:paraId="5CD412BC"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7574F4AC" w14:textId="77777777" w:rsidR="00BD5B06" w:rsidRPr="00867D5E" w:rsidRDefault="00BD5B06" w:rsidP="002F5314">
          <w:pPr>
            <w:tabs>
              <w:tab w:val="left" w:pos="1455"/>
            </w:tabs>
          </w:pPr>
        </w:p>
      </w:tc>
      <w:tc>
        <w:tcPr>
          <w:tcW w:w="1413" w:type="pct"/>
        </w:tcPr>
        <w:p w14:paraId="22DB5E67" w14:textId="77777777" w:rsidR="00BD5B06" w:rsidRPr="00867D5E" w:rsidRDefault="00BD5B06" w:rsidP="002F5314">
          <w:pPr>
            <w:tabs>
              <w:tab w:val="left" w:pos="1455"/>
            </w:tabs>
          </w:pPr>
        </w:p>
      </w:tc>
      <w:tc>
        <w:tcPr>
          <w:tcW w:w="1084" w:type="pct"/>
        </w:tcPr>
        <w:p w14:paraId="54C148E5" w14:textId="77777777" w:rsidR="00BD5B06" w:rsidRPr="00C82C1E" w:rsidRDefault="00BD5B06" w:rsidP="002F5314">
          <w:pPr>
            <w:jc w:val="right"/>
            <w:rPr>
              <w:sz w:val="24"/>
              <w:szCs w:val="24"/>
            </w:rPr>
          </w:pPr>
        </w:p>
      </w:tc>
    </w:tr>
  </w:tbl>
  <w:p w14:paraId="7042D9AC" w14:textId="77777777" w:rsidR="00BD5B06" w:rsidRDefault="00BD5B06" w:rsidP="002F5314"/>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4949"/>
      <w:gridCol w:w="4381"/>
    </w:tblGrid>
    <w:tr w:rsidR="00BD5B06" w:rsidRPr="006D29FB" w14:paraId="63BAB450" w14:textId="77777777" w:rsidTr="00CA3585">
      <w:trPr>
        <w:trHeight w:val="709"/>
      </w:trPr>
      <w:tc>
        <w:tcPr>
          <w:tcW w:w="2652" w:type="pct"/>
        </w:tcPr>
        <w:p w14:paraId="1D94F4A8" w14:textId="77777777" w:rsidR="00BD5B06" w:rsidRPr="006D29FB" w:rsidRDefault="00BD5B06" w:rsidP="00F3771B">
          <w:pPr>
            <w:rPr>
              <w:sz w:val="20"/>
              <w:szCs w:val="20"/>
            </w:rPr>
          </w:pPr>
        </w:p>
        <w:p w14:paraId="767A9D01" w14:textId="5105EC46" w:rsidR="00BD5B06" w:rsidRPr="006D29FB" w:rsidRDefault="00BD5B06" w:rsidP="00867D5E">
          <w:pPr>
            <w:spacing w:before="60"/>
            <w:rPr>
              <w:rFonts w:ascii="Century Gothic" w:eastAsia="Batang" w:hAnsi="Century Gothic" w:cs="Tahoma"/>
              <w:sz w:val="20"/>
              <w:szCs w:val="20"/>
            </w:rPr>
          </w:pPr>
          <w:r w:rsidRPr="006D29FB">
            <w:rPr>
              <w:rFonts w:ascii="Century Gothic" w:eastAsia="Batang" w:hAnsi="Century Gothic" w:cs="Tahoma"/>
              <w:sz w:val="20"/>
              <w:szCs w:val="20"/>
            </w:rPr>
            <w:fldChar w:fldCharType="begin"/>
          </w:r>
          <w:r w:rsidRPr="006D29FB">
            <w:rPr>
              <w:rFonts w:ascii="Century Gothic" w:eastAsia="Batang" w:hAnsi="Century Gothic" w:cs="Tahoma"/>
              <w:sz w:val="20"/>
              <w:szCs w:val="20"/>
            </w:rPr>
            <w:instrText xml:space="preserve"> STYLEREF  "Título 1" </w:instrText>
          </w:r>
          <w:r w:rsidRPr="006D29FB">
            <w:rPr>
              <w:rFonts w:ascii="Century Gothic" w:eastAsia="Batang" w:hAnsi="Century Gothic" w:cs="Tahoma"/>
              <w:sz w:val="20"/>
              <w:szCs w:val="20"/>
            </w:rPr>
            <w:fldChar w:fldCharType="separate"/>
          </w:r>
          <w:r w:rsidR="00E666EC">
            <w:rPr>
              <w:rFonts w:ascii="Century Gothic" w:eastAsia="Batang" w:hAnsi="Century Gothic" w:cs="Tahoma"/>
              <w:noProof/>
              <w:sz w:val="20"/>
              <w:szCs w:val="20"/>
            </w:rPr>
            <w:t>Conjuntura Econômica</w:t>
          </w:r>
          <w:r w:rsidRPr="006D29FB">
            <w:rPr>
              <w:rFonts w:ascii="Century Gothic" w:eastAsia="Batang" w:hAnsi="Century Gothic" w:cs="Tahoma"/>
              <w:sz w:val="20"/>
              <w:szCs w:val="20"/>
            </w:rPr>
            <w:fldChar w:fldCharType="end"/>
          </w:r>
        </w:p>
        <w:p w14:paraId="58E6369C" w14:textId="7CDC3306" w:rsidR="00BD5B06" w:rsidRPr="006D29FB" w:rsidRDefault="00BD5B06" w:rsidP="00867D5E">
          <w:pPr>
            <w:tabs>
              <w:tab w:val="left" w:pos="1455"/>
            </w:tabs>
            <w:rPr>
              <w:sz w:val="20"/>
              <w:szCs w:val="20"/>
            </w:rPr>
          </w:pPr>
          <w:r w:rsidRPr="006D29FB">
            <w:rPr>
              <w:rFonts w:ascii="Century Gothic" w:eastAsia="Batang" w:hAnsi="Century Gothic" w:cs="Tahoma"/>
              <w:sz w:val="20"/>
              <w:szCs w:val="20"/>
            </w:rPr>
            <w:fldChar w:fldCharType="begin"/>
          </w:r>
          <w:r w:rsidRPr="006D29FB">
            <w:rPr>
              <w:rFonts w:ascii="Century Gothic" w:eastAsia="Batang" w:hAnsi="Century Gothic" w:cs="Tahoma"/>
              <w:sz w:val="20"/>
              <w:szCs w:val="20"/>
            </w:rPr>
            <w:instrText xml:space="preserve"> STYLEREF "Título 2" </w:instrText>
          </w:r>
          <w:r w:rsidRPr="006D29FB">
            <w:rPr>
              <w:rFonts w:ascii="Century Gothic" w:eastAsia="Batang" w:hAnsi="Century Gothic" w:cs="Tahoma"/>
              <w:sz w:val="20"/>
              <w:szCs w:val="20"/>
            </w:rPr>
            <w:fldChar w:fldCharType="separate"/>
          </w:r>
          <w:r w:rsidR="00E666EC">
            <w:rPr>
              <w:rFonts w:ascii="Century Gothic" w:eastAsia="Batang" w:hAnsi="Century Gothic" w:cs="Tahoma"/>
              <w:noProof/>
              <w:sz w:val="20"/>
              <w:szCs w:val="20"/>
            </w:rPr>
            <w:t>Comércio Exterior Goiano</w:t>
          </w:r>
          <w:r w:rsidRPr="006D29FB">
            <w:rPr>
              <w:rFonts w:ascii="Century Gothic" w:eastAsia="Batang" w:hAnsi="Century Gothic" w:cs="Tahoma"/>
              <w:sz w:val="20"/>
              <w:szCs w:val="20"/>
            </w:rPr>
            <w:fldChar w:fldCharType="end"/>
          </w:r>
        </w:p>
      </w:tc>
      <w:tc>
        <w:tcPr>
          <w:tcW w:w="2348" w:type="pct"/>
        </w:tcPr>
        <w:p w14:paraId="12C9D345" w14:textId="77777777" w:rsidR="00BD5B06" w:rsidRPr="006D29FB" w:rsidRDefault="00BD5B06" w:rsidP="00F3771B">
          <w:pPr>
            <w:jc w:val="right"/>
            <w:rPr>
              <w:sz w:val="24"/>
              <w:szCs w:val="24"/>
            </w:rPr>
          </w:pPr>
          <w:r w:rsidRPr="006D29FB">
            <w:rPr>
              <w:sz w:val="20"/>
              <w:szCs w:val="20"/>
            </w:rPr>
            <w:br/>
          </w:r>
          <w:r w:rsidRPr="006D29FB">
            <w:rPr>
              <w:sz w:val="24"/>
              <w:szCs w:val="24"/>
            </w:rPr>
            <w:fldChar w:fldCharType="begin"/>
          </w:r>
          <w:r w:rsidRPr="006D29FB">
            <w:rPr>
              <w:sz w:val="24"/>
              <w:szCs w:val="24"/>
            </w:rPr>
            <w:instrText xml:space="preserve"> PAGE   \* MERGEFORMAT </w:instrText>
          </w:r>
          <w:r w:rsidRPr="006D29FB">
            <w:rPr>
              <w:sz w:val="24"/>
              <w:szCs w:val="24"/>
            </w:rPr>
            <w:fldChar w:fldCharType="separate"/>
          </w:r>
          <w:r w:rsidRPr="006D29FB">
            <w:rPr>
              <w:noProof/>
              <w:sz w:val="24"/>
              <w:szCs w:val="24"/>
            </w:rPr>
            <w:t>26</w:t>
          </w:r>
          <w:r w:rsidRPr="006D29FB">
            <w:rPr>
              <w:sz w:val="24"/>
              <w:szCs w:val="24"/>
            </w:rPr>
            <w:fldChar w:fldCharType="end"/>
          </w:r>
        </w:p>
      </w:tc>
    </w:tr>
  </w:tbl>
  <w:p w14:paraId="0CA44E63" w14:textId="77777777" w:rsidR="00BD5B06" w:rsidRPr="006D29FB" w:rsidRDefault="00BD5B06" w:rsidP="00224096">
    <w:pPr>
      <w:rPr>
        <w:sz w:val="20"/>
        <w:szCs w:val="20"/>
      </w:rPr>
    </w:pPr>
  </w:p>
  <w:p w14:paraId="165FDFF8" w14:textId="77777777" w:rsidR="00BD5B06" w:rsidRPr="006D29FB" w:rsidRDefault="00BD5B06">
    <w:pPr>
      <w:rPr>
        <w:sz w:val="20"/>
        <w:szCs w:val="20"/>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5281"/>
      <w:gridCol w:w="4049"/>
    </w:tblGrid>
    <w:tr w:rsidR="00BD5B06" w:rsidRPr="00E10D93" w14:paraId="06CEA0F8" w14:textId="77777777" w:rsidTr="00BC264B">
      <w:trPr>
        <w:trHeight w:val="709"/>
      </w:trPr>
      <w:tc>
        <w:tcPr>
          <w:tcW w:w="2830" w:type="pct"/>
        </w:tcPr>
        <w:p w14:paraId="1D4D4ED5" w14:textId="77777777" w:rsidR="00BD5B06" w:rsidRPr="00E10D93" w:rsidRDefault="00BD5B06" w:rsidP="00F3771B">
          <w:pPr>
            <w:rPr>
              <w:sz w:val="20"/>
              <w:szCs w:val="20"/>
            </w:rPr>
          </w:pPr>
        </w:p>
        <w:p w14:paraId="39D6123A" w14:textId="77777777" w:rsidR="00BD5B06" w:rsidRPr="00E10D93" w:rsidRDefault="00BD5B06" w:rsidP="00C94FBC">
          <w:pPr>
            <w:spacing w:before="60"/>
            <w:rPr>
              <w:rFonts w:ascii="Century Gothic" w:eastAsia="Batang" w:hAnsi="Century Gothic" w:cs="Tahoma"/>
              <w:sz w:val="20"/>
              <w:szCs w:val="20"/>
            </w:rPr>
          </w:pPr>
          <w:r w:rsidRPr="00E10D93">
            <w:rPr>
              <w:rFonts w:ascii="Century Gothic" w:eastAsia="Batang" w:hAnsi="Century Gothic" w:cs="Tahoma"/>
              <w:sz w:val="20"/>
              <w:szCs w:val="20"/>
            </w:rPr>
            <w:t>Ação Setorial do Governo</w:t>
          </w:r>
        </w:p>
      </w:tc>
      <w:tc>
        <w:tcPr>
          <w:tcW w:w="2170" w:type="pct"/>
        </w:tcPr>
        <w:p w14:paraId="64861488" w14:textId="77777777" w:rsidR="00BD5B06" w:rsidRPr="00E10D93" w:rsidRDefault="00BD5B06" w:rsidP="00F3771B">
          <w:pPr>
            <w:jc w:val="right"/>
            <w:rPr>
              <w:sz w:val="20"/>
              <w:szCs w:val="20"/>
            </w:rPr>
          </w:pPr>
          <w:r w:rsidRPr="00E10D93">
            <w:rPr>
              <w:sz w:val="20"/>
              <w:szCs w:val="20"/>
            </w:rPr>
            <w:br/>
          </w:r>
          <w:r w:rsidRPr="00E10D93">
            <w:rPr>
              <w:sz w:val="20"/>
              <w:szCs w:val="20"/>
            </w:rPr>
            <w:fldChar w:fldCharType="begin"/>
          </w:r>
          <w:r w:rsidRPr="00E10D93">
            <w:rPr>
              <w:sz w:val="20"/>
              <w:szCs w:val="20"/>
            </w:rPr>
            <w:instrText xml:space="preserve"> PAGE   \* MERGEFORMAT </w:instrText>
          </w:r>
          <w:r w:rsidRPr="00E10D93">
            <w:rPr>
              <w:sz w:val="20"/>
              <w:szCs w:val="20"/>
            </w:rPr>
            <w:fldChar w:fldCharType="separate"/>
          </w:r>
          <w:r w:rsidRPr="00E10D93">
            <w:rPr>
              <w:noProof/>
              <w:sz w:val="20"/>
              <w:szCs w:val="20"/>
            </w:rPr>
            <w:t>26</w:t>
          </w:r>
          <w:r w:rsidRPr="00E10D93">
            <w:rPr>
              <w:sz w:val="20"/>
              <w:szCs w:val="20"/>
            </w:rPr>
            <w:fldChar w:fldCharType="end"/>
          </w:r>
        </w:p>
      </w:tc>
    </w:tr>
  </w:tbl>
  <w:p w14:paraId="4001EB5D" w14:textId="77777777" w:rsidR="00BD5B06" w:rsidRPr="00E10D93" w:rsidRDefault="00BD5B06" w:rsidP="00224096">
    <w:pPr>
      <w:rPr>
        <w:sz w:val="20"/>
        <w:szCs w:val="20"/>
      </w:rPr>
    </w:pPr>
  </w:p>
  <w:p w14:paraId="24AF1B24" w14:textId="77777777" w:rsidR="00BD5B06" w:rsidRPr="00E10D93" w:rsidRDefault="00BD5B06">
    <w:pPr>
      <w:rPr>
        <w:sz w:val="20"/>
        <w:szCs w:val="20"/>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27D5D7" w14:textId="77777777" w:rsidR="00BD5B06" w:rsidRDefault="00BD5B06"/>
  <w:tbl>
    <w:tblPr>
      <w:tblW w:w="5000"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5671"/>
      <w:gridCol w:w="3659"/>
    </w:tblGrid>
    <w:tr w:rsidR="00BD5B06" w:rsidRPr="00E10D93" w14:paraId="21DA8222" w14:textId="77777777" w:rsidTr="00A25282">
      <w:trPr>
        <w:trHeight w:val="649"/>
      </w:trPr>
      <w:tc>
        <w:tcPr>
          <w:tcW w:w="3039" w:type="pct"/>
        </w:tcPr>
        <w:p w14:paraId="4B06BF8F" w14:textId="77777777" w:rsidR="00BD5B06" w:rsidRPr="00E10D93" w:rsidRDefault="00BD5B06" w:rsidP="00C94FBC">
          <w:pPr>
            <w:spacing w:before="60"/>
            <w:rPr>
              <w:rFonts w:ascii="Century Gothic" w:eastAsia="Batang" w:hAnsi="Century Gothic" w:cs="Tahoma"/>
              <w:sz w:val="20"/>
              <w:szCs w:val="20"/>
            </w:rPr>
          </w:pPr>
          <w:r w:rsidRPr="00E10D93">
            <w:rPr>
              <w:rFonts w:ascii="Century Gothic" w:eastAsia="Batang" w:hAnsi="Century Gothic" w:cs="Tahoma"/>
              <w:sz w:val="20"/>
              <w:szCs w:val="20"/>
            </w:rPr>
            <w:t>Ação Setorial do Governo</w:t>
          </w:r>
        </w:p>
        <w:p w14:paraId="241D944B" w14:textId="5E4CACD5" w:rsidR="00BD5B06" w:rsidRPr="00E10D93" w:rsidRDefault="00BD5B06" w:rsidP="00C94FBC">
          <w:pPr>
            <w:spacing w:before="60"/>
            <w:rPr>
              <w:rFonts w:ascii="Century Gothic" w:eastAsia="Batang" w:hAnsi="Century Gothic" w:cs="Tahoma"/>
              <w:sz w:val="20"/>
              <w:szCs w:val="20"/>
            </w:rPr>
          </w:pPr>
          <w:r w:rsidRPr="00E10D93">
            <w:rPr>
              <w:rFonts w:ascii="Century Gothic" w:eastAsia="Batang" w:hAnsi="Century Gothic" w:cs="Tahoma"/>
              <w:sz w:val="20"/>
              <w:szCs w:val="20"/>
            </w:rPr>
            <w:fldChar w:fldCharType="begin"/>
          </w:r>
          <w:r w:rsidRPr="00E10D93">
            <w:rPr>
              <w:rFonts w:ascii="Century Gothic" w:eastAsia="Batang" w:hAnsi="Century Gothic" w:cs="Tahoma"/>
              <w:sz w:val="20"/>
              <w:szCs w:val="20"/>
            </w:rPr>
            <w:instrText xml:space="preserve"> STYLEREF "Título 2" </w:instrText>
          </w:r>
          <w:r w:rsidRPr="00E10D93">
            <w:rPr>
              <w:rFonts w:ascii="Century Gothic" w:eastAsia="Batang" w:hAnsi="Century Gothic" w:cs="Tahoma"/>
              <w:sz w:val="20"/>
              <w:szCs w:val="20"/>
            </w:rPr>
            <w:fldChar w:fldCharType="separate"/>
          </w:r>
          <w:r w:rsidR="00E666EC">
            <w:rPr>
              <w:rFonts w:ascii="Century Gothic" w:eastAsia="Batang" w:hAnsi="Century Gothic" w:cs="Tahoma"/>
              <w:noProof/>
              <w:sz w:val="20"/>
              <w:szCs w:val="20"/>
            </w:rPr>
            <w:t>Programas Governamentais</w:t>
          </w:r>
          <w:r w:rsidRPr="00E10D93">
            <w:rPr>
              <w:rFonts w:ascii="Century Gothic" w:eastAsia="Batang" w:hAnsi="Century Gothic" w:cs="Tahoma"/>
              <w:sz w:val="20"/>
              <w:szCs w:val="20"/>
            </w:rPr>
            <w:fldChar w:fldCharType="end"/>
          </w:r>
        </w:p>
      </w:tc>
      <w:tc>
        <w:tcPr>
          <w:tcW w:w="1961" w:type="pct"/>
        </w:tcPr>
        <w:p w14:paraId="1DCECEA6" w14:textId="77777777" w:rsidR="00BD5B06" w:rsidRPr="006D29FB" w:rsidRDefault="00BD5B06" w:rsidP="00F3771B">
          <w:pPr>
            <w:jc w:val="right"/>
            <w:rPr>
              <w:sz w:val="24"/>
              <w:szCs w:val="24"/>
            </w:rPr>
          </w:pPr>
          <w:r w:rsidRPr="00E10D93">
            <w:rPr>
              <w:sz w:val="20"/>
              <w:szCs w:val="20"/>
            </w:rPr>
            <w:br/>
          </w:r>
          <w:r w:rsidRPr="006D29FB">
            <w:rPr>
              <w:sz w:val="24"/>
              <w:szCs w:val="24"/>
            </w:rPr>
            <w:fldChar w:fldCharType="begin"/>
          </w:r>
          <w:r w:rsidRPr="006D29FB">
            <w:rPr>
              <w:sz w:val="24"/>
              <w:szCs w:val="24"/>
            </w:rPr>
            <w:instrText xml:space="preserve"> PAGE   \* MERGEFORMAT </w:instrText>
          </w:r>
          <w:r w:rsidRPr="006D29FB">
            <w:rPr>
              <w:sz w:val="24"/>
              <w:szCs w:val="24"/>
            </w:rPr>
            <w:fldChar w:fldCharType="separate"/>
          </w:r>
          <w:r w:rsidRPr="006D29FB">
            <w:rPr>
              <w:noProof/>
              <w:sz w:val="24"/>
              <w:szCs w:val="24"/>
            </w:rPr>
            <w:t>26</w:t>
          </w:r>
          <w:r w:rsidRPr="006D29FB">
            <w:rPr>
              <w:sz w:val="24"/>
              <w:szCs w:val="24"/>
            </w:rPr>
            <w:fldChar w:fldCharType="end"/>
          </w:r>
        </w:p>
      </w:tc>
    </w:tr>
  </w:tbl>
  <w:p w14:paraId="7E06B15E" w14:textId="77777777" w:rsidR="00BD5B06" w:rsidRPr="00E10D93" w:rsidRDefault="00BD5B06" w:rsidP="00A25282">
    <w:pPr>
      <w:rPr>
        <w:sz w:val="20"/>
        <w:szCs w:val="20"/>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354"/>
      <w:gridCol w:w="5281"/>
      <w:gridCol w:w="4051"/>
    </w:tblGrid>
    <w:tr w:rsidR="00BD5B06" w14:paraId="63AE33A5"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124"/>
            <w:gridCol w:w="5151"/>
            <w:gridCol w:w="3952"/>
          </w:tblGrid>
          <w:tr w:rsidR="00BD5B06" w14:paraId="26857024" w14:textId="77777777" w:rsidTr="00874EF4">
            <w:trPr>
              <w:trHeight w:val="709"/>
            </w:trPr>
            <w:tc>
              <w:tcPr>
                <w:tcW w:w="2503" w:type="pct"/>
              </w:tcPr>
              <w:tbl>
                <w:tblPr>
                  <w:tblW w:w="5000"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5021"/>
                  <w:gridCol w:w="3850"/>
                </w:tblGrid>
                <w:tr w:rsidR="00BD5B06" w14:paraId="70C80584" w14:textId="77777777" w:rsidTr="00FA2C07">
                  <w:trPr>
                    <w:trHeight w:val="709"/>
                  </w:trPr>
                  <w:tc>
                    <w:tcPr>
                      <w:tcW w:w="2830" w:type="pct"/>
                      <w:vAlign w:val="bottom"/>
                    </w:tcPr>
                    <w:p w14:paraId="5080ABC0" w14:textId="6F6360E5" w:rsidR="00BD5B06" w:rsidRPr="002F5314" w:rsidRDefault="00BD5B06" w:rsidP="00FA2C07">
                      <w:pPr>
                        <w:spacing w:before="60"/>
                        <w:jc w:val="left"/>
                        <w:rPr>
                          <w:rFonts w:ascii="Century Gothic" w:eastAsia="Batang" w:hAnsi="Century Gothic" w:cs="Tahoma"/>
                        </w:rPr>
                      </w:pPr>
                      <w:r>
                        <w:rPr>
                          <w:rFonts w:ascii="Century Gothic" w:eastAsia="Batang" w:hAnsi="Century Gothic" w:cs="Tahoma"/>
                        </w:rPr>
                        <w:fldChar w:fldCharType="begin"/>
                      </w:r>
                      <w:r>
                        <w:rPr>
                          <w:rFonts w:ascii="Century Gothic" w:eastAsia="Batang" w:hAnsi="Century Gothic" w:cs="Tahoma"/>
                        </w:rPr>
                        <w:instrText xml:space="preserve"> STYLEREF  Título </w:instrText>
                      </w:r>
                      <w:r>
                        <w:rPr>
                          <w:rFonts w:ascii="Century Gothic" w:eastAsia="Batang" w:hAnsi="Century Gothic" w:cs="Tahoma"/>
                        </w:rPr>
                        <w:fldChar w:fldCharType="end"/>
                      </w:r>
                      <w:r w:rsidRPr="002F5314">
                        <w:rPr>
                          <w:rFonts w:ascii="Century Gothic" w:eastAsia="Batang" w:hAnsi="Century Gothic" w:cs="Tahoma"/>
                        </w:rPr>
                        <w:t xml:space="preserve"> </w:t>
                      </w:r>
                      <w:r>
                        <w:rPr>
                          <w:rFonts w:ascii="Century Gothic" w:eastAsia="Batang" w:hAnsi="Century Gothic" w:cs="Tahoma"/>
                        </w:rPr>
                        <w:t>Gestão Orçamentária e Financeira</w:t>
                      </w:r>
                    </w:p>
                  </w:tc>
                  <w:tc>
                    <w:tcPr>
                      <w:tcW w:w="2170" w:type="pct"/>
                    </w:tcPr>
                    <w:p w14:paraId="7349C99A"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44887A6F" w14:textId="77777777" w:rsidR="00BD5B06" w:rsidRPr="00867D5E" w:rsidRDefault="00BD5B06" w:rsidP="002F5314">
                <w:pPr>
                  <w:spacing w:before="60"/>
                </w:pPr>
              </w:p>
            </w:tc>
            <w:tc>
              <w:tcPr>
                <w:tcW w:w="1413" w:type="pct"/>
              </w:tcPr>
              <w:p w14:paraId="42CDDA4D" w14:textId="77777777" w:rsidR="00BD5B06" w:rsidRPr="00867D5E" w:rsidRDefault="00BD5B06" w:rsidP="002F5314">
                <w:pPr>
                  <w:tabs>
                    <w:tab w:val="left" w:pos="1455"/>
                  </w:tabs>
                </w:pPr>
              </w:p>
            </w:tc>
            <w:tc>
              <w:tcPr>
                <w:tcW w:w="1084" w:type="pct"/>
              </w:tcPr>
              <w:p w14:paraId="6E3C9DFA"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682BD357" w14:textId="77777777" w:rsidR="00BD5B06" w:rsidRPr="00867D5E" w:rsidRDefault="00BD5B06" w:rsidP="002F5314">
          <w:pPr>
            <w:tabs>
              <w:tab w:val="left" w:pos="1455"/>
            </w:tabs>
          </w:pPr>
        </w:p>
      </w:tc>
      <w:tc>
        <w:tcPr>
          <w:tcW w:w="1413" w:type="pct"/>
        </w:tcPr>
        <w:p w14:paraId="7457AEA2" w14:textId="77777777" w:rsidR="00BD5B06" w:rsidRPr="00867D5E" w:rsidRDefault="00BD5B06" w:rsidP="002F5314">
          <w:pPr>
            <w:tabs>
              <w:tab w:val="left" w:pos="1455"/>
            </w:tabs>
          </w:pPr>
        </w:p>
      </w:tc>
      <w:tc>
        <w:tcPr>
          <w:tcW w:w="1084" w:type="pct"/>
        </w:tcPr>
        <w:p w14:paraId="62D36A9F" w14:textId="77777777" w:rsidR="00BD5B06" w:rsidRPr="00C82C1E" w:rsidRDefault="00BD5B06" w:rsidP="002F5314">
          <w:pPr>
            <w:jc w:val="right"/>
            <w:rPr>
              <w:sz w:val="24"/>
              <w:szCs w:val="24"/>
            </w:rPr>
          </w:pPr>
        </w:p>
      </w:tc>
    </w:tr>
  </w:tbl>
  <w:p w14:paraId="2D0031A3" w14:textId="77777777" w:rsidR="00BD5B06" w:rsidRDefault="00BD5B06" w:rsidP="002F5314"/>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6725"/>
      <w:gridCol w:w="2631"/>
    </w:tblGrid>
    <w:tr w:rsidR="00BD5B06" w:rsidRPr="00E10D93" w14:paraId="1AD1B54B" w14:textId="77777777" w:rsidTr="001A5A55">
      <w:trPr>
        <w:trHeight w:val="709"/>
      </w:trPr>
      <w:tc>
        <w:tcPr>
          <w:tcW w:w="3594" w:type="pct"/>
        </w:tcPr>
        <w:p w14:paraId="03CB6490" w14:textId="77777777" w:rsidR="00BD5B06" w:rsidRPr="00E10D93" w:rsidRDefault="00BD5B06" w:rsidP="00F3771B">
          <w:pPr>
            <w:rPr>
              <w:sz w:val="20"/>
              <w:szCs w:val="20"/>
            </w:rPr>
          </w:pPr>
        </w:p>
        <w:p w14:paraId="2CDD8F80" w14:textId="50D32B4C" w:rsidR="00BD5B06" w:rsidRPr="00E10D93" w:rsidRDefault="00BD5B06" w:rsidP="00867D5E">
          <w:pPr>
            <w:spacing w:before="60"/>
            <w:rPr>
              <w:rFonts w:ascii="Century Gothic" w:eastAsia="Batang" w:hAnsi="Century Gothic" w:cs="Tahoma"/>
              <w:sz w:val="20"/>
              <w:szCs w:val="20"/>
            </w:rPr>
          </w:pPr>
          <w:r w:rsidRPr="00E10D93">
            <w:rPr>
              <w:rFonts w:ascii="Century Gothic" w:eastAsia="Batang" w:hAnsi="Century Gothic" w:cs="Tahoma"/>
              <w:sz w:val="20"/>
              <w:szCs w:val="20"/>
            </w:rPr>
            <w:fldChar w:fldCharType="begin"/>
          </w:r>
          <w:r w:rsidRPr="00E10D93">
            <w:rPr>
              <w:rFonts w:ascii="Century Gothic" w:eastAsia="Batang" w:hAnsi="Century Gothic" w:cs="Tahoma"/>
              <w:sz w:val="20"/>
              <w:szCs w:val="20"/>
            </w:rPr>
            <w:instrText xml:space="preserve"> STYLEREF "Título 1" </w:instrText>
          </w:r>
          <w:r w:rsidRPr="00E10D93">
            <w:rPr>
              <w:rFonts w:ascii="Century Gothic" w:eastAsia="Batang" w:hAnsi="Century Gothic" w:cs="Tahoma"/>
              <w:sz w:val="20"/>
              <w:szCs w:val="20"/>
            </w:rPr>
            <w:fldChar w:fldCharType="separate"/>
          </w:r>
          <w:r w:rsidR="00E666EC">
            <w:rPr>
              <w:rFonts w:ascii="Century Gothic" w:eastAsia="Batang" w:hAnsi="Century Gothic" w:cs="Tahoma"/>
              <w:noProof/>
              <w:sz w:val="20"/>
              <w:szCs w:val="20"/>
            </w:rPr>
            <w:t>Gestão Orçamentária e Financeira</w:t>
          </w:r>
          <w:r w:rsidRPr="00E10D93">
            <w:rPr>
              <w:rFonts w:ascii="Century Gothic" w:eastAsia="Batang" w:hAnsi="Century Gothic" w:cs="Tahoma"/>
              <w:sz w:val="20"/>
              <w:szCs w:val="20"/>
            </w:rPr>
            <w:fldChar w:fldCharType="end"/>
          </w:r>
        </w:p>
        <w:p w14:paraId="4AD6FB44" w14:textId="7F3AE5CA" w:rsidR="00BD5B06" w:rsidRPr="00E10D93" w:rsidRDefault="00BD5B06" w:rsidP="00867D5E">
          <w:pPr>
            <w:tabs>
              <w:tab w:val="left" w:pos="1455"/>
            </w:tabs>
            <w:rPr>
              <w:sz w:val="20"/>
              <w:szCs w:val="20"/>
            </w:rPr>
          </w:pPr>
          <w:r w:rsidRPr="00E10D93">
            <w:rPr>
              <w:rFonts w:ascii="Century Gothic" w:eastAsia="Batang" w:hAnsi="Century Gothic" w:cs="Tahoma"/>
              <w:sz w:val="20"/>
              <w:szCs w:val="20"/>
            </w:rPr>
            <w:fldChar w:fldCharType="begin"/>
          </w:r>
          <w:r w:rsidRPr="00E10D93">
            <w:rPr>
              <w:rFonts w:ascii="Century Gothic" w:eastAsia="Batang" w:hAnsi="Century Gothic" w:cs="Tahoma"/>
              <w:sz w:val="20"/>
              <w:szCs w:val="20"/>
            </w:rPr>
            <w:instrText xml:space="preserve"> STYLEREF "Título 2" </w:instrText>
          </w:r>
          <w:r w:rsidRPr="00E10D93">
            <w:rPr>
              <w:rFonts w:ascii="Century Gothic" w:eastAsia="Batang" w:hAnsi="Century Gothic" w:cs="Tahoma"/>
              <w:sz w:val="20"/>
              <w:szCs w:val="20"/>
            </w:rPr>
            <w:fldChar w:fldCharType="separate"/>
          </w:r>
          <w:r w:rsidR="00E666EC">
            <w:rPr>
              <w:rFonts w:ascii="Century Gothic" w:eastAsia="Batang" w:hAnsi="Century Gothic" w:cs="Tahoma"/>
              <w:noProof/>
              <w:sz w:val="20"/>
              <w:szCs w:val="20"/>
            </w:rPr>
            <w:t>Alterações Orçamentárias</w:t>
          </w:r>
          <w:r w:rsidRPr="00E10D93">
            <w:rPr>
              <w:rFonts w:ascii="Century Gothic" w:eastAsia="Batang" w:hAnsi="Century Gothic" w:cs="Tahoma"/>
              <w:sz w:val="20"/>
              <w:szCs w:val="20"/>
            </w:rPr>
            <w:fldChar w:fldCharType="end"/>
          </w:r>
        </w:p>
      </w:tc>
      <w:tc>
        <w:tcPr>
          <w:tcW w:w="1406" w:type="pct"/>
        </w:tcPr>
        <w:p w14:paraId="34722A68" w14:textId="77777777" w:rsidR="00BD5B06" w:rsidRPr="00F8524E" w:rsidRDefault="00BD5B06" w:rsidP="00F3771B">
          <w:pPr>
            <w:jc w:val="right"/>
            <w:rPr>
              <w:sz w:val="24"/>
              <w:szCs w:val="24"/>
            </w:rPr>
          </w:pPr>
          <w:r w:rsidRPr="00E10D93">
            <w:rPr>
              <w:sz w:val="20"/>
              <w:szCs w:val="20"/>
            </w:rPr>
            <w:br/>
          </w:r>
          <w:r w:rsidRPr="00F8524E">
            <w:rPr>
              <w:sz w:val="24"/>
              <w:szCs w:val="24"/>
            </w:rPr>
            <w:fldChar w:fldCharType="begin"/>
          </w:r>
          <w:r w:rsidRPr="00F8524E">
            <w:rPr>
              <w:sz w:val="24"/>
              <w:szCs w:val="24"/>
            </w:rPr>
            <w:instrText xml:space="preserve"> PAGE   \* MERGEFORMAT </w:instrText>
          </w:r>
          <w:r w:rsidRPr="00F8524E">
            <w:rPr>
              <w:sz w:val="24"/>
              <w:szCs w:val="24"/>
            </w:rPr>
            <w:fldChar w:fldCharType="separate"/>
          </w:r>
          <w:r w:rsidRPr="00F8524E">
            <w:rPr>
              <w:noProof/>
              <w:sz w:val="24"/>
              <w:szCs w:val="24"/>
            </w:rPr>
            <w:t>26</w:t>
          </w:r>
          <w:r w:rsidRPr="00F8524E">
            <w:rPr>
              <w:sz w:val="24"/>
              <w:szCs w:val="24"/>
            </w:rPr>
            <w:fldChar w:fldCharType="end"/>
          </w:r>
        </w:p>
      </w:tc>
    </w:tr>
  </w:tbl>
  <w:p w14:paraId="7A24CC18" w14:textId="77777777" w:rsidR="00BD5B06" w:rsidRPr="00E10D93" w:rsidRDefault="00BD5B06" w:rsidP="00224096">
    <w:pPr>
      <w:rPr>
        <w:sz w:val="20"/>
        <w:szCs w:val="20"/>
      </w:rPr>
    </w:pPr>
  </w:p>
  <w:p w14:paraId="70B6AA5B" w14:textId="77777777" w:rsidR="00BD5B06" w:rsidRPr="00E10D93" w:rsidRDefault="00BD5B06">
    <w:pPr>
      <w:rPr>
        <w:sz w:val="20"/>
        <w:szCs w:val="20"/>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10222"/>
      <w:gridCol w:w="4847"/>
      <w:gridCol w:w="3617"/>
    </w:tblGrid>
    <w:tr w:rsidR="00BD5B06" w14:paraId="68E5A239"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995"/>
            <w:gridCol w:w="5642"/>
            <w:gridCol w:w="4329"/>
          </w:tblGrid>
          <w:tr w:rsidR="00BD5B06" w14:paraId="38EC0374" w14:textId="77777777" w:rsidTr="00874EF4">
            <w:trPr>
              <w:trHeight w:val="709"/>
            </w:trPr>
            <w:tc>
              <w:tcPr>
                <w:tcW w:w="2503" w:type="pct"/>
              </w:tcPr>
              <w:tbl>
                <w:tblPr>
                  <w:tblW w:w="911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5021"/>
                  <w:gridCol w:w="4095"/>
                </w:tblGrid>
                <w:tr w:rsidR="00BD5B06" w14:paraId="2A1162A4" w14:textId="77777777" w:rsidTr="005B71F1">
                  <w:trPr>
                    <w:trHeight w:val="709"/>
                  </w:trPr>
                  <w:tc>
                    <w:tcPr>
                      <w:tcW w:w="2754" w:type="pct"/>
                      <w:vAlign w:val="bottom"/>
                    </w:tcPr>
                    <w:p w14:paraId="142C4368" w14:textId="3E6943AC" w:rsidR="00BD5B06" w:rsidRPr="002F5314" w:rsidRDefault="00BD5B06" w:rsidP="00FA2C07">
                      <w:pPr>
                        <w:spacing w:before="60"/>
                        <w:jc w:val="left"/>
                        <w:rPr>
                          <w:rFonts w:ascii="Century Gothic" w:eastAsia="Batang" w:hAnsi="Century Gothic" w:cs="Tahoma"/>
                        </w:rPr>
                      </w:pPr>
                      <w:r>
                        <w:rPr>
                          <w:rFonts w:ascii="Century Gothic" w:eastAsia="Batang" w:hAnsi="Century Gothic" w:cs="Tahoma"/>
                        </w:rPr>
                        <w:fldChar w:fldCharType="begin"/>
                      </w:r>
                      <w:r>
                        <w:rPr>
                          <w:rFonts w:ascii="Century Gothic" w:eastAsia="Batang" w:hAnsi="Century Gothic" w:cs="Tahoma"/>
                        </w:rPr>
                        <w:instrText xml:space="preserve"> STYLEREF  Título </w:instrText>
                      </w:r>
                      <w:r>
                        <w:rPr>
                          <w:rFonts w:ascii="Century Gothic" w:eastAsia="Batang" w:hAnsi="Century Gothic" w:cs="Tahoma"/>
                        </w:rPr>
                        <w:fldChar w:fldCharType="end"/>
                      </w:r>
                      <w:r w:rsidRPr="002F5314">
                        <w:rPr>
                          <w:rFonts w:ascii="Century Gothic" w:eastAsia="Batang" w:hAnsi="Century Gothic" w:cs="Tahoma"/>
                        </w:rPr>
                        <w:t xml:space="preserve"> </w:t>
                      </w:r>
                      <w:r>
                        <w:rPr>
                          <w:rFonts w:ascii="Century Gothic" w:eastAsia="Batang" w:hAnsi="Century Gothic" w:cs="Tahoma"/>
                        </w:rPr>
                        <w:t>Gestão Fiscal</w:t>
                      </w:r>
                    </w:p>
                  </w:tc>
                  <w:tc>
                    <w:tcPr>
                      <w:tcW w:w="2246" w:type="pct"/>
                    </w:tcPr>
                    <w:p w14:paraId="0122AB47"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7801E89F" w14:textId="77777777" w:rsidR="00BD5B06" w:rsidRPr="00867D5E" w:rsidRDefault="00BD5B06" w:rsidP="002F5314">
                <w:pPr>
                  <w:spacing w:before="60"/>
                </w:pPr>
              </w:p>
            </w:tc>
            <w:tc>
              <w:tcPr>
                <w:tcW w:w="1413" w:type="pct"/>
              </w:tcPr>
              <w:p w14:paraId="7C460632" w14:textId="77777777" w:rsidR="00BD5B06" w:rsidRPr="00867D5E" w:rsidRDefault="00BD5B06" w:rsidP="002F5314">
                <w:pPr>
                  <w:tabs>
                    <w:tab w:val="left" w:pos="1455"/>
                  </w:tabs>
                </w:pPr>
              </w:p>
            </w:tc>
            <w:tc>
              <w:tcPr>
                <w:tcW w:w="1084" w:type="pct"/>
              </w:tcPr>
              <w:p w14:paraId="25689A16"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514D3B3A" w14:textId="77777777" w:rsidR="00BD5B06" w:rsidRPr="00867D5E" w:rsidRDefault="00BD5B06" w:rsidP="002F5314">
          <w:pPr>
            <w:tabs>
              <w:tab w:val="left" w:pos="1455"/>
            </w:tabs>
          </w:pPr>
        </w:p>
      </w:tc>
      <w:tc>
        <w:tcPr>
          <w:tcW w:w="1413" w:type="pct"/>
        </w:tcPr>
        <w:p w14:paraId="1AE601DB" w14:textId="77777777" w:rsidR="00BD5B06" w:rsidRPr="00867D5E" w:rsidRDefault="00BD5B06" w:rsidP="002F5314">
          <w:pPr>
            <w:tabs>
              <w:tab w:val="left" w:pos="1455"/>
            </w:tabs>
          </w:pPr>
        </w:p>
      </w:tc>
      <w:tc>
        <w:tcPr>
          <w:tcW w:w="1084" w:type="pct"/>
        </w:tcPr>
        <w:p w14:paraId="04E1E39D" w14:textId="77777777" w:rsidR="00BD5B06" w:rsidRPr="00C82C1E" w:rsidRDefault="00BD5B06" w:rsidP="002F5314">
          <w:pPr>
            <w:jc w:val="right"/>
            <w:rPr>
              <w:sz w:val="24"/>
              <w:szCs w:val="24"/>
            </w:rPr>
          </w:pPr>
        </w:p>
      </w:tc>
    </w:tr>
  </w:tbl>
  <w:p w14:paraId="4C8D5AA5" w14:textId="77777777" w:rsidR="00BD5B06" w:rsidRDefault="00BD5B06" w:rsidP="002F5314"/>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35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8505"/>
      <w:gridCol w:w="851"/>
    </w:tblGrid>
    <w:tr w:rsidR="00BD5B06" w14:paraId="2F90523A" w14:textId="77777777" w:rsidTr="00ED54AF">
      <w:trPr>
        <w:trHeight w:val="850"/>
      </w:trPr>
      <w:tc>
        <w:tcPr>
          <w:tcW w:w="4545" w:type="pct"/>
          <w:vAlign w:val="bottom"/>
        </w:tcPr>
        <w:p w14:paraId="0E804998" w14:textId="77777777" w:rsidR="00BD5B06" w:rsidRPr="00F8524E" w:rsidRDefault="00BD5B06" w:rsidP="00ED54AF">
          <w:pPr>
            <w:spacing w:before="60"/>
            <w:jc w:val="left"/>
            <w:rPr>
              <w:rFonts w:ascii="Century Gothic" w:eastAsia="Batang" w:hAnsi="Century Gothic" w:cs="Tahoma"/>
              <w:sz w:val="20"/>
              <w:szCs w:val="20"/>
            </w:rPr>
          </w:pPr>
        </w:p>
        <w:p w14:paraId="6A940E87" w14:textId="567DA70D" w:rsidR="00BD5B06" w:rsidRPr="00F8524E" w:rsidRDefault="00BD5B06" w:rsidP="00ED54AF">
          <w:pPr>
            <w:spacing w:before="60"/>
            <w:rPr>
              <w:rFonts w:ascii="Century Gothic" w:eastAsia="Batang" w:hAnsi="Century Gothic" w:cs="Tahoma"/>
              <w:sz w:val="20"/>
              <w:szCs w:val="20"/>
            </w:rPr>
          </w:pPr>
          <w:r w:rsidRPr="00F8524E">
            <w:rPr>
              <w:rFonts w:ascii="Century Gothic" w:eastAsia="Batang" w:hAnsi="Century Gothic" w:cs="Tahoma"/>
              <w:sz w:val="20"/>
              <w:szCs w:val="20"/>
            </w:rPr>
            <w:fldChar w:fldCharType="begin"/>
          </w:r>
          <w:r w:rsidRPr="00F8524E">
            <w:rPr>
              <w:rFonts w:ascii="Century Gothic" w:eastAsia="Batang" w:hAnsi="Century Gothic" w:cs="Tahoma"/>
              <w:sz w:val="20"/>
              <w:szCs w:val="20"/>
            </w:rPr>
            <w:instrText xml:space="preserve"> STYLEREF "Título 1" </w:instrText>
          </w:r>
          <w:r w:rsidRPr="00F8524E">
            <w:rPr>
              <w:rFonts w:ascii="Century Gothic" w:eastAsia="Batang" w:hAnsi="Century Gothic" w:cs="Tahoma"/>
              <w:sz w:val="20"/>
              <w:szCs w:val="20"/>
            </w:rPr>
            <w:fldChar w:fldCharType="separate"/>
          </w:r>
          <w:r w:rsidR="00E666EC">
            <w:rPr>
              <w:rFonts w:ascii="Century Gothic" w:eastAsia="Batang" w:hAnsi="Century Gothic" w:cs="Tahoma"/>
              <w:noProof/>
              <w:sz w:val="20"/>
              <w:szCs w:val="20"/>
            </w:rPr>
            <w:t>Gestão Fiscal</w:t>
          </w:r>
          <w:r w:rsidRPr="00F8524E">
            <w:rPr>
              <w:rFonts w:ascii="Century Gothic" w:eastAsia="Batang" w:hAnsi="Century Gothic" w:cs="Tahoma"/>
              <w:sz w:val="20"/>
              <w:szCs w:val="20"/>
            </w:rPr>
            <w:fldChar w:fldCharType="end"/>
          </w:r>
        </w:p>
        <w:p w14:paraId="4CFE47BB" w14:textId="68C61516" w:rsidR="00BD5B06" w:rsidRPr="00F8524E" w:rsidRDefault="00BD5B06" w:rsidP="00ED54AF">
          <w:pPr>
            <w:jc w:val="left"/>
            <w:rPr>
              <w:sz w:val="20"/>
              <w:szCs w:val="20"/>
            </w:rPr>
          </w:pPr>
          <w:r w:rsidRPr="00F8524E">
            <w:rPr>
              <w:rFonts w:ascii="Century Gothic" w:eastAsia="Batang" w:hAnsi="Century Gothic" w:cs="Tahoma"/>
              <w:sz w:val="20"/>
              <w:szCs w:val="20"/>
            </w:rPr>
            <w:fldChar w:fldCharType="begin"/>
          </w:r>
          <w:r w:rsidRPr="00F8524E">
            <w:rPr>
              <w:rFonts w:ascii="Century Gothic" w:eastAsia="Batang" w:hAnsi="Century Gothic" w:cs="Tahoma"/>
              <w:sz w:val="20"/>
              <w:szCs w:val="20"/>
            </w:rPr>
            <w:instrText xml:space="preserve"> STYLEREF "Título 2" </w:instrText>
          </w:r>
          <w:r w:rsidRPr="00F8524E">
            <w:rPr>
              <w:rFonts w:ascii="Century Gothic" w:eastAsia="Batang" w:hAnsi="Century Gothic" w:cs="Tahoma"/>
              <w:sz w:val="20"/>
              <w:szCs w:val="20"/>
            </w:rPr>
            <w:fldChar w:fldCharType="separate"/>
          </w:r>
          <w:r w:rsidR="00E666EC">
            <w:rPr>
              <w:rFonts w:ascii="Century Gothic" w:eastAsia="Batang" w:hAnsi="Century Gothic" w:cs="Tahoma"/>
              <w:noProof/>
              <w:sz w:val="20"/>
              <w:szCs w:val="20"/>
            </w:rPr>
            <w:t>Renúncia de Receitas</w:t>
          </w:r>
          <w:r w:rsidRPr="00F8524E">
            <w:rPr>
              <w:rFonts w:ascii="Century Gothic" w:eastAsia="Batang" w:hAnsi="Century Gothic" w:cs="Tahoma"/>
              <w:sz w:val="20"/>
              <w:szCs w:val="20"/>
            </w:rPr>
            <w:fldChar w:fldCharType="end"/>
          </w:r>
        </w:p>
      </w:tc>
      <w:tc>
        <w:tcPr>
          <w:tcW w:w="455" w:type="pct"/>
        </w:tcPr>
        <w:p w14:paraId="52129FFB" w14:textId="77777777" w:rsidR="00BD5B06" w:rsidRDefault="00BD5B06" w:rsidP="00ED54AF">
          <w:pPr>
            <w:spacing w:before="60"/>
            <w:jc w:val="left"/>
            <w:rPr>
              <w:rFonts w:ascii="Century Gothic" w:eastAsia="Batang" w:hAnsi="Century Gothic" w:cs="Tahoma"/>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2AD0178F" w14:textId="77777777" w:rsidR="00BD5B06" w:rsidRPr="00F8524E" w:rsidRDefault="00BD5B06" w:rsidP="002F5314">
    <w:pPr>
      <w:rPr>
        <w:sz w:val="20"/>
      </w:rPr>
    </w:pPr>
  </w:p>
  <w:p w14:paraId="3C9864D8" w14:textId="77777777" w:rsidR="00BD5B06" w:rsidRPr="00F8524E" w:rsidRDefault="00BD5B06">
    <w:pPr>
      <w:rPr>
        <w:sz w:val="20"/>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14829"/>
      <w:gridCol w:w="2543"/>
      <w:gridCol w:w="1314"/>
    </w:tblGrid>
    <w:tr w:rsidR="00BD5B06" w14:paraId="39F227D5" w14:textId="77777777" w:rsidTr="002F5314">
      <w:trPr>
        <w:trHeight w:val="709"/>
      </w:trPr>
      <w:tc>
        <w:tcPr>
          <w:tcW w:w="2503" w:type="pct"/>
        </w:tcPr>
        <w:tbl>
          <w:tblPr>
            <w:tblW w:w="1457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996"/>
            <w:gridCol w:w="251"/>
            <w:gridCol w:w="4329"/>
          </w:tblGrid>
          <w:tr w:rsidR="00BD5B06" w14:paraId="3516946E" w14:textId="77777777" w:rsidTr="00ED54AF">
            <w:trPr>
              <w:trHeight w:val="709"/>
            </w:trPr>
            <w:tc>
              <w:tcPr>
                <w:tcW w:w="3429" w:type="pct"/>
              </w:tcPr>
              <w:tbl>
                <w:tblPr>
                  <w:tblW w:w="911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5021"/>
                  <w:gridCol w:w="4095"/>
                </w:tblGrid>
                <w:tr w:rsidR="00BD5B06" w14:paraId="6C5A6C45" w14:textId="77777777" w:rsidTr="00620162">
                  <w:trPr>
                    <w:trHeight w:val="709"/>
                  </w:trPr>
                  <w:tc>
                    <w:tcPr>
                      <w:tcW w:w="2754" w:type="pct"/>
                      <w:vAlign w:val="bottom"/>
                    </w:tcPr>
                    <w:p w14:paraId="6D249614" w14:textId="714A0970" w:rsidR="00BD5B06" w:rsidRPr="002F5314" w:rsidRDefault="00BD5B06" w:rsidP="00FA2C07">
                      <w:pPr>
                        <w:spacing w:before="60"/>
                        <w:jc w:val="left"/>
                        <w:rPr>
                          <w:rFonts w:ascii="Century Gothic" w:eastAsia="Batang" w:hAnsi="Century Gothic" w:cs="Tahoma"/>
                        </w:rPr>
                      </w:pPr>
                      <w:r>
                        <w:rPr>
                          <w:rFonts w:ascii="Century Gothic" w:eastAsia="Batang" w:hAnsi="Century Gothic" w:cs="Tahoma"/>
                        </w:rPr>
                        <w:fldChar w:fldCharType="begin"/>
                      </w:r>
                      <w:r>
                        <w:rPr>
                          <w:rFonts w:ascii="Century Gothic" w:eastAsia="Batang" w:hAnsi="Century Gothic" w:cs="Tahoma"/>
                        </w:rPr>
                        <w:instrText xml:space="preserve"> STYLEREF  Título </w:instrText>
                      </w:r>
                      <w:r>
                        <w:rPr>
                          <w:rFonts w:ascii="Century Gothic" w:eastAsia="Batang" w:hAnsi="Century Gothic" w:cs="Tahoma"/>
                        </w:rPr>
                        <w:fldChar w:fldCharType="end"/>
                      </w:r>
                      <w:r>
                        <w:rPr>
                          <w:rFonts w:ascii="Century Gothic" w:eastAsia="Batang" w:hAnsi="Century Gothic" w:cs="Tahoma"/>
                        </w:rPr>
                        <w:t>Vinculações Constitucionais</w:t>
                      </w:r>
                    </w:p>
                  </w:tc>
                  <w:tc>
                    <w:tcPr>
                      <w:tcW w:w="2246" w:type="pct"/>
                    </w:tcPr>
                    <w:p w14:paraId="2F9E70CE"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63F8804F" w14:textId="77777777" w:rsidR="00BD5B06" w:rsidRPr="00867D5E" w:rsidRDefault="00BD5B06" w:rsidP="002F5314">
                <w:pPr>
                  <w:spacing w:before="60"/>
                </w:pPr>
              </w:p>
            </w:tc>
            <w:tc>
              <w:tcPr>
                <w:tcW w:w="86" w:type="pct"/>
              </w:tcPr>
              <w:p w14:paraId="4F5F509B" w14:textId="77777777" w:rsidR="00BD5B06" w:rsidRPr="00867D5E" w:rsidRDefault="00BD5B06" w:rsidP="002F5314">
                <w:pPr>
                  <w:tabs>
                    <w:tab w:val="left" w:pos="1455"/>
                  </w:tabs>
                </w:pPr>
              </w:p>
            </w:tc>
            <w:tc>
              <w:tcPr>
                <w:tcW w:w="1485" w:type="pct"/>
              </w:tcPr>
              <w:p w14:paraId="16A43875"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3E491514" w14:textId="77777777" w:rsidR="00BD5B06" w:rsidRPr="00867D5E" w:rsidRDefault="00BD5B06" w:rsidP="002F5314">
          <w:pPr>
            <w:tabs>
              <w:tab w:val="left" w:pos="1455"/>
            </w:tabs>
          </w:pPr>
        </w:p>
      </w:tc>
      <w:tc>
        <w:tcPr>
          <w:tcW w:w="1413" w:type="pct"/>
        </w:tcPr>
        <w:p w14:paraId="14BA874C" w14:textId="77777777" w:rsidR="00BD5B06" w:rsidRPr="00867D5E" w:rsidRDefault="00BD5B06" w:rsidP="002F5314">
          <w:pPr>
            <w:tabs>
              <w:tab w:val="left" w:pos="1455"/>
            </w:tabs>
          </w:pPr>
        </w:p>
      </w:tc>
      <w:tc>
        <w:tcPr>
          <w:tcW w:w="1084" w:type="pct"/>
        </w:tcPr>
        <w:p w14:paraId="52E518B8" w14:textId="77777777" w:rsidR="00BD5B06" w:rsidRPr="00C82C1E" w:rsidRDefault="00BD5B06" w:rsidP="002F5314">
          <w:pPr>
            <w:jc w:val="right"/>
            <w:rPr>
              <w:sz w:val="24"/>
              <w:szCs w:val="24"/>
            </w:rPr>
          </w:pPr>
        </w:p>
      </w:tc>
    </w:tr>
  </w:tbl>
  <w:p w14:paraId="19EED9D1" w14:textId="77777777" w:rsidR="00BD5B06" w:rsidRDefault="00BD5B06" w:rsidP="002F5314"/>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10222"/>
      <w:gridCol w:w="4847"/>
      <w:gridCol w:w="3617"/>
    </w:tblGrid>
    <w:tr w:rsidR="00BD5B06" w14:paraId="3495F622"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995"/>
            <w:gridCol w:w="5642"/>
            <w:gridCol w:w="4329"/>
          </w:tblGrid>
          <w:tr w:rsidR="00BD5B06" w14:paraId="3F448E2E" w14:textId="77777777" w:rsidTr="00874EF4">
            <w:trPr>
              <w:trHeight w:val="709"/>
            </w:trPr>
            <w:tc>
              <w:tcPr>
                <w:tcW w:w="2503" w:type="pct"/>
              </w:tcPr>
              <w:tbl>
                <w:tblPr>
                  <w:tblW w:w="911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4438"/>
                  <w:gridCol w:w="4678"/>
                </w:tblGrid>
                <w:tr w:rsidR="00BD5B06" w14:paraId="2326279B" w14:textId="77777777" w:rsidTr="00F80CB6">
                  <w:trPr>
                    <w:trHeight w:val="709"/>
                  </w:trPr>
                  <w:tc>
                    <w:tcPr>
                      <w:tcW w:w="2434" w:type="pct"/>
                    </w:tcPr>
                    <w:p w14:paraId="1F52D389" w14:textId="07ABB916" w:rsidR="00BD5B06" w:rsidRPr="00F8524E" w:rsidRDefault="00BD5B06" w:rsidP="00D73139">
                      <w:pPr>
                        <w:spacing w:before="60"/>
                        <w:rPr>
                          <w:rFonts w:ascii="Century Gothic" w:eastAsia="Batang" w:hAnsi="Century Gothic" w:cs="Tahoma"/>
                          <w:sz w:val="20"/>
                          <w:szCs w:val="20"/>
                        </w:rPr>
                      </w:pPr>
                      <w:r>
                        <w:rPr>
                          <w:rFonts w:ascii="Century Gothic" w:eastAsia="Batang" w:hAnsi="Century Gothic" w:cs="Tahoma"/>
                        </w:rPr>
                        <w:fldChar w:fldCharType="begin"/>
                      </w:r>
                      <w:r>
                        <w:rPr>
                          <w:rFonts w:ascii="Century Gothic" w:eastAsia="Batang" w:hAnsi="Century Gothic" w:cs="Tahoma"/>
                        </w:rPr>
                        <w:instrText xml:space="preserve"> STYLEREF  Título </w:instrText>
                      </w:r>
                      <w:r>
                        <w:rPr>
                          <w:rFonts w:ascii="Century Gothic" w:eastAsia="Batang" w:hAnsi="Century Gothic" w:cs="Tahoma"/>
                        </w:rPr>
                        <w:fldChar w:fldCharType="end"/>
                      </w:r>
                      <w:r w:rsidRPr="00F8524E">
                        <w:rPr>
                          <w:rFonts w:ascii="Century Gothic" w:eastAsia="Batang" w:hAnsi="Century Gothic" w:cs="Tahoma"/>
                          <w:sz w:val="20"/>
                          <w:szCs w:val="20"/>
                        </w:rPr>
                        <w:fldChar w:fldCharType="begin"/>
                      </w:r>
                      <w:r w:rsidRPr="00F8524E">
                        <w:rPr>
                          <w:rFonts w:ascii="Century Gothic" w:eastAsia="Batang" w:hAnsi="Century Gothic" w:cs="Tahoma"/>
                          <w:sz w:val="20"/>
                          <w:szCs w:val="20"/>
                        </w:rPr>
                        <w:instrText xml:space="preserve"> STYLEREF "Título 1" </w:instrText>
                      </w:r>
                      <w:r w:rsidRPr="00F8524E">
                        <w:rPr>
                          <w:rFonts w:ascii="Century Gothic" w:eastAsia="Batang" w:hAnsi="Century Gothic" w:cs="Tahoma"/>
                          <w:sz w:val="20"/>
                          <w:szCs w:val="20"/>
                        </w:rPr>
                        <w:fldChar w:fldCharType="separate"/>
                      </w:r>
                      <w:r w:rsidR="00E666EC">
                        <w:rPr>
                          <w:rFonts w:ascii="Century Gothic" w:eastAsia="Batang" w:hAnsi="Century Gothic" w:cs="Tahoma"/>
                          <w:noProof/>
                          <w:sz w:val="20"/>
                          <w:szCs w:val="20"/>
                        </w:rPr>
                        <w:t>Vinculações Constitucionais</w:t>
                      </w:r>
                      <w:r w:rsidRPr="00F8524E">
                        <w:rPr>
                          <w:rFonts w:ascii="Century Gothic" w:eastAsia="Batang" w:hAnsi="Century Gothic" w:cs="Tahoma"/>
                          <w:sz w:val="20"/>
                          <w:szCs w:val="20"/>
                        </w:rPr>
                        <w:fldChar w:fldCharType="end"/>
                      </w:r>
                    </w:p>
                    <w:p w14:paraId="478A0037" w14:textId="2373F9CE" w:rsidR="00BD5B06" w:rsidRPr="002F5314" w:rsidRDefault="00BD5B06" w:rsidP="00D73139">
                      <w:pPr>
                        <w:spacing w:before="60"/>
                        <w:rPr>
                          <w:rFonts w:ascii="Century Gothic" w:eastAsia="Batang" w:hAnsi="Century Gothic" w:cs="Tahoma"/>
                        </w:rPr>
                      </w:pPr>
                      <w:r w:rsidRPr="00F8524E">
                        <w:rPr>
                          <w:rFonts w:ascii="Century Gothic" w:eastAsia="Batang" w:hAnsi="Century Gothic" w:cs="Tahoma"/>
                          <w:sz w:val="20"/>
                          <w:szCs w:val="20"/>
                        </w:rPr>
                        <w:fldChar w:fldCharType="begin"/>
                      </w:r>
                      <w:r w:rsidRPr="00F8524E">
                        <w:rPr>
                          <w:rFonts w:ascii="Century Gothic" w:eastAsia="Batang" w:hAnsi="Century Gothic" w:cs="Tahoma"/>
                          <w:sz w:val="20"/>
                          <w:szCs w:val="20"/>
                        </w:rPr>
                        <w:instrText xml:space="preserve"> STYLEREF "Título 2" </w:instrText>
                      </w:r>
                      <w:r w:rsidRPr="00F8524E">
                        <w:rPr>
                          <w:rFonts w:ascii="Century Gothic" w:eastAsia="Batang" w:hAnsi="Century Gothic" w:cs="Tahoma"/>
                          <w:sz w:val="20"/>
                          <w:szCs w:val="20"/>
                        </w:rPr>
                        <w:fldChar w:fldCharType="separate"/>
                      </w:r>
                      <w:r w:rsidR="00E666EC">
                        <w:rPr>
                          <w:rFonts w:ascii="Century Gothic" w:eastAsia="Batang" w:hAnsi="Century Gothic" w:cs="Tahoma"/>
                          <w:noProof/>
                          <w:sz w:val="20"/>
                          <w:szCs w:val="20"/>
                        </w:rPr>
                        <w:t>Aplicação de Receita na Saúde</w:t>
                      </w:r>
                      <w:r w:rsidRPr="00F8524E">
                        <w:rPr>
                          <w:rFonts w:ascii="Century Gothic" w:eastAsia="Batang" w:hAnsi="Century Gothic" w:cs="Tahoma"/>
                          <w:sz w:val="20"/>
                          <w:szCs w:val="20"/>
                        </w:rPr>
                        <w:fldChar w:fldCharType="end"/>
                      </w:r>
                    </w:p>
                  </w:tc>
                  <w:tc>
                    <w:tcPr>
                      <w:tcW w:w="2566" w:type="pct"/>
                    </w:tcPr>
                    <w:p w14:paraId="143728D5"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09CA2FF1" w14:textId="77777777" w:rsidR="00BD5B06" w:rsidRPr="00867D5E" w:rsidRDefault="00BD5B06" w:rsidP="002F5314">
                <w:pPr>
                  <w:spacing w:before="60"/>
                </w:pPr>
              </w:p>
            </w:tc>
            <w:tc>
              <w:tcPr>
                <w:tcW w:w="1413" w:type="pct"/>
              </w:tcPr>
              <w:p w14:paraId="2C9DE0BB" w14:textId="77777777" w:rsidR="00BD5B06" w:rsidRPr="00867D5E" w:rsidRDefault="00BD5B06" w:rsidP="002F5314">
                <w:pPr>
                  <w:tabs>
                    <w:tab w:val="left" w:pos="1455"/>
                  </w:tabs>
                </w:pPr>
              </w:p>
            </w:tc>
            <w:tc>
              <w:tcPr>
                <w:tcW w:w="1084" w:type="pct"/>
              </w:tcPr>
              <w:p w14:paraId="3FC337E8"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440F5ED1" w14:textId="77777777" w:rsidR="00BD5B06" w:rsidRPr="00867D5E" w:rsidRDefault="00BD5B06" w:rsidP="002F5314">
          <w:pPr>
            <w:tabs>
              <w:tab w:val="left" w:pos="1455"/>
            </w:tabs>
          </w:pPr>
        </w:p>
      </w:tc>
      <w:tc>
        <w:tcPr>
          <w:tcW w:w="1413" w:type="pct"/>
        </w:tcPr>
        <w:p w14:paraId="1CB5452E" w14:textId="77777777" w:rsidR="00BD5B06" w:rsidRPr="00867D5E" w:rsidRDefault="00BD5B06" w:rsidP="002F5314">
          <w:pPr>
            <w:tabs>
              <w:tab w:val="left" w:pos="1455"/>
            </w:tabs>
          </w:pPr>
        </w:p>
      </w:tc>
      <w:tc>
        <w:tcPr>
          <w:tcW w:w="1084" w:type="pct"/>
        </w:tcPr>
        <w:p w14:paraId="712BB399" w14:textId="77777777" w:rsidR="00BD5B06" w:rsidRPr="00C82C1E" w:rsidRDefault="00BD5B06" w:rsidP="002F5314">
          <w:pPr>
            <w:jc w:val="right"/>
            <w:rPr>
              <w:sz w:val="24"/>
              <w:szCs w:val="24"/>
            </w:rPr>
          </w:pPr>
        </w:p>
      </w:tc>
    </w:tr>
  </w:tbl>
  <w:p w14:paraId="7810526F" w14:textId="77777777" w:rsidR="00BD5B06" w:rsidRDefault="00BD5B06" w:rsidP="002F5314"/>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10222"/>
      <w:gridCol w:w="4847"/>
      <w:gridCol w:w="3617"/>
    </w:tblGrid>
    <w:tr w:rsidR="00BD5B06" w14:paraId="7A59AA90"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995"/>
            <w:gridCol w:w="5642"/>
            <w:gridCol w:w="4329"/>
          </w:tblGrid>
          <w:tr w:rsidR="00BD5B06" w14:paraId="5EE5590B" w14:textId="77777777" w:rsidTr="00874EF4">
            <w:trPr>
              <w:trHeight w:val="709"/>
            </w:trPr>
            <w:tc>
              <w:tcPr>
                <w:tcW w:w="2503" w:type="pct"/>
              </w:tcPr>
              <w:tbl>
                <w:tblPr>
                  <w:tblW w:w="911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5021"/>
                  <w:gridCol w:w="4095"/>
                </w:tblGrid>
                <w:tr w:rsidR="00BD5B06" w14:paraId="3362BAC6" w14:textId="77777777" w:rsidTr="00D279FB">
                  <w:trPr>
                    <w:trHeight w:val="709"/>
                  </w:trPr>
                  <w:tc>
                    <w:tcPr>
                      <w:tcW w:w="2754" w:type="pct"/>
                      <w:vAlign w:val="bottom"/>
                    </w:tcPr>
                    <w:p w14:paraId="5BA71911" w14:textId="2422EE67" w:rsidR="00BD5B06" w:rsidRPr="002F5314" w:rsidRDefault="00BD5B06" w:rsidP="00FA2C07">
                      <w:pPr>
                        <w:spacing w:before="60"/>
                        <w:jc w:val="left"/>
                        <w:rPr>
                          <w:rFonts w:ascii="Century Gothic" w:eastAsia="Batang" w:hAnsi="Century Gothic" w:cs="Tahoma"/>
                        </w:rPr>
                      </w:pPr>
                      <w:r>
                        <w:rPr>
                          <w:rFonts w:ascii="Century Gothic" w:eastAsia="Batang" w:hAnsi="Century Gothic" w:cs="Tahoma"/>
                        </w:rPr>
                        <w:fldChar w:fldCharType="begin"/>
                      </w:r>
                      <w:r>
                        <w:rPr>
                          <w:rFonts w:ascii="Century Gothic" w:eastAsia="Batang" w:hAnsi="Century Gothic" w:cs="Tahoma"/>
                        </w:rPr>
                        <w:instrText xml:space="preserve"> STYLEREF  Título </w:instrText>
                      </w:r>
                      <w:r>
                        <w:rPr>
                          <w:rFonts w:ascii="Century Gothic" w:eastAsia="Batang" w:hAnsi="Century Gothic" w:cs="Tahoma"/>
                        </w:rPr>
                        <w:fldChar w:fldCharType="end"/>
                      </w:r>
                      <w:r w:rsidRPr="002F5314">
                        <w:rPr>
                          <w:rFonts w:ascii="Century Gothic" w:eastAsia="Batang" w:hAnsi="Century Gothic" w:cs="Tahoma"/>
                        </w:rPr>
                        <w:t xml:space="preserve"> </w:t>
                      </w:r>
                      <w:r>
                        <w:rPr>
                          <w:rFonts w:ascii="Century Gothic" w:eastAsia="Batang" w:hAnsi="Century Gothic" w:cs="Tahoma"/>
                        </w:rPr>
                        <w:t>Gestão Patrimonial</w:t>
                      </w:r>
                    </w:p>
                  </w:tc>
                  <w:tc>
                    <w:tcPr>
                      <w:tcW w:w="2246" w:type="pct"/>
                    </w:tcPr>
                    <w:p w14:paraId="34797AA4"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6DA4058F" w14:textId="77777777" w:rsidR="00BD5B06" w:rsidRPr="00867D5E" w:rsidRDefault="00BD5B06" w:rsidP="002F5314">
                <w:pPr>
                  <w:spacing w:before="60"/>
                </w:pPr>
              </w:p>
            </w:tc>
            <w:tc>
              <w:tcPr>
                <w:tcW w:w="1413" w:type="pct"/>
              </w:tcPr>
              <w:p w14:paraId="487631AA" w14:textId="77777777" w:rsidR="00BD5B06" w:rsidRPr="00867D5E" w:rsidRDefault="00BD5B06" w:rsidP="002F5314">
                <w:pPr>
                  <w:tabs>
                    <w:tab w:val="left" w:pos="1455"/>
                  </w:tabs>
                </w:pPr>
              </w:p>
            </w:tc>
            <w:tc>
              <w:tcPr>
                <w:tcW w:w="1084" w:type="pct"/>
              </w:tcPr>
              <w:p w14:paraId="795C2431"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1F95F4E8" w14:textId="77777777" w:rsidR="00BD5B06" w:rsidRPr="00867D5E" w:rsidRDefault="00BD5B06" w:rsidP="002F5314">
          <w:pPr>
            <w:tabs>
              <w:tab w:val="left" w:pos="1455"/>
            </w:tabs>
          </w:pPr>
        </w:p>
      </w:tc>
      <w:tc>
        <w:tcPr>
          <w:tcW w:w="1413" w:type="pct"/>
        </w:tcPr>
        <w:p w14:paraId="56E13010" w14:textId="77777777" w:rsidR="00BD5B06" w:rsidRPr="00867D5E" w:rsidRDefault="00BD5B06" w:rsidP="002F5314">
          <w:pPr>
            <w:tabs>
              <w:tab w:val="left" w:pos="1455"/>
            </w:tabs>
          </w:pPr>
        </w:p>
      </w:tc>
      <w:tc>
        <w:tcPr>
          <w:tcW w:w="1084" w:type="pct"/>
        </w:tcPr>
        <w:p w14:paraId="17FDB01B" w14:textId="77777777" w:rsidR="00BD5B06" w:rsidRPr="00C82C1E" w:rsidRDefault="00BD5B06" w:rsidP="002F5314">
          <w:pPr>
            <w:jc w:val="right"/>
            <w:rPr>
              <w:sz w:val="24"/>
              <w:szCs w:val="24"/>
            </w:rPr>
          </w:pPr>
        </w:p>
      </w:tc>
    </w:tr>
  </w:tbl>
  <w:p w14:paraId="5CF13D56" w14:textId="77777777" w:rsidR="00BD5B06" w:rsidRDefault="00BD5B06" w:rsidP="002F5314"/>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10200"/>
      <w:gridCol w:w="4858"/>
      <w:gridCol w:w="3628"/>
    </w:tblGrid>
    <w:tr w:rsidR="00BD5B06" w:rsidRPr="00D546D5" w14:paraId="55CC2561"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973"/>
            <w:gridCol w:w="5630"/>
            <w:gridCol w:w="4319"/>
          </w:tblGrid>
          <w:tr w:rsidR="00BD5B06" w:rsidRPr="00D546D5" w14:paraId="022EADCC" w14:textId="77777777" w:rsidTr="00874EF4">
            <w:trPr>
              <w:trHeight w:val="709"/>
            </w:trPr>
            <w:tc>
              <w:tcPr>
                <w:tcW w:w="2503" w:type="pct"/>
              </w:tcPr>
              <w:p w14:paraId="6044D31F" w14:textId="77777777" w:rsidR="00BD5B06" w:rsidRPr="00D546D5" w:rsidRDefault="00BD5B06">
                <w:pPr>
                  <w:rPr>
                    <w:sz w:val="20"/>
                    <w:szCs w:val="20"/>
                  </w:rPr>
                </w:pPr>
              </w:p>
              <w:tbl>
                <w:tblPr>
                  <w:tblW w:w="911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5021"/>
                  <w:gridCol w:w="4095"/>
                </w:tblGrid>
                <w:tr w:rsidR="00BD5B06" w:rsidRPr="00D546D5" w14:paraId="356DCA25" w14:textId="77777777" w:rsidTr="00830154">
                  <w:trPr>
                    <w:trHeight w:val="709"/>
                  </w:trPr>
                  <w:tc>
                    <w:tcPr>
                      <w:tcW w:w="2754" w:type="pct"/>
                      <w:vAlign w:val="bottom"/>
                    </w:tcPr>
                    <w:p w14:paraId="4B6431F0" w14:textId="76A297AF" w:rsidR="00BD5B06" w:rsidRPr="00D546D5" w:rsidRDefault="00BD5B06" w:rsidP="00D279FB">
                      <w:pPr>
                        <w:spacing w:before="60"/>
                        <w:rPr>
                          <w:rFonts w:ascii="Century Gothic" w:eastAsia="Batang" w:hAnsi="Century Gothic" w:cs="Tahoma"/>
                          <w:sz w:val="20"/>
                          <w:szCs w:val="20"/>
                        </w:rPr>
                      </w:pPr>
                      <w:r w:rsidRPr="00D546D5">
                        <w:rPr>
                          <w:rFonts w:ascii="Century Gothic" w:eastAsia="Batang" w:hAnsi="Century Gothic" w:cs="Tahoma"/>
                          <w:sz w:val="20"/>
                          <w:szCs w:val="20"/>
                        </w:rPr>
                        <w:fldChar w:fldCharType="begin"/>
                      </w:r>
                      <w:r w:rsidRPr="00D546D5">
                        <w:rPr>
                          <w:rFonts w:ascii="Century Gothic" w:eastAsia="Batang" w:hAnsi="Century Gothic" w:cs="Tahoma"/>
                          <w:sz w:val="20"/>
                          <w:szCs w:val="20"/>
                        </w:rPr>
                        <w:instrText xml:space="preserve"> STYLEREF  Título </w:instrText>
                      </w:r>
                      <w:r w:rsidRPr="00D546D5">
                        <w:rPr>
                          <w:rFonts w:ascii="Century Gothic" w:eastAsia="Batang" w:hAnsi="Century Gothic" w:cs="Tahoma"/>
                          <w:sz w:val="20"/>
                          <w:szCs w:val="20"/>
                        </w:rPr>
                        <w:fldChar w:fldCharType="end"/>
                      </w:r>
                      <w:r w:rsidRPr="00D546D5">
                        <w:rPr>
                          <w:rFonts w:ascii="Century Gothic" w:eastAsia="Batang" w:hAnsi="Century Gothic" w:cs="Tahoma"/>
                          <w:sz w:val="20"/>
                          <w:szCs w:val="20"/>
                        </w:rPr>
                        <w:fldChar w:fldCharType="begin"/>
                      </w:r>
                      <w:r w:rsidRPr="00D546D5">
                        <w:rPr>
                          <w:rFonts w:ascii="Century Gothic" w:eastAsia="Batang" w:hAnsi="Century Gothic" w:cs="Tahoma"/>
                          <w:sz w:val="20"/>
                          <w:szCs w:val="20"/>
                        </w:rPr>
                        <w:instrText xml:space="preserve"> STYLEREF "Título 1" </w:instrText>
                      </w:r>
                      <w:r w:rsidRPr="00D546D5">
                        <w:rPr>
                          <w:rFonts w:ascii="Century Gothic" w:eastAsia="Batang" w:hAnsi="Century Gothic" w:cs="Tahoma"/>
                          <w:sz w:val="20"/>
                          <w:szCs w:val="20"/>
                        </w:rPr>
                        <w:fldChar w:fldCharType="separate"/>
                      </w:r>
                      <w:r w:rsidR="00E666EC">
                        <w:rPr>
                          <w:rFonts w:ascii="Century Gothic" w:eastAsia="Batang" w:hAnsi="Century Gothic" w:cs="Tahoma"/>
                          <w:noProof/>
                          <w:sz w:val="20"/>
                          <w:szCs w:val="20"/>
                        </w:rPr>
                        <w:t>Gestão Patrimonial</w:t>
                      </w:r>
                      <w:r w:rsidRPr="00D546D5">
                        <w:rPr>
                          <w:rFonts w:ascii="Century Gothic" w:eastAsia="Batang" w:hAnsi="Century Gothic" w:cs="Tahoma"/>
                          <w:sz w:val="20"/>
                          <w:szCs w:val="20"/>
                        </w:rPr>
                        <w:fldChar w:fldCharType="end"/>
                      </w:r>
                    </w:p>
                    <w:p w14:paraId="5DDCB0AF" w14:textId="1EF636CE" w:rsidR="00BD5B06" w:rsidRPr="00D546D5" w:rsidRDefault="00BD5B06" w:rsidP="00D279FB">
                      <w:pPr>
                        <w:spacing w:before="60"/>
                        <w:jc w:val="left"/>
                        <w:rPr>
                          <w:rFonts w:ascii="Century Gothic" w:eastAsia="Batang" w:hAnsi="Century Gothic" w:cs="Tahoma"/>
                          <w:sz w:val="20"/>
                          <w:szCs w:val="20"/>
                        </w:rPr>
                      </w:pPr>
                      <w:r w:rsidRPr="00D546D5">
                        <w:rPr>
                          <w:rFonts w:ascii="Century Gothic" w:eastAsia="Batang" w:hAnsi="Century Gothic" w:cs="Tahoma"/>
                          <w:sz w:val="20"/>
                          <w:szCs w:val="20"/>
                        </w:rPr>
                        <w:fldChar w:fldCharType="begin"/>
                      </w:r>
                      <w:r w:rsidRPr="00D546D5">
                        <w:rPr>
                          <w:rFonts w:ascii="Century Gothic" w:eastAsia="Batang" w:hAnsi="Century Gothic" w:cs="Tahoma"/>
                          <w:sz w:val="20"/>
                          <w:szCs w:val="20"/>
                        </w:rPr>
                        <w:instrText xml:space="preserve"> STYLEREF "Título 2" </w:instrText>
                      </w:r>
                      <w:r w:rsidRPr="00D546D5">
                        <w:rPr>
                          <w:rFonts w:ascii="Century Gothic" w:eastAsia="Batang" w:hAnsi="Century Gothic" w:cs="Tahoma"/>
                          <w:sz w:val="20"/>
                          <w:szCs w:val="20"/>
                        </w:rPr>
                        <w:fldChar w:fldCharType="separate"/>
                      </w:r>
                      <w:r w:rsidR="00E666EC">
                        <w:rPr>
                          <w:rFonts w:ascii="Century Gothic" w:eastAsia="Batang" w:hAnsi="Century Gothic" w:cs="Tahoma"/>
                          <w:noProof/>
                          <w:sz w:val="20"/>
                          <w:szCs w:val="20"/>
                        </w:rPr>
                        <w:t>Plano de Implantação dos Procedimentos Contábeis Patrimoniais (PIPCP)</w:t>
                      </w:r>
                      <w:r w:rsidRPr="00D546D5">
                        <w:rPr>
                          <w:rFonts w:ascii="Century Gothic" w:eastAsia="Batang" w:hAnsi="Century Gothic" w:cs="Tahoma"/>
                          <w:sz w:val="20"/>
                          <w:szCs w:val="20"/>
                        </w:rPr>
                        <w:fldChar w:fldCharType="end"/>
                      </w:r>
                    </w:p>
                  </w:tc>
                  <w:tc>
                    <w:tcPr>
                      <w:tcW w:w="2246" w:type="pct"/>
                    </w:tcPr>
                    <w:p w14:paraId="76730402" w14:textId="77777777" w:rsidR="00BD5B06" w:rsidRPr="006D29FB" w:rsidRDefault="00BD5B06" w:rsidP="002F5314">
                      <w:pPr>
                        <w:jc w:val="right"/>
                        <w:rPr>
                          <w:sz w:val="24"/>
                          <w:szCs w:val="24"/>
                        </w:rPr>
                      </w:pPr>
                      <w:r w:rsidRPr="00D546D5">
                        <w:rPr>
                          <w:sz w:val="20"/>
                          <w:szCs w:val="20"/>
                        </w:rPr>
                        <w:br/>
                      </w:r>
                      <w:r w:rsidRPr="006D29FB">
                        <w:rPr>
                          <w:sz w:val="24"/>
                          <w:szCs w:val="24"/>
                        </w:rPr>
                        <w:fldChar w:fldCharType="begin"/>
                      </w:r>
                      <w:r w:rsidRPr="006D29FB">
                        <w:rPr>
                          <w:sz w:val="24"/>
                          <w:szCs w:val="24"/>
                        </w:rPr>
                        <w:instrText xml:space="preserve"> PAGE   \* MERGEFORMAT </w:instrText>
                      </w:r>
                      <w:r w:rsidRPr="006D29FB">
                        <w:rPr>
                          <w:sz w:val="24"/>
                          <w:szCs w:val="24"/>
                        </w:rPr>
                        <w:fldChar w:fldCharType="separate"/>
                      </w:r>
                      <w:r w:rsidRPr="006D29FB">
                        <w:rPr>
                          <w:sz w:val="24"/>
                          <w:szCs w:val="24"/>
                        </w:rPr>
                        <w:t>11</w:t>
                      </w:r>
                      <w:r w:rsidRPr="006D29FB">
                        <w:rPr>
                          <w:sz w:val="24"/>
                          <w:szCs w:val="24"/>
                        </w:rPr>
                        <w:fldChar w:fldCharType="end"/>
                      </w:r>
                    </w:p>
                  </w:tc>
                </w:tr>
              </w:tbl>
              <w:p w14:paraId="4FF0CC60" w14:textId="77777777" w:rsidR="00BD5B06" w:rsidRPr="00D546D5" w:rsidRDefault="00BD5B06" w:rsidP="002F5314">
                <w:pPr>
                  <w:spacing w:before="60"/>
                  <w:rPr>
                    <w:sz w:val="20"/>
                    <w:szCs w:val="20"/>
                  </w:rPr>
                </w:pPr>
              </w:p>
            </w:tc>
            <w:tc>
              <w:tcPr>
                <w:tcW w:w="1413" w:type="pct"/>
              </w:tcPr>
              <w:p w14:paraId="63DD5E08" w14:textId="77777777" w:rsidR="00BD5B06" w:rsidRPr="00D546D5" w:rsidRDefault="00BD5B06" w:rsidP="002F5314">
                <w:pPr>
                  <w:tabs>
                    <w:tab w:val="left" w:pos="1455"/>
                  </w:tabs>
                  <w:rPr>
                    <w:sz w:val="20"/>
                    <w:szCs w:val="20"/>
                  </w:rPr>
                </w:pPr>
              </w:p>
            </w:tc>
            <w:tc>
              <w:tcPr>
                <w:tcW w:w="1084" w:type="pct"/>
              </w:tcPr>
              <w:p w14:paraId="3E6D4CF8" w14:textId="77777777" w:rsidR="00BD5B06" w:rsidRPr="00D546D5" w:rsidRDefault="00BD5B06" w:rsidP="002F5314">
                <w:pPr>
                  <w:jc w:val="right"/>
                  <w:rPr>
                    <w:sz w:val="20"/>
                    <w:szCs w:val="20"/>
                  </w:rPr>
                </w:pPr>
                <w:r w:rsidRPr="00D546D5">
                  <w:rPr>
                    <w:sz w:val="20"/>
                    <w:szCs w:val="20"/>
                  </w:rPr>
                  <w:br/>
                </w:r>
                <w:r w:rsidRPr="00D546D5">
                  <w:rPr>
                    <w:sz w:val="20"/>
                    <w:szCs w:val="20"/>
                  </w:rPr>
                  <w:fldChar w:fldCharType="begin"/>
                </w:r>
                <w:r w:rsidRPr="00D546D5">
                  <w:rPr>
                    <w:sz w:val="20"/>
                    <w:szCs w:val="20"/>
                  </w:rPr>
                  <w:instrText xml:space="preserve"> PAGE   \* MERGEFORMAT </w:instrText>
                </w:r>
                <w:r w:rsidRPr="00D546D5">
                  <w:rPr>
                    <w:sz w:val="20"/>
                    <w:szCs w:val="20"/>
                  </w:rPr>
                  <w:fldChar w:fldCharType="separate"/>
                </w:r>
                <w:r w:rsidRPr="00D546D5">
                  <w:rPr>
                    <w:sz w:val="20"/>
                    <w:szCs w:val="20"/>
                  </w:rPr>
                  <w:t>11</w:t>
                </w:r>
                <w:r w:rsidRPr="00D546D5">
                  <w:rPr>
                    <w:sz w:val="20"/>
                    <w:szCs w:val="20"/>
                  </w:rPr>
                  <w:fldChar w:fldCharType="end"/>
                </w:r>
              </w:p>
            </w:tc>
          </w:tr>
        </w:tbl>
        <w:p w14:paraId="53CE2D92" w14:textId="77777777" w:rsidR="00BD5B06" w:rsidRPr="00D546D5" w:rsidRDefault="00BD5B06" w:rsidP="002F5314">
          <w:pPr>
            <w:tabs>
              <w:tab w:val="left" w:pos="1455"/>
            </w:tabs>
            <w:rPr>
              <w:sz w:val="20"/>
              <w:szCs w:val="20"/>
            </w:rPr>
          </w:pPr>
        </w:p>
      </w:tc>
      <w:tc>
        <w:tcPr>
          <w:tcW w:w="1413" w:type="pct"/>
        </w:tcPr>
        <w:p w14:paraId="27B7184E" w14:textId="77777777" w:rsidR="00BD5B06" w:rsidRPr="00D546D5" w:rsidRDefault="00BD5B06" w:rsidP="002F5314">
          <w:pPr>
            <w:tabs>
              <w:tab w:val="left" w:pos="1455"/>
            </w:tabs>
            <w:rPr>
              <w:sz w:val="20"/>
              <w:szCs w:val="20"/>
            </w:rPr>
          </w:pPr>
        </w:p>
      </w:tc>
      <w:tc>
        <w:tcPr>
          <w:tcW w:w="1084" w:type="pct"/>
        </w:tcPr>
        <w:p w14:paraId="362C1FC9" w14:textId="77777777" w:rsidR="00BD5B06" w:rsidRPr="00D546D5" w:rsidRDefault="00BD5B06" w:rsidP="002F5314">
          <w:pPr>
            <w:jc w:val="right"/>
            <w:rPr>
              <w:sz w:val="20"/>
              <w:szCs w:val="20"/>
            </w:rPr>
          </w:pPr>
        </w:p>
      </w:tc>
    </w:tr>
  </w:tbl>
  <w:p w14:paraId="13C2DF65" w14:textId="77777777" w:rsidR="00BD5B06" w:rsidRPr="00D546D5" w:rsidRDefault="00BD5B06" w:rsidP="002F5314">
    <w:pPr>
      <w:rPr>
        <w:sz w:val="20"/>
        <w:szCs w:val="20"/>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10222"/>
      <w:gridCol w:w="4847"/>
      <w:gridCol w:w="3617"/>
    </w:tblGrid>
    <w:tr w:rsidR="00BD5B06" w14:paraId="5454E89E"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995"/>
            <w:gridCol w:w="5642"/>
            <w:gridCol w:w="4329"/>
          </w:tblGrid>
          <w:tr w:rsidR="00BD5B06" w14:paraId="3288FA5E" w14:textId="77777777" w:rsidTr="00874EF4">
            <w:trPr>
              <w:trHeight w:val="709"/>
            </w:trPr>
            <w:tc>
              <w:tcPr>
                <w:tcW w:w="2503" w:type="pct"/>
              </w:tcPr>
              <w:tbl>
                <w:tblPr>
                  <w:tblW w:w="911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6423"/>
                  <w:gridCol w:w="2693"/>
                </w:tblGrid>
                <w:tr w:rsidR="00BD5B06" w14:paraId="7B1687BE" w14:textId="77777777" w:rsidTr="00E7411E">
                  <w:trPr>
                    <w:trHeight w:val="709"/>
                  </w:trPr>
                  <w:tc>
                    <w:tcPr>
                      <w:tcW w:w="3523" w:type="pct"/>
                      <w:vAlign w:val="bottom"/>
                    </w:tcPr>
                    <w:p w14:paraId="5AD44A11" w14:textId="77777777" w:rsidR="00BD5B06" w:rsidRPr="002F5314" w:rsidRDefault="00BD5B06" w:rsidP="00562FC2">
                      <w:pPr>
                        <w:spacing w:before="60"/>
                        <w:rPr>
                          <w:rFonts w:ascii="Century Gothic" w:eastAsia="Batang" w:hAnsi="Century Gothic" w:cs="Tahoma"/>
                        </w:rPr>
                      </w:pPr>
                      <w:r>
                        <w:rPr>
                          <w:rFonts w:ascii="Century Gothic" w:eastAsia="Batang" w:hAnsi="Century Gothic" w:cs="Tahoma"/>
                        </w:rPr>
                        <w:t>Ponderações Sobre Ações Governamentais Específicas</w:t>
                      </w:r>
                    </w:p>
                  </w:tc>
                  <w:tc>
                    <w:tcPr>
                      <w:tcW w:w="1477" w:type="pct"/>
                    </w:tcPr>
                    <w:p w14:paraId="1D2A4E9C"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2A627265" w14:textId="77777777" w:rsidR="00BD5B06" w:rsidRPr="00867D5E" w:rsidRDefault="00BD5B06" w:rsidP="002F5314">
                <w:pPr>
                  <w:spacing w:before="60"/>
                </w:pPr>
              </w:p>
            </w:tc>
            <w:tc>
              <w:tcPr>
                <w:tcW w:w="1413" w:type="pct"/>
              </w:tcPr>
              <w:p w14:paraId="1DCB5599" w14:textId="77777777" w:rsidR="00BD5B06" w:rsidRPr="00867D5E" w:rsidRDefault="00BD5B06" w:rsidP="002F5314">
                <w:pPr>
                  <w:tabs>
                    <w:tab w:val="left" w:pos="1455"/>
                  </w:tabs>
                </w:pPr>
              </w:p>
            </w:tc>
            <w:tc>
              <w:tcPr>
                <w:tcW w:w="1084" w:type="pct"/>
              </w:tcPr>
              <w:p w14:paraId="1C9F9E4F"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4BF9AE6E" w14:textId="77777777" w:rsidR="00BD5B06" w:rsidRPr="00867D5E" w:rsidRDefault="00BD5B06" w:rsidP="002F5314">
          <w:pPr>
            <w:tabs>
              <w:tab w:val="left" w:pos="1455"/>
            </w:tabs>
          </w:pPr>
        </w:p>
      </w:tc>
      <w:tc>
        <w:tcPr>
          <w:tcW w:w="1413" w:type="pct"/>
        </w:tcPr>
        <w:p w14:paraId="44A59A56" w14:textId="77777777" w:rsidR="00BD5B06" w:rsidRPr="00867D5E" w:rsidRDefault="00BD5B06" w:rsidP="002F5314">
          <w:pPr>
            <w:tabs>
              <w:tab w:val="left" w:pos="1455"/>
            </w:tabs>
          </w:pPr>
        </w:p>
      </w:tc>
      <w:tc>
        <w:tcPr>
          <w:tcW w:w="1084" w:type="pct"/>
        </w:tcPr>
        <w:p w14:paraId="201EB00F" w14:textId="77777777" w:rsidR="00BD5B06" w:rsidRPr="00C82C1E" w:rsidRDefault="00BD5B06" w:rsidP="002F5314">
          <w:pPr>
            <w:jc w:val="right"/>
            <w:rPr>
              <w:sz w:val="24"/>
              <w:szCs w:val="24"/>
            </w:rPr>
          </w:pPr>
        </w:p>
      </w:tc>
    </w:tr>
  </w:tbl>
  <w:p w14:paraId="586CE5F1" w14:textId="77777777" w:rsidR="00BD5B06" w:rsidRDefault="00BD5B06" w:rsidP="002F5314"/>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10222"/>
      <w:gridCol w:w="4847"/>
      <w:gridCol w:w="3617"/>
    </w:tblGrid>
    <w:tr w:rsidR="00BD5B06" w14:paraId="41BF545C"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995"/>
            <w:gridCol w:w="5642"/>
            <w:gridCol w:w="4329"/>
          </w:tblGrid>
          <w:tr w:rsidR="00BD5B06" w14:paraId="1A38047F" w14:textId="77777777" w:rsidTr="00874EF4">
            <w:trPr>
              <w:trHeight w:val="709"/>
            </w:trPr>
            <w:tc>
              <w:tcPr>
                <w:tcW w:w="2503" w:type="pct"/>
              </w:tcPr>
              <w:tbl>
                <w:tblPr>
                  <w:tblW w:w="911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7626"/>
                  <w:gridCol w:w="1490"/>
                </w:tblGrid>
                <w:tr w:rsidR="00BD5B06" w14:paraId="2BCAAD00" w14:textId="77777777" w:rsidTr="008337C4">
                  <w:trPr>
                    <w:trHeight w:val="709"/>
                  </w:trPr>
                  <w:tc>
                    <w:tcPr>
                      <w:tcW w:w="4183" w:type="pct"/>
                      <w:vAlign w:val="bottom"/>
                    </w:tcPr>
                    <w:p w14:paraId="6D1DA1A3" w14:textId="5889A656" w:rsidR="00BD5B06" w:rsidRPr="00597E3B" w:rsidRDefault="00BD5B06" w:rsidP="002F7E59">
                      <w:pPr>
                        <w:spacing w:before="60"/>
                        <w:jc w:val="left"/>
                        <w:rPr>
                          <w:rFonts w:ascii="Century Gothic" w:eastAsia="Batang" w:hAnsi="Century Gothic" w:cs="Tahoma"/>
                        </w:rPr>
                      </w:pPr>
                      <w:r w:rsidRPr="00597E3B">
                        <w:rPr>
                          <w:rFonts w:ascii="Century Gothic" w:eastAsia="Batang" w:hAnsi="Century Gothic" w:cs="Tahoma"/>
                        </w:rPr>
                        <w:fldChar w:fldCharType="begin"/>
                      </w:r>
                      <w:r w:rsidRPr="00597E3B">
                        <w:rPr>
                          <w:rFonts w:ascii="Century Gothic" w:eastAsia="Batang" w:hAnsi="Century Gothic" w:cs="Tahoma"/>
                        </w:rPr>
                        <w:instrText xml:space="preserve"> STYLEREF "Título 1" </w:instrText>
                      </w:r>
                      <w:r w:rsidRPr="00597E3B">
                        <w:rPr>
                          <w:rFonts w:ascii="Century Gothic" w:eastAsia="Batang" w:hAnsi="Century Gothic" w:cs="Tahoma"/>
                        </w:rPr>
                        <w:fldChar w:fldCharType="separate"/>
                      </w:r>
                      <w:r w:rsidR="00E666EC">
                        <w:rPr>
                          <w:rFonts w:ascii="Century Gothic" w:eastAsia="Batang" w:hAnsi="Century Gothic" w:cs="Tahoma"/>
                          <w:noProof/>
                        </w:rPr>
                        <w:t>Monitoramento das Recomendações do TCE/GO no Parecer Prévio de Exercícios Anteriores</w:t>
                      </w:r>
                      <w:r w:rsidRPr="00597E3B">
                        <w:rPr>
                          <w:rFonts w:ascii="Century Gothic" w:eastAsia="Batang" w:hAnsi="Century Gothic" w:cs="Tahoma"/>
                        </w:rPr>
                        <w:fldChar w:fldCharType="end"/>
                      </w:r>
                    </w:p>
                    <w:p w14:paraId="24CEDD3B" w14:textId="45663BCA" w:rsidR="00BD5B06" w:rsidRPr="002F5314" w:rsidRDefault="00BD5B06" w:rsidP="002F7E59">
                      <w:pPr>
                        <w:spacing w:before="60"/>
                        <w:jc w:val="left"/>
                        <w:rPr>
                          <w:rFonts w:ascii="Century Gothic" w:eastAsia="Batang" w:hAnsi="Century Gothic" w:cs="Tahoma"/>
                        </w:rPr>
                      </w:pPr>
                      <w:r w:rsidRPr="00597E3B">
                        <w:rPr>
                          <w:rFonts w:ascii="Century Gothic" w:eastAsia="Batang" w:hAnsi="Century Gothic" w:cs="Tahoma"/>
                        </w:rPr>
                        <w:fldChar w:fldCharType="begin"/>
                      </w:r>
                      <w:r w:rsidRPr="00597E3B">
                        <w:rPr>
                          <w:rFonts w:ascii="Century Gothic" w:eastAsia="Batang" w:hAnsi="Century Gothic" w:cs="Tahoma"/>
                        </w:rPr>
                        <w:instrText xml:space="preserve"> STYLEREF "Título 2" </w:instrText>
                      </w:r>
                      <w:r w:rsidRPr="00597E3B">
                        <w:rPr>
                          <w:rFonts w:ascii="Century Gothic" w:eastAsia="Batang" w:hAnsi="Century Gothic" w:cs="Tahoma"/>
                        </w:rPr>
                        <w:fldChar w:fldCharType="separate"/>
                      </w:r>
                      <w:r w:rsidR="00E666EC">
                        <w:rPr>
                          <w:rFonts w:ascii="Century Gothic" w:eastAsia="Batang" w:hAnsi="Century Gothic" w:cs="Tahoma"/>
                          <w:noProof/>
                        </w:rPr>
                        <w:t>Análise do Cumprimento das Recomendações do Parecer Prévio de 2022</w:t>
                      </w:r>
                      <w:r w:rsidRPr="00597E3B">
                        <w:rPr>
                          <w:rFonts w:ascii="Century Gothic" w:eastAsia="Batang" w:hAnsi="Century Gothic" w:cs="Tahoma"/>
                        </w:rPr>
                        <w:fldChar w:fldCharType="end"/>
                      </w:r>
                    </w:p>
                  </w:tc>
                  <w:tc>
                    <w:tcPr>
                      <w:tcW w:w="817" w:type="pct"/>
                    </w:tcPr>
                    <w:p w14:paraId="2F09F361"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195BADE5" w14:textId="77777777" w:rsidR="00BD5B06" w:rsidRPr="00867D5E" w:rsidRDefault="00BD5B06" w:rsidP="002F5314">
                <w:pPr>
                  <w:spacing w:before="60"/>
                </w:pPr>
              </w:p>
            </w:tc>
            <w:tc>
              <w:tcPr>
                <w:tcW w:w="1413" w:type="pct"/>
              </w:tcPr>
              <w:p w14:paraId="6D2AFC4F" w14:textId="77777777" w:rsidR="00BD5B06" w:rsidRPr="00867D5E" w:rsidRDefault="00BD5B06" w:rsidP="002F5314">
                <w:pPr>
                  <w:tabs>
                    <w:tab w:val="left" w:pos="1455"/>
                  </w:tabs>
                </w:pPr>
              </w:p>
            </w:tc>
            <w:tc>
              <w:tcPr>
                <w:tcW w:w="1084" w:type="pct"/>
              </w:tcPr>
              <w:p w14:paraId="251E65E7"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72112ABD" w14:textId="77777777" w:rsidR="00BD5B06" w:rsidRPr="00867D5E" w:rsidRDefault="00BD5B06" w:rsidP="002F5314">
          <w:pPr>
            <w:tabs>
              <w:tab w:val="left" w:pos="1455"/>
            </w:tabs>
          </w:pPr>
        </w:p>
      </w:tc>
      <w:tc>
        <w:tcPr>
          <w:tcW w:w="1413" w:type="pct"/>
        </w:tcPr>
        <w:p w14:paraId="17A1941E" w14:textId="77777777" w:rsidR="00BD5B06" w:rsidRPr="00867D5E" w:rsidRDefault="00BD5B06" w:rsidP="002F5314">
          <w:pPr>
            <w:tabs>
              <w:tab w:val="left" w:pos="1455"/>
            </w:tabs>
          </w:pPr>
        </w:p>
      </w:tc>
      <w:tc>
        <w:tcPr>
          <w:tcW w:w="1084" w:type="pct"/>
        </w:tcPr>
        <w:p w14:paraId="2CBBF554" w14:textId="77777777" w:rsidR="00BD5B06" w:rsidRPr="00C82C1E" w:rsidRDefault="00BD5B06" w:rsidP="002F5314">
          <w:pPr>
            <w:jc w:val="right"/>
            <w:rPr>
              <w:sz w:val="24"/>
              <w:szCs w:val="24"/>
            </w:rPr>
          </w:pPr>
        </w:p>
      </w:tc>
    </w:tr>
  </w:tbl>
  <w:p w14:paraId="641413C7" w14:textId="77777777" w:rsidR="00BD5B06" w:rsidRDefault="00BD5B06" w:rsidP="002F5314"/>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354"/>
      <w:gridCol w:w="5281"/>
      <w:gridCol w:w="4051"/>
    </w:tblGrid>
    <w:tr w:rsidR="00BD5B06" w14:paraId="4F7233CC"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124"/>
            <w:gridCol w:w="5151"/>
            <w:gridCol w:w="3952"/>
          </w:tblGrid>
          <w:tr w:rsidR="00BD5B06" w14:paraId="2D2FDD09" w14:textId="77777777" w:rsidTr="00874EF4">
            <w:trPr>
              <w:trHeight w:val="709"/>
            </w:trPr>
            <w:tc>
              <w:tcPr>
                <w:tcW w:w="2503" w:type="pct"/>
              </w:tcPr>
              <w:tbl>
                <w:tblPr>
                  <w:tblW w:w="5000"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5021"/>
                  <w:gridCol w:w="3850"/>
                </w:tblGrid>
                <w:tr w:rsidR="00BD5B06" w14:paraId="071C7555" w14:textId="77777777" w:rsidTr="00D41C97">
                  <w:trPr>
                    <w:trHeight w:val="709"/>
                  </w:trPr>
                  <w:tc>
                    <w:tcPr>
                      <w:tcW w:w="2830" w:type="pct"/>
                      <w:vAlign w:val="bottom"/>
                    </w:tcPr>
                    <w:p w14:paraId="651D4BE8" w14:textId="13615A92" w:rsidR="00BD5B06" w:rsidRPr="002F5314" w:rsidRDefault="00BD5B06" w:rsidP="00D41C97">
                      <w:pPr>
                        <w:spacing w:before="60"/>
                        <w:jc w:val="left"/>
                        <w:rPr>
                          <w:rFonts w:ascii="Century Gothic" w:eastAsia="Batang" w:hAnsi="Century Gothic" w:cs="Tahoma"/>
                        </w:rPr>
                      </w:pPr>
                      <w:r>
                        <w:rPr>
                          <w:rFonts w:ascii="Century Gothic" w:eastAsia="Batang" w:hAnsi="Century Gothic" w:cs="Tahoma"/>
                        </w:rPr>
                        <w:fldChar w:fldCharType="begin"/>
                      </w:r>
                      <w:r>
                        <w:rPr>
                          <w:rFonts w:ascii="Century Gothic" w:eastAsia="Batang" w:hAnsi="Century Gothic" w:cs="Tahoma"/>
                        </w:rPr>
                        <w:instrText xml:space="preserve"> STYLEREF  Título </w:instrText>
                      </w:r>
                      <w:r>
                        <w:rPr>
                          <w:rFonts w:ascii="Century Gothic" w:eastAsia="Batang" w:hAnsi="Century Gothic" w:cs="Tahoma"/>
                        </w:rPr>
                        <w:fldChar w:fldCharType="end"/>
                      </w:r>
                      <w:r>
                        <w:rPr>
                          <w:rFonts w:ascii="Century Gothic" w:eastAsia="Batang" w:hAnsi="Century Gothic" w:cs="Tahoma"/>
                        </w:rPr>
                        <w:t>Conclusão</w:t>
                      </w:r>
                    </w:p>
                  </w:tc>
                  <w:tc>
                    <w:tcPr>
                      <w:tcW w:w="2170" w:type="pct"/>
                    </w:tcPr>
                    <w:p w14:paraId="2FF5E344"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69CDF83F" w14:textId="77777777" w:rsidR="00BD5B06" w:rsidRPr="00867D5E" w:rsidRDefault="00BD5B06" w:rsidP="002F5314">
                <w:pPr>
                  <w:spacing w:before="60"/>
                </w:pPr>
              </w:p>
            </w:tc>
            <w:tc>
              <w:tcPr>
                <w:tcW w:w="1413" w:type="pct"/>
              </w:tcPr>
              <w:p w14:paraId="1DB975D6" w14:textId="77777777" w:rsidR="00BD5B06" w:rsidRPr="00867D5E" w:rsidRDefault="00BD5B06" w:rsidP="002F5314">
                <w:pPr>
                  <w:tabs>
                    <w:tab w:val="left" w:pos="1455"/>
                  </w:tabs>
                </w:pPr>
              </w:p>
            </w:tc>
            <w:tc>
              <w:tcPr>
                <w:tcW w:w="1084" w:type="pct"/>
              </w:tcPr>
              <w:p w14:paraId="6EEA4A43"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203F5CF1" w14:textId="77777777" w:rsidR="00BD5B06" w:rsidRPr="00867D5E" w:rsidRDefault="00BD5B06" w:rsidP="002F5314">
          <w:pPr>
            <w:tabs>
              <w:tab w:val="left" w:pos="1455"/>
            </w:tabs>
          </w:pPr>
        </w:p>
      </w:tc>
      <w:tc>
        <w:tcPr>
          <w:tcW w:w="1413" w:type="pct"/>
        </w:tcPr>
        <w:p w14:paraId="39DD45A5" w14:textId="77777777" w:rsidR="00BD5B06" w:rsidRPr="00867D5E" w:rsidRDefault="00BD5B06" w:rsidP="002F5314">
          <w:pPr>
            <w:tabs>
              <w:tab w:val="left" w:pos="1455"/>
            </w:tabs>
          </w:pPr>
        </w:p>
      </w:tc>
      <w:tc>
        <w:tcPr>
          <w:tcW w:w="1084" w:type="pct"/>
        </w:tcPr>
        <w:p w14:paraId="78C59857" w14:textId="77777777" w:rsidR="00BD5B06" w:rsidRPr="00C82C1E" w:rsidRDefault="00BD5B06" w:rsidP="002F5314">
          <w:pPr>
            <w:jc w:val="right"/>
            <w:rPr>
              <w:sz w:val="24"/>
              <w:szCs w:val="24"/>
            </w:rPr>
          </w:pPr>
        </w:p>
      </w:tc>
    </w:tr>
  </w:tbl>
  <w:p w14:paraId="6B39EC0D" w14:textId="77777777" w:rsidR="00BD5B06" w:rsidRDefault="00BD5B06" w:rsidP="002F5314"/>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10222"/>
      <w:gridCol w:w="4847"/>
      <w:gridCol w:w="3617"/>
    </w:tblGrid>
    <w:tr w:rsidR="00BD5B06" w14:paraId="336F7D25"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995"/>
            <w:gridCol w:w="5642"/>
            <w:gridCol w:w="4329"/>
          </w:tblGrid>
          <w:tr w:rsidR="00BD5B06" w14:paraId="3936AC78" w14:textId="77777777" w:rsidTr="00874EF4">
            <w:trPr>
              <w:trHeight w:val="709"/>
            </w:trPr>
            <w:tc>
              <w:tcPr>
                <w:tcW w:w="2503" w:type="pct"/>
              </w:tcPr>
              <w:tbl>
                <w:tblPr>
                  <w:tblW w:w="911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8265"/>
                  <w:gridCol w:w="851"/>
                </w:tblGrid>
                <w:tr w:rsidR="00BD5B06" w14:paraId="17952FE9" w14:textId="77777777" w:rsidTr="003B3478">
                  <w:trPr>
                    <w:trHeight w:val="709"/>
                  </w:trPr>
                  <w:tc>
                    <w:tcPr>
                      <w:tcW w:w="4533" w:type="pct"/>
                      <w:vAlign w:val="bottom"/>
                    </w:tcPr>
                    <w:p w14:paraId="02FDEF75" w14:textId="77777777" w:rsidR="00BD5B06" w:rsidRPr="002F5314" w:rsidRDefault="00BD5B06" w:rsidP="00FA2C07">
                      <w:pPr>
                        <w:spacing w:before="60"/>
                        <w:jc w:val="left"/>
                        <w:rPr>
                          <w:rFonts w:ascii="Century Gothic" w:eastAsia="Batang" w:hAnsi="Century Gothic" w:cs="Tahoma"/>
                        </w:rPr>
                      </w:pPr>
                      <w:r>
                        <w:rPr>
                          <w:rFonts w:ascii="Century Gothic" w:eastAsia="Batang" w:hAnsi="Century Gothic" w:cs="Tahoma"/>
                        </w:rPr>
                        <w:t>Conclusão</w:t>
                      </w:r>
                    </w:p>
                  </w:tc>
                  <w:tc>
                    <w:tcPr>
                      <w:tcW w:w="467" w:type="pct"/>
                    </w:tcPr>
                    <w:p w14:paraId="62D81B1E"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515BB83D" w14:textId="77777777" w:rsidR="00BD5B06" w:rsidRPr="00867D5E" w:rsidRDefault="00BD5B06" w:rsidP="002F5314">
                <w:pPr>
                  <w:spacing w:before="60"/>
                </w:pPr>
              </w:p>
            </w:tc>
            <w:tc>
              <w:tcPr>
                <w:tcW w:w="1413" w:type="pct"/>
              </w:tcPr>
              <w:p w14:paraId="46B7D7A6" w14:textId="77777777" w:rsidR="00BD5B06" w:rsidRPr="00867D5E" w:rsidRDefault="00BD5B06" w:rsidP="002F5314">
                <w:pPr>
                  <w:tabs>
                    <w:tab w:val="left" w:pos="1455"/>
                  </w:tabs>
                </w:pPr>
              </w:p>
            </w:tc>
            <w:tc>
              <w:tcPr>
                <w:tcW w:w="1084" w:type="pct"/>
              </w:tcPr>
              <w:p w14:paraId="15D8CCD4"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01834E11" w14:textId="77777777" w:rsidR="00BD5B06" w:rsidRPr="00867D5E" w:rsidRDefault="00BD5B06" w:rsidP="002F5314">
          <w:pPr>
            <w:tabs>
              <w:tab w:val="left" w:pos="1455"/>
            </w:tabs>
          </w:pPr>
        </w:p>
      </w:tc>
      <w:tc>
        <w:tcPr>
          <w:tcW w:w="1413" w:type="pct"/>
        </w:tcPr>
        <w:p w14:paraId="255686D1" w14:textId="77777777" w:rsidR="00BD5B06" w:rsidRPr="00867D5E" w:rsidRDefault="00BD5B06" w:rsidP="002F5314">
          <w:pPr>
            <w:tabs>
              <w:tab w:val="left" w:pos="1455"/>
            </w:tabs>
          </w:pPr>
        </w:p>
      </w:tc>
      <w:tc>
        <w:tcPr>
          <w:tcW w:w="1084" w:type="pct"/>
        </w:tcPr>
        <w:p w14:paraId="037ED2F4" w14:textId="77777777" w:rsidR="00BD5B06" w:rsidRPr="00C82C1E" w:rsidRDefault="00BD5B06" w:rsidP="002F5314">
          <w:pPr>
            <w:jc w:val="right"/>
            <w:rPr>
              <w:sz w:val="24"/>
              <w:szCs w:val="24"/>
            </w:rPr>
          </w:pPr>
        </w:p>
      </w:tc>
    </w:tr>
  </w:tbl>
  <w:p w14:paraId="5720D3DD" w14:textId="77777777" w:rsidR="00BD5B06" w:rsidRDefault="00BD5B06" w:rsidP="002F5314"/>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10222"/>
      <w:gridCol w:w="4847"/>
      <w:gridCol w:w="3617"/>
    </w:tblGrid>
    <w:tr w:rsidR="00BD5B06" w14:paraId="72C8B46C"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995"/>
            <w:gridCol w:w="5642"/>
            <w:gridCol w:w="4329"/>
          </w:tblGrid>
          <w:tr w:rsidR="00BD5B06" w14:paraId="5ABB8228" w14:textId="77777777" w:rsidTr="00874EF4">
            <w:trPr>
              <w:trHeight w:val="709"/>
            </w:trPr>
            <w:tc>
              <w:tcPr>
                <w:tcW w:w="2503" w:type="pct"/>
              </w:tcPr>
              <w:tbl>
                <w:tblPr>
                  <w:tblW w:w="911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8265"/>
                  <w:gridCol w:w="851"/>
                </w:tblGrid>
                <w:tr w:rsidR="00BD5B06" w14:paraId="1602D9EC" w14:textId="77777777" w:rsidTr="003B3478">
                  <w:trPr>
                    <w:trHeight w:val="709"/>
                  </w:trPr>
                  <w:tc>
                    <w:tcPr>
                      <w:tcW w:w="4533" w:type="pct"/>
                      <w:vAlign w:val="bottom"/>
                    </w:tcPr>
                    <w:p w14:paraId="2FB0A6E1" w14:textId="77777777" w:rsidR="00BD5B06" w:rsidRPr="002F5314" w:rsidRDefault="00BD5B06" w:rsidP="00FA2C07">
                      <w:pPr>
                        <w:spacing w:before="60"/>
                        <w:jc w:val="left"/>
                        <w:rPr>
                          <w:rFonts w:ascii="Century Gothic" w:eastAsia="Batang" w:hAnsi="Century Gothic" w:cs="Tahoma"/>
                        </w:rPr>
                      </w:pPr>
                      <w:r>
                        <w:rPr>
                          <w:rFonts w:ascii="Century Gothic" w:eastAsia="Batang" w:hAnsi="Century Gothic" w:cs="Tahoma"/>
                        </w:rPr>
                        <w:t>Conclusão</w:t>
                      </w:r>
                    </w:p>
                  </w:tc>
                  <w:tc>
                    <w:tcPr>
                      <w:tcW w:w="467" w:type="pct"/>
                    </w:tcPr>
                    <w:p w14:paraId="26FEBF6F"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066EE8FC" w14:textId="77777777" w:rsidR="00BD5B06" w:rsidRPr="00867D5E" w:rsidRDefault="00BD5B06" w:rsidP="002F5314">
                <w:pPr>
                  <w:spacing w:before="60"/>
                </w:pPr>
              </w:p>
            </w:tc>
            <w:tc>
              <w:tcPr>
                <w:tcW w:w="1413" w:type="pct"/>
              </w:tcPr>
              <w:p w14:paraId="67ECD280" w14:textId="77777777" w:rsidR="00BD5B06" w:rsidRPr="00867D5E" w:rsidRDefault="00BD5B06" w:rsidP="002F5314">
                <w:pPr>
                  <w:tabs>
                    <w:tab w:val="left" w:pos="1455"/>
                  </w:tabs>
                </w:pPr>
              </w:p>
            </w:tc>
            <w:tc>
              <w:tcPr>
                <w:tcW w:w="1084" w:type="pct"/>
              </w:tcPr>
              <w:p w14:paraId="0354793B"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667D1B70" w14:textId="77777777" w:rsidR="00BD5B06" w:rsidRPr="00867D5E" w:rsidRDefault="00BD5B06" w:rsidP="002F5314">
          <w:pPr>
            <w:tabs>
              <w:tab w:val="left" w:pos="1455"/>
            </w:tabs>
          </w:pPr>
        </w:p>
      </w:tc>
      <w:tc>
        <w:tcPr>
          <w:tcW w:w="1413" w:type="pct"/>
        </w:tcPr>
        <w:p w14:paraId="68927F89" w14:textId="77777777" w:rsidR="00BD5B06" w:rsidRPr="00867D5E" w:rsidRDefault="00BD5B06" w:rsidP="002F5314">
          <w:pPr>
            <w:tabs>
              <w:tab w:val="left" w:pos="1455"/>
            </w:tabs>
          </w:pPr>
        </w:p>
      </w:tc>
      <w:tc>
        <w:tcPr>
          <w:tcW w:w="1084" w:type="pct"/>
        </w:tcPr>
        <w:p w14:paraId="5733A188" w14:textId="77777777" w:rsidR="00BD5B06" w:rsidRPr="00C82C1E" w:rsidRDefault="00BD5B06" w:rsidP="002F5314">
          <w:pPr>
            <w:jc w:val="right"/>
            <w:rPr>
              <w:sz w:val="24"/>
              <w:szCs w:val="24"/>
            </w:rPr>
          </w:pPr>
        </w:p>
      </w:tc>
    </w:tr>
  </w:tbl>
  <w:p w14:paraId="18BE8128" w14:textId="77777777" w:rsidR="00BD5B06" w:rsidRDefault="00BD5B06" w:rsidP="002F5314"/>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10222"/>
      <w:gridCol w:w="4847"/>
      <w:gridCol w:w="3617"/>
    </w:tblGrid>
    <w:tr w:rsidR="00BD5B06" w14:paraId="5E19C0C8"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995"/>
            <w:gridCol w:w="5642"/>
            <w:gridCol w:w="4329"/>
          </w:tblGrid>
          <w:tr w:rsidR="00BD5B06" w14:paraId="2EC0A41E" w14:textId="77777777" w:rsidTr="00874EF4">
            <w:trPr>
              <w:trHeight w:val="709"/>
            </w:trPr>
            <w:tc>
              <w:tcPr>
                <w:tcW w:w="2503" w:type="pct"/>
              </w:tcPr>
              <w:tbl>
                <w:tblPr>
                  <w:tblW w:w="911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5021"/>
                  <w:gridCol w:w="4095"/>
                </w:tblGrid>
                <w:tr w:rsidR="00BD5B06" w14:paraId="593BC74D" w14:textId="77777777" w:rsidTr="003B3478">
                  <w:trPr>
                    <w:trHeight w:val="709"/>
                  </w:trPr>
                  <w:tc>
                    <w:tcPr>
                      <w:tcW w:w="2754" w:type="pct"/>
                      <w:vAlign w:val="bottom"/>
                    </w:tcPr>
                    <w:p w14:paraId="0BC5F25D" w14:textId="0D1DB890" w:rsidR="00BD5B06" w:rsidRPr="002F5314" w:rsidRDefault="00BD5B06" w:rsidP="00D41C97">
                      <w:pPr>
                        <w:spacing w:before="60"/>
                        <w:jc w:val="left"/>
                        <w:rPr>
                          <w:rFonts w:ascii="Century Gothic" w:eastAsia="Batang" w:hAnsi="Century Gothic" w:cs="Tahoma"/>
                        </w:rPr>
                      </w:pPr>
                      <w:r>
                        <w:rPr>
                          <w:rFonts w:ascii="Century Gothic" w:eastAsia="Batang" w:hAnsi="Century Gothic" w:cs="Tahoma"/>
                        </w:rPr>
                        <w:fldChar w:fldCharType="begin"/>
                      </w:r>
                      <w:r>
                        <w:rPr>
                          <w:rFonts w:ascii="Century Gothic" w:eastAsia="Batang" w:hAnsi="Century Gothic" w:cs="Tahoma"/>
                        </w:rPr>
                        <w:instrText xml:space="preserve"> STYLEREF  Título </w:instrText>
                      </w:r>
                      <w:r>
                        <w:rPr>
                          <w:rFonts w:ascii="Century Gothic" w:eastAsia="Batang" w:hAnsi="Century Gothic" w:cs="Tahoma"/>
                        </w:rPr>
                        <w:fldChar w:fldCharType="end"/>
                      </w:r>
                      <w:r>
                        <w:rPr>
                          <w:rFonts w:ascii="Century Gothic" w:eastAsia="Batang" w:hAnsi="Century Gothic" w:cs="Tahoma"/>
                        </w:rPr>
                        <w:t>Propostas de Determinações e Recomendações</w:t>
                      </w:r>
                    </w:p>
                  </w:tc>
                  <w:tc>
                    <w:tcPr>
                      <w:tcW w:w="2246" w:type="pct"/>
                    </w:tcPr>
                    <w:p w14:paraId="43EF9534"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6559C5E3" w14:textId="77777777" w:rsidR="00BD5B06" w:rsidRPr="00867D5E" w:rsidRDefault="00BD5B06" w:rsidP="002F5314">
                <w:pPr>
                  <w:spacing w:before="60"/>
                </w:pPr>
              </w:p>
            </w:tc>
            <w:tc>
              <w:tcPr>
                <w:tcW w:w="1413" w:type="pct"/>
              </w:tcPr>
              <w:p w14:paraId="40098B67" w14:textId="77777777" w:rsidR="00BD5B06" w:rsidRPr="00867D5E" w:rsidRDefault="00BD5B06" w:rsidP="002F5314">
                <w:pPr>
                  <w:tabs>
                    <w:tab w:val="left" w:pos="1455"/>
                  </w:tabs>
                </w:pPr>
              </w:p>
            </w:tc>
            <w:tc>
              <w:tcPr>
                <w:tcW w:w="1084" w:type="pct"/>
              </w:tcPr>
              <w:p w14:paraId="4935C483"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2F64D42A" w14:textId="77777777" w:rsidR="00BD5B06" w:rsidRPr="00867D5E" w:rsidRDefault="00BD5B06" w:rsidP="002F5314">
          <w:pPr>
            <w:tabs>
              <w:tab w:val="left" w:pos="1455"/>
            </w:tabs>
          </w:pPr>
        </w:p>
      </w:tc>
      <w:tc>
        <w:tcPr>
          <w:tcW w:w="1413" w:type="pct"/>
        </w:tcPr>
        <w:p w14:paraId="4A2C0AC0" w14:textId="77777777" w:rsidR="00BD5B06" w:rsidRPr="00867D5E" w:rsidRDefault="00BD5B06" w:rsidP="002F5314">
          <w:pPr>
            <w:tabs>
              <w:tab w:val="left" w:pos="1455"/>
            </w:tabs>
          </w:pPr>
        </w:p>
      </w:tc>
      <w:tc>
        <w:tcPr>
          <w:tcW w:w="1084" w:type="pct"/>
        </w:tcPr>
        <w:p w14:paraId="16A54A22" w14:textId="77777777" w:rsidR="00BD5B06" w:rsidRPr="00C82C1E" w:rsidRDefault="00BD5B06" w:rsidP="002F5314">
          <w:pPr>
            <w:jc w:val="right"/>
            <w:rPr>
              <w:sz w:val="24"/>
              <w:szCs w:val="24"/>
            </w:rPr>
          </w:pPr>
        </w:p>
      </w:tc>
    </w:tr>
  </w:tbl>
  <w:p w14:paraId="1D05AEF8" w14:textId="77777777" w:rsidR="00BD5B06" w:rsidRDefault="00BD5B06" w:rsidP="002F5314"/>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10222"/>
      <w:gridCol w:w="4847"/>
      <w:gridCol w:w="3617"/>
    </w:tblGrid>
    <w:tr w:rsidR="00BD5B06" w14:paraId="7174BC97"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995"/>
            <w:gridCol w:w="5642"/>
            <w:gridCol w:w="4329"/>
          </w:tblGrid>
          <w:tr w:rsidR="00BD5B06" w14:paraId="23996C61" w14:textId="77777777" w:rsidTr="00874EF4">
            <w:trPr>
              <w:trHeight w:val="709"/>
            </w:trPr>
            <w:tc>
              <w:tcPr>
                <w:tcW w:w="2503" w:type="pct"/>
              </w:tcPr>
              <w:tbl>
                <w:tblPr>
                  <w:tblW w:w="911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8265"/>
                  <w:gridCol w:w="851"/>
                </w:tblGrid>
                <w:tr w:rsidR="00BD5B06" w14:paraId="5DF49178" w14:textId="77777777" w:rsidTr="003B3478">
                  <w:trPr>
                    <w:trHeight w:val="709"/>
                  </w:trPr>
                  <w:tc>
                    <w:tcPr>
                      <w:tcW w:w="4533" w:type="pct"/>
                      <w:vAlign w:val="bottom"/>
                    </w:tcPr>
                    <w:p w14:paraId="34A2840B" w14:textId="77777777" w:rsidR="00BD5B06" w:rsidRPr="002F5314" w:rsidRDefault="00BD5B06" w:rsidP="00FA2C07">
                      <w:pPr>
                        <w:spacing w:before="60"/>
                        <w:jc w:val="left"/>
                        <w:rPr>
                          <w:rFonts w:ascii="Century Gothic" w:eastAsia="Batang" w:hAnsi="Century Gothic" w:cs="Tahoma"/>
                        </w:rPr>
                      </w:pPr>
                      <w:r>
                        <w:rPr>
                          <w:rFonts w:ascii="Century Gothic" w:eastAsia="Batang" w:hAnsi="Century Gothic" w:cs="Tahoma"/>
                        </w:rPr>
                        <w:t>Propostas de Determinações e Recomendações</w:t>
                      </w:r>
                    </w:p>
                  </w:tc>
                  <w:tc>
                    <w:tcPr>
                      <w:tcW w:w="467" w:type="pct"/>
                    </w:tcPr>
                    <w:p w14:paraId="59B05D35"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0A7D92EC" w14:textId="77777777" w:rsidR="00BD5B06" w:rsidRPr="00867D5E" w:rsidRDefault="00BD5B06" w:rsidP="002F5314">
                <w:pPr>
                  <w:spacing w:before="60"/>
                </w:pPr>
              </w:p>
            </w:tc>
            <w:tc>
              <w:tcPr>
                <w:tcW w:w="1413" w:type="pct"/>
              </w:tcPr>
              <w:p w14:paraId="0E7A118C" w14:textId="77777777" w:rsidR="00BD5B06" w:rsidRPr="00867D5E" w:rsidRDefault="00BD5B06" w:rsidP="002F5314">
                <w:pPr>
                  <w:tabs>
                    <w:tab w:val="left" w:pos="1455"/>
                  </w:tabs>
                </w:pPr>
              </w:p>
            </w:tc>
            <w:tc>
              <w:tcPr>
                <w:tcW w:w="1084" w:type="pct"/>
              </w:tcPr>
              <w:p w14:paraId="7BFFE8F8"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4FDF897F" w14:textId="77777777" w:rsidR="00BD5B06" w:rsidRPr="00867D5E" w:rsidRDefault="00BD5B06" w:rsidP="002F5314">
          <w:pPr>
            <w:tabs>
              <w:tab w:val="left" w:pos="1455"/>
            </w:tabs>
          </w:pPr>
        </w:p>
      </w:tc>
      <w:tc>
        <w:tcPr>
          <w:tcW w:w="1413" w:type="pct"/>
        </w:tcPr>
        <w:p w14:paraId="4DAAB92F" w14:textId="77777777" w:rsidR="00BD5B06" w:rsidRPr="00867D5E" w:rsidRDefault="00BD5B06" w:rsidP="002F5314">
          <w:pPr>
            <w:tabs>
              <w:tab w:val="left" w:pos="1455"/>
            </w:tabs>
          </w:pPr>
        </w:p>
      </w:tc>
      <w:tc>
        <w:tcPr>
          <w:tcW w:w="1084" w:type="pct"/>
        </w:tcPr>
        <w:p w14:paraId="298F1711" w14:textId="77777777" w:rsidR="00BD5B06" w:rsidRPr="00C82C1E" w:rsidRDefault="00BD5B06" w:rsidP="002F5314">
          <w:pPr>
            <w:jc w:val="right"/>
            <w:rPr>
              <w:sz w:val="24"/>
              <w:szCs w:val="24"/>
            </w:rPr>
          </w:pPr>
        </w:p>
      </w:tc>
    </w:tr>
  </w:tbl>
  <w:p w14:paraId="2673EFC2" w14:textId="77777777" w:rsidR="00BD5B06" w:rsidRDefault="00BD5B06" w:rsidP="002F5314"/>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10222"/>
      <w:gridCol w:w="4847"/>
      <w:gridCol w:w="3617"/>
    </w:tblGrid>
    <w:tr w:rsidR="00BD5B06" w14:paraId="4B5027EB"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995"/>
            <w:gridCol w:w="5642"/>
            <w:gridCol w:w="4329"/>
          </w:tblGrid>
          <w:tr w:rsidR="00BD5B06" w14:paraId="604E8080" w14:textId="77777777" w:rsidTr="00874EF4">
            <w:trPr>
              <w:trHeight w:val="709"/>
            </w:trPr>
            <w:tc>
              <w:tcPr>
                <w:tcW w:w="2503" w:type="pct"/>
              </w:tcPr>
              <w:tbl>
                <w:tblPr>
                  <w:tblW w:w="911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5021"/>
                  <w:gridCol w:w="4095"/>
                </w:tblGrid>
                <w:tr w:rsidR="00BD5B06" w14:paraId="2CA47A6F" w14:textId="77777777" w:rsidTr="003B3478">
                  <w:trPr>
                    <w:trHeight w:val="709"/>
                  </w:trPr>
                  <w:tc>
                    <w:tcPr>
                      <w:tcW w:w="2754" w:type="pct"/>
                      <w:vAlign w:val="bottom"/>
                    </w:tcPr>
                    <w:p w14:paraId="47F88496" w14:textId="1CB683E2" w:rsidR="00BD5B06" w:rsidRPr="002F5314" w:rsidRDefault="00BD5B06" w:rsidP="00D41C97">
                      <w:pPr>
                        <w:spacing w:before="60"/>
                        <w:jc w:val="left"/>
                        <w:rPr>
                          <w:rFonts w:ascii="Century Gothic" w:eastAsia="Batang" w:hAnsi="Century Gothic" w:cs="Tahoma"/>
                        </w:rPr>
                      </w:pPr>
                      <w:r>
                        <w:rPr>
                          <w:rFonts w:ascii="Century Gothic" w:eastAsia="Batang" w:hAnsi="Century Gothic" w:cs="Tahoma"/>
                        </w:rPr>
                        <w:fldChar w:fldCharType="begin"/>
                      </w:r>
                      <w:r>
                        <w:rPr>
                          <w:rFonts w:ascii="Century Gothic" w:eastAsia="Batang" w:hAnsi="Century Gothic" w:cs="Tahoma"/>
                        </w:rPr>
                        <w:instrText xml:space="preserve"> STYLEREF  Título </w:instrText>
                      </w:r>
                      <w:r>
                        <w:rPr>
                          <w:rFonts w:ascii="Century Gothic" w:eastAsia="Batang" w:hAnsi="Century Gothic" w:cs="Tahoma"/>
                        </w:rPr>
                        <w:fldChar w:fldCharType="end"/>
                      </w:r>
                      <w:r>
                        <w:rPr>
                          <w:rFonts w:ascii="Century Gothic" w:eastAsia="Batang" w:hAnsi="Century Gothic" w:cs="Tahoma"/>
                        </w:rPr>
                        <w:t>Encaminhamento</w:t>
                      </w:r>
                    </w:p>
                  </w:tc>
                  <w:tc>
                    <w:tcPr>
                      <w:tcW w:w="2246" w:type="pct"/>
                    </w:tcPr>
                    <w:p w14:paraId="24034616"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3CF9AFE5" w14:textId="77777777" w:rsidR="00BD5B06" w:rsidRPr="00867D5E" w:rsidRDefault="00BD5B06" w:rsidP="002F5314">
                <w:pPr>
                  <w:spacing w:before="60"/>
                </w:pPr>
              </w:p>
            </w:tc>
            <w:tc>
              <w:tcPr>
                <w:tcW w:w="1413" w:type="pct"/>
              </w:tcPr>
              <w:p w14:paraId="51DDA72D" w14:textId="77777777" w:rsidR="00BD5B06" w:rsidRPr="00867D5E" w:rsidRDefault="00BD5B06" w:rsidP="002F5314">
                <w:pPr>
                  <w:tabs>
                    <w:tab w:val="left" w:pos="1455"/>
                  </w:tabs>
                </w:pPr>
              </w:p>
            </w:tc>
            <w:tc>
              <w:tcPr>
                <w:tcW w:w="1084" w:type="pct"/>
              </w:tcPr>
              <w:p w14:paraId="3F635206"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3EA4A3EA" w14:textId="77777777" w:rsidR="00BD5B06" w:rsidRPr="00867D5E" w:rsidRDefault="00BD5B06" w:rsidP="002F5314">
          <w:pPr>
            <w:tabs>
              <w:tab w:val="left" w:pos="1455"/>
            </w:tabs>
          </w:pPr>
        </w:p>
      </w:tc>
      <w:tc>
        <w:tcPr>
          <w:tcW w:w="1413" w:type="pct"/>
        </w:tcPr>
        <w:p w14:paraId="4D3113AF" w14:textId="77777777" w:rsidR="00BD5B06" w:rsidRPr="00867D5E" w:rsidRDefault="00BD5B06" w:rsidP="002F5314">
          <w:pPr>
            <w:tabs>
              <w:tab w:val="left" w:pos="1455"/>
            </w:tabs>
          </w:pPr>
        </w:p>
      </w:tc>
      <w:tc>
        <w:tcPr>
          <w:tcW w:w="1084" w:type="pct"/>
        </w:tcPr>
        <w:p w14:paraId="6ECD0BF2" w14:textId="77777777" w:rsidR="00BD5B06" w:rsidRPr="00C82C1E" w:rsidRDefault="00BD5B06" w:rsidP="002F5314">
          <w:pPr>
            <w:jc w:val="right"/>
            <w:rPr>
              <w:sz w:val="24"/>
              <w:szCs w:val="24"/>
            </w:rPr>
          </w:pPr>
        </w:p>
      </w:tc>
    </w:tr>
  </w:tbl>
  <w:p w14:paraId="5D183684" w14:textId="77777777" w:rsidR="00BD5B06" w:rsidRDefault="00BD5B06" w:rsidP="002F5314"/>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10222"/>
      <w:gridCol w:w="4847"/>
      <w:gridCol w:w="3617"/>
    </w:tblGrid>
    <w:tr w:rsidR="00BD5B06" w14:paraId="1E3693B0"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995"/>
            <w:gridCol w:w="5642"/>
            <w:gridCol w:w="4329"/>
          </w:tblGrid>
          <w:tr w:rsidR="00BD5B06" w14:paraId="5037359F" w14:textId="77777777" w:rsidTr="00874EF4">
            <w:trPr>
              <w:trHeight w:val="709"/>
            </w:trPr>
            <w:tc>
              <w:tcPr>
                <w:tcW w:w="2503" w:type="pct"/>
              </w:tcPr>
              <w:tbl>
                <w:tblPr>
                  <w:tblW w:w="911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8265"/>
                  <w:gridCol w:w="851"/>
                </w:tblGrid>
                <w:tr w:rsidR="00BD5B06" w14:paraId="48C68E67" w14:textId="77777777" w:rsidTr="00E87241">
                  <w:trPr>
                    <w:trHeight w:val="709"/>
                  </w:trPr>
                  <w:tc>
                    <w:tcPr>
                      <w:tcW w:w="4533" w:type="pct"/>
                      <w:vAlign w:val="bottom"/>
                    </w:tcPr>
                    <w:p w14:paraId="310F7058" w14:textId="77777777" w:rsidR="00BD5B06" w:rsidRPr="002F5314" w:rsidRDefault="00BD5B06" w:rsidP="00FA2C07">
                      <w:pPr>
                        <w:spacing w:before="60"/>
                        <w:jc w:val="left"/>
                        <w:rPr>
                          <w:rFonts w:ascii="Century Gothic" w:eastAsia="Batang" w:hAnsi="Century Gothic" w:cs="Tahoma"/>
                        </w:rPr>
                      </w:pPr>
                      <w:r>
                        <w:rPr>
                          <w:rFonts w:ascii="Century Gothic" w:eastAsia="Batang" w:hAnsi="Century Gothic" w:cs="Tahoma"/>
                        </w:rPr>
                        <w:t>Encaminhamento</w:t>
                      </w:r>
                    </w:p>
                  </w:tc>
                  <w:tc>
                    <w:tcPr>
                      <w:tcW w:w="467" w:type="pct"/>
                    </w:tcPr>
                    <w:p w14:paraId="3855A5CD"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0451D299" w14:textId="77777777" w:rsidR="00BD5B06" w:rsidRPr="00867D5E" w:rsidRDefault="00BD5B06" w:rsidP="002F5314">
                <w:pPr>
                  <w:spacing w:before="60"/>
                </w:pPr>
              </w:p>
            </w:tc>
            <w:tc>
              <w:tcPr>
                <w:tcW w:w="1413" w:type="pct"/>
              </w:tcPr>
              <w:p w14:paraId="5208EE81" w14:textId="77777777" w:rsidR="00BD5B06" w:rsidRPr="00867D5E" w:rsidRDefault="00BD5B06" w:rsidP="002F5314">
                <w:pPr>
                  <w:tabs>
                    <w:tab w:val="left" w:pos="1455"/>
                  </w:tabs>
                </w:pPr>
              </w:p>
            </w:tc>
            <w:tc>
              <w:tcPr>
                <w:tcW w:w="1084" w:type="pct"/>
              </w:tcPr>
              <w:p w14:paraId="3BB2AA2C"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7110F438" w14:textId="77777777" w:rsidR="00BD5B06" w:rsidRPr="00867D5E" w:rsidRDefault="00BD5B06" w:rsidP="002F5314">
          <w:pPr>
            <w:tabs>
              <w:tab w:val="left" w:pos="1455"/>
            </w:tabs>
          </w:pPr>
        </w:p>
      </w:tc>
      <w:tc>
        <w:tcPr>
          <w:tcW w:w="1413" w:type="pct"/>
        </w:tcPr>
        <w:p w14:paraId="3275F1EB" w14:textId="77777777" w:rsidR="00BD5B06" w:rsidRPr="00867D5E" w:rsidRDefault="00BD5B06" w:rsidP="002F5314">
          <w:pPr>
            <w:tabs>
              <w:tab w:val="left" w:pos="1455"/>
            </w:tabs>
          </w:pPr>
        </w:p>
      </w:tc>
      <w:tc>
        <w:tcPr>
          <w:tcW w:w="1084" w:type="pct"/>
        </w:tcPr>
        <w:p w14:paraId="71CE9BA9" w14:textId="77777777" w:rsidR="00BD5B06" w:rsidRPr="00C82C1E" w:rsidRDefault="00BD5B06" w:rsidP="002F5314">
          <w:pPr>
            <w:jc w:val="right"/>
            <w:rPr>
              <w:sz w:val="24"/>
              <w:szCs w:val="24"/>
            </w:rPr>
          </w:pPr>
        </w:p>
      </w:tc>
    </w:tr>
  </w:tbl>
  <w:p w14:paraId="2ECC92FE" w14:textId="77777777" w:rsidR="00BD5B06" w:rsidRDefault="00BD5B06" w:rsidP="002F5314"/>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10222"/>
      <w:gridCol w:w="4847"/>
      <w:gridCol w:w="3617"/>
    </w:tblGrid>
    <w:tr w:rsidR="00BD5B06" w14:paraId="48B593BE" w14:textId="77777777" w:rsidTr="002F5314">
      <w:trPr>
        <w:trHeight w:val="709"/>
      </w:trPr>
      <w:tc>
        <w:tcPr>
          <w:tcW w:w="2503" w:type="pct"/>
        </w:tcPr>
        <w:tbl>
          <w:tblPr>
            <w:tblW w:w="10014" w:type="pct"/>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9995"/>
            <w:gridCol w:w="5642"/>
            <w:gridCol w:w="4329"/>
          </w:tblGrid>
          <w:tr w:rsidR="00BD5B06" w14:paraId="2A4AD99F" w14:textId="77777777" w:rsidTr="00874EF4">
            <w:trPr>
              <w:trHeight w:val="709"/>
            </w:trPr>
            <w:tc>
              <w:tcPr>
                <w:tcW w:w="2503" w:type="pct"/>
              </w:tcPr>
              <w:tbl>
                <w:tblPr>
                  <w:tblW w:w="9116" w:type="dxa"/>
                  <w:tblBorders>
                    <w:right w:val="single" w:sz="18" w:space="0" w:color="00B0F0"/>
                  </w:tblBorders>
                  <w:tblCellMar>
                    <w:top w:w="58" w:type="dxa"/>
                    <w:left w:w="115" w:type="dxa"/>
                    <w:bottom w:w="58" w:type="dxa"/>
                    <w:right w:w="115" w:type="dxa"/>
                  </w:tblCellMar>
                  <w:tblLook w:val="04A0" w:firstRow="1" w:lastRow="0" w:firstColumn="1" w:lastColumn="0" w:noHBand="0" w:noVBand="1"/>
                </w:tblPr>
                <w:tblGrid>
                  <w:gridCol w:w="8265"/>
                  <w:gridCol w:w="851"/>
                </w:tblGrid>
                <w:tr w:rsidR="00BD5B06" w14:paraId="1B5740BE" w14:textId="77777777" w:rsidTr="00E87241">
                  <w:trPr>
                    <w:trHeight w:val="709"/>
                  </w:trPr>
                  <w:tc>
                    <w:tcPr>
                      <w:tcW w:w="4533" w:type="pct"/>
                      <w:vAlign w:val="bottom"/>
                    </w:tcPr>
                    <w:p w14:paraId="0FB24196" w14:textId="77777777" w:rsidR="00BD5B06" w:rsidRPr="002F5314" w:rsidRDefault="00BD5B06" w:rsidP="00FA2C07">
                      <w:pPr>
                        <w:spacing w:before="60"/>
                        <w:jc w:val="left"/>
                        <w:rPr>
                          <w:rFonts w:ascii="Century Gothic" w:eastAsia="Batang" w:hAnsi="Century Gothic" w:cs="Tahoma"/>
                        </w:rPr>
                      </w:pPr>
                      <w:r>
                        <w:rPr>
                          <w:rFonts w:ascii="Century Gothic" w:eastAsia="Batang" w:hAnsi="Century Gothic" w:cs="Tahoma"/>
                        </w:rPr>
                        <w:t>Encaminhamento</w:t>
                      </w:r>
                    </w:p>
                  </w:tc>
                  <w:tc>
                    <w:tcPr>
                      <w:tcW w:w="467" w:type="pct"/>
                    </w:tcPr>
                    <w:p w14:paraId="448AC93F"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7D5B7E1B" w14:textId="77777777" w:rsidR="00BD5B06" w:rsidRPr="00867D5E" w:rsidRDefault="00BD5B06" w:rsidP="002F5314">
                <w:pPr>
                  <w:spacing w:before="60"/>
                </w:pPr>
              </w:p>
            </w:tc>
            <w:tc>
              <w:tcPr>
                <w:tcW w:w="1413" w:type="pct"/>
              </w:tcPr>
              <w:p w14:paraId="3A01BDC8" w14:textId="77777777" w:rsidR="00BD5B06" w:rsidRPr="00867D5E" w:rsidRDefault="00BD5B06" w:rsidP="002F5314">
                <w:pPr>
                  <w:tabs>
                    <w:tab w:val="left" w:pos="1455"/>
                  </w:tabs>
                </w:pPr>
              </w:p>
            </w:tc>
            <w:tc>
              <w:tcPr>
                <w:tcW w:w="1084" w:type="pct"/>
              </w:tcPr>
              <w:p w14:paraId="6FDA71C1" w14:textId="77777777" w:rsidR="00BD5B06" w:rsidRPr="00C82C1E" w:rsidRDefault="00BD5B06" w:rsidP="002F5314">
                <w:pPr>
                  <w:jc w:val="right"/>
                  <w:rPr>
                    <w:sz w:val="24"/>
                    <w:szCs w:val="24"/>
                  </w:rPr>
                </w:pPr>
                <w:r>
                  <w:br/>
                </w:r>
                <w:r w:rsidRPr="00C82C1E">
                  <w:rPr>
                    <w:sz w:val="24"/>
                    <w:szCs w:val="24"/>
                  </w:rPr>
                  <w:fldChar w:fldCharType="begin"/>
                </w:r>
                <w:r w:rsidRPr="00C82C1E">
                  <w:rPr>
                    <w:sz w:val="24"/>
                    <w:szCs w:val="24"/>
                  </w:rPr>
                  <w:instrText xml:space="preserve"> PAGE   \* MERGEFORMAT </w:instrText>
                </w:r>
                <w:r w:rsidRPr="00C82C1E">
                  <w:rPr>
                    <w:sz w:val="24"/>
                    <w:szCs w:val="24"/>
                  </w:rPr>
                  <w:fldChar w:fldCharType="separate"/>
                </w:r>
                <w:r>
                  <w:rPr>
                    <w:sz w:val="24"/>
                    <w:szCs w:val="24"/>
                  </w:rPr>
                  <w:t>11</w:t>
                </w:r>
                <w:r w:rsidRPr="00C82C1E">
                  <w:rPr>
                    <w:sz w:val="24"/>
                    <w:szCs w:val="24"/>
                  </w:rPr>
                  <w:fldChar w:fldCharType="end"/>
                </w:r>
              </w:p>
            </w:tc>
          </w:tr>
        </w:tbl>
        <w:p w14:paraId="148B80CE" w14:textId="77777777" w:rsidR="00BD5B06" w:rsidRPr="00867D5E" w:rsidRDefault="00BD5B06" w:rsidP="002F5314">
          <w:pPr>
            <w:tabs>
              <w:tab w:val="left" w:pos="1455"/>
            </w:tabs>
          </w:pPr>
        </w:p>
      </w:tc>
      <w:tc>
        <w:tcPr>
          <w:tcW w:w="1413" w:type="pct"/>
        </w:tcPr>
        <w:p w14:paraId="46D922B9" w14:textId="77777777" w:rsidR="00BD5B06" w:rsidRPr="00867D5E" w:rsidRDefault="00BD5B06" w:rsidP="002F5314">
          <w:pPr>
            <w:tabs>
              <w:tab w:val="left" w:pos="1455"/>
            </w:tabs>
          </w:pPr>
        </w:p>
      </w:tc>
      <w:tc>
        <w:tcPr>
          <w:tcW w:w="1084" w:type="pct"/>
        </w:tcPr>
        <w:p w14:paraId="1315DC6A" w14:textId="77777777" w:rsidR="00BD5B06" w:rsidRPr="00C82C1E" w:rsidRDefault="00BD5B06" w:rsidP="002F5314">
          <w:pPr>
            <w:jc w:val="right"/>
            <w:rPr>
              <w:sz w:val="24"/>
              <w:szCs w:val="24"/>
            </w:rPr>
          </w:pPr>
        </w:p>
      </w:tc>
    </w:tr>
  </w:tbl>
  <w:p w14:paraId="78F1B391" w14:textId="77777777" w:rsidR="00BD5B06" w:rsidRDefault="00BD5B06" w:rsidP="002F531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1EAC89" w14:textId="77777777" w:rsidR="00BD5B06" w:rsidRDefault="00BD5B06">
      <w:r>
        <w:separator/>
      </w:r>
    </w:p>
  </w:footnote>
  <w:footnote w:type="continuationSeparator" w:id="0">
    <w:p w14:paraId="0239CA26" w14:textId="77777777" w:rsidR="00BD5B06" w:rsidRDefault="00BD5B06">
      <w:r>
        <w:continuationSeparator/>
      </w:r>
    </w:p>
  </w:footnote>
  <w:footnote w:id="1">
    <w:p w14:paraId="771773D6" w14:textId="77777777" w:rsidR="00BD5B06" w:rsidRPr="00EA1A6E" w:rsidRDefault="00BD5B06" w:rsidP="00A96988">
      <w:pPr>
        <w:pStyle w:val="Textodenotaderodap"/>
        <w:rPr>
          <w:sz w:val="16"/>
          <w:szCs w:val="16"/>
        </w:rPr>
      </w:pPr>
      <w:r w:rsidRPr="00EA1A6E">
        <w:rPr>
          <w:rStyle w:val="Refdenotaderodap"/>
          <w:sz w:val="16"/>
          <w:szCs w:val="16"/>
        </w:rPr>
        <w:footnoteRef/>
      </w:r>
      <w:r w:rsidRPr="00EA1A6E">
        <w:rPr>
          <w:sz w:val="16"/>
          <w:szCs w:val="16"/>
        </w:rPr>
        <w:t xml:space="preserve"> Lei Complementar Federal nº 101/2000 (LRF), art. 2º, III;</w:t>
      </w:r>
    </w:p>
  </w:footnote>
  <w:footnote w:id="2">
    <w:p w14:paraId="1593352F" w14:textId="77777777" w:rsidR="00BD5B06" w:rsidRPr="00C3742C" w:rsidRDefault="00BD5B06" w:rsidP="00A96988">
      <w:pPr>
        <w:pStyle w:val="Textodenotaderodap"/>
        <w:rPr>
          <w:sz w:val="16"/>
          <w:szCs w:val="16"/>
        </w:rPr>
      </w:pPr>
      <w:r w:rsidRPr="00C3742C">
        <w:rPr>
          <w:rStyle w:val="Refdenotaderodap"/>
          <w:sz w:val="16"/>
          <w:szCs w:val="16"/>
        </w:rPr>
        <w:footnoteRef/>
      </w:r>
      <w:r w:rsidRPr="00C3742C">
        <w:rPr>
          <w:sz w:val="16"/>
          <w:szCs w:val="16"/>
        </w:rPr>
        <w:t xml:space="preserve"> Revogada pela Lei Estadual nº 19.877 em 30 de outubro de 2017</w:t>
      </w:r>
      <w:r>
        <w:rPr>
          <w:sz w:val="16"/>
          <w:szCs w:val="16"/>
        </w:rPr>
        <w:t>;</w:t>
      </w:r>
    </w:p>
  </w:footnote>
  <w:footnote w:id="3">
    <w:p w14:paraId="4B6C102F" w14:textId="77777777" w:rsidR="00BD5B06" w:rsidRPr="00C3742C" w:rsidRDefault="00BD5B06" w:rsidP="00A96988">
      <w:pPr>
        <w:pStyle w:val="Textodenotaderodap"/>
        <w:rPr>
          <w:sz w:val="16"/>
          <w:szCs w:val="16"/>
        </w:rPr>
      </w:pPr>
      <w:r w:rsidRPr="00C3742C">
        <w:rPr>
          <w:rStyle w:val="Refdenotaderodap"/>
          <w:sz w:val="16"/>
          <w:szCs w:val="16"/>
        </w:rPr>
        <w:footnoteRef/>
      </w:r>
      <w:r w:rsidRPr="00C3742C">
        <w:rPr>
          <w:sz w:val="16"/>
          <w:szCs w:val="16"/>
        </w:rPr>
        <w:t xml:space="preserve"> Art. 167, III, da CRFB/88;</w:t>
      </w:r>
    </w:p>
    <w:p w14:paraId="0BB5B930" w14:textId="77777777" w:rsidR="00BD5B06" w:rsidRPr="00C3742C" w:rsidRDefault="00BD5B06" w:rsidP="00A96988">
      <w:pPr>
        <w:pStyle w:val="Textodenotaderodap"/>
        <w:rPr>
          <w:sz w:val="16"/>
          <w:szCs w:val="16"/>
        </w:rPr>
      </w:pPr>
      <w:r w:rsidRPr="00C3742C">
        <w:rPr>
          <w:sz w:val="16"/>
          <w:szCs w:val="16"/>
        </w:rPr>
        <w:t xml:space="preserve">  Art. 112, III da Constituição do Estado de Goiás;</w:t>
      </w:r>
    </w:p>
    <w:p w14:paraId="558E1F4F" w14:textId="77777777" w:rsidR="00BD5B06" w:rsidRPr="00F52F5F" w:rsidRDefault="00BD5B06" w:rsidP="00A96988">
      <w:pPr>
        <w:pStyle w:val="Textodenotaderodap"/>
        <w:rPr>
          <w:sz w:val="16"/>
          <w:szCs w:val="16"/>
          <w:lang w:val="en-US"/>
        </w:rPr>
      </w:pPr>
      <w:r w:rsidRPr="00C3742C">
        <w:rPr>
          <w:sz w:val="16"/>
          <w:szCs w:val="16"/>
        </w:rPr>
        <w:t xml:space="preserve">  </w:t>
      </w:r>
      <w:r w:rsidRPr="00F52F5F">
        <w:rPr>
          <w:sz w:val="16"/>
          <w:szCs w:val="16"/>
          <w:lang w:val="en-US"/>
        </w:rPr>
        <w:t>Art. 12, § 2º da LRF.</w:t>
      </w:r>
    </w:p>
  </w:footnote>
  <w:footnote w:id="4">
    <w:p w14:paraId="4853EE5E" w14:textId="77777777" w:rsidR="00BD5B06" w:rsidRPr="00F2147B" w:rsidRDefault="00BD5B06" w:rsidP="00A96988">
      <w:pPr>
        <w:pStyle w:val="Textodenotaderodap"/>
        <w:rPr>
          <w:sz w:val="16"/>
          <w:szCs w:val="16"/>
          <w:lang w:val="en-US"/>
        </w:rPr>
      </w:pPr>
      <w:r w:rsidRPr="00F2147B">
        <w:rPr>
          <w:rStyle w:val="Refdenotaderodap"/>
          <w:sz w:val="16"/>
          <w:szCs w:val="16"/>
        </w:rPr>
        <w:footnoteRef/>
      </w:r>
      <w:r w:rsidRPr="00F2147B">
        <w:rPr>
          <w:sz w:val="16"/>
          <w:szCs w:val="16"/>
          <w:lang w:val="en-US"/>
        </w:rPr>
        <w:t xml:space="preserve"> Art. 32 da LRF</w:t>
      </w:r>
    </w:p>
  </w:footnote>
  <w:footnote w:id="5">
    <w:p w14:paraId="56EC6FBA" w14:textId="77777777" w:rsidR="00BD5B06" w:rsidRPr="00020056" w:rsidRDefault="00BD5B06" w:rsidP="00A96988">
      <w:pPr>
        <w:pStyle w:val="Textodenotaderodap"/>
        <w:rPr>
          <w:sz w:val="16"/>
          <w:szCs w:val="16"/>
        </w:rPr>
      </w:pPr>
      <w:r w:rsidRPr="00020056">
        <w:rPr>
          <w:rStyle w:val="Refdenotaderodap"/>
          <w:sz w:val="16"/>
          <w:szCs w:val="16"/>
        </w:rPr>
        <w:footnoteRef/>
      </w:r>
      <w:r w:rsidRPr="00020056">
        <w:rPr>
          <w:sz w:val="16"/>
          <w:szCs w:val="16"/>
        </w:rPr>
        <w:t xml:space="preserve"> Lei Estadual nº 21.232/2022, art. 8º, I, d, II, e, III, e;</w:t>
      </w:r>
    </w:p>
  </w:footnote>
  <w:footnote w:id="6">
    <w:p w14:paraId="47871BC5" w14:textId="77777777" w:rsidR="00BD5B06" w:rsidRPr="00020056" w:rsidRDefault="00BD5B06" w:rsidP="00A96988">
      <w:pPr>
        <w:pStyle w:val="Textodenotaderodap"/>
        <w:rPr>
          <w:sz w:val="16"/>
          <w:szCs w:val="16"/>
        </w:rPr>
      </w:pPr>
      <w:r w:rsidRPr="00020056">
        <w:rPr>
          <w:rStyle w:val="Refdenotaderodap"/>
          <w:sz w:val="16"/>
          <w:szCs w:val="16"/>
        </w:rPr>
        <w:footnoteRef/>
      </w:r>
      <w:r w:rsidRPr="00020056">
        <w:rPr>
          <w:sz w:val="16"/>
          <w:szCs w:val="16"/>
        </w:rPr>
        <w:t xml:space="preserve"> Constituição do Estado de Goiás, art. 111, § 7º;</w:t>
      </w:r>
    </w:p>
  </w:footnote>
  <w:footnote w:id="7">
    <w:p w14:paraId="25412F4E" w14:textId="16517767" w:rsidR="00BD5B06" w:rsidRDefault="00BD5B06" w:rsidP="00A96988">
      <w:pPr>
        <w:pStyle w:val="Textodenotaderodap"/>
        <w:rPr>
          <w:sz w:val="16"/>
          <w:szCs w:val="16"/>
        </w:rPr>
      </w:pPr>
      <w:r>
        <w:rPr>
          <w:rStyle w:val="Refdenotaderodap"/>
        </w:rPr>
        <w:footnoteRef/>
      </w:r>
      <w:hyperlink r:id="rId1" w:history="1">
        <w:r w:rsidRPr="001A4FF4">
          <w:rPr>
            <w:rStyle w:val="Hyperlink"/>
            <w:sz w:val="16"/>
            <w:szCs w:val="16"/>
          </w:rPr>
          <w:t>https://saba.al.go.leg.br/v1/merged/view/sgpd/public/OolKqKr8p_gNkum0w6n4XQ_aLfHjAphvZVxH_R38r8I4An4V-1SzhTj9VvWgYacoSdAj6MRWooVxPlOh8mwr8t80AmqLaGTk605Gs6O3lmQ=/pdf/2023001016</w:t>
        </w:r>
      </w:hyperlink>
    </w:p>
    <w:p w14:paraId="0D2FDF81" w14:textId="77777777" w:rsidR="00BD5B06" w:rsidRPr="003755C3" w:rsidRDefault="00BD5B06" w:rsidP="00A96988">
      <w:pPr>
        <w:pStyle w:val="Textodenotaderodap"/>
        <w:rPr>
          <w:sz w:val="16"/>
          <w:szCs w:val="16"/>
        </w:rPr>
      </w:pPr>
    </w:p>
  </w:footnote>
  <w:footnote w:id="8">
    <w:p w14:paraId="2A49342D" w14:textId="77777777" w:rsidR="00BD5B06" w:rsidRPr="00B00E77" w:rsidRDefault="00BD5B06" w:rsidP="00C5245D">
      <w:pPr>
        <w:pStyle w:val="Textodenotaderodap"/>
        <w:rPr>
          <w:sz w:val="16"/>
          <w:szCs w:val="16"/>
        </w:rPr>
      </w:pPr>
      <w:r w:rsidRPr="00B00E77">
        <w:rPr>
          <w:rStyle w:val="Refdenotaderodap"/>
          <w:sz w:val="16"/>
          <w:szCs w:val="16"/>
        </w:rPr>
        <w:footnoteRef/>
      </w:r>
      <w:r w:rsidRPr="00B00E77">
        <w:rPr>
          <w:sz w:val="16"/>
          <w:szCs w:val="16"/>
        </w:rPr>
        <w:t xml:space="preserve"> https://opopular.com.br/politica/governo-admite-deixar-despesas-para-2024-1.3067002;</w:t>
      </w:r>
    </w:p>
  </w:footnote>
  <w:footnote w:id="9">
    <w:p w14:paraId="55635F1D" w14:textId="77777777" w:rsidR="00BD5B06" w:rsidRPr="001B3D13" w:rsidRDefault="00BD5B06" w:rsidP="00C5245D">
      <w:pPr>
        <w:pStyle w:val="Textodenotaderodap"/>
        <w:rPr>
          <w:sz w:val="16"/>
          <w:szCs w:val="16"/>
        </w:rPr>
      </w:pPr>
      <w:r w:rsidRPr="001B3D13">
        <w:rPr>
          <w:rStyle w:val="Refdenotaderodap"/>
          <w:sz w:val="16"/>
          <w:szCs w:val="16"/>
        </w:rPr>
        <w:footnoteRef/>
      </w:r>
      <w:r w:rsidRPr="001B3D13">
        <w:rPr>
          <w:sz w:val="16"/>
          <w:szCs w:val="16"/>
        </w:rPr>
        <w:t xml:space="preserve"> https://portal.stf.jus.br/processos/downloadPeca.asp?id=15361008161&amp;ext=.pdf</w:t>
      </w:r>
      <w:r>
        <w:rPr>
          <w:sz w:val="16"/>
          <w:szCs w:val="16"/>
        </w:rPr>
        <w:t>;</w:t>
      </w:r>
    </w:p>
  </w:footnote>
  <w:footnote w:id="10">
    <w:p w14:paraId="6044C149" w14:textId="77777777" w:rsidR="00BD5B06" w:rsidRPr="000202A0" w:rsidRDefault="00BD5B06" w:rsidP="00C5245D">
      <w:pPr>
        <w:pStyle w:val="Textodenotaderodap"/>
        <w:rPr>
          <w:sz w:val="16"/>
          <w:szCs w:val="16"/>
        </w:rPr>
      </w:pPr>
      <w:r w:rsidRPr="000202A0">
        <w:rPr>
          <w:rStyle w:val="Refdenotaderodap"/>
          <w:sz w:val="16"/>
          <w:szCs w:val="16"/>
        </w:rPr>
        <w:footnoteRef/>
      </w:r>
      <w:r w:rsidRPr="000202A0">
        <w:rPr>
          <w:sz w:val="16"/>
          <w:szCs w:val="16"/>
        </w:rPr>
        <w:t xml:space="preserve"> https://portal.stf.jus.br/processos/downloadPeca.asp?id=15365757534&amp;ext=.pdf;</w:t>
      </w:r>
    </w:p>
  </w:footnote>
  <w:footnote w:id="11">
    <w:p w14:paraId="48B800FC" w14:textId="77777777" w:rsidR="00BD5B06" w:rsidRPr="00F17CE0" w:rsidRDefault="00BD5B06" w:rsidP="00C5245D">
      <w:pPr>
        <w:pStyle w:val="Textodenotaderodap"/>
        <w:rPr>
          <w:sz w:val="16"/>
        </w:rPr>
      </w:pPr>
      <w:r>
        <w:rPr>
          <w:rStyle w:val="Refdenotaderodap"/>
        </w:rPr>
        <w:footnoteRef/>
      </w:r>
      <w:r>
        <w:t xml:space="preserve"> </w:t>
      </w:r>
      <w:r w:rsidRPr="00F17CE0">
        <w:rPr>
          <w:sz w:val="16"/>
        </w:rPr>
        <w:t>chrome-extension://efaidnbmnnnibpcajpcglclefindmkaj/https://goias.gov.br/economia/wp-content/uploads/sites/45/2024/05/Nota-Tecnica-n-5.2024-STE-Tetos-de-Gastos-1.pdf</w:t>
      </w:r>
      <w:r>
        <w:rPr>
          <w:sz w:val="16"/>
        </w:rPr>
        <w:t>;</w:t>
      </w:r>
    </w:p>
  </w:footnote>
  <w:footnote w:id="12">
    <w:p w14:paraId="560A99DD" w14:textId="77777777" w:rsidR="00BD5B06" w:rsidRDefault="00BD5B06" w:rsidP="00C5245D">
      <w:pPr>
        <w:pStyle w:val="Textodenotaderodap"/>
      </w:pPr>
      <w:r>
        <w:rPr>
          <w:rStyle w:val="Refdenotaderodap"/>
        </w:rPr>
        <w:footnoteRef/>
      </w:r>
      <w:r w:rsidRPr="00F17CE0">
        <w:rPr>
          <w:sz w:val="16"/>
        </w:rPr>
        <w:t xml:space="preserve"> https://portal.stf.jus.br/processos/detalhe.asp?incidente=6221519</w:t>
      </w:r>
      <w:r>
        <w:rPr>
          <w:sz w:val="16"/>
        </w:rPr>
        <w:t>;</w:t>
      </w:r>
    </w:p>
  </w:footnote>
  <w:footnote w:id="13">
    <w:p w14:paraId="6FBD96B6" w14:textId="77777777" w:rsidR="00BD5B06" w:rsidRDefault="00BD5B06" w:rsidP="00C5245D">
      <w:pPr>
        <w:pStyle w:val="Textodenotaderodap"/>
      </w:pPr>
      <w:r>
        <w:rPr>
          <w:rStyle w:val="Refdenotaderodap"/>
        </w:rPr>
        <w:footnoteRef/>
      </w:r>
      <w:r>
        <w:t xml:space="preserve"> </w:t>
      </w:r>
      <w:r w:rsidRPr="00F17CE0">
        <w:rPr>
          <w:sz w:val="16"/>
        </w:rPr>
        <w:t>chrome-extension://efaidnbmnnnibpcajpcglclefindmkaj/https://goias.gov.br/economia/wp-content/uploads/sites/45/2024/05/Nota-Tecnica-n-5.2024-STE-Tetos-de-Gastos-1.pdf</w:t>
      </w:r>
      <w:r>
        <w:rPr>
          <w:sz w:val="16"/>
        </w:rPr>
        <w:t>;</w:t>
      </w:r>
    </w:p>
  </w:footnote>
  <w:footnote w:id="14">
    <w:p w14:paraId="574BC5BE" w14:textId="77777777" w:rsidR="00BD5B06" w:rsidRPr="006B7537" w:rsidRDefault="00BD5B06" w:rsidP="00C5245D">
      <w:pPr>
        <w:pStyle w:val="Textodenotaderodap"/>
        <w:rPr>
          <w:sz w:val="16"/>
          <w:szCs w:val="16"/>
        </w:rPr>
      </w:pPr>
      <w:r w:rsidRPr="006B7537">
        <w:rPr>
          <w:rStyle w:val="Refdenotaderodap"/>
          <w:sz w:val="16"/>
          <w:szCs w:val="16"/>
        </w:rPr>
        <w:footnoteRef/>
      </w:r>
      <w:r w:rsidRPr="006B7537">
        <w:rPr>
          <w:sz w:val="16"/>
          <w:szCs w:val="16"/>
        </w:rPr>
        <w:t xml:space="preserve"> </w:t>
      </w:r>
      <w:r>
        <w:rPr>
          <w:sz w:val="16"/>
          <w:szCs w:val="16"/>
        </w:rPr>
        <w:t> </w:t>
      </w:r>
      <w:r w:rsidRPr="006B7537">
        <w:rPr>
          <w:sz w:val="16"/>
          <w:szCs w:val="16"/>
        </w:rPr>
        <w:t>https://portal.tce.go.gov.br/documents/20181/666780/Parecer%20Pr%C3%A9vio%20das%20Contas%20de%20Governo%20de%202022/5aecf6dd-af37-4f80-9c00-de1ea0c37798</w:t>
      </w:r>
      <w:r>
        <w:rPr>
          <w:sz w:val="16"/>
          <w:szCs w:val="16"/>
        </w:rPr>
        <w:t>;</w:t>
      </w:r>
    </w:p>
  </w:footnote>
  <w:footnote w:id="15">
    <w:p w14:paraId="368B6B1D" w14:textId="77777777" w:rsidR="00BD5B06" w:rsidRPr="00DC2E16" w:rsidRDefault="00BD5B06" w:rsidP="008B144A">
      <w:pPr>
        <w:pStyle w:val="Textodenotaderodap"/>
        <w:rPr>
          <w:sz w:val="16"/>
          <w:szCs w:val="16"/>
        </w:rPr>
      </w:pPr>
      <w:r w:rsidRPr="00DC2E16">
        <w:rPr>
          <w:rStyle w:val="Refdenotaderodap"/>
          <w:sz w:val="16"/>
          <w:szCs w:val="16"/>
        </w:rPr>
        <w:footnoteRef/>
      </w:r>
      <w:r w:rsidRPr="00DC2E16">
        <w:rPr>
          <w:sz w:val="16"/>
          <w:szCs w:val="16"/>
        </w:rPr>
        <w:t xml:space="preserve"> Lei Estadual nº 21.527/2022, alterada pela Lei Estadual nº 21.633/2022;</w:t>
      </w:r>
    </w:p>
  </w:footnote>
  <w:footnote w:id="16">
    <w:p w14:paraId="0BEA790D" w14:textId="77777777" w:rsidR="00BD5B06" w:rsidRPr="006B3BE9" w:rsidRDefault="00BD5B06" w:rsidP="00A21ECA">
      <w:pPr>
        <w:pStyle w:val="Textodenotaderodap"/>
        <w:rPr>
          <w:sz w:val="16"/>
          <w:szCs w:val="16"/>
        </w:rPr>
      </w:pPr>
      <w:r w:rsidRPr="006B3BE9">
        <w:rPr>
          <w:rStyle w:val="Refdenotaderodap"/>
          <w:sz w:val="16"/>
          <w:szCs w:val="16"/>
        </w:rPr>
        <w:footnoteRef/>
      </w:r>
      <w:r w:rsidRPr="006B3BE9">
        <w:rPr>
          <w:sz w:val="16"/>
          <w:szCs w:val="16"/>
        </w:rPr>
        <w:t xml:space="preserve"> Item 2.2.1.1 Projeção de Receita de Impostos Estaduais e Contribuições ao Protege;</w:t>
      </w:r>
    </w:p>
  </w:footnote>
  <w:footnote w:id="17">
    <w:p w14:paraId="3D32A05E" w14:textId="77777777" w:rsidR="00BD5B06" w:rsidRPr="00265968" w:rsidRDefault="00BD5B06" w:rsidP="00A21ECA">
      <w:pPr>
        <w:pStyle w:val="Textodenotaderodap"/>
        <w:rPr>
          <w:sz w:val="16"/>
          <w:szCs w:val="16"/>
        </w:rPr>
      </w:pPr>
      <w:r w:rsidRPr="00265968">
        <w:rPr>
          <w:rStyle w:val="Refdenotaderodap"/>
          <w:sz w:val="16"/>
          <w:szCs w:val="16"/>
        </w:rPr>
        <w:footnoteRef/>
      </w:r>
      <w:r w:rsidRPr="00265968">
        <w:rPr>
          <w:sz w:val="16"/>
          <w:szCs w:val="16"/>
        </w:rPr>
        <w:t xml:space="preserve"> Item 8 Estimativa e Compensação da Renúncia de Receita;</w:t>
      </w:r>
    </w:p>
  </w:footnote>
  <w:footnote w:id="18">
    <w:p w14:paraId="5A3F1C46" w14:textId="77777777" w:rsidR="00BD5B06" w:rsidRPr="00AD1695" w:rsidRDefault="00BD5B06" w:rsidP="00A21ECA">
      <w:pPr>
        <w:pStyle w:val="Textodenotaderodap"/>
        <w:rPr>
          <w:sz w:val="16"/>
          <w:szCs w:val="16"/>
        </w:rPr>
      </w:pPr>
      <w:r w:rsidRPr="00AD1695">
        <w:rPr>
          <w:rStyle w:val="Refdenotaderodap"/>
          <w:sz w:val="16"/>
          <w:szCs w:val="16"/>
        </w:rPr>
        <w:footnoteRef/>
      </w:r>
      <w:r w:rsidRPr="00AD1695">
        <w:rPr>
          <w:sz w:val="16"/>
          <w:szCs w:val="16"/>
        </w:rPr>
        <w:t xml:space="preserve"> Lei Estadual nº 21.760/2022, anexo Orçamento Geral 2023;</w:t>
      </w:r>
    </w:p>
  </w:footnote>
  <w:footnote w:id="19">
    <w:p w14:paraId="22446A4A" w14:textId="7FD70D53" w:rsidR="00BD5B06" w:rsidRDefault="00BD5B06" w:rsidP="00C26926">
      <w:pPr>
        <w:pStyle w:val="Textodenotaderodap"/>
        <w:rPr>
          <w:sz w:val="16"/>
          <w:szCs w:val="16"/>
        </w:rPr>
      </w:pPr>
      <w:r w:rsidRPr="00013B78">
        <w:rPr>
          <w:rStyle w:val="Refdenotaderodap"/>
          <w:sz w:val="16"/>
          <w:szCs w:val="16"/>
        </w:rPr>
        <w:footnoteRef/>
      </w:r>
      <w:r w:rsidRPr="00013B78">
        <w:rPr>
          <w:sz w:val="16"/>
          <w:szCs w:val="16"/>
        </w:rPr>
        <w:t xml:space="preserve"> </w:t>
      </w:r>
      <w:hyperlink r:id="rId2" w:history="1">
        <w:r w:rsidRPr="001A4FF4">
          <w:rPr>
            <w:rStyle w:val="Hyperlink"/>
            <w:sz w:val="16"/>
            <w:szCs w:val="16"/>
          </w:rPr>
          <w:t>https://sisweb.tesouro.gov.br/apex/f?p=2501:9::::9:P9_ID_PUBLICACAO_ANEXO:10000</w:t>
        </w:r>
      </w:hyperlink>
    </w:p>
    <w:p w14:paraId="0A7997D8" w14:textId="77777777" w:rsidR="00BD5B06" w:rsidRPr="00013B78" w:rsidRDefault="00BD5B06" w:rsidP="00C26926">
      <w:pPr>
        <w:pStyle w:val="Textodenotaderodap"/>
        <w:rPr>
          <w:sz w:val="16"/>
          <w:szCs w:val="16"/>
        </w:rPr>
      </w:pPr>
    </w:p>
  </w:footnote>
  <w:footnote w:id="20">
    <w:p w14:paraId="15EC004E" w14:textId="49258104" w:rsidR="00BD5B06" w:rsidRPr="00C40E77" w:rsidRDefault="00BD5B06" w:rsidP="00C26926">
      <w:pPr>
        <w:pStyle w:val="Textodenotaderodap"/>
        <w:rPr>
          <w:sz w:val="16"/>
          <w:szCs w:val="16"/>
        </w:rPr>
      </w:pPr>
      <w:r w:rsidRPr="00C40E77">
        <w:rPr>
          <w:rStyle w:val="Refdenotaderodap"/>
          <w:sz w:val="16"/>
          <w:szCs w:val="16"/>
        </w:rPr>
        <w:footnoteRef/>
      </w:r>
      <w:r w:rsidRPr="00C40E77">
        <w:rPr>
          <w:sz w:val="16"/>
          <w:szCs w:val="16"/>
        </w:rPr>
        <w:t xml:space="preserve"> </w:t>
      </w:r>
      <w:hyperlink r:id="rId3" w:history="1">
        <w:r w:rsidRPr="001A4FF4">
          <w:rPr>
            <w:rStyle w:val="Hyperlink"/>
            <w:sz w:val="16"/>
            <w:szCs w:val="16"/>
          </w:rPr>
          <w:t>https://transparencia.go.gov.br/receitas-renuncia-da-receita-orcamentaria/</w:t>
        </w:r>
      </w:hyperlink>
      <w:r>
        <w:rPr>
          <w:sz w:val="16"/>
          <w:szCs w:val="16"/>
        </w:rPr>
        <w:t xml:space="preserve"> (consulta realizada em 17/05/2024)</w:t>
      </w:r>
    </w:p>
  </w:footnote>
  <w:footnote w:id="21">
    <w:p w14:paraId="7246F299" w14:textId="77777777" w:rsidR="00BD5B06" w:rsidRPr="004302B5" w:rsidRDefault="00BD5B06" w:rsidP="008D0491">
      <w:pPr>
        <w:pStyle w:val="Textodenotaderodap"/>
        <w:rPr>
          <w:sz w:val="16"/>
          <w:szCs w:val="16"/>
        </w:rPr>
      </w:pPr>
      <w:r w:rsidRPr="00C775CE">
        <w:rPr>
          <w:rStyle w:val="Refdenotaderodap"/>
          <w:sz w:val="16"/>
          <w:szCs w:val="16"/>
        </w:rPr>
        <w:footnoteRef/>
      </w:r>
      <w:r w:rsidRPr="00C775CE">
        <w:rPr>
          <w:sz w:val="16"/>
          <w:szCs w:val="16"/>
        </w:rPr>
        <w:t xml:space="preserve"> </w:t>
      </w:r>
      <w:hyperlink r:id="rId4" w:history="1">
        <w:r w:rsidRPr="00C775CE">
          <w:rPr>
            <w:rStyle w:val="Hyperlink"/>
            <w:color w:val="auto"/>
            <w:sz w:val="16"/>
            <w:szCs w:val="16"/>
          </w:rPr>
          <w:t>https://goias.gov.br/economia/repasse-aos-municipios</w:t>
        </w:r>
      </w:hyperlink>
    </w:p>
  </w:footnote>
  <w:footnote w:id="22">
    <w:p w14:paraId="0F189557" w14:textId="77777777" w:rsidR="00BD5B06" w:rsidRPr="008E1E23" w:rsidRDefault="00BD5B06" w:rsidP="00A06C74">
      <w:pPr>
        <w:pStyle w:val="Textodenotaderodap"/>
      </w:pPr>
      <w:r w:rsidRPr="008E1E23">
        <w:rPr>
          <w:rStyle w:val="Refdenotaderodap"/>
        </w:rPr>
        <w:footnoteRef/>
      </w:r>
      <w:r w:rsidRPr="008E1E23">
        <w:t xml:space="preserve"> https://www.fnde.gov.br/siope/situacaoDeEntregaDasUFs.do</w:t>
      </w:r>
    </w:p>
  </w:footnote>
  <w:footnote w:id="23">
    <w:p w14:paraId="70163FF6" w14:textId="77777777" w:rsidR="00BD5B06" w:rsidRDefault="00BD5B06" w:rsidP="00617362">
      <w:pPr>
        <w:pStyle w:val="Textodenotaderodap"/>
      </w:pPr>
      <w:r>
        <w:rPr>
          <w:rStyle w:val="Refdenotaderodap"/>
        </w:rPr>
        <w:footnoteRef/>
      </w:r>
      <w:r>
        <w:t xml:space="preserve"> </w:t>
      </w:r>
      <w:hyperlink r:id="rId5" w:history="1">
        <w:r w:rsidRPr="00F94390">
          <w:rPr>
            <w:rStyle w:val="Hyperlink"/>
            <w:sz w:val="16"/>
            <w:szCs w:val="16"/>
          </w:rPr>
          <w:t>https://gestaocolaborativa.economia.go.gov.br/sites/contabilidade/Publico/BGE/2021/Nota%20T%C3%A9cnica%20n%C2%BA%20004_2021.pdf?d=w68756477a465466696116240d59dde28?web=0</w:t>
        </w:r>
      </w:hyperlink>
    </w:p>
  </w:footnote>
  <w:footnote w:id="24">
    <w:p w14:paraId="061A32F8" w14:textId="77777777" w:rsidR="00BD5B06" w:rsidRDefault="00BD5B06" w:rsidP="008B6BEC">
      <w:pPr>
        <w:pStyle w:val="Textodenotaderodap"/>
      </w:pPr>
      <w:r>
        <w:rPr>
          <w:rStyle w:val="Refdenotaderodap"/>
        </w:rPr>
        <w:footnoteRef/>
      </w:r>
      <w:r>
        <w:t xml:space="preserve"> </w:t>
      </w:r>
      <w:r w:rsidRPr="00A25D5E">
        <w:rPr>
          <w:sz w:val="16"/>
          <w:szCs w:val="16"/>
        </w:rPr>
        <w:t>Diário Oficial do Estado de Goiás nº 23.401, de 06 de outubro de 2020.</w:t>
      </w:r>
    </w:p>
  </w:footnote>
  <w:footnote w:id="25">
    <w:p w14:paraId="322704BA" w14:textId="77777777" w:rsidR="00BD5B06" w:rsidRDefault="00BD5B06" w:rsidP="008B6BEC">
      <w:pPr>
        <w:pStyle w:val="Textodenotaderodap"/>
      </w:pPr>
      <w:r>
        <w:rPr>
          <w:rStyle w:val="Refdenotaderodap"/>
        </w:rPr>
        <w:footnoteRef/>
      </w:r>
      <w:r>
        <w:t xml:space="preserve"> </w:t>
      </w:r>
      <w:r w:rsidRPr="00766681">
        <w:rPr>
          <w:rStyle w:val="Hyperlink"/>
          <w:sz w:val="16"/>
          <w:szCs w:val="16"/>
        </w:rPr>
        <w:t>https://gestaocolaborativa.economia.go.gov.br/sites/contabilidade/Publico/BGE/2023/Nota_Tecnica_5_2024_IQUEGO.pdf?d=wa70c74cfd0bf4e42803ace3a8718b9c0?web=0</w:t>
      </w:r>
    </w:p>
  </w:footnote>
  <w:footnote w:id="26">
    <w:p w14:paraId="00EEB2C8" w14:textId="77777777" w:rsidR="00BD5B06" w:rsidRPr="006E6638" w:rsidRDefault="00BD5B06" w:rsidP="004F78CE">
      <w:pPr>
        <w:pStyle w:val="Textodenotaderodap"/>
        <w:rPr>
          <w:sz w:val="16"/>
          <w:szCs w:val="16"/>
        </w:rPr>
      </w:pPr>
      <w:r w:rsidRPr="006E6638">
        <w:rPr>
          <w:rStyle w:val="Refdenotaderodap"/>
          <w:sz w:val="16"/>
          <w:szCs w:val="16"/>
        </w:rPr>
        <w:footnoteRef/>
      </w:r>
      <w:r w:rsidRPr="006E6638">
        <w:rPr>
          <w:sz w:val="16"/>
          <w:szCs w:val="16"/>
        </w:rPr>
        <w:t xml:space="preserve"> </w:t>
      </w:r>
      <w:r w:rsidRPr="006E6638">
        <w:rPr>
          <w:rStyle w:val="Hyperlink"/>
          <w:sz w:val="16"/>
          <w:szCs w:val="16"/>
        </w:rPr>
        <w:t>https://sisweb.tesouro.gov.br/apex/f?p=2501:9::::9:P9_ID_PUBLICACAO_ANEXO:17165</w:t>
      </w:r>
    </w:p>
  </w:footnote>
  <w:footnote w:id="27">
    <w:p w14:paraId="16A33620" w14:textId="77777777" w:rsidR="00BD5B06" w:rsidRDefault="00BD5B06" w:rsidP="0056640B">
      <w:pPr>
        <w:pStyle w:val="Textodenotaderodap"/>
      </w:pPr>
      <w:r w:rsidRPr="000F54DF">
        <w:rPr>
          <w:rStyle w:val="Refdenotaderodap"/>
        </w:rPr>
        <w:footnoteRef/>
      </w:r>
      <w:r w:rsidRPr="000F54DF">
        <w:t xml:space="preserve"> </w:t>
      </w:r>
      <w:r w:rsidRPr="006E6638">
        <w:rPr>
          <w:rStyle w:val="Hyperlink"/>
          <w:color w:val="auto"/>
          <w:sz w:val="16"/>
        </w:rPr>
        <w:t> </w:t>
      </w:r>
      <w:hyperlink r:id="rId6" w:history="1">
        <w:r w:rsidRPr="006E6638">
          <w:rPr>
            <w:color w:val="0000FF"/>
            <w:sz w:val="16"/>
            <w:u w:val="single"/>
          </w:rPr>
          <w:t>Relatórios de Avaliação Atuarial - Goiás Prev (goias.gov.br)</w:t>
        </w:r>
      </w:hyperlink>
    </w:p>
  </w:footnote>
  <w:footnote w:id="28">
    <w:p w14:paraId="0B0CF577" w14:textId="77777777" w:rsidR="00BD5B06" w:rsidRPr="00B07CA1" w:rsidRDefault="00BD5B06" w:rsidP="00E176F9">
      <w:pPr>
        <w:pStyle w:val="Textodenotaderodap"/>
        <w:rPr>
          <w:sz w:val="16"/>
          <w:szCs w:val="16"/>
        </w:rPr>
      </w:pPr>
      <w:r w:rsidRPr="00B07CA1">
        <w:rPr>
          <w:rStyle w:val="Refdenotaderodap"/>
          <w:sz w:val="16"/>
          <w:szCs w:val="16"/>
        </w:rPr>
        <w:footnoteRef/>
      </w:r>
      <w:r w:rsidRPr="00B07CA1">
        <w:rPr>
          <w:sz w:val="16"/>
          <w:szCs w:val="16"/>
        </w:rPr>
        <w:t xml:space="preserve"> </w:t>
      </w:r>
      <w:r>
        <w:rPr>
          <w:sz w:val="16"/>
          <w:szCs w:val="16"/>
        </w:rPr>
        <w:t> </w:t>
      </w:r>
      <w:r w:rsidRPr="00B07CA1">
        <w:rPr>
          <w:sz w:val="16"/>
          <w:szCs w:val="16"/>
        </w:rPr>
        <w:t>https://portal.tce.go.gov.br/documents/20181/459640/Parecer%20Pr%C3%A9vio%20das%20Contas%20de%20Governo%20de%202021/9622a606-5e27-419a-9d9b-6a26a2908276;</w:t>
      </w:r>
    </w:p>
  </w:footnote>
  <w:footnote w:id="29">
    <w:p w14:paraId="24466D29" w14:textId="2EF307F5" w:rsidR="00BD5B06" w:rsidRPr="00E175C4" w:rsidRDefault="00BD5B06" w:rsidP="007E51A1">
      <w:pPr>
        <w:pStyle w:val="Textodenotaderodap"/>
        <w:rPr>
          <w:sz w:val="16"/>
          <w:szCs w:val="16"/>
        </w:rPr>
      </w:pPr>
      <w:r w:rsidRPr="00E175C4">
        <w:rPr>
          <w:rStyle w:val="Refdenotaderodap"/>
          <w:sz w:val="16"/>
          <w:szCs w:val="16"/>
        </w:rPr>
        <w:footnoteRef/>
      </w:r>
      <w:r w:rsidRPr="00E175C4">
        <w:rPr>
          <w:sz w:val="16"/>
          <w:szCs w:val="16"/>
        </w:rPr>
        <w:t xml:space="preserve"> </w:t>
      </w:r>
      <w:hyperlink r:id="rId7" w:history="1">
        <w:r w:rsidRPr="001A4FF4">
          <w:rPr>
            <w:rStyle w:val="Hyperlink"/>
            <w:sz w:val="16"/>
            <w:szCs w:val="16"/>
          </w:rPr>
          <w:t>https://opine.al.go.leg.br/proposicoes/2023001081</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57F3BB" w14:textId="77777777" w:rsidR="00BD5B06" w:rsidRDefault="00BD5B06" w:rsidP="00537D15">
    <w:pPr>
      <w:jc w:val="center"/>
      <w:rPr>
        <w:noProof/>
        <w:color w:val="000000"/>
      </w:rPr>
    </w:pPr>
    <w:r w:rsidRPr="00630098">
      <w:rPr>
        <w:rFonts w:ascii="Century Gothic" w:hAnsi="Century Gothic"/>
        <w:noProof/>
        <w:color w:val="000000"/>
      </w:rPr>
      <w:drawing>
        <wp:anchor distT="0" distB="0" distL="114300" distR="114300" simplePos="0" relativeHeight="251746304" behindDoc="1" locked="0" layoutInCell="1" allowOverlap="1" wp14:anchorId="043CF3B4" wp14:editId="315DFFC8">
          <wp:simplePos x="0" y="0"/>
          <wp:positionH relativeFrom="column">
            <wp:posOffset>1485900</wp:posOffset>
          </wp:positionH>
          <wp:positionV relativeFrom="paragraph">
            <wp:posOffset>9525</wp:posOffset>
          </wp:positionV>
          <wp:extent cx="2400300" cy="523875"/>
          <wp:effectExtent l="0" t="0" r="0" b="9525"/>
          <wp:wrapSquare wrapText="bothSides"/>
          <wp:docPr id="38" name="Imagem 38" descr="LogoDocument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Documento0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400300" cy="5238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2E2A5E" w14:textId="77777777" w:rsidR="00BD5B06" w:rsidRPr="00AB4D7E" w:rsidRDefault="00BD5B06" w:rsidP="00537D15">
    <w:pPr>
      <w:jc w:val="center"/>
    </w:pPr>
  </w:p>
  <w:p w14:paraId="451C4565" w14:textId="77777777" w:rsidR="00BD5B06" w:rsidRDefault="00BD5B06" w:rsidP="00537D15">
    <w:pPr>
      <w:jc w:val="center"/>
    </w:pPr>
  </w:p>
  <w:p w14:paraId="689F0716" w14:textId="77777777" w:rsidR="00BD5B06" w:rsidRDefault="00BD5B06" w:rsidP="00537D15">
    <w:pPr>
      <w:jc w:val="center"/>
    </w:pPr>
  </w:p>
  <w:p w14:paraId="37DFB733" w14:textId="77777777" w:rsidR="00BD5B06" w:rsidRPr="00AB4D7E" w:rsidRDefault="00BD5B06" w:rsidP="00537D15">
    <w:pP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A0E1F4" w14:textId="3993B67F" w:rsidR="00BD5B06" w:rsidRPr="00630098" w:rsidRDefault="00BD5B06" w:rsidP="00E66096">
    <w:pPr>
      <w:pStyle w:val="Cabealho"/>
      <w:jc w:val="right"/>
      <w:rPr>
        <w:rFonts w:ascii="Century Gothic" w:hAnsi="Century Gothic"/>
        <w:noProof/>
        <w:color w:val="000000"/>
      </w:rPr>
    </w:pPr>
    <w:r w:rsidRPr="00630098">
      <w:rPr>
        <w:rFonts w:ascii="Century Gothic" w:hAnsi="Century Gothic"/>
        <w:noProof/>
        <w:color w:val="000000"/>
      </w:rPr>
      <mc:AlternateContent>
        <mc:Choice Requires="wps">
          <w:drawing>
            <wp:anchor distT="0" distB="0" distL="114300" distR="114300" simplePos="0" relativeHeight="251671552" behindDoc="0" locked="0" layoutInCell="1" allowOverlap="1" wp14:anchorId="27E83F2D" wp14:editId="6077B16D">
              <wp:simplePos x="0" y="0"/>
              <wp:positionH relativeFrom="column">
                <wp:posOffset>2796540</wp:posOffset>
              </wp:positionH>
              <wp:positionV relativeFrom="paragraph">
                <wp:posOffset>168910</wp:posOffset>
              </wp:positionV>
              <wp:extent cx="3067050" cy="1403985"/>
              <wp:effectExtent l="0" t="0" r="0" b="0"/>
              <wp:wrapNone/>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7050" cy="1403985"/>
                      </a:xfrm>
                      <a:prstGeom prst="rect">
                        <a:avLst/>
                      </a:prstGeom>
                      <a:solidFill>
                        <a:srgbClr val="FFFFFF"/>
                      </a:solidFill>
                      <a:ln w="9525">
                        <a:noFill/>
                        <a:miter lim="800000"/>
                        <a:headEnd/>
                        <a:tailEnd/>
                      </a:ln>
                    </wps:spPr>
                    <wps:txbx>
                      <w:txbxContent>
                        <w:p w14:paraId="5B800A06" w14:textId="77777777" w:rsidR="00BD5B06" w:rsidRPr="00630098" w:rsidRDefault="00BD5B06" w:rsidP="00E66096">
                          <w:pPr>
                            <w:pStyle w:val="Cabealho"/>
                            <w:pBdr>
                              <w:top w:val="single" w:sz="18" w:space="1" w:color="00B0F0"/>
                            </w:pBdr>
                            <w:jc w:val="right"/>
                            <w:rPr>
                              <w:rFonts w:ascii="Century Gothic" w:hAnsi="Century Gothic"/>
                              <w:noProof/>
                              <w:color w:val="000000"/>
                            </w:rPr>
                          </w:pPr>
                          <w:r w:rsidRPr="00630098">
                            <w:rPr>
                              <w:rFonts w:ascii="Century Gothic" w:hAnsi="Century Gothic"/>
                              <w:noProof/>
                              <w:color w:val="000000"/>
                            </w:rPr>
                            <w:t>Relatório sobre as Contas do Governador</w:t>
                          </w:r>
                        </w:p>
                        <w:p w14:paraId="5A0D77AC" w14:textId="6BA1082C" w:rsidR="00BD5B06" w:rsidRPr="00630098" w:rsidRDefault="00BD5B06" w:rsidP="00E66096">
                          <w:pPr>
                            <w:pStyle w:val="Cabealho"/>
                            <w:pBdr>
                              <w:top w:val="single" w:sz="18" w:space="1" w:color="00B0F0"/>
                            </w:pBdr>
                            <w:jc w:val="right"/>
                            <w:rPr>
                              <w:rFonts w:ascii="Century Gothic" w:hAnsi="Century Gothic"/>
                              <w:noProof/>
                              <w:color w:val="000000"/>
                            </w:rPr>
                          </w:pPr>
                          <w:r>
                            <w:rPr>
                              <w:rFonts w:ascii="Century Gothic" w:hAnsi="Century Gothic"/>
                              <w:noProof/>
                              <w:color w:val="000000"/>
                            </w:rPr>
                            <w:t>Exercício de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7E83F2D" id="_x0000_t202" coordsize="21600,21600" o:spt="202" path="m,l,21600r21600,l21600,xe">
              <v:stroke joinstyle="miter"/>
              <v:path gradientshapeok="t" o:connecttype="rect"/>
            </v:shapetype>
            <v:shape id="Caixa de Texto 2" o:spid="_x0000_s1044" type="#_x0000_t202" style="position:absolute;left:0;text-align:left;margin-left:220.2pt;margin-top:13.3pt;width:241.5pt;height:110.55pt;z-index:2516715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" stroked="f">
              <v:textbox style="mso-fit-shape-to-text:t">
                <w:txbxContent>
                  <w:p w14:paraId="5B800A06" w14:textId="77777777" w:rsidR="00BD5B06" w:rsidRPr="00630098" w:rsidRDefault="00BD5B06" w:rsidP="00E66096">
                    <w:pPr>
                      <w:pStyle w:val="Cabealho"/>
                      <w:pBdr>
                        <w:top w:val="single" w:sz="18" w:space="1" w:color="00B0F0"/>
                      </w:pBdr>
                      <w:jc w:val="right"/>
                      <w:rPr>
                        <w:rFonts w:ascii="Century Gothic" w:hAnsi="Century Gothic"/>
                        <w:noProof/>
                        <w:color w:val="000000"/>
                      </w:rPr>
                    </w:pPr>
                    <w:r w:rsidRPr="00630098">
                      <w:rPr>
                        <w:rFonts w:ascii="Century Gothic" w:hAnsi="Century Gothic"/>
                        <w:noProof/>
                        <w:color w:val="000000"/>
                      </w:rPr>
                      <w:t>Relatório sobre as Contas do Governador</w:t>
                    </w:r>
                  </w:p>
                  <w:p w14:paraId="5A0D77AC" w14:textId="6BA1082C" w:rsidR="00BD5B06" w:rsidRPr="00630098" w:rsidRDefault="00BD5B06" w:rsidP="00E66096">
                    <w:pPr>
                      <w:pStyle w:val="Cabealho"/>
                      <w:pBdr>
                        <w:top w:val="single" w:sz="18" w:space="1" w:color="00B0F0"/>
                      </w:pBdr>
                      <w:jc w:val="right"/>
                      <w:rPr>
                        <w:rFonts w:ascii="Century Gothic" w:hAnsi="Century Gothic"/>
                        <w:noProof/>
                        <w:color w:val="000000"/>
                      </w:rPr>
                    </w:pPr>
                    <w:r>
                      <w:rPr>
                        <w:rFonts w:ascii="Century Gothic" w:hAnsi="Century Gothic"/>
                        <w:noProof/>
                        <w:color w:val="000000"/>
                      </w:rPr>
                      <w:t>Exercício de 2023</w:t>
                    </w:r>
                  </w:p>
                </w:txbxContent>
              </v:textbox>
            </v:shape>
          </w:pict>
        </mc:Fallback>
      </mc:AlternateContent>
    </w:r>
    <w:r w:rsidRPr="00630098">
      <w:rPr>
        <w:rFonts w:ascii="Century Gothic" w:hAnsi="Century Gothic"/>
        <w:noProof/>
        <w:color w:val="000000"/>
      </w:rPr>
      <w:drawing>
        <wp:anchor distT="0" distB="0" distL="114300" distR="114300" simplePos="0" relativeHeight="251670528" behindDoc="1" locked="0" layoutInCell="1" allowOverlap="1" wp14:anchorId="7E2A68C1" wp14:editId="3C01B0CB">
          <wp:simplePos x="0" y="0"/>
          <wp:positionH relativeFrom="column">
            <wp:posOffset>-108585</wp:posOffset>
          </wp:positionH>
          <wp:positionV relativeFrom="paragraph">
            <wp:posOffset>-81915</wp:posOffset>
          </wp:positionV>
          <wp:extent cx="2400300" cy="523875"/>
          <wp:effectExtent l="0" t="0" r="0" b="9525"/>
          <wp:wrapSquare wrapText="bothSides"/>
          <wp:docPr id="14" name="Imagem 14" descr="LogoDocument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Documento0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400300" cy="5238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noProof/>
        <w:color w:val="000000"/>
      </w:rPr>
      <w:t>Gerência de Fiscalização de Contas</w:t>
    </w:r>
  </w:p>
  <w:p w14:paraId="2D094D3F" w14:textId="19E9D978" w:rsidR="00BD5B06" w:rsidRPr="00630098" w:rsidRDefault="00BD5B06" w:rsidP="00E66096">
    <w:pPr>
      <w:pStyle w:val="Cabealho"/>
      <w:jc w:val="right"/>
      <w:rPr>
        <w:rFonts w:ascii="Century Gothic" w:hAnsi="Century Gothic"/>
        <w:noProof/>
        <w:color w:val="000000"/>
      </w:rPr>
    </w:pPr>
  </w:p>
  <w:p w14:paraId="58E52A40" w14:textId="77777777" w:rsidR="00BD5B06" w:rsidRPr="001343C7" w:rsidRDefault="00BD5B06" w:rsidP="00E66096">
    <w:pPr>
      <w:tabs>
        <w:tab w:val="left" w:pos="3600"/>
      </w:tabs>
      <w:rPr>
        <w:rFonts w:cs="Arial"/>
        <w:bCs/>
        <w:sz w:val="28"/>
        <w:szCs w:val="28"/>
      </w:rPr>
    </w:pPr>
    <w:r>
      <w:rPr>
        <w:rFonts w:cs="Arial"/>
        <w:bCs/>
        <w:sz w:val="28"/>
        <w:szCs w:val="28"/>
      </w:rPr>
      <w:tab/>
    </w:r>
  </w:p>
  <w:p w14:paraId="6A92B436" w14:textId="77777777" w:rsidR="00BD5B06" w:rsidRPr="00AB4D7E" w:rsidRDefault="00BD5B06" w:rsidP="00E66096"/>
  <w:p w14:paraId="19186917" w14:textId="77777777" w:rsidR="00BD5B06" w:rsidRPr="00E66096" w:rsidRDefault="00BD5B06" w:rsidP="00E66096">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D377CF" w14:textId="77777777" w:rsidR="00BD5B06" w:rsidRDefault="00BD5B06" w:rsidP="00224096">
    <w:pPr>
      <w:pStyle w:val="Cabealho"/>
      <w:tabs>
        <w:tab w:val="right" w:pos="9072"/>
      </w:tabs>
      <w:jc w:val="center"/>
    </w:pPr>
    <w:r>
      <w:rPr>
        <w:b/>
        <w:noProof/>
        <w:color w:val="808080"/>
        <w:sz w:val="32"/>
        <w:szCs w:val="32"/>
      </w:rPr>
      <w:drawing>
        <wp:inline distT="0" distB="0" distL="0" distR="0" wp14:anchorId="160EB9C7" wp14:editId="4DF9BB4B">
          <wp:extent cx="1359374" cy="1264483"/>
          <wp:effectExtent l="19050" t="0" r="0" b="0"/>
          <wp:docPr id="15" name="Imagem 1" descr="tce_logo_p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ce_logo_peq"/>
                  <pic:cNvPicPr>
                    <a:picLocks noChangeAspect="1" noChangeArrowheads="1"/>
                  </pic:cNvPicPr>
                </pic:nvPicPr>
                <pic:blipFill>
                  <a:blip r:embed="rId1"/>
                  <a:srcRect/>
                  <a:stretch>
                    <a:fillRect/>
                  </a:stretch>
                </pic:blipFill>
                <pic:spPr bwMode="auto">
                  <a:xfrm>
                    <a:off x="0" y="0"/>
                    <a:ext cx="1359055" cy="1264187"/>
                  </a:xfrm>
                  <a:prstGeom prst="rect">
                    <a:avLst/>
                  </a:prstGeom>
                  <a:noFill/>
                  <a:ln w="9525">
                    <a:noFill/>
                    <a:miter lim="800000"/>
                    <a:headEnd/>
                    <a:tailEnd/>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197132" w14:textId="77777777" w:rsidR="00BD5B06" w:rsidRDefault="00BD5B06" w:rsidP="00224096">
    <w:pPr>
      <w:pStyle w:val="Cabealho"/>
      <w:tabs>
        <w:tab w:val="right" w:pos="9072"/>
      </w:tabs>
      <w:jc w:val="center"/>
    </w:pPr>
    <w:r>
      <w:rPr>
        <w:b/>
        <w:noProof/>
        <w:color w:val="808080"/>
        <w:sz w:val="32"/>
        <w:szCs w:val="32"/>
      </w:rPr>
      <w:drawing>
        <wp:inline distT="0" distB="0" distL="0" distR="0" wp14:anchorId="00930856" wp14:editId="23B387C9">
          <wp:extent cx="1359374" cy="1264483"/>
          <wp:effectExtent l="19050" t="0" r="0" b="0"/>
          <wp:docPr id="16" name="Imagem 1" descr="tce_logo_p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ce_logo_peq"/>
                  <pic:cNvPicPr>
                    <a:picLocks noChangeAspect="1" noChangeArrowheads="1"/>
                  </pic:cNvPicPr>
                </pic:nvPicPr>
                <pic:blipFill>
                  <a:blip r:embed="rId1"/>
                  <a:srcRect/>
                  <a:stretch>
                    <a:fillRect/>
                  </a:stretch>
                </pic:blipFill>
                <pic:spPr bwMode="auto">
                  <a:xfrm>
                    <a:off x="0" y="0"/>
                    <a:ext cx="1359055" cy="1264187"/>
                  </a:xfrm>
                  <a:prstGeom prst="rect">
                    <a:avLst/>
                  </a:prstGeom>
                  <a:noFill/>
                  <a:ln w="9525">
                    <a:noFill/>
                    <a:miter lim="800000"/>
                    <a:headEnd/>
                    <a:tailEnd/>
                  </a:ln>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7239BF" w14:textId="3AAACC57" w:rsidR="00BD5B06" w:rsidRPr="00630098" w:rsidRDefault="00BD5B06" w:rsidP="00E66096">
    <w:pPr>
      <w:pStyle w:val="Cabealho"/>
      <w:jc w:val="right"/>
      <w:rPr>
        <w:rFonts w:ascii="Century Gothic" w:hAnsi="Century Gothic"/>
        <w:noProof/>
        <w:color w:val="000000"/>
      </w:rPr>
    </w:pPr>
    <w:r w:rsidRPr="00630098">
      <w:rPr>
        <w:rFonts w:ascii="Century Gothic" w:hAnsi="Century Gothic"/>
        <w:noProof/>
        <w:color w:val="000000"/>
      </w:rPr>
      <w:drawing>
        <wp:anchor distT="0" distB="0" distL="114300" distR="114300" simplePos="0" relativeHeight="251695104" behindDoc="1" locked="0" layoutInCell="1" allowOverlap="1" wp14:anchorId="396CFADE" wp14:editId="24E0FB9E">
          <wp:simplePos x="0" y="0"/>
          <wp:positionH relativeFrom="column">
            <wp:posOffset>-108585</wp:posOffset>
          </wp:positionH>
          <wp:positionV relativeFrom="paragraph">
            <wp:posOffset>-81915</wp:posOffset>
          </wp:positionV>
          <wp:extent cx="2400300" cy="523875"/>
          <wp:effectExtent l="0" t="0" r="0" b="9525"/>
          <wp:wrapSquare wrapText="bothSides"/>
          <wp:docPr id="41" name="Imagem 41" descr="LogoDocument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Documento0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400300" cy="5238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noProof/>
        <w:color w:val="000000"/>
      </w:rPr>
      <w:t>Gerência de Fiscalização de Contas</w:t>
    </w:r>
  </w:p>
  <w:p w14:paraId="3C1E4022" w14:textId="77777777" w:rsidR="00BD5B06" w:rsidRPr="00630098" w:rsidRDefault="00BD5B06" w:rsidP="00E66096">
    <w:pPr>
      <w:pStyle w:val="Cabealho"/>
      <w:jc w:val="right"/>
      <w:rPr>
        <w:rFonts w:ascii="Century Gothic" w:hAnsi="Century Gothic"/>
        <w:noProof/>
        <w:color w:val="000000"/>
      </w:rPr>
    </w:pPr>
    <w:r w:rsidRPr="00630098">
      <w:rPr>
        <w:rFonts w:ascii="Century Gothic" w:hAnsi="Century Gothic"/>
        <w:noProof/>
        <w:color w:val="000000"/>
      </w:rPr>
      <mc:AlternateContent>
        <mc:Choice Requires="wps">
          <w:drawing>
            <wp:anchor distT="0" distB="0" distL="114300" distR="114300" simplePos="0" relativeHeight="251696128" behindDoc="0" locked="0" layoutInCell="1" allowOverlap="1" wp14:anchorId="662199D6" wp14:editId="3217A4D9">
              <wp:simplePos x="0" y="0"/>
              <wp:positionH relativeFrom="column">
                <wp:posOffset>2967990</wp:posOffset>
              </wp:positionH>
              <wp:positionV relativeFrom="paragraph">
                <wp:posOffset>-2540</wp:posOffset>
              </wp:positionV>
              <wp:extent cx="3067050" cy="1403985"/>
              <wp:effectExtent l="0" t="0" r="0" b="0"/>
              <wp:wrapNone/>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7050" cy="1403985"/>
                      </a:xfrm>
                      <a:prstGeom prst="rect">
                        <a:avLst/>
                      </a:prstGeom>
                      <a:solidFill>
                        <a:srgbClr val="FFFFFF"/>
                      </a:solidFill>
                      <a:ln w="9525">
                        <a:noFill/>
                        <a:miter lim="800000"/>
                        <a:headEnd/>
                        <a:tailEnd/>
                      </a:ln>
                    </wps:spPr>
                    <wps:txbx>
                      <w:txbxContent>
                        <w:p w14:paraId="23ECBE34" w14:textId="77777777" w:rsidR="00BD5B06" w:rsidRPr="00630098" w:rsidRDefault="00BD5B06" w:rsidP="00E66096">
                          <w:pPr>
                            <w:pStyle w:val="Cabealho"/>
                            <w:pBdr>
                              <w:top w:val="single" w:sz="18" w:space="1" w:color="00B0F0"/>
                            </w:pBdr>
                            <w:jc w:val="right"/>
                            <w:rPr>
                              <w:rFonts w:ascii="Century Gothic" w:hAnsi="Century Gothic"/>
                              <w:noProof/>
                              <w:color w:val="000000"/>
                            </w:rPr>
                          </w:pPr>
                          <w:r w:rsidRPr="00630098">
                            <w:rPr>
                              <w:rFonts w:ascii="Century Gothic" w:hAnsi="Century Gothic"/>
                              <w:noProof/>
                              <w:color w:val="000000"/>
                            </w:rPr>
                            <w:t>Relatório sobre as Contas do Governador</w:t>
                          </w:r>
                        </w:p>
                        <w:p w14:paraId="4C49984C" w14:textId="77777777" w:rsidR="00BD5B06" w:rsidRPr="00630098" w:rsidRDefault="00BD5B06" w:rsidP="00E66096">
                          <w:pPr>
                            <w:pStyle w:val="Cabealho"/>
                            <w:pBdr>
                              <w:top w:val="single" w:sz="18" w:space="1" w:color="00B0F0"/>
                            </w:pBdr>
                            <w:jc w:val="right"/>
                            <w:rPr>
                              <w:rFonts w:ascii="Century Gothic" w:hAnsi="Century Gothic"/>
                              <w:noProof/>
                              <w:color w:val="000000"/>
                            </w:rPr>
                          </w:pPr>
                          <w:r>
                            <w:rPr>
                              <w:rFonts w:ascii="Century Gothic" w:hAnsi="Century Gothic"/>
                              <w:noProof/>
                              <w:color w:val="000000"/>
                            </w:rPr>
                            <w:t>Exercício de 2017</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62199D6" id="_x0000_t202" coordsize="21600,21600" o:spt="202" path="m,l,21600r21600,l21600,xe">
              <v:stroke joinstyle="miter"/>
              <v:path gradientshapeok="t" o:connecttype="rect"/>
            </v:shapetype>
            <v:shape id="_x0000_s1045" type="#_x0000_t202" style="position:absolute;left:0;text-align:left;margin-left:233.7pt;margin-top:-.2pt;width:241.5pt;height:110.55pt;z-index:2516961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" stroked="f">
              <v:textbox style="mso-fit-shape-to-text:t">
                <w:txbxContent>
                  <w:p w14:paraId="23ECBE34" w14:textId="77777777" w:rsidR="00BD5B06" w:rsidRPr="00630098" w:rsidRDefault="00BD5B06" w:rsidP="00E66096">
                    <w:pPr>
                      <w:pStyle w:val="Cabealho"/>
                      <w:pBdr>
                        <w:top w:val="single" w:sz="18" w:space="1" w:color="00B0F0"/>
                      </w:pBdr>
                      <w:jc w:val="right"/>
                      <w:rPr>
                        <w:rFonts w:ascii="Century Gothic" w:hAnsi="Century Gothic"/>
                        <w:noProof/>
                        <w:color w:val="000000"/>
                      </w:rPr>
                    </w:pPr>
                    <w:r w:rsidRPr="00630098">
                      <w:rPr>
                        <w:rFonts w:ascii="Century Gothic" w:hAnsi="Century Gothic"/>
                        <w:noProof/>
                        <w:color w:val="000000"/>
                      </w:rPr>
                      <w:t>Relatório sobre as Contas do Governador</w:t>
                    </w:r>
                  </w:p>
                  <w:p w14:paraId="4C49984C" w14:textId="77777777" w:rsidR="00BD5B06" w:rsidRPr="00630098" w:rsidRDefault="00BD5B06" w:rsidP="00E66096">
                    <w:pPr>
                      <w:pStyle w:val="Cabealho"/>
                      <w:pBdr>
                        <w:top w:val="single" w:sz="18" w:space="1" w:color="00B0F0"/>
                      </w:pBdr>
                      <w:jc w:val="right"/>
                      <w:rPr>
                        <w:rFonts w:ascii="Century Gothic" w:hAnsi="Century Gothic"/>
                        <w:noProof/>
                        <w:color w:val="000000"/>
                      </w:rPr>
                    </w:pPr>
                    <w:r>
                      <w:rPr>
                        <w:rFonts w:ascii="Century Gothic" w:hAnsi="Century Gothic"/>
                        <w:noProof/>
                        <w:color w:val="000000"/>
                      </w:rPr>
                      <w:t>Exercício de 2017</w:t>
                    </w:r>
                  </w:p>
                </w:txbxContent>
              </v:textbox>
            </v:shape>
          </w:pict>
        </mc:Fallback>
      </mc:AlternateContent>
    </w:r>
  </w:p>
  <w:p w14:paraId="6F8F39D5" w14:textId="77777777" w:rsidR="00BD5B06" w:rsidRPr="001343C7" w:rsidRDefault="00BD5B06" w:rsidP="00E66096">
    <w:pPr>
      <w:tabs>
        <w:tab w:val="left" w:pos="3600"/>
      </w:tabs>
      <w:rPr>
        <w:rFonts w:cs="Arial"/>
        <w:bCs/>
        <w:sz w:val="28"/>
        <w:szCs w:val="28"/>
      </w:rPr>
    </w:pPr>
    <w:r>
      <w:rPr>
        <w:rFonts w:cs="Arial"/>
        <w:bCs/>
        <w:sz w:val="28"/>
        <w:szCs w:val="28"/>
      </w:rPr>
      <w:tab/>
    </w:r>
  </w:p>
  <w:p w14:paraId="64AA8648" w14:textId="77777777" w:rsidR="00BD5B06" w:rsidRPr="00AB4D7E" w:rsidRDefault="00BD5B06" w:rsidP="00E66096"/>
  <w:p w14:paraId="7CEE5331" w14:textId="77777777" w:rsidR="00BD5B06" w:rsidRPr="00E66096" w:rsidRDefault="00BD5B06" w:rsidP="00E66096">
    <w:pPr>
      <w:pStyle w:val="Cabealho"/>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23CF7D" w14:textId="297FF7FB" w:rsidR="00BD5B06" w:rsidRPr="00630098" w:rsidRDefault="00BD5B06" w:rsidP="005C35EF">
    <w:pPr>
      <w:pStyle w:val="Cabealho"/>
      <w:jc w:val="right"/>
      <w:rPr>
        <w:rFonts w:ascii="Century Gothic" w:hAnsi="Century Gothic"/>
        <w:noProof/>
        <w:color w:val="000000"/>
      </w:rPr>
    </w:pPr>
    <w:r w:rsidRPr="00630098">
      <w:rPr>
        <w:rFonts w:ascii="Century Gothic" w:hAnsi="Century Gothic"/>
        <w:noProof/>
        <w:color w:val="000000"/>
      </w:rPr>
      <w:drawing>
        <wp:anchor distT="0" distB="0" distL="114300" distR="114300" simplePos="0" relativeHeight="251743232" behindDoc="1" locked="0" layoutInCell="1" allowOverlap="1" wp14:anchorId="501BE735" wp14:editId="5981B5F1">
          <wp:simplePos x="0" y="0"/>
          <wp:positionH relativeFrom="column">
            <wp:posOffset>-108585</wp:posOffset>
          </wp:positionH>
          <wp:positionV relativeFrom="paragraph">
            <wp:posOffset>-81915</wp:posOffset>
          </wp:positionV>
          <wp:extent cx="2400300" cy="523875"/>
          <wp:effectExtent l="0" t="0" r="0" b="9525"/>
          <wp:wrapSquare wrapText="bothSides"/>
          <wp:docPr id="18" name="Imagem 18" descr="LogoDocument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Documento0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400300" cy="5238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noProof/>
        <w:color w:val="000000"/>
      </w:rPr>
      <w:t>Gerência de Fiscalização de Contas</w:t>
    </w:r>
  </w:p>
  <w:p w14:paraId="34DBD091" w14:textId="77777777" w:rsidR="00BD5B06" w:rsidRPr="00630098" w:rsidRDefault="00BD5B06" w:rsidP="005C35EF">
    <w:pPr>
      <w:pStyle w:val="Cabealho"/>
      <w:jc w:val="right"/>
      <w:rPr>
        <w:rFonts w:ascii="Century Gothic" w:hAnsi="Century Gothic"/>
        <w:noProof/>
        <w:color w:val="000000"/>
      </w:rPr>
    </w:pPr>
    <w:r w:rsidRPr="00630098">
      <w:rPr>
        <w:rFonts w:ascii="Century Gothic" w:hAnsi="Century Gothic"/>
        <w:noProof/>
        <w:color w:val="000000"/>
      </w:rPr>
      <mc:AlternateContent>
        <mc:Choice Requires="wps">
          <w:drawing>
            <wp:anchor distT="0" distB="0" distL="114300" distR="114300" simplePos="0" relativeHeight="251744256" behindDoc="0" locked="0" layoutInCell="1" allowOverlap="1" wp14:anchorId="602DC8A6" wp14:editId="577769EF">
              <wp:simplePos x="0" y="0"/>
              <wp:positionH relativeFrom="column">
                <wp:posOffset>2967990</wp:posOffset>
              </wp:positionH>
              <wp:positionV relativeFrom="paragraph">
                <wp:posOffset>-2540</wp:posOffset>
              </wp:positionV>
              <wp:extent cx="3067050" cy="1403985"/>
              <wp:effectExtent l="0" t="0" r="0" b="0"/>
              <wp:wrapNone/>
              <wp:docPr id="3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7050" cy="1403985"/>
                      </a:xfrm>
                      <a:prstGeom prst="rect">
                        <a:avLst/>
                      </a:prstGeom>
                      <a:solidFill>
                        <a:srgbClr val="FFFFFF"/>
                      </a:solidFill>
                      <a:ln w="9525">
                        <a:noFill/>
                        <a:miter lim="800000"/>
                        <a:headEnd/>
                        <a:tailEnd/>
                      </a:ln>
                    </wps:spPr>
                    <wps:txbx>
                      <w:txbxContent>
                        <w:p w14:paraId="2F92E799" w14:textId="77777777" w:rsidR="00BD5B06" w:rsidRPr="00630098" w:rsidRDefault="00BD5B06" w:rsidP="005C35EF">
                          <w:pPr>
                            <w:pStyle w:val="Cabealho"/>
                            <w:pBdr>
                              <w:top w:val="single" w:sz="18" w:space="1" w:color="00B0F0"/>
                            </w:pBdr>
                            <w:jc w:val="right"/>
                            <w:rPr>
                              <w:rFonts w:ascii="Century Gothic" w:hAnsi="Century Gothic"/>
                              <w:noProof/>
                              <w:color w:val="000000"/>
                            </w:rPr>
                          </w:pPr>
                          <w:r w:rsidRPr="00630098">
                            <w:rPr>
                              <w:rFonts w:ascii="Century Gothic" w:hAnsi="Century Gothic"/>
                              <w:noProof/>
                              <w:color w:val="000000"/>
                            </w:rPr>
                            <w:t>Relatório sobre as Contas do Governador</w:t>
                          </w:r>
                        </w:p>
                        <w:p w14:paraId="31CB9760" w14:textId="77CFA7F1" w:rsidR="00BD5B06" w:rsidRPr="00630098" w:rsidRDefault="00BD5B06" w:rsidP="005C35EF">
                          <w:pPr>
                            <w:pStyle w:val="Cabealho"/>
                            <w:pBdr>
                              <w:top w:val="single" w:sz="18" w:space="1" w:color="00B0F0"/>
                            </w:pBdr>
                            <w:jc w:val="right"/>
                            <w:rPr>
                              <w:rFonts w:ascii="Century Gothic" w:hAnsi="Century Gothic"/>
                              <w:noProof/>
                              <w:color w:val="000000"/>
                            </w:rPr>
                          </w:pPr>
                          <w:r>
                            <w:rPr>
                              <w:rFonts w:ascii="Century Gothic" w:hAnsi="Century Gothic"/>
                              <w:noProof/>
                              <w:color w:val="000000"/>
                            </w:rPr>
                            <w:t>Exercício de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02DC8A6" id="_x0000_t202" coordsize="21600,21600" o:spt="202" path="m,l,21600r21600,l21600,xe">
              <v:stroke joinstyle="miter"/>
              <v:path gradientshapeok="t" o:connecttype="rect"/>
            </v:shapetype>
            <v:shape id="_x0000_s1046" type="#_x0000_t202" style="position:absolute;left:0;text-align:left;margin-left:233.7pt;margin-top:-.2pt;width:241.5pt;height:110.55pt;z-index:2517442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" stroked="f">
              <v:textbox style="mso-fit-shape-to-text:t">
                <w:txbxContent>
                  <w:p w14:paraId="2F92E799" w14:textId="77777777" w:rsidR="00BD5B06" w:rsidRPr="00630098" w:rsidRDefault="00BD5B06" w:rsidP="005C35EF">
                    <w:pPr>
                      <w:pStyle w:val="Cabealho"/>
                      <w:pBdr>
                        <w:top w:val="single" w:sz="18" w:space="1" w:color="00B0F0"/>
                      </w:pBdr>
                      <w:jc w:val="right"/>
                      <w:rPr>
                        <w:rFonts w:ascii="Century Gothic" w:hAnsi="Century Gothic"/>
                        <w:noProof/>
                        <w:color w:val="000000"/>
                      </w:rPr>
                    </w:pPr>
                    <w:r w:rsidRPr="00630098">
                      <w:rPr>
                        <w:rFonts w:ascii="Century Gothic" w:hAnsi="Century Gothic"/>
                        <w:noProof/>
                        <w:color w:val="000000"/>
                      </w:rPr>
                      <w:t>Relatório sobre as Contas do Governador</w:t>
                    </w:r>
                  </w:p>
                  <w:p w14:paraId="31CB9760" w14:textId="77CFA7F1" w:rsidR="00BD5B06" w:rsidRPr="00630098" w:rsidRDefault="00BD5B06" w:rsidP="005C35EF">
                    <w:pPr>
                      <w:pStyle w:val="Cabealho"/>
                      <w:pBdr>
                        <w:top w:val="single" w:sz="18" w:space="1" w:color="00B0F0"/>
                      </w:pBdr>
                      <w:jc w:val="right"/>
                      <w:rPr>
                        <w:rFonts w:ascii="Century Gothic" w:hAnsi="Century Gothic"/>
                        <w:noProof/>
                        <w:color w:val="000000"/>
                      </w:rPr>
                    </w:pPr>
                    <w:r>
                      <w:rPr>
                        <w:rFonts w:ascii="Century Gothic" w:hAnsi="Century Gothic"/>
                        <w:noProof/>
                        <w:color w:val="000000"/>
                      </w:rPr>
                      <w:t>Exercício de 2023</w:t>
                    </w:r>
                  </w:p>
                </w:txbxContent>
              </v:textbox>
            </v:shape>
          </w:pict>
        </mc:Fallback>
      </mc:AlternateContent>
    </w:r>
  </w:p>
  <w:p w14:paraId="6FDD22B7" w14:textId="77777777" w:rsidR="00BD5B06" w:rsidRPr="001343C7" w:rsidRDefault="00BD5B06" w:rsidP="00486F79">
    <w:pPr>
      <w:jc w:val="center"/>
      <w:rPr>
        <w:rFonts w:cs="Arial"/>
        <w:bCs/>
        <w:sz w:val="28"/>
        <w:szCs w:val="28"/>
      </w:rPr>
    </w:pPr>
  </w:p>
  <w:p w14:paraId="1189B0BB" w14:textId="77777777" w:rsidR="00BD5B06" w:rsidRPr="00AB4D7E" w:rsidRDefault="00BD5B06" w:rsidP="005C35EF"/>
  <w:p w14:paraId="6A4DBF49" w14:textId="77777777" w:rsidR="00BD5B06" w:rsidRPr="00AB4D7E" w:rsidRDefault="00BD5B06" w:rsidP="00537D15">
    <w:pPr>
      <w:jc w:val="center"/>
    </w:pPr>
  </w:p>
  <w:p w14:paraId="43B04D0E" w14:textId="77777777" w:rsidR="00BD5B06" w:rsidRDefault="00BD5B06"/>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F5BD0C" w14:textId="51962537" w:rsidR="00BD5B06" w:rsidRPr="00630098" w:rsidRDefault="00BD5B06" w:rsidP="005C35EF">
    <w:pPr>
      <w:pStyle w:val="Cabealho"/>
      <w:jc w:val="right"/>
      <w:rPr>
        <w:rFonts w:ascii="Century Gothic" w:hAnsi="Century Gothic"/>
        <w:noProof/>
        <w:color w:val="000000"/>
      </w:rPr>
    </w:pPr>
    <w:r w:rsidRPr="00630098">
      <w:rPr>
        <w:rFonts w:ascii="Century Gothic" w:hAnsi="Century Gothic"/>
        <w:noProof/>
        <w:color w:val="000000"/>
      </w:rPr>
      <mc:AlternateContent>
        <mc:Choice Requires="wps">
          <w:drawing>
            <wp:anchor distT="0" distB="0" distL="114300" distR="114300" simplePos="0" relativeHeight="251758592" behindDoc="0" locked="0" layoutInCell="1" allowOverlap="1" wp14:anchorId="6B362574" wp14:editId="77E2FCC8">
              <wp:simplePos x="0" y="0"/>
              <wp:positionH relativeFrom="column">
                <wp:posOffset>2937510</wp:posOffset>
              </wp:positionH>
              <wp:positionV relativeFrom="paragraph">
                <wp:posOffset>168910</wp:posOffset>
              </wp:positionV>
              <wp:extent cx="3067050" cy="1403985"/>
              <wp:effectExtent l="0" t="0" r="0" b="0"/>
              <wp:wrapNone/>
              <wp:docPr id="58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7050" cy="1403985"/>
                      </a:xfrm>
                      <a:prstGeom prst="rect">
                        <a:avLst/>
                      </a:prstGeom>
                      <a:solidFill>
                        <a:srgbClr val="FFFFFF"/>
                      </a:solidFill>
                      <a:ln w="9525">
                        <a:noFill/>
                        <a:miter lim="800000"/>
                        <a:headEnd/>
                        <a:tailEnd/>
                      </a:ln>
                    </wps:spPr>
                    <wps:txbx>
                      <w:txbxContent>
                        <w:p w14:paraId="11F833C2" w14:textId="77777777" w:rsidR="00BD5B06" w:rsidRPr="00630098" w:rsidRDefault="00BD5B06" w:rsidP="005C35EF">
                          <w:pPr>
                            <w:pStyle w:val="Cabealho"/>
                            <w:pBdr>
                              <w:top w:val="single" w:sz="18" w:space="1" w:color="00B0F0"/>
                            </w:pBdr>
                            <w:jc w:val="right"/>
                            <w:rPr>
                              <w:rFonts w:ascii="Century Gothic" w:hAnsi="Century Gothic"/>
                              <w:noProof/>
                              <w:color w:val="000000"/>
                            </w:rPr>
                          </w:pPr>
                          <w:r w:rsidRPr="00630098">
                            <w:rPr>
                              <w:rFonts w:ascii="Century Gothic" w:hAnsi="Century Gothic"/>
                              <w:noProof/>
                              <w:color w:val="000000"/>
                            </w:rPr>
                            <w:t>Relatório sobre as Contas do Governador</w:t>
                          </w:r>
                        </w:p>
                        <w:p w14:paraId="79E649CD" w14:textId="15D46D00" w:rsidR="00BD5B06" w:rsidRPr="00630098" w:rsidRDefault="00BD5B06" w:rsidP="005C35EF">
                          <w:pPr>
                            <w:pStyle w:val="Cabealho"/>
                            <w:pBdr>
                              <w:top w:val="single" w:sz="18" w:space="1" w:color="00B0F0"/>
                            </w:pBdr>
                            <w:jc w:val="right"/>
                            <w:rPr>
                              <w:rFonts w:ascii="Century Gothic" w:hAnsi="Century Gothic"/>
                              <w:noProof/>
                              <w:color w:val="000000"/>
                            </w:rPr>
                          </w:pPr>
                          <w:r>
                            <w:rPr>
                              <w:rFonts w:ascii="Century Gothic" w:hAnsi="Century Gothic"/>
                              <w:noProof/>
                              <w:color w:val="000000"/>
                            </w:rPr>
                            <w:t>Exercício de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B362574" id="_x0000_t202" coordsize="21600,21600" o:spt="202" path="m,l,21600r21600,l21600,xe">
              <v:stroke joinstyle="miter"/>
              <v:path gradientshapeok="t" o:connecttype="rect"/>
            </v:shapetype>
            <v:shape id="_x0000_s1047" type="#_x0000_t202" style="position:absolute;left:0;text-align:left;margin-left:231.3pt;margin-top:13.3pt;width:241.5pt;height:110.55pt;z-index:2517585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" stroked="f">
              <v:textbox style="mso-fit-shape-to-text:t">
                <w:txbxContent>
                  <w:p w14:paraId="11F833C2" w14:textId="77777777" w:rsidR="00BD5B06" w:rsidRPr="00630098" w:rsidRDefault="00BD5B06" w:rsidP="005C35EF">
                    <w:pPr>
                      <w:pStyle w:val="Cabealho"/>
                      <w:pBdr>
                        <w:top w:val="single" w:sz="18" w:space="1" w:color="00B0F0"/>
                      </w:pBdr>
                      <w:jc w:val="right"/>
                      <w:rPr>
                        <w:rFonts w:ascii="Century Gothic" w:hAnsi="Century Gothic"/>
                        <w:noProof/>
                        <w:color w:val="000000"/>
                      </w:rPr>
                    </w:pPr>
                    <w:r w:rsidRPr="00630098">
                      <w:rPr>
                        <w:rFonts w:ascii="Century Gothic" w:hAnsi="Century Gothic"/>
                        <w:noProof/>
                        <w:color w:val="000000"/>
                      </w:rPr>
                      <w:t>Relatório sobre as Contas do Governador</w:t>
                    </w:r>
                  </w:p>
                  <w:p w14:paraId="79E649CD" w14:textId="15D46D00" w:rsidR="00BD5B06" w:rsidRPr="00630098" w:rsidRDefault="00BD5B06" w:rsidP="005C35EF">
                    <w:pPr>
                      <w:pStyle w:val="Cabealho"/>
                      <w:pBdr>
                        <w:top w:val="single" w:sz="18" w:space="1" w:color="00B0F0"/>
                      </w:pBdr>
                      <w:jc w:val="right"/>
                      <w:rPr>
                        <w:rFonts w:ascii="Century Gothic" w:hAnsi="Century Gothic"/>
                        <w:noProof/>
                        <w:color w:val="000000"/>
                      </w:rPr>
                    </w:pPr>
                    <w:r>
                      <w:rPr>
                        <w:rFonts w:ascii="Century Gothic" w:hAnsi="Century Gothic"/>
                        <w:noProof/>
                        <w:color w:val="000000"/>
                      </w:rPr>
                      <w:t>Exercício de 2023</w:t>
                    </w:r>
                  </w:p>
                </w:txbxContent>
              </v:textbox>
            </v:shape>
          </w:pict>
        </mc:Fallback>
      </mc:AlternateContent>
    </w:r>
    <w:r w:rsidRPr="00630098">
      <w:rPr>
        <w:rFonts w:ascii="Century Gothic" w:hAnsi="Century Gothic"/>
        <w:noProof/>
        <w:color w:val="000000"/>
      </w:rPr>
      <w:drawing>
        <wp:anchor distT="0" distB="0" distL="114300" distR="114300" simplePos="0" relativeHeight="251757568" behindDoc="1" locked="0" layoutInCell="1" allowOverlap="1" wp14:anchorId="39B1A6A6" wp14:editId="4EF5E5F0">
          <wp:simplePos x="0" y="0"/>
          <wp:positionH relativeFrom="column">
            <wp:posOffset>-108585</wp:posOffset>
          </wp:positionH>
          <wp:positionV relativeFrom="paragraph">
            <wp:posOffset>-81915</wp:posOffset>
          </wp:positionV>
          <wp:extent cx="2400300" cy="523875"/>
          <wp:effectExtent l="0" t="0" r="0" b="9525"/>
          <wp:wrapSquare wrapText="bothSides"/>
          <wp:docPr id="17" name="Imagem 17" descr="LogoDocument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Documento0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400300" cy="5238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noProof/>
        <w:color w:val="000000"/>
      </w:rPr>
      <w:t>Gerência de Fiscalização de Contas</w:t>
    </w:r>
  </w:p>
  <w:p w14:paraId="766233D9" w14:textId="2255D7DF" w:rsidR="00BD5B06" w:rsidRPr="00630098" w:rsidRDefault="00BD5B06" w:rsidP="005C35EF">
    <w:pPr>
      <w:pStyle w:val="Cabealho"/>
      <w:jc w:val="right"/>
      <w:rPr>
        <w:rFonts w:ascii="Century Gothic" w:hAnsi="Century Gothic"/>
        <w:noProof/>
        <w:color w:val="000000"/>
      </w:rPr>
    </w:pPr>
  </w:p>
  <w:p w14:paraId="306BF868" w14:textId="77777777" w:rsidR="00BD5B06" w:rsidRPr="001343C7" w:rsidRDefault="00BD5B06" w:rsidP="00486F79">
    <w:pPr>
      <w:jc w:val="center"/>
      <w:rPr>
        <w:rFonts w:cs="Arial"/>
        <w:bCs/>
        <w:sz w:val="28"/>
        <w:szCs w:val="28"/>
      </w:rPr>
    </w:pPr>
  </w:p>
  <w:p w14:paraId="392568E7" w14:textId="5C98415B" w:rsidR="00BD5B06" w:rsidRPr="00645942" w:rsidRDefault="00BD5B06" w:rsidP="005C35EF">
    <w:pPr>
      <w:rPr>
        <w:sz w:val="20"/>
        <w:szCs w:val="20"/>
      </w:rPr>
    </w:pPr>
  </w:p>
  <w:p w14:paraId="4498A9D8" w14:textId="77777777" w:rsidR="00BD5B06" w:rsidRPr="00645942" w:rsidRDefault="00BD5B06" w:rsidP="00F8524E">
    <w:pPr>
      <w:tabs>
        <w:tab w:val="left" w:pos="2742"/>
      </w:tabs>
      <w:rPr>
        <w:sz w:val="20"/>
        <w:szCs w:val="20"/>
      </w:rPr>
    </w:pPr>
  </w:p>
  <w:p w14:paraId="5980523F" w14:textId="77777777" w:rsidR="00BD5B06" w:rsidRPr="00645942" w:rsidRDefault="00BD5B06" w:rsidP="005C35EF">
    <w:pPr>
      <w:rPr>
        <w:sz w:val="20"/>
        <w:szCs w:val="20"/>
      </w:rPr>
    </w:pPr>
  </w:p>
  <w:p w14:paraId="1F0DBEA4" w14:textId="77777777" w:rsidR="00BD5B06" w:rsidRPr="00645942" w:rsidRDefault="00BD5B06">
    <w:pPr>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552A8636"/>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2"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3" w15:restartNumberingAfterBreak="0">
    <w:nsid w:val="00894636"/>
    <w:multiLevelType w:val="multilevel"/>
    <w:tmpl w:val="A4AE171E"/>
    <w:lvl w:ilvl="0">
      <w:start w:val="1"/>
      <w:numFmt w:val="decimal"/>
      <w:pStyle w:val="Ttulo1"/>
      <w:suff w:val="space"/>
      <w:lvlText w:val="%1"/>
      <w:lvlJc w:val="left"/>
      <w:pPr>
        <w:ind w:left="1000" w:hanging="1000"/>
      </w:pPr>
      <w:rPr>
        <w:rFonts w:ascii="Arial" w:hAnsi="Arial" w:cs="Arial" w:hint="default"/>
        <w:color w:val="auto"/>
        <w:sz w:val="32"/>
        <w:szCs w:val="32"/>
      </w:rPr>
    </w:lvl>
    <w:lvl w:ilvl="1">
      <w:start w:val="1"/>
      <w:numFmt w:val="decimal"/>
      <w:pStyle w:val="Ttulo2"/>
      <w:suff w:val="space"/>
      <w:lvlText w:val="%1.%2"/>
      <w:lvlJc w:val="left"/>
      <w:pPr>
        <w:ind w:left="576" w:hanging="576"/>
      </w:pPr>
      <w:rPr>
        <w:rFonts w:cs="Times New Roman" w:hint="default"/>
        <w:b/>
        <w:bCs w:val="0"/>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suff w:val="space"/>
      <w:lvlText w:val="%1.%2.%3"/>
      <w:lvlJc w:val="left"/>
      <w:pPr>
        <w:ind w:left="720" w:hanging="720"/>
      </w:pPr>
      <w:rPr>
        <w:rFonts w:hint="default"/>
      </w:rPr>
    </w:lvl>
    <w:lvl w:ilvl="3">
      <w:start w:val="1"/>
      <w:numFmt w:val="decimal"/>
      <w:pStyle w:val="Ttulo4"/>
      <w:suff w:val="space"/>
      <w:lvlText w:val="%1.%2.%3.%4 "/>
      <w:lvlJc w:val="left"/>
      <w:pPr>
        <w:ind w:left="4834" w:hanging="864"/>
      </w:pPr>
      <w:rPr>
        <w:rFonts w:hint="default"/>
        <w:b w:val="0"/>
      </w:rPr>
    </w:lvl>
    <w:lvl w:ilvl="4">
      <w:start w:val="1"/>
      <w:numFmt w:val="decimal"/>
      <w:pStyle w:val="Ttulo5"/>
      <w:suff w:val="space"/>
      <w:lvlText w:val="%1.%2.%3.%4.%5 "/>
      <w:lvlJc w:val="left"/>
      <w:pPr>
        <w:ind w:left="1576" w:hanging="1576"/>
      </w:pPr>
      <w:rPr>
        <w:rFonts w:hint="default"/>
      </w:rPr>
    </w:lvl>
    <w:lvl w:ilvl="5">
      <w:start w:val="1"/>
      <w:numFmt w:val="decimal"/>
      <w:pStyle w:val="Ttulo6"/>
      <w:suff w:val="space"/>
      <w:lvlText w:val="%1.%2.%3.%4.%5.%6"/>
      <w:lvlJc w:val="left"/>
      <w:pPr>
        <w:ind w:left="1152" w:hanging="115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pStyle w:val="Ttulo7"/>
      <w:suff w:val="space"/>
      <w:lvlText w:val="%1.%2.%3.%4.%5.%6.%7"/>
      <w:lvlJc w:val="left"/>
      <w:pPr>
        <w:ind w:left="1296" w:hanging="1296"/>
      </w:pPr>
      <w:rPr>
        <w:rFonts w:hint="default"/>
        <w:color w:val="auto"/>
      </w:rPr>
    </w:lvl>
    <w:lvl w:ilvl="7">
      <w:start w:val="1"/>
      <w:numFmt w:val="decimal"/>
      <w:pStyle w:val="Ttulo8"/>
      <w:suff w:val="space"/>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4" w15:restartNumberingAfterBreak="0">
    <w:nsid w:val="01E44035"/>
    <w:multiLevelType w:val="multilevel"/>
    <w:tmpl w:val="395AA65E"/>
    <w:name w:val="RTF_Num 402222"/>
    <w:lvl w:ilvl="0">
      <w:start w:val="4"/>
      <w:numFmt w:val="decimal"/>
      <w:lvlText w:val="%1"/>
      <w:lvlJc w:val="left"/>
      <w:pPr>
        <w:tabs>
          <w:tab w:val="num" w:pos="432"/>
        </w:tabs>
        <w:ind w:left="432" w:hanging="432"/>
      </w:pPr>
      <w:rPr>
        <w:rFonts w:hint="default"/>
        <w:b/>
        <w:bCs/>
        <w:i w:val="0"/>
        <w:iCs w:val="0"/>
      </w:rPr>
    </w:lvl>
    <w:lvl w:ilvl="1">
      <w:start w:val="4"/>
      <w:numFmt w:val="decimal"/>
      <w:lvlRestart w:val="0"/>
      <w:lvlText w:val="%1.%2"/>
      <w:lvlJc w:val="left"/>
      <w:pPr>
        <w:tabs>
          <w:tab w:val="num" w:pos="576"/>
        </w:tabs>
        <w:ind w:left="576" w:hanging="576"/>
      </w:pPr>
      <w:rPr>
        <w:rFonts w:hint="default"/>
        <w:b/>
        <w:bCs/>
        <w:i w:val="0"/>
        <w:iCs w:val="0"/>
      </w:rPr>
    </w:lvl>
    <w:lvl w:ilvl="2">
      <w:start w:val="1"/>
      <w:numFmt w:val="decimal"/>
      <w:lvlText w:val="%1.%2.%3"/>
      <w:lvlJc w:val="left"/>
      <w:pPr>
        <w:tabs>
          <w:tab w:val="num" w:pos="720"/>
        </w:tabs>
        <w:ind w:left="720" w:hanging="720"/>
      </w:pPr>
      <w:rPr>
        <w:rFonts w:hint="default"/>
        <w:b/>
        <w:bCs/>
        <w:i w:val="0"/>
        <w:iCs w:val="0"/>
        <w:sz w:val="24"/>
        <w:szCs w:val="24"/>
      </w:rPr>
    </w:lvl>
    <w:lvl w:ilvl="3">
      <w:start w:val="1"/>
      <w:numFmt w:val="decimal"/>
      <w:lvlRestart w:val="0"/>
      <w:lvlText w:val="%1.%2.%3.%4"/>
      <w:lvlJc w:val="left"/>
      <w:pPr>
        <w:tabs>
          <w:tab w:val="num" w:pos="992"/>
        </w:tabs>
        <w:ind w:left="992" w:hanging="992"/>
      </w:pPr>
      <w:rPr>
        <w:rFonts w:ascii="Arial" w:hAnsi="Arial" w:cs="Arial" w:hint="default"/>
        <w:b/>
        <w:bCs/>
        <w:i w:val="0"/>
        <w:iCs w:val="0"/>
        <w:caps w:val="0"/>
        <w:smallCaps w:val="0"/>
        <w:strike w:val="0"/>
        <w:dstrike w:val="0"/>
        <w:vanish w:val="0"/>
        <w:color w:val="auto"/>
        <w:spacing w:val="0"/>
        <w:w w:val="100"/>
        <w:kern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008"/>
        </w:tabs>
        <w:ind w:left="1008" w:hanging="1008"/>
      </w:pPr>
      <w:rPr>
        <w:rFonts w:hint="default"/>
        <w:b/>
        <w:bCs/>
        <w:i w:val="0"/>
        <w:iCs w:val="0"/>
        <w:color w:val="auto"/>
      </w:rPr>
    </w:lvl>
    <w:lvl w:ilvl="5">
      <w:start w:val="1"/>
      <w:numFmt w:val="decimal"/>
      <w:lvlRestart w:val="0"/>
      <w:lvlText w:val="%1.%2.%3.%4.%5.%6"/>
      <w:lvlJc w:val="left"/>
      <w:pPr>
        <w:tabs>
          <w:tab w:val="num" w:pos="1152"/>
        </w:tabs>
        <w:ind w:left="1152" w:hanging="1152"/>
      </w:pPr>
      <w:rPr>
        <w:rFonts w:ascii="Arial" w:hAnsi="Arial" w:cs="Arial" w:hint="default"/>
        <w:b/>
        <w:bCs/>
        <w:i w:val="0"/>
        <w:iCs w:val="0"/>
        <w:caps w:val="0"/>
        <w:smallCaps w:val="0"/>
        <w:strike w:val="0"/>
        <w:dstrike w:val="0"/>
        <w:color w:val="auto"/>
        <w:spacing w:val="0"/>
        <w:w w:val="100"/>
        <w:kern w:val="0"/>
        <w:position w:val="0"/>
        <w:sz w:val="24"/>
        <w:szCs w:val="24"/>
        <w:u w:val="none"/>
        <w:effect w:val="no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04752998"/>
    <w:multiLevelType w:val="hybridMultilevel"/>
    <w:tmpl w:val="AC723DF0"/>
    <w:lvl w:ilvl="0" w:tplc="12628E56">
      <w:start w:val="1"/>
      <w:numFmt w:val="decimal"/>
      <w:pStyle w:val="Estilo0-GRFICOesquerda"/>
      <w:lvlText w:val="Gráfico %1  - "/>
      <w:lvlJc w:val="left"/>
      <w:pPr>
        <w:tabs>
          <w:tab w:val="num" w:pos="1985"/>
        </w:tabs>
        <w:ind w:left="284" w:hanging="284"/>
      </w:pPr>
      <w:rPr>
        <w:rFonts w:ascii="Arial" w:hAnsi="Arial" w:cs="Arial" w:hint="default"/>
        <w:b w:val="0"/>
        <w:bCs/>
        <w:i w:val="0"/>
        <w:iCs w:val="0"/>
        <w:caps w:val="0"/>
        <w:strike w:val="0"/>
        <w:dstrike w:val="0"/>
        <w:vanish w:val="0"/>
        <w:color w:val="auto"/>
        <w:spacing w:val="0"/>
        <w:w w:val="100"/>
        <w:kern w:val="0"/>
        <w:position w:val="0"/>
        <w:sz w:val="22"/>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6" w15:restartNumberingAfterBreak="0">
    <w:nsid w:val="05874DF5"/>
    <w:multiLevelType w:val="hybridMultilevel"/>
    <w:tmpl w:val="9D2C5218"/>
    <w:lvl w:ilvl="0" w:tplc="CA56BAD6">
      <w:start w:val="1"/>
      <w:numFmt w:val="bullet"/>
      <w:pStyle w:val="0-itemELENCADO"/>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7" w15:restartNumberingAfterBreak="0">
    <w:nsid w:val="07B96246"/>
    <w:multiLevelType w:val="multilevel"/>
    <w:tmpl w:val="E80A464A"/>
    <w:styleLink w:val="RTFNum2"/>
    <w:lvl w:ilvl="0">
      <w:numFmt w:val="bullet"/>
      <w:lvlText w:val=""/>
      <w:lvlJc w:val="left"/>
      <w:pPr>
        <w:ind w:left="360" w:hanging="360"/>
      </w:pPr>
      <w:rPr>
        <w:rFonts w:ascii="Symbol" w:eastAsia="Symbol" w:hAnsi="Symbol" w:cs="Symbol"/>
        <w:b w:val="0"/>
        <w:bCs w:val="0"/>
        <w:i w:val="0"/>
        <w:iCs w:val="0"/>
        <w:strike w:val="0"/>
        <w:dstrike w:val="0"/>
        <w:color w:val="auto"/>
        <w:sz w:val="24"/>
        <w:szCs w:val="24"/>
        <w:u w:val="none" w:color="000000"/>
        <w:effect w:val="none"/>
      </w:rPr>
    </w:lvl>
    <w:lvl w:ilvl="1">
      <w:numFmt w:val="bullet"/>
      <w:lvlText w:val=""/>
      <w:lvlJc w:val="left"/>
      <w:pPr>
        <w:ind w:left="720" w:hanging="360"/>
      </w:pPr>
      <w:rPr>
        <w:rFonts w:ascii="Symbol" w:eastAsia="Symbol" w:hAnsi="Symbol" w:cs="Symbol"/>
        <w:b w:val="0"/>
        <w:bCs w:val="0"/>
        <w:i w:val="0"/>
        <w:iCs w:val="0"/>
        <w:strike w:val="0"/>
        <w:dstrike w:val="0"/>
        <w:color w:val="auto"/>
        <w:sz w:val="24"/>
        <w:szCs w:val="24"/>
        <w:u w:val="none" w:color="000000"/>
        <w:effect w:val="none"/>
      </w:rPr>
    </w:lvl>
    <w:lvl w:ilvl="2">
      <w:numFmt w:val="bullet"/>
      <w:lvlText w:val=""/>
      <w:lvlJc w:val="left"/>
      <w:pPr>
        <w:ind w:left="2160" w:hanging="360"/>
      </w:pPr>
      <w:rPr>
        <w:rFonts w:ascii="Symbol" w:eastAsia="Symbol" w:hAnsi="Symbol" w:cs="Symbol"/>
        <w:b w:val="0"/>
        <w:bCs w:val="0"/>
        <w:i w:val="0"/>
        <w:iCs w:val="0"/>
        <w:strike w:val="0"/>
        <w:dstrike w:val="0"/>
        <w:color w:val="auto"/>
        <w:sz w:val="24"/>
        <w:szCs w:val="24"/>
        <w:u w:val="none" w:color="000000"/>
        <w:effect w:val="none"/>
      </w:rPr>
    </w:lvl>
    <w:lvl w:ilvl="3">
      <w:numFmt w:val="bullet"/>
      <w:lvlText w:val=""/>
      <w:lvlJc w:val="left"/>
      <w:pPr>
        <w:ind w:left="1440" w:hanging="360"/>
      </w:pPr>
      <w:rPr>
        <w:rFonts w:ascii="Symbol" w:eastAsia="Symbol" w:hAnsi="Symbol" w:cs="Symbol"/>
        <w:b w:val="0"/>
        <w:bCs w:val="0"/>
        <w:i w:val="0"/>
        <w:iCs w:val="0"/>
        <w:strike w:val="0"/>
        <w:dstrike w:val="0"/>
        <w:color w:val="auto"/>
        <w:sz w:val="24"/>
        <w:szCs w:val="24"/>
        <w:u w:val="none" w:color="000000"/>
        <w:effect w:val="none"/>
      </w:rPr>
    </w:lvl>
    <w:lvl w:ilvl="4">
      <w:numFmt w:val="bullet"/>
      <w:lvlText w:val=""/>
      <w:lvlJc w:val="left"/>
      <w:pPr>
        <w:ind w:left="1800" w:hanging="360"/>
      </w:pPr>
      <w:rPr>
        <w:rFonts w:ascii="Symbol" w:eastAsia="Symbol" w:hAnsi="Symbol" w:cs="Symbol"/>
        <w:b w:val="0"/>
        <w:bCs w:val="0"/>
        <w:i w:val="0"/>
        <w:iCs w:val="0"/>
        <w:strike w:val="0"/>
        <w:dstrike w:val="0"/>
        <w:color w:val="auto"/>
        <w:sz w:val="24"/>
        <w:szCs w:val="24"/>
        <w:u w:val="none" w:color="000000"/>
        <w:effect w:val="none"/>
      </w:rPr>
    </w:lvl>
    <w:lvl w:ilvl="5">
      <w:numFmt w:val="bullet"/>
      <w:lvlText w:val=""/>
      <w:lvlJc w:val="left"/>
      <w:pPr>
        <w:ind w:left="2160" w:hanging="360"/>
      </w:pPr>
      <w:rPr>
        <w:rFonts w:ascii="Symbol" w:eastAsia="Symbol" w:hAnsi="Symbol" w:cs="Symbol"/>
        <w:b w:val="0"/>
        <w:bCs w:val="0"/>
        <w:i w:val="0"/>
        <w:iCs w:val="0"/>
        <w:strike w:val="0"/>
        <w:dstrike w:val="0"/>
        <w:color w:val="auto"/>
        <w:sz w:val="24"/>
        <w:szCs w:val="24"/>
        <w:u w:val="none" w:color="000000"/>
        <w:effect w:val="none"/>
      </w:rPr>
    </w:lvl>
    <w:lvl w:ilvl="6">
      <w:numFmt w:val="bullet"/>
      <w:lvlText w:val=""/>
      <w:lvlJc w:val="left"/>
      <w:pPr>
        <w:ind w:left="2520" w:hanging="360"/>
      </w:pPr>
      <w:rPr>
        <w:rFonts w:ascii="Symbol" w:eastAsia="Symbol" w:hAnsi="Symbol" w:cs="Symbol"/>
        <w:b w:val="0"/>
        <w:bCs w:val="0"/>
        <w:i w:val="0"/>
        <w:iCs w:val="0"/>
        <w:strike w:val="0"/>
        <w:dstrike w:val="0"/>
        <w:color w:val="auto"/>
        <w:sz w:val="24"/>
        <w:szCs w:val="24"/>
        <w:u w:val="none" w:color="000000"/>
        <w:effect w:val="none"/>
      </w:rPr>
    </w:lvl>
    <w:lvl w:ilvl="7">
      <w:numFmt w:val="bullet"/>
      <w:lvlText w:val=""/>
      <w:lvlJc w:val="left"/>
      <w:pPr>
        <w:ind w:left="2880" w:hanging="360"/>
      </w:pPr>
      <w:rPr>
        <w:rFonts w:ascii="Symbol" w:eastAsia="Symbol" w:hAnsi="Symbol" w:cs="Symbol"/>
        <w:b w:val="0"/>
        <w:bCs w:val="0"/>
        <w:i w:val="0"/>
        <w:iCs w:val="0"/>
        <w:strike w:val="0"/>
        <w:dstrike w:val="0"/>
        <w:color w:val="auto"/>
        <w:sz w:val="24"/>
        <w:szCs w:val="24"/>
        <w:u w:val="none" w:color="000000"/>
        <w:effect w:val="none"/>
      </w:rPr>
    </w:lvl>
    <w:lvl w:ilvl="8">
      <w:numFmt w:val="bullet"/>
      <w:lvlText w:val=""/>
      <w:lvlJc w:val="left"/>
      <w:pPr>
        <w:ind w:left="3240" w:hanging="360"/>
      </w:pPr>
      <w:rPr>
        <w:rFonts w:ascii="Symbol" w:eastAsia="Symbol" w:hAnsi="Symbol" w:cs="Symbol"/>
        <w:b w:val="0"/>
        <w:bCs w:val="0"/>
        <w:i w:val="0"/>
        <w:iCs w:val="0"/>
        <w:strike w:val="0"/>
        <w:dstrike w:val="0"/>
        <w:color w:val="auto"/>
        <w:sz w:val="24"/>
        <w:szCs w:val="24"/>
        <w:u w:val="none" w:color="000000"/>
        <w:effect w:val="none"/>
      </w:rPr>
    </w:lvl>
  </w:abstractNum>
  <w:abstractNum w:abstractNumId="8" w15:restartNumberingAfterBreak="0">
    <w:nsid w:val="07F7483D"/>
    <w:multiLevelType w:val="hybridMultilevel"/>
    <w:tmpl w:val="0972BBE8"/>
    <w:lvl w:ilvl="0" w:tplc="1A185B28">
      <w:start w:val="1"/>
      <w:numFmt w:val="decimal"/>
      <w:pStyle w:val="0-GRFICO"/>
      <w:lvlText w:val="Gráfico %1"/>
      <w:lvlJc w:val="left"/>
      <w:pPr>
        <w:ind w:left="567" w:hanging="283"/>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60003">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9" w15:restartNumberingAfterBreak="0">
    <w:nsid w:val="08A429BC"/>
    <w:multiLevelType w:val="hybridMultilevel"/>
    <w:tmpl w:val="1170562C"/>
    <w:lvl w:ilvl="0" w:tplc="3F3C3878">
      <w:start w:val="1"/>
      <w:numFmt w:val="decimal"/>
      <w:pStyle w:val="aTabela"/>
      <w:lvlText w:val="Tabela %1  - "/>
      <w:lvlJc w:val="left"/>
      <w:pPr>
        <w:tabs>
          <w:tab w:val="num" w:pos="1985"/>
        </w:tabs>
        <w:ind w:left="284" w:hanging="284"/>
      </w:pPr>
      <w:rPr>
        <w:rFonts w:ascii="Arial" w:hAnsi="Arial" w:cs="Arial" w:hint="default"/>
        <w:b w:val="0"/>
        <w:bCs/>
        <w:i w:val="0"/>
        <w:iCs w:val="0"/>
        <w:caps w:val="0"/>
        <w:strike w:val="0"/>
        <w:dstrike w:val="0"/>
        <w:vanish w:val="0"/>
        <w:color w:val="auto"/>
        <w:spacing w:val="0"/>
        <w:w w:val="100"/>
        <w:kern w:val="0"/>
        <w:position w:val="0"/>
        <w:sz w:val="22"/>
        <w:szCs w:val="22"/>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60001">
      <w:start w:val="1"/>
      <w:numFmt w:val="bullet"/>
      <w:lvlText w:val=""/>
      <w:lvlJc w:val="left"/>
      <w:pPr>
        <w:tabs>
          <w:tab w:val="num" w:pos="1440"/>
        </w:tabs>
        <w:ind w:left="1440" w:hanging="360"/>
      </w:pPr>
      <w:rPr>
        <w:rFonts w:ascii="Symbol" w:hAnsi="Symbol" w:hint="default"/>
        <w:b w:val="0"/>
        <w:i w:val="0"/>
        <w:caps w:val="0"/>
        <w:strike w:val="0"/>
        <w:dstrike w:val="0"/>
        <w:vanish w:val="0"/>
        <w:color w:val="auto"/>
        <w:spacing w:val="0"/>
        <w:w w:val="100"/>
        <w:kern w:val="0"/>
        <w:position w:val="0"/>
        <w:sz w:val="22"/>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416001B" w:tentative="1">
      <w:start w:val="1"/>
      <w:numFmt w:val="lowerRoman"/>
      <w:lvlText w:val="%3."/>
      <w:lvlJc w:val="right"/>
      <w:pPr>
        <w:tabs>
          <w:tab w:val="num" w:pos="2160"/>
        </w:tabs>
        <w:ind w:left="2160" w:hanging="180"/>
      </w:pPr>
      <w:rPr>
        <w:rFonts w:cs="Times New Roman"/>
      </w:rPr>
    </w:lvl>
    <w:lvl w:ilvl="3" w:tplc="0416000F" w:tentative="1">
      <w:start w:val="1"/>
      <w:numFmt w:val="decimal"/>
      <w:lvlText w:val="%4."/>
      <w:lvlJc w:val="left"/>
      <w:pPr>
        <w:tabs>
          <w:tab w:val="num" w:pos="2880"/>
        </w:tabs>
        <w:ind w:left="2880" w:hanging="360"/>
      </w:pPr>
      <w:rPr>
        <w:rFonts w:cs="Times New Roman"/>
      </w:rPr>
    </w:lvl>
    <w:lvl w:ilvl="4" w:tplc="04160019" w:tentative="1">
      <w:start w:val="1"/>
      <w:numFmt w:val="lowerLetter"/>
      <w:lvlText w:val="%5."/>
      <w:lvlJc w:val="left"/>
      <w:pPr>
        <w:tabs>
          <w:tab w:val="num" w:pos="3600"/>
        </w:tabs>
        <w:ind w:left="3600" w:hanging="360"/>
      </w:pPr>
      <w:rPr>
        <w:rFonts w:cs="Times New Roman"/>
      </w:rPr>
    </w:lvl>
    <w:lvl w:ilvl="5" w:tplc="0416001B" w:tentative="1">
      <w:start w:val="1"/>
      <w:numFmt w:val="lowerRoman"/>
      <w:lvlText w:val="%6."/>
      <w:lvlJc w:val="right"/>
      <w:pPr>
        <w:tabs>
          <w:tab w:val="num" w:pos="4320"/>
        </w:tabs>
        <w:ind w:left="4320" w:hanging="180"/>
      </w:pPr>
      <w:rPr>
        <w:rFonts w:cs="Times New Roman"/>
      </w:rPr>
    </w:lvl>
    <w:lvl w:ilvl="6" w:tplc="0416000F" w:tentative="1">
      <w:start w:val="1"/>
      <w:numFmt w:val="decimal"/>
      <w:lvlText w:val="%7."/>
      <w:lvlJc w:val="left"/>
      <w:pPr>
        <w:tabs>
          <w:tab w:val="num" w:pos="5040"/>
        </w:tabs>
        <w:ind w:left="5040" w:hanging="360"/>
      </w:pPr>
      <w:rPr>
        <w:rFonts w:cs="Times New Roman"/>
      </w:rPr>
    </w:lvl>
    <w:lvl w:ilvl="7" w:tplc="04160019" w:tentative="1">
      <w:start w:val="1"/>
      <w:numFmt w:val="lowerLetter"/>
      <w:lvlText w:val="%8."/>
      <w:lvlJc w:val="left"/>
      <w:pPr>
        <w:tabs>
          <w:tab w:val="num" w:pos="5760"/>
        </w:tabs>
        <w:ind w:left="5760" w:hanging="360"/>
      </w:pPr>
      <w:rPr>
        <w:rFonts w:cs="Times New Roman"/>
      </w:rPr>
    </w:lvl>
    <w:lvl w:ilvl="8" w:tplc="0416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0CB51ACB"/>
    <w:multiLevelType w:val="hybridMultilevel"/>
    <w:tmpl w:val="9678065E"/>
    <w:lvl w:ilvl="0" w:tplc="C5EA3152">
      <w:numFmt w:val="bullet"/>
      <w:lvlText w:val=""/>
      <w:lvlJc w:val="left"/>
      <w:pPr>
        <w:ind w:left="720" w:hanging="360"/>
      </w:pPr>
      <w:rPr>
        <w:rFonts w:ascii="Wingdings" w:eastAsia="Calibri" w:hAnsi="Wingdings" w:cs="Times New Roman"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0E2C546A"/>
    <w:multiLevelType w:val="multilevel"/>
    <w:tmpl w:val="55AE44B4"/>
    <w:styleLink w:val="1-LISTARELATRIO"/>
    <w:lvl w:ilvl="0">
      <w:start w:val="1"/>
      <w:numFmt w:val="bullet"/>
      <w:lvlText w:val=""/>
      <w:lvlJc w:val="left"/>
      <w:pPr>
        <w:tabs>
          <w:tab w:val="num" w:pos="720"/>
        </w:tabs>
        <w:ind w:left="720" w:hanging="360"/>
      </w:pPr>
      <w:rPr>
        <w:rFonts w:ascii="Symbol" w:hAnsi="Symbol" w:cs="Symbol"/>
        <w:sz w:val="24"/>
        <w:szCs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2" w15:restartNumberingAfterBreak="0">
    <w:nsid w:val="12782810"/>
    <w:multiLevelType w:val="hybridMultilevel"/>
    <w:tmpl w:val="331AFE5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146D5794"/>
    <w:multiLevelType w:val="multilevel"/>
    <w:tmpl w:val="09520AB4"/>
    <w:styleLink w:val="RTFNum3"/>
    <w:lvl w:ilvl="0">
      <w:numFmt w:val="bullet"/>
      <w:lvlText w:val=""/>
      <w:lvlJc w:val="left"/>
      <w:pPr>
        <w:ind w:left="360" w:hanging="360"/>
      </w:pPr>
      <w:rPr>
        <w:rFonts w:ascii="Symbol" w:eastAsia="Symbol" w:hAnsi="Symbol" w:cs="Symbol"/>
        <w:b w:val="0"/>
        <w:bCs w:val="0"/>
        <w:i w:val="0"/>
        <w:iCs w:val="0"/>
        <w:strike w:val="0"/>
        <w:dstrike w:val="0"/>
        <w:color w:val="auto"/>
        <w:sz w:val="24"/>
        <w:szCs w:val="24"/>
        <w:u w:val="none" w:color="000000"/>
        <w:effect w:val="none"/>
      </w:rPr>
    </w:lvl>
    <w:lvl w:ilvl="1">
      <w:numFmt w:val="bullet"/>
      <w:lvlText w:val=""/>
      <w:lvlJc w:val="left"/>
      <w:pPr>
        <w:ind w:left="720" w:hanging="360"/>
      </w:pPr>
      <w:rPr>
        <w:rFonts w:ascii="Symbol" w:eastAsia="Symbol" w:hAnsi="Symbol" w:cs="Symbol"/>
        <w:b w:val="0"/>
        <w:bCs w:val="0"/>
        <w:i w:val="0"/>
        <w:iCs w:val="0"/>
        <w:strike w:val="0"/>
        <w:dstrike w:val="0"/>
        <w:color w:val="auto"/>
        <w:sz w:val="24"/>
        <w:szCs w:val="24"/>
        <w:u w:val="none" w:color="000000"/>
        <w:effect w:val="none"/>
      </w:rPr>
    </w:lvl>
    <w:lvl w:ilvl="2">
      <w:numFmt w:val="bullet"/>
      <w:lvlText w:val=""/>
      <w:lvlJc w:val="left"/>
      <w:pPr>
        <w:ind w:left="2160" w:hanging="360"/>
      </w:pPr>
      <w:rPr>
        <w:rFonts w:ascii="Symbol" w:eastAsia="Symbol" w:hAnsi="Symbol" w:cs="Symbol"/>
        <w:b w:val="0"/>
        <w:bCs w:val="0"/>
        <w:i w:val="0"/>
        <w:iCs w:val="0"/>
        <w:strike w:val="0"/>
        <w:dstrike w:val="0"/>
        <w:color w:val="auto"/>
        <w:sz w:val="24"/>
        <w:szCs w:val="24"/>
        <w:u w:val="none" w:color="000000"/>
        <w:effect w:val="none"/>
      </w:rPr>
    </w:lvl>
    <w:lvl w:ilvl="3">
      <w:numFmt w:val="bullet"/>
      <w:lvlText w:val=""/>
      <w:lvlJc w:val="left"/>
      <w:pPr>
        <w:ind w:left="1440" w:hanging="360"/>
      </w:pPr>
      <w:rPr>
        <w:rFonts w:ascii="Symbol" w:eastAsia="Symbol" w:hAnsi="Symbol" w:cs="Symbol"/>
        <w:b w:val="0"/>
        <w:bCs w:val="0"/>
        <w:i w:val="0"/>
        <w:iCs w:val="0"/>
        <w:strike w:val="0"/>
        <w:dstrike w:val="0"/>
        <w:color w:val="auto"/>
        <w:sz w:val="24"/>
        <w:szCs w:val="24"/>
        <w:u w:val="none" w:color="000000"/>
        <w:effect w:val="none"/>
      </w:rPr>
    </w:lvl>
    <w:lvl w:ilvl="4">
      <w:numFmt w:val="bullet"/>
      <w:lvlText w:val=""/>
      <w:lvlJc w:val="left"/>
      <w:pPr>
        <w:ind w:left="1800" w:hanging="360"/>
      </w:pPr>
      <w:rPr>
        <w:rFonts w:ascii="Symbol" w:eastAsia="Symbol" w:hAnsi="Symbol" w:cs="Symbol"/>
        <w:b w:val="0"/>
        <w:bCs w:val="0"/>
        <w:i w:val="0"/>
        <w:iCs w:val="0"/>
        <w:strike w:val="0"/>
        <w:dstrike w:val="0"/>
        <w:color w:val="auto"/>
        <w:sz w:val="24"/>
        <w:szCs w:val="24"/>
        <w:u w:val="none" w:color="000000"/>
        <w:effect w:val="none"/>
      </w:rPr>
    </w:lvl>
    <w:lvl w:ilvl="5">
      <w:numFmt w:val="bullet"/>
      <w:lvlText w:val=""/>
      <w:lvlJc w:val="left"/>
      <w:pPr>
        <w:ind w:left="2160" w:hanging="360"/>
      </w:pPr>
      <w:rPr>
        <w:rFonts w:ascii="Symbol" w:eastAsia="Symbol" w:hAnsi="Symbol" w:cs="Symbol"/>
        <w:b w:val="0"/>
        <w:bCs w:val="0"/>
        <w:i w:val="0"/>
        <w:iCs w:val="0"/>
        <w:strike w:val="0"/>
        <w:dstrike w:val="0"/>
        <w:color w:val="auto"/>
        <w:sz w:val="24"/>
        <w:szCs w:val="24"/>
        <w:u w:val="none" w:color="000000"/>
        <w:effect w:val="none"/>
      </w:rPr>
    </w:lvl>
    <w:lvl w:ilvl="6">
      <w:numFmt w:val="bullet"/>
      <w:lvlText w:val=""/>
      <w:lvlJc w:val="left"/>
      <w:pPr>
        <w:ind w:left="2520" w:hanging="360"/>
      </w:pPr>
      <w:rPr>
        <w:rFonts w:ascii="Symbol" w:eastAsia="Symbol" w:hAnsi="Symbol" w:cs="Symbol"/>
        <w:b w:val="0"/>
        <w:bCs w:val="0"/>
        <w:i w:val="0"/>
        <w:iCs w:val="0"/>
        <w:strike w:val="0"/>
        <w:dstrike w:val="0"/>
        <w:color w:val="auto"/>
        <w:sz w:val="24"/>
        <w:szCs w:val="24"/>
        <w:u w:val="none" w:color="000000"/>
        <w:effect w:val="none"/>
      </w:rPr>
    </w:lvl>
    <w:lvl w:ilvl="7">
      <w:numFmt w:val="bullet"/>
      <w:lvlText w:val=""/>
      <w:lvlJc w:val="left"/>
      <w:pPr>
        <w:ind w:left="2880" w:hanging="360"/>
      </w:pPr>
      <w:rPr>
        <w:rFonts w:ascii="Symbol" w:eastAsia="Symbol" w:hAnsi="Symbol" w:cs="Symbol"/>
        <w:b w:val="0"/>
        <w:bCs w:val="0"/>
        <w:i w:val="0"/>
        <w:iCs w:val="0"/>
        <w:strike w:val="0"/>
        <w:dstrike w:val="0"/>
        <w:color w:val="auto"/>
        <w:sz w:val="24"/>
        <w:szCs w:val="24"/>
        <w:u w:val="none" w:color="000000"/>
        <w:effect w:val="none"/>
      </w:rPr>
    </w:lvl>
    <w:lvl w:ilvl="8">
      <w:numFmt w:val="bullet"/>
      <w:lvlText w:val=""/>
      <w:lvlJc w:val="left"/>
      <w:pPr>
        <w:ind w:left="3240" w:hanging="360"/>
      </w:pPr>
      <w:rPr>
        <w:rFonts w:ascii="Symbol" w:eastAsia="Symbol" w:hAnsi="Symbol" w:cs="Symbol"/>
        <w:b w:val="0"/>
        <w:bCs w:val="0"/>
        <w:i w:val="0"/>
        <w:iCs w:val="0"/>
        <w:strike w:val="0"/>
        <w:dstrike w:val="0"/>
        <w:color w:val="auto"/>
        <w:sz w:val="24"/>
        <w:szCs w:val="24"/>
        <w:u w:val="none" w:color="000000"/>
        <w:effect w:val="none"/>
      </w:rPr>
    </w:lvl>
  </w:abstractNum>
  <w:abstractNum w:abstractNumId="14" w15:restartNumberingAfterBreak="0">
    <w:nsid w:val="14B81132"/>
    <w:multiLevelType w:val="hybridMultilevel"/>
    <w:tmpl w:val="B6C0796A"/>
    <w:lvl w:ilvl="0" w:tplc="A670CA94">
      <w:start w:val="1"/>
      <w:numFmt w:val="decimal"/>
      <w:pStyle w:val="1-GRFICO"/>
      <w:lvlText w:val="Gráfico %1  "/>
      <w:lvlJc w:val="left"/>
      <w:pPr>
        <w:tabs>
          <w:tab w:val="num" w:pos="3404"/>
        </w:tabs>
        <w:ind w:left="1703" w:hanging="284"/>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26366434">
      <w:start w:val="1"/>
      <w:numFmt w:val="lowerLetter"/>
      <w:lvlText w:val="%2."/>
      <w:lvlJc w:val="left"/>
      <w:pPr>
        <w:tabs>
          <w:tab w:val="num" w:pos="1440"/>
        </w:tabs>
        <w:ind w:left="1440" w:hanging="360"/>
      </w:pPr>
    </w:lvl>
    <w:lvl w:ilvl="2" w:tplc="BF162D54">
      <w:start w:val="1"/>
      <w:numFmt w:val="lowerRoman"/>
      <w:lvlText w:val="%3."/>
      <w:lvlJc w:val="right"/>
      <w:pPr>
        <w:tabs>
          <w:tab w:val="num" w:pos="2160"/>
        </w:tabs>
        <w:ind w:left="2160" w:hanging="180"/>
      </w:pPr>
    </w:lvl>
    <w:lvl w:ilvl="3" w:tplc="79BA7774">
      <w:start w:val="1"/>
      <w:numFmt w:val="decimal"/>
      <w:lvlText w:val="%4."/>
      <w:lvlJc w:val="left"/>
      <w:pPr>
        <w:tabs>
          <w:tab w:val="num" w:pos="2880"/>
        </w:tabs>
        <w:ind w:left="2880" w:hanging="360"/>
      </w:pPr>
      <w:rPr>
        <w:rFonts w:ascii="Arial" w:hAnsi="Arial" w:cs="Arial" w:hint="default"/>
        <w:b/>
        <w:bCs/>
        <w:i w:val="0"/>
        <w:iCs w:val="0"/>
        <w:caps w:val="0"/>
        <w:smallCaps w:val="0"/>
        <w:strike w:val="0"/>
        <w:dstrike w:val="0"/>
        <w:vanish w:val="0"/>
        <w:color w:val="auto"/>
        <w:spacing w:val="0"/>
        <w:w w:val="100"/>
        <w:kern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E0E4250">
      <w:start w:val="1"/>
      <w:numFmt w:val="lowerLetter"/>
      <w:lvlText w:val="%5."/>
      <w:lvlJc w:val="left"/>
      <w:pPr>
        <w:tabs>
          <w:tab w:val="num" w:pos="3600"/>
        </w:tabs>
        <w:ind w:left="3600" w:hanging="360"/>
      </w:pPr>
    </w:lvl>
    <w:lvl w:ilvl="5" w:tplc="6B680DE2">
      <w:start w:val="1"/>
      <w:numFmt w:val="lowerRoman"/>
      <w:lvlText w:val="%6."/>
      <w:lvlJc w:val="right"/>
      <w:pPr>
        <w:tabs>
          <w:tab w:val="num" w:pos="4320"/>
        </w:tabs>
        <w:ind w:left="4320" w:hanging="180"/>
      </w:pPr>
    </w:lvl>
    <w:lvl w:ilvl="6" w:tplc="0734D85A">
      <w:start w:val="1"/>
      <w:numFmt w:val="decimal"/>
      <w:lvlText w:val="%7."/>
      <w:lvlJc w:val="left"/>
      <w:pPr>
        <w:tabs>
          <w:tab w:val="num" w:pos="5040"/>
        </w:tabs>
        <w:ind w:left="5040" w:hanging="360"/>
      </w:pPr>
    </w:lvl>
    <w:lvl w:ilvl="7" w:tplc="8938A174">
      <w:start w:val="1"/>
      <w:numFmt w:val="lowerLetter"/>
      <w:lvlText w:val="%8."/>
      <w:lvlJc w:val="left"/>
      <w:pPr>
        <w:tabs>
          <w:tab w:val="num" w:pos="5760"/>
        </w:tabs>
        <w:ind w:left="5760" w:hanging="360"/>
      </w:pPr>
    </w:lvl>
    <w:lvl w:ilvl="8" w:tplc="91CA6BBC">
      <w:start w:val="1"/>
      <w:numFmt w:val="lowerRoman"/>
      <w:lvlText w:val="%9."/>
      <w:lvlJc w:val="right"/>
      <w:pPr>
        <w:tabs>
          <w:tab w:val="num" w:pos="6480"/>
        </w:tabs>
        <w:ind w:left="6480" w:hanging="180"/>
      </w:pPr>
    </w:lvl>
  </w:abstractNum>
  <w:abstractNum w:abstractNumId="15" w15:restartNumberingAfterBreak="0">
    <w:nsid w:val="17443FCE"/>
    <w:multiLevelType w:val="hybridMultilevel"/>
    <w:tmpl w:val="CCDE0C70"/>
    <w:lvl w:ilvl="0" w:tplc="3A78875E">
      <w:start w:val="1"/>
      <w:numFmt w:val="upperLetter"/>
      <w:pStyle w:val="2-ITEM"/>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6" w15:restartNumberingAfterBreak="0">
    <w:nsid w:val="1AA8676C"/>
    <w:multiLevelType w:val="hybridMultilevel"/>
    <w:tmpl w:val="AFB6896C"/>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C6624EA"/>
    <w:multiLevelType w:val="hybridMultilevel"/>
    <w:tmpl w:val="025256EE"/>
    <w:lvl w:ilvl="0" w:tplc="274E2528">
      <w:start w:val="1"/>
      <w:numFmt w:val="bullet"/>
      <w:pStyle w:val="1-LISTA1RELATORIO"/>
      <w:lvlText w:val=""/>
      <w:lvlJc w:val="left"/>
      <w:pPr>
        <w:tabs>
          <w:tab w:val="num" w:pos="737"/>
        </w:tabs>
        <w:ind w:left="737" w:hanging="170"/>
      </w:pPr>
      <w:rPr>
        <w:rFonts w:ascii="Symbol" w:hAnsi="Symbol" w:cs="Symbol" w:hint="default"/>
        <w:sz w:val="18"/>
        <w:szCs w:val="18"/>
      </w:rPr>
    </w:lvl>
    <w:lvl w:ilvl="1" w:tplc="04160019">
      <w:start w:val="1"/>
      <w:numFmt w:val="bullet"/>
      <w:lvlText w:val="o"/>
      <w:lvlJc w:val="left"/>
      <w:pPr>
        <w:tabs>
          <w:tab w:val="num" w:pos="2007"/>
        </w:tabs>
        <w:ind w:left="2007" w:hanging="360"/>
      </w:pPr>
      <w:rPr>
        <w:rFonts w:ascii="Courier New" w:hAnsi="Courier New" w:cs="Courier New" w:hint="default"/>
      </w:rPr>
    </w:lvl>
    <w:lvl w:ilvl="2" w:tplc="0416001B">
      <w:start w:val="1"/>
      <w:numFmt w:val="bullet"/>
      <w:lvlText w:val=""/>
      <w:lvlJc w:val="left"/>
      <w:pPr>
        <w:tabs>
          <w:tab w:val="num" w:pos="2727"/>
        </w:tabs>
        <w:ind w:left="2727" w:hanging="360"/>
      </w:pPr>
      <w:rPr>
        <w:rFonts w:ascii="Wingdings" w:hAnsi="Wingdings" w:cs="Wingdings" w:hint="default"/>
      </w:rPr>
    </w:lvl>
    <w:lvl w:ilvl="3" w:tplc="0416000F">
      <w:start w:val="1"/>
      <w:numFmt w:val="bullet"/>
      <w:lvlText w:val=""/>
      <w:lvlJc w:val="left"/>
      <w:pPr>
        <w:tabs>
          <w:tab w:val="num" w:pos="3447"/>
        </w:tabs>
        <w:ind w:left="3447" w:hanging="360"/>
      </w:pPr>
      <w:rPr>
        <w:rFonts w:ascii="Symbol" w:hAnsi="Symbol" w:cs="Symbol" w:hint="default"/>
      </w:rPr>
    </w:lvl>
    <w:lvl w:ilvl="4" w:tplc="04160019">
      <w:start w:val="1"/>
      <w:numFmt w:val="bullet"/>
      <w:lvlText w:val="o"/>
      <w:lvlJc w:val="left"/>
      <w:pPr>
        <w:tabs>
          <w:tab w:val="num" w:pos="4167"/>
        </w:tabs>
        <w:ind w:left="4167" w:hanging="360"/>
      </w:pPr>
      <w:rPr>
        <w:rFonts w:ascii="Courier New" w:hAnsi="Courier New" w:cs="Courier New" w:hint="default"/>
      </w:rPr>
    </w:lvl>
    <w:lvl w:ilvl="5" w:tplc="0416001B">
      <w:start w:val="1"/>
      <w:numFmt w:val="bullet"/>
      <w:lvlText w:val=""/>
      <w:lvlJc w:val="left"/>
      <w:pPr>
        <w:tabs>
          <w:tab w:val="num" w:pos="4887"/>
        </w:tabs>
        <w:ind w:left="4887" w:hanging="360"/>
      </w:pPr>
      <w:rPr>
        <w:rFonts w:ascii="Wingdings" w:hAnsi="Wingdings" w:cs="Wingdings" w:hint="default"/>
      </w:rPr>
    </w:lvl>
    <w:lvl w:ilvl="6" w:tplc="0416000F">
      <w:start w:val="1"/>
      <w:numFmt w:val="bullet"/>
      <w:lvlText w:val=""/>
      <w:lvlJc w:val="left"/>
      <w:pPr>
        <w:tabs>
          <w:tab w:val="num" w:pos="5607"/>
        </w:tabs>
        <w:ind w:left="5607" w:hanging="360"/>
      </w:pPr>
      <w:rPr>
        <w:rFonts w:ascii="Symbol" w:hAnsi="Symbol" w:cs="Symbol" w:hint="default"/>
      </w:rPr>
    </w:lvl>
    <w:lvl w:ilvl="7" w:tplc="04160019">
      <w:start w:val="1"/>
      <w:numFmt w:val="bullet"/>
      <w:lvlText w:val="o"/>
      <w:lvlJc w:val="left"/>
      <w:pPr>
        <w:tabs>
          <w:tab w:val="num" w:pos="6327"/>
        </w:tabs>
        <w:ind w:left="6327" w:hanging="360"/>
      </w:pPr>
      <w:rPr>
        <w:rFonts w:ascii="Courier New" w:hAnsi="Courier New" w:cs="Courier New" w:hint="default"/>
      </w:rPr>
    </w:lvl>
    <w:lvl w:ilvl="8" w:tplc="0416001B">
      <w:start w:val="1"/>
      <w:numFmt w:val="bullet"/>
      <w:lvlText w:val=""/>
      <w:lvlJc w:val="left"/>
      <w:pPr>
        <w:tabs>
          <w:tab w:val="num" w:pos="7047"/>
        </w:tabs>
        <w:ind w:left="7047" w:hanging="360"/>
      </w:pPr>
      <w:rPr>
        <w:rFonts w:ascii="Wingdings" w:hAnsi="Wingdings" w:cs="Wingdings" w:hint="default"/>
      </w:rPr>
    </w:lvl>
  </w:abstractNum>
  <w:abstractNum w:abstractNumId="18" w15:restartNumberingAfterBreak="0">
    <w:nsid w:val="1D9A420E"/>
    <w:multiLevelType w:val="singleLevel"/>
    <w:tmpl w:val="A9162FBC"/>
    <w:name w:val="RTF_Num 40222222222222222222222222"/>
    <w:lvl w:ilvl="0">
      <w:numFmt w:val="bullet"/>
      <w:lvlText w:val="-"/>
      <w:lvlJc w:val="left"/>
      <w:pPr>
        <w:tabs>
          <w:tab w:val="num" w:pos="360"/>
        </w:tabs>
        <w:ind w:left="360" w:hanging="360"/>
      </w:pPr>
      <w:rPr>
        <w:rFonts w:hint="default"/>
      </w:rPr>
    </w:lvl>
  </w:abstractNum>
  <w:abstractNum w:abstractNumId="19" w15:restartNumberingAfterBreak="0">
    <w:nsid w:val="1E600640"/>
    <w:multiLevelType w:val="hybridMultilevel"/>
    <w:tmpl w:val="0F40720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21242B96"/>
    <w:multiLevelType w:val="hybridMultilevel"/>
    <w:tmpl w:val="A286666E"/>
    <w:lvl w:ilvl="0" w:tplc="BDBEC2BA">
      <w:start w:val="1"/>
      <w:numFmt w:val="bullet"/>
      <w:lvlText w:val=""/>
      <w:lvlJc w:val="left"/>
      <w:pPr>
        <w:ind w:left="720" w:hanging="360"/>
      </w:pPr>
      <w:rPr>
        <w:rFonts w:ascii="Symbol" w:hAnsi="Symbol" w:hint="default"/>
      </w:rPr>
    </w:lvl>
    <w:lvl w:ilvl="1" w:tplc="0C4C2E0A">
      <w:start w:val="1"/>
      <w:numFmt w:val="bullet"/>
      <w:pStyle w:val="0-itemREL"/>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223501CB"/>
    <w:multiLevelType w:val="hybridMultilevel"/>
    <w:tmpl w:val="EFC28F0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26595E12"/>
    <w:multiLevelType w:val="hybridMultilevel"/>
    <w:tmpl w:val="34D67478"/>
    <w:lvl w:ilvl="0" w:tplc="5E94C8A0">
      <w:start w:val="9"/>
      <w:numFmt w:val="decimal"/>
      <w:pStyle w:val="1-TABELA"/>
      <w:lvlText w:val="teste %1   "/>
      <w:lvlJc w:val="left"/>
      <w:pPr>
        <w:tabs>
          <w:tab w:val="num" w:pos="0"/>
        </w:tabs>
        <w:ind w:left="1871" w:hanging="1871"/>
      </w:pPr>
      <w:rPr>
        <w:rFonts w:ascii="Arial" w:hAnsi="Arial" w:cs="Arial" w:hint="default"/>
        <w:b w:val="0"/>
        <w:bCs/>
        <w:i w:val="0"/>
        <w:iCs w:val="0"/>
        <w:caps w:val="0"/>
        <w:smallCaps w:val="0"/>
        <w:strike w:val="0"/>
        <w:dstrike w:val="0"/>
        <w:vanish w:val="0"/>
        <w:color w:val="auto"/>
        <w:spacing w:val="0"/>
        <w:w w:val="100"/>
        <w:kern w:val="0"/>
        <w:position w:val="0"/>
        <w:sz w:val="22"/>
        <w:szCs w:val="22"/>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932D164" w:tentative="1">
      <w:start w:val="1"/>
      <w:numFmt w:val="lowerLetter"/>
      <w:lvlText w:val="%2."/>
      <w:lvlJc w:val="left"/>
      <w:pPr>
        <w:tabs>
          <w:tab w:val="num" w:pos="1440"/>
        </w:tabs>
        <w:ind w:left="1440" w:hanging="360"/>
      </w:pPr>
    </w:lvl>
    <w:lvl w:ilvl="2" w:tplc="70341B4A" w:tentative="1">
      <w:start w:val="1"/>
      <w:numFmt w:val="lowerRoman"/>
      <w:lvlText w:val="%3."/>
      <w:lvlJc w:val="right"/>
      <w:pPr>
        <w:tabs>
          <w:tab w:val="num" w:pos="2160"/>
        </w:tabs>
        <w:ind w:left="2160" w:hanging="180"/>
      </w:pPr>
    </w:lvl>
    <w:lvl w:ilvl="3" w:tplc="617E7DAE" w:tentative="1">
      <w:start w:val="1"/>
      <w:numFmt w:val="decimal"/>
      <w:lvlText w:val="%4."/>
      <w:lvlJc w:val="left"/>
      <w:pPr>
        <w:tabs>
          <w:tab w:val="num" w:pos="2880"/>
        </w:tabs>
        <w:ind w:left="2880" w:hanging="360"/>
      </w:pPr>
    </w:lvl>
    <w:lvl w:ilvl="4" w:tplc="0026F098" w:tentative="1">
      <w:start w:val="1"/>
      <w:numFmt w:val="lowerLetter"/>
      <w:lvlText w:val="%5."/>
      <w:lvlJc w:val="left"/>
      <w:pPr>
        <w:tabs>
          <w:tab w:val="num" w:pos="3600"/>
        </w:tabs>
        <w:ind w:left="3600" w:hanging="360"/>
      </w:pPr>
    </w:lvl>
    <w:lvl w:ilvl="5" w:tplc="A638588E" w:tentative="1">
      <w:start w:val="1"/>
      <w:numFmt w:val="lowerRoman"/>
      <w:lvlText w:val="%6."/>
      <w:lvlJc w:val="right"/>
      <w:pPr>
        <w:tabs>
          <w:tab w:val="num" w:pos="4320"/>
        </w:tabs>
        <w:ind w:left="4320" w:hanging="180"/>
      </w:pPr>
    </w:lvl>
    <w:lvl w:ilvl="6" w:tplc="91D62A4C" w:tentative="1">
      <w:start w:val="1"/>
      <w:numFmt w:val="decimal"/>
      <w:lvlText w:val="%7."/>
      <w:lvlJc w:val="left"/>
      <w:pPr>
        <w:tabs>
          <w:tab w:val="num" w:pos="5040"/>
        </w:tabs>
        <w:ind w:left="5040" w:hanging="360"/>
      </w:pPr>
    </w:lvl>
    <w:lvl w:ilvl="7" w:tplc="2A489584" w:tentative="1">
      <w:start w:val="1"/>
      <w:numFmt w:val="lowerLetter"/>
      <w:lvlText w:val="%8."/>
      <w:lvlJc w:val="left"/>
      <w:pPr>
        <w:tabs>
          <w:tab w:val="num" w:pos="5760"/>
        </w:tabs>
        <w:ind w:left="5760" w:hanging="360"/>
      </w:pPr>
    </w:lvl>
    <w:lvl w:ilvl="8" w:tplc="946C8C56" w:tentative="1">
      <w:start w:val="1"/>
      <w:numFmt w:val="lowerRoman"/>
      <w:lvlText w:val="%9."/>
      <w:lvlJc w:val="right"/>
      <w:pPr>
        <w:tabs>
          <w:tab w:val="num" w:pos="6480"/>
        </w:tabs>
        <w:ind w:left="6480" w:hanging="180"/>
      </w:pPr>
    </w:lvl>
  </w:abstractNum>
  <w:abstractNum w:abstractNumId="23" w15:restartNumberingAfterBreak="0">
    <w:nsid w:val="2708178A"/>
    <w:multiLevelType w:val="multilevel"/>
    <w:tmpl w:val="12886A22"/>
    <w:lvl w:ilvl="0">
      <w:start w:val="1"/>
      <w:numFmt w:val="decimal"/>
      <w:lvlText w:val="%1)"/>
      <w:lvlJc w:val="left"/>
      <w:pPr>
        <w:ind w:left="360" w:hanging="360"/>
      </w:pPr>
    </w:lvl>
    <w:lvl w:ilvl="1">
      <w:start w:val="1"/>
      <w:numFmt w:val="lowerLetter"/>
      <w:pStyle w:val="1-TXTNUMERADO"/>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2A7C1EA9"/>
    <w:multiLevelType w:val="hybridMultilevel"/>
    <w:tmpl w:val="0A8E6AB8"/>
    <w:lvl w:ilvl="0" w:tplc="8A3234B2">
      <w:start w:val="1"/>
      <w:numFmt w:val="lowerLetter"/>
      <w:pStyle w:val="1-ITEM"/>
      <w:lvlText w:val="%1)"/>
      <w:lvlJc w:val="left"/>
      <w:pPr>
        <w:ind w:left="587" w:hanging="360"/>
      </w:pPr>
      <w:rPr>
        <w:rFonts w:hint="default"/>
        <w:i w:val="0"/>
      </w:rPr>
    </w:lvl>
    <w:lvl w:ilvl="1" w:tplc="04160019" w:tentative="1">
      <w:start w:val="1"/>
      <w:numFmt w:val="lowerLetter"/>
      <w:lvlText w:val="%2."/>
      <w:lvlJc w:val="left"/>
      <w:pPr>
        <w:ind w:left="1307" w:hanging="360"/>
      </w:pPr>
    </w:lvl>
    <w:lvl w:ilvl="2" w:tplc="0416001B" w:tentative="1">
      <w:start w:val="1"/>
      <w:numFmt w:val="lowerRoman"/>
      <w:lvlText w:val="%3."/>
      <w:lvlJc w:val="right"/>
      <w:pPr>
        <w:ind w:left="2027" w:hanging="180"/>
      </w:pPr>
    </w:lvl>
    <w:lvl w:ilvl="3" w:tplc="0416000F" w:tentative="1">
      <w:start w:val="1"/>
      <w:numFmt w:val="decimal"/>
      <w:lvlText w:val="%4."/>
      <w:lvlJc w:val="left"/>
      <w:pPr>
        <w:ind w:left="2747" w:hanging="360"/>
      </w:pPr>
    </w:lvl>
    <w:lvl w:ilvl="4" w:tplc="04160019" w:tentative="1">
      <w:start w:val="1"/>
      <w:numFmt w:val="lowerLetter"/>
      <w:lvlText w:val="%5."/>
      <w:lvlJc w:val="left"/>
      <w:pPr>
        <w:ind w:left="3467" w:hanging="360"/>
      </w:pPr>
    </w:lvl>
    <w:lvl w:ilvl="5" w:tplc="0416001B" w:tentative="1">
      <w:start w:val="1"/>
      <w:numFmt w:val="lowerRoman"/>
      <w:lvlText w:val="%6."/>
      <w:lvlJc w:val="right"/>
      <w:pPr>
        <w:ind w:left="4187" w:hanging="180"/>
      </w:pPr>
    </w:lvl>
    <w:lvl w:ilvl="6" w:tplc="0416000F" w:tentative="1">
      <w:start w:val="1"/>
      <w:numFmt w:val="decimal"/>
      <w:lvlText w:val="%7."/>
      <w:lvlJc w:val="left"/>
      <w:pPr>
        <w:ind w:left="4907" w:hanging="360"/>
      </w:pPr>
    </w:lvl>
    <w:lvl w:ilvl="7" w:tplc="04160019" w:tentative="1">
      <w:start w:val="1"/>
      <w:numFmt w:val="lowerLetter"/>
      <w:lvlText w:val="%8."/>
      <w:lvlJc w:val="left"/>
      <w:pPr>
        <w:ind w:left="5627" w:hanging="360"/>
      </w:pPr>
    </w:lvl>
    <w:lvl w:ilvl="8" w:tplc="0416001B" w:tentative="1">
      <w:start w:val="1"/>
      <w:numFmt w:val="lowerRoman"/>
      <w:lvlText w:val="%9."/>
      <w:lvlJc w:val="right"/>
      <w:pPr>
        <w:ind w:left="6347" w:hanging="180"/>
      </w:pPr>
    </w:lvl>
  </w:abstractNum>
  <w:abstractNum w:abstractNumId="25" w15:restartNumberingAfterBreak="0">
    <w:nsid w:val="2E7925F2"/>
    <w:multiLevelType w:val="singleLevel"/>
    <w:tmpl w:val="DE4CC5AC"/>
    <w:lvl w:ilvl="0">
      <w:start w:val="1"/>
      <w:numFmt w:val="decimal"/>
      <w:pStyle w:val="0-T-QUADRO"/>
      <w:suff w:val="nothing"/>
      <w:lvlText w:val="Quadro %1  "/>
      <w:lvlJc w:val="left"/>
      <w:pPr>
        <w:ind w:left="2629" w:hanging="360"/>
      </w:pPr>
      <w:rPr>
        <w:b w:val="0"/>
        <w:bCs w:val="0"/>
        <w:i w:val="0"/>
        <w:iCs w:val="0"/>
        <w:caps w:val="0"/>
        <w:smallCaps w:val="0"/>
        <w:strike w:val="0"/>
        <w:dstrike w:val="0"/>
        <w:outline w:val="0"/>
        <w:shadow w:val="0"/>
        <w:emboss w:val="0"/>
        <w:imprint w:val="0"/>
        <w:noProof w:val="0"/>
        <w:vanish w:val="0"/>
        <w:spacing w:val="0"/>
        <w:kern w:val="0"/>
        <w:position w:val="0"/>
        <w:sz w:val="22"/>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abstractNum>
  <w:abstractNum w:abstractNumId="26" w15:restartNumberingAfterBreak="0">
    <w:nsid w:val="2F162437"/>
    <w:multiLevelType w:val="multilevel"/>
    <w:tmpl w:val="0C7654D0"/>
    <w:styleLink w:val="WW8Num5"/>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 w15:restartNumberingAfterBreak="0">
    <w:nsid w:val="316E0D30"/>
    <w:multiLevelType w:val="multilevel"/>
    <w:tmpl w:val="5750F8A8"/>
    <w:styleLink w:val="WW8Num3"/>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8" w15:restartNumberingAfterBreak="0">
    <w:nsid w:val="43E039A0"/>
    <w:multiLevelType w:val="hybridMultilevel"/>
    <w:tmpl w:val="67C8D4FE"/>
    <w:lvl w:ilvl="0" w:tplc="C03C7776">
      <w:start w:val="1"/>
      <w:numFmt w:val="bullet"/>
      <w:pStyle w:val="EstiloPargrafodaListaJustificado"/>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9" w15:restartNumberingAfterBreak="0">
    <w:nsid w:val="450A5317"/>
    <w:multiLevelType w:val="hybridMultilevel"/>
    <w:tmpl w:val="BF8AAC9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45452931"/>
    <w:multiLevelType w:val="hybridMultilevel"/>
    <w:tmpl w:val="DC4CCF3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4B9132B7"/>
    <w:multiLevelType w:val="multilevel"/>
    <w:tmpl w:val="245A04F0"/>
    <w:styleLink w:val="1-LISTARELATORIO"/>
    <w:lvl w:ilvl="0">
      <w:start w:val="1"/>
      <w:numFmt w:val="bullet"/>
      <w:lvlText w:val=""/>
      <w:lvlJc w:val="left"/>
      <w:pPr>
        <w:tabs>
          <w:tab w:val="num" w:pos="1080"/>
        </w:tabs>
        <w:ind w:left="1080" w:hanging="360"/>
      </w:pPr>
      <w:rPr>
        <w:rFonts w:ascii="Symbol" w:hAnsi="Symbol" w:cs="Symbol"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32" w15:restartNumberingAfterBreak="0">
    <w:nsid w:val="4C1F792E"/>
    <w:multiLevelType w:val="multilevel"/>
    <w:tmpl w:val="AE0454CA"/>
    <w:styleLink w:val="EstiloNumeradaArialSombraesquerda0cmDeslocamento0"/>
    <w:lvl w:ilvl="0">
      <w:start w:val="1"/>
      <w:numFmt w:val="decimal"/>
      <w:lvlText w:val="Quadro %1  - "/>
      <w:lvlJc w:val="left"/>
      <w:pPr>
        <w:tabs>
          <w:tab w:val="num" w:pos="1985"/>
        </w:tabs>
        <w:ind w:left="284" w:hanging="284"/>
      </w:pPr>
      <w:rPr>
        <w:rFonts w:ascii="Arial" w:hAnsi="Arial"/>
        <w14:shadow w14:blurRad="50800" w14:dist="38100" w14:dir="2700000" w14:sx="100000" w14:sy="100000" w14:kx="0" w14:ky="0" w14:algn="tl">
          <w14:srgbClr w14:val="000000">
            <w14:alpha w14:val="60000"/>
          </w14:srgbClr>
        </w14:shadow>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3" w15:restartNumberingAfterBreak="0">
    <w:nsid w:val="4D2122BC"/>
    <w:multiLevelType w:val="hybridMultilevel"/>
    <w:tmpl w:val="6F08FAF4"/>
    <w:lvl w:ilvl="0" w:tplc="478E6A1E">
      <w:start w:val="1"/>
      <w:numFmt w:val="decimal"/>
      <w:pStyle w:val="0-QUADRO"/>
      <w:lvlText w:val="Quadro %1 -."/>
      <w:lvlJc w:val="left"/>
      <w:pPr>
        <w:ind w:left="1341" w:hanging="360"/>
      </w:pPr>
      <w:rPr>
        <w:rFonts w:ascii="Arial" w:hAnsi="Arial" w:hint="default"/>
        <w:b w:val="0"/>
        <w:i w:val="0"/>
        <w:sz w:val="22"/>
      </w:rPr>
    </w:lvl>
    <w:lvl w:ilvl="1" w:tplc="8318B1EC" w:tentative="1">
      <w:start w:val="1"/>
      <w:numFmt w:val="lowerLetter"/>
      <w:lvlText w:val="%2."/>
      <w:lvlJc w:val="left"/>
      <w:pPr>
        <w:ind w:left="2061" w:hanging="360"/>
      </w:pPr>
    </w:lvl>
    <w:lvl w:ilvl="2" w:tplc="509251A2" w:tentative="1">
      <w:start w:val="1"/>
      <w:numFmt w:val="lowerRoman"/>
      <w:lvlText w:val="%3."/>
      <w:lvlJc w:val="right"/>
      <w:pPr>
        <w:ind w:left="2781" w:hanging="180"/>
      </w:pPr>
    </w:lvl>
    <w:lvl w:ilvl="3" w:tplc="3484FE96" w:tentative="1">
      <w:start w:val="1"/>
      <w:numFmt w:val="decimal"/>
      <w:lvlText w:val="%4."/>
      <w:lvlJc w:val="left"/>
      <w:pPr>
        <w:ind w:left="3501" w:hanging="360"/>
      </w:pPr>
    </w:lvl>
    <w:lvl w:ilvl="4" w:tplc="5BFC4B8C" w:tentative="1">
      <w:start w:val="1"/>
      <w:numFmt w:val="lowerLetter"/>
      <w:lvlText w:val="%5."/>
      <w:lvlJc w:val="left"/>
      <w:pPr>
        <w:ind w:left="4221" w:hanging="360"/>
      </w:pPr>
    </w:lvl>
    <w:lvl w:ilvl="5" w:tplc="C77C8514" w:tentative="1">
      <w:start w:val="1"/>
      <w:numFmt w:val="lowerRoman"/>
      <w:lvlText w:val="%6."/>
      <w:lvlJc w:val="right"/>
      <w:pPr>
        <w:ind w:left="4941" w:hanging="180"/>
      </w:pPr>
    </w:lvl>
    <w:lvl w:ilvl="6" w:tplc="CCB48E78" w:tentative="1">
      <w:start w:val="1"/>
      <w:numFmt w:val="decimal"/>
      <w:lvlText w:val="%7."/>
      <w:lvlJc w:val="left"/>
      <w:pPr>
        <w:ind w:left="5661" w:hanging="360"/>
      </w:pPr>
    </w:lvl>
    <w:lvl w:ilvl="7" w:tplc="088C2802" w:tentative="1">
      <w:start w:val="1"/>
      <w:numFmt w:val="lowerLetter"/>
      <w:lvlText w:val="%8."/>
      <w:lvlJc w:val="left"/>
      <w:pPr>
        <w:ind w:left="6381" w:hanging="360"/>
      </w:pPr>
    </w:lvl>
    <w:lvl w:ilvl="8" w:tplc="2A74F7BA" w:tentative="1">
      <w:start w:val="1"/>
      <w:numFmt w:val="lowerRoman"/>
      <w:lvlText w:val="%9."/>
      <w:lvlJc w:val="right"/>
      <w:pPr>
        <w:ind w:left="7101" w:hanging="180"/>
      </w:pPr>
    </w:lvl>
  </w:abstractNum>
  <w:abstractNum w:abstractNumId="34" w15:restartNumberingAfterBreak="0">
    <w:nsid w:val="4DF73539"/>
    <w:multiLevelType w:val="hybridMultilevel"/>
    <w:tmpl w:val="0A9E8B82"/>
    <w:lvl w:ilvl="0" w:tplc="602E20DC">
      <w:start w:val="1"/>
      <w:numFmt w:val="decimal"/>
      <w:pStyle w:val="0-FIGURA"/>
      <w:lvlText w:val="Figura %1  "/>
      <w:lvlJc w:val="left"/>
      <w:pPr>
        <w:ind w:left="0" w:firstLine="360"/>
      </w:pPr>
      <w:rPr>
        <w:rFonts w:ascii="Arial" w:hAnsi="Arial" w:cs="Times New Roman" w:hint="default"/>
        <w:b w:val="0"/>
        <w:i w:val="0"/>
        <w:iCs w:val="0"/>
        <w:caps w:val="0"/>
        <w:strike w:val="0"/>
        <w:dstrike w:val="0"/>
        <w:vanish w:val="0"/>
        <w:color w:val="000000"/>
        <w:spacing w:val="0"/>
        <w:kern w:val="0"/>
        <w:position w:val="0"/>
        <w:sz w:val="22"/>
        <w:u w:val="none"/>
        <w:vertAlign w:val="baseline"/>
        <w:em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4E1540CB"/>
    <w:multiLevelType w:val="hybridMultilevel"/>
    <w:tmpl w:val="DD685960"/>
    <w:lvl w:ilvl="0" w:tplc="295622EE">
      <w:start w:val="1"/>
      <w:numFmt w:val="decimal"/>
      <w:pStyle w:val="Numeracao2"/>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4EA13F35"/>
    <w:multiLevelType w:val="hybridMultilevel"/>
    <w:tmpl w:val="318AD86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4F4F41BC"/>
    <w:multiLevelType w:val="hybridMultilevel"/>
    <w:tmpl w:val="04964B5C"/>
    <w:lvl w:ilvl="0" w:tplc="3B824CF4">
      <w:start w:val="1"/>
      <w:numFmt w:val="bullet"/>
      <w:pStyle w:val="0-itemNUMERADO"/>
      <w:lvlText w:val=""/>
      <w:lvlJc w:val="left"/>
      <w:pPr>
        <w:ind w:left="3272" w:hanging="360"/>
      </w:pPr>
      <w:rPr>
        <w:rFonts w:ascii="Symbol" w:hAnsi="Symbol" w:hint="default"/>
        <w:sz w:val="24"/>
      </w:rPr>
    </w:lvl>
    <w:lvl w:ilvl="1" w:tplc="04160003" w:tentative="1">
      <w:start w:val="1"/>
      <w:numFmt w:val="bullet"/>
      <w:lvlText w:val="o"/>
      <w:lvlJc w:val="left"/>
      <w:pPr>
        <w:ind w:left="3992" w:hanging="360"/>
      </w:pPr>
      <w:rPr>
        <w:rFonts w:ascii="Courier New" w:hAnsi="Courier New" w:cs="Courier New" w:hint="default"/>
      </w:rPr>
    </w:lvl>
    <w:lvl w:ilvl="2" w:tplc="04160005" w:tentative="1">
      <w:start w:val="1"/>
      <w:numFmt w:val="bullet"/>
      <w:lvlText w:val=""/>
      <w:lvlJc w:val="left"/>
      <w:pPr>
        <w:ind w:left="4712" w:hanging="360"/>
      </w:pPr>
      <w:rPr>
        <w:rFonts w:ascii="Wingdings" w:hAnsi="Wingdings" w:hint="default"/>
      </w:rPr>
    </w:lvl>
    <w:lvl w:ilvl="3" w:tplc="04160001" w:tentative="1">
      <w:start w:val="1"/>
      <w:numFmt w:val="bullet"/>
      <w:lvlText w:val=""/>
      <w:lvlJc w:val="left"/>
      <w:pPr>
        <w:ind w:left="5432" w:hanging="360"/>
      </w:pPr>
      <w:rPr>
        <w:rFonts w:ascii="Symbol" w:hAnsi="Symbol" w:hint="default"/>
      </w:rPr>
    </w:lvl>
    <w:lvl w:ilvl="4" w:tplc="04160003" w:tentative="1">
      <w:start w:val="1"/>
      <w:numFmt w:val="bullet"/>
      <w:lvlText w:val="o"/>
      <w:lvlJc w:val="left"/>
      <w:pPr>
        <w:ind w:left="6152" w:hanging="360"/>
      </w:pPr>
      <w:rPr>
        <w:rFonts w:ascii="Courier New" w:hAnsi="Courier New" w:cs="Courier New" w:hint="default"/>
      </w:rPr>
    </w:lvl>
    <w:lvl w:ilvl="5" w:tplc="04160005" w:tentative="1">
      <w:start w:val="1"/>
      <w:numFmt w:val="bullet"/>
      <w:lvlText w:val=""/>
      <w:lvlJc w:val="left"/>
      <w:pPr>
        <w:ind w:left="6872" w:hanging="360"/>
      </w:pPr>
      <w:rPr>
        <w:rFonts w:ascii="Wingdings" w:hAnsi="Wingdings" w:hint="default"/>
      </w:rPr>
    </w:lvl>
    <w:lvl w:ilvl="6" w:tplc="04160001" w:tentative="1">
      <w:start w:val="1"/>
      <w:numFmt w:val="bullet"/>
      <w:lvlText w:val=""/>
      <w:lvlJc w:val="left"/>
      <w:pPr>
        <w:ind w:left="7592" w:hanging="360"/>
      </w:pPr>
      <w:rPr>
        <w:rFonts w:ascii="Symbol" w:hAnsi="Symbol" w:hint="default"/>
      </w:rPr>
    </w:lvl>
    <w:lvl w:ilvl="7" w:tplc="04160003" w:tentative="1">
      <w:start w:val="1"/>
      <w:numFmt w:val="bullet"/>
      <w:lvlText w:val="o"/>
      <w:lvlJc w:val="left"/>
      <w:pPr>
        <w:ind w:left="8312" w:hanging="360"/>
      </w:pPr>
      <w:rPr>
        <w:rFonts w:ascii="Courier New" w:hAnsi="Courier New" w:cs="Courier New" w:hint="default"/>
      </w:rPr>
    </w:lvl>
    <w:lvl w:ilvl="8" w:tplc="04160005" w:tentative="1">
      <w:start w:val="1"/>
      <w:numFmt w:val="bullet"/>
      <w:lvlText w:val=""/>
      <w:lvlJc w:val="left"/>
      <w:pPr>
        <w:ind w:left="9032" w:hanging="360"/>
      </w:pPr>
      <w:rPr>
        <w:rFonts w:ascii="Wingdings" w:hAnsi="Wingdings" w:hint="default"/>
      </w:rPr>
    </w:lvl>
  </w:abstractNum>
  <w:abstractNum w:abstractNumId="38" w15:restartNumberingAfterBreak="0">
    <w:nsid w:val="502B36EE"/>
    <w:multiLevelType w:val="hybridMultilevel"/>
    <w:tmpl w:val="9FF2B7E2"/>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563C044D"/>
    <w:multiLevelType w:val="hybridMultilevel"/>
    <w:tmpl w:val="9C7A7602"/>
    <w:lvl w:ilvl="0" w:tplc="2A709850">
      <w:start w:val="1"/>
      <w:numFmt w:val="bullet"/>
      <w:pStyle w:val="1-AITENIZAO"/>
      <w:lvlText w:val=""/>
      <w:lvlJc w:val="left"/>
      <w:pPr>
        <w:tabs>
          <w:tab w:val="num" w:pos="981"/>
        </w:tabs>
        <w:ind w:left="981" w:hanging="360"/>
      </w:pPr>
      <w:rPr>
        <w:rFonts w:ascii="Symbol" w:hAnsi="Symbol" w:hint="default"/>
      </w:rPr>
    </w:lvl>
    <w:lvl w:ilvl="1" w:tplc="B4409C3A" w:tentative="1">
      <w:start w:val="1"/>
      <w:numFmt w:val="bullet"/>
      <w:lvlText w:val="o"/>
      <w:lvlJc w:val="left"/>
      <w:pPr>
        <w:tabs>
          <w:tab w:val="num" w:pos="1440"/>
        </w:tabs>
        <w:ind w:left="1440" w:hanging="360"/>
      </w:pPr>
      <w:rPr>
        <w:rFonts w:ascii="Courier New" w:hAnsi="Courier New" w:cs="Courier New" w:hint="default"/>
      </w:rPr>
    </w:lvl>
    <w:lvl w:ilvl="2" w:tplc="D804904C" w:tentative="1">
      <w:start w:val="1"/>
      <w:numFmt w:val="bullet"/>
      <w:lvlText w:val=""/>
      <w:lvlJc w:val="left"/>
      <w:pPr>
        <w:tabs>
          <w:tab w:val="num" w:pos="2160"/>
        </w:tabs>
        <w:ind w:left="2160" w:hanging="360"/>
      </w:pPr>
      <w:rPr>
        <w:rFonts w:ascii="Wingdings" w:hAnsi="Wingdings" w:hint="default"/>
      </w:rPr>
    </w:lvl>
    <w:lvl w:ilvl="3" w:tplc="1A189002" w:tentative="1">
      <w:start w:val="1"/>
      <w:numFmt w:val="bullet"/>
      <w:lvlText w:val=""/>
      <w:lvlJc w:val="left"/>
      <w:pPr>
        <w:tabs>
          <w:tab w:val="num" w:pos="2880"/>
        </w:tabs>
        <w:ind w:left="2880" w:hanging="360"/>
      </w:pPr>
      <w:rPr>
        <w:rFonts w:ascii="Symbol" w:hAnsi="Symbol" w:hint="default"/>
      </w:rPr>
    </w:lvl>
    <w:lvl w:ilvl="4" w:tplc="4552C868" w:tentative="1">
      <w:start w:val="1"/>
      <w:numFmt w:val="bullet"/>
      <w:lvlText w:val="o"/>
      <w:lvlJc w:val="left"/>
      <w:pPr>
        <w:tabs>
          <w:tab w:val="num" w:pos="3600"/>
        </w:tabs>
        <w:ind w:left="3600" w:hanging="360"/>
      </w:pPr>
      <w:rPr>
        <w:rFonts w:ascii="Courier New" w:hAnsi="Courier New" w:cs="Courier New" w:hint="default"/>
      </w:rPr>
    </w:lvl>
    <w:lvl w:ilvl="5" w:tplc="DF7AEC6A" w:tentative="1">
      <w:start w:val="1"/>
      <w:numFmt w:val="bullet"/>
      <w:lvlText w:val=""/>
      <w:lvlJc w:val="left"/>
      <w:pPr>
        <w:tabs>
          <w:tab w:val="num" w:pos="4320"/>
        </w:tabs>
        <w:ind w:left="4320" w:hanging="360"/>
      </w:pPr>
      <w:rPr>
        <w:rFonts w:ascii="Wingdings" w:hAnsi="Wingdings" w:hint="default"/>
      </w:rPr>
    </w:lvl>
    <w:lvl w:ilvl="6" w:tplc="250C80B0" w:tentative="1">
      <w:start w:val="1"/>
      <w:numFmt w:val="bullet"/>
      <w:lvlText w:val=""/>
      <w:lvlJc w:val="left"/>
      <w:pPr>
        <w:tabs>
          <w:tab w:val="num" w:pos="5040"/>
        </w:tabs>
        <w:ind w:left="5040" w:hanging="360"/>
      </w:pPr>
      <w:rPr>
        <w:rFonts w:ascii="Symbol" w:hAnsi="Symbol" w:hint="default"/>
      </w:rPr>
    </w:lvl>
    <w:lvl w:ilvl="7" w:tplc="86A29BB6" w:tentative="1">
      <w:start w:val="1"/>
      <w:numFmt w:val="bullet"/>
      <w:lvlText w:val="o"/>
      <w:lvlJc w:val="left"/>
      <w:pPr>
        <w:tabs>
          <w:tab w:val="num" w:pos="5760"/>
        </w:tabs>
        <w:ind w:left="5760" w:hanging="360"/>
      </w:pPr>
      <w:rPr>
        <w:rFonts w:ascii="Courier New" w:hAnsi="Courier New" w:cs="Courier New" w:hint="default"/>
      </w:rPr>
    </w:lvl>
    <w:lvl w:ilvl="8" w:tplc="23F6F6A8"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FBD2E0E"/>
    <w:multiLevelType w:val="multilevel"/>
    <w:tmpl w:val="E10E6AC2"/>
    <w:lvl w:ilvl="0">
      <w:start w:val="1"/>
      <w:numFmt w:val="decimal"/>
      <w:lvlText w:val="%1."/>
      <w:lvlJc w:val="left"/>
      <w:pPr>
        <w:ind w:left="360" w:hanging="360"/>
      </w:pPr>
    </w:lvl>
    <w:lvl w:ilvl="1">
      <w:start w:val="1"/>
      <w:numFmt w:val="decimal"/>
      <w:pStyle w:val="0-itemRELnr"/>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6445713C"/>
    <w:multiLevelType w:val="hybridMultilevel"/>
    <w:tmpl w:val="BBB0008C"/>
    <w:lvl w:ilvl="0" w:tplc="6F385346">
      <w:start w:val="1"/>
      <w:numFmt w:val="decimal"/>
      <w:pStyle w:val="Numeracao"/>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67BA122D"/>
    <w:multiLevelType w:val="hybridMultilevel"/>
    <w:tmpl w:val="0ED690D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3" w15:restartNumberingAfterBreak="0">
    <w:nsid w:val="69C031FE"/>
    <w:multiLevelType w:val="hybridMultilevel"/>
    <w:tmpl w:val="B25292BE"/>
    <w:lvl w:ilvl="0" w:tplc="F2867E92">
      <w:start w:val="1"/>
      <w:numFmt w:val="decimal"/>
      <w:pStyle w:val="Estilo1-GRFICOesquerda0cmDeslocamento3cmDepois"/>
      <w:lvlText w:val="GRÁFICO %1  - "/>
      <w:lvlJc w:val="left"/>
      <w:pPr>
        <w:tabs>
          <w:tab w:val="num" w:pos="1134"/>
        </w:tabs>
        <w:ind w:left="1701" w:hanging="1701"/>
      </w:pPr>
      <w:rPr>
        <w:rFonts w:ascii="Arial" w:hAnsi="Arial" w:cs="Arial" w:hint="default"/>
        <w:b/>
        <w:bCs/>
        <w:i w:val="0"/>
        <w:iCs w:val="0"/>
        <w:caps w:val="0"/>
        <w:strike w:val="0"/>
        <w:dstrike w:val="0"/>
        <w:vanish w:val="0"/>
        <w:color w:val="auto"/>
        <w:spacing w:val="0"/>
        <w:w w:val="100"/>
        <w:kern w:val="0"/>
        <w:position w:val="0"/>
        <w:sz w:val="24"/>
        <w:szCs w:val="22"/>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CB25464" w:tentative="1">
      <w:start w:val="1"/>
      <w:numFmt w:val="lowerLetter"/>
      <w:lvlText w:val="%2."/>
      <w:lvlJc w:val="left"/>
      <w:pPr>
        <w:tabs>
          <w:tab w:val="num" w:pos="1440"/>
        </w:tabs>
        <w:ind w:left="1440" w:hanging="360"/>
      </w:pPr>
    </w:lvl>
    <w:lvl w:ilvl="2" w:tplc="1C0E8546" w:tentative="1">
      <w:start w:val="1"/>
      <w:numFmt w:val="lowerRoman"/>
      <w:lvlText w:val="%3."/>
      <w:lvlJc w:val="right"/>
      <w:pPr>
        <w:tabs>
          <w:tab w:val="num" w:pos="2160"/>
        </w:tabs>
        <w:ind w:left="2160" w:hanging="180"/>
      </w:pPr>
    </w:lvl>
    <w:lvl w:ilvl="3" w:tplc="358A6864" w:tentative="1">
      <w:start w:val="1"/>
      <w:numFmt w:val="decimal"/>
      <w:lvlText w:val="%4."/>
      <w:lvlJc w:val="left"/>
      <w:pPr>
        <w:tabs>
          <w:tab w:val="num" w:pos="2880"/>
        </w:tabs>
        <w:ind w:left="2880" w:hanging="360"/>
      </w:pPr>
    </w:lvl>
    <w:lvl w:ilvl="4" w:tplc="2EDC3C72" w:tentative="1">
      <w:start w:val="1"/>
      <w:numFmt w:val="lowerLetter"/>
      <w:lvlText w:val="%5."/>
      <w:lvlJc w:val="left"/>
      <w:pPr>
        <w:tabs>
          <w:tab w:val="num" w:pos="3600"/>
        </w:tabs>
        <w:ind w:left="3600" w:hanging="360"/>
      </w:pPr>
    </w:lvl>
    <w:lvl w:ilvl="5" w:tplc="61DCCAF2" w:tentative="1">
      <w:start w:val="1"/>
      <w:numFmt w:val="lowerRoman"/>
      <w:lvlText w:val="%6."/>
      <w:lvlJc w:val="right"/>
      <w:pPr>
        <w:tabs>
          <w:tab w:val="num" w:pos="4320"/>
        </w:tabs>
        <w:ind w:left="4320" w:hanging="180"/>
      </w:pPr>
    </w:lvl>
    <w:lvl w:ilvl="6" w:tplc="32FA1150" w:tentative="1">
      <w:start w:val="1"/>
      <w:numFmt w:val="decimal"/>
      <w:lvlText w:val="%7."/>
      <w:lvlJc w:val="left"/>
      <w:pPr>
        <w:tabs>
          <w:tab w:val="num" w:pos="5040"/>
        </w:tabs>
        <w:ind w:left="5040" w:hanging="360"/>
      </w:pPr>
    </w:lvl>
    <w:lvl w:ilvl="7" w:tplc="72FEE802" w:tentative="1">
      <w:start w:val="1"/>
      <w:numFmt w:val="lowerLetter"/>
      <w:lvlText w:val="%8."/>
      <w:lvlJc w:val="left"/>
      <w:pPr>
        <w:tabs>
          <w:tab w:val="num" w:pos="5760"/>
        </w:tabs>
        <w:ind w:left="5760" w:hanging="360"/>
      </w:pPr>
    </w:lvl>
    <w:lvl w:ilvl="8" w:tplc="3B0809F6" w:tentative="1">
      <w:start w:val="1"/>
      <w:numFmt w:val="lowerRoman"/>
      <w:lvlText w:val="%9."/>
      <w:lvlJc w:val="right"/>
      <w:pPr>
        <w:tabs>
          <w:tab w:val="num" w:pos="6480"/>
        </w:tabs>
        <w:ind w:left="6480" w:hanging="180"/>
      </w:pPr>
    </w:lvl>
  </w:abstractNum>
  <w:abstractNum w:abstractNumId="44" w15:restartNumberingAfterBreak="0">
    <w:nsid w:val="6C682683"/>
    <w:multiLevelType w:val="hybridMultilevel"/>
    <w:tmpl w:val="2DD842E8"/>
    <w:lvl w:ilvl="0" w:tplc="7E227DB4">
      <w:start w:val="1"/>
      <w:numFmt w:val="decimal"/>
      <w:pStyle w:val="Estilo1-GRFICOesquerda0cmPrimeiralinha0cmDepoi"/>
      <w:lvlText w:val="Gráfico %1 - "/>
      <w:lvlJc w:val="left"/>
      <w:pPr>
        <w:tabs>
          <w:tab w:val="num" w:pos="1985"/>
        </w:tabs>
        <w:ind w:left="284" w:hanging="284"/>
      </w:pPr>
      <w:rPr>
        <w:rFonts w:ascii="Arial" w:hAnsi="Arial" w:hint="default"/>
        <w:b w:val="0"/>
        <w:i w:val="0"/>
        <w:caps w:val="0"/>
        <w:strike w:val="0"/>
        <w:vanish w:val="0"/>
        <w:color w:val="000000"/>
        <w:spacing w:val="0"/>
        <w:position w:val="0"/>
        <w:sz w:val="22"/>
        <w:u w:val="none"/>
        <w14:shadow w14:blurRad="0" w14:dist="0" w14:dir="0" w14:sx="0" w14:sy="0" w14:kx="0" w14:ky="0" w14:algn="none">
          <w14:srgbClr w14:val="000000"/>
        </w14:shadow>
        <w14:textOutline w14:w="0" w14:cap="rnd" w14:cmpd="sng" w14:algn="ctr">
          <w14:noFill/>
          <w14:prstDash w14:val="solid"/>
          <w14:bevel/>
        </w14:textOutline>
      </w:rPr>
    </w:lvl>
    <w:lvl w:ilvl="1" w:tplc="FB72DC8C" w:tentative="1">
      <w:start w:val="1"/>
      <w:numFmt w:val="lowerLetter"/>
      <w:lvlText w:val="%2."/>
      <w:lvlJc w:val="left"/>
      <w:pPr>
        <w:tabs>
          <w:tab w:val="num" w:pos="1440"/>
        </w:tabs>
        <w:ind w:left="1440" w:hanging="360"/>
      </w:pPr>
    </w:lvl>
    <w:lvl w:ilvl="2" w:tplc="6F7EC842" w:tentative="1">
      <w:start w:val="1"/>
      <w:numFmt w:val="lowerRoman"/>
      <w:lvlText w:val="%3."/>
      <w:lvlJc w:val="right"/>
      <w:pPr>
        <w:tabs>
          <w:tab w:val="num" w:pos="2160"/>
        </w:tabs>
        <w:ind w:left="2160" w:hanging="180"/>
      </w:pPr>
    </w:lvl>
    <w:lvl w:ilvl="3" w:tplc="03204508" w:tentative="1">
      <w:start w:val="1"/>
      <w:numFmt w:val="decimal"/>
      <w:lvlText w:val="%4."/>
      <w:lvlJc w:val="left"/>
      <w:pPr>
        <w:tabs>
          <w:tab w:val="num" w:pos="2880"/>
        </w:tabs>
        <w:ind w:left="2880" w:hanging="360"/>
      </w:pPr>
    </w:lvl>
    <w:lvl w:ilvl="4" w:tplc="BB88D4B4" w:tentative="1">
      <w:start w:val="1"/>
      <w:numFmt w:val="lowerLetter"/>
      <w:lvlText w:val="%5."/>
      <w:lvlJc w:val="left"/>
      <w:pPr>
        <w:tabs>
          <w:tab w:val="num" w:pos="3600"/>
        </w:tabs>
        <w:ind w:left="3600" w:hanging="360"/>
      </w:pPr>
    </w:lvl>
    <w:lvl w:ilvl="5" w:tplc="AE4E89CC" w:tentative="1">
      <w:start w:val="1"/>
      <w:numFmt w:val="lowerRoman"/>
      <w:lvlText w:val="%6."/>
      <w:lvlJc w:val="right"/>
      <w:pPr>
        <w:tabs>
          <w:tab w:val="num" w:pos="4320"/>
        </w:tabs>
        <w:ind w:left="4320" w:hanging="180"/>
      </w:pPr>
    </w:lvl>
    <w:lvl w:ilvl="6" w:tplc="F72C0F16" w:tentative="1">
      <w:start w:val="1"/>
      <w:numFmt w:val="decimal"/>
      <w:lvlText w:val="%7."/>
      <w:lvlJc w:val="left"/>
      <w:pPr>
        <w:tabs>
          <w:tab w:val="num" w:pos="5040"/>
        </w:tabs>
        <w:ind w:left="5040" w:hanging="360"/>
      </w:pPr>
    </w:lvl>
    <w:lvl w:ilvl="7" w:tplc="1F369BC4" w:tentative="1">
      <w:start w:val="1"/>
      <w:numFmt w:val="lowerLetter"/>
      <w:lvlText w:val="%8."/>
      <w:lvlJc w:val="left"/>
      <w:pPr>
        <w:tabs>
          <w:tab w:val="num" w:pos="5760"/>
        </w:tabs>
        <w:ind w:left="5760" w:hanging="360"/>
      </w:pPr>
    </w:lvl>
    <w:lvl w:ilvl="8" w:tplc="1FA68716" w:tentative="1">
      <w:start w:val="1"/>
      <w:numFmt w:val="lowerRoman"/>
      <w:lvlText w:val="%9."/>
      <w:lvlJc w:val="right"/>
      <w:pPr>
        <w:tabs>
          <w:tab w:val="num" w:pos="6480"/>
        </w:tabs>
        <w:ind w:left="6480" w:hanging="180"/>
      </w:pPr>
    </w:lvl>
  </w:abstractNum>
  <w:abstractNum w:abstractNumId="45" w15:restartNumberingAfterBreak="0">
    <w:nsid w:val="6C7B04F2"/>
    <w:multiLevelType w:val="hybridMultilevel"/>
    <w:tmpl w:val="7C600C1E"/>
    <w:lvl w:ilvl="0" w:tplc="27345420">
      <w:start w:val="1"/>
      <w:numFmt w:val="bullet"/>
      <w:pStyle w:val="deletar"/>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46" w15:restartNumberingAfterBreak="0">
    <w:nsid w:val="728E7DFE"/>
    <w:multiLevelType w:val="multilevel"/>
    <w:tmpl w:val="985A421A"/>
    <w:styleLink w:val="Estilo18"/>
    <w:lvl w:ilvl="0">
      <w:start w:val="1"/>
      <w:numFmt w:val="decimal"/>
      <w:pStyle w:val="0-TABELA"/>
      <w:lvlText w:val="Tabela %1 "/>
      <w:lvlJc w:val="left"/>
      <w:pPr>
        <w:ind w:left="284" w:hanging="284"/>
      </w:pPr>
      <w:rPr>
        <w:rFonts w:ascii="Arial" w:hAnsi="Arial" w:hint="default"/>
        <w:b w:val="0"/>
        <w:bCs w:val="0"/>
        <w:i w:val="0"/>
        <w:iCs w:val="0"/>
        <w:caps w:val="0"/>
        <w:smallCaps w:val="0"/>
        <w:strike w:val="0"/>
        <w:dstrike w:val="0"/>
        <w:outline w:val="0"/>
        <w:shadow w:val="0"/>
        <w:emboss w:val="0"/>
        <w:imprint w:val="0"/>
        <w:vanish w:val="0"/>
        <w:webHidden w:val="0"/>
        <w:color w:val="auto"/>
        <w:spacing w:val="0"/>
        <w:w w:val="100"/>
        <w:kern w:val="0"/>
        <w:position w:val="0"/>
        <w:sz w:val="22"/>
        <w:u w:val="none"/>
        <w:effect w:val="none"/>
        <w:vertAlign w:val="baseline"/>
        <w:em w:val="none"/>
        <w:specVanish w:val="0"/>
        <w14:shadow w14:blurRad="50800" w14:dist="38100" w14:dir="2700000" w14:sx="100000" w14:sy="100000" w14:kx="0" w14:ky="0" w14:algn="tl">
          <w14:srgbClr w14:val="000000">
            <w14:alpha w14:val="60000"/>
          </w14:srgbClr>
        </w14:shadow>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7" w15:restartNumberingAfterBreak="0">
    <w:nsid w:val="739E3295"/>
    <w:multiLevelType w:val="hybridMultilevel"/>
    <w:tmpl w:val="2896525C"/>
    <w:lvl w:ilvl="0" w:tplc="DEB66F2C">
      <w:start w:val="1"/>
      <w:numFmt w:val="decimalZero"/>
      <w:lvlText w:val="%1)"/>
      <w:lvlJc w:val="left"/>
      <w:pPr>
        <w:ind w:left="957" w:hanging="39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48" w15:restartNumberingAfterBreak="0">
    <w:nsid w:val="75701FA4"/>
    <w:multiLevelType w:val="multilevel"/>
    <w:tmpl w:val="FA6CAEE6"/>
    <w:styleLink w:val="WW8Num4"/>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9" w15:restartNumberingAfterBreak="0">
    <w:nsid w:val="7A555774"/>
    <w:multiLevelType w:val="multilevel"/>
    <w:tmpl w:val="8716DCB8"/>
    <w:styleLink w:val="WW8Num1"/>
    <w:lvl w:ilvl="0">
      <w:start w:val="3"/>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50" w15:restartNumberingAfterBreak="0">
    <w:nsid w:val="7BF11764"/>
    <w:multiLevelType w:val="multilevel"/>
    <w:tmpl w:val="9FE20816"/>
    <w:lvl w:ilvl="0">
      <w:start w:val="2"/>
      <w:numFmt w:val="decimal"/>
      <w:pStyle w:val="EstiloTtulo1Antes0ptDepoisde0pt"/>
      <w:lvlText w:val="%1"/>
      <w:lvlJc w:val="left"/>
      <w:pPr>
        <w:tabs>
          <w:tab w:val="num" w:pos="432"/>
        </w:tabs>
        <w:ind w:left="432" w:hanging="432"/>
      </w:pPr>
      <w:rPr>
        <w:rFonts w:ascii="Arial" w:hAnsi="Arial" w:cs="Arial" w:hint="default"/>
        <w:b/>
        <w:bCs/>
        <w:i w:val="0"/>
        <w:iCs w:val="0"/>
        <w:caps w:val="0"/>
        <w:strike w:val="0"/>
        <w:dstrike w:val="0"/>
        <w:vanish w:val="0"/>
        <w:sz w:val="24"/>
        <w:szCs w:val="32"/>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76"/>
        </w:tabs>
        <w:ind w:left="576" w:hanging="576"/>
      </w:pPr>
      <w:rPr>
        <w:rFonts w:ascii="Arial" w:hAnsi="Arial" w:cs="Arial" w:hint="default"/>
        <w:b/>
        <w:bCs/>
        <w:i w:val="0"/>
        <w:iCs w:val="0"/>
        <w:strike w:val="0"/>
        <w:dstrike w:val="0"/>
        <w:sz w:val="28"/>
        <w:szCs w:val="28"/>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720"/>
        </w:tabs>
        <w:ind w:left="720" w:hanging="720"/>
      </w:pPr>
      <w:rPr>
        <w:rFonts w:ascii="Arial" w:hAnsi="Arial" w:cs="Arial" w:hint="default"/>
        <w:b/>
        <w:bCs/>
        <w:i w:val="0"/>
        <w:iCs w:val="0"/>
        <w:sz w:val="24"/>
        <w:szCs w:val="24"/>
      </w:rPr>
    </w:lvl>
    <w:lvl w:ilvl="3">
      <w:start w:val="1"/>
      <w:numFmt w:val="decimal"/>
      <w:lvlText w:val="%1.%2.%3.%4"/>
      <w:lvlJc w:val="left"/>
      <w:pPr>
        <w:tabs>
          <w:tab w:val="num" w:pos="992"/>
        </w:tabs>
        <w:ind w:left="992" w:hanging="992"/>
      </w:pPr>
      <w:rPr>
        <w:rFonts w:ascii="Arial" w:hAnsi="Arial" w:cs="Arial" w:hint="default"/>
        <w:b w:val="0"/>
        <w:bCs/>
        <w:i w:val="0"/>
        <w:iCs w:val="0"/>
        <w:strike w:val="0"/>
        <w:color w:val="auto"/>
        <w:sz w:val="22"/>
        <w:szCs w:val="24"/>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008"/>
        </w:tabs>
        <w:ind w:left="1008" w:hanging="1008"/>
      </w:pPr>
      <w:rPr>
        <w:rFonts w:hint="default"/>
        <w:b/>
        <w:bCs/>
        <w:i w:val="0"/>
        <w:iCs w:val="0"/>
      </w:rPr>
    </w:lvl>
    <w:lvl w:ilvl="5">
      <w:start w:val="1"/>
      <w:numFmt w:val="decimal"/>
      <w:lvlText w:val="%1.%2.%3.%4.%5.%6"/>
      <w:lvlJc w:val="left"/>
      <w:pPr>
        <w:tabs>
          <w:tab w:val="num" w:pos="1152"/>
        </w:tabs>
        <w:ind w:left="1152" w:hanging="1152"/>
      </w:pPr>
      <w:rPr>
        <w:rFonts w:ascii="Arial" w:hAnsi="Arial" w:cs="Arial" w:hint="default"/>
        <w:b/>
        <w:bCs/>
        <w:i w:val="0"/>
        <w:iCs w:val="0"/>
        <w:caps w:val="0"/>
        <w:smallCaps w:val="0"/>
        <w:strike w:val="0"/>
        <w:dstrike w:val="0"/>
        <w:color w:val="auto"/>
        <w:spacing w:val="0"/>
        <w:w w:val="100"/>
        <w:kern w:val="0"/>
        <w:position w:val="0"/>
        <w:sz w:val="24"/>
        <w:szCs w:val="24"/>
        <w:u w:val="none"/>
        <w:effect w:val="no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1.%2.%3.%4.%5.%6.%7"/>
      <w:lvlJc w:val="left"/>
      <w:pPr>
        <w:tabs>
          <w:tab w:val="num" w:pos="1296"/>
        </w:tabs>
        <w:ind w:left="1296" w:hanging="1296"/>
      </w:pPr>
      <w:rPr>
        <w:rFonts w:hint="default"/>
        <w:b/>
        <w:bCs/>
        <w:i w:val="0"/>
        <w:iCs w:val="0"/>
      </w:rPr>
    </w:lvl>
    <w:lvl w:ilvl="7">
      <w:start w:val="1"/>
      <w:numFmt w:val="decimal"/>
      <w:lvlText w:val="%1.%2.%3.%4.%5.%6.%7.%8"/>
      <w:lvlJc w:val="left"/>
      <w:pPr>
        <w:tabs>
          <w:tab w:val="num" w:pos="1440"/>
        </w:tabs>
        <w:ind w:left="1440" w:hanging="1440"/>
      </w:pPr>
      <w:rPr>
        <w:rFonts w:hint="default"/>
        <w:b/>
        <w:bCs/>
        <w:i w:val="0"/>
        <w:iCs w:val="0"/>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1.%2.%3.%4.%5.%6.%7.%8.%9"/>
      <w:lvlJc w:val="left"/>
      <w:pPr>
        <w:tabs>
          <w:tab w:val="num" w:pos="1584"/>
        </w:tabs>
        <w:ind w:left="1584" w:hanging="1584"/>
      </w:pPr>
      <w:rPr>
        <w:rFonts w:hint="default"/>
        <w:b/>
        <w:bCs/>
        <w:i w:val="0"/>
        <w:iCs w:val="0"/>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1" w15:restartNumberingAfterBreak="0">
    <w:nsid w:val="7D0D2053"/>
    <w:multiLevelType w:val="hybridMultilevel"/>
    <w:tmpl w:val="C5E0A572"/>
    <w:lvl w:ilvl="0" w:tplc="992A7800">
      <w:start w:val="1"/>
      <w:numFmt w:val="decimal"/>
      <w:pStyle w:val="1-CAPTULO"/>
      <w:lvlText w:val="%1"/>
      <w:lvlJc w:val="left"/>
      <w:pPr>
        <w:ind w:left="9716" w:hanging="360"/>
      </w:pPr>
      <w:rPr>
        <w:rFonts w:hint="default"/>
        <w:sz w:val="96"/>
        <w:szCs w:val="96"/>
      </w:rPr>
    </w:lvl>
    <w:lvl w:ilvl="1" w:tplc="04160019" w:tentative="1">
      <w:start w:val="1"/>
      <w:numFmt w:val="lowerLetter"/>
      <w:lvlText w:val="%2."/>
      <w:lvlJc w:val="left"/>
      <w:pPr>
        <w:ind w:left="9586" w:hanging="360"/>
      </w:pPr>
    </w:lvl>
    <w:lvl w:ilvl="2" w:tplc="0416001B" w:tentative="1">
      <w:start w:val="1"/>
      <w:numFmt w:val="lowerRoman"/>
      <w:lvlText w:val="%3."/>
      <w:lvlJc w:val="right"/>
      <w:pPr>
        <w:ind w:left="10306" w:hanging="180"/>
      </w:pPr>
    </w:lvl>
    <w:lvl w:ilvl="3" w:tplc="0416000F" w:tentative="1">
      <w:start w:val="1"/>
      <w:numFmt w:val="decimal"/>
      <w:lvlText w:val="%4."/>
      <w:lvlJc w:val="left"/>
      <w:pPr>
        <w:ind w:left="11026" w:hanging="360"/>
      </w:pPr>
    </w:lvl>
    <w:lvl w:ilvl="4" w:tplc="04160019" w:tentative="1">
      <w:start w:val="1"/>
      <w:numFmt w:val="lowerLetter"/>
      <w:lvlText w:val="%5."/>
      <w:lvlJc w:val="left"/>
      <w:pPr>
        <w:ind w:left="11746" w:hanging="360"/>
      </w:pPr>
    </w:lvl>
    <w:lvl w:ilvl="5" w:tplc="0416001B" w:tentative="1">
      <w:start w:val="1"/>
      <w:numFmt w:val="lowerRoman"/>
      <w:lvlText w:val="%6."/>
      <w:lvlJc w:val="right"/>
      <w:pPr>
        <w:ind w:left="12466" w:hanging="180"/>
      </w:pPr>
    </w:lvl>
    <w:lvl w:ilvl="6" w:tplc="0416000F" w:tentative="1">
      <w:start w:val="1"/>
      <w:numFmt w:val="decimal"/>
      <w:lvlText w:val="%7."/>
      <w:lvlJc w:val="left"/>
      <w:pPr>
        <w:ind w:left="13186" w:hanging="360"/>
      </w:pPr>
    </w:lvl>
    <w:lvl w:ilvl="7" w:tplc="04160019" w:tentative="1">
      <w:start w:val="1"/>
      <w:numFmt w:val="lowerLetter"/>
      <w:lvlText w:val="%8."/>
      <w:lvlJc w:val="left"/>
      <w:pPr>
        <w:ind w:left="13906" w:hanging="360"/>
      </w:pPr>
    </w:lvl>
    <w:lvl w:ilvl="8" w:tplc="0416001B" w:tentative="1">
      <w:start w:val="1"/>
      <w:numFmt w:val="lowerRoman"/>
      <w:lvlText w:val="%9."/>
      <w:lvlJc w:val="right"/>
      <w:pPr>
        <w:ind w:left="14626" w:hanging="180"/>
      </w:pPr>
    </w:lvl>
  </w:abstractNum>
  <w:abstractNum w:abstractNumId="52" w15:restartNumberingAfterBreak="0">
    <w:nsid w:val="7FE420E2"/>
    <w:multiLevelType w:val="multilevel"/>
    <w:tmpl w:val="6E78810E"/>
    <w:styleLink w:val="WW8Num2"/>
    <w:lvl w:ilvl="0">
      <w:start w:val="2"/>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num w:numId="1">
    <w:abstractNumId w:val="14"/>
  </w:num>
  <w:num w:numId="2">
    <w:abstractNumId w:val="17"/>
  </w:num>
  <w:num w:numId="3">
    <w:abstractNumId w:val="11"/>
  </w:num>
  <w:num w:numId="4">
    <w:abstractNumId w:val="31"/>
  </w:num>
  <w:num w:numId="5">
    <w:abstractNumId w:val="39"/>
  </w:num>
  <w:num w:numId="6">
    <w:abstractNumId w:val="44"/>
  </w:num>
  <w:num w:numId="7">
    <w:abstractNumId w:val="43"/>
  </w:num>
  <w:num w:numId="8">
    <w:abstractNumId w:val="32"/>
  </w:num>
  <w:num w:numId="9">
    <w:abstractNumId w:val="22"/>
  </w:num>
  <w:num w:numId="10">
    <w:abstractNumId w:val="50"/>
  </w:num>
  <w:num w:numId="11">
    <w:abstractNumId w:val="5"/>
  </w:num>
  <w:num w:numId="12">
    <w:abstractNumId w:val="9"/>
  </w:num>
  <w:num w:numId="13">
    <w:abstractNumId w:val="33"/>
  </w:num>
  <w:num w:numId="14">
    <w:abstractNumId w:val="13"/>
  </w:num>
  <w:num w:numId="15">
    <w:abstractNumId w:val="7"/>
  </w:num>
  <w:num w:numId="16">
    <w:abstractNumId w:val="49"/>
  </w:num>
  <w:num w:numId="17">
    <w:abstractNumId w:val="52"/>
  </w:num>
  <w:num w:numId="18">
    <w:abstractNumId w:val="27"/>
  </w:num>
  <w:num w:numId="19">
    <w:abstractNumId w:val="48"/>
  </w:num>
  <w:num w:numId="20">
    <w:abstractNumId w:val="26"/>
  </w:num>
  <w:num w:numId="21">
    <w:abstractNumId w:val="45"/>
  </w:num>
  <w:num w:numId="22">
    <w:abstractNumId w:val="41"/>
  </w:num>
  <w:num w:numId="23">
    <w:abstractNumId w:val="35"/>
  </w:num>
  <w:num w:numId="24">
    <w:abstractNumId w:val="3"/>
  </w:num>
  <w:num w:numId="25">
    <w:abstractNumId w:val="28"/>
  </w:num>
  <w:num w:numId="26">
    <w:abstractNumId w:val="6"/>
  </w:num>
  <w:num w:numId="27">
    <w:abstractNumId w:val="37"/>
  </w:num>
  <w:num w:numId="28">
    <w:abstractNumId w:val="25"/>
  </w:num>
  <w:num w:numId="29">
    <w:abstractNumId w:val="23"/>
  </w:num>
  <w:num w:numId="30">
    <w:abstractNumId w:val="40"/>
  </w:num>
  <w:num w:numId="31">
    <w:abstractNumId w:val="20"/>
  </w:num>
  <w:num w:numId="32">
    <w:abstractNumId w:val="24"/>
  </w:num>
  <w:num w:numId="33">
    <w:abstractNumId w:val="51"/>
    <w:lvlOverride w:ilvl="0">
      <w:lvl w:ilvl="0" w:tplc="992A7800">
        <w:start w:val="1"/>
        <w:numFmt w:val="decimal"/>
        <w:pStyle w:val="1-CAPTULO"/>
        <w:suff w:val="nothing"/>
        <w:lvlText w:val="%1"/>
        <w:lvlJc w:val="left"/>
        <w:pPr>
          <w:ind w:left="0" w:firstLine="0"/>
        </w:pPr>
        <w:rPr>
          <w:rFonts w:hint="default"/>
          <w:sz w:val="96"/>
          <w:szCs w:val="96"/>
        </w:rPr>
      </w:lvl>
    </w:lvlOverride>
    <w:lvlOverride w:ilvl="1">
      <w:lvl w:ilvl="1" w:tplc="04160019" w:tentative="1">
        <w:start w:val="1"/>
        <w:numFmt w:val="lowerLetter"/>
        <w:lvlText w:val="%2."/>
        <w:lvlJc w:val="left"/>
        <w:pPr>
          <w:ind w:left="1440" w:hanging="360"/>
        </w:pPr>
      </w:lvl>
    </w:lvlOverride>
    <w:lvlOverride w:ilvl="2">
      <w:lvl w:ilvl="2" w:tplc="0416001B" w:tentative="1">
        <w:start w:val="1"/>
        <w:numFmt w:val="lowerRoman"/>
        <w:lvlText w:val="%3."/>
        <w:lvlJc w:val="right"/>
        <w:pPr>
          <w:ind w:left="2160" w:hanging="180"/>
        </w:pPr>
      </w:lvl>
    </w:lvlOverride>
    <w:lvlOverride w:ilvl="3">
      <w:lvl w:ilvl="3" w:tplc="0416000F" w:tentative="1">
        <w:start w:val="1"/>
        <w:numFmt w:val="decimal"/>
        <w:lvlText w:val="%4."/>
        <w:lvlJc w:val="left"/>
        <w:pPr>
          <w:ind w:left="2880" w:hanging="360"/>
        </w:pPr>
      </w:lvl>
    </w:lvlOverride>
    <w:lvlOverride w:ilvl="4">
      <w:lvl w:ilvl="4" w:tplc="04160019" w:tentative="1">
        <w:start w:val="1"/>
        <w:numFmt w:val="lowerLetter"/>
        <w:lvlText w:val="%5."/>
        <w:lvlJc w:val="left"/>
        <w:pPr>
          <w:ind w:left="3600" w:hanging="360"/>
        </w:pPr>
      </w:lvl>
    </w:lvlOverride>
    <w:lvlOverride w:ilvl="5">
      <w:lvl w:ilvl="5" w:tplc="0416001B" w:tentative="1">
        <w:start w:val="1"/>
        <w:numFmt w:val="lowerRoman"/>
        <w:lvlText w:val="%6."/>
        <w:lvlJc w:val="right"/>
        <w:pPr>
          <w:ind w:left="4320" w:hanging="180"/>
        </w:pPr>
      </w:lvl>
    </w:lvlOverride>
    <w:lvlOverride w:ilvl="6">
      <w:lvl w:ilvl="6" w:tplc="0416000F" w:tentative="1">
        <w:start w:val="1"/>
        <w:numFmt w:val="decimal"/>
        <w:lvlText w:val="%7."/>
        <w:lvlJc w:val="left"/>
        <w:pPr>
          <w:ind w:left="5040" w:hanging="360"/>
        </w:pPr>
      </w:lvl>
    </w:lvlOverride>
    <w:lvlOverride w:ilvl="7">
      <w:lvl w:ilvl="7" w:tplc="04160019" w:tentative="1">
        <w:start w:val="1"/>
        <w:numFmt w:val="lowerLetter"/>
        <w:lvlText w:val="%8."/>
        <w:lvlJc w:val="left"/>
        <w:pPr>
          <w:ind w:left="5760" w:hanging="360"/>
        </w:pPr>
      </w:lvl>
    </w:lvlOverride>
    <w:lvlOverride w:ilvl="8">
      <w:lvl w:ilvl="8" w:tplc="0416001B" w:tentative="1">
        <w:start w:val="1"/>
        <w:numFmt w:val="lowerRoman"/>
        <w:lvlText w:val="%9."/>
        <w:lvlJc w:val="right"/>
        <w:pPr>
          <w:ind w:left="6480" w:hanging="180"/>
        </w:pPr>
      </w:lvl>
    </w:lvlOverride>
  </w:num>
  <w:num w:numId="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0"/>
  </w:num>
  <w:num w:numId="36">
    <w:abstractNumId w:val="25"/>
    <w:lvlOverride w:ilvl="0">
      <w:startOverride w:val="1"/>
    </w:lvlOverride>
  </w:num>
  <w:num w:numId="37">
    <w:abstractNumId w:val="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8"/>
  </w:num>
  <w:num w:numId="39">
    <w:abstractNumId w:val="38"/>
  </w:num>
  <w:num w:numId="40">
    <w:abstractNumId w:val="16"/>
  </w:num>
  <w:num w:numId="41">
    <w:abstractNumId w:val="29"/>
  </w:num>
  <w:num w:numId="42">
    <w:abstractNumId w:val="36"/>
  </w:num>
  <w:num w:numId="43">
    <w:abstractNumId w:val="34"/>
  </w:num>
  <w:num w:numId="44">
    <w:abstractNumId w:val="10"/>
  </w:num>
  <w:num w:numId="45">
    <w:abstractNumId w:val="15"/>
  </w:num>
  <w:num w:numId="46">
    <w:abstractNumId w:val="12"/>
  </w:num>
  <w:num w:numId="47">
    <w:abstractNumId w:val="8"/>
  </w:num>
  <w:num w:numId="48">
    <w:abstractNumId w:val="21"/>
  </w:num>
  <w:num w:numId="49">
    <w:abstractNumId w:val="42"/>
  </w:num>
  <w:num w:numId="50">
    <w:abstractNumId w:val="46"/>
  </w:num>
  <w:num w:numId="51">
    <w:abstractNumId w:val="46"/>
    <w:lvlOverride w:ilvl="0">
      <w:lvl w:ilvl="0">
        <w:start w:val="1"/>
        <w:numFmt w:val="decimal"/>
        <w:pStyle w:val="0-TABELA"/>
        <w:lvlText w:val="Tabela %1  "/>
        <w:lvlJc w:val="left"/>
        <w:pPr>
          <w:tabs>
            <w:tab w:val="num" w:pos="9215"/>
          </w:tabs>
          <w:ind w:left="7514" w:hanging="284"/>
        </w:pPr>
        <w:rPr>
          <w:rFonts w:ascii="Arial" w:hAnsi="Arial" w:cs="Arial" w:hint="default"/>
          <w:b w:val="0"/>
          <w:bCs w:val="0"/>
          <w:i w:val="0"/>
          <w:iCs w:val="0"/>
          <w:caps w:val="0"/>
          <w:smallCaps w:val="0"/>
          <w:strike w:val="0"/>
          <w:dstrike w:val="0"/>
          <w:vanish w:val="0"/>
          <w:webHidden w:val="0"/>
          <w:color w:val="auto"/>
          <w:spacing w:val="0"/>
          <w:kern w:val="0"/>
          <w:position w:val="0"/>
          <w:u w:val="none"/>
          <w:effect w:val="none"/>
          <w:vertAlign w:val="baseline"/>
          <w:em w:val="none"/>
          <w:specVanish w:val="0"/>
          <w14:shadow w14:blurRad="0" w14:dist="0" w14:dir="0" w14:sx="0" w14:sy="0" w14:kx="0" w14:ky="0" w14:algn="none">
            <w14:srgbClr w14:val="000000"/>
          </w14:shadow>
        </w:rPr>
      </w:lvl>
    </w:lvlOverride>
  </w:num>
  <w:num w:numId="52">
    <w:abstractNumId w:val="19"/>
  </w:num>
  <w:num w:numId="53">
    <w:abstractNumId w:val="46"/>
    <w:lvlOverride w:ilvl="0">
      <w:lvl w:ilvl="0">
        <w:start w:val="1"/>
        <w:numFmt w:val="decimal"/>
        <w:pStyle w:val="0-TABELA"/>
        <w:suff w:val="nothing"/>
        <w:lvlText w:val="Tabela %1  "/>
        <w:lvlJc w:val="left"/>
        <w:pPr>
          <w:ind w:left="8223" w:hanging="284"/>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lowerLetter"/>
        <w:lvlText w:val="%2."/>
        <w:lvlJc w:val="left"/>
        <w:pPr>
          <w:tabs>
            <w:tab w:val="num" w:pos="3142"/>
          </w:tabs>
          <w:ind w:left="3142" w:hanging="360"/>
        </w:pPr>
        <w:rPr>
          <w:rFonts w:hint="default"/>
        </w:rPr>
      </w:lvl>
    </w:lvlOverride>
    <w:lvlOverride w:ilvl="2">
      <w:lvl w:ilvl="2">
        <w:start w:val="1"/>
        <w:numFmt w:val="lowerRoman"/>
        <w:lvlText w:val="%3."/>
        <w:lvlJc w:val="right"/>
        <w:pPr>
          <w:tabs>
            <w:tab w:val="num" w:pos="3862"/>
          </w:tabs>
          <w:ind w:left="3862" w:hanging="180"/>
        </w:pPr>
        <w:rPr>
          <w:rFonts w:hint="default"/>
        </w:rPr>
      </w:lvl>
    </w:lvlOverride>
    <w:lvlOverride w:ilvl="3">
      <w:lvl w:ilvl="3">
        <w:start w:val="1"/>
        <w:numFmt w:val="decimal"/>
        <w:lvlText w:val="%4."/>
        <w:lvlJc w:val="left"/>
        <w:pPr>
          <w:tabs>
            <w:tab w:val="num" w:pos="4582"/>
          </w:tabs>
          <w:ind w:left="4582" w:hanging="360"/>
        </w:pPr>
        <w:rPr>
          <w:rFonts w:hint="default"/>
        </w:rPr>
      </w:lvl>
    </w:lvlOverride>
    <w:lvlOverride w:ilvl="4">
      <w:lvl w:ilvl="4">
        <w:start w:val="1"/>
        <w:numFmt w:val="lowerLetter"/>
        <w:lvlText w:val="%5."/>
        <w:lvlJc w:val="left"/>
        <w:pPr>
          <w:tabs>
            <w:tab w:val="num" w:pos="5302"/>
          </w:tabs>
          <w:ind w:left="5302" w:hanging="360"/>
        </w:pPr>
        <w:rPr>
          <w:rFonts w:hint="default"/>
        </w:rPr>
      </w:lvl>
    </w:lvlOverride>
    <w:lvlOverride w:ilvl="5">
      <w:lvl w:ilvl="5">
        <w:start w:val="1"/>
        <w:numFmt w:val="lowerRoman"/>
        <w:lvlText w:val="%6."/>
        <w:lvlJc w:val="right"/>
        <w:pPr>
          <w:tabs>
            <w:tab w:val="num" w:pos="6022"/>
          </w:tabs>
          <w:ind w:left="6022" w:hanging="180"/>
        </w:pPr>
        <w:rPr>
          <w:rFonts w:hint="default"/>
        </w:rPr>
      </w:lvl>
    </w:lvlOverride>
    <w:lvlOverride w:ilvl="6">
      <w:lvl w:ilvl="6">
        <w:start w:val="1"/>
        <w:numFmt w:val="decimal"/>
        <w:lvlText w:val="%7."/>
        <w:lvlJc w:val="left"/>
        <w:pPr>
          <w:tabs>
            <w:tab w:val="num" w:pos="6742"/>
          </w:tabs>
          <w:ind w:left="6742" w:hanging="360"/>
        </w:pPr>
        <w:rPr>
          <w:rFonts w:hint="default"/>
        </w:rPr>
      </w:lvl>
    </w:lvlOverride>
    <w:lvlOverride w:ilvl="7">
      <w:lvl w:ilvl="7">
        <w:start w:val="1"/>
        <w:numFmt w:val="lowerLetter"/>
        <w:lvlText w:val="%8."/>
        <w:lvlJc w:val="left"/>
        <w:pPr>
          <w:tabs>
            <w:tab w:val="num" w:pos="7462"/>
          </w:tabs>
          <w:ind w:left="7462" w:hanging="360"/>
        </w:pPr>
        <w:rPr>
          <w:rFonts w:hint="default"/>
        </w:rPr>
      </w:lvl>
    </w:lvlOverride>
    <w:lvlOverride w:ilvl="8">
      <w:lvl w:ilvl="8">
        <w:start w:val="1"/>
        <w:numFmt w:val="lowerRoman"/>
        <w:lvlText w:val="%9."/>
        <w:lvlJc w:val="right"/>
        <w:pPr>
          <w:tabs>
            <w:tab w:val="num" w:pos="8182"/>
          </w:tabs>
          <w:ind w:left="8182" w:hanging="180"/>
        </w:pPr>
        <w:rPr>
          <w:rFonts w:hint="default"/>
        </w:rPr>
      </w:lvl>
    </w:lvlOverride>
  </w:num>
  <w:num w:numId="54">
    <w:abstractNumId w:val="30"/>
  </w:num>
  <w:num w:numId="55">
    <w:abstractNumId w:val="46"/>
    <w:lvlOverride w:ilvl="0">
      <w:lvl w:ilvl="0">
        <w:start w:val="1"/>
        <w:numFmt w:val="decimal"/>
        <w:pStyle w:val="0-TABELA"/>
        <w:suff w:val="nothing"/>
        <w:lvlText w:val="Tabela %1  "/>
        <w:lvlJc w:val="left"/>
        <w:pPr>
          <w:ind w:left="3970" w:hanging="284"/>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lowerLetter"/>
        <w:lvlText w:val="%2."/>
        <w:lvlJc w:val="left"/>
        <w:pPr>
          <w:tabs>
            <w:tab w:val="num" w:pos="1440"/>
          </w:tabs>
          <w:ind w:left="1440" w:hanging="360"/>
        </w:pPr>
        <w:rPr>
          <w:rFonts w:hint="default"/>
        </w:rPr>
      </w:lvl>
    </w:lvlOverride>
    <w:lvlOverride w:ilvl="2">
      <w:lvl w:ilvl="2">
        <w:start w:val="1"/>
        <w:numFmt w:val="lowerRoman"/>
        <w:lvlText w:val="%3."/>
        <w:lvlJc w:val="right"/>
        <w:pPr>
          <w:tabs>
            <w:tab w:val="num" w:pos="2160"/>
          </w:tabs>
          <w:ind w:left="2160" w:hanging="180"/>
        </w:pPr>
        <w:rPr>
          <w:rFonts w:hint="default"/>
        </w:rPr>
      </w:lvl>
    </w:lvlOverride>
    <w:lvlOverride w:ilvl="3">
      <w:lvl w:ilvl="3">
        <w:start w:val="1"/>
        <w:numFmt w:val="decimal"/>
        <w:lvlText w:val="%4."/>
        <w:lvlJc w:val="left"/>
        <w:pPr>
          <w:tabs>
            <w:tab w:val="num" w:pos="2880"/>
          </w:tabs>
          <w:ind w:left="2880" w:hanging="360"/>
        </w:pPr>
        <w:rPr>
          <w:rFonts w:hint="default"/>
        </w:rPr>
      </w:lvl>
    </w:lvlOverride>
    <w:lvlOverride w:ilvl="4">
      <w:lvl w:ilvl="4">
        <w:start w:val="1"/>
        <w:numFmt w:val="lowerLetter"/>
        <w:lvlText w:val="%5."/>
        <w:lvlJc w:val="left"/>
        <w:pPr>
          <w:tabs>
            <w:tab w:val="num" w:pos="3600"/>
          </w:tabs>
          <w:ind w:left="3600" w:hanging="360"/>
        </w:pPr>
        <w:rPr>
          <w:rFonts w:hint="default"/>
        </w:rPr>
      </w:lvl>
    </w:lvlOverride>
    <w:lvlOverride w:ilvl="5">
      <w:lvl w:ilvl="5">
        <w:start w:val="1"/>
        <w:numFmt w:val="lowerRoman"/>
        <w:lvlText w:val="%6."/>
        <w:lvlJc w:val="right"/>
        <w:pPr>
          <w:tabs>
            <w:tab w:val="num" w:pos="4320"/>
          </w:tabs>
          <w:ind w:left="4320" w:hanging="180"/>
        </w:pPr>
        <w:rPr>
          <w:rFonts w:hint="default"/>
        </w:rPr>
      </w:lvl>
    </w:lvlOverride>
    <w:lvlOverride w:ilvl="6">
      <w:lvl w:ilvl="6">
        <w:start w:val="1"/>
        <w:numFmt w:val="decimal"/>
        <w:lvlText w:val="%7."/>
        <w:lvlJc w:val="left"/>
        <w:pPr>
          <w:tabs>
            <w:tab w:val="num" w:pos="5040"/>
          </w:tabs>
          <w:ind w:left="5040" w:hanging="360"/>
        </w:pPr>
        <w:rPr>
          <w:rFonts w:hint="default"/>
        </w:rPr>
      </w:lvl>
    </w:lvlOverride>
    <w:lvlOverride w:ilvl="7">
      <w:lvl w:ilvl="7">
        <w:start w:val="1"/>
        <w:numFmt w:val="lowerLetter"/>
        <w:lvlText w:val="%8."/>
        <w:lvlJc w:val="left"/>
        <w:pPr>
          <w:tabs>
            <w:tab w:val="num" w:pos="5760"/>
          </w:tabs>
          <w:ind w:left="5760" w:hanging="360"/>
        </w:pPr>
        <w:rPr>
          <w:rFonts w:hint="default"/>
        </w:rPr>
      </w:lvl>
    </w:lvlOverride>
    <w:lvlOverride w:ilvl="8">
      <w:lvl w:ilvl="8">
        <w:start w:val="1"/>
        <w:numFmt w:val="lowerRoman"/>
        <w:lvlText w:val="%9."/>
        <w:lvlJc w:val="right"/>
        <w:pPr>
          <w:tabs>
            <w:tab w:val="num" w:pos="6480"/>
          </w:tabs>
          <w:ind w:left="6480" w:hanging="180"/>
        </w:pPr>
        <w:rPr>
          <w:rFonts w:hint="default"/>
        </w:rPr>
      </w:lvl>
    </w:lvlOverride>
  </w:num>
  <w:num w:numId="56">
    <w:abstractNumId w:val="47"/>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embedSystemFonts/>
  <w:hideGrammaticalErrors/>
  <w:stylePaneFormatFilter w:val="1D28" w:allStyles="0" w:customStyles="0" w:latentStyles="0" w:stylesInUse="1" w:headingStyles="1" w:numberingStyles="0" w:tableStyles="0" w:directFormattingOnRuns="1" w:directFormattingOnParagraphs="0" w:directFormattingOnNumbering="1" w:directFormattingOnTables="1" w:clearFormatting="1" w:top3HeadingStyles="0" w:visibleStyles="0" w:alternateStyleNames="0"/>
  <w:defaultTabStop w:val="1474"/>
  <w:hyphenationZone w:val="425"/>
  <w:doNotHyphenateCaps/>
  <w:drawingGridHorizontalSpacing w:val="100"/>
  <w:displayHorizontalDrawingGridEvery w:val="0"/>
  <w:displayVerticalDrawingGridEvery w:val="0"/>
  <w:characterSpacingControl w:val="doNotCompress"/>
  <w:doNotValidateAgainstSchema/>
  <w:doNotDemarcateInvalidXml/>
  <w:hdrShapeDefaults>
    <o:shapedefaults v:ext="edit" spidmax="39937"/>
  </w:hdrShapeDefaults>
  <w:footnotePr>
    <w:numRestart w:val="eachSec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6AB5"/>
    <w:rsid w:val="000000A8"/>
    <w:rsid w:val="000000FF"/>
    <w:rsid w:val="00000A8F"/>
    <w:rsid w:val="000011CA"/>
    <w:rsid w:val="000012B2"/>
    <w:rsid w:val="000016F1"/>
    <w:rsid w:val="000017B5"/>
    <w:rsid w:val="00001A51"/>
    <w:rsid w:val="00001F2E"/>
    <w:rsid w:val="0000200C"/>
    <w:rsid w:val="0000220C"/>
    <w:rsid w:val="000029E1"/>
    <w:rsid w:val="00002AC0"/>
    <w:rsid w:val="00002EA8"/>
    <w:rsid w:val="000033E2"/>
    <w:rsid w:val="000037FF"/>
    <w:rsid w:val="00003BCB"/>
    <w:rsid w:val="00003D7E"/>
    <w:rsid w:val="000040F9"/>
    <w:rsid w:val="000044EB"/>
    <w:rsid w:val="000048BC"/>
    <w:rsid w:val="00004A5D"/>
    <w:rsid w:val="0000527B"/>
    <w:rsid w:val="00005A28"/>
    <w:rsid w:val="0000626D"/>
    <w:rsid w:val="000063EC"/>
    <w:rsid w:val="00006BAA"/>
    <w:rsid w:val="00006C1F"/>
    <w:rsid w:val="00007179"/>
    <w:rsid w:val="000077C7"/>
    <w:rsid w:val="00007CE2"/>
    <w:rsid w:val="00007F7B"/>
    <w:rsid w:val="0001006C"/>
    <w:rsid w:val="000102A5"/>
    <w:rsid w:val="000103BA"/>
    <w:rsid w:val="000104F5"/>
    <w:rsid w:val="000105D7"/>
    <w:rsid w:val="000106F3"/>
    <w:rsid w:val="0001078D"/>
    <w:rsid w:val="00010CF3"/>
    <w:rsid w:val="00010E09"/>
    <w:rsid w:val="00011091"/>
    <w:rsid w:val="000110C3"/>
    <w:rsid w:val="000110D5"/>
    <w:rsid w:val="00011308"/>
    <w:rsid w:val="00011841"/>
    <w:rsid w:val="00011EDB"/>
    <w:rsid w:val="0001232B"/>
    <w:rsid w:val="00012FB5"/>
    <w:rsid w:val="000133D3"/>
    <w:rsid w:val="0001349C"/>
    <w:rsid w:val="00013995"/>
    <w:rsid w:val="00013D62"/>
    <w:rsid w:val="00013EE5"/>
    <w:rsid w:val="00014064"/>
    <w:rsid w:val="0001420A"/>
    <w:rsid w:val="00014C7B"/>
    <w:rsid w:val="00015828"/>
    <w:rsid w:val="00015AEB"/>
    <w:rsid w:val="00015C0D"/>
    <w:rsid w:val="00015C9B"/>
    <w:rsid w:val="00015FC8"/>
    <w:rsid w:val="00016054"/>
    <w:rsid w:val="000160F9"/>
    <w:rsid w:val="000161FA"/>
    <w:rsid w:val="00016232"/>
    <w:rsid w:val="000164EA"/>
    <w:rsid w:val="000165E4"/>
    <w:rsid w:val="00016C73"/>
    <w:rsid w:val="00017D98"/>
    <w:rsid w:val="000200CF"/>
    <w:rsid w:val="0002017F"/>
    <w:rsid w:val="0002021E"/>
    <w:rsid w:val="0002031D"/>
    <w:rsid w:val="00020908"/>
    <w:rsid w:val="0002090D"/>
    <w:rsid w:val="00020BD2"/>
    <w:rsid w:val="000212F1"/>
    <w:rsid w:val="00021ACA"/>
    <w:rsid w:val="00021F6B"/>
    <w:rsid w:val="000222D6"/>
    <w:rsid w:val="00023137"/>
    <w:rsid w:val="0002321C"/>
    <w:rsid w:val="00023698"/>
    <w:rsid w:val="000236BF"/>
    <w:rsid w:val="000247B7"/>
    <w:rsid w:val="00024F72"/>
    <w:rsid w:val="0002513F"/>
    <w:rsid w:val="00025574"/>
    <w:rsid w:val="000256BA"/>
    <w:rsid w:val="00025C71"/>
    <w:rsid w:val="00025CC3"/>
    <w:rsid w:val="00025D2F"/>
    <w:rsid w:val="00025E3B"/>
    <w:rsid w:val="00026072"/>
    <w:rsid w:val="00026107"/>
    <w:rsid w:val="00026115"/>
    <w:rsid w:val="00026126"/>
    <w:rsid w:val="000266AC"/>
    <w:rsid w:val="0002675D"/>
    <w:rsid w:val="0002694A"/>
    <w:rsid w:val="00026A4E"/>
    <w:rsid w:val="00026C42"/>
    <w:rsid w:val="00026E8E"/>
    <w:rsid w:val="000270A7"/>
    <w:rsid w:val="00027550"/>
    <w:rsid w:val="0002774A"/>
    <w:rsid w:val="00027B87"/>
    <w:rsid w:val="00027CBF"/>
    <w:rsid w:val="00027FF2"/>
    <w:rsid w:val="0003014D"/>
    <w:rsid w:val="000301E4"/>
    <w:rsid w:val="000303B8"/>
    <w:rsid w:val="00030D04"/>
    <w:rsid w:val="00030F98"/>
    <w:rsid w:val="00031020"/>
    <w:rsid w:val="00031026"/>
    <w:rsid w:val="0003203F"/>
    <w:rsid w:val="00032832"/>
    <w:rsid w:val="00032833"/>
    <w:rsid w:val="00032F24"/>
    <w:rsid w:val="000332DC"/>
    <w:rsid w:val="00033684"/>
    <w:rsid w:val="000336E8"/>
    <w:rsid w:val="00033965"/>
    <w:rsid w:val="00033B79"/>
    <w:rsid w:val="00033E74"/>
    <w:rsid w:val="000340E7"/>
    <w:rsid w:val="00034184"/>
    <w:rsid w:val="0003460F"/>
    <w:rsid w:val="00034C2F"/>
    <w:rsid w:val="00035018"/>
    <w:rsid w:val="00035B8B"/>
    <w:rsid w:val="00035D7A"/>
    <w:rsid w:val="00035FC4"/>
    <w:rsid w:val="00036568"/>
    <w:rsid w:val="000368B2"/>
    <w:rsid w:val="000369F2"/>
    <w:rsid w:val="00036AA6"/>
    <w:rsid w:val="00036C57"/>
    <w:rsid w:val="00036F47"/>
    <w:rsid w:val="000375D8"/>
    <w:rsid w:val="00037926"/>
    <w:rsid w:val="000379CB"/>
    <w:rsid w:val="00037A02"/>
    <w:rsid w:val="00037A5E"/>
    <w:rsid w:val="00037B53"/>
    <w:rsid w:val="00037FC4"/>
    <w:rsid w:val="0004008E"/>
    <w:rsid w:val="00040508"/>
    <w:rsid w:val="00040961"/>
    <w:rsid w:val="00040AA9"/>
    <w:rsid w:val="00040CC8"/>
    <w:rsid w:val="00040FF9"/>
    <w:rsid w:val="0004154B"/>
    <w:rsid w:val="00041FA8"/>
    <w:rsid w:val="00042163"/>
    <w:rsid w:val="000429C2"/>
    <w:rsid w:val="00042AE9"/>
    <w:rsid w:val="00042C02"/>
    <w:rsid w:val="00042C48"/>
    <w:rsid w:val="00043156"/>
    <w:rsid w:val="0004337D"/>
    <w:rsid w:val="00043901"/>
    <w:rsid w:val="00043961"/>
    <w:rsid w:val="000439B8"/>
    <w:rsid w:val="00043F34"/>
    <w:rsid w:val="00044088"/>
    <w:rsid w:val="000451A2"/>
    <w:rsid w:val="000458D5"/>
    <w:rsid w:val="00045A99"/>
    <w:rsid w:val="00045B9A"/>
    <w:rsid w:val="00045C15"/>
    <w:rsid w:val="00045DE3"/>
    <w:rsid w:val="00045E2F"/>
    <w:rsid w:val="000463F1"/>
    <w:rsid w:val="000464FD"/>
    <w:rsid w:val="00046BD7"/>
    <w:rsid w:val="000472FA"/>
    <w:rsid w:val="00047E20"/>
    <w:rsid w:val="00050179"/>
    <w:rsid w:val="0005037F"/>
    <w:rsid w:val="00050706"/>
    <w:rsid w:val="000509E7"/>
    <w:rsid w:val="00050AFB"/>
    <w:rsid w:val="00050B85"/>
    <w:rsid w:val="00050D4C"/>
    <w:rsid w:val="000510C0"/>
    <w:rsid w:val="00051253"/>
    <w:rsid w:val="0005147D"/>
    <w:rsid w:val="000514EB"/>
    <w:rsid w:val="000517EA"/>
    <w:rsid w:val="000519D2"/>
    <w:rsid w:val="000520BD"/>
    <w:rsid w:val="000528A6"/>
    <w:rsid w:val="000529F6"/>
    <w:rsid w:val="00053330"/>
    <w:rsid w:val="00053473"/>
    <w:rsid w:val="00053510"/>
    <w:rsid w:val="00053725"/>
    <w:rsid w:val="00053788"/>
    <w:rsid w:val="00053A10"/>
    <w:rsid w:val="00053AE4"/>
    <w:rsid w:val="00054533"/>
    <w:rsid w:val="0005479C"/>
    <w:rsid w:val="00054A3C"/>
    <w:rsid w:val="00054DE3"/>
    <w:rsid w:val="00054DF0"/>
    <w:rsid w:val="00054E22"/>
    <w:rsid w:val="0005507B"/>
    <w:rsid w:val="000551D7"/>
    <w:rsid w:val="00055A63"/>
    <w:rsid w:val="00055E6A"/>
    <w:rsid w:val="00056199"/>
    <w:rsid w:val="00056432"/>
    <w:rsid w:val="00056697"/>
    <w:rsid w:val="00056797"/>
    <w:rsid w:val="00056EA9"/>
    <w:rsid w:val="00056EE8"/>
    <w:rsid w:val="00056F5B"/>
    <w:rsid w:val="00057142"/>
    <w:rsid w:val="000574E3"/>
    <w:rsid w:val="000602C1"/>
    <w:rsid w:val="0006076F"/>
    <w:rsid w:val="00060F7C"/>
    <w:rsid w:val="00061406"/>
    <w:rsid w:val="00061620"/>
    <w:rsid w:val="000616F7"/>
    <w:rsid w:val="00061961"/>
    <w:rsid w:val="00061A06"/>
    <w:rsid w:val="00061C26"/>
    <w:rsid w:val="000620CC"/>
    <w:rsid w:val="0006282C"/>
    <w:rsid w:val="00062AA6"/>
    <w:rsid w:val="00062D26"/>
    <w:rsid w:val="000638E4"/>
    <w:rsid w:val="00064022"/>
    <w:rsid w:val="000640A0"/>
    <w:rsid w:val="000641AA"/>
    <w:rsid w:val="0006549E"/>
    <w:rsid w:val="00066168"/>
    <w:rsid w:val="00066458"/>
    <w:rsid w:val="00066554"/>
    <w:rsid w:val="0006690F"/>
    <w:rsid w:val="00067062"/>
    <w:rsid w:val="00067542"/>
    <w:rsid w:val="0007006C"/>
    <w:rsid w:val="000706C6"/>
    <w:rsid w:val="00070782"/>
    <w:rsid w:val="000709C1"/>
    <w:rsid w:val="000713AE"/>
    <w:rsid w:val="000715F8"/>
    <w:rsid w:val="000717DC"/>
    <w:rsid w:val="000719C1"/>
    <w:rsid w:val="00071B06"/>
    <w:rsid w:val="0007231E"/>
    <w:rsid w:val="00072613"/>
    <w:rsid w:val="00072C61"/>
    <w:rsid w:val="00072DF3"/>
    <w:rsid w:val="0007334E"/>
    <w:rsid w:val="00073357"/>
    <w:rsid w:val="0007357B"/>
    <w:rsid w:val="000735F2"/>
    <w:rsid w:val="0007360C"/>
    <w:rsid w:val="000737A6"/>
    <w:rsid w:val="0007407F"/>
    <w:rsid w:val="00074081"/>
    <w:rsid w:val="00074680"/>
    <w:rsid w:val="00074C87"/>
    <w:rsid w:val="00074D8E"/>
    <w:rsid w:val="00074DE7"/>
    <w:rsid w:val="00074FCC"/>
    <w:rsid w:val="00075936"/>
    <w:rsid w:val="00075ACE"/>
    <w:rsid w:val="00076571"/>
    <w:rsid w:val="00076CCE"/>
    <w:rsid w:val="000770F5"/>
    <w:rsid w:val="000775F2"/>
    <w:rsid w:val="000777A9"/>
    <w:rsid w:val="0007790B"/>
    <w:rsid w:val="00077B72"/>
    <w:rsid w:val="00081035"/>
    <w:rsid w:val="000810F3"/>
    <w:rsid w:val="0008118B"/>
    <w:rsid w:val="00081389"/>
    <w:rsid w:val="00081569"/>
    <w:rsid w:val="00081772"/>
    <w:rsid w:val="00081B1F"/>
    <w:rsid w:val="00081C32"/>
    <w:rsid w:val="000820E8"/>
    <w:rsid w:val="000825FC"/>
    <w:rsid w:val="0008266D"/>
    <w:rsid w:val="00082823"/>
    <w:rsid w:val="00082B39"/>
    <w:rsid w:val="00083080"/>
    <w:rsid w:val="00083330"/>
    <w:rsid w:val="00083A7E"/>
    <w:rsid w:val="00084683"/>
    <w:rsid w:val="000847E3"/>
    <w:rsid w:val="00084DB9"/>
    <w:rsid w:val="00084F94"/>
    <w:rsid w:val="00085DE4"/>
    <w:rsid w:val="00085F08"/>
    <w:rsid w:val="00085F76"/>
    <w:rsid w:val="000862BC"/>
    <w:rsid w:val="00086DE4"/>
    <w:rsid w:val="0008727F"/>
    <w:rsid w:val="000872B7"/>
    <w:rsid w:val="0008730B"/>
    <w:rsid w:val="00087315"/>
    <w:rsid w:val="00087722"/>
    <w:rsid w:val="00087A50"/>
    <w:rsid w:val="00087F99"/>
    <w:rsid w:val="00087FBB"/>
    <w:rsid w:val="000901FE"/>
    <w:rsid w:val="000905ED"/>
    <w:rsid w:val="000906F2"/>
    <w:rsid w:val="00090800"/>
    <w:rsid w:val="000908CA"/>
    <w:rsid w:val="00090D45"/>
    <w:rsid w:val="000910EE"/>
    <w:rsid w:val="00091617"/>
    <w:rsid w:val="00091ADF"/>
    <w:rsid w:val="00091EC9"/>
    <w:rsid w:val="00092125"/>
    <w:rsid w:val="000922FA"/>
    <w:rsid w:val="000924C4"/>
    <w:rsid w:val="000928FD"/>
    <w:rsid w:val="00092B5E"/>
    <w:rsid w:val="00092E44"/>
    <w:rsid w:val="000934A7"/>
    <w:rsid w:val="00093A39"/>
    <w:rsid w:val="00093B35"/>
    <w:rsid w:val="00093EB7"/>
    <w:rsid w:val="00093FF4"/>
    <w:rsid w:val="0009493E"/>
    <w:rsid w:val="00095069"/>
    <w:rsid w:val="0009528C"/>
    <w:rsid w:val="000956BC"/>
    <w:rsid w:val="0009585A"/>
    <w:rsid w:val="0009586F"/>
    <w:rsid w:val="00095B22"/>
    <w:rsid w:val="00095DE9"/>
    <w:rsid w:val="00096321"/>
    <w:rsid w:val="0009637E"/>
    <w:rsid w:val="0009644B"/>
    <w:rsid w:val="00096851"/>
    <w:rsid w:val="00096E87"/>
    <w:rsid w:val="000972BF"/>
    <w:rsid w:val="000974DB"/>
    <w:rsid w:val="000976C4"/>
    <w:rsid w:val="00097704"/>
    <w:rsid w:val="0009789D"/>
    <w:rsid w:val="000979E2"/>
    <w:rsid w:val="00097AE4"/>
    <w:rsid w:val="00097F27"/>
    <w:rsid w:val="00097F66"/>
    <w:rsid w:val="000A0016"/>
    <w:rsid w:val="000A0AF4"/>
    <w:rsid w:val="000A141B"/>
    <w:rsid w:val="000A1DF9"/>
    <w:rsid w:val="000A203A"/>
    <w:rsid w:val="000A239D"/>
    <w:rsid w:val="000A29A7"/>
    <w:rsid w:val="000A3440"/>
    <w:rsid w:val="000A3A9A"/>
    <w:rsid w:val="000A3D70"/>
    <w:rsid w:val="000A439F"/>
    <w:rsid w:val="000A4B65"/>
    <w:rsid w:val="000A4DAD"/>
    <w:rsid w:val="000A4E60"/>
    <w:rsid w:val="000A4E8E"/>
    <w:rsid w:val="000A5100"/>
    <w:rsid w:val="000A5147"/>
    <w:rsid w:val="000A561C"/>
    <w:rsid w:val="000A5CA3"/>
    <w:rsid w:val="000A6204"/>
    <w:rsid w:val="000A629D"/>
    <w:rsid w:val="000A6309"/>
    <w:rsid w:val="000A6384"/>
    <w:rsid w:val="000A64B7"/>
    <w:rsid w:val="000A651F"/>
    <w:rsid w:val="000A667F"/>
    <w:rsid w:val="000A6827"/>
    <w:rsid w:val="000A7420"/>
    <w:rsid w:val="000A7799"/>
    <w:rsid w:val="000A79B2"/>
    <w:rsid w:val="000A7A86"/>
    <w:rsid w:val="000A7F02"/>
    <w:rsid w:val="000B02AC"/>
    <w:rsid w:val="000B0809"/>
    <w:rsid w:val="000B0C44"/>
    <w:rsid w:val="000B0F78"/>
    <w:rsid w:val="000B13CD"/>
    <w:rsid w:val="000B172B"/>
    <w:rsid w:val="000B1884"/>
    <w:rsid w:val="000B194A"/>
    <w:rsid w:val="000B1C58"/>
    <w:rsid w:val="000B219A"/>
    <w:rsid w:val="000B28F6"/>
    <w:rsid w:val="000B2A02"/>
    <w:rsid w:val="000B3070"/>
    <w:rsid w:val="000B3EE7"/>
    <w:rsid w:val="000B4A8F"/>
    <w:rsid w:val="000B4B4F"/>
    <w:rsid w:val="000B4F48"/>
    <w:rsid w:val="000B4F81"/>
    <w:rsid w:val="000B4FD9"/>
    <w:rsid w:val="000B5776"/>
    <w:rsid w:val="000B5C56"/>
    <w:rsid w:val="000B5EC1"/>
    <w:rsid w:val="000B5F67"/>
    <w:rsid w:val="000B691F"/>
    <w:rsid w:val="000B6A7F"/>
    <w:rsid w:val="000B6FBE"/>
    <w:rsid w:val="000B70B4"/>
    <w:rsid w:val="000B7578"/>
    <w:rsid w:val="000B78A6"/>
    <w:rsid w:val="000B7ADB"/>
    <w:rsid w:val="000B7E8A"/>
    <w:rsid w:val="000C00EE"/>
    <w:rsid w:val="000C03DD"/>
    <w:rsid w:val="000C079E"/>
    <w:rsid w:val="000C0B26"/>
    <w:rsid w:val="000C1640"/>
    <w:rsid w:val="000C25C0"/>
    <w:rsid w:val="000C266F"/>
    <w:rsid w:val="000C2BC6"/>
    <w:rsid w:val="000C319C"/>
    <w:rsid w:val="000C34A8"/>
    <w:rsid w:val="000C353F"/>
    <w:rsid w:val="000C3781"/>
    <w:rsid w:val="000C3950"/>
    <w:rsid w:val="000C4184"/>
    <w:rsid w:val="000C439A"/>
    <w:rsid w:val="000C446A"/>
    <w:rsid w:val="000C482C"/>
    <w:rsid w:val="000C49E7"/>
    <w:rsid w:val="000C4E95"/>
    <w:rsid w:val="000C5063"/>
    <w:rsid w:val="000C5838"/>
    <w:rsid w:val="000C5897"/>
    <w:rsid w:val="000C5A9A"/>
    <w:rsid w:val="000C5E38"/>
    <w:rsid w:val="000C6305"/>
    <w:rsid w:val="000C6714"/>
    <w:rsid w:val="000C6745"/>
    <w:rsid w:val="000C675A"/>
    <w:rsid w:val="000C72FD"/>
    <w:rsid w:val="000C756E"/>
    <w:rsid w:val="000C77CB"/>
    <w:rsid w:val="000C7870"/>
    <w:rsid w:val="000C7AA1"/>
    <w:rsid w:val="000C7DCC"/>
    <w:rsid w:val="000C7E23"/>
    <w:rsid w:val="000C7E46"/>
    <w:rsid w:val="000C7FA8"/>
    <w:rsid w:val="000D0611"/>
    <w:rsid w:val="000D06E8"/>
    <w:rsid w:val="000D07D8"/>
    <w:rsid w:val="000D0916"/>
    <w:rsid w:val="000D0EC5"/>
    <w:rsid w:val="000D0F67"/>
    <w:rsid w:val="000D1227"/>
    <w:rsid w:val="000D138E"/>
    <w:rsid w:val="000D140A"/>
    <w:rsid w:val="000D1C06"/>
    <w:rsid w:val="000D1C15"/>
    <w:rsid w:val="000D1F4D"/>
    <w:rsid w:val="000D208C"/>
    <w:rsid w:val="000D240D"/>
    <w:rsid w:val="000D4710"/>
    <w:rsid w:val="000D5265"/>
    <w:rsid w:val="000D5507"/>
    <w:rsid w:val="000D55B4"/>
    <w:rsid w:val="000D56A8"/>
    <w:rsid w:val="000D5C52"/>
    <w:rsid w:val="000D5D5C"/>
    <w:rsid w:val="000D5D81"/>
    <w:rsid w:val="000D6539"/>
    <w:rsid w:val="000D6B7C"/>
    <w:rsid w:val="000D6BA1"/>
    <w:rsid w:val="000D741F"/>
    <w:rsid w:val="000D74CA"/>
    <w:rsid w:val="000D7617"/>
    <w:rsid w:val="000D7B1C"/>
    <w:rsid w:val="000D7C1A"/>
    <w:rsid w:val="000E01D6"/>
    <w:rsid w:val="000E0340"/>
    <w:rsid w:val="000E0783"/>
    <w:rsid w:val="000E0AAD"/>
    <w:rsid w:val="000E111C"/>
    <w:rsid w:val="000E118C"/>
    <w:rsid w:val="000E1429"/>
    <w:rsid w:val="000E15DB"/>
    <w:rsid w:val="000E1DFD"/>
    <w:rsid w:val="000E2183"/>
    <w:rsid w:val="000E2194"/>
    <w:rsid w:val="000E234F"/>
    <w:rsid w:val="000E2397"/>
    <w:rsid w:val="000E282A"/>
    <w:rsid w:val="000E2BE6"/>
    <w:rsid w:val="000E2D7A"/>
    <w:rsid w:val="000E2FF5"/>
    <w:rsid w:val="000E309F"/>
    <w:rsid w:val="000E36E4"/>
    <w:rsid w:val="000E3A9C"/>
    <w:rsid w:val="000E3C57"/>
    <w:rsid w:val="000E3D58"/>
    <w:rsid w:val="000E3D93"/>
    <w:rsid w:val="000E3F92"/>
    <w:rsid w:val="000E40CD"/>
    <w:rsid w:val="000E421C"/>
    <w:rsid w:val="000E442F"/>
    <w:rsid w:val="000E44D6"/>
    <w:rsid w:val="000E4601"/>
    <w:rsid w:val="000E4685"/>
    <w:rsid w:val="000E4C71"/>
    <w:rsid w:val="000E50E8"/>
    <w:rsid w:val="000E5AB4"/>
    <w:rsid w:val="000E5DA1"/>
    <w:rsid w:val="000E6239"/>
    <w:rsid w:val="000E67B2"/>
    <w:rsid w:val="000E6F0D"/>
    <w:rsid w:val="000E6F2E"/>
    <w:rsid w:val="000E6FE3"/>
    <w:rsid w:val="000E70EA"/>
    <w:rsid w:val="000E73BB"/>
    <w:rsid w:val="000E73D5"/>
    <w:rsid w:val="000E7631"/>
    <w:rsid w:val="000E76EC"/>
    <w:rsid w:val="000F0500"/>
    <w:rsid w:val="000F0A0C"/>
    <w:rsid w:val="000F0CBD"/>
    <w:rsid w:val="000F0CDC"/>
    <w:rsid w:val="000F0D4C"/>
    <w:rsid w:val="000F16CA"/>
    <w:rsid w:val="000F1781"/>
    <w:rsid w:val="000F19AB"/>
    <w:rsid w:val="000F1ADE"/>
    <w:rsid w:val="000F1D14"/>
    <w:rsid w:val="000F1F2D"/>
    <w:rsid w:val="000F27A4"/>
    <w:rsid w:val="000F2822"/>
    <w:rsid w:val="000F3039"/>
    <w:rsid w:val="000F32FB"/>
    <w:rsid w:val="000F3474"/>
    <w:rsid w:val="000F351D"/>
    <w:rsid w:val="000F37A3"/>
    <w:rsid w:val="000F3AF2"/>
    <w:rsid w:val="000F3B9C"/>
    <w:rsid w:val="000F462A"/>
    <w:rsid w:val="000F4977"/>
    <w:rsid w:val="000F4BC9"/>
    <w:rsid w:val="000F4BF5"/>
    <w:rsid w:val="000F4F1F"/>
    <w:rsid w:val="000F5225"/>
    <w:rsid w:val="000F52D9"/>
    <w:rsid w:val="000F5535"/>
    <w:rsid w:val="000F55EC"/>
    <w:rsid w:val="000F5D5D"/>
    <w:rsid w:val="000F69FB"/>
    <w:rsid w:val="000F6F67"/>
    <w:rsid w:val="000F76CF"/>
    <w:rsid w:val="000F7963"/>
    <w:rsid w:val="000F79E1"/>
    <w:rsid w:val="000F7DD6"/>
    <w:rsid w:val="000F7EA8"/>
    <w:rsid w:val="001001DD"/>
    <w:rsid w:val="00100299"/>
    <w:rsid w:val="00100571"/>
    <w:rsid w:val="00100D3E"/>
    <w:rsid w:val="00101068"/>
    <w:rsid w:val="00101385"/>
    <w:rsid w:val="00101573"/>
    <w:rsid w:val="001016ED"/>
    <w:rsid w:val="00101A44"/>
    <w:rsid w:val="00102240"/>
    <w:rsid w:val="00102454"/>
    <w:rsid w:val="001028B2"/>
    <w:rsid w:val="00102A62"/>
    <w:rsid w:val="00102ED8"/>
    <w:rsid w:val="00103015"/>
    <w:rsid w:val="00103084"/>
    <w:rsid w:val="00103524"/>
    <w:rsid w:val="00103D0F"/>
    <w:rsid w:val="001040B5"/>
    <w:rsid w:val="00104286"/>
    <w:rsid w:val="00104561"/>
    <w:rsid w:val="00105343"/>
    <w:rsid w:val="001056CE"/>
    <w:rsid w:val="001059BB"/>
    <w:rsid w:val="001059F4"/>
    <w:rsid w:val="001065DF"/>
    <w:rsid w:val="0010751E"/>
    <w:rsid w:val="00107BC6"/>
    <w:rsid w:val="00107C34"/>
    <w:rsid w:val="00110372"/>
    <w:rsid w:val="00110455"/>
    <w:rsid w:val="00110EC7"/>
    <w:rsid w:val="0011154F"/>
    <w:rsid w:val="001118FF"/>
    <w:rsid w:val="00111A46"/>
    <w:rsid w:val="00111FD6"/>
    <w:rsid w:val="001120D7"/>
    <w:rsid w:val="00112480"/>
    <w:rsid w:val="001128D9"/>
    <w:rsid w:val="00112C81"/>
    <w:rsid w:val="00112FC5"/>
    <w:rsid w:val="001130CC"/>
    <w:rsid w:val="00113177"/>
    <w:rsid w:val="00113B6D"/>
    <w:rsid w:val="00114245"/>
    <w:rsid w:val="001143B9"/>
    <w:rsid w:val="00114B5B"/>
    <w:rsid w:val="00114D4F"/>
    <w:rsid w:val="0011512B"/>
    <w:rsid w:val="001156B1"/>
    <w:rsid w:val="001158A3"/>
    <w:rsid w:val="00115BB5"/>
    <w:rsid w:val="00115EF6"/>
    <w:rsid w:val="001165EB"/>
    <w:rsid w:val="00116CA0"/>
    <w:rsid w:val="00117002"/>
    <w:rsid w:val="00117675"/>
    <w:rsid w:val="00117967"/>
    <w:rsid w:val="001179FC"/>
    <w:rsid w:val="00117F54"/>
    <w:rsid w:val="0012040E"/>
    <w:rsid w:val="001204B3"/>
    <w:rsid w:val="00120D9F"/>
    <w:rsid w:val="0012129F"/>
    <w:rsid w:val="00121475"/>
    <w:rsid w:val="0012166F"/>
    <w:rsid w:val="001217D3"/>
    <w:rsid w:val="0012181C"/>
    <w:rsid w:val="001218EC"/>
    <w:rsid w:val="00121990"/>
    <w:rsid w:val="001219D5"/>
    <w:rsid w:val="001223F6"/>
    <w:rsid w:val="00122699"/>
    <w:rsid w:val="00122CED"/>
    <w:rsid w:val="00122E17"/>
    <w:rsid w:val="00123D80"/>
    <w:rsid w:val="00124753"/>
    <w:rsid w:val="00124821"/>
    <w:rsid w:val="00124A5E"/>
    <w:rsid w:val="00124A9E"/>
    <w:rsid w:val="00124CEC"/>
    <w:rsid w:val="00125131"/>
    <w:rsid w:val="00125E6F"/>
    <w:rsid w:val="00126203"/>
    <w:rsid w:val="001265D7"/>
    <w:rsid w:val="001266C3"/>
    <w:rsid w:val="00126817"/>
    <w:rsid w:val="00127ACB"/>
    <w:rsid w:val="00127CC6"/>
    <w:rsid w:val="00127EB3"/>
    <w:rsid w:val="0013005D"/>
    <w:rsid w:val="001302A1"/>
    <w:rsid w:val="001307F7"/>
    <w:rsid w:val="00130ACF"/>
    <w:rsid w:val="00130CA7"/>
    <w:rsid w:val="00131C66"/>
    <w:rsid w:val="00131D01"/>
    <w:rsid w:val="00131F89"/>
    <w:rsid w:val="0013212F"/>
    <w:rsid w:val="00132145"/>
    <w:rsid w:val="001326B0"/>
    <w:rsid w:val="00133289"/>
    <w:rsid w:val="0013358C"/>
    <w:rsid w:val="00133AA6"/>
    <w:rsid w:val="00133FA6"/>
    <w:rsid w:val="00133FC4"/>
    <w:rsid w:val="001343C7"/>
    <w:rsid w:val="00134907"/>
    <w:rsid w:val="00135308"/>
    <w:rsid w:val="00135387"/>
    <w:rsid w:val="00135742"/>
    <w:rsid w:val="001357B4"/>
    <w:rsid w:val="00135983"/>
    <w:rsid w:val="00135A07"/>
    <w:rsid w:val="00135BB1"/>
    <w:rsid w:val="001360B3"/>
    <w:rsid w:val="001368B8"/>
    <w:rsid w:val="001372A7"/>
    <w:rsid w:val="00137742"/>
    <w:rsid w:val="0013777D"/>
    <w:rsid w:val="00137833"/>
    <w:rsid w:val="00137CC8"/>
    <w:rsid w:val="00137D13"/>
    <w:rsid w:val="00137D15"/>
    <w:rsid w:val="001404A9"/>
    <w:rsid w:val="0014068D"/>
    <w:rsid w:val="00140A62"/>
    <w:rsid w:val="00140D80"/>
    <w:rsid w:val="00140E5F"/>
    <w:rsid w:val="00140E82"/>
    <w:rsid w:val="001410A9"/>
    <w:rsid w:val="001412C3"/>
    <w:rsid w:val="0014160C"/>
    <w:rsid w:val="00142697"/>
    <w:rsid w:val="00142754"/>
    <w:rsid w:val="00142774"/>
    <w:rsid w:val="00142B97"/>
    <w:rsid w:val="00142D48"/>
    <w:rsid w:val="00142D78"/>
    <w:rsid w:val="00142F48"/>
    <w:rsid w:val="00143294"/>
    <w:rsid w:val="00143BD8"/>
    <w:rsid w:val="00144162"/>
    <w:rsid w:val="001441E0"/>
    <w:rsid w:val="001445C9"/>
    <w:rsid w:val="00145067"/>
    <w:rsid w:val="0014646D"/>
    <w:rsid w:val="00146C57"/>
    <w:rsid w:val="00146F87"/>
    <w:rsid w:val="00147133"/>
    <w:rsid w:val="001473AF"/>
    <w:rsid w:val="00147893"/>
    <w:rsid w:val="00147C6F"/>
    <w:rsid w:val="001501A1"/>
    <w:rsid w:val="00150704"/>
    <w:rsid w:val="0015074C"/>
    <w:rsid w:val="00150873"/>
    <w:rsid w:val="00150BA0"/>
    <w:rsid w:val="00150D92"/>
    <w:rsid w:val="00150DF1"/>
    <w:rsid w:val="001513B1"/>
    <w:rsid w:val="001514AA"/>
    <w:rsid w:val="001514CA"/>
    <w:rsid w:val="00151573"/>
    <w:rsid w:val="00151B83"/>
    <w:rsid w:val="00151E4A"/>
    <w:rsid w:val="00152053"/>
    <w:rsid w:val="00152220"/>
    <w:rsid w:val="001523D6"/>
    <w:rsid w:val="0015248A"/>
    <w:rsid w:val="00152593"/>
    <w:rsid w:val="00152633"/>
    <w:rsid w:val="0015267F"/>
    <w:rsid w:val="00152890"/>
    <w:rsid w:val="00152B41"/>
    <w:rsid w:val="00152BCD"/>
    <w:rsid w:val="00152F5B"/>
    <w:rsid w:val="001532AA"/>
    <w:rsid w:val="00153404"/>
    <w:rsid w:val="00153497"/>
    <w:rsid w:val="00153BB1"/>
    <w:rsid w:val="00153BD1"/>
    <w:rsid w:val="00153DA3"/>
    <w:rsid w:val="00154123"/>
    <w:rsid w:val="0015476D"/>
    <w:rsid w:val="0015499D"/>
    <w:rsid w:val="00154CEB"/>
    <w:rsid w:val="0015515F"/>
    <w:rsid w:val="0015547A"/>
    <w:rsid w:val="00155735"/>
    <w:rsid w:val="00155D5E"/>
    <w:rsid w:val="00156828"/>
    <w:rsid w:val="00160077"/>
    <w:rsid w:val="001601F4"/>
    <w:rsid w:val="001602AC"/>
    <w:rsid w:val="0016040B"/>
    <w:rsid w:val="00160B83"/>
    <w:rsid w:val="00160D46"/>
    <w:rsid w:val="001617C4"/>
    <w:rsid w:val="0016180D"/>
    <w:rsid w:val="001619A7"/>
    <w:rsid w:val="00161B7C"/>
    <w:rsid w:val="00161E7F"/>
    <w:rsid w:val="0016211F"/>
    <w:rsid w:val="00162120"/>
    <w:rsid w:val="001628F7"/>
    <w:rsid w:val="00162E93"/>
    <w:rsid w:val="00163405"/>
    <w:rsid w:val="00164284"/>
    <w:rsid w:val="0016430E"/>
    <w:rsid w:val="00164430"/>
    <w:rsid w:val="001644A0"/>
    <w:rsid w:val="001650F0"/>
    <w:rsid w:val="001653D7"/>
    <w:rsid w:val="00165A5F"/>
    <w:rsid w:val="00165E89"/>
    <w:rsid w:val="00165F12"/>
    <w:rsid w:val="001665B1"/>
    <w:rsid w:val="00166764"/>
    <w:rsid w:val="00166A09"/>
    <w:rsid w:val="00166B4E"/>
    <w:rsid w:val="00166D16"/>
    <w:rsid w:val="0016721D"/>
    <w:rsid w:val="001673E3"/>
    <w:rsid w:val="00167475"/>
    <w:rsid w:val="00167D72"/>
    <w:rsid w:val="00167E7B"/>
    <w:rsid w:val="00167E98"/>
    <w:rsid w:val="00170085"/>
    <w:rsid w:val="001702CB"/>
    <w:rsid w:val="001702CF"/>
    <w:rsid w:val="00170869"/>
    <w:rsid w:val="00170A9A"/>
    <w:rsid w:val="00170C8E"/>
    <w:rsid w:val="00170D4F"/>
    <w:rsid w:val="00170F13"/>
    <w:rsid w:val="00171151"/>
    <w:rsid w:val="00171613"/>
    <w:rsid w:val="00171640"/>
    <w:rsid w:val="00171C25"/>
    <w:rsid w:val="00171CA0"/>
    <w:rsid w:val="001720ED"/>
    <w:rsid w:val="0017246C"/>
    <w:rsid w:val="00172910"/>
    <w:rsid w:val="00172B11"/>
    <w:rsid w:val="00172B13"/>
    <w:rsid w:val="00172CA1"/>
    <w:rsid w:val="0017339B"/>
    <w:rsid w:val="00173478"/>
    <w:rsid w:val="00173640"/>
    <w:rsid w:val="001737AA"/>
    <w:rsid w:val="00173944"/>
    <w:rsid w:val="00173B43"/>
    <w:rsid w:val="00173F76"/>
    <w:rsid w:val="00174204"/>
    <w:rsid w:val="001742BA"/>
    <w:rsid w:val="00175138"/>
    <w:rsid w:val="0017520C"/>
    <w:rsid w:val="00175476"/>
    <w:rsid w:val="001754C7"/>
    <w:rsid w:val="0017558B"/>
    <w:rsid w:val="001755F8"/>
    <w:rsid w:val="00175857"/>
    <w:rsid w:val="001758E7"/>
    <w:rsid w:val="001759EB"/>
    <w:rsid w:val="00175A1F"/>
    <w:rsid w:val="00175A5C"/>
    <w:rsid w:val="00175B1E"/>
    <w:rsid w:val="00175EE5"/>
    <w:rsid w:val="001762B8"/>
    <w:rsid w:val="00176CD9"/>
    <w:rsid w:val="00176D70"/>
    <w:rsid w:val="00176D94"/>
    <w:rsid w:val="00176E3B"/>
    <w:rsid w:val="0017770A"/>
    <w:rsid w:val="00177FB0"/>
    <w:rsid w:val="00180101"/>
    <w:rsid w:val="00180869"/>
    <w:rsid w:val="00180AEA"/>
    <w:rsid w:val="00180EB1"/>
    <w:rsid w:val="0018125D"/>
    <w:rsid w:val="001812AE"/>
    <w:rsid w:val="00181DD8"/>
    <w:rsid w:val="00181FAC"/>
    <w:rsid w:val="00182007"/>
    <w:rsid w:val="0018238E"/>
    <w:rsid w:val="001826C1"/>
    <w:rsid w:val="00182A40"/>
    <w:rsid w:val="00182B19"/>
    <w:rsid w:val="00182C72"/>
    <w:rsid w:val="00182F58"/>
    <w:rsid w:val="00183234"/>
    <w:rsid w:val="00183646"/>
    <w:rsid w:val="00183BEC"/>
    <w:rsid w:val="00183F88"/>
    <w:rsid w:val="00184113"/>
    <w:rsid w:val="00184569"/>
    <w:rsid w:val="0018464B"/>
    <w:rsid w:val="00184A58"/>
    <w:rsid w:val="00184CD2"/>
    <w:rsid w:val="00184E15"/>
    <w:rsid w:val="00184E8A"/>
    <w:rsid w:val="00185702"/>
    <w:rsid w:val="00186112"/>
    <w:rsid w:val="00186317"/>
    <w:rsid w:val="001864C9"/>
    <w:rsid w:val="0018651F"/>
    <w:rsid w:val="001866DE"/>
    <w:rsid w:val="0018691B"/>
    <w:rsid w:val="00186B0B"/>
    <w:rsid w:val="0018714E"/>
    <w:rsid w:val="0018751C"/>
    <w:rsid w:val="00187B05"/>
    <w:rsid w:val="00187D2B"/>
    <w:rsid w:val="00187EEC"/>
    <w:rsid w:val="001908DB"/>
    <w:rsid w:val="00190DFA"/>
    <w:rsid w:val="00191024"/>
    <w:rsid w:val="00191840"/>
    <w:rsid w:val="00191F1E"/>
    <w:rsid w:val="001920F7"/>
    <w:rsid w:val="00192FF1"/>
    <w:rsid w:val="00193041"/>
    <w:rsid w:val="00193423"/>
    <w:rsid w:val="001935FF"/>
    <w:rsid w:val="001937EF"/>
    <w:rsid w:val="00193D42"/>
    <w:rsid w:val="00194109"/>
    <w:rsid w:val="00194238"/>
    <w:rsid w:val="00194C00"/>
    <w:rsid w:val="00194D29"/>
    <w:rsid w:val="00194DC8"/>
    <w:rsid w:val="00195AE1"/>
    <w:rsid w:val="00195D28"/>
    <w:rsid w:val="00195F36"/>
    <w:rsid w:val="00195FDE"/>
    <w:rsid w:val="0019604E"/>
    <w:rsid w:val="001965F2"/>
    <w:rsid w:val="0019668F"/>
    <w:rsid w:val="0019684B"/>
    <w:rsid w:val="00196E81"/>
    <w:rsid w:val="001A0277"/>
    <w:rsid w:val="001A0553"/>
    <w:rsid w:val="001A0A4F"/>
    <w:rsid w:val="001A0AAA"/>
    <w:rsid w:val="001A0C07"/>
    <w:rsid w:val="001A10E2"/>
    <w:rsid w:val="001A15F9"/>
    <w:rsid w:val="001A196F"/>
    <w:rsid w:val="001A2CC7"/>
    <w:rsid w:val="001A2FDF"/>
    <w:rsid w:val="001A3147"/>
    <w:rsid w:val="001A3365"/>
    <w:rsid w:val="001A3864"/>
    <w:rsid w:val="001A404F"/>
    <w:rsid w:val="001A44C9"/>
    <w:rsid w:val="001A492D"/>
    <w:rsid w:val="001A495E"/>
    <w:rsid w:val="001A5100"/>
    <w:rsid w:val="001A56D1"/>
    <w:rsid w:val="001A578F"/>
    <w:rsid w:val="001A5816"/>
    <w:rsid w:val="001A5848"/>
    <w:rsid w:val="001A5A55"/>
    <w:rsid w:val="001A5C15"/>
    <w:rsid w:val="001A5DDD"/>
    <w:rsid w:val="001A5E52"/>
    <w:rsid w:val="001A66D6"/>
    <w:rsid w:val="001A670A"/>
    <w:rsid w:val="001A6F8F"/>
    <w:rsid w:val="001A777F"/>
    <w:rsid w:val="001A7844"/>
    <w:rsid w:val="001A78F3"/>
    <w:rsid w:val="001A7BE0"/>
    <w:rsid w:val="001A7D9C"/>
    <w:rsid w:val="001B0F14"/>
    <w:rsid w:val="001B0F96"/>
    <w:rsid w:val="001B0FED"/>
    <w:rsid w:val="001B140F"/>
    <w:rsid w:val="001B1434"/>
    <w:rsid w:val="001B1A7D"/>
    <w:rsid w:val="001B234F"/>
    <w:rsid w:val="001B2426"/>
    <w:rsid w:val="001B263F"/>
    <w:rsid w:val="001B36B9"/>
    <w:rsid w:val="001B37E8"/>
    <w:rsid w:val="001B38A3"/>
    <w:rsid w:val="001B3D72"/>
    <w:rsid w:val="001B408E"/>
    <w:rsid w:val="001B4487"/>
    <w:rsid w:val="001B464A"/>
    <w:rsid w:val="001B4895"/>
    <w:rsid w:val="001B5390"/>
    <w:rsid w:val="001B5B78"/>
    <w:rsid w:val="001B5DCE"/>
    <w:rsid w:val="001B71E9"/>
    <w:rsid w:val="001B7221"/>
    <w:rsid w:val="001B7A39"/>
    <w:rsid w:val="001C030C"/>
    <w:rsid w:val="001C06CA"/>
    <w:rsid w:val="001C0996"/>
    <w:rsid w:val="001C0CDF"/>
    <w:rsid w:val="001C1052"/>
    <w:rsid w:val="001C1199"/>
    <w:rsid w:val="001C1475"/>
    <w:rsid w:val="001C16BE"/>
    <w:rsid w:val="001C1873"/>
    <w:rsid w:val="001C1D24"/>
    <w:rsid w:val="001C1DCA"/>
    <w:rsid w:val="001C2621"/>
    <w:rsid w:val="001C26A4"/>
    <w:rsid w:val="001C2A3C"/>
    <w:rsid w:val="001C2BC4"/>
    <w:rsid w:val="001C2CC1"/>
    <w:rsid w:val="001C2F70"/>
    <w:rsid w:val="001C34D1"/>
    <w:rsid w:val="001C3BB1"/>
    <w:rsid w:val="001C41D7"/>
    <w:rsid w:val="001C4542"/>
    <w:rsid w:val="001C47A0"/>
    <w:rsid w:val="001C4CE5"/>
    <w:rsid w:val="001C4D91"/>
    <w:rsid w:val="001C4D95"/>
    <w:rsid w:val="001C5465"/>
    <w:rsid w:val="001C580E"/>
    <w:rsid w:val="001C58F4"/>
    <w:rsid w:val="001C5F45"/>
    <w:rsid w:val="001C6564"/>
    <w:rsid w:val="001C6CA4"/>
    <w:rsid w:val="001C760A"/>
    <w:rsid w:val="001C785A"/>
    <w:rsid w:val="001C7EB0"/>
    <w:rsid w:val="001D0306"/>
    <w:rsid w:val="001D031F"/>
    <w:rsid w:val="001D04CA"/>
    <w:rsid w:val="001D0AFD"/>
    <w:rsid w:val="001D169C"/>
    <w:rsid w:val="001D1C05"/>
    <w:rsid w:val="001D1CB0"/>
    <w:rsid w:val="001D1E59"/>
    <w:rsid w:val="001D2241"/>
    <w:rsid w:val="001D24FC"/>
    <w:rsid w:val="001D26B6"/>
    <w:rsid w:val="001D318E"/>
    <w:rsid w:val="001D337A"/>
    <w:rsid w:val="001D3A2F"/>
    <w:rsid w:val="001D3BA5"/>
    <w:rsid w:val="001D51B8"/>
    <w:rsid w:val="001D5BBE"/>
    <w:rsid w:val="001D63F7"/>
    <w:rsid w:val="001D6920"/>
    <w:rsid w:val="001D6940"/>
    <w:rsid w:val="001D6F05"/>
    <w:rsid w:val="001D7318"/>
    <w:rsid w:val="001D7EC7"/>
    <w:rsid w:val="001E02A6"/>
    <w:rsid w:val="001E09CE"/>
    <w:rsid w:val="001E0CFB"/>
    <w:rsid w:val="001E18EA"/>
    <w:rsid w:val="001E2380"/>
    <w:rsid w:val="001E247E"/>
    <w:rsid w:val="001E2E08"/>
    <w:rsid w:val="001E331A"/>
    <w:rsid w:val="001E3691"/>
    <w:rsid w:val="001E36FF"/>
    <w:rsid w:val="001E3C34"/>
    <w:rsid w:val="001E3EB4"/>
    <w:rsid w:val="001E3ECE"/>
    <w:rsid w:val="001E3F46"/>
    <w:rsid w:val="001E40CA"/>
    <w:rsid w:val="001E4A60"/>
    <w:rsid w:val="001E5007"/>
    <w:rsid w:val="001E590D"/>
    <w:rsid w:val="001E5AE9"/>
    <w:rsid w:val="001E662B"/>
    <w:rsid w:val="001E6955"/>
    <w:rsid w:val="001E717E"/>
    <w:rsid w:val="001E7576"/>
    <w:rsid w:val="001E75E3"/>
    <w:rsid w:val="001E762F"/>
    <w:rsid w:val="001E77C3"/>
    <w:rsid w:val="001E7C66"/>
    <w:rsid w:val="001E7D59"/>
    <w:rsid w:val="001F0191"/>
    <w:rsid w:val="001F0705"/>
    <w:rsid w:val="001F0EF7"/>
    <w:rsid w:val="001F1AB7"/>
    <w:rsid w:val="001F1D0F"/>
    <w:rsid w:val="001F1F35"/>
    <w:rsid w:val="001F256C"/>
    <w:rsid w:val="001F2EA7"/>
    <w:rsid w:val="001F3561"/>
    <w:rsid w:val="001F3973"/>
    <w:rsid w:val="001F3EA2"/>
    <w:rsid w:val="001F401B"/>
    <w:rsid w:val="001F47D7"/>
    <w:rsid w:val="001F48EF"/>
    <w:rsid w:val="001F4A94"/>
    <w:rsid w:val="001F4AEB"/>
    <w:rsid w:val="001F4BC9"/>
    <w:rsid w:val="001F4EE0"/>
    <w:rsid w:val="001F4FAF"/>
    <w:rsid w:val="001F5006"/>
    <w:rsid w:val="001F5D30"/>
    <w:rsid w:val="001F6092"/>
    <w:rsid w:val="001F628A"/>
    <w:rsid w:val="001F63E4"/>
    <w:rsid w:val="001F6917"/>
    <w:rsid w:val="001F6D0E"/>
    <w:rsid w:val="001F7817"/>
    <w:rsid w:val="001F7866"/>
    <w:rsid w:val="001F7CC1"/>
    <w:rsid w:val="00200226"/>
    <w:rsid w:val="002008E4"/>
    <w:rsid w:val="00200BEC"/>
    <w:rsid w:val="002017FD"/>
    <w:rsid w:val="00201984"/>
    <w:rsid w:val="00201C80"/>
    <w:rsid w:val="0020242C"/>
    <w:rsid w:val="0020242E"/>
    <w:rsid w:val="0020247D"/>
    <w:rsid w:val="00202564"/>
    <w:rsid w:val="00202A38"/>
    <w:rsid w:val="00202DA3"/>
    <w:rsid w:val="00203008"/>
    <w:rsid w:val="00204251"/>
    <w:rsid w:val="00204844"/>
    <w:rsid w:val="00205266"/>
    <w:rsid w:val="0020546D"/>
    <w:rsid w:val="00205630"/>
    <w:rsid w:val="002056A7"/>
    <w:rsid w:val="00205C76"/>
    <w:rsid w:val="00205CB6"/>
    <w:rsid w:val="00205D0B"/>
    <w:rsid w:val="00206963"/>
    <w:rsid w:val="00206D70"/>
    <w:rsid w:val="0020747C"/>
    <w:rsid w:val="002074E6"/>
    <w:rsid w:val="002078CF"/>
    <w:rsid w:val="00207CEA"/>
    <w:rsid w:val="00207FA2"/>
    <w:rsid w:val="00210020"/>
    <w:rsid w:val="00210768"/>
    <w:rsid w:val="00210CEE"/>
    <w:rsid w:val="00211024"/>
    <w:rsid w:val="00211120"/>
    <w:rsid w:val="0021128E"/>
    <w:rsid w:val="002115BC"/>
    <w:rsid w:val="0021163C"/>
    <w:rsid w:val="002119BA"/>
    <w:rsid w:val="00211B64"/>
    <w:rsid w:val="00211BBE"/>
    <w:rsid w:val="00211D3C"/>
    <w:rsid w:val="0021220C"/>
    <w:rsid w:val="00212B47"/>
    <w:rsid w:val="00212B55"/>
    <w:rsid w:val="00212DAF"/>
    <w:rsid w:val="00212FFD"/>
    <w:rsid w:val="00213DD5"/>
    <w:rsid w:val="00214803"/>
    <w:rsid w:val="002152B6"/>
    <w:rsid w:val="00215891"/>
    <w:rsid w:val="00215949"/>
    <w:rsid w:val="00215BFD"/>
    <w:rsid w:val="00215F77"/>
    <w:rsid w:val="00217A41"/>
    <w:rsid w:val="00217BD7"/>
    <w:rsid w:val="00217C05"/>
    <w:rsid w:val="0022026E"/>
    <w:rsid w:val="00220D2D"/>
    <w:rsid w:val="00220EFD"/>
    <w:rsid w:val="002210AA"/>
    <w:rsid w:val="00221593"/>
    <w:rsid w:val="0022174B"/>
    <w:rsid w:val="00221B6C"/>
    <w:rsid w:val="0022212F"/>
    <w:rsid w:val="00222542"/>
    <w:rsid w:val="0022259F"/>
    <w:rsid w:val="0022260F"/>
    <w:rsid w:val="00222673"/>
    <w:rsid w:val="00222AB4"/>
    <w:rsid w:val="00222F73"/>
    <w:rsid w:val="00223038"/>
    <w:rsid w:val="002230C2"/>
    <w:rsid w:val="002231BD"/>
    <w:rsid w:val="002232C5"/>
    <w:rsid w:val="002233D0"/>
    <w:rsid w:val="00223881"/>
    <w:rsid w:val="00223BB9"/>
    <w:rsid w:val="00223D1D"/>
    <w:rsid w:val="00224096"/>
    <w:rsid w:val="002241E0"/>
    <w:rsid w:val="00224388"/>
    <w:rsid w:val="00224836"/>
    <w:rsid w:val="00224973"/>
    <w:rsid w:val="002249E1"/>
    <w:rsid w:val="0022501A"/>
    <w:rsid w:val="0022564B"/>
    <w:rsid w:val="00225B8A"/>
    <w:rsid w:val="00225EFF"/>
    <w:rsid w:val="00226E55"/>
    <w:rsid w:val="00226E6B"/>
    <w:rsid w:val="00227177"/>
    <w:rsid w:val="00227CF2"/>
    <w:rsid w:val="00227D89"/>
    <w:rsid w:val="002302D8"/>
    <w:rsid w:val="0023061F"/>
    <w:rsid w:val="00230777"/>
    <w:rsid w:val="00230B96"/>
    <w:rsid w:val="00230D86"/>
    <w:rsid w:val="00230E78"/>
    <w:rsid w:val="00230E99"/>
    <w:rsid w:val="00230F3D"/>
    <w:rsid w:val="002310C9"/>
    <w:rsid w:val="002312FD"/>
    <w:rsid w:val="00231A7D"/>
    <w:rsid w:val="00231E14"/>
    <w:rsid w:val="00231EDF"/>
    <w:rsid w:val="00231FD9"/>
    <w:rsid w:val="00232397"/>
    <w:rsid w:val="0023270B"/>
    <w:rsid w:val="00232986"/>
    <w:rsid w:val="00232DA1"/>
    <w:rsid w:val="0023335E"/>
    <w:rsid w:val="0023346E"/>
    <w:rsid w:val="002335B0"/>
    <w:rsid w:val="00233BF4"/>
    <w:rsid w:val="00233ED0"/>
    <w:rsid w:val="0023402B"/>
    <w:rsid w:val="00234252"/>
    <w:rsid w:val="002342E9"/>
    <w:rsid w:val="00234360"/>
    <w:rsid w:val="002345AE"/>
    <w:rsid w:val="002346FC"/>
    <w:rsid w:val="0023486A"/>
    <w:rsid w:val="00234981"/>
    <w:rsid w:val="00234CD9"/>
    <w:rsid w:val="00234FA0"/>
    <w:rsid w:val="00235E3D"/>
    <w:rsid w:val="00236A1C"/>
    <w:rsid w:val="00236B25"/>
    <w:rsid w:val="00236BA1"/>
    <w:rsid w:val="002373FA"/>
    <w:rsid w:val="002376AB"/>
    <w:rsid w:val="00237868"/>
    <w:rsid w:val="0024095A"/>
    <w:rsid w:val="00241508"/>
    <w:rsid w:val="0024169D"/>
    <w:rsid w:val="0024194F"/>
    <w:rsid w:val="00241C10"/>
    <w:rsid w:val="00241D7A"/>
    <w:rsid w:val="00241DC1"/>
    <w:rsid w:val="00242894"/>
    <w:rsid w:val="00242AA2"/>
    <w:rsid w:val="0024352D"/>
    <w:rsid w:val="002436CE"/>
    <w:rsid w:val="0024383B"/>
    <w:rsid w:val="002438E1"/>
    <w:rsid w:val="00243CE3"/>
    <w:rsid w:val="0024408B"/>
    <w:rsid w:val="00244998"/>
    <w:rsid w:val="002451F0"/>
    <w:rsid w:val="002454D8"/>
    <w:rsid w:val="00245609"/>
    <w:rsid w:val="002456E3"/>
    <w:rsid w:val="00245722"/>
    <w:rsid w:val="0024625F"/>
    <w:rsid w:val="002467D2"/>
    <w:rsid w:val="002467D8"/>
    <w:rsid w:val="00246E65"/>
    <w:rsid w:val="00246F2B"/>
    <w:rsid w:val="00247810"/>
    <w:rsid w:val="002500E5"/>
    <w:rsid w:val="0025019E"/>
    <w:rsid w:val="00250AAE"/>
    <w:rsid w:val="00251010"/>
    <w:rsid w:val="00251084"/>
    <w:rsid w:val="0025150B"/>
    <w:rsid w:val="00251631"/>
    <w:rsid w:val="002517C8"/>
    <w:rsid w:val="00251978"/>
    <w:rsid w:val="002519A3"/>
    <w:rsid w:val="00251FDA"/>
    <w:rsid w:val="00252013"/>
    <w:rsid w:val="00252300"/>
    <w:rsid w:val="002524DB"/>
    <w:rsid w:val="00252ADE"/>
    <w:rsid w:val="00252EB0"/>
    <w:rsid w:val="00252F18"/>
    <w:rsid w:val="0025305C"/>
    <w:rsid w:val="00253465"/>
    <w:rsid w:val="00253824"/>
    <w:rsid w:val="002539C6"/>
    <w:rsid w:val="00253C27"/>
    <w:rsid w:val="00253EC1"/>
    <w:rsid w:val="0025450C"/>
    <w:rsid w:val="00254840"/>
    <w:rsid w:val="0025526E"/>
    <w:rsid w:val="0025584A"/>
    <w:rsid w:val="00255D9F"/>
    <w:rsid w:val="0025610F"/>
    <w:rsid w:val="0025665B"/>
    <w:rsid w:val="0025691C"/>
    <w:rsid w:val="00256D3B"/>
    <w:rsid w:val="0025712D"/>
    <w:rsid w:val="002571E6"/>
    <w:rsid w:val="00257319"/>
    <w:rsid w:val="00257434"/>
    <w:rsid w:val="00260334"/>
    <w:rsid w:val="002604CA"/>
    <w:rsid w:val="002610A4"/>
    <w:rsid w:val="0026134B"/>
    <w:rsid w:val="00261FEB"/>
    <w:rsid w:val="002620FB"/>
    <w:rsid w:val="00262ACF"/>
    <w:rsid w:val="00262BF9"/>
    <w:rsid w:val="00262C41"/>
    <w:rsid w:val="00262F49"/>
    <w:rsid w:val="002634C7"/>
    <w:rsid w:val="00263882"/>
    <w:rsid w:val="00264043"/>
    <w:rsid w:val="00264492"/>
    <w:rsid w:val="00264756"/>
    <w:rsid w:val="00264BD6"/>
    <w:rsid w:val="00264E2C"/>
    <w:rsid w:val="00264F4C"/>
    <w:rsid w:val="00265090"/>
    <w:rsid w:val="002653C1"/>
    <w:rsid w:val="002654B9"/>
    <w:rsid w:val="002658B2"/>
    <w:rsid w:val="00265C6B"/>
    <w:rsid w:val="00265CA4"/>
    <w:rsid w:val="00265EA9"/>
    <w:rsid w:val="00266575"/>
    <w:rsid w:val="00266D86"/>
    <w:rsid w:val="00266DBB"/>
    <w:rsid w:val="00267124"/>
    <w:rsid w:val="0026793E"/>
    <w:rsid w:val="00267F5C"/>
    <w:rsid w:val="00267FBE"/>
    <w:rsid w:val="002707A0"/>
    <w:rsid w:val="00271069"/>
    <w:rsid w:val="002719C6"/>
    <w:rsid w:val="00271B22"/>
    <w:rsid w:val="00271C15"/>
    <w:rsid w:val="0027208E"/>
    <w:rsid w:val="002727C3"/>
    <w:rsid w:val="0027288A"/>
    <w:rsid w:val="00272C89"/>
    <w:rsid w:val="00273040"/>
    <w:rsid w:val="002731ED"/>
    <w:rsid w:val="002737AE"/>
    <w:rsid w:val="00273872"/>
    <w:rsid w:val="0027388D"/>
    <w:rsid w:val="00273BA4"/>
    <w:rsid w:val="00273C2A"/>
    <w:rsid w:val="0027438D"/>
    <w:rsid w:val="00274522"/>
    <w:rsid w:val="002752B6"/>
    <w:rsid w:val="00275857"/>
    <w:rsid w:val="00275FA5"/>
    <w:rsid w:val="002761A8"/>
    <w:rsid w:val="00276434"/>
    <w:rsid w:val="00276500"/>
    <w:rsid w:val="002773D7"/>
    <w:rsid w:val="00277705"/>
    <w:rsid w:val="00277729"/>
    <w:rsid w:val="00277BF5"/>
    <w:rsid w:val="00277DB1"/>
    <w:rsid w:val="00277EBD"/>
    <w:rsid w:val="00277FE5"/>
    <w:rsid w:val="00280158"/>
    <w:rsid w:val="00280472"/>
    <w:rsid w:val="0028058B"/>
    <w:rsid w:val="0028060E"/>
    <w:rsid w:val="00280D6E"/>
    <w:rsid w:val="0028103B"/>
    <w:rsid w:val="00281360"/>
    <w:rsid w:val="002814E6"/>
    <w:rsid w:val="00281693"/>
    <w:rsid w:val="002817B6"/>
    <w:rsid w:val="0028181B"/>
    <w:rsid w:val="00281947"/>
    <w:rsid w:val="00281DFB"/>
    <w:rsid w:val="00281E39"/>
    <w:rsid w:val="00282346"/>
    <w:rsid w:val="00282615"/>
    <w:rsid w:val="00282842"/>
    <w:rsid w:val="002828B9"/>
    <w:rsid w:val="00282E7F"/>
    <w:rsid w:val="00283265"/>
    <w:rsid w:val="00283912"/>
    <w:rsid w:val="00284899"/>
    <w:rsid w:val="00284DAB"/>
    <w:rsid w:val="00284E30"/>
    <w:rsid w:val="00284F6D"/>
    <w:rsid w:val="0028500C"/>
    <w:rsid w:val="0028532E"/>
    <w:rsid w:val="00285707"/>
    <w:rsid w:val="00285A6F"/>
    <w:rsid w:val="00285B19"/>
    <w:rsid w:val="00285B43"/>
    <w:rsid w:val="00285D0C"/>
    <w:rsid w:val="002862B3"/>
    <w:rsid w:val="0028689B"/>
    <w:rsid w:val="00286946"/>
    <w:rsid w:val="002874B1"/>
    <w:rsid w:val="002876E9"/>
    <w:rsid w:val="0028774F"/>
    <w:rsid w:val="00287FCC"/>
    <w:rsid w:val="0029000B"/>
    <w:rsid w:val="002900A5"/>
    <w:rsid w:val="00290238"/>
    <w:rsid w:val="00290268"/>
    <w:rsid w:val="00290424"/>
    <w:rsid w:val="00290C44"/>
    <w:rsid w:val="002910A5"/>
    <w:rsid w:val="00291624"/>
    <w:rsid w:val="00291B69"/>
    <w:rsid w:val="00291D6C"/>
    <w:rsid w:val="002921B3"/>
    <w:rsid w:val="0029259D"/>
    <w:rsid w:val="0029279E"/>
    <w:rsid w:val="00292C2E"/>
    <w:rsid w:val="00292F23"/>
    <w:rsid w:val="002930AE"/>
    <w:rsid w:val="0029351F"/>
    <w:rsid w:val="00293E17"/>
    <w:rsid w:val="00293F0D"/>
    <w:rsid w:val="00294163"/>
    <w:rsid w:val="00294391"/>
    <w:rsid w:val="00294823"/>
    <w:rsid w:val="00294C53"/>
    <w:rsid w:val="00294CF7"/>
    <w:rsid w:val="00294D0A"/>
    <w:rsid w:val="0029543D"/>
    <w:rsid w:val="00295445"/>
    <w:rsid w:val="00295EE4"/>
    <w:rsid w:val="00295EFF"/>
    <w:rsid w:val="0029644D"/>
    <w:rsid w:val="00296541"/>
    <w:rsid w:val="002970EF"/>
    <w:rsid w:val="0029769E"/>
    <w:rsid w:val="0029787B"/>
    <w:rsid w:val="00297F48"/>
    <w:rsid w:val="002A033A"/>
    <w:rsid w:val="002A0A96"/>
    <w:rsid w:val="002A158C"/>
    <w:rsid w:val="002A1DC3"/>
    <w:rsid w:val="002A20DD"/>
    <w:rsid w:val="002A217E"/>
    <w:rsid w:val="002A2268"/>
    <w:rsid w:val="002A2D36"/>
    <w:rsid w:val="002A2FF8"/>
    <w:rsid w:val="002A33B4"/>
    <w:rsid w:val="002A36E2"/>
    <w:rsid w:val="002A3A79"/>
    <w:rsid w:val="002A3DAA"/>
    <w:rsid w:val="002A3E8F"/>
    <w:rsid w:val="002A426D"/>
    <w:rsid w:val="002A46BA"/>
    <w:rsid w:val="002A47F3"/>
    <w:rsid w:val="002A488F"/>
    <w:rsid w:val="002A4AE9"/>
    <w:rsid w:val="002A50D1"/>
    <w:rsid w:val="002A5388"/>
    <w:rsid w:val="002A5B68"/>
    <w:rsid w:val="002A5F9A"/>
    <w:rsid w:val="002A5FE4"/>
    <w:rsid w:val="002A6263"/>
    <w:rsid w:val="002A6438"/>
    <w:rsid w:val="002A64F2"/>
    <w:rsid w:val="002A66E4"/>
    <w:rsid w:val="002A69BC"/>
    <w:rsid w:val="002A69D5"/>
    <w:rsid w:val="002A6B8D"/>
    <w:rsid w:val="002A6BB4"/>
    <w:rsid w:val="002A6E4E"/>
    <w:rsid w:val="002A6E82"/>
    <w:rsid w:val="002A6F51"/>
    <w:rsid w:val="002A6FB6"/>
    <w:rsid w:val="002A7489"/>
    <w:rsid w:val="002A77C1"/>
    <w:rsid w:val="002A7885"/>
    <w:rsid w:val="002A788E"/>
    <w:rsid w:val="002A7B3E"/>
    <w:rsid w:val="002A7ED6"/>
    <w:rsid w:val="002A7F86"/>
    <w:rsid w:val="002B0216"/>
    <w:rsid w:val="002B082A"/>
    <w:rsid w:val="002B0FF1"/>
    <w:rsid w:val="002B103F"/>
    <w:rsid w:val="002B1097"/>
    <w:rsid w:val="002B1664"/>
    <w:rsid w:val="002B16F9"/>
    <w:rsid w:val="002B1A68"/>
    <w:rsid w:val="002B1D9A"/>
    <w:rsid w:val="002B2391"/>
    <w:rsid w:val="002B2825"/>
    <w:rsid w:val="002B286D"/>
    <w:rsid w:val="002B2A0D"/>
    <w:rsid w:val="002B2FC5"/>
    <w:rsid w:val="002B3083"/>
    <w:rsid w:val="002B31F0"/>
    <w:rsid w:val="002B3543"/>
    <w:rsid w:val="002B39AF"/>
    <w:rsid w:val="002B3CA7"/>
    <w:rsid w:val="002B4323"/>
    <w:rsid w:val="002B43BC"/>
    <w:rsid w:val="002B4AE1"/>
    <w:rsid w:val="002B4DEE"/>
    <w:rsid w:val="002B55EE"/>
    <w:rsid w:val="002B5BBA"/>
    <w:rsid w:val="002B5CA2"/>
    <w:rsid w:val="002B5EF9"/>
    <w:rsid w:val="002B6235"/>
    <w:rsid w:val="002B6525"/>
    <w:rsid w:val="002B69B5"/>
    <w:rsid w:val="002B6E96"/>
    <w:rsid w:val="002B7061"/>
    <w:rsid w:val="002B715B"/>
    <w:rsid w:val="002B7177"/>
    <w:rsid w:val="002B7306"/>
    <w:rsid w:val="002B761E"/>
    <w:rsid w:val="002B7765"/>
    <w:rsid w:val="002B777B"/>
    <w:rsid w:val="002B7903"/>
    <w:rsid w:val="002B7E35"/>
    <w:rsid w:val="002B7E6C"/>
    <w:rsid w:val="002B7E7B"/>
    <w:rsid w:val="002C0274"/>
    <w:rsid w:val="002C093D"/>
    <w:rsid w:val="002C0C10"/>
    <w:rsid w:val="002C0C88"/>
    <w:rsid w:val="002C0D78"/>
    <w:rsid w:val="002C0FF2"/>
    <w:rsid w:val="002C159E"/>
    <w:rsid w:val="002C1679"/>
    <w:rsid w:val="002C16A6"/>
    <w:rsid w:val="002C180F"/>
    <w:rsid w:val="002C2528"/>
    <w:rsid w:val="002C27A9"/>
    <w:rsid w:val="002C306C"/>
    <w:rsid w:val="002C3233"/>
    <w:rsid w:val="002C37F5"/>
    <w:rsid w:val="002C3C37"/>
    <w:rsid w:val="002C3EAC"/>
    <w:rsid w:val="002C436D"/>
    <w:rsid w:val="002C4462"/>
    <w:rsid w:val="002C48E0"/>
    <w:rsid w:val="002C498F"/>
    <w:rsid w:val="002C519A"/>
    <w:rsid w:val="002C536B"/>
    <w:rsid w:val="002C5654"/>
    <w:rsid w:val="002C5A29"/>
    <w:rsid w:val="002C5B5F"/>
    <w:rsid w:val="002C5BC6"/>
    <w:rsid w:val="002C5FB2"/>
    <w:rsid w:val="002C6314"/>
    <w:rsid w:val="002C66FA"/>
    <w:rsid w:val="002C68D6"/>
    <w:rsid w:val="002C6E4E"/>
    <w:rsid w:val="002C6F4E"/>
    <w:rsid w:val="002C7A2C"/>
    <w:rsid w:val="002C7AC8"/>
    <w:rsid w:val="002C7CC8"/>
    <w:rsid w:val="002C7CD8"/>
    <w:rsid w:val="002C7CFD"/>
    <w:rsid w:val="002D0521"/>
    <w:rsid w:val="002D0DA1"/>
    <w:rsid w:val="002D0F3E"/>
    <w:rsid w:val="002D10D1"/>
    <w:rsid w:val="002D137A"/>
    <w:rsid w:val="002D19CA"/>
    <w:rsid w:val="002D19D7"/>
    <w:rsid w:val="002D1C15"/>
    <w:rsid w:val="002D1D3D"/>
    <w:rsid w:val="002D26F2"/>
    <w:rsid w:val="002D295F"/>
    <w:rsid w:val="002D29CF"/>
    <w:rsid w:val="002D2A89"/>
    <w:rsid w:val="002D2B62"/>
    <w:rsid w:val="002D327A"/>
    <w:rsid w:val="002D328A"/>
    <w:rsid w:val="002D334E"/>
    <w:rsid w:val="002D3793"/>
    <w:rsid w:val="002D3795"/>
    <w:rsid w:val="002D41EE"/>
    <w:rsid w:val="002D4549"/>
    <w:rsid w:val="002D465C"/>
    <w:rsid w:val="002D473F"/>
    <w:rsid w:val="002D4747"/>
    <w:rsid w:val="002D4965"/>
    <w:rsid w:val="002D4C7F"/>
    <w:rsid w:val="002D4DD3"/>
    <w:rsid w:val="002D4E23"/>
    <w:rsid w:val="002D5403"/>
    <w:rsid w:val="002D587F"/>
    <w:rsid w:val="002D60F7"/>
    <w:rsid w:val="002D62DC"/>
    <w:rsid w:val="002D66E9"/>
    <w:rsid w:val="002D6790"/>
    <w:rsid w:val="002D6A60"/>
    <w:rsid w:val="002D6B36"/>
    <w:rsid w:val="002D6E67"/>
    <w:rsid w:val="002D6FCF"/>
    <w:rsid w:val="002D70B9"/>
    <w:rsid w:val="002D73F3"/>
    <w:rsid w:val="002D7739"/>
    <w:rsid w:val="002D784B"/>
    <w:rsid w:val="002D7859"/>
    <w:rsid w:val="002D7F0F"/>
    <w:rsid w:val="002E058A"/>
    <w:rsid w:val="002E069F"/>
    <w:rsid w:val="002E0B89"/>
    <w:rsid w:val="002E0BC9"/>
    <w:rsid w:val="002E0FD5"/>
    <w:rsid w:val="002E143B"/>
    <w:rsid w:val="002E195D"/>
    <w:rsid w:val="002E1B2D"/>
    <w:rsid w:val="002E1EF6"/>
    <w:rsid w:val="002E2809"/>
    <w:rsid w:val="002E28F7"/>
    <w:rsid w:val="002E2AAE"/>
    <w:rsid w:val="002E2D64"/>
    <w:rsid w:val="002E2EBA"/>
    <w:rsid w:val="002E313D"/>
    <w:rsid w:val="002E3282"/>
    <w:rsid w:val="002E37B3"/>
    <w:rsid w:val="002E3A0E"/>
    <w:rsid w:val="002E3A6B"/>
    <w:rsid w:val="002E4007"/>
    <w:rsid w:val="002E42B7"/>
    <w:rsid w:val="002E44BF"/>
    <w:rsid w:val="002E4E5C"/>
    <w:rsid w:val="002E5A79"/>
    <w:rsid w:val="002E66C8"/>
    <w:rsid w:val="002E675E"/>
    <w:rsid w:val="002E7153"/>
    <w:rsid w:val="002E746F"/>
    <w:rsid w:val="002E7955"/>
    <w:rsid w:val="002E7EDA"/>
    <w:rsid w:val="002F01F5"/>
    <w:rsid w:val="002F0331"/>
    <w:rsid w:val="002F03FC"/>
    <w:rsid w:val="002F0623"/>
    <w:rsid w:val="002F0749"/>
    <w:rsid w:val="002F0787"/>
    <w:rsid w:val="002F07E4"/>
    <w:rsid w:val="002F0FBC"/>
    <w:rsid w:val="002F1242"/>
    <w:rsid w:val="002F1AC7"/>
    <w:rsid w:val="002F27E7"/>
    <w:rsid w:val="002F289F"/>
    <w:rsid w:val="002F329B"/>
    <w:rsid w:val="002F3C1C"/>
    <w:rsid w:val="002F4043"/>
    <w:rsid w:val="002F4781"/>
    <w:rsid w:val="002F4782"/>
    <w:rsid w:val="002F4E07"/>
    <w:rsid w:val="002F4EEF"/>
    <w:rsid w:val="002F51D2"/>
    <w:rsid w:val="002F52F5"/>
    <w:rsid w:val="002F5314"/>
    <w:rsid w:val="002F587E"/>
    <w:rsid w:val="002F5A23"/>
    <w:rsid w:val="002F5AE1"/>
    <w:rsid w:val="002F5B38"/>
    <w:rsid w:val="002F5DCE"/>
    <w:rsid w:val="002F646C"/>
    <w:rsid w:val="002F7E59"/>
    <w:rsid w:val="0030014A"/>
    <w:rsid w:val="003001DB"/>
    <w:rsid w:val="00300322"/>
    <w:rsid w:val="003008BA"/>
    <w:rsid w:val="003008FB"/>
    <w:rsid w:val="003010AC"/>
    <w:rsid w:val="00301BAA"/>
    <w:rsid w:val="00301C4A"/>
    <w:rsid w:val="00301C84"/>
    <w:rsid w:val="00302E6E"/>
    <w:rsid w:val="00302F81"/>
    <w:rsid w:val="0030383C"/>
    <w:rsid w:val="003039C1"/>
    <w:rsid w:val="00304291"/>
    <w:rsid w:val="0030430E"/>
    <w:rsid w:val="0030461A"/>
    <w:rsid w:val="00304AE6"/>
    <w:rsid w:val="00304CC4"/>
    <w:rsid w:val="003050EC"/>
    <w:rsid w:val="00305672"/>
    <w:rsid w:val="00305AE1"/>
    <w:rsid w:val="00305B57"/>
    <w:rsid w:val="003060D3"/>
    <w:rsid w:val="00306784"/>
    <w:rsid w:val="00306916"/>
    <w:rsid w:val="00306A3E"/>
    <w:rsid w:val="00306BC9"/>
    <w:rsid w:val="003070D7"/>
    <w:rsid w:val="00307643"/>
    <w:rsid w:val="00307D73"/>
    <w:rsid w:val="0031003A"/>
    <w:rsid w:val="003103CD"/>
    <w:rsid w:val="00310488"/>
    <w:rsid w:val="00310516"/>
    <w:rsid w:val="00310ECB"/>
    <w:rsid w:val="00310F2C"/>
    <w:rsid w:val="003115DB"/>
    <w:rsid w:val="00311609"/>
    <w:rsid w:val="003117E7"/>
    <w:rsid w:val="0031181C"/>
    <w:rsid w:val="00311E10"/>
    <w:rsid w:val="0031210C"/>
    <w:rsid w:val="0031271F"/>
    <w:rsid w:val="00312839"/>
    <w:rsid w:val="00312A58"/>
    <w:rsid w:val="00312A78"/>
    <w:rsid w:val="00313275"/>
    <w:rsid w:val="00313354"/>
    <w:rsid w:val="003139D6"/>
    <w:rsid w:val="00314347"/>
    <w:rsid w:val="0031491F"/>
    <w:rsid w:val="00314A73"/>
    <w:rsid w:val="00314D60"/>
    <w:rsid w:val="0031510A"/>
    <w:rsid w:val="003152BC"/>
    <w:rsid w:val="00315366"/>
    <w:rsid w:val="003161D2"/>
    <w:rsid w:val="003165D6"/>
    <w:rsid w:val="00316C31"/>
    <w:rsid w:val="00316E1F"/>
    <w:rsid w:val="003171E6"/>
    <w:rsid w:val="00317334"/>
    <w:rsid w:val="003173D3"/>
    <w:rsid w:val="00317620"/>
    <w:rsid w:val="00317830"/>
    <w:rsid w:val="003202F7"/>
    <w:rsid w:val="003205AC"/>
    <w:rsid w:val="00320B47"/>
    <w:rsid w:val="0032142E"/>
    <w:rsid w:val="003217BE"/>
    <w:rsid w:val="003217C6"/>
    <w:rsid w:val="00321A00"/>
    <w:rsid w:val="00321A4E"/>
    <w:rsid w:val="00321BD8"/>
    <w:rsid w:val="00321C42"/>
    <w:rsid w:val="00321D54"/>
    <w:rsid w:val="0032200B"/>
    <w:rsid w:val="003225E5"/>
    <w:rsid w:val="00323545"/>
    <w:rsid w:val="00323860"/>
    <w:rsid w:val="00323FE3"/>
    <w:rsid w:val="003240CF"/>
    <w:rsid w:val="003240E4"/>
    <w:rsid w:val="00324992"/>
    <w:rsid w:val="00324D14"/>
    <w:rsid w:val="003259C5"/>
    <w:rsid w:val="00325E67"/>
    <w:rsid w:val="00325FBC"/>
    <w:rsid w:val="0032601A"/>
    <w:rsid w:val="003264C0"/>
    <w:rsid w:val="00326DFD"/>
    <w:rsid w:val="00327172"/>
    <w:rsid w:val="00327CAC"/>
    <w:rsid w:val="00327F4A"/>
    <w:rsid w:val="003303E9"/>
    <w:rsid w:val="00330C59"/>
    <w:rsid w:val="00331429"/>
    <w:rsid w:val="00331779"/>
    <w:rsid w:val="00331C40"/>
    <w:rsid w:val="00331D21"/>
    <w:rsid w:val="00331FE7"/>
    <w:rsid w:val="0033203D"/>
    <w:rsid w:val="00332125"/>
    <w:rsid w:val="003325A2"/>
    <w:rsid w:val="00332A47"/>
    <w:rsid w:val="00332AB6"/>
    <w:rsid w:val="00332B79"/>
    <w:rsid w:val="00332FCE"/>
    <w:rsid w:val="0033301B"/>
    <w:rsid w:val="003331F3"/>
    <w:rsid w:val="003334A2"/>
    <w:rsid w:val="003337E8"/>
    <w:rsid w:val="00333A78"/>
    <w:rsid w:val="0033430B"/>
    <w:rsid w:val="00334821"/>
    <w:rsid w:val="00334FF0"/>
    <w:rsid w:val="0033565E"/>
    <w:rsid w:val="00335A0D"/>
    <w:rsid w:val="00335B0D"/>
    <w:rsid w:val="00335B9B"/>
    <w:rsid w:val="00335C6A"/>
    <w:rsid w:val="00335D8A"/>
    <w:rsid w:val="00335D9C"/>
    <w:rsid w:val="00336265"/>
    <w:rsid w:val="00336865"/>
    <w:rsid w:val="00336C2A"/>
    <w:rsid w:val="00336F02"/>
    <w:rsid w:val="00337863"/>
    <w:rsid w:val="00337920"/>
    <w:rsid w:val="003400CF"/>
    <w:rsid w:val="00340121"/>
    <w:rsid w:val="003401CA"/>
    <w:rsid w:val="003402E2"/>
    <w:rsid w:val="00340781"/>
    <w:rsid w:val="00340B49"/>
    <w:rsid w:val="00340CA1"/>
    <w:rsid w:val="00341214"/>
    <w:rsid w:val="0034182B"/>
    <w:rsid w:val="00341D70"/>
    <w:rsid w:val="0034241E"/>
    <w:rsid w:val="003424D9"/>
    <w:rsid w:val="00342D0B"/>
    <w:rsid w:val="00342D6A"/>
    <w:rsid w:val="00343955"/>
    <w:rsid w:val="00343994"/>
    <w:rsid w:val="00343B38"/>
    <w:rsid w:val="00343EBA"/>
    <w:rsid w:val="00344020"/>
    <w:rsid w:val="0034463C"/>
    <w:rsid w:val="00344AAC"/>
    <w:rsid w:val="003451EF"/>
    <w:rsid w:val="0034523F"/>
    <w:rsid w:val="0034622A"/>
    <w:rsid w:val="00346ABE"/>
    <w:rsid w:val="00346D59"/>
    <w:rsid w:val="003478F4"/>
    <w:rsid w:val="00347EDD"/>
    <w:rsid w:val="003504AC"/>
    <w:rsid w:val="003508E3"/>
    <w:rsid w:val="00350952"/>
    <w:rsid w:val="00350DA2"/>
    <w:rsid w:val="0035103B"/>
    <w:rsid w:val="00351A98"/>
    <w:rsid w:val="00351E3B"/>
    <w:rsid w:val="00351EDA"/>
    <w:rsid w:val="00352931"/>
    <w:rsid w:val="00352B3C"/>
    <w:rsid w:val="00352CF4"/>
    <w:rsid w:val="00352EA2"/>
    <w:rsid w:val="00353235"/>
    <w:rsid w:val="003535B4"/>
    <w:rsid w:val="003537D2"/>
    <w:rsid w:val="00353868"/>
    <w:rsid w:val="00353A25"/>
    <w:rsid w:val="00353FA1"/>
    <w:rsid w:val="00354194"/>
    <w:rsid w:val="00354417"/>
    <w:rsid w:val="003544F8"/>
    <w:rsid w:val="00354514"/>
    <w:rsid w:val="003547C4"/>
    <w:rsid w:val="003549B2"/>
    <w:rsid w:val="00354F0D"/>
    <w:rsid w:val="00355605"/>
    <w:rsid w:val="00355656"/>
    <w:rsid w:val="003559FA"/>
    <w:rsid w:val="00355B6C"/>
    <w:rsid w:val="00356174"/>
    <w:rsid w:val="0035642A"/>
    <w:rsid w:val="003565F3"/>
    <w:rsid w:val="00356A31"/>
    <w:rsid w:val="00356D4F"/>
    <w:rsid w:val="00357BC2"/>
    <w:rsid w:val="00357C6C"/>
    <w:rsid w:val="00357D07"/>
    <w:rsid w:val="00360459"/>
    <w:rsid w:val="003604F8"/>
    <w:rsid w:val="003606A0"/>
    <w:rsid w:val="00360731"/>
    <w:rsid w:val="0036086D"/>
    <w:rsid w:val="00360975"/>
    <w:rsid w:val="00360D29"/>
    <w:rsid w:val="00361D4B"/>
    <w:rsid w:val="003622DF"/>
    <w:rsid w:val="00362486"/>
    <w:rsid w:val="00363023"/>
    <w:rsid w:val="00363801"/>
    <w:rsid w:val="00363AA9"/>
    <w:rsid w:val="00363B05"/>
    <w:rsid w:val="00363EF3"/>
    <w:rsid w:val="00364B19"/>
    <w:rsid w:val="00364E9B"/>
    <w:rsid w:val="00365EA5"/>
    <w:rsid w:val="00366033"/>
    <w:rsid w:val="00366E36"/>
    <w:rsid w:val="00366FD9"/>
    <w:rsid w:val="003671D8"/>
    <w:rsid w:val="0036725B"/>
    <w:rsid w:val="003675F8"/>
    <w:rsid w:val="00367E31"/>
    <w:rsid w:val="00367E79"/>
    <w:rsid w:val="0037030F"/>
    <w:rsid w:val="00370703"/>
    <w:rsid w:val="00370A29"/>
    <w:rsid w:val="00370D41"/>
    <w:rsid w:val="00370F2C"/>
    <w:rsid w:val="00371059"/>
    <w:rsid w:val="00371125"/>
    <w:rsid w:val="00371614"/>
    <w:rsid w:val="00371800"/>
    <w:rsid w:val="00371968"/>
    <w:rsid w:val="00371A9F"/>
    <w:rsid w:val="00371D77"/>
    <w:rsid w:val="003728A4"/>
    <w:rsid w:val="00372914"/>
    <w:rsid w:val="00372936"/>
    <w:rsid w:val="00372F8C"/>
    <w:rsid w:val="003731D9"/>
    <w:rsid w:val="00373A23"/>
    <w:rsid w:val="00373D70"/>
    <w:rsid w:val="00374504"/>
    <w:rsid w:val="00374AE3"/>
    <w:rsid w:val="00374B14"/>
    <w:rsid w:val="00374B98"/>
    <w:rsid w:val="0037506C"/>
    <w:rsid w:val="0037529C"/>
    <w:rsid w:val="00375583"/>
    <w:rsid w:val="0037558D"/>
    <w:rsid w:val="00375AD1"/>
    <w:rsid w:val="00375BD3"/>
    <w:rsid w:val="00376639"/>
    <w:rsid w:val="00376F3C"/>
    <w:rsid w:val="0037791E"/>
    <w:rsid w:val="003802EF"/>
    <w:rsid w:val="00380428"/>
    <w:rsid w:val="00380FAC"/>
    <w:rsid w:val="003814F3"/>
    <w:rsid w:val="003818AA"/>
    <w:rsid w:val="00381CE7"/>
    <w:rsid w:val="003824E3"/>
    <w:rsid w:val="00382C35"/>
    <w:rsid w:val="00382D96"/>
    <w:rsid w:val="00382E1B"/>
    <w:rsid w:val="00383475"/>
    <w:rsid w:val="00383793"/>
    <w:rsid w:val="00383D35"/>
    <w:rsid w:val="00383DD7"/>
    <w:rsid w:val="00383E2B"/>
    <w:rsid w:val="00384368"/>
    <w:rsid w:val="00384AA7"/>
    <w:rsid w:val="00384D4B"/>
    <w:rsid w:val="00384DE1"/>
    <w:rsid w:val="00384E25"/>
    <w:rsid w:val="0038565B"/>
    <w:rsid w:val="00385A72"/>
    <w:rsid w:val="00385A9D"/>
    <w:rsid w:val="00386046"/>
    <w:rsid w:val="00386A39"/>
    <w:rsid w:val="00386FCD"/>
    <w:rsid w:val="003874FD"/>
    <w:rsid w:val="00387812"/>
    <w:rsid w:val="00387844"/>
    <w:rsid w:val="00387D73"/>
    <w:rsid w:val="00387F5D"/>
    <w:rsid w:val="00390032"/>
    <w:rsid w:val="00390AE9"/>
    <w:rsid w:val="00390BD1"/>
    <w:rsid w:val="00390FD3"/>
    <w:rsid w:val="00391561"/>
    <w:rsid w:val="00391624"/>
    <w:rsid w:val="00391A48"/>
    <w:rsid w:val="0039201D"/>
    <w:rsid w:val="003920AA"/>
    <w:rsid w:val="00392518"/>
    <w:rsid w:val="0039282D"/>
    <w:rsid w:val="00393A1B"/>
    <w:rsid w:val="0039400F"/>
    <w:rsid w:val="003943ED"/>
    <w:rsid w:val="003949F3"/>
    <w:rsid w:val="003951DB"/>
    <w:rsid w:val="0039531D"/>
    <w:rsid w:val="00395499"/>
    <w:rsid w:val="003954A5"/>
    <w:rsid w:val="00395685"/>
    <w:rsid w:val="0039638B"/>
    <w:rsid w:val="0039732D"/>
    <w:rsid w:val="0039736A"/>
    <w:rsid w:val="00397A4A"/>
    <w:rsid w:val="00397EDE"/>
    <w:rsid w:val="00397F12"/>
    <w:rsid w:val="003A01B4"/>
    <w:rsid w:val="003A04E6"/>
    <w:rsid w:val="003A05CD"/>
    <w:rsid w:val="003A0722"/>
    <w:rsid w:val="003A0E36"/>
    <w:rsid w:val="003A1741"/>
    <w:rsid w:val="003A1934"/>
    <w:rsid w:val="003A2561"/>
    <w:rsid w:val="003A2776"/>
    <w:rsid w:val="003A2F89"/>
    <w:rsid w:val="003A38B5"/>
    <w:rsid w:val="003A39DA"/>
    <w:rsid w:val="003A3D90"/>
    <w:rsid w:val="003A3E30"/>
    <w:rsid w:val="003A3ED7"/>
    <w:rsid w:val="003A3FA2"/>
    <w:rsid w:val="003A41B4"/>
    <w:rsid w:val="003A42B6"/>
    <w:rsid w:val="003A470C"/>
    <w:rsid w:val="003A4725"/>
    <w:rsid w:val="003A5402"/>
    <w:rsid w:val="003A5572"/>
    <w:rsid w:val="003A6221"/>
    <w:rsid w:val="003A6AB0"/>
    <w:rsid w:val="003A6B73"/>
    <w:rsid w:val="003A6FB5"/>
    <w:rsid w:val="003A702F"/>
    <w:rsid w:val="003A756B"/>
    <w:rsid w:val="003A7A1F"/>
    <w:rsid w:val="003A7C6C"/>
    <w:rsid w:val="003A7CD5"/>
    <w:rsid w:val="003A7D20"/>
    <w:rsid w:val="003A7F08"/>
    <w:rsid w:val="003A7FF5"/>
    <w:rsid w:val="003B00DB"/>
    <w:rsid w:val="003B0596"/>
    <w:rsid w:val="003B0AF8"/>
    <w:rsid w:val="003B0BE3"/>
    <w:rsid w:val="003B0CCE"/>
    <w:rsid w:val="003B0E9A"/>
    <w:rsid w:val="003B0EBA"/>
    <w:rsid w:val="003B0F6A"/>
    <w:rsid w:val="003B11BC"/>
    <w:rsid w:val="003B1391"/>
    <w:rsid w:val="003B16BE"/>
    <w:rsid w:val="003B1AFC"/>
    <w:rsid w:val="003B1B63"/>
    <w:rsid w:val="003B2277"/>
    <w:rsid w:val="003B27B7"/>
    <w:rsid w:val="003B28CD"/>
    <w:rsid w:val="003B29E4"/>
    <w:rsid w:val="003B2F13"/>
    <w:rsid w:val="003B30CD"/>
    <w:rsid w:val="003B3478"/>
    <w:rsid w:val="003B3684"/>
    <w:rsid w:val="003B371B"/>
    <w:rsid w:val="003B4097"/>
    <w:rsid w:val="003B4499"/>
    <w:rsid w:val="003B50B4"/>
    <w:rsid w:val="003B5144"/>
    <w:rsid w:val="003B5CA6"/>
    <w:rsid w:val="003B5D48"/>
    <w:rsid w:val="003B643B"/>
    <w:rsid w:val="003B65D8"/>
    <w:rsid w:val="003B6AF7"/>
    <w:rsid w:val="003B6D47"/>
    <w:rsid w:val="003B6FAB"/>
    <w:rsid w:val="003B70CB"/>
    <w:rsid w:val="003B7595"/>
    <w:rsid w:val="003B7841"/>
    <w:rsid w:val="003C0189"/>
    <w:rsid w:val="003C0933"/>
    <w:rsid w:val="003C0AA4"/>
    <w:rsid w:val="003C0B6B"/>
    <w:rsid w:val="003C0DEA"/>
    <w:rsid w:val="003C108C"/>
    <w:rsid w:val="003C10FF"/>
    <w:rsid w:val="003C19AD"/>
    <w:rsid w:val="003C19F9"/>
    <w:rsid w:val="003C1C69"/>
    <w:rsid w:val="003C1E67"/>
    <w:rsid w:val="003C2290"/>
    <w:rsid w:val="003C245A"/>
    <w:rsid w:val="003C28C5"/>
    <w:rsid w:val="003C2DF8"/>
    <w:rsid w:val="003C3815"/>
    <w:rsid w:val="003C4D42"/>
    <w:rsid w:val="003C4E2D"/>
    <w:rsid w:val="003C4E8C"/>
    <w:rsid w:val="003C4F99"/>
    <w:rsid w:val="003C543A"/>
    <w:rsid w:val="003C56CB"/>
    <w:rsid w:val="003C5808"/>
    <w:rsid w:val="003C5B6F"/>
    <w:rsid w:val="003C60EC"/>
    <w:rsid w:val="003C6123"/>
    <w:rsid w:val="003C669E"/>
    <w:rsid w:val="003C681F"/>
    <w:rsid w:val="003C6A36"/>
    <w:rsid w:val="003C6C6A"/>
    <w:rsid w:val="003C6FD7"/>
    <w:rsid w:val="003C7117"/>
    <w:rsid w:val="003C72B0"/>
    <w:rsid w:val="003C72EE"/>
    <w:rsid w:val="003C765F"/>
    <w:rsid w:val="003C7945"/>
    <w:rsid w:val="003C7B63"/>
    <w:rsid w:val="003C7CFB"/>
    <w:rsid w:val="003C7FCD"/>
    <w:rsid w:val="003D0517"/>
    <w:rsid w:val="003D062B"/>
    <w:rsid w:val="003D0E9A"/>
    <w:rsid w:val="003D0FF6"/>
    <w:rsid w:val="003D100C"/>
    <w:rsid w:val="003D106D"/>
    <w:rsid w:val="003D1723"/>
    <w:rsid w:val="003D21FE"/>
    <w:rsid w:val="003D25CB"/>
    <w:rsid w:val="003D2921"/>
    <w:rsid w:val="003D2C90"/>
    <w:rsid w:val="003D36FA"/>
    <w:rsid w:val="003D37A0"/>
    <w:rsid w:val="003D3D14"/>
    <w:rsid w:val="003D406B"/>
    <w:rsid w:val="003D52CB"/>
    <w:rsid w:val="003D556F"/>
    <w:rsid w:val="003D5E53"/>
    <w:rsid w:val="003D61D9"/>
    <w:rsid w:val="003D62A7"/>
    <w:rsid w:val="003D68D5"/>
    <w:rsid w:val="003D6A47"/>
    <w:rsid w:val="003D6EA4"/>
    <w:rsid w:val="003D7082"/>
    <w:rsid w:val="003D70BA"/>
    <w:rsid w:val="003D71F9"/>
    <w:rsid w:val="003D758A"/>
    <w:rsid w:val="003D7A51"/>
    <w:rsid w:val="003D7D96"/>
    <w:rsid w:val="003E0438"/>
    <w:rsid w:val="003E0698"/>
    <w:rsid w:val="003E0F68"/>
    <w:rsid w:val="003E11E5"/>
    <w:rsid w:val="003E1504"/>
    <w:rsid w:val="003E181D"/>
    <w:rsid w:val="003E1893"/>
    <w:rsid w:val="003E19DA"/>
    <w:rsid w:val="003E1B43"/>
    <w:rsid w:val="003E214D"/>
    <w:rsid w:val="003E23A2"/>
    <w:rsid w:val="003E23C1"/>
    <w:rsid w:val="003E257E"/>
    <w:rsid w:val="003E2836"/>
    <w:rsid w:val="003E2986"/>
    <w:rsid w:val="003E2A2B"/>
    <w:rsid w:val="003E2C0E"/>
    <w:rsid w:val="003E2C11"/>
    <w:rsid w:val="003E2CE9"/>
    <w:rsid w:val="003E2D9B"/>
    <w:rsid w:val="003E339A"/>
    <w:rsid w:val="003E365C"/>
    <w:rsid w:val="003E3947"/>
    <w:rsid w:val="003E41D3"/>
    <w:rsid w:val="003E424D"/>
    <w:rsid w:val="003E434C"/>
    <w:rsid w:val="003E4416"/>
    <w:rsid w:val="003E45C0"/>
    <w:rsid w:val="003E45D8"/>
    <w:rsid w:val="003E4945"/>
    <w:rsid w:val="003E4B25"/>
    <w:rsid w:val="003E501E"/>
    <w:rsid w:val="003E5B5E"/>
    <w:rsid w:val="003E5ED1"/>
    <w:rsid w:val="003E6103"/>
    <w:rsid w:val="003E6120"/>
    <w:rsid w:val="003E640E"/>
    <w:rsid w:val="003E6522"/>
    <w:rsid w:val="003E6614"/>
    <w:rsid w:val="003E6A00"/>
    <w:rsid w:val="003E6BA9"/>
    <w:rsid w:val="003E6C86"/>
    <w:rsid w:val="003E71BD"/>
    <w:rsid w:val="003E724B"/>
    <w:rsid w:val="003E7428"/>
    <w:rsid w:val="003E74F2"/>
    <w:rsid w:val="003E757A"/>
    <w:rsid w:val="003E7730"/>
    <w:rsid w:val="003E7B46"/>
    <w:rsid w:val="003F08BA"/>
    <w:rsid w:val="003F0A19"/>
    <w:rsid w:val="003F0AAB"/>
    <w:rsid w:val="003F1D79"/>
    <w:rsid w:val="003F1F19"/>
    <w:rsid w:val="003F21BF"/>
    <w:rsid w:val="003F22BC"/>
    <w:rsid w:val="003F26B5"/>
    <w:rsid w:val="003F27F4"/>
    <w:rsid w:val="003F2E47"/>
    <w:rsid w:val="003F2FF3"/>
    <w:rsid w:val="003F34EF"/>
    <w:rsid w:val="003F35FA"/>
    <w:rsid w:val="003F39E8"/>
    <w:rsid w:val="003F3F0A"/>
    <w:rsid w:val="003F40C2"/>
    <w:rsid w:val="003F5005"/>
    <w:rsid w:val="003F597C"/>
    <w:rsid w:val="003F5CB1"/>
    <w:rsid w:val="003F5E26"/>
    <w:rsid w:val="003F5F61"/>
    <w:rsid w:val="003F61D2"/>
    <w:rsid w:val="003F6537"/>
    <w:rsid w:val="003F653B"/>
    <w:rsid w:val="003F67D2"/>
    <w:rsid w:val="003F6CF1"/>
    <w:rsid w:val="003F6EAE"/>
    <w:rsid w:val="003F6FCC"/>
    <w:rsid w:val="003F6FF2"/>
    <w:rsid w:val="003F701A"/>
    <w:rsid w:val="003F72DB"/>
    <w:rsid w:val="003F7A46"/>
    <w:rsid w:val="00400B60"/>
    <w:rsid w:val="00400DD2"/>
    <w:rsid w:val="004015EA"/>
    <w:rsid w:val="004016B5"/>
    <w:rsid w:val="004016CC"/>
    <w:rsid w:val="004026D6"/>
    <w:rsid w:val="004027DA"/>
    <w:rsid w:val="00402A3F"/>
    <w:rsid w:val="00403588"/>
    <w:rsid w:val="004039D9"/>
    <w:rsid w:val="00403E55"/>
    <w:rsid w:val="00404333"/>
    <w:rsid w:val="00404355"/>
    <w:rsid w:val="00404670"/>
    <w:rsid w:val="00404D74"/>
    <w:rsid w:val="00404E90"/>
    <w:rsid w:val="004055C0"/>
    <w:rsid w:val="004058C8"/>
    <w:rsid w:val="00405A84"/>
    <w:rsid w:val="00405E5F"/>
    <w:rsid w:val="00405EA6"/>
    <w:rsid w:val="00406154"/>
    <w:rsid w:val="004063F8"/>
    <w:rsid w:val="0040645D"/>
    <w:rsid w:val="004064E5"/>
    <w:rsid w:val="0040668B"/>
    <w:rsid w:val="00406E7C"/>
    <w:rsid w:val="00407229"/>
    <w:rsid w:val="004078D4"/>
    <w:rsid w:val="00407D3F"/>
    <w:rsid w:val="00407E24"/>
    <w:rsid w:val="00410ADE"/>
    <w:rsid w:val="00410D8A"/>
    <w:rsid w:val="004113BA"/>
    <w:rsid w:val="0041148E"/>
    <w:rsid w:val="00411851"/>
    <w:rsid w:val="00412B79"/>
    <w:rsid w:val="00412CD0"/>
    <w:rsid w:val="004133B2"/>
    <w:rsid w:val="004133C3"/>
    <w:rsid w:val="004135FC"/>
    <w:rsid w:val="00413801"/>
    <w:rsid w:val="00413917"/>
    <w:rsid w:val="00413EC8"/>
    <w:rsid w:val="00414AD0"/>
    <w:rsid w:val="0041500C"/>
    <w:rsid w:val="0041566E"/>
    <w:rsid w:val="004157C5"/>
    <w:rsid w:val="00415A03"/>
    <w:rsid w:val="00415E85"/>
    <w:rsid w:val="00415EF1"/>
    <w:rsid w:val="00415F4C"/>
    <w:rsid w:val="004161FF"/>
    <w:rsid w:val="0041692E"/>
    <w:rsid w:val="004169F5"/>
    <w:rsid w:val="00416A19"/>
    <w:rsid w:val="00417461"/>
    <w:rsid w:val="00420344"/>
    <w:rsid w:val="0042076B"/>
    <w:rsid w:val="00420B16"/>
    <w:rsid w:val="00420CF8"/>
    <w:rsid w:val="00420D95"/>
    <w:rsid w:val="00420DD8"/>
    <w:rsid w:val="00420F6C"/>
    <w:rsid w:val="0042117E"/>
    <w:rsid w:val="0042123E"/>
    <w:rsid w:val="00421254"/>
    <w:rsid w:val="00421409"/>
    <w:rsid w:val="0042159B"/>
    <w:rsid w:val="00422079"/>
    <w:rsid w:val="00422831"/>
    <w:rsid w:val="00422CE9"/>
    <w:rsid w:val="00422F06"/>
    <w:rsid w:val="00423440"/>
    <w:rsid w:val="0042396A"/>
    <w:rsid w:val="00423B57"/>
    <w:rsid w:val="00423D36"/>
    <w:rsid w:val="004241C9"/>
    <w:rsid w:val="00424314"/>
    <w:rsid w:val="004248DD"/>
    <w:rsid w:val="00424AEA"/>
    <w:rsid w:val="00424CCE"/>
    <w:rsid w:val="00424CDF"/>
    <w:rsid w:val="00424ED6"/>
    <w:rsid w:val="00424FC7"/>
    <w:rsid w:val="00425370"/>
    <w:rsid w:val="00425B6B"/>
    <w:rsid w:val="00425C38"/>
    <w:rsid w:val="00425E28"/>
    <w:rsid w:val="00426BEB"/>
    <w:rsid w:val="00427022"/>
    <w:rsid w:val="004273CB"/>
    <w:rsid w:val="004274C5"/>
    <w:rsid w:val="004277A5"/>
    <w:rsid w:val="0042796B"/>
    <w:rsid w:val="00427B6B"/>
    <w:rsid w:val="00427C0E"/>
    <w:rsid w:val="0043009E"/>
    <w:rsid w:val="00430111"/>
    <w:rsid w:val="004302D6"/>
    <w:rsid w:val="00430877"/>
    <w:rsid w:val="00431005"/>
    <w:rsid w:val="0043106E"/>
    <w:rsid w:val="004312F3"/>
    <w:rsid w:val="0043162C"/>
    <w:rsid w:val="00431A98"/>
    <w:rsid w:val="00431C50"/>
    <w:rsid w:val="004321A6"/>
    <w:rsid w:val="0043244E"/>
    <w:rsid w:val="004328AA"/>
    <w:rsid w:val="004328C5"/>
    <w:rsid w:val="00432952"/>
    <w:rsid w:val="0043296C"/>
    <w:rsid w:val="00432A5E"/>
    <w:rsid w:val="00432B52"/>
    <w:rsid w:val="00432E75"/>
    <w:rsid w:val="00432EE1"/>
    <w:rsid w:val="00432F87"/>
    <w:rsid w:val="00433058"/>
    <w:rsid w:val="00433174"/>
    <w:rsid w:val="004332AC"/>
    <w:rsid w:val="004333FB"/>
    <w:rsid w:val="00433419"/>
    <w:rsid w:val="00433643"/>
    <w:rsid w:val="00433C07"/>
    <w:rsid w:val="004340C4"/>
    <w:rsid w:val="0043421A"/>
    <w:rsid w:val="0043471A"/>
    <w:rsid w:val="00434F47"/>
    <w:rsid w:val="0043517D"/>
    <w:rsid w:val="004352BC"/>
    <w:rsid w:val="00435B60"/>
    <w:rsid w:val="00436436"/>
    <w:rsid w:val="004364B5"/>
    <w:rsid w:val="00436D2F"/>
    <w:rsid w:val="004371F6"/>
    <w:rsid w:val="00437D84"/>
    <w:rsid w:val="004403FF"/>
    <w:rsid w:val="00440EBA"/>
    <w:rsid w:val="0044111C"/>
    <w:rsid w:val="004411D8"/>
    <w:rsid w:val="00441B08"/>
    <w:rsid w:val="0044224D"/>
    <w:rsid w:val="00442FD0"/>
    <w:rsid w:val="00443A1C"/>
    <w:rsid w:val="00443E28"/>
    <w:rsid w:val="00443EFE"/>
    <w:rsid w:val="00444092"/>
    <w:rsid w:val="00444253"/>
    <w:rsid w:val="004443FD"/>
    <w:rsid w:val="00445947"/>
    <w:rsid w:val="00446235"/>
    <w:rsid w:val="00446297"/>
    <w:rsid w:val="004467A9"/>
    <w:rsid w:val="00446B80"/>
    <w:rsid w:val="00446BB1"/>
    <w:rsid w:val="00447DB1"/>
    <w:rsid w:val="00447F22"/>
    <w:rsid w:val="00447F50"/>
    <w:rsid w:val="00447FB1"/>
    <w:rsid w:val="004500DA"/>
    <w:rsid w:val="00450183"/>
    <w:rsid w:val="0045048B"/>
    <w:rsid w:val="00450742"/>
    <w:rsid w:val="0045122E"/>
    <w:rsid w:val="00451528"/>
    <w:rsid w:val="004515B0"/>
    <w:rsid w:val="0045275B"/>
    <w:rsid w:val="0045348E"/>
    <w:rsid w:val="00453E1C"/>
    <w:rsid w:val="00453EF3"/>
    <w:rsid w:val="004540C3"/>
    <w:rsid w:val="004546C3"/>
    <w:rsid w:val="0045483C"/>
    <w:rsid w:val="00454D0B"/>
    <w:rsid w:val="00454D49"/>
    <w:rsid w:val="00454F4B"/>
    <w:rsid w:val="0045549D"/>
    <w:rsid w:val="00455504"/>
    <w:rsid w:val="0045566E"/>
    <w:rsid w:val="00455DF6"/>
    <w:rsid w:val="00455E79"/>
    <w:rsid w:val="0045623E"/>
    <w:rsid w:val="00456472"/>
    <w:rsid w:val="00456B73"/>
    <w:rsid w:val="00456B7F"/>
    <w:rsid w:val="0045713E"/>
    <w:rsid w:val="004571B3"/>
    <w:rsid w:val="00457785"/>
    <w:rsid w:val="0045799D"/>
    <w:rsid w:val="00457F1E"/>
    <w:rsid w:val="00460273"/>
    <w:rsid w:val="004603E3"/>
    <w:rsid w:val="00460651"/>
    <w:rsid w:val="004608A1"/>
    <w:rsid w:val="004609A2"/>
    <w:rsid w:val="00460E05"/>
    <w:rsid w:val="00461248"/>
    <w:rsid w:val="004614C1"/>
    <w:rsid w:val="00461873"/>
    <w:rsid w:val="0046194C"/>
    <w:rsid w:val="00461A6C"/>
    <w:rsid w:val="00461B5F"/>
    <w:rsid w:val="00461F0F"/>
    <w:rsid w:val="004620C7"/>
    <w:rsid w:val="00462183"/>
    <w:rsid w:val="004621F5"/>
    <w:rsid w:val="004622C4"/>
    <w:rsid w:val="004631E2"/>
    <w:rsid w:val="00463978"/>
    <w:rsid w:val="00463BEF"/>
    <w:rsid w:val="00463D4B"/>
    <w:rsid w:val="0046425D"/>
    <w:rsid w:val="004645EC"/>
    <w:rsid w:val="00464673"/>
    <w:rsid w:val="004649E3"/>
    <w:rsid w:val="00464CCF"/>
    <w:rsid w:val="00464E3F"/>
    <w:rsid w:val="00464F32"/>
    <w:rsid w:val="00465321"/>
    <w:rsid w:val="0046540F"/>
    <w:rsid w:val="004654C1"/>
    <w:rsid w:val="00465A93"/>
    <w:rsid w:val="00465C00"/>
    <w:rsid w:val="00465CCB"/>
    <w:rsid w:val="0046600A"/>
    <w:rsid w:val="004661EB"/>
    <w:rsid w:val="00466944"/>
    <w:rsid w:val="004669C6"/>
    <w:rsid w:val="00466DF8"/>
    <w:rsid w:val="00467115"/>
    <w:rsid w:val="0046722E"/>
    <w:rsid w:val="00467606"/>
    <w:rsid w:val="00467838"/>
    <w:rsid w:val="00470669"/>
    <w:rsid w:val="00470BBD"/>
    <w:rsid w:val="00470BCE"/>
    <w:rsid w:val="00470E4B"/>
    <w:rsid w:val="00470FCB"/>
    <w:rsid w:val="0047114C"/>
    <w:rsid w:val="00471768"/>
    <w:rsid w:val="00472C5F"/>
    <w:rsid w:val="00472D6B"/>
    <w:rsid w:val="00473849"/>
    <w:rsid w:val="0047391A"/>
    <w:rsid w:val="00473B88"/>
    <w:rsid w:val="00473DE2"/>
    <w:rsid w:val="004741EC"/>
    <w:rsid w:val="004745B9"/>
    <w:rsid w:val="00474688"/>
    <w:rsid w:val="00474689"/>
    <w:rsid w:val="00474E6B"/>
    <w:rsid w:val="00474F48"/>
    <w:rsid w:val="004750A1"/>
    <w:rsid w:val="00476245"/>
    <w:rsid w:val="0047666D"/>
    <w:rsid w:val="004768AC"/>
    <w:rsid w:val="00476929"/>
    <w:rsid w:val="00476A32"/>
    <w:rsid w:val="00476AC6"/>
    <w:rsid w:val="00477796"/>
    <w:rsid w:val="004777A8"/>
    <w:rsid w:val="00480072"/>
    <w:rsid w:val="004800F1"/>
    <w:rsid w:val="004801E1"/>
    <w:rsid w:val="00480219"/>
    <w:rsid w:val="00480661"/>
    <w:rsid w:val="004808E5"/>
    <w:rsid w:val="004808F0"/>
    <w:rsid w:val="00480C9A"/>
    <w:rsid w:val="004813E3"/>
    <w:rsid w:val="00481548"/>
    <w:rsid w:val="0048195E"/>
    <w:rsid w:val="004820E2"/>
    <w:rsid w:val="00482123"/>
    <w:rsid w:val="00482B2B"/>
    <w:rsid w:val="00482D0F"/>
    <w:rsid w:val="0048363D"/>
    <w:rsid w:val="0048389B"/>
    <w:rsid w:val="00483BAF"/>
    <w:rsid w:val="00483DDA"/>
    <w:rsid w:val="00483E3E"/>
    <w:rsid w:val="00483EAA"/>
    <w:rsid w:val="00483F3E"/>
    <w:rsid w:val="00484142"/>
    <w:rsid w:val="0048441E"/>
    <w:rsid w:val="0048460C"/>
    <w:rsid w:val="00484833"/>
    <w:rsid w:val="00484C0E"/>
    <w:rsid w:val="00485EBC"/>
    <w:rsid w:val="0048614C"/>
    <w:rsid w:val="00486282"/>
    <w:rsid w:val="0048694F"/>
    <w:rsid w:val="00486E40"/>
    <w:rsid w:val="00486F79"/>
    <w:rsid w:val="004871E3"/>
    <w:rsid w:val="004872D9"/>
    <w:rsid w:val="004872F0"/>
    <w:rsid w:val="004875C9"/>
    <w:rsid w:val="00487644"/>
    <w:rsid w:val="00487810"/>
    <w:rsid w:val="0048784C"/>
    <w:rsid w:val="00487BBA"/>
    <w:rsid w:val="00490087"/>
    <w:rsid w:val="00490146"/>
    <w:rsid w:val="00490519"/>
    <w:rsid w:val="0049057B"/>
    <w:rsid w:val="0049079A"/>
    <w:rsid w:val="00490EBF"/>
    <w:rsid w:val="004911DB"/>
    <w:rsid w:val="0049121A"/>
    <w:rsid w:val="00491427"/>
    <w:rsid w:val="004916EF"/>
    <w:rsid w:val="004919AF"/>
    <w:rsid w:val="004919B6"/>
    <w:rsid w:val="00491C6C"/>
    <w:rsid w:val="00491DF1"/>
    <w:rsid w:val="004921AB"/>
    <w:rsid w:val="00492369"/>
    <w:rsid w:val="0049243B"/>
    <w:rsid w:val="00492C39"/>
    <w:rsid w:val="00492C49"/>
    <w:rsid w:val="00492C6E"/>
    <w:rsid w:val="00492D1E"/>
    <w:rsid w:val="00492E38"/>
    <w:rsid w:val="00492EEE"/>
    <w:rsid w:val="00492FEA"/>
    <w:rsid w:val="0049351A"/>
    <w:rsid w:val="00493C93"/>
    <w:rsid w:val="00493CAA"/>
    <w:rsid w:val="00494D43"/>
    <w:rsid w:val="004951BD"/>
    <w:rsid w:val="00495250"/>
    <w:rsid w:val="00495366"/>
    <w:rsid w:val="004957EE"/>
    <w:rsid w:val="00495E43"/>
    <w:rsid w:val="0049633E"/>
    <w:rsid w:val="004966EA"/>
    <w:rsid w:val="00497092"/>
    <w:rsid w:val="00497109"/>
    <w:rsid w:val="00497214"/>
    <w:rsid w:val="004973F5"/>
    <w:rsid w:val="00497792"/>
    <w:rsid w:val="004979AF"/>
    <w:rsid w:val="004A048B"/>
    <w:rsid w:val="004A06E3"/>
    <w:rsid w:val="004A0861"/>
    <w:rsid w:val="004A087F"/>
    <w:rsid w:val="004A08CE"/>
    <w:rsid w:val="004A09CA"/>
    <w:rsid w:val="004A0CD1"/>
    <w:rsid w:val="004A146B"/>
    <w:rsid w:val="004A1A6E"/>
    <w:rsid w:val="004A1E4A"/>
    <w:rsid w:val="004A2208"/>
    <w:rsid w:val="004A291B"/>
    <w:rsid w:val="004A2A87"/>
    <w:rsid w:val="004A2C7A"/>
    <w:rsid w:val="004A2D01"/>
    <w:rsid w:val="004A3217"/>
    <w:rsid w:val="004A325E"/>
    <w:rsid w:val="004A33CB"/>
    <w:rsid w:val="004A37D9"/>
    <w:rsid w:val="004A4D21"/>
    <w:rsid w:val="004A4E5B"/>
    <w:rsid w:val="004A543C"/>
    <w:rsid w:val="004A5E9B"/>
    <w:rsid w:val="004A5EE4"/>
    <w:rsid w:val="004A6021"/>
    <w:rsid w:val="004A6C14"/>
    <w:rsid w:val="004A6F65"/>
    <w:rsid w:val="004A76BE"/>
    <w:rsid w:val="004B011F"/>
    <w:rsid w:val="004B0121"/>
    <w:rsid w:val="004B041B"/>
    <w:rsid w:val="004B044F"/>
    <w:rsid w:val="004B0472"/>
    <w:rsid w:val="004B058C"/>
    <w:rsid w:val="004B07A0"/>
    <w:rsid w:val="004B0DE8"/>
    <w:rsid w:val="004B0FCA"/>
    <w:rsid w:val="004B12B4"/>
    <w:rsid w:val="004B2002"/>
    <w:rsid w:val="004B2161"/>
    <w:rsid w:val="004B2263"/>
    <w:rsid w:val="004B29F4"/>
    <w:rsid w:val="004B31C9"/>
    <w:rsid w:val="004B3313"/>
    <w:rsid w:val="004B3EB0"/>
    <w:rsid w:val="004B4336"/>
    <w:rsid w:val="004B4B7A"/>
    <w:rsid w:val="004B549A"/>
    <w:rsid w:val="004B555A"/>
    <w:rsid w:val="004B570C"/>
    <w:rsid w:val="004B5813"/>
    <w:rsid w:val="004B624B"/>
    <w:rsid w:val="004B6D82"/>
    <w:rsid w:val="004B7665"/>
    <w:rsid w:val="004B7F0E"/>
    <w:rsid w:val="004C02EC"/>
    <w:rsid w:val="004C077E"/>
    <w:rsid w:val="004C131B"/>
    <w:rsid w:val="004C1369"/>
    <w:rsid w:val="004C1849"/>
    <w:rsid w:val="004C1C34"/>
    <w:rsid w:val="004C1F5B"/>
    <w:rsid w:val="004C2458"/>
    <w:rsid w:val="004C2A77"/>
    <w:rsid w:val="004C2B21"/>
    <w:rsid w:val="004C3B89"/>
    <w:rsid w:val="004C4338"/>
    <w:rsid w:val="004C43A3"/>
    <w:rsid w:val="004C4618"/>
    <w:rsid w:val="004C4B58"/>
    <w:rsid w:val="004C4EDD"/>
    <w:rsid w:val="004C5274"/>
    <w:rsid w:val="004C52E6"/>
    <w:rsid w:val="004C5447"/>
    <w:rsid w:val="004C58A4"/>
    <w:rsid w:val="004C5CE9"/>
    <w:rsid w:val="004C5EF0"/>
    <w:rsid w:val="004C5F2A"/>
    <w:rsid w:val="004C5F85"/>
    <w:rsid w:val="004C61A9"/>
    <w:rsid w:val="004C63AC"/>
    <w:rsid w:val="004C63EA"/>
    <w:rsid w:val="004C6F61"/>
    <w:rsid w:val="004D0310"/>
    <w:rsid w:val="004D056B"/>
    <w:rsid w:val="004D07CE"/>
    <w:rsid w:val="004D129E"/>
    <w:rsid w:val="004D14A0"/>
    <w:rsid w:val="004D1A02"/>
    <w:rsid w:val="004D1D6B"/>
    <w:rsid w:val="004D2805"/>
    <w:rsid w:val="004D289C"/>
    <w:rsid w:val="004D2D2E"/>
    <w:rsid w:val="004D2D76"/>
    <w:rsid w:val="004D30DB"/>
    <w:rsid w:val="004D3246"/>
    <w:rsid w:val="004D37DC"/>
    <w:rsid w:val="004D3C19"/>
    <w:rsid w:val="004D3C58"/>
    <w:rsid w:val="004D3E43"/>
    <w:rsid w:val="004D3E49"/>
    <w:rsid w:val="004D3F7A"/>
    <w:rsid w:val="004D40AD"/>
    <w:rsid w:val="004D43B6"/>
    <w:rsid w:val="004D4ADA"/>
    <w:rsid w:val="004D4BA7"/>
    <w:rsid w:val="004D5051"/>
    <w:rsid w:val="004D6730"/>
    <w:rsid w:val="004D6E58"/>
    <w:rsid w:val="004D7530"/>
    <w:rsid w:val="004D7874"/>
    <w:rsid w:val="004D7A1B"/>
    <w:rsid w:val="004E08D1"/>
    <w:rsid w:val="004E138D"/>
    <w:rsid w:val="004E168D"/>
    <w:rsid w:val="004E17DB"/>
    <w:rsid w:val="004E1AD4"/>
    <w:rsid w:val="004E1CF7"/>
    <w:rsid w:val="004E1F6F"/>
    <w:rsid w:val="004E212C"/>
    <w:rsid w:val="004E2612"/>
    <w:rsid w:val="004E266D"/>
    <w:rsid w:val="004E2AD2"/>
    <w:rsid w:val="004E2F79"/>
    <w:rsid w:val="004E337B"/>
    <w:rsid w:val="004E386B"/>
    <w:rsid w:val="004E3996"/>
    <w:rsid w:val="004E3AF8"/>
    <w:rsid w:val="004E4020"/>
    <w:rsid w:val="004E44E5"/>
    <w:rsid w:val="004E45A9"/>
    <w:rsid w:val="004E5208"/>
    <w:rsid w:val="004E5360"/>
    <w:rsid w:val="004E5A6F"/>
    <w:rsid w:val="004E5FD5"/>
    <w:rsid w:val="004E60E3"/>
    <w:rsid w:val="004E6F11"/>
    <w:rsid w:val="004E70C4"/>
    <w:rsid w:val="004E75A4"/>
    <w:rsid w:val="004E761B"/>
    <w:rsid w:val="004E77CE"/>
    <w:rsid w:val="004E785E"/>
    <w:rsid w:val="004E7970"/>
    <w:rsid w:val="004E7C36"/>
    <w:rsid w:val="004E7C5E"/>
    <w:rsid w:val="004E7FCF"/>
    <w:rsid w:val="004F0201"/>
    <w:rsid w:val="004F1075"/>
    <w:rsid w:val="004F110F"/>
    <w:rsid w:val="004F13B1"/>
    <w:rsid w:val="004F1E57"/>
    <w:rsid w:val="004F203D"/>
    <w:rsid w:val="004F23DB"/>
    <w:rsid w:val="004F2579"/>
    <w:rsid w:val="004F2A47"/>
    <w:rsid w:val="004F2B5E"/>
    <w:rsid w:val="004F2E18"/>
    <w:rsid w:val="004F399B"/>
    <w:rsid w:val="004F3C87"/>
    <w:rsid w:val="004F6B48"/>
    <w:rsid w:val="004F6DB7"/>
    <w:rsid w:val="004F6EA3"/>
    <w:rsid w:val="004F722A"/>
    <w:rsid w:val="004F7347"/>
    <w:rsid w:val="004F7392"/>
    <w:rsid w:val="004F7770"/>
    <w:rsid w:val="004F7774"/>
    <w:rsid w:val="004F78CE"/>
    <w:rsid w:val="004F7CEC"/>
    <w:rsid w:val="004F7DE6"/>
    <w:rsid w:val="004F7FED"/>
    <w:rsid w:val="00500197"/>
    <w:rsid w:val="00500442"/>
    <w:rsid w:val="00500609"/>
    <w:rsid w:val="005006C9"/>
    <w:rsid w:val="005007B0"/>
    <w:rsid w:val="005007C4"/>
    <w:rsid w:val="00500F5F"/>
    <w:rsid w:val="005010D2"/>
    <w:rsid w:val="005014BE"/>
    <w:rsid w:val="00501734"/>
    <w:rsid w:val="0050175D"/>
    <w:rsid w:val="005022A5"/>
    <w:rsid w:val="0050235D"/>
    <w:rsid w:val="005023D7"/>
    <w:rsid w:val="00502521"/>
    <w:rsid w:val="005025CD"/>
    <w:rsid w:val="0050266A"/>
    <w:rsid w:val="0050272C"/>
    <w:rsid w:val="00502CF0"/>
    <w:rsid w:val="00502E55"/>
    <w:rsid w:val="00503A9E"/>
    <w:rsid w:val="00503F89"/>
    <w:rsid w:val="0050410E"/>
    <w:rsid w:val="0050416D"/>
    <w:rsid w:val="005043B9"/>
    <w:rsid w:val="00504502"/>
    <w:rsid w:val="005045B5"/>
    <w:rsid w:val="00504723"/>
    <w:rsid w:val="00504A11"/>
    <w:rsid w:val="00504EAD"/>
    <w:rsid w:val="0050541E"/>
    <w:rsid w:val="00505463"/>
    <w:rsid w:val="00505D5D"/>
    <w:rsid w:val="00505FFB"/>
    <w:rsid w:val="005063A2"/>
    <w:rsid w:val="0050663F"/>
    <w:rsid w:val="0050673F"/>
    <w:rsid w:val="0050681E"/>
    <w:rsid w:val="00506A6B"/>
    <w:rsid w:val="00506C32"/>
    <w:rsid w:val="0050715B"/>
    <w:rsid w:val="005073F8"/>
    <w:rsid w:val="00507776"/>
    <w:rsid w:val="00507F24"/>
    <w:rsid w:val="00507FEC"/>
    <w:rsid w:val="00510408"/>
    <w:rsid w:val="00510760"/>
    <w:rsid w:val="00510763"/>
    <w:rsid w:val="0051088E"/>
    <w:rsid w:val="00510C82"/>
    <w:rsid w:val="00510D8D"/>
    <w:rsid w:val="00510E8C"/>
    <w:rsid w:val="00511190"/>
    <w:rsid w:val="00511914"/>
    <w:rsid w:val="0051192E"/>
    <w:rsid w:val="00511F69"/>
    <w:rsid w:val="0051279D"/>
    <w:rsid w:val="00512820"/>
    <w:rsid w:val="00512B14"/>
    <w:rsid w:val="00513076"/>
    <w:rsid w:val="005131C0"/>
    <w:rsid w:val="005136C2"/>
    <w:rsid w:val="00513DF6"/>
    <w:rsid w:val="00514138"/>
    <w:rsid w:val="00514456"/>
    <w:rsid w:val="0051470B"/>
    <w:rsid w:val="00514975"/>
    <w:rsid w:val="00514D1B"/>
    <w:rsid w:val="00514D9F"/>
    <w:rsid w:val="00515053"/>
    <w:rsid w:val="005155F8"/>
    <w:rsid w:val="00515768"/>
    <w:rsid w:val="005158A7"/>
    <w:rsid w:val="00515C3F"/>
    <w:rsid w:val="00516121"/>
    <w:rsid w:val="0051618D"/>
    <w:rsid w:val="00516A03"/>
    <w:rsid w:val="00516D92"/>
    <w:rsid w:val="0051753E"/>
    <w:rsid w:val="005177C1"/>
    <w:rsid w:val="00517870"/>
    <w:rsid w:val="00517E92"/>
    <w:rsid w:val="005202F7"/>
    <w:rsid w:val="0052030E"/>
    <w:rsid w:val="00520893"/>
    <w:rsid w:val="00520CFB"/>
    <w:rsid w:val="00520F55"/>
    <w:rsid w:val="00520FEA"/>
    <w:rsid w:val="005210A5"/>
    <w:rsid w:val="00521594"/>
    <w:rsid w:val="00521FC9"/>
    <w:rsid w:val="005228A7"/>
    <w:rsid w:val="00522B90"/>
    <w:rsid w:val="00522D9D"/>
    <w:rsid w:val="00522E44"/>
    <w:rsid w:val="005233D1"/>
    <w:rsid w:val="005235BA"/>
    <w:rsid w:val="0052379A"/>
    <w:rsid w:val="00523894"/>
    <w:rsid w:val="005240FF"/>
    <w:rsid w:val="00524422"/>
    <w:rsid w:val="00524BD8"/>
    <w:rsid w:val="00524CF8"/>
    <w:rsid w:val="0052558C"/>
    <w:rsid w:val="005261DD"/>
    <w:rsid w:val="005262FA"/>
    <w:rsid w:val="005266FB"/>
    <w:rsid w:val="00526AF1"/>
    <w:rsid w:val="00526D60"/>
    <w:rsid w:val="00526FC3"/>
    <w:rsid w:val="005270EA"/>
    <w:rsid w:val="00527B85"/>
    <w:rsid w:val="00527BA2"/>
    <w:rsid w:val="00527E29"/>
    <w:rsid w:val="00527EB7"/>
    <w:rsid w:val="00527F5C"/>
    <w:rsid w:val="005305A9"/>
    <w:rsid w:val="00530740"/>
    <w:rsid w:val="005307D0"/>
    <w:rsid w:val="00530822"/>
    <w:rsid w:val="00530B8D"/>
    <w:rsid w:val="00531171"/>
    <w:rsid w:val="00531981"/>
    <w:rsid w:val="00531B02"/>
    <w:rsid w:val="00531B3A"/>
    <w:rsid w:val="00532424"/>
    <w:rsid w:val="005324DF"/>
    <w:rsid w:val="0053262C"/>
    <w:rsid w:val="0053263B"/>
    <w:rsid w:val="00532662"/>
    <w:rsid w:val="00533035"/>
    <w:rsid w:val="00533A04"/>
    <w:rsid w:val="00533D1B"/>
    <w:rsid w:val="0053431F"/>
    <w:rsid w:val="005345A9"/>
    <w:rsid w:val="00534707"/>
    <w:rsid w:val="00534820"/>
    <w:rsid w:val="00534BB3"/>
    <w:rsid w:val="00534F88"/>
    <w:rsid w:val="005361B2"/>
    <w:rsid w:val="0053629B"/>
    <w:rsid w:val="005367CA"/>
    <w:rsid w:val="00536932"/>
    <w:rsid w:val="00536C10"/>
    <w:rsid w:val="0053769E"/>
    <w:rsid w:val="00537801"/>
    <w:rsid w:val="0053786D"/>
    <w:rsid w:val="00537D15"/>
    <w:rsid w:val="00537D6E"/>
    <w:rsid w:val="0054087E"/>
    <w:rsid w:val="00540B36"/>
    <w:rsid w:val="00540C8A"/>
    <w:rsid w:val="00540C94"/>
    <w:rsid w:val="0054124F"/>
    <w:rsid w:val="005413FC"/>
    <w:rsid w:val="00541A31"/>
    <w:rsid w:val="00541FA6"/>
    <w:rsid w:val="00542A78"/>
    <w:rsid w:val="00542EF0"/>
    <w:rsid w:val="005442EA"/>
    <w:rsid w:val="0054522F"/>
    <w:rsid w:val="00545376"/>
    <w:rsid w:val="00545BF6"/>
    <w:rsid w:val="00545DDF"/>
    <w:rsid w:val="0054644F"/>
    <w:rsid w:val="00547B39"/>
    <w:rsid w:val="005504F2"/>
    <w:rsid w:val="00550B6A"/>
    <w:rsid w:val="00550CC5"/>
    <w:rsid w:val="00550D83"/>
    <w:rsid w:val="00550E37"/>
    <w:rsid w:val="00551151"/>
    <w:rsid w:val="0055142E"/>
    <w:rsid w:val="005519A4"/>
    <w:rsid w:val="005523A1"/>
    <w:rsid w:val="0055258A"/>
    <w:rsid w:val="00552728"/>
    <w:rsid w:val="00552815"/>
    <w:rsid w:val="0055291C"/>
    <w:rsid w:val="00552D3E"/>
    <w:rsid w:val="00552E2C"/>
    <w:rsid w:val="0055311B"/>
    <w:rsid w:val="005533EF"/>
    <w:rsid w:val="00553ED1"/>
    <w:rsid w:val="00554513"/>
    <w:rsid w:val="005545E1"/>
    <w:rsid w:val="005549E0"/>
    <w:rsid w:val="00554B77"/>
    <w:rsid w:val="00554CD5"/>
    <w:rsid w:val="00554D28"/>
    <w:rsid w:val="00554FBD"/>
    <w:rsid w:val="0055596E"/>
    <w:rsid w:val="005561A3"/>
    <w:rsid w:val="00556348"/>
    <w:rsid w:val="0055719C"/>
    <w:rsid w:val="0055764F"/>
    <w:rsid w:val="005577DB"/>
    <w:rsid w:val="00557FD7"/>
    <w:rsid w:val="00560472"/>
    <w:rsid w:val="00561170"/>
    <w:rsid w:val="005611AE"/>
    <w:rsid w:val="00561433"/>
    <w:rsid w:val="0056170D"/>
    <w:rsid w:val="00561D3E"/>
    <w:rsid w:val="00562180"/>
    <w:rsid w:val="0056229E"/>
    <w:rsid w:val="005623AA"/>
    <w:rsid w:val="005625D6"/>
    <w:rsid w:val="0056263B"/>
    <w:rsid w:val="00562AFF"/>
    <w:rsid w:val="00562B90"/>
    <w:rsid w:val="00562E8A"/>
    <w:rsid w:val="00562FC2"/>
    <w:rsid w:val="005635A1"/>
    <w:rsid w:val="00563815"/>
    <w:rsid w:val="00563A7C"/>
    <w:rsid w:val="00563F19"/>
    <w:rsid w:val="0056413F"/>
    <w:rsid w:val="00564886"/>
    <w:rsid w:val="005648B9"/>
    <w:rsid w:val="00564B2D"/>
    <w:rsid w:val="00565149"/>
    <w:rsid w:val="00565A2F"/>
    <w:rsid w:val="00565AB7"/>
    <w:rsid w:val="00565D4C"/>
    <w:rsid w:val="005661EA"/>
    <w:rsid w:val="0056640B"/>
    <w:rsid w:val="005668CD"/>
    <w:rsid w:val="00566AB6"/>
    <w:rsid w:val="00566AB8"/>
    <w:rsid w:val="00566BFE"/>
    <w:rsid w:val="00566DC1"/>
    <w:rsid w:val="00566F6D"/>
    <w:rsid w:val="005671AA"/>
    <w:rsid w:val="00567605"/>
    <w:rsid w:val="00567743"/>
    <w:rsid w:val="00570449"/>
    <w:rsid w:val="00570ACD"/>
    <w:rsid w:val="00571135"/>
    <w:rsid w:val="00571A0A"/>
    <w:rsid w:val="00571D03"/>
    <w:rsid w:val="00572611"/>
    <w:rsid w:val="005727B8"/>
    <w:rsid w:val="00572C4A"/>
    <w:rsid w:val="00572CAB"/>
    <w:rsid w:val="00573C7F"/>
    <w:rsid w:val="00574128"/>
    <w:rsid w:val="00574135"/>
    <w:rsid w:val="00574157"/>
    <w:rsid w:val="0057415B"/>
    <w:rsid w:val="005747C3"/>
    <w:rsid w:val="0057492E"/>
    <w:rsid w:val="00575156"/>
    <w:rsid w:val="005752DB"/>
    <w:rsid w:val="005756C4"/>
    <w:rsid w:val="00575E6D"/>
    <w:rsid w:val="00576889"/>
    <w:rsid w:val="00576E3F"/>
    <w:rsid w:val="005772E8"/>
    <w:rsid w:val="005773E4"/>
    <w:rsid w:val="005775E1"/>
    <w:rsid w:val="00577981"/>
    <w:rsid w:val="00577A38"/>
    <w:rsid w:val="00577B73"/>
    <w:rsid w:val="00577C01"/>
    <w:rsid w:val="00577E6E"/>
    <w:rsid w:val="005800BC"/>
    <w:rsid w:val="005801B9"/>
    <w:rsid w:val="00580A08"/>
    <w:rsid w:val="00580B6B"/>
    <w:rsid w:val="00580D17"/>
    <w:rsid w:val="00581859"/>
    <w:rsid w:val="0058189C"/>
    <w:rsid w:val="00581F4C"/>
    <w:rsid w:val="00581FD3"/>
    <w:rsid w:val="005827D8"/>
    <w:rsid w:val="00582F9E"/>
    <w:rsid w:val="00583D8B"/>
    <w:rsid w:val="00583FEA"/>
    <w:rsid w:val="00584009"/>
    <w:rsid w:val="00584075"/>
    <w:rsid w:val="005844FA"/>
    <w:rsid w:val="005845C3"/>
    <w:rsid w:val="0058463A"/>
    <w:rsid w:val="00584B1E"/>
    <w:rsid w:val="00584E0D"/>
    <w:rsid w:val="00585065"/>
    <w:rsid w:val="0058507D"/>
    <w:rsid w:val="005851BF"/>
    <w:rsid w:val="00585787"/>
    <w:rsid w:val="0058597A"/>
    <w:rsid w:val="005860E0"/>
    <w:rsid w:val="00586446"/>
    <w:rsid w:val="005868DE"/>
    <w:rsid w:val="0058692D"/>
    <w:rsid w:val="00586E2F"/>
    <w:rsid w:val="00586FA0"/>
    <w:rsid w:val="005874E8"/>
    <w:rsid w:val="00587699"/>
    <w:rsid w:val="00587718"/>
    <w:rsid w:val="00587AD8"/>
    <w:rsid w:val="00587B99"/>
    <w:rsid w:val="00587E21"/>
    <w:rsid w:val="005907C0"/>
    <w:rsid w:val="0059090A"/>
    <w:rsid w:val="00590F54"/>
    <w:rsid w:val="005918B4"/>
    <w:rsid w:val="0059199F"/>
    <w:rsid w:val="005919EB"/>
    <w:rsid w:val="0059227F"/>
    <w:rsid w:val="00592B67"/>
    <w:rsid w:val="00592B8C"/>
    <w:rsid w:val="0059316C"/>
    <w:rsid w:val="00593484"/>
    <w:rsid w:val="00594245"/>
    <w:rsid w:val="005946FA"/>
    <w:rsid w:val="005947F4"/>
    <w:rsid w:val="00594E13"/>
    <w:rsid w:val="0059532F"/>
    <w:rsid w:val="00595A2D"/>
    <w:rsid w:val="00595D59"/>
    <w:rsid w:val="005960FB"/>
    <w:rsid w:val="0059667E"/>
    <w:rsid w:val="0059671C"/>
    <w:rsid w:val="00596A41"/>
    <w:rsid w:val="00596F2F"/>
    <w:rsid w:val="00597222"/>
    <w:rsid w:val="00597287"/>
    <w:rsid w:val="005973A2"/>
    <w:rsid w:val="00597E3B"/>
    <w:rsid w:val="00597F98"/>
    <w:rsid w:val="005A01C3"/>
    <w:rsid w:val="005A0242"/>
    <w:rsid w:val="005A0BED"/>
    <w:rsid w:val="005A0D55"/>
    <w:rsid w:val="005A18D2"/>
    <w:rsid w:val="005A1F47"/>
    <w:rsid w:val="005A1FFF"/>
    <w:rsid w:val="005A230D"/>
    <w:rsid w:val="005A2790"/>
    <w:rsid w:val="005A2918"/>
    <w:rsid w:val="005A300D"/>
    <w:rsid w:val="005A3270"/>
    <w:rsid w:val="005A34DA"/>
    <w:rsid w:val="005A383F"/>
    <w:rsid w:val="005A39CB"/>
    <w:rsid w:val="005A3EF1"/>
    <w:rsid w:val="005A4966"/>
    <w:rsid w:val="005A4973"/>
    <w:rsid w:val="005A4ABC"/>
    <w:rsid w:val="005A4AEE"/>
    <w:rsid w:val="005A4F42"/>
    <w:rsid w:val="005A56C2"/>
    <w:rsid w:val="005A590A"/>
    <w:rsid w:val="005A5CD3"/>
    <w:rsid w:val="005A67F3"/>
    <w:rsid w:val="005B0D51"/>
    <w:rsid w:val="005B11FF"/>
    <w:rsid w:val="005B13EE"/>
    <w:rsid w:val="005B158E"/>
    <w:rsid w:val="005B168E"/>
    <w:rsid w:val="005B21D2"/>
    <w:rsid w:val="005B22C8"/>
    <w:rsid w:val="005B2CBB"/>
    <w:rsid w:val="005B2E69"/>
    <w:rsid w:val="005B306B"/>
    <w:rsid w:val="005B328E"/>
    <w:rsid w:val="005B33DE"/>
    <w:rsid w:val="005B3401"/>
    <w:rsid w:val="005B3842"/>
    <w:rsid w:val="005B3B67"/>
    <w:rsid w:val="005B3E0E"/>
    <w:rsid w:val="005B4028"/>
    <w:rsid w:val="005B4934"/>
    <w:rsid w:val="005B4EFF"/>
    <w:rsid w:val="005B560C"/>
    <w:rsid w:val="005B56CC"/>
    <w:rsid w:val="005B5DA6"/>
    <w:rsid w:val="005B6463"/>
    <w:rsid w:val="005B69BF"/>
    <w:rsid w:val="005B6D27"/>
    <w:rsid w:val="005B71F1"/>
    <w:rsid w:val="005C0B6D"/>
    <w:rsid w:val="005C1084"/>
    <w:rsid w:val="005C10D2"/>
    <w:rsid w:val="005C1778"/>
    <w:rsid w:val="005C1DB8"/>
    <w:rsid w:val="005C1E91"/>
    <w:rsid w:val="005C27F2"/>
    <w:rsid w:val="005C35EF"/>
    <w:rsid w:val="005C36DF"/>
    <w:rsid w:val="005C38BD"/>
    <w:rsid w:val="005C4039"/>
    <w:rsid w:val="005C4680"/>
    <w:rsid w:val="005C48FE"/>
    <w:rsid w:val="005C4C8D"/>
    <w:rsid w:val="005C5433"/>
    <w:rsid w:val="005C5834"/>
    <w:rsid w:val="005C5F2F"/>
    <w:rsid w:val="005C65DA"/>
    <w:rsid w:val="005C6FE9"/>
    <w:rsid w:val="005C72B3"/>
    <w:rsid w:val="005C75B0"/>
    <w:rsid w:val="005C76EE"/>
    <w:rsid w:val="005C7998"/>
    <w:rsid w:val="005C7E1A"/>
    <w:rsid w:val="005C7F59"/>
    <w:rsid w:val="005D00B2"/>
    <w:rsid w:val="005D04A8"/>
    <w:rsid w:val="005D0A6F"/>
    <w:rsid w:val="005D0B4C"/>
    <w:rsid w:val="005D0E2E"/>
    <w:rsid w:val="005D123B"/>
    <w:rsid w:val="005D1359"/>
    <w:rsid w:val="005D1A74"/>
    <w:rsid w:val="005D1AA8"/>
    <w:rsid w:val="005D228C"/>
    <w:rsid w:val="005D22C3"/>
    <w:rsid w:val="005D28A8"/>
    <w:rsid w:val="005D2E52"/>
    <w:rsid w:val="005D3184"/>
    <w:rsid w:val="005D3A01"/>
    <w:rsid w:val="005D3D60"/>
    <w:rsid w:val="005D48E9"/>
    <w:rsid w:val="005D4B4C"/>
    <w:rsid w:val="005D5015"/>
    <w:rsid w:val="005D5256"/>
    <w:rsid w:val="005D5A01"/>
    <w:rsid w:val="005D5A1D"/>
    <w:rsid w:val="005D5A61"/>
    <w:rsid w:val="005D6168"/>
    <w:rsid w:val="005D63EE"/>
    <w:rsid w:val="005D67D3"/>
    <w:rsid w:val="005D718A"/>
    <w:rsid w:val="005D7212"/>
    <w:rsid w:val="005D767F"/>
    <w:rsid w:val="005D7B78"/>
    <w:rsid w:val="005D7BD7"/>
    <w:rsid w:val="005D7CAC"/>
    <w:rsid w:val="005E0577"/>
    <w:rsid w:val="005E070F"/>
    <w:rsid w:val="005E08F4"/>
    <w:rsid w:val="005E09F4"/>
    <w:rsid w:val="005E1104"/>
    <w:rsid w:val="005E117B"/>
    <w:rsid w:val="005E11A4"/>
    <w:rsid w:val="005E121A"/>
    <w:rsid w:val="005E1341"/>
    <w:rsid w:val="005E1B97"/>
    <w:rsid w:val="005E1EFF"/>
    <w:rsid w:val="005E210F"/>
    <w:rsid w:val="005E2447"/>
    <w:rsid w:val="005E2C18"/>
    <w:rsid w:val="005E2CD8"/>
    <w:rsid w:val="005E2E22"/>
    <w:rsid w:val="005E2E7E"/>
    <w:rsid w:val="005E32CF"/>
    <w:rsid w:val="005E3B4D"/>
    <w:rsid w:val="005E42B3"/>
    <w:rsid w:val="005E433D"/>
    <w:rsid w:val="005E4791"/>
    <w:rsid w:val="005E49A7"/>
    <w:rsid w:val="005E4CEE"/>
    <w:rsid w:val="005E5054"/>
    <w:rsid w:val="005E5126"/>
    <w:rsid w:val="005E55F7"/>
    <w:rsid w:val="005E563B"/>
    <w:rsid w:val="005E5C7B"/>
    <w:rsid w:val="005E5CFB"/>
    <w:rsid w:val="005E5FB9"/>
    <w:rsid w:val="005E6292"/>
    <w:rsid w:val="005E64A0"/>
    <w:rsid w:val="005E6565"/>
    <w:rsid w:val="005E695E"/>
    <w:rsid w:val="005E69D7"/>
    <w:rsid w:val="005E7047"/>
    <w:rsid w:val="005E70E5"/>
    <w:rsid w:val="005E797C"/>
    <w:rsid w:val="005E7C59"/>
    <w:rsid w:val="005E7D5F"/>
    <w:rsid w:val="005E7DB5"/>
    <w:rsid w:val="005F071C"/>
    <w:rsid w:val="005F0AFD"/>
    <w:rsid w:val="005F0C3C"/>
    <w:rsid w:val="005F0D77"/>
    <w:rsid w:val="005F0DFE"/>
    <w:rsid w:val="005F0E0F"/>
    <w:rsid w:val="005F155A"/>
    <w:rsid w:val="005F22A8"/>
    <w:rsid w:val="005F2BAB"/>
    <w:rsid w:val="005F349F"/>
    <w:rsid w:val="005F3587"/>
    <w:rsid w:val="005F3900"/>
    <w:rsid w:val="005F3DE4"/>
    <w:rsid w:val="005F41B2"/>
    <w:rsid w:val="005F433E"/>
    <w:rsid w:val="005F484C"/>
    <w:rsid w:val="005F50C0"/>
    <w:rsid w:val="005F512F"/>
    <w:rsid w:val="005F51B9"/>
    <w:rsid w:val="005F5268"/>
    <w:rsid w:val="005F54EB"/>
    <w:rsid w:val="005F583A"/>
    <w:rsid w:val="005F5947"/>
    <w:rsid w:val="005F5BC3"/>
    <w:rsid w:val="005F60CF"/>
    <w:rsid w:val="005F6E5C"/>
    <w:rsid w:val="005F7382"/>
    <w:rsid w:val="005F73FA"/>
    <w:rsid w:val="005F7C7B"/>
    <w:rsid w:val="005F7F78"/>
    <w:rsid w:val="005F7FAC"/>
    <w:rsid w:val="00600107"/>
    <w:rsid w:val="006004FE"/>
    <w:rsid w:val="006005A2"/>
    <w:rsid w:val="006009EB"/>
    <w:rsid w:val="00600E2E"/>
    <w:rsid w:val="00600F4B"/>
    <w:rsid w:val="00600F4D"/>
    <w:rsid w:val="00601269"/>
    <w:rsid w:val="00601634"/>
    <w:rsid w:val="00601645"/>
    <w:rsid w:val="006016FE"/>
    <w:rsid w:val="00601B0E"/>
    <w:rsid w:val="006021F2"/>
    <w:rsid w:val="006027B5"/>
    <w:rsid w:val="006028A0"/>
    <w:rsid w:val="00602ECC"/>
    <w:rsid w:val="0060330D"/>
    <w:rsid w:val="00603E05"/>
    <w:rsid w:val="00604085"/>
    <w:rsid w:val="0060439F"/>
    <w:rsid w:val="0060473D"/>
    <w:rsid w:val="00604ADC"/>
    <w:rsid w:val="00605CFE"/>
    <w:rsid w:val="00605F21"/>
    <w:rsid w:val="006060CF"/>
    <w:rsid w:val="006066F1"/>
    <w:rsid w:val="00606A26"/>
    <w:rsid w:val="006072E0"/>
    <w:rsid w:val="006073A0"/>
    <w:rsid w:val="00607736"/>
    <w:rsid w:val="0061019C"/>
    <w:rsid w:val="006102D5"/>
    <w:rsid w:val="0061030B"/>
    <w:rsid w:val="00610BFF"/>
    <w:rsid w:val="00610DC8"/>
    <w:rsid w:val="00611030"/>
    <w:rsid w:val="0061121F"/>
    <w:rsid w:val="0061152B"/>
    <w:rsid w:val="00611B55"/>
    <w:rsid w:val="00611CE9"/>
    <w:rsid w:val="00612121"/>
    <w:rsid w:val="0061256A"/>
    <w:rsid w:val="00612D6A"/>
    <w:rsid w:val="00613363"/>
    <w:rsid w:val="00613470"/>
    <w:rsid w:val="00614009"/>
    <w:rsid w:val="006149C9"/>
    <w:rsid w:val="00614FE6"/>
    <w:rsid w:val="006152A4"/>
    <w:rsid w:val="0061563B"/>
    <w:rsid w:val="00615845"/>
    <w:rsid w:val="00615A97"/>
    <w:rsid w:val="006166D5"/>
    <w:rsid w:val="00616B10"/>
    <w:rsid w:val="00617148"/>
    <w:rsid w:val="00617362"/>
    <w:rsid w:val="0061739B"/>
    <w:rsid w:val="006176DD"/>
    <w:rsid w:val="00617DC2"/>
    <w:rsid w:val="00620162"/>
    <w:rsid w:val="00620197"/>
    <w:rsid w:val="0062040C"/>
    <w:rsid w:val="00620664"/>
    <w:rsid w:val="006208DA"/>
    <w:rsid w:val="00621062"/>
    <w:rsid w:val="006210E4"/>
    <w:rsid w:val="00621920"/>
    <w:rsid w:val="00621A09"/>
    <w:rsid w:val="00622658"/>
    <w:rsid w:val="0062286B"/>
    <w:rsid w:val="0062298C"/>
    <w:rsid w:val="00622EA6"/>
    <w:rsid w:val="0062336F"/>
    <w:rsid w:val="006233D1"/>
    <w:rsid w:val="0062347A"/>
    <w:rsid w:val="00623686"/>
    <w:rsid w:val="006236AA"/>
    <w:rsid w:val="00623927"/>
    <w:rsid w:val="00623995"/>
    <w:rsid w:val="00623F71"/>
    <w:rsid w:val="006244AF"/>
    <w:rsid w:val="006246E6"/>
    <w:rsid w:val="006249AA"/>
    <w:rsid w:val="00624B6E"/>
    <w:rsid w:val="0062532D"/>
    <w:rsid w:val="00625DA1"/>
    <w:rsid w:val="006265CF"/>
    <w:rsid w:val="00626B8F"/>
    <w:rsid w:val="006275E6"/>
    <w:rsid w:val="00627C66"/>
    <w:rsid w:val="00630098"/>
    <w:rsid w:val="006308A4"/>
    <w:rsid w:val="00630BC3"/>
    <w:rsid w:val="00630C6B"/>
    <w:rsid w:val="00631077"/>
    <w:rsid w:val="006315EA"/>
    <w:rsid w:val="006316A4"/>
    <w:rsid w:val="00631F9C"/>
    <w:rsid w:val="0063232A"/>
    <w:rsid w:val="00632BAB"/>
    <w:rsid w:val="00632FA4"/>
    <w:rsid w:val="00633011"/>
    <w:rsid w:val="0063366E"/>
    <w:rsid w:val="0063388A"/>
    <w:rsid w:val="00633892"/>
    <w:rsid w:val="006339A1"/>
    <w:rsid w:val="006339CD"/>
    <w:rsid w:val="00633C2D"/>
    <w:rsid w:val="00633D44"/>
    <w:rsid w:val="00634566"/>
    <w:rsid w:val="00634992"/>
    <w:rsid w:val="00634C09"/>
    <w:rsid w:val="006357D2"/>
    <w:rsid w:val="00636474"/>
    <w:rsid w:val="00636A4A"/>
    <w:rsid w:val="00636A97"/>
    <w:rsid w:val="00636B7D"/>
    <w:rsid w:val="0063704A"/>
    <w:rsid w:val="006373A9"/>
    <w:rsid w:val="00637554"/>
    <w:rsid w:val="00637C50"/>
    <w:rsid w:val="0064093D"/>
    <w:rsid w:val="006409FF"/>
    <w:rsid w:val="00640E6B"/>
    <w:rsid w:val="0064108E"/>
    <w:rsid w:val="00641136"/>
    <w:rsid w:val="00641427"/>
    <w:rsid w:val="006414BA"/>
    <w:rsid w:val="006415A6"/>
    <w:rsid w:val="006415D4"/>
    <w:rsid w:val="006427F2"/>
    <w:rsid w:val="006428C0"/>
    <w:rsid w:val="006435A8"/>
    <w:rsid w:val="00643B3E"/>
    <w:rsid w:val="00643C96"/>
    <w:rsid w:val="00643FDF"/>
    <w:rsid w:val="00644556"/>
    <w:rsid w:val="00644636"/>
    <w:rsid w:val="00644A21"/>
    <w:rsid w:val="00645942"/>
    <w:rsid w:val="00645A11"/>
    <w:rsid w:val="00645C2D"/>
    <w:rsid w:val="00645D3D"/>
    <w:rsid w:val="00645EC9"/>
    <w:rsid w:val="0064603B"/>
    <w:rsid w:val="00646513"/>
    <w:rsid w:val="00646734"/>
    <w:rsid w:val="00646796"/>
    <w:rsid w:val="006469BB"/>
    <w:rsid w:val="00646E64"/>
    <w:rsid w:val="00646F04"/>
    <w:rsid w:val="00646F66"/>
    <w:rsid w:val="0064761B"/>
    <w:rsid w:val="006477D8"/>
    <w:rsid w:val="0064794C"/>
    <w:rsid w:val="00647C77"/>
    <w:rsid w:val="006508E6"/>
    <w:rsid w:val="00650C63"/>
    <w:rsid w:val="00650DFD"/>
    <w:rsid w:val="00650E18"/>
    <w:rsid w:val="00651196"/>
    <w:rsid w:val="006517ED"/>
    <w:rsid w:val="006518CB"/>
    <w:rsid w:val="0065237C"/>
    <w:rsid w:val="0065312A"/>
    <w:rsid w:val="00653B38"/>
    <w:rsid w:val="0065468D"/>
    <w:rsid w:val="006547EB"/>
    <w:rsid w:val="00654BCE"/>
    <w:rsid w:val="00654D0A"/>
    <w:rsid w:val="00654E40"/>
    <w:rsid w:val="00655738"/>
    <w:rsid w:val="00655C9E"/>
    <w:rsid w:val="00656168"/>
    <w:rsid w:val="00656172"/>
    <w:rsid w:val="006561CD"/>
    <w:rsid w:val="006569FD"/>
    <w:rsid w:val="00656B80"/>
    <w:rsid w:val="006576D7"/>
    <w:rsid w:val="006577B5"/>
    <w:rsid w:val="00657803"/>
    <w:rsid w:val="006579D4"/>
    <w:rsid w:val="006603AA"/>
    <w:rsid w:val="00660DC1"/>
    <w:rsid w:val="00660E52"/>
    <w:rsid w:val="00660F4A"/>
    <w:rsid w:val="00661230"/>
    <w:rsid w:val="006615E8"/>
    <w:rsid w:val="00661762"/>
    <w:rsid w:val="006617B2"/>
    <w:rsid w:val="00661BBC"/>
    <w:rsid w:val="00661F15"/>
    <w:rsid w:val="0066209A"/>
    <w:rsid w:val="00662489"/>
    <w:rsid w:val="00662492"/>
    <w:rsid w:val="0066278C"/>
    <w:rsid w:val="00662CB1"/>
    <w:rsid w:val="00662CF9"/>
    <w:rsid w:val="00663A94"/>
    <w:rsid w:val="00663C7D"/>
    <w:rsid w:val="00663D65"/>
    <w:rsid w:val="00664601"/>
    <w:rsid w:val="00665438"/>
    <w:rsid w:val="00665439"/>
    <w:rsid w:val="00665A31"/>
    <w:rsid w:val="00665ACA"/>
    <w:rsid w:val="00665AD4"/>
    <w:rsid w:val="00665B5F"/>
    <w:rsid w:val="00665CA2"/>
    <w:rsid w:val="00665FD6"/>
    <w:rsid w:val="00666116"/>
    <w:rsid w:val="00666181"/>
    <w:rsid w:val="00666524"/>
    <w:rsid w:val="00666825"/>
    <w:rsid w:val="00666A72"/>
    <w:rsid w:val="00667465"/>
    <w:rsid w:val="00667BCF"/>
    <w:rsid w:val="00667BD9"/>
    <w:rsid w:val="00667FEC"/>
    <w:rsid w:val="00670070"/>
    <w:rsid w:val="00670294"/>
    <w:rsid w:val="00670380"/>
    <w:rsid w:val="00670F04"/>
    <w:rsid w:val="00671522"/>
    <w:rsid w:val="00671726"/>
    <w:rsid w:val="006718A5"/>
    <w:rsid w:val="00671D3C"/>
    <w:rsid w:val="00672066"/>
    <w:rsid w:val="00672104"/>
    <w:rsid w:val="00672310"/>
    <w:rsid w:val="0067234E"/>
    <w:rsid w:val="0067237F"/>
    <w:rsid w:val="00672FAF"/>
    <w:rsid w:val="00673219"/>
    <w:rsid w:val="0067350B"/>
    <w:rsid w:val="00673877"/>
    <w:rsid w:val="0067389C"/>
    <w:rsid w:val="0067410A"/>
    <w:rsid w:val="006741AC"/>
    <w:rsid w:val="006750E7"/>
    <w:rsid w:val="006754E9"/>
    <w:rsid w:val="006756EF"/>
    <w:rsid w:val="00675F95"/>
    <w:rsid w:val="0067624B"/>
    <w:rsid w:val="00676521"/>
    <w:rsid w:val="0067677C"/>
    <w:rsid w:val="00676FD4"/>
    <w:rsid w:val="006774FE"/>
    <w:rsid w:val="00677CF0"/>
    <w:rsid w:val="00677D82"/>
    <w:rsid w:val="00677E93"/>
    <w:rsid w:val="006801D9"/>
    <w:rsid w:val="0068027D"/>
    <w:rsid w:val="00680792"/>
    <w:rsid w:val="00680A0D"/>
    <w:rsid w:val="00680C3D"/>
    <w:rsid w:val="00681167"/>
    <w:rsid w:val="0068162F"/>
    <w:rsid w:val="00681747"/>
    <w:rsid w:val="00682642"/>
    <w:rsid w:val="0068284E"/>
    <w:rsid w:val="006828F7"/>
    <w:rsid w:val="00682A5F"/>
    <w:rsid w:val="0068301C"/>
    <w:rsid w:val="006830BD"/>
    <w:rsid w:val="006837EA"/>
    <w:rsid w:val="00683F46"/>
    <w:rsid w:val="00684138"/>
    <w:rsid w:val="00684255"/>
    <w:rsid w:val="00684B03"/>
    <w:rsid w:val="00684BE7"/>
    <w:rsid w:val="00684ECE"/>
    <w:rsid w:val="00685E66"/>
    <w:rsid w:val="00686084"/>
    <w:rsid w:val="006862CD"/>
    <w:rsid w:val="00686493"/>
    <w:rsid w:val="0068666C"/>
    <w:rsid w:val="006866F7"/>
    <w:rsid w:val="00686776"/>
    <w:rsid w:val="00686A74"/>
    <w:rsid w:val="00686AC2"/>
    <w:rsid w:val="006871BF"/>
    <w:rsid w:val="0068778C"/>
    <w:rsid w:val="006878B6"/>
    <w:rsid w:val="00687A59"/>
    <w:rsid w:val="00687F32"/>
    <w:rsid w:val="0069149D"/>
    <w:rsid w:val="0069150E"/>
    <w:rsid w:val="006917D7"/>
    <w:rsid w:val="006918C7"/>
    <w:rsid w:val="00691968"/>
    <w:rsid w:val="00691A1F"/>
    <w:rsid w:val="00691D78"/>
    <w:rsid w:val="006921FA"/>
    <w:rsid w:val="0069230F"/>
    <w:rsid w:val="00692349"/>
    <w:rsid w:val="006923E1"/>
    <w:rsid w:val="00692E44"/>
    <w:rsid w:val="006931D9"/>
    <w:rsid w:val="0069340E"/>
    <w:rsid w:val="006937B3"/>
    <w:rsid w:val="00693BBE"/>
    <w:rsid w:val="00693EE1"/>
    <w:rsid w:val="00694E9E"/>
    <w:rsid w:val="006955FF"/>
    <w:rsid w:val="006962EC"/>
    <w:rsid w:val="006962EE"/>
    <w:rsid w:val="006967B6"/>
    <w:rsid w:val="006968A0"/>
    <w:rsid w:val="00696E68"/>
    <w:rsid w:val="00696F08"/>
    <w:rsid w:val="00697108"/>
    <w:rsid w:val="00697259"/>
    <w:rsid w:val="00697410"/>
    <w:rsid w:val="00697465"/>
    <w:rsid w:val="006976DF"/>
    <w:rsid w:val="00697B99"/>
    <w:rsid w:val="00697BD1"/>
    <w:rsid w:val="00697C91"/>
    <w:rsid w:val="006A03F9"/>
    <w:rsid w:val="006A0A37"/>
    <w:rsid w:val="006A0AA2"/>
    <w:rsid w:val="006A10F8"/>
    <w:rsid w:val="006A1231"/>
    <w:rsid w:val="006A1452"/>
    <w:rsid w:val="006A1893"/>
    <w:rsid w:val="006A1B4A"/>
    <w:rsid w:val="006A1C7E"/>
    <w:rsid w:val="006A1E3C"/>
    <w:rsid w:val="006A2037"/>
    <w:rsid w:val="006A22F6"/>
    <w:rsid w:val="006A26A7"/>
    <w:rsid w:val="006A29ED"/>
    <w:rsid w:val="006A2D51"/>
    <w:rsid w:val="006A2DBC"/>
    <w:rsid w:val="006A2FD6"/>
    <w:rsid w:val="006A3719"/>
    <w:rsid w:val="006A3F71"/>
    <w:rsid w:val="006A4961"/>
    <w:rsid w:val="006A4ADE"/>
    <w:rsid w:val="006A4BC8"/>
    <w:rsid w:val="006A4BFB"/>
    <w:rsid w:val="006A4CD3"/>
    <w:rsid w:val="006A515C"/>
    <w:rsid w:val="006A59A4"/>
    <w:rsid w:val="006A5CC2"/>
    <w:rsid w:val="006A6122"/>
    <w:rsid w:val="006A61C6"/>
    <w:rsid w:val="006A6375"/>
    <w:rsid w:val="006A67FA"/>
    <w:rsid w:val="006A6852"/>
    <w:rsid w:val="006A7AA7"/>
    <w:rsid w:val="006A7CB9"/>
    <w:rsid w:val="006B0174"/>
    <w:rsid w:val="006B05C9"/>
    <w:rsid w:val="006B077D"/>
    <w:rsid w:val="006B0CD0"/>
    <w:rsid w:val="006B0CF3"/>
    <w:rsid w:val="006B13C3"/>
    <w:rsid w:val="006B13E1"/>
    <w:rsid w:val="006B15B7"/>
    <w:rsid w:val="006B1971"/>
    <w:rsid w:val="006B24E1"/>
    <w:rsid w:val="006B2563"/>
    <w:rsid w:val="006B28C1"/>
    <w:rsid w:val="006B297F"/>
    <w:rsid w:val="006B2B77"/>
    <w:rsid w:val="006B2D00"/>
    <w:rsid w:val="006B2EA6"/>
    <w:rsid w:val="006B2F4C"/>
    <w:rsid w:val="006B2F7F"/>
    <w:rsid w:val="006B33C6"/>
    <w:rsid w:val="006B3E21"/>
    <w:rsid w:val="006B4B99"/>
    <w:rsid w:val="006B53DD"/>
    <w:rsid w:val="006B5674"/>
    <w:rsid w:val="006B59BD"/>
    <w:rsid w:val="006B5BAB"/>
    <w:rsid w:val="006B5FC2"/>
    <w:rsid w:val="006B61AE"/>
    <w:rsid w:val="006B6C72"/>
    <w:rsid w:val="006B765A"/>
    <w:rsid w:val="006B7924"/>
    <w:rsid w:val="006B7928"/>
    <w:rsid w:val="006B79C2"/>
    <w:rsid w:val="006B7CA0"/>
    <w:rsid w:val="006C0212"/>
    <w:rsid w:val="006C05B9"/>
    <w:rsid w:val="006C0F9F"/>
    <w:rsid w:val="006C10EE"/>
    <w:rsid w:val="006C15BB"/>
    <w:rsid w:val="006C15C6"/>
    <w:rsid w:val="006C16D0"/>
    <w:rsid w:val="006C1946"/>
    <w:rsid w:val="006C1FD2"/>
    <w:rsid w:val="006C2A7F"/>
    <w:rsid w:val="006C367A"/>
    <w:rsid w:val="006C372D"/>
    <w:rsid w:val="006C3A15"/>
    <w:rsid w:val="006C3BD2"/>
    <w:rsid w:val="006C4101"/>
    <w:rsid w:val="006C43B5"/>
    <w:rsid w:val="006C43BC"/>
    <w:rsid w:val="006C44CE"/>
    <w:rsid w:val="006C48C9"/>
    <w:rsid w:val="006C4901"/>
    <w:rsid w:val="006C4A28"/>
    <w:rsid w:val="006C4B88"/>
    <w:rsid w:val="006C4DD0"/>
    <w:rsid w:val="006C4FF3"/>
    <w:rsid w:val="006C55C4"/>
    <w:rsid w:val="006C56D7"/>
    <w:rsid w:val="006C5A29"/>
    <w:rsid w:val="006C5DAE"/>
    <w:rsid w:val="006C5DBB"/>
    <w:rsid w:val="006C5E0C"/>
    <w:rsid w:val="006C60EC"/>
    <w:rsid w:val="006C6775"/>
    <w:rsid w:val="006C6B24"/>
    <w:rsid w:val="006C6C7A"/>
    <w:rsid w:val="006C7183"/>
    <w:rsid w:val="006C7335"/>
    <w:rsid w:val="006C7625"/>
    <w:rsid w:val="006C79C9"/>
    <w:rsid w:val="006C7CA2"/>
    <w:rsid w:val="006D035F"/>
    <w:rsid w:val="006D0A2F"/>
    <w:rsid w:val="006D0FFA"/>
    <w:rsid w:val="006D2327"/>
    <w:rsid w:val="006D2381"/>
    <w:rsid w:val="006D274B"/>
    <w:rsid w:val="006D29FB"/>
    <w:rsid w:val="006D2F4F"/>
    <w:rsid w:val="006D34C5"/>
    <w:rsid w:val="006D34D7"/>
    <w:rsid w:val="006D39CD"/>
    <w:rsid w:val="006D3FF9"/>
    <w:rsid w:val="006D405B"/>
    <w:rsid w:val="006D4BB5"/>
    <w:rsid w:val="006D5525"/>
    <w:rsid w:val="006D55F1"/>
    <w:rsid w:val="006D562B"/>
    <w:rsid w:val="006D5697"/>
    <w:rsid w:val="006D57B4"/>
    <w:rsid w:val="006D58AA"/>
    <w:rsid w:val="006D5B62"/>
    <w:rsid w:val="006D5C39"/>
    <w:rsid w:val="006D5DCB"/>
    <w:rsid w:val="006D5E2C"/>
    <w:rsid w:val="006D5EFC"/>
    <w:rsid w:val="006D69B7"/>
    <w:rsid w:val="006D7030"/>
    <w:rsid w:val="006D7519"/>
    <w:rsid w:val="006D7B17"/>
    <w:rsid w:val="006D7B5B"/>
    <w:rsid w:val="006D7E10"/>
    <w:rsid w:val="006D7F6D"/>
    <w:rsid w:val="006E0185"/>
    <w:rsid w:val="006E0308"/>
    <w:rsid w:val="006E04EC"/>
    <w:rsid w:val="006E06E0"/>
    <w:rsid w:val="006E1259"/>
    <w:rsid w:val="006E2110"/>
    <w:rsid w:val="006E2785"/>
    <w:rsid w:val="006E28D2"/>
    <w:rsid w:val="006E2CDE"/>
    <w:rsid w:val="006E34B3"/>
    <w:rsid w:val="006E37F7"/>
    <w:rsid w:val="006E3825"/>
    <w:rsid w:val="006E3B0A"/>
    <w:rsid w:val="006E3C6D"/>
    <w:rsid w:val="006E3F2F"/>
    <w:rsid w:val="006E49DA"/>
    <w:rsid w:val="006E4EE8"/>
    <w:rsid w:val="006E5232"/>
    <w:rsid w:val="006E5B46"/>
    <w:rsid w:val="006E5F5E"/>
    <w:rsid w:val="006E5FDA"/>
    <w:rsid w:val="006E60FE"/>
    <w:rsid w:val="006E613E"/>
    <w:rsid w:val="006E61E2"/>
    <w:rsid w:val="006E635B"/>
    <w:rsid w:val="006E6638"/>
    <w:rsid w:val="006E6BA5"/>
    <w:rsid w:val="006E6BC0"/>
    <w:rsid w:val="006E6BFE"/>
    <w:rsid w:val="006E70B9"/>
    <w:rsid w:val="006E70F0"/>
    <w:rsid w:val="006E7379"/>
    <w:rsid w:val="006E7403"/>
    <w:rsid w:val="006E74D1"/>
    <w:rsid w:val="006E76B3"/>
    <w:rsid w:val="006E78BF"/>
    <w:rsid w:val="006E7A3D"/>
    <w:rsid w:val="006F0948"/>
    <w:rsid w:val="006F0ACC"/>
    <w:rsid w:val="006F0DEA"/>
    <w:rsid w:val="006F10FA"/>
    <w:rsid w:val="006F1534"/>
    <w:rsid w:val="006F22FF"/>
    <w:rsid w:val="006F3212"/>
    <w:rsid w:val="006F38FD"/>
    <w:rsid w:val="006F3971"/>
    <w:rsid w:val="006F3C43"/>
    <w:rsid w:val="006F3DED"/>
    <w:rsid w:val="006F3E61"/>
    <w:rsid w:val="006F41B9"/>
    <w:rsid w:val="006F4399"/>
    <w:rsid w:val="006F4BF0"/>
    <w:rsid w:val="006F4C26"/>
    <w:rsid w:val="006F571E"/>
    <w:rsid w:val="006F5EB2"/>
    <w:rsid w:val="006F6003"/>
    <w:rsid w:val="006F62D8"/>
    <w:rsid w:val="006F6CD4"/>
    <w:rsid w:val="006F6DD4"/>
    <w:rsid w:val="006F6E2F"/>
    <w:rsid w:val="006F7670"/>
    <w:rsid w:val="0070057A"/>
    <w:rsid w:val="007005B8"/>
    <w:rsid w:val="007008E5"/>
    <w:rsid w:val="00700C1A"/>
    <w:rsid w:val="0070138C"/>
    <w:rsid w:val="007016D6"/>
    <w:rsid w:val="00701857"/>
    <w:rsid w:val="00702373"/>
    <w:rsid w:val="007023FA"/>
    <w:rsid w:val="0070240D"/>
    <w:rsid w:val="00702A37"/>
    <w:rsid w:val="00702E19"/>
    <w:rsid w:val="00702EEF"/>
    <w:rsid w:val="0070312F"/>
    <w:rsid w:val="0070313A"/>
    <w:rsid w:val="00703374"/>
    <w:rsid w:val="007034F1"/>
    <w:rsid w:val="0070365D"/>
    <w:rsid w:val="007037D8"/>
    <w:rsid w:val="00703A0D"/>
    <w:rsid w:val="00703AD8"/>
    <w:rsid w:val="00703F9D"/>
    <w:rsid w:val="00704118"/>
    <w:rsid w:val="0070452F"/>
    <w:rsid w:val="007045EE"/>
    <w:rsid w:val="00704858"/>
    <w:rsid w:val="00704C88"/>
    <w:rsid w:val="007057F1"/>
    <w:rsid w:val="00705907"/>
    <w:rsid w:val="00705D86"/>
    <w:rsid w:val="00705FE1"/>
    <w:rsid w:val="0070631B"/>
    <w:rsid w:val="00706694"/>
    <w:rsid w:val="00706ABC"/>
    <w:rsid w:val="00706B1C"/>
    <w:rsid w:val="00706EA8"/>
    <w:rsid w:val="00707162"/>
    <w:rsid w:val="007071F0"/>
    <w:rsid w:val="0070785C"/>
    <w:rsid w:val="00707DD6"/>
    <w:rsid w:val="00707ED7"/>
    <w:rsid w:val="00707F42"/>
    <w:rsid w:val="007109DE"/>
    <w:rsid w:val="00710DC5"/>
    <w:rsid w:val="00710E48"/>
    <w:rsid w:val="00711143"/>
    <w:rsid w:val="00711B7A"/>
    <w:rsid w:val="00711EA4"/>
    <w:rsid w:val="00711FDC"/>
    <w:rsid w:val="0071212B"/>
    <w:rsid w:val="007129E0"/>
    <w:rsid w:val="00712BC5"/>
    <w:rsid w:val="00712D8A"/>
    <w:rsid w:val="00713105"/>
    <w:rsid w:val="0071394C"/>
    <w:rsid w:val="00713B5A"/>
    <w:rsid w:val="00713C57"/>
    <w:rsid w:val="00713D41"/>
    <w:rsid w:val="00713DCC"/>
    <w:rsid w:val="00713E4B"/>
    <w:rsid w:val="00713EC2"/>
    <w:rsid w:val="00714696"/>
    <w:rsid w:val="007147DD"/>
    <w:rsid w:val="007147F5"/>
    <w:rsid w:val="00714F32"/>
    <w:rsid w:val="0071565F"/>
    <w:rsid w:val="00715E18"/>
    <w:rsid w:val="00716181"/>
    <w:rsid w:val="0071619D"/>
    <w:rsid w:val="007168F1"/>
    <w:rsid w:val="00716976"/>
    <w:rsid w:val="007169D0"/>
    <w:rsid w:val="00716B57"/>
    <w:rsid w:val="00717073"/>
    <w:rsid w:val="00717605"/>
    <w:rsid w:val="007176A9"/>
    <w:rsid w:val="00717CBF"/>
    <w:rsid w:val="00717D16"/>
    <w:rsid w:val="00717E23"/>
    <w:rsid w:val="0072054E"/>
    <w:rsid w:val="0072128C"/>
    <w:rsid w:val="00721348"/>
    <w:rsid w:val="007214DF"/>
    <w:rsid w:val="007215BE"/>
    <w:rsid w:val="007218F3"/>
    <w:rsid w:val="00722216"/>
    <w:rsid w:val="00722A7C"/>
    <w:rsid w:val="00722CFA"/>
    <w:rsid w:val="0072328B"/>
    <w:rsid w:val="007238BE"/>
    <w:rsid w:val="00723B0B"/>
    <w:rsid w:val="00724174"/>
    <w:rsid w:val="0072493C"/>
    <w:rsid w:val="00724A62"/>
    <w:rsid w:val="00724CAE"/>
    <w:rsid w:val="007253A3"/>
    <w:rsid w:val="0072554E"/>
    <w:rsid w:val="00725875"/>
    <w:rsid w:val="00725AE0"/>
    <w:rsid w:val="00725BDF"/>
    <w:rsid w:val="00725C1B"/>
    <w:rsid w:val="00725EE4"/>
    <w:rsid w:val="00726303"/>
    <w:rsid w:val="007265F4"/>
    <w:rsid w:val="007267A4"/>
    <w:rsid w:val="00726A8E"/>
    <w:rsid w:val="00727239"/>
    <w:rsid w:val="007273CC"/>
    <w:rsid w:val="00727568"/>
    <w:rsid w:val="00730A94"/>
    <w:rsid w:val="00731DBE"/>
    <w:rsid w:val="0073200B"/>
    <w:rsid w:val="0073219C"/>
    <w:rsid w:val="00732201"/>
    <w:rsid w:val="0073224D"/>
    <w:rsid w:val="0073227F"/>
    <w:rsid w:val="00732326"/>
    <w:rsid w:val="0073273D"/>
    <w:rsid w:val="00732B9C"/>
    <w:rsid w:val="0073324C"/>
    <w:rsid w:val="00733841"/>
    <w:rsid w:val="00733855"/>
    <w:rsid w:val="00733A79"/>
    <w:rsid w:val="0073417F"/>
    <w:rsid w:val="00734377"/>
    <w:rsid w:val="0073441B"/>
    <w:rsid w:val="007344CF"/>
    <w:rsid w:val="0073458C"/>
    <w:rsid w:val="007345EA"/>
    <w:rsid w:val="007354C8"/>
    <w:rsid w:val="0073587A"/>
    <w:rsid w:val="00735C49"/>
    <w:rsid w:val="007360C9"/>
    <w:rsid w:val="00736114"/>
    <w:rsid w:val="00736388"/>
    <w:rsid w:val="007369A6"/>
    <w:rsid w:val="00736A8C"/>
    <w:rsid w:val="00737843"/>
    <w:rsid w:val="0074073C"/>
    <w:rsid w:val="00740831"/>
    <w:rsid w:val="00740C71"/>
    <w:rsid w:val="0074111C"/>
    <w:rsid w:val="00741191"/>
    <w:rsid w:val="007413F8"/>
    <w:rsid w:val="00741922"/>
    <w:rsid w:val="0074227A"/>
    <w:rsid w:val="0074287B"/>
    <w:rsid w:val="0074393D"/>
    <w:rsid w:val="00743BBB"/>
    <w:rsid w:val="00743CB0"/>
    <w:rsid w:val="00744043"/>
    <w:rsid w:val="007441D0"/>
    <w:rsid w:val="00744A79"/>
    <w:rsid w:val="007456C7"/>
    <w:rsid w:val="00745986"/>
    <w:rsid w:val="00745E32"/>
    <w:rsid w:val="00745E74"/>
    <w:rsid w:val="00745EA1"/>
    <w:rsid w:val="00745F2E"/>
    <w:rsid w:val="007461E9"/>
    <w:rsid w:val="00746212"/>
    <w:rsid w:val="0074626C"/>
    <w:rsid w:val="00747045"/>
    <w:rsid w:val="00747210"/>
    <w:rsid w:val="00747397"/>
    <w:rsid w:val="00747488"/>
    <w:rsid w:val="007479BA"/>
    <w:rsid w:val="00747E45"/>
    <w:rsid w:val="007502CA"/>
    <w:rsid w:val="00750362"/>
    <w:rsid w:val="007503A5"/>
    <w:rsid w:val="00750A16"/>
    <w:rsid w:val="00750F4D"/>
    <w:rsid w:val="007512E8"/>
    <w:rsid w:val="007513EB"/>
    <w:rsid w:val="00751C2F"/>
    <w:rsid w:val="00751CFE"/>
    <w:rsid w:val="00751DFE"/>
    <w:rsid w:val="007520BA"/>
    <w:rsid w:val="00752253"/>
    <w:rsid w:val="00752A1E"/>
    <w:rsid w:val="00752E24"/>
    <w:rsid w:val="007530BC"/>
    <w:rsid w:val="00753201"/>
    <w:rsid w:val="0075338A"/>
    <w:rsid w:val="007536C9"/>
    <w:rsid w:val="0075412D"/>
    <w:rsid w:val="0075457E"/>
    <w:rsid w:val="00754604"/>
    <w:rsid w:val="00754FC1"/>
    <w:rsid w:val="0075505E"/>
    <w:rsid w:val="007552E3"/>
    <w:rsid w:val="00755658"/>
    <w:rsid w:val="00755CF8"/>
    <w:rsid w:val="007566D4"/>
    <w:rsid w:val="00756A9A"/>
    <w:rsid w:val="00756C2A"/>
    <w:rsid w:val="00757205"/>
    <w:rsid w:val="00757AB3"/>
    <w:rsid w:val="007600B2"/>
    <w:rsid w:val="0076090D"/>
    <w:rsid w:val="00760EDC"/>
    <w:rsid w:val="00761101"/>
    <w:rsid w:val="0076111A"/>
    <w:rsid w:val="007619F2"/>
    <w:rsid w:val="00761DDA"/>
    <w:rsid w:val="0076227B"/>
    <w:rsid w:val="007625F2"/>
    <w:rsid w:val="0076260F"/>
    <w:rsid w:val="00762C36"/>
    <w:rsid w:val="00762D1B"/>
    <w:rsid w:val="00762DE4"/>
    <w:rsid w:val="00762F63"/>
    <w:rsid w:val="007630E6"/>
    <w:rsid w:val="0076380E"/>
    <w:rsid w:val="00763BDE"/>
    <w:rsid w:val="00763C54"/>
    <w:rsid w:val="0076408D"/>
    <w:rsid w:val="00764465"/>
    <w:rsid w:val="00764508"/>
    <w:rsid w:val="0076497A"/>
    <w:rsid w:val="00764B91"/>
    <w:rsid w:val="0076570D"/>
    <w:rsid w:val="00765A82"/>
    <w:rsid w:val="00765C2A"/>
    <w:rsid w:val="00765C87"/>
    <w:rsid w:val="00766681"/>
    <w:rsid w:val="00766763"/>
    <w:rsid w:val="0076687F"/>
    <w:rsid w:val="007668EF"/>
    <w:rsid w:val="00766E05"/>
    <w:rsid w:val="00766F80"/>
    <w:rsid w:val="00767839"/>
    <w:rsid w:val="00767844"/>
    <w:rsid w:val="00767F7C"/>
    <w:rsid w:val="00770229"/>
    <w:rsid w:val="00770B8B"/>
    <w:rsid w:val="00770BBB"/>
    <w:rsid w:val="00770C71"/>
    <w:rsid w:val="00770D03"/>
    <w:rsid w:val="007715D2"/>
    <w:rsid w:val="00771953"/>
    <w:rsid w:val="00771B8C"/>
    <w:rsid w:val="00772870"/>
    <w:rsid w:val="00772A60"/>
    <w:rsid w:val="00772B6E"/>
    <w:rsid w:val="00772B8A"/>
    <w:rsid w:val="00772DB7"/>
    <w:rsid w:val="00774887"/>
    <w:rsid w:val="007751AF"/>
    <w:rsid w:val="007751D6"/>
    <w:rsid w:val="007754F2"/>
    <w:rsid w:val="007756ED"/>
    <w:rsid w:val="00775D38"/>
    <w:rsid w:val="007769BD"/>
    <w:rsid w:val="00777175"/>
    <w:rsid w:val="00780413"/>
    <w:rsid w:val="00780894"/>
    <w:rsid w:val="00780C63"/>
    <w:rsid w:val="00780F3A"/>
    <w:rsid w:val="00781D02"/>
    <w:rsid w:val="00781D8E"/>
    <w:rsid w:val="00781DC5"/>
    <w:rsid w:val="00781DD8"/>
    <w:rsid w:val="007823EA"/>
    <w:rsid w:val="007826A6"/>
    <w:rsid w:val="00782922"/>
    <w:rsid w:val="00782C4D"/>
    <w:rsid w:val="0078357B"/>
    <w:rsid w:val="007835BD"/>
    <w:rsid w:val="0078362A"/>
    <w:rsid w:val="00783874"/>
    <w:rsid w:val="00783BDF"/>
    <w:rsid w:val="007842F8"/>
    <w:rsid w:val="00784635"/>
    <w:rsid w:val="0078472B"/>
    <w:rsid w:val="00785747"/>
    <w:rsid w:val="007858B4"/>
    <w:rsid w:val="0078615F"/>
    <w:rsid w:val="00786218"/>
    <w:rsid w:val="0078649F"/>
    <w:rsid w:val="00786784"/>
    <w:rsid w:val="00786B5E"/>
    <w:rsid w:val="00786FD5"/>
    <w:rsid w:val="00787400"/>
    <w:rsid w:val="007877C8"/>
    <w:rsid w:val="0078791E"/>
    <w:rsid w:val="00787F6E"/>
    <w:rsid w:val="00790080"/>
    <w:rsid w:val="007900E4"/>
    <w:rsid w:val="0079085B"/>
    <w:rsid w:val="00790B7B"/>
    <w:rsid w:val="00790E03"/>
    <w:rsid w:val="0079154A"/>
    <w:rsid w:val="00791B4E"/>
    <w:rsid w:val="00791CEE"/>
    <w:rsid w:val="00791D22"/>
    <w:rsid w:val="00791E53"/>
    <w:rsid w:val="0079206B"/>
    <w:rsid w:val="00792316"/>
    <w:rsid w:val="007923AF"/>
    <w:rsid w:val="007923ED"/>
    <w:rsid w:val="00792720"/>
    <w:rsid w:val="00792798"/>
    <w:rsid w:val="007927FF"/>
    <w:rsid w:val="0079288C"/>
    <w:rsid w:val="00792A0E"/>
    <w:rsid w:val="00792DBF"/>
    <w:rsid w:val="0079311A"/>
    <w:rsid w:val="0079325F"/>
    <w:rsid w:val="00793381"/>
    <w:rsid w:val="00793415"/>
    <w:rsid w:val="007934BA"/>
    <w:rsid w:val="00793605"/>
    <w:rsid w:val="00793694"/>
    <w:rsid w:val="00793774"/>
    <w:rsid w:val="00793865"/>
    <w:rsid w:val="007938F1"/>
    <w:rsid w:val="00793DDF"/>
    <w:rsid w:val="00793EC1"/>
    <w:rsid w:val="007941EF"/>
    <w:rsid w:val="00794F33"/>
    <w:rsid w:val="00795026"/>
    <w:rsid w:val="00795186"/>
    <w:rsid w:val="007952A3"/>
    <w:rsid w:val="00795636"/>
    <w:rsid w:val="00795662"/>
    <w:rsid w:val="00795E9D"/>
    <w:rsid w:val="00796192"/>
    <w:rsid w:val="007961F9"/>
    <w:rsid w:val="007965B7"/>
    <w:rsid w:val="00796614"/>
    <w:rsid w:val="0079680C"/>
    <w:rsid w:val="00796CDB"/>
    <w:rsid w:val="00796D00"/>
    <w:rsid w:val="00796E49"/>
    <w:rsid w:val="00797054"/>
    <w:rsid w:val="007970A1"/>
    <w:rsid w:val="007971E0"/>
    <w:rsid w:val="0079736B"/>
    <w:rsid w:val="00797BEE"/>
    <w:rsid w:val="00797CCD"/>
    <w:rsid w:val="00797D9F"/>
    <w:rsid w:val="00797FC5"/>
    <w:rsid w:val="007A038E"/>
    <w:rsid w:val="007A03EF"/>
    <w:rsid w:val="007A0CF1"/>
    <w:rsid w:val="007A15E5"/>
    <w:rsid w:val="007A1A97"/>
    <w:rsid w:val="007A2382"/>
    <w:rsid w:val="007A27F7"/>
    <w:rsid w:val="007A2828"/>
    <w:rsid w:val="007A2C4E"/>
    <w:rsid w:val="007A312F"/>
    <w:rsid w:val="007A35D1"/>
    <w:rsid w:val="007A3DA6"/>
    <w:rsid w:val="007A3EE7"/>
    <w:rsid w:val="007A44B7"/>
    <w:rsid w:val="007A460B"/>
    <w:rsid w:val="007A47F5"/>
    <w:rsid w:val="007A514D"/>
    <w:rsid w:val="007A51A0"/>
    <w:rsid w:val="007A53B3"/>
    <w:rsid w:val="007A54AD"/>
    <w:rsid w:val="007A5BBD"/>
    <w:rsid w:val="007A5E4E"/>
    <w:rsid w:val="007A605D"/>
    <w:rsid w:val="007A60E3"/>
    <w:rsid w:val="007A673D"/>
    <w:rsid w:val="007A6D37"/>
    <w:rsid w:val="007A7083"/>
    <w:rsid w:val="007A7419"/>
    <w:rsid w:val="007A75E0"/>
    <w:rsid w:val="007A78F5"/>
    <w:rsid w:val="007A79F1"/>
    <w:rsid w:val="007A7F5D"/>
    <w:rsid w:val="007B0089"/>
    <w:rsid w:val="007B02A1"/>
    <w:rsid w:val="007B048D"/>
    <w:rsid w:val="007B04DC"/>
    <w:rsid w:val="007B0771"/>
    <w:rsid w:val="007B0950"/>
    <w:rsid w:val="007B0E26"/>
    <w:rsid w:val="007B10AF"/>
    <w:rsid w:val="007B12B9"/>
    <w:rsid w:val="007B14CA"/>
    <w:rsid w:val="007B19F5"/>
    <w:rsid w:val="007B1F60"/>
    <w:rsid w:val="007B2084"/>
    <w:rsid w:val="007B2470"/>
    <w:rsid w:val="007B270F"/>
    <w:rsid w:val="007B2744"/>
    <w:rsid w:val="007B2BF4"/>
    <w:rsid w:val="007B2FAA"/>
    <w:rsid w:val="007B3240"/>
    <w:rsid w:val="007B34CF"/>
    <w:rsid w:val="007B3874"/>
    <w:rsid w:val="007B3B81"/>
    <w:rsid w:val="007B61EA"/>
    <w:rsid w:val="007B6834"/>
    <w:rsid w:val="007B6BD5"/>
    <w:rsid w:val="007B6F98"/>
    <w:rsid w:val="007B72CD"/>
    <w:rsid w:val="007B7513"/>
    <w:rsid w:val="007B7AF8"/>
    <w:rsid w:val="007B7E74"/>
    <w:rsid w:val="007B7F07"/>
    <w:rsid w:val="007C0130"/>
    <w:rsid w:val="007C0545"/>
    <w:rsid w:val="007C0FCB"/>
    <w:rsid w:val="007C107C"/>
    <w:rsid w:val="007C1A66"/>
    <w:rsid w:val="007C1ABC"/>
    <w:rsid w:val="007C1FBF"/>
    <w:rsid w:val="007C2392"/>
    <w:rsid w:val="007C25BF"/>
    <w:rsid w:val="007C3071"/>
    <w:rsid w:val="007C3FE0"/>
    <w:rsid w:val="007C402C"/>
    <w:rsid w:val="007C40F0"/>
    <w:rsid w:val="007C4390"/>
    <w:rsid w:val="007C461E"/>
    <w:rsid w:val="007C471D"/>
    <w:rsid w:val="007C49E2"/>
    <w:rsid w:val="007C5023"/>
    <w:rsid w:val="007C5457"/>
    <w:rsid w:val="007C549A"/>
    <w:rsid w:val="007C5745"/>
    <w:rsid w:val="007C5778"/>
    <w:rsid w:val="007C5BEC"/>
    <w:rsid w:val="007C5E33"/>
    <w:rsid w:val="007C6E2B"/>
    <w:rsid w:val="007C75CD"/>
    <w:rsid w:val="007C7E25"/>
    <w:rsid w:val="007D046A"/>
    <w:rsid w:val="007D137D"/>
    <w:rsid w:val="007D1C55"/>
    <w:rsid w:val="007D1EAE"/>
    <w:rsid w:val="007D2627"/>
    <w:rsid w:val="007D27DD"/>
    <w:rsid w:val="007D27F2"/>
    <w:rsid w:val="007D2DE3"/>
    <w:rsid w:val="007D30F0"/>
    <w:rsid w:val="007D351A"/>
    <w:rsid w:val="007D3B04"/>
    <w:rsid w:val="007D3EC3"/>
    <w:rsid w:val="007D3FDA"/>
    <w:rsid w:val="007D43B1"/>
    <w:rsid w:val="007D4992"/>
    <w:rsid w:val="007D4FA1"/>
    <w:rsid w:val="007D5199"/>
    <w:rsid w:val="007D5A73"/>
    <w:rsid w:val="007D5F2A"/>
    <w:rsid w:val="007D6204"/>
    <w:rsid w:val="007D64C4"/>
    <w:rsid w:val="007D66F4"/>
    <w:rsid w:val="007D6772"/>
    <w:rsid w:val="007D6A87"/>
    <w:rsid w:val="007D71BA"/>
    <w:rsid w:val="007D74F2"/>
    <w:rsid w:val="007D76BB"/>
    <w:rsid w:val="007D79F5"/>
    <w:rsid w:val="007D7EE5"/>
    <w:rsid w:val="007D7F8D"/>
    <w:rsid w:val="007E0325"/>
    <w:rsid w:val="007E0B41"/>
    <w:rsid w:val="007E1620"/>
    <w:rsid w:val="007E1870"/>
    <w:rsid w:val="007E1A79"/>
    <w:rsid w:val="007E228F"/>
    <w:rsid w:val="007E266E"/>
    <w:rsid w:val="007E27E6"/>
    <w:rsid w:val="007E27F1"/>
    <w:rsid w:val="007E2869"/>
    <w:rsid w:val="007E2D8C"/>
    <w:rsid w:val="007E3164"/>
    <w:rsid w:val="007E31FA"/>
    <w:rsid w:val="007E434C"/>
    <w:rsid w:val="007E51A1"/>
    <w:rsid w:val="007E52A3"/>
    <w:rsid w:val="007E557F"/>
    <w:rsid w:val="007E5826"/>
    <w:rsid w:val="007E5C39"/>
    <w:rsid w:val="007E656D"/>
    <w:rsid w:val="007E6A0C"/>
    <w:rsid w:val="007E704E"/>
    <w:rsid w:val="007E70CE"/>
    <w:rsid w:val="007E7476"/>
    <w:rsid w:val="007E75F4"/>
    <w:rsid w:val="007E7A80"/>
    <w:rsid w:val="007E7EC6"/>
    <w:rsid w:val="007F0635"/>
    <w:rsid w:val="007F095D"/>
    <w:rsid w:val="007F0A1C"/>
    <w:rsid w:val="007F0CCD"/>
    <w:rsid w:val="007F0E28"/>
    <w:rsid w:val="007F1347"/>
    <w:rsid w:val="007F13DD"/>
    <w:rsid w:val="007F153A"/>
    <w:rsid w:val="007F1889"/>
    <w:rsid w:val="007F18BB"/>
    <w:rsid w:val="007F1A55"/>
    <w:rsid w:val="007F1DEB"/>
    <w:rsid w:val="007F1EDC"/>
    <w:rsid w:val="007F2400"/>
    <w:rsid w:val="007F2950"/>
    <w:rsid w:val="007F2A29"/>
    <w:rsid w:val="007F2BC3"/>
    <w:rsid w:val="007F3272"/>
    <w:rsid w:val="007F394A"/>
    <w:rsid w:val="007F3B0E"/>
    <w:rsid w:val="007F40DE"/>
    <w:rsid w:val="007F4180"/>
    <w:rsid w:val="007F46B9"/>
    <w:rsid w:val="007F47F6"/>
    <w:rsid w:val="007F4AF1"/>
    <w:rsid w:val="007F55B2"/>
    <w:rsid w:val="007F5627"/>
    <w:rsid w:val="007F5995"/>
    <w:rsid w:val="007F6EE7"/>
    <w:rsid w:val="007F6F30"/>
    <w:rsid w:val="007F748E"/>
    <w:rsid w:val="007F76DF"/>
    <w:rsid w:val="007F773B"/>
    <w:rsid w:val="007F77A4"/>
    <w:rsid w:val="007F798B"/>
    <w:rsid w:val="007F7E74"/>
    <w:rsid w:val="008005E7"/>
    <w:rsid w:val="00800612"/>
    <w:rsid w:val="00800728"/>
    <w:rsid w:val="008016B3"/>
    <w:rsid w:val="008022D1"/>
    <w:rsid w:val="00802443"/>
    <w:rsid w:val="00802889"/>
    <w:rsid w:val="00803328"/>
    <w:rsid w:val="00803569"/>
    <w:rsid w:val="00803EA4"/>
    <w:rsid w:val="00803F7E"/>
    <w:rsid w:val="0080424D"/>
    <w:rsid w:val="008045C9"/>
    <w:rsid w:val="00805141"/>
    <w:rsid w:val="00805630"/>
    <w:rsid w:val="008057F7"/>
    <w:rsid w:val="00805B7A"/>
    <w:rsid w:val="00805CA5"/>
    <w:rsid w:val="00805D14"/>
    <w:rsid w:val="00805D4D"/>
    <w:rsid w:val="00805D9C"/>
    <w:rsid w:val="00805E85"/>
    <w:rsid w:val="008063FE"/>
    <w:rsid w:val="00806563"/>
    <w:rsid w:val="00807199"/>
    <w:rsid w:val="00807420"/>
    <w:rsid w:val="00807583"/>
    <w:rsid w:val="00807919"/>
    <w:rsid w:val="00807BE8"/>
    <w:rsid w:val="00807E45"/>
    <w:rsid w:val="008102E3"/>
    <w:rsid w:val="00810307"/>
    <w:rsid w:val="008104EE"/>
    <w:rsid w:val="008117E8"/>
    <w:rsid w:val="00811BBA"/>
    <w:rsid w:val="00812218"/>
    <w:rsid w:val="008129E0"/>
    <w:rsid w:val="008129EC"/>
    <w:rsid w:val="00813612"/>
    <w:rsid w:val="008138AB"/>
    <w:rsid w:val="00813B4D"/>
    <w:rsid w:val="0081550A"/>
    <w:rsid w:val="008156D3"/>
    <w:rsid w:val="00815736"/>
    <w:rsid w:val="0081650B"/>
    <w:rsid w:val="008169DE"/>
    <w:rsid w:val="00816A56"/>
    <w:rsid w:val="00817A05"/>
    <w:rsid w:val="00817DFE"/>
    <w:rsid w:val="00820D5D"/>
    <w:rsid w:val="00820E19"/>
    <w:rsid w:val="008213B6"/>
    <w:rsid w:val="008216AB"/>
    <w:rsid w:val="00821A92"/>
    <w:rsid w:val="00821D52"/>
    <w:rsid w:val="0082235D"/>
    <w:rsid w:val="00822587"/>
    <w:rsid w:val="0082271B"/>
    <w:rsid w:val="00823086"/>
    <w:rsid w:val="008233B3"/>
    <w:rsid w:val="0082353D"/>
    <w:rsid w:val="00823605"/>
    <w:rsid w:val="00823716"/>
    <w:rsid w:val="00823990"/>
    <w:rsid w:val="00823A85"/>
    <w:rsid w:val="00823C57"/>
    <w:rsid w:val="00824BD7"/>
    <w:rsid w:val="00824C1D"/>
    <w:rsid w:val="008251D5"/>
    <w:rsid w:val="008255E1"/>
    <w:rsid w:val="0082565C"/>
    <w:rsid w:val="00825F3C"/>
    <w:rsid w:val="0082643F"/>
    <w:rsid w:val="00826614"/>
    <w:rsid w:val="008267CC"/>
    <w:rsid w:val="00826DBC"/>
    <w:rsid w:val="008270C1"/>
    <w:rsid w:val="008270C7"/>
    <w:rsid w:val="008273AE"/>
    <w:rsid w:val="008277C8"/>
    <w:rsid w:val="00827D0D"/>
    <w:rsid w:val="00830154"/>
    <w:rsid w:val="00830358"/>
    <w:rsid w:val="00830BA4"/>
    <w:rsid w:val="00830C77"/>
    <w:rsid w:val="00830FC4"/>
    <w:rsid w:val="008310C9"/>
    <w:rsid w:val="00831229"/>
    <w:rsid w:val="00831891"/>
    <w:rsid w:val="00831EFE"/>
    <w:rsid w:val="0083213F"/>
    <w:rsid w:val="008324B2"/>
    <w:rsid w:val="0083276D"/>
    <w:rsid w:val="00832F65"/>
    <w:rsid w:val="0083336E"/>
    <w:rsid w:val="008337C4"/>
    <w:rsid w:val="00833B8A"/>
    <w:rsid w:val="00834D64"/>
    <w:rsid w:val="00834F0B"/>
    <w:rsid w:val="00834FEE"/>
    <w:rsid w:val="0083574A"/>
    <w:rsid w:val="00835A75"/>
    <w:rsid w:val="0083634E"/>
    <w:rsid w:val="0083705F"/>
    <w:rsid w:val="0083716F"/>
    <w:rsid w:val="00837222"/>
    <w:rsid w:val="0083792E"/>
    <w:rsid w:val="008379E3"/>
    <w:rsid w:val="008406C0"/>
    <w:rsid w:val="00840842"/>
    <w:rsid w:val="0084089D"/>
    <w:rsid w:val="00841A88"/>
    <w:rsid w:val="00841BB2"/>
    <w:rsid w:val="00841EBD"/>
    <w:rsid w:val="00842068"/>
    <w:rsid w:val="00842675"/>
    <w:rsid w:val="00842EAD"/>
    <w:rsid w:val="0084342E"/>
    <w:rsid w:val="008435C4"/>
    <w:rsid w:val="00843E6F"/>
    <w:rsid w:val="00843EE8"/>
    <w:rsid w:val="00843FCC"/>
    <w:rsid w:val="00844061"/>
    <w:rsid w:val="00844A28"/>
    <w:rsid w:val="00844BAF"/>
    <w:rsid w:val="008451DA"/>
    <w:rsid w:val="00845383"/>
    <w:rsid w:val="00845D64"/>
    <w:rsid w:val="00846271"/>
    <w:rsid w:val="00846564"/>
    <w:rsid w:val="00846651"/>
    <w:rsid w:val="00847700"/>
    <w:rsid w:val="00847892"/>
    <w:rsid w:val="00847B97"/>
    <w:rsid w:val="00847C75"/>
    <w:rsid w:val="00847CF6"/>
    <w:rsid w:val="0085057B"/>
    <w:rsid w:val="00850D31"/>
    <w:rsid w:val="0085108E"/>
    <w:rsid w:val="008519EC"/>
    <w:rsid w:val="00851D84"/>
    <w:rsid w:val="00851F2B"/>
    <w:rsid w:val="008526AD"/>
    <w:rsid w:val="00852728"/>
    <w:rsid w:val="008534BB"/>
    <w:rsid w:val="008534F3"/>
    <w:rsid w:val="008538D0"/>
    <w:rsid w:val="008538E4"/>
    <w:rsid w:val="00853982"/>
    <w:rsid w:val="00853C40"/>
    <w:rsid w:val="00853D73"/>
    <w:rsid w:val="00853D76"/>
    <w:rsid w:val="00854434"/>
    <w:rsid w:val="00854644"/>
    <w:rsid w:val="008554FA"/>
    <w:rsid w:val="00855AAB"/>
    <w:rsid w:val="00855B65"/>
    <w:rsid w:val="00856561"/>
    <w:rsid w:val="008568D3"/>
    <w:rsid w:val="00856CE5"/>
    <w:rsid w:val="008570F2"/>
    <w:rsid w:val="0085715E"/>
    <w:rsid w:val="00857750"/>
    <w:rsid w:val="00857A0F"/>
    <w:rsid w:val="00857AD6"/>
    <w:rsid w:val="00857D21"/>
    <w:rsid w:val="00857E4A"/>
    <w:rsid w:val="00857F5E"/>
    <w:rsid w:val="008601A8"/>
    <w:rsid w:val="0086024E"/>
    <w:rsid w:val="0086052D"/>
    <w:rsid w:val="00860553"/>
    <w:rsid w:val="0086073D"/>
    <w:rsid w:val="008609EC"/>
    <w:rsid w:val="00861544"/>
    <w:rsid w:val="00861A7D"/>
    <w:rsid w:val="00861B58"/>
    <w:rsid w:val="00861B61"/>
    <w:rsid w:val="00861EF1"/>
    <w:rsid w:val="00861F6B"/>
    <w:rsid w:val="00861F83"/>
    <w:rsid w:val="00862489"/>
    <w:rsid w:val="008627BE"/>
    <w:rsid w:val="00862E98"/>
    <w:rsid w:val="0086336F"/>
    <w:rsid w:val="0086376D"/>
    <w:rsid w:val="00864387"/>
    <w:rsid w:val="008645E8"/>
    <w:rsid w:val="008646AC"/>
    <w:rsid w:val="00864A78"/>
    <w:rsid w:val="00864F08"/>
    <w:rsid w:val="008657AE"/>
    <w:rsid w:val="00866625"/>
    <w:rsid w:val="0086671C"/>
    <w:rsid w:val="0086680E"/>
    <w:rsid w:val="0086702E"/>
    <w:rsid w:val="00867365"/>
    <w:rsid w:val="00867735"/>
    <w:rsid w:val="00867B59"/>
    <w:rsid w:val="00867C51"/>
    <w:rsid w:val="00867D5E"/>
    <w:rsid w:val="00867F0D"/>
    <w:rsid w:val="008700AD"/>
    <w:rsid w:val="008700F1"/>
    <w:rsid w:val="008702C6"/>
    <w:rsid w:val="00870442"/>
    <w:rsid w:val="00870E84"/>
    <w:rsid w:val="00870E96"/>
    <w:rsid w:val="00870F5B"/>
    <w:rsid w:val="0087107A"/>
    <w:rsid w:val="00871778"/>
    <w:rsid w:val="008717B7"/>
    <w:rsid w:val="00871DD3"/>
    <w:rsid w:val="00872640"/>
    <w:rsid w:val="00872882"/>
    <w:rsid w:val="00872A48"/>
    <w:rsid w:val="00872BF2"/>
    <w:rsid w:val="00872F43"/>
    <w:rsid w:val="008731A1"/>
    <w:rsid w:val="008731FB"/>
    <w:rsid w:val="008732C5"/>
    <w:rsid w:val="00873E8C"/>
    <w:rsid w:val="008740A9"/>
    <w:rsid w:val="008743F2"/>
    <w:rsid w:val="0087464B"/>
    <w:rsid w:val="00874775"/>
    <w:rsid w:val="00874C24"/>
    <w:rsid w:val="00874EF4"/>
    <w:rsid w:val="00875550"/>
    <w:rsid w:val="0087588E"/>
    <w:rsid w:val="00875A29"/>
    <w:rsid w:val="00875B0C"/>
    <w:rsid w:val="00875B98"/>
    <w:rsid w:val="00875C1F"/>
    <w:rsid w:val="00876143"/>
    <w:rsid w:val="008763AE"/>
    <w:rsid w:val="008763F5"/>
    <w:rsid w:val="00876493"/>
    <w:rsid w:val="008764C3"/>
    <w:rsid w:val="0087703F"/>
    <w:rsid w:val="00877509"/>
    <w:rsid w:val="00877518"/>
    <w:rsid w:val="008803FE"/>
    <w:rsid w:val="008805EC"/>
    <w:rsid w:val="00880E9E"/>
    <w:rsid w:val="00881468"/>
    <w:rsid w:val="00881692"/>
    <w:rsid w:val="0088193D"/>
    <w:rsid w:val="00881969"/>
    <w:rsid w:val="00881AFA"/>
    <w:rsid w:val="0088267A"/>
    <w:rsid w:val="0088281F"/>
    <w:rsid w:val="00882A58"/>
    <w:rsid w:val="00882AF1"/>
    <w:rsid w:val="00882FA2"/>
    <w:rsid w:val="00883357"/>
    <w:rsid w:val="0088369F"/>
    <w:rsid w:val="008836B4"/>
    <w:rsid w:val="00883A40"/>
    <w:rsid w:val="00883AFE"/>
    <w:rsid w:val="008842D9"/>
    <w:rsid w:val="0088477A"/>
    <w:rsid w:val="00884CB3"/>
    <w:rsid w:val="008854AE"/>
    <w:rsid w:val="00885501"/>
    <w:rsid w:val="0088560F"/>
    <w:rsid w:val="008858C4"/>
    <w:rsid w:val="008859D8"/>
    <w:rsid w:val="00885AAB"/>
    <w:rsid w:val="00885E2A"/>
    <w:rsid w:val="008860D6"/>
    <w:rsid w:val="00886354"/>
    <w:rsid w:val="00886404"/>
    <w:rsid w:val="0088652D"/>
    <w:rsid w:val="00886FFE"/>
    <w:rsid w:val="00887B06"/>
    <w:rsid w:val="00890438"/>
    <w:rsid w:val="008907E7"/>
    <w:rsid w:val="0089086D"/>
    <w:rsid w:val="00891203"/>
    <w:rsid w:val="008912B0"/>
    <w:rsid w:val="00891826"/>
    <w:rsid w:val="008918A2"/>
    <w:rsid w:val="00891EC3"/>
    <w:rsid w:val="00892155"/>
    <w:rsid w:val="00892582"/>
    <w:rsid w:val="00892993"/>
    <w:rsid w:val="00893201"/>
    <w:rsid w:val="008933AA"/>
    <w:rsid w:val="0089366D"/>
    <w:rsid w:val="00893A5A"/>
    <w:rsid w:val="00893ED0"/>
    <w:rsid w:val="00894C06"/>
    <w:rsid w:val="0089533E"/>
    <w:rsid w:val="008955E8"/>
    <w:rsid w:val="0089587F"/>
    <w:rsid w:val="00895EA2"/>
    <w:rsid w:val="00895ED3"/>
    <w:rsid w:val="00896525"/>
    <w:rsid w:val="00896A8A"/>
    <w:rsid w:val="0089725C"/>
    <w:rsid w:val="008979E3"/>
    <w:rsid w:val="008A0147"/>
    <w:rsid w:val="008A0D7F"/>
    <w:rsid w:val="008A1148"/>
    <w:rsid w:val="008A1DCA"/>
    <w:rsid w:val="008A2733"/>
    <w:rsid w:val="008A2EAF"/>
    <w:rsid w:val="008A302C"/>
    <w:rsid w:val="008A31CF"/>
    <w:rsid w:val="008A325D"/>
    <w:rsid w:val="008A3743"/>
    <w:rsid w:val="008A3A75"/>
    <w:rsid w:val="008A3B05"/>
    <w:rsid w:val="008A4484"/>
    <w:rsid w:val="008A4810"/>
    <w:rsid w:val="008A4821"/>
    <w:rsid w:val="008A4A8E"/>
    <w:rsid w:val="008A4F15"/>
    <w:rsid w:val="008A54A3"/>
    <w:rsid w:val="008A5A01"/>
    <w:rsid w:val="008A5B2A"/>
    <w:rsid w:val="008A5CC9"/>
    <w:rsid w:val="008A5E6A"/>
    <w:rsid w:val="008A621D"/>
    <w:rsid w:val="008A62EE"/>
    <w:rsid w:val="008A6536"/>
    <w:rsid w:val="008A6AFA"/>
    <w:rsid w:val="008A6C69"/>
    <w:rsid w:val="008A6D3D"/>
    <w:rsid w:val="008A6E93"/>
    <w:rsid w:val="008A6EC5"/>
    <w:rsid w:val="008A77E8"/>
    <w:rsid w:val="008B000E"/>
    <w:rsid w:val="008B032A"/>
    <w:rsid w:val="008B06C1"/>
    <w:rsid w:val="008B0BA9"/>
    <w:rsid w:val="008B0C1A"/>
    <w:rsid w:val="008B0ED9"/>
    <w:rsid w:val="008B144A"/>
    <w:rsid w:val="008B1B82"/>
    <w:rsid w:val="008B1FEF"/>
    <w:rsid w:val="008B240F"/>
    <w:rsid w:val="008B2531"/>
    <w:rsid w:val="008B2579"/>
    <w:rsid w:val="008B25E3"/>
    <w:rsid w:val="008B28E8"/>
    <w:rsid w:val="008B29D8"/>
    <w:rsid w:val="008B2A51"/>
    <w:rsid w:val="008B2F04"/>
    <w:rsid w:val="008B37B2"/>
    <w:rsid w:val="008B3CC8"/>
    <w:rsid w:val="008B3F28"/>
    <w:rsid w:val="008B3F68"/>
    <w:rsid w:val="008B4050"/>
    <w:rsid w:val="008B412B"/>
    <w:rsid w:val="008B4370"/>
    <w:rsid w:val="008B4645"/>
    <w:rsid w:val="008B5330"/>
    <w:rsid w:val="008B54FC"/>
    <w:rsid w:val="008B5970"/>
    <w:rsid w:val="008B5CF8"/>
    <w:rsid w:val="008B6249"/>
    <w:rsid w:val="008B668C"/>
    <w:rsid w:val="008B6BA4"/>
    <w:rsid w:val="008B6BEC"/>
    <w:rsid w:val="008B6D1F"/>
    <w:rsid w:val="008B7018"/>
    <w:rsid w:val="008B70D8"/>
    <w:rsid w:val="008B77D9"/>
    <w:rsid w:val="008B7B05"/>
    <w:rsid w:val="008C0A17"/>
    <w:rsid w:val="008C1166"/>
    <w:rsid w:val="008C1EE8"/>
    <w:rsid w:val="008C2246"/>
    <w:rsid w:val="008C230E"/>
    <w:rsid w:val="008C263C"/>
    <w:rsid w:val="008C293B"/>
    <w:rsid w:val="008C2BF1"/>
    <w:rsid w:val="008C2E09"/>
    <w:rsid w:val="008C3455"/>
    <w:rsid w:val="008C36B4"/>
    <w:rsid w:val="008C387A"/>
    <w:rsid w:val="008C40A6"/>
    <w:rsid w:val="008C425E"/>
    <w:rsid w:val="008C44BA"/>
    <w:rsid w:val="008C44FB"/>
    <w:rsid w:val="008C4740"/>
    <w:rsid w:val="008C499C"/>
    <w:rsid w:val="008C4F63"/>
    <w:rsid w:val="008C583D"/>
    <w:rsid w:val="008C592D"/>
    <w:rsid w:val="008C617C"/>
    <w:rsid w:val="008C61DB"/>
    <w:rsid w:val="008C6663"/>
    <w:rsid w:val="008C6789"/>
    <w:rsid w:val="008C6813"/>
    <w:rsid w:val="008C7139"/>
    <w:rsid w:val="008C7395"/>
    <w:rsid w:val="008C7666"/>
    <w:rsid w:val="008C79B5"/>
    <w:rsid w:val="008D0491"/>
    <w:rsid w:val="008D04DF"/>
    <w:rsid w:val="008D0969"/>
    <w:rsid w:val="008D0BD1"/>
    <w:rsid w:val="008D0D13"/>
    <w:rsid w:val="008D1335"/>
    <w:rsid w:val="008D1653"/>
    <w:rsid w:val="008D17D7"/>
    <w:rsid w:val="008D1905"/>
    <w:rsid w:val="008D1BC0"/>
    <w:rsid w:val="008D27AA"/>
    <w:rsid w:val="008D2B54"/>
    <w:rsid w:val="008D2E2B"/>
    <w:rsid w:val="008D300E"/>
    <w:rsid w:val="008D3067"/>
    <w:rsid w:val="008D33AB"/>
    <w:rsid w:val="008D3DBC"/>
    <w:rsid w:val="008D3F5B"/>
    <w:rsid w:val="008D4210"/>
    <w:rsid w:val="008D43DD"/>
    <w:rsid w:val="008D5411"/>
    <w:rsid w:val="008D555C"/>
    <w:rsid w:val="008D5792"/>
    <w:rsid w:val="008D5A35"/>
    <w:rsid w:val="008D5AF6"/>
    <w:rsid w:val="008D5B13"/>
    <w:rsid w:val="008D5E78"/>
    <w:rsid w:val="008D6259"/>
    <w:rsid w:val="008D6570"/>
    <w:rsid w:val="008D6AC2"/>
    <w:rsid w:val="008D7139"/>
    <w:rsid w:val="008D72C9"/>
    <w:rsid w:val="008D7401"/>
    <w:rsid w:val="008D757E"/>
    <w:rsid w:val="008D7848"/>
    <w:rsid w:val="008D788A"/>
    <w:rsid w:val="008E03B8"/>
    <w:rsid w:val="008E0400"/>
    <w:rsid w:val="008E0817"/>
    <w:rsid w:val="008E104A"/>
    <w:rsid w:val="008E1289"/>
    <w:rsid w:val="008E133A"/>
    <w:rsid w:val="008E144B"/>
    <w:rsid w:val="008E1CAC"/>
    <w:rsid w:val="008E1D33"/>
    <w:rsid w:val="008E1E23"/>
    <w:rsid w:val="008E1FCA"/>
    <w:rsid w:val="008E1FF7"/>
    <w:rsid w:val="008E206A"/>
    <w:rsid w:val="008E23E4"/>
    <w:rsid w:val="008E2B0B"/>
    <w:rsid w:val="008E2F94"/>
    <w:rsid w:val="008E374B"/>
    <w:rsid w:val="008E396F"/>
    <w:rsid w:val="008E42B9"/>
    <w:rsid w:val="008E4742"/>
    <w:rsid w:val="008E48C6"/>
    <w:rsid w:val="008E507B"/>
    <w:rsid w:val="008E542D"/>
    <w:rsid w:val="008E5CD5"/>
    <w:rsid w:val="008E5E38"/>
    <w:rsid w:val="008E65E6"/>
    <w:rsid w:val="008E6908"/>
    <w:rsid w:val="008E6E9E"/>
    <w:rsid w:val="008E6FF7"/>
    <w:rsid w:val="008E7202"/>
    <w:rsid w:val="008E7611"/>
    <w:rsid w:val="008E7792"/>
    <w:rsid w:val="008E7993"/>
    <w:rsid w:val="008E79CC"/>
    <w:rsid w:val="008E7A76"/>
    <w:rsid w:val="008F1731"/>
    <w:rsid w:val="008F1999"/>
    <w:rsid w:val="008F24F4"/>
    <w:rsid w:val="008F2786"/>
    <w:rsid w:val="008F2797"/>
    <w:rsid w:val="008F27AC"/>
    <w:rsid w:val="008F2ECC"/>
    <w:rsid w:val="008F2FCE"/>
    <w:rsid w:val="008F3524"/>
    <w:rsid w:val="008F3C1F"/>
    <w:rsid w:val="008F3C7A"/>
    <w:rsid w:val="008F3C9D"/>
    <w:rsid w:val="008F3EE6"/>
    <w:rsid w:val="008F42A7"/>
    <w:rsid w:val="008F436B"/>
    <w:rsid w:val="008F487B"/>
    <w:rsid w:val="008F4B7C"/>
    <w:rsid w:val="008F4FD9"/>
    <w:rsid w:val="008F507B"/>
    <w:rsid w:val="008F52FA"/>
    <w:rsid w:val="008F53CB"/>
    <w:rsid w:val="008F6435"/>
    <w:rsid w:val="008F6536"/>
    <w:rsid w:val="008F663F"/>
    <w:rsid w:val="008F68DF"/>
    <w:rsid w:val="008F6B0F"/>
    <w:rsid w:val="008F6E8A"/>
    <w:rsid w:val="008F7081"/>
    <w:rsid w:val="008F70CC"/>
    <w:rsid w:val="008F73A6"/>
    <w:rsid w:val="008F74CE"/>
    <w:rsid w:val="008F75AE"/>
    <w:rsid w:val="008F7908"/>
    <w:rsid w:val="008F7F0A"/>
    <w:rsid w:val="00900560"/>
    <w:rsid w:val="00900C99"/>
    <w:rsid w:val="00901686"/>
    <w:rsid w:val="009019E2"/>
    <w:rsid w:val="00901CB3"/>
    <w:rsid w:val="0090206B"/>
    <w:rsid w:val="00902432"/>
    <w:rsid w:val="009025D4"/>
    <w:rsid w:val="009026E0"/>
    <w:rsid w:val="00902720"/>
    <w:rsid w:val="00902AF8"/>
    <w:rsid w:val="0090328C"/>
    <w:rsid w:val="00903399"/>
    <w:rsid w:val="009035A7"/>
    <w:rsid w:val="009035C2"/>
    <w:rsid w:val="00904103"/>
    <w:rsid w:val="009043A0"/>
    <w:rsid w:val="00904809"/>
    <w:rsid w:val="0090490E"/>
    <w:rsid w:val="00904B71"/>
    <w:rsid w:val="00904E80"/>
    <w:rsid w:val="00904F24"/>
    <w:rsid w:val="00905219"/>
    <w:rsid w:val="00905509"/>
    <w:rsid w:val="009062B7"/>
    <w:rsid w:val="009063CA"/>
    <w:rsid w:val="00906705"/>
    <w:rsid w:val="00906A76"/>
    <w:rsid w:val="009070FE"/>
    <w:rsid w:val="009074B0"/>
    <w:rsid w:val="00907750"/>
    <w:rsid w:val="00907938"/>
    <w:rsid w:val="00907A02"/>
    <w:rsid w:val="00907B81"/>
    <w:rsid w:val="009100D2"/>
    <w:rsid w:val="009111C5"/>
    <w:rsid w:val="009112CF"/>
    <w:rsid w:val="009117A8"/>
    <w:rsid w:val="009128F0"/>
    <w:rsid w:val="00912929"/>
    <w:rsid w:val="00912EB3"/>
    <w:rsid w:val="009131D1"/>
    <w:rsid w:val="00913312"/>
    <w:rsid w:val="009135F2"/>
    <w:rsid w:val="009137C5"/>
    <w:rsid w:val="0091380F"/>
    <w:rsid w:val="00914343"/>
    <w:rsid w:val="009143A0"/>
    <w:rsid w:val="00914692"/>
    <w:rsid w:val="00915210"/>
    <w:rsid w:val="009153D2"/>
    <w:rsid w:val="009159A8"/>
    <w:rsid w:val="00916024"/>
    <w:rsid w:val="0091723F"/>
    <w:rsid w:val="009200C8"/>
    <w:rsid w:val="00920406"/>
    <w:rsid w:val="0092050A"/>
    <w:rsid w:val="009209BB"/>
    <w:rsid w:val="009209FA"/>
    <w:rsid w:val="00920B40"/>
    <w:rsid w:val="00920BB2"/>
    <w:rsid w:val="009217B1"/>
    <w:rsid w:val="00921E8C"/>
    <w:rsid w:val="00922395"/>
    <w:rsid w:val="00922BD2"/>
    <w:rsid w:val="00922C07"/>
    <w:rsid w:val="00922CAB"/>
    <w:rsid w:val="0092321B"/>
    <w:rsid w:val="009234B0"/>
    <w:rsid w:val="009237C6"/>
    <w:rsid w:val="00924215"/>
    <w:rsid w:val="009244EE"/>
    <w:rsid w:val="009244FC"/>
    <w:rsid w:val="00924515"/>
    <w:rsid w:val="00924D43"/>
    <w:rsid w:val="00924D71"/>
    <w:rsid w:val="00925092"/>
    <w:rsid w:val="009253DE"/>
    <w:rsid w:val="0092574F"/>
    <w:rsid w:val="0092627C"/>
    <w:rsid w:val="00926306"/>
    <w:rsid w:val="0092639B"/>
    <w:rsid w:val="00926451"/>
    <w:rsid w:val="009265FF"/>
    <w:rsid w:val="00926728"/>
    <w:rsid w:val="00926C32"/>
    <w:rsid w:val="00926FBA"/>
    <w:rsid w:val="0092746D"/>
    <w:rsid w:val="00930265"/>
    <w:rsid w:val="0093040F"/>
    <w:rsid w:val="009305A8"/>
    <w:rsid w:val="009309DA"/>
    <w:rsid w:val="00931371"/>
    <w:rsid w:val="00931C39"/>
    <w:rsid w:val="00931F45"/>
    <w:rsid w:val="0093232C"/>
    <w:rsid w:val="009331CE"/>
    <w:rsid w:val="009331EF"/>
    <w:rsid w:val="0093325D"/>
    <w:rsid w:val="00933DEA"/>
    <w:rsid w:val="00934EC0"/>
    <w:rsid w:val="009354FA"/>
    <w:rsid w:val="009356CA"/>
    <w:rsid w:val="009358C1"/>
    <w:rsid w:val="00936208"/>
    <w:rsid w:val="009364E8"/>
    <w:rsid w:val="00936952"/>
    <w:rsid w:val="009372C3"/>
    <w:rsid w:val="0093754F"/>
    <w:rsid w:val="00940572"/>
    <w:rsid w:val="009407E7"/>
    <w:rsid w:val="00940B40"/>
    <w:rsid w:val="00940C13"/>
    <w:rsid w:val="009411C3"/>
    <w:rsid w:val="00941824"/>
    <w:rsid w:val="00941A48"/>
    <w:rsid w:val="00941B2E"/>
    <w:rsid w:val="0094214F"/>
    <w:rsid w:val="009426CA"/>
    <w:rsid w:val="00942D42"/>
    <w:rsid w:val="009432A1"/>
    <w:rsid w:val="009432A3"/>
    <w:rsid w:val="00943A7D"/>
    <w:rsid w:val="00943E81"/>
    <w:rsid w:val="00943F49"/>
    <w:rsid w:val="009443E1"/>
    <w:rsid w:val="009445AE"/>
    <w:rsid w:val="0094473A"/>
    <w:rsid w:val="00944D66"/>
    <w:rsid w:val="00944FD4"/>
    <w:rsid w:val="0094506F"/>
    <w:rsid w:val="00945489"/>
    <w:rsid w:val="009454A0"/>
    <w:rsid w:val="00945877"/>
    <w:rsid w:val="009458A5"/>
    <w:rsid w:val="00945B34"/>
    <w:rsid w:val="00945EB1"/>
    <w:rsid w:val="00946044"/>
    <w:rsid w:val="00946070"/>
    <w:rsid w:val="009463E6"/>
    <w:rsid w:val="00946471"/>
    <w:rsid w:val="0094692E"/>
    <w:rsid w:val="009475FC"/>
    <w:rsid w:val="00947842"/>
    <w:rsid w:val="00947A44"/>
    <w:rsid w:val="00947E92"/>
    <w:rsid w:val="009503B7"/>
    <w:rsid w:val="0095060A"/>
    <w:rsid w:val="00950796"/>
    <w:rsid w:val="00950A24"/>
    <w:rsid w:val="00950B65"/>
    <w:rsid w:val="00950F0B"/>
    <w:rsid w:val="0095137D"/>
    <w:rsid w:val="00951486"/>
    <w:rsid w:val="00951BB5"/>
    <w:rsid w:val="00951CBD"/>
    <w:rsid w:val="009521B7"/>
    <w:rsid w:val="009524DD"/>
    <w:rsid w:val="009524EC"/>
    <w:rsid w:val="009528A3"/>
    <w:rsid w:val="00952EAF"/>
    <w:rsid w:val="00953502"/>
    <w:rsid w:val="009538A2"/>
    <w:rsid w:val="0095460D"/>
    <w:rsid w:val="00954718"/>
    <w:rsid w:val="00954F06"/>
    <w:rsid w:val="0095507A"/>
    <w:rsid w:val="00955A09"/>
    <w:rsid w:val="00955E2C"/>
    <w:rsid w:val="0095620A"/>
    <w:rsid w:val="00956408"/>
    <w:rsid w:val="00956563"/>
    <w:rsid w:val="00957009"/>
    <w:rsid w:val="00957182"/>
    <w:rsid w:val="00957900"/>
    <w:rsid w:val="00957BF9"/>
    <w:rsid w:val="00957EEA"/>
    <w:rsid w:val="00960553"/>
    <w:rsid w:val="0096056E"/>
    <w:rsid w:val="00960879"/>
    <w:rsid w:val="009609F5"/>
    <w:rsid w:val="009611AC"/>
    <w:rsid w:val="0096129D"/>
    <w:rsid w:val="009613E0"/>
    <w:rsid w:val="0096187F"/>
    <w:rsid w:val="00961A91"/>
    <w:rsid w:val="009625AA"/>
    <w:rsid w:val="00962692"/>
    <w:rsid w:val="0096269B"/>
    <w:rsid w:val="009626C7"/>
    <w:rsid w:val="00962ADE"/>
    <w:rsid w:val="00962C7A"/>
    <w:rsid w:val="00962D26"/>
    <w:rsid w:val="009630A7"/>
    <w:rsid w:val="00963317"/>
    <w:rsid w:val="00963961"/>
    <w:rsid w:val="00963ABD"/>
    <w:rsid w:val="00963D7A"/>
    <w:rsid w:val="00964857"/>
    <w:rsid w:val="009648AC"/>
    <w:rsid w:val="00964F5B"/>
    <w:rsid w:val="00965124"/>
    <w:rsid w:val="00965267"/>
    <w:rsid w:val="00965563"/>
    <w:rsid w:val="00965B8E"/>
    <w:rsid w:val="00965DB0"/>
    <w:rsid w:val="00966D25"/>
    <w:rsid w:val="00966E80"/>
    <w:rsid w:val="00967569"/>
    <w:rsid w:val="00967742"/>
    <w:rsid w:val="009677F0"/>
    <w:rsid w:val="00970078"/>
    <w:rsid w:val="00970D55"/>
    <w:rsid w:val="00970E10"/>
    <w:rsid w:val="00971200"/>
    <w:rsid w:val="009713E7"/>
    <w:rsid w:val="0097157F"/>
    <w:rsid w:val="009717B4"/>
    <w:rsid w:val="009717D3"/>
    <w:rsid w:val="00971906"/>
    <w:rsid w:val="00971FE3"/>
    <w:rsid w:val="0097225F"/>
    <w:rsid w:val="009731A8"/>
    <w:rsid w:val="00973402"/>
    <w:rsid w:val="00973E8F"/>
    <w:rsid w:val="00973F87"/>
    <w:rsid w:val="00974369"/>
    <w:rsid w:val="0097448D"/>
    <w:rsid w:val="009746F9"/>
    <w:rsid w:val="00974A72"/>
    <w:rsid w:val="00976029"/>
    <w:rsid w:val="00976519"/>
    <w:rsid w:val="0097664F"/>
    <w:rsid w:val="00976F75"/>
    <w:rsid w:val="009773AF"/>
    <w:rsid w:val="00977D1E"/>
    <w:rsid w:val="00977D78"/>
    <w:rsid w:val="0098002C"/>
    <w:rsid w:val="009803A5"/>
    <w:rsid w:val="009804BE"/>
    <w:rsid w:val="009811C0"/>
    <w:rsid w:val="00981833"/>
    <w:rsid w:val="00981B72"/>
    <w:rsid w:val="00982063"/>
    <w:rsid w:val="009828A3"/>
    <w:rsid w:val="00982920"/>
    <w:rsid w:val="00982F90"/>
    <w:rsid w:val="0098339C"/>
    <w:rsid w:val="009839D0"/>
    <w:rsid w:val="0098467B"/>
    <w:rsid w:val="00984B57"/>
    <w:rsid w:val="00984CE9"/>
    <w:rsid w:val="00984D64"/>
    <w:rsid w:val="00985911"/>
    <w:rsid w:val="00985E0A"/>
    <w:rsid w:val="00986003"/>
    <w:rsid w:val="00986024"/>
    <w:rsid w:val="00986546"/>
    <w:rsid w:val="009865BB"/>
    <w:rsid w:val="00986DAE"/>
    <w:rsid w:val="009876A8"/>
    <w:rsid w:val="009876AB"/>
    <w:rsid w:val="00987F20"/>
    <w:rsid w:val="0099037C"/>
    <w:rsid w:val="00990C07"/>
    <w:rsid w:val="00990D83"/>
    <w:rsid w:val="00991035"/>
    <w:rsid w:val="0099185A"/>
    <w:rsid w:val="00991CC9"/>
    <w:rsid w:val="00992084"/>
    <w:rsid w:val="0099263C"/>
    <w:rsid w:val="009926BE"/>
    <w:rsid w:val="00992883"/>
    <w:rsid w:val="00992CCE"/>
    <w:rsid w:val="00993838"/>
    <w:rsid w:val="0099384B"/>
    <w:rsid w:val="00993A58"/>
    <w:rsid w:val="00993B6B"/>
    <w:rsid w:val="0099438B"/>
    <w:rsid w:val="0099460A"/>
    <w:rsid w:val="00994E6B"/>
    <w:rsid w:val="00995030"/>
    <w:rsid w:val="009950D8"/>
    <w:rsid w:val="00995107"/>
    <w:rsid w:val="009959FC"/>
    <w:rsid w:val="00996578"/>
    <w:rsid w:val="00996BCC"/>
    <w:rsid w:val="00996CC4"/>
    <w:rsid w:val="00997162"/>
    <w:rsid w:val="0099721C"/>
    <w:rsid w:val="009972BB"/>
    <w:rsid w:val="00997558"/>
    <w:rsid w:val="009A02D7"/>
    <w:rsid w:val="009A0519"/>
    <w:rsid w:val="009A06FC"/>
    <w:rsid w:val="009A0A5C"/>
    <w:rsid w:val="009A0BB0"/>
    <w:rsid w:val="009A0D76"/>
    <w:rsid w:val="009A14F1"/>
    <w:rsid w:val="009A1C44"/>
    <w:rsid w:val="009A1FCB"/>
    <w:rsid w:val="009A2084"/>
    <w:rsid w:val="009A2108"/>
    <w:rsid w:val="009A2918"/>
    <w:rsid w:val="009A2C36"/>
    <w:rsid w:val="009A2F02"/>
    <w:rsid w:val="009A32F9"/>
    <w:rsid w:val="009A345F"/>
    <w:rsid w:val="009A3623"/>
    <w:rsid w:val="009A39A3"/>
    <w:rsid w:val="009A3A26"/>
    <w:rsid w:val="009A3FA1"/>
    <w:rsid w:val="009A494E"/>
    <w:rsid w:val="009A4B62"/>
    <w:rsid w:val="009A4BE9"/>
    <w:rsid w:val="009A4E6F"/>
    <w:rsid w:val="009A5289"/>
    <w:rsid w:val="009A5325"/>
    <w:rsid w:val="009A55E8"/>
    <w:rsid w:val="009A5648"/>
    <w:rsid w:val="009A58B3"/>
    <w:rsid w:val="009A58FF"/>
    <w:rsid w:val="009A5BCE"/>
    <w:rsid w:val="009A5F9A"/>
    <w:rsid w:val="009A612F"/>
    <w:rsid w:val="009A6362"/>
    <w:rsid w:val="009A67D2"/>
    <w:rsid w:val="009A6DFC"/>
    <w:rsid w:val="009A709E"/>
    <w:rsid w:val="009A745A"/>
    <w:rsid w:val="009A784B"/>
    <w:rsid w:val="009A7886"/>
    <w:rsid w:val="009B01F5"/>
    <w:rsid w:val="009B0319"/>
    <w:rsid w:val="009B0514"/>
    <w:rsid w:val="009B0B5F"/>
    <w:rsid w:val="009B0B9D"/>
    <w:rsid w:val="009B0B9F"/>
    <w:rsid w:val="009B0BEF"/>
    <w:rsid w:val="009B0DA3"/>
    <w:rsid w:val="009B0FEF"/>
    <w:rsid w:val="009B11AE"/>
    <w:rsid w:val="009B168F"/>
    <w:rsid w:val="009B1AFD"/>
    <w:rsid w:val="009B2418"/>
    <w:rsid w:val="009B24EB"/>
    <w:rsid w:val="009B2AE6"/>
    <w:rsid w:val="009B2CF0"/>
    <w:rsid w:val="009B2D38"/>
    <w:rsid w:val="009B319D"/>
    <w:rsid w:val="009B33D6"/>
    <w:rsid w:val="009B36F0"/>
    <w:rsid w:val="009B382D"/>
    <w:rsid w:val="009B3A9B"/>
    <w:rsid w:val="009B3B94"/>
    <w:rsid w:val="009B401F"/>
    <w:rsid w:val="009B4228"/>
    <w:rsid w:val="009B4701"/>
    <w:rsid w:val="009B4878"/>
    <w:rsid w:val="009B4BDE"/>
    <w:rsid w:val="009B57B6"/>
    <w:rsid w:val="009B5AB7"/>
    <w:rsid w:val="009B60F5"/>
    <w:rsid w:val="009B6ABF"/>
    <w:rsid w:val="009B6B85"/>
    <w:rsid w:val="009B7599"/>
    <w:rsid w:val="009B77A4"/>
    <w:rsid w:val="009B7A30"/>
    <w:rsid w:val="009B7D4A"/>
    <w:rsid w:val="009C0148"/>
    <w:rsid w:val="009C01EA"/>
    <w:rsid w:val="009C03B6"/>
    <w:rsid w:val="009C0772"/>
    <w:rsid w:val="009C078C"/>
    <w:rsid w:val="009C0A9F"/>
    <w:rsid w:val="009C0D22"/>
    <w:rsid w:val="009C0D37"/>
    <w:rsid w:val="009C0FC7"/>
    <w:rsid w:val="009C10AB"/>
    <w:rsid w:val="009C13D5"/>
    <w:rsid w:val="009C16E9"/>
    <w:rsid w:val="009C19C2"/>
    <w:rsid w:val="009C23F5"/>
    <w:rsid w:val="009C24BA"/>
    <w:rsid w:val="009C26A0"/>
    <w:rsid w:val="009C27B6"/>
    <w:rsid w:val="009C27C7"/>
    <w:rsid w:val="009C2D5A"/>
    <w:rsid w:val="009C3354"/>
    <w:rsid w:val="009C3C24"/>
    <w:rsid w:val="009C40E5"/>
    <w:rsid w:val="009C4A57"/>
    <w:rsid w:val="009C4B17"/>
    <w:rsid w:val="009C502A"/>
    <w:rsid w:val="009C55FE"/>
    <w:rsid w:val="009C5791"/>
    <w:rsid w:val="009C5A92"/>
    <w:rsid w:val="009C5B63"/>
    <w:rsid w:val="009C605B"/>
    <w:rsid w:val="009C6321"/>
    <w:rsid w:val="009C655E"/>
    <w:rsid w:val="009C6768"/>
    <w:rsid w:val="009C6E5F"/>
    <w:rsid w:val="009C6F6C"/>
    <w:rsid w:val="009C7695"/>
    <w:rsid w:val="009C7B8F"/>
    <w:rsid w:val="009D05EE"/>
    <w:rsid w:val="009D0AC6"/>
    <w:rsid w:val="009D0C1E"/>
    <w:rsid w:val="009D1225"/>
    <w:rsid w:val="009D1278"/>
    <w:rsid w:val="009D14A2"/>
    <w:rsid w:val="009D1CEC"/>
    <w:rsid w:val="009D2070"/>
    <w:rsid w:val="009D25AC"/>
    <w:rsid w:val="009D2C44"/>
    <w:rsid w:val="009D30B8"/>
    <w:rsid w:val="009D3154"/>
    <w:rsid w:val="009D35E7"/>
    <w:rsid w:val="009D3843"/>
    <w:rsid w:val="009D3845"/>
    <w:rsid w:val="009D3A1E"/>
    <w:rsid w:val="009D3BCF"/>
    <w:rsid w:val="009D4762"/>
    <w:rsid w:val="009D4A8D"/>
    <w:rsid w:val="009D4C72"/>
    <w:rsid w:val="009D5256"/>
    <w:rsid w:val="009D52E8"/>
    <w:rsid w:val="009D55D2"/>
    <w:rsid w:val="009D57ED"/>
    <w:rsid w:val="009D596B"/>
    <w:rsid w:val="009D5AE7"/>
    <w:rsid w:val="009D609F"/>
    <w:rsid w:val="009D6253"/>
    <w:rsid w:val="009D6395"/>
    <w:rsid w:val="009D714C"/>
    <w:rsid w:val="009D7B72"/>
    <w:rsid w:val="009D7C69"/>
    <w:rsid w:val="009E01F2"/>
    <w:rsid w:val="009E057D"/>
    <w:rsid w:val="009E0639"/>
    <w:rsid w:val="009E07EA"/>
    <w:rsid w:val="009E0A8E"/>
    <w:rsid w:val="009E0BA9"/>
    <w:rsid w:val="009E0C38"/>
    <w:rsid w:val="009E0D56"/>
    <w:rsid w:val="009E0DF6"/>
    <w:rsid w:val="009E0EE6"/>
    <w:rsid w:val="009E11C3"/>
    <w:rsid w:val="009E127A"/>
    <w:rsid w:val="009E129E"/>
    <w:rsid w:val="009E14AA"/>
    <w:rsid w:val="009E1591"/>
    <w:rsid w:val="009E2085"/>
    <w:rsid w:val="009E2091"/>
    <w:rsid w:val="009E219B"/>
    <w:rsid w:val="009E257B"/>
    <w:rsid w:val="009E33BC"/>
    <w:rsid w:val="009E3B47"/>
    <w:rsid w:val="009E3B83"/>
    <w:rsid w:val="009E3E28"/>
    <w:rsid w:val="009E4132"/>
    <w:rsid w:val="009E4188"/>
    <w:rsid w:val="009E41B7"/>
    <w:rsid w:val="009E43E6"/>
    <w:rsid w:val="009E475B"/>
    <w:rsid w:val="009E4AAD"/>
    <w:rsid w:val="009E5659"/>
    <w:rsid w:val="009E58CE"/>
    <w:rsid w:val="009E58E4"/>
    <w:rsid w:val="009E5EF0"/>
    <w:rsid w:val="009E6265"/>
    <w:rsid w:val="009E6584"/>
    <w:rsid w:val="009E6618"/>
    <w:rsid w:val="009E7220"/>
    <w:rsid w:val="009E73C8"/>
    <w:rsid w:val="009E75D1"/>
    <w:rsid w:val="009F04F1"/>
    <w:rsid w:val="009F0584"/>
    <w:rsid w:val="009F0CB2"/>
    <w:rsid w:val="009F0D08"/>
    <w:rsid w:val="009F0E99"/>
    <w:rsid w:val="009F1060"/>
    <w:rsid w:val="009F1079"/>
    <w:rsid w:val="009F1456"/>
    <w:rsid w:val="009F1ED6"/>
    <w:rsid w:val="009F2109"/>
    <w:rsid w:val="009F235A"/>
    <w:rsid w:val="009F2646"/>
    <w:rsid w:val="009F278A"/>
    <w:rsid w:val="009F287A"/>
    <w:rsid w:val="009F2937"/>
    <w:rsid w:val="009F2A8E"/>
    <w:rsid w:val="009F2E8A"/>
    <w:rsid w:val="009F32EB"/>
    <w:rsid w:val="009F350B"/>
    <w:rsid w:val="009F3647"/>
    <w:rsid w:val="009F371F"/>
    <w:rsid w:val="009F3F95"/>
    <w:rsid w:val="009F4956"/>
    <w:rsid w:val="009F4976"/>
    <w:rsid w:val="009F4A16"/>
    <w:rsid w:val="009F560D"/>
    <w:rsid w:val="009F58C9"/>
    <w:rsid w:val="009F59E8"/>
    <w:rsid w:val="009F5A30"/>
    <w:rsid w:val="009F5AB6"/>
    <w:rsid w:val="009F5AC3"/>
    <w:rsid w:val="009F5ADD"/>
    <w:rsid w:val="009F5DCF"/>
    <w:rsid w:val="009F5F33"/>
    <w:rsid w:val="009F6022"/>
    <w:rsid w:val="009F68A9"/>
    <w:rsid w:val="009F6A40"/>
    <w:rsid w:val="009F6BC6"/>
    <w:rsid w:val="009F7102"/>
    <w:rsid w:val="009F75B6"/>
    <w:rsid w:val="009F7E4D"/>
    <w:rsid w:val="00A00152"/>
    <w:rsid w:val="00A003A2"/>
    <w:rsid w:val="00A0097D"/>
    <w:rsid w:val="00A009D5"/>
    <w:rsid w:val="00A00D0B"/>
    <w:rsid w:val="00A00E30"/>
    <w:rsid w:val="00A012C2"/>
    <w:rsid w:val="00A0153B"/>
    <w:rsid w:val="00A01541"/>
    <w:rsid w:val="00A0183C"/>
    <w:rsid w:val="00A01985"/>
    <w:rsid w:val="00A01A97"/>
    <w:rsid w:val="00A01DF4"/>
    <w:rsid w:val="00A01F06"/>
    <w:rsid w:val="00A01FBC"/>
    <w:rsid w:val="00A020EC"/>
    <w:rsid w:val="00A021F5"/>
    <w:rsid w:val="00A0243F"/>
    <w:rsid w:val="00A02B0F"/>
    <w:rsid w:val="00A02F41"/>
    <w:rsid w:val="00A033FD"/>
    <w:rsid w:val="00A034C4"/>
    <w:rsid w:val="00A036C3"/>
    <w:rsid w:val="00A03A49"/>
    <w:rsid w:val="00A03B93"/>
    <w:rsid w:val="00A03DDC"/>
    <w:rsid w:val="00A03EAC"/>
    <w:rsid w:val="00A0471A"/>
    <w:rsid w:val="00A049DE"/>
    <w:rsid w:val="00A04FBF"/>
    <w:rsid w:val="00A0524F"/>
    <w:rsid w:val="00A05436"/>
    <w:rsid w:val="00A05942"/>
    <w:rsid w:val="00A05B9F"/>
    <w:rsid w:val="00A05FF5"/>
    <w:rsid w:val="00A0690E"/>
    <w:rsid w:val="00A06A09"/>
    <w:rsid w:val="00A06ADD"/>
    <w:rsid w:val="00A06C74"/>
    <w:rsid w:val="00A06D4F"/>
    <w:rsid w:val="00A07568"/>
    <w:rsid w:val="00A07AB6"/>
    <w:rsid w:val="00A07FAA"/>
    <w:rsid w:val="00A1037D"/>
    <w:rsid w:val="00A10914"/>
    <w:rsid w:val="00A10A14"/>
    <w:rsid w:val="00A10A17"/>
    <w:rsid w:val="00A10ADC"/>
    <w:rsid w:val="00A11652"/>
    <w:rsid w:val="00A11910"/>
    <w:rsid w:val="00A11C23"/>
    <w:rsid w:val="00A12070"/>
    <w:rsid w:val="00A12114"/>
    <w:rsid w:val="00A12389"/>
    <w:rsid w:val="00A12626"/>
    <w:rsid w:val="00A12B22"/>
    <w:rsid w:val="00A13864"/>
    <w:rsid w:val="00A13C3E"/>
    <w:rsid w:val="00A13E11"/>
    <w:rsid w:val="00A13E18"/>
    <w:rsid w:val="00A13EE1"/>
    <w:rsid w:val="00A14334"/>
    <w:rsid w:val="00A1433B"/>
    <w:rsid w:val="00A1461F"/>
    <w:rsid w:val="00A14B9A"/>
    <w:rsid w:val="00A15051"/>
    <w:rsid w:val="00A1539F"/>
    <w:rsid w:val="00A157E2"/>
    <w:rsid w:val="00A15D87"/>
    <w:rsid w:val="00A15F81"/>
    <w:rsid w:val="00A16068"/>
    <w:rsid w:val="00A16622"/>
    <w:rsid w:val="00A1679C"/>
    <w:rsid w:val="00A16AA2"/>
    <w:rsid w:val="00A16C80"/>
    <w:rsid w:val="00A17603"/>
    <w:rsid w:val="00A1779D"/>
    <w:rsid w:val="00A17BDE"/>
    <w:rsid w:val="00A17EE0"/>
    <w:rsid w:val="00A200E7"/>
    <w:rsid w:val="00A2036D"/>
    <w:rsid w:val="00A2080E"/>
    <w:rsid w:val="00A20A2E"/>
    <w:rsid w:val="00A20B7D"/>
    <w:rsid w:val="00A20C29"/>
    <w:rsid w:val="00A20DE2"/>
    <w:rsid w:val="00A20E9C"/>
    <w:rsid w:val="00A2101F"/>
    <w:rsid w:val="00A2197C"/>
    <w:rsid w:val="00A21ECA"/>
    <w:rsid w:val="00A22128"/>
    <w:rsid w:val="00A2216D"/>
    <w:rsid w:val="00A221B2"/>
    <w:rsid w:val="00A224E9"/>
    <w:rsid w:val="00A22A4B"/>
    <w:rsid w:val="00A22D38"/>
    <w:rsid w:val="00A23382"/>
    <w:rsid w:val="00A233AE"/>
    <w:rsid w:val="00A2379C"/>
    <w:rsid w:val="00A23A4C"/>
    <w:rsid w:val="00A23B29"/>
    <w:rsid w:val="00A23CD3"/>
    <w:rsid w:val="00A243DE"/>
    <w:rsid w:val="00A24BE6"/>
    <w:rsid w:val="00A25282"/>
    <w:rsid w:val="00A253DA"/>
    <w:rsid w:val="00A254A8"/>
    <w:rsid w:val="00A261BA"/>
    <w:rsid w:val="00A26876"/>
    <w:rsid w:val="00A26F8B"/>
    <w:rsid w:val="00A2733D"/>
    <w:rsid w:val="00A27707"/>
    <w:rsid w:val="00A27A9A"/>
    <w:rsid w:val="00A27C3E"/>
    <w:rsid w:val="00A27DEF"/>
    <w:rsid w:val="00A27E04"/>
    <w:rsid w:val="00A300E9"/>
    <w:rsid w:val="00A302BA"/>
    <w:rsid w:val="00A30762"/>
    <w:rsid w:val="00A308AE"/>
    <w:rsid w:val="00A308BF"/>
    <w:rsid w:val="00A30C1E"/>
    <w:rsid w:val="00A30F83"/>
    <w:rsid w:val="00A31324"/>
    <w:rsid w:val="00A31483"/>
    <w:rsid w:val="00A314D7"/>
    <w:rsid w:val="00A31789"/>
    <w:rsid w:val="00A31BCD"/>
    <w:rsid w:val="00A31FBB"/>
    <w:rsid w:val="00A3228B"/>
    <w:rsid w:val="00A323F0"/>
    <w:rsid w:val="00A324F0"/>
    <w:rsid w:val="00A329B7"/>
    <w:rsid w:val="00A329CA"/>
    <w:rsid w:val="00A33115"/>
    <w:rsid w:val="00A33158"/>
    <w:rsid w:val="00A332DB"/>
    <w:rsid w:val="00A333FA"/>
    <w:rsid w:val="00A335E1"/>
    <w:rsid w:val="00A3377C"/>
    <w:rsid w:val="00A33802"/>
    <w:rsid w:val="00A33A66"/>
    <w:rsid w:val="00A33F1D"/>
    <w:rsid w:val="00A34A14"/>
    <w:rsid w:val="00A35577"/>
    <w:rsid w:val="00A35841"/>
    <w:rsid w:val="00A35C60"/>
    <w:rsid w:val="00A36748"/>
    <w:rsid w:val="00A37A65"/>
    <w:rsid w:val="00A37CA2"/>
    <w:rsid w:val="00A37E6C"/>
    <w:rsid w:val="00A409F2"/>
    <w:rsid w:val="00A410EC"/>
    <w:rsid w:val="00A41370"/>
    <w:rsid w:val="00A41F62"/>
    <w:rsid w:val="00A41FEB"/>
    <w:rsid w:val="00A421A5"/>
    <w:rsid w:val="00A425E6"/>
    <w:rsid w:val="00A4335B"/>
    <w:rsid w:val="00A4364B"/>
    <w:rsid w:val="00A43987"/>
    <w:rsid w:val="00A43B4C"/>
    <w:rsid w:val="00A43D37"/>
    <w:rsid w:val="00A43EC4"/>
    <w:rsid w:val="00A45093"/>
    <w:rsid w:val="00A4529F"/>
    <w:rsid w:val="00A45995"/>
    <w:rsid w:val="00A45B67"/>
    <w:rsid w:val="00A46E76"/>
    <w:rsid w:val="00A46EE7"/>
    <w:rsid w:val="00A47337"/>
    <w:rsid w:val="00A47363"/>
    <w:rsid w:val="00A479BD"/>
    <w:rsid w:val="00A50789"/>
    <w:rsid w:val="00A50D3B"/>
    <w:rsid w:val="00A50E05"/>
    <w:rsid w:val="00A50F2D"/>
    <w:rsid w:val="00A510A2"/>
    <w:rsid w:val="00A51BF3"/>
    <w:rsid w:val="00A51DEA"/>
    <w:rsid w:val="00A52AC7"/>
    <w:rsid w:val="00A52B97"/>
    <w:rsid w:val="00A53355"/>
    <w:rsid w:val="00A536C6"/>
    <w:rsid w:val="00A53847"/>
    <w:rsid w:val="00A54448"/>
    <w:rsid w:val="00A54A11"/>
    <w:rsid w:val="00A54BB0"/>
    <w:rsid w:val="00A54DD0"/>
    <w:rsid w:val="00A55266"/>
    <w:rsid w:val="00A5537D"/>
    <w:rsid w:val="00A55D76"/>
    <w:rsid w:val="00A55F67"/>
    <w:rsid w:val="00A560D5"/>
    <w:rsid w:val="00A56406"/>
    <w:rsid w:val="00A56544"/>
    <w:rsid w:val="00A566F1"/>
    <w:rsid w:val="00A56796"/>
    <w:rsid w:val="00A57327"/>
    <w:rsid w:val="00A5735B"/>
    <w:rsid w:val="00A57709"/>
    <w:rsid w:val="00A5798F"/>
    <w:rsid w:val="00A57B63"/>
    <w:rsid w:val="00A57D0A"/>
    <w:rsid w:val="00A57D3A"/>
    <w:rsid w:val="00A57FEB"/>
    <w:rsid w:val="00A60F64"/>
    <w:rsid w:val="00A60F6D"/>
    <w:rsid w:val="00A6120E"/>
    <w:rsid w:val="00A61219"/>
    <w:rsid w:val="00A6134C"/>
    <w:rsid w:val="00A6196C"/>
    <w:rsid w:val="00A62084"/>
    <w:rsid w:val="00A6213A"/>
    <w:rsid w:val="00A621DA"/>
    <w:rsid w:val="00A6242B"/>
    <w:rsid w:val="00A62B18"/>
    <w:rsid w:val="00A63C78"/>
    <w:rsid w:val="00A64226"/>
    <w:rsid w:val="00A649E4"/>
    <w:rsid w:val="00A64C93"/>
    <w:rsid w:val="00A64F36"/>
    <w:rsid w:val="00A652FC"/>
    <w:rsid w:val="00A65488"/>
    <w:rsid w:val="00A65677"/>
    <w:rsid w:val="00A659C2"/>
    <w:rsid w:val="00A65B40"/>
    <w:rsid w:val="00A65BA5"/>
    <w:rsid w:val="00A65C86"/>
    <w:rsid w:val="00A65E6A"/>
    <w:rsid w:val="00A662D7"/>
    <w:rsid w:val="00A663EA"/>
    <w:rsid w:val="00A66616"/>
    <w:rsid w:val="00A66DD4"/>
    <w:rsid w:val="00A66E9B"/>
    <w:rsid w:val="00A66F7D"/>
    <w:rsid w:val="00A67C6C"/>
    <w:rsid w:val="00A67D23"/>
    <w:rsid w:val="00A67F0F"/>
    <w:rsid w:val="00A67FD9"/>
    <w:rsid w:val="00A700EB"/>
    <w:rsid w:val="00A70135"/>
    <w:rsid w:val="00A7023C"/>
    <w:rsid w:val="00A707F9"/>
    <w:rsid w:val="00A709F5"/>
    <w:rsid w:val="00A70C9F"/>
    <w:rsid w:val="00A71225"/>
    <w:rsid w:val="00A71967"/>
    <w:rsid w:val="00A71C32"/>
    <w:rsid w:val="00A72196"/>
    <w:rsid w:val="00A72208"/>
    <w:rsid w:val="00A728CE"/>
    <w:rsid w:val="00A72FE5"/>
    <w:rsid w:val="00A734E9"/>
    <w:rsid w:val="00A73589"/>
    <w:rsid w:val="00A738C3"/>
    <w:rsid w:val="00A73A37"/>
    <w:rsid w:val="00A73DCC"/>
    <w:rsid w:val="00A73EC6"/>
    <w:rsid w:val="00A74D97"/>
    <w:rsid w:val="00A74ED9"/>
    <w:rsid w:val="00A74EE0"/>
    <w:rsid w:val="00A754EA"/>
    <w:rsid w:val="00A755D3"/>
    <w:rsid w:val="00A75674"/>
    <w:rsid w:val="00A75C16"/>
    <w:rsid w:val="00A765B6"/>
    <w:rsid w:val="00A76A04"/>
    <w:rsid w:val="00A770A6"/>
    <w:rsid w:val="00A779CB"/>
    <w:rsid w:val="00A77C9C"/>
    <w:rsid w:val="00A77ED4"/>
    <w:rsid w:val="00A8020E"/>
    <w:rsid w:val="00A81266"/>
    <w:rsid w:val="00A818AB"/>
    <w:rsid w:val="00A8195A"/>
    <w:rsid w:val="00A81DA6"/>
    <w:rsid w:val="00A81DAD"/>
    <w:rsid w:val="00A821E4"/>
    <w:rsid w:val="00A82EB2"/>
    <w:rsid w:val="00A83201"/>
    <w:rsid w:val="00A8346E"/>
    <w:rsid w:val="00A835E1"/>
    <w:rsid w:val="00A837A8"/>
    <w:rsid w:val="00A83A99"/>
    <w:rsid w:val="00A84061"/>
    <w:rsid w:val="00A8434F"/>
    <w:rsid w:val="00A84591"/>
    <w:rsid w:val="00A84B00"/>
    <w:rsid w:val="00A85621"/>
    <w:rsid w:val="00A85994"/>
    <w:rsid w:val="00A8599E"/>
    <w:rsid w:val="00A85C94"/>
    <w:rsid w:val="00A85E86"/>
    <w:rsid w:val="00A85FEF"/>
    <w:rsid w:val="00A864B3"/>
    <w:rsid w:val="00A8667D"/>
    <w:rsid w:val="00A8673C"/>
    <w:rsid w:val="00A8676C"/>
    <w:rsid w:val="00A86A9B"/>
    <w:rsid w:val="00A86AAC"/>
    <w:rsid w:val="00A86C18"/>
    <w:rsid w:val="00A872FC"/>
    <w:rsid w:val="00A87850"/>
    <w:rsid w:val="00A8796A"/>
    <w:rsid w:val="00A87B7D"/>
    <w:rsid w:val="00A87FFB"/>
    <w:rsid w:val="00A90288"/>
    <w:rsid w:val="00A903E6"/>
    <w:rsid w:val="00A90953"/>
    <w:rsid w:val="00A91550"/>
    <w:rsid w:val="00A917D0"/>
    <w:rsid w:val="00A9196C"/>
    <w:rsid w:val="00A92274"/>
    <w:rsid w:val="00A92445"/>
    <w:rsid w:val="00A929E2"/>
    <w:rsid w:val="00A92FA8"/>
    <w:rsid w:val="00A931A4"/>
    <w:rsid w:val="00A93255"/>
    <w:rsid w:val="00A93BDF"/>
    <w:rsid w:val="00A93CA3"/>
    <w:rsid w:val="00A93D0E"/>
    <w:rsid w:val="00A93E14"/>
    <w:rsid w:val="00A93E9A"/>
    <w:rsid w:val="00A94101"/>
    <w:rsid w:val="00A9437E"/>
    <w:rsid w:val="00A948C9"/>
    <w:rsid w:val="00A94D0A"/>
    <w:rsid w:val="00A94D8A"/>
    <w:rsid w:val="00A94E85"/>
    <w:rsid w:val="00A94EBE"/>
    <w:rsid w:val="00A951A1"/>
    <w:rsid w:val="00A95442"/>
    <w:rsid w:val="00A9570B"/>
    <w:rsid w:val="00A963A3"/>
    <w:rsid w:val="00A967B6"/>
    <w:rsid w:val="00A96988"/>
    <w:rsid w:val="00A96AF7"/>
    <w:rsid w:val="00A96BA3"/>
    <w:rsid w:val="00A96E6A"/>
    <w:rsid w:val="00A96F4B"/>
    <w:rsid w:val="00A96F4D"/>
    <w:rsid w:val="00A97237"/>
    <w:rsid w:val="00A9727A"/>
    <w:rsid w:val="00A9731B"/>
    <w:rsid w:val="00A97CC0"/>
    <w:rsid w:val="00A97F20"/>
    <w:rsid w:val="00AA00E8"/>
    <w:rsid w:val="00AA05F1"/>
    <w:rsid w:val="00AA14B6"/>
    <w:rsid w:val="00AA1B19"/>
    <w:rsid w:val="00AA1DD1"/>
    <w:rsid w:val="00AA1F44"/>
    <w:rsid w:val="00AA22FF"/>
    <w:rsid w:val="00AA2404"/>
    <w:rsid w:val="00AA3375"/>
    <w:rsid w:val="00AA3472"/>
    <w:rsid w:val="00AA36D0"/>
    <w:rsid w:val="00AA3D26"/>
    <w:rsid w:val="00AA407D"/>
    <w:rsid w:val="00AA482B"/>
    <w:rsid w:val="00AA4E99"/>
    <w:rsid w:val="00AA5F0A"/>
    <w:rsid w:val="00AA6967"/>
    <w:rsid w:val="00AA6AA8"/>
    <w:rsid w:val="00AA7146"/>
    <w:rsid w:val="00AA730C"/>
    <w:rsid w:val="00AA7648"/>
    <w:rsid w:val="00AA77EB"/>
    <w:rsid w:val="00AA787E"/>
    <w:rsid w:val="00AA7A31"/>
    <w:rsid w:val="00AB020B"/>
    <w:rsid w:val="00AB04B0"/>
    <w:rsid w:val="00AB0E9B"/>
    <w:rsid w:val="00AB130B"/>
    <w:rsid w:val="00AB16F4"/>
    <w:rsid w:val="00AB1BF2"/>
    <w:rsid w:val="00AB209F"/>
    <w:rsid w:val="00AB2136"/>
    <w:rsid w:val="00AB219D"/>
    <w:rsid w:val="00AB228C"/>
    <w:rsid w:val="00AB28F4"/>
    <w:rsid w:val="00AB2ABC"/>
    <w:rsid w:val="00AB340B"/>
    <w:rsid w:val="00AB36D4"/>
    <w:rsid w:val="00AB3ECE"/>
    <w:rsid w:val="00AB44C6"/>
    <w:rsid w:val="00AB45E2"/>
    <w:rsid w:val="00AB4C8E"/>
    <w:rsid w:val="00AB4D7E"/>
    <w:rsid w:val="00AB50C2"/>
    <w:rsid w:val="00AB5A86"/>
    <w:rsid w:val="00AB5E98"/>
    <w:rsid w:val="00AB5F3F"/>
    <w:rsid w:val="00AB64CB"/>
    <w:rsid w:val="00AB681D"/>
    <w:rsid w:val="00AB6857"/>
    <w:rsid w:val="00AB6ABF"/>
    <w:rsid w:val="00AB6E32"/>
    <w:rsid w:val="00AB71EF"/>
    <w:rsid w:val="00AB7471"/>
    <w:rsid w:val="00AB77CA"/>
    <w:rsid w:val="00AC0FD7"/>
    <w:rsid w:val="00AC1582"/>
    <w:rsid w:val="00AC1779"/>
    <w:rsid w:val="00AC18CB"/>
    <w:rsid w:val="00AC1F04"/>
    <w:rsid w:val="00AC20DC"/>
    <w:rsid w:val="00AC26DB"/>
    <w:rsid w:val="00AC283A"/>
    <w:rsid w:val="00AC28A0"/>
    <w:rsid w:val="00AC339B"/>
    <w:rsid w:val="00AC3DAC"/>
    <w:rsid w:val="00AC4490"/>
    <w:rsid w:val="00AC44AE"/>
    <w:rsid w:val="00AC454D"/>
    <w:rsid w:val="00AC4603"/>
    <w:rsid w:val="00AC4AEE"/>
    <w:rsid w:val="00AC4C22"/>
    <w:rsid w:val="00AC5250"/>
    <w:rsid w:val="00AC5433"/>
    <w:rsid w:val="00AC5543"/>
    <w:rsid w:val="00AC5586"/>
    <w:rsid w:val="00AC5B6A"/>
    <w:rsid w:val="00AC6073"/>
    <w:rsid w:val="00AC6260"/>
    <w:rsid w:val="00AC6EBC"/>
    <w:rsid w:val="00AC6FF5"/>
    <w:rsid w:val="00AC72BD"/>
    <w:rsid w:val="00AC7B39"/>
    <w:rsid w:val="00AC7FF1"/>
    <w:rsid w:val="00AD0A43"/>
    <w:rsid w:val="00AD0C04"/>
    <w:rsid w:val="00AD14E2"/>
    <w:rsid w:val="00AD1C77"/>
    <w:rsid w:val="00AD1F42"/>
    <w:rsid w:val="00AD1F89"/>
    <w:rsid w:val="00AD22F4"/>
    <w:rsid w:val="00AD27EC"/>
    <w:rsid w:val="00AD30AF"/>
    <w:rsid w:val="00AD30E9"/>
    <w:rsid w:val="00AD32C7"/>
    <w:rsid w:val="00AD3A32"/>
    <w:rsid w:val="00AD3C3F"/>
    <w:rsid w:val="00AD439C"/>
    <w:rsid w:val="00AD469C"/>
    <w:rsid w:val="00AD476B"/>
    <w:rsid w:val="00AD4D1D"/>
    <w:rsid w:val="00AD4FFC"/>
    <w:rsid w:val="00AD53DB"/>
    <w:rsid w:val="00AD5747"/>
    <w:rsid w:val="00AD58E7"/>
    <w:rsid w:val="00AD5D2A"/>
    <w:rsid w:val="00AD5D9D"/>
    <w:rsid w:val="00AD6314"/>
    <w:rsid w:val="00AD64EC"/>
    <w:rsid w:val="00AD6631"/>
    <w:rsid w:val="00AD6A34"/>
    <w:rsid w:val="00AD6BA1"/>
    <w:rsid w:val="00AD727F"/>
    <w:rsid w:val="00AD7517"/>
    <w:rsid w:val="00AD75BA"/>
    <w:rsid w:val="00AD76E2"/>
    <w:rsid w:val="00AD7BF8"/>
    <w:rsid w:val="00AD7D0D"/>
    <w:rsid w:val="00AE0AF4"/>
    <w:rsid w:val="00AE0E34"/>
    <w:rsid w:val="00AE1224"/>
    <w:rsid w:val="00AE131E"/>
    <w:rsid w:val="00AE166F"/>
    <w:rsid w:val="00AE1DCE"/>
    <w:rsid w:val="00AE2429"/>
    <w:rsid w:val="00AE2609"/>
    <w:rsid w:val="00AE2C23"/>
    <w:rsid w:val="00AE2E46"/>
    <w:rsid w:val="00AE2F2E"/>
    <w:rsid w:val="00AE337E"/>
    <w:rsid w:val="00AE3801"/>
    <w:rsid w:val="00AE3B43"/>
    <w:rsid w:val="00AE4781"/>
    <w:rsid w:val="00AE4BDD"/>
    <w:rsid w:val="00AE511B"/>
    <w:rsid w:val="00AE51E4"/>
    <w:rsid w:val="00AE5885"/>
    <w:rsid w:val="00AE5D53"/>
    <w:rsid w:val="00AE62C5"/>
    <w:rsid w:val="00AE6363"/>
    <w:rsid w:val="00AE6625"/>
    <w:rsid w:val="00AE7342"/>
    <w:rsid w:val="00AE7487"/>
    <w:rsid w:val="00AE76C5"/>
    <w:rsid w:val="00AE7B3A"/>
    <w:rsid w:val="00AF038C"/>
    <w:rsid w:val="00AF0C5D"/>
    <w:rsid w:val="00AF0EB6"/>
    <w:rsid w:val="00AF1145"/>
    <w:rsid w:val="00AF11DF"/>
    <w:rsid w:val="00AF1293"/>
    <w:rsid w:val="00AF12E0"/>
    <w:rsid w:val="00AF1776"/>
    <w:rsid w:val="00AF19BC"/>
    <w:rsid w:val="00AF1A81"/>
    <w:rsid w:val="00AF1D0D"/>
    <w:rsid w:val="00AF1E20"/>
    <w:rsid w:val="00AF21FA"/>
    <w:rsid w:val="00AF2322"/>
    <w:rsid w:val="00AF28F7"/>
    <w:rsid w:val="00AF2B34"/>
    <w:rsid w:val="00AF2CA2"/>
    <w:rsid w:val="00AF3155"/>
    <w:rsid w:val="00AF32E4"/>
    <w:rsid w:val="00AF411F"/>
    <w:rsid w:val="00AF42A1"/>
    <w:rsid w:val="00AF488C"/>
    <w:rsid w:val="00AF575B"/>
    <w:rsid w:val="00AF609C"/>
    <w:rsid w:val="00AF657A"/>
    <w:rsid w:val="00AF6D49"/>
    <w:rsid w:val="00AF73D0"/>
    <w:rsid w:val="00AF7413"/>
    <w:rsid w:val="00AF750C"/>
    <w:rsid w:val="00AF77BB"/>
    <w:rsid w:val="00AF7B58"/>
    <w:rsid w:val="00AF7F8A"/>
    <w:rsid w:val="00B000B6"/>
    <w:rsid w:val="00B007B1"/>
    <w:rsid w:val="00B00970"/>
    <w:rsid w:val="00B00B6B"/>
    <w:rsid w:val="00B00E6E"/>
    <w:rsid w:val="00B0136D"/>
    <w:rsid w:val="00B014CA"/>
    <w:rsid w:val="00B0150A"/>
    <w:rsid w:val="00B01613"/>
    <w:rsid w:val="00B0166F"/>
    <w:rsid w:val="00B0212C"/>
    <w:rsid w:val="00B02B53"/>
    <w:rsid w:val="00B0381F"/>
    <w:rsid w:val="00B03A0D"/>
    <w:rsid w:val="00B03A74"/>
    <w:rsid w:val="00B03F1E"/>
    <w:rsid w:val="00B03FB5"/>
    <w:rsid w:val="00B040FA"/>
    <w:rsid w:val="00B04912"/>
    <w:rsid w:val="00B04BC2"/>
    <w:rsid w:val="00B051D4"/>
    <w:rsid w:val="00B05518"/>
    <w:rsid w:val="00B055C7"/>
    <w:rsid w:val="00B057DC"/>
    <w:rsid w:val="00B05F8F"/>
    <w:rsid w:val="00B065A7"/>
    <w:rsid w:val="00B06C61"/>
    <w:rsid w:val="00B07044"/>
    <w:rsid w:val="00B071A1"/>
    <w:rsid w:val="00B07390"/>
    <w:rsid w:val="00B074FF"/>
    <w:rsid w:val="00B0763C"/>
    <w:rsid w:val="00B07924"/>
    <w:rsid w:val="00B108F7"/>
    <w:rsid w:val="00B10C21"/>
    <w:rsid w:val="00B10C9C"/>
    <w:rsid w:val="00B10EB3"/>
    <w:rsid w:val="00B11185"/>
    <w:rsid w:val="00B11E66"/>
    <w:rsid w:val="00B11FBA"/>
    <w:rsid w:val="00B1223C"/>
    <w:rsid w:val="00B1293A"/>
    <w:rsid w:val="00B12A8F"/>
    <w:rsid w:val="00B12BCD"/>
    <w:rsid w:val="00B12D84"/>
    <w:rsid w:val="00B12F0B"/>
    <w:rsid w:val="00B13662"/>
    <w:rsid w:val="00B137A0"/>
    <w:rsid w:val="00B13A93"/>
    <w:rsid w:val="00B13AB7"/>
    <w:rsid w:val="00B13B7A"/>
    <w:rsid w:val="00B14AE2"/>
    <w:rsid w:val="00B14B6E"/>
    <w:rsid w:val="00B14C3C"/>
    <w:rsid w:val="00B14F69"/>
    <w:rsid w:val="00B154A7"/>
    <w:rsid w:val="00B15D55"/>
    <w:rsid w:val="00B15EEB"/>
    <w:rsid w:val="00B16074"/>
    <w:rsid w:val="00B1631A"/>
    <w:rsid w:val="00B168D3"/>
    <w:rsid w:val="00B1693B"/>
    <w:rsid w:val="00B16CCB"/>
    <w:rsid w:val="00B17AA8"/>
    <w:rsid w:val="00B17E7F"/>
    <w:rsid w:val="00B20493"/>
    <w:rsid w:val="00B20AB3"/>
    <w:rsid w:val="00B2150E"/>
    <w:rsid w:val="00B215AC"/>
    <w:rsid w:val="00B219DC"/>
    <w:rsid w:val="00B21A44"/>
    <w:rsid w:val="00B22144"/>
    <w:rsid w:val="00B22B37"/>
    <w:rsid w:val="00B22D92"/>
    <w:rsid w:val="00B230CA"/>
    <w:rsid w:val="00B2376C"/>
    <w:rsid w:val="00B23B79"/>
    <w:rsid w:val="00B24059"/>
    <w:rsid w:val="00B24E5E"/>
    <w:rsid w:val="00B250F6"/>
    <w:rsid w:val="00B254BE"/>
    <w:rsid w:val="00B2577B"/>
    <w:rsid w:val="00B25A9C"/>
    <w:rsid w:val="00B25B24"/>
    <w:rsid w:val="00B25E8D"/>
    <w:rsid w:val="00B2644F"/>
    <w:rsid w:val="00B26A48"/>
    <w:rsid w:val="00B300FC"/>
    <w:rsid w:val="00B31098"/>
    <w:rsid w:val="00B31857"/>
    <w:rsid w:val="00B31F12"/>
    <w:rsid w:val="00B31FCD"/>
    <w:rsid w:val="00B32001"/>
    <w:rsid w:val="00B322AF"/>
    <w:rsid w:val="00B32412"/>
    <w:rsid w:val="00B325CD"/>
    <w:rsid w:val="00B32624"/>
    <w:rsid w:val="00B32683"/>
    <w:rsid w:val="00B328A8"/>
    <w:rsid w:val="00B329AD"/>
    <w:rsid w:val="00B32D66"/>
    <w:rsid w:val="00B3301E"/>
    <w:rsid w:val="00B33DA8"/>
    <w:rsid w:val="00B340B2"/>
    <w:rsid w:val="00B3425D"/>
    <w:rsid w:val="00B346AA"/>
    <w:rsid w:val="00B349C2"/>
    <w:rsid w:val="00B34A86"/>
    <w:rsid w:val="00B34BE6"/>
    <w:rsid w:val="00B34DAE"/>
    <w:rsid w:val="00B352BF"/>
    <w:rsid w:val="00B3539E"/>
    <w:rsid w:val="00B35A2D"/>
    <w:rsid w:val="00B35C3B"/>
    <w:rsid w:val="00B35CC8"/>
    <w:rsid w:val="00B35DA0"/>
    <w:rsid w:val="00B36470"/>
    <w:rsid w:val="00B36660"/>
    <w:rsid w:val="00B373A3"/>
    <w:rsid w:val="00B378E6"/>
    <w:rsid w:val="00B37CC9"/>
    <w:rsid w:val="00B37F0C"/>
    <w:rsid w:val="00B37FA6"/>
    <w:rsid w:val="00B40230"/>
    <w:rsid w:val="00B409A5"/>
    <w:rsid w:val="00B40CF8"/>
    <w:rsid w:val="00B40FE9"/>
    <w:rsid w:val="00B41097"/>
    <w:rsid w:val="00B413C5"/>
    <w:rsid w:val="00B41C66"/>
    <w:rsid w:val="00B420DC"/>
    <w:rsid w:val="00B421A8"/>
    <w:rsid w:val="00B4266C"/>
    <w:rsid w:val="00B42CE7"/>
    <w:rsid w:val="00B42D35"/>
    <w:rsid w:val="00B43063"/>
    <w:rsid w:val="00B4334E"/>
    <w:rsid w:val="00B434BC"/>
    <w:rsid w:val="00B434CA"/>
    <w:rsid w:val="00B435F3"/>
    <w:rsid w:val="00B43FF0"/>
    <w:rsid w:val="00B4404A"/>
    <w:rsid w:val="00B44156"/>
    <w:rsid w:val="00B4470A"/>
    <w:rsid w:val="00B44F82"/>
    <w:rsid w:val="00B4512F"/>
    <w:rsid w:val="00B4544E"/>
    <w:rsid w:val="00B45539"/>
    <w:rsid w:val="00B45A3D"/>
    <w:rsid w:val="00B45B6A"/>
    <w:rsid w:val="00B45D52"/>
    <w:rsid w:val="00B46254"/>
    <w:rsid w:val="00B462FC"/>
    <w:rsid w:val="00B4770C"/>
    <w:rsid w:val="00B4795C"/>
    <w:rsid w:val="00B47CE0"/>
    <w:rsid w:val="00B51154"/>
    <w:rsid w:val="00B51456"/>
    <w:rsid w:val="00B51729"/>
    <w:rsid w:val="00B5220C"/>
    <w:rsid w:val="00B523B9"/>
    <w:rsid w:val="00B528A9"/>
    <w:rsid w:val="00B52E2E"/>
    <w:rsid w:val="00B52E37"/>
    <w:rsid w:val="00B531D8"/>
    <w:rsid w:val="00B532DC"/>
    <w:rsid w:val="00B542F2"/>
    <w:rsid w:val="00B54998"/>
    <w:rsid w:val="00B54A06"/>
    <w:rsid w:val="00B54BE2"/>
    <w:rsid w:val="00B54E1B"/>
    <w:rsid w:val="00B550FD"/>
    <w:rsid w:val="00B55628"/>
    <w:rsid w:val="00B559C0"/>
    <w:rsid w:val="00B55FDC"/>
    <w:rsid w:val="00B561D3"/>
    <w:rsid w:val="00B566C8"/>
    <w:rsid w:val="00B5688E"/>
    <w:rsid w:val="00B56B96"/>
    <w:rsid w:val="00B56C8D"/>
    <w:rsid w:val="00B56E49"/>
    <w:rsid w:val="00B56E85"/>
    <w:rsid w:val="00B575F8"/>
    <w:rsid w:val="00B577AE"/>
    <w:rsid w:val="00B57EEA"/>
    <w:rsid w:val="00B601CF"/>
    <w:rsid w:val="00B60432"/>
    <w:rsid w:val="00B607E5"/>
    <w:rsid w:val="00B60DDE"/>
    <w:rsid w:val="00B60EA0"/>
    <w:rsid w:val="00B60EF9"/>
    <w:rsid w:val="00B619D0"/>
    <w:rsid w:val="00B61A0A"/>
    <w:rsid w:val="00B62049"/>
    <w:rsid w:val="00B6232D"/>
    <w:rsid w:val="00B62D45"/>
    <w:rsid w:val="00B634D5"/>
    <w:rsid w:val="00B63D38"/>
    <w:rsid w:val="00B641A2"/>
    <w:rsid w:val="00B642CA"/>
    <w:rsid w:val="00B65410"/>
    <w:rsid w:val="00B656C6"/>
    <w:rsid w:val="00B656F1"/>
    <w:rsid w:val="00B65B9E"/>
    <w:rsid w:val="00B65DAE"/>
    <w:rsid w:val="00B65F70"/>
    <w:rsid w:val="00B6605F"/>
    <w:rsid w:val="00B669C1"/>
    <w:rsid w:val="00B66B20"/>
    <w:rsid w:val="00B66BFC"/>
    <w:rsid w:val="00B66FF2"/>
    <w:rsid w:val="00B67002"/>
    <w:rsid w:val="00B67271"/>
    <w:rsid w:val="00B6746C"/>
    <w:rsid w:val="00B67781"/>
    <w:rsid w:val="00B677DB"/>
    <w:rsid w:val="00B67C8B"/>
    <w:rsid w:val="00B67EB7"/>
    <w:rsid w:val="00B7017C"/>
    <w:rsid w:val="00B703E7"/>
    <w:rsid w:val="00B7067E"/>
    <w:rsid w:val="00B707C6"/>
    <w:rsid w:val="00B707D0"/>
    <w:rsid w:val="00B7099A"/>
    <w:rsid w:val="00B70BBB"/>
    <w:rsid w:val="00B710EB"/>
    <w:rsid w:val="00B71A5E"/>
    <w:rsid w:val="00B71C22"/>
    <w:rsid w:val="00B7217C"/>
    <w:rsid w:val="00B72CC4"/>
    <w:rsid w:val="00B72D0A"/>
    <w:rsid w:val="00B72DE1"/>
    <w:rsid w:val="00B733AE"/>
    <w:rsid w:val="00B7350B"/>
    <w:rsid w:val="00B740A2"/>
    <w:rsid w:val="00B7439C"/>
    <w:rsid w:val="00B74A82"/>
    <w:rsid w:val="00B74AE9"/>
    <w:rsid w:val="00B74FF6"/>
    <w:rsid w:val="00B75263"/>
    <w:rsid w:val="00B75847"/>
    <w:rsid w:val="00B7599F"/>
    <w:rsid w:val="00B759B0"/>
    <w:rsid w:val="00B75DCC"/>
    <w:rsid w:val="00B75EA9"/>
    <w:rsid w:val="00B75EB8"/>
    <w:rsid w:val="00B764B1"/>
    <w:rsid w:val="00B76FE3"/>
    <w:rsid w:val="00B77246"/>
    <w:rsid w:val="00B773E8"/>
    <w:rsid w:val="00B77836"/>
    <w:rsid w:val="00B77B07"/>
    <w:rsid w:val="00B77C91"/>
    <w:rsid w:val="00B77DF5"/>
    <w:rsid w:val="00B8013F"/>
    <w:rsid w:val="00B80773"/>
    <w:rsid w:val="00B80B1B"/>
    <w:rsid w:val="00B8100C"/>
    <w:rsid w:val="00B81356"/>
    <w:rsid w:val="00B81472"/>
    <w:rsid w:val="00B81B77"/>
    <w:rsid w:val="00B8249C"/>
    <w:rsid w:val="00B825BF"/>
    <w:rsid w:val="00B82A27"/>
    <w:rsid w:val="00B82E98"/>
    <w:rsid w:val="00B830ED"/>
    <w:rsid w:val="00B834E2"/>
    <w:rsid w:val="00B83809"/>
    <w:rsid w:val="00B83C1C"/>
    <w:rsid w:val="00B840A8"/>
    <w:rsid w:val="00B848FD"/>
    <w:rsid w:val="00B84EEB"/>
    <w:rsid w:val="00B850AB"/>
    <w:rsid w:val="00B850B2"/>
    <w:rsid w:val="00B851A2"/>
    <w:rsid w:val="00B8544C"/>
    <w:rsid w:val="00B8571C"/>
    <w:rsid w:val="00B85808"/>
    <w:rsid w:val="00B8584E"/>
    <w:rsid w:val="00B85DAE"/>
    <w:rsid w:val="00B85F8E"/>
    <w:rsid w:val="00B868DF"/>
    <w:rsid w:val="00B86BD2"/>
    <w:rsid w:val="00B86E8F"/>
    <w:rsid w:val="00B87A3A"/>
    <w:rsid w:val="00B87A5B"/>
    <w:rsid w:val="00B87EE3"/>
    <w:rsid w:val="00B903A5"/>
    <w:rsid w:val="00B9050B"/>
    <w:rsid w:val="00B90750"/>
    <w:rsid w:val="00B90C38"/>
    <w:rsid w:val="00B90F04"/>
    <w:rsid w:val="00B91351"/>
    <w:rsid w:val="00B9186E"/>
    <w:rsid w:val="00B91D94"/>
    <w:rsid w:val="00B921FB"/>
    <w:rsid w:val="00B92668"/>
    <w:rsid w:val="00B928D1"/>
    <w:rsid w:val="00B92A4A"/>
    <w:rsid w:val="00B92DDA"/>
    <w:rsid w:val="00B9304F"/>
    <w:rsid w:val="00B935D7"/>
    <w:rsid w:val="00B937B2"/>
    <w:rsid w:val="00B939D8"/>
    <w:rsid w:val="00B9421B"/>
    <w:rsid w:val="00B946FA"/>
    <w:rsid w:val="00B94E56"/>
    <w:rsid w:val="00B95496"/>
    <w:rsid w:val="00B956B3"/>
    <w:rsid w:val="00B95C0B"/>
    <w:rsid w:val="00B96ABF"/>
    <w:rsid w:val="00B96DEB"/>
    <w:rsid w:val="00B97192"/>
    <w:rsid w:val="00B975A9"/>
    <w:rsid w:val="00B978B2"/>
    <w:rsid w:val="00B979B3"/>
    <w:rsid w:val="00B97A50"/>
    <w:rsid w:val="00B97A7B"/>
    <w:rsid w:val="00BA0026"/>
    <w:rsid w:val="00BA064E"/>
    <w:rsid w:val="00BA0653"/>
    <w:rsid w:val="00BA0BD4"/>
    <w:rsid w:val="00BA11E8"/>
    <w:rsid w:val="00BA15B7"/>
    <w:rsid w:val="00BA15CE"/>
    <w:rsid w:val="00BA1AE3"/>
    <w:rsid w:val="00BA1E3D"/>
    <w:rsid w:val="00BA1ECB"/>
    <w:rsid w:val="00BA270C"/>
    <w:rsid w:val="00BA27B0"/>
    <w:rsid w:val="00BA2A10"/>
    <w:rsid w:val="00BA2A99"/>
    <w:rsid w:val="00BA2AEC"/>
    <w:rsid w:val="00BA301D"/>
    <w:rsid w:val="00BA3050"/>
    <w:rsid w:val="00BA3777"/>
    <w:rsid w:val="00BA3E29"/>
    <w:rsid w:val="00BA4283"/>
    <w:rsid w:val="00BA42B2"/>
    <w:rsid w:val="00BA4544"/>
    <w:rsid w:val="00BA4843"/>
    <w:rsid w:val="00BA4B53"/>
    <w:rsid w:val="00BA4C30"/>
    <w:rsid w:val="00BA4DCA"/>
    <w:rsid w:val="00BA4FD6"/>
    <w:rsid w:val="00BA5376"/>
    <w:rsid w:val="00BA58BE"/>
    <w:rsid w:val="00BA5DB7"/>
    <w:rsid w:val="00BA6003"/>
    <w:rsid w:val="00BA69FA"/>
    <w:rsid w:val="00BA6DDF"/>
    <w:rsid w:val="00BA76F5"/>
    <w:rsid w:val="00BA7E05"/>
    <w:rsid w:val="00BA7EC2"/>
    <w:rsid w:val="00BB02AD"/>
    <w:rsid w:val="00BB06C1"/>
    <w:rsid w:val="00BB0C10"/>
    <w:rsid w:val="00BB115D"/>
    <w:rsid w:val="00BB131C"/>
    <w:rsid w:val="00BB1A48"/>
    <w:rsid w:val="00BB1B48"/>
    <w:rsid w:val="00BB1C1E"/>
    <w:rsid w:val="00BB2D58"/>
    <w:rsid w:val="00BB336F"/>
    <w:rsid w:val="00BB3426"/>
    <w:rsid w:val="00BB3AE4"/>
    <w:rsid w:val="00BB3D83"/>
    <w:rsid w:val="00BB3F19"/>
    <w:rsid w:val="00BB44A5"/>
    <w:rsid w:val="00BB46FE"/>
    <w:rsid w:val="00BB48A0"/>
    <w:rsid w:val="00BB491C"/>
    <w:rsid w:val="00BB53AC"/>
    <w:rsid w:val="00BB5400"/>
    <w:rsid w:val="00BB5568"/>
    <w:rsid w:val="00BB585B"/>
    <w:rsid w:val="00BB5C24"/>
    <w:rsid w:val="00BB5CDE"/>
    <w:rsid w:val="00BB601B"/>
    <w:rsid w:val="00BB7FAC"/>
    <w:rsid w:val="00BC0490"/>
    <w:rsid w:val="00BC13D9"/>
    <w:rsid w:val="00BC16B0"/>
    <w:rsid w:val="00BC1A9E"/>
    <w:rsid w:val="00BC1C31"/>
    <w:rsid w:val="00BC1DF9"/>
    <w:rsid w:val="00BC1E79"/>
    <w:rsid w:val="00BC21AA"/>
    <w:rsid w:val="00BC2317"/>
    <w:rsid w:val="00BC2542"/>
    <w:rsid w:val="00BC255C"/>
    <w:rsid w:val="00BC264B"/>
    <w:rsid w:val="00BC281C"/>
    <w:rsid w:val="00BC2874"/>
    <w:rsid w:val="00BC2BDD"/>
    <w:rsid w:val="00BC3CE3"/>
    <w:rsid w:val="00BC4988"/>
    <w:rsid w:val="00BC53CE"/>
    <w:rsid w:val="00BC5C3F"/>
    <w:rsid w:val="00BC6000"/>
    <w:rsid w:val="00BC61C8"/>
    <w:rsid w:val="00BC631F"/>
    <w:rsid w:val="00BC67C5"/>
    <w:rsid w:val="00BC698C"/>
    <w:rsid w:val="00BC6A4A"/>
    <w:rsid w:val="00BC6CCF"/>
    <w:rsid w:val="00BC6E4A"/>
    <w:rsid w:val="00BC7190"/>
    <w:rsid w:val="00BC720D"/>
    <w:rsid w:val="00BC74CB"/>
    <w:rsid w:val="00BC780D"/>
    <w:rsid w:val="00BC7AE3"/>
    <w:rsid w:val="00BC7DA8"/>
    <w:rsid w:val="00BC7EDE"/>
    <w:rsid w:val="00BD011E"/>
    <w:rsid w:val="00BD0143"/>
    <w:rsid w:val="00BD0415"/>
    <w:rsid w:val="00BD05EA"/>
    <w:rsid w:val="00BD067C"/>
    <w:rsid w:val="00BD0A1A"/>
    <w:rsid w:val="00BD0D50"/>
    <w:rsid w:val="00BD1316"/>
    <w:rsid w:val="00BD147D"/>
    <w:rsid w:val="00BD16F3"/>
    <w:rsid w:val="00BD1B2E"/>
    <w:rsid w:val="00BD1DBC"/>
    <w:rsid w:val="00BD24A4"/>
    <w:rsid w:val="00BD2786"/>
    <w:rsid w:val="00BD2A2E"/>
    <w:rsid w:val="00BD2A80"/>
    <w:rsid w:val="00BD3043"/>
    <w:rsid w:val="00BD3066"/>
    <w:rsid w:val="00BD38D3"/>
    <w:rsid w:val="00BD3A33"/>
    <w:rsid w:val="00BD3E36"/>
    <w:rsid w:val="00BD408B"/>
    <w:rsid w:val="00BD4B03"/>
    <w:rsid w:val="00BD4EBB"/>
    <w:rsid w:val="00BD5232"/>
    <w:rsid w:val="00BD52F9"/>
    <w:rsid w:val="00BD53A8"/>
    <w:rsid w:val="00BD59AD"/>
    <w:rsid w:val="00BD5A9C"/>
    <w:rsid w:val="00BD5B06"/>
    <w:rsid w:val="00BD5CD9"/>
    <w:rsid w:val="00BD60E2"/>
    <w:rsid w:val="00BD6114"/>
    <w:rsid w:val="00BD64DF"/>
    <w:rsid w:val="00BD6CC1"/>
    <w:rsid w:val="00BD6ECB"/>
    <w:rsid w:val="00BD7056"/>
    <w:rsid w:val="00BD73AC"/>
    <w:rsid w:val="00BD785F"/>
    <w:rsid w:val="00BD7E48"/>
    <w:rsid w:val="00BD7F98"/>
    <w:rsid w:val="00BE08CD"/>
    <w:rsid w:val="00BE1175"/>
    <w:rsid w:val="00BE1FD6"/>
    <w:rsid w:val="00BE22A5"/>
    <w:rsid w:val="00BE34DB"/>
    <w:rsid w:val="00BE35C9"/>
    <w:rsid w:val="00BE3C59"/>
    <w:rsid w:val="00BE3F67"/>
    <w:rsid w:val="00BE425C"/>
    <w:rsid w:val="00BE451A"/>
    <w:rsid w:val="00BE4642"/>
    <w:rsid w:val="00BE47C9"/>
    <w:rsid w:val="00BE48D2"/>
    <w:rsid w:val="00BE4EED"/>
    <w:rsid w:val="00BE6068"/>
    <w:rsid w:val="00BE6477"/>
    <w:rsid w:val="00BE66BB"/>
    <w:rsid w:val="00BE6922"/>
    <w:rsid w:val="00BE6A5D"/>
    <w:rsid w:val="00BE7407"/>
    <w:rsid w:val="00BE7630"/>
    <w:rsid w:val="00BE7998"/>
    <w:rsid w:val="00BE7C9A"/>
    <w:rsid w:val="00BF0285"/>
    <w:rsid w:val="00BF0754"/>
    <w:rsid w:val="00BF093C"/>
    <w:rsid w:val="00BF0A4B"/>
    <w:rsid w:val="00BF0B79"/>
    <w:rsid w:val="00BF1412"/>
    <w:rsid w:val="00BF14BF"/>
    <w:rsid w:val="00BF1641"/>
    <w:rsid w:val="00BF189C"/>
    <w:rsid w:val="00BF18DB"/>
    <w:rsid w:val="00BF1A08"/>
    <w:rsid w:val="00BF21F2"/>
    <w:rsid w:val="00BF2216"/>
    <w:rsid w:val="00BF23D0"/>
    <w:rsid w:val="00BF2D4E"/>
    <w:rsid w:val="00BF2E01"/>
    <w:rsid w:val="00BF3104"/>
    <w:rsid w:val="00BF3120"/>
    <w:rsid w:val="00BF36EC"/>
    <w:rsid w:val="00BF3965"/>
    <w:rsid w:val="00BF3AE8"/>
    <w:rsid w:val="00BF3E4C"/>
    <w:rsid w:val="00BF43B7"/>
    <w:rsid w:val="00BF4FF6"/>
    <w:rsid w:val="00BF5CEA"/>
    <w:rsid w:val="00BF5E0D"/>
    <w:rsid w:val="00BF5E7D"/>
    <w:rsid w:val="00BF602E"/>
    <w:rsid w:val="00BF60DF"/>
    <w:rsid w:val="00BF664D"/>
    <w:rsid w:val="00BF6796"/>
    <w:rsid w:val="00BF68BC"/>
    <w:rsid w:val="00BF69D1"/>
    <w:rsid w:val="00BF6E6D"/>
    <w:rsid w:val="00BF7071"/>
    <w:rsid w:val="00BF715B"/>
    <w:rsid w:val="00BF75B0"/>
    <w:rsid w:val="00BF778D"/>
    <w:rsid w:val="00BF7870"/>
    <w:rsid w:val="00BF7F2E"/>
    <w:rsid w:val="00C000F5"/>
    <w:rsid w:val="00C00D97"/>
    <w:rsid w:val="00C00E54"/>
    <w:rsid w:val="00C012C1"/>
    <w:rsid w:val="00C01362"/>
    <w:rsid w:val="00C0233C"/>
    <w:rsid w:val="00C027C7"/>
    <w:rsid w:val="00C02BA5"/>
    <w:rsid w:val="00C03770"/>
    <w:rsid w:val="00C03A2A"/>
    <w:rsid w:val="00C03F93"/>
    <w:rsid w:val="00C04026"/>
    <w:rsid w:val="00C046C0"/>
    <w:rsid w:val="00C04B3D"/>
    <w:rsid w:val="00C04F33"/>
    <w:rsid w:val="00C054CD"/>
    <w:rsid w:val="00C05713"/>
    <w:rsid w:val="00C0577E"/>
    <w:rsid w:val="00C059CF"/>
    <w:rsid w:val="00C05A55"/>
    <w:rsid w:val="00C05AA7"/>
    <w:rsid w:val="00C05EAD"/>
    <w:rsid w:val="00C06032"/>
    <w:rsid w:val="00C06450"/>
    <w:rsid w:val="00C06A96"/>
    <w:rsid w:val="00C06B05"/>
    <w:rsid w:val="00C06B53"/>
    <w:rsid w:val="00C06D04"/>
    <w:rsid w:val="00C07576"/>
    <w:rsid w:val="00C07B5C"/>
    <w:rsid w:val="00C10592"/>
    <w:rsid w:val="00C107BD"/>
    <w:rsid w:val="00C109F5"/>
    <w:rsid w:val="00C10C43"/>
    <w:rsid w:val="00C10D41"/>
    <w:rsid w:val="00C10D76"/>
    <w:rsid w:val="00C10DF8"/>
    <w:rsid w:val="00C11034"/>
    <w:rsid w:val="00C111B2"/>
    <w:rsid w:val="00C11B52"/>
    <w:rsid w:val="00C11E0E"/>
    <w:rsid w:val="00C12931"/>
    <w:rsid w:val="00C12A86"/>
    <w:rsid w:val="00C13069"/>
    <w:rsid w:val="00C137E2"/>
    <w:rsid w:val="00C147E0"/>
    <w:rsid w:val="00C14D63"/>
    <w:rsid w:val="00C14E0F"/>
    <w:rsid w:val="00C14E78"/>
    <w:rsid w:val="00C15063"/>
    <w:rsid w:val="00C1538A"/>
    <w:rsid w:val="00C1568A"/>
    <w:rsid w:val="00C15EAD"/>
    <w:rsid w:val="00C163AC"/>
    <w:rsid w:val="00C1650B"/>
    <w:rsid w:val="00C16692"/>
    <w:rsid w:val="00C16797"/>
    <w:rsid w:val="00C167C1"/>
    <w:rsid w:val="00C16A46"/>
    <w:rsid w:val="00C16BF8"/>
    <w:rsid w:val="00C16CFF"/>
    <w:rsid w:val="00C16E2D"/>
    <w:rsid w:val="00C16E31"/>
    <w:rsid w:val="00C17227"/>
    <w:rsid w:val="00C173B5"/>
    <w:rsid w:val="00C173CE"/>
    <w:rsid w:val="00C1764C"/>
    <w:rsid w:val="00C17DE2"/>
    <w:rsid w:val="00C2006D"/>
    <w:rsid w:val="00C202F3"/>
    <w:rsid w:val="00C20510"/>
    <w:rsid w:val="00C207B7"/>
    <w:rsid w:val="00C20F2C"/>
    <w:rsid w:val="00C21312"/>
    <w:rsid w:val="00C218CE"/>
    <w:rsid w:val="00C21A56"/>
    <w:rsid w:val="00C21B4A"/>
    <w:rsid w:val="00C21B83"/>
    <w:rsid w:val="00C22521"/>
    <w:rsid w:val="00C230D4"/>
    <w:rsid w:val="00C23463"/>
    <w:rsid w:val="00C23599"/>
    <w:rsid w:val="00C23F1C"/>
    <w:rsid w:val="00C24001"/>
    <w:rsid w:val="00C244AD"/>
    <w:rsid w:val="00C24CB5"/>
    <w:rsid w:val="00C24D9E"/>
    <w:rsid w:val="00C24FCE"/>
    <w:rsid w:val="00C2562C"/>
    <w:rsid w:val="00C25887"/>
    <w:rsid w:val="00C25C0A"/>
    <w:rsid w:val="00C26553"/>
    <w:rsid w:val="00C26926"/>
    <w:rsid w:val="00C26A3A"/>
    <w:rsid w:val="00C26B56"/>
    <w:rsid w:val="00C26FF4"/>
    <w:rsid w:val="00C270DC"/>
    <w:rsid w:val="00C27D45"/>
    <w:rsid w:val="00C27F33"/>
    <w:rsid w:val="00C27F99"/>
    <w:rsid w:val="00C301FB"/>
    <w:rsid w:val="00C306B6"/>
    <w:rsid w:val="00C31278"/>
    <w:rsid w:val="00C3161D"/>
    <w:rsid w:val="00C316C4"/>
    <w:rsid w:val="00C3184A"/>
    <w:rsid w:val="00C320DB"/>
    <w:rsid w:val="00C32256"/>
    <w:rsid w:val="00C32676"/>
    <w:rsid w:val="00C32890"/>
    <w:rsid w:val="00C32A8F"/>
    <w:rsid w:val="00C32B9B"/>
    <w:rsid w:val="00C32FFA"/>
    <w:rsid w:val="00C34042"/>
    <w:rsid w:val="00C341B8"/>
    <w:rsid w:val="00C348E4"/>
    <w:rsid w:val="00C356C4"/>
    <w:rsid w:val="00C358F3"/>
    <w:rsid w:val="00C36739"/>
    <w:rsid w:val="00C36C15"/>
    <w:rsid w:val="00C372E9"/>
    <w:rsid w:val="00C3760D"/>
    <w:rsid w:val="00C377A2"/>
    <w:rsid w:val="00C37895"/>
    <w:rsid w:val="00C37B30"/>
    <w:rsid w:val="00C37C12"/>
    <w:rsid w:val="00C403F2"/>
    <w:rsid w:val="00C4055D"/>
    <w:rsid w:val="00C409E9"/>
    <w:rsid w:val="00C41414"/>
    <w:rsid w:val="00C41928"/>
    <w:rsid w:val="00C41FAC"/>
    <w:rsid w:val="00C42607"/>
    <w:rsid w:val="00C427DD"/>
    <w:rsid w:val="00C42E3A"/>
    <w:rsid w:val="00C43741"/>
    <w:rsid w:val="00C4383C"/>
    <w:rsid w:val="00C43855"/>
    <w:rsid w:val="00C438B0"/>
    <w:rsid w:val="00C438E7"/>
    <w:rsid w:val="00C440D2"/>
    <w:rsid w:val="00C441C7"/>
    <w:rsid w:val="00C448D4"/>
    <w:rsid w:val="00C44AB9"/>
    <w:rsid w:val="00C45390"/>
    <w:rsid w:val="00C45B9B"/>
    <w:rsid w:val="00C45CAE"/>
    <w:rsid w:val="00C45CD0"/>
    <w:rsid w:val="00C46411"/>
    <w:rsid w:val="00C467A0"/>
    <w:rsid w:val="00C46A34"/>
    <w:rsid w:val="00C47399"/>
    <w:rsid w:val="00C473CE"/>
    <w:rsid w:val="00C47D71"/>
    <w:rsid w:val="00C50F48"/>
    <w:rsid w:val="00C511E2"/>
    <w:rsid w:val="00C511F1"/>
    <w:rsid w:val="00C51288"/>
    <w:rsid w:val="00C512BD"/>
    <w:rsid w:val="00C513A6"/>
    <w:rsid w:val="00C51619"/>
    <w:rsid w:val="00C5169D"/>
    <w:rsid w:val="00C516C6"/>
    <w:rsid w:val="00C516FB"/>
    <w:rsid w:val="00C518E6"/>
    <w:rsid w:val="00C52043"/>
    <w:rsid w:val="00C5245D"/>
    <w:rsid w:val="00C52C08"/>
    <w:rsid w:val="00C53099"/>
    <w:rsid w:val="00C53298"/>
    <w:rsid w:val="00C53BE7"/>
    <w:rsid w:val="00C54347"/>
    <w:rsid w:val="00C54798"/>
    <w:rsid w:val="00C54BD8"/>
    <w:rsid w:val="00C5519E"/>
    <w:rsid w:val="00C551F3"/>
    <w:rsid w:val="00C552D7"/>
    <w:rsid w:val="00C55651"/>
    <w:rsid w:val="00C55BFE"/>
    <w:rsid w:val="00C560B6"/>
    <w:rsid w:val="00C561A0"/>
    <w:rsid w:val="00C561F8"/>
    <w:rsid w:val="00C56392"/>
    <w:rsid w:val="00C56765"/>
    <w:rsid w:val="00C56A50"/>
    <w:rsid w:val="00C57083"/>
    <w:rsid w:val="00C570EA"/>
    <w:rsid w:val="00C57A3A"/>
    <w:rsid w:val="00C57B48"/>
    <w:rsid w:val="00C60BF7"/>
    <w:rsid w:val="00C61113"/>
    <w:rsid w:val="00C61886"/>
    <w:rsid w:val="00C619F0"/>
    <w:rsid w:val="00C6202F"/>
    <w:rsid w:val="00C62271"/>
    <w:rsid w:val="00C62522"/>
    <w:rsid w:val="00C62657"/>
    <w:rsid w:val="00C626BB"/>
    <w:rsid w:val="00C62F09"/>
    <w:rsid w:val="00C6321E"/>
    <w:rsid w:val="00C632FC"/>
    <w:rsid w:val="00C633C4"/>
    <w:rsid w:val="00C641E7"/>
    <w:rsid w:val="00C64227"/>
    <w:rsid w:val="00C64256"/>
    <w:rsid w:val="00C64294"/>
    <w:rsid w:val="00C64D08"/>
    <w:rsid w:val="00C65B58"/>
    <w:rsid w:val="00C661C1"/>
    <w:rsid w:val="00C6635C"/>
    <w:rsid w:val="00C66579"/>
    <w:rsid w:val="00C665DA"/>
    <w:rsid w:val="00C66B84"/>
    <w:rsid w:val="00C6719D"/>
    <w:rsid w:val="00C67799"/>
    <w:rsid w:val="00C67853"/>
    <w:rsid w:val="00C701A2"/>
    <w:rsid w:val="00C702A9"/>
    <w:rsid w:val="00C7099B"/>
    <w:rsid w:val="00C70E45"/>
    <w:rsid w:val="00C711DD"/>
    <w:rsid w:val="00C7188F"/>
    <w:rsid w:val="00C71A8E"/>
    <w:rsid w:val="00C71B14"/>
    <w:rsid w:val="00C71C1D"/>
    <w:rsid w:val="00C71E3E"/>
    <w:rsid w:val="00C72155"/>
    <w:rsid w:val="00C72524"/>
    <w:rsid w:val="00C728BE"/>
    <w:rsid w:val="00C72F04"/>
    <w:rsid w:val="00C7353A"/>
    <w:rsid w:val="00C74689"/>
    <w:rsid w:val="00C75073"/>
    <w:rsid w:val="00C7680F"/>
    <w:rsid w:val="00C76CB2"/>
    <w:rsid w:val="00C76E67"/>
    <w:rsid w:val="00C77AD5"/>
    <w:rsid w:val="00C77B44"/>
    <w:rsid w:val="00C8014F"/>
    <w:rsid w:val="00C80328"/>
    <w:rsid w:val="00C80A13"/>
    <w:rsid w:val="00C80B6F"/>
    <w:rsid w:val="00C81120"/>
    <w:rsid w:val="00C817D4"/>
    <w:rsid w:val="00C81979"/>
    <w:rsid w:val="00C81F52"/>
    <w:rsid w:val="00C8211F"/>
    <w:rsid w:val="00C821BA"/>
    <w:rsid w:val="00C8222A"/>
    <w:rsid w:val="00C82330"/>
    <w:rsid w:val="00C823E8"/>
    <w:rsid w:val="00C8246D"/>
    <w:rsid w:val="00C82506"/>
    <w:rsid w:val="00C82C1E"/>
    <w:rsid w:val="00C82C8D"/>
    <w:rsid w:val="00C82CD9"/>
    <w:rsid w:val="00C83376"/>
    <w:rsid w:val="00C83903"/>
    <w:rsid w:val="00C83B2A"/>
    <w:rsid w:val="00C83EA0"/>
    <w:rsid w:val="00C83EE8"/>
    <w:rsid w:val="00C84426"/>
    <w:rsid w:val="00C84B14"/>
    <w:rsid w:val="00C84BD3"/>
    <w:rsid w:val="00C84CF6"/>
    <w:rsid w:val="00C85155"/>
    <w:rsid w:val="00C853F9"/>
    <w:rsid w:val="00C856D1"/>
    <w:rsid w:val="00C85923"/>
    <w:rsid w:val="00C85A4A"/>
    <w:rsid w:val="00C85E82"/>
    <w:rsid w:val="00C85EE5"/>
    <w:rsid w:val="00C86645"/>
    <w:rsid w:val="00C869F9"/>
    <w:rsid w:val="00C86BAC"/>
    <w:rsid w:val="00C8736A"/>
    <w:rsid w:val="00C87993"/>
    <w:rsid w:val="00C87C84"/>
    <w:rsid w:val="00C903BF"/>
    <w:rsid w:val="00C90CC4"/>
    <w:rsid w:val="00C90E1D"/>
    <w:rsid w:val="00C90EC9"/>
    <w:rsid w:val="00C9138E"/>
    <w:rsid w:val="00C915F2"/>
    <w:rsid w:val="00C9198D"/>
    <w:rsid w:val="00C91D7C"/>
    <w:rsid w:val="00C91DB7"/>
    <w:rsid w:val="00C92ADC"/>
    <w:rsid w:val="00C92B11"/>
    <w:rsid w:val="00C92B41"/>
    <w:rsid w:val="00C92B5A"/>
    <w:rsid w:val="00C92DB0"/>
    <w:rsid w:val="00C932EB"/>
    <w:rsid w:val="00C93496"/>
    <w:rsid w:val="00C9355C"/>
    <w:rsid w:val="00C9365D"/>
    <w:rsid w:val="00C93ACD"/>
    <w:rsid w:val="00C93CA1"/>
    <w:rsid w:val="00C93F8F"/>
    <w:rsid w:val="00C9416D"/>
    <w:rsid w:val="00C94795"/>
    <w:rsid w:val="00C94C38"/>
    <w:rsid w:val="00C94EF8"/>
    <w:rsid w:val="00C94FBC"/>
    <w:rsid w:val="00C950E0"/>
    <w:rsid w:val="00C95125"/>
    <w:rsid w:val="00C9564B"/>
    <w:rsid w:val="00C9581A"/>
    <w:rsid w:val="00C95832"/>
    <w:rsid w:val="00C95858"/>
    <w:rsid w:val="00C96A5A"/>
    <w:rsid w:val="00C96BAB"/>
    <w:rsid w:val="00C96F62"/>
    <w:rsid w:val="00C97149"/>
    <w:rsid w:val="00C97A4E"/>
    <w:rsid w:val="00CA015A"/>
    <w:rsid w:val="00CA03BE"/>
    <w:rsid w:val="00CA09C6"/>
    <w:rsid w:val="00CA0B7F"/>
    <w:rsid w:val="00CA100E"/>
    <w:rsid w:val="00CA106B"/>
    <w:rsid w:val="00CA181D"/>
    <w:rsid w:val="00CA1865"/>
    <w:rsid w:val="00CA197C"/>
    <w:rsid w:val="00CA1A11"/>
    <w:rsid w:val="00CA245A"/>
    <w:rsid w:val="00CA2703"/>
    <w:rsid w:val="00CA275F"/>
    <w:rsid w:val="00CA304B"/>
    <w:rsid w:val="00CA3275"/>
    <w:rsid w:val="00CA3289"/>
    <w:rsid w:val="00CA338E"/>
    <w:rsid w:val="00CA356E"/>
    <w:rsid w:val="00CA3585"/>
    <w:rsid w:val="00CA3928"/>
    <w:rsid w:val="00CA3B7D"/>
    <w:rsid w:val="00CA3E2C"/>
    <w:rsid w:val="00CA4C8F"/>
    <w:rsid w:val="00CA4D83"/>
    <w:rsid w:val="00CA4F46"/>
    <w:rsid w:val="00CA4F79"/>
    <w:rsid w:val="00CA4FA6"/>
    <w:rsid w:val="00CA5393"/>
    <w:rsid w:val="00CA5B15"/>
    <w:rsid w:val="00CA61BA"/>
    <w:rsid w:val="00CA6A66"/>
    <w:rsid w:val="00CA6C85"/>
    <w:rsid w:val="00CA6F24"/>
    <w:rsid w:val="00CA71B1"/>
    <w:rsid w:val="00CA784B"/>
    <w:rsid w:val="00CA7E7F"/>
    <w:rsid w:val="00CA7FE8"/>
    <w:rsid w:val="00CB0A0E"/>
    <w:rsid w:val="00CB0B34"/>
    <w:rsid w:val="00CB1785"/>
    <w:rsid w:val="00CB1F59"/>
    <w:rsid w:val="00CB1F6F"/>
    <w:rsid w:val="00CB216E"/>
    <w:rsid w:val="00CB21AB"/>
    <w:rsid w:val="00CB22DA"/>
    <w:rsid w:val="00CB2308"/>
    <w:rsid w:val="00CB2E67"/>
    <w:rsid w:val="00CB2F2D"/>
    <w:rsid w:val="00CB3336"/>
    <w:rsid w:val="00CB3637"/>
    <w:rsid w:val="00CB3645"/>
    <w:rsid w:val="00CB369B"/>
    <w:rsid w:val="00CB3858"/>
    <w:rsid w:val="00CB38B8"/>
    <w:rsid w:val="00CB3E7D"/>
    <w:rsid w:val="00CB4107"/>
    <w:rsid w:val="00CB4BCC"/>
    <w:rsid w:val="00CB4E90"/>
    <w:rsid w:val="00CB54C2"/>
    <w:rsid w:val="00CB54FD"/>
    <w:rsid w:val="00CB55B0"/>
    <w:rsid w:val="00CB593E"/>
    <w:rsid w:val="00CB5AB3"/>
    <w:rsid w:val="00CB5D27"/>
    <w:rsid w:val="00CB605F"/>
    <w:rsid w:val="00CB64AA"/>
    <w:rsid w:val="00CB64B1"/>
    <w:rsid w:val="00CB658E"/>
    <w:rsid w:val="00CB6BDE"/>
    <w:rsid w:val="00CB7663"/>
    <w:rsid w:val="00CB79B4"/>
    <w:rsid w:val="00CB7F9E"/>
    <w:rsid w:val="00CC014A"/>
    <w:rsid w:val="00CC054B"/>
    <w:rsid w:val="00CC0A6D"/>
    <w:rsid w:val="00CC1C8C"/>
    <w:rsid w:val="00CC1DFC"/>
    <w:rsid w:val="00CC23A7"/>
    <w:rsid w:val="00CC240C"/>
    <w:rsid w:val="00CC25BC"/>
    <w:rsid w:val="00CC2CB5"/>
    <w:rsid w:val="00CC30E5"/>
    <w:rsid w:val="00CC32B5"/>
    <w:rsid w:val="00CC36F9"/>
    <w:rsid w:val="00CC3B17"/>
    <w:rsid w:val="00CC42AC"/>
    <w:rsid w:val="00CC46DB"/>
    <w:rsid w:val="00CC4EFE"/>
    <w:rsid w:val="00CC52BA"/>
    <w:rsid w:val="00CC5349"/>
    <w:rsid w:val="00CC5384"/>
    <w:rsid w:val="00CC5625"/>
    <w:rsid w:val="00CC585C"/>
    <w:rsid w:val="00CC590B"/>
    <w:rsid w:val="00CC5BAC"/>
    <w:rsid w:val="00CC5C75"/>
    <w:rsid w:val="00CC617F"/>
    <w:rsid w:val="00CC63BE"/>
    <w:rsid w:val="00CC674C"/>
    <w:rsid w:val="00CC6EF6"/>
    <w:rsid w:val="00CC73E7"/>
    <w:rsid w:val="00CC791F"/>
    <w:rsid w:val="00CC79A3"/>
    <w:rsid w:val="00CC7D02"/>
    <w:rsid w:val="00CD0177"/>
    <w:rsid w:val="00CD0370"/>
    <w:rsid w:val="00CD096C"/>
    <w:rsid w:val="00CD0BF0"/>
    <w:rsid w:val="00CD0EF7"/>
    <w:rsid w:val="00CD0F4A"/>
    <w:rsid w:val="00CD1398"/>
    <w:rsid w:val="00CD180D"/>
    <w:rsid w:val="00CD2556"/>
    <w:rsid w:val="00CD2A48"/>
    <w:rsid w:val="00CD2AC4"/>
    <w:rsid w:val="00CD341D"/>
    <w:rsid w:val="00CD3A26"/>
    <w:rsid w:val="00CD40A6"/>
    <w:rsid w:val="00CD44BB"/>
    <w:rsid w:val="00CD4757"/>
    <w:rsid w:val="00CD47DF"/>
    <w:rsid w:val="00CD48FB"/>
    <w:rsid w:val="00CD4EC4"/>
    <w:rsid w:val="00CD504C"/>
    <w:rsid w:val="00CD5270"/>
    <w:rsid w:val="00CD52E3"/>
    <w:rsid w:val="00CD5FDF"/>
    <w:rsid w:val="00CD655C"/>
    <w:rsid w:val="00CD6AC4"/>
    <w:rsid w:val="00CD6D55"/>
    <w:rsid w:val="00CD7532"/>
    <w:rsid w:val="00CD7B50"/>
    <w:rsid w:val="00CD7DA7"/>
    <w:rsid w:val="00CE01C0"/>
    <w:rsid w:val="00CE03B4"/>
    <w:rsid w:val="00CE0C73"/>
    <w:rsid w:val="00CE0C8A"/>
    <w:rsid w:val="00CE0F7F"/>
    <w:rsid w:val="00CE1082"/>
    <w:rsid w:val="00CE1523"/>
    <w:rsid w:val="00CE15A5"/>
    <w:rsid w:val="00CE1E06"/>
    <w:rsid w:val="00CE25AA"/>
    <w:rsid w:val="00CE2719"/>
    <w:rsid w:val="00CE2784"/>
    <w:rsid w:val="00CE2DF6"/>
    <w:rsid w:val="00CE33CF"/>
    <w:rsid w:val="00CE3576"/>
    <w:rsid w:val="00CE35A8"/>
    <w:rsid w:val="00CE3949"/>
    <w:rsid w:val="00CE3B97"/>
    <w:rsid w:val="00CE3C33"/>
    <w:rsid w:val="00CE40CD"/>
    <w:rsid w:val="00CE4509"/>
    <w:rsid w:val="00CE4F50"/>
    <w:rsid w:val="00CE56D5"/>
    <w:rsid w:val="00CE572C"/>
    <w:rsid w:val="00CE6083"/>
    <w:rsid w:val="00CE6604"/>
    <w:rsid w:val="00CE6AFE"/>
    <w:rsid w:val="00CE6E01"/>
    <w:rsid w:val="00CE73BB"/>
    <w:rsid w:val="00CE746B"/>
    <w:rsid w:val="00CE753E"/>
    <w:rsid w:val="00CE7639"/>
    <w:rsid w:val="00CE7790"/>
    <w:rsid w:val="00CE7A56"/>
    <w:rsid w:val="00CE7A6E"/>
    <w:rsid w:val="00CE7E4E"/>
    <w:rsid w:val="00CF0630"/>
    <w:rsid w:val="00CF0BE5"/>
    <w:rsid w:val="00CF0C87"/>
    <w:rsid w:val="00CF0E68"/>
    <w:rsid w:val="00CF0E7B"/>
    <w:rsid w:val="00CF0EFD"/>
    <w:rsid w:val="00CF1124"/>
    <w:rsid w:val="00CF1190"/>
    <w:rsid w:val="00CF16AB"/>
    <w:rsid w:val="00CF1E4A"/>
    <w:rsid w:val="00CF1EE5"/>
    <w:rsid w:val="00CF239E"/>
    <w:rsid w:val="00CF253B"/>
    <w:rsid w:val="00CF2549"/>
    <w:rsid w:val="00CF2638"/>
    <w:rsid w:val="00CF281F"/>
    <w:rsid w:val="00CF2C08"/>
    <w:rsid w:val="00CF2C19"/>
    <w:rsid w:val="00CF3298"/>
    <w:rsid w:val="00CF3308"/>
    <w:rsid w:val="00CF35A6"/>
    <w:rsid w:val="00CF38C1"/>
    <w:rsid w:val="00CF3DAB"/>
    <w:rsid w:val="00CF3E8E"/>
    <w:rsid w:val="00CF42B5"/>
    <w:rsid w:val="00CF445A"/>
    <w:rsid w:val="00CF44B7"/>
    <w:rsid w:val="00CF47A2"/>
    <w:rsid w:val="00CF4946"/>
    <w:rsid w:val="00CF49C6"/>
    <w:rsid w:val="00CF4A74"/>
    <w:rsid w:val="00CF4BA6"/>
    <w:rsid w:val="00CF4C91"/>
    <w:rsid w:val="00CF5282"/>
    <w:rsid w:val="00CF529A"/>
    <w:rsid w:val="00CF56AE"/>
    <w:rsid w:val="00CF6440"/>
    <w:rsid w:val="00CF6E4B"/>
    <w:rsid w:val="00CF6EBB"/>
    <w:rsid w:val="00CF71A5"/>
    <w:rsid w:val="00CF7746"/>
    <w:rsid w:val="00D000BA"/>
    <w:rsid w:val="00D00A96"/>
    <w:rsid w:val="00D00AA1"/>
    <w:rsid w:val="00D00FCB"/>
    <w:rsid w:val="00D012A5"/>
    <w:rsid w:val="00D01E87"/>
    <w:rsid w:val="00D0200B"/>
    <w:rsid w:val="00D0296F"/>
    <w:rsid w:val="00D02BB3"/>
    <w:rsid w:val="00D02DF6"/>
    <w:rsid w:val="00D0331B"/>
    <w:rsid w:val="00D03647"/>
    <w:rsid w:val="00D039A4"/>
    <w:rsid w:val="00D03B19"/>
    <w:rsid w:val="00D03DF4"/>
    <w:rsid w:val="00D04319"/>
    <w:rsid w:val="00D04AC3"/>
    <w:rsid w:val="00D04D35"/>
    <w:rsid w:val="00D0542F"/>
    <w:rsid w:val="00D05FBD"/>
    <w:rsid w:val="00D061F8"/>
    <w:rsid w:val="00D062BF"/>
    <w:rsid w:val="00D0644B"/>
    <w:rsid w:val="00D073DB"/>
    <w:rsid w:val="00D07857"/>
    <w:rsid w:val="00D07E8E"/>
    <w:rsid w:val="00D10634"/>
    <w:rsid w:val="00D10B63"/>
    <w:rsid w:val="00D10FDE"/>
    <w:rsid w:val="00D11282"/>
    <w:rsid w:val="00D11561"/>
    <w:rsid w:val="00D11B83"/>
    <w:rsid w:val="00D11E52"/>
    <w:rsid w:val="00D12718"/>
    <w:rsid w:val="00D12E58"/>
    <w:rsid w:val="00D12E6F"/>
    <w:rsid w:val="00D1337E"/>
    <w:rsid w:val="00D13ED2"/>
    <w:rsid w:val="00D14742"/>
    <w:rsid w:val="00D14B6B"/>
    <w:rsid w:val="00D14F2A"/>
    <w:rsid w:val="00D1509C"/>
    <w:rsid w:val="00D15AE7"/>
    <w:rsid w:val="00D15EBC"/>
    <w:rsid w:val="00D16112"/>
    <w:rsid w:val="00D16282"/>
    <w:rsid w:val="00D16BE5"/>
    <w:rsid w:val="00D16CBD"/>
    <w:rsid w:val="00D16F25"/>
    <w:rsid w:val="00D17184"/>
    <w:rsid w:val="00D17248"/>
    <w:rsid w:val="00D175E0"/>
    <w:rsid w:val="00D17A70"/>
    <w:rsid w:val="00D20189"/>
    <w:rsid w:val="00D20258"/>
    <w:rsid w:val="00D2056B"/>
    <w:rsid w:val="00D2096D"/>
    <w:rsid w:val="00D209C6"/>
    <w:rsid w:val="00D20A4B"/>
    <w:rsid w:val="00D20B5A"/>
    <w:rsid w:val="00D20BA5"/>
    <w:rsid w:val="00D20D90"/>
    <w:rsid w:val="00D20E3A"/>
    <w:rsid w:val="00D21055"/>
    <w:rsid w:val="00D215B9"/>
    <w:rsid w:val="00D21B8C"/>
    <w:rsid w:val="00D21B99"/>
    <w:rsid w:val="00D21F62"/>
    <w:rsid w:val="00D222C2"/>
    <w:rsid w:val="00D22B87"/>
    <w:rsid w:val="00D23AD8"/>
    <w:rsid w:val="00D23DD1"/>
    <w:rsid w:val="00D23FF2"/>
    <w:rsid w:val="00D24B0E"/>
    <w:rsid w:val="00D24E65"/>
    <w:rsid w:val="00D25145"/>
    <w:rsid w:val="00D2515E"/>
    <w:rsid w:val="00D2517D"/>
    <w:rsid w:val="00D261BA"/>
    <w:rsid w:val="00D262D6"/>
    <w:rsid w:val="00D26399"/>
    <w:rsid w:val="00D2695C"/>
    <w:rsid w:val="00D26D78"/>
    <w:rsid w:val="00D26E28"/>
    <w:rsid w:val="00D26F88"/>
    <w:rsid w:val="00D27015"/>
    <w:rsid w:val="00D276A1"/>
    <w:rsid w:val="00D2785A"/>
    <w:rsid w:val="00D279FB"/>
    <w:rsid w:val="00D27E2D"/>
    <w:rsid w:val="00D30094"/>
    <w:rsid w:val="00D30340"/>
    <w:rsid w:val="00D3083E"/>
    <w:rsid w:val="00D30A43"/>
    <w:rsid w:val="00D30D35"/>
    <w:rsid w:val="00D30FDD"/>
    <w:rsid w:val="00D3141D"/>
    <w:rsid w:val="00D31961"/>
    <w:rsid w:val="00D31A85"/>
    <w:rsid w:val="00D31A94"/>
    <w:rsid w:val="00D31BED"/>
    <w:rsid w:val="00D31CF8"/>
    <w:rsid w:val="00D31CFA"/>
    <w:rsid w:val="00D31EDA"/>
    <w:rsid w:val="00D32274"/>
    <w:rsid w:val="00D325D1"/>
    <w:rsid w:val="00D3278B"/>
    <w:rsid w:val="00D32A3F"/>
    <w:rsid w:val="00D32AE5"/>
    <w:rsid w:val="00D330D8"/>
    <w:rsid w:val="00D336CC"/>
    <w:rsid w:val="00D33C95"/>
    <w:rsid w:val="00D33FA4"/>
    <w:rsid w:val="00D34CC7"/>
    <w:rsid w:val="00D34E5B"/>
    <w:rsid w:val="00D357BA"/>
    <w:rsid w:val="00D35A09"/>
    <w:rsid w:val="00D35AC3"/>
    <w:rsid w:val="00D35C68"/>
    <w:rsid w:val="00D35C9E"/>
    <w:rsid w:val="00D363AA"/>
    <w:rsid w:val="00D3656F"/>
    <w:rsid w:val="00D36A39"/>
    <w:rsid w:val="00D36A64"/>
    <w:rsid w:val="00D37063"/>
    <w:rsid w:val="00D37CDE"/>
    <w:rsid w:val="00D37E7A"/>
    <w:rsid w:val="00D40005"/>
    <w:rsid w:val="00D40803"/>
    <w:rsid w:val="00D40E40"/>
    <w:rsid w:val="00D415BE"/>
    <w:rsid w:val="00D41759"/>
    <w:rsid w:val="00D41C97"/>
    <w:rsid w:val="00D423B8"/>
    <w:rsid w:val="00D4275A"/>
    <w:rsid w:val="00D42797"/>
    <w:rsid w:val="00D428D5"/>
    <w:rsid w:val="00D43027"/>
    <w:rsid w:val="00D4345A"/>
    <w:rsid w:val="00D434C0"/>
    <w:rsid w:val="00D43617"/>
    <w:rsid w:val="00D43EC5"/>
    <w:rsid w:val="00D4439B"/>
    <w:rsid w:val="00D4459E"/>
    <w:rsid w:val="00D448B9"/>
    <w:rsid w:val="00D44C63"/>
    <w:rsid w:val="00D45205"/>
    <w:rsid w:val="00D452E1"/>
    <w:rsid w:val="00D4549C"/>
    <w:rsid w:val="00D454B7"/>
    <w:rsid w:val="00D45656"/>
    <w:rsid w:val="00D45930"/>
    <w:rsid w:val="00D45B64"/>
    <w:rsid w:val="00D45B8B"/>
    <w:rsid w:val="00D45BBF"/>
    <w:rsid w:val="00D45BF8"/>
    <w:rsid w:val="00D4601D"/>
    <w:rsid w:val="00D4619E"/>
    <w:rsid w:val="00D465E8"/>
    <w:rsid w:val="00D469E4"/>
    <w:rsid w:val="00D46A3E"/>
    <w:rsid w:val="00D501AB"/>
    <w:rsid w:val="00D501F7"/>
    <w:rsid w:val="00D5033C"/>
    <w:rsid w:val="00D508B9"/>
    <w:rsid w:val="00D5137B"/>
    <w:rsid w:val="00D513A9"/>
    <w:rsid w:val="00D51D8A"/>
    <w:rsid w:val="00D51EC5"/>
    <w:rsid w:val="00D51ED4"/>
    <w:rsid w:val="00D523E5"/>
    <w:rsid w:val="00D5268F"/>
    <w:rsid w:val="00D52E7F"/>
    <w:rsid w:val="00D53891"/>
    <w:rsid w:val="00D545F4"/>
    <w:rsid w:val="00D546D5"/>
    <w:rsid w:val="00D54751"/>
    <w:rsid w:val="00D548B4"/>
    <w:rsid w:val="00D55EC3"/>
    <w:rsid w:val="00D55EFE"/>
    <w:rsid w:val="00D5607B"/>
    <w:rsid w:val="00D56354"/>
    <w:rsid w:val="00D563AB"/>
    <w:rsid w:val="00D56656"/>
    <w:rsid w:val="00D56840"/>
    <w:rsid w:val="00D56866"/>
    <w:rsid w:val="00D56C59"/>
    <w:rsid w:val="00D57041"/>
    <w:rsid w:val="00D570A6"/>
    <w:rsid w:val="00D57502"/>
    <w:rsid w:val="00D57A3C"/>
    <w:rsid w:val="00D6000A"/>
    <w:rsid w:val="00D61402"/>
    <w:rsid w:val="00D61C3C"/>
    <w:rsid w:val="00D621EE"/>
    <w:rsid w:val="00D62931"/>
    <w:rsid w:val="00D63A40"/>
    <w:rsid w:val="00D63D91"/>
    <w:rsid w:val="00D63F93"/>
    <w:rsid w:val="00D64435"/>
    <w:rsid w:val="00D6476A"/>
    <w:rsid w:val="00D64B9D"/>
    <w:rsid w:val="00D64DBE"/>
    <w:rsid w:val="00D64FEF"/>
    <w:rsid w:val="00D6517D"/>
    <w:rsid w:val="00D651D9"/>
    <w:rsid w:val="00D65329"/>
    <w:rsid w:val="00D65367"/>
    <w:rsid w:val="00D6538B"/>
    <w:rsid w:val="00D655A9"/>
    <w:rsid w:val="00D65654"/>
    <w:rsid w:val="00D6580F"/>
    <w:rsid w:val="00D66470"/>
    <w:rsid w:val="00D668AB"/>
    <w:rsid w:val="00D66FA9"/>
    <w:rsid w:val="00D6722F"/>
    <w:rsid w:val="00D70280"/>
    <w:rsid w:val="00D70386"/>
    <w:rsid w:val="00D704BA"/>
    <w:rsid w:val="00D708C3"/>
    <w:rsid w:val="00D7098F"/>
    <w:rsid w:val="00D709B5"/>
    <w:rsid w:val="00D70A52"/>
    <w:rsid w:val="00D70E25"/>
    <w:rsid w:val="00D70F89"/>
    <w:rsid w:val="00D712AD"/>
    <w:rsid w:val="00D71AF8"/>
    <w:rsid w:val="00D71D8F"/>
    <w:rsid w:val="00D71DF7"/>
    <w:rsid w:val="00D71EA6"/>
    <w:rsid w:val="00D723F0"/>
    <w:rsid w:val="00D729F5"/>
    <w:rsid w:val="00D72AC6"/>
    <w:rsid w:val="00D72F9E"/>
    <w:rsid w:val="00D73139"/>
    <w:rsid w:val="00D732F9"/>
    <w:rsid w:val="00D73308"/>
    <w:rsid w:val="00D73C71"/>
    <w:rsid w:val="00D73F0A"/>
    <w:rsid w:val="00D73FBC"/>
    <w:rsid w:val="00D74273"/>
    <w:rsid w:val="00D74A41"/>
    <w:rsid w:val="00D74C5F"/>
    <w:rsid w:val="00D74D19"/>
    <w:rsid w:val="00D750EE"/>
    <w:rsid w:val="00D75414"/>
    <w:rsid w:val="00D756BC"/>
    <w:rsid w:val="00D75A9E"/>
    <w:rsid w:val="00D75F9F"/>
    <w:rsid w:val="00D76184"/>
    <w:rsid w:val="00D762A5"/>
    <w:rsid w:val="00D76A39"/>
    <w:rsid w:val="00D76B3B"/>
    <w:rsid w:val="00D76D5C"/>
    <w:rsid w:val="00D76FC0"/>
    <w:rsid w:val="00D77470"/>
    <w:rsid w:val="00D77B56"/>
    <w:rsid w:val="00D80698"/>
    <w:rsid w:val="00D808B8"/>
    <w:rsid w:val="00D8155A"/>
    <w:rsid w:val="00D8174C"/>
    <w:rsid w:val="00D826CE"/>
    <w:rsid w:val="00D84041"/>
    <w:rsid w:val="00D84283"/>
    <w:rsid w:val="00D84458"/>
    <w:rsid w:val="00D8446C"/>
    <w:rsid w:val="00D846F6"/>
    <w:rsid w:val="00D84846"/>
    <w:rsid w:val="00D84B95"/>
    <w:rsid w:val="00D8566F"/>
    <w:rsid w:val="00D856D6"/>
    <w:rsid w:val="00D85A00"/>
    <w:rsid w:val="00D862AE"/>
    <w:rsid w:val="00D866C0"/>
    <w:rsid w:val="00D867CD"/>
    <w:rsid w:val="00D86A8F"/>
    <w:rsid w:val="00D86C1D"/>
    <w:rsid w:val="00D86C34"/>
    <w:rsid w:val="00D86E53"/>
    <w:rsid w:val="00D870FF"/>
    <w:rsid w:val="00D87243"/>
    <w:rsid w:val="00D87FE7"/>
    <w:rsid w:val="00D901F4"/>
    <w:rsid w:val="00D90298"/>
    <w:rsid w:val="00D904FC"/>
    <w:rsid w:val="00D90F32"/>
    <w:rsid w:val="00D9105B"/>
    <w:rsid w:val="00D9140B"/>
    <w:rsid w:val="00D91593"/>
    <w:rsid w:val="00D917CD"/>
    <w:rsid w:val="00D91F11"/>
    <w:rsid w:val="00D92395"/>
    <w:rsid w:val="00D92C03"/>
    <w:rsid w:val="00D92E14"/>
    <w:rsid w:val="00D9311C"/>
    <w:rsid w:val="00D9325B"/>
    <w:rsid w:val="00D93783"/>
    <w:rsid w:val="00D93C91"/>
    <w:rsid w:val="00D93DC4"/>
    <w:rsid w:val="00D943C1"/>
    <w:rsid w:val="00D94C9D"/>
    <w:rsid w:val="00D95045"/>
    <w:rsid w:val="00D9506E"/>
    <w:rsid w:val="00D95190"/>
    <w:rsid w:val="00D95256"/>
    <w:rsid w:val="00D953B9"/>
    <w:rsid w:val="00D954E7"/>
    <w:rsid w:val="00D957DC"/>
    <w:rsid w:val="00D965B0"/>
    <w:rsid w:val="00D967F1"/>
    <w:rsid w:val="00D9701C"/>
    <w:rsid w:val="00D970DB"/>
    <w:rsid w:val="00D9757B"/>
    <w:rsid w:val="00D97CA7"/>
    <w:rsid w:val="00D97E13"/>
    <w:rsid w:val="00D97EE7"/>
    <w:rsid w:val="00DA0002"/>
    <w:rsid w:val="00DA0AF8"/>
    <w:rsid w:val="00DA0D60"/>
    <w:rsid w:val="00DA11AA"/>
    <w:rsid w:val="00DA1AA1"/>
    <w:rsid w:val="00DA1AD0"/>
    <w:rsid w:val="00DA1B8D"/>
    <w:rsid w:val="00DA1CEE"/>
    <w:rsid w:val="00DA1D41"/>
    <w:rsid w:val="00DA262C"/>
    <w:rsid w:val="00DA271C"/>
    <w:rsid w:val="00DA2C97"/>
    <w:rsid w:val="00DA2D3F"/>
    <w:rsid w:val="00DA3712"/>
    <w:rsid w:val="00DA3C7D"/>
    <w:rsid w:val="00DA3F9B"/>
    <w:rsid w:val="00DA4477"/>
    <w:rsid w:val="00DA53CA"/>
    <w:rsid w:val="00DA553D"/>
    <w:rsid w:val="00DA5713"/>
    <w:rsid w:val="00DA5A22"/>
    <w:rsid w:val="00DA5BD2"/>
    <w:rsid w:val="00DA5D28"/>
    <w:rsid w:val="00DA6015"/>
    <w:rsid w:val="00DA6018"/>
    <w:rsid w:val="00DA6625"/>
    <w:rsid w:val="00DA66C3"/>
    <w:rsid w:val="00DA6879"/>
    <w:rsid w:val="00DA6987"/>
    <w:rsid w:val="00DA6A59"/>
    <w:rsid w:val="00DA6A5B"/>
    <w:rsid w:val="00DA6CF6"/>
    <w:rsid w:val="00DA6FF3"/>
    <w:rsid w:val="00DA7144"/>
    <w:rsid w:val="00DA7260"/>
    <w:rsid w:val="00DA7877"/>
    <w:rsid w:val="00DB0DD1"/>
    <w:rsid w:val="00DB1204"/>
    <w:rsid w:val="00DB1541"/>
    <w:rsid w:val="00DB15F7"/>
    <w:rsid w:val="00DB16BB"/>
    <w:rsid w:val="00DB1CEE"/>
    <w:rsid w:val="00DB1E70"/>
    <w:rsid w:val="00DB265D"/>
    <w:rsid w:val="00DB2B94"/>
    <w:rsid w:val="00DB39A3"/>
    <w:rsid w:val="00DB3E1E"/>
    <w:rsid w:val="00DB40EF"/>
    <w:rsid w:val="00DB40F5"/>
    <w:rsid w:val="00DB5269"/>
    <w:rsid w:val="00DB5757"/>
    <w:rsid w:val="00DB58B4"/>
    <w:rsid w:val="00DB5931"/>
    <w:rsid w:val="00DB5D2E"/>
    <w:rsid w:val="00DB5FC6"/>
    <w:rsid w:val="00DB6071"/>
    <w:rsid w:val="00DB61A2"/>
    <w:rsid w:val="00DB62B0"/>
    <w:rsid w:val="00DB690C"/>
    <w:rsid w:val="00DB6B34"/>
    <w:rsid w:val="00DB6B6D"/>
    <w:rsid w:val="00DB701A"/>
    <w:rsid w:val="00DB779E"/>
    <w:rsid w:val="00DB77DC"/>
    <w:rsid w:val="00DB7F90"/>
    <w:rsid w:val="00DC0513"/>
    <w:rsid w:val="00DC0DFF"/>
    <w:rsid w:val="00DC1090"/>
    <w:rsid w:val="00DC133F"/>
    <w:rsid w:val="00DC1618"/>
    <w:rsid w:val="00DC1858"/>
    <w:rsid w:val="00DC1B78"/>
    <w:rsid w:val="00DC20DF"/>
    <w:rsid w:val="00DC22F9"/>
    <w:rsid w:val="00DC2B68"/>
    <w:rsid w:val="00DC2BC1"/>
    <w:rsid w:val="00DC2C3A"/>
    <w:rsid w:val="00DC2EFD"/>
    <w:rsid w:val="00DC30E2"/>
    <w:rsid w:val="00DC3256"/>
    <w:rsid w:val="00DC37DD"/>
    <w:rsid w:val="00DC38FF"/>
    <w:rsid w:val="00DC43CA"/>
    <w:rsid w:val="00DC473F"/>
    <w:rsid w:val="00DC4949"/>
    <w:rsid w:val="00DC4A1A"/>
    <w:rsid w:val="00DC4D4B"/>
    <w:rsid w:val="00DC4EC2"/>
    <w:rsid w:val="00DC4F0F"/>
    <w:rsid w:val="00DC500A"/>
    <w:rsid w:val="00DC5032"/>
    <w:rsid w:val="00DC51DD"/>
    <w:rsid w:val="00DC52E4"/>
    <w:rsid w:val="00DC539E"/>
    <w:rsid w:val="00DC53D0"/>
    <w:rsid w:val="00DC54C7"/>
    <w:rsid w:val="00DC58CB"/>
    <w:rsid w:val="00DC5A4E"/>
    <w:rsid w:val="00DC6097"/>
    <w:rsid w:val="00DC6610"/>
    <w:rsid w:val="00DC68AD"/>
    <w:rsid w:val="00DC6BC0"/>
    <w:rsid w:val="00DC6F5D"/>
    <w:rsid w:val="00DC737A"/>
    <w:rsid w:val="00DC7460"/>
    <w:rsid w:val="00DC75DC"/>
    <w:rsid w:val="00DC76EE"/>
    <w:rsid w:val="00DC7758"/>
    <w:rsid w:val="00DD0915"/>
    <w:rsid w:val="00DD1217"/>
    <w:rsid w:val="00DD12F2"/>
    <w:rsid w:val="00DD16D2"/>
    <w:rsid w:val="00DD18C3"/>
    <w:rsid w:val="00DD18EB"/>
    <w:rsid w:val="00DD1C8E"/>
    <w:rsid w:val="00DD1D7A"/>
    <w:rsid w:val="00DD1FA0"/>
    <w:rsid w:val="00DD213E"/>
    <w:rsid w:val="00DD2333"/>
    <w:rsid w:val="00DD2D40"/>
    <w:rsid w:val="00DD2F95"/>
    <w:rsid w:val="00DD3137"/>
    <w:rsid w:val="00DD31D7"/>
    <w:rsid w:val="00DD3A93"/>
    <w:rsid w:val="00DD4AFE"/>
    <w:rsid w:val="00DD50AB"/>
    <w:rsid w:val="00DD5650"/>
    <w:rsid w:val="00DD5A97"/>
    <w:rsid w:val="00DD5CCF"/>
    <w:rsid w:val="00DD6703"/>
    <w:rsid w:val="00DD6F1F"/>
    <w:rsid w:val="00DD722A"/>
    <w:rsid w:val="00DD74E9"/>
    <w:rsid w:val="00DD7741"/>
    <w:rsid w:val="00DD7827"/>
    <w:rsid w:val="00DD7B0E"/>
    <w:rsid w:val="00DE00AC"/>
    <w:rsid w:val="00DE05E7"/>
    <w:rsid w:val="00DE0710"/>
    <w:rsid w:val="00DE07F3"/>
    <w:rsid w:val="00DE0ECE"/>
    <w:rsid w:val="00DE1806"/>
    <w:rsid w:val="00DE1A12"/>
    <w:rsid w:val="00DE2383"/>
    <w:rsid w:val="00DE24DE"/>
    <w:rsid w:val="00DE25AD"/>
    <w:rsid w:val="00DE2D43"/>
    <w:rsid w:val="00DE2DED"/>
    <w:rsid w:val="00DE30F8"/>
    <w:rsid w:val="00DE35AD"/>
    <w:rsid w:val="00DE3C05"/>
    <w:rsid w:val="00DE401E"/>
    <w:rsid w:val="00DE40AD"/>
    <w:rsid w:val="00DE4F66"/>
    <w:rsid w:val="00DE5A9F"/>
    <w:rsid w:val="00DE5E97"/>
    <w:rsid w:val="00DE6D88"/>
    <w:rsid w:val="00DE72AE"/>
    <w:rsid w:val="00DE7522"/>
    <w:rsid w:val="00DF03F0"/>
    <w:rsid w:val="00DF0590"/>
    <w:rsid w:val="00DF0700"/>
    <w:rsid w:val="00DF081B"/>
    <w:rsid w:val="00DF083B"/>
    <w:rsid w:val="00DF0E0B"/>
    <w:rsid w:val="00DF11DD"/>
    <w:rsid w:val="00DF161B"/>
    <w:rsid w:val="00DF17E0"/>
    <w:rsid w:val="00DF18DE"/>
    <w:rsid w:val="00DF1C9A"/>
    <w:rsid w:val="00DF25BC"/>
    <w:rsid w:val="00DF2C41"/>
    <w:rsid w:val="00DF30F6"/>
    <w:rsid w:val="00DF36B5"/>
    <w:rsid w:val="00DF3817"/>
    <w:rsid w:val="00DF389B"/>
    <w:rsid w:val="00DF3C8B"/>
    <w:rsid w:val="00DF3F52"/>
    <w:rsid w:val="00DF42E9"/>
    <w:rsid w:val="00DF4DE6"/>
    <w:rsid w:val="00DF50B7"/>
    <w:rsid w:val="00DF55DA"/>
    <w:rsid w:val="00DF5A02"/>
    <w:rsid w:val="00DF5E08"/>
    <w:rsid w:val="00DF6361"/>
    <w:rsid w:val="00DF6429"/>
    <w:rsid w:val="00DF6526"/>
    <w:rsid w:val="00DF699F"/>
    <w:rsid w:val="00DF6D4A"/>
    <w:rsid w:val="00DF6E8A"/>
    <w:rsid w:val="00DF6F94"/>
    <w:rsid w:val="00DF7296"/>
    <w:rsid w:val="00DF72AF"/>
    <w:rsid w:val="00DF77C5"/>
    <w:rsid w:val="00DF7AB0"/>
    <w:rsid w:val="00DF7BCF"/>
    <w:rsid w:val="00E001D7"/>
    <w:rsid w:val="00E0048C"/>
    <w:rsid w:val="00E00552"/>
    <w:rsid w:val="00E00BF0"/>
    <w:rsid w:val="00E00ED8"/>
    <w:rsid w:val="00E00FE4"/>
    <w:rsid w:val="00E017FB"/>
    <w:rsid w:val="00E026F2"/>
    <w:rsid w:val="00E0275F"/>
    <w:rsid w:val="00E02C9D"/>
    <w:rsid w:val="00E02D5B"/>
    <w:rsid w:val="00E02F86"/>
    <w:rsid w:val="00E03763"/>
    <w:rsid w:val="00E038F4"/>
    <w:rsid w:val="00E03F37"/>
    <w:rsid w:val="00E0406E"/>
    <w:rsid w:val="00E040A1"/>
    <w:rsid w:val="00E043C6"/>
    <w:rsid w:val="00E04A0A"/>
    <w:rsid w:val="00E0596B"/>
    <w:rsid w:val="00E06077"/>
    <w:rsid w:val="00E068DE"/>
    <w:rsid w:val="00E06AC2"/>
    <w:rsid w:val="00E075AA"/>
    <w:rsid w:val="00E0789D"/>
    <w:rsid w:val="00E10534"/>
    <w:rsid w:val="00E10589"/>
    <w:rsid w:val="00E10D93"/>
    <w:rsid w:val="00E11510"/>
    <w:rsid w:val="00E115BF"/>
    <w:rsid w:val="00E1164D"/>
    <w:rsid w:val="00E11E9B"/>
    <w:rsid w:val="00E11FC0"/>
    <w:rsid w:val="00E12220"/>
    <w:rsid w:val="00E12248"/>
    <w:rsid w:val="00E12639"/>
    <w:rsid w:val="00E1274B"/>
    <w:rsid w:val="00E12808"/>
    <w:rsid w:val="00E12D5E"/>
    <w:rsid w:val="00E1322A"/>
    <w:rsid w:val="00E13406"/>
    <w:rsid w:val="00E13459"/>
    <w:rsid w:val="00E13693"/>
    <w:rsid w:val="00E1396A"/>
    <w:rsid w:val="00E149A0"/>
    <w:rsid w:val="00E154A4"/>
    <w:rsid w:val="00E154C1"/>
    <w:rsid w:val="00E15FC5"/>
    <w:rsid w:val="00E17375"/>
    <w:rsid w:val="00E175C4"/>
    <w:rsid w:val="00E176F9"/>
    <w:rsid w:val="00E20255"/>
    <w:rsid w:val="00E20F5F"/>
    <w:rsid w:val="00E20F74"/>
    <w:rsid w:val="00E21546"/>
    <w:rsid w:val="00E21941"/>
    <w:rsid w:val="00E21B70"/>
    <w:rsid w:val="00E2208E"/>
    <w:rsid w:val="00E222E6"/>
    <w:rsid w:val="00E22541"/>
    <w:rsid w:val="00E22D12"/>
    <w:rsid w:val="00E22D38"/>
    <w:rsid w:val="00E22DE9"/>
    <w:rsid w:val="00E22F28"/>
    <w:rsid w:val="00E231CC"/>
    <w:rsid w:val="00E2342B"/>
    <w:rsid w:val="00E244BB"/>
    <w:rsid w:val="00E244FB"/>
    <w:rsid w:val="00E2491C"/>
    <w:rsid w:val="00E24DD9"/>
    <w:rsid w:val="00E250C3"/>
    <w:rsid w:val="00E2535D"/>
    <w:rsid w:val="00E25435"/>
    <w:rsid w:val="00E256D1"/>
    <w:rsid w:val="00E257D1"/>
    <w:rsid w:val="00E2590F"/>
    <w:rsid w:val="00E2598F"/>
    <w:rsid w:val="00E26103"/>
    <w:rsid w:val="00E26165"/>
    <w:rsid w:val="00E26398"/>
    <w:rsid w:val="00E263B5"/>
    <w:rsid w:val="00E266C6"/>
    <w:rsid w:val="00E267E0"/>
    <w:rsid w:val="00E26AAC"/>
    <w:rsid w:val="00E26B57"/>
    <w:rsid w:val="00E26C7C"/>
    <w:rsid w:val="00E27105"/>
    <w:rsid w:val="00E27E6A"/>
    <w:rsid w:val="00E30504"/>
    <w:rsid w:val="00E305C1"/>
    <w:rsid w:val="00E30927"/>
    <w:rsid w:val="00E3101B"/>
    <w:rsid w:val="00E31470"/>
    <w:rsid w:val="00E31727"/>
    <w:rsid w:val="00E318E2"/>
    <w:rsid w:val="00E31AF5"/>
    <w:rsid w:val="00E3203D"/>
    <w:rsid w:val="00E32398"/>
    <w:rsid w:val="00E33613"/>
    <w:rsid w:val="00E337D9"/>
    <w:rsid w:val="00E3418C"/>
    <w:rsid w:val="00E34A3F"/>
    <w:rsid w:val="00E35277"/>
    <w:rsid w:val="00E3543A"/>
    <w:rsid w:val="00E35CE4"/>
    <w:rsid w:val="00E35D8C"/>
    <w:rsid w:val="00E3658E"/>
    <w:rsid w:val="00E36E0E"/>
    <w:rsid w:val="00E36F55"/>
    <w:rsid w:val="00E3747A"/>
    <w:rsid w:val="00E37A66"/>
    <w:rsid w:val="00E37E5B"/>
    <w:rsid w:val="00E403DB"/>
    <w:rsid w:val="00E404B1"/>
    <w:rsid w:val="00E404BB"/>
    <w:rsid w:val="00E40F2E"/>
    <w:rsid w:val="00E413AF"/>
    <w:rsid w:val="00E417EB"/>
    <w:rsid w:val="00E41AB5"/>
    <w:rsid w:val="00E42F03"/>
    <w:rsid w:val="00E430CF"/>
    <w:rsid w:val="00E430DF"/>
    <w:rsid w:val="00E43858"/>
    <w:rsid w:val="00E44287"/>
    <w:rsid w:val="00E442C1"/>
    <w:rsid w:val="00E445ED"/>
    <w:rsid w:val="00E44950"/>
    <w:rsid w:val="00E44C48"/>
    <w:rsid w:val="00E4527B"/>
    <w:rsid w:val="00E4533C"/>
    <w:rsid w:val="00E4553B"/>
    <w:rsid w:val="00E455CE"/>
    <w:rsid w:val="00E455D2"/>
    <w:rsid w:val="00E45C41"/>
    <w:rsid w:val="00E45C89"/>
    <w:rsid w:val="00E460D5"/>
    <w:rsid w:val="00E4629D"/>
    <w:rsid w:val="00E4651A"/>
    <w:rsid w:val="00E46AD4"/>
    <w:rsid w:val="00E5038E"/>
    <w:rsid w:val="00E504C3"/>
    <w:rsid w:val="00E50E1B"/>
    <w:rsid w:val="00E50FB3"/>
    <w:rsid w:val="00E51445"/>
    <w:rsid w:val="00E51D6F"/>
    <w:rsid w:val="00E52111"/>
    <w:rsid w:val="00E526EE"/>
    <w:rsid w:val="00E527FD"/>
    <w:rsid w:val="00E52848"/>
    <w:rsid w:val="00E53244"/>
    <w:rsid w:val="00E533ED"/>
    <w:rsid w:val="00E536B2"/>
    <w:rsid w:val="00E5385A"/>
    <w:rsid w:val="00E54765"/>
    <w:rsid w:val="00E5489A"/>
    <w:rsid w:val="00E5489E"/>
    <w:rsid w:val="00E5492A"/>
    <w:rsid w:val="00E54939"/>
    <w:rsid w:val="00E54E1E"/>
    <w:rsid w:val="00E54E5D"/>
    <w:rsid w:val="00E5510E"/>
    <w:rsid w:val="00E55412"/>
    <w:rsid w:val="00E55B25"/>
    <w:rsid w:val="00E55C3A"/>
    <w:rsid w:val="00E5600B"/>
    <w:rsid w:val="00E56180"/>
    <w:rsid w:val="00E5642A"/>
    <w:rsid w:val="00E5665C"/>
    <w:rsid w:val="00E56A0F"/>
    <w:rsid w:val="00E56C45"/>
    <w:rsid w:val="00E57192"/>
    <w:rsid w:val="00E575C7"/>
    <w:rsid w:val="00E57666"/>
    <w:rsid w:val="00E576A1"/>
    <w:rsid w:val="00E57AB7"/>
    <w:rsid w:val="00E57B86"/>
    <w:rsid w:val="00E61070"/>
    <w:rsid w:val="00E613B8"/>
    <w:rsid w:val="00E61CC2"/>
    <w:rsid w:val="00E61D22"/>
    <w:rsid w:val="00E61D2D"/>
    <w:rsid w:val="00E626FF"/>
    <w:rsid w:val="00E63622"/>
    <w:rsid w:val="00E6391B"/>
    <w:rsid w:val="00E63B81"/>
    <w:rsid w:val="00E63D73"/>
    <w:rsid w:val="00E64091"/>
    <w:rsid w:val="00E64761"/>
    <w:rsid w:val="00E64F73"/>
    <w:rsid w:val="00E6529E"/>
    <w:rsid w:val="00E656F3"/>
    <w:rsid w:val="00E65934"/>
    <w:rsid w:val="00E65BDF"/>
    <w:rsid w:val="00E66096"/>
    <w:rsid w:val="00E66179"/>
    <w:rsid w:val="00E666EC"/>
    <w:rsid w:val="00E671A2"/>
    <w:rsid w:val="00E67845"/>
    <w:rsid w:val="00E67F31"/>
    <w:rsid w:val="00E67F3C"/>
    <w:rsid w:val="00E703FA"/>
    <w:rsid w:val="00E7058D"/>
    <w:rsid w:val="00E70798"/>
    <w:rsid w:val="00E70F2D"/>
    <w:rsid w:val="00E712A6"/>
    <w:rsid w:val="00E72A1B"/>
    <w:rsid w:val="00E72ACA"/>
    <w:rsid w:val="00E72CA1"/>
    <w:rsid w:val="00E72D4B"/>
    <w:rsid w:val="00E72F91"/>
    <w:rsid w:val="00E73548"/>
    <w:rsid w:val="00E73C73"/>
    <w:rsid w:val="00E73C95"/>
    <w:rsid w:val="00E7411E"/>
    <w:rsid w:val="00E74550"/>
    <w:rsid w:val="00E75027"/>
    <w:rsid w:val="00E75192"/>
    <w:rsid w:val="00E75378"/>
    <w:rsid w:val="00E753DB"/>
    <w:rsid w:val="00E757C4"/>
    <w:rsid w:val="00E75AB2"/>
    <w:rsid w:val="00E75CB0"/>
    <w:rsid w:val="00E76498"/>
    <w:rsid w:val="00E76B84"/>
    <w:rsid w:val="00E76ECF"/>
    <w:rsid w:val="00E7731B"/>
    <w:rsid w:val="00E779EA"/>
    <w:rsid w:val="00E77E52"/>
    <w:rsid w:val="00E77EA2"/>
    <w:rsid w:val="00E800D3"/>
    <w:rsid w:val="00E802B6"/>
    <w:rsid w:val="00E803B0"/>
    <w:rsid w:val="00E80A02"/>
    <w:rsid w:val="00E81084"/>
    <w:rsid w:val="00E81156"/>
    <w:rsid w:val="00E813D5"/>
    <w:rsid w:val="00E81936"/>
    <w:rsid w:val="00E81B01"/>
    <w:rsid w:val="00E81B7E"/>
    <w:rsid w:val="00E81DAA"/>
    <w:rsid w:val="00E82731"/>
    <w:rsid w:val="00E82993"/>
    <w:rsid w:val="00E82BD1"/>
    <w:rsid w:val="00E83165"/>
    <w:rsid w:val="00E831E3"/>
    <w:rsid w:val="00E836DC"/>
    <w:rsid w:val="00E83778"/>
    <w:rsid w:val="00E837EE"/>
    <w:rsid w:val="00E83B2D"/>
    <w:rsid w:val="00E83B95"/>
    <w:rsid w:val="00E84200"/>
    <w:rsid w:val="00E843DE"/>
    <w:rsid w:val="00E84434"/>
    <w:rsid w:val="00E85962"/>
    <w:rsid w:val="00E859FC"/>
    <w:rsid w:val="00E85A3E"/>
    <w:rsid w:val="00E85D3C"/>
    <w:rsid w:val="00E861F6"/>
    <w:rsid w:val="00E862C5"/>
    <w:rsid w:val="00E868E6"/>
    <w:rsid w:val="00E87241"/>
    <w:rsid w:val="00E872AB"/>
    <w:rsid w:val="00E872FE"/>
    <w:rsid w:val="00E876A2"/>
    <w:rsid w:val="00E87924"/>
    <w:rsid w:val="00E87C95"/>
    <w:rsid w:val="00E9033C"/>
    <w:rsid w:val="00E9073E"/>
    <w:rsid w:val="00E91472"/>
    <w:rsid w:val="00E919B4"/>
    <w:rsid w:val="00E91D1E"/>
    <w:rsid w:val="00E9204D"/>
    <w:rsid w:val="00E92184"/>
    <w:rsid w:val="00E9222E"/>
    <w:rsid w:val="00E92702"/>
    <w:rsid w:val="00E927D2"/>
    <w:rsid w:val="00E92A68"/>
    <w:rsid w:val="00E9305D"/>
    <w:rsid w:val="00E932C8"/>
    <w:rsid w:val="00E939FD"/>
    <w:rsid w:val="00E942A4"/>
    <w:rsid w:val="00E9444E"/>
    <w:rsid w:val="00E948F8"/>
    <w:rsid w:val="00E949C4"/>
    <w:rsid w:val="00E94DF0"/>
    <w:rsid w:val="00E94E47"/>
    <w:rsid w:val="00E94F81"/>
    <w:rsid w:val="00E95027"/>
    <w:rsid w:val="00E95CE6"/>
    <w:rsid w:val="00E9623C"/>
    <w:rsid w:val="00E9635E"/>
    <w:rsid w:val="00E966E9"/>
    <w:rsid w:val="00E96903"/>
    <w:rsid w:val="00E96B92"/>
    <w:rsid w:val="00E96C3F"/>
    <w:rsid w:val="00E96CDF"/>
    <w:rsid w:val="00E96CEA"/>
    <w:rsid w:val="00E972F5"/>
    <w:rsid w:val="00E978C3"/>
    <w:rsid w:val="00E97F90"/>
    <w:rsid w:val="00EA0EA1"/>
    <w:rsid w:val="00EA12F7"/>
    <w:rsid w:val="00EA1B8F"/>
    <w:rsid w:val="00EA1E29"/>
    <w:rsid w:val="00EA1EC2"/>
    <w:rsid w:val="00EA222B"/>
    <w:rsid w:val="00EA2A2F"/>
    <w:rsid w:val="00EA3513"/>
    <w:rsid w:val="00EA3BF4"/>
    <w:rsid w:val="00EA3FD6"/>
    <w:rsid w:val="00EA4183"/>
    <w:rsid w:val="00EA44FC"/>
    <w:rsid w:val="00EA4611"/>
    <w:rsid w:val="00EA5393"/>
    <w:rsid w:val="00EA547B"/>
    <w:rsid w:val="00EA576A"/>
    <w:rsid w:val="00EA57DB"/>
    <w:rsid w:val="00EA5803"/>
    <w:rsid w:val="00EA592C"/>
    <w:rsid w:val="00EA5DD3"/>
    <w:rsid w:val="00EA62C7"/>
    <w:rsid w:val="00EA63A6"/>
    <w:rsid w:val="00EA63F5"/>
    <w:rsid w:val="00EA63FA"/>
    <w:rsid w:val="00EA65F1"/>
    <w:rsid w:val="00EA6EE9"/>
    <w:rsid w:val="00EA7309"/>
    <w:rsid w:val="00EA7636"/>
    <w:rsid w:val="00EA7637"/>
    <w:rsid w:val="00EA7948"/>
    <w:rsid w:val="00EA7961"/>
    <w:rsid w:val="00EA7CCB"/>
    <w:rsid w:val="00EA7D53"/>
    <w:rsid w:val="00EA7FB5"/>
    <w:rsid w:val="00EB071A"/>
    <w:rsid w:val="00EB09ED"/>
    <w:rsid w:val="00EB0E7A"/>
    <w:rsid w:val="00EB0F24"/>
    <w:rsid w:val="00EB1763"/>
    <w:rsid w:val="00EB1A8B"/>
    <w:rsid w:val="00EB1BC2"/>
    <w:rsid w:val="00EB2524"/>
    <w:rsid w:val="00EB2648"/>
    <w:rsid w:val="00EB2686"/>
    <w:rsid w:val="00EB26C7"/>
    <w:rsid w:val="00EB2752"/>
    <w:rsid w:val="00EB2F45"/>
    <w:rsid w:val="00EB34C8"/>
    <w:rsid w:val="00EB3BE8"/>
    <w:rsid w:val="00EB44AB"/>
    <w:rsid w:val="00EB47DB"/>
    <w:rsid w:val="00EB483E"/>
    <w:rsid w:val="00EB4B3A"/>
    <w:rsid w:val="00EB4D99"/>
    <w:rsid w:val="00EB52FE"/>
    <w:rsid w:val="00EB541D"/>
    <w:rsid w:val="00EB550B"/>
    <w:rsid w:val="00EB55E0"/>
    <w:rsid w:val="00EB5FA8"/>
    <w:rsid w:val="00EB686B"/>
    <w:rsid w:val="00EB696F"/>
    <w:rsid w:val="00EB6BFE"/>
    <w:rsid w:val="00EB7161"/>
    <w:rsid w:val="00EB72EC"/>
    <w:rsid w:val="00EB76C9"/>
    <w:rsid w:val="00EB7707"/>
    <w:rsid w:val="00EB7FD1"/>
    <w:rsid w:val="00EC010B"/>
    <w:rsid w:val="00EC0594"/>
    <w:rsid w:val="00EC06EF"/>
    <w:rsid w:val="00EC08E5"/>
    <w:rsid w:val="00EC0B25"/>
    <w:rsid w:val="00EC1A2A"/>
    <w:rsid w:val="00EC1CFE"/>
    <w:rsid w:val="00EC1D2D"/>
    <w:rsid w:val="00EC23C3"/>
    <w:rsid w:val="00EC29EA"/>
    <w:rsid w:val="00EC2AEA"/>
    <w:rsid w:val="00EC2B51"/>
    <w:rsid w:val="00EC3417"/>
    <w:rsid w:val="00EC368B"/>
    <w:rsid w:val="00EC4333"/>
    <w:rsid w:val="00EC48B3"/>
    <w:rsid w:val="00EC48F7"/>
    <w:rsid w:val="00EC49F5"/>
    <w:rsid w:val="00EC5306"/>
    <w:rsid w:val="00EC534A"/>
    <w:rsid w:val="00EC57B3"/>
    <w:rsid w:val="00EC591A"/>
    <w:rsid w:val="00EC5C29"/>
    <w:rsid w:val="00EC5CC5"/>
    <w:rsid w:val="00EC61F8"/>
    <w:rsid w:val="00EC62BD"/>
    <w:rsid w:val="00EC68A9"/>
    <w:rsid w:val="00EC7AD7"/>
    <w:rsid w:val="00EC7F4D"/>
    <w:rsid w:val="00EC7F95"/>
    <w:rsid w:val="00ED000E"/>
    <w:rsid w:val="00ED0890"/>
    <w:rsid w:val="00ED0A91"/>
    <w:rsid w:val="00ED1817"/>
    <w:rsid w:val="00ED1963"/>
    <w:rsid w:val="00ED19B6"/>
    <w:rsid w:val="00ED1B36"/>
    <w:rsid w:val="00ED1E2F"/>
    <w:rsid w:val="00ED239B"/>
    <w:rsid w:val="00ED246A"/>
    <w:rsid w:val="00ED2BF8"/>
    <w:rsid w:val="00ED2D2D"/>
    <w:rsid w:val="00ED33F1"/>
    <w:rsid w:val="00ED3571"/>
    <w:rsid w:val="00ED3658"/>
    <w:rsid w:val="00ED3897"/>
    <w:rsid w:val="00ED398B"/>
    <w:rsid w:val="00ED3BE2"/>
    <w:rsid w:val="00ED42D4"/>
    <w:rsid w:val="00ED44C1"/>
    <w:rsid w:val="00ED4977"/>
    <w:rsid w:val="00ED4AB6"/>
    <w:rsid w:val="00ED4C91"/>
    <w:rsid w:val="00ED4CF7"/>
    <w:rsid w:val="00ED54AF"/>
    <w:rsid w:val="00ED5A2E"/>
    <w:rsid w:val="00ED5C76"/>
    <w:rsid w:val="00ED5DE5"/>
    <w:rsid w:val="00ED63ED"/>
    <w:rsid w:val="00ED6BF6"/>
    <w:rsid w:val="00ED6C10"/>
    <w:rsid w:val="00ED773E"/>
    <w:rsid w:val="00ED79A3"/>
    <w:rsid w:val="00ED7C03"/>
    <w:rsid w:val="00EE00A6"/>
    <w:rsid w:val="00EE03B2"/>
    <w:rsid w:val="00EE0647"/>
    <w:rsid w:val="00EE07F0"/>
    <w:rsid w:val="00EE0B7A"/>
    <w:rsid w:val="00EE0D20"/>
    <w:rsid w:val="00EE0F1E"/>
    <w:rsid w:val="00EE140B"/>
    <w:rsid w:val="00EE150F"/>
    <w:rsid w:val="00EE177C"/>
    <w:rsid w:val="00EE187B"/>
    <w:rsid w:val="00EE1CF9"/>
    <w:rsid w:val="00EE1E76"/>
    <w:rsid w:val="00EE2078"/>
    <w:rsid w:val="00EE2382"/>
    <w:rsid w:val="00EE243A"/>
    <w:rsid w:val="00EE2589"/>
    <w:rsid w:val="00EE2C9C"/>
    <w:rsid w:val="00EE2E8E"/>
    <w:rsid w:val="00EE2FDC"/>
    <w:rsid w:val="00EE3300"/>
    <w:rsid w:val="00EE343A"/>
    <w:rsid w:val="00EE3568"/>
    <w:rsid w:val="00EE3864"/>
    <w:rsid w:val="00EE38D0"/>
    <w:rsid w:val="00EE3FDF"/>
    <w:rsid w:val="00EE4B35"/>
    <w:rsid w:val="00EE5378"/>
    <w:rsid w:val="00EE57AE"/>
    <w:rsid w:val="00EE5E8E"/>
    <w:rsid w:val="00EE60F5"/>
    <w:rsid w:val="00EE7372"/>
    <w:rsid w:val="00EE7C5A"/>
    <w:rsid w:val="00EE7D4E"/>
    <w:rsid w:val="00EE7D5B"/>
    <w:rsid w:val="00EF0155"/>
    <w:rsid w:val="00EF01A1"/>
    <w:rsid w:val="00EF026B"/>
    <w:rsid w:val="00EF03E6"/>
    <w:rsid w:val="00EF0B59"/>
    <w:rsid w:val="00EF1398"/>
    <w:rsid w:val="00EF15E6"/>
    <w:rsid w:val="00EF2323"/>
    <w:rsid w:val="00EF2821"/>
    <w:rsid w:val="00EF28F0"/>
    <w:rsid w:val="00EF2C0C"/>
    <w:rsid w:val="00EF2FE6"/>
    <w:rsid w:val="00EF3245"/>
    <w:rsid w:val="00EF3C21"/>
    <w:rsid w:val="00EF42C1"/>
    <w:rsid w:val="00EF4867"/>
    <w:rsid w:val="00EF4E7E"/>
    <w:rsid w:val="00EF510E"/>
    <w:rsid w:val="00EF53EA"/>
    <w:rsid w:val="00EF59D8"/>
    <w:rsid w:val="00EF5A9E"/>
    <w:rsid w:val="00EF5B8C"/>
    <w:rsid w:val="00EF5B9E"/>
    <w:rsid w:val="00EF5BA9"/>
    <w:rsid w:val="00EF5BAF"/>
    <w:rsid w:val="00EF5DE0"/>
    <w:rsid w:val="00EF5F12"/>
    <w:rsid w:val="00EF6250"/>
    <w:rsid w:val="00EF6CD0"/>
    <w:rsid w:val="00EF7289"/>
    <w:rsid w:val="00EF73C7"/>
    <w:rsid w:val="00EF7A99"/>
    <w:rsid w:val="00F000A0"/>
    <w:rsid w:val="00F002F2"/>
    <w:rsid w:val="00F00690"/>
    <w:rsid w:val="00F007C2"/>
    <w:rsid w:val="00F00D0E"/>
    <w:rsid w:val="00F00E32"/>
    <w:rsid w:val="00F014AB"/>
    <w:rsid w:val="00F016F7"/>
    <w:rsid w:val="00F01813"/>
    <w:rsid w:val="00F01C42"/>
    <w:rsid w:val="00F01D11"/>
    <w:rsid w:val="00F027C8"/>
    <w:rsid w:val="00F0299E"/>
    <w:rsid w:val="00F02EBD"/>
    <w:rsid w:val="00F03144"/>
    <w:rsid w:val="00F032E1"/>
    <w:rsid w:val="00F03670"/>
    <w:rsid w:val="00F0398A"/>
    <w:rsid w:val="00F03D1C"/>
    <w:rsid w:val="00F048C4"/>
    <w:rsid w:val="00F04981"/>
    <w:rsid w:val="00F04F30"/>
    <w:rsid w:val="00F05ED0"/>
    <w:rsid w:val="00F062FB"/>
    <w:rsid w:val="00F06305"/>
    <w:rsid w:val="00F06366"/>
    <w:rsid w:val="00F06581"/>
    <w:rsid w:val="00F065A7"/>
    <w:rsid w:val="00F06725"/>
    <w:rsid w:val="00F0722D"/>
    <w:rsid w:val="00F07746"/>
    <w:rsid w:val="00F078AC"/>
    <w:rsid w:val="00F07B46"/>
    <w:rsid w:val="00F07CF3"/>
    <w:rsid w:val="00F10233"/>
    <w:rsid w:val="00F10341"/>
    <w:rsid w:val="00F10865"/>
    <w:rsid w:val="00F110A5"/>
    <w:rsid w:val="00F11189"/>
    <w:rsid w:val="00F115C7"/>
    <w:rsid w:val="00F11653"/>
    <w:rsid w:val="00F11774"/>
    <w:rsid w:val="00F11A4D"/>
    <w:rsid w:val="00F121FB"/>
    <w:rsid w:val="00F124C9"/>
    <w:rsid w:val="00F124D4"/>
    <w:rsid w:val="00F1289D"/>
    <w:rsid w:val="00F12ABB"/>
    <w:rsid w:val="00F12ABD"/>
    <w:rsid w:val="00F12CF3"/>
    <w:rsid w:val="00F139ED"/>
    <w:rsid w:val="00F13C33"/>
    <w:rsid w:val="00F13D8C"/>
    <w:rsid w:val="00F13F5B"/>
    <w:rsid w:val="00F14249"/>
    <w:rsid w:val="00F14DCB"/>
    <w:rsid w:val="00F14F93"/>
    <w:rsid w:val="00F15055"/>
    <w:rsid w:val="00F151B5"/>
    <w:rsid w:val="00F15658"/>
    <w:rsid w:val="00F15865"/>
    <w:rsid w:val="00F163F5"/>
    <w:rsid w:val="00F16473"/>
    <w:rsid w:val="00F16529"/>
    <w:rsid w:val="00F16790"/>
    <w:rsid w:val="00F16C2C"/>
    <w:rsid w:val="00F16D97"/>
    <w:rsid w:val="00F16EDB"/>
    <w:rsid w:val="00F17F40"/>
    <w:rsid w:val="00F2001E"/>
    <w:rsid w:val="00F2011C"/>
    <w:rsid w:val="00F201A6"/>
    <w:rsid w:val="00F20AAF"/>
    <w:rsid w:val="00F21627"/>
    <w:rsid w:val="00F21FBF"/>
    <w:rsid w:val="00F225EE"/>
    <w:rsid w:val="00F22DC7"/>
    <w:rsid w:val="00F23218"/>
    <w:rsid w:val="00F233C5"/>
    <w:rsid w:val="00F235BD"/>
    <w:rsid w:val="00F236DD"/>
    <w:rsid w:val="00F23CD4"/>
    <w:rsid w:val="00F2454C"/>
    <w:rsid w:val="00F246B8"/>
    <w:rsid w:val="00F24A43"/>
    <w:rsid w:val="00F24AC4"/>
    <w:rsid w:val="00F24B21"/>
    <w:rsid w:val="00F257F0"/>
    <w:rsid w:val="00F25988"/>
    <w:rsid w:val="00F259A6"/>
    <w:rsid w:val="00F25B7D"/>
    <w:rsid w:val="00F25FDF"/>
    <w:rsid w:val="00F2632C"/>
    <w:rsid w:val="00F2648B"/>
    <w:rsid w:val="00F2668A"/>
    <w:rsid w:val="00F26C64"/>
    <w:rsid w:val="00F26DC5"/>
    <w:rsid w:val="00F272C6"/>
    <w:rsid w:val="00F30091"/>
    <w:rsid w:val="00F300D5"/>
    <w:rsid w:val="00F30183"/>
    <w:rsid w:val="00F305AF"/>
    <w:rsid w:val="00F3087B"/>
    <w:rsid w:val="00F30A64"/>
    <w:rsid w:val="00F30B0D"/>
    <w:rsid w:val="00F30B25"/>
    <w:rsid w:val="00F30CF9"/>
    <w:rsid w:val="00F31676"/>
    <w:rsid w:val="00F316D3"/>
    <w:rsid w:val="00F31701"/>
    <w:rsid w:val="00F319E4"/>
    <w:rsid w:val="00F31A78"/>
    <w:rsid w:val="00F31D8E"/>
    <w:rsid w:val="00F31F53"/>
    <w:rsid w:val="00F324D4"/>
    <w:rsid w:val="00F32628"/>
    <w:rsid w:val="00F3266B"/>
    <w:rsid w:val="00F32738"/>
    <w:rsid w:val="00F3310A"/>
    <w:rsid w:val="00F331BA"/>
    <w:rsid w:val="00F3335F"/>
    <w:rsid w:val="00F33AA4"/>
    <w:rsid w:val="00F3452F"/>
    <w:rsid w:val="00F34566"/>
    <w:rsid w:val="00F35038"/>
    <w:rsid w:val="00F36341"/>
    <w:rsid w:val="00F36483"/>
    <w:rsid w:val="00F3771B"/>
    <w:rsid w:val="00F40011"/>
    <w:rsid w:val="00F40467"/>
    <w:rsid w:val="00F40851"/>
    <w:rsid w:val="00F41AE9"/>
    <w:rsid w:val="00F41F15"/>
    <w:rsid w:val="00F428A5"/>
    <w:rsid w:val="00F4340A"/>
    <w:rsid w:val="00F4384B"/>
    <w:rsid w:val="00F4387F"/>
    <w:rsid w:val="00F4398A"/>
    <w:rsid w:val="00F439CE"/>
    <w:rsid w:val="00F444C4"/>
    <w:rsid w:val="00F446CC"/>
    <w:rsid w:val="00F44A0C"/>
    <w:rsid w:val="00F44B74"/>
    <w:rsid w:val="00F450B8"/>
    <w:rsid w:val="00F45508"/>
    <w:rsid w:val="00F459FF"/>
    <w:rsid w:val="00F45B4F"/>
    <w:rsid w:val="00F464C8"/>
    <w:rsid w:val="00F465B5"/>
    <w:rsid w:val="00F465F0"/>
    <w:rsid w:val="00F468EF"/>
    <w:rsid w:val="00F46DA0"/>
    <w:rsid w:val="00F47865"/>
    <w:rsid w:val="00F47962"/>
    <w:rsid w:val="00F47C6B"/>
    <w:rsid w:val="00F47D90"/>
    <w:rsid w:val="00F47D96"/>
    <w:rsid w:val="00F502EF"/>
    <w:rsid w:val="00F5071B"/>
    <w:rsid w:val="00F50A28"/>
    <w:rsid w:val="00F50B76"/>
    <w:rsid w:val="00F50CDF"/>
    <w:rsid w:val="00F50D1F"/>
    <w:rsid w:val="00F50E50"/>
    <w:rsid w:val="00F50EC7"/>
    <w:rsid w:val="00F5143D"/>
    <w:rsid w:val="00F51622"/>
    <w:rsid w:val="00F51808"/>
    <w:rsid w:val="00F51C75"/>
    <w:rsid w:val="00F5202D"/>
    <w:rsid w:val="00F52485"/>
    <w:rsid w:val="00F5259B"/>
    <w:rsid w:val="00F52615"/>
    <w:rsid w:val="00F52622"/>
    <w:rsid w:val="00F528BD"/>
    <w:rsid w:val="00F52D34"/>
    <w:rsid w:val="00F52F14"/>
    <w:rsid w:val="00F52F5F"/>
    <w:rsid w:val="00F53548"/>
    <w:rsid w:val="00F53C6E"/>
    <w:rsid w:val="00F540B4"/>
    <w:rsid w:val="00F540C3"/>
    <w:rsid w:val="00F54804"/>
    <w:rsid w:val="00F54A97"/>
    <w:rsid w:val="00F5570C"/>
    <w:rsid w:val="00F55811"/>
    <w:rsid w:val="00F55A61"/>
    <w:rsid w:val="00F55EC3"/>
    <w:rsid w:val="00F563C4"/>
    <w:rsid w:val="00F5657E"/>
    <w:rsid w:val="00F56717"/>
    <w:rsid w:val="00F56839"/>
    <w:rsid w:val="00F5703D"/>
    <w:rsid w:val="00F577F0"/>
    <w:rsid w:val="00F57B16"/>
    <w:rsid w:val="00F57CB6"/>
    <w:rsid w:val="00F600FD"/>
    <w:rsid w:val="00F6086E"/>
    <w:rsid w:val="00F60889"/>
    <w:rsid w:val="00F60B98"/>
    <w:rsid w:val="00F60E80"/>
    <w:rsid w:val="00F60F15"/>
    <w:rsid w:val="00F613D5"/>
    <w:rsid w:val="00F6191C"/>
    <w:rsid w:val="00F6215C"/>
    <w:rsid w:val="00F624C7"/>
    <w:rsid w:val="00F629BD"/>
    <w:rsid w:val="00F62A08"/>
    <w:rsid w:val="00F62AE0"/>
    <w:rsid w:val="00F62D2B"/>
    <w:rsid w:val="00F63222"/>
    <w:rsid w:val="00F633F1"/>
    <w:rsid w:val="00F63533"/>
    <w:rsid w:val="00F63851"/>
    <w:rsid w:val="00F641AE"/>
    <w:rsid w:val="00F643CA"/>
    <w:rsid w:val="00F6459A"/>
    <w:rsid w:val="00F64A42"/>
    <w:rsid w:val="00F64CED"/>
    <w:rsid w:val="00F64EB2"/>
    <w:rsid w:val="00F65087"/>
    <w:rsid w:val="00F65511"/>
    <w:rsid w:val="00F65942"/>
    <w:rsid w:val="00F65B09"/>
    <w:rsid w:val="00F65F82"/>
    <w:rsid w:val="00F66F6E"/>
    <w:rsid w:val="00F6760C"/>
    <w:rsid w:val="00F6767E"/>
    <w:rsid w:val="00F676A1"/>
    <w:rsid w:val="00F678EA"/>
    <w:rsid w:val="00F67963"/>
    <w:rsid w:val="00F6798F"/>
    <w:rsid w:val="00F67A47"/>
    <w:rsid w:val="00F70037"/>
    <w:rsid w:val="00F702A6"/>
    <w:rsid w:val="00F70548"/>
    <w:rsid w:val="00F7094A"/>
    <w:rsid w:val="00F709C7"/>
    <w:rsid w:val="00F71160"/>
    <w:rsid w:val="00F713B7"/>
    <w:rsid w:val="00F71AF5"/>
    <w:rsid w:val="00F71B51"/>
    <w:rsid w:val="00F71EB2"/>
    <w:rsid w:val="00F71F59"/>
    <w:rsid w:val="00F72105"/>
    <w:rsid w:val="00F72263"/>
    <w:rsid w:val="00F723C3"/>
    <w:rsid w:val="00F72B3E"/>
    <w:rsid w:val="00F72CB1"/>
    <w:rsid w:val="00F72CCA"/>
    <w:rsid w:val="00F73017"/>
    <w:rsid w:val="00F7308B"/>
    <w:rsid w:val="00F7327F"/>
    <w:rsid w:val="00F74699"/>
    <w:rsid w:val="00F74ADA"/>
    <w:rsid w:val="00F74B39"/>
    <w:rsid w:val="00F74F6E"/>
    <w:rsid w:val="00F7559F"/>
    <w:rsid w:val="00F75E2A"/>
    <w:rsid w:val="00F76209"/>
    <w:rsid w:val="00F76243"/>
    <w:rsid w:val="00F763BE"/>
    <w:rsid w:val="00F76627"/>
    <w:rsid w:val="00F77025"/>
    <w:rsid w:val="00F773C8"/>
    <w:rsid w:val="00F7749A"/>
    <w:rsid w:val="00F775F7"/>
    <w:rsid w:val="00F779AA"/>
    <w:rsid w:val="00F77BD8"/>
    <w:rsid w:val="00F77ECB"/>
    <w:rsid w:val="00F77ED1"/>
    <w:rsid w:val="00F802F1"/>
    <w:rsid w:val="00F803B6"/>
    <w:rsid w:val="00F80467"/>
    <w:rsid w:val="00F80CB6"/>
    <w:rsid w:val="00F80DB2"/>
    <w:rsid w:val="00F80DF4"/>
    <w:rsid w:val="00F80E81"/>
    <w:rsid w:val="00F80EC2"/>
    <w:rsid w:val="00F80FC5"/>
    <w:rsid w:val="00F81111"/>
    <w:rsid w:val="00F818BC"/>
    <w:rsid w:val="00F81F2B"/>
    <w:rsid w:val="00F81F2E"/>
    <w:rsid w:val="00F82055"/>
    <w:rsid w:val="00F8328C"/>
    <w:rsid w:val="00F83685"/>
    <w:rsid w:val="00F837BA"/>
    <w:rsid w:val="00F83885"/>
    <w:rsid w:val="00F83970"/>
    <w:rsid w:val="00F84034"/>
    <w:rsid w:val="00F84242"/>
    <w:rsid w:val="00F84319"/>
    <w:rsid w:val="00F84B44"/>
    <w:rsid w:val="00F84CE6"/>
    <w:rsid w:val="00F850B5"/>
    <w:rsid w:val="00F8524E"/>
    <w:rsid w:val="00F8561E"/>
    <w:rsid w:val="00F8579E"/>
    <w:rsid w:val="00F85C19"/>
    <w:rsid w:val="00F85E46"/>
    <w:rsid w:val="00F85E5C"/>
    <w:rsid w:val="00F8667D"/>
    <w:rsid w:val="00F8686F"/>
    <w:rsid w:val="00F87574"/>
    <w:rsid w:val="00F8789A"/>
    <w:rsid w:val="00F87D12"/>
    <w:rsid w:val="00F901E9"/>
    <w:rsid w:val="00F90484"/>
    <w:rsid w:val="00F907B9"/>
    <w:rsid w:val="00F908FB"/>
    <w:rsid w:val="00F91084"/>
    <w:rsid w:val="00F914F6"/>
    <w:rsid w:val="00F91773"/>
    <w:rsid w:val="00F91D91"/>
    <w:rsid w:val="00F9210C"/>
    <w:rsid w:val="00F921AC"/>
    <w:rsid w:val="00F92552"/>
    <w:rsid w:val="00F9259D"/>
    <w:rsid w:val="00F925C4"/>
    <w:rsid w:val="00F92675"/>
    <w:rsid w:val="00F92C6C"/>
    <w:rsid w:val="00F92D1F"/>
    <w:rsid w:val="00F93494"/>
    <w:rsid w:val="00F94042"/>
    <w:rsid w:val="00F9518B"/>
    <w:rsid w:val="00F9541D"/>
    <w:rsid w:val="00F9546A"/>
    <w:rsid w:val="00F954C8"/>
    <w:rsid w:val="00F95606"/>
    <w:rsid w:val="00F95BB5"/>
    <w:rsid w:val="00F95D1E"/>
    <w:rsid w:val="00F95D4C"/>
    <w:rsid w:val="00F95E1A"/>
    <w:rsid w:val="00F96372"/>
    <w:rsid w:val="00F96403"/>
    <w:rsid w:val="00F9669E"/>
    <w:rsid w:val="00F96B4A"/>
    <w:rsid w:val="00F96B65"/>
    <w:rsid w:val="00F96EEE"/>
    <w:rsid w:val="00F974CC"/>
    <w:rsid w:val="00F97A83"/>
    <w:rsid w:val="00FA0250"/>
    <w:rsid w:val="00FA0688"/>
    <w:rsid w:val="00FA0A03"/>
    <w:rsid w:val="00FA0B1B"/>
    <w:rsid w:val="00FA0E6E"/>
    <w:rsid w:val="00FA0E93"/>
    <w:rsid w:val="00FA10A1"/>
    <w:rsid w:val="00FA1436"/>
    <w:rsid w:val="00FA1BA1"/>
    <w:rsid w:val="00FA2324"/>
    <w:rsid w:val="00FA269E"/>
    <w:rsid w:val="00FA27C0"/>
    <w:rsid w:val="00FA2983"/>
    <w:rsid w:val="00FA2B5F"/>
    <w:rsid w:val="00FA2C07"/>
    <w:rsid w:val="00FA2C61"/>
    <w:rsid w:val="00FA2F5B"/>
    <w:rsid w:val="00FA37D9"/>
    <w:rsid w:val="00FA37E1"/>
    <w:rsid w:val="00FA3D8D"/>
    <w:rsid w:val="00FA47CD"/>
    <w:rsid w:val="00FA53B6"/>
    <w:rsid w:val="00FA56C9"/>
    <w:rsid w:val="00FA59A9"/>
    <w:rsid w:val="00FA5A5A"/>
    <w:rsid w:val="00FA639A"/>
    <w:rsid w:val="00FA63C5"/>
    <w:rsid w:val="00FA6915"/>
    <w:rsid w:val="00FA6993"/>
    <w:rsid w:val="00FA6C8B"/>
    <w:rsid w:val="00FA6FBB"/>
    <w:rsid w:val="00FA7026"/>
    <w:rsid w:val="00FA728E"/>
    <w:rsid w:val="00FA7630"/>
    <w:rsid w:val="00FA7E3A"/>
    <w:rsid w:val="00FA7FB0"/>
    <w:rsid w:val="00FA7FE2"/>
    <w:rsid w:val="00FB0D75"/>
    <w:rsid w:val="00FB10B0"/>
    <w:rsid w:val="00FB10CC"/>
    <w:rsid w:val="00FB1441"/>
    <w:rsid w:val="00FB17DC"/>
    <w:rsid w:val="00FB1859"/>
    <w:rsid w:val="00FB2170"/>
    <w:rsid w:val="00FB29C2"/>
    <w:rsid w:val="00FB29EA"/>
    <w:rsid w:val="00FB3106"/>
    <w:rsid w:val="00FB3398"/>
    <w:rsid w:val="00FB3B0F"/>
    <w:rsid w:val="00FB3BF4"/>
    <w:rsid w:val="00FB3FC0"/>
    <w:rsid w:val="00FB45A6"/>
    <w:rsid w:val="00FB476C"/>
    <w:rsid w:val="00FB4A10"/>
    <w:rsid w:val="00FB5068"/>
    <w:rsid w:val="00FB5099"/>
    <w:rsid w:val="00FB59F5"/>
    <w:rsid w:val="00FB5AB6"/>
    <w:rsid w:val="00FB5AE9"/>
    <w:rsid w:val="00FB620D"/>
    <w:rsid w:val="00FB689D"/>
    <w:rsid w:val="00FB68A1"/>
    <w:rsid w:val="00FB68DD"/>
    <w:rsid w:val="00FB692F"/>
    <w:rsid w:val="00FB6AB5"/>
    <w:rsid w:val="00FB6B87"/>
    <w:rsid w:val="00FB79BD"/>
    <w:rsid w:val="00FB7D1C"/>
    <w:rsid w:val="00FB7EDF"/>
    <w:rsid w:val="00FC007A"/>
    <w:rsid w:val="00FC013D"/>
    <w:rsid w:val="00FC0C22"/>
    <w:rsid w:val="00FC10B6"/>
    <w:rsid w:val="00FC1258"/>
    <w:rsid w:val="00FC12E6"/>
    <w:rsid w:val="00FC13C8"/>
    <w:rsid w:val="00FC1806"/>
    <w:rsid w:val="00FC2A7C"/>
    <w:rsid w:val="00FC34F9"/>
    <w:rsid w:val="00FC3685"/>
    <w:rsid w:val="00FC3773"/>
    <w:rsid w:val="00FC3BE6"/>
    <w:rsid w:val="00FC3DC0"/>
    <w:rsid w:val="00FC46AD"/>
    <w:rsid w:val="00FC4A4E"/>
    <w:rsid w:val="00FC4AB4"/>
    <w:rsid w:val="00FC4F77"/>
    <w:rsid w:val="00FC5385"/>
    <w:rsid w:val="00FC53F8"/>
    <w:rsid w:val="00FC5551"/>
    <w:rsid w:val="00FC5615"/>
    <w:rsid w:val="00FC5E93"/>
    <w:rsid w:val="00FC6528"/>
    <w:rsid w:val="00FC661A"/>
    <w:rsid w:val="00FC684C"/>
    <w:rsid w:val="00FC6A4D"/>
    <w:rsid w:val="00FC6C06"/>
    <w:rsid w:val="00FC7094"/>
    <w:rsid w:val="00FC7164"/>
    <w:rsid w:val="00FC716D"/>
    <w:rsid w:val="00FC75A4"/>
    <w:rsid w:val="00FC7AC1"/>
    <w:rsid w:val="00FC7E7A"/>
    <w:rsid w:val="00FC7ED4"/>
    <w:rsid w:val="00FD0479"/>
    <w:rsid w:val="00FD063D"/>
    <w:rsid w:val="00FD0B35"/>
    <w:rsid w:val="00FD0F00"/>
    <w:rsid w:val="00FD133A"/>
    <w:rsid w:val="00FD14A6"/>
    <w:rsid w:val="00FD18CD"/>
    <w:rsid w:val="00FD1B4C"/>
    <w:rsid w:val="00FD1DC2"/>
    <w:rsid w:val="00FD1E98"/>
    <w:rsid w:val="00FD24BD"/>
    <w:rsid w:val="00FD27B4"/>
    <w:rsid w:val="00FD291A"/>
    <w:rsid w:val="00FD294A"/>
    <w:rsid w:val="00FD369F"/>
    <w:rsid w:val="00FD386F"/>
    <w:rsid w:val="00FD3936"/>
    <w:rsid w:val="00FD3D84"/>
    <w:rsid w:val="00FD419E"/>
    <w:rsid w:val="00FD41FB"/>
    <w:rsid w:val="00FD4DC0"/>
    <w:rsid w:val="00FD4E9B"/>
    <w:rsid w:val="00FD50DE"/>
    <w:rsid w:val="00FD547B"/>
    <w:rsid w:val="00FD5CF8"/>
    <w:rsid w:val="00FD5E03"/>
    <w:rsid w:val="00FD632A"/>
    <w:rsid w:val="00FD6536"/>
    <w:rsid w:val="00FD6864"/>
    <w:rsid w:val="00FD7786"/>
    <w:rsid w:val="00FD7B16"/>
    <w:rsid w:val="00FE029C"/>
    <w:rsid w:val="00FE0A55"/>
    <w:rsid w:val="00FE0D35"/>
    <w:rsid w:val="00FE0D7E"/>
    <w:rsid w:val="00FE1041"/>
    <w:rsid w:val="00FE1045"/>
    <w:rsid w:val="00FE107E"/>
    <w:rsid w:val="00FE1111"/>
    <w:rsid w:val="00FE1596"/>
    <w:rsid w:val="00FE16CF"/>
    <w:rsid w:val="00FE1778"/>
    <w:rsid w:val="00FE1891"/>
    <w:rsid w:val="00FE1946"/>
    <w:rsid w:val="00FE1DEE"/>
    <w:rsid w:val="00FE1E15"/>
    <w:rsid w:val="00FE246C"/>
    <w:rsid w:val="00FE2B84"/>
    <w:rsid w:val="00FE2CEE"/>
    <w:rsid w:val="00FE3217"/>
    <w:rsid w:val="00FE3379"/>
    <w:rsid w:val="00FE389D"/>
    <w:rsid w:val="00FE3D64"/>
    <w:rsid w:val="00FE41EA"/>
    <w:rsid w:val="00FE49D1"/>
    <w:rsid w:val="00FE534E"/>
    <w:rsid w:val="00FE5525"/>
    <w:rsid w:val="00FE5A4F"/>
    <w:rsid w:val="00FE6077"/>
    <w:rsid w:val="00FE60D9"/>
    <w:rsid w:val="00FE626B"/>
    <w:rsid w:val="00FE671B"/>
    <w:rsid w:val="00FE6B36"/>
    <w:rsid w:val="00FE6D91"/>
    <w:rsid w:val="00FE6E80"/>
    <w:rsid w:val="00FE6ED1"/>
    <w:rsid w:val="00FE7899"/>
    <w:rsid w:val="00FE7A7F"/>
    <w:rsid w:val="00FF0000"/>
    <w:rsid w:val="00FF00E2"/>
    <w:rsid w:val="00FF02F3"/>
    <w:rsid w:val="00FF0903"/>
    <w:rsid w:val="00FF0932"/>
    <w:rsid w:val="00FF0E94"/>
    <w:rsid w:val="00FF124A"/>
    <w:rsid w:val="00FF12DB"/>
    <w:rsid w:val="00FF1E84"/>
    <w:rsid w:val="00FF22C5"/>
    <w:rsid w:val="00FF2705"/>
    <w:rsid w:val="00FF2909"/>
    <w:rsid w:val="00FF2C81"/>
    <w:rsid w:val="00FF3119"/>
    <w:rsid w:val="00FF3272"/>
    <w:rsid w:val="00FF3D50"/>
    <w:rsid w:val="00FF42E2"/>
    <w:rsid w:val="00FF4363"/>
    <w:rsid w:val="00FF44B2"/>
    <w:rsid w:val="00FF48BA"/>
    <w:rsid w:val="00FF4928"/>
    <w:rsid w:val="00FF5364"/>
    <w:rsid w:val="00FF5540"/>
    <w:rsid w:val="00FF55BC"/>
    <w:rsid w:val="00FF5623"/>
    <w:rsid w:val="00FF5659"/>
    <w:rsid w:val="00FF6B6F"/>
    <w:rsid w:val="00FF6CFD"/>
    <w:rsid w:val="00FF711C"/>
    <w:rsid w:val="00FF7236"/>
    <w:rsid w:val="00FF73D0"/>
    <w:rsid w:val="00FF7741"/>
    <w:rsid w:val="00FF77F7"/>
    <w:rsid w:val="00FF7A5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9937"/>
    <o:shapelayout v:ext="edit">
      <o:idmap v:ext="edit" data="1"/>
    </o:shapelayout>
  </w:shapeDefaults>
  <w:doNotEmbedSmartTags/>
  <w:decimalSymbol w:val=","/>
  <w:listSeparator w:val=";"/>
  <w14:docId w14:val="6233D6CF"/>
  <w15:docId w15:val="{41BAA315-080B-477E-932F-2B1EBC53B2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sz w:val="22"/>
        <w:szCs w:val="22"/>
        <w:lang w:val="pt-BR" w:eastAsia="pt-B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uiPriority="99"/>
    <w:lsdException w:name="toa heading" w:semiHidden="1" w:unhideWhenUsed="1"/>
    <w:lsdException w:name="List" w:semiHidden="1" w:unhideWhenUsed="1"/>
    <w:lsdException w:name="List Bullet" w:uiPriority="99"/>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iPriority="99" w:unhideWhenUsed="1"/>
    <w:lsdException w:name="List Continue" w:semiHidden="1" w:unhideWhenUsed="1"/>
    <w:lsdException w:name="List Continue 2"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99"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3C543A"/>
    <w:pPr>
      <w:jc w:val="both"/>
    </w:pPr>
  </w:style>
  <w:style w:type="paragraph" w:styleId="Ttulo1">
    <w:name w:val="heading 1"/>
    <w:basedOn w:val="Normal"/>
    <w:next w:val="Ttulo2"/>
    <w:link w:val="Ttulo1Char"/>
    <w:autoRedefine/>
    <w:qFormat/>
    <w:rsid w:val="00E175C4"/>
    <w:pPr>
      <w:keepNext/>
      <w:numPr>
        <w:numId w:val="24"/>
      </w:numPr>
      <w:tabs>
        <w:tab w:val="left" w:pos="284"/>
      </w:tabs>
      <w:spacing w:before="440" w:after="220"/>
      <w:ind w:left="0" w:firstLine="0"/>
      <w:outlineLvl w:val="0"/>
    </w:pPr>
    <w:rPr>
      <w:b/>
      <w:bCs/>
      <w:w w:val="109"/>
      <w:kern w:val="32"/>
      <w:sz w:val="32"/>
      <w:szCs w:val="40"/>
    </w:rPr>
  </w:style>
  <w:style w:type="paragraph" w:styleId="Ttulo2">
    <w:name w:val="heading 2"/>
    <w:basedOn w:val="Normal"/>
    <w:next w:val="Ttulo3"/>
    <w:link w:val="Ttulo2Char"/>
    <w:autoRedefine/>
    <w:qFormat/>
    <w:rsid w:val="00B215AC"/>
    <w:pPr>
      <w:keepNext/>
      <w:numPr>
        <w:ilvl w:val="1"/>
        <w:numId w:val="24"/>
      </w:numPr>
      <w:spacing w:before="440" w:after="220"/>
      <w:outlineLvl w:val="1"/>
    </w:pPr>
    <w:rPr>
      <w:b/>
      <w:bCs/>
      <w:sz w:val="28"/>
      <w:szCs w:val="28"/>
    </w:rPr>
  </w:style>
  <w:style w:type="paragraph" w:styleId="Ttulo3">
    <w:name w:val="heading 3"/>
    <w:basedOn w:val="Normal"/>
    <w:next w:val="Ttulo4"/>
    <w:link w:val="Ttulo3Char"/>
    <w:autoRedefine/>
    <w:qFormat/>
    <w:rsid w:val="00A224E9"/>
    <w:pPr>
      <w:keepNext/>
      <w:numPr>
        <w:ilvl w:val="2"/>
        <w:numId w:val="24"/>
      </w:numPr>
      <w:spacing w:before="240" w:after="240"/>
      <w:ind w:left="0" w:firstLine="0"/>
      <w:jc w:val="left"/>
      <w:outlineLvl w:val="2"/>
    </w:pPr>
    <w:rPr>
      <w:b/>
      <w:bCs/>
      <w:sz w:val="24"/>
      <w:szCs w:val="24"/>
    </w:rPr>
  </w:style>
  <w:style w:type="paragraph" w:styleId="Ttulo4">
    <w:name w:val="heading 4"/>
    <w:basedOn w:val="Normal"/>
    <w:next w:val="Ttulo5"/>
    <w:link w:val="Ttulo4Char1"/>
    <w:autoRedefine/>
    <w:qFormat/>
    <w:rsid w:val="00117967"/>
    <w:pPr>
      <w:keepNext/>
      <w:numPr>
        <w:ilvl w:val="3"/>
        <w:numId w:val="24"/>
      </w:numPr>
      <w:tabs>
        <w:tab w:val="left" w:pos="0"/>
        <w:tab w:val="left" w:pos="3969"/>
      </w:tabs>
      <w:autoSpaceDN w:val="0"/>
      <w:spacing w:before="240" w:after="240"/>
      <w:ind w:left="4820" w:hanging="4834"/>
      <w:outlineLvl w:val="3"/>
    </w:pPr>
    <w:rPr>
      <w:rFonts w:cs="Arial"/>
      <w:bCs/>
      <w:iCs/>
    </w:rPr>
  </w:style>
  <w:style w:type="paragraph" w:styleId="Ttulo5">
    <w:name w:val="heading 5"/>
    <w:basedOn w:val="Normal"/>
    <w:next w:val="Ttulo6"/>
    <w:link w:val="Ttulo5Char"/>
    <w:autoRedefine/>
    <w:qFormat/>
    <w:rsid w:val="00A9731B"/>
    <w:pPr>
      <w:keepNext/>
      <w:numPr>
        <w:ilvl w:val="4"/>
        <w:numId w:val="24"/>
      </w:numPr>
      <w:tabs>
        <w:tab w:val="left" w:pos="426"/>
      </w:tabs>
      <w:spacing w:after="240"/>
      <w:outlineLvl w:val="4"/>
    </w:pPr>
  </w:style>
  <w:style w:type="paragraph" w:styleId="Ttulo6">
    <w:name w:val="heading 6"/>
    <w:basedOn w:val="Normal"/>
    <w:next w:val="Ttulo7"/>
    <w:link w:val="Ttulo6Char"/>
    <w:autoRedefine/>
    <w:qFormat/>
    <w:rsid w:val="002E4E5C"/>
    <w:pPr>
      <w:keepNext/>
      <w:numPr>
        <w:ilvl w:val="5"/>
        <w:numId w:val="24"/>
      </w:numPr>
      <w:spacing w:before="440" w:after="220"/>
      <w:outlineLvl w:val="5"/>
    </w:pPr>
    <w:rPr>
      <w:rFonts w:eastAsia="Calibri" w:cs="Arial"/>
      <w:bCs/>
      <w:w w:val="109"/>
      <w:lang w:eastAsia="en-US"/>
    </w:rPr>
  </w:style>
  <w:style w:type="paragraph" w:styleId="Ttulo7">
    <w:name w:val="heading 7"/>
    <w:basedOn w:val="Normal"/>
    <w:next w:val="Ttulo8"/>
    <w:link w:val="Ttulo7Char"/>
    <w:autoRedefine/>
    <w:qFormat/>
    <w:rsid w:val="002E4E5C"/>
    <w:pPr>
      <w:keepNext/>
      <w:numPr>
        <w:ilvl w:val="6"/>
        <w:numId w:val="24"/>
      </w:numPr>
      <w:spacing w:before="440" w:after="220"/>
      <w:ind w:left="1134" w:hanging="1134"/>
      <w:outlineLvl w:val="6"/>
    </w:pPr>
    <w:rPr>
      <w:rFonts w:cs="Arial"/>
      <w:bCs/>
    </w:rPr>
  </w:style>
  <w:style w:type="paragraph" w:styleId="Ttulo8">
    <w:name w:val="heading 8"/>
    <w:basedOn w:val="Normal"/>
    <w:next w:val="Ttulo9"/>
    <w:link w:val="Ttulo8Char"/>
    <w:autoRedefine/>
    <w:qFormat/>
    <w:rsid w:val="002E4E5C"/>
    <w:pPr>
      <w:keepNext/>
      <w:numPr>
        <w:ilvl w:val="7"/>
        <w:numId w:val="24"/>
      </w:numPr>
      <w:tabs>
        <w:tab w:val="left" w:pos="1701"/>
      </w:tabs>
      <w:spacing w:before="440" w:after="220"/>
      <w:ind w:left="1276" w:hanging="1276"/>
      <w:outlineLvl w:val="7"/>
    </w:pPr>
    <w:rPr>
      <w:rFonts w:cs="Arial"/>
      <w:bCs/>
    </w:rPr>
  </w:style>
  <w:style w:type="paragraph" w:styleId="Ttulo9">
    <w:name w:val="heading 9"/>
    <w:basedOn w:val="Normal"/>
    <w:next w:val="1-REL11"/>
    <w:link w:val="Ttulo9Char"/>
    <w:qFormat/>
    <w:rsid w:val="002E4E5C"/>
    <w:pPr>
      <w:numPr>
        <w:ilvl w:val="8"/>
        <w:numId w:val="24"/>
      </w:numPr>
      <w:spacing w:before="220" w:after="220"/>
      <w:outlineLvl w:val="8"/>
    </w:pPr>
    <w:rPr>
      <w:rFonts w:cs="Arial"/>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rsid w:val="00153DA3"/>
    <w:pPr>
      <w:tabs>
        <w:tab w:val="center" w:pos="4419"/>
        <w:tab w:val="right" w:pos="8838"/>
      </w:tabs>
    </w:pPr>
  </w:style>
  <w:style w:type="paragraph" w:customStyle="1" w:styleId="0-TITSN">
    <w:name w:val="0 - TIT_SN"/>
    <w:basedOn w:val="Normal"/>
    <w:link w:val="0-TITSNChar"/>
    <w:autoRedefine/>
    <w:qFormat/>
    <w:rsid w:val="00E843DE"/>
    <w:pPr>
      <w:spacing w:before="120" w:after="120" w:line="276" w:lineRule="auto"/>
      <w:ind w:left="426" w:hanging="360"/>
      <w:outlineLvl w:val="1"/>
    </w:pPr>
    <w:rPr>
      <w:rFonts w:cs="Arial"/>
      <w:b/>
    </w:rPr>
  </w:style>
  <w:style w:type="paragraph" w:styleId="Corpodetexto2">
    <w:name w:val="Body Text 2"/>
    <w:basedOn w:val="Normal"/>
    <w:link w:val="Corpodetexto2Char"/>
    <w:uiPriority w:val="99"/>
    <w:rsid w:val="00153DA3"/>
    <w:rPr>
      <w:rFonts w:cs="Arial"/>
      <w:sz w:val="24"/>
      <w:szCs w:val="24"/>
    </w:rPr>
  </w:style>
  <w:style w:type="paragraph" w:styleId="Corpodetexto">
    <w:name w:val="Body Text"/>
    <w:basedOn w:val="Normal"/>
    <w:link w:val="CorpodetextoChar"/>
    <w:uiPriority w:val="99"/>
    <w:rsid w:val="00153DA3"/>
    <w:rPr>
      <w:sz w:val="24"/>
      <w:szCs w:val="24"/>
    </w:rPr>
  </w:style>
  <w:style w:type="paragraph" w:customStyle="1" w:styleId="Blockquote">
    <w:name w:val="Blockquote"/>
    <w:basedOn w:val="Normal"/>
    <w:uiPriority w:val="99"/>
    <w:rsid w:val="00153DA3"/>
    <w:pPr>
      <w:spacing w:before="100" w:after="100"/>
      <w:ind w:left="360" w:right="360"/>
    </w:pPr>
    <w:rPr>
      <w:sz w:val="24"/>
      <w:szCs w:val="24"/>
    </w:rPr>
  </w:style>
  <w:style w:type="paragraph" w:styleId="Corpodetexto3">
    <w:name w:val="Body Text 3"/>
    <w:basedOn w:val="Normal"/>
    <w:link w:val="Corpodetexto3Char"/>
    <w:uiPriority w:val="99"/>
    <w:rsid w:val="00153DA3"/>
    <w:rPr>
      <w:rFonts w:cs="Arial"/>
      <w:color w:val="000000"/>
      <w:sz w:val="24"/>
      <w:szCs w:val="24"/>
    </w:rPr>
  </w:style>
  <w:style w:type="character" w:styleId="Nmerodepgina">
    <w:name w:val="page number"/>
    <w:basedOn w:val="Fontepargpadro"/>
    <w:rsid w:val="00153DA3"/>
  </w:style>
  <w:style w:type="paragraph" w:customStyle="1" w:styleId="1-CORPODORELATORIO">
    <w:name w:val="1 - CORPO DO RELATORIO"/>
    <w:basedOn w:val="Normal"/>
    <w:autoRedefine/>
    <w:uiPriority w:val="99"/>
    <w:rsid w:val="003C56CB"/>
    <w:rPr>
      <w:rFonts w:cs="Arial"/>
      <w:sz w:val="24"/>
      <w:szCs w:val="24"/>
    </w:rPr>
  </w:style>
  <w:style w:type="paragraph" w:customStyle="1" w:styleId="1-CITAESRELATORIO">
    <w:name w:val="1 - CITAÇÕES RELATORIO"/>
    <w:basedOn w:val="Blockquote"/>
    <w:autoRedefine/>
    <w:uiPriority w:val="99"/>
    <w:rsid w:val="003622DF"/>
    <w:pPr>
      <w:spacing w:before="0" w:after="0"/>
      <w:ind w:left="2268" w:right="425"/>
    </w:pPr>
    <w:rPr>
      <w:iCs/>
      <w:color w:val="000000"/>
      <w:sz w:val="20"/>
      <w:szCs w:val="20"/>
    </w:rPr>
  </w:style>
  <w:style w:type="paragraph" w:styleId="MapadoDocumento">
    <w:name w:val="Document Map"/>
    <w:basedOn w:val="Normal"/>
    <w:link w:val="MapadoDocumentoChar"/>
    <w:uiPriority w:val="99"/>
    <w:semiHidden/>
    <w:rsid w:val="00796E49"/>
    <w:pPr>
      <w:shd w:val="clear" w:color="auto" w:fill="000080"/>
    </w:pPr>
    <w:rPr>
      <w:rFonts w:ascii="Tahoma" w:hAnsi="Tahoma" w:cs="Tahoma"/>
    </w:rPr>
  </w:style>
  <w:style w:type="paragraph" w:styleId="Sumrio1">
    <w:name w:val="toc 1"/>
    <w:basedOn w:val="Normal"/>
    <w:next w:val="Normal"/>
    <w:autoRedefine/>
    <w:uiPriority w:val="39"/>
    <w:rsid w:val="00EA1EC2"/>
    <w:pPr>
      <w:tabs>
        <w:tab w:val="left" w:pos="1134"/>
        <w:tab w:val="right" w:leader="dot" w:pos="9062"/>
      </w:tabs>
      <w:spacing w:before="360"/>
      <w:ind w:left="1134" w:right="849" w:hanging="1134"/>
    </w:pPr>
    <w:rPr>
      <w:rFonts w:cs="Arial"/>
      <w:b/>
      <w:bCs/>
      <w:noProof/>
      <w:sz w:val="24"/>
      <w:szCs w:val="24"/>
    </w:rPr>
  </w:style>
  <w:style w:type="paragraph" w:styleId="Sumrio2">
    <w:name w:val="toc 2"/>
    <w:basedOn w:val="Normal"/>
    <w:next w:val="Normal"/>
    <w:uiPriority w:val="39"/>
    <w:rsid w:val="003E1B43"/>
    <w:pPr>
      <w:spacing w:before="240" w:after="240"/>
    </w:pPr>
    <w:rPr>
      <w:b/>
      <w:bCs/>
    </w:rPr>
  </w:style>
  <w:style w:type="character" w:styleId="Hyperlink">
    <w:name w:val="Hyperlink"/>
    <w:basedOn w:val="Fontepargpadro"/>
    <w:uiPriority w:val="99"/>
    <w:rsid w:val="00382D96"/>
    <w:rPr>
      <w:color w:val="0000FF"/>
      <w:u w:val="single"/>
    </w:rPr>
  </w:style>
  <w:style w:type="paragraph" w:styleId="Textodenotaderodap">
    <w:name w:val="footnote text"/>
    <w:basedOn w:val="Normal"/>
    <w:link w:val="TextodenotaderodapChar"/>
    <w:uiPriority w:val="99"/>
    <w:semiHidden/>
    <w:rsid w:val="00966D25"/>
  </w:style>
  <w:style w:type="character" w:styleId="Refdenotaderodap">
    <w:name w:val="footnote reference"/>
    <w:basedOn w:val="Fontepargpadro"/>
    <w:uiPriority w:val="99"/>
    <w:semiHidden/>
    <w:rsid w:val="00966D25"/>
    <w:rPr>
      <w:vertAlign w:val="superscript"/>
    </w:rPr>
  </w:style>
  <w:style w:type="paragraph" w:styleId="Recuodecorpodetexto2">
    <w:name w:val="Body Text Indent 2"/>
    <w:basedOn w:val="Normal"/>
    <w:link w:val="Recuodecorpodetexto2Char"/>
    <w:uiPriority w:val="99"/>
    <w:rsid w:val="00966D25"/>
    <w:pPr>
      <w:ind w:left="1134"/>
    </w:pPr>
    <w:rPr>
      <w:rFonts w:cs="Arial"/>
      <w:i/>
      <w:iCs/>
      <w:sz w:val="24"/>
      <w:szCs w:val="24"/>
    </w:rPr>
  </w:style>
  <w:style w:type="paragraph" w:styleId="Textodecomentrio">
    <w:name w:val="annotation text"/>
    <w:basedOn w:val="Normal"/>
    <w:link w:val="TextodecomentrioChar"/>
    <w:uiPriority w:val="99"/>
    <w:semiHidden/>
    <w:rsid w:val="00966D25"/>
    <w:rPr>
      <w:rFonts w:cs="Arial"/>
    </w:rPr>
  </w:style>
  <w:style w:type="paragraph" w:styleId="Recuodecorpodetexto3">
    <w:name w:val="Body Text Indent 3"/>
    <w:basedOn w:val="Normal"/>
    <w:link w:val="Recuodecorpodetexto3Char"/>
    <w:uiPriority w:val="99"/>
    <w:rsid w:val="00966D25"/>
    <w:pPr>
      <w:ind w:left="1134"/>
    </w:pPr>
    <w:rPr>
      <w:rFonts w:cs="Arial"/>
      <w:i/>
      <w:iCs/>
      <w:color w:val="FF0000"/>
    </w:rPr>
  </w:style>
  <w:style w:type="paragraph" w:customStyle="1" w:styleId="xl25">
    <w:name w:val="xl25"/>
    <w:basedOn w:val="Normal"/>
    <w:uiPriority w:val="99"/>
    <w:rsid w:val="00966D25"/>
    <w:pPr>
      <w:spacing w:before="100" w:beforeAutospacing="1" w:after="100" w:afterAutospacing="1"/>
    </w:pPr>
    <w:rPr>
      <w:rFonts w:cs="Arial"/>
      <w:sz w:val="24"/>
      <w:szCs w:val="24"/>
      <w:u w:val="single"/>
    </w:rPr>
  </w:style>
  <w:style w:type="paragraph" w:customStyle="1" w:styleId="xl26">
    <w:name w:val="xl26"/>
    <w:basedOn w:val="Normal"/>
    <w:uiPriority w:val="99"/>
    <w:rsid w:val="00966D25"/>
    <w:pPr>
      <w:spacing w:before="100" w:beforeAutospacing="1" w:after="100" w:afterAutospacing="1"/>
    </w:pPr>
    <w:rPr>
      <w:rFonts w:cs="Arial"/>
      <w:b/>
      <w:bCs/>
      <w:sz w:val="24"/>
      <w:szCs w:val="24"/>
    </w:rPr>
  </w:style>
  <w:style w:type="paragraph" w:customStyle="1" w:styleId="xl27">
    <w:name w:val="xl27"/>
    <w:basedOn w:val="Normal"/>
    <w:uiPriority w:val="99"/>
    <w:rsid w:val="00966D25"/>
    <w:pPr>
      <w:spacing w:before="100" w:beforeAutospacing="1" w:after="100" w:afterAutospacing="1"/>
    </w:pPr>
    <w:rPr>
      <w:rFonts w:cs="Arial"/>
    </w:rPr>
  </w:style>
  <w:style w:type="paragraph" w:customStyle="1" w:styleId="xl28">
    <w:name w:val="xl28"/>
    <w:basedOn w:val="Normal"/>
    <w:uiPriority w:val="99"/>
    <w:rsid w:val="00966D25"/>
    <w:pPr>
      <w:pBdr>
        <w:bottom w:val="single" w:sz="4" w:space="0" w:color="auto"/>
      </w:pBdr>
      <w:spacing w:before="100" w:beforeAutospacing="1" w:after="100" w:afterAutospacing="1"/>
    </w:pPr>
    <w:rPr>
      <w:rFonts w:cs="Arial"/>
      <w:b/>
      <w:bCs/>
    </w:rPr>
  </w:style>
  <w:style w:type="paragraph" w:customStyle="1" w:styleId="xl29">
    <w:name w:val="xl29"/>
    <w:basedOn w:val="Normal"/>
    <w:uiPriority w:val="99"/>
    <w:rsid w:val="00966D25"/>
    <w:pPr>
      <w:pBdr>
        <w:left w:val="single" w:sz="4" w:space="0" w:color="auto"/>
        <w:right w:val="single" w:sz="4" w:space="0" w:color="auto"/>
      </w:pBdr>
      <w:spacing w:before="100" w:beforeAutospacing="1" w:after="100" w:afterAutospacing="1"/>
      <w:jc w:val="right"/>
    </w:pPr>
    <w:rPr>
      <w:rFonts w:cs="Arial"/>
      <w:sz w:val="24"/>
      <w:szCs w:val="24"/>
    </w:rPr>
  </w:style>
  <w:style w:type="paragraph" w:customStyle="1" w:styleId="xl30">
    <w:name w:val="xl30"/>
    <w:basedOn w:val="Normal"/>
    <w:uiPriority w:val="99"/>
    <w:rsid w:val="00966D25"/>
    <w:pPr>
      <w:pBdr>
        <w:left w:val="single" w:sz="4" w:space="0" w:color="auto"/>
        <w:right w:val="single" w:sz="4" w:space="0" w:color="auto"/>
      </w:pBdr>
      <w:spacing w:before="100" w:beforeAutospacing="1" w:after="100" w:afterAutospacing="1"/>
      <w:jc w:val="right"/>
    </w:pPr>
    <w:rPr>
      <w:rFonts w:cs="Arial"/>
      <w:sz w:val="24"/>
      <w:szCs w:val="24"/>
      <w:u w:val="single"/>
    </w:rPr>
  </w:style>
  <w:style w:type="paragraph" w:customStyle="1" w:styleId="xl31">
    <w:name w:val="xl31"/>
    <w:basedOn w:val="Normal"/>
    <w:uiPriority w:val="99"/>
    <w:rsid w:val="00966D25"/>
    <w:pPr>
      <w:pBdr>
        <w:left w:val="single" w:sz="4" w:space="0" w:color="auto"/>
        <w:bottom w:val="single" w:sz="4" w:space="0" w:color="auto"/>
        <w:right w:val="single" w:sz="4" w:space="0" w:color="auto"/>
      </w:pBdr>
      <w:spacing w:before="100" w:beforeAutospacing="1" w:after="100" w:afterAutospacing="1"/>
      <w:jc w:val="right"/>
    </w:pPr>
    <w:rPr>
      <w:rFonts w:cs="Arial"/>
      <w:b/>
      <w:bCs/>
      <w:sz w:val="24"/>
      <w:szCs w:val="24"/>
    </w:rPr>
  </w:style>
  <w:style w:type="paragraph" w:customStyle="1" w:styleId="xl24">
    <w:name w:val="xl24"/>
    <w:basedOn w:val="Normal"/>
    <w:uiPriority w:val="99"/>
    <w:rsid w:val="00966D25"/>
    <w:pPr>
      <w:pBdr>
        <w:left w:val="single" w:sz="4" w:space="0" w:color="auto"/>
        <w:right w:val="single" w:sz="4" w:space="0" w:color="auto"/>
      </w:pBdr>
      <w:spacing w:before="100" w:beforeAutospacing="1" w:after="100" w:afterAutospacing="1"/>
    </w:pPr>
    <w:rPr>
      <w:rFonts w:ascii="Arial Unicode MS" w:cs="Arial Unicode MS"/>
      <w:sz w:val="24"/>
      <w:szCs w:val="24"/>
    </w:rPr>
  </w:style>
  <w:style w:type="paragraph" w:styleId="Legenda">
    <w:name w:val="caption"/>
    <w:basedOn w:val="Normal"/>
    <w:next w:val="Normal"/>
    <w:qFormat/>
    <w:rsid w:val="00966D25"/>
    <w:pPr>
      <w:spacing w:before="120" w:after="120"/>
    </w:pPr>
    <w:rPr>
      <w:b/>
      <w:bCs/>
    </w:rPr>
  </w:style>
  <w:style w:type="paragraph" w:customStyle="1" w:styleId="font5">
    <w:name w:val="font5"/>
    <w:basedOn w:val="Normal"/>
    <w:uiPriority w:val="99"/>
    <w:rsid w:val="00966D25"/>
    <w:pPr>
      <w:spacing w:before="100" w:beforeAutospacing="1" w:after="100" w:afterAutospacing="1"/>
    </w:pPr>
    <w:rPr>
      <w:rFonts w:ascii="Tahoma" w:hAnsi="Tahoma" w:cs="Tahoma"/>
      <w:b/>
      <w:bCs/>
      <w:color w:val="000000"/>
      <w:sz w:val="16"/>
      <w:szCs w:val="16"/>
    </w:rPr>
  </w:style>
  <w:style w:type="paragraph" w:customStyle="1" w:styleId="font6">
    <w:name w:val="font6"/>
    <w:basedOn w:val="Normal"/>
    <w:uiPriority w:val="99"/>
    <w:rsid w:val="00966D25"/>
    <w:pPr>
      <w:spacing w:before="100" w:beforeAutospacing="1" w:after="100" w:afterAutospacing="1"/>
    </w:pPr>
    <w:rPr>
      <w:rFonts w:ascii="Tahoma" w:hAnsi="Tahoma" w:cs="Tahoma"/>
      <w:color w:val="000000"/>
      <w:sz w:val="16"/>
      <w:szCs w:val="16"/>
    </w:rPr>
  </w:style>
  <w:style w:type="paragraph" w:customStyle="1" w:styleId="xl32">
    <w:name w:val="xl32"/>
    <w:basedOn w:val="Normal"/>
    <w:uiPriority w:val="99"/>
    <w:rsid w:val="00966D25"/>
    <w:pPr>
      <w:pBdr>
        <w:left w:val="single" w:sz="4" w:space="0" w:color="auto"/>
        <w:right w:val="single" w:sz="4" w:space="0" w:color="auto"/>
      </w:pBdr>
      <w:spacing w:before="100" w:beforeAutospacing="1" w:after="100" w:afterAutospacing="1"/>
    </w:pPr>
    <w:rPr>
      <w:rFonts w:cs="Arial"/>
      <w:sz w:val="24"/>
      <w:szCs w:val="24"/>
      <w:u w:val="single"/>
    </w:rPr>
  </w:style>
  <w:style w:type="paragraph" w:customStyle="1" w:styleId="xl33">
    <w:name w:val="xl33"/>
    <w:basedOn w:val="Normal"/>
    <w:uiPriority w:val="99"/>
    <w:rsid w:val="00966D25"/>
    <w:pPr>
      <w:pBdr>
        <w:left w:val="single" w:sz="4" w:space="0" w:color="auto"/>
        <w:bottom w:val="single" w:sz="4" w:space="0" w:color="auto"/>
        <w:right w:val="single" w:sz="4" w:space="0" w:color="auto"/>
      </w:pBdr>
      <w:spacing w:before="100" w:beforeAutospacing="1" w:after="100" w:afterAutospacing="1"/>
    </w:pPr>
    <w:rPr>
      <w:rFonts w:cs="Arial"/>
      <w:b/>
      <w:bCs/>
      <w:sz w:val="24"/>
      <w:szCs w:val="24"/>
    </w:rPr>
  </w:style>
  <w:style w:type="paragraph" w:customStyle="1" w:styleId="xl34">
    <w:name w:val="xl34"/>
    <w:basedOn w:val="Normal"/>
    <w:uiPriority w:val="99"/>
    <w:rsid w:val="00966D25"/>
    <w:pPr>
      <w:pBdr>
        <w:left w:val="single" w:sz="4" w:space="0" w:color="auto"/>
        <w:right w:val="single" w:sz="4" w:space="0" w:color="auto"/>
      </w:pBdr>
      <w:spacing w:before="100" w:beforeAutospacing="1" w:after="100" w:afterAutospacing="1"/>
    </w:pPr>
    <w:rPr>
      <w:rFonts w:ascii="Arial Unicode MS" w:cs="Arial Unicode MS"/>
      <w:sz w:val="24"/>
      <w:szCs w:val="24"/>
    </w:rPr>
  </w:style>
  <w:style w:type="paragraph" w:customStyle="1" w:styleId="Estilo1-TABTITMAI11pt">
    <w:name w:val="Estilo 1 - TAB TIT MAI + 11 pt"/>
    <w:basedOn w:val="Normal"/>
    <w:next w:val="1-CORPOTEXTORELATORIOChar"/>
    <w:autoRedefine/>
    <w:uiPriority w:val="99"/>
    <w:rsid w:val="00966D25"/>
    <w:pPr>
      <w:jc w:val="center"/>
    </w:pPr>
    <w:rPr>
      <w:rFonts w:cs="Arial"/>
      <w:b/>
      <w:bCs/>
    </w:rPr>
  </w:style>
  <w:style w:type="paragraph" w:customStyle="1" w:styleId="0-TABELA">
    <w:name w:val="0 - TABELA"/>
    <w:basedOn w:val="Normal"/>
    <w:next w:val="1-REL11"/>
    <w:link w:val="0-TABELAChar"/>
    <w:autoRedefine/>
    <w:uiPriority w:val="99"/>
    <w:qFormat/>
    <w:rsid w:val="00ED3571"/>
    <w:pPr>
      <w:numPr>
        <w:numId w:val="51"/>
      </w:numPr>
      <w:tabs>
        <w:tab w:val="left" w:pos="1560"/>
      </w:tabs>
      <w:spacing w:before="220" w:after="80"/>
      <w:ind w:left="284" w:firstLine="0"/>
      <w:jc w:val="center"/>
      <w:outlineLvl w:val="8"/>
    </w:pPr>
    <w:rPr>
      <w:rFonts w:eastAsia="Calibri"/>
      <w:lang w:eastAsia="en-US"/>
      <w14:scene3d>
        <w14:camera w14:prst="orthographicFront"/>
        <w14:lightRig w14:rig="threePt" w14:dir="t">
          <w14:rot w14:lat="0" w14:lon="0" w14:rev="0"/>
        </w14:lightRig>
      </w14:scene3d>
    </w:rPr>
  </w:style>
  <w:style w:type="character" w:customStyle="1" w:styleId="0-TABELAChar">
    <w:name w:val="0 - TABELA Char"/>
    <w:basedOn w:val="Fontepargpadro"/>
    <w:link w:val="0-TABELA"/>
    <w:uiPriority w:val="99"/>
    <w:locked/>
    <w:rsid w:val="00ED3571"/>
    <w:rPr>
      <w:rFonts w:eastAsia="Calibri"/>
      <w:lang w:eastAsia="en-US"/>
      <w14:scene3d>
        <w14:camera w14:prst="orthographicFront"/>
        <w14:lightRig w14:rig="threePt" w14:dir="t">
          <w14:rot w14:lat="0" w14:lon="0" w14:rev="0"/>
        </w14:lightRig>
      </w14:scene3d>
    </w:rPr>
  </w:style>
  <w:style w:type="paragraph" w:styleId="TextosemFormatao">
    <w:name w:val="Plain Text"/>
    <w:basedOn w:val="Normal"/>
    <w:link w:val="TextosemFormataoChar"/>
    <w:uiPriority w:val="99"/>
    <w:rsid w:val="00966D25"/>
    <w:rPr>
      <w:rFonts w:cs="Arial"/>
      <w:sz w:val="24"/>
      <w:szCs w:val="24"/>
    </w:rPr>
  </w:style>
  <w:style w:type="character" w:customStyle="1" w:styleId="0-TITSNChar">
    <w:name w:val="0 - TIT_SN Char"/>
    <w:basedOn w:val="Fontepargpadro"/>
    <w:link w:val="0-TITSN"/>
    <w:rsid w:val="00E843DE"/>
    <w:rPr>
      <w:rFonts w:ascii="Arial" w:hAnsi="Arial" w:cs="Arial"/>
      <w:b/>
      <w:sz w:val="22"/>
      <w:szCs w:val="22"/>
    </w:rPr>
  </w:style>
  <w:style w:type="paragraph" w:customStyle="1" w:styleId="1-FONTEBALANO">
    <w:name w:val="1 - FONTE: BALANÇO..."/>
    <w:basedOn w:val="Normal"/>
    <w:next w:val="1-REL11"/>
    <w:link w:val="1-FONTEBALANOCharChar"/>
    <w:autoRedefine/>
    <w:rsid w:val="008657AE"/>
    <w:rPr>
      <w:rFonts w:cs="Arial"/>
      <w:noProof/>
      <w:color w:val="FF0000"/>
      <w:sz w:val="16"/>
      <w:szCs w:val="16"/>
    </w:rPr>
  </w:style>
  <w:style w:type="character" w:customStyle="1" w:styleId="1-FONTEBALANOCharChar">
    <w:name w:val="1 - FONTE: BALANÇO... Char Char"/>
    <w:basedOn w:val="Fontepargpadro"/>
    <w:link w:val="1-FONTEBALANO"/>
    <w:locked/>
    <w:rsid w:val="008657AE"/>
    <w:rPr>
      <w:rFonts w:ascii="Arial" w:hAnsi="Arial" w:cs="Arial"/>
      <w:noProof/>
      <w:color w:val="FF0000"/>
      <w:sz w:val="16"/>
      <w:szCs w:val="16"/>
    </w:rPr>
  </w:style>
  <w:style w:type="paragraph" w:customStyle="1" w:styleId="TITULO4">
    <w:name w:val="TITULO 4"/>
    <w:basedOn w:val="Normal"/>
    <w:link w:val="TITULO4Char"/>
    <w:autoRedefine/>
    <w:rsid w:val="00966D25"/>
    <w:pPr>
      <w:tabs>
        <w:tab w:val="num" w:pos="2880"/>
      </w:tabs>
      <w:ind w:left="2880" w:hanging="360"/>
    </w:pPr>
    <w:rPr>
      <w:rFonts w:cs="Arial"/>
      <w:b/>
      <w:bCs/>
      <w:sz w:val="24"/>
      <w:szCs w:val="24"/>
    </w:rPr>
  </w:style>
  <w:style w:type="paragraph" w:customStyle="1" w:styleId="1-TABTITULO10NEG">
    <w:name w:val="1 - TAB TITULO 10 NEG"/>
    <w:basedOn w:val="Normal"/>
    <w:link w:val="1-TABTITULO10NEGCharChar"/>
    <w:autoRedefine/>
    <w:rsid w:val="00DB39A3"/>
    <w:pPr>
      <w:ind w:right="-28" w:firstLine="20"/>
      <w:jc w:val="center"/>
    </w:pPr>
    <w:rPr>
      <w:rFonts w:cs="Arial"/>
      <w:b/>
      <w:bCs/>
      <w:caps/>
      <w:color w:val="000000"/>
    </w:rPr>
  </w:style>
  <w:style w:type="character" w:customStyle="1" w:styleId="Ttulo4Char1">
    <w:name w:val="Título 4 Char1"/>
    <w:basedOn w:val="Fontepargpadro"/>
    <w:link w:val="Ttulo4"/>
    <w:locked/>
    <w:rsid w:val="00117967"/>
    <w:rPr>
      <w:rFonts w:cs="Arial"/>
      <w:bCs/>
      <w:iCs/>
    </w:rPr>
  </w:style>
  <w:style w:type="character" w:customStyle="1" w:styleId="CorpodetextoChar">
    <w:name w:val="Corpo de texto Char"/>
    <w:basedOn w:val="Fontepargpadro"/>
    <w:link w:val="Corpodetexto"/>
    <w:uiPriority w:val="99"/>
    <w:locked/>
    <w:rsid w:val="00966D25"/>
    <w:rPr>
      <w:sz w:val="24"/>
      <w:szCs w:val="24"/>
      <w:lang w:val="pt-BR" w:eastAsia="pt-BR"/>
    </w:rPr>
  </w:style>
  <w:style w:type="paragraph" w:customStyle="1" w:styleId="Estilo1-TABTEXTOESQUERDA11pt">
    <w:name w:val="Estilo 1 - TAB TEXTO  ESQUERDA + 11 pt"/>
    <w:basedOn w:val="Normal"/>
    <w:autoRedefine/>
    <w:uiPriority w:val="99"/>
    <w:rsid w:val="00966D25"/>
    <w:pPr>
      <w:spacing w:line="300" w:lineRule="exact"/>
    </w:pPr>
    <w:rPr>
      <w:rFonts w:cs="Arial"/>
    </w:rPr>
  </w:style>
  <w:style w:type="paragraph" w:customStyle="1" w:styleId="Estilo1-TABELATEXTO10pt">
    <w:name w:val="Estilo 1 - TABELA TEXTO + 10 pt"/>
    <w:basedOn w:val="Normal"/>
    <w:uiPriority w:val="99"/>
    <w:rsid w:val="00966D25"/>
    <w:rPr>
      <w:rFonts w:cs="Arial"/>
    </w:rPr>
  </w:style>
  <w:style w:type="paragraph" w:customStyle="1" w:styleId="1-CORPOTEXTORELATORIOChar">
    <w:name w:val="1 -CORPO TEXTO RELATORIO Char"/>
    <w:basedOn w:val="Corpodetexto"/>
    <w:link w:val="1-CORPOTEXTORELATORIOCharChar"/>
    <w:autoRedefine/>
    <w:uiPriority w:val="99"/>
    <w:rsid w:val="00E70F2D"/>
    <w:pPr>
      <w:ind w:left="360" w:hanging="360"/>
      <w:outlineLvl w:val="0"/>
    </w:pPr>
    <w:rPr>
      <w:rFonts w:cs="Arial"/>
    </w:rPr>
  </w:style>
  <w:style w:type="character" w:customStyle="1" w:styleId="1-CORPOTEXTORELATORIOCharChar">
    <w:name w:val="1 -CORPO TEXTO RELATORIO Char Char"/>
    <w:basedOn w:val="CorpodetextoChar"/>
    <w:link w:val="1-CORPOTEXTORELATORIOChar"/>
    <w:uiPriority w:val="99"/>
    <w:locked/>
    <w:rsid w:val="00E70F2D"/>
    <w:rPr>
      <w:rFonts w:ascii="Arial" w:hAnsi="Arial" w:cs="Arial"/>
      <w:sz w:val="24"/>
      <w:szCs w:val="24"/>
      <w:lang w:val="pt-BR" w:eastAsia="pt-BR" w:bidi="ar-SA"/>
    </w:rPr>
  </w:style>
  <w:style w:type="paragraph" w:styleId="Ttulodanota">
    <w:name w:val="Note Heading"/>
    <w:basedOn w:val="Normal"/>
    <w:next w:val="Normal"/>
    <w:link w:val="TtulodanotaChar"/>
    <w:uiPriority w:val="99"/>
    <w:rsid w:val="00966D25"/>
    <w:rPr>
      <w:rFonts w:cs="Arial"/>
      <w:sz w:val="24"/>
      <w:szCs w:val="24"/>
    </w:rPr>
  </w:style>
  <w:style w:type="paragraph" w:customStyle="1" w:styleId="Estilo11ptNegritodireita">
    <w:name w:val="Estilo 11 pt Negrito À direita"/>
    <w:basedOn w:val="Normal"/>
    <w:uiPriority w:val="99"/>
    <w:rsid w:val="00966D25"/>
    <w:pPr>
      <w:jc w:val="right"/>
    </w:pPr>
    <w:rPr>
      <w:rFonts w:cs="Arial"/>
      <w:b/>
      <w:bCs/>
    </w:rPr>
  </w:style>
  <w:style w:type="paragraph" w:customStyle="1" w:styleId="X">
    <w:name w:val="X"/>
    <w:basedOn w:val="Normal"/>
    <w:uiPriority w:val="99"/>
    <w:rsid w:val="00966D25"/>
    <w:pPr>
      <w:jc w:val="right"/>
    </w:pPr>
    <w:rPr>
      <w:rFonts w:cs="Arial"/>
      <w:b/>
      <w:bCs/>
    </w:rPr>
  </w:style>
  <w:style w:type="paragraph" w:customStyle="1" w:styleId="Estilo1-TABELATEXTO10ptNegritodireita">
    <w:name w:val="Estilo 1 - TABELA TEXTO + 10 pt Negrito À direita"/>
    <w:basedOn w:val="Normal"/>
    <w:uiPriority w:val="99"/>
    <w:rsid w:val="00966D25"/>
    <w:pPr>
      <w:spacing w:line="300" w:lineRule="exact"/>
      <w:jc w:val="right"/>
    </w:pPr>
    <w:rPr>
      <w:rFonts w:cs="Arial"/>
    </w:rPr>
  </w:style>
  <w:style w:type="paragraph" w:customStyle="1" w:styleId="1-TABNUMERO">
    <w:name w:val="1 - TAB NUMERO"/>
    <w:basedOn w:val="Normal"/>
    <w:autoRedefine/>
    <w:uiPriority w:val="99"/>
    <w:rsid w:val="00966D25"/>
    <w:pPr>
      <w:spacing w:line="300" w:lineRule="exact"/>
      <w:jc w:val="right"/>
    </w:pPr>
    <w:rPr>
      <w:rFonts w:cs="Arial"/>
    </w:rPr>
  </w:style>
  <w:style w:type="paragraph" w:customStyle="1" w:styleId="1-TABESQ10NEG">
    <w:name w:val="1 - TAB ESQ 10 NEG"/>
    <w:basedOn w:val="Normal"/>
    <w:link w:val="1-TABESQ10NEGCharChar"/>
    <w:autoRedefine/>
    <w:rsid w:val="00495E43"/>
    <w:pPr>
      <w:spacing w:line="300" w:lineRule="exact"/>
      <w:jc w:val="center"/>
    </w:pPr>
    <w:rPr>
      <w:rFonts w:cs="Arial"/>
      <w:b/>
    </w:rPr>
  </w:style>
  <w:style w:type="character" w:customStyle="1" w:styleId="TITULO4Char">
    <w:name w:val="TITULO 4 Char"/>
    <w:basedOn w:val="Fontepargpadro"/>
    <w:link w:val="TITULO4"/>
    <w:locked/>
    <w:rsid w:val="00966D25"/>
    <w:rPr>
      <w:rFonts w:ascii="Arial" w:hAnsi="Arial" w:cs="Arial"/>
      <w:b/>
      <w:bCs/>
      <w:sz w:val="24"/>
      <w:szCs w:val="24"/>
    </w:rPr>
  </w:style>
  <w:style w:type="paragraph" w:customStyle="1" w:styleId="Estilo2">
    <w:name w:val="Estilo2"/>
    <w:basedOn w:val="Normal"/>
    <w:next w:val="TextosemFormatao"/>
    <w:uiPriority w:val="99"/>
    <w:rsid w:val="003C543A"/>
    <w:rPr>
      <w:rFonts w:cs="Arial"/>
      <w:b/>
      <w:bCs/>
    </w:rPr>
  </w:style>
  <w:style w:type="paragraph" w:customStyle="1" w:styleId="1-TABTEXTOESQSUBLINHADO">
    <w:name w:val="1 - TAB TEXTO ESQ SUBLINHADO"/>
    <w:basedOn w:val="1-TABESQ10NEG"/>
    <w:autoRedefine/>
    <w:uiPriority w:val="99"/>
    <w:rsid w:val="00966D25"/>
    <w:rPr>
      <w:u w:val="single"/>
    </w:rPr>
  </w:style>
  <w:style w:type="character" w:customStyle="1" w:styleId="1-TABESQ10NEGCharChar">
    <w:name w:val="1 - TAB ESQ 10 NEG Char Char"/>
    <w:basedOn w:val="Fontepargpadro"/>
    <w:link w:val="1-TABESQ10NEG"/>
    <w:locked/>
    <w:rsid w:val="00495E43"/>
    <w:rPr>
      <w:rFonts w:ascii="Arial" w:hAnsi="Arial" w:cs="Arial"/>
      <w:b/>
      <w:lang w:val="pt-BR" w:eastAsia="pt-BR" w:bidi="ar-SA"/>
    </w:rPr>
  </w:style>
  <w:style w:type="paragraph" w:styleId="Sumrio3">
    <w:name w:val="toc 3"/>
    <w:basedOn w:val="Normal"/>
    <w:next w:val="Normal"/>
    <w:autoRedefine/>
    <w:uiPriority w:val="39"/>
    <w:rsid w:val="00F14249"/>
    <w:pPr>
      <w:tabs>
        <w:tab w:val="left" w:pos="567"/>
        <w:tab w:val="left" w:pos="1418"/>
        <w:tab w:val="right" w:leader="dot" w:pos="9062"/>
      </w:tabs>
      <w:spacing w:before="120" w:after="60"/>
      <w:ind w:left="1134" w:right="-7" w:hanging="708"/>
      <w:jc w:val="left"/>
    </w:pPr>
    <w:rPr>
      <w:i/>
    </w:rPr>
  </w:style>
  <w:style w:type="paragraph" w:styleId="Sumrio9">
    <w:name w:val="toc 9"/>
    <w:basedOn w:val="Normal"/>
    <w:next w:val="Normal"/>
    <w:autoRedefine/>
    <w:uiPriority w:val="39"/>
    <w:rsid w:val="0026793E"/>
    <w:pPr>
      <w:ind w:left="1400"/>
    </w:pPr>
  </w:style>
  <w:style w:type="paragraph" w:styleId="Sumrio4">
    <w:name w:val="toc 4"/>
    <w:basedOn w:val="Normal"/>
    <w:next w:val="Normal"/>
    <w:autoRedefine/>
    <w:uiPriority w:val="39"/>
    <w:rsid w:val="00743CB0"/>
    <w:pPr>
      <w:tabs>
        <w:tab w:val="left" w:pos="1418"/>
        <w:tab w:val="right" w:leader="dot" w:pos="9062"/>
      </w:tabs>
      <w:spacing w:line="276" w:lineRule="auto"/>
      <w:ind w:left="1418" w:hanging="709"/>
    </w:pPr>
    <w:rPr>
      <w:sz w:val="18"/>
    </w:rPr>
  </w:style>
  <w:style w:type="paragraph" w:styleId="Sumrio5">
    <w:name w:val="toc 5"/>
    <w:basedOn w:val="Normal"/>
    <w:next w:val="Normal"/>
    <w:autoRedefine/>
    <w:uiPriority w:val="39"/>
    <w:rsid w:val="0026793E"/>
    <w:pPr>
      <w:ind w:left="600"/>
    </w:pPr>
  </w:style>
  <w:style w:type="paragraph" w:styleId="Sumrio6">
    <w:name w:val="toc 6"/>
    <w:basedOn w:val="Normal"/>
    <w:next w:val="Normal"/>
    <w:autoRedefine/>
    <w:uiPriority w:val="39"/>
    <w:rsid w:val="00BC53CE"/>
    <w:pPr>
      <w:ind w:left="800"/>
    </w:pPr>
  </w:style>
  <w:style w:type="paragraph" w:styleId="Sumrio7">
    <w:name w:val="toc 7"/>
    <w:basedOn w:val="Normal"/>
    <w:next w:val="Normal"/>
    <w:autoRedefine/>
    <w:uiPriority w:val="39"/>
    <w:rsid w:val="0026793E"/>
    <w:pPr>
      <w:ind w:left="1000"/>
    </w:pPr>
  </w:style>
  <w:style w:type="paragraph" w:styleId="Sumrio8">
    <w:name w:val="toc 8"/>
    <w:basedOn w:val="Normal"/>
    <w:next w:val="Normal"/>
    <w:autoRedefine/>
    <w:uiPriority w:val="39"/>
    <w:rsid w:val="00F12CF3"/>
    <w:pPr>
      <w:ind w:left="1200"/>
    </w:pPr>
  </w:style>
  <w:style w:type="paragraph" w:styleId="Recuodecorpodetexto">
    <w:name w:val="Body Text Indent"/>
    <w:basedOn w:val="Normal"/>
    <w:link w:val="RecuodecorpodetextoChar"/>
    <w:uiPriority w:val="99"/>
    <w:rsid w:val="00966D25"/>
    <w:pPr>
      <w:ind w:firstLine="1418"/>
    </w:pPr>
    <w:rPr>
      <w:rFonts w:cs="Arial"/>
      <w:sz w:val="24"/>
      <w:szCs w:val="24"/>
    </w:rPr>
  </w:style>
  <w:style w:type="paragraph" w:customStyle="1" w:styleId="xl35">
    <w:name w:val="xl35"/>
    <w:basedOn w:val="Normal"/>
    <w:uiPriority w:val="99"/>
    <w:rsid w:val="00966D25"/>
    <w:pPr>
      <w:pBdr>
        <w:top w:val="single" w:sz="4" w:space="0" w:color="auto"/>
        <w:left w:val="single" w:sz="4" w:space="0" w:color="auto"/>
        <w:bottom w:val="single" w:sz="4" w:space="0" w:color="auto"/>
      </w:pBdr>
      <w:spacing w:before="100" w:beforeAutospacing="1" w:after="100" w:afterAutospacing="1"/>
    </w:pPr>
    <w:rPr>
      <w:rFonts w:cs="Arial"/>
      <w:b/>
      <w:bCs/>
      <w:sz w:val="24"/>
      <w:szCs w:val="24"/>
    </w:rPr>
  </w:style>
  <w:style w:type="paragraph" w:styleId="Textodemacro">
    <w:name w:val="macro"/>
    <w:link w:val="TextodemacroChar"/>
    <w:uiPriority w:val="99"/>
    <w:semiHidden/>
    <w:rsid w:val="00966D25"/>
    <w:pPr>
      <w:widowControl w:val="0"/>
      <w:tabs>
        <w:tab w:val="left" w:pos="480"/>
        <w:tab w:val="left" w:pos="960"/>
        <w:tab w:val="left" w:pos="1440"/>
        <w:tab w:val="left" w:pos="1920"/>
        <w:tab w:val="left" w:pos="2400"/>
        <w:tab w:val="left" w:pos="2880"/>
        <w:tab w:val="left" w:pos="3360"/>
        <w:tab w:val="left" w:pos="3840"/>
        <w:tab w:val="left" w:pos="4320"/>
      </w:tabs>
      <w:jc w:val="both"/>
    </w:pPr>
    <w:rPr>
      <w:rFonts w:ascii="Avalon" w:hAnsi="Avalon" w:cs="Avalon"/>
      <w:color w:val="000000"/>
    </w:rPr>
  </w:style>
  <w:style w:type="paragraph" w:styleId="Lista">
    <w:name w:val="List"/>
    <w:basedOn w:val="Normal"/>
    <w:link w:val="ListaChar"/>
    <w:rsid w:val="00834F0B"/>
    <w:pPr>
      <w:ind w:left="283" w:hanging="283"/>
    </w:pPr>
  </w:style>
  <w:style w:type="paragraph" w:customStyle="1" w:styleId="1-LISTA1RELATORIO">
    <w:name w:val="1 - LISTA 1  RELATORIO"/>
    <w:basedOn w:val="Lista"/>
    <w:next w:val="1-REL11"/>
    <w:link w:val="1-LISTA1RELATORIOCharChar"/>
    <w:autoRedefine/>
    <w:rsid w:val="00273040"/>
    <w:pPr>
      <w:numPr>
        <w:numId w:val="2"/>
      </w:numPr>
    </w:pPr>
    <w:rPr>
      <w:rFonts w:cs="Arial"/>
      <w:sz w:val="24"/>
      <w:szCs w:val="24"/>
    </w:rPr>
  </w:style>
  <w:style w:type="character" w:customStyle="1" w:styleId="CharChar1">
    <w:name w:val="Char Char1"/>
    <w:basedOn w:val="Fontepargpadro"/>
    <w:locked/>
    <w:rsid w:val="00ED3BE2"/>
    <w:rPr>
      <w:rFonts w:ascii="Arial" w:hAnsi="Arial" w:cs="Arial"/>
      <w:b/>
      <w:bCs/>
      <w:sz w:val="24"/>
      <w:szCs w:val="24"/>
      <w:lang w:val="pt-BR" w:eastAsia="pt-BR"/>
    </w:rPr>
  </w:style>
  <w:style w:type="character" w:customStyle="1" w:styleId="TtuloChar1">
    <w:name w:val="Título Char1"/>
    <w:basedOn w:val="Fontepargpadro"/>
    <w:link w:val="Ttulo"/>
    <w:locked/>
    <w:rsid w:val="002F5314"/>
    <w:rPr>
      <w:rFonts w:ascii="Arial" w:hAnsi="Arial"/>
      <w:b/>
      <w:color w:val="948A54" w:themeColor="background2" w:themeShade="80"/>
      <w:sz w:val="32"/>
      <w:szCs w:val="24"/>
    </w:rPr>
  </w:style>
  <w:style w:type="paragraph" w:customStyle="1" w:styleId="Estilo1-CORPOTEXTORELATORIOCharesquerda0cmPrimeiral">
    <w:name w:val="Estilo 1 -CORPO TEXTO RELATORIO Char + À esquerda:  0 cm Primeira l..."/>
    <w:basedOn w:val="1-CORPOTEXTORELATORIOChar"/>
    <w:autoRedefine/>
    <w:uiPriority w:val="99"/>
    <w:rsid w:val="00ED3BE2"/>
    <w:pPr>
      <w:ind w:left="0" w:firstLine="0"/>
    </w:pPr>
  </w:style>
  <w:style w:type="paragraph" w:customStyle="1" w:styleId="EstiloRecuodecorpodetextoPrimeiralinha0cm">
    <w:name w:val="Estilo Recuo de corpo de texto + Primeira linha:  0 cm"/>
    <w:basedOn w:val="Recuodecorpodetexto"/>
    <w:autoRedefine/>
    <w:uiPriority w:val="99"/>
    <w:rsid w:val="00ED3BE2"/>
    <w:pPr>
      <w:ind w:firstLine="0"/>
    </w:pPr>
  </w:style>
  <w:style w:type="paragraph" w:customStyle="1" w:styleId="xl44">
    <w:name w:val="xl44"/>
    <w:basedOn w:val="Normal"/>
    <w:uiPriority w:val="99"/>
    <w:rsid w:val="00ED3BE2"/>
    <w:pPr>
      <w:pBdr>
        <w:bottom w:val="single" w:sz="4" w:space="0" w:color="auto"/>
      </w:pBdr>
      <w:spacing w:before="100" w:beforeAutospacing="1" w:after="100" w:afterAutospacing="1"/>
      <w:jc w:val="right"/>
      <w:textAlignment w:val="center"/>
    </w:pPr>
    <w:rPr>
      <w:rFonts w:cs="Arial"/>
      <w:sz w:val="16"/>
      <w:szCs w:val="16"/>
    </w:rPr>
  </w:style>
  <w:style w:type="character" w:customStyle="1" w:styleId="CharChar2">
    <w:name w:val="Char Char2"/>
    <w:basedOn w:val="Fontepargpadro"/>
    <w:locked/>
    <w:rsid w:val="00241508"/>
    <w:rPr>
      <w:rFonts w:ascii="Arial" w:hAnsi="Arial" w:cs="Arial"/>
      <w:b/>
      <w:bCs/>
      <w:sz w:val="24"/>
      <w:szCs w:val="24"/>
      <w:lang w:val="pt-BR" w:eastAsia="pt-BR"/>
    </w:rPr>
  </w:style>
  <w:style w:type="paragraph" w:styleId="Ttulo">
    <w:name w:val="Title"/>
    <w:basedOn w:val="Normal"/>
    <w:next w:val="Normal0"/>
    <w:link w:val="TtuloChar1"/>
    <w:qFormat/>
    <w:rsid w:val="002F5314"/>
    <w:pPr>
      <w:spacing w:line="276" w:lineRule="auto"/>
      <w:outlineLvl w:val="0"/>
    </w:pPr>
    <w:rPr>
      <w:b/>
      <w:color w:val="948A54" w:themeColor="background2" w:themeShade="80"/>
      <w:sz w:val="32"/>
      <w:szCs w:val="24"/>
    </w:rPr>
  </w:style>
  <w:style w:type="paragraph" w:customStyle="1" w:styleId="ttulo40">
    <w:name w:val="título 4"/>
    <w:basedOn w:val="Ttulo4"/>
    <w:next w:val="Normal"/>
    <w:link w:val="ttulo4CharChar"/>
    <w:autoRedefine/>
    <w:rsid w:val="00F06725"/>
    <w:rPr>
      <w:b/>
      <w:bCs w:val="0"/>
    </w:rPr>
  </w:style>
  <w:style w:type="character" w:customStyle="1" w:styleId="ttulo4CharChar">
    <w:name w:val="título 4 Char Char"/>
    <w:basedOn w:val="CharChar2"/>
    <w:link w:val="ttulo40"/>
    <w:locked/>
    <w:rsid w:val="00F06725"/>
    <w:rPr>
      <w:rFonts w:ascii="Arial" w:hAnsi="Arial" w:cs="Arial"/>
      <w:b/>
      <w:bCs w:val="0"/>
      <w:iCs/>
      <w:sz w:val="24"/>
      <w:szCs w:val="24"/>
      <w:lang w:val="pt-BR" w:eastAsia="pt-BR"/>
    </w:rPr>
  </w:style>
  <w:style w:type="paragraph" w:customStyle="1" w:styleId="1-TABELATEXTO">
    <w:name w:val="1 - TABELA TEXTO"/>
    <w:basedOn w:val="1-TABTITULO10NEG"/>
    <w:next w:val="TextosemFormatao"/>
    <w:link w:val="1-TABELATEXTOChar"/>
    <w:rsid w:val="00241508"/>
    <w:pPr>
      <w:spacing w:line="300" w:lineRule="exact"/>
      <w:ind w:left="-57" w:right="-57"/>
      <w:jc w:val="left"/>
    </w:pPr>
  </w:style>
  <w:style w:type="paragraph" w:customStyle="1" w:styleId="1TABELA-TOTALESQUERDA">
    <w:name w:val="1 TABELA - TOTAL  ESQUERDA"/>
    <w:basedOn w:val="1-TABTITULO10NEG"/>
    <w:autoRedefine/>
    <w:uiPriority w:val="99"/>
    <w:rsid w:val="00241508"/>
    <w:pPr>
      <w:ind w:left="-57" w:right="-57"/>
      <w:jc w:val="left"/>
    </w:pPr>
    <w:rPr>
      <w:color w:val="auto"/>
      <w:sz w:val="21"/>
      <w:szCs w:val="21"/>
    </w:rPr>
  </w:style>
  <w:style w:type="paragraph" w:customStyle="1" w:styleId="1-TABELA-TITULO">
    <w:name w:val="1 - TABELA - TITULO"/>
    <w:basedOn w:val="Normal"/>
    <w:link w:val="1-TABELA-TITULOChar"/>
    <w:rsid w:val="00241508"/>
    <w:pPr>
      <w:keepNext/>
      <w:outlineLvl w:val="2"/>
    </w:pPr>
    <w:rPr>
      <w:rFonts w:cs="Arial"/>
      <w:b/>
      <w:bCs/>
      <w:sz w:val="24"/>
      <w:szCs w:val="24"/>
    </w:rPr>
  </w:style>
  <w:style w:type="character" w:customStyle="1" w:styleId="1-TABELA-TITULOChar">
    <w:name w:val="1 - TABELA - TITULO Char"/>
    <w:basedOn w:val="Fontepargpadro"/>
    <w:link w:val="1-TABELA-TITULO"/>
    <w:locked/>
    <w:rsid w:val="00241508"/>
    <w:rPr>
      <w:rFonts w:ascii="Arial" w:hAnsi="Arial" w:cs="Arial"/>
      <w:b/>
      <w:bCs/>
      <w:sz w:val="24"/>
      <w:szCs w:val="24"/>
      <w:lang w:val="pt-BR" w:eastAsia="pt-BR"/>
    </w:rPr>
  </w:style>
  <w:style w:type="paragraph" w:customStyle="1" w:styleId="1-TABTIT10">
    <w:name w:val="1 - TAB TIT 10"/>
    <w:basedOn w:val="1-TABTITULO10NEG"/>
    <w:link w:val="1-TABTIT10Char"/>
    <w:rsid w:val="00A663EA"/>
    <w:pPr>
      <w:ind w:left="-57" w:right="-57"/>
    </w:pPr>
    <w:rPr>
      <w:color w:val="auto"/>
      <w:szCs w:val="20"/>
    </w:rPr>
  </w:style>
  <w:style w:type="paragraph" w:customStyle="1" w:styleId="1-TABTOTMAIJUST10">
    <w:name w:val="1 - TAB TOT MAI JUST 10"/>
    <w:basedOn w:val="1-TABTITULO10NEG"/>
    <w:autoRedefine/>
    <w:uiPriority w:val="99"/>
    <w:rsid w:val="00241508"/>
    <w:pPr>
      <w:ind w:left="-57" w:right="-57"/>
    </w:pPr>
    <w:rPr>
      <w:caps w:val="0"/>
      <w:color w:val="auto"/>
      <w:sz w:val="21"/>
      <w:szCs w:val="21"/>
    </w:rPr>
  </w:style>
  <w:style w:type="paragraph" w:customStyle="1" w:styleId="1-SUBNUMERO">
    <w:name w:val="1 - SUB NUMERO"/>
    <w:basedOn w:val="Normal"/>
    <w:autoRedefine/>
    <w:uiPriority w:val="99"/>
    <w:rsid w:val="00241508"/>
    <w:pPr>
      <w:jc w:val="right"/>
    </w:pPr>
    <w:rPr>
      <w:rFonts w:cs="Arial"/>
      <w:b/>
      <w:bCs/>
    </w:rPr>
  </w:style>
  <w:style w:type="paragraph" w:customStyle="1" w:styleId="1-TABTEXTO10ptESQUERDA">
    <w:name w:val="1 - TAB TEXTO + 10 pt ESQUERDA"/>
    <w:basedOn w:val="1-TABELATEXTO"/>
    <w:link w:val="1-TABTEXTO10ptESQUERDAChar"/>
    <w:rsid w:val="00241508"/>
    <w:rPr>
      <w:szCs w:val="20"/>
    </w:rPr>
  </w:style>
  <w:style w:type="paragraph" w:customStyle="1" w:styleId="1-TABnumero10ptNegritodireita1">
    <w:name w:val="1 - TAB numero 10 pt Negrito À direita1"/>
    <w:basedOn w:val="1-TABELATEXTO"/>
    <w:autoRedefine/>
    <w:uiPriority w:val="99"/>
    <w:rsid w:val="00241508"/>
    <w:pPr>
      <w:jc w:val="right"/>
    </w:pPr>
    <w:rPr>
      <w:b w:val="0"/>
      <w:bCs w:val="0"/>
      <w:szCs w:val="20"/>
    </w:rPr>
  </w:style>
  <w:style w:type="character" w:customStyle="1" w:styleId="1-TABTITULO10NEGCharChar">
    <w:name w:val="1 - TAB TITULO 10 NEG Char Char"/>
    <w:basedOn w:val="TtuloChar1"/>
    <w:link w:val="1-TABTITULO10NEG"/>
    <w:locked/>
    <w:rsid w:val="00DB39A3"/>
    <w:rPr>
      <w:rFonts w:ascii="Arial" w:hAnsi="Arial" w:cs="Arial"/>
      <w:b/>
      <w:bCs/>
      <w:caps/>
      <w:color w:val="000000"/>
      <w:sz w:val="52"/>
      <w:szCs w:val="22"/>
      <w:lang w:bidi="ar-SA"/>
    </w:rPr>
  </w:style>
  <w:style w:type="character" w:customStyle="1" w:styleId="1-TABELATEXTOChar">
    <w:name w:val="1 - TABELA TEXTO Char"/>
    <w:basedOn w:val="1-TABTITULO10NEGCharChar"/>
    <w:link w:val="1-TABELATEXTO"/>
    <w:locked/>
    <w:rsid w:val="00241508"/>
    <w:rPr>
      <w:rFonts w:ascii="Arial" w:hAnsi="Arial" w:cs="Arial"/>
      <w:b/>
      <w:bCs/>
      <w:caps/>
      <w:color w:val="000000"/>
      <w:sz w:val="52"/>
      <w:szCs w:val="22"/>
      <w:lang w:bidi="ar-SA"/>
    </w:rPr>
  </w:style>
  <w:style w:type="paragraph" w:customStyle="1" w:styleId="1-SUBminusc-SUBLINHADO">
    <w:name w:val="1 - SUB minusc - SUBLINHADO"/>
    <w:basedOn w:val="Normal"/>
    <w:uiPriority w:val="99"/>
    <w:rsid w:val="003C543A"/>
    <w:rPr>
      <w:rFonts w:cs="Arial"/>
      <w:b/>
      <w:bCs/>
      <w:u w:val="single"/>
    </w:rPr>
  </w:style>
  <w:style w:type="paragraph" w:customStyle="1" w:styleId="1-SUBMAIUSC">
    <w:name w:val="1 - SUB MAIUSC"/>
    <w:basedOn w:val="Normal"/>
    <w:next w:val="TextosemFormatao"/>
    <w:uiPriority w:val="99"/>
    <w:rsid w:val="003C543A"/>
    <w:rPr>
      <w:rFonts w:cs="Arial"/>
      <w:b/>
      <w:bCs/>
    </w:rPr>
  </w:style>
  <w:style w:type="paragraph" w:customStyle="1" w:styleId="1-TABNUMEROSUBLI">
    <w:name w:val="1 - TAB  NUMERO SUBLI"/>
    <w:basedOn w:val="Normal"/>
    <w:autoRedefine/>
    <w:uiPriority w:val="99"/>
    <w:rsid w:val="00241508"/>
    <w:pPr>
      <w:jc w:val="right"/>
    </w:pPr>
    <w:rPr>
      <w:rFonts w:cs="Arial"/>
      <w:u w:val="single"/>
    </w:rPr>
  </w:style>
  <w:style w:type="paragraph" w:customStyle="1" w:styleId="1-CORPOTEXTORELATRIONEGRITADO">
    <w:name w:val="1 - CORPO TEXTO RELATÓRIO NEGRITADO"/>
    <w:basedOn w:val="Normal"/>
    <w:uiPriority w:val="99"/>
    <w:rsid w:val="003C543A"/>
    <w:pPr>
      <w:framePr w:hSpace="187" w:wrap="around" w:vAnchor="page" w:hAnchor="margin" w:xAlign="right" w:y="4891"/>
      <w:tabs>
        <w:tab w:val="left" w:pos="2835"/>
      </w:tabs>
      <w:spacing w:before="200" w:after="200" w:line="276" w:lineRule="auto"/>
      <w:jc w:val="center"/>
    </w:pPr>
    <w:rPr>
      <w:rFonts w:ascii="Calibri" w:eastAsiaTheme="minorEastAsia" w:hAnsi="Calibri"/>
      <w:b/>
      <w:bCs/>
      <w:sz w:val="28"/>
      <w:szCs w:val="28"/>
    </w:rPr>
  </w:style>
  <w:style w:type="table" w:styleId="Tabelacomgrade">
    <w:name w:val="Table Grid"/>
    <w:basedOn w:val="Tabelanormal"/>
    <w:uiPriority w:val="59"/>
    <w:rsid w:val="00241508"/>
    <w:rPr>
      <w:rFonts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ORPOTEXTORELATORIO">
    <w:name w:val="1 -CORPO TEXTO RELATORIO"/>
    <w:basedOn w:val="Corpodetexto"/>
    <w:autoRedefine/>
    <w:uiPriority w:val="99"/>
    <w:rsid w:val="003B50B4"/>
    <w:pPr>
      <w:tabs>
        <w:tab w:val="left" w:pos="3544"/>
      </w:tabs>
    </w:pPr>
    <w:rPr>
      <w:rFonts w:cs="Arial"/>
    </w:rPr>
  </w:style>
  <w:style w:type="character" w:customStyle="1" w:styleId="TtuloChar">
    <w:name w:val="Título Char"/>
    <w:basedOn w:val="Fontepargpadro"/>
    <w:uiPriority w:val="99"/>
    <w:locked/>
    <w:rsid w:val="00241508"/>
    <w:rPr>
      <w:rFonts w:ascii="Arial" w:hAnsi="Arial" w:cs="Arial"/>
      <w:b/>
      <w:bCs/>
      <w:kern w:val="28"/>
      <w:sz w:val="32"/>
      <w:szCs w:val="32"/>
      <w:lang w:val="pt-BR" w:eastAsia="pt-BR"/>
    </w:rPr>
  </w:style>
  <w:style w:type="paragraph" w:customStyle="1" w:styleId="Estilo1-FONTEBALANOesquerda0cm">
    <w:name w:val="Estilo 1 - FONTE: BALANÇO... + À esquerda:  0 cm"/>
    <w:basedOn w:val="1-FONTEBALANO"/>
    <w:uiPriority w:val="99"/>
    <w:rsid w:val="00241508"/>
    <w:pPr>
      <w:ind w:hanging="142"/>
    </w:pPr>
  </w:style>
  <w:style w:type="paragraph" w:styleId="Textodebalo">
    <w:name w:val="Balloon Text"/>
    <w:basedOn w:val="Normal"/>
    <w:link w:val="TextodebaloChar"/>
    <w:uiPriority w:val="99"/>
    <w:rsid w:val="00241508"/>
    <w:rPr>
      <w:rFonts w:ascii="Tahoma" w:hAnsi="Tahoma" w:cs="Tahoma"/>
      <w:sz w:val="16"/>
      <w:szCs w:val="16"/>
    </w:rPr>
  </w:style>
  <w:style w:type="paragraph" w:customStyle="1" w:styleId="1-TABTITMAI11pt">
    <w:name w:val="1 - TAB TIT MAI + 11 pt"/>
    <w:basedOn w:val="Normal"/>
    <w:uiPriority w:val="99"/>
    <w:rsid w:val="00241508"/>
    <w:pPr>
      <w:jc w:val="center"/>
    </w:pPr>
    <w:rPr>
      <w:rFonts w:cs="Arial"/>
      <w:b/>
      <w:bCs/>
    </w:rPr>
  </w:style>
  <w:style w:type="character" w:customStyle="1" w:styleId="Ttulo4CharChar0">
    <w:name w:val="Título 4 Char Char"/>
    <w:basedOn w:val="Fontepargpadro"/>
    <w:locked/>
    <w:rsid w:val="00241508"/>
    <w:rPr>
      <w:rFonts w:ascii="Arial" w:hAnsi="Arial" w:cs="Arial"/>
      <w:b/>
      <w:bCs/>
      <w:sz w:val="24"/>
      <w:szCs w:val="24"/>
      <w:lang w:val="pt-BR" w:eastAsia="pt-BR"/>
    </w:rPr>
  </w:style>
  <w:style w:type="character" w:customStyle="1" w:styleId="1-TABTEXTO10ptESQUERDAChar">
    <w:name w:val="1 - TAB TEXTO + 10 pt ESQUERDA Char"/>
    <w:basedOn w:val="Fontepargpadro"/>
    <w:link w:val="1-TABTEXTO10ptESQUERDA"/>
    <w:locked/>
    <w:rsid w:val="00241508"/>
    <w:rPr>
      <w:rFonts w:ascii="Arial" w:hAnsi="Arial" w:cs="Arial"/>
      <w:b/>
      <w:bCs/>
      <w:caps/>
      <w:color w:val="000000"/>
      <w:lang w:val="pt-BR" w:eastAsia="pt-BR"/>
    </w:rPr>
  </w:style>
  <w:style w:type="character" w:customStyle="1" w:styleId="1-TABTEXTOESQUERDACharChar">
    <w:name w:val="1 - TAB TEXTO ESQUERDA Char Char"/>
    <w:basedOn w:val="1-TABTEXTO10ptESQUERDAChar"/>
    <w:locked/>
    <w:rsid w:val="00241508"/>
    <w:rPr>
      <w:rFonts w:ascii="Arial" w:hAnsi="Arial" w:cs="Arial"/>
      <w:b/>
      <w:bCs/>
      <w:caps/>
      <w:color w:val="000000"/>
      <w:sz w:val="22"/>
      <w:szCs w:val="22"/>
      <w:lang w:val="pt-BR" w:eastAsia="pt-BR"/>
    </w:rPr>
  </w:style>
  <w:style w:type="paragraph" w:customStyle="1" w:styleId="1-TABTEXTOESQ10crecuo">
    <w:name w:val="1 - TAB TEXTO ESQ 10 c/ recuo"/>
    <w:basedOn w:val="Normal"/>
    <w:autoRedefine/>
    <w:uiPriority w:val="99"/>
    <w:rsid w:val="00DB39A3"/>
    <w:pPr>
      <w:tabs>
        <w:tab w:val="left" w:pos="851"/>
      </w:tabs>
      <w:ind w:firstLine="254"/>
    </w:pPr>
    <w:rPr>
      <w:rFonts w:cs="Arial"/>
    </w:rPr>
  </w:style>
  <w:style w:type="paragraph" w:customStyle="1" w:styleId="1-TABTIT11">
    <w:name w:val="1 - TAB TIT 11"/>
    <w:basedOn w:val="Normal"/>
    <w:autoRedefine/>
    <w:uiPriority w:val="99"/>
    <w:rsid w:val="00C06A96"/>
    <w:pPr>
      <w:jc w:val="center"/>
    </w:pPr>
    <w:rPr>
      <w:rFonts w:cs="Arial"/>
      <w:b/>
      <w:bCs/>
    </w:rPr>
  </w:style>
  <w:style w:type="paragraph" w:customStyle="1" w:styleId="1-REL11">
    <w:name w:val="1 -  REL 11"/>
    <w:basedOn w:val="Corpodetexto"/>
    <w:link w:val="1-REL11Char"/>
    <w:qFormat/>
    <w:rsid w:val="00B523B9"/>
    <w:pPr>
      <w:tabs>
        <w:tab w:val="left" w:pos="2835"/>
      </w:tabs>
      <w:spacing w:before="200" w:after="200" w:line="276" w:lineRule="auto"/>
    </w:pPr>
    <w:rPr>
      <w:rFonts w:eastAsia="Calibri"/>
      <w:sz w:val="22"/>
      <w:szCs w:val="22"/>
    </w:rPr>
  </w:style>
  <w:style w:type="character" w:customStyle="1" w:styleId="1-REL11Char">
    <w:name w:val="1 -  REL 11 Char"/>
    <w:basedOn w:val="CharChar1"/>
    <w:link w:val="1-REL11"/>
    <w:locked/>
    <w:rsid w:val="00B523B9"/>
    <w:rPr>
      <w:rFonts w:ascii="Arial" w:eastAsia="Calibri" w:hAnsi="Arial" w:cs="Arial"/>
      <w:b w:val="0"/>
      <w:bCs w:val="0"/>
      <w:sz w:val="22"/>
      <w:szCs w:val="22"/>
      <w:lang w:val="pt-BR" w:eastAsia="pt-BR"/>
    </w:rPr>
  </w:style>
  <w:style w:type="paragraph" w:customStyle="1" w:styleId="Estilo1-TABTIT10">
    <w:name w:val="Estilo 1 - TAB TIT 10"/>
    <w:basedOn w:val="1-TABTIT11"/>
    <w:autoRedefine/>
    <w:uiPriority w:val="99"/>
    <w:rsid w:val="00241508"/>
    <w:rPr>
      <w:sz w:val="20"/>
      <w:szCs w:val="20"/>
    </w:rPr>
  </w:style>
  <w:style w:type="paragraph" w:customStyle="1" w:styleId="1-TABTIT9">
    <w:name w:val="1 - TAB TIT 9"/>
    <w:basedOn w:val="1-TABTIT10"/>
    <w:uiPriority w:val="99"/>
    <w:rsid w:val="006B5FC2"/>
    <w:pPr>
      <w:ind w:firstLine="8"/>
    </w:pPr>
    <w:rPr>
      <w:bCs w:val="0"/>
      <w:caps w:val="0"/>
    </w:rPr>
  </w:style>
  <w:style w:type="paragraph" w:customStyle="1" w:styleId="xl22">
    <w:name w:val="xl22"/>
    <w:basedOn w:val="Normal"/>
    <w:uiPriority w:val="99"/>
    <w:rsid w:val="00241508"/>
    <w:pPr>
      <w:pBdr>
        <w:left w:val="single" w:sz="4" w:space="0" w:color="auto"/>
      </w:pBdr>
      <w:spacing w:before="100" w:beforeAutospacing="1" w:after="100" w:afterAutospacing="1"/>
    </w:pPr>
    <w:rPr>
      <w:rFonts w:cs="Arial"/>
      <w:b/>
      <w:bCs/>
      <w:sz w:val="24"/>
      <w:szCs w:val="24"/>
    </w:rPr>
  </w:style>
  <w:style w:type="paragraph" w:customStyle="1" w:styleId="xl23">
    <w:name w:val="xl23"/>
    <w:basedOn w:val="Normal"/>
    <w:uiPriority w:val="99"/>
    <w:rsid w:val="00241508"/>
    <w:pPr>
      <w:spacing w:before="100" w:beforeAutospacing="1" w:after="100" w:afterAutospacing="1"/>
      <w:jc w:val="center"/>
    </w:pPr>
    <w:rPr>
      <w:rFonts w:cs="Arial"/>
      <w:b/>
      <w:bCs/>
      <w:sz w:val="24"/>
      <w:szCs w:val="24"/>
    </w:rPr>
  </w:style>
  <w:style w:type="paragraph" w:customStyle="1" w:styleId="xl36">
    <w:name w:val="xl36"/>
    <w:basedOn w:val="Normal"/>
    <w:uiPriority w:val="99"/>
    <w:rsid w:val="00241508"/>
    <w:pPr>
      <w:pBdr>
        <w:bottom w:val="single" w:sz="4" w:space="0" w:color="auto"/>
      </w:pBdr>
      <w:spacing w:before="100" w:beforeAutospacing="1" w:after="100" w:afterAutospacing="1"/>
    </w:pPr>
    <w:rPr>
      <w:rFonts w:cs="Arial"/>
      <w:b/>
      <w:bCs/>
      <w:sz w:val="24"/>
      <w:szCs w:val="24"/>
    </w:rPr>
  </w:style>
  <w:style w:type="paragraph" w:customStyle="1" w:styleId="xl37">
    <w:name w:val="xl37"/>
    <w:basedOn w:val="Normal"/>
    <w:uiPriority w:val="99"/>
    <w:rsid w:val="00241508"/>
    <w:pPr>
      <w:pBdr>
        <w:left w:val="single" w:sz="4" w:space="0" w:color="auto"/>
        <w:bottom w:val="single" w:sz="4" w:space="0" w:color="auto"/>
        <w:right w:val="single" w:sz="4" w:space="0" w:color="auto"/>
      </w:pBdr>
      <w:spacing w:before="100" w:beforeAutospacing="1" w:after="100" w:afterAutospacing="1"/>
    </w:pPr>
    <w:rPr>
      <w:rFonts w:cs="Arial"/>
      <w:b/>
      <w:bCs/>
      <w:sz w:val="24"/>
      <w:szCs w:val="24"/>
    </w:rPr>
  </w:style>
  <w:style w:type="paragraph" w:customStyle="1" w:styleId="xl38">
    <w:name w:val="xl38"/>
    <w:basedOn w:val="Normal"/>
    <w:uiPriority w:val="99"/>
    <w:rsid w:val="00241508"/>
    <w:pPr>
      <w:pBdr>
        <w:left w:val="single" w:sz="4" w:space="0" w:color="auto"/>
        <w:right w:val="single" w:sz="4" w:space="0" w:color="auto"/>
      </w:pBdr>
      <w:spacing w:before="100" w:beforeAutospacing="1" w:after="100" w:afterAutospacing="1"/>
    </w:pPr>
    <w:rPr>
      <w:rFonts w:ascii="Arial Unicode MS" w:cs="Arial Unicode MS"/>
      <w:sz w:val="24"/>
      <w:szCs w:val="24"/>
    </w:rPr>
  </w:style>
  <w:style w:type="paragraph" w:customStyle="1" w:styleId="xl39">
    <w:name w:val="xl39"/>
    <w:basedOn w:val="Normal"/>
    <w:uiPriority w:val="99"/>
    <w:rsid w:val="00241508"/>
    <w:pPr>
      <w:pBdr>
        <w:left w:val="single" w:sz="4" w:space="0" w:color="auto"/>
        <w:right w:val="single" w:sz="4" w:space="0" w:color="auto"/>
      </w:pBdr>
      <w:spacing w:before="100" w:beforeAutospacing="1" w:after="100" w:afterAutospacing="1"/>
    </w:pPr>
    <w:rPr>
      <w:rFonts w:cs="Arial"/>
      <w:b/>
      <w:bCs/>
      <w:sz w:val="24"/>
      <w:szCs w:val="24"/>
    </w:rPr>
  </w:style>
  <w:style w:type="paragraph" w:customStyle="1" w:styleId="xl40">
    <w:name w:val="xl40"/>
    <w:basedOn w:val="Normal"/>
    <w:uiPriority w:val="99"/>
    <w:rsid w:val="00241508"/>
    <w:pPr>
      <w:pBdr>
        <w:left w:val="single" w:sz="4" w:space="0" w:color="auto"/>
        <w:right w:val="single" w:sz="4" w:space="0" w:color="auto"/>
      </w:pBdr>
      <w:spacing w:before="100" w:beforeAutospacing="1" w:after="100" w:afterAutospacing="1"/>
      <w:jc w:val="center"/>
    </w:pPr>
    <w:rPr>
      <w:rFonts w:cs="Arial"/>
      <w:b/>
      <w:bCs/>
      <w:sz w:val="24"/>
      <w:szCs w:val="24"/>
    </w:rPr>
  </w:style>
  <w:style w:type="paragraph" w:customStyle="1" w:styleId="xl41">
    <w:name w:val="xl41"/>
    <w:basedOn w:val="Normal"/>
    <w:uiPriority w:val="99"/>
    <w:rsid w:val="00241508"/>
    <w:pPr>
      <w:pBdr>
        <w:left w:val="single" w:sz="4" w:space="0" w:color="auto"/>
        <w:bottom w:val="single" w:sz="4" w:space="0" w:color="auto"/>
        <w:right w:val="single" w:sz="4" w:space="0" w:color="auto"/>
      </w:pBdr>
      <w:spacing w:before="100" w:beforeAutospacing="1" w:after="100" w:afterAutospacing="1"/>
    </w:pPr>
    <w:rPr>
      <w:rFonts w:cs="Arial"/>
      <w:b/>
      <w:bCs/>
      <w:sz w:val="24"/>
      <w:szCs w:val="24"/>
    </w:rPr>
  </w:style>
  <w:style w:type="paragraph" w:customStyle="1" w:styleId="xl42">
    <w:name w:val="xl42"/>
    <w:basedOn w:val="Normal"/>
    <w:uiPriority w:val="99"/>
    <w:rsid w:val="00241508"/>
    <w:pPr>
      <w:pBdr>
        <w:left w:val="single" w:sz="4" w:space="0" w:color="auto"/>
        <w:right w:val="single" w:sz="4" w:space="0" w:color="auto"/>
      </w:pBdr>
      <w:spacing w:before="100" w:beforeAutospacing="1" w:after="100" w:afterAutospacing="1"/>
      <w:jc w:val="center"/>
    </w:pPr>
    <w:rPr>
      <w:rFonts w:cs="Arial"/>
      <w:b/>
      <w:bCs/>
      <w:sz w:val="24"/>
      <w:szCs w:val="24"/>
    </w:rPr>
  </w:style>
  <w:style w:type="character" w:styleId="HiperlinkVisitado">
    <w:name w:val="FollowedHyperlink"/>
    <w:basedOn w:val="Fontepargpadro"/>
    <w:rsid w:val="00241508"/>
    <w:rPr>
      <w:color w:val="800080"/>
      <w:u w:val="single"/>
    </w:rPr>
  </w:style>
  <w:style w:type="paragraph" w:customStyle="1" w:styleId="EstiloTtulo312ptNoNegritoPretoAntes0ptDepoisde">
    <w:name w:val="Estilo Título 3 + 12 pt Não Negrito Preto Antes:  0 pt Depois de..."/>
    <w:basedOn w:val="Ttulo3"/>
    <w:autoRedefine/>
    <w:uiPriority w:val="99"/>
    <w:rsid w:val="00241508"/>
    <w:pPr>
      <w:numPr>
        <w:numId w:val="0"/>
      </w:numPr>
      <w:tabs>
        <w:tab w:val="num" w:pos="709"/>
      </w:tabs>
      <w:ind w:left="709" w:hanging="709"/>
    </w:pPr>
    <w:rPr>
      <w:b w:val="0"/>
      <w:bCs w:val="0"/>
      <w:color w:val="000000"/>
    </w:rPr>
  </w:style>
  <w:style w:type="paragraph" w:customStyle="1" w:styleId="Normal1">
    <w:name w:val="Normal1"/>
    <w:basedOn w:val="Normal"/>
    <w:uiPriority w:val="99"/>
    <w:rsid w:val="00241508"/>
    <w:pPr>
      <w:widowControl w:val="0"/>
      <w:suppressAutoHyphens/>
    </w:pPr>
    <w:rPr>
      <w:sz w:val="24"/>
      <w:szCs w:val="24"/>
    </w:rPr>
  </w:style>
  <w:style w:type="paragraph" w:customStyle="1" w:styleId="EstiloTtulo6Negrito">
    <w:name w:val="Estilo Título 6 + Negrito"/>
    <w:basedOn w:val="Ttulo6"/>
    <w:autoRedefine/>
    <w:uiPriority w:val="99"/>
    <w:rsid w:val="00241508"/>
    <w:pPr>
      <w:tabs>
        <w:tab w:val="num" w:pos="1260"/>
        <w:tab w:val="num" w:pos="1800"/>
      </w:tabs>
      <w:ind w:left="1260" w:hanging="1260"/>
    </w:pPr>
    <w:rPr>
      <w:b/>
      <w:bCs w:val="0"/>
      <w:color w:val="000000"/>
    </w:rPr>
  </w:style>
  <w:style w:type="paragraph" w:customStyle="1" w:styleId="EstiloTtulo4Negrito">
    <w:name w:val="Estilo Título 4 + Negrito"/>
    <w:basedOn w:val="Ttulo4"/>
    <w:autoRedefine/>
    <w:uiPriority w:val="99"/>
    <w:rsid w:val="00241508"/>
    <w:pPr>
      <w:tabs>
        <w:tab w:val="num" w:pos="900"/>
        <w:tab w:val="num" w:pos="1440"/>
      </w:tabs>
      <w:ind w:left="900" w:hanging="900"/>
    </w:pPr>
  </w:style>
  <w:style w:type="character" w:customStyle="1" w:styleId="Ttulo5Char">
    <w:name w:val="Título 5 Char"/>
    <w:basedOn w:val="Fontepargpadro"/>
    <w:link w:val="Ttulo5"/>
    <w:locked/>
    <w:rsid w:val="00A9731B"/>
  </w:style>
  <w:style w:type="character" w:customStyle="1" w:styleId="Ttulo6Char">
    <w:name w:val="Título 6 Char"/>
    <w:basedOn w:val="Ttulo5Char"/>
    <w:link w:val="Ttulo6"/>
    <w:locked/>
    <w:rsid w:val="002E4E5C"/>
    <w:rPr>
      <w:rFonts w:eastAsia="Calibri" w:cs="Arial"/>
      <w:bCs/>
      <w:w w:val="109"/>
      <w:lang w:eastAsia="en-US"/>
    </w:rPr>
  </w:style>
  <w:style w:type="character" w:customStyle="1" w:styleId="Corpodetexto2Char">
    <w:name w:val="Corpo de texto 2 Char"/>
    <w:basedOn w:val="Fontepargpadro"/>
    <w:link w:val="Corpodetexto2"/>
    <w:uiPriority w:val="99"/>
    <w:locked/>
    <w:rsid w:val="00241508"/>
    <w:rPr>
      <w:rFonts w:ascii="Arial" w:hAnsi="Arial" w:cs="Arial"/>
      <w:sz w:val="24"/>
      <w:szCs w:val="24"/>
      <w:lang w:val="pt-BR" w:eastAsia="pt-BR"/>
    </w:rPr>
  </w:style>
  <w:style w:type="paragraph" w:styleId="Remissivo1">
    <w:name w:val="index 1"/>
    <w:basedOn w:val="Normal"/>
    <w:next w:val="Normal"/>
    <w:autoRedefine/>
    <w:rsid w:val="002A20DD"/>
    <w:pPr>
      <w:tabs>
        <w:tab w:val="left" w:pos="454"/>
      </w:tabs>
      <w:ind w:left="198" w:hanging="198"/>
    </w:pPr>
  </w:style>
  <w:style w:type="paragraph" w:styleId="Remissivo9">
    <w:name w:val="index 9"/>
    <w:basedOn w:val="Normal"/>
    <w:next w:val="Normal"/>
    <w:autoRedefine/>
    <w:rsid w:val="00241508"/>
    <w:pPr>
      <w:ind w:left="1800" w:hanging="200"/>
    </w:pPr>
    <w:rPr>
      <w:rFonts w:cs="Arial"/>
      <w:sz w:val="24"/>
      <w:szCs w:val="24"/>
    </w:rPr>
  </w:style>
  <w:style w:type="paragraph" w:customStyle="1" w:styleId="DefinitionList">
    <w:name w:val="Definition List"/>
    <w:basedOn w:val="Normal"/>
    <w:next w:val="Normal"/>
    <w:uiPriority w:val="99"/>
    <w:rsid w:val="00241508"/>
    <w:pPr>
      <w:ind w:left="360"/>
    </w:pPr>
    <w:rPr>
      <w:sz w:val="24"/>
      <w:szCs w:val="24"/>
    </w:rPr>
  </w:style>
  <w:style w:type="paragraph" w:customStyle="1" w:styleId="Default">
    <w:name w:val="Default"/>
    <w:uiPriority w:val="99"/>
    <w:rsid w:val="00241508"/>
    <w:pPr>
      <w:autoSpaceDE w:val="0"/>
      <w:autoSpaceDN w:val="0"/>
      <w:adjustRightInd w:val="0"/>
    </w:pPr>
    <w:rPr>
      <w:rFonts w:cs="Arial"/>
    </w:rPr>
  </w:style>
  <w:style w:type="paragraph" w:styleId="NormalWeb">
    <w:name w:val="Normal (Web)"/>
    <w:basedOn w:val="Default"/>
    <w:next w:val="Default"/>
    <w:uiPriority w:val="99"/>
    <w:rsid w:val="00241508"/>
    <w:pPr>
      <w:spacing w:before="100" w:after="100"/>
    </w:pPr>
  </w:style>
  <w:style w:type="paragraph" w:customStyle="1" w:styleId="1-CORPORELATORIO">
    <w:name w:val="1 - CORPO RELATORIO"/>
    <w:basedOn w:val="Normal"/>
    <w:autoRedefine/>
    <w:uiPriority w:val="99"/>
    <w:rsid w:val="00241508"/>
    <w:rPr>
      <w:rFonts w:cs="Arial"/>
      <w:sz w:val="24"/>
      <w:szCs w:val="24"/>
    </w:rPr>
  </w:style>
  <w:style w:type="paragraph" w:customStyle="1" w:styleId="EstiloTtulo4NoNegrito">
    <w:name w:val="Estilo Título 4 + Não Negrito"/>
    <w:basedOn w:val="Ttulo4"/>
    <w:autoRedefine/>
    <w:uiPriority w:val="99"/>
    <w:rsid w:val="00241508"/>
    <w:pPr>
      <w:tabs>
        <w:tab w:val="num" w:pos="993"/>
      </w:tabs>
    </w:pPr>
    <w:rPr>
      <w:b/>
      <w:bCs w:val="0"/>
    </w:rPr>
  </w:style>
  <w:style w:type="paragraph" w:customStyle="1" w:styleId="EstiloTtulo1direita059cmAntes0ptDepoisde0pt">
    <w:name w:val="Estilo Título 1 + À direita:  059 cm Antes:  0 pt Depois de:  0 pt"/>
    <w:basedOn w:val="Ttulo1"/>
    <w:next w:val="1-REL11"/>
    <w:autoRedefine/>
    <w:uiPriority w:val="99"/>
    <w:rsid w:val="00185702"/>
    <w:pPr>
      <w:ind w:right="335"/>
    </w:pPr>
  </w:style>
  <w:style w:type="paragraph" w:customStyle="1" w:styleId="EstiloTtulo4esquerda">
    <w:name w:val="Estilo Título 4 + À esquerda"/>
    <w:basedOn w:val="Ttulo4"/>
    <w:autoRedefine/>
    <w:uiPriority w:val="99"/>
    <w:rsid w:val="0023402B"/>
  </w:style>
  <w:style w:type="paragraph" w:customStyle="1" w:styleId="EstiloTtulo5ArialAntes0ptDepoisde0pt">
    <w:name w:val="Estilo Título 5 + Arial Antes:  0 pt Depois de:  0 pt"/>
    <w:basedOn w:val="Ttulo5"/>
    <w:autoRedefine/>
    <w:uiPriority w:val="99"/>
    <w:rsid w:val="0023402B"/>
  </w:style>
  <w:style w:type="paragraph" w:customStyle="1" w:styleId="EstiloTtulo8ArialAntes0ptDepoisde0pt">
    <w:name w:val="Estilo Título 8 + Arial Antes:  0 pt Depois de:  0 pt"/>
    <w:basedOn w:val="Ttulo8"/>
    <w:autoRedefine/>
    <w:uiPriority w:val="99"/>
    <w:rsid w:val="009839D0"/>
  </w:style>
  <w:style w:type="paragraph" w:customStyle="1" w:styleId="EstiloTtulo7ArialAntes0ptDepoisde0pt">
    <w:name w:val="Estilo Título 7 + Arial Antes:  0 pt Depois de:  0 pt"/>
    <w:basedOn w:val="Ttulo7"/>
    <w:autoRedefine/>
    <w:uiPriority w:val="99"/>
    <w:rsid w:val="009839D0"/>
  </w:style>
  <w:style w:type="paragraph" w:customStyle="1" w:styleId="EstiloTtulo5JustificadoAntes0ptDepoisde0pt">
    <w:name w:val="Estilo Título 5 + Justificado Antes:  0 pt Depois de:  0 pt"/>
    <w:basedOn w:val="Ttulo5"/>
    <w:autoRedefine/>
    <w:uiPriority w:val="99"/>
    <w:rsid w:val="00B1693B"/>
  </w:style>
  <w:style w:type="paragraph" w:customStyle="1" w:styleId="Estilo1-TEXTORELATORIO8pt">
    <w:name w:val="Estilo 1 -  TEXTO RELATORIO + 8 pt"/>
    <w:basedOn w:val="1-REL11"/>
    <w:uiPriority w:val="99"/>
    <w:rsid w:val="00BF3965"/>
    <w:rPr>
      <w:noProof/>
      <w:sz w:val="16"/>
      <w:szCs w:val="16"/>
    </w:rPr>
  </w:style>
  <w:style w:type="paragraph" w:customStyle="1" w:styleId="Estilo1-FONTEBALANOesquerda0cm1">
    <w:name w:val="Estilo 1 - FONTE: BALANÇO... + À esquerda:  0 cm1"/>
    <w:basedOn w:val="1-FONTEBALANO"/>
    <w:next w:val="1-REL11"/>
    <w:autoRedefine/>
    <w:uiPriority w:val="99"/>
    <w:rsid w:val="0023402B"/>
  </w:style>
  <w:style w:type="paragraph" w:customStyle="1" w:styleId="FORA">
    <w:name w:val="FORA"/>
    <w:basedOn w:val="1-REL11"/>
    <w:link w:val="FORAChar"/>
    <w:autoRedefine/>
    <w:qFormat/>
    <w:rsid w:val="003259C5"/>
    <w:pPr>
      <w:spacing w:before="0" w:after="0"/>
    </w:pPr>
    <w:rPr>
      <w:sz w:val="16"/>
      <w:szCs w:val="16"/>
    </w:rPr>
  </w:style>
  <w:style w:type="paragraph" w:customStyle="1" w:styleId="EstiloTtulo7NoNegritoAntes0ptDepoisde0pt">
    <w:name w:val="Estilo Título 7 + Não Negrito Antes:  0 pt Depois de:  0 pt"/>
    <w:basedOn w:val="Ttulo7"/>
    <w:autoRedefine/>
    <w:uiPriority w:val="99"/>
    <w:rsid w:val="00450183"/>
  </w:style>
  <w:style w:type="paragraph" w:customStyle="1" w:styleId="EstiloTtulo6ArialAntes0ptDepoisde0pt">
    <w:name w:val="Estilo Título 6 + Arial Antes:  0 pt Depois de:  0 pt"/>
    <w:basedOn w:val="Ttulo6"/>
    <w:autoRedefine/>
    <w:uiPriority w:val="99"/>
    <w:rsid w:val="00A97237"/>
  </w:style>
  <w:style w:type="paragraph" w:customStyle="1" w:styleId="Estilo1-TABTEXTOESQUERDANegrito">
    <w:name w:val="Estilo 1 - TAB TEXTO ESQUERDA + Negrito"/>
    <w:basedOn w:val="1-TABESQ10NEG"/>
    <w:autoRedefine/>
    <w:uiPriority w:val="99"/>
    <w:rsid w:val="008D5E78"/>
  </w:style>
  <w:style w:type="paragraph" w:customStyle="1" w:styleId="Estilo1-TABTEXTOESQUERDANegrito1">
    <w:name w:val="Estilo 1 - TAB TEXTO ESQUERDA + Negrito1"/>
    <w:basedOn w:val="1-TABESQ10NEG"/>
    <w:autoRedefine/>
    <w:uiPriority w:val="99"/>
    <w:rsid w:val="008D5E78"/>
  </w:style>
  <w:style w:type="paragraph" w:customStyle="1" w:styleId="Estilo1-TABTEXTOESQUERDANegrito2">
    <w:name w:val="Estilo 1 - TAB TEXTO ESQUERDA + Negrito2"/>
    <w:basedOn w:val="1-TABESQ10NEG"/>
    <w:autoRedefine/>
    <w:uiPriority w:val="99"/>
    <w:rsid w:val="008D5E78"/>
  </w:style>
  <w:style w:type="paragraph" w:customStyle="1" w:styleId="Estilo1-TABTEXTOESQUERDANegrito3">
    <w:name w:val="Estilo 1 - TAB TEXTO ESQUERDA + Negrito3"/>
    <w:basedOn w:val="1-TABESQ10NEG"/>
    <w:autoRedefine/>
    <w:uiPriority w:val="99"/>
    <w:rsid w:val="008D5E78"/>
  </w:style>
  <w:style w:type="character" w:customStyle="1" w:styleId="1-TABTIT10Char">
    <w:name w:val="1 - TAB TIT 10 Char"/>
    <w:basedOn w:val="1-TABTITULO10NEGCharChar"/>
    <w:link w:val="1-TABTIT10"/>
    <w:locked/>
    <w:rsid w:val="00A663EA"/>
    <w:rPr>
      <w:rFonts w:ascii="Arial" w:hAnsi="Arial" w:cs="Arial"/>
      <w:b/>
      <w:bCs/>
      <w:caps/>
      <w:color w:val="000000"/>
      <w:sz w:val="52"/>
      <w:szCs w:val="22"/>
      <w:lang w:bidi="ar-SA"/>
    </w:rPr>
  </w:style>
  <w:style w:type="character" w:customStyle="1" w:styleId="ListaChar">
    <w:name w:val="Lista Char"/>
    <w:basedOn w:val="Fontepargpadro"/>
    <w:link w:val="Lista"/>
    <w:locked/>
    <w:rsid w:val="00273040"/>
    <w:rPr>
      <w:lang w:val="pt-BR" w:eastAsia="pt-BR"/>
    </w:rPr>
  </w:style>
  <w:style w:type="character" w:customStyle="1" w:styleId="1-LISTA1RELATORIOCharChar">
    <w:name w:val="1 - LISTA 1  RELATORIO Char Char"/>
    <w:basedOn w:val="ListaChar"/>
    <w:link w:val="1-LISTA1RELATORIO"/>
    <w:locked/>
    <w:rsid w:val="00273040"/>
    <w:rPr>
      <w:rFonts w:cs="Arial"/>
      <w:sz w:val="24"/>
      <w:szCs w:val="24"/>
      <w:lang w:val="pt-BR" w:eastAsia="pt-BR"/>
    </w:rPr>
  </w:style>
  <w:style w:type="paragraph" w:customStyle="1" w:styleId="TITULO16">
    <w:name w:val="TITULO 16"/>
    <w:basedOn w:val="Normal"/>
    <w:next w:val="1-REL11"/>
    <w:autoRedefine/>
    <w:uiPriority w:val="99"/>
    <w:rsid w:val="006A4BFB"/>
    <w:pPr>
      <w:jc w:val="center"/>
    </w:pPr>
    <w:rPr>
      <w:rFonts w:cs="Arial"/>
      <w:b/>
      <w:bCs/>
      <w:sz w:val="32"/>
      <w:szCs w:val="32"/>
    </w:rPr>
  </w:style>
  <w:style w:type="paragraph" w:customStyle="1" w:styleId="TITULO14">
    <w:name w:val="TITULO 14"/>
    <w:basedOn w:val="1-REL11"/>
    <w:next w:val="1-REL11"/>
    <w:uiPriority w:val="99"/>
    <w:rsid w:val="006A4BFB"/>
    <w:pPr>
      <w:jc w:val="center"/>
      <w:outlineLvl w:val="0"/>
    </w:pPr>
    <w:rPr>
      <w:b/>
      <w:bCs/>
      <w:sz w:val="28"/>
      <w:szCs w:val="28"/>
    </w:rPr>
  </w:style>
  <w:style w:type="paragraph" w:customStyle="1" w:styleId="TITULO17">
    <w:name w:val="TITULO 17"/>
    <w:basedOn w:val="1-REL11"/>
    <w:next w:val="1-REL11"/>
    <w:autoRedefine/>
    <w:uiPriority w:val="99"/>
    <w:rsid w:val="006A4BFB"/>
    <w:pPr>
      <w:jc w:val="center"/>
    </w:pPr>
    <w:rPr>
      <w:b/>
      <w:bCs/>
      <w:sz w:val="34"/>
      <w:szCs w:val="34"/>
    </w:rPr>
  </w:style>
  <w:style w:type="numbering" w:customStyle="1" w:styleId="1-LISTARELATRIO">
    <w:name w:val="1 - LISTA RELATÓRIO"/>
    <w:rsid w:val="00153DA3"/>
    <w:pPr>
      <w:numPr>
        <w:numId w:val="3"/>
      </w:numPr>
    </w:pPr>
  </w:style>
  <w:style w:type="numbering" w:customStyle="1" w:styleId="1-LISTARELATORIO">
    <w:name w:val="1 - LISTA RELATORIO"/>
    <w:rsid w:val="00153DA3"/>
    <w:pPr>
      <w:numPr>
        <w:numId w:val="4"/>
      </w:numPr>
    </w:pPr>
  </w:style>
  <w:style w:type="character" w:customStyle="1" w:styleId="CharChar6">
    <w:name w:val="Char Char6"/>
    <w:basedOn w:val="Fontepargpadro"/>
    <w:locked/>
    <w:rsid w:val="005B21D2"/>
    <w:rPr>
      <w:rFonts w:ascii="Arial" w:hAnsi="Arial" w:cs="Arial"/>
      <w:b/>
      <w:bCs/>
      <w:sz w:val="24"/>
      <w:szCs w:val="24"/>
      <w:lang w:val="pt-BR" w:eastAsia="pt-BR" w:bidi="ar-SA"/>
    </w:rPr>
  </w:style>
  <w:style w:type="character" w:customStyle="1" w:styleId="CharChar21">
    <w:name w:val="Char Char21"/>
    <w:basedOn w:val="Fontepargpadro"/>
    <w:locked/>
    <w:rsid w:val="005B21D2"/>
    <w:rPr>
      <w:sz w:val="24"/>
      <w:szCs w:val="24"/>
      <w:lang w:val="pt-BR" w:eastAsia="pt-BR"/>
    </w:rPr>
  </w:style>
  <w:style w:type="character" w:customStyle="1" w:styleId="CharChar">
    <w:name w:val="Char Char"/>
    <w:basedOn w:val="Fontepargpadro"/>
    <w:locked/>
    <w:rsid w:val="005B21D2"/>
    <w:rPr>
      <w:sz w:val="24"/>
      <w:szCs w:val="24"/>
      <w:lang w:val="pt-BR" w:eastAsia="pt-BR"/>
    </w:rPr>
  </w:style>
  <w:style w:type="character" w:customStyle="1" w:styleId="CharChar5">
    <w:name w:val="Char Char5"/>
    <w:basedOn w:val="Fontepargpadro"/>
    <w:locked/>
    <w:rsid w:val="005B21D2"/>
    <w:rPr>
      <w:rFonts w:ascii="Arial" w:hAnsi="Arial" w:cs="Arial"/>
      <w:b/>
      <w:bCs/>
      <w:sz w:val="24"/>
      <w:szCs w:val="24"/>
      <w:lang w:val="pt-BR" w:eastAsia="pt-BR" w:bidi="ar-SA"/>
    </w:rPr>
  </w:style>
  <w:style w:type="character" w:customStyle="1" w:styleId="CharChar4">
    <w:name w:val="Char Char4"/>
    <w:basedOn w:val="CharChar5"/>
    <w:locked/>
    <w:rsid w:val="005B21D2"/>
    <w:rPr>
      <w:rFonts w:ascii="Arial" w:hAnsi="Arial" w:cs="Arial"/>
      <w:b/>
      <w:bCs/>
      <w:sz w:val="24"/>
      <w:szCs w:val="24"/>
      <w:lang w:val="pt-BR" w:eastAsia="pt-BR" w:bidi="ar-SA"/>
    </w:rPr>
  </w:style>
  <w:style w:type="character" w:customStyle="1" w:styleId="CharChar3">
    <w:name w:val="Char Char3"/>
    <w:basedOn w:val="Fontepargpadro"/>
    <w:locked/>
    <w:rsid w:val="005B21D2"/>
    <w:rPr>
      <w:rFonts w:ascii="Arial" w:hAnsi="Arial" w:cs="Arial"/>
      <w:sz w:val="24"/>
      <w:szCs w:val="24"/>
      <w:lang w:val="pt-BR" w:eastAsia="pt-BR"/>
    </w:rPr>
  </w:style>
  <w:style w:type="character" w:customStyle="1" w:styleId="CharChar11">
    <w:name w:val="Char Char11"/>
    <w:basedOn w:val="Fontepargpadro"/>
    <w:locked/>
    <w:rsid w:val="005B21D2"/>
    <w:rPr>
      <w:lang w:val="pt-BR" w:eastAsia="pt-BR"/>
    </w:rPr>
  </w:style>
  <w:style w:type="paragraph" w:customStyle="1" w:styleId="Normal11pt">
    <w:name w:val="Normal + 11 pt"/>
    <w:basedOn w:val="Normal"/>
    <w:uiPriority w:val="99"/>
    <w:rsid w:val="00E22DE9"/>
  </w:style>
  <w:style w:type="paragraph" w:customStyle="1" w:styleId="1-AITENIZAO">
    <w:name w:val="1 - A ITENIZAÇÃO"/>
    <w:basedOn w:val="1-REL11"/>
    <w:link w:val="1-AITENIZAOCharChar"/>
    <w:rsid w:val="00AF488C"/>
    <w:pPr>
      <w:numPr>
        <w:numId w:val="5"/>
      </w:numPr>
      <w:tabs>
        <w:tab w:val="clear" w:pos="981"/>
        <w:tab w:val="num" w:pos="601"/>
      </w:tabs>
      <w:spacing w:before="120" w:after="120"/>
      <w:ind w:left="851" w:hanging="230"/>
    </w:pPr>
  </w:style>
  <w:style w:type="character" w:customStyle="1" w:styleId="1-AITENIZAOCharChar">
    <w:name w:val="1 - A ITENIZAÇÃO Char Char"/>
    <w:basedOn w:val="1-REL11Char"/>
    <w:link w:val="1-AITENIZAO"/>
    <w:rsid w:val="00AF488C"/>
    <w:rPr>
      <w:rFonts w:ascii="Arial" w:eastAsia="Calibri" w:hAnsi="Arial" w:cs="Arial"/>
      <w:b w:val="0"/>
      <w:bCs w:val="0"/>
      <w:sz w:val="22"/>
      <w:szCs w:val="22"/>
      <w:lang w:val="pt-BR" w:eastAsia="pt-BR"/>
    </w:rPr>
  </w:style>
  <w:style w:type="paragraph" w:customStyle="1" w:styleId="Estilo1-REALCentralizado">
    <w:name w:val="Estilo 1 - REAL + Centralizado"/>
    <w:basedOn w:val="Normal"/>
    <w:uiPriority w:val="99"/>
    <w:rsid w:val="003C543A"/>
    <w:pPr>
      <w:spacing w:line="300" w:lineRule="exact"/>
      <w:jc w:val="center"/>
    </w:pPr>
    <w:rPr>
      <w:sz w:val="16"/>
    </w:rPr>
  </w:style>
  <w:style w:type="character" w:styleId="Forte">
    <w:name w:val="Strong"/>
    <w:basedOn w:val="Fontepargpadro"/>
    <w:qFormat/>
    <w:rsid w:val="008A4821"/>
    <w:rPr>
      <w:b/>
      <w:bCs/>
    </w:rPr>
  </w:style>
  <w:style w:type="paragraph" w:customStyle="1" w:styleId="EstiloTtulo2Justificado">
    <w:name w:val="Estilo Título 2 + Justificado"/>
    <w:basedOn w:val="Ttulo2"/>
    <w:uiPriority w:val="99"/>
    <w:rsid w:val="00A94EBE"/>
    <w:rPr>
      <w:szCs w:val="20"/>
    </w:rPr>
  </w:style>
  <w:style w:type="paragraph" w:customStyle="1" w:styleId="0-GRFICO">
    <w:name w:val="0 - GRÁFICO"/>
    <w:basedOn w:val="0-TXT11"/>
    <w:next w:val="0-TXT11"/>
    <w:link w:val="0-GRFICOChar1"/>
    <w:qFormat/>
    <w:rsid w:val="00133FC4"/>
    <w:pPr>
      <w:numPr>
        <w:numId w:val="47"/>
      </w:numPr>
      <w:tabs>
        <w:tab w:val="left" w:pos="1418"/>
      </w:tabs>
      <w:spacing w:before="440" w:after="120"/>
      <w:jc w:val="center"/>
      <w:outlineLvl w:val="8"/>
    </w:pPr>
    <w:rPr>
      <w:rFonts w:eastAsia="Calibri"/>
      <w14:scene3d>
        <w14:camera w14:prst="orthographicFront"/>
        <w14:lightRig w14:rig="threePt" w14:dir="t">
          <w14:rot w14:lat="0" w14:lon="0" w14:rev="0"/>
        </w14:lightRig>
      </w14:scene3d>
    </w:rPr>
  </w:style>
  <w:style w:type="character" w:customStyle="1" w:styleId="EstiloArial8pt">
    <w:name w:val="Estilo Arial 8 pt"/>
    <w:basedOn w:val="Fontepargpadro"/>
    <w:rsid w:val="00B14F69"/>
    <w:rPr>
      <w:rFonts w:ascii="Arial" w:hAnsi="Arial"/>
      <w:sz w:val="16"/>
    </w:rPr>
  </w:style>
  <w:style w:type="paragraph" w:customStyle="1" w:styleId="Estilo1">
    <w:name w:val="Estilo1"/>
    <w:basedOn w:val="Ttulo2"/>
    <w:autoRedefine/>
    <w:uiPriority w:val="99"/>
    <w:rsid w:val="00B10C21"/>
  </w:style>
  <w:style w:type="paragraph" w:customStyle="1" w:styleId="Estilo3">
    <w:name w:val="Estilo3"/>
    <w:basedOn w:val="Ttulo1"/>
    <w:uiPriority w:val="99"/>
    <w:rsid w:val="009F0584"/>
  </w:style>
  <w:style w:type="paragraph" w:customStyle="1" w:styleId="Estilo4">
    <w:name w:val="Estilo4"/>
    <w:basedOn w:val="Ttulo2"/>
    <w:uiPriority w:val="99"/>
    <w:rsid w:val="009F0584"/>
  </w:style>
  <w:style w:type="paragraph" w:customStyle="1" w:styleId="Estilo5">
    <w:name w:val="Estilo5"/>
    <w:basedOn w:val="Ttulo3"/>
    <w:uiPriority w:val="99"/>
    <w:rsid w:val="009F0584"/>
  </w:style>
  <w:style w:type="paragraph" w:customStyle="1" w:styleId="Estilo6">
    <w:name w:val="Estilo6"/>
    <w:basedOn w:val="Ttulo3"/>
    <w:uiPriority w:val="99"/>
    <w:rsid w:val="00462183"/>
  </w:style>
  <w:style w:type="character" w:customStyle="1" w:styleId="Ttulo4CharChar2">
    <w:name w:val="Título 4 Char Char2"/>
    <w:basedOn w:val="Fontepargpadro"/>
    <w:locked/>
    <w:rsid w:val="0020242C"/>
    <w:rPr>
      <w:rFonts w:ascii="Arial" w:hAnsi="Arial" w:cs="Arial"/>
      <w:bCs/>
      <w:sz w:val="22"/>
      <w:szCs w:val="24"/>
      <w:lang w:val="pt-BR" w:eastAsia="pt-BR" w:bidi="ar-SA"/>
    </w:rPr>
  </w:style>
  <w:style w:type="character" w:customStyle="1" w:styleId="1-TABELACharChar1">
    <w:name w:val="1 - TABELA Char Char1"/>
    <w:basedOn w:val="Fontepargpadro"/>
    <w:locked/>
    <w:rsid w:val="0020242C"/>
    <w:rPr>
      <w:rFonts w:ascii="Arial" w:hAnsi="Arial" w:cs="Arial"/>
      <w:bCs/>
      <w:sz w:val="22"/>
      <w:szCs w:val="24"/>
      <w:lang w:val="pt-BR" w:eastAsia="pt-BR" w:bidi="ar-SA"/>
    </w:rPr>
  </w:style>
  <w:style w:type="character" w:customStyle="1" w:styleId="Ttulo5CharChar">
    <w:name w:val="Título 5 Char Char"/>
    <w:basedOn w:val="Fontepargpadro"/>
    <w:locked/>
    <w:rsid w:val="0020242C"/>
    <w:rPr>
      <w:rFonts w:ascii="Arial" w:hAnsi="Arial" w:cs="Arial"/>
      <w:bCs/>
      <w:sz w:val="22"/>
      <w:szCs w:val="24"/>
      <w:lang w:val="pt-BR" w:eastAsia="pt-BR" w:bidi="ar-SA"/>
    </w:rPr>
  </w:style>
  <w:style w:type="character" w:customStyle="1" w:styleId="Ttulo6CharChar">
    <w:name w:val="Título 6 Char Char"/>
    <w:basedOn w:val="Ttulo5CharChar"/>
    <w:locked/>
    <w:rsid w:val="0020242C"/>
    <w:rPr>
      <w:rFonts w:ascii="Arial" w:hAnsi="Arial" w:cs="Arial"/>
      <w:bCs/>
      <w:sz w:val="22"/>
      <w:szCs w:val="24"/>
      <w:lang w:val="pt-BR" w:eastAsia="pt-BR" w:bidi="ar-SA"/>
    </w:rPr>
  </w:style>
  <w:style w:type="paragraph" w:customStyle="1" w:styleId="EstiloTtulo6Justificado">
    <w:name w:val="Estilo Título 6 + Justificado"/>
    <w:basedOn w:val="Ttulo6"/>
    <w:autoRedefine/>
    <w:uiPriority w:val="99"/>
    <w:rsid w:val="0020242C"/>
    <w:pPr>
      <w:ind w:left="1701" w:hanging="1701"/>
    </w:pPr>
    <w:rPr>
      <w:rFonts w:cs="Times New Roman"/>
      <w:szCs w:val="20"/>
    </w:rPr>
  </w:style>
  <w:style w:type="character" w:customStyle="1" w:styleId="1-TABELACharChar2">
    <w:name w:val="1 - TABELA Char Char2"/>
    <w:basedOn w:val="Fontepargpadro"/>
    <w:locked/>
    <w:rsid w:val="00B956B3"/>
    <w:rPr>
      <w:rFonts w:ascii="Arial" w:hAnsi="Arial" w:cs="Arial"/>
      <w:bCs/>
      <w:sz w:val="22"/>
      <w:szCs w:val="22"/>
      <w:lang w:val="pt-BR" w:eastAsia="pt-BR" w:bidi="ar-SA"/>
    </w:rPr>
  </w:style>
  <w:style w:type="paragraph" w:customStyle="1" w:styleId="Estilo1-GRFICOesquerda0cmPrimeiralinha0cmDepoi">
    <w:name w:val="Estilo 1 - GRÁFICO + À esquerda:  0 cm Primeira linha:  0 cm Depoi..."/>
    <w:basedOn w:val="0-GRFICO"/>
    <w:autoRedefine/>
    <w:rsid w:val="00B956B3"/>
    <w:pPr>
      <w:numPr>
        <w:numId w:val="6"/>
      </w:numPr>
      <w:tabs>
        <w:tab w:val="clear" w:pos="1985"/>
        <w:tab w:val="num" w:pos="1134"/>
      </w:tabs>
      <w:ind w:left="1134" w:hanging="1134"/>
    </w:pPr>
    <w:rPr>
      <w:rFonts w:cs="Times New Roman"/>
      <w:bCs/>
      <w:szCs w:val="20"/>
    </w:rPr>
  </w:style>
  <w:style w:type="paragraph" w:customStyle="1" w:styleId="Estilo7">
    <w:name w:val="Estilo7"/>
    <w:basedOn w:val="Ttulo1"/>
    <w:uiPriority w:val="99"/>
    <w:rsid w:val="0073458C"/>
  </w:style>
  <w:style w:type="character" w:customStyle="1" w:styleId="Ttulo2Char">
    <w:name w:val="Título 2 Char"/>
    <w:basedOn w:val="Fontepargpadro"/>
    <w:link w:val="Ttulo2"/>
    <w:rsid w:val="00B215AC"/>
    <w:rPr>
      <w:b/>
      <w:bCs/>
      <w:sz w:val="28"/>
      <w:szCs w:val="28"/>
    </w:rPr>
  </w:style>
  <w:style w:type="paragraph" w:customStyle="1" w:styleId="Estilo8">
    <w:name w:val="Estilo8"/>
    <w:basedOn w:val="0-GRFICO"/>
    <w:rsid w:val="00823C57"/>
  </w:style>
  <w:style w:type="paragraph" w:customStyle="1" w:styleId="Estilo9">
    <w:name w:val="Estilo9"/>
    <w:basedOn w:val="Normal"/>
    <w:uiPriority w:val="99"/>
    <w:rsid w:val="003C543A"/>
    <w:pPr>
      <w:spacing w:line="300" w:lineRule="exact"/>
    </w:pPr>
    <w:rPr>
      <w:rFonts w:cs="Arial"/>
      <w:sz w:val="16"/>
    </w:rPr>
  </w:style>
  <w:style w:type="paragraph" w:customStyle="1" w:styleId="1-TABCENTRO10NEG">
    <w:name w:val="1 - TAB CENTRO 10 NEG"/>
    <w:basedOn w:val="Normal"/>
    <w:autoRedefine/>
    <w:uiPriority w:val="99"/>
    <w:rsid w:val="00087F99"/>
    <w:pPr>
      <w:ind w:left="-47"/>
      <w:jc w:val="center"/>
    </w:pPr>
    <w:rPr>
      <w:b/>
      <w:bCs/>
      <w:color w:val="000000"/>
    </w:rPr>
  </w:style>
  <w:style w:type="character" w:customStyle="1" w:styleId="1-TABESQ10">
    <w:name w:val="1 - TAB ESQ 10"/>
    <w:basedOn w:val="Fontepargpadro"/>
    <w:rsid w:val="00E34A3F"/>
    <w:rPr>
      <w:rFonts w:ascii="Arial" w:hAnsi="Arial"/>
      <w:color w:val="000000"/>
      <w:sz w:val="20"/>
    </w:rPr>
  </w:style>
  <w:style w:type="paragraph" w:customStyle="1" w:styleId="1-TABESQ09NEG">
    <w:name w:val="1 - TAB ESQ 09 NEG"/>
    <w:basedOn w:val="1-TABESQ10NEG"/>
    <w:autoRedefine/>
    <w:uiPriority w:val="99"/>
    <w:rsid w:val="00E34A3F"/>
    <w:rPr>
      <w:sz w:val="18"/>
    </w:rPr>
  </w:style>
  <w:style w:type="paragraph" w:customStyle="1" w:styleId="1-TABTEXTOESQ09crecuo">
    <w:name w:val="1 - TAB TEXTO ESQ 09 c/ recuo"/>
    <w:basedOn w:val="1-TABTEXTOESQ10crecuo"/>
    <w:autoRedefine/>
    <w:uiPriority w:val="99"/>
    <w:rsid w:val="00E34A3F"/>
    <w:rPr>
      <w:snapToGrid w:val="0"/>
      <w:sz w:val="18"/>
    </w:rPr>
  </w:style>
  <w:style w:type="paragraph" w:customStyle="1" w:styleId="1-TABCENTRO09NEG">
    <w:name w:val="1 - TAB CENTRO 09 NEG"/>
    <w:basedOn w:val="1-TABCENTRO10NEG"/>
    <w:autoRedefine/>
    <w:uiPriority w:val="99"/>
    <w:rsid w:val="00E34A3F"/>
    <w:rPr>
      <w:snapToGrid w:val="0"/>
    </w:rPr>
  </w:style>
  <w:style w:type="paragraph" w:customStyle="1" w:styleId="1-TABNR10NEG">
    <w:name w:val="1 - TAB NR 10 NEG"/>
    <w:basedOn w:val="Normal"/>
    <w:autoRedefine/>
    <w:uiPriority w:val="99"/>
    <w:rsid w:val="006339CD"/>
    <w:pPr>
      <w:jc w:val="right"/>
    </w:pPr>
    <w:rPr>
      <w:b/>
      <w:bCs/>
    </w:rPr>
  </w:style>
  <w:style w:type="paragraph" w:customStyle="1" w:styleId="1-TABNR10">
    <w:name w:val="1 - TAB NR 10"/>
    <w:basedOn w:val="Normal"/>
    <w:autoRedefine/>
    <w:uiPriority w:val="99"/>
    <w:rsid w:val="00EF2323"/>
    <w:pPr>
      <w:ind w:left="-70" w:firstLine="70"/>
      <w:jc w:val="right"/>
    </w:pPr>
    <w:rPr>
      <w:rFonts w:cs="Arial"/>
    </w:rPr>
  </w:style>
  <w:style w:type="paragraph" w:customStyle="1" w:styleId="1-TABNR10CENTRO">
    <w:name w:val="1 - TAB NR 10 CENTRO"/>
    <w:basedOn w:val="Normal"/>
    <w:autoRedefine/>
    <w:uiPriority w:val="99"/>
    <w:rsid w:val="008A1148"/>
    <w:pPr>
      <w:jc w:val="center"/>
    </w:pPr>
  </w:style>
  <w:style w:type="paragraph" w:customStyle="1" w:styleId="1-TABNR09CENTRO">
    <w:name w:val="1 - TAB NR 09 CENTRO"/>
    <w:basedOn w:val="1-TABNR10CENTRO"/>
    <w:autoRedefine/>
    <w:uiPriority w:val="99"/>
    <w:rsid w:val="00EF2323"/>
    <w:rPr>
      <w:sz w:val="18"/>
    </w:rPr>
  </w:style>
  <w:style w:type="paragraph" w:customStyle="1" w:styleId="1-TABNR08CENTRO">
    <w:name w:val="1 - TAB NR 08 CENTRO"/>
    <w:basedOn w:val="1-TABNR09CENTRO"/>
    <w:autoRedefine/>
    <w:uiPriority w:val="99"/>
    <w:rsid w:val="00EF2323"/>
    <w:rPr>
      <w:sz w:val="16"/>
    </w:rPr>
  </w:style>
  <w:style w:type="paragraph" w:customStyle="1" w:styleId="1-TABNR08">
    <w:name w:val="1 - TAB NR 08"/>
    <w:basedOn w:val="1-TABNR10"/>
    <w:autoRedefine/>
    <w:uiPriority w:val="99"/>
    <w:rsid w:val="00EF2323"/>
    <w:rPr>
      <w:sz w:val="16"/>
    </w:rPr>
  </w:style>
  <w:style w:type="paragraph" w:customStyle="1" w:styleId="1-TABNR09">
    <w:name w:val="1 - TAB NR 09"/>
    <w:basedOn w:val="1-TABNR10"/>
    <w:autoRedefine/>
    <w:uiPriority w:val="99"/>
    <w:rsid w:val="00EF2323"/>
    <w:rPr>
      <w:sz w:val="18"/>
    </w:rPr>
  </w:style>
  <w:style w:type="paragraph" w:customStyle="1" w:styleId="Estilo10">
    <w:name w:val="Estilo10"/>
    <w:basedOn w:val="Normal"/>
    <w:uiPriority w:val="99"/>
    <w:rsid w:val="006339CD"/>
    <w:pPr>
      <w:jc w:val="right"/>
    </w:pPr>
    <w:rPr>
      <w:rFonts w:cs="Arial"/>
      <w:sz w:val="16"/>
      <w:szCs w:val="18"/>
    </w:rPr>
  </w:style>
  <w:style w:type="paragraph" w:customStyle="1" w:styleId="EstiloArial11ptNegritoCentralizado">
    <w:name w:val="Estilo Arial 11 pt Negrito Centralizado"/>
    <w:basedOn w:val="Normal"/>
    <w:uiPriority w:val="99"/>
    <w:rsid w:val="001056CE"/>
    <w:pPr>
      <w:jc w:val="center"/>
    </w:pPr>
    <w:rPr>
      <w:b/>
      <w:bCs/>
    </w:rPr>
  </w:style>
  <w:style w:type="paragraph" w:customStyle="1" w:styleId="Estilo11">
    <w:name w:val="Estilo11"/>
    <w:basedOn w:val="1-TABCENTRO10NEG"/>
    <w:uiPriority w:val="99"/>
    <w:rsid w:val="00437D84"/>
    <w:rPr>
      <w:b w:val="0"/>
    </w:rPr>
  </w:style>
  <w:style w:type="paragraph" w:customStyle="1" w:styleId="TABTIT10">
    <w:name w:val="TAB TIT 10"/>
    <w:basedOn w:val="Normal"/>
    <w:autoRedefine/>
    <w:uiPriority w:val="99"/>
    <w:rsid w:val="00437D84"/>
    <w:pPr>
      <w:jc w:val="center"/>
    </w:pPr>
    <w:rPr>
      <w:rFonts w:cs="Arial"/>
      <w:bCs/>
      <w:color w:val="000000"/>
    </w:rPr>
  </w:style>
  <w:style w:type="paragraph" w:customStyle="1" w:styleId="TABTITCENTRO10">
    <w:name w:val="TAB TIT CENTRO 10"/>
    <w:basedOn w:val="Normal"/>
    <w:autoRedefine/>
    <w:uiPriority w:val="99"/>
    <w:rsid w:val="00B2644F"/>
    <w:rPr>
      <w:rFonts w:cs="Arial"/>
    </w:rPr>
  </w:style>
  <w:style w:type="paragraph" w:customStyle="1" w:styleId="1-TABTITCENTRO10">
    <w:name w:val="1 - TAB TIT CENTRO 10"/>
    <w:basedOn w:val="Normal"/>
    <w:autoRedefine/>
    <w:uiPriority w:val="99"/>
    <w:rsid w:val="00425E28"/>
    <w:rPr>
      <w:rFonts w:cs="Arial"/>
    </w:rPr>
  </w:style>
  <w:style w:type="paragraph" w:customStyle="1" w:styleId="1-TABTITCEN10">
    <w:name w:val="1 - TAB TIT CEN 10"/>
    <w:basedOn w:val="1-TABTITCENTRO10"/>
    <w:autoRedefine/>
    <w:uiPriority w:val="99"/>
    <w:rsid w:val="007E2869"/>
    <w:pPr>
      <w:spacing w:line="276" w:lineRule="auto"/>
      <w:jc w:val="center"/>
    </w:pPr>
  </w:style>
  <w:style w:type="paragraph" w:customStyle="1" w:styleId="1-FONTE8ESQ">
    <w:name w:val="1 - FONTE 8 ESQ"/>
    <w:basedOn w:val="Normal"/>
    <w:link w:val="1-FONTE8ESQChar"/>
    <w:autoRedefine/>
    <w:qFormat/>
    <w:rsid w:val="00EF01A1"/>
    <w:pPr>
      <w:ind w:right="-3"/>
    </w:pPr>
    <w:rPr>
      <w:sz w:val="16"/>
      <w:szCs w:val="16"/>
    </w:rPr>
  </w:style>
  <w:style w:type="character" w:customStyle="1" w:styleId="1-FONTE8ESQChar">
    <w:name w:val="1 - FONTE 8 ESQ Char"/>
    <w:basedOn w:val="Fontepargpadro"/>
    <w:link w:val="1-FONTE8ESQ"/>
    <w:rsid w:val="00EF01A1"/>
    <w:rPr>
      <w:rFonts w:ascii="Arial" w:hAnsi="Arial"/>
      <w:sz w:val="16"/>
      <w:szCs w:val="16"/>
    </w:rPr>
  </w:style>
  <w:style w:type="paragraph" w:customStyle="1" w:styleId="1-TEXTORELATORIO">
    <w:name w:val="1 -  TEXTO RELATORIO"/>
    <w:basedOn w:val="Corpodetexto"/>
    <w:link w:val="1-TEXTORELATORIOCharChar"/>
    <w:rsid w:val="0065468D"/>
    <w:pPr>
      <w:widowControl w:val="0"/>
    </w:pPr>
    <w:rPr>
      <w:rFonts w:cs="Arial"/>
    </w:rPr>
  </w:style>
  <w:style w:type="character" w:customStyle="1" w:styleId="1-TEXTORELATORIOCharChar">
    <w:name w:val="1 -  TEXTO RELATORIO Char Char"/>
    <w:basedOn w:val="Fontepargpadro"/>
    <w:link w:val="1-TEXTORELATORIO"/>
    <w:locked/>
    <w:rsid w:val="0065468D"/>
    <w:rPr>
      <w:rFonts w:ascii="Arial" w:hAnsi="Arial" w:cs="Arial"/>
      <w:sz w:val="24"/>
      <w:szCs w:val="24"/>
      <w:lang w:val="pt-BR" w:eastAsia="pt-BR" w:bidi="ar-SA"/>
    </w:rPr>
  </w:style>
  <w:style w:type="paragraph" w:customStyle="1" w:styleId="1-TABESQ9">
    <w:name w:val="1 - TAB ESQ 9"/>
    <w:basedOn w:val="Normal"/>
    <w:uiPriority w:val="99"/>
    <w:rsid w:val="00E11510"/>
    <w:rPr>
      <w:sz w:val="18"/>
    </w:rPr>
  </w:style>
  <w:style w:type="paragraph" w:customStyle="1" w:styleId="1-TABESQ9NEG">
    <w:name w:val="1 - TAB ESQ 9 NEG"/>
    <w:basedOn w:val="Normal"/>
    <w:uiPriority w:val="99"/>
    <w:rsid w:val="00E11510"/>
  </w:style>
  <w:style w:type="paragraph" w:customStyle="1" w:styleId="1-TABNR9">
    <w:name w:val="1 - TAB NR 9"/>
    <w:basedOn w:val="1-TABNR10"/>
    <w:uiPriority w:val="99"/>
    <w:rsid w:val="00E11510"/>
    <w:rPr>
      <w:sz w:val="18"/>
    </w:rPr>
  </w:style>
  <w:style w:type="paragraph" w:customStyle="1" w:styleId="1-TABNR9NEG">
    <w:name w:val="1 - TAB NR 9 NEG"/>
    <w:basedOn w:val="1-TABNR10NEG"/>
    <w:uiPriority w:val="99"/>
    <w:rsid w:val="00E11510"/>
    <w:rPr>
      <w:sz w:val="18"/>
    </w:rPr>
  </w:style>
  <w:style w:type="paragraph" w:customStyle="1" w:styleId="1-TABNR9CENTRO">
    <w:name w:val="1 - TAB NR 9 CENTRO"/>
    <w:basedOn w:val="1-TABNR10CENTRO"/>
    <w:uiPriority w:val="99"/>
    <w:rsid w:val="00E11510"/>
    <w:rPr>
      <w:sz w:val="18"/>
    </w:rPr>
  </w:style>
  <w:style w:type="paragraph" w:customStyle="1" w:styleId="1-TABTITCEN9">
    <w:name w:val="1 - TAB TIT CEN 9"/>
    <w:basedOn w:val="1-TABTITCEN10"/>
    <w:uiPriority w:val="99"/>
    <w:rsid w:val="00650DFD"/>
    <w:rPr>
      <w:sz w:val="18"/>
    </w:rPr>
  </w:style>
  <w:style w:type="paragraph" w:customStyle="1" w:styleId="1-TABESQ8">
    <w:name w:val="1 - TAB ESQ 8"/>
    <w:basedOn w:val="1-TABESQ9"/>
    <w:uiPriority w:val="99"/>
    <w:rsid w:val="00881AFA"/>
    <w:rPr>
      <w:sz w:val="16"/>
    </w:rPr>
  </w:style>
  <w:style w:type="paragraph" w:customStyle="1" w:styleId="1-TABNR8">
    <w:name w:val="1 - TAB NR 8"/>
    <w:basedOn w:val="1-TABNR10"/>
    <w:uiPriority w:val="99"/>
    <w:rsid w:val="00881AFA"/>
    <w:rPr>
      <w:sz w:val="16"/>
    </w:rPr>
  </w:style>
  <w:style w:type="paragraph" w:customStyle="1" w:styleId="1-TABESQ08NEG">
    <w:name w:val="1 - TAB ESQ 08 NEG"/>
    <w:basedOn w:val="1-TABESQ09NEG"/>
    <w:uiPriority w:val="99"/>
    <w:rsid w:val="00881AFA"/>
    <w:rPr>
      <w:sz w:val="16"/>
    </w:rPr>
  </w:style>
  <w:style w:type="paragraph" w:customStyle="1" w:styleId="1-TABNR08NEG">
    <w:name w:val="1 - TAB NR 08 NEG"/>
    <w:basedOn w:val="1-TABNR10NEG"/>
    <w:uiPriority w:val="99"/>
    <w:rsid w:val="00881AFA"/>
    <w:rPr>
      <w:sz w:val="16"/>
    </w:rPr>
  </w:style>
  <w:style w:type="paragraph" w:customStyle="1" w:styleId="1-TABTITCEN8">
    <w:name w:val="1 - TAB TIT CEN 8"/>
    <w:basedOn w:val="1-TABTITCEN10"/>
    <w:uiPriority w:val="99"/>
    <w:rsid w:val="00632FA4"/>
    <w:rPr>
      <w:sz w:val="16"/>
    </w:rPr>
  </w:style>
  <w:style w:type="paragraph" w:customStyle="1" w:styleId="1-TABESQ8NEG">
    <w:name w:val="1 - TAB ESQ 8 NEG"/>
    <w:basedOn w:val="1-TABESQ10NEG"/>
    <w:uiPriority w:val="99"/>
    <w:rsid w:val="00632FA4"/>
    <w:rPr>
      <w:sz w:val="16"/>
    </w:rPr>
  </w:style>
  <w:style w:type="paragraph" w:customStyle="1" w:styleId="1-TABCEN8NEG">
    <w:name w:val="1 - TAB CEN 8 NEG"/>
    <w:basedOn w:val="Normal"/>
    <w:uiPriority w:val="99"/>
    <w:rsid w:val="00B15EEB"/>
    <w:pPr>
      <w:jc w:val="center"/>
    </w:pPr>
    <w:rPr>
      <w:rFonts w:cs="Arial"/>
      <w:b/>
      <w:bCs/>
      <w:sz w:val="16"/>
      <w:szCs w:val="16"/>
    </w:rPr>
  </w:style>
  <w:style w:type="character" w:customStyle="1" w:styleId="1-TABELACharChar3">
    <w:name w:val="1 - TABELA Char Char3"/>
    <w:basedOn w:val="Fontepargpadro"/>
    <w:link w:val="1-TABELA"/>
    <w:locked/>
    <w:rsid w:val="00F773C8"/>
    <w:rPr>
      <w:rFonts w:cs="Arial"/>
      <w:sz w:val="24"/>
      <w:szCs w:val="24"/>
    </w:rPr>
  </w:style>
  <w:style w:type="paragraph" w:customStyle="1" w:styleId="1-REAL8">
    <w:name w:val="1 - REAL 8"/>
    <w:basedOn w:val="0-TABELA"/>
    <w:uiPriority w:val="99"/>
    <w:rsid w:val="00896A8A"/>
    <w:pPr>
      <w:jc w:val="right"/>
    </w:pPr>
    <w:rPr>
      <w:sz w:val="16"/>
    </w:rPr>
  </w:style>
  <w:style w:type="paragraph" w:customStyle="1" w:styleId="1-TABELA">
    <w:name w:val="1 - TABELA"/>
    <w:basedOn w:val="Normal"/>
    <w:next w:val="1-CORPOTEXTORELATORIOChar"/>
    <w:link w:val="1-TABELACharChar3"/>
    <w:autoRedefine/>
    <w:rsid w:val="00F773C8"/>
    <w:pPr>
      <w:numPr>
        <w:numId w:val="9"/>
      </w:numPr>
      <w:ind w:right="283"/>
      <w:outlineLvl w:val="8"/>
    </w:pPr>
    <w:rPr>
      <w:rFonts w:cs="Arial"/>
      <w:sz w:val="24"/>
      <w:szCs w:val="24"/>
    </w:rPr>
  </w:style>
  <w:style w:type="paragraph" w:customStyle="1" w:styleId="1-TABTITMAI">
    <w:name w:val="1 - TAB TIT MAI"/>
    <w:basedOn w:val="Normal"/>
    <w:link w:val="1-TABTITMAIChar"/>
    <w:rsid w:val="009B2AE6"/>
    <w:pPr>
      <w:ind w:right="-28" w:firstLine="20"/>
      <w:jc w:val="center"/>
    </w:pPr>
    <w:rPr>
      <w:rFonts w:cs="Arial"/>
      <w:b/>
      <w:bCs/>
      <w:caps/>
      <w:color w:val="000000"/>
    </w:rPr>
  </w:style>
  <w:style w:type="paragraph" w:customStyle="1" w:styleId="1-TABTEXTOESQUERDA">
    <w:name w:val="1 - TAB TEXTO ESQUERDA"/>
    <w:basedOn w:val="Normal"/>
    <w:link w:val="1-TABTEXTOESQUERDAChar"/>
    <w:autoRedefine/>
    <w:rsid w:val="009B2AE6"/>
    <w:pPr>
      <w:spacing w:line="300" w:lineRule="exact"/>
    </w:pPr>
    <w:rPr>
      <w:rFonts w:cs="Arial"/>
    </w:rPr>
  </w:style>
  <w:style w:type="character" w:customStyle="1" w:styleId="1-TABTEXTOESQUERDAChar">
    <w:name w:val="1 - TAB TEXTO ESQUERDA Char"/>
    <w:basedOn w:val="Fontepargpadro"/>
    <w:link w:val="1-TABTEXTOESQUERDA"/>
    <w:locked/>
    <w:rsid w:val="009B2AE6"/>
    <w:rPr>
      <w:rFonts w:ascii="Arial" w:hAnsi="Arial" w:cs="Arial"/>
      <w:sz w:val="22"/>
      <w:szCs w:val="22"/>
      <w:lang w:val="pt-BR" w:eastAsia="pt-BR" w:bidi="ar-SA"/>
    </w:rPr>
  </w:style>
  <w:style w:type="character" w:customStyle="1" w:styleId="1-TABTITMAIChar">
    <w:name w:val="1 - TAB TIT MAI Char"/>
    <w:basedOn w:val="TtuloChar1"/>
    <w:link w:val="1-TABTITMAI"/>
    <w:locked/>
    <w:rsid w:val="009B2AE6"/>
    <w:rPr>
      <w:rFonts w:ascii="Arial" w:hAnsi="Arial" w:cs="Arial"/>
      <w:b/>
      <w:bCs/>
      <w:caps/>
      <w:color w:val="000000"/>
      <w:sz w:val="22"/>
      <w:szCs w:val="22"/>
      <w:lang w:bidi="ar-SA"/>
    </w:rPr>
  </w:style>
  <w:style w:type="paragraph" w:customStyle="1" w:styleId="1-TABTEXTOESQcrecuoPrimeiralinha063cm">
    <w:name w:val="1 - TAB TEXTO ESQ c/ recuo + Primeira linha:  063 cm"/>
    <w:basedOn w:val="Normal"/>
    <w:autoRedefine/>
    <w:uiPriority w:val="99"/>
    <w:rsid w:val="009B2AE6"/>
    <w:pPr>
      <w:tabs>
        <w:tab w:val="left" w:pos="851"/>
      </w:tabs>
      <w:ind w:firstLine="356"/>
    </w:pPr>
    <w:rPr>
      <w:rFonts w:cs="Arial"/>
    </w:rPr>
  </w:style>
  <w:style w:type="paragraph" w:customStyle="1" w:styleId="Contedodatabela">
    <w:name w:val="Conteúdo da tabela"/>
    <w:basedOn w:val="Normal"/>
    <w:uiPriority w:val="99"/>
    <w:rsid w:val="009B2AE6"/>
    <w:pPr>
      <w:suppressLineNumbers/>
      <w:suppressAutoHyphens/>
    </w:pPr>
    <w:rPr>
      <w:lang w:eastAsia="ar-SA"/>
    </w:rPr>
  </w:style>
  <w:style w:type="paragraph" w:customStyle="1" w:styleId="1-CITAES10ITLICO">
    <w:name w:val="1 - CITAÇÕES 10 ITÁLICO"/>
    <w:basedOn w:val="Normal"/>
    <w:autoRedefine/>
    <w:uiPriority w:val="99"/>
    <w:rsid w:val="009B2AE6"/>
    <w:pPr>
      <w:ind w:left="1985"/>
    </w:pPr>
    <w:rPr>
      <w:rFonts w:cs="Arial"/>
    </w:rPr>
  </w:style>
  <w:style w:type="character" w:customStyle="1" w:styleId="1-TABELACharChar">
    <w:name w:val="1 - TABELA Char Char"/>
    <w:basedOn w:val="Fontepargpadro"/>
    <w:locked/>
    <w:rsid w:val="009B2AE6"/>
    <w:rPr>
      <w:rFonts w:ascii="Arial" w:hAnsi="Arial" w:cs="Arial"/>
      <w:b/>
      <w:bCs/>
      <w:sz w:val="24"/>
      <w:szCs w:val="24"/>
      <w:lang w:val="pt-BR" w:eastAsia="pt-BR" w:bidi="ar-SA"/>
    </w:rPr>
  </w:style>
  <w:style w:type="character" w:styleId="CdigoHTML">
    <w:name w:val="HTML Code"/>
    <w:basedOn w:val="Fontepargpadro"/>
    <w:rsid w:val="009B2AE6"/>
    <w:rPr>
      <w:rFonts w:ascii="Courier New" w:hAnsi="Courier New" w:cs="Courier New"/>
      <w:sz w:val="20"/>
      <w:szCs w:val="20"/>
    </w:rPr>
  </w:style>
  <w:style w:type="character" w:customStyle="1" w:styleId="texto011">
    <w:name w:val="texto_011"/>
    <w:basedOn w:val="Fontepargpadro"/>
    <w:rsid w:val="009B2AE6"/>
    <w:rPr>
      <w:rFonts w:ascii="Tahoma" w:hAnsi="Tahoma" w:cs="Tahoma" w:hint="default"/>
      <w:strike w:val="0"/>
      <w:dstrike w:val="0"/>
      <w:color w:val="000099"/>
      <w:sz w:val="16"/>
      <w:szCs w:val="16"/>
      <w:u w:val="none"/>
      <w:effect w:val="none"/>
    </w:rPr>
  </w:style>
  <w:style w:type="paragraph" w:customStyle="1" w:styleId="Estilo1-GRFICOesquerda0cmDeslocamento3cmDepois">
    <w:name w:val="Estilo 1 - GRÁFICO + À esquerda:  0 cm Deslocamento:  3 cm Depois ..."/>
    <w:basedOn w:val="0-GRFICO"/>
    <w:link w:val="Estilo1-GRFICOesquerda0cmDeslocamento3cmDepoisChar"/>
    <w:autoRedefine/>
    <w:rsid w:val="009B2AE6"/>
    <w:pPr>
      <w:numPr>
        <w:numId w:val="7"/>
      </w:numPr>
      <w:spacing w:before="120"/>
    </w:pPr>
  </w:style>
  <w:style w:type="character" w:customStyle="1" w:styleId="0-GRFICOChar1">
    <w:name w:val="0 - GRÁFICO Char1"/>
    <w:basedOn w:val="1-TABELACharChar3"/>
    <w:link w:val="0-GRFICO"/>
    <w:rsid w:val="00133FC4"/>
    <w:rPr>
      <w:rFonts w:eastAsia="Calibri" w:cs="Arial"/>
      <w:sz w:val="24"/>
      <w:szCs w:val="24"/>
      <w14:scene3d>
        <w14:camera w14:prst="orthographicFront"/>
        <w14:lightRig w14:rig="threePt" w14:dir="t">
          <w14:rot w14:lat="0" w14:lon="0" w14:rev="0"/>
        </w14:lightRig>
      </w14:scene3d>
    </w:rPr>
  </w:style>
  <w:style w:type="character" w:customStyle="1" w:styleId="Estilo1-GRFICOesquerda0cmDeslocamento3cmDepoisChar">
    <w:name w:val="Estilo 1 - GRÁFICO + À esquerda:  0 cm Deslocamento:  3 cm Depois ... Char"/>
    <w:basedOn w:val="0-GRFICOChar1"/>
    <w:link w:val="Estilo1-GRFICOesquerda0cmDeslocamento3cmDepois"/>
    <w:rsid w:val="009B2AE6"/>
    <w:rPr>
      <w:rFonts w:eastAsia="Calibri" w:cs="Arial"/>
      <w:sz w:val="24"/>
      <w:szCs w:val="24"/>
      <w14:scene3d>
        <w14:camera w14:prst="orthographicFront"/>
        <w14:lightRig w14:rig="threePt" w14:dir="t">
          <w14:rot w14:lat="0" w14:lon="0" w14:rev="0"/>
        </w14:lightRig>
      </w14:scene3d>
    </w:rPr>
  </w:style>
  <w:style w:type="character" w:customStyle="1" w:styleId="Ttulo4Char">
    <w:name w:val="Título 4 Char"/>
    <w:basedOn w:val="Fontepargpadro"/>
    <w:locked/>
    <w:rsid w:val="009B2AE6"/>
    <w:rPr>
      <w:rFonts w:ascii="Arial" w:hAnsi="Arial" w:cs="Arial"/>
      <w:b/>
      <w:bCs/>
      <w:sz w:val="24"/>
      <w:szCs w:val="24"/>
      <w:lang w:val="pt-BR" w:eastAsia="pt-BR" w:bidi="ar-SA"/>
    </w:rPr>
  </w:style>
  <w:style w:type="paragraph" w:customStyle="1" w:styleId="Corpodetexto31">
    <w:name w:val="Corpo de texto 31"/>
    <w:basedOn w:val="Normal"/>
    <w:uiPriority w:val="99"/>
    <w:rsid w:val="009B2AE6"/>
    <w:rPr>
      <w:rFonts w:cs="Arial"/>
      <w:color w:val="000000"/>
      <w:sz w:val="24"/>
      <w:szCs w:val="24"/>
      <w:lang w:eastAsia="ar-SA"/>
    </w:rPr>
  </w:style>
  <w:style w:type="paragraph" w:customStyle="1" w:styleId="Ttulodatabela">
    <w:name w:val="Título da tabela"/>
    <w:basedOn w:val="Contedodatabela"/>
    <w:uiPriority w:val="99"/>
    <w:rsid w:val="009B2AE6"/>
    <w:pPr>
      <w:widowControl w:val="0"/>
      <w:autoSpaceDE w:val="0"/>
      <w:jc w:val="center"/>
    </w:pPr>
    <w:rPr>
      <w:b/>
      <w:bCs/>
      <w:i/>
      <w:iCs/>
      <w:sz w:val="24"/>
      <w:szCs w:val="24"/>
    </w:rPr>
  </w:style>
  <w:style w:type="paragraph" w:customStyle="1" w:styleId="WW-ContedodaTabela111111111111">
    <w:name w:val="WW-Conteúdo da Tabela111111111111"/>
    <w:basedOn w:val="Corpodetexto"/>
    <w:uiPriority w:val="99"/>
    <w:rsid w:val="009B2AE6"/>
    <w:pPr>
      <w:widowControl w:val="0"/>
      <w:suppressLineNumbers/>
      <w:suppressAutoHyphens/>
      <w:autoSpaceDE w:val="0"/>
    </w:pPr>
    <w:rPr>
      <w:rFonts w:cs="Arial"/>
      <w:color w:val="FF0000"/>
      <w:lang w:eastAsia="ar-SA"/>
    </w:rPr>
  </w:style>
  <w:style w:type="paragraph" w:customStyle="1" w:styleId="WW-TtulodaTabela1">
    <w:name w:val="WW-Título da Tabela1"/>
    <w:basedOn w:val="Normal"/>
    <w:uiPriority w:val="99"/>
    <w:rsid w:val="009B2AE6"/>
    <w:pPr>
      <w:widowControl w:val="0"/>
      <w:suppressLineNumbers/>
      <w:suppressAutoHyphens/>
      <w:autoSpaceDE w:val="0"/>
      <w:spacing w:after="120"/>
      <w:jc w:val="center"/>
    </w:pPr>
    <w:rPr>
      <w:rFonts w:eastAsia="Lucida Sans Unicode"/>
      <w:b/>
      <w:bCs/>
      <w:i/>
      <w:iCs/>
      <w:color w:val="000000"/>
      <w:sz w:val="24"/>
      <w:szCs w:val="24"/>
      <w:lang w:eastAsia="ar-SA"/>
    </w:rPr>
  </w:style>
  <w:style w:type="paragraph" w:customStyle="1" w:styleId="WW-ContedodaTabela1">
    <w:name w:val="WW-Conteúdo da Tabela1"/>
    <w:basedOn w:val="Corpodetexto"/>
    <w:uiPriority w:val="99"/>
    <w:rsid w:val="009B2AE6"/>
    <w:pPr>
      <w:widowControl w:val="0"/>
      <w:suppressLineNumbers/>
      <w:suppressAutoHyphens/>
      <w:autoSpaceDE w:val="0"/>
    </w:pPr>
    <w:rPr>
      <w:rFonts w:cs="Arial"/>
      <w:color w:val="FF0000"/>
      <w:lang w:eastAsia="ar-SA"/>
    </w:rPr>
  </w:style>
  <w:style w:type="paragraph" w:customStyle="1" w:styleId="western">
    <w:name w:val="western"/>
    <w:basedOn w:val="Normal"/>
    <w:link w:val="westernChar"/>
    <w:uiPriority w:val="99"/>
    <w:rsid w:val="009B2AE6"/>
    <w:pPr>
      <w:widowControl w:val="0"/>
      <w:suppressAutoHyphens/>
      <w:autoSpaceDE w:val="0"/>
      <w:spacing w:before="280" w:after="119"/>
    </w:pPr>
    <w:rPr>
      <w:rFonts w:ascii="Arial Unicode MS" w:eastAsia="Arial Unicode MS" w:hAnsi="Arial Unicode MS" w:cs="Arial Unicode MS"/>
      <w:sz w:val="24"/>
      <w:szCs w:val="24"/>
      <w:lang w:eastAsia="ar-SA"/>
    </w:rPr>
  </w:style>
  <w:style w:type="paragraph" w:customStyle="1" w:styleId="western1">
    <w:name w:val="western1"/>
    <w:basedOn w:val="Normal"/>
    <w:uiPriority w:val="99"/>
    <w:rsid w:val="009B2AE6"/>
    <w:pPr>
      <w:widowControl w:val="0"/>
      <w:suppressAutoHyphens/>
      <w:autoSpaceDE w:val="0"/>
      <w:spacing w:before="280"/>
    </w:pPr>
    <w:rPr>
      <w:rFonts w:ascii="Arial Unicode MS" w:eastAsia="Arial Unicode MS" w:hAnsi="Arial Unicode MS" w:cs="Arial Unicode MS"/>
      <w:i/>
      <w:iCs/>
      <w:sz w:val="24"/>
      <w:szCs w:val="24"/>
      <w:lang w:eastAsia="ar-SA"/>
    </w:rPr>
  </w:style>
  <w:style w:type="paragraph" w:customStyle="1" w:styleId="NormalWeb1">
    <w:name w:val="Normal (Web)1"/>
    <w:basedOn w:val="Normal"/>
    <w:uiPriority w:val="99"/>
    <w:rsid w:val="009B2AE6"/>
    <w:pPr>
      <w:widowControl w:val="0"/>
      <w:suppressAutoHyphens/>
      <w:autoSpaceDE w:val="0"/>
      <w:spacing w:before="280"/>
    </w:pPr>
    <w:rPr>
      <w:rFonts w:ascii="Arial Unicode MS" w:eastAsia="Arial Unicode MS" w:hAnsi="Arial Unicode MS" w:cs="Arial Unicode MS"/>
      <w:sz w:val="24"/>
      <w:szCs w:val="24"/>
      <w:lang w:eastAsia="ar-SA"/>
    </w:rPr>
  </w:style>
  <w:style w:type="paragraph" w:customStyle="1" w:styleId="EstiloTtulo2NoItlico">
    <w:name w:val="Estilo Título 2 + Não Itálico"/>
    <w:basedOn w:val="Ttulo2"/>
    <w:uiPriority w:val="99"/>
    <w:rsid w:val="009B2AE6"/>
    <w:pPr>
      <w:numPr>
        <w:numId w:val="0"/>
      </w:numPr>
      <w:tabs>
        <w:tab w:val="num" w:pos="900"/>
      </w:tabs>
      <w:spacing w:before="240" w:after="60"/>
      <w:ind w:left="900" w:hanging="900"/>
    </w:pPr>
    <w:rPr>
      <w:lang w:eastAsia="ar-SA"/>
    </w:rPr>
  </w:style>
  <w:style w:type="paragraph" w:customStyle="1" w:styleId="EstiloTtulo6Justificado1">
    <w:name w:val="Estilo Título 6 + Justificado1"/>
    <w:basedOn w:val="Ttulo6"/>
    <w:uiPriority w:val="99"/>
    <w:rsid w:val="00FF6B6F"/>
    <w:rPr>
      <w:rFonts w:cs="Times New Roman"/>
      <w:b/>
      <w:szCs w:val="20"/>
    </w:rPr>
  </w:style>
  <w:style w:type="paragraph" w:customStyle="1" w:styleId="Estilo12">
    <w:name w:val="Estilo12"/>
    <w:basedOn w:val="Ttulo6"/>
    <w:uiPriority w:val="99"/>
    <w:rsid w:val="00DB15F7"/>
    <w:rPr>
      <w:szCs w:val="24"/>
    </w:rPr>
  </w:style>
  <w:style w:type="paragraph" w:customStyle="1" w:styleId="Estilo13">
    <w:name w:val="Estilo13"/>
    <w:basedOn w:val="Ttulo7"/>
    <w:uiPriority w:val="99"/>
    <w:rsid w:val="00DB15F7"/>
    <w:rPr>
      <w:szCs w:val="24"/>
    </w:rPr>
  </w:style>
  <w:style w:type="paragraph" w:customStyle="1" w:styleId="Estilo14">
    <w:name w:val="Estilo14"/>
    <w:basedOn w:val="0-GRFICO"/>
    <w:rsid w:val="00DB15F7"/>
    <w:pPr>
      <w:numPr>
        <w:numId w:val="0"/>
      </w:numPr>
      <w:tabs>
        <w:tab w:val="num" w:pos="432"/>
      </w:tabs>
      <w:ind w:left="1418" w:hanging="1418"/>
    </w:pPr>
  </w:style>
  <w:style w:type="paragraph" w:customStyle="1" w:styleId="Estilo15">
    <w:name w:val="Estilo15"/>
    <w:basedOn w:val="1-TEXTORELATORIO"/>
    <w:uiPriority w:val="99"/>
    <w:rsid w:val="00DB15F7"/>
    <w:rPr>
      <w:sz w:val="22"/>
    </w:rPr>
  </w:style>
  <w:style w:type="character" w:customStyle="1" w:styleId="FORAChar">
    <w:name w:val="FORA Char"/>
    <w:basedOn w:val="1-TEXTORELATORIOCharChar"/>
    <w:link w:val="FORA"/>
    <w:rsid w:val="003259C5"/>
    <w:rPr>
      <w:rFonts w:ascii="Ecofont Vera Sans" w:eastAsia="Calibri" w:hAnsi="Ecofont Vera Sans" w:cs="Arial"/>
      <w:w w:val="109"/>
      <w:sz w:val="16"/>
      <w:szCs w:val="16"/>
      <w:lang w:val="pt-BR" w:eastAsia="en-US" w:bidi="ar-SA"/>
    </w:rPr>
  </w:style>
  <w:style w:type="character" w:customStyle="1" w:styleId="Ttulo5CharChar1">
    <w:name w:val="Título 5 Char Char1"/>
    <w:basedOn w:val="Fontepargpadro"/>
    <w:locked/>
    <w:rsid w:val="00300322"/>
    <w:rPr>
      <w:rFonts w:ascii="Arial" w:hAnsi="Arial" w:cs="Arial"/>
      <w:bCs/>
      <w:sz w:val="22"/>
      <w:szCs w:val="24"/>
      <w:lang w:val="pt-BR" w:eastAsia="pt-BR" w:bidi="ar-SA"/>
    </w:rPr>
  </w:style>
  <w:style w:type="paragraph" w:customStyle="1" w:styleId="1-QUADRO">
    <w:name w:val="1 - QUADRO"/>
    <w:basedOn w:val="1-TABELA"/>
    <w:autoRedefine/>
    <w:uiPriority w:val="99"/>
    <w:rsid w:val="00454F4B"/>
    <w:pPr>
      <w:numPr>
        <w:numId w:val="0"/>
      </w:numPr>
      <w:tabs>
        <w:tab w:val="num" w:pos="981"/>
        <w:tab w:val="left" w:pos="1843"/>
      </w:tabs>
      <w:ind w:left="981" w:right="0" w:hanging="981"/>
      <w:jc w:val="center"/>
    </w:pPr>
    <w:rPr>
      <w:bCs/>
      <w:sz w:val="22"/>
      <w:szCs w:val="22"/>
    </w:rPr>
  </w:style>
  <w:style w:type="numbering" w:customStyle="1" w:styleId="EstiloNumeradaArialSombraesquerda0cmDeslocamento0">
    <w:name w:val="Estilo Numerada Arial Sombra À esquerda:  0 cm Deslocamento:  0..."/>
    <w:basedOn w:val="Semlista"/>
    <w:rsid w:val="00F773C8"/>
    <w:pPr>
      <w:numPr>
        <w:numId w:val="8"/>
      </w:numPr>
    </w:pPr>
  </w:style>
  <w:style w:type="paragraph" w:customStyle="1" w:styleId="1T-QUADRO">
    <w:name w:val="1 T-QUADRO"/>
    <w:basedOn w:val="Normal"/>
    <w:next w:val="1-REL11"/>
    <w:autoRedefine/>
    <w:uiPriority w:val="99"/>
    <w:rsid w:val="00454F4B"/>
    <w:pPr>
      <w:tabs>
        <w:tab w:val="num" w:pos="1276"/>
      </w:tabs>
      <w:ind w:left="284" w:hanging="284"/>
      <w:jc w:val="center"/>
      <w:outlineLvl w:val="8"/>
    </w:pPr>
  </w:style>
  <w:style w:type="paragraph" w:customStyle="1" w:styleId="0-FONTECENTRO8">
    <w:name w:val="0 - FONTE CENTRO 8"/>
    <w:basedOn w:val="Normal"/>
    <w:autoRedefine/>
    <w:uiPriority w:val="99"/>
    <w:rsid w:val="006F4399"/>
    <w:pPr>
      <w:shd w:val="solid" w:color="FFFFFF" w:fill="FFFFFF"/>
      <w:jc w:val="center"/>
    </w:pPr>
    <w:rPr>
      <w:sz w:val="16"/>
    </w:rPr>
  </w:style>
  <w:style w:type="character" w:customStyle="1" w:styleId="1-TABELAChar">
    <w:name w:val="1 - TABELA Char"/>
    <w:basedOn w:val="Fontepargpadro"/>
    <w:locked/>
    <w:rsid w:val="00E02F86"/>
    <w:rPr>
      <w:rFonts w:ascii="Arial" w:hAnsi="Arial" w:cs="Arial"/>
      <w:b/>
      <w:bCs/>
      <w:sz w:val="24"/>
      <w:szCs w:val="24"/>
      <w:lang w:val="pt-BR" w:eastAsia="pt-BR" w:bidi="ar-SA"/>
    </w:rPr>
  </w:style>
  <w:style w:type="paragraph" w:customStyle="1" w:styleId="1-GRFICO">
    <w:name w:val="1 - GRÁFICO"/>
    <w:basedOn w:val="1-TABELA"/>
    <w:next w:val="1-TEXTORELATORIO"/>
    <w:link w:val="1-GRFICOCharChar"/>
    <w:autoRedefine/>
    <w:rsid w:val="00284DAB"/>
    <w:pPr>
      <w:numPr>
        <w:numId w:val="1"/>
      </w:numPr>
      <w:tabs>
        <w:tab w:val="clear" w:pos="3404"/>
        <w:tab w:val="num" w:pos="1276"/>
      </w:tabs>
      <w:ind w:left="1701" w:right="0" w:hanging="1701"/>
    </w:pPr>
  </w:style>
  <w:style w:type="character" w:customStyle="1" w:styleId="1-GRFICOCharChar">
    <w:name w:val="1 - GRÁFICO Char Char"/>
    <w:basedOn w:val="1-TABELAChar"/>
    <w:link w:val="1-GRFICO"/>
    <w:rsid w:val="00284DAB"/>
    <w:rPr>
      <w:rFonts w:ascii="Arial" w:hAnsi="Arial" w:cs="Arial"/>
      <w:b w:val="0"/>
      <w:bCs w:val="0"/>
      <w:sz w:val="24"/>
      <w:szCs w:val="24"/>
      <w:lang w:val="pt-BR" w:eastAsia="pt-BR" w:bidi="ar-SA"/>
    </w:rPr>
  </w:style>
  <w:style w:type="paragraph" w:customStyle="1" w:styleId="EstiloTtulo1Antes0ptDepoisde0pt">
    <w:name w:val="Estilo Título 1 + Antes:  0 pt Depois de:  0 pt"/>
    <w:basedOn w:val="Ttulo1"/>
    <w:uiPriority w:val="99"/>
    <w:rsid w:val="00CC1DFC"/>
    <w:pPr>
      <w:numPr>
        <w:numId w:val="10"/>
      </w:numPr>
    </w:pPr>
    <w:rPr>
      <w:color w:val="000000"/>
      <w:szCs w:val="20"/>
      <w14:textFill>
        <w14:solidFill>
          <w14:srgbClr w14:val="000000">
            <w14:lumMod w14:val="50000"/>
          </w14:srgbClr>
        </w14:solidFill>
      </w14:textFill>
    </w:rPr>
  </w:style>
  <w:style w:type="paragraph" w:customStyle="1" w:styleId="EstiloTtulo4VermelhoJustificado">
    <w:name w:val="Estilo Título 4 + Vermelho Justificado"/>
    <w:basedOn w:val="Ttulo4"/>
    <w:next w:val="1-REL11"/>
    <w:autoRedefine/>
    <w:uiPriority w:val="99"/>
    <w:rsid w:val="00CC1DFC"/>
    <w:rPr>
      <w:bCs w:val="0"/>
      <w:szCs w:val="20"/>
    </w:rPr>
  </w:style>
  <w:style w:type="paragraph" w:customStyle="1" w:styleId="Estilo0-GRFICOesquerda">
    <w:name w:val="Estilo 0 - GRÁFICO + À esquerda"/>
    <w:basedOn w:val="0-GRFICO"/>
    <w:autoRedefine/>
    <w:rsid w:val="00CC1DFC"/>
    <w:pPr>
      <w:numPr>
        <w:numId w:val="11"/>
      </w:numPr>
      <w:jc w:val="left"/>
    </w:pPr>
    <w:rPr>
      <w:rFonts w:cs="Times New Roman"/>
      <w:bCs/>
      <w:szCs w:val="20"/>
    </w:rPr>
  </w:style>
  <w:style w:type="paragraph" w:styleId="ndicedeilustraes">
    <w:name w:val="table of figures"/>
    <w:basedOn w:val="Normal"/>
    <w:next w:val="Normal"/>
    <w:uiPriority w:val="99"/>
    <w:rsid w:val="00F33AA4"/>
    <w:pPr>
      <w:spacing w:before="120"/>
      <w:ind w:left="1418" w:hanging="1418"/>
    </w:pPr>
  </w:style>
  <w:style w:type="paragraph" w:styleId="PargrafodaLista">
    <w:name w:val="List Paragraph"/>
    <w:aliases w:val="Numeracao 3"/>
    <w:basedOn w:val="Normal"/>
    <w:uiPriority w:val="34"/>
    <w:qFormat/>
    <w:rsid w:val="00B057DC"/>
    <w:pPr>
      <w:ind w:left="720"/>
      <w:contextualSpacing/>
    </w:pPr>
  </w:style>
  <w:style w:type="character" w:customStyle="1" w:styleId="Ttulo3Char">
    <w:name w:val="Título 3 Char"/>
    <w:basedOn w:val="Fontepargpadro"/>
    <w:link w:val="Ttulo3"/>
    <w:rsid w:val="00A224E9"/>
    <w:rPr>
      <w:b/>
      <w:bCs/>
      <w:sz w:val="24"/>
      <w:szCs w:val="24"/>
    </w:rPr>
  </w:style>
  <w:style w:type="paragraph" w:customStyle="1" w:styleId="xl43">
    <w:name w:val="xl43"/>
    <w:basedOn w:val="Normal"/>
    <w:uiPriority w:val="99"/>
    <w:rsid w:val="00B057DC"/>
    <w:pPr>
      <w:spacing w:before="100" w:beforeAutospacing="1" w:after="100" w:afterAutospacing="1"/>
      <w:textAlignment w:val="center"/>
    </w:pPr>
    <w:rPr>
      <w:rFonts w:cs="Arial"/>
      <w:b/>
      <w:bCs/>
      <w:sz w:val="24"/>
      <w:szCs w:val="24"/>
    </w:rPr>
  </w:style>
  <w:style w:type="paragraph" w:customStyle="1" w:styleId="xl45">
    <w:name w:val="xl45"/>
    <w:basedOn w:val="Normal"/>
    <w:uiPriority w:val="99"/>
    <w:rsid w:val="00B057DC"/>
    <w:pPr>
      <w:pBdr>
        <w:top w:val="single" w:sz="4" w:space="0" w:color="auto"/>
        <w:left w:val="single" w:sz="4" w:space="0" w:color="auto"/>
        <w:right w:val="single" w:sz="4" w:space="0" w:color="auto"/>
      </w:pBdr>
      <w:shd w:val="pct25" w:color="FFFF00" w:fill="C0C0C0"/>
      <w:spacing w:before="100" w:beforeAutospacing="1" w:after="100" w:afterAutospacing="1"/>
      <w:jc w:val="center"/>
      <w:textAlignment w:val="center"/>
    </w:pPr>
    <w:rPr>
      <w:rFonts w:cs="Arial"/>
      <w:b/>
      <w:bCs/>
      <w:sz w:val="18"/>
      <w:szCs w:val="18"/>
    </w:rPr>
  </w:style>
  <w:style w:type="paragraph" w:customStyle="1" w:styleId="xl46">
    <w:name w:val="xl46"/>
    <w:basedOn w:val="Normal"/>
    <w:uiPriority w:val="99"/>
    <w:rsid w:val="00B057DC"/>
    <w:pPr>
      <w:pBdr>
        <w:left w:val="single" w:sz="4" w:space="0" w:color="auto"/>
        <w:bottom w:val="single" w:sz="4" w:space="0" w:color="auto"/>
        <w:right w:val="single" w:sz="4" w:space="0" w:color="auto"/>
      </w:pBdr>
      <w:shd w:val="pct25" w:color="FFFF00" w:fill="C0C0C0"/>
      <w:spacing w:before="100" w:beforeAutospacing="1" w:after="100" w:afterAutospacing="1"/>
      <w:jc w:val="center"/>
      <w:textAlignment w:val="center"/>
    </w:pPr>
    <w:rPr>
      <w:rFonts w:cs="Arial"/>
      <w:b/>
      <w:bCs/>
      <w:sz w:val="18"/>
      <w:szCs w:val="18"/>
    </w:rPr>
  </w:style>
  <w:style w:type="paragraph" w:customStyle="1" w:styleId="xl47">
    <w:name w:val="xl47"/>
    <w:basedOn w:val="Normal"/>
    <w:uiPriority w:val="99"/>
    <w:rsid w:val="00B057DC"/>
    <w:pPr>
      <w:pBdr>
        <w:top w:val="single" w:sz="4" w:space="0" w:color="auto"/>
        <w:left w:val="single" w:sz="4" w:space="0" w:color="auto"/>
      </w:pBdr>
      <w:shd w:val="pct25" w:color="FFFF00" w:fill="C0C0C0"/>
      <w:spacing w:before="100" w:beforeAutospacing="1" w:after="100" w:afterAutospacing="1"/>
      <w:jc w:val="center"/>
      <w:textAlignment w:val="center"/>
    </w:pPr>
    <w:rPr>
      <w:rFonts w:cs="Arial"/>
      <w:b/>
      <w:bCs/>
      <w:sz w:val="18"/>
      <w:szCs w:val="18"/>
    </w:rPr>
  </w:style>
  <w:style w:type="paragraph" w:customStyle="1" w:styleId="xl48">
    <w:name w:val="xl48"/>
    <w:basedOn w:val="Normal"/>
    <w:uiPriority w:val="99"/>
    <w:rsid w:val="00B057DC"/>
    <w:pPr>
      <w:pBdr>
        <w:top w:val="single" w:sz="4" w:space="0" w:color="auto"/>
      </w:pBdr>
      <w:shd w:val="pct25" w:color="FFFF00" w:fill="C0C0C0"/>
      <w:spacing w:before="100" w:beforeAutospacing="1" w:after="100" w:afterAutospacing="1"/>
      <w:jc w:val="center"/>
      <w:textAlignment w:val="center"/>
    </w:pPr>
    <w:rPr>
      <w:rFonts w:cs="Arial"/>
      <w:b/>
      <w:bCs/>
      <w:sz w:val="18"/>
      <w:szCs w:val="18"/>
    </w:rPr>
  </w:style>
  <w:style w:type="paragraph" w:customStyle="1" w:styleId="xl49">
    <w:name w:val="xl49"/>
    <w:basedOn w:val="Normal"/>
    <w:uiPriority w:val="99"/>
    <w:rsid w:val="00B057DC"/>
    <w:pPr>
      <w:pBdr>
        <w:top w:val="single" w:sz="4" w:space="0" w:color="auto"/>
        <w:right w:val="single" w:sz="4" w:space="0" w:color="auto"/>
      </w:pBdr>
      <w:shd w:val="pct25" w:color="FFFF00" w:fill="C0C0C0"/>
      <w:spacing w:before="100" w:beforeAutospacing="1" w:after="100" w:afterAutospacing="1"/>
      <w:jc w:val="center"/>
      <w:textAlignment w:val="center"/>
    </w:pPr>
    <w:rPr>
      <w:rFonts w:cs="Arial"/>
      <w:b/>
      <w:bCs/>
      <w:sz w:val="18"/>
      <w:szCs w:val="18"/>
    </w:rPr>
  </w:style>
  <w:style w:type="paragraph" w:customStyle="1" w:styleId="NormalArial">
    <w:name w:val="Normal + Arial"/>
    <w:aliases w:val="11 pt,Negrito"/>
    <w:basedOn w:val="Normal"/>
    <w:uiPriority w:val="99"/>
    <w:rsid w:val="00B057DC"/>
    <w:rPr>
      <w:rFonts w:cs="Arial"/>
      <w:b/>
      <w:bCs/>
    </w:rPr>
  </w:style>
  <w:style w:type="character" w:customStyle="1" w:styleId="TextodebaloChar">
    <w:name w:val="Texto de balão Char"/>
    <w:basedOn w:val="Fontepargpadro"/>
    <w:link w:val="Textodebalo"/>
    <w:uiPriority w:val="99"/>
    <w:rsid w:val="00B057DC"/>
    <w:rPr>
      <w:rFonts w:ascii="Tahoma" w:hAnsi="Tahoma" w:cs="Tahoma"/>
      <w:sz w:val="16"/>
      <w:szCs w:val="16"/>
    </w:rPr>
  </w:style>
  <w:style w:type="paragraph" w:customStyle="1" w:styleId="Estilo16">
    <w:name w:val="Estilo16"/>
    <w:basedOn w:val="Normal"/>
    <w:autoRedefine/>
    <w:uiPriority w:val="99"/>
    <w:qFormat/>
    <w:rsid w:val="00A65E6A"/>
    <w:pPr>
      <w:jc w:val="center"/>
      <w:outlineLvl w:val="0"/>
    </w:pPr>
    <w:rPr>
      <w:rFonts w:cs="Arial"/>
      <w:color w:val="000000"/>
    </w:rPr>
  </w:style>
  <w:style w:type="character" w:customStyle="1" w:styleId="CorpodetextoChar1">
    <w:name w:val="Corpo de texto Char1"/>
    <w:basedOn w:val="Fontepargpadro"/>
    <w:locked/>
    <w:rsid w:val="00F46DA0"/>
    <w:rPr>
      <w:sz w:val="24"/>
      <w:szCs w:val="24"/>
      <w:lang w:val="pt-BR" w:eastAsia="pt-BR"/>
    </w:rPr>
  </w:style>
  <w:style w:type="character" w:customStyle="1" w:styleId="Ttulo4CharChar1">
    <w:name w:val="Título 4 Char Char1"/>
    <w:basedOn w:val="Fontepargpadro"/>
    <w:locked/>
    <w:rsid w:val="00F46DA0"/>
    <w:rPr>
      <w:rFonts w:ascii="Arial" w:hAnsi="Arial" w:cs="Arial"/>
      <w:b/>
      <w:bCs/>
      <w:sz w:val="24"/>
      <w:szCs w:val="24"/>
      <w:lang w:val="pt-BR" w:eastAsia="pt-BR" w:bidi="ar-SA"/>
    </w:rPr>
  </w:style>
  <w:style w:type="character" w:customStyle="1" w:styleId="0-GRFICOChar">
    <w:name w:val="0 - GRÁFICO Char"/>
    <w:basedOn w:val="Fontepargpadro"/>
    <w:rsid w:val="00A929E2"/>
    <w:rPr>
      <w:rFonts w:ascii="Arial" w:hAnsi="Arial" w:cs="Arial"/>
      <w:bCs/>
      <w:sz w:val="22"/>
      <w:szCs w:val="22"/>
    </w:rPr>
  </w:style>
  <w:style w:type="paragraph" w:customStyle="1" w:styleId="1-REL10">
    <w:name w:val="1 - REL 10"/>
    <w:basedOn w:val="1-REL11"/>
    <w:link w:val="1-REL10Char"/>
    <w:qFormat/>
    <w:rsid w:val="0081550A"/>
    <w:pPr>
      <w:tabs>
        <w:tab w:val="left" w:pos="2410"/>
        <w:tab w:val="left" w:pos="6804"/>
      </w:tabs>
    </w:pPr>
  </w:style>
  <w:style w:type="character" w:customStyle="1" w:styleId="1-REL10Char">
    <w:name w:val="1 - REL 10 Char"/>
    <w:basedOn w:val="1-REL11Char"/>
    <w:link w:val="1-REL10"/>
    <w:rsid w:val="0081550A"/>
    <w:rPr>
      <w:rFonts w:ascii="Arial" w:eastAsia="Calibri" w:hAnsi="Arial" w:cs="Arial"/>
      <w:b w:val="0"/>
      <w:bCs w:val="0"/>
      <w:w w:val="109"/>
      <w:sz w:val="22"/>
      <w:szCs w:val="22"/>
      <w:lang w:val="pt-BR" w:eastAsia="en-US"/>
    </w:rPr>
  </w:style>
  <w:style w:type="paragraph" w:customStyle="1" w:styleId="Estilo17">
    <w:name w:val="Estilo17"/>
    <w:basedOn w:val="0-TABELA"/>
    <w:uiPriority w:val="99"/>
    <w:qFormat/>
    <w:rsid w:val="00FD5CF8"/>
    <w:pPr>
      <w:numPr>
        <w:numId w:val="0"/>
      </w:numPr>
      <w:tabs>
        <w:tab w:val="num" w:pos="1418"/>
      </w:tabs>
      <w:ind w:left="1418" w:hanging="1418"/>
    </w:pPr>
  </w:style>
  <w:style w:type="character" w:customStyle="1" w:styleId="1-GRFICOChar">
    <w:name w:val="1 - GRÁFICO Char"/>
    <w:basedOn w:val="1-TABELAChar"/>
    <w:rsid w:val="00371A9F"/>
    <w:rPr>
      <w:rFonts w:ascii="Arial" w:hAnsi="Arial" w:cs="Arial"/>
      <w:b/>
      <w:bCs/>
      <w:sz w:val="22"/>
      <w:szCs w:val="24"/>
      <w:lang w:val="pt-BR" w:eastAsia="pt-BR" w:bidi="ar-SA"/>
    </w:rPr>
  </w:style>
  <w:style w:type="paragraph" w:customStyle="1" w:styleId="EstiloTtulo6NegritoesquerdaAntes12ptDepoisde3">
    <w:name w:val="Estilo Título 6 + Negrito À esquerda Antes:  12 pt Depois de:  3 ..."/>
    <w:basedOn w:val="Ttulo6"/>
    <w:uiPriority w:val="99"/>
    <w:rsid w:val="00121475"/>
    <w:pPr>
      <w:spacing w:before="240" w:after="60"/>
    </w:pPr>
    <w:rPr>
      <w:rFonts w:cs="Times New Roman"/>
      <w:szCs w:val="20"/>
    </w:rPr>
  </w:style>
  <w:style w:type="character" w:customStyle="1" w:styleId="0-GRFICOCharChar">
    <w:name w:val="0 - GRÁFICO Char Char"/>
    <w:basedOn w:val="1-TABELACharChar3"/>
    <w:rsid w:val="00BD2786"/>
    <w:rPr>
      <w:rFonts w:ascii="Arial" w:hAnsi="Arial" w:cs="Arial"/>
      <w:bCs/>
      <w:sz w:val="22"/>
      <w:szCs w:val="22"/>
      <w:lang w:val="pt-BR" w:eastAsia="pt-BR" w:bidi="ar-SA"/>
    </w:rPr>
  </w:style>
  <w:style w:type="character" w:customStyle="1" w:styleId="MapadoDocumentoChar">
    <w:name w:val="Mapa do Documento Char"/>
    <w:basedOn w:val="Fontepargpadro"/>
    <w:link w:val="MapadoDocumento"/>
    <w:uiPriority w:val="99"/>
    <w:semiHidden/>
    <w:rsid w:val="00224096"/>
    <w:rPr>
      <w:rFonts w:ascii="Tahoma" w:hAnsi="Tahoma" w:cs="Tahoma"/>
      <w:shd w:val="clear" w:color="auto" w:fill="000080"/>
    </w:rPr>
  </w:style>
  <w:style w:type="paragraph" w:styleId="SemEspaamento">
    <w:name w:val="No Spacing"/>
    <w:link w:val="SemEspaamentoChar"/>
    <w:uiPriority w:val="1"/>
    <w:qFormat/>
    <w:rsid w:val="00224096"/>
    <w:rPr>
      <w:rFonts w:ascii="Calibri" w:hAnsi="Calibri"/>
      <w:lang w:eastAsia="en-US"/>
    </w:rPr>
  </w:style>
  <w:style w:type="character" w:customStyle="1" w:styleId="SemEspaamentoChar">
    <w:name w:val="Sem Espaçamento Char"/>
    <w:basedOn w:val="Fontepargpadro"/>
    <w:link w:val="SemEspaamento"/>
    <w:uiPriority w:val="1"/>
    <w:rsid w:val="00224096"/>
    <w:rPr>
      <w:rFonts w:ascii="Calibri" w:hAnsi="Calibri"/>
      <w:sz w:val="22"/>
      <w:szCs w:val="22"/>
      <w:lang w:eastAsia="en-US"/>
    </w:rPr>
  </w:style>
  <w:style w:type="character" w:customStyle="1" w:styleId="CabealhoChar">
    <w:name w:val="Cabeçalho Char"/>
    <w:basedOn w:val="Fontepargpadro"/>
    <w:link w:val="Cabealho"/>
    <w:uiPriority w:val="99"/>
    <w:rsid w:val="00224096"/>
    <w:rPr>
      <w:rFonts w:ascii="Arial" w:hAnsi="Arial"/>
    </w:rPr>
  </w:style>
  <w:style w:type="character" w:customStyle="1" w:styleId="Ttulo1Char">
    <w:name w:val="Título 1 Char"/>
    <w:basedOn w:val="Fontepargpadro"/>
    <w:link w:val="Ttulo1"/>
    <w:rsid w:val="00E175C4"/>
    <w:rPr>
      <w:b/>
      <w:bCs/>
      <w:w w:val="109"/>
      <w:kern w:val="32"/>
      <w:sz w:val="32"/>
      <w:szCs w:val="40"/>
    </w:rPr>
  </w:style>
  <w:style w:type="paragraph" w:styleId="CabealhodoSumrio">
    <w:name w:val="TOC Heading"/>
    <w:basedOn w:val="Ttulo1"/>
    <w:next w:val="Normal"/>
    <w:uiPriority w:val="39"/>
    <w:unhideWhenUsed/>
    <w:qFormat/>
    <w:rsid w:val="00224096"/>
    <w:pPr>
      <w:keepLines/>
      <w:spacing w:before="480"/>
      <w:outlineLvl w:val="9"/>
    </w:pPr>
    <w:rPr>
      <w:smallCaps/>
      <w:color w:val="365F91"/>
      <w:w w:val="107"/>
      <w:kern w:val="0"/>
      <w:szCs w:val="28"/>
      <w:lang w:eastAsia="en-US"/>
      <w14:textFill>
        <w14:solidFill>
          <w14:srgbClr w14:val="365F91">
            <w14:lumMod w14:val="50000"/>
          </w14:srgbClr>
        </w14:solidFill>
      </w14:textFill>
    </w:rPr>
  </w:style>
  <w:style w:type="character" w:customStyle="1" w:styleId="Ttulo7Char">
    <w:name w:val="Título 7 Char"/>
    <w:basedOn w:val="Fontepargpadro"/>
    <w:link w:val="Ttulo7"/>
    <w:rsid w:val="002E4E5C"/>
    <w:rPr>
      <w:rFonts w:cs="Arial"/>
      <w:bCs/>
    </w:rPr>
  </w:style>
  <w:style w:type="character" w:customStyle="1" w:styleId="Ttulo8Char">
    <w:name w:val="Título 8 Char"/>
    <w:basedOn w:val="Fontepargpadro"/>
    <w:link w:val="Ttulo8"/>
    <w:rsid w:val="002E4E5C"/>
    <w:rPr>
      <w:rFonts w:cs="Arial"/>
      <w:bCs/>
    </w:rPr>
  </w:style>
  <w:style w:type="character" w:customStyle="1" w:styleId="Ttulo9Char">
    <w:name w:val="Título 9 Char"/>
    <w:basedOn w:val="Fontepargpadro"/>
    <w:link w:val="Ttulo9"/>
    <w:rsid w:val="002E4E5C"/>
    <w:rPr>
      <w:rFonts w:cs="Arial"/>
    </w:rPr>
  </w:style>
  <w:style w:type="paragraph" w:styleId="Remissivo2">
    <w:name w:val="index 2"/>
    <w:basedOn w:val="Normal"/>
    <w:next w:val="Normal"/>
    <w:autoRedefine/>
    <w:uiPriority w:val="99"/>
    <w:unhideWhenUsed/>
    <w:rsid w:val="00224096"/>
    <w:pPr>
      <w:spacing w:line="276" w:lineRule="auto"/>
      <w:ind w:left="440" w:hanging="220"/>
    </w:pPr>
    <w:rPr>
      <w:rFonts w:asciiTheme="minorHAnsi" w:hAnsiTheme="minorHAnsi"/>
    </w:rPr>
  </w:style>
  <w:style w:type="paragraph" w:styleId="Remissivo3">
    <w:name w:val="index 3"/>
    <w:basedOn w:val="Normal"/>
    <w:next w:val="Normal"/>
    <w:autoRedefine/>
    <w:uiPriority w:val="99"/>
    <w:unhideWhenUsed/>
    <w:rsid w:val="00224096"/>
    <w:pPr>
      <w:spacing w:line="276" w:lineRule="auto"/>
      <w:ind w:left="660" w:hanging="220"/>
    </w:pPr>
    <w:rPr>
      <w:rFonts w:asciiTheme="minorHAnsi" w:hAnsiTheme="minorHAnsi"/>
    </w:rPr>
  </w:style>
  <w:style w:type="paragraph" w:styleId="Remissivo4">
    <w:name w:val="index 4"/>
    <w:basedOn w:val="Normal"/>
    <w:next w:val="Normal"/>
    <w:autoRedefine/>
    <w:uiPriority w:val="99"/>
    <w:unhideWhenUsed/>
    <w:rsid w:val="00224096"/>
    <w:pPr>
      <w:spacing w:line="276" w:lineRule="auto"/>
      <w:ind w:left="880" w:hanging="220"/>
    </w:pPr>
    <w:rPr>
      <w:rFonts w:asciiTheme="minorHAnsi" w:hAnsiTheme="minorHAnsi"/>
    </w:rPr>
  </w:style>
  <w:style w:type="paragraph" w:styleId="Remissivo5">
    <w:name w:val="index 5"/>
    <w:basedOn w:val="Normal"/>
    <w:next w:val="Normal"/>
    <w:autoRedefine/>
    <w:uiPriority w:val="99"/>
    <w:unhideWhenUsed/>
    <w:rsid w:val="00224096"/>
    <w:pPr>
      <w:spacing w:line="276" w:lineRule="auto"/>
      <w:ind w:left="1100" w:hanging="220"/>
    </w:pPr>
    <w:rPr>
      <w:rFonts w:asciiTheme="minorHAnsi" w:hAnsiTheme="minorHAnsi"/>
    </w:rPr>
  </w:style>
  <w:style w:type="paragraph" w:styleId="Remissivo6">
    <w:name w:val="index 6"/>
    <w:basedOn w:val="Normal"/>
    <w:next w:val="Normal"/>
    <w:autoRedefine/>
    <w:uiPriority w:val="99"/>
    <w:unhideWhenUsed/>
    <w:rsid w:val="00224096"/>
    <w:pPr>
      <w:spacing w:line="276" w:lineRule="auto"/>
      <w:ind w:left="1320" w:hanging="220"/>
    </w:pPr>
    <w:rPr>
      <w:rFonts w:asciiTheme="minorHAnsi" w:hAnsiTheme="minorHAnsi"/>
    </w:rPr>
  </w:style>
  <w:style w:type="paragraph" w:styleId="Remissivo7">
    <w:name w:val="index 7"/>
    <w:basedOn w:val="Normal"/>
    <w:next w:val="Normal"/>
    <w:autoRedefine/>
    <w:uiPriority w:val="99"/>
    <w:unhideWhenUsed/>
    <w:rsid w:val="00224096"/>
    <w:pPr>
      <w:spacing w:line="276" w:lineRule="auto"/>
      <w:ind w:left="1540" w:hanging="220"/>
    </w:pPr>
    <w:rPr>
      <w:rFonts w:asciiTheme="minorHAnsi" w:hAnsiTheme="minorHAnsi"/>
    </w:rPr>
  </w:style>
  <w:style w:type="paragraph" w:styleId="Remissivo8">
    <w:name w:val="index 8"/>
    <w:basedOn w:val="Normal"/>
    <w:next w:val="Normal"/>
    <w:autoRedefine/>
    <w:uiPriority w:val="99"/>
    <w:unhideWhenUsed/>
    <w:rsid w:val="00224096"/>
    <w:pPr>
      <w:spacing w:line="276" w:lineRule="auto"/>
      <w:ind w:left="1760" w:hanging="220"/>
    </w:pPr>
    <w:rPr>
      <w:rFonts w:asciiTheme="minorHAnsi" w:hAnsiTheme="minorHAnsi"/>
    </w:rPr>
  </w:style>
  <w:style w:type="paragraph" w:styleId="Ttulodendiceremissivo">
    <w:name w:val="index heading"/>
    <w:basedOn w:val="Normal"/>
    <w:next w:val="Remissivo1"/>
    <w:uiPriority w:val="99"/>
    <w:unhideWhenUsed/>
    <w:rsid w:val="00224096"/>
    <w:pPr>
      <w:spacing w:before="120" w:after="120" w:line="276" w:lineRule="auto"/>
    </w:pPr>
    <w:rPr>
      <w:rFonts w:asciiTheme="minorHAnsi" w:hAnsiTheme="minorHAnsi"/>
      <w:b/>
      <w:bCs/>
      <w:i/>
      <w:iCs/>
    </w:rPr>
  </w:style>
  <w:style w:type="character" w:customStyle="1" w:styleId="TextodenotaderodapChar">
    <w:name w:val="Texto de nota de rodapé Char"/>
    <w:basedOn w:val="Fontepargpadro"/>
    <w:link w:val="Textodenotaderodap"/>
    <w:uiPriority w:val="99"/>
    <w:semiHidden/>
    <w:rsid w:val="00224096"/>
    <w:rPr>
      <w:rFonts w:ascii="Arial" w:hAnsi="Arial"/>
    </w:rPr>
  </w:style>
  <w:style w:type="character" w:customStyle="1" w:styleId="Corpodetexto3Char">
    <w:name w:val="Corpo de texto 3 Char"/>
    <w:basedOn w:val="Fontepargpadro"/>
    <w:link w:val="Corpodetexto3"/>
    <w:uiPriority w:val="99"/>
    <w:rsid w:val="00224096"/>
    <w:rPr>
      <w:rFonts w:ascii="Arial" w:hAnsi="Arial" w:cs="Arial"/>
      <w:color w:val="000000"/>
      <w:sz w:val="24"/>
      <w:szCs w:val="24"/>
    </w:rPr>
  </w:style>
  <w:style w:type="character" w:customStyle="1" w:styleId="Recuodecorpodetexto2Char">
    <w:name w:val="Recuo de corpo de texto 2 Char"/>
    <w:basedOn w:val="Fontepargpadro"/>
    <w:link w:val="Recuodecorpodetexto2"/>
    <w:uiPriority w:val="99"/>
    <w:rsid w:val="00224096"/>
    <w:rPr>
      <w:rFonts w:ascii="Arial" w:hAnsi="Arial" w:cs="Arial"/>
      <w:i/>
      <w:iCs/>
      <w:sz w:val="24"/>
      <w:szCs w:val="24"/>
    </w:rPr>
  </w:style>
  <w:style w:type="character" w:customStyle="1" w:styleId="Recuodecorpodetexto3Char">
    <w:name w:val="Recuo de corpo de texto 3 Char"/>
    <w:basedOn w:val="Fontepargpadro"/>
    <w:link w:val="Recuodecorpodetexto3"/>
    <w:uiPriority w:val="99"/>
    <w:rsid w:val="00224096"/>
    <w:rPr>
      <w:rFonts w:ascii="Arial" w:hAnsi="Arial" w:cs="Arial"/>
      <w:i/>
      <w:iCs/>
      <w:color w:val="FF0000"/>
    </w:rPr>
  </w:style>
  <w:style w:type="character" w:customStyle="1" w:styleId="TextodecomentrioChar">
    <w:name w:val="Texto de comentário Char"/>
    <w:basedOn w:val="Fontepargpadro"/>
    <w:link w:val="Textodecomentrio"/>
    <w:uiPriority w:val="99"/>
    <w:semiHidden/>
    <w:rsid w:val="00224096"/>
    <w:rPr>
      <w:rFonts w:ascii="Arial" w:hAnsi="Arial" w:cs="Arial"/>
    </w:rPr>
  </w:style>
  <w:style w:type="character" w:customStyle="1" w:styleId="TextosemFormataoChar">
    <w:name w:val="Texto sem Formatação Char"/>
    <w:basedOn w:val="Fontepargpadro"/>
    <w:link w:val="TextosemFormatao"/>
    <w:uiPriority w:val="99"/>
    <w:rsid w:val="00224096"/>
    <w:rPr>
      <w:rFonts w:ascii="Arial" w:hAnsi="Arial" w:cs="Arial"/>
      <w:sz w:val="24"/>
      <w:szCs w:val="24"/>
    </w:rPr>
  </w:style>
  <w:style w:type="character" w:customStyle="1" w:styleId="TtulodanotaChar">
    <w:name w:val="Título da nota Char"/>
    <w:basedOn w:val="Fontepargpadro"/>
    <w:link w:val="Ttulodanota"/>
    <w:uiPriority w:val="99"/>
    <w:rsid w:val="00224096"/>
    <w:rPr>
      <w:rFonts w:ascii="Arial" w:hAnsi="Arial" w:cs="Arial"/>
      <w:sz w:val="24"/>
      <w:szCs w:val="24"/>
    </w:rPr>
  </w:style>
  <w:style w:type="character" w:customStyle="1" w:styleId="RecuodecorpodetextoChar">
    <w:name w:val="Recuo de corpo de texto Char"/>
    <w:basedOn w:val="Fontepargpadro"/>
    <w:link w:val="Recuodecorpodetexto"/>
    <w:uiPriority w:val="99"/>
    <w:rsid w:val="00224096"/>
    <w:rPr>
      <w:rFonts w:ascii="Arial" w:hAnsi="Arial" w:cs="Arial"/>
      <w:sz w:val="24"/>
      <w:szCs w:val="24"/>
    </w:rPr>
  </w:style>
  <w:style w:type="character" w:customStyle="1" w:styleId="TextodemacroChar">
    <w:name w:val="Texto de macro Char"/>
    <w:basedOn w:val="Fontepargpadro"/>
    <w:link w:val="Textodemacro"/>
    <w:uiPriority w:val="99"/>
    <w:semiHidden/>
    <w:rsid w:val="00224096"/>
    <w:rPr>
      <w:rFonts w:ascii="Avalon" w:hAnsi="Avalon" w:cs="Avalon"/>
      <w:color w:val="000000"/>
    </w:rPr>
  </w:style>
  <w:style w:type="paragraph" w:styleId="Citao">
    <w:name w:val="Quote"/>
    <w:basedOn w:val="Normal"/>
    <w:link w:val="CitaoChar"/>
    <w:uiPriority w:val="29"/>
    <w:qFormat/>
    <w:rsid w:val="007D1C55"/>
    <w:pPr>
      <w:spacing w:before="240" w:after="240"/>
      <w:ind w:left="2268"/>
      <w:contextualSpacing/>
    </w:pPr>
    <w:rPr>
      <w:iCs/>
      <w:sz w:val="18"/>
    </w:rPr>
  </w:style>
  <w:style w:type="character" w:customStyle="1" w:styleId="CitaoChar">
    <w:name w:val="Citação Char"/>
    <w:basedOn w:val="Fontepargpadro"/>
    <w:link w:val="Citao"/>
    <w:uiPriority w:val="29"/>
    <w:rsid w:val="007D1C55"/>
    <w:rPr>
      <w:rFonts w:ascii="Arial" w:hAnsi="Arial"/>
      <w:iCs/>
      <w:sz w:val="18"/>
    </w:rPr>
  </w:style>
  <w:style w:type="paragraph" w:customStyle="1" w:styleId="Ttuloseparado">
    <w:name w:val="Título separado"/>
    <w:basedOn w:val="Normal"/>
    <w:uiPriority w:val="99"/>
    <w:rsid w:val="008D1BC0"/>
    <w:pPr>
      <w:jc w:val="right"/>
    </w:pPr>
    <w:rPr>
      <w:rFonts w:ascii="Book Antiqua" w:hAnsi="Book Antiqua"/>
      <w:b/>
      <w:bCs/>
      <w:iCs/>
      <w:color w:val="948A54" w:themeColor="background2" w:themeShade="80"/>
      <w:sz w:val="52"/>
    </w:rPr>
  </w:style>
  <w:style w:type="paragraph" w:customStyle="1" w:styleId="atextorelatorio">
    <w:name w:val="a texto relatorio"/>
    <w:basedOn w:val="Normal"/>
    <w:link w:val="atextorelatorioChar"/>
    <w:autoRedefine/>
    <w:rsid w:val="00916024"/>
    <w:pPr>
      <w:framePr w:hSpace="187" w:wrap="around" w:vAnchor="page" w:hAnchor="margin" w:xAlign="right" w:y="4891"/>
      <w:widowControl w:val="0"/>
      <w:suppressAutoHyphens/>
      <w:spacing w:line="360" w:lineRule="auto"/>
      <w:jc w:val="center"/>
    </w:pPr>
    <w:rPr>
      <w:rFonts w:eastAsiaTheme="minorEastAsia" w:cs="GMJKHA+Arial"/>
      <w:b/>
      <w:kern w:val="1"/>
    </w:rPr>
  </w:style>
  <w:style w:type="character" w:customStyle="1" w:styleId="atextorelatorioChar">
    <w:name w:val="a texto relatorio Char"/>
    <w:basedOn w:val="Fontepargpadro"/>
    <w:link w:val="atextorelatorio"/>
    <w:locked/>
    <w:rsid w:val="00916024"/>
    <w:rPr>
      <w:rFonts w:ascii="Arial" w:eastAsiaTheme="minorEastAsia" w:hAnsi="Arial" w:cs="GMJKHA+Arial"/>
      <w:b/>
      <w:kern w:val="1"/>
      <w:sz w:val="22"/>
      <w:szCs w:val="22"/>
    </w:rPr>
  </w:style>
  <w:style w:type="paragraph" w:customStyle="1" w:styleId="aTabela">
    <w:name w:val="a Tabela"/>
    <w:basedOn w:val="Normal"/>
    <w:next w:val="Normal"/>
    <w:link w:val="aTabelaCharChar"/>
    <w:autoRedefine/>
    <w:rsid w:val="00F5071B"/>
    <w:pPr>
      <w:numPr>
        <w:numId w:val="12"/>
      </w:numPr>
      <w:tabs>
        <w:tab w:val="clear" w:pos="1985"/>
        <w:tab w:val="num" w:pos="1134"/>
      </w:tabs>
      <w:ind w:left="1320" w:right="2" w:hanging="1320"/>
      <w:outlineLvl w:val="8"/>
    </w:pPr>
    <w:rPr>
      <w:rFonts w:cs="Arial"/>
      <w:szCs w:val="24"/>
    </w:rPr>
  </w:style>
  <w:style w:type="character" w:customStyle="1" w:styleId="aTabelaCharChar">
    <w:name w:val="a Tabela Char Char"/>
    <w:basedOn w:val="Fontepargpadro"/>
    <w:link w:val="aTabela"/>
    <w:locked/>
    <w:rsid w:val="00F5071B"/>
    <w:rPr>
      <w:rFonts w:cs="Arial"/>
      <w:szCs w:val="24"/>
    </w:rPr>
  </w:style>
  <w:style w:type="paragraph" w:customStyle="1" w:styleId="afonte">
    <w:name w:val="a fonte"/>
    <w:basedOn w:val="Normal"/>
    <w:next w:val="atextorelatorio"/>
    <w:uiPriority w:val="99"/>
    <w:rsid w:val="00F5071B"/>
    <w:pPr>
      <w:widowControl w:val="0"/>
      <w:suppressAutoHyphens/>
    </w:pPr>
    <w:rPr>
      <w:kern w:val="1"/>
      <w:sz w:val="16"/>
      <w:szCs w:val="24"/>
    </w:rPr>
  </w:style>
  <w:style w:type="paragraph" w:customStyle="1" w:styleId="aGrfico">
    <w:name w:val="a Gráfico"/>
    <w:basedOn w:val="aTabela"/>
    <w:next w:val="atextorelatorio"/>
    <w:autoRedefine/>
    <w:uiPriority w:val="99"/>
    <w:rsid w:val="00F5071B"/>
    <w:pPr>
      <w:numPr>
        <w:numId w:val="0"/>
      </w:numPr>
      <w:tabs>
        <w:tab w:val="num" w:pos="1320"/>
      </w:tabs>
      <w:ind w:left="404" w:hanging="284"/>
    </w:pPr>
  </w:style>
  <w:style w:type="paragraph" w:customStyle="1" w:styleId="0-T-QUADRO">
    <w:name w:val="0 -T-QUADRO"/>
    <w:basedOn w:val="Normal"/>
    <w:uiPriority w:val="99"/>
    <w:qFormat/>
    <w:rsid w:val="002E4E5C"/>
    <w:pPr>
      <w:numPr>
        <w:numId w:val="28"/>
      </w:numPr>
      <w:tabs>
        <w:tab w:val="left" w:pos="1276"/>
      </w:tabs>
      <w:spacing w:after="60"/>
      <w:ind w:right="567"/>
      <w:jc w:val="center"/>
      <w:outlineLvl w:val="8"/>
    </w:pPr>
  </w:style>
  <w:style w:type="character" w:customStyle="1" w:styleId="1-REL11CharChar">
    <w:name w:val="1 -  REL 11 Char Char"/>
    <w:basedOn w:val="Fontepargpadro"/>
    <w:locked/>
    <w:rsid w:val="006B33C6"/>
    <w:rPr>
      <w:rFonts w:ascii="Arial" w:hAnsi="Arial" w:cs="Arial"/>
      <w:sz w:val="22"/>
      <w:szCs w:val="24"/>
    </w:rPr>
  </w:style>
  <w:style w:type="paragraph" w:customStyle="1" w:styleId="0-FNT-GRAFICO">
    <w:name w:val="0 - FNT-GRAFICO"/>
    <w:basedOn w:val="Normal"/>
    <w:next w:val="0-TXT11"/>
    <w:link w:val="0-FNT-GRAFICOChar"/>
    <w:autoRedefine/>
    <w:rsid w:val="00E46AD4"/>
    <w:pPr>
      <w:jc w:val="center"/>
    </w:pPr>
    <w:rPr>
      <w:rFonts w:cs="Arial"/>
      <w:sz w:val="16"/>
      <w:szCs w:val="16"/>
    </w:rPr>
  </w:style>
  <w:style w:type="character" w:customStyle="1" w:styleId="0-FNT-GRAFICOChar">
    <w:name w:val="0 - FNT-GRAFICO Char"/>
    <w:basedOn w:val="Fontepargpadro"/>
    <w:link w:val="0-FNT-GRAFICO"/>
    <w:locked/>
    <w:rsid w:val="00E46AD4"/>
    <w:rPr>
      <w:rFonts w:ascii="Arial" w:hAnsi="Arial" w:cs="Arial"/>
      <w:sz w:val="16"/>
      <w:szCs w:val="16"/>
    </w:rPr>
  </w:style>
  <w:style w:type="paragraph" w:customStyle="1" w:styleId="0-QUADRO">
    <w:name w:val="0 - QUADRO"/>
    <w:basedOn w:val="1-TABELA"/>
    <w:autoRedefine/>
    <w:uiPriority w:val="99"/>
    <w:rsid w:val="006B33C6"/>
    <w:pPr>
      <w:numPr>
        <w:numId w:val="13"/>
      </w:numPr>
      <w:tabs>
        <w:tab w:val="num" w:pos="1985"/>
      </w:tabs>
      <w:ind w:right="0" w:hanging="1341"/>
    </w:pPr>
    <w:rPr>
      <w:bCs/>
      <w:sz w:val="22"/>
      <w:szCs w:val="22"/>
    </w:rPr>
  </w:style>
  <w:style w:type="paragraph" w:customStyle="1" w:styleId="1-CITAESJUSTIFICATIVAS">
    <w:name w:val="1 - CITAÇÕES JUSTIFICATIVAS"/>
    <w:basedOn w:val="Normal"/>
    <w:next w:val="1-REL11"/>
    <w:autoRedefine/>
    <w:uiPriority w:val="99"/>
    <w:rsid w:val="002F0787"/>
    <w:pPr>
      <w:ind w:left="2268"/>
    </w:pPr>
  </w:style>
  <w:style w:type="paragraph" w:customStyle="1" w:styleId="Pa22">
    <w:name w:val="Pa22"/>
    <w:basedOn w:val="Default"/>
    <w:next w:val="Default"/>
    <w:uiPriority w:val="99"/>
    <w:rsid w:val="00706EA8"/>
    <w:pPr>
      <w:spacing w:after="80" w:line="181" w:lineRule="atLeast"/>
    </w:pPr>
    <w:rPr>
      <w:rFonts w:ascii="Calibri" w:hAnsi="Calibri" w:cs="Times New Roman"/>
      <w:sz w:val="24"/>
      <w:szCs w:val="24"/>
    </w:rPr>
  </w:style>
  <w:style w:type="paragraph" w:customStyle="1" w:styleId="Pa19">
    <w:name w:val="Pa19"/>
    <w:basedOn w:val="Default"/>
    <w:next w:val="Default"/>
    <w:uiPriority w:val="99"/>
    <w:rsid w:val="00706EA8"/>
    <w:pPr>
      <w:spacing w:before="100" w:line="217" w:lineRule="atLeast"/>
    </w:pPr>
    <w:rPr>
      <w:rFonts w:ascii="Calibri" w:hAnsi="Calibri" w:cs="Times New Roman"/>
      <w:sz w:val="24"/>
      <w:szCs w:val="24"/>
    </w:rPr>
  </w:style>
  <w:style w:type="paragraph" w:customStyle="1" w:styleId="Pa23">
    <w:name w:val="Pa23"/>
    <w:basedOn w:val="Default"/>
    <w:next w:val="Default"/>
    <w:uiPriority w:val="99"/>
    <w:rsid w:val="00706EA8"/>
    <w:pPr>
      <w:spacing w:before="100" w:line="215" w:lineRule="atLeast"/>
    </w:pPr>
    <w:rPr>
      <w:rFonts w:ascii="Calibri" w:hAnsi="Calibri" w:cs="Times New Roman"/>
      <w:sz w:val="24"/>
      <w:szCs w:val="24"/>
    </w:rPr>
  </w:style>
  <w:style w:type="character" w:customStyle="1" w:styleId="A6">
    <w:name w:val="A6"/>
    <w:uiPriority w:val="99"/>
    <w:rsid w:val="00706EA8"/>
    <w:rPr>
      <w:rFonts w:cs="Calibri"/>
      <w:strike/>
      <w:color w:val="FF0000"/>
      <w:sz w:val="21"/>
      <w:szCs w:val="21"/>
    </w:rPr>
  </w:style>
  <w:style w:type="character" w:styleId="nfase">
    <w:name w:val="Emphasis"/>
    <w:basedOn w:val="Fontepargpadro"/>
    <w:uiPriority w:val="20"/>
    <w:qFormat/>
    <w:rsid w:val="00B937B2"/>
    <w:rPr>
      <w:b/>
      <w:bCs/>
      <w:i w:val="0"/>
      <w:iCs w:val="0"/>
    </w:rPr>
  </w:style>
  <w:style w:type="paragraph" w:customStyle="1" w:styleId="CM6">
    <w:name w:val="CM6"/>
    <w:basedOn w:val="Normal"/>
    <w:next w:val="Normal"/>
    <w:uiPriority w:val="99"/>
    <w:rsid w:val="0017520C"/>
    <w:pPr>
      <w:autoSpaceDE w:val="0"/>
      <w:autoSpaceDN w:val="0"/>
      <w:adjustRightInd w:val="0"/>
      <w:spacing w:after="255"/>
    </w:pPr>
    <w:rPr>
      <w:rFonts w:cs="Arial"/>
      <w:sz w:val="24"/>
      <w:szCs w:val="24"/>
    </w:rPr>
  </w:style>
  <w:style w:type="paragraph" w:customStyle="1" w:styleId="CM5">
    <w:name w:val="CM5"/>
    <w:basedOn w:val="Normal"/>
    <w:next w:val="Normal"/>
    <w:uiPriority w:val="99"/>
    <w:rsid w:val="0017520C"/>
    <w:pPr>
      <w:autoSpaceDE w:val="0"/>
      <w:autoSpaceDN w:val="0"/>
      <w:adjustRightInd w:val="0"/>
      <w:spacing w:after="503"/>
    </w:pPr>
    <w:rPr>
      <w:rFonts w:cs="Arial"/>
      <w:sz w:val="24"/>
      <w:szCs w:val="24"/>
    </w:rPr>
  </w:style>
  <w:style w:type="paragraph" w:customStyle="1" w:styleId="CM4">
    <w:name w:val="CM4"/>
    <w:basedOn w:val="Normal"/>
    <w:next w:val="Normal"/>
    <w:uiPriority w:val="99"/>
    <w:rsid w:val="0017520C"/>
    <w:pPr>
      <w:autoSpaceDE w:val="0"/>
      <w:autoSpaceDN w:val="0"/>
      <w:adjustRightInd w:val="0"/>
      <w:spacing w:line="253" w:lineRule="atLeast"/>
    </w:pPr>
    <w:rPr>
      <w:rFonts w:cs="Arial"/>
      <w:sz w:val="24"/>
      <w:szCs w:val="24"/>
    </w:rPr>
  </w:style>
  <w:style w:type="paragraph" w:customStyle="1" w:styleId="EstiloPargrafodaListaItlicoJustificadoDepoisde10pt">
    <w:name w:val="Estilo Parágrafo da Lista + Itálico Justificado Depois de:  10 pt..."/>
    <w:basedOn w:val="PargrafodaLista"/>
    <w:uiPriority w:val="99"/>
    <w:rsid w:val="006E5B46"/>
    <w:pPr>
      <w:spacing w:after="200" w:line="276" w:lineRule="auto"/>
    </w:pPr>
    <w:rPr>
      <w:i/>
      <w:iCs/>
    </w:rPr>
  </w:style>
  <w:style w:type="paragraph" w:customStyle="1" w:styleId="EstiloPargrafodaListaJustificadoDepoisde10ptEspaame">
    <w:name w:val="Estilo Parágrafo da Lista + Justificado Depois de:  10 pt Espaçame..."/>
    <w:basedOn w:val="PargrafodaLista"/>
    <w:uiPriority w:val="99"/>
    <w:rsid w:val="003D36FA"/>
    <w:pPr>
      <w:spacing w:after="120" w:line="276" w:lineRule="auto"/>
    </w:pPr>
  </w:style>
  <w:style w:type="character" w:customStyle="1" w:styleId="titulo021">
    <w:name w:val="titulo021"/>
    <w:basedOn w:val="Fontepargpadro"/>
    <w:rsid w:val="00D16F25"/>
    <w:rPr>
      <w:rFonts w:ascii="Verdana" w:hAnsi="Verdana" w:hint="default"/>
      <w:b/>
      <w:bCs/>
      <w:strike w:val="0"/>
      <w:dstrike w:val="0"/>
      <w:color w:val="000080"/>
      <w:sz w:val="16"/>
      <w:szCs w:val="16"/>
      <w:u w:val="none"/>
      <w:effect w:val="none"/>
    </w:rPr>
  </w:style>
  <w:style w:type="paragraph" w:customStyle="1" w:styleId="Normal0">
    <w:name w:val="[Normal]"/>
    <w:link w:val="NormalChar"/>
    <w:uiPriority w:val="99"/>
    <w:rsid w:val="00F17F40"/>
    <w:pPr>
      <w:widowControl w:val="0"/>
    </w:pPr>
    <w:rPr>
      <w:snapToGrid w:val="0"/>
      <w:sz w:val="24"/>
    </w:rPr>
  </w:style>
  <w:style w:type="paragraph" w:customStyle="1" w:styleId="1-COMENTRIO">
    <w:name w:val="1 - COMENTÁRIO"/>
    <w:basedOn w:val="Corpodetexto"/>
    <w:uiPriority w:val="99"/>
    <w:rsid w:val="00F17F40"/>
    <w:pPr>
      <w:widowControl w:val="0"/>
      <w:ind w:left="426"/>
    </w:pPr>
    <w:rPr>
      <w:color w:val="000000"/>
      <w:sz w:val="22"/>
      <w:szCs w:val="20"/>
    </w:rPr>
  </w:style>
  <w:style w:type="paragraph" w:customStyle="1" w:styleId="PargrafodaLista1">
    <w:name w:val="Parágrafo da Lista1"/>
    <w:basedOn w:val="Normal"/>
    <w:uiPriority w:val="99"/>
    <w:rsid w:val="00F17F40"/>
    <w:pPr>
      <w:ind w:left="720"/>
    </w:pPr>
  </w:style>
  <w:style w:type="paragraph" w:customStyle="1" w:styleId="Standard">
    <w:name w:val="Standard"/>
    <w:uiPriority w:val="99"/>
    <w:rsid w:val="0086702E"/>
    <w:pPr>
      <w:widowControl w:val="0"/>
      <w:suppressAutoHyphens/>
      <w:autoSpaceDN w:val="0"/>
      <w:textAlignment w:val="baseline"/>
    </w:pPr>
    <w:rPr>
      <w:rFonts w:eastAsia="Andale Sans UI" w:cs="Tahoma"/>
      <w:kern w:val="3"/>
      <w:sz w:val="24"/>
      <w:szCs w:val="24"/>
      <w:lang w:val="de-DE" w:eastAsia="ja-JP" w:bidi="fa-IR"/>
    </w:rPr>
  </w:style>
  <w:style w:type="paragraph" w:customStyle="1" w:styleId="Textbody">
    <w:name w:val="Text body"/>
    <w:basedOn w:val="Standard"/>
    <w:uiPriority w:val="99"/>
    <w:rsid w:val="0086702E"/>
    <w:pPr>
      <w:spacing w:after="120"/>
    </w:pPr>
  </w:style>
  <w:style w:type="paragraph" w:customStyle="1" w:styleId="TableContents">
    <w:name w:val="Table Contents"/>
    <w:basedOn w:val="Standard"/>
    <w:uiPriority w:val="99"/>
    <w:rsid w:val="0086702E"/>
    <w:pPr>
      <w:suppressLineNumbers/>
    </w:pPr>
  </w:style>
  <w:style w:type="character" w:customStyle="1" w:styleId="Tipodeletrapredefinidodopargrafo1">
    <w:name w:val="Tipo de letra predefinido do parágrafo1"/>
    <w:basedOn w:val="Fontepargpadro"/>
    <w:rsid w:val="0086702E"/>
  </w:style>
  <w:style w:type="numbering" w:customStyle="1" w:styleId="RTFNum3">
    <w:name w:val="RTF_Num 3"/>
    <w:rsid w:val="0086702E"/>
    <w:pPr>
      <w:numPr>
        <w:numId w:val="14"/>
      </w:numPr>
    </w:pPr>
  </w:style>
  <w:style w:type="numbering" w:customStyle="1" w:styleId="RTFNum2">
    <w:name w:val="RTF_Num 2"/>
    <w:rsid w:val="0086702E"/>
    <w:pPr>
      <w:numPr>
        <w:numId w:val="15"/>
      </w:numPr>
    </w:pPr>
  </w:style>
  <w:style w:type="paragraph" w:customStyle="1" w:styleId="Heading">
    <w:name w:val="Heading"/>
    <w:basedOn w:val="Standard"/>
    <w:next w:val="Textbody"/>
    <w:uiPriority w:val="99"/>
    <w:rsid w:val="0086702E"/>
    <w:pPr>
      <w:keepNext/>
      <w:widowControl/>
      <w:spacing w:before="240" w:after="120"/>
    </w:pPr>
    <w:rPr>
      <w:rFonts w:eastAsia="Arial Unicode MS"/>
      <w:sz w:val="28"/>
      <w:szCs w:val="28"/>
      <w:lang w:val="pt-BR" w:eastAsia="pt-BR" w:bidi="ar-SA"/>
    </w:rPr>
  </w:style>
  <w:style w:type="paragraph" w:customStyle="1" w:styleId="Index">
    <w:name w:val="Index"/>
    <w:basedOn w:val="Standard"/>
    <w:uiPriority w:val="99"/>
    <w:rsid w:val="0086702E"/>
    <w:pPr>
      <w:widowControl/>
      <w:suppressLineNumbers/>
    </w:pPr>
    <w:rPr>
      <w:rFonts w:eastAsia="Times New Roman"/>
      <w:lang w:val="pt-BR" w:eastAsia="pt-BR" w:bidi="ar-SA"/>
    </w:rPr>
  </w:style>
  <w:style w:type="paragraph" w:customStyle="1" w:styleId="Ttulo10">
    <w:name w:val="Título1"/>
    <w:basedOn w:val="Standard"/>
    <w:next w:val="Textbody"/>
    <w:uiPriority w:val="99"/>
    <w:rsid w:val="0086702E"/>
    <w:pPr>
      <w:keepNext/>
      <w:widowControl/>
      <w:spacing w:before="240" w:after="120"/>
    </w:pPr>
    <w:rPr>
      <w:rFonts w:eastAsia="SimSun, 宋体" w:cs="Mangal"/>
      <w:sz w:val="28"/>
      <w:szCs w:val="28"/>
      <w:lang w:val="pt-BR" w:eastAsia="pt-BR" w:bidi="ar-SA"/>
    </w:rPr>
  </w:style>
  <w:style w:type="paragraph" w:customStyle="1" w:styleId="Legenda3">
    <w:name w:val="Legenda3"/>
    <w:basedOn w:val="Standard"/>
    <w:uiPriority w:val="99"/>
    <w:rsid w:val="0086702E"/>
    <w:pPr>
      <w:widowControl/>
      <w:suppressLineNumbers/>
      <w:spacing w:before="120" w:after="120"/>
    </w:pPr>
    <w:rPr>
      <w:rFonts w:eastAsia="Times New Roman" w:cs="Mangal"/>
      <w:i/>
      <w:iCs/>
      <w:lang w:val="pt-BR" w:eastAsia="pt-BR" w:bidi="ar-SA"/>
    </w:rPr>
  </w:style>
  <w:style w:type="paragraph" w:customStyle="1" w:styleId="Legenda2">
    <w:name w:val="Legenda2"/>
    <w:basedOn w:val="Standard"/>
    <w:uiPriority w:val="99"/>
    <w:rsid w:val="0086702E"/>
    <w:pPr>
      <w:widowControl/>
      <w:suppressLineNumbers/>
      <w:spacing w:before="120" w:after="120"/>
    </w:pPr>
    <w:rPr>
      <w:rFonts w:eastAsia="Times New Roman"/>
      <w:i/>
      <w:iCs/>
      <w:lang w:val="pt-BR" w:eastAsia="pt-BR" w:bidi="ar-SA"/>
    </w:rPr>
  </w:style>
  <w:style w:type="paragraph" w:customStyle="1" w:styleId="Legenda1">
    <w:name w:val="Legenda1"/>
    <w:basedOn w:val="Standard"/>
    <w:uiPriority w:val="99"/>
    <w:rsid w:val="0086702E"/>
    <w:pPr>
      <w:widowControl/>
      <w:suppressLineNumbers/>
      <w:spacing w:before="120" w:after="120"/>
    </w:pPr>
    <w:rPr>
      <w:rFonts w:eastAsia="Times New Roman"/>
      <w:i/>
      <w:iCs/>
      <w:lang w:val="pt-BR" w:eastAsia="pt-BR" w:bidi="ar-SA"/>
    </w:rPr>
  </w:style>
  <w:style w:type="paragraph" w:customStyle="1" w:styleId="TableContentsuser">
    <w:name w:val="Table Contents (user)"/>
    <w:basedOn w:val="Standard"/>
    <w:next w:val="Standard"/>
    <w:uiPriority w:val="99"/>
    <w:rsid w:val="0086702E"/>
    <w:pPr>
      <w:widowControl/>
    </w:pPr>
    <w:rPr>
      <w:rFonts w:eastAsia="Times New Roman" w:cs="Times New Roman"/>
      <w:lang w:val="pt-BR" w:eastAsia="pt-BR" w:bidi="ar-SA"/>
    </w:rPr>
  </w:style>
  <w:style w:type="paragraph" w:customStyle="1" w:styleId="Quotationsuser">
    <w:name w:val="Quotations (user)"/>
    <w:basedOn w:val="Standard"/>
    <w:next w:val="Standard"/>
    <w:uiPriority w:val="99"/>
    <w:rsid w:val="0086702E"/>
    <w:pPr>
      <w:widowControl/>
      <w:spacing w:after="283"/>
      <w:ind w:left="567" w:right="567"/>
    </w:pPr>
    <w:rPr>
      <w:rFonts w:eastAsia="Times New Roman" w:cs="Times New Roman"/>
      <w:lang w:val="pt-BR" w:eastAsia="pt-BR" w:bidi="ar-SA"/>
    </w:rPr>
  </w:style>
  <w:style w:type="paragraph" w:customStyle="1" w:styleId="Standarduser">
    <w:name w:val="Standard (user)"/>
    <w:basedOn w:val="Normal0"/>
    <w:next w:val="Standard"/>
    <w:uiPriority w:val="99"/>
    <w:rsid w:val="0086702E"/>
    <w:pPr>
      <w:suppressAutoHyphens/>
      <w:autoSpaceDE w:val="0"/>
      <w:autoSpaceDN w:val="0"/>
      <w:textAlignment w:val="baseline"/>
    </w:pPr>
    <w:rPr>
      <w:rFonts w:eastAsia="Arial"/>
      <w:snapToGrid/>
      <w:kern w:val="3"/>
      <w:sz w:val="20"/>
    </w:rPr>
  </w:style>
  <w:style w:type="paragraph" w:customStyle="1" w:styleId="Corpodetexto21">
    <w:name w:val="Corpo de texto 21"/>
    <w:basedOn w:val="Standard"/>
    <w:uiPriority w:val="99"/>
    <w:rsid w:val="0086702E"/>
    <w:pPr>
      <w:widowControl/>
      <w:spacing w:after="120" w:line="480" w:lineRule="auto"/>
    </w:pPr>
    <w:rPr>
      <w:rFonts w:eastAsia="Times New Roman" w:cs="Times New Roman"/>
      <w:lang w:val="pt-BR" w:eastAsia="pt-BR" w:bidi="ar-SA"/>
    </w:rPr>
  </w:style>
  <w:style w:type="paragraph" w:customStyle="1" w:styleId="padro---espaamento-simples-western">
    <w:name w:val="padrão---espaçamento-simples-western"/>
    <w:basedOn w:val="Standard"/>
    <w:uiPriority w:val="99"/>
    <w:rsid w:val="0086702E"/>
    <w:pPr>
      <w:widowControl/>
      <w:suppressAutoHyphens w:val="0"/>
      <w:spacing w:before="280" w:after="119"/>
    </w:pPr>
    <w:rPr>
      <w:rFonts w:eastAsia="Times New Roman" w:cs="Times New Roman"/>
      <w:lang w:val="pt-BR" w:eastAsia="pt-BR" w:bidi="ar-SA"/>
    </w:rPr>
  </w:style>
  <w:style w:type="paragraph" w:customStyle="1" w:styleId="Contedodetabela">
    <w:name w:val="Conteúdo de tabela"/>
    <w:basedOn w:val="Standard"/>
    <w:uiPriority w:val="99"/>
    <w:rsid w:val="0086702E"/>
    <w:pPr>
      <w:widowControl/>
      <w:suppressLineNumbers/>
    </w:pPr>
    <w:rPr>
      <w:rFonts w:eastAsia="Times New Roman" w:cs="Times New Roman"/>
      <w:lang w:val="pt-BR" w:eastAsia="pt-BR" w:bidi="ar-SA"/>
    </w:rPr>
  </w:style>
  <w:style w:type="paragraph" w:customStyle="1" w:styleId="Relatrio2nvel">
    <w:name w:val="Relatório 2º nível"/>
    <w:basedOn w:val="Standard"/>
    <w:next w:val="Standard"/>
    <w:uiPriority w:val="99"/>
    <w:rsid w:val="0086702E"/>
    <w:pPr>
      <w:widowControl/>
      <w:spacing w:before="120" w:line="100" w:lineRule="atLeast"/>
      <w:jc w:val="center"/>
    </w:pPr>
    <w:rPr>
      <w:rFonts w:eastAsia="Arial" w:cs="Arial"/>
      <w:b/>
      <w:bCs/>
      <w:sz w:val="22"/>
      <w:szCs w:val="22"/>
      <w:lang w:val="pt-BR" w:eastAsia="pt-BR" w:bidi="ar-SA"/>
    </w:rPr>
  </w:style>
  <w:style w:type="paragraph" w:customStyle="1" w:styleId="WW-Padro">
    <w:name w:val="WW-Padrão"/>
    <w:basedOn w:val="Normal0"/>
    <w:next w:val="Standard"/>
    <w:uiPriority w:val="99"/>
    <w:rsid w:val="0086702E"/>
    <w:pPr>
      <w:suppressAutoHyphens/>
      <w:autoSpaceDE w:val="0"/>
      <w:autoSpaceDN w:val="0"/>
      <w:textAlignment w:val="baseline"/>
    </w:pPr>
    <w:rPr>
      <w:rFonts w:ascii="Times New Roman" w:hAnsi="Times New Roman"/>
      <w:snapToGrid/>
      <w:color w:val="000000"/>
      <w:kern w:val="3"/>
      <w:szCs w:val="24"/>
    </w:rPr>
  </w:style>
  <w:style w:type="paragraph" w:customStyle="1" w:styleId="TableHeading">
    <w:name w:val="Table Heading"/>
    <w:basedOn w:val="TableContents"/>
    <w:uiPriority w:val="99"/>
    <w:rsid w:val="0086702E"/>
    <w:pPr>
      <w:suppressAutoHyphens w:val="0"/>
      <w:autoSpaceDE w:val="0"/>
      <w:jc w:val="center"/>
    </w:pPr>
    <w:rPr>
      <w:rFonts w:eastAsia="Times New Roman" w:cs="Times New Roman"/>
      <w:b/>
      <w:bCs/>
      <w:lang w:val="pt-BR" w:eastAsia="pt-BR" w:bidi="ar-SA"/>
    </w:rPr>
  </w:style>
  <w:style w:type="character" w:customStyle="1" w:styleId="Absatz-Standardschriftart">
    <w:name w:val="Absatz-Standardschriftart"/>
    <w:rsid w:val="0086702E"/>
  </w:style>
  <w:style w:type="character" w:customStyle="1" w:styleId="WW-Absatz-Standardschriftart">
    <w:name w:val="WW-Absatz-Standardschriftart"/>
    <w:rsid w:val="0086702E"/>
  </w:style>
  <w:style w:type="character" w:customStyle="1" w:styleId="WW-Absatz-Standardschriftart1">
    <w:name w:val="WW-Absatz-Standardschriftart1"/>
    <w:rsid w:val="0086702E"/>
  </w:style>
  <w:style w:type="character" w:customStyle="1" w:styleId="Tipodeletrapredefinidodopargrafo">
    <w:name w:val="Tipo de letra predefinido do parágrafo"/>
    <w:rsid w:val="0086702E"/>
  </w:style>
  <w:style w:type="character" w:customStyle="1" w:styleId="Tipodeletrapredefinidodopargrafo2">
    <w:name w:val="Tipo de letra predefinido do parágrafo2"/>
    <w:rsid w:val="0086702E"/>
  </w:style>
  <w:style w:type="character" w:customStyle="1" w:styleId="WW8Num5z0">
    <w:name w:val="WW8Num5z0"/>
    <w:rsid w:val="0086702E"/>
    <w:rPr>
      <w:rFonts w:ascii="Symbol" w:hAnsi="Symbol"/>
    </w:rPr>
  </w:style>
  <w:style w:type="character" w:customStyle="1" w:styleId="WW8Num5z1">
    <w:name w:val="WW8Num5z1"/>
    <w:rsid w:val="0086702E"/>
    <w:rPr>
      <w:rFonts w:ascii="OpenSymbol, 'Arial Unicode MS'" w:hAnsi="OpenSymbol, 'Arial Unicode MS'" w:cs="StarSymbol, 'Arial Unicode MS'"/>
      <w:sz w:val="18"/>
      <w:szCs w:val="18"/>
    </w:rPr>
  </w:style>
  <w:style w:type="character" w:customStyle="1" w:styleId="WW8Num5z4">
    <w:name w:val="WW8Num5z4"/>
    <w:rsid w:val="0086702E"/>
    <w:rPr>
      <w:rFonts w:ascii="Symbol" w:hAnsi="Symbol" w:cs="OpenSymbol, 'Arial Unicode MS'"/>
      <w:b/>
      <w:bCs/>
    </w:rPr>
  </w:style>
  <w:style w:type="character" w:customStyle="1" w:styleId="WW-Absatz-Standardschriftart11">
    <w:name w:val="WW-Absatz-Standardschriftart11"/>
    <w:rsid w:val="0086702E"/>
  </w:style>
  <w:style w:type="character" w:customStyle="1" w:styleId="Fontepargpadro1">
    <w:name w:val="Fonte parág. padrão1"/>
    <w:rsid w:val="0086702E"/>
  </w:style>
  <w:style w:type="character" w:customStyle="1" w:styleId="NumberingSymbols">
    <w:name w:val="Numbering Symbols"/>
    <w:rsid w:val="0086702E"/>
  </w:style>
  <w:style w:type="character" w:customStyle="1" w:styleId="WW8Num8z0">
    <w:name w:val="WW8Num8z0"/>
    <w:rsid w:val="0086702E"/>
    <w:rPr>
      <w:b/>
      <w:i w:val="0"/>
    </w:rPr>
  </w:style>
  <w:style w:type="character" w:customStyle="1" w:styleId="WW8Num7z0">
    <w:name w:val="WW8Num7z0"/>
    <w:rsid w:val="0086702E"/>
    <w:rPr>
      <w:rFonts w:ascii="Wingdings" w:hAnsi="Wingdings"/>
    </w:rPr>
  </w:style>
  <w:style w:type="character" w:customStyle="1" w:styleId="BulletSymbols">
    <w:name w:val="Bullet Symbols"/>
    <w:rsid w:val="0086702E"/>
    <w:rPr>
      <w:rFonts w:ascii="StarSymbol, 'Arial Unicode MS'" w:eastAsia="StarSymbol, 'Arial Unicode MS'" w:hAnsi="StarSymbol, 'Arial Unicode MS'" w:cs="StarSymbol, 'Arial Unicode MS'"/>
      <w:sz w:val="18"/>
      <w:szCs w:val="18"/>
    </w:rPr>
  </w:style>
  <w:style w:type="character" w:customStyle="1" w:styleId="RTFNum21">
    <w:name w:val="RTF_Num 2 1"/>
    <w:rsid w:val="0086702E"/>
    <w:rPr>
      <w:rFonts w:ascii="Ecofont Vera Sans" w:eastAsia="Ecofont Vera Sans" w:hAnsi="Ecofont Vera Sans" w:cs="Ecofont Vera Sans"/>
      <w:b w:val="0"/>
      <w:bCs w:val="0"/>
      <w:i w:val="0"/>
      <w:iCs w:val="0"/>
      <w:strike w:val="0"/>
      <w:dstrike w:val="0"/>
      <w:color w:val="auto"/>
      <w:sz w:val="22"/>
      <w:szCs w:val="22"/>
      <w:u w:val="none"/>
    </w:rPr>
  </w:style>
  <w:style w:type="character" w:customStyle="1" w:styleId="RTFNum31">
    <w:name w:val="RTF_Num 3 1"/>
    <w:rsid w:val="0086702E"/>
    <w:rPr>
      <w:rFonts w:ascii="Ecofont Vera Sans" w:eastAsia="Ecofont Vera Sans" w:hAnsi="Ecofont Vera Sans" w:cs="Ecofont Vera Sans"/>
      <w:b w:val="0"/>
      <w:bCs w:val="0"/>
      <w:i w:val="0"/>
      <w:iCs w:val="0"/>
      <w:strike w:val="0"/>
      <w:dstrike w:val="0"/>
      <w:color w:val="auto"/>
      <w:sz w:val="22"/>
      <w:szCs w:val="22"/>
      <w:u w:val="none"/>
    </w:rPr>
  </w:style>
  <w:style w:type="character" w:customStyle="1" w:styleId="RTFNum41">
    <w:name w:val="RTF_Num 4 1"/>
    <w:rsid w:val="0086702E"/>
    <w:rPr>
      <w:rFonts w:ascii="Ecofont Vera Sans" w:eastAsia="Ecofont Vera Sans" w:hAnsi="Ecofont Vera Sans" w:cs="Ecofont Vera Sans"/>
      <w:b w:val="0"/>
      <w:bCs w:val="0"/>
      <w:i w:val="0"/>
      <w:iCs w:val="0"/>
      <w:strike w:val="0"/>
      <w:dstrike w:val="0"/>
      <w:color w:val="auto"/>
      <w:sz w:val="24"/>
      <w:szCs w:val="24"/>
      <w:u w:val="none"/>
    </w:rPr>
  </w:style>
  <w:style w:type="character" w:customStyle="1" w:styleId="WW8Num6z0">
    <w:name w:val="WW8Num6z0"/>
    <w:rsid w:val="0086702E"/>
    <w:rPr>
      <w:rFonts w:ascii="Wingdings" w:hAnsi="Wingdings"/>
    </w:rPr>
  </w:style>
  <w:style w:type="character" w:customStyle="1" w:styleId="Marcadores">
    <w:name w:val="Marcadores"/>
    <w:rsid w:val="0086702E"/>
    <w:rPr>
      <w:rFonts w:ascii="StarSymbol, 'Arial Unicode MS'" w:eastAsia="StarSymbol, 'Arial Unicode MS'" w:hAnsi="StarSymbol, 'Arial Unicode MS'" w:cs="StarSymbol, 'Arial Unicode MS'"/>
      <w:sz w:val="18"/>
      <w:szCs w:val="18"/>
    </w:rPr>
  </w:style>
  <w:style w:type="character" w:customStyle="1" w:styleId="RTFNum51">
    <w:name w:val="RTF_Num 5 1"/>
    <w:rsid w:val="0086702E"/>
    <w:rPr>
      <w:rFonts w:ascii="Symbol" w:eastAsia="Symbol" w:hAnsi="Symbol" w:cs="Symbol"/>
      <w:b w:val="0"/>
      <w:bCs w:val="0"/>
      <w:i w:val="0"/>
      <w:iCs w:val="0"/>
      <w:strike w:val="0"/>
      <w:dstrike w:val="0"/>
      <w:color w:val="auto"/>
      <w:sz w:val="22"/>
      <w:szCs w:val="22"/>
      <w:u w:val="none"/>
    </w:rPr>
  </w:style>
  <w:style w:type="character" w:customStyle="1" w:styleId="RTFNum52">
    <w:name w:val="RTF_Num 5 2"/>
    <w:rsid w:val="0086702E"/>
    <w:rPr>
      <w:rFonts w:ascii="Symbol" w:eastAsia="Symbol" w:hAnsi="Symbol" w:cs="Symbol"/>
      <w:b w:val="0"/>
      <w:bCs w:val="0"/>
      <w:i w:val="0"/>
      <w:iCs w:val="0"/>
      <w:strike w:val="0"/>
      <w:dstrike w:val="0"/>
      <w:color w:val="auto"/>
      <w:sz w:val="22"/>
      <w:szCs w:val="22"/>
      <w:u w:val="none"/>
    </w:rPr>
  </w:style>
  <w:style w:type="character" w:customStyle="1" w:styleId="RTFNum53">
    <w:name w:val="RTF_Num 5 3"/>
    <w:rsid w:val="0086702E"/>
    <w:rPr>
      <w:rFonts w:ascii="Symbol" w:eastAsia="Symbol" w:hAnsi="Symbol" w:cs="Symbol"/>
      <w:b w:val="0"/>
      <w:bCs w:val="0"/>
      <w:i w:val="0"/>
      <w:iCs w:val="0"/>
      <w:strike w:val="0"/>
      <w:dstrike w:val="0"/>
      <w:color w:val="auto"/>
      <w:sz w:val="22"/>
      <w:szCs w:val="22"/>
      <w:u w:val="none"/>
    </w:rPr>
  </w:style>
  <w:style w:type="character" w:customStyle="1" w:styleId="RTFNum54">
    <w:name w:val="RTF_Num 5 4"/>
    <w:rsid w:val="0086702E"/>
    <w:rPr>
      <w:rFonts w:ascii="Symbol" w:eastAsia="Symbol" w:hAnsi="Symbol" w:cs="Symbol"/>
      <w:b w:val="0"/>
      <w:bCs w:val="0"/>
      <w:i w:val="0"/>
      <w:iCs w:val="0"/>
      <w:strike w:val="0"/>
      <w:dstrike w:val="0"/>
      <w:color w:val="auto"/>
      <w:sz w:val="22"/>
      <w:szCs w:val="22"/>
      <w:u w:val="none"/>
    </w:rPr>
  </w:style>
  <w:style w:type="character" w:customStyle="1" w:styleId="RTFNum55">
    <w:name w:val="RTF_Num 5 5"/>
    <w:rsid w:val="0086702E"/>
    <w:rPr>
      <w:rFonts w:ascii="Symbol" w:eastAsia="Symbol" w:hAnsi="Symbol" w:cs="Symbol"/>
      <w:b w:val="0"/>
      <w:bCs w:val="0"/>
      <w:i w:val="0"/>
      <w:iCs w:val="0"/>
      <w:strike w:val="0"/>
      <w:dstrike w:val="0"/>
      <w:color w:val="auto"/>
      <w:sz w:val="22"/>
      <w:szCs w:val="22"/>
      <w:u w:val="none"/>
    </w:rPr>
  </w:style>
  <w:style w:type="character" w:customStyle="1" w:styleId="RTFNum56">
    <w:name w:val="RTF_Num 5 6"/>
    <w:rsid w:val="0086702E"/>
    <w:rPr>
      <w:rFonts w:ascii="Symbol" w:eastAsia="Symbol" w:hAnsi="Symbol" w:cs="Symbol"/>
      <w:b w:val="0"/>
      <w:bCs w:val="0"/>
      <w:i w:val="0"/>
      <w:iCs w:val="0"/>
      <w:strike w:val="0"/>
      <w:dstrike w:val="0"/>
      <w:color w:val="auto"/>
      <w:sz w:val="22"/>
      <w:szCs w:val="22"/>
      <w:u w:val="none"/>
    </w:rPr>
  </w:style>
  <w:style w:type="character" w:customStyle="1" w:styleId="RTFNum57">
    <w:name w:val="RTF_Num 5 7"/>
    <w:rsid w:val="0086702E"/>
    <w:rPr>
      <w:rFonts w:ascii="Symbol" w:eastAsia="Symbol" w:hAnsi="Symbol" w:cs="Symbol"/>
      <w:b w:val="0"/>
      <w:bCs w:val="0"/>
      <w:i w:val="0"/>
      <w:iCs w:val="0"/>
      <w:strike w:val="0"/>
      <w:dstrike w:val="0"/>
      <w:color w:val="auto"/>
      <w:sz w:val="22"/>
      <w:szCs w:val="22"/>
      <w:u w:val="none"/>
    </w:rPr>
  </w:style>
  <w:style w:type="character" w:customStyle="1" w:styleId="RTFNum58">
    <w:name w:val="RTF_Num 5 8"/>
    <w:rsid w:val="0086702E"/>
    <w:rPr>
      <w:rFonts w:ascii="Symbol" w:eastAsia="Symbol" w:hAnsi="Symbol" w:cs="Symbol"/>
      <w:b w:val="0"/>
      <w:bCs w:val="0"/>
      <w:i w:val="0"/>
      <w:iCs w:val="0"/>
      <w:strike w:val="0"/>
      <w:dstrike w:val="0"/>
      <w:color w:val="auto"/>
      <w:sz w:val="22"/>
      <w:szCs w:val="22"/>
      <w:u w:val="none"/>
    </w:rPr>
  </w:style>
  <w:style w:type="character" w:customStyle="1" w:styleId="RTFNum59">
    <w:name w:val="RTF_Num 5 9"/>
    <w:rsid w:val="0086702E"/>
    <w:rPr>
      <w:rFonts w:ascii="Symbol" w:eastAsia="Symbol" w:hAnsi="Symbol" w:cs="Symbol"/>
      <w:b w:val="0"/>
      <w:bCs w:val="0"/>
      <w:i w:val="0"/>
      <w:iCs w:val="0"/>
      <w:strike w:val="0"/>
      <w:dstrike w:val="0"/>
      <w:color w:val="auto"/>
      <w:sz w:val="22"/>
      <w:szCs w:val="22"/>
      <w:u w:val="none"/>
    </w:rPr>
  </w:style>
  <w:style w:type="character" w:customStyle="1" w:styleId="Internetlinkuser">
    <w:name w:val="Internet link (user)"/>
    <w:rsid w:val="0086702E"/>
    <w:rPr>
      <w:rFonts w:ascii="Times New Roman" w:eastAsia="Times New Roman" w:hAnsi="Times New Roman" w:cs="Times New Roman"/>
      <w:b w:val="0"/>
      <w:bCs w:val="0"/>
      <w:i w:val="0"/>
      <w:iCs w:val="0"/>
      <w:strike w:val="0"/>
      <w:dstrike w:val="0"/>
      <w:color w:val="000080"/>
      <w:sz w:val="24"/>
      <w:szCs w:val="24"/>
      <w:u w:val="single"/>
    </w:rPr>
  </w:style>
  <w:style w:type="character" w:customStyle="1" w:styleId="Corpodetexto2Carcter">
    <w:name w:val="Corpo de texto 2 Carácter"/>
    <w:rsid w:val="0086702E"/>
    <w:rPr>
      <w:sz w:val="24"/>
      <w:szCs w:val="24"/>
    </w:rPr>
  </w:style>
  <w:style w:type="character" w:customStyle="1" w:styleId="Corpodetexto3Carcter">
    <w:name w:val="Corpo de texto 3 Carácter"/>
    <w:rsid w:val="0086702E"/>
    <w:rPr>
      <w:sz w:val="16"/>
      <w:szCs w:val="16"/>
    </w:rPr>
  </w:style>
  <w:style w:type="character" w:customStyle="1" w:styleId="TextodebaloCarcter">
    <w:name w:val="Texto de balão Carácter"/>
    <w:rsid w:val="0086702E"/>
    <w:rPr>
      <w:rFonts w:ascii="Tahoma" w:hAnsi="Tahoma" w:cs="Tahoma"/>
      <w:sz w:val="16"/>
      <w:szCs w:val="16"/>
    </w:rPr>
  </w:style>
  <w:style w:type="character" w:customStyle="1" w:styleId="WW-Absatz-Standardschriftart111">
    <w:name w:val="WW-Absatz-Standardschriftart111"/>
    <w:rsid w:val="0086702E"/>
    <w:rPr>
      <w:rFonts w:ascii="Times New Roman" w:eastAsia="Times New Roman" w:hAnsi="Times New Roman" w:cs="Times New Roman"/>
      <w:b w:val="0"/>
      <w:bCs w:val="0"/>
      <w:i w:val="0"/>
      <w:iCs w:val="0"/>
      <w:strike w:val="0"/>
      <w:dstrike w:val="0"/>
      <w:color w:val="auto"/>
      <w:sz w:val="24"/>
      <w:szCs w:val="24"/>
      <w:u w:val="none"/>
    </w:rPr>
  </w:style>
  <w:style w:type="character" w:customStyle="1" w:styleId="StrongEmphasisuser">
    <w:name w:val="Strong Emphasis (user)"/>
    <w:rsid w:val="0086702E"/>
    <w:rPr>
      <w:rFonts w:ascii="Times New Roman" w:eastAsia="Times New Roman" w:hAnsi="Times New Roman" w:cs="Times New Roman"/>
      <w:b/>
      <w:bCs/>
      <w:i w:val="0"/>
      <w:iCs w:val="0"/>
      <w:strike w:val="0"/>
      <w:dstrike w:val="0"/>
      <w:color w:val="000000"/>
      <w:sz w:val="24"/>
      <w:szCs w:val="24"/>
      <w:u w:val="none"/>
    </w:rPr>
  </w:style>
  <w:style w:type="numbering" w:customStyle="1" w:styleId="WW8Num1">
    <w:name w:val="WW8Num1"/>
    <w:basedOn w:val="Semlista"/>
    <w:rsid w:val="0086702E"/>
    <w:pPr>
      <w:numPr>
        <w:numId w:val="16"/>
      </w:numPr>
    </w:pPr>
  </w:style>
  <w:style w:type="numbering" w:customStyle="1" w:styleId="WW8Num2">
    <w:name w:val="WW8Num2"/>
    <w:basedOn w:val="Semlista"/>
    <w:rsid w:val="0086702E"/>
    <w:pPr>
      <w:numPr>
        <w:numId w:val="17"/>
      </w:numPr>
    </w:pPr>
  </w:style>
  <w:style w:type="numbering" w:customStyle="1" w:styleId="WW8Num3">
    <w:name w:val="WW8Num3"/>
    <w:basedOn w:val="Semlista"/>
    <w:rsid w:val="0086702E"/>
    <w:pPr>
      <w:numPr>
        <w:numId w:val="18"/>
      </w:numPr>
    </w:pPr>
  </w:style>
  <w:style w:type="numbering" w:customStyle="1" w:styleId="WW8Num4">
    <w:name w:val="WW8Num4"/>
    <w:basedOn w:val="Semlista"/>
    <w:rsid w:val="0086702E"/>
    <w:pPr>
      <w:numPr>
        <w:numId w:val="19"/>
      </w:numPr>
    </w:pPr>
  </w:style>
  <w:style w:type="numbering" w:customStyle="1" w:styleId="WW8Num5">
    <w:name w:val="WW8Num5"/>
    <w:basedOn w:val="Semlista"/>
    <w:rsid w:val="0086702E"/>
    <w:pPr>
      <w:numPr>
        <w:numId w:val="20"/>
      </w:numPr>
    </w:pPr>
  </w:style>
  <w:style w:type="character" w:styleId="CitaoHTML">
    <w:name w:val="HTML Cite"/>
    <w:basedOn w:val="Fontepargpadro"/>
    <w:uiPriority w:val="99"/>
    <w:unhideWhenUsed/>
    <w:rsid w:val="0086702E"/>
    <w:rPr>
      <w:i/>
      <w:iCs/>
    </w:rPr>
  </w:style>
  <w:style w:type="character" w:customStyle="1" w:styleId="artigo1">
    <w:name w:val="artigo1"/>
    <w:rsid w:val="005F3DE4"/>
    <w:rPr>
      <w:rFonts w:ascii="Times New Roman" w:hAnsi="Times New Roman"/>
      <w:b/>
      <w:bCs/>
      <w:color w:val="000000"/>
      <w:sz w:val="20"/>
      <w:szCs w:val="20"/>
    </w:rPr>
  </w:style>
  <w:style w:type="character" w:styleId="Refdecomentrio">
    <w:name w:val="annotation reference"/>
    <w:basedOn w:val="Fontepargpadro"/>
    <w:uiPriority w:val="99"/>
    <w:rsid w:val="000E3A9C"/>
    <w:rPr>
      <w:sz w:val="16"/>
      <w:szCs w:val="16"/>
    </w:rPr>
  </w:style>
  <w:style w:type="paragraph" w:styleId="Assuntodocomentrio">
    <w:name w:val="annotation subject"/>
    <w:basedOn w:val="Textodecomentrio"/>
    <w:next w:val="Textodecomentrio"/>
    <w:link w:val="AssuntodocomentrioChar"/>
    <w:uiPriority w:val="99"/>
    <w:rsid w:val="000E3A9C"/>
    <w:pPr>
      <w:jc w:val="left"/>
    </w:pPr>
    <w:rPr>
      <w:rFonts w:cs="Times New Roman"/>
      <w:b/>
      <w:bCs/>
    </w:rPr>
  </w:style>
  <w:style w:type="character" w:customStyle="1" w:styleId="AssuntodocomentrioChar">
    <w:name w:val="Assunto do comentário Char"/>
    <w:basedOn w:val="TextodecomentrioChar"/>
    <w:link w:val="Assuntodocomentrio"/>
    <w:uiPriority w:val="99"/>
    <w:rsid w:val="000E3A9C"/>
    <w:rPr>
      <w:rFonts w:ascii="Arial" w:hAnsi="Arial" w:cs="Arial"/>
      <w:b/>
      <w:bCs/>
    </w:rPr>
  </w:style>
  <w:style w:type="paragraph" w:customStyle="1" w:styleId="EmR">
    <w:name w:val="Em R$"/>
    <w:basedOn w:val="Normal"/>
    <w:uiPriority w:val="99"/>
    <w:rsid w:val="00A566F1"/>
    <w:pPr>
      <w:jc w:val="right"/>
    </w:pPr>
    <w:rPr>
      <w:color w:val="000000"/>
      <w:sz w:val="16"/>
    </w:rPr>
  </w:style>
  <w:style w:type="character" w:customStyle="1" w:styleId="Fonte">
    <w:name w:val="Fonte"/>
    <w:basedOn w:val="Fontepargpadro"/>
    <w:rsid w:val="00A566F1"/>
    <w:rPr>
      <w:color w:val="000000"/>
      <w:sz w:val="16"/>
    </w:rPr>
  </w:style>
  <w:style w:type="character" w:customStyle="1" w:styleId="apple-converted-space">
    <w:name w:val="apple-converted-space"/>
    <w:basedOn w:val="Fontepargpadro"/>
    <w:rsid w:val="00BA0026"/>
  </w:style>
  <w:style w:type="paragraph" w:customStyle="1" w:styleId="resumo">
    <w:name w:val="resumo"/>
    <w:basedOn w:val="Normal"/>
    <w:uiPriority w:val="99"/>
    <w:rsid w:val="00C702A9"/>
    <w:pPr>
      <w:suppressAutoHyphens/>
      <w:spacing w:line="276" w:lineRule="auto"/>
    </w:pPr>
    <w:rPr>
      <w:kern w:val="1"/>
      <w:sz w:val="24"/>
      <w:szCs w:val="24"/>
      <w:lang w:eastAsia="ar-SA"/>
    </w:rPr>
  </w:style>
  <w:style w:type="paragraph" w:customStyle="1" w:styleId="BODY">
    <w:name w:val="BODY"/>
    <w:basedOn w:val="Normal0"/>
    <w:uiPriority w:val="99"/>
    <w:rsid w:val="00E75027"/>
    <w:pPr>
      <w:autoSpaceDE w:val="0"/>
      <w:autoSpaceDN w:val="0"/>
      <w:adjustRightInd w:val="0"/>
      <w:spacing w:line="276" w:lineRule="auto"/>
      <w:jc w:val="both"/>
    </w:pPr>
    <w:rPr>
      <w:rFonts w:eastAsia="Calibri" w:cs="Arial"/>
      <w:snapToGrid/>
      <w:sz w:val="23"/>
      <w:szCs w:val="23"/>
      <w:lang w:eastAsia="en-US"/>
    </w:rPr>
  </w:style>
  <w:style w:type="paragraph" w:customStyle="1" w:styleId="deletar">
    <w:name w:val="deletar"/>
    <w:basedOn w:val="1-REL11"/>
    <w:link w:val="deletarChar"/>
    <w:rsid w:val="00E21941"/>
    <w:pPr>
      <w:numPr>
        <w:numId w:val="21"/>
      </w:numPr>
      <w:ind w:left="284" w:hanging="284"/>
    </w:pPr>
  </w:style>
  <w:style w:type="character" w:customStyle="1" w:styleId="deletarChar">
    <w:name w:val="deletar Char"/>
    <w:basedOn w:val="1-REL11Char"/>
    <w:link w:val="deletar"/>
    <w:rsid w:val="00E21941"/>
    <w:rPr>
      <w:rFonts w:ascii="Arial" w:eastAsia="Calibri" w:hAnsi="Arial" w:cs="Arial"/>
      <w:b w:val="0"/>
      <w:bCs w:val="0"/>
      <w:sz w:val="22"/>
      <w:szCs w:val="22"/>
      <w:lang w:val="pt-BR" w:eastAsia="pt-BR"/>
    </w:rPr>
  </w:style>
  <w:style w:type="paragraph" w:customStyle="1" w:styleId="Listagem">
    <w:name w:val="Listagem"/>
    <w:basedOn w:val="1-REL11"/>
    <w:link w:val="ListagemChar"/>
    <w:qFormat/>
    <w:rsid w:val="009D3154"/>
    <w:pPr>
      <w:ind w:left="720" w:hanging="360"/>
    </w:pPr>
  </w:style>
  <w:style w:type="character" w:customStyle="1" w:styleId="ListagemChar">
    <w:name w:val="Listagem Char"/>
    <w:basedOn w:val="1-REL11Char"/>
    <w:link w:val="Listagem"/>
    <w:rsid w:val="009D3154"/>
    <w:rPr>
      <w:rFonts w:ascii="Arial" w:eastAsia="Calibri" w:hAnsi="Arial" w:cs="Arial"/>
      <w:b w:val="0"/>
      <w:bCs w:val="0"/>
      <w:w w:val="109"/>
      <w:sz w:val="22"/>
      <w:szCs w:val="22"/>
      <w:lang w:val="pt-BR" w:eastAsia="en-US"/>
    </w:rPr>
  </w:style>
  <w:style w:type="paragraph" w:styleId="Reviso">
    <w:name w:val="Revision"/>
    <w:hidden/>
    <w:uiPriority w:val="99"/>
    <w:semiHidden/>
    <w:rsid w:val="006E61E2"/>
  </w:style>
  <w:style w:type="paragraph" w:customStyle="1" w:styleId="Numeracao">
    <w:name w:val="Numeracao"/>
    <w:basedOn w:val="1-REL11"/>
    <w:link w:val="NumeracaoChar"/>
    <w:rsid w:val="00765C87"/>
    <w:pPr>
      <w:numPr>
        <w:numId w:val="22"/>
      </w:numPr>
      <w:ind w:left="567" w:hanging="567"/>
    </w:pPr>
    <w:rPr>
      <w:i/>
      <w:szCs w:val="24"/>
      <w:u w:val="single"/>
    </w:rPr>
  </w:style>
  <w:style w:type="paragraph" w:customStyle="1" w:styleId="Numeracao2">
    <w:name w:val="Numeracao 2"/>
    <w:basedOn w:val="1-REL11"/>
    <w:link w:val="Numeracao2Char"/>
    <w:rsid w:val="00765C87"/>
    <w:pPr>
      <w:numPr>
        <w:numId w:val="23"/>
      </w:numPr>
      <w:ind w:left="567" w:hanging="567"/>
    </w:pPr>
    <w:rPr>
      <w:i/>
      <w:szCs w:val="24"/>
      <w:u w:val="single"/>
    </w:rPr>
  </w:style>
  <w:style w:type="character" w:customStyle="1" w:styleId="NumeracaoChar">
    <w:name w:val="Numeracao Char"/>
    <w:basedOn w:val="1-REL11Char"/>
    <w:link w:val="Numeracao"/>
    <w:rsid w:val="00765C87"/>
    <w:rPr>
      <w:rFonts w:ascii="Arial" w:eastAsia="Calibri" w:hAnsi="Arial" w:cs="Arial"/>
      <w:b w:val="0"/>
      <w:bCs w:val="0"/>
      <w:i/>
      <w:sz w:val="22"/>
      <w:szCs w:val="24"/>
      <w:u w:val="single"/>
      <w:lang w:val="pt-BR" w:eastAsia="pt-BR"/>
    </w:rPr>
  </w:style>
  <w:style w:type="character" w:customStyle="1" w:styleId="Numeracao2Char">
    <w:name w:val="Numeracao 2 Char"/>
    <w:basedOn w:val="1-REL11Char"/>
    <w:link w:val="Numeracao2"/>
    <w:rsid w:val="00765C87"/>
    <w:rPr>
      <w:rFonts w:ascii="Arial" w:eastAsia="Calibri" w:hAnsi="Arial" w:cs="Arial"/>
      <w:b w:val="0"/>
      <w:bCs w:val="0"/>
      <w:i/>
      <w:sz w:val="22"/>
      <w:szCs w:val="24"/>
      <w:u w:val="single"/>
      <w:lang w:val="pt-BR" w:eastAsia="pt-BR"/>
    </w:rPr>
  </w:style>
  <w:style w:type="paragraph" w:customStyle="1" w:styleId="numeracao1">
    <w:name w:val="numeracao 1)"/>
    <w:basedOn w:val="1-REL11"/>
    <w:link w:val="numeracao1Char"/>
    <w:rsid w:val="009463E6"/>
    <w:pPr>
      <w:spacing w:line="240" w:lineRule="auto"/>
      <w:ind w:left="360" w:hanging="360"/>
    </w:pPr>
  </w:style>
  <w:style w:type="character" w:customStyle="1" w:styleId="numeracao1Char">
    <w:name w:val="numeracao 1) Char"/>
    <w:basedOn w:val="1-REL11Char"/>
    <w:link w:val="numeracao1"/>
    <w:rsid w:val="009463E6"/>
    <w:rPr>
      <w:rFonts w:ascii="Arial" w:eastAsia="Calibri" w:hAnsi="Arial" w:cs="Arial"/>
      <w:b w:val="0"/>
      <w:bCs w:val="0"/>
      <w:w w:val="109"/>
      <w:sz w:val="22"/>
      <w:szCs w:val="22"/>
      <w:lang w:val="pt-BR" w:eastAsia="en-US"/>
    </w:rPr>
  </w:style>
  <w:style w:type="character" w:customStyle="1" w:styleId="ncoradanotaderodap">
    <w:name w:val="Âncora da nota de rodapé"/>
    <w:rsid w:val="00F70037"/>
    <w:rPr>
      <w:vertAlign w:val="superscript"/>
    </w:rPr>
  </w:style>
  <w:style w:type="paragraph" w:customStyle="1" w:styleId="Notaderodap">
    <w:name w:val="Nota de rodapé"/>
    <w:basedOn w:val="Normal"/>
    <w:uiPriority w:val="99"/>
    <w:rsid w:val="00F70037"/>
    <w:pPr>
      <w:suppressAutoHyphens/>
      <w:spacing w:after="160" w:line="259" w:lineRule="auto"/>
    </w:pPr>
    <w:rPr>
      <w:rFonts w:ascii="Calibri" w:eastAsia="SimSun" w:hAnsi="Calibri" w:cs="Calibri"/>
      <w:lang w:eastAsia="en-US"/>
    </w:rPr>
  </w:style>
  <w:style w:type="paragraph" w:styleId="Subttulo">
    <w:name w:val="Subtitle"/>
    <w:basedOn w:val="Normal"/>
    <w:next w:val="Normal"/>
    <w:link w:val="SubttuloChar"/>
    <w:uiPriority w:val="11"/>
    <w:qFormat/>
    <w:rsid w:val="0000220C"/>
    <w:pPr>
      <w:numPr>
        <w:ilvl w:val="1"/>
      </w:numPr>
      <w:spacing w:after="200" w:line="276" w:lineRule="auto"/>
    </w:pPr>
    <w:rPr>
      <w:rFonts w:asciiTheme="majorHAnsi" w:eastAsiaTheme="majorEastAsia" w:hAnsiTheme="majorHAnsi" w:cstheme="majorBidi"/>
      <w:i/>
      <w:iCs/>
      <w:color w:val="4F81BD" w:themeColor="accent1"/>
      <w:spacing w:val="15"/>
      <w:sz w:val="24"/>
      <w:szCs w:val="24"/>
    </w:rPr>
  </w:style>
  <w:style w:type="character" w:customStyle="1" w:styleId="SubttuloChar">
    <w:name w:val="Subtítulo Char"/>
    <w:basedOn w:val="Fontepargpadro"/>
    <w:link w:val="Subttulo"/>
    <w:uiPriority w:val="11"/>
    <w:rsid w:val="0000220C"/>
    <w:rPr>
      <w:rFonts w:asciiTheme="majorHAnsi" w:eastAsiaTheme="majorEastAsia" w:hAnsiTheme="majorHAnsi" w:cstheme="majorBidi"/>
      <w:i/>
      <w:iCs/>
      <w:color w:val="4F81BD" w:themeColor="accent1"/>
      <w:spacing w:val="15"/>
      <w:sz w:val="24"/>
      <w:szCs w:val="24"/>
    </w:rPr>
  </w:style>
  <w:style w:type="paragraph" w:styleId="CitaoIntensa">
    <w:name w:val="Intense Quote"/>
    <w:basedOn w:val="Normal"/>
    <w:next w:val="Normal"/>
    <w:link w:val="CitaoIntensaChar"/>
    <w:uiPriority w:val="30"/>
    <w:qFormat/>
    <w:rsid w:val="00B2376C"/>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B2376C"/>
    <w:rPr>
      <w:rFonts w:ascii="Arial" w:hAnsi="Arial"/>
      <w:b/>
      <w:bCs/>
      <w:i/>
      <w:iCs/>
      <w:color w:val="4F81BD" w:themeColor="accent1"/>
    </w:rPr>
  </w:style>
  <w:style w:type="paragraph" w:customStyle="1" w:styleId="tabelas">
    <w:name w:val="tabelas"/>
    <w:basedOn w:val="Normal"/>
    <w:link w:val="tabelasChar"/>
    <w:qFormat/>
    <w:rsid w:val="00DC0DFF"/>
    <w:pPr>
      <w:tabs>
        <w:tab w:val="left" w:pos="284"/>
      </w:tabs>
      <w:spacing w:line="360" w:lineRule="auto"/>
    </w:pPr>
    <w:rPr>
      <w:rFonts w:eastAsiaTheme="minorEastAsia" w:cs="Arial"/>
      <w:bCs/>
    </w:rPr>
  </w:style>
  <w:style w:type="character" w:customStyle="1" w:styleId="tabelasChar">
    <w:name w:val="tabelas Char"/>
    <w:basedOn w:val="Fontepargpadro"/>
    <w:link w:val="tabelas"/>
    <w:rsid w:val="00DC0DFF"/>
    <w:rPr>
      <w:rFonts w:ascii="Ecofont Vera Sans" w:eastAsiaTheme="minorEastAsia" w:hAnsi="Ecofont Vera Sans" w:cs="Arial"/>
      <w:bCs/>
      <w:sz w:val="22"/>
      <w:szCs w:val="22"/>
    </w:rPr>
  </w:style>
  <w:style w:type="paragraph" w:customStyle="1" w:styleId="EstiloCalibri11ptNegritoTexto1direita">
    <w:name w:val="Estilo Calibri 11 pt Negrito Texto 1 À direita"/>
    <w:basedOn w:val="Normal"/>
    <w:next w:val="Normal0"/>
    <w:uiPriority w:val="99"/>
    <w:rsid w:val="006C7183"/>
    <w:pPr>
      <w:jc w:val="right"/>
    </w:pPr>
    <w:rPr>
      <w:rFonts w:ascii="Calibri" w:hAnsi="Calibri"/>
      <w:b/>
      <w:bCs/>
      <w:color w:val="000000" w:themeColor="text1"/>
    </w:rPr>
  </w:style>
  <w:style w:type="paragraph" w:customStyle="1" w:styleId="texto1">
    <w:name w:val="texto1"/>
    <w:basedOn w:val="Normal"/>
    <w:uiPriority w:val="99"/>
    <w:rsid w:val="006C7183"/>
    <w:pPr>
      <w:spacing w:before="100" w:beforeAutospacing="1" w:after="100" w:afterAutospacing="1"/>
    </w:pPr>
    <w:rPr>
      <w:sz w:val="24"/>
      <w:szCs w:val="24"/>
    </w:rPr>
  </w:style>
  <w:style w:type="paragraph" w:customStyle="1" w:styleId="1-T-QUADRO">
    <w:name w:val="1 -T-QUADRO"/>
    <w:basedOn w:val="Normal"/>
    <w:uiPriority w:val="99"/>
    <w:rsid w:val="00E4553B"/>
    <w:pPr>
      <w:tabs>
        <w:tab w:val="num" w:pos="1418"/>
        <w:tab w:val="left" w:pos="3828"/>
      </w:tabs>
      <w:spacing w:after="60"/>
      <w:ind w:left="1418" w:hanging="1418"/>
      <w:jc w:val="center"/>
      <w:outlineLvl w:val="8"/>
    </w:pPr>
  </w:style>
  <w:style w:type="paragraph" w:customStyle="1" w:styleId="font7">
    <w:name w:val="font7"/>
    <w:basedOn w:val="Normal"/>
    <w:uiPriority w:val="99"/>
    <w:rsid w:val="009865BB"/>
    <w:pPr>
      <w:spacing w:before="100" w:beforeAutospacing="1" w:after="100" w:afterAutospacing="1"/>
    </w:pPr>
    <w:rPr>
      <w:rFonts w:ascii="Tahoma" w:hAnsi="Tahoma" w:cs="Tahoma"/>
      <w:color w:val="000000"/>
      <w:sz w:val="24"/>
      <w:szCs w:val="24"/>
    </w:rPr>
  </w:style>
  <w:style w:type="paragraph" w:customStyle="1" w:styleId="font8">
    <w:name w:val="font8"/>
    <w:basedOn w:val="Normal"/>
    <w:uiPriority w:val="99"/>
    <w:rsid w:val="009865BB"/>
    <w:pPr>
      <w:spacing w:before="100" w:beforeAutospacing="1" w:after="100" w:afterAutospacing="1"/>
    </w:pPr>
    <w:rPr>
      <w:rFonts w:ascii="Tahoma" w:hAnsi="Tahoma" w:cs="Tahoma"/>
      <w:color w:val="000000"/>
      <w:sz w:val="30"/>
      <w:szCs w:val="30"/>
    </w:rPr>
  </w:style>
  <w:style w:type="paragraph" w:customStyle="1" w:styleId="font9">
    <w:name w:val="font9"/>
    <w:basedOn w:val="Normal"/>
    <w:uiPriority w:val="99"/>
    <w:rsid w:val="009865BB"/>
    <w:pPr>
      <w:spacing w:before="100" w:beforeAutospacing="1" w:after="100" w:afterAutospacing="1"/>
    </w:pPr>
    <w:rPr>
      <w:rFonts w:ascii="Tahoma" w:hAnsi="Tahoma" w:cs="Tahoma"/>
      <w:color w:val="000000"/>
      <w:sz w:val="32"/>
      <w:szCs w:val="32"/>
    </w:rPr>
  </w:style>
  <w:style w:type="paragraph" w:customStyle="1" w:styleId="font10">
    <w:name w:val="font10"/>
    <w:basedOn w:val="Normal"/>
    <w:uiPriority w:val="99"/>
    <w:rsid w:val="009865BB"/>
    <w:pPr>
      <w:spacing w:before="100" w:beforeAutospacing="1" w:after="100" w:afterAutospacing="1"/>
    </w:pPr>
    <w:rPr>
      <w:rFonts w:ascii="Tahoma" w:hAnsi="Tahoma" w:cs="Tahoma"/>
      <w:color w:val="000000"/>
      <w:sz w:val="18"/>
      <w:szCs w:val="18"/>
    </w:rPr>
  </w:style>
  <w:style w:type="paragraph" w:customStyle="1" w:styleId="font11">
    <w:name w:val="font11"/>
    <w:basedOn w:val="Normal"/>
    <w:uiPriority w:val="99"/>
    <w:rsid w:val="009865BB"/>
    <w:pPr>
      <w:spacing w:before="100" w:beforeAutospacing="1" w:after="100" w:afterAutospacing="1"/>
    </w:pPr>
    <w:rPr>
      <w:rFonts w:ascii="Tahoma" w:hAnsi="Tahoma" w:cs="Tahoma"/>
      <w:b/>
      <w:bCs/>
      <w:color w:val="000000"/>
      <w:sz w:val="18"/>
      <w:szCs w:val="18"/>
    </w:rPr>
  </w:style>
  <w:style w:type="paragraph" w:customStyle="1" w:styleId="xl333">
    <w:name w:val="xl333"/>
    <w:basedOn w:val="Normal"/>
    <w:uiPriority w:val="99"/>
    <w:rsid w:val="009865BB"/>
    <w:pPr>
      <w:shd w:val="clear" w:color="000000" w:fill="FFFFFF"/>
      <w:spacing w:before="100" w:beforeAutospacing="1" w:after="100" w:afterAutospacing="1"/>
      <w:textAlignment w:val="center"/>
    </w:pPr>
    <w:rPr>
      <w:rFonts w:cs="Arial"/>
      <w:sz w:val="24"/>
      <w:szCs w:val="24"/>
    </w:rPr>
  </w:style>
  <w:style w:type="paragraph" w:customStyle="1" w:styleId="xl334">
    <w:name w:val="xl334"/>
    <w:basedOn w:val="Normal"/>
    <w:uiPriority w:val="99"/>
    <w:rsid w:val="009865BB"/>
    <w:pPr>
      <w:shd w:val="clear" w:color="000000" w:fill="FFFFFF"/>
      <w:spacing w:before="100" w:beforeAutospacing="1" w:after="100" w:afterAutospacing="1"/>
      <w:textAlignment w:val="center"/>
    </w:pPr>
    <w:rPr>
      <w:rFonts w:cs="Arial"/>
      <w:sz w:val="24"/>
      <w:szCs w:val="24"/>
    </w:rPr>
  </w:style>
  <w:style w:type="paragraph" w:customStyle="1" w:styleId="xl335">
    <w:name w:val="xl335"/>
    <w:basedOn w:val="Normal"/>
    <w:uiPriority w:val="99"/>
    <w:rsid w:val="009865BB"/>
    <w:pPr>
      <w:spacing w:before="100" w:beforeAutospacing="1" w:after="100" w:afterAutospacing="1"/>
      <w:textAlignment w:val="center"/>
    </w:pPr>
    <w:rPr>
      <w:rFonts w:cs="Arial"/>
      <w:sz w:val="24"/>
      <w:szCs w:val="24"/>
    </w:rPr>
  </w:style>
  <w:style w:type="paragraph" w:customStyle="1" w:styleId="xl336">
    <w:name w:val="xl336"/>
    <w:basedOn w:val="Normal"/>
    <w:uiPriority w:val="99"/>
    <w:rsid w:val="009865BB"/>
    <w:pPr>
      <w:shd w:val="clear" w:color="000000" w:fill="FFFFFF"/>
      <w:spacing w:before="100" w:beforeAutospacing="1" w:after="100" w:afterAutospacing="1"/>
      <w:textAlignment w:val="center"/>
    </w:pPr>
    <w:rPr>
      <w:rFonts w:cs="Arial"/>
      <w:sz w:val="24"/>
      <w:szCs w:val="24"/>
    </w:rPr>
  </w:style>
  <w:style w:type="paragraph" w:customStyle="1" w:styleId="xl337">
    <w:name w:val="xl337"/>
    <w:basedOn w:val="Normal"/>
    <w:uiPriority w:val="99"/>
    <w:rsid w:val="009865BB"/>
    <w:pPr>
      <w:shd w:val="clear" w:color="000000" w:fill="FFFFFF"/>
      <w:spacing w:before="100" w:beforeAutospacing="1" w:after="100" w:afterAutospacing="1"/>
      <w:textAlignment w:val="center"/>
    </w:pPr>
    <w:rPr>
      <w:rFonts w:cs="Arial"/>
      <w:color w:val="16365C"/>
      <w:sz w:val="24"/>
      <w:szCs w:val="24"/>
    </w:rPr>
  </w:style>
  <w:style w:type="paragraph" w:customStyle="1" w:styleId="xl338">
    <w:name w:val="xl338"/>
    <w:basedOn w:val="Normal"/>
    <w:uiPriority w:val="99"/>
    <w:rsid w:val="009865BB"/>
    <w:pPr>
      <w:shd w:val="clear" w:color="000000" w:fill="FFFFFF"/>
      <w:spacing w:before="100" w:beforeAutospacing="1" w:after="100" w:afterAutospacing="1"/>
      <w:textAlignment w:val="center"/>
    </w:pPr>
    <w:rPr>
      <w:rFonts w:cs="Arial"/>
      <w:color w:val="C0504D"/>
      <w:sz w:val="24"/>
      <w:szCs w:val="24"/>
    </w:rPr>
  </w:style>
  <w:style w:type="paragraph" w:customStyle="1" w:styleId="xl339">
    <w:name w:val="xl339"/>
    <w:basedOn w:val="Normal"/>
    <w:uiPriority w:val="99"/>
    <w:rsid w:val="009865BB"/>
    <w:pPr>
      <w:shd w:val="clear" w:color="000000" w:fill="FFFFFF"/>
      <w:spacing w:before="100" w:beforeAutospacing="1" w:after="100" w:afterAutospacing="1"/>
      <w:textAlignment w:val="center"/>
    </w:pPr>
    <w:rPr>
      <w:rFonts w:cs="Arial"/>
      <w:color w:val="C0504D"/>
      <w:sz w:val="24"/>
      <w:szCs w:val="24"/>
    </w:rPr>
  </w:style>
  <w:style w:type="paragraph" w:customStyle="1" w:styleId="xl340">
    <w:name w:val="xl340"/>
    <w:basedOn w:val="Normal"/>
    <w:uiPriority w:val="99"/>
    <w:rsid w:val="009865BB"/>
    <w:pPr>
      <w:pBdr>
        <w:right w:val="single" w:sz="4" w:space="0" w:color="auto"/>
      </w:pBdr>
      <w:shd w:val="clear" w:color="000000" w:fill="DDD9C4"/>
      <w:spacing w:before="100" w:beforeAutospacing="1" w:after="100" w:afterAutospacing="1"/>
      <w:jc w:val="center"/>
      <w:textAlignment w:val="center"/>
    </w:pPr>
    <w:rPr>
      <w:rFonts w:cs="Arial"/>
      <w:color w:val="494529"/>
      <w:sz w:val="24"/>
      <w:szCs w:val="24"/>
    </w:rPr>
  </w:style>
  <w:style w:type="paragraph" w:customStyle="1" w:styleId="xl341">
    <w:name w:val="xl341"/>
    <w:basedOn w:val="Normal"/>
    <w:uiPriority w:val="99"/>
    <w:rsid w:val="009865BB"/>
    <w:pPr>
      <w:pBdr>
        <w:left w:val="single" w:sz="8" w:space="0" w:color="auto"/>
        <w:right w:val="single" w:sz="8" w:space="0" w:color="333300"/>
      </w:pBdr>
      <w:shd w:val="clear" w:color="000000" w:fill="FFFFFF"/>
      <w:spacing w:before="100" w:beforeAutospacing="1" w:after="100" w:afterAutospacing="1"/>
      <w:jc w:val="right"/>
      <w:textAlignment w:val="center"/>
    </w:pPr>
    <w:rPr>
      <w:rFonts w:cs="Arial"/>
    </w:rPr>
  </w:style>
  <w:style w:type="paragraph" w:customStyle="1" w:styleId="xl342">
    <w:name w:val="xl342"/>
    <w:basedOn w:val="Normal"/>
    <w:uiPriority w:val="99"/>
    <w:rsid w:val="009865BB"/>
    <w:pPr>
      <w:pBdr>
        <w:bottom w:val="single" w:sz="8" w:space="0" w:color="auto"/>
        <w:right w:val="single" w:sz="8" w:space="0" w:color="auto"/>
      </w:pBdr>
      <w:shd w:val="clear" w:color="000000" w:fill="FFFFFF"/>
      <w:spacing w:before="100" w:beforeAutospacing="1" w:after="100" w:afterAutospacing="1"/>
      <w:textAlignment w:val="center"/>
    </w:pPr>
    <w:rPr>
      <w:rFonts w:cs="Arial"/>
      <w:b/>
      <w:bCs/>
    </w:rPr>
  </w:style>
  <w:style w:type="paragraph" w:customStyle="1" w:styleId="xl343">
    <w:name w:val="xl343"/>
    <w:basedOn w:val="Normal"/>
    <w:uiPriority w:val="99"/>
    <w:rsid w:val="009865BB"/>
    <w:pPr>
      <w:pBdr>
        <w:left w:val="single" w:sz="8" w:space="0" w:color="auto"/>
        <w:bottom w:val="single" w:sz="8" w:space="0" w:color="auto"/>
        <w:right w:val="single" w:sz="8" w:space="0" w:color="333300"/>
      </w:pBdr>
      <w:shd w:val="clear" w:color="000000" w:fill="FFFFFF"/>
      <w:spacing w:before="100" w:beforeAutospacing="1" w:after="100" w:afterAutospacing="1"/>
      <w:jc w:val="right"/>
      <w:textAlignment w:val="center"/>
    </w:pPr>
    <w:rPr>
      <w:rFonts w:cs="Arial"/>
      <w:b/>
      <w:bCs/>
    </w:rPr>
  </w:style>
  <w:style w:type="paragraph" w:customStyle="1" w:styleId="xl344">
    <w:name w:val="xl344"/>
    <w:basedOn w:val="Normal"/>
    <w:uiPriority w:val="99"/>
    <w:rsid w:val="009865BB"/>
    <w:pPr>
      <w:pBdr>
        <w:left w:val="single" w:sz="12" w:space="0" w:color="00B050"/>
        <w:right w:val="single" w:sz="8" w:space="0" w:color="494529"/>
      </w:pBdr>
      <w:shd w:val="clear" w:color="000000" w:fill="FFFFFF"/>
      <w:spacing w:before="100" w:beforeAutospacing="1" w:after="100" w:afterAutospacing="1"/>
      <w:jc w:val="center"/>
      <w:textAlignment w:val="center"/>
    </w:pPr>
    <w:rPr>
      <w:rFonts w:cs="Arial"/>
      <w:color w:val="C0504D"/>
      <w:sz w:val="18"/>
      <w:szCs w:val="18"/>
    </w:rPr>
  </w:style>
  <w:style w:type="paragraph" w:customStyle="1" w:styleId="xl345">
    <w:name w:val="xl345"/>
    <w:basedOn w:val="Normal"/>
    <w:uiPriority w:val="99"/>
    <w:rsid w:val="009865BB"/>
    <w:pPr>
      <w:pBdr>
        <w:left w:val="single" w:sz="12" w:space="0" w:color="00B050"/>
        <w:right w:val="single" w:sz="8" w:space="0" w:color="494529"/>
      </w:pBdr>
      <w:shd w:val="clear" w:color="000000" w:fill="FFFFFF"/>
      <w:spacing w:before="100" w:beforeAutospacing="1" w:after="100" w:afterAutospacing="1"/>
      <w:jc w:val="center"/>
      <w:textAlignment w:val="center"/>
    </w:pPr>
    <w:rPr>
      <w:rFonts w:cs="Arial"/>
      <w:color w:val="1F497D"/>
      <w:sz w:val="18"/>
      <w:szCs w:val="18"/>
    </w:rPr>
  </w:style>
  <w:style w:type="paragraph" w:customStyle="1" w:styleId="xl346">
    <w:name w:val="xl346"/>
    <w:basedOn w:val="Normal"/>
    <w:uiPriority w:val="99"/>
    <w:rsid w:val="009865BB"/>
    <w:pPr>
      <w:pBdr>
        <w:left w:val="single" w:sz="12" w:space="0" w:color="00B050"/>
        <w:right w:val="single" w:sz="8" w:space="0" w:color="494529"/>
      </w:pBdr>
      <w:shd w:val="clear" w:color="000000" w:fill="FFFFFF"/>
      <w:spacing w:before="100" w:beforeAutospacing="1" w:after="100" w:afterAutospacing="1"/>
      <w:jc w:val="center"/>
      <w:textAlignment w:val="center"/>
    </w:pPr>
    <w:rPr>
      <w:rFonts w:cs="Arial"/>
      <w:sz w:val="18"/>
      <w:szCs w:val="18"/>
    </w:rPr>
  </w:style>
  <w:style w:type="paragraph" w:customStyle="1" w:styleId="xl347">
    <w:name w:val="xl347"/>
    <w:basedOn w:val="Normal"/>
    <w:uiPriority w:val="99"/>
    <w:rsid w:val="009865BB"/>
    <w:pPr>
      <w:pBdr>
        <w:left w:val="single" w:sz="12" w:space="0" w:color="00B050"/>
        <w:right w:val="single" w:sz="8" w:space="0" w:color="494529"/>
      </w:pBdr>
      <w:shd w:val="clear" w:color="000000" w:fill="FFFFFF"/>
      <w:spacing w:before="100" w:beforeAutospacing="1" w:after="100" w:afterAutospacing="1"/>
      <w:jc w:val="center"/>
      <w:textAlignment w:val="center"/>
    </w:pPr>
    <w:rPr>
      <w:rFonts w:cs="Arial"/>
      <w:sz w:val="18"/>
      <w:szCs w:val="18"/>
    </w:rPr>
  </w:style>
  <w:style w:type="paragraph" w:customStyle="1" w:styleId="xl348">
    <w:name w:val="xl348"/>
    <w:basedOn w:val="Normal"/>
    <w:uiPriority w:val="99"/>
    <w:rsid w:val="009865BB"/>
    <w:pPr>
      <w:pBdr>
        <w:right w:val="single" w:sz="8" w:space="0" w:color="auto"/>
      </w:pBdr>
      <w:shd w:val="clear" w:color="000000" w:fill="FFFFFF"/>
      <w:spacing w:before="100" w:beforeAutospacing="1" w:after="100" w:afterAutospacing="1"/>
      <w:ind w:firstLineChars="500" w:firstLine="500"/>
      <w:textAlignment w:val="center"/>
    </w:pPr>
    <w:rPr>
      <w:rFonts w:cs="Arial"/>
    </w:rPr>
  </w:style>
  <w:style w:type="paragraph" w:customStyle="1" w:styleId="xl349">
    <w:name w:val="xl349"/>
    <w:basedOn w:val="Normal"/>
    <w:uiPriority w:val="99"/>
    <w:rsid w:val="009865BB"/>
    <w:pPr>
      <w:pBdr>
        <w:right w:val="single" w:sz="8" w:space="0" w:color="auto"/>
      </w:pBdr>
      <w:shd w:val="clear" w:color="000000" w:fill="FFFFFF"/>
      <w:spacing w:before="100" w:beforeAutospacing="1" w:after="100" w:afterAutospacing="1"/>
      <w:ind w:firstLineChars="500" w:firstLine="500"/>
      <w:textAlignment w:val="center"/>
    </w:pPr>
  </w:style>
  <w:style w:type="paragraph" w:customStyle="1" w:styleId="xl350">
    <w:name w:val="xl350"/>
    <w:basedOn w:val="Normal"/>
    <w:uiPriority w:val="99"/>
    <w:rsid w:val="009865BB"/>
    <w:pPr>
      <w:pBdr>
        <w:right w:val="single" w:sz="8" w:space="0" w:color="auto"/>
      </w:pBdr>
      <w:shd w:val="clear" w:color="000000" w:fill="FFFFFF"/>
      <w:spacing w:before="100" w:beforeAutospacing="1" w:after="100" w:afterAutospacing="1"/>
      <w:ind w:firstLineChars="500" w:firstLine="500"/>
      <w:textAlignment w:val="center"/>
    </w:pPr>
    <w:rPr>
      <w:rFonts w:cs="Arial"/>
    </w:rPr>
  </w:style>
  <w:style w:type="paragraph" w:customStyle="1" w:styleId="xl351">
    <w:name w:val="xl351"/>
    <w:basedOn w:val="Normal"/>
    <w:uiPriority w:val="99"/>
    <w:rsid w:val="009865BB"/>
    <w:pPr>
      <w:pBdr>
        <w:right w:val="single" w:sz="8" w:space="0" w:color="auto"/>
      </w:pBdr>
      <w:shd w:val="clear" w:color="000000" w:fill="FFFFFF"/>
      <w:spacing w:before="100" w:beforeAutospacing="1" w:after="100" w:afterAutospacing="1"/>
      <w:ind w:firstLineChars="300" w:firstLine="300"/>
      <w:textAlignment w:val="center"/>
    </w:pPr>
    <w:rPr>
      <w:rFonts w:cs="Arial"/>
    </w:rPr>
  </w:style>
  <w:style w:type="paragraph" w:customStyle="1" w:styleId="xl352">
    <w:name w:val="xl352"/>
    <w:basedOn w:val="Normal"/>
    <w:uiPriority w:val="99"/>
    <w:rsid w:val="009865BB"/>
    <w:pPr>
      <w:shd w:val="clear" w:color="000000" w:fill="FFFFFF"/>
      <w:spacing w:before="100" w:beforeAutospacing="1" w:after="100" w:afterAutospacing="1"/>
      <w:textAlignment w:val="center"/>
    </w:pPr>
    <w:rPr>
      <w:rFonts w:cs="Arial"/>
      <w:color w:val="16365C"/>
      <w:sz w:val="24"/>
      <w:szCs w:val="24"/>
    </w:rPr>
  </w:style>
  <w:style w:type="paragraph" w:customStyle="1" w:styleId="xl353">
    <w:name w:val="xl353"/>
    <w:basedOn w:val="Normal"/>
    <w:uiPriority w:val="99"/>
    <w:rsid w:val="009865BB"/>
    <w:pPr>
      <w:pBdr>
        <w:left w:val="single" w:sz="8" w:space="0" w:color="333300"/>
      </w:pBdr>
      <w:shd w:val="clear" w:color="000000" w:fill="FFFFFF"/>
      <w:spacing w:before="100" w:beforeAutospacing="1" w:after="100" w:afterAutospacing="1"/>
    </w:pPr>
    <w:rPr>
      <w:rFonts w:cs="Arial"/>
      <w:color w:val="16365C"/>
    </w:rPr>
  </w:style>
  <w:style w:type="paragraph" w:customStyle="1" w:styleId="xl354">
    <w:name w:val="xl354"/>
    <w:basedOn w:val="Normal"/>
    <w:uiPriority w:val="99"/>
    <w:rsid w:val="009865BB"/>
    <w:pPr>
      <w:pBdr>
        <w:left w:val="single" w:sz="8" w:space="0" w:color="333300"/>
        <w:bottom w:val="single" w:sz="8" w:space="0" w:color="auto"/>
      </w:pBdr>
      <w:shd w:val="clear" w:color="000000" w:fill="FFFFFF"/>
      <w:spacing w:before="100" w:beforeAutospacing="1" w:after="100" w:afterAutospacing="1"/>
    </w:pPr>
    <w:rPr>
      <w:rFonts w:cs="Arial"/>
      <w:b/>
      <w:bCs/>
      <w:color w:val="16365C"/>
    </w:rPr>
  </w:style>
  <w:style w:type="paragraph" w:customStyle="1" w:styleId="xl355">
    <w:name w:val="xl355"/>
    <w:basedOn w:val="Normal"/>
    <w:uiPriority w:val="99"/>
    <w:rsid w:val="009865BB"/>
    <w:pPr>
      <w:pBdr>
        <w:top w:val="single" w:sz="8" w:space="0" w:color="333300"/>
        <w:right w:val="single" w:sz="8" w:space="0" w:color="auto"/>
      </w:pBdr>
      <w:shd w:val="clear" w:color="000000" w:fill="FFFFFF"/>
      <w:spacing w:before="100" w:beforeAutospacing="1" w:after="100" w:afterAutospacing="1"/>
      <w:textAlignment w:val="center"/>
    </w:pPr>
    <w:rPr>
      <w:rFonts w:cs="Arial"/>
      <w:b/>
      <w:bCs/>
      <w:sz w:val="16"/>
      <w:szCs w:val="16"/>
    </w:rPr>
  </w:style>
  <w:style w:type="paragraph" w:customStyle="1" w:styleId="xl356">
    <w:name w:val="xl356"/>
    <w:basedOn w:val="Normal"/>
    <w:uiPriority w:val="99"/>
    <w:rsid w:val="009865BB"/>
    <w:pPr>
      <w:pBdr>
        <w:top w:val="single" w:sz="8" w:space="0" w:color="333300"/>
        <w:left w:val="single" w:sz="8" w:space="0" w:color="auto"/>
        <w:right w:val="single" w:sz="8" w:space="0" w:color="333300"/>
      </w:pBdr>
      <w:shd w:val="clear" w:color="000000" w:fill="FFFFFF"/>
      <w:spacing w:before="100" w:beforeAutospacing="1" w:after="100" w:afterAutospacing="1"/>
      <w:jc w:val="right"/>
      <w:textAlignment w:val="center"/>
    </w:pPr>
    <w:rPr>
      <w:rFonts w:cs="Arial"/>
      <w:b/>
      <w:bCs/>
      <w:sz w:val="16"/>
      <w:szCs w:val="16"/>
    </w:rPr>
  </w:style>
  <w:style w:type="paragraph" w:customStyle="1" w:styleId="xl357">
    <w:name w:val="xl357"/>
    <w:basedOn w:val="Normal"/>
    <w:uiPriority w:val="99"/>
    <w:rsid w:val="009865BB"/>
    <w:pPr>
      <w:pBdr>
        <w:left w:val="single" w:sz="8" w:space="0" w:color="auto"/>
        <w:right w:val="single" w:sz="8" w:space="0" w:color="333300"/>
      </w:pBdr>
      <w:shd w:val="clear" w:color="000000" w:fill="FFFFFF"/>
      <w:spacing w:before="100" w:beforeAutospacing="1" w:after="100" w:afterAutospacing="1"/>
      <w:jc w:val="right"/>
      <w:textAlignment w:val="center"/>
    </w:pPr>
    <w:rPr>
      <w:rFonts w:cs="Arial"/>
      <w:sz w:val="16"/>
      <w:szCs w:val="16"/>
    </w:rPr>
  </w:style>
  <w:style w:type="paragraph" w:customStyle="1" w:styleId="xl358">
    <w:name w:val="xl358"/>
    <w:basedOn w:val="Normal"/>
    <w:uiPriority w:val="99"/>
    <w:rsid w:val="009865BB"/>
    <w:pPr>
      <w:pBdr>
        <w:right w:val="single" w:sz="8" w:space="0" w:color="494529"/>
      </w:pBdr>
      <w:shd w:val="clear" w:color="000000" w:fill="FFFFFF"/>
      <w:spacing w:before="100" w:beforeAutospacing="1" w:after="100" w:afterAutospacing="1"/>
      <w:jc w:val="center"/>
      <w:textAlignment w:val="center"/>
    </w:pPr>
    <w:rPr>
      <w:rFonts w:cs="Arial"/>
      <w:sz w:val="16"/>
      <w:szCs w:val="16"/>
    </w:rPr>
  </w:style>
  <w:style w:type="paragraph" w:customStyle="1" w:styleId="xl359">
    <w:name w:val="xl359"/>
    <w:basedOn w:val="Normal"/>
    <w:uiPriority w:val="99"/>
    <w:rsid w:val="009865BB"/>
    <w:pPr>
      <w:pBdr>
        <w:right w:val="single" w:sz="8" w:space="0" w:color="auto"/>
      </w:pBdr>
      <w:shd w:val="clear" w:color="000000" w:fill="FFFFFF"/>
      <w:spacing w:before="100" w:beforeAutospacing="1" w:after="100" w:afterAutospacing="1"/>
      <w:ind w:firstLineChars="500" w:firstLine="500"/>
      <w:textAlignment w:val="center"/>
    </w:pPr>
    <w:rPr>
      <w:rFonts w:cs="Arial"/>
      <w:sz w:val="16"/>
      <w:szCs w:val="16"/>
    </w:rPr>
  </w:style>
  <w:style w:type="paragraph" w:customStyle="1" w:styleId="xl360">
    <w:name w:val="xl360"/>
    <w:basedOn w:val="Normal"/>
    <w:uiPriority w:val="99"/>
    <w:rsid w:val="009865BB"/>
    <w:pPr>
      <w:pBdr>
        <w:right w:val="single" w:sz="8" w:space="0" w:color="auto"/>
      </w:pBdr>
      <w:shd w:val="clear" w:color="000000" w:fill="FFFFFF"/>
      <w:spacing w:before="100" w:beforeAutospacing="1" w:after="100" w:afterAutospacing="1"/>
      <w:ind w:firstLineChars="500" w:firstLine="500"/>
      <w:textAlignment w:val="center"/>
    </w:pPr>
    <w:rPr>
      <w:rFonts w:cs="Arial"/>
      <w:sz w:val="16"/>
      <w:szCs w:val="16"/>
    </w:rPr>
  </w:style>
  <w:style w:type="paragraph" w:customStyle="1" w:styleId="xl361">
    <w:name w:val="xl361"/>
    <w:basedOn w:val="Normal"/>
    <w:uiPriority w:val="99"/>
    <w:rsid w:val="009865BB"/>
    <w:pPr>
      <w:pBdr>
        <w:right w:val="single" w:sz="8" w:space="0" w:color="494529"/>
      </w:pBdr>
      <w:shd w:val="clear" w:color="000000" w:fill="FFFFFF"/>
      <w:spacing w:before="100" w:beforeAutospacing="1" w:after="100" w:afterAutospacing="1"/>
      <w:jc w:val="center"/>
      <w:textAlignment w:val="center"/>
    </w:pPr>
    <w:rPr>
      <w:rFonts w:cs="Arial"/>
      <w:sz w:val="16"/>
      <w:szCs w:val="16"/>
    </w:rPr>
  </w:style>
  <w:style w:type="paragraph" w:customStyle="1" w:styleId="xl362">
    <w:name w:val="xl362"/>
    <w:basedOn w:val="Normal"/>
    <w:uiPriority w:val="99"/>
    <w:rsid w:val="009865BB"/>
    <w:pPr>
      <w:pBdr>
        <w:right w:val="single" w:sz="8" w:space="0" w:color="auto"/>
      </w:pBdr>
      <w:shd w:val="clear" w:color="000000" w:fill="FFFFFF"/>
      <w:spacing w:before="100" w:beforeAutospacing="1" w:after="100" w:afterAutospacing="1"/>
      <w:ind w:firstLineChars="500" w:firstLine="500"/>
      <w:textAlignment w:val="center"/>
    </w:pPr>
    <w:rPr>
      <w:sz w:val="16"/>
      <w:szCs w:val="16"/>
    </w:rPr>
  </w:style>
  <w:style w:type="paragraph" w:customStyle="1" w:styleId="xl363">
    <w:name w:val="xl363"/>
    <w:basedOn w:val="Normal"/>
    <w:uiPriority w:val="99"/>
    <w:rsid w:val="009865BB"/>
    <w:pPr>
      <w:pBdr>
        <w:right w:val="single" w:sz="8" w:space="0" w:color="auto"/>
      </w:pBdr>
      <w:shd w:val="clear" w:color="000000" w:fill="FFFFFF"/>
      <w:spacing w:before="100" w:beforeAutospacing="1" w:after="100" w:afterAutospacing="1"/>
      <w:textAlignment w:val="center"/>
    </w:pPr>
    <w:rPr>
      <w:rFonts w:cs="Arial"/>
      <w:b/>
      <w:bCs/>
      <w:sz w:val="16"/>
      <w:szCs w:val="16"/>
    </w:rPr>
  </w:style>
  <w:style w:type="paragraph" w:customStyle="1" w:styleId="xl364">
    <w:name w:val="xl364"/>
    <w:basedOn w:val="Normal"/>
    <w:uiPriority w:val="99"/>
    <w:rsid w:val="009865BB"/>
    <w:pPr>
      <w:pBdr>
        <w:left w:val="single" w:sz="8" w:space="0" w:color="auto"/>
        <w:right w:val="single" w:sz="8" w:space="0" w:color="333300"/>
      </w:pBdr>
      <w:shd w:val="clear" w:color="000000" w:fill="FFFFFF"/>
      <w:spacing w:before="100" w:beforeAutospacing="1" w:after="100" w:afterAutospacing="1"/>
      <w:jc w:val="right"/>
      <w:textAlignment w:val="center"/>
    </w:pPr>
    <w:rPr>
      <w:rFonts w:cs="Arial"/>
      <w:b/>
      <w:bCs/>
      <w:sz w:val="16"/>
      <w:szCs w:val="16"/>
    </w:rPr>
  </w:style>
  <w:style w:type="paragraph" w:customStyle="1" w:styleId="xl365">
    <w:name w:val="xl365"/>
    <w:basedOn w:val="Normal"/>
    <w:uiPriority w:val="99"/>
    <w:rsid w:val="009865BB"/>
    <w:pPr>
      <w:pBdr>
        <w:right w:val="single" w:sz="8" w:space="0" w:color="auto"/>
      </w:pBdr>
      <w:shd w:val="clear" w:color="000000" w:fill="FFFFFF"/>
      <w:spacing w:before="100" w:beforeAutospacing="1" w:after="100" w:afterAutospacing="1"/>
      <w:ind w:firstLineChars="500" w:firstLine="500"/>
      <w:textAlignment w:val="center"/>
    </w:pPr>
    <w:rPr>
      <w:rFonts w:cs="Arial"/>
      <w:sz w:val="16"/>
      <w:szCs w:val="16"/>
    </w:rPr>
  </w:style>
  <w:style w:type="paragraph" w:customStyle="1" w:styleId="xl366">
    <w:name w:val="xl366"/>
    <w:basedOn w:val="Normal"/>
    <w:uiPriority w:val="99"/>
    <w:rsid w:val="009865BB"/>
    <w:pPr>
      <w:pBdr>
        <w:left w:val="single" w:sz="8" w:space="0" w:color="auto"/>
        <w:right w:val="single" w:sz="8" w:space="0" w:color="333300"/>
      </w:pBdr>
      <w:shd w:val="clear" w:color="000000" w:fill="FFFFFF"/>
      <w:spacing w:before="100" w:beforeAutospacing="1" w:after="100" w:afterAutospacing="1"/>
      <w:jc w:val="right"/>
      <w:textAlignment w:val="center"/>
    </w:pPr>
    <w:rPr>
      <w:rFonts w:cs="Arial"/>
      <w:sz w:val="16"/>
      <w:szCs w:val="16"/>
    </w:rPr>
  </w:style>
  <w:style w:type="paragraph" w:customStyle="1" w:styleId="xl367">
    <w:name w:val="xl367"/>
    <w:basedOn w:val="Normal"/>
    <w:uiPriority w:val="99"/>
    <w:rsid w:val="009865BB"/>
    <w:pPr>
      <w:pBdr>
        <w:top w:val="single" w:sz="8" w:space="0" w:color="333300"/>
        <w:right w:val="single" w:sz="8" w:space="0" w:color="5C5D23"/>
      </w:pBdr>
      <w:shd w:val="clear" w:color="000000" w:fill="DAD9A4"/>
      <w:spacing w:before="100" w:beforeAutospacing="1" w:after="100" w:afterAutospacing="1"/>
      <w:jc w:val="center"/>
      <w:textAlignment w:val="center"/>
    </w:pPr>
    <w:rPr>
      <w:rFonts w:cs="Arial"/>
      <w:sz w:val="16"/>
      <w:szCs w:val="16"/>
    </w:rPr>
  </w:style>
  <w:style w:type="paragraph" w:customStyle="1" w:styleId="xl368">
    <w:name w:val="xl368"/>
    <w:basedOn w:val="Normal"/>
    <w:uiPriority w:val="99"/>
    <w:rsid w:val="009865BB"/>
    <w:pPr>
      <w:pBdr>
        <w:bottom w:val="single" w:sz="8" w:space="0" w:color="333300"/>
        <w:right w:val="single" w:sz="8" w:space="0" w:color="5C5D23"/>
      </w:pBdr>
      <w:shd w:val="clear" w:color="000000" w:fill="DAD9A4"/>
      <w:spacing w:before="100" w:beforeAutospacing="1" w:after="100" w:afterAutospacing="1"/>
      <w:jc w:val="center"/>
      <w:textAlignment w:val="center"/>
    </w:pPr>
    <w:rPr>
      <w:rFonts w:cs="Arial"/>
      <w:sz w:val="16"/>
      <w:szCs w:val="16"/>
    </w:rPr>
  </w:style>
  <w:style w:type="paragraph" w:customStyle="1" w:styleId="xl369">
    <w:name w:val="xl369"/>
    <w:basedOn w:val="Normal"/>
    <w:uiPriority w:val="99"/>
    <w:rsid w:val="009865BB"/>
    <w:pPr>
      <w:pBdr>
        <w:left w:val="single" w:sz="8" w:space="0" w:color="333300"/>
      </w:pBdr>
      <w:shd w:val="clear" w:color="000000" w:fill="FFFFFF"/>
      <w:spacing w:before="100" w:beforeAutospacing="1" w:after="100" w:afterAutospacing="1"/>
    </w:pPr>
    <w:rPr>
      <w:rFonts w:cs="Arial"/>
      <w:sz w:val="16"/>
      <w:szCs w:val="16"/>
    </w:rPr>
  </w:style>
  <w:style w:type="paragraph" w:customStyle="1" w:styleId="xl370">
    <w:name w:val="xl370"/>
    <w:basedOn w:val="Normal"/>
    <w:uiPriority w:val="99"/>
    <w:rsid w:val="009865BB"/>
    <w:pPr>
      <w:pBdr>
        <w:left w:val="single" w:sz="8" w:space="0" w:color="333300"/>
      </w:pBdr>
      <w:shd w:val="clear" w:color="000000" w:fill="FFFFFF"/>
      <w:spacing w:before="100" w:beforeAutospacing="1" w:after="100" w:afterAutospacing="1"/>
    </w:pPr>
    <w:rPr>
      <w:rFonts w:cs="Arial"/>
      <w:b/>
      <w:bCs/>
      <w:sz w:val="16"/>
      <w:szCs w:val="16"/>
    </w:rPr>
  </w:style>
  <w:style w:type="paragraph" w:customStyle="1" w:styleId="xl371">
    <w:name w:val="xl371"/>
    <w:basedOn w:val="Normal"/>
    <w:uiPriority w:val="99"/>
    <w:rsid w:val="009865BB"/>
    <w:pPr>
      <w:shd w:val="clear" w:color="000000" w:fill="FFFFFF"/>
      <w:spacing w:before="100" w:beforeAutospacing="1" w:after="100" w:afterAutospacing="1"/>
      <w:textAlignment w:val="center"/>
    </w:pPr>
    <w:rPr>
      <w:rFonts w:cs="Arial"/>
      <w:sz w:val="16"/>
      <w:szCs w:val="16"/>
    </w:rPr>
  </w:style>
  <w:style w:type="paragraph" w:customStyle="1" w:styleId="xl372">
    <w:name w:val="xl372"/>
    <w:basedOn w:val="Normal"/>
    <w:uiPriority w:val="99"/>
    <w:rsid w:val="009865BB"/>
    <w:pPr>
      <w:pBdr>
        <w:right w:val="single" w:sz="8" w:space="0" w:color="494529"/>
      </w:pBdr>
      <w:shd w:val="clear" w:color="000000" w:fill="FFFFFF"/>
      <w:spacing w:before="100" w:beforeAutospacing="1" w:after="100" w:afterAutospacing="1"/>
      <w:jc w:val="center"/>
      <w:textAlignment w:val="center"/>
    </w:pPr>
    <w:rPr>
      <w:rFonts w:cs="Arial"/>
      <w:b/>
      <w:bCs/>
      <w:sz w:val="16"/>
      <w:szCs w:val="16"/>
    </w:rPr>
  </w:style>
  <w:style w:type="paragraph" w:customStyle="1" w:styleId="xl373">
    <w:name w:val="xl373"/>
    <w:basedOn w:val="Normal"/>
    <w:uiPriority w:val="99"/>
    <w:rsid w:val="009865BB"/>
    <w:pPr>
      <w:pBdr>
        <w:right w:val="single" w:sz="8" w:space="0" w:color="494529"/>
      </w:pBdr>
      <w:shd w:val="clear" w:color="000000" w:fill="FFFFFF"/>
      <w:spacing w:before="100" w:beforeAutospacing="1" w:after="100" w:afterAutospacing="1"/>
      <w:jc w:val="center"/>
      <w:textAlignment w:val="center"/>
    </w:pPr>
    <w:rPr>
      <w:rFonts w:cs="Arial"/>
      <w:b/>
      <w:bCs/>
      <w:sz w:val="16"/>
      <w:szCs w:val="16"/>
    </w:rPr>
  </w:style>
  <w:style w:type="paragraph" w:customStyle="1" w:styleId="xl374">
    <w:name w:val="xl374"/>
    <w:basedOn w:val="Normal"/>
    <w:uiPriority w:val="99"/>
    <w:rsid w:val="009865BB"/>
    <w:pPr>
      <w:pBdr>
        <w:right w:val="single" w:sz="8" w:space="0" w:color="auto"/>
      </w:pBdr>
      <w:shd w:val="clear" w:color="000000" w:fill="FFFFFF"/>
      <w:spacing w:before="100" w:beforeAutospacing="1" w:after="100" w:afterAutospacing="1"/>
      <w:ind w:firstLineChars="300" w:firstLine="300"/>
      <w:textAlignment w:val="center"/>
    </w:pPr>
    <w:rPr>
      <w:rFonts w:cs="Arial"/>
      <w:b/>
      <w:bCs/>
      <w:sz w:val="16"/>
      <w:szCs w:val="16"/>
    </w:rPr>
  </w:style>
  <w:style w:type="paragraph" w:customStyle="1" w:styleId="xl375">
    <w:name w:val="xl375"/>
    <w:basedOn w:val="Normal"/>
    <w:uiPriority w:val="99"/>
    <w:rsid w:val="009865BB"/>
    <w:pPr>
      <w:pBdr>
        <w:top w:val="single" w:sz="8" w:space="0" w:color="494529"/>
        <w:bottom w:val="single" w:sz="8" w:space="0" w:color="494529"/>
        <w:right w:val="single" w:sz="8" w:space="0" w:color="494529"/>
      </w:pBdr>
      <w:shd w:val="clear" w:color="000000" w:fill="FFFFFF"/>
      <w:spacing w:before="100" w:beforeAutospacing="1" w:after="100" w:afterAutospacing="1"/>
      <w:jc w:val="center"/>
      <w:textAlignment w:val="center"/>
    </w:pPr>
    <w:rPr>
      <w:b/>
      <w:bCs/>
      <w:sz w:val="16"/>
      <w:szCs w:val="16"/>
    </w:rPr>
  </w:style>
  <w:style w:type="paragraph" w:customStyle="1" w:styleId="xl376">
    <w:name w:val="xl376"/>
    <w:basedOn w:val="Normal"/>
    <w:uiPriority w:val="99"/>
    <w:rsid w:val="009865BB"/>
    <w:pPr>
      <w:pBdr>
        <w:top w:val="single" w:sz="8" w:space="0" w:color="auto"/>
        <w:left w:val="single" w:sz="8" w:space="0" w:color="auto"/>
        <w:bottom w:val="single" w:sz="8" w:space="0" w:color="auto"/>
        <w:right w:val="single" w:sz="8" w:space="0" w:color="333300"/>
      </w:pBdr>
      <w:shd w:val="clear" w:color="000000" w:fill="FFFFFF"/>
      <w:spacing w:before="100" w:beforeAutospacing="1" w:after="100" w:afterAutospacing="1"/>
      <w:jc w:val="right"/>
      <w:textAlignment w:val="center"/>
    </w:pPr>
    <w:rPr>
      <w:rFonts w:cs="Arial"/>
      <w:b/>
      <w:bCs/>
      <w:sz w:val="16"/>
      <w:szCs w:val="16"/>
    </w:rPr>
  </w:style>
  <w:style w:type="paragraph" w:customStyle="1" w:styleId="xl377">
    <w:name w:val="xl377"/>
    <w:basedOn w:val="Normal"/>
    <w:uiPriority w:val="99"/>
    <w:rsid w:val="009865BB"/>
    <w:pPr>
      <w:pBdr>
        <w:top w:val="single" w:sz="8" w:space="0" w:color="333300"/>
        <w:left w:val="single" w:sz="8" w:space="0" w:color="333300"/>
      </w:pBdr>
      <w:shd w:val="clear" w:color="000000" w:fill="FFFFFF"/>
      <w:spacing w:before="100" w:beforeAutospacing="1" w:after="100" w:afterAutospacing="1"/>
      <w:textAlignment w:val="center"/>
    </w:pPr>
    <w:rPr>
      <w:rFonts w:cs="Arial"/>
      <w:b/>
      <w:bCs/>
      <w:sz w:val="16"/>
      <w:szCs w:val="16"/>
    </w:rPr>
  </w:style>
  <w:style w:type="paragraph" w:customStyle="1" w:styleId="xl378">
    <w:name w:val="xl378"/>
    <w:basedOn w:val="Normal"/>
    <w:uiPriority w:val="99"/>
    <w:rsid w:val="009865BB"/>
    <w:pPr>
      <w:pBdr>
        <w:right w:val="single" w:sz="8" w:space="0" w:color="auto"/>
      </w:pBdr>
      <w:shd w:val="clear" w:color="000000" w:fill="FFFFFF"/>
      <w:spacing w:before="100" w:beforeAutospacing="1" w:after="100" w:afterAutospacing="1"/>
      <w:textAlignment w:val="center"/>
    </w:pPr>
    <w:rPr>
      <w:rFonts w:cs="Arial"/>
      <w:b/>
      <w:bCs/>
      <w:sz w:val="16"/>
      <w:szCs w:val="16"/>
    </w:rPr>
  </w:style>
  <w:style w:type="paragraph" w:customStyle="1" w:styleId="xl379">
    <w:name w:val="xl379"/>
    <w:basedOn w:val="Normal"/>
    <w:uiPriority w:val="99"/>
    <w:rsid w:val="009865BB"/>
    <w:pPr>
      <w:pBdr>
        <w:left w:val="single" w:sz="8" w:space="0" w:color="333300"/>
      </w:pBdr>
      <w:shd w:val="clear" w:color="000000" w:fill="FFFFFF"/>
      <w:spacing w:before="100" w:beforeAutospacing="1" w:after="100" w:afterAutospacing="1"/>
      <w:textAlignment w:val="center"/>
    </w:pPr>
    <w:rPr>
      <w:rFonts w:cs="Arial"/>
      <w:b/>
      <w:bCs/>
      <w:sz w:val="16"/>
      <w:szCs w:val="16"/>
    </w:rPr>
  </w:style>
  <w:style w:type="paragraph" w:customStyle="1" w:styleId="xl380">
    <w:name w:val="xl380"/>
    <w:basedOn w:val="Normal"/>
    <w:uiPriority w:val="99"/>
    <w:rsid w:val="009865BB"/>
    <w:pPr>
      <w:pBdr>
        <w:left w:val="single" w:sz="8" w:space="0" w:color="333300"/>
      </w:pBdr>
      <w:shd w:val="clear" w:color="000000" w:fill="FFFFFF"/>
      <w:spacing w:before="100" w:beforeAutospacing="1" w:after="100" w:afterAutospacing="1"/>
      <w:textAlignment w:val="center"/>
    </w:pPr>
    <w:rPr>
      <w:rFonts w:cs="Arial"/>
      <w:sz w:val="16"/>
      <w:szCs w:val="16"/>
    </w:rPr>
  </w:style>
  <w:style w:type="paragraph" w:customStyle="1" w:styleId="xl381">
    <w:name w:val="xl381"/>
    <w:basedOn w:val="Normal"/>
    <w:uiPriority w:val="99"/>
    <w:rsid w:val="009865BB"/>
    <w:pPr>
      <w:pBdr>
        <w:top w:val="single" w:sz="8" w:space="0" w:color="333300"/>
        <w:bottom w:val="single" w:sz="8" w:space="0" w:color="333300"/>
        <w:right w:val="single" w:sz="8" w:space="0" w:color="auto"/>
      </w:pBdr>
      <w:shd w:val="clear" w:color="000000" w:fill="FFFFFF"/>
      <w:spacing w:before="100" w:beforeAutospacing="1" w:after="100" w:afterAutospacing="1"/>
      <w:jc w:val="center"/>
      <w:textAlignment w:val="center"/>
    </w:pPr>
    <w:rPr>
      <w:rFonts w:cs="Arial"/>
      <w:b/>
      <w:bCs/>
      <w:sz w:val="16"/>
      <w:szCs w:val="16"/>
    </w:rPr>
  </w:style>
  <w:style w:type="paragraph" w:customStyle="1" w:styleId="xl382">
    <w:name w:val="xl382"/>
    <w:basedOn w:val="Normal"/>
    <w:uiPriority w:val="99"/>
    <w:rsid w:val="009865BB"/>
    <w:pPr>
      <w:pBdr>
        <w:top w:val="single" w:sz="8" w:space="0" w:color="auto"/>
        <w:left w:val="single" w:sz="8" w:space="0" w:color="333300"/>
        <w:bottom w:val="single" w:sz="8" w:space="0" w:color="auto"/>
      </w:pBdr>
      <w:shd w:val="clear" w:color="000000" w:fill="FFFFFF"/>
      <w:spacing w:before="100" w:beforeAutospacing="1" w:after="100" w:afterAutospacing="1"/>
      <w:textAlignment w:val="center"/>
    </w:pPr>
    <w:rPr>
      <w:rFonts w:cs="Arial"/>
      <w:b/>
      <w:bCs/>
      <w:sz w:val="16"/>
      <w:szCs w:val="16"/>
    </w:rPr>
  </w:style>
  <w:style w:type="paragraph" w:customStyle="1" w:styleId="xl383">
    <w:name w:val="xl383"/>
    <w:basedOn w:val="Normal"/>
    <w:uiPriority w:val="99"/>
    <w:rsid w:val="009865BB"/>
    <w:pPr>
      <w:pBdr>
        <w:left w:val="single" w:sz="12" w:space="0" w:color="00B050"/>
        <w:right w:val="single" w:sz="8" w:space="0" w:color="494529"/>
      </w:pBdr>
      <w:shd w:val="clear" w:color="000000" w:fill="FFFFFF"/>
      <w:spacing w:before="100" w:beforeAutospacing="1" w:after="100" w:afterAutospacing="1"/>
      <w:jc w:val="center"/>
      <w:textAlignment w:val="center"/>
    </w:pPr>
    <w:rPr>
      <w:rFonts w:cs="Arial"/>
      <w:sz w:val="16"/>
      <w:szCs w:val="16"/>
    </w:rPr>
  </w:style>
  <w:style w:type="paragraph" w:customStyle="1" w:styleId="xl384">
    <w:name w:val="xl384"/>
    <w:basedOn w:val="Normal"/>
    <w:uiPriority w:val="99"/>
    <w:rsid w:val="009865BB"/>
    <w:pPr>
      <w:pBdr>
        <w:left w:val="single" w:sz="8" w:space="0" w:color="333300"/>
      </w:pBdr>
      <w:shd w:val="clear" w:color="000000" w:fill="FFFFFF"/>
      <w:spacing w:before="100" w:beforeAutospacing="1" w:after="100" w:afterAutospacing="1"/>
      <w:textAlignment w:val="center"/>
    </w:pPr>
    <w:rPr>
      <w:rFonts w:cs="Arial"/>
      <w:color w:val="16365C"/>
      <w:sz w:val="16"/>
      <w:szCs w:val="16"/>
    </w:rPr>
  </w:style>
  <w:style w:type="paragraph" w:customStyle="1" w:styleId="xl385">
    <w:name w:val="xl385"/>
    <w:basedOn w:val="Normal"/>
    <w:uiPriority w:val="99"/>
    <w:rsid w:val="009865BB"/>
    <w:pPr>
      <w:pBdr>
        <w:bottom w:val="single" w:sz="8" w:space="0" w:color="333300"/>
      </w:pBdr>
      <w:spacing w:before="100" w:beforeAutospacing="1" w:after="100" w:afterAutospacing="1"/>
      <w:jc w:val="right"/>
      <w:textAlignment w:val="center"/>
    </w:pPr>
    <w:rPr>
      <w:rFonts w:cs="Arial"/>
      <w:sz w:val="16"/>
      <w:szCs w:val="16"/>
    </w:rPr>
  </w:style>
  <w:style w:type="paragraph" w:customStyle="1" w:styleId="xl386">
    <w:name w:val="xl386"/>
    <w:basedOn w:val="Normal"/>
    <w:uiPriority w:val="99"/>
    <w:rsid w:val="009865BB"/>
    <w:pPr>
      <w:pBdr>
        <w:top w:val="single" w:sz="8" w:space="0" w:color="333300"/>
        <w:left w:val="single" w:sz="8" w:space="0" w:color="5C5D23"/>
        <w:right w:val="single" w:sz="8" w:space="0" w:color="5C5D23"/>
      </w:pBdr>
      <w:shd w:val="clear" w:color="000000" w:fill="DAD9A4"/>
      <w:spacing w:before="100" w:beforeAutospacing="1" w:after="100" w:afterAutospacing="1"/>
      <w:jc w:val="center"/>
      <w:textAlignment w:val="center"/>
    </w:pPr>
    <w:rPr>
      <w:rFonts w:cs="Arial"/>
      <w:sz w:val="16"/>
      <w:szCs w:val="16"/>
    </w:rPr>
  </w:style>
  <w:style w:type="paragraph" w:customStyle="1" w:styleId="xl387">
    <w:name w:val="xl387"/>
    <w:basedOn w:val="Normal"/>
    <w:uiPriority w:val="99"/>
    <w:rsid w:val="009865BB"/>
    <w:pPr>
      <w:pBdr>
        <w:left w:val="single" w:sz="8" w:space="0" w:color="5C5D23"/>
        <w:bottom w:val="single" w:sz="8" w:space="0" w:color="333300"/>
        <w:right w:val="single" w:sz="8" w:space="0" w:color="5C5D23"/>
      </w:pBdr>
      <w:shd w:val="clear" w:color="000000" w:fill="DAD9A4"/>
      <w:spacing w:before="100" w:beforeAutospacing="1" w:after="100" w:afterAutospacing="1"/>
      <w:jc w:val="center"/>
      <w:textAlignment w:val="center"/>
    </w:pPr>
    <w:rPr>
      <w:rFonts w:cs="Arial"/>
      <w:sz w:val="16"/>
      <w:szCs w:val="16"/>
    </w:rPr>
  </w:style>
  <w:style w:type="paragraph" w:customStyle="1" w:styleId="xl388">
    <w:name w:val="xl388"/>
    <w:basedOn w:val="Normal"/>
    <w:uiPriority w:val="99"/>
    <w:rsid w:val="009865BB"/>
    <w:pPr>
      <w:pBdr>
        <w:top w:val="single" w:sz="8" w:space="0" w:color="333300"/>
        <w:left w:val="single" w:sz="8" w:space="0" w:color="5C5D23"/>
        <w:bottom w:val="single" w:sz="8" w:space="0" w:color="333300"/>
      </w:pBdr>
      <w:shd w:val="clear" w:color="000000" w:fill="DAD9A4"/>
      <w:spacing w:before="100" w:beforeAutospacing="1" w:after="100" w:afterAutospacing="1"/>
      <w:jc w:val="center"/>
      <w:textAlignment w:val="center"/>
    </w:pPr>
    <w:rPr>
      <w:rFonts w:cs="Arial"/>
      <w:sz w:val="16"/>
      <w:szCs w:val="16"/>
    </w:rPr>
  </w:style>
  <w:style w:type="paragraph" w:customStyle="1" w:styleId="xl389">
    <w:name w:val="xl389"/>
    <w:basedOn w:val="Normal"/>
    <w:uiPriority w:val="99"/>
    <w:rsid w:val="009865BB"/>
    <w:pPr>
      <w:pBdr>
        <w:top w:val="single" w:sz="8" w:space="0" w:color="333300"/>
        <w:bottom w:val="single" w:sz="8" w:space="0" w:color="333300"/>
      </w:pBdr>
      <w:shd w:val="clear" w:color="000000" w:fill="DAD9A4"/>
      <w:spacing w:before="100" w:beforeAutospacing="1" w:after="100" w:afterAutospacing="1"/>
      <w:jc w:val="center"/>
      <w:textAlignment w:val="center"/>
    </w:pPr>
    <w:rPr>
      <w:rFonts w:cs="Arial"/>
      <w:sz w:val="16"/>
      <w:szCs w:val="16"/>
    </w:rPr>
  </w:style>
  <w:style w:type="paragraph" w:customStyle="1" w:styleId="xl390">
    <w:name w:val="xl390"/>
    <w:basedOn w:val="Normal"/>
    <w:uiPriority w:val="99"/>
    <w:rsid w:val="009865BB"/>
    <w:pPr>
      <w:pBdr>
        <w:top w:val="single" w:sz="8" w:space="0" w:color="333300"/>
        <w:bottom w:val="single" w:sz="8" w:space="0" w:color="333300"/>
        <w:right w:val="single" w:sz="8" w:space="0" w:color="333300"/>
      </w:pBdr>
      <w:shd w:val="clear" w:color="000000" w:fill="DAD9A4"/>
      <w:spacing w:before="100" w:beforeAutospacing="1" w:after="100" w:afterAutospacing="1"/>
      <w:jc w:val="center"/>
      <w:textAlignment w:val="center"/>
    </w:pPr>
    <w:rPr>
      <w:rFonts w:cs="Arial"/>
      <w:sz w:val="16"/>
      <w:szCs w:val="16"/>
    </w:rPr>
  </w:style>
  <w:style w:type="paragraph" w:customStyle="1" w:styleId="xl391">
    <w:name w:val="xl391"/>
    <w:basedOn w:val="Normal"/>
    <w:uiPriority w:val="99"/>
    <w:rsid w:val="009865BB"/>
    <w:pPr>
      <w:pBdr>
        <w:top w:val="single" w:sz="8" w:space="0" w:color="333300"/>
        <w:left w:val="single" w:sz="8" w:space="0" w:color="5C5D23"/>
      </w:pBdr>
      <w:shd w:val="clear" w:color="000000" w:fill="DAD9A4"/>
      <w:spacing w:before="100" w:beforeAutospacing="1" w:after="100" w:afterAutospacing="1"/>
      <w:jc w:val="center"/>
      <w:textAlignment w:val="center"/>
    </w:pPr>
    <w:rPr>
      <w:rFonts w:cs="Arial"/>
      <w:sz w:val="16"/>
      <w:szCs w:val="16"/>
    </w:rPr>
  </w:style>
  <w:style w:type="paragraph" w:customStyle="1" w:styleId="xl392">
    <w:name w:val="xl392"/>
    <w:basedOn w:val="Normal"/>
    <w:uiPriority w:val="99"/>
    <w:rsid w:val="009865BB"/>
    <w:pPr>
      <w:pBdr>
        <w:left w:val="single" w:sz="8" w:space="0" w:color="5C5D23"/>
        <w:bottom w:val="single" w:sz="8" w:space="0" w:color="333300"/>
      </w:pBdr>
      <w:shd w:val="clear" w:color="000000" w:fill="DAD9A4"/>
      <w:spacing w:before="100" w:beforeAutospacing="1" w:after="100" w:afterAutospacing="1"/>
      <w:jc w:val="center"/>
      <w:textAlignment w:val="center"/>
    </w:pPr>
    <w:rPr>
      <w:rFonts w:cs="Arial"/>
      <w:sz w:val="16"/>
      <w:szCs w:val="16"/>
    </w:rPr>
  </w:style>
  <w:style w:type="table" w:customStyle="1" w:styleId="Tabelacomgrade1">
    <w:name w:val="Tabela com grade1"/>
    <w:basedOn w:val="Tabelanormal"/>
    <w:next w:val="Tabelacomgrade"/>
    <w:uiPriority w:val="59"/>
    <w:rsid w:val="00527EB7"/>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2">
    <w:name w:val="Tabela com grade2"/>
    <w:basedOn w:val="Tabelanormal"/>
    <w:next w:val="Tabelacomgrade"/>
    <w:uiPriority w:val="59"/>
    <w:rsid w:val="00527EB7"/>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T">
    <w:name w:val="IT"/>
    <w:basedOn w:val="Normal"/>
    <w:link w:val="ITChar"/>
    <w:rsid w:val="00527EB7"/>
    <w:pPr>
      <w:spacing w:line="360" w:lineRule="auto"/>
    </w:pPr>
    <w:rPr>
      <w:rFonts w:eastAsiaTheme="minorHAnsi" w:cstheme="minorBidi"/>
      <w:lang w:eastAsia="en-US"/>
    </w:rPr>
  </w:style>
  <w:style w:type="character" w:customStyle="1" w:styleId="ITChar">
    <w:name w:val="IT Char"/>
    <w:basedOn w:val="Fontepargpadro"/>
    <w:link w:val="IT"/>
    <w:rsid w:val="00527EB7"/>
    <w:rPr>
      <w:rFonts w:ascii="Ecofont Vera Sans" w:eastAsiaTheme="minorHAnsi" w:hAnsi="Ecofont Vera Sans" w:cstheme="minorBidi"/>
      <w:sz w:val="22"/>
      <w:szCs w:val="22"/>
      <w:lang w:eastAsia="en-US"/>
    </w:rPr>
  </w:style>
  <w:style w:type="table" w:customStyle="1" w:styleId="Tabelacomgrade3">
    <w:name w:val="Tabela com grade3"/>
    <w:basedOn w:val="Tabelanormal"/>
    <w:next w:val="Tabelacomgrade"/>
    <w:uiPriority w:val="59"/>
    <w:rsid w:val="00527EB7"/>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aoTecnica">
    <w:name w:val="Instrucao Tecnica"/>
    <w:basedOn w:val="Normal"/>
    <w:link w:val="InstrucaoTecnicaChar"/>
    <w:rsid w:val="00527EB7"/>
    <w:pPr>
      <w:spacing w:line="360" w:lineRule="auto"/>
    </w:pPr>
    <w:rPr>
      <w:rFonts w:eastAsiaTheme="minorEastAsia" w:cs="Arial"/>
    </w:rPr>
  </w:style>
  <w:style w:type="character" w:customStyle="1" w:styleId="InstrucaoTecnicaChar">
    <w:name w:val="Instrucao Tecnica Char"/>
    <w:basedOn w:val="Fontepargpadro"/>
    <w:link w:val="InstrucaoTecnica"/>
    <w:rsid w:val="00527EB7"/>
    <w:rPr>
      <w:rFonts w:ascii="Ecofont Vera Sans" w:eastAsiaTheme="minorEastAsia" w:hAnsi="Ecofont Vera Sans" w:cs="Arial"/>
      <w:sz w:val="22"/>
      <w:szCs w:val="22"/>
    </w:rPr>
  </w:style>
  <w:style w:type="table" w:customStyle="1" w:styleId="Tabelacomgrade4">
    <w:name w:val="Tabela com grade4"/>
    <w:basedOn w:val="Tabelanormal"/>
    <w:next w:val="Tabelacomgrade"/>
    <w:uiPriority w:val="59"/>
    <w:rsid w:val="00527EB7"/>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5">
    <w:name w:val="Tabela com grade5"/>
    <w:basedOn w:val="Tabelanormal"/>
    <w:next w:val="Tabelacomgrade"/>
    <w:uiPriority w:val="59"/>
    <w:rsid w:val="00527EB7"/>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6">
    <w:name w:val="Tabela com grade6"/>
    <w:basedOn w:val="Tabelanormal"/>
    <w:next w:val="Tabelacomgrade"/>
    <w:uiPriority w:val="59"/>
    <w:rsid w:val="00527EB7"/>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7">
    <w:name w:val="Tabela com grade7"/>
    <w:basedOn w:val="Tabelanormal"/>
    <w:next w:val="Tabelacomgrade"/>
    <w:uiPriority w:val="59"/>
    <w:rsid w:val="00527EB7"/>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PargrafodaListaJustificado">
    <w:name w:val="Estilo Parágrafo da Lista + Justificado"/>
    <w:basedOn w:val="PargrafodaLista"/>
    <w:autoRedefine/>
    <w:uiPriority w:val="99"/>
    <w:rsid w:val="008D1653"/>
    <w:pPr>
      <w:numPr>
        <w:numId w:val="25"/>
      </w:numPr>
      <w:tabs>
        <w:tab w:val="left" w:pos="680"/>
      </w:tabs>
      <w:spacing w:before="120" w:after="120"/>
      <w:ind w:left="1928" w:hanging="227"/>
    </w:pPr>
    <w:rPr>
      <w:lang w:eastAsia="en-US"/>
    </w:rPr>
  </w:style>
  <w:style w:type="paragraph" w:customStyle="1" w:styleId="1-emR1-8ptDIR">
    <w:name w:val="1 - em R$1 - 8 pt DIR"/>
    <w:basedOn w:val="Normal"/>
    <w:uiPriority w:val="99"/>
    <w:qFormat/>
    <w:rsid w:val="002E4E5C"/>
    <w:pPr>
      <w:spacing w:before="80"/>
      <w:jc w:val="right"/>
    </w:pPr>
    <w:rPr>
      <w:sz w:val="16"/>
      <w:lang w:eastAsia="en-US"/>
    </w:rPr>
  </w:style>
  <w:style w:type="paragraph" w:customStyle="1" w:styleId="xl332">
    <w:name w:val="xl332"/>
    <w:basedOn w:val="Normal"/>
    <w:uiPriority w:val="99"/>
    <w:rsid w:val="00E757C4"/>
    <w:pPr>
      <w:shd w:val="clear" w:color="000000" w:fill="FFFFFF"/>
      <w:spacing w:before="100" w:beforeAutospacing="1" w:after="100" w:afterAutospacing="1"/>
      <w:textAlignment w:val="center"/>
    </w:pPr>
    <w:rPr>
      <w:rFonts w:cs="Arial"/>
      <w:sz w:val="24"/>
      <w:szCs w:val="24"/>
    </w:rPr>
  </w:style>
  <w:style w:type="paragraph" w:customStyle="1" w:styleId="font12">
    <w:name w:val="font12"/>
    <w:basedOn w:val="Normal"/>
    <w:uiPriority w:val="99"/>
    <w:rsid w:val="00A56796"/>
    <w:pPr>
      <w:spacing w:before="100" w:beforeAutospacing="1" w:after="100" w:afterAutospacing="1"/>
    </w:pPr>
    <w:rPr>
      <w:rFonts w:ascii="Tahoma" w:hAnsi="Tahoma" w:cs="Tahoma"/>
      <w:color w:val="000000"/>
      <w:sz w:val="28"/>
      <w:szCs w:val="28"/>
    </w:rPr>
  </w:style>
  <w:style w:type="paragraph" w:customStyle="1" w:styleId="xl49305">
    <w:name w:val="xl49305"/>
    <w:basedOn w:val="Normal"/>
    <w:uiPriority w:val="99"/>
    <w:rsid w:val="00A56796"/>
    <w:pPr>
      <w:shd w:val="clear" w:color="000000" w:fill="FFFFFF"/>
      <w:spacing w:before="100" w:beforeAutospacing="1" w:after="100" w:afterAutospacing="1"/>
      <w:textAlignment w:val="center"/>
    </w:pPr>
    <w:rPr>
      <w:rFonts w:ascii="Calibri" w:hAnsi="Calibri"/>
      <w:sz w:val="24"/>
      <w:szCs w:val="24"/>
    </w:rPr>
  </w:style>
  <w:style w:type="paragraph" w:customStyle="1" w:styleId="xl49306">
    <w:name w:val="xl49306"/>
    <w:basedOn w:val="Normal"/>
    <w:uiPriority w:val="99"/>
    <w:rsid w:val="00A56796"/>
    <w:pPr>
      <w:shd w:val="clear" w:color="000000" w:fill="FFFFFF"/>
      <w:spacing w:before="100" w:beforeAutospacing="1" w:after="100" w:afterAutospacing="1"/>
    </w:pPr>
    <w:rPr>
      <w:rFonts w:ascii="Calibri" w:hAnsi="Calibri"/>
      <w:color w:val="C4BD97"/>
      <w:sz w:val="24"/>
      <w:szCs w:val="24"/>
    </w:rPr>
  </w:style>
  <w:style w:type="paragraph" w:customStyle="1" w:styleId="xl49307">
    <w:name w:val="xl49307"/>
    <w:basedOn w:val="Normal"/>
    <w:uiPriority w:val="99"/>
    <w:rsid w:val="00A56796"/>
    <w:pPr>
      <w:shd w:val="clear" w:color="000000" w:fill="FFFFFF"/>
      <w:spacing w:before="100" w:beforeAutospacing="1" w:after="100" w:afterAutospacing="1"/>
    </w:pPr>
    <w:rPr>
      <w:rFonts w:ascii="Calibri" w:hAnsi="Calibri"/>
      <w:sz w:val="24"/>
      <w:szCs w:val="24"/>
    </w:rPr>
  </w:style>
  <w:style w:type="paragraph" w:customStyle="1" w:styleId="xl49308">
    <w:name w:val="xl49308"/>
    <w:basedOn w:val="Normal"/>
    <w:uiPriority w:val="99"/>
    <w:rsid w:val="00A56796"/>
    <w:pPr>
      <w:shd w:val="clear" w:color="000000" w:fill="FFFFFF"/>
      <w:spacing w:before="100" w:beforeAutospacing="1" w:after="100" w:afterAutospacing="1"/>
    </w:pPr>
    <w:rPr>
      <w:rFonts w:ascii="Calibri" w:hAnsi="Calibri"/>
      <w:sz w:val="24"/>
      <w:szCs w:val="24"/>
    </w:rPr>
  </w:style>
  <w:style w:type="paragraph" w:customStyle="1" w:styleId="xl49309">
    <w:name w:val="xl49309"/>
    <w:basedOn w:val="Normal"/>
    <w:uiPriority w:val="99"/>
    <w:rsid w:val="00A56796"/>
    <w:pPr>
      <w:shd w:val="clear" w:color="000000" w:fill="FFFFFF"/>
      <w:spacing w:before="100" w:beforeAutospacing="1" w:after="100" w:afterAutospacing="1"/>
    </w:pPr>
    <w:rPr>
      <w:sz w:val="16"/>
      <w:szCs w:val="16"/>
    </w:rPr>
  </w:style>
  <w:style w:type="paragraph" w:customStyle="1" w:styleId="xl49310">
    <w:name w:val="xl49310"/>
    <w:basedOn w:val="Normal"/>
    <w:uiPriority w:val="99"/>
    <w:rsid w:val="00A56796"/>
    <w:pPr>
      <w:pBdr>
        <w:top w:val="single" w:sz="4" w:space="0" w:color="auto"/>
        <w:left w:val="single" w:sz="4" w:space="0" w:color="auto"/>
        <w:bottom w:val="single" w:sz="4" w:space="0" w:color="auto"/>
        <w:right w:val="single" w:sz="4" w:space="0" w:color="auto"/>
      </w:pBdr>
      <w:shd w:val="clear" w:color="C0C0C0" w:fill="D4D3AB"/>
      <w:spacing w:before="100" w:beforeAutospacing="1" w:after="100" w:afterAutospacing="1"/>
      <w:jc w:val="center"/>
    </w:pPr>
    <w:rPr>
      <w:b/>
      <w:bCs/>
      <w:color w:val="1F497D"/>
      <w:sz w:val="28"/>
      <w:szCs w:val="28"/>
    </w:rPr>
  </w:style>
  <w:style w:type="paragraph" w:customStyle="1" w:styleId="xl49311">
    <w:name w:val="xl49311"/>
    <w:basedOn w:val="Normal"/>
    <w:uiPriority w:val="99"/>
    <w:rsid w:val="00A56796"/>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jc w:val="center"/>
    </w:pPr>
    <w:rPr>
      <w:b/>
      <w:bCs/>
      <w:color w:val="FFFFFF"/>
      <w:sz w:val="32"/>
      <w:szCs w:val="32"/>
    </w:rPr>
  </w:style>
  <w:style w:type="paragraph" w:customStyle="1" w:styleId="xl49312">
    <w:name w:val="xl49312"/>
    <w:basedOn w:val="Normal"/>
    <w:uiPriority w:val="99"/>
    <w:rsid w:val="00A56796"/>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pPr>
    <w:rPr>
      <w:b/>
      <w:bCs/>
      <w:color w:val="948A54"/>
      <w:sz w:val="32"/>
      <w:szCs w:val="32"/>
    </w:rPr>
  </w:style>
  <w:style w:type="paragraph" w:customStyle="1" w:styleId="xl49313">
    <w:name w:val="xl49313"/>
    <w:basedOn w:val="Normal"/>
    <w:uiPriority w:val="99"/>
    <w:rsid w:val="00A56796"/>
    <w:pPr>
      <w:shd w:val="clear" w:color="000000" w:fill="auto"/>
      <w:spacing w:before="100" w:beforeAutospacing="1" w:after="100" w:afterAutospacing="1"/>
    </w:pPr>
    <w:rPr>
      <w:color w:val="7030A0"/>
      <w:sz w:val="24"/>
      <w:szCs w:val="24"/>
    </w:rPr>
  </w:style>
  <w:style w:type="paragraph" w:customStyle="1" w:styleId="xl49314">
    <w:name w:val="xl49314"/>
    <w:basedOn w:val="Normal"/>
    <w:uiPriority w:val="99"/>
    <w:rsid w:val="00A56796"/>
    <w:pPr>
      <w:shd w:val="clear" w:color="000000" w:fill="auto"/>
      <w:spacing w:before="100" w:beforeAutospacing="1" w:after="100" w:afterAutospacing="1"/>
    </w:pPr>
    <w:rPr>
      <w:color w:val="7030A0"/>
      <w:sz w:val="24"/>
      <w:szCs w:val="24"/>
    </w:rPr>
  </w:style>
  <w:style w:type="paragraph" w:customStyle="1" w:styleId="xl49315">
    <w:name w:val="xl49315"/>
    <w:basedOn w:val="Normal"/>
    <w:uiPriority w:val="99"/>
    <w:rsid w:val="00A56796"/>
    <w:pPr>
      <w:pBdr>
        <w:top w:val="single" w:sz="8" w:space="0" w:color="333300"/>
        <w:left w:val="single" w:sz="8" w:space="0" w:color="333300"/>
      </w:pBdr>
      <w:shd w:val="clear" w:color="C0C0C0" w:fill="D4D3AB"/>
      <w:spacing w:before="100" w:beforeAutospacing="1" w:after="100" w:afterAutospacing="1"/>
      <w:jc w:val="center"/>
    </w:pPr>
    <w:rPr>
      <w:color w:val="7030A0"/>
    </w:rPr>
  </w:style>
  <w:style w:type="paragraph" w:customStyle="1" w:styleId="xl49316">
    <w:name w:val="xl49316"/>
    <w:basedOn w:val="Normal"/>
    <w:uiPriority w:val="99"/>
    <w:rsid w:val="00A56796"/>
    <w:pPr>
      <w:pBdr>
        <w:left w:val="single" w:sz="8" w:space="0" w:color="333300"/>
        <w:bottom w:val="single" w:sz="8" w:space="0" w:color="333300"/>
        <w:right w:val="single" w:sz="8" w:space="0" w:color="333300"/>
      </w:pBdr>
      <w:shd w:val="clear" w:color="C0C0C0" w:fill="D4D3AB"/>
      <w:spacing w:before="100" w:beforeAutospacing="1" w:after="100" w:afterAutospacing="1"/>
      <w:jc w:val="center"/>
    </w:pPr>
    <w:rPr>
      <w:color w:val="7030A0"/>
    </w:rPr>
  </w:style>
  <w:style w:type="paragraph" w:customStyle="1" w:styleId="xl49317">
    <w:name w:val="xl49317"/>
    <w:basedOn w:val="Normal"/>
    <w:uiPriority w:val="99"/>
    <w:rsid w:val="00A56796"/>
    <w:pPr>
      <w:pBdr>
        <w:top w:val="single" w:sz="8" w:space="0" w:color="333300"/>
        <w:left w:val="single" w:sz="8" w:space="0" w:color="333300"/>
        <w:bottom w:val="single" w:sz="8" w:space="0" w:color="333300"/>
        <w:right w:val="single" w:sz="8" w:space="0" w:color="333300"/>
      </w:pBdr>
      <w:shd w:val="clear" w:color="C0C0C0" w:fill="D4D3AB"/>
      <w:spacing w:before="100" w:beforeAutospacing="1" w:after="100" w:afterAutospacing="1"/>
      <w:jc w:val="center"/>
    </w:pPr>
    <w:rPr>
      <w:color w:val="7030A0"/>
    </w:rPr>
  </w:style>
  <w:style w:type="paragraph" w:customStyle="1" w:styleId="xl49318">
    <w:name w:val="xl49318"/>
    <w:basedOn w:val="Normal"/>
    <w:uiPriority w:val="99"/>
    <w:rsid w:val="00A56796"/>
    <w:pPr>
      <w:pBdr>
        <w:left w:val="single" w:sz="8" w:space="0" w:color="333300"/>
        <w:bottom w:val="single" w:sz="8" w:space="0" w:color="333300"/>
      </w:pBdr>
      <w:shd w:val="clear" w:color="C0C0C0" w:fill="D4D3AB"/>
      <w:spacing w:before="100" w:beforeAutospacing="1" w:after="100" w:afterAutospacing="1"/>
      <w:jc w:val="center"/>
    </w:pPr>
    <w:rPr>
      <w:color w:val="7030A0"/>
    </w:rPr>
  </w:style>
  <w:style w:type="paragraph" w:customStyle="1" w:styleId="xl49319">
    <w:name w:val="xl49319"/>
    <w:basedOn w:val="Normal"/>
    <w:uiPriority w:val="99"/>
    <w:rsid w:val="00A56796"/>
    <w:pPr>
      <w:pBdr>
        <w:top w:val="single" w:sz="8" w:space="0" w:color="948A54"/>
      </w:pBdr>
      <w:shd w:val="clear" w:color="000000" w:fill="FFFFFF"/>
      <w:spacing w:before="100" w:beforeAutospacing="1" w:after="100" w:afterAutospacing="1"/>
    </w:pPr>
    <w:rPr>
      <w:rFonts w:ascii="Calibri" w:hAnsi="Calibri"/>
      <w:color w:val="7030A0"/>
      <w:sz w:val="24"/>
      <w:szCs w:val="24"/>
    </w:rPr>
  </w:style>
  <w:style w:type="paragraph" w:customStyle="1" w:styleId="xl49320">
    <w:name w:val="xl49320"/>
    <w:basedOn w:val="Normal"/>
    <w:uiPriority w:val="99"/>
    <w:rsid w:val="00A56796"/>
    <w:pPr>
      <w:pBdr>
        <w:top w:val="single" w:sz="8" w:space="0" w:color="948A54"/>
      </w:pBdr>
      <w:shd w:val="clear" w:color="000000" w:fill="FFFFFF"/>
      <w:spacing w:before="100" w:beforeAutospacing="1" w:after="100" w:afterAutospacing="1"/>
    </w:pPr>
    <w:rPr>
      <w:color w:val="7030A0"/>
      <w:sz w:val="16"/>
      <w:szCs w:val="16"/>
    </w:rPr>
  </w:style>
  <w:style w:type="paragraph" w:customStyle="1" w:styleId="xl49321">
    <w:name w:val="xl49321"/>
    <w:basedOn w:val="Normal"/>
    <w:uiPriority w:val="99"/>
    <w:rsid w:val="00A56796"/>
    <w:pPr>
      <w:pBdr>
        <w:top w:val="single" w:sz="8" w:space="0" w:color="948A54"/>
      </w:pBdr>
      <w:shd w:val="clear" w:color="000000" w:fill="FFFFFF"/>
      <w:spacing w:before="100" w:beforeAutospacing="1" w:after="100" w:afterAutospacing="1"/>
    </w:pPr>
    <w:rPr>
      <w:color w:val="7030A0"/>
      <w:sz w:val="16"/>
      <w:szCs w:val="16"/>
    </w:rPr>
  </w:style>
  <w:style w:type="paragraph" w:customStyle="1" w:styleId="xl49322">
    <w:name w:val="xl49322"/>
    <w:basedOn w:val="Normal"/>
    <w:uiPriority w:val="99"/>
    <w:rsid w:val="00A56796"/>
    <w:pPr>
      <w:shd w:val="clear" w:color="000000" w:fill="FFFFFF"/>
      <w:spacing w:before="100" w:beforeAutospacing="1" w:after="100" w:afterAutospacing="1"/>
      <w:jc w:val="center"/>
      <w:textAlignment w:val="center"/>
    </w:pPr>
    <w:rPr>
      <w:color w:val="7030A0"/>
    </w:rPr>
  </w:style>
  <w:style w:type="paragraph" w:customStyle="1" w:styleId="xl49323">
    <w:name w:val="xl49323"/>
    <w:basedOn w:val="Normal"/>
    <w:uiPriority w:val="99"/>
    <w:rsid w:val="00A56796"/>
    <w:pPr>
      <w:shd w:val="clear" w:color="000000" w:fill="FFFFFF"/>
      <w:spacing w:before="100" w:beforeAutospacing="1" w:after="100" w:afterAutospacing="1"/>
      <w:textAlignment w:val="center"/>
    </w:pPr>
    <w:rPr>
      <w:color w:val="7030A0"/>
    </w:rPr>
  </w:style>
  <w:style w:type="paragraph" w:customStyle="1" w:styleId="xl49324">
    <w:name w:val="xl49324"/>
    <w:basedOn w:val="Normal"/>
    <w:uiPriority w:val="99"/>
    <w:rsid w:val="00A56796"/>
    <w:pPr>
      <w:pBdr>
        <w:left w:val="single" w:sz="8" w:space="0" w:color="333300"/>
        <w:right w:val="single" w:sz="8" w:space="0" w:color="333300"/>
      </w:pBdr>
      <w:shd w:val="clear" w:color="000000" w:fill="FFFFFF"/>
      <w:spacing w:before="100" w:beforeAutospacing="1" w:after="100" w:afterAutospacing="1"/>
      <w:jc w:val="right"/>
      <w:textAlignment w:val="center"/>
    </w:pPr>
    <w:rPr>
      <w:color w:val="7030A0"/>
    </w:rPr>
  </w:style>
  <w:style w:type="paragraph" w:customStyle="1" w:styleId="xl49325">
    <w:name w:val="xl49325"/>
    <w:basedOn w:val="Normal"/>
    <w:uiPriority w:val="99"/>
    <w:rsid w:val="00A56796"/>
    <w:pPr>
      <w:pBdr>
        <w:left w:val="single" w:sz="8" w:space="0" w:color="333300"/>
      </w:pBdr>
      <w:shd w:val="clear" w:color="000000" w:fill="FFFFFF"/>
      <w:spacing w:before="100" w:beforeAutospacing="1" w:after="100" w:afterAutospacing="1"/>
      <w:jc w:val="center"/>
      <w:textAlignment w:val="center"/>
    </w:pPr>
    <w:rPr>
      <w:color w:val="7030A0"/>
    </w:rPr>
  </w:style>
  <w:style w:type="paragraph" w:customStyle="1" w:styleId="xl49326">
    <w:name w:val="xl49326"/>
    <w:basedOn w:val="Normal"/>
    <w:uiPriority w:val="99"/>
    <w:rsid w:val="00A56796"/>
    <w:pPr>
      <w:pBdr>
        <w:bottom w:val="single" w:sz="8" w:space="0" w:color="494529"/>
      </w:pBdr>
      <w:shd w:val="clear" w:color="000000" w:fill="FFFFFF"/>
      <w:spacing w:before="100" w:beforeAutospacing="1" w:after="100" w:afterAutospacing="1"/>
      <w:jc w:val="center"/>
      <w:textAlignment w:val="center"/>
    </w:pPr>
    <w:rPr>
      <w:color w:val="7030A0"/>
    </w:rPr>
  </w:style>
  <w:style w:type="paragraph" w:customStyle="1" w:styleId="xl49327">
    <w:name w:val="xl49327"/>
    <w:basedOn w:val="Normal"/>
    <w:uiPriority w:val="99"/>
    <w:rsid w:val="00A56796"/>
    <w:pPr>
      <w:pBdr>
        <w:left w:val="single" w:sz="8" w:space="0" w:color="333300"/>
        <w:bottom w:val="single" w:sz="8" w:space="0" w:color="494529"/>
      </w:pBdr>
      <w:shd w:val="clear" w:color="000000" w:fill="FFFFFF"/>
      <w:spacing w:before="100" w:beforeAutospacing="1" w:after="100" w:afterAutospacing="1"/>
      <w:jc w:val="center"/>
      <w:textAlignment w:val="center"/>
    </w:pPr>
    <w:rPr>
      <w:color w:val="7030A0"/>
    </w:rPr>
  </w:style>
  <w:style w:type="paragraph" w:customStyle="1" w:styleId="xl49328">
    <w:name w:val="xl49328"/>
    <w:basedOn w:val="Normal"/>
    <w:uiPriority w:val="99"/>
    <w:rsid w:val="00A56796"/>
    <w:pPr>
      <w:pBdr>
        <w:top w:val="single" w:sz="8" w:space="0" w:color="333300"/>
      </w:pBdr>
      <w:shd w:val="clear" w:color="C0C0C0" w:fill="D4D3AB"/>
      <w:spacing w:before="100" w:beforeAutospacing="1" w:after="100" w:afterAutospacing="1"/>
      <w:jc w:val="center"/>
    </w:pPr>
    <w:rPr>
      <w:color w:val="7030A0"/>
    </w:rPr>
  </w:style>
  <w:style w:type="paragraph" w:customStyle="1" w:styleId="xl49329">
    <w:name w:val="xl49329"/>
    <w:basedOn w:val="Normal"/>
    <w:uiPriority w:val="99"/>
    <w:rsid w:val="00A56796"/>
    <w:pPr>
      <w:pBdr>
        <w:bottom w:val="single" w:sz="8" w:space="0" w:color="333300"/>
      </w:pBdr>
      <w:shd w:val="clear" w:color="C0C0C0" w:fill="D4D3AB"/>
      <w:spacing w:before="100" w:beforeAutospacing="1" w:after="100" w:afterAutospacing="1"/>
      <w:jc w:val="center"/>
    </w:pPr>
    <w:rPr>
      <w:color w:val="7030A0"/>
    </w:rPr>
  </w:style>
  <w:style w:type="paragraph" w:customStyle="1" w:styleId="xl49330">
    <w:name w:val="xl49330"/>
    <w:basedOn w:val="Normal"/>
    <w:uiPriority w:val="99"/>
    <w:rsid w:val="00A56796"/>
    <w:pPr>
      <w:pBdr>
        <w:bottom w:val="single" w:sz="8" w:space="0" w:color="333300"/>
      </w:pBdr>
      <w:shd w:val="clear" w:color="000000" w:fill="auto"/>
      <w:spacing w:before="100" w:beforeAutospacing="1" w:after="100" w:afterAutospacing="1"/>
      <w:jc w:val="right"/>
    </w:pPr>
    <w:rPr>
      <w:color w:val="7030A0"/>
      <w:sz w:val="16"/>
      <w:szCs w:val="16"/>
    </w:rPr>
  </w:style>
  <w:style w:type="numbering" w:customStyle="1" w:styleId="Estilo18">
    <w:name w:val="Estilo18"/>
    <w:uiPriority w:val="99"/>
    <w:rsid w:val="00E656F3"/>
    <w:pPr>
      <w:numPr>
        <w:numId w:val="50"/>
      </w:numPr>
    </w:pPr>
  </w:style>
  <w:style w:type="paragraph" w:customStyle="1" w:styleId="1-SESSO">
    <w:name w:val="1 - SESSÃO"/>
    <w:basedOn w:val="0-TXT11"/>
    <w:uiPriority w:val="99"/>
    <w:qFormat/>
    <w:rsid w:val="00537D15"/>
    <w:pPr>
      <w:jc w:val="right"/>
    </w:pPr>
    <w:rPr>
      <w:sz w:val="32"/>
    </w:rPr>
  </w:style>
  <w:style w:type="paragraph" w:customStyle="1" w:styleId="1-SUB-SESSAO">
    <w:name w:val="1 - SUB-SESSAO"/>
    <w:basedOn w:val="1-SESSO"/>
    <w:uiPriority w:val="99"/>
    <w:qFormat/>
    <w:rsid w:val="00537D15"/>
    <w:rPr>
      <w:sz w:val="28"/>
    </w:rPr>
  </w:style>
  <w:style w:type="paragraph" w:customStyle="1" w:styleId="1-CAPTULO">
    <w:name w:val="1 - CAPÍTULO"/>
    <w:basedOn w:val="1-REL11"/>
    <w:next w:val="1-REL11"/>
    <w:autoRedefine/>
    <w:uiPriority w:val="99"/>
    <w:qFormat/>
    <w:rsid w:val="00C516FB"/>
    <w:pPr>
      <w:numPr>
        <w:numId w:val="33"/>
      </w:numPr>
      <w:spacing w:before="0" w:line="240" w:lineRule="auto"/>
      <w:jc w:val="right"/>
    </w:pPr>
    <w:rPr>
      <w:w w:val="95"/>
      <w:sz w:val="36"/>
    </w:rPr>
  </w:style>
  <w:style w:type="paragraph" w:customStyle="1" w:styleId="ITEM">
    <w:name w:val="ITEM"/>
    <w:basedOn w:val="Normal0"/>
    <w:next w:val="Normal0"/>
    <w:link w:val="ITEMChar"/>
    <w:autoRedefine/>
    <w:qFormat/>
    <w:rsid w:val="00234FA0"/>
    <w:rPr>
      <w:color w:val="4A442A" w:themeColor="background2" w:themeShade="40"/>
      <w:spacing w:val="-1"/>
    </w:rPr>
  </w:style>
  <w:style w:type="paragraph" w:customStyle="1" w:styleId="1-TXTNUMERADO">
    <w:name w:val="1 - TXT NUMERADO"/>
    <w:basedOn w:val="1-REL11"/>
    <w:link w:val="1-TXTNUMERADOChar"/>
    <w:autoRedefine/>
    <w:qFormat/>
    <w:rsid w:val="00383DD7"/>
    <w:pPr>
      <w:numPr>
        <w:ilvl w:val="1"/>
        <w:numId w:val="29"/>
      </w:numPr>
      <w:tabs>
        <w:tab w:val="left" w:pos="284"/>
      </w:tabs>
    </w:pPr>
    <w:rPr>
      <w:b/>
      <w:spacing w:val="4"/>
    </w:rPr>
  </w:style>
  <w:style w:type="character" w:customStyle="1" w:styleId="NormalChar">
    <w:name w:val="[Normal] Char"/>
    <w:basedOn w:val="Fontepargpadro"/>
    <w:link w:val="Normal0"/>
    <w:uiPriority w:val="99"/>
    <w:rsid w:val="0061152B"/>
    <w:rPr>
      <w:rFonts w:ascii="Arial" w:hAnsi="Arial"/>
      <w:snapToGrid w:val="0"/>
      <w:sz w:val="24"/>
    </w:rPr>
  </w:style>
  <w:style w:type="character" w:customStyle="1" w:styleId="ITEMChar">
    <w:name w:val="ITEM Char"/>
    <w:basedOn w:val="NormalChar"/>
    <w:link w:val="ITEM"/>
    <w:rsid w:val="00234FA0"/>
    <w:rPr>
      <w:rFonts w:ascii="Arial" w:hAnsi="Arial"/>
      <w:snapToGrid w:val="0"/>
      <w:color w:val="4A442A" w:themeColor="background2" w:themeShade="40"/>
      <w:spacing w:val="-1"/>
      <w:sz w:val="24"/>
    </w:rPr>
  </w:style>
  <w:style w:type="character" w:customStyle="1" w:styleId="1-TXTNUMERADOChar">
    <w:name w:val="1 - TXT NUMERADO Char"/>
    <w:basedOn w:val="TtuloChar1"/>
    <w:link w:val="1-TXTNUMERADO"/>
    <w:rsid w:val="00383DD7"/>
    <w:rPr>
      <w:rFonts w:ascii="Arial" w:eastAsia="Calibri" w:hAnsi="Arial"/>
      <w:b/>
      <w:color w:val="948A54" w:themeColor="background2" w:themeShade="80"/>
      <w:spacing w:val="4"/>
      <w:sz w:val="32"/>
      <w:szCs w:val="24"/>
    </w:rPr>
  </w:style>
  <w:style w:type="paragraph" w:customStyle="1" w:styleId="0-TXT11">
    <w:name w:val="0 - TXT 11"/>
    <w:basedOn w:val="1-TEXTORELATORIO"/>
    <w:link w:val="0-TXT11Char"/>
    <w:uiPriority w:val="99"/>
    <w:qFormat/>
    <w:rsid w:val="002E4E5C"/>
    <w:rPr>
      <w:sz w:val="22"/>
    </w:rPr>
  </w:style>
  <w:style w:type="paragraph" w:customStyle="1" w:styleId="0-EmR1">
    <w:name w:val="0 - Em R$1"/>
    <w:next w:val="0-TXT11"/>
    <w:link w:val="0-EmR1Char"/>
    <w:autoRedefine/>
    <w:qFormat/>
    <w:rsid w:val="00DB1541"/>
    <w:pPr>
      <w:jc w:val="right"/>
    </w:pPr>
    <w:rPr>
      <w:sz w:val="16"/>
      <w:szCs w:val="16"/>
      <w:shd w:val="clear" w:color="auto" w:fill="FFFFFF"/>
    </w:rPr>
  </w:style>
  <w:style w:type="character" w:customStyle="1" w:styleId="0-TXT11Char">
    <w:name w:val="0 - TXT 11 Char"/>
    <w:basedOn w:val="1-REL11Char"/>
    <w:link w:val="0-TXT11"/>
    <w:uiPriority w:val="99"/>
    <w:rsid w:val="002E4E5C"/>
    <w:rPr>
      <w:rFonts w:ascii="Arial" w:eastAsia="Calibri" w:hAnsi="Arial" w:cs="Arial"/>
      <w:b w:val="0"/>
      <w:bCs w:val="0"/>
      <w:w w:val="109"/>
      <w:sz w:val="22"/>
      <w:szCs w:val="24"/>
      <w:lang w:val="pt-BR" w:eastAsia="pt-BR"/>
    </w:rPr>
  </w:style>
  <w:style w:type="character" w:customStyle="1" w:styleId="0-EmR1Char">
    <w:name w:val="0 - Em R$1 Char"/>
    <w:basedOn w:val="0-TXT11Char"/>
    <w:link w:val="0-EmR1"/>
    <w:rsid w:val="00DB1541"/>
    <w:rPr>
      <w:rFonts w:ascii="Arial" w:eastAsia="Calibri" w:hAnsi="Arial" w:cs="Arial"/>
      <w:b w:val="0"/>
      <w:bCs w:val="0"/>
      <w:w w:val="109"/>
      <w:sz w:val="16"/>
      <w:szCs w:val="16"/>
      <w:lang w:val="pt-BR" w:eastAsia="pt-BR"/>
    </w:rPr>
  </w:style>
  <w:style w:type="paragraph" w:customStyle="1" w:styleId="1-FNT-GRAFICO">
    <w:name w:val="1 - FNT-GRAFICO"/>
    <w:basedOn w:val="1-FONTE8ESQ"/>
    <w:next w:val="0-TXT11"/>
    <w:link w:val="1-FNT-GRAFICOChar"/>
    <w:autoRedefine/>
    <w:qFormat/>
    <w:rsid w:val="004A76BE"/>
    <w:pPr>
      <w:spacing w:after="120"/>
      <w:ind w:right="-74"/>
      <w:jc w:val="center"/>
    </w:pPr>
    <w:rPr>
      <w:rFonts w:eastAsia="Calibri"/>
      <w:w w:val="109"/>
    </w:rPr>
  </w:style>
  <w:style w:type="character" w:customStyle="1" w:styleId="1-FNT-GRAFICOChar">
    <w:name w:val="1 - FNT-GRAFICO Char"/>
    <w:basedOn w:val="1-FONTE8ESQChar"/>
    <w:link w:val="1-FNT-GRAFICO"/>
    <w:rsid w:val="004A76BE"/>
    <w:rPr>
      <w:rFonts w:ascii="Arial" w:eastAsia="Calibri" w:hAnsi="Arial"/>
      <w:w w:val="109"/>
      <w:sz w:val="16"/>
      <w:szCs w:val="16"/>
    </w:rPr>
  </w:style>
  <w:style w:type="paragraph" w:customStyle="1" w:styleId="0-itemELENCADO">
    <w:name w:val="0-itemELENCADO"/>
    <w:basedOn w:val="1-REL11"/>
    <w:link w:val="0-itemELENCADOChar"/>
    <w:autoRedefine/>
    <w:qFormat/>
    <w:rsid w:val="008E23E4"/>
    <w:pPr>
      <w:numPr>
        <w:numId w:val="26"/>
      </w:numPr>
    </w:pPr>
  </w:style>
  <w:style w:type="character" w:customStyle="1" w:styleId="0-itemELENCADOChar">
    <w:name w:val="0-itemELENCADO Char"/>
    <w:basedOn w:val="1-REL11Char"/>
    <w:link w:val="0-itemELENCADO"/>
    <w:rsid w:val="008E23E4"/>
    <w:rPr>
      <w:rFonts w:ascii="Arial" w:eastAsia="Calibri" w:hAnsi="Arial" w:cs="Arial"/>
      <w:b w:val="0"/>
      <w:bCs w:val="0"/>
      <w:sz w:val="22"/>
      <w:szCs w:val="22"/>
      <w:lang w:val="pt-BR" w:eastAsia="pt-BR"/>
    </w:rPr>
  </w:style>
  <w:style w:type="paragraph" w:customStyle="1" w:styleId="0-itemNUMERADO">
    <w:name w:val="0-itemNUMERADO"/>
    <w:basedOn w:val="0-itemELENCADO"/>
    <w:link w:val="0-itemNUMERADOChar"/>
    <w:uiPriority w:val="99"/>
    <w:qFormat/>
    <w:rsid w:val="0042123E"/>
    <w:pPr>
      <w:numPr>
        <w:numId w:val="27"/>
      </w:numPr>
    </w:pPr>
  </w:style>
  <w:style w:type="character" w:customStyle="1" w:styleId="0-itemNUMERADOChar">
    <w:name w:val="0-itemNUMERADO Char"/>
    <w:basedOn w:val="0-itemELENCADOChar"/>
    <w:link w:val="0-itemNUMERADO"/>
    <w:uiPriority w:val="99"/>
    <w:rsid w:val="0042123E"/>
    <w:rPr>
      <w:rFonts w:ascii="Arial" w:eastAsia="Calibri" w:hAnsi="Arial" w:cs="Arial"/>
      <w:b w:val="0"/>
      <w:bCs w:val="0"/>
      <w:sz w:val="22"/>
      <w:szCs w:val="22"/>
      <w:lang w:val="pt-BR" w:eastAsia="pt-BR"/>
    </w:rPr>
  </w:style>
  <w:style w:type="paragraph" w:customStyle="1" w:styleId="1-CITAO">
    <w:name w:val="1 - CITAÇÃO"/>
    <w:basedOn w:val="Citao"/>
    <w:link w:val="1-CITAOChar"/>
    <w:qFormat/>
    <w:rsid w:val="00235E3D"/>
    <w:pPr>
      <w:spacing w:before="0" w:after="0"/>
      <w:contextualSpacing w:val="0"/>
    </w:pPr>
    <w:rPr>
      <w:sz w:val="20"/>
    </w:rPr>
  </w:style>
  <w:style w:type="character" w:customStyle="1" w:styleId="1-CITAOChar">
    <w:name w:val="1 - CITAÇÃO Char"/>
    <w:basedOn w:val="CitaoChar"/>
    <w:link w:val="1-CITAO"/>
    <w:rsid w:val="00235E3D"/>
    <w:rPr>
      <w:rFonts w:ascii="Arial" w:hAnsi="Arial"/>
      <w:iCs/>
      <w:sz w:val="18"/>
    </w:rPr>
  </w:style>
  <w:style w:type="paragraph" w:customStyle="1" w:styleId="0-FIGURA">
    <w:name w:val="0 - FIGURA"/>
    <w:basedOn w:val="0-GRFICO"/>
    <w:link w:val="0-FIGURAChar"/>
    <w:autoRedefine/>
    <w:qFormat/>
    <w:rsid w:val="0099185A"/>
    <w:pPr>
      <w:numPr>
        <w:numId w:val="43"/>
      </w:numPr>
      <w:spacing w:before="200"/>
    </w:pPr>
  </w:style>
  <w:style w:type="character" w:customStyle="1" w:styleId="0-FIGURAChar">
    <w:name w:val="0 - FIGURA Char"/>
    <w:basedOn w:val="1-REL11Char"/>
    <w:link w:val="0-FIGURA"/>
    <w:rsid w:val="0099185A"/>
    <w:rPr>
      <w:rFonts w:ascii="Arial" w:eastAsia="Calibri" w:hAnsi="Arial" w:cs="Arial"/>
      <w:b w:val="0"/>
      <w:bCs w:val="0"/>
      <w:sz w:val="22"/>
      <w:szCs w:val="24"/>
      <w:lang w:val="pt-BR" w:eastAsia="pt-BR"/>
      <w14:scene3d>
        <w14:camera w14:prst="orthographicFront"/>
        <w14:lightRig w14:rig="threePt" w14:dir="t">
          <w14:rot w14:lat="0" w14:lon="0" w14:rev="0"/>
        </w14:lightRig>
      </w14:scene3d>
    </w:rPr>
  </w:style>
  <w:style w:type="paragraph" w:customStyle="1" w:styleId="textojustificadoesp15">
    <w:name w:val="texto_justificado_esp15"/>
    <w:basedOn w:val="Normal"/>
    <w:rsid w:val="00575E6D"/>
    <w:pPr>
      <w:spacing w:before="100" w:beforeAutospacing="1" w:after="100" w:afterAutospacing="1"/>
    </w:pPr>
    <w:rPr>
      <w:sz w:val="24"/>
      <w:szCs w:val="24"/>
    </w:rPr>
  </w:style>
  <w:style w:type="paragraph" w:customStyle="1" w:styleId="1-ITEM">
    <w:name w:val="1 - ITEM"/>
    <w:next w:val="1-REL11"/>
    <w:link w:val="1-ITEMChar"/>
    <w:autoRedefine/>
    <w:qFormat/>
    <w:rsid w:val="00621920"/>
    <w:pPr>
      <w:numPr>
        <w:numId w:val="32"/>
      </w:numPr>
      <w:tabs>
        <w:tab w:val="left" w:pos="567"/>
      </w:tabs>
      <w:spacing w:after="240" w:line="360" w:lineRule="auto"/>
      <w:ind w:left="584" w:hanging="357"/>
      <w:jc w:val="both"/>
    </w:pPr>
    <w:rPr>
      <w:spacing w:val="4"/>
    </w:rPr>
  </w:style>
  <w:style w:type="character" w:customStyle="1" w:styleId="1-ITEMChar">
    <w:name w:val="1 - ITEM Char"/>
    <w:basedOn w:val="TtuloChar1"/>
    <w:link w:val="1-ITEM"/>
    <w:rsid w:val="00621920"/>
    <w:rPr>
      <w:rFonts w:ascii="Arial" w:hAnsi="Arial"/>
      <w:b w:val="0"/>
      <w:color w:val="948A54" w:themeColor="background2" w:themeShade="80"/>
      <w:spacing w:val="4"/>
      <w:sz w:val="32"/>
      <w:szCs w:val="24"/>
    </w:rPr>
  </w:style>
  <w:style w:type="paragraph" w:styleId="Textodenotadefim">
    <w:name w:val="endnote text"/>
    <w:basedOn w:val="Normal"/>
    <w:link w:val="TextodenotadefimChar"/>
    <w:rsid w:val="00FD0F00"/>
    <w:pPr>
      <w:jc w:val="left"/>
    </w:pPr>
    <w:rPr>
      <w:rFonts w:ascii="Ecofont Vera Sans" w:hAnsi="Ecofont Vera Sans"/>
    </w:rPr>
  </w:style>
  <w:style w:type="character" w:customStyle="1" w:styleId="TextodenotadefimChar">
    <w:name w:val="Texto de nota de fim Char"/>
    <w:basedOn w:val="Fontepargpadro"/>
    <w:link w:val="Textodenotadefim"/>
    <w:rsid w:val="00FD0F00"/>
    <w:rPr>
      <w:rFonts w:ascii="Ecofont Vera Sans" w:hAnsi="Ecofont Vera Sans"/>
    </w:rPr>
  </w:style>
  <w:style w:type="character" w:styleId="Refdenotadefim">
    <w:name w:val="endnote reference"/>
    <w:basedOn w:val="Fontepargpadro"/>
    <w:rsid w:val="00FD0F00"/>
    <w:rPr>
      <w:vertAlign w:val="superscript"/>
    </w:rPr>
  </w:style>
  <w:style w:type="paragraph" w:customStyle="1" w:styleId="1-FONTEcentralizado">
    <w:name w:val="1 - FONTE centralizado"/>
    <w:basedOn w:val="1-REL11"/>
    <w:link w:val="1-FONTEcentralizadoChar"/>
    <w:autoRedefine/>
    <w:qFormat/>
    <w:rsid w:val="00653B38"/>
    <w:pPr>
      <w:widowControl w:val="0"/>
      <w:spacing w:before="0" w:after="0"/>
      <w:jc w:val="center"/>
    </w:pPr>
    <w:rPr>
      <w:rFonts w:cs="Arial"/>
      <w:color w:val="000000" w:themeColor="text1"/>
      <w:sz w:val="16"/>
      <w:szCs w:val="16"/>
    </w:rPr>
  </w:style>
  <w:style w:type="character" w:customStyle="1" w:styleId="1-FONTEcentralizadoChar">
    <w:name w:val="1 - FONTE centralizado Char"/>
    <w:basedOn w:val="1-TEXTORELATORIOCharChar"/>
    <w:link w:val="1-FONTEcentralizado"/>
    <w:rsid w:val="00653B38"/>
    <w:rPr>
      <w:rFonts w:ascii="Arial" w:eastAsia="Calibri" w:hAnsi="Arial" w:cs="Arial"/>
      <w:color w:val="000000" w:themeColor="text1"/>
      <w:sz w:val="16"/>
      <w:szCs w:val="16"/>
      <w:lang w:val="pt-BR" w:eastAsia="pt-BR" w:bidi="ar-SA"/>
    </w:rPr>
  </w:style>
  <w:style w:type="character" w:customStyle="1" w:styleId="westernChar">
    <w:name w:val="western Char"/>
    <w:link w:val="western"/>
    <w:locked/>
    <w:rsid w:val="00803328"/>
    <w:rPr>
      <w:rFonts w:ascii="Arial Unicode MS" w:eastAsia="Arial Unicode MS" w:hAnsi="Arial Unicode MS" w:cs="Arial Unicode MS"/>
      <w:sz w:val="24"/>
      <w:szCs w:val="24"/>
      <w:lang w:eastAsia="ar-SA"/>
    </w:rPr>
  </w:style>
  <w:style w:type="paragraph" w:customStyle="1" w:styleId="0-FONTEBALANO">
    <w:name w:val="0 - FONTE: BALANÇO..."/>
    <w:basedOn w:val="Normal"/>
    <w:next w:val="1-TEXTORELATORIO"/>
    <w:link w:val="0-FONTEBALANOChar"/>
    <w:rsid w:val="000A4B65"/>
    <w:pPr>
      <w:jc w:val="left"/>
    </w:pPr>
    <w:rPr>
      <w:rFonts w:cs="Arial"/>
      <w:sz w:val="16"/>
      <w:szCs w:val="16"/>
    </w:rPr>
  </w:style>
  <w:style w:type="character" w:customStyle="1" w:styleId="0-FONTEBALANOChar">
    <w:name w:val="0 - FONTE: BALANÇO... Char"/>
    <w:basedOn w:val="Fontepargpadro"/>
    <w:link w:val="0-FONTEBALANO"/>
    <w:locked/>
    <w:rsid w:val="000A4B65"/>
    <w:rPr>
      <w:rFonts w:ascii="Arial" w:hAnsi="Arial" w:cs="Arial"/>
      <w:sz w:val="16"/>
      <w:szCs w:val="16"/>
    </w:rPr>
  </w:style>
  <w:style w:type="paragraph" w:customStyle="1" w:styleId="0-itemREL">
    <w:name w:val="0-itemREL"/>
    <w:basedOn w:val="1-REL11"/>
    <w:link w:val="0-itemRELChar"/>
    <w:qFormat/>
    <w:rsid w:val="00195AE1"/>
    <w:pPr>
      <w:numPr>
        <w:ilvl w:val="1"/>
        <w:numId w:val="31"/>
      </w:numPr>
    </w:pPr>
    <w:rPr>
      <w:rFonts w:cs="Arial"/>
      <w:i/>
      <w:lang w:eastAsia="en-US"/>
    </w:rPr>
  </w:style>
  <w:style w:type="character" w:customStyle="1" w:styleId="0-itemRELChar">
    <w:name w:val="0-itemREL Char"/>
    <w:basedOn w:val="1-REL11Char"/>
    <w:link w:val="0-itemREL"/>
    <w:rsid w:val="00195AE1"/>
    <w:rPr>
      <w:rFonts w:ascii="Arial" w:eastAsia="Calibri" w:hAnsi="Arial" w:cs="Arial"/>
      <w:b w:val="0"/>
      <w:bCs w:val="0"/>
      <w:i/>
      <w:sz w:val="22"/>
      <w:szCs w:val="22"/>
      <w:lang w:val="pt-BR" w:eastAsia="en-US"/>
    </w:rPr>
  </w:style>
  <w:style w:type="paragraph" w:customStyle="1" w:styleId="0-itemRELnr">
    <w:name w:val="0-itemRELnr"/>
    <w:basedOn w:val="0-itemREL"/>
    <w:link w:val="0-itemRELnrChar"/>
    <w:autoRedefine/>
    <w:rsid w:val="00D8446C"/>
    <w:pPr>
      <w:numPr>
        <w:numId w:val="30"/>
      </w:numPr>
    </w:pPr>
    <w:rPr>
      <w:i w:val="0"/>
      <w:sz w:val="24"/>
      <w:szCs w:val="24"/>
    </w:rPr>
  </w:style>
  <w:style w:type="character" w:customStyle="1" w:styleId="0-itemRELnrChar">
    <w:name w:val="0-itemRELnr Char"/>
    <w:basedOn w:val="0-itemRELChar"/>
    <w:link w:val="0-itemRELnr"/>
    <w:rsid w:val="00D8446C"/>
    <w:rPr>
      <w:rFonts w:ascii="Arial" w:eastAsia="Calibri" w:hAnsi="Arial" w:cs="Arial"/>
      <w:b w:val="0"/>
      <w:bCs w:val="0"/>
      <w:i w:val="0"/>
      <w:sz w:val="24"/>
      <w:szCs w:val="24"/>
      <w:lang w:val="pt-BR" w:eastAsia="en-US"/>
    </w:rPr>
  </w:style>
  <w:style w:type="paragraph" w:customStyle="1" w:styleId="0-ACH-TXT">
    <w:name w:val="0 - ACH -TXT"/>
    <w:basedOn w:val="Normal"/>
    <w:link w:val="0-ACH-TXTChar"/>
    <w:autoRedefine/>
    <w:qFormat/>
    <w:rsid w:val="00D546D5"/>
    <w:pPr>
      <w:tabs>
        <w:tab w:val="left" w:pos="2835"/>
      </w:tabs>
    </w:pPr>
    <w:rPr>
      <w:rFonts w:eastAsia="Calibri"/>
      <w:sz w:val="20"/>
      <w:szCs w:val="20"/>
      <w:lang w:eastAsia="en-US"/>
    </w:rPr>
  </w:style>
  <w:style w:type="character" w:customStyle="1" w:styleId="0-ACH-TXTChar">
    <w:name w:val="0 - ACH -TXT Char"/>
    <w:basedOn w:val="Fontepargpadro"/>
    <w:link w:val="0-ACH-TXT"/>
    <w:rsid w:val="00D546D5"/>
    <w:rPr>
      <w:rFonts w:eastAsia="Calibri"/>
      <w:sz w:val="20"/>
      <w:szCs w:val="20"/>
      <w:lang w:eastAsia="en-US"/>
    </w:rPr>
  </w:style>
  <w:style w:type="paragraph" w:customStyle="1" w:styleId="0-ACH-TIT">
    <w:name w:val="0 - ACH -TIT"/>
    <w:basedOn w:val="Index"/>
    <w:link w:val="0-ACH-TITChar"/>
    <w:autoRedefine/>
    <w:qFormat/>
    <w:rsid w:val="00E460D5"/>
    <w:pPr>
      <w:tabs>
        <w:tab w:val="center" w:pos="6189"/>
      </w:tabs>
      <w:spacing w:before="60" w:after="60" w:line="276" w:lineRule="auto"/>
      <w:ind w:left="1701" w:right="1701"/>
      <w:jc w:val="both"/>
      <w:outlineLvl w:val="8"/>
    </w:pPr>
    <w:rPr>
      <w:rFonts w:eastAsia="Calibri"/>
      <w:b/>
      <w:w w:val="109"/>
      <w:sz w:val="22"/>
      <w:szCs w:val="22"/>
      <w:lang w:eastAsia="en-US"/>
    </w:rPr>
  </w:style>
  <w:style w:type="character" w:customStyle="1" w:styleId="0-ACH-TITChar">
    <w:name w:val="0 - ACH -TIT Char"/>
    <w:basedOn w:val="0-TABELAChar"/>
    <w:link w:val="0-ACH-TIT"/>
    <w:rsid w:val="00E460D5"/>
    <w:rPr>
      <w:rFonts w:eastAsia="Calibri" w:cs="Tahoma"/>
      <w:b/>
      <w:w w:val="109"/>
      <w:kern w:val="3"/>
      <w:lang w:eastAsia="en-US"/>
      <w14:scene3d>
        <w14:camera w14:prst="orthographicFront"/>
        <w14:lightRig w14:rig="threePt" w14:dir="t">
          <w14:rot w14:lat="0" w14:lon="0" w14:rev="0"/>
        </w14:lightRig>
      </w14:scene3d>
    </w:rPr>
  </w:style>
  <w:style w:type="character" w:customStyle="1" w:styleId="MenoPendente1">
    <w:name w:val="Menção Pendente1"/>
    <w:basedOn w:val="Fontepargpadro"/>
    <w:uiPriority w:val="99"/>
    <w:semiHidden/>
    <w:unhideWhenUsed/>
    <w:rsid w:val="004B4B7A"/>
    <w:rPr>
      <w:color w:val="605E5C"/>
      <w:shd w:val="clear" w:color="auto" w:fill="E1DFDD"/>
    </w:rPr>
  </w:style>
  <w:style w:type="paragraph" w:styleId="Commarcadores">
    <w:name w:val="List Bullet"/>
    <w:basedOn w:val="Normal"/>
    <w:uiPriority w:val="99"/>
    <w:rsid w:val="004B4B7A"/>
    <w:pPr>
      <w:numPr>
        <w:numId w:val="35"/>
      </w:numPr>
      <w:contextualSpacing/>
      <w:jc w:val="left"/>
    </w:pPr>
    <w:rPr>
      <w:rFonts w:ascii="Ecofont Vera Sans" w:hAnsi="Ecofont Vera Sans"/>
    </w:rPr>
  </w:style>
  <w:style w:type="character" w:customStyle="1" w:styleId="0-EmRChar">
    <w:name w:val="0 - Em R$ Char"/>
    <w:basedOn w:val="Fontepargpadro"/>
    <w:link w:val="0-EmR"/>
    <w:locked/>
    <w:rsid w:val="0091380F"/>
    <w:rPr>
      <w:rFonts w:ascii="Arial" w:hAnsi="Arial" w:cs="Arial"/>
      <w:w w:val="95"/>
      <w:sz w:val="16"/>
      <w:szCs w:val="16"/>
    </w:rPr>
  </w:style>
  <w:style w:type="paragraph" w:customStyle="1" w:styleId="0-EmR">
    <w:name w:val="0 - Em R$"/>
    <w:next w:val="Normal"/>
    <w:link w:val="0-EmRChar"/>
    <w:autoRedefine/>
    <w:qFormat/>
    <w:rsid w:val="0091380F"/>
    <w:pPr>
      <w:spacing w:before="120" w:line="276" w:lineRule="auto"/>
      <w:jc w:val="right"/>
    </w:pPr>
    <w:rPr>
      <w:rFonts w:cs="Arial"/>
      <w:w w:val="95"/>
      <w:sz w:val="16"/>
      <w:szCs w:val="16"/>
    </w:rPr>
  </w:style>
  <w:style w:type="paragraph" w:customStyle="1" w:styleId="textojustificadorecuoprimeiralinhaesp15">
    <w:name w:val="texto_justificado_recuo_primeira_linha_esp15"/>
    <w:basedOn w:val="Normal"/>
    <w:rsid w:val="004B4B7A"/>
    <w:pPr>
      <w:spacing w:before="100" w:beforeAutospacing="1" w:after="100" w:afterAutospacing="1"/>
      <w:jc w:val="left"/>
    </w:pPr>
    <w:rPr>
      <w:rFonts w:ascii="Times New Roman" w:hAnsi="Times New Roman"/>
      <w:sz w:val="24"/>
      <w:szCs w:val="24"/>
    </w:rPr>
  </w:style>
  <w:style w:type="paragraph" w:customStyle="1" w:styleId="textojustificadorecuoprimeiralinha">
    <w:name w:val="texto_justificado_recuo_primeira_linha"/>
    <w:basedOn w:val="Normal"/>
    <w:rsid w:val="004B4B7A"/>
    <w:pPr>
      <w:spacing w:before="100" w:beforeAutospacing="1" w:after="100" w:afterAutospacing="1"/>
      <w:jc w:val="left"/>
    </w:pPr>
    <w:rPr>
      <w:rFonts w:ascii="Times New Roman" w:hAnsi="Times New Roman"/>
      <w:sz w:val="24"/>
      <w:szCs w:val="24"/>
    </w:rPr>
  </w:style>
  <w:style w:type="character" w:styleId="MenoPendente">
    <w:name w:val="Unresolved Mention"/>
    <w:basedOn w:val="Fontepargpadro"/>
    <w:uiPriority w:val="99"/>
    <w:semiHidden/>
    <w:unhideWhenUsed/>
    <w:rsid w:val="004B4B7A"/>
    <w:rPr>
      <w:color w:val="605E5C"/>
      <w:shd w:val="clear" w:color="auto" w:fill="E1DFDD"/>
    </w:rPr>
  </w:style>
  <w:style w:type="paragraph" w:customStyle="1" w:styleId="msonormal0">
    <w:name w:val="msonormal"/>
    <w:basedOn w:val="Default"/>
    <w:next w:val="Default"/>
    <w:uiPriority w:val="99"/>
    <w:rsid w:val="002F7E59"/>
    <w:pPr>
      <w:spacing w:before="100" w:after="100"/>
    </w:pPr>
  </w:style>
  <w:style w:type="numbering" w:customStyle="1" w:styleId="Semlista1">
    <w:name w:val="Sem lista1"/>
    <w:next w:val="Semlista"/>
    <w:uiPriority w:val="99"/>
    <w:semiHidden/>
    <w:unhideWhenUsed/>
    <w:rsid w:val="00084F94"/>
  </w:style>
  <w:style w:type="paragraph" w:customStyle="1" w:styleId="xl69">
    <w:name w:val="xl69"/>
    <w:basedOn w:val="Normal"/>
    <w:uiPriority w:val="99"/>
    <w:rsid w:val="00084F9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rPr>
  </w:style>
  <w:style w:type="paragraph" w:customStyle="1" w:styleId="xl70">
    <w:name w:val="xl70"/>
    <w:basedOn w:val="Normal"/>
    <w:uiPriority w:val="99"/>
    <w:rsid w:val="00084F9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cs="Arial"/>
      <w:sz w:val="24"/>
      <w:szCs w:val="24"/>
    </w:rPr>
  </w:style>
  <w:style w:type="paragraph" w:customStyle="1" w:styleId="xl71">
    <w:name w:val="xl71"/>
    <w:basedOn w:val="Normal"/>
    <w:uiPriority w:val="99"/>
    <w:rsid w:val="00084F94"/>
    <w:pPr>
      <w:pBdr>
        <w:top w:val="single" w:sz="4" w:space="0" w:color="auto"/>
        <w:left w:val="single" w:sz="4" w:space="0" w:color="auto"/>
        <w:bottom w:val="single" w:sz="4" w:space="0" w:color="auto"/>
        <w:right w:val="single" w:sz="4" w:space="0" w:color="auto"/>
      </w:pBdr>
      <w:shd w:val="clear" w:color="000000" w:fill="A1F2FD"/>
      <w:spacing w:before="100" w:beforeAutospacing="1" w:after="100" w:afterAutospacing="1"/>
      <w:jc w:val="center"/>
      <w:textAlignment w:val="center"/>
    </w:pPr>
    <w:rPr>
      <w:rFonts w:cs="Arial"/>
      <w:b/>
      <w:bCs/>
      <w:sz w:val="24"/>
      <w:szCs w:val="24"/>
    </w:rPr>
  </w:style>
  <w:style w:type="paragraph" w:customStyle="1" w:styleId="xl72">
    <w:name w:val="xl72"/>
    <w:basedOn w:val="Normal"/>
    <w:uiPriority w:val="99"/>
    <w:rsid w:val="00084F9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rPr>
  </w:style>
  <w:style w:type="paragraph" w:customStyle="1" w:styleId="xl73">
    <w:name w:val="xl73"/>
    <w:basedOn w:val="Normal"/>
    <w:uiPriority w:val="99"/>
    <w:rsid w:val="00084F94"/>
    <w:pPr>
      <w:spacing w:before="100" w:beforeAutospacing="1" w:after="100" w:afterAutospacing="1"/>
      <w:jc w:val="left"/>
    </w:pPr>
    <w:rPr>
      <w:rFonts w:cs="Arial"/>
      <w:sz w:val="24"/>
      <w:szCs w:val="24"/>
    </w:rPr>
  </w:style>
  <w:style w:type="paragraph" w:customStyle="1" w:styleId="xl74">
    <w:name w:val="xl74"/>
    <w:basedOn w:val="Normal"/>
    <w:uiPriority w:val="99"/>
    <w:rsid w:val="00084F9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rPr>
  </w:style>
  <w:style w:type="paragraph" w:customStyle="1" w:styleId="xl75">
    <w:name w:val="xl75"/>
    <w:basedOn w:val="Normal"/>
    <w:uiPriority w:val="99"/>
    <w:rsid w:val="00084F9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rPr>
  </w:style>
  <w:style w:type="paragraph" w:customStyle="1" w:styleId="xl76">
    <w:name w:val="xl76"/>
    <w:basedOn w:val="Normal"/>
    <w:uiPriority w:val="99"/>
    <w:rsid w:val="00084F94"/>
    <w:pPr>
      <w:pBdr>
        <w:top w:val="single" w:sz="4" w:space="0" w:color="auto"/>
        <w:left w:val="single" w:sz="4" w:space="0" w:color="auto"/>
        <w:bottom w:val="single" w:sz="4" w:space="0" w:color="auto"/>
      </w:pBdr>
      <w:shd w:val="clear" w:color="000000" w:fill="A1F2FD"/>
      <w:spacing w:before="100" w:beforeAutospacing="1" w:after="100" w:afterAutospacing="1"/>
      <w:jc w:val="center"/>
      <w:textAlignment w:val="center"/>
    </w:pPr>
    <w:rPr>
      <w:rFonts w:cs="Arial"/>
      <w:b/>
      <w:bCs/>
      <w:sz w:val="24"/>
      <w:szCs w:val="24"/>
    </w:rPr>
  </w:style>
  <w:style w:type="paragraph" w:customStyle="1" w:styleId="xl77">
    <w:name w:val="xl77"/>
    <w:basedOn w:val="Normal"/>
    <w:uiPriority w:val="99"/>
    <w:rsid w:val="00084F94"/>
    <w:pPr>
      <w:pBdr>
        <w:top w:val="single" w:sz="4" w:space="0" w:color="auto"/>
        <w:bottom w:val="single" w:sz="4" w:space="0" w:color="auto"/>
        <w:right w:val="single" w:sz="4" w:space="0" w:color="auto"/>
      </w:pBdr>
      <w:shd w:val="clear" w:color="000000" w:fill="A1F2FD"/>
      <w:spacing w:before="100" w:beforeAutospacing="1" w:after="100" w:afterAutospacing="1"/>
      <w:jc w:val="center"/>
      <w:textAlignment w:val="center"/>
    </w:pPr>
    <w:rPr>
      <w:rFonts w:cs="Arial"/>
      <w:b/>
      <w:bCs/>
      <w:sz w:val="24"/>
      <w:szCs w:val="24"/>
    </w:rPr>
  </w:style>
  <w:style w:type="paragraph" w:customStyle="1" w:styleId="xl78">
    <w:name w:val="xl78"/>
    <w:basedOn w:val="Normal"/>
    <w:uiPriority w:val="99"/>
    <w:rsid w:val="00084F9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rPr>
  </w:style>
  <w:style w:type="paragraph" w:customStyle="1" w:styleId="xl79">
    <w:name w:val="xl79"/>
    <w:basedOn w:val="Normal"/>
    <w:uiPriority w:val="99"/>
    <w:rsid w:val="00084F9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rPr>
  </w:style>
  <w:style w:type="paragraph" w:customStyle="1" w:styleId="xl80">
    <w:name w:val="xl80"/>
    <w:basedOn w:val="Normal"/>
    <w:uiPriority w:val="99"/>
    <w:rsid w:val="00084F94"/>
    <w:pPr>
      <w:spacing w:before="100" w:beforeAutospacing="1" w:after="100" w:afterAutospacing="1"/>
      <w:jc w:val="left"/>
      <w:textAlignment w:val="center"/>
    </w:pPr>
    <w:rPr>
      <w:rFonts w:cs="Arial"/>
      <w:sz w:val="24"/>
      <w:szCs w:val="24"/>
    </w:rPr>
  </w:style>
  <w:style w:type="paragraph" w:customStyle="1" w:styleId="xl81">
    <w:name w:val="xl81"/>
    <w:basedOn w:val="Normal"/>
    <w:uiPriority w:val="99"/>
    <w:rsid w:val="00084F94"/>
    <w:pPr>
      <w:spacing w:before="100" w:beforeAutospacing="1" w:after="100" w:afterAutospacing="1"/>
      <w:jc w:val="left"/>
      <w:textAlignment w:val="center"/>
    </w:pPr>
    <w:rPr>
      <w:rFonts w:cs="Arial"/>
      <w:sz w:val="24"/>
      <w:szCs w:val="24"/>
    </w:rPr>
  </w:style>
  <w:style w:type="paragraph" w:customStyle="1" w:styleId="xl82">
    <w:name w:val="xl82"/>
    <w:basedOn w:val="Normal"/>
    <w:uiPriority w:val="99"/>
    <w:rsid w:val="00084F94"/>
    <w:pPr>
      <w:pBdr>
        <w:top w:val="single" w:sz="4" w:space="0" w:color="auto"/>
        <w:right w:val="single" w:sz="4" w:space="0" w:color="auto"/>
      </w:pBdr>
      <w:shd w:val="clear" w:color="000000" w:fill="A1F2FD"/>
      <w:spacing w:before="100" w:beforeAutospacing="1" w:after="100" w:afterAutospacing="1"/>
      <w:jc w:val="center"/>
      <w:textAlignment w:val="center"/>
    </w:pPr>
    <w:rPr>
      <w:rFonts w:cs="Arial"/>
      <w:b/>
      <w:bCs/>
      <w:sz w:val="24"/>
      <w:szCs w:val="24"/>
    </w:rPr>
  </w:style>
  <w:style w:type="paragraph" w:customStyle="1" w:styleId="xl83">
    <w:name w:val="xl83"/>
    <w:basedOn w:val="Normal"/>
    <w:uiPriority w:val="99"/>
    <w:rsid w:val="00084F94"/>
    <w:pPr>
      <w:pBdr>
        <w:top w:val="single" w:sz="4" w:space="0" w:color="auto"/>
        <w:left w:val="single" w:sz="4" w:space="0" w:color="auto"/>
      </w:pBdr>
      <w:shd w:val="clear" w:color="000000" w:fill="A1F2FD"/>
      <w:spacing w:before="100" w:beforeAutospacing="1" w:after="100" w:afterAutospacing="1"/>
      <w:jc w:val="center"/>
      <w:textAlignment w:val="center"/>
    </w:pPr>
    <w:rPr>
      <w:rFonts w:cs="Arial"/>
      <w:b/>
      <w:bCs/>
      <w:sz w:val="24"/>
      <w:szCs w:val="24"/>
    </w:rPr>
  </w:style>
  <w:style w:type="paragraph" w:customStyle="1" w:styleId="xl84">
    <w:name w:val="xl84"/>
    <w:basedOn w:val="Normal"/>
    <w:uiPriority w:val="99"/>
    <w:rsid w:val="00084F94"/>
    <w:pPr>
      <w:pBdr>
        <w:bottom w:val="single" w:sz="4" w:space="0" w:color="auto"/>
        <w:right w:val="single" w:sz="4" w:space="0" w:color="auto"/>
      </w:pBdr>
      <w:shd w:val="clear" w:color="000000" w:fill="A1F2FD"/>
      <w:spacing w:before="100" w:beforeAutospacing="1" w:after="100" w:afterAutospacing="1"/>
      <w:jc w:val="center"/>
      <w:textAlignment w:val="center"/>
    </w:pPr>
    <w:rPr>
      <w:rFonts w:cs="Arial"/>
      <w:b/>
      <w:bCs/>
      <w:sz w:val="24"/>
      <w:szCs w:val="24"/>
    </w:rPr>
  </w:style>
  <w:style w:type="paragraph" w:customStyle="1" w:styleId="xl85">
    <w:name w:val="xl85"/>
    <w:basedOn w:val="Normal"/>
    <w:uiPriority w:val="99"/>
    <w:rsid w:val="00084F94"/>
    <w:pPr>
      <w:pBdr>
        <w:left w:val="single" w:sz="4" w:space="0" w:color="auto"/>
        <w:bottom w:val="single" w:sz="4" w:space="0" w:color="auto"/>
      </w:pBdr>
      <w:shd w:val="clear" w:color="000000" w:fill="A1F2FD"/>
      <w:spacing w:before="100" w:beforeAutospacing="1" w:after="100" w:afterAutospacing="1"/>
      <w:jc w:val="center"/>
      <w:textAlignment w:val="center"/>
    </w:pPr>
    <w:rPr>
      <w:rFonts w:cs="Arial"/>
      <w:b/>
      <w:bCs/>
      <w:sz w:val="24"/>
      <w:szCs w:val="24"/>
    </w:rPr>
  </w:style>
  <w:style w:type="paragraph" w:customStyle="1" w:styleId="xl86">
    <w:name w:val="xl86"/>
    <w:basedOn w:val="Normal"/>
    <w:uiPriority w:val="99"/>
    <w:rsid w:val="00084F94"/>
    <w:pPr>
      <w:pBdr>
        <w:top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rPr>
  </w:style>
  <w:style w:type="paragraph" w:customStyle="1" w:styleId="xl87">
    <w:name w:val="xl87"/>
    <w:basedOn w:val="Normal"/>
    <w:uiPriority w:val="99"/>
    <w:rsid w:val="00084F94"/>
    <w:pPr>
      <w:pBdr>
        <w:top w:val="single" w:sz="4" w:space="0" w:color="auto"/>
        <w:left w:val="single" w:sz="4" w:space="0" w:color="auto"/>
        <w:bottom w:val="single" w:sz="4" w:space="0" w:color="auto"/>
      </w:pBdr>
      <w:spacing w:before="100" w:beforeAutospacing="1" w:after="100" w:afterAutospacing="1"/>
      <w:jc w:val="center"/>
      <w:textAlignment w:val="center"/>
    </w:pPr>
    <w:rPr>
      <w:rFonts w:cs="Arial"/>
      <w:sz w:val="24"/>
      <w:szCs w:val="24"/>
    </w:rPr>
  </w:style>
  <w:style w:type="paragraph" w:customStyle="1" w:styleId="xl706">
    <w:name w:val="xl706"/>
    <w:basedOn w:val="Normal"/>
    <w:uiPriority w:val="99"/>
    <w:rsid w:val="00084F94"/>
    <w:pPr>
      <w:spacing w:before="100" w:beforeAutospacing="1" w:after="100" w:afterAutospacing="1"/>
      <w:jc w:val="left"/>
      <w:textAlignment w:val="center"/>
    </w:pPr>
    <w:rPr>
      <w:rFonts w:ascii="Times New Roman" w:hAnsi="Times New Roman"/>
      <w:sz w:val="24"/>
      <w:szCs w:val="24"/>
    </w:rPr>
  </w:style>
  <w:style w:type="paragraph" w:customStyle="1" w:styleId="xl707">
    <w:name w:val="xl707"/>
    <w:basedOn w:val="Normal"/>
    <w:uiPriority w:val="99"/>
    <w:rsid w:val="00084F94"/>
    <w:pPr>
      <w:spacing w:before="100" w:beforeAutospacing="1" w:after="100" w:afterAutospacing="1"/>
      <w:jc w:val="center"/>
      <w:textAlignment w:val="center"/>
    </w:pPr>
    <w:rPr>
      <w:rFonts w:ascii="Times New Roman" w:hAnsi="Times New Roman"/>
      <w:sz w:val="24"/>
      <w:szCs w:val="24"/>
    </w:rPr>
  </w:style>
  <w:style w:type="paragraph" w:customStyle="1" w:styleId="xl708">
    <w:name w:val="xl708"/>
    <w:basedOn w:val="Normal"/>
    <w:uiPriority w:val="99"/>
    <w:rsid w:val="00084F94"/>
    <w:pPr>
      <w:pBdr>
        <w:left w:val="single" w:sz="4" w:space="0" w:color="auto"/>
        <w:right w:val="single" w:sz="4" w:space="0" w:color="auto"/>
      </w:pBdr>
      <w:shd w:val="clear" w:color="FFFFFF" w:fill="FFFFFF"/>
      <w:spacing w:before="100" w:beforeAutospacing="1" w:after="100" w:afterAutospacing="1"/>
      <w:jc w:val="center"/>
      <w:textAlignment w:val="center"/>
    </w:pPr>
    <w:rPr>
      <w:rFonts w:cs="Arial"/>
      <w:sz w:val="24"/>
      <w:szCs w:val="24"/>
    </w:rPr>
  </w:style>
  <w:style w:type="paragraph" w:customStyle="1" w:styleId="xl709">
    <w:name w:val="xl709"/>
    <w:basedOn w:val="Normal"/>
    <w:uiPriority w:val="99"/>
    <w:rsid w:val="00084F94"/>
    <w:pPr>
      <w:pBdr>
        <w:right w:val="single" w:sz="4" w:space="0" w:color="auto"/>
      </w:pBdr>
      <w:shd w:val="clear" w:color="000000" w:fill="FFFFFF"/>
      <w:spacing w:before="100" w:beforeAutospacing="1" w:after="100" w:afterAutospacing="1"/>
      <w:jc w:val="center"/>
      <w:textAlignment w:val="center"/>
    </w:pPr>
    <w:rPr>
      <w:rFonts w:ascii="Times New Roman" w:hAnsi="Times New Roman"/>
      <w:sz w:val="24"/>
      <w:szCs w:val="24"/>
    </w:rPr>
  </w:style>
  <w:style w:type="paragraph" w:customStyle="1" w:styleId="xl710">
    <w:name w:val="xl710"/>
    <w:basedOn w:val="Normal"/>
    <w:uiPriority w:val="99"/>
    <w:rsid w:val="00084F94"/>
    <w:pPr>
      <w:pBdr>
        <w:left w:val="single" w:sz="4" w:space="0" w:color="auto"/>
        <w:right w:val="single" w:sz="4" w:space="0" w:color="auto"/>
      </w:pBdr>
      <w:shd w:val="clear" w:color="FFFFFF" w:fill="FFFFFF"/>
      <w:spacing w:before="100" w:beforeAutospacing="1" w:after="100" w:afterAutospacing="1"/>
      <w:textAlignment w:val="center"/>
    </w:pPr>
    <w:rPr>
      <w:rFonts w:cs="Arial"/>
      <w:sz w:val="24"/>
      <w:szCs w:val="24"/>
    </w:rPr>
  </w:style>
  <w:style w:type="paragraph" w:customStyle="1" w:styleId="xl711">
    <w:name w:val="xl711"/>
    <w:basedOn w:val="Normal"/>
    <w:uiPriority w:val="99"/>
    <w:rsid w:val="00084F94"/>
    <w:pPr>
      <w:pBdr>
        <w:left w:val="single" w:sz="4" w:space="0" w:color="auto"/>
        <w:right w:val="single" w:sz="4" w:space="0" w:color="auto"/>
      </w:pBdr>
      <w:shd w:val="clear" w:color="FFFFFF" w:fill="FFFFFF"/>
      <w:spacing w:before="100" w:beforeAutospacing="1" w:after="100" w:afterAutospacing="1"/>
      <w:textAlignment w:val="center"/>
    </w:pPr>
    <w:rPr>
      <w:rFonts w:cs="Arial"/>
      <w:sz w:val="18"/>
      <w:szCs w:val="18"/>
    </w:rPr>
  </w:style>
  <w:style w:type="paragraph" w:customStyle="1" w:styleId="xl712">
    <w:name w:val="xl712"/>
    <w:basedOn w:val="Normal"/>
    <w:uiPriority w:val="99"/>
    <w:rsid w:val="00084F94"/>
    <w:pPr>
      <w:pBdr>
        <w:top w:val="single" w:sz="4" w:space="0" w:color="auto"/>
        <w:left w:val="single" w:sz="4" w:space="0" w:color="auto"/>
        <w:bottom w:val="single" w:sz="4" w:space="0" w:color="auto"/>
        <w:right w:val="single" w:sz="4" w:space="0" w:color="auto"/>
      </w:pBdr>
      <w:shd w:val="clear" w:color="000000" w:fill="A1F2FD"/>
      <w:spacing w:before="100" w:beforeAutospacing="1" w:after="100" w:afterAutospacing="1"/>
      <w:jc w:val="center"/>
      <w:textAlignment w:val="center"/>
    </w:pPr>
    <w:rPr>
      <w:rFonts w:cs="Arial"/>
      <w:sz w:val="24"/>
      <w:szCs w:val="24"/>
    </w:rPr>
  </w:style>
  <w:style w:type="paragraph" w:customStyle="1" w:styleId="xl713">
    <w:name w:val="xl713"/>
    <w:basedOn w:val="Normal"/>
    <w:uiPriority w:val="99"/>
    <w:rsid w:val="00084F94"/>
    <w:pPr>
      <w:pBdr>
        <w:top w:val="single" w:sz="4" w:space="0" w:color="auto"/>
        <w:bottom w:val="single" w:sz="4" w:space="0" w:color="auto"/>
        <w:right w:val="single" w:sz="4" w:space="0" w:color="auto"/>
      </w:pBdr>
      <w:shd w:val="clear" w:color="000000" w:fill="A1F2FD"/>
      <w:spacing w:before="100" w:beforeAutospacing="1" w:after="100" w:afterAutospacing="1"/>
      <w:jc w:val="center"/>
      <w:textAlignment w:val="center"/>
    </w:pPr>
    <w:rPr>
      <w:rFonts w:cs="Arial"/>
      <w:sz w:val="24"/>
      <w:szCs w:val="24"/>
    </w:rPr>
  </w:style>
  <w:style w:type="paragraph" w:customStyle="1" w:styleId="xl714">
    <w:name w:val="xl714"/>
    <w:basedOn w:val="Normal"/>
    <w:uiPriority w:val="99"/>
    <w:rsid w:val="00084F94"/>
    <w:pPr>
      <w:pBdr>
        <w:top w:val="single" w:sz="4" w:space="0" w:color="auto"/>
        <w:left w:val="single" w:sz="4" w:space="0" w:color="auto"/>
        <w:bottom w:val="single" w:sz="4" w:space="0" w:color="auto"/>
      </w:pBdr>
      <w:shd w:val="clear" w:color="000000" w:fill="A1F2FD"/>
      <w:spacing w:before="100" w:beforeAutospacing="1" w:after="100" w:afterAutospacing="1"/>
      <w:jc w:val="center"/>
      <w:textAlignment w:val="center"/>
    </w:pPr>
    <w:rPr>
      <w:rFonts w:cs="Arial"/>
      <w:sz w:val="24"/>
      <w:szCs w:val="24"/>
    </w:rPr>
  </w:style>
  <w:style w:type="paragraph" w:customStyle="1" w:styleId="xl715">
    <w:name w:val="xl715"/>
    <w:basedOn w:val="Normal"/>
    <w:uiPriority w:val="99"/>
    <w:rsid w:val="00084F94"/>
    <w:pPr>
      <w:shd w:val="clear" w:color="000000" w:fill="000000"/>
      <w:spacing w:before="100" w:beforeAutospacing="1" w:after="100" w:afterAutospacing="1"/>
      <w:jc w:val="left"/>
      <w:textAlignment w:val="center"/>
    </w:pPr>
    <w:rPr>
      <w:rFonts w:ascii="Times New Roman" w:hAnsi="Times New Roman"/>
      <w:color w:val="FFFFFF"/>
      <w:sz w:val="24"/>
      <w:szCs w:val="24"/>
    </w:rPr>
  </w:style>
  <w:style w:type="paragraph" w:customStyle="1" w:styleId="xl88">
    <w:name w:val="xl88"/>
    <w:basedOn w:val="Normal"/>
    <w:uiPriority w:val="99"/>
    <w:rsid w:val="00084F94"/>
    <w:pPr>
      <w:spacing w:before="100" w:beforeAutospacing="1" w:after="100" w:afterAutospacing="1"/>
      <w:jc w:val="left"/>
    </w:pPr>
    <w:rPr>
      <w:rFonts w:ascii="Times New Roman" w:hAnsi="Times New Roman"/>
      <w:sz w:val="24"/>
      <w:szCs w:val="24"/>
    </w:rPr>
  </w:style>
  <w:style w:type="paragraph" w:customStyle="1" w:styleId="xl89">
    <w:name w:val="xl89"/>
    <w:basedOn w:val="Normal"/>
    <w:uiPriority w:val="99"/>
    <w:rsid w:val="00084F94"/>
    <w:pPr>
      <w:pBdr>
        <w:left w:val="single" w:sz="8" w:space="0" w:color="00B050"/>
      </w:pBdr>
      <w:shd w:val="clear" w:color="000000" w:fill="8EA9DB"/>
      <w:spacing w:before="100" w:beforeAutospacing="1" w:after="100" w:afterAutospacing="1"/>
      <w:jc w:val="center"/>
      <w:textAlignment w:val="center"/>
    </w:pPr>
    <w:rPr>
      <w:rFonts w:cs="Arial"/>
      <w:b/>
      <w:bCs/>
      <w:sz w:val="18"/>
      <w:szCs w:val="18"/>
    </w:rPr>
  </w:style>
  <w:style w:type="paragraph" w:customStyle="1" w:styleId="xl90">
    <w:name w:val="xl90"/>
    <w:basedOn w:val="Normal"/>
    <w:uiPriority w:val="99"/>
    <w:rsid w:val="00084F94"/>
    <w:pPr>
      <w:pBdr>
        <w:top w:val="single" w:sz="4" w:space="0" w:color="EBEBEB"/>
        <w:left w:val="single" w:sz="8" w:space="0" w:color="auto"/>
      </w:pBdr>
      <w:shd w:val="clear" w:color="FFFFFF" w:fill="EDEDED"/>
      <w:spacing w:before="100" w:beforeAutospacing="1" w:after="100" w:afterAutospacing="1"/>
      <w:jc w:val="center"/>
      <w:textAlignment w:val="center"/>
    </w:pPr>
    <w:rPr>
      <w:rFonts w:cs="Arial"/>
      <w:color w:val="00B050"/>
      <w:sz w:val="18"/>
      <w:szCs w:val="18"/>
    </w:rPr>
  </w:style>
  <w:style w:type="paragraph" w:customStyle="1" w:styleId="xl91">
    <w:name w:val="xl91"/>
    <w:basedOn w:val="Normal"/>
    <w:uiPriority w:val="99"/>
    <w:rsid w:val="00084F94"/>
    <w:pPr>
      <w:shd w:val="clear" w:color="000000" w:fill="E7E6E6"/>
      <w:spacing w:before="100" w:beforeAutospacing="1" w:after="100" w:afterAutospacing="1"/>
      <w:jc w:val="center"/>
      <w:textAlignment w:val="center"/>
    </w:pPr>
    <w:rPr>
      <w:rFonts w:cs="Arial"/>
      <w:b/>
      <w:bCs/>
      <w:color w:val="1F4E78"/>
      <w:sz w:val="18"/>
      <w:szCs w:val="18"/>
    </w:rPr>
  </w:style>
  <w:style w:type="paragraph" w:customStyle="1" w:styleId="xl92">
    <w:name w:val="xl92"/>
    <w:basedOn w:val="Normal"/>
    <w:uiPriority w:val="99"/>
    <w:rsid w:val="00084F94"/>
    <w:pPr>
      <w:pBdr>
        <w:top w:val="single" w:sz="8" w:space="0" w:color="auto"/>
        <w:left w:val="single" w:sz="8" w:space="0" w:color="auto"/>
        <w:bottom w:val="single" w:sz="4" w:space="0" w:color="auto"/>
      </w:pBdr>
      <w:shd w:val="clear" w:color="000000" w:fill="FFFFFF"/>
      <w:spacing w:before="100" w:beforeAutospacing="1" w:after="100" w:afterAutospacing="1"/>
      <w:jc w:val="center"/>
      <w:textAlignment w:val="center"/>
    </w:pPr>
    <w:rPr>
      <w:rFonts w:cs="Arial"/>
      <w:b/>
      <w:bCs/>
      <w:color w:val="0066CC"/>
      <w:sz w:val="18"/>
      <w:szCs w:val="18"/>
    </w:rPr>
  </w:style>
  <w:style w:type="paragraph" w:customStyle="1" w:styleId="xl100">
    <w:name w:val="xl100"/>
    <w:basedOn w:val="Normal"/>
    <w:uiPriority w:val="99"/>
    <w:rsid w:val="00084F94"/>
    <w:pPr>
      <w:pBdr>
        <w:top w:val="single" w:sz="4" w:space="0" w:color="E2E7EB"/>
        <w:left w:val="single" w:sz="4" w:space="0" w:color="E2E7EB"/>
      </w:pBdr>
      <w:shd w:val="clear" w:color="000000" w:fill="FFFFFF"/>
      <w:spacing w:before="100" w:beforeAutospacing="1" w:after="100" w:afterAutospacing="1"/>
      <w:jc w:val="center"/>
      <w:textAlignment w:val="center"/>
    </w:pPr>
    <w:rPr>
      <w:rFonts w:cs="Arial"/>
      <w:b/>
      <w:bCs/>
      <w:color w:val="808000"/>
    </w:rPr>
  </w:style>
  <w:style w:type="paragraph" w:customStyle="1" w:styleId="xl101">
    <w:name w:val="xl101"/>
    <w:basedOn w:val="Normal"/>
    <w:uiPriority w:val="99"/>
    <w:rsid w:val="00084F94"/>
    <w:pPr>
      <w:pBdr>
        <w:top w:val="single" w:sz="4" w:space="0" w:color="auto"/>
        <w:left w:val="single" w:sz="8" w:space="0" w:color="auto"/>
        <w:bottom w:val="single" w:sz="4" w:space="0" w:color="auto"/>
      </w:pBdr>
      <w:shd w:val="clear" w:color="000000" w:fill="FFFFFF"/>
      <w:spacing w:before="100" w:beforeAutospacing="1" w:after="100" w:afterAutospacing="1"/>
      <w:jc w:val="center"/>
      <w:textAlignment w:val="center"/>
    </w:pPr>
    <w:rPr>
      <w:rFonts w:cs="Arial"/>
      <w:b/>
      <w:bCs/>
      <w:color w:val="0066CC"/>
      <w:sz w:val="18"/>
      <w:szCs w:val="18"/>
    </w:rPr>
  </w:style>
  <w:style w:type="paragraph" w:customStyle="1" w:styleId="xl102">
    <w:name w:val="xl102"/>
    <w:basedOn w:val="Normal"/>
    <w:uiPriority w:val="99"/>
    <w:rsid w:val="00084F94"/>
    <w:pPr>
      <w:pBdr>
        <w:top w:val="single" w:sz="4" w:space="0" w:color="auto"/>
        <w:left w:val="single" w:sz="8" w:space="0" w:color="auto"/>
      </w:pBdr>
      <w:shd w:val="clear" w:color="000000" w:fill="FFFFFF"/>
      <w:spacing w:before="100" w:beforeAutospacing="1" w:after="100" w:afterAutospacing="1"/>
      <w:jc w:val="center"/>
      <w:textAlignment w:val="center"/>
    </w:pPr>
    <w:rPr>
      <w:rFonts w:cs="Arial"/>
      <w:b/>
      <w:bCs/>
      <w:color w:val="0066CC"/>
      <w:sz w:val="18"/>
      <w:szCs w:val="18"/>
    </w:rPr>
  </w:style>
  <w:style w:type="paragraph" w:customStyle="1" w:styleId="xl103">
    <w:name w:val="xl103"/>
    <w:basedOn w:val="Normal"/>
    <w:uiPriority w:val="99"/>
    <w:rsid w:val="00084F94"/>
    <w:pPr>
      <w:pBdr>
        <w:top w:val="single" w:sz="8" w:space="0" w:color="auto"/>
        <w:left w:val="single" w:sz="4" w:space="0" w:color="E2E7EB"/>
        <w:bottom w:val="single" w:sz="8" w:space="0" w:color="auto"/>
      </w:pBdr>
      <w:shd w:val="clear" w:color="000000" w:fill="000000"/>
      <w:spacing w:before="100" w:beforeAutospacing="1" w:after="100" w:afterAutospacing="1"/>
      <w:jc w:val="center"/>
    </w:pPr>
    <w:rPr>
      <w:rFonts w:cs="Arial"/>
      <w:color w:val="808080"/>
    </w:rPr>
  </w:style>
  <w:style w:type="paragraph" w:customStyle="1" w:styleId="xl104">
    <w:name w:val="xl104"/>
    <w:basedOn w:val="Normal"/>
    <w:uiPriority w:val="99"/>
    <w:rsid w:val="00084F94"/>
    <w:pPr>
      <w:pBdr>
        <w:top w:val="single" w:sz="4" w:space="0" w:color="E2E7EB"/>
        <w:left w:val="single" w:sz="4" w:space="0" w:color="E2E7EB"/>
        <w:bottom w:val="single" w:sz="4" w:space="0" w:color="E2E7EB"/>
      </w:pBdr>
      <w:shd w:val="clear" w:color="000000" w:fill="FFFFFF"/>
      <w:spacing w:before="100" w:beforeAutospacing="1" w:after="100" w:afterAutospacing="1"/>
      <w:jc w:val="right"/>
      <w:textAlignment w:val="center"/>
    </w:pPr>
    <w:rPr>
      <w:rFonts w:cs="Arial"/>
      <w:b/>
      <w:bCs/>
      <w:color w:val="808000"/>
    </w:rPr>
  </w:style>
  <w:style w:type="character" w:customStyle="1" w:styleId="MenoPendente2">
    <w:name w:val="Menção Pendente2"/>
    <w:basedOn w:val="Fontepargpadro"/>
    <w:uiPriority w:val="99"/>
    <w:semiHidden/>
    <w:unhideWhenUsed/>
    <w:rsid w:val="00D44C63"/>
    <w:rPr>
      <w:color w:val="605E5C"/>
      <w:shd w:val="clear" w:color="auto" w:fill="E1DFDD"/>
    </w:rPr>
  </w:style>
  <w:style w:type="paragraph" w:customStyle="1" w:styleId="trt0xe">
    <w:name w:val="trt0xe"/>
    <w:basedOn w:val="Normal"/>
    <w:uiPriority w:val="99"/>
    <w:rsid w:val="00D44C63"/>
    <w:pPr>
      <w:spacing w:before="100" w:beforeAutospacing="1" w:after="100" w:afterAutospacing="1"/>
      <w:jc w:val="left"/>
    </w:pPr>
    <w:rPr>
      <w:rFonts w:ascii="Times New Roman" w:hAnsi="Times New Roman"/>
      <w:sz w:val="24"/>
      <w:szCs w:val="24"/>
    </w:rPr>
  </w:style>
  <w:style w:type="paragraph" w:customStyle="1" w:styleId="xl105">
    <w:name w:val="xl105"/>
    <w:basedOn w:val="Normal"/>
    <w:uiPriority w:val="99"/>
    <w:rsid w:val="00D44C63"/>
    <w:pPr>
      <w:pBdr>
        <w:top w:val="single" w:sz="8" w:space="0" w:color="FFFFFF"/>
        <w:right w:val="single" w:sz="8" w:space="0" w:color="auto"/>
      </w:pBdr>
      <w:shd w:val="clear" w:color="000000" w:fill="FFFFFF"/>
      <w:spacing w:before="100" w:beforeAutospacing="1" w:after="100" w:afterAutospacing="1"/>
      <w:jc w:val="center"/>
      <w:textAlignment w:val="center"/>
    </w:pPr>
    <w:rPr>
      <w:rFonts w:cs="Arial"/>
      <w:color w:val="000000"/>
      <w:sz w:val="24"/>
      <w:szCs w:val="24"/>
    </w:rPr>
  </w:style>
  <w:style w:type="paragraph" w:customStyle="1" w:styleId="xl106">
    <w:name w:val="xl106"/>
    <w:basedOn w:val="Normal"/>
    <w:uiPriority w:val="99"/>
    <w:rsid w:val="00D44C63"/>
    <w:pPr>
      <w:pBdr>
        <w:left w:val="single" w:sz="8" w:space="0" w:color="auto"/>
      </w:pBdr>
      <w:shd w:val="clear" w:color="000000" w:fill="FFFFFF"/>
      <w:spacing w:before="100" w:beforeAutospacing="1" w:after="100" w:afterAutospacing="1"/>
      <w:jc w:val="left"/>
      <w:textAlignment w:val="center"/>
    </w:pPr>
    <w:rPr>
      <w:rFonts w:cs="Arial"/>
      <w:color w:val="000000"/>
      <w:sz w:val="24"/>
      <w:szCs w:val="24"/>
    </w:rPr>
  </w:style>
  <w:style w:type="paragraph" w:customStyle="1" w:styleId="xl107">
    <w:name w:val="xl107"/>
    <w:basedOn w:val="Normal"/>
    <w:uiPriority w:val="99"/>
    <w:rsid w:val="00D44C63"/>
    <w:pPr>
      <w:pBdr>
        <w:left w:val="single" w:sz="8" w:space="0" w:color="auto"/>
        <w:right w:val="single" w:sz="8" w:space="0" w:color="auto"/>
      </w:pBdr>
      <w:shd w:val="clear" w:color="000000" w:fill="FFFFFF"/>
      <w:spacing w:before="100" w:beforeAutospacing="1" w:after="100" w:afterAutospacing="1"/>
      <w:jc w:val="left"/>
      <w:textAlignment w:val="center"/>
    </w:pPr>
    <w:rPr>
      <w:rFonts w:cs="Arial"/>
      <w:color w:val="000000"/>
      <w:sz w:val="24"/>
      <w:szCs w:val="24"/>
    </w:rPr>
  </w:style>
  <w:style w:type="paragraph" w:customStyle="1" w:styleId="xl108">
    <w:name w:val="xl108"/>
    <w:basedOn w:val="Normal"/>
    <w:uiPriority w:val="99"/>
    <w:rsid w:val="00D44C63"/>
    <w:pPr>
      <w:pBdr>
        <w:left w:val="single" w:sz="8" w:space="0" w:color="auto"/>
        <w:right w:val="single" w:sz="8" w:space="0" w:color="auto"/>
      </w:pBdr>
      <w:shd w:val="clear" w:color="000000" w:fill="FFFFFF"/>
      <w:spacing w:before="100" w:beforeAutospacing="1" w:after="100" w:afterAutospacing="1"/>
      <w:jc w:val="left"/>
      <w:textAlignment w:val="center"/>
    </w:pPr>
    <w:rPr>
      <w:rFonts w:cs="Arial"/>
      <w:color w:val="000000"/>
      <w:sz w:val="24"/>
      <w:szCs w:val="24"/>
    </w:rPr>
  </w:style>
  <w:style w:type="paragraph" w:customStyle="1" w:styleId="xl109">
    <w:name w:val="xl109"/>
    <w:basedOn w:val="Normal"/>
    <w:uiPriority w:val="99"/>
    <w:rsid w:val="00D44C63"/>
    <w:pPr>
      <w:pBdr>
        <w:right w:val="single" w:sz="8" w:space="0" w:color="auto"/>
      </w:pBdr>
      <w:shd w:val="clear" w:color="000000" w:fill="FFFFFF"/>
      <w:spacing w:before="100" w:beforeAutospacing="1" w:after="100" w:afterAutospacing="1"/>
      <w:jc w:val="center"/>
      <w:textAlignment w:val="center"/>
    </w:pPr>
    <w:rPr>
      <w:rFonts w:cs="Arial"/>
      <w:color w:val="000000"/>
      <w:sz w:val="24"/>
      <w:szCs w:val="24"/>
    </w:rPr>
  </w:style>
  <w:style w:type="paragraph" w:customStyle="1" w:styleId="xl110">
    <w:name w:val="xl110"/>
    <w:basedOn w:val="Normal"/>
    <w:uiPriority w:val="99"/>
    <w:rsid w:val="00D44C63"/>
    <w:pPr>
      <w:pBdr>
        <w:top w:val="single" w:sz="8" w:space="0" w:color="auto"/>
        <w:left w:val="single" w:sz="8" w:space="0" w:color="auto"/>
        <w:bottom w:val="single" w:sz="8" w:space="0" w:color="auto"/>
      </w:pBdr>
      <w:shd w:val="clear" w:color="000000" w:fill="A1F2FD"/>
      <w:spacing w:before="100" w:beforeAutospacing="1" w:after="100" w:afterAutospacing="1"/>
      <w:jc w:val="left"/>
      <w:textAlignment w:val="center"/>
    </w:pPr>
    <w:rPr>
      <w:rFonts w:cs="Arial"/>
      <w:b/>
      <w:bCs/>
      <w:sz w:val="24"/>
      <w:szCs w:val="24"/>
    </w:rPr>
  </w:style>
  <w:style w:type="paragraph" w:customStyle="1" w:styleId="xl111">
    <w:name w:val="xl111"/>
    <w:basedOn w:val="Normal"/>
    <w:uiPriority w:val="99"/>
    <w:rsid w:val="00D44C63"/>
    <w:pPr>
      <w:shd w:val="clear" w:color="000000" w:fill="000000"/>
      <w:spacing w:before="100" w:beforeAutospacing="1" w:after="100" w:afterAutospacing="1"/>
      <w:jc w:val="left"/>
      <w:textAlignment w:val="center"/>
    </w:pPr>
    <w:rPr>
      <w:rFonts w:cs="Arial"/>
      <w:b/>
      <w:bCs/>
      <w:sz w:val="24"/>
      <w:szCs w:val="24"/>
    </w:rPr>
  </w:style>
  <w:style w:type="paragraph" w:customStyle="1" w:styleId="xl112">
    <w:name w:val="xl112"/>
    <w:basedOn w:val="Normal"/>
    <w:uiPriority w:val="99"/>
    <w:rsid w:val="00D44C63"/>
    <w:pPr>
      <w:pBdr>
        <w:top w:val="single" w:sz="8" w:space="0" w:color="auto"/>
        <w:left w:val="single" w:sz="8" w:space="0" w:color="auto"/>
        <w:bottom w:val="single" w:sz="8" w:space="0" w:color="auto"/>
        <w:right w:val="single" w:sz="8" w:space="0" w:color="auto"/>
      </w:pBdr>
      <w:shd w:val="clear" w:color="000000" w:fill="A1F2FD"/>
      <w:spacing w:before="100" w:beforeAutospacing="1" w:after="100" w:afterAutospacing="1"/>
      <w:jc w:val="left"/>
      <w:textAlignment w:val="center"/>
    </w:pPr>
    <w:rPr>
      <w:rFonts w:cs="Arial"/>
      <w:b/>
      <w:bCs/>
      <w:sz w:val="24"/>
      <w:szCs w:val="24"/>
    </w:rPr>
  </w:style>
  <w:style w:type="paragraph" w:customStyle="1" w:styleId="xl113">
    <w:name w:val="xl113"/>
    <w:basedOn w:val="Normal"/>
    <w:uiPriority w:val="99"/>
    <w:rsid w:val="00D44C63"/>
    <w:pPr>
      <w:pBdr>
        <w:top w:val="single" w:sz="8" w:space="0" w:color="auto"/>
        <w:left w:val="single" w:sz="8" w:space="0" w:color="auto"/>
      </w:pBdr>
      <w:shd w:val="clear" w:color="000000" w:fill="FFFFFF"/>
      <w:spacing w:before="100" w:beforeAutospacing="1" w:after="100" w:afterAutospacing="1"/>
      <w:jc w:val="left"/>
      <w:textAlignment w:val="center"/>
    </w:pPr>
    <w:rPr>
      <w:rFonts w:cs="Arial"/>
      <w:color w:val="000000"/>
      <w:sz w:val="24"/>
      <w:szCs w:val="24"/>
    </w:rPr>
  </w:style>
  <w:style w:type="paragraph" w:customStyle="1" w:styleId="xl114">
    <w:name w:val="xl114"/>
    <w:basedOn w:val="Normal"/>
    <w:uiPriority w:val="99"/>
    <w:rsid w:val="00D44C63"/>
    <w:pPr>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rFonts w:cs="Arial"/>
      <w:color w:val="000000"/>
      <w:sz w:val="24"/>
      <w:szCs w:val="24"/>
    </w:rPr>
  </w:style>
  <w:style w:type="paragraph" w:customStyle="1" w:styleId="xl115">
    <w:name w:val="xl115"/>
    <w:basedOn w:val="Normal"/>
    <w:uiPriority w:val="99"/>
    <w:rsid w:val="00D44C63"/>
    <w:pPr>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rFonts w:cs="Arial"/>
      <w:color w:val="000000"/>
      <w:sz w:val="24"/>
      <w:szCs w:val="24"/>
    </w:rPr>
  </w:style>
  <w:style w:type="paragraph" w:customStyle="1" w:styleId="xl116">
    <w:name w:val="xl116"/>
    <w:basedOn w:val="Normal"/>
    <w:uiPriority w:val="99"/>
    <w:rsid w:val="00D44C63"/>
    <w:pPr>
      <w:pBdr>
        <w:top w:val="single" w:sz="8" w:space="0" w:color="auto"/>
        <w:right w:val="single" w:sz="8" w:space="0" w:color="auto"/>
      </w:pBdr>
      <w:shd w:val="clear" w:color="000000" w:fill="FFFFFF"/>
      <w:spacing w:before="100" w:beforeAutospacing="1" w:after="100" w:afterAutospacing="1"/>
      <w:jc w:val="center"/>
      <w:textAlignment w:val="center"/>
    </w:pPr>
    <w:rPr>
      <w:rFonts w:cs="Arial"/>
      <w:color w:val="000000"/>
      <w:sz w:val="24"/>
      <w:szCs w:val="24"/>
    </w:rPr>
  </w:style>
  <w:style w:type="paragraph" w:customStyle="1" w:styleId="xl117">
    <w:name w:val="xl117"/>
    <w:basedOn w:val="Normal"/>
    <w:uiPriority w:val="99"/>
    <w:rsid w:val="00D44C63"/>
    <w:pPr>
      <w:spacing w:before="100" w:beforeAutospacing="1" w:after="100" w:afterAutospacing="1"/>
      <w:jc w:val="left"/>
    </w:pPr>
    <w:rPr>
      <w:rFonts w:cs="Arial"/>
      <w:sz w:val="24"/>
      <w:szCs w:val="24"/>
    </w:rPr>
  </w:style>
  <w:style w:type="paragraph" w:customStyle="1" w:styleId="xl118">
    <w:name w:val="xl118"/>
    <w:basedOn w:val="Normal"/>
    <w:uiPriority w:val="99"/>
    <w:rsid w:val="00D44C63"/>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cs="Arial"/>
      <w:b/>
      <w:bCs/>
      <w:sz w:val="18"/>
      <w:szCs w:val="18"/>
    </w:rPr>
  </w:style>
  <w:style w:type="paragraph" w:customStyle="1" w:styleId="xl119">
    <w:name w:val="xl119"/>
    <w:basedOn w:val="Normal"/>
    <w:uiPriority w:val="99"/>
    <w:rsid w:val="00D44C63"/>
    <w:pPr>
      <w:shd w:val="clear" w:color="000000" w:fill="000000"/>
      <w:spacing w:before="100" w:beforeAutospacing="1" w:after="100" w:afterAutospacing="1"/>
      <w:jc w:val="left"/>
      <w:textAlignment w:val="center"/>
    </w:pPr>
    <w:rPr>
      <w:rFonts w:cs="Arial"/>
      <w:b/>
      <w:bCs/>
      <w:sz w:val="18"/>
      <w:szCs w:val="18"/>
    </w:rPr>
  </w:style>
  <w:style w:type="paragraph" w:customStyle="1" w:styleId="xl120">
    <w:name w:val="xl120"/>
    <w:basedOn w:val="Normal"/>
    <w:uiPriority w:val="99"/>
    <w:rsid w:val="00D44C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cs="Arial"/>
      <w:b/>
      <w:bCs/>
      <w:sz w:val="18"/>
      <w:szCs w:val="18"/>
    </w:rPr>
  </w:style>
  <w:style w:type="paragraph" w:customStyle="1" w:styleId="xl121">
    <w:name w:val="xl121"/>
    <w:basedOn w:val="Normal"/>
    <w:uiPriority w:val="99"/>
    <w:rsid w:val="00D44C63"/>
    <w:pPr>
      <w:shd w:val="clear" w:color="000000" w:fill="000000"/>
      <w:spacing w:before="100" w:beforeAutospacing="1" w:after="100" w:afterAutospacing="1"/>
      <w:jc w:val="center"/>
      <w:textAlignment w:val="center"/>
    </w:pPr>
    <w:rPr>
      <w:rFonts w:cs="Arial"/>
      <w:sz w:val="24"/>
      <w:szCs w:val="24"/>
    </w:rPr>
  </w:style>
  <w:style w:type="paragraph" w:customStyle="1" w:styleId="xl122">
    <w:name w:val="xl122"/>
    <w:basedOn w:val="Normal"/>
    <w:uiPriority w:val="99"/>
    <w:rsid w:val="00D44C63"/>
    <w:pPr>
      <w:pBdr>
        <w:top w:val="single" w:sz="8" w:space="0" w:color="auto"/>
        <w:left w:val="single" w:sz="8" w:space="0" w:color="auto"/>
        <w:bottom w:val="single" w:sz="8" w:space="0" w:color="auto"/>
      </w:pBdr>
      <w:shd w:val="clear" w:color="000000" w:fill="7CEDFC"/>
      <w:spacing w:before="100" w:beforeAutospacing="1" w:after="100" w:afterAutospacing="1"/>
      <w:jc w:val="center"/>
      <w:textAlignment w:val="center"/>
    </w:pPr>
    <w:rPr>
      <w:rFonts w:cs="Arial"/>
      <w:sz w:val="24"/>
      <w:szCs w:val="24"/>
    </w:rPr>
  </w:style>
  <w:style w:type="paragraph" w:customStyle="1" w:styleId="xl123">
    <w:name w:val="xl123"/>
    <w:basedOn w:val="Normal"/>
    <w:uiPriority w:val="99"/>
    <w:rsid w:val="00D44C63"/>
    <w:pPr>
      <w:pBdr>
        <w:top w:val="single" w:sz="8" w:space="0" w:color="auto"/>
        <w:left w:val="single" w:sz="8" w:space="0" w:color="auto"/>
        <w:bottom w:val="single" w:sz="8" w:space="0" w:color="auto"/>
        <w:right w:val="single" w:sz="8" w:space="0" w:color="auto"/>
      </w:pBdr>
      <w:shd w:val="clear" w:color="000000" w:fill="7CEDFC"/>
      <w:spacing w:before="100" w:beforeAutospacing="1" w:after="100" w:afterAutospacing="1"/>
      <w:jc w:val="center"/>
      <w:textAlignment w:val="center"/>
    </w:pPr>
    <w:rPr>
      <w:rFonts w:cs="Arial"/>
      <w:sz w:val="24"/>
      <w:szCs w:val="24"/>
    </w:rPr>
  </w:style>
  <w:style w:type="paragraph" w:customStyle="1" w:styleId="xl124">
    <w:name w:val="xl124"/>
    <w:basedOn w:val="Normal"/>
    <w:uiPriority w:val="99"/>
    <w:rsid w:val="00D44C63"/>
    <w:pPr>
      <w:pBdr>
        <w:top w:val="single" w:sz="8" w:space="0" w:color="auto"/>
        <w:bottom w:val="single" w:sz="8" w:space="0" w:color="auto"/>
      </w:pBdr>
      <w:shd w:val="clear" w:color="000000" w:fill="000000"/>
      <w:spacing w:before="100" w:beforeAutospacing="1" w:after="100" w:afterAutospacing="1"/>
      <w:jc w:val="center"/>
      <w:textAlignment w:val="center"/>
    </w:pPr>
    <w:rPr>
      <w:rFonts w:cs="Arial"/>
      <w:b/>
      <w:bCs/>
      <w:color w:val="FFFFFF"/>
      <w:sz w:val="24"/>
      <w:szCs w:val="24"/>
    </w:rPr>
  </w:style>
  <w:style w:type="paragraph" w:customStyle="1" w:styleId="xl125">
    <w:name w:val="xl125"/>
    <w:basedOn w:val="Normal"/>
    <w:uiPriority w:val="99"/>
    <w:rsid w:val="00D44C63"/>
    <w:pPr>
      <w:pBdr>
        <w:top w:val="single" w:sz="8" w:space="0" w:color="auto"/>
        <w:bottom w:val="single" w:sz="8" w:space="0" w:color="auto"/>
        <w:right w:val="single" w:sz="8" w:space="0" w:color="auto"/>
      </w:pBdr>
      <w:shd w:val="clear" w:color="000000" w:fill="000000"/>
      <w:spacing w:before="100" w:beforeAutospacing="1" w:after="100" w:afterAutospacing="1"/>
      <w:jc w:val="center"/>
      <w:textAlignment w:val="center"/>
    </w:pPr>
    <w:rPr>
      <w:rFonts w:cs="Arial"/>
      <w:b/>
      <w:bCs/>
      <w:color w:val="FFFFFF"/>
      <w:sz w:val="24"/>
      <w:szCs w:val="24"/>
    </w:rPr>
  </w:style>
  <w:style w:type="paragraph" w:customStyle="1" w:styleId="xl126">
    <w:name w:val="xl126"/>
    <w:basedOn w:val="Normal"/>
    <w:uiPriority w:val="99"/>
    <w:rsid w:val="00D44C63"/>
    <w:pPr>
      <w:pBdr>
        <w:top w:val="single" w:sz="8" w:space="0" w:color="auto"/>
        <w:bottom w:val="single" w:sz="8" w:space="0" w:color="auto"/>
      </w:pBdr>
      <w:shd w:val="clear" w:color="000000" w:fill="000000"/>
      <w:spacing w:before="100" w:beforeAutospacing="1" w:after="100" w:afterAutospacing="1"/>
      <w:jc w:val="center"/>
      <w:textAlignment w:val="center"/>
    </w:pPr>
    <w:rPr>
      <w:rFonts w:cs="Arial"/>
      <w:b/>
      <w:bCs/>
      <w:color w:val="FFFFFF"/>
      <w:sz w:val="24"/>
      <w:szCs w:val="24"/>
    </w:rPr>
  </w:style>
  <w:style w:type="paragraph" w:customStyle="1" w:styleId="xl127">
    <w:name w:val="xl127"/>
    <w:basedOn w:val="Normal"/>
    <w:uiPriority w:val="99"/>
    <w:rsid w:val="00D44C63"/>
    <w:pPr>
      <w:shd w:val="clear" w:color="000000" w:fill="000000"/>
      <w:spacing w:before="100" w:beforeAutospacing="1" w:after="100" w:afterAutospacing="1"/>
      <w:jc w:val="left"/>
    </w:pPr>
    <w:rPr>
      <w:rFonts w:cs="Arial"/>
      <w:sz w:val="24"/>
      <w:szCs w:val="24"/>
    </w:rPr>
  </w:style>
  <w:style w:type="paragraph" w:customStyle="1" w:styleId="xl128">
    <w:name w:val="xl128"/>
    <w:basedOn w:val="Normal"/>
    <w:uiPriority w:val="99"/>
    <w:rsid w:val="00D44C63"/>
    <w:pPr>
      <w:pBdr>
        <w:left w:val="single" w:sz="4" w:space="0" w:color="auto"/>
      </w:pBdr>
      <w:shd w:val="clear" w:color="000000" w:fill="FFFFFF"/>
      <w:spacing w:before="100" w:beforeAutospacing="1" w:after="100" w:afterAutospacing="1"/>
      <w:jc w:val="right"/>
      <w:textAlignment w:val="center"/>
    </w:pPr>
    <w:rPr>
      <w:rFonts w:cs="Arial"/>
      <w:sz w:val="24"/>
      <w:szCs w:val="24"/>
    </w:rPr>
  </w:style>
  <w:style w:type="paragraph" w:customStyle="1" w:styleId="xl129">
    <w:name w:val="xl129"/>
    <w:basedOn w:val="Normal"/>
    <w:uiPriority w:val="99"/>
    <w:rsid w:val="00D44C63"/>
    <w:pPr>
      <w:pBdr>
        <w:left w:val="single" w:sz="4" w:space="0" w:color="auto"/>
        <w:right w:val="single" w:sz="4" w:space="0" w:color="auto"/>
      </w:pBdr>
      <w:shd w:val="clear" w:color="000000" w:fill="FFFFFF"/>
      <w:spacing w:before="100" w:beforeAutospacing="1" w:after="100" w:afterAutospacing="1"/>
      <w:jc w:val="right"/>
      <w:textAlignment w:val="center"/>
    </w:pPr>
    <w:rPr>
      <w:rFonts w:cs="Arial"/>
      <w:sz w:val="24"/>
      <w:szCs w:val="24"/>
    </w:rPr>
  </w:style>
  <w:style w:type="paragraph" w:customStyle="1" w:styleId="xl130">
    <w:name w:val="xl130"/>
    <w:basedOn w:val="Normal"/>
    <w:uiPriority w:val="99"/>
    <w:rsid w:val="00D44C63"/>
    <w:pPr>
      <w:pBdr>
        <w:top w:val="single" w:sz="4" w:space="0" w:color="auto"/>
        <w:left w:val="single" w:sz="4" w:space="0" w:color="auto"/>
        <w:bottom w:val="single" w:sz="4" w:space="0" w:color="auto"/>
      </w:pBdr>
      <w:shd w:val="clear" w:color="000000" w:fill="FFFFFF"/>
      <w:spacing w:before="100" w:beforeAutospacing="1" w:after="100" w:afterAutospacing="1"/>
      <w:jc w:val="right"/>
      <w:textAlignment w:val="center"/>
    </w:pPr>
    <w:rPr>
      <w:rFonts w:cs="Arial"/>
      <w:b/>
      <w:bCs/>
      <w:sz w:val="24"/>
      <w:szCs w:val="24"/>
    </w:rPr>
  </w:style>
  <w:style w:type="paragraph" w:customStyle="1" w:styleId="xl131">
    <w:name w:val="xl131"/>
    <w:basedOn w:val="Normal"/>
    <w:uiPriority w:val="99"/>
    <w:rsid w:val="00D44C63"/>
    <w:pPr>
      <w:pBdr>
        <w:top w:val="single" w:sz="4" w:space="0" w:color="auto"/>
        <w:left w:val="single" w:sz="4" w:space="0" w:color="auto"/>
        <w:bottom w:val="single" w:sz="4" w:space="0" w:color="auto"/>
      </w:pBdr>
      <w:shd w:val="clear" w:color="000000" w:fill="7CEDFC"/>
      <w:spacing w:before="100" w:beforeAutospacing="1" w:after="100" w:afterAutospacing="1"/>
      <w:jc w:val="center"/>
      <w:textAlignment w:val="center"/>
    </w:pPr>
    <w:rPr>
      <w:rFonts w:cs="Arial"/>
      <w:sz w:val="24"/>
      <w:szCs w:val="24"/>
    </w:rPr>
  </w:style>
  <w:style w:type="paragraph" w:customStyle="1" w:styleId="xl132">
    <w:name w:val="xl132"/>
    <w:basedOn w:val="Normal"/>
    <w:uiPriority w:val="99"/>
    <w:rsid w:val="00D44C63"/>
    <w:pPr>
      <w:pBdr>
        <w:top w:val="single" w:sz="4" w:space="0" w:color="auto"/>
        <w:left w:val="single" w:sz="4" w:space="0" w:color="auto"/>
        <w:bottom w:val="single" w:sz="4" w:space="0" w:color="auto"/>
        <w:right w:val="single" w:sz="4" w:space="0" w:color="auto"/>
      </w:pBdr>
      <w:shd w:val="clear" w:color="000000" w:fill="7CEDFC"/>
      <w:spacing w:before="100" w:beforeAutospacing="1" w:after="100" w:afterAutospacing="1"/>
      <w:jc w:val="center"/>
      <w:textAlignment w:val="center"/>
    </w:pPr>
    <w:rPr>
      <w:rFonts w:cs="Arial"/>
      <w:sz w:val="24"/>
      <w:szCs w:val="24"/>
    </w:rPr>
  </w:style>
  <w:style w:type="paragraph" w:customStyle="1" w:styleId="xl133">
    <w:name w:val="xl133"/>
    <w:basedOn w:val="Normal"/>
    <w:uiPriority w:val="99"/>
    <w:rsid w:val="00D44C63"/>
    <w:pPr>
      <w:pBdr>
        <w:left w:val="single" w:sz="4" w:space="0" w:color="auto"/>
        <w:bottom w:val="single" w:sz="4" w:space="0" w:color="auto"/>
      </w:pBdr>
      <w:shd w:val="clear" w:color="000000" w:fill="FFFFFF"/>
      <w:spacing w:before="100" w:beforeAutospacing="1" w:after="100" w:afterAutospacing="1"/>
      <w:jc w:val="right"/>
      <w:textAlignment w:val="center"/>
    </w:pPr>
    <w:rPr>
      <w:rFonts w:cs="Arial"/>
      <w:sz w:val="24"/>
      <w:szCs w:val="24"/>
    </w:rPr>
  </w:style>
  <w:style w:type="paragraph" w:customStyle="1" w:styleId="xl134">
    <w:name w:val="xl134"/>
    <w:basedOn w:val="Normal"/>
    <w:uiPriority w:val="99"/>
    <w:rsid w:val="00D44C63"/>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cs="Arial"/>
      <w:sz w:val="24"/>
      <w:szCs w:val="24"/>
    </w:rPr>
  </w:style>
  <w:style w:type="paragraph" w:customStyle="1" w:styleId="xl135">
    <w:name w:val="xl135"/>
    <w:basedOn w:val="Normal"/>
    <w:uiPriority w:val="99"/>
    <w:rsid w:val="00D44C63"/>
    <w:pPr>
      <w:shd w:val="clear" w:color="000000" w:fill="000000"/>
      <w:spacing w:before="100" w:beforeAutospacing="1" w:after="100" w:afterAutospacing="1"/>
      <w:jc w:val="center"/>
    </w:pPr>
    <w:rPr>
      <w:rFonts w:cs="Arial"/>
      <w:color w:val="FFFFFF"/>
      <w:sz w:val="24"/>
      <w:szCs w:val="24"/>
    </w:rPr>
  </w:style>
  <w:style w:type="paragraph" w:customStyle="1" w:styleId="xl136">
    <w:name w:val="xl136"/>
    <w:basedOn w:val="Normal"/>
    <w:uiPriority w:val="99"/>
    <w:rsid w:val="00D44C63"/>
    <w:pPr>
      <w:pBdr>
        <w:top w:val="single" w:sz="8" w:space="0" w:color="auto"/>
      </w:pBdr>
      <w:shd w:val="clear" w:color="000000" w:fill="000000"/>
      <w:spacing w:before="100" w:beforeAutospacing="1" w:after="100" w:afterAutospacing="1"/>
      <w:jc w:val="center"/>
      <w:textAlignment w:val="center"/>
    </w:pPr>
    <w:rPr>
      <w:rFonts w:cs="Arial"/>
      <w:b/>
      <w:bCs/>
      <w:color w:val="FFFFFF"/>
      <w:sz w:val="24"/>
      <w:szCs w:val="24"/>
    </w:rPr>
  </w:style>
  <w:style w:type="paragraph" w:customStyle="1" w:styleId="xl137">
    <w:name w:val="xl137"/>
    <w:basedOn w:val="Normal"/>
    <w:uiPriority w:val="99"/>
    <w:rsid w:val="00D44C63"/>
    <w:pPr>
      <w:shd w:val="clear" w:color="000000" w:fill="000000"/>
      <w:spacing w:before="100" w:beforeAutospacing="1" w:after="100" w:afterAutospacing="1"/>
      <w:jc w:val="center"/>
      <w:textAlignment w:val="center"/>
    </w:pPr>
    <w:rPr>
      <w:rFonts w:cs="Arial"/>
      <w:b/>
      <w:bCs/>
      <w:color w:val="FFFFFF"/>
      <w:sz w:val="24"/>
      <w:szCs w:val="24"/>
    </w:rPr>
  </w:style>
  <w:style w:type="paragraph" w:customStyle="1" w:styleId="xl138">
    <w:name w:val="xl138"/>
    <w:basedOn w:val="Normal"/>
    <w:uiPriority w:val="99"/>
    <w:rsid w:val="00D44C63"/>
    <w:pPr>
      <w:pBdr>
        <w:top w:val="single" w:sz="8" w:space="0" w:color="auto"/>
        <w:right w:val="single" w:sz="8" w:space="0" w:color="auto"/>
      </w:pBdr>
      <w:shd w:val="clear" w:color="000000" w:fill="000000"/>
      <w:spacing w:before="100" w:beforeAutospacing="1" w:after="100" w:afterAutospacing="1"/>
      <w:jc w:val="center"/>
      <w:textAlignment w:val="center"/>
    </w:pPr>
    <w:rPr>
      <w:rFonts w:cs="Arial"/>
      <w:b/>
      <w:bCs/>
      <w:color w:val="FFFFFF"/>
      <w:sz w:val="24"/>
      <w:szCs w:val="24"/>
    </w:rPr>
  </w:style>
  <w:style w:type="paragraph" w:customStyle="1" w:styleId="xl139">
    <w:name w:val="xl139"/>
    <w:basedOn w:val="Normal"/>
    <w:uiPriority w:val="99"/>
    <w:rsid w:val="00D44C63"/>
    <w:pPr>
      <w:pBdr>
        <w:top w:val="single" w:sz="8" w:space="0" w:color="auto"/>
        <w:right w:val="single" w:sz="8" w:space="0" w:color="auto"/>
      </w:pBdr>
      <w:shd w:val="clear" w:color="000000" w:fill="000000"/>
      <w:spacing w:before="100" w:beforeAutospacing="1" w:after="100" w:afterAutospacing="1"/>
      <w:jc w:val="center"/>
      <w:textAlignment w:val="center"/>
    </w:pPr>
    <w:rPr>
      <w:rFonts w:cs="Arial"/>
      <w:b/>
      <w:bCs/>
      <w:color w:val="FFFFFF"/>
      <w:sz w:val="24"/>
      <w:szCs w:val="24"/>
    </w:rPr>
  </w:style>
  <w:style w:type="paragraph" w:customStyle="1" w:styleId="xl140">
    <w:name w:val="xl140"/>
    <w:basedOn w:val="Normal"/>
    <w:uiPriority w:val="99"/>
    <w:rsid w:val="00D44C63"/>
    <w:pPr>
      <w:pBdr>
        <w:top w:val="single" w:sz="8" w:space="0" w:color="auto"/>
      </w:pBdr>
      <w:shd w:val="clear" w:color="000000" w:fill="000000"/>
      <w:spacing w:before="100" w:beforeAutospacing="1" w:after="100" w:afterAutospacing="1"/>
      <w:jc w:val="center"/>
      <w:textAlignment w:val="center"/>
    </w:pPr>
    <w:rPr>
      <w:rFonts w:cs="Arial"/>
      <w:b/>
      <w:bCs/>
      <w:color w:val="FFFFFF"/>
      <w:sz w:val="24"/>
      <w:szCs w:val="24"/>
    </w:rPr>
  </w:style>
  <w:style w:type="paragraph" w:customStyle="1" w:styleId="xl141">
    <w:name w:val="xl141"/>
    <w:basedOn w:val="Normal"/>
    <w:uiPriority w:val="99"/>
    <w:rsid w:val="00D44C63"/>
    <w:pPr>
      <w:shd w:val="clear" w:color="000000" w:fill="002060"/>
      <w:spacing w:before="100" w:beforeAutospacing="1" w:after="100" w:afterAutospacing="1"/>
      <w:jc w:val="center"/>
    </w:pPr>
    <w:rPr>
      <w:rFonts w:cs="Arial"/>
      <w:color w:val="FFFFFF"/>
      <w:sz w:val="24"/>
      <w:szCs w:val="24"/>
    </w:rPr>
  </w:style>
  <w:style w:type="paragraph" w:customStyle="1" w:styleId="xl142">
    <w:name w:val="xl142"/>
    <w:basedOn w:val="Normal"/>
    <w:uiPriority w:val="99"/>
    <w:rsid w:val="00D44C63"/>
    <w:pPr>
      <w:pBdr>
        <w:top w:val="single" w:sz="8" w:space="0" w:color="auto"/>
        <w:bottom w:val="single" w:sz="8" w:space="0" w:color="auto"/>
      </w:pBdr>
      <w:shd w:val="clear" w:color="000000" w:fill="000000"/>
      <w:spacing w:before="100" w:beforeAutospacing="1" w:after="100" w:afterAutospacing="1"/>
      <w:jc w:val="center"/>
      <w:textAlignment w:val="center"/>
    </w:pPr>
    <w:rPr>
      <w:rFonts w:cs="Arial"/>
      <w:b/>
      <w:bCs/>
      <w:color w:val="FFFFFF"/>
      <w:sz w:val="24"/>
      <w:szCs w:val="24"/>
    </w:rPr>
  </w:style>
  <w:style w:type="paragraph" w:customStyle="1" w:styleId="xl143">
    <w:name w:val="xl143"/>
    <w:basedOn w:val="Normal"/>
    <w:uiPriority w:val="99"/>
    <w:rsid w:val="00D44C63"/>
    <w:pPr>
      <w:spacing w:before="100" w:beforeAutospacing="1" w:after="100" w:afterAutospacing="1"/>
      <w:jc w:val="left"/>
    </w:pPr>
    <w:rPr>
      <w:rFonts w:cs="Arial"/>
      <w:sz w:val="24"/>
      <w:szCs w:val="24"/>
    </w:rPr>
  </w:style>
  <w:style w:type="paragraph" w:customStyle="1" w:styleId="xl144">
    <w:name w:val="xl144"/>
    <w:basedOn w:val="Normal"/>
    <w:uiPriority w:val="99"/>
    <w:rsid w:val="00D44C63"/>
    <w:pPr>
      <w:pBdr>
        <w:top w:val="single" w:sz="8" w:space="0" w:color="auto"/>
        <w:bottom w:val="single" w:sz="8" w:space="0" w:color="auto"/>
      </w:pBdr>
      <w:shd w:val="clear" w:color="000000" w:fill="000000"/>
      <w:spacing w:before="100" w:beforeAutospacing="1" w:after="100" w:afterAutospacing="1"/>
      <w:jc w:val="center"/>
      <w:textAlignment w:val="center"/>
    </w:pPr>
    <w:rPr>
      <w:rFonts w:cs="Arial"/>
      <w:b/>
      <w:bCs/>
      <w:color w:val="FFFFFF"/>
      <w:sz w:val="24"/>
      <w:szCs w:val="24"/>
    </w:rPr>
  </w:style>
  <w:style w:type="paragraph" w:customStyle="1" w:styleId="xl145">
    <w:name w:val="xl145"/>
    <w:basedOn w:val="Normal"/>
    <w:uiPriority w:val="99"/>
    <w:rsid w:val="00D44C63"/>
    <w:pPr>
      <w:shd w:val="clear" w:color="000000" w:fill="000000"/>
      <w:spacing w:before="100" w:beforeAutospacing="1" w:after="100" w:afterAutospacing="1"/>
      <w:jc w:val="center"/>
      <w:textAlignment w:val="center"/>
    </w:pPr>
    <w:rPr>
      <w:rFonts w:cs="Arial"/>
      <w:sz w:val="24"/>
      <w:szCs w:val="24"/>
    </w:rPr>
  </w:style>
  <w:style w:type="paragraph" w:customStyle="1" w:styleId="xl146">
    <w:name w:val="xl146"/>
    <w:basedOn w:val="Normal"/>
    <w:uiPriority w:val="99"/>
    <w:rsid w:val="00D44C63"/>
    <w:pPr>
      <w:shd w:val="clear" w:color="000000" w:fill="000000"/>
      <w:spacing w:before="100" w:beforeAutospacing="1" w:after="100" w:afterAutospacing="1"/>
      <w:jc w:val="left"/>
    </w:pPr>
    <w:rPr>
      <w:rFonts w:cs="Arial"/>
      <w:sz w:val="24"/>
      <w:szCs w:val="24"/>
    </w:rPr>
  </w:style>
  <w:style w:type="paragraph" w:customStyle="1" w:styleId="xl147">
    <w:name w:val="xl147"/>
    <w:basedOn w:val="Normal"/>
    <w:uiPriority w:val="99"/>
    <w:rsid w:val="00D44C63"/>
    <w:pPr>
      <w:shd w:val="clear" w:color="000000" w:fill="002060"/>
      <w:spacing w:before="100" w:beforeAutospacing="1" w:after="100" w:afterAutospacing="1"/>
      <w:jc w:val="left"/>
    </w:pPr>
    <w:rPr>
      <w:rFonts w:cs="Arial"/>
      <w:sz w:val="24"/>
      <w:szCs w:val="24"/>
    </w:rPr>
  </w:style>
  <w:style w:type="paragraph" w:customStyle="1" w:styleId="xl148">
    <w:name w:val="xl148"/>
    <w:basedOn w:val="Normal"/>
    <w:uiPriority w:val="99"/>
    <w:rsid w:val="00D44C63"/>
    <w:pPr>
      <w:shd w:val="clear" w:color="000000" w:fill="002060"/>
      <w:spacing w:before="100" w:beforeAutospacing="1" w:after="100" w:afterAutospacing="1"/>
      <w:jc w:val="left"/>
    </w:pPr>
    <w:rPr>
      <w:rFonts w:cs="Arial"/>
      <w:sz w:val="24"/>
      <w:szCs w:val="24"/>
    </w:rPr>
  </w:style>
  <w:style w:type="paragraph" w:customStyle="1" w:styleId="xl149">
    <w:name w:val="xl149"/>
    <w:basedOn w:val="Normal"/>
    <w:uiPriority w:val="99"/>
    <w:rsid w:val="00D44C63"/>
    <w:pPr>
      <w:shd w:val="clear" w:color="000000" w:fill="002060"/>
      <w:spacing w:before="100" w:beforeAutospacing="1" w:after="100" w:afterAutospacing="1"/>
      <w:jc w:val="center"/>
      <w:textAlignment w:val="center"/>
    </w:pPr>
    <w:rPr>
      <w:rFonts w:cs="Arial"/>
      <w:b/>
      <w:bCs/>
      <w:color w:val="FFFFFF"/>
      <w:sz w:val="24"/>
      <w:szCs w:val="24"/>
    </w:rPr>
  </w:style>
  <w:style w:type="paragraph" w:customStyle="1" w:styleId="xl150">
    <w:name w:val="xl150"/>
    <w:basedOn w:val="Normal"/>
    <w:uiPriority w:val="99"/>
    <w:rsid w:val="00D44C63"/>
    <w:pPr>
      <w:shd w:val="clear" w:color="000000" w:fill="002060"/>
      <w:spacing w:before="100" w:beforeAutospacing="1" w:after="100" w:afterAutospacing="1"/>
      <w:jc w:val="center"/>
      <w:textAlignment w:val="center"/>
    </w:pPr>
    <w:rPr>
      <w:rFonts w:cs="Arial"/>
      <w:b/>
      <w:bCs/>
      <w:color w:val="FFFFFF"/>
      <w:sz w:val="24"/>
      <w:szCs w:val="24"/>
    </w:rPr>
  </w:style>
  <w:style w:type="paragraph" w:customStyle="1" w:styleId="xl151">
    <w:name w:val="xl151"/>
    <w:basedOn w:val="Normal"/>
    <w:uiPriority w:val="99"/>
    <w:rsid w:val="00D44C63"/>
    <w:pPr>
      <w:shd w:val="clear" w:color="000000" w:fill="002060"/>
      <w:spacing w:before="100" w:beforeAutospacing="1" w:after="100" w:afterAutospacing="1"/>
      <w:jc w:val="center"/>
      <w:textAlignment w:val="center"/>
    </w:pPr>
    <w:rPr>
      <w:rFonts w:cs="Arial"/>
      <w:b/>
      <w:bCs/>
      <w:color w:val="FFFFFF"/>
      <w:sz w:val="24"/>
      <w:szCs w:val="24"/>
    </w:rPr>
  </w:style>
  <w:style w:type="paragraph" w:customStyle="1" w:styleId="xl152">
    <w:name w:val="xl152"/>
    <w:basedOn w:val="Normal"/>
    <w:uiPriority w:val="99"/>
    <w:rsid w:val="00D44C63"/>
    <w:pPr>
      <w:shd w:val="clear" w:color="000000" w:fill="002060"/>
      <w:spacing w:before="100" w:beforeAutospacing="1" w:after="100" w:afterAutospacing="1"/>
      <w:jc w:val="center"/>
      <w:textAlignment w:val="center"/>
    </w:pPr>
    <w:rPr>
      <w:rFonts w:cs="Arial"/>
      <w:b/>
      <w:bCs/>
      <w:color w:val="FFFFFF"/>
      <w:sz w:val="24"/>
      <w:szCs w:val="24"/>
    </w:rPr>
  </w:style>
  <w:style w:type="paragraph" w:customStyle="1" w:styleId="xl153">
    <w:name w:val="xl153"/>
    <w:basedOn w:val="Normal"/>
    <w:uiPriority w:val="99"/>
    <w:rsid w:val="00D44C63"/>
    <w:pPr>
      <w:spacing w:before="100" w:beforeAutospacing="1" w:after="100" w:afterAutospacing="1"/>
      <w:jc w:val="left"/>
      <w:textAlignment w:val="center"/>
    </w:pPr>
    <w:rPr>
      <w:rFonts w:cs="Arial"/>
      <w:sz w:val="24"/>
      <w:szCs w:val="24"/>
    </w:rPr>
  </w:style>
  <w:style w:type="paragraph" w:customStyle="1" w:styleId="xl154">
    <w:name w:val="xl154"/>
    <w:basedOn w:val="Normal"/>
    <w:uiPriority w:val="99"/>
    <w:rsid w:val="00D44C63"/>
    <w:pPr>
      <w:shd w:val="clear" w:color="000000" w:fill="002060"/>
      <w:spacing w:before="100" w:beforeAutospacing="1" w:after="100" w:afterAutospacing="1"/>
      <w:jc w:val="left"/>
      <w:textAlignment w:val="center"/>
    </w:pPr>
    <w:rPr>
      <w:rFonts w:cs="Arial"/>
      <w:sz w:val="24"/>
      <w:szCs w:val="24"/>
    </w:rPr>
  </w:style>
  <w:style w:type="paragraph" w:customStyle="1" w:styleId="xl155">
    <w:name w:val="xl155"/>
    <w:basedOn w:val="Normal"/>
    <w:uiPriority w:val="99"/>
    <w:rsid w:val="00D44C63"/>
    <w:pPr>
      <w:spacing w:before="100" w:beforeAutospacing="1" w:after="100" w:afterAutospacing="1"/>
      <w:jc w:val="left"/>
    </w:pPr>
    <w:rPr>
      <w:rFonts w:cs="Arial"/>
    </w:rPr>
  </w:style>
  <w:style w:type="paragraph" w:customStyle="1" w:styleId="xl156">
    <w:name w:val="xl156"/>
    <w:basedOn w:val="Normal"/>
    <w:uiPriority w:val="99"/>
    <w:rsid w:val="00D44C63"/>
    <w:pPr>
      <w:spacing w:before="100" w:beforeAutospacing="1" w:after="100" w:afterAutospacing="1"/>
      <w:jc w:val="left"/>
    </w:pPr>
    <w:rPr>
      <w:rFonts w:cs="Arial"/>
      <w:sz w:val="24"/>
      <w:szCs w:val="24"/>
    </w:rPr>
  </w:style>
  <w:style w:type="paragraph" w:customStyle="1" w:styleId="xl157">
    <w:name w:val="xl157"/>
    <w:basedOn w:val="Normal"/>
    <w:uiPriority w:val="99"/>
    <w:rsid w:val="00D44C63"/>
    <w:pPr>
      <w:shd w:val="clear" w:color="000000" w:fill="FFF2CC"/>
      <w:spacing w:before="100" w:beforeAutospacing="1" w:after="100" w:afterAutospacing="1"/>
      <w:jc w:val="center"/>
      <w:textAlignment w:val="center"/>
    </w:pPr>
    <w:rPr>
      <w:rFonts w:cs="Arial"/>
      <w:b/>
      <w:bCs/>
      <w:color w:val="3D29B5"/>
      <w:sz w:val="24"/>
      <w:szCs w:val="24"/>
    </w:rPr>
  </w:style>
  <w:style w:type="paragraph" w:customStyle="1" w:styleId="xl158">
    <w:name w:val="xl158"/>
    <w:basedOn w:val="Normal"/>
    <w:uiPriority w:val="99"/>
    <w:rsid w:val="00D44C63"/>
    <w:pPr>
      <w:shd w:val="clear" w:color="000000" w:fill="C6E0B4"/>
      <w:spacing w:before="100" w:beforeAutospacing="1" w:after="100" w:afterAutospacing="1"/>
      <w:jc w:val="center"/>
      <w:textAlignment w:val="center"/>
    </w:pPr>
    <w:rPr>
      <w:rFonts w:cs="Arial"/>
      <w:b/>
      <w:bCs/>
      <w:sz w:val="24"/>
      <w:szCs w:val="24"/>
    </w:rPr>
  </w:style>
  <w:style w:type="paragraph" w:customStyle="1" w:styleId="xl159">
    <w:name w:val="xl159"/>
    <w:basedOn w:val="Normal"/>
    <w:uiPriority w:val="99"/>
    <w:rsid w:val="00D44C63"/>
    <w:pPr>
      <w:shd w:val="clear" w:color="000000" w:fill="000000"/>
      <w:spacing w:before="100" w:beforeAutospacing="1" w:after="100" w:afterAutospacing="1"/>
      <w:jc w:val="center"/>
      <w:textAlignment w:val="center"/>
    </w:pPr>
    <w:rPr>
      <w:rFonts w:cs="Arial"/>
      <w:sz w:val="24"/>
      <w:szCs w:val="24"/>
    </w:rPr>
  </w:style>
  <w:style w:type="paragraph" w:customStyle="1" w:styleId="xl160">
    <w:name w:val="xl160"/>
    <w:basedOn w:val="Normal"/>
    <w:uiPriority w:val="99"/>
    <w:rsid w:val="00D44C63"/>
    <w:pPr>
      <w:shd w:val="clear" w:color="000000" w:fill="548235"/>
      <w:spacing w:before="100" w:beforeAutospacing="1" w:after="100" w:afterAutospacing="1"/>
      <w:jc w:val="center"/>
      <w:textAlignment w:val="center"/>
    </w:pPr>
    <w:rPr>
      <w:rFonts w:cs="Arial"/>
      <w:b/>
      <w:bCs/>
      <w:color w:val="FFFFFF"/>
      <w:sz w:val="24"/>
      <w:szCs w:val="24"/>
    </w:rPr>
  </w:style>
  <w:style w:type="paragraph" w:customStyle="1" w:styleId="xl161">
    <w:name w:val="xl161"/>
    <w:basedOn w:val="Normal"/>
    <w:uiPriority w:val="99"/>
    <w:rsid w:val="00D44C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cs="Arial"/>
      <w:b/>
      <w:bCs/>
      <w:sz w:val="24"/>
      <w:szCs w:val="24"/>
    </w:rPr>
  </w:style>
  <w:style w:type="paragraph" w:customStyle="1" w:styleId="xl162">
    <w:name w:val="xl162"/>
    <w:basedOn w:val="Normal"/>
    <w:uiPriority w:val="99"/>
    <w:rsid w:val="00D44C63"/>
    <w:pPr>
      <w:pBdr>
        <w:top w:val="single" w:sz="4" w:space="0" w:color="auto"/>
        <w:left w:val="single" w:sz="4" w:space="0" w:color="auto"/>
        <w:bottom w:val="single" w:sz="4" w:space="0" w:color="auto"/>
      </w:pBdr>
      <w:shd w:val="clear" w:color="000000" w:fill="FFFFFF"/>
      <w:spacing w:before="100" w:beforeAutospacing="1" w:after="100" w:afterAutospacing="1"/>
      <w:jc w:val="right"/>
      <w:textAlignment w:val="center"/>
    </w:pPr>
    <w:rPr>
      <w:rFonts w:cs="Arial"/>
      <w:b/>
      <w:bCs/>
      <w:sz w:val="24"/>
      <w:szCs w:val="24"/>
    </w:rPr>
  </w:style>
  <w:style w:type="paragraph" w:customStyle="1" w:styleId="xl163">
    <w:name w:val="xl163"/>
    <w:basedOn w:val="Normal"/>
    <w:uiPriority w:val="99"/>
    <w:rsid w:val="00D44C63"/>
    <w:pPr>
      <w:shd w:val="clear" w:color="000000" w:fill="000000"/>
      <w:spacing w:before="100" w:beforeAutospacing="1" w:after="100" w:afterAutospacing="1"/>
      <w:jc w:val="left"/>
      <w:textAlignment w:val="center"/>
    </w:pPr>
    <w:rPr>
      <w:rFonts w:cs="Arial"/>
      <w:b/>
      <w:bCs/>
      <w:sz w:val="24"/>
      <w:szCs w:val="24"/>
    </w:rPr>
  </w:style>
  <w:style w:type="paragraph" w:customStyle="1" w:styleId="xl164">
    <w:name w:val="xl164"/>
    <w:basedOn w:val="Normal"/>
    <w:uiPriority w:val="99"/>
    <w:rsid w:val="00D44C63"/>
    <w:pPr>
      <w:spacing w:before="100" w:beforeAutospacing="1" w:after="100" w:afterAutospacing="1"/>
      <w:jc w:val="left"/>
    </w:pPr>
    <w:rPr>
      <w:rFonts w:cs="Arial"/>
    </w:rPr>
  </w:style>
  <w:style w:type="paragraph" w:customStyle="1" w:styleId="xl165">
    <w:name w:val="xl165"/>
    <w:basedOn w:val="Normal"/>
    <w:uiPriority w:val="99"/>
    <w:rsid w:val="00D44C63"/>
    <w:pPr>
      <w:spacing w:before="100" w:beforeAutospacing="1" w:after="100" w:afterAutospacing="1"/>
      <w:jc w:val="left"/>
    </w:pPr>
    <w:rPr>
      <w:rFonts w:cs="Arial"/>
    </w:rPr>
  </w:style>
  <w:style w:type="paragraph" w:customStyle="1" w:styleId="xl166">
    <w:name w:val="xl166"/>
    <w:basedOn w:val="Normal"/>
    <w:uiPriority w:val="99"/>
    <w:rsid w:val="00D44C6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cs="Arial"/>
      <w:b/>
      <w:bCs/>
    </w:rPr>
  </w:style>
  <w:style w:type="paragraph" w:customStyle="1" w:styleId="xl167">
    <w:name w:val="xl167"/>
    <w:basedOn w:val="Normal"/>
    <w:uiPriority w:val="99"/>
    <w:rsid w:val="00D44C63"/>
    <w:pPr>
      <w:pBdr>
        <w:top w:val="single" w:sz="4" w:space="0" w:color="auto"/>
        <w:left w:val="single" w:sz="4" w:space="0" w:color="auto"/>
      </w:pBdr>
      <w:shd w:val="clear" w:color="000000" w:fill="FFFFFF"/>
      <w:spacing w:before="100" w:beforeAutospacing="1" w:after="100" w:afterAutospacing="1"/>
      <w:jc w:val="right"/>
      <w:textAlignment w:val="center"/>
    </w:pPr>
    <w:rPr>
      <w:rFonts w:cs="Arial"/>
      <w:b/>
      <w:bCs/>
    </w:rPr>
  </w:style>
  <w:style w:type="paragraph" w:customStyle="1" w:styleId="xl168">
    <w:name w:val="xl168"/>
    <w:basedOn w:val="Normal"/>
    <w:uiPriority w:val="99"/>
    <w:rsid w:val="00D44C63"/>
    <w:pPr>
      <w:shd w:val="clear" w:color="000000" w:fill="000000"/>
      <w:spacing w:before="100" w:beforeAutospacing="1" w:after="100" w:afterAutospacing="1"/>
      <w:jc w:val="left"/>
    </w:pPr>
    <w:rPr>
      <w:rFonts w:cs="Arial"/>
    </w:rPr>
  </w:style>
  <w:style w:type="paragraph" w:customStyle="1" w:styleId="xl169">
    <w:name w:val="xl169"/>
    <w:basedOn w:val="Normal"/>
    <w:uiPriority w:val="99"/>
    <w:rsid w:val="00D44C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cs="Arial"/>
      <w:b/>
      <w:bCs/>
      <w:sz w:val="24"/>
      <w:szCs w:val="24"/>
    </w:rPr>
  </w:style>
  <w:style w:type="paragraph" w:customStyle="1" w:styleId="xl170">
    <w:name w:val="xl170"/>
    <w:basedOn w:val="Normal"/>
    <w:uiPriority w:val="99"/>
    <w:rsid w:val="00D44C63"/>
    <w:pPr>
      <w:pBdr>
        <w:left w:val="single" w:sz="4" w:space="0" w:color="auto"/>
        <w:right w:val="single" w:sz="4" w:space="0" w:color="auto"/>
      </w:pBdr>
      <w:shd w:val="clear" w:color="000000" w:fill="FFFFFF"/>
      <w:spacing w:before="100" w:beforeAutospacing="1" w:after="100" w:afterAutospacing="1"/>
      <w:jc w:val="right"/>
      <w:textAlignment w:val="center"/>
    </w:pPr>
    <w:rPr>
      <w:rFonts w:cs="Arial"/>
      <w:sz w:val="24"/>
      <w:szCs w:val="24"/>
    </w:rPr>
  </w:style>
  <w:style w:type="paragraph" w:customStyle="1" w:styleId="xl171">
    <w:name w:val="xl171"/>
    <w:basedOn w:val="Normal"/>
    <w:uiPriority w:val="99"/>
    <w:rsid w:val="00D44C63"/>
    <w:pPr>
      <w:pBdr>
        <w:bottom w:val="single" w:sz="4" w:space="0" w:color="auto"/>
        <w:right w:val="single" w:sz="4" w:space="0" w:color="auto"/>
      </w:pBdr>
      <w:shd w:val="clear" w:color="000000" w:fill="FFFFFF"/>
      <w:spacing w:before="100" w:beforeAutospacing="1" w:after="100" w:afterAutospacing="1"/>
      <w:jc w:val="left"/>
      <w:textAlignment w:val="center"/>
    </w:pPr>
    <w:rPr>
      <w:rFonts w:cs="Arial"/>
      <w:sz w:val="24"/>
      <w:szCs w:val="24"/>
    </w:rPr>
  </w:style>
  <w:style w:type="paragraph" w:customStyle="1" w:styleId="xl172">
    <w:name w:val="xl172"/>
    <w:basedOn w:val="Normal"/>
    <w:uiPriority w:val="99"/>
    <w:rsid w:val="00D44C63"/>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cs="Arial"/>
      <w:sz w:val="24"/>
      <w:szCs w:val="24"/>
    </w:rPr>
  </w:style>
  <w:style w:type="paragraph" w:customStyle="1" w:styleId="xl173">
    <w:name w:val="xl173"/>
    <w:basedOn w:val="Normal"/>
    <w:uiPriority w:val="99"/>
    <w:rsid w:val="00D44C63"/>
    <w:pPr>
      <w:pBdr>
        <w:right w:val="single" w:sz="4" w:space="0" w:color="auto"/>
      </w:pBdr>
      <w:shd w:val="clear" w:color="000000" w:fill="FFFFFF"/>
      <w:spacing w:before="100" w:beforeAutospacing="1" w:after="100" w:afterAutospacing="1"/>
      <w:jc w:val="left"/>
      <w:textAlignment w:val="center"/>
    </w:pPr>
    <w:rPr>
      <w:rFonts w:cs="Arial"/>
      <w:sz w:val="24"/>
      <w:szCs w:val="24"/>
    </w:rPr>
  </w:style>
  <w:style w:type="paragraph" w:customStyle="1" w:styleId="xl174">
    <w:name w:val="xl174"/>
    <w:basedOn w:val="Normal"/>
    <w:uiPriority w:val="99"/>
    <w:rsid w:val="00D44C63"/>
    <w:pPr>
      <w:pBdr>
        <w:left w:val="single" w:sz="4" w:space="0" w:color="auto"/>
        <w:right w:val="single" w:sz="4" w:space="0" w:color="auto"/>
      </w:pBdr>
      <w:shd w:val="clear" w:color="000000" w:fill="FFFFFF"/>
      <w:spacing w:before="100" w:beforeAutospacing="1" w:after="100" w:afterAutospacing="1"/>
      <w:jc w:val="left"/>
      <w:textAlignment w:val="center"/>
    </w:pPr>
    <w:rPr>
      <w:rFonts w:cs="Arial"/>
      <w:sz w:val="24"/>
      <w:szCs w:val="24"/>
    </w:rPr>
  </w:style>
  <w:style w:type="paragraph" w:customStyle="1" w:styleId="xl175">
    <w:name w:val="xl175"/>
    <w:basedOn w:val="Normal"/>
    <w:uiPriority w:val="99"/>
    <w:rsid w:val="00D44C6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cs="Arial"/>
      <w:b/>
      <w:bCs/>
      <w:sz w:val="24"/>
      <w:szCs w:val="24"/>
    </w:rPr>
  </w:style>
  <w:style w:type="paragraph" w:customStyle="1" w:styleId="xl176">
    <w:name w:val="xl176"/>
    <w:basedOn w:val="Normal"/>
    <w:uiPriority w:val="99"/>
    <w:rsid w:val="00D44C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cs="Arial"/>
      <w:b/>
      <w:bCs/>
      <w:sz w:val="24"/>
      <w:szCs w:val="24"/>
    </w:rPr>
  </w:style>
  <w:style w:type="paragraph" w:customStyle="1" w:styleId="xl177">
    <w:name w:val="xl177"/>
    <w:basedOn w:val="Normal"/>
    <w:uiPriority w:val="99"/>
    <w:rsid w:val="00D44C63"/>
    <w:pPr>
      <w:pBdr>
        <w:top w:val="single" w:sz="8" w:space="0" w:color="auto"/>
        <w:bottom w:val="single" w:sz="8" w:space="0" w:color="auto"/>
      </w:pBdr>
      <w:shd w:val="clear" w:color="000000" w:fill="FFFFFF"/>
      <w:spacing w:before="100" w:beforeAutospacing="1" w:after="100" w:afterAutospacing="1"/>
      <w:jc w:val="center"/>
      <w:textAlignment w:val="center"/>
    </w:pPr>
    <w:rPr>
      <w:rFonts w:cs="Arial"/>
      <w:b/>
      <w:bCs/>
      <w:sz w:val="24"/>
      <w:szCs w:val="24"/>
    </w:rPr>
  </w:style>
  <w:style w:type="paragraph" w:customStyle="1" w:styleId="xl178">
    <w:name w:val="xl178"/>
    <w:basedOn w:val="Normal"/>
    <w:uiPriority w:val="99"/>
    <w:rsid w:val="00D44C63"/>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cs="Arial"/>
      <w:b/>
      <w:bCs/>
      <w:sz w:val="24"/>
      <w:szCs w:val="24"/>
    </w:rPr>
  </w:style>
  <w:style w:type="paragraph" w:customStyle="1" w:styleId="xl179">
    <w:name w:val="xl179"/>
    <w:basedOn w:val="Normal"/>
    <w:uiPriority w:val="99"/>
    <w:rsid w:val="00D44C63"/>
    <w:pPr>
      <w:pBdr>
        <w:top w:val="single" w:sz="4" w:space="0" w:color="auto"/>
        <w:bottom w:val="single" w:sz="4" w:space="0" w:color="auto"/>
        <w:right w:val="single" w:sz="4" w:space="0" w:color="auto"/>
      </w:pBdr>
      <w:shd w:val="clear" w:color="000000" w:fill="7CEDFC"/>
      <w:spacing w:before="100" w:beforeAutospacing="1" w:after="100" w:afterAutospacing="1"/>
      <w:jc w:val="center"/>
      <w:textAlignment w:val="center"/>
    </w:pPr>
    <w:rPr>
      <w:rFonts w:cs="Arial"/>
      <w:sz w:val="24"/>
      <w:szCs w:val="24"/>
    </w:rPr>
  </w:style>
  <w:style w:type="paragraph" w:customStyle="1" w:styleId="xl180">
    <w:name w:val="xl180"/>
    <w:basedOn w:val="Normal"/>
    <w:uiPriority w:val="99"/>
    <w:rsid w:val="00D44C6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cs="Arial"/>
      <w:b/>
      <w:bCs/>
      <w:sz w:val="24"/>
      <w:szCs w:val="24"/>
    </w:rPr>
  </w:style>
  <w:style w:type="paragraph" w:customStyle="1" w:styleId="xl181">
    <w:name w:val="xl181"/>
    <w:basedOn w:val="Normal"/>
    <w:uiPriority w:val="99"/>
    <w:rsid w:val="00D44C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cs="Arial"/>
      <w:b/>
      <w:bCs/>
      <w:sz w:val="24"/>
      <w:szCs w:val="24"/>
    </w:rPr>
  </w:style>
  <w:style w:type="paragraph" w:customStyle="1" w:styleId="xl182">
    <w:name w:val="xl182"/>
    <w:basedOn w:val="Normal"/>
    <w:uiPriority w:val="99"/>
    <w:rsid w:val="00D44C63"/>
    <w:pPr>
      <w:pBdr>
        <w:top w:val="single" w:sz="4" w:space="0" w:color="auto"/>
        <w:right w:val="single" w:sz="4" w:space="0" w:color="auto"/>
      </w:pBdr>
      <w:shd w:val="clear" w:color="000000" w:fill="FFFFFF"/>
      <w:spacing w:before="100" w:beforeAutospacing="1" w:after="100" w:afterAutospacing="1"/>
      <w:jc w:val="center"/>
      <w:textAlignment w:val="center"/>
    </w:pPr>
    <w:rPr>
      <w:rFonts w:cs="Arial"/>
      <w:b/>
      <w:bCs/>
    </w:rPr>
  </w:style>
  <w:style w:type="paragraph" w:customStyle="1" w:styleId="xl183">
    <w:name w:val="xl183"/>
    <w:basedOn w:val="Normal"/>
    <w:uiPriority w:val="99"/>
    <w:rsid w:val="00D44C6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cs="Arial"/>
      <w:b/>
      <w:bCs/>
    </w:rPr>
  </w:style>
  <w:style w:type="paragraph" w:customStyle="1" w:styleId="xl184">
    <w:name w:val="xl184"/>
    <w:basedOn w:val="Normal"/>
    <w:uiPriority w:val="99"/>
    <w:rsid w:val="00D44C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cs="Arial"/>
      <w:b/>
      <w:bCs/>
      <w:sz w:val="24"/>
      <w:szCs w:val="24"/>
    </w:rPr>
  </w:style>
  <w:style w:type="paragraph" w:customStyle="1" w:styleId="xl185">
    <w:name w:val="xl185"/>
    <w:basedOn w:val="Normal"/>
    <w:uiPriority w:val="99"/>
    <w:rsid w:val="00D44C63"/>
    <w:pPr>
      <w:pBdr>
        <w:top w:val="single" w:sz="8" w:space="0" w:color="auto"/>
        <w:bottom w:val="single" w:sz="8" w:space="0" w:color="auto"/>
      </w:pBdr>
      <w:shd w:val="clear" w:color="000000" w:fill="7CEDFC"/>
      <w:spacing w:before="100" w:beforeAutospacing="1" w:after="100" w:afterAutospacing="1"/>
      <w:jc w:val="center"/>
      <w:textAlignment w:val="center"/>
    </w:pPr>
    <w:rPr>
      <w:rFonts w:cs="Arial"/>
      <w:sz w:val="24"/>
      <w:szCs w:val="24"/>
    </w:rPr>
  </w:style>
  <w:style w:type="paragraph" w:customStyle="1" w:styleId="xl186">
    <w:name w:val="xl186"/>
    <w:basedOn w:val="Normal"/>
    <w:uiPriority w:val="99"/>
    <w:rsid w:val="00D44C63"/>
    <w:pPr>
      <w:pBdr>
        <w:top w:val="single" w:sz="8" w:space="0" w:color="auto"/>
        <w:bottom w:val="single" w:sz="8" w:space="0" w:color="auto"/>
        <w:right w:val="single" w:sz="8" w:space="0" w:color="auto"/>
      </w:pBdr>
      <w:shd w:val="clear" w:color="000000" w:fill="7CEDFC"/>
      <w:spacing w:before="100" w:beforeAutospacing="1" w:after="100" w:afterAutospacing="1"/>
      <w:jc w:val="center"/>
      <w:textAlignment w:val="center"/>
    </w:pPr>
    <w:rPr>
      <w:rFonts w:cs="Arial"/>
      <w:sz w:val="24"/>
      <w:szCs w:val="24"/>
    </w:rPr>
  </w:style>
  <w:style w:type="paragraph" w:customStyle="1" w:styleId="xl187">
    <w:name w:val="xl187"/>
    <w:basedOn w:val="Normal"/>
    <w:uiPriority w:val="99"/>
    <w:rsid w:val="00D44C63"/>
    <w:pPr>
      <w:pBdr>
        <w:top w:val="single" w:sz="8" w:space="0" w:color="auto"/>
        <w:bottom w:val="single" w:sz="8" w:space="0" w:color="auto"/>
      </w:pBdr>
      <w:shd w:val="clear" w:color="000000" w:fill="FFFFFF"/>
      <w:spacing w:before="100" w:beforeAutospacing="1" w:after="100" w:afterAutospacing="1"/>
      <w:jc w:val="center"/>
      <w:textAlignment w:val="center"/>
    </w:pPr>
    <w:rPr>
      <w:rFonts w:cs="Arial"/>
      <w:b/>
      <w:bCs/>
      <w:sz w:val="18"/>
      <w:szCs w:val="18"/>
    </w:rPr>
  </w:style>
  <w:style w:type="paragraph" w:customStyle="1" w:styleId="xl188">
    <w:name w:val="xl188"/>
    <w:basedOn w:val="Normal"/>
    <w:uiPriority w:val="99"/>
    <w:rsid w:val="00D44C63"/>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cs="Arial"/>
      <w:b/>
      <w:bCs/>
      <w:sz w:val="18"/>
      <w:szCs w:val="18"/>
    </w:rPr>
  </w:style>
  <w:style w:type="paragraph" w:customStyle="1" w:styleId="xl189">
    <w:name w:val="xl189"/>
    <w:basedOn w:val="Normal"/>
    <w:uiPriority w:val="99"/>
    <w:rsid w:val="00D44C63"/>
    <w:pPr>
      <w:pBdr>
        <w:top w:val="single" w:sz="8" w:space="0" w:color="auto"/>
        <w:bottom w:val="single" w:sz="8" w:space="0" w:color="auto"/>
      </w:pBdr>
      <w:shd w:val="clear" w:color="000000" w:fill="A1F2FD"/>
      <w:spacing w:before="100" w:beforeAutospacing="1" w:after="100" w:afterAutospacing="1"/>
      <w:jc w:val="center"/>
      <w:textAlignment w:val="center"/>
    </w:pPr>
    <w:rPr>
      <w:rFonts w:cs="Arial"/>
      <w:b/>
      <w:bCs/>
      <w:sz w:val="24"/>
      <w:szCs w:val="24"/>
    </w:rPr>
  </w:style>
  <w:style w:type="paragraph" w:customStyle="1" w:styleId="xl190">
    <w:name w:val="xl190"/>
    <w:basedOn w:val="Normal"/>
    <w:uiPriority w:val="99"/>
    <w:rsid w:val="00D44C63"/>
    <w:pPr>
      <w:pBdr>
        <w:top w:val="single" w:sz="8" w:space="0" w:color="auto"/>
        <w:bottom w:val="single" w:sz="8" w:space="0" w:color="auto"/>
        <w:right w:val="single" w:sz="8" w:space="0" w:color="auto"/>
      </w:pBdr>
      <w:shd w:val="clear" w:color="000000" w:fill="A1F2FD"/>
      <w:spacing w:before="100" w:beforeAutospacing="1" w:after="100" w:afterAutospacing="1"/>
      <w:jc w:val="center"/>
      <w:textAlignment w:val="center"/>
    </w:pPr>
    <w:rPr>
      <w:rFonts w:cs="Arial"/>
      <w:b/>
      <w:bCs/>
      <w:sz w:val="24"/>
      <w:szCs w:val="24"/>
    </w:rPr>
  </w:style>
  <w:style w:type="table" w:customStyle="1" w:styleId="TableGrid">
    <w:name w:val="TableGrid"/>
    <w:rsid w:val="00AE1224"/>
    <w:rPr>
      <w:rFonts w:asciiTheme="minorHAnsi" w:eastAsiaTheme="minorEastAsia" w:hAnsiTheme="minorHAnsi" w:cstheme="minorBidi"/>
    </w:rPr>
    <w:tblPr>
      <w:tblCellMar>
        <w:top w:w="0" w:type="dxa"/>
        <w:left w:w="0" w:type="dxa"/>
        <w:bottom w:w="0" w:type="dxa"/>
        <w:right w:w="0" w:type="dxa"/>
      </w:tblCellMar>
    </w:tblPr>
  </w:style>
  <w:style w:type="character" w:styleId="TextodoEspaoReservado">
    <w:name w:val="Placeholder Text"/>
    <w:basedOn w:val="Fontepargpadro"/>
    <w:uiPriority w:val="99"/>
    <w:semiHidden/>
    <w:rsid w:val="005B71F1"/>
    <w:rPr>
      <w:color w:val="808080"/>
    </w:rPr>
  </w:style>
  <w:style w:type="paragraph" w:customStyle="1" w:styleId="footnotedescription">
    <w:name w:val="footnote description"/>
    <w:next w:val="Normal"/>
    <w:link w:val="footnotedescriptionChar"/>
    <w:hidden/>
    <w:rsid w:val="00AA4E99"/>
    <w:pPr>
      <w:spacing w:line="259" w:lineRule="auto"/>
      <w:ind w:left="360"/>
    </w:pPr>
    <w:rPr>
      <w:rFonts w:eastAsia="Arial" w:cs="Arial"/>
      <w:color w:val="000000"/>
      <w:sz w:val="18"/>
    </w:rPr>
  </w:style>
  <w:style w:type="character" w:customStyle="1" w:styleId="footnotedescriptionChar">
    <w:name w:val="footnote description Char"/>
    <w:link w:val="footnotedescription"/>
    <w:rsid w:val="00AA4E99"/>
    <w:rPr>
      <w:rFonts w:ascii="Arial" w:eastAsia="Arial" w:hAnsi="Arial" w:cs="Arial"/>
      <w:color w:val="000000"/>
      <w:sz w:val="18"/>
      <w:szCs w:val="22"/>
    </w:rPr>
  </w:style>
  <w:style w:type="character" w:customStyle="1" w:styleId="footnotemark">
    <w:name w:val="footnote mark"/>
    <w:hidden/>
    <w:rsid w:val="00AA4E99"/>
    <w:rPr>
      <w:rFonts w:ascii="Times New Roman" w:eastAsia="Times New Roman" w:hAnsi="Times New Roman" w:cs="Times New Roman"/>
      <w:color w:val="000000"/>
      <w:sz w:val="18"/>
      <w:vertAlign w:val="superscript"/>
    </w:rPr>
  </w:style>
  <w:style w:type="character" w:customStyle="1" w:styleId="pspdfkit-6um8mrhfmv4j3nvtw9x41bv9fb">
    <w:name w:val="pspdfkit-6um8mrhfmv4j3nvtw9x41bv9fb"/>
    <w:basedOn w:val="Fontepargpadro"/>
    <w:rsid w:val="00AA4E99"/>
  </w:style>
  <w:style w:type="character" w:customStyle="1" w:styleId="object">
    <w:name w:val="object"/>
    <w:basedOn w:val="Fontepargpadro"/>
    <w:rsid w:val="00AA4E99"/>
  </w:style>
  <w:style w:type="table" w:styleId="TabeladeGrade4-nfase1">
    <w:name w:val="Grid Table 4 Accent 1"/>
    <w:basedOn w:val="Tabelanormal"/>
    <w:uiPriority w:val="49"/>
    <w:rsid w:val="00721348"/>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2-ITEM">
    <w:name w:val="2 - ITEM"/>
    <w:basedOn w:val="1-REL11"/>
    <w:link w:val="2-ITEMChar"/>
    <w:qFormat/>
    <w:rsid w:val="00234FA0"/>
    <w:pPr>
      <w:numPr>
        <w:numId w:val="45"/>
      </w:numPr>
      <w:spacing w:before="0" w:after="0" w:line="240" w:lineRule="auto"/>
      <w:outlineLvl w:val="8"/>
    </w:pPr>
    <w:rPr>
      <w:rFonts w:cs="Arial"/>
    </w:rPr>
  </w:style>
  <w:style w:type="paragraph" w:customStyle="1" w:styleId="2-SUB-ITEM">
    <w:name w:val="2 - SUB-ITEM"/>
    <w:basedOn w:val="2-ITEM"/>
    <w:link w:val="2-SUB-ITEMChar"/>
    <w:autoRedefine/>
    <w:qFormat/>
    <w:rsid w:val="003402E2"/>
    <w:pPr>
      <w:ind w:left="2835"/>
    </w:pPr>
  </w:style>
  <w:style w:type="character" w:customStyle="1" w:styleId="2-ITEMChar">
    <w:name w:val="2 - ITEM Char"/>
    <w:basedOn w:val="1-REL11Char"/>
    <w:link w:val="2-ITEM"/>
    <w:rsid w:val="00234FA0"/>
    <w:rPr>
      <w:rFonts w:ascii="Arial" w:eastAsia="Calibri" w:hAnsi="Arial" w:cs="Arial"/>
      <w:b w:val="0"/>
      <w:bCs w:val="0"/>
      <w:sz w:val="22"/>
      <w:szCs w:val="22"/>
      <w:lang w:val="pt-BR" w:eastAsia="pt-BR"/>
    </w:rPr>
  </w:style>
  <w:style w:type="character" w:customStyle="1" w:styleId="2-SUB-ITEMChar">
    <w:name w:val="2 - SUB-ITEM Char"/>
    <w:basedOn w:val="2-ITEMChar"/>
    <w:link w:val="2-SUB-ITEM"/>
    <w:rsid w:val="003402E2"/>
    <w:rPr>
      <w:rFonts w:ascii="Arial" w:eastAsia="Calibri" w:hAnsi="Arial" w:cs="Arial"/>
      <w:b w:val="0"/>
      <w:bCs w:val="0"/>
      <w:sz w:val="22"/>
      <w:szCs w:val="22"/>
      <w:lang w:val="pt-BR" w:eastAsia="pt-BR"/>
    </w:rPr>
  </w:style>
  <w:style w:type="table" w:customStyle="1" w:styleId="TabeladeGrade4-nfase11">
    <w:name w:val="Tabela de Grade 4 - Ênfase 11"/>
    <w:basedOn w:val="Tabelanormal"/>
    <w:uiPriority w:val="49"/>
    <w:rsid w:val="000B70B4"/>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selectable-text">
    <w:name w:val="selectable-text"/>
    <w:basedOn w:val="Fontepargpadro"/>
    <w:rsid w:val="00AC6260"/>
  </w:style>
  <w:style w:type="table" w:styleId="TabelaSimples2">
    <w:name w:val="Plain Table 2"/>
    <w:basedOn w:val="Tabelanormal"/>
    <w:uiPriority w:val="42"/>
    <w:rsid w:val="008F73A6"/>
    <w:rPr>
      <w:rFonts w:asciiTheme="minorHAnsi" w:eastAsiaTheme="minorHAnsi" w:hAnsiTheme="minorHAnsi" w:cstheme="minorBidi"/>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Rodap">
    <w:name w:val="footer"/>
    <w:basedOn w:val="Normal"/>
    <w:link w:val="RodapChar"/>
    <w:uiPriority w:val="99"/>
    <w:unhideWhenUsed/>
    <w:rsid w:val="00C96F62"/>
    <w:pPr>
      <w:tabs>
        <w:tab w:val="center" w:pos="4252"/>
        <w:tab w:val="right" w:pos="8504"/>
      </w:tabs>
    </w:pPr>
  </w:style>
  <w:style w:type="character" w:customStyle="1" w:styleId="RodapChar">
    <w:name w:val="Rodapé Char"/>
    <w:basedOn w:val="Fontepargpadro"/>
    <w:link w:val="Rodap"/>
    <w:uiPriority w:val="99"/>
    <w:rsid w:val="00C96F62"/>
    <w:rPr>
      <w:rFonts w:ascii="Arial" w:hAnsi="Arial"/>
    </w:rPr>
  </w:style>
  <w:style w:type="paragraph" w:customStyle="1" w:styleId="3-RECOMENDAO">
    <w:name w:val="3-RECOMENDAÇÃO"/>
    <w:basedOn w:val="1-REL11"/>
    <w:link w:val="3-RECOMENDAOChar"/>
    <w:qFormat/>
    <w:rsid w:val="00234FA0"/>
    <w:rPr>
      <w:u w:val="single"/>
    </w:rPr>
  </w:style>
  <w:style w:type="character" w:customStyle="1" w:styleId="3-RECOMENDAOChar">
    <w:name w:val="3-RECOMENDAÇÃO Char"/>
    <w:basedOn w:val="1-REL11Char"/>
    <w:link w:val="3-RECOMENDAO"/>
    <w:rsid w:val="00234FA0"/>
    <w:rPr>
      <w:rFonts w:ascii="Arial" w:eastAsia="Calibri" w:hAnsi="Arial" w:cs="Arial"/>
      <w:b w:val="0"/>
      <w:bCs w:val="0"/>
      <w:sz w:val="22"/>
      <w:szCs w:val="22"/>
      <w:u w:val="single"/>
      <w:lang w:val="pt-BR" w:eastAsia="pt-BR"/>
    </w:rPr>
  </w:style>
  <w:style w:type="character" w:customStyle="1" w:styleId="fontstyle01">
    <w:name w:val="fontstyle01"/>
    <w:basedOn w:val="Fontepargpadro"/>
    <w:rsid w:val="00617362"/>
    <w:rPr>
      <w:rFonts w:ascii="Arial-ItalicMT" w:hAnsi="Arial-ItalicMT" w:hint="default"/>
      <w:b w:val="0"/>
      <w:bCs w:val="0"/>
      <w:i/>
      <w:iCs/>
      <w:color w:val="000000"/>
      <w:sz w:val="18"/>
      <w:szCs w:val="18"/>
    </w:rPr>
  </w:style>
  <w:style w:type="character" w:customStyle="1" w:styleId="0-TABELACharChar">
    <w:name w:val="0 - TABELA Char Char"/>
    <w:basedOn w:val="Fontepargpadro"/>
    <w:locked/>
    <w:rsid w:val="00335D8A"/>
    <w:rPr>
      <w:rFonts w:eastAsia="Calibri" w:cs="Arial"/>
      <w:b/>
      <w:w w:val="109"/>
      <w:sz w:val="22"/>
      <w:szCs w:val="22"/>
      <w:lang w:eastAsia="en-US"/>
    </w:rPr>
  </w:style>
  <w:style w:type="paragraph" w:customStyle="1" w:styleId="1-REAL">
    <w:name w:val="1 - REAL"/>
    <w:basedOn w:val="Normal"/>
    <w:link w:val="1-REALChar"/>
    <w:autoRedefine/>
    <w:rsid w:val="00335D8A"/>
    <w:pPr>
      <w:spacing w:line="300" w:lineRule="exact"/>
      <w:jc w:val="left"/>
    </w:pPr>
    <w:rPr>
      <w:rFonts w:ascii="Ecofont Vera Sans" w:hAnsi="Ecofont Vera Sans" w:cs="Arial"/>
      <w:sz w:val="16"/>
      <w:szCs w:val="20"/>
    </w:rPr>
  </w:style>
  <w:style w:type="character" w:customStyle="1" w:styleId="1-REALChar">
    <w:name w:val="1 - REAL Char"/>
    <w:basedOn w:val="Fontepargpadro"/>
    <w:link w:val="1-REAL"/>
    <w:locked/>
    <w:rsid w:val="00335D8A"/>
    <w:rPr>
      <w:rFonts w:ascii="Ecofont Vera Sans" w:hAnsi="Ecofont Vera Sans" w:cs="Arial"/>
      <w:sz w:val="16"/>
      <w:szCs w:val="20"/>
    </w:rPr>
  </w:style>
  <w:style w:type="character" w:customStyle="1" w:styleId="1-SUBminuscChar">
    <w:name w:val="1 - SUB  minusc Char"/>
    <w:basedOn w:val="Fontepargpadro"/>
    <w:link w:val="1-SUBminusc"/>
    <w:locked/>
    <w:rsid w:val="00335D8A"/>
    <w:rPr>
      <w:rFonts w:cs="Arial"/>
      <w:b/>
      <w:bCs/>
    </w:rPr>
  </w:style>
  <w:style w:type="paragraph" w:customStyle="1" w:styleId="1-SUBminusc">
    <w:name w:val="1 - SUB  minusc"/>
    <w:basedOn w:val="Normal"/>
    <w:next w:val="TextosemFormatao"/>
    <w:link w:val="1-SUBminuscChar"/>
    <w:rsid w:val="00335D8A"/>
    <w:pPr>
      <w:jc w:val="left"/>
    </w:pPr>
    <w:rPr>
      <w:rFonts w:cs="Arial"/>
      <w:b/>
      <w:bCs/>
    </w:rPr>
  </w:style>
  <w:style w:type="paragraph" w:customStyle="1" w:styleId="1-CORPOTEXTORELATORIO0">
    <w:name w:val="1 - CORPO TEXTO RELATORIO"/>
    <w:basedOn w:val="1-REL11"/>
    <w:link w:val="1-CORPOTEXTORELATORIOCharChar0"/>
    <w:autoRedefine/>
    <w:rsid w:val="00335D8A"/>
    <w:pPr>
      <w:framePr w:hSpace="187" w:wrap="around" w:vAnchor="page" w:hAnchor="margin" w:xAlign="right" w:y="4891"/>
      <w:jc w:val="center"/>
    </w:pPr>
    <w:rPr>
      <w:rFonts w:ascii="Calibri" w:eastAsiaTheme="minorEastAsia" w:hAnsi="Calibri"/>
      <w:b/>
      <w:sz w:val="28"/>
      <w:szCs w:val="28"/>
    </w:rPr>
  </w:style>
  <w:style w:type="character" w:customStyle="1" w:styleId="1-CORPOTEXTORELATORIOCharChar0">
    <w:name w:val="1 - CORPO TEXTO RELATORIO Char Char"/>
    <w:basedOn w:val="CorpodetextoChar"/>
    <w:link w:val="1-CORPOTEXTORELATORIO0"/>
    <w:locked/>
    <w:rsid w:val="00335D8A"/>
    <w:rPr>
      <w:rFonts w:ascii="Calibri" w:eastAsiaTheme="minorEastAsia" w:hAnsi="Calibri"/>
      <w:b/>
      <w:sz w:val="28"/>
      <w:szCs w:val="28"/>
      <w:lang w:val="pt-BR" w:eastAsia="pt-BR"/>
    </w:rPr>
  </w:style>
  <w:style w:type="paragraph" w:customStyle="1" w:styleId="1-CITAESITALICO9">
    <w:name w:val="1 - CITAÇÕES ITALICO 9"/>
    <w:aliases w:val="5"/>
    <w:basedOn w:val="Normal"/>
    <w:link w:val="1-CITAESITALICO9Char"/>
    <w:autoRedefine/>
    <w:rsid w:val="00335D8A"/>
    <w:pPr>
      <w:ind w:left="2694" w:hanging="426"/>
    </w:pPr>
    <w:rPr>
      <w:rFonts w:ascii="Times New Roman" w:hAnsi="Times New Roman"/>
      <w:iCs/>
      <w:sz w:val="20"/>
      <w:szCs w:val="20"/>
    </w:rPr>
  </w:style>
  <w:style w:type="character" w:customStyle="1" w:styleId="1-CITAESITALICO9Char">
    <w:name w:val="1 - CITAÇÕES ITALICO 9 Char"/>
    <w:aliases w:val="5 Char"/>
    <w:basedOn w:val="Fontepargpadro"/>
    <w:link w:val="1-CITAESITALICO9"/>
    <w:locked/>
    <w:rsid w:val="00335D8A"/>
    <w:rPr>
      <w:rFonts w:ascii="Times New Roman" w:hAnsi="Times New Roman"/>
      <w:iCs/>
      <w:sz w:val="20"/>
      <w:szCs w:val="20"/>
    </w:rPr>
  </w:style>
  <w:style w:type="paragraph" w:customStyle="1" w:styleId="0REALR1">
    <w:name w:val="0 REAL R$1"/>
    <w:aliases w:val="00"/>
    <w:basedOn w:val="Normal"/>
    <w:link w:val="0REALR1Char"/>
    <w:autoRedefine/>
    <w:rsid w:val="00335D8A"/>
    <w:pPr>
      <w:spacing w:line="276" w:lineRule="auto"/>
      <w:ind w:left="7514"/>
      <w:jc w:val="right"/>
    </w:pPr>
    <w:rPr>
      <w:rFonts w:cs="Arial"/>
      <w:sz w:val="16"/>
      <w:szCs w:val="16"/>
    </w:rPr>
  </w:style>
  <w:style w:type="character" w:customStyle="1" w:styleId="0REALR1Char">
    <w:name w:val="0 REAL R$1 Char"/>
    <w:aliases w:val="00 Char"/>
    <w:basedOn w:val="Fontepargpadro"/>
    <w:link w:val="0REALR1"/>
    <w:rsid w:val="00335D8A"/>
    <w:rPr>
      <w:rFonts w:cs="Arial"/>
      <w:sz w:val="16"/>
      <w:szCs w:val="16"/>
    </w:rPr>
  </w:style>
  <w:style w:type="paragraph" w:customStyle="1" w:styleId="1-REL11NEG">
    <w:name w:val="1 - REL 11 NEG"/>
    <w:basedOn w:val="1-CORPOTEXTORELATORIO0"/>
    <w:link w:val="1-REL11NEGCharChar"/>
    <w:rsid w:val="00335D8A"/>
    <w:pPr>
      <w:framePr w:wrap="around"/>
    </w:pPr>
    <w:rPr>
      <w:bCs/>
    </w:rPr>
  </w:style>
  <w:style w:type="character" w:customStyle="1" w:styleId="1-REL11NEGCharChar">
    <w:name w:val="1 - REL 11 NEG Char Char"/>
    <w:basedOn w:val="1-CORPOTEXTORELATORIOCharChar0"/>
    <w:link w:val="1-REL11NEG"/>
    <w:rsid w:val="00335D8A"/>
    <w:rPr>
      <w:rFonts w:ascii="Calibri" w:eastAsiaTheme="minorEastAsia" w:hAnsi="Calibri"/>
      <w:b/>
      <w:bCs/>
      <w:sz w:val="28"/>
      <w:szCs w:val="28"/>
      <w:lang w:val="pt-BR"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
      <w:marLeft w:val="0"/>
      <w:marRight w:val="0"/>
      <w:marTop w:val="0"/>
      <w:marBottom w:val="0"/>
      <w:divBdr>
        <w:top w:val="none" w:sz="0" w:space="0" w:color="auto"/>
        <w:left w:val="none" w:sz="0" w:space="0" w:color="auto"/>
        <w:bottom w:val="none" w:sz="0" w:space="0" w:color="auto"/>
        <w:right w:val="none" w:sz="0" w:space="0" w:color="auto"/>
      </w:divBdr>
    </w:div>
    <w:div w:id="2709316">
      <w:bodyDiv w:val="1"/>
      <w:marLeft w:val="0"/>
      <w:marRight w:val="0"/>
      <w:marTop w:val="0"/>
      <w:marBottom w:val="0"/>
      <w:divBdr>
        <w:top w:val="none" w:sz="0" w:space="0" w:color="auto"/>
        <w:left w:val="none" w:sz="0" w:space="0" w:color="auto"/>
        <w:bottom w:val="none" w:sz="0" w:space="0" w:color="auto"/>
        <w:right w:val="none" w:sz="0" w:space="0" w:color="auto"/>
      </w:divBdr>
    </w:div>
    <w:div w:id="9189294">
      <w:bodyDiv w:val="1"/>
      <w:marLeft w:val="0"/>
      <w:marRight w:val="0"/>
      <w:marTop w:val="0"/>
      <w:marBottom w:val="0"/>
      <w:divBdr>
        <w:top w:val="none" w:sz="0" w:space="0" w:color="auto"/>
        <w:left w:val="none" w:sz="0" w:space="0" w:color="auto"/>
        <w:bottom w:val="none" w:sz="0" w:space="0" w:color="auto"/>
        <w:right w:val="none" w:sz="0" w:space="0" w:color="auto"/>
      </w:divBdr>
    </w:div>
    <w:div w:id="11878229">
      <w:bodyDiv w:val="1"/>
      <w:marLeft w:val="0"/>
      <w:marRight w:val="0"/>
      <w:marTop w:val="0"/>
      <w:marBottom w:val="0"/>
      <w:divBdr>
        <w:top w:val="none" w:sz="0" w:space="0" w:color="auto"/>
        <w:left w:val="none" w:sz="0" w:space="0" w:color="auto"/>
        <w:bottom w:val="none" w:sz="0" w:space="0" w:color="auto"/>
        <w:right w:val="none" w:sz="0" w:space="0" w:color="auto"/>
      </w:divBdr>
    </w:div>
    <w:div w:id="16351139">
      <w:bodyDiv w:val="1"/>
      <w:marLeft w:val="0"/>
      <w:marRight w:val="0"/>
      <w:marTop w:val="0"/>
      <w:marBottom w:val="0"/>
      <w:divBdr>
        <w:top w:val="none" w:sz="0" w:space="0" w:color="auto"/>
        <w:left w:val="none" w:sz="0" w:space="0" w:color="auto"/>
        <w:bottom w:val="none" w:sz="0" w:space="0" w:color="auto"/>
        <w:right w:val="none" w:sz="0" w:space="0" w:color="auto"/>
      </w:divBdr>
    </w:div>
    <w:div w:id="20057626">
      <w:bodyDiv w:val="1"/>
      <w:marLeft w:val="0"/>
      <w:marRight w:val="0"/>
      <w:marTop w:val="0"/>
      <w:marBottom w:val="0"/>
      <w:divBdr>
        <w:top w:val="none" w:sz="0" w:space="0" w:color="auto"/>
        <w:left w:val="none" w:sz="0" w:space="0" w:color="auto"/>
        <w:bottom w:val="none" w:sz="0" w:space="0" w:color="auto"/>
        <w:right w:val="none" w:sz="0" w:space="0" w:color="auto"/>
      </w:divBdr>
    </w:div>
    <w:div w:id="22219756">
      <w:bodyDiv w:val="1"/>
      <w:marLeft w:val="0"/>
      <w:marRight w:val="0"/>
      <w:marTop w:val="0"/>
      <w:marBottom w:val="0"/>
      <w:divBdr>
        <w:top w:val="none" w:sz="0" w:space="0" w:color="auto"/>
        <w:left w:val="none" w:sz="0" w:space="0" w:color="auto"/>
        <w:bottom w:val="none" w:sz="0" w:space="0" w:color="auto"/>
        <w:right w:val="none" w:sz="0" w:space="0" w:color="auto"/>
      </w:divBdr>
    </w:div>
    <w:div w:id="24211165">
      <w:bodyDiv w:val="1"/>
      <w:marLeft w:val="0"/>
      <w:marRight w:val="0"/>
      <w:marTop w:val="0"/>
      <w:marBottom w:val="0"/>
      <w:divBdr>
        <w:top w:val="none" w:sz="0" w:space="0" w:color="auto"/>
        <w:left w:val="none" w:sz="0" w:space="0" w:color="auto"/>
        <w:bottom w:val="none" w:sz="0" w:space="0" w:color="auto"/>
        <w:right w:val="none" w:sz="0" w:space="0" w:color="auto"/>
      </w:divBdr>
    </w:div>
    <w:div w:id="27263789">
      <w:bodyDiv w:val="1"/>
      <w:marLeft w:val="0"/>
      <w:marRight w:val="0"/>
      <w:marTop w:val="0"/>
      <w:marBottom w:val="0"/>
      <w:divBdr>
        <w:top w:val="none" w:sz="0" w:space="0" w:color="auto"/>
        <w:left w:val="none" w:sz="0" w:space="0" w:color="auto"/>
        <w:bottom w:val="none" w:sz="0" w:space="0" w:color="auto"/>
        <w:right w:val="none" w:sz="0" w:space="0" w:color="auto"/>
      </w:divBdr>
    </w:div>
    <w:div w:id="30541115">
      <w:bodyDiv w:val="1"/>
      <w:marLeft w:val="0"/>
      <w:marRight w:val="0"/>
      <w:marTop w:val="0"/>
      <w:marBottom w:val="0"/>
      <w:divBdr>
        <w:top w:val="none" w:sz="0" w:space="0" w:color="auto"/>
        <w:left w:val="none" w:sz="0" w:space="0" w:color="auto"/>
        <w:bottom w:val="none" w:sz="0" w:space="0" w:color="auto"/>
        <w:right w:val="none" w:sz="0" w:space="0" w:color="auto"/>
      </w:divBdr>
    </w:div>
    <w:div w:id="36131290">
      <w:bodyDiv w:val="1"/>
      <w:marLeft w:val="0"/>
      <w:marRight w:val="0"/>
      <w:marTop w:val="0"/>
      <w:marBottom w:val="0"/>
      <w:divBdr>
        <w:top w:val="none" w:sz="0" w:space="0" w:color="auto"/>
        <w:left w:val="none" w:sz="0" w:space="0" w:color="auto"/>
        <w:bottom w:val="none" w:sz="0" w:space="0" w:color="auto"/>
        <w:right w:val="none" w:sz="0" w:space="0" w:color="auto"/>
      </w:divBdr>
    </w:div>
    <w:div w:id="39986148">
      <w:bodyDiv w:val="1"/>
      <w:marLeft w:val="0"/>
      <w:marRight w:val="0"/>
      <w:marTop w:val="0"/>
      <w:marBottom w:val="0"/>
      <w:divBdr>
        <w:top w:val="none" w:sz="0" w:space="0" w:color="auto"/>
        <w:left w:val="none" w:sz="0" w:space="0" w:color="auto"/>
        <w:bottom w:val="none" w:sz="0" w:space="0" w:color="auto"/>
        <w:right w:val="none" w:sz="0" w:space="0" w:color="auto"/>
      </w:divBdr>
    </w:div>
    <w:div w:id="43144410">
      <w:bodyDiv w:val="1"/>
      <w:marLeft w:val="0"/>
      <w:marRight w:val="0"/>
      <w:marTop w:val="0"/>
      <w:marBottom w:val="0"/>
      <w:divBdr>
        <w:top w:val="none" w:sz="0" w:space="0" w:color="auto"/>
        <w:left w:val="none" w:sz="0" w:space="0" w:color="auto"/>
        <w:bottom w:val="none" w:sz="0" w:space="0" w:color="auto"/>
        <w:right w:val="none" w:sz="0" w:space="0" w:color="auto"/>
      </w:divBdr>
    </w:div>
    <w:div w:id="49773117">
      <w:bodyDiv w:val="1"/>
      <w:marLeft w:val="0"/>
      <w:marRight w:val="0"/>
      <w:marTop w:val="0"/>
      <w:marBottom w:val="0"/>
      <w:divBdr>
        <w:top w:val="none" w:sz="0" w:space="0" w:color="auto"/>
        <w:left w:val="none" w:sz="0" w:space="0" w:color="auto"/>
        <w:bottom w:val="none" w:sz="0" w:space="0" w:color="auto"/>
        <w:right w:val="none" w:sz="0" w:space="0" w:color="auto"/>
      </w:divBdr>
    </w:div>
    <w:div w:id="51316834">
      <w:bodyDiv w:val="1"/>
      <w:marLeft w:val="0"/>
      <w:marRight w:val="0"/>
      <w:marTop w:val="0"/>
      <w:marBottom w:val="0"/>
      <w:divBdr>
        <w:top w:val="none" w:sz="0" w:space="0" w:color="auto"/>
        <w:left w:val="none" w:sz="0" w:space="0" w:color="auto"/>
        <w:bottom w:val="none" w:sz="0" w:space="0" w:color="auto"/>
        <w:right w:val="none" w:sz="0" w:space="0" w:color="auto"/>
      </w:divBdr>
    </w:div>
    <w:div w:id="52195131">
      <w:bodyDiv w:val="1"/>
      <w:marLeft w:val="0"/>
      <w:marRight w:val="0"/>
      <w:marTop w:val="0"/>
      <w:marBottom w:val="0"/>
      <w:divBdr>
        <w:top w:val="none" w:sz="0" w:space="0" w:color="auto"/>
        <w:left w:val="none" w:sz="0" w:space="0" w:color="auto"/>
        <w:bottom w:val="none" w:sz="0" w:space="0" w:color="auto"/>
        <w:right w:val="none" w:sz="0" w:space="0" w:color="auto"/>
      </w:divBdr>
    </w:div>
    <w:div w:id="54285208">
      <w:bodyDiv w:val="1"/>
      <w:marLeft w:val="0"/>
      <w:marRight w:val="0"/>
      <w:marTop w:val="0"/>
      <w:marBottom w:val="0"/>
      <w:divBdr>
        <w:top w:val="none" w:sz="0" w:space="0" w:color="auto"/>
        <w:left w:val="none" w:sz="0" w:space="0" w:color="auto"/>
        <w:bottom w:val="none" w:sz="0" w:space="0" w:color="auto"/>
        <w:right w:val="none" w:sz="0" w:space="0" w:color="auto"/>
      </w:divBdr>
    </w:div>
    <w:div w:id="56317762">
      <w:bodyDiv w:val="1"/>
      <w:marLeft w:val="0"/>
      <w:marRight w:val="0"/>
      <w:marTop w:val="0"/>
      <w:marBottom w:val="0"/>
      <w:divBdr>
        <w:top w:val="none" w:sz="0" w:space="0" w:color="auto"/>
        <w:left w:val="none" w:sz="0" w:space="0" w:color="auto"/>
        <w:bottom w:val="none" w:sz="0" w:space="0" w:color="auto"/>
        <w:right w:val="none" w:sz="0" w:space="0" w:color="auto"/>
      </w:divBdr>
    </w:div>
    <w:div w:id="56364368">
      <w:bodyDiv w:val="1"/>
      <w:marLeft w:val="0"/>
      <w:marRight w:val="0"/>
      <w:marTop w:val="0"/>
      <w:marBottom w:val="0"/>
      <w:divBdr>
        <w:top w:val="none" w:sz="0" w:space="0" w:color="auto"/>
        <w:left w:val="none" w:sz="0" w:space="0" w:color="auto"/>
        <w:bottom w:val="none" w:sz="0" w:space="0" w:color="auto"/>
        <w:right w:val="none" w:sz="0" w:space="0" w:color="auto"/>
      </w:divBdr>
    </w:div>
    <w:div w:id="56828819">
      <w:bodyDiv w:val="1"/>
      <w:marLeft w:val="0"/>
      <w:marRight w:val="0"/>
      <w:marTop w:val="0"/>
      <w:marBottom w:val="0"/>
      <w:divBdr>
        <w:top w:val="none" w:sz="0" w:space="0" w:color="auto"/>
        <w:left w:val="none" w:sz="0" w:space="0" w:color="auto"/>
        <w:bottom w:val="none" w:sz="0" w:space="0" w:color="auto"/>
        <w:right w:val="none" w:sz="0" w:space="0" w:color="auto"/>
      </w:divBdr>
    </w:div>
    <w:div w:id="61100559">
      <w:bodyDiv w:val="1"/>
      <w:marLeft w:val="0"/>
      <w:marRight w:val="0"/>
      <w:marTop w:val="0"/>
      <w:marBottom w:val="0"/>
      <w:divBdr>
        <w:top w:val="none" w:sz="0" w:space="0" w:color="auto"/>
        <w:left w:val="none" w:sz="0" w:space="0" w:color="auto"/>
        <w:bottom w:val="none" w:sz="0" w:space="0" w:color="auto"/>
        <w:right w:val="none" w:sz="0" w:space="0" w:color="auto"/>
      </w:divBdr>
    </w:div>
    <w:div w:id="67504421">
      <w:bodyDiv w:val="1"/>
      <w:marLeft w:val="0"/>
      <w:marRight w:val="0"/>
      <w:marTop w:val="0"/>
      <w:marBottom w:val="0"/>
      <w:divBdr>
        <w:top w:val="none" w:sz="0" w:space="0" w:color="auto"/>
        <w:left w:val="none" w:sz="0" w:space="0" w:color="auto"/>
        <w:bottom w:val="none" w:sz="0" w:space="0" w:color="auto"/>
        <w:right w:val="none" w:sz="0" w:space="0" w:color="auto"/>
      </w:divBdr>
    </w:div>
    <w:div w:id="81418604">
      <w:bodyDiv w:val="1"/>
      <w:marLeft w:val="0"/>
      <w:marRight w:val="0"/>
      <w:marTop w:val="0"/>
      <w:marBottom w:val="0"/>
      <w:divBdr>
        <w:top w:val="none" w:sz="0" w:space="0" w:color="auto"/>
        <w:left w:val="none" w:sz="0" w:space="0" w:color="auto"/>
        <w:bottom w:val="none" w:sz="0" w:space="0" w:color="auto"/>
        <w:right w:val="none" w:sz="0" w:space="0" w:color="auto"/>
      </w:divBdr>
    </w:div>
    <w:div w:id="84881482">
      <w:bodyDiv w:val="1"/>
      <w:marLeft w:val="0"/>
      <w:marRight w:val="0"/>
      <w:marTop w:val="0"/>
      <w:marBottom w:val="0"/>
      <w:divBdr>
        <w:top w:val="none" w:sz="0" w:space="0" w:color="auto"/>
        <w:left w:val="none" w:sz="0" w:space="0" w:color="auto"/>
        <w:bottom w:val="none" w:sz="0" w:space="0" w:color="auto"/>
        <w:right w:val="none" w:sz="0" w:space="0" w:color="auto"/>
      </w:divBdr>
    </w:div>
    <w:div w:id="90861734">
      <w:bodyDiv w:val="1"/>
      <w:marLeft w:val="0"/>
      <w:marRight w:val="0"/>
      <w:marTop w:val="0"/>
      <w:marBottom w:val="0"/>
      <w:divBdr>
        <w:top w:val="none" w:sz="0" w:space="0" w:color="auto"/>
        <w:left w:val="none" w:sz="0" w:space="0" w:color="auto"/>
        <w:bottom w:val="none" w:sz="0" w:space="0" w:color="auto"/>
        <w:right w:val="none" w:sz="0" w:space="0" w:color="auto"/>
      </w:divBdr>
    </w:div>
    <w:div w:id="94061886">
      <w:bodyDiv w:val="1"/>
      <w:marLeft w:val="0"/>
      <w:marRight w:val="0"/>
      <w:marTop w:val="0"/>
      <w:marBottom w:val="0"/>
      <w:divBdr>
        <w:top w:val="none" w:sz="0" w:space="0" w:color="auto"/>
        <w:left w:val="none" w:sz="0" w:space="0" w:color="auto"/>
        <w:bottom w:val="none" w:sz="0" w:space="0" w:color="auto"/>
        <w:right w:val="none" w:sz="0" w:space="0" w:color="auto"/>
      </w:divBdr>
    </w:div>
    <w:div w:id="95179570">
      <w:bodyDiv w:val="1"/>
      <w:marLeft w:val="0"/>
      <w:marRight w:val="0"/>
      <w:marTop w:val="0"/>
      <w:marBottom w:val="0"/>
      <w:divBdr>
        <w:top w:val="none" w:sz="0" w:space="0" w:color="auto"/>
        <w:left w:val="none" w:sz="0" w:space="0" w:color="auto"/>
        <w:bottom w:val="none" w:sz="0" w:space="0" w:color="auto"/>
        <w:right w:val="none" w:sz="0" w:space="0" w:color="auto"/>
      </w:divBdr>
    </w:div>
    <w:div w:id="99883714">
      <w:bodyDiv w:val="1"/>
      <w:marLeft w:val="0"/>
      <w:marRight w:val="0"/>
      <w:marTop w:val="0"/>
      <w:marBottom w:val="0"/>
      <w:divBdr>
        <w:top w:val="none" w:sz="0" w:space="0" w:color="auto"/>
        <w:left w:val="none" w:sz="0" w:space="0" w:color="auto"/>
        <w:bottom w:val="none" w:sz="0" w:space="0" w:color="auto"/>
        <w:right w:val="none" w:sz="0" w:space="0" w:color="auto"/>
      </w:divBdr>
    </w:div>
    <w:div w:id="115951949">
      <w:bodyDiv w:val="1"/>
      <w:marLeft w:val="0"/>
      <w:marRight w:val="0"/>
      <w:marTop w:val="0"/>
      <w:marBottom w:val="0"/>
      <w:divBdr>
        <w:top w:val="none" w:sz="0" w:space="0" w:color="auto"/>
        <w:left w:val="none" w:sz="0" w:space="0" w:color="auto"/>
        <w:bottom w:val="none" w:sz="0" w:space="0" w:color="auto"/>
        <w:right w:val="none" w:sz="0" w:space="0" w:color="auto"/>
      </w:divBdr>
    </w:div>
    <w:div w:id="117722176">
      <w:bodyDiv w:val="1"/>
      <w:marLeft w:val="0"/>
      <w:marRight w:val="0"/>
      <w:marTop w:val="0"/>
      <w:marBottom w:val="0"/>
      <w:divBdr>
        <w:top w:val="none" w:sz="0" w:space="0" w:color="auto"/>
        <w:left w:val="none" w:sz="0" w:space="0" w:color="auto"/>
        <w:bottom w:val="none" w:sz="0" w:space="0" w:color="auto"/>
        <w:right w:val="none" w:sz="0" w:space="0" w:color="auto"/>
      </w:divBdr>
    </w:div>
    <w:div w:id="126288346">
      <w:bodyDiv w:val="1"/>
      <w:marLeft w:val="0"/>
      <w:marRight w:val="0"/>
      <w:marTop w:val="0"/>
      <w:marBottom w:val="0"/>
      <w:divBdr>
        <w:top w:val="none" w:sz="0" w:space="0" w:color="auto"/>
        <w:left w:val="none" w:sz="0" w:space="0" w:color="auto"/>
        <w:bottom w:val="none" w:sz="0" w:space="0" w:color="auto"/>
        <w:right w:val="none" w:sz="0" w:space="0" w:color="auto"/>
      </w:divBdr>
    </w:div>
    <w:div w:id="129641855">
      <w:bodyDiv w:val="1"/>
      <w:marLeft w:val="0"/>
      <w:marRight w:val="0"/>
      <w:marTop w:val="0"/>
      <w:marBottom w:val="0"/>
      <w:divBdr>
        <w:top w:val="none" w:sz="0" w:space="0" w:color="auto"/>
        <w:left w:val="none" w:sz="0" w:space="0" w:color="auto"/>
        <w:bottom w:val="none" w:sz="0" w:space="0" w:color="auto"/>
        <w:right w:val="none" w:sz="0" w:space="0" w:color="auto"/>
      </w:divBdr>
    </w:div>
    <w:div w:id="132601542">
      <w:bodyDiv w:val="1"/>
      <w:marLeft w:val="0"/>
      <w:marRight w:val="0"/>
      <w:marTop w:val="0"/>
      <w:marBottom w:val="0"/>
      <w:divBdr>
        <w:top w:val="none" w:sz="0" w:space="0" w:color="auto"/>
        <w:left w:val="none" w:sz="0" w:space="0" w:color="auto"/>
        <w:bottom w:val="none" w:sz="0" w:space="0" w:color="auto"/>
        <w:right w:val="none" w:sz="0" w:space="0" w:color="auto"/>
      </w:divBdr>
    </w:div>
    <w:div w:id="137036201">
      <w:bodyDiv w:val="1"/>
      <w:marLeft w:val="0"/>
      <w:marRight w:val="0"/>
      <w:marTop w:val="0"/>
      <w:marBottom w:val="0"/>
      <w:divBdr>
        <w:top w:val="none" w:sz="0" w:space="0" w:color="auto"/>
        <w:left w:val="none" w:sz="0" w:space="0" w:color="auto"/>
        <w:bottom w:val="none" w:sz="0" w:space="0" w:color="auto"/>
        <w:right w:val="none" w:sz="0" w:space="0" w:color="auto"/>
      </w:divBdr>
    </w:div>
    <w:div w:id="153762732">
      <w:bodyDiv w:val="1"/>
      <w:marLeft w:val="0"/>
      <w:marRight w:val="0"/>
      <w:marTop w:val="0"/>
      <w:marBottom w:val="0"/>
      <w:divBdr>
        <w:top w:val="none" w:sz="0" w:space="0" w:color="auto"/>
        <w:left w:val="none" w:sz="0" w:space="0" w:color="auto"/>
        <w:bottom w:val="none" w:sz="0" w:space="0" w:color="auto"/>
        <w:right w:val="none" w:sz="0" w:space="0" w:color="auto"/>
      </w:divBdr>
    </w:div>
    <w:div w:id="163320733">
      <w:bodyDiv w:val="1"/>
      <w:marLeft w:val="0"/>
      <w:marRight w:val="0"/>
      <w:marTop w:val="0"/>
      <w:marBottom w:val="0"/>
      <w:divBdr>
        <w:top w:val="none" w:sz="0" w:space="0" w:color="auto"/>
        <w:left w:val="none" w:sz="0" w:space="0" w:color="auto"/>
        <w:bottom w:val="none" w:sz="0" w:space="0" w:color="auto"/>
        <w:right w:val="none" w:sz="0" w:space="0" w:color="auto"/>
      </w:divBdr>
    </w:div>
    <w:div w:id="164788014">
      <w:bodyDiv w:val="1"/>
      <w:marLeft w:val="0"/>
      <w:marRight w:val="0"/>
      <w:marTop w:val="0"/>
      <w:marBottom w:val="0"/>
      <w:divBdr>
        <w:top w:val="none" w:sz="0" w:space="0" w:color="auto"/>
        <w:left w:val="none" w:sz="0" w:space="0" w:color="auto"/>
        <w:bottom w:val="none" w:sz="0" w:space="0" w:color="auto"/>
        <w:right w:val="none" w:sz="0" w:space="0" w:color="auto"/>
      </w:divBdr>
    </w:div>
    <w:div w:id="167139865">
      <w:bodyDiv w:val="1"/>
      <w:marLeft w:val="0"/>
      <w:marRight w:val="0"/>
      <w:marTop w:val="0"/>
      <w:marBottom w:val="0"/>
      <w:divBdr>
        <w:top w:val="none" w:sz="0" w:space="0" w:color="auto"/>
        <w:left w:val="none" w:sz="0" w:space="0" w:color="auto"/>
        <w:bottom w:val="none" w:sz="0" w:space="0" w:color="auto"/>
        <w:right w:val="none" w:sz="0" w:space="0" w:color="auto"/>
      </w:divBdr>
    </w:div>
    <w:div w:id="168839005">
      <w:bodyDiv w:val="1"/>
      <w:marLeft w:val="0"/>
      <w:marRight w:val="0"/>
      <w:marTop w:val="0"/>
      <w:marBottom w:val="0"/>
      <w:divBdr>
        <w:top w:val="none" w:sz="0" w:space="0" w:color="auto"/>
        <w:left w:val="none" w:sz="0" w:space="0" w:color="auto"/>
        <w:bottom w:val="none" w:sz="0" w:space="0" w:color="auto"/>
        <w:right w:val="none" w:sz="0" w:space="0" w:color="auto"/>
      </w:divBdr>
    </w:div>
    <w:div w:id="175392563">
      <w:bodyDiv w:val="1"/>
      <w:marLeft w:val="0"/>
      <w:marRight w:val="0"/>
      <w:marTop w:val="0"/>
      <w:marBottom w:val="0"/>
      <w:divBdr>
        <w:top w:val="none" w:sz="0" w:space="0" w:color="auto"/>
        <w:left w:val="none" w:sz="0" w:space="0" w:color="auto"/>
        <w:bottom w:val="none" w:sz="0" w:space="0" w:color="auto"/>
        <w:right w:val="none" w:sz="0" w:space="0" w:color="auto"/>
      </w:divBdr>
    </w:div>
    <w:div w:id="175970292">
      <w:bodyDiv w:val="1"/>
      <w:marLeft w:val="0"/>
      <w:marRight w:val="0"/>
      <w:marTop w:val="0"/>
      <w:marBottom w:val="0"/>
      <w:divBdr>
        <w:top w:val="none" w:sz="0" w:space="0" w:color="auto"/>
        <w:left w:val="none" w:sz="0" w:space="0" w:color="auto"/>
        <w:bottom w:val="none" w:sz="0" w:space="0" w:color="auto"/>
        <w:right w:val="none" w:sz="0" w:space="0" w:color="auto"/>
      </w:divBdr>
    </w:div>
    <w:div w:id="177014204">
      <w:bodyDiv w:val="1"/>
      <w:marLeft w:val="0"/>
      <w:marRight w:val="0"/>
      <w:marTop w:val="0"/>
      <w:marBottom w:val="0"/>
      <w:divBdr>
        <w:top w:val="none" w:sz="0" w:space="0" w:color="auto"/>
        <w:left w:val="none" w:sz="0" w:space="0" w:color="auto"/>
        <w:bottom w:val="none" w:sz="0" w:space="0" w:color="auto"/>
        <w:right w:val="none" w:sz="0" w:space="0" w:color="auto"/>
      </w:divBdr>
    </w:div>
    <w:div w:id="177426682">
      <w:bodyDiv w:val="1"/>
      <w:marLeft w:val="0"/>
      <w:marRight w:val="0"/>
      <w:marTop w:val="0"/>
      <w:marBottom w:val="0"/>
      <w:divBdr>
        <w:top w:val="none" w:sz="0" w:space="0" w:color="auto"/>
        <w:left w:val="none" w:sz="0" w:space="0" w:color="auto"/>
        <w:bottom w:val="none" w:sz="0" w:space="0" w:color="auto"/>
        <w:right w:val="none" w:sz="0" w:space="0" w:color="auto"/>
      </w:divBdr>
    </w:div>
    <w:div w:id="186604774">
      <w:bodyDiv w:val="1"/>
      <w:marLeft w:val="0"/>
      <w:marRight w:val="0"/>
      <w:marTop w:val="0"/>
      <w:marBottom w:val="0"/>
      <w:divBdr>
        <w:top w:val="none" w:sz="0" w:space="0" w:color="auto"/>
        <w:left w:val="none" w:sz="0" w:space="0" w:color="auto"/>
        <w:bottom w:val="none" w:sz="0" w:space="0" w:color="auto"/>
        <w:right w:val="none" w:sz="0" w:space="0" w:color="auto"/>
      </w:divBdr>
    </w:div>
    <w:div w:id="191386110">
      <w:bodyDiv w:val="1"/>
      <w:marLeft w:val="0"/>
      <w:marRight w:val="0"/>
      <w:marTop w:val="0"/>
      <w:marBottom w:val="0"/>
      <w:divBdr>
        <w:top w:val="none" w:sz="0" w:space="0" w:color="auto"/>
        <w:left w:val="none" w:sz="0" w:space="0" w:color="auto"/>
        <w:bottom w:val="none" w:sz="0" w:space="0" w:color="auto"/>
        <w:right w:val="none" w:sz="0" w:space="0" w:color="auto"/>
      </w:divBdr>
    </w:div>
    <w:div w:id="191647118">
      <w:bodyDiv w:val="1"/>
      <w:marLeft w:val="0"/>
      <w:marRight w:val="0"/>
      <w:marTop w:val="0"/>
      <w:marBottom w:val="0"/>
      <w:divBdr>
        <w:top w:val="none" w:sz="0" w:space="0" w:color="auto"/>
        <w:left w:val="none" w:sz="0" w:space="0" w:color="auto"/>
        <w:bottom w:val="none" w:sz="0" w:space="0" w:color="auto"/>
        <w:right w:val="none" w:sz="0" w:space="0" w:color="auto"/>
      </w:divBdr>
    </w:div>
    <w:div w:id="194733944">
      <w:bodyDiv w:val="1"/>
      <w:marLeft w:val="0"/>
      <w:marRight w:val="0"/>
      <w:marTop w:val="0"/>
      <w:marBottom w:val="0"/>
      <w:divBdr>
        <w:top w:val="none" w:sz="0" w:space="0" w:color="auto"/>
        <w:left w:val="none" w:sz="0" w:space="0" w:color="auto"/>
        <w:bottom w:val="none" w:sz="0" w:space="0" w:color="auto"/>
        <w:right w:val="none" w:sz="0" w:space="0" w:color="auto"/>
      </w:divBdr>
    </w:div>
    <w:div w:id="201552889">
      <w:bodyDiv w:val="1"/>
      <w:marLeft w:val="0"/>
      <w:marRight w:val="0"/>
      <w:marTop w:val="0"/>
      <w:marBottom w:val="0"/>
      <w:divBdr>
        <w:top w:val="none" w:sz="0" w:space="0" w:color="auto"/>
        <w:left w:val="none" w:sz="0" w:space="0" w:color="auto"/>
        <w:bottom w:val="none" w:sz="0" w:space="0" w:color="auto"/>
        <w:right w:val="none" w:sz="0" w:space="0" w:color="auto"/>
      </w:divBdr>
    </w:div>
    <w:div w:id="209466852">
      <w:bodyDiv w:val="1"/>
      <w:marLeft w:val="0"/>
      <w:marRight w:val="0"/>
      <w:marTop w:val="0"/>
      <w:marBottom w:val="0"/>
      <w:divBdr>
        <w:top w:val="none" w:sz="0" w:space="0" w:color="auto"/>
        <w:left w:val="none" w:sz="0" w:space="0" w:color="auto"/>
        <w:bottom w:val="none" w:sz="0" w:space="0" w:color="auto"/>
        <w:right w:val="none" w:sz="0" w:space="0" w:color="auto"/>
      </w:divBdr>
    </w:div>
    <w:div w:id="215050394">
      <w:bodyDiv w:val="1"/>
      <w:marLeft w:val="0"/>
      <w:marRight w:val="0"/>
      <w:marTop w:val="0"/>
      <w:marBottom w:val="0"/>
      <w:divBdr>
        <w:top w:val="none" w:sz="0" w:space="0" w:color="auto"/>
        <w:left w:val="none" w:sz="0" w:space="0" w:color="auto"/>
        <w:bottom w:val="none" w:sz="0" w:space="0" w:color="auto"/>
        <w:right w:val="none" w:sz="0" w:space="0" w:color="auto"/>
      </w:divBdr>
    </w:div>
    <w:div w:id="216597156">
      <w:bodyDiv w:val="1"/>
      <w:marLeft w:val="0"/>
      <w:marRight w:val="0"/>
      <w:marTop w:val="0"/>
      <w:marBottom w:val="0"/>
      <w:divBdr>
        <w:top w:val="none" w:sz="0" w:space="0" w:color="auto"/>
        <w:left w:val="none" w:sz="0" w:space="0" w:color="auto"/>
        <w:bottom w:val="none" w:sz="0" w:space="0" w:color="auto"/>
        <w:right w:val="none" w:sz="0" w:space="0" w:color="auto"/>
      </w:divBdr>
    </w:div>
    <w:div w:id="229459960">
      <w:bodyDiv w:val="1"/>
      <w:marLeft w:val="0"/>
      <w:marRight w:val="0"/>
      <w:marTop w:val="0"/>
      <w:marBottom w:val="0"/>
      <w:divBdr>
        <w:top w:val="none" w:sz="0" w:space="0" w:color="auto"/>
        <w:left w:val="none" w:sz="0" w:space="0" w:color="auto"/>
        <w:bottom w:val="none" w:sz="0" w:space="0" w:color="auto"/>
        <w:right w:val="none" w:sz="0" w:space="0" w:color="auto"/>
      </w:divBdr>
    </w:div>
    <w:div w:id="230621983">
      <w:bodyDiv w:val="1"/>
      <w:marLeft w:val="0"/>
      <w:marRight w:val="0"/>
      <w:marTop w:val="0"/>
      <w:marBottom w:val="0"/>
      <w:divBdr>
        <w:top w:val="none" w:sz="0" w:space="0" w:color="auto"/>
        <w:left w:val="none" w:sz="0" w:space="0" w:color="auto"/>
        <w:bottom w:val="none" w:sz="0" w:space="0" w:color="auto"/>
        <w:right w:val="none" w:sz="0" w:space="0" w:color="auto"/>
      </w:divBdr>
    </w:div>
    <w:div w:id="238441530">
      <w:bodyDiv w:val="1"/>
      <w:marLeft w:val="0"/>
      <w:marRight w:val="0"/>
      <w:marTop w:val="0"/>
      <w:marBottom w:val="0"/>
      <w:divBdr>
        <w:top w:val="none" w:sz="0" w:space="0" w:color="auto"/>
        <w:left w:val="none" w:sz="0" w:space="0" w:color="auto"/>
        <w:bottom w:val="none" w:sz="0" w:space="0" w:color="auto"/>
        <w:right w:val="none" w:sz="0" w:space="0" w:color="auto"/>
      </w:divBdr>
    </w:div>
    <w:div w:id="238944335">
      <w:bodyDiv w:val="1"/>
      <w:marLeft w:val="0"/>
      <w:marRight w:val="0"/>
      <w:marTop w:val="0"/>
      <w:marBottom w:val="0"/>
      <w:divBdr>
        <w:top w:val="none" w:sz="0" w:space="0" w:color="auto"/>
        <w:left w:val="none" w:sz="0" w:space="0" w:color="auto"/>
        <w:bottom w:val="none" w:sz="0" w:space="0" w:color="auto"/>
        <w:right w:val="none" w:sz="0" w:space="0" w:color="auto"/>
      </w:divBdr>
    </w:div>
    <w:div w:id="244266956">
      <w:bodyDiv w:val="1"/>
      <w:marLeft w:val="0"/>
      <w:marRight w:val="0"/>
      <w:marTop w:val="0"/>
      <w:marBottom w:val="0"/>
      <w:divBdr>
        <w:top w:val="none" w:sz="0" w:space="0" w:color="auto"/>
        <w:left w:val="none" w:sz="0" w:space="0" w:color="auto"/>
        <w:bottom w:val="none" w:sz="0" w:space="0" w:color="auto"/>
        <w:right w:val="none" w:sz="0" w:space="0" w:color="auto"/>
      </w:divBdr>
    </w:div>
    <w:div w:id="245194586">
      <w:bodyDiv w:val="1"/>
      <w:marLeft w:val="0"/>
      <w:marRight w:val="0"/>
      <w:marTop w:val="0"/>
      <w:marBottom w:val="0"/>
      <w:divBdr>
        <w:top w:val="none" w:sz="0" w:space="0" w:color="auto"/>
        <w:left w:val="none" w:sz="0" w:space="0" w:color="auto"/>
        <w:bottom w:val="none" w:sz="0" w:space="0" w:color="auto"/>
        <w:right w:val="none" w:sz="0" w:space="0" w:color="auto"/>
      </w:divBdr>
    </w:div>
    <w:div w:id="247857402">
      <w:bodyDiv w:val="1"/>
      <w:marLeft w:val="0"/>
      <w:marRight w:val="0"/>
      <w:marTop w:val="0"/>
      <w:marBottom w:val="0"/>
      <w:divBdr>
        <w:top w:val="none" w:sz="0" w:space="0" w:color="auto"/>
        <w:left w:val="none" w:sz="0" w:space="0" w:color="auto"/>
        <w:bottom w:val="none" w:sz="0" w:space="0" w:color="auto"/>
        <w:right w:val="none" w:sz="0" w:space="0" w:color="auto"/>
      </w:divBdr>
    </w:div>
    <w:div w:id="249701868">
      <w:bodyDiv w:val="1"/>
      <w:marLeft w:val="0"/>
      <w:marRight w:val="0"/>
      <w:marTop w:val="0"/>
      <w:marBottom w:val="0"/>
      <w:divBdr>
        <w:top w:val="none" w:sz="0" w:space="0" w:color="auto"/>
        <w:left w:val="none" w:sz="0" w:space="0" w:color="auto"/>
        <w:bottom w:val="none" w:sz="0" w:space="0" w:color="auto"/>
        <w:right w:val="none" w:sz="0" w:space="0" w:color="auto"/>
      </w:divBdr>
    </w:div>
    <w:div w:id="257837455">
      <w:bodyDiv w:val="1"/>
      <w:marLeft w:val="0"/>
      <w:marRight w:val="0"/>
      <w:marTop w:val="0"/>
      <w:marBottom w:val="0"/>
      <w:divBdr>
        <w:top w:val="none" w:sz="0" w:space="0" w:color="auto"/>
        <w:left w:val="none" w:sz="0" w:space="0" w:color="auto"/>
        <w:bottom w:val="none" w:sz="0" w:space="0" w:color="auto"/>
        <w:right w:val="none" w:sz="0" w:space="0" w:color="auto"/>
      </w:divBdr>
    </w:div>
    <w:div w:id="263348298">
      <w:bodyDiv w:val="1"/>
      <w:marLeft w:val="0"/>
      <w:marRight w:val="0"/>
      <w:marTop w:val="0"/>
      <w:marBottom w:val="0"/>
      <w:divBdr>
        <w:top w:val="none" w:sz="0" w:space="0" w:color="auto"/>
        <w:left w:val="none" w:sz="0" w:space="0" w:color="auto"/>
        <w:bottom w:val="none" w:sz="0" w:space="0" w:color="auto"/>
        <w:right w:val="none" w:sz="0" w:space="0" w:color="auto"/>
      </w:divBdr>
    </w:div>
    <w:div w:id="263464175">
      <w:bodyDiv w:val="1"/>
      <w:marLeft w:val="0"/>
      <w:marRight w:val="0"/>
      <w:marTop w:val="0"/>
      <w:marBottom w:val="0"/>
      <w:divBdr>
        <w:top w:val="none" w:sz="0" w:space="0" w:color="auto"/>
        <w:left w:val="none" w:sz="0" w:space="0" w:color="auto"/>
        <w:bottom w:val="none" w:sz="0" w:space="0" w:color="auto"/>
        <w:right w:val="none" w:sz="0" w:space="0" w:color="auto"/>
      </w:divBdr>
    </w:div>
    <w:div w:id="264508987">
      <w:bodyDiv w:val="1"/>
      <w:marLeft w:val="0"/>
      <w:marRight w:val="0"/>
      <w:marTop w:val="0"/>
      <w:marBottom w:val="0"/>
      <w:divBdr>
        <w:top w:val="none" w:sz="0" w:space="0" w:color="auto"/>
        <w:left w:val="none" w:sz="0" w:space="0" w:color="auto"/>
        <w:bottom w:val="none" w:sz="0" w:space="0" w:color="auto"/>
        <w:right w:val="none" w:sz="0" w:space="0" w:color="auto"/>
      </w:divBdr>
    </w:div>
    <w:div w:id="270015491">
      <w:bodyDiv w:val="1"/>
      <w:marLeft w:val="0"/>
      <w:marRight w:val="0"/>
      <w:marTop w:val="0"/>
      <w:marBottom w:val="0"/>
      <w:divBdr>
        <w:top w:val="none" w:sz="0" w:space="0" w:color="auto"/>
        <w:left w:val="none" w:sz="0" w:space="0" w:color="auto"/>
        <w:bottom w:val="none" w:sz="0" w:space="0" w:color="auto"/>
        <w:right w:val="none" w:sz="0" w:space="0" w:color="auto"/>
      </w:divBdr>
    </w:div>
    <w:div w:id="271786032">
      <w:bodyDiv w:val="1"/>
      <w:marLeft w:val="0"/>
      <w:marRight w:val="0"/>
      <w:marTop w:val="0"/>
      <w:marBottom w:val="0"/>
      <w:divBdr>
        <w:top w:val="none" w:sz="0" w:space="0" w:color="auto"/>
        <w:left w:val="none" w:sz="0" w:space="0" w:color="auto"/>
        <w:bottom w:val="none" w:sz="0" w:space="0" w:color="auto"/>
        <w:right w:val="none" w:sz="0" w:space="0" w:color="auto"/>
      </w:divBdr>
    </w:div>
    <w:div w:id="278607241">
      <w:bodyDiv w:val="1"/>
      <w:marLeft w:val="0"/>
      <w:marRight w:val="0"/>
      <w:marTop w:val="0"/>
      <w:marBottom w:val="0"/>
      <w:divBdr>
        <w:top w:val="none" w:sz="0" w:space="0" w:color="auto"/>
        <w:left w:val="none" w:sz="0" w:space="0" w:color="auto"/>
        <w:bottom w:val="none" w:sz="0" w:space="0" w:color="auto"/>
        <w:right w:val="none" w:sz="0" w:space="0" w:color="auto"/>
      </w:divBdr>
    </w:div>
    <w:div w:id="279191336">
      <w:bodyDiv w:val="1"/>
      <w:marLeft w:val="0"/>
      <w:marRight w:val="0"/>
      <w:marTop w:val="0"/>
      <w:marBottom w:val="0"/>
      <w:divBdr>
        <w:top w:val="none" w:sz="0" w:space="0" w:color="auto"/>
        <w:left w:val="none" w:sz="0" w:space="0" w:color="auto"/>
        <w:bottom w:val="none" w:sz="0" w:space="0" w:color="auto"/>
        <w:right w:val="none" w:sz="0" w:space="0" w:color="auto"/>
      </w:divBdr>
    </w:div>
    <w:div w:id="283735166">
      <w:bodyDiv w:val="1"/>
      <w:marLeft w:val="0"/>
      <w:marRight w:val="0"/>
      <w:marTop w:val="0"/>
      <w:marBottom w:val="0"/>
      <w:divBdr>
        <w:top w:val="none" w:sz="0" w:space="0" w:color="auto"/>
        <w:left w:val="none" w:sz="0" w:space="0" w:color="auto"/>
        <w:bottom w:val="none" w:sz="0" w:space="0" w:color="auto"/>
        <w:right w:val="none" w:sz="0" w:space="0" w:color="auto"/>
      </w:divBdr>
    </w:div>
    <w:div w:id="284164966">
      <w:bodyDiv w:val="1"/>
      <w:marLeft w:val="0"/>
      <w:marRight w:val="0"/>
      <w:marTop w:val="0"/>
      <w:marBottom w:val="0"/>
      <w:divBdr>
        <w:top w:val="none" w:sz="0" w:space="0" w:color="auto"/>
        <w:left w:val="none" w:sz="0" w:space="0" w:color="auto"/>
        <w:bottom w:val="none" w:sz="0" w:space="0" w:color="auto"/>
        <w:right w:val="none" w:sz="0" w:space="0" w:color="auto"/>
      </w:divBdr>
    </w:div>
    <w:div w:id="290867481">
      <w:bodyDiv w:val="1"/>
      <w:marLeft w:val="0"/>
      <w:marRight w:val="0"/>
      <w:marTop w:val="0"/>
      <w:marBottom w:val="0"/>
      <w:divBdr>
        <w:top w:val="none" w:sz="0" w:space="0" w:color="auto"/>
        <w:left w:val="none" w:sz="0" w:space="0" w:color="auto"/>
        <w:bottom w:val="none" w:sz="0" w:space="0" w:color="auto"/>
        <w:right w:val="none" w:sz="0" w:space="0" w:color="auto"/>
      </w:divBdr>
    </w:div>
    <w:div w:id="299042909">
      <w:bodyDiv w:val="1"/>
      <w:marLeft w:val="0"/>
      <w:marRight w:val="0"/>
      <w:marTop w:val="0"/>
      <w:marBottom w:val="0"/>
      <w:divBdr>
        <w:top w:val="none" w:sz="0" w:space="0" w:color="auto"/>
        <w:left w:val="none" w:sz="0" w:space="0" w:color="auto"/>
        <w:bottom w:val="none" w:sz="0" w:space="0" w:color="auto"/>
        <w:right w:val="none" w:sz="0" w:space="0" w:color="auto"/>
      </w:divBdr>
    </w:div>
    <w:div w:id="306664032">
      <w:bodyDiv w:val="1"/>
      <w:marLeft w:val="0"/>
      <w:marRight w:val="0"/>
      <w:marTop w:val="0"/>
      <w:marBottom w:val="0"/>
      <w:divBdr>
        <w:top w:val="none" w:sz="0" w:space="0" w:color="auto"/>
        <w:left w:val="none" w:sz="0" w:space="0" w:color="auto"/>
        <w:bottom w:val="none" w:sz="0" w:space="0" w:color="auto"/>
        <w:right w:val="none" w:sz="0" w:space="0" w:color="auto"/>
      </w:divBdr>
    </w:div>
    <w:div w:id="312877370">
      <w:bodyDiv w:val="1"/>
      <w:marLeft w:val="0"/>
      <w:marRight w:val="0"/>
      <w:marTop w:val="0"/>
      <w:marBottom w:val="0"/>
      <w:divBdr>
        <w:top w:val="none" w:sz="0" w:space="0" w:color="auto"/>
        <w:left w:val="none" w:sz="0" w:space="0" w:color="auto"/>
        <w:bottom w:val="none" w:sz="0" w:space="0" w:color="auto"/>
        <w:right w:val="none" w:sz="0" w:space="0" w:color="auto"/>
      </w:divBdr>
    </w:div>
    <w:div w:id="332799677">
      <w:bodyDiv w:val="1"/>
      <w:marLeft w:val="0"/>
      <w:marRight w:val="0"/>
      <w:marTop w:val="0"/>
      <w:marBottom w:val="0"/>
      <w:divBdr>
        <w:top w:val="none" w:sz="0" w:space="0" w:color="auto"/>
        <w:left w:val="none" w:sz="0" w:space="0" w:color="auto"/>
        <w:bottom w:val="none" w:sz="0" w:space="0" w:color="auto"/>
        <w:right w:val="none" w:sz="0" w:space="0" w:color="auto"/>
      </w:divBdr>
    </w:div>
    <w:div w:id="338194894">
      <w:bodyDiv w:val="1"/>
      <w:marLeft w:val="0"/>
      <w:marRight w:val="0"/>
      <w:marTop w:val="0"/>
      <w:marBottom w:val="0"/>
      <w:divBdr>
        <w:top w:val="none" w:sz="0" w:space="0" w:color="auto"/>
        <w:left w:val="none" w:sz="0" w:space="0" w:color="auto"/>
        <w:bottom w:val="none" w:sz="0" w:space="0" w:color="auto"/>
        <w:right w:val="none" w:sz="0" w:space="0" w:color="auto"/>
      </w:divBdr>
    </w:div>
    <w:div w:id="338195451">
      <w:bodyDiv w:val="1"/>
      <w:marLeft w:val="0"/>
      <w:marRight w:val="0"/>
      <w:marTop w:val="0"/>
      <w:marBottom w:val="0"/>
      <w:divBdr>
        <w:top w:val="none" w:sz="0" w:space="0" w:color="auto"/>
        <w:left w:val="none" w:sz="0" w:space="0" w:color="auto"/>
        <w:bottom w:val="none" w:sz="0" w:space="0" w:color="auto"/>
        <w:right w:val="none" w:sz="0" w:space="0" w:color="auto"/>
      </w:divBdr>
    </w:div>
    <w:div w:id="344282225">
      <w:bodyDiv w:val="1"/>
      <w:marLeft w:val="0"/>
      <w:marRight w:val="0"/>
      <w:marTop w:val="0"/>
      <w:marBottom w:val="0"/>
      <w:divBdr>
        <w:top w:val="none" w:sz="0" w:space="0" w:color="auto"/>
        <w:left w:val="none" w:sz="0" w:space="0" w:color="auto"/>
        <w:bottom w:val="none" w:sz="0" w:space="0" w:color="auto"/>
        <w:right w:val="none" w:sz="0" w:space="0" w:color="auto"/>
      </w:divBdr>
    </w:div>
    <w:div w:id="350885820">
      <w:bodyDiv w:val="1"/>
      <w:marLeft w:val="0"/>
      <w:marRight w:val="0"/>
      <w:marTop w:val="0"/>
      <w:marBottom w:val="0"/>
      <w:divBdr>
        <w:top w:val="none" w:sz="0" w:space="0" w:color="auto"/>
        <w:left w:val="none" w:sz="0" w:space="0" w:color="auto"/>
        <w:bottom w:val="none" w:sz="0" w:space="0" w:color="auto"/>
        <w:right w:val="none" w:sz="0" w:space="0" w:color="auto"/>
      </w:divBdr>
    </w:div>
    <w:div w:id="354112943">
      <w:bodyDiv w:val="1"/>
      <w:marLeft w:val="0"/>
      <w:marRight w:val="0"/>
      <w:marTop w:val="0"/>
      <w:marBottom w:val="0"/>
      <w:divBdr>
        <w:top w:val="none" w:sz="0" w:space="0" w:color="auto"/>
        <w:left w:val="none" w:sz="0" w:space="0" w:color="auto"/>
        <w:bottom w:val="none" w:sz="0" w:space="0" w:color="auto"/>
        <w:right w:val="none" w:sz="0" w:space="0" w:color="auto"/>
      </w:divBdr>
    </w:div>
    <w:div w:id="356930866">
      <w:bodyDiv w:val="1"/>
      <w:marLeft w:val="0"/>
      <w:marRight w:val="0"/>
      <w:marTop w:val="0"/>
      <w:marBottom w:val="0"/>
      <w:divBdr>
        <w:top w:val="none" w:sz="0" w:space="0" w:color="auto"/>
        <w:left w:val="none" w:sz="0" w:space="0" w:color="auto"/>
        <w:bottom w:val="none" w:sz="0" w:space="0" w:color="auto"/>
        <w:right w:val="none" w:sz="0" w:space="0" w:color="auto"/>
      </w:divBdr>
    </w:div>
    <w:div w:id="364864995">
      <w:bodyDiv w:val="1"/>
      <w:marLeft w:val="0"/>
      <w:marRight w:val="0"/>
      <w:marTop w:val="0"/>
      <w:marBottom w:val="0"/>
      <w:divBdr>
        <w:top w:val="none" w:sz="0" w:space="0" w:color="auto"/>
        <w:left w:val="none" w:sz="0" w:space="0" w:color="auto"/>
        <w:bottom w:val="none" w:sz="0" w:space="0" w:color="auto"/>
        <w:right w:val="none" w:sz="0" w:space="0" w:color="auto"/>
      </w:divBdr>
    </w:div>
    <w:div w:id="368461172">
      <w:bodyDiv w:val="1"/>
      <w:marLeft w:val="0"/>
      <w:marRight w:val="0"/>
      <w:marTop w:val="0"/>
      <w:marBottom w:val="0"/>
      <w:divBdr>
        <w:top w:val="none" w:sz="0" w:space="0" w:color="auto"/>
        <w:left w:val="none" w:sz="0" w:space="0" w:color="auto"/>
        <w:bottom w:val="none" w:sz="0" w:space="0" w:color="auto"/>
        <w:right w:val="none" w:sz="0" w:space="0" w:color="auto"/>
      </w:divBdr>
    </w:div>
    <w:div w:id="372197993">
      <w:bodyDiv w:val="1"/>
      <w:marLeft w:val="0"/>
      <w:marRight w:val="0"/>
      <w:marTop w:val="0"/>
      <w:marBottom w:val="0"/>
      <w:divBdr>
        <w:top w:val="none" w:sz="0" w:space="0" w:color="auto"/>
        <w:left w:val="none" w:sz="0" w:space="0" w:color="auto"/>
        <w:bottom w:val="none" w:sz="0" w:space="0" w:color="auto"/>
        <w:right w:val="none" w:sz="0" w:space="0" w:color="auto"/>
      </w:divBdr>
    </w:div>
    <w:div w:id="405299854">
      <w:bodyDiv w:val="1"/>
      <w:marLeft w:val="0"/>
      <w:marRight w:val="0"/>
      <w:marTop w:val="0"/>
      <w:marBottom w:val="0"/>
      <w:divBdr>
        <w:top w:val="none" w:sz="0" w:space="0" w:color="auto"/>
        <w:left w:val="none" w:sz="0" w:space="0" w:color="auto"/>
        <w:bottom w:val="none" w:sz="0" w:space="0" w:color="auto"/>
        <w:right w:val="none" w:sz="0" w:space="0" w:color="auto"/>
      </w:divBdr>
    </w:div>
    <w:div w:id="408114118">
      <w:bodyDiv w:val="1"/>
      <w:marLeft w:val="0"/>
      <w:marRight w:val="0"/>
      <w:marTop w:val="0"/>
      <w:marBottom w:val="0"/>
      <w:divBdr>
        <w:top w:val="none" w:sz="0" w:space="0" w:color="auto"/>
        <w:left w:val="none" w:sz="0" w:space="0" w:color="auto"/>
        <w:bottom w:val="none" w:sz="0" w:space="0" w:color="auto"/>
        <w:right w:val="none" w:sz="0" w:space="0" w:color="auto"/>
      </w:divBdr>
    </w:div>
    <w:div w:id="411588815">
      <w:bodyDiv w:val="1"/>
      <w:marLeft w:val="0"/>
      <w:marRight w:val="0"/>
      <w:marTop w:val="0"/>
      <w:marBottom w:val="0"/>
      <w:divBdr>
        <w:top w:val="none" w:sz="0" w:space="0" w:color="auto"/>
        <w:left w:val="none" w:sz="0" w:space="0" w:color="auto"/>
        <w:bottom w:val="none" w:sz="0" w:space="0" w:color="auto"/>
        <w:right w:val="none" w:sz="0" w:space="0" w:color="auto"/>
      </w:divBdr>
    </w:div>
    <w:div w:id="419719480">
      <w:bodyDiv w:val="1"/>
      <w:marLeft w:val="0"/>
      <w:marRight w:val="0"/>
      <w:marTop w:val="0"/>
      <w:marBottom w:val="0"/>
      <w:divBdr>
        <w:top w:val="none" w:sz="0" w:space="0" w:color="auto"/>
        <w:left w:val="none" w:sz="0" w:space="0" w:color="auto"/>
        <w:bottom w:val="none" w:sz="0" w:space="0" w:color="auto"/>
        <w:right w:val="none" w:sz="0" w:space="0" w:color="auto"/>
      </w:divBdr>
    </w:div>
    <w:div w:id="421071429">
      <w:bodyDiv w:val="1"/>
      <w:marLeft w:val="0"/>
      <w:marRight w:val="0"/>
      <w:marTop w:val="0"/>
      <w:marBottom w:val="0"/>
      <w:divBdr>
        <w:top w:val="none" w:sz="0" w:space="0" w:color="auto"/>
        <w:left w:val="none" w:sz="0" w:space="0" w:color="auto"/>
        <w:bottom w:val="none" w:sz="0" w:space="0" w:color="auto"/>
        <w:right w:val="none" w:sz="0" w:space="0" w:color="auto"/>
      </w:divBdr>
    </w:div>
    <w:div w:id="421991291">
      <w:bodyDiv w:val="1"/>
      <w:marLeft w:val="0"/>
      <w:marRight w:val="0"/>
      <w:marTop w:val="0"/>
      <w:marBottom w:val="0"/>
      <w:divBdr>
        <w:top w:val="none" w:sz="0" w:space="0" w:color="auto"/>
        <w:left w:val="none" w:sz="0" w:space="0" w:color="auto"/>
        <w:bottom w:val="none" w:sz="0" w:space="0" w:color="auto"/>
        <w:right w:val="none" w:sz="0" w:space="0" w:color="auto"/>
      </w:divBdr>
    </w:div>
    <w:div w:id="422265066">
      <w:bodyDiv w:val="1"/>
      <w:marLeft w:val="0"/>
      <w:marRight w:val="0"/>
      <w:marTop w:val="0"/>
      <w:marBottom w:val="0"/>
      <w:divBdr>
        <w:top w:val="none" w:sz="0" w:space="0" w:color="auto"/>
        <w:left w:val="none" w:sz="0" w:space="0" w:color="auto"/>
        <w:bottom w:val="none" w:sz="0" w:space="0" w:color="auto"/>
        <w:right w:val="none" w:sz="0" w:space="0" w:color="auto"/>
      </w:divBdr>
    </w:div>
    <w:div w:id="425689025">
      <w:bodyDiv w:val="1"/>
      <w:marLeft w:val="0"/>
      <w:marRight w:val="0"/>
      <w:marTop w:val="0"/>
      <w:marBottom w:val="0"/>
      <w:divBdr>
        <w:top w:val="none" w:sz="0" w:space="0" w:color="auto"/>
        <w:left w:val="none" w:sz="0" w:space="0" w:color="auto"/>
        <w:bottom w:val="none" w:sz="0" w:space="0" w:color="auto"/>
        <w:right w:val="none" w:sz="0" w:space="0" w:color="auto"/>
      </w:divBdr>
    </w:div>
    <w:div w:id="427426623">
      <w:bodyDiv w:val="1"/>
      <w:marLeft w:val="0"/>
      <w:marRight w:val="0"/>
      <w:marTop w:val="0"/>
      <w:marBottom w:val="0"/>
      <w:divBdr>
        <w:top w:val="none" w:sz="0" w:space="0" w:color="auto"/>
        <w:left w:val="none" w:sz="0" w:space="0" w:color="auto"/>
        <w:bottom w:val="none" w:sz="0" w:space="0" w:color="auto"/>
        <w:right w:val="none" w:sz="0" w:space="0" w:color="auto"/>
      </w:divBdr>
    </w:div>
    <w:div w:id="427893203">
      <w:bodyDiv w:val="1"/>
      <w:marLeft w:val="0"/>
      <w:marRight w:val="0"/>
      <w:marTop w:val="0"/>
      <w:marBottom w:val="0"/>
      <w:divBdr>
        <w:top w:val="none" w:sz="0" w:space="0" w:color="auto"/>
        <w:left w:val="none" w:sz="0" w:space="0" w:color="auto"/>
        <w:bottom w:val="none" w:sz="0" w:space="0" w:color="auto"/>
        <w:right w:val="none" w:sz="0" w:space="0" w:color="auto"/>
      </w:divBdr>
    </w:div>
    <w:div w:id="438185817">
      <w:bodyDiv w:val="1"/>
      <w:marLeft w:val="0"/>
      <w:marRight w:val="0"/>
      <w:marTop w:val="0"/>
      <w:marBottom w:val="0"/>
      <w:divBdr>
        <w:top w:val="none" w:sz="0" w:space="0" w:color="auto"/>
        <w:left w:val="none" w:sz="0" w:space="0" w:color="auto"/>
        <w:bottom w:val="none" w:sz="0" w:space="0" w:color="auto"/>
        <w:right w:val="none" w:sz="0" w:space="0" w:color="auto"/>
      </w:divBdr>
    </w:div>
    <w:div w:id="438987809">
      <w:bodyDiv w:val="1"/>
      <w:marLeft w:val="0"/>
      <w:marRight w:val="0"/>
      <w:marTop w:val="0"/>
      <w:marBottom w:val="0"/>
      <w:divBdr>
        <w:top w:val="none" w:sz="0" w:space="0" w:color="auto"/>
        <w:left w:val="none" w:sz="0" w:space="0" w:color="auto"/>
        <w:bottom w:val="none" w:sz="0" w:space="0" w:color="auto"/>
        <w:right w:val="none" w:sz="0" w:space="0" w:color="auto"/>
      </w:divBdr>
    </w:div>
    <w:div w:id="441456604">
      <w:bodyDiv w:val="1"/>
      <w:marLeft w:val="0"/>
      <w:marRight w:val="0"/>
      <w:marTop w:val="0"/>
      <w:marBottom w:val="0"/>
      <w:divBdr>
        <w:top w:val="none" w:sz="0" w:space="0" w:color="auto"/>
        <w:left w:val="none" w:sz="0" w:space="0" w:color="auto"/>
        <w:bottom w:val="none" w:sz="0" w:space="0" w:color="auto"/>
        <w:right w:val="none" w:sz="0" w:space="0" w:color="auto"/>
      </w:divBdr>
    </w:div>
    <w:div w:id="449402728">
      <w:bodyDiv w:val="1"/>
      <w:marLeft w:val="0"/>
      <w:marRight w:val="0"/>
      <w:marTop w:val="0"/>
      <w:marBottom w:val="0"/>
      <w:divBdr>
        <w:top w:val="none" w:sz="0" w:space="0" w:color="auto"/>
        <w:left w:val="none" w:sz="0" w:space="0" w:color="auto"/>
        <w:bottom w:val="none" w:sz="0" w:space="0" w:color="auto"/>
        <w:right w:val="none" w:sz="0" w:space="0" w:color="auto"/>
      </w:divBdr>
    </w:div>
    <w:div w:id="450130175">
      <w:bodyDiv w:val="1"/>
      <w:marLeft w:val="0"/>
      <w:marRight w:val="0"/>
      <w:marTop w:val="0"/>
      <w:marBottom w:val="0"/>
      <w:divBdr>
        <w:top w:val="none" w:sz="0" w:space="0" w:color="auto"/>
        <w:left w:val="none" w:sz="0" w:space="0" w:color="auto"/>
        <w:bottom w:val="none" w:sz="0" w:space="0" w:color="auto"/>
        <w:right w:val="none" w:sz="0" w:space="0" w:color="auto"/>
      </w:divBdr>
    </w:div>
    <w:div w:id="453139707">
      <w:bodyDiv w:val="1"/>
      <w:marLeft w:val="0"/>
      <w:marRight w:val="0"/>
      <w:marTop w:val="0"/>
      <w:marBottom w:val="0"/>
      <w:divBdr>
        <w:top w:val="none" w:sz="0" w:space="0" w:color="auto"/>
        <w:left w:val="none" w:sz="0" w:space="0" w:color="auto"/>
        <w:bottom w:val="none" w:sz="0" w:space="0" w:color="auto"/>
        <w:right w:val="none" w:sz="0" w:space="0" w:color="auto"/>
      </w:divBdr>
    </w:div>
    <w:div w:id="465466196">
      <w:bodyDiv w:val="1"/>
      <w:marLeft w:val="0"/>
      <w:marRight w:val="0"/>
      <w:marTop w:val="0"/>
      <w:marBottom w:val="0"/>
      <w:divBdr>
        <w:top w:val="none" w:sz="0" w:space="0" w:color="auto"/>
        <w:left w:val="none" w:sz="0" w:space="0" w:color="auto"/>
        <w:bottom w:val="none" w:sz="0" w:space="0" w:color="auto"/>
        <w:right w:val="none" w:sz="0" w:space="0" w:color="auto"/>
      </w:divBdr>
    </w:div>
    <w:div w:id="467434548">
      <w:bodyDiv w:val="1"/>
      <w:marLeft w:val="0"/>
      <w:marRight w:val="0"/>
      <w:marTop w:val="0"/>
      <w:marBottom w:val="0"/>
      <w:divBdr>
        <w:top w:val="none" w:sz="0" w:space="0" w:color="auto"/>
        <w:left w:val="none" w:sz="0" w:space="0" w:color="auto"/>
        <w:bottom w:val="none" w:sz="0" w:space="0" w:color="auto"/>
        <w:right w:val="none" w:sz="0" w:space="0" w:color="auto"/>
      </w:divBdr>
    </w:div>
    <w:div w:id="478115753">
      <w:bodyDiv w:val="1"/>
      <w:marLeft w:val="0"/>
      <w:marRight w:val="0"/>
      <w:marTop w:val="0"/>
      <w:marBottom w:val="0"/>
      <w:divBdr>
        <w:top w:val="none" w:sz="0" w:space="0" w:color="auto"/>
        <w:left w:val="none" w:sz="0" w:space="0" w:color="auto"/>
        <w:bottom w:val="none" w:sz="0" w:space="0" w:color="auto"/>
        <w:right w:val="none" w:sz="0" w:space="0" w:color="auto"/>
      </w:divBdr>
    </w:div>
    <w:div w:id="484712638">
      <w:bodyDiv w:val="1"/>
      <w:marLeft w:val="0"/>
      <w:marRight w:val="0"/>
      <w:marTop w:val="0"/>
      <w:marBottom w:val="0"/>
      <w:divBdr>
        <w:top w:val="none" w:sz="0" w:space="0" w:color="auto"/>
        <w:left w:val="none" w:sz="0" w:space="0" w:color="auto"/>
        <w:bottom w:val="none" w:sz="0" w:space="0" w:color="auto"/>
        <w:right w:val="none" w:sz="0" w:space="0" w:color="auto"/>
      </w:divBdr>
    </w:div>
    <w:div w:id="491407485">
      <w:bodyDiv w:val="1"/>
      <w:marLeft w:val="0"/>
      <w:marRight w:val="0"/>
      <w:marTop w:val="0"/>
      <w:marBottom w:val="0"/>
      <w:divBdr>
        <w:top w:val="none" w:sz="0" w:space="0" w:color="auto"/>
        <w:left w:val="none" w:sz="0" w:space="0" w:color="auto"/>
        <w:bottom w:val="none" w:sz="0" w:space="0" w:color="auto"/>
        <w:right w:val="none" w:sz="0" w:space="0" w:color="auto"/>
      </w:divBdr>
    </w:div>
    <w:div w:id="491719351">
      <w:bodyDiv w:val="1"/>
      <w:marLeft w:val="0"/>
      <w:marRight w:val="0"/>
      <w:marTop w:val="0"/>
      <w:marBottom w:val="0"/>
      <w:divBdr>
        <w:top w:val="none" w:sz="0" w:space="0" w:color="auto"/>
        <w:left w:val="none" w:sz="0" w:space="0" w:color="auto"/>
        <w:bottom w:val="none" w:sz="0" w:space="0" w:color="auto"/>
        <w:right w:val="none" w:sz="0" w:space="0" w:color="auto"/>
      </w:divBdr>
    </w:div>
    <w:div w:id="492142315">
      <w:bodyDiv w:val="1"/>
      <w:marLeft w:val="0"/>
      <w:marRight w:val="0"/>
      <w:marTop w:val="0"/>
      <w:marBottom w:val="0"/>
      <w:divBdr>
        <w:top w:val="none" w:sz="0" w:space="0" w:color="auto"/>
        <w:left w:val="none" w:sz="0" w:space="0" w:color="auto"/>
        <w:bottom w:val="none" w:sz="0" w:space="0" w:color="auto"/>
        <w:right w:val="none" w:sz="0" w:space="0" w:color="auto"/>
      </w:divBdr>
    </w:div>
    <w:div w:id="495456402">
      <w:bodyDiv w:val="1"/>
      <w:marLeft w:val="0"/>
      <w:marRight w:val="0"/>
      <w:marTop w:val="0"/>
      <w:marBottom w:val="0"/>
      <w:divBdr>
        <w:top w:val="none" w:sz="0" w:space="0" w:color="auto"/>
        <w:left w:val="none" w:sz="0" w:space="0" w:color="auto"/>
        <w:bottom w:val="none" w:sz="0" w:space="0" w:color="auto"/>
        <w:right w:val="none" w:sz="0" w:space="0" w:color="auto"/>
      </w:divBdr>
    </w:div>
    <w:div w:id="500435713">
      <w:bodyDiv w:val="1"/>
      <w:marLeft w:val="0"/>
      <w:marRight w:val="0"/>
      <w:marTop w:val="0"/>
      <w:marBottom w:val="0"/>
      <w:divBdr>
        <w:top w:val="none" w:sz="0" w:space="0" w:color="auto"/>
        <w:left w:val="none" w:sz="0" w:space="0" w:color="auto"/>
        <w:bottom w:val="none" w:sz="0" w:space="0" w:color="auto"/>
        <w:right w:val="none" w:sz="0" w:space="0" w:color="auto"/>
      </w:divBdr>
    </w:div>
    <w:div w:id="501707033">
      <w:bodyDiv w:val="1"/>
      <w:marLeft w:val="0"/>
      <w:marRight w:val="0"/>
      <w:marTop w:val="0"/>
      <w:marBottom w:val="0"/>
      <w:divBdr>
        <w:top w:val="none" w:sz="0" w:space="0" w:color="auto"/>
        <w:left w:val="none" w:sz="0" w:space="0" w:color="auto"/>
        <w:bottom w:val="none" w:sz="0" w:space="0" w:color="auto"/>
        <w:right w:val="none" w:sz="0" w:space="0" w:color="auto"/>
      </w:divBdr>
    </w:div>
    <w:div w:id="505874070">
      <w:bodyDiv w:val="1"/>
      <w:marLeft w:val="0"/>
      <w:marRight w:val="0"/>
      <w:marTop w:val="0"/>
      <w:marBottom w:val="0"/>
      <w:divBdr>
        <w:top w:val="none" w:sz="0" w:space="0" w:color="auto"/>
        <w:left w:val="none" w:sz="0" w:space="0" w:color="auto"/>
        <w:bottom w:val="none" w:sz="0" w:space="0" w:color="auto"/>
        <w:right w:val="none" w:sz="0" w:space="0" w:color="auto"/>
      </w:divBdr>
    </w:div>
    <w:div w:id="508451438">
      <w:bodyDiv w:val="1"/>
      <w:marLeft w:val="0"/>
      <w:marRight w:val="0"/>
      <w:marTop w:val="0"/>
      <w:marBottom w:val="0"/>
      <w:divBdr>
        <w:top w:val="none" w:sz="0" w:space="0" w:color="auto"/>
        <w:left w:val="none" w:sz="0" w:space="0" w:color="auto"/>
        <w:bottom w:val="none" w:sz="0" w:space="0" w:color="auto"/>
        <w:right w:val="none" w:sz="0" w:space="0" w:color="auto"/>
      </w:divBdr>
    </w:div>
    <w:div w:id="510147663">
      <w:bodyDiv w:val="1"/>
      <w:marLeft w:val="0"/>
      <w:marRight w:val="0"/>
      <w:marTop w:val="0"/>
      <w:marBottom w:val="0"/>
      <w:divBdr>
        <w:top w:val="none" w:sz="0" w:space="0" w:color="auto"/>
        <w:left w:val="none" w:sz="0" w:space="0" w:color="auto"/>
        <w:bottom w:val="none" w:sz="0" w:space="0" w:color="auto"/>
        <w:right w:val="none" w:sz="0" w:space="0" w:color="auto"/>
      </w:divBdr>
    </w:div>
    <w:div w:id="516500404">
      <w:bodyDiv w:val="1"/>
      <w:marLeft w:val="0"/>
      <w:marRight w:val="0"/>
      <w:marTop w:val="0"/>
      <w:marBottom w:val="0"/>
      <w:divBdr>
        <w:top w:val="none" w:sz="0" w:space="0" w:color="auto"/>
        <w:left w:val="none" w:sz="0" w:space="0" w:color="auto"/>
        <w:bottom w:val="none" w:sz="0" w:space="0" w:color="auto"/>
        <w:right w:val="none" w:sz="0" w:space="0" w:color="auto"/>
      </w:divBdr>
    </w:div>
    <w:div w:id="517698823">
      <w:bodyDiv w:val="1"/>
      <w:marLeft w:val="0"/>
      <w:marRight w:val="0"/>
      <w:marTop w:val="0"/>
      <w:marBottom w:val="0"/>
      <w:divBdr>
        <w:top w:val="none" w:sz="0" w:space="0" w:color="auto"/>
        <w:left w:val="none" w:sz="0" w:space="0" w:color="auto"/>
        <w:bottom w:val="none" w:sz="0" w:space="0" w:color="auto"/>
        <w:right w:val="none" w:sz="0" w:space="0" w:color="auto"/>
      </w:divBdr>
    </w:div>
    <w:div w:id="522011696">
      <w:bodyDiv w:val="1"/>
      <w:marLeft w:val="0"/>
      <w:marRight w:val="0"/>
      <w:marTop w:val="0"/>
      <w:marBottom w:val="0"/>
      <w:divBdr>
        <w:top w:val="none" w:sz="0" w:space="0" w:color="auto"/>
        <w:left w:val="none" w:sz="0" w:space="0" w:color="auto"/>
        <w:bottom w:val="none" w:sz="0" w:space="0" w:color="auto"/>
        <w:right w:val="none" w:sz="0" w:space="0" w:color="auto"/>
      </w:divBdr>
    </w:div>
    <w:div w:id="523322226">
      <w:bodyDiv w:val="1"/>
      <w:marLeft w:val="0"/>
      <w:marRight w:val="0"/>
      <w:marTop w:val="0"/>
      <w:marBottom w:val="0"/>
      <w:divBdr>
        <w:top w:val="none" w:sz="0" w:space="0" w:color="auto"/>
        <w:left w:val="none" w:sz="0" w:space="0" w:color="auto"/>
        <w:bottom w:val="none" w:sz="0" w:space="0" w:color="auto"/>
        <w:right w:val="none" w:sz="0" w:space="0" w:color="auto"/>
      </w:divBdr>
    </w:div>
    <w:div w:id="523901618">
      <w:bodyDiv w:val="1"/>
      <w:marLeft w:val="0"/>
      <w:marRight w:val="0"/>
      <w:marTop w:val="0"/>
      <w:marBottom w:val="0"/>
      <w:divBdr>
        <w:top w:val="none" w:sz="0" w:space="0" w:color="auto"/>
        <w:left w:val="none" w:sz="0" w:space="0" w:color="auto"/>
        <w:bottom w:val="none" w:sz="0" w:space="0" w:color="auto"/>
        <w:right w:val="none" w:sz="0" w:space="0" w:color="auto"/>
      </w:divBdr>
    </w:div>
    <w:div w:id="532887701">
      <w:bodyDiv w:val="1"/>
      <w:marLeft w:val="0"/>
      <w:marRight w:val="0"/>
      <w:marTop w:val="0"/>
      <w:marBottom w:val="0"/>
      <w:divBdr>
        <w:top w:val="none" w:sz="0" w:space="0" w:color="auto"/>
        <w:left w:val="none" w:sz="0" w:space="0" w:color="auto"/>
        <w:bottom w:val="none" w:sz="0" w:space="0" w:color="auto"/>
        <w:right w:val="none" w:sz="0" w:space="0" w:color="auto"/>
      </w:divBdr>
    </w:div>
    <w:div w:id="537207535">
      <w:bodyDiv w:val="1"/>
      <w:marLeft w:val="0"/>
      <w:marRight w:val="0"/>
      <w:marTop w:val="0"/>
      <w:marBottom w:val="0"/>
      <w:divBdr>
        <w:top w:val="none" w:sz="0" w:space="0" w:color="auto"/>
        <w:left w:val="none" w:sz="0" w:space="0" w:color="auto"/>
        <w:bottom w:val="none" w:sz="0" w:space="0" w:color="auto"/>
        <w:right w:val="none" w:sz="0" w:space="0" w:color="auto"/>
      </w:divBdr>
    </w:div>
    <w:div w:id="538250225">
      <w:bodyDiv w:val="1"/>
      <w:marLeft w:val="0"/>
      <w:marRight w:val="0"/>
      <w:marTop w:val="0"/>
      <w:marBottom w:val="0"/>
      <w:divBdr>
        <w:top w:val="none" w:sz="0" w:space="0" w:color="auto"/>
        <w:left w:val="none" w:sz="0" w:space="0" w:color="auto"/>
        <w:bottom w:val="none" w:sz="0" w:space="0" w:color="auto"/>
        <w:right w:val="none" w:sz="0" w:space="0" w:color="auto"/>
      </w:divBdr>
    </w:div>
    <w:div w:id="540703116">
      <w:bodyDiv w:val="1"/>
      <w:marLeft w:val="0"/>
      <w:marRight w:val="0"/>
      <w:marTop w:val="0"/>
      <w:marBottom w:val="0"/>
      <w:divBdr>
        <w:top w:val="none" w:sz="0" w:space="0" w:color="auto"/>
        <w:left w:val="none" w:sz="0" w:space="0" w:color="auto"/>
        <w:bottom w:val="none" w:sz="0" w:space="0" w:color="auto"/>
        <w:right w:val="none" w:sz="0" w:space="0" w:color="auto"/>
      </w:divBdr>
    </w:div>
    <w:div w:id="543837273">
      <w:bodyDiv w:val="1"/>
      <w:marLeft w:val="0"/>
      <w:marRight w:val="0"/>
      <w:marTop w:val="0"/>
      <w:marBottom w:val="0"/>
      <w:divBdr>
        <w:top w:val="none" w:sz="0" w:space="0" w:color="auto"/>
        <w:left w:val="none" w:sz="0" w:space="0" w:color="auto"/>
        <w:bottom w:val="none" w:sz="0" w:space="0" w:color="auto"/>
        <w:right w:val="none" w:sz="0" w:space="0" w:color="auto"/>
      </w:divBdr>
    </w:div>
    <w:div w:id="560362405">
      <w:bodyDiv w:val="1"/>
      <w:marLeft w:val="0"/>
      <w:marRight w:val="0"/>
      <w:marTop w:val="0"/>
      <w:marBottom w:val="0"/>
      <w:divBdr>
        <w:top w:val="none" w:sz="0" w:space="0" w:color="auto"/>
        <w:left w:val="none" w:sz="0" w:space="0" w:color="auto"/>
        <w:bottom w:val="none" w:sz="0" w:space="0" w:color="auto"/>
        <w:right w:val="none" w:sz="0" w:space="0" w:color="auto"/>
      </w:divBdr>
    </w:div>
    <w:div w:id="576137517">
      <w:bodyDiv w:val="1"/>
      <w:marLeft w:val="0"/>
      <w:marRight w:val="0"/>
      <w:marTop w:val="0"/>
      <w:marBottom w:val="0"/>
      <w:divBdr>
        <w:top w:val="none" w:sz="0" w:space="0" w:color="auto"/>
        <w:left w:val="none" w:sz="0" w:space="0" w:color="auto"/>
        <w:bottom w:val="none" w:sz="0" w:space="0" w:color="auto"/>
        <w:right w:val="none" w:sz="0" w:space="0" w:color="auto"/>
      </w:divBdr>
    </w:div>
    <w:div w:id="582842260">
      <w:bodyDiv w:val="1"/>
      <w:marLeft w:val="0"/>
      <w:marRight w:val="0"/>
      <w:marTop w:val="0"/>
      <w:marBottom w:val="0"/>
      <w:divBdr>
        <w:top w:val="none" w:sz="0" w:space="0" w:color="auto"/>
        <w:left w:val="none" w:sz="0" w:space="0" w:color="auto"/>
        <w:bottom w:val="none" w:sz="0" w:space="0" w:color="auto"/>
        <w:right w:val="none" w:sz="0" w:space="0" w:color="auto"/>
      </w:divBdr>
    </w:div>
    <w:div w:id="584996914">
      <w:bodyDiv w:val="1"/>
      <w:marLeft w:val="0"/>
      <w:marRight w:val="0"/>
      <w:marTop w:val="0"/>
      <w:marBottom w:val="0"/>
      <w:divBdr>
        <w:top w:val="none" w:sz="0" w:space="0" w:color="auto"/>
        <w:left w:val="none" w:sz="0" w:space="0" w:color="auto"/>
        <w:bottom w:val="none" w:sz="0" w:space="0" w:color="auto"/>
        <w:right w:val="none" w:sz="0" w:space="0" w:color="auto"/>
      </w:divBdr>
    </w:div>
    <w:div w:id="586037861">
      <w:bodyDiv w:val="1"/>
      <w:marLeft w:val="0"/>
      <w:marRight w:val="0"/>
      <w:marTop w:val="0"/>
      <w:marBottom w:val="0"/>
      <w:divBdr>
        <w:top w:val="none" w:sz="0" w:space="0" w:color="auto"/>
        <w:left w:val="none" w:sz="0" w:space="0" w:color="auto"/>
        <w:bottom w:val="none" w:sz="0" w:space="0" w:color="auto"/>
        <w:right w:val="none" w:sz="0" w:space="0" w:color="auto"/>
      </w:divBdr>
    </w:div>
    <w:div w:id="594364452">
      <w:bodyDiv w:val="1"/>
      <w:marLeft w:val="0"/>
      <w:marRight w:val="0"/>
      <w:marTop w:val="0"/>
      <w:marBottom w:val="0"/>
      <w:divBdr>
        <w:top w:val="none" w:sz="0" w:space="0" w:color="auto"/>
        <w:left w:val="none" w:sz="0" w:space="0" w:color="auto"/>
        <w:bottom w:val="none" w:sz="0" w:space="0" w:color="auto"/>
        <w:right w:val="none" w:sz="0" w:space="0" w:color="auto"/>
      </w:divBdr>
    </w:div>
    <w:div w:id="616717085">
      <w:bodyDiv w:val="1"/>
      <w:marLeft w:val="0"/>
      <w:marRight w:val="0"/>
      <w:marTop w:val="0"/>
      <w:marBottom w:val="0"/>
      <w:divBdr>
        <w:top w:val="none" w:sz="0" w:space="0" w:color="auto"/>
        <w:left w:val="none" w:sz="0" w:space="0" w:color="auto"/>
        <w:bottom w:val="none" w:sz="0" w:space="0" w:color="auto"/>
        <w:right w:val="none" w:sz="0" w:space="0" w:color="auto"/>
      </w:divBdr>
    </w:div>
    <w:div w:id="624775158">
      <w:bodyDiv w:val="1"/>
      <w:marLeft w:val="0"/>
      <w:marRight w:val="0"/>
      <w:marTop w:val="0"/>
      <w:marBottom w:val="0"/>
      <w:divBdr>
        <w:top w:val="none" w:sz="0" w:space="0" w:color="auto"/>
        <w:left w:val="none" w:sz="0" w:space="0" w:color="auto"/>
        <w:bottom w:val="none" w:sz="0" w:space="0" w:color="auto"/>
        <w:right w:val="none" w:sz="0" w:space="0" w:color="auto"/>
      </w:divBdr>
    </w:div>
    <w:div w:id="628702378">
      <w:bodyDiv w:val="1"/>
      <w:marLeft w:val="0"/>
      <w:marRight w:val="0"/>
      <w:marTop w:val="0"/>
      <w:marBottom w:val="0"/>
      <w:divBdr>
        <w:top w:val="none" w:sz="0" w:space="0" w:color="auto"/>
        <w:left w:val="none" w:sz="0" w:space="0" w:color="auto"/>
        <w:bottom w:val="none" w:sz="0" w:space="0" w:color="auto"/>
        <w:right w:val="none" w:sz="0" w:space="0" w:color="auto"/>
      </w:divBdr>
    </w:div>
    <w:div w:id="630212312">
      <w:bodyDiv w:val="1"/>
      <w:marLeft w:val="0"/>
      <w:marRight w:val="0"/>
      <w:marTop w:val="0"/>
      <w:marBottom w:val="0"/>
      <w:divBdr>
        <w:top w:val="none" w:sz="0" w:space="0" w:color="auto"/>
        <w:left w:val="none" w:sz="0" w:space="0" w:color="auto"/>
        <w:bottom w:val="none" w:sz="0" w:space="0" w:color="auto"/>
        <w:right w:val="none" w:sz="0" w:space="0" w:color="auto"/>
      </w:divBdr>
    </w:div>
    <w:div w:id="635259311">
      <w:bodyDiv w:val="1"/>
      <w:marLeft w:val="0"/>
      <w:marRight w:val="0"/>
      <w:marTop w:val="0"/>
      <w:marBottom w:val="0"/>
      <w:divBdr>
        <w:top w:val="none" w:sz="0" w:space="0" w:color="auto"/>
        <w:left w:val="none" w:sz="0" w:space="0" w:color="auto"/>
        <w:bottom w:val="none" w:sz="0" w:space="0" w:color="auto"/>
        <w:right w:val="none" w:sz="0" w:space="0" w:color="auto"/>
      </w:divBdr>
    </w:div>
    <w:div w:id="635529487">
      <w:bodyDiv w:val="1"/>
      <w:marLeft w:val="0"/>
      <w:marRight w:val="0"/>
      <w:marTop w:val="0"/>
      <w:marBottom w:val="0"/>
      <w:divBdr>
        <w:top w:val="none" w:sz="0" w:space="0" w:color="auto"/>
        <w:left w:val="none" w:sz="0" w:space="0" w:color="auto"/>
        <w:bottom w:val="none" w:sz="0" w:space="0" w:color="auto"/>
        <w:right w:val="none" w:sz="0" w:space="0" w:color="auto"/>
      </w:divBdr>
    </w:div>
    <w:div w:id="635841915">
      <w:bodyDiv w:val="1"/>
      <w:marLeft w:val="0"/>
      <w:marRight w:val="0"/>
      <w:marTop w:val="0"/>
      <w:marBottom w:val="0"/>
      <w:divBdr>
        <w:top w:val="none" w:sz="0" w:space="0" w:color="auto"/>
        <w:left w:val="none" w:sz="0" w:space="0" w:color="auto"/>
        <w:bottom w:val="none" w:sz="0" w:space="0" w:color="auto"/>
        <w:right w:val="none" w:sz="0" w:space="0" w:color="auto"/>
      </w:divBdr>
    </w:div>
    <w:div w:id="643240978">
      <w:bodyDiv w:val="1"/>
      <w:marLeft w:val="0"/>
      <w:marRight w:val="0"/>
      <w:marTop w:val="0"/>
      <w:marBottom w:val="0"/>
      <w:divBdr>
        <w:top w:val="none" w:sz="0" w:space="0" w:color="auto"/>
        <w:left w:val="none" w:sz="0" w:space="0" w:color="auto"/>
        <w:bottom w:val="none" w:sz="0" w:space="0" w:color="auto"/>
        <w:right w:val="none" w:sz="0" w:space="0" w:color="auto"/>
      </w:divBdr>
    </w:div>
    <w:div w:id="645203318">
      <w:bodyDiv w:val="1"/>
      <w:marLeft w:val="0"/>
      <w:marRight w:val="0"/>
      <w:marTop w:val="0"/>
      <w:marBottom w:val="0"/>
      <w:divBdr>
        <w:top w:val="none" w:sz="0" w:space="0" w:color="auto"/>
        <w:left w:val="none" w:sz="0" w:space="0" w:color="auto"/>
        <w:bottom w:val="none" w:sz="0" w:space="0" w:color="auto"/>
        <w:right w:val="none" w:sz="0" w:space="0" w:color="auto"/>
      </w:divBdr>
    </w:div>
    <w:div w:id="646083870">
      <w:bodyDiv w:val="1"/>
      <w:marLeft w:val="0"/>
      <w:marRight w:val="0"/>
      <w:marTop w:val="0"/>
      <w:marBottom w:val="0"/>
      <w:divBdr>
        <w:top w:val="none" w:sz="0" w:space="0" w:color="auto"/>
        <w:left w:val="none" w:sz="0" w:space="0" w:color="auto"/>
        <w:bottom w:val="none" w:sz="0" w:space="0" w:color="auto"/>
        <w:right w:val="none" w:sz="0" w:space="0" w:color="auto"/>
      </w:divBdr>
    </w:div>
    <w:div w:id="647365687">
      <w:bodyDiv w:val="1"/>
      <w:marLeft w:val="0"/>
      <w:marRight w:val="0"/>
      <w:marTop w:val="0"/>
      <w:marBottom w:val="0"/>
      <w:divBdr>
        <w:top w:val="none" w:sz="0" w:space="0" w:color="auto"/>
        <w:left w:val="none" w:sz="0" w:space="0" w:color="auto"/>
        <w:bottom w:val="none" w:sz="0" w:space="0" w:color="auto"/>
        <w:right w:val="none" w:sz="0" w:space="0" w:color="auto"/>
      </w:divBdr>
    </w:div>
    <w:div w:id="651257033">
      <w:bodyDiv w:val="1"/>
      <w:marLeft w:val="0"/>
      <w:marRight w:val="0"/>
      <w:marTop w:val="0"/>
      <w:marBottom w:val="0"/>
      <w:divBdr>
        <w:top w:val="none" w:sz="0" w:space="0" w:color="auto"/>
        <w:left w:val="none" w:sz="0" w:space="0" w:color="auto"/>
        <w:bottom w:val="none" w:sz="0" w:space="0" w:color="auto"/>
        <w:right w:val="none" w:sz="0" w:space="0" w:color="auto"/>
      </w:divBdr>
    </w:div>
    <w:div w:id="662584949">
      <w:bodyDiv w:val="1"/>
      <w:marLeft w:val="0"/>
      <w:marRight w:val="0"/>
      <w:marTop w:val="0"/>
      <w:marBottom w:val="0"/>
      <w:divBdr>
        <w:top w:val="none" w:sz="0" w:space="0" w:color="auto"/>
        <w:left w:val="none" w:sz="0" w:space="0" w:color="auto"/>
        <w:bottom w:val="none" w:sz="0" w:space="0" w:color="auto"/>
        <w:right w:val="none" w:sz="0" w:space="0" w:color="auto"/>
      </w:divBdr>
    </w:div>
    <w:div w:id="662779748">
      <w:bodyDiv w:val="1"/>
      <w:marLeft w:val="0"/>
      <w:marRight w:val="0"/>
      <w:marTop w:val="0"/>
      <w:marBottom w:val="0"/>
      <w:divBdr>
        <w:top w:val="none" w:sz="0" w:space="0" w:color="auto"/>
        <w:left w:val="none" w:sz="0" w:space="0" w:color="auto"/>
        <w:bottom w:val="none" w:sz="0" w:space="0" w:color="auto"/>
        <w:right w:val="none" w:sz="0" w:space="0" w:color="auto"/>
      </w:divBdr>
    </w:div>
    <w:div w:id="663049324">
      <w:bodyDiv w:val="1"/>
      <w:marLeft w:val="0"/>
      <w:marRight w:val="0"/>
      <w:marTop w:val="0"/>
      <w:marBottom w:val="0"/>
      <w:divBdr>
        <w:top w:val="none" w:sz="0" w:space="0" w:color="auto"/>
        <w:left w:val="none" w:sz="0" w:space="0" w:color="auto"/>
        <w:bottom w:val="none" w:sz="0" w:space="0" w:color="auto"/>
        <w:right w:val="none" w:sz="0" w:space="0" w:color="auto"/>
      </w:divBdr>
    </w:div>
    <w:div w:id="664549657">
      <w:bodyDiv w:val="1"/>
      <w:marLeft w:val="0"/>
      <w:marRight w:val="0"/>
      <w:marTop w:val="0"/>
      <w:marBottom w:val="0"/>
      <w:divBdr>
        <w:top w:val="none" w:sz="0" w:space="0" w:color="auto"/>
        <w:left w:val="none" w:sz="0" w:space="0" w:color="auto"/>
        <w:bottom w:val="none" w:sz="0" w:space="0" w:color="auto"/>
        <w:right w:val="none" w:sz="0" w:space="0" w:color="auto"/>
      </w:divBdr>
    </w:div>
    <w:div w:id="666901181">
      <w:bodyDiv w:val="1"/>
      <w:marLeft w:val="0"/>
      <w:marRight w:val="0"/>
      <w:marTop w:val="0"/>
      <w:marBottom w:val="0"/>
      <w:divBdr>
        <w:top w:val="none" w:sz="0" w:space="0" w:color="auto"/>
        <w:left w:val="none" w:sz="0" w:space="0" w:color="auto"/>
        <w:bottom w:val="none" w:sz="0" w:space="0" w:color="auto"/>
        <w:right w:val="none" w:sz="0" w:space="0" w:color="auto"/>
      </w:divBdr>
    </w:div>
    <w:div w:id="667170964">
      <w:bodyDiv w:val="1"/>
      <w:marLeft w:val="0"/>
      <w:marRight w:val="0"/>
      <w:marTop w:val="0"/>
      <w:marBottom w:val="0"/>
      <w:divBdr>
        <w:top w:val="none" w:sz="0" w:space="0" w:color="auto"/>
        <w:left w:val="none" w:sz="0" w:space="0" w:color="auto"/>
        <w:bottom w:val="none" w:sz="0" w:space="0" w:color="auto"/>
        <w:right w:val="none" w:sz="0" w:space="0" w:color="auto"/>
      </w:divBdr>
    </w:div>
    <w:div w:id="672100314">
      <w:bodyDiv w:val="1"/>
      <w:marLeft w:val="0"/>
      <w:marRight w:val="0"/>
      <w:marTop w:val="0"/>
      <w:marBottom w:val="0"/>
      <w:divBdr>
        <w:top w:val="none" w:sz="0" w:space="0" w:color="auto"/>
        <w:left w:val="none" w:sz="0" w:space="0" w:color="auto"/>
        <w:bottom w:val="none" w:sz="0" w:space="0" w:color="auto"/>
        <w:right w:val="none" w:sz="0" w:space="0" w:color="auto"/>
      </w:divBdr>
    </w:div>
    <w:div w:id="680278077">
      <w:bodyDiv w:val="1"/>
      <w:marLeft w:val="0"/>
      <w:marRight w:val="0"/>
      <w:marTop w:val="0"/>
      <w:marBottom w:val="0"/>
      <w:divBdr>
        <w:top w:val="none" w:sz="0" w:space="0" w:color="auto"/>
        <w:left w:val="none" w:sz="0" w:space="0" w:color="auto"/>
        <w:bottom w:val="none" w:sz="0" w:space="0" w:color="auto"/>
        <w:right w:val="none" w:sz="0" w:space="0" w:color="auto"/>
      </w:divBdr>
    </w:div>
    <w:div w:id="680595370">
      <w:bodyDiv w:val="1"/>
      <w:marLeft w:val="0"/>
      <w:marRight w:val="0"/>
      <w:marTop w:val="0"/>
      <w:marBottom w:val="0"/>
      <w:divBdr>
        <w:top w:val="none" w:sz="0" w:space="0" w:color="auto"/>
        <w:left w:val="none" w:sz="0" w:space="0" w:color="auto"/>
        <w:bottom w:val="none" w:sz="0" w:space="0" w:color="auto"/>
        <w:right w:val="none" w:sz="0" w:space="0" w:color="auto"/>
      </w:divBdr>
    </w:div>
    <w:div w:id="695276392">
      <w:bodyDiv w:val="1"/>
      <w:marLeft w:val="0"/>
      <w:marRight w:val="0"/>
      <w:marTop w:val="0"/>
      <w:marBottom w:val="0"/>
      <w:divBdr>
        <w:top w:val="none" w:sz="0" w:space="0" w:color="auto"/>
        <w:left w:val="none" w:sz="0" w:space="0" w:color="auto"/>
        <w:bottom w:val="none" w:sz="0" w:space="0" w:color="auto"/>
        <w:right w:val="none" w:sz="0" w:space="0" w:color="auto"/>
      </w:divBdr>
    </w:div>
    <w:div w:id="696543134">
      <w:bodyDiv w:val="1"/>
      <w:marLeft w:val="0"/>
      <w:marRight w:val="0"/>
      <w:marTop w:val="0"/>
      <w:marBottom w:val="0"/>
      <w:divBdr>
        <w:top w:val="none" w:sz="0" w:space="0" w:color="auto"/>
        <w:left w:val="none" w:sz="0" w:space="0" w:color="auto"/>
        <w:bottom w:val="none" w:sz="0" w:space="0" w:color="auto"/>
        <w:right w:val="none" w:sz="0" w:space="0" w:color="auto"/>
      </w:divBdr>
    </w:div>
    <w:div w:id="700590493">
      <w:bodyDiv w:val="1"/>
      <w:marLeft w:val="0"/>
      <w:marRight w:val="0"/>
      <w:marTop w:val="0"/>
      <w:marBottom w:val="0"/>
      <w:divBdr>
        <w:top w:val="none" w:sz="0" w:space="0" w:color="auto"/>
        <w:left w:val="none" w:sz="0" w:space="0" w:color="auto"/>
        <w:bottom w:val="none" w:sz="0" w:space="0" w:color="auto"/>
        <w:right w:val="none" w:sz="0" w:space="0" w:color="auto"/>
      </w:divBdr>
    </w:div>
    <w:div w:id="701050453">
      <w:bodyDiv w:val="1"/>
      <w:marLeft w:val="0"/>
      <w:marRight w:val="0"/>
      <w:marTop w:val="0"/>
      <w:marBottom w:val="0"/>
      <w:divBdr>
        <w:top w:val="none" w:sz="0" w:space="0" w:color="auto"/>
        <w:left w:val="none" w:sz="0" w:space="0" w:color="auto"/>
        <w:bottom w:val="none" w:sz="0" w:space="0" w:color="auto"/>
        <w:right w:val="none" w:sz="0" w:space="0" w:color="auto"/>
      </w:divBdr>
    </w:div>
    <w:div w:id="703940122">
      <w:bodyDiv w:val="1"/>
      <w:marLeft w:val="0"/>
      <w:marRight w:val="0"/>
      <w:marTop w:val="0"/>
      <w:marBottom w:val="0"/>
      <w:divBdr>
        <w:top w:val="none" w:sz="0" w:space="0" w:color="auto"/>
        <w:left w:val="none" w:sz="0" w:space="0" w:color="auto"/>
        <w:bottom w:val="none" w:sz="0" w:space="0" w:color="auto"/>
        <w:right w:val="none" w:sz="0" w:space="0" w:color="auto"/>
      </w:divBdr>
    </w:div>
    <w:div w:id="703948549">
      <w:bodyDiv w:val="1"/>
      <w:marLeft w:val="0"/>
      <w:marRight w:val="0"/>
      <w:marTop w:val="0"/>
      <w:marBottom w:val="0"/>
      <w:divBdr>
        <w:top w:val="none" w:sz="0" w:space="0" w:color="auto"/>
        <w:left w:val="none" w:sz="0" w:space="0" w:color="auto"/>
        <w:bottom w:val="none" w:sz="0" w:space="0" w:color="auto"/>
        <w:right w:val="none" w:sz="0" w:space="0" w:color="auto"/>
      </w:divBdr>
    </w:div>
    <w:div w:id="705452417">
      <w:bodyDiv w:val="1"/>
      <w:marLeft w:val="0"/>
      <w:marRight w:val="0"/>
      <w:marTop w:val="0"/>
      <w:marBottom w:val="0"/>
      <w:divBdr>
        <w:top w:val="none" w:sz="0" w:space="0" w:color="auto"/>
        <w:left w:val="none" w:sz="0" w:space="0" w:color="auto"/>
        <w:bottom w:val="none" w:sz="0" w:space="0" w:color="auto"/>
        <w:right w:val="none" w:sz="0" w:space="0" w:color="auto"/>
      </w:divBdr>
    </w:div>
    <w:div w:id="705637357">
      <w:bodyDiv w:val="1"/>
      <w:marLeft w:val="0"/>
      <w:marRight w:val="0"/>
      <w:marTop w:val="0"/>
      <w:marBottom w:val="0"/>
      <w:divBdr>
        <w:top w:val="none" w:sz="0" w:space="0" w:color="auto"/>
        <w:left w:val="none" w:sz="0" w:space="0" w:color="auto"/>
        <w:bottom w:val="none" w:sz="0" w:space="0" w:color="auto"/>
        <w:right w:val="none" w:sz="0" w:space="0" w:color="auto"/>
      </w:divBdr>
    </w:div>
    <w:div w:id="706562642">
      <w:bodyDiv w:val="1"/>
      <w:marLeft w:val="0"/>
      <w:marRight w:val="0"/>
      <w:marTop w:val="0"/>
      <w:marBottom w:val="0"/>
      <w:divBdr>
        <w:top w:val="none" w:sz="0" w:space="0" w:color="auto"/>
        <w:left w:val="none" w:sz="0" w:space="0" w:color="auto"/>
        <w:bottom w:val="none" w:sz="0" w:space="0" w:color="auto"/>
        <w:right w:val="none" w:sz="0" w:space="0" w:color="auto"/>
      </w:divBdr>
    </w:div>
    <w:div w:id="716467880">
      <w:bodyDiv w:val="1"/>
      <w:marLeft w:val="0"/>
      <w:marRight w:val="0"/>
      <w:marTop w:val="0"/>
      <w:marBottom w:val="0"/>
      <w:divBdr>
        <w:top w:val="none" w:sz="0" w:space="0" w:color="auto"/>
        <w:left w:val="none" w:sz="0" w:space="0" w:color="auto"/>
        <w:bottom w:val="none" w:sz="0" w:space="0" w:color="auto"/>
        <w:right w:val="none" w:sz="0" w:space="0" w:color="auto"/>
      </w:divBdr>
    </w:div>
    <w:div w:id="722025328">
      <w:bodyDiv w:val="1"/>
      <w:marLeft w:val="0"/>
      <w:marRight w:val="0"/>
      <w:marTop w:val="0"/>
      <w:marBottom w:val="0"/>
      <w:divBdr>
        <w:top w:val="none" w:sz="0" w:space="0" w:color="auto"/>
        <w:left w:val="none" w:sz="0" w:space="0" w:color="auto"/>
        <w:bottom w:val="none" w:sz="0" w:space="0" w:color="auto"/>
        <w:right w:val="none" w:sz="0" w:space="0" w:color="auto"/>
      </w:divBdr>
    </w:div>
    <w:div w:id="722172054">
      <w:bodyDiv w:val="1"/>
      <w:marLeft w:val="0"/>
      <w:marRight w:val="0"/>
      <w:marTop w:val="0"/>
      <w:marBottom w:val="0"/>
      <w:divBdr>
        <w:top w:val="none" w:sz="0" w:space="0" w:color="auto"/>
        <w:left w:val="none" w:sz="0" w:space="0" w:color="auto"/>
        <w:bottom w:val="none" w:sz="0" w:space="0" w:color="auto"/>
        <w:right w:val="none" w:sz="0" w:space="0" w:color="auto"/>
      </w:divBdr>
    </w:div>
    <w:div w:id="729962774">
      <w:bodyDiv w:val="1"/>
      <w:marLeft w:val="0"/>
      <w:marRight w:val="0"/>
      <w:marTop w:val="0"/>
      <w:marBottom w:val="0"/>
      <w:divBdr>
        <w:top w:val="none" w:sz="0" w:space="0" w:color="auto"/>
        <w:left w:val="none" w:sz="0" w:space="0" w:color="auto"/>
        <w:bottom w:val="none" w:sz="0" w:space="0" w:color="auto"/>
        <w:right w:val="none" w:sz="0" w:space="0" w:color="auto"/>
      </w:divBdr>
    </w:div>
    <w:div w:id="730427402">
      <w:bodyDiv w:val="1"/>
      <w:marLeft w:val="0"/>
      <w:marRight w:val="0"/>
      <w:marTop w:val="0"/>
      <w:marBottom w:val="0"/>
      <w:divBdr>
        <w:top w:val="none" w:sz="0" w:space="0" w:color="auto"/>
        <w:left w:val="none" w:sz="0" w:space="0" w:color="auto"/>
        <w:bottom w:val="none" w:sz="0" w:space="0" w:color="auto"/>
        <w:right w:val="none" w:sz="0" w:space="0" w:color="auto"/>
      </w:divBdr>
    </w:div>
    <w:div w:id="731276647">
      <w:bodyDiv w:val="1"/>
      <w:marLeft w:val="0"/>
      <w:marRight w:val="0"/>
      <w:marTop w:val="0"/>
      <w:marBottom w:val="0"/>
      <w:divBdr>
        <w:top w:val="none" w:sz="0" w:space="0" w:color="auto"/>
        <w:left w:val="none" w:sz="0" w:space="0" w:color="auto"/>
        <w:bottom w:val="none" w:sz="0" w:space="0" w:color="auto"/>
        <w:right w:val="none" w:sz="0" w:space="0" w:color="auto"/>
      </w:divBdr>
    </w:div>
    <w:div w:id="740785642">
      <w:bodyDiv w:val="1"/>
      <w:marLeft w:val="0"/>
      <w:marRight w:val="0"/>
      <w:marTop w:val="0"/>
      <w:marBottom w:val="0"/>
      <w:divBdr>
        <w:top w:val="none" w:sz="0" w:space="0" w:color="auto"/>
        <w:left w:val="none" w:sz="0" w:space="0" w:color="auto"/>
        <w:bottom w:val="none" w:sz="0" w:space="0" w:color="auto"/>
        <w:right w:val="none" w:sz="0" w:space="0" w:color="auto"/>
      </w:divBdr>
    </w:div>
    <w:div w:id="749936057">
      <w:bodyDiv w:val="1"/>
      <w:marLeft w:val="0"/>
      <w:marRight w:val="0"/>
      <w:marTop w:val="0"/>
      <w:marBottom w:val="0"/>
      <w:divBdr>
        <w:top w:val="none" w:sz="0" w:space="0" w:color="auto"/>
        <w:left w:val="none" w:sz="0" w:space="0" w:color="auto"/>
        <w:bottom w:val="none" w:sz="0" w:space="0" w:color="auto"/>
        <w:right w:val="none" w:sz="0" w:space="0" w:color="auto"/>
      </w:divBdr>
    </w:div>
    <w:div w:id="752167859">
      <w:bodyDiv w:val="1"/>
      <w:marLeft w:val="0"/>
      <w:marRight w:val="0"/>
      <w:marTop w:val="0"/>
      <w:marBottom w:val="0"/>
      <w:divBdr>
        <w:top w:val="none" w:sz="0" w:space="0" w:color="auto"/>
        <w:left w:val="none" w:sz="0" w:space="0" w:color="auto"/>
        <w:bottom w:val="none" w:sz="0" w:space="0" w:color="auto"/>
        <w:right w:val="none" w:sz="0" w:space="0" w:color="auto"/>
      </w:divBdr>
    </w:div>
    <w:div w:id="757990933">
      <w:bodyDiv w:val="1"/>
      <w:marLeft w:val="0"/>
      <w:marRight w:val="0"/>
      <w:marTop w:val="0"/>
      <w:marBottom w:val="0"/>
      <w:divBdr>
        <w:top w:val="none" w:sz="0" w:space="0" w:color="auto"/>
        <w:left w:val="none" w:sz="0" w:space="0" w:color="auto"/>
        <w:bottom w:val="none" w:sz="0" w:space="0" w:color="auto"/>
        <w:right w:val="none" w:sz="0" w:space="0" w:color="auto"/>
      </w:divBdr>
    </w:div>
    <w:div w:id="762258720">
      <w:bodyDiv w:val="1"/>
      <w:marLeft w:val="0"/>
      <w:marRight w:val="0"/>
      <w:marTop w:val="0"/>
      <w:marBottom w:val="0"/>
      <w:divBdr>
        <w:top w:val="none" w:sz="0" w:space="0" w:color="auto"/>
        <w:left w:val="none" w:sz="0" w:space="0" w:color="auto"/>
        <w:bottom w:val="none" w:sz="0" w:space="0" w:color="auto"/>
        <w:right w:val="none" w:sz="0" w:space="0" w:color="auto"/>
      </w:divBdr>
    </w:div>
    <w:div w:id="774636447">
      <w:bodyDiv w:val="1"/>
      <w:marLeft w:val="0"/>
      <w:marRight w:val="0"/>
      <w:marTop w:val="0"/>
      <w:marBottom w:val="0"/>
      <w:divBdr>
        <w:top w:val="none" w:sz="0" w:space="0" w:color="auto"/>
        <w:left w:val="none" w:sz="0" w:space="0" w:color="auto"/>
        <w:bottom w:val="none" w:sz="0" w:space="0" w:color="auto"/>
        <w:right w:val="none" w:sz="0" w:space="0" w:color="auto"/>
      </w:divBdr>
    </w:div>
    <w:div w:id="775907278">
      <w:bodyDiv w:val="1"/>
      <w:marLeft w:val="0"/>
      <w:marRight w:val="0"/>
      <w:marTop w:val="0"/>
      <w:marBottom w:val="0"/>
      <w:divBdr>
        <w:top w:val="none" w:sz="0" w:space="0" w:color="auto"/>
        <w:left w:val="none" w:sz="0" w:space="0" w:color="auto"/>
        <w:bottom w:val="none" w:sz="0" w:space="0" w:color="auto"/>
        <w:right w:val="none" w:sz="0" w:space="0" w:color="auto"/>
      </w:divBdr>
    </w:div>
    <w:div w:id="780732825">
      <w:bodyDiv w:val="1"/>
      <w:marLeft w:val="0"/>
      <w:marRight w:val="0"/>
      <w:marTop w:val="0"/>
      <w:marBottom w:val="0"/>
      <w:divBdr>
        <w:top w:val="none" w:sz="0" w:space="0" w:color="auto"/>
        <w:left w:val="none" w:sz="0" w:space="0" w:color="auto"/>
        <w:bottom w:val="none" w:sz="0" w:space="0" w:color="auto"/>
        <w:right w:val="none" w:sz="0" w:space="0" w:color="auto"/>
      </w:divBdr>
    </w:div>
    <w:div w:id="792674503">
      <w:bodyDiv w:val="1"/>
      <w:marLeft w:val="0"/>
      <w:marRight w:val="0"/>
      <w:marTop w:val="0"/>
      <w:marBottom w:val="0"/>
      <w:divBdr>
        <w:top w:val="none" w:sz="0" w:space="0" w:color="auto"/>
        <w:left w:val="none" w:sz="0" w:space="0" w:color="auto"/>
        <w:bottom w:val="none" w:sz="0" w:space="0" w:color="auto"/>
        <w:right w:val="none" w:sz="0" w:space="0" w:color="auto"/>
      </w:divBdr>
    </w:div>
    <w:div w:id="793522188">
      <w:bodyDiv w:val="1"/>
      <w:marLeft w:val="0"/>
      <w:marRight w:val="0"/>
      <w:marTop w:val="0"/>
      <w:marBottom w:val="0"/>
      <w:divBdr>
        <w:top w:val="none" w:sz="0" w:space="0" w:color="auto"/>
        <w:left w:val="none" w:sz="0" w:space="0" w:color="auto"/>
        <w:bottom w:val="none" w:sz="0" w:space="0" w:color="auto"/>
        <w:right w:val="none" w:sz="0" w:space="0" w:color="auto"/>
      </w:divBdr>
    </w:div>
    <w:div w:id="800734409">
      <w:bodyDiv w:val="1"/>
      <w:marLeft w:val="0"/>
      <w:marRight w:val="0"/>
      <w:marTop w:val="0"/>
      <w:marBottom w:val="0"/>
      <w:divBdr>
        <w:top w:val="none" w:sz="0" w:space="0" w:color="auto"/>
        <w:left w:val="none" w:sz="0" w:space="0" w:color="auto"/>
        <w:bottom w:val="none" w:sz="0" w:space="0" w:color="auto"/>
        <w:right w:val="none" w:sz="0" w:space="0" w:color="auto"/>
      </w:divBdr>
    </w:div>
    <w:div w:id="802622829">
      <w:bodyDiv w:val="1"/>
      <w:marLeft w:val="0"/>
      <w:marRight w:val="0"/>
      <w:marTop w:val="0"/>
      <w:marBottom w:val="0"/>
      <w:divBdr>
        <w:top w:val="none" w:sz="0" w:space="0" w:color="auto"/>
        <w:left w:val="none" w:sz="0" w:space="0" w:color="auto"/>
        <w:bottom w:val="none" w:sz="0" w:space="0" w:color="auto"/>
        <w:right w:val="none" w:sz="0" w:space="0" w:color="auto"/>
      </w:divBdr>
    </w:div>
    <w:div w:id="802891904">
      <w:bodyDiv w:val="1"/>
      <w:marLeft w:val="0"/>
      <w:marRight w:val="0"/>
      <w:marTop w:val="0"/>
      <w:marBottom w:val="0"/>
      <w:divBdr>
        <w:top w:val="none" w:sz="0" w:space="0" w:color="auto"/>
        <w:left w:val="none" w:sz="0" w:space="0" w:color="auto"/>
        <w:bottom w:val="none" w:sz="0" w:space="0" w:color="auto"/>
        <w:right w:val="none" w:sz="0" w:space="0" w:color="auto"/>
      </w:divBdr>
    </w:div>
    <w:div w:id="803624747">
      <w:bodyDiv w:val="1"/>
      <w:marLeft w:val="0"/>
      <w:marRight w:val="0"/>
      <w:marTop w:val="0"/>
      <w:marBottom w:val="0"/>
      <w:divBdr>
        <w:top w:val="none" w:sz="0" w:space="0" w:color="auto"/>
        <w:left w:val="none" w:sz="0" w:space="0" w:color="auto"/>
        <w:bottom w:val="none" w:sz="0" w:space="0" w:color="auto"/>
        <w:right w:val="none" w:sz="0" w:space="0" w:color="auto"/>
      </w:divBdr>
    </w:div>
    <w:div w:id="805121749">
      <w:bodyDiv w:val="1"/>
      <w:marLeft w:val="0"/>
      <w:marRight w:val="0"/>
      <w:marTop w:val="0"/>
      <w:marBottom w:val="0"/>
      <w:divBdr>
        <w:top w:val="none" w:sz="0" w:space="0" w:color="auto"/>
        <w:left w:val="none" w:sz="0" w:space="0" w:color="auto"/>
        <w:bottom w:val="none" w:sz="0" w:space="0" w:color="auto"/>
        <w:right w:val="none" w:sz="0" w:space="0" w:color="auto"/>
      </w:divBdr>
    </w:div>
    <w:div w:id="813184011">
      <w:bodyDiv w:val="1"/>
      <w:marLeft w:val="0"/>
      <w:marRight w:val="0"/>
      <w:marTop w:val="0"/>
      <w:marBottom w:val="0"/>
      <w:divBdr>
        <w:top w:val="none" w:sz="0" w:space="0" w:color="auto"/>
        <w:left w:val="none" w:sz="0" w:space="0" w:color="auto"/>
        <w:bottom w:val="none" w:sz="0" w:space="0" w:color="auto"/>
        <w:right w:val="none" w:sz="0" w:space="0" w:color="auto"/>
      </w:divBdr>
    </w:div>
    <w:div w:id="821584259">
      <w:bodyDiv w:val="1"/>
      <w:marLeft w:val="0"/>
      <w:marRight w:val="0"/>
      <w:marTop w:val="0"/>
      <w:marBottom w:val="0"/>
      <w:divBdr>
        <w:top w:val="none" w:sz="0" w:space="0" w:color="auto"/>
        <w:left w:val="none" w:sz="0" w:space="0" w:color="auto"/>
        <w:bottom w:val="none" w:sz="0" w:space="0" w:color="auto"/>
        <w:right w:val="none" w:sz="0" w:space="0" w:color="auto"/>
      </w:divBdr>
    </w:div>
    <w:div w:id="825511163">
      <w:bodyDiv w:val="1"/>
      <w:marLeft w:val="0"/>
      <w:marRight w:val="0"/>
      <w:marTop w:val="0"/>
      <w:marBottom w:val="0"/>
      <w:divBdr>
        <w:top w:val="none" w:sz="0" w:space="0" w:color="auto"/>
        <w:left w:val="none" w:sz="0" w:space="0" w:color="auto"/>
        <w:bottom w:val="none" w:sz="0" w:space="0" w:color="auto"/>
        <w:right w:val="none" w:sz="0" w:space="0" w:color="auto"/>
      </w:divBdr>
    </w:div>
    <w:div w:id="826821289">
      <w:bodyDiv w:val="1"/>
      <w:marLeft w:val="0"/>
      <w:marRight w:val="0"/>
      <w:marTop w:val="0"/>
      <w:marBottom w:val="0"/>
      <w:divBdr>
        <w:top w:val="none" w:sz="0" w:space="0" w:color="auto"/>
        <w:left w:val="none" w:sz="0" w:space="0" w:color="auto"/>
        <w:bottom w:val="none" w:sz="0" w:space="0" w:color="auto"/>
        <w:right w:val="none" w:sz="0" w:space="0" w:color="auto"/>
      </w:divBdr>
    </w:div>
    <w:div w:id="830603721">
      <w:bodyDiv w:val="1"/>
      <w:marLeft w:val="0"/>
      <w:marRight w:val="0"/>
      <w:marTop w:val="0"/>
      <w:marBottom w:val="0"/>
      <w:divBdr>
        <w:top w:val="none" w:sz="0" w:space="0" w:color="auto"/>
        <w:left w:val="none" w:sz="0" w:space="0" w:color="auto"/>
        <w:bottom w:val="none" w:sz="0" w:space="0" w:color="auto"/>
        <w:right w:val="none" w:sz="0" w:space="0" w:color="auto"/>
      </w:divBdr>
    </w:div>
    <w:div w:id="830873879">
      <w:bodyDiv w:val="1"/>
      <w:marLeft w:val="0"/>
      <w:marRight w:val="0"/>
      <w:marTop w:val="0"/>
      <w:marBottom w:val="0"/>
      <w:divBdr>
        <w:top w:val="none" w:sz="0" w:space="0" w:color="auto"/>
        <w:left w:val="none" w:sz="0" w:space="0" w:color="auto"/>
        <w:bottom w:val="none" w:sz="0" w:space="0" w:color="auto"/>
        <w:right w:val="none" w:sz="0" w:space="0" w:color="auto"/>
      </w:divBdr>
    </w:div>
    <w:div w:id="833910666">
      <w:bodyDiv w:val="1"/>
      <w:marLeft w:val="0"/>
      <w:marRight w:val="0"/>
      <w:marTop w:val="0"/>
      <w:marBottom w:val="0"/>
      <w:divBdr>
        <w:top w:val="none" w:sz="0" w:space="0" w:color="auto"/>
        <w:left w:val="none" w:sz="0" w:space="0" w:color="auto"/>
        <w:bottom w:val="none" w:sz="0" w:space="0" w:color="auto"/>
        <w:right w:val="none" w:sz="0" w:space="0" w:color="auto"/>
      </w:divBdr>
    </w:div>
    <w:div w:id="836261617">
      <w:bodyDiv w:val="1"/>
      <w:marLeft w:val="0"/>
      <w:marRight w:val="0"/>
      <w:marTop w:val="0"/>
      <w:marBottom w:val="0"/>
      <w:divBdr>
        <w:top w:val="none" w:sz="0" w:space="0" w:color="auto"/>
        <w:left w:val="none" w:sz="0" w:space="0" w:color="auto"/>
        <w:bottom w:val="none" w:sz="0" w:space="0" w:color="auto"/>
        <w:right w:val="none" w:sz="0" w:space="0" w:color="auto"/>
      </w:divBdr>
    </w:div>
    <w:div w:id="844979731">
      <w:bodyDiv w:val="1"/>
      <w:marLeft w:val="0"/>
      <w:marRight w:val="0"/>
      <w:marTop w:val="0"/>
      <w:marBottom w:val="0"/>
      <w:divBdr>
        <w:top w:val="none" w:sz="0" w:space="0" w:color="auto"/>
        <w:left w:val="none" w:sz="0" w:space="0" w:color="auto"/>
        <w:bottom w:val="none" w:sz="0" w:space="0" w:color="auto"/>
        <w:right w:val="none" w:sz="0" w:space="0" w:color="auto"/>
      </w:divBdr>
    </w:div>
    <w:div w:id="846944231">
      <w:bodyDiv w:val="1"/>
      <w:marLeft w:val="0"/>
      <w:marRight w:val="0"/>
      <w:marTop w:val="0"/>
      <w:marBottom w:val="0"/>
      <w:divBdr>
        <w:top w:val="none" w:sz="0" w:space="0" w:color="auto"/>
        <w:left w:val="none" w:sz="0" w:space="0" w:color="auto"/>
        <w:bottom w:val="none" w:sz="0" w:space="0" w:color="auto"/>
        <w:right w:val="none" w:sz="0" w:space="0" w:color="auto"/>
      </w:divBdr>
    </w:div>
    <w:div w:id="848451571">
      <w:bodyDiv w:val="1"/>
      <w:marLeft w:val="0"/>
      <w:marRight w:val="0"/>
      <w:marTop w:val="0"/>
      <w:marBottom w:val="0"/>
      <w:divBdr>
        <w:top w:val="none" w:sz="0" w:space="0" w:color="auto"/>
        <w:left w:val="none" w:sz="0" w:space="0" w:color="auto"/>
        <w:bottom w:val="none" w:sz="0" w:space="0" w:color="auto"/>
        <w:right w:val="none" w:sz="0" w:space="0" w:color="auto"/>
      </w:divBdr>
    </w:div>
    <w:div w:id="850804275">
      <w:bodyDiv w:val="1"/>
      <w:marLeft w:val="0"/>
      <w:marRight w:val="0"/>
      <w:marTop w:val="0"/>
      <w:marBottom w:val="0"/>
      <w:divBdr>
        <w:top w:val="none" w:sz="0" w:space="0" w:color="auto"/>
        <w:left w:val="none" w:sz="0" w:space="0" w:color="auto"/>
        <w:bottom w:val="none" w:sz="0" w:space="0" w:color="auto"/>
        <w:right w:val="none" w:sz="0" w:space="0" w:color="auto"/>
      </w:divBdr>
    </w:div>
    <w:div w:id="856425822">
      <w:bodyDiv w:val="1"/>
      <w:marLeft w:val="0"/>
      <w:marRight w:val="0"/>
      <w:marTop w:val="0"/>
      <w:marBottom w:val="0"/>
      <w:divBdr>
        <w:top w:val="none" w:sz="0" w:space="0" w:color="auto"/>
        <w:left w:val="none" w:sz="0" w:space="0" w:color="auto"/>
        <w:bottom w:val="none" w:sz="0" w:space="0" w:color="auto"/>
        <w:right w:val="none" w:sz="0" w:space="0" w:color="auto"/>
      </w:divBdr>
    </w:div>
    <w:div w:id="859510299">
      <w:bodyDiv w:val="1"/>
      <w:marLeft w:val="0"/>
      <w:marRight w:val="0"/>
      <w:marTop w:val="0"/>
      <w:marBottom w:val="0"/>
      <w:divBdr>
        <w:top w:val="none" w:sz="0" w:space="0" w:color="auto"/>
        <w:left w:val="none" w:sz="0" w:space="0" w:color="auto"/>
        <w:bottom w:val="none" w:sz="0" w:space="0" w:color="auto"/>
        <w:right w:val="none" w:sz="0" w:space="0" w:color="auto"/>
      </w:divBdr>
    </w:div>
    <w:div w:id="861358771">
      <w:bodyDiv w:val="1"/>
      <w:marLeft w:val="0"/>
      <w:marRight w:val="0"/>
      <w:marTop w:val="0"/>
      <w:marBottom w:val="0"/>
      <w:divBdr>
        <w:top w:val="none" w:sz="0" w:space="0" w:color="auto"/>
        <w:left w:val="none" w:sz="0" w:space="0" w:color="auto"/>
        <w:bottom w:val="none" w:sz="0" w:space="0" w:color="auto"/>
        <w:right w:val="none" w:sz="0" w:space="0" w:color="auto"/>
      </w:divBdr>
    </w:div>
    <w:div w:id="862934812">
      <w:bodyDiv w:val="1"/>
      <w:marLeft w:val="0"/>
      <w:marRight w:val="0"/>
      <w:marTop w:val="0"/>
      <w:marBottom w:val="0"/>
      <w:divBdr>
        <w:top w:val="none" w:sz="0" w:space="0" w:color="auto"/>
        <w:left w:val="none" w:sz="0" w:space="0" w:color="auto"/>
        <w:bottom w:val="none" w:sz="0" w:space="0" w:color="auto"/>
        <w:right w:val="none" w:sz="0" w:space="0" w:color="auto"/>
      </w:divBdr>
    </w:div>
    <w:div w:id="866336445">
      <w:bodyDiv w:val="1"/>
      <w:marLeft w:val="0"/>
      <w:marRight w:val="0"/>
      <w:marTop w:val="0"/>
      <w:marBottom w:val="0"/>
      <w:divBdr>
        <w:top w:val="none" w:sz="0" w:space="0" w:color="auto"/>
        <w:left w:val="none" w:sz="0" w:space="0" w:color="auto"/>
        <w:bottom w:val="none" w:sz="0" w:space="0" w:color="auto"/>
        <w:right w:val="none" w:sz="0" w:space="0" w:color="auto"/>
      </w:divBdr>
    </w:div>
    <w:div w:id="872766219">
      <w:bodyDiv w:val="1"/>
      <w:marLeft w:val="0"/>
      <w:marRight w:val="0"/>
      <w:marTop w:val="0"/>
      <w:marBottom w:val="0"/>
      <w:divBdr>
        <w:top w:val="none" w:sz="0" w:space="0" w:color="auto"/>
        <w:left w:val="none" w:sz="0" w:space="0" w:color="auto"/>
        <w:bottom w:val="none" w:sz="0" w:space="0" w:color="auto"/>
        <w:right w:val="none" w:sz="0" w:space="0" w:color="auto"/>
      </w:divBdr>
    </w:div>
    <w:div w:id="876502441">
      <w:bodyDiv w:val="1"/>
      <w:marLeft w:val="0"/>
      <w:marRight w:val="0"/>
      <w:marTop w:val="0"/>
      <w:marBottom w:val="0"/>
      <w:divBdr>
        <w:top w:val="none" w:sz="0" w:space="0" w:color="auto"/>
        <w:left w:val="none" w:sz="0" w:space="0" w:color="auto"/>
        <w:bottom w:val="none" w:sz="0" w:space="0" w:color="auto"/>
        <w:right w:val="none" w:sz="0" w:space="0" w:color="auto"/>
      </w:divBdr>
    </w:div>
    <w:div w:id="879173872">
      <w:bodyDiv w:val="1"/>
      <w:marLeft w:val="0"/>
      <w:marRight w:val="0"/>
      <w:marTop w:val="0"/>
      <w:marBottom w:val="0"/>
      <w:divBdr>
        <w:top w:val="none" w:sz="0" w:space="0" w:color="auto"/>
        <w:left w:val="none" w:sz="0" w:space="0" w:color="auto"/>
        <w:bottom w:val="none" w:sz="0" w:space="0" w:color="auto"/>
        <w:right w:val="none" w:sz="0" w:space="0" w:color="auto"/>
      </w:divBdr>
    </w:div>
    <w:div w:id="891574727">
      <w:bodyDiv w:val="1"/>
      <w:marLeft w:val="0"/>
      <w:marRight w:val="0"/>
      <w:marTop w:val="0"/>
      <w:marBottom w:val="0"/>
      <w:divBdr>
        <w:top w:val="none" w:sz="0" w:space="0" w:color="auto"/>
        <w:left w:val="none" w:sz="0" w:space="0" w:color="auto"/>
        <w:bottom w:val="none" w:sz="0" w:space="0" w:color="auto"/>
        <w:right w:val="none" w:sz="0" w:space="0" w:color="auto"/>
      </w:divBdr>
    </w:div>
    <w:div w:id="895815791">
      <w:bodyDiv w:val="1"/>
      <w:marLeft w:val="0"/>
      <w:marRight w:val="0"/>
      <w:marTop w:val="0"/>
      <w:marBottom w:val="0"/>
      <w:divBdr>
        <w:top w:val="none" w:sz="0" w:space="0" w:color="auto"/>
        <w:left w:val="none" w:sz="0" w:space="0" w:color="auto"/>
        <w:bottom w:val="none" w:sz="0" w:space="0" w:color="auto"/>
        <w:right w:val="none" w:sz="0" w:space="0" w:color="auto"/>
      </w:divBdr>
    </w:div>
    <w:div w:id="895969107">
      <w:bodyDiv w:val="1"/>
      <w:marLeft w:val="0"/>
      <w:marRight w:val="0"/>
      <w:marTop w:val="0"/>
      <w:marBottom w:val="0"/>
      <w:divBdr>
        <w:top w:val="none" w:sz="0" w:space="0" w:color="auto"/>
        <w:left w:val="none" w:sz="0" w:space="0" w:color="auto"/>
        <w:bottom w:val="none" w:sz="0" w:space="0" w:color="auto"/>
        <w:right w:val="none" w:sz="0" w:space="0" w:color="auto"/>
      </w:divBdr>
    </w:div>
    <w:div w:id="902520450">
      <w:bodyDiv w:val="1"/>
      <w:marLeft w:val="0"/>
      <w:marRight w:val="0"/>
      <w:marTop w:val="0"/>
      <w:marBottom w:val="0"/>
      <w:divBdr>
        <w:top w:val="none" w:sz="0" w:space="0" w:color="auto"/>
        <w:left w:val="none" w:sz="0" w:space="0" w:color="auto"/>
        <w:bottom w:val="none" w:sz="0" w:space="0" w:color="auto"/>
        <w:right w:val="none" w:sz="0" w:space="0" w:color="auto"/>
      </w:divBdr>
    </w:div>
    <w:div w:id="903955619">
      <w:bodyDiv w:val="1"/>
      <w:marLeft w:val="0"/>
      <w:marRight w:val="0"/>
      <w:marTop w:val="0"/>
      <w:marBottom w:val="0"/>
      <w:divBdr>
        <w:top w:val="none" w:sz="0" w:space="0" w:color="auto"/>
        <w:left w:val="none" w:sz="0" w:space="0" w:color="auto"/>
        <w:bottom w:val="none" w:sz="0" w:space="0" w:color="auto"/>
        <w:right w:val="none" w:sz="0" w:space="0" w:color="auto"/>
      </w:divBdr>
    </w:div>
    <w:div w:id="908734776">
      <w:bodyDiv w:val="1"/>
      <w:marLeft w:val="0"/>
      <w:marRight w:val="0"/>
      <w:marTop w:val="0"/>
      <w:marBottom w:val="0"/>
      <w:divBdr>
        <w:top w:val="none" w:sz="0" w:space="0" w:color="auto"/>
        <w:left w:val="none" w:sz="0" w:space="0" w:color="auto"/>
        <w:bottom w:val="none" w:sz="0" w:space="0" w:color="auto"/>
        <w:right w:val="none" w:sz="0" w:space="0" w:color="auto"/>
      </w:divBdr>
    </w:div>
    <w:div w:id="910040090">
      <w:bodyDiv w:val="1"/>
      <w:marLeft w:val="0"/>
      <w:marRight w:val="0"/>
      <w:marTop w:val="0"/>
      <w:marBottom w:val="0"/>
      <w:divBdr>
        <w:top w:val="none" w:sz="0" w:space="0" w:color="auto"/>
        <w:left w:val="none" w:sz="0" w:space="0" w:color="auto"/>
        <w:bottom w:val="none" w:sz="0" w:space="0" w:color="auto"/>
        <w:right w:val="none" w:sz="0" w:space="0" w:color="auto"/>
      </w:divBdr>
    </w:div>
    <w:div w:id="913006550">
      <w:bodyDiv w:val="1"/>
      <w:marLeft w:val="0"/>
      <w:marRight w:val="0"/>
      <w:marTop w:val="0"/>
      <w:marBottom w:val="0"/>
      <w:divBdr>
        <w:top w:val="none" w:sz="0" w:space="0" w:color="auto"/>
        <w:left w:val="none" w:sz="0" w:space="0" w:color="auto"/>
        <w:bottom w:val="none" w:sz="0" w:space="0" w:color="auto"/>
        <w:right w:val="none" w:sz="0" w:space="0" w:color="auto"/>
      </w:divBdr>
    </w:div>
    <w:div w:id="917252476">
      <w:bodyDiv w:val="1"/>
      <w:marLeft w:val="0"/>
      <w:marRight w:val="0"/>
      <w:marTop w:val="0"/>
      <w:marBottom w:val="0"/>
      <w:divBdr>
        <w:top w:val="none" w:sz="0" w:space="0" w:color="auto"/>
        <w:left w:val="none" w:sz="0" w:space="0" w:color="auto"/>
        <w:bottom w:val="none" w:sz="0" w:space="0" w:color="auto"/>
        <w:right w:val="none" w:sz="0" w:space="0" w:color="auto"/>
      </w:divBdr>
    </w:div>
    <w:div w:id="918053396">
      <w:bodyDiv w:val="1"/>
      <w:marLeft w:val="0"/>
      <w:marRight w:val="0"/>
      <w:marTop w:val="0"/>
      <w:marBottom w:val="0"/>
      <w:divBdr>
        <w:top w:val="none" w:sz="0" w:space="0" w:color="auto"/>
        <w:left w:val="none" w:sz="0" w:space="0" w:color="auto"/>
        <w:bottom w:val="none" w:sz="0" w:space="0" w:color="auto"/>
        <w:right w:val="none" w:sz="0" w:space="0" w:color="auto"/>
      </w:divBdr>
    </w:div>
    <w:div w:id="921570757">
      <w:bodyDiv w:val="1"/>
      <w:marLeft w:val="0"/>
      <w:marRight w:val="0"/>
      <w:marTop w:val="0"/>
      <w:marBottom w:val="0"/>
      <w:divBdr>
        <w:top w:val="none" w:sz="0" w:space="0" w:color="auto"/>
        <w:left w:val="none" w:sz="0" w:space="0" w:color="auto"/>
        <w:bottom w:val="none" w:sz="0" w:space="0" w:color="auto"/>
        <w:right w:val="none" w:sz="0" w:space="0" w:color="auto"/>
      </w:divBdr>
    </w:div>
    <w:div w:id="926694924">
      <w:bodyDiv w:val="1"/>
      <w:marLeft w:val="0"/>
      <w:marRight w:val="0"/>
      <w:marTop w:val="0"/>
      <w:marBottom w:val="0"/>
      <w:divBdr>
        <w:top w:val="none" w:sz="0" w:space="0" w:color="auto"/>
        <w:left w:val="none" w:sz="0" w:space="0" w:color="auto"/>
        <w:bottom w:val="none" w:sz="0" w:space="0" w:color="auto"/>
        <w:right w:val="none" w:sz="0" w:space="0" w:color="auto"/>
      </w:divBdr>
    </w:div>
    <w:div w:id="929267505">
      <w:bodyDiv w:val="1"/>
      <w:marLeft w:val="0"/>
      <w:marRight w:val="0"/>
      <w:marTop w:val="0"/>
      <w:marBottom w:val="0"/>
      <w:divBdr>
        <w:top w:val="none" w:sz="0" w:space="0" w:color="auto"/>
        <w:left w:val="none" w:sz="0" w:space="0" w:color="auto"/>
        <w:bottom w:val="none" w:sz="0" w:space="0" w:color="auto"/>
        <w:right w:val="none" w:sz="0" w:space="0" w:color="auto"/>
      </w:divBdr>
    </w:div>
    <w:div w:id="931402854">
      <w:bodyDiv w:val="1"/>
      <w:marLeft w:val="0"/>
      <w:marRight w:val="0"/>
      <w:marTop w:val="0"/>
      <w:marBottom w:val="0"/>
      <w:divBdr>
        <w:top w:val="none" w:sz="0" w:space="0" w:color="auto"/>
        <w:left w:val="none" w:sz="0" w:space="0" w:color="auto"/>
        <w:bottom w:val="none" w:sz="0" w:space="0" w:color="auto"/>
        <w:right w:val="none" w:sz="0" w:space="0" w:color="auto"/>
      </w:divBdr>
    </w:div>
    <w:div w:id="934288667">
      <w:bodyDiv w:val="1"/>
      <w:marLeft w:val="0"/>
      <w:marRight w:val="0"/>
      <w:marTop w:val="0"/>
      <w:marBottom w:val="0"/>
      <w:divBdr>
        <w:top w:val="none" w:sz="0" w:space="0" w:color="auto"/>
        <w:left w:val="none" w:sz="0" w:space="0" w:color="auto"/>
        <w:bottom w:val="none" w:sz="0" w:space="0" w:color="auto"/>
        <w:right w:val="none" w:sz="0" w:space="0" w:color="auto"/>
      </w:divBdr>
    </w:div>
    <w:div w:id="940840922">
      <w:bodyDiv w:val="1"/>
      <w:marLeft w:val="0"/>
      <w:marRight w:val="0"/>
      <w:marTop w:val="0"/>
      <w:marBottom w:val="0"/>
      <w:divBdr>
        <w:top w:val="none" w:sz="0" w:space="0" w:color="auto"/>
        <w:left w:val="none" w:sz="0" w:space="0" w:color="auto"/>
        <w:bottom w:val="none" w:sz="0" w:space="0" w:color="auto"/>
        <w:right w:val="none" w:sz="0" w:space="0" w:color="auto"/>
      </w:divBdr>
    </w:div>
    <w:div w:id="947853892">
      <w:bodyDiv w:val="1"/>
      <w:marLeft w:val="0"/>
      <w:marRight w:val="0"/>
      <w:marTop w:val="0"/>
      <w:marBottom w:val="0"/>
      <w:divBdr>
        <w:top w:val="none" w:sz="0" w:space="0" w:color="auto"/>
        <w:left w:val="none" w:sz="0" w:space="0" w:color="auto"/>
        <w:bottom w:val="none" w:sz="0" w:space="0" w:color="auto"/>
        <w:right w:val="none" w:sz="0" w:space="0" w:color="auto"/>
      </w:divBdr>
    </w:div>
    <w:div w:id="958492880">
      <w:bodyDiv w:val="1"/>
      <w:marLeft w:val="0"/>
      <w:marRight w:val="0"/>
      <w:marTop w:val="0"/>
      <w:marBottom w:val="0"/>
      <w:divBdr>
        <w:top w:val="none" w:sz="0" w:space="0" w:color="auto"/>
        <w:left w:val="none" w:sz="0" w:space="0" w:color="auto"/>
        <w:bottom w:val="none" w:sz="0" w:space="0" w:color="auto"/>
        <w:right w:val="none" w:sz="0" w:space="0" w:color="auto"/>
      </w:divBdr>
    </w:div>
    <w:div w:id="958610970">
      <w:bodyDiv w:val="1"/>
      <w:marLeft w:val="0"/>
      <w:marRight w:val="0"/>
      <w:marTop w:val="0"/>
      <w:marBottom w:val="0"/>
      <w:divBdr>
        <w:top w:val="none" w:sz="0" w:space="0" w:color="auto"/>
        <w:left w:val="none" w:sz="0" w:space="0" w:color="auto"/>
        <w:bottom w:val="none" w:sz="0" w:space="0" w:color="auto"/>
        <w:right w:val="none" w:sz="0" w:space="0" w:color="auto"/>
      </w:divBdr>
    </w:div>
    <w:div w:id="959535080">
      <w:bodyDiv w:val="1"/>
      <w:marLeft w:val="0"/>
      <w:marRight w:val="0"/>
      <w:marTop w:val="0"/>
      <w:marBottom w:val="0"/>
      <w:divBdr>
        <w:top w:val="none" w:sz="0" w:space="0" w:color="auto"/>
        <w:left w:val="none" w:sz="0" w:space="0" w:color="auto"/>
        <w:bottom w:val="none" w:sz="0" w:space="0" w:color="auto"/>
        <w:right w:val="none" w:sz="0" w:space="0" w:color="auto"/>
      </w:divBdr>
    </w:div>
    <w:div w:id="961107360">
      <w:bodyDiv w:val="1"/>
      <w:marLeft w:val="0"/>
      <w:marRight w:val="0"/>
      <w:marTop w:val="0"/>
      <w:marBottom w:val="0"/>
      <w:divBdr>
        <w:top w:val="none" w:sz="0" w:space="0" w:color="auto"/>
        <w:left w:val="none" w:sz="0" w:space="0" w:color="auto"/>
        <w:bottom w:val="none" w:sz="0" w:space="0" w:color="auto"/>
        <w:right w:val="none" w:sz="0" w:space="0" w:color="auto"/>
      </w:divBdr>
    </w:div>
    <w:div w:id="972490293">
      <w:bodyDiv w:val="1"/>
      <w:marLeft w:val="0"/>
      <w:marRight w:val="0"/>
      <w:marTop w:val="0"/>
      <w:marBottom w:val="0"/>
      <w:divBdr>
        <w:top w:val="none" w:sz="0" w:space="0" w:color="auto"/>
        <w:left w:val="none" w:sz="0" w:space="0" w:color="auto"/>
        <w:bottom w:val="none" w:sz="0" w:space="0" w:color="auto"/>
        <w:right w:val="none" w:sz="0" w:space="0" w:color="auto"/>
      </w:divBdr>
    </w:div>
    <w:div w:id="973170256">
      <w:bodyDiv w:val="1"/>
      <w:marLeft w:val="0"/>
      <w:marRight w:val="0"/>
      <w:marTop w:val="0"/>
      <w:marBottom w:val="0"/>
      <w:divBdr>
        <w:top w:val="none" w:sz="0" w:space="0" w:color="auto"/>
        <w:left w:val="none" w:sz="0" w:space="0" w:color="auto"/>
        <w:bottom w:val="none" w:sz="0" w:space="0" w:color="auto"/>
        <w:right w:val="none" w:sz="0" w:space="0" w:color="auto"/>
      </w:divBdr>
    </w:div>
    <w:div w:id="974527662">
      <w:bodyDiv w:val="1"/>
      <w:marLeft w:val="0"/>
      <w:marRight w:val="0"/>
      <w:marTop w:val="0"/>
      <w:marBottom w:val="0"/>
      <w:divBdr>
        <w:top w:val="none" w:sz="0" w:space="0" w:color="auto"/>
        <w:left w:val="none" w:sz="0" w:space="0" w:color="auto"/>
        <w:bottom w:val="none" w:sz="0" w:space="0" w:color="auto"/>
        <w:right w:val="none" w:sz="0" w:space="0" w:color="auto"/>
      </w:divBdr>
    </w:div>
    <w:div w:id="980764649">
      <w:bodyDiv w:val="1"/>
      <w:marLeft w:val="0"/>
      <w:marRight w:val="0"/>
      <w:marTop w:val="0"/>
      <w:marBottom w:val="0"/>
      <w:divBdr>
        <w:top w:val="none" w:sz="0" w:space="0" w:color="auto"/>
        <w:left w:val="none" w:sz="0" w:space="0" w:color="auto"/>
        <w:bottom w:val="none" w:sz="0" w:space="0" w:color="auto"/>
        <w:right w:val="none" w:sz="0" w:space="0" w:color="auto"/>
      </w:divBdr>
    </w:div>
    <w:div w:id="984316437">
      <w:bodyDiv w:val="1"/>
      <w:marLeft w:val="0"/>
      <w:marRight w:val="0"/>
      <w:marTop w:val="0"/>
      <w:marBottom w:val="0"/>
      <w:divBdr>
        <w:top w:val="none" w:sz="0" w:space="0" w:color="auto"/>
        <w:left w:val="none" w:sz="0" w:space="0" w:color="auto"/>
        <w:bottom w:val="none" w:sz="0" w:space="0" w:color="auto"/>
        <w:right w:val="none" w:sz="0" w:space="0" w:color="auto"/>
      </w:divBdr>
    </w:div>
    <w:div w:id="987124272">
      <w:bodyDiv w:val="1"/>
      <w:marLeft w:val="0"/>
      <w:marRight w:val="0"/>
      <w:marTop w:val="0"/>
      <w:marBottom w:val="0"/>
      <w:divBdr>
        <w:top w:val="none" w:sz="0" w:space="0" w:color="auto"/>
        <w:left w:val="none" w:sz="0" w:space="0" w:color="auto"/>
        <w:bottom w:val="none" w:sz="0" w:space="0" w:color="auto"/>
        <w:right w:val="none" w:sz="0" w:space="0" w:color="auto"/>
      </w:divBdr>
    </w:div>
    <w:div w:id="988284723">
      <w:bodyDiv w:val="1"/>
      <w:marLeft w:val="0"/>
      <w:marRight w:val="0"/>
      <w:marTop w:val="0"/>
      <w:marBottom w:val="0"/>
      <w:divBdr>
        <w:top w:val="none" w:sz="0" w:space="0" w:color="auto"/>
        <w:left w:val="none" w:sz="0" w:space="0" w:color="auto"/>
        <w:bottom w:val="none" w:sz="0" w:space="0" w:color="auto"/>
        <w:right w:val="none" w:sz="0" w:space="0" w:color="auto"/>
      </w:divBdr>
    </w:div>
    <w:div w:id="988481351">
      <w:bodyDiv w:val="1"/>
      <w:marLeft w:val="0"/>
      <w:marRight w:val="0"/>
      <w:marTop w:val="0"/>
      <w:marBottom w:val="0"/>
      <w:divBdr>
        <w:top w:val="none" w:sz="0" w:space="0" w:color="auto"/>
        <w:left w:val="none" w:sz="0" w:space="0" w:color="auto"/>
        <w:bottom w:val="none" w:sz="0" w:space="0" w:color="auto"/>
        <w:right w:val="none" w:sz="0" w:space="0" w:color="auto"/>
      </w:divBdr>
    </w:div>
    <w:div w:id="990984122">
      <w:bodyDiv w:val="1"/>
      <w:marLeft w:val="0"/>
      <w:marRight w:val="0"/>
      <w:marTop w:val="0"/>
      <w:marBottom w:val="0"/>
      <w:divBdr>
        <w:top w:val="none" w:sz="0" w:space="0" w:color="auto"/>
        <w:left w:val="none" w:sz="0" w:space="0" w:color="auto"/>
        <w:bottom w:val="none" w:sz="0" w:space="0" w:color="auto"/>
        <w:right w:val="none" w:sz="0" w:space="0" w:color="auto"/>
      </w:divBdr>
    </w:div>
    <w:div w:id="996298877">
      <w:bodyDiv w:val="1"/>
      <w:marLeft w:val="0"/>
      <w:marRight w:val="0"/>
      <w:marTop w:val="0"/>
      <w:marBottom w:val="0"/>
      <w:divBdr>
        <w:top w:val="none" w:sz="0" w:space="0" w:color="auto"/>
        <w:left w:val="none" w:sz="0" w:space="0" w:color="auto"/>
        <w:bottom w:val="none" w:sz="0" w:space="0" w:color="auto"/>
        <w:right w:val="none" w:sz="0" w:space="0" w:color="auto"/>
      </w:divBdr>
    </w:div>
    <w:div w:id="1001467530">
      <w:bodyDiv w:val="1"/>
      <w:marLeft w:val="0"/>
      <w:marRight w:val="0"/>
      <w:marTop w:val="0"/>
      <w:marBottom w:val="0"/>
      <w:divBdr>
        <w:top w:val="none" w:sz="0" w:space="0" w:color="auto"/>
        <w:left w:val="none" w:sz="0" w:space="0" w:color="auto"/>
        <w:bottom w:val="none" w:sz="0" w:space="0" w:color="auto"/>
        <w:right w:val="none" w:sz="0" w:space="0" w:color="auto"/>
      </w:divBdr>
    </w:div>
    <w:div w:id="1003164186">
      <w:bodyDiv w:val="1"/>
      <w:marLeft w:val="0"/>
      <w:marRight w:val="0"/>
      <w:marTop w:val="0"/>
      <w:marBottom w:val="0"/>
      <w:divBdr>
        <w:top w:val="none" w:sz="0" w:space="0" w:color="auto"/>
        <w:left w:val="none" w:sz="0" w:space="0" w:color="auto"/>
        <w:bottom w:val="none" w:sz="0" w:space="0" w:color="auto"/>
        <w:right w:val="none" w:sz="0" w:space="0" w:color="auto"/>
      </w:divBdr>
    </w:div>
    <w:div w:id="1010793041">
      <w:bodyDiv w:val="1"/>
      <w:marLeft w:val="0"/>
      <w:marRight w:val="0"/>
      <w:marTop w:val="0"/>
      <w:marBottom w:val="0"/>
      <w:divBdr>
        <w:top w:val="none" w:sz="0" w:space="0" w:color="auto"/>
        <w:left w:val="none" w:sz="0" w:space="0" w:color="auto"/>
        <w:bottom w:val="none" w:sz="0" w:space="0" w:color="auto"/>
        <w:right w:val="none" w:sz="0" w:space="0" w:color="auto"/>
      </w:divBdr>
    </w:div>
    <w:div w:id="1019039973">
      <w:bodyDiv w:val="1"/>
      <w:marLeft w:val="0"/>
      <w:marRight w:val="0"/>
      <w:marTop w:val="0"/>
      <w:marBottom w:val="0"/>
      <w:divBdr>
        <w:top w:val="none" w:sz="0" w:space="0" w:color="auto"/>
        <w:left w:val="none" w:sz="0" w:space="0" w:color="auto"/>
        <w:bottom w:val="none" w:sz="0" w:space="0" w:color="auto"/>
        <w:right w:val="none" w:sz="0" w:space="0" w:color="auto"/>
      </w:divBdr>
    </w:div>
    <w:div w:id="1022437386">
      <w:bodyDiv w:val="1"/>
      <w:marLeft w:val="0"/>
      <w:marRight w:val="0"/>
      <w:marTop w:val="0"/>
      <w:marBottom w:val="0"/>
      <w:divBdr>
        <w:top w:val="none" w:sz="0" w:space="0" w:color="auto"/>
        <w:left w:val="none" w:sz="0" w:space="0" w:color="auto"/>
        <w:bottom w:val="none" w:sz="0" w:space="0" w:color="auto"/>
        <w:right w:val="none" w:sz="0" w:space="0" w:color="auto"/>
      </w:divBdr>
    </w:div>
    <w:div w:id="1023869971">
      <w:bodyDiv w:val="1"/>
      <w:marLeft w:val="0"/>
      <w:marRight w:val="0"/>
      <w:marTop w:val="0"/>
      <w:marBottom w:val="0"/>
      <w:divBdr>
        <w:top w:val="none" w:sz="0" w:space="0" w:color="auto"/>
        <w:left w:val="none" w:sz="0" w:space="0" w:color="auto"/>
        <w:bottom w:val="none" w:sz="0" w:space="0" w:color="auto"/>
        <w:right w:val="none" w:sz="0" w:space="0" w:color="auto"/>
      </w:divBdr>
    </w:div>
    <w:div w:id="1029986320">
      <w:bodyDiv w:val="1"/>
      <w:marLeft w:val="0"/>
      <w:marRight w:val="0"/>
      <w:marTop w:val="0"/>
      <w:marBottom w:val="0"/>
      <w:divBdr>
        <w:top w:val="none" w:sz="0" w:space="0" w:color="auto"/>
        <w:left w:val="none" w:sz="0" w:space="0" w:color="auto"/>
        <w:bottom w:val="none" w:sz="0" w:space="0" w:color="auto"/>
        <w:right w:val="none" w:sz="0" w:space="0" w:color="auto"/>
      </w:divBdr>
    </w:div>
    <w:div w:id="1035498568">
      <w:bodyDiv w:val="1"/>
      <w:marLeft w:val="0"/>
      <w:marRight w:val="0"/>
      <w:marTop w:val="0"/>
      <w:marBottom w:val="0"/>
      <w:divBdr>
        <w:top w:val="none" w:sz="0" w:space="0" w:color="auto"/>
        <w:left w:val="none" w:sz="0" w:space="0" w:color="auto"/>
        <w:bottom w:val="none" w:sz="0" w:space="0" w:color="auto"/>
        <w:right w:val="none" w:sz="0" w:space="0" w:color="auto"/>
      </w:divBdr>
    </w:div>
    <w:div w:id="1038166037">
      <w:bodyDiv w:val="1"/>
      <w:marLeft w:val="0"/>
      <w:marRight w:val="0"/>
      <w:marTop w:val="0"/>
      <w:marBottom w:val="0"/>
      <w:divBdr>
        <w:top w:val="none" w:sz="0" w:space="0" w:color="auto"/>
        <w:left w:val="none" w:sz="0" w:space="0" w:color="auto"/>
        <w:bottom w:val="none" w:sz="0" w:space="0" w:color="auto"/>
        <w:right w:val="none" w:sz="0" w:space="0" w:color="auto"/>
      </w:divBdr>
    </w:div>
    <w:div w:id="1042481267">
      <w:bodyDiv w:val="1"/>
      <w:marLeft w:val="0"/>
      <w:marRight w:val="0"/>
      <w:marTop w:val="0"/>
      <w:marBottom w:val="0"/>
      <w:divBdr>
        <w:top w:val="none" w:sz="0" w:space="0" w:color="auto"/>
        <w:left w:val="none" w:sz="0" w:space="0" w:color="auto"/>
        <w:bottom w:val="none" w:sz="0" w:space="0" w:color="auto"/>
        <w:right w:val="none" w:sz="0" w:space="0" w:color="auto"/>
      </w:divBdr>
    </w:div>
    <w:div w:id="1047533265">
      <w:bodyDiv w:val="1"/>
      <w:marLeft w:val="0"/>
      <w:marRight w:val="0"/>
      <w:marTop w:val="0"/>
      <w:marBottom w:val="0"/>
      <w:divBdr>
        <w:top w:val="none" w:sz="0" w:space="0" w:color="auto"/>
        <w:left w:val="none" w:sz="0" w:space="0" w:color="auto"/>
        <w:bottom w:val="none" w:sz="0" w:space="0" w:color="auto"/>
        <w:right w:val="none" w:sz="0" w:space="0" w:color="auto"/>
      </w:divBdr>
    </w:div>
    <w:div w:id="1050029939">
      <w:bodyDiv w:val="1"/>
      <w:marLeft w:val="0"/>
      <w:marRight w:val="0"/>
      <w:marTop w:val="0"/>
      <w:marBottom w:val="0"/>
      <w:divBdr>
        <w:top w:val="none" w:sz="0" w:space="0" w:color="auto"/>
        <w:left w:val="none" w:sz="0" w:space="0" w:color="auto"/>
        <w:bottom w:val="none" w:sz="0" w:space="0" w:color="auto"/>
        <w:right w:val="none" w:sz="0" w:space="0" w:color="auto"/>
      </w:divBdr>
    </w:div>
    <w:div w:id="1052390380">
      <w:bodyDiv w:val="1"/>
      <w:marLeft w:val="0"/>
      <w:marRight w:val="0"/>
      <w:marTop w:val="0"/>
      <w:marBottom w:val="0"/>
      <w:divBdr>
        <w:top w:val="none" w:sz="0" w:space="0" w:color="auto"/>
        <w:left w:val="none" w:sz="0" w:space="0" w:color="auto"/>
        <w:bottom w:val="none" w:sz="0" w:space="0" w:color="auto"/>
        <w:right w:val="none" w:sz="0" w:space="0" w:color="auto"/>
      </w:divBdr>
    </w:div>
    <w:div w:id="1057976983">
      <w:bodyDiv w:val="1"/>
      <w:marLeft w:val="0"/>
      <w:marRight w:val="0"/>
      <w:marTop w:val="0"/>
      <w:marBottom w:val="0"/>
      <w:divBdr>
        <w:top w:val="none" w:sz="0" w:space="0" w:color="auto"/>
        <w:left w:val="none" w:sz="0" w:space="0" w:color="auto"/>
        <w:bottom w:val="none" w:sz="0" w:space="0" w:color="auto"/>
        <w:right w:val="none" w:sz="0" w:space="0" w:color="auto"/>
      </w:divBdr>
    </w:div>
    <w:div w:id="1063681166">
      <w:bodyDiv w:val="1"/>
      <w:marLeft w:val="0"/>
      <w:marRight w:val="0"/>
      <w:marTop w:val="0"/>
      <w:marBottom w:val="0"/>
      <w:divBdr>
        <w:top w:val="none" w:sz="0" w:space="0" w:color="auto"/>
        <w:left w:val="none" w:sz="0" w:space="0" w:color="auto"/>
        <w:bottom w:val="none" w:sz="0" w:space="0" w:color="auto"/>
        <w:right w:val="none" w:sz="0" w:space="0" w:color="auto"/>
      </w:divBdr>
    </w:div>
    <w:div w:id="1066220986">
      <w:bodyDiv w:val="1"/>
      <w:marLeft w:val="0"/>
      <w:marRight w:val="0"/>
      <w:marTop w:val="0"/>
      <w:marBottom w:val="0"/>
      <w:divBdr>
        <w:top w:val="none" w:sz="0" w:space="0" w:color="auto"/>
        <w:left w:val="none" w:sz="0" w:space="0" w:color="auto"/>
        <w:bottom w:val="none" w:sz="0" w:space="0" w:color="auto"/>
        <w:right w:val="none" w:sz="0" w:space="0" w:color="auto"/>
      </w:divBdr>
    </w:div>
    <w:div w:id="1070885228">
      <w:bodyDiv w:val="1"/>
      <w:marLeft w:val="0"/>
      <w:marRight w:val="0"/>
      <w:marTop w:val="0"/>
      <w:marBottom w:val="0"/>
      <w:divBdr>
        <w:top w:val="none" w:sz="0" w:space="0" w:color="auto"/>
        <w:left w:val="none" w:sz="0" w:space="0" w:color="auto"/>
        <w:bottom w:val="none" w:sz="0" w:space="0" w:color="auto"/>
        <w:right w:val="none" w:sz="0" w:space="0" w:color="auto"/>
      </w:divBdr>
    </w:div>
    <w:div w:id="1079716959">
      <w:bodyDiv w:val="1"/>
      <w:marLeft w:val="0"/>
      <w:marRight w:val="0"/>
      <w:marTop w:val="0"/>
      <w:marBottom w:val="0"/>
      <w:divBdr>
        <w:top w:val="none" w:sz="0" w:space="0" w:color="auto"/>
        <w:left w:val="none" w:sz="0" w:space="0" w:color="auto"/>
        <w:bottom w:val="none" w:sz="0" w:space="0" w:color="auto"/>
        <w:right w:val="none" w:sz="0" w:space="0" w:color="auto"/>
      </w:divBdr>
    </w:div>
    <w:div w:id="1089545559">
      <w:bodyDiv w:val="1"/>
      <w:marLeft w:val="0"/>
      <w:marRight w:val="0"/>
      <w:marTop w:val="0"/>
      <w:marBottom w:val="0"/>
      <w:divBdr>
        <w:top w:val="none" w:sz="0" w:space="0" w:color="auto"/>
        <w:left w:val="none" w:sz="0" w:space="0" w:color="auto"/>
        <w:bottom w:val="none" w:sz="0" w:space="0" w:color="auto"/>
        <w:right w:val="none" w:sz="0" w:space="0" w:color="auto"/>
      </w:divBdr>
    </w:div>
    <w:div w:id="1089616111">
      <w:bodyDiv w:val="1"/>
      <w:marLeft w:val="0"/>
      <w:marRight w:val="0"/>
      <w:marTop w:val="0"/>
      <w:marBottom w:val="0"/>
      <w:divBdr>
        <w:top w:val="none" w:sz="0" w:space="0" w:color="auto"/>
        <w:left w:val="none" w:sz="0" w:space="0" w:color="auto"/>
        <w:bottom w:val="none" w:sz="0" w:space="0" w:color="auto"/>
        <w:right w:val="none" w:sz="0" w:space="0" w:color="auto"/>
      </w:divBdr>
    </w:div>
    <w:div w:id="1091049170">
      <w:bodyDiv w:val="1"/>
      <w:marLeft w:val="0"/>
      <w:marRight w:val="0"/>
      <w:marTop w:val="0"/>
      <w:marBottom w:val="0"/>
      <w:divBdr>
        <w:top w:val="none" w:sz="0" w:space="0" w:color="auto"/>
        <w:left w:val="none" w:sz="0" w:space="0" w:color="auto"/>
        <w:bottom w:val="none" w:sz="0" w:space="0" w:color="auto"/>
        <w:right w:val="none" w:sz="0" w:space="0" w:color="auto"/>
      </w:divBdr>
    </w:div>
    <w:div w:id="1092437769">
      <w:bodyDiv w:val="1"/>
      <w:marLeft w:val="0"/>
      <w:marRight w:val="0"/>
      <w:marTop w:val="0"/>
      <w:marBottom w:val="0"/>
      <w:divBdr>
        <w:top w:val="none" w:sz="0" w:space="0" w:color="auto"/>
        <w:left w:val="none" w:sz="0" w:space="0" w:color="auto"/>
        <w:bottom w:val="none" w:sz="0" w:space="0" w:color="auto"/>
        <w:right w:val="none" w:sz="0" w:space="0" w:color="auto"/>
      </w:divBdr>
    </w:div>
    <w:div w:id="1098284755">
      <w:bodyDiv w:val="1"/>
      <w:marLeft w:val="0"/>
      <w:marRight w:val="0"/>
      <w:marTop w:val="0"/>
      <w:marBottom w:val="0"/>
      <w:divBdr>
        <w:top w:val="none" w:sz="0" w:space="0" w:color="auto"/>
        <w:left w:val="none" w:sz="0" w:space="0" w:color="auto"/>
        <w:bottom w:val="none" w:sz="0" w:space="0" w:color="auto"/>
        <w:right w:val="none" w:sz="0" w:space="0" w:color="auto"/>
      </w:divBdr>
    </w:div>
    <w:div w:id="1102069697">
      <w:bodyDiv w:val="1"/>
      <w:marLeft w:val="0"/>
      <w:marRight w:val="0"/>
      <w:marTop w:val="0"/>
      <w:marBottom w:val="0"/>
      <w:divBdr>
        <w:top w:val="none" w:sz="0" w:space="0" w:color="auto"/>
        <w:left w:val="none" w:sz="0" w:space="0" w:color="auto"/>
        <w:bottom w:val="none" w:sz="0" w:space="0" w:color="auto"/>
        <w:right w:val="none" w:sz="0" w:space="0" w:color="auto"/>
      </w:divBdr>
    </w:div>
    <w:div w:id="1104809212">
      <w:bodyDiv w:val="1"/>
      <w:marLeft w:val="0"/>
      <w:marRight w:val="0"/>
      <w:marTop w:val="0"/>
      <w:marBottom w:val="0"/>
      <w:divBdr>
        <w:top w:val="none" w:sz="0" w:space="0" w:color="auto"/>
        <w:left w:val="none" w:sz="0" w:space="0" w:color="auto"/>
        <w:bottom w:val="none" w:sz="0" w:space="0" w:color="auto"/>
        <w:right w:val="none" w:sz="0" w:space="0" w:color="auto"/>
      </w:divBdr>
    </w:div>
    <w:div w:id="1107118103">
      <w:bodyDiv w:val="1"/>
      <w:marLeft w:val="0"/>
      <w:marRight w:val="0"/>
      <w:marTop w:val="0"/>
      <w:marBottom w:val="0"/>
      <w:divBdr>
        <w:top w:val="none" w:sz="0" w:space="0" w:color="auto"/>
        <w:left w:val="none" w:sz="0" w:space="0" w:color="auto"/>
        <w:bottom w:val="none" w:sz="0" w:space="0" w:color="auto"/>
        <w:right w:val="none" w:sz="0" w:space="0" w:color="auto"/>
      </w:divBdr>
    </w:div>
    <w:div w:id="1120493200">
      <w:bodyDiv w:val="1"/>
      <w:marLeft w:val="0"/>
      <w:marRight w:val="0"/>
      <w:marTop w:val="0"/>
      <w:marBottom w:val="0"/>
      <w:divBdr>
        <w:top w:val="none" w:sz="0" w:space="0" w:color="auto"/>
        <w:left w:val="none" w:sz="0" w:space="0" w:color="auto"/>
        <w:bottom w:val="none" w:sz="0" w:space="0" w:color="auto"/>
        <w:right w:val="none" w:sz="0" w:space="0" w:color="auto"/>
      </w:divBdr>
    </w:div>
    <w:div w:id="1121456501">
      <w:bodyDiv w:val="1"/>
      <w:marLeft w:val="0"/>
      <w:marRight w:val="0"/>
      <w:marTop w:val="0"/>
      <w:marBottom w:val="0"/>
      <w:divBdr>
        <w:top w:val="none" w:sz="0" w:space="0" w:color="auto"/>
        <w:left w:val="none" w:sz="0" w:space="0" w:color="auto"/>
        <w:bottom w:val="none" w:sz="0" w:space="0" w:color="auto"/>
        <w:right w:val="none" w:sz="0" w:space="0" w:color="auto"/>
      </w:divBdr>
    </w:div>
    <w:div w:id="1131557941">
      <w:bodyDiv w:val="1"/>
      <w:marLeft w:val="0"/>
      <w:marRight w:val="0"/>
      <w:marTop w:val="0"/>
      <w:marBottom w:val="0"/>
      <w:divBdr>
        <w:top w:val="none" w:sz="0" w:space="0" w:color="auto"/>
        <w:left w:val="none" w:sz="0" w:space="0" w:color="auto"/>
        <w:bottom w:val="none" w:sz="0" w:space="0" w:color="auto"/>
        <w:right w:val="none" w:sz="0" w:space="0" w:color="auto"/>
      </w:divBdr>
    </w:div>
    <w:div w:id="1131744999">
      <w:bodyDiv w:val="1"/>
      <w:marLeft w:val="0"/>
      <w:marRight w:val="0"/>
      <w:marTop w:val="0"/>
      <w:marBottom w:val="0"/>
      <w:divBdr>
        <w:top w:val="none" w:sz="0" w:space="0" w:color="auto"/>
        <w:left w:val="none" w:sz="0" w:space="0" w:color="auto"/>
        <w:bottom w:val="none" w:sz="0" w:space="0" w:color="auto"/>
        <w:right w:val="none" w:sz="0" w:space="0" w:color="auto"/>
      </w:divBdr>
    </w:div>
    <w:div w:id="1137381357">
      <w:bodyDiv w:val="1"/>
      <w:marLeft w:val="0"/>
      <w:marRight w:val="0"/>
      <w:marTop w:val="0"/>
      <w:marBottom w:val="0"/>
      <w:divBdr>
        <w:top w:val="none" w:sz="0" w:space="0" w:color="auto"/>
        <w:left w:val="none" w:sz="0" w:space="0" w:color="auto"/>
        <w:bottom w:val="none" w:sz="0" w:space="0" w:color="auto"/>
        <w:right w:val="none" w:sz="0" w:space="0" w:color="auto"/>
      </w:divBdr>
    </w:div>
    <w:div w:id="1141653502">
      <w:bodyDiv w:val="1"/>
      <w:marLeft w:val="0"/>
      <w:marRight w:val="0"/>
      <w:marTop w:val="0"/>
      <w:marBottom w:val="0"/>
      <w:divBdr>
        <w:top w:val="none" w:sz="0" w:space="0" w:color="auto"/>
        <w:left w:val="none" w:sz="0" w:space="0" w:color="auto"/>
        <w:bottom w:val="none" w:sz="0" w:space="0" w:color="auto"/>
        <w:right w:val="none" w:sz="0" w:space="0" w:color="auto"/>
      </w:divBdr>
    </w:div>
    <w:div w:id="1146356951">
      <w:bodyDiv w:val="1"/>
      <w:marLeft w:val="0"/>
      <w:marRight w:val="0"/>
      <w:marTop w:val="0"/>
      <w:marBottom w:val="0"/>
      <w:divBdr>
        <w:top w:val="none" w:sz="0" w:space="0" w:color="auto"/>
        <w:left w:val="none" w:sz="0" w:space="0" w:color="auto"/>
        <w:bottom w:val="none" w:sz="0" w:space="0" w:color="auto"/>
        <w:right w:val="none" w:sz="0" w:space="0" w:color="auto"/>
      </w:divBdr>
    </w:div>
    <w:div w:id="1147630070">
      <w:bodyDiv w:val="1"/>
      <w:marLeft w:val="0"/>
      <w:marRight w:val="0"/>
      <w:marTop w:val="0"/>
      <w:marBottom w:val="0"/>
      <w:divBdr>
        <w:top w:val="none" w:sz="0" w:space="0" w:color="auto"/>
        <w:left w:val="none" w:sz="0" w:space="0" w:color="auto"/>
        <w:bottom w:val="none" w:sz="0" w:space="0" w:color="auto"/>
        <w:right w:val="none" w:sz="0" w:space="0" w:color="auto"/>
      </w:divBdr>
    </w:div>
    <w:div w:id="1150444286">
      <w:bodyDiv w:val="1"/>
      <w:marLeft w:val="0"/>
      <w:marRight w:val="0"/>
      <w:marTop w:val="0"/>
      <w:marBottom w:val="0"/>
      <w:divBdr>
        <w:top w:val="none" w:sz="0" w:space="0" w:color="auto"/>
        <w:left w:val="none" w:sz="0" w:space="0" w:color="auto"/>
        <w:bottom w:val="none" w:sz="0" w:space="0" w:color="auto"/>
        <w:right w:val="none" w:sz="0" w:space="0" w:color="auto"/>
      </w:divBdr>
    </w:div>
    <w:div w:id="1158421426">
      <w:bodyDiv w:val="1"/>
      <w:marLeft w:val="0"/>
      <w:marRight w:val="0"/>
      <w:marTop w:val="0"/>
      <w:marBottom w:val="0"/>
      <w:divBdr>
        <w:top w:val="none" w:sz="0" w:space="0" w:color="auto"/>
        <w:left w:val="none" w:sz="0" w:space="0" w:color="auto"/>
        <w:bottom w:val="none" w:sz="0" w:space="0" w:color="auto"/>
        <w:right w:val="none" w:sz="0" w:space="0" w:color="auto"/>
      </w:divBdr>
    </w:div>
    <w:div w:id="1161389987">
      <w:bodyDiv w:val="1"/>
      <w:marLeft w:val="0"/>
      <w:marRight w:val="0"/>
      <w:marTop w:val="0"/>
      <w:marBottom w:val="0"/>
      <w:divBdr>
        <w:top w:val="none" w:sz="0" w:space="0" w:color="auto"/>
        <w:left w:val="none" w:sz="0" w:space="0" w:color="auto"/>
        <w:bottom w:val="none" w:sz="0" w:space="0" w:color="auto"/>
        <w:right w:val="none" w:sz="0" w:space="0" w:color="auto"/>
      </w:divBdr>
    </w:div>
    <w:div w:id="1166245569">
      <w:bodyDiv w:val="1"/>
      <w:marLeft w:val="0"/>
      <w:marRight w:val="0"/>
      <w:marTop w:val="0"/>
      <w:marBottom w:val="0"/>
      <w:divBdr>
        <w:top w:val="none" w:sz="0" w:space="0" w:color="auto"/>
        <w:left w:val="none" w:sz="0" w:space="0" w:color="auto"/>
        <w:bottom w:val="none" w:sz="0" w:space="0" w:color="auto"/>
        <w:right w:val="none" w:sz="0" w:space="0" w:color="auto"/>
      </w:divBdr>
    </w:div>
    <w:div w:id="1171674071">
      <w:bodyDiv w:val="1"/>
      <w:marLeft w:val="0"/>
      <w:marRight w:val="0"/>
      <w:marTop w:val="0"/>
      <w:marBottom w:val="0"/>
      <w:divBdr>
        <w:top w:val="none" w:sz="0" w:space="0" w:color="auto"/>
        <w:left w:val="none" w:sz="0" w:space="0" w:color="auto"/>
        <w:bottom w:val="none" w:sz="0" w:space="0" w:color="auto"/>
        <w:right w:val="none" w:sz="0" w:space="0" w:color="auto"/>
      </w:divBdr>
    </w:div>
    <w:div w:id="1172141857">
      <w:bodyDiv w:val="1"/>
      <w:marLeft w:val="0"/>
      <w:marRight w:val="0"/>
      <w:marTop w:val="0"/>
      <w:marBottom w:val="0"/>
      <w:divBdr>
        <w:top w:val="none" w:sz="0" w:space="0" w:color="auto"/>
        <w:left w:val="none" w:sz="0" w:space="0" w:color="auto"/>
        <w:bottom w:val="none" w:sz="0" w:space="0" w:color="auto"/>
        <w:right w:val="none" w:sz="0" w:space="0" w:color="auto"/>
      </w:divBdr>
    </w:div>
    <w:div w:id="1183321610">
      <w:bodyDiv w:val="1"/>
      <w:marLeft w:val="0"/>
      <w:marRight w:val="0"/>
      <w:marTop w:val="0"/>
      <w:marBottom w:val="0"/>
      <w:divBdr>
        <w:top w:val="none" w:sz="0" w:space="0" w:color="auto"/>
        <w:left w:val="none" w:sz="0" w:space="0" w:color="auto"/>
        <w:bottom w:val="none" w:sz="0" w:space="0" w:color="auto"/>
        <w:right w:val="none" w:sz="0" w:space="0" w:color="auto"/>
      </w:divBdr>
    </w:div>
    <w:div w:id="1188836614">
      <w:bodyDiv w:val="1"/>
      <w:marLeft w:val="0"/>
      <w:marRight w:val="0"/>
      <w:marTop w:val="0"/>
      <w:marBottom w:val="0"/>
      <w:divBdr>
        <w:top w:val="none" w:sz="0" w:space="0" w:color="auto"/>
        <w:left w:val="none" w:sz="0" w:space="0" w:color="auto"/>
        <w:bottom w:val="none" w:sz="0" w:space="0" w:color="auto"/>
        <w:right w:val="none" w:sz="0" w:space="0" w:color="auto"/>
      </w:divBdr>
    </w:div>
    <w:div w:id="1189172974">
      <w:bodyDiv w:val="1"/>
      <w:marLeft w:val="0"/>
      <w:marRight w:val="0"/>
      <w:marTop w:val="0"/>
      <w:marBottom w:val="0"/>
      <w:divBdr>
        <w:top w:val="none" w:sz="0" w:space="0" w:color="auto"/>
        <w:left w:val="none" w:sz="0" w:space="0" w:color="auto"/>
        <w:bottom w:val="none" w:sz="0" w:space="0" w:color="auto"/>
        <w:right w:val="none" w:sz="0" w:space="0" w:color="auto"/>
      </w:divBdr>
    </w:div>
    <w:div w:id="1194806940">
      <w:bodyDiv w:val="1"/>
      <w:marLeft w:val="0"/>
      <w:marRight w:val="0"/>
      <w:marTop w:val="0"/>
      <w:marBottom w:val="0"/>
      <w:divBdr>
        <w:top w:val="none" w:sz="0" w:space="0" w:color="auto"/>
        <w:left w:val="none" w:sz="0" w:space="0" w:color="auto"/>
        <w:bottom w:val="none" w:sz="0" w:space="0" w:color="auto"/>
        <w:right w:val="none" w:sz="0" w:space="0" w:color="auto"/>
      </w:divBdr>
    </w:div>
    <w:div w:id="1198199637">
      <w:bodyDiv w:val="1"/>
      <w:marLeft w:val="0"/>
      <w:marRight w:val="0"/>
      <w:marTop w:val="0"/>
      <w:marBottom w:val="0"/>
      <w:divBdr>
        <w:top w:val="none" w:sz="0" w:space="0" w:color="auto"/>
        <w:left w:val="none" w:sz="0" w:space="0" w:color="auto"/>
        <w:bottom w:val="none" w:sz="0" w:space="0" w:color="auto"/>
        <w:right w:val="none" w:sz="0" w:space="0" w:color="auto"/>
      </w:divBdr>
    </w:div>
    <w:div w:id="1198469489">
      <w:bodyDiv w:val="1"/>
      <w:marLeft w:val="0"/>
      <w:marRight w:val="0"/>
      <w:marTop w:val="0"/>
      <w:marBottom w:val="0"/>
      <w:divBdr>
        <w:top w:val="none" w:sz="0" w:space="0" w:color="auto"/>
        <w:left w:val="none" w:sz="0" w:space="0" w:color="auto"/>
        <w:bottom w:val="none" w:sz="0" w:space="0" w:color="auto"/>
        <w:right w:val="none" w:sz="0" w:space="0" w:color="auto"/>
      </w:divBdr>
    </w:div>
    <w:div w:id="1200775105">
      <w:bodyDiv w:val="1"/>
      <w:marLeft w:val="0"/>
      <w:marRight w:val="0"/>
      <w:marTop w:val="0"/>
      <w:marBottom w:val="0"/>
      <w:divBdr>
        <w:top w:val="none" w:sz="0" w:space="0" w:color="auto"/>
        <w:left w:val="none" w:sz="0" w:space="0" w:color="auto"/>
        <w:bottom w:val="none" w:sz="0" w:space="0" w:color="auto"/>
        <w:right w:val="none" w:sz="0" w:space="0" w:color="auto"/>
      </w:divBdr>
    </w:div>
    <w:div w:id="1209604995">
      <w:bodyDiv w:val="1"/>
      <w:marLeft w:val="0"/>
      <w:marRight w:val="0"/>
      <w:marTop w:val="0"/>
      <w:marBottom w:val="0"/>
      <w:divBdr>
        <w:top w:val="none" w:sz="0" w:space="0" w:color="auto"/>
        <w:left w:val="none" w:sz="0" w:space="0" w:color="auto"/>
        <w:bottom w:val="none" w:sz="0" w:space="0" w:color="auto"/>
        <w:right w:val="none" w:sz="0" w:space="0" w:color="auto"/>
      </w:divBdr>
    </w:div>
    <w:div w:id="1219125560">
      <w:bodyDiv w:val="1"/>
      <w:marLeft w:val="0"/>
      <w:marRight w:val="0"/>
      <w:marTop w:val="0"/>
      <w:marBottom w:val="0"/>
      <w:divBdr>
        <w:top w:val="none" w:sz="0" w:space="0" w:color="auto"/>
        <w:left w:val="none" w:sz="0" w:space="0" w:color="auto"/>
        <w:bottom w:val="none" w:sz="0" w:space="0" w:color="auto"/>
        <w:right w:val="none" w:sz="0" w:space="0" w:color="auto"/>
      </w:divBdr>
    </w:div>
    <w:div w:id="1222015967">
      <w:bodyDiv w:val="1"/>
      <w:marLeft w:val="0"/>
      <w:marRight w:val="0"/>
      <w:marTop w:val="0"/>
      <w:marBottom w:val="0"/>
      <w:divBdr>
        <w:top w:val="none" w:sz="0" w:space="0" w:color="auto"/>
        <w:left w:val="none" w:sz="0" w:space="0" w:color="auto"/>
        <w:bottom w:val="none" w:sz="0" w:space="0" w:color="auto"/>
        <w:right w:val="none" w:sz="0" w:space="0" w:color="auto"/>
      </w:divBdr>
    </w:div>
    <w:div w:id="1230382080">
      <w:bodyDiv w:val="1"/>
      <w:marLeft w:val="0"/>
      <w:marRight w:val="0"/>
      <w:marTop w:val="0"/>
      <w:marBottom w:val="0"/>
      <w:divBdr>
        <w:top w:val="none" w:sz="0" w:space="0" w:color="auto"/>
        <w:left w:val="none" w:sz="0" w:space="0" w:color="auto"/>
        <w:bottom w:val="none" w:sz="0" w:space="0" w:color="auto"/>
        <w:right w:val="none" w:sz="0" w:space="0" w:color="auto"/>
      </w:divBdr>
    </w:div>
    <w:div w:id="1232811820">
      <w:bodyDiv w:val="1"/>
      <w:marLeft w:val="0"/>
      <w:marRight w:val="0"/>
      <w:marTop w:val="0"/>
      <w:marBottom w:val="0"/>
      <w:divBdr>
        <w:top w:val="none" w:sz="0" w:space="0" w:color="auto"/>
        <w:left w:val="none" w:sz="0" w:space="0" w:color="auto"/>
        <w:bottom w:val="none" w:sz="0" w:space="0" w:color="auto"/>
        <w:right w:val="none" w:sz="0" w:space="0" w:color="auto"/>
      </w:divBdr>
    </w:div>
    <w:div w:id="1233661265">
      <w:bodyDiv w:val="1"/>
      <w:marLeft w:val="0"/>
      <w:marRight w:val="0"/>
      <w:marTop w:val="0"/>
      <w:marBottom w:val="0"/>
      <w:divBdr>
        <w:top w:val="none" w:sz="0" w:space="0" w:color="auto"/>
        <w:left w:val="none" w:sz="0" w:space="0" w:color="auto"/>
        <w:bottom w:val="none" w:sz="0" w:space="0" w:color="auto"/>
        <w:right w:val="none" w:sz="0" w:space="0" w:color="auto"/>
      </w:divBdr>
    </w:div>
    <w:div w:id="1234193288">
      <w:bodyDiv w:val="1"/>
      <w:marLeft w:val="0"/>
      <w:marRight w:val="0"/>
      <w:marTop w:val="0"/>
      <w:marBottom w:val="0"/>
      <w:divBdr>
        <w:top w:val="none" w:sz="0" w:space="0" w:color="auto"/>
        <w:left w:val="none" w:sz="0" w:space="0" w:color="auto"/>
        <w:bottom w:val="none" w:sz="0" w:space="0" w:color="auto"/>
        <w:right w:val="none" w:sz="0" w:space="0" w:color="auto"/>
      </w:divBdr>
    </w:div>
    <w:div w:id="1234973777">
      <w:bodyDiv w:val="1"/>
      <w:marLeft w:val="0"/>
      <w:marRight w:val="0"/>
      <w:marTop w:val="0"/>
      <w:marBottom w:val="0"/>
      <w:divBdr>
        <w:top w:val="none" w:sz="0" w:space="0" w:color="auto"/>
        <w:left w:val="none" w:sz="0" w:space="0" w:color="auto"/>
        <w:bottom w:val="none" w:sz="0" w:space="0" w:color="auto"/>
        <w:right w:val="none" w:sz="0" w:space="0" w:color="auto"/>
      </w:divBdr>
    </w:div>
    <w:div w:id="1244947888">
      <w:bodyDiv w:val="1"/>
      <w:marLeft w:val="0"/>
      <w:marRight w:val="0"/>
      <w:marTop w:val="0"/>
      <w:marBottom w:val="0"/>
      <w:divBdr>
        <w:top w:val="none" w:sz="0" w:space="0" w:color="auto"/>
        <w:left w:val="none" w:sz="0" w:space="0" w:color="auto"/>
        <w:bottom w:val="none" w:sz="0" w:space="0" w:color="auto"/>
        <w:right w:val="none" w:sz="0" w:space="0" w:color="auto"/>
      </w:divBdr>
    </w:div>
    <w:div w:id="1245459602">
      <w:bodyDiv w:val="1"/>
      <w:marLeft w:val="0"/>
      <w:marRight w:val="0"/>
      <w:marTop w:val="0"/>
      <w:marBottom w:val="0"/>
      <w:divBdr>
        <w:top w:val="none" w:sz="0" w:space="0" w:color="auto"/>
        <w:left w:val="none" w:sz="0" w:space="0" w:color="auto"/>
        <w:bottom w:val="none" w:sz="0" w:space="0" w:color="auto"/>
        <w:right w:val="none" w:sz="0" w:space="0" w:color="auto"/>
      </w:divBdr>
    </w:div>
    <w:div w:id="1246183585">
      <w:bodyDiv w:val="1"/>
      <w:marLeft w:val="0"/>
      <w:marRight w:val="0"/>
      <w:marTop w:val="0"/>
      <w:marBottom w:val="0"/>
      <w:divBdr>
        <w:top w:val="none" w:sz="0" w:space="0" w:color="auto"/>
        <w:left w:val="none" w:sz="0" w:space="0" w:color="auto"/>
        <w:bottom w:val="none" w:sz="0" w:space="0" w:color="auto"/>
        <w:right w:val="none" w:sz="0" w:space="0" w:color="auto"/>
      </w:divBdr>
    </w:div>
    <w:div w:id="1248660705">
      <w:bodyDiv w:val="1"/>
      <w:marLeft w:val="0"/>
      <w:marRight w:val="0"/>
      <w:marTop w:val="0"/>
      <w:marBottom w:val="0"/>
      <w:divBdr>
        <w:top w:val="none" w:sz="0" w:space="0" w:color="auto"/>
        <w:left w:val="none" w:sz="0" w:space="0" w:color="auto"/>
        <w:bottom w:val="none" w:sz="0" w:space="0" w:color="auto"/>
        <w:right w:val="none" w:sz="0" w:space="0" w:color="auto"/>
      </w:divBdr>
    </w:div>
    <w:div w:id="1251233064">
      <w:bodyDiv w:val="1"/>
      <w:marLeft w:val="0"/>
      <w:marRight w:val="0"/>
      <w:marTop w:val="0"/>
      <w:marBottom w:val="0"/>
      <w:divBdr>
        <w:top w:val="none" w:sz="0" w:space="0" w:color="auto"/>
        <w:left w:val="none" w:sz="0" w:space="0" w:color="auto"/>
        <w:bottom w:val="none" w:sz="0" w:space="0" w:color="auto"/>
        <w:right w:val="none" w:sz="0" w:space="0" w:color="auto"/>
      </w:divBdr>
    </w:div>
    <w:div w:id="1253200837">
      <w:bodyDiv w:val="1"/>
      <w:marLeft w:val="0"/>
      <w:marRight w:val="0"/>
      <w:marTop w:val="0"/>
      <w:marBottom w:val="0"/>
      <w:divBdr>
        <w:top w:val="none" w:sz="0" w:space="0" w:color="auto"/>
        <w:left w:val="none" w:sz="0" w:space="0" w:color="auto"/>
        <w:bottom w:val="none" w:sz="0" w:space="0" w:color="auto"/>
        <w:right w:val="none" w:sz="0" w:space="0" w:color="auto"/>
      </w:divBdr>
    </w:div>
    <w:div w:id="1258978782">
      <w:bodyDiv w:val="1"/>
      <w:marLeft w:val="0"/>
      <w:marRight w:val="0"/>
      <w:marTop w:val="0"/>
      <w:marBottom w:val="0"/>
      <w:divBdr>
        <w:top w:val="none" w:sz="0" w:space="0" w:color="auto"/>
        <w:left w:val="none" w:sz="0" w:space="0" w:color="auto"/>
        <w:bottom w:val="none" w:sz="0" w:space="0" w:color="auto"/>
        <w:right w:val="none" w:sz="0" w:space="0" w:color="auto"/>
      </w:divBdr>
    </w:div>
    <w:div w:id="1260526557">
      <w:bodyDiv w:val="1"/>
      <w:marLeft w:val="0"/>
      <w:marRight w:val="0"/>
      <w:marTop w:val="0"/>
      <w:marBottom w:val="0"/>
      <w:divBdr>
        <w:top w:val="none" w:sz="0" w:space="0" w:color="auto"/>
        <w:left w:val="none" w:sz="0" w:space="0" w:color="auto"/>
        <w:bottom w:val="none" w:sz="0" w:space="0" w:color="auto"/>
        <w:right w:val="none" w:sz="0" w:space="0" w:color="auto"/>
      </w:divBdr>
    </w:div>
    <w:div w:id="1261765170">
      <w:bodyDiv w:val="1"/>
      <w:marLeft w:val="0"/>
      <w:marRight w:val="0"/>
      <w:marTop w:val="0"/>
      <w:marBottom w:val="0"/>
      <w:divBdr>
        <w:top w:val="none" w:sz="0" w:space="0" w:color="auto"/>
        <w:left w:val="none" w:sz="0" w:space="0" w:color="auto"/>
        <w:bottom w:val="none" w:sz="0" w:space="0" w:color="auto"/>
        <w:right w:val="none" w:sz="0" w:space="0" w:color="auto"/>
      </w:divBdr>
    </w:div>
    <w:div w:id="1264267596">
      <w:bodyDiv w:val="1"/>
      <w:marLeft w:val="0"/>
      <w:marRight w:val="0"/>
      <w:marTop w:val="0"/>
      <w:marBottom w:val="0"/>
      <w:divBdr>
        <w:top w:val="none" w:sz="0" w:space="0" w:color="auto"/>
        <w:left w:val="none" w:sz="0" w:space="0" w:color="auto"/>
        <w:bottom w:val="none" w:sz="0" w:space="0" w:color="auto"/>
        <w:right w:val="none" w:sz="0" w:space="0" w:color="auto"/>
      </w:divBdr>
    </w:div>
    <w:div w:id="1265845567">
      <w:bodyDiv w:val="1"/>
      <w:marLeft w:val="0"/>
      <w:marRight w:val="0"/>
      <w:marTop w:val="0"/>
      <w:marBottom w:val="0"/>
      <w:divBdr>
        <w:top w:val="none" w:sz="0" w:space="0" w:color="auto"/>
        <w:left w:val="none" w:sz="0" w:space="0" w:color="auto"/>
        <w:bottom w:val="none" w:sz="0" w:space="0" w:color="auto"/>
        <w:right w:val="none" w:sz="0" w:space="0" w:color="auto"/>
      </w:divBdr>
    </w:div>
    <w:div w:id="1267159190">
      <w:bodyDiv w:val="1"/>
      <w:marLeft w:val="0"/>
      <w:marRight w:val="0"/>
      <w:marTop w:val="0"/>
      <w:marBottom w:val="0"/>
      <w:divBdr>
        <w:top w:val="none" w:sz="0" w:space="0" w:color="auto"/>
        <w:left w:val="none" w:sz="0" w:space="0" w:color="auto"/>
        <w:bottom w:val="none" w:sz="0" w:space="0" w:color="auto"/>
        <w:right w:val="none" w:sz="0" w:space="0" w:color="auto"/>
      </w:divBdr>
    </w:div>
    <w:div w:id="1267227431">
      <w:bodyDiv w:val="1"/>
      <w:marLeft w:val="0"/>
      <w:marRight w:val="0"/>
      <w:marTop w:val="0"/>
      <w:marBottom w:val="0"/>
      <w:divBdr>
        <w:top w:val="none" w:sz="0" w:space="0" w:color="auto"/>
        <w:left w:val="none" w:sz="0" w:space="0" w:color="auto"/>
        <w:bottom w:val="none" w:sz="0" w:space="0" w:color="auto"/>
        <w:right w:val="none" w:sz="0" w:space="0" w:color="auto"/>
      </w:divBdr>
    </w:div>
    <w:div w:id="1267538846">
      <w:bodyDiv w:val="1"/>
      <w:marLeft w:val="0"/>
      <w:marRight w:val="0"/>
      <w:marTop w:val="0"/>
      <w:marBottom w:val="0"/>
      <w:divBdr>
        <w:top w:val="none" w:sz="0" w:space="0" w:color="auto"/>
        <w:left w:val="none" w:sz="0" w:space="0" w:color="auto"/>
        <w:bottom w:val="none" w:sz="0" w:space="0" w:color="auto"/>
        <w:right w:val="none" w:sz="0" w:space="0" w:color="auto"/>
      </w:divBdr>
    </w:div>
    <w:div w:id="1275939495">
      <w:bodyDiv w:val="1"/>
      <w:marLeft w:val="0"/>
      <w:marRight w:val="0"/>
      <w:marTop w:val="0"/>
      <w:marBottom w:val="0"/>
      <w:divBdr>
        <w:top w:val="none" w:sz="0" w:space="0" w:color="auto"/>
        <w:left w:val="none" w:sz="0" w:space="0" w:color="auto"/>
        <w:bottom w:val="none" w:sz="0" w:space="0" w:color="auto"/>
        <w:right w:val="none" w:sz="0" w:space="0" w:color="auto"/>
      </w:divBdr>
    </w:div>
    <w:div w:id="1280837641">
      <w:bodyDiv w:val="1"/>
      <w:marLeft w:val="0"/>
      <w:marRight w:val="0"/>
      <w:marTop w:val="0"/>
      <w:marBottom w:val="0"/>
      <w:divBdr>
        <w:top w:val="none" w:sz="0" w:space="0" w:color="auto"/>
        <w:left w:val="none" w:sz="0" w:space="0" w:color="auto"/>
        <w:bottom w:val="none" w:sz="0" w:space="0" w:color="auto"/>
        <w:right w:val="none" w:sz="0" w:space="0" w:color="auto"/>
      </w:divBdr>
    </w:div>
    <w:div w:id="1284002664">
      <w:bodyDiv w:val="1"/>
      <w:marLeft w:val="0"/>
      <w:marRight w:val="0"/>
      <w:marTop w:val="0"/>
      <w:marBottom w:val="0"/>
      <w:divBdr>
        <w:top w:val="none" w:sz="0" w:space="0" w:color="auto"/>
        <w:left w:val="none" w:sz="0" w:space="0" w:color="auto"/>
        <w:bottom w:val="none" w:sz="0" w:space="0" w:color="auto"/>
        <w:right w:val="none" w:sz="0" w:space="0" w:color="auto"/>
      </w:divBdr>
    </w:div>
    <w:div w:id="1288854917">
      <w:bodyDiv w:val="1"/>
      <w:marLeft w:val="0"/>
      <w:marRight w:val="0"/>
      <w:marTop w:val="0"/>
      <w:marBottom w:val="0"/>
      <w:divBdr>
        <w:top w:val="none" w:sz="0" w:space="0" w:color="auto"/>
        <w:left w:val="none" w:sz="0" w:space="0" w:color="auto"/>
        <w:bottom w:val="none" w:sz="0" w:space="0" w:color="auto"/>
        <w:right w:val="none" w:sz="0" w:space="0" w:color="auto"/>
      </w:divBdr>
    </w:div>
    <w:div w:id="1311447523">
      <w:bodyDiv w:val="1"/>
      <w:marLeft w:val="0"/>
      <w:marRight w:val="0"/>
      <w:marTop w:val="0"/>
      <w:marBottom w:val="0"/>
      <w:divBdr>
        <w:top w:val="none" w:sz="0" w:space="0" w:color="auto"/>
        <w:left w:val="none" w:sz="0" w:space="0" w:color="auto"/>
        <w:bottom w:val="none" w:sz="0" w:space="0" w:color="auto"/>
        <w:right w:val="none" w:sz="0" w:space="0" w:color="auto"/>
      </w:divBdr>
    </w:div>
    <w:div w:id="1324243265">
      <w:bodyDiv w:val="1"/>
      <w:marLeft w:val="0"/>
      <w:marRight w:val="0"/>
      <w:marTop w:val="0"/>
      <w:marBottom w:val="0"/>
      <w:divBdr>
        <w:top w:val="none" w:sz="0" w:space="0" w:color="auto"/>
        <w:left w:val="none" w:sz="0" w:space="0" w:color="auto"/>
        <w:bottom w:val="none" w:sz="0" w:space="0" w:color="auto"/>
        <w:right w:val="none" w:sz="0" w:space="0" w:color="auto"/>
      </w:divBdr>
    </w:div>
    <w:div w:id="1327397218">
      <w:bodyDiv w:val="1"/>
      <w:marLeft w:val="0"/>
      <w:marRight w:val="0"/>
      <w:marTop w:val="0"/>
      <w:marBottom w:val="0"/>
      <w:divBdr>
        <w:top w:val="none" w:sz="0" w:space="0" w:color="auto"/>
        <w:left w:val="none" w:sz="0" w:space="0" w:color="auto"/>
        <w:bottom w:val="none" w:sz="0" w:space="0" w:color="auto"/>
        <w:right w:val="none" w:sz="0" w:space="0" w:color="auto"/>
      </w:divBdr>
    </w:div>
    <w:div w:id="1329288105">
      <w:bodyDiv w:val="1"/>
      <w:marLeft w:val="0"/>
      <w:marRight w:val="0"/>
      <w:marTop w:val="0"/>
      <w:marBottom w:val="0"/>
      <w:divBdr>
        <w:top w:val="none" w:sz="0" w:space="0" w:color="auto"/>
        <w:left w:val="none" w:sz="0" w:space="0" w:color="auto"/>
        <w:bottom w:val="none" w:sz="0" w:space="0" w:color="auto"/>
        <w:right w:val="none" w:sz="0" w:space="0" w:color="auto"/>
      </w:divBdr>
    </w:div>
    <w:div w:id="1330793060">
      <w:bodyDiv w:val="1"/>
      <w:marLeft w:val="0"/>
      <w:marRight w:val="0"/>
      <w:marTop w:val="0"/>
      <w:marBottom w:val="0"/>
      <w:divBdr>
        <w:top w:val="none" w:sz="0" w:space="0" w:color="auto"/>
        <w:left w:val="none" w:sz="0" w:space="0" w:color="auto"/>
        <w:bottom w:val="none" w:sz="0" w:space="0" w:color="auto"/>
        <w:right w:val="none" w:sz="0" w:space="0" w:color="auto"/>
      </w:divBdr>
    </w:div>
    <w:div w:id="1344865856">
      <w:bodyDiv w:val="1"/>
      <w:marLeft w:val="0"/>
      <w:marRight w:val="0"/>
      <w:marTop w:val="0"/>
      <w:marBottom w:val="0"/>
      <w:divBdr>
        <w:top w:val="none" w:sz="0" w:space="0" w:color="auto"/>
        <w:left w:val="none" w:sz="0" w:space="0" w:color="auto"/>
        <w:bottom w:val="none" w:sz="0" w:space="0" w:color="auto"/>
        <w:right w:val="none" w:sz="0" w:space="0" w:color="auto"/>
      </w:divBdr>
    </w:div>
    <w:div w:id="1345085120">
      <w:bodyDiv w:val="1"/>
      <w:marLeft w:val="0"/>
      <w:marRight w:val="0"/>
      <w:marTop w:val="0"/>
      <w:marBottom w:val="0"/>
      <w:divBdr>
        <w:top w:val="none" w:sz="0" w:space="0" w:color="auto"/>
        <w:left w:val="none" w:sz="0" w:space="0" w:color="auto"/>
        <w:bottom w:val="none" w:sz="0" w:space="0" w:color="auto"/>
        <w:right w:val="none" w:sz="0" w:space="0" w:color="auto"/>
      </w:divBdr>
    </w:div>
    <w:div w:id="1346789098">
      <w:bodyDiv w:val="1"/>
      <w:marLeft w:val="0"/>
      <w:marRight w:val="0"/>
      <w:marTop w:val="0"/>
      <w:marBottom w:val="0"/>
      <w:divBdr>
        <w:top w:val="none" w:sz="0" w:space="0" w:color="auto"/>
        <w:left w:val="none" w:sz="0" w:space="0" w:color="auto"/>
        <w:bottom w:val="none" w:sz="0" w:space="0" w:color="auto"/>
        <w:right w:val="none" w:sz="0" w:space="0" w:color="auto"/>
      </w:divBdr>
    </w:div>
    <w:div w:id="1346977146">
      <w:bodyDiv w:val="1"/>
      <w:marLeft w:val="0"/>
      <w:marRight w:val="0"/>
      <w:marTop w:val="0"/>
      <w:marBottom w:val="0"/>
      <w:divBdr>
        <w:top w:val="none" w:sz="0" w:space="0" w:color="auto"/>
        <w:left w:val="none" w:sz="0" w:space="0" w:color="auto"/>
        <w:bottom w:val="none" w:sz="0" w:space="0" w:color="auto"/>
        <w:right w:val="none" w:sz="0" w:space="0" w:color="auto"/>
      </w:divBdr>
    </w:div>
    <w:div w:id="1348289823">
      <w:bodyDiv w:val="1"/>
      <w:marLeft w:val="0"/>
      <w:marRight w:val="0"/>
      <w:marTop w:val="0"/>
      <w:marBottom w:val="0"/>
      <w:divBdr>
        <w:top w:val="none" w:sz="0" w:space="0" w:color="auto"/>
        <w:left w:val="none" w:sz="0" w:space="0" w:color="auto"/>
        <w:bottom w:val="none" w:sz="0" w:space="0" w:color="auto"/>
        <w:right w:val="none" w:sz="0" w:space="0" w:color="auto"/>
      </w:divBdr>
    </w:div>
    <w:div w:id="1348366361">
      <w:bodyDiv w:val="1"/>
      <w:marLeft w:val="0"/>
      <w:marRight w:val="0"/>
      <w:marTop w:val="0"/>
      <w:marBottom w:val="0"/>
      <w:divBdr>
        <w:top w:val="none" w:sz="0" w:space="0" w:color="auto"/>
        <w:left w:val="none" w:sz="0" w:space="0" w:color="auto"/>
        <w:bottom w:val="none" w:sz="0" w:space="0" w:color="auto"/>
        <w:right w:val="none" w:sz="0" w:space="0" w:color="auto"/>
      </w:divBdr>
    </w:div>
    <w:div w:id="1348603571">
      <w:bodyDiv w:val="1"/>
      <w:marLeft w:val="0"/>
      <w:marRight w:val="0"/>
      <w:marTop w:val="0"/>
      <w:marBottom w:val="0"/>
      <w:divBdr>
        <w:top w:val="none" w:sz="0" w:space="0" w:color="auto"/>
        <w:left w:val="none" w:sz="0" w:space="0" w:color="auto"/>
        <w:bottom w:val="none" w:sz="0" w:space="0" w:color="auto"/>
        <w:right w:val="none" w:sz="0" w:space="0" w:color="auto"/>
      </w:divBdr>
    </w:div>
    <w:div w:id="1349941316">
      <w:bodyDiv w:val="1"/>
      <w:marLeft w:val="0"/>
      <w:marRight w:val="0"/>
      <w:marTop w:val="0"/>
      <w:marBottom w:val="0"/>
      <w:divBdr>
        <w:top w:val="none" w:sz="0" w:space="0" w:color="auto"/>
        <w:left w:val="none" w:sz="0" w:space="0" w:color="auto"/>
        <w:bottom w:val="none" w:sz="0" w:space="0" w:color="auto"/>
        <w:right w:val="none" w:sz="0" w:space="0" w:color="auto"/>
      </w:divBdr>
    </w:div>
    <w:div w:id="1351026642">
      <w:bodyDiv w:val="1"/>
      <w:marLeft w:val="0"/>
      <w:marRight w:val="0"/>
      <w:marTop w:val="0"/>
      <w:marBottom w:val="0"/>
      <w:divBdr>
        <w:top w:val="none" w:sz="0" w:space="0" w:color="auto"/>
        <w:left w:val="none" w:sz="0" w:space="0" w:color="auto"/>
        <w:bottom w:val="none" w:sz="0" w:space="0" w:color="auto"/>
        <w:right w:val="none" w:sz="0" w:space="0" w:color="auto"/>
      </w:divBdr>
    </w:div>
    <w:div w:id="1352606932">
      <w:bodyDiv w:val="1"/>
      <w:marLeft w:val="0"/>
      <w:marRight w:val="0"/>
      <w:marTop w:val="0"/>
      <w:marBottom w:val="0"/>
      <w:divBdr>
        <w:top w:val="none" w:sz="0" w:space="0" w:color="auto"/>
        <w:left w:val="none" w:sz="0" w:space="0" w:color="auto"/>
        <w:bottom w:val="none" w:sz="0" w:space="0" w:color="auto"/>
        <w:right w:val="none" w:sz="0" w:space="0" w:color="auto"/>
      </w:divBdr>
    </w:div>
    <w:div w:id="1356229024">
      <w:bodyDiv w:val="1"/>
      <w:marLeft w:val="0"/>
      <w:marRight w:val="0"/>
      <w:marTop w:val="0"/>
      <w:marBottom w:val="0"/>
      <w:divBdr>
        <w:top w:val="none" w:sz="0" w:space="0" w:color="auto"/>
        <w:left w:val="none" w:sz="0" w:space="0" w:color="auto"/>
        <w:bottom w:val="none" w:sz="0" w:space="0" w:color="auto"/>
        <w:right w:val="none" w:sz="0" w:space="0" w:color="auto"/>
      </w:divBdr>
    </w:div>
    <w:div w:id="1358431108">
      <w:bodyDiv w:val="1"/>
      <w:marLeft w:val="0"/>
      <w:marRight w:val="0"/>
      <w:marTop w:val="0"/>
      <w:marBottom w:val="0"/>
      <w:divBdr>
        <w:top w:val="none" w:sz="0" w:space="0" w:color="auto"/>
        <w:left w:val="none" w:sz="0" w:space="0" w:color="auto"/>
        <w:bottom w:val="none" w:sz="0" w:space="0" w:color="auto"/>
        <w:right w:val="none" w:sz="0" w:space="0" w:color="auto"/>
      </w:divBdr>
    </w:div>
    <w:div w:id="1363701547">
      <w:bodyDiv w:val="1"/>
      <w:marLeft w:val="0"/>
      <w:marRight w:val="0"/>
      <w:marTop w:val="0"/>
      <w:marBottom w:val="0"/>
      <w:divBdr>
        <w:top w:val="none" w:sz="0" w:space="0" w:color="auto"/>
        <w:left w:val="none" w:sz="0" w:space="0" w:color="auto"/>
        <w:bottom w:val="none" w:sz="0" w:space="0" w:color="auto"/>
        <w:right w:val="none" w:sz="0" w:space="0" w:color="auto"/>
      </w:divBdr>
    </w:div>
    <w:div w:id="1371488521">
      <w:bodyDiv w:val="1"/>
      <w:marLeft w:val="0"/>
      <w:marRight w:val="0"/>
      <w:marTop w:val="0"/>
      <w:marBottom w:val="0"/>
      <w:divBdr>
        <w:top w:val="none" w:sz="0" w:space="0" w:color="auto"/>
        <w:left w:val="none" w:sz="0" w:space="0" w:color="auto"/>
        <w:bottom w:val="none" w:sz="0" w:space="0" w:color="auto"/>
        <w:right w:val="none" w:sz="0" w:space="0" w:color="auto"/>
      </w:divBdr>
    </w:div>
    <w:div w:id="1372144548">
      <w:bodyDiv w:val="1"/>
      <w:marLeft w:val="0"/>
      <w:marRight w:val="0"/>
      <w:marTop w:val="0"/>
      <w:marBottom w:val="0"/>
      <w:divBdr>
        <w:top w:val="none" w:sz="0" w:space="0" w:color="auto"/>
        <w:left w:val="none" w:sz="0" w:space="0" w:color="auto"/>
        <w:bottom w:val="none" w:sz="0" w:space="0" w:color="auto"/>
        <w:right w:val="none" w:sz="0" w:space="0" w:color="auto"/>
      </w:divBdr>
    </w:div>
    <w:div w:id="1373191597">
      <w:bodyDiv w:val="1"/>
      <w:marLeft w:val="0"/>
      <w:marRight w:val="0"/>
      <w:marTop w:val="0"/>
      <w:marBottom w:val="0"/>
      <w:divBdr>
        <w:top w:val="none" w:sz="0" w:space="0" w:color="auto"/>
        <w:left w:val="none" w:sz="0" w:space="0" w:color="auto"/>
        <w:bottom w:val="none" w:sz="0" w:space="0" w:color="auto"/>
        <w:right w:val="none" w:sz="0" w:space="0" w:color="auto"/>
      </w:divBdr>
    </w:div>
    <w:div w:id="1376349378">
      <w:bodyDiv w:val="1"/>
      <w:marLeft w:val="0"/>
      <w:marRight w:val="0"/>
      <w:marTop w:val="0"/>
      <w:marBottom w:val="0"/>
      <w:divBdr>
        <w:top w:val="none" w:sz="0" w:space="0" w:color="auto"/>
        <w:left w:val="none" w:sz="0" w:space="0" w:color="auto"/>
        <w:bottom w:val="none" w:sz="0" w:space="0" w:color="auto"/>
        <w:right w:val="none" w:sz="0" w:space="0" w:color="auto"/>
      </w:divBdr>
    </w:div>
    <w:div w:id="1377657016">
      <w:bodyDiv w:val="1"/>
      <w:marLeft w:val="0"/>
      <w:marRight w:val="0"/>
      <w:marTop w:val="0"/>
      <w:marBottom w:val="0"/>
      <w:divBdr>
        <w:top w:val="none" w:sz="0" w:space="0" w:color="auto"/>
        <w:left w:val="none" w:sz="0" w:space="0" w:color="auto"/>
        <w:bottom w:val="none" w:sz="0" w:space="0" w:color="auto"/>
        <w:right w:val="none" w:sz="0" w:space="0" w:color="auto"/>
      </w:divBdr>
    </w:div>
    <w:div w:id="1386176783">
      <w:bodyDiv w:val="1"/>
      <w:marLeft w:val="0"/>
      <w:marRight w:val="0"/>
      <w:marTop w:val="0"/>
      <w:marBottom w:val="0"/>
      <w:divBdr>
        <w:top w:val="none" w:sz="0" w:space="0" w:color="auto"/>
        <w:left w:val="none" w:sz="0" w:space="0" w:color="auto"/>
        <w:bottom w:val="none" w:sz="0" w:space="0" w:color="auto"/>
        <w:right w:val="none" w:sz="0" w:space="0" w:color="auto"/>
      </w:divBdr>
    </w:div>
    <w:div w:id="1393118480">
      <w:bodyDiv w:val="1"/>
      <w:marLeft w:val="0"/>
      <w:marRight w:val="0"/>
      <w:marTop w:val="0"/>
      <w:marBottom w:val="0"/>
      <w:divBdr>
        <w:top w:val="none" w:sz="0" w:space="0" w:color="auto"/>
        <w:left w:val="none" w:sz="0" w:space="0" w:color="auto"/>
        <w:bottom w:val="none" w:sz="0" w:space="0" w:color="auto"/>
        <w:right w:val="none" w:sz="0" w:space="0" w:color="auto"/>
      </w:divBdr>
    </w:div>
    <w:div w:id="1393847971">
      <w:bodyDiv w:val="1"/>
      <w:marLeft w:val="0"/>
      <w:marRight w:val="0"/>
      <w:marTop w:val="0"/>
      <w:marBottom w:val="0"/>
      <w:divBdr>
        <w:top w:val="none" w:sz="0" w:space="0" w:color="auto"/>
        <w:left w:val="none" w:sz="0" w:space="0" w:color="auto"/>
        <w:bottom w:val="none" w:sz="0" w:space="0" w:color="auto"/>
        <w:right w:val="none" w:sz="0" w:space="0" w:color="auto"/>
      </w:divBdr>
    </w:div>
    <w:div w:id="1396003549">
      <w:bodyDiv w:val="1"/>
      <w:marLeft w:val="0"/>
      <w:marRight w:val="0"/>
      <w:marTop w:val="0"/>
      <w:marBottom w:val="0"/>
      <w:divBdr>
        <w:top w:val="none" w:sz="0" w:space="0" w:color="auto"/>
        <w:left w:val="none" w:sz="0" w:space="0" w:color="auto"/>
        <w:bottom w:val="none" w:sz="0" w:space="0" w:color="auto"/>
        <w:right w:val="none" w:sz="0" w:space="0" w:color="auto"/>
      </w:divBdr>
    </w:div>
    <w:div w:id="1402286781">
      <w:bodyDiv w:val="1"/>
      <w:marLeft w:val="0"/>
      <w:marRight w:val="0"/>
      <w:marTop w:val="0"/>
      <w:marBottom w:val="0"/>
      <w:divBdr>
        <w:top w:val="none" w:sz="0" w:space="0" w:color="auto"/>
        <w:left w:val="none" w:sz="0" w:space="0" w:color="auto"/>
        <w:bottom w:val="none" w:sz="0" w:space="0" w:color="auto"/>
        <w:right w:val="none" w:sz="0" w:space="0" w:color="auto"/>
      </w:divBdr>
    </w:div>
    <w:div w:id="1404789499">
      <w:bodyDiv w:val="1"/>
      <w:marLeft w:val="0"/>
      <w:marRight w:val="0"/>
      <w:marTop w:val="0"/>
      <w:marBottom w:val="0"/>
      <w:divBdr>
        <w:top w:val="none" w:sz="0" w:space="0" w:color="auto"/>
        <w:left w:val="none" w:sz="0" w:space="0" w:color="auto"/>
        <w:bottom w:val="none" w:sz="0" w:space="0" w:color="auto"/>
        <w:right w:val="none" w:sz="0" w:space="0" w:color="auto"/>
      </w:divBdr>
    </w:div>
    <w:div w:id="1408528964">
      <w:bodyDiv w:val="1"/>
      <w:marLeft w:val="0"/>
      <w:marRight w:val="0"/>
      <w:marTop w:val="0"/>
      <w:marBottom w:val="0"/>
      <w:divBdr>
        <w:top w:val="none" w:sz="0" w:space="0" w:color="auto"/>
        <w:left w:val="none" w:sz="0" w:space="0" w:color="auto"/>
        <w:bottom w:val="none" w:sz="0" w:space="0" w:color="auto"/>
        <w:right w:val="none" w:sz="0" w:space="0" w:color="auto"/>
      </w:divBdr>
    </w:div>
    <w:div w:id="1409114126">
      <w:bodyDiv w:val="1"/>
      <w:marLeft w:val="0"/>
      <w:marRight w:val="0"/>
      <w:marTop w:val="0"/>
      <w:marBottom w:val="0"/>
      <w:divBdr>
        <w:top w:val="none" w:sz="0" w:space="0" w:color="auto"/>
        <w:left w:val="none" w:sz="0" w:space="0" w:color="auto"/>
        <w:bottom w:val="none" w:sz="0" w:space="0" w:color="auto"/>
        <w:right w:val="none" w:sz="0" w:space="0" w:color="auto"/>
      </w:divBdr>
    </w:div>
    <w:div w:id="1411391281">
      <w:bodyDiv w:val="1"/>
      <w:marLeft w:val="0"/>
      <w:marRight w:val="0"/>
      <w:marTop w:val="0"/>
      <w:marBottom w:val="0"/>
      <w:divBdr>
        <w:top w:val="none" w:sz="0" w:space="0" w:color="auto"/>
        <w:left w:val="none" w:sz="0" w:space="0" w:color="auto"/>
        <w:bottom w:val="none" w:sz="0" w:space="0" w:color="auto"/>
        <w:right w:val="none" w:sz="0" w:space="0" w:color="auto"/>
      </w:divBdr>
    </w:div>
    <w:div w:id="1411585780">
      <w:bodyDiv w:val="1"/>
      <w:marLeft w:val="0"/>
      <w:marRight w:val="0"/>
      <w:marTop w:val="0"/>
      <w:marBottom w:val="0"/>
      <w:divBdr>
        <w:top w:val="none" w:sz="0" w:space="0" w:color="auto"/>
        <w:left w:val="none" w:sz="0" w:space="0" w:color="auto"/>
        <w:bottom w:val="none" w:sz="0" w:space="0" w:color="auto"/>
        <w:right w:val="none" w:sz="0" w:space="0" w:color="auto"/>
      </w:divBdr>
    </w:div>
    <w:div w:id="1412851123">
      <w:bodyDiv w:val="1"/>
      <w:marLeft w:val="0"/>
      <w:marRight w:val="0"/>
      <w:marTop w:val="0"/>
      <w:marBottom w:val="0"/>
      <w:divBdr>
        <w:top w:val="none" w:sz="0" w:space="0" w:color="auto"/>
        <w:left w:val="none" w:sz="0" w:space="0" w:color="auto"/>
        <w:bottom w:val="none" w:sz="0" w:space="0" w:color="auto"/>
        <w:right w:val="none" w:sz="0" w:space="0" w:color="auto"/>
      </w:divBdr>
    </w:div>
    <w:div w:id="1418748525">
      <w:bodyDiv w:val="1"/>
      <w:marLeft w:val="0"/>
      <w:marRight w:val="0"/>
      <w:marTop w:val="0"/>
      <w:marBottom w:val="0"/>
      <w:divBdr>
        <w:top w:val="none" w:sz="0" w:space="0" w:color="auto"/>
        <w:left w:val="none" w:sz="0" w:space="0" w:color="auto"/>
        <w:bottom w:val="none" w:sz="0" w:space="0" w:color="auto"/>
        <w:right w:val="none" w:sz="0" w:space="0" w:color="auto"/>
      </w:divBdr>
    </w:div>
    <w:div w:id="1419257072">
      <w:bodyDiv w:val="1"/>
      <w:marLeft w:val="0"/>
      <w:marRight w:val="0"/>
      <w:marTop w:val="0"/>
      <w:marBottom w:val="0"/>
      <w:divBdr>
        <w:top w:val="none" w:sz="0" w:space="0" w:color="auto"/>
        <w:left w:val="none" w:sz="0" w:space="0" w:color="auto"/>
        <w:bottom w:val="none" w:sz="0" w:space="0" w:color="auto"/>
        <w:right w:val="none" w:sz="0" w:space="0" w:color="auto"/>
      </w:divBdr>
    </w:div>
    <w:div w:id="1421103233">
      <w:bodyDiv w:val="1"/>
      <w:marLeft w:val="0"/>
      <w:marRight w:val="0"/>
      <w:marTop w:val="0"/>
      <w:marBottom w:val="0"/>
      <w:divBdr>
        <w:top w:val="none" w:sz="0" w:space="0" w:color="auto"/>
        <w:left w:val="none" w:sz="0" w:space="0" w:color="auto"/>
        <w:bottom w:val="none" w:sz="0" w:space="0" w:color="auto"/>
        <w:right w:val="none" w:sz="0" w:space="0" w:color="auto"/>
      </w:divBdr>
    </w:div>
    <w:div w:id="1421608032">
      <w:bodyDiv w:val="1"/>
      <w:marLeft w:val="0"/>
      <w:marRight w:val="0"/>
      <w:marTop w:val="0"/>
      <w:marBottom w:val="0"/>
      <w:divBdr>
        <w:top w:val="none" w:sz="0" w:space="0" w:color="auto"/>
        <w:left w:val="none" w:sz="0" w:space="0" w:color="auto"/>
        <w:bottom w:val="none" w:sz="0" w:space="0" w:color="auto"/>
        <w:right w:val="none" w:sz="0" w:space="0" w:color="auto"/>
      </w:divBdr>
    </w:div>
    <w:div w:id="1421828063">
      <w:bodyDiv w:val="1"/>
      <w:marLeft w:val="0"/>
      <w:marRight w:val="0"/>
      <w:marTop w:val="0"/>
      <w:marBottom w:val="0"/>
      <w:divBdr>
        <w:top w:val="none" w:sz="0" w:space="0" w:color="auto"/>
        <w:left w:val="none" w:sz="0" w:space="0" w:color="auto"/>
        <w:bottom w:val="none" w:sz="0" w:space="0" w:color="auto"/>
        <w:right w:val="none" w:sz="0" w:space="0" w:color="auto"/>
      </w:divBdr>
    </w:div>
    <w:div w:id="1431702078">
      <w:bodyDiv w:val="1"/>
      <w:marLeft w:val="0"/>
      <w:marRight w:val="0"/>
      <w:marTop w:val="0"/>
      <w:marBottom w:val="0"/>
      <w:divBdr>
        <w:top w:val="none" w:sz="0" w:space="0" w:color="auto"/>
        <w:left w:val="none" w:sz="0" w:space="0" w:color="auto"/>
        <w:bottom w:val="none" w:sz="0" w:space="0" w:color="auto"/>
        <w:right w:val="none" w:sz="0" w:space="0" w:color="auto"/>
      </w:divBdr>
    </w:div>
    <w:div w:id="1435324472">
      <w:bodyDiv w:val="1"/>
      <w:marLeft w:val="0"/>
      <w:marRight w:val="0"/>
      <w:marTop w:val="0"/>
      <w:marBottom w:val="0"/>
      <w:divBdr>
        <w:top w:val="none" w:sz="0" w:space="0" w:color="auto"/>
        <w:left w:val="none" w:sz="0" w:space="0" w:color="auto"/>
        <w:bottom w:val="none" w:sz="0" w:space="0" w:color="auto"/>
        <w:right w:val="none" w:sz="0" w:space="0" w:color="auto"/>
      </w:divBdr>
    </w:div>
    <w:div w:id="1436244004">
      <w:bodyDiv w:val="1"/>
      <w:marLeft w:val="0"/>
      <w:marRight w:val="0"/>
      <w:marTop w:val="0"/>
      <w:marBottom w:val="0"/>
      <w:divBdr>
        <w:top w:val="none" w:sz="0" w:space="0" w:color="auto"/>
        <w:left w:val="none" w:sz="0" w:space="0" w:color="auto"/>
        <w:bottom w:val="none" w:sz="0" w:space="0" w:color="auto"/>
        <w:right w:val="none" w:sz="0" w:space="0" w:color="auto"/>
      </w:divBdr>
    </w:div>
    <w:div w:id="1442411227">
      <w:bodyDiv w:val="1"/>
      <w:marLeft w:val="0"/>
      <w:marRight w:val="0"/>
      <w:marTop w:val="0"/>
      <w:marBottom w:val="0"/>
      <w:divBdr>
        <w:top w:val="none" w:sz="0" w:space="0" w:color="auto"/>
        <w:left w:val="none" w:sz="0" w:space="0" w:color="auto"/>
        <w:bottom w:val="none" w:sz="0" w:space="0" w:color="auto"/>
        <w:right w:val="none" w:sz="0" w:space="0" w:color="auto"/>
      </w:divBdr>
    </w:div>
    <w:div w:id="1443457161">
      <w:bodyDiv w:val="1"/>
      <w:marLeft w:val="0"/>
      <w:marRight w:val="0"/>
      <w:marTop w:val="0"/>
      <w:marBottom w:val="0"/>
      <w:divBdr>
        <w:top w:val="none" w:sz="0" w:space="0" w:color="auto"/>
        <w:left w:val="none" w:sz="0" w:space="0" w:color="auto"/>
        <w:bottom w:val="none" w:sz="0" w:space="0" w:color="auto"/>
        <w:right w:val="none" w:sz="0" w:space="0" w:color="auto"/>
      </w:divBdr>
    </w:div>
    <w:div w:id="1445297807">
      <w:bodyDiv w:val="1"/>
      <w:marLeft w:val="0"/>
      <w:marRight w:val="0"/>
      <w:marTop w:val="0"/>
      <w:marBottom w:val="0"/>
      <w:divBdr>
        <w:top w:val="none" w:sz="0" w:space="0" w:color="auto"/>
        <w:left w:val="none" w:sz="0" w:space="0" w:color="auto"/>
        <w:bottom w:val="none" w:sz="0" w:space="0" w:color="auto"/>
        <w:right w:val="none" w:sz="0" w:space="0" w:color="auto"/>
      </w:divBdr>
    </w:div>
    <w:div w:id="1451363874">
      <w:bodyDiv w:val="1"/>
      <w:marLeft w:val="0"/>
      <w:marRight w:val="0"/>
      <w:marTop w:val="0"/>
      <w:marBottom w:val="0"/>
      <w:divBdr>
        <w:top w:val="none" w:sz="0" w:space="0" w:color="auto"/>
        <w:left w:val="none" w:sz="0" w:space="0" w:color="auto"/>
        <w:bottom w:val="none" w:sz="0" w:space="0" w:color="auto"/>
        <w:right w:val="none" w:sz="0" w:space="0" w:color="auto"/>
      </w:divBdr>
    </w:div>
    <w:div w:id="1457219080">
      <w:bodyDiv w:val="1"/>
      <w:marLeft w:val="0"/>
      <w:marRight w:val="0"/>
      <w:marTop w:val="0"/>
      <w:marBottom w:val="0"/>
      <w:divBdr>
        <w:top w:val="none" w:sz="0" w:space="0" w:color="auto"/>
        <w:left w:val="none" w:sz="0" w:space="0" w:color="auto"/>
        <w:bottom w:val="none" w:sz="0" w:space="0" w:color="auto"/>
        <w:right w:val="none" w:sz="0" w:space="0" w:color="auto"/>
      </w:divBdr>
    </w:div>
    <w:div w:id="1460421172">
      <w:bodyDiv w:val="1"/>
      <w:marLeft w:val="0"/>
      <w:marRight w:val="0"/>
      <w:marTop w:val="0"/>
      <w:marBottom w:val="0"/>
      <w:divBdr>
        <w:top w:val="none" w:sz="0" w:space="0" w:color="auto"/>
        <w:left w:val="none" w:sz="0" w:space="0" w:color="auto"/>
        <w:bottom w:val="none" w:sz="0" w:space="0" w:color="auto"/>
        <w:right w:val="none" w:sz="0" w:space="0" w:color="auto"/>
      </w:divBdr>
    </w:div>
    <w:div w:id="1466237566">
      <w:bodyDiv w:val="1"/>
      <w:marLeft w:val="0"/>
      <w:marRight w:val="0"/>
      <w:marTop w:val="0"/>
      <w:marBottom w:val="0"/>
      <w:divBdr>
        <w:top w:val="none" w:sz="0" w:space="0" w:color="auto"/>
        <w:left w:val="none" w:sz="0" w:space="0" w:color="auto"/>
        <w:bottom w:val="none" w:sz="0" w:space="0" w:color="auto"/>
        <w:right w:val="none" w:sz="0" w:space="0" w:color="auto"/>
      </w:divBdr>
    </w:div>
    <w:div w:id="1467770938">
      <w:bodyDiv w:val="1"/>
      <w:marLeft w:val="0"/>
      <w:marRight w:val="0"/>
      <w:marTop w:val="0"/>
      <w:marBottom w:val="0"/>
      <w:divBdr>
        <w:top w:val="none" w:sz="0" w:space="0" w:color="auto"/>
        <w:left w:val="none" w:sz="0" w:space="0" w:color="auto"/>
        <w:bottom w:val="none" w:sz="0" w:space="0" w:color="auto"/>
        <w:right w:val="none" w:sz="0" w:space="0" w:color="auto"/>
      </w:divBdr>
    </w:div>
    <w:div w:id="1481116213">
      <w:bodyDiv w:val="1"/>
      <w:marLeft w:val="0"/>
      <w:marRight w:val="0"/>
      <w:marTop w:val="0"/>
      <w:marBottom w:val="0"/>
      <w:divBdr>
        <w:top w:val="none" w:sz="0" w:space="0" w:color="auto"/>
        <w:left w:val="none" w:sz="0" w:space="0" w:color="auto"/>
        <w:bottom w:val="none" w:sz="0" w:space="0" w:color="auto"/>
        <w:right w:val="none" w:sz="0" w:space="0" w:color="auto"/>
      </w:divBdr>
    </w:div>
    <w:div w:id="1484423034">
      <w:bodyDiv w:val="1"/>
      <w:marLeft w:val="0"/>
      <w:marRight w:val="0"/>
      <w:marTop w:val="0"/>
      <w:marBottom w:val="0"/>
      <w:divBdr>
        <w:top w:val="none" w:sz="0" w:space="0" w:color="auto"/>
        <w:left w:val="none" w:sz="0" w:space="0" w:color="auto"/>
        <w:bottom w:val="none" w:sz="0" w:space="0" w:color="auto"/>
        <w:right w:val="none" w:sz="0" w:space="0" w:color="auto"/>
      </w:divBdr>
    </w:div>
    <w:div w:id="1485506798">
      <w:bodyDiv w:val="1"/>
      <w:marLeft w:val="0"/>
      <w:marRight w:val="0"/>
      <w:marTop w:val="0"/>
      <w:marBottom w:val="0"/>
      <w:divBdr>
        <w:top w:val="none" w:sz="0" w:space="0" w:color="auto"/>
        <w:left w:val="none" w:sz="0" w:space="0" w:color="auto"/>
        <w:bottom w:val="none" w:sz="0" w:space="0" w:color="auto"/>
        <w:right w:val="none" w:sz="0" w:space="0" w:color="auto"/>
      </w:divBdr>
    </w:div>
    <w:div w:id="1486360179">
      <w:bodyDiv w:val="1"/>
      <w:marLeft w:val="0"/>
      <w:marRight w:val="0"/>
      <w:marTop w:val="0"/>
      <w:marBottom w:val="0"/>
      <w:divBdr>
        <w:top w:val="none" w:sz="0" w:space="0" w:color="auto"/>
        <w:left w:val="none" w:sz="0" w:space="0" w:color="auto"/>
        <w:bottom w:val="none" w:sz="0" w:space="0" w:color="auto"/>
        <w:right w:val="none" w:sz="0" w:space="0" w:color="auto"/>
      </w:divBdr>
    </w:div>
    <w:div w:id="1490514259">
      <w:bodyDiv w:val="1"/>
      <w:marLeft w:val="0"/>
      <w:marRight w:val="0"/>
      <w:marTop w:val="0"/>
      <w:marBottom w:val="0"/>
      <w:divBdr>
        <w:top w:val="none" w:sz="0" w:space="0" w:color="auto"/>
        <w:left w:val="none" w:sz="0" w:space="0" w:color="auto"/>
        <w:bottom w:val="none" w:sz="0" w:space="0" w:color="auto"/>
        <w:right w:val="none" w:sz="0" w:space="0" w:color="auto"/>
      </w:divBdr>
    </w:div>
    <w:div w:id="1499035860">
      <w:bodyDiv w:val="1"/>
      <w:marLeft w:val="0"/>
      <w:marRight w:val="0"/>
      <w:marTop w:val="0"/>
      <w:marBottom w:val="0"/>
      <w:divBdr>
        <w:top w:val="none" w:sz="0" w:space="0" w:color="auto"/>
        <w:left w:val="none" w:sz="0" w:space="0" w:color="auto"/>
        <w:bottom w:val="none" w:sz="0" w:space="0" w:color="auto"/>
        <w:right w:val="none" w:sz="0" w:space="0" w:color="auto"/>
      </w:divBdr>
    </w:div>
    <w:div w:id="1500465410">
      <w:bodyDiv w:val="1"/>
      <w:marLeft w:val="0"/>
      <w:marRight w:val="0"/>
      <w:marTop w:val="0"/>
      <w:marBottom w:val="0"/>
      <w:divBdr>
        <w:top w:val="none" w:sz="0" w:space="0" w:color="auto"/>
        <w:left w:val="none" w:sz="0" w:space="0" w:color="auto"/>
        <w:bottom w:val="none" w:sz="0" w:space="0" w:color="auto"/>
        <w:right w:val="none" w:sz="0" w:space="0" w:color="auto"/>
      </w:divBdr>
    </w:div>
    <w:div w:id="1504323752">
      <w:bodyDiv w:val="1"/>
      <w:marLeft w:val="0"/>
      <w:marRight w:val="0"/>
      <w:marTop w:val="0"/>
      <w:marBottom w:val="0"/>
      <w:divBdr>
        <w:top w:val="none" w:sz="0" w:space="0" w:color="auto"/>
        <w:left w:val="none" w:sz="0" w:space="0" w:color="auto"/>
        <w:bottom w:val="none" w:sz="0" w:space="0" w:color="auto"/>
        <w:right w:val="none" w:sz="0" w:space="0" w:color="auto"/>
      </w:divBdr>
    </w:div>
    <w:div w:id="1517113192">
      <w:bodyDiv w:val="1"/>
      <w:marLeft w:val="0"/>
      <w:marRight w:val="0"/>
      <w:marTop w:val="0"/>
      <w:marBottom w:val="0"/>
      <w:divBdr>
        <w:top w:val="none" w:sz="0" w:space="0" w:color="auto"/>
        <w:left w:val="none" w:sz="0" w:space="0" w:color="auto"/>
        <w:bottom w:val="none" w:sz="0" w:space="0" w:color="auto"/>
        <w:right w:val="none" w:sz="0" w:space="0" w:color="auto"/>
      </w:divBdr>
    </w:div>
    <w:div w:id="1523546356">
      <w:bodyDiv w:val="1"/>
      <w:marLeft w:val="0"/>
      <w:marRight w:val="0"/>
      <w:marTop w:val="0"/>
      <w:marBottom w:val="0"/>
      <w:divBdr>
        <w:top w:val="none" w:sz="0" w:space="0" w:color="auto"/>
        <w:left w:val="none" w:sz="0" w:space="0" w:color="auto"/>
        <w:bottom w:val="none" w:sz="0" w:space="0" w:color="auto"/>
        <w:right w:val="none" w:sz="0" w:space="0" w:color="auto"/>
      </w:divBdr>
    </w:div>
    <w:div w:id="1523670980">
      <w:bodyDiv w:val="1"/>
      <w:marLeft w:val="0"/>
      <w:marRight w:val="0"/>
      <w:marTop w:val="0"/>
      <w:marBottom w:val="0"/>
      <w:divBdr>
        <w:top w:val="none" w:sz="0" w:space="0" w:color="auto"/>
        <w:left w:val="none" w:sz="0" w:space="0" w:color="auto"/>
        <w:bottom w:val="none" w:sz="0" w:space="0" w:color="auto"/>
        <w:right w:val="none" w:sz="0" w:space="0" w:color="auto"/>
      </w:divBdr>
    </w:div>
    <w:div w:id="1524054009">
      <w:bodyDiv w:val="1"/>
      <w:marLeft w:val="0"/>
      <w:marRight w:val="0"/>
      <w:marTop w:val="0"/>
      <w:marBottom w:val="0"/>
      <w:divBdr>
        <w:top w:val="none" w:sz="0" w:space="0" w:color="auto"/>
        <w:left w:val="none" w:sz="0" w:space="0" w:color="auto"/>
        <w:bottom w:val="none" w:sz="0" w:space="0" w:color="auto"/>
        <w:right w:val="none" w:sz="0" w:space="0" w:color="auto"/>
      </w:divBdr>
    </w:div>
    <w:div w:id="1530948595">
      <w:bodyDiv w:val="1"/>
      <w:marLeft w:val="0"/>
      <w:marRight w:val="0"/>
      <w:marTop w:val="0"/>
      <w:marBottom w:val="0"/>
      <w:divBdr>
        <w:top w:val="none" w:sz="0" w:space="0" w:color="auto"/>
        <w:left w:val="none" w:sz="0" w:space="0" w:color="auto"/>
        <w:bottom w:val="none" w:sz="0" w:space="0" w:color="auto"/>
        <w:right w:val="none" w:sz="0" w:space="0" w:color="auto"/>
      </w:divBdr>
    </w:div>
    <w:div w:id="1534074144">
      <w:bodyDiv w:val="1"/>
      <w:marLeft w:val="0"/>
      <w:marRight w:val="0"/>
      <w:marTop w:val="0"/>
      <w:marBottom w:val="0"/>
      <w:divBdr>
        <w:top w:val="none" w:sz="0" w:space="0" w:color="auto"/>
        <w:left w:val="none" w:sz="0" w:space="0" w:color="auto"/>
        <w:bottom w:val="none" w:sz="0" w:space="0" w:color="auto"/>
        <w:right w:val="none" w:sz="0" w:space="0" w:color="auto"/>
      </w:divBdr>
    </w:div>
    <w:div w:id="1535120935">
      <w:bodyDiv w:val="1"/>
      <w:marLeft w:val="0"/>
      <w:marRight w:val="0"/>
      <w:marTop w:val="0"/>
      <w:marBottom w:val="0"/>
      <w:divBdr>
        <w:top w:val="none" w:sz="0" w:space="0" w:color="auto"/>
        <w:left w:val="none" w:sz="0" w:space="0" w:color="auto"/>
        <w:bottom w:val="none" w:sz="0" w:space="0" w:color="auto"/>
        <w:right w:val="none" w:sz="0" w:space="0" w:color="auto"/>
      </w:divBdr>
    </w:div>
    <w:div w:id="1535193439">
      <w:bodyDiv w:val="1"/>
      <w:marLeft w:val="0"/>
      <w:marRight w:val="0"/>
      <w:marTop w:val="0"/>
      <w:marBottom w:val="0"/>
      <w:divBdr>
        <w:top w:val="none" w:sz="0" w:space="0" w:color="auto"/>
        <w:left w:val="none" w:sz="0" w:space="0" w:color="auto"/>
        <w:bottom w:val="none" w:sz="0" w:space="0" w:color="auto"/>
        <w:right w:val="none" w:sz="0" w:space="0" w:color="auto"/>
      </w:divBdr>
    </w:div>
    <w:div w:id="1538153049">
      <w:bodyDiv w:val="1"/>
      <w:marLeft w:val="0"/>
      <w:marRight w:val="0"/>
      <w:marTop w:val="0"/>
      <w:marBottom w:val="0"/>
      <w:divBdr>
        <w:top w:val="none" w:sz="0" w:space="0" w:color="auto"/>
        <w:left w:val="none" w:sz="0" w:space="0" w:color="auto"/>
        <w:bottom w:val="none" w:sz="0" w:space="0" w:color="auto"/>
        <w:right w:val="none" w:sz="0" w:space="0" w:color="auto"/>
      </w:divBdr>
    </w:div>
    <w:div w:id="1539315103">
      <w:bodyDiv w:val="1"/>
      <w:marLeft w:val="0"/>
      <w:marRight w:val="0"/>
      <w:marTop w:val="0"/>
      <w:marBottom w:val="0"/>
      <w:divBdr>
        <w:top w:val="none" w:sz="0" w:space="0" w:color="auto"/>
        <w:left w:val="none" w:sz="0" w:space="0" w:color="auto"/>
        <w:bottom w:val="none" w:sz="0" w:space="0" w:color="auto"/>
        <w:right w:val="none" w:sz="0" w:space="0" w:color="auto"/>
      </w:divBdr>
    </w:div>
    <w:div w:id="1546066458">
      <w:bodyDiv w:val="1"/>
      <w:marLeft w:val="0"/>
      <w:marRight w:val="0"/>
      <w:marTop w:val="0"/>
      <w:marBottom w:val="0"/>
      <w:divBdr>
        <w:top w:val="none" w:sz="0" w:space="0" w:color="auto"/>
        <w:left w:val="none" w:sz="0" w:space="0" w:color="auto"/>
        <w:bottom w:val="none" w:sz="0" w:space="0" w:color="auto"/>
        <w:right w:val="none" w:sz="0" w:space="0" w:color="auto"/>
      </w:divBdr>
    </w:div>
    <w:div w:id="1549879200">
      <w:bodyDiv w:val="1"/>
      <w:marLeft w:val="0"/>
      <w:marRight w:val="0"/>
      <w:marTop w:val="0"/>
      <w:marBottom w:val="0"/>
      <w:divBdr>
        <w:top w:val="none" w:sz="0" w:space="0" w:color="auto"/>
        <w:left w:val="none" w:sz="0" w:space="0" w:color="auto"/>
        <w:bottom w:val="none" w:sz="0" w:space="0" w:color="auto"/>
        <w:right w:val="none" w:sz="0" w:space="0" w:color="auto"/>
      </w:divBdr>
    </w:div>
    <w:div w:id="1552885577">
      <w:bodyDiv w:val="1"/>
      <w:marLeft w:val="0"/>
      <w:marRight w:val="0"/>
      <w:marTop w:val="0"/>
      <w:marBottom w:val="0"/>
      <w:divBdr>
        <w:top w:val="none" w:sz="0" w:space="0" w:color="auto"/>
        <w:left w:val="none" w:sz="0" w:space="0" w:color="auto"/>
        <w:bottom w:val="none" w:sz="0" w:space="0" w:color="auto"/>
        <w:right w:val="none" w:sz="0" w:space="0" w:color="auto"/>
      </w:divBdr>
    </w:div>
    <w:div w:id="1554152895">
      <w:bodyDiv w:val="1"/>
      <w:marLeft w:val="0"/>
      <w:marRight w:val="0"/>
      <w:marTop w:val="0"/>
      <w:marBottom w:val="0"/>
      <w:divBdr>
        <w:top w:val="none" w:sz="0" w:space="0" w:color="auto"/>
        <w:left w:val="none" w:sz="0" w:space="0" w:color="auto"/>
        <w:bottom w:val="none" w:sz="0" w:space="0" w:color="auto"/>
        <w:right w:val="none" w:sz="0" w:space="0" w:color="auto"/>
      </w:divBdr>
    </w:div>
    <w:div w:id="1568227918">
      <w:bodyDiv w:val="1"/>
      <w:marLeft w:val="0"/>
      <w:marRight w:val="0"/>
      <w:marTop w:val="0"/>
      <w:marBottom w:val="0"/>
      <w:divBdr>
        <w:top w:val="none" w:sz="0" w:space="0" w:color="auto"/>
        <w:left w:val="none" w:sz="0" w:space="0" w:color="auto"/>
        <w:bottom w:val="none" w:sz="0" w:space="0" w:color="auto"/>
        <w:right w:val="none" w:sz="0" w:space="0" w:color="auto"/>
      </w:divBdr>
    </w:div>
    <w:div w:id="1574777753">
      <w:bodyDiv w:val="1"/>
      <w:marLeft w:val="0"/>
      <w:marRight w:val="0"/>
      <w:marTop w:val="0"/>
      <w:marBottom w:val="0"/>
      <w:divBdr>
        <w:top w:val="none" w:sz="0" w:space="0" w:color="auto"/>
        <w:left w:val="none" w:sz="0" w:space="0" w:color="auto"/>
        <w:bottom w:val="none" w:sz="0" w:space="0" w:color="auto"/>
        <w:right w:val="none" w:sz="0" w:space="0" w:color="auto"/>
      </w:divBdr>
    </w:div>
    <w:div w:id="1576163378">
      <w:bodyDiv w:val="1"/>
      <w:marLeft w:val="0"/>
      <w:marRight w:val="0"/>
      <w:marTop w:val="0"/>
      <w:marBottom w:val="0"/>
      <w:divBdr>
        <w:top w:val="none" w:sz="0" w:space="0" w:color="auto"/>
        <w:left w:val="none" w:sz="0" w:space="0" w:color="auto"/>
        <w:bottom w:val="none" w:sz="0" w:space="0" w:color="auto"/>
        <w:right w:val="none" w:sz="0" w:space="0" w:color="auto"/>
      </w:divBdr>
    </w:div>
    <w:div w:id="1577350843">
      <w:bodyDiv w:val="1"/>
      <w:marLeft w:val="0"/>
      <w:marRight w:val="0"/>
      <w:marTop w:val="0"/>
      <w:marBottom w:val="0"/>
      <w:divBdr>
        <w:top w:val="none" w:sz="0" w:space="0" w:color="auto"/>
        <w:left w:val="none" w:sz="0" w:space="0" w:color="auto"/>
        <w:bottom w:val="none" w:sz="0" w:space="0" w:color="auto"/>
        <w:right w:val="none" w:sz="0" w:space="0" w:color="auto"/>
      </w:divBdr>
    </w:div>
    <w:div w:id="1580213299">
      <w:bodyDiv w:val="1"/>
      <w:marLeft w:val="0"/>
      <w:marRight w:val="0"/>
      <w:marTop w:val="0"/>
      <w:marBottom w:val="0"/>
      <w:divBdr>
        <w:top w:val="none" w:sz="0" w:space="0" w:color="auto"/>
        <w:left w:val="none" w:sz="0" w:space="0" w:color="auto"/>
        <w:bottom w:val="none" w:sz="0" w:space="0" w:color="auto"/>
        <w:right w:val="none" w:sz="0" w:space="0" w:color="auto"/>
      </w:divBdr>
    </w:div>
    <w:div w:id="1582984351">
      <w:bodyDiv w:val="1"/>
      <w:marLeft w:val="0"/>
      <w:marRight w:val="0"/>
      <w:marTop w:val="0"/>
      <w:marBottom w:val="0"/>
      <w:divBdr>
        <w:top w:val="none" w:sz="0" w:space="0" w:color="auto"/>
        <w:left w:val="none" w:sz="0" w:space="0" w:color="auto"/>
        <w:bottom w:val="none" w:sz="0" w:space="0" w:color="auto"/>
        <w:right w:val="none" w:sz="0" w:space="0" w:color="auto"/>
      </w:divBdr>
    </w:div>
    <w:div w:id="1584532968">
      <w:bodyDiv w:val="1"/>
      <w:marLeft w:val="0"/>
      <w:marRight w:val="0"/>
      <w:marTop w:val="0"/>
      <w:marBottom w:val="0"/>
      <w:divBdr>
        <w:top w:val="none" w:sz="0" w:space="0" w:color="auto"/>
        <w:left w:val="none" w:sz="0" w:space="0" w:color="auto"/>
        <w:bottom w:val="none" w:sz="0" w:space="0" w:color="auto"/>
        <w:right w:val="none" w:sz="0" w:space="0" w:color="auto"/>
      </w:divBdr>
    </w:div>
    <w:div w:id="1584684572">
      <w:bodyDiv w:val="1"/>
      <w:marLeft w:val="0"/>
      <w:marRight w:val="0"/>
      <w:marTop w:val="0"/>
      <w:marBottom w:val="0"/>
      <w:divBdr>
        <w:top w:val="none" w:sz="0" w:space="0" w:color="auto"/>
        <w:left w:val="none" w:sz="0" w:space="0" w:color="auto"/>
        <w:bottom w:val="none" w:sz="0" w:space="0" w:color="auto"/>
        <w:right w:val="none" w:sz="0" w:space="0" w:color="auto"/>
      </w:divBdr>
    </w:div>
    <w:div w:id="1585914991">
      <w:bodyDiv w:val="1"/>
      <w:marLeft w:val="0"/>
      <w:marRight w:val="0"/>
      <w:marTop w:val="0"/>
      <w:marBottom w:val="0"/>
      <w:divBdr>
        <w:top w:val="none" w:sz="0" w:space="0" w:color="auto"/>
        <w:left w:val="none" w:sz="0" w:space="0" w:color="auto"/>
        <w:bottom w:val="none" w:sz="0" w:space="0" w:color="auto"/>
        <w:right w:val="none" w:sz="0" w:space="0" w:color="auto"/>
      </w:divBdr>
    </w:div>
    <w:div w:id="1595818450">
      <w:bodyDiv w:val="1"/>
      <w:marLeft w:val="0"/>
      <w:marRight w:val="0"/>
      <w:marTop w:val="0"/>
      <w:marBottom w:val="0"/>
      <w:divBdr>
        <w:top w:val="none" w:sz="0" w:space="0" w:color="auto"/>
        <w:left w:val="none" w:sz="0" w:space="0" w:color="auto"/>
        <w:bottom w:val="none" w:sz="0" w:space="0" w:color="auto"/>
        <w:right w:val="none" w:sz="0" w:space="0" w:color="auto"/>
      </w:divBdr>
    </w:div>
    <w:div w:id="1609000440">
      <w:bodyDiv w:val="1"/>
      <w:marLeft w:val="0"/>
      <w:marRight w:val="0"/>
      <w:marTop w:val="0"/>
      <w:marBottom w:val="0"/>
      <w:divBdr>
        <w:top w:val="none" w:sz="0" w:space="0" w:color="auto"/>
        <w:left w:val="none" w:sz="0" w:space="0" w:color="auto"/>
        <w:bottom w:val="none" w:sz="0" w:space="0" w:color="auto"/>
        <w:right w:val="none" w:sz="0" w:space="0" w:color="auto"/>
      </w:divBdr>
    </w:div>
    <w:div w:id="1609118399">
      <w:bodyDiv w:val="1"/>
      <w:marLeft w:val="0"/>
      <w:marRight w:val="0"/>
      <w:marTop w:val="0"/>
      <w:marBottom w:val="0"/>
      <w:divBdr>
        <w:top w:val="none" w:sz="0" w:space="0" w:color="auto"/>
        <w:left w:val="none" w:sz="0" w:space="0" w:color="auto"/>
        <w:bottom w:val="none" w:sz="0" w:space="0" w:color="auto"/>
        <w:right w:val="none" w:sz="0" w:space="0" w:color="auto"/>
      </w:divBdr>
    </w:div>
    <w:div w:id="1609970533">
      <w:bodyDiv w:val="1"/>
      <w:marLeft w:val="0"/>
      <w:marRight w:val="0"/>
      <w:marTop w:val="0"/>
      <w:marBottom w:val="0"/>
      <w:divBdr>
        <w:top w:val="none" w:sz="0" w:space="0" w:color="auto"/>
        <w:left w:val="none" w:sz="0" w:space="0" w:color="auto"/>
        <w:bottom w:val="none" w:sz="0" w:space="0" w:color="auto"/>
        <w:right w:val="none" w:sz="0" w:space="0" w:color="auto"/>
      </w:divBdr>
    </w:div>
    <w:div w:id="1614441398">
      <w:bodyDiv w:val="1"/>
      <w:marLeft w:val="0"/>
      <w:marRight w:val="0"/>
      <w:marTop w:val="0"/>
      <w:marBottom w:val="0"/>
      <w:divBdr>
        <w:top w:val="none" w:sz="0" w:space="0" w:color="auto"/>
        <w:left w:val="none" w:sz="0" w:space="0" w:color="auto"/>
        <w:bottom w:val="none" w:sz="0" w:space="0" w:color="auto"/>
        <w:right w:val="none" w:sz="0" w:space="0" w:color="auto"/>
      </w:divBdr>
    </w:div>
    <w:div w:id="1618177762">
      <w:bodyDiv w:val="1"/>
      <w:marLeft w:val="0"/>
      <w:marRight w:val="0"/>
      <w:marTop w:val="0"/>
      <w:marBottom w:val="0"/>
      <w:divBdr>
        <w:top w:val="none" w:sz="0" w:space="0" w:color="auto"/>
        <w:left w:val="none" w:sz="0" w:space="0" w:color="auto"/>
        <w:bottom w:val="none" w:sz="0" w:space="0" w:color="auto"/>
        <w:right w:val="none" w:sz="0" w:space="0" w:color="auto"/>
      </w:divBdr>
    </w:div>
    <w:div w:id="1619608300">
      <w:bodyDiv w:val="1"/>
      <w:marLeft w:val="0"/>
      <w:marRight w:val="0"/>
      <w:marTop w:val="0"/>
      <w:marBottom w:val="0"/>
      <w:divBdr>
        <w:top w:val="none" w:sz="0" w:space="0" w:color="auto"/>
        <w:left w:val="none" w:sz="0" w:space="0" w:color="auto"/>
        <w:bottom w:val="none" w:sz="0" w:space="0" w:color="auto"/>
        <w:right w:val="none" w:sz="0" w:space="0" w:color="auto"/>
      </w:divBdr>
    </w:div>
    <w:div w:id="1629513280">
      <w:bodyDiv w:val="1"/>
      <w:marLeft w:val="0"/>
      <w:marRight w:val="0"/>
      <w:marTop w:val="0"/>
      <w:marBottom w:val="0"/>
      <w:divBdr>
        <w:top w:val="none" w:sz="0" w:space="0" w:color="auto"/>
        <w:left w:val="none" w:sz="0" w:space="0" w:color="auto"/>
        <w:bottom w:val="none" w:sz="0" w:space="0" w:color="auto"/>
        <w:right w:val="none" w:sz="0" w:space="0" w:color="auto"/>
      </w:divBdr>
    </w:div>
    <w:div w:id="1637181065">
      <w:bodyDiv w:val="1"/>
      <w:marLeft w:val="0"/>
      <w:marRight w:val="0"/>
      <w:marTop w:val="0"/>
      <w:marBottom w:val="0"/>
      <w:divBdr>
        <w:top w:val="none" w:sz="0" w:space="0" w:color="auto"/>
        <w:left w:val="none" w:sz="0" w:space="0" w:color="auto"/>
        <w:bottom w:val="none" w:sz="0" w:space="0" w:color="auto"/>
        <w:right w:val="none" w:sz="0" w:space="0" w:color="auto"/>
      </w:divBdr>
    </w:div>
    <w:div w:id="1640843397">
      <w:bodyDiv w:val="1"/>
      <w:marLeft w:val="0"/>
      <w:marRight w:val="0"/>
      <w:marTop w:val="0"/>
      <w:marBottom w:val="0"/>
      <w:divBdr>
        <w:top w:val="none" w:sz="0" w:space="0" w:color="auto"/>
        <w:left w:val="none" w:sz="0" w:space="0" w:color="auto"/>
        <w:bottom w:val="none" w:sz="0" w:space="0" w:color="auto"/>
        <w:right w:val="none" w:sz="0" w:space="0" w:color="auto"/>
      </w:divBdr>
    </w:div>
    <w:div w:id="1652831658">
      <w:bodyDiv w:val="1"/>
      <w:marLeft w:val="0"/>
      <w:marRight w:val="0"/>
      <w:marTop w:val="0"/>
      <w:marBottom w:val="0"/>
      <w:divBdr>
        <w:top w:val="none" w:sz="0" w:space="0" w:color="auto"/>
        <w:left w:val="none" w:sz="0" w:space="0" w:color="auto"/>
        <w:bottom w:val="none" w:sz="0" w:space="0" w:color="auto"/>
        <w:right w:val="none" w:sz="0" w:space="0" w:color="auto"/>
      </w:divBdr>
    </w:div>
    <w:div w:id="1659916187">
      <w:bodyDiv w:val="1"/>
      <w:marLeft w:val="0"/>
      <w:marRight w:val="0"/>
      <w:marTop w:val="0"/>
      <w:marBottom w:val="0"/>
      <w:divBdr>
        <w:top w:val="none" w:sz="0" w:space="0" w:color="auto"/>
        <w:left w:val="none" w:sz="0" w:space="0" w:color="auto"/>
        <w:bottom w:val="none" w:sz="0" w:space="0" w:color="auto"/>
        <w:right w:val="none" w:sz="0" w:space="0" w:color="auto"/>
      </w:divBdr>
    </w:div>
    <w:div w:id="1669478285">
      <w:bodyDiv w:val="1"/>
      <w:marLeft w:val="0"/>
      <w:marRight w:val="0"/>
      <w:marTop w:val="0"/>
      <w:marBottom w:val="0"/>
      <w:divBdr>
        <w:top w:val="none" w:sz="0" w:space="0" w:color="auto"/>
        <w:left w:val="none" w:sz="0" w:space="0" w:color="auto"/>
        <w:bottom w:val="none" w:sz="0" w:space="0" w:color="auto"/>
        <w:right w:val="none" w:sz="0" w:space="0" w:color="auto"/>
      </w:divBdr>
    </w:div>
    <w:div w:id="1683623642">
      <w:bodyDiv w:val="1"/>
      <w:marLeft w:val="0"/>
      <w:marRight w:val="0"/>
      <w:marTop w:val="0"/>
      <w:marBottom w:val="0"/>
      <w:divBdr>
        <w:top w:val="none" w:sz="0" w:space="0" w:color="auto"/>
        <w:left w:val="none" w:sz="0" w:space="0" w:color="auto"/>
        <w:bottom w:val="none" w:sz="0" w:space="0" w:color="auto"/>
        <w:right w:val="none" w:sz="0" w:space="0" w:color="auto"/>
      </w:divBdr>
    </w:div>
    <w:div w:id="1697269205">
      <w:bodyDiv w:val="1"/>
      <w:marLeft w:val="0"/>
      <w:marRight w:val="0"/>
      <w:marTop w:val="0"/>
      <w:marBottom w:val="0"/>
      <w:divBdr>
        <w:top w:val="none" w:sz="0" w:space="0" w:color="auto"/>
        <w:left w:val="none" w:sz="0" w:space="0" w:color="auto"/>
        <w:bottom w:val="none" w:sz="0" w:space="0" w:color="auto"/>
        <w:right w:val="none" w:sz="0" w:space="0" w:color="auto"/>
      </w:divBdr>
      <w:divsChild>
        <w:div w:id="241304482">
          <w:marLeft w:val="0"/>
          <w:marRight w:val="0"/>
          <w:marTop w:val="0"/>
          <w:marBottom w:val="0"/>
          <w:divBdr>
            <w:top w:val="single" w:sz="2" w:space="0" w:color="008000"/>
            <w:left w:val="single" w:sz="2" w:space="0" w:color="008000"/>
            <w:bottom w:val="single" w:sz="2" w:space="0" w:color="008000"/>
            <w:right w:val="single" w:sz="2" w:space="0" w:color="008000"/>
          </w:divBdr>
        </w:div>
        <w:div w:id="471100532">
          <w:marLeft w:val="0"/>
          <w:marRight w:val="0"/>
          <w:marTop w:val="0"/>
          <w:marBottom w:val="0"/>
          <w:divBdr>
            <w:top w:val="single" w:sz="2" w:space="0" w:color="008000"/>
            <w:left w:val="single" w:sz="2" w:space="0" w:color="008000"/>
            <w:bottom w:val="single" w:sz="2" w:space="0" w:color="008000"/>
            <w:right w:val="single" w:sz="2" w:space="0" w:color="008000"/>
          </w:divBdr>
        </w:div>
        <w:div w:id="671496120">
          <w:marLeft w:val="0"/>
          <w:marRight w:val="0"/>
          <w:marTop w:val="0"/>
          <w:marBottom w:val="0"/>
          <w:divBdr>
            <w:top w:val="single" w:sz="2" w:space="0" w:color="008000"/>
            <w:left w:val="single" w:sz="2" w:space="0" w:color="008000"/>
            <w:bottom w:val="single" w:sz="2" w:space="0" w:color="008000"/>
            <w:right w:val="single" w:sz="2" w:space="0" w:color="008000"/>
          </w:divBdr>
        </w:div>
        <w:div w:id="887255512">
          <w:marLeft w:val="0"/>
          <w:marRight w:val="0"/>
          <w:marTop w:val="0"/>
          <w:marBottom w:val="0"/>
          <w:divBdr>
            <w:top w:val="single" w:sz="2" w:space="0" w:color="008000"/>
            <w:left w:val="single" w:sz="2" w:space="0" w:color="008000"/>
            <w:bottom w:val="single" w:sz="2" w:space="0" w:color="008000"/>
            <w:right w:val="single" w:sz="2" w:space="0" w:color="008000"/>
          </w:divBdr>
        </w:div>
      </w:divsChild>
    </w:div>
    <w:div w:id="1700274442">
      <w:bodyDiv w:val="1"/>
      <w:marLeft w:val="0"/>
      <w:marRight w:val="0"/>
      <w:marTop w:val="0"/>
      <w:marBottom w:val="0"/>
      <w:divBdr>
        <w:top w:val="none" w:sz="0" w:space="0" w:color="auto"/>
        <w:left w:val="none" w:sz="0" w:space="0" w:color="auto"/>
        <w:bottom w:val="none" w:sz="0" w:space="0" w:color="auto"/>
        <w:right w:val="none" w:sz="0" w:space="0" w:color="auto"/>
      </w:divBdr>
    </w:div>
    <w:div w:id="1704331070">
      <w:bodyDiv w:val="1"/>
      <w:marLeft w:val="0"/>
      <w:marRight w:val="0"/>
      <w:marTop w:val="0"/>
      <w:marBottom w:val="0"/>
      <w:divBdr>
        <w:top w:val="none" w:sz="0" w:space="0" w:color="auto"/>
        <w:left w:val="none" w:sz="0" w:space="0" w:color="auto"/>
        <w:bottom w:val="none" w:sz="0" w:space="0" w:color="auto"/>
        <w:right w:val="none" w:sz="0" w:space="0" w:color="auto"/>
      </w:divBdr>
    </w:div>
    <w:div w:id="1719275904">
      <w:bodyDiv w:val="1"/>
      <w:marLeft w:val="0"/>
      <w:marRight w:val="0"/>
      <w:marTop w:val="0"/>
      <w:marBottom w:val="0"/>
      <w:divBdr>
        <w:top w:val="none" w:sz="0" w:space="0" w:color="auto"/>
        <w:left w:val="none" w:sz="0" w:space="0" w:color="auto"/>
        <w:bottom w:val="none" w:sz="0" w:space="0" w:color="auto"/>
        <w:right w:val="none" w:sz="0" w:space="0" w:color="auto"/>
      </w:divBdr>
    </w:div>
    <w:div w:id="1719940164">
      <w:bodyDiv w:val="1"/>
      <w:marLeft w:val="0"/>
      <w:marRight w:val="0"/>
      <w:marTop w:val="0"/>
      <w:marBottom w:val="0"/>
      <w:divBdr>
        <w:top w:val="none" w:sz="0" w:space="0" w:color="auto"/>
        <w:left w:val="none" w:sz="0" w:space="0" w:color="auto"/>
        <w:bottom w:val="none" w:sz="0" w:space="0" w:color="auto"/>
        <w:right w:val="none" w:sz="0" w:space="0" w:color="auto"/>
      </w:divBdr>
    </w:div>
    <w:div w:id="1722287399">
      <w:bodyDiv w:val="1"/>
      <w:marLeft w:val="0"/>
      <w:marRight w:val="0"/>
      <w:marTop w:val="0"/>
      <w:marBottom w:val="0"/>
      <w:divBdr>
        <w:top w:val="none" w:sz="0" w:space="0" w:color="auto"/>
        <w:left w:val="none" w:sz="0" w:space="0" w:color="auto"/>
        <w:bottom w:val="none" w:sz="0" w:space="0" w:color="auto"/>
        <w:right w:val="none" w:sz="0" w:space="0" w:color="auto"/>
      </w:divBdr>
    </w:div>
    <w:div w:id="1723674963">
      <w:bodyDiv w:val="1"/>
      <w:marLeft w:val="0"/>
      <w:marRight w:val="0"/>
      <w:marTop w:val="0"/>
      <w:marBottom w:val="0"/>
      <w:divBdr>
        <w:top w:val="none" w:sz="0" w:space="0" w:color="auto"/>
        <w:left w:val="none" w:sz="0" w:space="0" w:color="auto"/>
        <w:bottom w:val="none" w:sz="0" w:space="0" w:color="auto"/>
        <w:right w:val="none" w:sz="0" w:space="0" w:color="auto"/>
      </w:divBdr>
    </w:div>
    <w:div w:id="1724020320">
      <w:bodyDiv w:val="1"/>
      <w:marLeft w:val="0"/>
      <w:marRight w:val="0"/>
      <w:marTop w:val="0"/>
      <w:marBottom w:val="0"/>
      <w:divBdr>
        <w:top w:val="none" w:sz="0" w:space="0" w:color="auto"/>
        <w:left w:val="none" w:sz="0" w:space="0" w:color="auto"/>
        <w:bottom w:val="none" w:sz="0" w:space="0" w:color="auto"/>
        <w:right w:val="none" w:sz="0" w:space="0" w:color="auto"/>
      </w:divBdr>
    </w:div>
    <w:div w:id="1724403532">
      <w:bodyDiv w:val="1"/>
      <w:marLeft w:val="0"/>
      <w:marRight w:val="0"/>
      <w:marTop w:val="0"/>
      <w:marBottom w:val="0"/>
      <w:divBdr>
        <w:top w:val="none" w:sz="0" w:space="0" w:color="auto"/>
        <w:left w:val="none" w:sz="0" w:space="0" w:color="auto"/>
        <w:bottom w:val="none" w:sz="0" w:space="0" w:color="auto"/>
        <w:right w:val="none" w:sz="0" w:space="0" w:color="auto"/>
      </w:divBdr>
    </w:div>
    <w:div w:id="1729109658">
      <w:bodyDiv w:val="1"/>
      <w:marLeft w:val="0"/>
      <w:marRight w:val="0"/>
      <w:marTop w:val="0"/>
      <w:marBottom w:val="0"/>
      <w:divBdr>
        <w:top w:val="none" w:sz="0" w:space="0" w:color="auto"/>
        <w:left w:val="none" w:sz="0" w:space="0" w:color="auto"/>
        <w:bottom w:val="none" w:sz="0" w:space="0" w:color="auto"/>
        <w:right w:val="none" w:sz="0" w:space="0" w:color="auto"/>
      </w:divBdr>
    </w:div>
    <w:div w:id="1733431271">
      <w:bodyDiv w:val="1"/>
      <w:marLeft w:val="0"/>
      <w:marRight w:val="0"/>
      <w:marTop w:val="0"/>
      <w:marBottom w:val="0"/>
      <w:divBdr>
        <w:top w:val="none" w:sz="0" w:space="0" w:color="auto"/>
        <w:left w:val="none" w:sz="0" w:space="0" w:color="auto"/>
        <w:bottom w:val="none" w:sz="0" w:space="0" w:color="auto"/>
        <w:right w:val="none" w:sz="0" w:space="0" w:color="auto"/>
      </w:divBdr>
    </w:div>
    <w:div w:id="1734616236">
      <w:bodyDiv w:val="1"/>
      <w:marLeft w:val="0"/>
      <w:marRight w:val="0"/>
      <w:marTop w:val="0"/>
      <w:marBottom w:val="0"/>
      <w:divBdr>
        <w:top w:val="none" w:sz="0" w:space="0" w:color="auto"/>
        <w:left w:val="none" w:sz="0" w:space="0" w:color="auto"/>
        <w:bottom w:val="none" w:sz="0" w:space="0" w:color="auto"/>
        <w:right w:val="none" w:sz="0" w:space="0" w:color="auto"/>
      </w:divBdr>
    </w:div>
    <w:div w:id="1740637912">
      <w:bodyDiv w:val="1"/>
      <w:marLeft w:val="0"/>
      <w:marRight w:val="0"/>
      <w:marTop w:val="0"/>
      <w:marBottom w:val="0"/>
      <w:divBdr>
        <w:top w:val="none" w:sz="0" w:space="0" w:color="auto"/>
        <w:left w:val="none" w:sz="0" w:space="0" w:color="auto"/>
        <w:bottom w:val="none" w:sz="0" w:space="0" w:color="auto"/>
        <w:right w:val="none" w:sz="0" w:space="0" w:color="auto"/>
      </w:divBdr>
    </w:div>
    <w:div w:id="1747604204">
      <w:bodyDiv w:val="1"/>
      <w:marLeft w:val="0"/>
      <w:marRight w:val="0"/>
      <w:marTop w:val="0"/>
      <w:marBottom w:val="0"/>
      <w:divBdr>
        <w:top w:val="none" w:sz="0" w:space="0" w:color="auto"/>
        <w:left w:val="none" w:sz="0" w:space="0" w:color="auto"/>
        <w:bottom w:val="none" w:sz="0" w:space="0" w:color="auto"/>
        <w:right w:val="none" w:sz="0" w:space="0" w:color="auto"/>
      </w:divBdr>
    </w:div>
    <w:div w:id="1758790371">
      <w:bodyDiv w:val="1"/>
      <w:marLeft w:val="0"/>
      <w:marRight w:val="0"/>
      <w:marTop w:val="0"/>
      <w:marBottom w:val="0"/>
      <w:divBdr>
        <w:top w:val="none" w:sz="0" w:space="0" w:color="auto"/>
        <w:left w:val="none" w:sz="0" w:space="0" w:color="auto"/>
        <w:bottom w:val="none" w:sz="0" w:space="0" w:color="auto"/>
        <w:right w:val="none" w:sz="0" w:space="0" w:color="auto"/>
      </w:divBdr>
    </w:div>
    <w:div w:id="1759055144">
      <w:bodyDiv w:val="1"/>
      <w:marLeft w:val="0"/>
      <w:marRight w:val="0"/>
      <w:marTop w:val="0"/>
      <w:marBottom w:val="0"/>
      <w:divBdr>
        <w:top w:val="none" w:sz="0" w:space="0" w:color="auto"/>
        <w:left w:val="none" w:sz="0" w:space="0" w:color="auto"/>
        <w:bottom w:val="none" w:sz="0" w:space="0" w:color="auto"/>
        <w:right w:val="none" w:sz="0" w:space="0" w:color="auto"/>
      </w:divBdr>
    </w:div>
    <w:div w:id="1764763112">
      <w:bodyDiv w:val="1"/>
      <w:marLeft w:val="0"/>
      <w:marRight w:val="0"/>
      <w:marTop w:val="0"/>
      <w:marBottom w:val="0"/>
      <w:divBdr>
        <w:top w:val="none" w:sz="0" w:space="0" w:color="auto"/>
        <w:left w:val="none" w:sz="0" w:space="0" w:color="auto"/>
        <w:bottom w:val="none" w:sz="0" w:space="0" w:color="auto"/>
        <w:right w:val="none" w:sz="0" w:space="0" w:color="auto"/>
      </w:divBdr>
    </w:div>
    <w:div w:id="1765956332">
      <w:bodyDiv w:val="1"/>
      <w:marLeft w:val="0"/>
      <w:marRight w:val="0"/>
      <w:marTop w:val="0"/>
      <w:marBottom w:val="0"/>
      <w:divBdr>
        <w:top w:val="none" w:sz="0" w:space="0" w:color="auto"/>
        <w:left w:val="none" w:sz="0" w:space="0" w:color="auto"/>
        <w:bottom w:val="none" w:sz="0" w:space="0" w:color="auto"/>
        <w:right w:val="none" w:sz="0" w:space="0" w:color="auto"/>
      </w:divBdr>
    </w:div>
    <w:div w:id="1766266405">
      <w:bodyDiv w:val="1"/>
      <w:marLeft w:val="0"/>
      <w:marRight w:val="0"/>
      <w:marTop w:val="0"/>
      <w:marBottom w:val="0"/>
      <w:divBdr>
        <w:top w:val="none" w:sz="0" w:space="0" w:color="auto"/>
        <w:left w:val="none" w:sz="0" w:space="0" w:color="auto"/>
        <w:bottom w:val="none" w:sz="0" w:space="0" w:color="auto"/>
        <w:right w:val="none" w:sz="0" w:space="0" w:color="auto"/>
      </w:divBdr>
    </w:div>
    <w:div w:id="1772823610">
      <w:bodyDiv w:val="1"/>
      <w:marLeft w:val="0"/>
      <w:marRight w:val="0"/>
      <w:marTop w:val="0"/>
      <w:marBottom w:val="0"/>
      <w:divBdr>
        <w:top w:val="none" w:sz="0" w:space="0" w:color="auto"/>
        <w:left w:val="none" w:sz="0" w:space="0" w:color="auto"/>
        <w:bottom w:val="none" w:sz="0" w:space="0" w:color="auto"/>
        <w:right w:val="none" w:sz="0" w:space="0" w:color="auto"/>
      </w:divBdr>
    </w:div>
    <w:div w:id="1775251459">
      <w:bodyDiv w:val="1"/>
      <w:marLeft w:val="0"/>
      <w:marRight w:val="0"/>
      <w:marTop w:val="0"/>
      <w:marBottom w:val="0"/>
      <w:divBdr>
        <w:top w:val="none" w:sz="0" w:space="0" w:color="auto"/>
        <w:left w:val="none" w:sz="0" w:space="0" w:color="auto"/>
        <w:bottom w:val="none" w:sz="0" w:space="0" w:color="auto"/>
        <w:right w:val="none" w:sz="0" w:space="0" w:color="auto"/>
      </w:divBdr>
    </w:div>
    <w:div w:id="1778326806">
      <w:bodyDiv w:val="1"/>
      <w:marLeft w:val="0"/>
      <w:marRight w:val="0"/>
      <w:marTop w:val="0"/>
      <w:marBottom w:val="0"/>
      <w:divBdr>
        <w:top w:val="none" w:sz="0" w:space="0" w:color="auto"/>
        <w:left w:val="none" w:sz="0" w:space="0" w:color="auto"/>
        <w:bottom w:val="none" w:sz="0" w:space="0" w:color="auto"/>
        <w:right w:val="none" w:sz="0" w:space="0" w:color="auto"/>
      </w:divBdr>
    </w:div>
    <w:div w:id="1779329107">
      <w:bodyDiv w:val="1"/>
      <w:marLeft w:val="0"/>
      <w:marRight w:val="0"/>
      <w:marTop w:val="0"/>
      <w:marBottom w:val="0"/>
      <w:divBdr>
        <w:top w:val="none" w:sz="0" w:space="0" w:color="auto"/>
        <w:left w:val="none" w:sz="0" w:space="0" w:color="auto"/>
        <w:bottom w:val="none" w:sz="0" w:space="0" w:color="auto"/>
        <w:right w:val="none" w:sz="0" w:space="0" w:color="auto"/>
      </w:divBdr>
    </w:div>
    <w:div w:id="1783569289">
      <w:bodyDiv w:val="1"/>
      <w:marLeft w:val="0"/>
      <w:marRight w:val="0"/>
      <w:marTop w:val="0"/>
      <w:marBottom w:val="0"/>
      <w:divBdr>
        <w:top w:val="none" w:sz="0" w:space="0" w:color="auto"/>
        <w:left w:val="none" w:sz="0" w:space="0" w:color="auto"/>
        <w:bottom w:val="none" w:sz="0" w:space="0" w:color="auto"/>
        <w:right w:val="none" w:sz="0" w:space="0" w:color="auto"/>
      </w:divBdr>
    </w:div>
    <w:div w:id="1803578228">
      <w:bodyDiv w:val="1"/>
      <w:marLeft w:val="0"/>
      <w:marRight w:val="0"/>
      <w:marTop w:val="0"/>
      <w:marBottom w:val="0"/>
      <w:divBdr>
        <w:top w:val="none" w:sz="0" w:space="0" w:color="auto"/>
        <w:left w:val="none" w:sz="0" w:space="0" w:color="auto"/>
        <w:bottom w:val="none" w:sz="0" w:space="0" w:color="auto"/>
        <w:right w:val="none" w:sz="0" w:space="0" w:color="auto"/>
      </w:divBdr>
    </w:div>
    <w:div w:id="1805803981">
      <w:bodyDiv w:val="1"/>
      <w:marLeft w:val="0"/>
      <w:marRight w:val="0"/>
      <w:marTop w:val="0"/>
      <w:marBottom w:val="0"/>
      <w:divBdr>
        <w:top w:val="none" w:sz="0" w:space="0" w:color="auto"/>
        <w:left w:val="none" w:sz="0" w:space="0" w:color="auto"/>
        <w:bottom w:val="none" w:sz="0" w:space="0" w:color="auto"/>
        <w:right w:val="none" w:sz="0" w:space="0" w:color="auto"/>
      </w:divBdr>
    </w:div>
    <w:div w:id="1808353361">
      <w:bodyDiv w:val="1"/>
      <w:marLeft w:val="0"/>
      <w:marRight w:val="0"/>
      <w:marTop w:val="0"/>
      <w:marBottom w:val="0"/>
      <w:divBdr>
        <w:top w:val="none" w:sz="0" w:space="0" w:color="auto"/>
        <w:left w:val="none" w:sz="0" w:space="0" w:color="auto"/>
        <w:bottom w:val="none" w:sz="0" w:space="0" w:color="auto"/>
        <w:right w:val="none" w:sz="0" w:space="0" w:color="auto"/>
      </w:divBdr>
    </w:div>
    <w:div w:id="1812089351">
      <w:bodyDiv w:val="1"/>
      <w:marLeft w:val="0"/>
      <w:marRight w:val="0"/>
      <w:marTop w:val="0"/>
      <w:marBottom w:val="0"/>
      <w:divBdr>
        <w:top w:val="none" w:sz="0" w:space="0" w:color="auto"/>
        <w:left w:val="none" w:sz="0" w:space="0" w:color="auto"/>
        <w:bottom w:val="none" w:sz="0" w:space="0" w:color="auto"/>
        <w:right w:val="none" w:sz="0" w:space="0" w:color="auto"/>
      </w:divBdr>
    </w:div>
    <w:div w:id="1815171816">
      <w:bodyDiv w:val="1"/>
      <w:marLeft w:val="0"/>
      <w:marRight w:val="0"/>
      <w:marTop w:val="0"/>
      <w:marBottom w:val="0"/>
      <w:divBdr>
        <w:top w:val="none" w:sz="0" w:space="0" w:color="auto"/>
        <w:left w:val="none" w:sz="0" w:space="0" w:color="auto"/>
        <w:bottom w:val="none" w:sz="0" w:space="0" w:color="auto"/>
        <w:right w:val="none" w:sz="0" w:space="0" w:color="auto"/>
      </w:divBdr>
    </w:div>
    <w:div w:id="1817838944">
      <w:bodyDiv w:val="1"/>
      <w:marLeft w:val="0"/>
      <w:marRight w:val="0"/>
      <w:marTop w:val="0"/>
      <w:marBottom w:val="0"/>
      <w:divBdr>
        <w:top w:val="none" w:sz="0" w:space="0" w:color="auto"/>
        <w:left w:val="none" w:sz="0" w:space="0" w:color="auto"/>
        <w:bottom w:val="none" w:sz="0" w:space="0" w:color="auto"/>
        <w:right w:val="none" w:sz="0" w:space="0" w:color="auto"/>
      </w:divBdr>
    </w:div>
    <w:div w:id="1821269419">
      <w:bodyDiv w:val="1"/>
      <w:marLeft w:val="0"/>
      <w:marRight w:val="0"/>
      <w:marTop w:val="0"/>
      <w:marBottom w:val="0"/>
      <w:divBdr>
        <w:top w:val="none" w:sz="0" w:space="0" w:color="auto"/>
        <w:left w:val="none" w:sz="0" w:space="0" w:color="auto"/>
        <w:bottom w:val="none" w:sz="0" w:space="0" w:color="auto"/>
        <w:right w:val="none" w:sz="0" w:space="0" w:color="auto"/>
      </w:divBdr>
    </w:div>
    <w:div w:id="1822119394">
      <w:bodyDiv w:val="1"/>
      <w:marLeft w:val="0"/>
      <w:marRight w:val="0"/>
      <w:marTop w:val="0"/>
      <w:marBottom w:val="0"/>
      <w:divBdr>
        <w:top w:val="none" w:sz="0" w:space="0" w:color="auto"/>
        <w:left w:val="none" w:sz="0" w:space="0" w:color="auto"/>
        <w:bottom w:val="none" w:sz="0" w:space="0" w:color="auto"/>
        <w:right w:val="none" w:sz="0" w:space="0" w:color="auto"/>
      </w:divBdr>
    </w:div>
    <w:div w:id="1832066207">
      <w:bodyDiv w:val="1"/>
      <w:marLeft w:val="0"/>
      <w:marRight w:val="0"/>
      <w:marTop w:val="0"/>
      <w:marBottom w:val="0"/>
      <w:divBdr>
        <w:top w:val="none" w:sz="0" w:space="0" w:color="auto"/>
        <w:left w:val="none" w:sz="0" w:space="0" w:color="auto"/>
        <w:bottom w:val="none" w:sz="0" w:space="0" w:color="auto"/>
        <w:right w:val="none" w:sz="0" w:space="0" w:color="auto"/>
      </w:divBdr>
    </w:div>
    <w:div w:id="1833108493">
      <w:bodyDiv w:val="1"/>
      <w:marLeft w:val="0"/>
      <w:marRight w:val="0"/>
      <w:marTop w:val="0"/>
      <w:marBottom w:val="0"/>
      <w:divBdr>
        <w:top w:val="none" w:sz="0" w:space="0" w:color="auto"/>
        <w:left w:val="none" w:sz="0" w:space="0" w:color="auto"/>
        <w:bottom w:val="none" w:sz="0" w:space="0" w:color="auto"/>
        <w:right w:val="none" w:sz="0" w:space="0" w:color="auto"/>
      </w:divBdr>
    </w:div>
    <w:div w:id="1840193140">
      <w:bodyDiv w:val="1"/>
      <w:marLeft w:val="0"/>
      <w:marRight w:val="0"/>
      <w:marTop w:val="0"/>
      <w:marBottom w:val="0"/>
      <w:divBdr>
        <w:top w:val="none" w:sz="0" w:space="0" w:color="auto"/>
        <w:left w:val="none" w:sz="0" w:space="0" w:color="auto"/>
        <w:bottom w:val="none" w:sz="0" w:space="0" w:color="auto"/>
        <w:right w:val="none" w:sz="0" w:space="0" w:color="auto"/>
      </w:divBdr>
    </w:div>
    <w:div w:id="1845127491">
      <w:bodyDiv w:val="1"/>
      <w:marLeft w:val="0"/>
      <w:marRight w:val="0"/>
      <w:marTop w:val="0"/>
      <w:marBottom w:val="0"/>
      <w:divBdr>
        <w:top w:val="none" w:sz="0" w:space="0" w:color="auto"/>
        <w:left w:val="none" w:sz="0" w:space="0" w:color="auto"/>
        <w:bottom w:val="none" w:sz="0" w:space="0" w:color="auto"/>
        <w:right w:val="none" w:sz="0" w:space="0" w:color="auto"/>
      </w:divBdr>
    </w:div>
    <w:div w:id="1846823300">
      <w:bodyDiv w:val="1"/>
      <w:marLeft w:val="0"/>
      <w:marRight w:val="0"/>
      <w:marTop w:val="0"/>
      <w:marBottom w:val="0"/>
      <w:divBdr>
        <w:top w:val="none" w:sz="0" w:space="0" w:color="auto"/>
        <w:left w:val="none" w:sz="0" w:space="0" w:color="auto"/>
        <w:bottom w:val="none" w:sz="0" w:space="0" w:color="auto"/>
        <w:right w:val="none" w:sz="0" w:space="0" w:color="auto"/>
      </w:divBdr>
    </w:div>
    <w:div w:id="1847791345">
      <w:bodyDiv w:val="1"/>
      <w:marLeft w:val="0"/>
      <w:marRight w:val="0"/>
      <w:marTop w:val="0"/>
      <w:marBottom w:val="0"/>
      <w:divBdr>
        <w:top w:val="none" w:sz="0" w:space="0" w:color="auto"/>
        <w:left w:val="none" w:sz="0" w:space="0" w:color="auto"/>
        <w:bottom w:val="none" w:sz="0" w:space="0" w:color="auto"/>
        <w:right w:val="none" w:sz="0" w:space="0" w:color="auto"/>
      </w:divBdr>
    </w:div>
    <w:div w:id="1849522676">
      <w:bodyDiv w:val="1"/>
      <w:marLeft w:val="0"/>
      <w:marRight w:val="0"/>
      <w:marTop w:val="0"/>
      <w:marBottom w:val="0"/>
      <w:divBdr>
        <w:top w:val="none" w:sz="0" w:space="0" w:color="auto"/>
        <w:left w:val="none" w:sz="0" w:space="0" w:color="auto"/>
        <w:bottom w:val="none" w:sz="0" w:space="0" w:color="auto"/>
        <w:right w:val="none" w:sz="0" w:space="0" w:color="auto"/>
      </w:divBdr>
    </w:div>
    <w:div w:id="1852378950">
      <w:bodyDiv w:val="1"/>
      <w:marLeft w:val="0"/>
      <w:marRight w:val="0"/>
      <w:marTop w:val="0"/>
      <w:marBottom w:val="0"/>
      <w:divBdr>
        <w:top w:val="none" w:sz="0" w:space="0" w:color="auto"/>
        <w:left w:val="none" w:sz="0" w:space="0" w:color="auto"/>
        <w:bottom w:val="none" w:sz="0" w:space="0" w:color="auto"/>
        <w:right w:val="none" w:sz="0" w:space="0" w:color="auto"/>
      </w:divBdr>
    </w:div>
    <w:div w:id="1858886922">
      <w:bodyDiv w:val="1"/>
      <w:marLeft w:val="0"/>
      <w:marRight w:val="0"/>
      <w:marTop w:val="0"/>
      <w:marBottom w:val="0"/>
      <w:divBdr>
        <w:top w:val="none" w:sz="0" w:space="0" w:color="auto"/>
        <w:left w:val="none" w:sz="0" w:space="0" w:color="auto"/>
        <w:bottom w:val="none" w:sz="0" w:space="0" w:color="auto"/>
        <w:right w:val="none" w:sz="0" w:space="0" w:color="auto"/>
      </w:divBdr>
    </w:div>
    <w:div w:id="1875270556">
      <w:bodyDiv w:val="1"/>
      <w:marLeft w:val="0"/>
      <w:marRight w:val="0"/>
      <w:marTop w:val="0"/>
      <w:marBottom w:val="0"/>
      <w:divBdr>
        <w:top w:val="none" w:sz="0" w:space="0" w:color="auto"/>
        <w:left w:val="none" w:sz="0" w:space="0" w:color="auto"/>
        <w:bottom w:val="none" w:sz="0" w:space="0" w:color="auto"/>
        <w:right w:val="none" w:sz="0" w:space="0" w:color="auto"/>
      </w:divBdr>
    </w:div>
    <w:div w:id="1878812127">
      <w:bodyDiv w:val="1"/>
      <w:marLeft w:val="0"/>
      <w:marRight w:val="0"/>
      <w:marTop w:val="0"/>
      <w:marBottom w:val="0"/>
      <w:divBdr>
        <w:top w:val="none" w:sz="0" w:space="0" w:color="auto"/>
        <w:left w:val="none" w:sz="0" w:space="0" w:color="auto"/>
        <w:bottom w:val="none" w:sz="0" w:space="0" w:color="auto"/>
        <w:right w:val="none" w:sz="0" w:space="0" w:color="auto"/>
      </w:divBdr>
    </w:div>
    <w:div w:id="1889298827">
      <w:bodyDiv w:val="1"/>
      <w:marLeft w:val="0"/>
      <w:marRight w:val="0"/>
      <w:marTop w:val="0"/>
      <w:marBottom w:val="0"/>
      <w:divBdr>
        <w:top w:val="none" w:sz="0" w:space="0" w:color="auto"/>
        <w:left w:val="none" w:sz="0" w:space="0" w:color="auto"/>
        <w:bottom w:val="none" w:sz="0" w:space="0" w:color="auto"/>
        <w:right w:val="none" w:sz="0" w:space="0" w:color="auto"/>
      </w:divBdr>
    </w:div>
    <w:div w:id="1890917035">
      <w:bodyDiv w:val="1"/>
      <w:marLeft w:val="0"/>
      <w:marRight w:val="0"/>
      <w:marTop w:val="0"/>
      <w:marBottom w:val="0"/>
      <w:divBdr>
        <w:top w:val="none" w:sz="0" w:space="0" w:color="auto"/>
        <w:left w:val="none" w:sz="0" w:space="0" w:color="auto"/>
        <w:bottom w:val="none" w:sz="0" w:space="0" w:color="auto"/>
        <w:right w:val="none" w:sz="0" w:space="0" w:color="auto"/>
      </w:divBdr>
    </w:div>
    <w:div w:id="1893035066">
      <w:bodyDiv w:val="1"/>
      <w:marLeft w:val="0"/>
      <w:marRight w:val="0"/>
      <w:marTop w:val="0"/>
      <w:marBottom w:val="0"/>
      <w:divBdr>
        <w:top w:val="none" w:sz="0" w:space="0" w:color="auto"/>
        <w:left w:val="none" w:sz="0" w:space="0" w:color="auto"/>
        <w:bottom w:val="none" w:sz="0" w:space="0" w:color="auto"/>
        <w:right w:val="none" w:sz="0" w:space="0" w:color="auto"/>
      </w:divBdr>
    </w:div>
    <w:div w:id="1898514672">
      <w:bodyDiv w:val="1"/>
      <w:marLeft w:val="0"/>
      <w:marRight w:val="0"/>
      <w:marTop w:val="0"/>
      <w:marBottom w:val="0"/>
      <w:divBdr>
        <w:top w:val="none" w:sz="0" w:space="0" w:color="auto"/>
        <w:left w:val="none" w:sz="0" w:space="0" w:color="auto"/>
        <w:bottom w:val="none" w:sz="0" w:space="0" w:color="auto"/>
        <w:right w:val="none" w:sz="0" w:space="0" w:color="auto"/>
      </w:divBdr>
    </w:div>
    <w:div w:id="1901623837">
      <w:bodyDiv w:val="1"/>
      <w:marLeft w:val="0"/>
      <w:marRight w:val="0"/>
      <w:marTop w:val="0"/>
      <w:marBottom w:val="0"/>
      <w:divBdr>
        <w:top w:val="none" w:sz="0" w:space="0" w:color="auto"/>
        <w:left w:val="none" w:sz="0" w:space="0" w:color="auto"/>
        <w:bottom w:val="none" w:sz="0" w:space="0" w:color="auto"/>
        <w:right w:val="none" w:sz="0" w:space="0" w:color="auto"/>
      </w:divBdr>
    </w:div>
    <w:div w:id="1905793609">
      <w:bodyDiv w:val="1"/>
      <w:marLeft w:val="0"/>
      <w:marRight w:val="0"/>
      <w:marTop w:val="0"/>
      <w:marBottom w:val="0"/>
      <w:divBdr>
        <w:top w:val="none" w:sz="0" w:space="0" w:color="auto"/>
        <w:left w:val="none" w:sz="0" w:space="0" w:color="auto"/>
        <w:bottom w:val="none" w:sz="0" w:space="0" w:color="auto"/>
        <w:right w:val="none" w:sz="0" w:space="0" w:color="auto"/>
      </w:divBdr>
    </w:div>
    <w:div w:id="1911384638">
      <w:bodyDiv w:val="1"/>
      <w:marLeft w:val="0"/>
      <w:marRight w:val="0"/>
      <w:marTop w:val="0"/>
      <w:marBottom w:val="0"/>
      <w:divBdr>
        <w:top w:val="none" w:sz="0" w:space="0" w:color="auto"/>
        <w:left w:val="none" w:sz="0" w:space="0" w:color="auto"/>
        <w:bottom w:val="none" w:sz="0" w:space="0" w:color="auto"/>
        <w:right w:val="none" w:sz="0" w:space="0" w:color="auto"/>
      </w:divBdr>
    </w:div>
    <w:div w:id="1914849942">
      <w:bodyDiv w:val="1"/>
      <w:marLeft w:val="0"/>
      <w:marRight w:val="0"/>
      <w:marTop w:val="0"/>
      <w:marBottom w:val="0"/>
      <w:divBdr>
        <w:top w:val="none" w:sz="0" w:space="0" w:color="auto"/>
        <w:left w:val="none" w:sz="0" w:space="0" w:color="auto"/>
        <w:bottom w:val="none" w:sz="0" w:space="0" w:color="auto"/>
        <w:right w:val="none" w:sz="0" w:space="0" w:color="auto"/>
      </w:divBdr>
    </w:div>
    <w:div w:id="1919704131">
      <w:bodyDiv w:val="1"/>
      <w:marLeft w:val="0"/>
      <w:marRight w:val="0"/>
      <w:marTop w:val="0"/>
      <w:marBottom w:val="0"/>
      <w:divBdr>
        <w:top w:val="none" w:sz="0" w:space="0" w:color="auto"/>
        <w:left w:val="none" w:sz="0" w:space="0" w:color="auto"/>
        <w:bottom w:val="none" w:sz="0" w:space="0" w:color="auto"/>
        <w:right w:val="none" w:sz="0" w:space="0" w:color="auto"/>
      </w:divBdr>
    </w:div>
    <w:div w:id="1931114337">
      <w:bodyDiv w:val="1"/>
      <w:marLeft w:val="0"/>
      <w:marRight w:val="0"/>
      <w:marTop w:val="0"/>
      <w:marBottom w:val="0"/>
      <w:divBdr>
        <w:top w:val="none" w:sz="0" w:space="0" w:color="auto"/>
        <w:left w:val="none" w:sz="0" w:space="0" w:color="auto"/>
        <w:bottom w:val="none" w:sz="0" w:space="0" w:color="auto"/>
        <w:right w:val="none" w:sz="0" w:space="0" w:color="auto"/>
      </w:divBdr>
    </w:div>
    <w:div w:id="1931501669">
      <w:bodyDiv w:val="1"/>
      <w:marLeft w:val="0"/>
      <w:marRight w:val="0"/>
      <w:marTop w:val="0"/>
      <w:marBottom w:val="0"/>
      <w:divBdr>
        <w:top w:val="none" w:sz="0" w:space="0" w:color="auto"/>
        <w:left w:val="none" w:sz="0" w:space="0" w:color="auto"/>
        <w:bottom w:val="none" w:sz="0" w:space="0" w:color="auto"/>
        <w:right w:val="none" w:sz="0" w:space="0" w:color="auto"/>
      </w:divBdr>
    </w:div>
    <w:div w:id="1934850513">
      <w:bodyDiv w:val="1"/>
      <w:marLeft w:val="0"/>
      <w:marRight w:val="0"/>
      <w:marTop w:val="0"/>
      <w:marBottom w:val="0"/>
      <w:divBdr>
        <w:top w:val="none" w:sz="0" w:space="0" w:color="auto"/>
        <w:left w:val="none" w:sz="0" w:space="0" w:color="auto"/>
        <w:bottom w:val="none" w:sz="0" w:space="0" w:color="auto"/>
        <w:right w:val="none" w:sz="0" w:space="0" w:color="auto"/>
      </w:divBdr>
    </w:div>
    <w:div w:id="1937781744">
      <w:bodyDiv w:val="1"/>
      <w:marLeft w:val="0"/>
      <w:marRight w:val="0"/>
      <w:marTop w:val="0"/>
      <w:marBottom w:val="0"/>
      <w:divBdr>
        <w:top w:val="none" w:sz="0" w:space="0" w:color="auto"/>
        <w:left w:val="none" w:sz="0" w:space="0" w:color="auto"/>
        <w:bottom w:val="none" w:sz="0" w:space="0" w:color="auto"/>
        <w:right w:val="none" w:sz="0" w:space="0" w:color="auto"/>
      </w:divBdr>
    </w:div>
    <w:div w:id="1940521574">
      <w:bodyDiv w:val="1"/>
      <w:marLeft w:val="0"/>
      <w:marRight w:val="0"/>
      <w:marTop w:val="0"/>
      <w:marBottom w:val="0"/>
      <w:divBdr>
        <w:top w:val="none" w:sz="0" w:space="0" w:color="auto"/>
        <w:left w:val="none" w:sz="0" w:space="0" w:color="auto"/>
        <w:bottom w:val="none" w:sz="0" w:space="0" w:color="auto"/>
        <w:right w:val="none" w:sz="0" w:space="0" w:color="auto"/>
      </w:divBdr>
    </w:div>
    <w:div w:id="1942949058">
      <w:bodyDiv w:val="1"/>
      <w:marLeft w:val="0"/>
      <w:marRight w:val="0"/>
      <w:marTop w:val="0"/>
      <w:marBottom w:val="0"/>
      <w:divBdr>
        <w:top w:val="none" w:sz="0" w:space="0" w:color="auto"/>
        <w:left w:val="none" w:sz="0" w:space="0" w:color="auto"/>
        <w:bottom w:val="none" w:sz="0" w:space="0" w:color="auto"/>
        <w:right w:val="none" w:sz="0" w:space="0" w:color="auto"/>
      </w:divBdr>
    </w:div>
    <w:div w:id="1951471935">
      <w:bodyDiv w:val="1"/>
      <w:marLeft w:val="0"/>
      <w:marRight w:val="0"/>
      <w:marTop w:val="0"/>
      <w:marBottom w:val="0"/>
      <w:divBdr>
        <w:top w:val="none" w:sz="0" w:space="0" w:color="auto"/>
        <w:left w:val="none" w:sz="0" w:space="0" w:color="auto"/>
        <w:bottom w:val="none" w:sz="0" w:space="0" w:color="auto"/>
        <w:right w:val="none" w:sz="0" w:space="0" w:color="auto"/>
      </w:divBdr>
    </w:div>
    <w:div w:id="1958952004">
      <w:bodyDiv w:val="1"/>
      <w:marLeft w:val="0"/>
      <w:marRight w:val="0"/>
      <w:marTop w:val="0"/>
      <w:marBottom w:val="0"/>
      <w:divBdr>
        <w:top w:val="none" w:sz="0" w:space="0" w:color="auto"/>
        <w:left w:val="none" w:sz="0" w:space="0" w:color="auto"/>
        <w:bottom w:val="none" w:sz="0" w:space="0" w:color="auto"/>
        <w:right w:val="none" w:sz="0" w:space="0" w:color="auto"/>
      </w:divBdr>
    </w:div>
    <w:div w:id="1965039515">
      <w:bodyDiv w:val="1"/>
      <w:marLeft w:val="0"/>
      <w:marRight w:val="0"/>
      <w:marTop w:val="0"/>
      <w:marBottom w:val="0"/>
      <w:divBdr>
        <w:top w:val="none" w:sz="0" w:space="0" w:color="auto"/>
        <w:left w:val="none" w:sz="0" w:space="0" w:color="auto"/>
        <w:bottom w:val="none" w:sz="0" w:space="0" w:color="auto"/>
        <w:right w:val="none" w:sz="0" w:space="0" w:color="auto"/>
      </w:divBdr>
    </w:div>
    <w:div w:id="1982541875">
      <w:bodyDiv w:val="1"/>
      <w:marLeft w:val="0"/>
      <w:marRight w:val="0"/>
      <w:marTop w:val="0"/>
      <w:marBottom w:val="0"/>
      <w:divBdr>
        <w:top w:val="none" w:sz="0" w:space="0" w:color="auto"/>
        <w:left w:val="none" w:sz="0" w:space="0" w:color="auto"/>
        <w:bottom w:val="none" w:sz="0" w:space="0" w:color="auto"/>
        <w:right w:val="none" w:sz="0" w:space="0" w:color="auto"/>
      </w:divBdr>
    </w:div>
    <w:div w:id="1984844680">
      <w:bodyDiv w:val="1"/>
      <w:marLeft w:val="0"/>
      <w:marRight w:val="0"/>
      <w:marTop w:val="0"/>
      <w:marBottom w:val="0"/>
      <w:divBdr>
        <w:top w:val="none" w:sz="0" w:space="0" w:color="auto"/>
        <w:left w:val="none" w:sz="0" w:space="0" w:color="auto"/>
        <w:bottom w:val="none" w:sz="0" w:space="0" w:color="auto"/>
        <w:right w:val="none" w:sz="0" w:space="0" w:color="auto"/>
      </w:divBdr>
    </w:div>
    <w:div w:id="1987859550">
      <w:bodyDiv w:val="1"/>
      <w:marLeft w:val="0"/>
      <w:marRight w:val="0"/>
      <w:marTop w:val="0"/>
      <w:marBottom w:val="0"/>
      <w:divBdr>
        <w:top w:val="none" w:sz="0" w:space="0" w:color="auto"/>
        <w:left w:val="none" w:sz="0" w:space="0" w:color="auto"/>
        <w:bottom w:val="none" w:sz="0" w:space="0" w:color="auto"/>
        <w:right w:val="none" w:sz="0" w:space="0" w:color="auto"/>
      </w:divBdr>
    </w:div>
    <w:div w:id="1989092923">
      <w:bodyDiv w:val="1"/>
      <w:marLeft w:val="0"/>
      <w:marRight w:val="0"/>
      <w:marTop w:val="0"/>
      <w:marBottom w:val="0"/>
      <w:divBdr>
        <w:top w:val="none" w:sz="0" w:space="0" w:color="auto"/>
        <w:left w:val="none" w:sz="0" w:space="0" w:color="auto"/>
        <w:bottom w:val="none" w:sz="0" w:space="0" w:color="auto"/>
        <w:right w:val="none" w:sz="0" w:space="0" w:color="auto"/>
      </w:divBdr>
    </w:div>
    <w:div w:id="2001497577">
      <w:bodyDiv w:val="1"/>
      <w:marLeft w:val="0"/>
      <w:marRight w:val="0"/>
      <w:marTop w:val="0"/>
      <w:marBottom w:val="0"/>
      <w:divBdr>
        <w:top w:val="none" w:sz="0" w:space="0" w:color="auto"/>
        <w:left w:val="none" w:sz="0" w:space="0" w:color="auto"/>
        <w:bottom w:val="none" w:sz="0" w:space="0" w:color="auto"/>
        <w:right w:val="none" w:sz="0" w:space="0" w:color="auto"/>
      </w:divBdr>
    </w:div>
    <w:div w:id="2005549534">
      <w:bodyDiv w:val="1"/>
      <w:marLeft w:val="0"/>
      <w:marRight w:val="0"/>
      <w:marTop w:val="0"/>
      <w:marBottom w:val="0"/>
      <w:divBdr>
        <w:top w:val="none" w:sz="0" w:space="0" w:color="auto"/>
        <w:left w:val="none" w:sz="0" w:space="0" w:color="auto"/>
        <w:bottom w:val="none" w:sz="0" w:space="0" w:color="auto"/>
        <w:right w:val="none" w:sz="0" w:space="0" w:color="auto"/>
      </w:divBdr>
    </w:div>
    <w:div w:id="2008441410">
      <w:bodyDiv w:val="1"/>
      <w:marLeft w:val="0"/>
      <w:marRight w:val="0"/>
      <w:marTop w:val="0"/>
      <w:marBottom w:val="0"/>
      <w:divBdr>
        <w:top w:val="none" w:sz="0" w:space="0" w:color="auto"/>
        <w:left w:val="none" w:sz="0" w:space="0" w:color="auto"/>
        <w:bottom w:val="none" w:sz="0" w:space="0" w:color="auto"/>
        <w:right w:val="none" w:sz="0" w:space="0" w:color="auto"/>
      </w:divBdr>
    </w:div>
    <w:div w:id="2008897772">
      <w:bodyDiv w:val="1"/>
      <w:marLeft w:val="0"/>
      <w:marRight w:val="0"/>
      <w:marTop w:val="0"/>
      <w:marBottom w:val="0"/>
      <w:divBdr>
        <w:top w:val="none" w:sz="0" w:space="0" w:color="auto"/>
        <w:left w:val="none" w:sz="0" w:space="0" w:color="auto"/>
        <w:bottom w:val="none" w:sz="0" w:space="0" w:color="auto"/>
        <w:right w:val="none" w:sz="0" w:space="0" w:color="auto"/>
      </w:divBdr>
    </w:div>
    <w:div w:id="2015525149">
      <w:bodyDiv w:val="1"/>
      <w:marLeft w:val="0"/>
      <w:marRight w:val="0"/>
      <w:marTop w:val="0"/>
      <w:marBottom w:val="0"/>
      <w:divBdr>
        <w:top w:val="none" w:sz="0" w:space="0" w:color="auto"/>
        <w:left w:val="none" w:sz="0" w:space="0" w:color="auto"/>
        <w:bottom w:val="none" w:sz="0" w:space="0" w:color="auto"/>
        <w:right w:val="none" w:sz="0" w:space="0" w:color="auto"/>
      </w:divBdr>
    </w:div>
    <w:div w:id="2019116135">
      <w:bodyDiv w:val="1"/>
      <w:marLeft w:val="0"/>
      <w:marRight w:val="0"/>
      <w:marTop w:val="0"/>
      <w:marBottom w:val="0"/>
      <w:divBdr>
        <w:top w:val="none" w:sz="0" w:space="0" w:color="auto"/>
        <w:left w:val="none" w:sz="0" w:space="0" w:color="auto"/>
        <w:bottom w:val="none" w:sz="0" w:space="0" w:color="auto"/>
        <w:right w:val="none" w:sz="0" w:space="0" w:color="auto"/>
      </w:divBdr>
    </w:div>
    <w:div w:id="2019501696">
      <w:bodyDiv w:val="1"/>
      <w:marLeft w:val="0"/>
      <w:marRight w:val="0"/>
      <w:marTop w:val="0"/>
      <w:marBottom w:val="0"/>
      <w:divBdr>
        <w:top w:val="none" w:sz="0" w:space="0" w:color="auto"/>
        <w:left w:val="none" w:sz="0" w:space="0" w:color="auto"/>
        <w:bottom w:val="none" w:sz="0" w:space="0" w:color="auto"/>
        <w:right w:val="none" w:sz="0" w:space="0" w:color="auto"/>
      </w:divBdr>
    </w:div>
    <w:div w:id="2024820818">
      <w:bodyDiv w:val="1"/>
      <w:marLeft w:val="0"/>
      <w:marRight w:val="0"/>
      <w:marTop w:val="0"/>
      <w:marBottom w:val="0"/>
      <w:divBdr>
        <w:top w:val="none" w:sz="0" w:space="0" w:color="auto"/>
        <w:left w:val="none" w:sz="0" w:space="0" w:color="auto"/>
        <w:bottom w:val="none" w:sz="0" w:space="0" w:color="auto"/>
        <w:right w:val="none" w:sz="0" w:space="0" w:color="auto"/>
      </w:divBdr>
    </w:div>
    <w:div w:id="2026974173">
      <w:bodyDiv w:val="1"/>
      <w:marLeft w:val="0"/>
      <w:marRight w:val="0"/>
      <w:marTop w:val="0"/>
      <w:marBottom w:val="0"/>
      <w:divBdr>
        <w:top w:val="none" w:sz="0" w:space="0" w:color="auto"/>
        <w:left w:val="none" w:sz="0" w:space="0" w:color="auto"/>
        <w:bottom w:val="none" w:sz="0" w:space="0" w:color="auto"/>
        <w:right w:val="none" w:sz="0" w:space="0" w:color="auto"/>
      </w:divBdr>
    </w:div>
    <w:div w:id="2041784959">
      <w:bodyDiv w:val="1"/>
      <w:marLeft w:val="0"/>
      <w:marRight w:val="0"/>
      <w:marTop w:val="0"/>
      <w:marBottom w:val="0"/>
      <w:divBdr>
        <w:top w:val="none" w:sz="0" w:space="0" w:color="auto"/>
        <w:left w:val="none" w:sz="0" w:space="0" w:color="auto"/>
        <w:bottom w:val="none" w:sz="0" w:space="0" w:color="auto"/>
        <w:right w:val="none" w:sz="0" w:space="0" w:color="auto"/>
      </w:divBdr>
    </w:div>
    <w:div w:id="2041858319">
      <w:bodyDiv w:val="1"/>
      <w:marLeft w:val="0"/>
      <w:marRight w:val="0"/>
      <w:marTop w:val="0"/>
      <w:marBottom w:val="0"/>
      <w:divBdr>
        <w:top w:val="none" w:sz="0" w:space="0" w:color="auto"/>
        <w:left w:val="none" w:sz="0" w:space="0" w:color="auto"/>
        <w:bottom w:val="none" w:sz="0" w:space="0" w:color="auto"/>
        <w:right w:val="none" w:sz="0" w:space="0" w:color="auto"/>
      </w:divBdr>
    </w:div>
    <w:div w:id="2045903849">
      <w:bodyDiv w:val="1"/>
      <w:marLeft w:val="0"/>
      <w:marRight w:val="0"/>
      <w:marTop w:val="0"/>
      <w:marBottom w:val="0"/>
      <w:divBdr>
        <w:top w:val="none" w:sz="0" w:space="0" w:color="auto"/>
        <w:left w:val="none" w:sz="0" w:space="0" w:color="auto"/>
        <w:bottom w:val="none" w:sz="0" w:space="0" w:color="auto"/>
        <w:right w:val="none" w:sz="0" w:space="0" w:color="auto"/>
      </w:divBdr>
    </w:div>
    <w:div w:id="2060205866">
      <w:bodyDiv w:val="1"/>
      <w:marLeft w:val="0"/>
      <w:marRight w:val="0"/>
      <w:marTop w:val="0"/>
      <w:marBottom w:val="0"/>
      <w:divBdr>
        <w:top w:val="none" w:sz="0" w:space="0" w:color="auto"/>
        <w:left w:val="none" w:sz="0" w:space="0" w:color="auto"/>
        <w:bottom w:val="none" w:sz="0" w:space="0" w:color="auto"/>
        <w:right w:val="none" w:sz="0" w:space="0" w:color="auto"/>
      </w:divBdr>
    </w:div>
    <w:div w:id="2062047060">
      <w:bodyDiv w:val="1"/>
      <w:marLeft w:val="0"/>
      <w:marRight w:val="0"/>
      <w:marTop w:val="0"/>
      <w:marBottom w:val="0"/>
      <w:divBdr>
        <w:top w:val="none" w:sz="0" w:space="0" w:color="auto"/>
        <w:left w:val="none" w:sz="0" w:space="0" w:color="auto"/>
        <w:bottom w:val="none" w:sz="0" w:space="0" w:color="auto"/>
        <w:right w:val="none" w:sz="0" w:space="0" w:color="auto"/>
      </w:divBdr>
    </w:div>
    <w:div w:id="2062053007">
      <w:bodyDiv w:val="1"/>
      <w:marLeft w:val="0"/>
      <w:marRight w:val="0"/>
      <w:marTop w:val="0"/>
      <w:marBottom w:val="0"/>
      <w:divBdr>
        <w:top w:val="none" w:sz="0" w:space="0" w:color="auto"/>
        <w:left w:val="none" w:sz="0" w:space="0" w:color="auto"/>
        <w:bottom w:val="none" w:sz="0" w:space="0" w:color="auto"/>
        <w:right w:val="none" w:sz="0" w:space="0" w:color="auto"/>
      </w:divBdr>
    </w:div>
    <w:div w:id="2065179202">
      <w:bodyDiv w:val="1"/>
      <w:marLeft w:val="0"/>
      <w:marRight w:val="0"/>
      <w:marTop w:val="0"/>
      <w:marBottom w:val="0"/>
      <w:divBdr>
        <w:top w:val="none" w:sz="0" w:space="0" w:color="auto"/>
        <w:left w:val="none" w:sz="0" w:space="0" w:color="auto"/>
        <w:bottom w:val="none" w:sz="0" w:space="0" w:color="auto"/>
        <w:right w:val="none" w:sz="0" w:space="0" w:color="auto"/>
      </w:divBdr>
    </w:div>
    <w:div w:id="2078700737">
      <w:bodyDiv w:val="1"/>
      <w:marLeft w:val="0"/>
      <w:marRight w:val="0"/>
      <w:marTop w:val="0"/>
      <w:marBottom w:val="0"/>
      <w:divBdr>
        <w:top w:val="none" w:sz="0" w:space="0" w:color="auto"/>
        <w:left w:val="none" w:sz="0" w:space="0" w:color="auto"/>
        <w:bottom w:val="none" w:sz="0" w:space="0" w:color="auto"/>
        <w:right w:val="none" w:sz="0" w:space="0" w:color="auto"/>
      </w:divBdr>
    </w:div>
    <w:div w:id="2081823878">
      <w:bodyDiv w:val="1"/>
      <w:marLeft w:val="0"/>
      <w:marRight w:val="0"/>
      <w:marTop w:val="0"/>
      <w:marBottom w:val="0"/>
      <w:divBdr>
        <w:top w:val="none" w:sz="0" w:space="0" w:color="auto"/>
        <w:left w:val="none" w:sz="0" w:space="0" w:color="auto"/>
        <w:bottom w:val="none" w:sz="0" w:space="0" w:color="auto"/>
        <w:right w:val="none" w:sz="0" w:space="0" w:color="auto"/>
      </w:divBdr>
    </w:div>
    <w:div w:id="2105493161">
      <w:bodyDiv w:val="1"/>
      <w:marLeft w:val="0"/>
      <w:marRight w:val="0"/>
      <w:marTop w:val="0"/>
      <w:marBottom w:val="0"/>
      <w:divBdr>
        <w:top w:val="none" w:sz="0" w:space="0" w:color="auto"/>
        <w:left w:val="none" w:sz="0" w:space="0" w:color="auto"/>
        <w:bottom w:val="none" w:sz="0" w:space="0" w:color="auto"/>
        <w:right w:val="none" w:sz="0" w:space="0" w:color="auto"/>
      </w:divBdr>
    </w:div>
    <w:div w:id="2110270942">
      <w:bodyDiv w:val="1"/>
      <w:marLeft w:val="0"/>
      <w:marRight w:val="0"/>
      <w:marTop w:val="0"/>
      <w:marBottom w:val="0"/>
      <w:divBdr>
        <w:top w:val="none" w:sz="0" w:space="0" w:color="auto"/>
        <w:left w:val="none" w:sz="0" w:space="0" w:color="auto"/>
        <w:bottom w:val="none" w:sz="0" w:space="0" w:color="auto"/>
        <w:right w:val="none" w:sz="0" w:space="0" w:color="auto"/>
      </w:divBdr>
    </w:div>
    <w:div w:id="2110661570">
      <w:bodyDiv w:val="1"/>
      <w:marLeft w:val="0"/>
      <w:marRight w:val="0"/>
      <w:marTop w:val="0"/>
      <w:marBottom w:val="0"/>
      <w:divBdr>
        <w:top w:val="none" w:sz="0" w:space="0" w:color="auto"/>
        <w:left w:val="none" w:sz="0" w:space="0" w:color="auto"/>
        <w:bottom w:val="none" w:sz="0" w:space="0" w:color="auto"/>
        <w:right w:val="none" w:sz="0" w:space="0" w:color="auto"/>
      </w:divBdr>
    </w:div>
    <w:div w:id="2112777577">
      <w:bodyDiv w:val="1"/>
      <w:marLeft w:val="0"/>
      <w:marRight w:val="0"/>
      <w:marTop w:val="0"/>
      <w:marBottom w:val="0"/>
      <w:divBdr>
        <w:top w:val="none" w:sz="0" w:space="0" w:color="auto"/>
        <w:left w:val="none" w:sz="0" w:space="0" w:color="auto"/>
        <w:bottom w:val="none" w:sz="0" w:space="0" w:color="auto"/>
        <w:right w:val="none" w:sz="0" w:space="0" w:color="auto"/>
      </w:divBdr>
    </w:div>
    <w:div w:id="2117865488">
      <w:bodyDiv w:val="1"/>
      <w:marLeft w:val="0"/>
      <w:marRight w:val="0"/>
      <w:marTop w:val="0"/>
      <w:marBottom w:val="0"/>
      <w:divBdr>
        <w:top w:val="none" w:sz="0" w:space="0" w:color="auto"/>
        <w:left w:val="none" w:sz="0" w:space="0" w:color="auto"/>
        <w:bottom w:val="none" w:sz="0" w:space="0" w:color="auto"/>
        <w:right w:val="none" w:sz="0" w:space="0" w:color="auto"/>
      </w:divBdr>
    </w:div>
    <w:div w:id="2119257793">
      <w:bodyDiv w:val="1"/>
      <w:marLeft w:val="0"/>
      <w:marRight w:val="0"/>
      <w:marTop w:val="0"/>
      <w:marBottom w:val="0"/>
      <w:divBdr>
        <w:top w:val="none" w:sz="0" w:space="0" w:color="auto"/>
        <w:left w:val="none" w:sz="0" w:space="0" w:color="auto"/>
        <w:bottom w:val="none" w:sz="0" w:space="0" w:color="auto"/>
        <w:right w:val="none" w:sz="0" w:space="0" w:color="auto"/>
      </w:divBdr>
    </w:div>
    <w:div w:id="2126344121">
      <w:bodyDiv w:val="1"/>
      <w:marLeft w:val="0"/>
      <w:marRight w:val="0"/>
      <w:marTop w:val="0"/>
      <w:marBottom w:val="0"/>
      <w:divBdr>
        <w:top w:val="none" w:sz="0" w:space="0" w:color="auto"/>
        <w:left w:val="none" w:sz="0" w:space="0" w:color="auto"/>
        <w:bottom w:val="none" w:sz="0" w:space="0" w:color="auto"/>
        <w:right w:val="none" w:sz="0" w:space="0" w:color="auto"/>
      </w:divBdr>
    </w:div>
    <w:div w:id="2126381878">
      <w:bodyDiv w:val="1"/>
      <w:marLeft w:val="0"/>
      <w:marRight w:val="0"/>
      <w:marTop w:val="0"/>
      <w:marBottom w:val="0"/>
      <w:divBdr>
        <w:top w:val="none" w:sz="0" w:space="0" w:color="auto"/>
        <w:left w:val="none" w:sz="0" w:space="0" w:color="auto"/>
        <w:bottom w:val="none" w:sz="0" w:space="0" w:color="auto"/>
        <w:right w:val="none" w:sz="0" w:space="0" w:color="auto"/>
      </w:divBdr>
    </w:div>
    <w:div w:id="2129428232">
      <w:bodyDiv w:val="1"/>
      <w:marLeft w:val="0"/>
      <w:marRight w:val="0"/>
      <w:marTop w:val="0"/>
      <w:marBottom w:val="0"/>
      <w:divBdr>
        <w:top w:val="none" w:sz="0" w:space="0" w:color="auto"/>
        <w:left w:val="none" w:sz="0" w:space="0" w:color="auto"/>
        <w:bottom w:val="none" w:sz="0" w:space="0" w:color="auto"/>
        <w:right w:val="none" w:sz="0" w:space="0" w:color="auto"/>
      </w:divBdr>
    </w:div>
    <w:div w:id="2137063537">
      <w:bodyDiv w:val="1"/>
      <w:marLeft w:val="0"/>
      <w:marRight w:val="0"/>
      <w:marTop w:val="0"/>
      <w:marBottom w:val="0"/>
      <w:divBdr>
        <w:top w:val="none" w:sz="0" w:space="0" w:color="auto"/>
        <w:left w:val="none" w:sz="0" w:space="0" w:color="auto"/>
        <w:bottom w:val="none" w:sz="0" w:space="0" w:color="auto"/>
        <w:right w:val="none" w:sz="0" w:space="0" w:color="auto"/>
      </w:divBdr>
    </w:div>
    <w:div w:id="21453894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footer" Target="footer10.xml"/><Relationship Id="rId39" Type="http://schemas.openxmlformats.org/officeDocument/2006/relationships/chart" Target="charts/chart11.xml"/><Relationship Id="rId21" Type="http://schemas.openxmlformats.org/officeDocument/2006/relationships/footer" Target="footer6.xml"/><Relationship Id="rId34" Type="http://schemas.openxmlformats.org/officeDocument/2006/relationships/chart" Target="charts/chart8.xml"/><Relationship Id="rId42" Type="http://schemas.openxmlformats.org/officeDocument/2006/relationships/hyperlink" Target="http://em" TargetMode="External"/><Relationship Id="rId47" Type="http://schemas.openxmlformats.org/officeDocument/2006/relationships/hyperlink" Target="https://goias.gov.br/economia/rrf/" TargetMode="External"/><Relationship Id="rId50" Type="http://schemas.openxmlformats.org/officeDocument/2006/relationships/chart" Target="charts/chart16.xml"/><Relationship Id="rId55" Type="http://schemas.openxmlformats.org/officeDocument/2006/relationships/chart" Target="charts/chart19.xml"/><Relationship Id="rId63" Type="http://schemas.openxmlformats.org/officeDocument/2006/relationships/image" Target="media/image7.png"/><Relationship Id="rId68" Type="http://schemas.openxmlformats.org/officeDocument/2006/relationships/footer" Target="footer20.xml"/><Relationship Id="rId76"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footer" Target="footer23.xml"/><Relationship Id="rId2" Type="http://schemas.openxmlformats.org/officeDocument/2006/relationships/customXml" Target="../customXml/item2.xml"/><Relationship Id="rId16" Type="http://schemas.openxmlformats.org/officeDocument/2006/relationships/header" Target="header4.xml"/><Relationship Id="rId29" Type="http://schemas.openxmlformats.org/officeDocument/2006/relationships/chart" Target="charts/chart3.xml"/><Relationship Id="rId11" Type="http://schemas.openxmlformats.org/officeDocument/2006/relationships/header" Target="header2.xml"/><Relationship Id="rId24" Type="http://schemas.openxmlformats.org/officeDocument/2006/relationships/header" Target="header7.xml"/><Relationship Id="rId32" Type="http://schemas.openxmlformats.org/officeDocument/2006/relationships/chart" Target="charts/chart6.xml"/><Relationship Id="rId37" Type="http://schemas.openxmlformats.org/officeDocument/2006/relationships/footer" Target="footer12.xml"/><Relationship Id="rId40" Type="http://schemas.microsoft.com/office/2014/relationships/chartEx" Target="charts/chartEx1.xml"/><Relationship Id="rId45" Type="http://schemas.openxmlformats.org/officeDocument/2006/relationships/image" Target="media/image6.png"/><Relationship Id="rId53" Type="http://schemas.openxmlformats.org/officeDocument/2006/relationships/footer" Target="footer13.xml"/><Relationship Id="rId58" Type="http://schemas.openxmlformats.org/officeDocument/2006/relationships/footer" Target="footer15.xml"/><Relationship Id="rId66" Type="http://schemas.openxmlformats.org/officeDocument/2006/relationships/footer" Target="footer18.xml"/><Relationship Id="rId74" Type="http://schemas.openxmlformats.org/officeDocument/2006/relationships/footer" Target="footer26.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8.xml"/><Relationship Id="rId28" Type="http://schemas.openxmlformats.org/officeDocument/2006/relationships/chart" Target="charts/chart2.xml"/><Relationship Id="rId36" Type="http://schemas.openxmlformats.org/officeDocument/2006/relationships/footer" Target="footer11.xml"/><Relationship Id="rId49" Type="http://schemas.openxmlformats.org/officeDocument/2006/relationships/chart" Target="charts/chart15.xml"/><Relationship Id="rId57" Type="http://schemas.openxmlformats.org/officeDocument/2006/relationships/chart" Target="charts/chart21.xml"/><Relationship Id="rId61" Type="http://schemas.openxmlformats.org/officeDocument/2006/relationships/chart" Target="charts/chart23.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chart" Target="charts/chart5.xml"/><Relationship Id="rId44" Type="http://schemas.openxmlformats.org/officeDocument/2006/relationships/image" Target="media/image5.png"/><Relationship Id="rId52" Type="http://schemas.openxmlformats.org/officeDocument/2006/relationships/chart" Target="charts/chart18.xml"/><Relationship Id="rId60" Type="http://schemas.openxmlformats.org/officeDocument/2006/relationships/chart" Target="charts/chart22.xml"/><Relationship Id="rId65" Type="http://schemas.openxmlformats.org/officeDocument/2006/relationships/footer" Target="footer17.xml"/><Relationship Id="rId73" Type="http://schemas.openxmlformats.org/officeDocument/2006/relationships/footer" Target="footer25.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footer" Target="footer7.xml"/><Relationship Id="rId27" Type="http://schemas.openxmlformats.org/officeDocument/2006/relationships/chart" Target="charts/chart1.xml"/><Relationship Id="rId30" Type="http://schemas.openxmlformats.org/officeDocument/2006/relationships/chart" Target="charts/chart4.xml"/><Relationship Id="rId35" Type="http://schemas.openxmlformats.org/officeDocument/2006/relationships/chart" Target="charts/chart9.xml"/><Relationship Id="rId43" Type="http://schemas.openxmlformats.org/officeDocument/2006/relationships/chart" Target="charts/chart12.xml"/><Relationship Id="rId48" Type="http://schemas.openxmlformats.org/officeDocument/2006/relationships/chart" Target="charts/chart14.xml"/><Relationship Id="rId56" Type="http://schemas.openxmlformats.org/officeDocument/2006/relationships/chart" Target="charts/chart20.xml"/><Relationship Id="rId64" Type="http://schemas.openxmlformats.org/officeDocument/2006/relationships/image" Target="media/image8.png"/><Relationship Id="rId69" Type="http://schemas.openxmlformats.org/officeDocument/2006/relationships/footer" Target="footer21.xml"/><Relationship Id="rId77"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chart" Target="charts/chart17.xml"/><Relationship Id="rId72" Type="http://schemas.openxmlformats.org/officeDocument/2006/relationships/footer" Target="footer24.xml"/><Relationship Id="rId3" Type="http://schemas.openxmlformats.org/officeDocument/2006/relationships/numbering" Target="numbering.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footer" Target="footer9.xml"/><Relationship Id="rId33" Type="http://schemas.openxmlformats.org/officeDocument/2006/relationships/chart" Target="charts/chart7.xml"/><Relationship Id="rId38" Type="http://schemas.openxmlformats.org/officeDocument/2006/relationships/chart" Target="charts/chart10.xml"/><Relationship Id="rId46" Type="http://schemas.openxmlformats.org/officeDocument/2006/relationships/chart" Target="charts/chart13.xml"/><Relationship Id="rId59" Type="http://schemas.openxmlformats.org/officeDocument/2006/relationships/footer" Target="footer16.xml"/><Relationship Id="rId67" Type="http://schemas.openxmlformats.org/officeDocument/2006/relationships/footer" Target="footer19.xml"/><Relationship Id="rId20" Type="http://schemas.openxmlformats.org/officeDocument/2006/relationships/footer" Target="footer5.xml"/><Relationship Id="rId41" Type="http://schemas.openxmlformats.org/officeDocument/2006/relationships/image" Target="media/image4.png"/><Relationship Id="rId54" Type="http://schemas.openxmlformats.org/officeDocument/2006/relationships/footer" Target="footer14.xml"/><Relationship Id="rId62" Type="http://schemas.openxmlformats.org/officeDocument/2006/relationships/chart" Target="charts/chart24.xml"/><Relationship Id="rId70" Type="http://schemas.openxmlformats.org/officeDocument/2006/relationships/footer" Target="footer22.xml"/><Relationship Id="rId75" Type="http://schemas.openxmlformats.org/officeDocument/2006/relationships/footer" Target="footer27.xml"/><Relationship Id="rId1" Type="http://schemas.openxmlformats.org/officeDocument/2006/relationships/customXml" Target="../customXml/item1.xml"/><Relationship Id="rId6" Type="http://schemas.openxmlformats.org/officeDocument/2006/relationships/webSettings" Target="webSettings.xml"/></Relationships>
</file>

<file path=word/_rels/footnotes.xml.rels><?xml version="1.0" encoding="UTF-8" standalone="yes"?>
<Relationships xmlns="http://schemas.openxmlformats.org/package/2006/relationships"><Relationship Id="rId3" Type="http://schemas.openxmlformats.org/officeDocument/2006/relationships/hyperlink" Target="https://transparencia.go.gov.br/receitas-renuncia-da-receita-orcamentaria/" TargetMode="External"/><Relationship Id="rId7" Type="http://schemas.openxmlformats.org/officeDocument/2006/relationships/hyperlink" Target="https://opine.al.go.leg.br/proposicoes/2023001081" TargetMode="External"/><Relationship Id="rId2" Type="http://schemas.openxmlformats.org/officeDocument/2006/relationships/hyperlink" Target="https://sisweb.tesouro.gov.br/apex/f?p=2501:9::::9:P9_ID_PUBLICACAO_ANEXO:10000" TargetMode="External"/><Relationship Id="rId1" Type="http://schemas.openxmlformats.org/officeDocument/2006/relationships/hyperlink" Target="https://saba.al.go.leg.br/v1/merged/view/sgpd/public/OolKqKr8p_gNkum0w6n4XQ_aLfHjAphvZVxH_R38r8I4An4V-1SzhTj9VvWgYacoSdAj6MRWooVxPlOh8mwr8t80AmqLaGTk605Gs6O3lmQ=/pdf/2023001016" TargetMode="External"/><Relationship Id="rId6" Type="http://schemas.openxmlformats.org/officeDocument/2006/relationships/hyperlink" Target="https://goias.gov.br/goiasprev/cpr-calculo-atuarial/" TargetMode="External"/><Relationship Id="rId5" Type="http://schemas.openxmlformats.org/officeDocument/2006/relationships/hyperlink" Target="https://gestaocolaborativa.economia.go.gov.br/sites/contabilidade/Publico/BGE/2021/Nota%20T%C3%A9cnica%20n%C2%BA%20004_2021.pdf?d=w68756477a465466696116240d59dde28?web=0" TargetMode="External"/><Relationship Id="rId4" Type="http://schemas.openxmlformats.org/officeDocument/2006/relationships/hyperlink" Target="https://goias.gov.br/economia/repasse-aos-municipio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1.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2.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fileserver\unidade_l$\SERV-CGOVERNO\1%20-%20CONTAS%20DO%20GOVERNADOR\2023\2-4%20GF_Gest&#227;o%20Fiscal\Planejamento%20-%20%20Execu&#231;&#227;o%20-%20Relat&#243;rio\Relat&#243;rio%20-%20Gest&#227;o%20Fiscal\Tabelas%20e%20Graficos%20-%20Cons_Fiscal_2023.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Fileserver\unidade_l$\SERV-CGOVERNO\2%20-%20CONTAS%20GOVERNO\2-4_GF_Gest&#227;o%20Fiscal\Gest&#227;o%20Fiscal\22%20-%20Planejamento%20-%20%20Execu&#231;&#227;o%20-%20Relat&#243;rio\Relat&#243;rio%20-%20Gest&#227;o%20Fiscal\Tabelas%20e%20Graficos%20-%20Cons_Fiscal_2022.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package" Target="../embeddings/Microsoft_Excel_Worksheet8.xlsx"/></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14.xml"/><Relationship Id="rId1" Type="http://schemas.microsoft.com/office/2011/relationships/chartStyle" Target="style14.xml"/></Relationships>
</file>

<file path=word/charts/_rels/chart14.xml.rels><?xml version="1.0" encoding="UTF-8" standalone="yes"?>
<Relationships xmlns="http://schemas.openxmlformats.org/package/2006/relationships"><Relationship Id="rId3" Type="http://schemas.openxmlformats.org/officeDocument/2006/relationships/oleObject" Target="file:///\\fileserver\unidade_l$\SERV-CGOVERNO\10%20-%20PASTAS%20PESSOAIS\STANLEY\Contas%20de%20Governo\Contas%20do%20Governador\2023\Ren&#250;ncia%20de%20Receitas\2023%20-%20Ren&#250;ncia%20de%20Receitas.xlsx" TargetMode="External"/><Relationship Id="rId2" Type="http://schemas.microsoft.com/office/2011/relationships/chartColorStyle" Target="colors15.xml"/><Relationship Id="rId1" Type="http://schemas.microsoft.com/office/2011/relationships/chartStyle" Target="style15.xml"/></Relationships>
</file>

<file path=word/charts/_rels/chart15.xml.rels><?xml version="1.0" encoding="UTF-8" standalone="yes"?>
<Relationships xmlns="http://schemas.openxmlformats.org/package/2006/relationships"><Relationship Id="rId3" Type="http://schemas.openxmlformats.org/officeDocument/2006/relationships/package" Target="../embeddings/Microsoft_Excel_Worksheet10.xlsx"/><Relationship Id="rId2" Type="http://schemas.microsoft.com/office/2011/relationships/chartColorStyle" Target="colors16.xml"/><Relationship Id="rId1" Type="http://schemas.microsoft.com/office/2011/relationships/chartStyle" Target="style16.xml"/></Relationships>
</file>

<file path=word/charts/_rels/chart16.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7.xml"/><Relationship Id="rId1" Type="http://schemas.microsoft.com/office/2011/relationships/chartStyle" Target="style17.xml"/></Relationships>
</file>

<file path=word/charts/_rels/chart17.xml.rels><?xml version="1.0" encoding="UTF-8" standalone="yes"?>
<Relationships xmlns="http://schemas.openxmlformats.org/package/2006/relationships"><Relationship Id="rId3" Type="http://schemas.openxmlformats.org/officeDocument/2006/relationships/oleObject" Target="file:///\\fileserver\unidade_l$\SERV-CGOVERNO\10%20-%20PASTAS%20PESSOAIS\STANLEY\Contas%20de%20Governo\Contas%20do%20Governador\2023\Ren&#250;ncia%20de%20Receitas\2023%20-%20Ren&#250;ncia%20de%20Receitas.xlsx" TargetMode="External"/><Relationship Id="rId2" Type="http://schemas.microsoft.com/office/2011/relationships/chartColorStyle" Target="colors18.xml"/><Relationship Id="rId1" Type="http://schemas.microsoft.com/office/2011/relationships/chartStyle" Target="style18.xml"/></Relationships>
</file>

<file path=word/charts/_rels/chart18.xml.rels><?xml version="1.0" encoding="UTF-8" standalone="yes"?>
<Relationships xmlns="http://schemas.openxmlformats.org/package/2006/relationships"><Relationship Id="rId3" Type="http://schemas.openxmlformats.org/officeDocument/2006/relationships/oleObject" Target="file:///\\fileserver\unidade_l$\SERV-CGOVERNO\10%20-%20PASTAS%20PESSOAIS\STANLEY\Contas%20de%20Governo\Contas%20do%20Governador\2023\Ren&#250;ncia%20de%20Receitas\2023%20-%20Ren&#250;ncia%20de%20Receitas%20-%20Tabelas_gr&#225;ficos.xlsx" TargetMode="External"/><Relationship Id="rId2" Type="http://schemas.microsoft.com/office/2011/relationships/chartColorStyle" Target="colors19.xml"/><Relationship Id="rId1" Type="http://schemas.microsoft.com/office/2011/relationships/chartStyle" Target="style19.xml"/></Relationships>
</file>

<file path=word/charts/_rels/chart19.xml.rels><?xml version="1.0" encoding="UTF-8" standalone="yes"?>
<Relationships xmlns="http://schemas.openxmlformats.org/package/2006/relationships"><Relationship Id="rId3" Type="http://schemas.openxmlformats.org/officeDocument/2006/relationships/oleObject" Target="file:///\\fileserver\unidade_l$\SERV-CGOVERNO\1%20-%20CONTAS%20DO%20GOVERNADOR\2023\2-5%20VC_Vincula&#231;&#227;o%20Constitucional\Educa&#231;&#227;o\Fun&#231;&#227;o_Educa&#231;&#227;o_-_Despesas_Empenhadas.xlsx" TargetMode="External"/><Relationship Id="rId2" Type="http://schemas.microsoft.com/office/2011/relationships/chartColorStyle" Target="colors20.xml"/><Relationship Id="rId1" Type="http://schemas.microsoft.com/office/2011/relationships/chartStyle" Target="style20.xml"/></Relationships>
</file>

<file path=word/charts/_rels/chart20.xml.rels><?xml version="1.0" encoding="UTF-8" standalone="yes"?>
<Relationships xmlns="http://schemas.openxmlformats.org/package/2006/relationships"><Relationship Id="rId3" Type="http://schemas.openxmlformats.org/officeDocument/2006/relationships/oleObject" Target="file:///\\Fileserver\unidade_l$\SERV-CGOVERNO\1%20-%20CONTAS%20DO%20GOVERNADOR\2023\2-5%20VC_Vincula&#231;&#227;o%20Constitucional\Sa&#250;de\Despesas%20Fun&#231;&#227;o%20Sa&#250;de.xlsx" TargetMode="External"/><Relationship Id="rId2" Type="http://schemas.microsoft.com/office/2011/relationships/chartColorStyle" Target="colors21.xml"/><Relationship Id="rId1" Type="http://schemas.microsoft.com/office/2011/relationships/chartStyle" Target="style21.xml"/></Relationships>
</file>

<file path=word/charts/_rels/chart21.xml.rels><?xml version="1.0" encoding="UTF-8" standalone="yes"?>
<Relationships xmlns="http://schemas.openxmlformats.org/package/2006/relationships"><Relationship Id="rId3" Type="http://schemas.openxmlformats.org/officeDocument/2006/relationships/oleObject" Target="file:///\\Fileserver\unidade_l$\SERV-CGOVERNO\1%20-%20CONTAS%20DO%20GOVERNADOR\2023\2-5%20VC_Vincula&#231;&#227;o%20Constitucional\Sa&#250;de\OSs\OSs%20-%20BO%20-%20Despesas%20por%20OS%20e%20por%20ND.xlsx" TargetMode="External"/><Relationship Id="rId2" Type="http://schemas.microsoft.com/office/2011/relationships/chartColorStyle" Target="colors22.xml"/><Relationship Id="rId1" Type="http://schemas.microsoft.com/office/2011/relationships/chartStyle" Target="style22.xml"/></Relationships>
</file>

<file path=word/charts/_rels/chart22.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package" Target="../embeddings/Microsoft_Excel_Worksheet12.xlsx"/></Relationships>
</file>

<file path=word/charts/_rels/chart23.xml.rels><?xml version="1.0" encoding="UTF-8" standalone="yes"?>
<Relationships xmlns="http://schemas.openxmlformats.org/package/2006/relationships"><Relationship Id="rId3" Type="http://schemas.openxmlformats.org/officeDocument/2006/relationships/package" Target="../embeddings/Microsoft_Excel_Worksheet13.xlsx"/><Relationship Id="rId2" Type="http://schemas.microsoft.com/office/2011/relationships/chartColorStyle" Target="colors23.xml"/><Relationship Id="rId1" Type="http://schemas.microsoft.com/office/2011/relationships/chartStyle" Target="style23.xml"/></Relationships>
</file>

<file path=word/charts/_rels/chart24.xml.rels><?xml version="1.0" encoding="UTF-8" standalone="yes"?>
<Relationships xmlns="http://schemas.openxmlformats.org/package/2006/relationships"><Relationship Id="rId3" Type="http://schemas.openxmlformats.org/officeDocument/2006/relationships/package" Target="../embeddings/Microsoft_Excel_Worksheet14.xlsx"/><Relationship Id="rId2" Type="http://schemas.microsoft.com/office/2011/relationships/chartColorStyle" Target="colors24.xml"/><Relationship Id="rId1" Type="http://schemas.microsoft.com/office/2011/relationships/chartStyle" Target="style24.xml"/></Relationships>
</file>

<file path=word/charts/_rels/chartEx1.xml.rels><?xml version="1.0" encoding="UTF-8" standalone="yes"?>
<Relationships xmlns="http://schemas.openxmlformats.org/package/2006/relationships"><Relationship Id="rId3" Type="http://schemas.microsoft.com/office/2011/relationships/chartColorStyle" Target="colors12.xml"/><Relationship Id="rId2" Type="http://schemas.microsoft.com/office/2011/relationships/chartStyle" Target="style12.xml"/><Relationship Id="rId1" Type="http://schemas.openxmlformats.org/officeDocument/2006/relationships/oleObject" Target="file:///L:\SERV-CGOVERNO\1%20-%20CONTAS%20DO%20GOVERNADOR\2023\2-4%20GF_Gest&#227;o%20Fiscal\Planejamento%20-%20%20Execu&#231;&#227;o%20-%20Relat&#243;rio\Relat&#243;rio%20-%20Gest&#227;o%20Fiscal\Tabelas%20e%20Graficos%20-%20Cons_Fiscal_202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686431668946205"/>
          <c:y val="0.11404513002427599"/>
          <c:w val="0.78251814756407323"/>
          <c:h val="0.88322574865855097"/>
        </c:manualLayout>
      </c:layout>
      <c:bar3DChart>
        <c:barDir val="bar"/>
        <c:grouping val="clustered"/>
        <c:varyColors val="0"/>
        <c:ser>
          <c:idx val="0"/>
          <c:order val="0"/>
          <c:tx>
            <c:strRef>
              <c:f>'[3.1 - Orçamento.xlsx]G1 - Por Função'!$M$3</c:f>
              <c:strCache>
                <c:ptCount val="1"/>
                <c:pt idx="0">
                  <c:v>Valor Orçado</c:v>
                </c:pt>
              </c:strCache>
            </c:strRef>
          </c:tx>
          <c:spPr>
            <a:solidFill>
              <a:schemeClr val="accent1"/>
            </a:solidFill>
            <a:ln>
              <a:noFill/>
            </a:ln>
            <a:effectLst/>
            <a:sp3d/>
          </c:spPr>
          <c:invertIfNegative val="0"/>
          <c:dLbls>
            <c:dLbl>
              <c:idx val="0"/>
              <c:tx>
                <c:rich>
                  <a:bodyPr/>
                  <a:lstStyle/>
                  <a:p>
                    <a:fld id="{1D442089-8629-4444-92FA-88A16F016F77}" type="CELLRANGE">
                      <a:rPr lang="en-US"/>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7BFF-4731-A7D9-35AB4E648479}"/>
                </c:ext>
              </c:extLst>
            </c:dLbl>
            <c:dLbl>
              <c:idx val="1"/>
              <c:tx>
                <c:rich>
                  <a:bodyPr/>
                  <a:lstStyle/>
                  <a:p>
                    <a:fld id="{99096163-9E50-4730-8115-69BCF676AF68}"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1-7BFF-4731-A7D9-35AB4E648479}"/>
                </c:ext>
              </c:extLst>
            </c:dLbl>
            <c:dLbl>
              <c:idx val="2"/>
              <c:tx>
                <c:rich>
                  <a:bodyPr/>
                  <a:lstStyle/>
                  <a:p>
                    <a:fld id="{45E2F85A-B385-456B-A1BC-1CA45C29DA91}"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2-7BFF-4731-A7D9-35AB4E648479}"/>
                </c:ext>
              </c:extLst>
            </c:dLbl>
            <c:dLbl>
              <c:idx val="3"/>
              <c:tx>
                <c:rich>
                  <a:bodyPr/>
                  <a:lstStyle/>
                  <a:p>
                    <a:fld id="{CED94E50-2DFE-436F-8553-FD56B9A902CE}"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3-7BFF-4731-A7D9-35AB4E648479}"/>
                </c:ext>
              </c:extLst>
            </c:dLbl>
            <c:dLbl>
              <c:idx val="4"/>
              <c:tx>
                <c:rich>
                  <a:bodyPr/>
                  <a:lstStyle/>
                  <a:p>
                    <a:fld id="{BF59FB09-EE1D-4A9B-B2AD-45AC4E8CDE4F}"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4-7BFF-4731-A7D9-35AB4E648479}"/>
                </c:ext>
              </c:extLst>
            </c:dLbl>
            <c:dLbl>
              <c:idx val="5"/>
              <c:tx>
                <c:rich>
                  <a:bodyPr/>
                  <a:lstStyle/>
                  <a:p>
                    <a:fld id="{CAEB8EB7-A3CF-4185-9CB9-5CC68B81E8B8}"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7BFF-4731-A7D9-35AB4E648479}"/>
                </c:ext>
              </c:extLst>
            </c:dLbl>
            <c:dLbl>
              <c:idx val="6"/>
              <c:tx>
                <c:rich>
                  <a:bodyPr/>
                  <a:lstStyle/>
                  <a:p>
                    <a:fld id="{B173FC90-BCA9-4B8B-803F-2C42E105E0BB}"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6-7BFF-4731-A7D9-35AB4E648479}"/>
                </c:ext>
              </c:extLst>
            </c:dLbl>
            <c:dLbl>
              <c:idx val="7"/>
              <c:tx>
                <c:rich>
                  <a:bodyPr/>
                  <a:lstStyle/>
                  <a:p>
                    <a:fld id="{B5193800-4B77-4B82-B021-3234EE6EB2C1}"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7BFF-4731-A7D9-35AB4E648479}"/>
                </c:ext>
              </c:extLst>
            </c:dLbl>
            <c:dLbl>
              <c:idx val="8"/>
              <c:tx>
                <c:rich>
                  <a:bodyPr/>
                  <a:lstStyle/>
                  <a:p>
                    <a:fld id="{5E48DC05-7CD0-4540-B82D-B882FF55A317}"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7BFF-4731-A7D9-35AB4E648479}"/>
                </c:ext>
              </c:extLst>
            </c:dLbl>
            <c:dLbl>
              <c:idx val="9"/>
              <c:tx>
                <c:rich>
                  <a:bodyPr/>
                  <a:lstStyle/>
                  <a:p>
                    <a:fld id="{42C298E6-C4C9-4D31-B865-0786E305C4A4}"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7BFF-4731-A7D9-35AB4E648479}"/>
                </c:ext>
              </c:extLst>
            </c:dLbl>
            <c:dLbl>
              <c:idx val="10"/>
              <c:tx>
                <c:rich>
                  <a:bodyPr/>
                  <a:lstStyle/>
                  <a:p>
                    <a:fld id="{954028A6-9B10-4E33-909E-DAA2DC98474D}"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7BFF-4731-A7D9-35AB4E648479}"/>
                </c:ext>
              </c:extLst>
            </c:dLbl>
            <c:dLbl>
              <c:idx val="11"/>
              <c:tx>
                <c:rich>
                  <a:bodyPr/>
                  <a:lstStyle/>
                  <a:p>
                    <a:fld id="{4666CF04-3BB0-43B2-B41F-04A8DA7F09F6}"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7BFF-4731-A7D9-35AB4E648479}"/>
                </c:ext>
              </c:extLst>
            </c:dLbl>
            <c:dLbl>
              <c:idx val="12"/>
              <c:tx>
                <c:rich>
                  <a:bodyPr/>
                  <a:lstStyle/>
                  <a:p>
                    <a:fld id="{09554ED6-A740-49C4-97B1-504D361ADED1}"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7BFF-4731-A7D9-35AB4E648479}"/>
                </c:ext>
              </c:extLst>
            </c:dLbl>
            <c:dLbl>
              <c:idx val="13"/>
              <c:tx>
                <c:rich>
                  <a:bodyPr/>
                  <a:lstStyle/>
                  <a:p>
                    <a:fld id="{4C08BC57-52A6-47A4-8B06-2CF341018B7D}"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D-7BFF-4731-A7D9-35AB4E648479}"/>
                </c:ext>
              </c:extLst>
            </c:dLbl>
            <c:dLbl>
              <c:idx val="14"/>
              <c:tx>
                <c:rich>
                  <a:bodyPr/>
                  <a:lstStyle/>
                  <a:p>
                    <a:fld id="{14094EB0-A055-44B8-828E-C54D116EFD24}"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7BFF-4731-A7D9-35AB4E648479}"/>
                </c:ext>
              </c:extLst>
            </c:dLbl>
            <c:dLbl>
              <c:idx val="15"/>
              <c:tx>
                <c:rich>
                  <a:bodyPr/>
                  <a:lstStyle/>
                  <a:p>
                    <a:fld id="{ED40A59F-A48B-46C2-9EA1-EEF5A52901D6}"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F-7BFF-4731-A7D9-35AB4E648479}"/>
                </c:ext>
              </c:extLst>
            </c:dLbl>
            <c:dLbl>
              <c:idx val="16"/>
              <c:tx>
                <c:rich>
                  <a:bodyPr/>
                  <a:lstStyle/>
                  <a:p>
                    <a:fld id="{DDCCD977-7731-498A-BF14-977FAA7111BC}"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0-7BFF-4731-A7D9-35AB4E648479}"/>
                </c:ext>
              </c:extLst>
            </c:dLbl>
            <c:dLbl>
              <c:idx val="17"/>
              <c:tx>
                <c:rich>
                  <a:bodyPr/>
                  <a:lstStyle/>
                  <a:p>
                    <a:fld id="{EAEE62D4-280B-4079-96BB-345E030C0F72}"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7BFF-4731-A7D9-35AB4E648479}"/>
                </c:ext>
              </c:extLst>
            </c:dLbl>
            <c:dLbl>
              <c:idx val="18"/>
              <c:tx>
                <c:rich>
                  <a:bodyPr/>
                  <a:lstStyle/>
                  <a:p>
                    <a:fld id="{429C61CA-7724-4628-993E-24B34BB9EE0E}"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2-7BFF-4731-A7D9-35AB4E648479}"/>
                </c:ext>
              </c:extLst>
            </c:dLbl>
            <c:dLbl>
              <c:idx val="19"/>
              <c:tx>
                <c:rich>
                  <a:bodyPr/>
                  <a:lstStyle/>
                  <a:p>
                    <a:fld id="{7005C8B6-6DE5-4D08-BC88-3B2460486E6B}"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3-7BFF-4731-A7D9-35AB4E648479}"/>
                </c:ext>
              </c:extLst>
            </c:dLbl>
            <c:dLbl>
              <c:idx val="20"/>
              <c:tx>
                <c:rich>
                  <a:bodyPr/>
                  <a:lstStyle/>
                  <a:p>
                    <a:fld id="{64790038-3178-457C-B041-3BCAD670B5C9}"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7BFF-4731-A7D9-35AB4E648479}"/>
                </c:ext>
              </c:extLst>
            </c:dLbl>
            <c:dLbl>
              <c:idx val="21"/>
              <c:tx>
                <c:rich>
                  <a:bodyPr/>
                  <a:lstStyle/>
                  <a:p>
                    <a:fld id="{B6AFCAA9-89C6-49F8-A8E7-006819FD18ED}"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5-7BFF-4731-A7D9-35AB4E648479}"/>
                </c:ext>
              </c:extLst>
            </c:dLbl>
            <c:dLbl>
              <c:idx val="22"/>
              <c:tx>
                <c:rich>
                  <a:bodyPr/>
                  <a:lstStyle/>
                  <a:p>
                    <a:fld id="{08F65C08-F944-4AE6-BD24-2668C0AC89FA}"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6-7BFF-4731-A7D9-35AB4E648479}"/>
                </c:ext>
              </c:extLst>
            </c:dLbl>
            <c:dLbl>
              <c:idx val="23"/>
              <c:tx>
                <c:rich>
                  <a:bodyPr/>
                  <a:lstStyle/>
                  <a:p>
                    <a:fld id="{E297A787-06A5-4F37-A709-46D367EEE2EC}"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7BFF-4731-A7D9-35AB4E648479}"/>
                </c:ext>
              </c:extLst>
            </c:dLbl>
            <c:dLbl>
              <c:idx val="24"/>
              <c:tx>
                <c:rich>
                  <a:bodyPr/>
                  <a:lstStyle/>
                  <a:p>
                    <a:fld id="{F30BBFE0-CBC5-4682-A73E-CA8C8D5FC717}"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8-7BFF-4731-A7D9-35AB4E64847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strRef>
              <c:f>'[3.1 - Orçamento.xlsx]G1 - Por Função'!$L$4:$L$28</c:f>
              <c:strCache>
                <c:ptCount val="25"/>
                <c:pt idx="0">
                  <c:v>Previdência Social</c:v>
                </c:pt>
                <c:pt idx="1">
                  <c:v>Educação</c:v>
                </c:pt>
                <c:pt idx="2">
                  <c:v>Saúde</c:v>
                </c:pt>
                <c:pt idx="3">
                  <c:v>Encargos Especiais</c:v>
                </c:pt>
                <c:pt idx="4">
                  <c:v>Administração</c:v>
                </c:pt>
                <c:pt idx="5">
                  <c:v>Segurança Pública</c:v>
                </c:pt>
                <c:pt idx="6">
                  <c:v>Judiciária</c:v>
                </c:pt>
                <c:pt idx="7">
                  <c:v>Transporte</c:v>
                </c:pt>
                <c:pt idx="8">
                  <c:v>Legislativa</c:v>
                </c:pt>
                <c:pt idx="9">
                  <c:v>Reserva de Contingência</c:v>
                </c:pt>
                <c:pt idx="10">
                  <c:v>Essencial a Justiça</c:v>
                </c:pt>
                <c:pt idx="11">
                  <c:v>Assistencia Social</c:v>
                </c:pt>
                <c:pt idx="12">
                  <c:v>Habitação</c:v>
                </c:pt>
                <c:pt idx="13">
                  <c:v>Agricultura</c:v>
                </c:pt>
                <c:pt idx="14">
                  <c:v>Direitos da Cidadania</c:v>
                </c:pt>
                <c:pt idx="15">
                  <c:v>Urbanismo</c:v>
                </c:pt>
                <c:pt idx="16">
                  <c:v>Trabalho</c:v>
                </c:pt>
                <c:pt idx="17">
                  <c:v>Ciência e Tecnologia</c:v>
                </c:pt>
                <c:pt idx="18">
                  <c:v>Cultura</c:v>
                </c:pt>
                <c:pt idx="19">
                  <c:v>Comércio e Servicos</c:v>
                </c:pt>
                <c:pt idx="20">
                  <c:v>Desporto e Lazer</c:v>
                </c:pt>
                <c:pt idx="21">
                  <c:v>Gestão Ambiental</c:v>
                </c:pt>
                <c:pt idx="22">
                  <c:v>Comunicações</c:v>
                </c:pt>
                <c:pt idx="23">
                  <c:v>Indústria</c:v>
                </c:pt>
                <c:pt idx="24">
                  <c:v>Saneamento</c:v>
                </c:pt>
              </c:strCache>
            </c:strRef>
          </c:cat>
          <c:val>
            <c:numRef>
              <c:f>'[3.1 - Orçamento.xlsx]G1 - Por Função'!$M$4:$M$28</c:f>
              <c:numCache>
                <c:formatCode>#,##0_);[Red]\(#,##0\)</c:formatCode>
                <c:ptCount val="25"/>
                <c:pt idx="0">
                  <c:v>7485939000</c:v>
                </c:pt>
                <c:pt idx="1">
                  <c:v>5996630000</c:v>
                </c:pt>
                <c:pt idx="2">
                  <c:v>4880404000</c:v>
                </c:pt>
                <c:pt idx="3">
                  <c:v>4456329000</c:v>
                </c:pt>
                <c:pt idx="4">
                  <c:v>4115038000</c:v>
                </c:pt>
                <c:pt idx="5">
                  <c:v>2686897000</c:v>
                </c:pt>
                <c:pt idx="6">
                  <c:v>2013989000</c:v>
                </c:pt>
                <c:pt idx="7">
                  <c:v>1903428000</c:v>
                </c:pt>
                <c:pt idx="8">
                  <c:v>1321970000</c:v>
                </c:pt>
                <c:pt idx="9">
                  <c:v>1137208000</c:v>
                </c:pt>
                <c:pt idx="10">
                  <c:v>709488000</c:v>
                </c:pt>
                <c:pt idx="11">
                  <c:v>686512000</c:v>
                </c:pt>
                <c:pt idx="12">
                  <c:v>676984000</c:v>
                </c:pt>
                <c:pt idx="13">
                  <c:v>384824000</c:v>
                </c:pt>
                <c:pt idx="14">
                  <c:v>329532000</c:v>
                </c:pt>
                <c:pt idx="15">
                  <c:v>319219000</c:v>
                </c:pt>
                <c:pt idx="16">
                  <c:v>144645000</c:v>
                </c:pt>
                <c:pt idx="17">
                  <c:v>140406000</c:v>
                </c:pt>
                <c:pt idx="18">
                  <c:v>94614000</c:v>
                </c:pt>
                <c:pt idx="19">
                  <c:v>53771000</c:v>
                </c:pt>
                <c:pt idx="20">
                  <c:v>36621000</c:v>
                </c:pt>
                <c:pt idx="21">
                  <c:v>18782000</c:v>
                </c:pt>
                <c:pt idx="22">
                  <c:v>2650000</c:v>
                </c:pt>
                <c:pt idx="23">
                  <c:v>906000</c:v>
                </c:pt>
                <c:pt idx="24">
                  <c:v>380000</c:v>
                </c:pt>
              </c:numCache>
            </c:numRef>
          </c:val>
          <c:extLst>
            <c:ext xmlns:c15="http://schemas.microsoft.com/office/drawing/2012/chart" uri="{02D57815-91ED-43cb-92C2-25804820EDAC}">
              <c15:datalabelsRange>
                <c15:f>'[3.1 - Orçamento.xlsx]G1 - Por Função'!$N$4:$N$28</c15:f>
                <c15:dlblRangeCache>
                  <c:ptCount val="25"/>
                  <c:pt idx="0">
                    <c:v>18,91%</c:v>
                  </c:pt>
                  <c:pt idx="1">
                    <c:v>15,14%</c:v>
                  </c:pt>
                  <c:pt idx="2">
                    <c:v>12,33%</c:v>
                  </c:pt>
                  <c:pt idx="3">
                    <c:v>11,25%</c:v>
                  </c:pt>
                  <c:pt idx="4">
                    <c:v>10,39%</c:v>
                  </c:pt>
                  <c:pt idx="5">
                    <c:v>6,79%</c:v>
                  </c:pt>
                  <c:pt idx="6">
                    <c:v>5,09%</c:v>
                  </c:pt>
                  <c:pt idx="7">
                    <c:v>4,81%</c:v>
                  </c:pt>
                  <c:pt idx="8">
                    <c:v>3,34%</c:v>
                  </c:pt>
                  <c:pt idx="9">
                    <c:v>2,87%</c:v>
                  </c:pt>
                  <c:pt idx="10">
                    <c:v>1,79%</c:v>
                  </c:pt>
                  <c:pt idx="11">
                    <c:v>1,73%</c:v>
                  </c:pt>
                  <c:pt idx="12">
                    <c:v>1,71%</c:v>
                  </c:pt>
                  <c:pt idx="13">
                    <c:v>0,97%</c:v>
                  </c:pt>
                  <c:pt idx="14">
                    <c:v>0,83%</c:v>
                  </c:pt>
                  <c:pt idx="15">
                    <c:v>0,81%</c:v>
                  </c:pt>
                  <c:pt idx="16">
                    <c:v>0,37%</c:v>
                  </c:pt>
                  <c:pt idx="17">
                    <c:v>0,35%</c:v>
                  </c:pt>
                  <c:pt idx="18">
                    <c:v>0,24%</c:v>
                  </c:pt>
                  <c:pt idx="19">
                    <c:v>0,14%</c:v>
                  </c:pt>
                  <c:pt idx="20">
                    <c:v>0,09%</c:v>
                  </c:pt>
                  <c:pt idx="21">
                    <c:v>0,05%</c:v>
                  </c:pt>
                  <c:pt idx="22">
                    <c:v>0,01%</c:v>
                  </c:pt>
                  <c:pt idx="23">
                    <c:v>0,00%</c:v>
                  </c:pt>
                  <c:pt idx="24">
                    <c:v>0,00%</c:v>
                  </c:pt>
                </c15:dlblRangeCache>
              </c15:datalabelsRange>
            </c:ext>
            <c:ext xmlns:c16="http://schemas.microsoft.com/office/drawing/2014/chart" uri="{C3380CC4-5D6E-409C-BE32-E72D297353CC}">
              <c16:uniqueId val="{00000019-7BFF-4731-A7D9-35AB4E648479}"/>
            </c:ext>
          </c:extLst>
        </c:ser>
        <c:dLbls>
          <c:showLegendKey val="0"/>
          <c:showVal val="0"/>
          <c:showCatName val="0"/>
          <c:showSerName val="0"/>
          <c:showPercent val="0"/>
          <c:showBubbleSize val="0"/>
        </c:dLbls>
        <c:gapWidth val="150"/>
        <c:shape val="box"/>
        <c:axId val="561417080"/>
        <c:axId val="561418064"/>
        <c:axId val="0"/>
      </c:bar3DChart>
      <c:catAx>
        <c:axId val="561417080"/>
        <c:scaling>
          <c:orientation val="maxMin"/>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crossAx val="561418064"/>
        <c:crosses val="autoZero"/>
        <c:auto val="1"/>
        <c:lblAlgn val="ctr"/>
        <c:lblOffset val="100"/>
        <c:noMultiLvlLbl val="0"/>
      </c:catAx>
      <c:valAx>
        <c:axId val="561418064"/>
        <c:scaling>
          <c:orientation val="minMax"/>
        </c:scaling>
        <c:delete val="0"/>
        <c:axPos val="t"/>
        <c:majorGridlines>
          <c:spPr>
            <a:ln w="9525" cap="flat" cmpd="sng" algn="ctr">
              <a:noFill/>
              <a:round/>
            </a:ln>
            <a:effectLst/>
          </c:spPr>
        </c:majorGridlines>
        <c:numFmt formatCode="#,##0_);[Red]\(#,##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pt-BR"/>
          </a:p>
        </c:txPr>
        <c:crossAx val="561417080"/>
        <c:crosses val="autoZero"/>
        <c:crossBetween val="between"/>
        <c:dispUnits>
          <c:builtInUnit val="millions"/>
          <c:dispUnitsLbl>
            <c:layout>
              <c:manualLayout>
                <c:xMode val="edge"/>
                <c:yMode val="edge"/>
                <c:x val="0.51101551814663804"/>
                <c:y val="1.7966426071741034E-2"/>
              </c:manualLayout>
            </c:layout>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a:solidFill>
                        <a:sysClr val="windowText" lastClr="000000"/>
                      </a:solidFill>
                      <a:latin typeface="Arial" panose="020B0604020202020204" pitchFamily="34" charset="0"/>
                      <a:cs typeface="Arial" panose="020B0604020202020204" pitchFamily="34" charset="0"/>
                    </a:rPr>
                    <a:t>R$ Milhões</a:t>
                  </a:r>
                </a:p>
              </c:rich>
            </c:tx>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dispUnitsLbl>
        </c:dispUnits>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pPr>
      <a:endParaRPr lang="pt-B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3032506777682523"/>
          <c:y val="0.10293179256114027"/>
          <c:w val="0.83941587830100295"/>
          <c:h val="0.74418214108723413"/>
        </c:manualLayout>
      </c:layout>
      <c:bar3DChart>
        <c:barDir val="col"/>
        <c:grouping val="stacked"/>
        <c:varyColors val="0"/>
        <c:ser>
          <c:idx val="0"/>
          <c:order val="0"/>
          <c:spPr>
            <a:solidFill>
              <a:srgbClr val="FF0000"/>
            </a:solidFill>
            <a:ln>
              <a:noFill/>
            </a:ln>
            <a:effectLst/>
            <a:sp3d/>
          </c:spPr>
          <c:invertIfNegative val="0"/>
          <c:dPt>
            <c:idx val="0"/>
            <c:invertIfNegative val="0"/>
            <c:bubble3D val="0"/>
            <c:spPr>
              <a:solidFill>
                <a:schemeClr val="accent2"/>
              </a:solidFill>
              <a:ln>
                <a:noFill/>
              </a:ln>
              <a:effectLst/>
              <a:sp3d/>
            </c:spPr>
            <c:extLst>
              <c:ext xmlns:c16="http://schemas.microsoft.com/office/drawing/2014/chart" uri="{C3380CC4-5D6E-409C-BE32-E72D297353CC}">
                <c16:uniqueId val="{00000001-3166-4112-BB01-F0EF18F73B2F}"/>
              </c:ext>
            </c:extLst>
          </c:dPt>
          <c:dPt>
            <c:idx val="1"/>
            <c:invertIfNegative val="0"/>
            <c:bubble3D val="0"/>
            <c:spPr>
              <a:solidFill>
                <a:schemeClr val="accent2"/>
              </a:solidFill>
              <a:ln>
                <a:noFill/>
              </a:ln>
              <a:effectLst/>
              <a:sp3d/>
            </c:spPr>
            <c:extLst>
              <c:ext xmlns:c16="http://schemas.microsoft.com/office/drawing/2014/chart" uri="{C3380CC4-5D6E-409C-BE32-E72D297353CC}">
                <c16:uniqueId val="{00000003-3166-4112-BB01-F0EF18F73B2F}"/>
              </c:ext>
            </c:extLst>
          </c:dPt>
          <c:dPt>
            <c:idx val="2"/>
            <c:invertIfNegative val="0"/>
            <c:bubble3D val="0"/>
            <c:spPr>
              <a:solidFill>
                <a:schemeClr val="accent2"/>
              </a:solidFill>
              <a:ln>
                <a:noFill/>
              </a:ln>
              <a:effectLst/>
              <a:sp3d/>
            </c:spPr>
            <c:extLst>
              <c:ext xmlns:c16="http://schemas.microsoft.com/office/drawing/2014/chart" uri="{C3380CC4-5D6E-409C-BE32-E72D297353CC}">
                <c16:uniqueId val="{00000005-3166-4112-BB01-F0EF18F73B2F}"/>
              </c:ext>
            </c:extLst>
          </c:dPt>
          <c:dPt>
            <c:idx val="3"/>
            <c:invertIfNegative val="0"/>
            <c:bubble3D val="0"/>
            <c:spPr>
              <a:solidFill>
                <a:schemeClr val="accent2"/>
              </a:solidFill>
              <a:ln>
                <a:noFill/>
              </a:ln>
              <a:effectLst/>
              <a:sp3d/>
            </c:spPr>
            <c:extLst>
              <c:ext xmlns:c16="http://schemas.microsoft.com/office/drawing/2014/chart" uri="{C3380CC4-5D6E-409C-BE32-E72D297353CC}">
                <c16:uniqueId val="{00000007-3166-4112-BB01-F0EF18F73B2F}"/>
              </c:ext>
            </c:extLst>
          </c:dPt>
          <c:dPt>
            <c:idx val="4"/>
            <c:invertIfNegative val="0"/>
            <c:bubble3D val="0"/>
            <c:spPr>
              <a:solidFill>
                <a:schemeClr val="accent2"/>
              </a:solidFill>
              <a:ln>
                <a:noFill/>
              </a:ln>
              <a:effectLst/>
              <a:sp3d/>
            </c:spPr>
            <c:extLst>
              <c:ext xmlns:c16="http://schemas.microsoft.com/office/drawing/2014/chart" uri="{C3380CC4-5D6E-409C-BE32-E72D297353CC}">
                <c16:uniqueId val="{00000009-3166-4112-BB01-F0EF18F73B2F}"/>
              </c:ext>
            </c:extLst>
          </c:dPt>
          <c:dPt>
            <c:idx val="5"/>
            <c:invertIfNegative val="0"/>
            <c:bubble3D val="0"/>
            <c:spPr>
              <a:solidFill>
                <a:schemeClr val="accent1"/>
              </a:solidFill>
              <a:ln>
                <a:noFill/>
              </a:ln>
              <a:effectLst/>
              <a:sp3d/>
            </c:spPr>
            <c:extLst>
              <c:ext xmlns:c16="http://schemas.microsoft.com/office/drawing/2014/chart" uri="{C3380CC4-5D6E-409C-BE32-E72D297353CC}">
                <c16:uniqueId val="{0000000B-3166-4112-BB01-F0EF18F73B2F}"/>
              </c:ext>
            </c:extLst>
          </c:dPt>
          <c:dPt>
            <c:idx val="6"/>
            <c:invertIfNegative val="0"/>
            <c:bubble3D val="0"/>
            <c:spPr>
              <a:solidFill>
                <a:schemeClr val="accent1"/>
              </a:solidFill>
              <a:ln>
                <a:noFill/>
              </a:ln>
              <a:effectLst/>
              <a:sp3d/>
            </c:spPr>
            <c:extLst>
              <c:ext xmlns:c16="http://schemas.microsoft.com/office/drawing/2014/chart" uri="{C3380CC4-5D6E-409C-BE32-E72D297353CC}">
                <c16:uniqueId val="{0000000D-3166-4112-BB01-F0EF18F73B2F}"/>
              </c:ext>
            </c:extLst>
          </c:dPt>
          <c:dPt>
            <c:idx val="7"/>
            <c:invertIfNegative val="0"/>
            <c:bubble3D val="0"/>
            <c:spPr>
              <a:solidFill>
                <a:schemeClr val="accent1"/>
              </a:solidFill>
              <a:ln>
                <a:noFill/>
              </a:ln>
              <a:effectLst/>
              <a:sp3d/>
            </c:spPr>
            <c:extLst>
              <c:ext xmlns:c16="http://schemas.microsoft.com/office/drawing/2014/chart" uri="{C3380CC4-5D6E-409C-BE32-E72D297353CC}">
                <c16:uniqueId val="{0000000F-3166-4112-BB01-F0EF18F73B2F}"/>
              </c:ext>
            </c:extLst>
          </c:dPt>
          <c:dPt>
            <c:idx val="8"/>
            <c:invertIfNegative val="0"/>
            <c:bubble3D val="0"/>
            <c:spPr>
              <a:solidFill>
                <a:schemeClr val="accent1"/>
              </a:solidFill>
              <a:ln>
                <a:noFill/>
              </a:ln>
              <a:effectLst/>
              <a:sp3d/>
            </c:spPr>
            <c:extLst>
              <c:ext xmlns:c16="http://schemas.microsoft.com/office/drawing/2014/chart" uri="{C3380CC4-5D6E-409C-BE32-E72D297353CC}">
                <c16:uniqueId val="{00000011-3166-4112-BB01-F0EF18F73B2F}"/>
              </c:ext>
            </c:extLst>
          </c:dPt>
          <c:dPt>
            <c:idx val="9"/>
            <c:invertIfNegative val="0"/>
            <c:bubble3D val="0"/>
            <c:spPr>
              <a:solidFill>
                <a:schemeClr val="accent1"/>
              </a:solidFill>
              <a:ln>
                <a:noFill/>
              </a:ln>
              <a:effectLst/>
              <a:sp3d/>
            </c:spPr>
            <c:extLst>
              <c:ext xmlns:c16="http://schemas.microsoft.com/office/drawing/2014/chart" uri="{C3380CC4-5D6E-409C-BE32-E72D297353CC}">
                <c16:uniqueId val="{00000013-3166-4112-BB01-F0EF18F73B2F}"/>
              </c:ext>
            </c:extLst>
          </c:dPt>
          <c:cat>
            <c:strRef>
              <c:f>'G10 - REO Ult 10 Exerc'!$H$3:$R$3</c:f>
              <c:strCache>
                <c:ptCount val="10"/>
                <c:pt idx="0">
                  <c:v>2014</c:v>
                </c:pt>
                <c:pt idx="1">
                  <c:v>2015</c:v>
                </c:pt>
                <c:pt idx="2">
                  <c:v>2016</c:v>
                </c:pt>
                <c:pt idx="3">
                  <c:v>2017</c:v>
                </c:pt>
                <c:pt idx="4">
                  <c:v>2018</c:v>
                </c:pt>
                <c:pt idx="5">
                  <c:v>2019</c:v>
                </c:pt>
                <c:pt idx="6">
                  <c:v>2020</c:v>
                </c:pt>
                <c:pt idx="7">
                  <c:v>2021</c:v>
                </c:pt>
                <c:pt idx="8">
                  <c:v>2022</c:v>
                </c:pt>
                <c:pt idx="9">
                  <c:v>2023</c:v>
                </c:pt>
              </c:strCache>
            </c:strRef>
          </c:cat>
          <c:val>
            <c:numRef>
              <c:f>'G10 - REO Ult 10 Exerc'!$H$4:$R$4</c:f>
              <c:numCache>
                <c:formatCode>#,##0.00;[Red]#,##0.00</c:formatCode>
                <c:ptCount val="10"/>
                <c:pt idx="0">
                  <c:v>-1.3282529399599992</c:v>
                </c:pt>
                <c:pt idx="1">
                  <c:v>-1.8854060595</c:v>
                </c:pt>
                <c:pt idx="2">
                  <c:v>-0.5360613507700005</c:v>
                </c:pt>
                <c:pt idx="3">
                  <c:v>-0.5033540349700012</c:v>
                </c:pt>
                <c:pt idx="4">
                  <c:v>-1.3408317260099982</c:v>
                </c:pt>
                <c:pt idx="5">
                  <c:v>0.51</c:v>
                </c:pt>
                <c:pt idx="6">
                  <c:v>0.52</c:v>
                </c:pt>
                <c:pt idx="7" formatCode="General">
                  <c:v>0.81</c:v>
                </c:pt>
                <c:pt idx="8">
                  <c:v>4.74</c:v>
                </c:pt>
                <c:pt idx="9">
                  <c:v>2.56</c:v>
                </c:pt>
              </c:numCache>
            </c:numRef>
          </c:val>
          <c:extLst>
            <c:ext xmlns:c16="http://schemas.microsoft.com/office/drawing/2014/chart" uri="{C3380CC4-5D6E-409C-BE32-E72D297353CC}">
              <c16:uniqueId val="{00000014-3166-4112-BB01-F0EF18F73B2F}"/>
            </c:ext>
          </c:extLst>
        </c:ser>
        <c:ser>
          <c:idx val="1"/>
          <c:order val="1"/>
          <c:spPr>
            <a:solidFill>
              <a:srgbClr val="FF0000"/>
            </a:solidFill>
            <a:ln>
              <a:noFill/>
            </a:ln>
            <a:effectLst/>
            <a:sp3d/>
          </c:spPr>
          <c:invertIfNegative val="0"/>
          <c:dPt>
            <c:idx val="4"/>
            <c:invertIfNegative val="0"/>
            <c:bubble3D val="0"/>
            <c:spPr>
              <a:pattFill prst="pct30">
                <a:fgClr>
                  <a:srgbClr val="FF0000"/>
                </a:fgClr>
                <a:bgClr>
                  <a:schemeClr val="bg1"/>
                </a:bgClr>
              </a:pattFill>
              <a:ln>
                <a:noFill/>
              </a:ln>
              <a:effectLst/>
              <a:sp3d/>
            </c:spPr>
            <c:extLst>
              <c:ext xmlns:c16="http://schemas.microsoft.com/office/drawing/2014/chart" uri="{C3380CC4-5D6E-409C-BE32-E72D297353CC}">
                <c16:uniqueId val="{00000016-3166-4112-BB01-F0EF18F73B2F}"/>
              </c:ext>
            </c:extLst>
          </c:dPt>
          <c:dPt>
            <c:idx val="5"/>
            <c:invertIfNegative val="0"/>
            <c:bubble3D val="0"/>
            <c:spPr>
              <a:solidFill>
                <a:schemeClr val="accent1"/>
              </a:solidFill>
              <a:ln>
                <a:noFill/>
              </a:ln>
              <a:effectLst/>
              <a:sp3d/>
            </c:spPr>
            <c:extLst>
              <c:ext xmlns:c16="http://schemas.microsoft.com/office/drawing/2014/chart" uri="{C3380CC4-5D6E-409C-BE32-E72D297353CC}">
                <c16:uniqueId val="{00000018-3166-4112-BB01-F0EF18F73B2F}"/>
              </c:ext>
            </c:extLst>
          </c:dPt>
          <c:cat>
            <c:strRef>
              <c:f>'G10 - REO Ult 10 Exerc'!$H$3:$R$3</c:f>
              <c:strCache>
                <c:ptCount val="10"/>
                <c:pt idx="0">
                  <c:v>2014</c:v>
                </c:pt>
                <c:pt idx="1">
                  <c:v>2015</c:v>
                </c:pt>
                <c:pt idx="2">
                  <c:v>2016</c:v>
                </c:pt>
                <c:pt idx="3">
                  <c:v>2017</c:v>
                </c:pt>
                <c:pt idx="4">
                  <c:v>2018</c:v>
                </c:pt>
                <c:pt idx="5">
                  <c:v>2019</c:v>
                </c:pt>
                <c:pt idx="6">
                  <c:v>2020</c:v>
                </c:pt>
                <c:pt idx="7">
                  <c:v>2021</c:v>
                </c:pt>
                <c:pt idx="8">
                  <c:v>2022</c:v>
                </c:pt>
                <c:pt idx="9">
                  <c:v>2023</c:v>
                </c:pt>
              </c:strCache>
            </c:strRef>
          </c:cat>
          <c:val>
            <c:numRef>
              <c:f>'G10 - REO Ult 10 Exerc'!$H$5:$Q$5</c:f>
              <c:numCache>
                <c:formatCode>#,##0.00;[Red]#,##0.00</c:formatCode>
                <c:ptCount val="9"/>
                <c:pt idx="0">
                  <c:v>0</c:v>
                </c:pt>
                <c:pt idx="1">
                  <c:v>0</c:v>
                </c:pt>
                <c:pt idx="2">
                  <c:v>0</c:v>
                </c:pt>
                <c:pt idx="3">
                  <c:v>0</c:v>
                </c:pt>
                <c:pt idx="4">
                  <c:v>-2.2281765068199957</c:v>
                </c:pt>
              </c:numCache>
            </c:numRef>
          </c:val>
          <c:extLst>
            <c:ext xmlns:c16="http://schemas.microsoft.com/office/drawing/2014/chart" uri="{C3380CC4-5D6E-409C-BE32-E72D297353CC}">
              <c16:uniqueId val="{00000019-3166-4112-BB01-F0EF18F73B2F}"/>
            </c:ext>
          </c:extLst>
        </c:ser>
        <c:dLbls>
          <c:showLegendKey val="0"/>
          <c:showVal val="0"/>
          <c:showCatName val="0"/>
          <c:showSerName val="0"/>
          <c:showPercent val="0"/>
          <c:showBubbleSize val="0"/>
        </c:dLbls>
        <c:gapWidth val="150"/>
        <c:shape val="box"/>
        <c:axId val="704267912"/>
        <c:axId val="704268896"/>
        <c:axId val="0"/>
      </c:bar3DChart>
      <c:catAx>
        <c:axId val="704267912"/>
        <c:scaling>
          <c:orientation val="minMax"/>
        </c:scaling>
        <c:delete val="0"/>
        <c:axPos val="b"/>
        <c:numFmt formatCode="General" sourceLinked="1"/>
        <c:majorTickMark val="none"/>
        <c:minorTickMark val="none"/>
        <c:tickLblPos val="high"/>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crossAx val="704268896"/>
        <c:crosses val="autoZero"/>
        <c:auto val="1"/>
        <c:lblAlgn val="ctr"/>
        <c:lblOffset val="100"/>
        <c:noMultiLvlLbl val="0"/>
      </c:catAx>
      <c:valAx>
        <c:axId val="704268896"/>
        <c:scaling>
          <c:orientation val="minMax"/>
        </c:scaling>
        <c:delete val="0"/>
        <c:axPos val="l"/>
        <c:majorGridlines>
          <c:spPr>
            <a:ln w="9525" cap="flat" cmpd="sng" algn="ctr">
              <a:solidFill>
                <a:schemeClr val="tx1">
                  <a:lumMod val="15000"/>
                  <a:lumOff val="85000"/>
                </a:schemeClr>
              </a:solidFill>
              <a:round/>
            </a:ln>
            <a:effectLst/>
          </c:spPr>
        </c:majorGridlines>
        <c:numFmt formatCode="#,##0.00;[Red]#,##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crossAx val="704267912"/>
        <c:crosses val="autoZero"/>
        <c:crossBetween val="between"/>
        <c:majorUnit val="0.5"/>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a:scene3d>
      <a:camera prst="orthographicFront"/>
      <a:lightRig rig="threePt" dir="t"/>
    </a:scene3d>
    <a:sp3d>
      <a:bevelB/>
    </a:sp3d>
  </c:spPr>
  <c:txPr>
    <a:bodyPr/>
    <a:lstStyle/>
    <a:p>
      <a:pPr>
        <a:defRPr sz="900">
          <a:solidFill>
            <a:sysClr val="windowText" lastClr="000000"/>
          </a:solidFill>
          <a:latin typeface="Arial" panose="020B0604020202020204" pitchFamily="34" charset="0"/>
          <a:cs typeface="Arial" panose="020B0604020202020204" pitchFamily="34" charset="0"/>
        </a:defRPr>
      </a:pPr>
      <a:endParaRPr lang="pt-BR"/>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150237702164702"/>
          <c:y val="6.963029446607491E-2"/>
          <c:w val="0.84498080955960908"/>
          <c:h val="0.77807896265953669"/>
        </c:manualLayout>
      </c:layout>
      <c:lineChart>
        <c:grouping val="standard"/>
        <c:varyColors val="0"/>
        <c:ser>
          <c:idx val="0"/>
          <c:order val="0"/>
          <c:tx>
            <c:v>Receitas Totais</c:v>
          </c:tx>
          <c:spPr>
            <a:ln w="28575" cap="rnd">
              <a:solidFill>
                <a:schemeClr val="accent1"/>
              </a:solidFill>
              <a:round/>
            </a:ln>
            <a:effectLst/>
          </c:spPr>
          <c:marker>
            <c:symbol val="none"/>
          </c:marker>
          <c:cat>
            <c:numRef>
              <c:f>'G11 - Var Rec x Dep - Ult 10exe'!$H$3:$Q$3</c:f>
              <c:numCache>
                <c:formatCode>0</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'G11 - Var Rec x Dep - Ult 10exe'!$H$6:$Q$6</c:f>
              <c:numCache>
                <c:formatCode>0.00%</c:formatCode>
                <c:ptCount val="10"/>
                <c:pt idx="0">
                  <c:v>4.9139243322610104E-2</c:v>
                </c:pt>
                <c:pt idx="1">
                  <c:v>-0.10683372164081406</c:v>
                </c:pt>
                <c:pt idx="2">
                  <c:v>-1.2415475516698304E-3</c:v>
                </c:pt>
                <c:pt idx="3">
                  <c:v>8.5220769392920115E-2</c:v>
                </c:pt>
                <c:pt idx="4">
                  <c:v>-7.937262607371931E-3</c:v>
                </c:pt>
                <c:pt idx="5">
                  <c:v>0.1754</c:v>
                </c:pt>
                <c:pt idx="6">
                  <c:v>-6.0299999999999999E-2</c:v>
                </c:pt>
                <c:pt idx="7">
                  <c:v>7.1099999999999997E-2</c:v>
                </c:pt>
                <c:pt idx="8">
                  <c:v>0.17879999999999999</c:v>
                </c:pt>
                <c:pt idx="9">
                  <c:v>-8.1023378349293268E-2</c:v>
                </c:pt>
              </c:numCache>
            </c:numRef>
          </c:val>
          <c:smooth val="0"/>
          <c:extLst>
            <c:ext xmlns:c16="http://schemas.microsoft.com/office/drawing/2014/chart" uri="{C3380CC4-5D6E-409C-BE32-E72D297353CC}">
              <c16:uniqueId val="{00000000-734A-410B-AAC7-B169D7A1DE75}"/>
            </c:ext>
          </c:extLst>
        </c:ser>
        <c:ser>
          <c:idx val="1"/>
          <c:order val="1"/>
          <c:tx>
            <c:v>Despesas Totais</c:v>
          </c:tx>
          <c:spPr>
            <a:ln w="28575" cap="rnd">
              <a:solidFill>
                <a:schemeClr val="accent2"/>
              </a:solidFill>
              <a:round/>
            </a:ln>
            <a:effectLst/>
          </c:spPr>
          <c:marker>
            <c:symbol val="none"/>
          </c:marker>
          <c:cat>
            <c:numRef>
              <c:f>'G11 - Var Rec x Dep - Ult 10exe'!$H$3:$Q$3</c:f>
              <c:numCache>
                <c:formatCode>0</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'G11 - Var Rec x Dep - Ult 10exe'!$H$11:$Q$11</c:f>
              <c:numCache>
                <c:formatCode>0.00%</c:formatCode>
                <c:ptCount val="10"/>
                <c:pt idx="0">
                  <c:v>8.6514691970852375E-2</c:v>
                </c:pt>
                <c:pt idx="1">
                  <c:v>-8.2827370740665041E-2</c:v>
                </c:pt>
                <c:pt idx="2">
                  <c:v>-6.4394179034657717E-2</c:v>
                </c:pt>
                <c:pt idx="3">
                  <c:v>8.0963753357791823E-2</c:v>
                </c:pt>
                <c:pt idx="4">
                  <c:v>2.47E-2</c:v>
                </c:pt>
                <c:pt idx="5">
                  <c:v>7.9000000000000008E-3</c:v>
                </c:pt>
                <c:pt idx="6">
                  <c:v>-6.0600000000000001E-2</c:v>
                </c:pt>
                <c:pt idx="7">
                  <c:v>6.5210000000000004E-2</c:v>
                </c:pt>
                <c:pt idx="8">
                  <c:v>7.5300000000000006E-2</c:v>
                </c:pt>
                <c:pt idx="9">
                  <c:v>-2.918810895984756E-2</c:v>
                </c:pt>
              </c:numCache>
            </c:numRef>
          </c:val>
          <c:smooth val="0"/>
          <c:extLst>
            <c:ext xmlns:c16="http://schemas.microsoft.com/office/drawing/2014/chart" uri="{C3380CC4-5D6E-409C-BE32-E72D297353CC}">
              <c16:uniqueId val="{00000001-734A-410B-AAC7-B169D7A1DE75}"/>
            </c:ext>
          </c:extLst>
        </c:ser>
        <c:ser>
          <c:idx val="2"/>
          <c:order val="2"/>
          <c:spPr>
            <a:ln w="28575" cap="rnd">
              <a:solidFill>
                <a:schemeClr val="accent2"/>
              </a:solidFill>
              <a:prstDash val="sysDash"/>
              <a:round/>
            </a:ln>
            <a:effectLst/>
          </c:spPr>
          <c:marker>
            <c:symbol val="none"/>
          </c:marker>
          <c:cat>
            <c:numRef>
              <c:f>'G11 - Var Rec x Dep - Ult 10exe'!$H$3:$Q$3</c:f>
              <c:numCache>
                <c:formatCode>0</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'G11 - Var Rec x Dep - Ult 10exe'!$H$16:$Q$16</c:f>
              <c:numCache>
                <c:formatCode>0.00%</c:formatCode>
                <c:ptCount val="10"/>
                <c:pt idx="0">
                  <c:v>8.6514691970852375E-2</c:v>
                </c:pt>
                <c:pt idx="1">
                  <c:v>-8.2827370740665041E-2</c:v>
                </c:pt>
                <c:pt idx="2">
                  <c:v>-6.4394179034657717E-2</c:v>
                </c:pt>
                <c:pt idx="3">
                  <c:v>8.0963753357791823E-2</c:v>
                </c:pt>
                <c:pt idx="4">
                  <c:v>0.11318446748388311</c:v>
                </c:pt>
                <c:pt idx="5">
                  <c:v>7.9000000000000008E-3</c:v>
                </c:pt>
                <c:pt idx="6">
                  <c:v>-6.0600000000000001E-2</c:v>
                </c:pt>
                <c:pt idx="7">
                  <c:v>6.5199999999999994E-2</c:v>
                </c:pt>
                <c:pt idx="8">
                  <c:v>7.5300000000000006E-2</c:v>
                </c:pt>
                <c:pt idx="9">
                  <c:v>-2.918810895984756E-2</c:v>
                </c:pt>
              </c:numCache>
            </c:numRef>
          </c:val>
          <c:smooth val="0"/>
          <c:extLst>
            <c:ext xmlns:c16="http://schemas.microsoft.com/office/drawing/2014/chart" uri="{C3380CC4-5D6E-409C-BE32-E72D297353CC}">
              <c16:uniqueId val="{00000002-734A-410B-AAC7-B169D7A1DE75}"/>
            </c:ext>
          </c:extLst>
        </c:ser>
        <c:dLbls>
          <c:showLegendKey val="0"/>
          <c:showVal val="0"/>
          <c:showCatName val="0"/>
          <c:showSerName val="0"/>
          <c:showPercent val="0"/>
          <c:showBubbleSize val="0"/>
        </c:dLbls>
        <c:smooth val="0"/>
        <c:axId val="604695192"/>
        <c:axId val="604695848"/>
      </c:lineChart>
      <c:catAx>
        <c:axId val="604695192"/>
        <c:scaling>
          <c:orientation val="minMax"/>
        </c:scaling>
        <c:delete val="0"/>
        <c:axPos val="b"/>
        <c:numFmt formatCode="0"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b" anchorCtr="0"/>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crossAx val="604695848"/>
        <c:crosses val="autoZero"/>
        <c:auto val="1"/>
        <c:lblAlgn val="ctr"/>
        <c:lblOffset val="100"/>
        <c:noMultiLvlLbl val="0"/>
      </c:catAx>
      <c:valAx>
        <c:axId val="604695848"/>
        <c:scaling>
          <c:orientation val="minMax"/>
          <c:max val="0.2"/>
          <c:min val="-0.12000000000000001"/>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crossAx val="604695192"/>
        <c:crosses val="autoZero"/>
        <c:crossBetween val="between"/>
        <c:majorUnit val="4.0000000000000008E-2"/>
        <c:minorUnit val="5.000000000000001E-3"/>
      </c:valAx>
      <c:spPr>
        <a:noFill/>
        <a:ln>
          <a:noFill/>
        </a:ln>
        <a:effectLst/>
      </c:spPr>
    </c:plotArea>
    <c:legend>
      <c:legendPos val="b"/>
      <c:layout>
        <c:manualLayout>
          <c:xMode val="edge"/>
          <c:yMode val="edge"/>
          <c:x val="0.27980674292828051"/>
          <c:y val="0.92305766264890909"/>
          <c:w val="0.60574122076288628"/>
          <c:h val="4.3671384665456038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sz="900">
          <a:solidFill>
            <a:sysClr val="windowText" lastClr="000000"/>
          </a:solidFill>
          <a:latin typeface="Arial" panose="020B0604020202020204" pitchFamily="34" charset="0"/>
          <a:cs typeface="Arial" panose="020B0604020202020204" pitchFamily="34" charset="0"/>
        </a:defRPr>
      </a:pPr>
      <a:endParaRPr lang="pt-BR"/>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2418936763339381E-2"/>
          <c:y val="8.4630354778363656E-2"/>
          <c:w val="0.45756997417982859"/>
          <c:h val="0.85371074576180672"/>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A5BB-4996-A3BB-266B9FBA409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A5BB-4996-A3BB-266B9FBA4095}"/>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A5BB-4996-A3BB-266B9FBA4095}"/>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A5BB-4996-A3BB-266B9FBA4095}"/>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A5BB-4996-A3BB-266B9FBA4095}"/>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A5BB-4996-A3BB-266B9FBA4095}"/>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A5BB-4996-A3BB-266B9FBA4095}"/>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A5BB-4996-A3BB-266B9FBA4095}"/>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A5BB-4996-A3BB-266B9FBA4095}"/>
              </c:ext>
            </c:extLst>
          </c:dPt>
          <c:dPt>
            <c:idx val="9"/>
            <c:bubble3D val="0"/>
            <c:spPr>
              <a:solidFill>
                <a:schemeClr val="accent4">
                  <a:lumMod val="60000"/>
                </a:schemeClr>
              </a:solidFill>
              <a:ln w="19050">
                <a:solidFill>
                  <a:schemeClr val="lt1"/>
                </a:solidFill>
              </a:ln>
              <a:effectLst/>
            </c:spPr>
            <c:extLst>
              <c:ext xmlns:c16="http://schemas.microsoft.com/office/drawing/2014/chart" uri="{C3380CC4-5D6E-409C-BE32-E72D297353CC}">
                <c16:uniqueId val="{00000013-A5BB-4996-A3BB-266B9FBA4095}"/>
              </c:ext>
            </c:extLst>
          </c:dPt>
          <c:dLbls>
            <c:dLbl>
              <c:idx val="0"/>
              <c:layout>
                <c:manualLayout>
                  <c:x val="-0.12422360248447206"/>
                  <c:y val="-1.2714291976275728E-2"/>
                </c:manualLayout>
              </c:layout>
              <c:tx>
                <c:rich>
                  <a:bodyPr rot="0" spcFirstLastPara="1" vertOverflow="ellipsis" vert="horz" wrap="square" lIns="38100" tIns="19050" rIns="38100" bIns="19050" anchor="ctr" anchorCtr="1">
                    <a:noAutofit/>
                  </a:bodyPr>
                  <a:lstStyle/>
                  <a:p>
                    <a:pPr>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fld id="{F465EA18-C81E-4085-A101-45365B90F317}" type="PERCENTAGE">
                      <a:rPr lang="en-US" b="1" i="0" baseline="0">
                        <a:solidFill>
                          <a:schemeClr val="bg1"/>
                        </a:solidFill>
                        <a:latin typeface="Arial" panose="020B0604020202020204" pitchFamily="34" charset="0"/>
                        <a:cs typeface="Arial" panose="020B0604020202020204" pitchFamily="34" charset="0"/>
                      </a:rPr>
                      <a:pPr>
                        <a:defRPr b="1">
                          <a:solidFill>
                            <a:sysClr val="windowText" lastClr="000000"/>
                          </a:solidFill>
                          <a:latin typeface="Arial" panose="020B0604020202020204" pitchFamily="34" charset="0"/>
                          <a:cs typeface="Arial" panose="020B0604020202020204" pitchFamily="34" charset="0"/>
                        </a:defRPr>
                      </a:pPr>
                      <a:t>[PORCENTAGEM]</a:t>
                    </a:fld>
                    <a:endParaRPr lang="pt-BR"/>
                  </a:p>
                </c:rich>
              </c:tx>
              <c:numFmt formatCode="0.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dLblPos val="bestFit"/>
              <c:showLegendKey val="0"/>
              <c:showVal val="0"/>
              <c:showCatName val="0"/>
              <c:showSerName val="0"/>
              <c:showPercent val="1"/>
              <c:showBubbleSize val="0"/>
              <c:extLst>
                <c:ext xmlns:c15="http://schemas.microsoft.com/office/drawing/2012/chart" uri="{CE6537A1-D6FC-4f65-9D91-7224C49458BB}">
                  <c15:layout>
                    <c:manualLayout>
                      <c:w val="8.6956521739130432E-2"/>
                      <c:h val="8.2725048148353644E-2"/>
                    </c:manualLayout>
                  </c15:layout>
                  <c15:dlblFieldTable/>
                  <c15:showDataLabelsRange val="0"/>
                </c:ext>
                <c:ext xmlns:c16="http://schemas.microsoft.com/office/drawing/2014/chart" uri="{C3380CC4-5D6E-409C-BE32-E72D297353CC}">
                  <c16:uniqueId val="{00000001-A5BB-4996-A3BB-266B9FBA4095}"/>
                </c:ext>
              </c:extLst>
            </c:dLbl>
            <c:dLbl>
              <c:idx val="6"/>
              <c:tx>
                <c:rich>
                  <a:bodyPr/>
                  <a:lstStyle/>
                  <a:p>
                    <a:fld id="{E6CB0F9C-71B9-49A3-B353-1E29E0661C88}" type="PERCENTAGE">
                      <a:rPr lang="en-US">
                        <a:solidFill>
                          <a:schemeClr val="bg1"/>
                        </a:solidFill>
                      </a:rPr>
                      <a:pPr/>
                      <a:t>[PORCENTAGEM]</a:t>
                    </a:fld>
                    <a:endParaRPr lang="pt-BR"/>
                  </a:p>
                </c:rich>
              </c:tx>
              <c:dLblPos val="bestFit"/>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D-A5BB-4996-A3BB-266B9FBA4095}"/>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dLblPos val="bestFit"/>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('T6_G3 - Arrecad por Origem'!$K$7:$K$9,'T6_G3 - Arrecad por Origem'!$K$12:$K$14,'T6_G3 - Arrecad por Origem'!$K$16:$K$19)</c:f>
              <c:strCache>
                <c:ptCount val="10"/>
                <c:pt idx="0">
                  <c:v>Impostos, Taxas e Contrib. de Melhoria</c:v>
                </c:pt>
                <c:pt idx="1">
                  <c:v>Contribuições</c:v>
                </c:pt>
                <c:pt idx="2">
                  <c:v>Patrimonial</c:v>
                </c:pt>
                <c:pt idx="3">
                  <c:v>Serviços</c:v>
                </c:pt>
                <c:pt idx="4">
                  <c:v>Transferências Correntes</c:v>
                </c:pt>
                <c:pt idx="5">
                  <c:v>Outras Receitas Correntes</c:v>
                </c:pt>
                <c:pt idx="6">
                  <c:v>Operações de Crédito</c:v>
                </c:pt>
                <c:pt idx="7">
                  <c:v>Alienação de Bens</c:v>
                </c:pt>
                <c:pt idx="8">
                  <c:v>Amortizações de Empréstimos</c:v>
                </c:pt>
                <c:pt idx="9">
                  <c:v>Transferências de Capital</c:v>
                </c:pt>
              </c:strCache>
            </c:strRef>
          </c:cat>
          <c:val>
            <c:numRef>
              <c:f>('T6_G3 - Arrecad por Origem'!$P$7:$P$9,'T6_G3 - Arrecad por Origem'!$P$12:$P$14,'T6_G3 - Arrecad por Origem'!$P$16:$P$19)</c:f>
              <c:numCache>
                <c:formatCode>_(* #,##0.00_);_(* \(#,##0.00\);_(* "-"??_);_(@_)</c:formatCode>
                <c:ptCount val="10"/>
                <c:pt idx="0">
                  <c:v>52.905342329075367</c:v>
                </c:pt>
                <c:pt idx="1">
                  <c:v>7.4739328486788352</c:v>
                </c:pt>
                <c:pt idx="2">
                  <c:v>4.4509573202381105</c:v>
                </c:pt>
                <c:pt idx="3">
                  <c:v>2.2467756845768725</c:v>
                </c:pt>
                <c:pt idx="4">
                  <c:v>23.152283841944222</c:v>
                </c:pt>
                <c:pt idx="5">
                  <c:v>9.3639731641566346</c:v>
                </c:pt>
                <c:pt idx="6">
                  <c:v>0</c:v>
                </c:pt>
                <c:pt idx="7">
                  <c:v>1.662703700470303E-2</c:v>
                </c:pt>
                <c:pt idx="8">
                  <c:v>3.329831847204371E-2</c:v>
                </c:pt>
                <c:pt idx="9">
                  <c:v>0.35609195843778929</c:v>
                </c:pt>
              </c:numCache>
            </c:numRef>
          </c:val>
          <c:extLst>
            <c:ext xmlns:c16="http://schemas.microsoft.com/office/drawing/2014/chart" uri="{C3380CC4-5D6E-409C-BE32-E72D297353CC}">
              <c16:uniqueId val="{00000014-A5BB-4996-A3BB-266B9FBA4095}"/>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0.59767186710356857"/>
          <c:y val="9.7321440340028681E-2"/>
          <c:w val="0.3555400767211791"/>
          <c:h val="0.90267855965997135"/>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pPr>
      <a:endParaRPr lang="pt-BR"/>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2327209098862642E-2"/>
          <c:y val="8.8121321639704833E-2"/>
          <c:w val="0.52797424650777713"/>
          <c:h val="0.87782960085168826"/>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74B7-4FA9-BDEA-01F84B9DBD7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74B7-4FA9-BDEA-01F84B9DBD7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74B7-4FA9-BDEA-01F84B9DBD73}"/>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74B7-4FA9-BDEA-01F84B9DBD73}"/>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74B7-4FA9-BDEA-01F84B9DBD73}"/>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74B7-4FA9-BDEA-01F84B9DBD73}"/>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74B7-4FA9-BDEA-01F84B9DBD73}"/>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74B7-4FA9-BDEA-01F84B9DBD73}"/>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74B7-4FA9-BDEA-01F84B9DBD73}"/>
              </c:ext>
            </c:extLst>
          </c:dPt>
          <c:dPt>
            <c:idx val="9"/>
            <c:bubble3D val="0"/>
            <c:spPr>
              <a:solidFill>
                <a:schemeClr val="accent4">
                  <a:lumMod val="60000"/>
                </a:schemeClr>
              </a:solidFill>
              <a:ln w="19050">
                <a:solidFill>
                  <a:schemeClr val="lt1"/>
                </a:solidFill>
              </a:ln>
              <a:effectLst/>
            </c:spPr>
            <c:extLst>
              <c:ext xmlns:c16="http://schemas.microsoft.com/office/drawing/2014/chart" uri="{C3380CC4-5D6E-409C-BE32-E72D297353CC}">
                <c16:uniqueId val="{00000013-74B7-4FA9-BDEA-01F84B9DBD73}"/>
              </c:ext>
            </c:extLst>
          </c:dPt>
          <c:dLbls>
            <c:dLbl>
              <c:idx val="0"/>
              <c:layout>
                <c:manualLayout>
                  <c:x val="-0.142951234356575"/>
                  <c:y val="8.2110268125022506E-2"/>
                </c:manualLayout>
              </c:layout>
              <c:tx>
                <c:rich>
                  <a:bodyPr/>
                  <a:lstStyle/>
                  <a:p>
                    <a:fld id="{F5BC73D0-15F7-4C3C-A9A2-193153864D17}" type="VALUE">
                      <a:rPr lang="en-US">
                        <a:solidFill>
                          <a:schemeClr val="bg1"/>
                        </a:solidFill>
                      </a:rPr>
                      <a:pPr/>
                      <a:t>[VALOR]</a:t>
                    </a:fld>
                    <a:endParaRPr lang="pt-B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74B7-4FA9-BDEA-01F84B9DBD73}"/>
                </c:ext>
              </c:extLst>
            </c:dLbl>
            <c:dLbl>
              <c:idx val="1"/>
              <c:layout>
                <c:manualLayout>
                  <c:x val="-4.8359770246110587E-2"/>
                  <c:y val="-0.1908631852808713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4B7-4FA9-BDEA-01F84B9DBD73}"/>
                </c:ext>
              </c:extLst>
            </c:dLbl>
            <c:dLbl>
              <c:idx val="2"/>
              <c:layout>
                <c:manualLayout>
                  <c:x val="0.10890600631442809"/>
                  <c:y val="-0.1098060071227069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4B7-4FA9-BDEA-01F84B9DBD73}"/>
                </c:ext>
              </c:extLst>
            </c:dLbl>
            <c:dLbl>
              <c:idx val="6"/>
              <c:layout>
                <c:manualLayout>
                  <c:x val="4.4730046328101604E-2"/>
                  <c:y val="8.0645765940964648E-2"/>
                </c:manualLayout>
              </c:layout>
              <c:tx>
                <c:rich>
                  <a:bodyPr rot="0" spcFirstLastPara="1" vertOverflow="ellipsis" vert="horz" wrap="square" lIns="38100" tIns="19050" rIns="38100" bIns="19050" anchor="ctr" anchorCtr="0">
                    <a:noAutofit/>
                  </a:bodyPr>
                  <a:lstStyle/>
                  <a:p>
                    <a:pPr algn="l">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fld id="{E1ACCCD3-6698-4231-861F-D0E938E1E438}" type="VALUE">
                      <a:rPr lang="en-US" baseline="0">
                        <a:solidFill>
                          <a:schemeClr val="bg1"/>
                        </a:solidFill>
                        <a:latin typeface="Arial" panose="020B0604020202020204" pitchFamily="34" charset="0"/>
                        <a:cs typeface="Arial" panose="020B0604020202020204" pitchFamily="34" charset="0"/>
                      </a:rPr>
                      <a:pPr algn="l">
                        <a:defRPr b="1">
                          <a:solidFill>
                            <a:sysClr val="windowText" lastClr="000000"/>
                          </a:solidFill>
                          <a:latin typeface="Arial" panose="020B0604020202020204" pitchFamily="34" charset="0"/>
                          <a:cs typeface="Arial" panose="020B0604020202020204" pitchFamily="34" charset="0"/>
                        </a:defRPr>
                      </a:pPr>
                      <a:t>[VALOR]</a:t>
                    </a:fld>
                    <a:endParaRPr lang="pt-BR"/>
                  </a:p>
                </c:rich>
              </c:tx>
              <c:spPr>
                <a:noFill/>
                <a:ln>
                  <a:noFill/>
                </a:ln>
                <a:effectLst/>
              </c:spPr>
              <c:txPr>
                <a:bodyPr rot="0" spcFirstLastPara="1" vertOverflow="ellipsis" vert="horz" wrap="square" lIns="38100" tIns="19050" rIns="38100" bIns="19050" anchor="ctr" anchorCtr="0">
                  <a:noAutofit/>
                </a:bodyPr>
                <a:lstStyle/>
                <a:p>
                  <a:pPr algn="l">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showLegendKey val="0"/>
              <c:showVal val="1"/>
              <c:showCatName val="0"/>
              <c:showSerName val="0"/>
              <c:showPercent val="0"/>
              <c:showBubbleSize val="0"/>
              <c:extLst>
                <c:ext xmlns:c15="http://schemas.microsoft.com/office/drawing/2012/chart" uri="{CE6537A1-D6FC-4f65-9D91-7224C49458BB}">
                  <c15:layout>
                    <c:manualLayout>
                      <c:w val="6.3892617449664429E-2"/>
                      <c:h val="6.3176638906746282E-2"/>
                    </c:manualLayout>
                  </c15:layout>
                  <c15:dlblFieldTable/>
                  <c15:showDataLabelsRange val="0"/>
                </c:ext>
                <c:ext xmlns:c16="http://schemas.microsoft.com/office/drawing/2014/chart" uri="{C3380CC4-5D6E-409C-BE32-E72D297353CC}">
                  <c16:uniqueId val="{0000000D-74B7-4FA9-BDEA-01F84B9DBD73}"/>
                </c:ext>
              </c:extLst>
            </c:dLbl>
            <c:dLbl>
              <c:idx val="9"/>
              <c:layout>
                <c:manualLayout>
                  <c:x val="5.1120500502057249E-2"/>
                  <c:y val="1.65362126763857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74B7-4FA9-BDEA-01F84B9DBD73}"/>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'G4 - Espécies da Receita'!$K$8:$K$17</c:f>
              <c:strCache>
                <c:ptCount val="10"/>
                <c:pt idx="0">
                  <c:v>ICMS</c:v>
                </c:pt>
                <c:pt idx="1">
                  <c:v>Demais Receitas Correntes</c:v>
                </c:pt>
                <c:pt idx="2">
                  <c:v>FPE - Transf. da União</c:v>
                </c:pt>
                <c:pt idx="3">
                  <c:v>FUNDEB - Transf. da União</c:v>
                </c:pt>
                <c:pt idx="4">
                  <c:v>Prestação de Serviços</c:v>
                </c:pt>
                <c:pt idx="5">
                  <c:v>IRRF</c:v>
                </c:pt>
                <c:pt idx="6">
                  <c:v>IPVA</c:v>
                </c:pt>
                <c:pt idx="7">
                  <c:v>ITCD</c:v>
                </c:pt>
                <c:pt idx="8">
                  <c:v>Receitas de Capital</c:v>
                </c:pt>
                <c:pt idx="9">
                  <c:v>Exerc. Poder de Polícia</c:v>
                </c:pt>
              </c:strCache>
            </c:strRef>
          </c:cat>
          <c:val>
            <c:numRef>
              <c:f>'G4 - Espécies da Receita'!$L$8:$L$17</c:f>
              <c:numCache>
                <c:formatCode>0.00%</c:formatCode>
                <c:ptCount val="10"/>
                <c:pt idx="0">
                  <c:v>0.34550668320097055</c:v>
                </c:pt>
                <c:pt idx="1">
                  <c:v>0.26485316298493022</c:v>
                </c:pt>
                <c:pt idx="2">
                  <c:v>0.11795854271385532</c:v>
                </c:pt>
                <c:pt idx="3">
                  <c:v>8.4071838497136911E-2</c:v>
                </c:pt>
                <c:pt idx="4">
                  <c:v>6.7877765486084013E-2</c:v>
                </c:pt>
                <c:pt idx="5">
                  <c:v>6.059764356034069E-2</c:v>
                </c:pt>
                <c:pt idx="6">
                  <c:v>3.0370670596349212E-2</c:v>
                </c:pt>
                <c:pt idx="7">
                  <c:v>2.3440913523644573E-2</c:v>
                </c:pt>
                <c:pt idx="8">
                  <c:v>4.0630325133238793E-3</c:v>
                </c:pt>
                <c:pt idx="9">
                  <c:v>1.2597469233645662E-3</c:v>
                </c:pt>
              </c:numCache>
            </c:numRef>
          </c:val>
          <c:extLst>
            <c:ext xmlns:c16="http://schemas.microsoft.com/office/drawing/2014/chart" uri="{C3380CC4-5D6E-409C-BE32-E72D297353CC}">
              <c16:uniqueId val="{00000014-74B7-4FA9-BDEA-01F84B9DBD73}"/>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0.63703630796150479"/>
          <c:y val="7.9438084931591102E-2"/>
          <c:w val="0.33703849518810147"/>
          <c:h val="0.89278422678102554"/>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legend>
    <c:plotVisOnly val="1"/>
    <c:dispBlanksAs val="gap"/>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pPr>
      <a:endParaRPr lang="pt-BR"/>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pt-BR" sz="800" b="0">
                <a:solidFill>
                  <a:sysClr val="windowText" lastClr="000000"/>
                </a:solidFill>
                <a:latin typeface="Arial" panose="020B0604020202020204" pitchFamily="34" charset="0"/>
                <a:cs typeface="Arial" panose="020B0604020202020204" pitchFamily="34" charset="0"/>
              </a:rPr>
              <a:t>R$</a:t>
            </a:r>
          </a:p>
        </c:rich>
      </c:tx>
      <c:layout>
        <c:manualLayout>
          <c:xMode val="edge"/>
          <c:yMode val="edge"/>
          <c:x val="4.7106956332925727E-2"/>
          <c:y val="0.70738788667868857"/>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pt-BR"/>
        </a:p>
      </c:txPr>
    </c:title>
    <c:autoTitleDeleted val="0"/>
    <c:plotArea>
      <c:layout>
        <c:manualLayout>
          <c:layoutTarget val="inner"/>
          <c:xMode val="edge"/>
          <c:yMode val="edge"/>
          <c:x val="9.3133111626648987E-2"/>
          <c:y val="3.3484761148486593E-2"/>
          <c:w val="0.88557999916193353"/>
          <c:h val="0.67834115635053216"/>
        </c:manualLayout>
      </c:layout>
      <c:barChart>
        <c:barDir val="col"/>
        <c:grouping val="clustered"/>
        <c:varyColors val="0"/>
        <c:ser>
          <c:idx val="0"/>
          <c:order val="0"/>
          <c:tx>
            <c:strRef>
              <c:f>'G6 - Arrecad 3 Exercícios'!$B$5</c:f>
              <c:strCache>
                <c:ptCount val="1"/>
                <c:pt idx="0">
                  <c:v>2021</c:v>
                </c:pt>
              </c:strCache>
            </c:strRef>
          </c:tx>
          <c:spPr>
            <a:solidFill>
              <a:schemeClr val="accent1"/>
            </a:soli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delete val="1"/>
          </c:dLbls>
          <c:trendline>
            <c:spPr>
              <a:ln w="19050" cap="rnd">
                <a:solidFill>
                  <a:schemeClr val="accent6"/>
                </a:solidFill>
              </a:ln>
              <a:effectLst/>
            </c:spPr>
            <c:trendlineType val="linear"/>
            <c:dispRSqr val="0"/>
            <c:dispEq val="0"/>
          </c:trendline>
          <c:cat>
            <c:strRef>
              <c:f>'G6 - Arrecad 3 Exercícios'!$C$4:$M$4</c:f>
              <c:strCache>
                <c:ptCount val="6"/>
                <c:pt idx="0">
                  <c:v>1º Bimestre</c:v>
                </c:pt>
                <c:pt idx="1">
                  <c:v>2º Bimestre</c:v>
                </c:pt>
                <c:pt idx="2">
                  <c:v>3º Bimestre</c:v>
                </c:pt>
                <c:pt idx="3">
                  <c:v>4º Bimestre</c:v>
                </c:pt>
                <c:pt idx="4">
                  <c:v>5º Bimestre</c:v>
                </c:pt>
                <c:pt idx="5">
                  <c:v>6º Bimestre</c:v>
                </c:pt>
              </c:strCache>
            </c:strRef>
          </c:cat>
          <c:val>
            <c:numRef>
              <c:f>'G6 - Arrecad 3 Exercícios'!$C$5:$M$5</c:f>
              <c:numCache>
                <c:formatCode>#,##0.00_);[Red]\(#,##0.00\)</c:formatCode>
                <c:ptCount val="6"/>
                <c:pt idx="0">
                  <c:v>5326755374.3000002</c:v>
                </c:pt>
                <c:pt idx="1">
                  <c:v>5238286495.5799999</c:v>
                </c:pt>
                <c:pt idx="2">
                  <c:v>5503880195.6800003</c:v>
                </c:pt>
                <c:pt idx="3">
                  <c:v>5991583215.3299999</c:v>
                </c:pt>
                <c:pt idx="4">
                  <c:v>6046090973.04</c:v>
                </c:pt>
                <c:pt idx="5">
                  <c:v>6739625793.21</c:v>
                </c:pt>
              </c:numCache>
            </c:numRef>
          </c:val>
          <c:extLst>
            <c:ext xmlns:c16="http://schemas.microsoft.com/office/drawing/2014/chart" uri="{C3380CC4-5D6E-409C-BE32-E72D297353CC}">
              <c16:uniqueId val="{00000001-1F80-4A50-9714-96AB2E0CDA9B}"/>
            </c:ext>
          </c:extLst>
        </c:ser>
        <c:ser>
          <c:idx val="1"/>
          <c:order val="1"/>
          <c:tx>
            <c:strRef>
              <c:f>'G6 - Arrecad 3 Exercícios'!$B$6</c:f>
              <c:strCache>
                <c:ptCount val="1"/>
                <c:pt idx="0">
                  <c:v>2022</c:v>
                </c:pt>
              </c:strCache>
            </c:strRef>
          </c:tx>
          <c:spPr>
            <a:solidFill>
              <a:schemeClr val="accent2"/>
            </a:soli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delete val="1"/>
          </c:dLbls>
          <c:trendline>
            <c:spPr>
              <a:ln w="19050" cap="rnd">
                <a:solidFill>
                  <a:schemeClr val="accent5"/>
                </a:solidFill>
              </a:ln>
              <a:effectLst/>
            </c:spPr>
            <c:trendlineType val="linear"/>
            <c:dispRSqr val="0"/>
            <c:dispEq val="0"/>
          </c:trendline>
          <c:cat>
            <c:strRef>
              <c:f>'G6 - Arrecad 3 Exercícios'!$C$4:$M$4</c:f>
              <c:strCache>
                <c:ptCount val="6"/>
                <c:pt idx="0">
                  <c:v>1º Bimestre</c:v>
                </c:pt>
                <c:pt idx="1">
                  <c:v>2º Bimestre</c:v>
                </c:pt>
                <c:pt idx="2">
                  <c:v>3º Bimestre</c:v>
                </c:pt>
                <c:pt idx="3">
                  <c:v>4º Bimestre</c:v>
                </c:pt>
                <c:pt idx="4">
                  <c:v>5º Bimestre</c:v>
                </c:pt>
                <c:pt idx="5">
                  <c:v>6º Bimestre</c:v>
                </c:pt>
              </c:strCache>
            </c:strRef>
          </c:cat>
          <c:val>
            <c:numRef>
              <c:f>'G6 - Arrecad 3 Exercícios'!$C$6:$M$6</c:f>
              <c:numCache>
                <c:formatCode>#,##0.00_);[Red]\(#,##0.00\)</c:formatCode>
                <c:ptCount val="6"/>
                <c:pt idx="0">
                  <c:v>6124070551.1099997</c:v>
                </c:pt>
                <c:pt idx="1">
                  <c:v>6305284704.0799999</c:v>
                </c:pt>
                <c:pt idx="2">
                  <c:v>6992043064.9499998</c:v>
                </c:pt>
                <c:pt idx="3">
                  <c:v>7463264460.7799997</c:v>
                </c:pt>
                <c:pt idx="4">
                  <c:v>8974675949.2199993</c:v>
                </c:pt>
                <c:pt idx="5">
                  <c:v>7640172730.9799995</c:v>
                </c:pt>
              </c:numCache>
            </c:numRef>
          </c:val>
          <c:extLst>
            <c:ext xmlns:c16="http://schemas.microsoft.com/office/drawing/2014/chart" uri="{C3380CC4-5D6E-409C-BE32-E72D297353CC}">
              <c16:uniqueId val="{00000003-1F80-4A50-9714-96AB2E0CDA9B}"/>
            </c:ext>
          </c:extLst>
        </c:ser>
        <c:ser>
          <c:idx val="2"/>
          <c:order val="2"/>
          <c:tx>
            <c:strRef>
              <c:f>'G6 - Arrecad 3 Exercícios'!$B$7</c:f>
              <c:strCache>
                <c:ptCount val="1"/>
                <c:pt idx="0">
                  <c:v>2023</c:v>
                </c:pt>
              </c:strCache>
            </c:strRef>
          </c:tx>
          <c:spPr>
            <a:solidFill>
              <a:schemeClr val="accent3"/>
            </a:soli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delete val="1"/>
          </c:dLbls>
          <c:trendline>
            <c:spPr>
              <a:ln w="19050" cap="rnd">
                <a:solidFill>
                  <a:schemeClr val="accent4"/>
                </a:solidFill>
              </a:ln>
              <a:effectLst/>
            </c:spPr>
            <c:trendlineType val="linear"/>
            <c:dispRSqr val="0"/>
            <c:dispEq val="0"/>
          </c:trendline>
          <c:cat>
            <c:strRef>
              <c:f>'G6 - Arrecad 3 Exercícios'!$C$4:$M$4</c:f>
              <c:strCache>
                <c:ptCount val="6"/>
                <c:pt idx="0">
                  <c:v>1º Bimestre</c:v>
                </c:pt>
                <c:pt idx="1">
                  <c:v>2º Bimestre</c:v>
                </c:pt>
                <c:pt idx="2">
                  <c:v>3º Bimestre</c:v>
                </c:pt>
                <c:pt idx="3">
                  <c:v>4º Bimestre</c:v>
                </c:pt>
                <c:pt idx="4">
                  <c:v>5º Bimestre</c:v>
                </c:pt>
                <c:pt idx="5">
                  <c:v>6º Bimestre</c:v>
                </c:pt>
              </c:strCache>
            </c:strRef>
          </c:cat>
          <c:val>
            <c:numRef>
              <c:f>'G6 - Arrecad 3 Exercícios'!$C$7:$M$7</c:f>
              <c:numCache>
                <c:formatCode>#,##0.00_);[Red]\(#,##0.00\)</c:formatCode>
                <c:ptCount val="6"/>
                <c:pt idx="0">
                  <c:v>6320699567.3199997</c:v>
                </c:pt>
                <c:pt idx="1">
                  <c:v>6809667143.2700005</c:v>
                </c:pt>
                <c:pt idx="2">
                  <c:v>6619550294.9700003</c:v>
                </c:pt>
                <c:pt idx="3">
                  <c:v>6704900531.3000002</c:v>
                </c:pt>
                <c:pt idx="4">
                  <c:v>7384578066.1000004</c:v>
                </c:pt>
                <c:pt idx="5">
                  <c:v>8145315912.54</c:v>
                </c:pt>
              </c:numCache>
            </c:numRef>
          </c:val>
          <c:extLst>
            <c:ext xmlns:c16="http://schemas.microsoft.com/office/drawing/2014/chart" uri="{C3380CC4-5D6E-409C-BE32-E72D297353CC}">
              <c16:uniqueId val="{00000005-1F80-4A50-9714-96AB2E0CDA9B}"/>
            </c:ext>
          </c:extLst>
        </c:ser>
        <c:dLbls>
          <c:showLegendKey val="0"/>
          <c:showVal val="1"/>
          <c:showCatName val="0"/>
          <c:showSerName val="0"/>
          <c:showPercent val="0"/>
          <c:showBubbleSize val="0"/>
        </c:dLbls>
        <c:gapWidth val="100"/>
        <c:overlap val="-24"/>
        <c:axId val="597106664"/>
        <c:axId val="597107320"/>
      </c:barChart>
      <c:catAx>
        <c:axId val="597106664"/>
        <c:scaling>
          <c:orientation val="minMax"/>
        </c:scaling>
        <c:delete val="1"/>
        <c:axPos val="b"/>
        <c:numFmt formatCode="General" sourceLinked="1"/>
        <c:majorTickMark val="out"/>
        <c:minorTickMark val="none"/>
        <c:tickLblPos val="nextTo"/>
        <c:crossAx val="597107320"/>
        <c:crosses val="autoZero"/>
        <c:auto val="1"/>
        <c:lblAlgn val="ctr"/>
        <c:lblOffset val="100"/>
        <c:noMultiLvlLbl val="0"/>
      </c:catAx>
      <c:valAx>
        <c:axId val="597107320"/>
        <c:scaling>
          <c:orientation val="minMax"/>
        </c:scaling>
        <c:delete val="1"/>
        <c:axPos val="l"/>
        <c:majorGridlines>
          <c:spPr>
            <a:ln w="9525" cap="flat" cmpd="sng" algn="ctr">
              <a:solidFill>
                <a:schemeClr val="tx1">
                  <a:lumMod val="15000"/>
                  <a:lumOff val="85000"/>
                </a:schemeClr>
              </a:solidFill>
              <a:round/>
            </a:ln>
            <a:effectLst/>
          </c:spPr>
        </c:majorGridlines>
        <c:numFmt formatCode="#,##0.00_);[Red]\(#,##0.00\)" sourceLinked="1"/>
        <c:majorTickMark val="out"/>
        <c:minorTickMark val="none"/>
        <c:tickLblPos val="nextTo"/>
        <c:crossAx val="597106664"/>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pPr>
      <a:endParaRPr lang="pt-BR"/>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8986065789763454E-2"/>
          <c:y val="8.9896255484218077E-2"/>
          <c:w val="0.62399484064393984"/>
          <c:h val="0.84368990205671646"/>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3881-42EC-BF24-C4A9FE0BEE20}"/>
              </c:ext>
            </c:extLst>
          </c:dPt>
          <c:dPt>
            <c:idx val="1"/>
            <c:bubble3D val="0"/>
            <c:spPr>
              <a:solidFill>
                <a:schemeClr val="accent6"/>
              </a:solidFill>
              <a:ln w="19050">
                <a:solidFill>
                  <a:schemeClr val="lt1"/>
                </a:solidFill>
              </a:ln>
              <a:effectLst/>
            </c:spPr>
            <c:extLst>
              <c:ext xmlns:c16="http://schemas.microsoft.com/office/drawing/2014/chart" uri="{C3380CC4-5D6E-409C-BE32-E72D297353CC}">
                <c16:uniqueId val="{00000003-3881-42EC-BF24-C4A9FE0BEE20}"/>
              </c:ext>
            </c:extLst>
          </c:dPt>
          <c:dPt>
            <c:idx val="2"/>
            <c:bubble3D val="0"/>
            <c:spPr>
              <a:solidFill>
                <a:srgbClr val="92D050"/>
              </a:solidFill>
              <a:ln w="19050">
                <a:solidFill>
                  <a:schemeClr val="lt1"/>
                </a:solidFill>
              </a:ln>
              <a:effectLst/>
            </c:spPr>
            <c:extLst>
              <c:ext xmlns:c16="http://schemas.microsoft.com/office/drawing/2014/chart" uri="{C3380CC4-5D6E-409C-BE32-E72D297353CC}">
                <c16:uniqueId val="{00000005-3881-42EC-BF24-C4A9FE0BEE20}"/>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3881-42EC-BF24-C4A9FE0BEE20}"/>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3881-42EC-BF24-C4A9FE0BEE20}"/>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3881-42EC-BF24-C4A9FE0BEE20}"/>
              </c:ext>
            </c:extLst>
          </c:dPt>
          <c:dLbls>
            <c:dLbl>
              <c:idx val="0"/>
              <c:layout>
                <c:manualLayout>
                  <c:x val="-0.11374352517521231"/>
                  <c:y val="-0.107979415379529"/>
                </c:manualLayout>
              </c:layout>
              <c:tx>
                <c:rich>
                  <a:bodyPr/>
                  <a:lstStyle/>
                  <a:p>
                    <a:fld id="{13B9CAF8-85F0-43E2-B591-5AEB3B63AB4A}" type="VALUE">
                      <a:rPr lang="en-US">
                        <a:solidFill>
                          <a:schemeClr val="bg1"/>
                        </a:solidFill>
                      </a:rPr>
                      <a:pPr/>
                      <a:t>[VALOR]</a:t>
                    </a:fld>
                    <a:endParaRPr lang="pt-B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3881-42EC-BF24-C4A9FE0BEE20}"/>
                </c:ext>
              </c:extLst>
            </c:dLbl>
            <c:dLbl>
              <c:idx val="1"/>
              <c:layout>
                <c:manualLayout>
                  <c:x val="7.0982533066126174E-2"/>
                  <c:y val="-2.96876780798639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881-42EC-BF24-C4A9FE0BEE20}"/>
                </c:ext>
              </c:extLst>
            </c:dLbl>
            <c:dLbl>
              <c:idx val="2"/>
              <c:layout>
                <c:manualLayout>
                  <c:x val="7.3148148851295267E-2"/>
                  <c:y val="0.1535786416080810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881-42EC-BF24-C4A9FE0BEE20}"/>
                </c:ext>
              </c:extLst>
            </c:dLbl>
            <c:dLbl>
              <c:idx val="3"/>
              <c:layout>
                <c:manualLayout>
                  <c:x val="-4.7879526544798046E-2"/>
                  <c:y val="-2.017438222698942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881-42EC-BF24-C4A9FE0BEE20}"/>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'G6 - Desp por Grupo Natureza'!$C$7:$C$12</c:f>
              <c:strCache>
                <c:ptCount val="6"/>
                <c:pt idx="0">
                  <c:v>   Pessoal e Encargos Sociais</c:v>
                </c:pt>
                <c:pt idx="1">
                  <c:v>   Outras Despesas Correntes </c:v>
                </c:pt>
                <c:pt idx="2">
                  <c:v>   Investimentos</c:v>
                </c:pt>
                <c:pt idx="3">
                  <c:v>   Juros e Encargos da Dívida</c:v>
                </c:pt>
                <c:pt idx="4">
                  <c:v>   Amortização da Dívida</c:v>
                </c:pt>
                <c:pt idx="5">
                  <c:v>   Inversões Financeiras</c:v>
                </c:pt>
              </c:strCache>
            </c:strRef>
          </c:cat>
          <c:val>
            <c:numRef>
              <c:f>'G6 - Desp por Grupo Natureza'!$E$7:$E$12</c:f>
              <c:numCache>
                <c:formatCode>0.00%</c:formatCode>
                <c:ptCount val="6"/>
                <c:pt idx="0">
                  <c:v>0.58463192778711182</c:v>
                </c:pt>
                <c:pt idx="1">
                  <c:v>0.3085137303618703</c:v>
                </c:pt>
                <c:pt idx="2">
                  <c:v>8.3303515081482996E-2</c:v>
                </c:pt>
                <c:pt idx="3">
                  <c:v>1.4924612925668088E-2</c:v>
                </c:pt>
                <c:pt idx="4">
                  <c:v>7.8701408694130254E-3</c:v>
                </c:pt>
                <c:pt idx="5">
                  <c:v>7.5607297445374371E-4</c:v>
                </c:pt>
              </c:numCache>
            </c:numRef>
          </c:val>
          <c:extLst>
            <c:ext xmlns:c16="http://schemas.microsoft.com/office/drawing/2014/chart" uri="{C3380CC4-5D6E-409C-BE32-E72D297353CC}">
              <c16:uniqueId val="{0000000C-3881-42EC-BF24-C4A9FE0BEE20}"/>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0.66589417063607781"/>
          <c:y val="4.8579263914880599E-2"/>
          <c:w val="0.28755306049706747"/>
          <c:h val="0.84379741769946914"/>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legend>
    <c:plotVisOnly val="1"/>
    <c:dispBlanksAs val="gap"/>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pPr>
      <a:endParaRPr lang="pt-BR"/>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6782117994899941E-2"/>
          <c:y val="4.940489557601617E-2"/>
          <c:w val="0.8235533506029058"/>
          <c:h val="0.73376101398508642"/>
        </c:manualLayout>
      </c:layout>
      <c:barChart>
        <c:barDir val="col"/>
        <c:grouping val="stacked"/>
        <c:varyColors val="0"/>
        <c:ser>
          <c:idx val="0"/>
          <c:order val="0"/>
          <c:tx>
            <c:strRef>
              <c:f>'G7 - Evol Desp Ult 10 anos'!$B$9</c:f>
              <c:strCache>
                <c:ptCount val="1"/>
                <c:pt idx="0">
                  <c:v>Pessoal e Encargos Sociais</c:v>
                </c:pt>
              </c:strCache>
            </c:strRef>
          </c:tx>
          <c:spPr>
            <a:solidFill>
              <a:schemeClr val="accent1"/>
            </a:solidFill>
            <a:ln>
              <a:noFill/>
            </a:ln>
            <a:effectLst/>
          </c:spPr>
          <c:invertIfNegative val="0"/>
          <c:cat>
            <c:numRef>
              <c:f>'G7 - Evol Desp Ult 10 anos'!$H$4:$Q$4</c:f>
              <c:numCache>
                <c:formatCode>0</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'G7 - Evol Desp Ult 10 anos'!$H$9:$Q$9</c:f>
              <c:numCache>
                <c:formatCode>#,##0.00</c:formatCode>
                <c:ptCount val="10"/>
                <c:pt idx="0">
                  <c:v>11321242769.799999</c:v>
                </c:pt>
                <c:pt idx="1">
                  <c:v>12506910445.65</c:v>
                </c:pt>
                <c:pt idx="2">
                  <c:v>13008346349.99</c:v>
                </c:pt>
                <c:pt idx="3">
                  <c:v>14481817463</c:v>
                </c:pt>
                <c:pt idx="4">
                  <c:v>16938398073.68</c:v>
                </c:pt>
                <c:pt idx="5">
                  <c:v>19184989140.110001</c:v>
                </c:pt>
                <c:pt idx="6" formatCode="#,##0.00;[Red]#,##0.00">
                  <c:v>17826180262.419998</c:v>
                </c:pt>
                <c:pt idx="7" formatCode="#,##0.00;[Red]#,##0.00">
                  <c:v>18771050196.799999</c:v>
                </c:pt>
                <c:pt idx="8" formatCode="#,##0.00;[Red]#,##0.00">
                  <c:v>21033708770.169998</c:v>
                </c:pt>
                <c:pt idx="9" formatCode="#,##0.00;[Red]#,##0.00">
                  <c:v>23046538142.860001</c:v>
                </c:pt>
              </c:numCache>
            </c:numRef>
          </c:val>
          <c:extLst>
            <c:ext xmlns:c16="http://schemas.microsoft.com/office/drawing/2014/chart" uri="{C3380CC4-5D6E-409C-BE32-E72D297353CC}">
              <c16:uniqueId val="{00000000-7F29-4593-A809-D5BADF344A37}"/>
            </c:ext>
          </c:extLst>
        </c:ser>
        <c:ser>
          <c:idx val="1"/>
          <c:order val="1"/>
          <c:tx>
            <c:strRef>
              <c:f>'G7 - Evol Desp Ult 10 anos'!$B$10</c:f>
              <c:strCache>
                <c:ptCount val="1"/>
                <c:pt idx="0">
                  <c:v>Juros e Encargos da Dívida</c:v>
                </c:pt>
              </c:strCache>
            </c:strRef>
          </c:tx>
          <c:spPr>
            <a:solidFill>
              <a:schemeClr val="accent2"/>
            </a:solidFill>
            <a:ln>
              <a:noFill/>
            </a:ln>
            <a:effectLst/>
          </c:spPr>
          <c:invertIfNegative val="0"/>
          <c:cat>
            <c:numRef>
              <c:f>'G7 - Evol Desp Ult 10 anos'!$H$4:$Q$4</c:f>
              <c:numCache>
                <c:formatCode>0</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'G7 - Evol Desp Ult 10 anos'!$H$10:$Q$10</c:f>
              <c:numCache>
                <c:formatCode>#,##0.00</c:formatCode>
                <c:ptCount val="10"/>
                <c:pt idx="0">
                  <c:v>1053787483.5599999</c:v>
                </c:pt>
                <c:pt idx="1">
                  <c:v>1009269178.83</c:v>
                </c:pt>
                <c:pt idx="2">
                  <c:v>927217893.78999996</c:v>
                </c:pt>
                <c:pt idx="3">
                  <c:v>971061182.01999998</c:v>
                </c:pt>
                <c:pt idx="4">
                  <c:v>1228526825.53</c:v>
                </c:pt>
                <c:pt idx="5">
                  <c:v>1285923426.8699999</c:v>
                </c:pt>
                <c:pt idx="6" formatCode="#,##0.00;[Red]#,##0.00">
                  <c:v>1081109530.8900001</c:v>
                </c:pt>
                <c:pt idx="7" formatCode="#,##0.00;[Red]#,##0.00">
                  <c:v>72016902.129999995</c:v>
                </c:pt>
                <c:pt idx="8" formatCode="#,##0.00;[Red]#,##0.00">
                  <c:v>358134053.11000001</c:v>
                </c:pt>
                <c:pt idx="9" formatCode="#,##0.00;[Red]#,##0.00">
                  <c:v>588337113.85000002</c:v>
                </c:pt>
              </c:numCache>
            </c:numRef>
          </c:val>
          <c:extLst>
            <c:ext xmlns:c16="http://schemas.microsoft.com/office/drawing/2014/chart" uri="{C3380CC4-5D6E-409C-BE32-E72D297353CC}">
              <c16:uniqueId val="{00000001-7F29-4593-A809-D5BADF344A37}"/>
            </c:ext>
          </c:extLst>
        </c:ser>
        <c:ser>
          <c:idx val="2"/>
          <c:order val="2"/>
          <c:tx>
            <c:strRef>
              <c:f>'G7 - Evol Desp Ult 10 anos'!$B$11</c:f>
              <c:strCache>
                <c:ptCount val="1"/>
                <c:pt idx="0">
                  <c:v>Outras Despesas Correntes</c:v>
                </c:pt>
              </c:strCache>
            </c:strRef>
          </c:tx>
          <c:spPr>
            <a:solidFill>
              <a:schemeClr val="accent3"/>
            </a:solidFill>
            <a:ln>
              <a:noFill/>
            </a:ln>
            <a:effectLst/>
          </c:spPr>
          <c:invertIfNegative val="0"/>
          <c:cat>
            <c:numRef>
              <c:f>'G7 - Evol Desp Ult 10 anos'!$H$4:$Q$4</c:f>
              <c:numCache>
                <c:formatCode>0</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'G7 - Evol Desp Ult 10 anos'!$H$11:$Q$11</c:f>
              <c:numCache>
                <c:formatCode>#,##0.00</c:formatCode>
                <c:ptCount val="10"/>
                <c:pt idx="0">
                  <c:v>4592319015.1300001</c:v>
                </c:pt>
                <c:pt idx="1">
                  <c:v>5112370891.3699999</c:v>
                </c:pt>
                <c:pt idx="2">
                  <c:v>5856161023.3299999</c:v>
                </c:pt>
                <c:pt idx="3">
                  <c:v>6144774250.5299997</c:v>
                </c:pt>
                <c:pt idx="4">
                  <c:v>7349529876.9799995</c:v>
                </c:pt>
                <c:pt idx="5">
                  <c:v>7322359747.5</c:v>
                </c:pt>
                <c:pt idx="6" formatCode="#,##0.00;[Red]#,##0.00">
                  <c:v>7926061468.8400002</c:v>
                </c:pt>
                <c:pt idx="7" formatCode="#,##0.00;[Red]#,##0.00">
                  <c:v>10349821645.459999</c:v>
                </c:pt>
                <c:pt idx="8" formatCode="#,##0.00;[Red]#,##0.00">
                  <c:v>12137425817.889999</c:v>
                </c:pt>
                <c:pt idx="9" formatCode="#,##0.00;[Red]#,##0.00">
                  <c:v>12161794654.790001</c:v>
                </c:pt>
              </c:numCache>
            </c:numRef>
          </c:val>
          <c:extLst>
            <c:ext xmlns:c16="http://schemas.microsoft.com/office/drawing/2014/chart" uri="{C3380CC4-5D6E-409C-BE32-E72D297353CC}">
              <c16:uniqueId val="{00000002-7F29-4593-A809-D5BADF344A37}"/>
            </c:ext>
          </c:extLst>
        </c:ser>
        <c:ser>
          <c:idx val="3"/>
          <c:order val="3"/>
          <c:tx>
            <c:strRef>
              <c:f>'G7 - Evol Desp Ult 10 anos'!$B$16</c:f>
              <c:strCache>
                <c:ptCount val="1"/>
                <c:pt idx="0">
                  <c:v>Investimentos</c:v>
                </c:pt>
              </c:strCache>
            </c:strRef>
          </c:tx>
          <c:spPr>
            <a:solidFill>
              <a:schemeClr val="accent4"/>
            </a:solidFill>
            <a:ln>
              <a:noFill/>
            </a:ln>
            <a:effectLst/>
          </c:spPr>
          <c:invertIfNegative val="0"/>
          <c:cat>
            <c:numRef>
              <c:f>'G7 - Evol Desp Ult 10 anos'!$H$4:$Q$4</c:f>
              <c:numCache>
                <c:formatCode>0</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'G7 - Evol Desp Ult 10 anos'!$H$16:$Q$16</c:f>
              <c:numCache>
                <c:formatCode>#,##0.00</c:formatCode>
                <c:ptCount val="10"/>
                <c:pt idx="0">
                  <c:v>2530719140.5</c:v>
                </c:pt>
                <c:pt idx="1">
                  <c:v>1491719272.22</c:v>
                </c:pt>
                <c:pt idx="2">
                  <c:v>935839391.62</c:v>
                </c:pt>
                <c:pt idx="3">
                  <c:v>1608403952.76</c:v>
                </c:pt>
                <c:pt idx="4">
                  <c:v>1605249318.1600001</c:v>
                </c:pt>
                <c:pt idx="5">
                  <c:v>649015758.54999995</c:v>
                </c:pt>
                <c:pt idx="6" formatCode="#,##0.00;[Red]#,##0.00">
                  <c:v>923183853.89999998</c:v>
                </c:pt>
                <c:pt idx="7" formatCode="#,##0.00;[Red]#,##0.00">
                  <c:v>4586833613.8699999</c:v>
                </c:pt>
                <c:pt idx="8" formatCode="#,##0.00;[Red]#,##0.00">
                  <c:v>2608758450.3299999</c:v>
                </c:pt>
                <c:pt idx="9" formatCode="#,##0_);[Red]\(#,##0\)">
                  <c:v>3283874086.4299998</c:v>
                </c:pt>
              </c:numCache>
            </c:numRef>
          </c:val>
          <c:extLst>
            <c:ext xmlns:c16="http://schemas.microsoft.com/office/drawing/2014/chart" uri="{C3380CC4-5D6E-409C-BE32-E72D297353CC}">
              <c16:uniqueId val="{00000003-7F29-4593-A809-D5BADF344A37}"/>
            </c:ext>
          </c:extLst>
        </c:ser>
        <c:ser>
          <c:idx val="4"/>
          <c:order val="4"/>
          <c:tx>
            <c:strRef>
              <c:f>'G7 - Evol Desp Ult 10 anos'!$B$17</c:f>
              <c:strCache>
                <c:ptCount val="1"/>
                <c:pt idx="0">
                  <c:v>Inversões Financeiras</c:v>
                </c:pt>
              </c:strCache>
            </c:strRef>
          </c:tx>
          <c:spPr>
            <a:solidFill>
              <a:schemeClr val="accent5"/>
            </a:solidFill>
            <a:ln>
              <a:noFill/>
            </a:ln>
            <a:effectLst/>
          </c:spPr>
          <c:invertIfNegative val="0"/>
          <c:cat>
            <c:numRef>
              <c:f>'G7 - Evol Desp Ult 10 anos'!$H$4:$Q$4</c:f>
              <c:numCache>
                <c:formatCode>0</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'G7 - Evol Desp Ult 10 anos'!$H$17:$Q$17</c:f>
              <c:numCache>
                <c:formatCode>#,##0.00</c:formatCode>
                <c:ptCount val="10"/>
                <c:pt idx="0">
                  <c:v>388777206.38999999</c:v>
                </c:pt>
                <c:pt idx="1">
                  <c:v>89018523.239999995</c:v>
                </c:pt>
                <c:pt idx="2">
                  <c:v>49740067.310000002</c:v>
                </c:pt>
                <c:pt idx="3">
                  <c:v>173847149.68000001</c:v>
                </c:pt>
                <c:pt idx="4">
                  <c:v>86510206.659999996</c:v>
                </c:pt>
                <c:pt idx="5">
                  <c:v>66522633.75</c:v>
                </c:pt>
                <c:pt idx="6" formatCode="#,##0.00;[Red]#,##0.00">
                  <c:v>7376708.0800000001</c:v>
                </c:pt>
                <c:pt idx="7" formatCode="#,##0.00;[Red]#,##0.00">
                  <c:v>184080635.59999999</c:v>
                </c:pt>
                <c:pt idx="8" formatCode="#,##0.00;[Red]#,##0.00">
                  <c:v>25315514.210000001</c:v>
                </c:pt>
                <c:pt idx="9" formatCode="#,##0_);[Red]\(#,##0\)">
                  <c:v>29804846.120000001</c:v>
                </c:pt>
              </c:numCache>
            </c:numRef>
          </c:val>
          <c:extLst>
            <c:ext xmlns:c16="http://schemas.microsoft.com/office/drawing/2014/chart" uri="{C3380CC4-5D6E-409C-BE32-E72D297353CC}">
              <c16:uniqueId val="{00000004-7F29-4593-A809-D5BADF344A37}"/>
            </c:ext>
          </c:extLst>
        </c:ser>
        <c:ser>
          <c:idx val="5"/>
          <c:order val="5"/>
          <c:tx>
            <c:strRef>
              <c:f>'G7 - Evol Desp Ult 10 anos'!$B$18</c:f>
              <c:strCache>
                <c:ptCount val="1"/>
                <c:pt idx="0">
                  <c:v>Amortização da Dívida</c:v>
                </c:pt>
              </c:strCache>
            </c:strRef>
          </c:tx>
          <c:spPr>
            <a:solidFill>
              <a:schemeClr val="accent6"/>
            </a:solidFill>
            <a:ln>
              <a:noFill/>
            </a:ln>
            <a:effectLst/>
          </c:spPr>
          <c:invertIfNegative val="0"/>
          <c:cat>
            <c:numRef>
              <c:f>'G7 - Evol Desp Ult 10 anos'!$H$4:$Q$4</c:f>
              <c:numCache>
                <c:formatCode>0</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'G7 - Evol Desp Ult 10 anos'!$H$18:$Q$18</c:f>
              <c:numCache>
                <c:formatCode>#,##0.00</c:formatCode>
                <c:ptCount val="10"/>
                <c:pt idx="0">
                  <c:v>1635067428.49</c:v>
                </c:pt>
                <c:pt idx="1">
                  <c:v>1644101317.1099999</c:v>
                </c:pt>
                <c:pt idx="2">
                  <c:v>1014211050.34</c:v>
                </c:pt>
                <c:pt idx="3">
                  <c:v>868476344.34000003</c:v>
                </c:pt>
                <c:pt idx="4">
                  <c:v>826632783.56000006</c:v>
                </c:pt>
                <c:pt idx="5">
                  <c:v>965267466.52999997</c:v>
                </c:pt>
                <c:pt idx="6" formatCode="#,##0.00;[Red]#,##0.00">
                  <c:v>1175484464.9100001</c:v>
                </c:pt>
                <c:pt idx="7" formatCode="#,##0.00;[Red]#,##0.00">
                  <c:v>75247506.769999996</c:v>
                </c:pt>
                <c:pt idx="8" formatCode="#,##0.00;[Red]#,##0.00">
                  <c:v>2597850673.3699999</c:v>
                </c:pt>
                <c:pt idx="9" formatCode="#,##0_);[Red]\(#,##0\)">
                  <c:v>310245631.68000001</c:v>
                </c:pt>
              </c:numCache>
            </c:numRef>
          </c:val>
          <c:extLst>
            <c:ext xmlns:c16="http://schemas.microsoft.com/office/drawing/2014/chart" uri="{C3380CC4-5D6E-409C-BE32-E72D297353CC}">
              <c16:uniqueId val="{00000005-7F29-4593-A809-D5BADF344A37}"/>
            </c:ext>
          </c:extLst>
        </c:ser>
        <c:dLbls>
          <c:showLegendKey val="0"/>
          <c:showVal val="0"/>
          <c:showCatName val="0"/>
          <c:showSerName val="0"/>
          <c:showPercent val="0"/>
          <c:showBubbleSize val="0"/>
        </c:dLbls>
        <c:gapWidth val="150"/>
        <c:overlap val="100"/>
        <c:axId val="323023464"/>
        <c:axId val="323022480"/>
      </c:barChart>
      <c:lineChart>
        <c:grouping val="standard"/>
        <c:varyColors val="0"/>
        <c:ser>
          <c:idx val="7"/>
          <c:order val="7"/>
          <c:tx>
            <c:strRef>
              <c:f>'G7 - Evol Desp Ult 10 anos'!$B$6</c:f>
              <c:strCache>
                <c:ptCount val="1"/>
                <c:pt idx="0">
                  <c:v>Variação Real Despesas Correntes</c:v>
                </c:pt>
              </c:strCache>
            </c:strRef>
          </c:tx>
          <c:spPr>
            <a:ln w="28575" cap="rnd">
              <a:solidFill>
                <a:srgbClr val="800000"/>
              </a:solidFill>
              <a:round/>
            </a:ln>
            <a:effectLst/>
          </c:spPr>
          <c:marker>
            <c:symbol val="none"/>
          </c:marker>
          <c:val>
            <c:numRef>
              <c:f>'G7 - Evol Desp Ult 10 anos'!$H$6:$Q$6</c:f>
              <c:numCache>
                <c:formatCode>0.00%</c:formatCode>
                <c:ptCount val="10"/>
                <c:pt idx="0">
                  <c:v>2.3031668892673274E-2</c:v>
                </c:pt>
                <c:pt idx="1">
                  <c:v>-7.9463618874630049E-3</c:v>
                </c:pt>
                <c:pt idx="2">
                  <c:v>-4.3237133233997582E-4</c:v>
                </c:pt>
                <c:pt idx="3">
                  <c:v>5.9977270013285011E-2</c:v>
                </c:pt>
                <c:pt idx="4">
                  <c:v>0.13874287160725807</c:v>
                </c:pt>
                <c:pt idx="5">
                  <c:v>4.42233571781252E-2</c:v>
                </c:pt>
                <c:pt idx="6">
                  <c:v>-7.6289602499727605E-2</c:v>
                </c:pt>
                <c:pt idx="7">
                  <c:v>-1.150916307519112E-2</c:v>
                </c:pt>
                <c:pt idx="8">
                  <c:v>8.5681384135997574E-2</c:v>
                </c:pt>
                <c:pt idx="9">
                  <c:v>2.0478433449842903E-2</c:v>
                </c:pt>
              </c:numCache>
            </c:numRef>
          </c:val>
          <c:smooth val="0"/>
          <c:extLst>
            <c:ext xmlns:c16="http://schemas.microsoft.com/office/drawing/2014/chart" uri="{C3380CC4-5D6E-409C-BE32-E72D297353CC}">
              <c16:uniqueId val="{00000006-7F29-4593-A809-D5BADF344A37}"/>
            </c:ext>
          </c:extLst>
        </c:ser>
        <c:ser>
          <c:idx val="8"/>
          <c:order val="8"/>
          <c:tx>
            <c:strRef>
              <c:f>'G7 - Evol Desp Ult 10 anos'!$B$13</c:f>
              <c:strCache>
                <c:ptCount val="1"/>
                <c:pt idx="0">
                  <c:v>Variação Real Despesas de Capital</c:v>
                </c:pt>
              </c:strCache>
            </c:strRef>
          </c:tx>
          <c:spPr>
            <a:ln w="28575" cap="rnd">
              <a:solidFill>
                <a:schemeClr val="accent1">
                  <a:lumMod val="50000"/>
                </a:schemeClr>
              </a:solidFill>
              <a:round/>
            </a:ln>
            <a:effectLst/>
          </c:spPr>
          <c:marker>
            <c:symbol val="none"/>
          </c:marker>
          <c:dPt>
            <c:idx val="7"/>
            <c:marker>
              <c:symbol val="none"/>
            </c:marker>
            <c:bubble3D val="0"/>
            <c:extLst>
              <c:ext xmlns:c16="http://schemas.microsoft.com/office/drawing/2014/chart" uri="{C3380CC4-5D6E-409C-BE32-E72D297353CC}">
                <c16:uniqueId val="{00000007-7F29-4593-A809-D5BADF344A37}"/>
              </c:ext>
            </c:extLst>
          </c:dPt>
          <c:val>
            <c:numRef>
              <c:f>'G7 - Evol Desp Ult 10 anos'!$H$13:$Q$13</c:f>
              <c:numCache>
                <c:formatCode>0.00%</c:formatCode>
                <c:ptCount val="10"/>
                <c:pt idx="0">
                  <c:v>0.41730074758632729</c:v>
                </c:pt>
                <c:pt idx="1">
                  <c:v>-0.3602189756854085</c:v>
                </c:pt>
                <c:pt idx="2">
                  <c:v>-0.41657633199016864</c:v>
                </c:pt>
                <c:pt idx="3">
                  <c:v>0.28752070290416398</c:v>
                </c:pt>
                <c:pt idx="4">
                  <c:v>-8.4264176871547414E-2</c:v>
                </c:pt>
                <c:pt idx="5">
                  <c:v>-0.36016466032268635</c:v>
                </c:pt>
                <c:pt idx="6">
                  <c:v>0.19881094073829297</c:v>
                </c:pt>
                <c:pt idx="7">
                  <c:v>1.0907434527696895</c:v>
                </c:pt>
                <c:pt idx="8">
                  <c:v>2.0513975368609438E-2</c:v>
                </c:pt>
                <c:pt idx="9">
                  <c:v>-0.33793145729929164</c:v>
                </c:pt>
              </c:numCache>
            </c:numRef>
          </c:val>
          <c:smooth val="0"/>
          <c:extLst>
            <c:ext xmlns:c16="http://schemas.microsoft.com/office/drawing/2014/chart" uri="{C3380CC4-5D6E-409C-BE32-E72D297353CC}">
              <c16:uniqueId val="{00000008-7F29-4593-A809-D5BADF344A37}"/>
            </c:ext>
          </c:extLst>
        </c:ser>
        <c:dLbls>
          <c:showLegendKey val="0"/>
          <c:showVal val="0"/>
          <c:showCatName val="0"/>
          <c:showSerName val="0"/>
          <c:showPercent val="0"/>
          <c:showBubbleSize val="0"/>
        </c:dLbls>
        <c:marker val="1"/>
        <c:smooth val="0"/>
        <c:axId val="465618424"/>
        <c:axId val="465617768"/>
        <c:extLst>
          <c:ext xmlns:c15="http://schemas.microsoft.com/office/drawing/2012/chart" uri="{02D57815-91ED-43cb-92C2-25804820EDAC}">
            <c15:filteredLineSeries>
              <c15:ser>
                <c:idx val="6"/>
                <c:order val="6"/>
                <c:tx>
                  <c:strRef>
                    <c:extLst>
                      <c:ext uri="{02D57815-91ED-43cb-92C2-25804820EDAC}">
                        <c15:formulaRef>
                          <c15:sqref>'G7 - Evol Desp Ult 10 anos'!$B$20</c15:sqref>
                        </c15:formulaRef>
                      </c:ext>
                    </c:extLst>
                    <c:strCache>
                      <c:ptCount val="1"/>
                      <c:pt idx="0">
                        <c:v>Variação Real Total</c:v>
                      </c:pt>
                    </c:strCache>
                  </c:strRef>
                </c:tx>
                <c:spPr>
                  <a:ln w="28575" cap="rnd">
                    <a:solidFill>
                      <a:schemeClr val="accent1">
                        <a:lumMod val="60000"/>
                      </a:schemeClr>
                    </a:solidFill>
                    <a:round/>
                  </a:ln>
                  <a:effectLst/>
                </c:spPr>
                <c:marker>
                  <c:symbol val="none"/>
                </c:marker>
                <c:val>
                  <c:numRef>
                    <c:extLst>
                      <c:ext uri="{02D57815-91ED-43cb-92C2-25804820EDAC}">
                        <c15:formulaRef>
                          <c15:sqref>'G7 - Evol Desp Ult 10 anos'!$C$20:$L$20</c15:sqref>
                        </c15:formulaRef>
                      </c:ext>
                    </c:extLst>
                    <c:numCache>
                      <c:formatCode>0.00%</c:formatCode>
                      <c:ptCount val="10"/>
                      <c:pt idx="0">
                        <c:v>2.2507200031169017E-2</c:v>
                      </c:pt>
                      <c:pt idx="1">
                        <c:v>0.16503292811897285</c:v>
                      </c:pt>
                      <c:pt idx="2">
                        <c:v>-5.2217101012086209E-2</c:v>
                      </c:pt>
                      <c:pt idx="3">
                        <c:v>0.12077938535698096</c:v>
                      </c:pt>
                      <c:pt idx="4">
                        <c:v>7.2371984265473532E-3</c:v>
                      </c:pt>
                      <c:pt idx="5">
                        <c:v>8.7025224200892204E-2</c:v>
                      </c:pt>
                      <c:pt idx="6">
                        <c:v>-8.2495872546300086E-2</c:v>
                      </c:pt>
                      <c:pt idx="7">
                        <c:v>-6.1841486513442456E-2</c:v>
                      </c:pt>
                      <c:pt idx="8">
                        <c:v>8.0858754450229053E-2</c:v>
                      </c:pt>
                      <c:pt idx="9">
                        <c:v>0.11436471125663683</c:v>
                      </c:pt>
                    </c:numCache>
                  </c:numRef>
                </c:val>
                <c:smooth val="0"/>
                <c:extLst>
                  <c:ext xmlns:c16="http://schemas.microsoft.com/office/drawing/2014/chart" uri="{C3380CC4-5D6E-409C-BE32-E72D297353CC}">
                    <c16:uniqueId val="{00000009-7F29-4593-A809-D5BADF344A37}"/>
                  </c:ext>
                </c:extLst>
              </c15:ser>
            </c15:filteredLineSeries>
          </c:ext>
        </c:extLst>
      </c:lineChart>
      <c:catAx>
        <c:axId val="323023464"/>
        <c:scaling>
          <c:orientation val="minMax"/>
        </c:scaling>
        <c:delete val="0"/>
        <c:axPos val="b"/>
        <c:numFmt formatCode="0"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pt-BR"/>
          </a:p>
        </c:txPr>
        <c:crossAx val="323022480"/>
        <c:crosses val="autoZero"/>
        <c:auto val="1"/>
        <c:lblAlgn val="ctr"/>
        <c:lblOffset val="100"/>
        <c:noMultiLvlLbl val="0"/>
      </c:catAx>
      <c:valAx>
        <c:axId val="32302248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pt-BR"/>
          </a:p>
        </c:txPr>
        <c:crossAx val="323023464"/>
        <c:crosses val="autoZero"/>
        <c:crossBetween val="between"/>
        <c:majorUnit val="2500000000"/>
        <c:minorUnit val="500000000"/>
        <c:dispUnits>
          <c:builtInUnit val="billions"/>
          <c:dispUnitsLbl>
            <c:layout>
              <c:manualLayout>
                <c:xMode val="edge"/>
                <c:yMode val="edge"/>
                <c:x val="1.8248387186392677E-3"/>
                <c:y val="4.1404943662448915E-2"/>
              </c:manualLayout>
            </c:layout>
            <c:tx>
              <c:rich>
                <a:bodyPr rot="-54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r>
                    <a:rPr lang="pt-BR" sz="800"/>
                    <a:t>R$ Bilhões</a:t>
                  </a:r>
                </a:p>
              </c:rich>
            </c:tx>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pt-BR"/>
              </a:p>
            </c:txPr>
          </c:dispUnitsLbl>
        </c:dispUnits>
      </c:valAx>
      <c:valAx>
        <c:axId val="465617768"/>
        <c:scaling>
          <c:orientation val="minMax"/>
          <c:max val="1.2"/>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pt-BR"/>
          </a:p>
        </c:txPr>
        <c:crossAx val="465618424"/>
        <c:crosses val="max"/>
        <c:crossBetween val="between"/>
      </c:valAx>
      <c:catAx>
        <c:axId val="465618424"/>
        <c:scaling>
          <c:orientation val="minMax"/>
        </c:scaling>
        <c:delete val="1"/>
        <c:axPos val="b"/>
        <c:majorTickMark val="out"/>
        <c:minorTickMark val="none"/>
        <c:tickLblPos val="nextTo"/>
        <c:crossAx val="465617768"/>
        <c:crosses val="autoZero"/>
        <c:auto val="1"/>
        <c:lblAlgn val="ctr"/>
        <c:lblOffset val="100"/>
        <c:noMultiLvlLbl val="0"/>
      </c:catAx>
      <c:spPr>
        <a:noFill/>
        <a:ln>
          <a:noFill/>
        </a:ln>
        <a:effectLst/>
      </c:spPr>
    </c:plotArea>
    <c:legend>
      <c:legendPos val="b"/>
      <c:layout>
        <c:manualLayout>
          <c:xMode val="edge"/>
          <c:yMode val="edge"/>
          <c:x val="1.2265087609591743E-2"/>
          <c:y val="0.86543452516984187"/>
          <c:w val="0.9877349568108551"/>
          <c:h val="0.1345654527928122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pt-B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solidFill>
            <a:schemeClr val="tx1"/>
          </a:solidFill>
          <a:latin typeface="Arial" panose="020B0604020202020204" pitchFamily="34" charset="0"/>
          <a:cs typeface="Arial" panose="020B0604020202020204" pitchFamily="34" charset="0"/>
        </a:defRPr>
      </a:pPr>
      <a:endParaRPr lang="pt-BR"/>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302747715316428"/>
          <c:y val="0.12454339759254231"/>
          <c:w val="0.75268124140505654"/>
          <c:h val="0.83988692082860839"/>
        </c:manualLayout>
      </c:layout>
      <c:barChart>
        <c:barDir val="bar"/>
        <c:grouping val="clustered"/>
        <c:varyColors val="0"/>
        <c:ser>
          <c:idx val="0"/>
          <c:order val="0"/>
          <c:spPr>
            <a:gradFill rotWithShape="1">
              <a:gsLst>
                <a:gs pos="0">
                  <a:schemeClr val="accent1"/>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chemeClr val="accent1">
                  <a:alpha val="63000"/>
                </a:schemeClr>
              </a:outerShdw>
            </a:effectLst>
            <a:scene3d>
              <a:camera prst="orthographicFront">
                <a:rot lat="0" lon="0" rev="0"/>
              </a:camera>
              <a:lightRig rig="threePt" dir="t">
                <a:rot lat="0" lon="0" rev="1200000"/>
              </a:lightRig>
            </a:scene3d>
            <a:sp3d>
              <a:bevelT w="63500" h="25400"/>
            </a:sp3d>
          </c:spPr>
          <c:invertIfNegative val="0"/>
          <c:dLbls>
            <c:dLbl>
              <c:idx val="0"/>
              <c:tx>
                <c:rich>
                  <a:bodyPr/>
                  <a:lstStyle/>
                  <a:p>
                    <a:fld id="{A7FCF7DE-39F3-4E9E-8893-0588C335C8EA}"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0-D941-4CE0-B041-F93A791B9C49}"/>
                </c:ext>
              </c:extLst>
            </c:dLbl>
            <c:dLbl>
              <c:idx val="1"/>
              <c:tx>
                <c:rich>
                  <a:bodyPr/>
                  <a:lstStyle/>
                  <a:p>
                    <a:fld id="{40061BAD-BE35-4098-BC0B-6AD069F0DF32}"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1-D941-4CE0-B041-F93A791B9C49}"/>
                </c:ext>
              </c:extLst>
            </c:dLbl>
            <c:dLbl>
              <c:idx val="2"/>
              <c:tx>
                <c:rich>
                  <a:bodyPr/>
                  <a:lstStyle/>
                  <a:p>
                    <a:fld id="{9556E1F1-935E-44FB-897D-34ED8BC63299}"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2-D941-4CE0-B041-F93A791B9C49}"/>
                </c:ext>
              </c:extLst>
            </c:dLbl>
            <c:dLbl>
              <c:idx val="3"/>
              <c:tx>
                <c:rich>
                  <a:bodyPr/>
                  <a:lstStyle/>
                  <a:p>
                    <a:fld id="{4301D960-59CD-44B7-B66E-77076C8EDA65}"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3-D941-4CE0-B041-F93A791B9C49}"/>
                </c:ext>
              </c:extLst>
            </c:dLbl>
            <c:dLbl>
              <c:idx val="4"/>
              <c:tx>
                <c:rich>
                  <a:bodyPr/>
                  <a:lstStyle/>
                  <a:p>
                    <a:fld id="{06CC7E9B-E883-4AE7-B55B-1ED6BFFFDD9F}"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4-D941-4CE0-B041-F93A791B9C49}"/>
                </c:ext>
              </c:extLst>
            </c:dLbl>
            <c:dLbl>
              <c:idx val="5"/>
              <c:tx>
                <c:rich>
                  <a:bodyPr/>
                  <a:lstStyle/>
                  <a:p>
                    <a:fld id="{4056531A-39CD-4D61-97BD-673AD1DEA841}"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D941-4CE0-B041-F93A791B9C49}"/>
                </c:ext>
              </c:extLst>
            </c:dLbl>
            <c:dLbl>
              <c:idx val="6"/>
              <c:tx>
                <c:rich>
                  <a:bodyPr/>
                  <a:lstStyle/>
                  <a:p>
                    <a:fld id="{6A9ABA61-1C90-4443-994F-A6275161E10F}"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6-D941-4CE0-B041-F93A791B9C49}"/>
                </c:ext>
              </c:extLst>
            </c:dLbl>
            <c:dLbl>
              <c:idx val="7"/>
              <c:tx>
                <c:rich>
                  <a:bodyPr/>
                  <a:lstStyle/>
                  <a:p>
                    <a:fld id="{621446D3-23DF-4477-B05C-A37F685F29EF}"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D941-4CE0-B041-F93A791B9C49}"/>
                </c:ext>
              </c:extLst>
            </c:dLbl>
            <c:dLbl>
              <c:idx val="8"/>
              <c:tx>
                <c:rich>
                  <a:bodyPr/>
                  <a:lstStyle/>
                  <a:p>
                    <a:fld id="{6B1D95EB-AD5C-4D6F-8C62-ECB3459BAB71}"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D941-4CE0-B041-F93A791B9C49}"/>
                </c:ext>
              </c:extLst>
            </c:dLbl>
            <c:dLbl>
              <c:idx val="9"/>
              <c:tx>
                <c:rich>
                  <a:bodyPr/>
                  <a:lstStyle/>
                  <a:p>
                    <a:fld id="{146CD48A-1ECC-4E19-82C6-2043C96A90D9}"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D941-4CE0-B041-F93A791B9C49}"/>
                </c:ext>
              </c:extLst>
            </c:dLbl>
            <c:dLbl>
              <c:idx val="10"/>
              <c:tx>
                <c:rich>
                  <a:bodyPr/>
                  <a:lstStyle/>
                  <a:p>
                    <a:fld id="{CA152229-4AA8-4CE1-A7CC-B165D0A169CB}"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D941-4CE0-B041-F93A791B9C49}"/>
                </c:ext>
              </c:extLst>
            </c:dLbl>
            <c:dLbl>
              <c:idx val="11"/>
              <c:tx>
                <c:rich>
                  <a:bodyPr/>
                  <a:lstStyle/>
                  <a:p>
                    <a:fld id="{86EE3EDD-5E50-40C2-9E29-41C6610D75EE}"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D941-4CE0-B041-F93A791B9C49}"/>
                </c:ext>
              </c:extLst>
            </c:dLbl>
            <c:dLbl>
              <c:idx val="12"/>
              <c:tx>
                <c:rich>
                  <a:bodyPr/>
                  <a:lstStyle/>
                  <a:p>
                    <a:fld id="{3A27C3DE-D6AA-4577-80D2-84BCBC098031}"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D941-4CE0-B041-F93A791B9C49}"/>
                </c:ext>
              </c:extLst>
            </c:dLbl>
            <c:dLbl>
              <c:idx val="13"/>
              <c:tx>
                <c:rich>
                  <a:bodyPr/>
                  <a:lstStyle/>
                  <a:p>
                    <a:fld id="{9F3938F7-6D36-4FFE-9FAA-319CD0CDDA38}"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D-D941-4CE0-B041-F93A791B9C49}"/>
                </c:ext>
              </c:extLst>
            </c:dLbl>
            <c:dLbl>
              <c:idx val="14"/>
              <c:tx>
                <c:rich>
                  <a:bodyPr/>
                  <a:lstStyle/>
                  <a:p>
                    <a:fld id="{01EEC12E-EDEF-42D6-983A-A1E5BBA01113}"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D941-4CE0-B041-F93A791B9C49}"/>
                </c:ext>
              </c:extLst>
            </c:dLbl>
            <c:dLbl>
              <c:idx val="15"/>
              <c:tx>
                <c:rich>
                  <a:bodyPr/>
                  <a:lstStyle/>
                  <a:p>
                    <a:fld id="{2CD7036C-050B-4A75-9E90-A2B3082F67A4}"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F-D941-4CE0-B041-F93A791B9C49}"/>
                </c:ext>
              </c:extLst>
            </c:dLbl>
            <c:dLbl>
              <c:idx val="16"/>
              <c:tx>
                <c:rich>
                  <a:bodyPr/>
                  <a:lstStyle/>
                  <a:p>
                    <a:fld id="{514DFE70-72D0-4453-9D94-27662CD4FC37}"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0-D941-4CE0-B041-F93A791B9C49}"/>
                </c:ext>
              </c:extLst>
            </c:dLbl>
            <c:dLbl>
              <c:idx val="17"/>
              <c:tx>
                <c:rich>
                  <a:bodyPr/>
                  <a:lstStyle/>
                  <a:p>
                    <a:fld id="{2D61435E-A5CD-4268-925D-36AE45B93F52}"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D941-4CE0-B041-F93A791B9C49}"/>
                </c:ext>
              </c:extLst>
            </c:dLbl>
            <c:dLbl>
              <c:idx val="18"/>
              <c:tx>
                <c:rich>
                  <a:bodyPr/>
                  <a:lstStyle/>
                  <a:p>
                    <a:fld id="{3CE8DC42-95FC-4A5F-9175-DD59A42F62AC}"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2-D941-4CE0-B041-F93A791B9C49}"/>
                </c:ext>
              </c:extLst>
            </c:dLbl>
            <c:dLbl>
              <c:idx val="19"/>
              <c:tx>
                <c:rich>
                  <a:bodyPr/>
                  <a:lstStyle/>
                  <a:p>
                    <a:fld id="{1E5DC980-57F5-418D-A607-AB446A5CE3D4}"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3-D941-4CE0-B041-F93A791B9C49}"/>
                </c:ext>
              </c:extLst>
            </c:dLbl>
            <c:dLbl>
              <c:idx val="20"/>
              <c:tx>
                <c:rich>
                  <a:bodyPr/>
                  <a:lstStyle/>
                  <a:p>
                    <a:fld id="{F82A8A1B-F79C-4879-BFB8-3DB7BA458AD1}"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D941-4CE0-B041-F93A791B9C49}"/>
                </c:ext>
              </c:extLst>
            </c:dLbl>
            <c:dLbl>
              <c:idx val="21"/>
              <c:tx>
                <c:rich>
                  <a:bodyPr/>
                  <a:lstStyle/>
                  <a:p>
                    <a:fld id="{DFF5DE8C-1764-4FD8-B431-7052EF046D97}"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5-D941-4CE0-B041-F93A791B9C49}"/>
                </c:ext>
              </c:extLst>
            </c:dLbl>
            <c:dLbl>
              <c:idx val="22"/>
              <c:tx>
                <c:rich>
                  <a:bodyPr/>
                  <a:lstStyle/>
                  <a:p>
                    <a:fld id="{DE35DAB0-65F2-41CD-885E-8F59F02D5212}" type="CELLRANGE">
                      <a:rPr lang="pt-BR"/>
                      <a:pPr/>
                      <a:t>[CELLRANGE]</a:t>
                    </a:fld>
                    <a:endParaRPr lang="pt-B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6-D941-4CE0-B041-F93A791B9C4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strRef>
              <c:f>'G8 - Despesa por Função'!$F$5:$F$27</c:f>
              <c:strCache>
                <c:ptCount val="23"/>
                <c:pt idx="0">
                  <c:v>Previdência Social</c:v>
                </c:pt>
                <c:pt idx="1">
                  <c:v>Educação</c:v>
                </c:pt>
                <c:pt idx="2">
                  <c:v>Saúde</c:v>
                </c:pt>
                <c:pt idx="3">
                  <c:v>Segurança Pública</c:v>
                </c:pt>
                <c:pt idx="4">
                  <c:v>Encargos Especiais</c:v>
                </c:pt>
                <c:pt idx="5">
                  <c:v>Administração</c:v>
                </c:pt>
                <c:pt idx="6">
                  <c:v>Judiciária</c:v>
                </c:pt>
                <c:pt idx="7">
                  <c:v>Transporte</c:v>
                </c:pt>
                <c:pt idx="8">
                  <c:v>Legislativa</c:v>
                </c:pt>
                <c:pt idx="9">
                  <c:v>Essencial a Justiça</c:v>
                </c:pt>
                <c:pt idx="10">
                  <c:v>Direitos da Cidadania</c:v>
                </c:pt>
                <c:pt idx="11">
                  <c:v>Assistencia Social</c:v>
                </c:pt>
                <c:pt idx="12">
                  <c:v>Habitação</c:v>
                </c:pt>
                <c:pt idx="13">
                  <c:v>Urbanismo</c:v>
                </c:pt>
                <c:pt idx="14">
                  <c:v>Agricultura</c:v>
                </c:pt>
                <c:pt idx="15">
                  <c:v>Ciência e Tecnologia</c:v>
                </c:pt>
                <c:pt idx="16">
                  <c:v>Trabalho</c:v>
                </c:pt>
                <c:pt idx="17">
                  <c:v>Cultura</c:v>
                </c:pt>
                <c:pt idx="18">
                  <c:v>Desporto e Lazer</c:v>
                </c:pt>
                <c:pt idx="19">
                  <c:v>Comércio e Servicos</c:v>
                </c:pt>
                <c:pt idx="20">
                  <c:v>Gestão Ambiental</c:v>
                </c:pt>
                <c:pt idx="21">
                  <c:v>Indústria</c:v>
                </c:pt>
                <c:pt idx="22">
                  <c:v>Comunicações</c:v>
                </c:pt>
              </c:strCache>
            </c:strRef>
          </c:cat>
          <c:val>
            <c:numRef>
              <c:f>'G8 - Despesa por Função'!$G$5:$G$27</c:f>
              <c:numCache>
                <c:formatCode>#,##0_);[Red]\(#,##0\)</c:formatCode>
                <c:ptCount val="23"/>
                <c:pt idx="0">
                  <c:v>8118471573.9499998</c:v>
                </c:pt>
                <c:pt idx="1">
                  <c:v>6409857357.6700001</c:v>
                </c:pt>
                <c:pt idx="2">
                  <c:v>5015109547.1199999</c:v>
                </c:pt>
                <c:pt idx="3">
                  <c:v>4079814413.4400001</c:v>
                </c:pt>
                <c:pt idx="4">
                  <c:v>3018357876.5500002</c:v>
                </c:pt>
                <c:pt idx="5">
                  <c:v>2846727329.23</c:v>
                </c:pt>
                <c:pt idx="6">
                  <c:v>2764259100.25</c:v>
                </c:pt>
                <c:pt idx="7">
                  <c:v>1765729337.6900001</c:v>
                </c:pt>
                <c:pt idx="8">
                  <c:v>1233156615.53</c:v>
                </c:pt>
                <c:pt idx="9">
                  <c:v>1133136804.29</c:v>
                </c:pt>
                <c:pt idx="10">
                  <c:v>659262844.32000005</c:v>
                </c:pt>
                <c:pt idx="11">
                  <c:v>593638653.32000005</c:v>
                </c:pt>
                <c:pt idx="12">
                  <c:v>416334859.31999999</c:v>
                </c:pt>
                <c:pt idx="13">
                  <c:v>398575982.77999997</c:v>
                </c:pt>
                <c:pt idx="14">
                  <c:v>349654576.80000001</c:v>
                </c:pt>
                <c:pt idx="15">
                  <c:v>195898644.90000001</c:v>
                </c:pt>
                <c:pt idx="16">
                  <c:v>143153031.52000001</c:v>
                </c:pt>
                <c:pt idx="17">
                  <c:v>141239851.5</c:v>
                </c:pt>
                <c:pt idx="18">
                  <c:v>72243194.390000001</c:v>
                </c:pt>
                <c:pt idx="19">
                  <c:v>28552819.649999999</c:v>
                </c:pt>
                <c:pt idx="20">
                  <c:v>24591908.18</c:v>
                </c:pt>
                <c:pt idx="21">
                  <c:v>7979286.6799999997</c:v>
                </c:pt>
                <c:pt idx="22">
                  <c:v>4848866.6500000004</c:v>
                </c:pt>
              </c:numCache>
            </c:numRef>
          </c:val>
          <c:extLst>
            <c:ext xmlns:c15="http://schemas.microsoft.com/office/drawing/2012/chart" uri="{02D57815-91ED-43cb-92C2-25804820EDAC}">
              <c15:datalabelsRange>
                <c15:f>'G8 - Despesa por Função'!$H$5:$H$27</c15:f>
                <c15:dlblRangeCache>
                  <c:ptCount val="23"/>
                  <c:pt idx="0">
                    <c:v>20,59%</c:v>
                  </c:pt>
                  <c:pt idx="1">
                    <c:v>16,26%</c:v>
                  </c:pt>
                  <c:pt idx="2">
                    <c:v>12,72%</c:v>
                  </c:pt>
                  <c:pt idx="3">
                    <c:v>10,35%</c:v>
                  </c:pt>
                  <c:pt idx="4">
                    <c:v>7,66%</c:v>
                  </c:pt>
                  <c:pt idx="5">
                    <c:v>7,22%</c:v>
                  </c:pt>
                  <c:pt idx="6">
                    <c:v>7,01%</c:v>
                  </c:pt>
                  <c:pt idx="7">
                    <c:v>4,48%</c:v>
                  </c:pt>
                  <c:pt idx="8">
                    <c:v>3,13%</c:v>
                  </c:pt>
                  <c:pt idx="9">
                    <c:v>2,87%</c:v>
                  </c:pt>
                  <c:pt idx="10">
                    <c:v>1,67%</c:v>
                  </c:pt>
                  <c:pt idx="11">
                    <c:v>1,51%</c:v>
                  </c:pt>
                  <c:pt idx="12">
                    <c:v>1,06%</c:v>
                  </c:pt>
                  <c:pt idx="13">
                    <c:v>1,01%</c:v>
                  </c:pt>
                  <c:pt idx="14">
                    <c:v>0,89%</c:v>
                  </c:pt>
                  <c:pt idx="15">
                    <c:v>0,50%</c:v>
                  </c:pt>
                  <c:pt idx="16">
                    <c:v>0,36%</c:v>
                  </c:pt>
                  <c:pt idx="17">
                    <c:v>0,36%</c:v>
                  </c:pt>
                  <c:pt idx="18">
                    <c:v>0,18%</c:v>
                  </c:pt>
                  <c:pt idx="19">
                    <c:v>0,07%</c:v>
                  </c:pt>
                  <c:pt idx="20">
                    <c:v>0,06%</c:v>
                  </c:pt>
                  <c:pt idx="21">
                    <c:v>0,02%</c:v>
                  </c:pt>
                  <c:pt idx="22">
                    <c:v>0,01%</c:v>
                  </c:pt>
                </c15:dlblRangeCache>
              </c15:datalabelsRange>
            </c:ext>
            <c:ext xmlns:c16="http://schemas.microsoft.com/office/drawing/2014/chart" uri="{C3380CC4-5D6E-409C-BE32-E72D297353CC}">
              <c16:uniqueId val="{00000017-D941-4CE0-B041-F93A791B9C49}"/>
            </c:ext>
          </c:extLst>
        </c:ser>
        <c:dLbls>
          <c:showLegendKey val="0"/>
          <c:showVal val="0"/>
          <c:showCatName val="0"/>
          <c:showSerName val="0"/>
          <c:showPercent val="0"/>
          <c:showBubbleSize val="0"/>
        </c:dLbls>
        <c:gapWidth val="115"/>
        <c:overlap val="-20"/>
        <c:axId val="582240520"/>
        <c:axId val="582248392"/>
      </c:barChart>
      <c:catAx>
        <c:axId val="582240520"/>
        <c:scaling>
          <c:orientation val="maxMin"/>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crossAx val="582248392"/>
        <c:crosses val="autoZero"/>
        <c:auto val="1"/>
        <c:lblAlgn val="ctr"/>
        <c:lblOffset val="100"/>
        <c:noMultiLvlLbl val="0"/>
      </c:catAx>
      <c:valAx>
        <c:axId val="582248392"/>
        <c:scaling>
          <c:orientation val="minMax"/>
          <c:max val="9000000000"/>
        </c:scaling>
        <c:delete val="0"/>
        <c:axPos val="t"/>
        <c:majorGridlines>
          <c:spPr>
            <a:ln w="9525" cap="flat" cmpd="sng" algn="ctr">
              <a:noFill/>
              <a:round/>
            </a:ln>
            <a:effectLst/>
          </c:spPr>
        </c:majorGridlines>
        <c:numFmt formatCode="#,##0_);[Red]\(#,##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crossAx val="582240520"/>
        <c:crosses val="autoZero"/>
        <c:crossBetween val="between"/>
        <c:majorUnit val="1000000000"/>
        <c:dispUnits>
          <c:builtInUnit val="millions"/>
          <c:dispUnitsLbl>
            <c:layout>
              <c:manualLayout>
                <c:xMode val="edge"/>
                <c:yMode val="edge"/>
                <c:x val="0.49574053564916737"/>
                <c:y val="4.2626509760678154E-4"/>
              </c:manualLayout>
            </c:layout>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pt-BR">
                      <a:solidFill>
                        <a:sysClr val="windowText" lastClr="000000"/>
                      </a:solidFill>
                      <a:latin typeface="Arial" panose="020B0604020202020204" pitchFamily="34" charset="0"/>
                      <a:cs typeface="Arial" panose="020B0604020202020204" pitchFamily="34" charset="0"/>
                    </a:rPr>
                    <a:t>R$ Milhões</a:t>
                  </a:r>
                </a:p>
              </c:rich>
            </c:tx>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dispUnitsLbl>
        </c:dispUnits>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pPr>
      <a:endParaRPr lang="pt-BR"/>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manualLayout>
          <c:layoutTarget val="inner"/>
          <c:xMode val="edge"/>
          <c:yMode val="edge"/>
          <c:x val="0.1604156646902048"/>
          <c:y val="0.11512514543929432"/>
          <c:w val="0.8191040811188568"/>
          <c:h val="0.74251181327269822"/>
        </c:manualLayout>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trendline>
            <c:spPr>
              <a:ln w="19050" cap="rnd">
                <a:solidFill>
                  <a:schemeClr val="accent1"/>
                </a:solidFill>
                <a:prstDash val="sysDot"/>
              </a:ln>
              <a:effectLst/>
            </c:spPr>
            <c:trendlineType val="linear"/>
            <c:dispRSqr val="0"/>
            <c:dispEq val="0"/>
          </c:trendline>
          <c:trendline>
            <c:spPr>
              <a:ln w="19050" cap="rnd">
                <a:solidFill>
                  <a:schemeClr val="accent1"/>
                </a:solidFill>
                <a:prstDash val="sysDot"/>
              </a:ln>
              <a:effectLst/>
            </c:spPr>
            <c:trendlineType val="linear"/>
            <c:dispRSqr val="0"/>
            <c:dispEq val="0"/>
          </c:trendline>
          <c:cat>
            <c:numRef>
              <c:f>'Evolução RCL'!$F$1:$J$1</c:f>
              <c:numCache>
                <c:formatCode>General</c:formatCode>
                <c:ptCount val="5"/>
                <c:pt idx="0">
                  <c:v>2019</c:v>
                </c:pt>
                <c:pt idx="1">
                  <c:v>2020</c:v>
                </c:pt>
                <c:pt idx="2">
                  <c:v>2021</c:v>
                </c:pt>
                <c:pt idx="3">
                  <c:v>2022</c:v>
                </c:pt>
                <c:pt idx="4">
                  <c:v>2023</c:v>
                </c:pt>
              </c:numCache>
            </c:numRef>
          </c:cat>
          <c:val>
            <c:numRef>
              <c:f>'Evolução RCL'!$F$10:$J$10</c:f>
              <c:numCache>
                <c:formatCode>#,##0</c:formatCode>
                <c:ptCount val="5"/>
                <c:pt idx="0">
                  <c:v>24517779.769000001</c:v>
                </c:pt>
                <c:pt idx="1">
                  <c:v>26290021.366459999</c:v>
                </c:pt>
                <c:pt idx="2">
                  <c:v>31539191.641679998</c:v>
                </c:pt>
                <c:pt idx="3">
                  <c:v>37199050.718189999</c:v>
                </c:pt>
                <c:pt idx="4">
                  <c:v>38364025.884939998</c:v>
                </c:pt>
              </c:numCache>
            </c:numRef>
          </c:val>
          <c:extLst>
            <c:ext xmlns:c16="http://schemas.microsoft.com/office/drawing/2014/chart" uri="{C3380CC4-5D6E-409C-BE32-E72D297353CC}">
              <c16:uniqueId val="{00000002-6B1A-4FEC-B19E-2FEC88A0526C}"/>
            </c:ext>
          </c:extLst>
        </c:ser>
        <c:dLbls>
          <c:showLegendKey val="0"/>
          <c:showVal val="0"/>
          <c:showCatName val="0"/>
          <c:showSerName val="0"/>
          <c:showPercent val="0"/>
          <c:showBubbleSize val="0"/>
        </c:dLbls>
        <c:gapWidth val="219"/>
        <c:overlap val="-27"/>
        <c:axId val="126628992"/>
        <c:axId val="126630528"/>
      </c:barChart>
      <c:catAx>
        <c:axId val="1266289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crossAx val="126630528"/>
        <c:crosses val="autoZero"/>
        <c:auto val="1"/>
        <c:lblAlgn val="ctr"/>
        <c:lblOffset val="100"/>
        <c:noMultiLvlLbl val="0"/>
      </c:catAx>
      <c:valAx>
        <c:axId val="12663052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pt-BR" sz="800" b="1">
                    <a:solidFill>
                      <a:sysClr val="windowText" lastClr="000000"/>
                    </a:solidFill>
                  </a:rPr>
                  <a:t>Em R$ mil</a:t>
                </a:r>
              </a:p>
            </c:rich>
          </c:tx>
          <c:layout>
            <c:manualLayout>
              <c:xMode val="edge"/>
              <c:yMode val="edge"/>
              <c:x val="1.1627672781255155E-2"/>
              <c:y val="0.35873170095383322"/>
            </c:manualLayout>
          </c:layout>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crossAx val="12662899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latin typeface="Arial" panose="020B0604020202020204" pitchFamily="34" charset="0"/>
          <a:cs typeface="Arial" panose="020B0604020202020204" pitchFamily="34" charset="0"/>
        </a:defRPr>
      </a:pPr>
      <a:endParaRPr lang="pt-BR"/>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'Grafico - Despesa com pessoal'!$B$1</c:f>
              <c:strCache>
                <c:ptCount val="1"/>
                <c:pt idx="0">
                  <c:v>% em Relação à RCL</c:v>
                </c:pt>
              </c:strCache>
            </c:strRef>
          </c:tx>
          <c:explosion val="12"/>
          <c:dPt>
            <c:idx val="0"/>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1-EA15-4200-A341-82C80BF729F7}"/>
              </c:ext>
            </c:extLst>
          </c:dPt>
          <c:dPt>
            <c:idx val="1"/>
            <c:bubble3D val="0"/>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3-EA15-4200-A341-82C80BF729F7}"/>
              </c:ext>
            </c:extLst>
          </c:dPt>
          <c:dPt>
            <c:idx val="2"/>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5-EA15-4200-A341-82C80BF729F7}"/>
              </c:ext>
            </c:extLst>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7-EA15-4200-A341-82C80BF729F7}"/>
              </c:ext>
            </c:extLst>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pt-BR"/>
                </a:p>
              </c:txPr>
              <c:dLblPos val="outEnd"/>
              <c:showLegendKey val="0"/>
              <c:showVal val="0"/>
              <c:showCatName val="1"/>
              <c:showSerName val="0"/>
              <c:showPercent val="1"/>
              <c:showBubbleSize val="0"/>
              <c:extLst>
                <c:ext xmlns:c16="http://schemas.microsoft.com/office/drawing/2014/chart" uri="{C3380CC4-5D6E-409C-BE32-E72D297353CC}">
                  <c16:uniqueId val="{00000001-EA15-4200-A341-82C80BF729F7}"/>
                </c:ext>
              </c:extLst>
            </c:dLbl>
            <c:dLbl>
              <c:idx val="1"/>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solidFill>
                      <a:latin typeface="+mn-lt"/>
                      <a:ea typeface="+mn-ea"/>
                      <a:cs typeface="+mn-cs"/>
                    </a:defRPr>
                  </a:pPr>
                  <a:endParaRPr lang="pt-BR"/>
                </a:p>
              </c:txPr>
              <c:dLblPos val="outEnd"/>
              <c:showLegendKey val="0"/>
              <c:showVal val="0"/>
              <c:showCatName val="1"/>
              <c:showSerName val="0"/>
              <c:showPercent val="1"/>
              <c:showBubbleSize val="0"/>
              <c:extLst>
                <c:ext xmlns:c16="http://schemas.microsoft.com/office/drawing/2014/chart" uri="{C3380CC4-5D6E-409C-BE32-E72D297353CC}">
                  <c16:uniqueId val="{00000003-EA15-4200-A341-82C80BF729F7}"/>
                </c:ext>
              </c:extLst>
            </c:dLbl>
            <c:dLbl>
              <c:idx val="2"/>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3"/>
                      </a:solidFill>
                      <a:latin typeface="+mn-lt"/>
                      <a:ea typeface="+mn-ea"/>
                      <a:cs typeface="+mn-cs"/>
                    </a:defRPr>
                  </a:pPr>
                  <a:endParaRPr lang="pt-BR"/>
                </a:p>
              </c:txPr>
              <c:dLblPos val="outEnd"/>
              <c:showLegendKey val="0"/>
              <c:showVal val="0"/>
              <c:showCatName val="1"/>
              <c:showSerName val="0"/>
              <c:showPercent val="1"/>
              <c:showBubbleSize val="0"/>
              <c:extLst>
                <c:ext xmlns:c16="http://schemas.microsoft.com/office/drawing/2014/chart" uri="{C3380CC4-5D6E-409C-BE32-E72D297353CC}">
                  <c16:uniqueId val="{00000005-EA15-4200-A341-82C80BF729F7}"/>
                </c:ext>
              </c:extLst>
            </c:dLbl>
            <c:dLbl>
              <c:idx val="3"/>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4"/>
                      </a:solidFill>
                      <a:latin typeface="+mn-lt"/>
                      <a:ea typeface="+mn-ea"/>
                      <a:cs typeface="+mn-cs"/>
                    </a:defRPr>
                  </a:pPr>
                  <a:endParaRPr lang="pt-BR"/>
                </a:p>
              </c:txPr>
              <c:dLblPos val="outEnd"/>
              <c:showLegendKey val="0"/>
              <c:showVal val="0"/>
              <c:showCatName val="1"/>
              <c:showSerName val="0"/>
              <c:showPercent val="1"/>
              <c:showBubbleSize val="0"/>
              <c:extLst>
                <c:ext xmlns:c16="http://schemas.microsoft.com/office/drawing/2014/chart" uri="{C3380CC4-5D6E-409C-BE32-E72D297353CC}">
                  <c16:uniqueId val="{00000007-EA15-4200-A341-82C80BF729F7}"/>
                </c:ext>
              </c:extLst>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'Grafico - Despesa com pessoal'!$A$2:$A$5</c:f>
              <c:strCache>
                <c:ptCount val="4"/>
                <c:pt idx="0">
                  <c:v>Poder Executivo</c:v>
                </c:pt>
                <c:pt idx="1">
                  <c:v>Poder Legislativo</c:v>
                </c:pt>
                <c:pt idx="2">
                  <c:v>Poder Judiciário</c:v>
                </c:pt>
                <c:pt idx="3">
                  <c:v>Ministério Público</c:v>
                </c:pt>
              </c:strCache>
            </c:strRef>
          </c:cat>
          <c:val>
            <c:numRef>
              <c:f>'Grafico - Despesa com pessoal'!$B$2:$B$5</c:f>
              <c:numCache>
                <c:formatCode>0.0</c:formatCode>
                <c:ptCount val="4"/>
                <c:pt idx="0">
                  <c:v>48.6</c:v>
                </c:pt>
                <c:pt idx="1">
                  <c:v>3.4</c:v>
                </c:pt>
                <c:pt idx="2">
                  <c:v>6</c:v>
                </c:pt>
                <c:pt idx="3">
                  <c:v>2</c:v>
                </c:pt>
              </c:numCache>
            </c:numRef>
          </c:val>
          <c:extLst>
            <c:ext xmlns:c16="http://schemas.microsoft.com/office/drawing/2014/chart" uri="{C3380CC4-5D6E-409C-BE32-E72D297353CC}">
              <c16:uniqueId val="{00000008-EA15-4200-A341-82C80BF729F7}"/>
            </c:ext>
          </c:extLst>
        </c:ser>
        <c:dLbls>
          <c:dLblPos val="outEnd"/>
          <c:showLegendKey val="0"/>
          <c:showVal val="0"/>
          <c:showCatName val="0"/>
          <c:showSerName val="0"/>
          <c:showPercent val="1"/>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outerShdw blurRad="50800" dist="127000" dir="5400000" algn="ctr" rotWithShape="0">
        <a:srgbClr val="000000">
          <a:alpha val="43137"/>
        </a:srgbClr>
      </a:outerShdw>
    </a:effectLst>
  </c:spPr>
  <c:txPr>
    <a:bodyPr/>
    <a:lstStyle/>
    <a:p>
      <a:pPr>
        <a:defRPr/>
      </a:pPr>
      <a:endParaRPr lang="pt-BR"/>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1"/>
          <c:order val="1"/>
          <c:tx>
            <c:strRef>
              <c:f>'RP-ANT_GRAF'!$C$2</c:f>
              <c:strCache>
                <c:ptCount val="1"/>
                <c:pt idx="0">
                  <c:v>RPP</c:v>
                </c:pt>
              </c:strCache>
            </c:strRef>
          </c:tx>
          <c:spPr>
            <a:solidFill>
              <a:schemeClr val="accent1">
                <a:lumMod val="60000"/>
                <a:lumOff val="40000"/>
              </a:schemeClr>
            </a:solidFill>
            <a:ln>
              <a:noFill/>
            </a:ln>
            <a:effectLst/>
          </c:spPr>
          <c:invertIfNegative val="0"/>
          <c:dLbls>
            <c:dLbl>
              <c:idx val="4"/>
              <c:layout>
                <c:manualLayout>
                  <c:x val="-7.0360578574483598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97F-44F8-B871-14016002E39C}"/>
                </c:ext>
              </c:extLst>
            </c:dLbl>
            <c:dLbl>
              <c:idx val="5"/>
              <c:layout>
                <c:manualLayout>
                  <c:x val="-8.7950221874998156E-3"/>
                  <c:y val="1.82149362477232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97F-44F8-B871-14016002E39C}"/>
                </c:ext>
              </c:extLst>
            </c:dLbl>
            <c:dLbl>
              <c:idx val="6"/>
              <c:layout>
                <c:manualLayout>
                  <c:x val="-1.583113017925894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97F-44F8-B871-14016002E39C}"/>
                </c:ext>
              </c:extLst>
            </c:dLbl>
            <c:spPr>
              <a:noFill/>
              <a:ln>
                <a:noFill/>
              </a:ln>
              <a:effectLst/>
            </c:spPr>
            <c:txPr>
              <a:bodyPr rot="0" spcFirstLastPara="1" vertOverflow="ellipsis" vert="horz" wrap="square" anchor="ctr" anchorCtr="1"/>
              <a:lstStyle/>
              <a:p>
                <a:pPr>
                  <a:defRPr sz="900" b="0" i="0" u="none" strike="noStrike" kern="1200" baseline="0">
                    <a:ln>
                      <a:noFill/>
                    </a:ln>
                    <a:solidFill>
                      <a:schemeClr val="tx1">
                        <a:lumMod val="75000"/>
                        <a:lumOff val="25000"/>
                      </a:schemeClr>
                    </a:solidFill>
                    <a:latin typeface="+mn-lt"/>
                    <a:ea typeface="+mn-ea"/>
                    <a:cs typeface="+mn-cs"/>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'RP-ANT_GRAF'!$B$3:$B$11</c:f>
              <c:numCache>
                <c:formatCode>0</c:formatCode>
                <c:ptCount val="9"/>
                <c:pt idx="0">
                  <c:v>2014</c:v>
                </c:pt>
                <c:pt idx="1">
                  <c:v>2015</c:v>
                </c:pt>
                <c:pt idx="2">
                  <c:v>2016</c:v>
                </c:pt>
                <c:pt idx="3">
                  <c:v>2017</c:v>
                </c:pt>
                <c:pt idx="4">
                  <c:v>2018</c:v>
                </c:pt>
                <c:pt idx="5">
                  <c:v>2019</c:v>
                </c:pt>
                <c:pt idx="6">
                  <c:v>2020</c:v>
                </c:pt>
                <c:pt idx="7">
                  <c:v>2021</c:v>
                </c:pt>
                <c:pt idx="8">
                  <c:v>2022</c:v>
                </c:pt>
              </c:numCache>
            </c:numRef>
          </c:cat>
          <c:val>
            <c:numRef>
              <c:f>'RP-ANT_GRAF'!$C$3:$C$11</c:f>
              <c:numCache>
                <c:formatCode>General</c:formatCode>
                <c:ptCount val="9"/>
                <c:pt idx="4" formatCode="_-* #,##0_-;\-* #,##0_-;_-* &quot;-&quot;??_-;_-@_-">
                  <c:v>1091.1531299999999</c:v>
                </c:pt>
                <c:pt idx="5" formatCode="_-* #,##0_-;\-* #,##0_-;_-* &quot;-&quot;??_-;_-@_-">
                  <c:v>224.50454999999999</c:v>
                </c:pt>
                <c:pt idx="6" formatCode="_-* #,##0_-;\-* #,##0_-;_-* &quot;-&quot;??_-;_-@_-">
                  <c:v>5595.6755800000001</c:v>
                </c:pt>
                <c:pt idx="7" formatCode="_-* #,##0_-;\-* #,##0_-;_-* &quot;-&quot;??_-;_-@_-">
                  <c:v>293033.15822000004</c:v>
                </c:pt>
                <c:pt idx="8" formatCode="_-* #,##0_-;\-* #,##0_-;_-* &quot;-&quot;??_-;_-@_-">
                  <c:v>324170.17102999997</c:v>
                </c:pt>
              </c:numCache>
            </c:numRef>
          </c:val>
          <c:extLst>
            <c:ext xmlns:c16="http://schemas.microsoft.com/office/drawing/2014/chart" uri="{C3380CC4-5D6E-409C-BE32-E72D297353CC}">
              <c16:uniqueId val="{00000003-997F-44F8-B871-14016002E39C}"/>
            </c:ext>
          </c:extLst>
        </c:ser>
        <c:ser>
          <c:idx val="2"/>
          <c:order val="2"/>
          <c:tx>
            <c:strRef>
              <c:f>'RP-ANT_GRAF'!$D$2</c:f>
              <c:strCache>
                <c:ptCount val="1"/>
                <c:pt idx="0">
                  <c:v>RPNP</c:v>
                </c:pt>
              </c:strCache>
            </c:strRef>
          </c:tx>
          <c:spPr>
            <a:solidFill>
              <a:schemeClr val="accent2"/>
            </a:solidFill>
            <a:ln>
              <a:noFill/>
            </a:ln>
            <a:effectLst/>
          </c:spPr>
          <c:invertIfNegative val="0"/>
          <c:dLbls>
            <c:dLbl>
              <c:idx val="6"/>
              <c:layout>
                <c:manualLayout>
                  <c:x val="1.0554086786172539E-2"/>
                  <c:y val="-1.4681178416455487E-1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97F-44F8-B871-14016002E39C}"/>
                </c:ext>
              </c:extLst>
            </c:dLbl>
            <c:dLbl>
              <c:idx val="7"/>
              <c:layout>
                <c:manualLayout>
                  <c:x val="1.407211571489672E-2"/>
                  <c:y val="8.008008008008007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97F-44F8-B871-14016002E39C}"/>
                </c:ext>
              </c:extLst>
            </c:dLbl>
            <c:spPr>
              <a:noFill/>
              <a:ln>
                <a:noFill/>
              </a:ln>
              <a:effectLst/>
            </c:spPr>
            <c:txPr>
              <a:bodyPr rot="0" spcFirstLastPara="1" vertOverflow="ellipsis" vert="horz" wrap="square" anchor="ctr" anchorCtr="1"/>
              <a:lstStyle/>
              <a:p>
                <a:pPr>
                  <a:defRPr sz="900" b="0" i="0" u="none" strike="noStrike" kern="1200" baseline="0">
                    <a:ln>
                      <a:noFill/>
                    </a:ln>
                    <a:solidFill>
                      <a:schemeClr val="tx1">
                        <a:lumMod val="75000"/>
                        <a:lumOff val="25000"/>
                      </a:schemeClr>
                    </a:solidFill>
                    <a:latin typeface="+mn-lt"/>
                    <a:ea typeface="+mn-ea"/>
                    <a:cs typeface="+mn-cs"/>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'RP-ANT_GRAF'!$B$3:$B$11</c:f>
              <c:numCache>
                <c:formatCode>0</c:formatCode>
                <c:ptCount val="9"/>
                <c:pt idx="0">
                  <c:v>2014</c:v>
                </c:pt>
                <c:pt idx="1">
                  <c:v>2015</c:v>
                </c:pt>
                <c:pt idx="2">
                  <c:v>2016</c:v>
                </c:pt>
                <c:pt idx="3">
                  <c:v>2017</c:v>
                </c:pt>
                <c:pt idx="4">
                  <c:v>2018</c:v>
                </c:pt>
                <c:pt idx="5">
                  <c:v>2019</c:v>
                </c:pt>
                <c:pt idx="6">
                  <c:v>2020</c:v>
                </c:pt>
                <c:pt idx="7">
                  <c:v>2021</c:v>
                </c:pt>
                <c:pt idx="8">
                  <c:v>2022</c:v>
                </c:pt>
              </c:numCache>
            </c:numRef>
          </c:cat>
          <c:val>
            <c:numRef>
              <c:f>'RP-ANT_GRAF'!$D$3:$D$11</c:f>
              <c:numCache>
                <c:formatCode>_-* #,##0_-;\-* #,##0_-;_-* "-"??_-;_-@_-</c:formatCode>
                <c:ptCount val="9"/>
                <c:pt idx="0">
                  <c:v>242.5</c:v>
                </c:pt>
                <c:pt idx="1">
                  <c:v>7616.7139900000002</c:v>
                </c:pt>
                <c:pt idx="2">
                  <c:v>2243.3096</c:v>
                </c:pt>
                <c:pt idx="3">
                  <c:v>5271.5784999999996</c:v>
                </c:pt>
                <c:pt idx="4">
                  <c:v>35861.530189999998</c:v>
                </c:pt>
                <c:pt idx="5">
                  <c:v>4153.24532</c:v>
                </c:pt>
                <c:pt idx="6">
                  <c:v>4419.4180999999999</c:v>
                </c:pt>
                <c:pt idx="7">
                  <c:v>12846.820470000001</c:v>
                </c:pt>
                <c:pt idx="8">
                  <c:v>19730.673449999998</c:v>
                </c:pt>
              </c:numCache>
            </c:numRef>
          </c:val>
          <c:extLst>
            <c:ext xmlns:c16="http://schemas.microsoft.com/office/drawing/2014/chart" uri="{C3380CC4-5D6E-409C-BE32-E72D297353CC}">
              <c16:uniqueId val="{00000006-997F-44F8-B871-14016002E39C}"/>
            </c:ext>
          </c:extLst>
        </c:ser>
        <c:dLbls>
          <c:showLegendKey val="0"/>
          <c:showVal val="0"/>
          <c:showCatName val="0"/>
          <c:showSerName val="0"/>
          <c:showPercent val="0"/>
          <c:showBubbleSize val="0"/>
        </c:dLbls>
        <c:gapWidth val="219"/>
        <c:overlap val="-22"/>
        <c:axId val="567457792"/>
        <c:axId val="567461072"/>
        <c:extLst>
          <c:ext xmlns:c15="http://schemas.microsoft.com/office/drawing/2012/chart" uri="{02D57815-91ED-43cb-92C2-25804820EDAC}">
            <c15:filteredBarSeries>
              <c15:ser>
                <c:idx val="0"/>
                <c:order val="0"/>
                <c:tx>
                  <c:strRef>
                    <c:extLst>
                      <c:ext uri="{02D57815-91ED-43cb-92C2-25804820EDAC}">
                        <c15:formulaRef>
                          <c15:sqref>'RP-ANT_GRAF'!$B$2</c15:sqref>
                        </c15:formulaRef>
                      </c:ext>
                    </c:extLst>
                    <c:strCache>
                      <c:ptCount val="1"/>
                      <c:pt idx="0">
                        <c:v>Ano</c:v>
                      </c:pt>
                    </c:strCache>
                  </c:strRef>
                </c:tx>
                <c:spPr>
                  <a:solidFill>
                    <a:schemeClr val="accent1"/>
                  </a:solidFill>
                  <a:ln>
                    <a:noFill/>
                  </a:ln>
                  <a:effectLst/>
                </c:spPr>
                <c:invertIfNegative val="0"/>
                <c:cat>
                  <c:numRef>
                    <c:extLst>
                      <c:ext uri="{02D57815-91ED-43cb-92C2-25804820EDAC}">
                        <c15:formulaRef>
                          <c15:sqref>'RP-ANT_GRAF'!$B$3:$B$11</c15:sqref>
                        </c15:formulaRef>
                      </c:ext>
                    </c:extLst>
                    <c:numCache>
                      <c:formatCode>0</c:formatCode>
                      <c:ptCount val="9"/>
                      <c:pt idx="0">
                        <c:v>2014</c:v>
                      </c:pt>
                      <c:pt idx="1">
                        <c:v>2015</c:v>
                      </c:pt>
                      <c:pt idx="2">
                        <c:v>2016</c:v>
                      </c:pt>
                      <c:pt idx="3">
                        <c:v>2017</c:v>
                      </c:pt>
                      <c:pt idx="4">
                        <c:v>2018</c:v>
                      </c:pt>
                      <c:pt idx="5">
                        <c:v>2019</c:v>
                      </c:pt>
                      <c:pt idx="6">
                        <c:v>2020</c:v>
                      </c:pt>
                      <c:pt idx="7">
                        <c:v>2021</c:v>
                      </c:pt>
                      <c:pt idx="8">
                        <c:v>2022</c:v>
                      </c:pt>
                    </c:numCache>
                  </c:numRef>
                </c:cat>
                <c:val>
                  <c:numRef>
                    <c:extLst>
                      <c:ext uri="{02D57815-91ED-43cb-92C2-25804820EDAC}">
                        <c15:formulaRef>
                          <c15:sqref>'RP-ANT_GRAF'!$B$3:$B$11</c15:sqref>
                        </c15:formulaRef>
                      </c:ext>
                    </c:extLst>
                    <c:numCache>
                      <c:formatCode>0</c:formatCode>
                      <c:ptCount val="9"/>
                      <c:pt idx="0">
                        <c:v>2014</c:v>
                      </c:pt>
                      <c:pt idx="1">
                        <c:v>2015</c:v>
                      </c:pt>
                      <c:pt idx="2">
                        <c:v>2016</c:v>
                      </c:pt>
                      <c:pt idx="3">
                        <c:v>2017</c:v>
                      </c:pt>
                      <c:pt idx="4">
                        <c:v>2018</c:v>
                      </c:pt>
                      <c:pt idx="5">
                        <c:v>2019</c:v>
                      </c:pt>
                      <c:pt idx="6">
                        <c:v>2020</c:v>
                      </c:pt>
                      <c:pt idx="7">
                        <c:v>2021</c:v>
                      </c:pt>
                      <c:pt idx="8">
                        <c:v>2022</c:v>
                      </c:pt>
                    </c:numCache>
                  </c:numRef>
                </c:val>
                <c:extLst>
                  <c:ext xmlns:c16="http://schemas.microsoft.com/office/drawing/2014/chart" uri="{C3380CC4-5D6E-409C-BE32-E72D297353CC}">
                    <c16:uniqueId val="{00000007-997F-44F8-B871-14016002E39C}"/>
                  </c:ext>
                </c:extLst>
              </c15:ser>
            </c15:filteredBarSeries>
          </c:ext>
        </c:extLst>
      </c:barChart>
      <c:catAx>
        <c:axId val="567457792"/>
        <c:scaling>
          <c:orientation val="minMax"/>
        </c:scaling>
        <c:delete val="0"/>
        <c:axPos val="b"/>
        <c:numFmt formatCode="0"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ln>
                  <a:noFill/>
                </a:ln>
                <a:solidFill>
                  <a:schemeClr val="tx1">
                    <a:lumMod val="65000"/>
                    <a:lumOff val="35000"/>
                  </a:schemeClr>
                </a:solidFill>
                <a:latin typeface="+mn-lt"/>
                <a:ea typeface="+mn-ea"/>
                <a:cs typeface="+mn-cs"/>
              </a:defRPr>
            </a:pPr>
            <a:endParaRPr lang="pt-BR"/>
          </a:p>
        </c:txPr>
        <c:crossAx val="567461072"/>
        <c:crossesAt val="0"/>
        <c:auto val="1"/>
        <c:lblAlgn val="ctr"/>
        <c:lblOffset val="100"/>
        <c:noMultiLvlLbl val="0"/>
      </c:catAx>
      <c:valAx>
        <c:axId val="56746107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ln>
                      <a:noFill/>
                    </a:ln>
                    <a:solidFill>
                      <a:schemeClr val="tx1">
                        <a:lumMod val="65000"/>
                        <a:lumOff val="35000"/>
                      </a:schemeClr>
                    </a:solidFill>
                    <a:latin typeface="+mn-lt"/>
                    <a:ea typeface="+mn-ea"/>
                    <a:cs typeface="+mn-cs"/>
                  </a:defRPr>
                </a:pPr>
                <a:r>
                  <a:rPr lang="pt-BR"/>
                  <a:t>Em R$ mil</a:t>
                </a:r>
              </a:p>
            </c:rich>
          </c:tx>
          <c:overlay val="0"/>
          <c:spPr>
            <a:noFill/>
            <a:ln>
              <a:noFill/>
            </a:ln>
            <a:effectLst/>
          </c:spPr>
          <c:txPr>
            <a:bodyPr rot="-5400000" spcFirstLastPara="1" vertOverflow="ellipsis" vert="horz" wrap="square" anchor="ctr" anchorCtr="1"/>
            <a:lstStyle/>
            <a:p>
              <a:pPr>
                <a:defRPr sz="1000" b="0" i="0" u="none" strike="noStrike" kern="1200" baseline="0">
                  <a:ln>
                    <a:noFill/>
                  </a:ln>
                  <a:solidFill>
                    <a:schemeClr val="tx1">
                      <a:lumMod val="65000"/>
                      <a:lumOff val="35000"/>
                    </a:schemeClr>
                  </a:solidFill>
                  <a:latin typeface="+mn-lt"/>
                  <a:ea typeface="+mn-ea"/>
                  <a:cs typeface="+mn-cs"/>
                </a:defRPr>
              </a:pPr>
              <a:endParaRPr lang="pt-BR"/>
            </a:p>
          </c:txPr>
        </c:title>
        <c:numFmt formatCode="#,##0_ ;[Red]\ \(#,##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ln>
                  <a:noFill/>
                </a:ln>
                <a:solidFill>
                  <a:schemeClr val="tx1">
                    <a:lumMod val="65000"/>
                    <a:lumOff val="35000"/>
                  </a:schemeClr>
                </a:solidFill>
                <a:latin typeface="+mn-lt"/>
                <a:ea typeface="+mn-ea"/>
                <a:cs typeface="+mn-cs"/>
              </a:defRPr>
            </a:pPr>
            <a:endParaRPr lang="pt-BR"/>
          </a:p>
        </c:txPr>
        <c:crossAx val="5674577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ln>
                <a:noFill/>
              </a:ln>
              <a:solidFill>
                <a:schemeClr val="tx1">
                  <a:lumMod val="65000"/>
                  <a:lumOff val="35000"/>
                </a:schemeClr>
              </a:solidFill>
              <a:latin typeface="+mn-lt"/>
              <a:ea typeface="+mn-ea"/>
              <a:cs typeface="+mn-cs"/>
            </a:defRPr>
          </a:pPr>
          <a:endParaRPr lang="pt-B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ln>
            <a:noFill/>
          </a:ln>
        </a:defRPr>
      </a:pPr>
      <a:endParaRPr lang="pt-BR"/>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lineChart>
        <c:grouping val="standard"/>
        <c:varyColors val="0"/>
        <c:ser>
          <c:idx val="1"/>
          <c:order val="1"/>
          <c:tx>
            <c:strRef>
              <c:f>SuperávitDepósitos!$B$3</c:f>
              <c:strCache>
                <c:ptCount val="1"/>
                <c:pt idx="0">
                  <c:v>Superávit/Déficit</c:v>
                </c:pt>
              </c:strCache>
            </c:strRef>
          </c:tx>
          <c:spPr>
            <a:ln w="28575" cap="rnd">
              <a:solidFill>
                <a:schemeClr val="accent1">
                  <a:tint val="77000"/>
                </a:schemeClr>
              </a:solidFill>
              <a:round/>
            </a:ln>
            <a:effectLst/>
          </c:spPr>
          <c:marker>
            <c:symbol val="none"/>
          </c:marker>
          <c:dLbls>
            <c:dLbl>
              <c:idx val="0"/>
              <c:layout>
                <c:manualLayout>
                  <c:x val="-8.5518899574097668E-2"/>
                  <c:y val="-0.1106892652202379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CF6-4279-AC6A-ECD2F2A37E34}"/>
                </c:ext>
              </c:extLst>
            </c:dLbl>
            <c:dLbl>
              <c:idx val="1"/>
              <c:layout>
                <c:manualLayout>
                  <c:x val="-7.0808894531292757E-2"/>
                  <c:y val="-8.874005244675674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CF6-4279-AC6A-ECD2F2A37E34}"/>
                </c:ext>
              </c:extLst>
            </c:dLbl>
            <c:dLbl>
              <c:idx val="2"/>
              <c:layout>
                <c:manualLayout>
                  <c:x val="-6.4150539933711268E-2"/>
                  <c:y val="-6.22498888394842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CF6-4279-AC6A-ECD2F2A37E3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SuperávitDepósitos!$A$4:$A$6</c:f>
              <c:numCache>
                <c:formatCode>General</c:formatCode>
                <c:ptCount val="3"/>
                <c:pt idx="0">
                  <c:v>2021</c:v>
                </c:pt>
                <c:pt idx="1">
                  <c:v>2022</c:v>
                </c:pt>
                <c:pt idx="2">
                  <c:v>2023</c:v>
                </c:pt>
              </c:numCache>
            </c:numRef>
          </c:cat>
          <c:val>
            <c:numRef>
              <c:f>SuperávitDepósitos!$B$4:$B$6</c:f>
              <c:numCache>
                <c:formatCode>#,##0;[Red]\ \(#,##0\)</c:formatCode>
                <c:ptCount val="3"/>
                <c:pt idx="0">
                  <c:v>-91735554</c:v>
                </c:pt>
                <c:pt idx="1">
                  <c:v>-58280313</c:v>
                </c:pt>
                <c:pt idx="2">
                  <c:v>-56573831</c:v>
                </c:pt>
              </c:numCache>
            </c:numRef>
          </c:val>
          <c:smooth val="0"/>
          <c:extLst>
            <c:ext xmlns:c16="http://schemas.microsoft.com/office/drawing/2014/chart" uri="{C3380CC4-5D6E-409C-BE32-E72D297353CC}">
              <c16:uniqueId val="{00000003-FCF6-4279-AC6A-ECD2F2A37E34}"/>
            </c:ext>
          </c:extLst>
        </c:ser>
        <c:dLbls>
          <c:showLegendKey val="0"/>
          <c:showVal val="0"/>
          <c:showCatName val="0"/>
          <c:showSerName val="0"/>
          <c:showPercent val="0"/>
          <c:showBubbleSize val="0"/>
        </c:dLbls>
        <c:smooth val="0"/>
        <c:axId val="647609048"/>
        <c:axId val="647609704"/>
        <c:extLst>
          <c:ext xmlns:c15="http://schemas.microsoft.com/office/drawing/2012/chart" uri="{02D57815-91ED-43cb-92C2-25804820EDAC}">
            <c15:filteredLineSeries>
              <c15:ser>
                <c:idx val="0"/>
                <c:order val="0"/>
                <c:tx>
                  <c:strRef>
                    <c:extLst>
                      <c:ext uri="{02D57815-91ED-43cb-92C2-25804820EDAC}">
                        <c15:formulaRef>
                          <c15:sqref>SuperávitDepósitos!$A$3</c15:sqref>
                        </c15:formulaRef>
                      </c:ext>
                    </c:extLst>
                    <c:strCache>
                      <c:ptCount val="1"/>
                      <c:pt idx="0">
                        <c:v>Exercício</c:v>
                      </c:pt>
                    </c:strCache>
                  </c:strRef>
                </c:tx>
                <c:spPr>
                  <a:ln w="28575" cap="rnd">
                    <a:solidFill>
                      <a:schemeClr val="accent1">
                        <a:shade val="76000"/>
                      </a:schemeClr>
                    </a:solidFill>
                    <a:round/>
                  </a:ln>
                  <a:effectLst/>
                </c:spPr>
                <c:marker>
                  <c:symbol val="none"/>
                </c:marker>
                <c:cat>
                  <c:numRef>
                    <c:extLst>
                      <c:ext uri="{02D57815-91ED-43cb-92C2-25804820EDAC}">
                        <c15:formulaRef>
                          <c15:sqref>SuperávitDepósitos!$A$4:$A$6</c15:sqref>
                        </c15:formulaRef>
                      </c:ext>
                    </c:extLst>
                    <c:numCache>
                      <c:formatCode>General</c:formatCode>
                      <c:ptCount val="3"/>
                      <c:pt idx="0">
                        <c:v>2021</c:v>
                      </c:pt>
                      <c:pt idx="1">
                        <c:v>2022</c:v>
                      </c:pt>
                      <c:pt idx="2">
                        <c:v>2023</c:v>
                      </c:pt>
                    </c:numCache>
                  </c:numRef>
                </c:cat>
                <c:val>
                  <c:numRef>
                    <c:extLst>
                      <c:ext uri="{02D57815-91ED-43cb-92C2-25804820EDAC}">
                        <c15:formulaRef>
                          <c15:sqref>SuperávitDepósitos!$A$4:$A$6</c15:sqref>
                        </c15:formulaRef>
                      </c:ext>
                    </c:extLst>
                    <c:numCache>
                      <c:formatCode>General</c:formatCode>
                      <c:ptCount val="3"/>
                      <c:pt idx="0">
                        <c:v>2021</c:v>
                      </c:pt>
                      <c:pt idx="1">
                        <c:v>2022</c:v>
                      </c:pt>
                      <c:pt idx="2">
                        <c:v>2023</c:v>
                      </c:pt>
                    </c:numCache>
                  </c:numRef>
                </c:val>
                <c:smooth val="0"/>
                <c:extLst>
                  <c:ext xmlns:c16="http://schemas.microsoft.com/office/drawing/2014/chart" uri="{C3380CC4-5D6E-409C-BE32-E72D297353CC}">
                    <c16:uniqueId val="{00000004-FCF6-4279-AC6A-ECD2F2A37E34}"/>
                  </c:ext>
                </c:extLst>
              </c15:ser>
            </c15:filteredLineSeries>
          </c:ext>
        </c:extLst>
      </c:lineChart>
      <c:catAx>
        <c:axId val="6476090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crossAx val="647609704"/>
        <c:crosses val="autoZero"/>
        <c:auto val="1"/>
        <c:lblAlgn val="ctr"/>
        <c:lblOffset val="100"/>
        <c:noMultiLvlLbl val="0"/>
      </c:catAx>
      <c:valAx>
        <c:axId val="647609704"/>
        <c:scaling>
          <c:orientation val="minMax"/>
        </c:scaling>
        <c:delete val="0"/>
        <c:axPos val="l"/>
        <c:majorGridlines>
          <c:spPr>
            <a:ln w="9525" cap="flat" cmpd="sng" algn="ctr">
              <a:solidFill>
                <a:schemeClr val="tx1">
                  <a:lumMod val="15000"/>
                  <a:lumOff val="85000"/>
                </a:schemeClr>
              </a:solidFill>
              <a:round/>
            </a:ln>
            <a:effectLst/>
          </c:spPr>
        </c:majorGridlines>
        <c:numFmt formatCode="#,##0;[Red]\ \(#,##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crossAx val="647609048"/>
        <c:crosses val="autoZero"/>
        <c:crossBetween val="between"/>
      </c:valAx>
      <c:spPr>
        <a:noFill/>
        <a:ln>
          <a:noFill/>
        </a:ln>
        <a:effectLst/>
      </c:spPr>
    </c:plotArea>
    <c:legend>
      <c:legendPos val="b"/>
      <c:layout>
        <c:manualLayout>
          <c:xMode val="edge"/>
          <c:yMode val="edge"/>
          <c:x val="0.39888292625842153"/>
          <c:y val="0.85044097964575605"/>
          <c:w val="0.22134242773793403"/>
          <c:h val="0.12306895412907824"/>
        </c:manualLayout>
      </c:layout>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pPr>
      <a:endParaRPr lang="pt-BR"/>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9988927165354329E-2"/>
          <c:y val="0.16456326030025034"/>
          <c:w val="0.68581754429133857"/>
          <c:h val="0.72412397862292954"/>
        </c:manualLayout>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7808-4622-B17F-7835C96878A6}"/>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7808-4622-B17F-7835C96878A6}"/>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7808-4622-B17F-7835C96878A6}"/>
              </c:ext>
            </c:extLst>
          </c:dPt>
          <c:dLbls>
            <c:dLbl>
              <c:idx val="0"/>
              <c:layout>
                <c:manualLayout>
                  <c:x val="-2.765485564304462E-2"/>
                  <c:y val="-0.32908938466025078"/>
                </c:manualLayout>
              </c:layout>
              <c:tx>
                <c:rich>
                  <a:bodyPr/>
                  <a:lstStyle/>
                  <a:p>
                    <a:fld id="{1F223F6B-F5B0-4538-B537-AB1DFC3BC74A}" type="VALUE">
                      <a:rPr lang="en-US">
                        <a:solidFill>
                          <a:schemeClr val="bg1"/>
                        </a:solidFill>
                      </a:rPr>
                      <a:pPr/>
                      <a:t>[VALOR]</a:t>
                    </a:fld>
                    <a:endParaRPr lang="pt-BR"/>
                  </a:p>
                </c:rich>
              </c:tx>
              <c:dLblPos val="bestFit"/>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7808-4622-B17F-7835C96878A6}"/>
                </c:ext>
              </c:extLst>
            </c:dLbl>
            <c:dLbl>
              <c:idx val="1"/>
              <c:layout>
                <c:manualLayout>
                  <c:x val="-2.582163167104112E-2"/>
                  <c:y val="-2.5481918926800816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808-4622-B17F-7835C96878A6}"/>
                </c:ext>
              </c:extLst>
            </c:dLbl>
            <c:dLbl>
              <c:idx val="2"/>
              <c:layout>
                <c:manualLayout>
                  <c:x val="5.702329396325459E-2"/>
                  <c:y val="-3.7273986585010209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808-4622-B17F-7835C96878A6}"/>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'Tabelas Diversas'!$B$5:$B$7</c:f>
              <c:strCache>
                <c:ptCount val="3"/>
                <c:pt idx="0">
                  <c:v>ICMS</c:v>
                </c:pt>
                <c:pt idx="1">
                  <c:v>IPVA</c:v>
                </c:pt>
                <c:pt idx="2">
                  <c:v>ITCD</c:v>
                </c:pt>
              </c:strCache>
            </c:strRef>
          </c:cat>
          <c:val>
            <c:numRef>
              <c:f>'Tabelas Diversas'!$D$5:$D$7</c:f>
              <c:numCache>
                <c:formatCode>0.00%</c:formatCode>
                <c:ptCount val="3"/>
                <c:pt idx="0">
                  <c:v>0.94746899166162524</c:v>
                </c:pt>
                <c:pt idx="1">
                  <c:v>5.1809943887280531E-2</c:v>
                </c:pt>
                <c:pt idx="2">
                  <c:v>7.210644510942609E-4</c:v>
                </c:pt>
              </c:numCache>
            </c:numRef>
          </c:val>
          <c:extLst>
            <c:ext xmlns:c16="http://schemas.microsoft.com/office/drawing/2014/chart" uri="{C3380CC4-5D6E-409C-BE32-E72D297353CC}">
              <c16:uniqueId val="{00000006-7808-4622-B17F-7835C96878A6}"/>
            </c:ext>
          </c:extLst>
        </c:ser>
        <c:dLbls>
          <c:dLblPos val="bestFit"/>
          <c:showLegendKey val="0"/>
          <c:showVal val="1"/>
          <c:showCatName val="0"/>
          <c:showSerName val="0"/>
          <c:showPercent val="0"/>
          <c:showBubbleSize val="0"/>
          <c:showLeaderLines val="1"/>
        </c:dLbls>
      </c:pie3DChart>
      <c:spPr>
        <a:noFill/>
        <a:ln>
          <a:noFill/>
        </a:ln>
        <a:effectLst/>
      </c:spPr>
    </c:plotArea>
    <c:legend>
      <c:legendPos val="r"/>
      <c:layout>
        <c:manualLayout>
          <c:xMode val="edge"/>
          <c:yMode val="edge"/>
          <c:x val="0.83872922134733163"/>
          <c:y val="0.27039406532516769"/>
          <c:w val="0.14460411198600176"/>
          <c:h val="0.44995224555263924"/>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pPr>
      <a:endParaRPr lang="pt-BR"/>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5000000000000001E-2"/>
          <c:y val="5.7870370370370371E-2"/>
          <c:w val="0.66881649168853896"/>
          <c:h val="0.90972222222222221"/>
        </c:manualLayout>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1CF7-4873-B7CA-CC44E407C5F1}"/>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1CF7-4873-B7CA-CC44E407C5F1}"/>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1CF7-4873-B7CA-CC44E407C5F1}"/>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1CF7-4873-B7CA-CC44E407C5F1}"/>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1CF7-4873-B7CA-CC44E407C5F1}"/>
              </c:ext>
            </c:extLst>
          </c:dPt>
          <c:dLbls>
            <c:dLbl>
              <c:idx val="0"/>
              <c:layout>
                <c:manualLayout>
                  <c:x val="-0.16517443132108486"/>
                  <c:y val="-0.14064012831729367"/>
                </c:manualLayout>
              </c:layout>
              <c:tx>
                <c:rich>
                  <a:bodyPr/>
                  <a:lstStyle/>
                  <a:p>
                    <a:fld id="{9F2B32FA-53DC-4C26-9394-8F23B2CD9AFB}" type="VALUE">
                      <a:rPr lang="en-US">
                        <a:solidFill>
                          <a:schemeClr val="bg1"/>
                        </a:solidFill>
                      </a:rPr>
                      <a:pPr/>
                      <a:t>[VALOR]</a:t>
                    </a:fld>
                    <a:endParaRPr lang="pt-BR"/>
                  </a:p>
                </c:rich>
              </c:tx>
              <c:dLblPos val="bestFit"/>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1CF7-4873-B7CA-CC44E407C5F1}"/>
                </c:ext>
              </c:extLst>
            </c:dLbl>
            <c:dLbl>
              <c:idx val="1"/>
              <c:layout>
                <c:manualLayout>
                  <c:x val="6.9976257284696738E-2"/>
                  <c:y val="-0.145804298424358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CF7-4873-B7CA-CC44E407C5F1}"/>
                </c:ext>
              </c:extLst>
            </c:dLbl>
            <c:dLbl>
              <c:idx val="2"/>
              <c:layout>
                <c:manualLayout>
                  <c:x val="9.2351089666565259E-2"/>
                  <c:y val="5.8630642415704426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CF7-4873-B7CA-CC44E407C5F1}"/>
                </c:ext>
              </c:extLst>
            </c:dLbl>
            <c:dLbl>
              <c:idx val="3"/>
              <c:layout>
                <c:manualLayout>
                  <c:x val="2.965113735783027E-2"/>
                  <c:y val="-2.8912583843686206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CF7-4873-B7CA-CC44E407C5F1}"/>
                </c:ext>
              </c:extLst>
            </c:dLbl>
            <c:dLbl>
              <c:idx val="4"/>
              <c:layout>
                <c:manualLayout>
                  <c:x val="2.8740376202974628E-2"/>
                  <c:y val="-2.6040390784485272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1CF7-4873-B7CA-CC44E407C5F1}"/>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'Tabelas Diversas'!$B$13:$B$17</c:f>
              <c:strCache>
                <c:ptCount val="5"/>
                <c:pt idx="0">
                  <c:v>Crédito Outorgado</c:v>
                </c:pt>
                <c:pt idx="1">
                  <c:v>Fomentar/Produzir</c:v>
                </c:pt>
                <c:pt idx="2">
                  <c:v>Isenção</c:v>
                </c:pt>
                <c:pt idx="3">
                  <c:v>Redução da Base de Cálculo</c:v>
                </c:pt>
                <c:pt idx="4">
                  <c:v>Anistia</c:v>
                </c:pt>
              </c:strCache>
            </c:strRef>
          </c:cat>
          <c:val>
            <c:numRef>
              <c:f>'Tabelas Diversas'!$D$13:$D$17</c:f>
              <c:numCache>
                <c:formatCode>0.00%</c:formatCode>
                <c:ptCount val="5"/>
                <c:pt idx="0">
                  <c:v>0.63266585064492453</c:v>
                </c:pt>
                <c:pt idx="1">
                  <c:v>0.19421894041853724</c:v>
                </c:pt>
                <c:pt idx="2">
                  <c:v>8.7383597538715357E-2</c:v>
                </c:pt>
                <c:pt idx="3">
                  <c:v>7.3995680478427681E-2</c:v>
                </c:pt>
                <c:pt idx="4">
                  <c:v>1.1735930919395121E-2</c:v>
                </c:pt>
              </c:numCache>
            </c:numRef>
          </c:val>
          <c:extLst>
            <c:ext xmlns:c16="http://schemas.microsoft.com/office/drawing/2014/chart" uri="{C3380CC4-5D6E-409C-BE32-E72D297353CC}">
              <c16:uniqueId val="{0000000A-1CF7-4873-B7CA-CC44E407C5F1}"/>
            </c:ext>
          </c:extLst>
        </c:ser>
        <c:dLbls>
          <c:dLblPos val="bestFit"/>
          <c:showLegendKey val="0"/>
          <c:showVal val="1"/>
          <c:showCatName val="0"/>
          <c:showSerName val="0"/>
          <c:showPercent val="0"/>
          <c:showBubbleSize val="0"/>
          <c:showLeaderLines val="1"/>
        </c:dLbls>
      </c:pie3DChart>
      <c:spPr>
        <a:noFill/>
        <a:ln>
          <a:noFill/>
        </a:ln>
        <a:effectLst/>
      </c:spPr>
    </c:plotArea>
    <c:legend>
      <c:legendPos val="r"/>
      <c:layout>
        <c:manualLayout>
          <c:xMode val="edge"/>
          <c:yMode val="edge"/>
          <c:x val="0.7036472003499562"/>
          <c:y val="0.11487131816856226"/>
          <c:w val="0.27968613298337708"/>
          <c:h val="0.83970180810731976"/>
        </c:manualLayout>
      </c:layout>
      <c:overlay val="0"/>
      <c:spPr>
        <a:noFill/>
        <a:ln>
          <a:noFill/>
        </a:ln>
        <a:effectLst/>
      </c:spPr>
      <c:txPr>
        <a:bodyPr rot="0" spcFirstLastPara="1" vertOverflow="ellipsis" vert="horz" wrap="square" anchor="ctr" anchorCtr="1"/>
        <a:lstStyle/>
        <a:p>
          <a:pPr algn="just">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pPr>
      <a:endParaRPr lang="pt-BR"/>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6948818897637781E-3"/>
          <c:y val="6.25E-2"/>
          <c:w val="0.66328565179352583"/>
          <c:h val="0.93055555555555558"/>
        </c:manualLayout>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D099-43E9-9CAC-D54F6237F7E3}"/>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D099-43E9-9CAC-D54F6237F7E3}"/>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D099-43E9-9CAC-D54F6237F7E3}"/>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D099-43E9-9CAC-D54F6237F7E3}"/>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D099-43E9-9CAC-D54F6237F7E3}"/>
              </c:ext>
            </c:extLst>
          </c:dPt>
          <c:dLbls>
            <c:dLbl>
              <c:idx val="0"/>
              <c:layout>
                <c:manualLayout>
                  <c:x val="-0.21418736177825359"/>
                  <c:y val="-0.12000218722659668"/>
                </c:manualLayout>
              </c:layout>
              <c:tx>
                <c:rich>
                  <a:bodyPr/>
                  <a:lstStyle/>
                  <a:p>
                    <a:fld id="{D62ECDEA-EAAF-4594-AEB8-66B1B7D3ED46}" type="VALUE">
                      <a:rPr lang="en-US">
                        <a:solidFill>
                          <a:schemeClr val="bg1"/>
                        </a:solidFill>
                      </a:rPr>
                      <a:pPr/>
                      <a:t>[VALOR]</a:t>
                    </a:fld>
                    <a:endParaRPr lang="pt-BR"/>
                  </a:p>
                </c:rich>
              </c:tx>
              <c:dLblPos val="bestFit"/>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D099-43E9-9CAC-D54F6237F7E3}"/>
                </c:ext>
              </c:extLst>
            </c:dLbl>
            <c:dLbl>
              <c:idx val="1"/>
              <c:layout>
                <c:manualLayout>
                  <c:x val="7.9000771224521399E-2"/>
                  <c:y val="-0.1153277194517352"/>
                </c:manualLayout>
              </c:layout>
              <c:spPr>
                <a:noFill/>
                <a:ln>
                  <a:noFill/>
                </a:ln>
                <a:effectLst/>
              </c:spPr>
              <c:txPr>
                <a:bodyPr rot="0" spcFirstLastPara="1" vertOverflow="ellipsis" vert="horz" wrap="square" lIns="38100" tIns="19050" rIns="38100" bIns="19050" anchor="ctr" anchorCtr="1">
                  <a:no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dLblPos val="bestFit"/>
              <c:showLegendKey val="0"/>
              <c:showVal val="1"/>
              <c:showCatName val="0"/>
              <c:showSerName val="0"/>
              <c:showPercent val="0"/>
              <c:showBubbleSize val="0"/>
              <c:extLst>
                <c:ext xmlns:c15="http://schemas.microsoft.com/office/drawing/2012/chart" uri="{CE6537A1-D6FC-4f65-9D91-7224C49458BB}">
                  <c15:layout>
                    <c:manualLayout>
                      <c:w val="0.13359549978166246"/>
                      <c:h val="9.375E-2"/>
                    </c:manualLayout>
                  </c15:layout>
                </c:ext>
                <c:ext xmlns:c16="http://schemas.microsoft.com/office/drawing/2014/chart" uri="{C3380CC4-5D6E-409C-BE32-E72D297353CC}">
                  <c16:uniqueId val="{00000003-D099-43E9-9CAC-D54F6237F7E3}"/>
                </c:ext>
              </c:extLst>
            </c:dLbl>
            <c:dLbl>
              <c:idx val="3"/>
              <c:layout>
                <c:manualLayout>
                  <c:x val="-1.4425524934383201E-2"/>
                  <c:y val="-1.8019830854476525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099-43E9-9CAC-D54F6237F7E3}"/>
                </c:ext>
              </c:extLst>
            </c:dLbl>
            <c:dLbl>
              <c:idx val="4"/>
              <c:layout>
                <c:manualLayout>
                  <c:x val="4.4929771027313319E-2"/>
                  <c:y val="-4.1222659667541559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D099-43E9-9CAC-D54F6237F7E3}"/>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'Tabelas Diversas'!$B$23:$B$27</c:f>
              <c:strCache>
                <c:ptCount val="5"/>
                <c:pt idx="0">
                  <c:v>Indústria</c:v>
                </c:pt>
                <c:pt idx="1">
                  <c:v>Atacado</c:v>
                </c:pt>
                <c:pt idx="2">
                  <c:v>Varejo</c:v>
                </c:pt>
                <c:pt idx="3">
                  <c:v>Prestação de Serviços</c:v>
                </c:pt>
                <c:pt idx="4">
                  <c:v>Produção Agropecuária</c:v>
                </c:pt>
              </c:strCache>
            </c:strRef>
          </c:cat>
          <c:val>
            <c:numRef>
              <c:f>'Tabelas Diversas'!$D$23:$D$27</c:f>
              <c:numCache>
                <c:formatCode>0.00%</c:formatCode>
                <c:ptCount val="5"/>
                <c:pt idx="0">
                  <c:v>0.5825274321720213</c:v>
                </c:pt>
                <c:pt idx="1">
                  <c:v>0.29111535602227501</c:v>
                </c:pt>
                <c:pt idx="2">
                  <c:v>0.10439028005749308</c:v>
                </c:pt>
                <c:pt idx="3">
                  <c:v>1.3660930148313127E-2</c:v>
                </c:pt>
                <c:pt idx="4">
                  <c:v>8.3060015998975157E-3</c:v>
                </c:pt>
              </c:numCache>
            </c:numRef>
          </c:val>
          <c:extLst>
            <c:ext xmlns:c16="http://schemas.microsoft.com/office/drawing/2014/chart" uri="{C3380CC4-5D6E-409C-BE32-E72D297353CC}">
              <c16:uniqueId val="{0000000A-D099-43E9-9CAC-D54F6237F7E3}"/>
            </c:ext>
          </c:extLst>
        </c:ser>
        <c:dLbls>
          <c:dLblPos val="bestFit"/>
          <c:showLegendKey val="0"/>
          <c:showVal val="1"/>
          <c:showCatName val="0"/>
          <c:showSerName val="0"/>
          <c:showPercent val="0"/>
          <c:showBubbleSize val="0"/>
          <c:showLeaderLines val="1"/>
        </c:dLbls>
      </c:pie3DChart>
      <c:spPr>
        <a:noFill/>
        <a:ln>
          <a:noFill/>
        </a:ln>
        <a:effectLst/>
      </c:spPr>
    </c:plotArea>
    <c:legend>
      <c:legendPos val="r"/>
      <c:layout>
        <c:manualLayout>
          <c:xMode val="edge"/>
          <c:yMode val="edge"/>
          <c:x val="0.70089763779527559"/>
          <c:y val="0.11024168853893264"/>
          <c:w val="0.28243569553805775"/>
          <c:h val="0.7748869932925051"/>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lgn="just">
        <a:defRPr/>
      </a:pPr>
      <a:endParaRPr lang="pt-BR"/>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1.0866797900262466E-2"/>
          <c:y val="2.3148148148148147E-2"/>
          <c:w val="0.68824650043744529"/>
          <c:h val="0.97685185185185186"/>
        </c:manualLayout>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D49F-47B4-A441-A65791125CDA}"/>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D49F-47B4-A441-A65791125CDA}"/>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D49F-47B4-A441-A65791125CDA}"/>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D49F-47B4-A441-A65791125CDA}"/>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D49F-47B4-A441-A65791125CDA}"/>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D49F-47B4-A441-A65791125CDA}"/>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D49F-47B4-A441-A65791125CDA}"/>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D49F-47B4-A441-A65791125CDA}"/>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D49F-47B4-A441-A65791125CDA}"/>
              </c:ext>
            </c:extLst>
          </c:dPt>
          <c:dPt>
            <c:idx val="9"/>
            <c:bubble3D val="0"/>
            <c:spPr>
              <a:solidFill>
                <a:schemeClr val="accent4">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3-D49F-47B4-A441-A65791125CDA}"/>
              </c:ext>
            </c:extLst>
          </c:dPt>
          <c:dLbls>
            <c:dLbl>
              <c:idx val="0"/>
              <c:layout>
                <c:manualLayout>
                  <c:x val="-0.18177012248468941"/>
                  <c:y val="1.2412146398366871E-2"/>
                </c:manualLayout>
              </c:layout>
              <c:tx>
                <c:rich>
                  <a:bodyPr/>
                  <a:lstStyle/>
                  <a:p>
                    <a:fld id="{BD75723A-3A01-41C6-BB3E-1026E199C192}" type="VALUE">
                      <a:rPr lang="en-US">
                        <a:solidFill>
                          <a:schemeClr val="bg1"/>
                        </a:solidFill>
                      </a:rPr>
                      <a:pPr/>
                      <a:t>[VALOR]</a:t>
                    </a:fld>
                    <a:endParaRPr lang="pt-BR"/>
                  </a:p>
                </c:rich>
              </c:tx>
              <c:dLblPos val="bestFit"/>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D49F-47B4-A441-A65791125CDA}"/>
                </c:ext>
              </c:extLst>
            </c:dLbl>
            <c:dLbl>
              <c:idx val="1"/>
              <c:layout>
                <c:manualLayout>
                  <c:x val="4.0811023622047242E-2"/>
                  <c:y val="-0.24926545640128317"/>
                </c:manualLayout>
              </c:layout>
              <c:tx>
                <c:rich>
                  <a:bodyPr/>
                  <a:lstStyle/>
                  <a:p>
                    <a:fld id="{D7029A33-0EC7-409B-8ADD-A30BBEA5F713}" type="VALUE">
                      <a:rPr lang="en-US">
                        <a:solidFill>
                          <a:schemeClr val="bg1"/>
                        </a:solidFill>
                      </a:rPr>
                      <a:pPr/>
                      <a:t>[VALOR]</a:t>
                    </a:fld>
                    <a:endParaRPr lang="pt-BR"/>
                  </a:p>
                </c:rich>
              </c:tx>
              <c:dLblPos val="bestFit"/>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D49F-47B4-A441-A65791125CDA}"/>
                </c:ext>
              </c:extLst>
            </c:dLbl>
            <c:dLbl>
              <c:idx val="3"/>
              <c:tx>
                <c:rich>
                  <a:bodyPr/>
                  <a:lstStyle/>
                  <a:p>
                    <a:fld id="{E36F3EFE-9DA8-4CC1-B582-D0DF05E3090E}" type="VALUE">
                      <a:rPr lang="en-US">
                        <a:solidFill>
                          <a:schemeClr val="bg1"/>
                        </a:solidFill>
                      </a:rPr>
                      <a:pPr/>
                      <a:t>[VALOR]</a:t>
                    </a:fld>
                    <a:endParaRPr lang="pt-BR"/>
                  </a:p>
                </c:rich>
              </c:tx>
              <c:dLblPos val="bestFit"/>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D49F-47B4-A441-A65791125CDA}"/>
                </c:ext>
              </c:extLst>
            </c:dLbl>
            <c:dLbl>
              <c:idx val="5"/>
              <c:layout>
                <c:manualLayout>
                  <c:x val="-1.3460192475940507E-2"/>
                  <c:y val="-1.2858340624088655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D49F-47B4-A441-A65791125CDA}"/>
                </c:ext>
              </c:extLst>
            </c:dLbl>
            <c:dLbl>
              <c:idx val="6"/>
              <c:layout>
                <c:manualLayout>
                  <c:x val="-1.0550087489063867E-2"/>
                  <c:y val="-3.5638670166229222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D49F-47B4-A441-A65791125CDA}"/>
                </c:ext>
              </c:extLst>
            </c:dLbl>
            <c:dLbl>
              <c:idx val="7"/>
              <c:layout>
                <c:manualLayout>
                  <c:x val="2.1703650680028632E-2"/>
                  <c:y val="-1.5293299300103969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D49F-47B4-A441-A65791125CDA}"/>
                </c:ext>
              </c:extLst>
            </c:dLbl>
            <c:dLbl>
              <c:idx val="9"/>
              <c:layout>
                <c:manualLayout>
                  <c:x val="0.10320017180292972"/>
                  <c:y val="0"/>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D49F-47B4-A441-A65791125CDA}"/>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'Tabelas Diversas (2)'!$B$5:$B$14</c:f>
              <c:strCache>
                <c:ptCount val="10"/>
                <c:pt idx="0">
                  <c:v>Metropolitana de Goiânia</c:v>
                </c:pt>
                <c:pt idx="1">
                  <c:v>Centro</c:v>
                </c:pt>
                <c:pt idx="2">
                  <c:v>Sudoeste </c:v>
                </c:pt>
                <c:pt idx="3">
                  <c:v>Sudeste </c:v>
                </c:pt>
                <c:pt idx="4">
                  <c:v>Entorno do Distrito Federal</c:v>
                </c:pt>
                <c:pt idx="5">
                  <c:v>Sul</c:v>
                </c:pt>
                <c:pt idx="6">
                  <c:v>Oeste </c:v>
                </c:pt>
                <c:pt idx="7">
                  <c:v>Noroeste</c:v>
                </c:pt>
                <c:pt idx="8">
                  <c:v>Norte</c:v>
                </c:pt>
                <c:pt idx="9">
                  <c:v>Nordeste</c:v>
                </c:pt>
              </c:strCache>
            </c:strRef>
          </c:cat>
          <c:val>
            <c:numRef>
              <c:f>'Tabelas Diversas (2)'!$D$5:$D$14</c:f>
              <c:numCache>
                <c:formatCode>0.00%</c:formatCode>
                <c:ptCount val="10"/>
                <c:pt idx="0">
                  <c:v>0.4324480093298208</c:v>
                </c:pt>
                <c:pt idx="1">
                  <c:v>0.158722886361573</c:v>
                </c:pt>
                <c:pt idx="2">
                  <c:v>0.14149641612335132</c:v>
                </c:pt>
                <c:pt idx="3">
                  <c:v>8.3913863804883304E-2</c:v>
                </c:pt>
                <c:pt idx="4">
                  <c:v>6.5746527155663745E-2</c:v>
                </c:pt>
                <c:pt idx="5">
                  <c:v>5.434073714007432E-2</c:v>
                </c:pt>
                <c:pt idx="6">
                  <c:v>3.7508274369892201E-2</c:v>
                </c:pt>
                <c:pt idx="7">
                  <c:v>1.4975740355090486E-2</c:v>
                </c:pt>
                <c:pt idx="8">
                  <c:v>1.0261295930664447E-2</c:v>
                </c:pt>
                <c:pt idx="9">
                  <c:v>5.8624942898635897E-4</c:v>
                </c:pt>
              </c:numCache>
            </c:numRef>
          </c:val>
          <c:extLst>
            <c:ext xmlns:c16="http://schemas.microsoft.com/office/drawing/2014/chart" uri="{C3380CC4-5D6E-409C-BE32-E72D297353CC}">
              <c16:uniqueId val="{00000014-D49F-47B4-A441-A65791125CDA}"/>
            </c:ext>
          </c:extLst>
        </c:ser>
        <c:dLbls>
          <c:dLblPos val="bestFit"/>
          <c:showLegendKey val="0"/>
          <c:showVal val="1"/>
          <c:showCatName val="0"/>
          <c:showSerName val="0"/>
          <c:showPercent val="0"/>
          <c:showBubbleSize val="0"/>
          <c:showLeaderLines val="1"/>
        </c:dLbls>
      </c:pie3DChart>
      <c:spPr>
        <a:no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pPr>
      <a:endParaRPr lang="pt-BR"/>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3.6831146106736656E-2"/>
          <c:y val="7.1759259259259259E-2"/>
          <c:w val="0.64063823272090992"/>
          <c:h val="0.8657407407407407"/>
        </c:manualLayout>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BB0E-45C7-88A3-B450651DB963}"/>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BB0E-45C7-88A3-B450651DB963}"/>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BB0E-45C7-88A3-B450651DB963}"/>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BB0E-45C7-88A3-B450651DB963}"/>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BB0E-45C7-88A3-B450651DB963}"/>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BB0E-45C7-88A3-B450651DB963}"/>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BB0E-45C7-88A3-B450651DB963}"/>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BB0E-45C7-88A3-B450651DB963}"/>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BB0E-45C7-88A3-B450651DB963}"/>
              </c:ext>
            </c:extLst>
          </c:dPt>
          <c:dPt>
            <c:idx val="9"/>
            <c:bubble3D val="0"/>
            <c:spPr>
              <a:solidFill>
                <a:schemeClr val="accent4">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3-BB0E-45C7-88A3-B450651DB963}"/>
              </c:ext>
            </c:extLst>
          </c:dPt>
          <c:dPt>
            <c:idx val="10"/>
            <c:bubble3D val="0"/>
            <c:spPr>
              <a:solidFill>
                <a:schemeClr val="accent5">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5-BB0E-45C7-88A3-B450651DB963}"/>
              </c:ext>
            </c:extLst>
          </c:dPt>
          <c:dLbls>
            <c:dLbl>
              <c:idx val="0"/>
              <c:layout>
                <c:manualLayout>
                  <c:x val="-0.11463484251968505"/>
                  <c:y val="7.032917760279965E-2"/>
                </c:manualLayout>
              </c:layout>
              <c:tx>
                <c:rich>
                  <a:bodyPr/>
                  <a:lstStyle/>
                  <a:p>
                    <a:fld id="{3846B4D0-543A-4014-B471-7920BCEE9BDC}" type="VALUE">
                      <a:rPr lang="en-US">
                        <a:solidFill>
                          <a:schemeClr val="bg1"/>
                        </a:solidFill>
                      </a:rPr>
                      <a:pPr/>
                      <a:t>[VALOR]</a:t>
                    </a:fld>
                    <a:endParaRPr lang="pt-BR"/>
                  </a:p>
                </c:rich>
              </c:tx>
              <c:dLblPos val="bestFit"/>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BB0E-45C7-88A3-B450651DB963}"/>
                </c:ext>
              </c:extLst>
            </c:dLbl>
            <c:dLbl>
              <c:idx val="1"/>
              <c:tx>
                <c:rich>
                  <a:bodyPr/>
                  <a:lstStyle/>
                  <a:p>
                    <a:fld id="{CE5228E2-27E4-4EC3-82FE-D220A9F53CEB}" type="VALUE">
                      <a:rPr lang="en-US">
                        <a:solidFill>
                          <a:schemeClr val="bg1"/>
                        </a:solidFill>
                      </a:rPr>
                      <a:pPr/>
                      <a:t>[VALOR]</a:t>
                    </a:fld>
                    <a:endParaRPr lang="pt-BR"/>
                  </a:p>
                </c:rich>
              </c:tx>
              <c:dLblPos val="bestFit"/>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BB0E-45C7-88A3-B450651DB963}"/>
                </c:ext>
              </c:extLst>
            </c:dLbl>
            <c:dLbl>
              <c:idx val="2"/>
              <c:tx>
                <c:rich>
                  <a:bodyPr/>
                  <a:lstStyle/>
                  <a:p>
                    <a:fld id="{958073D8-3B08-4B9D-9E63-C330FE39FB67}" type="VALUE">
                      <a:rPr lang="en-US">
                        <a:solidFill>
                          <a:sysClr val="windowText" lastClr="000000"/>
                        </a:solidFill>
                      </a:rPr>
                      <a:pPr/>
                      <a:t>[VALOR]</a:t>
                    </a:fld>
                    <a:endParaRPr lang="pt-BR"/>
                  </a:p>
                </c:rich>
              </c:tx>
              <c:dLblPos val="bestFit"/>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BB0E-45C7-88A3-B450651DB963}"/>
                </c:ext>
              </c:extLst>
            </c:dLbl>
            <c:dLbl>
              <c:idx val="3"/>
              <c:tx>
                <c:rich>
                  <a:bodyPr/>
                  <a:lstStyle/>
                  <a:p>
                    <a:fld id="{39E37BE7-87D9-4B4F-8F05-BFD512ADE417}" type="VALUE">
                      <a:rPr lang="en-US">
                        <a:solidFill>
                          <a:schemeClr val="bg1"/>
                        </a:solidFill>
                      </a:rPr>
                      <a:pPr/>
                      <a:t>[VALOR]</a:t>
                    </a:fld>
                    <a:endParaRPr lang="pt-BR"/>
                  </a:p>
                </c:rich>
              </c:tx>
              <c:dLblPos val="bestFit"/>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BB0E-45C7-88A3-B450651DB963}"/>
                </c:ext>
              </c:extLst>
            </c:dLbl>
            <c:dLbl>
              <c:idx val="5"/>
              <c:layout>
                <c:manualLayout>
                  <c:x val="3.515594925634296E-2"/>
                  <c:y val="2.9524642752989209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BB0E-45C7-88A3-B450651DB963}"/>
                </c:ext>
              </c:extLst>
            </c:dLbl>
            <c:dLbl>
              <c:idx val="6"/>
              <c:layout>
                <c:manualLayout>
                  <c:x val="1.5098862642169728E-2"/>
                  <c:y val="4.2344706911636047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BB0E-45C7-88A3-B450651DB963}"/>
                </c:ext>
              </c:extLst>
            </c:dLbl>
            <c:dLbl>
              <c:idx val="8"/>
              <c:layout>
                <c:manualLayout>
                  <c:x val="-2.7664807524059493E-2"/>
                  <c:y val="1.2733304170312893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BB0E-45C7-88A3-B450651DB963}"/>
                </c:ext>
              </c:extLst>
            </c:dLbl>
            <c:dLbl>
              <c:idx val="9"/>
              <c:layout>
                <c:manualLayout>
                  <c:x val="-5.671784776902887E-2"/>
                  <c:y val="-4.2232429279673377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BB0E-45C7-88A3-B450651DB963}"/>
                </c:ext>
              </c:extLst>
            </c:dLbl>
            <c:dLbl>
              <c:idx val="10"/>
              <c:layout>
                <c:manualLayout>
                  <c:x val="0.13608333333333333"/>
                  <c:y val="2.2196704578594344E-2"/>
                </c:manualLayout>
              </c:layout>
              <c:tx>
                <c:rich>
                  <a:bodyPr/>
                  <a:lstStyle/>
                  <a:p>
                    <a:fld id="{9BFB1AA2-8F61-46B1-80FB-0DB71A4417CD}" type="VALUE">
                      <a:rPr lang="en-US">
                        <a:solidFill>
                          <a:schemeClr val="bg1"/>
                        </a:solidFill>
                      </a:rPr>
                      <a:pPr/>
                      <a:t>[VALOR]</a:t>
                    </a:fld>
                    <a:endParaRPr lang="pt-BR"/>
                  </a:p>
                </c:rich>
              </c:tx>
              <c:dLblPos val="bestFit"/>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15-BB0E-45C7-88A3-B450651DB963}"/>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'Tabelas Diversas (2)'!$B$20:$B$30</c:f>
              <c:strCache>
                <c:ptCount val="11"/>
                <c:pt idx="0">
                  <c:v>Goiânia</c:v>
                </c:pt>
                <c:pt idx="1">
                  <c:v>Anápolis</c:v>
                </c:pt>
                <c:pt idx="2">
                  <c:v>Aparecida de Goiânia</c:v>
                </c:pt>
                <c:pt idx="3">
                  <c:v>Rio Verde</c:v>
                </c:pt>
                <c:pt idx="4">
                  <c:v>Catalão</c:v>
                </c:pt>
                <c:pt idx="5">
                  <c:v>Bela Vista de Goiás</c:v>
                </c:pt>
                <c:pt idx="6">
                  <c:v>Barro Alto</c:v>
                </c:pt>
                <c:pt idx="7">
                  <c:v>Pires do Rio</c:v>
                </c:pt>
                <c:pt idx="8">
                  <c:v>Corumbaíba</c:v>
                </c:pt>
                <c:pt idx="9">
                  <c:v>Nerópolis</c:v>
                </c:pt>
                <c:pt idx="10">
                  <c:v>Outros municípios</c:v>
                </c:pt>
              </c:strCache>
            </c:strRef>
          </c:cat>
          <c:val>
            <c:numRef>
              <c:f>'Tabelas Diversas (2)'!$D$20:$D$30</c:f>
              <c:numCache>
                <c:formatCode>0.00%</c:formatCode>
                <c:ptCount val="11"/>
                <c:pt idx="0">
                  <c:v>0.17925120947853282</c:v>
                </c:pt>
                <c:pt idx="1">
                  <c:v>0.12562718408582829</c:v>
                </c:pt>
                <c:pt idx="2">
                  <c:v>0.11243000048604572</c:v>
                </c:pt>
                <c:pt idx="3">
                  <c:v>5.840016742757697E-2</c:v>
                </c:pt>
                <c:pt idx="4">
                  <c:v>4.4851070829766325E-2</c:v>
                </c:pt>
                <c:pt idx="5">
                  <c:v>2.4042727116288035E-2</c:v>
                </c:pt>
                <c:pt idx="6">
                  <c:v>1.9627986788081152E-2</c:v>
                </c:pt>
                <c:pt idx="7">
                  <c:v>1.7176782434384846E-2</c:v>
                </c:pt>
                <c:pt idx="8">
                  <c:v>1.5622747280849166E-2</c:v>
                </c:pt>
                <c:pt idx="9">
                  <c:v>1.4672615641361289E-2</c:v>
                </c:pt>
                <c:pt idx="10">
                  <c:v>0.38829750843128541</c:v>
                </c:pt>
              </c:numCache>
            </c:numRef>
          </c:val>
          <c:extLst>
            <c:ext xmlns:c16="http://schemas.microsoft.com/office/drawing/2014/chart" uri="{C3380CC4-5D6E-409C-BE32-E72D297353CC}">
              <c16:uniqueId val="{00000016-BB0E-45C7-88A3-B450651DB963}"/>
            </c:ext>
          </c:extLst>
        </c:ser>
        <c:dLbls>
          <c:dLblPos val="bestFit"/>
          <c:showLegendKey val="0"/>
          <c:showVal val="1"/>
          <c:showCatName val="0"/>
          <c:showSerName val="0"/>
          <c:showPercent val="0"/>
          <c:showBubbleSize val="0"/>
          <c:showLeaderLines val="1"/>
        </c:dLbls>
      </c:pie3DChart>
      <c:spPr>
        <a:no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t-B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pPr>
      <a:endParaRPr lang="pt-BR"/>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'Por Exercício'!$C$2</c:f>
              <c:strCache>
                <c:ptCount val="1"/>
                <c:pt idx="0">
                  <c:v>Empenhada Geral</c:v>
                </c:pt>
              </c:strCache>
            </c:strRef>
          </c:tx>
          <c:spPr>
            <a:solidFill>
              <a:schemeClr val="accent1"/>
            </a:solidFill>
            <a:ln>
              <a:noFill/>
            </a:ln>
            <a:effectLst/>
          </c:spPr>
          <c:invertIfNegative val="0"/>
          <c:cat>
            <c:numRef>
              <c:f>'Por Exercício'!$B$3:$B$7</c:f>
              <c:numCache>
                <c:formatCode>General</c:formatCode>
                <c:ptCount val="5"/>
                <c:pt idx="0">
                  <c:v>2019</c:v>
                </c:pt>
                <c:pt idx="1">
                  <c:v>2020</c:v>
                </c:pt>
                <c:pt idx="2">
                  <c:v>2021</c:v>
                </c:pt>
                <c:pt idx="3">
                  <c:v>2022</c:v>
                </c:pt>
                <c:pt idx="4">
                  <c:v>2023</c:v>
                </c:pt>
              </c:numCache>
            </c:numRef>
          </c:cat>
          <c:val>
            <c:numRef>
              <c:f>'Por Exercício'!$C$3:$C$7</c:f>
              <c:numCache>
                <c:formatCode>_-* #,##0_-;\-* #,##0_-;_-* "-"??_-;_-@_-</c:formatCode>
                <c:ptCount val="5"/>
                <c:pt idx="0">
                  <c:v>29474078173.310001</c:v>
                </c:pt>
                <c:pt idx="1">
                  <c:v>28939396289.040001</c:v>
                </c:pt>
                <c:pt idx="2">
                  <c:v>34039050500.630001</c:v>
                </c:pt>
                <c:pt idx="3">
                  <c:v>38761193279.080002</c:v>
                </c:pt>
                <c:pt idx="4">
                  <c:v>39420594475.730003</c:v>
                </c:pt>
              </c:numCache>
            </c:numRef>
          </c:val>
          <c:extLst>
            <c:ext xmlns:c16="http://schemas.microsoft.com/office/drawing/2014/chart" uri="{C3380CC4-5D6E-409C-BE32-E72D297353CC}">
              <c16:uniqueId val="{00000000-0997-45F1-9E54-CE4259372316}"/>
            </c:ext>
          </c:extLst>
        </c:ser>
        <c:ser>
          <c:idx val="1"/>
          <c:order val="1"/>
          <c:tx>
            <c:strRef>
              <c:f>'Por Exercício'!$D$2</c:f>
              <c:strCache>
                <c:ptCount val="1"/>
                <c:pt idx="0">
                  <c:v>Empenhada Educação</c:v>
                </c:pt>
              </c:strCache>
            </c:strRef>
          </c:tx>
          <c:spPr>
            <a:solidFill>
              <a:schemeClr val="accent2"/>
            </a:solidFill>
            <a:ln>
              <a:noFill/>
            </a:ln>
            <a:effectLst/>
          </c:spPr>
          <c:invertIfNegative val="0"/>
          <c:cat>
            <c:numRef>
              <c:f>'Por Exercício'!$B$3:$B$7</c:f>
              <c:numCache>
                <c:formatCode>General</c:formatCode>
                <c:ptCount val="5"/>
                <c:pt idx="0">
                  <c:v>2019</c:v>
                </c:pt>
                <c:pt idx="1">
                  <c:v>2020</c:v>
                </c:pt>
                <c:pt idx="2">
                  <c:v>2021</c:v>
                </c:pt>
                <c:pt idx="3">
                  <c:v>2022</c:v>
                </c:pt>
                <c:pt idx="4">
                  <c:v>2023</c:v>
                </c:pt>
              </c:numCache>
            </c:numRef>
          </c:cat>
          <c:val>
            <c:numRef>
              <c:f>'Por Exercício'!$D$3:$D$7</c:f>
              <c:numCache>
                <c:formatCode>_-* #,##0_-;\-* #,##0_-;_-* "-"??_-;_-@_-</c:formatCode>
                <c:ptCount val="5"/>
                <c:pt idx="0">
                  <c:v>5844737529.0200005</c:v>
                </c:pt>
                <c:pt idx="1">
                  <c:v>3913734301.7199998</c:v>
                </c:pt>
                <c:pt idx="2">
                  <c:v>5910789560.6000004</c:v>
                </c:pt>
                <c:pt idx="3">
                  <c:v>6213832730.7600002</c:v>
                </c:pt>
                <c:pt idx="4">
                  <c:v>6409857357.670002</c:v>
                </c:pt>
              </c:numCache>
            </c:numRef>
          </c:val>
          <c:extLst>
            <c:ext xmlns:c16="http://schemas.microsoft.com/office/drawing/2014/chart" uri="{C3380CC4-5D6E-409C-BE32-E72D297353CC}">
              <c16:uniqueId val="{00000001-0997-45F1-9E54-CE4259372316}"/>
            </c:ext>
          </c:extLst>
        </c:ser>
        <c:dLbls>
          <c:showLegendKey val="0"/>
          <c:showVal val="0"/>
          <c:showCatName val="0"/>
          <c:showSerName val="0"/>
          <c:showPercent val="0"/>
          <c:showBubbleSize val="0"/>
        </c:dLbls>
        <c:gapWidth val="219"/>
        <c:overlap val="-27"/>
        <c:axId val="300418216"/>
        <c:axId val="300419200"/>
      </c:barChart>
      <c:lineChart>
        <c:grouping val="standard"/>
        <c:varyColors val="0"/>
        <c:ser>
          <c:idx val="2"/>
          <c:order val="2"/>
          <c:tx>
            <c:strRef>
              <c:f>'Por Exercício'!$E$2</c:f>
              <c:strCache>
                <c:ptCount val="1"/>
                <c:pt idx="0">
                  <c:v>AH %</c:v>
                </c:pt>
              </c:strCache>
            </c:strRef>
          </c:tx>
          <c:spPr>
            <a:ln w="28575" cap="rnd">
              <a:noFill/>
              <a:round/>
            </a:ln>
            <a:effectLst/>
          </c:spPr>
          <c:marker>
            <c:symbol val="none"/>
          </c:marker>
          <c:cat>
            <c:numRef>
              <c:f>'Por Exercício'!$B$3:$B$7</c:f>
              <c:numCache>
                <c:formatCode>General</c:formatCode>
                <c:ptCount val="5"/>
                <c:pt idx="0">
                  <c:v>2019</c:v>
                </c:pt>
                <c:pt idx="1">
                  <c:v>2020</c:v>
                </c:pt>
                <c:pt idx="2">
                  <c:v>2021</c:v>
                </c:pt>
                <c:pt idx="3">
                  <c:v>2022</c:v>
                </c:pt>
                <c:pt idx="4">
                  <c:v>2023</c:v>
                </c:pt>
              </c:numCache>
            </c:numRef>
          </c:cat>
          <c:val>
            <c:numRef>
              <c:f>'Por Exercício'!$E$3:$E$7</c:f>
              <c:numCache>
                <c:formatCode>0.00%</c:formatCode>
                <c:ptCount val="5"/>
                <c:pt idx="0">
                  <c:v>0.19830094412630866</c:v>
                </c:pt>
                <c:pt idx="1">
                  <c:v>0.13523897536183985</c:v>
                </c:pt>
                <c:pt idx="2">
                  <c:v>0.17364731018248003</c:v>
                </c:pt>
                <c:pt idx="3">
                  <c:v>0.16031066654786655</c:v>
                </c:pt>
                <c:pt idx="4">
                  <c:v>0.1626017426402929</c:v>
                </c:pt>
              </c:numCache>
            </c:numRef>
          </c:val>
          <c:smooth val="0"/>
          <c:extLst>
            <c:ext xmlns:c16="http://schemas.microsoft.com/office/drawing/2014/chart" uri="{C3380CC4-5D6E-409C-BE32-E72D297353CC}">
              <c16:uniqueId val="{00000002-0997-45F1-9E54-CE4259372316}"/>
            </c:ext>
          </c:extLst>
        </c:ser>
        <c:dLbls>
          <c:showLegendKey val="0"/>
          <c:showVal val="0"/>
          <c:showCatName val="0"/>
          <c:showSerName val="0"/>
          <c:showPercent val="0"/>
          <c:showBubbleSize val="0"/>
        </c:dLbls>
        <c:marker val="1"/>
        <c:smooth val="0"/>
        <c:axId val="300421168"/>
        <c:axId val="300415920"/>
      </c:lineChart>
      <c:catAx>
        <c:axId val="3004182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crossAx val="300419200"/>
        <c:crosses val="autoZero"/>
        <c:auto val="1"/>
        <c:lblAlgn val="ctr"/>
        <c:lblOffset val="100"/>
        <c:noMultiLvlLbl val="0"/>
      </c:catAx>
      <c:valAx>
        <c:axId val="300419200"/>
        <c:scaling>
          <c:orientation val="minMax"/>
        </c:scaling>
        <c:delete val="0"/>
        <c:axPos val="l"/>
        <c:majorGridlines>
          <c:spPr>
            <a:ln w="9525" cap="flat" cmpd="sng" algn="ctr">
              <a:solidFill>
                <a:schemeClr val="tx1">
                  <a:lumMod val="15000"/>
                  <a:lumOff val="85000"/>
                </a:schemeClr>
              </a:solidFill>
              <a:round/>
            </a:ln>
            <a:effectLst/>
          </c:spPr>
        </c:majorGridlines>
        <c:numFmt formatCode="_-* #,##0_-;\-*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crossAx val="300418216"/>
        <c:crosses val="autoZero"/>
        <c:crossBetween val="between"/>
      </c:valAx>
      <c:valAx>
        <c:axId val="300415920"/>
        <c:scaling>
          <c:orientation val="minMax"/>
        </c:scaling>
        <c:delete val="1"/>
        <c:axPos val="r"/>
        <c:numFmt formatCode="0.00%" sourceLinked="1"/>
        <c:majorTickMark val="none"/>
        <c:minorTickMark val="none"/>
        <c:tickLblPos val="nextTo"/>
        <c:crossAx val="300421168"/>
        <c:crosses val="max"/>
        <c:crossBetween val="between"/>
      </c:valAx>
      <c:catAx>
        <c:axId val="300421168"/>
        <c:scaling>
          <c:orientation val="minMax"/>
        </c:scaling>
        <c:delete val="1"/>
        <c:axPos val="b"/>
        <c:numFmt formatCode="General" sourceLinked="1"/>
        <c:majorTickMark val="none"/>
        <c:minorTickMark val="none"/>
        <c:tickLblPos val="nextTo"/>
        <c:crossAx val="300415920"/>
        <c:crosses val="autoZero"/>
        <c:auto val="1"/>
        <c:lblAlgn val="ctr"/>
        <c:lblOffset val="100"/>
        <c:noMultiLvlLbl val="0"/>
      </c:cat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pt-BR"/>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pPr>
      <a:endParaRPr lang="pt-BR"/>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3638536397500251"/>
          <c:y val="3.6107008042015429E-2"/>
          <c:w val="0.74717402772249031"/>
          <c:h val="0.68555215679280856"/>
        </c:manualLayout>
      </c:layout>
      <c:barChart>
        <c:barDir val="col"/>
        <c:grouping val="clustered"/>
        <c:varyColors val="0"/>
        <c:ser>
          <c:idx val="0"/>
          <c:order val="0"/>
          <c:tx>
            <c:strRef>
              <c:f>'Por Ano'!$C$2</c:f>
              <c:strCache>
                <c:ptCount val="1"/>
                <c:pt idx="0">
                  <c:v>Empenhada Geral</c:v>
                </c:pt>
              </c:strCache>
            </c:strRef>
          </c:tx>
          <c:spPr>
            <a:solidFill>
              <a:schemeClr val="accent1"/>
            </a:solidFill>
            <a:ln>
              <a:noFill/>
            </a:ln>
            <a:effectLst/>
          </c:spPr>
          <c:invertIfNegative val="0"/>
          <c:cat>
            <c:numRef>
              <c:f>'Por Ano'!$B$3:$B$11</c:f>
              <c:numCache>
                <c:formatCode>General</c:formatCode>
                <c:ptCount val="5"/>
                <c:pt idx="0">
                  <c:v>2019</c:v>
                </c:pt>
                <c:pt idx="1">
                  <c:v>2020</c:v>
                </c:pt>
                <c:pt idx="2">
                  <c:v>2021</c:v>
                </c:pt>
                <c:pt idx="3">
                  <c:v>2022</c:v>
                </c:pt>
                <c:pt idx="4">
                  <c:v>2023</c:v>
                </c:pt>
              </c:numCache>
            </c:numRef>
          </c:cat>
          <c:val>
            <c:numRef>
              <c:f>'Por Ano'!$C$3:$C$11</c:f>
              <c:numCache>
                <c:formatCode>_-* #,##0_-;\-* #,##0_-;_-* "-"??_-;_-@_-</c:formatCode>
                <c:ptCount val="5"/>
                <c:pt idx="0">
                  <c:v>29474078173.310001</c:v>
                </c:pt>
                <c:pt idx="1">
                  <c:v>28939396289.040001</c:v>
                </c:pt>
                <c:pt idx="2">
                  <c:v>34039050500.630001</c:v>
                </c:pt>
                <c:pt idx="3">
                  <c:v>38761193279.080002</c:v>
                </c:pt>
                <c:pt idx="4">
                  <c:v>39420594475.730003</c:v>
                </c:pt>
              </c:numCache>
            </c:numRef>
          </c:val>
          <c:extLst>
            <c:ext xmlns:c16="http://schemas.microsoft.com/office/drawing/2014/chart" uri="{C3380CC4-5D6E-409C-BE32-E72D297353CC}">
              <c16:uniqueId val="{00000000-356D-408A-B866-73EBD2089732}"/>
            </c:ext>
          </c:extLst>
        </c:ser>
        <c:dLbls>
          <c:showLegendKey val="0"/>
          <c:showVal val="0"/>
          <c:showCatName val="0"/>
          <c:showSerName val="0"/>
          <c:showPercent val="0"/>
          <c:showBubbleSize val="0"/>
        </c:dLbls>
        <c:gapWidth val="219"/>
        <c:overlap val="-27"/>
        <c:axId val="352457752"/>
        <c:axId val="352457096"/>
      </c:barChart>
      <c:lineChart>
        <c:grouping val="standard"/>
        <c:varyColors val="0"/>
        <c:ser>
          <c:idx val="1"/>
          <c:order val="1"/>
          <c:tx>
            <c:strRef>
              <c:f>'Por Ano'!$D$2</c:f>
              <c:strCache>
                <c:ptCount val="1"/>
                <c:pt idx="0">
                  <c:v>Empenhada Saúde</c:v>
                </c:pt>
              </c:strCache>
            </c:strRef>
          </c:tx>
          <c:spPr>
            <a:ln w="28575" cap="rnd">
              <a:solidFill>
                <a:schemeClr val="accent2"/>
              </a:solidFill>
              <a:round/>
            </a:ln>
            <a:effectLst/>
          </c:spPr>
          <c:marker>
            <c:symbol val="none"/>
          </c:marker>
          <c:val>
            <c:numRef>
              <c:f>'Por Ano'!$D$3:$D$11</c:f>
              <c:numCache>
                <c:formatCode>_-* #,##0_-;\-* #,##0_-;_-* "-"??_-;_-@_-</c:formatCode>
                <c:ptCount val="5"/>
                <c:pt idx="0">
                  <c:v>4474343276.9700003</c:v>
                </c:pt>
                <c:pt idx="1">
                  <c:v>4321715942.9399996</c:v>
                </c:pt>
                <c:pt idx="2">
                  <c:v>5383831657.3800001</c:v>
                </c:pt>
                <c:pt idx="3">
                  <c:v>5640755752.9799995</c:v>
                </c:pt>
                <c:pt idx="4">
                  <c:v>5015109547.1200008</c:v>
                </c:pt>
              </c:numCache>
            </c:numRef>
          </c:val>
          <c:smooth val="0"/>
          <c:extLst>
            <c:ext xmlns:c16="http://schemas.microsoft.com/office/drawing/2014/chart" uri="{C3380CC4-5D6E-409C-BE32-E72D297353CC}">
              <c16:uniqueId val="{00000001-356D-408A-B866-73EBD2089732}"/>
            </c:ext>
          </c:extLst>
        </c:ser>
        <c:ser>
          <c:idx val="2"/>
          <c:order val="2"/>
          <c:tx>
            <c:strRef>
              <c:f>'Por Ano'!$E$2</c:f>
              <c:strCache>
                <c:ptCount val="1"/>
                <c:pt idx="0">
                  <c:v>Participação</c:v>
                </c:pt>
              </c:strCache>
            </c:strRef>
          </c:tx>
          <c:spPr>
            <a:ln w="28575" cap="rnd">
              <a:solidFill>
                <a:schemeClr val="bg1"/>
              </a:solidFill>
              <a:round/>
            </a:ln>
            <a:effectLst/>
          </c:spPr>
          <c:marker>
            <c:symbol val="none"/>
          </c:marker>
          <c:val>
            <c:numRef>
              <c:f>'Por Ano'!$E$3:$E$11</c:f>
              <c:numCache>
                <c:formatCode>0.00%</c:formatCode>
                <c:ptCount val="5"/>
                <c:pt idx="0">
                  <c:v>0.15180604633876907</c:v>
                </c:pt>
                <c:pt idx="1">
                  <c:v>0.14933676914942176</c:v>
                </c:pt>
                <c:pt idx="2">
                  <c:v>0.15816632891332721</c:v>
                </c:pt>
                <c:pt idx="3">
                  <c:v>0.14552585397375783</c:v>
                </c:pt>
                <c:pt idx="4">
                  <c:v>0.12722054585472178</c:v>
                </c:pt>
              </c:numCache>
            </c:numRef>
          </c:val>
          <c:smooth val="0"/>
          <c:extLst>
            <c:ext xmlns:c16="http://schemas.microsoft.com/office/drawing/2014/chart" uri="{C3380CC4-5D6E-409C-BE32-E72D297353CC}">
              <c16:uniqueId val="{00000002-356D-408A-B866-73EBD2089732}"/>
            </c:ext>
          </c:extLst>
        </c:ser>
        <c:dLbls>
          <c:showLegendKey val="0"/>
          <c:showVal val="0"/>
          <c:showCatName val="0"/>
          <c:showSerName val="0"/>
          <c:showPercent val="0"/>
          <c:showBubbleSize val="0"/>
        </c:dLbls>
        <c:marker val="1"/>
        <c:smooth val="0"/>
        <c:axId val="352457752"/>
        <c:axId val="352457096"/>
      </c:lineChart>
      <c:valAx>
        <c:axId val="352457096"/>
        <c:scaling>
          <c:orientation val="minMax"/>
        </c:scaling>
        <c:delete val="0"/>
        <c:axPos val="l"/>
        <c:numFmt formatCode="_-* #,##0_-;\-* #,##0_-;_-* &quot;-&quot;??_-;_-@_-"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crossAx val="352457752"/>
        <c:crosses val="autoZero"/>
        <c:crossBetween val="between"/>
      </c:valAx>
      <c:catAx>
        <c:axId val="352457752"/>
        <c:scaling>
          <c:orientation val="minMax"/>
        </c:scaling>
        <c:delete val="1"/>
        <c:axPos val="b"/>
        <c:numFmt formatCode="General" sourceLinked="1"/>
        <c:majorTickMark val="out"/>
        <c:minorTickMark val="none"/>
        <c:tickLblPos val="nextTo"/>
        <c:crossAx val="352457096"/>
        <c:crosses val="autoZero"/>
        <c:auto val="1"/>
        <c:lblAlgn val="ctr"/>
        <c:lblOffset val="100"/>
        <c:noMultiLvlLbl val="0"/>
      </c:cat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dTable>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pPr>
      <a:endParaRPr lang="pt-BR"/>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'Por Ano'!$B$3</c:f>
              <c:strCache>
                <c:ptCount val="1"/>
                <c:pt idx="0">
                  <c:v>2019</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t-BR"/>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'Por Ano'!$C$2</c:f>
              <c:strCache>
                <c:ptCount val="1"/>
                <c:pt idx="0">
                  <c:v>Despesa Empenhada</c:v>
                </c:pt>
              </c:strCache>
            </c:strRef>
          </c:cat>
          <c:val>
            <c:numRef>
              <c:f>'Por Ano'!$C$3</c:f>
              <c:numCache>
                <c:formatCode>"R$"\ #,##0.00</c:formatCode>
                <c:ptCount val="1"/>
                <c:pt idx="0">
                  <c:v>1.28</c:v>
                </c:pt>
              </c:numCache>
            </c:numRef>
          </c:val>
          <c:extLst>
            <c:ext xmlns:c16="http://schemas.microsoft.com/office/drawing/2014/chart" uri="{C3380CC4-5D6E-409C-BE32-E72D297353CC}">
              <c16:uniqueId val="{00000000-4715-4E53-A6A3-668FF16D8544}"/>
            </c:ext>
          </c:extLst>
        </c:ser>
        <c:ser>
          <c:idx val="1"/>
          <c:order val="1"/>
          <c:tx>
            <c:strRef>
              <c:f>'Por Ano'!$B$4</c:f>
              <c:strCache>
                <c:ptCount val="1"/>
                <c:pt idx="0">
                  <c:v>2020</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t-BR"/>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'Por Ano'!$C$2</c:f>
              <c:strCache>
                <c:ptCount val="1"/>
                <c:pt idx="0">
                  <c:v>Despesa Empenhada</c:v>
                </c:pt>
              </c:strCache>
            </c:strRef>
          </c:cat>
          <c:val>
            <c:numRef>
              <c:f>'Por Ano'!$C$4</c:f>
              <c:numCache>
                <c:formatCode>"R$"\ #,##0.00</c:formatCode>
                <c:ptCount val="1"/>
                <c:pt idx="0">
                  <c:v>1.51</c:v>
                </c:pt>
              </c:numCache>
            </c:numRef>
          </c:val>
          <c:extLst>
            <c:ext xmlns:c16="http://schemas.microsoft.com/office/drawing/2014/chart" uri="{C3380CC4-5D6E-409C-BE32-E72D297353CC}">
              <c16:uniqueId val="{00000001-4715-4E53-A6A3-668FF16D8544}"/>
            </c:ext>
          </c:extLst>
        </c:ser>
        <c:ser>
          <c:idx val="2"/>
          <c:order val="2"/>
          <c:tx>
            <c:strRef>
              <c:f>'Por Ano'!$B$5</c:f>
              <c:strCache>
                <c:ptCount val="1"/>
                <c:pt idx="0">
                  <c:v>2021</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t-BR"/>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'Por Ano'!$C$2</c:f>
              <c:strCache>
                <c:ptCount val="1"/>
                <c:pt idx="0">
                  <c:v>Despesa Empenhada</c:v>
                </c:pt>
              </c:strCache>
            </c:strRef>
          </c:cat>
          <c:val>
            <c:numRef>
              <c:f>'Por Ano'!$C$5</c:f>
              <c:numCache>
                <c:formatCode>"R$"\ #,##0.00</c:formatCode>
                <c:ptCount val="1"/>
                <c:pt idx="0">
                  <c:v>2.2999999999999998</c:v>
                </c:pt>
              </c:numCache>
            </c:numRef>
          </c:val>
          <c:extLst>
            <c:ext xmlns:c16="http://schemas.microsoft.com/office/drawing/2014/chart" uri="{C3380CC4-5D6E-409C-BE32-E72D297353CC}">
              <c16:uniqueId val="{00000002-4715-4E53-A6A3-668FF16D8544}"/>
            </c:ext>
          </c:extLst>
        </c:ser>
        <c:ser>
          <c:idx val="3"/>
          <c:order val="3"/>
          <c:tx>
            <c:strRef>
              <c:f>'Por Ano'!$B$6</c:f>
              <c:strCache>
                <c:ptCount val="1"/>
                <c:pt idx="0">
                  <c:v>2022</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t-BR"/>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'Por Ano'!$C$2</c:f>
              <c:strCache>
                <c:ptCount val="1"/>
                <c:pt idx="0">
                  <c:v>Despesa Empenhada</c:v>
                </c:pt>
              </c:strCache>
            </c:strRef>
          </c:cat>
          <c:val>
            <c:numRef>
              <c:f>'Por Ano'!$C$6</c:f>
              <c:numCache>
                <c:formatCode>"R$"\ #,##0.00</c:formatCode>
                <c:ptCount val="1"/>
                <c:pt idx="0">
                  <c:v>2.4500000000000002</c:v>
                </c:pt>
              </c:numCache>
            </c:numRef>
          </c:val>
          <c:extLst>
            <c:ext xmlns:c16="http://schemas.microsoft.com/office/drawing/2014/chart" uri="{C3380CC4-5D6E-409C-BE32-E72D297353CC}">
              <c16:uniqueId val="{00000003-4715-4E53-A6A3-668FF16D8544}"/>
            </c:ext>
          </c:extLst>
        </c:ser>
        <c:ser>
          <c:idx val="4"/>
          <c:order val="4"/>
          <c:tx>
            <c:strRef>
              <c:f>'Por Ano'!$B$7</c:f>
              <c:strCache>
                <c:ptCount val="1"/>
                <c:pt idx="0">
                  <c:v>2023</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t-BR"/>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'Por Ano'!$C$2</c:f>
              <c:strCache>
                <c:ptCount val="1"/>
                <c:pt idx="0">
                  <c:v>Despesa Empenhada</c:v>
                </c:pt>
              </c:strCache>
            </c:strRef>
          </c:cat>
          <c:val>
            <c:numRef>
              <c:f>'Por Ano'!$C$7</c:f>
              <c:numCache>
                <c:formatCode>"R$"\ #,##0.00</c:formatCode>
                <c:ptCount val="1"/>
                <c:pt idx="0">
                  <c:v>2.87</c:v>
                </c:pt>
              </c:numCache>
            </c:numRef>
          </c:val>
          <c:extLst>
            <c:ext xmlns:c16="http://schemas.microsoft.com/office/drawing/2014/chart" uri="{C3380CC4-5D6E-409C-BE32-E72D297353CC}">
              <c16:uniqueId val="{00000004-4715-4E53-A6A3-668FF16D8544}"/>
            </c:ext>
          </c:extLst>
        </c:ser>
        <c:dLbls>
          <c:dLblPos val="outEnd"/>
          <c:showLegendKey val="0"/>
          <c:showVal val="1"/>
          <c:showCatName val="0"/>
          <c:showSerName val="0"/>
          <c:showPercent val="0"/>
          <c:showBubbleSize val="0"/>
        </c:dLbls>
        <c:gapWidth val="219"/>
        <c:overlap val="-27"/>
        <c:axId val="578989000"/>
        <c:axId val="578987360"/>
      </c:barChart>
      <c:catAx>
        <c:axId val="578989000"/>
        <c:scaling>
          <c:orientation val="minMax"/>
        </c:scaling>
        <c:delete val="1"/>
        <c:axPos val="b"/>
        <c:numFmt formatCode="General" sourceLinked="1"/>
        <c:majorTickMark val="none"/>
        <c:minorTickMark val="none"/>
        <c:tickLblPos val="nextTo"/>
        <c:crossAx val="578987360"/>
        <c:crosses val="autoZero"/>
        <c:auto val="1"/>
        <c:lblAlgn val="ctr"/>
        <c:lblOffset val="100"/>
        <c:noMultiLvlLbl val="0"/>
      </c:catAx>
      <c:valAx>
        <c:axId val="57898736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pt-BR" b="1"/>
                  <a:t>Em R$ bilhão</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title>
        <c:numFmt formatCode="&quot;R$&quot;\ #,##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crossAx val="578989000"/>
        <c:crosses val="autoZero"/>
        <c:crossBetween val="between"/>
      </c:valAx>
      <c:spPr>
        <a:noFill/>
        <a:ln>
          <a:noFill/>
        </a:ln>
        <a:effectLst/>
      </c:spPr>
    </c:plotArea>
    <c:legend>
      <c:legendPos val="b"/>
      <c:layout>
        <c:manualLayout>
          <c:xMode val="edge"/>
          <c:yMode val="edge"/>
          <c:x val="0.20172331583552053"/>
          <c:y val="0.88946704578594338"/>
          <c:w val="0.7021089238845144"/>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legend>
    <c:plotVisOnly val="1"/>
    <c:dispBlanksAs val="gap"/>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latin typeface="Arial" panose="020B0604020202020204" pitchFamily="34" charset="0"/>
          <a:cs typeface="Arial" panose="020B0604020202020204" pitchFamily="34" charset="0"/>
        </a:defRPr>
      </a:pPr>
      <a:endParaRPr lang="pt-BR"/>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26"/>
    </mc:Choice>
    <mc:Fallback>
      <c:style val="26"/>
    </mc:Fallback>
  </mc:AlternateContent>
  <c:chart>
    <c:autoTitleDeleted val="1"/>
    <c:plotArea>
      <c:layout>
        <c:manualLayout>
          <c:layoutTarget val="inner"/>
          <c:xMode val="edge"/>
          <c:yMode val="edge"/>
          <c:x val="0.11919313456604441"/>
          <c:y val="4.9516525838969865E-2"/>
          <c:w val="0.80256348133998046"/>
          <c:h val="0.84124421784091608"/>
        </c:manualLayout>
      </c:layout>
      <c:barChart>
        <c:barDir val="col"/>
        <c:grouping val="clustered"/>
        <c:varyColors val="0"/>
        <c:ser>
          <c:idx val="0"/>
          <c:order val="0"/>
          <c:tx>
            <c:strRef>
              <c:f>'Estoque da DA'!$C$3</c:f>
              <c:strCache>
                <c:ptCount val="1"/>
                <c:pt idx="0">
                  <c:v>ESTOQUE</c:v>
                </c:pt>
              </c:strCache>
            </c:strRef>
          </c:tx>
          <c:invertIfNegative val="0"/>
          <c:dPt>
            <c:idx val="0"/>
            <c:invertIfNegative val="0"/>
            <c:bubble3D val="0"/>
            <c:spPr>
              <a:solidFill>
                <a:schemeClr val="accent1"/>
              </a:solidFill>
            </c:spPr>
            <c:extLst>
              <c:ext xmlns:c16="http://schemas.microsoft.com/office/drawing/2014/chart" uri="{C3380CC4-5D6E-409C-BE32-E72D297353CC}">
                <c16:uniqueId val="{00000001-5B39-456C-883F-8711BF02EC48}"/>
              </c:ext>
            </c:extLst>
          </c:dPt>
          <c:dPt>
            <c:idx val="1"/>
            <c:invertIfNegative val="0"/>
            <c:bubble3D val="0"/>
            <c:spPr>
              <a:solidFill>
                <a:schemeClr val="accent1"/>
              </a:solidFill>
            </c:spPr>
            <c:extLst>
              <c:ext xmlns:c16="http://schemas.microsoft.com/office/drawing/2014/chart" uri="{C3380CC4-5D6E-409C-BE32-E72D297353CC}">
                <c16:uniqueId val="{00000003-5B39-456C-883F-8711BF02EC48}"/>
              </c:ext>
            </c:extLst>
          </c:dPt>
          <c:dPt>
            <c:idx val="2"/>
            <c:invertIfNegative val="0"/>
            <c:bubble3D val="0"/>
            <c:spPr>
              <a:solidFill>
                <a:schemeClr val="accent1"/>
              </a:solidFill>
            </c:spPr>
            <c:extLst>
              <c:ext xmlns:c16="http://schemas.microsoft.com/office/drawing/2014/chart" uri="{C3380CC4-5D6E-409C-BE32-E72D297353CC}">
                <c16:uniqueId val="{00000005-5B39-456C-883F-8711BF02EC48}"/>
              </c:ext>
            </c:extLst>
          </c:dPt>
          <c:dPt>
            <c:idx val="3"/>
            <c:invertIfNegative val="0"/>
            <c:bubble3D val="0"/>
            <c:spPr>
              <a:solidFill>
                <a:schemeClr val="accent1"/>
              </a:solidFill>
            </c:spPr>
            <c:extLst>
              <c:ext xmlns:c16="http://schemas.microsoft.com/office/drawing/2014/chart" uri="{C3380CC4-5D6E-409C-BE32-E72D297353CC}">
                <c16:uniqueId val="{00000007-5B39-456C-883F-8711BF02EC48}"/>
              </c:ext>
            </c:extLst>
          </c:dPt>
          <c:dPt>
            <c:idx val="4"/>
            <c:invertIfNegative val="0"/>
            <c:bubble3D val="0"/>
            <c:spPr>
              <a:solidFill>
                <a:schemeClr val="accent1"/>
              </a:solidFill>
            </c:spPr>
            <c:extLst>
              <c:ext xmlns:c16="http://schemas.microsoft.com/office/drawing/2014/chart" uri="{C3380CC4-5D6E-409C-BE32-E72D297353CC}">
                <c16:uniqueId val="{00000009-5B39-456C-883F-8711BF02EC48}"/>
              </c:ext>
            </c:extLst>
          </c:dPt>
          <c:dLbls>
            <c:dLbl>
              <c:idx val="0"/>
              <c:layout>
                <c:manualLayout>
                  <c:x val="-2.2717622735500358E-17"/>
                  <c:y val="0.12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B39-456C-883F-8711BF02EC48}"/>
                </c:ext>
              </c:extLst>
            </c:dLbl>
            <c:dLbl>
              <c:idx val="1"/>
              <c:layout>
                <c:manualLayout>
                  <c:x val="4.5435245471000717E-17"/>
                  <c:y val="0.1157407407407407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B39-456C-883F-8711BF02EC48}"/>
                </c:ext>
              </c:extLst>
            </c:dLbl>
            <c:dLbl>
              <c:idx val="2"/>
              <c:layout>
                <c:manualLayout>
                  <c:x val="-6.2517038525315571E-17"/>
                  <c:y val="0.1140955074755007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B39-456C-883F-8711BF02EC48}"/>
                </c:ext>
              </c:extLst>
            </c:dLbl>
            <c:dLbl>
              <c:idx val="3"/>
              <c:layout>
                <c:manualLayout>
                  <c:x val="1.7050298380220403E-3"/>
                  <c:y val="8.467239536343115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B39-456C-883F-8711BF02EC48}"/>
                </c:ext>
              </c:extLst>
            </c:dLbl>
            <c:dLbl>
              <c:idx val="4"/>
              <c:layout>
                <c:manualLayout>
                  <c:x val="0"/>
                  <c:y val="8.174050345265847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B39-456C-883F-8711BF02EC48}"/>
                </c:ext>
              </c:extLst>
            </c:dLbl>
            <c:dLbl>
              <c:idx val="5"/>
              <c:layout>
                <c:manualLayout>
                  <c:x val="0"/>
                  <c:y val="0.107816711590296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5B39-456C-883F-8711BF02EC48}"/>
                </c:ext>
              </c:extLst>
            </c:dLbl>
            <c:spPr>
              <a:noFill/>
              <a:ln>
                <a:noFill/>
              </a:ln>
              <a:effectLst/>
            </c:spPr>
            <c:txPr>
              <a:bodyPr/>
              <a:lstStyle/>
              <a:p>
                <a:pPr>
                  <a:defRPr sz="1000" b="1" i="0" baseline="0">
                    <a:solidFill>
                      <a:srgbClr val="FFFF00"/>
                    </a:solidFill>
                    <a:latin typeface="Arial" panose="020B0604020202020204" pitchFamily="34" charset="0"/>
                    <a:cs typeface="Arial" panose="020B0604020202020204" pitchFamily="34" charset="0"/>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'Estoque da DA'!$B$5:$B$9</c:f>
              <c:numCache>
                <c:formatCode>General</c:formatCode>
                <c:ptCount val="5"/>
                <c:pt idx="0">
                  <c:v>2019</c:v>
                </c:pt>
                <c:pt idx="1">
                  <c:v>2020</c:v>
                </c:pt>
                <c:pt idx="2">
                  <c:v>2021</c:v>
                </c:pt>
                <c:pt idx="3">
                  <c:v>2022</c:v>
                </c:pt>
                <c:pt idx="4">
                  <c:v>2023</c:v>
                </c:pt>
              </c:numCache>
            </c:numRef>
          </c:cat>
          <c:val>
            <c:numRef>
              <c:f>'Estoque da DA'!$C$5:$C$9</c:f>
              <c:numCache>
                <c:formatCode>#,##0.0_);[Red]\(#,##0.0\)</c:formatCode>
                <c:ptCount val="5"/>
                <c:pt idx="0">
                  <c:v>46.6</c:v>
                </c:pt>
                <c:pt idx="1">
                  <c:v>54.9</c:v>
                </c:pt>
                <c:pt idx="2">
                  <c:v>59</c:v>
                </c:pt>
                <c:pt idx="3">
                  <c:v>67.3</c:v>
                </c:pt>
                <c:pt idx="4">
                  <c:v>60.1</c:v>
                </c:pt>
              </c:numCache>
            </c:numRef>
          </c:val>
          <c:extLst>
            <c:ext xmlns:c16="http://schemas.microsoft.com/office/drawing/2014/chart" uri="{C3380CC4-5D6E-409C-BE32-E72D297353CC}">
              <c16:uniqueId val="{0000000B-5B39-456C-883F-8711BF02EC48}"/>
            </c:ext>
          </c:extLst>
        </c:ser>
        <c:dLbls>
          <c:showLegendKey val="0"/>
          <c:showVal val="0"/>
          <c:showCatName val="0"/>
          <c:showSerName val="0"/>
          <c:showPercent val="0"/>
          <c:showBubbleSize val="0"/>
        </c:dLbls>
        <c:gapWidth val="150"/>
        <c:axId val="48895872"/>
        <c:axId val="48897408"/>
      </c:barChart>
      <c:catAx>
        <c:axId val="48895872"/>
        <c:scaling>
          <c:orientation val="minMax"/>
        </c:scaling>
        <c:delete val="0"/>
        <c:axPos val="b"/>
        <c:numFmt formatCode="General" sourceLinked="1"/>
        <c:majorTickMark val="out"/>
        <c:minorTickMark val="none"/>
        <c:tickLblPos val="nextTo"/>
        <c:txPr>
          <a:bodyPr/>
          <a:lstStyle/>
          <a:p>
            <a:pPr>
              <a:defRPr>
                <a:latin typeface="Arial" panose="020B0604020202020204" pitchFamily="34" charset="0"/>
                <a:cs typeface="Arial" panose="020B0604020202020204" pitchFamily="34" charset="0"/>
              </a:defRPr>
            </a:pPr>
            <a:endParaRPr lang="pt-BR"/>
          </a:p>
        </c:txPr>
        <c:crossAx val="48897408"/>
        <c:crosses val="autoZero"/>
        <c:auto val="1"/>
        <c:lblAlgn val="ctr"/>
        <c:lblOffset val="100"/>
        <c:noMultiLvlLbl val="0"/>
      </c:catAx>
      <c:valAx>
        <c:axId val="48897408"/>
        <c:scaling>
          <c:orientation val="minMax"/>
          <c:max val="80"/>
          <c:min val="0"/>
        </c:scaling>
        <c:delete val="0"/>
        <c:axPos val="l"/>
        <c:majorGridlines/>
        <c:title>
          <c:tx>
            <c:rich>
              <a:bodyPr rot="-5400000" vert="horz"/>
              <a:lstStyle/>
              <a:p>
                <a:pPr>
                  <a:defRPr sz="1000">
                    <a:latin typeface="Arial" panose="020B0604020202020204" pitchFamily="34" charset="0"/>
                    <a:cs typeface="Arial" panose="020B0604020202020204" pitchFamily="34" charset="0"/>
                  </a:defRPr>
                </a:pPr>
                <a:r>
                  <a:rPr lang="pt-BR" sz="1000">
                    <a:solidFill>
                      <a:sysClr val="windowText" lastClr="000000"/>
                    </a:solidFill>
                    <a:latin typeface="Arial" panose="020B0604020202020204" pitchFamily="34" charset="0"/>
                    <a:cs typeface="Arial" panose="020B0604020202020204" pitchFamily="34" charset="0"/>
                  </a:rPr>
                  <a:t>Estoque - R$ Bilhões</a:t>
                </a:r>
              </a:p>
            </c:rich>
          </c:tx>
          <c:layout>
            <c:manualLayout>
              <c:xMode val="edge"/>
              <c:yMode val="edge"/>
              <c:x val="2.0350644371700727E-2"/>
              <c:y val="0.30864963028446507"/>
            </c:manualLayout>
          </c:layout>
          <c:overlay val="0"/>
          <c:spPr>
            <a:solidFill>
              <a:schemeClr val="bg1"/>
            </a:solidFill>
            <a:ln>
              <a:solidFill>
                <a:schemeClr val="bg1"/>
              </a:solidFill>
            </a:ln>
          </c:spPr>
        </c:title>
        <c:numFmt formatCode="#,##0.0" sourceLinked="0"/>
        <c:majorTickMark val="out"/>
        <c:minorTickMark val="none"/>
        <c:tickLblPos val="nextTo"/>
        <c:txPr>
          <a:bodyPr/>
          <a:lstStyle/>
          <a:p>
            <a:pPr>
              <a:defRPr baseline="0">
                <a:latin typeface="Arial" panose="020B0604020202020204" pitchFamily="34" charset="0"/>
                <a:cs typeface="Arial" panose="020B0604020202020204" pitchFamily="34" charset="0"/>
              </a:defRPr>
            </a:pPr>
            <a:endParaRPr lang="pt-BR"/>
          </a:p>
        </c:txPr>
        <c:crossAx val="48895872"/>
        <c:crosses val="autoZero"/>
        <c:crossBetween val="between"/>
        <c:majorUnit val="20"/>
        <c:minorUnit val="1"/>
      </c:valAx>
    </c:plotArea>
    <c:plotVisOnly val="1"/>
    <c:dispBlanksAs val="gap"/>
    <c:showDLblsOverMax val="0"/>
  </c:chart>
  <c:spPr>
    <a:effectLst>
      <a:outerShdw blurRad="50800" dist="127000" dir="2700000" algn="tl" rotWithShape="0">
        <a:prstClr val="black">
          <a:alpha val="40000"/>
        </a:prstClr>
      </a:outerShdw>
    </a:effectLst>
  </c:spPr>
  <c:externalData r:id="rId1">
    <c:autoUpdate val="0"/>
  </c:externalData>
  <c:userShapes r:id="rId2"/>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cked"/>
        <c:varyColors val="0"/>
        <c:ser>
          <c:idx val="0"/>
          <c:order val="0"/>
          <c:tx>
            <c:v>% Recuperado</c:v>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0"/>
              <c:layout>
                <c:manualLayout>
                  <c:x val="-4.472843450479231E-2"/>
                  <c:y val="-2.952029520295211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1B4-42D4-BE8D-D51B1440D8B6}"/>
                </c:ext>
              </c:extLst>
            </c:dLbl>
            <c:dLbl>
              <c:idx val="1"/>
              <c:layout>
                <c:manualLayout>
                  <c:x val="-4.6858359957401494E-2"/>
                  <c:y val="-3.93603936039360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1B4-42D4-BE8D-D51B1440D8B6}"/>
                </c:ext>
              </c:extLst>
            </c:dLbl>
            <c:dLbl>
              <c:idx val="2"/>
              <c:layout>
                <c:manualLayout>
                  <c:x val="-4.898828541001065E-2"/>
                  <c:y val="-4.42804428044280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1B4-42D4-BE8D-D51B1440D8B6}"/>
                </c:ext>
              </c:extLst>
            </c:dLbl>
            <c:dLbl>
              <c:idx val="3"/>
              <c:layout>
                <c:manualLayout>
                  <c:x val="-4.898828541001065E-2"/>
                  <c:y val="-4.42804428044280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1B4-42D4-BE8D-D51B1440D8B6}"/>
                </c:ext>
              </c:extLst>
            </c:dLbl>
            <c:dLbl>
              <c:idx val="4"/>
              <c:layout>
                <c:manualLayout>
                  <c:x val="-4.685835995740157E-2"/>
                  <c:y val="-4.92004920049201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1B4-42D4-BE8D-D51B1440D8B6}"/>
                </c:ext>
              </c:extLst>
            </c:dLbl>
            <c:dLbl>
              <c:idx val="5"/>
              <c:layout>
                <c:manualLayout>
                  <c:x val="-4.685835995740157E-2"/>
                  <c:y val="-4.92004920049201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1B4-42D4-BE8D-D51B1440D8B6}"/>
                </c:ext>
              </c:extLst>
            </c:dLbl>
            <c:spPr>
              <a:noFill/>
              <a:ln>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'Estoque x Arrecadação'!$B$5:$B$10</c:f>
              <c:numCache>
                <c:formatCode>General</c:formatCode>
                <c:ptCount val="6"/>
                <c:pt idx="0">
                  <c:v>2018</c:v>
                </c:pt>
                <c:pt idx="1">
                  <c:v>2019</c:v>
                </c:pt>
                <c:pt idx="2">
                  <c:v>2020</c:v>
                </c:pt>
                <c:pt idx="3">
                  <c:v>2021</c:v>
                </c:pt>
                <c:pt idx="4">
                  <c:v>2022</c:v>
                </c:pt>
                <c:pt idx="5">
                  <c:v>2023</c:v>
                </c:pt>
              </c:numCache>
            </c:numRef>
          </c:cat>
          <c:val>
            <c:numRef>
              <c:f>'Estoque x Arrecadação'!$D$5:$D$10</c:f>
              <c:numCache>
                <c:formatCode>0.00%</c:formatCode>
                <c:ptCount val="6"/>
                <c:pt idx="0">
                  <c:v>5.4941965167984892E-3</c:v>
                </c:pt>
                <c:pt idx="1">
                  <c:v>5.2914332480302724E-3</c:v>
                </c:pt>
                <c:pt idx="2">
                  <c:v>3.8999999999999998E-3</c:v>
                </c:pt>
                <c:pt idx="3">
                  <c:v>6.6E-3</c:v>
                </c:pt>
                <c:pt idx="4">
                  <c:v>3.3999999999999998E-3</c:v>
                </c:pt>
                <c:pt idx="5">
                  <c:v>7.1999999999999998E-3</c:v>
                </c:pt>
              </c:numCache>
            </c:numRef>
          </c:val>
          <c:smooth val="0"/>
          <c:extLst>
            <c:ext xmlns:c16="http://schemas.microsoft.com/office/drawing/2014/chart" uri="{C3380CC4-5D6E-409C-BE32-E72D297353CC}">
              <c16:uniqueId val="{00000006-91B4-42D4-BE8D-D51B1440D8B6}"/>
            </c:ext>
          </c:extLst>
        </c:ser>
        <c:ser>
          <c:idx val="1"/>
          <c:order val="1"/>
          <c:tx>
            <c:v>% Evolução da Dívida Ativa</c:v>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0"/>
              <c:layout>
                <c:manualLayout>
                  <c:x val="-4.101716518662004E-2"/>
                  <c:y val="-4.343163746598100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91B4-42D4-BE8D-D51B1440D8B6}"/>
                </c:ext>
              </c:extLst>
            </c:dLbl>
            <c:dLbl>
              <c:idx val="1"/>
              <c:layout>
                <c:manualLayout>
                  <c:x val="-3.6757314281401728E-2"/>
                  <c:y val="4.512924814287508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91B4-42D4-BE8D-D51B1440D8B6}"/>
                </c:ext>
              </c:extLst>
            </c:dLbl>
            <c:dLbl>
              <c:idx val="2"/>
              <c:layout>
                <c:manualLayout>
                  <c:x val="-5.0607028753993574E-2"/>
                  <c:y val="-3.359153906499694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91B4-42D4-BE8D-D51B1440D8B6}"/>
                </c:ext>
              </c:extLst>
            </c:dLbl>
            <c:dLbl>
              <c:idx val="3"/>
              <c:layout>
                <c:manualLayout>
                  <c:x val="-3.4627388828792564E-2"/>
                  <c:y val="5.004929734336713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91B4-42D4-BE8D-D51B1440D8B6}"/>
                </c:ext>
              </c:extLst>
            </c:dLbl>
            <c:dLbl>
              <c:idx val="4"/>
              <c:layout>
                <c:manualLayout>
                  <c:x val="-5.0607028753993609E-2"/>
                  <c:y val="-4.343163746598097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91B4-42D4-BE8D-D51B1440D8B6}"/>
                </c:ext>
              </c:extLst>
            </c:dLbl>
            <c:numFmt formatCode="0.00%" sourceLinked="0"/>
            <c:spPr>
              <a:noFill/>
              <a:ln w="38100">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t-BR"/>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'Estoque x Arrecadação'!$B$5:$B$10</c:f>
              <c:numCache>
                <c:formatCode>General</c:formatCode>
                <c:ptCount val="6"/>
                <c:pt idx="0">
                  <c:v>2018</c:v>
                </c:pt>
                <c:pt idx="1">
                  <c:v>2019</c:v>
                </c:pt>
                <c:pt idx="2">
                  <c:v>2020</c:v>
                </c:pt>
                <c:pt idx="3">
                  <c:v>2021</c:v>
                </c:pt>
                <c:pt idx="4">
                  <c:v>2022</c:v>
                </c:pt>
                <c:pt idx="5">
                  <c:v>2023</c:v>
                </c:pt>
              </c:numCache>
            </c:numRef>
          </c:cat>
          <c:val>
            <c:numRef>
              <c:f>'Estoque x Arrecadação'!$C$5:$C$10</c:f>
              <c:numCache>
                <c:formatCode>0.00%</c:formatCode>
                <c:ptCount val="6"/>
                <c:pt idx="0">
                  <c:v>6.3106796116504604E-2</c:v>
                </c:pt>
                <c:pt idx="1">
                  <c:v>6.3926940639269514E-2</c:v>
                </c:pt>
                <c:pt idx="2">
                  <c:v>0.17811158798283255</c:v>
                </c:pt>
                <c:pt idx="3">
                  <c:v>7.4700000000000003E-2</c:v>
                </c:pt>
                <c:pt idx="4">
                  <c:v>0.14069999999999999</c:v>
                </c:pt>
                <c:pt idx="5">
                  <c:v>-0.107</c:v>
                </c:pt>
              </c:numCache>
            </c:numRef>
          </c:val>
          <c:smooth val="0"/>
          <c:extLst>
            <c:ext xmlns:c16="http://schemas.microsoft.com/office/drawing/2014/chart" uri="{C3380CC4-5D6E-409C-BE32-E72D297353CC}">
              <c16:uniqueId val="{0000000C-91B4-42D4-BE8D-D51B1440D8B6}"/>
            </c:ext>
          </c:extLst>
        </c:ser>
        <c:dLbls>
          <c:showLegendKey val="0"/>
          <c:showVal val="1"/>
          <c:showCatName val="0"/>
          <c:showSerName val="0"/>
          <c:showPercent val="0"/>
          <c:showBubbleSize val="0"/>
        </c:dLbls>
        <c:marker val="1"/>
        <c:smooth val="0"/>
        <c:axId val="50876416"/>
        <c:axId val="50877952"/>
      </c:lineChart>
      <c:catAx>
        <c:axId val="508764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crossAx val="50877952"/>
        <c:crosses val="autoZero"/>
        <c:auto val="1"/>
        <c:lblAlgn val="ctr"/>
        <c:lblOffset val="100"/>
        <c:noMultiLvlLbl val="0"/>
      </c:catAx>
      <c:valAx>
        <c:axId val="5087795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crossAx val="50876416"/>
        <c:crosses val="autoZero"/>
        <c:crossBetween val="between"/>
      </c:valAx>
      <c:spPr>
        <a:noFill/>
        <a:ln>
          <a:noFill/>
        </a:ln>
        <a:effectLst/>
      </c:spPr>
    </c:plotArea>
    <c:legend>
      <c:legendPos val="r"/>
      <c:legendEntry>
        <c:idx val="0"/>
        <c:txPr>
          <a:bodyPr rot="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legendEntry>
      <c:legendEntry>
        <c:idx val="1"/>
        <c:txPr>
          <a:bodyPr rot="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legendEntry>
      <c:overlay val="0"/>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legend>
    <c:plotVisOnly val="1"/>
    <c:dispBlanksAs val="zero"/>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b="1">
          <a:latin typeface="Arial" panose="020B0604020202020204" pitchFamily="34" charset="0"/>
          <a:cs typeface="Arial" panose="020B0604020202020204" pitchFamily="34" charset="0"/>
        </a:defRPr>
      </a:pPr>
      <a:endParaRPr lang="pt-BR"/>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A09C-4570-AC63-F5AC1A7CAC75}"/>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A09C-4570-AC63-F5AC1A7CAC75}"/>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A09C-4570-AC63-F5AC1A7CAC75}"/>
              </c:ext>
            </c:extLst>
          </c:dPt>
          <c:dLbls>
            <c:dLbl>
              <c:idx val="0"/>
              <c:tx>
                <c:rich>
                  <a:bodyPr/>
                  <a:lstStyle/>
                  <a:p>
                    <a:fld id="{C401028A-9670-42A9-AB2E-25E52F37876D}" type="VALUE">
                      <a:rPr lang="en-US"/>
                      <a:pPr/>
                      <a:t>[VALOR]</a:t>
                    </a:fld>
                    <a:r>
                      <a:rPr lang="en-US"/>
                      <a:t>bilhões</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A09C-4570-AC63-F5AC1A7CAC75}"/>
                </c:ext>
              </c:extLst>
            </c:dLbl>
            <c:dLbl>
              <c:idx val="1"/>
              <c:tx>
                <c:rich>
                  <a:bodyPr/>
                  <a:lstStyle/>
                  <a:p>
                    <a:fld id="{402C9287-B990-4894-834E-A638F3E3D182}" type="VALUE">
                      <a:rPr lang="en-US"/>
                      <a:pPr/>
                      <a:t>[VALOR]</a:t>
                    </a:fld>
                    <a:r>
                      <a:rPr lang="en-US"/>
                      <a:t>bilhões</a:t>
                    </a:r>
                    <a:r>
                      <a:rPr lang="en-US" baseline="0"/>
                      <a:t> </a:t>
                    </a:r>
                  </a:p>
                </c:rich>
              </c:tx>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A09C-4570-AC63-F5AC1A7CAC75}"/>
                </c:ext>
              </c:extLst>
            </c:dLbl>
            <c:dLbl>
              <c:idx val="2"/>
              <c:tx>
                <c:rich>
                  <a:bodyPr/>
                  <a:lstStyle/>
                  <a:p>
                    <a:fld id="{C55CE213-7A29-46F0-9D95-B00D99734092}" type="VALUE">
                      <a:rPr lang="en-US"/>
                      <a:pPr/>
                      <a:t>[VALOR]</a:t>
                    </a:fld>
                    <a:r>
                      <a:rPr lang="en-US"/>
                      <a:t>bilhão</a:t>
                    </a:r>
                    <a:r>
                      <a:rPr lang="en-US" baseline="0"/>
                      <a:t> </a:t>
                    </a:r>
                  </a:p>
                </c:rich>
              </c:tx>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A09C-4570-AC63-F5AC1A7CAC75}"/>
                </c:ext>
              </c:extLst>
            </c:dLbl>
            <c:spPr>
              <a:noFill/>
              <a:ln>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t-BR"/>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'Provisão a Longo Prazo'!$E$16:$E$18</c:f>
              <c:strCache>
                <c:ptCount val="3"/>
                <c:pt idx="0">
                  <c:v>Fundo em Repartição - Provisões de Benefícios Concedidos </c:v>
                </c:pt>
                <c:pt idx="1">
                  <c:v>Fundo em Repartição - Provisões  de Benefícios a Conceder </c:v>
                </c:pt>
                <c:pt idx="2">
                  <c:v>Fundo em Capitalização - Provisões de Benefícios a Conceder</c:v>
                </c:pt>
              </c:strCache>
            </c:strRef>
          </c:cat>
          <c:val>
            <c:numRef>
              <c:f>'Provisão a Longo Prazo'!$G$16:$G$18</c:f>
              <c:numCache>
                <c:formatCode>_("R$"* #,##0.00_);_("R$"* \(#,##0.00\);_("R$"* "-"??_);_(@_)</c:formatCode>
                <c:ptCount val="3"/>
                <c:pt idx="0">
                  <c:v>81.37</c:v>
                </c:pt>
                <c:pt idx="1">
                  <c:v>46.45</c:v>
                </c:pt>
                <c:pt idx="2">
                  <c:v>0.53</c:v>
                </c:pt>
              </c:numCache>
            </c:numRef>
          </c:val>
          <c:extLst>
            <c:ext xmlns:c16="http://schemas.microsoft.com/office/drawing/2014/chart" uri="{C3380CC4-5D6E-409C-BE32-E72D297353CC}">
              <c16:uniqueId val="{00000006-A09C-4570-AC63-F5AC1A7CAC75}"/>
            </c:ext>
          </c:extLst>
        </c:ser>
        <c:dLbls>
          <c:showLegendKey val="0"/>
          <c:showVal val="0"/>
          <c:showCatName val="0"/>
          <c:showSerName val="0"/>
          <c:showPercent val="1"/>
          <c:showBubbleSize val="0"/>
          <c:showLeaderLines val="1"/>
        </c:dLbls>
      </c:pie3DChart>
      <c:spPr>
        <a:noFill/>
        <a:ln>
          <a:noFill/>
        </a:ln>
        <a:effectLst/>
      </c:spPr>
    </c:plotArea>
    <c:legend>
      <c:legendPos val="r"/>
      <c:layout>
        <c:manualLayout>
          <c:xMode val="edge"/>
          <c:yMode val="edge"/>
          <c:x val="0.63810222195507993"/>
          <c:y val="0.30729002624671914"/>
          <c:w val="0.34968403758690469"/>
          <c:h val="0.3854199475065616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t-B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outerShdw blurRad="50800" dist="127000" dir="2700000" algn="tl" rotWithShape="0">
        <a:prstClr val="black">
          <a:alpha val="40000"/>
        </a:prstClr>
      </a:outerShdw>
    </a:effectLst>
  </c:spPr>
  <c:txPr>
    <a:bodyPr/>
    <a:lstStyle/>
    <a:p>
      <a:pPr>
        <a:defRPr>
          <a:latin typeface="Arial" panose="020B0604020202020204" pitchFamily="34" charset="0"/>
          <a:cs typeface="Arial" panose="020B0604020202020204" pitchFamily="34" charset="0"/>
        </a:defRPr>
      </a:pPr>
      <a:endParaRPr lang="pt-BR"/>
    </a:p>
  </c:txPr>
  <c:externalData r:id="rId3">
    <c:autoUpdate val="0"/>
  </c:externalData>
</c:chartSpace>
</file>

<file path=word/charts/chartEx1.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 dir="row">'Aportes Previdenciarios'!$B$1:$J$1</cx:f>
        <cx:lvl ptCount="7">
          <cx:pt idx="0">2017</cx:pt>
          <cx:pt idx="1">2018</cx:pt>
          <cx:pt idx="2">2019</cx:pt>
          <cx:pt idx="3">2020</cx:pt>
          <cx:pt idx="4">2021</cx:pt>
          <cx:pt idx="5">2022</cx:pt>
          <cx:pt idx="6">2023</cx:pt>
        </cx:lvl>
      </cx:strDim>
      <cx:numDim type="val">
        <cx:f dir="row">'Aportes Previdenciarios'!$B$2:$J$2</cx:f>
        <cx:lvl ptCount="7" formatCode="#.##0">
          <cx:pt idx="0">2063766646</cx:pt>
          <cx:pt idx="1">2427306738.9899998</cx:pt>
          <cx:pt idx="2">3926640487.73</cx:pt>
          <cx:pt idx="3">4200833151.0900002</cx:pt>
          <cx:pt idx="4">2851369315.1700001</cx:pt>
          <cx:pt idx="5">4672527130.9499998</cx:pt>
          <cx:pt idx="6">4895354666.4899998</cx:pt>
        </cx:lvl>
      </cx:numDim>
    </cx:data>
  </cx:chartData>
  <cx:chart>
    <cx:plotArea>
      <cx:plotAreaRegion>
        <cx:plotSurface>
          <cx:spPr>
            <a:noFill/>
          </cx:spPr>
        </cx:plotSurface>
        <cx:series layoutId="waterfall" uniqueId="{78A1BB5D-7F11-4FDE-BFC6-D0073608A6BF}" formatIdx="0">
          <cx:tx>
            <cx:txData>
              <cx:f>'Aportes Previdenciarios'!$A$2</cx:f>
              <cx:v>Aportes Efetuado Pelo Tesouro Estadual</cx:v>
            </cx:txData>
          </cx:tx>
          <cx:spPr>
            <a:solidFill>
              <a:schemeClr val="accent2"/>
            </a:solidFill>
            <a:ln>
              <a:solidFill>
                <a:schemeClr val="bg1"/>
              </a:solidFill>
            </a:ln>
            <a:effectLst/>
          </cx:spPr>
          <cx:dataLabels>
            <cx:txPr>
              <a:bodyPr spcFirstLastPara="1" vertOverflow="ellipsis" horzOverflow="overflow" wrap="square" lIns="0" tIns="0" rIns="0" bIns="0" anchor="ctr" anchorCtr="1"/>
              <a:lstStyle/>
              <a:p>
                <a:pPr algn="ctr" rtl="0">
                  <a:defRPr b="1">
                    <a:solidFill>
                      <a:sysClr val="windowText" lastClr="000000"/>
                    </a:solidFill>
                    <a:latin typeface="Arial" panose="020B0604020202020204" pitchFamily="34" charset="0"/>
                    <a:ea typeface="Arial" panose="020B0604020202020204" pitchFamily="34" charset="0"/>
                    <a:cs typeface="Arial" panose="020B0604020202020204" pitchFamily="34" charset="0"/>
                  </a:defRPr>
                </a:pPr>
                <a:endParaRPr lang="pt-BR" sz="900" b="1" i="0" u="none" strike="noStrike" baseline="0">
                  <a:solidFill>
                    <a:sysClr val="windowText" lastClr="000000"/>
                  </a:solidFill>
                  <a:latin typeface="Arial" panose="020B0604020202020204" pitchFamily="34" charset="0"/>
                  <a:cs typeface="Arial" panose="020B0604020202020204" pitchFamily="34" charset="0"/>
                </a:endParaRPr>
              </a:p>
            </cx:txPr>
          </cx:dataLabels>
          <cx:dataId val="0"/>
          <cx:layoutPr>
            <cx:subtotals/>
          </cx:layoutPr>
        </cx:series>
      </cx:plotAreaRegion>
      <cx:axis id="0">
        <cx:catScaling gapWidth="0.5"/>
        <cx:tickLabels/>
        <cx:spPr>
          <a:ln>
            <a:solidFill>
              <a:schemeClr val="tx1"/>
            </a:solidFill>
          </a:ln>
        </cx:spPr>
        <cx:txPr>
          <a:bodyPr spcFirstLastPara="1" vertOverflow="ellipsis" horzOverflow="overflow" wrap="square" lIns="0" tIns="0" rIns="0" bIns="0" anchor="ctr" anchorCtr="1"/>
          <a:lstStyle/>
          <a:p>
            <a:pPr algn="ctr" rtl="0">
              <a:defRPr b="0">
                <a:ln>
                  <a:noFill/>
                </a:ln>
                <a:solidFill>
                  <a:schemeClr val="tx1"/>
                </a:solidFill>
                <a:latin typeface="Arial" panose="020B0604020202020204" pitchFamily="34" charset="0"/>
                <a:ea typeface="Arial" panose="020B0604020202020204" pitchFamily="34" charset="0"/>
                <a:cs typeface="Arial" panose="020B0604020202020204" pitchFamily="34" charset="0"/>
              </a:defRPr>
            </a:pPr>
            <a:endParaRPr lang="pt-BR" sz="900" b="0" i="0" u="none" strike="noStrike" baseline="0">
              <a:ln>
                <a:noFill/>
              </a:ln>
              <a:solidFill>
                <a:schemeClr val="tx1"/>
              </a:solidFill>
              <a:latin typeface="Arial" panose="020B0604020202020204" pitchFamily="34" charset="0"/>
              <a:cs typeface="Arial" panose="020B0604020202020204" pitchFamily="34" charset="0"/>
            </a:endParaRPr>
          </a:p>
        </cx:txPr>
      </cx:axis>
      <cx:axis id="1">
        <cx:valScaling/>
        <cx:majorGridlines>
          <cx:spPr>
            <a:ln w="6350">
              <a:gradFill flip="none" rotWithShape="1">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2700000" scaled="1"/>
                <a:tileRect/>
              </a:gradFill>
            </a:ln>
          </cx:spPr>
        </cx:majorGridlines>
        <cx:tickLabels/>
        <cx:spPr>
          <a:ln>
            <a:solidFill>
              <a:schemeClr val="tx1"/>
            </a:solidFill>
          </a:ln>
        </cx:spPr>
        <cx:txPr>
          <a:bodyPr spcFirstLastPara="1" vertOverflow="ellipsis" horzOverflow="overflow" wrap="square" lIns="0" tIns="0" rIns="0" bIns="0" anchor="ctr" anchorCtr="1"/>
          <a:lstStyle/>
          <a:p>
            <a:pPr algn="ctr" rtl="0">
              <a:defRPr b="0" baseline="0">
                <a:solidFill>
                  <a:schemeClr val="tx1"/>
                </a:solidFill>
                <a:latin typeface="Arial" panose="020B0604020202020204" pitchFamily="34" charset="0"/>
                <a:ea typeface="Arial" panose="020B0604020202020204" pitchFamily="34" charset="0"/>
                <a:cs typeface="Arial" panose="020B0604020202020204" pitchFamily="34" charset="0"/>
              </a:defRPr>
            </a:pPr>
            <a:endParaRPr lang="pt-BR" sz="900" b="0" i="0" u="none" strike="noStrike" baseline="0">
              <a:solidFill>
                <a:schemeClr val="tx1"/>
              </a:solidFill>
              <a:latin typeface="Arial" panose="020B0604020202020204" pitchFamily="34" charset="0"/>
              <a:cs typeface="Arial" panose="020B0604020202020204" pitchFamily="34" charset="0"/>
            </a:endParaRPr>
          </a:p>
        </cx:txPr>
      </cx:axis>
    </cx:plotArea>
  </cx:chart>
  <cx:spPr>
    <a:noFill/>
    <a:ln>
      <a:solidFill>
        <a:schemeClr val="tx1"/>
      </a:solidFill>
    </a:ln>
    <a:effectLst>
      <a:outerShdw blurRad="50800" dist="38100" dir="2700000" algn="tl" rotWithShape="0">
        <a:prstClr val="black">
          <a:alpha val="40000"/>
        </a:prstClr>
      </a:outerShdw>
    </a:effectLst>
  </cx:spPr>
</cx: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withinLinear" id="14">
  <a:schemeClr val="accent1"/>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withinLinear" id="4">
  <a:schemeClr val="accent2"/>
  <a:schemeClr val="accent2"/>
  <a:schemeClr val="accent2"/>
  <a:schemeClr val="accent2"/>
  <a:schemeClr val="accent2"/>
  <a:schemeClr val="accent2"/>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withinLinear" id="14">
  <a:schemeClr val="accent1"/>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372">
  <cs:axisTitle>
    <cs:lnRef idx="0"/>
    <cs:fillRef idx="0"/>
    <cs:effectRef idx="0"/>
    <cs:fontRef idx="minor">
      <a:schemeClr val="lt1">
        <a:lumMod val="95000"/>
      </a:schemeClr>
    </cs:fontRef>
    <cs:defRPr sz="900"/>
  </cs:axisTitle>
  <cs:categoryAxis>
    <cs:lnRef idx="0"/>
    <cs:fillRef idx="0"/>
    <cs:effectRef idx="0"/>
    <cs:fontRef idx="minor">
      <a:schemeClr val="lt1">
        <a:lumMod val="95000"/>
      </a:schemeClr>
    </cs:fontRef>
    <cs:spPr>
      <a:ln w="12700" cap="flat" cmpd="sng" algn="ctr">
        <a:solidFill>
          <a:schemeClr val="lt1">
            <a:lumMod val="95000"/>
            <a:alpha val="54000"/>
          </a:schemeClr>
        </a:solidFill>
        <a:round/>
      </a:ln>
    </cs:spPr>
    <cs:defRPr sz="900"/>
  </cs:categoryAxis>
  <cs:chartArea>
    <cs:lnRef idx="0"/>
    <cs:fillRef idx="0"/>
    <cs:effectRef idx="0"/>
    <cs:fontRef idx="minor">
      <a:schemeClr val="dk1"/>
    </cs:fontRef>
    <cs: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cs:spPr>
    <cs:defRPr sz="1000"/>
  </cs:chartArea>
  <cs:dataLabel>
    <cs:lnRef idx="0"/>
    <cs:fillRef idx="0"/>
    <cs:effectRef idx="0"/>
    <cs:fontRef idx="minor">
      <a:schemeClr val="lt1">
        <a:lumMod val="95000"/>
      </a:schemeClr>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lt1"/>
    </cs:fontRef>
    <cs:spPr>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ln>
        <a:solidFill>
          <a:schemeClr val="tx1"/>
        </a:solidFill>
      </a:ln>
    </cs:spPr>
  </cs:dataPoint>
  <cs:dataPoint3D>
    <cs:lnRef idx="0"/>
    <cs:fillRef idx="0">
      <cs:styleClr val="auto"/>
    </cs:fillRef>
    <cs:effectRef idx="0"/>
    <cs:fontRef idx="minor">
      <a:schemeClr val="lt1"/>
    </cs:fontRef>
    <cs:spPr>
      <a:solidFill>
        <a:schemeClr val="phClr"/>
      </a:solidFill>
    </cs:spPr>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fillRef idx="0">
      <cs:styleClr val="auto"/>
    </cs:fillRef>
    <cs:effectRef idx="0"/>
    <cs:fontRef idx="minor">
      <a:schemeClr val="lt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lt1"/>
    </cs:fontRef>
    <cs:spPr>
      <a:ln w="28575" cap="rnd">
        <a:solidFill>
          <a:schemeClr val="phClr"/>
        </a:solidFill>
        <a:round/>
      </a:ln>
    </cs:spPr>
  </cs:dataPointWireframe>
  <cs:dataTable>
    <cs:lnRef idx="0"/>
    <cs:fillRef idx="0"/>
    <cs:effectRef idx="0"/>
    <cs:fontRef idx="minor">
      <a:schemeClr val="lt1">
        <a:lumMod val="95000"/>
      </a:schemeClr>
    </cs:fontRef>
    <cs:spPr>
      <a:ln w="9525">
        <a:solidFill>
          <a:schemeClr val="lt1">
            <a:lumMod val="95000"/>
            <a:alpha val="54000"/>
          </a:schemeClr>
        </a:solidFill>
      </a:ln>
    </cs:spPr>
    <cs:defRPr sz="900"/>
  </cs:dataTable>
  <cs:downBar>
    <cs:lnRef idx="0"/>
    <cs:fillRef idx="0"/>
    <cs:effectRef idx="0"/>
    <cs:fontRef idx="minor">
      <a:schemeClr val="tx1"/>
    </cs:fontRef>
    <cs:spPr>
      <a:solidFill>
        <a:schemeClr val="dk1">
          <a:lumMod val="75000"/>
          <a:lumOff val="25000"/>
        </a:schemeClr>
      </a:solidFill>
      <a:ln w="9525">
        <a:solidFill>
          <a:schemeClr val="lt1">
            <a:lumMod val="95000"/>
            <a:alpha val="54000"/>
          </a:schemeClr>
        </a:solidFill>
      </a:ln>
    </cs:spPr>
  </cs:downBar>
  <cs:dropLine>
    <cs:lnRef idx="0"/>
    <cs:fillRef idx="0"/>
    <cs:effectRef idx="0"/>
    <cs:fontRef idx="minor">
      <a:schemeClr val="tx1"/>
    </cs:fontRef>
    <cs:spPr>
      <a:ln w="9525">
        <a:solidFill>
          <a:schemeClr val="lt1">
            <a:lumMod val="95000"/>
            <a:alpha val="54000"/>
          </a:schemeClr>
        </a:solidFill>
        <a:prstDash val="dash"/>
      </a:ln>
    </cs:spPr>
  </cs:dropLine>
  <cs:errorBar>
    <cs:lnRef idx="0"/>
    <cs:fillRef idx="0"/>
    <cs:effectRef idx="0"/>
    <cs:fontRef idx="minor">
      <a:schemeClr val="lt1"/>
    </cs:fontRef>
    <cs:spPr>
      <a:ln w="9525" cap="flat" cmpd="sng" algn="ctr">
        <a:solidFill>
          <a:schemeClr val="lt1">
            <a:lumMod val="95000"/>
          </a:schemeClr>
        </a:solidFill>
        <a:round/>
      </a:ln>
    </cs:spPr>
  </cs:errorBar>
  <cs:floor>
    <cs:lnRef idx="0"/>
    <cs:fillRef idx="0"/>
    <cs:effectRef idx="0"/>
    <cs:fontRef idx="minor">
      <a:schemeClr val="lt1"/>
    </cs:fontRef>
  </cs:floor>
  <cs:gridlineMajor>
    <cs:lnRef idx="0"/>
    <cs:fillRef idx="0"/>
    <cs:effectRef idx="0"/>
    <cs:fontRef idx="minor">
      <a:schemeClr val="lt1"/>
    </cs:fontRef>
    <cs:spPr>
      <a:ln w="9525" cap="flat" cmpd="sng" algn="ctr">
        <a:solidFill>
          <a:schemeClr val="lt1">
            <a:lumMod val="95000"/>
            <a:alpha val="10000"/>
          </a:schemeClr>
        </a:solidFill>
        <a:round/>
      </a:ln>
    </cs:spPr>
  </cs:gridlineMajor>
  <cs:gridlineMinor>
    <cs:lnRef idx="0"/>
    <cs:fillRef idx="0"/>
    <cs:effectRef idx="0"/>
    <cs:fontRef idx="minor">
      <a:schemeClr val="lt1"/>
    </cs:fontRef>
    <cs:spPr>
      <a:ln>
        <a:solidFill>
          <a:schemeClr val="lt1">
            <a:lumMod val="95000"/>
            <a:alpha val="10000"/>
            <a:lumOff val="10000"/>
          </a:schemeClr>
        </a:solidFill>
      </a:ln>
    </cs:spPr>
  </cs:gridlineMinor>
  <cs:hiLoLine>
    <cs:lnRef idx="0"/>
    <cs:fillRef idx="0"/>
    <cs:effectRef idx="0"/>
    <cs:fontRef idx="minor">
      <a:schemeClr val="tx1"/>
    </cs:fontRef>
    <cs:spPr>
      <a:ln w="9525">
        <a:solidFill>
          <a:schemeClr val="lt1">
            <a:lumMod val="95000"/>
            <a:alpha val="54000"/>
          </a:schemeClr>
        </a:solidFill>
        <a:prstDash val="dash"/>
      </a:ln>
    </cs:spPr>
  </cs:hiLoLine>
  <cs:leaderLine>
    <cs:lnRef idx="0"/>
    <cs:fillRef idx="0"/>
    <cs:effectRef idx="0"/>
    <cs:fontRef idx="minor">
      <a:schemeClr val="lt1"/>
    </cs:fontRef>
    <cs:spPr>
      <a:ln w="9525">
        <a:solidFill>
          <a:schemeClr val="lt1">
            <a:lumMod val="95000"/>
            <a:alpha val="54000"/>
          </a:schemeClr>
        </a:solidFill>
      </a:ln>
    </cs:spPr>
  </cs:leaderLine>
  <cs:legend>
    <cs:lnRef idx="0"/>
    <cs:fillRef idx="0"/>
    <cs:effectRef idx="0"/>
    <cs:fontRef idx="minor">
      <a:schemeClr val="lt1">
        <a:lumMod val="95000"/>
      </a:schemeClr>
    </cs:fontRef>
    <cs:defRPr sz="9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lt1">
        <a:lumMod val="95000"/>
      </a:schemeClr>
    </cs:fontRef>
    <cs:spPr>
      <a:ln w="12700" cap="flat" cmpd="sng" algn="ctr">
        <a:solidFill>
          <a:schemeClr val="lt1">
            <a:lumMod val="95000"/>
            <a:alpha val="54000"/>
          </a:schemeClr>
        </a:solidFill>
        <a:round/>
      </a:ln>
    </cs:spPr>
    <cs:defRPr sz="900"/>
  </cs:seriesAxis>
  <cs:seriesLine>
    <cs:lnRef idx="0"/>
    <cs:fillRef idx="0"/>
    <cs:effectRef idx="0"/>
    <cs:fontRef idx="minor">
      <a:schemeClr val="lt1"/>
    </cs:fontRef>
    <cs:spPr>
      <a:ln w="9525" cap="flat">
        <a:solidFill>
          <a:srgbClr val="D9D9D9"/>
        </a:solidFill>
        <a:round/>
      </a:ln>
    </cs:spPr>
  </cs:seriesLine>
  <cs:title>
    <cs:lnRef idx="0"/>
    <cs:fillRef idx="0"/>
    <cs:effectRef idx="0"/>
    <cs:fontRef idx="minor">
      <a:schemeClr val="lt1">
        <a:lumMod val="95000"/>
      </a:schemeClr>
    </cs:fontRef>
    <cs:defRPr sz="1600" b="1" spc="100">
      <a:effectLst>
        <a:outerShdw blurRad="50800" dist="38100" dir="5400000" algn="t" rotWithShape="0">
          <a:prstClr val="black">
            <a:alpha val="40000"/>
          </a:prstClr>
        </a:outerShdw>
      </a:effectLst>
    </cs:defRPr>
  </cs:title>
  <cs:trendline>
    <cs:lnRef idx="0">
      <cs:styleClr val="auto"/>
    </cs:lnRef>
    <cs:fillRef idx="0"/>
    <cs:effectRef idx="0"/>
    <cs:fontRef idx="minor">
      <a:schemeClr val="lt1"/>
    </cs:fontRef>
    <cs:spPr>
      <a:ln w="19050" cap="rnd">
        <a:solidFill>
          <a:schemeClr val="phClr"/>
        </a:solidFill>
        <a:prstDash val="sysDash"/>
      </a:ln>
    </cs:spPr>
  </cs:trendline>
  <cs:trendlineLabel>
    <cs:lnRef idx="0"/>
    <cs:fillRef idx="0"/>
    <cs:effectRef idx="0"/>
    <cs:fontRef idx="minor">
      <a:schemeClr val="lt1">
        <a:lumMod val="95000"/>
      </a:schemeClr>
    </cs:fontRef>
    <cs:defRPr sz="900"/>
  </cs:trendlineLabel>
  <cs:upBar>
    <cs:lnRef idx="0"/>
    <cs:fillRef idx="0"/>
    <cs:effectRef idx="0"/>
    <cs:fontRef idx="minor">
      <a:schemeClr val="tx1"/>
    </cs:fontRef>
    <cs:spPr>
      <a:solidFill>
        <a:schemeClr val="lt1"/>
      </a:solidFill>
      <a:ln w="9525">
        <a:solidFill>
          <a:schemeClr val="lt1">
            <a:lumMod val="95000"/>
            <a:alpha val="54000"/>
          </a:schemeClr>
        </a:solidFill>
      </a:ln>
    </cs:spPr>
  </cs:upBar>
  <cs:valueAxis>
    <cs:lnRef idx="0"/>
    <cs:fillRef idx="0"/>
    <cs:effectRef idx="0"/>
    <cs:fontRef idx="minor">
      <a:schemeClr val="lt1">
        <a:lumMod val="95000"/>
      </a:schemeClr>
    </cs:fontRef>
    <cs:defRPr sz="900"/>
  </cs:valueAxis>
  <cs:wall>
    <cs:lnRef idx="0"/>
    <cs:fillRef idx="0"/>
    <cs:effectRef idx="0"/>
    <cs:fontRef idx="minor">
      <a:schemeClr val="lt1"/>
    </cs:fontRef>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0.00802</cdr:x>
      <cdr:y>0.36968</cdr:y>
    </cdr:from>
    <cdr:to>
      <cdr:x>0.06613</cdr:x>
      <cdr:y>0.55943</cdr:y>
    </cdr:to>
    <cdr:sp macro="" textlink="">
      <cdr:nvSpPr>
        <cdr:cNvPr id="2" name="CaixaDeTexto 1">
          <a:extLst xmlns:a="http://schemas.openxmlformats.org/drawingml/2006/main">
            <a:ext uri="{FF2B5EF4-FFF2-40B4-BE49-F238E27FC236}">
              <a16:creationId xmlns:a16="http://schemas.microsoft.com/office/drawing/2014/main" id="{8ECDF7D8-55BE-4B52-ABE8-0DC3C51FADA2}"/>
            </a:ext>
          </a:extLst>
        </cdr:cNvPr>
        <cdr:cNvSpPr txBox="1"/>
      </cdr:nvSpPr>
      <cdr:spPr>
        <a:xfrm xmlns:a="http://schemas.openxmlformats.org/drawingml/2006/main">
          <a:off x="47133" y="1614489"/>
          <a:ext cx="341508" cy="828675"/>
        </a:xfrm>
        <a:prstGeom xmlns:a="http://schemas.openxmlformats.org/drawingml/2006/main" prst="rect">
          <a:avLst/>
        </a:prstGeom>
      </cdr:spPr>
      <cdr:txBody>
        <a:bodyPr xmlns:a="http://schemas.openxmlformats.org/drawingml/2006/main" vertOverflow="clip" vert="vert270" wrap="square" rtlCol="0"/>
        <a:lstStyle xmlns:a="http://schemas.openxmlformats.org/drawingml/2006/main"/>
        <a:p xmlns:a="http://schemas.openxmlformats.org/drawingml/2006/main">
          <a:r>
            <a:rPr lang="pt-BR" sz="1100">
              <a:latin typeface="Arial" panose="020B0604020202020204" pitchFamily="34" charset="0"/>
              <a:cs typeface="Arial" panose="020B0604020202020204" pitchFamily="34" charset="0"/>
            </a:rPr>
            <a:t>R$ bilhões </a:t>
          </a:r>
        </a:p>
      </cdr:txBody>
    </cdr:sp>
  </cdr:relSizeAnchor>
  <cdr:relSizeAnchor xmlns:cdr="http://schemas.openxmlformats.org/drawingml/2006/chartDrawing">
    <cdr:from>
      <cdr:x>0.2607</cdr:x>
      <cdr:y>0.821</cdr:y>
    </cdr:from>
    <cdr:to>
      <cdr:x>0.98698</cdr:x>
      <cdr:y>1</cdr:y>
    </cdr:to>
    <cdr:sp macro="" textlink="">
      <cdr:nvSpPr>
        <cdr:cNvPr id="3" name="CaixaDeTexto 2">
          <a:extLst xmlns:a="http://schemas.openxmlformats.org/drawingml/2006/main">
            <a:ext uri="{FF2B5EF4-FFF2-40B4-BE49-F238E27FC236}">
              <a16:creationId xmlns:a16="http://schemas.microsoft.com/office/drawing/2014/main" id="{9AE1DB42-4CC2-4DD0-B1F1-62F96E59F138}"/>
            </a:ext>
          </a:extLst>
        </cdr:cNvPr>
        <cdr:cNvSpPr txBox="1"/>
      </cdr:nvSpPr>
      <cdr:spPr>
        <a:xfrm xmlns:a="http://schemas.openxmlformats.org/drawingml/2006/main">
          <a:off x="1532115" y="3585483"/>
          <a:ext cx="4268293" cy="78173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l"/>
          <a:endParaRPr lang="pt-BR" sz="900" b="1">
            <a:latin typeface="Arial" panose="020B0604020202020204" pitchFamily="34" charset="0"/>
            <a:cs typeface="Arial" panose="020B0604020202020204" pitchFamily="34" charset="0"/>
          </a:endParaRPr>
        </a:p>
        <a:p xmlns:a="http://schemas.openxmlformats.org/drawingml/2006/main">
          <a:pPr algn="l"/>
          <a:r>
            <a:rPr lang="pt-BR" sz="900" b="1">
              <a:latin typeface="Arial" panose="020B0604020202020204" pitchFamily="34" charset="0"/>
              <a:cs typeface="Arial" panose="020B0604020202020204" pitchFamily="34" charset="0"/>
            </a:rPr>
            <a:t>2018 </a:t>
          </a:r>
          <a:r>
            <a:rPr lang="pt-BR" sz="900">
              <a:latin typeface="Arial" panose="020B0604020202020204" pitchFamily="34" charset="0"/>
              <a:cs typeface="Arial" panose="020B0604020202020204" pitchFamily="34" charset="0"/>
            </a:rPr>
            <a:t>                                                                                                         </a:t>
          </a:r>
          <a:r>
            <a:rPr lang="pt-BR" sz="900" baseline="0">
              <a:latin typeface="Arial" panose="020B0604020202020204" pitchFamily="34" charset="0"/>
              <a:cs typeface="Arial" panose="020B0604020202020204" pitchFamily="34" charset="0"/>
            </a:rPr>
            <a:t>                                             </a:t>
          </a:r>
          <a:r>
            <a:rPr lang="pt-BR" sz="900">
              <a:latin typeface="Arial" panose="020B0604020202020204" pitchFamily="34" charset="0"/>
              <a:cs typeface="Arial" panose="020B0604020202020204" pitchFamily="34" charset="0"/>
            </a:rPr>
            <a:t>Déficit considerando despesas empenhadas	                                                                                                                                      </a:t>
          </a:r>
          <a:r>
            <a:rPr lang="pt-BR" sz="900">
              <a:effectLst/>
              <a:latin typeface="Arial" panose="020B0604020202020204" pitchFamily="34" charset="0"/>
              <a:ea typeface="+mn-ea"/>
              <a:cs typeface="Arial" panose="020B0604020202020204" pitchFamily="34" charset="0"/>
            </a:rPr>
            <a:t>Déficit somando despesas empenhadas e despesas sem prévio empenho </a:t>
          </a:r>
          <a:r>
            <a:rPr lang="pt-BR" sz="900">
              <a:latin typeface="Arial" panose="020B0604020202020204" pitchFamily="34" charset="0"/>
              <a:cs typeface="Arial" panose="020B0604020202020204" pitchFamily="34" charset="0"/>
            </a:rPr>
            <a:t> </a:t>
          </a:r>
        </a:p>
      </cdr:txBody>
    </cdr:sp>
  </cdr:relSizeAnchor>
  <cdr:relSizeAnchor xmlns:cdr="http://schemas.openxmlformats.org/drawingml/2006/chartDrawing">
    <cdr:from>
      <cdr:x>0.17354</cdr:x>
      <cdr:y>0.88654</cdr:y>
    </cdr:from>
    <cdr:to>
      <cdr:x>0.26164</cdr:x>
      <cdr:y>0.92021</cdr:y>
    </cdr:to>
    <cdr:sp macro="" textlink="">
      <cdr:nvSpPr>
        <cdr:cNvPr id="4" name="Retângulo 3">
          <a:extLst xmlns:a="http://schemas.openxmlformats.org/drawingml/2006/main">
            <a:ext uri="{FF2B5EF4-FFF2-40B4-BE49-F238E27FC236}">
              <a16:creationId xmlns:a16="http://schemas.microsoft.com/office/drawing/2014/main" id="{416F55DA-A7A7-406B-9D91-5A54C5C5E50E}"/>
            </a:ext>
          </a:extLst>
        </cdr:cNvPr>
        <cdr:cNvSpPr/>
      </cdr:nvSpPr>
      <cdr:spPr>
        <a:xfrm xmlns:a="http://schemas.openxmlformats.org/drawingml/2006/main">
          <a:off x="1029777" y="3280591"/>
          <a:ext cx="522799" cy="124597"/>
        </a:xfrm>
        <a:prstGeom xmlns:a="http://schemas.openxmlformats.org/drawingml/2006/main" prst="rect">
          <a:avLst/>
        </a:prstGeom>
        <a:solidFill xmlns:a="http://schemas.openxmlformats.org/drawingml/2006/main">
          <a:schemeClr val="accent2"/>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pt-BR"/>
        </a:p>
      </cdr:txBody>
    </cdr:sp>
  </cdr:relSizeAnchor>
  <cdr:relSizeAnchor xmlns:cdr="http://schemas.openxmlformats.org/drawingml/2006/chartDrawing">
    <cdr:from>
      <cdr:x>0.21281</cdr:x>
      <cdr:y>0.92936</cdr:y>
    </cdr:from>
    <cdr:to>
      <cdr:x>0.26164</cdr:x>
      <cdr:y>0.96654</cdr:y>
    </cdr:to>
    <cdr:sp macro="" textlink="">
      <cdr:nvSpPr>
        <cdr:cNvPr id="5" name="Retângulo 4">
          <a:extLst xmlns:a="http://schemas.openxmlformats.org/drawingml/2006/main">
            <a:ext uri="{FF2B5EF4-FFF2-40B4-BE49-F238E27FC236}">
              <a16:creationId xmlns:a16="http://schemas.microsoft.com/office/drawing/2014/main" id="{6425BEA2-4AB2-4F1A-8347-F54A3D735CEB}"/>
            </a:ext>
          </a:extLst>
        </cdr:cNvPr>
        <cdr:cNvSpPr/>
      </cdr:nvSpPr>
      <cdr:spPr>
        <a:xfrm xmlns:a="http://schemas.openxmlformats.org/drawingml/2006/main">
          <a:off x="1262808" y="3439076"/>
          <a:ext cx="289768" cy="137563"/>
        </a:xfrm>
        <a:prstGeom xmlns:a="http://schemas.openxmlformats.org/drawingml/2006/main" prst="rect">
          <a:avLst/>
        </a:prstGeom>
        <a:pattFill xmlns:a="http://schemas.openxmlformats.org/drawingml/2006/main" prst="pct25">
          <a:fgClr>
            <a:srgbClr val="FF0000"/>
          </a:fgClr>
          <a:bgClr>
            <a:schemeClr val="bg1"/>
          </a:bgClr>
        </a:patt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pt-BR"/>
        </a:p>
      </cdr:txBody>
    </cdr:sp>
  </cdr:relSizeAnchor>
  <cdr:relSizeAnchor xmlns:cdr="http://schemas.openxmlformats.org/drawingml/2006/chartDrawing">
    <cdr:from>
      <cdr:x>0.17514</cdr:x>
      <cdr:y>0.92936</cdr:y>
    </cdr:from>
    <cdr:to>
      <cdr:x>0.22632</cdr:x>
      <cdr:y>0.96654</cdr:y>
    </cdr:to>
    <cdr:sp macro="" textlink="">
      <cdr:nvSpPr>
        <cdr:cNvPr id="7" name="Retângulo 6">
          <a:extLst xmlns:a="http://schemas.openxmlformats.org/drawingml/2006/main">
            <a:ext uri="{FF2B5EF4-FFF2-40B4-BE49-F238E27FC236}">
              <a16:creationId xmlns:a16="http://schemas.microsoft.com/office/drawing/2014/main" id="{88B3F57C-6111-44C0-881D-E180AEF787B7}"/>
            </a:ext>
          </a:extLst>
        </cdr:cNvPr>
        <cdr:cNvSpPr/>
      </cdr:nvSpPr>
      <cdr:spPr>
        <a:xfrm xmlns:a="http://schemas.openxmlformats.org/drawingml/2006/main">
          <a:off x="1039302" y="3439074"/>
          <a:ext cx="303724" cy="137565"/>
        </a:xfrm>
        <a:prstGeom xmlns:a="http://schemas.openxmlformats.org/drawingml/2006/main" prst="rect">
          <a:avLst/>
        </a:prstGeom>
        <a:solidFill xmlns:a="http://schemas.openxmlformats.org/drawingml/2006/main">
          <a:schemeClr val="accent2"/>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pt-BR"/>
        </a:p>
      </cdr:txBody>
    </cdr:sp>
  </cdr:relSizeAnchor>
</c:userShapes>
</file>

<file path=word/drawings/drawing2.xml><?xml version="1.0" encoding="utf-8"?>
<c:userShapes xmlns:c="http://schemas.openxmlformats.org/drawingml/2006/chart">
  <cdr:relSizeAnchor xmlns:cdr="http://schemas.openxmlformats.org/drawingml/2006/chartDrawing">
    <cdr:from>
      <cdr:x>0.0213</cdr:x>
      <cdr:y>0.36837</cdr:y>
    </cdr:from>
    <cdr:to>
      <cdr:x>0.11479</cdr:x>
      <cdr:y>0.61312</cdr:y>
    </cdr:to>
    <cdr:sp macro="" textlink="">
      <cdr:nvSpPr>
        <cdr:cNvPr id="2" name="CaixaDeTexto 1">
          <a:extLst xmlns:a="http://schemas.openxmlformats.org/drawingml/2006/main">
            <a:ext uri="{FF2B5EF4-FFF2-40B4-BE49-F238E27FC236}">
              <a16:creationId xmlns:a16="http://schemas.microsoft.com/office/drawing/2014/main" id="{588BB7D7-72D4-4492-A2C2-B4E82BF713F3}"/>
            </a:ext>
          </a:extLst>
        </cdr:cNvPr>
        <cdr:cNvSpPr txBox="1"/>
      </cdr:nvSpPr>
      <cdr:spPr>
        <a:xfrm xmlns:a="http://schemas.openxmlformats.org/drawingml/2006/main">
          <a:off x="178594" y="1406130"/>
          <a:ext cx="783828" cy="93424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pt-BR" sz="1100"/>
        </a:p>
      </cdr:txBody>
    </cdr:sp>
  </cdr:relSizeAnchor>
  <cdr:relSizeAnchor xmlns:cdr="http://schemas.openxmlformats.org/drawingml/2006/chartDrawing">
    <cdr:from>
      <cdr:x>0.02604</cdr:x>
      <cdr:y>0.28</cdr:y>
    </cdr:from>
    <cdr:to>
      <cdr:x>0.0568</cdr:x>
      <cdr:y>0.60491</cdr:y>
    </cdr:to>
    <cdr:sp macro="" textlink="">
      <cdr:nvSpPr>
        <cdr:cNvPr id="3" name="CaixaDeTexto 2">
          <a:extLst xmlns:a="http://schemas.openxmlformats.org/drawingml/2006/main">
            <a:ext uri="{FF2B5EF4-FFF2-40B4-BE49-F238E27FC236}">
              <a16:creationId xmlns:a16="http://schemas.microsoft.com/office/drawing/2014/main" id="{9AEB8501-DE7C-47AA-A7FF-BC210F05C395}"/>
            </a:ext>
          </a:extLst>
        </cdr:cNvPr>
        <cdr:cNvSpPr txBox="1"/>
      </cdr:nvSpPr>
      <cdr:spPr>
        <a:xfrm xmlns:a="http://schemas.openxmlformats.org/drawingml/2006/main" rot="16200000">
          <a:off x="-272850" y="1559917"/>
          <a:ext cx="1240235" cy="25796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pt-BR" sz="1100"/>
            <a:t>Variação Real</a:t>
          </a:r>
        </a:p>
      </cdr:txBody>
    </cdr:sp>
  </cdr:relSizeAnchor>
</c:userShapes>
</file>

<file path=word/drawings/drawing3.xml><?xml version="1.0" encoding="utf-8"?>
<c:userShapes xmlns:c="http://schemas.openxmlformats.org/drawingml/2006/chart">
  <cdr:relSizeAnchor xmlns:cdr="http://schemas.openxmlformats.org/drawingml/2006/chartDrawing">
    <cdr:from>
      <cdr:x>0.93949</cdr:x>
      <cdr:y>0.29815</cdr:y>
    </cdr:from>
    <cdr:to>
      <cdr:x>0.98535</cdr:x>
      <cdr:y>0.58183</cdr:y>
    </cdr:to>
    <cdr:sp macro="" textlink="">
      <cdr:nvSpPr>
        <cdr:cNvPr id="3" name="CaixaDeTexto 2"/>
        <cdr:cNvSpPr txBox="1"/>
      </cdr:nvSpPr>
      <cdr:spPr>
        <a:xfrm xmlns:a="http://schemas.openxmlformats.org/drawingml/2006/main" rot="16200000">
          <a:off x="5262831" y="1269447"/>
          <a:ext cx="906264" cy="272369"/>
        </a:xfrm>
        <a:prstGeom xmlns:a="http://schemas.openxmlformats.org/drawingml/2006/main" prst="rect">
          <a:avLst/>
        </a:prstGeom>
        <a:ln xmlns:a="http://schemas.openxmlformats.org/drawingml/2006/main">
          <a:solidFill>
            <a:schemeClr val="bg1"/>
          </a:solidFill>
        </a:ln>
      </cdr:spPr>
      <cdr:txBody>
        <a:bodyPr xmlns:a="http://schemas.openxmlformats.org/drawingml/2006/main" vertOverflow="clip" wrap="none" rtlCol="0"/>
        <a:lstStyle xmlns:a="http://schemas.openxmlformats.org/drawingml/2006/main"/>
        <a:p xmlns:a="http://schemas.openxmlformats.org/drawingml/2006/main">
          <a:r>
            <a:rPr lang="pt-BR" sz="1000" b="1">
              <a:solidFill>
                <a:srgbClr val="FF0000"/>
              </a:solidFill>
              <a:latin typeface="Arial" panose="020B0604020202020204" pitchFamily="34" charset="0"/>
              <a:cs typeface="Arial" panose="020B0604020202020204" pitchFamily="34" charset="0"/>
            </a:rPr>
            <a:t>Evolução</a:t>
          </a:r>
          <a:r>
            <a:rPr lang="pt-BR" sz="1100" b="1" baseline="0">
              <a:solidFill>
                <a:srgbClr val="FF0000"/>
              </a:solidFill>
              <a:latin typeface="Arial" panose="020B0604020202020204" pitchFamily="34" charset="0"/>
              <a:cs typeface="Arial" panose="020B0604020202020204" pitchFamily="34" charset="0"/>
            </a:rPr>
            <a:t> %</a:t>
          </a:r>
          <a:endParaRPr lang="pt-BR" sz="1100" b="1">
            <a:solidFill>
              <a:srgbClr val="FF0000"/>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0.18935</cdr:x>
      <cdr:y>0.2965</cdr:y>
    </cdr:from>
    <cdr:to>
      <cdr:x>0.26775</cdr:x>
      <cdr:y>0.4097</cdr:y>
    </cdr:to>
    <cdr:sp macro="" textlink="">
      <cdr:nvSpPr>
        <cdr:cNvPr id="4" name="CaixaDeTexto 3"/>
        <cdr:cNvSpPr txBox="1"/>
      </cdr:nvSpPr>
      <cdr:spPr>
        <a:xfrm xmlns:a="http://schemas.openxmlformats.org/drawingml/2006/main">
          <a:off x="1219200" y="1047751"/>
          <a:ext cx="504825" cy="4000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pt-BR" sz="1100"/>
        </a:p>
      </cdr:txBody>
    </cdr:sp>
  </cdr:relSizeAnchor>
  <cdr:relSizeAnchor xmlns:cdr="http://schemas.openxmlformats.org/drawingml/2006/chartDrawing">
    <cdr:from>
      <cdr:x>0.15486</cdr:x>
      <cdr:y>0.32588</cdr:y>
    </cdr:from>
    <cdr:to>
      <cdr:x>0.22993</cdr:x>
      <cdr:y>0.36937</cdr:y>
    </cdr:to>
    <cdr:sp macro="" textlink="">
      <cdr:nvSpPr>
        <cdr:cNvPr id="5" name="CaixaDeTexto 1"/>
        <cdr:cNvSpPr txBox="1"/>
      </cdr:nvSpPr>
      <cdr:spPr>
        <a:xfrm xmlns:a="http://schemas.openxmlformats.org/drawingml/2006/main">
          <a:off x="1050251" y="1188817"/>
          <a:ext cx="509110" cy="15865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pt-BR" sz="1000" b="1">
              <a:solidFill>
                <a:srgbClr val="FF0000"/>
              </a:solidFill>
              <a:latin typeface="Arial" panose="020B0604020202020204" pitchFamily="34" charset="0"/>
              <a:cs typeface="Arial" panose="020B0604020202020204" pitchFamily="34" charset="0"/>
            </a:rPr>
            <a:t>+ 6,39%</a:t>
          </a:r>
        </a:p>
      </cdr:txBody>
    </cdr:sp>
  </cdr:relSizeAnchor>
  <cdr:relSizeAnchor xmlns:cdr="http://schemas.openxmlformats.org/drawingml/2006/chartDrawing">
    <cdr:from>
      <cdr:x>0.30495</cdr:x>
      <cdr:y>0.25122</cdr:y>
    </cdr:from>
    <cdr:to>
      <cdr:x>0.40142</cdr:x>
      <cdr:y>0.29994</cdr:y>
    </cdr:to>
    <cdr:sp macro="" textlink="">
      <cdr:nvSpPr>
        <cdr:cNvPr id="6" name="CaixaDeTexto 1"/>
        <cdr:cNvSpPr txBox="1"/>
      </cdr:nvSpPr>
      <cdr:spPr>
        <a:xfrm xmlns:a="http://schemas.openxmlformats.org/drawingml/2006/main">
          <a:off x="1811175" y="802569"/>
          <a:ext cx="572950" cy="15564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pt-BR" sz="1000" b="1">
              <a:solidFill>
                <a:srgbClr val="FF0000"/>
              </a:solidFill>
              <a:latin typeface="Arial" panose="020B0604020202020204" pitchFamily="34" charset="0"/>
              <a:cs typeface="Arial" panose="020B0604020202020204" pitchFamily="34" charset="0"/>
            </a:rPr>
            <a:t>+ 17,81%</a:t>
          </a:r>
        </a:p>
      </cdr:txBody>
    </cdr:sp>
  </cdr:relSizeAnchor>
  <cdr:relSizeAnchor xmlns:cdr="http://schemas.openxmlformats.org/drawingml/2006/chartDrawing">
    <cdr:from>
      <cdr:x>0.46829</cdr:x>
      <cdr:y>0.19395</cdr:y>
    </cdr:from>
    <cdr:to>
      <cdr:x>0.54265</cdr:x>
      <cdr:y>0.24186</cdr:y>
    </cdr:to>
    <cdr:sp macro="" textlink="">
      <cdr:nvSpPr>
        <cdr:cNvPr id="7" name="CaixaDeTexto 1"/>
        <cdr:cNvSpPr txBox="1"/>
      </cdr:nvSpPr>
      <cdr:spPr>
        <a:xfrm xmlns:a="http://schemas.openxmlformats.org/drawingml/2006/main">
          <a:off x="2781269" y="619609"/>
          <a:ext cx="441635" cy="15305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pt-BR" sz="1000" b="1">
              <a:solidFill>
                <a:srgbClr val="FF0000"/>
              </a:solidFill>
              <a:latin typeface="Arial" panose="020B0604020202020204" pitchFamily="34" charset="0"/>
              <a:cs typeface="Arial" panose="020B0604020202020204" pitchFamily="34" charset="0"/>
            </a:rPr>
            <a:t>+ 7,47%</a:t>
          </a:r>
        </a:p>
      </cdr:txBody>
    </cdr:sp>
  </cdr:relSizeAnchor>
  <cdr:relSizeAnchor xmlns:cdr="http://schemas.openxmlformats.org/drawingml/2006/chartDrawing">
    <cdr:from>
      <cdr:x>0.6237</cdr:x>
      <cdr:y>0.11826</cdr:y>
    </cdr:from>
    <cdr:to>
      <cdr:x>0.69531</cdr:x>
      <cdr:y>0.16363</cdr:y>
    </cdr:to>
    <cdr:sp macro="" textlink="">
      <cdr:nvSpPr>
        <cdr:cNvPr id="8" name="CaixaDeTexto 1"/>
        <cdr:cNvSpPr txBox="1"/>
      </cdr:nvSpPr>
      <cdr:spPr>
        <a:xfrm xmlns:a="http://schemas.openxmlformats.org/drawingml/2006/main">
          <a:off x="3704258" y="377803"/>
          <a:ext cx="425303" cy="14494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pt-BR" sz="1000" b="1">
              <a:solidFill>
                <a:srgbClr val="FF0000"/>
              </a:solidFill>
              <a:latin typeface="Arial" panose="020B0604020202020204" pitchFamily="34" charset="0"/>
              <a:cs typeface="Arial" panose="020B0604020202020204" pitchFamily="34" charset="0"/>
            </a:rPr>
            <a:t>+ 14,07%</a:t>
          </a:r>
        </a:p>
      </cdr:txBody>
    </cdr:sp>
  </cdr:relSizeAnchor>
  <cdr:relSizeAnchor xmlns:cdr="http://schemas.openxmlformats.org/drawingml/2006/chartDrawing">
    <cdr:from>
      <cdr:x>0.78439</cdr:x>
      <cdr:y>0.18997</cdr:y>
    </cdr:from>
    <cdr:to>
      <cdr:x>0.856</cdr:x>
      <cdr:y>0.26535</cdr:y>
    </cdr:to>
    <cdr:sp macro="" textlink="">
      <cdr:nvSpPr>
        <cdr:cNvPr id="9" name="CaixaDeTexto 1">
          <a:extLst xmlns:a="http://schemas.openxmlformats.org/drawingml/2006/main">
            <a:ext uri="{FF2B5EF4-FFF2-40B4-BE49-F238E27FC236}">
              <a16:creationId xmlns:a16="http://schemas.microsoft.com/office/drawing/2014/main" id="{874C3DCD-0464-48C5-A7BB-67EA6EF0BFF7}"/>
            </a:ext>
          </a:extLst>
        </cdr:cNvPr>
        <cdr:cNvSpPr txBox="1"/>
      </cdr:nvSpPr>
      <cdr:spPr>
        <a:xfrm xmlns:a="http://schemas.openxmlformats.org/drawingml/2006/main">
          <a:off x="4658598" y="606909"/>
          <a:ext cx="425303" cy="24081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pt-BR" sz="1000" b="1">
              <a:solidFill>
                <a:srgbClr val="FF0000"/>
              </a:solidFill>
              <a:latin typeface="Arial" panose="020B0604020202020204" pitchFamily="34" charset="0"/>
              <a:cs typeface="Arial" panose="020B0604020202020204" pitchFamily="34" charset="0"/>
            </a:rPr>
            <a:t> - 10,70%</a:t>
          </a:r>
        </a:p>
      </cdr:txBody>
    </cdr:sp>
  </cdr:relSizeAnchor>
</c:userShape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PublishDate>
  <Abstract>Exercício 2016</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D24107F-1A97-426A-854E-1B055C2DE3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272</Pages>
  <Words>86359</Words>
  <Characters>466343</Characters>
  <Application>Microsoft Office Word</Application>
  <DocSecurity>0</DocSecurity>
  <Lines>3886</Lines>
  <Paragraphs>1103</Paragraphs>
  <ScaleCrop>false</ScaleCrop>
  <HeadingPairs>
    <vt:vector size="2" baseType="variant">
      <vt:variant>
        <vt:lpstr>Título</vt:lpstr>
      </vt:variant>
      <vt:variant>
        <vt:i4>1</vt:i4>
      </vt:variant>
    </vt:vector>
  </HeadingPairs>
  <TitlesOfParts>
    <vt:vector size="1" baseType="lpstr">
      <vt:lpstr>Estado de Goiás</vt:lpstr>
    </vt:vector>
  </TitlesOfParts>
  <Company>Gerência de Controle de Contas</Company>
  <LinksUpToDate>false</LinksUpToDate>
  <CharactersWithSpaces>551599</CharactersWithSpaces>
  <SharedDoc>false</SharedDoc>
  <HLinks>
    <vt:vector size="3012" baseType="variant">
      <vt:variant>
        <vt:i4>2490380</vt:i4>
      </vt:variant>
      <vt:variant>
        <vt:i4>3000</vt:i4>
      </vt:variant>
      <vt:variant>
        <vt:i4>0</vt:i4>
      </vt:variant>
      <vt:variant>
        <vt:i4>5</vt:i4>
      </vt:variant>
      <vt:variant>
        <vt:lpwstr>http://pt.wikipedia.org/w/index.php?title=Constitui%C3%A7%C3%A3o_estadual&amp;action=edit&amp;redlink=1</vt:lpwstr>
      </vt:variant>
      <vt:variant>
        <vt:lpwstr/>
      </vt:variant>
      <vt:variant>
        <vt:i4>5242941</vt:i4>
      </vt:variant>
      <vt:variant>
        <vt:i4>2997</vt:i4>
      </vt:variant>
      <vt:variant>
        <vt:i4>0</vt:i4>
      </vt:variant>
      <vt:variant>
        <vt:i4>5</vt:i4>
      </vt:variant>
      <vt:variant>
        <vt:lpwstr>http://pt.wikipedia.org/wiki/Constitui%C3%A7%C3%A3o_brasileira</vt:lpwstr>
      </vt:variant>
      <vt:variant>
        <vt:lpwstr/>
      </vt:variant>
      <vt:variant>
        <vt:i4>786519</vt:i4>
      </vt:variant>
      <vt:variant>
        <vt:i4>2994</vt:i4>
      </vt:variant>
      <vt:variant>
        <vt:i4>0</vt:i4>
      </vt:variant>
      <vt:variant>
        <vt:i4>5</vt:i4>
      </vt:variant>
      <vt:variant>
        <vt:lpwstr>http://pt.wikipedia.org/wiki/Jurisdi%C3%A7%C3%A3o</vt:lpwstr>
      </vt:variant>
      <vt:variant>
        <vt:lpwstr/>
      </vt:variant>
      <vt:variant>
        <vt:i4>131148</vt:i4>
      </vt:variant>
      <vt:variant>
        <vt:i4>2991</vt:i4>
      </vt:variant>
      <vt:variant>
        <vt:i4>0</vt:i4>
      </vt:variant>
      <vt:variant>
        <vt:i4>5</vt:i4>
      </vt:variant>
      <vt:variant>
        <vt:lpwstr>http://pt.wikipedia.org/wiki/Tribunal_de_Contas_da_Uni%C3%A3o</vt:lpwstr>
      </vt:variant>
      <vt:variant>
        <vt:lpwstr/>
      </vt:variant>
      <vt:variant>
        <vt:i4>7536664</vt:i4>
      </vt:variant>
      <vt:variant>
        <vt:i4>2988</vt:i4>
      </vt:variant>
      <vt:variant>
        <vt:i4>0</vt:i4>
      </vt:variant>
      <vt:variant>
        <vt:i4>5</vt:i4>
      </vt:variant>
      <vt:variant>
        <vt:lpwstr>http://pt.wikipedia.org/wiki/Poder_Legislativo</vt:lpwstr>
      </vt:variant>
      <vt:variant>
        <vt:lpwstr/>
      </vt:variant>
      <vt:variant>
        <vt:i4>7340065</vt:i4>
      </vt:variant>
      <vt:variant>
        <vt:i4>2985</vt:i4>
      </vt:variant>
      <vt:variant>
        <vt:i4>0</vt:i4>
      </vt:variant>
      <vt:variant>
        <vt:i4>5</vt:i4>
      </vt:variant>
      <vt:variant>
        <vt:lpwstr>http://portal.mec.gov.br/seb/index.php?option=content&amp;task=section&amp;id=11&amp;Itemid=200</vt:lpwstr>
      </vt:variant>
      <vt:variant>
        <vt:lpwstr/>
      </vt:variant>
      <vt:variant>
        <vt:i4>1769531</vt:i4>
      </vt:variant>
      <vt:variant>
        <vt:i4>2978</vt:i4>
      </vt:variant>
      <vt:variant>
        <vt:i4>0</vt:i4>
      </vt:variant>
      <vt:variant>
        <vt:i4>5</vt:i4>
      </vt:variant>
      <vt:variant>
        <vt:lpwstr/>
      </vt:variant>
      <vt:variant>
        <vt:lpwstr>_Toc232228957</vt:lpwstr>
      </vt:variant>
      <vt:variant>
        <vt:i4>1769531</vt:i4>
      </vt:variant>
      <vt:variant>
        <vt:i4>2972</vt:i4>
      </vt:variant>
      <vt:variant>
        <vt:i4>0</vt:i4>
      </vt:variant>
      <vt:variant>
        <vt:i4>5</vt:i4>
      </vt:variant>
      <vt:variant>
        <vt:lpwstr/>
      </vt:variant>
      <vt:variant>
        <vt:lpwstr>_Toc232228956</vt:lpwstr>
      </vt:variant>
      <vt:variant>
        <vt:i4>1769531</vt:i4>
      </vt:variant>
      <vt:variant>
        <vt:i4>2966</vt:i4>
      </vt:variant>
      <vt:variant>
        <vt:i4>0</vt:i4>
      </vt:variant>
      <vt:variant>
        <vt:i4>5</vt:i4>
      </vt:variant>
      <vt:variant>
        <vt:lpwstr/>
      </vt:variant>
      <vt:variant>
        <vt:lpwstr>_Toc232228955</vt:lpwstr>
      </vt:variant>
      <vt:variant>
        <vt:i4>1769531</vt:i4>
      </vt:variant>
      <vt:variant>
        <vt:i4>2960</vt:i4>
      </vt:variant>
      <vt:variant>
        <vt:i4>0</vt:i4>
      </vt:variant>
      <vt:variant>
        <vt:i4>5</vt:i4>
      </vt:variant>
      <vt:variant>
        <vt:lpwstr/>
      </vt:variant>
      <vt:variant>
        <vt:lpwstr>_Toc232228954</vt:lpwstr>
      </vt:variant>
      <vt:variant>
        <vt:i4>1769531</vt:i4>
      </vt:variant>
      <vt:variant>
        <vt:i4>2954</vt:i4>
      </vt:variant>
      <vt:variant>
        <vt:i4>0</vt:i4>
      </vt:variant>
      <vt:variant>
        <vt:i4>5</vt:i4>
      </vt:variant>
      <vt:variant>
        <vt:lpwstr/>
      </vt:variant>
      <vt:variant>
        <vt:lpwstr>_Toc232228953</vt:lpwstr>
      </vt:variant>
      <vt:variant>
        <vt:i4>1769531</vt:i4>
      </vt:variant>
      <vt:variant>
        <vt:i4>2948</vt:i4>
      </vt:variant>
      <vt:variant>
        <vt:i4>0</vt:i4>
      </vt:variant>
      <vt:variant>
        <vt:i4>5</vt:i4>
      </vt:variant>
      <vt:variant>
        <vt:lpwstr/>
      </vt:variant>
      <vt:variant>
        <vt:lpwstr>_Toc232228952</vt:lpwstr>
      </vt:variant>
      <vt:variant>
        <vt:i4>1769531</vt:i4>
      </vt:variant>
      <vt:variant>
        <vt:i4>2942</vt:i4>
      </vt:variant>
      <vt:variant>
        <vt:i4>0</vt:i4>
      </vt:variant>
      <vt:variant>
        <vt:i4>5</vt:i4>
      </vt:variant>
      <vt:variant>
        <vt:lpwstr/>
      </vt:variant>
      <vt:variant>
        <vt:lpwstr>_Toc232228951</vt:lpwstr>
      </vt:variant>
      <vt:variant>
        <vt:i4>1769531</vt:i4>
      </vt:variant>
      <vt:variant>
        <vt:i4>2936</vt:i4>
      </vt:variant>
      <vt:variant>
        <vt:i4>0</vt:i4>
      </vt:variant>
      <vt:variant>
        <vt:i4>5</vt:i4>
      </vt:variant>
      <vt:variant>
        <vt:lpwstr/>
      </vt:variant>
      <vt:variant>
        <vt:lpwstr>_Toc232228950</vt:lpwstr>
      </vt:variant>
      <vt:variant>
        <vt:i4>1703995</vt:i4>
      </vt:variant>
      <vt:variant>
        <vt:i4>2930</vt:i4>
      </vt:variant>
      <vt:variant>
        <vt:i4>0</vt:i4>
      </vt:variant>
      <vt:variant>
        <vt:i4>5</vt:i4>
      </vt:variant>
      <vt:variant>
        <vt:lpwstr/>
      </vt:variant>
      <vt:variant>
        <vt:lpwstr>_Toc232228949</vt:lpwstr>
      </vt:variant>
      <vt:variant>
        <vt:i4>1703995</vt:i4>
      </vt:variant>
      <vt:variant>
        <vt:i4>2924</vt:i4>
      </vt:variant>
      <vt:variant>
        <vt:i4>0</vt:i4>
      </vt:variant>
      <vt:variant>
        <vt:i4>5</vt:i4>
      </vt:variant>
      <vt:variant>
        <vt:lpwstr/>
      </vt:variant>
      <vt:variant>
        <vt:lpwstr>_Toc232228948</vt:lpwstr>
      </vt:variant>
      <vt:variant>
        <vt:i4>1703995</vt:i4>
      </vt:variant>
      <vt:variant>
        <vt:i4>2918</vt:i4>
      </vt:variant>
      <vt:variant>
        <vt:i4>0</vt:i4>
      </vt:variant>
      <vt:variant>
        <vt:i4>5</vt:i4>
      </vt:variant>
      <vt:variant>
        <vt:lpwstr/>
      </vt:variant>
      <vt:variant>
        <vt:lpwstr>_Toc232228947</vt:lpwstr>
      </vt:variant>
      <vt:variant>
        <vt:i4>1703995</vt:i4>
      </vt:variant>
      <vt:variant>
        <vt:i4>2912</vt:i4>
      </vt:variant>
      <vt:variant>
        <vt:i4>0</vt:i4>
      </vt:variant>
      <vt:variant>
        <vt:i4>5</vt:i4>
      </vt:variant>
      <vt:variant>
        <vt:lpwstr/>
      </vt:variant>
      <vt:variant>
        <vt:lpwstr>_Toc232228946</vt:lpwstr>
      </vt:variant>
      <vt:variant>
        <vt:i4>1703995</vt:i4>
      </vt:variant>
      <vt:variant>
        <vt:i4>2906</vt:i4>
      </vt:variant>
      <vt:variant>
        <vt:i4>0</vt:i4>
      </vt:variant>
      <vt:variant>
        <vt:i4>5</vt:i4>
      </vt:variant>
      <vt:variant>
        <vt:lpwstr/>
      </vt:variant>
      <vt:variant>
        <vt:lpwstr>_Toc232228945</vt:lpwstr>
      </vt:variant>
      <vt:variant>
        <vt:i4>1703995</vt:i4>
      </vt:variant>
      <vt:variant>
        <vt:i4>2900</vt:i4>
      </vt:variant>
      <vt:variant>
        <vt:i4>0</vt:i4>
      </vt:variant>
      <vt:variant>
        <vt:i4>5</vt:i4>
      </vt:variant>
      <vt:variant>
        <vt:lpwstr/>
      </vt:variant>
      <vt:variant>
        <vt:lpwstr>_Toc232228944</vt:lpwstr>
      </vt:variant>
      <vt:variant>
        <vt:i4>1703995</vt:i4>
      </vt:variant>
      <vt:variant>
        <vt:i4>2894</vt:i4>
      </vt:variant>
      <vt:variant>
        <vt:i4>0</vt:i4>
      </vt:variant>
      <vt:variant>
        <vt:i4>5</vt:i4>
      </vt:variant>
      <vt:variant>
        <vt:lpwstr/>
      </vt:variant>
      <vt:variant>
        <vt:lpwstr>_Toc232228943</vt:lpwstr>
      </vt:variant>
      <vt:variant>
        <vt:i4>1703995</vt:i4>
      </vt:variant>
      <vt:variant>
        <vt:i4>2888</vt:i4>
      </vt:variant>
      <vt:variant>
        <vt:i4>0</vt:i4>
      </vt:variant>
      <vt:variant>
        <vt:i4>5</vt:i4>
      </vt:variant>
      <vt:variant>
        <vt:lpwstr/>
      </vt:variant>
      <vt:variant>
        <vt:lpwstr>_Toc232228942</vt:lpwstr>
      </vt:variant>
      <vt:variant>
        <vt:i4>1703995</vt:i4>
      </vt:variant>
      <vt:variant>
        <vt:i4>2882</vt:i4>
      </vt:variant>
      <vt:variant>
        <vt:i4>0</vt:i4>
      </vt:variant>
      <vt:variant>
        <vt:i4>5</vt:i4>
      </vt:variant>
      <vt:variant>
        <vt:lpwstr/>
      </vt:variant>
      <vt:variant>
        <vt:lpwstr>_Toc232228941</vt:lpwstr>
      </vt:variant>
      <vt:variant>
        <vt:i4>1703995</vt:i4>
      </vt:variant>
      <vt:variant>
        <vt:i4>2876</vt:i4>
      </vt:variant>
      <vt:variant>
        <vt:i4>0</vt:i4>
      </vt:variant>
      <vt:variant>
        <vt:i4>5</vt:i4>
      </vt:variant>
      <vt:variant>
        <vt:lpwstr/>
      </vt:variant>
      <vt:variant>
        <vt:lpwstr>_Toc232228940</vt:lpwstr>
      </vt:variant>
      <vt:variant>
        <vt:i4>1900603</vt:i4>
      </vt:variant>
      <vt:variant>
        <vt:i4>2870</vt:i4>
      </vt:variant>
      <vt:variant>
        <vt:i4>0</vt:i4>
      </vt:variant>
      <vt:variant>
        <vt:i4>5</vt:i4>
      </vt:variant>
      <vt:variant>
        <vt:lpwstr/>
      </vt:variant>
      <vt:variant>
        <vt:lpwstr>_Toc232228939</vt:lpwstr>
      </vt:variant>
      <vt:variant>
        <vt:i4>1900603</vt:i4>
      </vt:variant>
      <vt:variant>
        <vt:i4>2864</vt:i4>
      </vt:variant>
      <vt:variant>
        <vt:i4>0</vt:i4>
      </vt:variant>
      <vt:variant>
        <vt:i4>5</vt:i4>
      </vt:variant>
      <vt:variant>
        <vt:lpwstr/>
      </vt:variant>
      <vt:variant>
        <vt:lpwstr>_Toc232228938</vt:lpwstr>
      </vt:variant>
      <vt:variant>
        <vt:i4>1900603</vt:i4>
      </vt:variant>
      <vt:variant>
        <vt:i4>2858</vt:i4>
      </vt:variant>
      <vt:variant>
        <vt:i4>0</vt:i4>
      </vt:variant>
      <vt:variant>
        <vt:i4>5</vt:i4>
      </vt:variant>
      <vt:variant>
        <vt:lpwstr/>
      </vt:variant>
      <vt:variant>
        <vt:lpwstr>_Toc232228937</vt:lpwstr>
      </vt:variant>
      <vt:variant>
        <vt:i4>1900603</vt:i4>
      </vt:variant>
      <vt:variant>
        <vt:i4>2852</vt:i4>
      </vt:variant>
      <vt:variant>
        <vt:i4>0</vt:i4>
      </vt:variant>
      <vt:variant>
        <vt:i4>5</vt:i4>
      </vt:variant>
      <vt:variant>
        <vt:lpwstr/>
      </vt:variant>
      <vt:variant>
        <vt:lpwstr>_Toc232228936</vt:lpwstr>
      </vt:variant>
      <vt:variant>
        <vt:i4>1900603</vt:i4>
      </vt:variant>
      <vt:variant>
        <vt:i4>2846</vt:i4>
      </vt:variant>
      <vt:variant>
        <vt:i4>0</vt:i4>
      </vt:variant>
      <vt:variant>
        <vt:i4>5</vt:i4>
      </vt:variant>
      <vt:variant>
        <vt:lpwstr/>
      </vt:variant>
      <vt:variant>
        <vt:lpwstr>_Toc232228935</vt:lpwstr>
      </vt:variant>
      <vt:variant>
        <vt:i4>1900603</vt:i4>
      </vt:variant>
      <vt:variant>
        <vt:i4>2840</vt:i4>
      </vt:variant>
      <vt:variant>
        <vt:i4>0</vt:i4>
      </vt:variant>
      <vt:variant>
        <vt:i4>5</vt:i4>
      </vt:variant>
      <vt:variant>
        <vt:lpwstr/>
      </vt:variant>
      <vt:variant>
        <vt:lpwstr>_Toc232228934</vt:lpwstr>
      </vt:variant>
      <vt:variant>
        <vt:i4>1900603</vt:i4>
      </vt:variant>
      <vt:variant>
        <vt:i4>2834</vt:i4>
      </vt:variant>
      <vt:variant>
        <vt:i4>0</vt:i4>
      </vt:variant>
      <vt:variant>
        <vt:i4>5</vt:i4>
      </vt:variant>
      <vt:variant>
        <vt:lpwstr/>
      </vt:variant>
      <vt:variant>
        <vt:lpwstr>_Toc232228933</vt:lpwstr>
      </vt:variant>
      <vt:variant>
        <vt:i4>1900603</vt:i4>
      </vt:variant>
      <vt:variant>
        <vt:i4>2828</vt:i4>
      </vt:variant>
      <vt:variant>
        <vt:i4>0</vt:i4>
      </vt:variant>
      <vt:variant>
        <vt:i4>5</vt:i4>
      </vt:variant>
      <vt:variant>
        <vt:lpwstr/>
      </vt:variant>
      <vt:variant>
        <vt:lpwstr>_Toc232228932</vt:lpwstr>
      </vt:variant>
      <vt:variant>
        <vt:i4>1900603</vt:i4>
      </vt:variant>
      <vt:variant>
        <vt:i4>2822</vt:i4>
      </vt:variant>
      <vt:variant>
        <vt:i4>0</vt:i4>
      </vt:variant>
      <vt:variant>
        <vt:i4>5</vt:i4>
      </vt:variant>
      <vt:variant>
        <vt:lpwstr/>
      </vt:variant>
      <vt:variant>
        <vt:lpwstr>_Toc232228931</vt:lpwstr>
      </vt:variant>
      <vt:variant>
        <vt:i4>1900603</vt:i4>
      </vt:variant>
      <vt:variant>
        <vt:i4>2816</vt:i4>
      </vt:variant>
      <vt:variant>
        <vt:i4>0</vt:i4>
      </vt:variant>
      <vt:variant>
        <vt:i4>5</vt:i4>
      </vt:variant>
      <vt:variant>
        <vt:lpwstr/>
      </vt:variant>
      <vt:variant>
        <vt:lpwstr>_Toc232228930</vt:lpwstr>
      </vt:variant>
      <vt:variant>
        <vt:i4>1835067</vt:i4>
      </vt:variant>
      <vt:variant>
        <vt:i4>2810</vt:i4>
      </vt:variant>
      <vt:variant>
        <vt:i4>0</vt:i4>
      </vt:variant>
      <vt:variant>
        <vt:i4>5</vt:i4>
      </vt:variant>
      <vt:variant>
        <vt:lpwstr/>
      </vt:variant>
      <vt:variant>
        <vt:lpwstr>_Toc232228929</vt:lpwstr>
      </vt:variant>
      <vt:variant>
        <vt:i4>1835067</vt:i4>
      </vt:variant>
      <vt:variant>
        <vt:i4>2804</vt:i4>
      </vt:variant>
      <vt:variant>
        <vt:i4>0</vt:i4>
      </vt:variant>
      <vt:variant>
        <vt:i4>5</vt:i4>
      </vt:variant>
      <vt:variant>
        <vt:lpwstr/>
      </vt:variant>
      <vt:variant>
        <vt:lpwstr>_Toc232228928</vt:lpwstr>
      </vt:variant>
      <vt:variant>
        <vt:i4>1835067</vt:i4>
      </vt:variant>
      <vt:variant>
        <vt:i4>2798</vt:i4>
      </vt:variant>
      <vt:variant>
        <vt:i4>0</vt:i4>
      </vt:variant>
      <vt:variant>
        <vt:i4>5</vt:i4>
      </vt:variant>
      <vt:variant>
        <vt:lpwstr/>
      </vt:variant>
      <vt:variant>
        <vt:lpwstr>_Toc232228927</vt:lpwstr>
      </vt:variant>
      <vt:variant>
        <vt:i4>1835067</vt:i4>
      </vt:variant>
      <vt:variant>
        <vt:i4>2792</vt:i4>
      </vt:variant>
      <vt:variant>
        <vt:i4>0</vt:i4>
      </vt:variant>
      <vt:variant>
        <vt:i4>5</vt:i4>
      </vt:variant>
      <vt:variant>
        <vt:lpwstr/>
      </vt:variant>
      <vt:variant>
        <vt:lpwstr>_Toc232228926</vt:lpwstr>
      </vt:variant>
      <vt:variant>
        <vt:i4>1835067</vt:i4>
      </vt:variant>
      <vt:variant>
        <vt:i4>2786</vt:i4>
      </vt:variant>
      <vt:variant>
        <vt:i4>0</vt:i4>
      </vt:variant>
      <vt:variant>
        <vt:i4>5</vt:i4>
      </vt:variant>
      <vt:variant>
        <vt:lpwstr/>
      </vt:variant>
      <vt:variant>
        <vt:lpwstr>_Toc232228925</vt:lpwstr>
      </vt:variant>
      <vt:variant>
        <vt:i4>1835067</vt:i4>
      </vt:variant>
      <vt:variant>
        <vt:i4>2780</vt:i4>
      </vt:variant>
      <vt:variant>
        <vt:i4>0</vt:i4>
      </vt:variant>
      <vt:variant>
        <vt:i4>5</vt:i4>
      </vt:variant>
      <vt:variant>
        <vt:lpwstr/>
      </vt:variant>
      <vt:variant>
        <vt:lpwstr>_Toc232228924</vt:lpwstr>
      </vt:variant>
      <vt:variant>
        <vt:i4>1835067</vt:i4>
      </vt:variant>
      <vt:variant>
        <vt:i4>2774</vt:i4>
      </vt:variant>
      <vt:variant>
        <vt:i4>0</vt:i4>
      </vt:variant>
      <vt:variant>
        <vt:i4>5</vt:i4>
      </vt:variant>
      <vt:variant>
        <vt:lpwstr/>
      </vt:variant>
      <vt:variant>
        <vt:lpwstr>_Toc232228923</vt:lpwstr>
      </vt:variant>
      <vt:variant>
        <vt:i4>1835067</vt:i4>
      </vt:variant>
      <vt:variant>
        <vt:i4>2768</vt:i4>
      </vt:variant>
      <vt:variant>
        <vt:i4>0</vt:i4>
      </vt:variant>
      <vt:variant>
        <vt:i4>5</vt:i4>
      </vt:variant>
      <vt:variant>
        <vt:lpwstr/>
      </vt:variant>
      <vt:variant>
        <vt:lpwstr>_Toc232228922</vt:lpwstr>
      </vt:variant>
      <vt:variant>
        <vt:i4>1835067</vt:i4>
      </vt:variant>
      <vt:variant>
        <vt:i4>2762</vt:i4>
      </vt:variant>
      <vt:variant>
        <vt:i4>0</vt:i4>
      </vt:variant>
      <vt:variant>
        <vt:i4>5</vt:i4>
      </vt:variant>
      <vt:variant>
        <vt:lpwstr/>
      </vt:variant>
      <vt:variant>
        <vt:lpwstr>_Toc232228921</vt:lpwstr>
      </vt:variant>
      <vt:variant>
        <vt:i4>1835067</vt:i4>
      </vt:variant>
      <vt:variant>
        <vt:i4>2756</vt:i4>
      </vt:variant>
      <vt:variant>
        <vt:i4>0</vt:i4>
      </vt:variant>
      <vt:variant>
        <vt:i4>5</vt:i4>
      </vt:variant>
      <vt:variant>
        <vt:lpwstr/>
      </vt:variant>
      <vt:variant>
        <vt:lpwstr>_Toc232228920</vt:lpwstr>
      </vt:variant>
      <vt:variant>
        <vt:i4>2031675</vt:i4>
      </vt:variant>
      <vt:variant>
        <vt:i4>2750</vt:i4>
      </vt:variant>
      <vt:variant>
        <vt:i4>0</vt:i4>
      </vt:variant>
      <vt:variant>
        <vt:i4>5</vt:i4>
      </vt:variant>
      <vt:variant>
        <vt:lpwstr/>
      </vt:variant>
      <vt:variant>
        <vt:lpwstr>_Toc232228919</vt:lpwstr>
      </vt:variant>
      <vt:variant>
        <vt:i4>2031675</vt:i4>
      </vt:variant>
      <vt:variant>
        <vt:i4>2744</vt:i4>
      </vt:variant>
      <vt:variant>
        <vt:i4>0</vt:i4>
      </vt:variant>
      <vt:variant>
        <vt:i4>5</vt:i4>
      </vt:variant>
      <vt:variant>
        <vt:lpwstr/>
      </vt:variant>
      <vt:variant>
        <vt:lpwstr>_Toc232228918</vt:lpwstr>
      </vt:variant>
      <vt:variant>
        <vt:i4>2031675</vt:i4>
      </vt:variant>
      <vt:variant>
        <vt:i4>2738</vt:i4>
      </vt:variant>
      <vt:variant>
        <vt:i4>0</vt:i4>
      </vt:variant>
      <vt:variant>
        <vt:i4>5</vt:i4>
      </vt:variant>
      <vt:variant>
        <vt:lpwstr/>
      </vt:variant>
      <vt:variant>
        <vt:lpwstr>_Toc232228917</vt:lpwstr>
      </vt:variant>
      <vt:variant>
        <vt:i4>2031675</vt:i4>
      </vt:variant>
      <vt:variant>
        <vt:i4>2732</vt:i4>
      </vt:variant>
      <vt:variant>
        <vt:i4>0</vt:i4>
      </vt:variant>
      <vt:variant>
        <vt:i4>5</vt:i4>
      </vt:variant>
      <vt:variant>
        <vt:lpwstr/>
      </vt:variant>
      <vt:variant>
        <vt:lpwstr>_Toc232228916</vt:lpwstr>
      </vt:variant>
      <vt:variant>
        <vt:i4>2031675</vt:i4>
      </vt:variant>
      <vt:variant>
        <vt:i4>2726</vt:i4>
      </vt:variant>
      <vt:variant>
        <vt:i4>0</vt:i4>
      </vt:variant>
      <vt:variant>
        <vt:i4>5</vt:i4>
      </vt:variant>
      <vt:variant>
        <vt:lpwstr/>
      </vt:variant>
      <vt:variant>
        <vt:lpwstr>_Toc232228915</vt:lpwstr>
      </vt:variant>
      <vt:variant>
        <vt:i4>2031675</vt:i4>
      </vt:variant>
      <vt:variant>
        <vt:i4>2720</vt:i4>
      </vt:variant>
      <vt:variant>
        <vt:i4>0</vt:i4>
      </vt:variant>
      <vt:variant>
        <vt:i4>5</vt:i4>
      </vt:variant>
      <vt:variant>
        <vt:lpwstr/>
      </vt:variant>
      <vt:variant>
        <vt:lpwstr>_Toc232228914</vt:lpwstr>
      </vt:variant>
      <vt:variant>
        <vt:i4>2031675</vt:i4>
      </vt:variant>
      <vt:variant>
        <vt:i4>2714</vt:i4>
      </vt:variant>
      <vt:variant>
        <vt:i4>0</vt:i4>
      </vt:variant>
      <vt:variant>
        <vt:i4>5</vt:i4>
      </vt:variant>
      <vt:variant>
        <vt:lpwstr/>
      </vt:variant>
      <vt:variant>
        <vt:lpwstr>_Toc232228913</vt:lpwstr>
      </vt:variant>
      <vt:variant>
        <vt:i4>2031675</vt:i4>
      </vt:variant>
      <vt:variant>
        <vt:i4>2708</vt:i4>
      </vt:variant>
      <vt:variant>
        <vt:i4>0</vt:i4>
      </vt:variant>
      <vt:variant>
        <vt:i4>5</vt:i4>
      </vt:variant>
      <vt:variant>
        <vt:lpwstr/>
      </vt:variant>
      <vt:variant>
        <vt:lpwstr>_Toc232228912</vt:lpwstr>
      </vt:variant>
      <vt:variant>
        <vt:i4>2031675</vt:i4>
      </vt:variant>
      <vt:variant>
        <vt:i4>2702</vt:i4>
      </vt:variant>
      <vt:variant>
        <vt:i4>0</vt:i4>
      </vt:variant>
      <vt:variant>
        <vt:i4>5</vt:i4>
      </vt:variant>
      <vt:variant>
        <vt:lpwstr/>
      </vt:variant>
      <vt:variant>
        <vt:lpwstr>_Toc232228911</vt:lpwstr>
      </vt:variant>
      <vt:variant>
        <vt:i4>2031675</vt:i4>
      </vt:variant>
      <vt:variant>
        <vt:i4>2696</vt:i4>
      </vt:variant>
      <vt:variant>
        <vt:i4>0</vt:i4>
      </vt:variant>
      <vt:variant>
        <vt:i4>5</vt:i4>
      </vt:variant>
      <vt:variant>
        <vt:lpwstr/>
      </vt:variant>
      <vt:variant>
        <vt:lpwstr>_Toc232228910</vt:lpwstr>
      </vt:variant>
      <vt:variant>
        <vt:i4>1966139</vt:i4>
      </vt:variant>
      <vt:variant>
        <vt:i4>2690</vt:i4>
      </vt:variant>
      <vt:variant>
        <vt:i4>0</vt:i4>
      </vt:variant>
      <vt:variant>
        <vt:i4>5</vt:i4>
      </vt:variant>
      <vt:variant>
        <vt:lpwstr/>
      </vt:variant>
      <vt:variant>
        <vt:lpwstr>_Toc232228909</vt:lpwstr>
      </vt:variant>
      <vt:variant>
        <vt:i4>1966139</vt:i4>
      </vt:variant>
      <vt:variant>
        <vt:i4>2684</vt:i4>
      </vt:variant>
      <vt:variant>
        <vt:i4>0</vt:i4>
      </vt:variant>
      <vt:variant>
        <vt:i4>5</vt:i4>
      </vt:variant>
      <vt:variant>
        <vt:lpwstr/>
      </vt:variant>
      <vt:variant>
        <vt:lpwstr>_Toc232228908</vt:lpwstr>
      </vt:variant>
      <vt:variant>
        <vt:i4>1966139</vt:i4>
      </vt:variant>
      <vt:variant>
        <vt:i4>2678</vt:i4>
      </vt:variant>
      <vt:variant>
        <vt:i4>0</vt:i4>
      </vt:variant>
      <vt:variant>
        <vt:i4>5</vt:i4>
      </vt:variant>
      <vt:variant>
        <vt:lpwstr/>
      </vt:variant>
      <vt:variant>
        <vt:lpwstr>_Toc232228907</vt:lpwstr>
      </vt:variant>
      <vt:variant>
        <vt:i4>1966139</vt:i4>
      </vt:variant>
      <vt:variant>
        <vt:i4>2672</vt:i4>
      </vt:variant>
      <vt:variant>
        <vt:i4>0</vt:i4>
      </vt:variant>
      <vt:variant>
        <vt:i4>5</vt:i4>
      </vt:variant>
      <vt:variant>
        <vt:lpwstr/>
      </vt:variant>
      <vt:variant>
        <vt:lpwstr>_Toc232228906</vt:lpwstr>
      </vt:variant>
      <vt:variant>
        <vt:i4>1966139</vt:i4>
      </vt:variant>
      <vt:variant>
        <vt:i4>2666</vt:i4>
      </vt:variant>
      <vt:variant>
        <vt:i4>0</vt:i4>
      </vt:variant>
      <vt:variant>
        <vt:i4>5</vt:i4>
      </vt:variant>
      <vt:variant>
        <vt:lpwstr/>
      </vt:variant>
      <vt:variant>
        <vt:lpwstr>_Toc232228905</vt:lpwstr>
      </vt:variant>
      <vt:variant>
        <vt:i4>1966139</vt:i4>
      </vt:variant>
      <vt:variant>
        <vt:i4>2660</vt:i4>
      </vt:variant>
      <vt:variant>
        <vt:i4>0</vt:i4>
      </vt:variant>
      <vt:variant>
        <vt:i4>5</vt:i4>
      </vt:variant>
      <vt:variant>
        <vt:lpwstr/>
      </vt:variant>
      <vt:variant>
        <vt:lpwstr>_Toc232228904</vt:lpwstr>
      </vt:variant>
      <vt:variant>
        <vt:i4>1966139</vt:i4>
      </vt:variant>
      <vt:variant>
        <vt:i4>2654</vt:i4>
      </vt:variant>
      <vt:variant>
        <vt:i4>0</vt:i4>
      </vt:variant>
      <vt:variant>
        <vt:i4>5</vt:i4>
      </vt:variant>
      <vt:variant>
        <vt:lpwstr/>
      </vt:variant>
      <vt:variant>
        <vt:lpwstr>_Toc232228903</vt:lpwstr>
      </vt:variant>
      <vt:variant>
        <vt:i4>1966139</vt:i4>
      </vt:variant>
      <vt:variant>
        <vt:i4>2648</vt:i4>
      </vt:variant>
      <vt:variant>
        <vt:i4>0</vt:i4>
      </vt:variant>
      <vt:variant>
        <vt:i4>5</vt:i4>
      </vt:variant>
      <vt:variant>
        <vt:lpwstr/>
      </vt:variant>
      <vt:variant>
        <vt:lpwstr>_Toc232228902</vt:lpwstr>
      </vt:variant>
      <vt:variant>
        <vt:i4>1966139</vt:i4>
      </vt:variant>
      <vt:variant>
        <vt:i4>2642</vt:i4>
      </vt:variant>
      <vt:variant>
        <vt:i4>0</vt:i4>
      </vt:variant>
      <vt:variant>
        <vt:i4>5</vt:i4>
      </vt:variant>
      <vt:variant>
        <vt:lpwstr/>
      </vt:variant>
      <vt:variant>
        <vt:lpwstr>_Toc232228901</vt:lpwstr>
      </vt:variant>
      <vt:variant>
        <vt:i4>1966139</vt:i4>
      </vt:variant>
      <vt:variant>
        <vt:i4>2636</vt:i4>
      </vt:variant>
      <vt:variant>
        <vt:i4>0</vt:i4>
      </vt:variant>
      <vt:variant>
        <vt:i4>5</vt:i4>
      </vt:variant>
      <vt:variant>
        <vt:lpwstr/>
      </vt:variant>
      <vt:variant>
        <vt:lpwstr>_Toc232228900</vt:lpwstr>
      </vt:variant>
      <vt:variant>
        <vt:i4>1507386</vt:i4>
      </vt:variant>
      <vt:variant>
        <vt:i4>2630</vt:i4>
      </vt:variant>
      <vt:variant>
        <vt:i4>0</vt:i4>
      </vt:variant>
      <vt:variant>
        <vt:i4>5</vt:i4>
      </vt:variant>
      <vt:variant>
        <vt:lpwstr/>
      </vt:variant>
      <vt:variant>
        <vt:lpwstr>_Toc232228899</vt:lpwstr>
      </vt:variant>
      <vt:variant>
        <vt:i4>1507386</vt:i4>
      </vt:variant>
      <vt:variant>
        <vt:i4>2624</vt:i4>
      </vt:variant>
      <vt:variant>
        <vt:i4>0</vt:i4>
      </vt:variant>
      <vt:variant>
        <vt:i4>5</vt:i4>
      </vt:variant>
      <vt:variant>
        <vt:lpwstr/>
      </vt:variant>
      <vt:variant>
        <vt:lpwstr>_Toc232228898</vt:lpwstr>
      </vt:variant>
      <vt:variant>
        <vt:i4>1507386</vt:i4>
      </vt:variant>
      <vt:variant>
        <vt:i4>2618</vt:i4>
      </vt:variant>
      <vt:variant>
        <vt:i4>0</vt:i4>
      </vt:variant>
      <vt:variant>
        <vt:i4>5</vt:i4>
      </vt:variant>
      <vt:variant>
        <vt:lpwstr/>
      </vt:variant>
      <vt:variant>
        <vt:lpwstr>_Toc232228897</vt:lpwstr>
      </vt:variant>
      <vt:variant>
        <vt:i4>1507386</vt:i4>
      </vt:variant>
      <vt:variant>
        <vt:i4>2612</vt:i4>
      </vt:variant>
      <vt:variant>
        <vt:i4>0</vt:i4>
      </vt:variant>
      <vt:variant>
        <vt:i4>5</vt:i4>
      </vt:variant>
      <vt:variant>
        <vt:lpwstr/>
      </vt:variant>
      <vt:variant>
        <vt:lpwstr>_Toc232228896</vt:lpwstr>
      </vt:variant>
      <vt:variant>
        <vt:i4>1507386</vt:i4>
      </vt:variant>
      <vt:variant>
        <vt:i4>2606</vt:i4>
      </vt:variant>
      <vt:variant>
        <vt:i4>0</vt:i4>
      </vt:variant>
      <vt:variant>
        <vt:i4>5</vt:i4>
      </vt:variant>
      <vt:variant>
        <vt:lpwstr/>
      </vt:variant>
      <vt:variant>
        <vt:lpwstr>_Toc232228895</vt:lpwstr>
      </vt:variant>
      <vt:variant>
        <vt:i4>1507386</vt:i4>
      </vt:variant>
      <vt:variant>
        <vt:i4>2600</vt:i4>
      </vt:variant>
      <vt:variant>
        <vt:i4>0</vt:i4>
      </vt:variant>
      <vt:variant>
        <vt:i4>5</vt:i4>
      </vt:variant>
      <vt:variant>
        <vt:lpwstr/>
      </vt:variant>
      <vt:variant>
        <vt:lpwstr>_Toc232228894</vt:lpwstr>
      </vt:variant>
      <vt:variant>
        <vt:i4>1507386</vt:i4>
      </vt:variant>
      <vt:variant>
        <vt:i4>2594</vt:i4>
      </vt:variant>
      <vt:variant>
        <vt:i4>0</vt:i4>
      </vt:variant>
      <vt:variant>
        <vt:i4>5</vt:i4>
      </vt:variant>
      <vt:variant>
        <vt:lpwstr/>
      </vt:variant>
      <vt:variant>
        <vt:lpwstr>_Toc232228893</vt:lpwstr>
      </vt:variant>
      <vt:variant>
        <vt:i4>1507386</vt:i4>
      </vt:variant>
      <vt:variant>
        <vt:i4>2588</vt:i4>
      </vt:variant>
      <vt:variant>
        <vt:i4>0</vt:i4>
      </vt:variant>
      <vt:variant>
        <vt:i4>5</vt:i4>
      </vt:variant>
      <vt:variant>
        <vt:lpwstr/>
      </vt:variant>
      <vt:variant>
        <vt:lpwstr>_Toc232228892</vt:lpwstr>
      </vt:variant>
      <vt:variant>
        <vt:i4>1507386</vt:i4>
      </vt:variant>
      <vt:variant>
        <vt:i4>2582</vt:i4>
      </vt:variant>
      <vt:variant>
        <vt:i4>0</vt:i4>
      </vt:variant>
      <vt:variant>
        <vt:i4>5</vt:i4>
      </vt:variant>
      <vt:variant>
        <vt:lpwstr/>
      </vt:variant>
      <vt:variant>
        <vt:lpwstr>_Toc232228891</vt:lpwstr>
      </vt:variant>
      <vt:variant>
        <vt:i4>1507386</vt:i4>
      </vt:variant>
      <vt:variant>
        <vt:i4>2576</vt:i4>
      </vt:variant>
      <vt:variant>
        <vt:i4>0</vt:i4>
      </vt:variant>
      <vt:variant>
        <vt:i4>5</vt:i4>
      </vt:variant>
      <vt:variant>
        <vt:lpwstr/>
      </vt:variant>
      <vt:variant>
        <vt:lpwstr>_Toc232228890</vt:lpwstr>
      </vt:variant>
      <vt:variant>
        <vt:i4>1441850</vt:i4>
      </vt:variant>
      <vt:variant>
        <vt:i4>2570</vt:i4>
      </vt:variant>
      <vt:variant>
        <vt:i4>0</vt:i4>
      </vt:variant>
      <vt:variant>
        <vt:i4>5</vt:i4>
      </vt:variant>
      <vt:variant>
        <vt:lpwstr/>
      </vt:variant>
      <vt:variant>
        <vt:lpwstr>_Toc232228889</vt:lpwstr>
      </vt:variant>
      <vt:variant>
        <vt:i4>1441850</vt:i4>
      </vt:variant>
      <vt:variant>
        <vt:i4>2564</vt:i4>
      </vt:variant>
      <vt:variant>
        <vt:i4>0</vt:i4>
      </vt:variant>
      <vt:variant>
        <vt:i4>5</vt:i4>
      </vt:variant>
      <vt:variant>
        <vt:lpwstr/>
      </vt:variant>
      <vt:variant>
        <vt:lpwstr>_Toc232228888</vt:lpwstr>
      </vt:variant>
      <vt:variant>
        <vt:i4>1441850</vt:i4>
      </vt:variant>
      <vt:variant>
        <vt:i4>2558</vt:i4>
      </vt:variant>
      <vt:variant>
        <vt:i4>0</vt:i4>
      </vt:variant>
      <vt:variant>
        <vt:i4>5</vt:i4>
      </vt:variant>
      <vt:variant>
        <vt:lpwstr/>
      </vt:variant>
      <vt:variant>
        <vt:lpwstr>_Toc232228887</vt:lpwstr>
      </vt:variant>
      <vt:variant>
        <vt:i4>1441850</vt:i4>
      </vt:variant>
      <vt:variant>
        <vt:i4>2552</vt:i4>
      </vt:variant>
      <vt:variant>
        <vt:i4>0</vt:i4>
      </vt:variant>
      <vt:variant>
        <vt:i4>5</vt:i4>
      </vt:variant>
      <vt:variant>
        <vt:lpwstr/>
      </vt:variant>
      <vt:variant>
        <vt:lpwstr>_Toc232228886</vt:lpwstr>
      </vt:variant>
      <vt:variant>
        <vt:i4>1441850</vt:i4>
      </vt:variant>
      <vt:variant>
        <vt:i4>2546</vt:i4>
      </vt:variant>
      <vt:variant>
        <vt:i4>0</vt:i4>
      </vt:variant>
      <vt:variant>
        <vt:i4>5</vt:i4>
      </vt:variant>
      <vt:variant>
        <vt:lpwstr/>
      </vt:variant>
      <vt:variant>
        <vt:lpwstr>_Toc232228885</vt:lpwstr>
      </vt:variant>
      <vt:variant>
        <vt:i4>1441850</vt:i4>
      </vt:variant>
      <vt:variant>
        <vt:i4>2540</vt:i4>
      </vt:variant>
      <vt:variant>
        <vt:i4>0</vt:i4>
      </vt:variant>
      <vt:variant>
        <vt:i4>5</vt:i4>
      </vt:variant>
      <vt:variant>
        <vt:lpwstr/>
      </vt:variant>
      <vt:variant>
        <vt:lpwstr>_Toc232228884</vt:lpwstr>
      </vt:variant>
      <vt:variant>
        <vt:i4>1441850</vt:i4>
      </vt:variant>
      <vt:variant>
        <vt:i4>2534</vt:i4>
      </vt:variant>
      <vt:variant>
        <vt:i4>0</vt:i4>
      </vt:variant>
      <vt:variant>
        <vt:i4>5</vt:i4>
      </vt:variant>
      <vt:variant>
        <vt:lpwstr/>
      </vt:variant>
      <vt:variant>
        <vt:lpwstr>_Toc232228883</vt:lpwstr>
      </vt:variant>
      <vt:variant>
        <vt:i4>1441850</vt:i4>
      </vt:variant>
      <vt:variant>
        <vt:i4>2528</vt:i4>
      </vt:variant>
      <vt:variant>
        <vt:i4>0</vt:i4>
      </vt:variant>
      <vt:variant>
        <vt:i4>5</vt:i4>
      </vt:variant>
      <vt:variant>
        <vt:lpwstr/>
      </vt:variant>
      <vt:variant>
        <vt:lpwstr>_Toc232228882</vt:lpwstr>
      </vt:variant>
      <vt:variant>
        <vt:i4>1441850</vt:i4>
      </vt:variant>
      <vt:variant>
        <vt:i4>2522</vt:i4>
      </vt:variant>
      <vt:variant>
        <vt:i4>0</vt:i4>
      </vt:variant>
      <vt:variant>
        <vt:i4>5</vt:i4>
      </vt:variant>
      <vt:variant>
        <vt:lpwstr/>
      </vt:variant>
      <vt:variant>
        <vt:lpwstr>_Toc232228881</vt:lpwstr>
      </vt:variant>
      <vt:variant>
        <vt:i4>1441850</vt:i4>
      </vt:variant>
      <vt:variant>
        <vt:i4>2516</vt:i4>
      </vt:variant>
      <vt:variant>
        <vt:i4>0</vt:i4>
      </vt:variant>
      <vt:variant>
        <vt:i4>5</vt:i4>
      </vt:variant>
      <vt:variant>
        <vt:lpwstr/>
      </vt:variant>
      <vt:variant>
        <vt:lpwstr>_Toc232228880</vt:lpwstr>
      </vt:variant>
      <vt:variant>
        <vt:i4>1638458</vt:i4>
      </vt:variant>
      <vt:variant>
        <vt:i4>2510</vt:i4>
      </vt:variant>
      <vt:variant>
        <vt:i4>0</vt:i4>
      </vt:variant>
      <vt:variant>
        <vt:i4>5</vt:i4>
      </vt:variant>
      <vt:variant>
        <vt:lpwstr/>
      </vt:variant>
      <vt:variant>
        <vt:lpwstr>_Toc232228879</vt:lpwstr>
      </vt:variant>
      <vt:variant>
        <vt:i4>1638458</vt:i4>
      </vt:variant>
      <vt:variant>
        <vt:i4>2504</vt:i4>
      </vt:variant>
      <vt:variant>
        <vt:i4>0</vt:i4>
      </vt:variant>
      <vt:variant>
        <vt:i4>5</vt:i4>
      </vt:variant>
      <vt:variant>
        <vt:lpwstr/>
      </vt:variant>
      <vt:variant>
        <vt:lpwstr>_Toc232228878</vt:lpwstr>
      </vt:variant>
      <vt:variant>
        <vt:i4>1638458</vt:i4>
      </vt:variant>
      <vt:variant>
        <vt:i4>2498</vt:i4>
      </vt:variant>
      <vt:variant>
        <vt:i4>0</vt:i4>
      </vt:variant>
      <vt:variant>
        <vt:i4>5</vt:i4>
      </vt:variant>
      <vt:variant>
        <vt:lpwstr/>
      </vt:variant>
      <vt:variant>
        <vt:lpwstr>_Toc232228877</vt:lpwstr>
      </vt:variant>
      <vt:variant>
        <vt:i4>1638458</vt:i4>
      </vt:variant>
      <vt:variant>
        <vt:i4>2492</vt:i4>
      </vt:variant>
      <vt:variant>
        <vt:i4>0</vt:i4>
      </vt:variant>
      <vt:variant>
        <vt:i4>5</vt:i4>
      </vt:variant>
      <vt:variant>
        <vt:lpwstr/>
      </vt:variant>
      <vt:variant>
        <vt:lpwstr>_Toc232228876</vt:lpwstr>
      </vt:variant>
      <vt:variant>
        <vt:i4>1638458</vt:i4>
      </vt:variant>
      <vt:variant>
        <vt:i4>2486</vt:i4>
      </vt:variant>
      <vt:variant>
        <vt:i4>0</vt:i4>
      </vt:variant>
      <vt:variant>
        <vt:i4>5</vt:i4>
      </vt:variant>
      <vt:variant>
        <vt:lpwstr/>
      </vt:variant>
      <vt:variant>
        <vt:lpwstr>_Toc232228875</vt:lpwstr>
      </vt:variant>
      <vt:variant>
        <vt:i4>1638458</vt:i4>
      </vt:variant>
      <vt:variant>
        <vt:i4>2480</vt:i4>
      </vt:variant>
      <vt:variant>
        <vt:i4>0</vt:i4>
      </vt:variant>
      <vt:variant>
        <vt:i4>5</vt:i4>
      </vt:variant>
      <vt:variant>
        <vt:lpwstr/>
      </vt:variant>
      <vt:variant>
        <vt:lpwstr>_Toc232228874</vt:lpwstr>
      </vt:variant>
      <vt:variant>
        <vt:i4>1638458</vt:i4>
      </vt:variant>
      <vt:variant>
        <vt:i4>2474</vt:i4>
      </vt:variant>
      <vt:variant>
        <vt:i4>0</vt:i4>
      </vt:variant>
      <vt:variant>
        <vt:i4>5</vt:i4>
      </vt:variant>
      <vt:variant>
        <vt:lpwstr/>
      </vt:variant>
      <vt:variant>
        <vt:lpwstr>_Toc232228873</vt:lpwstr>
      </vt:variant>
      <vt:variant>
        <vt:i4>1638458</vt:i4>
      </vt:variant>
      <vt:variant>
        <vt:i4>2468</vt:i4>
      </vt:variant>
      <vt:variant>
        <vt:i4>0</vt:i4>
      </vt:variant>
      <vt:variant>
        <vt:i4>5</vt:i4>
      </vt:variant>
      <vt:variant>
        <vt:lpwstr/>
      </vt:variant>
      <vt:variant>
        <vt:lpwstr>_Toc232228872</vt:lpwstr>
      </vt:variant>
      <vt:variant>
        <vt:i4>1638458</vt:i4>
      </vt:variant>
      <vt:variant>
        <vt:i4>2462</vt:i4>
      </vt:variant>
      <vt:variant>
        <vt:i4>0</vt:i4>
      </vt:variant>
      <vt:variant>
        <vt:i4>5</vt:i4>
      </vt:variant>
      <vt:variant>
        <vt:lpwstr/>
      </vt:variant>
      <vt:variant>
        <vt:lpwstr>_Toc232228871</vt:lpwstr>
      </vt:variant>
      <vt:variant>
        <vt:i4>1638458</vt:i4>
      </vt:variant>
      <vt:variant>
        <vt:i4>2456</vt:i4>
      </vt:variant>
      <vt:variant>
        <vt:i4>0</vt:i4>
      </vt:variant>
      <vt:variant>
        <vt:i4>5</vt:i4>
      </vt:variant>
      <vt:variant>
        <vt:lpwstr/>
      </vt:variant>
      <vt:variant>
        <vt:lpwstr>_Toc232228870</vt:lpwstr>
      </vt:variant>
      <vt:variant>
        <vt:i4>1572922</vt:i4>
      </vt:variant>
      <vt:variant>
        <vt:i4>2450</vt:i4>
      </vt:variant>
      <vt:variant>
        <vt:i4>0</vt:i4>
      </vt:variant>
      <vt:variant>
        <vt:i4>5</vt:i4>
      </vt:variant>
      <vt:variant>
        <vt:lpwstr/>
      </vt:variant>
      <vt:variant>
        <vt:lpwstr>_Toc232228869</vt:lpwstr>
      </vt:variant>
      <vt:variant>
        <vt:i4>1572922</vt:i4>
      </vt:variant>
      <vt:variant>
        <vt:i4>2444</vt:i4>
      </vt:variant>
      <vt:variant>
        <vt:i4>0</vt:i4>
      </vt:variant>
      <vt:variant>
        <vt:i4>5</vt:i4>
      </vt:variant>
      <vt:variant>
        <vt:lpwstr/>
      </vt:variant>
      <vt:variant>
        <vt:lpwstr>_Toc232228868</vt:lpwstr>
      </vt:variant>
      <vt:variant>
        <vt:i4>1572922</vt:i4>
      </vt:variant>
      <vt:variant>
        <vt:i4>2438</vt:i4>
      </vt:variant>
      <vt:variant>
        <vt:i4>0</vt:i4>
      </vt:variant>
      <vt:variant>
        <vt:i4>5</vt:i4>
      </vt:variant>
      <vt:variant>
        <vt:lpwstr/>
      </vt:variant>
      <vt:variant>
        <vt:lpwstr>_Toc232228867</vt:lpwstr>
      </vt:variant>
      <vt:variant>
        <vt:i4>1572922</vt:i4>
      </vt:variant>
      <vt:variant>
        <vt:i4>2432</vt:i4>
      </vt:variant>
      <vt:variant>
        <vt:i4>0</vt:i4>
      </vt:variant>
      <vt:variant>
        <vt:i4>5</vt:i4>
      </vt:variant>
      <vt:variant>
        <vt:lpwstr/>
      </vt:variant>
      <vt:variant>
        <vt:lpwstr>_Toc232228866</vt:lpwstr>
      </vt:variant>
      <vt:variant>
        <vt:i4>1572922</vt:i4>
      </vt:variant>
      <vt:variant>
        <vt:i4>2426</vt:i4>
      </vt:variant>
      <vt:variant>
        <vt:i4>0</vt:i4>
      </vt:variant>
      <vt:variant>
        <vt:i4>5</vt:i4>
      </vt:variant>
      <vt:variant>
        <vt:lpwstr/>
      </vt:variant>
      <vt:variant>
        <vt:lpwstr>_Toc232228865</vt:lpwstr>
      </vt:variant>
      <vt:variant>
        <vt:i4>1572922</vt:i4>
      </vt:variant>
      <vt:variant>
        <vt:i4>2420</vt:i4>
      </vt:variant>
      <vt:variant>
        <vt:i4>0</vt:i4>
      </vt:variant>
      <vt:variant>
        <vt:i4>5</vt:i4>
      </vt:variant>
      <vt:variant>
        <vt:lpwstr/>
      </vt:variant>
      <vt:variant>
        <vt:lpwstr>_Toc232228864</vt:lpwstr>
      </vt:variant>
      <vt:variant>
        <vt:i4>1572922</vt:i4>
      </vt:variant>
      <vt:variant>
        <vt:i4>2414</vt:i4>
      </vt:variant>
      <vt:variant>
        <vt:i4>0</vt:i4>
      </vt:variant>
      <vt:variant>
        <vt:i4>5</vt:i4>
      </vt:variant>
      <vt:variant>
        <vt:lpwstr/>
      </vt:variant>
      <vt:variant>
        <vt:lpwstr>_Toc232228863</vt:lpwstr>
      </vt:variant>
      <vt:variant>
        <vt:i4>1572922</vt:i4>
      </vt:variant>
      <vt:variant>
        <vt:i4>2408</vt:i4>
      </vt:variant>
      <vt:variant>
        <vt:i4>0</vt:i4>
      </vt:variant>
      <vt:variant>
        <vt:i4>5</vt:i4>
      </vt:variant>
      <vt:variant>
        <vt:lpwstr/>
      </vt:variant>
      <vt:variant>
        <vt:lpwstr>_Toc232228862</vt:lpwstr>
      </vt:variant>
      <vt:variant>
        <vt:i4>1572922</vt:i4>
      </vt:variant>
      <vt:variant>
        <vt:i4>2402</vt:i4>
      </vt:variant>
      <vt:variant>
        <vt:i4>0</vt:i4>
      </vt:variant>
      <vt:variant>
        <vt:i4>5</vt:i4>
      </vt:variant>
      <vt:variant>
        <vt:lpwstr/>
      </vt:variant>
      <vt:variant>
        <vt:lpwstr>_Toc232228861</vt:lpwstr>
      </vt:variant>
      <vt:variant>
        <vt:i4>1572922</vt:i4>
      </vt:variant>
      <vt:variant>
        <vt:i4>2396</vt:i4>
      </vt:variant>
      <vt:variant>
        <vt:i4>0</vt:i4>
      </vt:variant>
      <vt:variant>
        <vt:i4>5</vt:i4>
      </vt:variant>
      <vt:variant>
        <vt:lpwstr/>
      </vt:variant>
      <vt:variant>
        <vt:lpwstr>_Toc232228860</vt:lpwstr>
      </vt:variant>
      <vt:variant>
        <vt:i4>1769530</vt:i4>
      </vt:variant>
      <vt:variant>
        <vt:i4>2390</vt:i4>
      </vt:variant>
      <vt:variant>
        <vt:i4>0</vt:i4>
      </vt:variant>
      <vt:variant>
        <vt:i4>5</vt:i4>
      </vt:variant>
      <vt:variant>
        <vt:lpwstr/>
      </vt:variant>
      <vt:variant>
        <vt:lpwstr>_Toc232228859</vt:lpwstr>
      </vt:variant>
      <vt:variant>
        <vt:i4>1769530</vt:i4>
      </vt:variant>
      <vt:variant>
        <vt:i4>2384</vt:i4>
      </vt:variant>
      <vt:variant>
        <vt:i4>0</vt:i4>
      </vt:variant>
      <vt:variant>
        <vt:i4>5</vt:i4>
      </vt:variant>
      <vt:variant>
        <vt:lpwstr/>
      </vt:variant>
      <vt:variant>
        <vt:lpwstr>_Toc232228858</vt:lpwstr>
      </vt:variant>
      <vt:variant>
        <vt:i4>1769530</vt:i4>
      </vt:variant>
      <vt:variant>
        <vt:i4>2378</vt:i4>
      </vt:variant>
      <vt:variant>
        <vt:i4>0</vt:i4>
      </vt:variant>
      <vt:variant>
        <vt:i4>5</vt:i4>
      </vt:variant>
      <vt:variant>
        <vt:lpwstr/>
      </vt:variant>
      <vt:variant>
        <vt:lpwstr>_Toc232228857</vt:lpwstr>
      </vt:variant>
      <vt:variant>
        <vt:i4>1769530</vt:i4>
      </vt:variant>
      <vt:variant>
        <vt:i4>2372</vt:i4>
      </vt:variant>
      <vt:variant>
        <vt:i4>0</vt:i4>
      </vt:variant>
      <vt:variant>
        <vt:i4>5</vt:i4>
      </vt:variant>
      <vt:variant>
        <vt:lpwstr/>
      </vt:variant>
      <vt:variant>
        <vt:lpwstr>_Toc232228856</vt:lpwstr>
      </vt:variant>
      <vt:variant>
        <vt:i4>1769530</vt:i4>
      </vt:variant>
      <vt:variant>
        <vt:i4>2366</vt:i4>
      </vt:variant>
      <vt:variant>
        <vt:i4>0</vt:i4>
      </vt:variant>
      <vt:variant>
        <vt:i4>5</vt:i4>
      </vt:variant>
      <vt:variant>
        <vt:lpwstr/>
      </vt:variant>
      <vt:variant>
        <vt:lpwstr>_Toc232228855</vt:lpwstr>
      </vt:variant>
      <vt:variant>
        <vt:i4>1769530</vt:i4>
      </vt:variant>
      <vt:variant>
        <vt:i4>2360</vt:i4>
      </vt:variant>
      <vt:variant>
        <vt:i4>0</vt:i4>
      </vt:variant>
      <vt:variant>
        <vt:i4>5</vt:i4>
      </vt:variant>
      <vt:variant>
        <vt:lpwstr/>
      </vt:variant>
      <vt:variant>
        <vt:lpwstr>_Toc232228854</vt:lpwstr>
      </vt:variant>
      <vt:variant>
        <vt:i4>1769530</vt:i4>
      </vt:variant>
      <vt:variant>
        <vt:i4>2354</vt:i4>
      </vt:variant>
      <vt:variant>
        <vt:i4>0</vt:i4>
      </vt:variant>
      <vt:variant>
        <vt:i4>5</vt:i4>
      </vt:variant>
      <vt:variant>
        <vt:lpwstr/>
      </vt:variant>
      <vt:variant>
        <vt:lpwstr>_Toc232228853</vt:lpwstr>
      </vt:variant>
      <vt:variant>
        <vt:i4>1769530</vt:i4>
      </vt:variant>
      <vt:variant>
        <vt:i4>2348</vt:i4>
      </vt:variant>
      <vt:variant>
        <vt:i4>0</vt:i4>
      </vt:variant>
      <vt:variant>
        <vt:i4>5</vt:i4>
      </vt:variant>
      <vt:variant>
        <vt:lpwstr/>
      </vt:variant>
      <vt:variant>
        <vt:lpwstr>_Toc232228852</vt:lpwstr>
      </vt:variant>
      <vt:variant>
        <vt:i4>1769530</vt:i4>
      </vt:variant>
      <vt:variant>
        <vt:i4>2342</vt:i4>
      </vt:variant>
      <vt:variant>
        <vt:i4>0</vt:i4>
      </vt:variant>
      <vt:variant>
        <vt:i4>5</vt:i4>
      </vt:variant>
      <vt:variant>
        <vt:lpwstr/>
      </vt:variant>
      <vt:variant>
        <vt:lpwstr>_Toc232228851</vt:lpwstr>
      </vt:variant>
      <vt:variant>
        <vt:i4>1769530</vt:i4>
      </vt:variant>
      <vt:variant>
        <vt:i4>2336</vt:i4>
      </vt:variant>
      <vt:variant>
        <vt:i4>0</vt:i4>
      </vt:variant>
      <vt:variant>
        <vt:i4>5</vt:i4>
      </vt:variant>
      <vt:variant>
        <vt:lpwstr/>
      </vt:variant>
      <vt:variant>
        <vt:lpwstr>_Toc232228850</vt:lpwstr>
      </vt:variant>
      <vt:variant>
        <vt:i4>1703994</vt:i4>
      </vt:variant>
      <vt:variant>
        <vt:i4>2330</vt:i4>
      </vt:variant>
      <vt:variant>
        <vt:i4>0</vt:i4>
      </vt:variant>
      <vt:variant>
        <vt:i4>5</vt:i4>
      </vt:variant>
      <vt:variant>
        <vt:lpwstr/>
      </vt:variant>
      <vt:variant>
        <vt:lpwstr>_Toc232228849</vt:lpwstr>
      </vt:variant>
      <vt:variant>
        <vt:i4>1703994</vt:i4>
      </vt:variant>
      <vt:variant>
        <vt:i4>2324</vt:i4>
      </vt:variant>
      <vt:variant>
        <vt:i4>0</vt:i4>
      </vt:variant>
      <vt:variant>
        <vt:i4>5</vt:i4>
      </vt:variant>
      <vt:variant>
        <vt:lpwstr/>
      </vt:variant>
      <vt:variant>
        <vt:lpwstr>_Toc232228848</vt:lpwstr>
      </vt:variant>
      <vt:variant>
        <vt:i4>1703994</vt:i4>
      </vt:variant>
      <vt:variant>
        <vt:i4>2318</vt:i4>
      </vt:variant>
      <vt:variant>
        <vt:i4>0</vt:i4>
      </vt:variant>
      <vt:variant>
        <vt:i4>5</vt:i4>
      </vt:variant>
      <vt:variant>
        <vt:lpwstr/>
      </vt:variant>
      <vt:variant>
        <vt:lpwstr>_Toc232228847</vt:lpwstr>
      </vt:variant>
      <vt:variant>
        <vt:i4>1703994</vt:i4>
      </vt:variant>
      <vt:variant>
        <vt:i4>2312</vt:i4>
      </vt:variant>
      <vt:variant>
        <vt:i4>0</vt:i4>
      </vt:variant>
      <vt:variant>
        <vt:i4>5</vt:i4>
      </vt:variant>
      <vt:variant>
        <vt:lpwstr/>
      </vt:variant>
      <vt:variant>
        <vt:lpwstr>_Toc232228846</vt:lpwstr>
      </vt:variant>
      <vt:variant>
        <vt:i4>1703994</vt:i4>
      </vt:variant>
      <vt:variant>
        <vt:i4>2306</vt:i4>
      </vt:variant>
      <vt:variant>
        <vt:i4>0</vt:i4>
      </vt:variant>
      <vt:variant>
        <vt:i4>5</vt:i4>
      </vt:variant>
      <vt:variant>
        <vt:lpwstr/>
      </vt:variant>
      <vt:variant>
        <vt:lpwstr>_Toc232228845</vt:lpwstr>
      </vt:variant>
      <vt:variant>
        <vt:i4>1703994</vt:i4>
      </vt:variant>
      <vt:variant>
        <vt:i4>2300</vt:i4>
      </vt:variant>
      <vt:variant>
        <vt:i4>0</vt:i4>
      </vt:variant>
      <vt:variant>
        <vt:i4>5</vt:i4>
      </vt:variant>
      <vt:variant>
        <vt:lpwstr/>
      </vt:variant>
      <vt:variant>
        <vt:lpwstr>_Toc232228844</vt:lpwstr>
      </vt:variant>
      <vt:variant>
        <vt:i4>1703994</vt:i4>
      </vt:variant>
      <vt:variant>
        <vt:i4>2294</vt:i4>
      </vt:variant>
      <vt:variant>
        <vt:i4>0</vt:i4>
      </vt:variant>
      <vt:variant>
        <vt:i4>5</vt:i4>
      </vt:variant>
      <vt:variant>
        <vt:lpwstr/>
      </vt:variant>
      <vt:variant>
        <vt:lpwstr>_Toc232228843</vt:lpwstr>
      </vt:variant>
      <vt:variant>
        <vt:i4>1703994</vt:i4>
      </vt:variant>
      <vt:variant>
        <vt:i4>2288</vt:i4>
      </vt:variant>
      <vt:variant>
        <vt:i4>0</vt:i4>
      </vt:variant>
      <vt:variant>
        <vt:i4>5</vt:i4>
      </vt:variant>
      <vt:variant>
        <vt:lpwstr/>
      </vt:variant>
      <vt:variant>
        <vt:lpwstr>_Toc232228842</vt:lpwstr>
      </vt:variant>
      <vt:variant>
        <vt:i4>1703994</vt:i4>
      </vt:variant>
      <vt:variant>
        <vt:i4>2282</vt:i4>
      </vt:variant>
      <vt:variant>
        <vt:i4>0</vt:i4>
      </vt:variant>
      <vt:variant>
        <vt:i4>5</vt:i4>
      </vt:variant>
      <vt:variant>
        <vt:lpwstr/>
      </vt:variant>
      <vt:variant>
        <vt:lpwstr>_Toc232228841</vt:lpwstr>
      </vt:variant>
      <vt:variant>
        <vt:i4>1703994</vt:i4>
      </vt:variant>
      <vt:variant>
        <vt:i4>2276</vt:i4>
      </vt:variant>
      <vt:variant>
        <vt:i4>0</vt:i4>
      </vt:variant>
      <vt:variant>
        <vt:i4>5</vt:i4>
      </vt:variant>
      <vt:variant>
        <vt:lpwstr/>
      </vt:variant>
      <vt:variant>
        <vt:lpwstr>_Toc232228840</vt:lpwstr>
      </vt:variant>
      <vt:variant>
        <vt:i4>1900602</vt:i4>
      </vt:variant>
      <vt:variant>
        <vt:i4>2270</vt:i4>
      </vt:variant>
      <vt:variant>
        <vt:i4>0</vt:i4>
      </vt:variant>
      <vt:variant>
        <vt:i4>5</vt:i4>
      </vt:variant>
      <vt:variant>
        <vt:lpwstr/>
      </vt:variant>
      <vt:variant>
        <vt:lpwstr>_Toc232228839</vt:lpwstr>
      </vt:variant>
      <vt:variant>
        <vt:i4>1900602</vt:i4>
      </vt:variant>
      <vt:variant>
        <vt:i4>2264</vt:i4>
      </vt:variant>
      <vt:variant>
        <vt:i4>0</vt:i4>
      </vt:variant>
      <vt:variant>
        <vt:i4>5</vt:i4>
      </vt:variant>
      <vt:variant>
        <vt:lpwstr/>
      </vt:variant>
      <vt:variant>
        <vt:lpwstr>_Toc232228838</vt:lpwstr>
      </vt:variant>
      <vt:variant>
        <vt:i4>1900602</vt:i4>
      </vt:variant>
      <vt:variant>
        <vt:i4>2258</vt:i4>
      </vt:variant>
      <vt:variant>
        <vt:i4>0</vt:i4>
      </vt:variant>
      <vt:variant>
        <vt:i4>5</vt:i4>
      </vt:variant>
      <vt:variant>
        <vt:lpwstr/>
      </vt:variant>
      <vt:variant>
        <vt:lpwstr>_Toc232228837</vt:lpwstr>
      </vt:variant>
      <vt:variant>
        <vt:i4>1900602</vt:i4>
      </vt:variant>
      <vt:variant>
        <vt:i4>2252</vt:i4>
      </vt:variant>
      <vt:variant>
        <vt:i4>0</vt:i4>
      </vt:variant>
      <vt:variant>
        <vt:i4>5</vt:i4>
      </vt:variant>
      <vt:variant>
        <vt:lpwstr/>
      </vt:variant>
      <vt:variant>
        <vt:lpwstr>_Toc232228836</vt:lpwstr>
      </vt:variant>
      <vt:variant>
        <vt:i4>1900602</vt:i4>
      </vt:variant>
      <vt:variant>
        <vt:i4>2246</vt:i4>
      </vt:variant>
      <vt:variant>
        <vt:i4>0</vt:i4>
      </vt:variant>
      <vt:variant>
        <vt:i4>5</vt:i4>
      </vt:variant>
      <vt:variant>
        <vt:lpwstr/>
      </vt:variant>
      <vt:variant>
        <vt:lpwstr>_Toc232228835</vt:lpwstr>
      </vt:variant>
      <vt:variant>
        <vt:i4>1900602</vt:i4>
      </vt:variant>
      <vt:variant>
        <vt:i4>2240</vt:i4>
      </vt:variant>
      <vt:variant>
        <vt:i4>0</vt:i4>
      </vt:variant>
      <vt:variant>
        <vt:i4>5</vt:i4>
      </vt:variant>
      <vt:variant>
        <vt:lpwstr/>
      </vt:variant>
      <vt:variant>
        <vt:lpwstr>_Toc232228834</vt:lpwstr>
      </vt:variant>
      <vt:variant>
        <vt:i4>1900602</vt:i4>
      </vt:variant>
      <vt:variant>
        <vt:i4>2234</vt:i4>
      </vt:variant>
      <vt:variant>
        <vt:i4>0</vt:i4>
      </vt:variant>
      <vt:variant>
        <vt:i4>5</vt:i4>
      </vt:variant>
      <vt:variant>
        <vt:lpwstr/>
      </vt:variant>
      <vt:variant>
        <vt:lpwstr>_Toc232228833</vt:lpwstr>
      </vt:variant>
      <vt:variant>
        <vt:i4>1900602</vt:i4>
      </vt:variant>
      <vt:variant>
        <vt:i4>2228</vt:i4>
      </vt:variant>
      <vt:variant>
        <vt:i4>0</vt:i4>
      </vt:variant>
      <vt:variant>
        <vt:i4>5</vt:i4>
      </vt:variant>
      <vt:variant>
        <vt:lpwstr/>
      </vt:variant>
      <vt:variant>
        <vt:lpwstr>_Toc232228832</vt:lpwstr>
      </vt:variant>
      <vt:variant>
        <vt:i4>1900602</vt:i4>
      </vt:variant>
      <vt:variant>
        <vt:i4>2222</vt:i4>
      </vt:variant>
      <vt:variant>
        <vt:i4>0</vt:i4>
      </vt:variant>
      <vt:variant>
        <vt:i4>5</vt:i4>
      </vt:variant>
      <vt:variant>
        <vt:lpwstr/>
      </vt:variant>
      <vt:variant>
        <vt:lpwstr>_Toc232228831</vt:lpwstr>
      </vt:variant>
      <vt:variant>
        <vt:i4>1900602</vt:i4>
      </vt:variant>
      <vt:variant>
        <vt:i4>2216</vt:i4>
      </vt:variant>
      <vt:variant>
        <vt:i4>0</vt:i4>
      </vt:variant>
      <vt:variant>
        <vt:i4>5</vt:i4>
      </vt:variant>
      <vt:variant>
        <vt:lpwstr/>
      </vt:variant>
      <vt:variant>
        <vt:lpwstr>_Toc232228830</vt:lpwstr>
      </vt:variant>
      <vt:variant>
        <vt:i4>1835066</vt:i4>
      </vt:variant>
      <vt:variant>
        <vt:i4>2210</vt:i4>
      </vt:variant>
      <vt:variant>
        <vt:i4>0</vt:i4>
      </vt:variant>
      <vt:variant>
        <vt:i4>5</vt:i4>
      </vt:variant>
      <vt:variant>
        <vt:lpwstr/>
      </vt:variant>
      <vt:variant>
        <vt:lpwstr>_Toc232228829</vt:lpwstr>
      </vt:variant>
      <vt:variant>
        <vt:i4>1835066</vt:i4>
      </vt:variant>
      <vt:variant>
        <vt:i4>2204</vt:i4>
      </vt:variant>
      <vt:variant>
        <vt:i4>0</vt:i4>
      </vt:variant>
      <vt:variant>
        <vt:i4>5</vt:i4>
      </vt:variant>
      <vt:variant>
        <vt:lpwstr/>
      </vt:variant>
      <vt:variant>
        <vt:lpwstr>_Toc232228828</vt:lpwstr>
      </vt:variant>
      <vt:variant>
        <vt:i4>1835066</vt:i4>
      </vt:variant>
      <vt:variant>
        <vt:i4>2198</vt:i4>
      </vt:variant>
      <vt:variant>
        <vt:i4>0</vt:i4>
      </vt:variant>
      <vt:variant>
        <vt:i4>5</vt:i4>
      </vt:variant>
      <vt:variant>
        <vt:lpwstr/>
      </vt:variant>
      <vt:variant>
        <vt:lpwstr>_Toc232228827</vt:lpwstr>
      </vt:variant>
      <vt:variant>
        <vt:i4>1835066</vt:i4>
      </vt:variant>
      <vt:variant>
        <vt:i4>2192</vt:i4>
      </vt:variant>
      <vt:variant>
        <vt:i4>0</vt:i4>
      </vt:variant>
      <vt:variant>
        <vt:i4>5</vt:i4>
      </vt:variant>
      <vt:variant>
        <vt:lpwstr/>
      </vt:variant>
      <vt:variant>
        <vt:lpwstr>_Toc232228826</vt:lpwstr>
      </vt:variant>
      <vt:variant>
        <vt:i4>1835066</vt:i4>
      </vt:variant>
      <vt:variant>
        <vt:i4>2186</vt:i4>
      </vt:variant>
      <vt:variant>
        <vt:i4>0</vt:i4>
      </vt:variant>
      <vt:variant>
        <vt:i4>5</vt:i4>
      </vt:variant>
      <vt:variant>
        <vt:lpwstr/>
      </vt:variant>
      <vt:variant>
        <vt:lpwstr>_Toc232228825</vt:lpwstr>
      </vt:variant>
      <vt:variant>
        <vt:i4>1835066</vt:i4>
      </vt:variant>
      <vt:variant>
        <vt:i4>2180</vt:i4>
      </vt:variant>
      <vt:variant>
        <vt:i4>0</vt:i4>
      </vt:variant>
      <vt:variant>
        <vt:i4>5</vt:i4>
      </vt:variant>
      <vt:variant>
        <vt:lpwstr/>
      </vt:variant>
      <vt:variant>
        <vt:lpwstr>_Toc232228824</vt:lpwstr>
      </vt:variant>
      <vt:variant>
        <vt:i4>1835066</vt:i4>
      </vt:variant>
      <vt:variant>
        <vt:i4>2174</vt:i4>
      </vt:variant>
      <vt:variant>
        <vt:i4>0</vt:i4>
      </vt:variant>
      <vt:variant>
        <vt:i4>5</vt:i4>
      </vt:variant>
      <vt:variant>
        <vt:lpwstr/>
      </vt:variant>
      <vt:variant>
        <vt:lpwstr>_Toc232228823</vt:lpwstr>
      </vt:variant>
      <vt:variant>
        <vt:i4>1835066</vt:i4>
      </vt:variant>
      <vt:variant>
        <vt:i4>2168</vt:i4>
      </vt:variant>
      <vt:variant>
        <vt:i4>0</vt:i4>
      </vt:variant>
      <vt:variant>
        <vt:i4>5</vt:i4>
      </vt:variant>
      <vt:variant>
        <vt:lpwstr/>
      </vt:variant>
      <vt:variant>
        <vt:lpwstr>_Toc232228822</vt:lpwstr>
      </vt:variant>
      <vt:variant>
        <vt:i4>1835066</vt:i4>
      </vt:variant>
      <vt:variant>
        <vt:i4>2162</vt:i4>
      </vt:variant>
      <vt:variant>
        <vt:i4>0</vt:i4>
      </vt:variant>
      <vt:variant>
        <vt:i4>5</vt:i4>
      </vt:variant>
      <vt:variant>
        <vt:lpwstr/>
      </vt:variant>
      <vt:variant>
        <vt:lpwstr>_Toc232228821</vt:lpwstr>
      </vt:variant>
      <vt:variant>
        <vt:i4>1835066</vt:i4>
      </vt:variant>
      <vt:variant>
        <vt:i4>2156</vt:i4>
      </vt:variant>
      <vt:variant>
        <vt:i4>0</vt:i4>
      </vt:variant>
      <vt:variant>
        <vt:i4>5</vt:i4>
      </vt:variant>
      <vt:variant>
        <vt:lpwstr/>
      </vt:variant>
      <vt:variant>
        <vt:lpwstr>_Toc232228820</vt:lpwstr>
      </vt:variant>
      <vt:variant>
        <vt:i4>2031674</vt:i4>
      </vt:variant>
      <vt:variant>
        <vt:i4>2150</vt:i4>
      </vt:variant>
      <vt:variant>
        <vt:i4>0</vt:i4>
      </vt:variant>
      <vt:variant>
        <vt:i4>5</vt:i4>
      </vt:variant>
      <vt:variant>
        <vt:lpwstr/>
      </vt:variant>
      <vt:variant>
        <vt:lpwstr>_Toc232228819</vt:lpwstr>
      </vt:variant>
      <vt:variant>
        <vt:i4>2031674</vt:i4>
      </vt:variant>
      <vt:variant>
        <vt:i4>2144</vt:i4>
      </vt:variant>
      <vt:variant>
        <vt:i4>0</vt:i4>
      </vt:variant>
      <vt:variant>
        <vt:i4>5</vt:i4>
      </vt:variant>
      <vt:variant>
        <vt:lpwstr/>
      </vt:variant>
      <vt:variant>
        <vt:lpwstr>_Toc232228818</vt:lpwstr>
      </vt:variant>
      <vt:variant>
        <vt:i4>2031674</vt:i4>
      </vt:variant>
      <vt:variant>
        <vt:i4>2138</vt:i4>
      </vt:variant>
      <vt:variant>
        <vt:i4>0</vt:i4>
      </vt:variant>
      <vt:variant>
        <vt:i4>5</vt:i4>
      </vt:variant>
      <vt:variant>
        <vt:lpwstr/>
      </vt:variant>
      <vt:variant>
        <vt:lpwstr>_Toc232228817</vt:lpwstr>
      </vt:variant>
      <vt:variant>
        <vt:i4>2031674</vt:i4>
      </vt:variant>
      <vt:variant>
        <vt:i4>2132</vt:i4>
      </vt:variant>
      <vt:variant>
        <vt:i4>0</vt:i4>
      </vt:variant>
      <vt:variant>
        <vt:i4>5</vt:i4>
      </vt:variant>
      <vt:variant>
        <vt:lpwstr/>
      </vt:variant>
      <vt:variant>
        <vt:lpwstr>_Toc232228816</vt:lpwstr>
      </vt:variant>
      <vt:variant>
        <vt:i4>2031674</vt:i4>
      </vt:variant>
      <vt:variant>
        <vt:i4>2126</vt:i4>
      </vt:variant>
      <vt:variant>
        <vt:i4>0</vt:i4>
      </vt:variant>
      <vt:variant>
        <vt:i4>5</vt:i4>
      </vt:variant>
      <vt:variant>
        <vt:lpwstr/>
      </vt:variant>
      <vt:variant>
        <vt:lpwstr>_Toc232228815</vt:lpwstr>
      </vt:variant>
      <vt:variant>
        <vt:i4>2031674</vt:i4>
      </vt:variant>
      <vt:variant>
        <vt:i4>2120</vt:i4>
      </vt:variant>
      <vt:variant>
        <vt:i4>0</vt:i4>
      </vt:variant>
      <vt:variant>
        <vt:i4>5</vt:i4>
      </vt:variant>
      <vt:variant>
        <vt:lpwstr/>
      </vt:variant>
      <vt:variant>
        <vt:lpwstr>_Toc232228814</vt:lpwstr>
      </vt:variant>
      <vt:variant>
        <vt:i4>2031674</vt:i4>
      </vt:variant>
      <vt:variant>
        <vt:i4>2114</vt:i4>
      </vt:variant>
      <vt:variant>
        <vt:i4>0</vt:i4>
      </vt:variant>
      <vt:variant>
        <vt:i4>5</vt:i4>
      </vt:variant>
      <vt:variant>
        <vt:lpwstr/>
      </vt:variant>
      <vt:variant>
        <vt:lpwstr>_Toc232228813</vt:lpwstr>
      </vt:variant>
      <vt:variant>
        <vt:i4>2031674</vt:i4>
      </vt:variant>
      <vt:variant>
        <vt:i4>2108</vt:i4>
      </vt:variant>
      <vt:variant>
        <vt:i4>0</vt:i4>
      </vt:variant>
      <vt:variant>
        <vt:i4>5</vt:i4>
      </vt:variant>
      <vt:variant>
        <vt:lpwstr/>
      </vt:variant>
      <vt:variant>
        <vt:lpwstr>_Toc232228812</vt:lpwstr>
      </vt:variant>
      <vt:variant>
        <vt:i4>2031674</vt:i4>
      </vt:variant>
      <vt:variant>
        <vt:i4>2102</vt:i4>
      </vt:variant>
      <vt:variant>
        <vt:i4>0</vt:i4>
      </vt:variant>
      <vt:variant>
        <vt:i4>5</vt:i4>
      </vt:variant>
      <vt:variant>
        <vt:lpwstr/>
      </vt:variant>
      <vt:variant>
        <vt:lpwstr>_Toc232228811</vt:lpwstr>
      </vt:variant>
      <vt:variant>
        <vt:i4>2031674</vt:i4>
      </vt:variant>
      <vt:variant>
        <vt:i4>2096</vt:i4>
      </vt:variant>
      <vt:variant>
        <vt:i4>0</vt:i4>
      </vt:variant>
      <vt:variant>
        <vt:i4>5</vt:i4>
      </vt:variant>
      <vt:variant>
        <vt:lpwstr/>
      </vt:variant>
      <vt:variant>
        <vt:lpwstr>_Toc232228810</vt:lpwstr>
      </vt:variant>
      <vt:variant>
        <vt:i4>1966138</vt:i4>
      </vt:variant>
      <vt:variant>
        <vt:i4>2090</vt:i4>
      </vt:variant>
      <vt:variant>
        <vt:i4>0</vt:i4>
      </vt:variant>
      <vt:variant>
        <vt:i4>5</vt:i4>
      </vt:variant>
      <vt:variant>
        <vt:lpwstr/>
      </vt:variant>
      <vt:variant>
        <vt:lpwstr>_Toc232228809</vt:lpwstr>
      </vt:variant>
      <vt:variant>
        <vt:i4>1966138</vt:i4>
      </vt:variant>
      <vt:variant>
        <vt:i4>2084</vt:i4>
      </vt:variant>
      <vt:variant>
        <vt:i4>0</vt:i4>
      </vt:variant>
      <vt:variant>
        <vt:i4>5</vt:i4>
      </vt:variant>
      <vt:variant>
        <vt:lpwstr/>
      </vt:variant>
      <vt:variant>
        <vt:lpwstr>_Toc232228808</vt:lpwstr>
      </vt:variant>
      <vt:variant>
        <vt:i4>1966138</vt:i4>
      </vt:variant>
      <vt:variant>
        <vt:i4>2078</vt:i4>
      </vt:variant>
      <vt:variant>
        <vt:i4>0</vt:i4>
      </vt:variant>
      <vt:variant>
        <vt:i4>5</vt:i4>
      </vt:variant>
      <vt:variant>
        <vt:lpwstr/>
      </vt:variant>
      <vt:variant>
        <vt:lpwstr>_Toc232228807</vt:lpwstr>
      </vt:variant>
      <vt:variant>
        <vt:i4>1966138</vt:i4>
      </vt:variant>
      <vt:variant>
        <vt:i4>2072</vt:i4>
      </vt:variant>
      <vt:variant>
        <vt:i4>0</vt:i4>
      </vt:variant>
      <vt:variant>
        <vt:i4>5</vt:i4>
      </vt:variant>
      <vt:variant>
        <vt:lpwstr/>
      </vt:variant>
      <vt:variant>
        <vt:lpwstr>_Toc232228806</vt:lpwstr>
      </vt:variant>
      <vt:variant>
        <vt:i4>1966138</vt:i4>
      </vt:variant>
      <vt:variant>
        <vt:i4>2066</vt:i4>
      </vt:variant>
      <vt:variant>
        <vt:i4>0</vt:i4>
      </vt:variant>
      <vt:variant>
        <vt:i4>5</vt:i4>
      </vt:variant>
      <vt:variant>
        <vt:lpwstr/>
      </vt:variant>
      <vt:variant>
        <vt:lpwstr>_Toc232228805</vt:lpwstr>
      </vt:variant>
      <vt:variant>
        <vt:i4>1966138</vt:i4>
      </vt:variant>
      <vt:variant>
        <vt:i4>2060</vt:i4>
      </vt:variant>
      <vt:variant>
        <vt:i4>0</vt:i4>
      </vt:variant>
      <vt:variant>
        <vt:i4>5</vt:i4>
      </vt:variant>
      <vt:variant>
        <vt:lpwstr/>
      </vt:variant>
      <vt:variant>
        <vt:lpwstr>_Toc232228804</vt:lpwstr>
      </vt:variant>
      <vt:variant>
        <vt:i4>1966138</vt:i4>
      </vt:variant>
      <vt:variant>
        <vt:i4>2054</vt:i4>
      </vt:variant>
      <vt:variant>
        <vt:i4>0</vt:i4>
      </vt:variant>
      <vt:variant>
        <vt:i4>5</vt:i4>
      </vt:variant>
      <vt:variant>
        <vt:lpwstr/>
      </vt:variant>
      <vt:variant>
        <vt:lpwstr>_Toc232228803</vt:lpwstr>
      </vt:variant>
      <vt:variant>
        <vt:i4>1966138</vt:i4>
      </vt:variant>
      <vt:variant>
        <vt:i4>2048</vt:i4>
      </vt:variant>
      <vt:variant>
        <vt:i4>0</vt:i4>
      </vt:variant>
      <vt:variant>
        <vt:i4>5</vt:i4>
      </vt:variant>
      <vt:variant>
        <vt:lpwstr/>
      </vt:variant>
      <vt:variant>
        <vt:lpwstr>_Toc232228802</vt:lpwstr>
      </vt:variant>
      <vt:variant>
        <vt:i4>1966138</vt:i4>
      </vt:variant>
      <vt:variant>
        <vt:i4>2042</vt:i4>
      </vt:variant>
      <vt:variant>
        <vt:i4>0</vt:i4>
      </vt:variant>
      <vt:variant>
        <vt:i4>5</vt:i4>
      </vt:variant>
      <vt:variant>
        <vt:lpwstr/>
      </vt:variant>
      <vt:variant>
        <vt:lpwstr>_Toc232228801</vt:lpwstr>
      </vt:variant>
      <vt:variant>
        <vt:i4>1966138</vt:i4>
      </vt:variant>
      <vt:variant>
        <vt:i4>2036</vt:i4>
      </vt:variant>
      <vt:variant>
        <vt:i4>0</vt:i4>
      </vt:variant>
      <vt:variant>
        <vt:i4>5</vt:i4>
      </vt:variant>
      <vt:variant>
        <vt:lpwstr/>
      </vt:variant>
      <vt:variant>
        <vt:lpwstr>_Toc232228800</vt:lpwstr>
      </vt:variant>
      <vt:variant>
        <vt:i4>1507381</vt:i4>
      </vt:variant>
      <vt:variant>
        <vt:i4>2030</vt:i4>
      </vt:variant>
      <vt:variant>
        <vt:i4>0</vt:i4>
      </vt:variant>
      <vt:variant>
        <vt:i4>5</vt:i4>
      </vt:variant>
      <vt:variant>
        <vt:lpwstr/>
      </vt:variant>
      <vt:variant>
        <vt:lpwstr>_Toc232228799</vt:lpwstr>
      </vt:variant>
      <vt:variant>
        <vt:i4>1507381</vt:i4>
      </vt:variant>
      <vt:variant>
        <vt:i4>2024</vt:i4>
      </vt:variant>
      <vt:variant>
        <vt:i4>0</vt:i4>
      </vt:variant>
      <vt:variant>
        <vt:i4>5</vt:i4>
      </vt:variant>
      <vt:variant>
        <vt:lpwstr/>
      </vt:variant>
      <vt:variant>
        <vt:lpwstr>_Toc232228798</vt:lpwstr>
      </vt:variant>
      <vt:variant>
        <vt:i4>1507381</vt:i4>
      </vt:variant>
      <vt:variant>
        <vt:i4>2018</vt:i4>
      </vt:variant>
      <vt:variant>
        <vt:i4>0</vt:i4>
      </vt:variant>
      <vt:variant>
        <vt:i4>5</vt:i4>
      </vt:variant>
      <vt:variant>
        <vt:lpwstr/>
      </vt:variant>
      <vt:variant>
        <vt:lpwstr>_Toc232228797</vt:lpwstr>
      </vt:variant>
      <vt:variant>
        <vt:i4>1507381</vt:i4>
      </vt:variant>
      <vt:variant>
        <vt:i4>2012</vt:i4>
      </vt:variant>
      <vt:variant>
        <vt:i4>0</vt:i4>
      </vt:variant>
      <vt:variant>
        <vt:i4>5</vt:i4>
      </vt:variant>
      <vt:variant>
        <vt:lpwstr/>
      </vt:variant>
      <vt:variant>
        <vt:lpwstr>_Toc232228796</vt:lpwstr>
      </vt:variant>
      <vt:variant>
        <vt:i4>1507381</vt:i4>
      </vt:variant>
      <vt:variant>
        <vt:i4>2006</vt:i4>
      </vt:variant>
      <vt:variant>
        <vt:i4>0</vt:i4>
      </vt:variant>
      <vt:variant>
        <vt:i4>5</vt:i4>
      </vt:variant>
      <vt:variant>
        <vt:lpwstr/>
      </vt:variant>
      <vt:variant>
        <vt:lpwstr>_Toc232228795</vt:lpwstr>
      </vt:variant>
      <vt:variant>
        <vt:i4>1507381</vt:i4>
      </vt:variant>
      <vt:variant>
        <vt:i4>2000</vt:i4>
      </vt:variant>
      <vt:variant>
        <vt:i4>0</vt:i4>
      </vt:variant>
      <vt:variant>
        <vt:i4>5</vt:i4>
      </vt:variant>
      <vt:variant>
        <vt:lpwstr/>
      </vt:variant>
      <vt:variant>
        <vt:lpwstr>_Toc232228794</vt:lpwstr>
      </vt:variant>
      <vt:variant>
        <vt:i4>1507381</vt:i4>
      </vt:variant>
      <vt:variant>
        <vt:i4>1994</vt:i4>
      </vt:variant>
      <vt:variant>
        <vt:i4>0</vt:i4>
      </vt:variant>
      <vt:variant>
        <vt:i4>5</vt:i4>
      </vt:variant>
      <vt:variant>
        <vt:lpwstr/>
      </vt:variant>
      <vt:variant>
        <vt:lpwstr>_Toc232228793</vt:lpwstr>
      </vt:variant>
      <vt:variant>
        <vt:i4>1507381</vt:i4>
      </vt:variant>
      <vt:variant>
        <vt:i4>1988</vt:i4>
      </vt:variant>
      <vt:variant>
        <vt:i4>0</vt:i4>
      </vt:variant>
      <vt:variant>
        <vt:i4>5</vt:i4>
      </vt:variant>
      <vt:variant>
        <vt:lpwstr/>
      </vt:variant>
      <vt:variant>
        <vt:lpwstr>_Toc232228792</vt:lpwstr>
      </vt:variant>
      <vt:variant>
        <vt:i4>1507381</vt:i4>
      </vt:variant>
      <vt:variant>
        <vt:i4>1982</vt:i4>
      </vt:variant>
      <vt:variant>
        <vt:i4>0</vt:i4>
      </vt:variant>
      <vt:variant>
        <vt:i4>5</vt:i4>
      </vt:variant>
      <vt:variant>
        <vt:lpwstr/>
      </vt:variant>
      <vt:variant>
        <vt:lpwstr>_Toc232228791</vt:lpwstr>
      </vt:variant>
      <vt:variant>
        <vt:i4>1507381</vt:i4>
      </vt:variant>
      <vt:variant>
        <vt:i4>1976</vt:i4>
      </vt:variant>
      <vt:variant>
        <vt:i4>0</vt:i4>
      </vt:variant>
      <vt:variant>
        <vt:i4>5</vt:i4>
      </vt:variant>
      <vt:variant>
        <vt:lpwstr/>
      </vt:variant>
      <vt:variant>
        <vt:lpwstr>_Toc232228790</vt:lpwstr>
      </vt:variant>
      <vt:variant>
        <vt:i4>1441845</vt:i4>
      </vt:variant>
      <vt:variant>
        <vt:i4>1970</vt:i4>
      </vt:variant>
      <vt:variant>
        <vt:i4>0</vt:i4>
      </vt:variant>
      <vt:variant>
        <vt:i4>5</vt:i4>
      </vt:variant>
      <vt:variant>
        <vt:lpwstr/>
      </vt:variant>
      <vt:variant>
        <vt:lpwstr>_Toc232228789</vt:lpwstr>
      </vt:variant>
      <vt:variant>
        <vt:i4>1441845</vt:i4>
      </vt:variant>
      <vt:variant>
        <vt:i4>1964</vt:i4>
      </vt:variant>
      <vt:variant>
        <vt:i4>0</vt:i4>
      </vt:variant>
      <vt:variant>
        <vt:i4>5</vt:i4>
      </vt:variant>
      <vt:variant>
        <vt:lpwstr/>
      </vt:variant>
      <vt:variant>
        <vt:lpwstr>_Toc232228788</vt:lpwstr>
      </vt:variant>
      <vt:variant>
        <vt:i4>1441845</vt:i4>
      </vt:variant>
      <vt:variant>
        <vt:i4>1958</vt:i4>
      </vt:variant>
      <vt:variant>
        <vt:i4>0</vt:i4>
      </vt:variant>
      <vt:variant>
        <vt:i4>5</vt:i4>
      </vt:variant>
      <vt:variant>
        <vt:lpwstr/>
      </vt:variant>
      <vt:variant>
        <vt:lpwstr>_Toc232228787</vt:lpwstr>
      </vt:variant>
      <vt:variant>
        <vt:i4>1441845</vt:i4>
      </vt:variant>
      <vt:variant>
        <vt:i4>1952</vt:i4>
      </vt:variant>
      <vt:variant>
        <vt:i4>0</vt:i4>
      </vt:variant>
      <vt:variant>
        <vt:i4>5</vt:i4>
      </vt:variant>
      <vt:variant>
        <vt:lpwstr/>
      </vt:variant>
      <vt:variant>
        <vt:lpwstr>_Toc232228786</vt:lpwstr>
      </vt:variant>
      <vt:variant>
        <vt:i4>1441845</vt:i4>
      </vt:variant>
      <vt:variant>
        <vt:i4>1946</vt:i4>
      </vt:variant>
      <vt:variant>
        <vt:i4>0</vt:i4>
      </vt:variant>
      <vt:variant>
        <vt:i4>5</vt:i4>
      </vt:variant>
      <vt:variant>
        <vt:lpwstr/>
      </vt:variant>
      <vt:variant>
        <vt:lpwstr>_Toc232228785</vt:lpwstr>
      </vt:variant>
      <vt:variant>
        <vt:i4>1441845</vt:i4>
      </vt:variant>
      <vt:variant>
        <vt:i4>1940</vt:i4>
      </vt:variant>
      <vt:variant>
        <vt:i4>0</vt:i4>
      </vt:variant>
      <vt:variant>
        <vt:i4>5</vt:i4>
      </vt:variant>
      <vt:variant>
        <vt:lpwstr/>
      </vt:variant>
      <vt:variant>
        <vt:lpwstr>_Toc232228784</vt:lpwstr>
      </vt:variant>
      <vt:variant>
        <vt:i4>1441845</vt:i4>
      </vt:variant>
      <vt:variant>
        <vt:i4>1934</vt:i4>
      </vt:variant>
      <vt:variant>
        <vt:i4>0</vt:i4>
      </vt:variant>
      <vt:variant>
        <vt:i4>5</vt:i4>
      </vt:variant>
      <vt:variant>
        <vt:lpwstr/>
      </vt:variant>
      <vt:variant>
        <vt:lpwstr>_Toc232228783</vt:lpwstr>
      </vt:variant>
      <vt:variant>
        <vt:i4>1441845</vt:i4>
      </vt:variant>
      <vt:variant>
        <vt:i4>1928</vt:i4>
      </vt:variant>
      <vt:variant>
        <vt:i4>0</vt:i4>
      </vt:variant>
      <vt:variant>
        <vt:i4>5</vt:i4>
      </vt:variant>
      <vt:variant>
        <vt:lpwstr/>
      </vt:variant>
      <vt:variant>
        <vt:lpwstr>_Toc232228782</vt:lpwstr>
      </vt:variant>
      <vt:variant>
        <vt:i4>1441845</vt:i4>
      </vt:variant>
      <vt:variant>
        <vt:i4>1922</vt:i4>
      </vt:variant>
      <vt:variant>
        <vt:i4>0</vt:i4>
      </vt:variant>
      <vt:variant>
        <vt:i4>5</vt:i4>
      </vt:variant>
      <vt:variant>
        <vt:lpwstr/>
      </vt:variant>
      <vt:variant>
        <vt:lpwstr>_Toc232228781</vt:lpwstr>
      </vt:variant>
      <vt:variant>
        <vt:i4>1441845</vt:i4>
      </vt:variant>
      <vt:variant>
        <vt:i4>1916</vt:i4>
      </vt:variant>
      <vt:variant>
        <vt:i4>0</vt:i4>
      </vt:variant>
      <vt:variant>
        <vt:i4>5</vt:i4>
      </vt:variant>
      <vt:variant>
        <vt:lpwstr/>
      </vt:variant>
      <vt:variant>
        <vt:lpwstr>_Toc232228780</vt:lpwstr>
      </vt:variant>
      <vt:variant>
        <vt:i4>1638453</vt:i4>
      </vt:variant>
      <vt:variant>
        <vt:i4>1910</vt:i4>
      </vt:variant>
      <vt:variant>
        <vt:i4>0</vt:i4>
      </vt:variant>
      <vt:variant>
        <vt:i4>5</vt:i4>
      </vt:variant>
      <vt:variant>
        <vt:lpwstr/>
      </vt:variant>
      <vt:variant>
        <vt:lpwstr>_Toc232228779</vt:lpwstr>
      </vt:variant>
      <vt:variant>
        <vt:i4>1638453</vt:i4>
      </vt:variant>
      <vt:variant>
        <vt:i4>1904</vt:i4>
      </vt:variant>
      <vt:variant>
        <vt:i4>0</vt:i4>
      </vt:variant>
      <vt:variant>
        <vt:i4>5</vt:i4>
      </vt:variant>
      <vt:variant>
        <vt:lpwstr/>
      </vt:variant>
      <vt:variant>
        <vt:lpwstr>_Toc232228778</vt:lpwstr>
      </vt:variant>
      <vt:variant>
        <vt:i4>1638453</vt:i4>
      </vt:variant>
      <vt:variant>
        <vt:i4>1898</vt:i4>
      </vt:variant>
      <vt:variant>
        <vt:i4>0</vt:i4>
      </vt:variant>
      <vt:variant>
        <vt:i4>5</vt:i4>
      </vt:variant>
      <vt:variant>
        <vt:lpwstr/>
      </vt:variant>
      <vt:variant>
        <vt:lpwstr>_Toc232228777</vt:lpwstr>
      </vt:variant>
      <vt:variant>
        <vt:i4>1638453</vt:i4>
      </vt:variant>
      <vt:variant>
        <vt:i4>1892</vt:i4>
      </vt:variant>
      <vt:variant>
        <vt:i4>0</vt:i4>
      </vt:variant>
      <vt:variant>
        <vt:i4>5</vt:i4>
      </vt:variant>
      <vt:variant>
        <vt:lpwstr/>
      </vt:variant>
      <vt:variant>
        <vt:lpwstr>_Toc232228776</vt:lpwstr>
      </vt:variant>
      <vt:variant>
        <vt:i4>1638453</vt:i4>
      </vt:variant>
      <vt:variant>
        <vt:i4>1886</vt:i4>
      </vt:variant>
      <vt:variant>
        <vt:i4>0</vt:i4>
      </vt:variant>
      <vt:variant>
        <vt:i4>5</vt:i4>
      </vt:variant>
      <vt:variant>
        <vt:lpwstr/>
      </vt:variant>
      <vt:variant>
        <vt:lpwstr>_Toc232228775</vt:lpwstr>
      </vt:variant>
      <vt:variant>
        <vt:i4>1638453</vt:i4>
      </vt:variant>
      <vt:variant>
        <vt:i4>1880</vt:i4>
      </vt:variant>
      <vt:variant>
        <vt:i4>0</vt:i4>
      </vt:variant>
      <vt:variant>
        <vt:i4>5</vt:i4>
      </vt:variant>
      <vt:variant>
        <vt:lpwstr/>
      </vt:variant>
      <vt:variant>
        <vt:lpwstr>_Toc232228774</vt:lpwstr>
      </vt:variant>
      <vt:variant>
        <vt:i4>1638453</vt:i4>
      </vt:variant>
      <vt:variant>
        <vt:i4>1874</vt:i4>
      </vt:variant>
      <vt:variant>
        <vt:i4>0</vt:i4>
      </vt:variant>
      <vt:variant>
        <vt:i4>5</vt:i4>
      </vt:variant>
      <vt:variant>
        <vt:lpwstr/>
      </vt:variant>
      <vt:variant>
        <vt:lpwstr>_Toc232228773</vt:lpwstr>
      </vt:variant>
      <vt:variant>
        <vt:i4>1638453</vt:i4>
      </vt:variant>
      <vt:variant>
        <vt:i4>1868</vt:i4>
      </vt:variant>
      <vt:variant>
        <vt:i4>0</vt:i4>
      </vt:variant>
      <vt:variant>
        <vt:i4>5</vt:i4>
      </vt:variant>
      <vt:variant>
        <vt:lpwstr/>
      </vt:variant>
      <vt:variant>
        <vt:lpwstr>_Toc232228772</vt:lpwstr>
      </vt:variant>
      <vt:variant>
        <vt:i4>1638453</vt:i4>
      </vt:variant>
      <vt:variant>
        <vt:i4>1862</vt:i4>
      </vt:variant>
      <vt:variant>
        <vt:i4>0</vt:i4>
      </vt:variant>
      <vt:variant>
        <vt:i4>5</vt:i4>
      </vt:variant>
      <vt:variant>
        <vt:lpwstr/>
      </vt:variant>
      <vt:variant>
        <vt:lpwstr>_Toc232228771</vt:lpwstr>
      </vt:variant>
      <vt:variant>
        <vt:i4>1638453</vt:i4>
      </vt:variant>
      <vt:variant>
        <vt:i4>1856</vt:i4>
      </vt:variant>
      <vt:variant>
        <vt:i4>0</vt:i4>
      </vt:variant>
      <vt:variant>
        <vt:i4>5</vt:i4>
      </vt:variant>
      <vt:variant>
        <vt:lpwstr/>
      </vt:variant>
      <vt:variant>
        <vt:lpwstr>_Toc232228770</vt:lpwstr>
      </vt:variant>
      <vt:variant>
        <vt:i4>1572917</vt:i4>
      </vt:variant>
      <vt:variant>
        <vt:i4>1850</vt:i4>
      </vt:variant>
      <vt:variant>
        <vt:i4>0</vt:i4>
      </vt:variant>
      <vt:variant>
        <vt:i4>5</vt:i4>
      </vt:variant>
      <vt:variant>
        <vt:lpwstr/>
      </vt:variant>
      <vt:variant>
        <vt:lpwstr>_Toc232228769</vt:lpwstr>
      </vt:variant>
      <vt:variant>
        <vt:i4>1572917</vt:i4>
      </vt:variant>
      <vt:variant>
        <vt:i4>1844</vt:i4>
      </vt:variant>
      <vt:variant>
        <vt:i4>0</vt:i4>
      </vt:variant>
      <vt:variant>
        <vt:i4>5</vt:i4>
      </vt:variant>
      <vt:variant>
        <vt:lpwstr/>
      </vt:variant>
      <vt:variant>
        <vt:lpwstr>_Toc232228768</vt:lpwstr>
      </vt:variant>
      <vt:variant>
        <vt:i4>1572917</vt:i4>
      </vt:variant>
      <vt:variant>
        <vt:i4>1838</vt:i4>
      </vt:variant>
      <vt:variant>
        <vt:i4>0</vt:i4>
      </vt:variant>
      <vt:variant>
        <vt:i4>5</vt:i4>
      </vt:variant>
      <vt:variant>
        <vt:lpwstr/>
      </vt:variant>
      <vt:variant>
        <vt:lpwstr>_Toc232228767</vt:lpwstr>
      </vt:variant>
      <vt:variant>
        <vt:i4>1572917</vt:i4>
      </vt:variant>
      <vt:variant>
        <vt:i4>1832</vt:i4>
      </vt:variant>
      <vt:variant>
        <vt:i4>0</vt:i4>
      </vt:variant>
      <vt:variant>
        <vt:i4>5</vt:i4>
      </vt:variant>
      <vt:variant>
        <vt:lpwstr/>
      </vt:variant>
      <vt:variant>
        <vt:lpwstr>_Toc232228766</vt:lpwstr>
      </vt:variant>
      <vt:variant>
        <vt:i4>1572917</vt:i4>
      </vt:variant>
      <vt:variant>
        <vt:i4>1826</vt:i4>
      </vt:variant>
      <vt:variant>
        <vt:i4>0</vt:i4>
      </vt:variant>
      <vt:variant>
        <vt:i4>5</vt:i4>
      </vt:variant>
      <vt:variant>
        <vt:lpwstr/>
      </vt:variant>
      <vt:variant>
        <vt:lpwstr>_Toc232228765</vt:lpwstr>
      </vt:variant>
      <vt:variant>
        <vt:i4>1572917</vt:i4>
      </vt:variant>
      <vt:variant>
        <vt:i4>1820</vt:i4>
      </vt:variant>
      <vt:variant>
        <vt:i4>0</vt:i4>
      </vt:variant>
      <vt:variant>
        <vt:i4>5</vt:i4>
      </vt:variant>
      <vt:variant>
        <vt:lpwstr/>
      </vt:variant>
      <vt:variant>
        <vt:lpwstr>_Toc232228764</vt:lpwstr>
      </vt:variant>
      <vt:variant>
        <vt:i4>1572917</vt:i4>
      </vt:variant>
      <vt:variant>
        <vt:i4>1814</vt:i4>
      </vt:variant>
      <vt:variant>
        <vt:i4>0</vt:i4>
      </vt:variant>
      <vt:variant>
        <vt:i4>5</vt:i4>
      </vt:variant>
      <vt:variant>
        <vt:lpwstr/>
      </vt:variant>
      <vt:variant>
        <vt:lpwstr>_Toc232228763</vt:lpwstr>
      </vt:variant>
      <vt:variant>
        <vt:i4>1572917</vt:i4>
      </vt:variant>
      <vt:variant>
        <vt:i4>1808</vt:i4>
      </vt:variant>
      <vt:variant>
        <vt:i4>0</vt:i4>
      </vt:variant>
      <vt:variant>
        <vt:i4>5</vt:i4>
      </vt:variant>
      <vt:variant>
        <vt:lpwstr/>
      </vt:variant>
      <vt:variant>
        <vt:lpwstr>_Toc232228762</vt:lpwstr>
      </vt:variant>
      <vt:variant>
        <vt:i4>1572917</vt:i4>
      </vt:variant>
      <vt:variant>
        <vt:i4>1802</vt:i4>
      </vt:variant>
      <vt:variant>
        <vt:i4>0</vt:i4>
      </vt:variant>
      <vt:variant>
        <vt:i4>5</vt:i4>
      </vt:variant>
      <vt:variant>
        <vt:lpwstr/>
      </vt:variant>
      <vt:variant>
        <vt:lpwstr>_Toc232228761</vt:lpwstr>
      </vt:variant>
      <vt:variant>
        <vt:i4>1507379</vt:i4>
      </vt:variant>
      <vt:variant>
        <vt:i4>1793</vt:i4>
      </vt:variant>
      <vt:variant>
        <vt:i4>0</vt:i4>
      </vt:variant>
      <vt:variant>
        <vt:i4>5</vt:i4>
      </vt:variant>
      <vt:variant>
        <vt:lpwstr/>
      </vt:variant>
      <vt:variant>
        <vt:lpwstr>_Toc232223120</vt:lpwstr>
      </vt:variant>
      <vt:variant>
        <vt:i4>1310771</vt:i4>
      </vt:variant>
      <vt:variant>
        <vt:i4>1787</vt:i4>
      </vt:variant>
      <vt:variant>
        <vt:i4>0</vt:i4>
      </vt:variant>
      <vt:variant>
        <vt:i4>5</vt:i4>
      </vt:variant>
      <vt:variant>
        <vt:lpwstr/>
      </vt:variant>
      <vt:variant>
        <vt:lpwstr>_Toc232223119</vt:lpwstr>
      </vt:variant>
      <vt:variant>
        <vt:i4>1310771</vt:i4>
      </vt:variant>
      <vt:variant>
        <vt:i4>1781</vt:i4>
      </vt:variant>
      <vt:variant>
        <vt:i4>0</vt:i4>
      </vt:variant>
      <vt:variant>
        <vt:i4>5</vt:i4>
      </vt:variant>
      <vt:variant>
        <vt:lpwstr/>
      </vt:variant>
      <vt:variant>
        <vt:lpwstr>_Toc232223118</vt:lpwstr>
      </vt:variant>
      <vt:variant>
        <vt:i4>1310771</vt:i4>
      </vt:variant>
      <vt:variant>
        <vt:i4>1775</vt:i4>
      </vt:variant>
      <vt:variant>
        <vt:i4>0</vt:i4>
      </vt:variant>
      <vt:variant>
        <vt:i4>5</vt:i4>
      </vt:variant>
      <vt:variant>
        <vt:lpwstr/>
      </vt:variant>
      <vt:variant>
        <vt:lpwstr>_Toc232223117</vt:lpwstr>
      </vt:variant>
      <vt:variant>
        <vt:i4>1310771</vt:i4>
      </vt:variant>
      <vt:variant>
        <vt:i4>1769</vt:i4>
      </vt:variant>
      <vt:variant>
        <vt:i4>0</vt:i4>
      </vt:variant>
      <vt:variant>
        <vt:i4>5</vt:i4>
      </vt:variant>
      <vt:variant>
        <vt:lpwstr/>
      </vt:variant>
      <vt:variant>
        <vt:lpwstr>_Toc232223116</vt:lpwstr>
      </vt:variant>
      <vt:variant>
        <vt:i4>1310771</vt:i4>
      </vt:variant>
      <vt:variant>
        <vt:i4>1763</vt:i4>
      </vt:variant>
      <vt:variant>
        <vt:i4>0</vt:i4>
      </vt:variant>
      <vt:variant>
        <vt:i4>5</vt:i4>
      </vt:variant>
      <vt:variant>
        <vt:lpwstr/>
      </vt:variant>
      <vt:variant>
        <vt:lpwstr>_Toc232223115</vt:lpwstr>
      </vt:variant>
      <vt:variant>
        <vt:i4>1310771</vt:i4>
      </vt:variant>
      <vt:variant>
        <vt:i4>1757</vt:i4>
      </vt:variant>
      <vt:variant>
        <vt:i4>0</vt:i4>
      </vt:variant>
      <vt:variant>
        <vt:i4>5</vt:i4>
      </vt:variant>
      <vt:variant>
        <vt:lpwstr/>
      </vt:variant>
      <vt:variant>
        <vt:lpwstr>_Toc232223114</vt:lpwstr>
      </vt:variant>
      <vt:variant>
        <vt:i4>1310771</vt:i4>
      </vt:variant>
      <vt:variant>
        <vt:i4>1751</vt:i4>
      </vt:variant>
      <vt:variant>
        <vt:i4>0</vt:i4>
      </vt:variant>
      <vt:variant>
        <vt:i4>5</vt:i4>
      </vt:variant>
      <vt:variant>
        <vt:lpwstr/>
      </vt:variant>
      <vt:variant>
        <vt:lpwstr>_Toc232223113</vt:lpwstr>
      </vt:variant>
      <vt:variant>
        <vt:i4>1310771</vt:i4>
      </vt:variant>
      <vt:variant>
        <vt:i4>1745</vt:i4>
      </vt:variant>
      <vt:variant>
        <vt:i4>0</vt:i4>
      </vt:variant>
      <vt:variant>
        <vt:i4>5</vt:i4>
      </vt:variant>
      <vt:variant>
        <vt:lpwstr/>
      </vt:variant>
      <vt:variant>
        <vt:lpwstr>_Toc232223112</vt:lpwstr>
      </vt:variant>
      <vt:variant>
        <vt:i4>1310771</vt:i4>
      </vt:variant>
      <vt:variant>
        <vt:i4>1739</vt:i4>
      </vt:variant>
      <vt:variant>
        <vt:i4>0</vt:i4>
      </vt:variant>
      <vt:variant>
        <vt:i4>5</vt:i4>
      </vt:variant>
      <vt:variant>
        <vt:lpwstr/>
      </vt:variant>
      <vt:variant>
        <vt:lpwstr>_Toc232223111</vt:lpwstr>
      </vt:variant>
      <vt:variant>
        <vt:i4>1310771</vt:i4>
      </vt:variant>
      <vt:variant>
        <vt:i4>1733</vt:i4>
      </vt:variant>
      <vt:variant>
        <vt:i4>0</vt:i4>
      </vt:variant>
      <vt:variant>
        <vt:i4>5</vt:i4>
      </vt:variant>
      <vt:variant>
        <vt:lpwstr/>
      </vt:variant>
      <vt:variant>
        <vt:lpwstr>_Toc232223110</vt:lpwstr>
      </vt:variant>
      <vt:variant>
        <vt:i4>1376307</vt:i4>
      </vt:variant>
      <vt:variant>
        <vt:i4>1727</vt:i4>
      </vt:variant>
      <vt:variant>
        <vt:i4>0</vt:i4>
      </vt:variant>
      <vt:variant>
        <vt:i4>5</vt:i4>
      </vt:variant>
      <vt:variant>
        <vt:lpwstr/>
      </vt:variant>
      <vt:variant>
        <vt:lpwstr>_Toc232223109</vt:lpwstr>
      </vt:variant>
      <vt:variant>
        <vt:i4>1376307</vt:i4>
      </vt:variant>
      <vt:variant>
        <vt:i4>1721</vt:i4>
      </vt:variant>
      <vt:variant>
        <vt:i4>0</vt:i4>
      </vt:variant>
      <vt:variant>
        <vt:i4>5</vt:i4>
      </vt:variant>
      <vt:variant>
        <vt:lpwstr/>
      </vt:variant>
      <vt:variant>
        <vt:lpwstr>_Toc232223108</vt:lpwstr>
      </vt:variant>
      <vt:variant>
        <vt:i4>1376307</vt:i4>
      </vt:variant>
      <vt:variant>
        <vt:i4>1715</vt:i4>
      </vt:variant>
      <vt:variant>
        <vt:i4>0</vt:i4>
      </vt:variant>
      <vt:variant>
        <vt:i4>5</vt:i4>
      </vt:variant>
      <vt:variant>
        <vt:lpwstr/>
      </vt:variant>
      <vt:variant>
        <vt:lpwstr>_Toc232223107</vt:lpwstr>
      </vt:variant>
      <vt:variant>
        <vt:i4>1376307</vt:i4>
      </vt:variant>
      <vt:variant>
        <vt:i4>1709</vt:i4>
      </vt:variant>
      <vt:variant>
        <vt:i4>0</vt:i4>
      </vt:variant>
      <vt:variant>
        <vt:i4>5</vt:i4>
      </vt:variant>
      <vt:variant>
        <vt:lpwstr/>
      </vt:variant>
      <vt:variant>
        <vt:lpwstr>_Toc232223106</vt:lpwstr>
      </vt:variant>
      <vt:variant>
        <vt:i4>1376307</vt:i4>
      </vt:variant>
      <vt:variant>
        <vt:i4>1703</vt:i4>
      </vt:variant>
      <vt:variant>
        <vt:i4>0</vt:i4>
      </vt:variant>
      <vt:variant>
        <vt:i4>5</vt:i4>
      </vt:variant>
      <vt:variant>
        <vt:lpwstr/>
      </vt:variant>
      <vt:variant>
        <vt:lpwstr>_Toc232223105</vt:lpwstr>
      </vt:variant>
      <vt:variant>
        <vt:i4>1376307</vt:i4>
      </vt:variant>
      <vt:variant>
        <vt:i4>1697</vt:i4>
      </vt:variant>
      <vt:variant>
        <vt:i4>0</vt:i4>
      </vt:variant>
      <vt:variant>
        <vt:i4>5</vt:i4>
      </vt:variant>
      <vt:variant>
        <vt:lpwstr/>
      </vt:variant>
      <vt:variant>
        <vt:lpwstr>_Toc232223104</vt:lpwstr>
      </vt:variant>
      <vt:variant>
        <vt:i4>1376307</vt:i4>
      </vt:variant>
      <vt:variant>
        <vt:i4>1691</vt:i4>
      </vt:variant>
      <vt:variant>
        <vt:i4>0</vt:i4>
      </vt:variant>
      <vt:variant>
        <vt:i4>5</vt:i4>
      </vt:variant>
      <vt:variant>
        <vt:lpwstr/>
      </vt:variant>
      <vt:variant>
        <vt:lpwstr>_Toc232223103</vt:lpwstr>
      </vt:variant>
      <vt:variant>
        <vt:i4>1376307</vt:i4>
      </vt:variant>
      <vt:variant>
        <vt:i4>1685</vt:i4>
      </vt:variant>
      <vt:variant>
        <vt:i4>0</vt:i4>
      </vt:variant>
      <vt:variant>
        <vt:i4>5</vt:i4>
      </vt:variant>
      <vt:variant>
        <vt:lpwstr/>
      </vt:variant>
      <vt:variant>
        <vt:lpwstr>_Toc232223102</vt:lpwstr>
      </vt:variant>
      <vt:variant>
        <vt:i4>1376307</vt:i4>
      </vt:variant>
      <vt:variant>
        <vt:i4>1679</vt:i4>
      </vt:variant>
      <vt:variant>
        <vt:i4>0</vt:i4>
      </vt:variant>
      <vt:variant>
        <vt:i4>5</vt:i4>
      </vt:variant>
      <vt:variant>
        <vt:lpwstr/>
      </vt:variant>
      <vt:variant>
        <vt:lpwstr>_Toc232223101</vt:lpwstr>
      </vt:variant>
      <vt:variant>
        <vt:i4>1376307</vt:i4>
      </vt:variant>
      <vt:variant>
        <vt:i4>1673</vt:i4>
      </vt:variant>
      <vt:variant>
        <vt:i4>0</vt:i4>
      </vt:variant>
      <vt:variant>
        <vt:i4>5</vt:i4>
      </vt:variant>
      <vt:variant>
        <vt:lpwstr/>
      </vt:variant>
      <vt:variant>
        <vt:lpwstr>_Toc232223100</vt:lpwstr>
      </vt:variant>
      <vt:variant>
        <vt:i4>1835058</vt:i4>
      </vt:variant>
      <vt:variant>
        <vt:i4>1667</vt:i4>
      </vt:variant>
      <vt:variant>
        <vt:i4>0</vt:i4>
      </vt:variant>
      <vt:variant>
        <vt:i4>5</vt:i4>
      </vt:variant>
      <vt:variant>
        <vt:lpwstr/>
      </vt:variant>
      <vt:variant>
        <vt:lpwstr>_Toc232223099</vt:lpwstr>
      </vt:variant>
      <vt:variant>
        <vt:i4>1835058</vt:i4>
      </vt:variant>
      <vt:variant>
        <vt:i4>1661</vt:i4>
      </vt:variant>
      <vt:variant>
        <vt:i4>0</vt:i4>
      </vt:variant>
      <vt:variant>
        <vt:i4>5</vt:i4>
      </vt:variant>
      <vt:variant>
        <vt:lpwstr/>
      </vt:variant>
      <vt:variant>
        <vt:lpwstr>_Toc232223098</vt:lpwstr>
      </vt:variant>
      <vt:variant>
        <vt:i4>1835058</vt:i4>
      </vt:variant>
      <vt:variant>
        <vt:i4>1655</vt:i4>
      </vt:variant>
      <vt:variant>
        <vt:i4>0</vt:i4>
      </vt:variant>
      <vt:variant>
        <vt:i4>5</vt:i4>
      </vt:variant>
      <vt:variant>
        <vt:lpwstr/>
      </vt:variant>
      <vt:variant>
        <vt:lpwstr>_Toc232223097</vt:lpwstr>
      </vt:variant>
      <vt:variant>
        <vt:i4>1835058</vt:i4>
      </vt:variant>
      <vt:variant>
        <vt:i4>1649</vt:i4>
      </vt:variant>
      <vt:variant>
        <vt:i4>0</vt:i4>
      </vt:variant>
      <vt:variant>
        <vt:i4>5</vt:i4>
      </vt:variant>
      <vt:variant>
        <vt:lpwstr/>
      </vt:variant>
      <vt:variant>
        <vt:lpwstr>_Toc232223096</vt:lpwstr>
      </vt:variant>
      <vt:variant>
        <vt:i4>1835058</vt:i4>
      </vt:variant>
      <vt:variant>
        <vt:i4>1643</vt:i4>
      </vt:variant>
      <vt:variant>
        <vt:i4>0</vt:i4>
      </vt:variant>
      <vt:variant>
        <vt:i4>5</vt:i4>
      </vt:variant>
      <vt:variant>
        <vt:lpwstr/>
      </vt:variant>
      <vt:variant>
        <vt:lpwstr>_Toc232223095</vt:lpwstr>
      </vt:variant>
      <vt:variant>
        <vt:i4>1835058</vt:i4>
      </vt:variant>
      <vt:variant>
        <vt:i4>1637</vt:i4>
      </vt:variant>
      <vt:variant>
        <vt:i4>0</vt:i4>
      </vt:variant>
      <vt:variant>
        <vt:i4>5</vt:i4>
      </vt:variant>
      <vt:variant>
        <vt:lpwstr/>
      </vt:variant>
      <vt:variant>
        <vt:lpwstr>_Toc232223094</vt:lpwstr>
      </vt:variant>
      <vt:variant>
        <vt:i4>1835058</vt:i4>
      </vt:variant>
      <vt:variant>
        <vt:i4>1631</vt:i4>
      </vt:variant>
      <vt:variant>
        <vt:i4>0</vt:i4>
      </vt:variant>
      <vt:variant>
        <vt:i4>5</vt:i4>
      </vt:variant>
      <vt:variant>
        <vt:lpwstr/>
      </vt:variant>
      <vt:variant>
        <vt:lpwstr>_Toc232223093</vt:lpwstr>
      </vt:variant>
      <vt:variant>
        <vt:i4>1835058</vt:i4>
      </vt:variant>
      <vt:variant>
        <vt:i4>1625</vt:i4>
      </vt:variant>
      <vt:variant>
        <vt:i4>0</vt:i4>
      </vt:variant>
      <vt:variant>
        <vt:i4>5</vt:i4>
      </vt:variant>
      <vt:variant>
        <vt:lpwstr/>
      </vt:variant>
      <vt:variant>
        <vt:lpwstr>_Toc232223092</vt:lpwstr>
      </vt:variant>
      <vt:variant>
        <vt:i4>1835058</vt:i4>
      </vt:variant>
      <vt:variant>
        <vt:i4>1616</vt:i4>
      </vt:variant>
      <vt:variant>
        <vt:i4>0</vt:i4>
      </vt:variant>
      <vt:variant>
        <vt:i4>5</vt:i4>
      </vt:variant>
      <vt:variant>
        <vt:lpwstr/>
      </vt:variant>
      <vt:variant>
        <vt:lpwstr>_Toc232223091</vt:lpwstr>
      </vt:variant>
      <vt:variant>
        <vt:i4>1835058</vt:i4>
      </vt:variant>
      <vt:variant>
        <vt:i4>1610</vt:i4>
      </vt:variant>
      <vt:variant>
        <vt:i4>0</vt:i4>
      </vt:variant>
      <vt:variant>
        <vt:i4>5</vt:i4>
      </vt:variant>
      <vt:variant>
        <vt:lpwstr/>
      </vt:variant>
      <vt:variant>
        <vt:lpwstr>_Toc232223090</vt:lpwstr>
      </vt:variant>
      <vt:variant>
        <vt:i4>1900594</vt:i4>
      </vt:variant>
      <vt:variant>
        <vt:i4>1604</vt:i4>
      </vt:variant>
      <vt:variant>
        <vt:i4>0</vt:i4>
      </vt:variant>
      <vt:variant>
        <vt:i4>5</vt:i4>
      </vt:variant>
      <vt:variant>
        <vt:lpwstr/>
      </vt:variant>
      <vt:variant>
        <vt:lpwstr>_Toc232223089</vt:lpwstr>
      </vt:variant>
      <vt:variant>
        <vt:i4>1900594</vt:i4>
      </vt:variant>
      <vt:variant>
        <vt:i4>1598</vt:i4>
      </vt:variant>
      <vt:variant>
        <vt:i4>0</vt:i4>
      </vt:variant>
      <vt:variant>
        <vt:i4>5</vt:i4>
      </vt:variant>
      <vt:variant>
        <vt:lpwstr/>
      </vt:variant>
      <vt:variant>
        <vt:lpwstr>_Toc232223088</vt:lpwstr>
      </vt:variant>
      <vt:variant>
        <vt:i4>1900594</vt:i4>
      </vt:variant>
      <vt:variant>
        <vt:i4>1592</vt:i4>
      </vt:variant>
      <vt:variant>
        <vt:i4>0</vt:i4>
      </vt:variant>
      <vt:variant>
        <vt:i4>5</vt:i4>
      </vt:variant>
      <vt:variant>
        <vt:lpwstr/>
      </vt:variant>
      <vt:variant>
        <vt:lpwstr>_Toc232223087</vt:lpwstr>
      </vt:variant>
      <vt:variant>
        <vt:i4>1900594</vt:i4>
      </vt:variant>
      <vt:variant>
        <vt:i4>1586</vt:i4>
      </vt:variant>
      <vt:variant>
        <vt:i4>0</vt:i4>
      </vt:variant>
      <vt:variant>
        <vt:i4>5</vt:i4>
      </vt:variant>
      <vt:variant>
        <vt:lpwstr/>
      </vt:variant>
      <vt:variant>
        <vt:lpwstr>_Toc232223086</vt:lpwstr>
      </vt:variant>
      <vt:variant>
        <vt:i4>1900594</vt:i4>
      </vt:variant>
      <vt:variant>
        <vt:i4>1580</vt:i4>
      </vt:variant>
      <vt:variant>
        <vt:i4>0</vt:i4>
      </vt:variant>
      <vt:variant>
        <vt:i4>5</vt:i4>
      </vt:variant>
      <vt:variant>
        <vt:lpwstr/>
      </vt:variant>
      <vt:variant>
        <vt:lpwstr>_Toc232223085</vt:lpwstr>
      </vt:variant>
      <vt:variant>
        <vt:i4>1900594</vt:i4>
      </vt:variant>
      <vt:variant>
        <vt:i4>1574</vt:i4>
      </vt:variant>
      <vt:variant>
        <vt:i4>0</vt:i4>
      </vt:variant>
      <vt:variant>
        <vt:i4>5</vt:i4>
      </vt:variant>
      <vt:variant>
        <vt:lpwstr/>
      </vt:variant>
      <vt:variant>
        <vt:lpwstr>_Toc232223084</vt:lpwstr>
      </vt:variant>
      <vt:variant>
        <vt:i4>1900594</vt:i4>
      </vt:variant>
      <vt:variant>
        <vt:i4>1568</vt:i4>
      </vt:variant>
      <vt:variant>
        <vt:i4>0</vt:i4>
      </vt:variant>
      <vt:variant>
        <vt:i4>5</vt:i4>
      </vt:variant>
      <vt:variant>
        <vt:lpwstr/>
      </vt:variant>
      <vt:variant>
        <vt:lpwstr>_Toc232223083</vt:lpwstr>
      </vt:variant>
      <vt:variant>
        <vt:i4>1900594</vt:i4>
      </vt:variant>
      <vt:variant>
        <vt:i4>1562</vt:i4>
      </vt:variant>
      <vt:variant>
        <vt:i4>0</vt:i4>
      </vt:variant>
      <vt:variant>
        <vt:i4>5</vt:i4>
      </vt:variant>
      <vt:variant>
        <vt:lpwstr/>
      </vt:variant>
      <vt:variant>
        <vt:lpwstr>_Toc232223082</vt:lpwstr>
      </vt:variant>
      <vt:variant>
        <vt:i4>1900594</vt:i4>
      </vt:variant>
      <vt:variant>
        <vt:i4>1556</vt:i4>
      </vt:variant>
      <vt:variant>
        <vt:i4>0</vt:i4>
      </vt:variant>
      <vt:variant>
        <vt:i4>5</vt:i4>
      </vt:variant>
      <vt:variant>
        <vt:lpwstr/>
      </vt:variant>
      <vt:variant>
        <vt:lpwstr>_Toc232223081</vt:lpwstr>
      </vt:variant>
      <vt:variant>
        <vt:i4>1900594</vt:i4>
      </vt:variant>
      <vt:variant>
        <vt:i4>1550</vt:i4>
      </vt:variant>
      <vt:variant>
        <vt:i4>0</vt:i4>
      </vt:variant>
      <vt:variant>
        <vt:i4>5</vt:i4>
      </vt:variant>
      <vt:variant>
        <vt:lpwstr/>
      </vt:variant>
      <vt:variant>
        <vt:lpwstr>_Toc232223080</vt:lpwstr>
      </vt:variant>
      <vt:variant>
        <vt:i4>1179698</vt:i4>
      </vt:variant>
      <vt:variant>
        <vt:i4>1544</vt:i4>
      </vt:variant>
      <vt:variant>
        <vt:i4>0</vt:i4>
      </vt:variant>
      <vt:variant>
        <vt:i4>5</vt:i4>
      </vt:variant>
      <vt:variant>
        <vt:lpwstr/>
      </vt:variant>
      <vt:variant>
        <vt:lpwstr>_Toc232223079</vt:lpwstr>
      </vt:variant>
      <vt:variant>
        <vt:i4>1179698</vt:i4>
      </vt:variant>
      <vt:variant>
        <vt:i4>1538</vt:i4>
      </vt:variant>
      <vt:variant>
        <vt:i4>0</vt:i4>
      </vt:variant>
      <vt:variant>
        <vt:i4>5</vt:i4>
      </vt:variant>
      <vt:variant>
        <vt:lpwstr/>
      </vt:variant>
      <vt:variant>
        <vt:lpwstr>_Toc232223078</vt:lpwstr>
      </vt:variant>
      <vt:variant>
        <vt:i4>1179698</vt:i4>
      </vt:variant>
      <vt:variant>
        <vt:i4>1532</vt:i4>
      </vt:variant>
      <vt:variant>
        <vt:i4>0</vt:i4>
      </vt:variant>
      <vt:variant>
        <vt:i4>5</vt:i4>
      </vt:variant>
      <vt:variant>
        <vt:lpwstr/>
      </vt:variant>
      <vt:variant>
        <vt:lpwstr>_Toc232223077</vt:lpwstr>
      </vt:variant>
      <vt:variant>
        <vt:i4>1179698</vt:i4>
      </vt:variant>
      <vt:variant>
        <vt:i4>1526</vt:i4>
      </vt:variant>
      <vt:variant>
        <vt:i4>0</vt:i4>
      </vt:variant>
      <vt:variant>
        <vt:i4>5</vt:i4>
      </vt:variant>
      <vt:variant>
        <vt:lpwstr/>
      </vt:variant>
      <vt:variant>
        <vt:lpwstr>_Toc232223076</vt:lpwstr>
      </vt:variant>
      <vt:variant>
        <vt:i4>1179698</vt:i4>
      </vt:variant>
      <vt:variant>
        <vt:i4>1520</vt:i4>
      </vt:variant>
      <vt:variant>
        <vt:i4>0</vt:i4>
      </vt:variant>
      <vt:variant>
        <vt:i4>5</vt:i4>
      </vt:variant>
      <vt:variant>
        <vt:lpwstr/>
      </vt:variant>
      <vt:variant>
        <vt:lpwstr>_Toc232223075</vt:lpwstr>
      </vt:variant>
      <vt:variant>
        <vt:i4>1179698</vt:i4>
      </vt:variant>
      <vt:variant>
        <vt:i4>1514</vt:i4>
      </vt:variant>
      <vt:variant>
        <vt:i4>0</vt:i4>
      </vt:variant>
      <vt:variant>
        <vt:i4>5</vt:i4>
      </vt:variant>
      <vt:variant>
        <vt:lpwstr/>
      </vt:variant>
      <vt:variant>
        <vt:lpwstr>_Toc232223074</vt:lpwstr>
      </vt:variant>
      <vt:variant>
        <vt:i4>1179698</vt:i4>
      </vt:variant>
      <vt:variant>
        <vt:i4>1508</vt:i4>
      </vt:variant>
      <vt:variant>
        <vt:i4>0</vt:i4>
      </vt:variant>
      <vt:variant>
        <vt:i4>5</vt:i4>
      </vt:variant>
      <vt:variant>
        <vt:lpwstr/>
      </vt:variant>
      <vt:variant>
        <vt:lpwstr>_Toc232223073</vt:lpwstr>
      </vt:variant>
      <vt:variant>
        <vt:i4>1179698</vt:i4>
      </vt:variant>
      <vt:variant>
        <vt:i4>1502</vt:i4>
      </vt:variant>
      <vt:variant>
        <vt:i4>0</vt:i4>
      </vt:variant>
      <vt:variant>
        <vt:i4>5</vt:i4>
      </vt:variant>
      <vt:variant>
        <vt:lpwstr/>
      </vt:variant>
      <vt:variant>
        <vt:lpwstr>_Toc232223072</vt:lpwstr>
      </vt:variant>
      <vt:variant>
        <vt:i4>1179698</vt:i4>
      </vt:variant>
      <vt:variant>
        <vt:i4>1496</vt:i4>
      </vt:variant>
      <vt:variant>
        <vt:i4>0</vt:i4>
      </vt:variant>
      <vt:variant>
        <vt:i4>5</vt:i4>
      </vt:variant>
      <vt:variant>
        <vt:lpwstr/>
      </vt:variant>
      <vt:variant>
        <vt:lpwstr>_Toc232223071</vt:lpwstr>
      </vt:variant>
      <vt:variant>
        <vt:i4>1179698</vt:i4>
      </vt:variant>
      <vt:variant>
        <vt:i4>1490</vt:i4>
      </vt:variant>
      <vt:variant>
        <vt:i4>0</vt:i4>
      </vt:variant>
      <vt:variant>
        <vt:i4>5</vt:i4>
      </vt:variant>
      <vt:variant>
        <vt:lpwstr/>
      </vt:variant>
      <vt:variant>
        <vt:lpwstr>_Toc232223070</vt:lpwstr>
      </vt:variant>
      <vt:variant>
        <vt:i4>1245234</vt:i4>
      </vt:variant>
      <vt:variant>
        <vt:i4>1484</vt:i4>
      </vt:variant>
      <vt:variant>
        <vt:i4>0</vt:i4>
      </vt:variant>
      <vt:variant>
        <vt:i4>5</vt:i4>
      </vt:variant>
      <vt:variant>
        <vt:lpwstr/>
      </vt:variant>
      <vt:variant>
        <vt:lpwstr>_Toc232223069</vt:lpwstr>
      </vt:variant>
      <vt:variant>
        <vt:i4>1245234</vt:i4>
      </vt:variant>
      <vt:variant>
        <vt:i4>1478</vt:i4>
      </vt:variant>
      <vt:variant>
        <vt:i4>0</vt:i4>
      </vt:variant>
      <vt:variant>
        <vt:i4>5</vt:i4>
      </vt:variant>
      <vt:variant>
        <vt:lpwstr/>
      </vt:variant>
      <vt:variant>
        <vt:lpwstr>_Toc232223068</vt:lpwstr>
      </vt:variant>
      <vt:variant>
        <vt:i4>1245234</vt:i4>
      </vt:variant>
      <vt:variant>
        <vt:i4>1472</vt:i4>
      </vt:variant>
      <vt:variant>
        <vt:i4>0</vt:i4>
      </vt:variant>
      <vt:variant>
        <vt:i4>5</vt:i4>
      </vt:variant>
      <vt:variant>
        <vt:lpwstr/>
      </vt:variant>
      <vt:variant>
        <vt:lpwstr>_Toc232223067</vt:lpwstr>
      </vt:variant>
      <vt:variant>
        <vt:i4>1245234</vt:i4>
      </vt:variant>
      <vt:variant>
        <vt:i4>1466</vt:i4>
      </vt:variant>
      <vt:variant>
        <vt:i4>0</vt:i4>
      </vt:variant>
      <vt:variant>
        <vt:i4>5</vt:i4>
      </vt:variant>
      <vt:variant>
        <vt:lpwstr/>
      </vt:variant>
      <vt:variant>
        <vt:lpwstr>_Toc232223066</vt:lpwstr>
      </vt:variant>
      <vt:variant>
        <vt:i4>1245234</vt:i4>
      </vt:variant>
      <vt:variant>
        <vt:i4>1460</vt:i4>
      </vt:variant>
      <vt:variant>
        <vt:i4>0</vt:i4>
      </vt:variant>
      <vt:variant>
        <vt:i4>5</vt:i4>
      </vt:variant>
      <vt:variant>
        <vt:lpwstr/>
      </vt:variant>
      <vt:variant>
        <vt:lpwstr>_Toc232223065</vt:lpwstr>
      </vt:variant>
      <vt:variant>
        <vt:i4>1245234</vt:i4>
      </vt:variant>
      <vt:variant>
        <vt:i4>1454</vt:i4>
      </vt:variant>
      <vt:variant>
        <vt:i4>0</vt:i4>
      </vt:variant>
      <vt:variant>
        <vt:i4>5</vt:i4>
      </vt:variant>
      <vt:variant>
        <vt:lpwstr/>
      </vt:variant>
      <vt:variant>
        <vt:lpwstr>_Toc232223064</vt:lpwstr>
      </vt:variant>
      <vt:variant>
        <vt:i4>1245234</vt:i4>
      </vt:variant>
      <vt:variant>
        <vt:i4>1448</vt:i4>
      </vt:variant>
      <vt:variant>
        <vt:i4>0</vt:i4>
      </vt:variant>
      <vt:variant>
        <vt:i4>5</vt:i4>
      </vt:variant>
      <vt:variant>
        <vt:lpwstr/>
      </vt:variant>
      <vt:variant>
        <vt:lpwstr>_Toc232223063</vt:lpwstr>
      </vt:variant>
      <vt:variant>
        <vt:i4>1245234</vt:i4>
      </vt:variant>
      <vt:variant>
        <vt:i4>1442</vt:i4>
      </vt:variant>
      <vt:variant>
        <vt:i4>0</vt:i4>
      </vt:variant>
      <vt:variant>
        <vt:i4>5</vt:i4>
      </vt:variant>
      <vt:variant>
        <vt:lpwstr/>
      </vt:variant>
      <vt:variant>
        <vt:lpwstr>_Toc232223062</vt:lpwstr>
      </vt:variant>
      <vt:variant>
        <vt:i4>1245234</vt:i4>
      </vt:variant>
      <vt:variant>
        <vt:i4>1436</vt:i4>
      </vt:variant>
      <vt:variant>
        <vt:i4>0</vt:i4>
      </vt:variant>
      <vt:variant>
        <vt:i4>5</vt:i4>
      </vt:variant>
      <vt:variant>
        <vt:lpwstr/>
      </vt:variant>
      <vt:variant>
        <vt:lpwstr>_Toc232223061</vt:lpwstr>
      </vt:variant>
      <vt:variant>
        <vt:i4>1245234</vt:i4>
      </vt:variant>
      <vt:variant>
        <vt:i4>1430</vt:i4>
      </vt:variant>
      <vt:variant>
        <vt:i4>0</vt:i4>
      </vt:variant>
      <vt:variant>
        <vt:i4>5</vt:i4>
      </vt:variant>
      <vt:variant>
        <vt:lpwstr/>
      </vt:variant>
      <vt:variant>
        <vt:lpwstr>_Toc232223060</vt:lpwstr>
      </vt:variant>
      <vt:variant>
        <vt:i4>1048626</vt:i4>
      </vt:variant>
      <vt:variant>
        <vt:i4>1424</vt:i4>
      </vt:variant>
      <vt:variant>
        <vt:i4>0</vt:i4>
      </vt:variant>
      <vt:variant>
        <vt:i4>5</vt:i4>
      </vt:variant>
      <vt:variant>
        <vt:lpwstr/>
      </vt:variant>
      <vt:variant>
        <vt:lpwstr>_Toc232223059</vt:lpwstr>
      </vt:variant>
      <vt:variant>
        <vt:i4>1048626</vt:i4>
      </vt:variant>
      <vt:variant>
        <vt:i4>1418</vt:i4>
      </vt:variant>
      <vt:variant>
        <vt:i4>0</vt:i4>
      </vt:variant>
      <vt:variant>
        <vt:i4>5</vt:i4>
      </vt:variant>
      <vt:variant>
        <vt:lpwstr/>
      </vt:variant>
      <vt:variant>
        <vt:lpwstr>_Toc232223058</vt:lpwstr>
      </vt:variant>
      <vt:variant>
        <vt:i4>1048626</vt:i4>
      </vt:variant>
      <vt:variant>
        <vt:i4>1412</vt:i4>
      </vt:variant>
      <vt:variant>
        <vt:i4>0</vt:i4>
      </vt:variant>
      <vt:variant>
        <vt:i4>5</vt:i4>
      </vt:variant>
      <vt:variant>
        <vt:lpwstr/>
      </vt:variant>
      <vt:variant>
        <vt:lpwstr>_Toc232223057</vt:lpwstr>
      </vt:variant>
      <vt:variant>
        <vt:i4>1048626</vt:i4>
      </vt:variant>
      <vt:variant>
        <vt:i4>1406</vt:i4>
      </vt:variant>
      <vt:variant>
        <vt:i4>0</vt:i4>
      </vt:variant>
      <vt:variant>
        <vt:i4>5</vt:i4>
      </vt:variant>
      <vt:variant>
        <vt:lpwstr/>
      </vt:variant>
      <vt:variant>
        <vt:lpwstr>_Toc232223056</vt:lpwstr>
      </vt:variant>
      <vt:variant>
        <vt:i4>1048626</vt:i4>
      </vt:variant>
      <vt:variant>
        <vt:i4>1400</vt:i4>
      </vt:variant>
      <vt:variant>
        <vt:i4>0</vt:i4>
      </vt:variant>
      <vt:variant>
        <vt:i4>5</vt:i4>
      </vt:variant>
      <vt:variant>
        <vt:lpwstr/>
      </vt:variant>
      <vt:variant>
        <vt:lpwstr>_Toc232223055</vt:lpwstr>
      </vt:variant>
      <vt:variant>
        <vt:i4>1048626</vt:i4>
      </vt:variant>
      <vt:variant>
        <vt:i4>1394</vt:i4>
      </vt:variant>
      <vt:variant>
        <vt:i4>0</vt:i4>
      </vt:variant>
      <vt:variant>
        <vt:i4>5</vt:i4>
      </vt:variant>
      <vt:variant>
        <vt:lpwstr/>
      </vt:variant>
      <vt:variant>
        <vt:lpwstr>_Toc232223054</vt:lpwstr>
      </vt:variant>
      <vt:variant>
        <vt:i4>1048626</vt:i4>
      </vt:variant>
      <vt:variant>
        <vt:i4>1388</vt:i4>
      </vt:variant>
      <vt:variant>
        <vt:i4>0</vt:i4>
      </vt:variant>
      <vt:variant>
        <vt:i4>5</vt:i4>
      </vt:variant>
      <vt:variant>
        <vt:lpwstr/>
      </vt:variant>
      <vt:variant>
        <vt:lpwstr>_Toc232223053</vt:lpwstr>
      </vt:variant>
      <vt:variant>
        <vt:i4>1048626</vt:i4>
      </vt:variant>
      <vt:variant>
        <vt:i4>1382</vt:i4>
      </vt:variant>
      <vt:variant>
        <vt:i4>0</vt:i4>
      </vt:variant>
      <vt:variant>
        <vt:i4>5</vt:i4>
      </vt:variant>
      <vt:variant>
        <vt:lpwstr/>
      </vt:variant>
      <vt:variant>
        <vt:lpwstr>_Toc232223052</vt:lpwstr>
      </vt:variant>
      <vt:variant>
        <vt:i4>1048626</vt:i4>
      </vt:variant>
      <vt:variant>
        <vt:i4>1376</vt:i4>
      </vt:variant>
      <vt:variant>
        <vt:i4>0</vt:i4>
      </vt:variant>
      <vt:variant>
        <vt:i4>5</vt:i4>
      </vt:variant>
      <vt:variant>
        <vt:lpwstr/>
      </vt:variant>
      <vt:variant>
        <vt:lpwstr>_Toc232223051</vt:lpwstr>
      </vt:variant>
      <vt:variant>
        <vt:i4>1048626</vt:i4>
      </vt:variant>
      <vt:variant>
        <vt:i4>1370</vt:i4>
      </vt:variant>
      <vt:variant>
        <vt:i4>0</vt:i4>
      </vt:variant>
      <vt:variant>
        <vt:i4>5</vt:i4>
      </vt:variant>
      <vt:variant>
        <vt:lpwstr/>
      </vt:variant>
      <vt:variant>
        <vt:lpwstr>_Toc232223050</vt:lpwstr>
      </vt:variant>
      <vt:variant>
        <vt:i4>1114162</vt:i4>
      </vt:variant>
      <vt:variant>
        <vt:i4>1364</vt:i4>
      </vt:variant>
      <vt:variant>
        <vt:i4>0</vt:i4>
      </vt:variant>
      <vt:variant>
        <vt:i4>5</vt:i4>
      </vt:variant>
      <vt:variant>
        <vt:lpwstr/>
      </vt:variant>
      <vt:variant>
        <vt:lpwstr>_Toc232223049</vt:lpwstr>
      </vt:variant>
      <vt:variant>
        <vt:i4>1114162</vt:i4>
      </vt:variant>
      <vt:variant>
        <vt:i4>1358</vt:i4>
      </vt:variant>
      <vt:variant>
        <vt:i4>0</vt:i4>
      </vt:variant>
      <vt:variant>
        <vt:i4>5</vt:i4>
      </vt:variant>
      <vt:variant>
        <vt:lpwstr/>
      </vt:variant>
      <vt:variant>
        <vt:lpwstr>_Toc232223048</vt:lpwstr>
      </vt:variant>
      <vt:variant>
        <vt:i4>1114162</vt:i4>
      </vt:variant>
      <vt:variant>
        <vt:i4>1352</vt:i4>
      </vt:variant>
      <vt:variant>
        <vt:i4>0</vt:i4>
      </vt:variant>
      <vt:variant>
        <vt:i4>5</vt:i4>
      </vt:variant>
      <vt:variant>
        <vt:lpwstr/>
      </vt:variant>
      <vt:variant>
        <vt:lpwstr>_Toc232223047</vt:lpwstr>
      </vt:variant>
      <vt:variant>
        <vt:i4>1114162</vt:i4>
      </vt:variant>
      <vt:variant>
        <vt:i4>1346</vt:i4>
      </vt:variant>
      <vt:variant>
        <vt:i4>0</vt:i4>
      </vt:variant>
      <vt:variant>
        <vt:i4>5</vt:i4>
      </vt:variant>
      <vt:variant>
        <vt:lpwstr/>
      </vt:variant>
      <vt:variant>
        <vt:lpwstr>_Toc232223046</vt:lpwstr>
      </vt:variant>
      <vt:variant>
        <vt:i4>1114162</vt:i4>
      </vt:variant>
      <vt:variant>
        <vt:i4>1340</vt:i4>
      </vt:variant>
      <vt:variant>
        <vt:i4>0</vt:i4>
      </vt:variant>
      <vt:variant>
        <vt:i4>5</vt:i4>
      </vt:variant>
      <vt:variant>
        <vt:lpwstr/>
      </vt:variant>
      <vt:variant>
        <vt:lpwstr>_Toc232223045</vt:lpwstr>
      </vt:variant>
      <vt:variant>
        <vt:i4>1114162</vt:i4>
      </vt:variant>
      <vt:variant>
        <vt:i4>1334</vt:i4>
      </vt:variant>
      <vt:variant>
        <vt:i4>0</vt:i4>
      </vt:variant>
      <vt:variant>
        <vt:i4>5</vt:i4>
      </vt:variant>
      <vt:variant>
        <vt:lpwstr/>
      </vt:variant>
      <vt:variant>
        <vt:lpwstr>_Toc232223044</vt:lpwstr>
      </vt:variant>
      <vt:variant>
        <vt:i4>1114162</vt:i4>
      </vt:variant>
      <vt:variant>
        <vt:i4>1328</vt:i4>
      </vt:variant>
      <vt:variant>
        <vt:i4>0</vt:i4>
      </vt:variant>
      <vt:variant>
        <vt:i4>5</vt:i4>
      </vt:variant>
      <vt:variant>
        <vt:lpwstr/>
      </vt:variant>
      <vt:variant>
        <vt:lpwstr>_Toc232223043</vt:lpwstr>
      </vt:variant>
      <vt:variant>
        <vt:i4>1114162</vt:i4>
      </vt:variant>
      <vt:variant>
        <vt:i4>1322</vt:i4>
      </vt:variant>
      <vt:variant>
        <vt:i4>0</vt:i4>
      </vt:variant>
      <vt:variant>
        <vt:i4>5</vt:i4>
      </vt:variant>
      <vt:variant>
        <vt:lpwstr/>
      </vt:variant>
      <vt:variant>
        <vt:lpwstr>_Toc232223042</vt:lpwstr>
      </vt:variant>
      <vt:variant>
        <vt:i4>1114162</vt:i4>
      </vt:variant>
      <vt:variant>
        <vt:i4>1316</vt:i4>
      </vt:variant>
      <vt:variant>
        <vt:i4>0</vt:i4>
      </vt:variant>
      <vt:variant>
        <vt:i4>5</vt:i4>
      </vt:variant>
      <vt:variant>
        <vt:lpwstr/>
      </vt:variant>
      <vt:variant>
        <vt:lpwstr>_Toc232223041</vt:lpwstr>
      </vt:variant>
      <vt:variant>
        <vt:i4>1114162</vt:i4>
      </vt:variant>
      <vt:variant>
        <vt:i4>1310</vt:i4>
      </vt:variant>
      <vt:variant>
        <vt:i4>0</vt:i4>
      </vt:variant>
      <vt:variant>
        <vt:i4>5</vt:i4>
      </vt:variant>
      <vt:variant>
        <vt:lpwstr/>
      </vt:variant>
      <vt:variant>
        <vt:lpwstr>_Toc232223040</vt:lpwstr>
      </vt:variant>
      <vt:variant>
        <vt:i4>1441842</vt:i4>
      </vt:variant>
      <vt:variant>
        <vt:i4>1304</vt:i4>
      </vt:variant>
      <vt:variant>
        <vt:i4>0</vt:i4>
      </vt:variant>
      <vt:variant>
        <vt:i4>5</vt:i4>
      </vt:variant>
      <vt:variant>
        <vt:lpwstr/>
      </vt:variant>
      <vt:variant>
        <vt:lpwstr>_Toc232223039</vt:lpwstr>
      </vt:variant>
      <vt:variant>
        <vt:i4>1441842</vt:i4>
      </vt:variant>
      <vt:variant>
        <vt:i4>1298</vt:i4>
      </vt:variant>
      <vt:variant>
        <vt:i4>0</vt:i4>
      </vt:variant>
      <vt:variant>
        <vt:i4>5</vt:i4>
      </vt:variant>
      <vt:variant>
        <vt:lpwstr/>
      </vt:variant>
      <vt:variant>
        <vt:lpwstr>_Toc232223038</vt:lpwstr>
      </vt:variant>
      <vt:variant>
        <vt:i4>1441842</vt:i4>
      </vt:variant>
      <vt:variant>
        <vt:i4>1292</vt:i4>
      </vt:variant>
      <vt:variant>
        <vt:i4>0</vt:i4>
      </vt:variant>
      <vt:variant>
        <vt:i4>5</vt:i4>
      </vt:variant>
      <vt:variant>
        <vt:lpwstr/>
      </vt:variant>
      <vt:variant>
        <vt:lpwstr>_Toc232223037</vt:lpwstr>
      </vt:variant>
      <vt:variant>
        <vt:i4>1441842</vt:i4>
      </vt:variant>
      <vt:variant>
        <vt:i4>1286</vt:i4>
      </vt:variant>
      <vt:variant>
        <vt:i4>0</vt:i4>
      </vt:variant>
      <vt:variant>
        <vt:i4>5</vt:i4>
      </vt:variant>
      <vt:variant>
        <vt:lpwstr/>
      </vt:variant>
      <vt:variant>
        <vt:lpwstr>_Toc232223036</vt:lpwstr>
      </vt:variant>
      <vt:variant>
        <vt:i4>1441842</vt:i4>
      </vt:variant>
      <vt:variant>
        <vt:i4>1280</vt:i4>
      </vt:variant>
      <vt:variant>
        <vt:i4>0</vt:i4>
      </vt:variant>
      <vt:variant>
        <vt:i4>5</vt:i4>
      </vt:variant>
      <vt:variant>
        <vt:lpwstr/>
      </vt:variant>
      <vt:variant>
        <vt:lpwstr>_Toc232223035</vt:lpwstr>
      </vt:variant>
      <vt:variant>
        <vt:i4>1441842</vt:i4>
      </vt:variant>
      <vt:variant>
        <vt:i4>1274</vt:i4>
      </vt:variant>
      <vt:variant>
        <vt:i4>0</vt:i4>
      </vt:variant>
      <vt:variant>
        <vt:i4>5</vt:i4>
      </vt:variant>
      <vt:variant>
        <vt:lpwstr/>
      </vt:variant>
      <vt:variant>
        <vt:lpwstr>_Toc232223034</vt:lpwstr>
      </vt:variant>
      <vt:variant>
        <vt:i4>1441842</vt:i4>
      </vt:variant>
      <vt:variant>
        <vt:i4>1268</vt:i4>
      </vt:variant>
      <vt:variant>
        <vt:i4>0</vt:i4>
      </vt:variant>
      <vt:variant>
        <vt:i4>5</vt:i4>
      </vt:variant>
      <vt:variant>
        <vt:lpwstr/>
      </vt:variant>
      <vt:variant>
        <vt:lpwstr>_Toc232223033</vt:lpwstr>
      </vt:variant>
      <vt:variant>
        <vt:i4>1441842</vt:i4>
      </vt:variant>
      <vt:variant>
        <vt:i4>1262</vt:i4>
      </vt:variant>
      <vt:variant>
        <vt:i4>0</vt:i4>
      </vt:variant>
      <vt:variant>
        <vt:i4>5</vt:i4>
      </vt:variant>
      <vt:variant>
        <vt:lpwstr/>
      </vt:variant>
      <vt:variant>
        <vt:lpwstr>_Toc232223032</vt:lpwstr>
      </vt:variant>
      <vt:variant>
        <vt:i4>1441842</vt:i4>
      </vt:variant>
      <vt:variant>
        <vt:i4>1256</vt:i4>
      </vt:variant>
      <vt:variant>
        <vt:i4>0</vt:i4>
      </vt:variant>
      <vt:variant>
        <vt:i4>5</vt:i4>
      </vt:variant>
      <vt:variant>
        <vt:lpwstr/>
      </vt:variant>
      <vt:variant>
        <vt:lpwstr>_Toc232223031</vt:lpwstr>
      </vt:variant>
      <vt:variant>
        <vt:i4>1441842</vt:i4>
      </vt:variant>
      <vt:variant>
        <vt:i4>1250</vt:i4>
      </vt:variant>
      <vt:variant>
        <vt:i4>0</vt:i4>
      </vt:variant>
      <vt:variant>
        <vt:i4>5</vt:i4>
      </vt:variant>
      <vt:variant>
        <vt:lpwstr/>
      </vt:variant>
      <vt:variant>
        <vt:lpwstr>_Toc232223030</vt:lpwstr>
      </vt:variant>
      <vt:variant>
        <vt:i4>1507378</vt:i4>
      </vt:variant>
      <vt:variant>
        <vt:i4>1244</vt:i4>
      </vt:variant>
      <vt:variant>
        <vt:i4>0</vt:i4>
      </vt:variant>
      <vt:variant>
        <vt:i4>5</vt:i4>
      </vt:variant>
      <vt:variant>
        <vt:lpwstr/>
      </vt:variant>
      <vt:variant>
        <vt:lpwstr>_Toc232223029</vt:lpwstr>
      </vt:variant>
      <vt:variant>
        <vt:i4>1507378</vt:i4>
      </vt:variant>
      <vt:variant>
        <vt:i4>1238</vt:i4>
      </vt:variant>
      <vt:variant>
        <vt:i4>0</vt:i4>
      </vt:variant>
      <vt:variant>
        <vt:i4>5</vt:i4>
      </vt:variant>
      <vt:variant>
        <vt:lpwstr/>
      </vt:variant>
      <vt:variant>
        <vt:lpwstr>_Toc232223028</vt:lpwstr>
      </vt:variant>
      <vt:variant>
        <vt:i4>1507378</vt:i4>
      </vt:variant>
      <vt:variant>
        <vt:i4>1232</vt:i4>
      </vt:variant>
      <vt:variant>
        <vt:i4>0</vt:i4>
      </vt:variant>
      <vt:variant>
        <vt:i4>5</vt:i4>
      </vt:variant>
      <vt:variant>
        <vt:lpwstr/>
      </vt:variant>
      <vt:variant>
        <vt:lpwstr>_Toc232223027</vt:lpwstr>
      </vt:variant>
      <vt:variant>
        <vt:i4>1507378</vt:i4>
      </vt:variant>
      <vt:variant>
        <vt:i4>1226</vt:i4>
      </vt:variant>
      <vt:variant>
        <vt:i4>0</vt:i4>
      </vt:variant>
      <vt:variant>
        <vt:i4>5</vt:i4>
      </vt:variant>
      <vt:variant>
        <vt:lpwstr/>
      </vt:variant>
      <vt:variant>
        <vt:lpwstr>_Toc232223026</vt:lpwstr>
      </vt:variant>
      <vt:variant>
        <vt:i4>1507378</vt:i4>
      </vt:variant>
      <vt:variant>
        <vt:i4>1220</vt:i4>
      </vt:variant>
      <vt:variant>
        <vt:i4>0</vt:i4>
      </vt:variant>
      <vt:variant>
        <vt:i4>5</vt:i4>
      </vt:variant>
      <vt:variant>
        <vt:lpwstr/>
      </vt:variant>
      <vt:variant>
        <vt:lpwstr>_Toc232223025</vt:lpwstr>
      </vt:variant>
      <vt:variant>
        <vt:i4>1507378</vt:i4>
      </vt:variant>
      <vt:variant>
        <vt:i4>1214</vt:i4>
      </vt:variant>
      <vt:variant>
        <vt:i4>0</vt:i4>
      </vt:variant>
      <vt:variant>
        <vt:i4>5</vt:i4>
      </vt:variant>
      <vt:variant>
        <vt:lpwstr/>
      </vt:variant>
      <vt:variant>
        <vt:lpwstr>_Toc232223024</vt:lpwstr>
      </vt:variant>
      <vt:variant>
        <vt:i4>1507378</vt:i4>
      </vt:variant>
      <vt:variant>
        <vt:i4>1208</vt:i4>
      </vt:variant>
      <vt:variant>
        <vt:i4>0</vt:i4>
      </vt:variant>
      <vt:variant>
        <vt:i4>5</vt:i4>
      </vt:variant>
      <vt:variant>
        <vt:lpwstr/>
      </vt:variant>
      <vt:variant>
        <vt:lpwstr>_Toc232223023</vt:lpwstr>
      </vt:variant>
      <vt:variant>
        <vt:i4>1507378</vt:i4>
      </vt:variant>
      <vt:variant>
        <vt:i4>1202</vt:i4>
      </vt:variant>
      <vt:variant>
        <vt:i4>0</vt:i4>
      </vt:variant>
      <vt:variant>
        <vt:i4>5</vt:i4>
      </vt:variant>
      <vt:variant>
        <vt:lpwstr/>
      </vt:variant>
      <vt:variant>
        <vt:lpwstr>_Toc232223022</vt:lpwstr>
      </vt:variant>
      <vt:variant>
        <vt:i4>1507378</vt:i4>
      </vt:variant>
      <vt:variant>
        <vt:i4>1196</vt:i4>
      </vt:variant>
      <vt:variant>
        <vt:i4>0</vt:i4>
      </vt:variant>
      <vt:variant>
        <vt:i4>5</vt:i4>
      </vt:variant>
      <vt:variant>
        <vt:lpwstr/>
      </vt:variant>
      <vt:variant>
        <vt:lpwstr>_Toc232223021</vt:lpwstr>
      </vt:variant>
      <vt:variant>
        <vt:i4>1507378</vt:i4>
      </vt:variant>
      <vt:variant>
        <vt:i4>1190</vt:i4>
      </vt:variant>
      <vt:variant>
        <vt:i4>0</vt:i4>
      </vt:variant>
      <vt:variant>
        <vt:i4>5</vt:i4>
      </vt:variant>
      <vt:variant>
        <vt:lpwstr/>
      </vt:variant>
      <vt:variant>
        <vt:lpwstr>_Toc232223020</vt:lpwstr>
      </vt:variant>
      <vt:variant>
        <vt:i4>1310770</vt:i4>
      </vt:variant>
      <vt:variant>
        <vt:i4>1184</vt:i4>
      </vt:variant>
      <vt:variant>
        <vt:i4>0</vt:i4>
      </vt:variant>
      <vt:variant>
        <vt:i4>5</vt:i4>
      </vt:variant>
      <vt:variant>
        <vt:lpwstr/>
      </vt:variant>
      <vt:variant>
        <vt:lpwstr>_Toc232223019</vt:lpwstr>
      </vt:variant>
      <vt:variant>
        <vt:i4>1310770</vt:i4>
      </vt:variant>
      <vt:variant>
        <vt:i4>1178</vt:i4>
      </vt:variant>
      <vt:variant>
        <vt:i4>0</vt:i4>
      </vt:variant>
      <vt:variant>
        <vt:i4>5</vt:i4>
      </vt:variant>
      <vt:variant>
        <vt:lpwstr/>
      </vt:variant>
      <vt:variant>
        <vt:lpwstr>_Toc232223018</vt:lpwstr>
      </vt:variant>
      <vt:variant>
        <vt:i4>1310770</vt:i4>
      </vt:variant>
      <vt:variant>
        <vt:i4>1172</vt:i4>
      </vt:variant>
      <vt:variant>
        <vt:i4>0</vt:i4>
      </vt:variant>
      <vt:variant>
        <vt:i4>5</vt:i4>
      </vt:variant>
      <vt:variant>
        <vt:lpwstr/>
      </vt:variant>
      <vt:variant>
        <vt:lpwstr>_Toc232223017</vt:lpwstr>
      </vt:variant>
      <vt:variant>
        <vt:i4>1310770</vt:i4>
      </vt:variant>
      <vt:variant>
        <vt:i4>1166</vt:i4>
      </vt:variant>
      <vt:variant>
        <vt:i4>0</vt:i4>
      </vt:variant>
      <vt:variant>
        <vt:i4>5</vt:i4>
      </vt:variant>
      <vt:variant>
        <vt:lpwstr/>
      </vt:variant>
      <vt:variant>
        <vt:lpwstr>_Toc232223016</vt:lpwstr>
      </vt:variant>
      <vt:variant>
        <vt:i4>1310770</vt:i4>
      </vt:variant>
      <vt:variant>
        <vt:i4>1160</vt:i4>
      </vt:variant>
      <vt:variant>
        <vt:i4>0</vt:i4>
      </vt:variant>
      <vt:variant>
        <vt:i4>5</vt:i4>
      </vt:variant>
      <vt:variant>
        <vt:lpwstr/>
      </vt:variant>
      <vt:variant>
        <vt:lpwstr>_Toc232223015</vt:lpwstr>
      </vt:variant>
      <vt:variant>
        <vt:i4>1310770</vt:i4>
      </vt:variant>
      <vt:variant>
        <vt:i4>1154</vt:i4>
      </vt:variant>
      <vt:variant>
        <vt:i4>0</vt:i4>
      </vt:variant>
      <vt:variant>
        <vt:i4>5</vt:i4>
      </vt:variant>
      <vt:variant>
        <vt:lpwstr/>
      </vt:variant>
      <vt:variant>
        <vt:lpwstr>_Toc232223014</vt:lpwstr>
      </vt:variant>
      <vt:variant>
        <vt:i4>1310770</vt:i4>
      </vt:variant>
      <vt:variant>
        <vt:i4>1148</vt:i4>
      </vt:variant>
      <vt:variant>
        <vt:i4>0</vt:i4>
      </vt:variant>
      <vt:variant>
        <vt:i4>5</vt:i4>
      </vt:variant>
      <vt:variant>
        <vt:lpwstr/>
      </vt:variant>
      <vt:variant>
        <vt:lpwstr>_Toc232223013</vt:lpwstr>
      </vt:variant>
      <vt:variant>
        <vt:i4>1310770</vt:i4>
      </vt:variant>
      <vt:variant>
        <vt:i4>1142</vt:i4>
      </vt:variant>
      <vt:variant>
        <vt:i4>0</vt:i4>
      </vt:variant>
      <vt:variant>
        <vt:i4>5</vt:i4>
      </vt:variant>
      <vt:variant>
        <vt:lpwstr/>
      </vt:variant>
      <vt:variant>
        <vt:lpwstr>_Toc232223012</vt:lpwstr>
      </vt:variant>
      <vt:variant>
        <vt:i4>1310770</vt:i4>
      </vt:variant>
      <vt:variant>
        <vt:i4>1136</vt:i4>
      </vt:variant>
      <vt:variant>
        <vt:i4>0</vt:i4>
      </vt:variant>
      <vt:variant>
        <vt:i4>5</vt:i4>
      </vt:variant>
      <vt:variant>
        <vt:lpwstr/>
      </vt:variant>
      <vt:variant>
        <vt:lpwstr>_Toc232223011</vt:lpwstr>
      </vt:variant>
      <vt:variant>
        <vt:i4>1310770</vt:i4>
      </vt:variant>
      <vt:variant>
        <vt:i4>1130</vt:i4>
      </vt:variant>
      <vt:variant>
        <vt:i4>0</vt:i4>
      </vt:variant>
      <vt:variant>
        <vt:i4>5</vt:i4>
      </vt:variant>
      <vt:variant>
        <vt:lpwstr/>
      </vt:variant>
      <vt:variant>
        <vt:lpwstr>_Toc232223010</vt:lpwstr>
      </vt:variant>
      <vt:variant>
        <vt:i4>1376306</vt:i4>
      </vt:variant>
      <vt:variant>
        <vt:i4>1124</vt:i4>
      </vt:variant>
      <vt:variant>
        <vt:i4>0</vt:i4>
      </vt:variant>
      <vt:variant>
        <vt:i4>5</vt:i4>
      </vt:variant>
      <vt:variant>
        <vt:lpwstr/>
      </vt:variant>
      <vt:variant>
        <vt:lpwstr>_Toc232223009</vt:lpwstr>
      </vt:variant>
      <vt:variant>
        <vt:i4>1376306</vt:i4>
      </vt:variant>
      <vt:variant>
        <vt:i4>1118</vt:i4>
      </vt:variant>
      <vt:variant>
        <vt:i4>0</vt:i4>
      </vt:variant>
      <vt:variant>
        <vt:i4>5</vt:i4>
      </vt:variant>
      <vt:variant>
        <vt:lpwstr/>
      </vt:variant>
      <vt:variant>
        <vt:lpwstr>_Toc232223008</vt:lpwstr>
      </vt:variant>
      <vt:variant>
        <vt:i4>1376306</vt:i4>
      </vt:variant>
      <vt:variant>
        <vt:i4>1112</vt:i4>
      </vt:variant>
      <vt:variant>
        <vt:i4>0</vt:i4>
      </vt:variant>
      <vt:variant>
        <vt:i4>5</vt:i4>
      </vt:variant>
      <vt:variant>
        <vt:lpwstr/>
      </vt:variant>
      <vt:variant>
        <vt:lpwstr>_Toc232223007</vt:lpwstr>
      </vt:variant>
      <vt:variant>
        <vt:i4>1376306</vt:i4>
      </vt:variant>
      <vt:variant>
        <vt:i4>1106</vt:i4>
      </vt:variant>
      <vt:variant>
        <vt:i4>0</vt:i4>
      </vt:variant>
      <vt:variant>
        <vt:i4>5</vt:i4>
      </vt:variant>
      <vt:variant>
        <vt:lpwstr/>
      </vt:variant>
      <vt:variant>
        <vt:lpwstr>_Toc232223006</vt:lpwstr>
      </vt:variant>
      <vt:variant>
        <vt:i4>1376306</vt:i4>
      </vt:variant>
      <vt:variant>
        <vt:i4>1100</vt:i4>
      </vt:variant>
      <vt:variant>
        <vt:i4>0</vt:i4>
      </vt:variant>
      <vt:variant>
        <vt:i4>5</vt:i4>
      </vt:variant>
      <vt:variant>
        <vt:lpwstr/>
      </vt:variant>
      <vt:variant>
        <vt:lpwstr>_Toc232223005</vt:lpwstr>
      </vt:variant>
      <vt:variant>
        <vt:i4>1376306</vt:i4>
      </vt:variant>
      <vt:variant>
        <vt:i4>1094</vt:i4>
      </vt:variant>
      <vt:variant>
        <vt:i4>0</vt:i4>
      </vt:variant>
      <vt:variant>
        <vt:i4>5</vt:i4>
      </vt:variant>
      <vt:variant>
        <vt:lpwstr/>
      </vt:variant>
      <vt:variant>
        <vt:lpwstr>_Toc232223004</vt:lpwstr>
      </vt:variant>
      <vt:variant>
        <vt:i4>1376306</vt:i4>
      </vt:variant>
      <vt:variant>
        <vt:i4>1088</vt:i4>
      </vt:variant>
      <vt:variant>
        <vt:i4>0</vt:i4>
      </vt:variant>
      <vt:variant>
        <vt:i4>5</vt:i4>
      </vt:variant>
      <vt:variant>
        <vt:lpwstr/>
      </vt:variant>
      <vt:variant>
        <vt:lpwstr>_Toc232223003</vt:lpwstr>
      </vt:variant>
      <vt:variant>
        <vt:i4>1376306</vt:i4>
      </vt:variant>
      <vt:variant>
        <vt:i4>1082</vt:i4>
      </vt:variant>
      <vt:variant>
        <vt:i4>0</vt:i4>
      </vt:variant>
      <vt:variant>
        <vt:i4>5</vt:i4>
      </vt:variant>
      <vt:variant>
        <vt:lpwstr/>
      </vt:variant>
      <vt:variant>
        <vt:lpwstr>_Toc232223002</vt:lpwstr>
      </vt:variant>
      <vt:variant>
        <vt:i4>1376306</vt:i4>
      </vt:variant>
      <vt:variant>
        <vt:i4>1076</vt:i4>
      </vt:variant>
      <vt:variant>
        <vt:i4>0</vt:i4>
      </vt:variant>
      <vt:variant>
        <vt:i4>5</vt:i4>
      </vt:variant>
      <vt:variant>
        <vt:lpwstr/>
      </vt:variant>
      <vt:variant>
        <vt:lpwstr>_Toc232223001</vt:lpwstr>
      </vt:variant>
      <vt:variant>
        <vt:i4>1376306</vt:i4>
      </vt:variant>
      <vt:variant>
        <vt:i4>1070</vt:i4>
      </vt:variant>
      <vt:variant>
        <vt:i4>0</vt:i4>
      </vt:variant>
      <vt:variant>
        <vt:i4>5</vt:i4>
      </vt:variant>
      <vt:variant>
        <vt:lpwstr/>
      </vt:variant>
      <vt:variant>
        <vt:lpwstr>_Toc232223000</vt:lpwstr>
      </vt:variant>
      <vt:variant>
        <vt:i4>1900603</vt:i4>
      </vt:variant>
      <vt:variant>
        <vt:i4>1064</vt:i4>
      </vt:variant>
      <vt:variant>
        <vt:i4>0</vt:i4>
      </vt:variant>
      <vt:variant>
        <vt:i4>5</vt:i4>
      </vt:variant>
      <vt:variant>
        <vt:lpwstr/>
      </vt:variant>
      <vt:variant>
        <vt:lpwstr>_Toc232222999</vt:lpwstr>
      </vt:variant>
      <vt:variant>
        <vt:i4>1900603</vt:i4>
      </vt:variant>
      <vt:variant>
        <vt:i4>1058</vt:i4>
      </vt:variant>
      <vt:variant>
        <vt:i4>0</vt:i4>
      </vt:variant>
      <vt:variant>
        <vt:i4>5</vt:i4>
      </vt:variant>
      <vt:variant>
        <vt:lpwstr/>
      </vt:variant>
      <vt:variant>
        <vt:lpwstr>_Toc232222998</vt:lpwstr>
      </vt:variant>
      <vt:variant>
        <vt:i4>1900603</vt:i4>
      </vt:variant>
      <vt:variant>
        <vt:i4>1052</vt:i4>
      </vt:variant>
      <vt:variant>
        <vt:i4>0</vt:i4>
      </vt:variant>
      <vt:variant>
        <vt:i4>5</vt:i4>
      </vt:variant>
      <vt:variant>
        <vt:lpwstr/>
      </vt:variant>
      <vt:variant>
        <vt:lpwstr>_Toc232222997</vt:lpwstr>
      </vt:variant>
      <vt:variant>
        <vt:i4>1900603</vt:i4>
      </vt:variant>
      <vt:variant>
        <vt:i4>1046</vt:i4>
      </vt:variant>
      <vt:variant>
        <vt:i4>0</vt:i4>
      </vt:variant>
      <vt:variant>
        <vt:i4>5</vt:i4>
      </vt:variant>
      <vt:variant>
        <vt:lpwstr/>
      </vt:variant>
      <vt:variant>
        <vt:lpwstr>_Toc232222996</vt:lpwstr>
      </vt:variant>
      <vt:variant>
        <vt:i4>1900603</vt:i4>
      </vt:variant>
      <vt:variant>
        <vt:i4>1040</vt:i4>
      </vt:variant>
      <vt:variant>
        <vt:i4>0</vt:i4>
      </vt:variant>
      <vt:variant>
        <vt:i4>5</vt:i4>
      </vt:variant>
      <vt:variant>
        <vt:lpwstr/>
      </vt:variant>
      <vt:variant>
        <vt:lpwstr>_Toc232222995</vt:lpwstr>
      </vt:variant>
      <vt:variant>
        <vt:i4>1900603</vt:i4>
      </vt:variant>
      <vt:variant>
        <vt:i4>1034</vt:i4>
      </vt:variant>
      <vt:variant>
        <vt:i4>0</vt:i4>
      </vt:variant>
      <vt:variant>
        <vt:i4>5</vt:i4>
      </vt:variant>
      <vt:variant>
        <vt:lpwstr/>
      </vt:variant>
      <vt:variant>
        <vt:lpwstr>_Toc232222994</vt:lpwstr>
      </vt:variant>
      <vt:variant>
        <vt:i4>1900603</vt:i4>
      </vt:variant>
      <vt:variant>
        <vt:i4>1028</vt:i4>
      </vt:variant>
      <vt:variant>
        <vt:i4>0</vt:i4>
      </vt:variant>
      <vt:variant>
        <vt:i4>5</vt:i4>
      </vt:variant>
      <vt:variant>
        <vt:lpwstr/>
      </vt:variant>
      <vt:variant>
        <vt:lpwstr>_Toc232222993</vt:lpwstr>
      </vt:variant>
      <vt:variant>
        <vt:i4>1900603</vt:i4>
      </vt:variant>
      <vt:variant>
        <vt:i4>1022</vt:i4>
      </vt:variant>
      <vt:variant>
        <vt:i4>0</vt:i4>
      </vt:variant>
      <vt:variant>
        <vt:i4>5</vt:i4>
      </vt:variant>
      <vt:variant>
        <vt:lpwstr/>
      </vt:variant>
      <vt:variant>
        <vt:lpwstr>_Toc232222992</vt:lpwstr>
      </vt:variant>
      <vt:variant>
        <vt:i4>1900603</vt:i4>
      </vt:variant>
      <vt:variant>
        <vt:i4>1016</vt:i4>
      </vt:variant>
      <vt:variant>
        <vt:i4>0</vt:i4>
      </vt:variant>
      <vt:variant>
        <vt:i4>5</vt:i4>
      </vt:variant>
      <vt:variant>
        <vt:lpwstr/>
      </vt:variant>
      <vt:variant>
        <vt:lpwstr>_Toc232222991</vt:lpwstr>
      </vt:variant>
      <vt:variant>
        <vt:i4>1900603</vt:i4>
      </vt:variant>
      <vt:variant>
        <vt:i4>1010</vt:i4>
      </vt:variant>
      <vt:variant>
        <vt:i4>0</vt:i4>
      </vt:variant>
      <vt:variant>
        <vt:i4>5</vt:i4>
      </vt:variant>
      <vt:variant>
        <vt:lpwstr/>
      </vt:variant>
      <vt:variant>
        <vt:lpwstr>_Toc232222990</vt:lpwstr>
      </vt:variant>
      <vt:variant>
        <vt:i4>1835067</vt:i4>
      </vt:variant>
      <vt:variant>
        <vt:i4>1004</vt:i4>
      </vt:variant>
      <vt:variant>
        <vt:i4>0</vt:i4>
      </vt:variant>
      <vt:variant>
        <vt:i4>5</vt:i4>
      </vt:variant>
      <vt:variant>
        <vt:lpwstr/>
      </vt:variant>
      <vt:variant>
        <vt:lpwstr>_Toc232222989</vt:lpwstr>
      </vt:variant>
      <vt:variant>
        <vt:i4>1835067</vt:i4>
      </vt:variant>
      <vt:variant>
        <vt:i4>998</vt:i4>
      </vt:variant>
      <vt:variant>
        <vt:i4>0</vt:i4>
      </vt:variant>
      <vt:variant>
        <vt:i4>5</vt:i4>
      </vt:variant>
      <vt:variant>
        <vt:lpwstr/>
      </vt:variant>
      <vt:variant>
        <vt:lpwstr>_Toc232222988</vt:lpwstr>
      </vt:variant>
      <vt:variant>
        <vt:i4>1835067</vt:i4>
      </vt:variant>
      <vt:variant>
        <vt:i4>992</vt:i4>
      </vt:variant>
      <vt:variant>
        <vt:i4>0</vt:i4>
      </vt:variant>
      <vt:variant>
        <vt:i4>5</vt:i4>
      </vt:variant>
      <vt:variant>
        <vt:lpwstr/>
      </vt:variant>
      <vt:variant>
        <vt:lpwstr>_Toc232222987</vt:lpwstr>
      </vt:variant>
      <vt:variant>
        <vt:i4>1835067</vt:i4>
      </vt:variant>
      <vt:variant>
        <vt:i4>986</vt:i4>
      </vt:variant>
      <vt:variant>
        <vt:i4>0</vt:i4>
      </vt:variant>
      <vt:variant>
        <vt:i4>5</vt:i4>
      </vt:variant>
      <vt:variant>
        <vt:lpwstr/>
      </vt:variant>
      <vt:variant>
        <vt:lpwstr>_Toc232222986</vt:lpwstr>
      </vt:variant>
      <vt:variant>
        <vt:i4>1835067</vt:i4>
      </vt:variant>
      <vt:variant>
        <vt:i4>980</vt:i4>
      </vt:variant>
      <vt:variant>
        <vt:i4>0</vt:i4>
      </vt:variant>
      <vt:variant>
        <vt:i4>5</vt:i4>
      </vt:variant>
      <vt:variant>
        <vt:lpwstr/>
      </vt:variant>
      <vt:variant>
        <vt:lpwstr>_Toc232222985</vt:lpwstr>
      </vt:variant>
      <vt:variant>
        <vt:i4>1835067</vt:i4>
      </vt:variant>
      <vt:variant>
        <vt:i4>974</vt:i4>
      </vt:variant>
      <vt:variant>
        <vt:i4>0</vt:i4>
      </vt:variant>
      <vt:variant>
        <vt:i4>5</vt:i4>
      </vt:variant>
      <vt:variant>
        <vt:lpwstr/>
      </vt:variant>
      <vt:variant>
        <vt:lpwstr>_Toc232222984</vt:lpwstr>
      </vt:variant>
      <vt:variant>
        <vt:i4>1835067</vt:i4>
      </vt:variant>
      <vt:variant>
        <vt:i4>968</vt:i4>
      </vt:variant>
      <vt:variant>
        <vt:i4>0</vt:i4>
      </vt:variant>
      <vt:variant>
        <vt:i4>5</vt:i4>
      </vt:variant>
      <vt:variant>
        <vt:lpwstr/>
      </vt:variant>
      <vt:variant>
        <vt:lpwstr>_Toc232222983</vt:lpwstr>
      </vt:variant>
      <vt:variant>
        <vt:i4>1835067</vt:i4>
      </vt:variant>
      <vt:variant>
        <vt:i4>962</vt:i4>
      </vt:variant>
      <vt:variant>
        <vt:i4>0</vt:i4>
      </vt:variant>
      <vt:variant>
        <vt:i4>5</vt:i4>
      </vt:variant>
      <vt:variant>
        <vt:lpwstr/>
      </vt:variant>
      <vt:variant>
        <vt:lpwstr>_Toc232222982</vt:lpwstr>
      </vt:variant>
      <vt:variant>
        <vt:i4>1835067</vt:i4>
      </vt:variant>
      <vt:variant>
        <vt:i4>956</vt:i4>
      </vt:variant>
      <vt:variant>
        <vt:i4>0</vt:i4>
      </vt:variant>
      <vt:variant>
        <vt:i4>5</vt:i4>
      </vt:variant>
      <vt:variant>
        <vt:lpwstr/>
      </vt:variant>
      <vt:variant>
        <vt:lpwstr>_Toc232222981</vt:lpwstr>
      </vt:variant>
      <vt:variant>
        <vt:i4>1835067</vt:i4>
      </vt:variant>
      <vt:variant>
        <vt:i4>950</vt:i4>
      </vt:variant>
      <vt:variant>
        <vt:i4>0</vt:i4>
      </vt:variant>
      <vt:variant>
        <vt:i4>5</vt:i4>
      </vt:variant>
      <vt:variant>
        <vt:lpwstr/>
      </vt:variant>
      <vt:variant>
        <vt:lpwstr>_Toc232222980</vt:lpwstr>
      </vt:variant>
      <vt:variant>
        <vt:i4>1245243</vt:i4>
      </vt:variant>
      <vt:variant>
        <vt:i4>944</vt:i4>
      </vt:variant>
      <vt:variant>
        <vt:i4>0</vt:i4>
      </vt:variant>
      <vt:variant>
        <vt:i4>5</vt:i4>
      </vt:variant>
      <vt:variant>
        <vt:lpwstr/>
      </vt:variant>
      <vt:variant>
        <vt:lpwstr>_Toc232222979</vt:lpwstr>
      </vt:variant>
      <vt:variant>
        <vt:i4>1245243</vt:i4>
      </vt:variant>
      <vt:variant>
        <vt:i4>938</vt:i4>
      </vt:variant>
      <vt:variant>
        <vt:i4>0</vt:i4>
      </vt:variant>
      <vt:variant>
        <vt:i4>5</vt:i4>
      </vt:variant>
      <vt:variant>
        <vt:lpwstr/>
      </vt:variant>
      <vt:variant>
        <vt:lpwstr>_Toc232222978</vt:lpwstr>
      </vt:variant>
      <vt:variant>
        <vt:i4>1245243</vt:i4>
      </vt:variant>
      <vt:variant>
        <vt:i4>932</vt:i4>
      </vt:variant>
      <vt:variant>
        <vt:i4>0</vt:i4>
      </vt:variant>
      <vt:variant>
        <vt:i4>5</vt:i4>
      </vt:variant>
      <vt:variant>
        <vt:lpwstr/>
      </vt:variant>
      <vt:variant>
        <vt:lpwstr>_Toc232222977</vt:lpwstr>
      </vt:variant>
      <vt:variant>
        <vt:i4>1245243</vt:i4>
      </vt:variant>
      <vt:variant>
        <vt:i4>926</vt:i4>
      </vt:variant>
      <vt:variant>
        <vt:i4>0</vt:i4>
      </vt:variant>
      <vt:variant>
        <vt:i4>5</vt:i4>
      </vt:variant>
      <vt:variant>
        <vt:lpwstr/>
      </vt:variant>
      <vt:variant>
        <vt:lpwstr>_Toc232222976</vt:lpwstr>
      </vt:variant>
      <vt:variant>
        <vt:i4>1245243</vt:i4>
      </vt:variant>
      <vt:variant>
        <vt:i4>920</vt:i4>
      </vt:variant>
      <vt:variant>
        <vt:i4>0</vt:i4>
      </vt:variant>
      <vt:variant>
        <vt:i4>5</vt:i4>
      </vt:variant>
      <vt:variant>
        <vt:lpwstr/>
      </vt:variant>
      <vt:variant>
        <vt:lpwstr>_Toc232222975</vt:lpwstr>
      </vt:variant>
      <vt:variant>
        <vt:i4>1245243</vt:i4>
      </vt:variant>
      <vt:variant>
        <vt:i4>914</vt:i4>
      </vt:variant>
      <vt:variant>
        <vt:i4>0</vt:i4>
      </vt:variant>
      <vt:variant>
        <vt:i4>5</vt:i4>
      </vt:variant>
      <vt:variant>
        <vt:lpwstr/>
      </vt:variant>
      <vt:variant>
        <vt:lpwstr>_Toc232222974</vt:lpwstr>
      </vt:variant>
      <vt:variant>
        <vt:i4>1245243</vt:i4>
      </vt:variant>
      <vt:variant>
        <vt:i4>908</vt:i4>
      </vt:variant>
      <vt:variant>
        <vt:i4>0</vt:i4>
      </vt:variant>
      <vt:variant>
        <vt:i4>5</vt:i4>
      </vt:variant>
      <vt:variant>
        <vt:lpwstr/>
      </vt:variant>
      <vt:variant>
        <vt:lpwstr>_Toc232222973</vt:lpwstr>
      </vt:variant>
      <vt:variant>
        <vt:i4>1245243</vt:i4>
      </vt:variant>
      <vt:variant>
        <vt:i4>902</vt:i4>
      </vt:variant>
      <vt:variant>
        <vt:i4>0</vt:i4>
      </vt:variant>
      <vt:variant>
        <vt:i4>5</vt:i4>
      </vt:variant>
      <vt:variant>
        <vt:lpwstr/>
      </vt:variant>
      <vt:variant>
        <vt:lpwstr>_Toc232222972</vt:lpwstr>
      </vt:variant>
      <vt:variant>
        <vt:i4>1245243</vt:i4>
      </vt:variant>
      <vt:variant>
        <vt:i4>896</vt:i4>
      </vt:variant>
      <vt:variant>
        <vt:i4>0</vt:i4>
      </vt:variant>
      <vt:variant>
        <vt:i4>5</vt:i4>
      </vt:variant>
      <vt:variant>
        <vt:lpwstr/>
      </vt:variant>
      <vt:variant>
        <vt:lpwstr>_Toc232222971</vt:lpwstr>
      </vt:variant>
      <vt:variant>
        <vt:i4>1245243</vt:i4>
      </vt:variant>
      <vt:variant>
        <vt:i4>890</vt:i4>
      </vt:variant>
      <vt:variant>
        <vt:i4>0</vt:i4>
      </vt:variant>
      <vt:variant>
        <vt:i4>5</vt:i4>
      </vt:variant>
      <vt:variant>
        <vt:lpwstr/>
      </vt:variant>
      <vt:variant>
        <vt:lpwstr>_Toc232222970</vt:lpwstr>
      </vt:variant>
      <vt:variant>
        <vt:i4>1179707</vt:i4>
      </vt:variant>
      <vt:variant>
        <vt:i4>884</vt:i4>
      </vt:variant>
      <vt:variant>
        <vt:i4>0</vt:i4>
      </vt:variant>
      <vt:variant>
        <vt:i4>5</vt:i4>
      </vt:variant>
      <vt:variant>
        <vt:lpwstr/>
      </vt:variant>
      <vt:variant>
        <vt:lpwstr>_Toc232222969</vt:lpwstr>
      </vt:variant>
      <vt:variant>
        <vt:i4>1179707</vt:i4>
      </vt:variant>
      <vt:variant>
        <vt:i4>878</vt:i4>
      </vt:variant>
      <vt:variant>
        <vt:i4>0</vt:i4>
      </vt:variant>
      <vt:variant>
        <vt:i4>5</vt:i4>
      </vt:variant>
      <vt:variant>
        <vt:lpwstr/>
      </vt:variant>
      <vt:variant>
        <vt:lpwstr>_Toc232222968</vt:lpwstr>
      </vt:variant>
      <vt:variant>
        <vt:i4>1179707</vt:i4>
      </vt:variant>
      <vt:variant>
        <vt:i4>872</vt:i4>
      </vt:variant>
      <vt:variant>
        <vt:i4>0</vt:i4>
      </vt:variant>
      <vt:variant>
        <vt:i4>5</vt:i4>
      </vt:variant>
      <vt:variant>
        <vt:lpwstr/>
      </vt:variant>
      <vt:variant>
        <vt:lpwstr>_Toc232222967</vt:lpwstr>
      </vt:variant>
      <vt:variant>
        <vt:i4>1179707</vt:i4>
      </vt:variant>
      <vt:variant>
        <vt:i4>866</vt:i4>
      </vt:variant>
      <vt:variant>
        <vt:i4>0</vt:i4>
      </vt:variant>
      <vt:variant>
        <vt:i4>5</vt:i4>
      </vt:variant>
      <vt:variant>
        <vt:lpwstr/>
      </vt:variant>
      <vt:variant>
        <vt:lpwstr>_Toc232222966</vt:lpwstr>
      </vt:variant>
      <vt:variant>
        <vt:i4>1179707</vt:i4>
      </vt:variant>
      <vt:variant>
        <vt:i4>860</vt:i4>
      </vt:variant>
      <vt:variant>
        <vt:i4>0</vt:i4>
      </vt:variant>
      <vt:variant>
        <vt:i4>5</vt:i4>
      </vt:variant>
      <vt:variant>
        <vt:lpwstr/>
      </vt:variant>
      <vt:variant>
        <vt:lpwstr>_Toc232222965</vt:lpwstr>
      </vt:variant>
      <vt:variant>
        <vt:i4>1179707</vt:i4>
      </vt:variant>
      <vt:variant>
        <vt:i4>854</vt:i4>
      </vt:variant>
      <vt:variant>
        <vt:i4>0</vt:i4>
      </vt:variant>
      <vt:variant>
        <vt:i4>5</vt:i4>
      </vt:variant>
      <vt:variant>
        <vt:lpwstr/>
      </vt:variant>
      <vt:variant>
        <vt:lpwstr>_Toc232222964</vt:lpwstr>
      </vt:variant>
      <vt:variant>
        <vt:i4>1179707</vt:i4>
      </vt:variant>
      <vt:variant>
        <vt:i4>848</vt:i4>
      </vt:variant>
      <vt:variant>
        <vt:i4>0</vt:i4>
      </vt:variant>
      <vt:variant>
        <vt:i4>5</vt:i4>
      </vt:variant>
      <vt:variant>
        <vt:lpwstr/>
      </vt:variant>
      <vt:variant>
        <vt:lpwstr>_Toc232222963</vt:lpwstr>
      </vt:variant>
      <vt:variant>
        <vt:i4>1179707</vt:i4>
      </vt:variant>
      <vt:variant>
        <vt:i4>842</vt:i4>
      </vt:variant>
      <vt:variant>
        <vt:i4>0</vt:i4>
      </vt:variant>
      <vt:variant>
        <vt:i4>5</vt:i4>
      </vt:variant>
      <vt:variant>
        <vt:lpwstr/>
      </vt:variant>
      <vt:variant>
        <vt:lpwstr>_Toc232222962</vt:lpwstr>
      </vt:variant>
      <vt:variant>
        <vt:i4>1179707</vt:i4>
      </vt:variant>
      <vt:variant>
        <vt:i4>836</vt:i4>
      </vt:variant>
      <vt:variant>
        <vt:i4>0</vt:i4>
      </vt:variant>
      <vt:variant>
        <vt:i4>5</vt:i4>
      </vt:variant>
      <vt:variant>
        <vt:lpwstr/>
      </vt:variant>
      <vt:variant>
        <vt:lpwstr>_Toc232222961</vt:lpwstr>
      </vt:variant>
      <vt:variant>
        <vt:i4>1179707</vt:i4>
      </vt:variant>
      <vt:variant>
        <vt:i4>830</vt:i4>
      </vt:variant>
      <vt:variant>
        <vt:i4>0</vt:i4>
      </vt:variant>
      <vt:variant>
        <vt:i4>5</vt:i4>
      </vt:variant>
      <vt:variant>
        <vt:lpwstr/>
      </vt:variant>
      <vt:variant>
        <vt:lpwstr>_Toc232222960</vt:lpwstr>
      </vt:variant>
      <vt:variant>
        <vt:i4>1114171</vt:i4>
      </vt:variant>
      <vt:variant>
        <vt:i4>824</vt:i4>
      </vt:variant>
      <vt:variant>
        <vt:i4>0</vt:i4>
      </vt:variant>
      <vt:variant>
        <vt:i4>5</vt:i4>
      </vt:variant>
      <vt:variant>
        <vt:lpwstr/>
      </vt:variant>
      <vt:variant>
        <vt:lpwstr>_Toc232222959</vt:lpwstr>
      </vt:variant>
      <vt:variant>
        <vt:i4>1114171</vt:i4>
      </vt:variant>
      <vt:variant>
        <vt:i4>818</vt:i4>
      </vt:variant>
      <vt:variant>
        <vt:i4>0</vt:i4>
      </vt:variant>
      <vt:variant>
        <vt:i4>5</vt:i4>
      </vt:variant>
      <vt:variant>
        <vt:lpwstr/>
      </vt:variant>
      <vt:variant>
        <vt:lpwstr>_Toc232222958</vt:lpwstr>
      </vt:variant>
      <vt:variant>
        <vt:i4>1114171</vt:i4>
      </vt:variant>
      <vt:variant>
        <vt:i4>812</vt:i4>
      </vt:variant>
      <vt:variant>
        <vt:i4>0</vt:i4>
      </vt:variant>
      <vt:variant>
        <vt:i4>5</vt:i4>
      </vt:variant>
      <vt:variant>
        <vt:lpwstr/>
      </vt:variant>
      <vt:variant>
        <vt:lpwstr>_Toc232222957</vt:lpwstr>
      </vt:variant>
      <vt:variant>
        <vt:i4>1114171</vt:i4>
      </vt:variant>
      <vt:variant>
        <vt:i4>806</vt:i4>
      </vt:variant>
      <vt:variant>
        <vt:i4>0</vt:i4>
      </vt:variant>
      <vt:variant>
        <vt:i4>5</vt:i4>
      </vt:variant>
      <vt:variant>
        <vt:lpwstr/>
      </vt:variant>
      <vt:variant>
        <vt:lpwstr>_Toc232222956</vt:lpwstr>
      </vt:variant>
      <vt:variant>
        <vt:i4>1114171</vt:i4>
      </vt:variant>
      <vt:variant>
        <vt:i4>800</vt:i4>
      </vt:variant>
      <vt:variant>
        <vt:i4>0</vt:i4>
      </vt:variant>
      <vt:variant>
        <vt:i4>5</vt:i4>
      </vt:variant>
      <vt:variant>
        <vt:lpwstr/>
      </vt:variant>
      <vt:variant>
        <vt:lpwstr>_Toc232222955</vt:lpwstr>
      </vt:variant>
      <vt:variant>
        <vt:i4>1114171</vt:i4>
      </vt:variant>
      <vt:variant>
        <vt:i4>794</vt:i4>
      </vt:variant>
      <vt:variant>
        <vt:i4>0</vt:i4>
      </vt:variant>
      <vt:variant>
        <vt:i4>5</vt:i4>
      </vt:variant>
      <vt:variant>
        <vt:lpwstr/>
      </vt:variant>
      <vt:variant>
        <vt:lpwstr>_Toc232222954</vt:lpwstr>
      </vt:variant>
      <vt:variant>
        <vt:i4>1114171</vt:i4>
      </vt:variant>
      <vt:variant>
        <vt:i4>788</vt:i4>
      </vt:variant>
      <vt:variant>
        <vt:i4>0</vt:i4>
      </vt:variant>
      <vt:variant>
        <vt:i4>5</vt:i4>
      </vt:variant>
      <vt:variant>
        <vt:lpwstr/>
      </vt:variant>
      <vt:variant>
        <vt:lpwstr>_Toc232222953</vt:lpwstr>
      </vt:variant>
      <vt:variant>
        <vt:i4>1114171</vt:i4>
      </vt:variant>
      <vt:variant>
        <vt:i4>782</vt:i4>
      </vt:variant>
      <vt:variant>
        <vt:i4>0</vt:i4>
      </vt:variant>
      <vt:variant>
        <vt:i4>5</vt:i4>
      </vt:variant>
      <vt:variant>
        <vt:lpwstr/>
      </vt:variant>
      <vt:variant>
        <vt:lpwstr>_Toc232222952</vt:lpwstr>
      </vt:variant>
      <vt:variant>
        <vt:i4>1114171</vt:i4>
      </vt:variant>
      <vt:variant>
        <vt:i4>776</vt:i4>
      </vt:variant>
      <vt:variant>
        <vt:i4>0</vt:i4>
      </vt:variant>
      <vt:variant>
        <vt:i4>5</vt:i4>
      </vt:variant>
      <vt:variant>
        <vt:lpwstr/>
      </vt:variant>
      <vt:variant>
        <vt:lpwstr>_Toc232222951</vt:lpwstr>
      </vt:variant>
      <vt:variant>
        <vt:i4>1114171</vt:i4>
      </vt:variant>
      <vt:variant>
        <vt:i4>770</vt:i4>
      </vt:variant>
      <vt:variant>
        <vt:i4>0</vt:i4>
      </vt:variant>
      <vt:variant>
        <vt:i4>5</vt:i4>
      </vt:variant>
      <vt:variant>
        <vt:lpwstr/>
      </vt:variant>
      <vt:variant>
        <vt:lpwstr>_Toc232222950</vt:lpwstr>
      </vt:variant>
      <vt:variant>
        <vt:i4>1048635</vt:i4>
      </vt:variant>
      <vt:variant>
        <vt:i4>764</vt:i4>
      </vt:variant>
      <vt:variant>
        <vt:i4>0</vt:i4>
      </vt:variant>
      <vt:variant>
        <vt:i4>5</vt:i4>
      </vt:variant>
      <vt:variant>
        <vt:lpwstr/>
      </vt:variant>
      <vt:variant>
        <vt:lpwstr>_Toc232222949</vt:lpwstr>
      </vt:variant>
      <vt:variant>
        <vt:i4>1048635</vt:i4>
      </vt:variant>
      <vt:variant>
        <vt:i4>758</vt:i4>
      </vt:variant>
      <vt:variant>
        <vt:i4>0</vt:i4>
      </vt:variant>
      <vt:variant>
        <vt:i4>5</vt:i4>
      </vt:variant>
      <vt:variant>
        <vt:lpwstr/>
      </vt:variant>
      <vt:variant>
        <vt:lpwstr>_Toc232222948</vt:lpwstr>
      </vt:variant>
      <vt:variant>
        <vt:i4>1048635</vt:i4>
      </vt:variant>
      <vt:variant>
        <vt:i4>752</vt:i4>
      </vt:variant>
      <vt:variant>
        <vt:i4>0</vt:i4>
      </vt:variant>
      <vt:variant>
        <vt:i4>5</vt:i4>
      </vt:variant>
      <vt:variant>
        <vt:lpwstr/>
      </vt:variant>
      <vt:variant>
        <vt:lpwstr>_Toc232222947</vt:lpwstr>
      </vt:variant>
      <vt:variant>
        <vt:i4>1048635</vt:i4>
      </vt:variant>
      <vt:variant>
        <vt:i4>746</vt:i4>
      </vt:variant>
      <vt:variant>
        <vt:i4>0</vt:i4>
      </vt:variant>
      <vt:variant>
        <vt:i4>5</vt:i4>
      </vt:variant>
      <vt:variant>
        <vt:lpwstr/>
      </vt:variant>
      <vt:variant>
        <vt:lpwstr>_Toc232222946</vt:lpwstr>
      </vt:variant>
      <vt:variant>
        <vt:i4>1048635</vt:i4>
      </vt:variant>
      <vt:variant>
        <vt:i4>740</vt:i4>
      </vt:variant>
      <vt:variant>
        <vt:i4>0</vt:i4>
      </vt:variant>
      <vt:variant>
        <vt:i4>5</vt:i4>
      </vt:variant>
      <vt:variant>
        <vt:lpwstr/>
      </vt:variant>
      <vt:variant>
        <vt:lpwstr>_Toc232222945</vt:lpwstr>
      </vt:variant>
      <vt:variant>
        <vt:i4>1048635</vt:i4>
      </vt:variant>
      <vt:variant>
        <vt:i4>734</vt:i4>
      </vt:variant>
      <vt:variant>
        <vt:i4>0</vt:i4>
      </vt:variant>
      <vt:variant>
        <vt:i4>5</vt:i4>
      </vt:variant>
      <vt:variant>
        <vt:lpwstr/>
      </vt:variant>
      <vt:variant>
        <vt:lpwstr>_Toc232222944</vt:lpwstr>
      </vt:variant>
      <vt:variant>
        <vt:i4>1048635</vt:i4>
      </vt:variant>
      <vt:variant>
        <vt:i4>728</vt:i4>
      </vt:variant>
      <vt:variant>
        <vt:i4>0</vt:i4>
      </vt:variant>
      <vt:variant>
        <vt:i4>5</vt:i4>
      </vt:variant>
      <vt:variant>
        <vt:lpwstr/>
      </vt:variant>
      <vt:variant>
        <vt:lpwstr>_Toc232222943</vt:lpwstr>
      </vt:variant>
      <vt:variant>
        <vt:i4>1048635</vt:i4>
      </vt:variant>
      <vt:variant>
        <vt:i4>722</vt:i4>
      </vt:variant>
      <vt:variant>
        <vt:i4>0</vt:i4>
      </vt:variant>
      <vt:variant>
        <vt:i4>5</vt:i4>
      </vt:variant>
      <vt:variant>
        <vt:lpwstr/>
      </vt:variant>
      <vt:variant>
        <vt:lpwstr>_Toc232222942</vt:lpwstr>
      </vt:variant>
      <vt:variant>
        <vt:i4>1048635</vt:i4>
      </vt:variant>
      <vt:variant>
        <vt:i4>716</vt:i4>
      </vt:variant>
      <vt:variant>
        <vt:i4>0</vt:i4>
      </vt:variant>
      <vt:variant>
        <vt:i4>5</vt:i4>
      </vt:variant>
      <vt:variant>
        <vt:lpwstr/>
      </vt:variant>
      <vt:variant>
        <vt:lpwstr>_Toc232222941</vt:lpwstr>
      </vt:variant>
      <vt:variant>
        <vt:i4>1048635</vt:i4>
      </vt:variant>
      <vt:variant>
        <vt:i4>710</vt:i4>
      </vt:variant>
      <vt:variant>
        <vt:i4>0</vt:i4>
      </vt:variant>
      <vt:variant>
        <vt:i4>5</vt:i4>
      </vt:variant>
      <vt:variant>
        <vt:lpwstr/>
      </vt:variant>
      <vt:variant>
        <vt:lpwstr>_Toc232222940</vt:lpwstr>
      </vt:variant>
      <vt:variant>
        <vt:i4>1507387</vt:i4>
      </vt:variant>
      <vt:variant>
        <vt:i4>704</vt:i4>
      </vt:variant>
      <vt:variant>
        <vt:i4>0</vt:i4>
      </vt:variant>
      <vt:variant>
        <vt:i4>5</vt:i4>
      </vt:variant>
      <vt:variant>
        <vt:lpwstr/>
      </vt:variant>
      <vt:variant>
        <vt:lpwstr>_Toc232222939</vt:lpwstr>
      </vt:variant>
      <vt:variant>
        <vt:i4>1507387</vt:i4>
      </vt:variant>
      <vt:variant>
        <vt:i4>698</vt:i4>
      </vt:variant>
      <vt:variant>
        <vt:i4>0</vt:i4>
      </vt:variant>
      <vt:variant>
        <vt:i4>5</vt:i4>
      </vt:variant>
      <vt:variant>
        <vt:lpwstr/>
      </vt:variant>
      <vt:variant>
        <vt:lpwstr>_Toc232222938</vt:lpwstr>
      </vt:variant>
      <vt:variant>
        <vt:i4>1507387</vt:i4>
      </vt:variant>
      <vt:variant>
        <vt:i4>692</vt:i4>
      </vt:variant>
      <vt:variant>
        <vt:i4>0</vt:i4>
      </vt:variant>
      <vt:variant>
        <vt:i4>5</vt:i4>
      </vt:variant>
      <vt:variant>
        <vt:lpwstr/>
      </vt:variant>
      <vt:variant>
        <vt:lpwstr>_Toc232222937</vt:lpwstr>
      </vt:variant>
      <vt:variant>
        <vt:i4>1507387</vt:i4>
      </vt:variant>
      <vt:variant>
        <vt:i4>686</vt:i4>
      </vt:variant>
      <vt:variant>
        <vt:i4>0</vt:i4>
      </vt:variant>
      <vt:variant>
        <vt:i4>5</vt:i4>
      </vt:variant>
      <vt:variant>
        <vt:lpwstr/>
      </vt:variant>
      <vt:variant>
        <vt:lpwstr>_Toc232222936</vt:lpwstr>
      </vt:variant>
      <vt:variant>
        <vt:i4>1507387</vt:i4>
      </vt:variant>
      <vt:variant>
        <vt:i4>680</vt:i4>
      </vt:variant>
      <vt:variant>
        <vt:i4>0</vt:i4>
      </vt:variant>
      <vt:variant>
        <vt:i4>5</vt:i4>
      </vt:variant>
      <vt:variant>
        <vt:lpwstr/>
      </vt:variant>
      <vt:variant>
        <vt:lpwstr>_Toc232222935</vt:lpwstr>
      </vt:variant>
      <vt:variant>
        <vt:i4>1507387</vt:i4>
      </vt:variant>
      <vt:variant>
        <vt:i4>674</vt:i4>
      </vt:variant>
      <vt:variant>
        <vt:i4>0</vt:i4>
      </vt:variant>
      <vt:variant>
        <vt:i4>5</vt:i4>
      </vt:variant>
      <vt:variant>
        <vt:lpwstr/>
      </vt:variant>
      <vt:variant>
        <vt:lpwstr>_Toc232222934</vt:lpwstr>
      </vt:variant>
      <vt:variant>
        <vt:i4>1507387</vt:i4>
      </vt:variant>
      <vt:variant>
        <vt:i4>668</vt:i4>
      </vt:variant>
      <vt:variant>
        <vt:i4>0</vt:i4>
      </vt:variant>
      <vt:variant>
        <vt:i4>5</vt:i4>
      </vt:variant>
      <vt:variant>
        <vt:lpwstr/>
      </vt:variant>
      <vt:variant>
        <vt:lpwstr>_Toc232222933</vt:lpwstr>
      </vt:variant>
      <vt:variant>
        <vt:i4>1507387</vt:i4>
      </vt:variant>
      <vt:variant>
        <vt:i4>662</vt:i4>
      </vt:variant>
      <vt:variant>
        <vt:i4>0</vt:i4>
      </vt:variant>
      <vt:variant>
        <vt:i4>5</vt:i4>
      </vt:variant>
      <vt:variant>
        <vt:lpwstr/>
      </vt:variant>
      <vt:variant>
        <vt:lpwstr>_Toc232222932</vt:lpwstr>
      </vt:variant>
      <vt:variant>
        <vt:i4>1507387</vt:i4>
      </vt:variant>
      <vt:variant>
        <vt:i4>656</vt:i4>
      </vt:variant>
      <vt:variant>
        <vt:i4>0</vt:i4>
      </vt:variant>
      <vt:variant>
        <vt:i4>5</vt:i4>
      </vt:variant>
      <vt:variant>
        <vt:lpwstr/>
      </vt:variant>
      <vt:variant>
        <vt:lpwstr>_Toc232222931</vt:lpwstr>
      </vt:variant>
      <vt:variant>
        <vt:i4>1507387</vt:i4>
      </vt:variant>
      <vt:variant>
        <vt:i4>650</vt:i4>
      </vt:variant>
      <vt:variant>
        <vt:i4>0</vt:i4>
      </vt:variant>
      <vt:variant>
        <vt:i4>5</vt:i4>
      </vt:variant>
      <vt:variant>
        <vt:lpwstr/>
      </vt:variant>
      <vt:variant>
        <vt:lpwstr>_Toc232222930</vt:lpwstr>
      </vt:variant>
      <vt:variant>
        <vt:i4>1441851</vt:i4>
      </vt:variant>
      <vt:variant>
        <vt:i4>644</vt:i4>
      </vt:variant>
      <vt:variant>
        <vt:i4>0</vt:i4>
      </vt:variant>
      <vt:variant>
        <vt:i4>5</vt:i4>
      </vt:variant>
      <vt:variant>
        <vt:lpwstr/>
      </vt:variant>
      <vt:variant>
        <vt:lpwstr>_Toc232222929</vt:lpwstr>
      </vt:variant>
      <vt:variant>
        <vt:i4>1441851</vt:i4>
      </vt:variant>
      <vt:variant>
        <vt:i4>638</vt:i4>
      </vt:variant>
      <vt:variant>
        <vt:i4>0</vt:i4>
      </vt:variant>
      <vt:variant>
        <vt:i4>5</vt:i4>
      </vt:variant>
      <vt:variant>
        <vt:lpwstr/>
      </vt:variant>
      <vt:variant>
        <vt:lpwstr>_Toc232222928</vt:lpwstr>
      </vt:variant>
      <vt:variant>
        <vt:i4>1441851</vt:i4>
      </vt:variant>
      <vt:variant>
        <vt:i4>632</vt:i4>
      </vt:variant>
      <vt:variant>
        <vt:i4>0</vt:i4>
      </vt:variant>
      <vt:variant>
        <vt:i4>5</vt:i4>
      </vt:variant>
      <vt:variant>
        <vt:lpwstr/>
      </vt:variant>
      <vt:variant>
        <vt:lpwstr>_Toc232222927</vt:lpwstr>
      </vt:variant>
      <vt:variant>
        <vt:i4>1441851</vt:i4>
      </vt:variant>
      <vt:variant>
        <vt:i4>626</vt:i4>
      </vt:variant>
      <vt:variant>
        <vt:i4>0</vt:i4>
      </vt:variant>
      <vt:variant>
        <vt:i4>5</vt:i4>
      </vt:variant>
      <vt:variant>
        <vt:lpwstr/>
      </vt:variant>
      <vt:variant>
        <vt:lpwstr>_Toc232222926</vt:lpwstr>
      </vt:variant>
      <vt:variant>
        <vt:i4>1441851</vt:i4>
      </vt:variant>
      <vt:variant>
        <vt:i4>620</vt:i4>
      </vt:variant>
      <vt:variant>
        <vt:i4>0</vt:i4>
      </vt:variant>
      <vt:variant>
        <vt:i4>5</vt:i4>
      </vt:variant>
      <vt:variant>
        <vt:lpwstr/>
      </vt:variant>
      <vt:variant>
        <vt:lpwstr>_Toc232222925</vt:lpwstr>
      </vt:variant>
      <vt:variant>
        <vt:i4>1441851</vt:i4>
      </vt:variant>
      <vt:variant>
        <vt:i4>614</vt:i4>
      </vt:variant>
      <vt:variant>
        <vt:i4>0</vt:i4>
      </vt:variant>
      <vt:variant>
        <vt:i4>5</vt:i4>
      </vt:variant>
      <vt:variant>
        <vt:lpwstr/>
      </vt:variant>
      <vt:variant>
        <vt:lpwstr>_Toc232222924</vt:lpwstr>
      </vt:variant>
      <vt:variant>
        <vt:i4>1441851</vt:i4>
      </vt:variant>
      <vt:variant>
        <vt:i4>608</vt:i4>
      </vt:variant>
      <vt:variant>
        <vt:i4>0</vt:i4>
      </vt:variant>
      <vt:variant>
        <vt:i4>5</vt:i4>
      </vt:variant>
      <vt:variant>
        <vt:lpwstr/>
      </vt:variant>
      <vt:variant>
        <vt:lpwstr>_Toc232222923</vt:lpwstr>
      </vt:variant>
      <vt:variant>
        <vt:i4>1441851</vt:i4>
      </vt:variant>
      <vt:variant>
        <vt:i4>602</vt:i4>
      </vt:variant>
      <vt:variant>
        <vt:i4>0</vt:i4>
      </vt:variant>
      <vt:variant>
        <vt:i4>5</vt:i4>
      </vt:variant>
      <vt:variant>
        <vt:lpwstr/>
      </vt:variant>
      <vt:variant>
        <vt:lpwstr>_Toc232222922</vt:lpwstr>
      </vt:variant>
      <vt:variant>
        <vt:i4>1441851</vt:i4>
      </vt:variant>
      <vt:variant>
        <vt:i4>596</vt:i4>
      </vt:variant>
      <vt:variant>
        <vt:i4>0</vt:i4>
      </vt:variant>
      <vt:variant>
        <vt:i4>5</vt:i4>
      </vt:variant>
      <vt:variant>
        <vt:lpwstr/>
      </vt:variant>
      <vt:variant>
        <vt:lpwstr>_Toc232222921</vt:lpwstr>
      </vt:variant>
      <vt:variant>
        <vt:i4>1441851</vt:i4>
      </vt:variant>
      <vt:variant>
        <vt:i4>590</vt:i4>
      </vt:variant>
      <vt:variant>
        <vt:i4>0</vt:i4>
      </vt:variant>
      <vt:variant>
        <vt:i4>5</vt:i4>
      </vt:variant>
      <vt:variant>
        <vt:lpwstr/>
      </vt:variant>
      <vt:variant>
        <vt:lpwstr>_Toc232222920</vt:lpwstr>
      </vt:variant>
      <vt:variant>
        <vt:i4>1376315</vt:i4>
      </vt:variant>
      <vt:variant>
        <vt:i4>584</vt:i4>
      </vt:variant>
      <vt:variant>
        <vt:i4>0</vt:i4>
      </vt:variant>
      <vt:variant>
        <vt:i4>5</vt:i4>
      </vt:variant>
      <vt:variant>
        <vt:lpwstr/>
      </vt:variant>
      <vt:variant>
        <vt:lpwstr>_Toc232222919</vt:lpwstr>
      </vt:variant>
      <vt:variant>
        <vt:i4>1376315</vt:i4>
      </vt:variant>
      <vt:variant>
        <vt:i4>578</vt:i4>
      </vt:variant>
      <vt:variant>
        <vt:i4>0</vt:i4>
      </vt:variant>
      <vt:variant>
        <vt:i4>5</vt:i4>
      </vt:variant>
      <vt:variant>
        <vt:lpwstr/>
      </vt:variant>
      <vt:variant>
        <vt:lpwstr>_Toc232222918</vt:lpwstr>
      </vt:variant>
      <vt:variant>
        <vt:i4>1376315</vt:i4>
      </vt:variant>
      <vt:variant>
        <vt:i4>572</vt:i4>
      </vt:variant>
      <vt:variant>
        <vt:i4>0</vt:i4>
      </vt:variant>
      <vt:variant>
        <vt:i4>5</vt:i4>
      </vt:variant>
      <vt:variant>
        <vt:lpwstr/>
      </vt:variant>
      <vt:variant>
        <vt:lpwstr>_Toc232222917</vt:lpwstr>
      </vt:variant>
      <vt:variant>
        <vt:i4>1376315</vt:i4>
      </vt:variant>
      <vt:variant>
        <vt:i4>566</vt:i4>
      </vt:variant>
      <vt:variant>
        <vt:i4>0</vt:i4>
      </vt:variant>
      <vt:variant>
        <vt:i4>5</vt:i4>
      </vt:variant>
      <vt:variant>
        <vt:lpwstr/>
      </vt:variant>
      <vt:variant>
        <vt:lpwstr>_Toc232222916</vt:lpwstr>
      </vt:variant>
      <vt:variant>
        <vt:i4>1376315</vt:i4>
      </vt:variant>
      <vt:variant>
        <vt:i4>560</vt:i4>
      </vt:variant>
      <vt:variant>
        <vt:i4>0</vt:i4>
      </vt:variant>
      <vt:variant>
        <vt:i4>5</vt:i4>
      </vt:variant>
      <vt:variant>
        <vt:lpwstr/>
      </vt:variant>
      <vt:variant>
        <vt:lpwstr>_Toc232222915</vt:lpwstr>
      </vt:variant>
      <vt:variant>
        <vt:i4>1376315</vt:i4>
      </vt:variant>
      <vt:variant>
        <vt:i4>554</vt:i4>
      </vt:variant>
      <vt:variant>
        <vt:i4>0</vt:i4>
      </vt:variant>
      <vt:variant>
        <vt:i4>5</vt:i4>
      </vt:variant>
      <vt:variant>
        <vt:lpwstr/>
      </vt:variant>
      <vt:variant>
        <vt:lpwstr>_Toc232222914</vt:lpwstr>
      </vt:variant>
      <vt:variant>
        <vt:i4>1376315</vt:i4>
      </vt:variant>
      <vt:variant>
        <vt:i4>548</vt:i4>
      </vt:variant>
      <vt:variant>
        <vt:i4>0</vt:i4>
      </vt:variant>
      <vt:variant>
        <vt:i4>5</vt:i4>
      </vt:variant>
      <vt:variant>
        <vt:lpwstr/>
      </vt:variant>
      <vt:variant>
        <vt:lpwstr>_Toc232222913</vt:lpwstr>
      </vt:variant>
      <vt:variant>
        <vt:i4>1376315</vt:i4>
      </vt:variant>
      <vt:variant>
        <vt:i4>542</vt:i4>
      </vt:variant>
      <vt:variant>
        <vt:i4>0</vt:i4>
      </vt:variant>
      <vt:variant>
        <vt:i4>5</vt:i4>
      </vt:variant>
      <vt:variant>
        <vt:lpwstr/>
      </vt:variant>
      <vt:variant>
        <vt:lpwstr>_Toc232222912</vt:lpwstr>
      </vt:variant>
      <vt:variant>
        <vt:i4>1376315</vt:i4>
      </vt:variant>
      <vt:variant>
        <vt:i4>536</vt:i4>
      </vt:variant>
      <vt:variant>
        <vt:i4>0</vt:i4>
      </vt:variant>
      <vt:variant>
        <vt:i4>5</vt:i4>
      </vt:variant>
      <vt:variant>
        <vt:lpwstr/>
      </vt:variant>
      <vt:variant>
        <vt:lpwstr>_Toc232222911</vt:lpwstr>
      </vt:variant>
      <vt:variant>
        <vt:i4>1376315</vt:i4>
      </vt:variant>
      <vt:variant>
        <vt:i4>530</vt:i4>
      </vt:variant>
      <vt:variant>
        <vt:i4>0</vt:i4>
      </vt:variant>
      <vt:variant>
        <vt:i4>5</vt:i4>
      </vt:variant>
      <vt:variant>
        <vt:lpwstr/>
      </vt:variant>
      <vt:variant>
        <vt:lpwstr>_Toc232222910</vt:lpwstr>
      </vt:variant>
      <vt:variant>
        <vt:i4>1310779</vt:i4>
      </vt:variant>
      <vt:variant>
        <vt:i4>524</vt:i4>
      </vt:variant>
      <vt:variant>
        <vt:i4>0</vt:i4>
      </vt:variant>
      <vt:variant>
        <vt:i4>5</vt:i4>
      </vt:variant>
      <vt:variant>
        <vt:lpwstr/>
      </vt:variant>
      <vt:variant>
        <vt:lpwstr>_Toc232222909</vt:lpwstr>
      </vt:variant>
      <vt:variant>
        <vt:i4>1310779</vt:i4>
      </vt:variant>
      <vt:variant>
        <vt:i4>518</vt:i4>
      </vt:variant>
      <vt:variant>
        <vt:i4>0</vt:i4>
      </vt:variant>
      <vt:variant>
        <vt:i4>5</vt:i4>
      </vt:variant>
      <vt:variant>
        <vt:lpwstr/>
      </vt:variant>
      <vt:variant>
        <vt:lpwstr>_Toc232222908</vt:lpwstr>
      </vt:variant>
      <vt:variant>
        <vt:i4>1310779</vt:i4>
      </vt:variant>
      <vt:variant>
        <vt:i4>512</vt:i4>
      </vt:variant>
      <vt:variant>
        <vt:i4>0</vt:i4>
      </vt:variant>
      <vt:variant>
        <vt:i4>5</vt:i4>
      </vt:variant>
      <vt:variant>
        <vt:lpwstr/>
      </vt:variant>
      <vt:variant>
        <vt:lpwstr>_Toc232222907</vt:lpwstr>
      </vt:variant>
      <vt:variant>
        <vt:i4>1310779</vt:i4>
      </vt:variant>
      <vt:variant>
        <vt:i4>506</vt:i4>
      </vt:variant>
      <vt:variant>
        <vt:i4>0</vt:i4>
      </vt:variant>
      <vt:variant>
        <vt:i4>5</vt:i4>
      </vt:variant>
      <vt:variant>
        <vt:lpwstr/>
      </vt:variant>
      <vt:variant>
        <vt:lpwstr>_Toc232222906</vt:lpwstr>
      </vt:variant>
      <vt:variant>
        <vt:i4>1310779</vt:i4>
      </vt:variant>
      <vt:variant>
        <vt:i4>500</vt:i4>
      </vt:variant>
      <vt:variant>
        <vt:i4>0</vt:i4>
      </vt:variant>
      <vt:variant>
        <vt:i4>5</vt:i4>
      </vt:variant>
      <vt:variant>
        <vt:lpwstr/>
      </vt:variant>
      <vt:variant>
        <vt:lpwstr>_Toc232222905</vt:lpwstr>
      </vt:variant>
      <vt:variant>
        <vt:i4>1310779</vt:i4>
      </vt:variant>
      <vt:variant>
        <vt:i4>494</vt:i4>
      </vt:variant>
      <vt:variant>
        <vt:i4>0</vt:i4>
      </vt:variant>
      <vt:variant>
        <vt:i4>5</vt:i4>
      </vt:variant>
      <vt:variant>
        <vt:lpwstr/>
      </vt:variant>
      <vt:variant>
        <vt:lpwstr>_Toc232222904</vt:lpwstr>
      </vt:variant>
      <vt:variant>
        <vt:i4>1310779</vt:i4>
      </vt:variant>
      <vt:variant>
        <vt:i4>488</vt:i4>
      </vt:variant>
      <vt:variant>
        <vt:i4>0</vt:i4>
      </vt:variant>
      <vt:variant>
        <vt:i4>5</vt:i4>
      </vt:variant>
      <vt:variant>
        <vt:lpwstr/>
      </vt:variant>
      <vt:variant>
        <vt:lpwstr>_Toc232222903</vt:lpwstr>
      </vt:variant>
      <vt:variant>
        <vt:i4>1310779</vt:i4>
      </vt:variant>
      <vt:variant>
        <vt:i4>482</vt:i4>
      </vt:variant>
      <vt:variant>
        <vt:i4>0</vt:i4>
      </vt:variant>
      <vt:variant>
        <vt:i4>5</vt:i4>
      </vt:variant>
      <vt:variant>
        <vt:lpwstr/>
      </vt:variant>
      <vt:variant>
        <vt:lpwstr>_Toc232222902</vt:lpwstr>
      </vt:variant>
      <vt:variant>
        <vt:i4>1310779</vt:i4>
      </vt:variant>
      <vt:variant>
        <vt:i4>476</vt:i4>
      </vt:variant>
      <vt:variant>
        <vt:i4>0</vt:i4>
      </vt:variant>
      <vt:variant>
        <vt:i4>5</vt:i4>
      </vt:variant>
      <vt:variant>
        <vt:lpwstr/>
      </vt:variant>
      <vt:variant>
        <vt:lpwstr>_Toc232222901</vt:lpwstr>
      </vt:variant>
      <vt:variant>
        <vt:i4>1310779</vt:i4>
      </vt:variant>
      <vt:variant>
        <vt:i4>470</vt:i4>
      </vt:variant>
      <vt:variant>
        <vt:i4>0</vt:i4>
      </vt:variant>
      <vt:variant>
        <vt:i4>5</vt:i4>
      </vt:variant>
      <vt:variant>
        <vt:lpwstr/>
      </vt:variant>
      <vt:variant>
        <vt:lpwstr>_Toc232222900</vt:lpwstr>
      </vt:variant>
      <vt:variant>
        <vt:i4>1900602</vt:i4>
      </vt:variant>
      <vt:variant>
        <vt:i4>464</vt:i4>
      </vt:variant>
      <vt:variant>
        <vt:i4>0</vt:i4>
      </vt:variant>
      <vt:variant>
        <vt:i4>5</vt:i4>
      </vt:variant>
      <vt:variant>
        <vt:lpwstr/>
      </vt:variant>
      <vt:variant>
        <vt:lpwstr>_Toc232222899</vt:lpwstr>
      </vt:variant>
      <vt:variant>
        <vt:i4>1900602</vt:i4>
      </vt:variant>
      <vt:variant>
        <vt:i4>458</vt:i4>
      </vt:variant>
      <vt:variant>
        <vt:i4>0</vt:i4>
      </vt:variant>
      <vt:variant>
        <vt:i4>5</vt:i4>
      </vt:variant>
      <vt:variant>
        <vt:lpwstr/>
      </vt:variant>
      <vt:variant>
        <vt:lpwstr>_Toc232222898</vt:lpwstr>
      </vt:variant>
      <vt:variant>
        <vt:i4>1900602</vt:i4>
      </vt:variant>
      <vt:variant>
        <vt:i4>452</vt:i4>
      </vt:variant>
      <vt:variant>
        <vt:i4>0</vt:i4>
      </vt:variant>
      <vt:variant>
        <vt:i4>5</vt:i4>
      </vt:variant>
      <vt:variant>
        <vt:lpwstr/>
      </vt:variant>
      <vt:variant>
        <vt:lpwstr>_Toc232222897</vt:lpwstr>
      </vt:variant>
      <vt:variant>
        <vt:i4>1900602</vt:i4>
      </vt:variant>
      <vt:variant>
        <vt:i4>446</vt:i4>
      </vt:variant>
      <vt:variant>
        <vt:i4>0</vt:i4>
      </vt:variant>
      <vt:variant>
        <vt:i4>5</vt:i4>
      </vt:variant>
      <vt:variant>
        <vt:lpwstr/>
      </vt:variant>
      <vt:variant>
        <vt:lpwstr>_Toc232222896</vt:lpwstr>
      </vt:variant>
      <vt:variant>
        <vt:i4>1900602</vt:i4>
      </vt:variant>
      <vt:variant>
        <vt:i4>440</vt:i4>
      </vt:variant>
      <vt:variant>
        <vt:i4>0</vt:i4>
      </vt:variant>
      <vt:variant>
        <vt:i4>5</vt:i4>
      </vt:variant>
      <vt:variant>
        <vt:lpwstr/>
      </vt:variant>
      <vt:variant>
        <vt:lpwstr>_Toc232222895</vt:lpwstr>
      </vt:variant>
      <vt:variant>
        <vt:i4>1900602</vt:i4>
      </vt:variant>
      <vt:variant>
        <vt:i4>434</vt:i4>
      </vt:variant>
      <vt:variant>
        <vt:i4>0</vt:i4>
      </vt:variant>
      <vt:variant>
        <vt:i4>5</vt:i4>
      </vt:variant>
      <vt:variant>
        <vt:lpwstr/>
      </vt:variant>
      <vt:variant>
        <vt:lpwstr>_Toc232222894</vt:lpwstr>
      </vt:variant>
      <vt:variant>
        <vt:i4>1900602</vt:i4>
      </vt:variant>
      <vt:variant>
        <vt:i4>428</vt:i4>
      </vt:variant>
      <vt:variant>
        <vt:i4>0</vt:i4>
      </vt:variant>
      <vt:variant>
        <vt:i4>5</vt:i4>
      </vt:variant>
      <vt:variant>
        <vt:lpwstr/>
      </vt:variant>
      <vt:variant>
        <vt:lpwstr>_Toc232222893</vt:lpwstr>
      </vt:variant>
      <vt:variant>
        <vt:i4>1900602</vt:i4>
      </vt:variant>
      <vt:variant>
        <vt:i4>422</vt:i4>
      </vt:variant>
      <vt:variant>
        <vt:i4>0</vt:i4>
      </vt:variant>
      <vt:variant>
        <vt:i4>5</vt:i4>
      </vt:variant>
      <vt:variant>
        <vt:lpwstr/>
      </vt:variant>
      <vt:variant>
        <vt:lpwstr>_Toc232222892</vt:lpwstr>
      </vt:variant>
      <vt:variant>
        <vt:i4>1900602</vt:i4>
      </vt:variant>
      <vt:variant>
        <vt:i4>416</vt:i4>
      </vt:variant>
      <vt:variant>
        <vt:i4>0</vt:i4>
      </vt:variant>
      <vt:variant>
        <vt:i4>5</vt:i4>
      </vt:variant>
      <vt:variant>
        <vt:lpwstr/>
      </vt:variant>
      <vt:variant>
        <vt:lpwstr>_Toc232222891</vt:lpwstr>
      </vt:variant>
      <vt:variant>
        <vt:i4>1900602</vt:i4>
      </vt:variant>
      <vt:variant>
        <vt:i4>410</vt:i4>
      </vt:variant>
      <vt:variant>
        <vt:i4>0</vt:i4>
      </vt:variant>
      <vt:variant>
        <vt:i4>5</vt:i4>
      </vt:variant>
      <vt:variant>
        <vt:lpwstr/>
      </vt:variant>
      <vt:variant>
        <vt:lpwstr>_Toc232222890</vt:lpwstr>
      </vt:variant>
      <vt:variant>
        <vt:i4>1835066</vt:i4>
      </vt:variant>
      <vt:variant>
        <vt:i4>404</vt:i4>
      </vt:variant>
      <vt:variant>
        <vt:i4>0</vt:i4>
      </vt:variant>
      <vt:variant>
        <vt:i4>5</vt:i4>
      </vt:variant>
      <vt:variant>
        <vt:lpwstr/>
      </vt:variant>
      <vt:variant>
        <vt:lpwstr>_Toc232222889</vt:lpwstr>
      </vt:variant>
      <vt:variant>
        <vt:i4>1835066</vt:i4>
      </vt:variant>
      <vt:variant>
        <vt:i4>398</vt:i4>
      </vt:variant>
      <vt:variant>
        <vt:i4>0</vt:i4>
      </vt:variant>
      <vt:variant>
        <vt:i4>5</vt:i4>
      </vt:variant>
      <vt:variant>
        <vt:lpwstr/>
      </vt:variant>
      <vt:variant>
        <vt:lpwstr>_Toc232222888</vt:lpwstr>
      </vt:variant>
      <vt:variant>
        <vt:i4>1835066</vt:i4>
      </vt:variant>
      <vt:variant>
        <vt:i4>392</vt:i4>
      </vt:variant>
      <vt:variant>
        <vt:i4>0</vt:i4>
      </vt:variant>
      <vt:variant>
        <vt:i4>5</vt:i4>
      </vt:variant>
      <vt:variant>
        <vt:lpwstr/>
      </vt:variant>
      <vt:variant>
        <vt:lpwstr>_Toc232222887</vt:lpwstr>
      </vt:variant>
      <vt:variant>
        <vt:i4>1835066</vt:i4>
      </vt:variant>
      <vt:variant>
        <vt:i4>386</vt:i4>
      </vt:variant>
      <vt:variant>
        <vt:i4>0</vt:i4>
      </vt:variant>
      <vt:variant>
        <vt:i4>5</vt:i4>
      </vt:variant>
      <vt:variant>
        <vt:lpwstr/>
      </vt:variant>
      <vt:variant>
        <vt:lpwstr>_Toc232222886</vt:lpwstr>
      </vt:variant>
      <vt:variant>
        <vt:i4>1835066</vt:i4>
      </vt:variant>
      <vt:variant>
        <vt:i4>380</vt:i4>
      </vt:variant>
      <vt:variant>
        <vt:i4>0</vt:i4>
      </vt:variant>
      <vt:variant>
        <vt:i4>5</vt:i4>
      </vt:variant>
      <vt:variant>
        <vt:lpwstr/>
      </vt:variant>
      <vt:variant>
        <vt:lpwstr>_Toc232222885</vt:lpwstr>
      </vt:variant>
      <vt:variant>
        <vt:i4>1835066</vt:i4>
      </vt:variant>
      <vt:variant>
        <vt:i4>374</vt:i4>
      </vt:variant>
      <vt:variant>
        <vt:i4>0</vt:i4>
      </vt:variant>
      <vt:variant>
        <vt:i4>5</vt:i4>
      </vt:variant>
      <vt:variant>
        <vt:lpwstr/>
      </vt:variant>
      <vt:variant>
        <vt:lpwstr>_Toc232222884</vt:lpwstr>
      </vt:variant>
      <vt:variant>
        <vt:i4>1835066</vt:i4>
      </vt:variant>
      <vt:variant>
        <vt:i4>368</vt:i4>
      </vt:variant>
      <vt:variant>
        <vt:i4>0</vt:i4>
      </vt:variant>
      <vt:variant>
        <vt:i4>5</vt:i4>
      </vt:variant>
      <vt:variant>
        <vt:lpwstr/>
      </vt:variant>
      <vt:variant>
        <vt:lpwstr>_Toc232222883</vt:lpwstr>
      </vt:variant>
      <vt:variant>
        <vt:i4>1835066</vt:i4>
      </vt:variant>
      <vt:variant>
        <vt:i4>362</vt:i4>
      </vt:variant>
      <vt:variant>
        <vt:i4>0</vt:i4>
      </vt:variant>
      <vt:variant>
        <vt:i4>5</vt:i4>
      </vt:variant>
      <vt:variant>
        <vt:lpwstr/>
      </vt:variant>
      <vt:variant>
        <vt:lpwstr>_Toc232222882</vt:lpwstr>
      </vt:variant>
      <vt:variant>
        <vt:i4>1835066</vt:i4>
      </vt:variant>
      <vt:variant>
        <vt:i4>356</vt:i4>
      </vt:variant>
      <vt:variant>
        <vt:i4>0</vt:i4>
      </vt:variant>
      <vt:variant>
        <vt:i4>5</vt:i4>
      </vt:variant>
      <vt:variant>
        <vt:lpwstr/>
      </vt:variant>
      <vt:variant>
        <vt:lpwstr>_Toc232222881</vt:lpwstr>
      </vt:variant>
      <vt:variant>
        <vt:i4>1835066</vt:i4>
      </vt:variant>
      <vt:variant>
        <vt:i4>350</vt:i4>
      </vt:variant>
      <vt:variant>
        <vt:i4>0</vt:i4>
      </vt:variant>
      <vt:variant>
        <vt:i4>5</vt:i4>
      </vt:variant>
      <vt:variant>
        <vt:lpwstr/>
      </vt:variant>
      <vt:variant>
        <vt:lpwstr>_Toc232222880</vt:lpwstr>
      </vt:variant>
      <vt:variant>
        <vt:i4>1245242</vt:i4>
      </vt:variant>
      <vt:variant>
        <vt:i4>344</vt:i4>
      </vt:variant>
      <vt:variant>
        <vt:i4>0</vt:i4>
      </vt:variant>
      <vt:variant>
        <vt:i4>5</vt:i4>
      </vt:variant>
      <vt:variant>
        <vt:lpwstr/>
      </vt:variant>
      <vt:variant>
        <vt:lpwstr>_Toc232222879</vt:lpwstr>
      </vt:variant>
      <vt:variant>
        <vt:i4>1245242</vt:i4>
      </vt:variant>
      <vt:variant>
        <vt:i4>338</vt:i4>
      </vt:variant>
      <vt:variant>
        <vt:i4>0</vt:i4>
      </vt:variant>
      <vt:variant>
        <vt:i4>5</vt:i4>
      </vt:variant>
      <vt:variant>
        <vt:lpwstr/>
      </vt:variant>
      <vt:variant>
        <vt:lpwstr>_Toc232222878</vt:lpwstr>
      </vt:variant>
      <vt:variant>
        <vt:i4>1245242</vt:i4>
      </vt:variant>
      <vt:variant>
        <vt:i4>332</vt:i4>
      </vt:variant>
      <vt:variant>
        <vt:i4>0</vt:i4>
      </vt:variant>
      <vt:variant>
        <vt:i4>5</vt:i4>
      </vt:variant>
      <vt:variant>
        <vt:lpwstr/>
      </vt:variant>
      <vt:variant>
        <vt:lpwstr>_Toc232222877</vt:lpwstr>
      </vt:variant>
      <vt:variant>
        <vt:i4>1245242</vt:i4>
      </vt:variant>
      <vt:variant>
        <vt:i4>326</vt:i4>
      </vt:variant>
      <vt:variant>
        <vt:i4>0</vt:i4>
      </vt:variant>
      <vt:variant>
        <vt:i4>5</vt:i4>
      </vt:variant>
      <vt:variant>
        <vt:lpwstr/>
      </vt:variant>
      <vt:variant>
        <vt:lpwstr>_Toc232222876</vt:lpwstr>
      </vt:variant>
      <vt:variant>
        <vt:i4>1245242</vt:i4>
      </vt:variant>
      <vt:variant>
        <vt:i4>320</vt:i4>
      </vt:variant>
      <vt:variant>
        <vt:i4>0</vt:i4>
      </vt:variant>
      <vt:variant>
        <vt:i4>5</vt:i4>
      </vt:variant>
      <vt:variant>
        <vt:lpwstr/>
      </vt:variant>
      <vt:variant>
        <vt:lpwstr>_Toc232222875</vt:lpwstr>
      </vt:variant>
      <vt:variant>
        <vt:i4>1245242</vt:i4>
      </vt:variant>
      <vt:variant>
        <vt:i4>314</vt:i4>
      </vt:variant>
      <vt:variant>
        <vt:i4>0</vt:i4>
      </vt:variant>
      <vt:variant>
        <vt:i4>5</vt:i4>
      </vt:variant>
      <vt:variant>
        <vt:lpwstr/>
      </vt:variant>
      <vt:variant>
        <vt:lpwstr>_Toc232222874</vt:lpwstr>
      </vt:variant>
      <vt:variant>
        <vt:i4>1245242</vt:i4>
      </vt:variant>
      <vt:variant>
        <vt:i4>308</vt:i4>
      </vt:variant>
      <vt:variant>
        <vt:i4>0</vt:i4>
      </vt:variant>
      <vt:variant>
        <vt:i4>5</vt:i4>
      </vt:variant>
      <vt:variant>
        <vt:lpwstr/>
      </vt:variant>
      <vt:variant>
        <vt:lpwstr>_Toc232222873</vt:lpwstr>
      </vt:variant>
      <vt:variant>
        <vt:i4>1245242</vt:i4>
      </vt:variant>
      <vt:variant>
        <vt:i4>302</vt:i4>
      </vt:variant>
      <vt:variant>
        <vt:i4>0</vt:i4>
      </vt:variant>
      <vt:variant>
        <vt:i4>5</vt:i4>
      </vt:variant>
      <vt:variant>
        <vt:lpwstr/>
      </vt:variant>
      <vt:variant>
        <vt:lpwstr>_Toc232222872</vt:lpwstr>
      </vt:variant>
      <vt:variant>
        <vt:i4>1245242</vt:i4>
      </vt:variant>
      <vt:variant>
        <vt:i4>296</vt:i4>
      </vt:variant>
      <vt:variant>
        <vt:i4>0</vt:i4>
      </vt:variant>
      <vt:variant>
        <vt:i4>5</vt:i4>
      </vt:variant>
      <vt:variant>
        <vt:lpwstr/>
      </vt:variant>
      <vt:variant>
        <vt:lpwstr>_Toc232222871</vt:lpwstr>
      </vt:variant>
      <vt:variant>
        <vt:i4>1245242</vt:i4>
      </vt:variant>
      <vt:variant>
        <vt:i4>290</vt:i4>
      </vt:variant>
      <vt:variant>
        <vt:i4>0</vt:i4>
      </vt:variant>
      <vt:variant>
        <vt:i4>5</vt:i4>
      </vt:variant>
      <vt:variant>
        <vt:lpwstr/>
      </vt:variant>
      <vt:variant>
        <vt:lpwstr>_Toc232222870</vt:lpwstr>
      </vt:variant>
      <vt:variant>
        <vt:i4>1179706</vt:i4>
      </vt:variant>
      <vt:variant>
        <vt:i4>284</vt:i4>
      </vt:variant>
      <vt:variant>
        <vt:i4>0</vt:i4>
      </vt:variant>
      <vt:variant>
        <vt:i4>5</vt:i4>
      </vt:variant>
      <vt:variant>
        <vt:lpwstr/>
      </vt:variant>
      <vt:variant>
        <vt:lpwstr>_Toc232222869</vt:lpwstr>
      </vt:variant>
      <vt:variant>
        <vt:i4>1179706</vt:i4>
      </vt:variant>
      <vt:variant>
        <vt:i4>278</vt:i4>
      </vt:variant>
      <vt:variant>
        <vt:i4>0</vt:i4>
      </vt:variant>
      <vt:variant>
        <vt:i4>5</vt:i4>
      </vt:variant>
      <vt:variant>
        <vt:lpwstr/>
      </vt:variant>
      <vt:variant>
        <vt:lpwstr>_Toc232222868</vt:lpwstr>
      </vt:variant>
      <vt:variant>
        <vt:i4>1179706</vt:i4>
      </vt:variant>
      <vt:variant>
        <vt:i4>272</vt:i4>
      </vt:variant>
      <vt:variant>
        <vt:i4>0</vt:i4>
      </vt:variant>
      <vt:variant>
        <vt:i4>5</vt:i4>
      </vt:variant>
      <vt:variant>
        <vt:lpwstr/>
      </vt:variant>
      <vt:variant>
        <vt:lpwstr>_Toc232222867</vt:lpwstr>
      </vt:variant>
      <vt:variant>
        <vt:i4>1179706</vt:i4>
      </vt:variant>
      <vt:variant>
        <vt:i4>266</vt:i4>
      </vt:variant>
      <vt:variant>
        <vt:i4>0</vt:i4>
      </vt:variant>
      <vt:variant>
        <vt:i4>5</vt:i4>
      </vt:variant>
      <vt:variant>
        <vt:lpwstr/>
      </vt:variant>
      <vt:variant>
        <vt:lpwstr>_Toc232222866</vt:lpwstr>
      </vt:variant>
      <vt:variant>
        <vt:i4>1179706</vt:i4>
      </vt:variant>
      <vt:variant>
        <vt:i4>260</vt:i4>
      </vt:variant>
      <vt:variant>
        <vt:i4>0</vt:i4>
      </vt:variant>
      <vt:variant>
        <vt:i4>5</vt:i4>
      </vt:variant>
      <vt:variant>
        <vt:lpwstr/>
      </vt:variant>
      <vt:variant>
        <vt:lpwstr>_Toc232222865</vt:lpwstr>
      </vt:variant>
      <vt:variant>
        <vt:i4>1179706</vt:i4>
      </vt:variant>
      <vt:variant>
        <vt:i4>254</vt:i4>
      </vt:variant>
      <vt:variant>
        <vt:i4>0</vt:i4>
      </vt:variant>
      <vt:variant>
        <vt:i4>5</vt:i4>
      </vt:variant>
      <vt:variant>
        <vt:lpwstr/>
      </vt:variant>
      <vt:variant>
        <vt:lpwstr>_Toc232222864</vt:lpwstr>
      </vt:variant>
      <vt:variant>
        <vt:i4>1179706</vt:i4>
      </vt:variant>
      <vt:variant>
        <vt:i4>248</vt:i4>
      </vt:variant>
      <vt:variant>
        <vt:i4>0</vt:i4>
      </vt:variant>
      <vt:variant>
        <vt:i4>5</vt:i4>
      </vt:variant>
      <vt:variant>
        <vt:lpwstr/>
      </vt:variant>
      <vt:variant>
        <vt:lpwstr>_Toc232222863</vt:lpwstr>
      </vt:variant>
      <vt:variant>
        <vt:i4>1179706</vt:i4>
      </vt:variant>
      <vt:variant>
        <vt:i4>242</vt:i4>
      </vt:variant>
      <vt:variant>
        <vt:i4>0</vt:i4>
      </vt:variant>
      <vt:variant>
        <vt:i4>5</vt:i4>
      </vt:variant>
      <vt:variant>
        <vt:lpwstr/>
      </vt:variant>
      <vt:variant>
        <vt:lpwstr>_Toc232222862</vt:lpwstr>
      </vt:variant>
      <vt:variant>
        <vt:i4>1179706</vt:i4>
      </vt:variant>
      <vt:variant>
        <vt:i4>236</vt:i4>
      </vt:variant>
      <vt:variant>
        <vt:i4>0</vt:i4>
      </vt:variant>
      <vt:variant>
        <vt:i4>5</vt:i4>
      </vt:variant>
      <vt:variant>
        <vt:lpwstr/>
      </vt:variant>
      <vt:variant>
        <vt:lpwstr>_Toc232222861</vt:lpwstr>
      </vt:variant>
      <vt:variant>
        <vt:i4>1179706</vt:i4>
      </vt:variant>
      <vt:variant>
        <vt:i4>230</vt:i4>
      </vt:variant>
      <vt:variant>
        <vt:i4>0</vt:i4>
      </vt:variant>
      <vt:variant>
        <vt:i4>5</vt:i4>
      </vt:variant>
      <vt:variant>
        <vt:lpwstr/>
      </vt:variant>
      <vt:variant>
        <vt:lpwstr>_Toc232222860</vt:lpwstr>
      </vt:variant>
      <vt:variant>
        <vt:i4>1114170</vt:i4>
      </vt:variant>
      <vt:variant>
        <vt:i4>224</vt:i4>
      </vt:variant>
      <vt:variant>
        <vt:i4>0</vt:i4>
      </vt:variant>
      <vt:variant>
        <vt:i4>5</vt:i4>
      </vt:variant>
      <vt:variant>
        <vt:lpwstr/>
      </vt:variant>
      <vt:variant>
        <vt:lpwstr>_Toc232222859</vt:lpwstr>
      </vt:variant>
      <vt:variant>
        <vt:i4>1114170</vt:i4>
      </vt:variant>
      <vt:variant>
        <vt:i4>218</vt:i4>
      </vt:variant>
      <vt:variant>
        <vt:i4>0</vt:i4>
      </vt:variant>
      <vt:variant>
        <vt:i4>5</vt:i4>
      </vt:variant>
      <vt:variant>
        <vt:lpwstr/>
      </vt:variant>
      <vt:variant>
        <vt:lpwstr>_Toc232222858</vt:lpwstr>
      </vt:variant>
      <vt:variant>
        <vt:i4>1114170</vt:i4>
      </vt:variant>
      <vt:variant>
        <vt:i4>212</vt:i4>
      </vt:variant>
      <vt:variant>
        <vt:i4>0</vt:i4>
      </vt:variant>
      <vt:variant>
        <vt:i4>5</vt:i4>
      </vt:variant>
      <vt:variant>
        <vt:lpwstr/>
      </vt:variant>
      <vt:variant>
        <vt:lpwstr>_Toc232222857</vt:lpwstr>
      </vt:variant>
      <vt:variant>
        <vt:i4>1114170</vt:i4>
      </vt:variant>
      <vt:variant>
        <vt:i4>206</vt:i4>
      </vt:variant>
      <vt:variant>
        <vt:i4>0</vt:i4>
      </vt:variant>
      <vt:variant>
        <vt:i4>5</vt:i4>
      </vt:variant>
      <vt:variant>
        <vt:lpwstr/>
      </vt:variant>
      <vt:variant>
        <vt:lpwstr>_Toc232222856</vt:lpwstr>
      </vt:variant>
      <vt:variant>
        <vt:i4>1114170</vt:i4>
      </vt:variant>
      <vt:variant>
        <vt:i4>200</vt:i4>
      </vt:variant>
      <vt:variant>
        <vt:i4>0</vt:i4>
      </vt:variant>
      <vt:variant>
        <vt:i4>5</vt:i4>
      </vt:variant>
      <vt:variant>
        <vt:lpwstr/>
      </vt:variant>
      <vt:variant>
        <vt:lpwstr>_Toc232222855</vt:lpwstr>
      </vt:variant>
      <vt:variant>
        <vt:i4>1114170</vt:i4>
      </vt:variant>
      <vt:variant>
        <vt:i4>194</vt:i4>
      </vt:variant>
      <vt:variant>
        <vt:i4>0</vt:i4>
      </vt:variant>
      <vt:variant>
        <vt:i4>5</vt:i4>
      </vt:variant>
      <vt:variant>
        <vt:lpwstr/>
      </vt:variant>
      <vt:variant>
        <vt:lpwstr>_Toc232222854</vt:lpwstr>
      </vt:variant>
      <vt:variant>
        <vt:i4>1114170</vt:i4>
      </vt:variant>
      <vt:variant>
        <vt:i4>188</vt:i4>
      </vt:variant>
      <vt:variant>
        <vt:i4>0</vt:i4>
      </vt:variant>
      <vt:variant>
        <vt:i4>5</vt:i4>
      </vt:variant>
      <vt:variant>
        <vt:lpwstr/>
      </vt:variant>
      <vt:variant>
        <vt:lpwstr>_Toc232222853</vt:lpwstr>
      </vt:variant>
      <vt:variant>
        <vt:i4>1114170</vt:i4>
      </vt:variant>
      <vt:variant>
        <vt:i4>182</vt:i4>
      </vt:variant>
      <vt:variant>
        <vt:i4>0</vt:i4>
      </vt:variant>
      <vt:variant>
        <vt:i4>5</vt:i4>
      </vt:variant>
      <vt:variant>
        <vt:lpwstr/>
      </vt:variant>
      <vt:variant>
        <vt:lpwstr>_Toc232222852</vt:lpwstr>
      </vt:variant>
      <vt:variant>
        <vt:i4>1114170</vt:i4>
      </vt:variant>
      <vt:variant>
        <vt:i4>176</vt:i4>
      </vt:variant>
      <vt:variant>
        <vt:i4>0</vt:i4>
      </vt:variant>
      <vt:variant>
        <vt:i4>5</vt:i4>
      </vt:variant>
      <vt:variant>
        <vt:lpwstr/>
      </vt:variant>
      <vt:variant>
        <vt:lpwstr>_Toc232222851</vt:lpwstr>
      </vt:variant>
      <vt:variant>
        <vt:i4>1114170</vt:i4>
      </vt:variant>
      <vt:variant>
        <vt:i4>170</vt:i4>
      </vt:variant>
      <vt:variant>
        <vt:i4>0</vt:i4>
      </vt:variant>
      <vt:variant>
        <vt:i4>5</vt:i4>
      </vt:variant>
      <vt:variant>
        <vt:lpwstr/>
      </vt:variant>
      <vt:variant>
        <vt:lpwstr>_Toc232222850</vt:lpwstr>
      </vt:variant>
      <vt:variant>
        <vt:i4>1048634</vt:i4>
      </vt:variant>
      <vt:variant>
        <vt:i4>164</vt:i4>
      </vt:variant>
      <vt:variant>
        <vt:i4>0</vt:i4>
      </vt:variant>
      <vt:variant>
        <vt:i4>5</vt:i4>
      </vt:variant>
      <vt:variant>
        <vt:lpwstr/>
      </vt:variant>
      <vt:variant>
        <vt:lpwstr>_Toc232222849</vt:lpwstr>
      </vt:variant>
      <vt:variant>
        <vt:i4>1048634</vt:i4>
      </vt:variant>
      <vt:variant>
        <vt:i4>158</vt:i4>
      </vt:variant>
      <vt:variant>
        <vt:i4>0</vt:i4>
      </vt:variant>
      <vt:variant>
        <vt:i4>5</vt:i4>
      </vt:variant>
      <vt:variant>
        <vt:lpwstr/>
      </vt:variant>
      <vt:variant>
        <vt:lpwstr>_Toc232222848</vt:lpwstr>
      </vt:variant>
      <vt:variant>
        <vt:i4>1048634</vt:i4>
      </vt:variant>
      <vt:variant>
        <vt:i4>152</vt:i4>
      </vt:variant>
      <vt:variant>
        <vt:i4>0</vt:i4>
      </vt:variant>
      <vt:variant>
        <vt:i4>5</vt:i4>
      </vt:variant>
      <vt:variant>
        <vt:lpwstr/>
      </vt:variant>
      <vt:variant>
        <vt:lpwstr>_Toc232222847</vt:lpwstr>
      </vt:variant>
      <vt:variant>
        <vt:i4>1048634</vt:i4>
      </vt:variant>
      <vt:variant>
        <vt:i4>146</vt:i4>
      </vt:variant>
      <vt:variant>
        <vt:i4>0</vt:i4>
      </vt:variant>
      <vt:variant>
        <vt:i4>5</vt:i4>
      </vt:variant>
      <vt:variant>
        <vt:lpwstr/>
      </vt:variant>
      <vt:variant>
        <vt:lpwstr>_Toc232222846</vt:lpwstr>
      </vt:variant>
      <vt:variant>
        <vt:i4>1048634</vt:i4>
      </vt:variant>
      <vt:variant>
        <vt:i4>140</vt:i4>
      </vt:variant>
      <vt:variant>
        <vt:i4>0</vt:i4>
      </vt:variant>
      <vt:variant>
        <vt:i4>5</vt:i4>
      </vt:variant>
      <vt:variant>
        <vt:lpwstr/>
      </vt:variant>
      <vt:variant>
        <vt:lpwstr>_Toc232222845</vt:lpwstr>
      </vt:variant>
      <vt:variant>
        <vt:i4>1048634</vt:i4>
      </vt:variant>
      <vt:variant>
        <vt:i4>134</vt:i4>
      </vt:variant>
      <vt:variant>
        <vt:i4>0</vt:i4>
      </vt:variant>
      <vt:variant>
        <vt:i4>5</vt:i4>
      </vt:variant>
      <vt:variant>
        <vt:lpwstr/>
      </vt:variant>
      <vt:variant>
        <vt:lpwstr>_Toc232222844</vt:lpwstr>
      </vt:variant>
      <vt:variant>
        <vt:i4>1048634</vt:i4>
      </vt:variant>
      <vt:variant>
        <vt:i4>128</vt:i4>
      </vt:variant>
      <vt:variant>
        <vt:i4>0</vt:i4>
      </vt:variant>
      <vt:variant>
        <vt:i4>5</vt:i4>
      </vt:variant>
      <vt:variant>
        <vt:lpwstr/>
      </vt:variant>
      <vt:variant>
        <vt:lpwstr>_Toc232222843</vt:lpwstr>
      </vt:variant>
      <vt:variant>
        <vt:i4>1048634</vt:i4>
      </vt:variant>
      <vt:variant>
        <vt:i4>122</vt:i4>
      </vt:variant>
      <vt:variant>
        <vt:i4>0</vt:i4>
      </vt:variant>
      <vt:variant>
        <vt:i4>5</vt:i4>
      </vt:variant>
      <vt:variant>
        <vt:lpwstr/>
      </vt:variant>
      <vt:variant>
        <vt:lpwstr>_Toc232222842</vt:lpwstr>
      </vt:variant>
      <vt:variant>
        <vt:i4>1048634</vt:i4>
      </vt:variant>
      <vt:variant>
        <vt:i4>116</vt:i4>
      </vt:variant>
      <vt:variant>
        <vt:i4>0</vt:i4>
      </vt:variant>
      <vt:variant>
        <vt:i4>5</vt:i4>
      </vt:variant>
      <vt:variant>
        <vt:lpwstr/>
      </vt:variant>
      <vt:variant>
        <vt:lpwstr>_Toc232222841</vt:lpwstr>
      </vt:variant>
      <vt:variant>
        <vt:i4>1048634</vt:i4>
      </vt:variant>
      <vt:variant>
        <vt:i4>110</vt:i4>
      </vt:variant>
      <vt:variant>
        <vt:i4>0</vt:i4>
      </vt:variant>
      <vt:variant>
        <vt:i4>5</vt:i4>
      </vt:variant>
      <vt:variant>
        <vt:lpwstr/>
      </vt:variant>
      <vt:variant>
        <vt:lpwstr>_Toc232222840</vt:lpwstr>
      </vt:variant>
      <vt:variant>
        <vt:i4>1507386</vt:i4>
      </vt:variant>
      <vt:variant>
        <vt:i4>104</vt:i4>
      </vt:variant>
      <vt:variant>
        <vt:i4>0</vt:i4>
      </vt:variant>
      <vt:variant>
        <vt:i4>5</vt:i4>
      </vt:variant>
      <vt:variant>
        <vt:lpwstr/>
      </vt:variant>
      <vt:variant>
        <vt:lpwstr>_Toc232222839</vt:lpwstr>
      </vt:variant>
      <vt:variant>
        <vt:i4>1507386</vt:i4>
      </vt:variant>
      <vt:variant>
        <vt:i4>98</vt:i4>
      </vt:variant>
      <vt:variant>
        <vt:i4>0</vt:i4>
      </vt:variant>
      <vt:variant>
        <vt:i4>5</vt:i4>
      </vt:variant>
      <vt:variant>
        <vt:lpwstr/>
      </vt:variant>
      <vt:variant>
        <vt:lpwstr>_Toc232222838</vt:lpwstr>
      </vt:variant>
      <vt:variant>
        <vt:i4>1507386</vt:i4>
      </vt:variant>
      <vt:variant>
        <vt:i4>92</vt:i4>
      </vt:variant>
      <vt:variant>
        <vt:i4>0</vt:i4>
      </vt:variant>
      <vt:variant>
        <vt:i4>5</vt:i4>
      </vt:variant>
      <vt:variant>
        <vt:lpwstr/>
      </vt:variant>
      <vt:variant>
        <vt:lpwstr>_Toc232222837</vt:lpwstr>
      </vt:variant>
      <vt:variant>
        <vt:i4>1507386</vt:i4>
      </vt:variant>
      <vt:variant>
        <vt:i4>86</vt:i4>
      </vt:variant>
      <vt:variant>
        <vt:i4>0</vt:i4>
      </vt:variant>
      <vt:variant>
        <vt:i4>5</vt:i4>
      </vt:variant>
      <vt:variant>
        <vt:lpwstr/>
      </vt:variant>
      <vt:variant>
        <vt:lpwstr>_Toc232222836</vt:lpwstr>
      </vt:variant>
      <vt:variant>
        <vt:i4>1507386</vt:i4>
      </vt:variant>
      <vt:variant>
        <vt:i4>80</vt:i4>
      </vt:variant>
      <vt:variant>
        <vt:i4>0</vt:i4>
      </vt:variant>
      <vt:variant>
        <vt:i4>5</vt:i4>
      </vt:variant>
      <vt:variant>
        <vt:lpwstr/>
      </vt:variant>
      <vt:variant>
        <vt:lpwstr>_Toc232222835</vt:lpwstr>
      </vt:variant>
      <vt:variant>
        <vt:i4>1507386</vt:i4>
      </vt:variant>
      <vt:variant>
        <vt:i4>74</vt:i4>
      </vt:variant>
      <vt:variant>
        <vt:i4>0</vt:i4>
      </vt:variant>
      <vt:variant>
        <vt:i4>5</vt:i4>
      </vt:variant>
      <vt:variant>
        <vt:lpwstr/>
      </vt:variant>
      <vt:variant>
        <vt:lpwstr>_Toc232222834</vt:lpwstr>
      </vt:variant>
      <vt:variant>
        <vt:i4>1507386</vt:i4>
      </vt:variant>
      <vt:variant>
        <vt:i4>68</vt:i4>
      </vt:variant>
      <vt:variant>
        <vt:i4>0</vt:i4>
      </vt:variant>
      <vt:variant>
        <vt:i4>5</vt:i4>
      </vt:variant>
      <vt:variant>
        <vt:lpwstr/>
      </vt:variant>
      <vt:variant>
        <vt:lpwstr>_Toc232222833</vt:lpwstr>
      </vt:variant>
      <vt:variant>
        <vt:i4>1507386</vt:i4>
      </vt:variant>
      <vt:variant>
        <vt:i4>62</vt:i4>
      </vt:variant>
      <vt:variant>
        <vt:i4>0</vt:i4>
      </vt:variant>
      <vt:variant>
        <vt:i4>5</vt:i4>
      </vt:variant>
      <vt:variant>
        <vt:lpwstr/>
      </vt:variant>
      <vt:variant>
        <vt:lpwstr>_Toc232222832</vt:lpwstr>
      </vt:variant>
      <vt:variant>
        <vt:i4>1507386</vt:i4>
      </vt:variant>
      <vt:variant>
        <vt:i4>56</vt:i4>
      </vt:variant>
      <vt:variant>
        <vt:i4>0</vt:i4>
      </vt:variant>
      <vt:variant>
        <vt:i4>5</vt:i4>
      </vt:variant>
      <vt:variant>
        <vt:lpwstr/>
      </vt:variant>
      <vt:variant>
        <vt:lpwstr>_Toc232222831</vt:lpwstr>
      </vt:variant>
      <vt:variant>
        <vt:i4>1507386</vt:i4>
      </vt:variant>
      <vt:variant>
        <vt:i4>50</vt:i4>
      </vt:variant>
      <vt:variant>
        <vt:i4>0</vt:i4>
      </vt:variant>
      <vt:variant>
        <vt:i4>5</vt:i4>
      </vt:variant>
      <vt:variant>
        <vt:lpwstr/>
      </vt:variant>
      <vt:variant>
        <vt:lpwstr>_Toc232222830</vt:lpwstr>
      </vt:variant>
      <vt:variant>
        <vt:i4>1441850</vt:i4>
      </vt:variant>
      <vt:variant>
        <vt:i4>44</vt:i4>
      </vt:variant>
      <vt:variant>
        <vt:i4>0</vt:i4>
      </vt:variant>
      <vt:variant>
        <vt:i4>5</vt:i4>
      </vt:variant>
      <vt:variant>
        <vt:lpwstr/>
      </vt:variant>
      <vt:variant>
        <vt:lpwstr>_Toc232222829</vt:lpwstr>
      </vt:variant>
      <vt:variant>
        <vt:i4>1441850</vt:i4>
      </vt:variant>
      <vt:variant>
        <vt:i4>38</vt:i4>
      </vt:variant>
      <vt:variant>
        <vt:i4>0</vt:i4>
      </vt:variant>
      <vt:variant>
        <vt:i4>5</vt:i4>
      </vt:variant>
      <vt:variant>
        <vt:lpwstr/>
      </vt:variant>
      <vt:variant>
        <vt:lpwstr>_Toc232222828</vt:lpwstr>
      </vt:variant>
      <vt:variant>
        <vt:i4>1441850</vt:i4>
      </vt:variant>
      <vt:variant>
        <vt:i4>32</vt:i4>
      </vt:variant>
      <vt:variant>
        <vt:i4>0</vt:i4>
      </vt:variant>
      <vt:variant>
        <vt:i4>5</vt:i4>
      </vt:variant>
      <vt:variant>
        <vt:lpwstr/>
      </vt:variant>
      <vt:variant>
        <vt:lpwstr>_Toc232222827</vt:lpwstr>
      </vt:variant>
      <vt:variant>
        <vt:i4>1441850</vt:i4>
      </vt:variant>
      <vt:variant>
        <vt:i4>26</vt:i4>
      </vt:variant>
      <vt:variant>
        <vt:i4>0</vt:i4>
      </vt:variant>
      <vt:variant>
        <vt:i4>5</vt:i4>
      </vt:variant>
      <vt:variant>
        <vt:lpwstr/>
      </vt:variant>
      <vt:variant>
        <vt:lpwstr>_Toc232222826</vt:lpwstr>
      </vt:variant>
      <vt:variant>
        <vt:i4>1441850</vt:i4>
      </vt:variant>
      <vt:variant>
        <vt:i4>20</vt:i4>
      </vt:variant>
      <vt:variant>
        <vt:i4>0</vt:i4>
      </vt:variant>
      <vt:variant>
        <vt:i4>5</vt:i4>
      </vt:variant>
      <vt:variant>
        <vt:lpwstr/>
      </vt:variant>
      <vt:variant>
        <vt:lpwstr>_Toc232222825</vt:lpwstr>
      </vt:variant>
      <vt:variant>
        <vt:i4>1441850</vt:i4>
      </vt:variant>
      <vt:variant>
        <vt:i4>14</vt:i4>
      </vt:variant>
      <vt:variant>
        <vt:i4>0</vt:i4>
      </vt:variant>
      <vt:variant>
        <vt:i4>5</vt:i4>
      </vt:variant>
      <vt:variant>
        <vt:lpwstr/>
      </vt:variant>
      <vt:variant>
        <vt:lpwstr>_Toc232222824</vt:lpwstr>
      </vt:variant>
      <vt:variant>
        <vt:i4>1441850</vt:i4>
      </vt:variant>
      <vt:variant>
        <vt:i4>8</vt:i4>
      </vt:variant>
      <vt:variant>
        <vt:i4>0</vt:i4>
      </vt:variant>
      <vt:variant>
        <vt:i4>5</vt:i4>
      </vt:variant>
      <vt:variant>
        <vt:lpwstr/>
      </vt:variant>
      <vt:variant>
        <vt:lpwstr>_Toc232222823</vt:lpwstr>
      </vt:variant>
      <vt:variant>
        <vt:i4>1441850</vt:i4>
      </vt:variant>
      <vt:variant>
        <vt:i4>2</vt:i4>
      </vt:variant>
      <vt:variant>
        <vt:i4>0</vt:i4>
      </vt:variant>
      <vt:variant>
        <vt:i4>5</vt:i4>
      </vt:variant>
      <vt:variant>
        <vt:lpwstr/>
      </vt:variant>
      <vt:variant>
        <vt:lpwstr>_Toc232222822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Estado de Goiás</dc:title>
  <dc:subject>Relatório sobre as Contas do Governador</dc:subject>
  <dc:creator>Denize Faleiro Valtuille</dc:creator>
  <cp:keywords/>
  <dc:description/>
  <cp:lastModifiedBy>Carolina Oliveira da Silva</cp:lastModifiedBy>
  <cp:revision>12</cp:revision>
  <cp:lastPrinted>2024-05-27T12:25:00Z</cp:lastPrinted>
  <dcterms:created xsi:type="dcterms:W3CDTF">2024-05-29T00:45:00Z</dcterms:created>
  <dcterms:modified xsi:type="dcterms:W3CDTF">2024-05-29T13:41:00Z</dcterms:modified>
</cp:coreProperties>
</file>